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D663"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ՀԱՍՏԱՏՎԱԾ ԵՆ</w:t>
      </w:r>
    </w:p>
    <w:p w14:paraId="1DAA60FE"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Եվրասիական տնտեսական հանձնաժողովի խորհրդի 20</w:t>
      </w:r>
      <w:r w:rsidR="005755F1">
        <w:rPr>
          <w:rFonts w:ascii="Sylfaen" w:hAnsi="Sylfaen"/>
          <w:sz w:val="24"/>
          <w:szCs w:val="24"/>
        </w:rPr>
        <w:t>16</w:t>
      </w:r>
      <w:r w:rsidRPr="00834D52">
        <w:rPr>
          <w:rFonts w:ascii="Sylfaen" w:hAnsi="Sylfaen"/>
          <w:sz w:val="24"/>
          <w:szCs w:val="24"/>
        </w:rPr>
        <w:t xml:space="preserve"> թվականի </w:t>
      </w:r>
      <w:r w:rsidR="005755F1">
        <w:rPr>
          <w:rFonts w:ascii="Sylfaen" w:hAnsi="Sylfaen"/>
          <w:sz w:val="24"/>
          <w:szCs w:val="24"/>
        </w:rPr>
        <w:t xml:space="preserve">նոյեմբերի 3-ի </w:t>
      </w:r>
      <w:r w:rsidRPr="00834D52">
        <w:rPr>
          <w:rFonts w:ascii="Sylfaen" w:hAnsi="Sylfaen"/>
          <w:sz w:val="24"/>
          <w:szCs w:val="24"/>
        </w:rPr>
        <w:t xml:space="preserve">թիվ </w:t>
      </w:r>
      <w:r w:rsidR="005755F1">
        <w:rPr>
          <w:rFonts w:ascii="Sylfaen" w:hAnsi="Sylfaen"/>
          <w:sz w:val="24"/>
          <w:szCs w:val="24"/>
        </w:rPr>
        <w:t>78</w:t>
      </w:r>
      <w:r w:rsidRPr="00834D52">
        <w:rPr>
          <w:rFonts w:ascii="Sylfaen" w:hAnsi="Sylfaen"/>
          <w:sz w:val="24"/>
          <w:szCs w:val="24"/>
        </w:rPr>
        <w:t xml:space="preserve"> որոշմամբ</w:t>
      </w:r>
    </w:p>
    <w:p w14:paraId="2C57BFA0" w14:textId="77777777" w:rsidR="006F76EB" w:rsidRPr="00834D52" w:rsidRDefault="006F76EB" w:rsidP="006F76EB">
      <w:pPr>
        <w:spacing w:after="160" w:line="360" w:lineRule="auto"/>
        <w:ind w:left="4536" w:right="-8"/>
        <w:rPr>
          <w:rFonts w:ascii="Sylfaen" w:hAnsi="Sylfaen"/>
          <w:sz w:val="24"/>
          <w:szCs w:val="24"/>
        </w:rPr>
      </w:pPr>
    </w:p>
    <w:p w14:paraId="3D5F1E50" w14:textId="77777777" w:rsidR="006F76EB" w:rsidRPr="005405FD" w:rsidRDefault="006F76EB" w:rsidP="006F76EB">
      <w:pPr>
        <w:spacing w:after="160" w:line="360" w:lineRule="auto"/>
        <w:ind w:left="567" w:right="565"/>
        <w:jc w:val="center"/>
        <w:rPr>
          <w:rFonts w:ascii="Sylfaen" w:hAnsi="Sylfaen"/>
          <w:b/>
          <w:sz w:val="24"/>
          <w:szCs w:val="24"/>
        </w:rPr>
      </w:pPr>
      <w:r w:rsidRPr="005405FD">
        <w:rPr>
          <w:rFonts w:ascii="Sylfaen" w:hAnsi="Sylfaen"/>
          <w:b/>
          <w:sz w:val="24"/>
          <w:szCs w:val="24"/>
        </w:rPr>
        <w:t>ԿԱՆՈՆՆԵՐ</w:t>
      </w:r>
    </w:p>
    <w:p w14:paraId="051ABDF4"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 xml:space="preserve">բժշկական կիրառման դեղամիջոցների գրանցման </w:t>
      </w:r>
      <w:r w:rsidR="00C54D75">
        <w:rPr>
          <w:rFonts w:ascii="Sylfaen" w:hAnsi="Sylfaen"/>
          <w:b/>
          <w:sz w:val="24"/>
          <w:szCs w:val="24"/>
        </w:rPr>
        <w:t>և</w:t>
      </w:r>
      <w:r w:rsidRPr="00834D52">
        <w:rPr>
          <w:rFonts w:ascii="Sylfaen" w:hAnsi="Sylfaen"/>
          <w:b/>
          <w:sz w:val="24"/>
          <w:szCs w:val="24"/>
        </w:rPr>
        <w:t xml:space="preserve"> փորձաքննության </w:t>
      </w:r>
    </w:p>
    <w:p w14:paraId="6DF5F9C7" w14:textId="77777777" w:rsidR="006F76EB" w:rsidRPr="00834D52" w:rsidRDefault="006F76EB" w:rsidP="006F76EB">
      <w:pPr>
        <w:spacing w:after="160" w:line="360" w:lineRule="auto"/>
        <w:ind w:right="-8"/>
        <w:jc w:val="center"/>
        <w:rPr>
          <w:rFonts w:ascii="Sylfaen" w:hAnsi="Sylfaen"/>
          <w:sz w:val="24"/>
          <w:szCs w:val="24"/>
        </w:rPr>
      </w:pPr>
    </w:p>
    <w:p w14:paraId="107C33B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Ընդհանուր դրույթներ</w:t>
      </w:r>
    </w:p>
    <w:p w14:paraId="07D8C707" w14:textId="77777777" w:rsidR="006F76EB" w:rsidRPr="00834D52" w:rsidRDefault="006F76EB" w:rsidP="00486013">
      <w:pPr>
        <w:tabs>
          <w:tab w:val="left" w:pos="1134"/>
        </w:tabs>
        <w:spacing w:after="160" w:line="384" w:lineRule="auto"/>
        <w:ind w:right="-8" w:firstLine="567"/>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Սույն Կանոնները սահմանում են Եվրասիական տնտեսական միության (այսուհետ՝ Միություն) շրջանակներում դեղամիջոցների ընդհանուր շուկայի ձ</w:t>
      </w:r>
      <w:r w:rsidR="00C54D75">
        <w:rPr>
          <w:rFonts w:ascii="Sylfaen" w:hAnsi="Sylfaen"/>
          <w:sz w:val="24"/>
          <w:szCs w:val="24"/>
        </w:rPr>
        <w:t>և</w:t>
      </w:r>
      <w:r w:rsidRPr="00834D52">
        <w:rPr>
          <w:rFonts w:ascii="Sylfaen" w:hAnsi="Sylfaen"/>
          <w:sz w:val="24"/>
          <w:szCs w:val="24"/>
        </w:rPr>
        <w:t xml:space="preserve">ավորման նպատակով բժշկական կիրառման դեղապատրաստուկների գրանցում իրականացնելու,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դեղապատրաստուկների փորձաքննություն անցկացնելու կարգը, ինչպես նա</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գրանցման հետ կապված այլ ընթացակարգեր (այսուհետ՝ գրանցման հետ կապված ընթացակարգեր) իրականացնելու կարգը, որոնք իրենց մեջ ներառում են՝</w:t>
      </w:r>
    </w:p>
    <w:p w14:paraId="22581F54"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Միության անդամ պետություններում (այսուհետ՝ անդամ պետություններ) մինչ</w:t>
      </w:r>
      <w:r w:rsidR="00C54D75">
        <w:rPr>
          <w:rFonts w:ascii="Sylfaen" w:hAnsi="Sylfaen"/>
          <w:sz w:val="24"/>
          <w:szCs w:val="24"/>
        </w:rPr>
        <w:t>և</w:t>
      </w:r>
      <w:r w:rsidRPr="00834D52">
        <w:rPr>
          <w:rFonts w:ascii="Sylfaen" w:hAnsi="Sylfaen"/>
          <w:sz w:val="24"/>
          <w:szCs w:val="24"/>
        </w:rPr>
        <w:t xml:space="preserve"> «Եվրասիական տնտեսական միության շրջանակներում դեղամիջոցների շրջանառության միասնական սկզբունքերի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համաձայնագիրը (այսուհետ՝ Համաձայնագիր)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31-ը գրանցված դեղապատրաստուկի գրանցման դոսյեի համապատասխանեցում սույն Կանոններին (այսուհետ՝ համապատասխանեցում Միության պահանջներին).</w:t>
      </w:r>
    </w:p>
    <w:p w14:paraId="29B68D7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դեղապատրաստուկների գրանցման կասեցում </w:t>
      </w:r>
      <w:r w:rsidR="00C54D75">
        <w:rPr>
          <w:rFonts w:ascii="Sylfaen" w:hAnsi="Sylfaen"/>
          <w:sz w:val="24"/>
          <w:szCs w:val="24"/>
        </w:rPr>
        <w:t>և</w:t>
      </w:r>
      <w:r w:rsidRPr="00834D52">
        <w:rPr>
          <w:rFonts w:ascii="Sylfaen" w:hAnsi="Sylfaen"/>
          <w:sz w:val="24"/>
          <w:szCs w:val="24"/>
        </w:rPr>
        <w:t xml:space="preserve"> դադարեցում կամ դեղապատրաստուկի կիրառման սահմանափակում.</w:t>
      </w:r>
    </w:p>
    <w:p w14:paraId="5B5CFD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գրանցման հավաստագրի կրկնօրինակների տրամադրում:</w:t>
      </w:r>
    </w:p>
    <w:p w14:paraId="196941A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Սույն Կանոնների պահանջները տարածվում են դեղամիջոցները մշակողների </w:t>
      </w:r>
      <w:r w:rsidR="00C54D75">
        <w:rPr>
          <w:rFonts w:ascii="Sylfaen" w:hAnsi="Sylfaen"/>
          <w:sz w:val="24"/>
          <w:szCs w:val="24"/>
        </w:rPr>
        <w:t>և</w:t>
      </w:r>
      <w:r w:rsidRPr="00834D52">
        <w:rPr>
          <w:rFonts w:ascii="Sylfaen" w:hAnsi="Sylfaen"/>
          <w:sz w:val="24"/>
          <w:szCs w:val="24"/>
        </w:rPr>
        <w:t xml:space="preserve"> արտադրողների, դեղապատրաստուկների գրանցման հավաստագրերի իրավատերերի </w:t>
      </w:r>
      <w:r w:rsidR="00C54D75">
        <w:rPr>
          <w:rFonts w:ascii="Sylfaen" w:hAnsi="Sylfaen"/>
          <w:sz w:val="24"/>
          <w:szCs w:val="24"/>
        </w:rPr>
        <w:t>և</w:t>
      </w:r>
      <w:r w:rsidRPr="00834D52">
        <w:rPr>
          <w:rFonts w:ascii="Sylfaen" w:hAnsi="Sylfaen"/>
          <w:sz w:val="24"/>
          <w:szCs w:val="24"/>
        </w:rPr>
        <w:t xml:space="preserve"> նրանց վստահված անձանց, անդամ պետությունների՝ դեղամիջոցների շրջանառության ոլորտում լիազորված մարմինների (փորձագիտական կազմակերպությունների) վրա:</w:t>
      </w:r>
    </w:p>
    <w:p w14:paraId="76084DC6"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Սույն Կանոնների պահանջները չեն կիրառվում հետ</w:t>
      </w:r>
      <w:r w:rsidR="00C54D75">
        <w:rPr>
          <w:rFonts w:ascii="Sylfaen" w:hAnsi="Sylfaen"/>
          <w:sz w:val="24"/>
          <w:szCs w:val="24"/>
        </w:rPr>
        <w:t>և</w:t>
      </w:r>
      <w:r w:rsidRPr="00834D52">
        <w:rPr>
          <w:rFonts w:ascii="Sylfaen" w:hAnsi="Sylfaen"/>
          <w:sz w:val="24"/>
          <w:szCs w:val="24"/>
        </w:rPr>
        <w:t>յալի նկատմամբ՝</w:t>
      </w:r>
    </w:p>
    <w:p w14:paraId="379CA84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դեղապատրաստուկներ, որոնք նախատեսված են ռազմական գործողությունների, արտակարգ իրավիճակների պայմաններում կիրառման համար, քիմիական, կենսաբանական, ճառագայթային գործոնների ազդեցության արդյունքում առաջացած հիվանդությունների </w:t>
      </w:r>
      <w:r w:rsidR="00C54D75">
        <w:rPr>
          <w:rFonts w:ascii="Sylfaen" w:hAnsi="Sylfaen"/>
          <w:sz w:val="24"/>
          <w:szCs w:val="24"/>
        </w:rPr>
        <w:t>և</w:t>
      </w:r>
      <w:r w:rsidRPr="00834D52">
        <w:rPr>
          <w:rFonts w:ascii="Sylfaen" w:hAnsi="Sylfaen"/>
          <w:sz w:val="24"/>
          <w:szCs w:val="24"/>
        </w:rPr>
        <w:t xml:space="preserve"> ախտահարումների կանխարգելման </w:t>
      </w:r>
      <w:r w:rsidR="00C54D75">
        <w:rPr>
          <w:rFonts w:ascii="Sylfaen" w:hAnsi="Sylfaen"/>
          <w:sz w:val="24"/>
          <w:szCs w:val="24"/>
        </w:rPr>
        <w:t>և</w:t>
      </w:r>
      <w:r w:rsidRPr="00834D52">
        <w:rPr>
          <w:rFonts w:ascii="Sylfaen" w:hAnsi="Sylfaen"/>
          <w:sz w:val="24"/>
          <w:szCs w:val="24"/>
        </w:rPr>
        <w:t xml:space="preserve"> բուժման համար, մշակվել են անդամ պետությունների՝ անվտանգության </w:t>
      </w:r>
      <w:r w:rsidR="00C54D75">
        <w:rPr>
          <w:rFonts w:ascii="Sylfaen" w:hAnsi="Sylfaen"/>
          <w:sz w:val="24"/>
          <w:szCs w:val="24"/>
        </w:rPr>
        <w:t>և</w:t>
      </w:r>
      <w:r w:rsidRPr="00834D52">
        <w:rPr>
          <w:rFonts w:ascii="Sylfaen" w:hAnsi="Sylfaen"/>
          <w:sz w:val="24"/>
          <w:szCs w:val="24"/>
        </w:rPr>
        <w:t xml:space="preserve"> պաշտպանության բնագավառում լիազորված պետական իշխանության մարմինների հանձնարարությամբ, </w:t>
      </w:r>
      <w:r w:rsidR="00C54D75">
        <w:rPr>
          <w:rFonts w:ascii="Sylfaen" w:hAnsi="Sylfaen"/>
          <w:sz w:val="24"/>
          <w:szCs w:val="24"/>
        </w:rPr>
        <w:t>և</w:t>
      </w:r>
      <w:r w:rsidRPr="00834D52">
        <w:rPr>
          <w:rFonts w:ascii="Sylfaen" w:hAnsi="Sylfaen"/>
          <w:sz w:val="24"/>
          <w:szCs w:val="24"/>
        </w:rPr>
        <w:t xml:space="preserve"> որոնց շրջանառությունը կարգավորվում է անդամ պետությունների օրենսդրությամբ.</w:t>
      </w:r>
    </w:p>
    <w:p w14:paraId="0FF095A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անասնաբուժական դեղապատրաստուկներ, որոնց շրջանառությունը կարգավորվում է Միության իրավունքի մաս կազմող այլ ակտերով:</w:t>
      </w:r>
    </w:p>
    <w:p w14:paraId="1BAA8DD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Սույն Կանոններին համապատասխան՝ գրանցման ենթակա են Միության շրջանակներում դեղամիջոցների ընդհանուր շուկայում կամ անդամ պետություններից մեկի տարածքում շրջանառության համար նախատեսված դեղապատրաստուկները:</w:t>
      </w:r>
    </w:p>
    <w:p w14:paraId="791097AB"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Միության շրջանակներում գրանցման ենթակա չեն՝</w:t>
      </w:r>
    </w:p>
    <w:p w14:paraId="0C977329"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դեղատներում պատրաստված դեղապատրաստուկները.</w:t>
      </w:r>
    </w:p>
    <w:p w14:paraId="29299F13" w14:textId="77777777" w:rsidR="006F76EB" w:rsidRPr="00834D52" w:rsidRDefault="006F76EB" w:rsidP="006F76EB">
      <w:pPr>
        <w:tabs>
          <w:tab w:val="left" w:pos="1134"/>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դեղագործական սուբստանցիաները.</w:t>
      </w:r>
    </w:p>
    <w:p w14:paraId="3CC851B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00DC43E8">
        <w:rPr>
          <w:rFonts w:ascii="Sylfaen" w:hAnsi="Sylfaen"/>
          <w:sz w:val="24"/>
          <w:szCs w:val="24"/>
        </w:rPr>
        <w:t>)</w:t>
      </w:r>
      <w:r w:rsidR="00DC43E8" w:rsidRPr="00DC43E8">
        <w:rPr>
          <w:rFonts w:ascii="Sylfaen" w:hAnsi="Sylfaen"/>
          <w:sz w:val="24"/>
          <w:szCs w:val="24"/>
        </w:rPr>
        <w:tab/>
      </w: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համար նախատեսված դեղապատրաստուկները.</w:t>
      </w:r>
    </w:p>
    <w:p w14:paraId="6BF329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ֆիզիկական անձանց կողմից անձնական օգտագործման համար ներմուծված դեղամիջոցները.</w:t>
      </w:r>
    </w:p>
    <w:p w14:paraId="6A9B4FA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լիազորված մարմինների կողմից սահմանված կարգով անմիջապես բժշկական կազմակերպություններում պատրաստված ռադիոդեղագործական դեղապատրաստուկները.</w:t>
      </w:r>
    </w:p>
    <w:p w14:paraId="634B46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Միության մաքսային տարածքում իրացման համար չնախատեսված դեղապատրաստուկները.</w:t>
      </w:r>
    </w:p>
    <w:p w14:paraId="59E73854" w14:textId="77777777" w:rsidR="006F76EB" w:rsidRPr="00E3366C"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է)</w:t>
      </w:r>
      <w:r w:rsidRPr="00834D52">
        <w:rPr>
          <w:rFonts w:ascii="Sylfaen" w:hAnsi="Sylfaen"/>
          <w:sz w:val="24"/>
          <w:szCs w:val="24"/>
        </w:rPr>
        <w:tab/>
        <w:t xml:space="preserve">գրանցման համար նախատեսված դեղապատրաստուկների նմուշները </w:t>
      </w:r>
      <w:r w:rsidR="00C54D75">
        <w:rPr>
          <w:rFonts w:ascii="Sylfaen" w:hAnsi="Sylfaen"/>
          <w:sz w:val="24"/>
          <w:szCs w:val="24"/>
        </w:rPr>
        <w:t>և</w:t>
      </w:r>
      <w:r w:rsidRPr="00834D52">
        <w:rPr>
          <w:rFonts w:ascii="Sylfaen" w:hAnsi="Sylfaen"/>
          <w:sz w:val="24"/>
          <w:szCs w:val="24"/>
        </w:rPr>
        <w:t xml:space="preserve"> ստանդարտ նմուշները</w:t>
      </w:r>
      <w:r w:rsidR="00E90FAF" w:rsidRPr="00E90FAF">
        <w:rPr>
          <w:rFonts w:ascii="Sylfaen" w:hAnsi="Sylfaen"/>
          <w:sz w:val="24"/>
          <w:szCs w:val="24"/>
        </w:rPr>
        <w:t>.</w:t>
      </w:r>
    </w:p>
    <w:p w14:paraId="1668C7E8" w14:textId="77777777" w:rsidR="003B3D9A" w:rsidRPr="00E3366C" w:rsidRDefault="003B3D9A" w:rsidP="006F76EB">
      <w:pPr>
        <w:tabs>
          <w:tab w:val="left" w:pos="1134"/>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ը</w:t>
      </w:r>
      <w:r w:rsidR="00E90FAF" w:rsidRPr="00E90FAF">
        <w:rPr>
          <w:rFonts w:ascii="Sylfaen" w:hAnsi="Sylfaen"/>
          <w:sz w:val="24"/>
          <w:szCs w:val="24"/>
        </w:rPr>
        <w:t>)</w:t>
      </w:r>
      <w:r w:rsidR="002056E6" w:rsidRPr="00F06D43">
        <w:rPr>
          <w:rFonts w:ascii="Sylfaen" w:hAnsi="Sylfaen"/>
          <w:sz w:val="24"/>
          <w:szCs w:val="24"/>
        </w:rPr>
        <w:tab/>
      </w:r>
      <w:r w:rsidR="00E3366C">
        <w:rPr>
          <w:rFonts w:ascii="Sylfaen" w:hAnsi="Sylfaen"/>
          <w:sz w:val="24"/>
          <w:szCs w:val="24"/>
        </w:rPr>
        <w:t>որպես ցուցանմուշ կիրառման համար նախատեսված դեղապատրաստո</w:t>
      </w:r>
      <w:r w:rsidR="00C95283">
        <w:rPr>
          <w:rFonts w:ascii="Sylfaen" w:hAnsi="Sylfaen"/>
          <w:sz w:val="24"/>
          <w:szCs w:val="24"/>
        </w:rPr>
        <w:t>ւ</w:t>
      </w:r>
      <w:r w:rsidR="00E3366C">
        <w:rPr>
          <w:rFonts w:ascii="Sylfaen" w:hAnsi="Sylfaen"/>
          <w:sz w:val="24"/>
          <w:szCs w:val="24"/>
        </w:rPr>
        <w:t>կները:</w:t>
      </w:r>
    </w:p>
    <w:p w14:paraId="4CC9DD82" w14:textId="77777777" w:rsidR="006F76EB" w:rsidRPr="00E73242" w:rsidRDefault="006F76EB" w:rsidP="006F76EB">
      <w:pPr>
        <w:tabs>
          <w:tab w:val="left" w:pos="1134"/>
        </w:tabs>
        <w:spacing w:after="160" w:line="384" w:lineRule="auto"/>
        <w:ind w:right="-6" w:firstLine="567"/>
        <w:jc w:val="both"/>
        <w:rPr>
          <w:rFonts w:ascii="Sylfaen" w:eastAsia="Times New Roman" w:hAnsi="Sylfaen" w:cs="Times New Roman"/>
          <w:spacing w:val="-4"/>
          <w:sz w:val="24"/>
          <w:szCs w:val="24"/>
        </w:rPr>
      </w:pPr>
      <w:r w:rsidRPr="00E73242">
        <w:rPr>
          <w:rFonts w:ascii="Sylfaen" w:hAnsi="Sylfaen"/>
          <w:spacing w:val="-4"/>
          <w:sz w:val="24"/>
          <w:szCs w:val="24"/>
        </w:rPr>
        <w:t>6.</w:t>
      </w:r>
      <w:r w:rsidRPr="00E73242">
        <w:rPr>
          <w:rFonts w:ascii="Sylfaen" w:hAnsi="Sylfaen"/>
          <w:spacing w:val="-4"/>
          <w:sz w:val="24"/>
          <w:szCs w:val="24"/>
        </w:rPr>
        <w:tab/>
        <w:t xml:space="preserve">Դեղապատրաստուկը բոլոր կամ մի քանի անդամ պետությունների տարածքներում անդամ պետությունների օրենսդրությանը համապատասխան «որբ» ճանաչվելու դեպքում այդ դեղապատրաստուկի գրանցումն իրականացվում է սույն Կանոնների V </w:t>
      </w:r>
      <w:r w:rsidR="00C54D75">
        <w:rPr>
          <w:rFonts w:ascii="Sylfaen" w:hAnsi="Sylfaen"/>
          <w:spacing w:val="-4"/>
          <w:sz w:val="24"/>
          <w:szCs w:val="24"/>
        </w:rPr>
        <w:t>և</w:t>
      </w:r>
      <w:r w:rsidRPr="00E73242">
        <w:rPr>
          <w:rFonts w:ascii="Sylfaen" w:hAnsi="Sylfaen"/>
          <w:spacing w:val="-4"/>
          <w:sz w:val="24"/>
          <w:szCs w:val="24"/>
        </w:rPr>
        <w:t xml:space="preserve"> VII բաժիններին կամ VI </w:t>
      </w:r>
      <w:r w:rsidR="00C54D75">
        <w:rPr>
          <w:rFonts w:ascii="Sylfaen" w:hAnsi="Sylfaen"/>
          <w:spacing w:val="-4"/>
          <w:sz w:val="24"/>
          <w:szCs w:val="24"/>
        </w:rPr>
        <w:t>և</w:t>
      </w:r>
      <w:r w:rsidRPr="00E73242">
        <w:rPr>
          <w:rFonts w:ascii="Sylfaen" w:hAnsi="Sylfaen"/>
          <w:spacing w:val="-4"/>
          <w:sz w:val="24"/>
          <w:szCs w:val="24"/>
        </w:rPr>
        <w:t xml:space="preserve"> VII բաժիններին համապատասխան, ինչպես նա</w:t>
      </w:r>
      <w:r w:rsidR="00C54D75">
        <w:rPr>
          <w:rFonts w:ascii="Sylfaen" w:hAnsi="Sylfaen"/>
          <w:spacing w:val="-4"/>
          <w:sz w:val="24"/>
          <w:szCs w:val="24"/>
        </w:rPr>
        <w:t>և</w:t>
      </w:r>
      <w:r w:rsidRPr="00E73242">
        <w:rPr>
          <w:rFonts w:ascii="Sylfaen" w:hAnsi="Sylfaen"/>
          <w:spacing w:val="-4"/>
          <w:sz w:val="24"/>
          <w:szCs w:val="24"/>
        </w:rPr>
        <w:t xml:space="preserve"> սույն Կանոնների թիվ 1 հավելվածի III մասի 16-րդ բաժնի պահանջներին համապատասխան:</w:t>
      </w:r>
    </w:p>
    <w:p w14:paraId="77438FF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որ</w:t>
      </w:r>
      <w:r w:rsidR="00C54D75">
        <w:rPr>
          <w:rFonts w:ascii="Sylfaen" w:hAnsi="Sylfaen"/>
          <w:sz w:val="24"/>
          <w:szCs w:val="24"/>
        </w:rPr>
        <w:t>և</w:t>
      </w:r>
      <w:r w:rsidRPr="00834D52">
        <w:rPr>
          <w:rFonts w:ascii="Sylfaen" w:hAnsi="Sylfaen"/>
          <w:sz w:val="24"/>
          <w:szCs w:val="24"/>
        </w:rPr>
        <w:t xml:space="preserve">է անդամ պետության տարածքում այդ պետության օրենսդրությանը համապատասխան «որբ» չճանաչվելու դեպքում այդ դեղապատրաստուկի գրանցումն իրականացվում է այդ պետությունում սույն Կանոնների V բաժնի I ենթաբաժնի </w:t>
      </w:r>
      <w:r w:rsidR="00C54D75">
        <w:rPr>
          <w:rFonts w:ascii="Sylfaen" w:hAnsi="Sylfaen"/>
          <w:sz w:val="24"/>
          <w:szCs w:val="24"/>
        </w:rPr>
        <w:t>և</w:t>
      </w:r>
      <w:r w:rsidRPr="00834D52">
        <w:rPr>
          <w:rFonts w:ascii="Sylfaen" w:hAnsi="Sylfaen"/>
          <w:sz w:val="24"/>
          <w:szCs w:val="24"/>
        </w:rPr>
        <w:t xml:space="preserve"> սույն Կանոնների թիվ 1 հավելվածի պահանջներին համապատասխան:</w:t>
      </w:r>
    </w:p>
    <w:p w14:paraId="75F75C2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w:t>
      </w:r>
      <w:r w:rsidRPr="00834D52">
        <w:rPr>
          <w:rFonts w:ascii="Sylfaen" w:hAnsi="Sylfaen"/>
          <w:sz w:val="24"/>
          <w:szCs w:val="24"/>
        </w:rPr>
        <w:tab/>
        <w:t>Արգելվում է ազդող նյութերի տարբեր որակական բաղադրություն ունեցող դեղապատրաստուկների գրանցումը մի</w:t>
      </w:r>
      <w:r w:rsidR="00C54D75">
        <w:rPr>
          <w:rFonts w:ascii="Sylfaen" w:hAnsi="Sylfaen"/>
          <w:sz w:val="24"/>
          <w:szCs w:val="24"/>
        </w:rPr>
        <w:t>և</w:t>
      </w:r>
      <w:r w:rsidRPr="00834D52">
        <w:rPr>
          <w:rFonts w:ascii="Sylfaen" w:hAnsi="Sylfaen"/>
          <w:sz w:val="24"/>
          <w:szCs w:val="24"/>
        </w:rPr>
        <w:t>նույն առ</w:t>
      </w:r>
      <w:r w:rsidR="00C54D75">
        <w:rPr>
          <w:rFonts w:ascii="Sylfaen" w:hAnsi="Sylfaen"/>
          <w:sz w:val="24"/>
          <w:szCs w:val="24"/>
        </w:rPr>
        <w:t>և</w:t>
      </w:r>
      <w:r w:rsidRPr="00834D52">
        <w:rPr>
          <w:rFonts w:ascii="Sylfaen" w:hAnsi="Sylfaen"/>
          <w:sz w:val="24"/>
          <w:szCs w:val="24"/>
        </w:rPr>
        <w:t>տրային անվան տակ:</w:t>
      </w:r>
    </w:p>
    <w:p w14:paraId="2D9771E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w:t>
      </w:r>
      <w:r w:rsidRPr="00834D52">
        <w:rPr>
          <w:rFonts w:ascii="Sylfaen" w:hAnsi="Sylfaen"/>
          <w:sz w:val="24"/>
          <w:szCs w:val="24"/>
        </w:rPr>
        <w:tab/>
        <w:t>Տարբեր առ</w:t>
      </w:r>
      <w:r w:rsidR="00C54D75">
        <w:rPr>
          <w:rFonts w:ascii="Sylfaen" w:hAnsi="Sylfaen"/>
          <w:sz w:val="24"/>
          <w:szCs w:val="24"/>
        </w:rPr>
        <w:t>և</w:t>
      </w:r>
      <w:r w:rsidRPr="00834D52">
        <w:rPr>
          <w:rFonts w:ascii="Sylfaen" w:hAnsi="Sylfaen"/>
          <w:sz w:val="24"/>
          <w:szCs w:val="24"/>
        </w:rPr>
        <w:t>տրային անվանումներով մի</w:t>
      </w:r>
      <w:r w:rsidR="00C54D75">
        <w:rPr>
          <w:rFonts w:ascii="Sylfaen" w:hAnsi="Sylfaen"/>
          <w:sz w:val="24"/>
          <w:szCs w:val="24"/>
        </w:rPr>
        <w:t>և</w:t>
      </w:r>
      <w:r w:rsidRPr="00834D52">
        <w:rPr>
          <w:rFonts w:ascii="Sylfaen" w:hAnsi="Sylfaen"/>
          <w:sz w:val="24"/>
          <w:szCs w:val="24"/>
        </w:rPr>
        <w:t>նույն դեղապատրաստուկի գրանցումը տարբեր անդամ պետություններում թույլատրվում է հետ</w:t>
      </w:r>
      <w:r w:rsidR="00C54D75">
        <w:rPr>
          <w:rFonts w:ascii="Sylfaen" w:hAnsi="Sylfaen"/>
          <w:sz w:val="24"/>
          <w:szCs w:val="24"/>
        </w:rPr>
        <w:t>և</w:t>
      </w:r>
      <w:r w:rsidRPr="00834D52">
        <w:rPr>
          <w:rFonts w:ascii="Sylfaen" w:hAnsi="Sylfaen"/>
          <w:sz w:val="24"/>
          <w:szCs w:val="24"/>
        </w:rPr>
        <w:t>յալ դեպքերում՝</w:t>
      </w:r>
    </w:p>
    <w:p w14:paraId="25FA73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առաջարկվող առ</w:t>
      </w:r>
      <w:r w:rsidR="00C54D75">
        <w:rPr>
          <w:rFonts w:ascii="Sylfaen" w:hAnsi="Sylfaen"/>
          <w:sz w:val="24"/>
          <w:szCs w:val="24"/>
        </w:rPr>
        <w:t>և</w:t>
      </w:r>
      <w:r w:rsidRPr="00834D52">
        <w:rPr>
          <w:rFonts w:ascii="Sylfaen" w:hAnsi="Sylfaen"/>
          <w:sz w:val="24"/>
          <w:szCs w:val="24"/>
        </w:rPr>
        <w:t xml:space="preserve">տրային անվանման օգտագործումը կարող է հակասել իրավունքի </w:t>
      </w:r>
      <w:r w:rsidR="00C54D75">
        <w:rPr>
          <w:rFonts w:ascii="Sylfaen" w:hAnsi="Sylfaen"/>
          <w:sz w:val="24"/>
          <w:szCs w:val="24"/>
        </w:rPr>
        <w:t>և</w:t>
      </w:r>
      <w:r w:rsidRPr="00834D52">
        <w:rPr>
          <w:rFonts w:ascii="Sylfaen" w:hAnsi="Sylfaen"/>
          <w:sz w:val="24"/>
          <w:szCs w:val="24"/>
        </w:rPr>
        <w:t xml:space="preserve"> բարոյականության նորմերին կամ այլ կերպ անտեսել ազգային մշակութային </w:t>
      </w:r>
      <w:r w:rsidR="00C54D75">
        <w:rPr>
          <w:rFonts w:ascii="Sylfaen" w:hAnsi="Sylfaen"/>
          <w:sz w:val="24"/>
          <w:szCs w:val="24"/>
        </w:rPr>
        <w:t>և</w:t>
      </w:r>
      <w:r w:rsidRPr="00834D52">
        <w:rPr>
          <w:rFonts w:ascii="Sylfaen" w:hAnsi="Sylfaen"/>
          <w:sz w:val="24"/>
          <w:szCs w:val="24"/>
        </w:rPr>
        <w:t xml:space="preserve"> (կամ) լեզվական առանձնահատկությունները.</w:t>
      </w:r>
    </w:p>
    <w:p w14:paraId="1432BBDC" w14:textId="53071128"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ապրանքային նշանի տեսքով առ</w:t>
      </w:r>
      <w:r w:rsidR="00C54D75">
        <w:rPr>
          <w:rFonts w:ascii="Sylfaen" w:hAnsi="Sylfaen"/>
          <w:sz w:val="24"/>
          <w:szCs w:val="24"/>
        </w:rPr>
        <w:t>և</w:t>
      </w:r>
      <w:r w:rsidRPr="00834D52">
        <w:rPr>
          <w:rFonts w:ascii="Sylfaen" w:hAnsi="Sylfaen"/>
          <w:sz w:val="24"/>
          <w:szCs w:val="24"/>
        </w:rPr>
        <w:t xml:space="preserve">տրային անվանման նկատմամբ մտավոր սեփականության իրավունքները պատկանում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ներկայացրած անձից (այսուհետ՝ </w:t>
      </w:r>
      <w:r w:rsidR="0056496B">
        <w:rPr>
          <w:rFonts w:ascii="Sylfaen" w:hAnsi="Sylfaen"/>
          <w:sz w:val="24"/>
          <w:szCs w:val="24"/>
        </w:rPr>
        <w:t>դիմումատու</w:t>
      </w:r>
      <w:r w:rsidRPr="00834D52">
        <w:rPr>
          <w:rFonts w:ascii="Sylfaen" w:hAnsi="Sylfaen"/>
          <w:sz w:val="24"/>
          <w:szCs w:val="24"/>
        </w:rPr>
        <w:t xml:space="preserve">) կամ գրանցման հավաստագրի իրավատիրոջից տարբեր անձի,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ն կամ գրանցման հավաստագրի իրավատերը չի կարող ներկայացնել համապատասխան լիցենզային պայմանագիր՝ ապրանքային նշանի օգտագործման իրավունք տրամադրելու մասին.</w:t>
      </w:r>
    </w:p>
    <w:p w14:paraId="795DAEA0" w14:textId="6993FF7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գ)</w:t>
      </w:r>
      <w:r w:rsidR="002056E6" w:rsidRPr="00F06D43">
        <w:rPr>
          <w:rFonts w:ascii="Sylfaen" w:hAnsi="Sylfaen"/>
          <w:sz w:val="24"/>
          <w:szCs w:val="24"/>
        </w:rPr>
        <w:tab/>
      </w: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դեղապատրաստուկը, անդամ պետությունների օրենսդրությանը համապատասխան, գրանցված է եղել տարբեր առ</w:t>
      </w:r>
      <w:r w:rsidR="00C54D75">
        <w:rPr>
          <w:rFonts w:ascii="Sylfaen" w:hAnsi="Sylfaen"/>
          <w:sz w:val="24"/>
          <w:szCs w:val="24"/>
        </w:rPr>
        <w:t>և</w:t>
      </w:r>
      <w:r w:rsidRPr="00834D52">
        <w:rPr>
          <w:rFonts w:ascii="Sylfaen" w:hAnsi="Sylfaen"/>
          <w:sz w:val="24"/>
          <w:szCs w:val="24"/>
        </w:rPr>
        <w:t xml:space="preserve">տրային անվանումների ներքո: </w:t>
      </w:r>
    </w:p>
    <w:p w14:paraId="6DBD8CD7" w14:textId="70175757" w:rsidR="00F57CF6" w:rsidRPr="006F28F9" w:rsidRDefault="00F57CF6" w:rsidP="00F57CF6">
      <w:pPr>
        <w:rPr>
          <w:b/>
          <w:bCs/>
          <w:i/>
          <w:iCs/>
        </w:rPr>
      </w:pPr>
      <w:r w:rsidRPr="00CD4709">
        <w:rPr>
          <w:b/>
          <w:bCs/>
          <w:i/>
          <w:iCs/>
        </w:rPr>
        <w:t>(</w:t>
      </w:r>
      <w:r>
        <w:rPr>
          <w:b/>
          <w:bCs/>
          <w:i/>
          <w:iCs/>
        </w:rPr>
        <w:t xml:space="preserve">8-րդ կետը </w:t>
      </w:r>
      <w:r w:rsidRPr="00CD4709">
        <w:rPr>
          <w:b/>
          <w:bCs/>
          <w:i/>
          <w:iCs/>
        </w:rPr>
        <w:t>փոփ. 30.01.20 թիվ 9)</w:t>
      </w:r>
    </w:p>
    <w:p w14:paraId="1A0129D0"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w:t>
      </w:r>
      <w:r w:rsidRPr="00834D52">
        <w:rPr>
          <w:rFonts w:ascii="Sylfaen" w:hAnsi="Sylfaen"/>
          <w:sz w:val="24"/>
          <w:szCs w:val="24"/>
        </w:rPr>
        <w:tab/>
        <w:t>Դեղապատրաստուկի գրանցումը, գրանցման հաստատումը (վերագրանցումը), գրանցման դոսյեում փոփոխությունների կատարումը,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իրականացվում են լիազորված մարմինների կողմից:</w:t>
      </w:r>
    </w:p>
    <w:p w14:paraId="39ADC37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Դեղապատրաստուկի փորձաքննությունն իրականացվում է անդամ պետության օրենսդրությանը համապատասխան սահմանված փորձագիտական կազմակերպության կողմից:</w:t>
      </w:r>
    </w:p>
    <w:p w14:paraId="5A2F8657"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Լիազորված մարմինները </w:t>
      </w:r>
      <w:r w:rsidR="00C54D75">
        <w:rPr>
          <w:rFonts w:ascii="Sylfaen" w:hAnsi="Sylfaen"/>
          <w:sz w:val="24"/>
          <w:szCs w:val="24"/>
        </w:rPr>
        <w:t>և</w:t>
      </w:r>
      <w:r w:rsidRPr="00834D52">
        <w:rPr>
          <w:rFonts w:ascii="Sylfaen" w:hAnsi="Sylfaen"/>
          <w:sz w:val="24"/>
          <w:szCs w:val="24"/>
        </w:rPr>
        <w:t xml:space="preserve"> փորձագիտական կազմակերպությունները </w:t>
      </w:r>
      <w:r w:rsidRPr="00834D52">
        <w:rPr>
          <w:rFonts w:ascii="Sylfaen" w:hAnsi="Sylfaen"/>
          <w:sz w:val="24"/>
          <w:szCs w:val="24"/>
        </w:rPr>
        <w:lastRenderedPageBreak/>
        <w:t xml:space="preserve">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իրականացման ընթացքում ապահովում են դեղապատրաստուկի գրանցման դոսյեում պարունակվող տեղեկատվության գաղտնիությունը՝ ներառյալ ակտիվ դեղագործական սուբստանցիայի մաստեր-ֆայլի փակ մասում պարունակվող տեղեկատվությունը: </w:t>
      </w:r>
    </w:p>
    <w:p w14:paraId="6C418B9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հանձնաժողովը (այսուհետ՝ Հանձնաժողով) </w:t>
      </w:r>
      <w:r w:rsidR="00C54D75">
        <w:rPr>
          <w:rFonts w:ascii="Sylfaen" w:hAnsi="Sylfaen"/>
          <w:sz w:val="24"/>
          <w:szCs w:val="24"/>
        </w:rPr>
        <w:t>և</w:t>
      </w:r>
      <w:r w:rsidRPr="00834D52">
        <w:rPr>
          <w:rFonts w:ascii="Sylfaen" w:hAnsi="Sylfaen"/>
          <w:sz w:val="24"/>
          <w:szCs w:val="24"/>
        </w:rPr>
        <w:t xml:space="preserve"> Դեղամիջոցների հարցերով փորձագիտական կոմիտեն (այսուհետ՝ Փորձագիտական կոմիտե) ապահովում են իրենց գործունեության ընթացքում ստացված՝ դեղապատրաստուկի գրանցման դոսյեում պարունակվող տեղեկատվության գաղտնիությունը:</w:t>
      </w:r>
    </w:p>
    <w:p w14:paraId="29955E2D" w14:textId="4A7E9380"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անդամ պետության օրենսդրությանը համապատասխան, կրում է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Pr="00834D52">
        <w:rPr>
          <w:rFonts w:ascii="Sylfaen" w:hAnsi="Sylfaen"/>
          <w:sz w:val="24"/>
          <w:szCs w:val="24"/>
        </w:rPr>
        <w:t xml:space="preserve"> փորձաքննության, գրանցման հետ կապված ընթացակարգերի իրականացման ծախսերը, ինչպես նա</w:t>
      </w:r>
      <w:r w:rsidR="00C54D75">
        <w:rPr>
          <w:rFonts w:ascii="Sylfaen" w:hAnsi="Sylfaen"/>
          <w:sz w:val="24"/>
          <w:szCs w:val="24"/>
        </w:rPr>
        <w:t>և</w:t>
      </w:r>
      <w:r w:rsidRPr="00834D52">
        <w:rPr>
          <w:rFonts w:ascii="Sylfaen" w:hAnsi="Sylfaen"/>
          <w:sz w:val="24"/>
          <w:szCs w:val="24"/>
        </w:rPr>
        <w:t xml:space="preserve"> պատշաճ դեղագործական գործունեության պահանջներին համապատասխանությունը որոշելու նպատակով նշված ընթացակարգերի իրականացման առնչությամբ նախաձեռնվող տեսչական ստուգումների անցկացման ծախսերը:</w:t>
      </w:r>
    </w:p>
    <w:p w14:paraId="74ED68BE" w14:textId="1A2684CC" w:rsidR="00F57CF6" w:rsidRPr="006F28F9" w:rsidRDefault="00F57CF6" w:rsidP="00F57CF6">
      <w:pPr>
        <w:rPr>
          <w:b/>
          <w:bCs/>
          <w:i/>
          <w:iCs/>
        </w:rPr>
      </w:pPr>
      <w:r w:rsidRPr="00CD4709">
        <w:rPr>
          <w:b/>
          <w:bCs/>
          <w:i/>
          <w:iCs/>
        </w:rPr>
        <w:t>(</w:t>
      </w:r>
      <w:r>
        <w:rPr>
          <w:b/>
          <w:bCs/>
          <w:i/>
          <w:iCs/>
        </w:rPr>
        <w:t xml:space="preserve">12-րդ կետը </w:t>
      </w:r>
      <w:r w:rsidRPr="00CD4709">
        <w:rPr>
          <w:b/>
          <w:bCs/>
          <w:i/>
          <w:iCs/>
        </w:rPr>
        <w:t>փոփ. 30.01.20 թիվ 9)</w:t>
      </w:r>
    </w:p>
    <w:p w14:paraId="624AA5E8" w14:textId="52C13F4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w:t>
      </w:r>
      <w:r w:rsidRPr="00834D52">
        <w:rPr>
          <w:rFonts w:ascii="Sylfaen" w:hAnsi="Sylfaen"/>
          <w:sz w:val="24"/>
          <w:szCs w:val="24"/>
        </w:rPr>
        <w:tab/>
        <w:t xml:space="preserve">Սույն Կանոնների 12-րդ կետում նշված ծախսերը </w:t>
      </w:r>
      <w:r w:rsidR="0056496B">
        <w:rPr>
          <w:rFonts w:ascii="Sylfaen" w:hAnsi="Sylfaen"/>
          <w:sz w:val="24"/>
          <w:szCs w:val="24"/>
        </w:rPr>
        <w:t>դիմումատու</w:t>
      </w:r>
      <w:r w:rsidRPr="00834D52">
        <w:rPr>
          <w:rFonts w:ascii="Sylfaen" w:hAnsi="Sylfaen"/>
          <w:sz w:val="24"/>
          <w:szCs w:val="24"/>
        </w:rPr>
        <w:t>ին չեն վերադարձվում:</w:t>
      </w:r>
    </w:p>
    <w:p w14:paraId="5AA57755" w14:textId="3780E0FE" w:rsidR="00F57CF6" w:rsidRPr="006F28F9" w:rsidRDefault="00F57CF6" w:rsidP="00F57CF6">
      <w:pPr>
        <w:rPr>
          <w:b/>
          <w:bCs/>
          <w:i/>
          <w:iCs/>
        </w:rPr>
      </w:pPr>
      <w:r w:rsidRPr="00CD4709">
        <w:rPr>
          <w:b/>
          <w:bCs/>
          <w:i/>
          <w:iCs/>
        </w:rPr>
        <w:t>(</w:t>
      </w:r>
      <w:r>
        <w:rPr>
          <w:b/>
          <w:bCs/>
          <w:i/>
          <w:iCs/>
        </w:rPr>
        <w:t xml:space="preserve">13-րդ կետը </w:t>
      </w:r>
      <w:r w:rsidRPr="00CD4709">
        <w:rPr>
          <w:b/>
          <w:bCs/>
          <w:i/>
          <w:iCs/>
        </w:rPr>
        <w:t>փոփ. 30.01.20 թիվ 9)</w:t>
      </w:r>
    </w:p>
    <w:p w14:paraId="64CBB302" w14:textId="6644305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14.</w:t>
      </w:r>
      <w:r w:rsidRPr="00834D52">
        <w:rPr>
          <w:rFonts w:ascii="Sylfaen" w:hAnsi="Sylfaen"/>
          <w:sz w:val="24"/>
          <w:szCs w:val="24"/>
        </w:rPr>
        <w:tab/>
      </w:r>
      <w:r w:rsidR="00E87C1C">
        <w:rPr>
          <w:rFonts w:ascii="Sylfaen" w:hAnsi="Sylfaen"/>
          <w:color w:val="000000"/>
          <w:sz w:val="24"/>
          <w:szCs w:val="24"/>
        </w:rPr>
        <w:t>Ռեֆերենտ</w:t>
      </w:r>
      <w:r w:rsidRPr="00834D52">
        <w:rPr>
          <w:rFonts w:ascii="Sylfaen" w:hAnsi="Sylfaen"/>
          <w:sz w:val="24"/>
          <w:szCs w:val="24"/>
        </w:rPr>
        <w:t xml:space="preserve"> պետության լիազորված մարմինը (փորձագիտական կազմակերպությունը) գրանցման </w:t>
      </w:r>
      <w:r w:rsidR="0056496B">
        <w:rPr>
          <w:rFonts w:ascii="Sylfaen" w:hAnsi="Sylfaen"/>
          <w:sz w:val="24"/>
          <w:szCs w:val="24"/>
        </w:rPr>
        <w:t>դիմում</w:t>
      </w:r>
      <w:r w:rsidRPr="00834D52">
        <w:rPr>
          <w:rFonts w:ascii="Sylfaen" w:hAnsi="Sylfaen"/>
          <w:sz w:val="24"/>
          <w:szCs w:val="24"/>
        </w:rPr>
        <w:t xml:space="preserve">ը ստանալիս, գրանցումը հաստատելիս (վերագրանցելիս), գրանցման դոսյեում փոփոխություններ կատարելիս </w:t>
      </w:r>
      <w:r w:rsidR="00C54D75">
        <w:rPr>
          <w:rFonts w:ascii="Sylfaen" w:hAnsi="Sylfaen"/>
          <w:sz w:val="24"/>
          <w:szCs w:val="24"/>
        </w:rPr>
        <w:t>և</w:t>
      </w:r>
      <w:r w:rsidRPr="00834D52">
        <w:rPr>
          <w:rFonts w:ascii="Sylfaen" w:hAnsi="Sylfaen"/>
          <w:sz w:val="24"/>
          <w:szCs w:val="24"/>
        </w:rPr>
        <w:t xml:space="preserve"> գրանցման հետ կապված ընթացակարգերն իրականացնելիս դրան տալիս է Միության ինտեգրված տեղեկատվական համակարգի (այսուհետ՝ ինտեգրված համակարգ) օգտագործմամբ ձ</w:t>
      </w:r>
      <w:r w:rsidR="00C54D75">
        <w:rPr>
          <w:rFonts w:ascii="Sylfaen" w:hAnsi="Sylfaen"/>
          <w:sz w:val="24"/>
          <w:szCs w:val="24"/>
        </w:rPr>
        <w:t>և</w:t>
      </w:r>
      <w:r w:rsidRPr="00834D52">
        <w:rPr>
          <w:rFonts w:ascii="Sylfaen" w:hAnsi="Sylfaen"/>
          <w:sz w:val="24"/>
          <w:szCs w:val="24"/>
        </w:rPr>
        <w:t xml:space="preserve">ավորվող եզակի համար </w:t>
      </w:r>
      <w:r w:rsidR="00C54D75">
        <w:rPr>
          <w:rFonts w:ascii="Sylfaen" w:hAnsi="Sylfaen"/>
          <w:sz w:val="24"/>
          <w:szCs w:val="24"/>
        </w:rPr>
        <w:t>և</w:t>
      </w:r>
      <w:r w:rsidRPr="00834D52">
        <w:rPr>
          <w:rFonts w:ascii="Sylfaen" w:hAnsi="Sylfaen"/>
          <w:sz w:val="24"/>
          <w:szCs w:val="24"/>
        </w:rPr>
        <w:t xml:space="preserve"> այն </w:t>
      </w:r>
      <w:r w:rsidR="00F57CF6">
        <w:rPr>
          <w:rFonts w:ascii="Sylfaen" w:hAnsi="Sylfaen"/>
          <w:sz w:val="24"/>
          <w:szCs w:val="24"/>
        </w:rPr>
        <w:t>հայտ</w:t>
      </w:r>
      <w:r w:rsidRPr="00834D52">
        <w:rPr>
          <w:rFonts w:ascii="Sylfaen" w:hAnsi="Sylfaen"/>
          <w:sz w:val="24"/>
          <w:szCs w:val="24"/>
        </w:rPr>
        <w:t xml:space="preserve">նում է </w:t>
      </w:r>
      <w:r w:rsidR="0056496B">
        <w:rPr>
          <w:rFonts w:ascii="Sylfaen" w:hAnsi="Sylfaen"/>
          <w:sz w:val="24"/>
          <w:szCs w:val="24"/>
        </w:rPr>
        <w:lastRenderedPageBreak/>
        <w:t>դիմումատու</w:t>
      </w:r>
      <w:r w:rsidRPr="00834D52">
        <w:rPr>
          <w:rFonts w:ascii="Sylfaen" w:hAnsi="Sylfaen"/>
          <w:sz w:val="24"/>
          <w:szCs w:val="24"/>
        </w:rPr>
        <w:t>ին:</w:t>
      </w:r>
    </w:p>
    <w:p w14:paraId="60FF38B2" w14:textId="73AEE8AF" w:rsidR="00F57CF6" w:rsidRPr="006F28F9" w:rsidRDefault="00F57CF6" w:rsidP="00F57CF6">
      <w:pPr>
        <w:rPr>
          <w:b/>
          <w:bCs/>
          <w:i/>
          <w:iCs/>
        </w:rPr>
      </w:pPr>
      <w:r w:rsidRPr="00CD4709">
        <w:rPr>
          <w:b/>
          <w:bCs/>
          <w:i/>
          <w:iCs/>
        </w:rPr>
        <w:t>(</w:t>
      </w:r>
      <w:r>
        <w:rPr>
          <w:b/>
          <w:bCs/>
          <w:i/>
          <w:iCs/>
        </w:rPr>
        <w:t xml:space="preserve">14-րդ կետը </w:t>
      </w:r>
      <w:r w:rsidRPr="00CD4709">
        <w:rPr>
          <w:b/>
          <w:bCs/>
          <w:i/>
          <w:iCs/>
        </w:rPr>
        <w:t>փոփ. 30.01.20 թիվ 9)</w:t>
      </w:r>
    </w:p>
    <w:p w14:paraId="759F4BFC" w14:textId="3797609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Անդամ պետության լիազորված մարմինը (փորձագիտական կազմակերպությունը) գրանցելու, գրանցումը հաստատելու (վերագրանցելու), գրանցման դոսյեում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գրանցման հետ կապված ընթացակարգեր իրականացնելու վերաբերյալ </w:t>
      </w:r>
      <w:r w:rsidR="0056496B">
        <w:rPr>
          <w:rFonts w:ascii="Sylfaen" w:hAnsi="Sylfaen"/>
          <w:sz w:val="24"/>
          <w:szCs w:val="24"/>
        </w:rPr>
        <w:t>դիմում</w:t>
      </w:r>
      <w:r w:rsidRPr="00834D52">
        <w:rPr>
          <w:rFonts w:ascii="Sylfaen" w:hAnsi="Sylfaen"/>
          <w:sz w:val="24"/>
          <w:szCs w:val="24"/>
        </w:rPr>
        <w:t>ի համարով ինտեգրված համակարգի օգտագործմամբ տեղեկատվություն է ներկայացնում այլ անդամ պետությունների լիազորված մարմիններին (փորձագիտական կազմակերպություններին), ինչպես նա</w:t>
      </w:r>
      <w:r w:rsidR="00C54D75">
        <w:rPr>
          <w:rFonts w:ascii="Sylfaen" w:hAnsi="Sylfaen"/>
          <w:sz w:val="24"/>
          <w:szCs w:val="24"/>
        </w:rPr>
        <w:t>և</w:t>
      </w:r>
      <w:r w:rsidRPr="00834D52">
        <w:rPr>
          <w:rFonts w:ascii="Sylfaen" w:hAnsi="Sylfaen"/>
          <w:sz w:val="24"/>
          <w:szCs w:val="24"/>
        </w:rPr>
        <w:t xml:space="preserve"> Հանձնաժողովին՝ Գրանցված դեղամիջոցների միասնական ռեեստրի (այսուհետ՝ միասնական ռեեստր)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7B32F0D7" w14:textId="4310758B" w:rsidR="006F76EB" w:rsidRDefault="00771BAF" w:rsidP="006F76EB">
      <w:pPr>
        <w:tabs>
          <w:tab w:val="left" w:pos="1134"/>
        </w:tabs>
        <w:spacing w:after="160" w:line="360" w:lineRule="auto"/>
        <w:ind w:right="-8" w:firstLine="567"/>
        <w:jc w:val="both"/>
        <w:rPr>
          <w:rFonts w:ascii="Sylfaen" w:hAnsi="Sylfaen"/>
          <w:sz w:val="24"/>
          <w:szCs w:val="24"/>
        </w:rPr>
      </w:pPr>
      <w:r>
        <w:rPr>
          <w:rFonts w:ascii="Sylfaen" w:hAnsi="Sylfaen"/>
          <w:sz w:val="24"/>
          <w:szCs w:val="24"/>
        </w:rPr>
        <w:t>Ռ</w:t>
      </w:r>
      <w:r>
        <w:rPr>
          <w:rFonts w:ascii="Sylfaen" w:hAnsi="Sylfaen"/>
          <w:color w:val="000000"/>
          <w:sz w:val="24"/>
          <w:szCs w:val="24"/>
        </w:rPr>
        <w:t>եֆերենտ</w:t>
      </w:r>
      <w:r w:rsidRPr="00834D52">
        <w:rPr>
          <w:rFonts w:ascii="Sylfaen" w:hAnsi="Sylfaen"/>
          <w:sz w:val="24"/>
          <w:szCs w:val="24"/>
        </w:rPr>
        <w:t xml:space="preserve"> </w:t>
      </w:r>
      <w:r w:rsidR="006F76EB" w:rsidRPr="00834D52">
        <w:rPr>
          <w:rFonts w:ascii="Sylfaen" w:hAnsi="Sylfaen"/>
          <w:sz w:val="24"/>
          <w:szCs w:val="24"/>
        </w:rPr>
        <w:t xml:space="preserve">պետության լիազորված մարմինը (փորձագիտական կազմակերպությունը) ոչ ուշ, քան </w:t>
      </w:r>
      <w:r w:rsidR="0056496B">
        <w:rPr>
          <w:rFonts w:ascii="Sylfaen" w:hAnsi="Sylfaen"/>
          <w:sz w:val="24"/>
          <w:szCs w:val="24"/>
        </w:rPr>
        <w:t>դիմումատու</w:t>
      </w:r>
      <w:r w:rsidR="006F76EB" w:rsidRPr="00834D52">
        <w:rPr>
          <w:rFonts w:ascii="Sylfaen" w:hAnsi="Sylfaen"/>
          <w:sz w:val="24"/>
          <w:szCs w:val="24"/>
        </w:rPr>
        <w:t xml:space="preserve">ի կողմից գրանցման դոսյեն էլեկտրոնային տեսքով ներկայացնելու օրվանից 5 աշխատանքային օրվա ընթացքում, ճանաչման պետությունների լիազորված մարմինների հարցման հիման վրա, ապահովում է գրանցման դոսյեի տեղեկությունների հասանելիությունը՝ ինտեգրված համակարգի միջոցների օգտագործման միջոցով: </w:t>
      </w:r>
    </w:p>
    <w:p w14:paraId="697A20F2" w14:textId="564BA5B8" w:rsidR="00017124" w:rsidRPr="006F28F9" w:rsidRDefault="00017124" w:rsidP="00017124">
      <w:pPr>
        <w:rPr>
          <w:b/>
          <w:bCs/>
          <w:i/>
          <w:iCs/>
        </w:rPr>
      </w:pPr>
      <w:r w:rsidRPr="00CD4709">
        <w:rPr>
          <w:b/>
          <w:bCs/>
          <w:i/>
          <w:iCs/>
        </w:rPr>
        <w:t>(</w:t>
      </w:r>
      <w:r>
        <w:rPr>
          <w:b/>
          <w:bCs/>
          <w:i/>
          <w:iCs/>
        </w:rPr>
        <w:t xml:space="preserve">15-րդ կետը </w:t>
      </w:r>
      <w:r w:rsidRPr="00CD4709">
        <w:rPr>
          <w:b/>
          <w:bCs/>
          <w:i/>
          <w:iCs/>
        </w:rPr>
        <w:t>փոփ. 30.01.20 թիվ 9)</w:t>
      </w:r>
    </w:p>
    <w:p w14:paraId="6C4E5054"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Դեղապատրաստուկի գրանցման արդյունքների հիման վրա՝ դեղապատրաստուկը գրանցած յուրաքանչյուր անդամ պետության լիազորված մարմինը տրամադրում է դեղապատրաստուկի գրանցման հավաստագիր, որով հաստատվում է դրա գրանցման փաստը:</w:t>
      </w:r>
    </w:p>
    <w:p w14:paraId="136C99D5" w14:textId="77777777" w:rsidR="006F76EB" w:rsidRPr="00834D52" w:rsidRDefault="006F76EB" w:rsidP="00642D79">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w:t>
      </w:r>
      <w:r w:rsidRPr="00834D52">
        <w:rPr>
          <w:rFonts w:ascii="Sylfaen" w:hAnsi="Sylfaen"/>
          <w:spacing w:val="-4"/>
          <w:sz w:val="24"/>
          <w:szCs w:val="24"/>
        </w:rPr>
        <w:tab/>
        <w:t>Դեղապատրաստուկի գրանցման հավաստագիր տրվում է դեղապատրաստուկը գրանցած լիազորված մարմնի կողմից միասնական ձ</w:t>
      </w:r>
      <w:r w:rsidR="00C54D75">
        <w:rPr>
          <w:rFonts w:ascii="Sylfaen" w:hAnsi="Sylfaen"/>
          <w:spacing w:val="-4"/>
          <w:sz w:val="24"/>
          <w:szCs w:val="24"/>
        </w:rPr>
        <w:t>և</w:t>
      </w:r>
      <w:r w:rsidRPr="00834D52">
        <w:rPr>
          <w:rFonts w:ascii="Sylfaen" w:hAnsi="Sylfaen"/>
          <w:spacing w:val="-4"/>
          <w:sz w:val="24"/>
          <w:szCs w:val="24"/>
        </w:rPr>
        <w:t xml:space="preserve">ով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դեղապատրաստուկի գրանցման հավաստագիրը լրացնելու կանոններին համապաստասխան՝ համաձայն սույն Կանոնների թիվ 17 հավելվածի:</w:t>
      </w:r>
    </w:p>
    <w:p w14:paraId="485648D6" w14:textId="2F216746" w:rsidR="006F76EB" w:rsidRDefault="006F76EB" w:rsidP="00642D7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Դեղապատրաստուկի գրանցման հավաստագրի կորստի կամ վնասվելու </w:t>
      </w:r>
      <w:r w:rsidRPr="00834D52">
        <w:rPr>
          <w:rFonts w:ascii="Sylfaen" w:hAnsi="Sylfaen"/>
          <w:sz w:val="24"/>
          <w:szCs w:val="24"/>
        </w:rPr>
        <w:lastRenderedPageBreak/>
        <w:t>դեպքում գրանցման հավաստագրի իրավատիրոջ՝ դեղապատրաստուկի գրանցման հավաստագրի կրկնօրինակ տրամադրելու վերաբերյալ դիմումի հիման վրա այդ գրանցման հավաստագիրը տրամադրած լիազորված մարմինը տրամադրում է սույն Կանոնների թիվ 17 հավելվածի համաձայն լրացման կանոններին համապատասխան ձ</w:t>
      </w:r>
      <w:r w:rsidR="00C54D75">
        <w:rPr>
          <w:rFonts w:ascii="Sylfaen" w:hAnsi="Sylfaen"/>
          <w:sz w:val="24"/>
          <w:szCs w:val="24"/>
        </w:rPr>
        <w:t>և</w:t>
      </w:r>
      <w:r w:rsidRPr="00834D52">
        <w:rPr>
          <w:rFonts w:ascii="Sylfaen" w:hAnsi="Sylfaen"/>
          <w:sz w:val="24"/>
          <w:szCs w:val="24"/>
        </w:rPr>
        <w:t xml:space="preserve">ակերպված դրա կրկնօրինակը: </w:t>
      </w:r>
    </w:p>
    <w:p w14:paraId="2F83C3B2" w14:textId="68059E5F" w:rsidR="00017124" w:rsidRPr="006F28F9" w:rsidRDefault="00017124" w:rsidP="00017124">
      <w:pPr>
        <w:rPr>
          <w:b/>
          <w:bCs/>
          <w:i/>
          <w:iCs/>
        </w:rPr>
      </w:pPr>
      <w:r w:rsidRPr="00CD4709">
        <w:rPr>
          <w:b/>
          <w:bCs/>
          <w:i/>
          <w:iCs/>
        </w:rPr>
        <w:t>(</w:t>
      </w:r>
      <w:r>
        <w:rPr>
          <w:b/>
          <w:bCs/>
          <w:i/>
          <w:iCs/>
        </w:rPr>
        <w:t xml:space="preserve">17-րդ կետը </w:t>
      </w:r>
      <w:r w:rsidRPr="00CD4709">
        <w:rPr>
          <w:b/>
          <w:bCs/>
          <w:i/>
          <w:iCs/>
        </w:rPr>
        <w:t>փոփ. 30.01.20 թիվ 9)</w:t>
      </w:r>
    </w:p>
    <w:p w14:paraId="3135060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Առաջին անգամ գրանցվող դեղապատրաստուկի գրանցման հավաստագրի գործողության ժամկետը </w:t>
      </w:r>
      <w:r w:rsidR="00434A26">
        <w:rPr>
          <w:rFonts w:ascii="Sylfaen" w:hAnsi="Sylfaen"/>
          <w:color w:val="000000"/>
          <w:sz w:val="24"/>
          <w:szCs w:val="24"/>
        </w:rPr>
        <w:t>ռեֆերենտ</w:t>
      </w:r>
      <w:r w:rsidRPr="00834D52">
        <w:rPr>
          <w:rFonts w:ascii="Sylfaen" w:hAnsi="Sylfaen"/>
          <w:sz w:val="24"/>
          <w:szCs w:val="24"/>
        </w:rPr>
        <w:t xml:space="preserve"> պետությունում կազմում է 5</w:t>
      </w:r>
      <w:r w:rsidR="00C27DC3" w:rsidRPr="00C27DC3">
        <w:rPr>
          <w:rFonts w:ascii="Sylfaen" w:hAnsi="Sylfaen"/>
          <w:sz w:val="24"/>
          <w:szCs w:val="24"/>
        </w:rPr>
        <w:t> </w:t>
      </w:r>
      <w:r w:rsidRPr="00834D52">
        <w:rPr>
          <w:rFonts w:ascii="Sylfaen" w:hAnsi="Sylfaen"/>
          <w:sz w:val="24"/>
          <w:szCs w:val="24"/>
        </w:rPr>
        <w:t>տարի: Նշված ժամկետը լրանալուց հետո տրվում է դեղապատրաստուկի անժամկետ գրանցման հավաստագիր՝ դրա գրանցումը հաստատելու (վերագրանցելու) պայմանով: Սույն Կանոնների VII բաժնում նշված դեպքերում, ինչպես նա</w:t>
      </w:r>
      <w:r w:rsidR="00C54D75">
        <w:rPr>
          <w:rFonts w:ascii="Sylfaen" w:hAnsi="Sylfaen"/>
          <w:sz w:val="24"/>
          <w:szCs w:val="24"/>
        </w:rPr>
        <w:t>և</w:t>
      </w:r>
      <w:r w:rsidRPr="00834D52">
        <w:rPr>
          <w:rFonts w:ascii="Sylfaen" w:hAnsi="Sylfaen"/>
          <w:sz w:val="24"/>
          <w:szCs w:val="24"/>
        </w:rPr>
        <w:t xml:space="preserve"> դեղազգոնության հարցերի հետ կապված դեպքերում լիազորված մարմինը կարող է գրանցումը հաստատելու (վերագրանցելու) արդյունքների հիման վրա կրկին տրամադրել գրանցման հավաստագիր՝ 5 տարի գործողության ժամկետով:</w:t>
      </w:r>
    </w:p>
    <w:p w14:paraId="5A34C43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Մինչ</w:t>
      </w:r>
      <w:r w:rsidR="00C54D75">
        <w:rPr>
          <w:rFonts w:ascii="Sylfaen" w:hAnsi="Sylfaen"/>
          <w:sz w:val="24"/>
          <w:szCs w:val="24"/>
        </w:rPr>
        <w:t>և</w:t>
      </w:r>
      <w:r w:rsidRPr="00834D52">
        <w:rPr>
          <w:rFonts w:ascii="Sylfaen" w:hAnsi="Sylfaen"/>
          <w:sz w:val="24"/>
          <w:szCs w:val="24"/>
        </w:rPr>
        <w:t xml:space="preserve"> 2020 թվականի դեկտեմբերի 31-ը անդամ պետությունների օրենսդրությանը համապատասխան գրանցված </w:t>
      </w:r>
      <w:r w:rsidR="00C54D75">
        <w:rPr>
          <w:rFonts w:ascii="Sylfaen" w:hAnsi="Sylfaen"/>
          <w:sz w:val="24"/>
          <w:szCs w:val="24"/>
        </w:rPr>
        <w:t>և</w:t>
      </w:r>
      <w:r w:rsidRPr="00834D52">
        <w:rPr>
          <w:rFonts w:ascii="Sylfaen" w:hAnsi="Sylfaen"/>
          <w:sz w:val="24"/>
          <w:szCs w:val="24"/>
        </w:rPr>
        <w:t xml:space="preserve"> առնվազն 3 անդամ պետությունների շուկաներում 5 տարի </w:t>
      </w:r>
      <w:r w:rsidR="00C54D75">
        <w:rPr>
          <w:rFonts w:ascii="Sylfaen" w:hAnsi="Sylfaen"/>
          <w:sz w:val="24"/>
          <w:szCs w:val="24"/>
        </w:rPr>
        <w:t>և</w:t>
      </w:r>
      <w:r w:rsidRPr="00834D52">
        <w:rPr>
          <w:rFonts w:ascii="Sylfaen" w:hAnsi="Sylfaen"/>
          <w:sz w:val="24"/>
          <w:szCs w:val="24"/>
        </w:rPr>
        <w:t xml:space="preserve"> ավելի շրջանառվող դեղապատրաստուկի գրանցման հավաստագիրը տրվում է անսահմանափակ ժամկետով՝ Միության պահանջներին համապատասխանեցման ընթացակարգի շրջանակներում՝ սույն Կանոնների XIII բաժնի համաձայն:</w:t>
      </w:r>
    </w:p>
    <w:p w14:paraId="35580FA7" w14:textId="77777777" w:rsidR="006F76EB" w:rsidRPr="00834D52" w:rsidRDefault="006F76EB" w:rsidP="00642D79">
      <w:pPr>
        <w:tabs>
          <w:tab w:val="left" w:pos="1134"/>
        </w:tabs>
        <w:spacing w:after="160" w:line="240" w:lineRule="auto"/>
        <w:ind w:right="-6" w:firstLine="567"/>
        <w:rPr>
          <w:rFonts w:ascii="Sylfaen" w:hAnsi="Sylfaen"/>
          <w:sz w:val="24"/>
          <w:szCs w:val="24"/>
        </w:rPr>
      </w:pPr>
    </w:p>
    <w:p w14:paraId="0E5D50D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II. Սահմանումները</w:t>
      </w:r>
    </w:p>
    <w:p w14:paraId="2CF1F8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Սույն Կանոնների նպատակներով գործածվում են հասկացություններ, որոնք ունեն հետ</w:t>
      </w:r>
      <w:r w:rsidR="00C54D75">
        <w:rPr>
          <w:rFonts w:ascii="Sylfaen" w:hAnsi="Sylfaen"/>
          <w:sz w:val="24"/>
          <w:szCs w:val="24"/>
        </w:rPr>
        <w:t>և</w:t>
      </w:r>
      <w:r w:rsidRPr="00834D52">
        <w:rPr>
          <w:rFonts w:ascii="Sylfaen" w:hAnsi="Sylfaen"/>
          <w:sz w:val="24"/>
          <w:szCs w:val="24"/>
        </w:rPr>
        <w:t>յալ իմաստը՝</w:t>
      </w:r>
    </w:p>
    <w:p w14:paraId="59D933E1" w14:textId="5EDF4B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ալերգեն՝</w:t>
      </w:r>
      <w:r w:rsidRPr="00834D52">
        <w:rPr>
          <w:rFonts w:ascii="Sylfaen" w:hAnsi="Sylfaen"/>
          <w:sz w:val="24"/>
          <w:szCs w:val="24"/>
        </w:rPr>
        <w:t xml:space="preserve"> ցանկացած դեղապատրաստուկ, որը նախատեսված է ալերգիա առաջացնող նյութի նկատմամբ իմունաբանական ռեակցիայի՝ ձեռքբերովի </w:t>
      </w:r>
      <w:r w:rsidRPr="00834D52">
        <w:rPr>
          <w:rFonts w:ascii="Sylfaen" w:hAnsi="Sylfaen"/>
          <w:sz w:val="24"/>
          <w:szCs w:val="24"/>
        </w:rPr>
        <w:lastRenderedPageBreak/>
        <w:t xml:space="preserve">սպեցիֆիկ փոփոխություն </w:t>
      </w:r>
      <w:r w:rsidR="00017124">
        <w:rPr>
          <w:rFonts w:ascii="Sylfaen" w:hAnsi="Sylfaen"/>
          <w:sz w:val="24"/>
          <w:szCs w:val="24"/>
        </w:rPr>
        <w:t>հայտ</w:t>
      </w:r>
      <w:r w:rsidRPr="00834D52">
        <w:rPr>
          <w:rFonts w:ascii="Sylfaen" w:hAnsi="Sylfaen"/>
          <w:sz w:val="24"/>
          <w:szCs w:val="24"/>
        </w:rPr>
        <w:t>նաբերելու կամ առաջացնելու համար.</w:t>
      </w:r>
    </w:p>
    <w:p w14:paraId="7CA825D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642D79">
        <w:rPr>
          <w:rFonts w:ascii="Sylfaen" w:hAnsi="Sylfaen"/>
          <w:sz w:val="24"/>
          <w:szCs w:val="24"/>
        </w:rPr>
        <w:t>դեղապատրաստուկի անվտանգություն (</w:t>
      </w:r>
      <w:r w:rsidR="00E90FAF" w:rsidRPr="00642D79">
        <w:rPr>
          <w:rFonts w:ascii="Sylfaen" w:hAnsi="Sylfaen"/>
          <w:sz w:val="24"/>
          <w:szCs w:val="24"/>
        </w:rPr>
        <w:t>«</w:t>
      </w:r>
      <w:r w:rsidRPr="00642D79">
        <w:rPr>
          <w:rFonts w:ascii="Sylfaen" w:hAnsi="Sylfaen"/>
          <w:sz w:val="24"/>
          <w:szCs w:val="24"/>
        </w:rPr>
        <w:t>օգուտ-ռիսկ հարաբերակցություն</w:t>
      </w:r>
      <w:r w:rsidR="00E90FAF" w:rsidRPr="00642D79">
        <w:rPr>
          <w:rFonts w:ascii="Sylfaen" w:hAnsi="Sylfaen"/>
          <w:sz w:val="24"/>
          <w:szCs w:val="24"/>
        </w:rPr>
        <w:t>»</w:t>
      </w:r>
      <w:r w:rsidRPr="00642D79">
        <w:rPr>
          <w:rFonts w:ascii="Sylfaen" w:hAnsi="Sylfaen"/>
          <w:sz w:val="24"/>
          <w:szCs w:val="24"/>
        </w:rPr>
        <w:t xml:space="preserve">)՝ </w:t>
      </w:r>
      <w:r w:rsidRPr="00834D52">
        <w:rPr>
          <w:rFonts w:ascii="Sylfaen" w:hAnsi="Sylfaen"/>
          <w:sz w:val="24"/>
          <w:szCs w:val="24"/>
        </w:rPr>
        <w:t>դեղապատրաստուկի դրական թերապ</w:t>
      </w:r>
      <w:r w:rsidR="00C54D75">
        <w:rPr>
          <w:rFonts w:ascii="Sylfaen" w:hAnsi="Sylfaen"/>
          <w:sz w:val="24"/>
          <w:szCs w:val="24"/>
        </w:rPr>
        <w:t>և</w:t>
      </w:r>
      <w:r w:rsidRPr="00834D52">
        <w:rPr>
          <w:rFonts w:ascii="Sylfaen" w:hAnsi="Sylfaen"/>
          <w:sz w:val="24"/>
          <w:szCs w:val="24"/>
        </w:rPr>
        <w:t>տիկ էֆեկտների գնահատում դրա կիրառման հետ կապված ռիսկերի համեմատությամբ (ռիսկի հասկացությունն իր մեջ ներառում է դեղապատրաստուկի որակի, անվտանգության կամ արդյունավետության հետ կապված ցանկացած ռիսկ՝ պացիենտի կամ բնակչության առողջության համար).</w:t>
      </w:r>
    </w:p>
    <w:p w14:paraId="59C0808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կենսահամանման դեղապատրաստուկ (կենսանմանակ, կենսանման դեղապատրաստուկ, բիոսիմիլար)՝</w:t>
      </w:r>
      <w:r w:rsidRPr="00834D52">
        <w:rPr>
          <w:rFonts w:ascii="Sylfaen" w:hAnsi="Sylfaen"/>
          <w:sz w:val="24"/>
          <w:szCs w:val="24"/>
        </w:rPr>
        <w:t xml:space="preserve"> կենսաբանական դեղապատրաստուկ, որը պարունակում է գրանցված կենսաբանական օրիգինալ (</w:t>
      </w:r>
      <w:r w:rsidR="009F799D">
        <w:rPr>
          <w:rFonts w:ascii="Sylfaen" w:hAnsi="Sylfaen"/>
          <w:color w:val="000000"/>
          <w:sz w:val="24"/>
          <w:szCs w:val="24"/>
        </w:rPr>
        <w:t>ռեֆերենտ</w:t>
      </w:r>
      <w:r w:rsidRPr="00834D52">
        <w:rPr>
          <w:rFonts w:ascii="Sylfaen" w:hAnsi="Sylfaen"/>
          <w:sz w:val="24"/>
          <w:szCs w:val="24"/>
        </w:rPr>
        <w:t xml:space="preserve">) պատրաստուկի ազդող նյութի տարբերակ, </w:t>
      </w:r>
      <w:r w:rsidR="00C54D75">
        <w:rPr>
          <w:rFonts w:ascii="Sylfaen" w:hAnsi="Sylfaen"/>
          <w:sz w:val="24"/>
          <w:szCs w:val="24"/>
        </w:rPr>
        <w:t>և</w:t>
      </w:r>
      <w:r w:rsidRPr="00834D52">
        <w:rPr>
          <w:rFonts w:ascii="Sylfaen" w:hAnsi="Sylfaen"/>
          <w:sz w:val="24"/>
          <w:szCs w:val="24"/>
        </w:rPr>
        <w:t xml:space="preserve"> որի համար </w:t>
      </w:r>
      <w:r w:rsidR="00015E3D">
        <w:rPr>
          <w:rFonts w:ascii="Sylfaen" w:hAnsi="Sylfaen"/>
          <w:color w:val="000000"/>
          <w:sz w:val="24"/>
          <w:szCs w:val="24"/>
        </w:rPr>
        <w:t>ռեֆերենտ</w:t>
      </w:r>
      <w:r w:rsidRPr="00834D52">
        <w:rPr>
          <w:rFonts w:ascii="Sylfaen" w:hAnsi="Sylfaen"/>
          <w:sz w:val="24"/>
          <w:szCs w:val="24"/>
        </w:rPr>
        <w:t xml:space="preserve"> պատրաստուկով, համեմատական հետազոտությունների հիման վրա, ցույց է տրված նմանությունը (միանմանությունը)՝ ըստ որակի, կենսաբանական ակտիվության,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ցուցանիշների.</w:t>
      </w:r>
    </w:p>
    <w:p w14:paraId="491053C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մատչելիություն (կենսամատչելիություն)՝</w:t>
      </w:r>
      <w:r w:rsidRPr="00834D52">
        <w:rPr>
          <w:rFonts w:ascii="Sylfaen" w:hAnsi="Sylfaen"/>
          <w:sz w:val="24"/>
          <w:szCs w:val="24"/>
        </w:rPr>
        <w:t xml:space="preserve"> արագություն </w:t>
      </w:r>
      <w:r w:rsidR="00C54D75">
        <w:rPr>
          <w:rFonts w:ascii="Sylfaen" w:hAnsi="Sylfaen"/>
          <w:sz w:val="24"/>
          <w:szCs w:val="24"/>
        </w:rPr>
        <w:t>և</w:t>
      </w:r>
      <w:r w:rsidRPr="00834D52">
        <w:rPr>
          <w:rFonts w:ascii="Sylfaen" w:hAnsi="Sylfaen"/>
          <w:sz w:val="24"/>
          <w:szCs w:val="24"/>
        </w:rPr>
        <w:t xml:space="preserve"> աստիճան, որոնցով դոզավորված դեղաձ</w:t>
      </w:r>
      <w:r w:rsidR="00C54D75">
        <w:rPr>
          <w:rFonts w:ascii="Sylfaen" w:hAnsi="Sylfaen"/>
          <w:sz w:val="24"/>
          <w:szCs w:val="24"/>
        </w:rPr>
        <w:t>և</w:t>
      </w:r>
      <w:r w:rsidRPr="00834D52">
        <w:rPr>
          <w:rFonts w:ascii="Sylfaen" w:hAnsi="Sylfaen"/>
          <w:sz w:val="24"/>
          <w:szCs w:val="24"/>
        </w:rPr>
        <w:t xml:space="preserve">ից ազդող նյութը կամ դրա մոլեկուլի ակտիվ մասը ներծծվում է </w:t>
      </w:r>
      <w:r w:rsidR="00C54D75">
        <w:rPr>
          <w:rFonts w:ascii="Sylfaen" w:hAnsi="Sylfaen"/>
          <w:sz w:val="24"/>
          <w:szCs w:val="24"/>
        </w:rPr>
        <w:t>և</w:t>
      </w:r>
      <w:r w:rsidRPr="00834D52">
        <w:rPr>
          <w:rFonts w:ascii="Sylfaen" w:hAnsi="Sylfaen"/>
          <w:sz w:val="24"/>
          <w:szCs w:val="24"/>
        </w:rPr>
        <w:t xml:space="preserve"> դառնում յուրացվելի իր ազդեցության վայրում.</w:t>
      </w:r>
    </w:p>
    <w:p w14:paraId="126BAA4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համարժեքություն (կենսահամարժեքություն)՝</w:t>
      </w:r>
      <w:r w:rsidRPr="00834D52">
        <w:rPr>
          <w:rFonts w:ascii="Sylfaen" w:hAnsi="Sylfaen"/>
          <w:sz w:val="24"/>
          <w:szCs w:val="24"/>
        </w:rPr>
        <w:t xml:space="preserve"> այն արագության </w:t>
      </w:r>
      <w:r w:rsidR="00C54D75">
        <w:rPr>
          <w:rFonts w:ascii="Sylfaen" w:hAnsi="Sylfaen"/>
          <w:sz w:val="24"/>
          <w:szCs w:val="24"/>
        </w:rPr>
        <w:t>և</w:t>
      </w:r>
      <w:r w:rsidRPr="00834D52">
        <w:rPr>
          <w:rFonts w:ascii="Sylfaen" w:hAnsi="Sylfaen"/>
          <w:sz w:val="24"/>
          <w:szCs w:val="24"/>
        </w:rPr>
        <w:t xml:space="preserve"> աստիճանի նշանակալի տարբերությունների բացակայությունը, որոնցով դեղագործական համարժեքների կամ դեղագործական այլընտրանքների ազդող նյութը կամ ազդող նյութի մոլեկուլի ակտիվ մասը դառնում է յուրացվելի իր ազդեցության վայրում պատշաճ բովանդակային պլանով հետազոտությունում մի</w:t>
      </w:r>
      <w:r w:rsidR="00C54D75">
        <w:rPr>
          <w:rFonts w:ascii="Sylfaen" w:hAnsi="Sylfaen"/>
          <w:sz w:val="24"/>
          <w:szCs w:val="24"/>
        </w:rPr>
        <w:t>և</w:t>
      </w:r>
      <w:r w:rsidRPr="00834D52">
        <w:rPr>
          <w:rFonts w:ascii="Sylfaen" w:hAnsi="Sylfaen"/>
          <w:sz w:val="24"/>
          <w:szCs w:val="24"/>
        </w:rPr>
        <w:t>նույն մոլային դեղաչափ միանման պայմաններում ներմուծելու դեպքում.</w:t>
      </w:r>
    </w:p>
    <w:p w14:paraId="476F3D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կենսաբանական դեղապատրաստուկ</w:t>
      </w:r>
      <w:r w:rsidRPr="00834D52">
        <w:rPr>
          <w:rFonts w:ascii="Sylfaen" w:hAnsi="Sylfaen"/>
          <w:sz w:val="24"/>
          <w:szCs w:val="24"/>
        </w:rPr>
        <w:t xml:space="preserve">՝ դեղապատրաստուկ, որի ազդող նյութն արտադրված կամ անջատված է կենսաբանական աղբյուրից </w:t>
      </w:r>
      <w:r w:rsidR="00C54D75">
        <w:rPr>
          <w:rFonts w:ascii="Sylfaen" w:hAnsi="Sylfaen"/>
          <w:sz w:val="24"/>
          <w:szCs w:val="24"/>
        </w:rPr>
        <w:t>և</w:t>
      </w:r>
      <w:r w:rsidRPr="00834D52">
        <w:rPr>
          <w:rFonts w:ascii="Sylfaen" w:hAnsi="Sylfaen"/>
          <w:sz w:val="24"/>
          <w:szCs w:val="24"/>
        </w:rPr>
        <w:t xml:space="preserve"> որի հատկությունների բնութագրման, </w:t>
      </w:r>
      <w:r w:rsidR="00C54D75">
        <w:rPr>
          <w:rFonts w:ascii="Sylfaen" w:hAnsi="Sylfaen"/>
          <w:sz w:val="24"/>
          <w:szCs w:val="24"/>
        </w:rPr>
        <w:t>և</w:t>
      </w:r>
      <w:r w:rsidRPr="00834D52">
        <w:rPr>
          <w:rFonts w:ascii="Sylfaen" w:hAnsi="Sylfaen"/>
          <w:sz w:val="24"/>
          <w:szCs w:val="24"/>
        </w:rPr>
        <w:t xml:space="preserve"> որակի հսկողություն համար անհրաժեշտ է վերլուծության կենսաբանական ու ֆիզիկաքիմիական մեթոդները համադրել 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մեթոդների գնահատման հետ.</w:t>
      </w:r>
    </w:p>
    <w:p w14:paraId="119FF8AB"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lastRenderedPageBreak/>
        <w:t>վերարտադրված դեղապատրաստուկ (գեներիկ)՝</w:t>
      </w:r>
      <w:r w:rsidRPr="00834D52">
        <w:rPr>
          <w:rFonts w:ascii="Sylfaen" w:hAnsi="Sylfaen"/>
          <w:sz w:val="24"/>
          <w:szCs w:val="24"/>
        </w:rPr>
        <w:t xml:space="preserve"> դեղապատրաստուկ, որն ունի ազդող նյութերի նույնպիսի քանակական </w:t>
      </w:r>
      <w:r w:rsidR="00C54D75">
        <w:rPr>
          <w:rFonts w:ascii="Sylfaen" w:hAnsi="Sylfaen"/>
          <w:sz w:val="24"/>
          <w:szCs w:val="24"/>
        </w:rPr>
        <w:t>և</w:t>
      </w:r>
      <w:r w:rsidRPr="00834D52">
        <w:rPr>
          <w:rFonts w:ascii="Sylfaen" w:hAnsi="Sylfaen"/>
          <w:sz w:val="24"/>
          <w:szCs w:val="24"/>
        </w:rPr>
        <w:t xml:space="preserve"> որակական բաղադրություն, </w:t>
      </w:r>
      <w:r w:rsidR="00C54D75">
        <w:rPr>
          <w:rFonts w:ascii="Sylfaen" w:hAnsi="Sylfaen"/>
          <w:sz w:val="24"/>
          <w:szCs w:val="24"/>
        </w:rPr>
        <w:t>և</w:t>
      </w:r>
      <w:r w:rsidRPr="00834D52">
        <w:rPr>
          <w:rFonts w:ascii="Sylfaen" w:hAnsi="Sylfaen"/>
          <w:sz w:val="24"/>
          <w:szCs w:val="24"/>
        </w:rPr>
        <w:t xml:space="preserve"> նույն դեղաձ</w:t>
      </w:r>
      <w:r w:rsidR="00C54D75">
        <w:rPr>
          <w:rFonts w:ascii="Sylfaen" w:hAnsi="Sylfaen"/>
          <w:sz w:val="24"/>
          <w:szCs w:val="24"/>
        </w:rPr>
        <w:t>և</w:t>
      </w:r>
      <w:r w:rsidRPr="00834D52">
        <w:rPr>
          <w:rFonts w:ascii="Sylfaen" w:hAnsi="Sylfaen"/>
          <w:sz w:val="24"/>
          <w:szCs w:val="24"/>
        </w:rPr>
        <w:t xml:space="preserve">ը, ինչպիսին ունի օրիգինալ դեղապատրաստուկը, </w:t>
      </w:r>
      <w:r w:rsidR="00C54D75">
        <w:rPr>
          <w:rFonts w:ascii="Sylfaen" w:hAnsi="Sylfaen"/>
          <w:sz w:val="24"/>
          <w:szCs w:val="24"/>
        </w:rPr>
        <w:t>և</w:t>
      </w:r>
      <w:r w:rsidRPr="00834D52">
        <w:rPr>
          <w:rFonts w:ascii="Sylfaen" w:hAnsi="Sylfaen"/>
          <w:sz w:val="24"/>
          <w:szCs w:val="24"/>
        </w:rPr>
        <w:t xml:space="preserve"> որի կենսահամարժեքությունն օրիգինալ դեղապատրաստուկին հաստատված է կենսամատչելիության համապատասխան հետազոտություններով: Ազդող նյութի տարբեր աղեր, եթերներ, իզոմերներ, իզոմերների խառնուրդներ, կոմպլեքսներ կամ ածանցյալներ համարվում են մի</w:t>
      </w:r>
      <w:r w:rsidR="00C54D75">
        <w:rPr>
          <w:rFonts w:ascii="Sylfaen" w:hAnsi="Sylfaen"/>
          <w:sz w:val="24"/>
          <w:szCs w:val="24"/>
        </w:rPr>
        <w:t>և</w:t>
      </w:r>
      <w:r w:rsidRPr="00834D52">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էականորեն չեն տարբերվում: Արագ ձերբազատմամբ ներքին ընդունման տարբեր դեղաձ</w:t>
      </w:r>
      <w:r w:rsidR="00C54D75">
        <w:rPr>
          <w:rFonts w:ascii="Sylfaen" w:hAnsi="Sylfaen"/>
          <w:sz w:val="24"/>
          <w:szCs w:val="24"/>
        </w:rPr>
        <w:t>և</w:t>
      </w:r>
      <w:r w:rsidRPr="00834D52">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34D52">
        <w:rPr>
          <w:rFonts w:ascii="Sylfaen" w:hAnsi="Sylfaen"/>
          <w:sz w:val="24"/>
          <w:szCs w:val="24"/>
        </w:rPr>
        <w:t>նույն դեղաձ</w:t>
      </w:r>
      <w:r w:rsidR="00C54D75">
        <w:rPr>
          <w:rFonts w:ascii="Sylfaen" w:hAnsi="Sylfaen"/>
          <w:sz w:val="24"/>
          <w:szCs w:val="24"/>
        </w:rPr>
        <w:t>և</w:t>
      </w:r>
      <w:r w:rsidRPr="00834D52">
        <w:rPr>
          <w:rFonts w:ascii="Sylfaen" w:hAnsi="Sylfaen"/>
          <w:sz w:val="24"/>
          <w:szCs w:val="24"/>
        </w:rPr>
        <w:t>ը.</w:t>
      </w:r>
    </w:p>
    <w:p w14:paraId="41136168"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AD2459">
        <w:rPr>
          <w:rFonts w:ascii="Sylfaen" w:hAnsi="Sylfaen"/>
          <w:sz w:val="24"/>
          <w:szCs w:val="24"/>
        </w:rPr>
        <w:t>ռադիոնուկլիդային գեներատոր՝</w:t>
      </w:r>
      <w:r w:rsidRPr="00834D52">
        <w:rPr>
          <w:rFonts w:ascii="Sylfaen" w:hAnsi="Sylfaen"/>
          <w:sz w:val="24"/>
          <w:szCs w:val="24"/>
        </w:rPr>
        <w:t xml:space="preserve"> ցանկացած համակարգ, որը պարունակում է կայուն առաջնային ռադիոնուկլիդ, որից առաջանում են էլյուցիայի կամ այլ եղանակով կորզվող </w:t>
      </w:r>
      <w:r w:rsidR="00C54D75">
        <w:rPr>
          <w:rFonts w:ascii="Sylfaen" w:hAnsi="Sylfaen"/>
          <w:sz w:val="24"/>
          <w:szCs w:val="24"/>
        </w:rPr>
        <w:t>և</w:t>
      </w:r>
      <w:r w:rsidRPr="00834D52">
        <w:rPr>
          <w:rFonts w:ascii="Sylfaen" w:hAnsi="Sylfaen"/>
          <w:sz w:val="24"/>
          <w:szCs w:val="24"/>
        </w:rPr>
        <w:t xml:space="preserve"> ռադիոդեղագործական դեղապատրաստուկում օգտագործվող երկրորդային ռադիոնուկլիդներ.</w:t>
      </w:r>
    </w:p>
    <w:p w14:paraId="1F8CAFD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հիբրիդային դեղապատրաստուկ՝</w:t>
      </w:r>
      <w:r w:rsidRPr="00834D52">
        <w:rPr>
          <w:rFonts w:ascii="Sylfaen" w:hAnsi="Sylfaen"/>
          <w:sz w:val="24"/>
          <w:szCs w:val="24"/>
        </w:rPr>
        <w:t xml:space="preserve"> դեղապատրաստուկ, որը չի</w:t>
      </w:r>
      <w:r w:rsidR="008640BA" w:rsidRPr="00375522">
        <w:rPr>
          <w:rFonts w:ascii="Sylfaen" w:hAnsi="Sylfaen"/>
          <w:sz w:val="24"/>
          <w:szCs w:val="24"/>
        </w:rPr>
        <w:t> </w:t>
      </w:r>
      <w:r w:rsidRPr="00834D52">
        <w:rPr>
          <w:rFonts w:ascii="Sylfaen" w:hAnsi="Sylfaen"/>
          <w:sz w:val="24"/>
          <w:szCs w:val="24"/>
        </w:rPr>
        <w:t>համապատասխանում վերարտադրված դեղապատրաստուկի սահմանմանը կենսամատչելիության հետազոտությունների միջոցով դրա կենսահամարժեքությունը հաստատելու անհնարինության դեպքում, ինչպես նա</w:t>
      </w:r>
      <w:r w:rsidR="00C54D75">
        <w:rPr>
          <w:rFonts w:ascii="Sylfaen" w:hAnsi="Sylfaen"/>
          <w:sz w:val="24"/>
          <w:szCs w:val="24"/>
        </w:rPr>
        <w:t>և</w:t>
      </w:r>
      <w:r w:rsidRPr="00834D52">
        <w:rPr>
          <w:rFonts w:ascii="Sylfaen" w:hAnsi="Sylfaen"/>
          <w:sz w:val="24"/>
          <w:szCs w:val="24"/>
        </w:rPr>
        <w:t xml:space="preserve"> այն դեպքում, երբ տվյալ պատրաստուկում օրիգինալ պատրաստուկի համեմատ տեղի են ունեցել ազդող նյութի (նյութերի), կիրառման ցուցումների, դեղաչափի, դեղաձ</w:t>
      </w:r>
      <w:r w:rsidR="00C54D75">
        <w:rPr>
          <w:rFonts w:ascii="Sylfaen" w:hAnsi="Sylfaen"/>
          <w:sz w:val="24"/>
          <w:szCs w:val="24"/>
        </w:rPr>
        <w:t>և</w:t>
      </w:r>
      <w:r w:rsidRPr="00834D52">
        <w:rPr>
          <w:rFonts w:ascii="Sylfaen" w:hAnsi="Sylfaen"/>
          <w:sz w:val="24"/>
          <w:szCs w:val="24"/>
        </w:rPr>
        <w:t>ի կամ ներմուծման եղանակի փոփոխություններ.</w:t>
      </w:r>
    </w:p>
    <w:p w14:paraId="7342BBD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AD2459">
        <w:rPr>
          <w:rFonts w:ascii="Sylfaen" w:hAnsi="Sylfaen"/>
          <w:sz w:val="24"/>
          <w:szCs w:val="24"/>
        </w:rPr>
        <w:t>հոմեոպաթիկ դեղապատրաստուկ՝</w:t>
      </w:r>
      <w:r w:rsidRPr="00834D52">
        <w:rPr>
          <w:rFonts w:ascii="Sylfaen" w:hAnsi="Sylfaen"/>
          <w:sz w:val="24"/>
          <w:szCs w:val="24"/>
        </w:rPr>
        <w:t xml:space="preserve"> դեղապատրաստուկ, որն արտադրվել է հոմեոպաթիկ տեխնոլոգիայով հոմեոպաթիկ հումքի օգտագործմամբ՝ Միության դեղագրքի պահանջներին համապատասխան, կամ դրանց բացակայության դեպքում՝ հոպեոպաթիկ դեղագրքերի պահանջներին համապատասխան.</w:t>
      </w:r>
    </w:p>
    <w:p w14:paraId="622E4203"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ճանաչման պետություն՝</w:t>
      </w:r>
      <w:r w:rsidRPr="00834D52">
        <w:rPr>
          <w:rFonts w:ascii="Sylfaen" w:hAnsi="Sylfaen"/>
          <w:sz w:val="24"/>
          <w:szCs w:val="24"/>
        </w:rPr>
        <w:t xml:space="preserve"> անդամ պետություն, որում դեղապատրաստուկը գրանցվել է (գրանցվում է) փորձաքննության անցկացմամբ, որն իր մեջ ներառում է </w:t>
      </w:r>
      <w:r w:rsidR="00EA467C">
        <w:rPr>
          <w:rFonts w:ascii="Sylfaen" w:hAnsi="Sylfaen"/>
          <w:color w:val="000000"/>
          <w:sz w:val="24"/>
          <w:szCs w:val="24"/>
        </w:rPr>
        <w:lastRenderedPageBreak/>
        <w:t>ռեֆերենտ</w:t>
      </w:r>
      <w:r w:rsidRPr="00834D52">
        <w:rPr>
          <w:rFonts w:ascii="Sylfaen" w:hAnsi="Sylfaen"/>
          <w:sz w:val="24"/>
          <w:szCs w:val="24"/>
        </w:rPr>
        <w:t xml:space="preserve"> պետության կողմից նախապատրաստված՝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գնահատման մասին փորձագիտական հաշվետվության գնահատում.</w:t>
      </w:r>
    </w:p>
    <w:p w14:paraId="23A74B6D"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AD2459">
        <w:rPr>
          <w:rFonts w:ascii="Sylfaen" w:hAnsi="Sylfaen"/>
          <w:sz w:val="24"/>
          <w:szCs w:val="24"/>
        </w:rPr>
        <w:t>գրանցման հավաստագրի իրավատեր</w:t>
      </w:r>
      <w:r w:rsidRPr="00834D52">
        <w:rPr>
          <w:rFonts w:ascii="Sylfaen" w:hAnsi="Sylfaen"/>
          <w:sz w:val="24"/>
          <w:szCs w:val="24"/>
        </w:rPr>
        <w:t xml:space="preserve">՝ իրավաբանական անձ, որի անունով տրվել է դեղապատրաստուկի գրանցման հավաստագիրը </w:t>
      </w:r>
      <w:r w:rsidR="00C54D75">
        <w:rPr>
          <w:rFonts w:ascii="Sylfaen" w:hAnsi="Sylfaen"/>
          <w:sz w:val="24"/>
          <w:szCs w:val="24"/>
        </w:rPr>
        <w:t>և</w:t>
      </w:r>
      <w:r w:rsidRPr="00834D52">
        <w:rPr>
          <w:rFonts w:ascii="Sylfaen" w:hAnsi="Sylfaen"/>
          <w:sz w:val="24"/>
          <w:szCs w:val="24"/>
        </w:rPr>
        <w:t xml:space="preserve"> որը պատասխանատվություն է կրում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համար.</w:t>
      </w:r>
    </w:p>
    <w:p w14:paraId="6405625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Միության գրանցված դեղամիջոցների միասնական ռեեստր՝</w:t>
      </w:r>
      <w:r w:rsidRPr="00834D52">
        <w:rPr>
          <w:rFonts w:ascii="Sylfaen" w:hAnsi="Sylfaen"/>
          <w:sz w:val="24"/>
          <w:szCs w:val="24"/>
        </w:rPr>
        <w:t xml:space="preserve"> ընդհանուր տեղեկատվական ռեսուրս, որը ձ</w:t>
      </w:r>
      <w:r w:rsidR="00C54D75">
        <w:rPr>
          <w:rFonts w:ascii="Sylfaen" w:hAnsi="Sylfaen"/>
          <w:sz w:val="24"/>
          <w:szCs w:val="24"/>
        </w:rPr>
        <w:t>և</w:t>
      </w:r>
      <w:r w:rsidRPr="00834D52">
        <w:rPr>
          <w:rFonts w:ascii="Sylfaen" w:hAnsi="Sylfaen"/>
          <w:sz w:val="24"/>
          <w:szCs w:val="24"/>
        </w:rPr>
        <w:t xml:space="preserve">ավորվում է ինտեգրված համակարգի շրջանակներում </w:t>
      </w:r>
      <w:r w:rsidR="00C54D75">
        <w:rPr>
          <w:rFonts w:ascii="Sylfaen" w:hAnsi="Sylfaen"/>
          <w:sz w:val="24"/>
          <w:szCs w:val="24"/>
        </w:rPr>
        <w:t>և</w:t>
      </w:r>
      <w:r w:rsidRPr="00834D52">
        <w:rPr>
          <w:rFonts w:ascii="Sylfaen" w:hAnsi="Sylfaen"/>
          <w:sz w:val="24"/>
          <w:szCs w:val="24"/>
        </w:rPr>
        <w:t xml:space="preserve"> պարունակում է տեղեկություններ՝ սույն Կանոններին համապատասխան գրանցված կամ գրանցման հետ կապված այլ ընթացակարգեր անցած դեղամիջոցների մասին.</w:t>
      </w:r>
    </w:p>
    <w:p w14:paraId="3D9BC52E" w14:textId="401DFEC0" w:rsidR="006F76EB" w:rsidRPr="00834D52" w:rsidRDefault="0056496B" w:rsidP="006F76EB">
      <w:pPr>
        <w:tabs>
          <w:tab w:val="left" w:pos="1134"/>
        </w:tabs>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1268BB">
        <w:rPr>
          <w:rFonts w:ascii="Sylfaen" w:hAnsi="Sylfaen"/>
          <w:sz w:val="24"/>
          <w:szCs w:val="24"/>
        </w:rPr>
        <w:t>՝</w:t>
      </w:r>
      <w:r w:rsidR="006F76EB" w:rsidRPr="00834D52">
        <w:rPr>
          <w:rFonts w:ascii="Sylfaen" w:hAnsi="Sylfaen"/>
          <w:sz w:val="24"/>
          <w:szCs w:val="24"/>
        </w:rPr>
        <w:t xml:space="preserve"> իրավաբանական անձ, որն իրավասու է ներկայացնելու դեղապատրաստուկները գրանցելու, գրանցումը հաստատելու (վերագրանցելու), գրանցման դոսյեում փոփոխություններ կատարելու </w:t>
      </w:r>
      <w:r w:rsidR="00C54D75">
        <w:rPr>
          <w:rFonts w:ascii="Sylfaen" w:hAnsi="Sylfaen"/>
          <w:sz w:val="24"/>
          <w:szCs w:val="24"/>
        </w:rPr>
        <w:t>և</w:t>
      </w:r>
      <w:r w:rsidR="006F76EB" w:rsidRPr="00834D52">
        <w:rPr>
          <w:rFonts w:ascii="Sylfaen" w:hAnsi="Sylfaen"/>
          <w:sz w:val="24"/>
          <w:szCs w:val="24"/>
        </w:rPr>
        <w:t xml:space="preserve"> գրանցման հետ կապված այլ ընթացակարգեր իրականացնելու վերաբերյալ </w:t>
      </w:r>
      <w:r>
        <w:rPr>
          <w:rFonts w:ascii="Sylfaen" w:hAnsi="Sylfaen"/>
          <w:sz w:val="24"/>
          <w:szCs w:val="24"/>
        </w:rPr>
        <w:t>դիմում</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պատասխանատվություն է կրում իր ներկայացրած փաստաթղթերում </w:t>
      </w:r>
      <w:r w:rsidR="00C54D75">
        <w:rPr>
          <w:rFonts w:ascii="Sylfaen" w:hAnsi="Sylfaen"/>
          <w:sz w:val="24"/>
          <w:szCs w:val="24"/>
        </w:rPr>
        <w:t>և</w:t>
      </w:r>
      <w:r w:rsidR="006F76EB" w:rsidRPr="00834D52">
        <w:rPr>
          <w:rFonts w:ascii="Sylfaen" w:hAnsi="Sylfaen"/>
          <w:sz w:val="24"/>
          <w:szCs w:val="24"/>
        </w:rPr>
        <w:t xml:space="preserve"> գրանցման դոսյեում պարունակվող տեղեկատվության հավաստիության համար.</w:t>
      </w:r>
    </w:p>
    <w:p w14:paraId="1BE85A6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իմունաբանական դեղապատրաստուկ (իմունակենսաբանական</w:t>
      </w:r>
      <w:r w:rsidRPr="00834D52">
        <w:rPr>
          <w:rFonts w:ascii="Sylfaen" w:hAnsi="Sylfaen"/>
          <w:b/>
          <w:sz w:val="24"/>
          <w:szCs w:val="24"/>
        </w:rPr>
        <w:t xml:space="preserve"> </w:t>
      </w:r>
      <w:r w:rsidRPr="001268BB">
        <w:rPr>
          <w:rFonts w:ascii="Sylfaen" w:hAnsi="Sylfaen"/>
          <w:sz w:val="24"/>
          <w:szCs w:val="24"/>
        </w:rPr>
        <w:t>դեղապատրաստուկ)՝</w:t>
      </w:r>
      <w:r w:rsidRPr="00834D52">
        <w:rPr>
          <w:rFonts w:ascii="Sylfaen" w:hAnsi="Sylfaen"/>
          <w:sz w:val="24"/>
          <w:szCs w:val="24"/>
        </w:rPr>
        <w:t xml:space="preserve"> դեղապատրաստուկ, որը նախատեսված է ակտիվ կամ պասիվ իմունիտետի ձ</w:t>
      </w:r>
      <w:r w:rsidR="00C54D75">
        <w:rPr>
          <w:rFonts w:ascii="Sylfaen" w:hAnsi="Sylfaen"/>
          <w:sz w:val="24"/>
          <w:szCs w:val="24"/>
        </w:rPr>
        <w:t>և</w:t>
      </w:r>
      <w:r w:rsidRPr="00834D52">
        <w:rPr>
          <w:rFonts w:ascii="Sylfaen" w:hAnsi="Sylfaen"/>
          <w:sz w:val="24"/>
          <w:szCs w:val="24"/>
        </w:rPr>
        <w:t>ավորման, կամ իմունիտետի առկայությունն ախտորոշելու, կամ ալերգիա առաջացնող նյութի նկատմամբ իմունաբանական պատասխանի՝ ձեռքբերովի սպեցիֆիկ փոփոխությունն ախտորոշելու (կատարելու) համար.</w:t>
      </w:r>
    </w:p>
    <w:p w14:paraId="3BE17325"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բժշկական կիրառման հրահանգ (ներդիր-թերթիկ)՝</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տեղեկատվություն սպառողի համար </w:t>
      </w:r>
      <w:r w:rsidR="00C54D75">
        <w:rPr>
          <w:rFonts w:ascii="Sylfaen" w:hAnsi="Sylfaen"/>
          <w:sz w:val="24"/>
          <w:szCs w:val="24"/>
        </w:rPr>
        <w:t>և</w:t>
      </w:r>
      <w:r w:rsidRPr="00834D52">
        <w:rPr>
          <w:rFonts w:ascii="Sylfaen" w:hAnsi="Sylfaen"/>
          <w:sz w:val="24"/>
          <w:szCs w:val="24"/>
        </w:rPr>
        <w:t xml:space="preserve"> ուղեկցում է դեղապատրաստուկը փաթեթվածքի մեջ.</w:t>
      </w:r>
    </w:p>
    <w:p w14:paraId="530B15B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դեղամիջոցի որակ՝</w:t>
      </w:r>
      <w:r w:rsidRPr="00834D52">
        <w:rPr>
          <w:rFonts w:ascii="Sylfaen" w:hAnsi="Sylfaen"/>
          <w:sz w:val="24"/>
          <w:szCs w:val="24"/>
        </w:rPr>
        <w:t xml:space="preserve"> դեղագործական սուբստանցիայի </w:t>
      </w:r>
      <w:r w:rsidR="00C54D75">
        <w:rPr>
          <w:rFonts w:ascii="Sylfaen" w:hAnsi="Sylfaen"/>
          <w:sz w:val="24"/>
          <w:szCs w:val="24"/>
        </w:rPr>
        <w:t>և</w:t>
      </w:r>
      <w:r w:rsidRPr="00834D52">
        <w:rPr>
          <w:rFonts w:ascii="Sylfaen" w:hAnsi="Sylfaen"/>
          <w:sz w:val="24"/>
          <w:szCs w:val="24"/>
        </w:rPr>
        <w:t xml:space="preserve"> դեղապատրաստուկի հատկությունների </w:t>
      </w:r>
      <w:r w:rsidR="00C54D75">
        <w:rPr>
          <w:rFonts w:ascii="Sylfaen" w:hAnsi="Sylfaen"/>
          <w:sz w:val="24"/>
          <w:szCs w:val="24"/>
        </w:rPr>
        <w:t>և</w:t>
      </w:r>
      <w:r w:rsidRPr="00834D52">
        <w:rPr>
          <w:rFonts w:ascii="Sylfaen" w:hAnsi="Sylfaen"/>
          <w:sz w:val="24"/>
          <w:szCs w:val="24"/>
        </w:rPr>
        <w:t xml:space="preserve"> բնութագրերի ամբողջություն, որն ապահովում է դրանց համապատասխանությունը նպատակային նշանակությանը՝ Միության մարմինների ակտերի պահանջներին համապատասխան.</w:t>
      </w:r>
    </w:p>
    <w:p w14:paraId="6B4D5EC1"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1268BB">
        <w:rPr>
          <w:rFonts w:ascii="Sylfaen" w:hAnsi="Sylfaen"/>
          <w:sz w:val="24"/>
          <w:szCs w:val="24"/>
        </w:rPr>
        <w:t>դեղաձ</w:t>
      </w:r>
      <w:r w:rsidR="00C54D75">
        <w:rPr>
          <w:rFonts w:ascii="Sylfaen" w:hAnsi="Sylfaen"/>
          <w:sz w:val="24"/>
          <w:szCs w:val="24"/>
        </w:rPr>
        <w:t>և</w:t>
      </w:r>
      <w:r w:rsidRPr="001268BB">
        <w:rPr>
          <w:rFonts w:ascii="Sylfaen" w:hAnsi="Sylfaen"/>
          <w:sz w:val="24"/>
          <w:szCs w:val="24"/>
        </w:rPr>
        <w:t>՝</w:t>
      </w:r>
      <w:r w:rsidRPr="00834D52">
        <w:rPr>
          <w:rFonts w:ascii="Sylfaen" w:hAnsi="Sylfaen"/>
          <w:sz w:val="24"/>
          <w:szCs w:val="24"/>
        </w:rPr>
        <w:t xml:space="preserve"> դեղապատրաստուկի վիճակ, որը համապատասխանում է դրա ներմուծման </w:t>
      </w:r>
      <w:r w:rsidR="00C54D75">
        <w:rPr>
          <w:rFonts w:ascii="Sylfaen" w:hAnsi="Sylfaen"/>
          <w:sz w:val="24"/>
          <w:szCs w:val="24"/>
        </w:rPr>
        <w:t>և</w:t>
      </w:r>
      <w:r w:rsidRPr="00834D52">
        <w:rPr>
          <w:rFonts w:ascii="Sylfaen" w:hAnsi="Sylfaen"/>
          <w:sz w:val="24"/>
          <w:szCs w:val="24"/>
        </w:rPr>
        <w:t xml:space="preserve"> կիրառման եղանակներին </w:t>
      </w:r>
      <w:r w:rsidR="00C54D75">
        <w:rPr>
          <w:rFonts w:ascii="Sylfaen" w:hAnsi="Sylfaen"/>
          <w:sz w:val="24"/>
          <w:szCs w:val="24"/>
        </w:rPr>
        <w:t>և</w:t>
      </w:r>
      <w:r w:rsidRPr="00834D52">
        <w:rPr>
          <w:rFonts w:ascii="Sylfaen" w:hAnsi="Sylfaen"/>
          <w:sz w:val="24"/>
          <w:szCs w:val="24"/>
        </w:rPr>
        <w:t xml:space="preserve"> ապահովում է անհրաժեշտ էֆեկտին հասնելը.</w:t>
      </w:r>
    </w:p>
    <w:p w14:paraId="1238F85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դեղաբուսական հումք՝</w:t>
      </w:r>
      <w:r w:rsidRPr="00834D52">
        <w:rPr>
          <w:rFonts w:ascii="Sylfaen" w:hAnsi="Sylfaen"/>
          <w:sz w:val="24"/>
          <w:szCs w:val="24"/>
        </w:rPr>
        <w:t xml:space="preserve"> դեղամիջոցների արտադրության համար օգտագործվող թարմ կամ չորացրած բույսեր, ջրիմուռներ, սնկեր կամ քարաքոսեր կամ դրանց մասեր՝ ամբողջական կամ մանրացրած.</w:t>
      </w:r>
    </w:p>
    <w:p w14:paraId="2E9B0BFA"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դեղապատրաստուկ՝ լավ ուսումնասիրված բժշկական կիրառմամբ՝</w:t>
      </w:r>
      <w:r w:rsidRPr="00834D52">
        <w:rPr>
          <w:rFonts w:ascii="Sylfaen" w:hAnsi="Sylfaen"/>
          <w:sz w:val="24"/>
          <w:szCs w:val="24"/>
        </w:rPr>
        <w:t xml:space="preserve"> դեղապատրաստուկ, որի ազդող նյութը բժշկական կիրառման ընթացքում լավ ուսումնասիրվել է, ընդ որում, ճանաչվել են դրա արդյունավետությունը </w:t>
      </w:r>
      <w:r w:rsidR="00C54D75">
        <w:rPr>
          <w:rFonts w:ascii="Sylfaen" w:hAnsi="Sylfaen"/>
          <w:sz w:val="24"/>
          <w:szCs w:val="24"/>
        </w:rPr>
        <w:t>և</w:t>
      </w:r>
      <w:r w:rsidRPr="00834D52">
        <w:rPr>
          <w:rFonts w:ascii="Sylfaen" w:hAnsi="Sylfaen"/>
          <w:sz w:val="24"/>
          <w:szCs w:val="24"/>
        </w:rPr>
        <w:t xml:space="preserve"> անվտանգության ընդունելի աստիճանը, որոնք հաստատվել են հետգրանցումային </w:t>
      </w:r>
      <w:r w:rsidR="00C54D75">
        <w:rPr>
          <w:rFonts w:ascii="Sylfaen" w:hAnsi="Sylfaen"/>
          <w:sz w:val="24"/>
          <w:szCs w:val="24"/>
        </w:rPr>
        <w:t>և</w:t>
      </w:r>
      <w:r w:rsidRPr="00834D52">
        <w:rPr>
          <w:rFonts w:ascii="Sylfaen" w:hAnsi="Sylfaen"/>
          <w:sz w:val="24"/>
          <w:szCs w:val="24"/>
        </w:rPr>
        <w:t xml:space="preserve"> (կամ) համաճարակաբանական հետազոտությունների մասին հրապարակված տվյալներին մանրամասն մատենագիտական հղումներով, </w:t>
      </w:r>
      <w:r w:rsidR="00C54D75">
        <w:rPr>
          <w:rFonts w:ascii="Sylfaen" w:hAnsi="Sylfaen"/>
          <w:sz w:val="24"/>
          <w:szCs w:val="24"/>
        </w:rPr>
        <w:t>և</w:t>
      </w:r>
      <w:r w:rsidRPr="00834D52">
        <w:rPr>
          <w:rFonts w:ascii="Sylfaen" w:hAnsi="Sylfaen"/>
          <w:sz w:val="24"/>
          <w:szCs w:val="24"/>
        </w:rPr>
        <w:t xml:space="preserve"> տվյալ դեղապատրաստուկի ազդող նյութի (ազդող նյութերի)՝ առնվազն 3 անդամ պետություններում առաջին պարբերական </w:t>
      </w:r>
      <w:r w:rsidR="00C54D75">
        <w:rPr>
          <w:rFonts w:ascii="Sylfaen" w:hAnsi="Sylfaen"/>
          <w:sz w:val="24"/>
          <w:szCs w:val="24"/>
        </w:rPr>
        <w:t>և</w:t>
      </w:r>
      <w:r w:rsidRPr="00834D52">
        <w:rPr>
          <w:rFonts w:ascii="Sylfaen" w:hAnsi="Sylfaen"/>
          <w:sz w:val="24"/>
          <w:szCs w:val="24"/>
        </w:rPr>
        <w:t xml:space="preserve"> փաստաթղթավորված կիրառման օրվանից անցել է առնվազն 10 տարի.</w:t>
      </w:r>
    </w:p>
    <w:p w14:paraId="0D27336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դեղաբուսական պատրաստուկ</w:t>
      </w:r>
      <w:r w:rsidRPr="00834D52">
        <w:rPr>
          <w:rFonts w:ascii="Sylfaen" w:hAnsi="Sylfaen"/>
          <w:sz w:val="24"/>
          <w:szCs w:val="24"/>
        </w:rPr>
        <w:t xml:space="preserve">՝ դեղապատրաստուկ, որը, որպես ակտիվ բաղադրամաս, պարունակում է բացառապես դեղաբուսական հումք </w:t>
      </w:r>
      <w:r w:rsidR="00C54D75">
        <w:rPr>
          <w:rFonts w:ascii="Sylfaen" w:hAnsi="Sylfaen"/>
          <w:sz w:val="24"/>
          <w:szCs w:val="24"/>
        </w:rPr>
        <w:t>և</w:t>
      </w:r>
      <w:r w:rsidRPr="00834D52">
        <w:rPr>
          <w:rFonts w:ascii="Sylfaen" w:hAnsi="Sylfaen"/>
          <w:sz w:val="24"/>
          <w:szCs w:val="24"/>
        </w:rPr>
        <w:t xml:space="preserve"> (կամ) դրա հիմքով պատրաստուկներ.</w:t>
      </w:r>
    </w:p>
    <w:p w14:paraId="33EC28D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միջազգային չարտոնագրված անվանում</w:t>
      </w:r>
      <w:r w:rsidRPr="00834D52">
        <w:rPr>
          <w:rFonts w:ascii="Sylfaen" w:hAnsi="Sylfaen"/>
          <w:sz w:val="24"/>
          <w:szCs w:val="24"/>
        </w:rPr>
        <w:t>՝ ազդող նյութի անվանում, որն առաջարկվել է Առողջապահության համաշխարհային կազմակերպության կողմից.</w:t>
      </w:r>
    </w:p>
    <w:p w14:paraId="05E6ECCA" w14:textId="7087CBC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որակի վերաբերյալ նորմատիվ փաստաթուղթ</w:t>
      </w:r>
      <w:r w:rsidRPr="00834D52">
        <w:rPr>
          <w:rFonts w:ascii="Sylfaen" w:hAnsi="Sylfaen"/>
          <w:sz w:val="24"/>
          <w:szCs w:val="24"/>
        </w:rPr>
        <w:t xml:space="preserve">՝ փաստաթուղթ, որը սահմանում է դեղապատրաստուկի որակի հսկողությանը ներկայայացվող պահանջները (պարունակում է մասնագիր </w:t>
      </w:r>
      <w:r w:rsidR="00C54D75">
        <w:rPr>
          <w:rFonts w:ascii="Sylfaen" w:hAnsi="Sylfaen"/>
          <w:sz w:val="24"/>
          <w:szCs w:val="24"/>
        </w:rPr>
        <w:t>և</w:t>
      </w:r>
      <w:r w:rsidRPr="00834D52">
        <w:rPr>
          <w:rFonts w:ascii="Sylfaen" w:hAnsi="Sylfaen"/>
          <w:sz w:val="24"/>
          <w:szCs w:val="24"/>
        </w:rPr>
        <w:t xml:space="preserve"> վերլուծական մեթոդիկաների </w:t>
      </w:r>
      <w:r w:rsidR="00C54D75">
        <w:rPr>
          <w:rFonts w:ascii="Sylfaen" w:hAnsi="Sylfaen"/>
          <w:sz w:val="24"/>
          <w:szCs w:val="24"/>
        </w:rPr>
        <w:t>և</w:t>
      </w:r>
      <w:r w:rsidRPr="00834D52">
        <w:rPr>
          <w:rFonts w:ascii="Sylfaen" w:hAnsi="Sylfaen"/>
          <w:sz w:val="24"/>
          <w:szCs w:val="24"/>
        </w:rPr>
        <w:t xml:space="preserve"> փորձարկումների նկարագրություն կամ դրանց հղումներ, ինչպես նա</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համապատասխան ընդունելիության չափանիշներ՝ որակի նշված ցուցանիշների համար </w:t>
      </w:r>
      <w:r w:rsidR="00C54D75">
        <w:rPr>
          <w:rFonts w:ascii="Sylfaen" w:hAnsi="Sylfaen"/>
          <w:sz w:val="24"/>
          <w:szCs w:val="24"/>
        </w:rPr>
        <w:t>և</w:t>
      </w:r>
      <w:r w:rsidRPr="00834D52">
        <w:rPr>
          <w:rFonts w:ascii="Sylfaen" w:hAnsi="Sylfaen"/>
          <w:sz w:val="24"/>
          <w:szCs w:val="24"/>
        </w:rPr>
        <w:t xml:space="preserve"> այլն) դեղապատրաստուկի՝ անցկացված փորձաքննության հիման վրա, հաստատվում է լիազորված մարմնի կողմից </w:t>
      </w:r>
      <w:r w:rsidR="006F28F9" w:rsidRPr="006F28F9">
        <w:rPr>
          <w:rFonts w:ascii="Sylfaen" w:hAnsi="Sylfaen"/>
          <w:sz w:val="24"/>
          <w:szCs w:val="24"/>
        </w:rPr>
        <w:t xml:space="preserve"> </w:t>
      </w:r>
      <w:r w:rsidR="006F28F9">
        <w:rPr>
          <w:rFonts w:ascii="Sylfaen" w:hAnsi="Sylfaen"/>
          <w:sz w:val="24"/>
          <w:szCs w:val="24"/>
        </w:rPr>
        <w:t>գրանցման, գրանցման (վերագրանցման) հաստատման, գրանցման դոսյեում փոփոխություններ կատարելու և գրանցման դոսյեն Միության պահանջներին համապատասխանեցնելու դեպքում</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նախատեսված է հետգրանցումային շրջանում Միության տարածքում դեղապատրաստուկի որակի հսկողության համար.</w:t>
      </w:r>
    </w:p>
    <w:p w14:paraId="0716B57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ընդհանուր</w:t>
      </w:r>
      <w:r w:rsidRPr="00375522">
        <w:rPr>
          <w:rFonts w:ascii="Sylfaen" w:hAnsi="Sylfaen"/>
          <w:sz w:val="24"/>
          <w:szCs w:val="24"/>
        </w:rPr>
        <w:t xml:space="preserve"> բնութագիր՝</w:t>
      </w:r>
      <w:r w:rsidRPr="00834D52">
        <w:rPr>
          <w:rFonts w:ascii="Sylfaen" w:hAnsi="Sylfaen"/>
          <w:sz w:val="24"/>
          <w:szCs w:val="24"/>
        </w:rPr>
        <w:t xml:space="preserve"> անդամ պետության լիազորված մարմնի կողմից Միության մարմինների ակտերին համապատասխան հաստատվող փաստաթուղթ, որը պարունակում է 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մասին տեղեկատվություն՝ բուժաշխատողների համար.</w:t>
      </w:r>
    </w:p>
    <w:p w14:paraId="0D3C2C9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համընդհանուր (խմբային) անվանում՝</w:t>
      </w:r>
      <w:r w:rsidRPr="00834D52">
        <w:rPr>
          <w:rFonts w:ascii="Sylfaen" w:hAnsi="Sylfaen"/>
          <w:sz w:val="24"/>
          <w:szCs w:val="24"/>
        </w:rPr>
        <w:t xml:space="preserve"> միջազգային չարտոնագրված անվանում չունեցող դեղապատրաստուկի կամ դեղապատրաստուկների համակցության անվանում, որն օգտագործվում է դրանք խմբի մեջ մեկ անվան տակ միավորելու նպատակով՝ հիմք ընդունելով ազդող նյութերի նույն որակական բաղադրությունը. </w:t>
      </w:r>
    </w:p>
    <w:p w14:paraId="588648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օրիգինալ դեղապատրաստուկ</w:t>
      </w:r>
      <w:r w:rsidRPr="00834D52">
        <w:rPr>
          <w:rFonts w:ascii="Sylfaen" w:hAnsi="Sylfaen"/>
          <w:sz w:val="24"/>
          <w:szCs w:val="24"/>
        </w:rPr>
        <w:t xml:space="preserve">՝ նոր ազդող նյութով դեղապատրաստուկ, որն առաջինն է գրանցվել </w:t>
      </w:r>
      <w:r w:rsidR="00C54D75">
        <w:rPr>
          <w:rFonts w:ascii="Sylfaen" w:hAnsi="Sylfaen"/>
          <w:sz w:val="24"/>
          <w:szCs w:val="24"/>
        </w:rPr>
        <w:t>և</w:t>
      </w:r>
      <w:r w:rsidRPr="00834D52">
        <w:rPr>
          <w:rFonts w:ascii="Sylfaen" w:hAnsi="Sylfaen"/>
          <w:sz w:val="24"/>
          <w:szCs w:val="24"/>
        </w:rPr>
        <w:t xml:space="preserve"> դուրս բերվել համաշխարհային դեղագործական շուկա՝ դրա որակը,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հաստատող լիարժեք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 պարունակող դոսյեի հիման վրա.</w:t>
      </w:r>
    </w:p>
    <w:p w14:paraId="32A125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«որբ» (հազվադեպ կիրառվող) դեղապատրաստուկ</w:t>
      </w:r>
      <w:r w:rsidRPr="00834D52">
        <w:rPr>
          <w:rFonts w:ascii="Sylfaen" w:hAnsi="Sylfaen"/>
          <w:sz w:val="24"/>
          <w:szCs w:val="24"/>
        </w:rPr>
        <w:t>՝ դեղապատրաստուկ, որը նախատեսված է այն հազվադեպ («որբ») հիվանդությունների ախտորոշման, էթիոպաթոգենետիկ կամ պաթոգենետիկ բուժման (հիվանդության զարգացման մեխանիզմին ուղղված բուժման) համար, որոնց հաճախականությունը չի</w:t>
      </w:r>
      <w:r w:rsidR="00375522" w:rsidRPr="007D7DA2">
        <w:rPr>
          <w:rFonts w:ascii="Sylfaen" w:hAnsi="Sylfaen"/>
          <w:sz w:val="24"/>
          <w:szCs w:val="24"/>
        </w:rPr>
        <w:t> </w:t>
      </w:r>
      <w:r w:rsidRPr="00834D52">
        <w:rPr>
          <w:rFonts w:ascii="Sylfaen" w:hAnsi="Sylfaen"/>
          <w:sz w:val="24"/>
          <w:szCs w:val="24"/>
        </w:rPr>
        <w:t>գերազանցում անդամ պետությունում պաշտոնապես սահմանված մակարդակը.</w:t>
      </w:r>
    </w:p>
    <w:p w14:paraId="6B293542"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lastRenderedPageBreak/>
        <w:t>գրանցման հավաստագրի իրավատիրոջ ներկայացուցիչ՝</w:t>
      </w:r>
      <w:r w:rsidRPr="00834D52">
        <w:rPr>
          <w:rFonts w:ascii="Sylfaen" w:hAnsi="Sylfaen"/>
          <w:sz w:val="24"/>
          <w:szCs w:val="24"/>
        </w:rPr>
        <w:t xml:space="preserve"> անդամ պետության օրենսդրությանը համապատասխան գրանցված իրավաբանական անձ կամ իրավաբանական անձի առանձնացված ստորաբաժանում, որը տեղակայված է անդամ պետության տարածքում </w:t>
      </w:r>
      <w:r w:rsidR="00C54D75">
        <w:rPr>
          <w:rFonts w:ascii="Sylfaen" w:hAnsi="Sylfaen"/>
          <w:sz w:val="24"/>
          <w:szCs w:val="24"/>
        </w:rPr>
        <w:t>և</w:t>
      </w:r>
      <w:r w:rsidRPr="00834D52">
        <w:rPr>
          <w:rFonts w:ascii="Sylfaen" w:hAnsi="Sylfaen"/>
          <w:sz w:val="24"/>
          <w:szCs w:val="24"/>
        </w:rPr>
        <w:t xml:space="preserve"> լիազորված է գրանցման հավաստագրի իրավատիրոջ կողմից անդամ պետության տարածքում դեղամիջոցների շրջանառության հետ կապված գործողություններ կատարելու համար.</w:t>
      </w:r>
    </w:p>
    <w:p w14:paraId="26ED0B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1268BB">
        <w:rPr>
          <w:rFonts w:ascii="Sylfaen" w:hAnsi="Sylfaen"/>
          <w:sz w:val="24"/>
          <w:szCs w:val="24"/>
        </w:rPr>
        <w:t>դեղամիջոցներ արտադրող՝</w:t>
      </w:r>
      <w:r w:rsidRPr="00834D52">
        <w:rPr>
          <w:rFonts w:ascii="Sylfaen" w:hAnsi="Sylfaen"/>
          <w:sz w:val="24"/>
          <w:szCs w:val="24"/>
        </w:rPr>
        <w:t xml:space="preserve"> կազմակերպություն, որն իրականացնում է դեղամիջոցների արտադրության գործունեություն </w:t>
      </w:r>
      <w:r w:rsidR="00C54D75">
        <w:rPr>
          <w:rFonts w:ascii="Sylfaen" w:hAnsi="Sylfaen"/>
          <w:sz w:val="24"/>
          <w:szCs w:val="24"/>
        </w:rPr>
        <w:t>և</w:t>
      </w:r>
      <w:r w:rsidRPr="00834D52">
        <w:rPr>
          <w:rFonts w:ascii="Sylfaen" w:hAnsi="Sylfaen"/>
          <w:sz w:val="24"/>
          <w:szCs w:val="24"/>
        </w:rPr>
        <w:t xml:space="preserve"> գործունեության այդ տեսակի համար ունի արտադրող երկրի լիազորված մարմնի կողմից տրված թույլտվություն (լիցենզիա).</w:t>
      </w:r>
    </w:p>
    <w:p w14:paraId="6EEF731D" w14:textId="77777777" w:rsidR="006F76EB" w:rsidRPr="00834D52" w:rsidRDefault="006F76EB" w:rsidP="007D7DA2">
      <w:pPr>
        <w:tabs>
          <w:tab w:val="left" w:pos="1134"/>
        </w:tabs>
        <w:spacing w:after="160" w:line="384" w:lineRule="auto"/>
        <w:ind w:right="-6" w:firstLine="567"/>
        <w:jc w:val="both"/>
        <w:rPr>
          <w:rFonts w:ascii="Sylfaen" w:eastAsia="Times New Roman" w:hAnsi="Sylfaen" w:cs="Times New Roman"/>
          <w:sz w:val="24"/>
          <w:szCs w:val="24"/>
        </w:rPr>
      </w:pPr>
      <w:r w:rsidRPr="001268BB">
        <w:rPr>
          <w:rFonts w:ascii="Sylfaen" w:hAnsi="Sylfaen"/>
          <w:sz w:val="24"/>
          <w:szCs w:val="24"/>
        </w:rPr>
        <w:t>ռադիոդեղագործական դեղապատրաստուկ՝</w:t>
      </w:r>
      <w:r w:rsidRPr="00834D52">
        <w:rPr>
          <w:rFonts w:ascii="Sylfaen" w:hAnsi="Sylfaen"/>
          <w:sz w:val="24"/>
          <w:szCs w:val="24"/>
        </w:rPr>
        <w:t xml:space="preserve"> դեղապատրաստուկ, որը կիրառման համար պատրաստի վիճակում որպես ազդող նյութ կամ ազդող նյութի կազմում պարունակում է մեկ կամ մի քանի ռադիոնուկլիդներ (ռադիոակտիվ իզոտոպներ).</w:t>
      </w:r>
    </w:p>
    <w:p w14:paraId="73200E9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բուսական դեղագործական սուբստանցիա՝</w:t>
      </w:r>
      <w:r w:rsidRPr="00834D52">
        <w:rPr>
          <w:rFonts w:ascii="Sylfaen" w:hAnsi="Sylfaen"/>
          <w:sz w:val="24"/>
          <w:szCs w:val="24"/>
        </w:rPr>
        <w:t xml:space="preserve"> սուբստանցիա, որը ստանում են բուսական հումքի այնպիսի մեթոդների միջոցով մշակումից հետո, ինչպիսիք են լուծամզումը, թորումը, մզումը, չափազատումը, մաքրումը, կոնցենտրացումը </w:t>
      </w:r>
      <w:r w:rsidR="00C54D75">
        <w:rPr>
          <w:rFonts w:ascii="Sylfaen" w:hAnsi="Sylfaen"/>
          <w:sz w:val="24"/>
          <w:szCs w:val="24"/>
        </w:rPr>
        <w:t>և</w:t>
      </w:r>
      <w:r w:rsidRPr="00834D52">
        <w:rPr>
          <w:rFonts w:ascii="Sylfaen" w:hAnsi="Sylfaen"/>
          <w:sz w:val="24"/>
          <w:szCs w:val="24"/>
        </w:rPr>
        <w:t xml:space="preserve"> խմորումը: Այդպիսի սուբստանցիաների շարքին են դասվում խիստ մանրեցված կամ փոշենման բուսական հումքը, թուրմերը, լուծամզվածքները, եթերայուղերը, մզված հյութերը </w:t>
      </w:r>
      <w:r w:rsidR="00C54D75">
        <w:rPr>
          <w:rFonts w:ascii="Sylfaen" w:hAnsi="Sylfaen"/>
          <w:sz w:val="24"/>
          <w:szCs w:val="24"/>
        </w:rPr>
        <w:t>և</w:t>
      </w:r>
      <w:r w:rsidRPr="00834D52">
        <w:rPr>
          <w:rFonts w:ascii="Sylfaen" w:hAnsi="Sylfaen"/>
          <w:sz w:val="24"/>
          <w:szCs w:val="24"/>
        </w:rPr>
        <w:t xml:space="preserve"> մշակված մզվածքները.</w:t>
      </w:r>
    </w:p>
    <w:p w14:paraId="2FDC2519" w14:textId="266FD233"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գրանցման դոսյե՝</w:t>
      </w:r>
      <w:r w:rsidRPr="00834D52">
        <w:rPr>
          <w:rFonts w:ascii="Sylfaen" w:hAnsi="Sylfaen"/>
          <w:sz w:val="24"/>
          <w:szCs w:val="24"/>
        </w:rPr>
        <w:t xml:space="preserve"> սույն Կանոններին համապատասխան ձ</w:t>
      </w:r>
      <w:r w:rsidR="00C54D75">
        <w:rPr>
          <w:rFonts w:ascii="Sylfaen" w:hAnsi="Sylfaen"/>
          <w:sz w:val="24"/>
          <w:szCs w:val="24"/>
        </w:rPr>
        <w:t>և</w:t>
      </w:r>
      <w:r w:rsidRPr="00834D52">
        <w:rPr>
          <w:rFonts w:ascii="Sylfaen" w:hAnsi="Sylfaen"/>
          <w:sz w:val="24"/>
          <w:szCs w:val="24"/>
        </w:rPr>
        <w:t xml:space="preserve">ակերպվող փաստաթղթերի փաթեթ (այդ թվում՝ </w:t>
      </w:r>
      <w:r w:rsidR="0056496B">
        <w:rPr>
          <w:rFonts w:ascii="Sylfaen" w:hAnsi="Sylfaen"/>
          <w:sz w:val="24"/>
          <w:szCs w:val="24"/>
        </w:rPr>
        <w:t>դիմում</w:t>
      </w:r>
      <w:r w:rsidRPr="00834D52">
        <w:rPr>
          <w:rFonts w:ascii="Sylfaen" w:hAnsi="Sylfaen"/>
          <w:sz w:val="24"/>
          <w:szCs w:val="24"/>
        </w:rPr>
        <w:t xml:space="preserve">), որը ներկայացվում է դեղապատրաստուկը գրանցելու, գրանցումը հաստատելու (վերագրանցելու) հետ կապված ընթացակարգերի իրականացման համար. </w:t>
      </w:r>
    </w:p>
    <w:p w14:paraId="2B880820"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գրանցման հավաստագիր</w:t>
      </w:r>
      <w:r w:rsidRPr="00834D52">
        <w:rPr>
          <w:rFonts w:ascii="Sylfaen" w:hAnsi="Sylfaen"/>
          <w:sz w:val="24"/>
          <w:szCs w:val="24"/>
        </w:rPr>
        <w:t>՝ լիազորված մարմնի կողմից տրվող միասնական ձ</w:t>
      </w:r>
      <w:r w:rsidR="00C54D75">
        <w:rPr>
          <w:rFonts w:ascii="Sylfaen" w:hAnsi="Sylfaen"/>
          <w:sz w:val="24"/>
          <w:szCs w:val="24"/>
        </w:rPr>
        <w:t>և</w:t>
      </w:r>
      <w:r w:rsidRPr="00834D52">
        <w:rPr>
          <w:rFonts w:ascii="Sylfaen" w:hAnsi="Sylfaen"/>
          <w:sz w:val="24"/>
          <w:szCs w:val="24"/>
        </w:rPr>
        <w:t xml:space="preserve">ի փաստաթուղթ, որը հաստատում է դեղապատրաստուկի գրանցման փաստը </w:t>
      </w:r>
      <w:r w:rsidR="00C54D75">
        <w:rPr>
          <w:rFonts w:ascii="Sylfaen" w:hAnsi="Sylfaen"/>
          <w:sz w:val="24"/>
          <w:szCs w:val="24"/>
        </w:rPr>
        <w:t>և</w:t>
      </w:r>
      <w:r w:rsidRPr="00834D52">
        <w:rPr>
          <w:rFonts w:ascii="Sylfaen" w:hAnsi="Sylfaen"/>
          <w:sz w:val="24"/>
          <w:szCs w:val="24"/>
        </w:rPr>
        <w:t xml:space="preserve"> հանդիսանում է անդամ պետության տարածքում դրա </w:t>
      </w:r>
      <w:r w:rsidRPr="00834D52">
        <w:rPr>
          <w:rFonts w:ascii="Sylfaen" w:hAnsi="Sylfaen"/>
          <w:sz w:val="24"/>
          <w:szCs w:val="24"/>
        </w:rPr>
        <w:lastRenderedPageBreak/>
        <w:t xml:space="preserve">բժշկական կիրառման համար թույլտվություն. </w:t>
      </w:r>
    </w:p>
    <w:p w14:paraId="1CAC7783"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pacing w:val="-4"/>
          <w:sz w:val="24"/>
          <w:szCs w:val="24"/>
        </w:rPr>
      </w:pPr>
      <w:r w:rsidRPr="001268BB">
        <w:rPr>
          <w:rFonts w:ascii="Sylfaen" w:hAnsi="Sylfaen"/>
          <w:spacing w:val="-4"/>
          <w:sz w:val="24"/>
          <w:szCs w:val="24"/>
        </w:rPr>
        <w:t>գրանցման համար՝</w:t>
      </w:r>
      <w:r w:rsidRPr="00834D52">
        <w:rPr>
          <w:rFonts w:ascii="Sylfaen" w:hAnsi="Sylfaen"/>
          <w:spacing w:val="-4"/>
          <w:sz w:val="24"/>
          <w:szCs w:val="24"/>
        </w:rPr>
        <w:t xml:space="preserve"> ծածկագրային նշագիր, որը տրվում է դեղապատրաստուկին անդամ պետության տարածքում գրանցման փաստի հիման վրա. </w:t>
      </w:r>
    </w:p>
    <w:p w14:paraId="1F71A5CC" w14:textId="77777777" w:rsidR="006F76EB" w:rsidRPr="00834D52" w:rsidRDefault="006F76EB" w:rsidP="007D7DA2">
      <w:pPr>
        <w:tabs>
          <w:tab w:val="left" w:pos="1134"/>
        </w:tabs>
        <w:spacing w:after="160" w:line="384"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գրանցում՝</w:t>
      </w:r>
      <w:r w:rsidRPr="00834D52">
        <w:rPr>
          <w:rFonts w:ascii="Sylfaen" w:hAnsi="Sylfaen"/>
          <w:sz w:val="24"/>
          <w:szCs w:val="24"/>
        </w:rPr>
        <w:t xml:space="preserve"> մեկ կամ մի քանի անդամ պետությունների տարածքներում դեղապատրաստուկի բժշկական կիրառման թույլտվություն ստանալու գործընթաց, որն իրականացվում է սույն Կանոններին համապատասխան.</w:t>
      </w:r>
    </w:p>
    <w:p w14:paraId="65F24857" w14:textId="77777777" w:rsidR="006F76EB" w:rsidRPr="00834D52" w:rsidRDefault="00A13B22"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պետություն</w:t>
      </w:r>
      <w:r w:rsidR="006F76EB" w:rsidRPr="00834D52">
        <w:rPr>
          <w:rFonts w:ascii="Sylfaen" w:hAnsi="Sylfaen"/>
          <w:sz w:val="24"/>
          <w:szCs w:val="24"/>
        </w:rPr>
        <w:t xml:space="preserve">՝ անդամ պետություն, որը դեղապատրաստուկի՝ սույն Կանոններին համապատասխան անցկացված փորձաքննության հիման վրա իրականացնում է դեղապատրաստուկի անվտանգության, արդյունավետության </w:t>
      </w:r>
      <w:r w:rsidR="00C54D75">
        <w:rPr>
          <w:rFonts w:ascii="Sylfaen" w:hAnsi="Sylfaen"/>
          <w:sz w:val="24"/>
          <w:szCs w:val="24"/>
        </w:rPr>
        <w:t>և</w:t>
      </w:r>
      <w:r w:rsidR="006F76EB" w:rsidRPr="00834D52">
        <w:rPr>
          <w:rFonts w:ascii="Sylfaen" w:hAnsi="Sylfaen"/>
          <w:sz w:val="24"/>
          <w:szCs w:val="24"/>
        </w:rPr>
        <w:t xml:space="preserve"> որակի գնահատման մասին փորձագիտական հաշվետվության նախապատրաստումը.</w:t>
      </w:r>
    </w:p>
    <w:p w14:paraId="1ACE2B84" w14:textId="77777777" w:rsidR="006F76EB" w:rsidRPr="00834D52" w:rsidRDefault="001F0017"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ռեֆերենտ </w:t>
      </w:r>
      <w:r w:rsidR="006F76EB" w:rsidRPr="001268BB">
        <w:rPr>
          <w:rFonts w:ascii="Sylfaen" w:hAnsi="Sylfaen"/>
          <w:sz w:val="24"/>
          <w:szCs w:val="24"/>
        </w:rPr>
        <w:t>դեղապատրաստուկ՝</w:t>
      </w:r>
      <w:r w:rsidR="006F76EB" w:rsidRPr="00834D52">
        <w:rPr>
          <w:rFonts w:ascii="Sylfaen" w:hAnsi="Sylfaen"/>
          <w:sz w:val="24"/>
          <w:szCs w:val="24"/>
        </w:rPr>
        <w:t xml:space="preserve"> դեղապատրաստուկ, որն օգտագործվում է որպես </w:t>
      </w:r>
      <w:r w:rsidR="00D0720C">
        <w:rPr>
          <w:rFonts w:ascii="Sylfaen" w:hAnsi="Sylfaen"/>
          <w:sz w:val="24"/>
          <w:szCs w:val="24"/>
        </w:rPr>
        <w:t>ռեֆերենտ</w:t>
      </w:r>
      <w:r w:rsidR="006F76EB" w:rsidRPr="00834D52">
        <w:rPr>
          <w:rFonts w:ascii="Sylfaen" w:hAnsi="Sylfaen"/>
          <w:sz w:val="24"/>
          <w:szCs w:val="24"/>
        </w:rPr>
        <w:t xml:space="preserve"> պատրաստուկ </w:t>
      </w:r>
      <w:r w:rsidR="00C54D75">
        <w:rPr>
          <w:rFonts w:ascii="Sylfaen" w:hAnsi="Sylfaen"/>
          <w:sz w:val="24"/>
          <w:szCs w:val="24"/>
        </w:rPr>
        <w:t>և</w:t>
      </w:r>
      <w:r w:rsidR="006F76EB" w:rsidRPr="00834D52">
        <w:rPr>
          <w:rFonts w:ascii="Sylfaen" w:hAnsi="Sylfaen"/>
          <w:sz w:val="24"/>
          <w:szCs w:val="24"/>
        </w:rPr>
        <w:t xml:space="preserve"> հանդիսանում է չափանմուշ, որով սահմանվում են (նորմավորվում են) դեղապատրաստուկի հատկությունները.</w:t>
      </w:r>
    </w:p>
    <w:p w14:paraId="72682EB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դեղապատրաստուկի կիրառման հետ կապված ռիսկեր՝</w:t>
      </w:r>
      <w:r w:rsidRPr="00834D52">
        <w:rPr>
          <w:rFonts w:ascii="Sylfaen" w:hAnsi="Sylfaen"/>
          <w:sz w:val="24"/>
          <w:szCs w:val="24"/>
        </w:rPr>
        <w:t xml:space="preserve"> դեղապատրաստուկի որակի, անվտանգության կամ արդյունավետության հետ կապված ցանկացած ռիսկ՝ պացիենտների կամ բնակչության առողջության համար, կամ շրջակա միջավայրի վրա անցանկալի ազդեցության հանգեցնող ռիսկեր.</w:t>
      </w:r>
    </w:p>
    <w:p w14:paraId="21D5BC9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մասնագիր՝</w:t>
      </w:r>
      <w:r w:rsidRPr="00834D52">
        <w:rPr>
          <w:rFonts w:ascii="Sylfaen" w:hAnsi="Sylfaen"/>
          <w:sz w:val="24"/>
          <w:szCs w:val="24"/>
        </w:rPr>
        <w:t xml:space="preserve"> որակի ցուցանիշների ցանկ, վերլուծական մեթոդիկաներին </w:t>
      </w:r>
      <w:r w:rsidR="00C54D75">
        <w:rPr>
          <w:rFonts w:ascii="Sylfaen" w:hAnsi="Sylfaen"/>
          <w:sz w:val="24"/>
          <w:szCs w:val="24"/>
        </w:rPr>
        <w:t>և</w:t>
      </w:r>
      <w:r w:rsidRPr="00834D52">
        <w:rPr>
          <w:rFonts w:ascii="Sylfaen" w:hAnsi="Sylfaen"/>
          <w:sz w:val="24"/>
          <w:szCs w:val="24"/>
        </w:rPr>
        <w:t xml:space="preserve"> փորձարկումներին </w:t>
      </w:r>
      <w:r w:rsidR="00C54D75">
        <w:rPr>
          <w:rFonts w:ascii="Sylfaen" w:hAnsi="Sylfaen"/>
          <w:sz w:val="24"/>
          <w:szCs w:val="24"/>
        </w:rPr>
        <w:t>և</w:t>
      </w:r>
      <w:r w:rsidRPr="00834D52">
        <w:rPr>
          <w:rFonts w:ascii="Sylfaen" w:hAnsi="Sylfaen"/>
          <w:sz w:val="24"/>
          <w:szCs w:val="24"/>
        </w:rPr>
        <w:t xml:space="preserve"> թվային (քանակական) սահմաններ, ընդգրկույթներ </w:t>
      </w:r>
      <w:r w:rsidR="00C54D75">
        <w:rPr>
          <w:rFonts w:ascii="Sylfaen" w:hAnsi="Sylfaen"/>
          <w:sz w:val="24"/>
          <w:szCs w:val="24"/>
        </w:rPr>
        <w:t>և</w:t>
      </w:r>
      <w:r w:rsidRPr="00834D52">
        <w:rPr>
          <w:rFonts w:ascii="Sylfaen" w:hAnsi="Sylfaen"/>
          <w:sz w:val="24"/>
          <w:szCs w:val="24"/>
        </w:rPr>
        <w:t xml:space="preserve"> որակի նշված ցուցանիշների համար այլ չափորոշիչներ հանդիսացող նորմերին հղումների ցանկ.</w:t>
      </w:r>
    </w:p>
    <w:p w14:paraId="1FB09BB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ստանդարտ նմուշ՝</w:t>
      </w:r>
      <w:r w:rsidRPr="00834D52">
        <w:rPr>
          <w:rFonts w:ascii="Sylfaen" w:hAnsi="Sylfaen"/>
          <w:sz w:val="24"/>
          <w:szCs w:val="24"/>
        </w:rPr>
        <w:t xml:space="preserve"> նույնականացված համասեռ նյութ կամ նյութերի խառնուրդ, որը նախատեսված է այնպիսի քիմիական, ֆիզիկական </w:t>
      </w:r>
      <w:r w:rsidR="00C54D75">
        <w:rPr>
          <w:rFonts w:ascii="Sylfaen" w:hAnsi="Sylfaen"/>
          <w:sz w:val="24"/>
          <w:szCs w:val="24"/>
        </w:rPr>
        <w:t>և</w:t>
      </w:r>
      <w:r w:rsidRPr="00834D52">
        <w:rPr>
          <w:rFonts w:ascii="Sylfaen" w:hAnsi="Sylfaen"/>
          <w:sz w:val="24"/>
          <w:szCs w:val="24"/>
        </w:rPr>
        <w:t xml:space="preserve"> կենսաբանական հետազոտություններում օգտագործման համար, որոնցում դրա հատկությունները համեմատվում են հետազոտվող դեղամիջոցի հատկությունների </w:t>
      </w:r>
      <w:r w:rsidRPr="00834D52">
        <w:rPr>
          <w:rFonts w:ascii="Sylfaen" w:hAnsi="Sylfaen"/>
          <w:sz w:val="24"/>
          <w:szCs w:val="24"/>
        </w:rPr>
        <w:lastRenderedPageBreak/>
        <w:t xml:space="preserve">հետ, </w:t>
      </w:r>
      <w:r w:rsidR="00C54D75">
        <w:rPr>
          <w:rFonts w:ascii="Sylfaen" w:hAnsi="Sylfaen"/>
          <w:sz w:val="24"/>
          <w:szCs w:val="24"/>
        </w:rPr>
        <w:t>և</w:t>
      </w:r>
      <w:r w:rsidRPr="00834D52">
        <w:rPr>
          <w:rFonts w:ascii="Sylfaen" w:hAnsi="Sylfaen"/>
          <w:sz w:val="24"/>
          <w:szCs w:val="24"/>
        </w:rPr>
        <w:t xml:space="preserve"> ունի համապատասխան կիրառման համար բավարար մաքրության աստիճան.</w:t>
      </w:r>
    </w:p>
    <w:p w14:paraId="5551769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b/>
          <w:sz w:val="24"/>
          <w:szCs w:val="24"/>
        </w:rPr>
      </w:pPr>
      <w:r w:rsidRPr="001268BB">
        <w:rPr>
          <w:rFonts w:ascii="Sylfaen" w:hAnsi="Sylfaen"/>
          <w:sz w:val="24"/>
          <w:szCs w:val="24"/>
        </w:rPr>
        <w:t>դեղապատրաստուկի առ</w:t>
      </w:r>
      <w:r w:rsidR="00C54D75">
        <w:rPr>
          <w:rFonts w:ascii="Sylfaen" w:hAnsi="Sylfaen"/>
          <w:sz w:val="24"/>
          <w:szCs w:val="24"/>
        </w:rPr>
        <w:t>և</w:t>
      </w:r>
      <w:r w:rsidRPr="001268BB">
        <w:rPr>
          <w:rFonts w:ascii="Sylfaen" w:hAnsi="Sylfaen"/>
          <w:sz w:val="24"/>
          <w:szCs w:val="24"/>
        </w:rPr>
        <w:t>տրային անվանում՝</w:t>
      </w:r>
      <w:r w:rsidRPr="00834D52">
        <w:rPr>
          <w:rFonts w:ascii="Sylfaen" w:hAnsi="Sylfaen"/>
          <w:sz w:val="24"/>
          <w:szCs w:val="24"/>
        </w:rPr>
        <w:t xml:space="preserve"> անվանում, որի ներքո գրանցվել է դեղապատրաստուկը.</w:t>
      </w:r>
    </w:p>
    <w:p w14:paraId="313E8B6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դեղագործական բաղադրամաս (ակտիվ դեղագործական բաղադրամաս)՝</w:t>
      </w:r>
      <w:r w:rsidRPr="00834D52">
        <w:rPr>
          <w:rFonts w:ascii="Sylfaen" w:hAnsi="Sylfaen"/>
          <w:sz w:val="24"/>
          <w:szCs w:val="24"/>
        </w:rPr>
        <w:t xml:space="preserve"> դեղապատրաստուկների արտադրության </w:t>
      </w:r>
      <w:r w:rsidR="00C54D75">
        <w:rPr>
          <w:rFonts w:ascii="Sylfaen" w:hAnsi="Sylfaen"/>
          <w:sz w:val="24"/>
          <w:szCs w:val="24"/>
        </w:rPr>
        <w:t>և</w:t>
      </w:r>
      <w:r w:rsidRPr="00834D52">
        <w:rPr>
          <w:rFonts w:ascii="Sylfaen" w:hAnsi="Sylfaen"/>
          <w:sz w:val="24"/>
          <w:szCs w:val="24"/>
        </w:rPr>
        <w:t xml:space="preserve"> պատրաստման համար նախատեսված դեղամիջոց.</w:t>
      </w:r>
    </w:p>
    <w:p w14:paraId="477658B0" w14:textId="77777777" w:rsidR="006F76EB" w:rsidRPr="00DB039F"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1268BB">
        <w:rPr>
          <w:rFonts w:ascii="Sylfaen" w:hAnsi="Sylfaen"/>
          <w:sz w:val="24"/>
          <w:szCs w:val="24"/>
        </w:rPr>
        <w:t xml:space="preserve">անվտանգության, արդյունավետության </w:t>
      </w:r>
      <w:r w:rsidR="00C54D75">
        <w:rPr>
          <w:rFonts w:ascii="Sylfaen" w:hAnsi="Sylfaen"/>
          <w:sz w:val="24"/>
          <w:szCs w:val="24"/>
        </w:rPr>
        <w:t>և</w:t>
      </w:r>
      <w:r w:rsidRPr="001268BB">
        <w:rPr>
          <w:rFonts w:ascii="Sylfaen" w:hAnsi="Sylfaen"/>
          <w:sz w:val="24"/>
          <w:szCs w:val="24"/>
        </w:rPr>
        <w:t xml:space="preserve"> որակի գնահատման մասին փորձագիտական հաշվետվություն (գնահատման մասին փորձագիտական հաշվետվություն)՝</w:t>
      </w:r>
      <w:r w:rsidRPr="00834D52">
        <w:rPr>
          <w:rFonts w:ascii="Sylfaen" w:hAnsi="Sylfaen"/>
          <w:b/>
          <w:sz w:val="24"/>
          <w:szCs w:val="24"/>
        </w:rPr>
        <w:t xml:space="preserve"> </w:t>
      </w:r>
      <w:r w:rsidR="00902742">
        <w:rPr>
          <w:rFonts w:ascii="Sylfaen" w:hAnsi="Sylfaen"/>
          <w:sz w:val="24"/>
          <w:szCs w:val="24"/>
        </w:rPr>
        <w:t>ռեֆերենտ</w:t>
      </w:r>
      <w:r w:rsidR="00902742" w:rsidRPr="00834D52">
        <w:rPr>
          <w:rFonts w:ascii="Sylfaen" w:hAnsi="Sylfaen"/>
          <w:sz w:val="24"/>
          <w:szCs w:val="24"/>
        </w:rPr>
        <w:t xml:space="preserve"> </w:t>
      </w:r>
      <w:r w:rsidRPr="00834D52">
        <w:rPr>
          <w:rFonts w:ascii="Sylfaen" w:hAnsi="Sylfaen"/>
          <w:sz w:val="24"/>
          <w:szCs w:val="24"/>
        </w:rPr>
        <w:t xml:space="preserve">պետության փորձագիտական կազմակերպության կողմից նախապատարաստված փաստաթուղթ, որը պարունակում է դեղապատրաստուկի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փորձաքննության արդյունքները </w:t>
      </w:r>
      <w:r w:rsidR="00C54D75">
        <w:rPr>
          <w:rFonts w:ascii="Sylfaen" w:hAnsi="Sylfaen"/>
          <w:sz w:val="24"/>
          <w:szCs w:val="24"/>
        </w:rPr>
        <w:t>և</w:t>
      </w:r>
      <w:r w:rsidRPr="00834D52">
        <w:rPr>
          <w:rFonts w:ascii="Sylfaen" w:hAnsi="Sylfaen"/>
          <w:sz w:val="24"/>
          <w:szCs w:val="24"/>
        </w:rPr>
        <w:t xml:space="preserve"> դեղապատրաստուկը գրանցելու, գրանցումը հաստատելու (վերագրանցելու), գրանցման դոսյեի մեջ փոփոխություններ կատարելու, Միության պահանջներին դեղապատրաստուկը համապատասխանեցնելու հնարավորության (կամ անհնարինության) մասին եզրակացություն</w:t>
      </w:r>
      <w:r>
        <w:rPr>
          <w:rFonts w:ascii="Sylfaen" w:hAnsi="Sylfaen"/>
          <w:sz w:val="24"/>
          <w:szCs w:val="24"/>
        </w:rPr>
        <w:t>.</w:t>
      </w:r>
    </w:p>
    <w:p w14:paraId="22353E37" w14:textId="2C1A1615" w:rsidR="006F76EB" w:rsidRDefault="006F76EB" w:rsidP="006F76EB">
      <w:pPr>
        <w:tabs>
          <w:tab w:val="left" w:pos="1134"/>
        </w:tabs>
        <w:spacing w:after="160" w:line="360" w:lineRule="auto"/>
        <w:ind w:right="-8" w:firstLine="567"/>
        <w:jc w:val="both"/>
        <w:rPr>
          <w:rFonts w:ascii="Sylfaen" w:hAnsi="Sylfaen"/>
          <w:sz w:val="24"/>
          <w:szCs w:val="24"/>
        </w:rPr>
      </w:pPr>
      <w:r w:rsidRPr="001268BB">
        <w:rPr>
          <w:rFonts w:ascii="Sylfaen" w:hAnsi="Sylfaen"/>
          <w:sz w:val="24"/>
          <w:szCs w:val="24"/>
        </w:rPr>
        <w:t>դեղապատրաստուկի արդյունավետություն</w:t>
      </w:r>
      <w:r w:rsidRPr="00834D52">
        <w:rPr>
          <w:rFonts w:ascii="Sylfaen" w:hAnsi="Sylfaen"/>
          <w:sz w:val="24"/>
          <w:szCs w:val="24"/>
        </w:rPr>
        <w:t>՝ բնութագրերի ամբողջություն, որոնք ապահովում են կանխարգելիչ, ախտորոշիչ կամ բուժական էֆեկտին հասնելը կամ ֆիզիոլոգիական գործառույթի վերականգնումը, շտկումը կամ մոդիֆիկացումը:</w:t>
      </w:r>
    </w:p>
    <w:p w14:paraId="6FA09B7E" w14:textId="52B78CDB" w:rsidR="006F76EB" w:rsidRPr="006F28F9" w:rsidRDefault="00DC4194" w:rsidP="00DC4194">
      <w:pPr>
        <w:rPr>
          <w:b/>
          <w:bCs/>
          <w:i/>
          <w:iCs/>
        </w:rPr>
      </w:pPr>
      <w:r w:rsidRPr="00CD4709">
        <w:rPr>
          <w:b/>
          <w:bCs/>
          <w:i/>
          <w:iCs/>
        </w:rPr>
        <w:t>(</w:t>
      </w:r>
      <w:r>
        <w:rPr>
          <w:b/>
          <w:bCs/>
          <w:i/>
          <w:iCs/>
        </w:rPr>
        <w:t xml:space="preserve">19-րդ կետը </w:t>
      </w:r>
      <w:r w:rsidRPr="00CD4709">
        <w:rPr>
          <w:b/>
          <w:bCs/>
          <w:i/>
          <w:iCs/>
        </w:rPr>
        <w:t>փոփ. 30.01.20 թիվ 9</w:t>
      </w:r>
      <w:r w:rsidR="006F28F9">
        <w:rPr>
          <w:b/>
          <w:bCs/>
          <w:i/>
          <w:iCs/>
        </w:rPr>
        <w:t>, 23.04.21 թիվ 34</w:t>
      </w:r>
      <w:r w:rsidRPr="00CD4709">
        <w:rPr>
          <w:b/>
          <w:bCs/>
          <w:i/>
          <w:iCs/>
        </w:rPr>
        <w:t>)</w:t>
      </w:r>
    </w:p>
    <w:p w14:paraId="7F7A36F7"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III. Դեղապատրաստուկների </w:t>
      </w:r>
      <w:r w:rsidR="009D2161" w:rsidRPr="00955C1D">
        <w:rPr>
          <w:rFonts w:ascii="Sylfaen" w:hAnsi="Sylfaen"/>
          <w:sz w:val="24"/>
          <w:szCs w:val="24"/>
        </w:rPr>
        <w:br/>
      </w:r>
      <w:r w:rsidRPr="00834D52">
        <w:rPr>
          <w:rFonts w:ascii="Sylfaen" w:hAnsi="Sylfaen"/>
          <w:sz w:val="24"/>
          <w:szCs w:val="24"/>
        </w:rPr>
        <w:t>գրանցման ընդհանուր սկզբունքները</w:t>
      </w:r>
    </w:p>
    <w:p w14:paraId="0E9BAE39" w14:textId="248FC9BE" w:rsidR="006F76EB"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20.</w:t>
      </w:r>
      <w:r w:rsidRPr="00834D52">
        <w:rPr>
          <w:rFonts w:ascii="Sylfaen" w:hAnsi="Sylfaen"/>
          <w:sz w:val="24"/>
          <w:szCs w:val="24"/>
        </w:rPr>
        <w:tab/>
        <w:t xml:space="preserve">Դեղապատրաստուկների գրանցումը կարող է իրականացվել </w:t>
      </w:r>
      <w:r w:rsidR="0056496B">
        <w:rPr>
          <w:rFonts w:ascii="Sylfaen" w:hAnsi="Sylfaen"/>
          <w:sz w:val="24"/>
          <w:szCs w:val="24"/>
        </w:rPr>
        <w:t>դիմումատու</w:t>
      </w:r>
      <w:r w:rsidRPr="00834D52">
        <w:rPr>
          <w:rFonts w:ascii="Sylfaen" w:hAnsi="Sylfaen"/>
          <w:sz w:val="24"/>
          <w:szCs w:val="24"/>
        </w:rPr>
        <w:t xml:space="preserve">ի պահանջով հաջորդաբար մի քանի անդամ պետություններում՝ փոխադարձ ճանաչման ընթացակարգին համապատասխան, կամ միաժամանակ </w:t>
      </w:r>
      <w:r w:rsidRPr="00834D52">
        <w:rPr>
          <w:rFonts w:ascii="Sylfaen" w:hAnsi="Sylfaen"/>
          <w:sz w:val="24"/>
          <w:szCs w:val="24"/>
        </w:rPr>
        <w:lastRenderedPageBreak/>
        <w:t>մի քանի անդամ պետություններում՝ գրանցման ապակենտրոնացված ընթացակարգին համապատասխան.</w:t>
      </w:r>
    </w:p>
    <w:p w14:paraId="3B3B44E8" w14:textId="6958FF8A" w:rsidR="00DC4194" w:rsidRPr="006F28F9" w:rsidRDefault="00DC4194" w:rsidP="00DC4194">
      <w:pPr>
        <w:rPr>
          <w:b/>
          <w:bCs/>
          <w:i/>
          <w:iCs/>
        </w:rPr>
      </w:pPr>
      <w:r w:rsidRPr="00CD4709">
        <w:rPr>
          <w:b/>
          <w:bCs/>
          <w:i/>
          <w:iCs/>
        </w:rPr>
        <w:t>(</w:t>
      </w:r>
      <w:r>
        <w:rPr>
          <w:b/>
          <w:bCs/>
          <w:i/>
          <w:iCs/>
        </w:rPr>
        <w:t xml:space="preserve">20-րդ կետը </w:t>
      </w:r>
      <w:r w:rsidRPr="00CD4709">
        <w:rPr>
          <w:b/>
          <w:bCs/>
          <w:i/>
          <w:iCs/>
        </w:rPr>
        <w:t>փոփ. 30.01.20 թիվ 9)</w:t>
      </w:r>
    </w:p>
    <w:p w14:paraId="05778A5E" w14:textId="77777777" w:rsidR="006F76EB" w:rsidRPr="00834D52" w:rsidRDefault="006F76EB" w:rsidP="00ED52E1">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Փոխադարձ ճանաչման ընթացակարգն իրականացվում է՝</w:t>
      </w:r>
    </w:p>
    <w:p w14:paraId="5603DA77" w14:textId="77777777" w:rsidR="006F76EB" w:rsidRPr="00834D52" w:rsidRDefault="006F76EB" w:rsidP="00ED52E1">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ա)</w:t>
      </w:r>
      <w:r w:rsidRPr="00834D52">
        <w:rPr>
          <w:rFonts w:ascii="Sylfaen" w:hAnsi="Sylfaen"/>
          <w:sz w:val="24"/>
          <w:szCs w:val="24"/>
        </w:rPr>
        <w:tab/>
      </w:r>
      <w:r w:rsidR="006B20D8">
        <w:rPr>
          <w:rFonts w:ascii="Sylfaen" w:hAnsi="Sylfaen"/>
          <w:sz w:val="24"/>
          <w:szCs w:val="24"/>
        </w:rPr>
        <w:t>ռեֆերենտ</w:t>
      </w:r>
      <w:r w:rsidR="006B20D8" w:rsidRPr="00834D52">
        <w:rPr>
          <w:rFonts w:ascii="Sylfaen" w:hAnsi="Sylfaen"/>
          <w:sz w:val="24"/>
          <w:szCs w:val="24"/>
        </w:rPr>
        <w:t xml:space="preserve"> </w:t>
      </w:r>
      <w:r w:rsidRPr="00834D52">
        <w:rPr>
          <w:rFonts w:ascii="Sylfaen" w:hAnsi="Sylfaen"/>
          <w:sz w:val="24"/>
          <w:szCs w:val="24"/>
        </w:rPr>
        <w:t>պետության կողմից միայն այդ պետության շուկայում դեղապատրաստուկի շրջանառության նպատակով՝ սույն Կանոններին համապատասխան (գրանցման ազգային ընթացակարգ).</w:t>
      </w:r>
    </w:p>
    <w:p w14:paraId="6CE0E869" w14:textId="643388C5"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պետություններում՝ </w:t>
      </w:r>
      <w:r w:rsidR="0056496B">
        <w:rPr>
          <w:rFonts w:ascii="Sylfaen" w:hAnsi="Sylfaen"/>
          <w:sz w:val="24"/>
          <w:szCs w:val="24"/>
        </w:rPr>
        <w:t>դիմումատու</w:t>
      </w:r>
      <w:r w:rsidRPr="00834D52">
        <w:rPr>
          <w:rFonts w:ascii="Sylfaen" w:hAnsi="Sylfaen"/>
          <w:sz w:val="24"/>
          <w:szCs w:val="24"/>
        </w:rPr>
        <w:t xml:space="preserve">ի ցանկությամբ՝ դեղապատրաստուկը փոխադարձ ճանաչման ընթացակարգով </w:t>
      </w:r>
      <w:r w:rsidR="006B20D8">
        <w:rPr>
          <w:rFonts w:ascii="Sylfaen" w:hAnsi="Sylfaen"/>
          <w:sz w:val="24"/>
          <w:szCs w:val="24"/>
        </w:rPr>
        <w:t>ռեֆերենտ</w:t>
      </w:r>
      <w:r w:rsidRPr="00834D52">
        <w:rPr>
          <w:rFonts w:ascii="Sylfaen" w:hAnsi="Sylfaen"/>
          <w:sz w:val="24"/>
          <w:szCs w:val="24"/>
        </w:rPr>
        <w:t xml:space="preserve"> պետությունում գրանցելուց հետո: </w:t>
      </w:r>
    </w:p>
    <w:p w14:paraId="2812DC2A" w14:textId="653A1BD9" w:rsidR="00826A20" w:rsidRPr="006F28F9" w:rsidRDefault="00826A20" w:rsidP="00826A20">
      <w:pPr>
        <w:rPr>
          <w:b/>
          <w:bCs/>
          <w:i/>
          <w:iCs/>
        </w:rPr>
      </w:pPr>
      <w:r w:rsidRPr="00CD4709">
        <w:rPr>
          <w:b/>
          <w:bCs/>
          <w:i/>
          <w:iCs/>
        </w:rPr>
        <w:t>(</w:t>
      </w:r>
      <w:r>
        <w:rPr>
          <w:b/>
          <w:bCs/>
          <w:i/>
          <w:iCs/>
        </w:rPr>
        <w:t xml:space="preserve">21-րդ կետը </w:t>
      </w:r>
      <w:r w:rsidRPr="00CD4709">
        <w:rPr>
          <w:b/>
          <w:bCs/>
          <w:i/>
          <w:iCs/>
        </w:rPr>
        <w:t>փոփ. 30.01.20 թիվ 9)</w:t>
      </w:r>
    </w:p>
    <w:p w14:paraId="0B40F48A" w14:textId="014B3EFC" w:rsidR="006F76EB" w:rsidRDefault="006F76EB" w:rsidP="00ED52E1">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22.</w:t>
      </w:r>
      <w:r w:rsidRPr="00834D52">
        <w:rPr>
          <w:rFonts w:ascii="Sylfaen" w:hAnsi="Sylfaen"/>
          <w:sz w:val="24"/>
          <w:szCs w:val="24"/>
        </w:rPr>
        <w:tab/>
        <w:t xml:space="preserve">Գրանցման ապակենտրոնացված ընթացակարգն իրականացվում է միաժամանակ մի քանի անդամ պետությունների կողմից, որոնցում ներկայացվել է դեղապատրաստուկի գրանցման </w:t>
      </w:r>
      <w:r w:rsidR="0056496B">
        <w:rPr>
          <w:rFonts w:ascii="Sylfaen" w:hAnsi="Sylfaen"/>
          <w:sz w:val="24"/>
          <w:szCs w:val="24"/>
        </w:rPr>
        <w:t>դիմում</w:t>
      </w:r>
      <w:r w:rsidRPr="00834D52">
        <w:rPr>
          <w:rFonts w:ascii="Sylfaen" w:hAnsi="Sylfaen"/>
          <w:sz w:val="24"/>
          <w:szCs w:val="24"/>
        </w:rPr>
        <w:t xml:space="preserve">ը՝ ընտրելով </w:t>
      </w:r>
      <w:r w:rsidR="006B20D8">
        <w:rPr>
          <w:rFonts w:ascii="Sylfaen" w:hAnsi="Sylfaen"/>
          <w:sz w:val="24"/>
          <w:szCs w:val="24"/>
        </w:rPr>
        <w:t>ռեֆերենտ</w:t>
      </w:r>
      <w:r w:rsidRPr="00834D52">
        <w:rPr>
          <w:rFonts w:ascii="Sylfaen" w:hAnsi="Sylfaen"/>
          <w:sz w:val="24"/>
          <w:szCs w:val="24"/>
        </w:rPr>
        <w:t xml:space="preserve"> պետությունը:</w:t>
      </w:r>
    </w:p>
    <w:p w14:paraId="3EBBF348" w14:textId="48B10DA3" w:rsidR="00826A20" w:rsidRPr="006F28F9" w:rsidRDefault="00826A20" w:rsidP="00826A20">
      <w:pPr>
        <w:rPr>
          <w:b/>
          <w:bCs/>
          <w:i/>
          <w:iCs/>
        </w:rPr>
      </w:pPr>
      <w:r w:rsidRPr="00CD4709">
        <w:rPr>
          <w:b/>
          <w:bCs/>
          <w:i/>
          <w:iCs/>
        </w:rPr>
        <w:t>(</w:t>
      </w:r>
      <w:r>
        <w:rPr>
          <w:b/>
          <w:bCs/>
          <w:i/>
          <w:iCs/>
        </w:rPr>
        <w:t xml:space="preserve">22-րդ կետը </w:t>
      </w:r>
      <w:r w:rsidRPr="00CD4709">
        <w:rPr>
          <w:b/>
          <w:bCs/>
          <w:i/>
          <w:iCs/>
        </w:rPr>
        <w:t>փոփ. 30.01.20 թիվ 9)</w:t>
      </w:r>
    </w:p>
    <w:p w14:paraId="55F2174A" w14:textId="4B650560" w:rsidR="006F76EB" w:rsidRDefault="006F76EB" w:rsidP="006F76EB">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ինքնուրույն է կատարում </w:t>
      </w:r>
      <w:r w:rsidR="006B20D8">
        <w:rPr>
          <w:rFonts w:ascii="Sylfaen" w:hAnsi="Sylfaen"/>
          <w:sz w:val="24"/>
          <w:szCs w:val="24"/>
        </w:rPr>
        <w:t>ռեֆերենտ</w:t>
      </w:r>
      <w:r w:rsidRPr="00834D52">
        <w:rPr>
          <w:rFonts w:ascii="Sylfaen" w:hAnsi="Sylfaen"/>
          <w:sz w:val="24"/>
          <w:szCs w:val="24"/>
        </w:rPr>
        <w:t xml:space="preserve"> պետության </w:t>
      </w:r>
      <w:r w:rsidR="00C54D75">
        <w:rPr>
          <w:rFonts w:ascii="Sylfaen" w:hAnsi="Sylfaen"/>
          <w:sz w:val="24"/>
          <w:szCs w:val="24"/>
        </w:rPr>
        <w:t>և</w:t>
      </w:r>
      <w:r w:rsidRPr="00834D52">
        <w:rPr>
          <w:rFonts w:ascii="Sylfaen" w:hAnsi="Sylfaen"/>
          <w:sz w:val="24"/>
          <w:szCs w:val="24"/>
        </w:rPr>
        <w:t xml:space="preserve"> անհրաժեշտության դեպքում ճանաչման պետության ընտրությունը դեղապատրաստուկի գրանցման </w:t>
      </w:r>
      <w:r w:rsidR="0056496B">
        <w:rPr>
          <w:rFonts w:ascii="Sylfaen" w:hAnsi="Sylfaen"/>
          <w:sz w:val="24"/>
          <w:szCs w:val="24"/>
        </w:rPr>
        <w:t>դիմում</w:t>
      </w:r>
      <w:r w:rsidRPr="00834D52">
        <w:rPr>
          <w:rFonts w:ascii="Sylfaen" w:hAnsi="Sylfaen"/>
          <w:sz w:val="24"/>
          <w:szCs w:val="24"/>
        </w:rPr>
        <w:t>ը ներկայացնելիս:</w:t>
      </w:r>
    </w:p>
    <w:p w14:paraId="7D8C0192" w14:textId="196CACA7" w:rsidR="00826A20" w:rsidRPr="006F28F9" w:rsidRDefault="00826A20" w:rsidP="00826A20">
      <w:pPr>
        <w:rPr>
          <w:b/>
          <w:bCs/>
          <w:i/>
          <w:iCs/>
        </w:rPr>
      </w:pPr>
      <w:r w:rsidRPr="00CD4709">
        <w:rPr>
          <w:b/>
          <w:bCs/>
          <w:i/>
          <w:iCs/>
        </w:rPr>
        <w:t>(</w:t>
      </w:r>
      <w:r>
        <w:rPr>
          <w:b/>
          <w:bCs/>
          <w:i/>
          <w:iCs/>
        </w:rPr>
        <w:t xml:space="preserve">23-րդ կետը </w:t>
      </w:r>
      <w:r w:rsidRPr="00CD4709">
        <w:rPr>
          <w:b/>
          <w:bCs/>
          <w:i/>
          <w:iCs/>
        </w:rPr>
        <w:t>փոփ. 30.01.20 թիվ 9)</w:t>
      </w:r>
    </w:p>
    <w:p w14:paraId="437464D3"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Միայն մեկ պետություն կարող է հանդես գալ որպես </w:t>
      </w:r>
      <w:r w:rsidR="006B20D8">
        <w:rPr>
          <w:rFonts w:ascii="Sylfaen" w:hAnsi="Sylfaen"/>
          <w:sz w:val="24"/>
          <w:szCs w:val="24"/>
        </w:rPr>
        <w:t>ռեֆերենտ</w:t>
      </w:r>
      <w:r w:rsidRPr="00834D52">
        <w:rPr>
          <w:rFonts w:ascii="Sylfaen" w:hAnsi="Sylfaen"/>
          <w:sz w:val="24"/>
          <w:szCs w:val="24"/>
        </w:rPr>
        <w:t xml:space="preserve"> պետություն:</w:t>
      </w:r>
    </w:p>
    <w:p w14:paraId="634CBE8E" w14:textId="77777777" w:rsidR="006F76EB" w:rsidRPr="00834D52" w:rsidRDefault="006F76EB" w:rsidP="006F76E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r>
      <w:r w:rsidRPr="00360CBD">
        <w:rPr>
          <w:rFonts w:ascii="Sylfaen" w:hAnsi="Sylfaen"/>
          <w:spacing w:val="6"/>
          <w:sz w:val="24"/>
          <w:szCs w:val="24"/>
        </w:rPr>
        <w:t>Դեղապատրաստուկի գրանցմանը ներկայացվող ընդհանուր տեխնիկական փաստաթղթի ձ</w:t>
      </w:r>
      <w:r w:rsidR="00C54D75">
        <w:rPr>
          <w:rFonts w:ascii="Sylfaen" w:hAnsi="Sylfaen"/>
          <w:spacing w:val="6"/>
          <w:sz w:val="24"/>
          <w:szCs w:val="24"/>
        </w:rPr>
        <w:t>և</w:t>
      </w:r>
      <w:r w:rsidRPr="00360CBD">
        <w:rPr>
          <w:rFonts w:ascii="Sylfaen" w:hAnsi="Sylfaen"/>
          <w:spacing w:val="6"/>
          <w:sz w:val="24"/>
          <w:szCs w:val="24"/>
        </w:rPr>
        <w:t xml:space="preserve">աչափով՝ փաստաթղթերին </w:t>
      </w:r>
      <w:r w:rsidR="00C54D75">
        <w:rPr>
          <w:rFonts w:ascii="Sylfaen" w:hAnsi="Sylfaen"/>
          <w:spacing w:val="6"/>
          <w:sz w:val="24"/>
          <w:szCs w:val="24"/>
        </w:rPr>
        <w:t>և</w:t>
      </w:r>
      <w:r w:rsidRPr="00360CBD">
        <w:rPr>
          <w:rFonts w:ascii="Sylfaen" w:hAnsi="Sylfaen"/>
          <w:spacing w:val="6"/>
          <w:sz w:val="24"/>
          <w:szCs w:val="24"/>
        </w:rPr>
        <w:t xml:space="preserve"> գրանցման դոսյեի տվյալներին ներկայացվող պահանջները սահմանված են սույն Կանոնների թիվ</w:t>
      </w:r>
      <w:r w:rsidRPr="00834D52">
        <w:rPr>
          <w:rFonts w:ascii="Sylfaen" w:hAnsi="Sylfaen"/>
          <w:sz w:val="24"/>
          <w:szCs w:val="24"/>
        </w:rPr>
        <w:t xml:space="preserve"> 1-5 հավելվածներով:</w:t>
      </w:r>
    </w:p>
    <w:p w14:paraId="405EF995" w14:textId="77777777" w:rsidR="00826A20"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26.</w:t>
      </w:r>
      <w:r w:rsidRPr="00834D52">
        <w:rPr>
          <w:rFonts w:ascii="Sylfaen" w:hAnsi="Sylfaen"/>
          <w:sz w:val="24"/>
          <w:szCs w:val="24"/>
        </w:rPr>
        <w:tab/>
        <w:t>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ը ներկայացնելը լիազորված մարմինները կամ փորձագիտական կազմակերպություններն իրավունք ունեն, </w:t>
      </w:r>
      <w:r w:rsidR="0056496B">
        <w:rPr>
          <w:rFonts w:ascii="Sylfaen" w:hAnsi="Sylfaen"/>
          <w:sz w:val="24"/>
          <w:szCs w:val="24"/>
        </w:rPr>
        <w:t>դիմումատու</w:t>
      </w:r>
      <w:r w:rsidRPr="00834D52">
        <w:rPr>
          <w:rFonts w:ascii="Sylfaen" w:hAnsi="Sylfaen"/>
          <w:sz w:val="24"/>
          <w:szCs w:val="24"/>
        </w:rPr>
        <w:t xml:space="preserve">ի հարցման հիման վրա, անդամ պետությունների օրենսդրությանը համապատասխան, անցկացնելու գիտական </w:t>
      </w:r>
      <w:r w:rsidR="00C54D75">
        <w:rPr>
          <w:rFonts w:ascii="Sylfaen" w:hAnsi="Sylfaen"/>
          <w:sz w:val="24"/>
          <w:szCs w:val="24"/>
        </w:rPr>
        <w:t>և</w:t>
      </w:r>
      <w:r w:rsidRPr="00834D52">
        <w:rPr>
          <w:rFonts w:ascii="Sylfaen" w:hAnsi="Sylfaen"/>
          <w:sz w:val="24"/>
          <w:szCs w:val="24"/>
        </w:rPr>
        <w:t xml:space="preserve"> նախագրանցումային խորհրդակցություններ՝ վերլուծական փորձարկումների,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անցկացման հետ կապված հարցերի, գրանցման ընթացակարգի ասպեկտների վերաբերյալ, այդ թվում՝ որակավորմանը, դեղապատրաստուկի գրանցման </w:t>
      </w:r>
      <w:r w:rsidR="0056496B">
        <w:rPr>
          <w:rFonts w:ascii="Sylfaen" w:hAnsi="Sylfaen"/>
          <w:sz w:val="24"/>
          <w:szCs w:val="24"/>
        </w:rPr>
        <w:t>դիմում</w:t>
      </w:r>
      <w:r w:rsidRPr="00834D52">
        <w:rPr>
          <w:rFonts w:ascii="Sylfaen" w:hAnsi="Sylfaen"/>
          <w:sz w:val="24"/>
          <w:szCs w:val="24"/>
        </w:rPr>
        <w:t xml:space="preserve">ի տարատեսակներին առնչվող հարցերի վերաբերյալ՝ գրանցման դոսյեի լրակազմության առնչությամբ փաստաթղթերի </w:t>
      </w:r>
      <w:r w:rsidR="00C54D75">
        <w:rPr>
          <w:rFonts w:ascii="Sylfaen" w:hAnsi="Sylfaen"/>
          <w:sz w:val="24"/>
          <w:szCs w:val="24"/>
        </w:rPr>
        <w:t>և</w:t>
      </w:r>
      <w:r w:rsidRPr="00834D52">
        <w:rPr>
          <w:rFonts w:ascii="Sylfaen" w:hAnsi="Sylfaen"/>
          <w:sz w:val="24"/>
          <w:szCs w:val="24"/>
        </w:rPr>
        <w:t xml:space="preserve"> գրանցման դոսյեի տվյալների ծավալը որոշելու նպատակով, ճանաչման պետություններում փոխկապակցված անձանց սահմանմանը, </w:t>
      </w:r>
      <w:r w:rsidR="0056496B">
        <w:rPr>
          <w:rFonts w:ascii="Sylfaen" w:hAnsi="Sylfaen"/>
          <w:sz w:val="24"/>
          <w:szCs w:val="24"/>
        </w:rPr>
        <w:t>դիմում</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գրանցման դոսյեի ներկայացման ձ</w:t>
      </w:r>
      <w:r w:rsidR="00C54D75">
        <w:rPr>
          <w:rFonts w:ascii="Sylfaen" w:hAnsi="Sylfaen"/>
          <w:sz w:val="24"/>
          <w:szCs w:val="24"/>
        </w:rPr>
        <w:t>և</w:t>
      </w:r>
      <w:r w:rsidRPr="00834D52">
        <w:rPr>
          <w:rFonts w:ascii="Sylfaen" w:hAnsi="Sylfaen"/>
          <w:sz w:val="24"/>
          <w:szCs w:val="24"/>
        </w:rPr>
        <w:t xml:space="preserve">աչափին, փորձագիտական կազմակերպությունում կամ ըստ դեղապատրաստուկի նշանակության որակի լաբորատոր փորձաքննություն անցկացնելու համար անհրաժեշտ դեղապատրաստուկի նմուշներ, ստանդարտ նմուշներ, նյութեր, սպեցիֆիկ ռեակտիվներ, սպառման նյութեր տրամադրելու անհրաժեշտությանն առնչվող </w:t>
      </w:r>
      <w:r w:rsidR="00C54D75">
        <w:rPr>
          <w:rFonts w:ascii="Sylfaen" w:hAnsi="Sylfaen"/>
          <w:sz w:val="24"/>
          <w:szCs w:val="24"/>
        </w:rPr>
        <w:t>և</w:t>
      </w:r>
      <w:r w:rsidRPr="00834D52">
        <w:rPr>
          <w:rFonts w:ascii="Sylfaen" w:hAnsi="Sylfaen"/>
          <w:sz w:val="24"/>
          <w:szCs w:val="24"/>
        </w:rPr>
        <w:t xml:space="preserve"> այլ հարցերի վերաբերյալ:</w:t>
      </w:r>
    </w:p>
    <w:p w14:paraId="12372781" w14:textId="72A245EA" w:rsidR="006F76EB" w:rsidRPr="006F28F9" w:rsidRDefault="00826A20" w:rsidP="00826A20">
      <w:pPr>
        <w:rPr>
          <w:b/>
          <w:bCs/>
          <w:i/>
          <w:iCs/>
        </w:rPr>
      </w:pPr>
      <w:r w:rsidRPr="00CD4709">
        <w:rPr>
          <w:b/>
          <w:bCs/>
          <w:i/>
          <w:iCs/>
        </w:rPr>
        <w:t>(</w:t>
      </w:r>
      <w:r>
        <w:rPr>
          <w:b/>
          <w:bCs/>
          <w:i/>
          <w:iCs/>
        </w:rPr>
        <w:t xml:space="preserve">26-րդ կետը </w:t>
      </w:r>
      <w:r w:rsidRPr="00CD4709">
        <w:rPr>
          <w:b/>
          <w:bCs/>
          <w:i/>
          <w:iCs/>
        </w:rPr>
        <w:t>փոփ. 30.01.20 թիվ 9)</w:t>
      </w:r>
    </w:p>
    <w:p w14:paraId="65AF9747" w14:textId="77777777" w:rsidR="00826A20"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27.</w:t>
      </w:r>
      <w:r w:rsidRPr="00834D52">
        <w:rPr>
          <w:rFonts w:ascii="Sylfaen" w:hAnsi="Sylfaen"/>
          <w:sz w:val="24"/>
          <w:szCs w:val="24"/>
        </w:rPr>
        <w:tab/>
        <w:t xml:space="preserve">Դեղապատրաստուկը գրանցելու, գրանցումը հաստատելու (վերագրանցելու), գրանցման դոսյեում փոփոխություններ կատարելու ընթացակարգերի կամ գրանցման հետ կապված ընթացակարգերի անցկացման ընթացքում դեղամիջոցների անցկացված նախակլինիկական (ոչ կլինիկական) հետազոտությունների (փորձարկումների) </w:t>
      </w:r>
      <w:r w:rsidR="00C54D75">
        <w:rPr>
          <w:rFonts w:ascii="Sylfaen" w:hAnsi="Sylfaen"/>
          <w:sz w:val="24"/>
          <w:szCs w:val="24"/>
        </w:rPr>
        <w:t>և</w:t>
      </w:r>
      <w:r w:rsidRPr="00834D52">
        <w:rPr>
          <w:rFonts w:ascii="Sylfaen" w:hAnsi="Sylfaen"/>
          <w:sz w:val="24"/>
          <w:szCs w:val="24"/>
        </w:rPr>
        <w:t xml:space="preserve"> դեղապատրաստուկների կլինիկական հետազոտությունների (փորձարկումների) կամ դեղամիջոցի արտադրության, այդ թվում՝ դեղագործական սուբստանցիայի արտադրության կամ դեղազգոնության համակարգի կազմակերպման առնչությամբ </w:t>
      </w:r>
      <w:r w:rsidR="0056496B">
        <w:rPr>
          <w:rFonts w:ascii="Sylfaen" w:hAnsi="Sylfaen"/>
          <w:sz w:val="24"/>
          <w:szCs w:val="24"/>
        </w:rPr>
        <w:t>դիմումատու</w:t>
      </w:r>
      <w:r w:rsidRPr="00834D52">
        <w:rPr>
          <w:rFonts w:ascii="Sylfaen" w:hAnsi="Sylfaen"/>
          <w:sz w:val="24"/>
          <w:szCs w:val="24"/>
        </w:rPr>
        <w:t xml:space="preserve">ի՝ գրանցման դոսյեում ներկայացրած տեղեկությունների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 xml:space="preserve">նաբերելու դեպքում </w:t>
      </w:r>
      <w:r w:rsidR="006B20D8">
        <w:rPr>
          <w:rFonts w:ascii="Sylfaen" w:hAnsi="Sylfaen"/>
          <w:sz w:val="24"/>
          <w:szCs w:val="24"/>
        </w:rPr>
        <w:t>ռեֆերենտ</w:t>
      </w:r>
      <w:r w:rsidRPr="00834D52">
        <w:rPr>
          <w:rFonts w:ascii="Sylfaen" w:hAnsi="Sylfaen"/>
          <w:sz w:val="24"/>
          <w:szCs w:val="24"/>
        </w:rPr>
        <w:t xml:space="preserve"> պետության լիազորված մարմինը </w:t>
      </w:r>
      <w:r w:rsidRPr="00834D52">
        <w:rPr>
          <w:rFonts w:ascii="Sylfaen" w:hAnsi="Sylfaen"/>
          <w:sz w:val="24"/>
          <w:szCs w:val="24"/>
        </w:rPr>
        <w:lastRenderedPageBreak/>
        <w:t>կամ փորձագիտական կազմակերպությունը նախաձեռնում է այդ պետության դեղագործական տեսչության կողմից տեսչական ստուգման անցկացում՝ համապատասխան պատշաճ դեղագործական գործունեության պահանջների պահպանման մասով: Այդպիսի տեսչական ստուգումներ կարող են նա</w:t>
      </w:r>
      <w:r w:rsidR="00C54D75">
        <w:rPr>
          <w:rFonts w:ascii="Sylfaen" w:hAnsi="Sylfaen"/>
          <w:sz w:val="24"/>
          <w:szCs w:val="24"/>
        </w:rPr>
        <w:t>և</w:t>
      </w:r>
      <w:r w:rsidRPr="00834D52">
        <w:rPr>
          <w:rFonts w:ascii="Sylfaen" w:hAnsi="Sylfaen"/>
          <w:sz w:val="24"/>
          <w:szCs w:val="24"/>
        </w:rPr>
        <w:t xml:space="preserve"> նախաձեռնվել սույն Կանոնների 31-րդ, 33-րդ, 35-րդ, 37-39-րդ կետերում նշված դեպքերում: Համապատասխան արտապլանային տեսչական ստուգումները դրանց անհրաժեշտության դեպքում ժամանակին նախաձեռնելու համար պատասխանատվություն է կրում </w:t>
      </w:r>
      <w:r w:rsidR="00753550">
        <w:rPr>
          <w:rFonts w:ascii="Sylfaen" w:hAnsi="Sylfaen"/>
          <w:sz w:val="24"/>
          <w:szCs w:val="24"/>
        </w:rPr>
        <w:t>ռեֆերենտ</w:t>
      </w:r>
      <w:r w:rsidR="00753550" w:rsidRPr="00834D52">
        <w:rPr>
          <w:rFonts w:ascii="Sylfaen" w:hAnsi="Sylfaen"/>
          <w:sz w:val="24"/>
          <w:szCs w:val="24"/>
        </w:rPr>
        <w:t xml:space="preserve"> </w:t>
      </w:r>
      <w:r w:rsidRPr="00834D52">
        <w:rPr>
          <w:rFonts w:ascii="Sylfaen" w:hAnsi="Sylfaen"/>
          <w:sz w:val="24"/>
          <w:szCs w:val="24"/>
        </w:rPr>
        <w:t>պետության լիազորված մարմինը:</w:t>
      </w:r>
    </w:p>
    <w:p w14:paraId="68F33223" w14:textId="4465A965" w:rsidR="006F76EB" w:rsidRPr="006F28F9" w:rsidRDefault="00826A20" w:rsidP="00826A20">
      <w:pPr>
        <w:rPr>
          <w:b/>
          <w:bCs/>
          <w:i/>
          <w:iCs/>
        </w:rPr>
      </w:pPr>
      <w:r w:rsidRPr="00826A20">
        <w:rPr>
          <w:b/>
          <w:bCs/>
          <w:i/>
          <w:iCs/>
        </w:rPr>
        <w:t>(27-րդ կետը փոփ. 30.01.20 թիվ 9)</w:t>
      </w:r>
    </w:p>
    <w:p w14:paraId="54D7645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28.</w:t>
      </w:r>
      <w:r w:rsidRPr="00834D52">
        <w:rPr>
          <w:rFonts w:ascii="Sylfaen" w:hAnsi="Sylfaen"/>
          <w:sz w:val="24"/>
          <w:szCs w:val="24"/>
        </w:rPr>
        <w:tab/>
        <w:t>Դեղամիջոցների արտադրությունը պետք է համապատասխանի Եվրասիական տնտեսական միության պատշաճ արտադրական գործունեության կանոններին:</w:t>
      </w:r>
    </w:p>
    <w:p w14:paraId="663178EE" w14:textId="66A6A06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29.</w:t>
      </w:r>
      <w:r w:rsidRPr="00834D52">
        <w:rPr>
          <w:rFonts w:ascii="Sylfaen" w:hAnsi="Sylfaen"/>
          <w:sz w:val="24"/>
          <w:szCs w:val="24"/>
        </w:rPr>
        <w:tab/>
        <w:t xml:space="preserve">Դեղապատրաստուկը գրանցելու, գրանցումը հաստատելու (վերագրանցելու),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 xml:space="preserve"> ներկայացնելիս </w:t>
      </w:r>
      <w:r w:rsidR="0056496B">
        <w:rPr>
          <w:rFonts w:ascii="Sylfaen" w:hAnsi="Sylfaen"/>
          <w:sz w:val="24"/>
          <w:szCs w:val="24"/>
        </w:rPr>
        <w:t>դիմումատու</w:t>
      </w:r>
      <w:r w:rsidRPr="00834D52">
        <w:rPr>
          <w:rFonts w:ascii="Sylfaen" w:hAnsi="Sylfaen"/>
          <w:sz w:val="24"/>
          <w:szCs w:val="24"/>
        </w:rPr>
        <w:t>ն պետք է գրանցման դոսյեի կազմում ներկայացնի գործող փաստաթուղթ, որով հաստատվում է այն արտադրական հարթակի (արտադրական հարթակների)՝ Միության պատշաճ արտադրական գործունեության պահանջներին համապատասխան լինելը, որտեղ իրականացվում են պատրաստի դեղաձ</w:t>
      </w:r>
      <w:r w:rsidR="00C54D75">
        <w:rPr>
          <w:rFonts w:ascii="Sylfaen" w:hAnsi="Sylfaen"/>
          <w:sz w:val="24"/>
          <w:szCs w:val="24"/>
        </w:rPr>
        <w:t>և</w:t>
      </w:r>
      <w:r w:rsidRPr="00834D52">
        <w:rPr>
          <w:rFonts w:ascii="Sylfaen" w:hAnsi="Sylfaen"/>
          <w:sz w:val="24"/>
          <w:szCs w:val="24"/>
        </w:rPr>
        <w:t xml:space="preserve">ի արտադրությունը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Միության պահանջներին համապատասխանեցնելու համար </w:t>
      </w:r>
      <w:r w:rsidR="0056496B">
        <w:rPr>
          <w:rFonts w:ascii="Sylfaen" w:hAnsi="Sylfaen"/>
          <w:sz w:val="24"/>
          <w:szCs w:val="24"/>
        </w:rPr>
        <w:t>դիմում</w:t>
      </w:r>
      <w:r w:rsidRPr="00834D52">
        <w:rPr>
          <w:rFonts w:ascii="Sylfaen" w:hAnsi="Sylfaen"/>
          <w:sz w:val="24"/>
          <w:szCs w:val="24"/>
        </w:rPr>
        <w:t>արկվող դեղապատրաստուկի բացթողման համար անհրաժեշտ որակի հսկողությունը:</w:t>
      </w:r>
    </w:p>
    <w:p w14:paraId="12F9310F" w14:textId="76A464CF" w:rsidR="006F76EB" w:rsidRDefault="003A2F68" w:rsidP="00DB0024">
      <w:pPr>
        <w:tabs>
          <w:tab w:val="left" w:pos="1134"/>
        </w:tabs>
        <w:spacing w:after="160" w:line="384" w:lineRule="auto"/>
        <w:ind w:right="-6" w:firstLine="567"/>
        <w:jc w:val="both"/>
        <w:rPr>
          <w:rFonts w:ascii="Sylfaen" w:hAnsi="Sylfaen"/>
          <w:sz w:val="24"/>
          <w:szCs w:val="24"/>
        </w:rPr>
      </w:pPr>
      <w:r>
        <w:rPr>
          <w:rFonts w:ascii="Sylfaen" w:hAnsi="Sylfaen"/>
          <w:sz w:val="24"/>
          <w:szCs w:val="24"/>
        </w:rPr>
        <w:t>Դ</w:t>
      </w:r>
      <w:r w:rsidR="006F76EB" w:rsidRPr="00834D52">
        <w:rPr>
          <w:rFonts w:ascii="Sylfaen" w:hAnsi="Sylfaen"/>
          <w:sz w:val="24"/>
          <w:szCs w:val="24"/>
        </w:rPr>
        <w:t xml:space="preserve">եղապատրաստուկի արտադրական հարթակի (արտադրական հարթակների) առնչությամբ </w:t>
      </w:r>
      <w:r w:rsidR="0056496B">
        <w:rPr>
          <w:rFonts w:ascii="Sylfaen" w:hAnsi="Sylfaen"/>
          <w:sz w:val="24"/>
          <w:szCs w:val="24"/>
        </w:rPr>
        <w:t>դիմումատու</w:t>
      </w:r>
      <w:r w:rsidR="006F76EB" w:rsidRPr="00834D52">
        <w:rPr>
          <w:rFonts w:ascii="Sylfaen" w:hAnsi="Sylfaen"/>
          <w:sz w:val="24"/>
          <w:szCs w:val="24"/>
        </w:rPr>
        <w:t>ն իրավունք ունի Միության պատշաճ արտադրական գործունեության պահանջներին համապատասխան լինելը հաստատող փաստաթղթի փոխարեն ներկայացնելու</w:t>
      </w:r>
      <w:r>
        <w:rPr>
          <w:rFonts w:ascii="Sylfaen" w:hAnsi="Sylfaen"/>
          <w:sz w:val="24"/>
          <w:szCs w:val="24"/>
        </w:rPr>
        <w:t xml:space="preserve"> </w:t>
      </w:r>
      <w:r w:rsidRPr="003A2F68">
        <w:rPr>
          <w:rFonts w:ascii="Sylfaen" w:hAnsi="Sylfaen"/>
          <w:sz w:val="24"/>
          <w:szCs w:val="24"/>
        </w:rPr>
        <w:t>մինչև դրա գործողության ժամկետի ավարտը</w:t>
      </w:r>
      <w:r>
        <w:rPr>
          <w:rFonts w:ascii="Sylfaen" w:hAnsi="Sylfaen"/>
          <w:sz w:val="24"/>
          <w:szCs w:val="24"/>
        </w:rPr>
        <w:t xml:space="preserve"> </w:t>
      </w:r>
      <w:r w:rsidR="004B6C67">
        <w:rPr>
          <w:rFonts w:ascii="Sylfaen" w:hAnsi="Sylfaen"/>
          <w:sz w:val="24"/>
          <w:szCs w:val="24"/>
        </w:rPr>
        <w:t xml:space="preserve"> </w:t>
      </w:r>
      <w:r w:rsidR="006F76EB" w:rsidRPr="00834D52">
        <w:rPr>
          <w:rFonts w:ascii="Sylfaen" w:hAnsi="Sylfaen"/>
          <w:sz w:val="24"/>
          <w:szCs w:val="24"/>
        </w:rPr>
        <w:t>պատրաստի դեղաձ</w:t>
      </w:r>
      <w:r w:rsidR="00C54D75">
        <w:rPr>
          <w:rFonts w:ascii="Sylfaen" w:hAnsi="Sylfaen"/>
          <w:sz w:val="24"/>
          <w:szCs w:val="24"/>
        </w:rPr>
        <w:t>և</w:t>
      </w:r>
      <w:r w:rsidR="006F76EB" w:rsidRPr="00834D52">
        <w:rPr>
          <w:rFonts w:ascii="Sylfaen" w:hAnsi="Sylfaen"/>
          <w:sz w:val="24"/>
          <w:szCs w:val="24"/>
        </w:rPr>
        <w:t xml:space="preserve">ի արտադրություն </w:t>
      </w:r>
      <w:r w:rsidR="00C54D75">
        <w:rPr>
          <w:rFonts w:ascii="Sylfaen" w:hAnsi="Sylfaen"/>
          <w:sz w:val="24"/>
          <w:szCs w:val="24"/>
        </w:rPr>
        <w:t>և</w:t>
      </w:r>
      <w:r w:rsidR="006F76EB" w:rsidRPr="00834D52">
        <w:rPr>
          <w:rFonts w:ascii="Sylfaen" w:hAnsi="Sylfaen"/>
          <w:sz w:val="24"/>
          <w:szCs w:val="24"/>
        </w:rPr>
        <w:t xml:space="preserve"> դեղապատրաստուկի բացթողման համար անհրաժեշտ որակի հսկողություն </w:t>
      </w:r>
      <w:r w:rsidR="006F76EB" w:rsidRPr="00834D52">
        <w:rPr>
          <w:rFonts w:ascii="Sylfaen" w:hAnsi="Sylfaen"/>
          <w:sz w:val="24"/>
          <w:szCs w:val="24"/>
        </w:rPr>
        <w:lastRenderedPageBreak/>
        <w:t>իրականացնող արտադրական հարթակի (արտադրական հարթակների)՝ պատշաճ արտադրական պրակտիկայի պահանջներին համապատասխան լինելը հաստատող փաստաթուղթ, որը տրվել է դեղապատրաստուկն արտադրողին անդամ պետությունների լիազորված մարմնի կողմից:</w:t>
      </w:r>
    </w:p>
    <w:p w14:paraId="04DAEF87" w14:textId="3707731B" w:rsidR="00E15E7D" w:rsidRPr="008E4EB1" w:rsidRDefault="00E15E7D" w:rsidP="00DB0024">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29-րդ կետը փոփ. 14.06.18 թիվ 55</w:t>
      </w:r>
      <w:r w:rsidR="00826A20">
        <w:rPr>
          <w:rFonts w:ascii="Sylfaen" w:hAnsi="Sylfaen"/>
          <w:b/>
          <w:bCs/>
          <w:i/>
          <w:iCs/>
          <w:sz w:val="24"/>
          <w:szCs w:val="24"/>
        </w:rPr>
        <w:t>, 30.01.20 թիվ 9</w:t>
      </w:r>
      <w:r w:rsidR="004B6C67">
        <w:rPr>
          <w:rFonts w:ascii="Sylfaen" w:hAnsi="Sylfaen"/>
          <w:b/>
          <w:bCs/>
          <w:i/>
          <w:iCs/>
          <w:sz w:val="24"/>
          <w:szCs w:val="24"/>
        </w:rPr>
        <w:t>, փոփ., լրաց. 23.04.21 թիվ 34</w:t>
      </w:r>
      <w:r w:rsidRPr="008E4EB1">
        <w:rPr>
          <w:rFonts w:ascii="Sylfaen" w:hAnsi="Sylfaen"/>
          <w:b/>
          <w:bCs/>
          <w:i/>
          <w:iCs/>
          <w:sz w:val="24"/>
          <w:szCs w:val="24"/>
        </w:rPr>
        <w:t>)</w:t>
      </w:r>
    </w:p>
    <w:p w14:paraId="7CDBC3D1" w14:textId="49B89CED" w:rsidR="006F76EB" w:rsidRPr="00834D52" w:rsidRDefault="006F76EB" w:rsidP="00DB002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30.</w:t>
      </w:r>
      <w:r w:rsidRPr="00834D52">
        <w:rPr>
          <w:rFonts w:ascii="Sylfaen" w:hAnsi="Sylfaen"/>
          <w:sz w:val="24"/>
          <w:szCs w:val="24"/>
        </w:rPr>
        <w:tab/>
        <w:t xml:space="preserve">Դեղապատրաստուկի արտադրական հարթակի (արտադրական հարթակների)՝ Միության պատշաճ արտադրական գործունեության պահանջներին համապատասխան լինելը հաստատող գործող փաստաթուղթ ներկայացնելու անհնարինության դեպքում </w:t>
      </w:r>
      <w:r w:rsidR="0056496B">
        <w:rPr>
          <w:rFonts w:ascii="Sylfaen" w:hAnsi="Sylfaen"/>
          <w:sz w:val="24"/>
          <w:szCs w:val="24"/>
        </w:rPr>
        <w:t>դիմումատու</w:t>
      </w:r>
      <w:r w:rsidRPr="00834D52">
        <w:rPr>
          <w:rFonts w:ascii="Sylfaen" w:hAnsi="Sylfaen"/>
          <w:sz w:val="24"/>
          <w:szCs w:val="24"/>
        </w:rPr>
        <w:t xml:space="preserve">ն դեղապատրաստուկի գրանցման կամ Միության պահանջներին համապատասխանեցման վերաբերյալ </w:t>
      </w:r>
      <w:r w:rsidR="0056496B">
        <w:rPr>
          <w:rFonts w:ascii="Sylfaen" w:hAnsi="Sylfaen"/>
          <w:sz w:val="24"/>
          <w:szCs w:val="24"/>
        </w:rPr>
        <w:t>դիմում</w:t>
      </w:r>
      <w:r w:rsidRPr="00834D52">
        <w:rPr>
          <w:rFonts w:ascii="Sylfaen" w:hAnsi="Sylfaen"/>
          <w:sz w:val="24"/>
          <w:szCs w:val="24"/>
        </w:rPr>
        <w:t>ը մինչ</w:t>
      </w:r>
      <w:r w:rsidR="00C54D75">
        <w:rPr>
          <w:rFonts w:ascii="Sylfaen" w:hAnsi="Sylfaen"/>
          <w:sz w:val="24"/>
          <w:szCs w:val="24"/>
        </w:rPr>
        <w:t>և</w:t>
      </w:r>
      <w:r w:rsidRPr="00834D52">
        <w:rPr>
          <w:rFonts w:ascii="Sylfaen" w:hAnsi="Sylfaen"/>
          <w:sz w:val="24"/>
          <w:szCs w:val="24"/>
        </w:rPr>
        <w:t xml:space="preserve"> </w:t>
      </w:r>
      <w:r w:rsidR="00E15E7D" w:rsidRPr="00B96C43">
        <w:rPr>
          <w:rFonts w:ascii="Sylfaen" w:hAnsi="Sylfaen"/>
          <w:sz w:val="24"/>
          <w:szCs w:val="24"/>
        </w:rPr>
        <w:t>202</w:t>
      </w:r>
      <w:r w:rsidR="00FC632C">
        <w:rPr>
          <w:rFonts w:ascii="Sylfaen" w:hAnsi="Sylfaen"/>
          <w:sz w:val="24"/>
          <w:szCs w:val="24"/>
        </w:rPr>
        <w:t>1</w:t>
      </w:r>
      <w:r w:rsidR="00E15E7D" w:rsidRPr="00B96C43">
        <w:rPr>
          <w:rFonts w:ascii="Sylfaen" w:hAnsi="Sylfaen"/>
          <w:sz w:val="24"/>
          <w:szCs w:val="24"/>
        </w:rPr>
        <w:t> թվականի դեկտեմբերի 31-ը</w:t>
      </w:r>
      <w:r w:rsidR="00E15E7D" w:rsidRPr="00834D52">
        <w:rPr>
          <w:rFonts w:ascii="Sylfaen" w:hAnsi="Sylfaen"/>
          <w:sz w:val="24"/>
          <w:szCs w:val="24"/>
        </w:rPr>
        <w:t xml:space="preserve"> </w:t>
      </w:r>
      <w:r w:rsidRPr="00834D52">
        <w:rPr>
          <w:rFonts w:ascii="Sylfaen" w:hAnsi="Sylfaen"/>
          <w:sz w:val="24"/>
          <w:szCs w:val="24"/>
        </w:rPr>
        <w:t>ներկայացնելիս տվյալ փաստաթղթի փոխարեն ներկայացնում է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տեղեկությունները՝</w:t>
      </w:r>
    </w:p>
    <w:p w14:paraId="15F4320C"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դեղապատրաստուկի բացթողման համար անհրաժեշտ որակի հսկողություն իրականացնող արտադրական հարթակի (արտադրական հարթակների)՝ պատշաճ արտադրական գործունեության պահանջներին համապատասխան լինելը հաստատող գործող փաստաթղթեր, որոնք տրվել են դեղապատրաստուկն արտադրող երկրի լիազորված մարմնի կողմից դեղապատրաստուկն արտադրողին.</w:t>
      </w:r>
    </w:p>
    <w:p w14:paraId="5430B96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արտադրական հարթակի (արտադրության փուլերում արտադրական հարթակների) վերջին այն տեսչական ստուգման արդյունքների մասին հաշվետվության պատճեն, որն անցկացվել է արտադրող երկրի լիազորված մարմնի </w:t>
      </w:r>
      <w:r w:rsidR="00C54D75">
        <w:rPr>
          <w:rFonts w:ascii="Sylfaen" w:hAnsi="Sylfaen"/>
          <w:sz w:val="24"/>
          <w:szCs w:val="24"/>
        </w:rPr>
        <w:t>և</w:t>
      </w:r>
      <w:r w:rsidRPr="00834D52">
        <w:rPr>
          <w:rFonts w:ascii="Sylfaen" w:hAnsi="Sylfaen"/>
          <w:sz w:val="24"/>
          <w:szCs w:val="24"/>
        </w:rPr>
        <w:t xml:space="preserve"> (կամ) այլ լիազորված մարմնի կողմից վերջին 3 տարիների ընթացքում.</w:t>
      </w:r>
    </w:p>
    <w:p w14:paraId="6C462D8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տվյալ արտադրական հարթակի (արտադրական հարթակների)՝ պատշաճ արտադրական գործունեության պահանջներին համապատասխան լինելու մասով վերջին 3 տարիների ընթացքում անցկացված բոլոր տեսչական ստուգումների արդյունքների մասին տեղեկություններ.</w:t>
      </w:r>
    </w:p>
    <w:p w14:paraId="5B4CED2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դ)</w:t>
      </w:r>
      <w:r w:rsidRPr="00834D52">
        <w:rPr>
          <w:rFonts w:ascii="Sylfaen" w:hAnsi="Sylfaen"/>
          <w:sz w:val="24"/>
          <w:szCs w:val="24"/>
        </w:rPr>
        <w:tab/>
        <w:t xml:space="preserve">տվյալ արտադրական հարթակում (արտադրական հարթակներում) արտադրված դեղապատրաստուկների որակի առնչությամբ վերջին 3 տարիների ընթացքում ներկայացված վնասապահանջների մասին տեղեկություններ. </w:t>
      </w:r>
    </w:p>
    <w:p w14:paraId="3132E70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Միության պատշաճ արտադրական գործունեության պահանջներին համապատասխան լինելու մասով դեղագործական տեսչական ստուգում անցկացնելու համաձայնություն.</w:t>
      </w:r>
    </w:p>
    <w:p w14:paraId="08D5ED09" w14:textId="39CAAD8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արտադրական հարթակի (արտադրական հարթակների) հիմնական դոսյեի պատճեն (մաստեր-ֆայլ):</w:t>
      </w:r>
    </w:p>
    <w:p w14:paraId="2F6EF845" w14:textId="3DE3543A" w:rsidR="00E15E7D" w:rsidRPr="008E4EB1" w:rsidRDefault="00E15E7D" w:rsidP="00E15E7D">
      <w:pPr>
        <w:tabs>
          <w:tab w:val="left" w:pos="1134"/>
        </w:tabs>
        <w:spacing w:after="160" w:line="384" w:lineRule="auto"/>
        <w:ind w:right="-6" w:firstLine="567"/>
        <w:jc w:val="both"/>
        <w:rPr>
          <w:rFonts w:ascii="Sylfaen" w:eastAsia="Times New Roman" w:hAnsi="Sylfaen" w:cs="Times New Roman"/>
          <w:b/>
          <w:bCs/>
          <w:i/>
          <w:iCs/>
          <w:sz w:val="24"/>
          <w:szCs w:val="24"/>
        </w:rPr>
      </w:pPr>
      <w:r w:rsidRPr="008E4EB1">
        <w:rPr>
          <w:rFonts w:ascii="Sylfaen" w:hAnsi="Sylfaen"/>
          <w:b/>
          <w:bCs/>
          <w:i/>
          <w:iCs/>
          <w:sz w:val="24"/>
          <w:szCs w:val="24"/>
        </w:rPr>
        <w:t>(</w:t>
      </w:r>
      <w:r w:rsidRPr="00E15E7D">
        <w:rPr>
          <w:rFonts w:ascii="Sylfaen" w:hAnsi="Sylfaen"/>
          <w:b/>
          <w:bCs/>
          <w:i/>
          <w:iCs/>
          <w:sz w:val="24"/>
          <w:szCs w:val="24"/>
        </w:rPr>
        <w:t>30-րդ կետը փոփ. 14.06.18 թիվ 55</w:t>
      </w:r>
      <w:r w:rsidR="007A6DFB">
        <w:rPr>
          <w:rFonts w:ascii="Sylfaen" w:hAnsi="Sylfaen"/>
          <w:b/>
          <w:bCs/>
          <w:i/>
          <w:iCs/>
          <w:sz w:val="24"/>
          <w:szCs w:val="24"/>
        </w:rPr>
        <w:t>, 23.04.21 թիվ 34</w:t>
      </w:r>
      <w:r w:rsidRPr="008E4EB1">
        <w:rPr>
          <w:rFonts w:ascii="Sylfaen" w:hAnsi="Sylfaen"/>
          <w:b/>
          <w:bCs/>
          <w:i/>
          <w:iCs/>
          <w:sz w:val="24"/>
          <w:szCs w:val="24"/>
        </w:rPr>
        <w:t>)</w:t>
      </w:r>
    </w:p>
    <w:p w14:paraId="11F31E8E" w14:textId="54FE0E1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31.</w:t>
      </w:r>
      <w:r w:rsidRPr="00834D52">
        <w:rPr>
          <w:rFonts w:ascii="Sylfaen" w:hAnsi="Sylfaen"/>
          <w:sz w:val="24"/>
          <w:szCs w:val="24"/>
        </w:rPr>
        <w:tab/>
        <w:t xml:space="preserve">Հաշվի առնելով հավանական ռիսկերի գնահատումը՝ </w:t>
      </w:r>
      <w:r w:rsidR="00B24BA9">
        <w:rPr>
          <w:rFonts w:ascii="Sylfaen" w:hAnsi="Sylfaen"/>
          <w:sz w:val="24"/>
          <w:szCs w:val="24"/>
        </w:rPr>
        <w:t>ռեֆերենտ</w:t>
      </w:r>
      <w:r w:rsidRPr="00834D52">
        <w:rPr>
          <w:rFonts w:ascii="Sylfaen" w:hAnsi="Sylfaen"/>
          <w:sz w:val="24"/>
          <w:szCs w:val="24"/>
        </w:rPr>
        <w:t xml:space="preserve"> պետությունը </w:t>
      </w:r>
      <w:r w:rsidR="0056496B">
        <w:rPr>
          <w:rFonts w:ascii="Sylfaen" w:hAnsi="Sylfaen"/>
          <w:sz w:val="24"/>
          <w:szCs w:val="24"/>
        </w:rPr>
        <w:t>դիմումատու</w:t>
      </w:r>
      <w:r w:rsidRPr="00834D52">
        <w:rPr>
          <w:rFonts w:ascii="Sylfaen" w:hAnsi="Sylfaen"/>
          <w:sz w:val="24"/>
          <w:szCs w:val="24"/>
        </w:rPr>
        <w:t xml:space="preserve">ի ներկայացրած՝ սույն Կանոնների 30-րդ կետում նշված փաստաթղթերի հիման վրա որոշում է ընդունում դեղապատրաստուկի առնչությամբ գրանցման ընթացակարգերի իրականացման ժամկետում 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կամ գրանցման ընթացակարգերի ավարտից հետո առաջին 3 տարում տեսչական ստուգումների անցկացման պլանում այն արտադրական հարթակի (արտադրական հարթակների) տեսչական ստուգումը ներառելու մասին, որտեղ իրականացվում է գրանցման կամ Միության պահանջներին համապատասխանեցման համար </w:t>
      </w:r>
      <w:r w:rsidR="0056496B">
        <w:rPr>
          <w:rFonts w:ascii="Sylfaen" w:hAnsi="Sylfaen"/>
          <w:sz w:val="24"/>
          <w:szCs w:val="24"/>
        </w:rPr>
        <w:t>դիմում</w:t>
      </w:r>
      <w:r w:rsidRPr="00834D52">
        <w:rPr>
          <w:rFonts w:ascii="Sylfaen" w:hAnsi="Sylfaen"/>
          <w:sz w:val="24"/>
          <w:szCs w:val="24"/>
        </w:rPr>
        <w:t>արկվող դեղապատրաստուկի, այդ թվում՝ անհրաժեշտության դեպքում, դեղագործական սուբստանցիայի արտադրությունը:</w:t>
      </w:r>
    </w:p>
    <w:p w14:paraId="316F6378" w14:textId="649CBFD6" w:rsidR="006C28F7" w:rsidRPr="006F28F9" w:rsidRDefault="006C28F7" w:rsidP="006C28F7">
      <w:pPr>
        <w:rPr>
          <w:b/>
          <w:bCs/>
          <w:i/>
          <w:iCs/>
        </w:rPr>
      </w:pPr>
      <w:r w:rsidRPr="00CD4709">
        <w:rPr>
          <w:b/>
          <w:bCs/>
          <w:i/>
          <w:iCs/>
        </w:rPr>
        <w:t>(</w:t>
      </w:r>
      <w:r>
        <w:rPr>
          <w:b/>
          <w:bCs/>
          <w:i/>
          <w:iCs/>
        </w:rPr>
        <w:t xml:space="preserve">31-րդ կետը </w:t>
      </w:r>
      <w:r w:rsidRPr="00CD4709">
        <w:rPr>
          <w:b/>
          <w:bCs/>
          <w:i/>
          <w:iCs/>
        </w:rPr>
        <w:t>փոփ. 30.01.20 թիվ 9)</w:t>
      </w:r>
    </w:p>
    <w:p w14:paraId="36E7EE7A" w14:textId="4D8A2E51"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Դեղապատրաստուկի առնչությամբ գրանցման ընթացակարգերի անցկացման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դեղապատրաստուկի արտադրական հարթակի (արտադրական հարթակների) արտապլանային տեսչական ստուգում անցկացնելու անհնարինության՝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փաստաղթային հիմնավորման դեպքում </w:t>
      </w:r>
      <w:r w:rsidR="0056496B">
        <w:rPr>
          <w:rFonts w:ascii="Sylfaen" w:hAnsi="Sylfaen"/>
          <w:sz w:val="24"/>
          <w:szCs w:val="24"/>
        </w:rPr>
        <w:lastRenderedPageBreak/>
        <w:t>դիմումատու</w:t>
      </w:r>
      <w:r w:rsidRPr="00834D52">
        <w:rPr>
          <w:rFonts w:ascii="Sylfaen" w:hAnsi="Sylfaen"/>
          <w:sz w:val="24"/>
          <w:szCs w:val="24"/>
        </w:rPr>
        <w:t xml:space="preserve">ն իրավունք ունի </w:t>
      </w:r>
      <w:r w:rsidR="009F49FE">
        <w:rPr>
          <w:rFonts w:ascii="Sylfaen" w:hAnsi="Sylfaen"/>
          <w:sz w:val="24"/>
          <w:szCs w:val="24"/>
        </w:rPr>
        <w:t xml:space="preserve">ռեֆերենտ </w:t>
      </w:r>
      <w:r w:rsidRPr="00834D52">
        <w:rPr>
          <w:rFonts w:ascii="Sylfaen" w:hAnsi="Sylfaen"/>
          <w:sz w:val="24"/>
          <w:szCs w:val="24"/>
        </w:rPr>
        <w:t>պետության հետ համաձայնեցմամբ դիմում ներկայացնելու անդամ պետություններից մեկին տվյալ արտադրական հարթակի (արտադրական հարթակների)՝ Միության պատշաճ արտադրական գործունեության պահանջներին համապատասխան լինելու մասով տեսչական ստուգում անցկացնելու մասին:</w:t>
      </w:r>
    </w:p>
    <w:p w14:paraId="7AB47D55" w14:textId="6C785F9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Ճանաչման պետության լիազորված մարմինների կողմից դեղապատրաստուկի արտադրական հարթակի (արտադրական հարթակների) արտապլանային տեսչական ստուգման անցկացումը գրավոր մերժելու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պարտավոր է կազմակերպել </w:t>
      </w:r>
      <w:r w:rsidR="00C54D75">
        <w:rPr>
          <w:rFonts w:ascii="Sylfaen" w:hAnsi="Sylfaen"/>
          <w:sz w:val="24"/>
          <w:szCs w:val="24"/>
        </w:rPr>
        <w:t>և</w:t>
      </w:r>
      <w:r w:rsidRPr="00834D52">
        <w:rPr>
          <w:rFonts w:ascii="Sylfaen" w:hAnsi="Sylfaen"/>
          <w:sz w:val="24"/>
          <w:szCs w:val="24"/>
        </w:rPr>
        <w:t xml:space="preserve"> անցկացնել արտապլանային տեսչական ստուգում՝ դեղապատրաստուկի առնչությամբ գրանցման ընթացակարգերի անցկացման ժամկետում:</w:t>
      </w:r>
    </w:p>
    <w:p w14:paraId="60F7FE71" w14:textId="2167B6C9" w:rsidR="006C28F7" w:rsidRPr="006F28F9" w:rsidRDefault="006C28F7" w:rsidP="006C28F7">
      <w:pPr>
        <w:rPr>
          <w:b/>
          <w:bCs/>
          <w:i/>
          <w:iCs/>
        </w:rPr>
      </w:pPr>
      <w:r w:rsidRPr="00CD4709">
        <w:rPr>
          <w:b/>
          <w:bCs/>
          <w:i/>
          <w:iCs/>
        </w:rPr>
        <w:t>(</w:t>
      </w:r>
      <w:r>
        <w:rPr>
          <w:b/>
          <w:bCs/>
          <w:i/>
          <w:iCs/>
        </w:rPr>
        <w:t xml:space="preserve">32-րդ կետը </w:t>
      </w:r>
      <w:r w:rsidRPr="00CD4709">
        <w:rPr>
          <w:b/>
          <w:bCs/>
          <w:i/>
          <w:iCs/>
        </w:rPr>
        <w:t>փոփ. 30.01.20 թիվ 9)</w:t>
      </w:r>
    </w:p>
    <w:p w14:paraId="79391CD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 xml:space="preserve">Միության պատշաճ արտադրական գործունեության պահանջներին համապատասխան լինելու մասով արտապլանային դեղագործական տեսչական ստուգում անցկացնելու անհրաժեշտության մասին որոշումն ընդունվում է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հետ</w:t>
      </w:r>
      <w:r w:rsidR="00C54D75">
        <w:rPr>
          <w:rFonts w:ascii="Sylfaen" w:hAnsi="Sylfaen"/>
          <w:sz w:val="24"/>
          <w:szCs w:val="24"/>
        </w:rPr>
        <w:t>և</w:t>
      </w:r>
      <w:r w:rsidRPr="00834D52">
        <w:rPr>
          <w:rFonts w:ascii="Sylfaen" w:hAnsi="Sylfaen"/>
          <w:sz w:val="24"/>
          <w:szCs w:val="24"/>
        </w:rPr>
        <w:t>յալի իրականացման ընթացքում՝</w:t>
      </w:r>
    </w:p>
    <w:p w14:paraId="1F153536"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գրանցման ընթացակարգեր՝ պատրաստի դեղաձ</w:t>
      </w:r>
      <w:r w:rsidR="00C54D75">
        <w:rPr>
          <w:rFonts w:ascii="Sylfaen" w:hAnsi="Sylfaen"/>
          <w:sz w:val="24"/>
          <w:szCs w:val="24"/>
        </w:rPr>
        <w:t>և</w:t>
      </w:r>
      <w:r w:rsidRPr="00834D52">
        <w:rPr>
          <w:rFonts w:ascii="Sylfaen" w:hAnsi="Sylfaen"/>
          <w:sz w:val="24"/>
          <w:szCs w:val="24"/>
        </w:rPr>
        <w:t xml:space="preserve">ի արտադրություն </w:t>
      </w:r>
      <w:r w:rsidR="00C54D75">
        <w:rPr>
          <w:rFonts w:ascii="Sylfaen" w:hAnsi="Sylfaen"/>
          <w:sz w:val="24"/>
          <w:szCs w:val="24"/>
        </w:rPr>
        <w:t>և</w:t>
      </w:r>
      <w:r w:rsidRPr="00834D52">
        <w:rPr>
          <w:rFonts w:ascii="Sylfaen" w:hAnsi="Sylfaen"/>
          <w:sz w:val="24"/>
          <w:szCs w:val="24"/>
        </w:rPr>
        <w:t xml:space="preserve"> բացթողման համար անհրաժեշտ որակի հսկողություն իրականացնող այն հարթակներում արտադրված դեղապատրաստուկների համար, որոնք նախկինում չեն ենթարկվել տեսչական ստուգման առնվազն մեկ անդամ պետության լիազորված մարմնի (կազմակերպության) կողմից. </w:t>
      </w:r>
    </w:p>
    <w:p w14:paraId="0BA713E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Միության պահանջներին համապատասխանեցման ընթացակարգեր՝ անդամ պետություններում նախկինում գրանցված դեղապատրաստուկների համար այն արտադրական հարթակի (արտադրական հարթակների) նշման (ընդգրկման, փոփոխման) դեպքում, որը նախկինում չի ենթարկվել տեսչական ստուգման առնվազն մեկ անդամ պետության լիազորված մարմնի (կազմակերպության) կողմից:</w:t>
      </w:r>
    </w:p>
    <w:p w14:paraId="23B2B8F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34.</w:t>
      </w:r>
      <w:r w:rsidRPr="00834D52">
        <w:rPr>
          <w:rFonts w:ascii="Sylfaen" w:hAnsi="Sylfaen"/>
          <w:sz w:val="24"/>
          <w:szCs w:val="24"/>
        </w:rPr>
        <w:tab/>
        <w:t>Դեղամիջոցների անվտանգության նախակլինիկական հետազոտություններն անցկացվում են Միության՝ Հանձնաժողովի կողմից հաստատվող պատշաճ լաբորատոր գործունեության կանոնների պահանջներին համապատասխան:</w:t>
      </w:r>
    </w:p>
    <w:p w14:paraId="1A6DC85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Դեղամիջոցների կլինիկական հետազոտություններն անցկացվում են Միության՝ Հանձնաժողովի կողմից հաստատվող պատշաճ կլինիկական գործունեության կանոնների պահանջներին համապատասխան:</w:t>
      </w:r>
    </w:p>
    <w:p w14:paraId="00ABCD29"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Միության անդամ չհանդիսացող պետություններում անցկացված՝ դեղամիջոցների անվտանգության նախակլինիկական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նախակլինիկական հետազոտության մասին հաշվետվության մեջ նկարագրվել են պատշաճ լաբորատոր գործունեության՝ Միության պահանջներին համարժեք (կամ դրանցից ոչ ցածր) պահանջներին համապատասխան:</w:t>
      </w:r>
    </w:p>
    <w:p w14:paraId="59EA54AA"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անդամ չհանդիսացող պետություններում անցկացված դեղապատրաստուկների կլինիկական հետազոտությունները դիտարկվում են դեղապատրաստուկների փորձաքննության ընթացքում՝ պայմանով, որ դրանք պլանավորվել, անցկացվել </w:t>
      </w:r>
      <w:r w:rsidR="00C54D75">
        <w:rPr>
          <w:rFonts w:ascii="Sylfaen" w:hAnsi="Sylfaen"/>
          <w:sz w:val="24"/>
          <w:szCs w:val="24"/>
        </w:rPr>
        <w:t>և</w:t>
      </w:r>
      <w:r w:rsidRPr="00834D52">
        <w:rPr>
          <w:rFonts w:ascii="Sylfaen" w:hAnsi="Sylfaen"/>
          <w:sz w:val="24"/>
          <w:szCs w:val="24"/>
        </w:rPr>
        <w:t xml:space="preserve"> կլինիկական հետազոտության մասին հաշվետվության մեջ նկարագրվել են պատշաճ կլինիկական գործունեության՝ Միության պահանջներին համարժեք (կամ դրանցից ոչ ցածր), ինչպես նա</w:t>
      </w:r>
      <w:r w:rsidR="00C54D75">
        <w:rPr>
          <w:rFonts w:ascii="Sylfaen" w:hAnsi="Sylfaen"/>
          <w:sz w:val="24"/>
          <w:szCs w:val="24"/>
        </w:rPr>
        <w:t>և</w:t>
      </w:r>
      <w:r w:rsidRPr="00834D52">
        <w:rPr>
          <w:rFonts w:ascii="Sylfaen" w:hAnsi="Sylfaen"/>
          <w:sz w:val="24"/>
          <w:szCs w:val="24"/>
        </w:rPr>
        <w:t xml:space="preserve"> «Մարդու՝ որպես հետազոտության օբյեկտի մասնակցությամբ բժշկական հետազոտությունների էթիկայի սկզբունքները» Համաշխարհային բժշկական ասոցիացիայի Հելսինկյան հռչակագրի սկզբունքներին համապատասխան:</w:t>
      </w:r>
    </w:p>
    <w:p w14:paraId="0DBEF57F"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ընթացքում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 իրավունք ունի նշանակելու Միության պատշաճ լաբորատոր գործունեության կանոնների պահպանման մասով արտապլանային տեսչական ստուգում հետ</w:t>
      </w:r>
      <w:r w:rsidR="00C54D75">
        <w:rPr>
          <w:rFonts w:ascii="Sylfaen" w:hAnsi="Sylfaen"/>
          <w:sz w:val="24"/>
          <w:szCs w:val="24"/>
        </w:rPr>
        <w:t>և</w:t>
      </w:r>
      <w:r w:rsidRPr="00834D52">
        <w:rPr>
          <w:rFonts w:ascii="Sylfaen" w:hAnsi="Sylfaen"/>
          <w:sz w:val="24"/>
          <w:szCs w:val="24"/>
        </w:rPr>
        <w:t>յալ դեպքերում՝</w:t>
      </w:r>
    </w:p>
    <w:p w14:paraId="71DCD21D" w14:textId="42D6963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փորձաքննության անցկացման ընթացքում նախակլինիկական հետազոտությունների անցկացման ընթացքում ստացված </w:t>
      </w:r>
      <w:r w:rsidRPr="00834D52">
        <w:rPr>
          <w:rFonts w:ascii="Sylfaen" w:hAnsi="Sylfaen"/>
          <w:sz w:val="24"/>
          <w:szCs w:val="24"/>
        </w:rPr>
        <w:lastRenderedPageBreak/>
        <w:t xml:space="preserve">արդյունքների հավաստիությունը կասկածի ենթարկող փաստեր </w:t>
      </w:r>
      <w:r w:rsidR="0056496B">
        <w:rPr>
          <w:rFonts w:ascii="Sylfaen" w:hAnsi="Sylfaen"/>
          <w:sz w:val="24"/>
          <w:szCs w:val="24"/>
        </w:rPr>
        <w:t>դիմում</w:t>
      </w:r>
      <w:r w:rsidRPr="00834D52">
        <w:rPr>
          <w:rFonts w:ascii="Sylfaen" w:hAnsi="Sylfaen"/>
          <w:sz w:val="24"/>
          <w:szCs w:val="24"/>
        </w:rPr>
        <w:t>նաբերելը.</w:t>
      </w:r>
    </w:p>
    <w:p w14:paraId="3F759F97" w14:textId="6D1907A3"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կասկածելի (բժշկա-կենսաբանական տեսանկյունից անհավատալի կամ հակասական) արդյունքներ </w:t>
      </w:r>
      <w:r w:rsidR="0056496B">
        <w:rPr>
          <w:rFonts w:ascii="Sylfaen" w:hAnsi="Sylfaen"/>
          <w:sz w:val="24"/>
          <w:szCs w:val="24"/>
        </w:rPr>
        <w:t>դիմում</w:t>
      </w:r>
      <w:r w:rsidRPr="00834D52">
        <w:rPr>
          <w:rFonts w:ascii="Sylfaen" w:hAnsi="Sylfaen"/>
          <w:sz w:val="24"/>
          <w:szCs w:val="24"/>
        </w:rPr>
        <w:t>նաբերելը.</w:t>
      </w:r>
    </w:p>
    <w:p w14:paraId="1E7843D7" w14:textId="22DBF93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դեղագործական տեսչական ստուգումների անցկացման՝ Հանձնաժողովի կողմից հաստատվող կանոններով նախատեսված այլ հանգամանքների առկայությունը:</w:t>
      </w:r>
    </w:p>
    <w:p w14:paraId="6BF37ACE" w14:textId="430D7D2E" w:rsidR="006C28F7" w:rsidRPr="006F28F9" w:rsidRDefault="006C28F7" w:rsidP="006C28F7">
      <w:pPr>
        <w:rPr>
          <w:b/>
          <w:bCs/>
          <w:i/>
          <w:iCs/>
        </w:rPr>
      </w:pPr>
      <w:r w:rsidRPr="00CD4709">
        <w:rPr>
          <w:b/>
          <w:bCs/>
          <w:i/>
          <w:iCs/>
        </w:rPr>
        <w:t>(</w:t>
      </w:r>
      <w:r>
        <w:rPr>
          <w:b/>
          <w:bCs/>
          <w:i/>
          <w:iCs/>
        </w:rPr>
        <w:t xml:space="preserve">35-րդ կետը </w:t>
      </w:r>
      <w:r w:rsidRPr="00CD4709">
        <w:rPr>
          <w:b/>
          <w:bCs/>
          <w:i/>
          <w:iCs/>
        </w:rPr>
        <w:t>փոփ. 30.01.20 թիվ 9)</w:t>
      </w:r>
    </w:p>
    <w:p w14:paraId="06CF5CB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Դեղապատրաստուկը գրանցելիս անցկացված կլինիկական հետազոտությունների մասին հաշվետվությունները, որոնք ներառվել են դրա գրանցման դոսյեի 5-րդ մոդուլի կազմում, դիտարկվում են փորձաքննության ընթացքում հետ</w:t>
      </w:r>
      <w:r w:rsidR="00C54D75">
        <w:rPr>
          <w:rFonts w:ascii="Sylfaen" w:hAnsi="Sylfaen"/>
          <w:sz w:val="24"/>
          <w:szCs w:val="24"/>
        </w:rPr>
        <w:t>և</w:t>
      </w:r>
      <w:r w:rsidRPr="00834D52">
        <w:rPr>
          <w:rFonts w:ascii="Sylfaen" w:hAnsi="Sylfaen"/>
          <w:sz w:val="24"/>
          <w:szCs w:val="24"/>
        </w:rPr>
        <w:t>յալ պայմաններից մեկի պահպանման դեպքում.</w:t>
      </w:r>
    </w:p>
    <w:p w14:paraId="5C2552AA"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pacing w:val="6"/>
          <w:sz w:val="24"/>
          <w:szCs w:val="24"/>
        </w:rPr>
      </w:pPr>
      <w:r w:rsidRPr="00834D52">
        <w:rPr>
          <w:rFonts w:ascii="Sylfaen" w:hAnsi="Sylfaen"/>
          <w:spacing w:val="6"/>
          <w:sz w:val="24"/>
          <w:szCs w:val="24"/>
        </w:rPr>
        <w:t xml:space="preserve">կլինիկական հետազոտություններն անցկացվել են անդամ պետությունների օրենսդրությանը համապատասխան </w:t>
      </w:r>
      <w:r w:rsidR="00C54D75">
        <w:rPr>
          <w:rFonts w:ascii="Sylfaen" w:hAnsi="Sylfaen"/>
          <w:spacing w:val="6"/>
          <w:sz w:val="24"/>
          <w:szCs w:val="24"/>
        </w:rPr>
        <w:t>և</w:t>
      </w:r>
      <w:r w:rsidRPr="00834D52">
        <w:rPr>
          <w:rFonts w:ascii="Sylfaen" w:hAnsi="Sylfaen"/>
          <w:spacing w:val="6"/>
          <w:sz w:val="24"/>
          <w:szCs w:val="24"/>
        </w:rPr>
        <w:t xml:space="preserve"> դրանց տարածքում մինչ</w:t>
      </w:r>
      <w:r w:rsidR="00C54D75">
        <w:rPr>
          <w:rFonts w:ascii="Sylfaen" w:hAnsi="Sylfaen"/>
          <w:spacing w:val="6"/>
          <w:sz w:val="24"/>
          <w:szCs w:val="24"/>
        </w:rPr>
        <w:t>և</w:t>
      </w:r>
      <w:r w:rsidRPr="00834D52">
        <w:rPr>
          <w:rFonts w:ascii="Sylfaen" w:hAnsi="Sylfaen"/>
          <w:spacing w:val="6"/>
          <w:sz w:val="24"/>
          <w:szCs w:val="24"/>
        </w:rPr>
        <w:t xml:space="preserve"> 2016 </w:t>
      </w:r>
      <w:r w:rsidRPr="00834D52">
        <w:rPr>
          <w:rFonts w:ascii="Sylfaen" w:hAnsi="Sylfaen"/>
          <w:spacing w:val="-4"/>
          <w:sz w:val="24"/>
          <w:szCs w:val="24"/>
        </w:rPr>
        <w:t>թվականի հունվարի 1-ը (վերջին պացիենտի (կամավորի) վերջին այցի ամսաթվով) կամ շարունակվել են անցկացվել 2016 թվականի հունվարի 1-</w:t>
      </w:r>
      <w:r w:rsidRPr="00834D52">
        <w:rPr>
          <w:rFonts w:ascii="Sylfaen" w:hAnsi="Sylfaen"/>
          <w:spacing w:val="6"/>
          <w:sz w:val="24"/>
          <w:szCs w:val="24"/>
        </w:rPr>
        <w:t>ի դրությամբ (հետազոտությունում պացիենտների (կամավորների) ավարտված հավաքագրման դեպքում).</w:t>
      </w:r>
    </w:p>
    <w:p w14:paraId="1EE130B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այն կլինիկական հետազոտություններնը, որոնց հիման վրա դեղապատրաստուկը գրանցվել է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մասամբ կամ ամբողջությամբ անցկացվել են Բժշկական կիրառման դեղապատրաստուկների գրանցմանը ներկայացվող տեխնիկական պահանջների ներդաշնակեցման միջազգային համաժողովի (ICH) տարածաշրջանի երկրների տարածքներում մինչ</w:t>
      </w:r>
      <w:r w:rsidR="00C54D75">
        <w:rPr>
          <w:rFonts w:ascii="Sylfaen" w:hAnsi="Sylfaen"/>
          <w:sz w:val="24"/>
          <w:szCs w:val="24"/>
        </w:rPr>
        <w:t>և</w:t>
      </w:r>
      <w:r w:rsidRPr="00834D52">
        <w:rPr>
          <w:rFonts w:ascii="Sylfaen" w:hAnsi="Sylfaen"/>
          <w:sz w:val="24"/>
          <w:szCs w:val="24"/>
        </w:rPr>
        <w:t xml:space="preserve"> 2016 թվականի հունվարի 1-ը (վերջին պացիենտի վերջին այցի ամսաթվով). </w:t>
      </w:r>
    </w:p>
    <w:p w14:paraId="401647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2016 թվականի հունվարի 1-ից հետո նախաձեռնված կլինիկական հետազոտություններն անցկացվել են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համապատասխան, ընդ որում, </w:t>
      </w:r>
      <w:r w:rsidRPr="00834D52">
        <w:rPr>
          <w:rFonts w:ascii="Sylfaen" w:hAnsi="Sylfaen"/>
          <w:sz w:val="24"/>
          <w:szCs w:val="24"/>
        </w:rPr>
        <w:lastRenderedPageBreak/>
        <w:t>կլինիկական հետազոտություններից մեկը մասամբ կամ ամբողջությամբ (հետազոտության սուբյեկտներից ստացված տվյալների առնչությամբ) անցկացվել է Միության տարածքում:</w:t>
      </w:r>
    </w:p>
    <w:p w14:paraId="31B9391F" w14:textId="5EC3D480"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սույն կետի երկրորդից չորրորդ պարբերություններում նշված պահանջները չեն կատարվում, մինչ</w:t>
      </w:r>
      <w:r w:rsidR="00C54D75">
        <w:rPr>
          <w:rFonts w:ascii="Sylfaen" w:hAnsi="Sylfaen"/>
          <w:sz w:val="24"/>
          <w:szCs w:val="24"/>
        </w:rPr>
        <w:t>և</w:t>
      </w:r>
      <w:r w:rsidRPr="00834D52">
        <w:rPr>
          <w:rFonts w:ascii="Sylfaen" w:hAnsi="Sylfaen"/>
          <w:sz w:val="24"/>
          <w:szCs w:val="24"/>
        </w:rPr>
        <w:t xml:space="preserve">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ներկայացնելը </w:t>
      </w:r>
      <w:r w:rsidR="0056496B">
        <w:rPr>
          <w:rFonts w:ascii="Sylfaen" w:hAnsi="Sylfaen"/>
          <w:sz w:val="24"/>
          <w:szCs w:val="24"/>
        </w:rPr>
        <w:t>դիմումատու</w:t>
      </w:r>
      <w:r w:rsidRPr="00834D52">
        <w:rPr>
          <w:rFonts w:ascii="Sylfaen" w:hAnsi="Sylfaen"/>
          <w:sz w:val="24"/>
          <w:szCs w:val="24"/>
        </w:rPr>
        <w:t xml:space="preserve">ն մասամբ կամ ամբողջությամբ անցկացնում է կլինիկական հետազոտություններ Միության տարածքում (առնվազն մեկ հետազոտություն՝ </w:t>
      </w:r>
      <w:r w:rsidR="0056496B">
        <w:rPr>
          <w:rFonts w:ascii="Sylfaen" w:hAnsi="Sylfaen"/>
          <w:sz w:val="24"/>
          <w:szCs w:val="24"/>
        </w:rPr>
        <w:t>դիմումատու</w:t>
      </w:r>
      <w:r w:rsidRPr="00834D52">
        <w:rPr>
          <w:rFonts w:ascii="Sylfaen" w:hAnsi="Sylfaen"/>
          <w:sz w:val="24"/>
          <w:szCs w:val="24"/>
        </w:rPr>
        <w:t xml:space="preserve">ի հայեցողությամբ </w:t>
      </w:r>
      <w:r w:rsidR="00C54D75">
        <w:rPr>
          <w:rFonts w:ascii="Sylfaen" w:hAnsi="Sylfaen"/>
          <w:sz w:val="24"/>
          <w:szCs w:val="24"/>
        </w:rPr>
        <w:t>և</w:t>
      </w:r>
      <w:r w:rsidRPr="00834D52">
        <w:rPr>
          <w:rFonts w:ascii="Sylfaen" w:hAnsi="Sylfaen"/>
          <w:sz w:val="24"/>
          <w:szCs w:val="24"/>
        </w:rPr>
        <w:t xml:space="preserve"> լիազորված մարմնի հետ համաձայնեցմամբ), կամ գրանցման դոսյեի փորձաքննության անցկացման ժամանակ լիազորված մարմնի որոշմամբ նշանակվում է այն կլինիկական կենտրոններից մեկի արտապլանային տեսչական ստուգումը, որոնցում անցկացվել է կլինիկական հետազոտությունը:</w:t>
      </w:r>
    </w:p>
    <w:p w14:paraId="29D13B4C" w14:textId="77881860" w:rsidR="006F76EB" w:rsidRDefault="006F76EB" w:rsidP="006F76EB">
      <w:pPr>
        <w:tabs>
          <w:tab w:val="left" w:pos="1134"/>
        </w:tabs>
        <w:spacing w:after="160" w:line="336" w:lineRule="auto"/>
        <w:ind w:right="-6" w:firstLine="567"/>
        <w:jc w:val="both"/>
        <w:rPr>
          <w:rFonts w:ascii="Sylfaen" w:hAnsi="Sylfaen"/>
          <w:spacing w:val="-4"/>
          <w:sz w:val="24"/>
          <w:szCs w:val="24"/>
        </w:rPr>
      </w:pPr>
      <w:r w:rsidRPr="00834D52">
        <w:rPr>
          <w:rFonts w:ascii="Sylfaen" w:hAnsi="Sylfaen"/>
          <w:spacing w:val="-4"/>
          <w:sz w:val="24"/>
          <w:szCs w:val="24"/>
        </w:rPr>
        <w:t>Սույն կետի դրույթները չեն կիրառվում «որբ» դեղապատրաստուկների համար։</w:t>
      </w:r>
    </w:p>
    <w:p w14:paraId="3B1C081F" w14:textId="0629480D" w:rsidR="006C28F7" w:rsidRPr="006F28F9" w:rsidRDefault="006C28F7" w:rsidP="006C28F7">
      <w:pPr>
        <w:rPr>
          <w:b/>
          <w:bCs/>
          <w:i/>
          <w:iCs/>
        </w:rPr>
      </w:pPr>
      <w:r w:rsidRPr="00CD4709">
        <w:rPr>
          <w:b/>
          <w:bCs/>
          <w:i/>
          <w:iCs/>
        </w:rPr>
        <w:t>(</w:t>
      </w:r>
      <w:r>
        <w:rPr>
          <w:b/>
          <w:bCs/>
          <w:i/>
          <w:iCs/>
        </w:rPr>
        <w:t xml:space="preserve">36-րդ կետը </w:t>
      </w:r>
      <w:r w:rsidRPr="00CD4709">
        <w:rPr>
          <w:b/>
          <w:bCs/>
          <w:i/>
          <w:iCs/>
        </w:rPr>
        <w:t>փոփ. 30.01.20 թիվ 9)</w:t>
      </w:r>
    </w:p>
    <w:p w14:paraId="5ADC8EB3" w14:textId="05BF0E90"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37.</w:t>
      </w:r>
      <w:r w:rsidRPr="00834D52">
        <w:rPr>
          <w:rFonts w:ascii="Sylfaen" w:hAnsi="Sylfaen"/>
          <w:sz w:val="24"/>
          <w:szCs w:val="24"/>
        </w:rPr>
        <w:tab/>
        <w:t xml:space="preserve">Հաշվի առնելով հնարավոր ռիսկերի գնահատումը՝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56496B">
        <w:rPr>
          <w:rFonts w:ascii="Sylfaen" w:hAnsi="Sylfaen"/>
          <w:sz w:val="24"/>
          <w:szCs w:val="24"/>
        </w:rPr>
        <w:t>դիմումատու</w:t>
      </w:r>
      <w:r w:rsidRPr="00834D52">
        <w:rPr>
          <w:rFonts w:ascii="Sylfaen" w:hAnsi="Sylfaen"/>
          <w:sz w:val="24"/>
          <w:szCs w:val="24"/>
        </w:rPr>
        <w:t>ի ներկայացրած փաստաթղթերի հիման վրա որոշում է ընդունում դեղապատրաստուկի՝ Միության պատշաճ կլինիկական գործունեության պահանջներին համապատասխան լինելու մասով գրանցում իրականացնելու ժամկետում դեղապատրաստուկի կլինիկական հետազոտությունների, այդ թվում՝ կենսահամարժեքության հետազոտությունների արտապլանային տեսչական ստուգում անցկացնելու անհրաժեշտության մասին կամ դեղապատրաստուկի գրանցումից հետո առաջին 3 տարում տեսչական ստուգումների անցկացման պլանում կլինիկական հետազոտության տեսչական ստուգումը ներառելու մասին: Այս դեպքում պլանային տեսչական ստուգումն անցկացվում է առնվազն մեկ հետազոտական կենտրոնում՝ դեղագործական տեսչական ստուգումների անցկացման՝ Հանձնաժողովի կողմից հաստատվող կանոններին համապատասխան:</w:t>
      </w:r>
    </w:p>
    <w:p w14:paraId="0D9E70F9" w14:textId="15463493" w:rsidR="009A7168" w:rsidRPr="006F28F9" w:rsidRDefault="009A7168" w:rsidP="009A7168">
      <w:pPr>
        <w:rPr>
          <w:b/>
          <w:bCs/>
          <w:i/>
          <w:iCs/>
        </w:rPr>
      </w:pPr>
      <w:r w:rsidRPr="00CD4709">
        <w:rPr>
          <w:b/>
          <w:bCs/>
          <w:i/>
          <w:iCs/>
        </w:rPr>
        <w:t>(</w:t>
      </w:r>
      <w:r>
        <w:rPr>
          <w:b/>
          <w:bCs/>
          <w:i/>
          <w:iCs/>
        </w:rPr>
        <w:t xml:space="preserve">37-րդ կետը </w:t>
      </w:r>
      <w:r w:rsidRPr="00CD4709">
        <w:rPr>
          <w:b/>
          <w:bCs/>
          <w:i/>
          <w:iCs/>
        </w:rPr>
        <w:t>փոփ. 30.01.20 թիվ 9)</w:t>
      </w:r>
    </w:p>
    <w:p w14:paraId="5A5B5CC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38.</w:t>
      </w:r>
      <w:r w:rsidRPr="00834D52">
        <w:rPr>
          <w:rFonts w:ascii="Sylfaen" w:hAnsi="Sylfaen"/>
          <w:sz w:val="24"/>
          <w:szCs w:val="24"/>
        </w:rPr>
        <w:tab/>
        <w:t xml:space="preserve">Կլինիկական հետազոտության՝ Միության պատշաճ կլինիկական </w:t>
      </w:r>
      <w:r w:rsidRPr="00834D52">
        <w:rPr>
          <w:rFonts w:ascii="Sylfaen" w:hAnsi="Sylfaen"/>
          <w:sz w:val="24"/>
          <w:szCs w:val="24"/>
        </w:rPr>
        <w:lastRenderedPageBreak/>
        <w:t>գործունեության պահանջներին համապատասխան լինելու մասով արտապլանային տեսչական ստուգում անցկացնելու անհրաժեշտության մասին որոշումն ընդունվում է լիազորված մարմնի կողմից՝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7E03A392"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Էթիկայի անկախ կոմիտեի կողմից կլինիկական հետազոտությանը հավանություն տալու մասին տեղեկատվության բացակայություն.</w:t>
      </w:r>
    </w:p>
    <w:p w14:paraId="6CA71158" w14:textId="7FEE019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w:t>
      </w:r>
      <w:r w:rsidR="00F56A89" w:rsidRPr="00F56A89">
        <w:rPr>
          <w:rFonts w:ascii="GHEA Grapalat" w:hAnsi="GHEA Grapalat"/>
          <w:sz w:val="21"/>
          <w:szCs w:val="21"/>
        </w:rPr>
        <w:t>սուբյեկտներին ներկայացվող</w:t>
      </w:r>
      <w:r w:rsidR="00F56A89">
        <w:rPr>
          <w:sz w:val="21"/>
          <w:szCs w:val="21"/>
        </w:rPr>
        <w:t xml:space="preserve"> </w:t>
      </w:r>
      <w:r w:rsidRPr="00834D52">
        <w:rPr>
          <w:rFonts w:ascii="Sylfaen" w:hAnsi="Sylfaen"/>
          <w:sz w:val="24"/>
          <w:szCs w:val="24"/>
        </w:rPr>
        <w:t xml:space="preserve">տեղեկացված համաձայնություն կամ տեղեկատվություն ստանալու գործընթացի խախտման փաստերի </w:t>
      </w:r>
      <w:r w:rsidR="00DE4B55">
        <w:rPr>
          <w:rFonts w:ascii="Sylfaen" w:hAnsi="Sylfaen"/>
          <w:sz w:val="24"/>
          <w:szCs w:val="24"/>
        </w:rPr>
        <w:t>հայտ</w:t>
      </w:r>
      <w:r w:rsidRPr="00834D52">
        <w:rPr>
          <w:rFonts w:ascii="Sylfaen" w:hAnsi="Sylfaen"/>
          <w:sz w:val="24"/>
          <w:szCs w:val="24"/>
        </w:rPr>
        <w:t>նաբերում.</w:t>
      </w:r>
    </w:p>
    <w:p w14:paraId="6051602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վարչարարական կառուցվածքի հետ կապված հարցերի առկայություն (տեղեկատվության բացակայություն կամ անհստակություն).</w:t>
      </w:r>
    </w:p>
    <w:p w14:paraId="2CE32D8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պատշաճ կլինիկական գործունեության կանոններին համապատասխան հետազոտության ընթացքում արձանագրության մեջ չարտացոլված էական ուղղումների առկայություն.</w:t>
      </w:r>
    </w:p>
    <w:p w14:paraId="22579BE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(կամ) անվտանգության ցուցանիշների սահմանումը նկարագրող տեղեկությունների (կլինիկական նմուշներ վերցնելու, նույնականացնելու, մշակելու, քանակապես սահմանելու պայմանների վերաբերյալ) բացակայություն կամ անբավարարություն.</w:t>
      </w:r>
    </w:p>
    <w:p w14:paraId="16055F77" w14:textId="77777777"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սուբյեկտների տվյալները, առանց պատճառների հիմնավորման, վիճակագրական վերլուծությունից հանելու մասին տեղեկությունների առկայություն.</w:t>
      </w:r>
    </w:p>
    <w:p w14:paraId="672C0A95" w14:textId="4ACE9BF1" w:rsidR="006F76EB" w:rsidRPr="00834D52" w:rsidRDefault="006F76EB" w:rsidP="00112DF4">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կլինիկական հետազոտության առնչությամբ գրանցման դոսյեում ներկայացված տեղեկությունների հավաստիությունը կասկածի ենթարկող փաստերի </w:t>
      </w:r>
      <w:r w:rsidR="00DE4B55">
        <w:rPr>
          <w:rFonts w:ascii="Sylfaen" w:hAnsi="Sylfaen"/>
          <w:sz w:val="24"/>
          <w:szCs w:val="24"/>
        </w:rPr>
        <w:t>հայտ</w:t>
      </w:r>
      <w:r w:rsidRPr="00834D52">
        <w:rPr>
          <w:rFonts w:ascii="Sylfaen" w:hAnsi="Sylfaen"/>
          <w:sz w:val="24"/>
          <w:szCs w:val="24"/>
        </w:rPr>
        <w:t xml:space="preserve">նաբերում (կլինիկական հետազոտության արձանագրության </w:t>
      </w:r>
      <w:r w:rsidR="00C54D75">
        <w:rPr>
          <w:rFonts w:ascii="Sylfaen" w:hAnsi="Sylfaen"/>
          <w:sz w:val="24"/>
          <w:szCs w:val="24"/>
        </w:rPr>
        <w:t>և</w:t>
      </w:r>
      <w:r w:rsidRPr="00834D52">
        <w:rPr>
          <w:rFonts w:ascii="Sylfaen" w:hAnsi="Sylfaen"/>
          <w:sz w:val="24"/>
          <w:szCs w:val="24"/>
        </w:rPr>
        <w:t xml:space="preserve"> հաշվետվության մեջ արդյունավետության </w:t>
      </w:r>
      <w:r w:rsidR="00C54D75">
        <w:rPr>
          <w:rFonts w:ascii="Sylfaen" w:hAnsi="Sylfaen"/>
          <w:sz w:val="24"/>
          <w:szCs w:val="24"/>
        </w:rPr>
        <w:t>և</w:t>
      </w:r>
      <w:r w:rsidRPr="00834D52">
        <w:rPr>
          <w:rFonts w:ascii="Sylfaen" w:hAnsi="Sylfaen"/>
          <w:sz w:val="24"/>
          <w:szCs w:val="24"/>
        </w:rPr>
        <w:t xml:space="preserve"> անվտանգության </w:t>
      </w:r>
      <w:r w:rsidRPr="00834D52">
        <w:rPr>
          <w:rFonts w:ascii="Sylfaen" w:hAnsi="Sylfaen"/>
          <w:sz w:val="24"/>
          <w:szCs w:val="24"/>
        </w:rPr>
        <w:lastRenderedPageBreak/>
        <w:t>վերջնակետերի չհիմնավորված կամ ոչ հստակ տարբերություններ, տվյալների գրառման անհետ</w:t>
      </w:r>
      <w:r w:rsidR="00C54D75">
        <w:rPr>
          <w:rFonts w:ascii="Sylfaen" w:hAnsi="Sylfaen"/>
          <w:sz w:val="24"/>
          <w:szCs w:val="24"/>
        </w:rPr>
        <w:t>և</w:t>
      </w:r>
      <w:r w:rsidRPr="00834D52">
        <w:rPr>
          <w:rFonts w:ascii="Sylfaen" w:hAnsi="Sylfaen"/>
          <w:sz w:val="24"/>
          <w:szCs w:val="24"/>
        </w:rPr>
        <w:t xml:space="preserve">ողականություն, անճշտություն կամ անլիարժեքություն, արձանագրության փոփոխությունները հաշվի չեն առնվում կլինիկական հետազոտության այլ փաստաթղթերում, մեծ քանակությամբ բաց թողնված արժեքներ, ինչը կարող է ազդել հետազոտության վիճակագրական հզորության վրա). </w:t>
      </w:r>
    </w:p>
    <w:p w14:paraId="1F9ED25E" w14:textId="252F0AAD"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անհավատալի կամ անհամապատասխան լինելը (այլ հետազոտությունների </w:t>
      </w:r>
      <w:r w:rsidR="00DE4B55">
        <w:rPr>
          <w:rFonts w:ascii="Sylfaen" w:hAnsi="Sylfaen"/>
          <w:sz w:val="24"/>
          <w:szCs w:val="24"/>
        </w:rPr>
        <w:t>հայտ</w:t>
      </w:r>
      <w:r w:rsidRPr="00834D52">
        <w:rPr>
          <w:rFonts w:ascii="Sylfaen" w:hAnsi="Sylfaen"/>
          <w:sz w:val="24"/>
          <w:szCs w:val="24"/>
        </w:rPr>
        <w:t xml:space="preserve">նի արդյունքներին հակասող արդյունքներ, անցանկալի լուրջ ռեակցիաների դեպքերի մասին հաղորդագրությունների ցածր հաճախականություն </w:t>
      </w:r>
      <w:r w:rsidR="00C54D75">
        <w:rPr>
          <w:rFonts w:ascii="Sylfaen" w:hAnsi="Sylfaen"/>
          <w:sz w:val="24"/>
          <w:szCs w:val="24"/>
        </w:rPr>
        <w:t>և</w:t>
      </w:r>
      <w:r w:rsidRPr="00834D52">
        <w:rPr>
          <w:rFonts w:ascii="Sylfaen" w:hAnsi="Sylfaen"/>
          <w:sz w:val="24"/>
          <w:szCs w:val="24"/>
        </w:rPr>
        <w:t xml:space="preserve"> (կամ) անհավատալի տվյալներ հետազոտվող պատրաստուկի օգտին՝ այլ հետազոտողների արդյունքների կամ հետազոտությունների կամ հետազոտական կենտրոնների միջ</w:t>
      </w:r>
      <w:r w:rsidR="00C54D75">
        <w:rPr>
          <w:rFonts w:ascii="Sylfaen" w:hAnsi="Sylfaen"/>
          <w:sz w:val="24"/>
          <w:szCs w:val="24"/>
        </w:rPr>
        <w:t>և</w:t>
      </w:r>
      <w:r w:rsidRPr="00834D52">
        <w:rPr>
          <w:rFonts w:ascii="Sylfaen" w:hAnsi="Sylfaen"/>
          <w:sz w:val="24"/>
          <w:szCs w:val="24"/>
        </w:rPr>
        <w:t xml:space="preserve"> բժշկա-կենսաբանական տեսանկյունից կասկածելի (անհավատալի կամ հակասական) արդյունքների այլ հետազոտությունների համեմատ).</w:t>
      </w:r>
    </w:p>
    <w:p w14:paraId="2AF92AA1"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կրիտիկական կախվածություն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ինչպես նա</w:t>
      </w:r>
      <w:r w:rsidR="00C54D75">
        <w:rPr>
          <w:rFonts w:ascii="Sylfaen" w:hAnsi="Sylfaen"/>
          <w:sz w:val="24"/>
          <w:szCs w:val="24"/>
        </w:rPr>
        <w:t>և</w:t>
      </w:r>
      <w:r w:rsidRPr="00834D52">
        <w:rPr>
          <w:rFonts w:ascii="Sylfaen" w:hAnsi="Sylfaen"/>
          <w:sz w:val="24"/>
          <w:szCs w:val="24"/>
        </w:rPr>
        <w:t xml:space="preserve"> դրա օգուտ-ռիսկ հարաբերակցության հիմնավորում) միայն մեկ հետազոտության կամ սուբյեկտների փոքր ընտրանքի հետ անցկացված հետազոտությունների արդյունքներից.</w:t>
      </w:r>
    </w:p>
    <w:p w14:paraId="33E52B18"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բնակչության լայն պոպուլյացիայի կողմից կիրառման համար դեղապատրաստուկի նախատեսված լինելը (օրինակ՝ պատվաստանյութեր </w:t>
      </w:r>
      <w:r w:rsidR="00C54D75">
        <w:rPr>
          <w:rFonts w:ascii="Sylfaen" w:hAnsi="Sylfaen"/>
          <w:sz w:val="24"/>
          <w:szCs w:val="24"/>
        </w:rPr>
        <w:t>և</w:t>
      </w:r>
      <w:r w:rsidRPr="00834D52">
        <w:rPr>
          <w:rFonts w:ascii="Sylfaen" w:hAnsi="Sylfaen"/>
          <w:sz w:val="24"/>
          <w:szCs w:val="24"/>
        </w:rPr>
        <w:t xml:space="preserve"> այլ դեղապատրաստուկներ, որոնք նախատեսված են բնակչության խոշոր խմբերի կողմից միաժամանակյա կիրառման համար).</w:t>
      </w:r>
    </w:p>
    <w:p w14:paraId="79B311EE"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էթիկական խնդիրների առաջացման բարձր հավանականություն (հետազոտությանը բնակչության խոցելի խմբերի մասնակցությունը. երեխաներ, ճանաչողական խանգարումներով անձինք, այլընտրանքային բուժում չունեցող հիվանդություններով պացիենտներ, ինստիտուցիոնալիզացված պացիենտներ </w:t>
      </w:r>
      <w:r w:rsidR="00C54D75">
        <w:rPr>
          <w:rFonts w:ascii="Sylfaen" w:hAnsi="Sylfaen"/>
          <w:sz w:val="24"/>
          <w:szCs w:val="24"/>
        </w:rPr>
        <w:t>և</w:t>
      </w:r>
      <w:r w:rsidRPr="00834D52">
        <w:rPr>
          <w:rFonts w:ascii="Sylfaen" w:hAnsi="Sylfaen"/>
          <w:sz w:val="24"/>
          <w:szCs w:val="24"/>
        </w:rPr>
        <w:t xml:space="preserve"> այլն՝ Հանձնաժողովի կողմից հաստատվող պատշաճ կլինիկական գործունեության կանոնների պահանջներին համապատասխան).</w:t>
      </w:r>
    </w:p>
    <w:p w14:paraId="65C3CBF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հետազոտություն անցկացնելն այն աշխարհագրական </w:t>
      </w:r>
      <w:r w:rsidRPr="00834D52">
        <w:rPr>
          <w:rFonts w:ascii="Sylfaen" w:hAnsi="Sylfaen"/>
          <w:sz w:val="24"/>
          <w:szCs w:val="24"/>
        </w:rPr>
        <w:lastRenderedPageBreak/>
        <w:t>տարածաշրջանի կլինիկական կենտրոնում, որտեղ կլինիկական հետազոտությունների անցկացմանը ներկայացվող պահանջների մակարդակը ցածր է Միության շրջանակներում սահմանված պահանջներից.</w:t>
      </w:r>
    </w:p>
    <w:p w14:paraId="2374FAA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անդամ չհանդիսացող պետությունների լիազորված մարմինների մոտ հետազոտական կենտրոնի կամ հովանավորի կողմից պատշաճ կլինիկական գործունեության պահանջների պահպանման խնդիրների վերաբերյալ տեղեկությունների առկայությունը.</w:t>
      </w:r>
    </w:p>
    <w:p w14:paraId="59C1BC4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Հանձնաժողովի կողմից հաստատվող դեղագործական տեսչական ստուգումների անցկացման կանոններով նախատեսված հանգամանքների առկայությունը:</w:t>
      </w:r>
    </w:p>
    <w:p w14:paraId="7860CC2D" w14:textId="2DB2DCE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Կլինիկական հետազոտության մեջ օգտագործված դեղապատրաստուկի </w:t>
      </w:r>
      <w:r w:rsidR="00C54D75">
        <w:rPr>
          <w:rFonts w:ascii="Sylfaen" w:hAnsi="Sylfaen"/>
          <w:sz w:val="24"/>
          <w:szCs w:val="24"/>
        </w:rPr>
        <w:t>և</w:t>
      </w:r>
      <w:r w:rsidRPr="00834D52">
        <w:rPr>
          <w:rFonts w:ascii="Sylfaen" w:hAnsi="Sylfaen"/>
          <w:sz w:val="24"/>
          <w:szCs w:val="24"/>
        </w:rPr>
        <w:t xml:space="preserve"> համեմատության պատրաստուկների, այդ թվում՝ պլացեբոյի որակի վերաբերյալ կասկածների առկայության դեպքում որոշում է ընդունվում տվյալ դեղապատրաստուկի արտադրական հարթակի՝ Միության պատշաճ արտադրական գործունեության պահանջներին համապատասխան լինելու մասով (արտապլանային կամ պլանային) տեսչական ստուգում անցկացնելու մասին:</w:t>
      </w:r>
    </w:p>
    <w:p w14:paraId="41D07B2E" w14:textId="5BAE886F" w:rsidR="00DE7674" w:rsidRPr="006F28F9" w:rsidRDefault="00DE7674" w:rsidP="00DE7674">
      <w:pPr>
        <w:rPr>
          <w:b/>
          <w:bCs/>
          <w:i/>
          <w:iCs/>
        </w:rPr>
      </w:pPr>
      <w:r w:rsidRPr="00CD4709">
        <w:rPr>
          <w:b/>
          <w:bCs/>
          <w:i/>
          <w:iCs/>
        </w:rPr>
        <w:t>(</w:t>
      </w:r>
      <w:r>
        <w:rPr>
          <w:b/>
          <w:bCs/>
          <w:i/>
          <w:iCs/>
        </w:rPr>
        <w:t xml:space="preserve">38-րդ </w:t>
      </w:r>
      <w:r w:rsidRPr="00CD4709">
        <w:rPr>
          <w:b/>
          <w:bCs/>
          <w:i/>
          <w:iCs/>
        </w:rPr>
        <w:t>փոփ. 30.01.20 թիվ 9)</w:t>
      </w:r>
    </w:p>
    <w:p w14:paraId="3485D92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39.</w:t>
      </w:r>
      <w:r w:rsidRPr="00834D52">
        <w:rPr>
          <w:rFonts w:ascii="Sylfaen" w:hAnsi="Sylfaen"/>
          <w:sz w:val="24"/>
          <w:szCs w:val="24"/>
        </w:rPr>
        <w:tab/>
        <w:t xml:space="preserve">Կենսահամարժեքության հետազոտությունների արդյունքների առնչությամբ արտապլանային տեսչական ստուգում անցկացնելու անհրաժեշտության մասին որոշումը կայացվում է լիազորված մարմնի կողմից՝ հաշվի առնելով սույն Կանոնների 37-րդ </w:t>
      </w:r>
      <w:r w:rsidR="00C54D75">
        <w:rPr>
          <w:rFonts w:ascii="Sylfaen" w:hAnsi="Sylfaen"/>
          <w:sz w:val="24"/>
          <w:szCs w:val="24"/>
        </w:rPr>
        <w:t>և</w:t>
      </w:r>
      <w:r w:rsidRPr="00834D52">
        <w:rPr>
          <w:rFonts w:ascii="Sylfaen" w:hAnsi="Sylfaen"/>
          <w:sz w:val="24"/>
          <w:szCs w:val="24"/>
        </w:rPr>
        <w:t xml:space="preserve"> 38-րդ կետերի պահանջները՝ հետ</w:t>
      </w:r>
      <w:r w:rsidR="00C54D75">
        <w:rPr>
          <w:rFonts w:ascii="Sylfaen" w:hAnsi="Sylfaen"/>
          <w:sz w:val="24"/>
          <w:szCs w:val="24"/>
        </w:rPr>
        <w:t>և</w:t>
      </w:r>
      <w:r w:rsidRPr="00834D52">
        <w:rPr>
          <w:rFonts w:ascii="Sylfaen" w:hAnsi="Sylfaen"/>
          <w:sz w:val="24"/>
          <w:szCs w:val="24"/>
        </w:rPr>
        <w:t xml:space="preserve">յալ գործոնների համալիր գնահատման հիման վրա. </w:t>
      </w:r>
    </w:p>
    <w:p w14:paraId="0DE7875B"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t>կենսահամարժեքության հետազոտության չհիմնավորված համասեռ (ոչ համասեռ) տվյալների ներկայացումը.</w:t>
      </w:r>
    </w:p>
    <w:p w14:paraId="064062A9"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բաց թողնված (դուրս մնացող) արժեքների քանակի անհամապատասխանությունը տվյալ ազդող նյութի կամ չափումների տեսակի համար ենթադրվող արժեքների քանակին.</w:t>
      </w:r>
    </w:p>
    <w:p w14:paraId="6F15B480"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գ)</w:t>
      </w:r>
      <w:r w:rsidRPr="00834D52">
        <w:rPr>
          <w:rFonts w:ascii="Sylfaen" w:hAnsi="Sylfaen"/>
          <w:sz w:val="24"/>
          <w:szCs w:val="24"/>
        </w:rPr>
        <w:tab/>
        <w:t xml:space="preserve">ներկայացված կլինիկական, վիճակագրական կամ վերլուծական տվյալների անհավատալի լինելը (անհամաձայնեցված լինելը). </w:t>
      </w:r>
    </w:p>
    <w:p w14:paraId="2EBA7ACD"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պարամետրերի կամ միջանհատական (ներանհատական) փոփոխականության մասով հետազոտությունների հակասական արդյունքների առկայությունը:</w:t>
      </w:r>
    </w:p>
    <w:p w14:paraId="4305DE51" w14:textId="77777777" w:rsidR="006F76EB" w:rsidRPr="00834D52" w:rsidRDefault="006F76EB" w:rsidP="005A0FC1">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40.</w:t>
      </w:r>
      <w:r w:rsidRPr="00834D52">
        <w:rPr>
          <w:rFonts w:ascii="Sylfaen" w:hAnsi="Sylfaen"/>
          <w:sz w:val="24"/>
          <w:szCs w:val="24"/>
        </w:rPr>
        <w:tab/>
        <w:t>Գրանցման հավաստագրի իրավատիրոջ դեղազգոնության համակարգի արտապլանային տեսչական ստուգումը դեղապատրաստուկի գրանցման ընթացակարգի շրջանակներում անցկացվում է Հանձնաժողովի կողմից հաստատվող դեղազգոնության պատշաճ գործունեության կանոններով նախատեսված դեպքերում:</w:t>
      </w:r>
    </w:p>
    <w:p w14:paraId="532EAD14" w14:textId="77777777" w:rsidR="006F76EB" w:rsidRPr="00834D52" w:rsidRDefault="006F76EB" w:rsidP="006F76EB">
      <w:pPr>
        <w:spacing w:after="160" w:line="360" w:lineRule="auto"/>
        <w:ind w:right="-8"/>
        <w:rPr>
          <w:rFonts w:ascii="Sylfaen" w:hAnsi="Sylfaen"/>
          <w:sz w:val="24"/>
          <w:szCs w:val="24"/>
        </w:rPr>
      </w:pPr>
    </w:p>
    <w:p w14:paraId="40B2C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IV. Դեղապատրաստուկների փորձաքննության </w:t>
      </w:r>
      <w:r w:rsidRPr="00834D52">
        <w:rPr>
          <w:rFonts w:ascii="Sylfaen" w:hAnsi="Sylfaen"/>
          <w:sz w:val="24"/>
          <w:szCs w:val="24"/>
        </w:rPr>
        <w:br/>
        <w:t>ընդհանուր սկզբունքները</w:t>
      </w:r>
    </w:p>
    <w:p w14:paraId="25C020F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 xml:space="preserve">Դեղապատրաստուկների փորձաքննությունն անցկացվում է դեղամիջոցների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w:t>
      </w:r>
      <w:r w:rsidR="00C54D75">
        <w:rPr>
          <w:rFonts w:ascii="Sylfaen" w:hAnsi="Sylfaen"/>
          <w:sz w:val="24"/>
          <w:szCs w:val="24"/>
        </w:rPr>
        <w:t>և</w:t>
      </w:r>
      <w:r w:rsidRPr="00834D52">
        <w:rPr>
          <w:rFonts w:ascii="Sylfaen" w:hAnsi="Sylfaen"/>
          <w:sz w:val="24"/>
          <w:szCs w:val="24"/>
        </w:rPr>
        <w:t xml:space="preserve"> դեղապատրաստուկների օգուտ-ռիսկ հարաբերակցության գիտական գնահատական ստանալու համար </w:t>
      </w:r>
      <w:r w:rsidR="00C54D75">
        <w:rPr>
          <w:rFonts w:ascii="Sylfaen" w:hAnsi="Sylfaen"/>
          <w:sz w:val="24"/>
          <w:szCs w:val="24"/>
        </w:rPr>
        <w:t>և</w:t>
      </w:r>
      <w:r w:rsidRPr="00834D52">
        <w:rPr>
          <w:rFonts w:ascii="Sylfaen" w:hAnsi="Sylfaen"/>
          <w:sz w:val="24"/>
          <w:szCs w:val="24"/>
        </w:rPr>
        <w:t xml:space="preserve"> կարող է իր մեջ ներառել.</w:t>
      </w:r>
    </w:p>
    <w:p w14:paraId="56BC967D" w14:textId="5D92C7D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ներկայացրած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(դոսյեի գնահատում).</w:t>
      </w:r>
    </w:p>
    <w:p w14:paraId="1BE62A8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որակի հսկողության վերլուծական մեթոդիկաների որակի </w:t>
      </w:r>
      <w:r w:rsidR="00C54D75">
        <w:rPr>
          <w:rFonts w:ascii="Sylfaen" w:hAnsi="Sylfaen"/>
          <w:sz w:val="24"/>
          <w:szCs w:val="24"/>
        </w:rPr>
        <w:t>և</w:t>
      </w:r>
      <w:r w:rsidRPr="00834D52">
        <w:rPr>
          <w:rFonts w:ascii="Sylfaen" w:hAnsi="Sylfaen"/>
          <w:sz w:val="24"/>
          <w:szCs w:val="24"/>
        </w:rPr>
        <w:t xml:space="preserve"> վավերացման նորմատիվ փաստաթղթի պահանջներին համապատասխան լինելու մասով լաբորատոր փորձարկումների անցկացում.</w:t>
      </w:r>
    </w:p>
    <w:p w14:paraId="67FB47B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2DFA8E1F" w14:textId="18B94C37"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 xml:space="preserve">ճանաչման պետության կողմից գնահատման վերաբերյալ փորձագիտական հաշվետվության գնահատում՝ հաշվի առնելով դեղապատրաստուկի գրանցման դոսյեում պարունակող փաստաթղթերը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տեղեկությունները:</w:t>
      </w:r>
    </w:p>
    <w:p w14:paraId="7C7C809B" w14:textId="6570412C" w:rsidR="00DE4B55" w:rsidRPr="006F28F9" w:rsidRDefault="00DE4B55" w:rsidP="00DE4B55">
      <w:pPr>
        <w:rPr>
          <w:b/>
          <w:bCs/>
          <w:i/>
          <w:iCs/>
        </w:rPr>
      </w:pPr>
      <w:r w:rsidRPr="00CD4709">
        <w:rPr>
          <w:b/>
          <w:bCs/>
          <w:i/>
          <w:iCs/>
        </w:rPr>
        <w:t>(</w:t>
      </w:r>
      <w:r>
        <w:rPr>
          <w:b/>
          <w:bCs/>
          <w:i/>
          <w:iCs/>
        </w:rPr>
        <w:t xml:space="preserve">41-րդ կետը </w:t>
      </w:r>
      <w:r w:rsidRPr="00CD4709">
        <w:rPr>
          <w:b/>
          <w:bCs/>
          <w:i/>
          <w:iCs/>
        </w:rPr>
        <w:t>փոփ. 30.01.20 թիվ 9)</w:t>
      </w:r>
    </w:p>
    <w:p w14:paraId="17ADAAC2" w14:textId="77777777" w:rsidR="00DE4B55" w:rsidRPr="00834D52" w:rsidRDefault="00DE4B55" w:rsidP="006F76EB">
      <w:pPr>
        <w:tabs>
          <w:tab w:val="left" w:pos="1134"/>
        </w:tabs>
        <w:spacing w:after="160" w:line="360" w:lineRule="auto"/>
        <w:ind w:right="-8" w:firstLine="567"/>
        <w:jc w:val="both"/>
        <w:rPr>
          <w:rFonts w:ascii="Sylfaen" w:eastAsia="Times New Roman" w:hAnsi="Sylfaen" w:cs="Times New Roman"/>
          <w:sz w:val="24"/>
          <w:szCs w:val="24"/>
        </w:rPr>
      </w:pPr>
    </w:p>
    <w:p w14:paraId="002B0AE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Դեղապատրաստուկները գրանցելիս դրանց փորձաքննության անցկացման հիմնական սկզբունքներն են՝</w:t>
      </w:r>
    </w:p>
    <w:p w14:paraId="0E4E69B5"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փորձագետների անկախությունը </w:t>
      </w:r>
      <w:r w:rsidR="00C54D75">
        <w:rPr>
          <w:rFonts w:ascii="Sylfaen" w:hAnsi="Sylfaen"/>
          <w:sz w:val="24"/>
          <w:szCs w:val="24"/>
        </w:rPr>
        <w:t>և</w:t>
      </w:r>
      <w:r w:rsidRPr="00834D52">
        <w:rPr>
          <w:rFonts w:ascii="Sylfaen" w:hAnsi="Sylfaen"/>
          <w:sz w:val="24"/>
          <w:szCs w:val="24"/>
        </w:rPr>
        <w:t xml:space="preserve"> իրավական պաշտպանվածությունը նրանց կողմից մասնագիտական գործունեություն իրականացնելիս.</w:t>
      </w:r>
    </w:p>
    <w:p w14:paraId="713A0F28" w14:textId="77777777" w:rsidR="006F76EB" w:rsidRPr="00834D52" w:rsidRDefault="006F76EB" w:rsidP="00664595">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անդամ պետությունների օրենսդրության, 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 կատարման պարտադիր լինելը.</w:t>
      </w:r>
    </w:p>
    <w:p w14:paraId="5B6467E6"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փորձաքննության օբյեկտների հետազոտությունների նկատմամբ գիտական մոտեցումը, լիարժեքությունը, համակողմանիությունը </w:t>
      </w:r>
      <w:r w:rsidR="00C54D75">
        <w:rPr>
          <w:rFonts w:ascii="Sylfaen" w:hAnsi="Sylfaen"/>
          <w:sz w:val="24"/>
          <w:szCs w:val="24"/>
        </w:rPr>
        <w:t>և</w:t>
      </w:r>
      <w:r w:rsidRPr="00834D52">
        <w:rPr>
          <w:rFonts w:ascii="Sylfaen" w:hAnsi="Sylfaen"/>
          <w:sz w:val="24"/>
          <w:szCs w:val="24"/>
        </w:rPr>
        <w:t xml:space="preserve"> օբյեկտիվությունը, փորձաքննության արդյունքների հիմնավորվածության ապահովումը՝ փաստաթղթերով սահմանված ընդունելիության չափանիշներին համապատասխան.</w:t>
      </w:r>
    </w:p>
    <w:p w14:paraId="35F2C40A"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փորձագետների բանիմացությունը </w:t>
      </w:r>
      <w:r w:rsidR="00C54D75">
        <w:rPr>
          <w:rFonts w:ascii="Sylfaen" w:hAnsi="Sylfaen"/>
          <w:sz w:val="24"/>
          <w:szCs w:val="24"/>
        </w:rPr>
        <w:t>և</w:t>
      </w:r>
      <w:r w:rsidRPr="00834D52">
        <w:rPr>
          <w:rFonts w:ascii="Sylfaen" w:hAnsi="Sylfaen"/>
          <w:sz w:val="24"/>
          <w:szCs w:val="24"/>
        </w:rPr>
        <w:t xml:space="preserve"> մասնագիտական բարձր մակարդակը.</w:t>
      </w:r>
    </w:p>
    <w:p w14:paraId="3D57732C" w14:textId="77777777" w:rsidR="006F76EB" w:rsidRPr="00834D52" w:rsidRDefault="006F76EB" w:rsidP="00664595">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դեղապատրաստուկների փորձաքննության կազմակերպման </w:t>
      </w:r>
      <w:r w:rsidR="00C54D75">
        <w:rPr>
          <w:rFonts w:ascii="Sylfaen" w:hAnsi="Sylfaen"/>
          <w:sz w:val="24"/>
          <w:szCs w:val="24"/>
        </w:rPr>
        <w:t>և</w:t>
      </w:r>
      <w:r w:rsidRPr="00834D52">
        <w:rPr>
          <w:rFonts w:ascii="Sylfaen" w:hAnsi="Sylfaen"/>
          <w:sz w:val="24"/>
          <w:szCs w:val="24"/>
        </w:rPr>
        <w:t xml:space="preserve"> դրա մեթոդաբանական ապահովման համակարգվածությունը. </w:t>
      </w:r>
    </w:p>
    <w:p w14:paraId="5EEA3A05"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կողմնորոշումը դեպի գիտության </w:t>
      </w:r>
      <w:r w:rsidR="00C54D75">
        <w:rPr>
          <w:rFonts w:ascii="Sylfaen" w:hAnsi="Sylfaen"/>
          <w:sz w:val="24"/>
          <w:szCs w:val="24"/>
        </w:rPr>
        <w:t>և</w:t>
      </w:r>
      <w:r w:rsidRPr="00834D52">
        <w:rPr>
          <w:rFonts w:ascii="Sylfaen" w:hAnsi="Sylfaen"/>
          <w:sz w:val="24"/>
          <w:szCs w:val="24"/>
        </w:rPr>
        <w:t xml:space="preserve"> տեխնիկայի զարգացման համաշխարհային մակարդակը, տեխնիկական </w:t>
      </w:r>
      <w:r w:rsidR="00C54D75">
        <w:rPr>
          <w:rFonts w:ascii="Sylfaen" w:hAnsi="Sylfaen"/>
          <w:sz w:val="24"/>
          <w:szCs w:val="24"/>
        </w:rPr>
        <w:t>և</w:t>
      </w:r>
      <w:r w:rsidRPr="00834D52">
        <w:rPr>
          <w:rFonts w:ascii="Sylfaen" w:hAnsi="Sylfaen"/>
          <w:sz w:val="24"/>
          <w:szCs w:val="24"/>
        </w:rPr>
        <w:t xml:space="preserve"> հասարակական անվտանգության նորմերը </w:t>
      </w:r>
      <w:r w:rsidR="00C54D75">
        <w:rPr>
          <w:rFonts w:ascii="Sylfaen" w:hAnsi="Sylfaen"/>
          <w:sz w:val="24"/>
          <w:szCs w:val="24"/>
        </w:rPr>
        <w:t>և</w:t>
      </w:r>
      <w:r w:rsidRPr="00834D52">
        <w:rPr>
          <w:rFonts w:ascii="Sylfaen" w:hAnsi="Sylfaen"/>
          <w:sz w:val="24"/>
          <w:szCs w:val="24"/>
        </w:rPr>
        <w:t xml:space="preserve"> կանոնները.</w:t>
      </w:r>
    </w:p>
    <w:p w14:paraId="5AC0C641"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փորձաքննության արդյունքների հրապարակայնությունը՝ պետական, ծառայողական </w:t>
      </w:r>
      <w:r w:rsidR="00C54D75">
        <w:rPr>
          <w:rFonts w:ascii="Sylfaen" w:hAnsi="Sylfaen"/>
          <w:sz w:val="24"/>
          <w:szCs w:val="24"/>
        </w:rPr>
        <w:t>և</w:t>
      </w:r>
      <w:r w:rsidRPr="00834D52">
        <w:rPr>
          <w:rFonts w:ascii="Sylfaen" w:hAnsi="Sylfaen"/>
          <w:sz w:val="24"/>
          <w:szCs w:val="24"/>
        </w:rPr>
        <w:t xml:space="preserve"> առ</w:t>
      </w:r>
      <w:r w:rsidR="00C54D75">
        <w:rPr>
          <w:rFonts w:ascii="Sylfaen" w:hAnsi="Sylfaen"/>
          <w:sz w:val="24"/>
          <w:szCs w:val="24"/>
        </w:rPr>
        <w:t>և</w:t>
      </w:r>
      <w:r w:rsidRPr="00834D52">
        <w:rPr>
          <w:rFonts w:ascii="Sylfaen" w:hAnsi="Sylfaen"/>
          <w:sz w:val="24"/>
          <w:szCs w:val="24"/>
        </w:rPr>
        <w:t xml:space="preserve">տրային գաղտնիքն անդամ պետության օրենսդրությանը, Միության իրավունքի մաս կազմող միջազգային պայմանագրերին </w:t>
      </w:r>
      <w:r w:rsidR="00C54D75">
        <w:rPr>
          <w:rFonts w:ascii="Sylfaen" w:hAnsi="Sylfaen"/>
          <w:sz w:val="24"/>
          <w:szCs w:val="24"/>
        </w:rPr>
        <w:t>և</w:t>
      </w:r>
      <w:r w:rsidRPr="00834D52">
        <w:rPr>
          <w:rFonts w:ascii="Sylfaen" w:hAnsi="Sylfaen"/>
          <w:sz w:val="24"/>
          <w:szCs w:val="24"/>
        </w:rPr>
        <w:t xml:space="preserve"> ակտերին </w:t>
      </w:r>
      <w:r w:rsidRPr="00834D52">
        <w:rPr>
          <w:rFonts w:ascii="Sylfaen" w:hAnsi="Sylfaen"/>
          <w:sz w:val="24"/>
          <w:szCs w:val="24"/>
        </w:rPr>
        <w:lastRenderedPageBreak/>
        <w:t>համապատասխան պահպանելու պայմանով:</w:t>
      </w:r>
    </w:p>
    <w:p w14:paraId="30828FCB" w14:textId="1E8111F9"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43.</w:t>
      </w:r>
      <w:r w:rsidRPr="00834D52">
        <w:rPr>
          <w:rFonts w:ascii="Sylfaen" w:hAnsi="Sylfaen"/>
          <w:sz w:val="24"/>
          <w:szCs w:val="24"/>
        </w:rPr>
        <w:tab/>
        <w:t xml:space="preserve">Դեղապատրաստուկի մշակման, նախակլինիկական (ոչ 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անցկացման, դրա արտադրության, դեղազգոնության իրականացման </w:t>
      </w:r>
      <w:r w:rsidR="00C54D75">
        <w:rPr>
          <w:rFonts w:ascii="Sylfaen" w:hAnsi="Sylfaen"/>
          <w:sz w:val="24"/>
          <w:szCs w:val="24"/>
        </w:rPr>
        <w:t>և</w:t>
      </w:r>
      <w:r w:rsidRPr="00834D52">
        <w:rPr>
          <w:rFonts w:ascii="Sylfaen" w:hAnsi="Sylfaen"/>
          <w:sz w:val="24"/>
          <w:szCs w:val="24"/>
        </w:rPr>
        <w:t xml:space="preserve"> գրանցելու, գրանցումը հաստատելու (վերագրանցելու), գրանցման դոսյեում փոփոխություններ կատարելու ընթացակարգերի </w:t>
      </w:r>
      <w:r w:rsidR="00C54D75">
        <w:rPr>
          <w:rFonts w:ascii="Sylfaen" w:hAnsi="Sylfaen"/>
          <w:sz w:val="24"/>
          <w:szCs w:val="24"/>
        </w:rPr>
        <w:t>և</w:t>
      </w:r>
      <w:r w:rsidRPr="00834D52">
        <w:rPr>
          <w:rFonts w:ascii="Sylfaen" w:hAnsi="Sylfaen"/>
          <w:sz w:val="24"/>
          <w:szCs w:val="24"/>
        </w:rPr>
        <w:t xml:space="preserve"> գրանցման հետ կապված այլ ընթացակարգերի իրականացման համար նախատեսված փաստաթղթերի նախապատրաստման ժամանակ դեղապատրաստուկներ մշակողները, արտադրողները </w:t>
      </w:r>
      <w:r w:rsidR="00C54D75">
        <w:rPr>
          <w:rFonts w:ascii="Sylfaen" w:hAnsi="Sylfaen"/>
          <w:sz w:val="24"/>
          <w:szCs w:val="24"/>
        </w:rPr>
        <w:t>և</w:t>
      </w:r>
      <w:r w:rsidRPr="00834D52">
        <w:rPr>
          <w:rFonts w:ascii="Sylfaen" w:hAnsi="Sylfaen"/>
          <w:sz w:val="24"/>
          <w:szCs w:val="24"/>
        </w:rPr>
        <w:t xml:space="preserve"> գրանցման հավաստագրերի իրավատերերը </w:t>
      </w:r>
      <w:r w:rsidR="00C54D75">
        <w:rPr>
          <w:rFonts w:ascii="Sylfaen" w:hAnsi="Sylfaen"/>
          <w:sz w:val="24"/>
          <w:szCs w:val="24"/>
        </w:rPr>
        <w:t>և</w:t>
      </w:r>
      <w:r w:rsidRPr="00834D52">
        <w:rPr>
          <w:rFonts w:ascii="Sylfaen" w:hAnsi="Sylfaen"/>
          <w:sz w:val="24"/>
          <w:szCs w:val="24"/>
        </w:rPr>
        <w:t xml:space="preserve"> նրանց լիազորված անձինք պետք է պահպանեն անդամ պետությունների օրենսդրությունը, Միության իրավունքի մաս կազմող միջազգային պայմանագրերը </w:t>
      </w:r>
      <w:r w:rsidR="00C54D75">
        <w:rPr>
          <w:rFonts w:ascii="Sylfaen" w:hAnsi="Sylfaen"/>
          <w:sz w:val="24"/>
          <w:szCs w:val="24"/>
        </w:rPr>
        <w:t>և</w:t>
      </w:r>
      <w:r w:rsidRPr="00834D52">
        <w:rPr>
          <w:rFonts w:ascii="Sylfaen" w:hAnsi="Sylfaen"/>
          <w:sz w:val="24"/>
          <w:szCs w:val="24"/>
        </w:rPr>
        <w:t xml:space="preserve"> ակտերը, ինչպես նա</w:t>
      </w:r>
      <w:r w:rsidR="00C54D75">
        <w:rPr>
          <w:rFonts w:ascii="Sylfaen" w:hAnsi="Sylfaen"/>
          <w:sz w:val="24"/>
          <w:szCs w:val="24"/>
        </w:rPr>
        <w:t>և</w:t>
      </w:r>
      <w:r w:rsidRPr="00834D52">
        <w:rPr>
          <w:rFonts w:ascii="Sylfaen" w:hAnsi="Sylfaen"/>
          <w:sz w:val="24"/>
          <w:szCs w:val="24"/>
        </w:rPr>
        <w:t xml:space="preserve"> առաջնորդվեն օպտիմալ մոտեցումներով, որոնց իրագործումը թույլ կտա ապահովել այս պահանջների կատարումը, </w:t>
      </w:r>
      <w:r w:rsidR="00C54D75">
        <w:rPr>
          <w:rFonts w:ascii="Sylfaen" w:hAnsi="Sylfaen"/>
          <w:sz w:val="24"/>
          <w:szCs w:val="24"/>
        </w:rPr>
        <w:t>և</w:t>
      </w:r>
      <w:r w:rsidRPr="00834D52">
        <w:rPr>
          <w:rFonts w:ascii="Sylfaen" w:hAnsi="Sylfaen"/>
          <w:sz w:val="24"/>
          <w:szCs w:val="24"/>
        </w:rPr>
        <w:t xml:space="preserve"> որոնք շարադրված են այդ թվում Հանձնաժողովի կողմից ընդունվող որոշումներում </w:t>
      </w:r>
      <w:r w:rsidR="00C54D75">
        <w:rPr>
          <w:rFonts w:ascii="Sylfaen" w:hAnsi="Sylfaen"/>
          <w:sz w:val="24"/>
          <w:szCs w:val="24"/>
        </w:rPr>
        <w:t>և</w:t>
      </w:r>
      <w:r w:rsidRPr="00834D52">
        <w:rPr>
          <w:rFonts w:ascii="Sylfaen" w:hAnsi="Sylfaen"/>
          <w:sz w:val="24"/>
          <w:szCs w:val="24"/>
        </w:rPr>
        <w:t xml:space="preserve"> հանձնարարականներում: Նշված</w:t>
      </w:r>
      <w:r w:rsidR="009B7300" w:rsidRPr="00D85A6C">
        <w:rPr>
          <w:rFonts w:ascii="Sylfaen" w:hAnsi="Sylfaen"/>
          <w:sz w:val="24"/>
          <w:szCs w:val="24"/>
        </w:rPr>
        <w:t> </w:t>
      </w:r>
      <w:r w:rsidRPr="00834D52">
        <w:rPr>
          <w:rFonts w:ascii="Sylfaen" w:hAnsi="Sylfaen"/>
          <w:sz w:val="24"/>
          <w:szCs w:val="24"/>
        </w:rPr>
        <w:t xml:space="preserve">հանձնարարականների պահանջները չպահպանելու դեպքում </w:t>
      </w:r>
      <w:r w:rsidR="0056496B">
        <w:rPr>
          <w:rFonts w:ascii="Sylfaen" w:hAnsi="Sylfaen"/>
          <w:sz w:val="24"/>
          <w:szCs w:val="24"/>
        </w:rPr>
        <w:t>դիմումատու</w:t>
      </w:r>
      <w:r w:rsidRPr="00834D52">
        <w:rPr>
          <w:rFonts w:ascii="Sylfaen" w:hAnsi="Sylfaen"/>
          <w:sz w:val="24"/>
          <w:szCs w:val="24"/>
        </w:rPr>
        <w:t>ն պետք</w:t>
      </w:r>
      <w:r w:rsidR="006120A9" w:rsidRPr="006120A9">
        <w:rPr>
          <w:rFonts w:ascii="Sylfaen" w:hAnsi="Sylfaen"/>
          <w:sz w:val="24"/>
          <w:szCs w:val="24"/>
        </w:rPr>
        <w:t> </w:t>
      </w:r>
      <w:r w:rsidRPr="00834D52">
        <w:rPr>
          <w:rFonts w:ascii="Sylfaen" w:hAnsi="Sylfaen"/>
          <w:sz w:val="24"/>
          <w:szCs w:val="24"/>
        </w:rPr>
        <w:t xml:space="preserve">է ներկայացնի ընտրված մոտեցման թույլատրելիության հիմնավորումը՝ դեղապատրաստուկի որակի,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ապահովման տեսանկյունից: Ներկայացված հիմնավորումը պետք է գնահատվի դեղապատրաստուկների փորձաքննություն անցկացնելիս:</w:t>
      </w:r>
    </w:p>
    <w:p w14:paraId="589B40E4" w14:textId="4AF31F8F" w:rsidR="00DE4B55" w:rsidRPr="006F28F9" w:rsidRDefault="00DE4B55" w:rsidP="00DE4B55">
      <w:pPr>
        <w:rPr>
          <w:b/>
          <w:bCs/>
          <w:i/>
          <w:iCs/>
        </w:rPr>
      </w:pPr>
      <w:r w:rsidRPr="00CD4709">
        <w:rPr>
          <w:b/>
          <w:bCs/>
          <w:i/>
          <w:iCs/>
        </w:rPr>
        <w:t>(</w:t>
      </w:r>
      <w:r>
        <w:rPr>
          <w:b/>
          <w:bCs/>
          <w:i/>
          <w:iCs/>
        </w:rPr>
        <w:t xml:space="preserve">43-րդ կետը </w:t>
      </w:r>
      <w:r w:rsidRPr="00CD4709">
        <w:rPr>
          <w:b/>
          <w:bCs/>
          <w:i/>
          <w:iCs/>
        </w:rPr>
        <w:t>փոփ. 30.01.20 թիվ 9)</w:t>
      </w:r>
    </w:p>
    <w:p w14:paraId="1BD332F8"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44.</w:t>
      </w:r>
      <w:r w:rsidRPr="00834D52">
        <w:rPr>
          <w:rFonts w:ascii="Sylfaen" w:hAnsi="Sylfaen"/>
          <w:sz w:val="24"/>
          <w:szCs w:val="24"/>
        </w:rPr>
        <w:tab/>
        <w:t xml:space="preserve">Դեղապատրաստուկի փորձաքննությունը չի ընդհատվում Միության պատշաճ գործունեության (արտադրական, լաբորատոր, կլինիկական, դեղազգոնության) պահանջներին համապատասխան լինելու մասով արտապլանային դեղագործական տեսչական ստուգումների անցկացման ժամկետով, բայց գնահատման վերաբերյալ եզրափակիչ փորձագիտական հաշվետվությունը կարող է կազմվել </w:t>
      </w:r>
      <w:r w:rsidR="009F49FE">
        <w:rPr>
          <w:rFonts w:ascii="Sylfaen" w:hAnsi="Sylfaen"/>
          <w:sz w:val="24"/>
          <w:szCs w:val="24"/>
        </w:rPr>
        <w:t xml:space="preserve">ռեֆերենտ </w:t>
      </w:r>
      <w:r w:rsidRPr="00834D52">
        <w:rPr>
          <w:rFonts w:ascii="Sylfaen" w:hAnsi="Sylfaen"/>
          <w:sz w:val="24"/>
          <w:szCs w:val="24"/>
        </w:rPr>
        <w:t>պետության լիազոր մարմնի (փորձագիտական կազմակերպության) կողմից՝ միայն հաշվի առնելով արտապլանային դեղագործական տեսչական ստուգումների արդյունքները (դրանց</w:t>
      </w:r>
      <w:r w:rsidR="006120A9" w:rsidRPr="006120A9">
        <w:rPr>
          <w:rFonts w:ascii="Sylfaen" w:hAnsi="Sylfaen"/>
          <w:sz w:val="24"/>
          <w:szCs w:val="24"/>
        </w:rPr>
        <w:t> </w:t>
      </w:r>
      <w:r w:rsidRPr="00834D52">
        <w:rPr>
          <w:rFonts w:ascii="Sylfaen" w:hAnsi="Sylfaen"/>
          <w:sz w:val="24"/>
          <w:szCs w:val="24"/>
        </w:rPr>
        <w:t xml:space="preserve">անցկացման դեպքում): Նշված ստուգումները պետք է անցկացվեն լիազորված մարմնի կողմից տեսչական ստուգում նախաձեռնելու մասին որոշման </w:t>
      </w:r>
      <w:r w:rsidRPr="00834D52">
        <w:rPr>
          <w:rFonts w:ascii="Sylfaen" w:hAnsi="Sylfaen"/>
          <w:sz w:val="24"/>
          <w:szCs w:val="24"/>
        </w:rPr>
        <w:lastRenderedPageBreak/>
        <w:t>ընդունման օրվանից 180 օրացուցային օրը չգերազանցող ժամկետում:</w:t>
      </w:r>
    </w:p>
    <w:p w14:paraId="10570DD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Միության դեղազգոնության պատշաճ գործունեության պահանջներին համապատասխան անվտանգության լրացուցիչ մոնիթորինգ պահանջող դեղապատրաստուկների համար բժշկական կիրառման դեղապատրաստուկի ընդհանուր բնութագիրը (այսուհետ՝ ԴՊԸԲ)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հրահանգը (ներդիր-թերթիկը) (այսուհետ՝ բժշկական կիրառման հրահանգ) պետք է իրենց մեջ ներառեն համապատասխան ձ</w:t>
      </w:r>
      <w:r w:rsidR="00C54D75">
        <w:rPr>
          <w:rFonts w:ascii="Sylfaen" w:hAnsi="Sylfaen"/>
          <w:sz w:val="24"/>
          <w:szCs w:val="24"/>
        </w:rPr>
        <w:t>և</w:t>
      </w:r>
      <w:r w:rsidRPr="00834D52">
        <w:rPr>
          <w:rFonts w:ascii="Sylfaen" w:hAnsi="Sylfaen"/>
          <w:sz w:val="24"/>
          <w:szCs w:val="24"/>
        </w:rPr>
        <w:t xml:space="preserve">ակերպումներ </w:t>
      </w:r>
      <w:r w:rsidR="00C54D75">
        <w:rPr>
          <w:rFonts w:ascii="Sylfaen" w:hAnsi="Sylfaen"/>
          <w:sz w:val="24"/>
          <w:szCs w:val="24"/>
        </w:rPr>
        <w:t>և</w:t>
      </w:r>
      <w:r w:rsidRPr="00834D52">
        <w:rPr>
          <w:rFonts w:ascii="Sylfaen" w:hAnsi="Sylfaen"/>
          <w:sz w:val="24"/>
          <w:szCs w:val="24"/>
        </w:rPr>
        <w:t xml:space="preserve"> նշումներ՝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բժշկական կիրառման դեղապատրաստուկների ընդհանուր բնութագրին ներկայացվող՝ Հանձնաժողովի կողմից հաստատվող պահանջների համաձայն:</w:t>
      </w:r>
    </w:p>
    <w:p w14:paraId="76BBB2D8" w14:textId="77777777" w:rsidR="006F76EB" w:rsidRPr="00834D52" w:rsidRDefault="006F76EB" w:rsidP="006F76EB">
      <w:pPr>
        <w:spacing w:after="160" w:line="360" w:lineRule="auto"/>
        <w:ind w:right="-8"/>
        <w:rPr>
          <w:rFonts w:ascii="Sylfaen" w:hAnsi="Sylfaen"/>
          <w:sz w:val="24"/>
          <w:szCs w:val="24"/>
        </w:rPr>
      </w:pPr>
    </w:p>
    <w:p w14:paraId="19C90753" w14:textId="77777777" w:rsidR="006F76EB" w:rsidRPr="00834D52" w:rsidRDefault="006F76EB" w:rsidP="00C84A60">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 Փոխադարձ ճանաչման ընթացակարգով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կարգը</w:t>
      </w:r>
    </w:p>
    <w:p w14:paraId="502AC28F" w14:textId="77777777" w:rsidR="006F76EB" w:rsidRPr="00834D52" w:rsidRDefault="006F76EB" w:rsidP="00C84A60">
      <w:pPr>
        <w:spacing w:after="160" w:line="336" w:lineRule="auto"/>
        <w:ind w:left="567" w:right="565"/>
        <w:rPr>
          <w:rFonts w:ascii="Sylfaen" w:hAnsi="Sylfaen"/>
          <w:sz w:val="24"/>
          <w:szCs w:val="24"/>
        </w:rPr>
      </w:pPr>
    </w:p>
    <w:p w14:paraId="1376C5C3" w14:textId="77777777" w:rsidR="006F76EB" w:rsidRPr="00834D52" w:rsidRDefault="006F76EB" w:rsidP="00C84A60">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Դեղապատրաստուկի գրանցումն ու փորձաքննությունը </w:t>
      </w:r>
      <w:r w:rsidR="009F49FE">
        <w:rPr>
          <w:rFonts w:ascii="Sylfaen" w:hAnsi="Sylfaen"/>
          <w:sz w:val="24"/>
          <w:szCs w:val="24"/>
        </w:rPr>
        <w:t xml:space="preserve">ռեֆերենտ </w:t>
      </w:r>
      <w:r w:rsidRPr="00834D52">
        <w:rPr>
          <w:rFonts w:ascii="Sylfaen" w:hAnsi="Sylfaen"/>
          <w:sz w:val="24"/>
          <w:szCs w:val="24"/>
        </w:rPr>
        <w:t>պետությունում</w:t>
      </w:r>
    </w:p>
    <w:p w14:paraId="4E8D8D33" w14:textId="6C0E967A"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46.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դեղապատրաստուկի գրանցում </w:t>
      </w:r>
      <w:r w:rsidR="00C54D75">
        <w:rPr>
          <w:rFonts w:ascii="Sylfaen" w:hAnsi="Sylfaen"/>
          <w:sz w:val="24"/>
          <w:szCs w:val="24"/>
        </w:rPr>
        <w:t>և</w:t>
      </w:r>
      <w:r w:rsidRPr="00834D52">
        <w:rPr>
          <w:rFonts w:ascii="Sylfaen" w:hAnsi="Sylfaen"/>
          <w:sz w:val="24"/>
          <w:szCs w:val="24"/>
        </w:rPr>
        <w:t xml:space="preserve"> փորձաքննություն կատարելու ժամկետը դեղապատրաստուկի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մինչ</w:t>
      </w:r>
      <w:r w:rsidR="00C54D75">
        <w:rPr>
          <w:rFonts w:ascii="Sylfaen" w:hAnsi="Sylfaen"/>
          <w:sz w:val="24"/>
          <w:szCs w:val="24"/>
        </w:rPr>
        <w:t>և</w:t>
      </w:r>
      <w:r w:rsidRPr="00834D52">
        <w:rPr>
          <w:rFonts w:ascii="Sylfaen" w:hAnsi="Sylfaen"/>
          <w:sz w:val="24"/>
          <w:szCs w:val="24"/>
        </w:rPr>
        <w:t xml:space="preserve"> գրանցման հավաստագիր տրամադրելու օրը չպետք է գերազանցի 210 օրացուցային օրը։</w:t>
      </w:r>
    </w:p>
    <w:p w14:paraId="06AFA4E2" w14:textId="01E07F70" w:rsidR="00DE4B55" w:rsidRPr="006F28F9" w:rsidRDefault="00DE4B55" w:rsidP="00DE4B55">
      <w:pPr>
        <w:rPr>
          <w:b/>
          <w:bCs/>
          <w:i/>
          <w:iCs/>
        </w:rPr>
      </w:pPr>
      <w:r w:rsidRPr="00CD4709">
        <w:rPr>
          <w:b/>
          <w:bCs/>
          <w:i/>
          <w:iCs/>
        </w:rPr>
        <w:t>(</w:t>
      </w:r>
      <w:r>
        <w:rPr>
          <w:b/>
          <w:bCs/>
          <w:i/>
          <w:iCs/>
        </w:rPr>
        <w:t xml:space="preserve">46-րդ կետը </w:t>
      </w:r>
      <w:r w:rsidRPr="00CD4709">
        <w:rPr>
          <w:b/>
          <w:bCs/>
          <w:i/>
          <w:iCs/>
        </w:rPr>
        <w:t>փոփ. 30.01.20 թիվ 9)</w:t>
      </w:r>
    </w:p>
    <w:p w14:paraId="276EC2AF" w14:textId="55AD6D23"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47.</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 xml:space="preserve">յալ փաստաթղթերը </w:t>
      </w:r>
      <w:r w:rsidR="00C54D75">
        <w:rPr>
          <w:rFonts w:ascii="Sylfaen" w:hAnsi="Sylfaen"/>
          <w:sz w:val="24"/>
          <w:szCs w:val="24"/>
        </w:rPr>
        <w:t>և</w:t>
      </w:r>
      <w:r w:rsidRPr="00834D52">
        <w:rPr>
          <w:rFonts w:ascii="Sylfaen" w:hAnsi="Sylfaen"/>
          <w:sz w:val="24"/>
          <w:szCs w:val="24"/>
        </w:rPr>
        <w:t xml:space="preserve"> նյութերը՝</w:t>
      </w:r>
    </w:p>
    <w:p w14:paraId="5F2F6F4A" w14:textId="3F58682C"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սահմանված ձ</w:t>
      </w:r>
      <w:r w:rsidR="00C54D75">
        <w:rPr>
          <w:rFonts w:ascii="Sylfaen" w:hAnsi="Sylfaen"/>
          <w:sz w:val="24"/>
          <w:szCs w:val="24"/>
        </w:rPr>
        <w:t>և</w:t>
      </w:r>
      <w:r w:rsidR="006F76EB" w:rsidRPr="00834D52">
        <w:rPr>
          <w:rFonts w:ascii="Sylfaen" w:hAnsi="Sylfaen"/>
          <w:sz w:val="24"/>
          <w:szCs w:val="24"/>
        </w:rPr>
        <w:t>ով՝ թղթային</w:t>
      </w:r>
      <w:r w:rsidR="00E90FAF" w:rsidRPr="00E90FAF">
        <w:rPr>
          <w:rFonts w:ascii="Sylfaen" w:hAnsi="Sylfaen"/>
          <w:sz w:val="24"/>
          <w:szCs w:val="24"/>
        </w:rPr>
        <w:t xml:space="preserve"> </w:t>
      </w:r>
      <w:r w:rsidR="00B909BC">
        <w:rPr>
          <w:rFonts w:ascii="Sylfaen" w:hAnsi="Sylfaen"/>
          <w:sz w:val="24"/>
          <w:szCs w:val="24"/>
        </w:rPr>
        <w:t>կրիչով</w:t>
      </w:r>
      <w:r w:rsidR="006F76EB" w:rsidRPr="00834D52">
        <w:rPr>
          <w:rFonts w:ascii="Sylfaen" w:hAnsi="Sylfaen"/>
          <w:sz w:val="24"/>
          <w:szCs w:val="24"/>
        </w:rPr>
        <w:t xml:space="preserve"> </w:t>
      </w:r>
      <w:r w:rsidR="00C54D75">
        <w:rPr>
          <w:rFonts w:ascii="Sylfaen" w:hAnsi="Sylfaen"/>
          <w:sz w:val="24"/>
          <w:szCs w:val="24"/>
        </w:rPr>
        <w:t>և</w:t>
      </w:r>
      <w:r w:rsidR="006F76EB" w:rsidRPr="00834D52">
        <w:rPr>
          <w:rFonts w:ascii="Sylfaen" w:hAnsi="Sylfaen"/>
          <w:sz w:val="24"/>
          <w:szCs w:val="24"/>
        </w:rPr>
        <w:t xml:space="preserve"> (կամ) էլեկտրոնային </w:t>
      </w:r>
      <w:r w:rsidR="00B909BC">
        <w:rPr>
          <w:rFonts w:ascii="Sylfaen" w:hAnsi="Sylfaen"/>
          <w:sz w:val="24"/>
          <w:szCs w:val="24"/>
        </w:rPr>
        <w:t>փաստաթղթի տեսքով</w:t>
      </w:r>
      <w:r w:rsidR="006F76EB" w:rsidRPr="00834D52">
        <w:rPr>
          <w:rFonts w:ascii="Sylfaen" w:hAnsi="Sylfaen"/>
          <w:sz w:val="24"/>
          <w:szCs w:val="24"/>
        </w:rPr>
        <w:t>՝ սույն Կանոնների թիվ 2 հավելվածի</w:t>
      </w:r>
      <w:r w:rsidR="00B909BC">
        <w:rPr>
          <w:rFonts w:ascii="Sylfaen" w:hAnsi="Sylfaen"/>
          <w:sz w:val="24"/>
          <w:szCs w:val="24"/>
        </w:rPr>
        <w:t>ն համապատասխան</w:t>
      </w:r>
      <w:r w:rsidR="006F76EB" w:rsidRPr="00834D52">
        <w:rPr>
          <w:rFonts w:ascii="Sylfaen" w:hAnsi="Sylfaen"/>
          <w:sz w:val="24"/>
          <w:szCs w:val="24"/>
        </w:rPr>
        <w:t>.</w:t>
      </w:r>
    </w:p>
    <w:p w14:paraId="39CD612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w:t>
      </w:r>
      <w:r w:rsidRPr="00834D52">
        <w:rPr>
          <w:rFonts w:ascii="Sylfaen" w:hAnsi="Sylfaen"/>
          <w:sz w:val="24"/>
          <w:szCs w:val="24"/>
        </w:rPr>
        <w:lastRenderedPageBreak/>
        <w:t xml:space="preserve">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7158F0E"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 (գրանցման դոսյեի 1-ին մոդուլը լրացուցիչ ներկայացվում է թղթային կրիչով (բացառությամբ ռիսկերի կառավարման պլանի, արտադրական հարթակի (արտադրական հարթակների) հիմնական դոսյեի (մաստեր</w:t>
      </w:r>
      <w:r w:rsidRPr="008341C7">
        <w:rPr>
          <w:rFonts w:ascii="Sylfaen" w:hAnsi="Sylfaen"/>
          <w:sz w:val="24"/>
          <w:szCs w:val="24"/>
        </w:rPr>
        <w:t>-</w:t>
      </w:r>
      <w:r w:rsidRPr="00834D52">
        <w:rPr>
          <w:rFonts w:ascii="Sylfaen" w:hAnsi="Sylfaen"/>
          <w:sz w:val="24"/>
          <w:szCs w:val="24"/>
        </w:rPr>
        <w:t xml:space="preserve">ֆայլի) </w:t>
      </w:r>
      <w:r w:rsidR="00C54D75">
        <w:rPr>
          <w:rFonts w:ascii="Sylfaen" w:hAnsi="Sylfaen"/>
          <w:sz w:val="24"/>
          <w:szCs w:val="24"/>
        </w:rPr>
        <w:t>և</w:t>
      </w:r>
      <w:r w:rsidRPr="00834D52">
        <w:rPr>
          <w:rFonts w:ascii="Sylfaen" w:hAnsi="Sylfaen"/>
          <w:sz w:val="24"/>
          <w:szCs w:val="24"/>
        </w:rPr>
        <w:t xml:space="preserve"> դեղազգոնության մասով մաստեր</w:t>
      </w:r>
      <w:r w:rsidRPr="008341C7">
        <w:rPr>
          <w:rFonts w:ascii="Sylfaen" w:hAnsi="Sylfaen"/>
          <w:sz w:val="24"/>
          <w:szCs w:val="24"/>
        </w:rPr>
        <w:t>-</w:t>
      </w:r>
      <w:r w:rsidRPr="00834D52">
        <w:rPr>
          <w:rFonts w:ascii="Sylfaen" w:hAnsi="Sylfaen"/>
          <w:sz w:val="24"/>
          <w:szCs w:val="24"/>
        </w:rPr>
        <w:t>ֆայլի),</w:t>
      </w:r>
    </w:p>
    <w:p w14:paraId="311DDD2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61BA35E6"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սույն կետի հինգերորդ պարբերությունում նշված դեղապատրաստուկների նմուշների փորձարկումներ անցկացնելու համար անհրաժեշտ այլ նյութեր ներկայացվում են փորձագիտական կազմակերպության հետ համաձայնեցնելով։</w:t>
      </w:r>
    </w:p>
    <w:p w14:paraId="3FB2A7C0" w14:textId="77777777" w:rsidR="006F76EB" w:rsidRPr="00834D52" w:rsidRDefault="006F76EB" w:rsidP="00010F6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նմուշները, սպեցիֆիկ ռեագենտներն ու այլ նյութեր ներկայացվում են դեղապատրաստուկների որակի նորմատիվ փաստաթղթի պահանջներին կամ գրանցման դոսյեի կազմի մեջ մտնող մյուս մասնագրերին համապատասխան՝ փորձագիտական կազմակերպության հետ համաձայնեցված </w:t>
      </w:r>
      <w:r w:rsidR="00C54D75">
        <w:rPr>
          <w:rFonts w:ascii="Sylfaen" w:hAnsi="Sylfaen"/>
          <w:sz w:val="24"/>
          <w:szCs w:val="24"/>
        </w:rPr>
        <w:t>և</w:t>
      </w:r>
      <w:r w:rsidRPr="00834D52">
        <w:rPr>
          <w:rFonts w:ascii="Sylfaen" w:hAnsi="Sylfaen"/>
          <w:sz w:val="24"/>
          <w:szCs w:val="24"/>
        </w:rPr>
        <w:t xml:space="preserve"> երեք անգամից ոչ ավել անալիզ անցկացնելու համար անհրաժեշտ քանակությամբ լիազորված մարմնի (փորձագիտական կազմակերպության) կողմից համաձայնեցված այնպիսի ժամկետում, որը չի մտնում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w:t>
      </w:r>
    </w:p>
    <w:p w14:paraId="43DA3981" w14:textId="1C858BFC" w:rsidR="006F76EB" w:rsidRDefault="006F76EB" w:rsidP="00010F69">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իրենց բարձր արժեքի պատճառով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փոխադրելու </w:t>
      </w:r>
      <w:r w:rsidR="00C54D75">
        <w:rPr>
          <w:rFonts w:ascii="Sylfaen" w:hAnsi="Sylfaen"/>
          <w:sz w:val="24"/>
          <w:szCs w:val="24"/>
        </w:rPr>
        <w:t>և</w:t>
      </w:r>
      <w:r w:rsidRPr="00834D52">
        <w:rPr>
          <w:rFonts w:ascii="Sylfaen" w:hAnsi="Sylfaen"/>
          <w:sz w:val="24"/>
          <w:szCs w:val="24"/>
        </w:rPr>
        <w:t xml:space="preserve"> (կամ) </w:t>
      </w:r>
      <w:r w:rsidRPr="00834D52">
        <w:rPr>
          <w:rFonts w:ascii="Sylfaen" w:hAnsi="Sylfaen"/>
          <w:sz w:val="24"/>
          <w:szCs w:val="24"/>
        </w:rPr>
        <w:lastRenderedPageBreak/>
        <w:t>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4A58010A" w14:textId="48233C62" w:rsidR="00DE4B55" w:rsidRPr="006F28F9" w:rsidRDefault="00DE4B55" w:rsidP="00DE4B55">
      <w:pPr>
        <w:rPr>
          <w:b/>
          <w:bCs/>
          <w:i/>
          <w:iCs/>
        </w:rPr>
      </w:pPr>
      <w:r w:rsidRPr="00CD4709">
        <w:rPr>
          <w:b/>
          <w:bCs/>
          <w:i/>
          <w:iCs/>
        </w:rPr>
        <w:t>(</w:t>
      </w:r>
      <w:r>
        <w:rPr>
          <w:b/>
          <w:bCs/>
          <w:i/>
          <w:iCs/>
        </w:rPr>
        <w:t xml:space="preserve">47-րդ կետը </w:t>
      </w:r>
      <w:r w:rsidRPr="00CD4709">
        <w:rPr>
          <w:b/>
          <w:bCs/>
          <w:i/>
          <w:iCs/>
        </w:rPr>
        <w:t>փոփ. 30.01.20 թիվ 9)</w:t>
      </w:r>
    </w:p>
    <w:p w14:paraId="25DCF204"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48.</w:t>
      </w:r>
      <w:r w:rsidRPr="00834D52">
        <w:rPr>
          <w:rFonts w:ascii="Sylfaen" w:hAnsi="Sylfaen"/>
          <w:sz w:val="24"/>
          <w:szCs w:val="24"/>
        </w:rPr>
        <w:tab/>
        <w:t>Սույն Կանոնների 47</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դեպքերում լաբորատոր փորձարկումներն անցկացվում են դեղապտատրաստուկն արտադրողի` որակի հսկողության լաբորատորիայում՝ փորձագիտական կազմակերպության ներկայացուցիչների ներկայությամբ, կամ արտադրողի կողմից օգտագործվող պայմանագրային լաբորատորիայում՝ փորձագիտական կազմակերպության ներկայացուցիչների ներկայությամբ։</w:t>
      </w:r>
    </w:p>
    <w:p w14:paraId="283D495D"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52343A5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38AE24D8" w14:textId="42AEBD56"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0BC85022" w14:textId="7315A89E"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DE4B55">
        <w:rPr>
          <w:rFonts w:ascii="Sylfaen" w:hAnsi="Sylfaen"/>
          <w:sz w:val="24"/>
          <w:szCs w:val="24"/>
        </w:rPr>
        <w:t>հայտ</w:t>
      </w:r>
      <w:r w:rsidRPr="00834D52">
        <w:rPr>
          <w:rFonts w:ascii="Sylfaen" w:hAnsi="Sylfaen"/>
          <w:sz w:val="24"/>
          <w:szCs w:val="24"/>
        </w:rPr>
        <w:t xml:space="preserve">ագրված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վերաբերյալ նորմատիվ փաստաթղթերի պահանջներին համապատասխանության մասով լաբորատոր փորձարկումների անցկացում,</w:t>
      </w:r>
    </w:p>
    <w:p w14:paraId="1EB6DDC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անհրաժեշտության դեպքում արտապլանային </w:t>
      </w:r>
      <w:r w:rsidR="00C54D75">
        <w:rPr>
          <w:rFonts w:ascii="Sylfaen" w:hAnsi="Sylfaen"/>
          <w:sz w:val="24"/>
          <w:szCs w:val="24"/>
        </w:rPr>
        <w:t>և</w:t>
      </w:r>
      <w:r w:rsidRPr="00834D52">
        <w:rPr>
          <w:rFonts w:ascii="Sylfaen" w:hAnsi="Sylfaen"/>
          <w:sz w:val="24"/>
          <w:szCs w:val="24"/>
        </w:rPr>
        <w:t xml:space="preserve"> պլանային դեղագործական տեսչական ստուգումների նախաձեռնում` սույն Կանոններով սահմանված դեպքերում,</w:t>
      </w:r>
    </w:p>
    <w:p w14:paraId="6866E253" w14:textId="20F2B9CD"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ACE9F74" w14:textId="5D67CD33" w:rsidR="00DE4B55" w:rsidRPr="006F28F9" w:rsidRDefault="00DE4B55" w:rsidP="001A5F1A">
      <w:pPr>
        <w:rPr>
          <w:b/>
          <w:bCs/>
          <w:i/>
          <w:iCs/>
        </w:rPr>
      </w:pPr>
      <w:r w:rsidRPr="00CD4709">
        <w:rPr>
          <w:b/>
          <w:bCs/>
          <w:i/>
          <w:iCs/>
        </w:rPr>
        <w:lastRenderedPageBreak/>
        <w:t>(</w:t>
      </w:r>
      <w:r w:rsidR="001A5F1A">
        <w:rPr>
          <w:b/>
          <w:bCs/>
          <w:i/>
          <w:iCs/>
        </w:rPr>
        <w:t>49</w:t>
      </w:r>
      <w:r>
        <w:rPr>
          <w:b/>
          <w:bCs/>
          <w:i/>
          <w:iCs/>
        </w:rPr>
        <w:t xml:space="preserve">-րդ կետը </w:t>
      </w:r>
      <w:r w:rsidRPr="00CD4709">
        <w:rPr>
          <w:b/>
          <w:bCs/>
          <w:i/>
          <w:iCs/>
        </w:rPr>
        <w:t>փոփ. 30.01.20 թիվ 9)</w:t>
      </w:r>
    </w:p>
    <w:p w14:paraId="4E056B7C" w14:textId="723806B9"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50.</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դոսյեում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761CCE" w:rsidRPr="009443D2">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6A66E84E" w14:textId="0F0C4C21" w:rsidR="001A5F1A" w:rsidRPr="006F28F9" w:rsidRDefault="001A5F1A" w:rsidP="001A5F1A">
      <w:pPr>
        <w:rPr>
          <w:b/>
          <w:bCs/>
          <w:i/>
          <w:iCs/>
        </w:rPr>
      </w:pPr>
      <w:r w:rsidRPr="00CD4709">
        <w:rPr>
          <w:b/>
          <w:bCs/>
          <w:i/>
          <w:iCs/>
        </w:rPr>
        <w:t>(</w:t>
      </w:r>
      <w:r>
        <w:rPr>
          <w:b/>
          <w:bCs/>
          <w:i/>
          <w:iCs/>
        </w:rPr>
        <w:t xml:space="preserve">50-րդ կետը </w:t>
      </w:r>
      <w:r w:rsidRPr="00CD4709">
        <w:rPr>
          <w:b/>
          <w:bCs/>
          <w:i/>
          <w:iCs/>
        </w:rPr>
        <w:t>փոփ. 30.01.20 թիվ 9)</w:t>
      </w:r>
    </w:p>
    <w:p w14:paraId="40F94C03" w14:textId="65D1541F" w:rsidR="006F76EB" w:rsidRDefault="006F76EB" w:rsidP="00911A59">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w:t>
      </w:r>
      <w:r w:rsidR="0056496B">
        <w:rPr>
          <w:rFonts w:ascii="Sylfaen" w:hAnsi="Sylfaen"/>
          <w:sz w:val="24"/>
          <w:szCs w:val="24"/>
        </w:rPr>
        <w:t>դիմում</w:t>
      </w:r>
      <w:r w:rsidRPr="00834D52">
        <w:rPr>
          <w:rFonts w:ascii="Sylfaen" w:hAnsi="Sylfaen"/>
          <w:sz w:val="24"/>
          <w:szCs w:val="24"/>
        </w:rPr>
        <w:t>ը։</w:t>
      </w:r>
    </w:p>
    <w:p w14:paraId="2A9503B4" w14:textId="73726724" w:rsidR="001A5F1A" w:rsidRPr="006F28F9" w:rsidRDefault="001A5F1A" w:rsidP="001A5F1A">
      <w:pPr>
        <w:rPr>
          <w:b/>
          <w:bCs/>
          <w:i/>
          <w:iCs/>
        </w:rPr>
      </w:pPr>
      <w:r w:rsidRPr="00CD4709">
        <w:rPr>
          <w:b/>
          <w:bCs/>
          <w:i/>
          <w:iCs/>
        </w:rPr>
        <w:t>(</w:t>
      </w:r>
      <w:r>
        <w:rPr>
          <w:b/>
          <w:bCs/>
          <w:i/>
          <w:iCs/>
        </w:rPr>
        <w:t xml:space="preserve">51-րդ կետը </w:t>
      </w:r>
      <w:r w:rsidRPr="00CD4709">
        <w:rPr>
          <w:b/>
          <w:bCs/>
          <w:i/>
          <w:iCs/>
        </w:rPr>
        <w:t>փոփ. 30.01.20 թիվ 9)</w:t>
      </w:r>
    </w:p>
    <w:p w14:paraId="36E5F25F" w14:textId="06EBD647"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00C54D75">
        <w:rPr>
          <w:rFonts w:ascii="Sylfaen" w:hAnsi="Sylfaen"/>
          <w:sz w:val="24"/>
          <w:szCs w:val="24"/>
        </w:rPr>
        <w:t>և</w:t>
      </w:r>
      <w:r w:rsidRPr="00834D52">
        <w:rPr>
          <w:rFonts w:ascii="Sylfaen" w:hAnsi="Sylfaen"/>
          <w:sz w:val="24"/>
          <w:szCs w:val="24"/>
        </w:rPr>
        <w:t xml:space="preserve"> (կամ) փորձագիտական կազմակերպությունը դեղապատրաստուկի գրանցում </w:t>
      </w:r>
      <w:r w:rsidR="00C54D75">
        <w:rPr>
          <w:rFonts w:ascii="Sylfaen" w:hAnsi="Sylfaen"/>
          <w:sz w:val="24"/>
          <w:szCs w:val="24"/>
        </w:rPr>
        <w:t>և</w:t>
      </w:r>
      <w:r w:rsidRPr="00834D52">
        <w:rPr>
          <w:rFonts w:ascii="Sylfaen" w:hAnsi="Sylfaen"/>
          <w:sz w:val="24"/>
          <w:szCs w:val="24"/>
        </w:rPr>
        <w:t xml:space="preserve"> (կամ) փորձաքննություն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դոսյեում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փաթեթվածքի մանրակերտերում, որակի </w:t>
      </w:r>
      <w:r w:rsidRPr="00834D52">
        <w:rPr>
          <w:rFonts w:ascii="Sylfaen" w:hAnsi="Sylfaen"/>
          <w:sz w:val="24"/>
          <w:szCs w:val="24"/>
        </w:rPr>
        <w:lastRenderedPageBreak/>
        <w:t xml:space="preserve">վերաբերյալ նորմատիվ փաստաթղթերում կամ գրանցման դոսյեի այլ փաստաթղթերում փոփոխություններ կատարելու առաջարկ) ներկայացնելու վերաբերյալ։ Առաջին հարցումից հետո հետագա հարցումները թույլատրվում են միայն այն դեպքում, երբ նախորդ հարցման պատասխանի մեջ </w:t>
      </w:r>
      <w:r w:rsidR="0056496B">
        <w:rPr>
          <w:rFonts w:ascii="Sylfaen" w:hAnsi="Sylfaen"/>
          <w:sz w:val="24"/>
          <w:szCs w:val="24"/>
        </w:rPr>
        <w:t>դիմումատու</w:t>
      </w:r>
      <w:r w:rsidRPr="00834D52">
        <w:rPr>
          <w:rFonts w:ascii="Sylfaen" w:hAnsi="Sylfaen"/>
          <w:sz w:val="24"/>
          <w:szCs w:val="24"/>
        </w:rPr>
        <w:t>ի ներկայացրած տեղեկությունների հետ կապված ծագել են լրացուցիչ հարցեր։</w:t>
      </w:r>
    </w:p>
    <w:p w14:paraId="2088218F" w14:textId="6692B61E" w:rsidR="001A5F1A" w:rsidRPr="006F28F9" w:rsidRDefault="001A5F1A" w:rsidP="001A5F1A">
      <w:pPr>
        <w:rPr>
          <w:b/>
          <w:bCs/>
          <w:i/>
          <w:iCs/>
        </w:rPr>
      </w:pPr>
      <w:r w:rsidRPr="00CD4709">
        <w:rPr>
          <w:b/>
          <w:bCs/>
          <w:i/>
          <w:iCs/>
        </w:rPr>
        <w:t>(</w:t>
      </w:r>
      <w:r>
        <w:rPr>
          <w:b/>
          <w:bCs/>
          <w:i/>
          <w:iCs/>
        </w:rPr>
        <w:t xml:space="preserve">52-րդ կետը </w:t>
      </w:r>
      <w:r w:rsidRPr="00CD4709">
        <w:rPr>
          <w:b/>
          <w:bCs/>
          <w:i/>
          <w:iCs/>
        </w:rPr>
        <w:t>փոփ. 30.01.20 թիվ 9)</w:t>
      </w:r>
    </w:p>
    <w:p w14:paraId="2E8FF3D7" w14:textId="25618B92"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53.</w:t>
      </w:r>
      <w:r w:rsidRPr="00834D52">
        <w:rPr>
          <w:rFonts w:ascii="Sylfaen" w:hAnsi="Sylfaen"/>
          <w:sz w:val="24"/>
          <w:szCs w:val="24"/>
        </w:rPr>
        <w:tab/>
        <w:t>Սույն Կանոնների 52</w:t>
      </w:r>
      <w:r w:rsidRPr="008341C7">
        <w:rPr>
          <w:rFonts w:ascii="Sylfaen" w:hAnsi="Sylfaen"/>
          <w:sz w:val="24"/>
          <w:szCs w:val="24"/>
        </w:rPr>
        <w:t>-</w:t>
      </w:r>
      <w:r w:rsidRPr="00834D52">
        <w:rPr>
          <w:rFonts w:ascii="Sylfaen" w:hAnsi="Sylfaen"/>
          <w:sz w:val="24"/>
          <w:szCs w:val="24"/>
        </w:rPr>
        <w:t xml:space="preserve">րդ կետում նշված հարցմանը </w:t>
      </w:r>
      <w:r w:rsidR="0056496B">
        <w:rPr>
          <w:rFonts w:ascii="Sylfaen" w:hAnsi="Sylfaen"/>
          <w:sz w:val="24"/>
          <w:szCs w:val="24"/>
        </w:rPr>
        <w:t>դիմումատու</w:t>
      </w:r>
      <w:r w:rsidRPr="00834D52">
        <w:rPr>
          <w:rFonts w:ascii="Sylfaen" w:hAnsi="Sylfaen"/>
          <w:sz w:val="24"/>
          <w:szCs w:val="24"/>
        </w:rPr>
        <w:t>ն պետք է պատասխան ներկայացնի հարցումը ստանալու օրվանից 90 օրացուցային օրը չգերազանցող ժամկետում։</w:t>
      </w:r>
    </w:p>
    <w:p w14:paraId="2A341E62" w14:textId="5976B706" w:rsidR="001A5F1A" w:rsidRPr="006F28F9" w:rsidRDefault="001A5F1A" w:rsidP="001A5F1A">
      <w:pPr>
        <w:rPr>
          <w:b/>
          <w:bCs/>
          <w:i/>
          <w:iCs/>
        </w:rPr>
      </w:pPr>
      <w:r w:rsidRPr="00CD4709">
        <w:rPr>
          <w:b/>
          <w:bCs/>
          <w:i/>
          <w:iCs/>
        </w:rPr>
        <w:t>(</w:t>
      </w:r>
      <w:r>
        <w:rPr>
          <w:b/>
          <w:bCs/>
          <w:i/>
          <w:iCs/>
        </w:rPr>
        <w:t xml:space="preserve">53-րդ կետը </w:t>
      </w:r>
      <w:r w:rsidRPr="00CD4709">
        <w:rPr>
          <w:b/>
          <w:bCs/>
          <w:i/>
          <w:iCs/>
        </w:rPr>
        <w:t>փոփ. 30.01.20 թիվ 9)</w:t>
      </w:r>
    </w:p>
    <w:p w14:paraId="638A43F6" w14:textId="3A5855FE" w:rsidR="006F76EB" w:rsidRDefault="006F76EB" w:rsidP="006F76EB">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54.</w:t>
      </w:r>
      <w:r w:rsidRPr="00834D52">
        <w:rPr>
          <w:rFonts w:ascii="Sylfaen" w:hAnsi="Sylfaen"/>
          <w:sz w:val="24"/>
          <w:szCs w:val="24"/>
        </w:rPr>
        <w:tab/>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ի համապատասխան հիմնավորման հիման վրա, սույն Կանոնների 53</w:t>
      </w:r>
      <w:r w:rsidRPr="008341C7">
        <w:rPr>
          <w:rFonts w:ascii="Sylfaen" w:hAnsi="Sylfaen"/>
          <w:sz w:val="24"/>
          <w:szCs w:val="24"/>
        </w:rPr>
        <w:t>-</w:t>
      </w:r>
      <w:r w:rsidRPr="00834D52">
        <w:rPr>
          <w:rFonts w:ascii="Sylfaen" w:hAnsi="Sylfaen"/>
          <w:sz w:val="24"/>
          <w:szCs w:val="24"/>
        </w:rPr>
        <w:t xml:space="preserve">րդ կետով սահմանված ժամկետը կարող է երկարացվել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Հարցումներին պատասխան ներկայացնելու ընդհանուր ժամկետը չպետք է գերազանցի 180 օրացուցային օրը:</w:t>
      </w:r>
    </w:p>
    <w:p w14:paraId="69E7D1EE" w14:textId="0B88DF2D" w:rsidR="001A5F1A" w:rsidRPr="006F28F9" w:rsidRDefault="001A5F1A" w:rsidP="001A5F1A">
      <w:pPr>
        <w:rPr>
          <w:b/>
          <w:bCs/>
          <w:i/>
          <w:iCs/>
        </w:rPr>
      </w:pPr>
      <w:r w:rsidRPr="00CD4709">
        <w:rPr>
          <w:b/>
          <w:bCs/>
          <w:i/>
          <w:iCs/>
        </w:rPr>
        <w:t>(</w:t>
      </w:r>
      <w:r>
        <w:rPr>
          <w:b/>
          <w:bCs/>
          <w:i/>
          <w:iCs/>
        </w:rPr>
        <w:t xml:space="preserve">54-րդ կետը </w:t>
      </w:r>
      <w:r w:rsidRPr="00CD4709">
        <w:rPr>
          <w:b/>
          <w:bCs/>
          <w:i/>
          <w:iCs/>
        </w:rPr>
        <w:t>փոփ. 30.01.20 թիվ 9)</w:t>
      </w:r>
    </w:p>
    <w:p w14:paraId="4A5E31CC" w14:textId="1CE66A2B"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55.</w:t>
      </w:r>
      <w:r w:rsidRPr="00834D52">
        <w:rPr>
          <w:rFonts w:ascii="Sylfaen" w:hAnsi="Sylfaen"/>
          <w:sz w:val="24"/>
          <w:szCs w:val="24"/>
        </w:rPr>
        <w:tab/>
        <w:t xml:space="preserve">Դեղապատրաստուկի փորձաքննության ընթացքում լիազորված մարմնի կամ փորձագիտական կազմակերպության հարցման հիման վրա </w:t>
      </w:r>
      <w:r w:rsidR="0056496B">
        <w:rPr>
          <w:rFonts w:ascii="Sylfaen" w:hAnsi="Sylfaen"/>
          <w:sz w:val="24"/>
          <w:szCs w:val="24"/>
        </w:rPr>
        <w:t>դիմումատու</w:t>
      </w:r>
      <w:r w:rsidRPr="00834D52">
        <w:rPr>
          <w:rFonts w:ascii="Sylfaen" w:hAnsi="Sylfaen"/>
          <w:sz w:val="24"/>
          <w:szCs w:val="24"/>
        </w:rPr>
        <w:t xml:space="preserve">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ժամկետի մեջ։</w:t>
      </w:r>
    </w:p>
    <w:p w14:paraId="4E83AEB8" w14:textId="110AD1F9" w:rsidR="001A5F1A" w:rsidRPr="006F28F9" w:rsidRDefault="001A5F1A" w:rsidP="001A5F1A">
      <w:pPr>
        <w:rPr>
          <w:b/>
          <w:bCs/>
          <w:i/>
          <w:iCs/>
        </w:rPr>
      </w:pPr>
      <w:r w:rsidRPr="00CD4709">
        <w:rPr>
          <w:b/>
          <w:bCs/>
          <w:i/>
          <w:iCs/>
        </w:rPr>
        <w:t>(</w:t>
      </w:r>
      <w:r>
        <w:rPr>
          <w:b/>
          <w:bCs/>
          <w:i/>
          <w:iCs/>
        </w:rPr>
        <w:t xml:space="preserve">55-րդ կետը </w:t>
      </w:r>
      <w:r w:rsidRPr="00CD4709">
        <w:rPr>
          <w:b/>
          <w:bCs/>
          <w:i/>
          <w:iCs/>
        </w:rPr>
        <w:t>փոփ. 30.01.20 թիվ 9)</w:t>
      </w:r>
    </w:p>
    <w:p w14:paraId="1AA93B80" w14:textId="6725F72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սահմանված ժամկետում պահանջվող փաստաթղթերն ու տեղեկությունները չներկայացնելու դեպքում դեղապատրաստուկի փորձաքննությունն ու գրանցումը դադարեցվում է։ Կայացված որոշման մասին լիազորված մարմինը (փորձագիտական կազմակերպությունը) ծանուցում է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 որոշումը կայացնելու օրվանից 14 աշխատանքային օրվա </w:t>
      </w:r>
      <w:r w:rsidRPr="00834D52">
        <w:rPr>
          <w:rFonts w:ascii="Sylfaen" w:hAnsi="Sylfaen"/>
          <w:sz w:val="24"/>
          <w:szCs w:val="24"/>
        </w:rPr>
        <w:lastRenderedPageBreak/>
        <w:t>ընթացքում։</w:t>
      </w:r>
    </w:p>
    <w:p w14:paraId="03A48075" w14:textId="0BD02D31" w:rsidR="001A5F1A" w:rsidRPr="001A5F1A" w:rsidRDefault="001A5F1A" w:rsidP="001A5F1A">
      <w:pPr>
        <w:rPr>
          <w:b/>
          <w:bCs/>
          <w:i/>
          <w:iCs/>
        </w:rPr>
      </w:pPr>
      <w:r w:rsidRPr="00CD4709">
        <w:rPr>
          <w:b/>
          <w:bCs/>
          <w:i/>
          <w:iCs/>
        </w:rPr>
        <w:t>(</w:t>
      </w:r>
      <w:r>
        <w:rPr>
          <w:b/>
          <w:bCs/>
          <w:i/>
          <w:iCs/>
        </w:rPr>
        <w:t xml:space="preserve">56-րդ կետը </w:t>
      </w:r>
      <w:r w:rsidRPr="00CD4709">
        <w:rPr>
          <w:b/>
          <w:bCs/>
          <w:i/>
          <w:iCs/>
        </w:rPr>
        <w:t>փոփ. 30.01.20 թիվ 9)</w:t>
      </w:r>
    </w:p>
    <w:p w14:paraId="368767C3" w14:textId="77777777" w:rsidR="001A5F1A" w:rsidRPr="00834D52" w:rsidRDefault="001A5F1A" w:rsidP="006F76EB">
      <w:pPr>
        <w:tabs>
          <w:tab w:val="left" w:pos="1134"/>
        </w:tabs>
        <w:spacing w:after="160" w:line="360" w:lineRule="auto"/>
        <w:ind w:right="-8" w:firstLine="567"/>
        <w:jc w:val="both"/>
        <w:rPr>
          <w:rFonts w:ascii="Sylfaen" w:eastAsia="Times New Roman" w:hAnsi="Sylfaen" w:cs="Times New Roman"/>
          <w:sz w:val="24"/>
          <w:szCs w:val="24"/>
        </w:rPr>
      </w:pPr>
    </w:p>
    <w:p w14:paraId="695C4F8D" w14:textId="51BB2662"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57.</w:t>
      </w:r>
      <w:r w:rsidRPr="00834D52">
        <w:rPr>
          <w:rFonts w:ascii="Sylfaen" w:hAnsi="Sylfaen"/>
          <w:sz w:val="24"/>
          <w:szCs w:val="24"/>
        </w:rPr>
        <w:tab/>
        <w:t>Հարցումներ</w:t>
      </w:r>
      <w:r w:rsidR="00AD60A7">
        <w:rPr>
          <w:rFonts w:ascii="Sylfaen" w:hAnsi="Sylfaen"/>
          <w:sz w:val="24"/>
          <w:szCs w:val="24"/>
        </w:rPr>
        <w:t xml:space="preserve">ը </w:t>
      </w:r>
      <w:r w:rsidR="0056496B">
        <w:rPr>
          <w:rFonts w:ascii="Sylfaen" w:hAnsi="Sylfaen"/>
          <w:sz w:val="24"/>
          <w:szCs w:val="24"/>
        </w:rPr>
        <w:t>դիմումատու</w:t>
      </w:r>
      <w:r w:rsidR="00AD60A7" w:rsidRPr="00834D52">
        <w:rPr>
          <w:rFonts w:ascii="Sylfaen" w:hAnsi="Sylfaen"/>
          <w:sz w:val="24"/>
          <w:szCs w:val="24"/>
        </w:rPr>
        <w:t>ի</w:t>
      </w:r>
      <w:r w:rsidRPr="00834D52">
        <w:rPr>
          <w:rFonts w:ascii="Sylfaen" w:hAnsi="Sylfaen"/>
          <w:sz w:val="24"/>
          <w:szCs w:val="24"/>
        </w:rPr>
        <w:t>ն ուղարկելիս լիազորված մարմ</w:t>
      </w:r>
      <w:r w:rsidR="00AE718E">
        <w:rPr>
          <w:rFonts w:ascii="Sylfaen" w:hAnsi="Sylfaen"/>
          <w:sz w:val="24"/>
          <w:szCs w:val="24"/>
        </w:rPr>
        <w:t>ի</w:t>
      </w:r>
      <w:r w:rsidRPr="00834D52">
        <w:rPr>
          <w:rFonts w:ascii="Sylfaen" w:hAnsi="Sylfaen"/>
          <w:sz w:val="24"/>
          <w:szCs w:val="24"/>
        </w:rPr>
        <w:t>ն</w:t>
      </w:r>
      <w:r w:rsidR="00AE718E">
        <w:rPr>
          <w:rFonts w:ascii="Sylfaen" w:hAnsi="Sylfaen"/>
          <w:sz w:val="24"/>
          <w:szCs w:val="24"/>
        </w:rPr>
        <w:t>ներ</w:t>
      </w:r>
      <w:r w:rsidRPr="00834D52">
        <w:rPr>
          <w:rFonts w:ascii="Sylfaen" w:hAnsi="Sylfaen"/>
          <w:sz w:val="24"/>
          <w:szCs w:val="24"/>
        </w:rPr>
        <w:t>ի (փորձագիտական կազմակերպությ</w:t>
      </w:r>
      <w:r w:rsidR="00AE718E">
        <w:rPr>
          <w:rFonts w:ascii="Sylfaen" w:hAnsi="Sylfaen"/>
          <w:sz w:val="24"/>
          <w:szCs w:val="24"/>
        </w:rPr>
        <w:t>ունների</w:t>
      </w:r>
      <w:r w:rsidRPr="00834D52">
        <w:rPr>
          <w:rFonts w:ascii="Sylfaen" w:hAnsi="Sylfaen"/>
          <w:sz w:val="24"/>
          <w:szCs w:val="24"/>
        </w:rPr>
        <w:t>)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օգտագործմամբ։</w:t>
      </w:r>
    </w:p>
    <w:p w14:paraId="13BC4E3A" w14:textId="19E8FE47" w:rsidR="001A5F1A" w:rsidRPr="006F28F9" w:rsidRDefault="001A5F1A" w:rsidP="001A5F1A">
      <w:pPr>
        <w:rPr>
          <w:b/>
          <w:bCs/>
          <w:i/>
          <w:iCs/>
        </w:rPr>
      </w:pPr>
      <w:r w:rsidRPr="00CD4709">
        <w:rPr>
          <w:b/>
          <w:bCs/>
          <w:i/>
          <w:iCs/>
        </w:rPr>
        <w:t>(</w:t>
      </w:r>
      <w:r>
        <w:rPr>
          <w:b/>
          <w:bCs/>
          <w:i/>
          <w:iCs/>
        </w:rPr>
        <w:t xml:space="preserve">57-րդ կետը </w:t>
      </w:r>
      <w:r w:rsidRPr="00CD4709">
        <w:rPr>
          <w:b/>
          <w:bCs/>
          <w:i/>
          <w:iCs/>
        </w:rPr>
        <w:t>փոփ. 30.01.20 թիվ 9)</w:t>
      </w:r>
    </w:p>
    <w:p w14:paraId="1564BAF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58.</w:t>
      </w:r>
      <w:r w:rsidRPr="00834D52">
        <w:rPr>
          <w:rFonts w:ascii="Sylfaen" w:hAnsi="Sylfaen"/>
          <w:sz w:val="24"/>
          <w:szCs w:val="24"/>
        </w:rPr>
        <w:tab/>
        <w:t xml:space="preserve">Միության պատշաճ դեղագործական գործելակերպերին համապատասխանության դեղագործական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կամ փորձագիտական կազմակերպության կողմից տեսչական ստուգում անցկացնելու նախաձեռնության մասին որոշում կայացնելու օրվանից 180 օրացուցային օրը չի գերազանցում։</w:t>
      </w:r>
    </w:p>
    <w:p w14:paraId="5464D73D" w14:textId="1A6FAC2F" w:rsidR="006F76EB" w:rsidRDefault="0056496B" w:rsidP="00407DE9">
      <w:pPr>
        <w:tabs>
          <w:tab w:val="left" w:pos="1134"/>
        </w:tabs>
        <w:spacing w:after="160" w:line="384"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 xml:space="preserve">ն կազմակերպում է արտադրական հարթակ </w:t>
      </w:r>
      <w:r w:rsidR="00C54D75">
        <w:rPr>
          <w:rFonts w:ascii="Sylfaen" w:hAnsi="Sylfaen"/>
          <w:sz w:val="24"/>
          <w:szCs w:val="24"/>
        </w:rPr>
        <w:t>և</w:t>
      </w:r>
      <w:r w:rsidR="006F76EB" w:rsidRPr="00834D52">
        <w:rPr>
          <w:rFonts w:ascii="Sylfaen" w:hAnsi="Sylfaen"/>
          <w:sz w:val="24"/>
          <w:szCs w:val="24"/>
        </w:rPr>
        <w:t xml:space="preserve"> (կամ) հետազոտական կենտրոն այց </w:t>
      </w:r>
      <w:r w:rsidR="00C54D75">
        <w:rPr>
          <w:rFonts w:ascii="Sylfaen" w:hAnsi="Sylfaen"/>
          <w:sz w:val="24"/>
          <w:szCs w:val="24"/>
        </w:rPr>
        <w:t>և</w:t>
      </w:r>
      <w:r w:rsidR="006F76EB" w:rsidRPr="00834D52">
        <w:rPr>
          <w:rFonts w:ascii="Sylfaen" w:hAnsi="Sylfaen"/>
          <w:sz w:val="24"/>
          <w:szCs w:val="24"/>
        </w:rPr>
        <w:t xml:space="preserve"> (կամ) գրանցման հավաստագրի իրավատիրոջ դեղազգոնության համակարգի տեսչական ստուգում տեսչական ստուգում անցկացնելու անհրաժեշտության մասին տեղեկատվություն ստանալուց հետո՝ 30</w:t>
      </w:r>
      <w:r w:rsidR="00D85A6C" w:rsidRPr="00B90C69">
        <w:rPr>
          <w:rFonts w:ascii="Sylfaen" w:hAnsi="Sylfaen"/>
          <w:sz w:val="24"/>
          <w:szCs w:val="24"/>
        </w:rPr>
        <w:t> </w:t>
      </w:r>
      <w:r w:rsidR="006F76EB" w:rsidRPr="00834D52">
        <w:rPr>
          <w:rFonts w:ascii="Sylfaen" w:hAnsi="Sylfaen"/>
          <w:sz w:val="24"/>
          <w:szCs w:val="24"/>
        </w:rPr>
        <w:t xml:space="preserve">օրացուցային օրվա ընթացքում, կամ տրամադրում է այցելության օրերի հնարավոր տարբերակներ, սակայն ոչ ուշ, քան տեսչական ստուգում անցկացնելու անհրաժեշտության մասին տեղեկատվություն ստանալուց հետո՝ 90 օրացուցային </w:t>
      </w:r>
      <w:r w:rsidR="006F76EB" w:rsidRPr="00834D52">
        <w:rPr>
          <w:rFonts w:ascii="Sylfaen" w:hAnsi="Sylfaen"/>
          <w:sz w:val="24"/>
          <w:szCs w:val="24"/>
        </w:rPr>
        <w:lastRenderedPageBreak/>
        <w:t>օրվա ընթացքում։</w:t>
      </w:r>
    </w:p>
    <w:p w14:paraId="66CA494A" w14:textId="4C58E43B" w:rsidR="001A5F1A" w:rsidRPr="006F28F9" w:rsidRDefault="001A5F1A" w:rsidP="001A5F1A">
      <w:pPr>
        <w:rPr>
          <w:b/>
          <w:bCs/>
          <w:i/>
          <w:iCs/>
        </w:rPr>
      </w:pPr>
      <w:r w:rsidRPr="00CD4709">
        <w:rPr>
          <w:b/>
          <w:bCs/>
          <w:i/>
          <w:iCs/>
        </w:rPr>
        <w:t>(</w:t>
      </w:r>
      <w:r>
        <w:rPr>
          <w:b/>
          <w:bCs/>
          <w:i/>
          <w:iCs/>
        </w:rPr>
        <w:t xml:space="preserve">58-րդ կետը </w:t>
      </w:r>
      <w:r w:rsidRPr="00CD4709">
        <w:rPr>
          <w:b/>
          <w:bCs/>
          <w:i/>
          <w:iCs/>
        </w:rPr>
        <w:t>փոփ. 30.01.20 թիվ 9)</w:t>
      </w:r>
    </w:p>
    <w:p w14:paraId="492D3801" w14:textId="77777777" w:rsidR="001A5F1A" w:rsidRPr="00834D52" w:rsidRDefault="001A5F1A" w:rsidP="00407DE9">
      <w:pPr>
        <w:tabs>
          <w:tab w:val="left" w:pos="1134"/>
        </w:tabs>
        <w:spacing w:after="160" w:line="384" w:lineRule="auto"/>
        <w:ind w:right="-6" w:firstLine="567"/>
        <w:jc w:val="both"/>
        <w:rPr>
          <w:rFonts w:ascii="Sylfaen" w:eastAsia="Times New Roman" w:hAnsi="Sylfaen" w:cs="Times New Roman"/>
          <w:sz w:val="24"/>
          <w:szCs w:val="24"/>
        </w:rPr>
      </w:pPr>
    </w:p>
    <w:p w14:paraId="3BA22CA2" w14:textId="77777777" w:rsidR="006F76EB" w:rsidRPr="00474452" w:rsidRDefault="006F76EB" w:rsidP="00407DE9">
      <w:pPr>
        <w:tabs>
          <w:tab w:val="left" w:pos="1134"/>
        </w:tabs>
        <w:spacing w:after="160" w:line="384" w:lineRule="auto"/>
        <w:ind w:right="-6" w:firstLine="567"/>
        <w:jc w:val="both"/>
        <w:rPr>
          <w:rFonts w:ascii="Sylfaen" w:eastAsia="Times New Roman" w:hAnsi="Sylfaen" w:cs="Times New Roman"/>
          <w:spacing w:val="6"/>
          <w:sz w:val="24"/>
          <w:szCs w:val="24"/>
        </w:rPr>
      </w:pPr>
      <w:r w:rsidRPr="00834D52">
        <w:rPr>
          <w:rFonts w:ascii="Sylfaen" w:hAnsi="Sylfaen"/>
          <w:spacing w:val="-4"/>
          <w:sz w:val="24"/>
          <w:szCs w:val="24"/>
        </w:rPr>
        <w:t>59.</w:t>
      </w:r>
      <w:r w:rsidRPr="00834D52">
        <w:rPr>
          <w:rFonts w:ascii="Sylfaen" w:hAnsi="Sylfaen"/>
          <w:spacing w:val="-4"/>
          <w:sz w:val="24"/>
          <w:szCs w:val="24"/>
        </w:rPr>
        <w:tab/>
      </w:r>
      <w:r w:rsidRPr="00474452">
        <w:rPr>
          <w:rFonts w:ascii="Sylfaen" w:hAnsi="Sylfaen"/>
          <w:spacing w:val="6"/>
          <w:sz w:val="24"/>
          <w:szCs w:val="24"/>
        </w:rPr>
        <w:t xml:space="preserve">Գնահատման վերաբերյալ փորձագիտական հաշվետվություն պատրաստելու համար </w:t>
      </w:r>
      <w:r w:rsidR="009F49FE" w:rsidRPr="00474452">
        <w:rPr>
          <w:rFonts w:ascii="Sylfaen" w:hAnsi="Sylfaen"/>
          <w:spacing w:val="6"/>
          <w:sz w:val="24"/>
          <w:szCs w:val="24"/>
        </w:rPr>
        <w:t xml:space="preserve">ռեֆերենտ </w:t>
      </w:r>
      <w:r w:rsidRPr="00474452">
        <w:rPr>
          <w:rFonts w:ascii="Sylfaen" w:hAnsi="Sylfaen"/>
          <w:spacing w:val="6"/>
          <w:sz w:val="24"/>
          <w:szCs w:val="24"/>
        </w:rPr>
        <w:t xml:space="preserve">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6-10, 12 </w:t>
      </w:r>
      <w:r w:rsidR="00C54D75">
        <w:rPr>
          <w:rFonts w:ascii="Sylfaen" w:hAnsi="Sylfaen"/>
          <w:spacing w:val="6"/>
          <w:sz w:val="24"/>
          <w:szCs w:val="24"/>
        </w:rPr>
        <w:t>և</w:t>
      </w:r>
      <w:r w:rsidRPr="00474452">
        <w:rPr>
          <w:rFonts w:ascii="Sylfaen" w:hAnsi="Sylfaen"/>
          <w:spacing w:val="6"/>
          <w:sz w:val="24"/>
          <w:szCs w:val="24"/>
        </w:rPr>
        <w:t xml:space="preserve"> 22 հավելվածների համաձայն սահմանված ձ</w:t>
      </w:r>
      <w:r w:rsidR="00C54D75">
        <w:rPr>
          <w:rFonts w:ascii="Sylfaen" w:hAnsi="Sylfaen"/>
          <w:spacing w:val="6"/>
          <w:sz w:val="24"/>
          <w:szCs w:val="24"/>
        </w:rPr>
        <w:t>և</w:t>
      </w:r>
      <w:r w:rsidRPr="00474452">
        <w:rPr>
          <w:rFonts w:ascii="Sylfaen" w:hAnsi="Sylfaen"/>
          <w:spacing w:val="6"/>
          <w:sz w:val="24"/>
          <w:szCs w:val="24"/>
        </w:rPr>
        <w:t>երով։</w:t>
      </w:r>
    </w:p>
    <w:p w14:paraId="579704CA" w14:textId="7BA0FDDA"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60.</w:t>
      </w:r>
      <w:r w:rsidRPr="00834D52">
        <w:rPr>
          <w:rFonts w:ascii="Sylfaen" w:hAnsi="Sylfaen"/>
          <w:sz w:val="24"/>
          <w:szCs w:val="24"/>
        </w:rPr>
        <w:tab/>
        <w:t xml:space="preserve">Դեղապատրաստուկի փորձաքննության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կազմում է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գնահատման՝ ներառյալ փորձագիտական կազմակերպության կամ լիազորված մարմնի հարցմանն ի պատասխան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տեղեկությունների գնահատման վերաբերյալ եզրափակիչ փորձագիտական հաշվետվություն՝ սույն Կանոնների թիվ 16 հավելվածի համաձայն սահմանված ձ</w:t>
      </w:r>
      <w:r w:rsidR="00C54D75">
        <w:rPr>
          <w:rFonts w:ascii="Sylfaen" w:hAnsi="Sylfaen"/>
          <w:sz w:val="24"/>
          <w:szCs w:val="24"/>
        </w:rPr>
        <w:t>և</w:t>
      </w:r>
      <w:r w:rsidRPr="00834D52">
        <w:rPr>
          <w:rFonts w:ascii="Sylfaen" w:hAnsi="Sylfaen"/>
          <w:sz w:val="24"/>
          <w:szCs w:val="24"/>
        </w:rPr>
        <w:t>ով։</w:t>
      </w:r>
    </w:p>
    <w:p w14:paraId="6A377D3E" w14:textId="6D946116" w:rsidR="00FE4A71" w:rsidRPr="006F28F9" w:rsidRDefault="00FE4A71" w:rsidP="00FE4A71">
      <w:pPr>
        <w:rPr>
          <w:b/>
          <w:bCs/>
          <w:i/>
          <w:iCs/>
        </w:rPr>
      </w:pPr>
      <w:r w:rsidRPr="00CD4709">
        <w:rPr>
          <w:b/>
          <w:bCs/>
          <w:i/>
          <w:iCs/>
        </w:rPr>
        <w:t>(</w:t>
      </w:r>
      <w:r>
        <w:rPr>
          <w:b/>
          <w:bCs/>
          <w:i/>
          <w:iCs/>
        </w:rPr>
        <w:t xml:space="preserve">60-րդ կետը </w:t>
      </w:r>
      <w:r w:rsidRPr="00CD4709">
        <w:rPr>
          <w:b/>
          <w:bCs/>
          <w:i/>
          <w:iCs/>
        </w:rPr>
        <w:t>փոփ. 30.01.20 թիվ 9)</w:t>
      </w:r>
    </w:p>
    <w:p w14:paraId="579F8D3A"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Որակի ասպեկտներով, նախակլինիկական, կլինիկական ասպեկտներով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հավելվածներին համապատասխան։</w:t>
      </w:r>
    </w:p>
    <w:p w14:paraId="1EF9CDBA" w14:textId="32699C39"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62.</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 xml:space="preserve">որ </w:t>
      </w:r>
      <w:r w:rsidR="00C54D75">
        <w:rPr>
          <w:rFonts w:ascii="Sylfaen" w:hAnsi="Sylfaen"/>
          <w:sz w:val="24"/>
          <w:szCs w:val="24"/>
        </w:rPr>
        <w:t>և</w:t>
      </w:r>
      <w:r w:rsidRPr="00834D52">
        <w:rPr>
          <w:rFonts w:ascii="Sylfaen" w:hAnsi="Sylfaen"/>
          <w:sz w:val="24"/>
          <w:szCs w:val="24"/>
        </w:rPr>
        <w:t xml:space="preserve"> դեղապատրաստուկի օգուտ</w:t>
      </w:r>
      <w:r w:rsidRPr="008341C7">
        <w:rPr>
          <w:rFonts w:ascii="Sylfaen" w:hAnsi="Sylfaen"/>
          <w:sz w:val="24"/>
          <w:szCs w:val="24"/>
        </w:rPr>
        <w:t>-</w:t>
      </w:r>
      <w:r w:rsidRPr="00834D52">
        <w:rPr>
          <w:rFonts w:ascii="Sylfaen" w:hAnsi="Sylfaen"/>
          <w:sz w:val="24"/>
          <w:szCs w:val="24"/>
        </w:rPr>
        <w:t>ռիսկ հարաբերակցության վրա ազդելու ունակ նոր տեղեկատվություն ի</w:t>
      </w:r>
      <w:r w:rsidR="005F705E" w:rsidRPr="005F705E">
        <w:rPr>
          <w:rFonts w:ascii="Sylfaen" w:hAnsi="Sylfaen"/>
          <w:sz w:val="24"/>
          <w:szCs w:val="24"/>
        </w:rPr>
        <w:t> </w:t>
      </w:r>
      <w:r w:rsidR="00FE4A71">
        <w:rPr>
          <w:rFonts w:ascii="Sylfaen" w:hAnsi="Sylfaen"/>
          <w:sz w:val="24"/>
          <w:szCs w:val="24"/>
        </w:rPr>
        <w:t>հայտ</w:t>
      </w:r>
      <w:r w:rsidRPr="00834D52">
        <w:rPr>
          <w:rFonts w:ascii="Sylfaen" w:hAnsi="Sylfaen"/>
          <w:sz w:val="24"/>
          <w:szCs w:val="24"/>
        </w:rPr>
        <w:t xml:space="preserve"> գալու դեպքում գնահատման վերաբերյալ փորձագիտական հաշվետվությունը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պետք է թարմացվի գրանցման դոսյեում փոփոխություններ կատարելու ընթացակարգի շրջանակներում։</w:t>
      </w:r>
    </w:p>
    <w:p w14:paraId="7056225F"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 xml:space="preserve">Եթե դեղապատրաստուկի փորձաքննության անցկացման արդյունքներով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կայացնում է դեղապատաստուկի գրանցման վերաբերյալ դրական որոշում, ապա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10 աշխատանքային օրը չգերազանցող ժամկետում՝</w:t>
      </w:r>
    </w:p>
    <w:p w14:paraId="3371937E" w14:textId="3CCAEBE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z w:val="24"/>
          <w:szCs w:val="24"/>
        </w:rPr>
        <w:t>և</w:t>
      </w:r>
      <w:r w:rsidRPr="00834D52">
        <w:rPr>
          <w:rFonts w:ascii="Sylfaen" w:hAnsi="Sylfaen"/>
          <w:sz w:val="24"/>
          <w:szCs w:val="24"/>
        </w:rPr>
        <w:t>ով, հաստատված ԴՊԸԲ</w:t>
      </w:r>
      <w:r w:rsidRPr="008341C7">
        <w:rPr>
          <w:rFonts w:ascii="Sylfaen" w:hAnsi="Sylfaen"/>
          <w:sz w:val="24"/>
          <w:szCs w:val="24"/>
        </w:rPr>
        <w:t>-</w:t>
      </w:r>
      <w:r w:rsidRPr="00834D52">
        <w:rPr>
          <w:rFonts w:ascii="Sylfaen" w:hAnsi="Sylfaen"/>
          <w:sz w:val="24"/>
          <w:szCs w:val="24"/>
        </w:rPr>
        <w:t>ներ, բժշկական կիրառման հրահանգ, որակի նորմատիվ փաստաթուղթ, փաթեթվածքների մանրակերտեր, գնահատման վերաբերյալ փորձագիտական հաշվետվություն (անհրաժեշտության դեպքում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փաթեթվածքի մանրակերտերը </w:t>
      </w:r>
      <w:r w:rsidR="0056496B">
        <w:rPr>
          <w:rFonts w:ascii="Sylfaen" w:hAnsi="Sylfaen"/>
          <w:sz w:val="24"/>
          <w:szCs w:val="24"/>
        </w:rPr>
        <w:t>դիմումատու</w:t>
      </w:r>
      <w:r w:rsidRPr="00834D52">
        <w:rPr>
          <w:rFonts w:ascii="Sylfaen" w:hAnsi="Sylfaen"/>
          <w:sz w:val="24"/>
          <w:szCs w:val="24"/>
        </w:rPr>
        <w:t xml:space="preserve">ին են տրամադրվում </w:t>
      </w:r>
      <w:r w:rsidR="009F49FE">
        <w:rPr>
          <w:rFonts w:ascii="Sylfaen" w:hAnsi="Sylfaen"/>
          <w:sz w:val="24"/>
          <w:szCs w:val="24"/>
        </w:rPr>
        <w:t xml:space="preserve">ռեֆերենտ </w:t>
      </w:r>
      <w:r w:rsidRPr="00834D52">
        <w:rPr>
          <w:rFonts w:ascii="Sylfaen" w:hAnsi="Sylfaen"/>
          <w:sz w:val="24"/>
          <w:szCs w:val="24"/>
        </w:rPr>
        <w:t>պետության պետական լեզվով), դեղապատրաստուկի կիրառման ժամանակ ռիսկերի կառավարման համաձայնեցված պլանը (անհրաժեշտության դեպքում).</w:t>
      </w:r>
    </w:p>
    <w:p w14:paraId="273421B7" w14:textId="189B1006"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w:t>
      </w:r>
      <w:r w:rsidRPr="00834D52">
        <w:rPr>
          <w:rFonts w:ascii="Sylfaen" w:hAnsi="Sylfaen"/>
          <w:sz w:val="24"/>
          <w:szCs w:val="24"/>
        </w:rPr>
        <w:lastRenderedPageBreak/>
        <w:t>փորձագիտական հաշվետվությունը՝ գաղտնի տվյալներն ու փորձագետների մասին տվյալները հանելուց հետո,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 դեղապատրաստուկի կիրառման ժամանակ ռիսկերի կառավարման համաձայնեցված պլանը (անհրաժեշտության դեպքում)։</w:t>
      </w:r>
    </w:p>
    <w:p w14:paraId="0FC27D71" w14:textId="5EE7EA90" w:rsidR="00FE4A71" w:rsidRPr="006F28F9" w:rsidRDefault="00FE4A71" w:rsidP="00FE4A71">
      <w:pPr>
        <w:rPr>
          <w:b/>
          <w:bCs/>
          <w:i/>
          <w:iCs/>
        </w:rPr>
      </w:pPr>
      <w:r w:rsidRPr="00CD4709">
        <w:rPr>
          <w:b/>
          <w:bCs/>
          <w:i/>
          <w:iCs/>
        </w:rPr>
        <w:t>(</w:t>
      </w:r>
      <w:r>
        <w:rPr>
          <w:b/>
          <w:bCs/>
          <w:i/>
          <w:iCs/>
        </w:rPr>
        <w:t xml:space="preserve">63-րդ կետը </w:t>
      </w:r>
      <w:r w:rsidRPr="00CD4709">
        <w:rPr>
          <w:b/>
          <w:bCs/>
          <w:i/>
          <w:iCs/>
        </w:rPr>
        <w:t>փոփ. 30.01.20 թիվ 9)</w:t>
      </w:r>
    </w:p>
    <w:p w14:paraId="15FE344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փորձաքննության անցկացման արդյունքներով մերժում է դեղապատրաստուկի գրանցումը հետ</w:t>
      </w:r>
      <w:r w:rsidR="00C54D75">
        <w:rPr>
          <w:rFonts w:ascii="Sylfaen" w:hAnsi="Sylfaen"/>
          <w:sz w:val="24"/>
          <w:szCs w:val="24"/>
        </w:rPr>
        <w:t>և</w:t>
      </w:r>
      <w:r w:rsidRPr="00834D52">
        <w:rPr>
          <w:rFonts w:ascii="Sylfaen" w:hAnsi="Sylfaen"/>
          <w:sz w:val="24"/>
          <w:szCs w:val="24"/>
        </w:rPr>
        <w:t>յալ դեպքերում՝</w:t>
      </w:r>
    </w:p>
    <w:p w14:paraId="5427AC74"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110FCE3D" w14:textId="7A61C1A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տեղեկություններով,</w:t>
      </w:r>
    </w:p>
    <w:p w14:paraId="2667A373"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70F6297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հսկողության առաջարկված մեթոդներն ու մեթոդիկաները վերարտադրելի չեն,</w:t>
      </w:r>
    </w:p>
    <w:p w14:paraId="2EA1F7BA" w14:textId="4446DD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16A95C49" w14:textId="021E818A"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675C3BD6" w14:textId="054432F3" w:rsidR="00FE4A71" w:rsidRPr="006F28F9" w:rsidRDefault="00FE4A71" w:rsidP="00FE4A71">
      <w:pPr>
        <w:rPr>
          <w:b/>
          <w:bCs/>
          <w:i/>
          <w:iCs/>
        </w:rPr>
      </w:pPr>
      <w:r w:rsidRPr="00CD4709">
        <w:rPr>
          <w:b/>
          <w:bCs/>
          <w:i/>
          <w:iCs/>
        </w:rPr>
        <w:t>(</w:t>
      </w:r>
      <w:r>
        <w:rPr>
          <w:b/>
          <w:bCs/>
          <w:i/>
          <w:iCs/>
        </w:rPr>
        <w:t xml:space="preserve">64-րդ կետը </w:t>
      </w:r>
      <w:r w:rsidRPr="00CD4709">
        <w:rPr>
          <w:b/>
          <w:bCs/>
          <w:i/>
          <w:iCs/>
        </w:rPr>
        <w:t>փոփ. 30.01.20 թիվ 9)</w:t>
      </w:r>
    </w:p>
    <w:p w14:paraId="7A461B75" w14:textId="2463418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65.</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գրանցումը մերժելու վերաբերյալ որոշում կայացնելու դեպքում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այդ որոշումն ընդունելու 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գրավոր եղանակով այդ մասին ծանուցում է </w:t>
      </w:r>
      <w:r w:rsidR="0056496B">
        <w:rPr>
          <w:rFonts w:ascii="Sylfaen" w:hAnsi="Sylfaen"/>
          <w:sz w:val="24"/>
          <w:szCs w:val="24"/>
        </w:rPr>
        <w:t>դիմումատու</w:t>
      </w:r>
      <w:r w:rsidRPr="00834D52">
        <w:rPr>
          <w:rFonts w:ascii="Sylfaen" w:hAnsi="Sylfaen"/>
          <w:sz w:val="24"/>
          <w:szCs w:val="24"/>
        </w:rPr>
        <w:t>ին։</w:t>
      </w:r>
    </w:p>
    <w:p w14:paraId="40EC0B7C" w14:textId="6156332C" w:rsidR="00FE4A71" w:rsidRPr="006F28F9" w:rsidRDefault="00FE4A71" w:rsidP="00FE4A71">
      <w:pPr>
        <w:rPr>
          <w:b/>
          <w:bCs/>
          <w:i/>
          <w:iCs/>
        </w:rPr>
      </w:pPr>
      <w:r w:rsidRPr="00CD4709">
        <w:rPr>
          <w:b/>
          <w:bCs/>
          <w:i/>
          <w:iCs/>
        </w:rPr>
        <w:lastRenderedPageBreak/>
        <w:t>(</w:t>
      </w:r>
      <w:r>
        <w:rPr>
          <w:b/>
          <w:bCs/>
          <w:i/>
          <w:iCs/>
        </w:rPr>
        <w:t xml:space="preserve">65-րդ կետը </w:t>
      </w:r>
      <w:r w:rsidRPr="00CD4709">
        <w:rPr>
          <w:b/>
          <w:bCs/>
          <w:i/>
          <w:iCs/>
        </w:rPr>
        <w:t>փոփ. 30.01.20 թիվ 9)</w:t>
      </w:r>
    </w:p>
    <w:p w14:paraId="0ED5F386" w14:textId="77777777" w:rsidR="00FE4A71" w:rsidRPr="00834D52" w:rsidRDefault="00FE4A71" w:rsidP="006F76EB">
      <w:pPr>
        <w:tabs>
          <w:tab w:val="left" w:pos="1134"/>
        </w:tabs>
        <w:spacing w:after="160" w:line="360" w:lineRule="auto"/>
        <w:ind w:right="-8" w:firstLine="567"/>
        <w:jc w:val="both"/>
        <w:rPr>
          <w:rFonts w:ascii="Sylfaen" w:eastAsia="Times New Roman" w:hAnsi="Sylfaen" w:cs="Times New Roman"/>
          <w:sz w:val="24"/>
          <w:szCs w:val="24"/>
        </w:rPr>
      </w:pPr>
    </w:p>
    <w:p w14:paraId="6E984785" w14:textId="77777777" w:rsidR="006F76EB" w:rsidRPr="00834D52" w:rsidRDefault="006F76EB" w:rsidP="00AE34C3">
      <w:pPr>
        <w:spacing w:after="160" w:line="480" w:lineRule="auto"/>
        <w:jc w:val="center"/>
        <w:rPr>
          <w:rFonts w:ascii="Sylfaen" w:hAnsi="Sylfaen"/>
          <w:sz w:val="24"/>
          <w:szCs w:val="24"/>
        </w:rPr>
      </w:pPr>
    </w:p>
    <w:p w14:paraId="62FCA86F"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V.II. Փոխադարձ ճանաչման ընթացակարգով դեղապատրաստուկի գրանցումն ու փորձաքննությունը ճանաչման պետությունում</w:t>
      </w:r>
      <w:r w:rsidR="00AE34C3" w:rsidRPr="00AE34C3">
        <w:rPr>
          <w:rFonts w:ascii="Sylfaen" w:hAnsi="Sylfaen"/>
          <w:sz w:val="24"/>
          <w:szCs w:val="24"/>
        </w:rPr>
        <w:t> </w:t>
      </w:r>
      <w:r w:rsidRPr="00834D52">
        <w:rPr>
          <w:rFonts w:ascii="Sylfaen" w:hAnsi="Sylfaen"/>
          <w:sz w:val="24"/>
          <w:szCs w:val="24"/>
        </w:rPr>
        <w:t>(պետություններում)</w:t>
      </w:r>
    </w:p>
    <w:p w14:paraId="11D6928D" w14:textId="5BA00311"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66.</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պետությունում դեղապատրաստուկը գրանցելուց հետո </w:t>
      </w:r>
      <w:r w:rsidR="0056496B">
        <w:rPr>
          <w:rFonts w:ascii="Sylfaen" w:hAnsi="Sylfaen"/>
          <w:sz w:val="24"/>
          <w:szCs w:val="24"/>
        </w:rPr>
        <w:t>դիմումատու</w:t>
      </w:r>
      <w:r w:rsidRPr="00834D52">
        <w:rPr>
          <w:rFonts w:ascii="Sylfaen" w:hAnsi="Sylfaen"/>
          <w:sz w:val="24"/>
          <w:szCs w:val="24"/>
        </w:rPr>
        <w:t>ն կարող է փոխադարձ ճանաչման ընթացակարգով գրանցում նախաձեռնել իր կողմից որպես ճանաչման պետություններ ընտրված այլ անդամ պետություններում՝ այդ անդամ պետությունների լիազորված մարմիններ (փորձագիտական կազմակերպություն) ներկայացնելով՝</w:t>
      </w:r>
    </w:p>
    <w:p w14:paraId="6FC0F819" w14:textId="109EEABE" w:rsidR="006F76EB" w:rsidRPr="00834D52" w:rsidRDefault="006F76EB" w:rsidP="00AE34C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ը</w:t>
      </w:r>
      <w:r w:rsidR="00E90FAF" w:rsidRPr="00E90FAF">
        <w:rPr>
          <w:rFonts w:ascii="Sylfaen" w:hAnsi="Sylfaen"/>
          <w:sz w:val="24"/>
          <w:szCs w:val="24"/>
        </w:rPr>
        <w:t>`</w:t>
      </w:r>
      <w:r w:rsidRPr="00834D52">
        <w:rPr>
          <w:rFonts w:ascii="Sylfaen" w:hAnsi="Sylfaen"/>
          <w:sz w:val="24"/>
          <w:szCs w:val="24"/>
        </w:rPr>
        <w:t xml:space="preserve"> թղթային</w:t>
      </w:r>
      <w:r w:rsidR="00544E85">
        <w:rPr>
          <w:rFonts w:ascii="Sylfaen" w:hAnsi="Sylfaen"/>
          <w:sz w:val="24"/>
          <w:szCs w:val="24"/>
        </w:rPr>
        <w:t xml:space="preserve"> 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544E85">
        <w:rPr>
          <w:rFonts w:ascii="Sylfaen" w:hAnsi="Sylfaen"/>
          <w:sz w:val="24"/>
          <w:szCs w:val="24"/>
        </w:rPr>
        <w:t>փաստաթղթի տեսքով</w:t>
      </w:r>
      <w:r w:rsidRPr="00834D52">
        <w:rPr>
          <w:rFonts w:ascii="Sylfaen" w:hAnsi="Sylfaen"/>
          <w:sz w:val="24"/>
          <w:szCs w:val="24"/>
        </w:rPr>
        <w:t>՝ սույն Կանոնների թիվ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8FABEDB" w14:textId="77777777"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2678C76E" w14:textId="12A1920A" w:rsidR="006F76EB" w:rsidRPr="00834D52" w:rsidRDefault="006F76EB" w:rsidP="00AE34C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դոսյեի 1-ին մոդուլը</w:t>
      </w:r>
      <w:r w:rsidR="00DE7674">
        <w:rPr>
          <w:rFonts w:ascii="Sylfaen" w:hAnsi="Sylfaen"/>
          <w:sz w:val="24"/>
          <w:szCs w:val="24"/>
        </w:rPr>
        <w:t xml:space="preserve"> </w:t>
      </w:r>
      <w:r w:rsidR="00DE7674" w:rsidRPr="00DE7674">
        <w:rPr>
          <w:rFonts w:ascii="GHEA Grapalat" w:hAnsi="GHEA Grapalat"/>
          <w:sz w:val="21"/>
          <w:szCs w:val="21"/>
        </w:rPr>
        <w:t>թղթային և էլեկտրոնային կրիչների վրա</w:t>
      </w:r>
      <w:r w:rsidRPr="00834D52">
        <w:rPr>
          <w:rFonts w:ascii="Sylfaen" w:hAnsi="Sylfaen"/>
          <w:sz w:val="24"/>
          <w:szCs w:val="24"/>
        </w:rPr>
        <w:t>։</w:t>
      </w:r>
    </w:p>
    <w:p w14:paraId="028781B5" w14:textId="7750FC03"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դեղապաստրաստուկի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78E1000A" w14:textId="7126D0D0" w:rsidR="00BA6133" w:rsidRPr="006F28F9" w:rsidRDefault="00BA6133" w:rsidP="00BA6133">
      <w:pPr>
        <w:rPr>
          <w:b/>
          <w:bCs/>
          <w:i/>
          <w:iCs/>
        </w:rPr>
      </w:pPr>
      <w:r w:rsidRPr="00CD4709">
        <w:rPr>
          <w:b/>
          <w:bCs/>
          <w:i/>
          <w:iCs/>
        </w:rPr>
        <w:t>(</w:t>
      </w:r>
      <w:r>
        <w:rPr>
          <w:b/>
          <w:bCs/>
          <w:i/>
          <w:iCs/>
        </w:rPr>
        <w:t xml:space="preserve">66-րդ կետը </w:t>
      </w:r>
      <w:r w:rsidRPr="00CD4709">
        <w:rPr>
          <w:b/>
          <w:bCs/>
          <w:i/>
          <w:iCs/>
        </w:rPr>
        <w:t>փոփ. 30.01.20 թիվ 9)</w:t>
      </w:r>
    </w:p>
    <w:p w14:paraId="2387BFD1" w14:textId="7925AF79" w:rsidR="006F76EB" w:rsidRDefault="006F76EB" w:rsidP="00D82AAA">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67.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հարցման հիման վրա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տվյալ հարցումը ստանալու օրվանից 5 աշխատանքային օրը չգերազանցող ժամկետում ապահովում է գրանցման դոսյեի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w:t>
      </w:r>
      <w:r w:rsidRPr="00834D52">
        <w:rPr>
          <w:rFonts w:ascii="Sylfaen" w:hAnsi="Sylfaen"/>
          <w:sz w:val="24"/>
          <w:szCs w:val="24"/>
        </w:rPr>
        <w:lastRenderedPageBreak/>
        <w:t xml:space="preserve">հասանելիությունը՝ ճանաչման պետությունների լիազորված մարմինների (փորձագիտական կազմակերպությունների) համար, ինտեգրված համակարգի միջոցով,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հարցումներին ի պատասխան </w:t>
      </w:r>
      <w:r w:rsidR="0056496B">
        <w:rPr>
          <w:rFonts w:ascii="Sylfaen" w:hAnsi="Sylfaen"/>
          <w:sz w:val="24"/>
          <w:szCs w:val="24"/>
        </w:rPr>
        <w:t>դիմումատու</w:t>
      </w:r>
      <w:r w:rsidRPr="00834D52">
        <w:rPr>
          <w:rFonts w:ascii="Sylfaen" w:hAnsi="Sylfaen"/>
          <w:sz w:val="24"/>
          <w:szCs w:val="24"/>
        </w:rPr>
        <w:t xml:space="preserve">ի ներկայացրած լրացուցիչ փաստաթղթերի </w:t>
      </w:r>
      <w:r w:rsidR="00C54D75">
        <w:rPr>
          <w:rFonts w:ascii="Sylfaen" w:hAnsi="Sylfaen"/>
          <w:sz w:val="24"/>
          <w:szCs w:val="24"/>
        </w:rPr>
        <w:t>և</w:t>
      </w:r>
      <w:r w:rsidRPr="00834D52">
        <w:rPr>
          <w:rFonts w:ascii="Sylfaen" w:hAnsi="Sylfaen"/>
          <w:sz w:val="24"/>
          <w:szCs w:val="24"/>
        </w:rPr>
        <w:t xml:space="preserve"> տեղեկությունների օգտագործմամբ։</w:t>
      </w:r>
    </w:p>
    <w:p w14:paraId="35C9B529" w14:textId="7B5BFC22" w:rsidR="00BA6133" w:rsidRPr="006F28F9" w:rsidRDefault="00BA6133" w:rsidP="00BA6133">
      <w:pPr>
        <w:rPr>
          <w:b/>
          <w:bCs/>
          <w:i/>
          <w:iCs/>
        </w:rPr>
      </w:pPr>
      <w:r w:rsidRPr="00CD4709">
        <w:rPr>
          <w:b/>
          <w:bCs/>
          <w:i/>
          <w:iCs/>
        </w:rPr>
        <w:t>(</w:t>
      </w:r>
      <w:r>
        <w:rPr>
          <w:b/>
          <w:bCs/>
          <w:i/>
          <w:iCs/>
        </w:rPr>
        <w:t xml:space="preserve">67-րդ կետը </w:t>
      </w:r>
      <w:r w:rsidRPr="00CD4709">
        <w:rPr>
          <w:b/>
          <w:bCs/>
          <w:i/>
          <w:iCs/>
        </w:rPr>
        <w:t>փոփ. 30.01.20 թիվ 9)</w:t>
      </w:r>
    </w:p>
    <w:p w14:paraId="29D67E3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68.</w:t>
      </w:r>
      <w:r w:rsidRPr="00834D52">
        <w:rPr>
          <w:rFonts w:ascii="Sylfaen" w:hAnsi="Sylfaen"/>
          <w:sz w:val="24"/>
          <w:szCs w:val="24"/>
        </w:rPr>
        <w:tab/>
        <w:t xml:space="preserve">Ճանաչման պետությունում դեղապատրաստուկի գրանցումն այդ անդամ պետության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բացակայության </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հաշվետվությունը ճանաչելու հնարավորության մասին եզրակացության առկայության դեպքում իրականացվում է գնահատման վերաբերյալ փորձագիտական հաշվետվության նկատմամբ հասանելիություն ստանալու օրվանից ոչ ուշ, քան 90 օրացուցային օրվա ընթացքում։</w:t>
      </w:r>
    </w:p>
    <w:p w14:paraId="24B49A76" w14:textId="77777777" w:rsidR="006F76EB" w:rsidRPr="00834D52" w:rsidRDefault="006F76EB" w:rsidP="00D82AAA">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69.</w:t>
      </w:r>
      <w:r w:rsidRPr="00834D52">
        <w:rPr>
          <w:rFonts w:ascii="Sylfaen" w:hAnsi="Sylfaen"/>
          <w:sz w:val="24"/>
          <w:szCs w:val="24"/>
        </w:rPr>
        <w:tab/>
        <w:t>Ճանաչման պետություններում փոխադարձ ճանաչման ընթացակարգով դեղապատրաստուկի փորձաքննությունն իրականացվում է՝</w:t>
      </w:r>
    </w:p>
    <w:p w14:paraId="3F96673A" w14:textId="0D6C3BEC"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դոսյեում ներկայացված </w:t>
      </w:r>
      <w:r w:rsidR="0056496B">
        <w:rPr>
          <w:rFonts w:ascii="Sylfaen" w:hAnsi="Sylfaen"/>
          <w:sz w:val="24"/>
          <w:szCs w:val="24"/>
        </w:rPr>
        <w:t>դիմում</w:t>
      </w:r>
      <w:r w:rsidRPr="00834D52">
        <w:rPr>
          <w:rFonts w:ascii="Sylfaen" w:hAnsi="Sylfaen"/>
          <w:sz w:val="24"/>
          <w:szCs w:val="24"/>
        </w:rPr>
        <w:t xml:space="preserve">ի, փաստաթղթերի </w:t>
      </w:r>
      <w:r w:rsidR="00C54D75">
        <w:rPr>
          <w:rFonts w:ascii="Sylfaen" w:hAnsi="Sylfaen"/>
          <w:sz w:val="24"/>
          <w:szCs w:val="24"/>
        </w:rPr>
        <w:t>և</w:t>
      </w:r>
      <w:r w:rsidRPr="00834D52">
        <w:rPr>
          <w:rFonts w:ascii="Sylfaen" w:hAnsi="Sylfaen"/>
          <w:sz w:val="24"/>
          <w:szCs w:val="24"/>
        </w:rPr>
        <w:t xml:space="preserve"> տեղեկությունների քննության միջոցով,</w:t>
      </w:r>
    </w:p>
    <w:p w14:paraId="0802E50E" w14:textId="12E4901A"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քննության միջոցով։</w:t>
      </w:r>
    </w:p>
    <w:p w14:paraId="6578F0B6" w14:textId="2C430BDA" w:rsidR="00BA6133" w:rsidRPr="006F28F9" w:rsidRDefault="00BA6133" w:rsidP="00BA6133">
      <w:pPr>
        <w:rPr>
          <w:b/>
          <w:bCs/>
          <w:i/>
          <w:iCs/>
        </w:rPr>
      </w:pPr>
      <w:r w:rsidRPr="00CD4709">
        <w:rPr>
          <w:b/>
          <w:bCs/>
          <w:i/>
          <w:iCs/>
        </w:rPr>
        <w:t>(</w:t>
      </w:r>
      <w:r>
        <w:rPr>
          <w:b/>
          <w:bCs/>
          <w:i/>
          <w:iCs/>
        </w:rPr>
        <w:t xml:space="preserve">69-րդ կետը </w:t>
      </w:r>
      <w:r w:rsidRPr="00CD4709">
        <w:rPr>
          <w:b/>
          <w:bCs/>
          <w:i/>
          <w:iCs/>
        </w:rPr>
        <w:t>փոփ. 30.01.20 թիվ 9)</w:t>
      </w:r>
    </w:p>
    <w:p w14:paraId="7219FA69" w14:textId="232A7474"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70.</w:t>
      </w:r>
      <w:r w:rsidRPr="00834D52">
        <w:rPr>
          <w:rFonts w:ascii="Sylfaen" w:hAnsi="Sylfaen"/>
          <w:sz w:val="24"/>
          <w:szCs w:val="24"/>
        </w:rPr>
        <w:tab/>
        <w:t xml:space="preserve">Ճանաչման պետության լիազորված մարմինը (փորձագիտական կազմակերպությունը)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մերժում է փոխադարձ ճանաչման ընթացակարգով դեղապատրաստուկի գրանցման </w:t>
      </w:r>
      <w:r w:rsidR="0056496B">
        <w:rPr>
          <w:rFonts w:ascii="Sylfaen" w:hAnsi="Sylfaen"/>
          <w:sz w:val="24"/>
          <w:szCs w:val="24"/>
        </w:rPr>
        <w:t>դիմում</w:t>
      </w:r>
      <w:r w:rsidRPr="00834D52">
        <w:rPr>
          <w:rFonts w:ascii="Sylfaen" w:hAnsi="Sylfaen"/>
          <w:sz w:val="24"/>
          <w:szCs w:val="24"/>
        </w:rPr>
        <w:t xml:space="preserve">ը՝ սույն Կանոնների պահանջներին դրա անհամապատասխանության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պետության օրենսդրությամբ նախատեսված դեպքերում </w:t>
      </w:r>
      <w:r w:rsidR="00C54D75">
        <w:rPr>
          <w:rFonts w:ascii="Sylfaen" w:hAnsi="Sylfaen"/>
          <w:sz w:val="24"/>
          <w:szCs w:val="24"/>
        </w:rPr>
        <w:t>և</w:t>
      </w:r>
      <w:r w:rsidRPr="00834D52">
        <w:rPr>
          <w:rFonts w:ascii="Sylfaen" w:hAnsi="Sylfaen"/>
          <w:sz w:val="24"/>
          <w:szCs w:val="24"/>
        </w:rPr>
        <w:t xml:space="preserve"> կարգով։</w:t>
      </w:r>
    </w:p>
    <w:p w14:paraId="2EC239D8" w14:textId="09D9131B" w:rsidR="00BA6133" w:rsidRPr="006F28F9" w:rsidRDefault="00BA6133" w:rsidP="00BA6133">
      <w:pPr>
        <w:rPr>
          <w:b/>
          <w:bCs/>
          <w:i/>
          <w:iCs/>
        </w:rPr>
      </w:pPr>
      <w:r w:rsidRPr="00CD4709">
        <w:rPr>
          <w:b/>
          <w:bCs/>
          <w:i/>
          <w:iCs/>
        </w:rPr>
        <w:t>(</w:t>
      </w:r>
      <w:r>
        <w:rPr>
          <w:b/>
          <w:bCs/>
          <w:i/>
          <w:iCs/>
        </w:rPr>
        <w:t xml:space="preserve">70-րդ կետը </w:t>
      </w:r>
      <w:r w:rsidRPr="00CD4709">
        <w:rPr>
          <w:b/>
          <w:bCs/>
          <w:i/>
          <w:iCs/>
        </w:rPr>
        <w:t>փոփ. 30.01.20 թիվ 9)</w:t>
      </w:r>
    </w:p>
    <w:p w14:paraId="69A8946A" w14:textId="67BEB917" w:rsidR="006F76EB" w:rsidRDefault="006F76EB" w:rsidP="00FA536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71.</w:t>
      </w:r>
      <w:r w:rsidRPr="00834D52">
        <w:rPr>
          <w:rFonts w:ascii="Sylfaen" w:hAnsi="Sylfaen"/>
          <w:sz w:val="24"/>
          <w:szCs w:val="24"/>
        </w:rPr>
        <w:tab/>
        <w:t>Փոխադարձ ճանաչման ընթացակարգով դեղապատրաստուկը գրանցելիս ճանաչման պետության լիազորված մարմինը (փորձագիտական կազմակերպությունը) գնահատման վերաբերյալ փորձագիտական հաշվետվության նկատմամբ հասանելիություն ստանալուց հետո ոչ ուշ, քան 50</w:t>
      </w:r>
      <w:r w:rsidR="005D29E7" w:rsidRPr="006955BF">
        <w:rPr>
          <w:rFonts w:ascii="Sylfaen" w:hAnsi="Sylfaen"/>
          <w:sz w:val="24"/>
          <w:szCs w:val="24"/>
        </w:rPr>
        <w:t> </w:t>
      </w:r>
      <w:r w:rsidRPr="00834D52">
        <w:rPr>
          <w:rFonts w:ascii="Sylfaen" w:hAnsi="Sylfaen"/>
          <w:sz w:val="24"/>
          <w:szCs w:val="24"/>
        </w:rPr>
        <w:t xml:space="preserve">օրացուցային օրվա ընթացքում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ուղարկում հարցում՝ սույն Կանոնների թիվ 18 հավելվածի համաձայն սահմանված ձ</w:t>
      </w:r>
      <w:r w:rsidR="00C54D75">
        <w:rPr>
          <w:rFonts w:ascii="Sylfaen" w:hAnsi="Sylfaen"/>
          <w:sz w:val="24"/>
          <w:szCs w:val="24"/>
        </w:rPr>
        <w:t>և</w:t>
      </w:r>
      <w:r w:rsidRPr="00834D52">
        <w:rPr>
          <w:rFonts w:ascii="Sylfaen" w:hAnsi="Sylfaen"/>
          <w:sz w:val="24"/>
          <w:szCs w:val="24"/>
        </w:rPr>
        <w:t>ով ։</w:t>
      </w:r>
    </w:p>
    <w:p w14:paraId="1ACF8FBC" w14:textId="013ECB4E" w:rsidR="00BA6133" w:rsidRPr="006F28F9" w:rsidRDefault="00BA6133" w:rsidP="00BA6133">
      <w:pPr>
        <w:rPr>
          <w:b/>
          <w:bCs/>
          <w:i/>
          <w:iCs/>
        </w:rPr>
      </w:pPr>
      <w:r w:rsidRPr="00CD4709">
        <w:rPr>
          <w:b/>
          <w:bCs/>
          <w:i/>
          <w:iCs/>
        </w:rPr>
        <w:t>(</w:t>
      </w:r>
      <w:r>
        <w:rPr>
          <w:b/>
          <w:bCs/>
          <w:i/>
          <w:iCs/>
        </w:rPr>
        <w:t xml:space="preserve">71-րդ կետը </w:t>
      </w:r>
      <w:r w:rsidRPr="00CD4709">
        <w:rPr>
          <w:b/>
          <w:bCs/>
          <w:i/>
          <w:iCs/>
        </w:rPr>
        <w:t>փոփ. 30.01.20 թիվ 9)</w:t>
      </w:r>
    </w:p>
    <w:p w14:paraId="03529388" w14:textId="610A304C" w:rsidR="006F76EB" w:rsidRDefault="006F76EB" w:rsidP="00FA5363">
      <w:pPr>
        <w:tabs>
          <w:tab w:val="left" w:pos="1134"/>
        </w:tabs>
        <w:spacing w:after="160" w:line="384" w:lineRule="auto"/>
        <w:ind w:right="-8" w:firstLine="567"/>
        <w:jc w:val="both"/>
        <w:rPr>
          <w:rFonts w:ascii="Sylfaen" w:hAnsi="Sylfaen"/>
          <w:sz w:val="24"/>
          <w:szCs w:val="24"/>
        </w:rPr>
      </w:pPr>
      <w:r w:rsidRPr="00834D52">
        <w:rPr>
          <w:rFonts w:ascii="Sylfaen" w:hAnsi="Sylfaen"/>
          <w:sz w:val="24"/>
          <w:szCs w:val="24"/>
        </w:rPr>
        <w:t>72.</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հարցման պատասխանն ուղարկում է ճանաչման պետության լիազորված մարմին (փորձագիտական կազմակերպություն) 90</w:t>
      </w:r>
      <w:r w:rsidR="00B90C69" w:rsidRPr="007D0283">
        <w:rPr>
          <w:rFonts w:ascii="Sylfaen" w:hAnsi="Sylfaen"/>
          <w:sz w:val="24"/>
          <w:szCs w:val="24"/>
        </w:rPr>
        <w:t> </w:t>
      </w:r>
      <w:r w:rsidRPr="00834D52">
        <w:rPr>
          <w:rFonts w:ascii="Sylfaen" w:hAnsi="Sylfaen"/>
          <w:sz w:val="24"/>
          <w:szCs w:val="24"/>
        </w:rPr>
        <w:t xml:space="preserve">օրացուցային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 հարցմանը պատասխանելու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ընդհանուր ժամկետի մեջ։ </w:t>
      </w:r>
      <w:r w:rsidR="0056496B">
        <w:rPr>
          <w:rFonts w:ascii="Sylfaen" w:hAnsi="Sylfaen"/>
          <w:sz w:val="24"/>
          <w:szCs w:val="24"/>
        </w:rPr>
        <w:t>Դիմումատու</w:t>
      </w:r>
      <w:r w:rsidRPr="00834D52">
        <w:rPr>
          <w:rFonts w:ascii="Sylfaen" w:hAnsi="Sylfaen"/>
          <w:sz w:val="24"/>
          <w:szCs w:val="24"/>
        </w:rPr>
        <w:t xml:space="preserve">ի պատասխանը ստանալու պահից 5 աշխատանքային օրվա ընթացքում ճանաչման պետության լիազորված մարմինը (փորձագիտական կազմակերպությունը) ինտեգրված համակարգի միջոցով ապահովում է դրա նկատմամբ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հասանելիությունը։</w:t>
      </w:r>
    </w:p>
    <w:p w14:paraId="5EEBBFF5" w14:textId="275F9479" w:rsidR="00BA6133" w:rsidRPr="006F28F9" w:rsidRDefault="00BA6133" w:rsidP="00BA6133">
      <w:pPr>
        <w:rPr>
          <w:b/>
          <w:bCs/>
          <w:i/>
          <w:iCs/>
        </w:rPr>
      </w:pPr>
      <w:r w:rsidRPr="00CD4709">
        <w:rPr>
          <w:b/>
          <w:bCs/>
          <w:i/>
          <w:iCs/>
        </w:rPr>
        <w:t>(</w:t>
      </w:r>
      <w:r>
        <w:rPr>
          <w:b/>
          <w:bCs/>
          <w:i/>
          <w:iCs/>
        </w:rPr>
        <w:t xml:space="preserve">72-րդ կետը </w:t>
      </w:r>
      <w:r w:rsidRPr="00CD4709">
        <w:rPr>
          <w:b/>
          <w:bCs/>
          <w:i/>
          <w:iCs/>
        </w:rPr>
        <w:t>փոփ. 30.01.20 թիվ 9)</w:t>
      </w:r>
    </w:p>
    <w:p w14:paraId="11F286E6" w14:textId="18CFB71B"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73.</w:t>
      </w:r>
      <w:r w:rsidRPr="00834D52">
        <w:rPr>
          <w:rFonts w:ascii="Sylfaen" w:hAnsi="Sylfaen"/>
          <w:sz w:val="24"/>
          <w:szCs w:val="24"/>
        </w:rPr>
        <w:tab/>
        <w:t xml:space="preserve">Ճանաչման պետության լիազորված մարմնի (փորձագիտական կազմակերպության) պահանջած փաստաթղթերն ու տեղեկությունները </w:t>
      </w:r>
      <w:r w:rsidR="0056496B">
        <w:rPr>
          <w:rFonts w:ascii="Sylfaen" w:hAnsi="Sylfaen"/>
          <w:sz w:val="24"/>
          <w:szCs w:val="24"/>
        </w:rPr>
        <w:t>դիմումատու</w:t>
      </w:r>
      <w:r w:rsidRPr="00834D52">
        <w:rPr>
          <w:rFonts w:ascii="Sylfaen" w:hAnsi="Sylfaen"/>
          <w:sz w:val="24"/>
          <w:szCs w:val="24"/>
        </w:rPr>
        <w:t>ի կողմից սահմանված ժամկետում չներկայացնելու դեպքում ճանաչման տվյալ պետությունում դեղապատրաստուկի փորձաքննությունն ու գրանցումը դադարեցվում է։</w:t>
      </w:r>
    </w:p>
    <w:p w14:paraId="73B055C8" w14:textId="17D2828E" w:rsidR="00BA6133" w:rsidRPr="006F28F9" w:rsidRDefault="00BA6133" w:rsidP="00BA6133">
      <w:pPr>
        <w:rPr>
          <w:b/>
          <w:bCs/>
          <w:i/>
          <w:iCs/>
        </w:rPr>
      </w:pPr>
      <w:r w:rsidRPr="00CD4709">
        <w:rPr>
          <w:b/>
          <w:bCs/>
          <w:i/>
          <w:iCs/>
        </w:rPr>
        <w:t>(</w:t>
      </w:r>
      <w:r>
        <w:rPr>
          <w:b/>
          <w:bCs/>
          <w:i/>
          <w:iCs/>
        </w:rPr>
        <w:t xml:space="preserve">73-րդ կետը </w:t>
      </w:r>
      <w:r w:rsidRPr="00CD4709">
        <w:rPr>
          <w:b/>
          <w:bCs/>
          <w:i/>
          <w:iCs/>
        </w:rPr>
        <w:t>փոփ. 30.01.20 թիվ 9)</w:t>
      </w:r>
    </w:p>
    <w:p w14:paraId="202DEBC4" w14:textId="01E73B36" w:rsidR="006F76EB" w:rsidRDefault="006F76EB" w:rsidP="00143A1A">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74.</w:t>
      </w:r>
      <w:r w:rsidRPr="00834D52">
        <w:rPr>
          <w:rFonts w:ascii="Sylfaen" w:hAnsi="Sylfaen"/>
          <w:sz w:val="24"/>
          <w:szCs w:val="24"/>
        </w:rPr>
        <w:tab/>
        <w:t xml:space="preserve">Լիազորված մարմնի </w:t>
      </w:r>
      <w:r w:rsidR="00C54D75">
        <w:rPr>
          <w:rFonts w:ascii="Sylfaen" w:hAnsi="Sylfaen"/>
          <w:sz w:val="24"/>
          <w:szCs w:val="24"/>
        </w:rPr>
        <w:t>և</w:t>
      </w:r>
      <w:r w:rsidRPr="00834D52">
        <w:rPr>
          <w:rFonts w:ascii="Sylfaen" w:hAnsi="Sylfaen"/>
          <w:sz w:val="24"/>
          <w:szCs w:val="24"/>
        </w:rPr>
        <w:t xml:space="preserve"> (կամ) փորձագիտական կազմակերպության կայացրած որոշման մասին </w:t>
      </w:r>
      <w:r w:rsidR="0056496B">
        <w:rPr>
          <w:rFonts w:ascii="Sylfaen" w:hAnsi="Sylfaen"/>
          <w:sz w:val="24"/>
          <w:szCs w:val="24"/>
        </w:rPr>
        <w:t>դիմումատու</w:t>
      </w:r>
      <w:r w:rsidRPr="00834D52">
        <w:rPr>
          <w:rFonts w:ascii="Sylfaen" w:hAnsi="Sylfaen"/>
          <w:sz w:val="24"/>
          <w:szCs w:val="24"/>
        </w:rPr>
        <w:t xml:space="preserve">ն ծանուցվում է որոշումը կայացնելու </w:t>
      </w:r>
      <w:r w:rsidRPr="00834D52">
        <w:rPr>
          <w:rFonts w:ascii="Sylfaen" w:hAnsi="Sylfaen"/>
          <w:sz w:val="24"/>
          <w:szCs w:val="24"/>
        </w:rPr>
        <w:lastRenderedPageBreak/>
        <w:t xml:space="preserve">օրվանից 10 աշխատանքային օրվա ընթացքում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w:t>
      </w:r>
    </w:p>
    <w:p w14:paraId="1ED72DE2" w14:textId="7E147C44" w:rsidR="00BA6133" w:rsidRPr="006F28F9" w:rsidRDefault="00BA6133" w:rsidP="00BA6133">
      <w:pPr>
        <w:rPr>
          <w:b/>
          <w:bCs/>
          <w:i/>
          <w:iCs/>
        </w:rPr>
      </w:pPr>
      <w:r w:rsidRPr="00CD4709">
        <w:rPr>
          <w:b/>
          <w:bCs/>
          <w:i/>
          <w:iCs/>
        </w:rPr>
        <w:t>(</w:t>
      </w:r>
      <w:r>
        <w:rPr>
          <w:b/>
          <w:bCs/>
          <w:i/>
          <w:iCs/>
        </w:rPr>
        <w:t xml:space="preserve">74-րդ կետը </w:t>
      </w:r>
      <w:r w:rsidRPr="00CD4709">
        <w:rPr>
          <w:b/>
          <w:bCs/>
          <w:i/>
          <w:iCs/>
        </w:rPr>
        <w:t>փոփ. 30.01.20 թիվ 9)</w:t>
      </w:r>
    </w:p>
    <w:p w14:paraId="1CBA9041" w14:textId="72F03A5B" w:rsidR="006F76EB" w:rsidRDefault="006F76EB" w:rsidP="00143A1A">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75.</w:t>
      </w:r>
      <w:r w:rsidRPr="00834D52">
        <w:rPr>
          <w:rFonts w:ascii="Sylfaen" w:hAnsi="Sylfaen"/>
          <w:sz w:val="24"/>
          <w:szCs w:val="24"/>
        </w:rPr>
        <w:tab/>
        <w:t xml:space="preserve">Դեղապատրաստուկի փորձաքննության անցկացման արդյունքներով ճանաչման պետության լիազորված մարմինը (փորձագիտական կազմակերպությունը) դեղապատրաստուկի գրանցման </w:t>
      </w:r>
      <w:r w:rsidR="0056496B">
        <w:rPr>
          <w:rFonts w:ascii="Sylfaen" w:hAnsi="Sylfaen"/>
          <w:sz w:val="24"/>
          <w:szCs w:val="24"/>
        </w:rPr>
        <w:t>դիմում</w:t>
      </w:r>
      <w:r w:rsidRPr="00834D52">
        <w:rPr>
          <w:rFonts w:ascii="Sylfaen" w:hAnsi="Sylfaen"/>
          <w:sz w:val="24"/>
          <w:szCs w:val="24"/>
        </w:rPr>
        <w:t>ը ճանաչման պետություն ներկայացնելու օրվանից 50 օրացուցային օրը չգերազանցող ժամկետում (</w:t>
      </w:r>
      <w:r w:rsidR="0056496B">
        <w:rPr>
          <w:rFonts w:ascii="Sylfaen" w:hAnsi="Sylfaen"/>
          <w:sz w:val="24"/>
          <w:szCs w:val="24"/>
        </w:rPr>
        <w:t>դիմումատու</w:t>
      </w:r>
      <w:r w:rsidRPr="00834D52">
        <w:rPr>
          <w:rFonts w:ascii="Sylfaen" w:hAnsi="Sylfaen"/>
          <w:sz w:val="24"/>
          <w:szCs w:val="24"/>
        </w:rPr>
        <w:t xml:space="preserve">ին ուղղված հարցումների բացակայության դեպքում) կամ ճանաչման պետության լիազորված մարմնի (փորձագիտական կազմակերպության) կողմից </w:t>
      </w:r>
      <w:r w:rsidR="0056496B">
        <w:rPr>
          <w:rFonts w:ascii="Sylfaen" w:hAnsi="Sylfaen"/>
          <w:sz w:val="24"/>
          <w:szCs w:val="24"/>
        </w:rPr>
        <w:t>դիմումատու</w:t>
      </w:r>
      <w:r w:rsidRPr="00834D52">
        <w:rPr>
          <w:rFonts w:ascii="Sylfaen" w:hAnsi="Sylfaen"/>
          <w:sz w:val="24"/>
          <w:szCs w:val="24"/>
        </w:rPr>
        <w:t xml:space="preserve">ին ուղարկված հարցման պատասխանը ստանալու օրվանից 20 օրացուցային օրը չգերազանցող ժամկետում ինտեգրված համակարգի օգտագործմամբ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գնահատման վերաբերյալ փորձագիտական հաշվետվության ճանաչման հնարավոր կամ անհնարին լինելու մասին </w:t>
      </w:r>
      <w:r w:rsidR="009F49FE">
        <w:rPr>
          <w:rFonts w:ascii="Sylfaen" w:hAnsi="Sylfaen"/>
          <w:sz w:val="24"/>
          <w:szCs w:val="24"/>
        </w:rPr>
        <w:t xml:space="preserve">ռեֆերենտ </w:t>
      </w:r>
      <w:r w:rsidRPr="00834D52">
        <w:rPr>
          <w:rFonts w:ascii="Sylfaen" w:hAnsi="Sylfaen"/>
          <w:sz w:val="24"/>
          <w:szCs w:val="24"/>
        </w:rPr>
        <w:t xml:space="preserve">պետության կողմից պատրաստված եզրակացություն։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ստացված եզրակացության մասին տեղեկացնում է </w:t>
      </w:r>
      <w:r w:rsidR="0056496B">
        <w:rPr>
          <w:rFonts w:ascii="Sylfaen" w:hAnsi="Sylfaen"/>
          <w:sz w:val="24"/>
          <w:szCs w:val="24"/>
        </w:rPr>
        <w:t>դիմումատու</w:t>
      </w:r>
      <w:r w:rsidRPr="00834D52">
        <w:rPr>
          <w:rFonts w:ascii="Sylfaen" w:hAnsi="Sylfaen"/>
          <w:sz w:val="24"/>
          <w:szCs w:val="24"/>
        </w:rPr>
        <w:t>ին։</w:t>
      </w:r>
    </w:p>
    <w:p w14:paraId="04FBA66E" w14:textId="17AE278C" w:rsidR="00BA6133" w:rsidRPr="006F28F9" w:rsidRDefault="00BA6133" w:rsidP="00BA6133">
      <w:pPr>
        <w:rPr>
          <w:b/>
          <w:bCs/>
          <w:i/>
          <w:iCs/>
        </w:rPr>
      </w:pPr>
      <w:r w:rsidRPr="00CD4709">
        <w:rPr>
          <w:b/>
          <w:bCs/>
          <w:i/>
          <w:iCs/>
        </w:rPr>
        <w:t>(</w:t>
      </w:r>
      <w:r>
        <w:rPr>
          <w:b/>
          <w:bCs/>
          <w:i/>
          <w:iCs/>
        </w:rPr>
        <w:t xml:space="preserve">75-րդ կետը </w:t>
      </w:r>
      <w:r w:rsidRPr="00CD4709">
        <w:rPr>
          <w:b/>
          <w:bCs/>
          <w:i/>
          <w:iCs/>
        </w:rPr>
        <w:t>փոփ. 30.01.20 թիվ 9)</w:t>
      </w:r>
    </w:p>
    <w:p w14:paraId="3C3CBD1E" w14:textId="77777777" w:rsidR="006F76EB" w:rsidRPr="00834D52" w:rsidRDefault="006F76EB" w:rsidP="00143A1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76.</w:t>
      </w:r>
      <w:r w:rsidRPr="00834D52">
        <w:rPr>
          <w:rFonts w:ascii="Sylfaen" w:hAnsi="Sylfaen"/>
          <w:sz w:val="24"/>
          <w:szCs w:val="24"/>
        </w:rPr>
        <w:tab/>
        <w:t>Եթե դեղապատրաստուկի փորձաքննության անցկացման արդյունքներով ճանաչման պետության լիազորված մարմինը կայացնում է դեղապատրաստուկի գրանցման վերաբերյալ դրական որոշում, ապա ճանաչման պետության լիազորված մարմինը ոչ ուշ, քան 10 աշխատանքային օրվա ընթացքում՝</w:t>
      </w:r>
    </w:p>
    <w:p w14:paraId="013007E3" w14:textId="2C8D157D" w:rsidR="006F76EB" w:rsidRPr="00834D52" w:rsidRDefault="006F76EB" w:rsidP="00143A1A">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w:t>
      </w:r>
      <w:r w:rsidRPr="00834D52">
        <w:rPr>
          <w:rFonts w:ascii="Sylfaen" w:hAnsi="Sylfaen"/>
          <w:spacing w:val="-4"/>
          <w:sz w:val="24"/>
          <w:szCs w:val="24"/>
        </w:rPr>
        <w:tab/>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հավաստագիր՝ սույն Կանոնների թիվ 17 հավելվածի համաձայն սահմանված ձ</w:t>
      </w:r>
      <w:r w:rsidR="00C54D75">
        <w:rPr>
          <w:rFonts w:ascii="Sylfaen" w:hAnsi="Sylfaen"/>
          <w:spacing w:val="-4"/>
          <w:sz w:val="24"/>
          <w:szCs w:val="24"/>
        </w:rPr>
        <w:t>և</w:t>
      </w:r>
      <w:r w:rsidRPr="00834D52">
        <w:rPr>
          <w:rFonts w:ascii="Sylfaen" w:hAnsi="Sylfaen"/>
          <w:spacing w:val="-4"/>
          <w:sz w:val="24"/>
          <w:szCs w:val="24"/>
        </w:rPr>
        <w:t>ով, ինչպես նա</w:t>
      </w:r>
      <w:r w:rsidR="00C54D75">
        <w:rPr>
          <w:rFonts w:ascii="Sylfaen" w:hAnsi="Sylfaen"/>
          <w:spacing w:val="-4"/>
          <w:sz w:val="24"/>
          <w:szCs w:val="24"/>
        </w:rPr>
        <w:t>և</w:t>
      </w:r>
      <w:r w:rsidRPr="00834D52">
        <w:rPr>
          <w:rFonts w:ascii="Sylfaen" w:hAnsi="Sylfaen"/>
          <w:spacing w:val="-4"/>
          <w:sz w:val="24"/>
          <w:szCs w:val="24"/>
        </w:rPr>
        <w:t xml:space="preserve"> ճանաչման պետության օրենսդրության մեջ համապատասխան պահանջների առկայության դեպքում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հրահանգները, փաթեթվածքների մանրակերտերը՝ ճանաչման պետության պետական լեզվով,</w:t>
      </w:r>
    </w:p>
    <w:p w14:paraId="2AAB36BB"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համաձայնեցնում է </w:t>
      </w:r>
      <w:r w:rsidR="009F49FE">
        <w:rPr>
          <w:rFonts w:ascii="Sylfaen" w:hAnsi="Sylfaen"/>
          <w:sz w:val="24"/>
          <w:szCs w:val="24"/>
        </w:rPr>
        <w:t xml:space="preserve">ռեֆերենտ </w:t>
      </w:r>
      <w:r w:rsidRPr="00834D52">
        <w:rPr>
          <w:rFonts w:ascii="Sylfaen" w:hAnsi="Sylfaen"/>
          <w:sz w:val="24"/>
          <w:szCs w:val="24"/>
        </w:rPr>
        <w:t>պետության կողմից տրված որակի վերաբերյալ նորմատիվ փաստաթուղթը,</w:t>
      </w:r>
    </w:p>
    <w:p w14:paraId="055F5E4F" w14:textId="0F2FF3DD"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միասնական ռեեստրում տեղադրում է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դեղապատրաստուկի կիրառման ժամանակ ռիսկերի կառավարման համաձայնեցված պլանը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3DAB1C22" w14:textId="30ED29E9" w:rsidR="00BA6133" w:rsidRPr="006F28F9" w:rsidRDefault="00BA6133" w:rsidP="00BA6133">
      <w:pPr>
        <w:rPr>
          <w:b/>
          <w:bCs/>
          <w:i/>
          <w:iCs/>
        </w:rPr>
      </w:pPr>
      <w:r w:rsidRPr="00CD4709">
        <w:rPr>
          <w:b/>
          <w:bCs/>
          <w:i/>
          <w:iCs/>
        </w:rPr>
        <w:t>(</w:t>
      </w:r>
      <w:r>
        <w:rPr>
          <w:b/>
          <w:bCs/>
          <w:i/>
          <w:iCs/>
        </w:rPr>
        <w:t xml:space="preserve">76-րդ կետը </w:t>
      </w:r>
      <w:r w:rsidRPr="00CD4709">
        <w:rPr>
          <w:b/>
          <w:bCs/>
          <w:i/>
          <w:iCs/>
        </w:rPr>
        <w:t>փոփ. 30.01.20 թիվ 9)</w:t>
      </w:r>
    </w:p>
    <w:p w14:paraId="36B1A86C"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77.</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w:t>
      </w:r>
      <w:r w:rsidR="009F49FE">
        <w:rPr>
          <w:rFonts w:ascii="Sylfaen" w:hAnsi="Sylfaen"/>
          <w:sz w:val="24"/>
          <w:szCs w:val="24"/>
        </w:rPr>
        <w:t xml:space="preserve">ռեֆերենտ </w:t>
      </w:r>
      <w:r w:rsidRPr="00834D52">
        <w:rPr>
          <w:rFonts w:ascii="Sylfaen" w:hAnsi="Sylfaen"/>
          <w:sz w:val="24"/>
          <w:szCs w:val="24"/>
        </w:rPr>
        <w:t>պետության կողմից սահմանված գործողության ժամկետով։</w:t>
      </w:r>
    </w:p>
    <w:p w14:paraId="5896FD67" w14:textId="156DA870"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78.</w:t>
      </w:r>
      <w:r w:rsidRPr="00834D52">
        <w:rPr>
          <w:rFonts w:ascii="Sylfaen" w:hAnsi="Sylfaen"/>
          <w:sz w:val="24"/>
          <w:szCs w:val="24"/>
        </w:rPr>
        <w:tab/>
        <w:t xml:space="preserve">Գրանցման առաջնային </w:t>
      </w:r>
      <w:r w:rsidR="0056496B">
        <w:rPr>
          <w:rFonts w:ascii="Sylfaen" w:hAnsi="Sylfaen"/>
          <w:sz w:val="24"/>
          <w:szCs w:val="24"/>
        </w:rPr>
        <w:t>դիմում</w:t>
      </w:r>
      <w:r w:rsidRPr="00834D52">
        <w:rPr>
          <w:rFonts w:ascii="Sylfaen" w:hAnsi="Sylfaen"/>
          <w:sz w:val="24"/>
          <w:szCs w:val="24"/>
        </w:rPr>
        <w:t>ի մեջ որպես ճանաչման պետություն չնշված այլ անդամ պետություններում, ինչպես նա</w:t>
      </w:r>
      <w:r w:rsidR="00C54D75">
        <w:rPr>
          <w:rFonts w:ascii="Sylfaen" w:hAnsi="Sylfaen"/>
          <w:sz w:val="24"/>
          <w:szCs w:val="24"/>
        </w:rPr>
        <w:t>և</w:t>
      </w:r>
      <w:r w:rsidRPr="00834D52">
        <w:rPr>
          <w:rFonts w:ascii="Sylfaen" w:hAnsi="Sylfaen"/>
          <w:sz w:val="24"/>
          <w:szCs w:val="24"/>
        </w:rPr>
        <w:t xml:space="preserve"> դեղապատրաստուկի գրանցումից հետո Միությանը միացած պետություններում սույն Կանոններին համապատասխան գրանցված դեղապատրաստուկի գրանցումն իրականացվում է փոխադարձ ճանաչման ընթացակարգով՝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գործող խմբագրության քննության հիման վրա։</w:t>
      </w:r>
    </w:p>
    <w:p w14:paraId="2AE38D88" w14:textId="3EEA747F" w:rsidR="00BA6133" w:rsidRPr="006F28F9" w:rsidRDefault="00BA6133" w:rsidP="00BA6133">
      <w:pPr>
        <w:rPr>
          <w:b/>
          <w:bCs/>
          <w:i/>
          <w:iCs/>
        </w:rPr>
      </w:pPr>
      <w:r w:rsidRPr="00CD4709">
        <w:rPr>
          <w:b/>
          <w:bCs/>
          <w:i/>
          <w:iCs/>
        </w:rPr>
        <w:t>(</w:t>
      </w:r>
      <w:r>
        <w:rPr>
          <w:b/>
          <w:bCs/>
          <w:i/>
          <w:iCs/>
        </w:rPr>
        <w:t xml:space="preserve">78-րդ կետը </w:t>
      </w:r>
      <w:r w:rsidRPr="00CD4709">
        <w:rPr>
          <w:b/>
          <w:bCs/>
          <w:i/>
          <w:iCs/>
        </w:rPr>
        <w:t>փոփ. 30.01.20 թիվ 9)</w:t>
      </w:r>
    </w:p>
    <w:p w14:paraId="33844990" w14:textId="73FCA688"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79.</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դեղապատրաստուկի գրանցման ընթացակարգին մասնակցող այլ ճանաչման պետությունների լիազորված մարմին (փորձագիտական կազմակերպություն), Փորձագիտական կոմիտե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տվյալ փորձագիտական հաշվետվության ճանաչման անհնարինության մասին եզրակացությունը՝ նշելով հետ</w:t>
      </w:r>
      <w:r w:rsidR="00C54D75">
        <w:rPr>
          <w:rFonts w:ascii="Sylfaen" w:hAnsi="Sylfaen"/>
          <w:sz w:val="24"/>
          <w:szCs w:val="24"/>
        </w:rPr>
        <w:t>և</w:t>
      </w:r>
      <w:r w:rsidRPr="00834D52">
        <w:rPr>
          <w:rFonts w:ascii="Sylfaen" w:hAnsi="Sylfaen"/>
          <w:sz w:val="24"/>
          <w:szCs w:val="24"/>
        </w:rPr>
        <w:t>յալ պատճառները՝</w:t>
      </w:r>
    </w:p>
    <w:p w14:paraId="7506D76D"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w:t>
      </w:r>
      <w:r w:rsidRPr="00834D52">
        <w:rPr>
          <w:rFonts w:ascii="Sylfaen" w:hAnsi="Sylfaen"/>
          <w:sz w:val="24"/>
          <w:szCs w:val="24"/>
        </w:rPr>
        <w:tab/>
        <w:t>դեղապաստրաստուկի կիրառման հետ կապված հնարավոր ռիսկերի նկատմամբ ակնկալվող օգուտի հարաբերակցությունը բարենպաստ չէ,</w:t>
      </w:r>
    </w:p>
    <w:p w14:paraId="228360B1" w14:textId="5AAB3B75" w:rsidR="006F76EB" w:rsidRPr="00931D34" w:rsidRDefault="006F76EB" w:rsidP="006F76EB">
      <w:pPr>
        <w:tabs>
          <w:tab w:val="left" w:pos="1134"/>
        </w:tabs>
        <w:spacing w:after="160" w:line="336" w:lineRule="auto"/>
        <w:ind w:right="-6" w:firstLine="567"/>
        <w:jc w:val="both"/>
        <w:rPr>
          <w:rFonts w:ascii="Sylfaen" w:eastAsia="Times New Roman" w:hAnsi="Sylfaen" w:cs="Times New Roman"/>
          <w:spacing w:val="-6"/>
          <w:sz w:val="24"/>
          <w:szCs w:val="24"/>
        </w:rPr>
      </w:pPr>
      <w:r w:rsidRPr="00834D52">
        <w:rPr>
          <w:rFonts w:ascii="Sylfaen" w:hAnsi="Sylfaen"/>
          <w:sz w:val="24"/>
          <w:szCs w:val="24"/>
        </w:rPr>
        <w:t>բ</w:t>
      </w:r>
      <w:r w:rsidRPr="00931D34">
        <w:rPr>
          <w:rFonts w:ascii="Sylfaen" w:hAnsi="Sylfaen"/>
          <w:spacing w:val="-6"/>
          <w:sz w:val="24"/>
          <w:szCs w:val="24"/>
        </w:rPr>
        <w:t>)</w:t>
      </w:r>
      <w:r w:rsidRPr="00931D34">
        <w:rPr>
          <w:rFonts w:ascii="Sylfaen" w:hAnsi="Sylfaen"/>
          <w:spacing w:val="-6"/>
          <w:sz w:val="24"/>
          <w:szCs w:val="24"/>
        </w:rPr>
        <w:tab/>
      </w:r>
      <w:r w:rsidR="0056496B">
        <w:rPr>
          <w:rFonts w:ascii="Sylfaen" w:hAnsi="Sylfaen"/>
          <w:spacing w:val="-6"/>
          <w:sz w:val="24"/>
          <w:szCs w:val="24"/>
        </w:rPr>
        <w:t>դիմումատու</w:t>
      </w:r>
      <w:r w:rsidRPr="00931D34">
        <w:rPr>
          <w:rFonts w:ascii="Sylfaen" w:hAnsi="Sylfaen"/>
          <w:spacing w:val="-6"/>
          <w:sz w:val="24"/>
          <w:szCs w:val="24"/>
        </w:rPr>
        <w:t>ն չի ապացուցել դեղապատրաստուկի արդյունավետությունը,</w:t>
      </w:r>
    </w:p>
    <w:p w14:paraId="252135F4" w14:textId="77777777"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61F8858" w14:textId="19BDF6FA"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02BE3C03" w14:textId="4383F44B"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t xml:space="preserve">նշանակված տեսչական ստուգման արդյունքներով դեղապատրաստուկի գրանցման ժամանակահատվածում </w:t>
      </w:r>
      <w:r w:rsidR="00FE4A71">
        <w:rPr>
          <w:rFonts w:ascii="Sylfaen" w:hAnsi="Sylfaen"/>
          <w:sz w:val="24"/>
          <w:szCs w:val="24"/>
        </w:rPr>
        <w:t xml:space="preserve">հայտնաբերվել </w:t>
      </w:r>
      <w:r w:rsidRPr="00834D52">
        <w:rPr>
          <w:rFonts w:ascii="Sylfaen" w:hAnsi="Sylfaen"/>
          <w:sz w:val="24"/>
          <w:szCs w:val="24"/>
        </w:rPr>
        <w:t xml:space="preserve"> է Միության պատշաճ դեղագործական գործելակերպերին կրիտիկական անհամապատասխանություն։</w:t>
      </w:r>
    </w:p>
    <w:p w14:paraId="383FB804" w14:textId="0A98B778" w:rsidR="00BA6133" w:rsidRPr="006F28F9" w:rsidRDefault="00BA6133" w:rsidP="00BA6133">
      <w:pPr>
        <w:rPr>
          <w:b/>
          <w:bCs/>
          <w:i/>
          <w:iCs/>
        </w:rPr>
      </w:pPr>
      <w:r w:rsidRPr="00CD4709">
        <w:rPr>
          <w:b/>
          <w:bCs/>
          <w:i/>
          <w:iCs/>
        </w:rPr>
        <w:t>(</w:t>
      </w:r>
      <w:r>
        <w:rPr>
          <w:b/>
          <w:bCs/>
          <w:i/>
          <w:iCs/>
        </w:rPr>
        <w:t xml:space="preserve">79-րդ կետը </w:t>
      </w:r>
      <w:r w:rsidRPr="00CD4709">
        <w:rPr>
          <w:b/>
          <w:bCs/>
          <w:i/>
          <w:iCs/>
        </w:rPr>
        <w:t>փոփ. 30.01.20 թիվ 9)</w:t>
      </w:r>
    </w:p>
    <w:p w14:paraId="571100BA"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80.</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իրականացնում է տարաձայնությունների քննության ընթացակարգ՝ Հանձնաժողովի կողմից սահմանված կարգին համապատասխան։</w:t>
      </w:r>
    </w:p>
    <w:p w14:paraId="4255BDE8"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81.</w:t>
      </w:r>
      <w:r w:rsidRPr="00834D52">
        <w:rPr>
          <w:rFonts w:ascii="Sylfaen" w:hAnsi="Sylfaen"/>
          <w:sz w:val="24"/>
          <w:szCs w:val="24"/>
        </w:rPr>
        <w:tab/>
        <w:t xml:space="preserve">Ճանաչման պետության լիազորված մարմինը մերժում է դեղապատրաստուկի 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բավարար համարվել դեղապատրաստուկի որակի </w:t>
      </w:r>
      <w:r w:rsidR="00C54D75">
        <w:rPr>
          <w:rFonts w:ascii="Sylfaen" w:hAnsi="Sylfaen"/>
          <w:sz w:val="24"/>
          <w:szCs w:val="24"/>
        </w:rPr>
        <w:t>և</w:t>
      </w:r>
      <w:r w:rsidRPr="00834D52">
        <w:rPr>
          <w:rFonts w:ascii="Sylfaen" w:hAnsi="Sylfaen"/>
          <w:sz w:val="24"/>
          <w:szCs w:val="24"/>
        </w:rPr>
        <w:t xml:space="preserve"> (կամ) արդյունավետության </w:t>
      </w:r>
      <w:r w:rsidR="00C54D75">
        <w:rPr>
          <w:rFonts w:ascii="Sylfaen" w:hAnsi="Sylfaen"/>
          <w:sz w:val="24"/>
          <w:szCs w:val="24"/>
        </w:rPr>
        <w:t>և</w:t>
      </w:r>
      <w:r w:rsidRPr="00834D52">
        <w:rPr>
          <w:rFonts w:ascii="Sylfaen" w:hAnsi="Sylfaen"/>
          <w:sz w:val="24"/>
          <w:szCs w:val="24"/>
        </w:rPr>
        <w:t xml:space="preserve"> (կամ) օգուտ</w:t>
      </w:r>
      <w:r w:rsidRPr="008341C7">
        <w:rPr>
          <w:rFonts w:ascii="Sylfaen" w:hAnsi="Sylfaen"/>
          <w:sz w:val="24"/>
          <w:szCs w:val="24"/>
        </w:rPr>
        <w:t>-</w:t>
      </w:r>
      <w:r w:rsidRPr="00834D52">
        <w:rPr>
          <w:rFonts w:ascii="Sylfaen" w:hAnsi="Sylfaen"/>
          <w:sz w:val="24"/>
          <w:szCs w:val="24"/>
        </w:rPr>
        <w:t>ռիսկ բարենպաստ հարաբերակցության հաստատման համար։</w:t>
      </w:r>
    </w:p>
    <w:p w14:paraId="6E63520F" w14:textId="6F3A474B" w:rsidR="006F76EB" w:rsidRPr="00834D52" w:rsidRDefault="006F76EB" w:rsidP="006F76E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82.</w:t>
      </w:r>
      <w:r w:rsidRPr="00834D52">
        <w:rPr>
          <w:rFonts w:ascii="Sylfaen" w:hAnsi="Sylfaen"/>
          <w:sz w:val="24"/>
          <w:szCs w:val="24"/>
        </w:rPr>
        <w:tab/>
        <w:t>Գնահատման վերաբերյալ փորձագիտական հաշվետվության ճանաչման մասով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w:t>
      </w:r>
      <w:r w:rsidRPr="00834D52">
        <w:rPr>
          <w:rFonts w:ascii="Sylfaen" w:hAnsi="Sylfaen"/>
          <w:sz w:val="24"/>
          <w:szCs w:val="24"/>
        </w:rPr>
        <w:lastRenderedPageBreak/>
        <w:t xml:space="preserve">առկայության </w:t>
      </w:r>
      <w:r w:rsidR="00C54D75">
        <w:rPr>
          <w:rFonts w:ascii="Sylfaen" w:hAnsi="Sylfaen"/>
          <w:sz w:val="24"/>
          <w:szCs w:val="24"/>
        </w:rPr>
        <w:t>և</w:t>
      </w:r>
      <w:r w:rsidRPr="00834D52">
        <w:rPr>
          <w:rFonts w:ascii="Sylfaen" w:hAnsi="Sylfaen"/>
          <w:sz w:val="24"/>
          <w:szCs w:val="24"/>
        </w:rPr>
        <w:t xml:space="preserve"> Փորձագիտական կոմիտեի կողմից դրանց քննության դեպքում ճանաչման պետության այն լիազորված մարմինը, որը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մասին կայացրել է դրական որոշում, տրամադրում է գրանցման հավաստագիր, հաստատված ԴՊԸԲ</w:t>
      </w:r>
      <w:r w:rsidRPr="008341C7">
        <w:rPr>
          <w:rFonts w:ascii="Sylfaen" w:hAnsi="Sylfaen"/>
          <w:sz w:val="24"/>
          <w:szCs w:val="24"/>
        </w:rPr>
        <w:t>-</w:t>
      </w:r>
      <w:r w:rsidRPr="00834D52">
        <w:rPr>
          <w:rFonts w:ascii="Sylfaen" w:hAnsi="Sylfaen"/>
          <w:sz w:val="24"/>
          <w:szCs w:val="24"/>
        </w:rPr>
        <w:t xml:space="preserve">ներ, բժշկական կիրառման հրահանգ, փաթեթվածքների մանրակերտեր </w:t>
      </w:r>
      <w:r w:rsidR="00C54D75">
        <w:rPr>
          <w:rFonts w:ascii="Sylfaen" w:hAnsi="Sylfaen"/>
          <w:sz w:val="24"/>
          <w:szCs w:val="24"/>
        </w:rPr>
        <w:t>և</w:t>
      </w:r>
      <w:r w:rsidRPr="00834D52">
        <w:rPr>
          <w:rFonts w:ascii="Sylfaen" w:hAnsi="Sylfaen"/>
          <w:sz w:val="24"/>
          <w:szCs w:val="24"/>
        </w:rPr>
        <w:t xml:space="preserve"> համաձայնեցնում է դեղապատրաստուկի կիրառման ժամանակ ռիսկերի կառավարման պլանը (անհրաժեշտության դեպքում), ինչպես նա</w:t>
      </w:r>
      <w:r w:rsidR="00C54D75">
        <w:rPr>
          <w:rFonts w:ascii="Sylfaen" w:hAnsi="Sylfaen"/>
          <w:sz w:val="24"/>
          <w:szCs w:val="24"/>
        </w:rPr>
        <w:t>և</w:t>
      </w:r>
      <w:r w:rsidRPr="00834D52">
        <w:rPr>
          <w:rFonts w:ascii="Sylfaen" w:hAnsi="Sylfaen"/>
          <w:sz w:val="24"/>
          <w:szCs w:val="24"/>
        </w:rPr>
        <w:t xml:space="preserve"> որակի նորմատիվ փաստաթուղթ՝ նախքան Փորձագիտական կոմիտեի որոշումը։ </w:t>
      </w:r>
      <w:r w:rsidR="0056496B">
        <w:rPr>
          <w:rFonts w:ascii="Sylfaen" w:hAnsi="Sylfaen"/>
          <w:sz w:val="24"/>
          <w:szCs w:val="24"/>
        </w:rPr>
        <w:t>Դիմումատու</w:t>
      </w:r>
      <w:r w:rsidRPr="00834D52">
        <w:rPr>
          <w:rFonts w:ascii="Sylfaen" w:hAnsi="Sylfaen"/>
          <w:sz w:val="24"/>
          <w:szCs w:val="24"/>
        </w:rPr>
        <w:t>ի խնդրանքով այդ ճանաչման պետության լիազորված մարմնի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734FEF0D" w14:textId="683B68F9"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Նման դեպքերում տրամադրված գրանցման հավաստագիրը գործում է տվյալ ճանաչման պետության տարածքում։</w:t>
      </w:r>
    </w:p>
    <w:p w14:paraId="4A36F957" w14:textId="1DA6E4A3" w:rsidR="00E34442" w:rsidRPr="006F28F9" w:rsidRDefault="00E34442" w:rsidP="00E34442">
      <w:pPr>
        <w:rPr>
          <w:b/>
          <w:bCs/>
          <w:i/>
          <w:iCs/>
        </w:rPr>
      </w:pPr>
      <w:r w:rsidRPr="00CD4709">
        <w:rPr>
          <w:b/>
          <w:bCs/>
          <w:i/>
          <w:iCs/>
        </w:rPr>
        <w:t>(</w:t>
      </w:r>
      <w:r>
        <w:rPr>
          <w:b/>
          <w:bCs/>
          <w:i/>
          <w:iCs/>
        </w:rPr>
        <w:t xml:space="preserve">82-րդ կետը </w:t>
      </w:r>
      <w:r w:rsidRPr="00CD4709">
        <w:rPr>
          <w:b/>
          <w:bCs/>
          <w:i/>
          <w:iCs/>
        </w:rPr>
        <w:t>փոփ. 30.01.20 թիվ 9)</w:t>
      </w:r>
    </w:p>
    <w:p w14:paraId="5C92AB40" w14:textId="77777777" w:rsidR="006F76EB" w:rsidRPr="00DB039F" w:rsidRDefault="006F76EB" w:rsidP="00931D34">
      <w:pPr>
        <w:tabs>
          <w:tab w:val="left" w:pos="1134"/>
        </w:tabs>
        <w:spacing w:after="160" w:line="360" w:lineRule="auto"/>
        <w:ind w:right="-8" w:firstLine="567"/>
        <w:jc w:val="center"/>
        <w:rPr>
          <w:rFonts w:ascii="Sylfaen" w:hAnsi="Sylfaen"/>
          <w:sz w:val="24"/>
          <w:szCs w:val="24"/>
        </w:rPr>
      </w:pPr>
    </w:p>
    <w:p w14:paraId="01C094E3" w14:textId="77777777" w:rsidR="006F76EB" w:rsidRPr="00834D52" w:rsidRDefault="006F76EB" w:rsidP="006F76EB">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 Ապակենտրոնացված ընթացակարգով գրանցման </w:t>
      </w:r>
      <w:r w:rsidR="00C54D75">
        <w:rPr>
          <w:rFonts w:ascii="Sylfaen" w:hAnsi="Sylfaen"/>
          <w:sz w:val="24"/>
          <w:szCs w:val="24"/>
        </w:rPr>
        <w:t>և</w:t>
      </w:r>
      <w:r w:rsidRPr="00834D52">
        <w:rPr>
          <w:rFonts w:ascii="Sylfaen" w:hAnsi="Sylfaen"/>
          <w:sz w:val="24"/>
          <w:szCs w:val="24"/>
        </w:rPr>
        <w:t xml:space="preserve"> փորձաքննության կարգը </w:t>
      </w:r>
      <w:r w:rsidR="009F49FE">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ճանաչման պետություններում</w:t>
      </w:r>
    </w:p>
    <w:p w14:paraId="541C8BC0" w14:textId="269DF6A4"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83.</w:t>
      </w:r>
      <w:r w:rsidRPr="00834D52">
        <w:rPr>
          <w:rFonts w:ascii="Sylfaen" w:hAnsi="Sylfaen"/>
          <w:sz w:val="24"/>
          <w:szCs w:val="24"/>
        </w:rPr>
        <w:tab/>
        <w:t xml:space="preserve">Ապակենտրոնացված ընթացակարգով դեղապատրաստուկը գրանցելու նպատակով </w:t>
      </w:r>
      <w:r w:rsidR="0056496B">
        <w:rPr>
          <w:rFonts w:ascii="Sylfaen" w:hAnsi="Sylfaen"/>
          <w:sz w:val="24"/>
          <w:szCs w:val="24"/>
        </w:rPr>
        <w:t>դիմումատու</w:t>
      </w:r>
      <w:r w:rsidRPr="00834D52">
        <w:rPr>
          <w:rFonts w:ascii="Sylfaen" w:hAnsi="Sylfaen"/>
          <w:sz w:val="24"/>
          <w:szCs w:val="24"/>
        </w:rPr>
        <w:t xml:space="preserve">ն ընտրում է </w:t>
      </w:r>
      <w:r w:rsidR="009F49FE">
        <w:rPr>
          <w:rFonts w:ascii="Sylfaen" w:hAnsi="Sylfaen"/>
          <w:sz w:val="24"/>
          <w:szCs w:val="24"/>
        </w:rPr>
        <w:t xml:space="preserve">ռեֆերենտ </w:t>
      </w:r>
      <w:r w:rsidRPr="00834D52">
        <w:rPr>
          <w:rFonts w:ascii="Sylfaen" w:hAnsi="Sylfaen"/>
          <w:sz w:val="24"/>
          <w:szCs w:val="24"/>
        </w:rPr>
        <w:t xml:space="preserve">պետություն </w:t>
      </w:r>
      <w:r w:rsidR="00C54D75">
        <w:rPr>
          <w:rFonts w:ascii="Sylfaen" w:hAnsi="Sylfaen"/>
          <w:sz w:val="24"/>
          <w:szCs w:val="24"/>
        </w:rPr>
        <w:t>և</w:t>
      </w:r>
      <w:r w:rsidRPr="00834D52">
        <w:rPr>
          <w:rFonts w:ascii="Sylfaen" w:hAnsi="Sylfaen"/>
          <w:sz w:val="24"/>
          <w:szCs w:val="24"/>
        </w:rPr>
        <w:t xml:space="preserve"> ճանաչման պետություններ։</w:t>
      </w:r>
    </w:p>
    <w:p w14:paraId="150BB89D" w14:textId="112800E8" w:rsidR="00E34442" w:rsidRPr="006F28F9" w:rsidRDefault="00E34442" w:rsidP="00E34442">
      <w:pPr>
        <w:rPr>
          <w:b/>
          <w:bCs/>
          <w:i/>
          <w:iCs/>
        </w:rPr>
      </w:pPr>
      <w:r w:rsidRPr="00CD4709">
        <w:rPr>
          <w:b/>
          <w:bCs/>
          <w:i/>
          <w:iCs/>
        </w:rPr>
        <w:t>(</w:t>
      </w:r>
      <w:r>
        <w:rPr>
          <w:b/>
          <w:bCs/>
          <w:i/>
          <w:iCs/>
        </w:rPr>
        <w:t xml:space="preserve">83-րդ կետը </w:t>
      </w:r>
      <w:r w:rsidRPr="00CD4709">
        <w:rPr>
          <w:b/>
          <w:bCs/>
          <w:i/>
          <w:iCs/>
        </w:rPr>
        <w:t>փոփ. 30.01.20 թիվ 9)</w:t>
      </w:r>
    </w:p>
    <w:p w14:paraId="662A22EF" w14:textId="46B77BE1" w:rsidR="006F76EB" w:rsidRDefault="006F76EB" w:rsidP="006F76EB">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84.</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ապակենտրոնացված ընթացակարգի տ</w:t>
      </w:r>
      <w:r w:rsidR="00C54D75">
        <w:rPr>
          <w:rFonts w:ascii="Sylfaen" w:hAnsi="Sylfaen"/>
          <w:sz w:val="24"/>
          <w:szCs w:val="24"/>
        </w:rPr>
        <w:t>և</w:t>
      </w:r>
      <w:r w:rsidRPr="00834D52">
        <w:rPr>
          <w:rFonts w:ascii="Sylfaen" w:hAnsi="Sylfaen"/>
          <w:sz w:val="24"/>
          <w:szCs w:val="24"/>
        </w:rPr>
        <w:t xml:space="preserve">ողությունը ճանաչման պետություններ դեղապատրաստուկի գրանցման վերջին </w:t>
      </w:r>
      <w:r w:rsidR="0056496B">
        <w:rPr>
          <w:rFonts w:ascii="Sylfaen" w:hAnsi="Sylfaen"/>
          <w:sz w:val="24"/>
          <w:szCs w:val="24"/>
        </w:rPr>
        <w:t>դիմում</w:t>
      </w:r>
      <w:r w:rsidRPr="00834D52">
        <w:rPr>
          <w:rFonts w:ascii="Sylfaen" w:hAnsi="Sylfaen"/>
          <w:sz w:val="24"/>
          <w:szCs w:val="24"/>
        </w:rPr>
        <w:t>ը ներկայացնելու օրվանից մինչ</w:t>
      </w:r>
      <w:r w:rsidR="00C54D75">
        <w:rPr>
          <w:rFonts w:ascii="Sylfaen" w:hAnsi="Sylfaen"/>
          <w:sz w:val="24"/>
          <w:szCs w:val="24"/>
        </w:rPr>
        <w:t>և</w:t>
      </w:r>
      <w:r w:rsidRPr="00834D52">
        <w:rPr>
          <w:rFonts w:ascii="Sylfaen" w:hAnsi="Sylfaen"/>
          <w:sz w:val="24"/>
          <w:szCs w:val="24"/>
        </w:rPr>
        <w:t xml:space="preserve"> ապակենտրոնացված ընթացակարգին մասնակցող բոլոր անդամ պետությունների </w:t>
      </w:r>
      <w:r w:rsidRPr="00834D52">
        <w:rPr>
          <w:rFonts w:ascii="Sylfaen" w:hAnsi="Sylfaen"/>
          <w:sz w:val="24"/>
          <w:szCs w:val="24"/>
        </w:rPr>
        <w:lastRenderedPageBreak/>
        <w:t>լիազորված մարմինների կողմից գրանցման հավաստագրեր տրամադրելու օրը չպետք է գերազանցի 210 օրացուցային օրը։</w:t>
      </w:r>
    </w:p>
    <w:p w14:paraId="0818380A" w14:textId="399CCD55" w:rsidR="00E34442" w:rsidRPr="006F28F9" w:rsidRDefault="00E34442" w:rsidP="00E34442">
      <w:pPr>
        <w:rPr>
          <w:b/>
          <w:bCs/>
          <w:i/>
          <w:iCs/>
        </w:rPr>
      </w:pPr>
      <w:r w:rsidRPr="00CD4709">
        <w:rPr>
          <w:b/>
          <w:bCs/>
          <w:i/>
          <w:iCs/>
        </w:rPr>
        <w:t>(</w:t>
      </w:r>
      <w:r>
        <w:rPr>
          <w:b/>
          <w:bCs/>
          <w:i/>
          <w:iCs/>
        </w:rPr>
        <w:t xml:space="preserve">84-րդ կետը </w:t>
      </w:r>
      <w:r w:rsidRPr="00CD4709">
        <w:rPr>
          <w:b/>
          <w:bCs/>
          <w:i/>
          <w:iCs/>
        </w:rPr>
        <w:t>փոփ. 30.01.20 թիվ 9)</w:t>
      </w:r>
    </w:p>
    <w:p w14:paraId="798B2807"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85.</w:t>
      </w:r>
      <w:r w:rsidRPr="00834D52">
        <w:rPr>
          <w:rFonts w:ascii="Sylfaen" w:hAnsi="Sylfaen"/>
          <w:sz w:val="24"/>
          <w:szCs w:val="24"/>
        </w:rPr>
        <w:tab/>
        <w:t>Ապակենտրոնացված ընթացակարգով գրանցման ընթացակարգը բաղկացած է միաժամանակ անցկացվող հետ</w:t>
      </w:r>
      <w:r w:rsidR="00C54D75">
        <w:rPr>
          <w:rFonts w:ascii="Sylfaen" w:hAnsi="Sylfaen"/>
          <w:sz w:val="24"/>
          <w:szCs w:val="24"/>
        </w:rPr>
        <w:t>և</w:t>
      </w:r>
      <w:r w:rsidRPr="00834D52">
        <w:rPr>
          <w:rFonts w:ascii="Sylfaen" w:hAnsi="Sylfaen"/>
          <w:sz w:val="24"/>
          <w:szCs w:val="24"/>
        </w:rPr>
        <w:t>յալ փուլերից՝</w:t>
      </w:r>
    </w:p>
    <w:p w14:paraId="6A8B8263" w14:textId="77777777" w:rsidR="006F76EB" w:rsidRPr="00834D52" w:rsidRDefault="006F76EB" w:rsidP="006F76EB">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գրանցում </w:t>
      </w:r>
      <w:r w:rsidR="009F49FE">
        <w:rPr>
          <w:rFonts w:ascii="Sylfaen" w:hAnsi="Sylfaen"/>
          <w:sz w:val="24"/>
          <w:szCs w:val="24"/>
        </w:rPr>
        <w:t xml:space="preserve">ռեֆերենտ </w:t>
      </w:r>
      <w:r w:rsidRPr="00834D52">
        <w:rPr>
          <w:rFonts w:ascii="Sylfaen" w:hAnsi="Sylfaen"/>
          <w:sz w:val="24"/>
          <w:szCs w:val="24"/>
        </w:rPr>
        <w:t>պետությունում,</w:t>
      </w:r>
    </w:p>
    <w:p w14:paraId="0515F4E6"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գնահատման վերաբերյալ փորձագիտական հաշվետվության ճանաչում </w:t>
      </w:r>
      <w:r w:rsidR="00C54D75">
        <w:rPr>
          <w:rFonts w:ascii="Sylfaen" w:hAnsi="Sylfaen"/>
          <w:sz w:val="24"/>
          <w:szCs w:val="24"/>
        </w:rPr>
        <w:t>և</w:t>
      </w:r>
      <w:r w:rsidRPr="00834D52">
        <w:rPr>
          <w:rFonts w:ascii="Sylfaen" w:hAnsi="Sylfaen"/>
          <w:sz w:val="24"/>
          <w:szCs w:val="24"/>
        </w:rPr>
        <w:t xml:space="preserve"> գրանցում ճանաչման պետություններում։</w:t>
      </w:r>
    </w:p>
    <w:p w14:paraId="3660C25E" w14:textId="1920CB5A"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86.</w:t>
      </w:r>
      <w:r w:rsidRPr="00834D52">
        <w:rPr>
          <w:rFonts w:ascii="Sylfaen" w:hAnsi="Sylfaen"/>
          <w:sz w:val="24"/>
          <w:szCs w:val="24"/>
        </w:rPr>
        <w:tab/>
        <w:t xml:space="preserve">Դեղապատրաստուկի 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390D6D6F" w14:textId="4D8393DD"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 xml:space="preserve">ով՝ թղթային </w:t>
      </w:r>
      <w:r w:rsidR="00F933B1">
        <w:rPr>
          <w:rFonts w:ascii="Sylfaen" w:hAnsi="Sylfaen"/>
          <w:sz w:val="24"/>
          <w:szCs w:val="24"/>
        </w:rPr>
        <w:t xml:space="preserve"> կրիչով </w:t>
      </w:r>
      <w:r w:rsidR="00C54D75">
        <w:rPr>
          <w:rFonts w:ascii="Sylfaen" w:hAnsi="Sylfaen"/>
          <w:sz w:val="24"/>
          <w:szCs w:val="24"/>
        </w:rPr>
        <w:t>և</w:t>
      </w:r>
      <w:r w:rsidRPr="00834D52">
        <w:rPr>
          <w:rFonts w:ascii="Sylfaen" w:hAnsi="Sylfaen"/>
          <w:sz w:val="24"/>
          <w:szCs w:val="24"/>
        </w:rPr>
        <w:t xml:space="preserve"> (կամ) էլեկտրոնային</w:t>
      </w:r>
      <w:r w:rsidR="00F933B1">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համապատասախան,</w:t>
      </w:r>
    </w:p>
    <w:p w14:paraId="532C1AA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5E06947D" w14:textId="6CF149D9" w:rsidR="006F76EB" w:rsidRPr="00DE7674"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էլեկտրոնային կրիչով,</w:t>
      </w:r>
      <w:r w:rsidR="00DE7674">
        <w:rPr>
          <w:rFonts w:ascii="Sylfaen" w:hAnsi="Sylfaen"/>
          <w:sz w:val="24"/>
          <w:szCs w:val="24"/>
        </w:rPr>
        <w:t xml:space="preserve"> </w:t>
      </w:r>
      <w:r w:rsidR="00DE7674" w:rsidRPr="00DE7674">
        <w:rPr>
          <w:rFonts w:ascii="Sylfaen" w:hAnsi="Sylfaen"/>
          <w:sz w:val="24"/>
          <w:szCs w:val="24"/>
        </w:rPr>
        <w:t>(գրանցման դոսյեի մոդուլ 1-ը լրացուցիչ ներկայացվում է թղթային կրիչի վրա (բացառությամբ ռիսկերի կառավարման պլանի, արտադրական հարթակի (արտադրական հարթակների) հիմնական դոսյեի (մաստեր-ֆայլի) և դեղազգոնությանն առնչվող մաստեր-ֆայլի)</w:t>
      </w:r>
    </w:p>
    <w:p w14:paraId="3D7B5EDF"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դեղապատրաստուկների նմուշներ։</w:t>
      </w:r>
    </w:p>
    <w:p w14:paraId="40F35439" w14:textId="77777777" w:rsidR="006F76EB" w:rsidRPr="00834D52" w:rsidRDefault="006F76EB" w:rsidP="00262B5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կետի հինգերորդ պարբերությունում նշված նմուշների փորձարկումներ անցկացնելու համար անհրաժեշտ ակտիվ դեղագործական բաղադրամասերի </w:t>
      </w:r>
      <w:r w:rsidR="00C54D75">
        <w:rPr>
          <w:rFonts w:ascii="Sylfaen" w:hAnsi="Sylfaen"/>
          <w:sz w:val="24"/>
          <w:szCs w:val="24"/>
        </w:rPr>
        <w:t>և</w:t>
      </w:r>
      <w:r w:rsidRPr="00834D52">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34D52">
        <w:rPr>
          <w:rFonts w:ascii="Sylfaen" w:hAnsi="Sylfaen"/>
          <w:sz w:val="24"/>
          <w:szCs w:val="24"/>
        </w:rPr>
        <w:t xml:space="preserve"> այլ նյութեր ներկայացվում են փորձագիտական կազմակերպության հետ </w:t>
      </w:r>
      <w:r w:rsidRPr="00834D52">
        <w:rPr>
          <w:rFonts w:ascii="Sylfaen" w:hAnsi="Sylfaen"/>
          <w:sz w:val="24"/>
          <w:szCs w:val="24"/>
        </w:rPr>
        <w:lastRenderedPageBreak/>
        <w:t>համաձայնեցնելով։</w:t>
      </w:r>
    </w:p>
    <w:p w14:paraId="51F2E5EC" w14:textId="77777777" w:rsidR="006F76EB" w:rsidRPr="00F102EA" w:rsidRDefault="006F76EB" w:rsidP="00262B57">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Նմուշները, սպեցիֆիկ ռեագենտներն ու այլ նյութեր ներկայացվում են փորձագիտական կազմակերպության հետ համաձայնեցված՝ երեք անգամից ոչ</w:t>
      </w:r>
      <w:r w:rsidR="007D0283" w:rsidRPr="00615631">
        <w:rPr>
          <w:rFonts w:ascii="Sylfaen" w:hAnsi="Sylfaen"/>
          <w:sz w:val="24"/>
          <w:szCs w:val="24"/>
        </w:rPr>
        <w:t> </w:t>
      </w:r>
      <w:r w:rsidRPr="00834D52">
        <w:rPr>
          <w:rFonts w:ascii="Sylfaen" w:hAnsi="Sylfaen"/>
          <w:sz w:val="24"/>
          <w:szCs w:val="24"/>
        </w:rPr>
        <w:t xml:space="preserve">ավելի անալիզ անցկացնելու համար անհրաժեշտ քանակությամբ՝ դեղապատրաստուկների որակի վերաբերյալ նորմատիվ փաստաթղթի պահանջներին համապատասխան՝ լիազորված մարմնի (փորձագիտական կազմակերպության) կողմից համաձայնեցված </w:t>
      </w:r>
      <w:r w:rsidR="00C54D75">
        <w:rPr>
          <w:rFonts w:ascii="Sylfaen" w:hAnsi="Sylfaen"/>
          <w:sz w:val="24"/>
          <w:szCs w:val="24"/>
        </w:rPr>
        <w:t>և</w:t>
      </w:r>
      <w:r w:rsidRPr="00834D52">
        <w:rPr>
          <w:rFonts w:ascii="Sylfaen" w:hAnsi="Sylfaen"/>
          <w:sz w:val="24"/>
          <w:szCs w:val="24"/>
        </w:rPr>
        <w:t xml:space="preserve"> դեղապատրաստուկի փորձաքննության </w:t>
      </w:r>
      <w:r w:rsidR="00C54D75">
        <w:rPr>
          <w:rFonts w:ascii="Sylfaen" w:hAnsi="Sylfaen"/>
          <w:sz w:val="24"/>
          <w:szCs w:val="24"/>
        </w:rPr>
        <w:t>և</w:t>
      </w:r>
      <w:r w:rsidRPr="00834D52">
        <w:rPr>
          <w:rFonts w:ascii="Sylfaen" w:hAnsi="Sylfaen"/>
          <w:sz w:val="24"/>
          <w:szCs w:val="24"/>
        </w:rPr>
        <w:t xml:space="preserve"> գրանցման ընդհանուր ժամկետի մեջ չմտնող ժամկետում։</w:t>
      </w:r>
    </w:p>
    <w:p w14:paraId="6E6B790E" w14:textId="77777777" w:rsidR="00262B57" w:rsidRPr="00F102EA" w:rsidRDefault="00262B57" w:rsidP="00262B57">
      <w:pPr>
        <w:tabs>
          <w:tab w:val="left" w:pos="1134"/>
        </w:tabs>
        <w:spacing w:after="160" w:line="360" w:lineRule="auto"/>
        <w:ind w:right="-8" w:firstLine="567"/>
        <w:jc w:val="both"/>
        <w:rPr>
          <w:rFonts w:ascii="Sylfaen" w:eastAsia="Times New Roman" w:hAnsi="Sylfaen" w:cs="Times New Roman"/>
          <w:sz w:val="24"/>
          <w:szCs w:val="24"/>
        </w:rPr>
      </w:pPr>
    </w:p>
    <w:p w14:paraId="2C1004A0" w14:textId="4F7E13C3" w:rsidR="006F76EB" w:rsidRDefault="006F76EB" w:rsidP="006F76EB">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Չի պահանջվում ներկայացնել նմուշներ, սպեցիֆիկ ռեագենտներ </w:t>
      </w:r>
      <w:r w:rsidR="00C54D75">
        <w:rPr>
          <w:rFonts w:ascii="Sylfaen" w:hAnsi="Sylfaen"/>
          <w:sz w:val="24"/>
          <w:szCs w:val="24"/>
        </w:rPr>
        <w:t>և</w:t>
      </w:r>
      <w:r w:rsidRPr="00834D52">
        <w:rPr>
          <w:rFonts w:ascii="Sylfaen" w:hAnsi="Sylfaen"/>
          <w:sz w:val="24"/>
          <w:szCs w:val="24"/>
        </w:rPr>
        <w:t xml:space="preserve"> այլ նյութեր, եթե փորձագիտական կազմակերպությունում դեղապատրաստուկների (այդ թվում՝ դրանք հազվադեպ կիրառվող («որբ»), թմրեցուցիչ, հոգեմետ կամ թանկարժեք բուժում պահանջող հիվանդությունների բուժման համար նախատեսված դեղապատրաստուկների կատեգորիային դասելու դեպքում) նմուշների դժվարամատչելիության, նշված նմուշներն անդամ պետության տարածք տրանսպորտով տեղափոխելու </w:t>
      </w:r>
      <w:r w:rsidR="00C54D75">
        <w:rPr>
          <w:rFonts w:ascii="Sylfaen" w:hAnsi="Sylfaen"/>
          <w:sz w:val="24"/>
          <w:szCs w:val="24"/>
        </w:rPr>
        <w:t>և</w:t>
      </w:r>
      <w:r w:rsidRPr="00834D52">
        <w:rPr>
          <w:rFonts w:ascii="Sylfaen" w:hAnsi="Sylfaen"/>
          <w:sz w:val="24"/>
          <w:szCs w:val="24"/>
        </w:rPr>
        <w:t xml:space="preserve"> (կամ) դրանց պահպանման պայմաններին հետ</w:t>
      </w:r>
      <w:r w:rsidR="00C54D75">
        <w:rPr>
          <w:rFonts w:ascii="Sylfaen" w:hAnsi="Sylfaen"/>
          <w:sz w:val="24"/>
          <w:szCs w:val="24"/>
        </w:rPr>
        <w:t>և</w:t>
      </w:r>
      <w:r w:rsidRPr="00834D52">
        <w:rPr>
          <w:rFonts w:ascii="Sylfaen" w:hAnsi="Sylfaen"/>
          <w:sz w:val="24"/>
          <w:szCs w:val="24"/>
        </w:rPr>
        <w:t xml:space="preserve">ելու անհնարինության, փորձագիտական կազմակերպությունում հատուկ սարքավորումների </w:t>
      </w:r>
      <w:r w:rsidR="00C54D75">
        <w:rPr>
          <w:rFonts w:ascii="Sylfaen" w:hAnsi="Sylfaen"/>
          <w:sz w:val="24"/>
          <w:szCs w:val="24"/>
        </w:rPr>
        <w:t>և</w:t>
      </w:r>
      <w:r w:rsidRPr="00834D52">
        <w:rPr>
          <w:rFonts w:ascii="Sylfaen" w:hAnsi="Sylfaen"/>
          <w:sz w:val="24"/>
          <w:szCs w:val="24"/>
        </w:rPr>
        <w:t xml:space="preserve"> ծախսանյութերի բացակայության հետ</w:t>
      </w:r>
      <w:r w:rsidR="00C54D75">
        <w:rPr>
          <w:rFonts w:ascii="Sylfaen" w:hAnsi="Sylfaen"/>
          <w:sz w:val="24"/>
          <w:szCs w:val="24"/>
        </w:rPr>
        <w:t>և</w:t>
      </w:r>
      <w:r w:rsidRPr="00834D52">
        <w:rPr>
          <w:rFonts w:ascii="Sylfaen" w:hAnsi="Sylfaen"/>
          <w:sz w:val="24"/>
          <w:szCs w:val="24"/>
        </w:rPr>
        <w:t>անքով փորձարկումների անցկացումն անհնար է։</w:t>
      </w:r>
    </w:p>
    <w:p w14:paraId="32C91088" w14:textId="2367EEB5" w:rsidR="00E34442" w:rsidRPr="00DE7674" w:rsidRDefault="00E34442" w:rsidP="00E34442">
      <w:pPr>
        <w:rPr>
          <w:b/>
          <w:bCs/>
          <w:i/>
          <w:iCs/>
        </w:rPr>
      </w:pPr>
      <w:r w:rsidRPr="00CD4709">
        <w:rPr>
          <w:b/>
          <w:bCs/>
          <w:i/>
          <w:iCs/>
        </w:rPr>
        <w:t>(</w:t>
      </w:r>
      <w:r>
        <w:rPr>
          <w:b/>
          <w:bCs/>
          <w:i/>
          <w:iCs/>
        </w:rPr>
        <w:t xml:space="preserve">86-րդ կետը </w:t>
      </w:r>
      <w:r w:rsidRPr="00CD4709">
        <w:rPr>
          <w:b/>
          <w:bCs/>
          <w:i/>
          <w:iCs/>
        </w:rPr>
        <w:t>փոփ.</w:t>
      </w:r>
      <w:r w:rsidR="00DE7674">
        <w:rPr>
          <w:b/>
          <w:bCs/>
          <w:i/>
          <w:iCs/>
        </w:rPr>
        <w:t>, լրաց.</w:t>
      </w:r>
      <w:r w:rsidRPr="00CD4709">
        <w:rPr>
          <w:b/>
          <w:bCs/>
          <w:i/>
          <w:iCs/>
        </w:rPr>
        <w:t xml:space="preserve"> 30.01.20 թիվ 9)</w:t>
      </w:r>
    </w:p>
    <w:p w14:paraId="7D8E2F62"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87.</w:t>
      </w:r>
      <w:r w:rsidRPr="00834D52">
        <w:rPr>
          <w:rFonts w:ascii="Sylfaen" w:hAnsi="Sylfaen"/>
          <w:sz w:val="24"/>
          <w:szCs w:val="24"/>
        </w:rPr>
        <w:tab/>
        <w:t>Սույն Կանոնների 86</w:t>
      </w:r>
      <w:r w:rsidRPr="008341C7">
        <w:rPr>
          <w:rFonts w:ascii="Sylfaen" w:hAnsi="Sylfaen"/>
          <w:sz w:val="24"/>
          <w:szCs w:val="24"/>
        </w:rPr>
        <w:t>-</w:t>
      </w:r>
      <w:r w:rsidRPr="00834D52">
        <w:rPr>
          <w:rFonts w:ascii="Sylfaen" w:hAnsi="Sylfaen"/>
          <w:sz w:val="24"/>
          <w:szCs w:val="24"/>
        </w:rPr>
        <w:t>րդ կետի ութերորդ պարբերությունում նշված դեպքում լաբորատոր փորձարկումներն անցկացվում են դեղապատրաստուկ արտադրողի՝ որակի հսկողության լաբորատորիայում կամ արտադրողի կողմից օգտագործվող պայմանագրային լաբորատորիայում՝ փորձագիտական կազմակերպության ներկայացուցիչների ներկայությամբ։</w:t>
      </w:r>
    </w:p>
    <w:p w14:paraId="52BCCAD2" w14:textId="3F2C92F1"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88.</w:t>
      </w:r>
      <w:r w:rsidRPr="00834D52">
        <w:rPr>
          <w:rFonts w:ascii="Sylfaen" w:hAnsi="Sylfaen"/>
          <w:sz w:val="24"/>
          <w:szCs w:val="24"/>
        </w:rPr>
        <w:tab/>
        <w:t xml:space="preserve">Փաստաթղթերը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ներկայացնելու օրվանից ոչ ուշ, քան 14</w:t>
      </w:r>
      <w:r w:rsidR="00615631" w:rsidRPr="00615631">
        <w:rPr>
          <w:rFonts w:ascii="Sylfaen" w:hAnsi="Sylfaen"/>
          <w:sz w:val="24"/>
          <w:szCs w:val="24"/>
        </w:rPr>
        <w:t> </w:t>
      </w:r>
      <w:r w:rsidRPr="00834D52">
        <w:rPr>
          <w:rFonts w:ascii="Sylfaen" w:hAnsi="Sylfaen"/>
          <w:sz w:val="24"/>
          <w:szCs w:val="24"/>
        </w:rPr>
        <w:t xml:space="preserve">աշխատանքային օրվա ընթացքում </w:t>
      </w:r>
      <w:r w:rsidR="0056496B">
        <w:rPr>
          <w:rFonts w:ascii="Sylfaen" w:hAnsi="Sylfaen"/>
          <w:sz w:val="24"/>
          <w:szCs w:val="24"/>
        </w:rPr>
        <w:t>դիմումատու</w:t>
      </w:r>
      <w:r w:rsidRPr="00834D52">
        <w:rPr>
          <w:rFonts w:ascii="Sylfaen" w:hAnsi="Sylfaen"/>
          <w:sz w:val="24"/>
          <w:szCs w:val="24"/>
        </w:rPr>
        <w:t xml:space="preserve">ն ճանաչման պետությունների </w:t>
      </w:r>
      <w:r w:rsidRPr="00834D52">
        <w:rPr>
          <w:rFonts w:ascii="Sylfaen" w:hAnsi="Sylfaen"/>
          <w:sz w:val="24"/>
          <w:szCs w:val="24"/>
        </w:rPr>
        <w:lastRenderedPageBreak/>
        <w:t>լիազորված մարմիններ (փորձագիտական կազմակերպություններ) է ներկայացնում՝</w:t>
      </w:r>
    </w:p>
    <w:p w14:paraId="2FBDBCD2" w14:textId="7B27D7C2"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թղթային </w:t>
      </w:r>
      <w:r w:rsidR="004A01AF">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4A01AF">
        <w:rPr>
          <w:rFonts w:ascii="Sylfaen" w:hAnsi="Sylfaen"/>
          <w:sz w:val="24"/>
          <w:szCs w:val="24"/>
        </w:rPr>
        <w:t>փաստաթղթի տեսքով</w:t>
      </w:r>
      <w:r w:rsidR="0062140B">
        <w:rPr>
          <w:rFonts w:ascii="Sylfaen" w:hAnsi="Sylfaen"/>
          <w:sz w:val="24"/>
          <w:szCs w:val="24"/>
        </w:rPr>
        <w:t xml:space="preserve">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ով՝ սույն Կանոնների թիվ 2 հավելվածին համապատասախան,</w:t>
      </w:r>
    </w:p>
    <w:p w14:paraId="1D0198A9" w14:textId="77777777" w:rsidR="00196848" w:rsidRDefault="006F76EB" w:rsidP="00262B57">
      <w:pPr>
        <w:tabs>
          <w:tab w:val="left" w:pos="1134"/>
          <w:tab w:val="left" w:pos="5130"/>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1-ին մոդուլը՝ </w:t>
      </w:r>
      <w:r w:rsidR="00307E18" w:rsidRPr="00834D52">
        <w:rPr>
          <w:rFonts w:ascii="Sylfaen" w:hAnsi="Sylfaen"/>
          <w:sz w:val="24"/>
          <w:szCs w:val="24"/>
        </w:rPr>
        <w:t xml:space="preserve">թղթային </w:t>
      </w:r>
      <w:r w:rsidR="00307E18">
        <w:rPr>
          <w:rFonts w:ascii="Sylfaen" w:hAnsi="Sylfaen"/>
          <w:sz w:val="24"/>
          <w:szCs w:val="24"/>
        </w:rPr>
        <w:t xml:space="preserve">կրիչով </w:t>
      </w:r>
      <w:r w:rsidR="00C54D75">
        <w:rPr>
          <w:rFonts w:ascii="Sylfaen" w:hAnsi="Sylfaen"/>
          <w:sz w:val="24"/>
          <w:szCs w:val="24"/>
        </w:rPr>
        <w:t>և</w:t>
      </w:r>
      <w:r w:rsidR="00307E18" w:rsidRPr="00834D52">
        <w:rPr>
          <w:rFonts w:ascii="Sylfaen" w:hAnsi="Sylfaen"/>
          <w:sz w:val="24"/>
          <w:szCs w:val="24"/>
        </w:rPr>
        <w:t xml:space="preserve"> (կամ)</w:t>
      </w:r>
      <w:r w:rsidR="00873C99">
        <w:rPr>
          <w:rFonts w:ascii="Sylfaen" w:hAnsi="Sylfaen"/>
          <w:sz w:val="24"/>
          <w:szCs w:val="24"/>
        </w:rPr>
        <w:t xml:space="preserve"> </w:t>
      </w:r>
      <w:r w:rsidRPr="00834D52">
        <w:rPr>
          <w:rFonts w:ascii="Sylfaen" w:hAnsi="Sylfaen"/>
          <w:sz w:val="24"/>
          <w:szCs w:val="24"/>
        </w:rPr>
        <w:t>էլեկտրոնային կրիչով</w:t>
      </w:r>
      <w:r w:rsidR="00307E18">
        <w:rPr>
          <w:rFonts w:ascii="Sylfaen" w:hAnsi="Sylfaen"/>
          <w:sz w:val="24"/>
          <w:szCs w:val="24"/>
        </w:rPr>
        <w:t xml:space="preserve">՝ </w:t>
      </w:r>
      <w:r w:rsidR="00307E18" w:rsidRPr="00834D52">
        <w:rPr>
          <w:rFonts w:ascii="Sylfaen" w:hAnsi="Sylfaen"/>
          <w:sz w:val="24"/>
          <w:szCs w:val="24"/>
        </w:rPr>
        <w:t xml:space="preserve">էլեկտրոնային </w:t>
      </w:r>
      <w:r w:rsidR="00307E18">
        <w:rPr>
          <w:rFonts w:ascii="Sylfaen" w:hAnsi="Sylfaen"/>
          <w:sz w:val="24"/>
          <w:szCs w:val="24"/>
        </w:rPr>
        <w:t>փաստաթղթի տեսքով</w:t>
      </w:r>
      <w:r w:rsidRPr="00834D52">
        <w:rPr>
          <w:rFonts w:ascii="Sylfaen" w:hAnsi="Sylfaen"/>
          <w:sz w:val="24"/>
          <w:szCs w:val="24"/>
        </w:rPr>
        <w:t>,</w:t>
      </w:r>
    </w:p>
    <w:p w14:paraId="614A5319" w14:textId="77777777" w:rsidR="006F76EB" w:rsidRPr="00834D52" w:rsidRDefault="006F76EB" w:rsidP="00262B5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ճանաչման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7B62DFC3" w14:textId="7B9293D7" w:rsidR="006F76EB" w:rsidRDefault="006F76EB" w:rsidP="008D271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Անդամ պետության օրենսդրության մեջ համապատասխան պահանջների առկայության դեպքում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ներկայացվում են ճանաչման պետության պետական լեզվով։</w:t>
      </w:r>
    </w:p>
    <w:p w14:paraId="413EA334" w14:textId="71139567" w:rsidR="00E34442" w:rsidRPr="006F28F9" w:rsidRDefault="00E34442" w:rsidP="00E34442">
      <w:pPr>
        <w:rPr>
          <w:b/>
          <w:bCs/>
          <w:i/>
          <w:iCs/>
        </w:rPr>
      </w:pPr>
      <w:r w:rsidRPr="00CD4709">
        <w:rPr>
          <w:b/>
          <w:bCs/>
          <w:i/>
          <w:iCs/>
        </w:rPr>
        <w:t>(</w:t>
      </w:r>
      <w:r>
        <w:rPr>
          <w:b/>
          <w:bCs/>
          <w:i/>
          <w:iCs/>
        </w:rPr>
        <w:t xml:space="preserve">88-րդ կետը </w:t>
      </w:r>
      <w:r w:rsidRPr="00CD4709">
        <w:rPr>
          <w:b/>
          <w:bCs/>
          <w:i/>
          <w:iCs/>
        </w:rPr>
        <w:t>փոփ. 30.01.20 թիվ 9)</w:t>
      </w:r>
    </w:p>
    <w:p w14:paraId="1B2F3B72"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89.</w:t>
      </w:r>
      <w:r w:rsidRPr="00834D52">
        <w:rPr>
          <w:rFonts w:ascii="Sylfaen" w:hAnsi="Sylfaen"/>
          <w:sz w:val="24"/>
          <w:szCs w:val="24"/>
        </w:rPr>
        <w:tab/>
        <w:t xml:space="preserve">Գրանցման ապակենտրոնացված ընթացակարգի դեպքում </w:t>
      </w:r>
      <w:r w:rsidR="009F49FE">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փորձաքննությունը ներառում է՝</w:t>
      </w:r>
    </w:p>
    <w:p w14:paraId="7E0844C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գրանցման դոսյեի ներկայացված փաստաթղթերի ամբողջության,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ակերպման գնահատում,</w:t>
      </w:r>
    </w:p>
    <w:p w14:paraId="1E436142" w14:textId="2DE58732"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գրանցման դոսյեում </w:t>
      </w:r>
      <w:r w:rsidR="0056496B">
        <w:rPr>
          <w:rFonts w:ascii="Sylfaen" w:hAnsi="Sylfaen"/>
          <w:sz w:val="24"/>
          <w:szCs w:val="24"/>
        </w:rPr>
        <w:t>դիմումատու</w:t>
      </w:r>
      <w:r w:rsidRPr="00834D52">
        <w:rPr>
          <w:rFonts w:ascii="Sylfaen" w:hAnsi="Sylfaen"/>
          <w:sz w:val="24"/>
          <w:szCs w:val="24"/>
        </w:rPr>
        <w:t xml:space="preserve">ի կողմից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գնահատում՝ դրանց անվտանգության, արդյունավետության </w:t>
      </w:r>
      <w:r w:rsidR="00C54D75">
        <w:rPr>
          <w:rFonts w:ascii="Sylfaen" w:hAnsi="Sylfaen"/>
          <w:sz w:val="24"/>
          <w:szCs w:val="24"/>
        </w:rPr>
        <w:t>և</w:t>
      </w:r>
      <w:r w:rsidRPr="00834D52">
        <w:rPr>
          <w:rFonts w:ascii="Sylfaen" w:hAnsi="Sylfaen"/>
          <w:sz w:val="24"/>
          <w:szCs w:val="24"/>
        </w:rPr>
        <w:t xml:space="preserve"> որակի մասով,</w:t>
      </w:r>
    </w:p>
    <w:p w14:paraId="19F6E83C" w14:textId="6D61C9DE"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հավատարմագրված փորձարկման լաբորատորիաներում իրականացվող՝ որակի հսկողության </w:t>
      </w:r>
      <w:r w:rsidR="001A5F1A">
        <w:rPr>
          <w:rFonts w:ascii="Sylfaen" w:hAnsi="Sylfaen"/>
          <w:sz w:val="24"/>
          <w:szCs w:val="24"/>
        </w:rPr>
        <w:t>հայտագրված</w:t>
      </w:r>
      <w:r w:rsidRPr="00834D52">
        <w:rPr>
          <w:rFonts w:ascii="Sylfaen" w:hAnsi="Sylfaen"/>
          <w:sz w:val="24"/>
          <w:szCs w:val="24"/>
        </w:rPr>
        <w:t xml:space="preserve"> մեթոդիկաների որակի </w:t>
      </w:r>
      <w:r w:rsidR="00C54D75">
        <w:rPr>
          <w:rFonts w:ascii="Sylfaen" w:hAnsi="Sylfaen"/>
          <w:sz w:val="24"/>
          <w:szCs w:val="24"/>
        </w:rPr>
        <w:t>և</w:t>
      </w:r>
      <w:r w:rsidRPr="00834D52">
        <w:rPr>
          <w:rFonts w:ascii="Sylfaen" w:hAnsi="Sylfaen"/>
          <w:sz w:val="24"/>
          <w:szCs w:val="24"/>
        </w:rPr>
        <w:t xml:space="preserve"> վերարտադրելիության նորմատիվ փաստաթղթերի պահանջներին համապատասխանության մասով լաբորատոր փորձարկումների անցկացում,</w:t>
      </w:r>
    </w:p>
    <w:p w14:paraId="303815AC" w14:textId="77777777" w:rsidR="006F76EB" w:rsidRPr="00834D52" w:rsidRDefault="006F76EB" w:rsidP="008D2718">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անհրաժեշտության դեպքում սույն Կանոններով սահմանված </w:t>
      </w:r>
      <w:r w:rsidRPr="00834D52">
        <w:rPr>
          <w:rFonts w:ascii="Sylfaen" w:hAnsi="Sylfaen"/>
          <w:sz w:val="24"/>
          <w:szCs w:val="24"/>
        </w:rPr>
        <w:lastRenderedPageBreak/>
        <w:t>դեպքերում արտապլանային կամ պլանային դեղագործական, տեսչական ստուգման նախաձեռնում,</w:t>
      </w:r>
    </w:p>
    <w:p w14:paraId="72A43316" w14:textId="17577340"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ե)</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դեղապատրաստուկի գնահատման վերաբերյալ փորձագիտական հաշվետվության կազմում։</w:t>
      </w:r>
    </w:p>
    <w:p w14:paraId="10ED2835" w14:textId="669A0FF0" w:rsidR="00E34442" w:rsidRPr="006F28F9" w:rsidRDefault="00E34442" w:rsidP="00E34442">
      <w:pPr>
        <w:rPr>
          <w:b/>
          <w:bCs/>
          <w:i/>
          <w:iCs/>
        </w:rPr>
      </w:pPr>
      <w:r w:rsidRPr="00CD4709">
        <w:rPr>
          <w:b/>
          <w:bCs/>
          <w:i/>
          <w:iCs/>
        </w:rPr>
        <w:t>(</w:t>
      </w:r>
      <w:r>
        <w:rPr>
          <w:b/>
          <w:bCs/>
          <w:i/>
          <w:iCs/>
        </w:rPr>
        <w:t xml:space="preserve">89-րդ կետը </w:t>
      </w:r>
      <w:r w:rsidRPr="00CD4709">
        <w:rPr>
          <w:b/>
          <w:bCs/>
          <w:i/>
          <w:iCs/>
        </w:rPr>
        <w:t>փոփ. 30.01.20 թիվ 9)</w:t>
      </w:r>
    </w:p>
    <w:p w14:paraId="2048B766" w14:textId="77777777"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90.</w:t>
      </w:r>
      <w:r w:rsidRPr="00834D52">
        <w:rPr>
          <w:rFonts w:ascii="Sylfaen" w:hAnsi="Sylfaen"/>
          <w:sz w:val="24"/>
          <w:szCs w:val="24"/>
        </w:rPr>
        <w:tab/>
        <w:t>Գրանցման ապակենտրոնացված ընթացակարգի դեպքում ճանաչման պետություններում դեղապատրաստուկի փորձաքննությունն իրականացվում է՝</w:t>
      </w:r>
    </w:p>
    <w:p w14:paraId="20B086D1" w14:textId="7FCF2F58" w:rsidR="006F76EB" w:rsidRPr="00834D52" w:rsidRDefault="006F76EB" w:rsidP="008D271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ի, գրանցման դոսյեի փաստաթղթերի </w:t>
      </w:r>
      <w:r w:rsidR="00C54D75">
        <w:rPr>
          <w:rFonts w:ascii="Sylfaen" w:hAnsi="Sylfaen"/>
          <w:sz w:val="24"/>
          <w:szCs w:val="24"/>
        </w:rPr>
        <w:t>և</w:t>
      </w:r>
      <w:r w:rsidRPr="00834D52">
        <w:rPr>
          <w:rFonts w:ascii="Sylfaen" w:hAnsi="Sylfaen"/>
          <w:sz w:val="24"/>
          <w:szCs w:val="24"/>
        </w:rPr>
        <w:t xml:space="preserve"> տվյալների քննության միջոցով,</w:t>
      </w:r>
    </w:p>
    <w:p w14:paraId="2F30D3B2" w14:textId="3F625BDB" w:rsidR="006F76EB" w:rsidRDefault="006F76EB" w:rsidP="008D271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կողմից պատրաստված՝ գնահատման վերաբերյալ փորձագիտական հաշվետվության քննության միջոցով։</w:t>
      </w:r>
    </w:p>
    <w:p w14:paraId="3B6AA917" w14:textId="326BFB6F" w:rsidR="00E34442" w:rsidRPr="006F28F9" w:rsidRDefault="00E34442" w:rsidP="00E34442">
      <w:pPr>
        <w:rPr>
          <w:b/>
          <w:bCs/>
          <w:i/>
          <w:iCs/>
        </w:rPr>
      </w:pPr>
      <w:r w:rsidRPr="00CD4709">
        <w:rPr>
          <w:b/>
          <w:bCs/>
          <w:i/>
          <w:iCs/>
        </w:rPr>
        <w:t>(</w:t>
      </w:r>
      <w:r>
        <w:rPr>
          <w:b/>
          <w:bCs/>
          <w:i/>
          <w:iCs/>
        </w:rPr>
        <w:t xml:space="preserve">90-րդ կետը </w:t>
      </w:r>
      <w:r w:rsidRPr="00CD4709">
        <w:rPr>
          <w:b/>
          <w:bCs/>
          <w:i/>
          <w:iCs/>
        </w:rPr>
        <w:t>փոփ. 30.01.20 թիվ 9)</w:t>
      </w:r>
    </w:p>
    <w:p w14:paraId="7F363059" w14:textId="33BA4753"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91.</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մարմինն (փորձագիտական կազմակերպությունը) իրականացնում է գրանցման 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նախքան գրանցման դոսյեի նյութերը փորձաքննության ուղարկելը։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դոսյեում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տրամադրվում է 90</w:t>
      </w:r>
      <w:r w:rsidR="006955BF" w:rsidRPr="00EC2CD0">
        <w:rPr>
          <w:rFonts w:ascii="Sylfaen" w:hAnsi="Sylfaen"/>
          <w:sz w:val="24"/>
          <w:szCs w:val="24"/>
        </w:rPr>
        <w:t> </w:t>
      </w:r>
      <w:r w:rsidRPr="00834D52">
        <w:rPr>
          <w:rFonts w:ascii="Sylfaen" w:hAnsi="Sylfaen"/>
          <w:sz w:val="24"/>
          <w:szCs w:val="24"/>
        </w:rPr>
        <w:t xml:space="preserve">օրացուցային օրվանից ոչ ավելի, որը չի մտնում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5CE9BA9F" w14:textId="48DF2A85" w:rsidR="006F76EB" w:rsidRDefault="009F49FE" w:rsidP="00296C4C">
      <w:pPr>
        <w:tabs>
          <w:tab w:val="left" w:pos="1134"/>
        </w:tabs>
        <w:spacing w:after="160" w:line="336" w:lineRule="auto"/>
        <w:ind w:right="-6" w:firstLine="567"/>
        <w:jc w:val="both"/>
        <w:rPr>
          <w:rFonts w:ascii="Sylfaen" w:hAnsi="Sylfae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մարմինը (փորձագիտական կազմակերպությունը) գրանցման դոսյեի ներկայացված նյութերի լրակազմության </w:t>
      </w:r>
      <w:r w:rsidR="00C54D75">
        <w:rPr>
          <w:rFonts w:ascii="Sylfaen" w:hAnsi="Sylfaen"/>
          <w:sz w:val="24"/>
          <w:szCs w:val="24"/>
        </w:rPr>
        <w:t>և</w:t>
      </w:r>
      <w:r w:rsidR="006F76EB" w:rsidRPr="00834D52">
        <w:rPr>
          <w:rFonts w:ascii="Sylfaen" w:hAnsi="Sylfaen"/>
          <w:sz w:val="24"/>
          <w:szCs w:val="24"/>
        </w:rPr>
        <w:t xml:space="preserve"> ամբողջականության գնահատումից հետո դեղապատրաստուկի գրանցման </w:t>
      </w:r>
      <w:r w:rsidR="0056496B">
        <w:rPr>
          <w:rFonts w:ascii="Sylfaen" w:hAnsi="Sylfaen"/>
          <w:sz w:val="24"/>
          <w:szCs w:val="24"/>
        </w:rPr>
        <w:t>դիմում</w:t>
      </w:r>
      <w:r w:rsidR="006F76EB" w:rsidRPr="00834D52">
        <w:rPr>
          <w:rFonts w:ascii="Sylfaen" w:hAnsi="Sylfaen"/>
          <w:sz w:val="24"/>
          <w:szCs w:val="24"/>
        </w:rPr>
        <w:t xml:space="preserve">ը </w:t>
      </w:r>
      <w:r>
        <w:rPr>
          <w:rFonts w:ascii="Sylfaen" w:hAnsi="Sylfaen"/>
          <w:sz w:val="24"/>
          <w:szCs w:val="24"/>
        </w:rPr>
        <w:t xml:space="preserve">ռեֆերենտ </w:t>
      </w:r>
      <w:r w:rsidR="006F76EB" w:rsidRPr="00834D52">
        <w:rPr>
          <w:rFonts w:ascii="Sylfaen" w:hAnsi="Sylfaen"/>
          <w:sz w:val="24"/>
          <w:szCs w:val="24"/>
        </w:rPr>
        <w:t>պետություն ներկայացնելու օրվանից ոչ ուշ, քան 14</w:t>
      </w:r>
      <w:r w:rsidR="00296C4C" w:rsidRPr="004E129B">
        <w:rPr>
          <w:rFonts w:ascii="Sylfaen" w:hAnsi="Sylfaen"/>
          <w:sz w:val="24"/>
          <w:szCs w:val="24"/>
        </w:rPr>
        <w:t> </w:t>
      </w:r>
      <w:r w:rsidR="006F76EB" w:rsidRPr="00834D52">
        <w:rPr>
          <w:rFonts w:ascii="Sylfaen" w:hAnsi="Sylfaen"/>
          <w:sz w:val="24"/>
          <w:szCs w:val="24"/>
        </w:rPr>
        <w:t xml:space="preserve">օրացուցային օրվա ընթացքում դեղապատրաստուկի գրանցման դոսյեն ներկայացնում է ինտեգրված համակարգի միջոցով դեղապատրաստուկի </w:t>
      </w:r>
      <w:r w:rsidR="006F76EB" w:rsidRPr="00834D52">
        <w:rPr>
          <w:rFonts w:ascii="Sylfaen" w:hAnsi="Sylfaen"/>
          <w:sz w:val="24"/>
          <w:szCs w:val="24"/>
        </w:rPr>
        <w:lastRenderedPageBreak/>
        <w:t>գրանցման ապակենտրոնացված ընթացակարգին մասնակցող անդամ պետությունների լիազորված մարմիններ (փորձագիտական կազմակերպություններ)։</w:t>
      </w:r>
    </w:p>
    <w:p w14:paraId="346F140C" w14:textId="2A04427A" w:rsidR="00B55756" w:rsidRPr="006F28F9" w:rsidRDefault="00B55756" w:rsidP="00B55756">
      <w:pPr>
        <w:rPr>
          <w:b/>
          <w:bCs/>
          <w:i/>
          <w:iCs/>
        </w:rPr>
      </w:pPr>
      <w:r w:rsidRPr="00CD4709">
        <w:rPr>
          <w:b/>
          <w:bCs/>
          <w:i/>
          <w:iCs/>
        </w:rPr>
        <w:t>(</w:t>
      </w:r>
      <w:r>
        <w:rPr>
          <w:b/>
          <w:bCs/>
          <w:i/>
          <w:iCs/>
        </w:rPr>
        <w:t xml:space="preserve">91-րդ կետը </w:t>
      </w:r>
      <w:r w:rsidRPr="00CD4709">
        <w:rPr>
          <w:b/>
          <w:bCs/>
          <w:i/>
          <w:iCs/>
        </w:rPr>
        <w:t>փոփ. 30.01.20 թիվ 9)</w:t>
      </w:r>
    </w:p>
    <w:p w14:paraId="0DA93C02" w14:textId="00771A37" w:rsidR="006F76EB" w:rsidRDefault="006F76EB" w:rsidP="00296C4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92.</w:t>
      </w:r>
      <w:r w:rsidRPr="00834D52">
        <w:rPr>
          <w:rFonts w:ascii="Sylfaen" w:hAnsi="Sylfaen"/>
          <w:sz w:val="24"/>
          <w:szCs w:val="24"/>
        </w:rPr>
        <w:tab/>
        <w:t xml:space="preserve">Սահմանված ժամկետում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փաստաթղթերն ու նյութերը չներկայացնելու </w:t>
      </w:r>
      <w:r w:rsidR="00C54D75">
        <w:rPr>
          <w:rFonts w:ascii="Sylfaen" w:hAnsi="Sylfaen"/>
          <w:sz w:val="24"/>
          <w:szCs w:val="24"/>
        </w:rPr>
        <w:t>և</w:t>
      </w:r>
      <w:r w:rsidRPr="00834D52">
        <w:rPr>
          <w:rFonts w:ascii="Sylfaen" w:hAnsi="Sylfaen"/>
          <w:sz w:val="24"/>
          <w:szCs w:val="24"/>
        </w:rPr>
        <w:t xml:space="preserve"> (կամ) դեղապատրաստուկի 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ճանաչման պետությունների լիազորված մարմինները (փորձագիտական կազմակերպությունները) </w:t>
      </w:r>
      <w:r w:rsidR="009F49FE">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մերժում են դեղապատրաստուկի 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որոշումը կայացնելու պահից ոչ ուշ, քան 5 աշխատանքային օրվա ընթացքում ինտեգրված համակարգի միջոցով տեղեկացնում այդ մասին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մարմիններին (փորձագիտական կազմակերպություններին)։</w:t>
      </w:r>
    </w:p>
    <w:p w14:paraId="743565ED" w14:textId="0F6B6486" w:rsidR="00B55756" w:rsidRPr="006F28F9" w:rsidRDefault="00B55756" w:rsidP="00B55756">
      <w:pPr>
        <w:rPr>
          <w:b/>
          <w:bCs/>
          <w:i/>
          <w:iCs/>
        </w:rPr>
      </w:pPr>
      <w:r w:rsidRPr="00CD4709">
        <w:rPr>
          <w:b/>
          <w:bCs/>
          <w:i/>
          <w:iCs/>
        </w:rPr>
        <w:t>(</w:t>
      </w:r>
      <w:r>
        <w:rPr>
          <w:b/>
          <w:bCs/>
          <w:i/>
          <w:iCs/>
        </w:rPr>
        <w:t xml:space="preserve">92-րդ կետը </w:t>
      </w:r>
      <w:r w:rsidRPr="00CD4709">
        <w:rPr>
          <w:b/>
          <w:bCs/>
          <w:i/>
          <w:iCs/>
        </w:rPr>
        <w:t>փոփ. 30.01.20 թիվ 9)</w:t>
      </w:r>
    </w:p>
    <w:p w14:paraId="306FCED3" w14:textId="25FC127E"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93.</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գրանցումն ու փորձաքննությունն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առաջարկություններ) ներկայացնելու մասին՝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ով։</w:t>
      </w:r>
    </w:p>
    <w:p w14:paraId="525E2CE3" w14:textId="1AFCB51F" w:rsidR="00B55756" w:rsidRPr="006F28F9" w:rsidRDefault="00B55756" w:rsidP="00B55756">
      <w:pPr>
        <w:rPr>
          <w:b/>
          <w:bCs/>
          <w:i/>
          <w:iCs/>
        </w:rPr>
      </w:pPr>
      <w:r w:rsidRPr="00CD4709">
        <w:rPr>
          <w:b/>
          <w:bCs/>
          <w:i/>
          <w:iCs/>
        </w:rPr>
        <w:t>(</w:t>
      </w:r>
      <w:r>
        <w:rPr>
          <w:b/>
          <w:bCs/>
          <w:i/>
          <w:iCs/>
        </w:rPr>
        <w:t xml:space="preserve">93-րդ կետը </w:t>
      </w:r>
      <w:r w:rsidRPr="00CD4709">
        <w:rPr>
          <w:b/>
          <w:bCs/>
          <w:i/>
          <w:iCs/>
        </w:rPr>
        <w:t>փոփ. 30.01.20 թիվ 9)</w:t>
      </w:r>
    </w:p>
    <w:p w14:paraId="4C5E5409" w14:textId="56EE029B"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94.</w:t>
      </w:r>
      <w:r w:rsidRPr="00834D52">
        <w:rPr>
          <w:rFonts w:ascii="Sylfaen" w:hAnsi="Sylfaen"/>
          <w:sz w:val="24"/>
          <w:szCs w:val="24"/>
        </w:rPr>
        <w:tab/>
        <w:t xml:space="preserve">Փորձաքննությունն սկսելու օրվանից 90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w:t>
      </w:r>
      <w:r w:rsidRPr="00834D52">
        <w:rPr>
          <w:rFonts w:ascii="Sylfaen" w:hAnsi="Sylfaen"/>
          <w:sz w:val="24"/>
          <w:szCs w:val="24"/>
        </w:rPr>
        <w:lastRenderedPageBreak/>
        <w:t xml:space="preserve">կազմակերպությունը) ճանաչման պետությունների լիազորված մարմիններ (փորձագիտական կազմակերպություններ) է ուղարկում հաշվետվությունների պատճենները՝ </w:t>
      </w:r>
      <w:r w:rsidR="0056496B">
        <w:rPr>
          <w:rFonts w:ascii="Sylfaen" w:hAnsi="Sylfaen"/>
          <w:sz w:val="24"/>
          <w:szCs w:val="24"/>
        </w:rPr>
        <w:t>դիմումատու</w:t>
      </w:r>
      <w:r w:rsidRPr="00834D52">
        <w:rPr>
          <w:rFonts w:ascii="Sylfaen" w:hAnsi="Sylfaen"/>
          <w:sz w:val="24"/>
          <w:szCs w:val="24"/>
        </w:rPr>
        <w:t xml:space="preserve">ին ուղղված դիտողությունների </w:t>
      </w:r>
      <w:r w:rsidR="00C54D75">
        <w:rPr>
          <w:rFonts w:ascii="Sylfaen" w:hAnsi="Sylfaen"/>
          <w:sz w:val="24"/>
          <w:szCs w:val="24"/>
        </w:rPr>
        <w:t>և</w:t>
      </w:r>
      <w:r w:rsidRPr="00834D52">
        <w:rPr>
          <w:rFonts w:ascii="Sylfaen" w:hAnsi="Sylfaen"/>
          <w:sz w:val="24"/>
          <w:szCs w:val="24"/>
        </w:rPr>
        <w:t xml:space="preserve"> հարցումների ձ</w:t>
      </w:r>
      <w:r w:rsidR="00C54D75">
        <w:rPr>
          <w:rFonts w:ascii="Sylfaen" w:hAnsi="Sylfaen"/>
          <w:sz w:val="24"/>
          <w:szCs w:val="24"/>
        </w:rPr>
        <w:t>և</w:t>
      </w:r>
      <w:r w:rsidRPr="00834D52">
        <w:rPr>
          <w:rFonts w:ascii="Sylfaen" w:hAnsi="Sylfaen"/>
          <w:sz w:val="24"/>
          <w:szCs w:val="24"/>
        </w:rPr>
        <w:t>ակերպմամբ, սույն Կանոնների թիվ 6</w:t>
      </w:r>
      <w:r w:rsidRPr="008341C7">
        <w:rPr>
          <w:rFonts w:ascii="Sylfaen" w:hAnsi="Sylfaen"/>
          <w:sz w:val="24"/>
          <w:szCs w:val="24"/>
        </w:rPr>
        <w:t>-</w:t>
      </w:r>
      <w:r w:rsidRPr="00834D52">
        <w:rPr>
          <w:rFonts w:ascii="Sylfaen" w:hAnsi="Sylfaen"/>
          <w:sz w:val="24"/>
          <w:szCs w:val="24"/>
        </w:rPr>
        <w:t>8 հավելվածների համաձայն սահմանված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գնահատման վերաբերյալ նախնական հաշվետվությունը՝ սույն Կանոնների թիվ 11 հավելվածի համաձայն սահմանված ձ</w:t>
      </w:r>
      <w:r w:rsidR="00C54D75">
        <w:rPr>
          <w:rFonts w:ascii="Sylfaen" w:hAnsi="Sylfaen"/>
          <w:sz w:val="24"/>
          <w:szCs w:val="24"/>
        </w:rPr>
        <w:t>և</w:t>
      </w:r>
      <w:r w:rsidRPr="00834D52">
        <w:rPr>
          <w:rFonts w:ascii="Sylfaen" w:hAnsi="Sylfaen"/>
          <w:sz w:val="24"/>
          <w:szCs w:val="24"/>
        </w:rPr>
        <w:t>ով։</w:t>
      </w:r>
    </w:p>
    <w:p w14:paraId="59CABFE0" w14:textId="76941ADB"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ին ուղարկված հարցումների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նախնական հաշվետվությունը ստանալու օրվանից ոչ ուշ, քան 30 օրացուցային օրվա ընթացքում հարցումներն ուղարկում է </w:t>
      </w:r>
      <w:r w:rsidR="009F49FE">
        <w:rPr>
          <w:rFonts w:ascii="Sylfaen" w:hAnsi="Sylfaen"/>
          <w:sz w:val="24"/>
          <w:szCs w:val="24"/>
        </w:rPr>
        <w:t xml:space="preserve">ռեֆերենտ </w:t>
      </w:r>
      <w:r w:rsidR="006F76EB" w:rsidRPr="00834D52">
        <w:rPr>
          <w:rFonts w:ascii="Sylfaen" w:hAnsi="Sylfaen"/>
          <w:sz w:val="24"/>
          <w:szCs w:val="24"/>
        </w:rPr>
        <w:t>պետության լիազորված մարմնին (փորձագիտական կազմակերպություն), որը ճանաչման պետության կողմից վերջին հարցումը ստանալու օրվանից 5 աշխատանքային օրվա ընթացքում ձ</w:t>
      </w:r>
      <w:r w:rsidR="00C54D75">
        <w:rPr>
          <w:rFonts w:ascii="Sylfaen" w:hAnsi="Sylfaen"/>
          <w:sz w:val="24"/>
          <w:szCs w:val="24"/>
        </w:rPr>
        <w:t>և</w:t>
      </w:r>
      <w:r w:rsidR="006F76EB" w:rsidRPr="00834D52">
        <w:rPr>
          <w:rFonts w:ascii="Sylfaen" w:hAnsi="Sylfaen"/>
          <w:sz w:val="24"/>
          <w:szCs w:val="24"/>
        </w:rPr>
        <w:t xml:space="preserve">ավորում է միասնական հարցում </w:t>
      </w:r>
      <w:r w:rsidR="00C54D75">
        <w:rPr>
          <w:rFonts w:ascii="Sylfaen" w:hAnsi="Sylfaen"/>
          <w:sz w:val="24"/>
          <w:szCs w:val="24"/>
        </w:rPr>
        <w:t>և</w:t>
      </w:r>
      <w:r w:rsidR="006F76EB" w:rsidRPr="00834D52">
        <w:rPr>
          <w:rFonts w:ascii="Sylfaen" w:hAnsi="Sylfaen"/>
          <w:sz w:val="24"/>
          <w:szCs w:val="24"/>
        </w:rPr>
        <w:t xml:space="preserve"> այն ուղարկում </w:t>
      </w:r>
      <w:r>
        <w:rPr>
          <w:rFonts w:ascii="Sylfaen" w:hAnsi="Sylfaen"/>
          <w:sz w:val="24"/>
          <w:szCs w:val="24"/>
        </w:rPr>
        <w:t>դիմումատու</w:t>
      </w:r>
      <w:r w:rsidR="006F76EB" w:rsidRPr="00834D52">
        <w:rPr>
          <w:rFonts w:ascii="Sylfaen" w:hAnsi="Sylfaen"/>
          <w:sz w:val="24"/>
          <w:szCs w:val="24"/>
        </w:rPr>
        <w:t xml:space="preserve">ին՝ սույն Կանոնների </w:t>
      </w:r>
      <w:r w:rsidR="00615631" w:rsidRPr="00F06D43">
        <w:rPr>
          <w:rFonts w:ascii="Sylfaen" w:hAnsi="Sylfaen"/>
          <w:sz w:val="24"/>
          <w:szCs w:val="24"/>
        </w:rPr>
        <w:br/>
      </w:r>
      <w:r w:rsidR="006F76EB" w:rsidRPr="00834D52">
        <w:rPr>
          <w:rFonts w:ascii="Sylfaen" w:hAnsi="Sylfaen"/>
          <w:sz w:val="24"/>
          <w:szCs w:val="24"/>
        </w:rPr>
        <w:t>93</w:t>
      </w:r>
      <w:r w:rsidR="006F76EB" w:rsidRPr="008341C7">
        <w:rPr>
          <w:rFonts w:ascii="Sylfaen" w:hAnsi="Sylfaen"/>
          <w:sz w:val="24"/>
          <w:szCs w:val="24"/>
        </w:rPr>
        <w:t>-</w:t>
      </w:r>
      <w:r w:rsidR="006F76EB" w:rsidRPr="00834D52">
        <w:rPr>
          <w:rFonts w:ascii="Sylfaen" w:hAnsi="Sylfaen"/>
          <w:sz w:val="24"/>
          <w:szCs w:val="24"/>
        </w:rPr>
        <w:t>րդ կետին համապատասխան։</w:t>
      </w:r>
    </w:p>
    <w:p w14:paraId="522FCFB6" w14:textId="14C9E919" w:rsidR="006F76EB" w:rsidRDefault="0056496B" w:rsidP="006F76EB">
      <w:pPr>
        <w:tabs>
          <w:tab w:val="left" w:pos="1134"/>
        </w:tabs>
        <w:spacing w:after="160" w:line="336"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 xml:space="preserve">ին դիտողություններ ուղարկելու օրվանից հետագա փորձաքննությունը կասեցվում է։ Առաջին հարցումից հետո հետագա հարցումները թույլատրվում են միայն այն դեպքում, երբ նախորդ հարցման պատասխանի մեջ, </w:t>
      </w:r>
      <w:r>
        <w:rPr>
          <w:rFonts w:ascii="Sylfaen" w:hAnsi="Sylfaen"/>
          <w:sz w:val="24"/>
          <w:szCs w:val="24"/>
        </w:rPr>
        <w:t>դիմումատու</w:t>
      </w:r>
      <w:r w:rsidR="006F76EB" w:rsidRPr="00834D52">
        <w:rPr>
          <w:rFonts w:ascii="Sylfaen" w:hAnsi="Sylfaen"/>
          <w:sz w:val="24"/>
          <w:szCs w:val="24"/>
        </w:rPr>
        <w:t>ի ներկայացրած տվյալների հետ կապված, ծագել են լրացուցիչ հարցեր։</w:t>
      </w:r>
    </w:p>
    <w:p w14:paraId="210012D7" w14:textId="72E4451E" w:rsidR="007204C4" w:rsidRPr="006F28F9" w:rsidRDefault="007204C4" w:rsidP="007204C4">
      <w:pPr>
        <w:rPr>
          <w:b/>
          <w:bCs/>
          <w:i/>
          <w:iCs/>
        </w:rPr>
      </w:pPr>
      <w:r w:rsidRPr="00CD4709">
        <w:rPr>
          <w:b/>
          <w:bCs/>
          <w:i/>
          <w:iCs/>
        </w:rPr>
        <w:t>(</w:t>
      </w:r>
      <w:r>
        <w:rPr>
          <w:b/>
          <w:bCs/>
          <w:i/>
          <w:iCs/>
        </w:rPr>
        <w:t xml:space="preserve">94-րդ կետը </w:t>
      </w:r>
      <w:r w:rsidRPr="00CD4709">
        <w:rPr>
          <w:b/>
          <w:bCs/>
          <w:i/>
          <w:iCs/>
        </w:rPr>
        <w:t>փոփ. 30.01.20 թիվ 9)</w:t>
      </w:r>
    </w:p>
    <w:p w14:paraId="0F406312" w14:textId="07D67662"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95.</w:t>
      </w:r>
      <w:r w:rsidRPr="00834D52">
        <w:rPr>
          <w:rFonts w:ascii="Sylfaen" w:hAnsi="Sylfaen"/>
          <w:sz w:val="24"/>
          <w:szCs w:val="24"/>
        </w:rPr>
        <w:tab/>
        <w:t xml:space="preserve">Նշված հարցմանը </w:t>
      </w:r>
      <w:r w:rsidR="0056496B">
        <w:rPr>
          <w:rFonts w:ascii="Sylfaen" w:hAnsi="Sylfaen"/>
          <w:sz w:val="24"/>
          <w:szCs w:val="24"/>
        </w:rPr>
        <w:t>դիմումատու</w:t>
      </w:r>
      <w:r w:rsidRPr="00834D52">
        <w:rPr>
          <w:rFonts w:ascii="Sylfaen" w:hAnsi="Sylfaen"/>
          <w:sz w:val="24"/>
          <w:szCs w:val="24"/>
        </w:rPr>
        <w:t xml:space="preserve">ի կողմից պատասխան ներկայացնելու ժամկետը չպետք է գերազանցի 90 օրացուցային օրը: Հարցումներ ուղարկելու </w:t>
      </w:r>
      <w:r w:rsidR="00C54D75">
        <w:rPr>
          <w:rFonts w:ascii="Sylfaen" w:hAnsi="Sylfaen"/>
          <w:sz w:val="24"/>
          <w:szCs w:val="24"/>
        </w:rPr>
        <w:t>և</w:t>
      </w:r>
      <w:r w:rsidRPr="00834D52">
        <w:rPr>
          <w:rFonts w:ascii="Sylfaen" w:hAnsi="Sylfaen"/>
          <w:sz w:val="24"/>
          <w:szCs w:val="24"/>
        </w:rPr>
        <w:t xml:space="preserve"> պատասխաններ ներկայացնելու ընթացակարգերը սահմանվում են անդամ պետությունների օրենսդրության պահանջներով։</w:t>
      </w:r>
    </w:p>
    <w:p w14:paraId="342556DF" w14:textId="3A3C846A"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 xml:space="preserve">Անհրաժեշտության դեպքում, </w:t>
      </w:r>
      <w:r w:rsidR="0056496B">
        <w:rPr>
          <w:rFonts w:ascii="Sylfaen" w:hAnsi="Sylfaen"/>
          <w:sz w:val="24"/>
          <w:szCs w:val="24"/>
        </w:rPr>
        <w:t>դիմումատու</w:t>
      </w:r>
      <w:r w:rsidRPr="00834D52">
        <w:rPr>
          <w:rFonts w:ascii="Sylfaen" w:hAnsi="Sylfaen"/>
          <w:sz w:val="24"/>
          <w:szCs w:val="24"/>
        </w:rPr>
        <w:t xml:space="preserve">ի համապատասխան </w:t>
      </w:r>
      <w:r w:rsidR="0056496B">
        <w:rPr>
          <w:rFonts w:ascii="Sylfaen" w:hAnsi="Sylfaen"/>
          <w:sz w:val="24"/>
          <w:szCs w:val="24"/>
        </w:rPr>
        <w:t>դիմում</w:t>
      </w:r>
      <w:r w:rsidRPr="00834D52">
        <w:rPr>
          <w:rFonts w:ascii="Sylfaen" w:hAnsi="Sylfaen"/>
          <w:sz w:val="24"/>
          <w:szCs w:val="24"/>
        </w:rPr>
        <w:t xml:space="preserve">ի հիման վրա, հարցմանը պատասխանելու ժամկետը կարող է երկարացվել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Հարցումներին պատասխանելու առավելագույն ընդհանուր ժամկետը չպետք է գերազանցի 180 </w:t>
      </w:r>
      <w:r w:rsidRPr="00834D52">
        <w:rPr>
          <w:rFonts w:ascii="Sylfaen" w:hAnsi="Sylfaen"/>
          <w:sz w:val="24"/>
          <w:szCs w:val="24"/>
        </w:rPr>
        <w:lastRenderedPageBreak/>
        <w:t>օրացուցային օրը:</w:t>
      </w:r>
    </w:p>
    <w:p w14:paraId="18453C38" w14:textId="0551D646" w:rsidR="007204C4" w:rsidRPr="006F28F9" w:rsidRDefault="007204C4" w:rsidP="007204C4">
      <w:pPr>
        <w:rPr>
          <w:b/>
          <w:bCs/>
          <w:i/>
          <w:iCs/>
        </w:rPr>
      </w:pPr>
      <w:r w:rsidRPr="00CD4709">
        <w:rPr>
          <w:b/>
          <w:bCs/>
          <w:i/>
          <w:iCs/>
        </w:rPr>
        <w:t>(</w:t>
      </w:r>
      <w:r>
        <w:rPr>
          <w:b/>
          <w:bCs/>
          <w:i/>
          <w:iCs/>
        </w:rPr>
        <w:t xml:space="preserve">95-րդ կետը </w:t>
      </w:r>
      <w:r w:rsidRPr="00CD4709">
        <w:rPr>
          <w:b/>
          <w:bCs/>
          <w:i/>
          <w:iCs/>
        </w:rPr>
        <w:t>փոփ. 30.01.20 թիվ 9)</w:t>
      </w:r>
    </w:p>
    <w:p w14:paraId="3EB09B5E" w14:textId="77777777" w:rsidR="007204C4" w:rsidRPr="00834D52" w:rsidRDefault="007204C4" w:rsidP="004E129B">
      <w:pPr>
        <w:tabs>
          <w:tab w:val="left" w:pos="1134"/>
        </w:tabs>
        <w:spacing w:after="160" w:line="372" w:lineRule="auto"/>
        <w:ind w:right="-6" w:firstLine="567"/>
        <w:jc w:val="both"/>
        <w:rPr>
          <w:rFonts w:ascii="Sylfaen" w:eastAsia="Times New Roman" w:hAnsi="Sylfaen" w:cs="Times New Roman"/>
          <w:sz w:val="24"/>
          <w:szCs w:val="24"/>
        </w:rPr>
      </w:pPr>
    </w:p>
    <w:p w14:paraId="17827EBC" w14:textId="7B96F3A4" w:rsidR="006F76EB" w:rsidRPr="00834D52" w:rsidRDefault="006F76EB" w:rsidP="004E129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96.</w:t>
      </w:r>
      <w:r w:rsidRPr="00834D52">
        <w:rPr>
          <w:rFonts w:ascii="Sylfaen" w:hAnsi="Sylfaen"/>
          <w:sz w:val="24"/>
          <w:szCs w:val="24"/>
        </w:rPr>
        <w:tab/>
        <w:t xml:space="preserve">Գրանցման ընթացակարգն անցկացնելու ընթացքում լիազորված մարմնի (փորձագիտական կազմակերպության) հարցումներին </w:t>
      </w:r>
      <w:r w:rsidR="0056496B">
        <w:rPr>
          <w:rFonts w:ascii="Sylfaen" w:hAnsi="Sylfaen"/>
          <w:sz w:val="24"/>
          <w:szCs w:val="24"/>
        </w:rPr>
        <w:t>դիմումատու</w:t>
      </w:r>
      <w:r w:rsidRPr="00834D52">
        <w:rPr>
          <w:rFonts w:ascii="Sylfaen" w:hAnsi="Sylfaen"/>
          <w:sz w:val="24"/>
          <w:szCs w:val="24"/>
        </w:rPr>
        <w:t>ի կողմից պատասխաններ ներկայացնելու ընդհանուր ժամկետը չպետք է գերազանցի 180 օրացուցային օրը։</w:t>
      </w:r>
    </w:p>
    <w:p w14:paraId="04449DFC" w14:textId="2F95EDC8"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Դեղապատրաստուկի փորձաքննության ընթացքում լիազորված մարմնի (փորձագիտական կազմակերպության) հարցման հիման վրա </w:t>
      </w:r>
      <w:r w:rsidR="0056496B">
        <w:rPr>
          <w:rFonts w:ascii="Sylfaen" w:hAnsi="Sylfaen"/>
          <w:sz w:val="24"/>
          <w:szCs w:val="24"/>
        </w:rPr>
        <w:t>դիմում</w:t>
      </w:r>
      <w:r w:rsidRPr="00834D52">
        <w:rPr>
          <w:rFonts w:ascii="Sylfaen" w:hAnsi="Sylfaen"/>
          <w:sz w:val="24"/>
          <w:szCs w:val="24"/>
        </w:rPr>
        <w:t xml:space="preserve">ատուի կողմից փաստաթղթեր ներկայացնելու ժամկետը չի մտնում դեղապատրաստուկի փորձաքննություն </w:t>
      </w:r>
      <w:r w:rsidR="00C54D75">
        <w:rPr>
          <w:rFonts w:ascii="Sylfaen" w:hAnsi="Sylfaen"/>
          <w:sz w:val="24"/>
          <w:szCs w:val="24"/>
        </w:rPr>
        <w:t>և</w:t>
      </w:r>
      <w:r w:rsidRPr="00834D52">
        <w:rPr>
          <w:rFonts w:ascii="Sylfaen" w:hAnsi="Sylfaen"/>
          <w:sz w:val="24"/>
          <w:szCs w:val="24"/>
        </w:rPr>
        <w:t xml:space="preserve"> գրանցում կատարելու ժամկետների մեջ։</w:t>
      </w:r>
    </w:p>
    <w:p w14:paraId="25CFEDE5" w14:textId="024E8530" w:rsidR="007204C4" w:rsidRPr="006F28F9" w:rsidRDefault="007204C4" w:rsidP="007204C4">
      <w:pPr>
        <w:rPr>
          <w:b/>
          <w:bCs/>
          <w:i/>
          <w:iCs/>
        </w:rPr>
      </w:pPr>
      <w:r w:rsidRPr="00CD4709">
        <w:rPr>
          <w:b/>
          <w:bCs/>
          <w:i/>
          <w:iCs/>
        </w:rPr>
        <w:t>(</w:t>
      </w:r>
      <w:r>
        <w:rPr>
          <w:b/>
          <w:bCs/>
          <w:i/>
          <w:iCs/>
        </w:rPr>
        <w:t xml:space="preserve">96-րդ կետը </w:t>
      </w:r>
      <w:r w:rsidRPr="00CD4709">
        <w:rPr>
          <w:b/>
          <w:bCs/>
          <w:i/>
          <w:iCs/>
        </w:rPr>
        <w:t>փոփ. 30.01.20 թիվ 9)</w:t>
      </w:r>
    </w:p>
    <w:p w14:paraId="576D7C0D" w14:textId="1958322B" w:rsidR="006F76EB" w:rsidRDefault="006F76EB" w:rsidP="004E129B">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97.</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կողմից </w:t>
      </w:r>
      <w:r w:rsidR="009F49FE">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հարցումների պատասխանները ներկայացնելուց հետո փորձաքննությունը վերսկսվում է։</w:t>
      </w:r>
    </w:p>
    <w:p w14:paraId="67896A25" w14:textId="272850FF" w:rsidR="007204C4" w:rsidRPr="006F28F9" w:rsidRDefault="007204C4" w:rsidP="007204C4">
      <w:pPr>
        <w:rPr>
          <w:b/>
          <w:bCs/>
          <w:i/>
          <w:iCs/>
        </w:rPr>
      </w:pPr>
      <w:r w:rsidRPr="00CD4709">
        <w:rPr>
          <w:b/>
          <w:bCs/>
          <w:i/>
          <w:iCs/>
        </w:rPr>
        <w:t>(</w:t>
      </w:r>
      <w:r>
        <w:rPr>
          <w:b/>
          <w:bCs/>
          <w:i/>
          <w:iCs/>
        </w:rPr>
        <w:t xml:space="preserve">97-րդ կետը </w:t>
      </w:r>
      <w:r w:rsidRPr="00CD4709">
        <w:rPr>
          <w:b/>
          <w:bCs/>
          <w:i/>
          <w:iCs/>
        </w:rPr>
        <w:t>փոփ. 30.01.20 թիվ 9)</w:t>
      </w:r>
    </w:p>
    <w:p w14:paraId="1E3CDEB5" w14:textId="50B81C0E" w:rsidR="006F76EB" w:rsidRDefault="006F76EB" w:rsidP="004E129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98.</w:t>
      </w:r>
      <w:r w:rsidRPr="00834D52">
        <w:rPr>
          <w:rFonts w:ascii="Sylfaen" w:hAnsi="Sylfaen"/>
          <w:sz w:val="24"/>
          <w:szCs w:val="24"/>
        </w:rPr>
        <w:tab/>
        <w:t xml:space="preserve">Լիազորված մարմնի (փորձագիտական կազմակերպության) կողմից պահանջվող փաստաթղթերն ու նյութերը սահմանված ժամկետում </w:t>
      </w:r>
      <w:r w:rsidR="0056496B">
        <w:rPr>
          <w:rFonts w:ascii="Sylfaen" w:hAnsi="Sylfaen"/>
          <w:sz w:val="24"/>
          <w:szCs w:val="24"/>
        </w:rPr>
        <w:t>դիմումատու</w:t>
      </w:r>
      <w:r w:rsidRPr="00834D52">
        <w:rPr>
          <w:rFonts w:ascii="Sylfaen" w:hAnsi="Sylfaen"/>
          <w:sz w:val="24"/>
          <w:szCs w:val="24"/>
        </w:rPr>
        <w:t>ի կողմից չներկայացվելու դեպքում դեղապատրաստուկի փորձաքննությունն ու գրանցումը դադարեցվում է։ Կայացված որոշման մասին լիազորված մարմինը (փորձագիտական կազմակերպությունը) այդ որոշումը կայացնելու օրվանից 14</w:t>
      </w:r>
      <w:r w:rsidR="00EC2CD0" w:rsidRPr="004D1538">
        <w:rPr>
          <w:rFonts w:ascii="Sylfaen" w:hAnsi="Sylfaen"/>
          <w:sz w:val="24"/>
          <w:szCs w:val="24"/>
        </w:rPr>
        <w:t> </w:t>
      </w:r>
      <w:r w:rsidRPr="00834D52">
        <w:rPr>
          <w:rFonts w:ascii="Sylfaen" w:hAnsi="Sylfaen"/>
          <w:sz w:val="24"/>
          <w:szCs w:val="24"/>
        </w:rPr>
        <w:t xml:space="preserve">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լիազորված մարմիններին (փորձագիտական</w:t>
      </w:r>
      <w:r w:rsidR="004E129B" w:rsidRPr="00B31383">
        <w:rPr>
          <w:rFonts w:ascii="Sylfaen" w:hAnsi="Sylfaen"/>
          <w:sz w:val="24"/>
          <w:szCs w:val="24"/>
        </w:rPr>
        <w:t> </w:t>
      </w:r>
      <w:r w:rsidRPr="00834D52">
        <w:rPr>
          <w:rFonts w:ascii="Sylfaen" w:hAnsi="Sylfaen"/>
          <w:sz w:val="24"/>
          <w:szCs w:val="24"/>
        </w:rPr>
        <w:t>կազմակերպություններին)։</w:t>
      </w:r>
    </w:p>
    <w:p w14:paraId="4219219F" w14:textId="5571BA4A" w:rsidR="007204C4" w:rsidRPr="006F28F9" w:rsidRDefault="007204C4" w:rsidP="007204C4">
      <w:pPr>
        <w:rPr>
          <w:b/>
          <w:bCs/>
          <w:i/>
          <w:iCs/>
        </w:rPr>
      </w:pPr>
      <w:r w:rsidRPr="00CD4709">
        <w:rPr>
          <w:b/>
          <w:bCs/>
          <w:i/>
          <w:iCs/>
        </w:rPr>
        <w:t>(</w:t>
      </w:r>
      <w:r>
        <w:rPr>
          <w:b/>
          <w:bCs/>
          <w:i/>
          <w:iCs/>
        </w:rPr>
        <w:t xml:space="preserve">98-րդ կետը </w:t>
      </w:r>
      <w:r w:rsidRPr="00CD4709">
        <w:rPr>
          <w:b/>
          <w:bCs/>
          <w:i/>
          <w:iCs/>
        </w:rPr>
        <w:t>փոփ. 30.01.20 թիվ 9)</w:t>
      </w:r>
    </w:p>
    <w:p w14:paraId="20389362" w14:textId="77777777"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99.</w:t>
      </w:r>
      <w:r w:rsidRPr="00834D52">
        <w:rPr>
          <w:rFonts w:ascii="Sylfaen" w:hAnsi="Sylfaen"/>
          <w:sz w:val="24"/>
          <w:szCs w:val="24"/>
        </w:rPr>
        <w:tab/>
        <w:t xml:space="preserve">Միության պատշաճ դեղագործական գործելակերպերին </w:t>
      </w:r>
      <w:r w:rsidRPr="00834D52">
        <w:rPr>
          <w:rFonts w:ascii="Sylfaen" w:hAnsi="Sylfaen"/>
          <w:sz w:val="24"/>
          <w:szCs w:val="24"/>
        </w:rPr>
        <w:lastRenderedPageBreak/>
        <w:t xml:space="preserve">համապատասխանության տեսչական ստուգում նախաձեռնելու դեպքում դեղապատրաստուկի փորձաքննությունը չի կասեցվում։ Ընդ որում, </w:t>
      </w:r>
      <w:r w:rsidR="009F49FE">
        <w:rPr>
          <w:rFonts w:ascii="Sylfaen" w:hAnsi="Sylfaen"/>
          <w:sz w:val="24"/>
          <w:szCs w:val="24"/>
        </w:rPr>
        <w:t xml:space="preserve">ռեֆերենտ </w:t>
      </w:r>
      <w:r w:rsidRPr="00834D52">
        <w:rPr>
          <w:rFonts w:ascii="Sylfaen" w:hAnsi="Sylfaen"/>
          <w:sz w:val="24"/>
          <w:szCs w:val="24"/>
        </w:rPr>
        <w:t xml:space="preserve">պետության կողմից գնահատման վերաբերյալ փորձագիտական հաշվետվության պատրաստումն ավարտվում է միայն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տեսչական ստուգման արդյունքները ստանալուց հետո։ Արտապլանային դեղագործական տեսչական ստուգումը, որի դեպքում անցկացված տեսչական ստուգման մասին հաշվետվություն է ուղարկվում, պետք է անցկացվի դեղապատրաստուկի գրանցման ժամկետում, որը լիազորված մարմնի (փորձագիտական կազմակերպության) կողմից տեսչական ստուգում անցկացնելու նախաձեռնության մասին որոշում կայացնելու օրվանից 180 օրացուցային օրը չի</w:t>
      </w:r>
      <w:r w:rsidR="00B31383" w:rsidRPr="00B31383">
        <w:rPr>
          <w:rFonts w:ascii="Sylfaen" w:hAnsi="Sylfaen"/>
          <w:sz w:val="24"/>
          <w:szCs w:val="24"/>
        </w:rPr>
        <w:t> </w:t>
      </w:r>
      <w:r w:rsidRPr="00834D52">
        <w:rPr>
          <w:rFonts w:ascii="Sylfaen" w:hAnsi="Sylfaen"/>
          <w:sz w:val="24"/>
          <w:szCs w:val="24"/>
        </w:rPr>
        <w:t>գերազանցում։</w:t>
      </w:r>
    </w:p>
    <w:p w14:paraId="357AD0F9" w14:textId="07048C51" w:rsidR="006F76EB" w:rsidRDefault="0056496B" w:rsidP="00B31383">
      <w:pPr>
        <w:tabs>
          <w:tab w:val="left" w:pos="1134"/>
        </w:tabs>
        <w:spacing w:after="160" w:line="360" w:lineRule="auto"/>
        <w:ind w:right="-6" w:firstLine="567"/>
        <w:jc w:val="both"/>
        <w:rPr>
          <w:rFonts w:ascii="Sylfaen" w:hAnsi="Sylfaen"/>
          <w:sz w:val="24"/>
          <w:szCs w:val="24"/>
        </w:rPr>
      </w:pPr>
      <w:r>
        <w:rPr>
          <w:rFonts w:ascii="Sylfaen" w:hAnsi="Sylfaen"/>
          <w:sz w:val="24"/>
          <w:szCs w:val="24"/>
        </w:rPr>
        <w:t>Դիմումատու</w:t>
      </w:r>
      <w:r w:rsidR="006F76EB" w:rsidRPr="00834D52">
        <w:rPr>
          <w:rFonts w:ascii="Sylfaen" w:hAnsi="Sylfaen"/>
          <w:sz w:val="24"/>
          <w:szCs w:val="24"/>
        </w:rPr>
        <w:t>ն կազմակերպում է արտադրական հարթակ, հետազոտական կենտրոն, գրանցման հավաստագրի իրավատիրոջ դեղազգոնության համակարգ այց՝ տեսչական ստուգում անցկացնելու անհրաժեշտության մասին տեղեկատվություն ստանալուց հետո՝ 30 օրացուցային օրվա ընթացքում, կամ նշում է այցի կոնկրետ ժամկետը, սակայն ոչ ուշ, քան նշված տեղեկատվությունը ստանալուց 90 օրացուցային օր հետո։</w:t>
      </w:r>
    </w:p>
    <w:p w14:paraId="5487B453" w14:textId="1FB4FC20" w:rsidR="007204C4" w:rsidRPr="006F28F9" w:rsidRDefault="007204C4" w:rsidP="007204C4">
      <w:pPr>
        <w:rPr>
          <w:b/>
          <w:bCs/>
          <w:i/>
          <w:iCs/>
        </w:rPr>
      </w:pPr>
      <w:r w:rsidRPr="00CD4709">
        <w:rPr>
          <w:b/>
          <w:bCs/>
          <w:i/>
          <w:iCs/>
        </w:rPr>
        <w:t>(</w:t>
      </w:r>
      <w:r>
        <w:rPr>
          <w:b/>
          <w:bCs/>
          <w:i/>
          <w:iCs/>
        </w:rPr>
        <w:t xml:space="preserve">99-րդ կետը </w:t>
      </w:r>
      <w:r w:rsidRPr="00CD4709">
        <w:rPr>
          <w:b/>
          <w:bCs/>
          <w:i/>
          <w:iCs/>
        </w:rPr>
        <w:t>փոփ. 30.01.20 թիվ 9)</w:t>
      </w:r>
    </w:p>
    <w:p w14:paraId="43AFA70A" w14:textId="2877828B"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100.</w:t>
      </w:r>
      <w:r w:rsidRPr="00834D52">
        <w:rPr>
          <w:rFonts w:ascii="Sylfaen" w:hAnsi="Sylfaen"/>
          <w:sz w:val="24"/>
          <w:szCs w:val="24"/>
        </w:rPr>
        <w:tab/>
        <w:t xml:space="preserve">Հարցումները </w:t>
      </w:r>
      <w:r w:rsidR="0056496B">
        <w:rPr>
          <w:rFonts w:ascii="Sylfaen" w:hAnsi="Sylfaen"/>
          <w:sz w:val="24"/>
          <w:szCs w:val="24"/>
        </w:rPr>
        <w:t>դիմումատու</w:t>
      </w:r>
      <w:r w:rsidRPr="00834D52">
        <w:rPr>
          <w:rFonts w:ascii="Sylfaen" w:hAnsi="Sylfaen"/>
          <w:sz w:val="24"/>
          <w:szCs w:val="24"/>
        </w:rPr>
        <w:t xml:space="preserve">ին ուղարկելիս լիազորված մարմինների (փորձագիտական կազմակերպությունների)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փոխգործակցությունն իրականացվում է էլեկտրոնային եղանակով՝ ինտեգրված համակարգի միջոցների օգտագործմամբ՝ սույն Կանոնների թիվ 18 հավելվածին համապատասխան ձ</w:t>
      </w:r>
      <w:r w:rsidR="00C54D75">
        <w:rPr>
          <w:rFonts w:ascii="Sylfaen" w:hAnsi="Sylfaen"/>
          <w:sz w:val="24"/>
          <w:szCs w:val="24"/>
        </w:rPr>
        <w:t>և</w:t>
      </w:r>
      <w:r w:rsidRPr="00834D52">
        <w:rPr>
          <w:rFonts w:ascii="Sylfaen" w:hAnsi="Sylfaen"/>
          <w:sz w:val="24"/>
          <w:szCs w:val="24"/>
        </w:rPr>
        <w:t>ով։</w:t>
      </w:r>
    </w:p>
    <w:p w14:paraId="0BD7E651" w14:textId="2989A6A8" w:rsidR="00946981" w:rsidRPr="006F28F9" w:rsidRDefault="00946981" w:rsidP="00946981">
      <w:pPr>
        <w:rPr>
          <w:b/>
          <w:bCs/>
          <w:i/>
          <w:iCs/>
        </w:rPr>
      </w:pPr>
      <w:r w:rsidRPr="00CD4709">
        <w:rPr>
          <w:b/>
          <w:bCs/>
          <w:i/>
          <w:iCs/>
        </w:rPr>
        <w:t>(</w:t>
      </w:r>
      <w:r>
        <w:rPr>
          <w:b/>
          <w:bCs/>
          <w:i/>
          <w:iCs/>
        </w:rPr>
        <w:t xml:space="preserve">100-րդ կետը </w:t>
      </w:r>
      <w:r w:rsidRPr="00CD4709">
        <w:rPr>
          <w:b/>
          <w:bCs/>
          <w:i/>
          <w:iCs/>
        </w:rPr>
        <w:t>փոփ. 30.01.20 թիվ 9)</w:t>
      </w:r>
    </w:p>
    <w:p w14:paraId="44A8088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Որ</w:t>
      </w:r>
      <w:r w:rsidR="00C54D75">
        <w:rPr>
          <w:rFonts w:ascii="Sylfaen" w:hAnsi="Sylfaen"/>
          <w:sz w:val="24"/>
          <w:szCs w:val="24"/>
        </w:rPr>
        <w:t>և</w:t>
      </w:r>
      <w:r w:rsidRPr="00834D52">
        <w:rPr>
          <w:rFonts w:ascii="Sylfaen" w:hAnsi="Sylfaen"/>
          <w:sz w:val="24"/>
          <w:szCs w:val="24"/>
        </w:rPr>
        <w:t xml:space="preserve">է ճանաչման պետությունից դեղապատրաստուկի փորձաքննության առնչությամբ տեղեկատվության (դիտողությունների, գնահատման վերաբերյալ նախնական հաշվետվության քննության արդյունքների ներկայացում) բացակայության դեպքում </w:t>
      </w:r>
      <w:r w:rsidR="009F49FE">
        <w:rPr>
          <w:rFonts w:ascii="Sylfaen" w:hAnsi="Sylfaen"/>
          <w:sz w:val="24"/>
          <w:szCs w:val="24"/>
        </w:rPr>
        <w:t xml:space="preserve">ռեֆերենտ </w:t>
      </w:r>
      <w:r w:rsidRPr="00834D52">
        <w:rPr>
          <w:rFonts w:ascii="Sylfaen" w:hAnsi="Sylfaen"/>
          <w:sz w:val="24"/>
          <w:szCs w:val="24"/>
        </w:rPr>
        <w:t xml:space="preserve">պետությունը համարում է, որ տվյալ </w:t>
      </w:r>
      <w:r w:rsidRPr="00834D52">
        <w:rPr>
          <w:rFonts w:ascii="Sylfaen" w:hAnsi="Sylfaen"/>
          <w:sz w:val="24"/>
          <w:szCs w:val="24"/>
        </w:rPr>
        <w:lastRenderedPageBreak/>
        <w:t>ճանաչման պետությունը համաձայն է գնահատման վերաբերյալ նախնական հաշվետվության մեջ պարունակվող եզրակացության հետ (ներառյալ դիտողությունների, եթե կիրառելի է)։</w:t>
      </w:r>
    </w:p>
    <w:p w14:paraId="7D5BA0A4" w14:textId="7EF502A6"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102.</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գրավոր խորհրդակցություններն անհրաժեշտության դեպքում իրականացվում են էլեկտրոնային եղանակով՝ ինտեգրված համակարգի միջոցների օգտագործմամբ։</w:t>
      </w:r>
    </w:p>
    <w:p w14:paraId="1B7AFFFA" w14:textId="0A51D0E6" w:rsidR="00DE7674" w:rsidRPr="006F28F9" w:rsidRDefault="00DE7674" w:rsidP="00DE7674">
      <w:pPr>
        <w:rPr>
          <w:b/>
          <w:bCs/>
          <w:i/>
          <w:iCs/>
        </w:rPr>
      </w:pPr>
      <w:r w:rsidRPr="00CD4709">
        <w:rPr>
          <w:b/>
          <w:bCs/>
          <w:i/>
          <w:iCs/>
        </w:rPr>
        <w:t>(</w:t>
      </w:r>
      <w:r w:rsidR="009F2902">
        <w:rPr>
          <w:b/>
          <w:bCs/>
          <w:i/>
          <w:iCs/>
        </w:rPr>
        <w:t xml:space="preserve">102-րդ կետը </w:t>
      </w:r>
      <w:r w:rsidRPr="00CD4709">
        <w:rPr>
          <w:b/>
          <w:bCs/>
          <w:i/>
          <w:iCs/>
        </w:rPr>
        <w:t>փոփ. 30.01.20 թիվ 9)</w:t>
      </w:r>
    </w:p>
    <w:p w14:paraId="18739677" w14:textId="2EC54B17" w:rsidR="00DE7674" w:rsidRPr="00DE7674" w:rsidRDefault="00DE7674" w:rsidP="00955C1D">
      <w:pPr>
        <w:tabs>
          <w:tab w:val="left" w:pos="1134"/>
        </w:tabs>
        <w:spacing w:after="160" w:line="360" w:lineRule="auto"/>
        <w:ind w:right="-6" w:firstLine="567"/>
        <w:jc w:val="both"/>
        <w:rPr>
          <w:rFonts w:eastAsia="Times New Roman" w:cs="Times New Roman"/>
          <w:sz w:val="24"/>
          <w:szCs w:val="24"/>
        </w:rPr>
      </w:pPr>
    </w:p>
    <w:p w14:paraId="3F2EBAF9"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z w:val="24"/>
          <w:szCs w:val="24"/>
        </w:rPr>
        <w:t>103.</w:t>
      </w:r>
      <w:r w:rsidRPr="00834D52">
        <w:rPr>
          <w:rFonts w:ascii="Sylfaen" w:hAnsi="Sylfaen"/>
          <w:sz w:val="24"/>
          <w:szCs w:val="24"/>
        </w:rPr>
        <w:tab/>
        <w:t xml:space="preserve">Գնահատման վերաբերյալ եզրափակիչ փորձագիտական </w:t>
      </w:r>
      <w:r w:rsidRPr="00834D52">
        <w:rPr>
          <w:rFonts w:ascii="Sylfaen" w:hAnsi="Sylfaen"/>
          <w:spacing w:val="4"/>
          <w:sz w:val="24"/>
          <w:szCs w:val="24"/>
        </w:rPr>
        <w:t xml:space="preserve">հաշվետվություն պատրաստելու համար </w:t>
      </w:r>
      <w:r w:rsidR="009F49FE">
        <w:rPr>
          <w:rFonts w:ascii="Sylfaen" w:hAnsi="Sylfaen"/>
          <w:spacing w:val="4"/>
          <w:sz w:val="24"/>
          <w:szCs w:val="24"/>
        </w:rPr>
        <w:t xml:space="preserve">ռեֆերենտ </w:t>
      </w:r>
      <w:r w:rsidRPr="00834D52">
        <w:rPr>
          <w:rFonts w:ascii="Sylfaen" w:hAnsi="Sylfaen"/>
          <w:spacing w:val="4"/>
          <w:sz w:val="24"/>
          <w:szCs w:val="24"/>
        </w:rPr>
        <w:t>պետության փորձագիտական կազմակերպությունը կազմում է որակի ասպեկտների, դեղապատրաստուկում պարունակվող նոր ազդող նյութի գնահատման, ազդող նյութի գրանցման դոսյեի գնահատման, նախակլինիկական, կլինիկական ասպեկտների վերաբերյալ փորձագիտական հաշվետվություններ, լաբորատոր փորձարկումների արձանագրություն (եթե փորձագիտական կազմակերպության կողմից անցկացվել են համապատասխան փորձարկումներ)՝ սույն Կանոնների թիվ 6</w:t>
      </w:r>
      <w:r w:rsidRPr="008341C7">
        <w:rPr>
          <w:rFonts w:ascii="Sylfaen" w:hAnsi="Sylfaen"/>
          <w:spacing w:val="4"/>
          <w:sz w:val="24"/>
          <w:szCs w:val="24"/>
        </w:rPr>
        <w:t>-</w:t>
      </w:r>
      <w:r w:rsidRPr="00834D52">
        <w:rPr>
          <w:rFonts w:ascii="Sylfaen" w:hAnsi="Sylfaen"/>
          <w:spacing w:val="4"/>
          <w:sz w:val="24"/>
          <w:szCs w:val="24"/>
        </w:rPr>
        <w:t xml:space="preserve">10, 12 </w:t>
      </w:r>
      <w:r w:rsidR="00C54D75">
        <w:rPr>
          <w:rFonts w:ascii="Sylfaen" w:hAnsi="Sylfaen"/>
          <w:spacing w:val="4"/>
          <w:sz w:val="24"/>
          <w:szCs w:val="24"/>
        </w:rPr>
        <w:t>և</w:t>
      </w:r>
      <w:r w:rsidRPr="00834D52">
        <w:rPr>
          <w:rFonts w:ascii="Sylfaen" w:hAnsi="Sylfaen"/>
          <w:spacing w:val="4"/>
          <w:sz w:val="24"/>
          <w:szCs w:val="24"/>
        </w:rPr>
        <w:t xml:space="preserve"> 22 հավելվածներին համապատասխան ձ</w:t>
      </w:r>
      <w:r w:rsidR="00C54D75">
        <w:rPr>
          <w:rFonts w:ascii="Sylfaen" w:hAnsi="Sylfaen"/>
          <w:spacing w:val="4"/>
          <w:sz w:val="24"/>
          <w:szCs w:val="24"/>
        </w:rPr>
        <w:t>և</w:t>
      </w:r>
      <w:r w:rsidRPr="00834D52">
        <w:rPr>
          <w:rFonts w:ascii="Sylfaen" w:hAnsi="Sylfaen"/>
          <w:spacing w:val="4"/>
          <w:sz w:val="24"/>
          <w:szCs w:val="24"/>
        </w:rPr>
        <w:t>երով։</w:t>
      </w:r>
    </w:p>
    <w:p w14:paraId="7EC7C4FC"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ասպեկտների, նախակլինիկական, կլինիկական ասպեկտների վերաբերյալ փորձագիտական հաշվետվությունները, գնահատման վերաբերյալ եզրափակիչ փորձագիտական հաշվետվությունը կազմվում են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 հավելվածներում ներկայացված նշումներին համապատասխան։</w:t>
      </w:r>
    </w:p>
    <w:p w14:paraId="50DCF247" w14:textId="77777777" w:rsidR="006F76EB" w:rsidRPr="00834D52" w:rsidRDefault="009F49FE" w:rsidP="00955C1D">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գնահատման վերաբերյալ եզրափակիչ փորձագիտական հաշվետվությունը կազմվում է սույն Կանոնների </w:t>
      </w:r>
      <w:r w:rsidR="00A81E1F" w:rsidRPr="00F06D43">
        <w:rPr>
          <w:rFonts w:ascii="Sylfaen" w:hAnsi="Sylfaen"/>
          <w:sz w:val="24"/>
          <w:szCs w:val="24"/>
        </w:rPr>
        <w:br/>
      </w:r>
      <w:r w:rsidR="006F76EB" w:rsidRPr="00834D52">
        <w:rPr>
          <w:rFonts w:ascii="Sylfaen" w:hAnsi="Sylfaen"/>
          <w:sz w:val="24"/>
          <w:szCs w:val="24"/>
        </w:rPr>
        <w:t>թիվ 16 հավելվածի համաձայն սահմանված ձ</w:t>
      </w:r>
      <w:r w:rsidR="00C54D75">
        <w:rPr>
          <w:rFonts w:ascii="Sylfaen" w:hAnsi="Sylfaen"/>
          <w:sz w:val="24"/>
          <w:szCs w:val="24"/>
        </w:rPr>
        <w:t>և</w:t>
      </w:r>
      <w:r w:rsidR="006F76EB" w:rsidRPr="00834D52">
        <w:rPr>
          <w:rFonts w:ascii="Sylfaen" w:hAnsi="Sylfaen"/>
          <w:sz w:val="24"/>
          <w:szCs w:val="24"/>
        </w:rPr>
        <w:t>ով։</w:t>
      </w:r>
    </w:p>
    <w:p w14:paraId="47477C03" w14:textId="0CD552DA"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 xml:space="preserve">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ոչ ուշ, քան 155 օրացուցային օրվա ընթացքում </w:t>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w:t>
      </w:r>
      <w:r w:rsidRPr="00834D52">
        <w:rPr>
          <w:rFonts w:ascii="Sylfaen" w:hAnsi="Sylfaen"/>
          <w:sz w:val="24"/>
          <w:szCs w:val="24"/>
        </w:rPr>
        <w:lastRenderedPageBreak/>
        <w:t xml:space="preserve">(փորձագիտական կազմակերպությունը) ճանաչման պետություններ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ուղարկում գնահատման վերաբերյալ եզրափակիչ փորձագիտական հաշվետվության նախագիծը՝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հարցմանը </w:t>
      </w:r>
      <w:r w:rsidR="0056496B">
        <w:rPr>
          <w:rFonts w:ascii="Sylfaen" w:hAnsi="Sylfaen"/>
          <w:sz w:val="24"/>
          <w:szCs w:val="24"/>
        </w:rPr>
        <w:t>դիմումատու</w:t>
      </w:r>
      <w:r w:rsidRPr="00834D52">
        <w:rPr>
          <w:rFonts w:ascii="Sylfaen" w:hAnsi="Sylfaen"/>
          <w:sz w:val="24"/>
          <w:szCs w:val="24"/>
        </w:rPr>
        <w:t>ի պատասխանների հետ միասին,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ի նախագիծը, բժշկական կիրառման հրահանգի նախագիծը (ներդիր-թերթիկ), փաթեթվածքների մանրակերտերի նախագիծը, որակի վերաբերյալ նորմատիվ փաստաթղթի նախագիծը,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պլանի նախագիծը։</w:t>
      </w:r>
    </w:p>
    <w:p w14:paraId="1C6D6059" w14:textId="40A7C289" w:rsidR="006F76EB" w:rsidRPr="00834D52" w:rsidRDefault="006F76EB" w:rsidP="00B3138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կազմակերպությունը պատրաստել է գնահատման վերաբերյալ եզրափակիչ փորձագիտական հաշվետվության բացասական նախագիծ </w:t>
      </w:r>
      <w:r w:rsidR="00C54D75">
        <w:rPr>
          <w:rFonts w:ascii="Sylfaen" w:hAnsi="Sylfaen"/>
          <w:sz w:val="24"/>
          <w:szCs w:val="24"/>
        </w:rPr>
        <w:t>և</w:t>
      </w:r>
      <w:r w:rsidRPr="00834D52">
        <w:rPr>
          <w:rFonts w:ascii="Sylfaen" w:hAnsi="Sylfaen"/>
          <w:sz w:val="24"/>
          <w:szCs w:val="24"/>
        </w:rPr>
        <w:t>, սույն Կանոնների 114</w:t>
      </w:r>
      <w:r w:rsidRPr="008341C7">
        <w:rPr>
          <w:rFonts w:ascii="Sylfaen" w:hAnsi="Sylfaen"/>
          <w:sz w:val="24"/>
          <w:szCs w:val="24"/>
        </w:rPr>
        <w:t>-</w:t>
      </w:r>
      <w:r w:rsidRPr="00834D52">
        <w:rPr>
          <w:rFonts w:ascii="Sylfaen" w:hAnsi="Sylfaen"/>
          <w:sz w:val="24"/>
          <w:szCs w:val="24"/>
        </w:rPr>
        <w:t xml:space="preserve">րդ կետին համապատասխան, գրանցումը մերժելու մասին որոշում է կայացրել, ապա դեղապատրաստուկի փորձաքննությունն ու գրանցումը դադարեցվում են։ Կայացված որոշման մասին լիազորված 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w:t>
      </w:r>
      <w:r w:rsidR="0056496B">
        <w:rPr>
          <w:rFonts w:ascii="Sylfaen" w:hAnsi="Sylfaen"/>
          <w:sz w:val="24"/>
          <w:szCs w:val="24"/>
        </w:rPr>
        <w:t>դիմումատու</w:t>
      </w:r>
      <w:r w:rsidRPr="00834D52">
        <w:rPr>
          <w:rFonts w:ascii="Sylfaen" w:hAnsi="Sylfaen"/>
          <w:sz w:val="24"/>
          <w:szCs w:val="24"/>
        </w:rPr>
        <w:t>ին՝ կցելով գնահատման վերաբերյալ նշված եզրափակիչ փորձագիտական հաշվետվությունը։</w:t>
      </w:r>
    </w:p>
    <w:p w14:paraId="2B160755" w14:textId="20CB4FC8" w:rsidR="006F76EB" w:rsidRDefault="006F76EB" w:rsidP="00B3138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կողմից պատրաստվել է գնահատման վերաբերյալ եզրափակիչ փորձագիտական հաշվետվության դրական նախագիծ, ապա դրա քննությունն անցկացնում են ճանաչման պետության լիազորված մարմինները (փորձագիտական կազմակերպությունները)։</w:t>
      </w:r>
    </w:p>
    <w:p w14:paraId="32C0607B" w14:textId="1B265927" w:rsidR="00946981" w:rsidRPr="006F28F9" w:rsidRDefault="00946981" w:rsidP="00946981">
      <w:pPr>
        <w:rPr>
          <w:b/>
          <w:bCs/>
          <w:i/>
          <w:iCs/>
        </w:rPr>
      </w:pPr>
      <w:r w:rsidRPr="00CD4709">
        <w:rPr>
          <w:b/>
          <w:bCs/>
          <w:i/>
          <w:iCs/>
        </w:rPr>
        <w:t>(</w:t>
      </w:r>
      <w:r>
        <w:rPr>
          <w:b/>
          <w:bCs/>
          <w:i/>
          <w:iCs/>
        </w:rPr>
        <w:t xml:space="preserve">104-րդ կետը </w:t>
      </w:r>
      <w:r w:rsidRPr="00CD4709">
        <w:rPr>
          <w:b/>
          <w:bCs/>
          <w:i/>
          <w:iCs/>
        </w:rPr>
        <w:t>փոփ. 30.01.20 թիվ 9)</w:t>
      </w:r>
    </w:p>
    <w:p w14:paraId="072408EC" w14:textId="2936E72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105.</w:t>
      </w:r>
      <w:r w:rsidRPr="00834D52">
        <w:rPr>
          <w:rFonts w:ascii="Sylfaen" w:hAnsi="Sylfaen"/>
          <w:sz w:val="24"/>
          <w:szCs w:val="24"/>
        </w:rPr>
        <w:tab/>
        <w:t>Ճանաչման պետությունների լիազորված մարմինների (փորձագիտական կազմակերպությունների) կողմից դիտողությունների բացակայության դեպքում կամ դրանք սույն Կանոնների 106</w:t>
      </w:r>
      <w:r w:rsidRPr="008341C7">
        <w:rPr>
          <w:rFonts w:ascii="Sylfaen" w:hAnsi="Sylfaen"/>
          <w:sz w:val="24"/>
          <w:szCs w:val="24"/>
        </w:rPr>
        <w:t>-</w:t>
      </w:r>
      <w:r w:rsidRPr="00834D52">
        <w:rPr>
          <w:rFonts w:ascii="Sylfaen" w:hAnsi="Sylfaen"/>
          <w:sz w:val="24"/>
          <w:szCs w:val="24"/>
        </w:rPr>
        <w:t xml:space="preserve">րդ կետին </w:t>
      </w:r>
      <w:r w:rsidRPr="00834D52">
        <w:rPr>
          <w:rFonts w:ascii="Sylfaen" w:hAnsi="Sylfaen"/>
          <w:sz w:val="24"/>
          <w:szCs w:val="24"/>
        </w:rPr>
        <w:lastRenderedPageBreak/>
        <w:t xml:space="preserve">համապատասխան հանելուց հետո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(փորձագիտական կազմակերպությունները) 10 աշխատանքային օրվա ընթացքում ավարտում են դեղապատրաստուկի փորձաքննության ընթացակարգը (գրանցման դիմումի հանձնման օրվանից 175</w:t>
      </w:r>
      <w:r w:rsidRPr="008341C7">
        <w:rPr>
          <w:rFonts w:ascii="Sylfaen" w:hAnsi="Sylfaen"/>
          <w:sz w:val="24"/>
          <w:szCs w:val="24"/>
        </w:rPr>
        <w:t>-</w:t>
      </w:r>
      <w:r w:rsidRPr="00834D52">
        <w:rPr>
          <w:rFonts w:ascii="Sylfaen" w:hAnsi="Sylfaen"/>
          <w:sz w:val="24"/>
          <w:szCs w:val="24"/>
        </w:rPr>
        <w:t>րդ օրացուցային օրը)։</w:t>
      </w:r>
    </w:p>
    <w:p w14:paraId="03CDBBEB" w14:textId="5B4832A3" w:rsidR="00946981" w:rsidRPr="006F28F9" w:rsidRDefault="00946981" w:rsidP="00946981">
      <w:pPr>
        <w:rPr>
          <w:b/>
          <w:bCs/>
          <w:i/>
          <w:iCs/>
        </w:rPr>
      </w:pPr>
      <w:r w:rsidRPr="00CD4709">
        <w:rPr>
          <w:b/>
          <w:bCs/>
          <w:i/>
          <w:iCs/>
        </w:rPr>
        <w:t>(</w:t>
      </w:r>
      <w:r>
        <w:rPr>
          <w:b/>
          <w:bCs/>
          <w:i/>
          <w:iCs/>
        </w:rPr>
        <w:t xml:space="preserve">105-րդ կետը </w:t>
      </w:r>
      <w:r w:rsidRPr="00CD4709">
        <w:rPr>
          <w:b/>
          <w:bCs/>
          <w:i/>
          <w:iCs/>
        </w:rPr>
        <w:t>փոփ. 30.01.20 թիվ 9)</w:t>
      </w:r>
    </w:p>
    <w:p w14:paraId="3A4F005D" w14:textId="77777777" w:rsidR="00946981" w:rsidRPr="00834D52" w:rsidRDefault="00946981" w:rsidP="00955C1D">
      <w:pPr>
        <w:tabs>
          <w:tab w:val="left" w:pos="1134"/>
        </w:tabs>
        <w:spacing w:after="160" w:line="360" w:lineRule="auto"/>
        <w:ind w:right="-6" w:firstLine="567"/>
        <w:jc w:val="both"/>
        <w:rPr>
          <w:rFonts w:ascii="Sylfaen" w:eastAsia="Times New Roman" w:hAnsi="Sylfaen" w:cs="Times New Roman"/>
          <w:sz w:val="24"/>
          <w:szCs w:val="24"/>
        </w:rPr>
      </w:pPr>
    </w:p>
    <w:p w14:paraId="0C76EC53" w14:textId="7BCB716D"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106.</w:t>
      </w:r>
      <w:r w:rsidRPr="00834D52">
        <w:rPr>
          <w:rFonts w:ascii="Sylfaen" w:hAnsi="Sylfaen"/>
          <w:sz w:val="24"/>
          <w:szCs w:val="24"/>
        </w:rPr>
        <w:tab/>
        <w:t>Ճանաչման պետությունների լիազորված մարմինների (փորձագիտական կազմակերպությունների) կողմից գնահատման վերաբերյալ եզրափակիչ փորձագիտական հաշվետվության նախագծի, ԴՊԸԲ</w:t>
      </w:r>
      <w:r w:rsidRPr="008341C7">
        <w:rPr>
          <w:rFonts w:ascii="Sylfaen" w:hAnsi="Sylfaen"/>
          <w:sz w:val="24"/>
          <w:szCs w:val="24"/>
        </w:rPr>
        <w:t>-</w:t>
      </w:r>
      <w:r w:rsidRPr="00834D52">
        <w:rPr>
          <w:rFonts w:ascii="Sylfaen" w:hAnsi="Sylfaen"/>
          <w:sz w:val="24"/>
          <w:szCs w:val="24"/>
        </w:rPr>
        <w:t xml:space="preserve">ի նախագծի, բժշկական կիրառման հրահանգի նախագծի, փաթեթվածքների մանրակերտերի նախագծի կամ որակի վերաբերյալ նորմատիվ փաստաթղթի նախագծի, ռիսկերի կառավարման պլանի նախագծի (անհրաժեշտության դեպքում) հետ կապված դիտողությունների առկայության դեպքում ճանաչման պետությունների լիազորված մարմինները (փորձագիտական կազմակերպությունները) անհրաժեշտության դեպքում </w:t>
      </w:r>
      <w:r w:rsidR="009F49FE">
        <w:rPr>
          <w:rFonts w:ascii="Sylfaen" w:hAnsi="Sylfaen"/>
          <w:sz w:val="24"/>
          <w:szCs w:val="24"/>
        </w:rPr>
        <w:t xml:space="preserve">ռեֆերենտ </w:t>
      </w:r>
      <w:r w:rsidRPr="00834D52">
        <w:rPr>
          <w:rFonts w:ascii="Sylfaen" w:hAnsi="Sylfaen"/>
          <w:sz w:val="24"/>
          <w:szCs w:val="24"/>
        </w:rPr>
        <w:t>պետության կամ ճանաչման պետությունների լիազորված մարմնի (փորձագիտական կազմակերպության) հետ 10 աշխատանքային օրվա ընթացքում անցկացնում են էլեկտրոնային եղանակով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165</w:t>
      </w:r>
      <w:r w:rsidRPr="008341C7">
        <w:rPr>
          <w:rFonts w:ascii="Sylfaen" w:hAnsi="Sylfaen"/>
          <w:sz w:val="24"/>
          <w:szCs w:val="24"/>
        </w:rPr>
        <w:t>-</w:t>
      </w:r>
      <w:r w:rsidRPr="00834D52">
        <w:rPr>
          <w:rFonts w:ascii="Sylfaen" w:hAnsi="Sylfaen"/>
          <w:sz w:val="24"/>
          <w:szCs w:val="24"/>
        </w:rPr>
        <w:t>րդ օրացուցային օրը)։</w:t>
      </w:r>
    </w:p>
    <w:p w14:paraId="46CB571C" w14:textId="2F8D9240" w:rsidR="00946981" w:rsidRPr="006F28F9" w:rsidRDefault="00946981" w:rsidP="00946981">
      <w:pPr>
        <w:rPr>
          <w:b/>
          <w:bCs/>
          <w:i/>
          <w:iCs/>
        </w:rPr>
      </w:pPr>
      <w:r w:rsidRPr="00CD4709">
        <w:rPr>
          <w:b/>
          <w:bCs/>
          <w:i/>
          <w:iCs/>
        </w:rPr>
        <w:t>(</w:t>
      </w:r>
      <w:r>
        <w:rPr>
          <w:b/>
          <w:bCs/>
          <w:i/>
          <w:iCs/>
        </w:rPr>
        <w:t xml:space="preserve">106-րդ կետը </w:t>
      </w:r>
      <w:r w:rsidRPr="00CD4709">
        <w:rPr>
          <w:b/>
          <w:bCs/>
          <w:i/>
          <w:iCs/>
        </w:rPr>
        <w:t>փոփ. 30.01.20 թիվ 9)</w:t>
      </w:r>
    </w:p>
    <w:p w14:paraId="4954F488"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107.</w:t>
      </w:r>
      <w:r w:rsidRPr="00834D52">
        <w:rPr>
          <w:rFonts w:ascii="Sylfaen" w:hAnsi="Sylfaen"/>
          <w:sz w:val="24"/>
          <w:szCs w:val="24"/>
        </w:rPr>
        <w:tab/>
        <w:t xml:space="preserve">Փոխադարձ խորհրդակցությունների շրջանակներում չկարգավորված տարաձայնությունների առկայության դեպքում ճանաչման պետության լիազորված մարմինը (փորձագիտական կազմակերպությունը) </w:t>
      </w:r>
      <w:r w:rsidR="009F49FE">
        <w:rPr>
          <w:rFonts w:ascii="Sylfaen" w:hAnsi="Sylfaen"/>
          <w:sz w:val="24"/>
          <w:szCs w:val="24"/>
        </w:rPr>
        <w:t xml:space="preserve">ռեֆերենտ </w:t>
      </w:r>
      <w:r w:rsidRPr="00834D52">
        <w:rPr>
          <w:rFonts w:ascii="Sylfaen" w:hAnsi="Sylfaen"/>
          <w:sz w:val="24"/>
          <w:szCs w:val="24"/>
        </w:rPr>
        <w:t xml:space="preserve">պետության՝ գնահատման վերաբերյալ եզրափակիչ փորձագիտական հաշվետվությունը ստանալու օրվանից 10 աշխատանքային օրը չգերազանցող ժամկետում ինտեգրված համակարգի միջոցների օգտագործմամբ, հաշվի առնելով </w:t>
      </w:r>
      <w:r w:rsidRPr="00834D52">
        <w:rPr>
          <w:rFonts w:ascii="Sylfaen" w:hAnsi="Sylfaen"/>
          <w:sz w:val="24"/>
          <w:szCs w:val="24"/>
        </w:rPr>
        <w:lastRenderedPageBreak/>
        <w:t>սույն Կանոնների 106</w:t>
      </w:r>
      <w:r w:rsidRPr="008341C7">
        <w:rPr>
          <w:rFonts w:ascii="Sylfaen" w:hAnsi="Sylfaen"/>
          <w:sz w:val="24"/>
          <w:szCs w:val="24"/>
        </w:rPr>
        <w:t>-</w:t>
      </w:r>
      <w:r w:rsidRPr="00834D52">
        <w:rPr>
          <w:rFonts w:ascii="Sylfaen" w:hAnsi="Sylfaen"/>
          <w:sz w:val="24"/>
          <w:szCs w:val="24"/>
        </w:rPr>
        <w:t xml:space="preserve">րդ կետի պայմանները,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 (փորձագիտական կազմակերպություն), ինչպես նա</w:t>
      </w:r>
      <w:r w:rsidR="00C54D75">
        <w:rPr>
          <w:rFonts w:ascii="Sylfaen" w:hAnsi="Sylfaen"/>
          <w:sz w:val="24"/>
          <w:szCs w:val="24"/>
        </w:rPr>
        <w:t>և</w:t>
      </w:r>
      <w:r w:rsidRPr="00834D52">
        <w:rPr>
          <w:rFonts w:ascii="Sylfaen" w:hAnsi="Sylfaen"/>
          <w:sz w:val="24"/>
          <w:szCs w:val="24"/>
        </w:rPr>
        <w:t xml:space="preserve"> Փորձագիտական կոմիտե է ուղարկում </w:t>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հաշվետվության ճանաչման անհնարինության մասին եզրակացությունը, այդ թվում՝ թղթային կրիչով՝ բացասական որոշման պատճառների հիմնավորմամբ։</w:t>
      </w:r>
    </w:p>
    <w:p w14:paraId="5B35F114" w14:textId="77777777" w:rsidR="006F76EB" w:rsidRPr="00834D52" w:rsidRDefault="006F76EB" w:rsidP="00955C1D">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108.</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ճանաչման պետությունների կողմից ճանաչելու անհնարինության մասին եզրակացությունն ուղարկելու օրվանից 60 օրացուցային օրը չգերազանցող ժամկետում Փորձագիտական կոմիտեն իրականացնում է տարաձայնությունների կարգավորման ընթացակարգ՝ Հանձնաժողովի կողմից սահմանված կարգին համապատասխան։</w:t>
      </w:r>
    </w:p>
    <w:p w14:paraId="3F6E66C8" w14:textId="7777777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Եթե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մարմինների միջ</w:t>
      </w:r>
      <w:r w:rsidR="00C54D75">
        <w:rPr>
          <w:rFonts w:ascii="Sylfaen" w:hAnsi="Sylfaen"/>
          <w:spacing w:val="4"/>
          <w:sz w:val="24"/>
          <w:szCs w:val="24"/>
        </w:rPr>
        <w:t>և</w:t>
      </w:r>
      <w:r w:rsidRPr="00834D52">
        <w:rPr>
          <w:rFonts w:ascii="Sylfaen" w:hAnsi="Sylfaen"/>
          <w:spacing w:val="4"/>
          <w:sz w:val="24"/>
          <w:szCs w:val="24"/>
        </w:rPr>
        <w:t xml:space="preserve"> գնահատման վերաբերյալ փորձագիտական հաշվետվության ճանաչման մասով տարաձայնությունները կարգավորվել են, ապա նրանք անցնում են փորձաքննության ընթացակարգի ավարտին </w:t>
      </w:r>
      <w:r w:rsidR="00C54D75">
        <w:rPr>
          <w:rFonts w:ascii="Sylfaen" w:hAnsi="Sylfaen"/>
          <w:spacing w:val="4"/>
          <w:sz w:val="24"/>
          <w:szCs w:val="24"/>
        </w:rPr>
        <w:t>և</w:t>
      </w:r>
      <w:r w:rsidRPr="00834D52">
        <w:rPr>
          <w:rFonts w:ascii="Sylfaen" w:hAnsi="Sylfaen"/>
          <w:spacing w:val="4"/>
          <w:sz w:val="24"/>
          <w:szCs w:val="24"/>
        </w:rPr>
        <w:t xml:space="preserve"> ամփոփիչ փաստաթղթերի տրամադրման ընթացակարգին՝ սույն Կանոնների 105</w:t>
      </w:r>
      <w:r w:rsidRPr="008341C7">
        <w:rPr>
          <w:rFonts w:ascii="Sylfaen" w:hAnsi="Sylfaen"/>
          <w:spacing w:val="4"/>
          <w:sz w:val="24"/>
          <w:szCs w:val="24"/>
        </w:rPr>
        <w:t>-</w:t>
      </w:r>
      <w:r w:rsidRPr="00834D52">
        <w:rPr>
          <w:rFonts w:ascii="Sylfaen" w:hAnsi="Sylfaen"/>
          <w:spacing w:val="4"/>
          <w:sz w:val="24"/>
          <w:szCs w:val="24"/>
        </w:rPr>
        <w:t xml:space="preserve">րդ </w:t>
      </w:r>
      <w:r w:rsidR="00C54D75">
        <w:rPr>
          <w:rFonts w:ascii="Sylfaen" w:hAnsi="Sylfaen"/>
          <w:spacing w:val="4"/>
          <w:sz w:val="24"/>
          <w:szCs w:val="24"/>
        </w:rPr>
        <w:t>և</w:t>
      </w:r>
      <w:r w:rsidRPr="00834D52">
        <w:rPr>
          <w:rFonts w:ascii="Sylfaen" w:hAnsi="Sylfaen"/>
          <w:spacing w:val="4"/>
          <w:sz w:val="24"/>
          <w:szCs w:val="24"/>
        </w:rPr>
        <w:t xml:space="preserve"> 109</w:t>
      </w:r>
      <w:r w:rsidRPr="008341C7">
        <w:rPr>
          <w:rFonts w:ascii="Sylfaen" w:hAnsi="Sylfaen"/>
          <w:spacing w:val="4"/>
          <w:sz w:val="24"/>
          <w:szCs w:val="24"/>
        </w:rPr>
        <w:t>-</w:t>
      </w:r>
      <w:r w:rsidRPr="00834D52">
        <w:rPr>
          <w:rFonts w:ascii="Sylfaen" w:hAnsi="Sylfaen"/>
          <w:spacing w:val="4"/>
          <w:sz w:val="24"/>
          <w:szCs w:val="24"/>
        </w:rPr>
        <w:t>113</w:t>
      </w:r>
      <w:r w:rsidRPr="008341C7">
        <w:rPr>
          <w:rFonts w:ascii="Sylfaen" w:hAnsi="Sylfaen"/>
          <w:spacing w:val="4"/>
          <w:sz w:val="24"/>
          <w:szCs w:val="24"/>
        </w:rPr>
        <w:t>-</w:t>
      </w:r>
      <w:r w:rsidRPr="00834D52">
        <w:rPr>
          <w:rFonts w:ascii="Sylfaen" w:hAnsi="Sylfaen"/>
          <w:spacing w:val="4"/>
          <w:sz w:val="24"/>
          <w:szCs w:val="24"/>
        </w:rPr>
        <w:t>րդ կետերին համապատասխան։</w:t>
      </w:r>
    </w:p>
    <w:p w14:paraId="0969CA52" w14:textId="6530807B" w:rsidR="006F76EB" w:rsidRDefault="006F76EB" w:rsidP="00955C1D">
      <w:pPr>
        <w:spacing w:after="160" w:line="360" w:lineRule="auto"/>
        <w:ind w:right="-8" w:firstLine="567"/>
        <w:jc w:val="both"/>
        <w:rPr>
          <w:rFonts w:ascii="Sylfaen" w:hAnsi="Sylfaen"/>
          <w:sz w:val="24"/>
          <w:szCs w:val="24"/>
        </w:rPr>
      </w:pPr>
      <w:r w:rsidRPr="00834D52">
        <w:rPr>
          <w:rFonts w:ascii="Sylfaen" w:hAnsi="Sylfaen"/>
          <w:sz w:val="24"/>
          <w:szCs w:val="24"/>
        </w:rPr>
        <w:t xml:space="preserve">Եթե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գնահատման վերաբերյալ փորձագիտական հաշվետվության ճանաչման մասով տարաձայնությունները կարգավորված չեն, ապա </w:t>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որոնք կայացրել են գնահատման վերաբերյալ փորձագիտական հաշվետվության ճանաչման մասին դրական որոշում, անցնում են փորձաքննության ընթացակարգի ավարտին </w:t>
      </w:r>
      <w:r w:rsidR="00C54D75">
        <w:rPr>
          <w:rFonts w:ascii="Sylfaen" w:hAnsi="Sylfaen"/>
          <w:sz w:val="24"/>
          <w:szCs w:val="24"/>
        </w:rPr>
        <w:t>և</w:t>
      </w:r>
      <w:r w:rsidRPr="00834D52">
        <w:rPr>
          <w:rFonts w:ascii="Sylfaen" w:hAnsi="Sylfaen"/>
          <w:sz w:val="24"/>
          <w:szCs w:val="24"/>
        </w:rPr>
        <w:t xml:space="preserve"> ամփոփիչ փաստաթղթերի տրամադրման ընթացակարգին՝ սույն </w:t>
      </w:r>
      <w:r w:rsidRPr="00834D52">
        <w:rPr>
          <w:rFonts w:ascii="Sylfaen" w:hAnsi="Sylfaen"/>
          <w:sz w:val="24"/>
          <w:szCs w:val="24"/>
        </w:rPr>
        <w:lastRenderedPageBreak/>
        <w:t>Կանոնների 105</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109</w:t>
      </w:r>
      <w:r w:rsidRPr="008341C7">
        <w:rPr>
          <w:rFonts w:ascii="Sylfaen" w:hAnsi="Sylfaen"/>
          <w:sz w:val="24"/>
          <w:szCs w:val="24"/>
        </w:rPr>
        <w:t>-</w:t>
      </w:r>
      <w:r w:rsidRPr="00834D52">
        <w:rPr>
          <w:rFonts w:ascii="Sylfaen" w:hAnsi="Sylfaen"/>
          <w:sz w:val="24"/>
          <w:szCs w:val="24"/>
        </w:rPr>
        <w:t>113</w:t>
      </w:r>
      <w:r w:rsidRPr="008341C7">
        <w:rPr>
          <w:rFonts w:ascii="Sylfaen" w:hAnsi="Sylfaen"/>
          <w:sz w:val="24"/>
          <w:szCs w:val="24"/>
        </w:rPr>
        <w:t>-</w:t>
      </w:r>
      <w:r w:rsidRPr="00834D52">
        <w:rPr>
          <w:rFonts w:ascii="Sylfaen" w:hAnsi="Sylfaen"/>
          <w:sz w:val="24"/>
          <w:szCs w:val="24"/>
        </w:rPr>
        <w:t xml:space="preserve">րդ կետերին համապատասխան։ </w:t>
      </w:r>
      <w:r w:rsidR="0056496B">
        <w:rPr>
          <w:rFonts w:ascii="Sylfaen" w:hAnsi="Sylfaen"/>
          <w:sz w:val="24"/>
          <w:szCs w:val="24"/>
        </w:rPr>
        <w:t>Դիմումատու</w:t>
      </w:r>
      <w:r w:rsidRPr="00834D52">
        <w:rPr>
          <w:rFonts w:ascii="Sylfaen" w:hAnsi="Sylfaen"/>
          <w:sz w:val="24"/>
          <w:szCs w:val="24"/>
        </w:rPr>
        <w:t>ի խնդրանքով այդ անդամ պետությունների լիազորված մարմինների կողմից գրանցման հավաստագրի տրամադրումը կարող է կասեցվել մինչ</w:t>
      </w:r>
      <w:r w:rsidR="00C54D75">
        <w:rPr>
          <w:rFonts w:ascii="Sylfaen" w:hAnsi="Sylfaen"/>
          <w:sz w:val="24"/>
          <w:szCs w:val="24"/>
        </w:rPr>
        <w:t>և</w:t>
      </w:r>
      <w:r w:rsidRPr="00834D52">
        <w:rPr>
          <w:rFonts w:ascii="Sylfaen" w:hAnsi="Sylfaen"/>
          <w:sz w:val="24"/>
          <w:szCs w:val="24"/>
        </w:rPr>
        <w:t xml:space="preserve"> այլ ճանաչման պետությունների </w:t>
      </w:r>
      <w:r w:rsidR="00C54D75">
        <w:rPr>
          <w:rFonts w:ascii="Sylfaen" w:hAnsi="Sylfaen"/>
          <w:sz w:val="24"/>
          <w:szCs w:val="24"/>
        </w:rPr>
        <w:t>և</w:t>
      </w:r>
      <w:r w:rsidRPr="00834D52">
        <w:rPr>
          <w:rFonts w:ascii="Sylfaen" w:hAnsi="Sylfaen"/>
          <w:sz w:val="24"/>
          <w:szCs w:val="24"/>
        </w:rPr>
        <w:t xml:space="preserve">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մարմինների միջ</w:t>
      </w:r>
      <w:r w:rsidR="00C54D75">
        <w:rPr>
          <w:rFonts w:ascii="Sylfaen" w:hAnsi="Sylfaen"/>
          <w:sz w:val="24"/>
          <w:szCs w:val="24"/>
        </w:rPr>
        <w:t>և</w:t>
      </w:r>
      <w:r w:rsidRPr="00834D52">
        <w:rPr>
          <w:rFonts w:ascii="Sylfaen" w:hAnsi="Sylfaen"/>
          <w:sz w:val="24"/>
          <w:szCs w:val="24"/>
        </w:rPr>
        <w:t xml:space="preserve"> տարաձայնությունների վերացումը։</w:t>
      </w:r>
    </w:p>
    <w:p w14:paraId="10BDE9B8" w14:textId="157F31EF" w:rsidR="00946981" w:rsidRPr="006F28F9" w:rsidRDefault="00946981" w:rsidP="00946981">
      <w:pPr>
        <w:rPr>
          <w:b/>
          <w:bCs/>
          <w:i/>
          <w:iCs/>
        </w:rPr>
      </w:pPr>
      <w:r w:rsidRPr="00CD4709">
        <w:rPr>
          <w:b/>
          <w:bCs/>
          <w:i/>
          <w:iCs/>
        </w:rPr>
        <w:t>(</w:t>
      </w:r>
      <w:r>
        <w:rPr>
          <w:b/>
          <w:bCs/>
          <w:i/>
          <w:iCs/>
        </w:rPr>
        <w:t xml:space="preserve">108-րդ կետը </w:t>
      </w:r>
      <w:r w:rsidRPr="00CD4709">
        <w:rPr>
          <w:b/>
          <w:bCs/>
          <w:i/>
          <w:iCs/>
        </w:rPr>
        <w:t>փոփ. 30.01.20 թիվ 9)</w:t>
      </w:r>
    </w:p>
    <w:p w14:paraId="3A836017" w14:textId="4BAB5DAA" w:rsidR="006F76EB" w:rsidRDefault="006F76EB" w:rsidP="00955C1D">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109.</w:t>
      </w:r>
      <w:r w:rsidRPr="00834D52">
        <w:rPr>
          <w:rFonts w:ascii="Sylfaen" w:hAnsi="Sylfaen"/>
          <w:spacing w:val="-4"/>
          <w:sz w:val="24"/>
          <w:szCs w:val="24"/>
        </w:rPr>
        <w:tab/>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w:t>
      </w:r>
      <w:r w:rsidR="00C54D75">
        <w:rPr>
          <w:rFonts w:ascii="Sylfaen" w:hAnsi="Sylfaen"/>
          <w:spacing w:val="-4"/>
          <w:sz w:val="24"/>
          <w:szCs w:val="24"/>
        </w:rPr>
        <w:t>և</w:t>
      </w:r>
      <w:r w:rsidRPr="00834D52">
        <w:rPr>
          <w:rFonts w:ascii="Sylfaen" w:hAnsi="Sylfaen"/>
          <w:spacing w:val="-4"/>
          <w:sz w:val="24"/>
          <w:szCs w:val="24"/>
        </w:rPr>
        <w:t xml:space="preserve"> ճանաչման պետությունների լիազորված մարմինները (փորձագիտական կազմակերպությունները), որոնք, սույն Կանոնների </w:t>
      </w:r>
      <w:r w:rsidRPr="008341C7">
        <w:rPr>
          <w:rFonts w:ascii="Sylfaen" w:hAnsi="Sylfaen"/>
          <w:spacing w:val="-4"/>
          <w:sz w:val="24"/>
          <w:szCs w:val="24"/>
        </w:rPr>
        <w:t xml:space="preserve">105-րդ </w:t>
      </w:r>
      <w:r w:rsidR="00C54D75">
        <w:rPr>
          <w:rFonts w:ascii="Sylfaen" w:hAnsi="Sylfaen"/>
          <w:spacing w:val="-4"/>
          <w:sz w:val="24"/>
          <w:szCs w:val="24"/>
        </w:rPr>
        <w:t>և</w:t>
      </w:r>
      <w:r w:rsidRPr="008341C7">
        <w:rPr>
          <w:rFonts w:ascii="Sylfaen" w:hAnsi="Sylfaen"/>
          <w:spacing w:val="-4"/>
          <w:sz w:val="24"/>
          <w:szCs w:val="24"/>
        </w:rPr>
        <w:t xml:space="preserve"> 108-րդ</w:t>
      </w:r>
      <w:r w:rsidRPr="00834D52">
        <w:rPr>
          <w:rFonts w:ascii="Sylfaen" w:hAnsi="Sylfaen"/>
          <w:spacing w:val="-4"/>
          <w:sz w:val="24"/>
          <w:szCs w:val="24"/>
        </w:rPr>
        <w:t xml:space="preserve"> կետերին համապատասխան, փորձաքննության արդյունքներով դեղապատրաստուկի գրանցման հնարավորության մասին կայացրել են դրական որոշում, ոչ ուշ, քան 30 օրացուցային օրվա ընթացքում անցնում են ամփոփիչ փաստաթղթեր տրամադրելու ընթացակարգին։ Այդ թվում նշված ժամկետում 10</w:t>
      </w:r>
      <w:r w:rsidR="000839F9" w:rsidRPr="000839F9">
        <w:rPr>
          <w:rFonts w:ascii="Sylfaen" w:hAnsi="Sylfaen"/>
          <w:spacing w:val="-4"/>
          <w:sz w:val="24"/>
          <w:szCs w:val="24"/>
        </w:rPr>
        <w:t> </w:t>
      </w:r>
      <w:r w:rsidRPr="00834D52">
        <w:rPr>
          <w:rFonts w:ascii="Sylfaen" w:hAnsi="Sylfaen"/>
          <w:spacing w:val="-4"/>
          <w:sz w:val="24"/>
          <w:szCs w:val="24"/>
        </w:rPr>
        <w:t xml:space="preserve">աշխատանքային օրվա ընթացքում </w:t>
      </w:r>
      <w:r w:rsidR="0056496B">
        <w:rPr>
          <w:rFonts w:ascii="Sylfaen" w:hAnsi="Sylfaen"/>
          <w:spacing w:val="-4"/>
          <w:sz w:val="24"/>
          <w:szCs w:val="24"/>
        </w:rPr>
        <w:t>դիմումատու</w:t>
      </w:r>
      <w:r w:rsidRPr="00834D52">
        <w:rPr>
          <w:rFonts w:ascii="Sylfaen" w:hAnsi="Sylfaen"/>
          <w:spacing w:val="-4"/>
          <w:sz w:val="24"/>
          <w:szCs w:val="24"/>
        </w:rPr>
        <w:t>ն պարտավոր</w:t>
      </w:r>
      <w:r w:rsidRPr="00834D52">
        <w:rPr>
          <w:rFonts w:ascii="Sylfaen" w:hAnsi="Sylfaen"/>
          <w:spacing w:val="-4"/>
        </w:rPr>
        <w:t xml:space="preserve"> </w:t>
      </w:r>
      <w:r w:rsidRPr="00834D52">
        <w:rPr>
          <w:rFonts w:ascii="Sylfaen" w:hAnsi="Sylfaen"/>
          <w:spacing w:val="-4"/>
          <w:sz w:val="24"/>
          <w:szCs w:val="24"/>
        </w:rPr>
        <w:t>է ԴՊԸԲ</w:t>
      </w:r>
      <w:r w:rsidRPr="008341C7">
        <w:rPr>
          <w:rFonts w:ascii="Sylfaen" w:hAnsi="Sylfaen"/>
          <w:spacing w:val="-4"/>
          <w:sz w:val="24"/>
          <w:szCs w:val="24"/>
        </w:rPr>
        <w:t>-</w:t>
      </w:r>
      <w:r w:rsidRPr="00834D52">
        <w:rPr>
          <w:rFonts w:ascii="Sylfaen" w:hAnsi="Sylfaen"/>
          <w:spacing w:val="-4"/>
          <w:sz w:val="24"/>
          <w:szCs w:val="24"/>
        </w:rPr>
        <w:t>ն, բժշկական կիրառման հրահանգի նախագիծը, փաթեթվածքների մանրակերտերը թարգմանել անդամ պետությունների լեզուներով, եթե վերջիններիս օրենսդրության մեջ առկա է համապատասխան պահանջ։</w:t>
      </w:r>
    </w:p>
    <w:p w14:paraId="0835134F" w14:textId="6FB495EB" w:rsidR="00946981" w:rsidRPr="006F28F9" w:rsidRDefault="00946981" w:rsidP="00946981">
      <w:pPr>
        <w:rPr>
          <w:b/>
          <w:bCs/>
          <w:i/>
          <w:iCs/>
        </w:rPr>
      </w:pPr>
      <w:r w:rsidRPr="00CD4709">
        <w:rPr>
          <w:b/>
          <w:bCs/>
          <w:i/>
          <w:iCs/>
        </w:rPr>
        <w:t>(</w:t>
      </w:r>
      <w:r>
        <w:rPr>
          <w:b/>
          <w:bCs/>
          <w:i/>
          <w:iCs/>
        </w:rPr>
        <w:t xml:space="preserve">109-րդ կետը </w:t>
      </w:r>
      <w:r w:rsidRPr="00CD4709">
        <w:rPr>
          <w:b/>
          <w:bCs/>
          <w:i/>
          <w:iCs/>
        </w:rPr>
        <w:t>փոփ. 30.01.20 թիվ 9)</w:t>
      </w:r>
    </w:p>
    <w:p w14:paraId="5D0A23F3" w14:textId="07DC8067" w:rsidR="006F76EB" w:rsidRPr="00834D52" w:rsidRDefault="006F76EB" w:rsidP="00955C1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Ոչ ուշ, քան 30 օրացուցային օրվա ընթացքում (գրանցման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205</w:t>
      </w:r>
      <w:r w:rsidRPr="008341C7">
        <w:rPr>
          <w:rFonts w:ascii="Sylfaen" w:hAnsi="Sylfaen"/>
          <w:sz w:val="24"/>
          <w:szCs w:val="24"/>
        </w:rPr>
        <w:t>-</w:t>
      </w:r>
      <w:r w:rsidRPr="00834D52">
        <w:rPr>
          <w:rFonts w:ascii="Sylfaen" w:hAnsi="Sylfaen"/>
          <w:sz w:val="24"/>
          <w:szCs w:val="24"/>
        </w:rPr>
        <w:t>րդ օրացուցային օրը)՝</w:t>
      </w:r>
    </w:p>
    <w:p w14:paraId="69121A0F" w14:textId="7EACF9F4"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լիազորված մարմինը սույն Կանոնների </w:t>
      </w:r>
      <w:r w:rsidR="000839F9" w:rsidRPr="00F06D43">
        <w:rPr>
          <w:rFonts w:ascii="Sylfaen" w:hAnsi="Sylfaen"/>
          <w:sz w:val="24"/>
          <w:szCs w:val="24"/>
        </w:rPr>
        <w:br/>
      </w:r>
      <w:r w:rsidRPr="00834D52">
        <w:rPr>
          <w:rFonts w:ascii="Sylfaen" w:hAnsi="Sylfaen"/>
          <w:sz w:val="24"/>
          <w:szCs w:val="24"/>
        </w:rPr>
        <w:t>թիվ 17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w:t>
      </w:r>
      <w:r w:rsidR="0056496B">
        <w:rPr>
          <w:rFonts w:ascii="Sylfaen" w:hAnsi="Sylfaen"/>
          <w:sz w:val="24"/>
          <w:szCs w:val="24"/>
        </w:rPr>
        <w:t>դիմումատու</w:t>
      </w:r>
      <w:r w:rsidRPr="00834D52">
        <w:rPr>
          <w:rFonts w:ascii="Sylfaen" w:hAnsi="Sylfaen"/>
          <w:sz w:val="24"/>
          <w:szCs w:val="24"/>
        </w:rPr>
        <w:t>ին տրամադրում է դեղապատրաստուկի գրանցման հավաստագիրը,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որակի նորմատիվ փաստաթուղթը, փաթեթվածքների մանրակերտերը, գնահատման վերաբերյալ փորձագիտական հաշվետվությունը (անհրաժեշտության դեպքում </w:t>
      </w:r>
      <w:r w:rsidR="0056496B">
        <w:rPr>
          <w:rFonts w:ascii="Sylfaen" w:hAnsi="Sylfaen"/>
          <w:sz w:val="24"/>
          <w:szCs w:val="24"/>
        </w:rPr>
        <w:t>դիմումատու</w:t>
      </w:r>
      <w:r w:rsidRPr="00834D52">
        <w:rPr>
          <w:rFonts w:ascii="Sylfaen" w:hAnsi="Sylfaen"/>
          <w:sz w:val="24"/>
          <w:szCs w:val="24"/>
        </w:rPr>
        <w:t xml:space="preserve">ին </w:t>
      </w:r>
      <w:r w:rsidR="009F49FE">
        <w:rPr>
          <w:rFonts w:ascii="Sylfaen" w:hAnsi="Sylfaen"/>
          <w:sz w:val="24"/>
          <w:szCs w:val="24"/>
        </w:rPr>
        <w:t xml:space="preserve">ռեֆերենտ </w:t>
      </w:r>
      <w:r w:rsidRPr="00834D52">
        <w:rPr>
          <w:rFonts w:ascii="Sylfaen" w:hAnsi="Sylfaen"/>
          <w:sz w:val="24"/>
          <w:szCs w:val="24"/>
        </w:rPr>
        <w:t>պետության պետական լեզվով տրամադրվում են հաստատված ԴՊԸԲ</w:t>
      </w:r>
      <w:r w:rsidRPr="008341C7">
        <w:rPr>
          <w:rFonts w:ascii="Sylfaen" w:hAnsi="Sylfaen"/>
          <w:sz w:val="24"/>
          <w:szCs w:val="24"/>
        </w:rPr>
        <w:t>-</w:t>
      </w:r>
      <w:r w:rsidRPr="00834D52">
        <w:rPr>
          <w:rFonts w:ascii="Sylfaen" w:hAnsi="Sylfaen"/>
          <w:sz w:val="24"/>
          <w:szCs w:val="24"/>
        </w:rPr>
        <w:t xml:space="preserve">ները,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w:t>
      </w:r>
      <w:r w:rsidRPr="00834D52">
        <w:rPr>
          <w:rFonts w:ascii="Sylfaen" w:hAnsi="Sylfaen"/>
          <w:sz w:val="24"/>
          <w:szCs w:val="24"/>
        </w:rPr>
        <w:lastRenderedPageBreak/>
        <w:t>կիրառման ժամանակ ռիսկերի կառավարման համաձայնեցված պլանը,</w:t>
      </w:r>
    </w:p>
    <w:p w14:paraId="767EAA28" w14:textId="7DE83C9F"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բ)</w:t>
      </w:r>
      <w:r w:rsidRPr="00834D52">
        <w:rPr>
          <w:rFonts w:ascii="Sylfaen" w:hAnsi="Sylfaen"/>
          <w:sz w:val="24"/>
          <w:szCs w:val="24"/>
        </w:rPr>
        <w:tab/>
        <w:t>ճանաչման պետությունների լիազորված մարմինները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դեղապատրաստուկի գրանցման հավաստագրերը,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հրահանգը, փաթեթվածքների մանրակերտերը,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կիրառման ժամանակ ռիսկերի կառավարման համաձայնեցված պլանը </w:t>
      </w:r>
      <w:r w:rsidR="0056496B">
        <w:rPr>
          <w:rFonts w:ascii="Sylfaen" w:hAnsi="Sylfaen"/>
          <w:sz w:val="24"/>
          <w:szCs w:val="24"/>
        </w:rPr>
        <w:t>դիմումատու</w:t>
      </w:r>
      <w:r w:rsidRPr="00834D52">
        <w:rPr>
          <w:rFonts w:ascii="Sylfaen" w:hAnsi="Sylfaen"/>
          <w:sz w:val="24"/>
          <w:szCs w:val="24"/>
        </w:rPr>
        <w:t>ին են տրամադրում ճանաչման պետությունների պետական լեզվով (անդամ պետությունների օրենսդրության մեջ համապատասխան պահանջների առկայության դեպքում)։</w:t>
      </w:r>
    </w:p>
    <w:p w14:paraId="516AA176" w14:textId="2E17AA8C" w:rsidR="00946981" w:rsidRPr="006F28F9" w:rsidRDefault="00946981" w:rsidP="00946981">
      <w:pPr>
        <w:rPr>
          <w:b/>
          <w:bCs/>
          <w:i/>
          <w:iCs/>
        </w:rPr>
      </w:pPr>
      <w:r w:rsidRPr="00CD4709">
        <w:rPr>
          <w:b/>
          <w:bCs/>
          <w:i/>
          <w:iCs/>
        </w:rPr>
        <w:t>(</w:t>
      </w:r>
      <w:r>
        <w:rPr>
          <w:b/>
          <w:bCs/>
          <w:i/>
          <w:iCs/>
        </w:rPr>
        <w:t xml:space="preserve">110-րդ կետը </w:t>
      </w:r>
      <w:r w:rsidRPr="00CD4709">
        <w:rPr>
          <w:b/>
          <w:bCs/>
          <w:i/>
          <w:iCs/>
        </w:rPr>
        <w:t>փոփ. 30.01.20 թիվ 9)</w:t>
      </w:r>
    </w:p>
    <w:p w14:paraId="7452B24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տեղեկությունները տեղադրում են միասնական ռեեստրում՝ կցելով հաստատված ԴՊԸԲ</w:t>
      </w:r>
      <w:r w:rsidRPr="008341C7">
        <w:rPr>
          <w:rFonts w:ascii="Sylfaen" w:hAnsi="Sylfaen"/>
          <w:sz w:val="24"/>
          <w:szCs w:val="24"/>
        </w:rPr>
        <w:t>-</w:t>
      </w:r>
      <w:r w:rsidRPr="00834D52">
        <w:rPr>
          <w:rFonts w:ascii="Sylfaen" w:hAnsi="Sylfaen"/>
          <w:sz w:val="24"/>
          <w:szCs w:val="24"/>
        </w:rPr>
        <w:t>ները, բժշկական կիրառման հրահանգները, փաթեթվածքների մանրակերտերը, որակի նորմատիվ փաստաթուղթը, ինչպես նա</w:t>
      </w:r>
      <w:r w:rsidR="00C54D75">
        <w:rPr>
          <w:rFonts w:ascii="Sylfaen" w:hAnsi="Sylfaen"/>
          <w:sz w:val="24"/>
          <w:szCs w:val="24"/>
        </w:rPr>
        <w:t>և</w:t>
      </w:r>
      <w:r w:rsidRPr="00834D52">
        <w:rPr>
          <w:rFonts w:ascii="Sylfaen" w:hAnsi="Sylfaen"/>
          <w:sz w:val="24"/>
          <w:szCs w:val="24"/>
        </w:rPr>
        <w:t xml:space="preserve"> սույն Կանոնների թիվ 16 հավելվածին համապատասխան կազմված՝ գնահատման վերաբերյալ եզրափակիչ փորձագիտական հաշվետվությունը՝ գաղտնի տվյալներն ու փորձագետների մասին տվյալները հանելուց հետո,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ժամանակ ռիսկերի կառավարման համաձայնեցված պլանի ռեզյումեն (անհրաժեշտության դեպքում)՝ միասնական ռեեստրի ձ</w:t>
      </w:r>
      <w:r w:rsidR="00C54D75">
        <w:rPr>
          <w:rFonts w:ascii="Sylfaen" w:hAnsi="Sylfaen"/>
          <w:sz w:val="24"/>
          <w:szCs w:val="24"/>
        </w:rPr>
        <w:t>և</w:t>
      </w:r>
      <w:r w:rsidRPr="00834D52">
        <w:rPr>
          <w:rFonts w:ascii="Sylfaen" w:hAnsi="Sylfaen"/>
          <w:sz w:val="24"/>
          <w:szCs w:val="24"/>
        </w:rPr>
        <w:t xml:space="preserve">ավորման </w:t>
      </w:r>
      <w:r w:rsidR="00C54D75">
        <w:rPr>
          <w:rFonts w:ascii="Sylfaen" w:hAnsi="Sylfaen"/>
          <w:sz w:val="24"/>
          <w:szCs w:val="24"/>
        </w:rPr>
        <w:t>և</w:t>
      </w:r>
      <w:r w:rsidRPr="00834D52">
        <w:rPr>
          <w:rFonts w:ascii="Sylfaen" w:hAnsi="Sylfaen"/>
          <w:sz w:val="24"/>
          <w:szCs w:val="24"/>
        </w:rPr>
        <w:t xml:space="preserve"> վարման կարգին համապատասխան։</w:t>
      </w:r>
    </w:p>
    <w:p w14:paraId="238DF715"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t xml:space="preserve">Ճանաչման պետության լիազորված մարմինը դեղապատրաստուկի գրանցման հավաստագիրը տրամադրում է գրանցման հավաստագրի գործողության՝ </w:t>
      </w:r>
      <w:r w:rsidR="009F49FE">
        <w:rPr>
          <w:rFonts w:ascii="Sylfaen" w:hAnsi="Sylfaen"/>
          <w:sz w:val="24"/>
          <w:szCs w:val="24"/>
        </w:rPr>
        <w:t xml:space="preserve">ռեֆերենտ </w:t>
      </w:r>
      <w:r w:rsidRPr="00834D52">
        <w:rPr>
          <w:rFonts w:ascii="Sylfaen" w:hAnsi="Sylfaen"/>
          <w:sz w:val="24"/>
          <w:szCs w:val="24"/>
        </w:rPr>
        <w:t>պետության լիազորված մարմնի կողմից սահմանված ժամկետով։</w:t>
      </w:r>
    </w:p>
    <w:p w14:paraId="184C9767" w14:textId="587DC26A" w:rsidR="006F76EB" w:rsidRDefault="006F76EB" w:rsidP="00955C1D">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113.</w:t>
      </w:r>
      <w:r w:rsidRPr="00834D52">
        <w:rPr>
          <w:rFonts w:ascii="Sylfaen" w:hAnsi="Sylfaen"/>
          <w:sz w:val="24"/>
          <w:szCs w:val="24"/>
        </w:rPr>
        <w:tab/>
        <w:t>Դեղապատրաստուկի որակի, անվտանգության կամ արդյունավետության գնահատման համար կար</w:t>
      </w:r>
      <w:r w:rsidR="00C54D75">
        <w:rPr>
          <w:rFonts w:ascii="Sylfaen" w:hAnsi="Sylfaen"/>
          <w:sz w:val="24"/>
          <w:szCs w:val="24"/>
        </w:rPr>
        <w:t>և</w:t>
      </w:r>
      <w:r w:rsidRPr="00834D52">
        <w:rPr>
          <w:rFonts w:ascii="Sylfaen" w:hAnsi="Sylfaen"/>
          <w:sz w:val="24"/>
          <w:szCs w:val="24"/>
        </w:rPr>
        <w:t>որ նոր տեղեկատվության ի</w:t>
      </w:r>
      <w:r w:rsidR="00C44BED" w:rsidRPr="00C44BED">
        <w:rPr>
          <w:rFonts w:ascii="Sylfaen" w:hAnsi="Sylfaen"/>
          <w:sz w:val="24"/>
          <w:szCs w:val="24"/>
        </w:rPr>
        <w:t> </w:t>
      </w:r>
      <w:r w:rsidR="00946981">
        <w:rPr>
          <w:rFonts w:ascii="Sylfaen" w:hAnsi="Sylfaen"/>
          <w:sz w:val="24"/>
          <w:szCs w:val="24"/>
        </w:rPr>
        <w:t>հայտ</w:t>
      </w:r>
      <w:r w:rsidRPr="00834D52">
        <w:rPr>
          <w:rFonts w:ascii="Sylfaen" w:hAnsi="Sylfaen"/>
          <w:sz w:val="24"/>
          <w:szCs w:val="24"/>
        </w:rPr>
        <w:t xml:space="preserve"> </w:t>
      </w:r>
      <w:r w:rsidRPr="00834D52">
        <w:rPr>
          <w:rFonts w:ascii="Sylfaen" w:hAnsi="Sylfaen"/>
          <w:sz w:val="24"/>
          <w:szCs w:val="24"/>
        </w:rPr>
        <w:lastRenderedPageBreak/>
        <w:t xml:space="preserve">գալու դեպքում </w:t>
      </w:r>
      <w:r w:rsidR="009F49FE">
        <w:rPr>
          <w:rFonts w:ascii="Sylfaen" w:hAnsi="Sylfaen"/>
          <w:sz w:val="24"/>
          <w:szCs w:val="24"/>
        </w:rPr>
        <w:t xml:space="preserve">ռեֆերենտ </w:t>
      </w:r>
      <w:r w:rsidRPr="00834D52">
        <w:rPr>
          <w:rFonts w:ascii="Sylfaen" w:hAnsi="Sylfaen"/>
          <w:sz w:val="24"/>
          <w:szCs w:val="24"/>
        </w:rPr>
        <w:t>պետությունը գրանցման դոսյեում փոփոխություններ կատարելու ընթացակարգի անցկացման շրջանակներում պետք է թարմացնի գնահատման վերաբերյալ փորձագիտական հաշվետվությունը։</w:t>
      </w:r>
    </w:p>
    <w:p w14:paraId="6B9830CD" w14:textId="3BF7F8DC" w:rsidR="00D20005" w:rsidRPr="006F28F9" w:rsidRDefault="00D20005" w:rsidP="00D20005">
      <w:pPr>
        <w:rPr>
          <w:b/>
          <w:bCs/>
          <w:i/>
          <w:iCs/>
        </w:rPr>
      </w:pPr>
      <w:r w:rsidRPr="00CD4709">
        <w:rPr>
          <w:b/>
          <w:bCs/>
          <w:i/>
          <w:iCs/>
        </w:rPr>
        <w:t>(</w:t>
      </w:r>
      <w:r>
        <w:rPr>
          <w:b/>
          <w:bCs/>
          <w:i/>
          <w:iCs/>
        </w:rPr>
        <w:t xml:space="preserve">113-րդ կետը </w:t>
      </w:r>
      <w:r w:rsidRPr="00CD4709">
        <w:rPr>
          <w:b/>
          <w:bCs/>
          <w:i/>
          <w:iCs/>
        </w:rPr>
        <w:t>փոփ. 30.01.20 թիվ 9)</w:t>
      </w:r>
    </w:p>
    <w:p w14:paraId="4D591BCA" w14:textId="77777777" w:rsidR="006F76EB" w:rsidRPr="00834D52" w:rsidRDefault="006F76EB" w:rsidP="00955C1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114.</w:t>
      </w:r>
      <w:r w:rsidRPr="00834D52">
        <w:rPr>
          <w:rFonts w:ascii="Sylfaen" w:hAnsi="Sylfaen"/>
          <w:sz w:val="24"/>
          <w:szCs w:val="24"/>
        </w:rPr>
        <w:tab/>
      </w:r>
      <w:r w:rsidR="009F49FE">
        <w:rPr>
          <w:rFonts w:ascii="Sylfaen" w:hAnsi="Sylfaen"/>
          <w:sz w:val="24"/>
          <w:szCs w:val="24"/>
        </w:rPr>
        <w:t xml:space="preserve">Ռեֆերենտ </w:t>
      </w:r>
      <w:r w:rsidRPr="00834D52">
        <w:rPr>
          <w:rFonts w:ascii="Sylfaen" w:hAnsi="Sylfaen"/>
          <w:sz w:val="24"/>
          <w:szCs w:val="24"/>
        </w:rPr>
        <w:t>պետության լիազորված մարմինը մերժում է ապակենտրոնացված ընթացակարգով գրանցումը հետ</w:t>
      </w:r>
      <w:r w:rsidR="00C54D75">
        <w:rPr>
          <w:rFonts w:ascii="Sylfaen" w:hAnsi="Sylfaen"/>
          <w:sz w:val="24"/>
          <w:szCs w:val="24"/>
        </w:rPr>
        <w:t>և</w:t>
      </w:r>
      <w:r w:rsidRPr="00834D52">
        <w:rPr>
          <w:rFonts w:ascii="Sylfaen" w:hAnsi="Sylfaen"/>
          <w:sz w:val="24"/>
          <w:szCs w:val="24"/>
        </w:rPr>
        <w:t>յալ դեպքերում՝</w:t>
      </w:r>
    </w:p>
    <w:p w14:paraId="6E8BF842" w14:textId="77777777" w:rsidR="006F76EB" w:rsidRPr="00834D52" w:rsidRDefault="006F76EB" w:rsidP="009073F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կիրառման հետ կապված հնարավոր ռիսկերի նկատմամբ ակնկալվող օգուտի հարաբերակցությունը բարենպաստ չէ,</w:t>
      </w:r>
    </w:p>
    <w:p w14:paraId="0AC0010E" w14:textId="09DC2806"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դեղապատրաստուկի արդյունավետությունը չի հաստատվել </w:t>
      </w:r>
      <w:r w:rsidR="0056496B">
        <w:rPr>
          <w:rFonts w:ascii="Sylfaen" w:hAnsi="Sylfaen"/>
          <w:sz w:val="24"/>
          <w:szCs w:val="24"/>
        </w:rPr>
        <w:t>դիմումատու</w:t>
      </w:r>
      <w:r w:rsidRPr="00834D52">
        <w:rPr>
          <w:rFonts w:ascii="Sylfaen" w:hAnsi="Sylfaen"/>
          <w:sz w:val="24"/>
          <w:szCs w:val="24"/>
        </w:rPr>
        <w:t>ի ներկայացրած տվյալներով,</w:t>
      </w:r>
    </w:p>
    <w:p w14:paraId="02F519FB"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դեղապատրաստուկի որակը չի հաստատվել,</w:t>
      </w:r>
    </w:p>
    <w:p w14:paraId="0FF265E3" w14:textId="77777777" w:rsidR="006F76EB" w:rsidRPr="00834D52" w:rsidRDefault="006F76EB" w:rsidP="009073F4">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որակի վերահսկողության առաջարկված մեթոդներն ու մեթոդիկաները վերարտադրելի չեն,</w:t>
      </w:r>
    </w:p>
    <w:p w14:paraId="613B75AE" w14:textId="11C2EC21" w:rsidR="006F76EB" w:rsidRPr="00834D52" w:rsidRDefault="006F76EB" w:rsidP="009073F4">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ն ներկայացրել է ոչ հավաստի տեղեկություններ,</w:t>
      </w:r>
    </w:p>
    <w:p w14:paraId="411E783E" w14:textId="3312EC3C" w:rsidR="006F76EB" w:rsidRDefault="006F76EB" w:rsidP="009073F4">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նշանակված տեսչական ստուգման արդյունքներով դեղապատրաստուկի գրանցման ժամանակահատվածում չի հաստատվել դրա համապատասխանությունը Միության պատշաճ դեղագործական գործելակերպերին։</w:t>
      </w:r>
    </w:p>
    <w:p w14:paraId="77FD8B3E" w14:textId="693EB10E" w:rsidR="00D20005" w:rsidRPr="006F28F9" w:rsidRDefault="00D20005" w:rsidP="00D20005">
      <w:pPr>
        <w:rPr>
          <w:b/>
          <w:bCs/>
          <w:i/>
          <w:iCs/>
        </w:rPr>
      </w:pPr>
      <w:r w:rsidRPr="00CD4709">
        <w:rPr>
          <w:b/>
          <w:bCs/>
          <w:i/>
          <w:iCs/>
        </w:rPr>
        <w:t>(</w:t>
      </w:r>
      <w:r>
        <w:rPr>
          <w:b/>
          <w:bCs/>
          <w:i/>
          <w:iCs/>
        </w:rPr>
        <w:t xml:space="preserve">114-րդ կետը </w:t>
      </w:r>
      <w:r w:rsidRPr="00CD4709">
        <w:rPr>
          <w:b/>
          <w:bCs/>
          <w:i/>
          <w:iCs/>
        </w:rPr>
        <w:t>փոփ. 30.01.20 թիվ 9)</w:t>
      </w:r>
    </w:p>
    <w:p w14:paraId="48F7A8CE" w14:textId="77777777" w:rsidR="006F76EB" w:rsidRPr="00834D52" w:rsidRDefault="006F76EB" w:rsidP="00955C1D">
      <w:pPr>
        <w:tabs>
          <w:tab w:val="left" w:pos="1134"/>
        </w:tabs>
        <w:spacing w:after="160" w:line="341" w:lineRule="auto"/>
        <w:ind w:right="-6" w:firstLine="567"/>
        <w:jc w:val="both"/>
        <w:rPr>
          <w:rFonts w:ascii="Sylfaen" w:hAnsi="Sylfaen"/>
          <w:spacing w:val="-4"/>
          <w:sz w:val="24"/>
          <w:szCs w:val="24"/>
        </w:rPr>
      </w:pPr>
      <w:r w:rsidRPr="00834D52">
        <w:rPr>
          <w:rFonts w:ascii="Sylfaen" w:hAnsi="Sylfaen"/>
          <w:spacing w:val="-4"/>
          <w:sz w:val="24"/>
          <w:szCs w:val="24"/>
        </w:rPr>
        <w:t>115.</w:t>
      </w:r>
      <w:r w:rsidRPr="00834D52">
        <w:rPr>
          <w:rFonts w:ascii="Sylfaen" w:hAnsi="Sylfaen"/>
          <w:spacing w:val="-4"/>
          <w:sz w:val="24"/>
          <w:szCs w:val="24"/>
        </w:rPr>
        <w:tab/>
        <w:t xml:space="preserve">Ճանաչման պետության լիազորված մարմինը չի ճանաչում </w:t>
      </w:r>
      <w:r w:rsidR="009F49FE">
        <w:rPr>
          <w:rFonts w:ascii="Sylfaen" w:hAnsi="Sylfaen"/>
          <w:spacing w:val="-4"/>
          <w:sz w:val="24"/>
          <w:szCs w:val="24"/>
        </w:rPr>
        <w:t xml:space="preserve">ռեֆերենտ </w:t>
      </w:r>
      <w:r w:rsidRPr="00834D52">
        <w:rPr>
          <w:rFonts w:ascii="Sylfaen" w:hAnsi="Sylfaen"/>
          <w:spacing w:val="-4"/>
          <w:sz w:val="24"/>
          <w:szCs w:val="24"/>
        </w:rPr>
        <w:t xml:space="preserve">պետության փորձագիտական կազմակերպության պատրաստած՝ գնահատման վերաբերյալ փորձագիտական հաշվետվությունը </w:t>
      </w:r>
      <w:r w:rsidR="00C54D75">
        <w:rPr>
          <w:rFonts w:ascii="Sylfaen" w:hAnsi="Sylfaen"/>
          <w:spacing w:val="-4"/>
          <w:sz w:val="24"/>
          <w:szCs w:val="24"/>
        </w:rPr>
        <w:t>և</w:t>
      </w:r>
      <w:r w:rsidRPr="00834D52">
        <w:rPr>
          <w:rFonts w:ascii="Sylfaen" w:hAnsi="Sylfaen"/>
          <w:spacing w:val="-4"/>
          <w:sz w:val="24"/>
          <w:szCs w:val="24"/>
        </w:rPr>
        <w:t xml:space="preserve"> դրանով իսկ մերժում է ապակենտրոնացված ընթացակարգով դեղապատրաստուկի գրանցումը, եթե դեղապատրաստուկի գրանցման դոսյեի փորձաքննության արդյունքներով </w:t>
      </w:r>
      <w:r w:rsidR="00C54D75">
        <w:rPr>
          <w:rFonts w:ascii="Sylfaen" w:hAnsi="Sylfaen"/>
          <w:spacing w:val="-4"/>
          <w:sz w:val="24"/>
          <w:szCs w:val="24"/>
        </w:rPr>
        <w:t>և</w:t>
      </w:r>
      <w:r w:rsidRPr="00834D52">
        <w:rPr>
          <w:rFonts w:ascii="Sylfaen" w:hAnsi="Sylfaen"/>
          <w:spacing w:val="-4"/>
          <w:sz w:val="24"/>
          <w:szCs w:val="24"/>
        </w:rPr>
        <w:t xml:space="preserve"> Փորձագիտական կոմիտեում տարաձայնությունների կարգավորման ընթացակարգ անցկացնելուց հետո վերջինս որոշում է կայացրել, որ գնահատման վերաբերյալ փորձագիտական հաշվետվության մեջ ներկայացված տվյալները չեն կարող </w:t>
      </w:r>
      <w:r w:rsidRPr="00834D52">
        <w:rPr>
          <w:rFonts w:ascii="Sylfaen" w:hAnsi="Sylfaen"/>
          <w:spacing w:val="-4"/>
          <w:sz w:val="24"/>
          <w:szCs w:val="24"/>
        </w:rPr>
        <w:lastRenderedPageBreak/>
        <w:t xml:space="preserve">բավարար ճանաչվել դեղապատրաստուկի որակի </w:t>
      </w:r>
      <w:r w:rsidR="00C54D75">
        <w:rPr>
          <w:rFonts w:ascii="Sylfaen" w:hAnsi="Sylfaen"/>
          <w:spacing w:val="-4"/>
          <w:sz w:val="24"/>
          <w:szCs w:val="24"/>
        </w:rPr>
        <w:t>և</w:t>
      </w:r>
      <w:r w:rsidRPr="00834D52">
        <w:rPr>
          <w:rFonts w:ascii="Sylfaen" w:hAnsi="Sylfaen"/>
          <w:spacing w:val="-4"/>
          <w:sz w:val="24"/>
          <w:szCs w:val="24"/>
        </w:rPr>
        <w:t xml:space="preserve"> (կամ) արդյունավետության </w:t>
      </w:r>
      <w:r w:rsidR="00C54D75">
        <w:rPr>
          <w:rFonts w:ascii="Sylfaen" w:hAnsi="Sylfaen"/>
          <w:spacing w:val="-4"/>
          <w:sz w:val="24"/>
          <w:szCs w:val="24"/>
        </w:rPr>
        <w:t>և</w:t>
      </w:r>
      <w:r w:rsidRPr="00834D52">
        <w:rPr>
          <w:rFonts w:ascii="Sylfaen" w:hAnsi="Sylfaen"/>
          <w:spacing w:val="-4"/>
          <w:sz w:val="24"/>
          <w:szCs w:val="24"/>
        </w:rPr>
        <w:t xml:space="preserve"> (կամ) օգուտ</w:t>
      </w:r>
      <w:r w:rsidRPr="008341C7">
        <w:rPr>
          <w:rFonts w:ascii="Sylfaen" w:hAnsi="Sylfaen"/>
          <w:spacing w:val="-4"/>
          <w:sz w:val="24"/>
          <w:szCs w:val="24"/>
        </w:rPr>
        <w:t>-</w:t>
      </w:r>
      <w:r w:rsidRPr="00834D52">
        <w:rPr>
          <w:rFonts w:ascii="Sylfaen" w:hAnsi="Sylfaen"/>
          <w:spacing w:val="-4"/>
          <w:sz w:val="24"/>
          <w:szCs w:val="24"/>
        </w:rPr>
        <w:t>ռիսկ բարենպաստ հարաբերակցության հաստատման համար։</w:t>
      </w:r>
    </w:p>
    <w:p w14:paraId="6013CF36" w14:textId="77777777" w:rsidR="006F76EB" w:rsidRPr="008341C7" w:rsidRDefault="006F76EB" w:rsidP="009073F4">
      <w:pPr>
        <w:widowControl/>
        <w:spacing w:line="341" w:lineRule="auto"/>
        <w:ind w:left="567" w:right="565"/>
        <w:jc w:val="center"/>
        <w:rPr>
          <w:rFonts w:ascii="Sylfaen" w:hAnsi="Sylfaen"/>
          <w:sz w:val="24"/>
          <w:szCs w:val="24"/>
        </w:rPr>
      </w:pPr>
    </w:p>
    <w:p w14:paraId="7301256D" w14:textId="77777777" w:rsidR="006F76EB" w:rsidRPr="00834D52" w:rsidRDefault="006F76EB" w:rsidP="009073F4">
      <w:pPr>
        <w:widowControl/>
        <w:spacing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 Հետգրանցումային միջոցների սահմանում </w:t>
      </w:r>
      <w:r w:rsidRPr="00834D52">
        <w:rPr>
          <w:rFonts w:ascii="Sylfaen" w:hAnsi="Sylfaen"/>
          <w:sz w:val="24"/>
          <w:szCs w:val="24"/>
        </w:rPr>
        <w:br/>
        <w:t>(պայմաններով գրանցում)</w:t>
      </w:r>
    </w:p>
    <w:p w14:paraId="0E05CC7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116.</w:t>
      </w:r>
      <w:r w:rsidRPr="00834D52">
        <w:rPr>
          <w:rFonts w:ascii="Sylfaen" w:hAnsi="Sylfaen"/>
          <w:sz w:val="24"/>
          <w:szCs w:val="24"/>
        </w:rPr>
        <w:tab/>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գրանցման հետ կապված ընթացակարգերի իրականացման ժամանակ </w:t>
      </w:r>
      <w:r w:rsidR="009F49FE">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նկատմամբ կարող է սահմանել հետ</w:t>
      </w:r>
      <w:r w:rsidR="00C54D75">
        <w:rPr>
          <w:rFonts w:ascii="Sylfaen" w:hAnsi="Sylfaen"/>
          <w:sz w:val="24"/>
          <w:szCs w:val="24"/>
        </w:rPr>
        <w:t>և</w:t>
      </w:r>
      <w:r w:rsidRPr="00834D52">
        <w:rPr>
          <w:rFonts w:ascii="Sylfaen" w:hAnsi="Sylfaen"/>
          <w:sz w:val="24"/>
          <w:szCs w:val="24"/>
        </w:rPr>
        <w:t>յալ լրացուցիչ պահանջներից մեկը կամ մի</w:t>
      </w:r>
      <w:r w:rsidR="004D1538" w:rsidRPr="00307589">
        <w:rPr>
          <w:rFonts w:ascii="Sylfaen" w:hAnsi="Sylfaen"/>
          <w:sz w:val="24"/>
          <w:szCs w:val="24"/>
        </w:rPr>
        <w:t> </w:t>
      </w:r>
      <w:r w:rsidRPr="00834D52">
        <w:rPr>
          <w:rFonts w:ascii="Sylfaen" w:hAnsi="Sylfaen"/>
          <w:sz w:val="24"/>
          <w:szCs w:val="24"/>
        </w:rPr>
        <w:t>քանիսը՝</w:t>
      </w:r>
    </w:p>
    <w:p w14:paraId="0F82EE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ռիսկերի կառավարման համակարգում որոշակի միջոցների ընդգրկում՝ դեղապատրաստուկի անվտանգ կիրառումն ապահովելու նպատակով,</w:t>
      </w:r>
    </w:p>
    <w:p w14:paraId="2D004C65"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անվտանգության հետգրանցումային հետազոտությունների անցկացում,</w:t>
      </w:r>
    </w:p>
    <w:p w14:paraId="7F7F7EE7"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C54D75">
        <w:rPr>
          <w:rFonts w:ascii="Sylfaen" w:hAnsi="Sylfaen"/>
          <w:sz w:val="24"/>
          <w:szCs w:val="24"/>
        </w:rPr>
        <w:t>և</w:t>
      </w:r>
      <w:r w:rsidRPr="00834D52">
        <w:rPr>
          <w:rFonts w:ascii="Sylfaen" w:hAnsi="Sylfaen"/>
          <w:sz w:val="24"/>
          <w:szCs w:val="24"/>
        </w:rPr>
        <w:t xml:space="preserve"> կասկածելի անցանկալի ռեակցիաների մասին հաղորդագրություններ ներկայացնելու նկատմամբ լրացուցիչ պահանջների սահմանում,</w:t>
      </w:r>
    </w:p>
    <w:p w14:paraId="5934574E"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հետգրանցումային հետազոտությունների, անհրաժեշտության դեպքում՝ դեղապատրաստուկի արդյունավետության տարբեր ասպեկտների հետազոտությունների անցկացում, որոնք չեն կարող հետազոտվել մինչ</w:t>
      </w:r>
      <w:r w:rsidR="00C54D75">
        <w:rPr>
          <w:rFonts w:ascii="Sylfaen" w:hAnsi="Sylfaen"/>
          <w:sz w:val="24"/>
          <w:szCs w:val="24"/>
        </w:rPr>
        <w:t>և</w:t>
      </w:r>
      <w:r w:rsidRPr="00834D52">
        <w:rPr>
          <w:rFonts w:ascii="Sylfaen" w:hAnsi="Sylfaen"/>
          <w:sz w:val="24"/>
          <w:szCs w:val="24"/>
        </w:rPr>
        <w:t xml:space="preserve"> դեղապատրաստուկի իրացումն սկսելը,</w:t>
      </w:r>
    </w:p>
    <w:p w14:paraId="4806410C"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անվտանգ </w:t>
      </w:r>
      <w:r w:rsidR="00C54D75">
        <w:rPr>
          <w:rFonts w:ascii="Sylfaen" w:hAnsi="Sylfaen"/>
          <w:sz w:val="24"/>
          <w:szCs w:val="24"/>
        </w:rPr>
        <w:t>և</w:t>
      </w:r>
      <w:r w:rsidRPr="00834D52">
        <w:rPr>
          <w:rFonts w:ascii="Sylfaen" w:hAnsi="Sylfaen"/>
          <w:sz w:val="24"/>
          <w:szCs w:val="24"/>
        </w:rPr>
        <w:t xml:space="preserve"> արդյունավետ կիրառման նպատակով այլ պայմաններ կամ սահմանափակումներ՝ Եվրասիական տնտեսական միության Դեղազգոնության պատշաճ գործելակերպի կանոններին համապատասխան։</w:t>
      </w:r>
    </w:p>
    <w:p w14:paraId="32FA50E9"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պայմաններն ու սահմանափակումները, ինչպես նա</w:t>
      </w:r>
      <w:r w:rsidR="00C54D75">
        <w:rPr>
          <w:rFonts w:ascii="Sylfaen" w:hAnsi="Sylfaen"/>
          <w:sz w:val="24"/>
          <w:szCs w:val="24"/>
        </w:rPr>
        <w:t>և</w:t>
      </w:r>
      <w:r w:rsidRPr="00834D52">
        <w:rPr>
          <w:rFonts w:ascii="Sylfaen" w:hAnsi="Sylfaen"/>
          <w:sz w:val="24"/>
          <w:szCs w:val="24"/>
        </w:rPr>
        <w:t xml:space="preserve"> դրանք կատարելու ժամկետները նշվում են գրանցման հավաստագրում, միասնական </w:t>
      </w:r>
      <w:r w:rsidRPr="00834D52">
        <w:rPr>
          <w:rFonts w:ascii="Sylfaen" w:hAnsi="Sylfaen"/>
          <w:sz w:val="24"/>
          <w:szCs w:val="24"/>
        </w:rPr>
        <w:lastRenderedPageBreak/>
        <w:t>ռեեստրում, ինչպես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ում </w:t>
      </w:r>
      <w:r w:rsidR="00C54D75">
        <w:rPr>
          <w:rFonts w:ascii="Sylfaen" w:hAnsi="Sylfaen"/>
          <w:sz w:val="24"/>
          <w:szCs w:val="24"/>
        </w:rPr>
        <w:t>և</w:t>
      </w:r>
      <w:r w:rsidRPr="00834D52">
        <w:rPr>
          <w:rFonts w:ascii="Sylfaen" w:hAnsi="Sylfaen"/>
          <w:sz w:val="24"/>
          <w:szCs w:val="24"/>
        </w:rPr>
        <w:t xml:space="preserve"> բժշկական կիրառման հրահանգում։</w:t>
      </w:r>
    </w:p>
    <w:p w14:paraId="47FED588"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117.</w:t>
      </w:r>
      <w:r w:rsidRPr="00834D52">
        <w:rPr>
          <w:rFonts w:ascii="Sylfaen" w:hAnsi="Sylfaen"/>
          <w:sz w:val="24"/>
          <w:szCs w:val="24"/>
        </w:rPr>
        <w:tab/>
        <w:t xml:space="preserve">Սույն կետում նկարագրված ընթացակարգերի օբյեկտ հանդիսացող դեղապատրաստուկի՝ Միության շուկայում հետագայում նույնպես գտնվելը հնարավոր է միայն գրանցման 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տարեկան վերագնահատման հիման վրա՝ դեղապատրաստուկի գնահատման վերաբերյալ փորձագիտական հաշվետվություն պատրաստելով։</w:t>
      </w:r>
    </w:p>
    <w:p w14:paraId="1652A8E9" w14:textId="77777777" w:rsidR="006F76EB" w:rsidRPr="00834D52" w:rsidRDefault="0032680A" w:rsidP="006F76EB">
      <w:pPr>
        <w:tabs>
          <w:tab w:val="left" w:pos="1134"/>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մարմինն իրավասու է չեղյալ համարել դեղապատրաստուկի գրանցման հավաստագիրը, եթե, սույն Կանոնների </w:t>
      </w:r>
      <w:r w:rsidR="00C44BED" w:rsidRPr="0032680A">
        <w:rPr>
          <w:rFonts w:ascii="Sylfaen" w:hAnsi="Sylfaen"/>
          <w:sz w:val="24"/>
          <w:szCs w:val="24"/>
        </w:rPr>
        <w:br/>
      </w:r>
      <w:r w:rsidR="006F76EB" w:rsidRPr="00834D52">
        <w:rPr>
          <w:rFonts w:ascii="Sylfaen" w:hAnsi="Sylfaen"/>
          <w:sz w:val="24"/>
          <w:szCs w:val="24"/>
        </w:rPr>
        <w:t>116</w:t>
      </w:r>
      <w:r w:rsidR="006F76EB" w:rsidRPr="008341C7">
        <w:rPr>
          <w:rFonts w:ascii="Sylfaen" w:hAnsi="Sylfaen"/>
          <w:sz w:val="24"/>
          <w:szCs w:val="24"/>
        </w:rPr>
        <w:t>-</w:t>
      </w:r>
      <w:r w:rsidR="006F76EB" w:rsidRPr="00834D52">
        <w:rPr>
          <w:rFonts w:ascii="Sylfaen" w:hAnsi="Sylfaen"/>
          <w:sz w:val="24"/>
          <w:szCs w:val="24"/>
        </w:rPr>
        <w:t xml:space="preserve">րդ կետին համապատասխան, տվյալ դեղապատրաստուկի նկատմամբ դրա գրանցման կամ գրանցման հետ կապված ընթացակարգերի իրականացման ժամանակ գրանցման հավաստագրի իրավատիրոջ կողմից չեն կատարվել </w:t>
      </w:r>
      <w:r w:rsidR="009F49FE">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սահմանված պահանջները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 xml:space="preserve">ռեֆերենտ </w:t>
      </w:r>
      <w:r w:rsidR="006F76EB" w:rsidRPr="00834D52">
        <w:rPr>
          <w:rFonts w:ascii="Sylfaen" w:hAnsi="Sylfaen"/>
          <w:sz w:val="24"/>
          <w:szCs w:val="24"/>
        </w:rPr>
        <w:t xml:space="preserve">պետության լիազորված մարմնի (փորձագիտական կազմակերպության) կողմից անցկացվող՝ </w:t>
      </w:r>
      <w:r w:rsidR="00E90FAF" w:rsidRPr="00E90FAF">
        <w:rPr>
          <w:rFonts w:ascii="Sylfaen" w:hAnsi="Sylfaen"/>
          <w:sz w:val="24"/>
          <w:szCs w:val="24"/>
        </w:rPr>
        <w:t>«</w:t>
      </w:r>
      <w:r w:rsidR="006F76EB" w:rsidRPr="00834D52">
        <w:rPr>
          <w:rFonts w:ascii="Sylfaen" w:hAnsi="Sylfaen"/>
          <w:sz w:val="24"/>
          <w:szCs w:val="24"/>
        </w:rPr>
        <w:t>օգուտ-ռիսկ</w:t>
      </w:r>
      <w:r w:rsidR="00E90FAF" w:rsidRPr="00E90FAF">
        <w:rPr>
          <w:rFonts w:ascii="Sylfaen" w:hAnsi="Sylfaen"/>
          <w:sz w:val="24"/>
          <w:szCs w:val="24"/>
        </w:rPr>
        <w:t>»</w:t>
      </w:r>
      <w:r w:rsidR="006F76EB" w:rsidRPr="00834D52">
        <w:rPr>
          <w:rFonts w:ascii="Sylfaen" w:hAnsi="Sylfaen"/>
          <w:sz w:val="24"/>
          <w:szCs w:val="24"/>
        </w:rPr>
        <w:t xml:space="preserve"> հարաբերակցության տարեկան վերագնահատման ժամանակ չի հաստատվել </w:t>
      </w:r>
      <w:r w:rsidR="00E90FAF" w:rsidRPr="00E90FAF">
        <w:rPr>
          <w:rFonts w:ascii="Sylfaen" w:hAnsi="Sylfaen"/>
          <w:sz w:val="24"/>
          <w:szCs w:val="24"/>
        </w:rPr>
        <w:t>«</w:t>
      </w:r>
      <w:r w:rsidR="006F76EB" w:rsidRPr="00834D52">
        <w:rPr>
          <w:rFonts w:ascii="Sylfaen" w:hAnsi="Sylfaen"/>
          <w:sz w:val="24"/>
          <w:szCs w:val="24"/>
        </w:rPr>
        <w:t>օգուտ</w:t>
      </w:r>
      <w:r w:rsidR="006F76EB" w:rsidRPr="008341C7">
        <w:rPr>
          <w:rFonts w:ascii="Sylfaen" w:hAnsi="Sylfaen"/>
          <w:sz w:val="24"/>
          <w:szCs w:val="24"/>
        </w:rPr>
        <w:t>-</w:t>
      </w:r>
      <w:r w:rsidR="006F76EB" w:rsidRPr="00834D52">
        <w:rPr>
          <w:rFonts w:ascii="Sylfaen" w:hAnsi="Sylfaen"/>
          <w:sz w:val="24"/>
          <w:szCs w:val="24"/>
        </w:rPr>
        <w:t>ռիսկ</w:t>
      </w:r>
      <w:r w:rsidR="00E90FAF" w:rsidRPr="00E90FAF">
        <w:rPr>
          <w:rFonts w:ascii="Sylfaen" w:hAnsi="Sylfaen"/>
          <w:sz w:val="24"/>
          <w:szCs w:val="24"/>
        </w:rPr>
        <w:t>»</w:t>
      </w:r>
      <w:r w:rsidR="006F76EB" w:rsidRPr="00834D52">
        <w:rPr>
          <w:rFonts w:ascii="Sylfaen" w:hAnsi="Sylfaen"/>
          <w:sz w:val="24"/>
          <w:szCs w:val="24"/>
        </w:rPr>
        <w:t xml:space="preserve"> դրական հարաբերակցությունը։</w:t>
      </w:r>
    </w:p>
    <w:p w14:paraId="7C26B8B3" w14:textId="77777777" w:rsidR="006F76EB" w:rsidRPr="00834D52" w:rsidRDefault="006F76EB" w:rsidP="007F5A60">
      <w:pPr>
        <w:tabs>
          <w:tab w:val="left" w:pos="1134"/>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118.</w:t>
      </w:r>
      <w:r w:rsidRPr="00834D52">
        <w:rPr>
          <w:rFonts w:ascii="Sylfaen" w:hAnsi="Sylfaen"/>
          <w:spacing w:val="-4"/>
          <w:sz w:val="24"/>
          <w:szCs w:val="24"/>
        </w:rPr>
        <w:tab/>
        <w:t xml:space="preserve">Լիազորված մարմնի կողմից դեղապատրաստուկի գրանցման </w:t>
      </w:r>
      <w:r w:rsidR="00C54D75">
        <w:rPr>
          <w:rFonts w:ascii="Sylfaen" w:hAnsi="Sylfaen"/>
          <w:spacing w:val="-4"/>
          <w:sz w:val="24"/>
          <w:szCs w:val="24"/>
        </w:rPr>
        <w:t>և</w:t>
      </w:r>
      <w:r w:rsidRPr="00834D52">
        <w:rPr>
          <w:rFonts w:ascii="Sylfaen" w:hAnsi="Sylfaen"/>
          <w:spacing w:val="-4"/>
          <w:sz w:val="24"/>
          <w:szCs w:val="24"/>
        </w:rPr>
        <w:t xml:space="preserve"> գրանցման հաստատման (վերագրանցման) պայմանով կարող է սահմանվել գրանցման հավաստագրի իրավատիրոջ կողմից հետ</w:t>
      </w:r>
      <w:r w:rsidR="00C54D75">
        <w:rPr>
          <w:rFonts w:ascii="Sylfaen" w:hAnsi="Sylfaen"/>
          <w:spacing w:val="-4"/>
          <w:sz w:val="24"/>
          <w:szCs w:val="24"/>
        </w:rPr>
        <w:t>և</w:t>
      </w:r>
      <w:r w:rsidRPr="00834D52">
        <w:rPr>
          <w:rFonts w:ascii="Sylfaen" w:hAnsi="Sylfaen"/>
          <w:spacing w:val="-4"/>
          <w:sz w:val="24"/>
          <w:szCs w:val="24"/>
        </w:rPr>
        <w:t>յալ պարտավորությունների կատարումը՝</w:t>
      </w:r>
    </w:p>
    <w:p w14:paraId="7488A4DC" w14:textId="77777777" w:rsidR="006F76EB" w:rsidRPr="00834D52" w:rsidRDefault="006F76EB" w:rsidP="00AA1428">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տվյալ դեղապատրաստուկի ռիսկերի հետ կապված կասկածների առկայության դեպքում դեղապատրաստուկի անվտանգության հետգրանցումային հետազոտություններ։ Եթե ռիսկերը վերաբերում են մեկից ավելի դեղապատրաստուկների, ապա անդամ պետությունների լիազորված մարմիններն օժանդակում են այդ դեղապատրաստուկների գրանցման հավաստագրերի իրավատերերի կողմից անվտանգության համատեղ հետգրանցումային </w:t>
      </w:r>
      <w:r w:rsidRPr="00834D52">
        <w:rPr>
          <w:rFonts w:ascii="Sylfaen" w:hAnsi="Sylfaen"/>
          <w:sz w:val="24"/>
          <w:szCs w:val="24"/>
        </w:rPr>
        <w:lastRenderedPageBreak/>
        <w:t>հետազոտությունների անցկացմանը,</w:t>
      </w:r>
    </w:p>
    <w:p w14:paraId="39297340"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արդյունավետության հետգրանցումային հետազոտություններ, եթե հիվանդության ընկալումն ու կլինիկական մեթոդաբանությունը ցույց են տալիս, որ արդյունավետության նախորդ գնահատումները զգալի վերանայում են պահանջում։</w:t>
      </w:r>
    </w:p>
    <w:p w14:paraId="06372450"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119.</w:t>
      </w:r>
      <w:r w:rsidRPr="00834D52">
        <w:rPr>
          <w:rFonts w:ascii="Sylfaen" w:hAnsi="Sylfaen"/>
          <w:sz w:val="24"/>
          <w:szCs w:val="24"/>
        </w:rPr>
        <w:tab/>
        <w:t>Գրանցման հավաստագրի իրավատերն իրավասու է սույն Կանոնների 118</w:t>
      </w:r>
      <w:r w:rsidRPr="008341C7">
        <w:rPr>
          <w:rFonts w:ascii="Sylfaen" w:hAnsi="Sylfaen"/>
          <w:sz w:val="24"/>
          <w:szCs w:val="24"/>
        </w:rPr>
        <w:t>-</w:t>
      </w:r>
      <w:r w:rsidRPr="00834D52">
        <w:rPr>
          <w:rFonts w:ascii="Sylfaen" w:hAnsi="Sylfaen"/>
          <w:sz w:val="24"/>
          <w:szCs w:val="24"/>
        </w:rPr>
        <w:t>րդ կետով նախատեսված պարտավորության ներդրմանն ի պատասխան ներկայացնելու գրավոր բացատրություններ լիազորված մարմնից (փորձագիտական կազմակերպությունից) համապատասխան ծանուցումը ստանալու օրվանից 90 օրացուցային օրվա ընթացքում:</w:t>
      </w:r>
    </w:p>
    <w:p w14:paraId="0C78BE2C" w14:textId="35D1CA67"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120.</w:t>
      </w:r>
      <w:r w:rsidRPr="00834D52">
        <w:rPr>
          <w:rFonts w:ascii="Sylfaen" w:hAnsi="Sylfaen"/>
          <w:sz w:val="24"/>
          <w:szCs w:val="24"/>
        </w:rPr>
        <w:tab/>
        <w:t>Դեղապատրաստուկի գրանցման հավաստագրի իրավատիրոջ ներկայացրած գրավոր բացատրությունների հիման վրա՝ լիազորված մարմինը (փորձագիտական կազմակերպությունը), սույն Կանոնների 11</w:t>
      </w:r>
      <w:r w:rsidR="00012E47">
        <w:rPr>
          <w:rFonts w:ascii="Sylfaen" w:hAnsi="Sylfaen"/>
          <w:sz w:val="24"/>
          <w:szCs w:val="24"/>
        </w:rPr>
        <w:t>9</w:t>
      </w:r>
      <w:r w:rsidRPr="008341C7">
        <w:rPr>
          <w:rFonts w:ascii="Sylfaen" w:hAnsi="Sylfaen"/>
          <w:sz w:val="24"/>
          <w:szCs w:val="24"/>
        </w:rPr>
        <w:t>-</w:t>
      </w:r>
      <w:r w:rsidRPr="00834D52">
        <w:rPr>
          <w:rFonts w:ascii="Sylfaen" w:hAnsi="Sylfaen"/>
          <w:sz w:val="24"/>
          <w:szCs w:val="24"/>
        </w:rPr>
        <w:t>րդ կետին համապատասխան, 30 օրացուցային օրվա ընթացքում պետք է հանի կամ հաստատի սույն Կանոնների 118</w:t>
      </w:r>
      <w:r w:rsidRPr="008341C7">
        <w:rPr>
          <w:rFonts w:ascii="Sylfaen" w:hAnsi="Sylfaen"/>
          <w:sz w:val="24"/>
          <w:szCs w:val="24"/>
        </w:rPr>
        <w:t>-</w:t>
      </w:r>
      <w:r w:rsidRPr="00834D52">
        <w:rPr>
          <w:rFonts w:ascii="Sylfaen" w:hAnsi="Sylfaen"/>
          <w:sz w:val="24"/>
          <w:szCs w:val="24"/>
        </w:rPr>
        <w:t>րդ կետում նշված հետազոտությունների անցկացման մասին պարտավորությունը։ Սույն Կանոնների 118</w:t>
      </w:r>
      <w:r w:rsidRPr="008341C7">
        <w:rPr>
          <w:rFonts w:ascii="Sylfaen" w:hAnsi="Sylfaen"/>
          <w:sz w:val="24"/>
          <w:szCs w:val="24"/>
        </w:rPr>
        <w:t>-</w:t>
      </w:r>
      <w:r w:rsidRPr="00834D52">
        <w:rPr>
          <w:rFonts w:ascii="Sylfaen" w:hAnsi="Sylfaen"/>
          <w:sz w:val="24"/>
          <w:szCs w:val="24"/>
        </w:rPr>
        <w:t>րդ կետում նշված պարտավորությունը հաստատվելու դեպքում դեղապատրաստուկի գրանցման պայմանները պետք է փոխվեն դրանց մեջ համապատասխան դրույթների ներառման միջոցով, ինչպես նա</w:t>
      </w:r>
      <w:r w:rsidR="00C54D75">
        <w:rPr>
          <w:rFonts w:ascii="Sylfaen" w:hAnsi="Sylfaen"/>
          <w:sz w:val="24"/>
          <w:szCs w:val="24"/>
        </w:rPr>
        <w:t>և</w:t>
      </w:r>
      <w:r w:rsidRPr="00834D52">
        <w:rPr>
          <w:rFonts w:ascii="Sylfaen" w:hAnsi="Sylfaen"/>
          <w:sz w:val="24"/>
          <w:szCs w:val="24"/>
        </w:rPr>
        <w:t xml:space="preserve"> պետք է փոխվեն ռիսկերի կառավարման համակարգերը։</w:t>
      </w:r>
    </w:p>
    <w:p w14:paraId="0F245ECD" w14:textId="50E33209" w:rsidR="006F76EB" w:rsidRPr="006F28F9" w:rsidRDefault="00012E47" w:rsidP="00012E47">
      <w:pPr>
        <w:rPr>
          <w:b/>
          <w:bCs/>
          <w:i/>
          <w:iCs/>
        </w:rPr>
      </w:pPr>
      <w:r w:rsidRPr="00CD4709">
        <w:rPr>
          <w:b/>
          <w:bCs/>
          <w:i/>
          <w:iCs/>
        </w:rPr>
        <w:t>(</w:t>
      </w:r>
      <w:r>
        <w:rPr>
          <w:b/>
          <w:bCs/>
          <w:i/>
          <w:iCs/>
        </w:rPr>
        <w:t xml:space="preserve">120-րդ կետը </w:t>
      </w:r>
      <w:r w:rsidRPr="00CD4709">
        <w:rPr>
          <w:b/>
          <w:bCs/>
          <w:i/>
          <w:iCs/>
        </w:rPr>
        <w:t>փոփ. 30.01.20 թիվ 9)</w:t>
      </w:r>
    </w:p>
    <w:p w14:paraId="01559686" w14:textId="77777777" w:rsidR="006F76EB" w:rsidRPr="00834D52" w:rsidRDefault="006F76EB" w:rsidP="00AA1428">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VIII. Դեղապատրաստուկի գրանցման հաստատումը </w:t>
      </w:r>
      <w:r w:rsidR="00AA1428" w:rsidRPr="00F102EA">
        <w:rPr>
          <w:rFonts w:ascii="Sylfaen" w:hAnsi="Sylfaen"/>
          <w:sz w:val="24"/>
          <w:szCs w:val="24"/>
        </w:rPr>
        <w:br/>
      </w:r>
      <w:r w:rsidRPr="00834D52">
        <w:rPr>
          <w:rFonts w:ascii="Sylfaen" w:hAnsi="Sylfaen"/>
          <w:sz w:val="24"/>
          <w:szCs w:val="24"/>
        </w:rPr>
        <w:t>(վերագրանցումը)</w:t>
      </w:r>
    </w:p>
    <w:p w14:paraId="4B7C410F" w14:textId="77777777"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Բոլոր այն անդամ պետությունների համար, որտեղ դեղապատրաստուկը գրանցված է, դրա գրանցման հաստատման (վերագրանցման) ամսաթիվը որոշվում է </w:t>
      </w:r>
      <w:r w:rsidR="0032680A">
        <w:rPr>
          <w:rFonts w:ascii="Sylfaen" w:hAnsi="Sylfaen"/>
          <w:sz w:val="24"/>
          <w:szCs w:val="24"/>
        </w:rPr>
        <w:t xml:space="preserve">ռեֆերենտ </w:t>
      </w:r>
      <w:r w:rsidRPr="00834D52">
        <w:rPr>
          <w:rFonts w:ascii="Sylfaen" w:hAnsi="Sylfaen"/>
          <w:sz w:val="24"/>
          <w:szCs w:val="24"/>
        </w:rPr>
        <w:t>պետությունում փոխադարձ ճանաչման ընթացակարգով կամ ապակենտրոնացված ընթացակարգով դեղապատրաստուկի գրանցման ամսաթվով։</w:t>
      </w:r>
    </w:p>
    <w:p w14:paraId="78D8C6FF"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Այն դեղապատրաստուկների համար, որոնք որ</w:t>
      </w:r>
      <w:r w:rsidR="00C54D75">
        <w:rPr>
          <w:rFonts w:ascii="Sylfaen" w:hAnsi="Sylfaen"/>
          <w:sz w:val="24"/>
          <w:szCs w:val="24"/>
        </w:rPr>
        <w:t>և</w:t>
      </w:r>
      <w:r w:rsidRPr="00834D52">
        <w:rPr>
          <w:rFonts w:ascii="Sylfaen" w:hAnsi="Sylfaen"/>
          <w:sz w:val="24"/>
          <w:szCs w:val="24"/>
        </w:rPr>
        <w:t>է անդամ պետության տարածքում վերջինիս օրենսդրությամբ ճանաչված չեն որպես հազվադեպ կիրառվող («որբ»), գրանցման հաստատման (վերագրանցման) ամսաթիվը որոշվում է Միության տվյալ անդամ պետությունում փոխադարձ ճանաչման ընթացակարգով այդ դեղապատրաստուկի գրանցման ամսաթվով։</w:t>
      </w:r>
    </w:p>
    <w:p w14:paraId="2F57152E" w14:textId="77777777" w:rsidR="006F76EB" w:rsidRPr="00834D52" w:rsidRDefault="006F76EB" w:rsidP="007F5A60">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Գրանցման հաստատումը</w:t>
      </w:r>
      <w:r w:rsidR="00E90FAF" w:rsidRPr="00E90FAF">
        <w:rPr>
          <w:rFonts w:ascii="Sylfaen" w:hAnsi="Sylfaen"/>
          <w:sz w:val="24"/>
          <w:szCs w:val="24"/>
        </w:rPr>
        <w:t xml:space="preserve"> </w:t>
      </w:r>
      <w:r w:rsidRPr="00834D52">
        <w:rPr>
          <w:rFonts w:ascii="Sylfaen" w:hAnsi="Sylfaen"/>
          <w:sz w:val="24"/>
          <w:szCs w:val="24"/>
        </w:rPr>
        <w:t xml:space="preserve">(վերագրանցումը) իրականացվում է </w:t>
      </w:r>
      <w:r w:rsidR="0032680A">
        <w:rPr>
          <w:rFonts w:ascii="Sylfaen" w:hAnsi="Sylfaen"/>
          <w:sz w:val="24"/>
          <w:szCs w:val="24"/>
        </w:rPr>
        <w:t xml:space="preserve">ռեֆերենտ </w:t>
      </w:r>
      <w:r w:rsidRPr="00834D52">
        <w:rPr>
          <w:rFonts w:ascii="Sylfaen" w:hAnsi="Sylfaen"/>
          <w:sz w:val="24"/>
          <w:szCs w:val="24"/>
        </w:rPr>
        <w:t xml:space="preserve">անդամ պետության լիազորված մարմնի (փորձագիտական կազմակերպության) կողմից անցկացվող </w:t>
      </w:r>
      <w:r w:rsidR="00E90FAF" w:rsidRPr="00E90FAF">
        <w:rPr>
          <w:rFonts w:ascii="Sylfaen" w:hAnsi="Sylfaen"/>
          <w:sz w:val="24"/>
          <w:szCs w:val="24"/>
        </w:rPr>
        <w:t>«</w:t>
      </w:r>
      <w:r w:rsidRPr="00834D52">
        <w:rPr>
          <w:rFonts w:ascii="Sylfaen" w:hAnsi="Sylfaen"/>
          <w:sz w:val="24"/>
          <w:szCs w:val="24"/>
        </w:rPr>
        <w:t>օգուտ</w:t>
      </w:r>
      <w:r w:rsidRPr="008341C7">
        <w:rPr>
          <w:rFonts w:ascii="Sylfaen" w:hAnsi="Sylfaen"/>
          <w:sz w:val="24"/>
          <w:szCs w:val="24"/>
        </w:rPr>
        <w:t>-</w:t>
      </w:r>
      <w:r w:rsidRPr="00834D52">
        <w:rPr>
          <w:rFonts w:ascii="Sylfaen" w:hAnsi="Sylfaen"/>
          <w:sz w:val="24"/>
          <w:szCs w:val="24"/>
        </w:rPr>
        <w:t>ռիսկ</w:t>
      </w:r>
      <w:r w:rsidR="00E90FAF" w:rsidRPr="00E90FAF">
        <w:rPr>
          <w:rFonts w:ascii="Sylfaen" w:hAnsi="Sylfaen"/>
          <w:sz w:val="24"/>
          <w:szCs w:val="24"/>
        </w:rPr>
        <w:t>»</w:t>
      </w:r>
      <w:r w:rsidRPr="00834D52">
        <w:rPr>
          <w:rFonts w:ascii="Sylfaen" w:hAnsi="Sylfaen"/>
          <w:sz w:val="24"/>
          <w:szCs w:val="24"/>
        </w:rPr>
        <w:t xml:space="preserve"> հարաբերակցության վերագնահատման հիման վրա՝ դեղապատրաստուկի գնահատման վերաբերյալ փորձագիտական հաշվետվություն պատրաստելով:</w:t>
      </w:r>
    </w:p>
    <w:p w14:paraId="3AD458F5" w14:textId="77777777"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հաստատման (վերագրանցման) ժամանակ դեղապատրաստուկի փորձաքննությունն իրականացվում է՝</w:t>
      </w:r>
    </w:p>
    <w:p w14:paraId="7F658146" w14:textId="4B73B753" w:rsidR="006F76EB" w:rsidRPr="00834D52" w:rsidRDefault="0056496B"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գրանցման դոսյեի փաստաթղթերի </w:t>
      </w:r>
      <w:r w:rsidR="00C54D75">
        <w:rPr>
          <w:rFonts w:ascii="Sylfaen" w:hAnsi="Sylfaen"/>
          <w:sz w:val="24"/>
          <w:szCs w:val="24"/>
        </w:rPr>
        <w:t>և</w:t>
      </w:r>
      <w:r w:rsidR="006F76EB" w:rsidRPr="00834D52">
        <w:rPr>
          <w:rFonts w:ascii="Sylfaen" w:hAnsi="Sylfaen"/>
          <w:sz w:val="24"/>
          <w:szCs w:val="24"/>
        </w:rPr>
        <w:t xml:space="preserve"> տվյալների քննության միջոցով,</w:t>
      </w:r>
    </w:p>
    <w:p w14:paraId="741D4533" w14:textId="77777777" w:rsidR="006F76EB" w:rsidRPr="00834D52" w:rsidRDefault="0032680A" w:rsidP="006F76EB">
      <w:pPr>
        <w:tabs>
          <w:tab w:val="left" w:pos="1134"/>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պետության պատրաստած գնահատման վերաբերյալ փորձագիտական հաշվետվության քննության միջոցով։</w:t>
      </w:r>
    </w:p>
    <w:p w14:paraId="21F4AF96" w14:textId="251B62C5" w:rsidR="006F76EB" w:rsidRDefault="006F76EB" w:rsidP="006F76EB">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Դեղապատրաստուկի գրանցման հաստատման (վերագրանցման) ընթացակարգն անցկացնելու ժամանակահատվածում թույլատրվում է դրա շրջանառությունը Միության տարածքում։</w:t>
      </w:r>
    </w:p>
    <w:p w14:paraId="26A8DCA3" w14:textId="5D908C3A" w:rsidR="00D20005" w:rsidRPr="006F28F9" w:rsidRDefault="00D20005" w:rsidP="00D20005">
      <w:pPr>
        <w:rPr>
          <w:b/>
          <w:bCs/>
          <w:i/>
          <w:iCs/>
        </w:rPr>
      </w:pPr>
      <w:r w:rsidRPr="00CD4709">
        <w:rPr>
          <w:b/>
          <w:bCs/>
          <w:i/>
          <w:iCs/>
        </w:rPr>
        <w:t>(</w:t>
      </w:r>
      <w:r>
        <w:rPr>
          <w:b/>
          <w:bCs/>
          <w:i/>
          <w:iCs/>
        </w:rPr>
        <w:t xml:space="preserve">122-րդ կետը </w:t>
      </w:r>
      <w:r w:rsidRPr="00CD4709">
        <w:rPr>
          <w:b/>
          <w:bCs/>
          <w:i/>
          <w:iCs/>
        </w:rPr>
        <w:t>փոփ. 30.01.20 թիվ 9)</w:t>
      </w:r>
    </w:p>
    <w:p w14:paraId="4300E349" w14:textId="0EBE3A15" w:rsidR="006F76EB" w:rsidRDefault="006F76EB" w:rsidP="007F5A60">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123.</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գրանցման հաստատման (վերագրանցման) </w:t>
      </w:r>
      <w:r w:rsidR="009F5829">
        <w:rPr>
          <w:rFonts w:ascii="Sylfaen" w:hAnsi="Sylfaen"/>
          <w:sz w:val="24"/>
          <w:szCs w:val="24"/>
        </w:rPr>
        <w:t>դիմումներ</w:t>
      </w:r>
      <w:r w:rsidRPr="00834D52">
        <w:rPr>
          <w:rFonts w:ascii="Sylfaen" w:hAnsi="Sylfaen"/>
          <w:sz w:val="24"/>
          <w:szCs w:val="24"/>
        </w:rPr>
        <w:t xml:space="preserve"> է ներկայացնում բոլոր այն անդամ պետություններ, որտեղ գրանցված է դեղապատրաստուկը։</w:t>
      </w:r>
    </w:p>
    <w:p w14:paraId="10B0C616" w14:textId="7F74E2AC" w:rsidR="00E0547B" w:rsidRPr="006F28F9" w:rsidRDefault="00E0547B" w:rsidP="00E0547B">
      <w:pPr>
        <w:rPr>
          <w:b/>
          <w:bCs/>
          <w:i/>
          <w:iCs/>
        </w:rPr>
      </w:pPr>
      <w:r w:rsidRPr="00CD4709">
        <w:rPr>
          <w:b/>
          <w:bCs/>
          <w:i/>
          <w:iCs/>
        </w:rPr>
        <w:t>(</w:t>
      </w:r>
      <w:r>
        <w:rPr>
          <w:b/>
          <w:bCs/>
          <w:i/>
          <w:iCs/>
        </w:rPr>
        <w:t xml:space="preserve">123-րդ կետը </w:t>
      </w:r>
      <w:r w:rsidRPr="00CD4709">
        <w:rPr>
          <w:b/>
          <w:bCs/>
          <w:i/>
          <w:iCs/>
        </w:rPr>
        <w:t>փոփ. 30.01.20 թիվ 9)</w:t>
      </w:r>
    </w:p>
    <w:p w14:paraId="141C408A" w14:textId="4228DE4A"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124.</w:t>
      </w:r>
      <w:r w:rsidRPr="00834D52">
        <w:rPr>
          <w:rFonts w:ascii="Sylfaen" w:hAnsi="Sylfaen"/>
          <w:sz w:val="24"/>
          <w:szCs w:val="24"/>
        </w:rPr>
        <w:tab/>
        <w:t>Եթե դեղապատրաստուկի գրանցման հավաստագրի իրավատերը մինչ</w:t>
      </w:r>
      <w:r w:rsidR="00C54D75">
        <w:rPr>
          <w:rFonts w:ascii="Sylfaen" w:hAnsi="Sylfaen"/>
          <w:sz w:val="24"/>
          <w:szCs w:val="24"/>
        </w:rPr>
        <w:t>և</w:t>
      </w:r>
      <w:r w:rsidRPr="00834D52">
        <w:rPr>
          <w:rFonts w:ascii="Sylfaen" w:hAnsi="Sylfaen"/>
          <w:sz w:val="24"/>
          <w:szCs w:val="24"/>
        </w:rPr>
        <w:t xml:space="preserve"> գրանցման հավաստագրի գործողության ժամկետի ավարտը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չի ներկայացնում, ապա դեղապատրաստուկի գրանցման հավաստագիրը ճանաչվում է անվավեր։</w:t>
      </w:r>
    </w:p>
    <w:p w14:paraId="34E495D3" w14:textId="675520D2" w:rsidR="00E0547B" w:rsidRPr="006F28F9" w:rsidRDefault="00E0547B" w:rsidP="00E0547B">
      <w:pPr>
        <w:rPr>
          <w:b/>
          <w:bCs/>
          <w:i/>
          <w:iCs/>
        </w:rPr>
      </w:pPr>
      <w:r w:rsidRPr="00CD4709">
        <w:rPr>
          <w:b/>
          <w:bCs/>
          <w:i/>
          <w:iCs/>
        </w:rPr>
        <w:lastRenderedPageBreak/>
        <w:t>(</w:t>
      </w:r>
      <w:r>
        <w:rPr>
          <w:b/>
          <w:bCs/>
          <w:i/>
          <w:iCs/>
        </w:rPr>
        <w:t xml:space="preserve">124-րդ կետը </w:t>
      </w:r>
      <w:r w:rsidRPr="00CD4709">
        <w:rPr>
          <w:b/>
          <w:bCs/>
          <w:i/>
          <w:iCs/>
        </w:rPr>
        <w:t>փոփ. 30.01.20 թիվ 9)</w:t>
      </w:r>
    </w:p>
    <w:p w14:paraId="1AE49985" w14:textId="47D91100"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125.</w:t>
      </w:r>
      <w:r w:rsidRPr="00834D52">
        <w:rPr>
          <w:rFonts w:ascii="Sylfaen" w:hAnsi="Sylfaen"/>
          <w:sz w:val="24"/>
          <w:szCs w:val="24"/>
        </w:rPr>
        <w:tab/>
        <w:t xml:space="preserve">Գրանցման հաստատման (վերագրանցման) ընթացակարգը չպետք է գերազանցի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120 օրացուցային օրը։</w:t>
      </w:r>
    </w:p>
    <w:p w14:paraId="6D6DF860" w14:textId="6B3F9FD3" w:rsidR="00E0547B" w:rsidRPr="006F28F9" w:rsidRDefault="00E0547B" w:rsidP="00E0547B">
      <w:pPr>
        <w:rPr>
          <w:b/>
          <w:bCs/>
          <w:i/>
          <w:iCs/>
        </w:rPr>
      </w:pPr>
      <w:r w:rsidRPr="00CD4709">
        <w:rPr>
          <w:b/>
          <w:bCs/>
          <w:i/>
          <w:iCs/>
        </w:rPr>
        <w:t>(</w:t>
      </w:r>
      <w:r>
        <w:rPr>
          <w:b/>
          <w:bCs/>
          <w:i/>
          <w:iCs/>
        </w:rPr>
        <w:t xml:space="preserve">125-րդ կետը </w:t>
      </w:r>
      <w:r w:rsidRPr="00CD4709">
        <w:rPr>
          <w:b/>
          <w:bCs/>
          <w:i/>
          <w:iCs/>
        </w:rPr>
        <w:t>փոփ. 30.01.20 թիվ 9)</w:t>
      </w:r>
    </w:p>
    <w:p w14:paraId="4EE23D4F" w14:textId="02E354F9"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126.</w:t>
      </w:r>
      <w:r w:rsidRPr="00834D52">
        <w:rPr>
          <w:rFonts w:ascii="Sylfaen" w:hAnsi="Sylfaen"/>
          <w:sz w:val="24"/>
          <w:szCs w:val="24"/>
        </w:rPr>
        <w:tab/>
        <w:t xml:space="preserve">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ը պետք է ներկայացվի մինչ</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գրանցման հավաստագրի գործողության ժամկետը լրանալը՝ 210 օրացուցային օրվանից ոչ շուտ, սակայն գրանցման հավաստագրի գործողության ժամկետը լրանալու օրվանից ոչ ուշ։</w:t>
      </w:r>
    </w:p>
    <w:p w14:paraId="663F768C" w14:textId="2165F76A" w:rsidR="00E0547B" w:rsidRPr="006F28F9" w:rsidRDefault="00E0547B" w:rsidP="00E0547B">
      <w:pPr>
        <w:rPr>
          <w:b/>
          <w:bCs/>
          <w:i/>
          <w:iCs/>
        </w:rPr>
      </w:pPr>
      <w:r w:rsidRPr="00CD4709">
        <w:rPr>
          <w:b/>
          <w:bCs/>
          <w:i/>
          <w:iCs/>
        </w:rPr>
        <w:t>(</w:t>
      </w:r>
      <w:r>
        <w:rPr>
          <w:b/>
          <w:bCs/>
          <w:i/>
          <w:iCs/>
        </w:rPr>
        <w:t xml:space="preserve">126-րդ կետը </w:t>
      </w:r>
      <w:r w:rsidRPr="00CD4709">
        <w:rPr>
          <w:b/>
          <w:bCs/>
          <w:i/>
          <w:iCs/>
        </w:rPr>
        <w:t>փոփ. 30.01.20 թիվ 9)</w:t>
      </w:r>
    </w:p>
    <w:p w14:paraId="5856F02A" w14:textId="32422C4A" w:rsidR="006F76EB" w:rsidRPr="00834D52" w:rsidRDefault="006F76EB" w:rsidP="007F5A6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127.</w:t>
      </w:r>
      <w:r w:rsidRPr="00834D52">
        <w:rPr>
          <w:rFonts w:ascii="Sylfaen" w:hAnsi="Sylfaen"/>
          <w:sz w:val="24"/>
          <w:szCs w:val="24"/>
        </w:rPr>
        <w:tab/>
        <w:t xml:space="preserve">Դեղապատրաստուկի գրանցման հաստատման (վերագրանցման) նպատակով </w:t>
      </w:r>
      <w:r w:rsidR="0056496B">
        <w:rPr>
          <w:rFonts w:ascii="Sylfaen" w:hAnsi="Sylfaen"/>
          <w:sz w:val="24"/>
          <w:szCs w:val="24"/>
        </w:rPr>
        <w:t>դիմումատու</w:t>
      </w:r>
      <w:r w:rsidRPr="00834D52">
        <w:rPr>
          <w:rFonts w:ascii="Sylfaen" w:hAnsi="Sylfaen"/>
          <w:sz w:val="24"/>
          <w:szCs w:val="24"/>
        </w:rPr>
        <w:t xml:space="preserve">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 է ներկայացնում հետ</w:t>
      </w:r>
      <w:r w:rsidR="00C54D75">
        <w:rPr>
          <w:rFonts w:ascii="Sylfaen" w:hAnsi="Sylfaen"/>
          <w:sz w:val="24"/>
          <w:szCs w:val="24"/>
        </w:rPr>
        <w:t>և</w:t>
      </w:r>
      <w:r w:rsidRPr="00834D52">
        <w:rPr>
          <w:rFonts w:ascii="Sylfaen" w:hAnsi="Sylfaen"/>
          <w:sz w:val="24"/>
          <w:szCs w:val="24"/>
        </w:rPr>
        <w:t>յալ փաստաթղթերը՝</w:t>
      </w:r>
    </w:p>
    <w:p w14:paraId="1A486DC0" w14:textId="3842D1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հաստատման (վերագրանցման) մասին </w:t>
      </w:r>
      <w:r w:rsidR="0056496B">
        <w:rPr>
          <w:rFonts w:ascii="Sylfaen" w:hAnsi="Sylfaen"/>
          <w:sz w:val="24"/>
          <w:szCs w:val="24"/>
        </w:rPr>
        <w:t>դիմում</w:t>
      </w:r>
      <w:r w:rsidRPr="00834D52">
        <w:rPr>
          <w:rFonts w:ascii="Sylfaen" w:hAnsi="Sylfaen"/>
          <w:sz w:val="24"/>
          <w:szCs w:val="24"/>
        </w:rPr>
        <w:t>՝ սահմանված ձ</w:t>
      </w:r>
      <w:r w:rsidR="00C54D75">
        <w:rPr>
          <w:rFonts w:ascii="Sylfaen" w:hAnsi="Sylfaen"/>
          <w:sz w:val="24"/>
          <w:szCs w:val="24"/>
        </w:rPr>
        <w:t>և</w:t>
      </w:r>
      <w:r w:rsidRPr="00834D52">
        <w:rPr>
          <w:rFonts w:ascii="Sylfaen" w:hAnsi="Sylfaen"/>
          <w:sz w:val="24"/>
          <w:szCs w:val="24"/>
        </w:rPr>
        <w:t>ով՝ թղթային</w:t>
      </w:r>
      <w:r w:rsidR="00E90FAF" w:rsidRPr="00E90FAF">
        <w:rPr>
          <w:rFonts w:ascii="Sylfaen" w:hAnsi="Sylfaen"/>
          <w:sz w:val="24"/>
          <w:szCs w:val="24"/>
        </w:rPr>
        <w:t xml:space="preserve"> </w:t>
      </w:r>
      <w:r w:rsidR="002C1FC3">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 </w:t>
      </w:r>
      <w:r w:rsidR="002C1FC3">
        <w:rPr>
          <w:rFonts w:ascii="Sylfaen" w:hAnsi="Sylfaen"/>
          <w:sz w:val="24"/>
          <w:szCs w:val="24"/>
        </w:rPr>
        <w:t>փաստաթղթի տեսքով</w:t>
      </w:r>
      <w:r w:rsidRPr="00834D52">
        <w:rPr>
          <w:rFonts w:ascii="Sylfaen" w:hAnsi="Sylfaen"/>
          <w:sz w:val="24"/>
          <w:szCs w:val="24"/>
        </w:rPr>
        <w:t xml:space="preserve">՝ սույն Կանոնների թիվ </w:t>
      </w:r>
      <w:r w:rsidR="00E90FAF" w:rsidRPr="00E90FAF">
        <w:rPr>
          <w:rFonts w:ascii="Sylfaen" w:hAnsi="Sylfaen"/>
          <w:sz w:val="24"/>
          <w:szCs w:val="24"/>
        </w:rPr>
        <w:t xml:space="preserve">2 </w:t>
      </w:r>
      <w:r w:rsidRPr="00834D52">
        <w:rPr>
          <w:rFonts w:ascii="Sylfaen" w:hAnsi="Sylfaen"/>
          <w:sz w:val="24"/>
          <w:szCs w:val="24"/>
        </w:rPr>
        <w:t>հավելվածին համապատասխան,</w:t>
      </w:r>
    </w:p>
    <w:p w14:paraId="67A72734"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փաստաթղթերը՝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1297E889" w14:textId="5FD1636A" w:rsidR="006F76EB" w:rsidRDefault="006F76EB" w:rsidP="00C3591E">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1-ին </w:t>
      </w:r>
      <w:r w:rsidR="00C54D75">
        <w:rPr>
          <w:rFonts w:ascii="Sylfaen" w:hAnsi="Sylfaen"/>
          <w:sz w:val="24"/>
          <w:szCs w:val="24"/>
        </w:rPr>
        <w:t>և</w:t>
      </w:r>
      <w:r w:rsidRPr="00834D52">
        <w:rPr>
          <w:rFonts w:ascii="Sylfaen" w:hAnsi="Sylfaen"/>
          <w:sz w:val="24"/>
          <w:szCs w:val="24"/>
        </w:rPr>
        <w:t xml:space="preserve"> 2-րդ մոդուլները՝ սույն Կանոնների թիվ 1</w:t>
      </w:r>
      <w:r w:rsidRPr="008341C7">
        <w:rPr>
          <w:rFonts w:ascii="Sylfaen" w:hAnsi="Sylfaen"/>
          <w:sz w:val="24"/>
          <w:szCs w:val="24"/>
        </w:rPr>
        <w:t>-</w:t>
      </w:r>
      <w:r w:rsidRPr="00834D52">
        <w:rPr>
          <w:rFonts w:ascii="Sylfaen" w:hAnsi="Sylfaen"/>
          <w:sz w:val="24"/>
          <w:szCs w:val="24"/>
        </w:rPr>
        <w:t>5 հավելվածներին համապատասխան պատրաստված՝ էլեկտրոնային կրիչով։</w:t>
      </w:r>
    </w:p>
    <w:p w14:paraId="7EDFC567" w14:textId="40B34C61" w:rsidR="00E0547B" w:rsidRPr="006F28F9" w:rsidRDefault="00E0547B" w:rsidP="00E0547B">
      <w:pPr>
        <w:rPr>
          <w:b/>
          <w:bCs/>
          <w:i/>
          <w:iCs/>
        </w:rPr>
      </w:pPr>
      <w:r w:rsidRPr="00CD4709">
        <w:rPr>
          <w:b/>
          <w:bCs/>
          <w:i/>
          <w:iCs/>
        </w:rPr>
        <w:t>(</w:t>
      </w:r>
      <w:r>
        <w:rPr>
          <w:b/>
          <w:bCs/>
          <w:i/>
          <w:iCs/>
        </w:rPr>
        <w:t xml:space="preserve">127-րդ կետը </w:t>
      </w:r>
      <w:r w:rsidRPr="00CD4709">
        <w:rPr>
          <w:b/>
          <w:bCs/>
          <w:i/>
          <w:iCs/>
        </w:rPr>
        <w:t>փոփ. 30.01.20 թիվ 9)</w:t>
      </w:r>
    </w:p>
    <w:p w14:paraId="68C07FCC" w14:textId="25EC8B4E"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128.</w:t>
      </w:r>
      <w:r w:rsidRPr="00834D52">
        <w:rPr>
          <w:rFonts w:ascii="Sylfaen" w:hAnsi="Sylfaen"/>
          <w:sz w:val="24"/>
          <w:szCs w:val="24"/>
        </w:rPr>
        <w:tab/>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w:t>
      </w:r>
      <w:r w:rsidR="0056496B">
        <w:rPr>
          <w:rFonts w:ascii="Sylfaen" w:hAnsi="Sylfaen"/>
          <w:sz w:val="24"/>
          <w:szCs w:val="24"/>
        </w:rPr>
        <w:t>դիմումատու</w:t>
      </w:r>
      <w:r w:rsidRPr="00834D52">
        <w:rPr>
          <w:rFonts w:ascii="Sylfaen" w:hAnsi="Sylfaen"/>
          <w:sz w:val="24"/>
          <w:szCs w:val="24"/>
        </w:rPr>
        <w:t>ի կողմից սույն Կանոնների 127</w:t>
      </w:r>
      <w:r w:rsidRPr="008341C7">
        <w:rPr>
          <w:rFonts w:ascii="Sylfaen" w:hAnsi="Sylfaen"/>
          <w:sz w:val="24"/>
          <w:szCs w:val="24"/>
        </w:rPr>
        <w:t>-</w:t>
      </w:r>
      <w:r w:rsidRPr="00834D52">
        <w:rPr>
          <w:rFonts w:ascii="Sylfaen" w:hAnsi="Sylfaen"/>
          <w:sz w:val="24"/>
          <w:szCs w:val="24"/>
        </w:rPr>
        <w:t xml:space="preserve">րդ կետում նշված փաստաթղթերը ներկայացնելու օրվանից 5 աշխատանքային օրը չգերազանցող ժամկետում ինտեգրված համակարգի միջոցների օգտագործմամբ </w:t>
      </w:r>
      <w:r w:rsidRPr="00834D52">
        <w:rPr>
          <w:rFonts w:ascii="Sylfaen" w:hAnsi="Sylfaen"/>
          <w:sz w:val="24"/>
          <w:szCs w:val="24"/>
        </w:rPr>
        <w:lastRenderedPageBreak/>
        <w:t>ապահովում է դեղապատրաստուկի գրանցման դոսյեի հասանելիությունը ճանաչման պետությունների լիազորված մարմինների (փորձագիտական կազմակերպությունների) համար։</w:t>
      </w:r>
    </w:p>
    <w:p w14:paraId="3BF39F82" w14:textId="39860B71" w:rsidR="006F76EB" w:rsidRDefault="006F76EB" w:rsidP="007F5A60">
      <w:pPr>
        <w:tabs>
          <w:tab w:val="left" w:pos="1134"/>
        </w:tabs>
        <w:spacing w:after="160" w:line="349" w:lineRule="auto"/>
        <w:ind w:right="-6" w:firstLine="567"/>
        <w:jc w:val="both"/>
        <w:rPr>
          <w:rFonts w:ascii="Sylfaen" w:hAnsi="Sylfaen"/>
          <w:sz w:val="24"/>
          <w:szCs w:val="24"/>
        </w:rPr>
      </w:pPr>
      <w:r w:rsidRPr="00834D52">
        <w:rPr>
          <w:rFonts w:ascii="Sylfaen" w:hAnsi="Sylfaen"/>
          <w:sz w:val="24"/>
          <w:szCs w:val="24"/>
        </w:rPr>
        <w:t>Ճանաչման պետությունների լիազորված մարմինները (փորձագիտական կազմակերպությունները) դեղապատրաստուկի գրանցման դոսյեն ստանում են ինտեգրված համակարգի միջոցների օգտագործմամբ։</w:t>
      </w:r>
    </w:p>
    <w:p w14:paraId="6671BE99" w14:textId="3E074CF1" w:rsidR="00E0547B" w:rsidRPr="006F28F9" w:rsidRDefault="00E0547B" w:rsidP="00E0547B">
      <w:pPr>
        <w:rPr>
          <w:b/>
          <w:bCs/>
          <w:i/>
          <w:iCs/>
        </w:rPr>
      </w:pPr>
      <w:r w:rsidRPr="00CD4709">
        <w:rPr>
          <w:b/>
          <w:bCs/>
          <w:i/>
          <w:iCs/>
        </w:rPr>
        <w:t>(</w:t>
      </w:r>
      <w:r>
        <w:rPr>
          <w:b/>
          <w:bCs/>
          <w:i/>
          <w:iCs/>
        </w:rPr>
        <w:t xml:space="preserve">128-րդ կետը </w:t>
      </w:r>
      <w:r w:rsidRPr="00CD4709">
        <w:rPr>
          <w:b/>
          <w:bCs/>
          <w:i/>
          <w:iCs/>
        </w:rPr>
        <w:t>փոփ. 30.01.20 թիվ 9)</w:t>
      </w:r>
    </w:p>
    <w:p w14:paraId="0C3B155F" w14:textId="737C2A00" w:rsidR="006F76EB" w:rsidRPr="00834D52" w:rsidRDefault="006F76EB" w:rsidP="007F5A60">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129.</w:t>
      </w:r>
      <w:r w:rsidRPr="00834D52">
        <w:rPr>
          <w:rFonts w:ascii="Sylfaen" w:hAnsi="Sylfaen"/>
          <w:sz w:val="24"/>
          <w:szCs w:val="24"/>
        </w:rPr>
        <w:tab/>
        <w:t xml:space="preserve">Գրանցման հաստատման (վերագրանցման) մասին </w:t>
      </w:r>
      <w:r w:rsidR="0056496B">
        <w:rPr>
          <w:rFonts w:ascii="Sylfaen" w:hAnsi="Sylfaen"/>
          <w:sz w:val="24"/>
          <w:szCs w:val="24"/>
        </w:rPr>
        <w:t>դիմում</w:t>
      </w:r>
      <w:r w:rsidRPr="00834D52">
        <w:rPr>
          <w:rFonts w:ascii="Sylfaen" w:hAnsi="Sylfaen"/>
          <w:sz w:val="24"/>
          <w:szCs w:val="24"/>
        </w:rPr>
        <w:t xml:space="preserve">ը </w:t>
      </w:r>
      <w:r w:rsidR="00EB7D73">
        <w:rPr>
          <w:rFonts w:ascii="Sylfaen" w:hAnsi="Sylfaen"/>
          <w:sz w:val="24"/>
          <w:szCs w:val="24"/>
        </w:rPr>
        <w:t xml:space="preserve">ռեֆերենտ </w:t>
      </w:r>
      <w:r w:rsidRPr="00834D52">
        <w:rPr>
          <w:rFonts w:ascii="Sylfaen" w:hAnsi="Sylfaen"/>
          <w:sz w:val="24"/>
          <w:szCs w:val="24"/>
        </w:rPr>
        <w:t xml:space="preserve">պետությանը ներկայացնելու օրվանից ոչ ուշ, քան 14 աշխատանքային օրվա ընթացքում </w:t>
      </w:r>
      <w:r w:rsidR="0056496B">
        <w:rPr>
          <w:rFonts w:ascii="Sylfaen" w:hAnsi="Sylfaen"/>
          <w:sz w:val="24"/>
          <w:szCs w:val="24"/>
        </w:rPr>
        <w:t>դիմումատու</w:t>
      </w:r>
      <w:r w:rsidRPr="00834D52">
        <w:rPr>
          <w:rFonts w:ascii="Sylfaen" w:hAnsi="Sylfaen"/>
          <w:sz w:val="24"/>
          <w:szCs w:val="24"/>
        </w:rPr>
        <w:t>ն յուրաքանչյուր ճանաչման պետության լիազորված մարմին (փորձագիտական կազմակերպություն) է ուղարկում հետ</w:t>
      </w:r>
      <w:r w:rsidR="00C54D75">
        <w:rPr>
          <w:rFonts w:ascii="Sylfaen" w:hAnsi="Sylfaen"/>
          <w:sz w:val="24"/>
          <w:szCs w:val="24"/>
        </w:rPr>
        <w:t>և</w:t>
      </w:r>
      <w:r w:rsidRPr="00834D52">
        <w:rPr>
          <w:rFonts w:ascii="Sylfaen" w:hAnsi="Sylfaen"/>
          <w:sz w:val="24"/>
          <w:szCs w:val="24"/>
        </w:rPr>
        <w:t>յալ փաստաթղթերը՝</w:t>
      </w:r>
    </w:p>
    <w:p w14:paraId="51AF9A81" w14:textId="095B2181"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 թղթային </w:t>
      </w:r>
      <w:r w:rsidR="00050D30">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w:t>
      </w:r>
      <w:r w:rsidR="00050D30">
        <w:rPr>
          <w:rFonts w:ascii="Sylfaen" w:hAnsi="Sylfaen"/>
          <w:sz w:val="24"/>
          <w:szCs w:val="24"/>
        </w:rPr>
        <w:t xml:space="preserve"> փաստաթղթի տեսքով</w:t>
      </w:r>
      <w:r w:rsidRPr="00834D52">
        <w:rPr>
          <w:rFonts w:ascii="Sylfaen" w:hAnsi="Sylfaen"/>
          <w:sz w:val="24"/>
          <w:szCs w:val="24"/>
        </w:rPr>
        <w:t>՝ սույն Կանոնների թիվ 2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8C71B28" w14:textId="77777777" w:rsidR="006F76EB" w:rsidRPr="00834D52" w:rsidRDefault="006F76EB" w:rsidP="00C3591E">
      <w:pPr>
        <w:tabs>
          <w:tab w:val="left" w:pos="1134"/>
        </w:tabs>
        <w:spacing w:after="160" w:line="349"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հաստատող փաստաթղթեր՝ ճանաչման պետությունների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p>
    <w:p w14:paraId="6969B4A1" w14:textId="77777777" w:rsidR="006F76EB" w:rsidRPr="00834D52" w:rsidRDefault="006F76EB" w:rsidP="006F76E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դոսյեի 1-ին մոդուլը՝ էլեկտրոնային կրիչով,</w:t>
      </w:r>
    </w:p>
    <w:p w14:paraId="1743824C" w14:textId="391F96D6" w:rsidR="006F76EB" w:rsidRDefault="006F76EB" w:rsidP="00F31307">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դ)</w:t>
      </w:r>
      <w:r w:rsidRPr="00834D52">
        <w:rPr>
          <w:rFonts w:ascii="Sylfaen" w:hAnsi="Sylfaen"/>
          <w:sz w:val="24"/>
          <w:szCs w:val="24"/>
        </w:rPr>
        <w:tab/>
        <w:t>անդամ պետության օրենսդրության մեջ համապատասխան պահանջների առկայության դեպքում ներկայացվում են նա</w:t>
      </w:r>
      <w:r w:rsidR="00C54D75">
        <w:rPr>
          <w:rFonts w:ascii="Sylfaen" w:hAnsi="Sylfaen"/>
          <w:sz w:val="24"/>
          <w:szCs w:val="24"/>
        </w:rPr>
        <w:t>և</w:t>
      </w:r>
      <w:r w:rsidRPr="00834D52">
        <w:rPr>
          <w:rFonts w:ascii="Sylfaen" w:hAnsi="Sylfaen"/>
          <w:sz w:val="24"/>
          <w:szCs w:val="24"/>
        </w:rPr>
        <w:t xml:space="preserve"> ԴՊԸԲ</w:t>
      </w:r>
      <w:r w:rsidRPr="008341C7">
        <w:rPr>
          <w:rFonts w:ascii="Sylfaen" w:hAnsi="Sylfaen"/>
          <w:sz w:val="24"/>
          <w:szCs w:val="24"/>
        </w:rPr>
        <w:t>-</w:t>
      </w:r>
      <w:r w:rsidRPr="00834D52">
        <w:rPr>
          <w:rFonts w:ascii="Sylfaen" w:hAnsi="Sylfaen"/>
          <w:sz w:val="24"/>
          <w:szCs w:val="24"/>
        </w:rPr>
        <w:t xml:space="preserve">ն, դեղապատրաստուկի բժշկական կիրառման հրահանգը </w:t>
      </w:r>
      <w:r w:rsidR="00C54D75">
        <w:rPr>
          <w:rFonts w:ascii="Sylfaen" w:hAnsi="Sylfaen"/>
          <w:sz w:val="24"/>
          <w:szCs w:val="24"/>
        </w:rPr>
        <w:t>և</w:t>
      </w:r>
      <w:r w:rsidRPr="00834D52">
        <w:rPr>
          <w:rFonts w:ascii="Sylfaen" w:hAnsi="Sylfaen"/>
          <w:sz w:val="24"/>
          <w:szCs w:val="24"/>
        </w:rPr>
        <w:t xml:space="preserve"> փաթեթվածքների մանրակերտերը՝ ճանաչման պետության պետական լեզվով։</w:t>
      </w:r>
    </w:p>
    <w:p w14:paraId="0BEA6F0E" w14:textId="262F3F45" w:rsidR="00E0547B" w:rsidRPr="006F28F9" w:rsidRDefault="00E0547B" w:rsidP="00E0547B">
      <w:pPr>
        <w:rPr>
          <w:b/>
          <w:bCs/>
          <w:i/>
          <w:iCs/>
        </w:rPr>
      </w:pPr>
      <w:r w:rsidRPr="00CD4709">
        <w:rPr>
          <w:b/>
          <w:bCs/>
          <w:i/>
          <w:iCs/>
        </w:rPr>
        <w:t>(</w:t>
      </w:r>
      <w:r>
        <w:rPr>
          <w:b/>
          <w:bCs/>
          <w:i/>
          <w:iCs/>
        </w:rPr>
        <w:t xml:space="preserve">129-րդ կետը </w:t>
      </w:r>
      <w:r w:rsidRPr="00CD4709">
        <w:rPr>
          <w:b/>
          <w:bCs/>
          <w:i/>
          <w:iCs/>
        </w:rPr>
        <w:t>փոփ. 30.01.20 թիվ 9)</w:t>
      </w:r>
    </w:p>
    <w:p w14:paraId="13EA501D" w14:textId="7D9AF901" w:rsidR="006F76EB" w:rsidRDefault="006F76EB" w:rsidP="007F5A6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130.</w:t>
      </w:r>
      <w:r w:rsidRPr="00834D52">
        <w:rPr>
          <w:rFonts w:ascii="Sylfaen" w:hAnsi="Sylfaen"/>
          <w:sz w:val="24"/>
          <w:szCs w:val="24"/>
        </w:rPr>
        <w:tab/>
        <w:t xml:space="preserve">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14 աշխատանքային օրվա ընթացքում՝ նախքան գրանցման դոսյեի նյութերը փորձաքննության ուղարկելը,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իրականացնում է գրանցման </w:t>
      </w:r>
      <w:r w:rsidRPr="00834D52">
        <w:rPr>
          <w:rFonts w:ascii="Sylfaen" w:hAnsi="Sylfaen"/>
          <w:sz w:val="24"/>
          <w:szCs w:val="24"/>
        </w:rPr>
        <w:lastRenderedPageBreak/>
        <w:t xml:space="preserve">դոսյեի ներկայացված փաստաթղթերի ամբողջականության, լրակազմության </w:t>
      </w:r>
      <w:r w:rsidR="00C54D75">
        <w:rPr>
          <w:rFonts w:ascii="Sylfaen" w:hAnsi="Sylfaen"/>
          <w:sz w:val="24"/>
          <w:szCs w:val="24"/>
        </w:rPr>
        <w:t>և</w:t>
      </w:r>
      <w:r w:rsidRPr="00834D52">
        <w:rPr>
          <w:rFonts w:ascii="Sylfaen" w:hAnsi="Sylfaen"/>
          <w:sz w:val="24"/>
          <w:szCs w:val="24"/>
        </w:rPr>
        <w:t xml:space="preserve"> ճիշտ ձ</w:t>
      </w:r>
      <w:r w:rsidR="00C54D75">
        <w:rPr>
          <w:rFonts w:ascii="Sylfaen" w:hAnsi="Sylfaen"/>
          <w:sz w:val="24"/>
          <w:szCs w:val="24"/>
        </w:rPr>
        <w:t>և</w:t>
      </w:r>
      <w:r w:rsidRPr="00834D52">
        <w:rPr>
          <w:rFonts w:ascii="Sylfaen" w:hAnsi="Sylfaen"/>
          <w:sz w:val="24"/>
          <w:szCs w:val="24"/>
        </w:rPr>
        <w:t xml:space="preserve">ակերպման գնահատում։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 xml:space="preserve">ին տրամադրվում է 90 օրացուցային օրվանից ոչ ավելի, որը չի մտնում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ժամկետի մեջ։</w:t>
      </w:r>
    </w:p>
    <w:p w14:paraId="3D4F8B62" w14:textId="4E6E372C" w:rsidR="00E0547B" w:rsidRPr="006F28F9" w:rsidRDefault="00E0547B" w:rsidP="00E0547B">
      <w:pPr>
        <w:rPr>
          <w:b/>
          <w:bCs/>
          <w:i/>
          <w:iCs/>
        </w:rPr>
      </w:pPr>
      <w:r w:rsidRPr="00CD4709">
        <w:rPr>
          <w:b/>
          <w:bCs/>
          <w:i/>
          <w:iCs/>
        </w:rPr>
        <w:t>(</w:t>
      </w:r>
      <w:r>
        <w:rPr>
          <w:b/>
          <w:bCs/>
          <w:i/>
          <w:iCs/>
        </w:rPr>
        <w:t xml:space="preserve">130-րդ կետը </w:t>
      </w:r>
      <w:r w:rsidRPr="00CD4709">
        <w:rPr>
          <w:b/>
          <w:bCs/>
          <w:i/>
          <w:iCs/>
        </w:rPr>
        <w:t>փոփ. 30.01.20 թիվ 9)</w:t>
      </w:r>
    </w:p>
    <w:p w14:paraId="1F102C59" w14:textId="754772F7" w:rsidR="006F76EB" w:rsidRDefault="006F76EB" w:rsidP="007F5A6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131.</w:t>
      </w:r>
      <w:r w:rsidRPr="00834D52">
        <w:rPr>
          <w:rFonts w:ascii="Sylfaen" w:hAnsi="Sylfaen"/>
          <w:sz w:val="24"/>
          <w:szCs w:val="24"/>
        </w:rPr>
        <w:tab/>
        <w:t xml:space="preserve">Նախկինում արված դիտողությունների հիման վրա սահմանված ժամկետում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w:t>
      </w:r>
      <w:r w:rsidR="0032680A">
        <w:rPr>
          <w:rFonts w:ascii="Sylfaen" w:hAnsi="Sylfaen"/>
          <w:sz w:val="24"/>
          <w:szCs w:val="24"/>
        </w:rPr>
        <w:t xml:space="preserve">ռեֆերենտ </w:t>
      </w:r>
      <w:r w:rsidRPr="00834D52">
        <w:rPr>
          <w:rFonts w:ascii="Sylfaen" w:hAnsi="Sylfaen"/>
          <w:sz w:val="24"/>
          <w:szCs w:val="24"/>
        </w:rPr>
        <w:t xml:space="preserve">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վճարի (տուրքի) վճարումը չհաստատելու դեպքում, ինչպես նա</w:t>
      </w:r>
      <w:r w:rsidR="00C54D75">
        <w:rPr>
          <w:rFonts w:ascii="Sylfaen" w:hAnsi="Sylfaen"/>
          <w:sz w:val="24"/>
          <w:szCs w:val="24"/>
        </w:rPr>
        <w:t>և</w:t>
      </w:r>
      <w:r w:rsidRPr="00834D52">
        <w:rPr>
          <w:rFonts w:ascii="Sylfaen" w:hAnsi="Sylfaen"/>
          <w:sz w:val="24"/>
          <w:szCs w:val="24"/>
        </w:rPr>
        <w:t xml:space="preserve"> սույն Կանոնների 126</w:t>
      </w:r>
      <w:r w:rsidRPr="008341C7">
        <w:rPr>
          <w:rFonts w:ascii="Sylfaen" w:hAnsi="Sylfaen"/>
          <w:sz w:val="24"/>
          <w:szCs w:val="24"/>
        </w:rPr>
        <w:t>-</w:t>
      </w:r>
      <w:r w:rsidRPr="00834D52">
        <w:rPr>
          <w:rFonts w:ascii="Sylfaen" w:hAnsi="Sylfaen"/>
          <w:sz w:val="24"/>
          <w:szCs w:val="24"/>
        </w:rPr>
        <w:t xml:space="preserve">րդ կետում նշված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ժամկետի խախտման հետ կապված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մերժում է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գրավոր </w:t>
      </w:r>
      <w:r w:rsidR="00C54D75">
        <w:rPr>
          <w:rFonts w:ascii="Sylfaen" w:hAnsi="Sylfaen"/>
          <w:sz w:val="24"/>
          <w:szCs w:val="24"/>
        </w:rPr>
        <w:t>և</w:t>
      </w:r>
      <w:r w:rsidRPr="00834D52">
        <w:rPr>
          <w:rFonts w:ascii="Sylfaen" w:hAnsi="Sylfaen"/>
          <w:sz w:val="24"/>
          <w:szCs w:val="24"/>
        </w:rPr>
        <w:t xml:space="preserve"> (կամ) էլեկտրոնային եղանակով տեղեկացնում է այդ մասին ճանաչման պետությունների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w:t>
      </w:r>
    </w:p>
    <w:p w14:paraId="511261B8" w14:textId="7DBED756" w:rsidR="00E0547B" w:rsidRPr="006F28F9" w:rsidRDefault="00E0547B" w:rsidP="00E0547B">
      <w:pPr>
        <w:rPr>
          <w:b/>
          <w:bCs/>
          <w:i/>
          <w:iCs/>
        </w:rPr>
      </w:pPr>
      <w:r w:rsidRPr="00CD4709">
        <w:rPr>
          <w:b/>
          <w:bCs/>
          <w:i/>
          <w:iCs/>
        </w:rPr>
        <w:t>(</w:t>
      </w:r>
      <w:r>
        <w:rPr>
          <w:b/>
          <w:bCs/>
          <w:i/>
          <w:iCs/>
        </w:rPr>
        <w:t xml:space="preserve">131-րդ կետը </w:t>
      </w:r>
      <w:r w:rsidRPr="00CD4709">
        <w:rPr>
          <w:b/>
          <w:bCs/>
          <w:i/>
          <w:iCs/>
        </w:rPr>
        <w:t>փոփ. 30.01.20 թիվ 9)</w:t>
      </w:r>
    </w:p>
    <w:p w14:paraId="4A821491" w14:textId="1D57F861" w:rsidR="006F76EB" w:rsidRDefault="006F76EB" w:rsidP="007F5A60">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132.</w:t>
      </w:r>
      <w:r w:rsidRPr="00834D52">
        <w:rPr>
          <w:rFonts w:ascii="Sylfaen" w:hAnsi="Sylfaen"/>
          <w:sz w:val="24"/>
          <w:szCs w:val="24"/>
        </w:rPr>
        <w:tab/>
      </w:r>
      <w:r w:rsidR="00EB7D73">
        <w:rPr>
          <w:rFonts w:ascii="Sylfaen" w:hAnsi="Sylfaen"/>
          <w:sz w:val="24"/>
          <w:szCs w:val="24"/>
        </w:rPr>
        <w:t>Ռեֆերենտ</w:t>
      </w:r>
      <w:r w:rsidRPr="00834D52">
        <w:rPr>
          <w:rFonts w:ascii="Sylfaen" w:hAnsi="Sylfaen"/>
          <w:sz w:val="24"/>
          <w:szCs w:val="24"/>
        </w:rPr>
        <w:t xml:space="preserve"> պետության լիազորված մարմնի (փորձագիտական կազմակերպության) կողմից դեղապատրաստուկի փորձաքննության ընթացքում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ը ներկայացնելու օրվանից 50 օրացուցային օրվա ընթացքում կազմվում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ճանաչման պետությունների լիազորված մարմիններ (փորձագիտական կազմակերպություններ) է ուղարկվում գնահատման վերաբերյալ նախնական փորձագիտական հաշվետվություն՝ սույն Կանոնների թիվ 11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52E057B6" w14:textId="3BD3EF88" w:rsidR="00E0547B" w:rsidRPr="006F28F9" w:rsidRDefault="00E0547B" w:rsidP="00E0547B">
      <w:pPr>
        <w:rPr>
          <w:b/>
          <w:bCs/>
          <w:i/>
          <w:iCs/>
        </w:rPr>
      </w:pPr>
      <w:r w:rsidRPr="00CD4709">
        <w:rPr>
          <w:b/>
          <w:bCs/>
          <w:i/>
          <w:iCs/>
        </w:rPr>
        <w:lastRenderedPageBreak/>
        <w:t>(</w:t>
      </w:r>
      <w:r>
        <w:rPr>
          <w:b/>
          <w:bCs/>
          <w:i/>
          <w:iCs/>
        </w:rPr>
        <w:t xml:space="preserve">132-րդ կետը </w:t>
      </w:r>
      <w:r w:rsidRPr="00CD4709">
        <w:rPr>
          <w:b/>
          <w:bCs/>
          <w:i/>
          <w:iCs/>
        </w:rPr>
        <w:t>փոփ. 30.01.20 թիվ 9)</w:t>
      </w:r>
    </w:p>
    <w:p w14:paraId="7B5BEE64" w14:textId="77777777" w:rsidR="006F76EB" w:rsidRPr="00834D52" w:rsidRDefault="006F76EB" w:rsidP="007F5A6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Դեղապատրաստուկի օգուտ</w:t>
      </w:r>
      <w:r w:rsidRPr="008341C7">
        <w:rPr>
          <w:rFonts w:ascii="Sylfaen" w:hAnsi="Sylfaen"/>
          <w:sz w:val="24"/>
          <w:szCs w:val="24"/>
        </w:rPr>
        <w:t>-</w:t>
      </w:r>
      <w:r w:rsidRPr="00834D52">
        <w:rPr>
          <w:rFonts w:ascii="Sylfaen" w:hAnsi="Sylfaen"/>
          <w:sz w:val="24"/>
          <w:szCs w:val="24"/>
        </w:rPr>
        <w:t xml:space="preserve">ռիսկ հարաբերակցության վերաբերյալ </w:t>
      </w:r>
      <w:r w:rsidR="0032680A">
        <w:rPr>
          <w:rFonts w:ascii="Sylfaen" w:hAnsi="Sylfaen"/>
          <w:sz w:val="24"/>
          <w:szCs w:val="24"/>
        </w:rPr>
        <w:t xml:space="preserve">ռեֆերենտ </w:t>
      </w:r>
      <w:r w:rsidRPr="00834D52">
        <w:rPr>
          <w:rFonts w:ascii="Sylfaen" w:hAnsi="Sylfaen"/>
          <w:sz w:val="24"/>
          <w:szCs w:val="24"/>
        </w:rPr>
        <w:t>պետության ներկայացրած՝ գնահատման վերաբերյալ նախնական փորձագիտական հաշվետվության եզրահանգումների հետ անհամաձայնության կամ ճանաչման պետությունների լիազորված մարմինների (փորձագիտական կազմակերպությունների) կողմից 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կամ գրանցման դոսյեի այլ փաստաթղթերում փոփոխություններ կատարելու մասին պահանջի առկայության դեպքում ճանաչման պետության լիազորված մարմինը (փորձագիտական կազմակերպությունը)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կողմից գնահատման վերաբերյալ նախնական փորձագիտական հաշվետվությունն ուղարկվելու օրվանից ոչ ուշ, քան 20 աշխատանքային օրվա ընթացքում ինտեգերված համակարգի միջոցների օգտագործմամբ համապատասխան հիմնավորված հարցում է ուղարկում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 (փորձագիտական կազմակերպություն)։</w:t>
      </w:r>
    </w:p>
    <w:p w14:paraId="10D56BDD" w14:textId="77777777"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134.</w:t>
      </w:r>
      <w:r w:rsidRPr="00834D52">
        <w:rPr>
          <w:rFonts w:ascii="Sylfaen" w:hAnsi="Sylfaen"/>
          <w:sz w:val="24"/>
          <w:szCs w:val="24"/>
        </w:rPr>
        <w:tab/>
        <w:t xml:space="preserve">Ճանաչման պետությունների կողմից </w:t>
      </w:r>
      <w:r w:rsidR="00EB7D73">
        <w:rPr>
          <w:rFonts w:ascii="Sylfaen" w:hAnsi="Sylfaen"/>
          <w:sz w:val="24"/>
          <w:szCs w:val="24"/>
        </w:rPr>
        <w:t>ռեֆերենտ</w:t>
      </w:r>
      <w:r w:rsidRPr="00834D52">
        <w:rPr>
          <w:rFonts w:ascii="Sylfaen" w:hAnsi="Sylfaen"/>
          <w:sz w:val="24"/>
          <w:szCs w:val="24"/>
        </w:rPr>
        <w:t xml:space="preserve"> պետության փորձագիտական կազմակերպության պատրաստած՝ գնահատման վերաբերյալ նախնական փորձագիտական հաշվետվության քննության,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մարմինների (փորձագիտական կազմակերպությունների) կողմից ճանաչման պետությունների լիազորված մարմինների (փորձագիտական կազմակերպությունների) հարցումների քննության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կողմից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եզրափակիչ փորձագիտական հաշվետվության քննության ընթացքում ընթացակարգին մասնակցող անդամ պետությունների լիազորված մարմինների (փորձագիտական կազմակերպությունների) միջ</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իրականացվում են խորհրդակցություններ՝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որոնց ընթացքում համաձայնեցվում է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Pr="00834D52">
        <w:rPr>
          <w:rFonts w:ascii="Sylfaen" w:hAnsi="Sylfaen"/>
          <w:sz w:val="24"/>
          <w:szCs w:val="24"/>
        </w:rPr>
        <w:lastRenderedPageBreak/>
        <w:t>լիազորված մարմնի (փորձագիտական կազմակերպության) պատրաստած՝ գնահատման վերաբերյալ եզրափակիչ փորձագիտական հաշվետվությունը։</w:t>
      </w:r>
    </w:p>
    <w:p w14:paraId="6697C8BC" w14:textId="1C294B0E" w:rsidR="006F76EB" w:rsidRPr="00834D52" w:rsidRDefault="006F76EB" w:rsidP="00960E63">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135.</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C54D75">
        <w:rPr>
          <w:rFonts w:ascii="Sylfaen" w:hAnsi="Sylfaen"/>
          <w:sz w:val="24"/>
          <w:szCs w:val="24"/>
        </w:rPr>
        <w:t>և</w:t>
      </w:r>
      <w:r w:rsidRPr="00834D52">
        <w:rPr>
          <w:rFonts w:ascii="Sylfaen" w:hAnsi="Sylfaen"/>
          <w:sz w:val="24"/>
          <w:szCs w:val="24"/>
        </w:rPr>
        <w:t xml:space="preserve"> փորձաքննության ընթացակարգն անցկացնելիս իրավասու է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 </w:t>
      </w:r>
      <w:r w:rsidR="0056496B">
        <w:rPr>
          <w:rFonts w:ascii="Sylfaen" w:hAnsi="Sylfaen"/>
          <w:sz w:val="24"/>
          <w:szCs w:val="24"/>
        </w:rPr>
        <w:t>դիմումատու</w:t>
      </w:r>
      <w:r w:rsidRPr="00834D52">
        <w:rPr>
          <w:rFonts w:ascii="Sylfaen" w:hAnsi="Sylfaen"/>
          <w:sz w:val="24"/>
          <w:szCs w:val="24"/>
        </w:rPr>
        <w:t xml:space="preserve">ին՝ պակասող լրացուցիչ տեղեկատվություն, գրանցման դոսյեի ներկայացված փաստաթղթերի </w:t>
      </w:r>
      <w:r w:rsidR="00C54D75">
        <w:rPr>
          <w:rFonts w:ascii="Sylfaen" w:hAnsi="Sylfaen"/>
          <w:sz w:val="24"/>
          <w:szCs w:val="24"/>
        </w:rPr>
        <w:t>և</w:t>
      </w:r>
      <w:r w:rsidRPr="00834D52">
        <w:rPr>
          <w:rFonts w:ascii="Sylfaen" w:hAnsi="Sylfaen"/>
          <w:sz w:val="24"/>
          <w:szCs w:val="24"/>
        </w:rPr>
        <w:t xml:space="preserve"> տվյալների վերաբերյալ անհրաժեշտ պարզաբանումներ կամ ճշտումներ (այդ թվում՝ ԴՊԸԲ</w:t>
      </w:r>
      <w:r w:rsidRPr="008341C7">
        <w:rPr>
          <w:rFonts w:ascii="Sylfaen" w:hAnsi="Sylfaen"/>
          <w:sz w:val="24"/>
          <w:szCs w:val="24"/>
        </w:rPr>
        <w:t>-</w:t>
      </w:r>
      <w:r w:rsidRPr="00834D52">
        <w:rPr>
          <w:rFonts w:ascii="Sylfaen" w:hAnsi="Sylfaen"/>
          <w:sz w:val="24"/>
          <w:szCs w:val="24"/>
        </w:rPr>
        <w:t>ում, դեղապատրաստուկի բժշկական կիրառման հրահանգում, փաթեթվածքի մանրակերտերում, որակի նորմատիվ փաստաթղթում կամ գրանցման դոսյեի այլ փաստաթղթերում փոփոխություններ կատարելու մասին առաջարկ) ներկայացնելու վերաբերյալ։</w:t>
      </w:r>
    </w:p>
    <w:p w14:paraId="67FCD120" w14:textId="0B30E275" w:rsidR="006F76EB" w:rsidRPr="00834D52" w:rsidRDefault="0056496B" w:rsidP="00960E63">
      <w:pPr>
        <w:tabs>
          <w:tab w:val="left" w:pos="1134"/>
        </w:tabs>
        <w:spacing w:after="160" w:line="341" w:lineRule="auto"/>
        <w:ind w:right="-8" w:firstLine="567"/>
        <w:jc w:val="both"/>
        <w:rPr>
          <w:rFonts w:ascii="Sylfaen" w:eastAsia="Times New Roman" w:hAnsi="Sylfaen" w:cs="Times New Roman"/>
          <w:sz w:val="24"/>
          <w:szCs w:val="24"/>
        </w:rPr>
      </w:pPr>
      <w:r>
        <w:rPr>
          <w:rFonts w:ascii="Sylfaen" w:hAnsi="Sylfaen"/>
          <w:spacing w:val="-4"/>
          <w:sz w:val="24"/>
          <w:szCs w:val="24"/>
        </w:rPr>
        <w:t>Դիմումատու</w:t>
      </w:r>
      <w:r w:rsidR="006F76EB" w:rsidRPr="00834D52">
        <w:rPr>
          <w:rFonts w:ascii="Sylfaen" w:hAnsi="Sylfaen"/>
          <w:spacing w:val="-4"/>
          <w:sz w:val="24"/>
          <w:szCs w:val="24"/>
        </w:rPr>
        <w:t xml:space="preserve">ի կողմից նշված հարցմանը պատասխան ներկայացնելու ժամկետը չպետք է գերազանցի 90 օրացուցային օրը: Դեղապատրաստուկի գրանցման հաստատման (վերագրանցման) </w:t>
      </w:r>
      <w:r w:rsidR="00C54D75">
        <w:rPr>
          <w:rFonts w:ascii="Sylfaen" w:hAnsi="Sylfaen"/>
          <w:spacing w:val="-4"/>
          <w:sz w:val="24"/>
          <w:szCs w:val="24"/>
        </w:rPr>
        <w:t>և</w:t>
      </w:r>
      <w:r w:rsidR="006F76EB" w:rsidRPr="00834D52">
        <w:rPr>
          <w:rFonts w:ascii="Sylfaen" w:hAnsi="Sylfaen"/>
          <w:spacing w:val="-4"/>
          <w:sz w:val="24"/>
          <w:szCs w:val="24"/>
        </w:rPr>
        <w:t xml:space="preserve"> փորձաքննության ընթացքում </w:t>
      </w:r>
      <w:r w:rsidR="00EB7D73">
        <w:rPr>
          <w:rFonts w:ascii="Sylfaen" w:hAnsi="Sylfaen"/>
          <w:spacing w:val="-4"/>
          <w:sz w:val="24"/>
          <w:szCs w:val="24"/>
        </w:rPr>
        <w:t xml:space="preserve">ռեֆերենտ </w:t>
      </w:r>
      <w:r w:rsidR="006F76EB" w:rsidRPr="00834D52">
        <w:rPr>
          <w:rFonts w:ascii="Sylfaen" w:hAnsi="Sylfaen"/>
          <w:spacing w:val="-4"/>
          <w:sz w:val="24"/>
          <w:szCs w:val="24"/>
        </w:rPr>
        <w:t xml:space="preserve">պետության լիազորված մարմնի (փորձագիտական կազմակերպության) հարցման հիման վրա </w:t>
      </w:r>
      <w:r>
        <w:rPr>
          <w:rFonts w:ascii="Sylfaen" w:hAnsi="Sylfaen"/>
          <w:spacing w:val="-4"/>
          <w:sz w:val="24"/>
          <w:szCs w:val="24"/>
        </w:rPr>
        <w:t>դիմումատու</w:t>
      </w:r>
      <w:r w:rsidR="006F76EB" w:rsidRPr="00834D52">
        <w:rPr>
          <w:rFonts w:ascii="Sylfaen" w:hAnsi="Sylfaen"/>
          <w:spacing w:val="-4"/>
          <w:sz w:val="24"/>
          <w:szCs w:val="24"/>
        </w:rPr>
        <w:t xml:space="preserve">ի կողմից փաստաթղթեր ներկայացնելու ժամկետը չի մտնում դեղապատրաստուկի գրանցման հաստատում (վերագրանցում) </w:t>
      </w:r>
      <w:r w:rsidR="00C54D75">
        <w:rPr>
          <w:rFonts w:ascii="Sylfaen" w:hAnsi="Sylfaen"/>
          <w:spacing w:val="-4"/>
          <w:sz w:val="24"/>
          <w:szCs w:val="24"/>
        </w:rPr>
        <w:t>և</w:t>
      </w:r>
      <w:r w:rsidR="006F76EB" w:rsidRPr="00834D52">
        <w:rPr>
          <w:rFonts w:ascii="Sylfaen" w:hAnsi="Sylfaen"/>
          <w:spacing w:val="-4"/>
          <w:sz w:val="24"/>
          <w:szCs w:val="24"/>
        </w:rPr>
        <w:t xml:space="preserve"> փորձաքննություն անցկացնելու ժամկետների</w:t>
      </w:r>
      <w:r w:rsidR="006F76EB" w:rsidRPr="00834D52">
        <w:rPr>
          <w:rFonts w:ascii="Sylfaen" w:hAnsi="Sylfaen"/>
          <w:sz w:val="24"/>
          <w:szCs w:val="24"/>
        </w:rPr>
        <w:t xml:space="preserve"> մեջ։</w:t>
      </w:r>
    </w:p>
    <w:p w14:paraId="68EFA9FD" w14:textId="72367851" w:rsidR="006F76EB" w:rsidRPr="00834D52" w:rsidRDefault="006F76EB" w:rsidP="00960E63">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փորձաքննության շրջանակներում </w:t>
      </w:r>
      <w:r w:rsidR="00EB7D73">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20</w:t>
      </w:r>
      <w:r w:rsidR="0081247E" w:rsidRPr="0081247E">
        <w:rPr>
          <w:rFonts w:ascii="Sylfaen" w:hAnsi="Sylfaen"/>
          <w:sz w:val="24"/>
          <w:szCs w:val="24"/>
        </w:rPr>
        <w:t> </w:t>
      </w:r>
      <w:r w:rsidRPr="00834D52">
        <w:rPr>
          <w:rFonts w:ascii="Sylfaen" w:hAnsi="Sylfaen"/>
          <w:sz w:val="24"/>
          <w:szCs w:val="24"/>
        </w:rPr>
        <w:t xml:space="preserve">օրացուցային օրը չգերազանցող ժամկետում անցկացնում է </w:t>
      </w:r>
      <w:r w:rsidR="0056496B">
        <w:rPr>
          <w:rFonts w:ascii="Sylfaen" w:hAnsi="Sylfaen"/>
          <w:sz w:val="24"/>
          <w:szCs w:val="24"/>
        </w:rPr>
        <w:t>դիմումատու</w:t>
      </w:r>
      <w:r w:rsidRPr="00834D52">
        <w:rPr>
          <w:rFonts w:ascii="Sylfaen" w:hAnsi="Sylfaen"/>
          <w:sz w:val="24"/>
          <w:szCs w:val="24"/>
        </w:rPr>
        <w:t>ի պատասխանների, այդ թվում՝ ճանաչման պետությունների լիազորված մարմինների (փորձագիտական կազմակերպությունների) հարցումների պատասխանների քննություն։</w:t>
      </w:r>
    </w:p>
    <w:p w14:paraId="4D59484B" w14:textId="39624F51" w:rsidR="006F76EB" w:rsidRDefault="006F76EB" w:rsidP="006F76EB">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Սահմանված ժամկետում 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ի կողմից չներկայացնելու դեպքում դեղապատրաստուկի փորձաքննությունն ու գրանցման հաստատումը (վերագրանցումը) դադարեցվում</w:t>
      </w:r>
      <w:r w:rsidR="002442DD" w:rsidRPr="002442DD">
        <w:rPr>
          <w:rFonts w:ascii="Sylfaen" w:hAnsi="Sylfaen"/>
          <w:sz w:val="24"/>
          <w:szCs w:val="24"/>
        </w:rPr>
        <w:t> </w:t>
      </w:r>
      <w:r w:rsidRPr="00834D52">
        <w:rPr>
          <w:rFonts w:ascii="Sylfaen" w:hAnsi="Sylfaen"/>
          <w:sz w:val="24"/>
          <w:szCs w:val="24"/>
        </w:rPr>
        <w:t xml:space="preserve">է։ Կայացված որոշման մասին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w:t>
      </w:r>
      <w:r w:rsidRPr="00834D52">
        <w:rPr>
          <w:rFonts w:ascii="Sylfaen" w:hAnsi="Sylfaen"/>
          <w:sz w:val="24"/>
          <w:szCs w:val="24"/>
        </w:rPr>
        <w:lastRenderedPageBreak/>
        <w:t xml:space="preserve">մարմինը (փորձագիտական կազմակերպությունը) այդ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եղանակով ծանուցում է ճանաչման պետության լիազորված մարմիններին (փորձագիտական կազմակերպություններին)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w:t>
      </w:r>
    </w:p>
    <w:p w14:paraId="0B899E96" w14:textId="4D73E10B" w:rsidR="00C5295D" w:rsidRPr="006F28F9" w:rsidRDefault="00C5295D" w:rsidP="00C5295D">
      <w:pPr>
        <w:rPr>
          <w:b/>
          <w:bCs/>
          <w:i/>
          <w:iCs/>
        </w:rPr>
      </w:pPr>
      <w:r w:rsidRPr="00CD4709">
        <w:rPr>
          <w:b/>
          <w:bCs/>
          <w:i/>
          <w:iCs/>
        </w:rPr>
        <w:t>(</w:t>
      </w:r>
      <w:r>
        <w:rPr>
          <w:b/>
          <w:bCs/>
          <w:i/>
          <w:iCs/>
        </w:rPr>
        <w:t xml:space="preserve">135-րդ կետը </w:t>
      </w:r>
      <w:r w:rsidRPr="00CD4709">
        <w:rPr>
          <w:b/>
          <w:bCs/>
          <w:i/>
          <w:iCs/>
        </w:rPr>
        <w:t>փոփ. 30.01.20 թիվ 9)</w:t>
      </w:r>
    </w:p>
    <w:p w14:paraId="753748F9" w14:textId="49729C21" w:rsidR="006F76EB" w:rsidRDefault="006F76EB" w:rsidP="00960E6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136.</w:t>
      </w:r>
      <w:r w:rsidRPr="00834D52">
        <w:rPr>
          <w:rFonts w:ascii="Sylfaen" w:hAnsi="Sylfaen"/>
          <w:sz w:val="24"/>
          <w:szCs w:val="24"/>
        </w:rPr>
        <w:tab/>
        <w:t xml:space="preserve">Դեղապատրաստուկի փորձաքննության արդյունքներով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գրանցման հաստատման (վերագրանցման) </w:t>
      </w:r>
      <w:r w:rsidR="0056496B">
        <w:rPr>
          <w:rFonts w:ascii="Sylfaen" w:hAnsi="Sylfaen"/>
          <w:sz w:val="24"/>
          <w:szCs w:val="24"/>
        </w:rPr>
        <w:t>դիմում</w:t>
      </w:r>
      <w:r w:rsidRPr="00834D52">
        <w:rPr>
          <w:rFonts w:ascii="Sylfaen" w:hAnsi="Sylfaen"/>
          <w:sz w:val="24"/>
          <w:szCs w:val="24"/>
        </w:rPr>
        <w:t xml:space="preserve"> ներկայացնելու օրվանից 90 օրացուցային օրը չգերազանցող ժամկետում սույն Կանոնների թիվ 16 հավելվածին համապատասխան սահմանված ձ</w:t>
      </w:r>
      <w:r w:rsidR="00C54D75">
        <w:rPr>
          <w:rFonts w:ascii="Sylfaen" w:hAnsi="Sylfaen"/>
          <w:sz w:val="24"/>
          <w:szCs w:val="24"/>
        </w:rPr>
        <w:t>և</w:t>
      </w:r>
      <w:r w:rsidRPr="00834D52">
        <w:rPr>
          <w:rFonts w:ascii="Sylfaen" w:hAnsi="Sylfaen"/>
          <w:sz w:val="24"/>
          <w:szCs w:val="24"/>
        </w:rPr>
        <w:t xml:space="preserve">ով կազմում </w:t>
      </w:r>
      <w:r w:rsidR="00C54D75">
        <w:rPr>
          <w:rFonts w:ascii="Sylfaen" w:hAnsi="Sylfaen"/>
          <w:sz w:val="24"/>
          <w:szCs w:val="24"/>
        </w:rPr>
        <w:t>և</w:t>
      </w:r>
      <w:r w:rsidRPr="00834D52">
        <w:rPr>
          <w:rFonts w:ascii="Sylfaen" w:hAnsi="Sylfaen"/>
          <w:sz w:val="24"/>
          <w:szCs w:val="24"/>
        </w:rPr>
        <w:t xml:space="preserve"> հաստատում է գնահատման վերաբերյալ եզրափակիչ փորձագիտական հաշվետվությունը, որն ինտեգրված համակարգի օգտագործմամբ ուղարկվում է դեղապատրաստուկի գրանցման հաստատման (վերագրանցման) ընթացակարգին մասնակցող բոլոր ճանաչման պետությունների լիազորված մարմիններ (փորձագիտական կազմակերպություններ)։ Գնահատման վերաբերյալ փորձագիտական հաշվետվությունը կազմվում է սույն Կանոնների թիվ 13</w:t>
      </w:r>
      <w:r w:rsidRPr="008341C7">
        <w:rPr>
          <w:rFonts w:ascii="Sylfaen" w:hAnsi="Sylfaen"/>
          <w:sz w:val="24"/>
          <w:szCs w:val="24"/>
        </w:rPr>
        <w:t>-</w:t>
      </w:r>
      <w:r w:rsidRPr="00834D52">
        <w:rPr>
          <w:rFonts w:ascii="Sylfaen" w:hAnsi="Sylfaen"/>
          <w:sz w:val="24"/>
          <w:szCs w:val="24"/>
        </w:rPr>
        <w:t xml:space="preserve">15 </w:t>
      </w:r>
      <w:r w:rsidR="00C54D75">
        <w:rPr>
          <w:rFonts w:ascii="Sylfaen" w:hAnsi="Sylfaen"/>
          <w:sz w:val="24"/>
          <w:szCs w:val="24"/>
        </w:rPr>
        <w:t>և</w:t>
      </w:r>
      <w:r w:rsidRPr="00834D52">
        <w:rPr>
          <w:rFonts w:ascii="Sylfaen" w:hAnsi="Sylfaen"/>
          <w:sz w:val="24"/>
          <w:szCs w:val="24"/>
        </w:rPr>
        <w:t xml:space="preserve"> 23</w:t>
      </w:r>
      <w:r w:rsidR="00AE5F29" w:rsidRPr="00AE5F29">
        <w:rPr>
          <w:rFonts w:ascii="Sylfaen" w:hAnsi="Sylfaen"/>
          <w:sz w:val="24"/>
          <w:szCs w:val="24"/>
        </w:rPr>
        <w:t> </w:t>
      </w:r>
      <w:r w:rsidRPr="00834D52">
        <w:rPr>
          <w:rFonts w:ascii="Sylfaen" w:hAnsi="Sylfaen"/>
          <w:sz w:val="24"/>
          <w:szCs w:val="24"/>
        </w:rPr>
        <w:t>հավելվածներին համապատասխան։</w:t>
      </w:r>
    </w:p>
    <w:p w14:paraId="4CDC7641" w14:textId="165151D2" w:rsidR="00F82B65" w:rsidRPr="006F28F9" w:rsidRDefault="00F82B65" w:rsidP="00F82B65">
      <w:pPr>
        <w:rPr>
          <w:b/>
          <w:bCs/>
          <w:i/>
          <w:iCs/>
        </w:rPr>
      </w:pPr>
      <w:r w:rsidRPr="00CD4709">
        <w:rPr>
          <w:b/>
          <w:bCs/>
          <w:i/>
          <w:iCs/>
        </w:rPr>
        <w:t>(</w:t>
      </w:r>
      <w:r>
        <w:rPr>
          <w:b/>
          <w:bCs/>
          <w:i/>
          <w:iCs/>
        </w:rPr>
        <w:t xml:space="preserve">136-րդ կետը </w:t>
      </w:r>
      <w:r w:rsidRPr="00CD4709">
        <w:rPr>
          <w:b/>
          <w:bCs/>
          <w:i/>
          <w:iCs/>
        </w:rPr>
        <w:t>փոփ. 30.01.20 թիվ 9)</w:t>
      </w:r>
    </w:p>
    <w:p w14:paraId="64F76F97"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137.</w:t>
      </w:r>
      <w:r w:rsidRPr="00834D52">
        <w:rPr>
          <w:rFonts w:ascii="Sylfaen" w:hAnsi="Sylfaen"/>
          <w:sz w:val="24"/>
          <w:szCs w:val="24"/>
        </w:rPr>
        <w:tab/>
        <w:t xml:space="preserve">Դեղապատրաստուկի փորձաքննության արդյունքներով ճանաչման պետության լիազորված մարմինը (փորձագիտական կազմակերպությունը) </w:t>
      </w:r>
      <w:r w:rsidR="00EB7D73">
        <w:rPr>
          <w:rFonts w:ascii="Sylfaen" w:hAnsi="Sylfaen"/>
          <w:sz w:val="24"/>
          <w:szCs w:val="24"/>
        </w:rPr>
        <w:t>ռեֆերենտ</w:t>
      </w:r>
      <w:r w:rsidRPr="00834D52">
        <w:rPr>
          <w:rFonts w:ascii="Sylfaen" w:hAnsi="Sylfaen"/>
          <w:sz w:val="24"/>
          <w:szCs w:val="24"/>
        </w:rPr>
        <w:t xml:space="preserve"> պետության՝ գնահատման վերաբերյալ եզրափակիչ փորձագիտական հաշվետվությունը ստանալու օրվանից 20 օրացուցային օրը չգերազանցող ժամկետում կազմում, հաստատում </w:t>
      </w:r>
      <w:r w:rsidR="00C54D75">
        <w:rPr>
          <w:rFonts w:ascii="Sylfaen" w:hAnsi="Sylfaen"/>
          <w:sz w:val="24"/>
          <w:szCs w:val="24"/>
        </w:rPr>
        <w:t>և</w:t>
      </w:r>
      <w:r w:rsidRPr="00834D52">
        <w:rPr>
          <w:rFonts w:ascii="Sylfaen" w:hAnsi="Sylfaen"/>
          <w:sz w:val="24"/>
          <w:szCs w:val="24"/>
        </w:rPr>
        <w:t xml:space="preserve"> ինտեգրված համակարգի միջոցների օգտագործմամբ </w:t>
      </w:r>
      <w:r w:rsidR="00EB7D73">
        <w:rPr>
          <w:rFonts w:ascii="Sylfaen" w:hAnsi="Sylfaen"/>
          <w:sz w:val="24"/>
          <w:szCs w:val="24"/>
        </w:rPr>
        <w:t xml:space="preserve">ռեֆերենտ </w:t>
      </w:r>
      <w:r w:rsidRPr="00834D52">
        <w:rPr>
          <w:rFonts w:ascii="Sylfaen" w:hAnsi="Sylfaen"/>
          <w:sz w:val="24"/>
          <w:szCs w:val="24"/>
        </w:rPr>
        <w:t xml:space="preserve">պետության լիազորված մարմին (փորձագիտական կազմակերպություն) է ուղարկում </w:t>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հաշվետվության ճանաչման հնարավոր կամ անհնար լինելու մասին եզրակացություն՝ սույն Կանոնների թիվ 18 հավելվածին համապատասխան սահմանված ձ</w:t>
      </w:r>
      <w:r w:rsidR="00C54D75">
        <w:rPr>
          <w:rFonts w:ascii="Sylfaen" w:hAnsi="Sylfaen"/>
          <w:sz w:val="24"/>
          <w:szCs w:val="24"/>
        </w:rPr>
        <w:t>և</w:t>
      </w:r>
      <w:r w:rsidRPr="00834D52">
        <w:rPr>
          <w:rFonts w:ascii="Sylfaen" w:hAnsi="Sylfaen"/>
          <w:sz w:val="24"/>
          <w:szCs w:val="24"/>
        </w:rPr>
        <w:t>ով:</w:t>
      </w:r>
    </w:p>
    <w:p w14:paraId="0380ECDE" w14:textId="48BC9B3D" w:rsidR="006F76EB" w:rsidRDefault="006F76EB" w:rsidP="00960E63">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138.</w:t>
      </w:r>
      <w:r w:rsidRPr="00834D52">
        <w:rPr>
          <w:rFonts w:ascii="Sylfaen" w:hAnsi="Sylfaen"/>
          <w:sz w:val="24"/>
          <w:szCs w:val="24"/>
        </w:rPr>
        <w:tab/>
        <w:t>ԴՊԸԲ</w:t>
      </w:r>
      <w:r w:rsidRPr="008341C7">
        <w:rPr>
          <w:rFonts w:ascii="Sylfaen" w:hAnsi="Sylfaen"/>
          <w:sz w:val="24"/>
          <w:szCs w:val="24"/>
        </w:rPr>
        <w:t>-</w:t>
      </w:r>
      <w:r w:rsidRPr="00834D52">
        <w:rPr>
          <w:rFonts w:ascii="Sylfaen" w:hAnsi="Sylfaen"/>
          <w:sz w:val="24"/>
          <w:szCs w:val="24"/>
        </w:rPr>
        <w:t xml:space="preserve">ում, դեղապատրաստուկի բժշկական կիրառման հրահանգում, փաթեթվածքների մանրակերտերում </w:t>
      </w:r>
      <w:r w:rsidR="00C54D75">
        <w:rPr>
          <w:rFonts w:ascii="Sylfaen" w:hAnsi="Sylfaen"/>
          <w:sz w:val="24"/>
          <w:szCs w:val="24"/>
        </w:rPr>
        <w:t>և</w:t>
      </w:r>
      <w:r w:rsidRPr="00834D52">
        <w:rPr>
          <w:rFonts w:ascii="Sylfaen" w:hAnsi="Sylfaen"/>
          <w:sz w:val="24"/>
          <w:szCs w:val="24"/>
        </w:rPr>
        <w:t xml:space="preserve"> գրանցման դոսյեի այլ փաստաթղթերում փոփոխություններ կատարելու մասին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լիազորված մարմինների (փորձագիտական կազմակերպությունների) առաջարկների հետ </w:t>
      </w:r>
      <w:r w:rsidR="0056496B">
        <w:rPr>
          <w:rFonts w:ascii="Sylfaen" w:hAnsi="Sylfaen"/>
          <w:sz w:val="24"/>
          <w:szCs w:val="24"/>
        </w:rPr>
        <w:t>դիմումատու</w:t>
      </w:r>
      <w:r w:rsidRPr="00834D52">
        <w:rPr>
          <w:rFonts w:ascii="Sylfaen" w:hAnsi="Sylfaen"/>
          <w:sz w:val="24"/>
          <w:szCs w:val="24"/>
        </w:rPr>
        <w:t>ի համաձայն լինելու դեպքում դրանք չեն կարող ծառայել որպես հիմք՝ դեղապատրաստուկի գրանցման հաստատումը (վերագրանցումը) մերժելու համար։</w:t>
      </w:r>
    </w:p>
    <w:p w14:paraId="069C449C" w14:textId="23084052" w:rsidR="00F82B65" w:rsidRPr="006F28F9" w:rsidRDefault="00F82B65" w:rsidP="00F82B65">
      <w:pPr>
        <w:rPr>
          <w:b/>
          <w:bCs/>
          <w:i/>
          <w:iCs/>
        </w:rPr>
      </w:pPr>
      <w:r w:rsidRPr="00CD4709">
        <w:rPr>
          <w:b/>
          <w:bCs/>
          <w:i/>
          <w:iCs/>
        </w:rPr>
        <w:t>(</w:t>
      </w:r>
      <w:r>
        <w:rPr>
          <w:b/>
          <w:bCs/>
          <w:i/>
          <w:iCs/>
        </w:rPr>
        <w:t xml:space="preserve">138-րդ կետը </w:t>
      </w:r>
      <w:r w:rsidRPr="00CD4709">
        <w:rPr>
          <w:b/>
          <w:bCs/>
          <w:i/>
          <w:iCs/>
        </w:rPr>
        <w:t>փոփ. 30.01.20 թիվ 9)</w:t>
      </w:r>
    </w:p>
    <w:p w14:paraId="040BC18A"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139.</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պետությունում դեղապատրաստուկի փորձաքննության արդյունքներով պարզվում է, որ օգուտ</w:t>
      </w:r>
      <w:r w:rsidRPr="008341C7">
        <w:rPr>
          <w:rFonts w:ascii="Sylfaen" w:hAnsi="Sylfaen"/>
          <w:sz w:val="24"/>
          <w:szCs w:val="24"/>
        </w:rPr>
        <w:t>-</w:t>
      </w:r>
      <w:r w:rsidRPr="00834D52">
        <w:rPr>
          <w:rFonts w:ascii="Sylfaen" w:hAnsi="Sylfaen"/>
          <w:sz w:val="24"/>
          <w:szCs w:val="24"/>
        </w:rPr>
        <w:t xml:space="preserve">ռիսկ հարաբերակցությունը գնահատվում է դրական </w:t>
      </w:r>
      <w:r w:rsidR="00C54D75">
        <w:rPr>
          <w:rFonts w:ascii="Sylfaen" w:hAnsi="Sylfaen"/>
          <w:sz w:val="24"/>
          <w:szCs w:val="24"/>
        </w:rPr>
        <w:t>և</w:t>
      </w:r>
      <w:r w:rsidRPr="00834D52">
        <w:rPr>
          <w:rFonts w:ascii="Sylfaen" w:hAnsi="Sylfaen"/>
          <w:sz w:val="24"/>
          <w:szCs w:val="24"/>
        </w:rPr>
        <w:t xml:space="preserve"> կատարված փոփոխությունները հաշվի առնելով՝ գրանցման դոսյեն համապատասխանում է առաջադրված պահանջներին՝</w:t>
      </w:r>
    </w:p>
    <w:p w14:paraId="520C8A26" w14:textId="797276E9" w:rsidR="006F76EB" w:rsidRPr="00834D52" w:rsidRDefault="006F76EB" w:rsidP="006F76E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ա)</w:t>
      </w:r>
      <w:r w:rsidRPr="00834D52">
        <w:rPr>
          <w:rFonts w:ascii="Sylfaen" w:hAnsi="Sylfaen"/>
          <w:spacing w:val="4"/>
          <w:sz w:val="24"/>
          <w:szCs w:val="24"/>
        </w:rPr>
        <w:tab/>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լիազորված մարմինը (փորձագիտական կազմակերպությունը) </w:t>
      </w:r>
      <w:r w:rsidR="0056496B">
        <w:rPr>
          <w:rFonts w:ascii="Sylfaen" w:hAnsi="Sylfaen"/>
          <w:spacing w:val="4"/>
          <w:sz w:val="24"/>
          <w:szCs w:val="24"/>
        </w:rPr>
        <w:t>դիմումատու</w:t>
      </w:r>
      <w:r w:rsidRPr="00834D52">
        <w:rPr>
          <w:rFonts w:ascii="Sylfaen" w:hAnsi="Sylfaen"/>
          <w:spacing w:val="4"/>
          <w:sz w:val="24"/>
          <w:szCs w:val="24"/>
        </w:rPr>
        <w:t>ին տրամադրում է դեղապատրաստուկի գրանցման անժամկետ հավաստագիր՝ սույն Կանոնների թիվ 17 հավելվածին համապատասխան սահմանված ձ</w:t>
      </w:r>
      <w:r w:rsidR="00C54D75">
        <w:rPr>
          <w:rFonts w:ascii="Sylfaen" w:hAnsi="Sylfaen"/>
          <w:spacing w:val="4"/>
          <w:sz w:val="24"/>
          <w:szCs w:val="24"/>
        </w:rPr>
        <w:t>և</w:t>
      </w:r>
      <w:r w:rsidRPr="00834D52">
        <w:rPr>
          <w:rFonts w:ascii="Sylfaen" w:hAnsi="Sylfaen"/>
          <w:spacing w:val="4"/>
          <w:sz w:val="24"/>
          <w:szCs w:val="24"/>
        </w:rPr>
        <w:t>ով,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ները, բժշկական կիրառման հրահանգը, որակի նորմատիվ փաստաթուղթը, փաթեթվածքների մանրակերտերը, գնահատման վերաբերյալ փորձագիտական հաշվետվությունը (ինչպես նա</w:t>
      </w:r>
      <w:r w:rsidR="00C54D75">
        <w:rPr>
          <w:rFonts w:ascii="Sylfaen" w:hAnsi="Sylfaen"/>
          <w:spacing w:val="4"/>
          <w:sz w:val="24"/>
          <w:szCs w:val="24"/>
        </w:rPr>
        <w:t>և</w:t>
      </w:r>
      <w:r w:rsidRPr="00834D52">
        <w:rPr>
          <w:rFonts w:ascii="Sylfaen" w:hAnsi="Sylfaen"/>
          <w:spacing w:val="4"/>
          <w:sz w:val="24"/>
          <w:szCs w:val="24"/>
        </w:rPr>
        <w:t xml:space="preserve"> անդամ պետության օրենսդրության մեջ նման պահանջի առկայության դեպքում՝ դեղապատրաստուկի հաստատված ԴՊԸԲ</w:t>
      </w:r>
      <w:r w:rsidRPr="008341C7">
        <w:rPr>
          <w:rFonts w:ascii="Sylfaen" w:hAnsi="Sylfaen"/>
          <w:spacing w:val="4"/>
          <w:sz w:val="24"/>
          <w:szCs w:val="24"/>
        </w:rPr>
        <w:t>-</w:t>
      </w:r>
      <w:r w:rsidRPr="00834D52">
        <w:rPr>
          <w:rFonts w:ascii="Sylfaen" w:hAnsi="Sylfaen"/>
          <w:spacing w:val="4"/>
          <w:sz w:val="24"/>
          <w:szCs w:val="24"/>
        </w:rPr>
        <w:t xml:space="preserve">ները, բժշկական կիրառման հրահանգն ու փաթեթվածքի մանրակերտերը՝ </w:t>
      </w:r>
      <w:r w:rsidR="0032680A">
        <w:rPr>
          <w:rFonts w:ascii="Sylfaen" w:hAnsi="Sylfaen"/>
          <w:spacing w:val="4"/>
          <w:sz w:val="24"/>
          <w:szCs w:val="24"/>
        </w:rPr>
        <w:t xml:space="preserve">ռեֆերենտ </w:t>
      </w:r>
      <w:r w:rsidRPr="00834D52">
        <w:rPr>
          <w:rFonts w:ascii="Sylfaen" w:hAnsi="Sylfaen"/>
          <w:spacing w:val="4"/>
          <w:sz w:val="24"/>
          <w:szCs w:val="24"/>
        </w:rPr>
        <w:t xml:space="preserve">պետության պետական լեզվով) </w:t>
      </w:r>
      <w:r w:rsidR="00C54D75">
        <w:rPr>
          <w:rFonts w:ascii="Sylfaen" w:hAnsi="Sylfaen"/>
          <w:spacing w:val="4"/>
          <w:sz w:val="24"/>
          <w:szCs w:val="24"/>
        </w:rPr>
        <w:t>և</w:t>
      </w:r>
      <w:r w:rsidRPr="00834D52">
        <w:rPr>
          <w:rFonts w:ascii="Sylfaen" w:hAnsi="Sylfaen"/>
          <w:spacing w:val="4"/>
          <w:sz w:val="24"/>
          <w:szCs w:val="24"/>
        </w:rPr>
        <w:t xml:space="preserve"> անհրաժեշտության դեպքում՝</w:t>
      </w:r>
      <w:r w:rsidRPr="00834D52">
        <w:rPr>
          <w:rFonts w:ascii="Sylfaen" w:hAnsi="Sylfaen"/>
          <w:sz w:val="24"/>
          <w:szCs w:val="24"/>
        </w:rPr>
        <w:t xml:space="preserve"> դեղապատրաստուկի կիրառման ժամանակ ռիսկերի կառավարման համաձայնեցված պլանը.</w:t>
      </w:r>
    </w:p>
    <w:p w14:paraId="461CA46D" w14:textId="7D8D672A" w:rsidR="006F76EB" w:rsidRPr="00834D52" w:rsidRDefault="006F76EB" w:rsidP="002442DD">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ճանաչման պետությունների լիազորված մարմինները </w:t>
      </w:r>
      <w:r w:rsidR="0056496B">
        <w:rPr>
          <w:rFonts w:ascii="Sylfaen" w:hAnsi="Sylfaen"/>
          <w:sz w:val="24"/>
          <w:szCs w:val="24"/>
        </w:rPr>
        <w:t>դիմումատու</w:t>
      </w:r>
      <w:r w:rsidRPr="00834D52">
        <w:rPr>
          <w:rFonts w:ascii="Sylfaen" w:hAnsi="Sylfaen"/>
          <w:sz w:val="24"/>
          <w:szCs w:val="24"/>
        </w:rPr>
        <w:t>ին տրամադրում են դեղապատրաստուկի անժամկետ գրանցման հավաստագիր՝ սույն Կանոնների թիվ 17 հավելվածին համապատասխան սահմանված ձ</w:t>
      </w:r>
      <w:r w:rsidR="00C54D75">
        <w:rPr>
          <w:rFonts w:ascii="Sylfaen" w:hAnsi="Sylfaen"/>
          <w:sz w:val="24"/>
          <w:szCs w:val="24"/>
        </w:rPr>
        <w:t>և</w:t>
      </w:r>
      <w:r w:rsidRPr="00834D52">
        <w:rPr>
          <w:rFonts w:ascii="Sylfaen" w:hAnsi="Sylfaen"/>
          <w:sz w:val="24"/>
          <w:szCs w:val="24"/>
        </w:rPr>
        <w:t>ով, ինչպես նա</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հաստատված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հրահանգը, փաթեթվածքների մանրակերտերը </w:t>
      </w:r>
      <w:r w:rsidRPr="00834D52">
        <w:rPr>
          <w:rFonts w:ascii="Sylfaen" w:hAnsi="Sylfaen"/>
          <w:sz w:val="24"/>
          <w:szCs w:val="24"/>
        </w:rPr>
        <w:lastRenderedPageBreak/>
        <w:t>ճանաչման պետությունների պետական լեզվով՝ այդ պետությունների օրենսդրության մեջ համապատասխան պահանջների առկայության դեպքում.</w:t>
      </w:r>
    </w:p>
    <w:p w14:paraId="53DCD485" w14:textId="0E984087" w:rsidR="006F76EB" w:rsidRDefault="006F76EB" w:rsidP="00960E63">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գրանցման հաստատման (վերագրանցման) ընթացակարգին մասնակցող անդամ պետությունների լիազորված մարմինները դեղապատրաստուկի </w:t>
      </w:r>
      <w:r w:rsidR="00C54D75">
        <w:rPr>
          <w:rFonts w:ascii="Sylfaen" w:hAnsi="Sylfaen"/>
          <w:sz w:val="24"/>
          <w:szCs w:val="24"/>
        </w:rPr>
        <w:t>և</w:t>
      </w:r>
      <w:r w:rsidRPr="00834D52">
        <w:rPr>
          <w:rFonts w:ascii="Sylfaen" w:hAnsi="Sylfaen"/>
          <w:sz w:val="24"/>
          <w:szCs w:val="24"/>
        </w:rPr>
        <w:t xml:space="preserve"> դրա բաղադրության մեջ մտնող ակտիվ դեղագործական բաղադրամասերի մասին անհրաժեշտ տեղեկատվությունը տեղադրում են միասնական ռեեստրում, դեղապատրաստուկի կիրառման ժամանակ ռիսկերի կառավարման համաձայնեցված պլանի ռեզյումեի մեջ (անհրաժեշտության դեպքում)։</w:t>
      </w:r>
    </w:p>
    <w:p w14:paraId="01F035C1" w14:textId="27519E43" w:rsidR="00F82B65" w:rsidRPr="006F28F9" w:rsidRDefault="00F82B65" w:rsidP="00F82B65">
      <w:pPr>
        <w:rPr>
          <w:b/>
          <w:bCs/>
          <w:i/>
          <w:iCs/>
        </w:rPr>
      </w:pPr>
      <w:r w:rsidRPr="00CD4709">
        <w:rPr>
          <w:b/>
          <w:bCs/>
          <w:i/>
          <w:iCs/>
        </w:rPr>
        <w:t>(</w:t>
      </w:r>
      <w:r>
        <w:rPr>
          <w:b/>
          <w:bCs/>
          <w:i/>
          <w:iCs/>
        </w:rPr>
        <w:t xml:space="preserve">139-րդ կետը </w:t>
      </w:r>
      <w:r w:rsidRPr="00CD4709">
        <w:rPr>
          <w:b/>
          <w:bCs/>
          <w:i/>
          <w:iCs/>
        </w:rPr>
        <w:t>փոփ. 30.01.20 թիվ 9)</w:t>
      </w:r>
    </w:p>
    <w:p w14:paraId="59D1D3DF" w14:textId="01312CBC" w:rsidR="006F76EB" w:rsidRDefault="006F76EB" w:rsidP="00960E63">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140.</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փորձագիտական կազմակերպության պատրաստած՝ գնահատման վերաբերյալ փորձագիտական հաշվետվությունը ճանաչելու անհնարինության դեպքում ճանաչման պետության լիազորված մարմինը (փորձագիտական կազմակերպությունը) սույն Կանոնների </w:t>
      </w:r>
      <w:r w:rsidR="009D5590" w:rsidRPr="0032680A">
        <w:rPr>
          <w:rFonts w:ascii="Sylfaen" w:hAnsi="Sylfaen"/>
          <w:sz w:val="24"/>
          <w:szCs w:val="24"/>
        </w:rPr>
        <w:br/>
      </w:r>
      <w:r w:rsidRPr="00834D52">
        <w:rPr>
          <w:rFonts w:ascii="Sylfaen" w:hAnsi="Sylfaen"/>
          <w:sz w:val="24"/>
          <w:szCs w:val="24"/>
        </w:rPr>
        <w:t>137</w:t>
      </w:r>
      <w:r w:rsidRPr="008341C7">
        <w:rPr>
          <w:rFonts w:ascii="Sylfaen" w:hAnsi="Sylfaen"/>
          <w:sz w:val="24"/>
          <w:szCs w:val="24"/>
        </w:rPr>
        <w:t>-</w:t>
      </w:r>
      <w:r w:rsidRPr="00834D52">
        <w:rPr>
          <w:rFonts w:ascii="Sylfaen" w:hAnsi="Sylfaen"/>
          <w:sz w:val="24"/>
          <w:szCs w:val="24"/>
        </w:rPr>
        <w:t xml:space="preserve">րդ կետում նշված ժամկետում էլեկտրոնային </w:t>
      </w:r>
      <w:r w:rsidR="00C54D75">
        <w:rPr>
          <w:rFonts w:ascii="Sylfaen" w:hAnsi="Sylfaen"/>
          <w:sz w:val="24"/>
          <w:szCs w:val="24"/>
        </w:rPr>
        <w:t>և</w:t>
      </w:r>
      <w:r w:rsidRPr="00834D52">
        <w:rPr>
          <w:rFonts w:ascii="Sylfaen" w:hAnsi="Sylfaen"/>
          <w:sz w:val="24"/>
          <w:szCs w:val="24"/>
        </w:rPr>
        <w:t xml:space="preserve"> (կամ) թղթային եղանակով </w:t>
      </w:r>
      <w:r w:rsidR="0056496B">
        <w:rPr>
          <w:rFonts w:ascii="Sylfaen" w:hAnsi="Sylfaen"/>
          <w:sz w:val="24"/>
          <w:szCs w:val="24"/>
        </w:rPr>
        <w:t>դիմումատու</w:t>
      </w:r>
      <w:r w:rsidRPr="00834D52">
        <w:rPr>
          <w:rFonts w:ascii="Sylfaen" w:hAnsi="Sylfaen"/>
          <w:sz w:val="24"/>
          <w:szCs w:val="24"/>
        </w:rPr>
        <w:t xml:space="preserve">ին կամ Փորձագիտական կոմիտե է ուղարկում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դեղապատրաստուկի գրանցման հաստատման (վերագրանցման) ընթացակարգին մասնակցող ճանաչման պետությունների լիազորված մարմնի (փորձագիտական կազմակերպության) կողմից այդ փորձագիտական հաշվետվությունը ճանաչելու անհնարինության մասին եզրակացություն՝ կայացրած որոշման հիմնավորմամբ։</w:t>
      </w:r>
    </w:p>
    <w:p w14:paraId="568DEB35" w14:textId="328F57C2" w:rsidR="00F82B65" w:rsidRPr="006F28F9" w:rsidRDefault="00F82B65" w:rsidP="00F82B65">
      <w:pPr>
        <w:rPr>
          <w:b/>
          <w:bCs/>
          <w:i/>
          <w:iCs/>
        </w:rPr>
      </w:pPr>
      <w:r w:rsidRPr="00CD4709">
        <w:rPr>
          <w:b/>
          <w:bCs/>
          <w:i/>
          <w:iCs/>
        </w:rPr>
        <w:t>(</w:t>
      </w:r>
      <w:r>
        <w:rPr>
          <w:b/>
          <w:bCs/>
          <w:i/>
          <w:iCs/>
        </w:rPr>
        <w:t xml:space="preserve">140-րդ կետը </w:t>
      </w:r>
      <w:r w:rsidRPr="00CD4709">
        <w:rPr>
          <w:b/>
          <w:bCs/>
          <w:i/>
          <w:iCs/>
        </w:rPr>
        <w:t>փոփ. 30.01.20 թիվ 9)</w:t>
      </w:r>
    </w:p>
    <w:p w14:paraId="61B9FEE1" w14:textId="77777777" w:rsidR="006F76EB" w:rsidRPr="00834D52" w:rsidRDefault="006F76EB" w:rsidP="00960E6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պետության գնահատման վերաբերյալ փորձագիտական հաշվետվությունը ճանաչելու անհնարինության մասին ճանաչման պետության լիազորված մարմնի եզրակացությունը ստանալու օրվանից 60 օրացուցային օրը չգերազանցող ժամկետում Փորձագիտական կոմիտեն, Հանձնաժողովի կողմից սահմանված կարգին համապատասխան, իրականացնում է տարաձայնությունների քննության ընթացակարգ։</w:t>
      </w:r>
    </w:p>
    <w:p w14:paraId="3773FB05"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Ճանաչման պետության լիազորված մարմինը մերժում է </w:t>
      </w:r>
      <w:r w:rsidRPr="00834D52">
        <w:rPr>
          <w:rFonts w:ascii="Sylfaen" w:hAnsi="Sylfaen"/>
          <w:sz w:val="24"/>
          <w:szCs w:val="24"/>
        </w:rPr>
        <w:lastRenderedPageBreak/>
        <w:t xml:space="preserve">դեղապատրաստուկի գրանցման հաստատումը (վերագրանցումը), եթե դեղապատրաստուկի փորձաքննության արդյունքներով </w:t>
      </w:r>
      <w:r w:rsidR="00C54D75">
        <w:rPr>
          <w:rFonts w:ascii="Sylfaen" w:hAnsi="Sylfaen"/>
          <w:sz w:val="24"/>
          <w:szCs w:val="24"/>
        </w:rPr>
        <w:t>և</w:t>
      </w:r>
      <w:r w:rsidRPr="00834D52">
        <w:rPr>
          <w:rFonts w:ascii="Sylfaen" w:hAnsi="Sylfaen"/>
          <w:sz w:val="24"/>
          <w:szCs w:val="24"/>
        </w:rPr>
        <w:t xml:space="preserve"> Փորձագիտական կոմիտեում տարաձայնությունների կարգավորման ընթացակարգի անցկացումից հետո պարզվել է, որ </w:t>
      </w:r>
      <w:r w:rsidR="0032680A">
        <w:rPr>
          <w:rFonts w:ascii="Sylfaen" w:hAnsi="Sylfaen"/>
          <w:sz w:val="24"/>
          <w:szCs w:val="24"/>
        </w:rPr>
        <w:t xml:space="preserve">ռեֆերենտ </w:t>
      </w:r>
      <w:r w:rsidRPr="00834D52">
        <w:rPr>
          <w:rFonts w:ascii="Sylfaen" w:hAnsi="Sylfaen"/>
          <w:sz w:val="24"/>
          <w:szCs w:val="24"/>
        </w:rPr>
        <w:t>պետության փորձագիտական կազմակերպության պատրաստած՝ գնահատման վերաբերյալ փորձագիտական հաշվետվությունը սույն Կանոնների 146</w:t>
      </w:r>
      <w:r w:rsidRPr="008341C7">
        <w:rPr>
          <w:rFonts w:ascii="Sylfaen" w:hAnsi="Sylfaen"/>
          <w:sz w:val="24"/>
          <w:szCs w:val="24"/>
        </w:rPr>
        <w:t>-</w:t>
      </w:r>
      <w:r w:rsidRPr="00834D52">
        <w:rPr>
          <w:rFonts w:ascii="Sylfaen" w:hAnsi="Sylfaen"/>
          <w:sz w:val="24"/>
          <w:szCs w:val="24"/>
        </w:rPr>
        <w:t>րդ կետում նշված պատճառներով չի կարող ճանաչվել ճանաչման պետության լիազորված մարմնի (փորձագիտական կազմակերպության) կողմից։</w:t>
      </w:r>
    </w:p>
    <w:p w14:paraId="7771BD43" w14:textId="53E99EBA"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 xml:space="preserve">Դեղապատրաստուկի գրանցումը հաստատելու (վերագրանցելու) դեպքում անդամ պետության լիազորված մարմինը (փորձագիտական կազմակերպությունը) իրականացնում է գրանցման հավաստագրի իրավատիրոջ կողմից դեղապատրաստուկի գրանցման հետ կապված՝ սույն Կանոնների VII բաժնում շարադրված պայմանների կատարման վերլուծություն, եթե տվյալ պարտավորությունները կիրառվել են գրանցման հավաստագրի այդ իրավատիրոջ նկատմամբ։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նոր տվյալների ի </w:t>
      </w:r>
      <w:r w:rsidR="00F350A1">
        <w:rPr>
          <w:rFonts w:ascii="Sylfaen" w:hAnsi="Sylfaen"/>
          <w:sz w:val="24"/>
          <w:szCs w:val="24"/>
        </w:rPr>
        <w:t>հայտ</w:t>
      </w:r>
      <w:r w:rsidRPr="00834D52">
        <w:rPr>
          <w:rFonts w:ascii="Sylfaen" w:hAnsi="Sylfaen"/>
          <w:sz w:val="24"/>
          <w:szCs w:val="24"/>
        </w:rPr>
        <w:t xml:space="preserve"> գալու դեպքում լիազորված մարմինը կարող է գրանցման պայմաններում կատարել փոփոխություններ </w:t>
      </w:r>
      <w:r w:rsidR="00C54D75">
        <w:rPr>
          <w:rFonts w:ascii="Sylfaen" w:hAnsi="Sylfaen"/>
          <w:sz w:val="24"/>
          <w:szCs w:val="24"/>
        </w:rPr>
        <w:t>և</w:t>
      </w:r>
      <w:r w:rsidRPr="00834D52">
        <w:rPr>
          <w:rFonts w:ascii="Sylfaen" w:hAnsi="Sylfaen"/>
          <w:sz w:val="24"/>
          <w:szCs w:val="24"/>
        </w:rPr>
        <w:t xml:space="preserve"> (կամ) առաջադրել նոր պայմաններ։</w:t>
      </w:r>
    </w:p>
    <w:p w14:paraId="6176BA5C" w14:textId="77777777" w:rsidR="006F76EB" w:rsidRPr="00834D52" w:rsidRDefault="006F76EB" w:rsidP="002442DD">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գնահատման ընթացքում դեղապատրաստուկի գրանցումը հաստատելու (վերագրանցելու) գործընթացում անդամ պետությունների լիազորված մարմինները (փորձագիտական կազմակերպությունները) ստուգում են գրանցման հավաստագրի իրավատիրոջ կողմից դեղապատրաստուկի մասին տեղեկատվությունը ժամանակակից գիտական գիտելիքների լույսի ներքո արդիական պահելու պարտավորությունների կատարումը՝ հաշվի առնելով լիազորված մարմնի (փորձագիտական կազմակերպության) գնահատականների </w:t>
      </w:r>
      <w:r w:rsidR="00C54D75">
        <w:rPr>
          <w:rFonts w:ascii="Sylfaen" w:hAnsi="Sylfaen"/>
          <w:sz w:val="24"/>
          <w:szCs w:val="24"/>
        </w:rPr>
        <w:t>և</w:t>
      </w:r>
      <w:r w:rsidRPr="00834D52">
        <w:rPr>
          <w:rFonts w:ascii="Sylfaen" w:hAnsi="Sylfaen"/>
          <w:sz w:val="24"/>
          <w:szCs w:val="24"/>
        </w:rPr>
        <w:t xml:space="preserve"> առաջարկների արդյունքների հիման վրա արված եզրակացությունները։</w:t>
      </w:r>
    </w:p>
    <w:p w14:paraId="22D8418D" w14:textId="126E9492"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 xml:space="preserve">Եթե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մարմինը (փորձագիտական կազմակերպությունը) դեղապատրաստուկի փորձաքննության ընթացքում դրա </w:t>
      </w:r>
      <w:r w:rsidRPr="00834D52">
        <w:rPr>
          <w:rFonts w:ascii="Sylfaen" w:hAnsi="Sylfaen"/>
          <w:sz w:val="24"/>
          <w:szCs w:val="24"/>
        </w:rPr>
        <w:lastRenderedPageBreak/>
        <w:t>գրանցման հաստատման (վերագրանցման) ժամանակ</w:t>
      </w:r>
      <w:r w:rsidR="00F82B65">
        <w:rPr>
          <w:rFonts w:ascii="Sylfaen" w:hAnsi="Sylfaen"/>
          <w:sz w:val="24"/>
          <w:szCs w:val="24"/>
        </w:rPr>
        <w:t xml:space="preserve">հայտնաբերել </w:t>
      </w:r>
      <w:r w:rsidRPr="00834D52">
        <w:rPr>
          <w:rFonts w:ascii="Sylfaen" w:hAnsi="Sylfaen"/>
          <w:sz w:val="24"/>
          <w:szCs w:val="24"/>
        </w:rPr>
        <w:t>է, որ սույն Կանոնների 142</w:t>
      </w:r>
      <w:r w:rsidRPr="008341C7">
        <w:rPr>
          <w:rFonts w:ascii="Sylfaen" w:hAnsi="Sylfaen"/>
          <w:sz w:val="24"/>
          <w:szCs w:val="24"/>
        </w:rPr>
        <w:t>-</w:t>
      </w:r>
      <w:r w:rsidRPr="00834D52">
        <w:rPr>
          <w:rFonts w:ascii="Sylfaen" w:hAnsi="Sylfaen"/>
          <w:sz w:val="24"/>
          <w:szCs w:val="24"/>
        </w:rPr>
        <w:t xml:space="preserve">րդ կետում նշված պարտավորություններն օբյեկտիվ պատճառներով չեն կատարվել, </w:t>
      </w:r>
      <w:r w:rsidR="00C54D75">
        <w:rPr>
          <w:rFonts w:ascii="Sylfaen" w:hAnsi="Sylfaen"/>
          <w:sz w:val="24"/>
          <w:szCs w:val="24"/>
        </w:rPr>
        <w:t>և</w:t>
      </w:r>
      <w:r w:rsidRPr="00834D52">
        <w:rPr>
          <w:rFonts w:ascii="Sylfaen" w:hAnsi="Sylfaen"/>
          <w:sz w:val="24"/>
          <w:szCs w:val="24"/>
        </w:rPr>
        <w:t xml:space="preserve"> դեղապատրաստուկի գրանցման դոսյեում պահանջվում է փոփոխություններ կատարել, ապա դեղապատրաստուկի գրանցումը հաստատելու (վերագրանցելու) մասին </w:t>
      </w:r>
      <w:r w:rsidR="0032680A">
        <w:rPr>
          <w:rFonts w:ascii="Sylfaen" w:hAnsi="Sylfaen"/>
          <w:sz w:val="24"/>
          <w:szCs w:val="24"/>
        </w:rPr>
        <w:t xml:space="preserve">ռեֆերենտ </w:t>
      </w:r>
      <w:r w:rsidRPr="00834D52">
        <w:rPr>
          <w:rFonts w:ascii="Sylfaen" w:hAnsi="Sylfaen"/>
          <w:sz w:val="24"/>
          <w:szCs w:val="24"/>
        </w:rPr>
        <w:t>պետության դրական եզրակացությունը ստանալուց հետո հարկ է թարմացնել որակի նորմատիվ փաստաթուղթը, ԴՊԸԲ</w:t>
      </w:r>
      <w:r w:rsidRPr="008341C7">
        <w:rPr>
          <w:rFonts w:ascii="Sylfaen" w:hAnsi="Sylfaen"/>
          <w:sz w:val="24"/>
          <w:szCs w:val="24"/>
        </w:rPr>
        <w:t>-</w:t>
      </w:r>
      <w:r w:rsidRPr="00834D52">
        <w:rPr>
          <w:rFonts w:ascii="Sylfaen" w:hAnsi="Sylfaen"/>
          <w:sz w:val="24"/>
          <w:szCs w:val="24"/>
        </w:rPr>
        <w:t xml:space="preserve">ները, բժշկական կիրառման հրահանգն ու ռիսկերի կառավարման պլանը (եթե կիրառելի է)՝ </w:t>
      </w:r>
      <w:r w:rsidR="0032680A">
        <w:rPr>
          <w:rFonts w:ascii="Sylfaen" w:hAnsi="Sylfaen"/>
          <w:sz w:val="24"/>
          <w:szCs w:val="24"/>
        </w:rPr>
        <w:t xml:space="preserve">ռեֆերենտ </w:t>
      </w:r>
      <w:r w:rsidRPr="00834D52">
        <w:rPr>
          <w:rFonts w:ascii="Sylfaen" w:hAnsi="Sylfaen"/>
          <w:sz w:val="24"/>
          <w:szCs w:val="24"/>
        </w:rPr>
        <w:t>պետության լիազորված մարմնի (փորձագիտական կազմակերպության) կողմից գրանցման դոսյեում փոփոխություններ կատարելու անհրաժեշտության մասին հարցում ուղարկելու օրվանից 180 օրը չգերազանցող ժամկետում գրանցման հավաստագրի իրավատիրոջ կողմից գրանցման դոսյեում փոփոխություններ կատարելու համապատասխան ընթացակարգ նախաձեռնելու միջոցով։</w:t>
      </w:r>
    </w:p>
    <w:p w14:paraId="5D5787CD" w14:textId="38EDC80F" w:rsidR="006F76EB" w:rsidRDefault="006F76EB" w:rsidP="00960E63">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144.</w:t>
      </w:r>
      <w:r w:rsidRPr="00834D52">
        <w:rPr>
          <w:rFonts w:ascii="Sylfaen" w:hAnsi="Sylfaen"/>
          <w:sz w:val="24"/>
          <w:szCs w:val="24"/>
        </w:rPr>
        <w:tab/>
        <w:t xml:space="preserve">Գրանցման դոսյեում փոփոխություններ կատարելու </w:t>
      </w:r>
      <w:r w:rsidR="0056496B">
        <w:rPr>
          <w:rFonts w:ascii="Sylfaen" w:hAnsi="Sylfaen"/>
          <w:sz w:val="24"/>
          <w:szCs w:val="24"/>
        </w:rPr>
        <w:t>դիմում</w:t>
      </w:r>
      <w:r w:rsidRPr="00834D52">
        <w:rPr>
          <w:rFonts w:ascii="Sylfaen" w:hAnsi="Sylfaen"/>
          <w:sz w:val="24"/>
          <w:szCs w:val="24"/>
        </w:rPr>
        <w:t xml:space="preserve">ը լրացուցիչ ներկայացնելուց խուսափելու նպատակով, սույն Կանոնների թիվ 19 հավելվածին համապատասխան,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(փորձագիտական կազմակերպությունը) դեղապատրաստուկի գրանցումը հաստատելիս (վերագրանցելիս) կարող է թույլ տալ փոփոխություններ կատարել I</w:t>
      </w:r>
      <w:r w:rsidR="009D5590" w:rsidRPr="007E68F0">
        <w:rPr>
          <w:rFonts w:ascii="Sylfaen" w:hAnsi="Sylfaen"/>
          <w:sz w:val="24"/>
          <w:szCs w:val="24"/>
        </w:rPr>
        <w:t> </w:t>
      </w:r>
      <w:r w:rsidRPr="00834D52">
        <w:rPr>
          <w:rFonts w:ascii="Sylfaen" w:hAnsi="Sylfaen"/>
          <w:sz w:val="24"/>
          <w:szCs w:val="24"/>
        </w:rPr>
        <w:t>տիպի դեղապատրաստուկի գրանցման դոսյեում։</w:t>
      </w:r>
    </w:p>
    <w:p w14:paraId="2B6BD474" w14:textId="2A6A92A8" w:rsidR="00F82B65" w:rsidRPr="006F28F9" w:rsidRDefault="00745ADC" w:rsidP="00745ADC">
      <w:pPr>
        <w:rPr>
          <w:b/>
          <w:bCs/>
          <w:i/>
          <w:iCs/>
        </w:rPr>
      </w:pPr>
      <w:r w:rsidRPr="00CD4709">
        <w:rPr>
          <w:b/>
          <w:bCs/>
          <w:i/>
          <w:iCs/>
        </w:rPr>
        <w:t>(</w:t>
      </w:r>
      <w:r>
        <w:rPr>
          <w:b/>
          <w:bCs/>
          <w:i/>
          <w:iCs/>
        </w:rPr>
        <w:t xml:space="preserve">144-րդ կետը </w:t>
      </w:r>
      <w:r w:rsidRPr="00CD4709">
        <w:rPr>
          <w:b/>
          <w:bCs/>
          <w:i/>
          <w:iCs/>
        </w:rPr>
        <w:t>փոփ. 30.01.20 թիվ 9)</w:t>
      </w:r>
    </w:p>
    <w:p w14:paraId="0201AB8D"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145.</w:t>
      </w:r>
      <w:r w:rsidRPr="00834D52">
        <w:rPr>
          <w:rFonts w:ascii="Sylfaen" w:hAnsi="Sylfaen"/>
          <w:sz w:val="24"/>
          <w:szCs w:val="24"/>
        </w:rPr>
        <w:tab/>
        <w:t>Դեղազգոնության տվյալների հիման վրա, ինչպես նա</w:t>
      </w:r>
      <w:r w:rsidR="00C54D75">
        <w:rPr>
          <w:rFonts w:ascii="Sylfaen" w:hAnsi="Sylfaen"/>
          <w:sz w:val="24"/>
          <w:szCs w:val="24"/>
        </w:rPr>
        <w:t>և</w:t>
      </w:r>
      <w:r w:rsidRPr="00834D52">
        <w:rPr>
          <w:rFonts w:ascii="Sylfaen" w:hAnsi="Sylfaen"/>
          <w:sz w:val="24"/>
          <w:szCs w:val="24"/>
        </w:rPr>
        <w:t xml:space="preserve"> հաշվի առնելով սույն Կանոնների 143</w:t>
      </w:r>
      <w:r w:rsidRPr="008341C7">
        <w:rPr>
          <w:rFonts w:ascii="Sylfaen" w:hAnsi="Sylfaen"/>
          <w:sz w:val="24"/>
          <w:szCs w:val="24"/>
        </w:rPr>
        <w:t>-</w:t>
      </w:r>
      <w:r w:rsidRPr="00834D52">
        <w:rPr>
          <w:rFonts w:ascii="Sylfaen" w:hAnsi="Sylfaen"/>
          <w:sz w:val="24"/>
          <w:szCs w:val="24"/>
        </w:rPr>
        <w:t xml:space="preserve">րդ </w:t>
      </w:r>
      <w:r w:rsidR="00C54D75">
        <w:rPr>
          <w:rFonts w:ascii="Sylfaen" w:hAnsi="Sylfaen"/>
          <w:sz w:val="24"/>
          <w:szCs w:val="24"/>
        </w:rPr>
        <w:t>և</w:t>
      </w:r>
      <w:r w:rsidRPr="00834D52">
        <w:rPr>
          <w:rFonts w:ascii="Sylfaen" w:hAnsi="Sylfaen"/>
          <w:sz w:val="24"/>
          <w:szCs w:val="24"/>
        </w:rPr>
        <w:t xml:space="preserve"> 144</w:t>
      </w:r>
      <w:r w:rsidRPr="008341C7">
        <w:rPr>
          <w:rFonts w:ascii="Sylfaen" w:hAnsi="Sylfaen"/>
          <w:sz w:val="24"/>
          <w:szCs w:val="24"/>
        </w:rPr>
        <w:t>-</w:t>
      </w:r>
      <w:r w:rsidRPr="00834D52">
        <w:rPr>
          <w:rFonts w:ascii="Sylfaen" w:hAnsi="Sylfaen"/>
          <w:sz w:val="24"/>
          <w:szCs w:val="24"/>
        </w:rPr>
        <w:t xml:space="preserve">րդ կետերում նշված հանգամանքները՝ դեղապատրաստուկի փորձաքննության արդյունքներով </w:t>
      </w:r>
      <w:r w:rsidR="0032680A">
        <w:rPr>
          <w:rFonts w:ascii="Sylfaen" w:hAnsi="Sylfaen"/>
          <w:sz w:val="24"/>
          <w:szCs w:val="24"/>
        </w:rPr>
        <w:t xml:space="preserve">ռեֆերենտ </w:t>
      </w:r>
      <w:r w:rsidRPr="00834D52">
        <w:rPr>
          <w:rFonts w:ascii="Sylfaen" w:hAnsi="Sylfaen"/>
          <w:sz w:val="24"/>
          <w:szCs w:val="24"/>
        </w:rPr>
        <w:t>պետության լիազորված մարմինը դեղապատրաստուկի գրանցումը հաստատելիս (վերագրանցելիս) կարող է կայացնել 5 տարի գործողության ժամկետով գրանցման հավաստագիր տրամադրելու որոշում՝ գրանցման հավաստագրի գործողության նշված ժամկետը լրանալուց հետո հետագա գրանցումը հաստատելու (վերագրանցելու) անհրաժեշտությամբ։</w:t>
      </w:r>
    </w:p>
    <w:p w14:paraId="151EFF2A" w14:textId="77777777" w:rsidR="006F76EB" w:rsidRPr="00834D52" w:rsidRDefault="006F76EB" w:rsidP="00960E63">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146.</w:t>
      </w:r>
      <w:r w:rsidRPr="00834D52">
        <w:rPr>
          <w:rFonts w:ascii="Sylfaen" w:hAnsi="Sylfaen"/>
          <w:sz w:val="24"/>
          <w:szCs w:val="24"/>
        </w:rPr>
        <w:tab/>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կողմից դեղապատրաստուկի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ճանաչման պետության լիազորված մարմնի կողմից գնահատման վերաբերյալ փորձագիտական հաշվետվության ճանաչումը մերժելու հիմքեր են՝</w:t>
      </w:r>
    </w:p>
    <w:p w14:paraId="612FB7EA"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գրանցումը հաստատելու (վերագրանցելու) պահին դեղապատրաստուկի օգտագործման հետ կապված առողջության համար հետ</w:t>
      </w:r>
      <w:r w:rsidR="00C54D75">
        <w:rPr>
          <w:rFonts w:ascii="Sylfaen" w:hAnsi="Sylfaen"/>
          <w:sz w:val="24"/>
          <w:szCs w:val="24"/>
        </w:rPr>
        <w:t>և</w:t>
      </w:r>
      <w:r w:rsidRPr="00834D52">
        <w:rPr>
          <w:rFonts w:ascii="Sylfaen" w:hAnsi="Sylfaen"/>
          <w:sz w:val="24"/>
          <w:szCs w:val="24"/>
        </w:rPr>
        <w:t xml:space="preserve">յալ լուրջ ռիսկերի պահպանումը՝ </w:t>
      </w:r>
    </w:p>
    <w:p w14:paraId="7EAF6BB0" w14:textId="76FA940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հաստատված ԴՊԲԸ</w:t>
      </w:r>
      <w:r w:rsidRPr="008341C7">
        <w:rPr>
          <w:rFonts w:ascii="Sylfaen" w:hAnsi="Sylfaen"/>
          <w:sz w:val="24"/>
          <w:szCs w:val="24"/>
        </w:rPr>
        <w:t>-</w:t>
      </w:r>
      <w:r w:rsidRPr="00834D52">
        <w:rPr>
          <w:rFonts w:ascii="Sylfaen" w:hAnsi="Sylfaen"/>
          <w:sz w:val="24"/>
          <w:szCs w:val="24"/>
        </w:rPr>
        <w:t>ում նկարագրված՝ դեղապատրաստուկի կիրառման պայմանների պահպանման դեպքում օգուտ</w:t>
      </w:r>
      <w:r w:rsidRPr="008341C7">
        <w:rPr>
          <w:rFonts w:ascii="Sylfaen" w:hAnsi="Sylfaen"/>
          <w:sz w:val="24"/>
          <w:szCs w:val="24"/>
        </w:rPr>
        <w:t>-</w:t>
      </w:r>
      <w:r w:rsidRPr="00834D52">
        <w:rPr>
          <w:rFonts w:ascii="Sylfaen" w:hAnsi="Sylfaen"/>
          <w:sz w:val="24"/>
          <w:szCs w:val="24"/>
        </w:rPr>
        <w:t>ռիսկ ապացուցված անբարենպաստ հարաբերակցություն կամ թերապ</w:t>
      </w:r>
      <w:r w:rsidR="00C54D75">
        <w:rPr>
          <w:rFonts w:ascii="Sylfaen" w:hAnsi="Sylfaen"/>
          <w:sz w:val="24"/>
          <w:szCs w:val="24"/>
        </w:rPr>
        <w:t>և</w:t>
      </w:r>
      <w:r w:rsidRPr="00834D52">
        <w:rPr>
          <w:rFonts w:ascii="Sylfaen" w:hAnsi="Sylfaen"/>
          <w:sz w:val="24"/>
          <w:szCs w:val="24"/>
        </w:rPr>
        <w:t xml:space="preserve">տիկ արդյունավետության բացակայության </w:t>
      </w:r>
      <w:r w:rsidR="009B6AA0">
        <w:rPr>
          <w:rFonts w:ascii="Sylfaen" w:hAnsi="Sylfaen"/>
          <w:sz w:val="24"/>
          <w:szCs w:val="24"/>
        </w:rPr>
        <w:t>հայտնաբերում</w:t>
      </w:r>
      <w:r w:rsidRPr="00834D52">
        <w:rPr>
          <w:rFonts w:ascii="Sylfaen" w:hAnsi="Sylfaen"/>
          <w:sz w:val="24"/>
          <w:szCs w:val="24"/>
        </w:rPr>
        <w:t>,</w:t>
      </w:r>
    </w:p>
    <w:p w14:paraId="2AC33D6B" w14:textId="7777777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դեղազգոնության տվյալներով հաստատված փաստեր, որոնք ցույց են տալիս օգուտ</w:t>
      </w:r>
      <w:r w:rsidRPr="008341C7">
        <w:rPr>
          <w:rFonts w:ascii="Sylfaen" w:hAnsi="Sylfaen"/>
          <w:sz w:val="24"/>
          <w:szCs w:val="24"/>
        </w:rPr>
        <w:t>-</w:t>
      </w:r>
      <w:r w:rsidRPr="00834D52">
        <w:rPr>
          <w:rFonts w:ascii="Sylfaen" w:hAnsi="Sylfaen"/>
          <w:sz w:val="24"/>
          <w:szCs w:val="24"/>
        </w:rPr>
        <w:t>ռիսկ անբարենպաստ հարաբերակցությունը (այդ թվում՝ այս կամ այն անցանկալի ռեակցիաների զեկուցման հաճախության էական բարձրացում՝ համեմատած հաստատված ԴՊԸԲ</w:t>
      </w:r>
      <w:r w:rsidRPr="008341C7">
        <w:rPr>
          <w:rFonts w:ascii="Sylfaen" w:hAnsi="Sylfaen"/>
          <w:sz w:val="24"/>
          <w:szCs w:val="24"/>
        </w:rPr>
        <w:t>-</w:t>
      </w:r>
      <w:r w:rsidRPr="00834D52">
        <w:rPr>
          <w:rFonts w:ascii="Sylfaen" w:hAnsi="Sylfaen"/>
          <w:sz w:val="24"/>
          <w:szCs w:val="24"/>
        </w:rPr>
        <w:t>ում նշված տվյալների հետ),</w:t>
      </w:r>
    </w:p>
    <w:p w14:paraId="1F17FCBA" w14:textId="4D314C87"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բաղադրության անհամապատասխանությունը </w:t>
      </w:r>
      <w:r w:rsidR="001A5F1A">
        <w:rPr>
          <w:rFonts w:ascii="Sylfaen" w:hAnsi="Sylfaen"/>
          <w:sz w:val="24"/>
          <w:szCs w:val="24"/>
        </w:rPr>
        <w:t>հայտագրված</w:t>
      </w:r>
      <w:r w:rsidRPr="00834D52">
        <w:rPr>
          <w:rFonts w:ascii="Sylfaen" w:hAnsi="Sylfaen"/>
          <w:sz w:val="24"/>
          <w:szCs w:val="24"/>
        </w:rPr>
        <w:t xml:space="preserve"> բաղադրությանը կամ Միության շուկայում դեղապատրաստուկի շրջանառության ընթացքում դրա որակի բազմակի անհամապատասխանությունը գրանցման պահին </w:t>
      </w:r>
      <w:r w:rsidR="001A5F1A">
        <w:rPr>
          <w:rFonts w:ascii="Sylfaen" w:hAnsi="Sylfaen"/>
          <w:sz w:val="24"/>
          <w:szCs w:val="24"/>
        </w:rPr>
        <w:t>հայտագրված</w:t>
      </w:r>
      <w:r w:rsidRPr="00834D52">
        <w:rPr>
          <w:rFonts w:ascii="Sylfaen" w:hAnsi="Sylfaen"/>
          <w:sz w:val="24"/>
          <w:szCs w:val="24"/>
        </w:rPr>
        <w:t xml:space="preserve"> որակին,</w:t>
      </w:r>
    </w:p>
    <w:p w14:paraId="764730A7" w14:textId="04F3995D" w:rsidR="006F76EB" w:rsidRPr="00834D52" w:rsidRDefault="006F76EB" w:rsidP="00960E63">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գրանցման հաստատման (վերագրանցման) </w:t>
      </w:r>
      <w:r w:rsidR="0056496B">
        <w:rPr>
          <w:rFonts w:ascii="Sylfaen" w:hAnsi="Sylfaen"/>
          <w:sz w:val="24"/>
          <w:szCs w:val="24"/>
        </w:rPr>
        <w:t>դիմում</w:t>
      </w:r>
      <w:r w:rsidRPr="00834D52">
        <w:rPr>
          <w:rFonts w:ascii="Sylfaen" w:hAnsi="Sylfaen"/>
          <w:sz w:val="24"/>
          <w:szCs w:val="24"/>
        </w:rPr>
        <w:t>ին ուղեկցող ոչ հավաստի կամ չարդիականացված տվյալները,</w:t>
      </w:r>
    </w:p>
    <w:p w14:paraId="242262A4" w14:textId="77777777" w:rsidR="006F76EB" w:rsidRPr="00834D52" w:rsidRDefault="006F76EB" w:rsidP="00960E63">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գրանցման հավաստագրի իրավատիրոջ կողմից դիտողությունները չվերացնելը կամ հատկացված ժամանակի ընթացքում դեղապատրաստուկի փորձաքննության անցկացման ժամանակ ծագած հարցերին պատասխաններ չներկայացնելը,</w:t>
      </w:r>
    </w:p>
    <w:p w14:paraId="562EFDAD" w14:textId="5588FE5D" w:rsidR="006F76EB" w:rsidRDefault="006F76EB" w:rsidP="00960E63">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իրավատիրոջ կողմից դեղազգոնության մասով պարտավորությունները կամ պայմաններով գրանցման ընթացակարգի շրջանակներում ստանձնած պարտավորությունները չկատարելը։</w:t>
      </w:r>
    </w:p>
    <w:p w14:paraId="03930CA2" w14:textId="1C4C81CD" w:rsidR="00745ADC" w:rsidRPr="006F28F9" w:rsidRDefault="00745ADC" w:rsidP="00745ADC">
      <w:pPr>
        <w:rPr>
          <w:b/>
          <w:bCs/>
          <w:i/>
          <w:iCs/>
        </w:rPr>
      </w:pPr>
      <w:r w:rsidRPr="00CD4709">
        <w:rPr>
          <w:b/>
          <w:bCs/>
          <w:i/>
          <w:iCs/>
        </w:rPr>
        <w:lastRenderedPageBreak/>
        <w:t>(</w:t>
      </w:r>
      <w:r>
        <w:rPr>
          <w:b/>
          <w:bCs/>
          <w:i/>
          <w:iCs/>
        </w:rPr>
        <w:t xml:space="preserve">146-րդ կետը </w:t>
      </w:r>
      <w:r w:rsidRPr="00CD4709">
        <w:rPr>
          <w:b/>
          <w:bCs/>
          <w:i/>
          <w:iCs/>
        </w:rPr>
        <w:t>փոփ. 30.01.20 թիվ 9)</w:t>
      </w:r>
    </w:p>
    <w:p w14:paraId="63C6B65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IX. Գրանցված դեղապատրաստուկի գրանցման դոսյեում փոփոխություններ կատարելը</w:t>
      </w:r>
    </w:p>
    <w:p w14:paraId="594E9919"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147.</w:t>
      </w:r>
      <w:r w:rsidRPr="00834D52">
        <w:rPr>
          <w:rFonts w:ascii="Sylfaen" w:hAnsi="Sylfaen"/>
          <w:sz w:val="24"/>
          <w:szCs w:val="24"/>
        </w:rPr>
        <w:tab/>
        <w:t xml:space="preserve">Դեղապատրաստուկը գրանցելուց հետո գրանցման հավաստագրի իրավատերը գրանցված դեղապատրաստուկի գրանցման դոսյեում պետք է փոփոխություններ կատարի (այսուհետ՝ փոփոխություններ կատարել), որոնք կարող են պահանջվել դեղամիջոցի արտադրության </w:t>
      </w:r>
      <w:r w:rsidR="00C54D75">
        <w:rPr>
          <w:rFonts w:ascii="Sylfaen" w:hAnsi="Sylfaen"/>
          <w:sz w:val="24"/>
          <w:szCs w:val="24"/>
        </w:rPr>
        <w:t>և</w:t>
      </w:r>
      <w:r w:rsidRPr="00834D52">
        <w:rPr>
          <w:rFonts w:ascii="Sylfaen" w:hAnsi="Sylfaen"/>
          <w:sz w:val="24"/>
          <w:szCs w:val="24"/>
        </w:rPr>
        <w:t xml:space="preserve"> որակի հսկողության համընդհանուր գիտական մեթոդների ժամանակակից մակարդակին համապատասխանության ապահովման նպատակով:</w:t>
      </w:r>
    </w:p>
    <w:p w14:paraId="37543E55" w14:textId="3E1C56E3" w:rsidR="006F76EB" w:rsidRDefault="006F76EB" w:rsidP="00282C05">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Այդպիսի փոփոխությունները պետք է հաստատվեն այն անդամ պետության լիազորված մարմնի կողմից, որտեղ գրանցված է դեղապատրաստուկը (կամ այդ լիազորված մարմինը պետք է ծանուցվի դրանց մասին՝ հաստատված ընթացակարգին համապատասխան): Ընդ որում, դեղապատրաստուկի գրանցման դոսյեում փոփոխություններ կատարելը պետք է նախաձեռնի </w:t>
      </w:r>
      <w:r w:rsidR="0056496B">
        <w:rPr>
          <w:rFonts w:ascii="Sylfaen" w:hAnsi="Sylfaen"/>
          <w:sz w:val="24"/>
          <w:szCs w:val="24"/>
        </w:rPr>
        <w:t>դիմումատու</w:t>
      </w:r>
      <w:r w:rsidRPr="00834D52">
        <w:rPr>
          <w:rFonts w:ascii="Sylfaen" w:hAnsi="Sylfaen"/>
          <w:sz w:val="24"/>
          <w:szCs w:val="24"/>
        </w:rPr>
        <w:t>ն՝ նույն ռեֆերենտ պետության լիազորված մարմնի (փորձագիտական կազմակերպության) միջոցով, որն իրականացրել է դեղապատրաստուկի գրանցումը:</w:t>
      </w:r>
    </w:p>
    <w:p w14:paraId="603E0BE5" w14:textId="112F8007" w:rsidR="00745ADC" w:rsidRPr="006F28F9" w:rsidRDefault="00745ADC" w:rsidP="00745ADC">
      <w:pPr>
        <w:rPr>
          <w:b/>
          <w:bCs/>
          <w:i/>
          <w:iCs/>
        </w:rPr>
      </w:pPr>
      <w:r w:rsidRPr="00CD4709">
        <w:rPr>
          <w:b/>
          <w:bCs/>
          <w:i/>
          <w:iCs/>
        </w:rPr>
        <w:t>(</w:t>
      </w:r>
      <w:r>
        <w:rPr>
          <w:b/>
          <w:bCs/>
          <w:i/>
          <w:iCs/>
        </w:rPr>
        <w:t xml:space="preserve">147-րդ կետը </w:t>
      </w:r>
      <w:r w:rsidRPr="00CD4709">
        <w:rPr>
          <w:b/>
          <w:bCs/>
          <w:i/>
          <w:iCs/>
        </w:rPr>
        <w:t>փոփ. 30.01.20 թիվ 9)</w:t>
      </w:r>
    </w:p>
    <w:p w14:paraId="35E80C16" w14:textId="77777777" w:rsidR="006F76EB" w:rsidRPr="00834D52" w:rsidRDefault="006F76EB" w:rsidP="007F36C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148.</w:t>
      </w:r>
      <w:r w:rsidRPr="00834D52">
        <w:rPr>
          <w:rFonts w:ascii="Sylfaen" w:hAnsi="Sylfaen"/>
          <w:sz w:val="24"/>
          <w:szCs w:val="24"/>
        </w:rPr>
        <w:tab/>
        <w:t xml:space="preserve">Գրանցման հավաստագրի իրավատերն անդամ պետության լիազորված մարմնին պարտավոր է տեղեկացնել բոլոր այն նոր տեղեկությունների մասին, ըստ որոնց կարող են դեղապատրաստուկի գրանցման դոսյեում պարունակվող փաստաթղթերի </w:t>
      </w:r>
      <w:r w:rsidR="00C54D75">
        <w:rPr>
          <w:rFonts w:ascii="Sylfaen" w:hAnsi="Sylfaen"/>
          <w:sz w:val="24"/>
          <w:szCs w:val="24"/>
        </w:rPr>
        <w:t>և</w:t>
      </w:r>
      <w:r w:rsidRPr="00834D52">
        <w:rPr>
          <w:rFonts w:ascii="Sylfaen" w:hAnsi="Sylfaen"/>
          <w:sz w:val="24"/>
          <w:szCs w:val="24"/>
        </w:rPr>
        <w:t xml:space="preserve"> տվյալների փոփոխություններ պահանջվել:</w:t>
      </w:r>
    </w:p>
    <w:p w14:paraId="22246D3A" w14:textId="77777777" w:rsidR="006F76EB" w:rsidRPr="00834D52" w:rsidRDefault="006F76EB" w:rsidP="00F44AF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 պետք է անդամ պետության լիազորված մարմնին անհապաղ տեղեկացնի որ</w:t>
      </w:r>
      <w:r w:rsidR="00C54D75">
        <w:rPr>
          <w:rFonts w:ascii="Sylfaen" w:hAnsi="Sylfaen"/>
          <w:sz w:val="24"/>
          <w:szCs w:val="24"/>
        </w:rPr>
        <w:t>և</w:t>
      </w:r>
      <w:r w:rsidRPr="00834D52">
        <w:rPr>
          <w:rFonts w:ascii="Sylfaen" w:hAnsi="Sylfaen"/>
          <w:sz w:val="24"/>
          <w:szCs w:val="24"/>
        </w:rPr>
        <w:t xml:space="preserve">է պետության լիազորված մարմինների կողմից դեղամիջոցի բժշկական կիրառման վրա դրված ցանկացած արգելքի կամ սահմանափակման մասին, որի շուկայում գտնվում է դեղապատրաստուկը, </w:t>
      </w:r>
      <w:r w:rsidR="00C54D75">
        <w:rPr>
          <w:rFonts w:ascii="Sylfaen" w:hAnsi="Sylfaen"/>
          <w:sz w:val="24"/>
          <w:szCs w:val="24"/>
        </w:rPr>
        <w:t>և</w:t>
      </w:r>
      <w:r w:rsidRPr="00834D52">
        <w:rPr>
          <w:rFonts w:ascii="Sylfaen" w:hAnsi="Sylfaen"/>
          <w:sz w:val="24"/>
          <w:szCs w:val="24"/>
        </w:rPr>
        <w:t xml:space="preserve"> բոլոր այլ տեղեկությունների մասին, որոնք կարող են ազդել դիտարկվող դեղապատրաստուկի օգուտ-ռիսկ հարաբերակցության </w:t>
      </w:r>
      <w:r w:rsidRPr="00834D52">
        <w:rPr>
          <w:rFonts w:ascii="Sylfaen" w:hAnsi="Sylfaen"/>
          <w:sz w:val="24"/>
          <w:szCs w:val="24"/>
        </w:rPr>
        <w:lastRenderedPageBreak/>
        <w:t xml:space="preserve">գնահատման վրա: Տեղեկությունները պետք է պարունակեն կլինիկական հետազոտությունների կամ այլ հետազոտությունների ինչպես դրական, այնպես էլ բացասական արդյունքները՝ ըստ բոլոր ցուցումների </w:t>
      </w:r>
      <w:r w:rsidR="00C54D75">
        <w:rPr>
          <w:rFonts w:ascii="Sylfaen" w:hAnsi="Sylfaen"/>
          <w:sz w:val="24"/>
          <w:szCs w:val="24"/>
        </w:rPr>
        <w:t>և</w:t>
      </w:r>
      <w:r w:rsidRPr="00834D52">
        <w:rPr>
          <w:rFonts w:ascii="Sylfaen" w:hAnsi="Sylfaen"/>
          <w:sz w:val="24"/>
          <w:szCs w:val="24"/>
        </w:rPr>
        <w:t xml:space="preserve"> պացիենտների բոլոր խմբերում՝ անկախ գրանցման դոսյեում դրանց ներառումից, ինչպես նա</w:t>
      </w:r>
      <w:r w:rsidR="00C54D75">
        <w:rPr>
          <w:rFonts w:ascii="Sylfaen" w:hAnsi="Sylfaen"/>
          <w:sz w:val="24"/>
          <w:szCs w:val="24"/>
        </w:rPr>
        <w:t>և</w:t>
      </w:r>
      <w:r w:rsidRPr="00834D52">
        <w:rPr>
          <w:rFonts w:ascii="Sylfaen" w:hAnsi="Sylfaen"/>
          <w:sz w:val="24"/>
          <w:szCs w:val="24"/>
        </w:rPr>
        <w:t xml:space="preserve"> դեղապատրաստուկի կիրառման տվյալները, եթե այդպիսի կիրառումը չի</w:t>
      </w:r>
      <w:r w:rsidR="00D32C7C" w:rsidRPr="00D32C7C">
        <w:rPr>
          <w:rFonts w:ascii="Sylfaen" w:hAnsi="Sylfaen"/>
          <w:sz w:val="24"/>
          <w:szCs w:val="24"/>
        </w:rPr>
        <w:t> </w:t>
      </w:r>
      <w:r w:rsidRPr="00834D52">
        <w:rPr>
          <w:rFonts w:ascii="Sylfaen" w:hAnsi="Sylfaen"/>
          <w:sz w:val="24"/>
          <w:szCs w:val="24"/>
        </w:rPr>
        <w:t>համապատասխանում գրանցման պայմաններին:</w:t>
      </w:r>
    </w:p>
    <w:p w14:paraId="6A7F1D9D" w14:textId="77777777" w:rsidR="006F76EB" w:rsidRPr="00834D52" w:rsidRDefault="006F76EB" w:rsidP="007F36C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149.</w:t>
      </w:r>
      <w:r w:rsidRPr="00834D52">
        <w:rPr>
          <w:rFonts w:ascii="Sylfaen" w:hAnsi="Sylfaen"/>
          <w:sz w:val="24"/>
          <w:szCs w:val="24"/>
        </w:rPr>
        <w:tab/>
        <w:t xml:space="preserve">Գրանցման հավաստագրի իրավատերը պետք է ապահովի դեղապատրաստուկի մասին տեղեկատվության համապատասխանությունը գիտականորեն հիմնավորված ընթացիկ բժշկական չափանիշներին՝ ներառյալ այլ երկրների դեղամիջոցների շրջանառության ոլորտում լիազորված մարմինների փորձաքննություների </w:t>
      </w:r>
      <w:r w:rsidR="00C54D75">
        <w:rPr>
          <w:rFonts w:ascii="Sylfaen" w:hAnsi="Sylfaen"/>
          <w:sz w:val="24"/>
          <w:szCs w:val="24"/>
        </w:rPr>
        <w:t>և</w:t>
      </w:r>
      <w:r w:rsidRPr="00834D52">
        <w:rPr>
          <w:rFonts w:ascii="Sylfaen" w:hAnsi="Sylfaen"/>
          <w:sz w:val="24"/>
          <w:szCs w:val="24"/>
        </w:rPr>
        <w:t xml:space="preserve"> առաջարկությունների եզրակացությունները։ </w:t>
      </w:r>
    </w:p>
    <w:p w14:paraId="299FFE2E" w14:textId="77777777" w:rsidR="006F76EB" w:rsidRPr="00834D52" w:rsidRDefault="006F76EB" w:rsidP="007F36C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150.</w:t>
      </w:r>
      <w:r w:rsidRPr="00834D52">
        <w:rPr>
          <w:rFonts w:ascii="Sylfaen" w:hAnsi="Sylfaen"/>
          <w:sz w:val="24"/>
          <w:szCs w:val="24"/>
        </w:rPr>
        <w:tab/>
        <w:t>Գրանցված դեղապատրաստուկի օգուտ-ռիսկ հարաբերակցության շարունակական գնահատման նպատակով անդամ պետության լիազորված մարմինը (այդ թվում՝ փորձագիտական կազմակերպության հարցմամբ) իրավունք ունի գրանցված դեղապատրաստուկի գրանցման հավաստագրի իրավատիրոջը հարցում ուղարկելու այն տվյալները ներկայացնելու մասին, որոնցով հաստատվում է, որ գրանցված դեղապատրաստուկի օգուտ-ռիսկ հարաբերակցությունը մնում է բարենպաստ: Գրանցման հավաստագրի իրավատերը պարտավոր է այդ լիազորված մարմնին (փորձագիտական կազմակերպությանը) անհրաժեշտ նյութերը ներկայացնել առավել կարճ ժամկետում, բայց համապատասխան հարցումը ստանալու ամսաթվից 30</w:t>
      </w:r>
      <w:r w:rsidR="007E68F0" w:rsidRPr="007E68F0">
        <w:rPr>
          <w:rFonts w:ascii="Sylfaen" w:hAnsi="Sylfaen"/>
          <w:sz w:val="24"/>
          <w:szCs w:val="24"/>
        </w:rPr>
        <w:t> </w:t>
      </w:r>
      <w:r w:rsidRPr="00834D52">
        <w:rPr>
          <w:rFonts w:ascii="Sylfaen" w:hAnsi="Sylfaen"/>
          <w:sz w:val="24"/>
          <w:szCs w:val="24"/>
        </w:rPr>
        <w:t>օրացուցային օրվանից ոչ ուշ:</w:t>
      </w:r>
    </w:p>
    <w:p w14:paraId="79E704FF" w14:textId="77777777" w:rsidR="006F76EB" w:rsidRPr="00834D52" w:rsidRDefault="006F76EB" w:rsidP="006F76E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պետության լիազորված մարմինը (այդ թվում՝ փորձագիտական կազմակերպության հարցմամբ) իրավունք ունի հարցում ուղարկելու գրանցված դեղապատրաստուկի գրանցման հավաստագրի իրավատիրոջը՝ դեղազգոնության համակարգի մաստեր-ֆայլի պատճենները ներկայացնելու վերաբերյալ: Գրանցման հավաստագրի իրավատերը համապատասխան պատճենը պետք է </w:t>
      </w:r>
      <w:r w:rsidRPr="00834D52">
        <w:rPr>
          <w:rFonts w:ascii="Sylfaen" w:hAnsi="Sylfaen"/>
          <w:sz w:val="24"/>
          <w:szCs w:val="24"/>
        </w:rPr>
        <w:lastRenderedPageBreak/>
        <w:t>ներկայացնի տվյալ հարցումն ստանալու ամսաթվից 10 աշխատանքային օրվա ընթացքում:</w:t>
      </w:r>
    </w:p>
    <w:p w14:paraId="2EB7A61F"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Գրանցված դեղապատրաստուկի գրանցման դոսյեում կատարվող փոփոխությունները չպետք է փոխեն դեղապատրաստուկի օգուտ-ռիսկ դրական հարաբերակցությունը:</w:t>
      </w:r>
    </w:p>
    <w:p w14:paraId="566CB3EC"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Գրանցված դեղապատրաստուկի գրանցման դոսյեում փոփոխություններ կատարելն իրականացվում է գրանցված դեղապատրաստուկի գրանցման դոսյեում կատարվող փոփոխությունների դասակարգչին </w:t>
      </w:r>
      <w:r w:rsidR="00C54D75">
        <w:rPr>
          <w:rFonts w:ascii="Sylfaen" w:hAnsi="Sylfaen"/>
          <w:sz w:val="24"/>
          <w:szCs w:val="24"/>
        </w:rPr>
        <w:t>և</w:t>
      </w:r>
      <w:r w:rsidRPr="00834D52">
        <w:rPr>
          <w:rFonts w:ascii="Sylfaen" w:hAnsi="Sylfaen"/>
          <w:sz w:val="24"/>
          <w:szCs w:val="24"/>
        </w:rPr>
        <w:t xml:space="preserve"> համապատասխան սույն Կանոնների </w:t>
      </w:r>
      <w:r w:rsidR="00B825FD">
        <w:rPr>
          <w:rFonts w:ascii="Sylfaen" w:hAnsi="Sylfaen"/>
          <w:sz w:val="24"/>
          <w:szCs w:val="24"/>
        </w:rPr>
        <w:t xml:space="preserve">թիվ </w:t>
      </w:r>
      <w:r w:rsidRPr="00834D52">
        <w:rPr>
          <w:rFonts w:ascii="Sylfaen" w:hAnsi="Sylfaen"/>
          <w:sz w:val="24"/>
          <w:szCs w:val="24"/>
        </w:rPr>
        <w:t xml:space="preserve">19 </w:t>
      </w:r>
      <w:r w:rsidR="00C54D75">
        <w:rPr>
          <w:rFonts w:ascii="Sylfaen" w:hAnsi="Sylfaen"/>
          <w:sz w:val="24"/>
          <w:szCs w:val="24"/>
        </w:rPr>
        <w:t>և</w:t>
      </w:r>
      <w:r w:rsidRPr="00834D52">
        <w:rPr>
          <w:rFonts w:ascii="Sylfaen" w:hAnsi="Sylfaen"/>
          <w:sz w:val="24"/>
          <w:szCs w:val="24"/>
        </w:rPr>
        <w:t xml:space="preserve"> 20 հավելվածներին՝ դրանց փոփոխությունների կանոններին համապատասխան: Դեղապատրաստուկների գրանցման դոսյեում փոփոխություններ կատարելու փորձաքննությունն իրականացվում է սույն Կանոնների</w:t>
      </w:r>
      <w:r w:rsidR="00362F93">
        <w:rPr>
          <w:rFonts w:ascii="Sylfaen" w:hAnsi="Sylfaen"/>
          <w:sz w:val="24"/>
          <w:szCs w:val="24"/>
        </w:rPr>
        <w:t xml:space="preserve"> թիվ</w:t>
      </w:r>
      <w:r w:rsidRPr="00834D52">
        <w:rPr>
          <w:rFonts w:ascii="Sylfaen" w:hAnsi="Sylfaen"/>
          <w:sz w:val="24"/>
          <w:szCs w:val="24"/>
        </w:rPr>
        <w:t xml:space="preserve"> 20 հավելվածին համապատասխան: Դեղապատրաստուկի գրանցման դոսյեում փոփոխությունների գնահատման վերաբերյալ փորձագիտական հաշվետվությունը կազմվում է ըստ տվյալ փորձաքննության արդյունքների՝ սույն Կանոնների </w:t>
      </w:r>
      <w:r w:rsidR="00211664">
        <w:rPr>
          <w:rFonts w:ascii="Sylfaen" w:hAnsi="Sylfaen"/>
          <w:sz w:val="24"/>
          <w:szCs w:val="24"/>
        </w:rPr>
        <w:t xml:space="preserve">թիվ </w:t>
      </w:r>
      <w:r w:rsidRPr="00834D52">
        <w:rPr>
          <w:rFonts w:ascii="Sylfaen" w:hAnsi="Sylfaen"/>
          <w:sz w:val="24"/>
          <w:szCs w:val="24"/>
        </w:rPr>
        <w:t>21 հավելվածին համապատասխան:</w:t>
      </w:r>
    </w:p>
    <w:p w14:paraId="7A341FD9" w14:textId="77777777" w:rsidR="00BC53C9" w:rsidRDefault="006F76EB" w:rsidP="00BC53C9">
      <w:pPr>
        <w:rPr>
          <w:rFonts w:ascii="Sylfaen" w:hAnsi="Sylfaen"/>
          <w:sz w:val="24"/>
          <w:szCs w:val="24"/>
        </w:rPr>
      </w:pPr>
      <w:r w:rsidRPr="00834D52">
        <w:rPr>
          <w:rFonts w:ascii="Sylfaen" w:hAnsi="Sylfaen"/>
          <w:sz w:val="24"/>
          <w:szCs w:val="24"/>
        </w:rPr>
        <w:t>153.</w:t>
      </w:r>
      <w:r w:rsidRPr="00834D52">
        <w:rPr>
          <w:rFonts w:ascii="Sylfaen" w:hAnsi="Sylfaen"/>
          <w:sz w:val="24"/>
          <w:szCs w:val="24"/>
        </w:rPr>
        <w:tab/>
        <w:t xml:space="preserve">Դեղապատրաստուկի գրանցման դոսյեում փոփոխություններ կատարելու մասին լիազորված մարմնի (փորձագիտական կազմակերպության) դրական որոշման մասին </w:t>
      </w:r>
      <w:r w:rsidR="0056496B">
        <w:rPr>
          <w:rFonts w:ascii="Sylfaen" w:hAnsi="Sylfaen"/>
          <w:sz w:val="24"/>
          <w:szCs w:val="24"/>
        </w:rPr>
        <w:t>դիմումատու</w:t>
      </w:r>
      <w:r w:rsidRPr="00834D52">
        <w:rPr>
          <w:rFonts w:ascii="Sylfaen" w:hAnsi="Sylfaen"/>
          <w:sz w:val="24"/>
          <w:szCs w:val="24"/>
        </w:rPr>
        <w:t xml:space="preserve">ին տրվում է դեղապատրաստուկի գրանցման գործողության մնացորդային ժամկետով, նախկին համարով նոր գրանցման հավաստագիր այն դեպքում, եթե կատարվող փոփոխությունները վերաբերում են տեղեկատվությանը </w:t>
      </w:r>
      <w:r w:rsidR="00C54D75">
        <w:rPr>
          <w:rFonts w:ascii="Sylfaen" w:hAnsi="Sylfaen"/>
          <w:sz w:val="24"/>
          <w:szCs w:val="24"/>
        </w:rPr>
        <w:t>և</w:t>
      </w:r>
      <w:r w:rsidRPr="00834D52">
        <w:rPr>
          <w:rFonts w:ascii="Sylfaen" w:hAnsi="Sylfaen"/>
          <w:sz w:val="24"/>
          <w:szCs w:val="24"/>
        </w:rPr>
        <w:t xml:space="preserve"> գրանցման հավաստագրի տվյալներին: Կատարված յուրաքանչյուր փոփոխության մասին միասնական ռեեստրում կատարվում է գրառում՝ նշելով դրա վավերապայմանները </w:t>
      </w:r>
      <w:r w:rsidR="00C54D75">
        <w:rPr>
          <w:rFonts w:ascii="Sylfaen" w:hAnsi="Sylfaen"/>
          <w:sz w:val="24"/>
          <w:szCs w:val="24"/>
        </w:rPr>
        <w:t>և</w:t>
      </w:r>
      <w:r w:rsidRPr="00834D52">
        <w:rPr>
          <w:rFonts w:ascii="Sylfaen" w:hAnsi="Sylfaen"/>
          <w:sz w:val="24"/>
          <w:szCs w:val="24"/>
        </w:rPr>
        <w:t xml:space="preserve"> դոսյեի բաժինը, որում կատարվել է փոփոխությունը:</w:t>
      </w:r>
    </w:p>
    <w:p w14:paraId="233F5B93" w14:textId="3E66987A" w:rsidR="006F76EB" w:rsidRPr="00BC53C9" w:rsidRDefault="00BC53C9" w:rsidP="00BC53C9">
      <w:pPr>
        <w:rPr>
          <w:b/>
          <w:bCs/>
          <w:i/>
          <w:iCs/>
        </w:rPr>
      </w:pPr>
      <w:r w:rsidRPr="00BC53C9">
        <w:rPr>
          <w:b/>
          <w:bCs/>
          <w:i/>
          <w:iCs/>
        </w:rPr>
        <w:t xml:space="preserve"> </w:t>
      </w:r>
      <w:r w:rsidRPr="00CD4709">
        <w:rPr>
          <w:b/>
          <w:bCs/>
          <w:i/>
          <w:iCs/>
        </w:rPr>
        <w:t>(</w:t>
      </w:r>
      <w:r>
        <w:rPr>
          <w:b/>
          <w:bCs/>
          <w:i/>
          <w:iCs/>
        </w:rPr>
        <w:t xml:space="preserve">153-րդ կետը </w:t>
      </w:r>
      <w:r w:rsidRPr="00CD4709">
        <w:rPr>
          <w:b/>
          <w:bCs/>
          <w:i/>
          <w:iCs/>
        </w:rPr>
        <w:t>փոփ. 30.01.20 թիվ 9)</w:t>
      </w:r>
    </w:p>
    <w:p w14:paraId="50A8CD06" w14:textId="77777777" w:rsidR="006F76EB" w:rsidRPr="00834D52" w:rsidRDefault="006F76EB" w:rsidP="00A837E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 xml:space="preserve">Գրանցման հավաստագրի գործողության ավարտից 90 </w:t>
      </w:r>
      <w:r w:rsidR="00C54D75">
        <w:rPr>
          <w:rFonts w:ascii="Sylfaen" w:hAnsi="Sylfaen"/>
          <w:sz w:val="24"/>
          <w:szCs w:val="24"/>
        </w:rPr>
        <w:t>և</w:t>
      </w:r>
      <w:r w:rsidRPr="00834D52">
        <w:rPr>
          <w:rFonts w:ascii="Sylfaen" w:hAnsi="Sylfaen"/>
          <w:sz w:val="24"/>
          <w:szCs w:val="24"/>
        </w:rPr>
        <w:t xml:space="preserve"> դրանից պակաս օրացուցային օր առաջ դեղապատրաստուկի գրանցման դոսյեում փոփոխությունների առաջացման դեպքում թույլատրվում է դեղապատրաստուկի փորձաքննության անցկացման ընթացքում փոփոխություններ կատարել՝ դրա </w:t>
      </w:r>
      <w:r w:rsidRPr="00834D52">
        <w:rPr>
          <w:rFonts w:ascii="Sylfaen" w:hAnsi="Sylfaen"/>
          <w:sz w:val="24"/>
          <w:szCs w:val="24"/>
        </w:rPr>
        <w:lastRenderedPageBreak/>
        <w:t>գրանցման (վերագրանցման) հաստատման դեպքում:</w:t>
      </w:r>
    </w:p>
    <w:p w14:paraId="76CE48FA" w14:textId="0C9F3B3E" w:rsidR="006F76EB" w:rsidRPr="00834D52" w:rsidRDefault="006F76EB" w:rsidP="00A837EF">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 xml:space="preserve">Փոխադարձ ճանաչման ընթացակարգով գրանցված դեղապատրաստուկի գրանցման դոսյեում փոփոխություններ կատարելիս </w:t>
      </w:r>
      <w:r w:rsidR="0056496B">
        <w:rPr>
          <w:rFonts w:ascii="Sylfaen" w:hAnsi="Sylfaen"/>
          <w:sz w:val="24"/>
          <w:szCs w:val="24"/>
        </w:rPr>
        <w:t>դիմումատու</w:t>
      </w:r>
      <w:r w:rsidRPr="00834D52">
        <w:rPr>
          <w:rFonts w:ascii="Sylfaen" w:hAnsi="Sylfaen"/>
          <w:sz w:val="24"/>
          <w:szCs w:val="24"/>
        </w:rPr>
        <w:t xml:space="preserve">ն ռեֆերենտ պետության լիազորված մարմին (փորձագիտական կազմակերպություն) պետք է ներկայացնի ճանաչման պետություններում դեղապատրաստուկի գրանցման դոսյեում փոփոխություններ կատարելու համապատասխան դիմումների </w:t>
      </w:r>
      <w:r w:rsidR="00C54D75">
        <w:rPr>
          <w:rFonts w:ascii="Sylfaen" w:hAnsi="Sylfaen"/>
          <w:sz w:val="24"/>
          <w:szCs w:val="24"/>
        </w:rPr>
        <w:t>և</w:t>
      </w:r>
      <w:r w:rsidRPr="00834D52">
        <w:rPr>
          <w:rFonts w:ascii="Sylfaen" w:hAnsi="Sylfaen"/>
          <w:sz w:val="24"/>
          <w:szCs w:val="24"/>
        </w:rPr>
        <w:t xml:space="preserve"> ճանաչման պետությունների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դոսյեի (</w:t>
      </w:r>
      <w:r w:rsidR="00C54D75">
        <w:rPr>
          <w:rFonts w:ascii="Sylfaen" w:hAnsi="Sylfaen"/>
          <w:sz w:val="24"/>
          <w:szCs w:val="24"/>
        </w:rPr>
        <w:t>և</w:t>
      </w:r>
      <w:r w:rsidR="007E68F0" w:rsidRPr="00CA0D65">
        <w:rPr>
          <w:rFonts w:ascii="Sylfaen" w:hAnsi="Sylfaen"/>
          <w:sz w:val="24"/>
          <w:szCs w:val="24"/>
        </w:rPr>
        <w:t> </w:t>
      </w:r>
      <w:r w:rsidRPr="00834D52">
        <w:rPr>
          <w:rFonts w:ascii="Sylfaen" w:hAnsi="Sylfaen"/>
          <w:sz w:val="24"/>
          <w:szCs w:val="24"/>
        </w:rPr>
        <w:t>անհրաժեշտության դեպքում՝ դրա փորձաքննության) մեջ փոփոխություններ կատարելու համար հավաքագրման (տուրքի) վճարումը հաստատող փաստաթղթերի ներկայացման ամսաթվերի ցանկը՝ նշելով սույն Կանոնների</w:t>
      </w:r>
      <w:r w:rsidR="00CA0D65" w:rsidRPr="00CA0D65">
        <w:rPr>
          <w:rFonts w:ascii="Sylfaen" w:hAnsi="Sylfaen"/>
          <w:sz w:val="24"/>
          <w:szCs w:val="24"/>
        </w:rPr>
        <w:t> </w:t>
      </w:r>
      <w:r w:rsidR="009C5D43">
        <w:rPr>
          <w:rFonts w:ascii="Sylfaen" w:hAnsi="Sylfaen"/>
          <w:sz w:val="24"/>
          <w:szCs w:val="24"/>
        </w:rPr>
        <w:t>թիվ</w:t>
      </w:r>
      <w:r w:rsidR="00CA0D65" w:rsidRPr="00CA0D65">
        <w:rPr>
          <w:rFonts w:ascii="Sylfaen" w:hAnsi="Sylfaen"/>
          <w:sz w:val="24"/>
          <w:szCs w:val="24"/>
        </w:rPr>
        <w:t> </w:t>
      </w:r>
      <w:r w:rsidRPr="00834D52">
        <w:rPr>
          <w:rFonts w:ascii="Sylfaen" w:hAnsi="Sylfaen"/>
          <w:sz w:val="24"/>
          <w:szCs w:val="24"/>
        </w:rPr>
        <w:t>19 հավելվածին համապատասխան փոփոխություններ կատարելու այն ընթացակարգերի համարները, որոնք կատարվել են ճանաչման պետություններում:</w:t>
      </w:r>
    </w:p>
    <w:p w14:paraId="62D28AF1" w14:textId="00F44DBA" w:rsidR="006F76EB" w:rsidRDefault="006F76EB" w:rsidP="00A837EF">
      <w:pPr>
        <w:tabs>
          <w:tab w:val="left" w:pos="1134"/>
        </w:tabs>
        <w:spacing w:after="160" w:line="348" w:lineRule="auto"/>
        <w:ind w:right="-8" w:firstLine="567"/>
        <w:jc w:val="both"/>
        <w:rPr>
          <w:rFonts w:ascii="Sylfaen" w:hAnsi="Sylfaen"/>
          <w:sz w:val="24"/>
          <w:szCs w:val="24"/>
        </w:rPr>
      </w:pPr>
      <w:r w:rsidRPr="00834D52">
        <w:rPr>
          <w:rFonts w:ascii="Sylfaen" w:hAnsi="Sylfaen"/>
          <w:sz w:val="24"/>
          <w:szCs w:val="24"/>
        </w:rPr>
        <w:t xml:space="preserve">Դեղապատրաստուկը գրանցած բոլոր կամ մի քանի (մեկ) անդամ պետություններում (պետությունում) գրանցման հավաստագրի իրավատիրոջ փոփոխման դեպքում </w:t>
      </w:r>
      <w:r w:rsidR="0056496B">
        <w:rPr>
          <w:rFonts w:ascii="Sylfaen" w:hAnsi="Sylfaen"/>
          <w:sz w:val="24"/>
          <w:szCs w:val="24"/>
        </w:rPr>
        <w:t>դիմումատու</w:t>
      </w:r>
      <w:r w:rsidRPr="00834D52">
        <w:rPr>
          <w:rFonts w:ascii="Sylfaen" w:hAnsi="Sylfaen"/>
          <w:sz w:val="24"/>
          <w:szCs w:val="24"/>
        </w:rPr>
        <w:t xml:space="preserve">ն այդ անդամ պետությունների լիազորված մարմին (փորձագիտական կազմակերպություն) է ներկայացնում սույն Կանոնների </w:t>
      </w:r>
      <w:r w:rsidR="009C5D43">
        <w:rPr>
          <w:rFonts w:ascii="Sylfaen" w:hAnsi="Sylfaen"/>
          <w:sz w:val="24"/>
          <w:szCs w:val="24"/>
        </w:rPr>
        <w:t xml:space="preserve">թիվ </w:t>
      </w:r>
      <w:r w:rsidRPr="00834D52">
        <w:rPr>
          <w:rFonts w:ascii="Sylfaen" w:hAnsi="Sylfaen"/>
          <w:sz w:val="24"/>
          <w:szCs w:val="24"/>
        </w:rPr>
        <w:t xml:space="preserve">2 հավելվածին համապատասխան փոփոխություններ կատարելու մասին դիմումը </w:t>
      </w:r>
      <w:r w:rsidR="00C54D75">
        <w:rPr>
          <w:rFonts w:ascii="Sylfaen" w:hAnsi="Sylfaen"/>
          <w:sz w:val="24"/>
          <w:szCs w:val="24"/>
        </w:rPr>
        <w:t>և</w:t>
      </w:r>
      <w:r w:rsidRPr="00834D52">
        <w:rPr>
          <w:rFonts w:ascii="Sylfaen" w:hAnsi="Sylfaen"/>
          <w:sz w:val="24"/>
          <w:szCs w:val="24"/>
        </w:rPr>
        <w:t xml:space="preserve"> գրանցման դոսյեի 1-ին մոդուլի համապատասխան փաստաթղթերը:</w:t>
      </w:r>
    </w:p>
    <w:p w14:paraId="0C2DF238" w14:textId="0F4D8632" w:rsidR="00BC53C9" w:rsidRPr="00BC53C9" w:rsidRDefault="00BC53C9" w:rsidP="00BC53C9">
      <w:pPr>
        <w:rPr>
          <w:b/>
          <w:bCs/>
          <w:i/>
          <w:iCs/>
        </w:rPr>
      </w:pPr>
      <w:r w:rsidRPr="00CD4709">
        <w:rPr>
          <w:b/>
          <w:bCs/>
          <w:i/>
          <w:iCs/>
        </w:rPr>
        <w:t>(</w:t>
      </w:r>
      <w:r>
        <w:rPr>
          <w:b/>
          <w:bCs/>
          <w:i/>
          <w:iCs/>
        </w:rPr>
        <w:t xml:space="preserve">155-րդ կետը </w:t>
      </w:r>
      <w:r w:rsidRPr="00CD4709">
        <w:rPr>
          <w:b/>
          <w:bCs/>
          <w:i/>
          <w:iCs/>
        </w:rPr>
        <w:t>փոփ. 30.01.20 թիվ 9)</w:t>
      </w:r>
    </w:p>
    <w:p w14:paraId="42291D96" w14:textId="05ACE24D" w:rsidR="006F76EB" w:rsidRPr="00834D52" w:rsidRDefault="006F76EB" w:rsidP="00A837EF">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156.</w:t>
      </w:r>
      <w:r w:rsidRPr="00834D52">
        <w:rPr>
          <w:rFonts w:ascii="Sylfaen" w:hAnsi="Sylfaen"/>
          <w:sz w:val="24"/>
          <w:szCs w:val="24"/>
        </w:rPr>
        <w:tab/>
        <w:t xml:space="preserve">Ռեֆերենտ պետության փորձագիտական կազմակերպությունը </w:t>
      </w:r>
      <w:r w:rsidR="00C54D75">
        <w:rPr>
          <w:rFonts w:ascii="Sylfaen" w:hAnsi="Sylfaen"/>
          <w:sz w:val="24"/>
          <w:szCs w:val="24"/>
        </w:rPr>
        <w:t>և</w:t>
      </w:r>
      <w:r w:rsidRPr="00834D52">
        <w:rPr>
          <w:rFonts w:ascii="Sylfaen" w:hAnsi="Sylfaen"/>
          <w:sz w:val="24"/>
          <w:szCs w:val="24"/>
        </w:rPr>
        <w:t xml:space="preserve"> լիազորված մարմինը դեղապատրաստուկի գրանցման դոսյեում փոփոխություններ կատարելու ժամանակ դեղապատրաստուկի փորձաքննություն անցկացնելիս իրավունք ունի պակասող այն լրացուցիչ տեղեկատվության, անհրաժեշտ պարզաբանումների կամ ճշտումների ներկայացման մասին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որոնք վերաբերում են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(այդ թվում՝ ԴԸԲ-ում, բժշկական կիրառման հրահանգում, </w:t>
      </w:r>
      <w:r w:rsidRPr="00834D52">
        <w:rPr>
          <w:rFonts w:ascii="Sylfaen" w:hAnsi="Sylfaen"/>
          <w:sz w:val="24"/>
          <w:szCs w:val="24"/>
        </w:rPr>
        <w:lastRenderedPageBreak/>
        <w:t>դեղապատրաստուկի փաթեթվածքների մակետում, որակին առնչվող նորմատիվ փաստաթղթում կամ գրանցման դոսյեի այլ փաստաթղթերում փոփոխություններ կատարելու առաջարկությունները):</w:t>
      </w:r>
    </w:p>
    <w:p w14:paraId="3E60DBC2" w14:textId="0899652E" w:rsidR="006F76EB" w:rsidRPr="00834D52" w:rsidRDefault="006F76EB" w:rsidP="00D32C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հարցման պատասխանը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ժամկետը չպետք է գերազանցի 90 օրացուցային օրը: Փոփոխությունների կատարման </w:t>
      </w:r>
      <w:r w:rsidR="00C54D75">
        <w:rPr>
          <w:rFonts w:ascii="Sylfaen" w:hAnsi="Sylfaen"/>
          <w:sz w:val="24"/>
          <w:szCs w:val="24"/>
        </w:rPr>
        <w:t>և</w:t>
      </w:r>
      <w:r w:rsidRPr="00834D52">
        <w:rPr>
          <w:rFonts w:ascii="Sylfaen" w:hAnsi="Sylfaen"/>
          <w:sz w:val="24"/>
          <w:szCs w:val="24"/>
        </w:rPr>
        <w:t xml:space="preserve"> դեղապատրաստուկի փորձաքննության ընթացքում, լիազորված մարմնի կամ փորձագիտական կազմակերպության հարցմամբ՝ փաստաթղթերը </w:t>
      </w:r>
      <w:r w:rsidR="0056496B">
        <w:rPr>
          <w:rFonts w:ascii="Sylfaen" w:hAnsi="Sylfaen"/>
          <w:sz w:val="24"/>
          <w:szCs w:val="24"/>
        </w:rPr>
        <w:t>դիմումատու</w:t>
      </w:r>
      <w:r w:rsidRPr="00834D52">
        <w:rPr>
          <w:rFonts w:ascii="Sylfaen" w:hAnsi="Sylfaen"/>
          <w:sz w:val="24"/>
          <w:szCs w:val="24"/>
        </w:rPr>
        <w:t xml:space="preserve">ի կողմից ներկայացնելու ժամանակը չի մտնում դեղապատրաստուկի փորձաքննություն անցկացնելու </w:t>
      </w:r>
      <w:r w:rsidR="00C54D75">
        <w:rPr>
          <w:rFonts w:ascii="Sylfaen" w:hAnsi="Sylfaen"/>
          <w:sz w:val="24"/>
          <w:szCs w:val="24"/>
        </w:rPr>
        <w:t>և</w:t>
      </w:r>
      <w:r w:rsidRPr="00834D52">
        <w:rPr>
          <w:rFonts w:ascii="Sylfaen" w:hAnsi="Sylfaen"/>
          <w:sz w:val="24"/>
          <w:szCs w:val="24"/>
        </w:rPr>
        <w:t xml:space="preserve"> փոփոխություններ կատարելու ընթացակարգերի ժամկետների մեջ:</w:t>
      </w:r>
    </w:p>
    <w:p w14:paraId="24DB7A45" w14:textId="2C21E70F" w:rsidR="006F76EB" w:rsidRDefault="006F76EB" w:rsidP="00D32C7C">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դեղապատրաստուկի փորձաքննությունը </w:t>
      </w:r>
      <w:r w:rsidR="00C54D75">
        <w:rPr>
          <w:rFonts w:ascii="Sylfaen" w:hAnsi="Sylfaen"/>
          <w:sz w:val="24"/>
          <w:szCs w:val="24"/>
        </w:rPr>
        <w:t>և</w:t>
      </w:r>
      <w:r w:rsidRPr="00834D52">
        <w:rPr>
          <w:rFonts w:ascii="Sylfaen" w:hAnsi="Sylfaen"/>
          <w:sz w:val="24"/>
          <w:szCs w:val="24"/>
        </w:rPr>
        <w:t xml:space="preserve"> փոփոխությունների կատարման ընթացակարգը դադարեցվում են: Կայացված որոշման մասին լիազորված մարմինը (փորձագիտական կազմակերպությունը) գրավոր </w:t>
      </w:r>
      <w:r w:rsidR="00C54D75">
        <w:rPr>
          <w:rFonts w:ascii="Sylfaen" w:hAnsi="Sylfaen"/>
          <w:sz w:val="24"/>
          <w:szCs w:val="24"/>
        </w:rPr>
        <w:t>և</w:t>
      </w:r>
      <w:r w:rsidRPr="00834D52">
        <w:rPr>
          <w:rFonts w:ascii="Sylfaen" w:hAnsi="Sylfaen"/>
          <w:sz w:val="24"/>
          <w:szCs w:val="24"/>
        </w:rPr>
        <w:t xml:space="preserve"> (կամ) էլեկտրոնային եղանակով այդպիսի որոշման ընդունման օրվանից 14 աշխատանքային օրվա ընթացքում տեղեկացնում է </w:t>
      </w:r>
      <w:r w:rsidR="0056496B">
        <w:rPr>
          <w:rFonts w:ascii="Sylfaen" w:hAnsi="Sylfaen"/>
          <w:sz w:val="24"/>
          <w:szCs w:val="24"/>
        </w:rPr>
        <w:t>դիմումատու</w:t>
      </w:r>
      <w:r w:rsidRPr="00834D52">
        <w:rPr>
          <w:rFonts w:ascii="Sylfaen" w:hAnsi="Sylfaen"/>
          <w:sz w:val="24"/>
          <w:szCs w:val="24"/>
        </w:rPr>
        <w:t>ին:</w:t>
      </w:r>
    </w:p>
    <w:p w14:paraId="33202BD1" w14:textId="6E6AF97C" w:rsidR="00BC53C9" w:rsidRPr="00BC53C9" w:rsidRDefault="00BC53C9" w:rsidP="00BC53C9">
      <w:pPr>
        <w:rPr>
          <w:b/>
          <w:bCs/>
          <w:i/>
          <w:iCs/>
        </w:rPr>
      </w:pPr>
      <w:r w:rsidRPr="00CD4709">
        <w:rPr>
          <w:b/>
          <w:bCs/>
          <w:i/>
          <w:iCs/>
        </w:rPr>
        <w:t>(</w:t>
      </w:r>
      <w:r>
        <w:rPr>
          <w:b/>
          <w:bCs/>
          <w:i/>
          <w:iCs/>
        </w:rPr>
        <w:t xml:space="preserve">156-րդ կետը </w:t>
      </w:r>
      <w:r w:rsidRPr="00CD4709">
        <w:rPr>
          <w:b/>
          <w:bCs/>
          <w:i/>
          <w:iCs/>
        </w:rPr>
        <w:t>փոփ. 30.01.20 թիվ 9)</w:t>
      </w:r>
    </w:p>
    <w:p w14:paraId="12EE65E9" w14:textId="18F1EE4E" w:rsidR="006F76EB" w:rsidRDefault="006F76EB" w:rsidP="00A837EF">
      <w:pPr>
        <w:tabs>
          <w:tab w:val="left" w:pos="1134"/>
        </w:tabs>
        <w:spacing w:after="160" w:line="341" w:lineRule="auto"/>
        <w:ind w:right="-6" w:firstLine="567"/>
        <w:jc w:val="both"/>
        <w:rPr>
          <w:rFonts w:ascii="Sylfaen" w:hAnsi="Sylfaen"/>
          <w:sz w:val="24"/>
          <w:szCs w:val="24"/>
        </w:rPr>
      </w:pPr>
      <w:r w:rsidRPr="00834D52">
        <w:rPr>
          <w:rFonts w:ascii="Sylfaen" w:hAnsi="Sylfaen"/>
          <w:sz w:val="24"/>
          <w:szCs w:val="24"/>
        </w:rPr>
        <w:t>157.</w:t>
      </w:r>
      <w:r w:rsidRPr="00834D52">
        <w:rPr>
          <w:rFonts w:ascii="Sylfaen" w:hAnsi="Sylfaen"/>
          <w:sz w:val="24"/>
          <w:szCs w:val="24"/>
        </w:rPr>
        <w:tab/>
        <w:t xml:space="preserve">Դեղապատրաստուկի բժշկական կիրառման հրահանգում փոփոխությունների մասով գրանցման դոսյեում փոփոխություններ կատարելու դեպքում լիազորված մարմնի կողմից հաստատվում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է տրվում բժշկական կիրառման նոր հրահանգ:</w:t>
      </w:r>
    </w:p>
    <w:p w14:paraId="144FDB50" w14:textId="53593642" w:rsidR="00BC53C9" w:rsidRPr="006F28F9" w:rsidRDefault="00BC53C9" w:rsidP="00BC53C9">
      <w:pPr>
        <w:rPr>
          <w:b/>
          <w:bCs/>
          <w:i/>
          <w:iCs/>
        </w:rPr>
      </w:pPr>
      <w:r w:rsidRPr="00CD4709">
        <w:rPr>
          <w:b/>
          <w:bCs/>
          <w:i/>
          <w:iCs/>
        </w:rPr>
        <w:t>(</w:t>
      </w:r>
      <w:r>
        <w:rPr>
          <w:b/>
          <w:bCs/>
          <w:i/>
          <w:iCs/>
        </w:rPr>
        <w:t xml:space="preserve">157-րդ կետը </w:t>
      </w:r>
      <w:r w:rsidRPr="00CD4709">
        <w:rPr>
          <w:b/>
          <w:bCs/>
          <w:i/>
          <w:iCs/>
        </w:rPr>
        <w:t>փոփ. 30.01.20 թիվ 9)</w:t>
      </w:r>
    </w:p>
    <w:p w14:paraId="5EC86200" w14:textId="77777777" w:rsidR="006F76EB" w:rsidRPr="00834D52" w:rsidRDefault="006F76EB" w:rsidP="0000325C">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158.</w:t>
      </w:r>
      <w:r w:rsidR="0000325C" w:rsidRPr="00A958BD">
        <w:rPr>
          <w:rFonts w:ascii="Sylfaen" w:hAnsi="Sylfaen"/>
          <w:sz w:val="24"/>
          <w:szCs w:val="24"/>
        </w:rPr>
        <w:tab/>
      </w:r>
      <w:r w:rsidRPr="00834D52">
        <w:rPr>
          <w:rFonts w:ascii="Sylfaen" w:hAnsi="Sylfaen"/>
          <w:sz w:val="24"/>
          <w:szCs w:val="24"/>
        </w:rPr>
        <w:t>Դեղապատրաստուկի գրանցման (վերագրանցման) հաստատման կամ Ա.1, Ա.4, Ա.5, Ա.6, Ա.7, Բ.II.բ.1, Բ.II.բ.4 տիպի փոփոխություններ կատարելու, ինչպես նա</w:t>
      </w:r>
      <w:r w:rsidR="00C54D75">
        <w:rPr>
          <w:rFonts w:ascii="Sylfaen" w:hAnsi="Sylfaen"/>
          <w:sz w:val="24"/>
          <w:szCs w:val="24"/>
        </w:rPr>
        <w:t>և</w:t>
      </w:r>
      <w:r w:rsidRPr="00834D52">
        <w:rPr>
          <w:rFonts w:ascii="Sylfaen" w:hAnsi="Sylfaen"/>
          <w:sz w:val="24"/>
          <w:szCs w:val="24"/>
        </w:rPr>
        <w:t xml:space="preserve"> գծանիշի (շտրիխ կոդի) </w:t>
      </w:r>
      <w:r w:rsidR="00C54D75">
        <w:rPr>
          <w:rFonts w:ascii="Sylfaen" w:hAnsi="Sylfaen"/>
          <w:sz w:val="24"/>
          <w:szCs w:val="24"/>
        </w:rPr>
        <w:t>և</w:t>
      </w:r>
      <w:r w:rsidRPr="00834D52">
        <w:rPr>
          <w:rFonts w:ascii="Sylfaen" w:hAnsi="Sylfaen"/>
          <w:sz w:val="24"/>
          <w:szCs w:val="24"/>
        </w:rPr>
        <w:t xml:space="preserve"> փաթեթվածքի գունային դիզայնի </w:t>
      </w:r>
      <w:r w:rsidR="00C54D75">
        <w:rPr>
          <w:rFonts w:ascii="Sylfaen" w:hAnsi="Sylfaen"/>
          <w:sz w:val="24"/>
          <w:szCs w:val="24"/>
        </w:rPr>
        <w:t>և</w:t>
      </w:r>
      <w:r w:rsidRPr="00834D52">
        <w:rPr>
          <w:rFonts w:ascii="Sylfaen" w:hAnsi="Sylfaen"/>
          <w:sz w:val="24"/>
          <w:szCs w:val="24"/>
        </w:rPr>
        <w:t xml:space="preserve"> IA ու IB տիպի այլ ոչ նշանակալի փոփոխությունների դեպքում, որոնք չեն վերաբերում գրանցման դոսյեում դեղապատրաստուկի անվտանգության, որակի </w:t>
      </w:r>
      <w:r w:rsidR="00C54D75">
        <w:rPr>
          <w:rFonts w:ascii="Sylfaen" w:hAnsi="Sylfaen"/>
          <w:sz w:val="24"/>
          <w:szCs w:val="24"/>
        </w:rPr>
        <w:t>և</w:t>
      </w:r>
      <w:r w:rsidRPr="00834D52">
        <w:rPr>
          <w:rFonts w:ascii="Sylfaen" w:hAnsi="Sylfaen"/>
          <w:sz w:val="24"/>
          <w:szCs w:val="24"/>
        </w:rPr>
        <w:t xml:space="preserve"> արդյունավետության ասպեկտներին, սակայն վերաբերում են </w:t>
      </w:r>
      <w:r w:rsidRPr="00834D52">
        <w:rPr>
          <w:rFonts w:ascii="Sylfaen" w:hAnsi="Sylfaen"/>
          <w:sz w:val="24"/>
          <w:szCs w:val="24"/>
        </w:rPr>
        <w:lastRenderedPageBreak/>
        <w:t xml:space="preserve">դեղապատրաստուկի փաթեթվածքների մակետների փոփոխությանը, ԴԸԲ-ին </w:t>
      </w:r>
      <w:r w:rsidR="00C54D75">
        <w:rPr>
          <w:rFonts w:ascii="Sylfaen" w:hAnsi="Sylfaen"/>
          <w:sz w:val="24"/>
          <w:szCs w:val="24"/>
        </w:rPr>
        <w:t>և</w:t>
      </w:r>
      <w:r w:rsidRPr="00834D52">
        <w:rPr>
          <w:rFonts w:ascii="Sylfaen" w:hAnsi="Sylfaen"/>
          <w:sz w:val="24"/>
          <w:szCs w:val="24"/>
        </w:rPr>
        <w:t xml:space="preserve"> (կամ) բժշկական կիրառման հրահանգին, թույլատրվում է դեղապատրաստուկի արտադրությունը </w:t>
      </w:r>
      <w:r w:rsidR="00C54D75">
        <w:rPr>
          <w:rFonts w:ascii="Sylfaen" w:hAnsi="Sylfaen"/>
          <w:sz w:val="24"/>
          <w:szCs w:val="24"/>
        </w:rPr>
        <w:t>և</w:t>
      </w:r>
      <w:r w:rsidRPr="00834D52">
        <w:rPr>
          <w:rFonts w:ascii="Sylfaen" w:hAnsi="Sylfaen"/>
          <w:sz w:val="24"/>
          <w:szCs w:val="24"/>
        </w:rPr>
        <w:t xml:space="preserve"> ներմուծումը նախկինում հաստատված փաթեթվածքներով </w:t>
      </w:r>
      <w:r w:rsidR="00C54D75">
        <w:rPr>
          <w:rFonts w:ascii="Sylfaen" w:hAnsi="Sylfaen"/>
          <w:sz w:val="24"/>
          <w:szCs w:val="24"/>
        </w:rPr>
        <w:t>և</w:t>
      </w:r>
      <w:r w:rsidRPr="00834D52">
        <w:rPr>
          <w:rFonts w:ascii="Sylfaen" w:hAnsi="Sylfaen"/>
          <w:sz w:val="24"/>
          <w:szCs w:val="24"/>
        </w:rPr>
        <w:t xml:space="preserve"> բժշկական կիրառման հրահանգով՝ գրանցման (վերագրանցման) կամ փոփոխություններ կատարելու ամսաթվից 180 օրացուցային օրվա ընթացքում՝ դեղապատրաստուկի գրանցման դոսյեի փաստաթղթերում պարունակվող տեղեկատվությանը համապատասխան՝ մինչ</w:t>
      </w:r>
      <w:r w:rsidR="00C54D75">
        <w:rPr>
          <w:rFonts w:ascii="Sylfaen" w:hAnsi="Sylfaen"/>
          <w:sz w:val="24"/>
          <w:szCs w:val="24"/>
        </w:rPr>
        <w:t>և</w:t>
      </w:r>
      <w:r w:rsidRPr="00834D52">
        <w:rPr>
          <w:rFonts w:ascii="Sylfaen" w:hAnsi="Sylfaen"/>
          <w:sz w:val="24"/>
          <w:szCs w:val="24"/>
        </w:rPr>
        <w:t xml:space="preserve"> գրանցման (վերագրանցման) կամ փոփոխություններ կատարելու ամսաթիվը: Թույլատրվում է դեղապատրաստուկի միաժամանակ իրացումը մինչ</w:t>
      </w:r>
      <w:r w:rsidR="00C54D75">
        <w:rPr>
          <w:rFonts w:ascii="Sylfaen" w:hAnsi="Sylfaen"/>
          <w:sz w:val="24"/>
          <w:szCs w:val="24"/>
        </w:rPr>
        <w:t>և</w:t>
      </w:r>
      <w:r w:rsidRPr="00834D52">
        <w:rPr>
          <w:rFonts w:ascii="Sylfaen" w:hAnsi="Sylfaen"/>
          <w:sz w:val="24"/>
          <w:szCs w:val="24"/>
        </w:rPr>
        <w:t xml:space="preserve"> դրա պիտանիության ժամկետի ավարտն այն փաթեթվածքով </w:t>
      </w:r>
      <w:r w:rsidR="00C54D75">
        <w:rPr>
          <w:rFonts w:ascii="Sylfaen" w:hAnsi="Sylfaen"/>
          <w:sz w:val="24"/>
          <w:szCs w:val="24"/>
        </w:rPr>
        <w:t>և</w:t>
      </w:r>
      <w:r w:rsidRPr="00834D52">
        <w:rPr>
          <w:rFonts w:ascii="Sylfaen" w:hAnsi="Sylfaen"/>
          <w:sz w:val="24"/>
          <w:szCs w:val="24"/>
        </w:rPr>
        <w:t xml:space="preserve"> բժշկական կիրառման հրահանգով, որը համապատասխանում է գրանցման դոսյեի փաստաթղթերին </w:t>
      </w:r>
      <w:r w:rsidR="00C54D75">
        <w:rPr>
          <w:rFonts w:ascii="Sylfaen" w:hAnsi="Sylfaen"/>
          <w:sz w:val="24"/>
          <w:szCs w:val="24"/>
        </w:rPr>
        <w:t>և</w:t>
      </w:r>
      <w:r w:rsidRPr="00834D52">
        <w:rPr>
          <w:rFonts w:ascii="Sylfaen" w:hAnsi="Sylfaen"/>
          <w:sz w:val="24"/>
          <w:szCs w:val="24"/>
        </w:rPr>
        <w:t xml:space="preserve"> տվյալներին՝ նախքան դրանում փոփոխություններ կատարելը </w:t>
      </w:r>
      <w:r w:rsidR="00C54D75">
        <w:rPr>
          <w:rFonts w:ascii="Sylfaen" w:hAnsi="Sylfaen"/>
          <w:sz w:val="24"/>
          <w:szCs w:val="24"/>
        </w:rPr>
        <w:t>և</w:t>
      </w:r>
      <w:r w:rsidRPr="00834D52">
        <w:rPr>
          <w:rFonts w:ascii="Sylfaen" w:hAnsi="Sylfaen"/>
          <w:sz w:val="24"/>
          <w:szCs w:val="24"/>
        </w:rPr>
        <w:t xml:space="preserve"> դրանից հետո, եթե դա չի հակասում Հանձնաժողովի կողմից հաստատված Միության դեղազգոնության պատշաճ գործելակերպի կանոնների պահանջներին։</w:t>
      </w:r>
    </w:p>
    <w:p w14:paraId="48648958" w14:textId="77777777" w:rsidR="006F76EB" w:rsidRPr="00834D52" w:rsidRDefault="006F76EB" w:rsidP="00584EC1">
      <w:pPr>
        <w:spacing w:after="160" w:line="336" w:lineRule="auto"/>
        <w:ind w:right="-8"/>
        <w:jc w:val="center"/>
        <w:rPr>
          <w:rFonts w:ascii="Sylfaen" w:hAnsi="Sylfaen"/>
          <w:sz w:val="24"/>
          <w:szCs w:val="24"/>
        </w:rPr>
      </w:pPr>
    </w:p>
    <w:p w14:paraId="53F5CBA9" w14:textId="77777777" w:rsidR="006F76EB" w:rsidRPr="00834D52" w:rsidRDefault="006F76EB" w:rsidP="00D32C7C">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X. Գրանցման հավաստագրի կասեցում, հետկանչ (վերացում) կամ կիրառման սահմանափակում կամ գրանցման հավաստագրի պայմանների փոփոխությունների կատարում</w:t>
      </w:r>
    </w:p>
    <w:p w14:paraId="1792F24E"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159.</w:t>
      </w:r>
      <w:r w:rsidRPr="00834D52">
        <w:rPr>
          <w:rFonts w:ascii="Sylfaen" w:hAnsi="Sylfaen"/>
          <w:sz w:val="24"/>
          <w:szCs w:val="24"/>
        </w:rPr>
        <w:tab/>
        <w:t>Լիազորված մարմինը կասեցնում է գրանցման հավաստագրի գործողությունը կամ սահմանափակում է դեղապատրաստուկի կիրառումը հետ</w:t>
      </w:r>
      <w:r w:rsidR="00C54D75">
        <w:rPr>
          <w:rFonts w:ascii="Sylfaen" w:hAnsi="Sylfaen"/>
          <w:sz w:val="24"/>
          <w:szCs w:val="24"/>
        </w:rPr>
        <w:t>և</w:t>
      </w:r>
      <w:r w:rsidRPr="00834D52">
        <w:rPr>
          <w:rFonts w:ascii="Sylfaen" w:hAnsi="Sylfaen"/>
          <w:sz w:val="24"/>
          <w:szCs w:val="24"/>
        </w:rPr>
        <w:t>յալ դեպքերում՝</w:t>
      </w:r>
    </w:p>
    <w:p w14:paraId="7B6660FD" w14:textId="3E2465B8"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առկա են </w:t>
      </w:r>
      <w:r w:rsidR="00FD1F71">
        <w:rPr>
          <w:rFonts w:ascii="Sylfaen" w:hAnsi="Sylfaen"/>
          <w:sz w:val="24"/>
          <w:szCs w:val="24"/>
        </w:rPr>
        <w:t>հայտա</w:t>
      </w:r>
      <w:r w:rsidRPr="00834D52">
        <w:rPr>
          <w:rFonts w:ascii="Sylfaen" w:hAnsi="Sylfaen"/>
          <w:sz w:val="24"/>
          <w:szCs w:val="24"/>
        </w:rPr>
        <w:t xml:space="preserve">րարված կազմության հետ դեղապատրաստուկի բաց թողնված սերիաների որակական </w:t>
      </w:r>
      <w:r w:rsidR="00C54D75">
        <w:rPr>
          <w:rFonts w:ascii="Sylfaen" w:hAnsi="Sylfaen"/>
          <w:sz w:val="24"/>
          <w:szCs w:val="24"/>
        </w:rPr>
        <w:t>և</w:t>
      </w:r>
      <w:r w:rsidRPr="00834D52">
        <w:rPr>
          <w:rFonts w:ascii="Sylfaen" w:hAnsi="Sylfaen"/>
          <w:sz w:val="24"/>
          <w:szCs w:val="24"/>
        </w:rPr>
        <w:t xml:space="preserve"> քանակական կազմության՝ փաստաթղթերով հաստատված անհամապատասխանության փաստեր.</w:t>
      </w:r>
    </w:p>
    <w:p w14:paraId="21A3D521" w14:textId="77777777"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վտանգավոր է (լուրջ կամ անուղղելի վնաս է հասցնում մարդու առողջությանը (առողջությանը լուրջ կամ անուղղելի վնաս հասցնելու մասին հիմնավորումը պետք է հաստատված լինի լիազորված մարմնի (փորձագիտական կազմակերպության) փորձագիտական եզրակացությամբ՝ </w:t>
      </w:r>
      <w:r w:rsidRPr="00834D52">
        <w:rPr>
          <w:rFonts w:ascii="Sylfaen" w:hAnsi="Sylfaen"/>
          <w:sz w:val="24"/>
          <w:szCs w:val="24"/>
        </w:rPr>
        <w:lastRenderedPageBreak/>
        <w:t>փաստաթղթային ապացույցներին հղումներով)).</w:t>
      </w:r>
    </w:p>
    <w:p w14:paraId="25341959" w14:textId="1CE50E8F" w:rsidR="006F76EB" w:rsidRPr="00834D52" w:rsidRDefault="006F76EB" w:rsidP="00D32C7C">
      <w:pPr>
        <w:tabs>
          <w:tab w:val="left" w:pos="1134"/>
        </w:tabs>
        <w:spacing w:after="160" w:line="360" w:lineRule="auto"/>
        <w:ind w:right="-8" w:firstLine="567"/>
        <w:jc w:val="both"/>
        <w:rPr>
          <w:rFonts w:ascii="Sylfaen" w:eastAsia="Times New Roman" w:hAnsi="Sylfaen" w:cs="Times New Roman"/>
          <w:sz w:val="24"/>
          <w:szCs w:val="24"/>
        </w:rPr>
      </w:pPr>
      <w:r w:rsidRPr="00256312">
        <w:rPr>
          <w:rFonts w:ascii="Sylfaen" w:hAnsi="Sylfaen"/>
          <w:spacing w:val="-6"/>
          <w:sz w:val="24"/>
          <w:szCs w:val="24"/>
        </w:rPr>
        <w:t>ապացուցվել է օգուտ-ռիսկ անբարենպաստ հարաբերակցությունը կամ բացա</w:t>
      </w:r>
      <w:r w:rsidR="00FD1F71">
        <w:rPr>
          <w:rFonts w:ascii="Sylfaen" w:hAnsi="Sylfaen"/>
          <w:spacing w:val="-6"/>
          <w:sz w:val="24"/>
          <w:szCs w:val="24"/>
        </w:rPr>
        <w:t>հայտ</w:t>
      </w:r>
      <w:r w:rsidRPr="00256312">
        <w:rPr>
          <w:rFonts w:ascii="Sylfaen" w:hAnsi="Sylfaen"/>
          <w:spacing w:val="-6"/>
          <w:sz w:val="24"/>
          <w:szCs w:val="24"/>
        </w:rPr>
        <w:t xml:space="preserve">վել է դեղապատրաստուկի՝ փաստաթղթերով հաստատված </w:t>
      </w:r>
      <w:r w:rsidRPr="00834D52">
        <w:rPr>
          <w:rFonts w:ascii="Sylfaen" w:hAnsi="Sylfaen"/>
          <w:sz w:val="24"/>
          <w:szCs w:val="24"/>
        </w:rPr>
        <w:t>ոչ բավարար թերապ</w:t>
      </w:r>
      <w:r w:rsidR="00C54D75">
        <w:rPr>
          <w:rFonts w:ascii="Sylfaen" w:hAnsi="Sylfaen"/>
          <w:sz w:val="24"/>
          <w:szCs w:val="24"/>
        </w:rPr>
        <w:t>և</w:t>
      </w:r>
      <w:r w:rsidRPr="00834D52">
        <w:rPr>
          <w:rFonts w:ascii="Sylfaen" w:hAnsi="Sylfaen"/>
          <w:sz w:val="24"/>
          <w:szCs w:val="24"/>
        </w:rPr>
        <w:t>տիկ արդյունավետությունը դրա կիրառման այն պայմանների պահպանման դեպքում, որոնք նկարագրված են հաստատված ԴԸԲ-ում.</w:t>
      </w:r>
    </w:p>
    <w:p w14:paraId="5ABD3450"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չի հաստատվել </w:t>
      </w:r>
      <w:r w:rsidR="00E90FAF" w:rsidRPr="00E90FAF">
        <w:rPr>
          <w:rFonts w:ascii="Sylfaen" w:hAnsi="Sylfaen"/>
          <w:sz w:val="24"/>
          <w:szCs w:val="24"/>
        </w:rPr>
        <w:t>«</w:t>
      </w:r>
      <w:r w:rsidRPr="00834D52">
        <w:rPr>
          <w:rFonts w:ascii="Sylfaen" w:hAnsi="Sylfaen"/>
          <w:sz w:val="24"/>
          <w:szCs w:val="24"/>
        </w:rPr>
        <w:t>օգուտ-ռիսկ</w:t>
      </w:r>
      <w:r w:rsidR="00E90FAF" w:rsidRPr="00E90FAF">
        <w:rPr>
          <w:rFonts w:ascii="Sylfaen" w:hAnsi="Sylfaen"/>
          <w:sz w:val="24"/>
          <w:szCs w:val="24"/>
        </w:rPr>
        <w:t>»</w:t>
      </w:r>
      <w:r w:rsidRPr="00834D52">
        <w:rPr>
          <w:rFonts w:ascii="Sylfaen" w:hAnsi="Sylfaen"/>
          <w:sz w:val="24"/>
          <w:szCs w:val="24"/>
        </w:rPr>
        <w:t xml:space="preserve"> դրական հարաբերակցությունը՝ լիազորված մարմնի (փորձագիտական կազմակերպության) կողմից յուրաքանչյուր տարի անցկացվող օգուտ-ռիսկ հարաբերակցությունը վերագնահատելիս՝ սույն Կանոնների 117-րդ կետին համապատասխան.</w:t>
      </w:r>
    </w:p>
    <w:p w14:paraId="278CB7C2" w14:textId="77777777"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առկա են ոչ հավաստի փաստաթղթեր </w:t>
      </w:r>
      <w:r w:rsidR="00C54D75">
        <w:rPr>
          <w:rFonts w:ascii="Sylfaen" w:hAnsi="Sylfaen"/>
          <w:sz w:val="24"/>
          <w:szCs w:val="24"/>
        </w:rPr>
        <w:t>և</w:t>
      </w:r>
      <w:r w:rsidRPr="00834D52">
        <w:rPr>
          <w:rFonts w:ascii="Sylfaen" w:hAnsi="Sylfaen"/>
          <w:sz w:val="24"/>
          <w:szCs w:val="24"/>
        </w:rPr>
        <w:t xml:space="preserve"> տվյալներ,</w:t>
      </w:r>
    </w:p>
    <w:p w14:paraId="5C724705" w14:textId="1565CF7B" w:rsidR="006F76EB" w:rsidRPr="00834D52" w:rsidRDefault="006F76EB" w:rsidP="0000325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արտադրողը լիազորված մարմնի (փորձագիտական կազմակերպության) հետ համաձայնեցված ժամկետներում չի վերացրել 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որոնք </w:t>
      </w:r>
      <w:r w:rsidR="001A5F1A">
        <w:rPr>
          <w:rFonts w:ascii="Sylfaen" w:hAnsi="Sylfaen"/>
          <w:sz w:val="24"/>
          <w:szCs w:val="24"/>
        </w:rPr>
        <w:t>հայտագրված</w:t>
      </w:r>
      <w:r w:rsidRPr="00834D52">
        <w:rPr>
          <w:rFonts w:ascii="Sylfaen" w:hAnsi="Sylfaen"/>
          <w:sz w:val="24"/>
          <w:szCs w:val="24"/>
        </w:rPr>
        <w:t xml:space="preserve"> են գրանցման դոսյեում,</w:t>
      </w:r>
    </w:p>
    <w:p w14:paraId="271B77D7"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չեն կատարվել դեղազգոնության վերաբերյալ պարտականությունները,</w:t>
      </w:r>
    </w:p>
    <w:p w14:paraId="63D13198"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չեն կատարվել լիազորված մարմնի (փորձագիտական կազմակերպության) կողմից հաստատված պարտականությունները՝ սույն Կանոնների 116-րդ </w:t>
      </w:r>
      <w:r w:rsidR="00C54D75">
        <w:rPr>
          <w:rFonts w:ascii="Sylfaen" w:hAnsi="Sylfaen"/>
          <w:sz w:val="24"/>
          <w:szCs w:val="24"/>
        </w:rPr>
        <w:t>և</w:t>
      </w:r>
      <w:r w:rsidRPr="00834D52">
        <w:rPr>
          <w:rFonts w:ascii="Sylfaen" w:hAnsi="Sylfaen"/>
          <w:sz w:val="24"/>
          <w:szCs w:val="24"/>
        </w:rPr>
        <w:t xml:space="preserve"> 118-րդ կետերին համապատասխան։</w:t>
      </w:r>
    </w:p>
    <w:p w14:paraId="6B6880CA" w14:textId="77777777" w:rsidR="006F76EB" w:rsidRPr="00834D52" w:rsidRDefault="006F76EB" w:rsidP="0000325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գործողության կասեցման՝ սույն կետի </w:t>
      </w:r>
      <w:r w:rsidR="00256312" w:rsidRPr="00E61438">
        <w:rPr>
          <w:rFonts w:ascii="Sylfaen" w:hAnsi="Sylfaen"/>
          <w:sz w:val="24"/>
          <w:szCs w:val="24"/>
        </w:rPr>
        <w:br/>
      </w:r>
      <w:r w:rsidRPr="00834D52">
        <w:rPr>
          <w:rFonts w:ascii="Sylfaen" w:hAnsi="Sylfaen"/>
          <w:sz w:val="24"/>
          <w:szCs w:val="24"/>
        </w:rPr>
        <w:t>երկրորդ-չորրորդ պարբերություններում նշված դեպքերում լիազորված մարմինը (փորձագիտական կազմակերպությունը) գրանցման հավաստագրի իրավատիրոջն ուղարկում է գրանցման դոսյեի համապատասխան փաստաթղթերում փոփոխություններ կատարելու մասին պահանջը՝ նշելով այդպիսի պահանջի կատարման ժամկետը:</w:t>
      </w:r>
    </w:p>
    <w:p w14:paraId="2321A6CB"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160.</w:t>
      </w:r>
      <w:r w:rsidRPr="00834D52">
        <w:rPr>
          <w:rFonts w:ascii="Sylfaen" w:hAnsi="Sylfaen"/>
          <w:sz w:val="24"/>
          <w:szCs w:val="24"/>
        </w:rPr>
        <w:tab/>
        <w:t xml:space="preserve">Դեղապատրաստուկի գրանցման հավաստագիրը հետ կանչելու </w:t>
      </w:r>
      <w:r w:rsidRPr="00834D52">
        <w:rPr>
          <w:rFonts w:ascii="Sylfaen" w:hAnsi="Sylfaen"/>
          <w:sz w:val="24"/>
          <w:szCs w:val="24"/>
        </w:rPr>
        <w:lastRenderedPageBreak/>
        <w:t xml:space="preserve">(վերացնելու) </w:t>
      </w:r>
      <w:r w:rsidR="00C54D75">
        <w:rPr>
          <w:rFonts w:ascii="Sylfaen" w:hAnsi="Sylfaen"/>
          <w:sz w:val="24"/>
          <w:szCs w:val="24"/>
        </w:rPr>
        <w:t>և</w:t>
      </w:r>
      <w:r w:rsidRPr="00834D52">
        <w:rPr>
          <w:rFonts w:ascii="Sylfaen" w:hAnsi="Sylfaen"/>
          <w:sz w:val="24"/>
          <w:szCs w:val="24"/>
        </w:rPr>
        <w:t xml:space="preserve"> դեղապատրաստուկը միասնական ռեեստրից հանելու մասին որոշումն ընդունվում է լիազորված մարմնի (փորձագիտական կազմակերպության) կողմից հետ</w:t>
      </w:r>
      <w:r w:rsidR="00C54D75">
        <w:rPr>
          <w:rFonts w:ascii="Sylfaen" w:hAnsi="Sylfaen"/>
          <w:sz w:val="24"/>
          <w:szCs w:val="24"/>
        </w:rPr>
        <w:t>և</w:t>
      </w:r>
      <w:r w:rsidRPr="00834D52">
        <w:rPr>
          <w:rFonts w:ascii="Sylfaen" w:hAnsi="Sylfaen"/>
          <w:sz w:val="24"/>
          <w:szCs w:val="24"/>
        </w:rPr>
        <w:t>յալ դեպքերում՝</w:t>
      </w:r>
    </w:p>
    <w:p w14:paraId="5D087251"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դեղապատրաստուկի գրանցման հավաստագրի իրավատիրոջ կամ իրավաբանական անձի, դեղապատրաստուկի գրանցման հավաստագրի լիազորված իրավատիրոջ կողմից դեղապատրաստուկի գրանցումը վերացնելու մասին դիմումը ներկայացնելու դեպքում,</w:t>
      </w:r>
    </w:p>
    <w:p w14:paraId="28166C96" w14:textId="77777777" w:rsidR="006F76EB" w:rsidRPr="00834D52" w:rsidRDefault="006F76EB" w:rsidP="00CB78D1">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գրանցման հավաստագրի իրավատիրոջ կողմից լիազորված մարմնի (փորձագիտական կազմակերպության)՝ սույն Կանոնների</w:t>
      </w:r>
      <w:r w:rsidR="00E61438" w:rsidRPr="00E61438">
        <w:rPr>
          <w:rFonts w:ascii="Sylfaen" w:hAnsi="Sylfaen"/>
          <w:sz w:val="24"/>
          <w:szCs w:val="24"/>
        </w:rPr>
        <w:t> </w:t>
      </w:r>
      <w:r w:rsidRPr="00834D52">
        <w:rPr>
          <w:rFonts w:ascii="Sylfaen" w:hAnsi="Sylfaen"/>
          <w:sz w:val="24"/>
          <w:szCs w:val="24"/>
        </w:rPr>
        <w:t>159-րդ կետի երկրորդից իններորդ պարբերություններում նշված պահանջները չկատարելու դեպքում,</w:t>
      </w:r>
    </w:p>
    <w:p w14:paraId="7F508430" w14:textId="20835C0B" w:rsidR="006F76EB" w:rsidRDefault="006F76EB" w:rsidP="00CB78D1">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տեսչական ստուգումների ժամանակ բացա</w:t>
      </w:r>
      <w:r w:rsidR="00FD1F71">
        <w:rPr>
          <w:rFonts w:ascii="Sylfaen" w:hAnsi="Sylfaen"/>
          <w:sz w:val="24"/>
          <w:szCs w:val="24"/>
        </w:rPr>
        <w:t>հայտ</w:t>
      </w:r>
      <w:r w:rsidRPr="00834D52">
        <w:rPr>
          <w:rFonts w:ascii="Sylfaen" w:hAnsi="Sylfaen"/>
          <w:sz w:val="24"/>
          <w:szCs w:val="24"/>
        </w:rPr>
        <w:t xml:space="preserve">ված, գրանցման դոսյեում </w:t>
      </w:r>
      <w:r w:rsidR="001A5F1A">
        <w:rPr>
          <w:rFonts w:ascii="Sylfaen" w:hAnsi="Sylfaen"/>
          <w:sz w:val="24"/>
          <w:szCs w:val="24"/>
        </w:rPr>
        <w:t>հայտագրված</w:t>
      </w:r>
      <w:r w:rsidRPr="00834D52">
        <w:rPr>
          <w:rFonts w:ascii="Sylfaen" w:hAnsi="Sylfaen"/>
          <w:sz w:val="24"/>
          <w:szCs w:val="24"/>
        </w:rPr>
        <w:t xml:space="preserve">՝ արտադրության </w:t>
      </w:r>
      <w:r w:rsidR="00C54D75">
        <w:rPr>
          <w:rFonts w:ascii="Sylfaen" w:hAnsi="Sylfaen"/>
          <w:sz w:val="24"/>
          <w:szCs w:val="24"/>
        </w:rPr>
        <w:t>և</w:t>
      </w:r>
      <w:r w:rsidRPr="00834D52">
        <w:rPr>
          <w:rFonts w:ascii="Sylfaen" w:hAnsi="Sylfaen"/>
          <w:sz w:val="24"/>
          <w:szCs w:val="24"/>
        </w:rPr>
        <w:t xml:space="preserve"> հսկողության մեթոդների անհամապատասխանությունները գրանցման հավաստագրի իրավատիրոջ կողմից սահմանված ժամկետում չվերացնելու մասին լիազորված մարմնի (փորձագիտական կազմակերպության) կողմից եզրակացության ներկայացման դեպքում:</w:t>
      </w:r>
    </w:p>
    <w:p w14:paraId="6A6ED235" w14:textId="1BF594AA" w:rsidR="00BC53C9" w:rsidRPr="006F28F9" w:rsidRDefault="00BC53C9" w:rsidP="00BC53C9">
      <w:pPr>
        <w:rPr>
          <w:b/>
          <w:bCs/>
          <w:i/>
          <w:iCs/>
        </w:rPr>
      </w:pPr>
      <w:r w:rsidRPr="00CD4709">
        <w:rPr>
          <w:b/>
          <w:bCs/>
          <w:i/>
          <w:iCs/>
        </w:rPr>
        <w:t>(</w:t>
      </w:r>
      <w:r>
        <w:rPr>
          <w:b/>
          <w:bCs/>
          <w:i/>
          <w:iCs/>
        </w:rPr>
        <w:t xml:space="preserve">160-րդ կետը </w:t>
      </w:r>
      <w:r w:rsidRPr="00CD4709">
        <w:rPr>
          <w:b/>
          <w:bCs/>
          <w:i/>
          <w:iCs/>
        </w:rPr>
        <w:t>փոփ. 30.01.20 թիվ 9)</w:t>
      </w:r>
    </w:p>
    <w:p w14:paraId="4EEC3380" w14:textId="77777777" w:rsidR="006F76EB" w:rsidRPr="00834D52" w:rsidRDefault="006F76EB" w:rsidP="0000325C">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Անդամ պետությունների լիազորված մարմինները սույն Կանոնների 159-րդ </w:t>
      </w:r>
      <w:r w:rsidR="00C54D75">
        <w:rPr>
          <w:rFonts w:ascii="Sylfaen" w:hAnsi="Sylfaen"/>
          <w:sz w:val="24"/>
          <w:szCs w:val="24"/>
        </w:rPr>
        <w:t>և</w:t>
      </w:r>
      <w:r w:rsidRPr="00834D52">
        <w:rPr>
          <w:rFonts w:ascii="Sylfaen" w:hAnsi="Sylfaen"/>
          <w:sz w:val="24"/>
          <w:szCs w:val="24"/>
        </w:rPr>
        <w:t xml:space="preserve"> 160-րդ կետերում նշված դեպքերում համապատասխան միջոցներ (գործողություններ) են ձեռնարկում՝ դեղապատրաստուկի մատակարարումը դադարեցնելու </w:t>
      </w:r>
      <w:r w:rsidR="00C54D75">
        <w:rPr>
          <w:rFonts w:ascii="Sylfaen" w:hAnsi="Sylfaen"/>
          <w:sz w:val="24"/>
          <w:szCs w:val="24"/>
        </w:rPr>
        <w:t>և</w:t>
      </w:r>
      <w:r w:rsidRPr="00834D52">
        <w:rPr>
          <w:rFonts w:ascii="Sylfaen" w:hAnsi="Sylfaen"/>
          <w:sz w:val="24"/>
          <w:szCs w:val="24"/>
        </w:rPr>
        <w:t xml:space="preserve"> դեղապատրաստուկը շրջանառությունից հանելու համար:</w:t>
      </w:r>
    </w:p>
    <w:p w14:paraId="56809E53" w14:textId="77777777" w:rsidR="006F76EB" w:rsidRPr="00955C1D" w:rsidRDefault="006F76EB" w:rsidP="0000325C">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162.</w:t>
      </w:r>
      <w:r w:rsidRPr="00834D52">
        <w:rPr>
          <w:rFonts w:ascii="Sylfaen" w:hAnsi="Sylfaen"/>
          <w:sz w:val="24"/>
          <w:szCs w:val="24"/>
        </w:rPr>
        <w:tab/>
        <w:t>Բացառիկ դեպքերում՝ սահմանափակ ժամանակի ընթացքում, լիազորված մարմինը կարող է թույլատրել այն դեղապատրաստուկի շրջանառությունը, որի բացթողումն արգելված է, կամ որը հետ էր կանչվել շուկայից՝ բացառապես դրա հսկվող կիրառության համար այն պացիենտների կողմից, ովքեր օգտագործել են տվյալ դեղապատրաստուկը կենսական ցուցումներով:</w:t>
      </w:r>
    </w:p>
    <w:p w14:paraId="1F46B46A" w14:textId="77777777" w:rsidR="00A258AD" w:rsidRPr="00955C1D" w:rsidRDefault="00A258AD" w:rsidP="00A258AD">
      <w:pPr>
        <w:tabs>
          <w:tab w:val="left" w:pos="1701"/>
        </w:tabs>
        <w:spacing w:after="160" w:line="360" w:lineRule="auto"/>
        <w:ind w:right="-6" w:firstLine="567"/>
        <w:jc w:val="both"/>
        <w:rPr>
          <w:rFonts w:ascii="Sylfaen" w:hAnsi="Sylfaen"/>
          <w:sz w:val="24"/>
          <w:szCs w:val="24"/>
        </w:rPr>
      </w:pPr>
    </w:p>
    <w:p w14:paraId="76840D50"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XI. Անդամ պետություններում դեղապատրաստուկների շրջանառության պայմանները</w:t>
      </w:r>
    </w:p>
    <w:p w14:paraId="42FFA8DA"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163.</w:t>
      </w:r>
      <w:r w:rsidRPr="00834D52">
        <w:rPr>
          <w:rFonts w:ascii="Sylfaen" w:hAnsi="Sylfaen"/>
          <w:sz w:val="24"/>
          <w:szCs w:val="24"/>
        </w:rPr>
        <w:tab/>
        <w:t xml:space="preserve">Սույն Կանոններին համապատասխան գրանցում անցած </w:t>
      </w:r>
      <w:r w:rsidR="00C54D75">
        <w:rPr>
          <w:rFonts w:ascii="Sylfaen" w:hAnsi="Sylfaen"/>
          <w:sz w:val="24"/>
          <w:szCs w:val="24"/>
        </w:rPr>
        <w:t>և</w:t>
      </w:r>
      <w:r w:rsidRPr="00834D52">
        <w:rPr>
          <w:rFonts w:ascii="Sylfaen" w:hAnsi="Sylfaen"/>
          <w:sz w:val="24"/>
          <w:szCs w:val="24"/>
        </w:rPr>
        <w:t xml:space="preserve"> միասնական ռեեստրում ընդգրկված դեղապատրաստուկներն իրացվում են Միության շրջանակներում այն անդամ պետությունների սահմաններում, որոնցում դրանք գրանցված են:</w:t>
      </w:r>
    </w:p>
    <w:p w14:paraId="64FD9786"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չհամապատասխանեցված դեղապատրաստուկներն այդ անդամ պետության տարածքում իրացվում են 2025 թվականի դեկտեմբերի 31-ից հետո՝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6FAAD1D5" w14:textId="77777777" w:rsidR="006F76EB" w:rsidRPr="00834D52" w:rsidRDefault="006F76EB" w:rsidP="00286B62">
      <w:pPr>
        <w:tabs>
          <w:tab w:val="left" w:pos="1134"/>
        </w:tabs>
        <w:spacing w:after="160" w:line="336" w:lineRule="auto"/>
        <w:ind w:right="-8" w:firstLine="567"/>
        <w:jc w:val="both"/>
        <w:rPr>
          <w:rFonts w:ascii="Sylfaen" w:hAnsi="Sylfaen"/>
          <w:sz w:val="24"/>
          <w:szCs w:val="24"/>
        </w:rPr>
      </w:pPr>
      <w:r w:rsidRPr="00834D52">
        <w:rPr>
          <w:rFonts w:ascii="Sylfaen" w:hAnsi="Sylfaen"/>
          <w:sz w:val="24"/>
          <w:szCs w:val="24"/>
        </w:rPr>
        <w:t>165.</w:t>
      </w:r>
      <w:r w:rsidRPr="00834D52">
        <w:rPr>
          <w:rFonts w:ascii="Sylfaen" w:hAnsi="Sylfaen"/>
          <w:sz w:val="24"/>
          <w:szCs w:val="24"/>
        </w:rPr>
        <w:tab/>
        <w:t>Անդամ պետություններում թույլատրվում է գրանցման հավաստագրերի գործողության ժամկետը լրացած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այդ դեղապատրաստուկների պիտանիության ժամկետի ավարտը, եթե դրանք արտադրվել են նախքան գրանցման հավաստագրի գործողության ժամկետի ավարտը:</w:t>
      </w:r>
    </w:p>
    <w:p w14:paraId="0740D6A3" w14:textId="77777777" w:rsidR="006F76EB" w:rsidRPr="00834D52" w:rsidRDefault="006F76EB" w:rsidP="00F9615B">
      <w:pPr>
        <w:tabs>
          <w:tab w:val="left" w:pos="1134"/>
        </w:tabs>
        <w:spacing w:after="160" w:line="360" w:lineRule="auto"/>
        <w:ind w:right="-8" w:firstLine="567"/>
        <w:jc w:val="center"/>
        <w:rPr>
          <w:rFonts w:ascii="Sylfaen" w:eastAsia="Times New Roman" w:hAnsi="Sylfaen" w:cs="Times New Roman"/>
          <w:sz w:val="24"/>
          <w:szCs w:val="24"/>
        </w:rPr>
      </w:pPr>
    </w:p>
    <w:p w14:paraId="5D76E13D"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XII. Գրանցման հավաստագրերի իրավատերերի պարտականությունները</w:t>
      </w:r>
    </w:p>
    <w:p w14:paraId="34ABB994"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6</w:t>
      </w:r>
      <w:r w:rsidRPr="00834D52">
        <w:rPr>
          <w:rFonts w:ascii="Sylfaen" w:hAnsi="Sylfaen"/>
          <w:sz w:val="24"/>
          <w:szCs w:val="24"/>
        </w:rPr>
        <w:t>.</w:t>
      </w:r>
      <w:r w:rsidRPr="00834D52">
        <w:rPr>
          <w:rFonts w:ascii="Sylfaen" w:hAnsi="Sylfaen"/>
          <w:sz w:val="24"/>
          <w:szCs w:val="24"/>
        </w:rPr>
        <w:tab/>
        <w:t>Գրանցման հավաստագրի իրավատերը պետք է օպերատիվ կերպով ներկայացնի ամբողջական տեղեկատվություն՝ ըստ ցանկացած այն անդամ պետության լիազորված մարմնի հարցման, որտեղ գրանցված է դեղապատրաստուկը:</w:t>
      </w:r>
    </w:p>
    <w:p w14:paraId="3AFB2321"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7</w:t>
      </w:r>
      <w:r w:rsidRPr="00834D52">
        <w:rPr>
          <w:rFonts w:ascii="Sylfaen" w:hAnsi="Sylfaen"/>
          <w:sz w:val="24"/>
          <w:szCs w:val="24"/>
        </w:rPr>
        <w:t>.</w:t>
      </w:r>
      <w:r w:rsidRPr="00834D52">
        <w:rPr>
          <w:rFonts w:ascii="Sylfaen" w:hAnsi="Sylfaen"/>
          <w:sz w:val="24"/>
          <w:szCs w:val="24"/>
        </w:rPr>
        <w:tab/>
        <w:t>Գրանցման հավաստագրի իրավատերը Միության շուկայում դեղապատրաստուկի արտադրման պլանավորվող դադարեցման կամ իրացման մասին, նշելով պատճառները, պետք է տեղեկացնի անդամ պետության լիազորված մարմնին ոչ ուշ, քան արտադրության կամ իրացման այդպիսի դադարեցումից 60</w:t>
      </w:r>
      <w:r w:rsidR="008057F1" w:rsidRPr="008057F1">
        <w:rPr>
          <w:rFonts w:ascii="Sylfaen" w:hAnsi="Sylfaen"/>
          <w:sz w:val="24"/>
          <w:szCs w:val="24"/>
        </w:rPr>
        <w:t> </w:t>
      </w:r>
      <w:r w:rsidRPr="00834D52">
        <w:rPr>
          <w:rFonts w:ascii="Sylfaen" w:hAnsi="Sylfaen"/>
          <w:sz w:val="24"/>
          <w:szCs w:val="24"/>
        </w:rPr>
        <w:t>օրացուցային օր առաջ:</w:t>
      </w:r>
    </w:p>
    <w:p w14:paraId="4F7F83F3"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w:t>
      </w:r>
      <w:r w:rsidR="00E90FAF" w:rsidRPr="00E90FAF">
        <w:rPr>
          <w:rFonts w:ascii="Sylfaen" w:hAnsi="Sylfaen"/>
          <w:sz w:val="24"/>
          <w:szCs w:val="24"/>
        </w:rPr>
        <w:t>8</w:t>
      </w:r>
      <w:r w:rsidRPr="00834D52">
        <w:rPr>
          <w:rFonts w:ascii="Sylfaen" w:hAnsi="Sylfaen"/>
          <w:sz w:val="24"/>
          <w:szCs w:val="24"/>
        </w:rPr>
        <w:t>.</w:t>
      </w:r>
      <w:r w:rsidRPr="00834D52">
        <w:rPr>
          <w:rFonts w:ascii="Sylfaen" w:hAnsi="Sylfaen"/>
          <w:sz w:val="24"/>
          <w:szCs w:val="24"/>
        </w:rPr>
        <w:tab/>
        <w:t xml:space="preserve">Ռեֆերենտ պետությունում կամ ճանաչման պետությունում գրանցման </w:t>
      </w:r>
      <w:r w:rsidRPr="00834D52">
        <w:rPr>
          <w:rFonts w:ascii="Sylfaen" w:hAnsi="Sylfaen"/>
          <w:sz w:val="24"/>
          <w:szCs w:val="24"/>
        </w:rPr>
        <w:lastRenderedPageBreak/>
        <w:t xml:space="preserve">հավաստագրի իրավատիրոջ փոփոխության դեպքում գրանցման հավաստագրի նոր իրավատերը պետք է ներկայացնի այդպիսի փոփոխության (տրանսֆերի) փաստաթղթային հիմնավորումը </w:t>
      </w:r>
      <w:r w:rsidR="00C54D75">
        <w:rPr>
          <w:rFonts w:ascii="Sylfaen" w:hAnsi="Sylfaen"/>
          <w:sz w:val="24"/>
          <w:szCs w:val="24"/>
        </w:rPr>
        <w:t>և</w:t>
      </w:r>
      <w:r w:rsidRPr="00834D52">
        <w:rPr>
          <w:rFonts w:ascii="Sylfaen" w:hAnsi="Sylfaen"/>
          <w:sz w:val="24"/>
          <w:szCs w:val="24"/>
        </w:rPr>
        <w:t xml:space="preserve"> այլ անդամ պետությունների գրանցման հավաստագրի իրավատերերի հետ փոխգործակցության իրականացման հնարավորության հաստատումը, որով ապահովվում է գրանցման հավաստագրի իրավատիրոջ բոլոր պարտականությունների՝ իր կողմից պատշաճ կատարումը:</w:t>
      </w:r>
    </w:p>
    <w:p w14:paraId="69F5EEBF" w14:textId="77777777" w:rsidR="006F76EB" w:rsidRPr="00834D52" w:rsidRDefault="006F76EB" w:rsidP="00286B6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00E90FAF" w:rsidRPr="00E90FAF">
        <w:rPr>
          <w:rFonts w:ascii="Sylfaen" w:hAnsi="Sylfaen"/>
          <w:sz w:val="24"/>
          <w:szCs w:val="24"/>
        </w:rPr>
        <w:t>69</w:t>
      </w:r>
      <w:r w:rsidRPr="00834D52">
        <w:rPr>
          <w:rFonts w:ascii="Sylfaen" w:hAnsi="Sylfaen"/>
          <w:sz w:val="24"/>
          <w:szCs w:val="24"/>
        </w:rPr>
        <w:t>.</w:t>
      </w:r>
      <w:r w:rsidRPr="00834D52">
        <w:rPr>
          <w:rFonts w:ascii="Sylfaen" w:hAnsi="Sylfaen"/>
          <w:sz w:val="24"/>
          <w:szCs w:val="24"/>
        </w:rPr>
        <w:tab/>
        <w:t>Անսահմանափակ ժամկետով տրված դեղապատրաստուկի գրանցման հավաստագրի գործողության ժամանակահատվածում, դեղազգոնության հիման վրա, իրականացվում է օգուտ-ռիսկ հարաբերակցության պարբերական գնահատում:</w:t>
      </w:r>
    </w:p>
    <w:p w14:paraId="1AD4FDB1" w14:textId="77777777" w:rsidR="006F76EB" w:rsidRPr="00834D52" w:rsidRDefault="006F76EB" w:rsidP="00CB78D1">
      <w:pPr>
        <w:spacing w:after="160" w:line="336" w:lineRule="auto"/>
        <w:ind w:right="-6"/>
        <w:rPr>
          <w:rFonts w:ascii="Sylfaen" w:hAnsi="Sylfaen"/>
          <w:sz w:val="24"/>
          <w:szCs w:val="24"/>
        </w:rPr>
      </w:pPr>
    </w:p>
    <w:p w14:paraId="78151CC7" w14:textId="77777777" w:rsidR="006F76EB" w:rsidRPr="00834D52" w:rsidRDefault="006F76EB" w:rsidP="00CB78D1">
      <w:pPr>
        <w:spacing w:after="160" w:line="336"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XIII. Միության պահանջներին այն դեղապատրաստուկի գրանցման դոսյեն համապատասխանեցնելու ընթացակարգը, որը գրանցվել է նախքան Եվրասիական տնտեսական միության շրջանակներում դեղամիջոցների շրջանառության միասնական սկզբունքների </w:t>
      </w:r>
      <w:r w:rsidR="00C54D75">
        <w:rPr>
          <w:rFonts w:ascii="Sylfaen" w:hAnsi="Sylfaen"/>
          <w:sz w:val="24"/>
          <w:szCs w:val="24"/>
        </w:rPr>
        <w:t>և</w:t>
      </w:r>
      <w:r w:rsidRPr="00834D52">
        <w:rPr>
          <w:rFonts w:ascii="Sylfaen" w:hAnsi="Sylfaen"/>
          <w:sz w:val="24"/>
          <w:szCs w:val="24"/>
        </w:rPr>
        <w:t xml:space="preserve"> կանոնների մասին 2014 թվականի դեկտեմբերի 23-ի համաձայնագիրն ուժի մեջ մտնելը </w:t>
      </w:r>
      <w:r w:rsidR="00C54D75">
        <w:rPr>
          <w:rFonts w:ascii="Sylfaen" w:hAnsi="Sylfaen"/>
          <w:sz w:val="24"/>
          <w:szCs w:val="24"/>
        </w:rPr>
        <w:t>և</w:t>
      </w:r>
      <w:r w:rsidRPr="00834D52">
        <w:rPr>
          <w:rFonts w:ascii="Sylfaen" w:hAnsi="Sylfaen"/>
          <w:sz w:val="24"/>
          <w:szCs w:val="24"/>
        </w:rPr>
        <w:t xml:space="preserve"> մինչ</w:t>
      </w:r>
      <w:r w:rsidR="00C54D75">
        <w:rPr>
          <w:rFonts w:ascii="Sylfaen" w:hAnsi="Sylfaen"/>
          <w:sz w:val="24"/>
          <w:szCs w:val="24"/>
        </w:rPr>
        <w:t>և</w:t>
      </w:r>
      <w:r w:rsidRPr="00834D52">
        <w:rPr>
          <w:rFonts w:ascii="Sylfaen" w:hAnsi="Sylfaen"/>
          <w:sz w:val="24"/>
          <w:szCs w:val="24"/>
        </w:rPr>
        <w:t xml:space="preserve"> 2020 թվականի դեկտեմբերի 31-ն ընկած ժամանակահատվածում</w:t>
      </w:r>
    </w:p>
    <w:p w14:paraId="5CFE084F" w14:textId="77777777" w:rsidR="006F76EB" w:rsidRPr="00834D52" w:rsidRDefault="006F76EB" w:rsidP="00286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0</w:t>
      </w:r>
      <w:r w:rsidRPr="00834D52">
        <w:rPr>
          <w:rFonts w:ascii="Sylfaen" w:hAnsi="Sylfaen"/>
          <w:sz w:val="24"/>
          <w:szCs w:val="24"/>
        </w:rPr>
        <w:t>.</w:t>
      </w:r>
      <w:r w:rsidRPr="00834D52">
        <w:rPr>
          <w:rFonts w:ascii="Sylfaen" w:hAnsi="Sylfaen"/>
          <w:sz w:val="24"/>
          <w:szCs w:val="24"/>
        </w:rPr>
        <w:tab/>
        <w:t>Դեղապատրաստուկների գրանցման այն դոսյեները, որոնք գրանցվել են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ըստ ազգային պահանջների, պետք է մինչ</w:t>
      </w:r>
      <w:r w:rsidR="00C54D75">
        <w:rPr>
          <w:rFonts w:ascii="Sylfaen" w:hAnsi="Sylfaen"/>
          <w:sz w:val="24"/>
          <w:szCs w:val="24"/>
        </w:rPr>
        <w:t>և</w:t>
      </w:r>
      <w:r w:rsidRPr="00834D52">
        <w:rPr>
          <w:rFonts w:ascii="Sylfaen" w:hAnsi="Sylfaen"/>
          <w:sz w:val="24"/>
          <w:szCs w:val="24"/>
        </w:rPr>
        <w:t xml:space="preserve"> 2025 թվականի դեկտեմբերի 31-ը համապատասխանեցվեն Միության պահանջներին՝ սույն ընթացակարգին համապատասխան:</w:t>
      </w:r>
    </w:p>
    <w:p w14:paraId="1891AF05" w14:textId="77777777" w:rsidR="006F76EB" w:rsidRPr="00834D52" w:rsidRDefault="006F76EB" w:rsidP="00286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w:t>
      </w:r>
      <w:r w:rsidR="00E90FAF" w:rsidRPr="00E90FAF">
        <w:rPr>
          <w:rFonts w:ascii="Sylfaen" w:hAnsi="Sylfaen"/>
          <w:sz w:val="24"/>
          <w:szCs w:val="24"/>
        </w:rPr>
        <w:t>1</w:t>
      </w:r>
      <w:r w:rsidRPr="00834D52">
        <w:rPr>
          <w:rFonts w:ascii="Sylfaen" w:hAnsi="Sylfaen"/>
          <w:sz w:val="24"/>
          <w:szCs w:val="24"/>
        </w:rPr>
        <w:t>.</w:t>
      </w:r>
      <w:r w:rsidRPr="00834D52">
        <w:rPr>
          <w:rFonts w:ascii="Sylfaen" w:hAnsi="Sylfaen"/>
          <w:sz w:val="24"/>
          <w:szCs w:val="24"/>
        </w:rPr>
        <w:tab/>
        <w:t>Գրանցման դոսյեի համապատասխանեցումը Միության պահանջներին ներառում է գրանցված դեղապատրաստուկի գրանցման դոսյեի փաստաթղթեր ներկայացնելն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սույն Կանոնների </w:t>
      </w:r>
      <w:r w:rsidR="009C5D43">
        <w:rPr>
          <w:rFonts w:ascii="Sylfaen" w:hAnsi="Sylfaen"/>
          <w:sz w:val="24"/>
          <w:szCs w:val="24"/>
        </w:rPr>
        <w:t xml:space="preserve">թիվ </w:t>
      </w:r>
      <w:r w:rsidRPr="00834D52">
        <w:rPr>
          <w:rFonts w:ascii="Sylfaen" w:hAnsi="Sylfaen"/>
          <w:sz w:val="24"/>
          <w:szCs w:val="24"/>
        </w:rPr>
        <w:t>1 հավելվածին համապատասխան:</w:t>
      </w:r>
    </w:p>
    <w:p w14:paraId="27F41102" w14:textId="07BEFA5A" w:rsidR="006F76EB" w:rsidRDefault="006F76EB" w:rsidP="000414E7">
      <w:pPr>
        <w:tabs>
          <w:tab w:val="left" w:pos="1134"/>
        </w:tabs>
        <w:spacing w:after="160" w:line="360" w:lineRule="auto"/>
        <w:ind w:right="-8" w:firstLine="567"/>
        <w:jc w:val="both"/>
        <w:rPr>
          <w:rFonts w:ascii="Sylfaen" w:hAnsi="Sylfaen"/>
          <w:spacing w:val="-4"/>
          <w:sz w:val="24"/>
          <w:szCs w:val="24"/>
        </w:rPr>
      </w:pPr>
      <w:r w:rsidRPr="00834D52">
        <w:rPr>
          <w:rFonts w:ascii="Sylfaen" w:hAnsi="Sylfaen"/>
          <w:spacing w:val="-4"/>
          <w:sz w:val="24"/>
          <w:szCs w:val="24"/>
        </w:rPr>
        <w:t xml:space="preserve">Միության պահանջներին համապատասխանեցման ընթացակարգը </w:t>
      </w:r>
      <w:r w:rsidRPr="00834D52">
        <w:rPr>
          <w:rFonts w:ascii="Sylfaen" w:hAnsi="Sylfaen"/>
          <w:spacing w:val="-4"/>
          <w:sz w:val="24"/>
          <w:szCs w:val="24"/>
        </w:rPr>
        <w:lastRenderedPageBreak/>
        <w:t xml:space="preserve">նախաձեռնելիս </w:t>
      </w:r>
      <w:r w:rsidR="0056496B">
        <w:rPr>
          <w:rFonts w:ascii="Sylfaen" w:hAnsi="Sylfaen"/>
          <w:spacing w:val="-4"/>
          <w:sz w:val="24"/>
          <w:szCs w:val="24"/>
        </w:rPr>
        <w:t>դիմումատու</w:t>
      </w:r>
      <w:r w:rsidRPr="00834D52">
        <w:rPr>
          <w:rFonts w:ascii="Sylfaen" w:hAnsi="Sylfaen"/>
          <w:spacing w:val="-4"/>
          <w:sz w:val="24"/>
          <w:szCs w:val="24"/>
        </w:rPr>
        <w:t>ն ներկայացնում է գրավոր հաստատում, որ ներկայացված թարմացված գրանցման դոսյեում պարունակվող ընդհանուր տեխնիկական փաստաթղթի ձ</w:t>
      </w:r>
      <w:r w:rsidR="00C54D75">
        <w:rPr>
          <w:rFonts w:ascii="Sylfaen" w:hAnsi="Sylfaen"/>
          <w:spacing w:val="-4"/>
          <w:sz w:val="24"/>
          <w:szCs w:val="24"/>
        </w:rPr>
        <w:t>և</w:t>
      </w:r>
      <w:r w:rsidRPr="00834D52">
        <w:rPr>
          <w:rFonts w:ascii="Sylfaen" w:hAnsi="Sylfaen"/>
          <w:spacing w:val="-4"/>
          <w:sz w:val="24"/>
          <w:szCs w:val="24"/>
        </w:rPr>
        <w:t xml:space="preserve">աչափով փաստաթղթերը </w:t>
      </w:r>
      <w:r w:rsidR="00C54D75">
        <w:rPr>
          <w:rFonts w:ascii="Sylfaen" w:hAnsi="Sylfaen"/>
          <w:spacing w:val="-4"/>
          <w:sz w:val="24"/>
          <w:szCs w:val="24"/>
        </w:rPr>
        <w:t>և</w:t>
      </w:r>
      <w:r w:rsidRPr="00834D52">
        <w:rPr>
          <w:rFonts w:ascii="Sylfaen" w:hAnsi="Sylfaen"/>
          <w:spacing w:val="-4"/>
          <w:sz w:val="24"/>
          <w:szCs w:val="24"/>
        </w:rPr>
        <w:t xml:space="preserve"> տվյալներն </w:t>
      </w:r>
      <w:r w:rsidR="00DE7B58" w:rsidRPr="00DE7B58">
        <w:rPr>
          <w:rFonts w:ascii="Sylfaen" w:hAnsi="Sylfaen"/>
          <w:spacing w:val="-4"/>
          <w:sz w:val="24"/>
          <w:szCs w:val="24"/>
        </w:rPr>
        <w:t>իրենց բովանդակությամբ համապատասխանում են</w:t>
      </w:r>
      <w:r w:rsidR="00DE7B58">
        <w:rPr>
          <w:rFonts w:ascii="Sylfaen" w:hAnsi="Sylfaen"/>
          <w:spacing w:val="-4"/>
          <w:sz w:val="24"/>
          <w:szCs w:val="24"/>
        </w:rPr>
        <w:t xml:space="preserve"> </w:t>
      </w:r>
      <w:r w:rsidRPr="00834D52">
        <w:rPr>
          <w:rFonts w:ascii="Sylfaen" w:hAnsi="Sylfaen"/>
          <w:spacing w:val="-4"/>
          <w:sz w:val="24"/>
          <w:szCs w:val="24"/>
        </w:rPr>
        <w:t xml:space="preserve">գրանցված դեղապատրաստուկի գրանցման դոսյեի տվյալներին </w:t>
      </w:r>
      <w:r w:rsidR="00C54D75">
        <w:rPr>
          <w:rFonts w:ascii="Sylfaen" w:hAnsi="Sylfaen"/>
          <w:spacing w:val="-4"/>
          <w:sz w:val="24"/>
          <w:szCs w:val="24"/>
        </w:rPr>
        <w:t>և</w:t>
      </w:r>
      <w:r w:rsidRPr="00834D52">
        <w:rPr>
          <w:rFonts w:ascii="Sylfaen" w:hAnsi="Sylfaen"/>
          <w:spacing w:val="-4"/>
          <w:sz w:val="24"/>
          <w:szCs w:val="24"/>
        </w:rPr>
        <w:t xml:space="preserve"> չեն պարունակում գրանցման դոսյեի այնպիսի փոփոխություններ, որոնք ազդում են դեղապատրաստուկի որակի, արդյունավետության, անվտանգության կամ օգուտ-ռիսկ հարաբերակցության վրա:</w:t>
      </w:r>
    </w:p>
    <w:p w14:paraId="4497168D" w14:textId="4F70F2DD" w:rsidR="00105A36" w:rsidRDefault="00105A36" w:rsidP="000414E7">
      <w:pPr>
        <w:tabs>
          <w:tab w:val="left" w:pos="1134"/>
        </w:tabs>
        <w:spacing w:after="160" w:line="360" w:lineRule="auto"/>
        <w:ind w:right="-8" w:firstLine="567"/>
        <w:jc w:val="both"/>
        <w:rPr>
          <w:rFonts w:ascii="Sylfaen" w:hAnsi="Sylfaen"/>
          <w:spacing w:val="-4"/>
          <w:sz w:val="24"/>
          <w:szCs w:val="24"/>
        </w:rPr>
      </w:pPr>
      <w:r w:rsidRPr="00105A36">
        <w:rPr>
          <w:rFonts w:ascii="Sylfaen" w:hAnsi="Sylfaen"/>
          <w:spacing w:val="-4"/>
          <w:sz w:val="24"/>
          <w:szCs w:val="24"/>
        </w:rPr>
        <w:t>Գրանցման դոսյեի՝ Միության պահանջներին համապատասխանեցումը՝ փաթեթվածքների մանրակերտերի նախագծերի, դեղապատրաստուկի ընդհանուր բնութագրի, բժշկական կիրառման հրահանգի (ներդիր թերթիկի) և որակի վերաբերյալ նորմատիվ փաստաթղթի համապատասխանեցումը Հանձնաժողովի ակտերին չի դիտարկվում որպես «օգուտ-ռիսկ» հարաբերակցության վերագնահատում պահանջող փոփոխություն և չի համարվում փոփոխություն, որն ազդում է Միության պահանջներին համապատասխանեցվող գրանցման դոսյեի տվյալների բովանդակության՝ գրանցված դեղապատրաստուկի գրանցման դոսյեի տվյալների բովանդակությանը համապատասխանության վրա</w:t>
      </w:r>
      <w:r>
        <w:rPr>
          <w:rFonts w:ascii="Sylfaen" w:hAnsi="Sylfaen"/>
          <w:spacing w:val="-4"/>
          <w:sz w:val="24"/>
          <w:szCs w:val="24"/>
        </w:rPr>
        <w:t>:</w:t>
      </w:r>
    </w:p>
    <w:p w14:paraId="50BD1C36" w14:textId="4A45D8D5" w:rsidR="00BC53C9" w:rsidRPr="006F28F9" w:rsidRDefault="00BC53C9" w:rsidP="00BC53C9">
      <w:pPr>
        <w:rPr>
          <w:b/>
          <w:bCs/>
          <w:i/>
          <w:iCs/>
        </w:rPr>
      </w:pPr>
      <w:r w:rsidRPr="00CD4709">
        <w:rPr>
          <w:b/>
          <w:bCs/>
          <w:i/>
          <w:iCs/>
        </w:rPr>
        <w:t>(</w:t>
      </w:r>
      <w:r>
        <w:rPr>
          <w:b/>
          <w:bCs/>
          <w:i/>
          <w:iCs/>
        </w:rPr>
        <w:t xml:space="preserve">171-րդ կետը </w:t>
      </w:r>
      <w:r w:rsidRPr="00CD4709">
        <w:rPr>
          <w:b/>
          <w:bCs/>
          <w:i/>
          <w:iCs/>
        </w:rPr>
        <w:t>փոփ. 30.01.20 թիվ 9</w:t>
      </w:r>
      <w:r w:rsidR="00DE7B58">
        <w:rPr>
          <w:b/>
          <w:bCs/>
          <w:i/>
          <w:iCs/>
        </w:rPr>
        <w:t>,</w:t>
      </w:r>
      <w:r w:rsidR="00105A36">
        <w:rPr>
          <w:b/>
          <w:bCs/>
          <w:i/>
          <w:iCs/>
        </w:rPr>
        <w:t xml:space="preserve"> փոփ., լրաց.</w:t>
      </w:r>
      <w:r w:rsidR="00DE7B58">
        <w:rPr>
          <w:b/>
          <w:bCs/>
          <w:i/>
          <w:iCs/>
        </w:rPr>
        <w:t xml:space="preserve"> 23.04.21 թիվ 34</w:t>
      </w:r>
      <w:r w:rsidRPr="00CD4709">
        <w:rPr>
          <w:b/>
          <w:bCs/>
          <w:i/>
          <w:iCs/>
        </w:rPr>
        <w:t>)</w:t>
      </w:r>
    </w:p>
    <w:p w14:paraId="593D4A6C" w14:textId="2BC3CF1E" w:rsidR="006F76EB" w:rsidRDefault="00E90FAF" w:rsidP="004544B0">
      <w:pPr>
        <w:tabs>
          <w:tab w:val="left" w:pos="1134"/>
        </w:tabs>
        <w:spacing w:after="160" w:line="372" w:lineRule="auto"/>
        <w:ind w:right="-6" w:firstLine="567"/>
        <w:jc w:val="both"/>
        <w:rPr>
          <w:rFonts w:ascii="Sylfaen" w:hAnsi="Sylfaen"/>
          <w:spacing w:val="-4"/>
          <w:sz w:val="24"/>
          <w:szCs w:val="24"/>
        </w:rPr>
      </w:pPr>
      <w:r w:rsidRPr="00E90FAF">
        <w:rPr>
          <w:rFonts w:ascii="Sylfaen" w:hAnsi="Sylfaen"/>
          <w:spacing w:val="-4"/>
          <w:sz w:val="24"/>
          <w:szCs w:val="24"/>
        </w:rPr>
        <w:t>172.</w:t>
      </w:r>
      <w:r w:rsidR="004544B0" w:rsidRPr="00A958BD">
        <w:rPr>
          <w:rFonts w:ascii="Sylfaen" w:hAnsi="Sylfaen"/>
          <w:spacing w:val="-4"/>
          <w:sz w:val="24"/>
          <w:szCs w:val="24"/>
        </w:rPr>
        <w:tab/>
      </w:r>
      <w:r w:rsidR="006F76EB" w:rsidRPr="00834D52">
        <w:rPr>
          <w:rFonts w:ascii="Sylfaen" w:hAnsi="Sylfaen"/>
          <w:spacing w:val="-4"/>
          <w:sz w:val="24"/>
          <w:szCs w:val="24"/>
        </w:rPr>
        <w:t xml:space="preserve">Միության պահանջներին համապատասխանեցնելիս </w:t>
      </w:r>
      <w:r w:rsidR="0056496B">
        <w:rPr>
          <w:rFonts w:ascii="Sylfaen" w:hAnsi="Sylfaen"/>
          <w:spacing w:val="-4"/>
          <w:sz w:val="24"/>
          <w:szCs w:val="24"/>
        </w:rPr>
        <w:t>դիմումատու</w:t>
      </w:r>
      <w:r w:rsidR="006F76EB" w:rsidRPr="00834D52">
        <w:rPr>
          <w:rFonts w:ascii="Sylfaen" w:hAnsi="Sylfaen"/>
          <w:spacing w:val="-4"/>
          <w:sz w:val="24"/>
          <w:szCs w:val="24"/>
        </w:rPr>
        <w:t xml:space="preserve">ի կողմից միաժամանակ կարող են փոփոխություններ կատարվել գրանցված դեղապատրաստուկի գրանցման դոսյեում: Այդ դեպքում այդպիսի փոփոխություններ կատարելու ընթացակարգը </w:t>
      </w:r>
      <w:r w:rsidR="00C54D75">
        <w:rPr>
          <w:rFonts w:ascii="Sylfaen" w:hAnsi="Sylfaen"/>
          <w:spacing w:val="-4"/>
          <w:sz w:val="24"/>
          <w:szCs w:val="24"/>
        </w:rPr>
        <w:t>և</w:t>
      </w:r>
      <w:r w:rsidR="006F76EB" w:rsidRPr="00834D52">
        <w:rPr>
          <w:rFonts w:ascii="Sylfaen" w:hAnsi="Sylfaen"/>
          <w:spacing w:val="-4"/>
          <w:sz w:val="24"/>
          <w:szCs w:val="24"/>
        </w:rPr>
        <w:t xml:space="preserve"> Միության իրավունքի մաս կազմող ակտերին դոսյեի համապատասխանության գնահատումն իրականացվում են սույն Կանոնների </w:t>
      </w:r>
      <w:r w:rsidR="00053A74">
        <w:rPr>
          <w:rFonts w:ascii="Sylfaen" w:hAnsi="Sylfaen"/>
          <w:spacing w:val="-4"/>
          <w:sz w:val="24"/>
          <w:szCs w:val="24"/>
        </w:rPr>
        <w:t xml:space="preserve">թիվ </w:t>
      </w:r>
      <w:r w:rsidR="006F76EB" w:rsidRPr="00834D52">
        <w:rPr>
          <w:rFonts w:ascii="Sylfaen" w:hAnsi="Sylfaen"/>
          <w:spacing w:val="-4"/>
          <w:sz w:val="24"/>
          <w:szCs w:val="24"/>
        </w:rPr>
        <w:t xml:space="preserve">19 </w:t>
      </w:r>
      <w:r w:rsidR="00C54D75">
        <w:rPr>
          <w:rFonts w:ascii="Sylfaen" w:hAnsi="Sylfaen"/>
          <w:spacing w:val="-4"/>
          <w:sz w:val="24"/>
          <w:szCs w:val="24"/>
        </w:rPr>
        <w:t>և</w:t>
      </w:r>
      <w:r w:rsidR="006F76EB" w:rsidRPr="00834D52">
        <w:rPr>
          <w:rFonts w:ascii="Sylfaen" w:hAnsi="Sylfaen"/>
          <w:spacing w:val="-4"/>
          <w:sz w:val="24"/>
          <w:szCs w:val="24"/>
        </w:rPr>
        <w:t xml:space="preserve"> 20 հավելվածներին համապատասխան:</w:t>
      </w:r>
    </w:p>
    <w:p w14:paraId="11ED83B9" w14:textId="500D320E" w:rsidR="00BC53C9" w:rsidRPr="006F28F9" w:rsidRDefault="00BC53C9" w:rsidP="00BC53C9">
      <w:pPr>
        <w:rPr>
          <w:b/>
          <w:bCs/>
          <w:i/>
          <w:iCs/>
        </w:rPr>
      </w:pPr>
      <w:r w:rsidRPr="00CD4709">
        <w:rPr>
          <w:b/>
          <w:bCs/>
          <w:i/>
          <w:iCs/>
        </w:rPr>
        <w:t>(</w:t>
      </w:r>
      <w:r>
        <w:rPr>
          <w:b/>
          <w:bCs/>
          <w:i/>
          <w:iCs/>
        </w:rPr>
        <w:t xml:space="preserve">172-րդ կետը </w:t>
      </w:r>
      <w:r w:rsidRPr="00CD4709">
        <w:rPr>
          <w:b/>
          <w:bCs/>
          <w:i/>
          <w:iCs/>
        </w:rPr>
        <w:t>փոփ. 30.01.20 թիվ 9)</w:t>
      </w:r>
    </w:p>
    <w:p w14:paraId="1F5D0321" w14:textId="254628C4"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173.</w:t>
      </w:r>
      <w:r w:rsidRPr="00834D52">
        <w:rPr>
          <w:rFonts w:ascii="Sylfaen" w:hAnsi="Sylfaen"/>
          <w:sz w:val="24"/>
          <w:szCs w:val="24"/>
        </w:rPr>
        <w:tab/>
        <w:t>Միության իրավունքի մաս կազմող ակտերին դեղապատրաստուկի գրանցման դոսյեի համապատասխանեցման ընթացակարգի տ</w:t>
      </w:r>
      <w:r w:rsidR="00C54D75">
        <w:rPr>
          <w:rFonts w:ascii="Sylfaen" w:hAnsi="Sylfaen"/>
          <w:sz w:val="24"/>
          <w:szCs w:val="24"/>
        </w:rPr>
        <w:t>և</w:t>
      </w:r>
      <w:r w:rsidRPr="00834D52">
        <w:rPr>
          <w:rFonts w:ascii="Sylfaen" w:hAnsi="Sylfaen"/>
          <w:sz w:val="24"/>
          <w:szCs w:val="24"/>
        </w:rPr>
        <w:t>ողությունը չի</w:t>
      </w:r>
      <w:r w:rsidR="006E7104" w:rsidRPr="006E7104">
        <w:rPr>
          <w:rFonts w:ascii="Sylfaen" w:hAnsi="Sylfaen"/>
          <w:sz w:val="24"/>
          <w:szCs w:val="24"/>
        </w:rPr>
        <w:t> </w:t>
      </w:r>
      <w:r w:rsidRPr="00834D52">
        <w:rPr>
          <w:rFonts w:ascii="Sylfaen" w:hAnsi="Sylfaen"/>
          <w:sz w:val="24"/>
          <w:szCs w:val="24"/>
        </w:rPr>
        <w:t xml:space="preserve">գերազանցում Միության իրավունքի մաս կազմող ակտերին գրանցման դոսյեի համապատասխանեցման համապատասխան դիմումը ներկայացնելու ամսաթվից </w:t>
      </w:r>
      <w:r w:rsidRPr="00834D52">
        <w:rPr>
          <w:rFonts w:ascii="Sylfaen" w:hAnsi="Sylfaen"/>
          <w:sz w:val="24"/>
          <w:szCs w:val="24"/>
        </w:rPr>
        <w:lastRenderedPageBreak/>
        <w:t>սկսած 100 օրացուցային օրը:</w:t>
      </w:r>
    </w:p>
    <w:p w14:paraId="228496AF" w14:textId="7C31D7BB" w:rsidR="00BC53C9" w:rsidRPr="006F28F9" w:rsidRDefault="00BC53C9" w:rsidP="00BC53C9">
      <w:pPr>
        <w:rPr>
          <w:b/>
          <w:bCs/>
          <w:i/>
          <w:iCs/>
        </w:rPr>
      </w:pPr>
      <w:r w:rsidRPr="00CD4709">
        <w:rPr>
          <w:b/>
          <w:bCs/>
          <w:i/>
          <w:iCs/>
        </w:rPr>
        <w:t>(</w:t>
      </w:r>
      <w:r>
        <w:rPr>
          <w:b/>
          <w:bCs/>
          <w:i/>
          <w:iCs/>
        </w:rPr>
        <w:t xml:space="preserve">173-րդ կետը </w:t>
      </w:r>
      <w:r w:rsidRPr="00CD4709">
        <w:rPr>
          <w:b/>
          <w:bCs/>
          <w:i/>
          <w:iCs/>
        </w:rPr>
        <w:t>փոփ. 30.01.20 թիվ 9)</w:t>
      </w:r>
    </w:p>
    <w:p w14:paraId="0F96AD57" w14:textId="77777777" w:rsidR="00BC53C9" w:rsidRPr="00834D52" w:rsidRDefault="00BC53C9" w:rsidP="004544B0">
      <w:pPr>
        <w:tabs>
          <w:tab w:val="left" w:pos="1134"/>
        </w:tabs>
        <w:spacing w:after="160" w:line="372" w:lineRule="auto"/>
        <w:ind w:right="-6" w:firstLine="567"/>
        <w:jc w:val="both"/>
        <w:rPr>
          <w:rFonts w:ascii="Sylfaen" w:eastAsia="Times New Roman" w:hAnsi="Sylfaen" w:cs="Times New Roman"/>
          <w:sz w:val="24"/>
          <w:szCs w:val="24"/>
        </w:rPr>
      </w:pPr>
    </w:p>
    <w:p w14:paraId="4E4DC00F" w14:textId="1F2E0A23" w:rsidR="006F76EB" w:rsidRDefault="006F76EB" w:rsidP="004544B0">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174.</w:t>
      </w:r>
      <w:r w:rsidRPr="00834D52">
        <w:rPr>
          <w:rFonts w:ascii="Sylfaen" w:hAnsi="Sylfaen"/>
          <w:sz w:val="24"/>
          <w:szCs w:val="24"/>
        </w:rPr>
        <w:tab/>
        <w:t>Եթե դեղապատրաստուկը գրանցված է մեկից ավելի անդամ պետություններում՝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w:t>
      </w:r>
      <w:r w:rsidR="0056496B">
        <w:rPr>
          <w:rFonts w:ascii="Sylfaen" w:hAnsi="Sylfaen"/>
          <w:sz w:val="24"/>
          <w:szCs w:val="24"/>
        </w:rPr>
        <w:t>դիմումատու</w:t>
      </w:r>
      <w:r w:rsidRPr="00834D52">
        <w:rPr>
          <w:rFonts w:ascii="Sylfaen" w:hAnsi="Sylfaen"/>
          <w:sz w:val="24"/>
          <w:szCs w:val="24"/>
        </w:rPr>
        <w:t xml:space="preserve">ն դրանցից մեկն ընտրում է որպես ռեֆերենտ պետություն, որի լիազորված մարմին (փորձագիտական կազմակերպություն) է ուղարկում դիմումը, փաստաթղթերը </w:t>
      </w:r>
      <w:r w:rsidR="00C54D75">
        <w:rPr>
          <w:rFonts w:ascii="Sylfaen" w:hAnsi="Sylfaen"/>
          <w:sz w:val="24"/>
          <w:szCs w:val="24"/>
        </w:rPr>
        <w:t>և</w:t>
      </w:r>
      <w:r w:rsidRPr="00834D52">
        <w:rPr>
          <w:rFonts w:ascii="Sylfaen" w:hAnsi="Sylfaen"/>
          <w:sz w:val="24"/>
          <w:szCs w:val="24"/>
        </w:rPr>
        <w:t xml:space="preserve"> գրանցման դոսյեի տվյալները՝ սույն Կանոնների 175-րդ կետին համապատասխան: Միության իրավունքի մաս կազմող ակտերին դեղապատրաստուկի գրանցման դոսյեն համապատասխանեցնելու մասին դրական որոշում կայացնելու դեպքում ռեֆերենտ պետության լիազորված մարմնի (փորձագիտական կազմակերպության) կողմից ճանաչման պետություններում դեղապատրաստուկի գրանցման դոսյեն համապատասխանեցնելու ընթացակարգն իրականացվում է ըստ գրանցման փոխադարձ ճանաչման տեսակի՝ սույն Կանոնների 66-82-րդ կետերում նշված ընթացակարգերին համապատասխան:</w:t>
      </w:r>
    </w:p>
    <w:p w14:paraId="44479517" w14:textId="30994F9A" w:rsidR="00BC53C9" w:rsidRPr="006F28F9" w:rsidRDefault="00BC53C9" w:rsidP="00BC53C9">
      <w:pPr>
        <w:rPr>
          <w:b/>
          <w:bCs/>
          <w:i/>
          <w:iCs/>
        </w:rPr>
      </w:pPr>
      <w:r w:rsidRPr="00CD4709">
        <w:rPr>
          <w:b/>
          <w:bCs/>
          <w:i/>
          <w:iCs/>
        </w:rPr>
        <w:t>(</w:t>
      </w:r>
      <w:r>
        <w:rPr>
          <w:b/>
          <w:bCs/>
          <w:i/>
          <w:iCs/>
        </w:rPr>
        <w:t xml:space="preserve">174-րդ կետը </w:t>
      </w:r>
      <w:r w:rsidRPr="00CD4709">
        <w:rPr>
          <w:b/>
          <w:bCs/>
          <w:i/>
          <w:iCs/>
        </w:rPr>
        <w:t>փոփ. 30.01.20 թիվ 9)</w:t>
      </w:r>
    </w:p>
    <w:p w14:paraId="17CDECB3" w14:textId="49EEECAD" w:rsidR="006F76EB" w:rsidRPr="00834D52" w:rsidRDefault="006F76EB" w:rsidP="004544B0">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 xml:space="preserve">Դեղապատրաստուկի գրանցման դոսյեն Միության իրավունքի մաս կազմող ակտերին համապատասխանեցնելու </w:t>
      </w:r>
      <w:r w:rsidR="00C54D75">
        <w:rPr>
          <w:rFonts w:ascii="Sylfaen" w:hAnsi="Sylfaen"/>
          <w:sz w:val="24"/>
          <w:szCs w:val="24"/>
        </w:rPr>
        <w:t>և</w:t>
      </w:r>
      <w:r w:rsidRPr="00834D52">
        <w:rPr>
          <w:rFonts w:ascii="Sylfaen" w:hAnsi="Sylfaen"/>
          <w:sz w:val="24"/>
          <w:szCs w:val="24"/>
        </w:rPr>
        <w:t xml:space="preserve"> այն </w:t>
      </w:r>
      <w:r w:rsidR="0066012D" w:rsidRPr="0066012D">
        <w:rPr>
          <w:rFonts w:ascii="Sylfaen" w:hAnsi="Sylfaen"/>
          <w:sz w:val="24"/>
          <w:szCs w:val="24"/>
        </w:rPr>
        <w:t>անդամ պետությունների տարածքներում</w:t>
      </w:r>
      <w:r w:rsidRPr="00834D52">
        <w:rPr>
          <w:rFonts w:ascii="Sylfaen" w:hAnsi="Sylfaen"/>
          <w:sz w:val="24"/>
          <w:szCs w:val="24"/>
        </w:rPr>
        <w:t xml:space="preserve"> դեղապատրաստուկի շրջանառությունը շարունակելու համար, որտեղ այն գրանցված է, </w:t>
      </w:r>
      <w:r w:rsidR="0056496B">
        <w:rPr>
          <w:rFonts w:ascii="Sylfaen" w:hAnsi="Sylfaen"/>
          <w:sz w:val="24"/>
          <w:szCs w:val="24"/>
        </w:rPr>
        <w:t>դիմումատու</w:t>
      </w:r>
      <w:r w:rsidRPr="00834D52">
        <w:rPr>
          <w:rFonts w:ascii="Sylfaen" w:hAnsi="Sylfaen"/>
          <w:sz w:val="24"/>
          <w:szCs w:val="24"/>
        </w:rPr>
        <w:t>ն հետ</w:t>
      </w:r>
      <w:r w:rsidR="00C54D75">
        <w:rPr>
          <w:rFonts w:ascii="Sylfaen" w:hAnsi="Sylfaen"/>
          <w:sz w:val="24"/>
          <w:szCs w:val="24"/>
        </w:rPr>
        <w:t>և</w:t>
      </w:r>
      <w:r w:rsidRPr="00834D52">
        <w:rPr>
          <w:rFonts w:ascii="Sylfaen" w:hAnsi="Sylfaen"/>
          <w:sz w:val="24"/>
          <w:szCs w:val="24"/>
        </w:rPr>
        <w:t>յալ փաստաթղթերը ներկայացնում է այն ռեֆերենտ պետության լիազորված մարմին (փորձագիտական կազմակերպություն) , որտեղ գրանցված է դեղապատրաստուկը՝</w:t>
      </w:r>
    </w:p>
    <w:p w14:paraId="51FE3C0F" w14:textId="77777777" w:rsidR="006F76EB" w:rsidRPr="00834D52" w:rsidRDefault="006F76EB" w:rsidP="000414E7">
      <w:pPr>
        <w:tabs>
          <w:tab w:val="left" w:pos="1134"/>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ով դիմում՝ թղթային</w:t>
      </w:r>
      <w:r w:rsidR="00E90FAF" w:rsidRPr="00E90FAF">
        <w:rPr>
          <w:rFonts w:ascii="Sylfaen" w:hAnsi="Sylfaen"/>
          <w:sz w:val="24"/>
          <w:szCs w:val="24"/>
        </w:rPr>
        <w:t xml:space="preserve"> </w:t>
      </w:r>
      <w:r w:rsidR="002829AF">
        <w:rPr>
          <w:rFonts w:ascii="Sylfaen" w:hAnsi="Sylfaen"/>
          <w:sz w:val="24"/>
          <w:szCs w:val="24"/>
        </w:rPr>
        <w:t>կրիչով</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(կամ) էլեկտրոնային</w:t>
      </w:r>
      <w:r w:rsidR="002829AF">
        <w:rPr>
          <w:rFonts w:ascii="Sylfaen" w:hAnsi="Sylfaen"/>
          <w:sz w:val="24"/>
          <w:szCs w:val="24"/>
        </w:rPr>
        <w:t xml:space="preserve"> փաստաթղթի տեսքով</w:t>
      </w:r>
      <w:r w:rsidRPr="00834D52">
        <w:rPr>
          <w:rFonts w:ascii="Sylfaen" w:hAnsi="Sylfaen"/>
          <w:sz w:val="24"/>
          <w:szCs w:val="24"/>
        </w:rPr>
        <w:t xml:space="preserve">՝ սույն Կանոնների </w:t>
      </w:r>
      <w:r w:rsidR="00A26AE7">
        <w:rPr>
          <w:rFonts w:ascii="Sylfaen" w:hAnsi="Sylfaen"/>
          <w:sz w:val="24"/>
          <w:szCs w:val="24"/>
        </w:rPr>
        <w:t xml:space="preserve">թիվ </w:t>
      </w:r>
      <w:r w:rsidRPr="00834D52">
        <w:rPr>
          <w:rFonts w:ascii="Sylfaen" w:hAnsi="Sylfaen"/>
          <w:sz w:val="24"/>
          <w:szCs w:val="24"/>
        </w:rPr>
        <w:t>2 հավելվածին համապատասախան.</w:t>
      </w:r>
    </w:p>
    <w:p w14:paraId="2152EBA9"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w:t>
      </w:r>
      <w:r w:rsidRPr="00834D52">
        <w:rPr>
          <w:rFonts w:ascii="Sylfaen" w:hAnsi="Sylfaen"/>
          <w:sz w:val="24"/>
          <w:szCs w:val="24"/>
        </w:rPr>
        <w:lastRenderedPageBreak/>
        <w:t xml:space="preserve">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05276E91" w14:textId="77777777" w:rsidR="006F76EB" w:rsidRPr="00834D52" w:rsidRDefault="006F76EB" w:rsidP="000414E7">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 1-3-րդ մոդուլները՝ էլեկտրոնային եղանակով՝ սույն Կանոնների </w:t>
      </w:r>
      <w:r w:rsidR="00053A74">
        <w:rPr>
          <w:rFonts w:ascii="Sylfaen" w:hAnsi="Sylfaen"/>
          <w:sz w:val="24"/>
          <w:szCs w:val="24"/>
        </w:rPr>
        <w:t xml:space="preserve">թիվ </w:t>
      </w:r>
      <w:r w:rsidRPr="00834D52">
        <w:rPr>
          <w:rFonts w:ascii="Sylfaen" w:hAnsi="Sylfaen"/>
          <w:sz w:val="24"/>
          <w:szCs w:val="24"/>
        </w:rPr>
        <w:t xml:space="preserve">1-5 հավելվածներին համապատասխան, </w:t>
      </w:r>
      <w:r w:rsidR="00C54D75">
        <w:rPr>
          <w:rFonts w:ascii="Sylfaen" w:hAnsi="Sylfaen"/>
          <w:sz w:val="24"/>
          <w:szCs w:val="24"/>
        </w:rPr>
        <w:t>և</w:t>
      </w:r>
      <w:r w:rsidRPr="00834D52">
        <w:rPr>
          <w:rFonts w:ascii="Sylfaen" w:hAnsi="Sylfaen"/>
          <w:sz w:val="24"/>
          <w:szCs w:val="24"/>
        </w:rPr>
        <w:t xml:space="preserve"> դեղապատրաստուկի գրանցման դոսյեի 1-ին մոդուլը՝ թղթային կրիչով, եթե դեղապատրաստուկը նախատեսված է այն անդամ պետության տարածքում շրջանառության համար, որտեղ այն գրանցված է:</w:t>
      </w:r>
    </w:p>
    <w:p w14:paraId="54C95EAE" w14:textId="048FA56F" w:rsidR="006F76EB" w:rsidRDefault="006F76EB" w:rsidP="000414E7">
      <w:pPr>
        <w:tabs>
          <w:tab w:val="left" w:pos="1134"/>
        </w:tabs>
        <w:spacing w:after="160" w:line="341" w:lineRule="auto"/>
        <w:ind w:right="-8" w:firstLine="567"/>
        <w:jc w:val="both"/>
        <w:rPr>
          <w:rFonts w:ascii="Sylfaen" w:hAnsi="Sylfaen"/>
          <w:sz w:val="24"/>
          <w:szCs w:val="24"/>
        </w:rPr>
      </w:pPr>
      <w:r w:rsidRPr="00834D52">
        <w:rPr>
          <w:rFonts w:ascii="Sylfaen" w:hAnsi="Sylfaen"/>
          <w:sz w:val="24"/>
          <w:szCs w:val="24"/>
        </w:rPr>
        <w:t xml:space="preserve">Սույն Կանոնների 36-րդ կետին համապատասխան՝ 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ներկայացվում են դեղապատրաստուկի գրանցման դոսյեի 4-5-րդ մոդուլներով՝ համապատասխան հաշվետվությունների տեսքով՝ առանց Միության՝ դեղապատրաստուկի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ձ</w:t>
      </w:r>
      <w:r w:rsidR="00C54D75">
        <w:rPr>
          <w:rFonts w:ascii="Sylfaen" w:hAnsi="Sylfaen"/>
          <w:sz w:val="24"/>
          <w:szCs w:val="24"/>
        </w:rPr>
        <w:t>և</w:t>
      </w:r>
      <w:r w:rsidRPr="00834D52">
        <w:rPr>
          <w:rFonts w:ascii="Sylfaen" w:hAnsi="Sylfaen"/>
          <w:sz w:val="24"/>
          <w:szCs w:val="24"/>
        </w:rPr>
        <w:t>ակերպմանը ներկայացվող պահանջներին դրանց պարտադիր համապատասխանեցման:</w:t>
      </w:r>
    </w:p>
    <w:p w14:paraId="15CA48AD" w14:textId="6FB19D76" w:rsidR="00BC53C9" w:rsidRPr="0066012D" w:rsidRDefault="00BC53C9" w:rsidP="00BC53C9">
      <w:pPr>
        <w:rPr>
          <w:b/>
          <w:bCs/>
          <w:i/>
          <w:iCs/>
        </w:rPr>
      </w:pPr>
      <w:r w:rsidRPr="0066012D">
        <w:rPr>
          <w:b/>
          <w:bCs/>
          <w:i/>
          <w:iCs/>
        </w:rPr>
        <w:t>(175-րդ կետը փոփ. 30.01.20 թիվ 9</w:t>
      </w:r>
      <w:r w:rsidR="0066012D" w:rsidRPr="0066012D">
        <w:rPr>
          <w:b/>
          <w:bCs/>
          <w:i/>
          <w:iCs/>
        </w:rPr>
        <w:t>, փոփ., լրաց. 23.04.21 թիվ 34</w:t>
      </w:r>
      <w:r w:rsidRPr="0066012D">
        <w:rPr>
          <w:b/>
          <w:bCs/>
          <w:i/>
          <w:iCs/>
        </w:rPr>
        <w:t>)</w:t>
      </w:r>
    </w:p>
    <w:p w14:paraId="0BF299CD" w14:textId="2C35DB8E" w:rsidR="0066012D" w:rsidRDefault="0066012D" w:rsidP="00BC53C9">
      <w:pPr>
        <w:rPr>
          <w:rFonts w:ascii="Sylfaen" w:hAnsi="Sylfaen"/>
          <w:sz w:val="24"/>
          <w:szCs w:val="24"/>
        </w:rPr>
      </w:pPr>
      <w:r w:rsidRPr="0066012D">
        <w:rPr>
          <w:rFonts w:ascii="Sylfaen" w:hAnsi="Sylfaen"/>
          <w:sz w:val="24"/>
          <w:szCs w:val="24"/>
        </w:rPr>
        <w:t>1751. Այն դեպքում, երբ դեղապատրաստուկը գրանցված է մեկ անդամ պետությունում և նախատեսված է միայն այդ պետության տարածքում շրջանառության համար, դիմումատուն իրավունք ունի ներկայացնելու այդ անդամ պետության պետական լեզվով (պետական լեզուներով) կամ այլ լեզվով (եթե դա նախատեսված է անդամ-պետության օրենսդրությամբ) առանց ռուսերեն թարգմանության (այն դեպքում, երբ ռուսերենն այդ անդամ պետությունում պետական լեզու չի համարվում) միայն դեղապատրաստուկի գրանցման դոսյեի 1-3-րդ մոդուլները՝ էլեկտրոնային եղանակով՝ սույն կանոնների 1-5 հավելվածներին համապատասխան, և դեղապատրաստուկի գրանցման դոսյեի 1-ին մոդուլը՝ թղթային կրիչով: Դեղապատրաստուկի գրանցման դոսյեի 4-րդ և 5-րդ մոդուլների փաստաթղթերի առկայության դեպքում դրանք դիմումատուի կողմից ներկայացվում են գրանցման դոսյեի կազմում:</w:t>
      </w:r>
    </w:p>
    <w:p w14:paraId="60EBEA9C" w14:textId="104AD757" w:rsidR="0066012D" w:rsidRPr="0066012D" w:rsidRDefault="0066012D" w:rsidP="0066012D">
      <w:pPr>
        <w:rPr>
          <w:b/>
          <w:bCs/>
          <w:i/>
          <w:iCs/>
        </w:rPr>
      </w:pPr>
      <w:r w:rsidRPr="0066012D">
        <w:rPr>
          <w:b/>
          <w:bCs/>
          <w:i/>
          <w:iCs/>
        </w:rPr>
        <w:t>(175</w:t>
      </w:r>
      <w:r>
        <w:rPr>
          <w:b/>
          <w:bCs/>
          <w:i/>
          <w:iCs/>
        </w:rPr>
        <w:t>1</w:t>
      </w:r>
      <w:r w:rsidRPr="0066012D">
        <w:rPr>
          <w:b/>
          <w:bCs/>
          <w:i/>
          <w:iCs/>
        </w:rPr>
        <w:t>-րդ կետը. լրաց. 23.04.21 թիվ 34)</w:t>
      </w:r>
    </w:p>
    <w:p w14:paraId="293492AE" w14:textId="77777777" w:rsidR="0066012D" w:rsidRPr="0066012D" w:rsidRDefault="0066012D" w:rsidP="00BC53C9">
      <w:pPr>
        <w:rPr>
          <w:rFonts w:ascii="Sylfaen" w:hAnsi="Sylfaen"/>
          <w:sz w:val="24"/>
          <w:szCs w:val="24"/>
        </w:rPr>
      </w:pPr>
    </w:p>
    <w:p w14:paraId="4C422748" w14:textId="32CC7C18" w:rsidR="006F76EB" w:rsidRPr="00834D52" w:rsidRDefault="006F76EB" w:rsidP="00383CCF">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176.</w:t>
      </w:r>
      <w:r w:rsidRPr="00834D52">
        <w:rPr>
          <w:rFonts w:ascii="Sylfaen" w:hAnsi="Sylfaen"/>
          <w:sz w:val="24"/>
          <w:szCs w:val="24"/>
        </w:rPr>
        <w:tab/>
        <w:t xml:space="preserve">Ռեֆերենտ անդամ պետության լիազորված մարմինը (փորձագիտական </w:t>
      </w:r>
      <w:r w:rsidRPr="00834D52">
        <w:rPr>
          <w:rFonts w:ascii="Sylfaen" w:hAnsi="Sylfaen"/>
          <w:sz w:val="24"/>
          <w:szCs w:val="24"/>
        </w:rPr>
        <w:lastRenderedPageBreak/>
        <w:t xml:space="preserve">կազմակերպությունը) իրականացնում է դեղապատրաստուկի գրանցման դոսյեի ներկայացված փաստաթղթերի ամբողջականության, կոմպլեկտայնության </w:t>
      </w:r>
      <w:r w:rsidR="00C54D75">
        <w:rPr>
          <w:rFonts w:ascii="Sylfaen" w:hAnsi="Sylfaen"/>
          <w:sz w:val="24"/>
          <w:szCs w:val="24"/>
        </w:rPr>
        <w:t>և</w:t>
      </w:r>
      <w:r w:rsidRPr="00834D52">
        <w:rPr>
          <w:rFonts w:ascii="Sylfaen" w:hAnsi="Sylfaen"/>
          <w:sz w:val="24"/>
          <w:szCs w:val="24"/>
        </w:rPr>
        <w:t xml:space="preserve"> ճշտության գնահատում՝ նախքան դեղապատրաստուկի գրանցման դոսյեի նյութերը փորձաքննության ուղարկելը՝ 14 աշխատանքային օրերի ընթացքում: Ռեֆերենտ պետության լիազորված մարմնի (փորձագիտական կազմակերպության) նկատողությունների վերաբերյալ դեղապատրաստուկի գրանցման դոսյեի պակասող նյութերը ներկայացնելու համար </w:t>
      </w:r>
      <w:r w:rsidR="0056496B">
        <w:rPr>
          <w:rFonts w:ascii="Sylfaen" w:hAnsi="Sylfaen"/>
          <w:sz w:val="24"/>
          <w:szCs w:val="24"/>
        </w:rPr>
        <w:t>դիմումատու</w:t>
      </w:r>
      <w:r w:rsidRPr="00834D52">
        <w:rPr>
          <w:rFonts w:ascii="Sylfaen" w:hAnsi="Sylfaen"/>
          <w:sz w:val="24"/>
          <w:szCs w:val="24"/>
        </w:rPr>
        <w:t>ին տրվում է փորձաքննության ժամկետի մեջ չմտնող 90 օրացուցային օրվանից ոչ</w:t>
      </w:r>
      <w:r w:rsidR="008C52C3" w:rsidRPr="008C52C3">
        <w:rPr>
          <w:rFonts w:ascii="Sylfaen" w:hAnsi="Sylfaen"/>
          <w:sz w:val="24"/>
          <w:szCs w:val="24"/>
        </w:rPr>
        <w:t> </w:t>
      </w:r>
      <w:r w:rsidRPr="00834D52">
        <w:rPr>
          <w:rFonts w:ascii="Sylfaen" w:hAnsi="Sylfaen"/>
          <w:sz w:val="24"/>
          <w:szCs w:val="24"/>
        </w:rPr>
        <w:t>ավելի ժամկետ:</w:t>
      </w:r>
    </w:p>
    <w:p w14:paraId="20E9C87B" w14:textId="2289B287" w:rsidR="006F76EB" w:rsidRDefault="006F76EB" w:rsidP="00383CCF">
      <w:pPr>
        <w:tabs>
          <w:tab w:val="left" w:pos="1134"/>
        </w:tabs>
        <w:spacing w:after="160" w:line="372" w:lineRule="auto"/>
        <w:ind w:right="-8" w:firstLine="567"/>
        <w:jc w:val="both"/>
        <w:rPr>
          <w:rFonts w:ascii="Sylfaen" w:hAnsi="Sylfaen"/>
          <w:sz w:val="24"/>
          <w:szCs w:val="24"/>
        </w:rPr>
      </w:pPr>
      <w:r w:rsidRPr="00834D52">
        <w:rPr>
          <w:rFonts w:ascii="Sylfaen" w:hAnsi="Sylfaen"/>
          <w:sz w:val="24"/>
          <w:szCs w:val="24"/>
        </w:rPr>
        <w:t xml:space="preserve">Անդամ պետության լիազորված մարմինը (փորձագիտական կազմակերպությունը) մերժում է գրանցման դոսյեն Միության պահանջներին համապատասխանեցնելու դիմումը՝ ռեֆերենտ պետության լիազորված մարմնի (փորձագիտական կազմակերպության) նկատողությունների վերաբերյալ դեղապատրաստուկի գրանցման դոսյեի պակասող նյութերը չներկայացնելու </w:t>
      </w:r>
      <w:r w:rsidR="00C54D75">
        <w:rPr>
          <w:rFonts w:ascii="Sylfaen" w:hAnsi="Sylfaen"/>
          <w:sz w:val="24"/>
          <w:szCs w:val="24"/>
        </w:rPr>
        <w:t>և</w:t>
      </w:r>
      <w:r w:rsidRPr="00834D52">
        <w:rPr>
          <w:rFonts w:ascii="Sylfaen" w:hAnsi="Sylfaen"/>
          <w:sz w:val="24"/>
          <w:szCs w:val="24"/>
        </w:rPr>
        <w:t xml:space="preserve"> (կամ) ռեֆերենտ պետության օրենսդրությամբ հաստատված դեպքերում </w:t>
      </w:r>
      <w:r w:rsidR="00C54D75">
        <w:rPr>
          <w:rFonts w:ascii="Sylfaen" w:hAnsi="Sylfaen"/>
          <w:sz w:val="24"/>
          <w:szCs w:val="24"/>
        </w:rPr>
        <w:t>և</w:t>
      </w:r>
      <w:r w:rsidRPr="00834D52">
        <w:rPr>
          <w:rFonts w:ascii="Sylfaen" w:hAnsi="Sylfaen"/>
          <w:sz w:val="24"/>
          <w:szCs w:val="24"/>
        </w:rPr>
        <w:t xml:space="preserve"> կարգով դեղապատրաստուկի գրանցման դոսյեն Միության պահանջներին համապատասխանեցնելու համար հավաքագրման (տուրքի) վճարումը չհաստատելու դեպքում:</w:t>
      </w:r>
    </w:p>
    <w:p w14:paraId="1792A3C3" w14:textId="419080C0" w:rsidR="00BC53C9" w:rsidRPr="006F28F9" w:rsidRDefault="00BC53C9" w:rsidP="00BC53C9">
      <w:pPr>
        <w:rPr>
          <w:b/>
          <w:bCs/>
          <w:i/>
          <w:iCs/>
        </w:rPr>
      </w:pPr>
      <w:r w:rsidRPr="00CD4709">
        <w:rPr>
          <w:b/>
          <w:bCs/>
          <w:i/>
          <w:iCs/>
        </w:rPr>
        <w:t>(</w:t>
      </w:r>
      <w:r>
        <w:rPr>
          <w:b/>
          <w:bCs/>
          <w:i/>
          <w:iCs/>
        </w:rPr>
        <w:t xml:space="preserve">176-րդ կետը </w:t>
      </w:r>
      <w:r w:rsidRPr="00CD4709">
        <w:rPr>
          <w:b/>
          <w:bCs/>
          <w:i/>
          <w:iCs/>
        </w:rPr>
        <w:t>փոփ. 30.01.20 թիվ 9)</w:t>
      </w:r>
    </w:p>
    <w:p w14:paraId="43BCC98F" w14:textId="3C91A31C" w:rsidR="006F76EB" w:rsidRPr="00834D52" w:rsidRDefault="006F76EB" w:rsidP="00383CCF">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177.</w:t>
      </w:r>
      <w:r w:rsidRPr="00834D52">
        <w:rPr>
          <w:rFonts w:ascii="Sylfaen" w:hAnsi="Sylfaen"/>
          <w:sz w:val="24"/>
          <w:szCs w:val="24"/>
        </w:rPr>
        <w:tab/>
        <w:t xml:space="preserve">Ռեֆերենտ պետության լիազորված մարմինը (փորձագիտական կազմակերպությունը) դեղապատրաստուկի գրանցման դոսյեի համապատասխանեցման ընթացակարգի ժամանակ դեղապատրաստուկի փորձաքննություն անցկացնելիս իրավունք ունի </w:t>
      </w:r>
      <w:r w:rsidR="0056496B">
        <w:rPr>
          <w:rFonts w:ascii="Sylfaen" w:hAnsi="Sylfaen"/>
          <w:sz w:val="24"/>
          <w:szCs w:val="24"/>
        </w:rPr>
        <w:t>դիմումատու</w:t>
      </w:r>
      <w:r w:rsidRPr="00834D52">
        <w:rPr>
          <w:rFonts w:ascii="Sylfaen" w:hAnsi="Sylfaen"/>
          <w:sz w:val="24"/>
          <w:szCs w:val="24"/>
        </w:rPr>
        <w:t xml:space="preserve">ին գրավոր </w:t>
      </w:r>
      <w:r w:rsidR="00C54D75">
        <w:rPr>
          <w:rFonts w:ascii="Sylfaen" w:hAnsi="Sylfaen"/>
          <w:sz w:val="24"/>
          <w:szCs w:val="24"/>
        </w:rPr>
        <w:t>և</w:t>
      </w:r>
      <w:r w:rsidRPr="00834D52">
        <w:rPr>
          <w:rFonts w:ascii="Sylfaen" w:hAnsi="Sylfaen"/>
          <w:sz w:val="24"/>
          <w:szCs w:val="24"/>
        </w:rPr>
        <w:t xml:space="preserve"> (կամ) էլեկտրոնային եղանակով հարցում ուղարկելու դեղապատրաստուկի գրանցման դոսյեի ներկայացված փաստաթղթերին </w:t>
      </w:r>
      <w:r w:rsidR="00C54D75">
        <w:rPr>
          <w:rFonts w:ascii="Sylfaen" w:hAnsi="Sylfaen"/>
          <w:sz w:val="24"/>
          <w:szCs w:val="24"/>
        </w:rPr>
        <w:t>և</w:t>
      </w:r>
      <w:r w:rsidRPr="00834D52">
        <w:rPr>
          <w:rFonts w:ascii="Sylfaen" w:hAnsi="Sylfaen"/>
          <w:sz w:val="24"/>
          <w:szCs w:val="24"/>
        </w:rPr>
        <w:t xml:space="preserve"> տվյալներին վերաբերող լրացուցիչ տեղեկատվության, անհրաժեշտ պարզաբանումների կամ ճշտումների ներկայացման մասին (այդ թվում՝ ԴԸԲ-ում, բժշկական կիրառման հրահանգում, դեղապատրաստուկի փաթեթվածքների մակետում, որակին առնչվող նորմատիվ </w:t>
      </w:r>
      <w:r w:rsidRPr="00834D52">
        <w:rPr>
          <w:rFonts w:ascii="Sylfaen" w:hAnsi="Sylfaen"/>
          <w:sz w:val="24"/>
          <w:szCs w:val="24"/>
        </w:rPr>
        <w:lastRenderedPageBreak/>
        <w:t>փաստաթղթում կամ գրանցման դոսյեի այլ փաստաթղթերում փոփոխություններ կատարելու առաջարկություններ):</w:t>
      </w:r>
    </w:p>
    <w:p w14:paraId="3C8D599A" w14:textId="378D8CB9" w:rsidR="006F76EB" w:rsidRPr="00834D52" w:rsidRDefault="0056496B" w:rsidP="00383CCF">
      <w:pPr>
        <w:tabs>
          <w:tab w:val="left" w:pos="1134"/>
        </w:tabs>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կողմից նշված հարցման պատասխանը ներկայացնելու ընդհանուր ժամկետը չպետք է գերազանցի 90 օրացուցային օրը: Դեղապատրաստուկի փորձաքննության ընթացքում լիազորված մարմնի կամ փորձագիտական կազմակերպության հարցմամբ </w:t>
      </w:r>
      <w:r>
        <w:rPr>
          <w:rFonts w:ascii="Sylfaen" w:hAnsi="Sylfaen"/>
          <w:sz w:val="24"/>
          <w:szCs w:val="24"/>
        </w:rPr>
        <w:t>դիմումատու</w:t>
      </w:r>
      <w:r w:rsidR="006F76EB" w:rsidRPr="00834D52">
        <w:rPr>
          <w:rFonts w:ascii="Sylfaen" w:hAnsi="Sylfaen"/>
          <w:sz w:val="24"/>
          <w:szCs w:val="24"/>
        </w:rPr>
        <w:t>ի կողմից փաստաթղթերը ներկայացնելու ժամանակը չի մտնում դեղապատրաստուկի գրանցման դոսյեն Միության պահանջներին համապատասխանեցնելիս դեղապատրաստուկի փորձաքննության անցկացման ժամկետի մեջ։</w:t>
      </w:r>
    </w:p>
    <w:p w14:paraId="15B33CF1" w14:textId="5FA80CB5" w:rsidR="006F76EB" w:rsidRDefault="006F76EB" w:rsidP="008C52C3">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 xml:space="preserve">Պահանջված փաստաթղթերը </w:t>
      </w:r>
      <w:r w:rsidR="00C54D75">
        <w:rPr>
          <w:rFonts w:ascii="Sylfaen" w:hAnsi="Sylfaen"/>
          <w:sz w:val="24"/>
          <w:szCs w:val="24"/>
        </w:rPr>
        <w:t>և</w:t>
      </w:r>
      <w:r w:rsidRPr="00834D52">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834D52">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834D52">
        <w:rPr>
          <w:rFonts w:ascii="Sylfaen" w:hAnsi="Sylfaen"/>
          <w:sz w:val="24"/>
          <w:szCs w:val="24"/>
        </w:rPr>
        <w:t xml:space="preserve"> դեղապատրաստուկի գրանցման դոսյեն Միության պահանջներին համապատասխանեցնելու ընթացակարգը դադարեցվում են: Կայացված որոշման մասին ռեֆերենտ պետության լիազորված մարմինը (փորձագիտական կազմակերպությունը) որոշումը կայացնելու օրվանից 14 աշխատանքային օրվա ընթացքում, գրավոր </w:t>
      </w:r>
      <w:r w:rsidR="00C54D75">
        <w:rPr>
          <w:rFonts w:ascii="Sylfaen" w:hAnsi="Sylfaen"/>
          <w:sz w:val="24"/>
          <w:szCs w:val="24"/>
        </w:rPr>
        <w:t>և</w:t>
      </w:r>
      <w:r w:rsidRPr="00834D52">
        <w:rPr>
          <w:rFonts w:ascii="Sylfaen" w:hAnsi="Sylfaen"/>
          <w:sz w:val="24"/>
          <w:szCs w:val="24"/>
        </w:rPr>
        <w:t xml:space="preserve"> (կամ) էլեկտրոնային տարբերակով ծանուցում է </w:t>
      </w:r>
      <w:r w:rsidR="0056496B">
        <w:rPr>
          <w:rFonts w:ascii="Sylfaen" w:hAnsi="Sylfaen"/>
          <w:sz w:val="24"/>
          <w:szCs w:val="24"/>
        </w:rPr>
        <w:t>դիմումատու</w:t>
      </w:r>
      <w:r w:rsidRPr="00834D52">
        <w:rPr>
          <w:rFonts w:ascii="Sylfaen" w:hAnsi="Sylfaen"/>
          <w:sz w:val="24"/>
          <w:szCs w:val="24"/>
        </w:rPr>
        <w:t xml:space="preserve">ին </w:t>
      </w:r>
      <w:r w:rsidR="00C54D75">
        <w:rPr>
          <w:rFonts w:ascii="Sylfaen" w:hAnsi="Sylfaen"/>
          <w:sz w:val="24"/>
          <w:szCs w:val="24"/>
        </w:rPr>
        <w:t>և</w:t>
      </w:r>
      <w:r w:rsidRPr="00834D52">
        <w:rPr>
          <w:rFonts w:ascii="Sylfaen" w:hAnsi="Sylfaen"/>
          <w:sz w:val="24"/>
          <w:szCs w:val="24"/>
        </w:rPr>
        <w:t xml:space="preserve"> ճանաչման երկրի (առկայության դեպքում) լիազորված մարմնին (փորձագիտական կազմակերպությանը):</w:t>
      </w:r>
    </w:p>
    <w:p w14:paraId="078098FD" w14:textId="062A53B4" w:rsidR="00BC53C9" w:rsidRPr="006F28F9" w:rsidRDefault="00BC53C9" w:rsidP="00BC53C9">
      <w:pPr>
        <w:rPr>
          <w:b/>
          <w:bCs/>
          <w:i/>
          <w:iCs/>
        </w:rPr>
      </w:pPr>
      <w:r w:rsidRPr="00CD4709">
        <w:rPr>
          <w:b/>
          <w:bCs/>
          <w:i/>
          <w:iCs/>
        </w:rPr>
        <w:t>(</w:t>
      </w:r>
      <w:r>
        <w:rPr>
          <w:b/>
          <w:bCs/>
          <w:i/>
          <w:iCs/>
        </w:rPr>
        <w:t xml:space="preserve">177-րդ կետը </w:t>
      </w:r>
      <w:r w:rsidRPr="00CD4709">
        <w:rPr>
          <w:b/>
          <w:bCs/>
          <w:i/>
          <w:iCs/>
        </w:rPr>
        <w:t>փոփ. 30.01.20 թիվ 9)</w:t>
      </w:r>
    </w:p>
    <w:p w14:paraId="4CFC561E" w14:textId="77777777" w:rsidR="00BC53C9" w:rsidRPr="00834D52" w:rsidRDefault="00BC53C9" w:rsidP="008C52C3">
      <w:pPr>
        <w:tabs>
          <w:tab w:val="left" w:pos="1134"/>
        </w:tabs>
        <w:spacing w:after="160" w:line="384" w:lineRule="auto"/>
        <w:ind w:right="-6" w:firstLine="567"/>
        <w:jc w:val="both"/>
        <w:rPr>
          <w:rFonts w:ascii="Sylfaen" w:eastAsia="Times New Roman" w:hAnsi="Sylfaen" w:cs="Times New Roman"/>
          <w:sz w:val="24"/>
          <w:szCs w:val="24"/>
        </w:rPr>
      </w:pPr>
    </w:p>
    <w:p w14:paraId="1835B4C8" w14:textId="61D2E49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178.</w:t>
      </w:r>
      <w:r w:rsidRPr="00834D52">
        <w:rPr>
          <w:rFonts w:ascii="Sylfaen" w:hAnsi="Sylfaen"/>
          <w:sz w:val="24"/>
          <w:szCs w:val="24"/>
        </w:rPr>
        <w:tab/>
        <w:t xml:space="preserve">Ըստ դեղապատրաստուկի գրանցման դոսյեի փորձաքննության արդյունքների՝ ռեֆերենտ պետության լիազորված մարմնի (փորձագիտական կազմակերպության) կողմից կազմվում </w:t>
      </w:r>
      <w:r w:rsidR="00C54D75">
        <w:rPr>
          <w:rFonts w:ascii="Sylfaen" w:hAnsi="Sylfaen"/>
          <w:sz w:val="24"/>
          <w:szCs w:val="24"/>
        </w:rPr>
        <w:t>և</w:t>
      </w:r>
      <w:r w:rsidRPr="00834D52">
        <w:rPr>
          <w:rFonts w:ascii="Sylfaen" w:hAnsi="Sylfaen"/>
          <w:sz w:val="24"/>
          <w:szCs w:val="24"/>
        </w:rPr>
        <w:t xml:space="preserve"> հաստատվում է գնահատման վերաբերյալ փորձագիտական հաշվետվություն՝ սույն Կանոնների </w:t>
      </w:r>
      <w:r w:rsidR="006E7104" w:rsidRPr="00F06D43">
        <w:rPr>
          <w:rFonts w:ascii="Sylfaen" w:hAnsi="Sylfaen"/>
          <w:sz w:val="24"/>
          <w:szCs w:val="24"/>
        </w:rPr>
        <w:br/>
      </w:r>
      <w:r w:rsidR="003F283E">
        <w:rPr>
          <w:rFonts w:ascii="Sylfaen" w:hAnsi="Sylfaen"/>
          <w:sz w:val="24"/>
          <w:szCs w:val="24"/>
        </w:rPr>
        <w:t xml:space="preserve">թիվ </w:t>
      </w:r>
      <w:r w:rsidRPr="00834D52">
        <w:rPr>
          <w:rFonts w:ascii="Sylfaen" w:hAnsi="Sylfaen"/>
          <w:sz w:val="24"/>
          <w:szCs w:val="24"/>
        </w:rPr>
        <w:t>16 հավելվածին համապատասխան ձ</w:t>
      </w:r>
      <w:r w:rsidR="00C54D75">
        <w:rPr>
          <w:rFonts w:ascii="Sylfaen" w:hAnsi="Sylfaen"/>
          <w:sz w:val="24"/>
          <w:szCs w:val="24"/>
        </w:rPr>
        <w:t>և</w:t>
      </w:r>
      <w:r w:rsidRPr="00834D52">
        <w:rPr>
          <w:rFonts w:ascii="Sylfaen" w:hAnsi="Sylfaen"/>
          <w:sz w:val="24"/>
          <w:szCs w:val="24"/>
        </w:rPr>
        <w:t xml:space="preserve">ով՝ ներառյալ փորձագիտական կազմակերպության կամ լիազորված մարմնի հարցմանն ի պատասխան ներկայացված, </w:t>
      </w:r>
      <w:r w:rsidR="0056496B">
        <w:rPr>
          <w:rFonts w:ascii="Sylfaen" w:hAnsi="Sylfaen"/>
          <w:sz w:val="24"/>
          <w:szCs w:val="24"/>
        </w:rPr>
        <w:t>դիմումատու</w:t>
      </w:r>
      <w:r w:rsidRPr="00834D52">
        <w:rPr>
          <w:rFonts w:ascii="Sylfaen" w:hAnsi="Sylfaen"/>
          <w:sz w:val="24"/>
          <w:szCs w:val="24"/>
        </w:rPr>
        <w:t xml:space="preserve">ից ստացված պարզաբանումների, փաստաթղթերի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տվյալների գնահատականը:</w:t>
      </w:r>
    </w:p>
    <w:p w14:paraId="5F651E38" w14:textId="20D9DEBC" w:rsidR="006F76EB" w:rsidRDefault="006F76EB" w:rsidP="00C343E2">
      <w:pPr>
        <w:tabs>
          <w:tab w:val="left" w:pos="1701"/>
        </w:tabs>
        <w:spacing w:after="160" w:line="384" w:lineRule="auto"/>
        <w:ind w:right="-8" w:firstLine="567"/>
        <w:jc w:val="both"/>
        <w:rPr>
          <w:rFonts w:ascii="Sylfaen" w:hAnsi="Sylfaen"/>
          <w:sz w:val="24"/>
          <w:szCs w:val="24"/>
        </w:rPr>
      </w:pPr>
      <w:r w:rsidRPr="00834D52">
        <w:rPr>
          <w:rFonts w:ascii="Sylfaen" w:hAnsi="Sylfaen"/>
          <w:sz w:val="24"/>
          <w:szCs w:val="24"/>
        </w:rPr>
        <w:t>Դեղապատրաստուկի գրանցման դոսյեն Միության պահանջներին համապատասխանեցնելու ընթացակարգի շրջանակներում դեղապատրաստուկի գրանցման դոսյեի փորձաքննություն անցկացնելու ժամանակ օգուտ-ռիսկ հարաբերակցության վերագնահատում չի կատարվում՝ բացառությամբ սույն Կանոնների 181-րդ կետում նշված դեպքերի:</w:t>
      </w:r>
    </w:p>
    <w:p w14:paraId="50CAC653" w14:textId="1CF1487E" w:rsidR="00BC53C9" w:rsidRPr="006F28F9" w:rsidRDefault="00BC53C9" w:rsidP="00BC53C9">
      <w:pPr>
        <w:rPr>
          <w:b/>
          <w:bCs/>
          <w:i/>
          <w:iCs/>
        </w:rPr>
      </w:pPr>
      <w:r w:rsidRPr="00CD4709">
        <w:rPr>
          <w:b/>
          <w:bCs/>
          <w:i/>
          <w:iCs/>
        </w:rPr>
        <w:t>(</w:t>
      </w:r>
      <w:r>
        <w:rPr>
          <w:b/>
          <w:bCs/>
          <w:i/>
          <w:iCs/>
        </w:rPr>
        <w:t xml:space="preserve">178-րդ կետը </w:t>
      </w:r>
      <w:r w:rsidRPr="00CD4709">
        <w:rPr>
          <w:b/>
          <w:bCs/>
          <w:i/>
          <w:iCs/>
        </w:rPr>
        <w:t>փոփ. 30.01.20 թիվ 9)</w:t>
      </w:r>
    </w:p>
    <w:p w14:paraId="61428A91" w14:textId="77777777" w:rsidR="00BC53C9" w:rsidRPr="00834D52" w:rsidRDefault="00BC53C9" w:rsidP="00C343E2">
      <w:pPr>
        <w:tabs>
          <w:tab w:val="left" w:pos="1701"/>
        </w:tabs>
        <w:spacing w:after="160" w:line="384" w:lineRule="auto"/>
        <w:ind w:right="-8" w:firstLine="567"/>
        <w:jc w:val="both"/>
        <w:rPr>
          <w:rFonts w:ascii="Sylfaen" w:eastAsia="Times New Roman" w:hAnsi="Sylfaen" w:cs="Times New Roman"/>
          <w:sz w:val="24"/>
          <w:szCs w:val="24"/>
        </w:rPr>
      </w:pPr>
    </w:p>
    <w:p w14:paraId="454521B6" w14:textId="62FDF3BD"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179.</w:t>
      </w:r>
      <w:r w:rsidRPr="00834D52">
        <w:rPr>
          <w:rFonts w:ascii="Sylfaen" w:hAnsi="Sylfaen"/>
          <w:sz w:val="24"/>
          <w:szCs w:val="24"/>
        </w:rPr>
        <w:tab/>
        <w:t>Ռեֆերենտ պետության լիազորված մարմինը մերժում է դեղապատրաստուկի գրանցման դոսյեն Միության պահանջներին համապատասխանեցնելը, եթե դեղապատրաստուկի գրանցման դոսյեի փորձաքննության արդյունքներով սահմանվել է, որ դրա որակը չի հաստատվել, կամ, սույն Կանոնների 178-րդ կետի երկրորդ մասին համապատասխան, բացա</w:t>
      </w:r>
      <w:r w:rsidR="00FD1F71">
        <w:rPr>
          <w:rFonts w:ascii="Sylfaen" w:hAnsi="Sylfaen"/>
          <w:sz w:val="24"/>
          <w:szCs w:val="24"/>
        </w:rPr>
        <w:t>հայտ</w:t>
      </w:r>
      <w:r w:rsidRPr="00834D52">
        <w:rPr>
          <w:rFonts w:ascii="Sylfaen" w:hAnsi="Sylfaen"/>
          <w:sz w:val="24"/>
          <w:szCs w:val="24"/>
        </w:rPr>
        <w:t>վել է օգուտ-ռիսկ անբարենպաստ հարաբերակցությունը:</w:t>
      </w:r>
    </w:p>
    <w:p w14:paraId="082B1504" w14:textId="0661C21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180.</w:t>
      </w:r>
      <w:r w:rsidRPr="00834D52">
        <w:rPr>
          <w:rFonts w:ascii="Sylfaen" w:hAnsi="Sylfaen"/>
          <w:sz w:val="24"/>
          <w:szCs w:val="24"/>
        </w:rPr>
        <w:tab/>
        <w:t xml:space="preserve">Ըստ դեղապատրաստուկի գրանցման դոսյեի անցկացված փորձաքննության արդյունքների </w:t>
      </w:r>
      <w:r w:rsidR="00C54D75">
        <w:rPr>
          <w:rFonts w:ascii="Sylfaen" w:hAnsi="Sylfaen"/>
          <w:sz w:val="24"/>
          <w:szCs w:val="24"/>
        </w:rPr>
        <w:t>և</w:t>
      </w:r>
      <w:r w:rsidRPr="00834D52">
        <w:rPr>
          <w:rFonts w:ascii="Sylfaen" w:hAnsi="Sylfaen"/>
          <w:sz w:val="24"/>
          <w:szCs w:val="24"/>
        </w:rPr>
        <w:t xml:space="preserve"> դեղապատրաստուկի գրանցման դոսյեն սույն Կանոնների պահանջներին համապատասխանության մասին դրական որոշում ընդունելու պայմանի դեպքում՝ այն անդամ պետությունների լիազորված մարմինները, որտեղ գրանցված է տվյալ պատրաստուկը </w:t>
      </w:r>
      <w:r w:rsidR="00C54D75">
        <w:rPr>
          <w:rFonts w:ascii="Sylfaen" w:hAnsi="Sylfaen"/>
          <w:sz w:val="24"/>
          <w:szCs w:val="24"/>
        </w:rPr>
        <w:t>և</w:t>
      </w:r>
      <w:r w:rsidRPr="00834D52">
        <w:rPr>
          <w:rFonts w:ascii="Sylfaen" w:hAnsi="Sylfaen"/>
          <w:sz w:val="24"/>
          <w:szCs w:val="24"/>
        </w:rPr>
        <w:t xml:space="preserve"> որտեղ տրվել է դեղապատրաստուկի գրանցման դոսյեն Միության պահանջներին համապատասխանեցնելու մասին դիմումը, </w:t>
      </w:r>
      <w:r w:rsidR="0056496B">
        <w:rPr>
          <w:rFonts w:ascii="Sylfaen" w:hAnsi="Sylfaen"/>
          <w:sz w:val="24"/>
          <w:szCs w:val="24"/>
        </w:rPr>
        <w:t>դիմումատու</w:t>
      </w:r>
      <w:r w:rsidRPr="00834D52">
        <w:rPr>
          <w:rFonts w:ascii="Sylfaen" w:hAnsi="Sylfaen"/>
          <w:sz w:val="24"/>
          <w:szCs w:val="24"/>
        </w:rPr>
        <w:t xml:space="preserve">ին տրամադրում են սույն կանոնների </w:t>
      </w:r>
      <w:r w:rsidR="003F283E">
        <w:rPr>
          <w:rFonts w:ascii="Sylfaen" w:hAnsi="Sylfaen"/>
          <w:sz w:val="24"/>
          <w:szCs w:val="24"/>
        </w:rPr>
        <w:t xml:space="preserve">թիվ </w:t>
      </w:r>
      <w:r w:rsidRPr="00834D52">
        <w:rPr>
          <w:rFonts w:ascii="Sylfaen" w:hAnsi="Sylfaen"/>
          <w:sz w:val="24"/>
          <w:szCs w:val="24"/>
        </w:rPr>
        <w:t>17 հավելվածին համապատասխան ձ</w:t>
      </w:r>
      <w:r w:rsidR="00C54D75">
        <w:rPr>
          <w:rFonts w:ascii="Sylfaen" w:hAnsi="Sylfaen"/>
          <w:sz w:val="24"/>
          <w:szCs w:val="24"/>
        </w:rPr>
        <w:t>և</w:t>
      </w:r>
      <w:r w:rsidRPr="00834D52">
        <w:rPr>
          <w:rFonts w:ascii="Sylfaen" w:hAnsi="Sylfaen"/>
          <w:sz w:val="24"/>
          <w:szCs w:val="24"/>
        </w:rPr>
        <w:t xml:space="preserve">ով դեղապատրաստուկի գրանցման հավաստագիր, հաստատված ԴԸԲ-ները, բժշկական կիրառման հրահանգները, որակին առնչվող նորմատիվ փաստաթղթերը, դեղապատրաստուկի փաթեթվածքների մակետները (անհրաժեշտության դեպքում </w:t>
      </w:r>
      <w:r w:rsidR="0056496B">
        <w:rPr>
          <w:rFonts w:ascii="Sylfaen" w:hAnsi="Sylfaen"/>
          <w:sz w:val="24"/>
          <w:szCs w:val="24"/>
        </w:rPr>
        <w:t>դիմումատու</w:t>
      </w:r>
      <w:r w:rsidRPr="00834D52">
        <w:rPr>
          <w:rFonts w:ascii="Sylfaen" w:hAnsi="Sylfaen"/>
          <w:sz w:val="24"/>
          <w:szCs w:val="24"/>
        </w:rPr>
        <w:t>ին տրվում է գնահատման վերաբերյալ փորձագիտական հաշվետվություն, ինչպես նա</w:t>
      </w:r>
      <w:r w:rsidR="00C54D75">
        <w:rPr>
          <w:rFonts w:ascii="Sylfaen" w:hAnsi="Sylfaen"/>
          <w:sz w:val="24"/>
          <w:szCs w:val="24"/>
        </w:rPr>
        <w:t>և</w:t>
      </w:r>
      <w:r w:rsidRPr="00834D52">
        <w:rPr>
          <w:rFonts w:ascii="Sylfaen" w:hAnsi="Sylfaen"/>
          <w:sz w:val="24"/>
          <w:szCs w:val="24"/>
        </w:rPr>
        <w:t xml:space="preserve"> այդ անդամ պետությունների պետական լեզվով </w:t>
      </w:r>
      <w:r w:rsidRPr="00834D52">
        <w:rPr>
          <w:rFonts w:ascii="Sylfaen" w:hAnsi="Sylfaen"/>
          <w:sz w:val="24"/>
          <w:szCs w:val="24"/>
        </w:rPr>
        <w:lastRenderedPageBreak/>
        <w:t xml:space="preserve">հաստատված ԴԸԲ-ները, բժշկական կիրառման հրահանգը </w:t>
      </w:r>
      <w:r w:rsidR="00C54D75">
        <w:rPr>
          <w:rFonts w:ascii="Sylfaen" w:hAnsi="Sylfaen"/>
          <w:sz w:val="24"/>
          <w:szCs w:val="24"/>
        </w:rPr>
        <w:t>և</w:t>
      </w:r>
      <w:r w:rsidRPr="00834D52">
        <w:rPr>
          <w:rFonts w:ascii="Sylfaen" w:hAnsi="Sylfaen"/>
          <w:sz w:val="24"/>
          <w:szCs w:val="24"/>
        </w:rPr>
        <w:t xml:space="preserve"> դեղապատրաստուկի փաթեթվածքների մակետները՝ այդ անդամ պետությունների օրենսդրությունում համապատասխան պահանջների առկայության դեպքում), ռիսկերի կառավարման համաձայնեցված նախագիծը (անհրաժեշտության դեպքում), </w:t>
      </w:r>
      <w:r w:rsidR="00C54D75">
        <w:rPr>
          <w:rFonts w:ascii="Sylfaen" w:hAnsi="Sylfaen"/>
          <w:sz w:val="24"/>
          <w:szCs w:val="24"/>
        </w:rPr>
        <w:t>և</w:t>
      </w:r>
      <w:r w:rsidRPr="00834D52">
        <w:rPr>
          <w:rFonts w:ascii="Sylfaen" w:hAnsi="Sylfaen"/>
          <w:sz w:val="24"/>
          <w:szCs w:val="24"/>
        </w:rPr>
        <w:t xml:space="preserve"> միասնական ռեեստրի մեջ մուտքագրվում են դեղապատրաստուկի գրանցման մասին տեղեկությունները։</w:t>
      </w:r>
    </w:p>
    <w:p w14:paraId="77D20262" w14:textId="37035A0A" w:rsidR="006F76EB" w:rsidRDefault="006F76EB" w:rsidP="00383CCF">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 xml:space="preserve">Անդամ պետությունների լիազորված մարմինները,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են անժամկետ գրանցման հավաստագիր, եթե դեղապատրաստուկը գրանցված է եղել 3 անդամ պետություններում՝ 5 </w:t>
      </w:r>
      <w:r w:rsidR="00C54D75">
        <w:rPr>
          <w:rFonts w:ascii="Sylfaen" w:hAnsi="Sylfaen"/>
          <w:sz w:val="24"/>
          <w:szCs w:val="24"/>
        </w:rPr>
        <w:t>և</w:t>
      </w:r>
      <w:r w:rsidRPr="00834D52">
        <w:rPr>
          <w:rFonts w:ascii="Sylfaen" w:hAnsi="Sylfaen"/>
          <w:sz w:val="24"/>
          <w:szCs w:val="24"/>
        </w:rPr>
        <w:t xml:space="preserve"> ավելի տարիների ընթացքում: Եթե դեղապատրաստուկը գրանցված է եղել 3 անդամ պետություններում 5 տարուց պակաս, ռեֆերենտ պետության լիազորված մարմինը, ըստ Միության պահանջներին համապատասխանեցնելու ընթացակարգի արդյունքների, </w:t>
      </w:r>
      <w:r w:rsidR="0056496B">
        <w:rPr>
          <w:rFonts w:ascii="Sylfaen" w:hAnsi="Sylfaen"/>
          <w:sz w:val="24"/>
          <w:szCs w:val="24"/>
        </w:rPr>
        <w:t>դիմումատու</w:t>
      </w:r>
      <w:r w:rsidRPr="00834D52">
        <w:rPr>
          <w:rFonts w:ascii="Sylfaen" w:hAnsi="Sylfaen"/>
          <w:sz w:val="24"/>
          <w:szCs w:val="24"/>
        </w:rPr>
        <w:t xml:space="preserve">ին տալիս է գրանցման հավաստագիր՝ 5 տարի գործողության ժամկետով </w:t>
      </w:r>
      <w:r w:rsidR="00C54D75">
        <w:rPr>
          <w:rFonts w:ascii="Sylfaen" w:hAnsi="Sylfaen"/>
          <w:sz w:val="24"/>
          <w:szCs w:val="24"/>
        </w:rPr>
        <w:t>և</w:t>
      </w:r>
      <w:r w:rsidRPr="00834D52">
        <w:rPr>
          <w:rFonts w:ascii="Sylfaen" w:hAnsi="Sylfaen"/>
          <w:sz w:val="24"/>
          <w:szCs w:val="24"/>
        </w:rPr>
        <w:t xml:space="preserve"> գրանցման (վերագրանցման) հաստատման անհրաժեշտությամբ՝ մինչ</w:t>
      </w:r>
      <w:r w:rsidR="00C54D75">
        <w:rPr>
          <w:rFonts w:ascii="Sylfaen" w:hAnsi="Sylfaen"/>
          <w:sz w:val="24"/>
          <w:szCs w:val="24"/>
        </w:rPr>
        <w:t>և</w:t>
      </w:r>
      <w:r w:rsidRPr="00834D52">
        <w:rPr>
          <w:rFonts w:ascii="Sylfaen" w:hAnsi="Sylfaen"/>
          <w:sz w:val="24"/>
          <w:szCs w:val="24"/>
        </w:rPr>
        <w:t xml:space="preserve"> դրա գործողության ժամկետի ավարտը: Այդ դեպքում այն անդամ պետության լիազորված մարմինները, որտեղ տրվել է Միության պահանջներին համապատասխանեցման դիմումը, </w:t>
      </w:r>
      <w:r w:rsidR="0056496B">
        <w:rPr>
          <w:rFonts w:ascii="Sylfaen" w:hAnsi="Sylfaen"/>
          <w:sz w:val="24"/>
          <w:szCs w:val="24"/>
        </w:rPr>
        <w:t>դիմումատու</w:t>
      </w:r>
      <w:r w:rsidRPr="00834D52">
        <w:rPr>
          <w:rFonts w:ascii="Sylfaen" w:hAnsi="Sylfaen"/>
          <w:sz w:val="24"/>
          <w:szCs w:val="24"/>
        </w:rPr>
        <w:t>ին տալիս են գրանցման հավաստագիր՝ ռեֆերենտ պետության կողմից նշված գործողության ժամկետով:</w:t>
      </w:r>
    </w:p>
    <w:p w14:paraId="16A1F226" w14:textId="5489651B"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t>Դեղապատրաստուկի գրանցման դոսյեն Միության պահանջներին համապատասխանեցնելուց հետո թույլատրվում է անդամ պետության օրենսդրությանը համապատասխան տրված գրանցման հավաստագրով դեղապատրաստուկի արտադրությունը և ներմուծումը՝ գրանցման դոսյեն Միության պահանջներին համապատասխանեցնելու օրվանից հետո 180 օրացուցային օրվա ընթացքում (համապատասխանեցման օր է համարվում համապատասխան տեղեկությունները միասնական ռեեստրում ներառելու օրը)։</w:t>
      </w:r>
    </w:p>
    <w:p w14:paraId="35F89D3E" w14:textId="0A10CB72" w:rsidR="00012E47" w:rsidRDefault="00012E47" w:rsidP="00383CCF">
      <w:pPr>
        <w:tabs>
          <w:tab w:val="left" w:pos="1134"/>
        </w:tabs>
        <w:spacing w:after="160" w:line="360" w:lineRule="auto"/>
        <w:ind w:right="-8" w:firstLine="567"/>
        <w:jc w:val="both"/>
        <w:rPr>
          <w:rFonts w:ascii="Sylfaen" w:hAnsi="Sylfaen"/>
          <w:sz w:val="24"/>
          <w:szCs w:val="24"/>
        </w:rPr>
      </w:pPr>
      <w:r w:rsidRPr="00012E47">
        <w:rPr>
          <w:rFonts w:ascii="Sylfaen" w:hAnsi="Sylfaen"/>
          <w:sz w:val="24"/>
          <w:szCs w:val="24"/>
        </w:rPr>
        <w:t xml:space="preserve">Թույլատրվում է դեղապատրաստուկի միաժամանակյա իրացումն անդամ </w:t>
      </w:r>
      <w:r w:rsidRPr="00012E47">
        <w:rPr>
          <w:rFonts w:ascii="Sylfaen" w:hAnsi="Sylfaen"/>
          <w:sz w:val="24"/>
          <w:szCs w:val="24"/>
        </w:rPr>
        <w:lastRenderedPageBreak/>
        <w:t>պետությունների օրենսդրությանը համապատասխան հաստատված գրանցման դոսյեից և Միության պահանջներին համապատասխանեցված գրանցման դոսյեից փաստաթղթերին և տեղեկություններին համապատասխանող փաթեթվածքում և բժշկական կիրառության ցուցումներով մինչ դրա պիտանիության ժամկետի ավարտը</w:t>
      </w:r>
      <w:r>
        <w:rPr>
          <w:rFonts w:ascii="Sylfaen" w:hAnsi="Sylfaen"/>
          <w:sz w:val="24"/>
          <w:szCs w:val="24"/>
        </w:rPr>
        <w:t>:</w:t>
      </w:r>
    </w:p>
    <w:p w14:paraId="7A16F209" w14:textId="6F0C32E3" w:rsidR="00BC53C9" w:rsidRPr="00012E47" w:rsidRDefault="00BC53C9" w:rsidP="00BC53C9">
      <w:pPr>
        <w:rPr>
          <w:b/>
          <w:bCs/>
          <w:i/>
          <w:iCs/>
        </w:rPr>
      </w:pPr>
      <w:r w:rsidRPr="00CD4709">
        <w:rPr>
          <w:b/>
          <w:bCs/>
          <w:i/>
          <w:iCs/>
        </w:rPr>
        <w:t>(</w:t>
      </w:r>
      <w:r>
        <w:rPr>
          <w:b/>
          <w:bCs/>
          <w:i/>
          <w:iCs/>
        </w:rPr>
        <w:t xml:space="preserve">180-րդ կետը </w:t>
      </w:r>
      <w:r w:rsidRPr="00CD4709">
        <w:rPr>
          <w:b/>
          <w:bCs/>
          <w:i/>
          <w:iCs/>
        </w:rPr>
        <w:t>փոփ.</w:t>
      </w:r>
      <w:r w:rsidR="00012E47">
        <w:rPr>
          <w:b/>
          <w:bCs/>
          <w:i/>
          <w:iCs/>
        </w:rPr>
        <w:t>, լրաց.</w:t>
      </w:r>
      <w:r w:rsidRPr="00CD4709">
        <w:rPr>
          <w:b/>
          <w:bCs/>
          <w:i/>
          <w:iCs/>
        </w:rPr>
        <w:t xml:space="preserve"> 30.01.20 թիվ 9)</w:t>
      </w:r>
    </w:p>
    <w:p w14:paraId="3B8BB7CC" w14:textId="77777777" w:rsidR="00BC53C9" w:rsidRPr="00834D52" w:rsidRDefault="00BC53C9" w:rsidP="00383CCF">
      <w:pPr>
        <w:tabs>
          <w:tab w:val="left" w:pos="1134"/>
        </w:tabs>
        <w:spacing w:after="160" w:line="360" w:lineRule="auto"/>
        <w:ind w:right="-8" w:firstLine="567"/>
        <w:jc w:val="both"/>
        <w:rPr>
          <w:rFonts w:ascii="Sylfaen" w:eastAsia="Times New Roman" w:hAnsi="Sylfaen" w:cs="Times New Roman"/>
          <w:sz w:val="24"/>
          <w:szCs w:val="24"/>
        </w:rPr>
      </w:pPr>
    </w:p>
    <w:p w14:paraId="4EB251D4" w14:textId="77777777" w:rsidR="006F76EB" w:rsidRPr="00834D52" w:rsidRDefault="006F76EB" w:rsidP="00383C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 xml:space="preserve">Դեղապատրաստուկները փոխադարձ ճանաչման ընթացակարգով կարող են ներկայացված լինել </w:t>
      </w:r>
      <w:r w:rsidR="0032680A">
        <w:rPr>
          <w:rFonts w:ascii="Sylfaen" w:hAnsi="Sylfaen"/>
          <w:sz w:val="24"/>
          <w:szCs w:val="24"/>
        </w:rPr>
        <w:t xml:space="preserve">ռեֆերենտ </w:t>
      </w:r>
      <w:r w:rsidRPr="00834D52">
        <w:rPr>
          <w:rFonts w:ascii="Sylfaen" w:hAnsi="Sylfaen"/>
          <w:sz w:val="24"/>
          <w:szCs w:val="24"/>
        </w:rPr>
        <w:t>այն անդամ պետություններում, որտեղ տվյալ դեղապատրաստուկը գրանցված է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մինչ</w:t>
      </w:r>
      <w:r w:rsidR="00C54D75">
        <w:rPr>
          <w:rFonts w:ascii="Sylfaen" w:hAnsi="Sylfaen"/>
          <w:sz w:val="24"/>
          <w:szCs w:val="24"/>
        </w:rPr>
        <w:t>և</w:t>
      </w:r>
      <w:r w:rsidRPr="00834D52">
        <w:rPr>
          <w:rFonts w:ascii="Sylfaen" w:hAnsi="Sylfaen"/>
          <w:sz w:val="24"/>
          <w:szCs w:val="24"/>
        </w:rPr>
        <w:t xml:space="preserve"> դրա գրանցման դոսյեն Միության պահանջներին համապատասխանեցնելը:</w:t>
      </w:r>
    </w:p>
    <w:p w14:paraId="29F9FEF8" w14:textId="5696AAB1"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182.</w:t>
      </w:r>
      <w:r w:rsidRPr="00834D52">
        <w:rPr>
          <w:rFonts w:ascii="Sylfaen" w:hAnsi="Sylfaen"/>
          <w:sz w:val="24"/>
          <w:szCs w:val="24"/>
        </w:rPr>
        <w:tab/>
        <w:t>Միության պահանջներին համապատասխանեցման ընթացակարգի շրջանակներում՝ փոխադարձ ճանաչման ընթացակարգով հետագա գրանցման համար այն անդամ պետությունում, որտեղ դեղապատրաստուկը գրանցված չի</w:t>
      </w:r>
      <w:r w:rsidR="00C24AC8" w:rsidRPr="00C24AC8">
        <w:rPr>
          <w:rFonts w:ascii="Sylfaen" w:hAnsi="Sylfaen"/>
          <w:sz w:val="24"/>
          <w:szCs w:val="24"/>
        </w:rPr>
        <w:t> </w:t>
      </w:r>
      <w:r w:rsidRPr="00834D52">
        <w:rPr>
          <w:rFonts w:ascii="Sylfaen" w:hAnsi="Sylfaen"/>
          <w:sz w:val="24"/>
          <w:szCs w:val="24"/>
        </w:rPr>
        <w:t xml:space="preserve">եղել նախքան 2020 թվականի դեկտեմբերի 31-ը Համաձայնագիրն ուժի մեջ մտնելը, </w:t>
      </w:r>
      <w:r w:rsidR="0056496B">
        <w:rPr>
          <w:rFonts w:ascii="Sylfaen" w:hAnsi="Sylfaen"/>
          <w:sz w:val="24"/>
          <w:szCs w:val="24"/>
        </w:rPr>
        <w:t>դիմումատու</w:t>
      </w:r>
      <w:r w:rsidRPr="00834D52">
        <w:rPr>
          <w:rFonts w:ascii="Sylfaen" w:hAnsi="Sylfaen"/>
          <w:sz w:val="24"/>
          <w:szCs w:val="24"/>
        </w:rPr>
        <w:t>ն ռեֆերենտ պետության լիազորված մարմին (փորձագիտական կազմակերպություն) է ներկայացնում՝</w:t>
      </w:r>
    </w:p>
    <w:p w14:paraId="76B73879" w14:textId="77777777" w:rsidR="006F76EB" w:rsidRPr="00834D52" w:rsidRDefault="006F76EB" w:rsidP="00383CCF">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սահմանված ձ</w:t>
      </w:r>
      <w:r w:rsidR="00C54D75">
        <w:rPr>
          <w:rFonts w:ascii="Sylfaen" w:hAnsi="Sylfaen"/>
          <w:sz w:val="24"/>
          <w:szCs w:val="24"/>
        </w:rPr>
        <w:t>և</w:t>
      </w:r>
      <w:r w:rsidRPr="00834D52">
        <w:rPr>
          <w:rFonts w:ascii="Sylfaen" w:hAnsi="Sylfaen"/>
          <w:sz w:val="24"/>
          <w:szCs w:val="24"/>
        </w:rPr>
        <w:t xml:space="preserve">ով դիմում՝ թղթային </w:t>
      </w:r>
      <w:r w:rsidR="00777961">
        <w:rPr>
          <w:rFonts w:ascii="Sylfaen" w:hAnsi="Sylfaen"/>
          <w:sz w:val="24"/>
          <w:szCs w:val="24"/>
        </w:rPr>
        <w:t xml:space="preserve">կրիչով </w:t>
      </w:r>
      <w:r w:rsidR="00C54D75">
        <w:rPr>
          <w:rFonts w:ascii="Sylfaen" w:hAnsi="Sylfaen"/>
          <w:sz w:val="24"/>
          <w:szCs w:val="24"/>
        </w:rPr>
        <w:t>և</w:t>
      </w:r>
      <w:r w:rsidRPr="00834D52">
        <w:rPr>
          <w:rFonts w:ascii="Sylfaen" w:hAnsi="Sylfaen"/>
          <w:sz w:val="24"/>
          <w:szCs w:val="24"/>
        </w:rPr>
        <w:t xml:space="preserve"> (կամ) էլեկտրոնային </w:t>
      </w:r>
      <w:r w:rsidR="001E7D37">
        <w:rPr>
          <w:rFonts w:ascii="Sylfaen" w:hAnsi="Sylfaen"/>
          <w:sz w:val="24"/>
          <w:szCs w:val="24"/>
        </w:rPr>
        <w:t>փաստաթղթի տեսքով</w:t>
      </w:r>
      <w:r w:rsidRPr="00834D52">
        <w:rPr>
          <w:rFonts w:ascii="Sylfaen" w:hAnsi="Sylfaen"/>
          <w:sz w:val="24"/>
          <w:szCs w:val="24"/>
        </w:rPr>
        <w:t xml:space="preserve">՝ սույն Կանոնների </w:t>
      </w:r>
      <w:r w:rsidR="001E7D37">
        <w:rPr>
          <w:rFonts w:ascii="Sylfaen" w:hAnsi="Sylfaen"/>
          <w:sz w:val="24"/>
          <w:szCs w:val="24"/>
        </w:rPr>
        <w:t xml:space="preserve">թիվ </w:t>
      </w:r>
      <w:r w:rsidRPr="00834D52">
        <w:rPr>
          <w:rFonts w:ascii="Sylfaen" w:hAnsi="Sylfaen"/>
          <w:sz w:val="24"/>
          <w:szCs w:val="24"/>
        </w:rPr>
        <w:t>2 հավելվածին համապատասախան.</w:t>
      </w:r>
    </w:p>
    <w:p w14:paraId="6DFE65A0" w14:textId="77777777" w:rsidR="006F76EB" w:rsidRPr="00834D52" w:rsidRDefault="006F76EB" w:rsidP="00383CCF">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Միության պահանջներին համապատասխանեցնելու համար հավաքագրման (տուրքի) վճարումը հաստատող փաստաթղթերը՝ ռեֆերենտ պետության օրենսդրությամբ սահմանված դեպքերում </w:t>
      </w:r>
      <w:r w:rsidR="00C54D75">
        <w:rPr>
          <w:rFonts w:ascii="Sylfaen" w:hAnsi="Sylfaen"/>
          <w:sz w:val="24"/>
          <w:szCs w:val="24"/>
        </w:rPr>
        <w:t>և</w:t>
      </w:r>
      <w:r w:rsidRPr="00834D52">
        <w:rPr>
          <w:rFonts w:ascii="Sylfaen" w:hAnsi="Sylfaen"/>
          <w:sz w:val="24"/>
          <w:szCs w:val="24"/>
        </w:rPr>
        <w:t xml:space="preserve"> կարգով.</w:t>
      </w:r>
    </w:p>
    <w:p w14:paraId="538DAC13" w14:textId="77777777" w:rsidR="006F76EB" w:rsidRPr="00834D52" w:rsidRDefault="006F76EB" w:rsidP="00C343E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Կանոնների </w:t>
      </w:r>
      <w:r w:rsidR="003F283E">
        <w:rPr>
          <w:rFonts w:ascii="Sylfaen" w:hAnsi="Sylfaen"/>
          <w:sz w:val="24"/>
          <w:szCs w:val="24"/>
        </w:rPr>
        <w:t xml:space="preserve">թիվ </w:t>
      </w:r>
      <w:r w:rsidRPr="00834D52">
        <w:rPr>
          <w:rFonts w:ascii="Sylfaen" w:hAnsi="Sylfaen"/>
          <w:sz w:val="24"/>
          <w:szCs w:val="24"/>
        </w:rPr>
        <w:t>1-5</w:t>
      </w:r>
      <w:r w:rsidR="003F283E">
        <w:rPr>
          <w:rFonts w:ascii="Sylfaen" w:hAnsi="Sylfaen"/>
          <w:sz w:val="24"/>
          <w:szCs w:val="24"/>
        </w:rPr>
        <w:t xml:space="preserve"> </w:t>
      </w:r>
      <w:r w:rsidRPr="00834D52">
        <w:rPr>
          <w:rFonts w:ascii="Sylfaen" w:hAnsi="Sylfaen"/>
          <w:sz w:val="24"/>
          <w:szCs w:val="24"/>
        </w:rPr>
        <w:t>հավելվածներին համապատասխան՝ գրանցման դոսյեի 1-րդ մոդուլներն այն անդամ պետություններում փոխադարձ ճանաչման ընթացակարգով հետագա գրանցում իրականացնելու դեպքում, որտեղ տվյալ դեղապատրաստուկը գրանցված չի եղել մինչ</w:t>
      </w:r>
      <w:r w:rsidR="00C54D75">
        <w:rPr>
          <w:rFonts w:ascii="Sylfaen" w:hAnsi="Sylfaen"/>
          <w:sz w:val="24"/>
          <w:szCs w:val="24"/>
        </w:rPr>
        <w:t>և</w:t>
      </w:r>
      <w:r w:rsidRPr="00834D52">
        <w:rPr>
          <w:rFonts w:ascii="Sylfaen" w:hAnsi="Sylfaen"/>
          <w:sz w:val="24"/>
          <w:szCs w:val="24"/>
        </w:rPr>
        <w:t xml:space="preserve"> Համաձայնագիրն ուժի մեջ մտնելը </w:t>
      </w:r>
      <w:r w:rsidRPr="00834D52">
        <w:rPr>
          <w:rFonts w:ascii="Sylfaen" w:hAnsi="Sylfaen"/>
          <w:sz w:val="24"/>
          <w:szCs w:val="24"/>
        </w:rPr>
        <w:lastRenderedPageBreak/>
        <w:t>կամ մինչ</w:t>
      </w:r>
      <w:r w:rsidR="00C54D75">
        <w:rPr>
          <w:rFonts w:ascii="Sylfaen" w:hAnsi="Sylfaen"/>
          <w:sz w:val="24"/>
          <w:szCs w:val="24"/>
        </w:rPr>
        <w:t>և</w:t>
      </w:r>
      <w:r w:rsidRPr="00834D52">
        <w:rPr>
          <w:rFonts w:ascii="Sylfaen" w:hAnsi="Sylfaen"/>
          <w:sz w:val="24"/>
          <w:szCs w:val="24"/>
        </w:rPr>
        <w:t xml:space="preserve"> 2020 թվականի դեկտեմբերի 31-ը:</w:t>
      </w:r>
    </w:p>
    <w:p w14:paraId="7D0F45F7" w14:textId="0E48C81A" w:rsidR="006F76EB" w:rsidRDefault="006F76EB" w:rsidP="00C343E2">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 xml:space="preserve">Նախքան Համաձայնագիրն ուժի մեջ մտնելն իրականացված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բոլոր առկա տվյալներն այդ դեպքում, սույն Կանոններին համապատասխան, ներկայացվում են գրանցման դոսյեի 4-5-րդ մոդուլներով, ունեցած հաշվետվությունների տեսքով, առանց պատշաճ լաբորատոր գործելակերպի </w:t>
      </w:r>
      <w:r w:rsidR="00C54D75">
        <w:rPr>
          <w:rFonts w:ascii="Sylfaen" w:hAnsi="Sylfaen"/>
          <w:sz w:val="24"/>
          <w:szCs w:val="24"/>
        </w:rPr>
        <w:t>և</w:t>
      </w:r>
      <w:r w:rsidRPr="00834D52">
        <w:rPr>
          <w:rFonts w:ascii="Sylfaen" w:hAnsi="Sylfaen"/>
          <w:sz w:val="24"/>
          <w:szCs w:val="24"/>
        </w:rPr>
        <w:t xml:space="preserve"> պատշաճ կլինիկական գործելակերպի կանոններով նախատեսված նախակլինիկական (ոչ կլինիկական) հետազոտությունների </w:t>
      </w:r>
      <w:r w:rsidR="00C54D75">
        <w:rPr>
          <w:rFonts w:ascii="Sylfaen" w:hAnsi="Sylfaen"/>
          <w:sz w:val="24"/>
          <w:szCs w:val="24"/>
        </w:rPr>
        <w:t>և</w:t>
      </w:r>
      <w:r w:rsidRPr="00834D52">
        <w:rPr>
          <w:rFonts w:ascii="Sylfaen" w:hAnsi="Sylfaen"/>
          <w:sz w:val="24"/>
          <w:szCs w:val="24"/>
        </w:rPr>
        <w:t xml:space="preserve"> կլինիկական հետազոտությունների (փորձարկումների) մասին հաշվետվությունների տեքստերը կազմելուն ներկայացվող պահանջների, ինչպես նա</w:t>
      </w:r>
      <w:r w:rsidR="00C54D75">
        <w:rPr>
          <w:rFonts w:ascii="Sylfaen" w:hAnsi="Sylfaen"/>
          <w:sz w:val="24"/>
          <w:szCs w:val="24"/>
        </w:rPr>
        <w:t>և</w:t>
      </w:r>
      <w:r w:rsidRPr="00834D52">
        <w:rPr>
          <w:rFonts w:ascii="Sylfaen" w:hAnsi="Sylfaen"/>
          <w:sz w:val="24"/>
          <w:szCs w:val="24"/>
        </w:rPr>
        <w:t xml:space="preserve"> Հանձնաժողովի կողմից հաստատված Միության շրջանակներում դեղապատրաստուկների կենսահամարժեքության հետազոտությունների անցկացման կանոններին դրանց պարտադիր համապատասխանեցման: Այն</w:t>
      </w:r>
      <w:r w:rsidR="00C24AC8" w:rsidRPr="00065DCF">
        <w:rPr>
          <w:rFonts w:ascii="Sylfaen" w:hAnsi="Sylfaen"/>
          <w:sz w:val="24"/>
          <w:szCs w:val="24"/>
        </w:rPr>
        <w:t> </w:t>
      </w:r>
      <w:r w:rsidRPr="00834D52">
        <w:rPr>
          <w:rFonts w:ascii="Sylfaen" w:hAnsi="Sylfaen"/>
          <w:sz w:val="24"/>
          <w:szCs w:val="24"/>
        </w:rPr>
        <w:t>անդամ պետությունը, որտեղ տրվել է գրանցման դոսյեն Միության պահանջներին համապատասխանեցնելու համար, տվյալ դեպքում հանդես է գալիս որպես ռեֆերենտ պետություն:</w:t>
      </w:r>
    </w:p>
    <w:p w14:paraId="1931500F" w14:textId="0A07C645" w:rsidR="00BC53C9" w:rsidRPr="006F28F9" w:rsidRDefault="00BC53C9" w:rsidP="00BC53C9">
      <w:pPr>
        <w:rPr>
          <w:b/>
          <w:bCs/>
          <w:i/>
          <w:iCs/>
        </w:rPr>
      </w:pPr>
      <w:r w:rsidRPr="00CD4709">
        <w:rPr>
          <w:b/>
          <w:bCs/>
          <w:i/>
          <w:iCs/>
        </w:rPr>
        <w:t>(</w:t>
      </w:r>
      <w:r>
        <w:rPr>
          <w:b/>
          <w:bCs/>
          <w:i/>
          <w:iCs/>
        </w:rPr>
        <w:t xml:space="preserve">182-րդ կետը </w:t>
      </w:r>
      <w:r w:rsidRPr="00CD4709">
        <w:rPr>
          <w:b/>
          <w:bCs/>
          <w:i/>
          <w:iCs/>
        </w:rPr>
        <w:t>փոփ. 30.01.20 թիվ 9)</w:t>
      </w:r>
    </w:p>
    <w:p w14:paraId="4DFC189B" w14:textId="77777777" w:rsidR="006F76EB" w:rsidRPr="00955C1D"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183.</w:t>
      </w:r>
      <w:r w:rsidRPr="00834D52">
        <w:rPr>
          <w:rFonts w:ascii="Sylfaen" w:hAnsi="Sylfaen"/>
          <w:sz w:val="24"/>
          <w:szCs w:val="24"/>
        </w:rPr>
        <w:tab/>
        <w:t>Այն անդամ պետությունում փոխադարձ ճանաչման ընթացակարգն անցկացնելու համար գնահատման վերաբերյալ փորձագիտական հաշվետվությունը նախապատրաստելու անհրաժեշտության դեպքում, որտեղ տվյալ դեղապատրաստուկը գրանցված չի եղել նախքան Համաձայնագիրն ուժի մեջ մտնելը կամ մինչ</w:t>
      </w:r>
      <w:r w:rsidR="00C54D75">
        <w:rPr>
          <w:rFonts w:ascii="Sylfaen" w:hAnsi="Sylfaen"/>
          <w:sz w:val="24"/>
          <w:szCs w:val="24"/>
        </w:rPr>
        <w:t>և</w:t>
      </w:r>
      <w:r w:rsidRPr="00834D52">
        <w:rPr>
          <w:rFonts w:ascii="Sylfaen" w:hAnsi="Sylfaen"/>
          <w:sz w:val="24"/>
          <w:szCs w:val="24"/>
        </w:rPr>
        <w:t xml:space="preserve"> 2020 թվականի դեկտեմբերի 31-ը, անցկացվում են դեղապատրաստուկի օգուտ-ռիսկ հարաբերակցության վերագնահատում </w:t>
      </w:r>
      <w:r w:rsidR="00C54D75">
        <w:rPr>
          <w:rFonts w:ascii="Sylfaen" w:hAnsi="Sylfaen"/>
          <w:sz w:val="24"/>
          <w:szCs w:val="24"/>
        </w:rPr>
        <w:t>և</w:t>
      </w:r>
      <w:r w:rsidRPr="00834D52">
        <w:rPr>
          <w:rFonts w:ascii="Sylfaen" w:hAnsi="Sylfaen"/>
          <w:sz w:val="24"/>
          <w:szCs w:val="24"/>
        </w:rPr>
        <w:t xml:space="preserve"> սույն Կանոնների V բաժնում սահմանված ընթացակարգերին համապատասխան դեղապատրաստուկի փորձաքննություն:</w:t>
      </w:r>
    </w:p>
    <w:p w14:paraId="5B48C028" w14:textId="77777777" w:rsidR="00C343E2" w:rsidRPr="00955C1D" w:rsidRDefault="00C343E2" w:rsidP="00C343E2">
      <w:pPr>
        <w:tabs>
          <w:tab w:val="left" w:pos="1701"/>
        </w:tabs>
        <w:spacing w:after="160" w:line="360" w:lineRule="auto"/>
        <w:ind w:right="-6" w:firstLine="567"/>
        <w:jc w:val="both"/>
        <w:rPr>
          <w:rFonts w:ascii="Sylfaen" w:eastAsia="Times New Roman" w:hAnsi="Sylfaen" w:cs="Times New Roman"/>
          <w:sz w:val="24"/>
          <w:szCs w:val="24"/>
        </w:rPr>
      </w:pPr>
    </w:p>
    <w:p w14:paraId="1100B42C"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XIV. Անցումային դրույթներ</w:t>
      </w:r>
    </w:p>
    <w:p w14:paraId="630CB634" w14:textId="674E08F3" w:rsidR="006F76EB" w:rsidRDefault="006F76EB" w:rsidP="003D43B8">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184.</w:t>
      </w:r>
      <w:r w:rsidRPr="00834D52">
        <w:rPr>
          <w:rFonts w:ascii="Sylfaen" w:hAnsi="Sylfaen"/>
          <w:sz w:val="24"/>
          <w:szCs w:val="24"/>
        </w:rPr>
        <w:tab/>
        <w:t xml:space="preserve">Գրանցման համար ներկայացված դեղապատրաստուկների գրանցման դոսյեի գրանցումը, գրանցման հաստատումը (վերագրանցումը) </w:t>
      </w:r>
      <w:r w:rsidR="00C54D75">
        <w:rPr>
          <w:rFonts w:ascii="Sylfaen" w:hAnsi="Sylfaen"/>
          <w:sz w:val="24"/>
          <w:szCs w:val="24"/>
        </w:rPr>
        <w:t>և</w:t>
      </w:r>
      <w:r w:rsidRPr="00834D52">
        <w:rPr>
          <w:rFonts w:ascii="Sylfaen" w:hAnsi="Sylfaen"/>
          <w:sz w:val="24"/>
          <w:szCs w:val="24"/>
        </w:rPr>
        <w:t xml:space="preserve"> դրանում </w:t>
      </w:r>
      <w:r w:rsidRPr="00834D52">
        <w:rPr>
          <w:rFonts w:ascii="Sylfaen" w:hAnsi="Sylfaen"/>
          <w:sz w:val="24"/>
          <w:szCs w:val="24"/>
        </w:rPr>
        <w:lastRenderedPageBreak/>
        <w:t>փոփոխությունների կատարումը, անդամ պետություններում մինչ</w:t>
      </w:r>
      <w:r w:rsidR="00C54D75">
        <w:rPr>
          <w:rFonts w:ascii="Sylfaen" w:hAnsi="Sylfaen"/>
          <w:sz w:val="24"/>
          <w:szCs w:val="24"/>
        </w:rPr>
        <w:t>և</w:t>
      </w:r>
      <w:r w:rsidRPr="00834D52">
        <w:rPr>
          <w:rFonts w:ascii="Sylfaen" w:hAnsi="Sylfaen"/>
          <w:sz w:val="24"/>
          <w:szCs w:val="24"/>
        </w:rPr>
        <w:t xml:space="preserve"> 2016</w:t>
      </w:r>
      <w:r w:rsidR="002842E3" w:rsidRPr="002842E3">
        <w:rPr>
          <w:rFonts w:ascii="Sylfaen" w:hAnsi="Sylfaen"/>
          <w:sz w:val="24"/>
          <w:szCs w:val="24"/>
        </w:rPr>
        <w:t> </w:t>
      </w:r>
      <w:r w:rsidRPr="00834D52">
        <w:rPr>
          <w:rFonts w:ascii="Sylfaen" w:hAnsi="Sylfaen"/>
          <w:sz w:val="24"/>
          <w:szCs w:val="24"/>
        </w:rPr>
        <w:t xml:space="preserve">թվականի հունվարի 1-ը դեղապատրաստուկների գրանցման դոսյեի գրանցման (վերագրանցման) հաստատումը </w:t>
      </w:r>
      <w:r w:rsidR="00C54D75">
        <w:rPr>
          <w:rFonts w:ascii="Sylfaen" w:hAnsi="Sylfaen"/>
          <w:sz w:val="24"/>
          <w:szCs w:val="24"/>
        </w:rPr>
        <w:t>և</w:t>
      </w:r>
      <w:r w:rsidRPr="00834D52">
        <w:rPr>
          <w:rFonts w:ascii="Sylfaen" w:hAnsi="Sylfaen"/>
          <w:sz w:val="24"/>
          <w:szCs w:val="24"/>
        </w:rPr>
        <w:t xml:space="preserve"> դրանում փոփոխությունների կատարումն իրականացվում են անդամ պետությունների օրենսդրությանը համապատասխան: </w:t>
      </w:r>
      <w:r w:rsidR="0056496B">
        <w:rPr>
          <w:rFonts w:ascii="Sylfaen" w:hAnsi="Sylfaen"/>
          <w:sz w:val="24"/>
          <w:szCs w:val="24"/>
        </w:rPr>
        <w:t>Դիմումատու</w:t>
      </w:r>
      <w:r w:rsidRPr="00834D52">
        <w:rPr>
          <w:rFonts w:ascii="Sylfaen" w:hAnsi="Sylfaen"/>
          <w:sz w:val="24"/>
          <w:szCs w:val="24"/>
        </w:rPr>
        <w:t>ի պահանջով մինչ</w:t>
      </w:r>
      <w:r w:rsidR="00C54D75">
        <w:rPr>
          <w:rFonts w:ascii="Sylfaen" w:hAnsi="Sylfaen"/>
          <w:sz w:val="24"/>
          <w:szCs w:val="24"/>
        </w:rPr>
        <w:t>և</w:t>
      </w:r>
      <w:r w:rsidRPr="00834D52">
        <w:rPr>
          <w:rFonts w:ascii="Sylfaen" w:hAnsi="Sylfaen"/>
          <w:sz w:val="24"/>
          <w:szCs w:val="24"/>
        </w:rPr>
        <w:t xml:space="preserve"> 2020 թվականի դեկտեմբերի</w:t>
      </w:r>
      <w:r w:rsidR="002842E3" w:rsidRPr="004C6C5A">
        <w:rPr>
          <w:rFonts w:ascii="Sylfaen" w:hAnsi="Sylfaen"/>
          <w:sz w:val="24"/>
          <w:szCs w:val="24"/>
        </w:rPr>
        <w:t> </w:t>
      </w:r>
      <w:r w:rsidRPr="00834D52">
        <w:rPr>
          <w:rFonts w:ascii="Sylfaen" w:hAnsi="Sylfaen"/>
          <w:sz w:val="24"/>
          <w:szCs w:val="24"/>
        </w:rPr>
        <w:t>31-ը գրանցման ներկայացված դեղապատրաստուկի գրանցումը կարող է իրականացվել անդամ պետության օրենսդրությանը համապատասխան՝ առանց հաշվի առնելու սույն Կանոնների պահանջները: Սույն կետին համապատասխան գրանցված դեղապատրաստուկները պետք է համապատասխանեցվեն Միության պահանջներին՝ մինչ</w:t>
      </w:r>
      <w:r w:rsidR="00C54D75">
        <w:rPr>
          <w:rFonts w:ascii="Sylfaen" w:hAnsi="Sylfaen"/>
          <w:sz w:val="24"/>
          <w:szCs w:val="24"/>
        </w:rPr>
        <w:t>և</w:t>
      </w:r>
      <w:r w:rsidRPr="00834D52">
        <w:rPr>
          <w:rFonts w:ascii="Sylfaen" w:hAnsi="Sylfaen"/>
          <w:sz w:val="24"/>
          <w:szCs w:val="24"/>
        </w:rPr>
        <w:t xml:space="preserve"> 2025 թվականի դեկտեմբերի 31-ը:</w:t>
      </w:r>
    </w:p>
    <w:p w14:paraId="7F7CE710" w14:textId="7B0463D2" w:rsidR="00BC53C9" w:rsidRPr="006F28F9" w:rsidRDefault="00BC53C9" w:rsidP="00BC53C9">
      <w:pPr>
        <w:rPr>
          <w:b/>
          <w:bCs/>
          <w:i/>
          <w:iCs/>
        </w:rPr>
      </w:pPr>
      <w:r w:rsidRPr="00CD4709">
        <w:rPr>
          <w:b/>
          <w:bCs/>
          <w:i/>
          <w:iCs/>
        </w:rPr>
        <w:t>(</w:t>
      </w:r>
      <w:r>
        <w:rPr>
          <w:b/>
          <w:bCs/>
          <w:i/>
          <w:iCs/>
        </w:rPr>
        <w:t xml:space="preserve">184-րդ կետը </w:t>
      </w:r>
      <w:r w:rsidRPr="00CD4709">
        <w:rPr>
          <w:b/>
          <w:bCs/>
          <w:i/>
          <w:iCs/>
        </w:rPr>
        <w:t>փոփ. 30.01.20 թիվ 9)</w:t>
      </w:r>
    </w:p>
    <w:p w14:paraId="37BA41D9" w14:textId="77777777" w:rsidR="00BC53C9" w:rsidRPr="00834D52" w:rsidRDefault="00BC53C9" w:rsidP="003D43B8">
      <w:pPr>
        <w:tabs>
          <w:tab w:val="left" w:pos="1134"/>
        </w:tabs>
        <w:spacing w:after="160" w:line="360" w:lineRule="auto"/>
        <w:ind w:right="-6" w:firstLine="567"/>
        <w:jc w:val="both"/>
        <w:rPr>
          <w:rFonts w:ascii="Sylfaen" w:eastAsia="Times New Roman" w:hAnsi="Sylfaen" w:cs="Times New Roman"/>
          <w:sz w:val="24"/>
          <w:szCs w:val="24"/>
        </w:rPr>
      </w:pPr>
    </w:p>
    <w:p w14:paraId="79B6C7E6" w14:textId="77777777"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185.</w:t>
      </w:r>
      <w:r w:rsidRPr="00834D52">
        <w:rPr>
          <w:rFonts w:ascii="Sylfaen" w:hAnsi="Sylfaen"/>
          <w:sz w:val="24"/>
          <w:szCs w:val="24"/>
        </w:rPr>
        <w:tab/>
        <w:t xml:space="preserve">Նախքան Համաձայնագիրն ուժի մեջ մտնելն անդամ պետություններում գրանցված </w:t>
      </w:r>
      <w:r w:rsidR="00C54D75">
        <w:rPr>
          <w:rFonts w:ascii="Sylfaen" w:hAnsi="Sylfaen"/>
          <w:sz w:val="24"/>
          <w:szCs w:val="24"/>
        </w:rPr>
        <w:t>և</w:t>
      </w:r>
      <w:r w:rsidRPr="00834D52">
        <w:rPr>
          <w:rFonts w:ascii="Sylfaen" w:hAnsi="Sylfaen"/>
          <w:sz w:val="24"/>
          <w:szCs w:val="24"/>
        </w:rPr>
        <w:t xml:space="preserve"> Միության պահանջներին համապատասխանեցման ընթացակարգ չանցած դեղապատրաստուկների գրանցման դոսյեի գրանցման (վերագրանցման) հաստատումը </w:t>
      </w:r>
      <w:r w:rsidR="00C54D75">
        <w:rPr>
          <w:rFonts w:ascii="Sylfaen" w:hAnsi="Sylfaen"/>
          <w:sz w:val="24"/>
          <w:szCs w:val="24"/>
        </w:rPr>
        <w:t>և</w:t>
      </w:r>
      <w:r w:rsidRPr="00834D52">
        <w:rPr>
          <w:rFonts w:ascii="Sylfaen" w:hAnsi="Sylfaen"/>
          <w:sz w:val="24"/>
          <w:szCs w:val="24"/>
        </w:rPr>
        <w:t xml:space="preserve"> դրա մեջ փոփոխությունների կատարումն իրականացվում են անդամ պետությունների օրենսդրությանը համապատասխան՝ մինչ</w:t>
      </w:r>
      <w:r w:rsidR="00C54D75">
        <w:rPr>
          <w:rFonts w:ascii="Sylfaen" w:hAnsi="Sylfaen"/>
          <w:sz w:val="24"/>
          <w:szCs w:val="24"/>
        </w:rPr>
        <w:t>և</w:t>
      </w:r>
      <w:r w:rsidRPr="00834D52">
        <w:rPr>
          <w:rFonts w:ascii="Sylfaen" w:hAnsi="Sylfaen"/>
          <w:sz w:val="24"/>
          <w:szCs w:val="24"/>
        </w:rPr>
        <w:t xml:space="preserve"> 2025</w:t>
      </w:r>
      <w:r w:rsidR="004C6C5A" w:rsidRPr="004C6C5A">
        <w:rPr>
          <w:rFonts w:ascii="Sylfaen" w:hAnsi="Sylfaen"/>
          <w:sz w:val="24"/>
          <w:szCs w:val="24"/>
        </w:rPr>
        <w:t> </w:t>
      </w:r>
      <w:r w:rsidRPr="00834D52">
        <w:rPr>
          <w:rFonts w:ascii="Sylfaen" w:hAnsi="Sylfaen"/>
          <w:sz w:val="24"/>
          <w:szCs w:val="24"/>
        </w:rPr>
        <w:t>թվականի դեկտեմբերի 31-ը:</w:t>
      </w:r>
    </w:p>
    <w:p w14:paraId="741FA8AE" w14:textId="77777777" w:rsidR="006F76EB" w:rsidRPr="00834D52" w:rsidRDefault="006F76EB" w:rsidP="003D43B8">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186.</w:t>
      </w:r>
      <w:r w:rsidRPr="00834D52">
        <w:rPr>
          <w:rFonts w:ascii="Sylfaen" w:hAnsi="Sylfaen"/>
          <w:sz w:val="24"/>
          <w:szCs w:val="24"/>
        </w:rPr>
        <w:tab/>
        <w:t xml:space="preserve">Թույլատրվում է դեղապատրաստուկի միաժամանակ իրացումը՝ նախկին </w:t>
      </w:r>
      <w:r w:rsidR="00C54D75">
        <w:rPr>
          <w:rFonts w:ascii="Sylfaen" w:hAnsi="Sylfaen"/>
          <w:sz w:val="24"/>
          <w:szCs w:val="24"/>
        </w:rPr>
        <w:t>և</w:t>
      </w:r>
      <w:r w:rsidRPr="00834D52">
        <w:rPr>
          <w:rFonts w:ascii="Sylfaen" w:hAnsi="Sylfaen"/>
          <w:sz w:val="24"/>
          <w:szCs w:val="24"/>
        </w:rPr>
        <w:t xml:space="preserve"> կրկին հաստատված փաթեթվածքով, նախկին </w:t>
      </w:r>
      <w:r w:rsidR="00C54D75">
        <w:rPr>
          <w:rFonts w:ascii="Sylfaen" w:hAnsi="Sylfaen"/>
          <w:sz w:val="24"/>
          <w:szCs w:val="24"/>
        </w:rPr>
        <w:t>և</w:t>
      </w:r>
      <w:r w:rsidRPr="00834D52">
        <w:rPr>
          <w:rFonts w:ascii="Sylfaen" w:hAnsi="Sylfaen"/>
          <w:sz w:val="24"/>
          <w:szCs w:val="24"/>
        </w:rPr>
        <w:t xml:space="preserve"> կրկին հաստատված բժշկական կիրառման հրահանգով՝ մինչ</w:t>
      </w:r>
      <w:r w:rsidR="00C54D75">
        <w:rPr>
          <w:rFonts w:ascii="Sylfaen" w:hAnsi="Sylfaen"/>
          <w:sz w:val="24"/>
          <w:szCs w:val="24"/>
        </w:rPr>
        <w:t>և</w:t>
      </w:r>
      <w:r w:rsidRPr="00834D52">
        <w:rPr>
          <w:rFonts w:ascii="Sylfaen" w:hAnsi="Sylfaen"/>
          <w:sz w:val="24"/>
          <w:szCs w:val="24"/>
        </w:rPr>
        <w:t xml:space="preserve"> դեղապատրաստուկի պիտանիության ժամկետի ավարտը:</w:t>
      </w:r>
    </w:p>
    <w:p w14:paraId="7D970B3A" w14:textId="77777777" w:rsidR="006F76EB" w:rsidRPr="00955C1D"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t>Թույլատրվում է նախքան դեղապատրաստուկի գրանցման դոսյեի համապատասխանեցումը Միության պահանջներին անդամ պետության տարածքում շրջանառության բաց թողնված դեղապատրաստուկների իրացումը՝ մինչ</w:t>
      </w:r>
      <w:r w:rsidR="00C54D75">
        <w:rPr>
          <w:rFonts w:ascii="Sylfaen" w:hAnsi="Sylfaen"/>
          <w:sz w:val="24"/>
          <w:szCs w:val="24"/>
        </w:rPr>
        <w:t>և</w:t>
      </w:r>
      <w:r w:rsidRPr="00834D52">
        <w:rPr>
          <w:rFonts w:ascii="Sylfaen" w:hAnsi="Sylfaen"/>
          <w:sz w:val="24"/>
          <w:szCs w:val="24"/>
        </w:rPr>
        <w:t xml:space="preserve"> դրանց պիտանիության ժամկետի ավարտը:</w:t>
      </w:r>
    </w:p>
    <w:p w14:paraId="26969F31" w14:textId="77777777" w:rsidR="006F76EB" w:rsidRPr="00834D52" w:rsidRDefault="006F76EB" w:rsidP="002842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XV. Հատուկ դեպքեր</w:t>
      </w:r>
    </w:p>
    <w:p w14:paraId="7B65DCA9" w14:textId="2F3106E6" w:rsidR="006F76EB" w:rsidRDefault="006F76EB" w:rsidP="003D43B8">
      <w:pPr>
        <w:tabs>
          <w:tab w:val="left" w:pos="1134"/>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187.</w:t>
      </w:r>
      <w:r w:rsidRPr="00834D52">
        <w:rPr>
          <w:rFonts w:ascii="Sylfaen" w:hAnsi="Sylfaen"/>
          <w:sz w:val="24"/>
          <w:szCs w:val="24"/>
        </w:rPr>
        <w:tab/>
        <w:t>Եթե դեղապատրաստուկի բացթողման ձ</w:t>
      </w:r>
      <w:r w:rsidR="00C54D75">
        <w:rPr>
          <w:rFonts w:ascii="Sylfaen" w:hAnsi="Sylfaen"/>
          <w:sz w:val="24"/>
          <w:szCs w:val="24"/>
        </w:rPr>
        <w:t>և</w:t>
      </w:r>
      <w:r w:rsidRPr="00834D52">
        <w:rPr>
          <w:rFonts w:ascii="Sylfaen" w:hAnsi="Sylfaen"/>
          <w:sz w:val="24"/>
          <w:szCs w:val="24"/>
        </w:rPr>
        <w:t xml:space="preserve">ը ներառում է բժշկական արտադրատեսակներ հանդիսացող բաղադրիչներ, ապա անհրաժեշտ է բժշկական արտադրատեսակի գրանցման մասին տեղեկություններն արտացոլել գրանցման դոսյեում: Բացի այդ, եթե արտադրատեսակն իր կառուցվածքով բարդ է </w:t>
      </w:r>
      <w:r w:rsidR="00C54D75">
        <w:rPr>
          <w:rFonts w:ascii="Sylfaen" w:hAnsi="Sylfaen"/>
          <w:sz w:val="24"/>
          <w:szCs w:val="24"/>
        </w:rPr>
        <w:t>և</w:t>
      </w:r>
      <w:r w:rsidRPr="00834D52">
        <w:rPr>
          <w:rFonts w:ascii="Sylfaen" w:hAnsi="Sylfaen"/>
          <w:sz w:val="24"/>
          <w:szCs w:val="24"/>
        </w:rPr>
        <w:t xml:space="preserve"> կարող է իրենից ներկայացնել մատակարարման համալիր համակարգ, պահանջվում է նա</w:t>
      </w:r>
      <w:r w:rsidR="00C54D75">
        <w:rPr>
          <w:rFonts w:ascii="Sylfaen" w:hAnsi="Sylfaen"/>
          <w:sz w:val="24"/>
          <w:szCs w:val="24"/>
        </w:rPr>
        <w:t>և</w:t>
      </w:r>
      <w:r w:rsidRPr="00834D52">
        <w:rPr>
          <w:rFonts w:ascii="Sylfaen" w:hAnsi="Sylfaen"/>
          <w:sz w:val="24"/>
          <w:szCs w:val="24"/>
        </w:rPr>
        <w:t xml:space="preserve"> դեղապատրաստուկի գրանցման դոսյեի մեջ դնել դեղապատրաստուկի կլինիկական բնութագրի վրա ընդհանուր առմամբ դրա ազդեցության տեսանկյունից բժշկական արտադրատեսակի անվտանգության, որակի, արդյունավետության վերաբերյալ փորձագիտական եզրակացություն։ </w:t>
      </w:r>
    </w:p>
    <w:p w14:paraId="06E27967" w14:textId="4BED0713" w:rsidR="007130F9" w:rsidRDefault="007130F9" w:rsidP="003D43B8">
      <w:pPr>
        <w:tabs>
          <w:tab w:val="left" w:pos="1134"/>
        </w:tabs>
        <w:spacing w:after="160" w:line="360" w:lineRule="auto"/>
        <w:ind w:right="-8" w:firstLine="567"/>
        <w:jc w:val="both"/>
        <w:rPr>
          <w:rFonts w:ascii="Sylfaen" w:hAnsi="Sylfaen"/>
          <w:sz w:val="24"/>
          <w:szCs w:val="24"/>
        </w:rPr>
      </w:pPr>
      <w:r w:rsidRPr="00B96C43">
        <w:rPr>
          <w:rFonts w:ascii="Sylfaen" w:hAnsi="Sylfaen"/>
          <w:sz w:val="24"/>
          <w:szCs w:val="24"/>
        </w:rPr>
        <w:t>188. Գրիպի կանխարգելման համար նախատեսված պատվաստանյութերի 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գրանցումն ու դրանց գրանցման դոսյեում փոփոխությունների կատարումն իրականացվում են սույն կանոնների թիվ 24 հավելվածին համապատասխան</w:t>
      </w:r>
      <w:r>
        <w:rPr>
          <w:rFonts w:ascii="Sylfaen" w:hAnsi="Sylfaen"/>
          <w:sz w:val="24"/>
          <w:szCs w:val="24"/>
        </w:rPr>
        <w:t>:</w:t>
      </w:r>
    </w:p>
    <w:p w14:paraId="5F353D4A" w14:textId="52BDD653" w:rsidR="007130F9" w:rsidRPr="007130F9" w:rsidRDefault="007130F9" w:rsidP="003D43B8">
      <w:pPr>
        <w:tabs>
          <w:tab w:val="left" w:pos="1134"/>
        </w:tabs>
        <w:spacing w:after="160" w:line="360" w:lineRule="auto"/>
        <w:ind w:right="-8" w:firstLine="567"/>
        <w:jc w:val="both"/>
        <w:rPr>
          <w:rFonts w:ascii="Sylfaen" w:hAnsi="Sylfaen"/>
          <w:b/>
          <w:bCs/>
          <w:i/>
          <w:iCs/>
          <w:sz w:val="24"/>
          <w:szCs w:val="24"/>
        </w:rPr>
      </w:pPr>
      <w:bookmarkStart w:id="0" w:name="_Hlk106795566"/>
      <w:r w:rsidRPr="008E4EB1">
        <w:rPr>
          <w:rFonts w:ascii="Sylfaen" w:hAnsi="Sylfaen"/>
          <w:b/>
          <w:bCs/>
          <w:i/>
          <w:iCs/>
          <w:sz w:val="24"/>
          <w:szCs w:val="24"/>
        </w:rPr>
        <w:t>(</w:t>
      </w:r>
      <w:r w:rsidRPr="007130F9">
        <w:rPr>
          <w:rFonts w:ascii="Sylfaen" w:hAnsi="Sylfaen"/>
          <w:b/>
          <w:bCs/>
          <w:i/>
          <w:iCs/>
          <w:sz w:val="24"/>
          <w:szCs w:val="24"/>
        </w:rPr>
        <w:t>188-րդ կետը լրաց. 14.06.18 թ</w:t>
      </w:r>
      <w:r w:rsidR="00C67BCC">
        <w:rPr>
          <w:rFonts w:ascii="Sylfaen" w:hAnsi="Sylfaen"/>
          <w:b/>
          <w:bCs/>
          <w:i/>
          <w:iCs/>
          <w:sz w:val="24"/>
          <w:szCs w:val="24"/>
        </w:rPr>
        <w:t>ի</w:t>
      </w:r>
      <w:r w:rsidRPr="007130F9">
        <w:rPr>
          <w:rFonts w:ascii="Sylfaen" w:hAnsi="Sylfaen"/>
          <w:b/>
          <w:bCs/>
          <w:i/>
          <w:iCs/>
          <w:sz w:val="24"/>
          <w:szCs w:val="24"/>
        </w:rPr>
        <w:t>վ 55</w:t>
      </w:r>
      <w:r w:rsidRPr="008E4EB1">
        <w:rPr>
          <w:rFonts w:ascii="Sylfaen" w:hAnsi="Sylfaen"/>
          <w:b/>
          <w:bCs/>
          <w:i/>
          <w:iCs/>
          <w:sz w:val="24"/>
          <w:szCs w:val="24"/>
        </w:rPr>
        <w:t>)</w:t>
      </w:r>
    </w:p>
    <w:bookmarkEnd w:id="0"/>
    <w:p w14:paraId="0DCF32A3" w14:textId="77777777" w:rsidR="00307589" w:rsidRPr="00A958BD" w:rsidRDefault="00307589" w:rsidP="00307589">
      <w:pPr>
        <w:tabs>
          <w:tab w:val="left" w:pos="1134"/>
        </w:tabs>
        <w:spacing w:after="160" w:line="360" w:lineRule="auto"/>
        <w:ind w:right="-8" w:firstLine="567"/>
        <w:jc w:val="center"/>
        <w:rPr>
          <w:rFonts w:ascii="Sylfaen" w:hAnsi="Sylfaen"/>
          <w:sz w:val="24"/>
          <w:szCs w:val="24"/>
        </w:rPr>
      </w:pPr>
      <w:r w:rsidRPr="00A958BD">
        <w:rPr>
          <w:rFonts w:ascii="Sylfaen" w:hAnsi="Sylfaen"/>
          <w:sz w:val="24"/>
          <w:szCs w:val="24"/>
        </w:rPr>
        <w:t>___________________</w:t>
      </w:r>
    </w:p>
    <w:p w14:paraId="60D658C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1A18A1A9" w14:textId="77777777" w:rsidR="006F76EB" w:rsidRPr="00834D52" w:rsidRDefault="006F76EB" w:rsidP="006F76EB">
      <w:pPr>
        <w:spacing w:after="160" w:line="360" w:lineRule="auto"/>
        <w:rPr>
          <w:rFonts w:ascii="Sylfaen" w:eastAsia="Times New Roman" w:hAnsi="Sylfaen" w:cs="Times New Roman"/>
          <w:sz w:val="24"/>
          <w:szCs w:val="24"/>
        </w:rPr>
        <w:sectPr w:rsidR="006F76EB" w:rsidRPr="00834D52" w:rsidSect="00F71229">
          <w:footerReference w:type="default" r:id="rId8"/>
          <w:pgSz w:w="11906" w:h="16838" w:code="9"/>
          <w:pgMar w:top="1418" w:right="1418" w:bottom="1418" w:left="1418" w:header="709" w:footer="709" w:gutter="0"/>
          <w:pgNumType w:start="1"/>
          <w:cols w:space="708"/>
          <w:titlePg/>
          <w:docGrid w:linePitch="360"/>
        </w:sectPr>
      </w:pPr>
    </w:p>
    <w:p w14:paraId="3DFEA24B"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3F283E">
        <w:rPr>
          <w:rFonts w:ascii="Sylfaen" w:hAnsi="Sylfaen"/>
          <w:sz w:val="24"/>
          <w:szCs w:val="24"/>
        </w:rPr>
        <w:t xml:space="preserve">ԹԻՎ </w:t>
      </w:r>
      <w:r w:rsidRPr="00834D52">
        <w:rPr>
          <w:rFonts w:ascii="Sylfaen" w:hAnsi="Sylfaen"/>
          <w:sz w:val="24"/>
          <w:szCs w:val="24"/>
        </w:rPr>
        <w:t>1</w:t>
      </w:r>
    </w:p>
    <w:p w14:paraId="6CA4DF2D" w14:textId="77777777" w:rsidR="006F76EB" w:rsidRPr="00834D52" w:rsidRDefault="006F76EB" w:rsidP="00C343E2">
      <w:pPr>
        <w:spacing w:after="160" w:line="360" w:lineRule="auto"/>
        <w:ind w:left="4253"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0C12A994" w14:textId="77777777" w:rsidR="006F76EB" w:rsidRPr="00834D52" w:rsidRDefault="006F76EB" w:rsidP="00F102EA">
      <w:pPr>
        <w:spacing w:after="160" w:line="360" w:lineRule="auto"/>
        <w:ind w:left="567" w:right="565"/>
        <w:jc w:val="center"/>
        <w:rPr>
          <w:rFonts w:ascii="Sylfaen" w:hAnsi="Sylfaen"/>
          <w:sz w:val="24"/>
          <w:szCs w:val="24"/>
        </w:rPr>
      </w:pPr>
    </w:p>
    <w:p w14:paraId="4300395B"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ՊԱՀԱՆՋՆԵՐ</w:t>
      </w:r>
    </w:p>
    <w:p w14:paraId="7AA52070" w14:textId="77777777" w:rsidR="006F76EB" w:rsidRPr="00834D52" w:rsidRDefault="006F76EB" w:rsidP="00F102EA">
      <w:pPr>
        <w:spacing w:after="160" w:line="360" w:lineRule="auto"/>
        <w:ind w:left="567" w:right="565"/>
        <w:jc w:val="center"/>
        <w:rPr>
          <w:rFonts w:ascii="Sylfaen" w:eastAsia="Times New Roman" w:hAnsi="Sylfaen" w:cs="Times New Roman"/>
          <w:b/>
          <w:bCs/>
          <w:sz w:val="24"/>
          <w:szCs w:val="24"/>
        </w:rPr>
      </w:pPr>
      <w:r w:rsidRPr="00834D52">
        <w:rPr>
          <w:rFonts w:ascii="Sylfaen" w:hAnsi="Sylfaen"/>
          <w:b/>
          <w:sz w:val="24"/>
          <w:szCs w:val="24"/>
        </w:rPr>
        <w:t>գրանցման դոսյեի փաստաթղթերին ներկայացվող</w:t>
      </w:r>
    </w:p>
    <w:p w14:paraId="2BDA545C"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b/>
          <w:sz w:val="24"/>
          <w:szCs w:val="24"/>
        </w:rPr>
        <w:t>(ընդհանուր տեխնիկական փաստաթղթի ձ</w:t>
      </w:r>
      <w:r w:rsidR="00C54D75">
        <w:rPr>
          <w:rFonts w:ascii="Sylfaen" w:hAnsi="Sylfaen"/>
          <w:b/>
          <w:sz w:val="24"/>
          <w:szCs w:val="24"/>
        </w:rPr>
        <w:t>և</w:t>
      </w:r>
      <w:r w:rsidRPr="00834D52">
        <w:rPr>
          <w:rFonts w:ascii="Sylfaen" w:hAnsi="Sylfaen"/>
          <w:b/>
          <w:sz w:val="24"/>
          <w:szCs w:val="24"/>
        </w:rPr>
        <w:t>աչափով)</w:t>
      </w:r>
    </w:p>
    <w:p w14:paraId="71E32802" w14:textId="77777777" w:rsidR="006F76EB" w:rsidRPr="00834D52" w:rsidRDefault="006F76EB" w:rsidP="00F102EA">
      <w:pPr>
        <w:spacing w:after="160" w:line="360" w:lineRule="auto"/>
        <w:ind w:left="567" w:right="565"/>
        <w:jc w:val="center"/>
        <w:rPr>
          <w:rFonts w:ascii="Sylfaen" w:hAnsi="Sylfaen"/>
          <w:sz w:val="24"/>
          <w:szCs w:val="24"/>
        </w:rPr>
      </w:pPr>
    </w:p>
    <w:p w14:paraId="3282C5B8"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I. Դեղապատրաստուկի գրանցման դիմումն ուղեկցող գրանցման դոսյեի մոդուլներին ներկայացվող ընդհանուր պահանջները</w:t>
      </w:r>
    </w:p>
    <w:p w14:paraId="5DE7FA62" w14:textId="77777777" w:rsidR="006F76EB" w:rsidRPr="00834D52" w:rsidRDefault="006F76EB" w:rsidP="00F102EA">
      <w:pPr>
        <w:spacing w:after="160" w:line="360" w:lineRule="auto"/>
        <w:ind w:left="567" w:right="565"/>
        <w:jc w:val="center"/>
        <w:rPr>
          <w:rFonts w:ascii="Sylfaen" w:hAnsi="Sylfaen"/>
          <w:sz w:val="24"/>
          <w:szCs w:val="24"/>
        </w:rPr>
      </w:pPr>
    </w:p>
    <w:p w14:paraId="277D79F0" w14:textId="77777777" w:rsidR="006F76EB" w:rsidRPr="00834D52" w:rsidRDefault="006F76EB" w:rsidP="00F102EA">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 1-ին մոդուլում բերված գրանցման դոսյեի փաստաթղթերին ներկայացվող պահանջները՝ վարչական տեղեկատվություն</w:t>
      </w:r>
    </w:p>
    <w:p w14:paraId="13BBBB17"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1.0.</w:t>
      </w:r>
      <w:r w:rsidRPr="00834D52">
        <w:rPr>
          <w:rFonts w:ascii="Sylfaen" w:hAnsi="Sylfaen"/>
          <w:sz w:val="24"/>
          <w:szCs w:val="24"/>
        </w:rPr>
        <w:tab/>
        <w:t>Ուղեկցող նամակ (ինչպես ընդհանուր տեխնիկական փաստաթղթում (այսուհետ՝ ԸՏՓ)):</w:t>
      </w:r>
    </w:p>
    <w:p w14:paraId="24051F19"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Այս բաժնում անհրաժեշտ է ընդգրկել դիմումն ուղեկցող նամակը:</w:t>
      </w:r>
    </w:p>
    <w:p w14:paraId="7386CF5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Անհրաժեշտության դեպքում, որպես ուղեկցող նամակի հավելված, թույլատրվում է ներկայացնել «Ի գիտություն փորձագետների» փաստաթուղթը՝ նավիգացիայի բարելավման նպատակով ներկայացնելով ավելի մանրամասն տեղեկություններ (օրինակ՝ գերհղումների, հատորների դասավորության </w:t>
      </w:r>
      <w:r w:rsidR="00C54D75">
        <w:rPr>
          <w:rFonts w:ascii="Sylfaen" w:hAnsi="Sylfaen"/>
          <w:sz w:val="24"/>
          <w:szCs w:val="24"/>
        </w:rPr>
        <w:t>և</w:t>
      </w:r>
      <w:r w:rsidRPr="00834D52">
        <w:rPr>
          <w:rFonts w:ascii="Sylfaen" w:hAnsi="Sylfaen"/>
          <w:sz w:val="24"/>
          <w:szCs w:val="24"/>
        </w:rPr>
        <w:t xml:space="preserve"> այլնի մասին):</w:t>
      </w:r>
    </w:p>
    <w:p w14:paraId="15CCD423" w14:textId="77777777" w:rsidR="006F76EB" w:rsidRPr="00834D52" w:rsidRDefault="006F76EB" w:rsidP="009F7A79">
      <w:pPr>
        <w:pStyle w:val="ListParagraph"/>
        <w:numPr>
          <w:ilvl w:val="1"/>
          <w:numId w:val="1"/>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Sylfaen"/>
          <w:sz w:val="24"/>
          <w:szCs w:val="24"/>
        </w:rPr>
        <w:t>Բովանդակություն։</w:t>
      </w:r>
    </w:p>
    <w:p w14:paraId="6DF2F7B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գրանցման դոսյեի 1-5-րդ մոդուլների ամբողջական բովանդակությունը:</w:t>
      </w:r>
    </w:p>
    <w:p w14:paraId="1D1504E3"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w:t>
      </w:r>
      <w:r w:rsidRPr="00834D52">
        <w:rPr>
          <w:rFonts w:ascii="Sylfaen" w:hAnsi="Sylfaen"/>
          <w:sz w:val="24"/>
          <w:szCs w:val="24"/>
        </w:rPr>
        <w:tab/>
        <w:t>Ընդհանուր փաստաթղթերը.</w:t>
      </w:r>
    </w:p>
    <w:p w14:paraId="4A694C4F"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 xml:space="preserve">Դեղապատրաստուկի գրանցման դիմումը (թղթային </w:t>
      </w:r>
      <w:r w:rsidR="00C54D75">
        <w:rPr>
          <w:rFonts w:ascii="Sylfaen" w:hAnsi="Sylfaen"/>
          <w:sz w:val="24"/>
          <w:szCs w:val="24"/>
        </w:rPr>
        <w:t>և</w:t>
      </w:r>
      <w:r w:rsidRPr="00834D52">
        <w:rPr>
          <w:rFonts w:ascii="Sylfaen" w:hAnsi="Sylfaen"/>
          <w:sz w:val="24"/>
          <w:szCs w:val="24"/>
        </w:rPr>
        <w:t xml:space="preserve"> էլեկտրոնային կրիչներով՝ *.doc, *.docx </w:t>
      </w:r>
      <w:r w:rsidR="00C54D75">
        <w:rPr>
          <w:rFonts w:ascii="Sylfaen" w:hAnsi="Sylfaen"/>
          <w:sz w:val="24"/>
          <w:szCs w:val="24"/>
        </w:rPr>
        <w:t>և</w:t>
      </w:r>
      <w:r w:rsidRPr="00834D52">
        <w:rPr>
          <w:rFonts w:ascii="Sylfaen" w:hAnsi="Sylfaen"/>
          <w:sz w:val="24"/>
          <w:szCs w:val="24"/>
        </w:rPr>
        <w:t xml:space="preserve"> *.pdf ձ</w:t>
      </w:r>
      <w:r w:rsidR="00C54D75">
        <w:rPr>
          <w:rFonts w:ascii="Sylfaen" w:hAnsi="Sylfaen"/>
          <w:sz w:val="24"/>
          <w:szCs w:val="24"/>
        </w:rPr>
        <w:t>և</w:t>
      </w:r>
      <w:r w:rsidRPr="00834D52">
        <w:rPr>
          <w:rFonts w:ascii="Sylfaen" w:hAnsi="Sylfaen"/>
          <w:sz w:val="24"/>
          <w:szCs w:val="24"/>
        </w:rPr>
        <w:t>աչափերով) լրացվում է սույն Կանոնների</w:t>
      </w:r>
      <w:r w:rsidR="003F283E">
        <w:rPr>
          <w:rFonts w:ascii="Sylfaen" w:hAnsi="Sylfaen"/>
          <w:sz w:val="24"/>
          <w:szCs w:val="24"/>
        </w:rPr>
        <w:t xml:space="preserve"> թիվ</w:t>
      </w:r>
      <w:r w:rsidRPr="00834D52">
        <w:rPr>
          <w:rFonts w:ascii="Sylfaen" w:hAnsi="Sylfaen"/>
          <w:sz w:val="24"/>
          <w:szCs w:val="24"/>
        </w:rPr>
        <w:t xml:space="preserve"> 2 հավելվածի համաձայն սահմանված ձ</w:t>
      </w:r>
      <w:r w:rsidR="00C54D75">
        <w:rPr>
          <w:rFonts w:ascii="Sylfaen" w:hAnsi="Sylfaen"/>
          <w:sz w:val="24"/>
          <w:szCs w:val="24"/>
        </w:rPr>
        <w:t>և</w:t>
      </w:r>
      <w:r w:rsidRPr="00834D52">
        <w:rPr>
          <w:rFonts w:ascii="Sylfaen" w:hAnsi="Sylfaen"/>
          <w:sz w:val="24"/>
          <w:szCs w:val="24"/>
        </w:rPr>
        <w:t>ով:</w:t>
      </w:r>
    </w:p>
    <w:p w14:paraId="44A1565B" w14:textId="754E0C4A"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1.2.2.</w:t>
      </w:r>
      <w:r w:rsidRPr="00834D52">
        <w:rPr>
          <w:rFonts w:ascii="Sylfaen" w:hAnsi="Sylfaen"/>
          <w:sz w:val="24"/>
          <w:szCs w:val="24"/>
        </w:rPr>
        <w:tab/>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համար հավաքագրման (տուրքի) վճարումը հաստատող փաստաթղթերը՝ Եվրասիական տնտեսական միության այն անդամ պետության (այսուհետ՝ անդամ պետություններ) օրենսդրությանը համապատասխան, որն իրականացնում է դեղապատրաստուկի գրանցումը (անդամ պետության օրենսդրությունում </w:t>
      </w:r>
      <w:r w:rsidR="0056496B">
        <w:rPr>
          <w:rFonts w:ascii="Sylfaen" w:hAnsi="Sylfaen"/>
          <w:sz w:val="24"/>
          <w:szCs w:val="24"/>
        </w:rPr>
        <w:t>դիմումատու</w:t>
      </w:r>
      <w:r w:rsidRPr="00834D52">
        <w:rPr>
          <w:rFonts w:ascii="Sylfaen" w:hAnsi="Sylfaen"/>
          <w:sz w:val="24"/>
          <w:szCs w:val="24"/>
        </w:rPr>
        <w:t>ից այն փաստաթղթերը պահանջելու արգելքի բացակայության դեպքում, որոնք գտնվում են լիազորված մարմնի տրամադրության տակ կամ ինքնուրույն կարող են ստացվել լիազորված մարմնի կողմից):</w:t>
      </w:r>
    </w:p>
    <w:p w14:paraId="7C7AAA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1.2.3.</w:t>
      </w:r>
      <w:r w:rsidRPr="00834D52">
        <w:rPr>
          <w:rFonts w:ascii="Sylfaen" w:hAnsi="Sylfaen"/>
          <w:sz w:val="24"/>
          <w:szCs w:val="24"/>
        </w:rPr>
        <w:tab/>
        <w:t>Արտադրող երկրի լիազորված մարմնի կողմից տրված (առկայության դեպքում), սահմանված կարգով հաստատված՝ դեղապատրաստուկի հավաստագրի պատճենը՝ համաձայն Առողջապահության համաշխարհային կազմակերպության կողմից առաջարկված ձ</w:t>
      </w:r>
      <w:r w:rsidR="00C54D75">
        <w:rPr>
          <w:rFonts w:ascii="Sylfaen" w:hAnsi="Sylfaen"/>
          <w:sz w:val="24"/>
          <w:szCs w:val="24"/>
        </w:rPr>
        <w:t>և</w:t>
      </w:r>
      <w:r w:rsidRPr="00834D52">
        <w:rPr>
          <w:rFonts w:ascii="Sylfaen" w:hAnsi="Sylfaen"/>
          <w:sz w:val="24"/>
          <w:szCs w:val="24"/>
        </w:rPr>
        <w:t>աչափի:</w:t>
      </w:r>
    </w:p>
    <w:p w14:paraId="08F9B6E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Այդպիսի հավաստագրի բացակայության դեպքում՝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փաստաթուղթը (սահմանված կարգով հաստատված) (առկայության դեպքում):</w:t>
      </w:r>
    </w:p>
    <w:p w14:paraId="6EEA94D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Արտադրող երկրում կամ դեղապատրաստուկի գրանցման հավաստագրի իրավատեր երկրում գրանցման բացակայության դեպքում ներկայացվում է բացատրագիր՝ գրանցման տվյալների բացակայության հիմնավորմամբ:</w:t>
      </w:r>
    </w:p>
    <w:p w14:paraId="385D86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1.2.4.</w:t>
      </w:r>
      <w:r w:rsidRPr="00834D52">
        <w:rPr>
          <w:rFonts w:ascii="Sylfaen" w:hAnsi="Sylfaen"/>
          <w:sz w:val="24"/>
          <w:szCs w:val="24"/>
        </w:rPr>
        <w:tab/>
        <w:t xml:space="preserve">Լիազորված մարմնի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 արտադրող երկրում կամ դեղապատրաստուկի գրանցման հավաստագրի (առկայության դեպքում) իրավատեր երկրում դեղապատրաստուկի գրանցման դեպքում:</w:t>
      </w:r>
    </w:p>
    <w:p w14:paraId="770565A7"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1.2.5.</w:t>
      </w:r>
      <w:r w:rsidRPr="00834D52">
        <w:rPr>
          <w:rFonts w:ascii="Sylfaen" w:hAnsi="Sylfaen"/>
          <w:sz w:val="24"/>
          <w:szCs w:val="24"/>
        </w:rPr>
        <w:tab/>
        <w:t>Անդամ պետության լիազորված մարմնի (լիազորված</w:t>
      </w:r>
      <w:r w:rsidR="00065DCF" w:rsidRPr="00065DCF">
        <w:rPr>
          <w:rFonts w:ascii="Sylfaen" w:hAnsi="Sylfaen"/>
          <w:sz w:val="24"/>
          <w:szCs w:val="24"/>
        </w:rPr>
        <w:t> </w:t>
      </w:r>
      <w:r w:rsidRPr="00834D52">
        <w:rPr>
          <w:rFonts w:ascii="Sylfaen" w:hAnsi="Sylfaen"/>
          <w:sz w:val="24"/>
          <w:szCs w:val="24"/>
        </w:rPr>
        <w:t>կազմակերպության) եզրակացությունը (առաջարկությունը)՝ ըստ անդամ պետություններում տվյալ դեղապատրաստուկի վերաբերյալ նախնական գիտական խորհրդատվության արդյունքների (առկայության դեպքում):</w:t>
      </w:r>
    </w:p>
    <w:p w14:paraId="2519B5B3"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1.2.6.</w:t>
      </w:r>
      <w:r w:rsidRPr="00834D52">
        <w:rPr>
          <w:rFonts w:ascii="Sylfaen" w:hAnsi="Sylfaen"/>
          <w:sz w:val="24"/>
          <w:szCs w:val="24"/>
        </w:rPr>
        <w:tab/>
        <w:t>Եվրասիական տնտեսական հանձնաժողովին (այսուհետ՝ Հանձնաժողով)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665C5B95"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w:t>
      </w:r>
      <w:r w:rsidRPr="00834D52">
        <w:rPr>
          <w:rFonts w:ascii="Sylfaen" w:hAnsi="Sylfaen"/>
          <w:sz w:val="24"/>
          <w:szCs w:val="24"/>
        </w:rPr>
        <w:tab/>
        <w:t>Դեղապատրաստուկի ընդհանուր բնութագիրը (այսուհետ՝ ԴԸԲ), բժշկական կիրառման հրահանգը (ներդիր թերթիկը) (այսուհետ՝ ԲԿՀ), մակնշումը՝</w:t>
      </w:r>
    </w:p>
    <w:p w14:paraId="00324EE1"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1.3.1.</w:t>
      </w:r>
      <w:r w:rsidRPr="00834D52">
        <w:rPr>
          <w:rFonts w:ascii="Sylfaen" w:hAnsi="Sylfaen"/>
          <w:sz w:val="24"/>
          <w:szCs w:val="24"/>
        </w:rPr>
        <w:tab/>
        <w:t xml:space="preserve">Ռուսերենով կազմած ԴԸԲ-ի, ԲԿՀ-ի նախագծերը՝ դեղապատրաստուկների բժշկական կիրառման հրահանգին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կիրառման համար նախատեսված դեղապատրաստուկների ընդհանուր բնութագրին ներկայացվող պահանջներին համապատասխան։</w:t>
      </w:r>
    </w:p>
    <w:p w14:paraId="2508C8DC"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 xml:space="preserve">Երկրորդական (սպառողական), առաջնային (ներքին) </w:t>
      </w:r>
      <w:r w:rsidR="00C54D75">
        <w:rPr>
          <w:rFonts w:ascii="Sylfaen" w:hAnsi="Sylfaen"/>
          <w:sz w:val="24"/>
          <w:szCs w:val="24"/>
        </w:rPr>
        <w:t>և</w:t>
      </w:r>
      <w:r w:rsidRPr="00834D52">
        <w:rPr>
          <w:rFonts w:ascii="Sylfaen" w:hAnsi="Sylfaen"/>
          <w:sz w:val="24"/>
          <w:szCs w:val="24"/>
        </w:rPr>
        <w:t xml:space="preserve"> միջանկյալ փաթեթվածքների ռուսերենով կազմված մակետները (հարթ օրիգինալ մակետի լիագույն պատճենները, որոնք երկչափ կատարմամբ ապահովում են դեղապատրաստուկի՝ «թղթային պատճեն» կամ «համակարգչային տարբերակ» կոչվող ինչպես երկրորդական (սպառողական), այնպես էլ առաջնային (ներքին) փաթեթվածքի </w:t>
      </w:r>
      <w:r w:rsidR="00C54D75">
        <w:rPr>
          <w:rFonts w:ascii="Sylfaen" w:hAnsi="Sylfaen"/>
          <w:sz w:val="24"/>
          <w:szCs w:val="24"/>
        </w:rPr>
        <w:t>և</w:t>
      </w:r>
      <w:r w:rsidRPr="00834D52">
        <w:rPr>
          <w:rFonts w:ascii="Sylfaen" w:hAnsi="Sylfaen"/>
          <w:sz w:val="24"/>
          <w:szCs w:val="24"/>
        </w:rPr>
        <w:t xml:space="preserve"> մակնշման վերարտադրությունը)՝ Հանձնաժողովի կողմից հաստատված բժշկական կիրառման համար նախատեսված դեղամիջոցների </w:t>
      </w:r>
      <w:r w:rsidR="00C54D75">
        <w:rPr>
          <w:rFonts w:ascii="Sylfaen" w:hAnsi="Sylfaen"/>
          <w:sz w:val="24"/>
          <w:szCs w:val="24"/>
        </w:rPr>
        <w:t>և</w:t>
      </w:r>
      <w:r w:rsidRPr="00834D52">
        <w:rPr>
          <w:rFonts w:ascii="Sylfaen" w:hAnsi="Sylfaen"/>
          <w:sz w:val="24"/>
          <w:szCs w:val="24"/>
        </w:rPr>
        <w:t xml:space="preserve"> անասնաբուժական դեղամիջոցների մակնշմանը ներկայացվող պահանջներին համապատասխան: Միջանկյալ փաթեթվածքի, պիտակների, սթիքերների մակետները ներկայացվում են առկայության դեպքում:</w:t>
      </w:r>
    </w:p>
    <w:p w14:paraId="5D0E5F76"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1.3.3.</w:t>
      </w:r>
      <w:r w:rsidRPr="00834D52">
        <w:rPr>
          <w:rFonts w:ascii="Sylfaen" w:hAnsi="Sylfaen"/>
          <w:sz w:val="24"/>
          <w:szCs w:val="24"/>
        </w:rPr>
        <w:tab/>
        <w:t>ԲԿՀ-ի տեքստի օգտատերերի թեստավորման արդյունքները (</w:t>
      </w:r>
      <w:r w:rsidR="00E2752F">
        <w:rPr>
          <w:rFonts w:ascii="Sylfaen" w:hAnsi="Sylfaen"/>
          <w:sz w:val="24"/>
          <w:szCs w:val="24"/>
        </w:rPr>
        <w:t>առկայության դեպքում</w:t>
      </w:r>
      <w:r w:rsidRPr="00834D52">
        <w:rPr>
          <w:rFonts w:ascii="Sylfaen" w:hAnsi="Sylfaen"/>
          <w:sz w:val="24"/>
          <w:szCs w:val="24"/>
        </w:rPr>
        <w:t>):</w:t>
      </w:r>
    </w:p>
    <w:p w14:paraId="0B711B4B"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Օգտատերերի թեստավորման արդյունքները ներկայացնելիս անհրաժեշտ է կրճատ ամփոփել՝ ինչպես է անցկացվել թեստավորումը </w:t>
      </w:r>
      <w:r w:rsidR="00C54D75">
        <w:rPr>
          <w:rFonts w:ascii="Sylfaen" w:hAnsi="Sylfaen"/>
          <w:sz w:val="24"/>
          <w:szCs w:val="24"/>
        </w:rPr>
        <w:t>և</w:t>
      </w:r>
      <w:r w:rsidRPr="00834D52">
        <w:rPr>
          <w:rFonts w:ascii="Sylfaen" w:hAnsi="Sylfaen"/>
          <w:sz w:val="24"/>
          <w:szCs w:val="24"/>
        </w:rPr>
        <w:t xml:space="preserve"> ինչ կերպ են ԲԿՀ-ի վերջնական խմբագրության մեջ կատարվել բոլոր անհրաժեշտ փոփոխությունները: Ռեզյումեն անհրաժեշտ է ներկայացնել մոդուլի տվյալ բաժնում հետ</w:t>
      </w:r>
      <w:r w:rsidR="00C54D75">
        <w:rPr>
          <w:rFonts w:ascii="Sylfaen" w:hAnsi="Sylfaen"/>
          <w:sz w:val="24"/>
          <w:szCs w:val="24"/>
        </w:rPr>
        <w:t>և</w:t>
      </w:r>
      <w:r w:rsidRPr="00834D52">
        <w:rPr>
          <w:rFonts w:ascii="Sylfaen" w:hAnsi="Sylfaen"/>
          <w:sz w:val="24"/>
          <w:szCs w:val="24"/>
        </w:rPr>
        <w:t>յալ ձ</w:t>
      </w:r>
      <w:r w:rsidR="00C54D75">
        <w:rPr>
          <w:rFonts w:ascii="Sylfaen" w:hAnsi="Sylfaen"/>
          <w:sz w:val="24"/>
          <w:szCs w:val="24"/>
        </w:rPr>
        <w:t>և</w:t>
      </w:r>
      <w:r w:rsidRPr="00834D52">
        <w:rPr>
          <w:rFonts w:ascii="Sylfaen" w:hAnsi="Sylfaen"/>
          <w:sz w:val="24"/>
          <w:szCs w:val="24"/>
        </w:rPr>
        <w:t>ով՝</w:t>
      </w:r>
    </w:p>
    <w:p w14:paraId="0D30D58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կրճատ նկարագրությունը.</w:t>
      </w:r>
    </w:p>
    <w:p w14:paraId="257C683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անցկացված թեստավորման կամ ԲԿՀ-ի առանձին տարրերի ուսումնասիրման կրճատ նկարագրությունը (օգտագործված մեթոդիկան, թեստավորման համար մասնակիցների ընտրության չափանիշների պարզաբանումները, թեստավորման լեզուն).</w:t>
      </w:r>
    </w:p>
    <w:p w14:paraId="30B80850"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օգտագործված հարցաթերթերը (հարցաթերթիկները, այդ թվում՝ դրանց լրացման հրահանգները </w:t>
      </w:r>
      <w:r w:rsidR="00C54D75">
        <w:rPr>
          <w:rFonts w:ascii="Sylfaen" w:hAnsi="Sylfaen"/>
          <w:sz w:val="24"/>
          <w:szCs w:val="24"/>
        </w:rPr>
        <w:t>և</w:t>
      </w:r>
      <w:r w:rsidRPr="00834D52">
        <w:rPr>
          <w:rFonts w:ascii="Sylfaen" w:hAnsi="Sylfaen"/>
          <w:sz w:val="24"/>
          <w:szCs w:val="24"/>
        </w:rPr>
        <w:t xml:space="preserve"> դիտարկման ձ</w:t>
      </w:r>
      <w:r w:rsidR="00C54D75">
        <w:rPr>
          <w:rFonts w:ascii="Sylfaen" w:hAnsi="Sylfaen"/>
          <w:sz w:val="24"/>
          <w:szCs w:val="24"/>
        </w:rPr>
        <w:t>և</w:t>
      </w:r>
      <w:r w:rsidRPr="00834D52">
        <w:rPr>
          <w:rFonts w:ascii="Sylfaen" w:hAnsi="Sylfaen"/>
          <w:sz w:val="24"/>
          <w:szCs w:val="24"/>
        </w:rPr>
        <w:t>երը).</w:t>
      </w:r>
    </w:p>
    <w:p w14:paraId="1F23AD39"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ԲԿՀ-ի սկզբնական </w:t>
      </w:r>
      <w:r w:rsidR="00C54D75">
        <w:rPr>
          <w:rFonts w:ascii="Sylfaen" w:hAnsi="Sylfaen"/>
          <w:sz w:val="24"/>
          <w:szCs w:val="24"/>
        </w:rPr>
        <w:t>և</w:t>
      </w:r>
      <w:r w:rsidRPr="00834D52">
        <w:rPr>
          <w:rFonts w:ascii="Sylfaen" w:hAnsi="Sylfaen"/>
          <w:sz w:val="24"/>
          <w:szCs w:val="24"/>
        </w:rPr>
        <w:t xml:space="preserve"> վերանայված խմբագրությունը.</w:t>
      </w:r>
    </w:p>
    <w:p w14:paraId="36B9141D" w14:textId="2671EE06"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թեստավորման արդյունքների կրճատ նկարագրությունը </w:t>
      </w:r>
      <w:r w:rsidR="00C54D75">
        <w:rPr>
          <w:rFonts w:ascii="Sylfaen" w:hAnsi="Sylfaen"/>
          <w:sz w:val="24"/>
          <w:szCs w:val="24"/>
        </w:rPr>
        <w:t>և</w:t>
      </w:r>
      <w:r w:rsidRPr="00834D52">
        <w:rPr>
          <w:rFonts w:ascii="Sylfaen" w:hAnsi="Sylfaen"/>
          <w:sz w:val="24"/>
          <w:szCs w:val="24"/>
        </w:rPr>
        <w:t xml:space="preserve"> քննարկումը (սուբյեկտների պատասխանները, բացա</w:t>
      </w:r>
      <w:r w:rsidR="0056496B">
        <w:rPr>
          <w:rFonts w:ascii="Sylfaen" w:hAnsi="Sylfaen"/>
          <w:sz w:val="24"/>
          <w:szCs w:val="24"/>
        </w:rPr>
        <w:t>դիմում</w:t>
      </w:r>
      <w:r w:rsidRPr="00834D52">
        <w:rPr>
          <w:rFonts w:ascii="Sylfaen" w:hAnsi="Sylfaen"/>
          <w:sz w:val="24"/>
          <w:szCs w:val="24"/>
        </w:rPr>
        <w:t xml:space="preserve">ված խնդիրները </w:t>
      </w:r>
      <w:r w:rsidR="00C54D75">
        <w:rPr>
          <w:rFonts w:ascii="Sylfaen" w:hAnsi="Sylfaen"/>
          <w:sz w:val="24"/>
          <w:szCs w:val="24"/>
        </w:rPr>
        <w:t>և</w:t>
      </w:r>
      <w:r w:rsidRPr="00834D52">
        <w:rPr>
          <w:rFonts w:ascii="Sylfaen" w:hAnsi="Sylfaen"/>
          <w:sz w:val="24"/>
          <w:szCs w:val="24"/>
        </w:rPr>
        <w:t xml:space="preserve"> ԲԿՀ-ի համապատասխան բաժիններում կատարված փոփոխությունները). </w:t>
      </w:r>
    </w:p>
    <w:p w14:paraId="75455D0C"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եզրակացությունը:</w:t>
      </w:r>
    </w:p>
    <w:p w14:paraId="010F7E43"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Մնացած բոլոր մանրամասնություններն անհրաժեշտ է ներկայացնել ըստ լիազորված մարմնի (փորձագիտական կազմակերպության) հարցման:</w:t>
      </w:r>
    </w:p>
    <w:p w14:paraId="4A6B8F34" w14:textId="77777777" w:rsidR="006F76EB" w:rsidRPr="00834D52" w:rsidRDefault="006F76EB" w:rsidP="009F7A7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1.3.4.</w:t>
      </w:r>
      <w:r w:rsidRPr="00834D52">
        <w:rPr>
          <w:rFonts w:ascii="Sylfaen" w:hAnsi="Sylfaen"/>
          <w:spacing w:val="-4"/>
          <w:sz w:val="24"/>
          <w:szCs w:val="24"/>
        </w:rPr>
        <w:tab/>
        <w:t xml:space="preserve">Արտադրող երկրի լիազորված մարմնի </w:t>
      </w:r>
      <w:r w:rsidR="00C54D75">
        <w:rPr>
          <w:rFonts w:ascii="Sylfaen" w:hAnsi="Sylfaen"/>
          <w:spacing w:val="-4"/>
          <w:sz w:val="24"/>
          <w:szCs w:val="24"/>
        </w:rPr>
        <w:t>և</w:t>
      </w:r>
      <w:r w:rsidRPr="00834D52">
        <w:rPr>
          <w:rFonts w:ascii="Sylfaen" w:hAnsi="Sylfaen"/>
          <w:spacing w:val="-4"/>
          <w:sz w:val="24"/>
          <w:szCs w:val="24"/>
        </w:rPr>
        <w:t xml:space="preserve"> (կամ) դեղապատրաստուկի գրանցման հավաստագրի իրավատեր երկրի կողմից հաստատված ԴԸԲ-ի </w:t>
      </w:r>
      <w:r w:rsidR="00C54D75">
        <w:rPr>
          <w:rFonts w:ascii="Sylfaen" w:hAnsi="Sylfaen"/>
          <w:spacing w:val="-4"/>
          <w:sz w:val="24"/>
          <w:szCs w:val="24"/>
        </w:rPr>
        <w:t>և</w:t>
      </w:r>
      <w:r w:rsidRPr="00834D52">
        <w:rPr>
          <w:rFonts w:ascii="Sylfaen" w:hAnsi="Sylfaen"/>
          <w:spacing w:val="-4"/>
          <w:sz w:val="24"/>
          <w:szCs w:val="24"/>
        </w:rPr>
        <w:t xml:space="preserve"> ԲԿՀ-ի պատճենները՝ վերջին վերանայման ամսաթվով, հաստատված դեղապատրաստուկի գրանցման հավաստագրի իրավատիրոջ լիազորված մարմնի կողմից (առկայության դեպքում):</w:t>
      </w:r>
    </w:p>
    <w:p w14:paraId="1B61A6F2" w14:textId="77777777" w:rsidR="006F76EB" w:rsidRPr="00834D52" w:rsidRDefault="006F76EB" w:rsidP="009F7A7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1.4.</w:t>
      </w:r>
      <w:r w:rsidRPr="00834D52">
        <w:rPr>
          <w:rFonts w:ascii="Sylfaen" w:hAnsi="Sylfaen"/>
          <w:sz w:val="24"/>
          <w:szCs w:val="24"/>
        </w:rPr>
        <w:tab/>
        <w:t>Այլ երկրներում դեղապատրաստուկի կարգավորման կարգավիճակի մասին տեղեկատվությունը (առկայության դեպքում):</w:t>
      </w:r>
    </w:p>
    <w:p w14:paraId="0C4E43D2"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1.4.1.</w:t>
      </w:r>
      <w:r w:rsidRPr="00834D52">
        <w:rPr>
          <w:rFonts w:ascii="Sylfaen" w:hAnsi="Sylfaen"/>
          <w:sz w:val="24"/>
          <w:szCs w:val="24"/>
        </w:rPr>
        <w:tab/>
        <w:t xml:space="preserve">Այն երկրների ցանկը, որտեղ դեղապատրաստուկը ներկայացվել է գրանցման, գրանցվել է, գրանցման մերժում է ստացել կամ դրա շրջանառությունը շուկայում կասեցվել է` դեղապատրաստուկի անվանման, գրանցման հավաստագրի համարի </w:t>
      </w:r>
      <w:r w:rsidR="00C54D75">
        <w:rPr>
          <w:rFonts w:ascii="Sylfaen" w:hAnsi="Sylfaen"/>
          <w:sz w:val="24"/>
          <w:szCs w:val="24"/>
        </w:rPr>
        <w:t>և</w:t>
      </w:r>
      <w:r w:rsidRPr="00834D52">
        <w:rPr>
          <w:rFonts w:ascii="Sylfaen" w:hAnsi="Sylfaen"/>
          <w:sz w:val="24"/>
          <w:szCs w:val="24"/>
        </w:rPr>
        <w:t xml:space="preserve"> ամսաթվի, դրա գործողության ժամկետի կամ գրանցումը մերժելու, գրանցման հավաստագրի գործողության կասեցման մասին որոշում կայացնելու ամսաթվի նշումով: Տրամադրվող տեղեկատվությունը պետք է վավերացվի գրանցման հավաստագրի իրավատիրոջ կողմից:</w:t>
      </w:r>
    </w:p>
    <w:p w14:paraId="318C81B8"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w:t>
      </w:r>
      <w:r w:rsidRPr="00834D52">
        <w:rPr>
          <w:rFonts w:ascii="Sylfaen" w:hAnsi="Sylfaen"/>
          <w:sz w:val="24"/>
          <w:szCs w:val="24"/>
        </w:rPr>
        <w:tab/>
        <w:t>Որակին առնչվող փաստաթղթերը՝</w:t>
      </w:r>
    </w:p>
    <w:p w14:paraId="76592CAF"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Եվրասիական տնտեսական միության դեղագրքի կամ սպունգանման էնցեֆալոպատիայի վերաբերյալ Եվրոպական դեղագրքի հոդվածին համապատասխանության սերտիֆիկատը կամ հումքի ծագման երկրի անասնաբուժական վերահսկողության լիազորված մարմինների կողմից տրված փաստաթուղթը՝ կենդանական ծագման դեղագործական նյութի կիրառման դեպքում (</w:t>
      </w:r>
      <w:r w:rsidR="00C44EAE">
        <w:rPr>
          <w:rFonts w:ascii="Sylfaen" w:hAnsi="Sylfaen"/>
          <w:sz w:val="24"/>
          <w:szCs w:val="24"/>
        </w:rPr>
        <w:t>եթե կիրառելի է</w:t>
      </w:r>
      <w:r w:rsidRPr="00834D52">
        <w:rPr>
          <w:rFonts w:ascii="Sylfaen" w:hAnsi="Sylfaen"/>
          <w:sz w:val="24"/>
          <w:szCs w:val="24"/>
        </w:rPr>
        <w:t>):</w:t>
      </w:r>
    </w:p>
    <w:p w14:paraId="5614224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 xml:space="preserve">Ակտիվ դեղագործական նյութի մաստեր-ֆայլի իրավատիրոջ նամակը՝ դեղապատրաստուկի արտադրողին </w:t>
      </w:r>
      <w:r w:rsidR="00C54D75">
        <w:rPr>
          <w:rFonts w:ascii="Sylfaen" w:hAnsi="Sylfaen"/>
          <w:sz w:val="24"/>
          <w:szCs w:val="24"/>
        </w:rPr>
        <w:t>և</w:t>
      </w:r>
      <w:r w:rsidRPr="00834D52">
        <w:rPr>
          <w:rFonts w:ascii="Sylfaen" w:hAnsi="Sylfaen"/>
          <w:sz w:val="24"/>
          <w:szCs w:val="24"/>
        </w:rPr>
        <w:t xml:space="preserve"> անդամ պետության լիազորված մարմնին ցանկացած փոփոխության մասին տեղեկացնելու պարտավորությամբ՝ նախքան որ</w:t>
      </w:r>
      <w:r w:rsidR="00C54D75">
        <w:rPr>
          <w:rFonts w:ascii="Sylfaen" w:hAnsi="Sylfaen"/>
          <w:sz w:val="24"/>
          <w:szCs w:val="24"/>
        </w:rPr>
        <w:t>և</w:t>
      </w:r>
      <w:r w:rsidRPr="00834D52">
        <w:rPr>
          <w:rFonts w:ascii="Sylfaen" w:hAnsi="Sylfaen"/>
          <w:sz w:val="24"/>
          <w:szCs w:val="24"/>
        </w:rPr>
        <w:t>է էական փոփոխություն կատարվելը դեղագործական նյութի մաստեր-ֆայլում (որակի հարցերով լիազորված մարմնի ստորագրությամբ նամակի</w:t>
      </w:r>
      <w:r w:rsidR="004E7383">
        <w:rPr>
          <w:rFonts w:ascii="Sylfaen" w:hAnsi="Sylfaen"/>
          <w:sz w:val="24"/>
          <w:szCs w:val="24"/>
        </w:rPr>
        <w:t xml:space="preserve">՝ նոտարական կարգով </w:t>
      </w:r>
      <w:r w:rsidR="00D8713A">
        <w:rPr>
          <w:rFonts w:ascii="Sylfaen" w:hAnsi="Sylfaen"/>
          <w:sz w:val="24"/>
          <w:szCs w:val="24"/>
        </w:rPr>
        <w:t>վավերացված</w:t>
      </w:r>
      <w:r w:rsidRPr="00834D52">
        <w:rPr>
          <w:rFonts w:ascii="Sylfaen" w:hAnsi="Sylfaen"/>
          <w:sz w:val="24"/>
          <w:szCs w:val="24"/>
        </w:rPr>
        <w:t xml:space="preserve"> </w:t>
      </w:r>
      <w:r w:rsidR="00D8713A">
        <w:rPr>
          <w:rFonts w:ascii="Sylfaen" w:hAnsi="Sylfaen"/>
          <w:sz w:val="24"/>
          <w:szCs w:val="24"/>
        </w:rPr>
        <w:t>պատճենը</w:t>
      </w:r>
      <w:r w:rsidRPr="00834D52">
        <w:rPr>
          <w:rFonts w:ascii="Sylfaen" w:hAnsi="Sylfaen"/>
          <w:sz w:val="24"/>
          <w:szCs w:val="24"/>
        </w:rPr>
        <w:t>` թարգմանությամբ):</w:t>
      </w:r>
    </w:p>
    <w:p w14:paraId="5D7486AA"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1.5.3.</w:t>
      </w:r>
      <w:r w:rsidRPr="00834D52">
        <w:rPr>
          <w:rFonts w:ascii="Sylfaen" w:hAnsi="Sylfaen"/>
          <w:sz w:val="24"/>
          <w:szCs w:val="24"/>
        </w:rPr>
        <w:tab/>
        <w:t>Դեղագործական նյութի մաստեր-ֆայլի իրավատիրոջ համաձայնությունը հաստատող նամակը` դեղագործական նյութի մաստեր-ֆայլի փակ մասի փաստաթղթերը լիազորված մարմնի հարցմամբ ներկայացնելու մասին:</w:t>
      </w:r>
    </w:p>
    <w:p w14:paraId="5A5F056B"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1.5.4.</w:t>
      </w:r>
      <w:r w:rsidRPr="00834D52">
        <w:rPr>
          <w:rFonts w:ascii="Sylfaen" w:hAnsi="Sylfaen"/>
          <w:sz w:val="24"/>
          <w:szCs w:val="24"/>
        </w:rPr>
        <w:tab/>
        <w:t>Եվրոպական դեղագրքի պահանջներին դեղագործական նյութի համապատասխանության հավաստագրի պատճենը (առկայության դեպքում):</w:t>
      </w:r>
    </w:p>
    <w:p w14:paraId="0A5FB5A9" w14:textId="77777777" w:rsidR="006F76EB" w:rsidRPr="00834D52" w:rsidRDefault="006F76EB" w:rsidP="00D01EE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1.5.5.</w:t>
      </w:r>
      <w:r w:rsidRPr="00834D52">
        <w:rPr>
          <w:rFonts w:ascii="Sylfaen" w:hAnsi="Sylfaen"/>
          <w:sz w:val="24"/>
          <w:szCs w:val="24"/>
        </w:rPr>
        <w:tab/>
        <w:t>Պլազմայի մաստեր-ֆայլի հավաստագրի պատճենը, որը տրվել է արտադրող երկրի լիազորված մարմնի կողմից (առկայության դեպքում):</w:t>
      </w:r>
    </w:p>
    <w:p w14:paraId="14C8DB6E" w14:textId="041125CD" w:rsidR="006F76EB" w:rsidRDefault="006F76EB" w:rsidP="00D01EE2">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lastRenderedPageBreak/>
        <w:t>1.5.6.</w:t>
      </w:r>
      <w:r w:rsidRPr="00834D52">
        <w:rPr>
          <w:rFonts w:ascii="Sylfaen" w:hAnsi="Sylfaen"/>
          <w:sz w:val="24"/>
          <w:szCs w:val="24"/>
        </w:rPr>
        <w:tab/>
        <w:t>Պատվաստանյութային հակագենի մաստեր-ֆայլի հավաստագրի պատճենը, որը տրվել է արտադրող երկրի լիազորված մարմնի կողմից (առկայության դեպքում):</w:t>
      </w:r>
    </w:p>
    <w:p w14:paraId="20E3E09F" w14:textId="244D11F3" w:rsidR="00887B3C" w:rsidRDefault="00887B3C" w:rsidP="00D01EE2">
      <w:pPr>
        <w:tabs>
          <w:tab w:val="left" w:pos="1701"/>
        </w:tabs>
        <w:spacing w:after="160" w:line="360" w:lineRule="auto"/>
        <w:ind w:right="-8" w:firstLine="567"/>
        <w:jc w:val="both"/>
        <w:rPr>
          <w:rFonts w:ascii="Sylfaen" w:eastAsia="Times New Roman" w:hAnsi="Sylfaen" w:cs="Times New Roman"/>
          <w:sz w:val="24"/>
          <w:szCs w:val="24"/>
        </w:rPr>
      </w:pPr>
      <w:r w:rsidRPr="00887B3C">
        <w:rPr>
          <w:rFonts w:ascii="Sylfaen" w:eastAsia="Times New Roman" w:hAnsi="Sylfaen" w:cs="Times New Roman"/>
          <w:sz w:val="24"/>
          <w:szCs w:val="24"/>
        </w:rPr>
        <w:t>1.5.7. 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r>
        <w:rPr>
          <w:rFonts w:ascii="Sylfaen" w:eastAsia="Times New Roman" w:hAnsi="Sylfaen" w:cs="Times New Roman"/>
          <w:sz w:val="24"/>
          <w:szCs w:val="24"/>
        </w:rPr>
        <w:t>:</w:t>
      </w:r>
    </w:p>
    <w:p w14:paraId="3BB664D4" w14:textId="72B3FADC" w:rsidR="00887B3C" w:rsidRPr="00887B3C" w:rsidRDefault="00887B3C" w:rsidP="00887B3C">
      <w:pPr>
        <w:rPr>
          <w:b/>
          <w:bCs/>
          <w:i/>
          <w:iCs/>
        </w:rPr>
      </w:pPr>
      <w:r w:rsidRPr="00CD4709">
        <w:rPr>
          <w:b/>
          <w:bCs/>
          <w:i/>
          <w:iCs/>
        </w:rPr>
        <w:t>(</w:t>
      </w:r>
      <w:r>
        <w:rPr>
          <w:b/>
          <w:bCs/>
          <w:i/>
          <w:iCs/>
        </w:rPr>
        <w:t>1.5.7. կետը լրաց</w:t>
      </w:r>
      <w:r w:rsidRPr="00CD4709">
        <w:rPr>
          <w:b/>
          <w:bCs/>
          <w:i/>
          <w:iCs/>
        </w:rPr>
        <w:t xml:space="preserve">. </w:t>
      </w:r>
      <w:r>
        <w:rPr>
          <w:b/>
          <w:bCs/>
          <w:i/>
          <w:iCs/>
        </w:rPr>
        <w:t>23.04.21 թիվ 34</w:t>
      </w:r>
      <w:r w:rsidRPr="00CD4709">
        <w:rPr>
          <w:b/>
          <w:bCs/>
          <w:i/>
          <w:iCs/>
        </w:rPr>
        <w:t>)</w:t>
      </w:r>
    </w:p>
    <w:p w14:paraId="7896C5ED" w14:textId="77777777" w:rsidR="006F76EB" w:rsidRPr="00834D52" w:rsidRDefault="006F76EB" w:rsidP="00D01EE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w:t>
      </w:r>
      <w:r w:rsidRPr="00834D52">
        <w:rPr>
          <w:rFonts w:ascii="Sylfaen" w:hAnsi="Sylfaen"/>
          <w:sz w:val="24"/>
          <w:szCs w:val="24"/>
        </w:rPr>
        <w:tab/>
        <w:t>Արտադրության փաստաթղթերը՝</w:t>
      </w:r>
    </w:p>
    <w:p w14:paraId="4B34136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1.6.1.</w:t>
      </w:r>
      <w:r w:rsidRPr="00834D52">
        <w:rPr>
          <w:rFonts w:ascii="Sylfaen" w:hAnsi="Sylfaen"/>
          <w:sz w:val="24"/>
          <w:szCs w:val="24"/>
        </w:rPr>
        <w:tab/>
        <w:t xml:space="preserve">Սահմանված կարգով վավերացված, անդամ պետության լիազորված մարմնի կողմից տրված գործող փաստաթղթի պատճենը, որը հաստատում է Հանձնաժողովի կողմից հաստատված Եվրասիական տնտեսական միության պատշաճ արտադրական գործելակերպի կանոնների (այսուհետ` Միության պատշաճ արտադրական գործելակերպի կանոններ) պահանջներին գրանցման համար ներկայացված դեղապատրաստուկի արտադրողի (արտադրական հարթակի) համապատասխանությունը։ </w:t>
      </w:r>
    </w:p>
    <w:p w14:paraId="27DA2008" w14:textId="6B026DA9" w:rsidR="006F76EB" w:rsidRDefault="006F76EB" w:rsidP="000A2800">
      <w:pPr>
        <w:tabs>
          <w:tab w:val="left" w:pos="1418"/>
        </w:tabs>
        <w:spacing w:after="160" w:line="360" w:lineRule="auto"/>
        <w:ind w:right="-6" w:firstLine="567"/>
        <w:jc w:val="both"/>
        <w:rPr>
          <w:rFonts w:ascii="Sylfaen" w:hAnsi="Sylfaen"/>
          <w:sz w:val="24"/>
          <w:szCs w:val="24"/>
        </w:rPr>
      </w:pPr>
      <w:r w:rsidRPr="00834D52">
        <w:rPr>
          <w:rFonts w:ascii="Sylfaen" w:hAnsi="Sylfaen"/>
          <w:sz w:val="24"/>
          <w:szCs w:val="24"/>
        </w:rPr>
        <w:t xml:space="preserve">Սահմանված կարգով վավերացված, այն երկրի (երկրների) լիազորված մարմինների կողմից, որտեղ տեղակայված է արտադրական հարթակը (արտադրության տարբեր փուլերի համար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գործող փաստաթղթերի պատճենները, որոնք հաստատում են </w:t>
      </w:r>
      <w:r w:rsidR="009C779E">
        <w:rPr>
          <w:rFonts w:ascii="Sylfaen" w:hAnsi="Sylfaen"/>
          <w:sz w:val="24"/>
          <w:szCs w:val="24"/>
        </w:rPr>
        <w:t>պատշաճ արտադրական գործելակերպի պահանջներին արտադրողի արտադրական հարթակի համապատասխանությունը</w:t>
      </w:r>
      <w:r w:rsidRPr="00834D52">
        <w:rPr>
          <w:rFonts w:ascii="Sylfaen" w:hAnsi="Sylfaen"/>
          <w:sz w:val="24"/>
          <w:szCs w:val="24"/>
        </w:rPr>
        <w:t xml:space="preserve"> (այսուհետ՝ GMP), «Ինտերնետ» տեղեկատվական-հեռահաղորդակցական ցանցում լիազորված մարմինների կողմից տրված GMP-ի համապատասխանության սերտիֆիկատների ռեեստրի կայքի հասցեն (օրինակ՝ EudraGMP) (առկայության դեպքում): </w:t>
      </w:r>
    </w:p>
    <w:p w14:paraId="00509080" w14:textId="17076429" w:rsidR="009C779E" w:rsidRPr="006F28F9" w:rsidRDefault="009C779E" w:rsidP="009C779E">
      <w:pPr>
        <w:rPr>
          <w:b/>
          <w:bCs/>
          <w:i/>
          <w:iCs/>
        </w:rPr>
      </w:pPr>
      <w:r w:rsidRPr="00CD4709">
        <w:rPr>
          <w:b/>
          <w:bCs/>
          <w:i/>
          <w:iCs/>
        </w:rPr>
        <w:t>(</w:t>
      </w:r>
      <w:r>
        <w:rPr>
          <w:b/>
          <w:bCs/>
          <w:i/>
          <w:iCs/>
        </w:rPr>
        <w:t xml:space="preserve">1.6.1. կետը </w:t>
      </w:r>
      <w:r w:rsidRPr="00CD4709">
        <w:rPr>
          <w:b/>
          <w:bCs/>
          <w:i/>
          <w:iCs/>
        </w:rPr>
        <w:t>փոփ. 30.01.20 թիվ 9)</w:t>
      </w:r>
    </w:p>
    <w:p w14:paraId="5735E241" w14:textId="77777777" w:rsidR="009C779E" w:rsidRPr="00834D52" w:rsidRDefault="009C779E" w:rsidP="000A2800">
      <w:pPr>
        <w:tabs>
          <w:tab w:val="left" w:pos="1418"/>
        </w:tabs>
        <w:spacing w:after="160" w:line="360" w:lineRule="auto"/>
        <w:ind w:right="-6" w:firstLine="567"/>
        <w:jc w:val="both"/>
        <w:rPr>
          <w:rFonts w:ascii="Sylfaen" w:eastAsia="Times New Roman" w:hAnsi="Sylfaen" w:cs="Times New Roman"/>
          <w:sz w:val="24"/>
          <w:szCs w:val="24"/>
        </w:rPr>
      </w:pPr>
    </w:p>
    <w:p w14:paraId="760B87CD"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1.6.2.</w:t>
      </w:r>
      <w:r w:rsidRPr="00834D52">
        <w:rPr>
          <w:rFonts w:ascii="Sylfaen" w:hAnsi="Sylfaen"/>
          <w:sz w:val="24"/>
          <w:szCs w:val="24"/>
        </w:rPr>
        <w:tab/>
        <w:t>Դեղամիջոցների արտադրություն իրականացնելու գործող թույլտվության (լիցենզիայի)՝ սահմանված կարգով վավերացված պատճենը (հավելվածների հետ միասին), որը տրվել է այն երկրի լիազորված մարմնի կողմից, որտեղ տեղակայված է արտադրական հարթակը (արտադրության տարբեր փուլերի համար արտադրական հարթակները):</w:t>
      </w:r>
    </w:p>
    <w:p w14:paraId="3365CCD1" w14:textId="168A3B27" w:rsidR="006F76EB" w:rsidRDefault="006F76EB" w:rsidP="00D75BED">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1.6.3.</w:t>
      </w:r>
      <w:r w:rsidRPr="00834D52">
        <w:rPr>
          <w:rFonts w:ascii="Sylfaen" w:hAnsi="Sylfaen"/>
          <w:sz w:val="24"/>
          <w:szCs w:val="24"/>
        </w:rPr>
        <w:tab/>
        <w:t>Սահմանված կարգով վավերացված այն տեսչական ստուգման հաշվետվության պատճենը (հաշվետվությունների պատճենները), որը վերջին 3</w:t>
      </w:r>
      <w:r w:rsidR="005F4C5B" w:rsidRPr="005F4C5B">
        <w:rPr>
          <w:rFonts w:ascii="Sylfaen" w:hAnsi="Sylfaen"/>
          <w:sz w:val="24"/>
          <w:szCs w:val="24"/>
        </w:rPr>
        <w:t> </w:t>
      </w:r>
      <w:r w:rsidRPr="00834D52">
        <w:rPr>
          <w:rFonts w:ascii="Sylfaen" w:hAnsi="Sylfaen"/>
          <w:sz w:val="24"/>
          <w:szCs w:val="24"/>
        </w:rPr>
        <w:t>տարիների ընթացքում արտադրող երկրի լիազորված մարմնի կամ այլ լիազորված մարմնի կողմից անցկացվել է GMP-ին արտադրական հարթակի (արտադրության տարբեր փուլեր</w:t>
      </w:r>
      <w:r w:rsidR="009C779E">
        <w:rPr>
          <w:rFonts w:ascii="Sylfaen" w:hAnsi="Sylfaen"/>
          <w:sz w:val="24"/>
          <w:szCs w:val="24"/>
        </w:rPr>
        <w:t>ում</w:t>
      </w:r>
      <w:r w:rsidRPr="00834D52">
        <w:rPr>
          <w:rFonts w:ascii="Sylfaen" w:hAnsi="Sylfaen"/>
          <w:sz w:val="24"/>
          <w:szCs w:val="24"/>
        </w:rPr>
        <w:t xml:space="preserve"> համար արտադրական հարթակների)համապատասխանության համար, նա</w:t>
      </w:r>
      <w:r w:rsidR="00C54D75">
        <w:rPr>
          <w:rFonts w:ascii="Sylfaen" w:hAnsi="Sylfaen"/>
          <w:sz w:val="24"/>
          <w:szCs w:val="24"/>
        </w:rPr>
        <w:t>և</w:t>
      </w:r>
      <w:r w:rsidRPr="00834D52">
        <w:rPr>
          <w:rFonts w:ascii="Sylfaen" w:hAnsi="Sylfaen"/>
          <w:sz w:val="24"/>
          <w:szCs w:val="24"/>
        </w:rPr>
        <w:t xml:space="preserve"> տեսչական ստուգումներից հետո շտկող </w:t>
      </w:r>
      <w:r w:rsidR="00C54D75">
        <w:rPr>
          <w:rFonts w:ascii="Sylfaen" w:hAnsi="Sylfaen"/>
          <w:sz w:val="24"/>
          <w:szCs w:val="24"/>
        </w:rPr>
        <w:t>և</w:t>
      </w:r>
      <w:r w:rsidRPr="00834D52">
        <w:rPr>
          <w:rFonts w:ascii="Sylfaen" w:hAnsi="Sylfaen"/>
          <w:sz w:val="24"/>
          <w:szCs w:val="24"/>
        </w:rPr>
        <w:t xml:space="preserve"> կանխարգելիչ գործողությունների (CAPA) անցկացման մասին պլանն ու հաշվետվությունը (առկայության դեպքում) </w:t>
      </w:r>
      <w:r w:rsidR="00C54D75">
        <w:rPr>
          <w:rFonts w:ascii="Sylfaen" w:hAnsi="Sylfaen"/>
          <w:sz w:val="24"/>
          <w:szCs w:val="24"/>
        </w:rPr>
        <w:t>և</w:t>
      </w:r>
      <w:r w:rsidRPr="00834D52">
        <w:rPr>
          <w:rFonts w:ascii="Sylfaen" w:hAnsi="Sylfaen"/>
          <w:sz w:val="24"/>
          <w:szCs w:val="24"/>
        </w:rPr>
        <w:t xml:space="preserve"> լիազորված մարմնի կայքի հղումը՝ ըստ GMP տեսչական ստուգումների բազայի (օրինակ՝ EudraGMP) (առկայության դեպքում):</w:t>
      </w:r>
    </w:p>
    <w:p w14:paraId="780B4D0E" w14:textId="39E15FBF" w:rsidR="009C779E" w:rsidRPr="006F28F9" w:rsidRDefault="009C779E" w:rsidP="009C779E">
      <w:pPr>
        <w:rPr>
          <w:b/>
          <w:bCs/>
          <w:i/>
          <w:iCs/>
        </w:rPr>
      </w:pPr>
      <w:r w:rsidRPr="00CD4709">
        <w:rPr>
          <w:b/>
          <w:bCs/>
          <w:i/>
          <w:iCs/>
        </w:rPr>
        <w:t>(</w:t>
      </w:r>
      <w:r>
        <w:rPr>
          <w:b/>
          <w:bCs/>
          <w:i/>
          <w:iCs/>
        </w:rPr>
        <w:t xml:space="preserve">1.6.3.կետը </w:t>
      </w:r>
      <w:r w:rsidRPr="00CD4709">
        <w:rPr>
          <w:b/>
          <w:bCs/>
          <w:i/>
          <w:iCs/>
        </w:rPr>
        <w:t>փոփ. 30.01.20 թիվ 9)</w:t>
      </w:r>
    </w:p>
    <w:p w14:paraId="500C043C" w14:textId="77777777" w:rsidR="009C779E" w:rsidRPr="00834D52" w:rsidRDefault="009C779E" w:rsidP="00D75BED">
      <w:pPr>
        <w:tabs>
          <w:tab w:val="left" w:pos="1701"/>
        </w:tabs>
        <w:spacing w:after="160" w:line="336" w:lineRule="auto"/>
        <w:ind w:right="-6" w:firstLine="567"/>
        <w:jc w:val="both"/>
        <w:rPr>
          <w:rFonts w:ascii="Sylfaen" w:eastAsia="Times New Roman" w:hAnsi="Sylfaen" w:cs="Times New Roman"/>
          <w:sz w:val="24"/>
          <w:szCs w:val="24"/>
        </w:rPr>
      </w:pPr>
    </w:p>
    <w:p w14:paraId="636F45D1"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1.6.4.</w:t>
      </w:r>
      <w:r w:rsidRPr="00834D52">
        <w:rPr>
          <w:rFonts w:ascii="Sylfaen" w:hAnsi="Sylfaen"/>
          <w:sz w:val="24"/>
          <w:szCs w:val="24"/>
        </w:rPr>
        <w:tab/>
        <w:t xml:space="preserve">GMP-ի պահանջների պահպանման հարցերով դեղապատրաստուկի գրանցման հավաստագրի իրավատիրոջ </w:t>
      </w:r>
      <w:r w:rsidR="00C54D75">
        <w:rPr>
          <w:rFonts w:ascii="Sylfaen" w:hAnsi="Sylfaen"/>
          <w:sz w:val="24"/>
          <w:szCs w:val="24"/>
        </w:rPr>
        <w:t>և</w:t>
      </w:r>
      <w:r w:rsidRPr="00834D52">
        <w:rPr>
          <w:rFonts w:ascii="Sylfaen" w:hAnsi="Sylfaen"/>
          <w:sz w:val="24"/>
          <w:szCs w:val="24"/>
        </w:rPr>
        <w:t xml:space="preserve"> դեղապատրաստուկի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գրանցման հավաստագրի իրավատերը չի մասնակցում դեղապատրաստուկի արտադրությանը</w:t>
      </w:r>
      <w:r w:rsidR="00AE0F20">
        <w:rPr>
          <w:rFonts w:ascii="Sylfaen" w:hAnsi="Sylfaen"/>
          <w:sz w:val="24"/>
          <w:szCs w:val="24"/>
        </w:rPr>
        <w:t xml:space="preserve"> </w:t>
      </w:r>
      <w:r w:rsidR="00AE0F20" w:rsidRPr="00963EE1">
        <w:rPr>
          <w:rFonts w:ascii="Sylfaen" w:hAnsi="Sylfaen"/>
          <w:sz w:val="24"/>
          <w:szCs w:val="24"/>
        </w:rPr>
        <w:t>(</w:t>
      </w:r>
      <w:r w:rsidR="00AE0F20">
        <w:rPr>
          <w:rFonts w:ascii="Sylfaen" w:hAnsi="Sylfaen"/>
          <w:sz w:val="24"/>
          <w:szCs w:val="24"/>
        </w:rPr>
        <w:t>առկայության դեպքում</w:t>
      </w:r>
      <w:r w:rsidR="00AE0F20" w:rsidRPr="00963EE1">
        <w:rPr>
          <w:rFonts w:ascii="Sylfaen" w:hAnsi="Sylfaen"/>
          <w:sz w:val="24"/>
          <w:szCs w:val="24"/>
        </w:rPr>
        <w:t>)</w:t>
      </w:r>
      <w:r w:rsidRPr="00834D52">
        <w:rPr>
          <w:rFonts w:ascii="Sylfaen" w:hAnsi="Sylfaen"/>
          <w:sz w:val="24"/>
          <w:szCs w:val="24"/>
        </w:rPr>
        <w:t>:</w:t>
      </w:r>
    </w:p>
    <w:p w14:paraId="3ED63F3D" w14:textId="77777777" w:rsidR="006F76EB" w:rsidRPr="00834D52" w:rsidRDefault="006F76EB" w:rsidP="00D75BED">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w:t>
      </w:r>
      <w:r w:rsidR="00AA49B7">
        <w:rPr>
          <w:rFonts w:ascii="Sylfaen" w:hAnsi="Sylfaen"/>
          <w:sz w:val="24"/>
          <w:szCs w:val="24"/>
        </w:rPr>
        <w:t>6</w:t>
      </w:r>
      <w:r w:rsidRPr="00834D52">
        <w:rPr>
          <w:rFonts w:ascii="Sylfaen" w:hAnsi="Sylfaen"/>
          <w:sz w:val="24"/>
          <w:szCs w:val="24"/>
        </w:rPr>
        <w:t>.</w:t>
      </w:r>
      <w:r w:rsidR="00AA49B7">
        <w:rPr>
          <w:rFonts w:ascii="Sylfaen" w:hAnsi="Sylfaen"/>
          <w:sz w:val="24"/>
          <w:szCs w:val="24"/>
        </w:rPr>
        <w:t>5</w:t>
      </w:r>
      <w:r w:rsidRPr="00834D52">
        <w:rPr>
          <w:rFonts w:ascii="Sylfaen" w:hAnsi="Sylfaen"/>
          <w:sz w:val="24"/>
          <w:szCs w:val="24"/>
        </w:rPr>
        <w:t>.</w:t>
      </w:r>
      <w:r w:rsidRPr="00834D52">
        <w:rPr>
          <w:rFonts w:ascii="Sylfaen" w:hAnsi="Sylfaen"/>
          <w:sz w:val="24"/>
          <w:szCs w:val="24"/>
        </w:rPr>
        <w:tab/>
        <w:t xml:space="preserve">GMP պահանջների պահպանման հարցերով 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պայմանագրի՝ սահմանված կարգով հաստատված պատճենը, եթե դեղապատրաստուկի արտադրության ամբողջ գործընթացը կամ փուլերից մեկն իրականացվում է պայմանագրային </w:t>
      </w:r>
      <w:r w:rsidRPr="00834D52">
        <w:rPr>
          <w:rFonts w:ascii="Sylfaen" w:hAnsi="Sylfaen"/>
          <w:sz w:val="24"/>
          <w:szCs w:val="24"/>
        </w:rPr>
        <w:lastRenderedPageBreak/>
        <w:t>արտադրական հարթակում</w:t>
      </w:r>
      <w:r w:rsidR="00F278B2">
        <w:rPr>
          <w:rFonts w:ascii="Sylfaen" w:hAnsi="Sylfaen"/>
          <w:sz w:val="24"/>
          <w:szCs w:val="24"/>
        </w:rPr>
        <w:t xml:space="preserve"> </w:t>
      </w:r>
      <w:r w:rsidR="00E90FAF" w:rsidRPr="00E90FAF">
        <w:rPr>
          <w:rFonts w:ascii="Sylfaen" w:hAnsi="Sylfaen"/>
          <w:sz w:val="24"/>
          <w:szCs w:val="24"/>
        </w:rPr>
        <w:t>(</w:t>
      </w:r>
      <w:r w:rsidR="00F278B2">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3C44D89C" w14:textId="77777777" w:rsidR="006F76EB" w:rsidRPr="00834D52" w:rsidRDefault="006F76EB" w:rsidP="00D75BE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1.6.6.</w:t>
      </w:r>
      <w:r w:rsidRPr="00834D52">
        <w:rPr>
          <w:rFonts w:ascii="Sylfaen" w:hAnsi="Sylfaen"/>
          <w:sz w:val="24"/>
          <w:szCs w:val="24"/>
        </w:rPr>
        <w:tab/>
        <w:t>Ներկայացված արտադրական հարթակին առնչվող տեսչական ստուգումների արդյունքներով վերջին 3 տարիների ընթացքում լիազորված մարմնի կողմից ընդունված ցանկացած կարգավորիչ միջոցի մասին տեղեկություններ (առկայության դեպքում):</w:t>
      </w:r>
    </w:p>
    <w:p w14:paraId="38369D28" w14:textId="77777777" w:rsidR="006F76EB" w:rsidRPr="00834D52" w:rsidRDefault="006F76EB" w:rsidP="00564D3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1.6.7.</w:t>
      </w:r>
      <w:r w:rsidRPr="00834D52">
        <w:rPr>
          <w:rFonts w:ascii="Sylfaen" w:hAnsi="Sylfaen"/>
          <w:sz w:val="24"/>
          <w:szCs w:val="24"/>
        </w:rPr>
        <w:tab/>
        <w:t xml:space="preserve">Որակի հարցերով լիազորված անձի նամակը՝ գրանցման համար ներկայացված դեղապատրաստուկի արտադրության պայմանները Միության պատշաճ արտադրական գործելակերպի կանոններին համապատասխանելու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նյութի արտադրության գործընթացում օգտագործվող յուրաքանչյուր արտադրական հարթակի համար ելանյութերի առնչությամբ՝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արտադրության գործընթացում հսկողություն: Նամակը պետք է ստորագրվի որակի հարցերով լիազորված մարմնի կողմից </w:t>
      </w:r>
      <w:r w:rsidR="00C54D75">
        <w:rPr>
          <w:rFonts w:ascii="Sylfaen" w:hAnsi="Sylfaen"/>
          <w:sz w:val="24"/>
          <w:szCs w:val="24"/>
        </w:rPr>
        <w:t>և</w:t>
      </w:r>
      <w:r w:rsidRPr="00834D52">
        <w:rPr>
          <w:rFonts w:ascii="Sylfaen" w:hAnsi="Sylfaen"/>
          <w:sz w:val="24"/>
          <w:szCs w:val="24"/>
        </w:rPr>
        <w:t xml:space="preserve"> հաստատվի արտադրողի կնիքով (դրոշմակնիքով)՝ անհրաժեշտության դեպքում ռուսերեն թարգմանությամբ:</w:t>
      </w:r>
    </w:p>
    <w:p w14:paraId="2237E21F" w14:textId="62CF948D"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1.6.8.</w:t>
      </w:r>
      <w:r w:rsidRPr="00834D52">
        <w:rPr>
          <w:rFonts w:ascii="Sylfaen" w:hAnsi="Sylfaen"/>
          <w:sz w:val="24"/>
          <w:szCs w:val="24"/>
        </w:rPr>
        <w:tab/>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արտադրված դեղապատրաստուկների որակի առնչությամբ վերջին 3 տարիների ընթացքում ներկայացված բողոքագրերի մասին տեղեկությունները կամ բողոքագրերի բացակայության հաստատումը:</w:t>
      </w:r>
    </w:p>
    <w:p w14:paraId="54EA89E4"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1.6.9.</w:t>
      </w:r>
      <w:r w:rsidRPr="00834D52">
        <w:rPr>
          <w:rFonts w:ascii="Sylfaen" w:hAnsi="Sylfaen"/>
          <w:sz w:val="24"/>
          <w:szCs w:val="24"/>
        </w:rPr>
        <w:tab/>
        <w:t xml:space="preserve">Միության իրավունքի մաս կազմող միջազգային պայմանագրերի </w:t>
      </w:r>
      <w:r w:rsidR="00C54D75">
        <w:rPr>
          <w:rFonts w:ascii="Sylfaen" w:hAnsi="Sylfaen"/>
          <w:sz w:val="24"/>
          <w:szCs w:val="24"/>
        </w:rPr>
        <w:t>և</w:t>
      </w:r>
      <w:r w:rsidRPr="00834D52">
        <w:rPr>
          <w:rFonts w:ascii="Sylfaen" w:hAnsi="Sylfaen"/>
          <w:sz w:val="24"/>
          <w:szCs w:val="24"/>
        </w:rPr>
        <w:t xml:space="preserve"> ակտերի պահանջներին համապատասխանության դեղագործական տեսչական ստուգում անցկացնելու համաձայնություն:</w:t>
      </w:r>
    </w:p>
    <w:p w14:paraId="44B8C65F" w14:textId="346938A3"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1.6.10.</w:t>
      </w:r>
      <w:r w:rsidRPr="00834D52">
        <w:rPr>
          <w:rFonts w:ascii="Sylfaen" w:hAnsi="Sylfaen"/>
          <w:sz w:val="24"/>
          <w:szCs w:val="24"/>
        </w:rPr>
        <w:tab/>
        <w:t xml:space="preserve">Արտադրական հարթակի (արտադրական հարթակների) հիմնական դոսյեի՝ </w:t>
      </w:r>
      <w:r w:rsidR="0056496B">
        <w:rPr>
          <w:rFonts w:ascii="Sylfaen" w:hAnsi="Sylfaen"/>
          <w:sz w:val="24"/>
          <w:szCs w:val="24"/>
        </w:rPr>
        <w:t>դիմումատու</w:t>
      </w:r>
      <w:r w:rsidRPr="00834D52">
        <w:rPr>
          <w:rFonts w:ascii="Sylfaen" w:hAnsi="Sylfaen"/>
          <w:sz w:val="24"/>
          <w:szCs w:val="24"/>
        </w:rPr>
        <w:t>ի կողմից վավերացված պատճեն (մաստեր-ֆայլը) (եթե կիրառելի է):</w:t>
      </w:r>
    </w:p>
    <w:p w14:paraId="7F9EFC7B"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1.6.11.</w:t>
      </w:r>
      <w:r w:rsidRPr="00834D52">
        <w:rPr>
          <w:rFonts w:ascii="Sylfaen" w:hAnsi="Sylfaen"/>
          <w:sz w:val="24"/>
          <w:szCs w:val="24"/>
        </w:rPr>
        <w:tab/>
        <w:t xml:space="preserve">Արտադրության փուլերի սխեման՝ նշելով դեղապատրաստուկի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ակտիվ դեղագործական բաղադրամասի արտադրության գործընթացում ներգրավված բոլոր արտադրական հարթակները՝ ներառյալ բացթողման համար անհրաժեշտ որակի հսկողությունը:</w:t>
      </w:r>
    </w:p>
    <w:p w14:paraId="1148EFF3" w14:textId="77777777" w:rsidR="006F76EB" w:rsidRPr="00834D52" w:rsidRDefault="006F76EB" w:rsidP="00B22ED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w:t>
      </w:r>
      <w:r w:rsidRPr="00834D52">
        <w:rPr>
          <w:rFonts w:ascii="Sylfaen" w:hAnsi="Sylfaen"/>
          <w:sz w:val="24"/>
          <w:szCs w:val="24"/>
        </w:rPr>
        <w:tab/>
        <w:t>Մասնագետների մասին տեղեկատվություն՝</w:t>
      </w:r>
    </w:p>
    <w:p w14:paraId="3629FB18" w14:textId="77777777" w:rsidR="006F76EB" w:rsidRPr="00834D52" w:rsidRDefault="006F76EB" w:rsidP="00564D39">
      <w:pPr>
        <w:tabs>
          <w:tab w:val="left" w:pos="1701"/>
        </w:tabs>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1.7.1.</w:t>
      </w:r>
      <w:r w:rsidRPr="00834D52">
        <w:rPr>
          <w:rFonts w:ascii="Sylfaen" w:hAnsi="Sylfaen"/>
          <w:spacing w:val="-4"/>
          <w:sz w:val="24"/>
          <w:szCs w:val="24"/>
        </w:rPr>
        <w:tab/>
        <w:t>Տեղեկատվություն՝ որակի ռեզյումե պատրաստած մասնագետի մասին:</w:t>
      </w:r>
    </w:p>
    <w:p w14:paraId="03929BF1" w14:textId="7ED5BD60" w:rsidR="006F76EB" w:rsidRDefault="006F76EB" w:rsidP="00564D39">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1.7.2.</w:t>
      </w:r>
      <w:r w:rsidRPr="00834D52">
        <w:rPr>
          <w:rFonts w:ascii="Sylfaen" w:hAnsi="Sylfaen"/>
          <w:sz w:val="24"/>
          <w:szCs w:val="24"/>
        </w:rPr>
        <w:tab/>
        <w:t xml:space="preserve">Տեղեկատվություն՝ նախակլինիկական </w:t>
      </w:r>
      <w:r w:rsidR="009C779E" w:rsidRPr="009C779E">
        <w:rPr>
          <w:rFonts w:ascii="Sylfaen" w:hAnsi="Sylfaen"/>
          <w:sz w:val="24"/>
          <w:szCs w:val="24"/>
        </w:rPr>
        <w:t>հետազոտությունների</w:t>
      </w:r>
      <w:r w:rsidR="009C779E">
        <w:rPr>
          <w:rFonts w:ascii="Sylfaen" w:hAnsi="Sylfaen"/>
          <w:sz w:val="24"/>
          <w:szCs w:val="24"/>
        </w:rPr>
        <w:t xml:space="preserve"> </w:t>
      </w:r>
      <w:r w:rsidR="00897825" w:rsidRPr="00834D52">
        <w:rPr>
          <w:rFonts w:ascii="Sylfaen" w:hAnsi="Sylfaen"/>
          <w:sz w:val="24"/>
          <w:szCs w:val="24"/>
        </w:rPr>
        <w:t xml:space="preserve">ռեզյումե </w:t>
      </w:r>
      <w:r w:rsidRPr="00834D52">
        <w:rPr>
          <w:rFonts w:ascii="Sylfaen" w:hAnsi="Sylfaen"/>
          <w:sz w:val="24"/>
          <w:szCs w:val="24"/>
        </w:rPr>
        <w:t>պատրաստած մասնագետի մասին:</w:t>
      </w:r>
    </w:p>
    <w:p w14:paraId="76E57FDA" w14:textId="065FDFB8" w:rsidR="009C779E" w:rsidRPr="006F28F9" w:rsidRDefault="009C779E" w:rsidP="00897825">
      <w:pPr>
        <w:rPr>
          <w:b/>
          <w:bCs/>
          <w:i/>
          <w:iCs/>
        </w:rPr>
      </w:pPr>
      <w:r w:rsidRPr="00CD4709">
        <w:rPr>
          <w:b/>
          <w:bCs/>
          <w:i/>
          <w:iCs/>
        </w:rPr>
        <w:t>(</w:t>
      </w:r>
      <w:r w:rsidR="00897825">
        <w:rPr>
          <w:b/>
          <w:bCs/>
          <w:i/>
          <w:iCs/>
        </w:rPr>
        <w:t xml:space="preserve">1.7.2.կետը </w:t>
      </w:r>
      <w:r w:rsidRPr="00CD4709">
        <w:rPr>
          <w:b/>
          <w:bCs/>
          <w:i/>
          <w:iCs/>
        </w:rPr>
        <w:t>փոփ. 30.01.20 թիվ 9)</w:t>
      </w:r>
    </w:p>
    <w:p w14:paraId="2A752652" w14:textId="0F2CA960" w:rsidR="006F76EB" w:rsidRPr="00834D52" w:rsidRDefault="006F76EB" w:rsidP="00564D39">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 xml:space="preserve">Տեղեկատվություն՝ կլինիկական </w:t>
      </w:r>
      <w:r w:rsidR="00897825" w:rsidRPr="009C779E">
        <w:rPr>
          <w:rFonts w:ascii="Sylfaen" w:hAnsi="Sylfaen"/>
          <w:sz w:val="24"/>
          <w:szCs w:val="24"/>
        </w:rPr>
        <w:t>հետազոտությունների</w:t>
      </w:r>
      <w:r w:rsidRPr="00834D52">
        <w:rPr>
          <w:rFonts w:ascii="Sylfaen" w:hAnsi="Sylfaen"/>
          <w:sz w:val="24"/>
          <w:szCs w:val="24"/>
        </w:rPr>
        <w:t xml:space="preserve"> ռեզյումե պատրաստած մասնագետի մասին:</w:t>
      </w:r>
    </w:p>
    <w:p w14:paraId="6B4BF359" w14:textId="6C59A215" w:rsidR="006F76EB"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մասնագետների մասին տեղեկատվությունը ներառում է նրանց կրթության, մասնագիտացման </w:t>
      </w:r>
      <w:r w:rsidR="00C54D75">
        <w:rPr>
          <w:rFonts w:ascii="Sylfaen" w:hAnsi="Sylfaen"/>
          <w:sz w:val="24"/>
          <w:szCs w:val="24"/>
        </w:rPr>
        <w:t>և</w:t>
      </w:r>
      <w:r w:rsidRPr="00834D52">
        <w:rPr>
          <w:rFonts w:ascii="Sylfaen" w:hAnsi="Sylfaen"/>
          <w:sz w:val="24"/>
          <w:szCs w:val="24"/>
        </w:rPr>
        <w:t xml:space="preserve"> մասնագիտական փորձի մասին տեղեկություններ </w:t>
      </w:r>
      <w:r w:rsidR="00C54D75">
        <w:rPr>
          <w:rFonts w:ascii="Sylfaen" w:hAnsi="Sylfaen"/>
          <w:sz w:val="24"/>
          <w:szCs w:val="24"/>
        </w:rPr>
        <w:t>և</w:t>
      </w:r>
      <w:r w:rsidRPr="00834D52">
        <w:rPr>
          <w:rFonts w:ascii="Sylfaen" w:hAnsi="Sylfaen"/>
          <w:sz w:val="24"/>
          <w:szCs w:val="24"/>
        </w:rPr>
        <w:t xml:space="preserve"> պետք է ստորագրվի որակի, 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ռեզյումե </w:t>
      </w:r>
      <w:r w:rsidR="00C54D75">
        <w:rPr>
          <w:rFonts w:ascii="Sylfaen" w:hAnsi="Sylfaen"/>
          <w:sz w:val="24"/>
          <w:szCs w:val="24"/>
        </w:rPr>
        <w:t>և</w:t>
      </w:r>
      <w:r w:rsidRPr="00834D52">
        <w:rPr>
          <w:rFonts w:ascii="Sylfaen" w:hAnsi="Sylfaen"/>
          <w:sz w:val="24"/>
          <w:szCs w:val="24"/>
        </w:rPr>
        <w:t xml:space="preserve"> ուսումնասիրություն կազմած մասնագետների կողմից: Տվյալ մասնագետները պետք է ունենան համապատասխան որակավորում: Հարկ է նշել ռեզյումեն կազմած մասնագետի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միջ</w:t>
      </w:r>
      <w:r w:rsidR="00C54D75">
        <w:rPr>
          <w:rFonts w:ascii="Sylfaen" w:hAnsi="Sylfaen"/>
          <w:sz w:val="24"/>
          <w:szCs w:val="24"/>
        </w:rPr>
        <w:t>և</w:t>
      </w:r>
      <w:r w:rsidRPr="00834D52">
        <w:rPr>
          <w:rFonts w:ascii="Sylfaen" w:hAnsi="Sylfaen"/>
          <w:sz w:val="24"/>
          <w:szCs w:val="24"/>
        </w:rPr>
        <w:t xml:space="preserve"> մասնագիտական հարաբերությունների առկայությունը:</w:t>
      </w:r>
    </w:p>
    <w:p w14:paraId="6E5DAFEB" w14:textId="28372C46" w:rsidR="00897825" w:rsidRPr="006F28F9" w:rsidRDefault="00897825" w:rsidP="00897825">
      <w:pPr>
        <w:rPr>
          <w:b/>
          <w:bCs/>
          <w:i/>
          <w:iCs/>
        </w:rPr>
      </w:pPr>
      <w:r w:rsidRPr="00CD4709">
        <w:rPr>
          <w:b/>
          <w:bCs/>
          <w:i/>
          <w:iCs/>
        </w:rPr>
        <w:t>(</w:t>
      </w:r>
      <w:r>
        <w:rPr>
          <w:b/>
          <w:bCs/>
          <w:i/>
          <w:iCs/>
        </w:rPr>
        <w:t xml:space="preserve">1.7.3.կետը </w:t>
      </w:r>
      <w:r w:rsidRPr="00CD4709">
        <w:rPr>
          <w:b/>
          <w:bCs/>
          <w:i/>
          <w:iCs/>
        </w:rPr>
        <w:t>փոփ. 30.01.20 թիվ 9)</w:t>
      </w:r>
    </w:p>
    <w:p w14:paraId="45ABE42F" w14:textId="77777777" w:rsidR="00897825" w:rsidRPr="00834D52" w:rsidRDefault="00897825" w:rsidP="006F76EB">
      <w:pPr>
        <w:tabs>
          <w:tab w:val="left" w:pos="1418"/>
        </w:tabs>
        <w:spacing w:after="160" w:line="360" w:lineRule="auto"/>
        <w:ind w:right="-8" w:firstLine="567"/>
        <w:jc w:val="both"/>
        <w:rPr>
          <w:rFonts w:ascii="Sylfaen" w:eastAsia="Times New Roman" w:hAnsi="Sylfaen" w:cs="Times New Roman"/>
          <w:sz w:val="24"/>
          <w:szCs w:val="24"/>
        </w:rPr>
      </w:pPr>
    </w:p>
    <w:p w14:paraId="5BC39C2F" w14:textId="75C01E6B" w:rsidR="006F76EB" w:rsidRPr="00834D52" w:rsidRDefault="006F76EB" w:rsidP="00564D3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w:t>
      </w:r>
      <w:r w:rsidRPr="00834D52">
        <w:rPr>
          <w:rFonts w:ascii="Sylfaen" w:hAnsi="Sylfaen"/>
          <w:sz w:val="24"/>
          <w:szCs w:val="24"/>
        </w:rPr>
        <w:tab/>
        <w:t xml:space="preserve">Տարբեր տեսակի </w:t>
      </w:r>
      <w:r w:rsidR="0056496B">
        <w:rPr>
          <w:rFonts w:ascii="Sylfaen" w:hAnsi="Sylfaen"/>
          <w:sz w:val="24"/>
          <w:szCs w:val="24"/>
        </w:rPr>
        <w:t>դիմում</w:t>
      </w:r>
      <w:r w:rsidR="009F5829">
        <w:rPr>
          <w:rFonts w:ascii="Sylfaen" w:hAnsi="Sylfaen"/>
          <w:sz w:val="24"/>
          <w:szCs w:val="24"/>
        </w:rPr>
        <w:t>ն</w:t>
      </w:r>
      <w:r w:rsidRPr="00834D52">
        <w:rPr>
          <w:rFonts w:ascii="Sylfaen" w:hAnsi="Sylfaen"/>
          <w:sz w:val="24"/>
          <w:szCs w:val="24"/>
        </w:rPr>
        <w:t xml:space="preserve">երի համար առանձնահատուկ պահանջները՝ </w:t>
      </w:r>
    </w:p>
    <w:p w14:paraId="7A4BA4D7" w14:textId="5216F6AC"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1.8.1.</w:t>
      </w:r>
      <w:r w:rsidRPr="00834D52">
        <w:rPr>
          <w:rFonts w:ascii="Sylfaen" w:hAnsi="Sylfaen"/>
          <w:sz w:val="24"/>
          <w:szCs w:val="24"/>
        </w:rPr>
        <w:tab/>
        <w:t>Դեղապատրաստուկի լրացուցիչ առ</w:t>
      </w:r>
      <w:r w:rsidR="00C54D75">
        <w:rPr>
          <w:rFonts w:ascii="Sylfaen" w:hAnsi="Sylfaen"/>
          <w:sz w:val="24"/>
          <w:szCs w:val="24"/>
        </w:rPr>
        <w:t>և</w:t>
      </w:r>
      <w:r w:rsidRPr="00834D52">
        <w:rPr>
          <w:rFonts w:ascii="Sylfaen" w:hAnsi="Sylfaen"/>
          <w:sz w:val="24"/>
          <w:szCs w:val="24"/>
        </w:rPr>
        <w:t xml:space="preserve">տրային անվանման մասին գրանցման հավաստագրի տիրոջ նամակը ներկայացվում է, եթե </w:t>
      </w:r>
      <w:r w:rsidR="0056496B">
        <w:rPr>
          <w:rFonts w:ascii="Sylfaen" w:hAnsi="Sylfaen"/>
          <w:sz w:val="24"/>
          <w:szCs w:val="24"/>
        </w:rPr>
        <w:t>դիմումատու</w:t>
      </w:r>
      <w:r w:rsidRPr="00834D52">
        <w:rPr>
          <w:rFonts w:ascii="Sylfaen" w:hAnsi="Sylfaen"/>
          <w:sz w:val="24"/>
          <w:szCs w:val="24"/>
        </w:rPr>
        <w:t xml:space="preserve">ն պլանավորում է արտադրող երկրում,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ճանաչման պետությունում գրանցել դեղապատրաստուկը տարբեր առ</w:t>
      </w:r>
      <w:r w:rsidR="00C54D75">
        <w:rPr>
          <w:rFonts w:ascii="Sylfaen" w:hAnsi="Sylfaen"/>
          <w:sz w:val="24"/>
          <w:szCs w:val="24"/>
        </w:rPr>
        <w:t>և</w:t>
      </w:r>
      <w:r w:rsidRPr="00834D52">
        <w:rPr>
          <w:rFonts w:ascii="Sylfaen" w:hAnsi="Sylfaen"/>
          <w:sz w:val="24"/>
          <w:szCs w:val="24"/>
        </w:rPr>
        <w:t>տրային անվանումների տակ</w:t>
      </w:r>
      <w:r w:rsidR="003C7E9C">
        <w:rPr>
          <w:rFonts w:ascii="Sylfaen" w:hAnsi="Sylfaen"/>
          <w:sz w:val="24"/>
          <w:szCs w:val="24"/>
        </w:rPr>
        <w:t xml:space="preserve"> </w:t>
      </w:r>
      <w:r w:rsidR="00E90FAF" w:rsidRPr="00E90FAF">
        <w:rPr>
          <w:rFonts w:ascii="Sylfaen" w:hAnsi="Sylfaen"/>
          <w:sz w:val="24"/>
          <w:szCs w:val="24"/>
        </w:rPr>
        <w:t>(</w:t>
      </w:r>
      <w:r w:rsidR="003C7E9C">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 xml:space="preserve">: Նամակում պետք է նշված լինեն </w:t>
      </w:r>
      <w:r w:rsidRPr="00834D52">
        <w:rPr>
          <w:rFonts w:ascii="Sylfaen" w:hAnsi="Sylfaen"/>
          <w:sz w:val="24"/>
          <w:szCs w:val="24"/>
        </w:rPr>
        <w:lastRenderedPageBreak/>
        <w:t xml:space="preserve">երաշխիքներ առ այն, որ այդ նպատակով օգտագործվում է մեկ գրանցման դոսյե: Նամակը պետք է ստորագրվի </w:t>
      </w:r>
      <w:r w:rsidR="00C54D75">
        <w:rPr>
          <w:rFonts w:ascii="Sylfaen" w:hAnsi="Sylfaen"/>
          <w:sz w:val="24"/>
          <w:szCs w:val="24"/>
        </w:rPr>
        <w:t>և</w:t>
      </w:r>
      <w:r w:rsidRPr="00834D52">
        <w:rPr>
          <w:rFonts w:ascii="Sylfaen" w:hAnsi="Sylfaen"/>
          <w:sz w:val="24"/>
          <w:szCs w:val="24"/>
        </w:rPr>
        <w:t xml:space="preserve"> թվագրվի գրանցման հավաստագրի իրավատիրոջ կողմից:</w:t>
      </w:r>
    </w:p>
    <w:p w14:paraId="42FFD047"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1.8.2.</w:t>
      </w:r>
      <w:r w:rsidRPr="00834D52">
        <w:rPr>
          <w:rFonts w:ascii="Sylfaen" w:hAnsi="Sylfaen"/>
          <w:spacing w:val="-4"/>
          <w:sz w:val="24"/>
          <w:szCs w:val="24"/>
        </w:rPr>
        <w:tab/>
        <w:t>Կլինիկական հետազոտությունների փաստաթղթերը (եթե կիրառելի</w:t>
      </w:r>
      <w:r w:rsidR="00564D39" w:rsidRPr="00EC4C5B">
        <w:rPr>
          <w:rFonts w:ascii="Sylfaen" w:hAnsi="Sylfaen"/>
          <w:spacing w:val="-4"/>
          <w:sz w:val="24"/>
          <w:szCs w:val="24"/>
        </w:rPr>
        <w:t> </w:t>
      </w:r>
      <w:r w:rsidRPr="00834D52">
        <w:rPr>
          <w:rFonts w:ascii="Sylfaen" w:hAnsi="Sylfaen"/>
          <w:spacing w:val="-4"/>
          <w:sz w:val="24"/>
          <w:szCs w:val="24"/>
        </w:rPr>
        <w:t xml:space="preserve">են): </w:t>
      </w:r>
    </w:p>
    <w:p w14:paraId="6AE61D84" w14:textId="77777777" w:rsidR="006F76EB" w:rsidRPr="00834D52" w:rsidRDefault="006F76EB" w:rsidP="00564D3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1.8.2.1.</w:t>
      </w:r>
      <w:r w:rsidRPr="00834D52">
        <w:rPr>
          <w:rFonts w:ascii="Sylfaen" w:hAnsi="Sylfaen"/>
          <w:sz w:val="24"/>
          <w:szCs w:val="24"/>
        </w:rPr>
        <w:tab/>
        <w:t xml:space="preserve">Լիազորված մարմնի՝ կլինիկական հետազոտություն անցկացնելու, այդ թվում՝ ուղղում կատարելու թույլտվությունը: </w:t>
      </w:r>
    </w:p>
    <w:p w14:paraId="1907361C" w14:textId="2D305A2A" w:rsidR="006F76EB" w:rsidRPr="00834D52" w:rsidRDefault="006F76EB" w:rsidP="00564D3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1.8.2.2.</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պատշաճ կլինիկական գործունեությանը (GCP) համապատասխանության մասով անցկացված տեսչական ստուգումների ցանկը՝ նշելով տեսչական ստուգումներ անցկացրած լիազորված մարմինները, անցկացման ամսաթվերը, արդյունքները (առկայության դեպքում):</w:t>
      </w:r>
    </w:p>
    <w:p w14:paraId="44B38C0A" w14:textId="77777777" w:rsidR="006F76EB" w:rsidRPr="00834D52" w:rsidRDefault="006F76EB" w:rsidP="00B22ED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Տեսչական ստուգումների ցանկը ներառում է դեղապատրաստուկի կլինիկական հետազոտություններին մասնակցած հետազոտական կենտրոնների տեսչական ստուգումները, հովանավորի կամ դեղապատրաստուկի կլինիկական հետազոտության պայմանագրային հետազոտական կազմակերպության տեսչական ստուգումները կամ հետազոտության հետ առնչություն ունեցող այլ կազմակերպությունների տեսչական ստուգումները (օրինակ՝ դեղապատրաստուկի կլինիկական հետազոտությունների մեջ ներգրավված վերլուծական լաբորատորիայի) , այլ GCP տեսչական ստուգումներ:</w:t>
      </w:r>
    </w:p>
    <w:p w14:paraId="37103A7E" w14:textId="23F13A10" w:rsidR="006F76EB" w:rsidRPr="00834D52" w:rsidRDefault="006F76EB" w:rsidP="00155C84">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կլինիկական հետազոտությունն ամբողջությամբ անցկացվել է երրորդ երկրների հետազոտական կենտրոններում, անհրաժեշտ է ցանկում ներառել այն հետազոտական կենտրոններում անցկացված GCP տեսչական ստուգումների արդյունքները, որոնցում տվյալ դեղապատրաստուկի հետազոտության շրջանակներում ներառվել են առավելագույն թվով պացիենտներ: Տեսչական ստուգումները կարող են անցկացվել այլ հետազոտության մասով, այդ թվում՝ այլ պատրաստուկի մասով, որի գրացման հավաստագրի տիրապետողը </w:t>
      </w:r>
      <w:r w:rsidR="0056496B">
        <w:rPr>
          <w:rFonts w:ascii="Sylfaen" w:hAnsi="Sylfaen"/>
          <w:sz w:val="24"/>
          <w:szCs w:val="24"/>
        </w:rPr>
        <w:lastRenderedPageBreak/>
        <w:t>դիմումատու</w:t>
      </w:r>
      <w:r w:rsidRPr="00834D52">
        <w:rPr>
          <w:rFonts w:ascii="Sylfaen" w:hAnsi="Sylfaen"/>
          <w:sz w:val="24"/>
          <w:szCs w:val="24"/>
        </w:rPr>
        <w:t xml:space="preserve">ն չէ: Այդ դեպքում լիազորված մարմինները (փորձագիտական կազմակերպությունները) համապատասխան կարգավորող մարմիններից ինքնուրույն պահանջում են այդպիսի ստուգումների մասին հաշվետվություններ, </w:t>
      </w:r>
      <w:r w:rsidR="00C54D75">
        <w:rPr>
          <w:rFonts w:ascii="Sylfaen" w:hAnsi="Sylfaen"/>
          <w:sz w:val="24"/>
          <w:szCs w:val="24"/>
        </w:rPr>
        <w:t>և</w:t>
      </w:r>
      <w:r w:rsidRPr="00834D52">
        <w:rPr>
          <w:rFonts w:ascii="Sylfaen" w:hAnsi="Sylfaen"/>
          <w:sz w:val="24"/>
          <w:szCs w:val="24"/>
        </w:rPr>
        <w:t xml:space="preserve"> դրանք չեն ներկայացվում դեղապատրաստուկի գրանցման դոսյեի 1-ին մոդուլի 1.8.3.3 բաժնում:</w:t>
      </w:r>
    </w:p>
    <w:p w14:paraId="04A0CBF8" w14:textId="7777777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1.8.2.3.</w:t>
      </w:r>
      <w:r w:rsidRPr="00834D52">
        <w:rPr>
          <w:rFonts w:ascii="Sylfaen" w:hAnsi="Sylfaen"/>
          <w:sz w:val="24"/>
          <w:szCs w:val="24"/>
        </w:rPr>
        <w:tab/>
        <w:t>Սույն հավելվածի 1.8.3.2 կետում թվարկված GCP տեսչական ստուգումների անցկացման մասին հաշվետվությունների պատճենները (առկայության դեպքում):</w:t>
      </w:r>
    </w:p>
    <w:p w14:paraId="27BD948E" w14:textId="77777777" w:rsidR="006F76EB" w:rsidRPr="00834D52" w:rsidRDefault="006F76EB" w:rsidP="00155C8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1.8.2.4.</w:t>
      </w:r>
      <w:r w:rsidRPr="00834D52">
        <w:rPr>
          <w:rFonts w:ascii="Sylfaen" w:hAnsi="Sylfaen"/>
          <w:sz w:val="24"/>
          <w:szCs w:val="24"/>
        </w:rPr>
        <w:tab/>
        <w:t xml:space="preserve">Կլինիկական հետազոտության հովանավորի </w:t>
      </w:r>
      <w:r w:rsidR="00C54D75">
        <w:rPr>
          <w:rFonts w:ascii="Sylfaen" w:hAnsi="Sylfaen"/>
          <w:sz w:val="24"/>
          <w:szCs w:val="24"/>
        </w:rPr>
        <w:t>և</w:t>
      </w:r>
      <w:r w:rsidRPr="00834D52">
        <w:rPr>
          <w:rFonts w:ascii="Sylfaen" w:hAnsi="Sylfaen"/>
          <w:sz w:val="24"/>
          <w:szCs w:val="24"/>
        </w:rPr>
        <w:t xml:space="preserve"> հետազոտական կենտրոնի (պայմանագրային հետազոտական կազմակերպության) միջ</w:t>
      </w:r>
      <w:r w:rsidR="00C54D75">
        <w:rPr>
          <w:rFonts w:ascii="Sylfaen" w:hAnsi="Sylfaen"/>
          <w:sz w:val="24"/>
          <w:szCs w:val="24"/>
        </w:rPr>
        <w:t>և</w:t>
      </w:r>
      <w:r w:rsidRPr="00834D52">
        <w:rPr>
          <w:rFonts w:ascii="Sylfaen" w:hAnsi="Sylfaen"/>
          <w:sz w:val="24"/>
          <w:szCs w:val="24"/>
        </w:rPr>
        <w:t xml:space="preserve"> պայմանագրերի պատճենները (անհրաժեշտության դեպքում՝ գաղտնի տեղեկատվությունը հանելուց հետո):</w:t>
      </w:r>
    </w:p>
    <w:p w14:paraId="2EF8CC8D" w14:textId="77777777" w:rsidR="006F76EB" w:rsidRPr="00834D52" w:rsidRDefault="006F76EB" w:rsidP="00EC4C5B">
      <w:pPr>
        <w:tabs>
          <w:tab w:val="left" w:pos="1701"/>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1.8.3.</w:t>
      </w:r>
      <w:r w:rsidRPr="00834D52">
        <w:rPr>
          <w:rFonts w:ascii="Sylfaen" w:hAnsi="Sylfaen"/>
          <w:spacing w:val="4"/>
          <w:sz w:val="24"/>
          <w:szCs w:val="24"/>
        </w:rPr>
        <w:tab/>
        <w:t>Կլինիկական հետազոտությունների ցանկով աղյուսակ (եթե կիրառելի է):</w:t>
      </w:r>
    </w:p>
    <w:p w14:paraId="19CC0335" w14:textId="44D9E41C" w:rsidR="006F76EB" w:rsidRPr="00834D52" w:rsidRDefault="006F76EB" w:rsidP="00EC4C5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1.8.4.</w:t>
      </w:r>
      <w:r w:rsidRPr="00834D52">
        <w:rPr>
          <w:rFonts w:ascii="Sylfaen" w:hAnsi="Sylfaen"/>
          <w:sz w:val="24"/>
          <w:szCs w:val="24"/>
        </w:rPr>
        <w:tab/>
        <w:t xml:space="preserve">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Հանձնաժողովի կողմից հաստատվող՝ Եվրասիական տնտեսական միության պատշաճ արտադրական գործունեության պահանջներին համապատասխանելու մասին գրանցման հավաստագրի իրավատիրոջ նամակը:</w:t>
      </w:r>
    </w:p>
    <w:p w14:paraId="42A3D4C1" w14:textId="4448DEA2" w:rsidR="006F76EB" w:rsidRPr="00834D52" w:rsidRDefault="006F76EB" w:rsidP="00477BB0">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w:t>
      </w:r>
      <w:r w:rsidRPr="00834D52">
        <w:rPr>
          <w:rFonts w:ascii="Sylfaen" w:hAnsi="Sylfaen"/>
          <w:sz w:val="24"/>
          <w:szCs w:val="24"/>
        </w:rPr>
        <w:tab/>
        <w:t xml:space="preserve">Շրջակա միջավայրի համար հնարավոր վտանգը գնահատելու մասին </w:t>
      </w:r>
      <w:r w:rsidR="0056496B">
        <w:rPr>
          <w:rFonts w:ascii="Sylfaen" w:hAnsi="Sylfaen"/>
          <w:sz w:val="24"/>
          <w:szCs w:val="24"/>
        </w:rPr>
        <w:t>դիմումատու</w:t>
      </w:r>
      <w:r w:rsidRPr="00834D52">
        <w:rPr>
          <w:rFonts w:ascii="Sylfaen" w:hAnsi="Sylfaen"/>
          <w:sz w:val="24"/>
          <w:szCs w:val="24"/>
        </w:rPr>
        <w:t>ի փաստաթղթերը (տեղադրվում են որպես մոդուլի հավելված թիվ 1) (առկայության դեպքում):</w:t>
      </w:r>
    </w:p>
    <w:p w14:paraId="2225DB6A" w14:textId="031361E9"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1.9.1.</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նամակն այն մասին, որ դեղապատրաստուկները պարունակում են գենետիկորեն մոդիֆիկացված օրգանիզմներ կամ ստացվել են դրանցից (եթե կիրառելի է):</w:t>
      </w:r>
    </w:p>
    <w:p w14:paraId="215F292F" w14:textId="25BFB944"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1.10.</w:t>
      </w:r>
      <w:r w:rsidRPr="00834D52">
        <w:rPr>
          <w:rFonts w:ascii="Sylfaen" w:hAnsi="Sylfaen"/>
          <w:sz w:val="24"/>
          <w:szCs w:val="24"/>
        </w:rPr>
        <w:tab/>
        <w:t xml:space="preserve">Անդամ պետությունում </w:t>
      </w:r>
      <w:r w:rsidR="0056496B">
        <w:rPr>
          <w:rFonts w:ascii="Sylfaen" w:hAnsi="Sylfaen"/>
          <w:sz w:val="24"/>
          <w:szCs w:val="24"/>
        </w:rPr>
        <w:t>դիմումատու</w:t>
      </w:r>
      <w:r w:rsidRPr="00834D52">
        <w:rPr>
          <w:rFonts w:ascii="Sylfaen" w:hAnsi="Sylfaen"/>
          <w:sz w:val="24"/>
          <w:szCs w:val="24"/>
        </w:rPr>
        <w:t>ի՝ դեղազգոնությանը վերաբերող տեղեկատվություն:</w:t>
      </w:r>
    </w:p>
    <w:p w14:paraId="5ABBA1FA" w14:textId="287D501F" w:rsidR="006F76EB" w:rsidRPr="00834D52" w:rsidRDefault="006F76EB" w:rsidP="00477BB0">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1.10.1.</w:t>
      </w:r>
      <w:r w:rsidRPr="00834D52">
        <w:rPr>
          <w:rFonts w:ascii="Sylfaen" w:hAnsi="Sylfaen"/>
          <w:sz w:val="24"/>
          <w:szCs w:val="24"/>
        </w:rPr>
        <w:tab/>
        <w:t xml:space="preserve">Գրանցման հավաստագրի իրավատիրոջ դեղազգոնության համակարգի մաստեր-ֆայլը, Հանձնաժողովի կողմից հաստատվող՝ Եվրասիական տնտեսական միության պատշաճ դեղազգոնության գործունեության կանոնների պահանջներին համապատասխան (այսուհետ՝ Միության պատշաճ դեղազգոնության գործունեության կանոններ), ներկայացվում է այն դեպքում, երբ գրանցման հավաստագրի իրավատերն առաջին անգամ </w:t>
      </w:r>
      <w:r w:rsidR="0056496B">
        <w:rPr>
          <w:rFonts w:ascii="Sylfaen" w:hAnsi="Sylfaen"/>
          <w:sz w:val="24"/>
          <w:szCs w:val="24"/>
        </w:rPr>
        <w:t>դիմում</w:t>
      </w:r>
      <w:r w:rsidRPr="00834D52">
        <w:rPr>
          <w:rFonts w:ascii="Sylfaen" w:hAnsi="Sylfaen"/>
          <w:sz w:val="24"/>
          <w:szCs w:val="24"/>
        </w:rPr>
        <w:t xml:space="preserve"> է ներկայացնում Միության շուկայում դեղապատրաստուկը գրանցելու համար:</w:t>
      </w:r>
    </w:p>
    <w:p w14:paraId="6B41CC9C" w14:textId="70EF5210" w:rsidR="006F76EB" w:rsidRPr="00834D52" w:rsidRDefault="006F76EB" w:rsidP="00477BB0">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Դեղապատրաստուկների գրանցման հետագա </w:t>
      </w:r>
      <w:r w:rsidR="009F5829">
        <w:rPr>
          <w:rFonts w:ascii="Sylfaen" w:hAnsi="Sylfaen"/>
          <w:sz w:val="24"/>
          <w:szCs w:val="24"/>
        </w:rPr>
        <w:t>դիմումներ</w:t>
      </w:r>
      <w:r w:rsidRPr="00834D52">
        <w:rPr>
          <w:rFonts w:ascii="Sylfaen" w:hAnsi="Sylfaen"/>
          <w:sz w:val="24"/>
          <w:szCs w:val="24"/>
        </w:rPr>
        <w:t>ի դեպքում գրանցման հավաստագրի տվյալ իրավատիրոջ անունից ներկայացվում է գրանցման հավաստագրի իրավատիրոջ դեղազգոնության համակարգի համառոտ բնութագիրը:</w:t>
      </w:r>
    </w:p>
    <w:p w14:paraId="56535FE0" w14:textId="77777777" w:rsidR="006F76EB" w:rsidRPr="00834D52" w:rsidRDefault="006F76EB" w:rsidP="00EC4C5B">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համակարգի կրճատ բնութագիրը պետք է իր մեջ պարունակի այդ թվում նա</w:t>
      </w:r>
      <w:r w:rsidR="00C54D75">
        <w:rPr>
          <w:rFonts w:ascii="Sylfaen" w:hAnsi="Sylfaen"/>
          <w:sz w:val="24"/>
          <w:szCs w:val="24"/>
        </w:rPr>
        <w:t>և</w:t>
      </w:r>
      <w:r w:rsidRPr="00834D52">
        <w:rPr>
          <w:rFonts w:ascii="Sylfaen" w:hAnsi="Sylfaen"/>
          <w:sz w:val="24"/>
          <w:szCs w:val="24"/>
        </w:rPr>
        <w:t xml:space="preserve"> հետ</w:t>
      </w:r>
      <w:r w:rsidR="00C54D75">
        <w:rPr>
          <w:rFonts w:ascii="Sylfaen" w:hAnsi="Sylfaen"/>
          <w:sz w:val="24"/>
          <w:szCs w:val="24"/>
        </w:rPr>
        <w:t>և</w:t>
      </w:r>
      <w:r w:rsidRPr="00834D52">
        <w:rPr>
          <w:rFonts w:ascii="Sylfaen" w:hAnsi="Sylfaen"/>
          <w:sz w:val="24"/>
          <w:szCs w:val="24"/>
        </w:rPr>
        <w:t>յալ տարրերը՝</w:t>
      </w:r>
    </w:p>
    <w:p w14:paraId="57920118" w14:textId="77777777" w:rsidR="006F76EB" w:rsidRPr="00834D52" w:rsidRDefault="006F76EB" w:rsidP="007E5F3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կողմից դեղազգոնության համար պատասխանատու լիազորված անձի առկայության փաստի գրավոր հավաստումը: Եթե գրանցման հավաստագրի իրավատերն անդամ պետության տարածքում չի</w:t>
      </w:r>
      <w:r w:rsidR="006E4778" w:rsidRPr="006E4778">
        <w:rPr>
          <w:rFonts w:ascii="Sylfaen" w:hAnsi="Sylfaen"/>
          <w:sz w:val="24"/>
          <w:szCs w:val="24"/>
        </w:rPr>
        <w:t> </w:t>
      </w:r>
      <w:r w:rsidRPr="00834D52">
        <w:rPr>
          <w:rFonts w:ascii="Sylfaen" w:hAnsi="Sylfaen"/>
          <w:sz w:val="24"/>
          <w:szCs w:val="24"/>
        </w:rPr>
        <w:t>գտնվում, անհրաժեշտ է նա</w:t>
      </w:r>
      <w:r w:rsidR="00C54D75">
        <w:rPr>
          <w:rFonts w:ascii="Sylfaen" w:hAnsi="Sylfaen"/>
          <w:sz w:val="24"/>
          <w:szCs w:val="24"/>
        </w:rPr>
        <w:t>և</w:t>
      </w:r>
      <w:r w:rsidRPr="00834D52">
        <w:rPr>
          <w:rFonts w:ascii="Sylfaen" w:hAnsi="Sylfaen"/>
          <w:sz w:val="24"/>
          <w:szCs w:val="24"/>
        </w:rPr>
        <w:t xml:space="preserve"> անդամ պետության տարածքում դեղազգոնության հարցերով կոնտակտային անձի առկայության հավաստում, </w:t>
      </w:r>
    </w:p>
    <w:p w14:paraId="1740E51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պետության նշում, որտեղ ապրում </w:t>
      </w:r>
      <w:r w:rsidR="00C54D75">
        <w:rPr>
          <w:rFonts w:ascii="Sylfaen" w:hAnsi="Sylfaen"/>
          <w:sz w:val="24"/>
          <w:szCs w:val="24"/>
        </w:rPr>
        <w:t>և</w:t>
      </w:r>
      <w:r w:rsidRPr="00834D52">
        <w:rPr>
          <w:rFonts w:ascii="Sylfaen" w:hAnsi="Sylfaen"/>
          <w:sz w:val="24"/>
          <w:szCs w:val="24"/>
        </w:rPr>
        <w:t xml:space="preserve"> իր գործառույթներն է կատարում լիազորված անձը, </w:t>
      </w:r>
    </w:p>
    <w:p w14:paraId="2FA06D81" w14:textId="77777777" w:rsidR="006F76EB" w:rsidRPr="00834D52" w:rsidRDefault="006F76EB" w:rsidP="0094376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լիազորված անձի </w:t>
      </w:r>
      <w:r w:rsidR="00C54D75">
        <w:rPr>
          <w:rFonts w:ascii="Sylfaen" w:hAnsi="Sylfaen"/>
          <w:sz w:val="24"/>
          <w:szCs w:val="24"/>
        </w:rPr>
        <w:t>և</w:t>
      </w:r>
      <w:r w:rsidRPr="00834D52">
        <w:rPr>
          <w:rFonts w:ascii="Sylfaen" w:hAnsi="Sylfaen"/>
          <w:sz w:val="24"/>
          <w:szCs w:val="24"/>
        </w:rPr>
        <w:t xml:space="preserve"> դեղազգոնության հարցերով կոնտակտային անձի կոնտակտային տվյալներ (եթե կիրառելի է),</w:t>
      </w:r>
    </w:p>
    <w:p w14:paraId="3895CDC6" w14:textId="60F549F8"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կողմից ստորագրված </w:t>
      </w:r>
      <w:r w:rsidR="0056496B">
        <w:rPr>
          <w:rFonts w:ascii="Sylfaen" w:hAnsi="Sylfaen"/>
          <w:sz w:val="24"/>
          <w:szCs w:val="24"/>
        </w:rPr>
        <w:t>դիմում</w:t>
      </w:r>
      <w:r w:rsidRPr="00834D52">
        <w:rPr>
          <w:rFonts w:ascii="Sylfaen" w:hAnsi="Sylfaen"/>
          <w:sz w:val="24"/>
          <w:szCs w:val="24"/>
        </w:rPr>
        <w:t xml:space="preserve"> (</w:t>
      </w:r>
      <w:r w:rsidR="009F5829">
        <w:rPr>
          <w:rFonts w:ascii="Sylfaen" w:hAnsi="Sylfaen"/>
          <w:sz w:val="24"/>
          <w:szCs w:val="24"/>
        </w:rPr>
        <w:t>հայտա</w:t>
      </w:r>
      <w:r w:rsidRPr="00834D52">
        <w:rPr>
          <w:rFonts w:ascii="Sylfaen" w:hAnsi="Sylfaen"/>
          <w:sz w:val="24"/>
          <w:szCs w:val="24"/>
        </w:rPr>
        <w:t xml:space="preserve">րարագիր) այն մասին, որ նա պարտավորվում է կատարել Միության պատշաճ դեղազգոնության գործունեության կանոնների մեջ թվարկված առաջադրանքներն ու պարտականությունները, </w:t>
      </w:r>
    </w:p>
    <w:p w14:paraId="6603EB96" w14:textId="77777777" w:rsidR="006F76EB" w:rsidRPr="00834D52" w:rsidRDefault="006F76EB" w:rsidP="0094376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հղում՝ դեղազգոնության համակարգի մաստեր-ֆայլի տեղակայման տեղին (հասցեին): </w:t>
      </w:r>
    </w:p>
    <w:p w14:paraId="3F71BE59" w14:textId="77777777"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1.10.2.</w:t>
      </w:r>
      <w:r w:rsidRPr="00834D52">
        <w:rPr>
          <w:rFonts w:ascii="Sylfaen" w:hAnsi="Sylfaen"/>
          <w:sz w:val="24"/>
          <w:szCs w:val="24"/>
        </w:rPr>
        <w:tab/>
        <w:t>Գրանցման հավաստագրի իրավատիրոջ կողմից անդամ պետության տարածքում դեղազգոնության համար պատասխանատու լիազորված անձի առկայության փաստի գրավոր հավաստում:</w:t>
      </w:r>
    </w:p>
    <w:p w14:paraId="09A0228B" w14:textId="70D82B86" w:rsidR="006F76EB" w:rsidRPr="00834D52" w:rsidRDefault="006F76EB" w:rsidP="004263D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1.10.3.</w:t>
      </w:r>
      <w:r w:rsidRPr="00834D52">
        <w:rPr>
          <w:rFonts w:ascii="Sylfaen" w:hAnsi="Sylfaen"/>
          <w:sz w:val="24"/>
          <w:szCs w:val="24"/>
        </w:rPr>
        <w:tab/>
        <w:t xml:space="preserve">Գրանցման համար </w:t>
      </w:r>
      <w:r w:rsidR="0056496B">
        <w:rPr>
          <w:rFonts w:ascii="Sylfaen" w:hAnsi="Sylfaen"/>
          <w:sz w:val="24"/>
          <w:szCs w:val="24"/>
        </w:rPr>
        <w:t>դիմում</w:t>
      </w:r>
      <w:r w:rsidRPr="00834D52">
        <w:rPr>
          <w:rFonts w:ascii="Sylfaen" w:hAnsi="Sylfaen"/>
          <w:sz w:val="24"/>
          <w:szCs w:val="24"/>
        </w:rPr>
        <w:t>ագրվող դեղապատրաստուկի ռիսկերի կառավարման՝ Միության պատշաճ դեղազգոնության գործունեության կանոններին համապատասխան պատրաստված պլան: Ռիսկերի կառավարման պլանը կարող է ներկայացվել էլեկտրոնային տարբերակով՝ թղթային կրիչով պարտադիր ներկայացնելով ռեզյումեն (եթե կիրառելի է):</w:t>
      </w:r>
    </w:p>
    <w:p w14:paraId="5F59E98A" w14:textId="77777777" w:rsidR="006F76EB" w:rsidRPr="00834D52" w:rsidRDefault="006F76EB" w:rsidP="00307AF9">
      <w:pPr>
        <w:tabs>
          <w:tab w:val="left" w:pos="1701"/>
        </w:tabs>
        <w:spacing w:after="160" w:line="360" w:lineRule="auto"/>
        <w:ind w:right="-8" w:firstLine="567"/>
        <w:jc w:val="both"/>
        <w:rPr>
          <w:rFonts w:ascii="Sylfaen" w:eastAsia="Times New Roman" w:hAnsi="Sylfaen" w:cs="Times New Roman"/>
          <w:sz w:val="24"/>
          <w:szCs w:val="24"/>
        </w:rPr>
      </w:pPr>
      <w:r w:rsidRPr="00F32044">
        <w:rPr>
          <w:rFonts w:ascii="Sylfaen" w:hAnsi="Sylfaen"/>
          <w:spacing w:val="-4"/>
          <w:sz w:val="24"/>
          <w:szCs w:val="24"/>
        </w:rPr>
        <w:t>1.10.4.</w:t>
      </w:r>
      <w:r w:rsidRPr="00F32044">
        <w:rPr>
          <w:rFonts w:ascii="Sylfaen" w:hAnsi="Sylfaen"/>
          <w:spacing w:val="-4"/>
          <w:sz w:val="24"/>
          <w:szCs w:val="24"/>
        </w:rPr>
        <w:tab/>
        <w:t>Պատշաճ կերպով վավերացված փաստաթղթեր, որոնք հավաստում</w:t>
      </w:r>
      <w:r w:rsidR="004263D4" w:rsidRPr="008048D0">
        <w:rPr>
          <w:rFonts w:ascii="Sylfaen" w:hAnsi="Sylfaen"/>
          <w:spacing w:val="-4"/>
          <w:sz w:val="24"/>
          <w:szCs w:val="24"/>
        </w:rPr>
        <w:t> </w:t>
      </w:r>
      <w:r w:rsidRPr="00F32044">
        <w:rPr>
          <w:rFonts w:ascii="Sylfaen" w:hAnsi="Sylfaen"/>
          <w:spacing w:val="-4"/>
          <w:sz w:val="24"/>
          <w:szCs w:val="24"/>
        </w:rPr>
        <w:t>են մի քանի իրավաբանական անձանց կողմից գրանցման հավաստագրի իրավատիրոջ բոլոր պարտականությունների պատշաճ կատարումն ապահովող փոխգործակցության</w:t>
      </w:r>
      <w:r w:rsidRPr="00834D52">
        <w:rPr>
          <w:rFonts w:ascii="Sylfaen" w:hAnsi="Sylfaen"/>
          <w:sz w:val="24"/>
          <w:szCs w:val="24"/>
        </w:rPr>
        <w:t xml:space="preserve"> առկայություն</w:t>
      </w:r>
      <w:r w:rsidR="00DF7CF1">
        <w:rPr>
          <w:rFonts w:ascii="Sylfaen" w:hAnsi="Sylfaen"/>
          <w:sz w:val="24"/>
          <w:szCs w:val="24"/>
        </w:rPr>
        <w:t>ն</w:t>
      </w:r>
      <w:r w:rsidRPr="00834D52">
        <w:rPr>
          <w:rFonts w:ascii="Sylfaen" w:hAnsi="Sylfaen"/>
          <w:sz w:val="24"/>
          <w:szCs w:val="24"/>
        </w:rPr>
        <w:t xml:space="preserve"> այն դեպքում, երբ </w:t>
      </w:r>
      <w:r w:rsidR="0032680A">
        <w:rPr>
          <w:rFonts w:ascii="Sylfaen" w:hAnsi="Sylfaen"/>
          <w:sz w:val="24"/>
          <w:szCs w:val="24"/>
        </w:rPr>
        <w:t xml:space="preserve">ռեֆերենտ </w:t>
      </w:r>
      <w:r w:rsidRPr="00834D52">
        <w:rPr>
          <w:rFonts w:ascii="Sylfaen" w:hAnsi="Sylfaen"/>
          <w:sz w:val="24"/>
          <w:szCs w:val="24"/>
        </w:rPr>
        <w:t xml:space="preserve">պետության </w:t>
      </w:r>
      <w:r w:rsidR="00C54D75">
        <w:rPr>
          <w:rFonts w:ascii="Sylfaen" w:hAnsi="Sylfaen"/>
          <w:sz w:val="24"/>
          <w:szCs w:val="24"/>
        </w:rPr>
        <w:t>և</w:t>
      </w:r>
      <w:r w:rsidRPr="00834D52">
        <w:rPr>
          <w:rFonts w:ascii="Sylfaen" w:hAnsi="Sylfaen"/>
          <w:sz w:val="24"/>
          <w:szCs w:val="24"/>
        </w:rPr>
        <w:t xml:space="preserve"> ճանաչման պետությունների կողմից տրամադրված՝ դեղապատրաստուկի գրանցման հավաստագրի իրավատերերը տարբեր իրավաբանական անձինք են</w:t>
      </w:r>
      <w:r w:rsidR="00E90FAF" w:rsidRPr="00E90FAF">
        <w:rPr>
          <w:rFonts w:ascii="Sylfaen" w:hAnsi="Sylfaen"/>
          <w:sz w:val="24"/>
          <w:szCs w:val="24"/>
        </w:rPr>
        <w:t xml:space="preserve"> (</w:t>
      </w:r>
      <w:r w:rsidR="00522719">
        <w:rPr>
          <w:rFonts w:ascii="Sylfaen" w:hAnsi="Sylfaen"/>
          <w:sz w:val="24"/>
          <w:szCs w:val="24"/>
        </w:rPr>
        <w:t>եթե կիրառելի է</w:t>
      </w:r>
      <w:r w:rsidR="00E90FAF" w:rsidRPr="00E90FAF">
        <w:rPr>
          <w:rFonts w:ascii="Sylfaen" w:hAnsi="Sylfaen"/>
          <w:sz w:val="24"/>
          <w:szCs w:val="24"/>
        </w:rPr>
        <w:t>)</w:t>
      </w:r>
      <w:r w:rsidRPr="00834D52">
        <w:rPr>
          <w:rFonts w:ascii="Sylfaen" w:hAnsi="Sylfaen"/>
          <w:sz w:val="24"/>
          <w:szCs w:val="24"/>
        </w:rPr>
        <w:t>:</w:t>
      </w:r>
    </w:p>
    <w:p w14:paraId="17613212" w14:textId="77777777" w:rsidR="006F76EB" w:rsidRPr="00955C1D" w:rsidRDefault="006F76EB" w:rsidP="00307AF9">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1.11.</w:t>
      </w:r>
      <w:r w:rsidRPr="00834D52">
        <w:rPr>
          <w:rFonts w:ascii="Sylfaen" w:hAnsi="Sylfaen"/>
          <w:sz w:val="24"/>
          <w:szCs w:val="24"/>
        </w:rPr>
        <w:tab/>
        <w:t>Ապրանքային նշանի գրանցումը հավաստող փաստաթղթերի պատճեններ (առկայության դեպքում):</w:t>
      </w:r>
    </w:p>
    <w:p w14:paraId="06CA9557" w14:textId="77777777" w:rsidR="00307AF9" w:rsidRPr="00955C1D" w:rsidRDefault="00307AF9" w:rsidP="00477BB0">
      <w:pPr>
        <w:tabs>
          <w:tab w:val="left" w:pos="1701"/>
        </w:tabs>
        <w:spacing w:after="160" w:line="360" w:lineRule="auto"/>
        <w:ind w:right="-8" w:firstLine="567"/>
        <w:jc w:val="center"/>
        <w:rPr>
          <w:rFonts w:ascii="Sylfaen" w:eastAsia="Times New Roman" w:hAnsi="Sylfaen" w:cs="Times New Roman"/>
          <w:sz w:val="24"/>
          <w:szCs w:val="24"/>
        </w:rPr>
      </w:pPr>
    </w:p>
    <w:p w14:paraId="24CFD1F2" w14:textId="77777777" w:rsidR="006F76EB" w:rsidRPr="00834D52" w:rsidRDefault="006F76EB" w:rsidP="00307AF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2. Գրանցման դոսյեի՝ 2-րդ մոդուլում բերված փաստաթղթերի նկատմամբ պահանջները՝ ընդհանուր տեխնիկական փաստաթղթի (ԸՏՓ) ռեզյումե</w:t>
      </w:r>
    </w:p>
    <w:p w14:paraId="53B5F240" w14:textId="62481299"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բերվում է քիմիական </w:t>
      </w:r>
      <w:r w:rsidR="00C54D75">
        <w:rPr>
          <w:rFonts w:ascii="Sylfaen" w:hAnsi="Sylfaen"/>
          <w:sz w:val="24"/>
          <w:szCs w:val="24"/>
        </w:rPr>
        <w:t>և</w:t>
      </w:r>
      <w:r w:rsidRPr="00834D52">
        <w:rPr>
          <w:rFonts w:ascii="Sylfaen" w:hAnsi="Sylfaen"/>
          <w:sz w:val="24"/>
          <w:szCs w:val="24"/>
        </w:rPr>
        <w:t xml:space="preserve"> կենսաբանական փաստաթղթերի, դեղապատրաստուկի գրանցման դոսյեի 3-5-րդ մոդուլներում </w:t>
      </w:r>
      <w:r w:rsidR="00C54D75">
        <w:rPr>
          <w:rFonts w:ascii="Sylfaen" w:hAnsi="Sylfaen"/>
          <w:sz w:val="24"/>
          <w:szCs w:val="24"/>
        </w:rPr>
        <w:t>և</w:t>
      </w:r>
      <w:r w:rsidRPr="00834D52">
        <w:rPr>
          <w:rFonts w:ascii="Sylfaen" w:hAnsi="Sylfaen"/>
          <w:sz w:val="24"/>
          <w:szCs w:val="24"/>
        </w:rPr>
        <w:t xml:space="preserve"> որակի, նախակլինիկական </w:t>
      </w:r>
      <w:r w:rsidR="00C54D75">
        <w:rPr>
          <w:rFonts w:ascii="Sylfaen" w:hAnsi="Sylfaen"/>
          <w:sz w:val="24"/>
          <w:szCs w:val="24"/>
        </w:rPr>
        <w:t>և</w:t>
      </w:r>
      <w:r w:rsidRPr="00834D52">
        <w:rPr>
          <w:rFonts w:ascii="Sylfaen" w:hAnsi="Sylfaen"/>
          <w:sz w:val="24"/>
          <w:szCs w:val="24"/>
        </w:rPr>
        <w:t xml:space="preserve"> կլինիկական </w:t>
      </w:r>
      <w:r w:rsidR="00897825" w:rsidRPr="00897825">
        <w:rPr>
          <w:rFonts w:ascii="Sylfaen" w:hAnsi="Sylfaen"/>
          <w:sz w:val="24"/>
          <w:szCs w:val="24"/>
        </w:rPr>
        <w:t>հետազոտությունների</w:t>
      </w:r>
      <w:r w:rsidRPr="00834D52">
        <w:rPr>
          <w:rFonts w:ascii="Sylfaen" w:hAnsi="Sylfaen"/>
          <w:sz w:val="24"/>
          <w:szCs w:val="24"/>
        </w:rPr>
        <w:t xml:space="preserve"> ռեզյումե պատրաստած մասնագետների եզրակացությունների մեջ ներկայացված նախակլինիկական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կլինիկական տվյալների ռեզյումեն:</w:t>
      </w:r>
    </w:p>
    <w:p w14:paraId="061B6A14"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ընդհանրացված փաստացի տվյալներ, այդ թվում՝ նյութեր՝ աղյուսակների տեսքով: Այս հաշվետվություններում նախատեսվում են խաչաձ</w:t>
      </w:r>
      <w:r w:rsidR="00C54D75">
        <w:rPr>
          <w:rFonts w:ascii="Sylfaen" w:hAnsi="Sylfaen"/>
          <w:sz w:val="24"/>
          <w:szCs w:val="24"/>
        </w:rPr>
        <w:t>և</w:t>
      </w:r>
      <w:r w:rsidRPr="00834D52">
        <w:rPr>
          <w:rFonts w:ascii="Sylfaen" w:hAnsi="Sylfaen"/>
          <w:sz w:val="24"/>
          <w:szCs w:val="24"/>
        </w:rPr>
        <w:t xml:space="preserve"> հղումներ 3-րդ՝ «Որակ» մոդուլում, 4-րդ՝ «Նախակլինիկական (ոչ կլինիկական) հետազոտությունների մասին հաշվետվություններ» մոդուլում </w:t>
      </w:r>
      <w:r w:rsidR="00C54D75">
        <w:rPr>
          <w:rFonts w:ascii="Sylfaen" w:hAnsi="Sylfaen"/>
          <w:sz w:val="24"/>
          <w:szCs w:val="24"/>
        </w:rPr>
        <w:t>և</w:t>
      </w:r>
      <w:r w:rsidRPr="00834D52">
        <w:rPr>
          <w:rFonts w:ascii="Sylfaen" w:hAnsi="Sylfaen"/>
          <w:sz w:val="24"/>
          <w:szCs w:val="24"/>
        </w:rPr>
        <w:t xml:space="preserve"> 5-րդ՝ «Կլինիկական հետազոտությունների (փորձարկումների) մասին հաշվետվություններ» մոդուլում ներկայացված հիմնական փաստաթղթերի մեջ պարունակվող աղյուսակներին կամ տեղեկատվությանը:</w:t>
      </w:r>
    </w:p>
    <w:p w14:paraId="64C13929"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Ուսումնասիրություններն ու ռեզյումեն պետք է համապատասխանեն ստոր</w:t>
      </w:r>
      <w:r w:rsidR="00C54D75">
        <w:rPr>
          <w:rFonts w:ascii="Sylfaen" w:hAnsi="Sylfaen"/>
          <w:sz w:val="24"/>
          <w:szCs w:val="24"/>
        </w:rPr>
        <w:t>և</w:t>
      </w:r>
      <w:r w:rsidRPr="00834D52">
        <w:rPr>
          <w:rFonts w:ascii="Sylfaen" w:hAnsi="Sylfaen"/>
          <w:sz w:val="24"/>
          <w:szCs w:val="24"/>
        </w:rPr>
        <w:t xml:space="preserve"> շարադրված հիմնական սկզբունքներին </w:t>
      </w:r>
      <w:r w:rsidR="00C54D75">
        <w:rPr>
          <w:rFonts w:ascii="Sylfaen" w:hAnsi="Sylfaen"/>
          <w:sz w:val="24"/>
          <w:szCs w:val="24"/>
        </w:rPr>
        <w:t>և</w:t>
      </w:r>
      <w:r w:rsidRPr="00834D52">
        <w:rPr>
          <w:rFonts w:ascii="Sylfaen" w:hAnsi="Sylfaen"/>
          <w:sz w:val="24"/>
          <w:szCs w:val="24"/>
        </w:rPr>
        <w:t xml:space="preserve"> պահանջներին:</w:t>
      </w:r>
    </w:p>
    <w:p w14:paraId="63BAC710" w14:textId="77777777" w:rsidR="006F76EB" w:rsidRPr="00834D52" w:rsidRDefault="006F76EB" w:rsidP="00B973B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2.1.</w:t>
      </w:r>
      <w:r w:rsidRPr="00834D52">
        <w:rPr>
          <w:rFonts w:ascii="Sylfaen" w:hAnsi="Sylfaen"/>
          <w:sz w:val="24"/>
          <w:szCs w:val="24"/>
        </w:rPr>
        <w:tab/>
        <w:t>2-5-րդ մոդուլների բովանդակությունը:</w:t>
      </w:r>
    </w:p>
    <w:p w14:paraId="0F73A39B" w14:textId="77777777" w:rsidR="006F76EB" w:rsidRPr="00834D52" w:rsidRDefault="006F76EB" w:rsidP="00307AF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Մոդուլի տվյալ բաժնում ներկայացվում է 2-5-րդ մոդուլներում ներառված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մասին փաստաթղթերի բովանդակությունը:</w:t>
      </w:r>
    </w:p>
    <w:p w14:paraId="62582F46" w14:textId="77777777" w:rsidR="006F76EB" w:rsidRPr="00834D52" w:rsidRDefault="006F76EB" w:rsidP="00B973B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ԸՏՓ-ի մեջ ներառելը:</w:t>
      </w:r>
    </w:p>
    <w:p w14:paraId="6C1A7295" w14:textId="77777777" w:rsidR="006F76EB" w:rsidRPr="00834D52" w:rsidRDefault="006F76EB" w:rsidP="00CA6C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ներկայացված լինի դեղապատրաստուկի դեղաբանական խմբի, ազդեցության մեխանիզմի </w:t>
      </w:r>
      <w:r w:rsidR="00C54D75">
        <w:rPr>
          <w:rFonts w:ascii="Sylfaen" w:hAnsi="Sylfaen"/>
          <w:sz w:val="24"/>
          <w:szCs w:val="24"/>
        </w:rPr>
        <w:t>և</w:t>
      </w:r>
      <w:r w:rsidRPr="00834D52">
        <w:rPr>
          <w:rFonts w:ascii="Sylfaen" w:hAnsi="Sylfaen"/>
          <w:sz w:val="24"/>
          <w:szCs w:val="24"/>
        </w:rPr>
        <w:t xml:space="preserve"> առաջարկված կլինիկական կիրառության մասին տեղեկատվությունը: </w:t>
      </w:r>
    </w:p>
    <w:p w14:paraId="4DAABC62" w14:textId="77777777" w:rsidR="006F76EB" w:rsidRPr="00834D52" w:rsidRDefault="006F76EB" w:rsidP="00D0637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2.3.</w:t>
      </w:r>
      <w:r w:rsidRPr="00834D52">
        <w:rPr>
          <w:rFonts w:ascii="Sylfaen" w:hAnsi="Sylfaen"/>
          <w:sz w:val="24"/>
          <w:szCs w:val="24"/>
        </w:rPr>
        <w:tab/>
        <w:t>Որակի ընդհանուր ռեզյումե:</w:t>
      </w:r>
    </w:p>
    <w:p w14:paraId="2A09D7FD" w14:textId="77777777" w:rsidR="006F76EB" w:rsidRPr="00834D52" w:rsidRDefault="006F76EB" w:rsidP="00D0637C">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ընդհանուր ռեզյումեի մեջ հարկ է ներկայացնել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տվյալների հետ կապված տեղեկատվության ուսումնասիրությունը:</w:t>
      </w:r>
    </w:p>
    <w:p w14:paraId="56AFDD53" w14:textId="65F41F74" w:rsidR="006F76EB" w:rsidRDefault="006F76EB" w:rsidP="00D0637C">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հատկապես ուշադրություն դարձնել որակի ասպեկտների հետ կապված հիմնական կրիտիկական պարամետրերին </w:t>
      </w:r>
      <w:r w:rsidR="00C54D75">
        <w:rPr>
          <w:rFonts w:ascii="Sylfaen" w:hAnsi="Sylfaen"/>
          <w:sz w:val="24"/>
          <w:szCs w:val="24"/>
        </w:rPr>
        <w:t>և</w:t>
      </w:r>
      <w:r w:rsidRPr="00834D52">
        <w:rPr>
          <w:rFonts w:ascii="Sylfaen" w:hAnsi="Sylfaen"/>
          <w:sz w:val="24"/>
          <w:szCs w:val="24"/>
        </w:rPr>
        <w:t xml:space="preserve"> հարցերին, ինչպես նա</w:t>
      </w:r>
      <w:r w:rsidR="00C54D75">
        <w:rPr>
          <w:rFonts w:ascii="Sylfaen" w:hAnsi="Sylfaen"/>
          <w:sz w:val="24"/>
          <w:szCs w:val="24"/>
        </w:rPr>
        <w:t>և</w:t>
      </w:r>
      <w:r w:rsidRPr="00834D52">
        <w:rPr>
          <w:rFonts w:ascii="Sylfaen" w:hAnsi="Sylfaen"/>
          <w:sz w:val="24"/>
          <w:szCs w:val="24"/>
        </w:rPr>
        <w:t xml:space="preserve"> ներկայացնել հիմնավորում այն դեպքերում, երբ չեն պահպանվել համապատասխան պահանջներն </w:t>
      </w:r>
      <w:r w:rsidR="00897825" w:rsidRPr="00897825">
        <w:rPr>
          <w:rFonts w:ascii="Sylfaen" w:hAnsi="Sylfaen"/>
          <w:sz w:val="24"/>
          <w:szCs w:val="24"/>
        </w:rPr>
        <w:t>և ուղեցույցները</w:t>
      </w:r>
      <w:r w:rsidRPr="00834D52">
        <w:rPr>
          <w:rFonts w:ascii="Sylfaen" w:hAnsi="Sylfaen"/>
          <w:sz w:val="24"/>
          <w:szCs w:val="24"/>
        </w:rPr>
        <w:t xml:space="preserve">: Այս փաստաթուղթը պետք է </w:t>
      </w:r>
      <w:r w:rsidRPr="00834D52">
        <w:rPr>
          <w:rFonts w:ascii="Sylfaen" w:hAnsi="Sylfaen"/>
          <w:sz w:val="24"/>
          <w:szCs w:val="24"/>
        </w:rPr>
        <w:lastRenderedPageBreak/>
        <w:t xml:space="preserve">ընդգրկի 3-րդ մոդուլում մանրամասն ներկայացված հարցերը </w:t>
      </w:r>
      <w:r w:rsidR="00C54D75">
        <w:rPr>
          <w:rFonts w:ascii="Sylfaen" w:hAnsi="Sylfaen"/>
          <w:sz w:val="24"/>
          <w:szCs w:val="24"/>
        </w:rPr>
        <w:t>և</w:t>
      </w:r>
      <w:r w:rsidRPr="00834D52">
        <w:rPr>
          <w:rFonts w:ascii="Sylfaen" w:hAnsi="Sylfaen"/>
          <w:sz w:val="24"/>
          <w:szCs w:val="24"/>
        </w:rPr>
        <w:t xml:space="preserve"> նկարագրի համապատասխան տվյալները:</w:t>
      </w:r>
    </w:p>
    <w:p w14:paraId="5C849D93" w14:textId="0A7E37E3" w:rsidR="00897825" w:rsidRPr="006F28F9" w:rsidRDefault="00897825" w:rsidP="00897825">
      <w:pPr>
        <w:rPr>
          <w:b/>
          <w:bCs/>
          <w:i/>
          <w:iCs/>
        </w:rPr>
      </w:pPr>
      <w:r w:rsidRPr="00CD4709">
        <w:rPr>
          <w:b/>
          <w:bCs/>
          <w:i/>
          <w:iCs/>
        </w:rPr>
        <w:t>(</w:t>
      </w:r>
      <w:r>
        <w:rPr>
          <w:b/>
          <w:bCs/>
          <w:i/>
          <w:iCs/>
        </w:rPr>
        <w:t>2.3</w:t>
      </w:r>
      <w:r w:rsidR="004B7783">
        <w:rPr>
          <w:b/>
          <w:bCs/>
          <w:i/>
          <w:iCs/>
        </w:rPr>
        <w:t xml:space="preserve"> </w:t>
      </w:r>
      <w:r>
        <w:rPr>
          <w:b/>
          <w:bCs/>
          <w:i/>
          <w:iCs/>
        </w:rPr>
        <w:t xml:space="preserve">կետը </w:t>
      </w:r>
      <w:r w:rsidRPr="00CD4709">
        <w:rPr>
          <w:b/>
          <w:bCs/>
          <w:i/>
          <w:iCs/>
        </w:rPr>
        <w:t>փոփ. 30.01.20 թիվ 9)</w:t>
      </w:r>
    </w:p>
    <w:p w14:paraId="61678C77" w14:textId="77777777" w:rsidR="00897825" w:rsidRPr="00834D52" w:rsidRDefault="00897825" w:rsidP="00D0637C">
      <w:pPr>
        <w:tabs>
          <w:tab w:val="left" w:pos="1418"/>
        </w:tabs>
        <w:spacing w:after="160" w:line="360" w:lineRule="auto"/>
        <w:ind w:right="-8" w:firstLine="567"/>
        <w:jc w:val="both"/>
        <w:rPr>
          <w:rFonts w:ascii="Sylfaen" w:eastAsia="Times New Roman" w:hAnsi="Sylfaen" w:cs="Times New Roman"/>
          <w:sz w:val="24"/>
          <w:szCs w:val="24"/>
        </w:rPr>
      </w:pPr>
    </w:p>
    <w:p w14:paraId="33CA9FE1" w14:textId="77777777"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w:t>
      </w:r>
      <w:r w:rsidRPr="00834D52">
        <w:rPr>
          <w:rFonts w:ascii="Sylfaen" w:hAnsi="Sylfaen"/>
          <w:sz w:val="24"/>
          <w:szCs w:val="24"/>
        </w:rPr>
        <w:tab/>
        <w:t xml:space="preserve">Կլինիկական տվյալների ուսումնասիրություն: </w:t>
      </w:r>
    </w:p>
    <w:p w14:paraId="7F6455B3" w14:textId="77777777" w:rsidR="006F76EB" w:rsidRPr="00834D52" w:rsidRDefault="006F76EB" w:rsidP="00CA6C8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կենդանիների վրա դեղապատրաստուկի նախակլինիկական in vitro հետազոտությունների ընդհանրացված </w:t>
      </w:r>
      <w:r w:rsidR="00C54D75">
        <w:rPr>
          <w:rFonts w:ascii="Sylfaen" w:hAnsi="Sylfaen"/>
          <w:sz w:val="24"/>
          <w:szCs w:val="24"/>
        </w:rPr>
        <w:t>և</w:t>
      </w:r>
      <w:r w:rsidRPr="00834D52">
        <w:rPr>
          <w:rFonts w:ascii="Sylfaen" w:hAnsi="Sylfaen"/>
          <w:sz w:val="24"/>
          <w:szCs w:val="24"/>
        </w:rPr>
        <w:t xml:space="preserve"> կրիտիկական գնահատականը, ինչպես նա</w:t>
      </w:r>
      <w:r w:rsidR="00C54D75">
        <w:rPr>
          <w:rFonts w:ascii="Sylfaen" w:hAnsi="Sylfaen"/>
          <w:sz w:val="24"/>
          <w:szCs w:val="24"/>
        </w:rPr>
        <w:t>և</w:t>
      </w:r>
      <w:r w:rsidRPr="00834D52">
        <w:rPr>
          <w:rFonts w:ascii="Sylfaen" w:hAnsi="Sylfaen"/>
          <w:sz w:val="24"/>
          <w:szCs w:val="24"/>
        </w:rPr>
        <w:t xml:space="preserve"> համապատասխան պահանջներից շեղվելու անհրաժեշտության դեպքում հետազոտության ռազմավարության քննարկումն ու հիմնավորումը:</w:t>
      </w:r>
    </w:p>
    <w:p w14:paraId="4738A17F" w14:textId="77777777" w:rsidR="006F76EB" w:rsidRPr="00834D52" w:rsidRDefault="006F76EB" w:rsidP="00CA6C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ներառել դեղապատրաստուկի խառնուկների </w:t>
      </w:r>
      <w:r w:rsidR="00C54D75">
        <w:rPr>
          <w:rFonts w:ascii="Sylfaen" w:hAnsi="Sylfaen"/>
          <w:sz w:val="24"/>
          <w:szCs w:val="24"/>
        </w:rPr>
        <w:t>և</w:t>
      </w:r>
      <w:r w:rsidRPr="00834D52">
        <w:rPr>
          <w:rFonts w:ascii="Sylfaen" w:hAnsi="Sylfaen"/>
          <w:sz w:val="24"/>
          <w:szCs w:val="24"/>
        </w:rPr>
        <w:t xml:space="preserve"> քայքայման արգասիքների գնահատումը՝ դրանց հնարավոր դեղաբանական </w:t>
      </w:r>
      <w:r w:rsidR="00C54D75">
        <w:rPr>
          <w:rFonts w:ascii="Sylfaen" w:hAnsi="Sylfaen"/>
          <w:sz w:val="24"/>
          <w:szCs w:val="24"/>
        </w:rPr>
        <w:t>և</w:t>
      </w:r>
      <w:r w:rsidRPr="00834D52">
        <w:rPr>
          <w:rFonts w:ascii="Sylfaen" w:hAnsi="Sylfaen"/>
          <w:sz w:val="24"/>
          <w:szCs w:val="24"/>
        </w:rPr>
        <w:t xml:space="preserve"> թունաբանական էֆեկտների հետ մեկտեղ՝ բացառությամբ կենսաբանական ծագման դեղապատրաստուկների: Հարկ է հաշվի առնել նախակլինիկական հետազոտությունների </w:t>
      </w:r>
      <w:r w:rsidR="00C54D75">
        <w:rPr>
          <w:rFonts w:ascii="Sylfaen" w:hAnsi="Sylfaen"/>
          <w:sz w:val="24"/>
          <w:szCs w:val="24"/>
        </w:rPr>
        <w:t>և</w:t>
      </w:r>
      <w:r w:rsidRPr="00834D52">
        <w:rPr>
          <w:rFonts w:ascii="Sylfaen" w:hAnsi="Sylfaen"/>
          <w:sz w:val="24"/>
          <w:szCs w:val="24"/>
        </w:rPr>
        <w:t xml:space="preserve"> արտադրվելիք դեղապատրաստուկի մեջ օգտագործվող քիրալության, քիմիական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միացությունների մաքրության ցանկացած տարբերություն:</w:t>
      </w:r>
    </w:p>
    <w:p w14:paraId="62986D83"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Բուսական, կենսաբանական ծագման դեղապատրաստուկների համար անհրաժեշտ է գնահատել նախակլինիկական հետազոտությունների, կլինիկական փորձարկումների մեջ օգտագործված նյութի </w:t>
      </w:r>
      <w:r w:rsidR="00C54D75">
        <w:rPr>
          <w:rFonts w:ascii="Sylfaen" w:hAnsi="Sylfaen"/>
          <w:sz w:val="24"/>
          <w:szCs w:val="24"/>
        </w:rPr>
        <w:t>և</w:t>
      </w:r>
      <w:r w:rsidRPr="00834D52">
        <w:rPr>
          <w:rFonts w:ascii="Sylfaen" w:hAnsi="Sylfaen"/>
          <w:sz w:val="24"/>
          <w:szCs w:val="24"/>
        </w:rPr>
        <w:t xml:space="preserve"> գրանցվելիք դեղապատրաստուկի համադրելիությունը:</w:t>
      </w:r>
    </w:p>
    <w:p w14:paraId="0CAE1568"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նոր օժանդակ նյութ ենթակա է անվտանգության առանձին գնահատման:</w:t>
      </w:r>
    </w:p>
    <w:p w14:paraId="0D77EFF4" w14:textId="77777777" w:rsidR="006F76EB" w:rsidRPr="00834D52" w:rsidRDefault="006F76EB" w:rsidP="00D0637C">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սահմանել դեղապատրաստուկի՝ նախակլինիկական հետազոտությունների ժամանակ ապացուցված հատկությունները, ինչպես նա</w:t>
      </w:r>
      <w:r w:rsidR="00C54D75">
        <w:rPr>
          <w:rFonts w:ascii="Sylfaen" w:hAnsi="Sylfaen"/>
          <w:sz w:val="24"/>
          <w:szCs w:val="24"/>
        </w:rPr>
        <w:t>և</w:t>
      </w:r>
      <w:r w:rsidRPr="00834D52">
        <w:rPr>
          <w:rFonts w:ascii="Sylfaen" w:hAnsi="Sylfaen"/>
          <w:sz w:val="24"/>
          <w:szCs w:val="24"/>
        </w:rPr>
        <w:t xml:space="preserve"> ներկայացնել դեղապատրաստուկի անվտանգության արդյունքների նշանակությունը պլանավորվող կլինիկական կիրառության համար:</w:t>
      </w:r>
    </w:p>
    <w:p w14:paraId="4D3D2DD2" w14:textId="77777777" w:rsidR="006F76EB" w:rsidRPr="00834D52" w:rsidRDefault="006F76EB" w:rsidP="00D0637C">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2.5.</w:t>
      </w:r>
      <w:r w:rsidRPr="00834D52">
        <w:rPr>
          <w:rFonts w:ascii="Sylfaen" w:hAnsi="Sylfaen"/>
          <w:sz w:val="24"/>
          <w:szCs w:val="24"/>
        </w:rPr>
        <w:tab/>
        <w:t>Կլինիկական տվյալների ուսումնասիրություն:</w:t>
      </w:r>
    </w:p>
    <w:p w14:paraId="3F13A463"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տվյալների ուսումնասիրությունը պետք է պարունակի ռեզյումեի </w:t>
      </w:r>
      <w:r w:rsidR="00C54D75">
        <w:rPr>
          <w:rFonts w:ascii="Sylfaen" w:hAnsi="Sylfaen"/>
          <w:sz w:val="24"/>
          <w:szCs w:val="24"/>
        </w:rPr>
        <w:t>և</w:t>
      </w:r>
      <w:r w:rsidRPr="00834D52">
        <w:rPr>
          <w:rFonts w:ascii="Sylfaen" w:hAnsi="Sylfaen"/>
          <w:sz w:val="24"/>
          <w:szCs w:val="24"/>
        </w:rPr>
        <w:t xml:space="preserve"> 5-րդ մոդուլի մեջ ներառված կլինիկական տվյալների կրիտիկական վերլուծությունը: Անհրաժեշտ է ներկայացնել դեղապատրաստուկի կլինիկական մշակման եղանակի մասին տեղեկություններ, ներառյալ՝ հետազոտության բովանդակային պլանը, հետազոտության առնչությամբ կայացված որոշումները, ինչպես նա</w:t>
      </w:r>
      <w:r w:rsidR="00C54D75">
        <w:rPr>
          <w:rFonts w:ascii="Sylfaen" w:hAnsi="Sylfaen"/>
          <w:sz w:val="24"/>
          <w:szCs w:val="24"/>
        </w:rPr>
        <w:t>և</w:t>
      </w:r>
      <w:r w:rsidRPr="00834D52">
        <w:rPr>
          <w:rFonts w:ascii="Sylfaen" w:hAnsi="Sylfaen"/>
          <w:sz w:val="24"/>
          <w:szCs w:val="24"/>
        </w:rPr>
        <w:t xml:space="preserve"> հետազոտությունների անցկացման ընթացքը:</w:t>
      </w:r>
    </w:p>
    <w:p w14:paraId="6F962E4C" w14:textId="77777777" w:rsidR="006F76EB" w:rsidRPr="00834D52" w:rsidRDefault="006F76EB" w:rsidP="00D0637C">
      <w:pPr>
        <w:tabs>
          <w:tab w:val="left" w:pos="1418"/>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կլինիկական հետազոտությունների տվյալների համառոտ ուսումնասիրությունը, ներառյալ՝ կար</w:t>
      </w:r>
      <w:r w:rsidR="00C54D75">
        <w:rPr>
          <w:rFonts w:ascii="Sylfaen" w:hAnsi="Sylfaen"/>
          <w:sz w:val="24"/>
          <w:szCs w:val="24"/>
        </w:rPr>
        <w:t>և</w:t>
      </w:r>
      <w:r w:rsidRPr="00834D52">
        <w:rPr>
          <w:rFonts w:ascii="Sylfaen" w:hAnsi="Sylfaen"/>
          <w:sz w:val="24"/>
          <w:szCs w:val="24"/>
        </w:rPr>
        <w:t>որ սահմանափակող գործոնները, ինչպես նա</w:t>
      </w:r>
      <w:r w:rsidR="00C54D75">
        <w:rPr>
          <w:rFonts w:ascii="Sylfaen" w:hAnsi="Sylfaen"/>
          <w:sz w:val="24"/>
          <w:szCs w:val="24"/>
        </w:rPr>
        <w:t>և</w:t>
      </w:r>
      <w:r w:rsidRPr="00834D52">
        <w:rPr>
          <w:rFonts w:ascii="Sylfaen" w:hAnsi="Sylfaen"/>
          <w:sz w:val="24"/>
          <w:szCs w:val="24"/>
        </w:rPr>
        <w:t xml:space="preserve"> օգուտ-ռիսկ հարաբերակցության գնահատումը, որը հիմնվում է կլինիկական հետազոտությունների եզրահանգումների վրա, հիմնավորել առաջարկված դեղաչափը </w:t>
      </w:r>
      <w:r w:rsidR="00C54D75">
        <w:rPr>
          <w:rFonts w:ascii="Sylfaen" w:hAnsi="Sylfaen"/>
          <w:sz w:val="24"/>
          <w:szCs w:val="24"/>
        </w:rPr>
        <w:t>և</w:t>
      </w:r>
      <w:r w:rsidRPr="00834D52">
        <w:rPr>
          <w:rFonts w:ascii="Sylfaen" w:hAnsi="Sylfaen"/>
          <w:sz w:val="24"/>
          <w:szCs w:val="24"/>
        </w:rPr>
        <w:t xml:space="preserve"> կիրառման ցուցումները՝ ելնելով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ստացված կլինիկական տվյալներից, ինչպես նա</w:t>
      </w:r>
      <w:r w:rsidR="00C54D75">
        <w:rPr>
          <w:rFonts w:ascii="Sylfaen" w:hAnsi="Sylfaen"/>
          <w:sz w:val="24"/>
          <w:szCs w:val="24"/>
        </w:rPr>
        <w:t>և</w:t>
      </w:r>
      <w:r w:rsidRPr="00834D52">
        <w:rPr>
          <w:rFonts w:ascii="Sylfaen" w:hAnsi="Sylfaen"/>
          <w:sz w:val="24"/>
          <w:szCs w:val="24"/>
        </w:rPr>
        <w:t xml:space="preserve"> գնահատել, թե ինչպես կարելի է դեղապատրաստուկի ընդհանուր բնութագրի, բժշկական կիրառության հրահանգի </w:t>
      </w:r>
      <w:r w:rsidR="00C54D75">
        <w:rPr>
          <w:rFonts w:ascii="Sylfaen" w:hAnsi="Sylfaen"/>
          <w:sz w:val="24"/>
          <w:szCs w:val="24"/>
        </w:rPr>
        <w:t>և</w:t>
      </w:r>
      <w:r w:rsidRPr="00834D52">
        <w:rPr>
          <w:rFonts w:ascii="Sylfaen" w:hAnsi="Sylfaen"/>
          <w:sz w:val="24"/>
          <w:szCs w:val="24"/>
        </w:rPr>
        <w:t xml:space="preserve"> այլ մոտեցումների օգնությամբ օպտիմալացնել օգուտն ու սահմանափակել ռիսկերը:</w:t>
      </w:r>
    </w:p>
    <w:p w14:paraId="6F7B0C9F" w14:textId="77777777" w:rsidR="006F76EB" w:rsidRPr="00834D52" w:rsidRDefault="006F76EB" w:rsidP="00427651">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բացատրել արդյունավետությանն ու անվտանգությանը վերաբերող բոլոր հարցերը, որոնք առաջացել են մշակման գործընթացում, </w:t>
      </w:r>
      <w:r w:rsidR="00C54D75">
        <w:rPr>
          <w:rFonts w:ascii="Sylfaen" w:hAnsi="Sylfaen"/>
          <w:sz w:val="24"/>
          <w:szCs w:val="24"/>
        </w:rPr>
        <w:t>և</w:t>
      </w:r>
      <w:r w:rsidRPr="00834D52">
        <w:rPr>
          <w:rFonts w:ascii="Sylfaen" w:hAnsi="Sylfaen"/>
          <w:sz w:val="24"/>
          <w:szCs w:val="24"/>
        </w:rPr>
        <w:t xml:space="preserve"> որոնք բացատրություն չեն ստացել:</w:t>
      </w:r>
    </w:p>
    <w:p w14:paraId="5EA02912" w14:textId="60692950" w:rsidR="006F76EB" w:rsidRPr="00834D52" w:rsidRDefault="006F76EB" w:rsidP="00D0637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Նախակլինիկական հետազոտությունների</w:t>
      </w:r>
      <w:r w:rsidR="004B7783">
        <w:rPr>
          <w:rFonts w:ascii="Sylfaen" w:hAnsi="Sylfaen"/>
          <w:sz w:val="24"/>
          <w:szCs w:val="24"/>
        </w:rPr>
        <w:t>:</w:t>
      </w:r>
      <w:r w:rsidRPr="00834D52">
        <w:rPr>
          <w:rFonts w:ascii="Sylfaen" w:hAnsi="Sylfaen"/>
          <w:sz w:val="24"/>
          <w:szCs w:val="24"/>
        </w:rPr>
        <w:t xml:space="preserve"> </w:t>
      </w:r>
    </w:p>
    <w:p w14:paraId="0D068A12" w14:textId="20CF787E" w:rsidR="004B7783" w:rsidRPr="00332455" w:rsidRDefault="004B7783" w:rsidP="00332455">
      <w:pPr>
        <w:tabs>
          <w:tab w:val="left" w:pos="1418"/>
        </w:tabs>
        <w:spacing w:after="160" w:line="360" w:lineRule="auto"/>
        <w:ind w:right="-6" w:firstLine="567"/>
        <w:jc w:val="both"/>
        <w:rPr>
          <w:rFonts w:ascii="Sylfaen" w:hAnsi="Sylfaen"/>
          <w:sz w:val="24"/>
          <w:szCs w:val="24"/>
        </w:rPr>
      </w:pPr>
      <w:r>
        <w:rPr>
          <w:rFonts w:ascii="Sylfaen" w:hAnsi="Sylfaen"/>
          <w:sz w:val="24"/>
          <w:szCs w:val="24"/>
        </w:rPr>
        <w:t>Ն</w:t>
      </w:r>
      <w:r w:rsidRPr="004B7783">
        <w:rPr>
          <w:rFonts w:ascii="Sylfaen" w:hAnsi="Sylfaen"/>
          <w:sz w:val="24"/>
          <w:szCs w:val="24"/>
        </w:rPr>
        <w:t>ախակլինիկական հետազոտությունների</w:t>
      </w:r>
      <w:r w:rsidR="006F76EB" w:rsidRPr="00834D52">
        <w:rPr>
          <w:rFonts w:ascii="Sylfaen" w:hAnsi="Sylfaen"/>
          <w:sz w:val="24"/>
          <w:szCs w:val="24"/>
        </w:rPr>
        <w:t xml:space="preserve"> ռեզյումեն անհրաժեշտ է ներկայացնել կենդանիների վրա անցկացված դեղաբանական, </w:t>
      </w:r>
      <w:r w:rsidR="00355C33">
        <w:rPr>
          <w:rFonts w:ascii="Sylfaen" w:hAnsi="Sylfaen"/>
          <w:sz w:val="24"/>
          <w:szCs w:val="24"/>
        </w:rPr>
        <w:t>դեղա</w:t>
      </w:r>
      <w:r w:rsidR="006F76EB" w:rsidRPr="00834D52">
        <w:rPr>
          <w:rFonts w:ascii="Sylfaen" w:hAnsi="Sylfaen"/>
          <w:sz w:val="24"/>
          <w:szCs w:val="24"/>
        </w:rPr>
        <w:t xml:space="preserve">կինետիկ </w:t>
      </w:r>
      <w:r w:rsidR="00C54D75">
        <w:rPr>
          <w:rFonts w:ascii="Sylfaen" w:hAnsi="Sylfaen"/>
          <w:sz w:val="24"/>
          <w:szCs w:val="24"/>
        </w:rPr>
        <w:t>և</w:t>
      </w:r>
      <w:r w:rsidR="006F76EB" w:rsidRPr="00834D52">
        <w:rPr>
          <w:rFonts w:ascii="Sylfaen" w:hAnsi="Sylfaen"/>
          <w:sz w:val="24"/>
          <w:szCs w:val="24"/>
        </w:rPr>
        <w:t xml:space="preserve"> թունաբանական in vitro հետազոտությունների փաստացի արդյունքների հիման վրա, տեքստային ձ</w:t>
      </w:r>
      <w:r w:rsidR="00C54D75">
        <w:rPr>
          <w:rFonts w:ascii="Sylfaen" w:hAnsi="Sylfaen"/>
          <w:sz w:val="24"/>
          <w:szCs w:val="24"/>
        </w:rPr>
        <w:t>և</w:t>
      </w:r>
      <w:r w:rsidR="006F76EB" w:rsidRPr="00834D52">
        <w:rPr>
          <w:rFonts w:ascii="Sylfaen" w:hAnsi="Sylfaen"/>
          <w:sz w:val="24"/>
          <w:szCs w:val="24"/>
        </w:rPr>
        <w:t xml:space="preserve">աչափով </w:t>
      </w:r>
      <w:r w:rsidR="00C54D75">
        <w:rPr>
          <w:rFonts w:ascii="Sylfaen" w:hAnsi="Sylfaen"/>
          <w:sz w:val="24"/>
          <w:szCs w:val="24"/>
        </w:rPr>
        <w:t>և</w:t>
      </w:r>
      <w:r w:rsidR="006F76EB" w:rsidRPr="00834D52">
        <w:rPr>
          <w:rFonts w:ascii="Sylfaen" w:hAnsi="Sylfaen"/>
          <w:sz w:val="24"/>
          <w:szCs w:val="24"/>
        </w:rPr>
        <w:t xml:space="preserve"> աղյուսակների տեսքով՝ ստոր</w:t>
      </w:r>
      <w:r w:rsidR="00C54D75">
        <w:rPr>
          <w:rFonts w:ascii="Sylfaen" w:hAnsi="Sylfaen"/>
          <w:sz w:val="24"/>
          <w:szCs w:val="24"/>
        </w:rPr>
        <w:t>և</w:t>
      </w:r>
      <w:r w:rsidR="006F76EB" w:rsidRPr="00834D52">
        <w:rPr>
          <w:rFonts w:ascii="Sylfaen" w:hAnsi="Sylfaen"/>
          <w:sz w:val="24"/>
          <w:szCs w:val="24"/>
        </w:rPr>
        <w:t xml:space="preserve"> ներկայացված հաջորդականությամբ, ներածական մասով:</w:t>
      </w:r>
    </w:p>
    <w:p w14:paraId="600162BC" w14:textId="5CF35309"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3035BAA9" w14:textId="2395B106"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2.6.2.</w:t>
      </w:r>
      <w:r w:rsidRPr="00834D52">
        <w:rPr>
          <w:rFonts w:ascii="Sylfaen" w:hAnsi="Sylfaen"/>
          <w:sz w:val="24"/>
          <w:szCs w:val="24"/>
        </w:rPr>
        <w:tab/>
        <w:t xml:space="preserve">Դեղաբանական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1846C29C" w14:textId="449C37A1"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 xml:space="preserve">կինետիկ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տեքստային ձ</w:t>
      </w:r>
      <w:r w:rsidR="00C54D75">
        <w:rPr>
          <w:rFonts w:ascii="Sylfaen" w:hAnsi="Sylfaen"/>
          <w:sz w:val="24"/>
          <w:szCs w:val="24"/>
        </w:rPr>
        <w:t>և</w:t>
      </w:r>
      <w:r w:rsidRPr="00834D52">
        <w:rPr>
          <w:rFonts w:ascii="Sylfaen" w:hAnsi="Sylfaen"/>
          <w:sz w:val="24"/>
          <w:szCs w:val="24"/>
        </w:rPr>
        <w:t>աչափով:</w:t>
      </w:r>
    </w:p>
    <w:p w14:paraId="6DA48CA6" w14:textId="11F5F3D4"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w:t>
      </w:r>
      <w:r w:rsidRPr="00332455">
        <w:rPr>
          <w:rFonts w:ascii="Sylfaen" w:hAnsi="Sylfaen"/>
          <w:sz w:val="24"/>
          <w:szCs w:val="24"/>
        </w:rPr>
        <w:t xml:space="preserve"> </w:t>
      </w:r>
      <w:r w:rsidR="00332455" w:rsidRPr="00332455">
        <w:rPr>
          <w:rFonts w:ascii="Sylfaen" w:hAnsi="Sylfaen"/>
          <w:sz w:val="24"/>
          <w:szCs w:val="24"/>
        </w:rPr>
        <w:t>հետազոտությունների</w:t>
      </w:r>
      <w:r w:rsidR="00332455">
        <w:rPr>
          <w:sz w:val="21"/>
          <w:szCs w:val="21"/>
        </w:rPr>
        <w:t xml:space="preserve"> </w:t>
      </w:r>
      <w:r w:rsidRPr="00834D52">
        <w:rPr>
          <w:rFonts w:ascii="Sylfaen" w:hAnsi="Sylfaen"/>
          <w:sz w:val="24"/>
          <w:szCs w:val="24"/>
        </w:rPr>
        <w:t>ռեզյումե՝ աղյուսակների տեսքով:</w:t>
      </w:r>
    </w:p>
    <w:p w14:paraId="5CB49C10" w14:textId="3756A49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2.6.5.</w:t>
      </w:r>
      <w:r w:rsidRPr="00834D52">
        <w:rPr>
          <w:rFonts w:ascii="Sylfaen" w:hAnsi="Sylfaen"/>
          <w:sz w:val="24"/>
          <w:szCs w:val="24"/>
        </w:rPr>
        <w:tab/>
        <w:t xml:space="preserve">Թունաբանական </w:t>
      </w:r>
      <w:r w:rsidR="00332455" w:rsidRPr="00332455">
        <w:rPr>
          <w:rFonts w:ascii="Sylfaen" w:hAnsi="Sylfaen"/>
          <w:sz w:val="24"/>
          <w:szCs w:val="24"/>
        </w:rPr>
        <w:t xml:space="preserve">հետազոտությունների </w:t>
      </w:r>
      <w:r w:rsidRPr="00834D52">
        <w:rPr>
          <w:rFonts w:ascii="Sylfaen" w:hAnsi="Sylfaen"/>
          <w:sz w:val="24"/>
          <w:szCs w:val="24"/>
        </w:rPr>
        <w:t>ռեզյումե՝ տեքստային ձ</w:t>
      </w:r>
      <w:r w:rsidR="00C54D75">
        <w:rPr>
          <w:rFonts w:ascii="Sylfaen" w:hAnsi="Sylfaen"/>
          <w:sz w:val="24"/>
          <w:szCs w:val="24"/>
        </w:rPr>
        <w:t>և</w:t>
      </w:r>
      <w:r w:rsidRPr="00834D52">
        <w:rPr>
          <w:rFonts w:ascii="Sylfaen" w:hAnsi="Sylfaen"/>
          <w:sz w:val="24"/>
          <w:szCs w:val="24"/>
        </w:rPr>
        <w:t>աչափով:</w:t>
      </w:r>
    </w:p>
    <w:p w14:paraId="17D3F10D" w14:textId="524E3424" w:rsidR="006F76EB" w:rsidRDefault="006F76EB" w:rsidP="00D0637C">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2.6.6.</w:t>
      </w:r>
      <w:r w:rsidRPr="00834D52">
        <w:rPr>
          <w:rFonts w:ascii="Sylfaen" w:hAnsi="Sylfaen"/>
          <w:sz w:val="24"/>
          <w:szCs w:val="24"/>
        </w:rPr>
        <w:tab/>
        <w:t xml:space="preserve">Թունաբանական </w:t>
      </w:r>
      <w:r w:rsidR="00332455" w:rsidRPr="00332455">
        <w:rPr>
          <w:rFonts w:ascii="Sylfaen" w:hAnsi="Sylfaen"/>
          <w:sz w:val="24"/>
          <w:szCs w:val="24"/>
        </w:rPr>
        <w:t>հետազոտությունների</w:t>
      </w:r>
      <w:r w:rsidRPr="00834D52">
        <w:rPr>
          <w:rFonts w:ascii="Sylfaen" w:hAnsi="Sylfaen"/>
          <w:sz w:val="24"/>
          <w:szCs w:val="24"/>
        </w:rPr>
        <w:t xml:space="preserve"> ռեզյումե՝ աղյուսակների տեսքով:</w:t>
      </w:r>
    </w:p>
    <w:p w14:paraId="50AC6210" w14:textId="77777777" w:rsidR="00332455" w:rsidRPr="006841ED" w:rsidRDefault="00332455" w:rsidP="00332455">
      <w:pPr>
        <w:rPr>
          <w:b/>
          <w:bCs/>
          <w:i/>
          <w:iCs/>
        </w:rPr>
      </w:pPr>
      <w:r w:rsidRPr="00CD4709">
        <w:rPr>
          <w:b/>
          <w:bCs/>
          <w:i/>
          <w:iCs/>
        </w:rPr>
        <w:t>(</w:t>
      </w:r>
      <w:r>
        <w:rPr>
          <w:b/>
          <w:bCs/>
          <w:i/>
          <w:iCs/>
        </w:rPr>
        <w:t xml:space="preserve">2.6. կետը </w:t>
      </w:r>
      <w:r w:rsidRPr="00CD4709">
        <w:rPr>
          <w:b/>
          <w:bCs/>
          <w:i/>
          <w:iCs/>
        </w:rPr>
        <w:t>փոփ. 30.01.20 թիվ 9)</w:t>
      </w:r>
    </w:p>
    <w:p w14:paraId="1D333607" w14:textId="77777777" w:rsidR="00332455" w:rsidRPr="00834D52" w:rsidRDefault="00332455" w:rsidP="00D0637C">
      <w:pPr>
        <w:tabs>
          <w:tab w:val="left" w:pos="1701"/>
        </w:tabs>
        <w:spacing w:after="160" w:line="360" w:lineRule="auto"/>
        <w:ind w:right="-6" w:firstLine="567"/>
        <w:jc w:val="both"/>
        <w:rPr>
          <w:rFonts w:ascii="Sylfaen" w:eastAsia="Times New Roman" w:hAnsi="Sylfaen" w:cs="Times New Roman"/>
          <w:sz w:val="24"/>
          <w:szCs w:val="24"/>
        </w:rPr>
      </w:pPr>
    </w:p>
    <w:p w14:paraId="38D32E07" w14:textId="5604065D"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w:t>
      </w:r>
      <w:r w:rsidRPr="00834D52">
        <w:rPr>
          <w:rFonts w:ascii="Sylfaen" w:hAnsi="Sylfaen"/>
          <w:sz w:val="24"/>
          <w:szCs w:val="24"/>
        </w:rPr>
        <w:tab/>
        <w:t xml:space="preserve">Կլինիկական </w:t>
      </w:r>
      <w:r w:rsidR="006841ED" w:rsidRPr="006841ED">
        <w:rPr>
          <w:rFonts w:ascii="Sylfaen" w:hAnsi="Sylfaen"/>
          <w:sz w:val="24"/>
          <w:szCs w:val="24"/>
        </w:rPr>
        <w:t>հետազոտությունների</w:t>
      </w:r>
      <w:r w:rsidRPr="00834D52">
        <w:rPr>
          <w:rFonts w:ascii="Sylfaen" w:hAnsi="Sylfaen"/>
          <w:sz w:val="24"/>
          <w:szCs w:val="24"/>
        </w:rPr>
        <w:t xml:space="preserve"> ռեզյումե:</w:t>
      </w:r>
    </w:p>
    <w:p w14:paraId="1899A620" w14:textId="77777777" w:rsidR="006F76EB" w:rsidRPr="00834D52" w:rsidRDefault="006F76EB" w:rsidP="00427651">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5-րդ մոդուլում ընդգրկված դեղապատրաստուկի ուսումնասիրման վերաբերյալ կլինիկական տեղեկատվության մանրամասն ռեզյումե՝ ներկայացնելով փաստացի տվյալներ: Ռեզյումեն պետք է ներառի բոլոր կենսադեղագործական հետազոտությունների, կլինիկական դեղաբանության հետազոտությունների, ինչպես նա</w:t>
      </w:r>
      <w:r w:rsidR="00C54D75">
        <w:rPr>
          <w:rFonts w:ascii="Sylfaen" w:hAnsi="Sylfaen"/>
          <w:sz w:val="24"/>
          <w:szCs w:val="24"/>
        </w:rPr>
        <w:t>և</w:t>
      </w:r>
      <w:r w:rsidRPr="00834D52">
        <w:rPr>
          <w:rFonts w:ascii="Sylfaen" w:hAnsi="Sylfaen"/>
          <w:sz w:val="24"/>
          <w:szCs w:val="24"/>
        </w:rPr>
        <w:t xml:space="preserve"> կլինիկական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հետազոտությունների արդյունքները: Անհրաժեշտ է ներկայացնել անհատական հետազոտությունների համառոտ ուսումնասիրությունը: Ռեզյումեի տեսքով կլինիկական տեղեկատվությունը պետք</w:t>
      </w:r>
      <w:r w:rsidR="00427651" w:rsidRPr="00F7333A">
        <w:rPr>
          <w:rFonts w:ascii="Sylfaen" w:hAnsi="Sylfaen"/>
          <w:sz w:val="24"/>
          <w:szCs w:val="24"/>
        </w:rPr>
        <w:t> </w:t>
      </w:r>
      <w:r w:rsidRPr="00834D52">
        <w:rPr>
          <w:rFonts w:ascii="Sylfaen" w:hAnsi="Sylfaen"/>
          <w:sz w:val="24"/>
          <w:szCs w:val="24"/>
        </w:rPr>
        <w:t>է ներկայացվի մասերի որոշակի հաջորդականությամբ (օգտագործված գիտական աղբյուրների ցանկով):</w:t>
      </w:r>
    </w:p>
    <w:p w14:paraId="5986DC76"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2.7.1.</w:t>
      </w:r>
      <w:r w:rsidRPr="00834D52">
        <w:rPr>
          <w:rFonts w:ascii="Sylfaen" w:hAnsi="Sylfaen"/>
          <w:sz w:val="24"/>
          <w:szCs w:val="24"/>
        </w:rPr>
        <w:tab/>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հետ կապված վերլուծական մեթոդների ռեզյումե:</w:t>
      </w:r>
    </w:p>
    <w:p w14:paraId="25C4759B"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2.7.2.</w:t>
      </w:r>
      <w:r w:rsidRPr="00834D52">
        <w:rPr>
          <w:rFonts w:ascii="Sylfaen" w:hAnsi="Sylfaen"/>
          <w:sz w:val="24"/>
          <w:szCs w:val="24"/>
        </w:rPr>
        <w:tab/>
        <w:t>Կլինիկական դեղաբանության հետազոտությունների ռեզյումե:</w:t>
      </w:r>
    </w:p>
    <w:p w14:paraId="7CE093DF"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2.7.3.</w:t>
      </w:r>
      <w:r w:rsidRPr="00834D52">
        <w:rPr>
          <w:rFonts w:ascii="Sylfaen" w:hAnsi="Sylfaen"/>
          <w:sz w:val="24"/>
          <w:szCs w:val="24"/>
        </w:rPr>
        <w:tab/>
        <w:t>Կլինիկական արդյունավետության ռեզյումե:</w:t>
      </w:r>
    </w:p>
    <w:p w14:paraId="4E95C6AD"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2.7.4.</w:t>
      </w:r>
      <w:r w:rsidRPr="00834D52">
        <w:rPr>
          <w:rFonts w:ascii="Sylfaen" w:hAnsi="Sylfaen"/>
          <w:sz w:val="24"/>
          <w:szCs w:val="24"/>
        </w:rPr>
        <w:tab/>
        <w:t>Կլինիկական անվտանգության ռեզյումե:</w:t>
      </w:r>
    </w:p>
    <w:p w14:paraId="62F3ADA4" w14:textId="77777777" w:rsidR="006F76EB" w:rsidRPr="00834D52" w:rsidRDefault="006F76EB" w:rsidP="00D0637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2.7.5.</w:t>
      </w:r>
      <w:r w:rsidRPr="00834D52">
        <w:rPr>
          <w:rFonts w:ascii="Sylfaen" w:hAnsi="Sylfaen"/>
          <w:sz w:val="24"/>
          <w:szCs w:val="24"/>
        </w:rPr>
        <w:tab/>
        <w:t>Օգտագործված գրական աղբյուրների պատճեն:</w:t>
      </w:r>
    </w:p>
    <w:p w14:paraId="395961C4" w14:textId="105CEB17" w:rsidR="006F76EB" w:rsidRDefault="006F76EB" w:rsidP="00D0637C">
      <w:pPr>
        <w:tabs>
          <w:tab w:val="left" w:pos="1701"/>
        </w:tabs>
        <w:spacing w:after="160" w:line="360" w:lineRule="auto"/>
        <w:ind w:right="-8" w:firstLine="567"/>
        <w:jc w:val="both"/>
        <w:rPr>
          <w:rFonts w:ascii="Sylfaen" w:hAnsi="Sylfaen"/>
          <w:spacing w:val="-6"/>
          <w:sz w:val="24"/>
          <w:szCs w:val="24"/>
        </w:rPr>
      </w:pPr>
      <w:r w:rsidRPr="00834D52">
        <w:rPr>
          <w:rFonts w:ascii="Sylfaen" w:hAnsi="Sylfaen"/>
          <w:sz w:val="24"/>
          <w:szCs w:val="24"/>
        </w:rPr>
        <w:t>2.</w:t>
      </w:r>
      <w:r w:rsidRPr="00623D29">
        <w:rPr>
          <w:rFonts w:ascii="Sylfaen" w:hAnsi="Sylfaen"/>
          <w:spacing w:val="-6"/>
          <w:sz w:val="24"/>
          <w:szCs w:val="24"/>
        </w:rPr>
        <w:t>7.6.</w:t>
      </w:r>
      <w:r w:rsidRPr="00623D29">
        <w:rPr>
          <w:rFonts w:ascii="Sylfaen" w:hAnsi="Sylfaen"/>
          <w:spacing w:val="-6"/>
          <w:sz w:val="24"/>
          <w:szCs w:val="24"/>
        </w:rPr>
        <w:tab/>
        <w:t>Անհատական հետազոտությունների համառոտ ուսումնասիրություն:</w:t>
      </w:r>
    </w:p>
    <w:p w14:paraId="57B39DA2" w14:textId="50D27FE4" w:rsidR="006841ED" w:rsidRPr="006841ED" w:rsidRDefault="006841ED" w:rsidP="00D0637C">
      <w:pPr>
        <w:tabs>
          <w:tab w:val="left" w:pos="1701"/>
        </w:tabs>
        <w:spacing w:after="160" w:line="360" w:lineRule="auto"/>
        <w:ind w:right="-8" w:firstLine="567"/>
        <w:jc w:val="both"/>
        <w:rPr>
          <w:rFonts w:ascii="Sylfaen" w:hAnsi="Sylfaen"/>
          <w:b/>
          <w:bCs/>
          <w:i/>
          <w:iCs/>
          <w:spacing w:val="-6"/>
          <w:sz w:val="24"/>
          <w:szCs w:val="24"/>
        </w:rPr>
      </w:pPr>
      <w:r w:rsidRPr="006841ED">
        <w:rPr>
          <w:rFonts w:ascii="Sylfaen" w:hAnsi="Sylfaen"/>
          <w:b/>
          <w:bCs/>
          <w:i/>
          <w:iCs/>
          <w:spacing w:val="-6"/>
          <w:sz w:val="24"/>
          <w:szCs w:val="24"/>
        </w:rPr>
        <w:t>(2.</w:t>
      </w:r>
      <w:r>
        <w:rPr>
          <w:rFonts w:ascii="Sylfaen" w:hAnsi="Sylfaen"/>
          <w:b/>
          <w:bCs/>
          <w:i/>
          <w:iCs/>
          <w:spacing w:val="-6"/>
          <w:sz w:val="24"/>
          <w:szCs w:val="24"/>
        </w:rPr>
        <w:t>7</w:t>
      </w:r>
      <w:r w:rsidRPr="006841ED">
        <w:rPr>
          <w:rFonts w:ascii="Sylfaen" w:hAnsi="Sylfaen"/>
          <w:b/>
          <w:bCs/>
          <w:i/>
          <w:iCs/>
          <w:spacing w:val="-6"/>
          <w:sz w:val="24"/>
          <w:szCs w:val="24"/>
        </w:rPr>
        <w:t>. կետը փոփ. 30.01.20 թիվ 9)</w:t>
      </w:r>
    </w:p>
    <w:p w14:paraId="6007ADAB" w14:textId="01BEE568" w:rsidR="00897825" w:rsidRPr="006841ED" w:rsidRDefault="006841ED" w:rsidP="00897825">
      <w:pPr>
        <w:rPr>
          <w:rFonts w:ascii="Sylfaen" w:hAnsi="Sylfaen"/>
          <w:b/>
          <w:bCs/>
          <w:i/>
          <w:iCs/>
          <w:sz w:val="24"/>
          <w:szCs w:val="24"/>
        </w:rPr>
      </w:pPr>
      <w:r w:rsidRPr="006841ED">
        <w:rPr>
          <w:rFonts w:ascii="Sylfaen" w:hAnsi="Sylfaen"/>
          <w:b/>
          <w:bCs/>
          <w:i/>
          <w:iCs/>
          <w:sz w:val="24"/>
          <w:szCs w:val="24"/>
        </w:rPr>
        <w:t xml:space="preserve">           </w:t>
      </w:r>
      <w:r w:rsidR="00897825" w:rsidRPr="006841ED">
        <w:rPr>
          <w:rFonts w:ascii="Sylfaen" w:hAnsi="Sylfaen"/>
          <w:b/>
          <w:bCs/>
          <w:i/>
          <w:iCs/>
          <w:sz w:val="24"/>
          <w:szCs w:val="24"/>
        </w:rPr>
        <w:t>(1-ին բաժինը փոփ. 30.01.20 թիվ 9)</w:t>
      </w:r>
    </w:p>
    <w:p w14:paraId="17C79E11" w14:textId="77777777" w:rsidR="00897825" w:rsidRPr="00623D29" w:rsidRDefault="00897825" w:rsidP="00D0637C">
      <w:pPr>
        <w:tabs>
          <w:tab w:val="left" w:pos="1701"/>
        </w:tabs>
        <w:spacing w:after="160" w:line="360" w:lineRule="auto"/>
        <w:ind w:right="-8" w:firstLine="567"/>
        <w:jc w:val="both"/>
        <w:rPr>
          <w:rFonts w:ascii="Sylfaen" w:eastAsia="Times New Roman" w:hAnsi="Sylfaen" w:cs="Times New Roman"/>
          <w:spacing w:val="-6"/>
          <w:sz w:val="24"/>
          <w:szCs w:val="24"/>
        </w:rPr>
      </w:pPr>
    </w:p>
    <w:p w14:paraId="35087957" w14:textId="77777777" w:rsidR="006F76EB" w:rsidRPr="00834D52" w:rsidRDefault="006F76EB" w:rsidP="006F76EB">
      <w:pPr>
        <w:tabs>
          <w:tab w:val="left" w:pos="1276"/>
        </w:tabs>
        <w:spacing w:after="160" w:line="336" w:lineRule="auto"/>
        <w:ind w:right="-8" w:firstLine="567"/>
        <w:rPr>
          <w:rFonts w:ascii="Sylfaen" w:hAnsi="Sylfaen"/>
          <w:sz w:val="24"/>
          <w:szCs w:val="24"/>
        </w:rPr>
      </w:pPr>
    </w:p>
    <w:p w14:paraId="2123CFFB" w14:textId="77777777" w:rsidR="006F76EB" w:rsidRPr="00834D52" w:rsidRDefault="006F76EB" w:rsidP="00623D29">
      <w:pPr>
        <w:spacing w:after="160" w:line="384" w:lineRule="auto"/>
        <w:ind w:left="567" w:right="567"/>
        <w:jc w:val="center"/>
        <w:rPr>
          <w:rFonts w:ascii="Sylfaen" w:eastAsia="Times New Roman" w:hAnsi="Sylfaen" w:cs="Times New Roman"/>
          <w:sz w:val="24"/>
          <w:szCs w:val="24"/>
        </w:rPr>
      </w:pPr>
      <w:r w:rsidRPr="00834D52">
        <w:rPr>
          <w:rFonts w:ascii="Sylfaen" w:hAnsi="Sylfaen"/>
          <w:sz w:val="24"/>
          <w:szCs w:val="24"/>
        </w:rPr>
        <w:t>3. Գրանցման դոսյեի՝ 3-րդ մոդուլում բերված փաստաթղթերի նկատմամբ պահանջները՝ որակ</w:t>
      </w:r>
    </w:p>
    <w:p w14:paraId="75EE8DB2"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3-րդ մոդուլի բովանդակություն: </w:t>
      </w:r>
    </w:p>
    <w:p w14:paraId="5BBEEABC"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 xml:space="preserve">Ներկայացնելու համար անհրաժեշտ հիմնական տեղեկությունները ներառում են՝ </w:t>
      </w:r>
    </w:p>
    <w:p w14:paraId="46401EEA"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ակտիվ դեղագործական բաղադրամասերի </w:t>
      </w:r>
      <w:r w:rsidR="00C54D75">
        <w:rPr>
          <w:rFonts w:ascii="Sylfaen" w:hAnsi="Sylfaen"/>
          <w:sz w:val="24"/>
          <w:szCs w:val="24"/>
        </w:rPr>
        <w:t>և</w:t>
      </w:r>
      <w:r w:rsidRPr="00834D52">
        <w:rPr>
          <w:rFonts w:ascii="Sylfaen" w:hAnsi="Sylfaen"/>
          <w:sz w:val="24"/>
          <w:szCs w:val="24"/>
        </w:rPr>
        <w:t xml:space="preserve"> դեղապատրաստուկի մասին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տվյալներ, որոնք ներառում են տեղեկատվություն՝ մշակման, արտադրական գործընթացի, բնութագրերի </w:t>
      </w:r>
      <w:r w:rsidR="00C54D75">
        <w:rPr>
          <w:rFonts w:ascii="Sylfaen" w:hAnsi="Sylfaen"/>
          <w:sz w:val="24"/>
          <w:szCs w:val="24"/>
        </w:rPr>
        <w:t>և</w:t>
      </w:r>
      <w:r w:rsidRPr="00834D52">
        <w:rPr>
          <w:rFonts w:ascii="Sylfaen" w:hAnsi="Sylfaen"/>
          <w:sz w:val="24"/>
          <w:szCs w:val="24"/>
        </w:rPr>
        <w:t xml:space="preserve"> հատկությունների, որակի հսկողության, կայունության մասով մեթոդիկաների </w:t>
      </w:r>
      <w:r w:rsidR="00C54D75">
        <w:rPr>
          <w:rFonts w:ascii="Sylfaen" w:hAnsi="Sylfaen"/>
          <w:sz w:val="24"/>
          <w:szCs w:val="24"/>
        </w:rPr>
        <w:t>և</w:t>
      </w:r>
      <w:r w:rsidRPr="00834D52">
        <w:rPr>
          <w:rFonts w:ascii="Sylfaen" w:hAnsi="Sylfaen"/>
          <w:sz w:val="24"/>
          <w:szCs w:val="24"/>
        </w:rPr>
        <w:t xml:space="preserve"> պահանջների մասին, ինչպես նա</w:t>
      </w:r>
      <w:r w:rsidR="00C54D75">
        <w:rPr>
          <w:rFonts w:ascii="Sylfaen" w:hAnsi="Sylfaen"/>
          <w:sz w:val="24"/>
          <w:szCs w:val="24"/>
        </w:rPr>
        <w:t>և</w:t>
      </w:r>
      <w:r w:rsidRPr="00834D52">
        <w:rPr>
          <w:rFonts w:ascii="Sylfaen" w:hAnsi="Sylfaen"/>
          <w:sz w:val="24"/>
          <w:szCs w:val="24"/>
        </w:rPr>
        <w:t xml:space="preserve"> դեղապատրաստուկի բաղադրության </w:t>
      </w:r>
      <w:r w:rsidR="00C54D75">
        <w:rPr>
          <w:rFonts w:ascii="Sylfaen" w:hAnsi="Sylfaen"/>
          <w:sz w:val="24"/>
          <w:szCs w:val="24"/>
        </w:rPr>
        <w:t>և</w:t>
      </w:r>
      <w:r w:rsidRPr="00834D52">
        <w:rPr>
          <w:rFonts w:ascii="Sylfaen" w:hAnsi="Sylfaen"/>
          <w:sz w:val="24"/>
          <w:szCs w:val="24"/>
        </w:rPr>
        <w:t xml:space="preserve"> փաթեթվածքի նկարագրությունը, </w:t>
      </w:r>
    </w:p>
    <w:p w14:paraId="24EED113"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մասին հիմնական տեղեկատվություն, </w:t>
      </w:r>
    </w:p>
    <w:p w14:paraId="78D7861D" w14:textId="77777777" w:rsidR="006F76EB" w:rsidRPr="00834D52" w:rsidRDefault="006F76EB" w:rsidP="00623D29">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բաղադրության մեջ մտնող օժանդակ նյութերի արտադրության ժամանակ օգտագործվող ելանյութերի </w:t>
      </w:r>
      <w:r w:rsidR="00C54D75">
        <w:rPr>
          <w:rFonts w:ascii="Sylfaen" w:hAnsi="Sylfaen"/>
          <w:sz w:val="24"/>
          <w:szCs w:val="24"/>
        </w:rPr>
        <w:t>և</w:t>
      </w:r>
      <w:r w:rsidRPr="00834D52">
        <w:rPr>
          <w:rFonts w:ascii="Sylfaen" w:hAnsi="Sylfaen"/>
          <w:sz w:val="24"/>
          <w:szCs w:val="24"/>
        </w:rPr>
        <w:t xml:space="preserve"> հումքի մասին մանրամասն տեղեկատվություն, </w:t>
      </w:r>
    </w:p>
    <w:p w14:paraId="7F40F9EC" w14:textId="77777777" w:rsidR="006F76EB" w:rsidRPr="00834D52" w:rsidRDefault="006F76EB" w:rsidP="00623D29">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դ)</w:t>
      </w:r>
      <w:r w:rsidRPr="00834D52">
        <w:rPr>
          <w:rFonts w:ascii="Sylfaen" w:hAnsi="Sylfaen"/>
          <w:sz w:val="24"/>
          <w:szCs w:val="24"/>
        </w:rPr>
        <w:tab/>
        <w:t xml:space="preserve">ակտիվ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արտադրության </w:t>
      </w:r>
      <w:r w:rsidR="00C54D75">
        <w:rPr>
          <w:rFonts w:ascii="Sylfaen" w:hAnsi="Sylfaen"/>
          <w:sz w:val="24"/>
          <w:szCs w:val="24"/>
        </w:rPr>
        <w:t>և</w:t>
      </w:r>
      <w:r w:rsidRPr="00834D52">
        <w:rPr>
          <w:rFonts w:ascii="Sylfaen" w:hAnsi="Sylfaen"/>
          <w:sz w:val="24"/>
          <w:szCs w:val="24"/>
        </w:rPr>
        <w:t xml:space="preserve"> որակի հսկողության ժամանակ օգտագործվող փորձարկման հստակ </w:t>
      </w:r>
      <w:r w:rsidR="00C54D75">
        <w:rPr>
          <w:rFonts w:ascii="Sylfaen" w:hAnsi="Sylfaen"/>
          <w:sz w:val="24"/>
          <w:szCs w:val="24"/>
        </w:rPr>
        <w:t>և</w:t>
      </w:r>
      <w:r w:rsidRPr="00834D52">
        <w:rPr>
          <w:rFonts w:ascii="Sylfaen" w:hAnsi="Sylfaen"/>
          <w:sz w:val="24"/>
          <w:szCs w:val="24"/>
        </w:rPr>
        <w:t xml:space="preserve"> մանրամասն շարադրված բոլոր մեթոդիկաներն ու մեթոդները, որպեսզի հնարավոր լինի վերարտադրել դրանք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պահանջով ստուգիչ փորձարկումներ անցկացնելիս: Փորձարկման բոլոր մեթոդիկաները պետք է համապատասխանեն ժամանակակից գիտական մակարդակին </w:t>
      </w:r>
      <w:r w:rsidR="00C54D75">
        <w:rPr>
          <w:rFonts w:ascii="Sylfaen" w:hAnsi="Sylfaen"/>
          <w:sz w:val="24"/>
          <w:szCs w:val="24"/>
        </w:rPr>
        <w:t>և</w:t>
      </w:r>
      <w:r w:rsidRPr="00834D52">
        <w:rPr>
          <w:rFonts w:ascii="Sylfaen" w:hAnsi="Sylfaen"/>
          <w:sz w:val="24"/>
          <w:szCs w:val="24"/>
        </w:rPr>
        <w:t xml:space="preserve"> լինեն վալիդացված: Հարկ է ներկայացնել մեթոդիկաների վալիդացման արդյունքները: Եվրասիական տնտեսական միության անդամ պետությունների դեղագրքերի ներդաշնակեցման հայեցակարգին (այսուհետ՝ Հայեցակարգ)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ներառված փորձարկումների մեթոդների օգտագործման ժամանակ բերվում է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7AC0C872"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մենագրություններում նշված բոլոր դեղագործական բաղադրամասերի համար անհրաժեշտ է ներկայացնել թվարկված դեղագրքերին արված հղումներ: </w:t>
      </w:r>
    </w:p>
    <w:p w14:paraId="50D6A50A" w14:textId="77777777" w:rsidR="006F76EB" w:rsidRPr="00834D52" w:rsidRDefault="006F76EB" w:rsidP="00F7333A">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Մինչդեռ եթե,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նշված դեղագործական բաղադրամասը ստանում են այնպիսի եղանակով, որի ժամանակ կարող են առաջանալ վերոնշյալ դեղագրքերի մենագրություններով չվերահսկվող խառնուկներ, ապա անհրաժեշտ է նշել այդ խառնուկները </w:t>
      </w:r>
      <w:r w:rsidR="00C54D75">
        <w:rPr>
          <w:rFonts w:ascii="Sylfaen" w:hAnsi="Sylfaen"/>
          <w:sz w:val="24"/>
          <w:szCs w:val="24"/>
        </w:rPr>
        <w:t>և</w:t>
      </w:r>
      <w:r w:rsidRPr="00834D52">
        <w:rPr>
          <w:rFonts w:ascii="Sylfaen" w:hAnsi="Sylfaen"/>
          <w:sz w:val="24"/>
          <w:szCs w:val="24"/>
        </w:rPr>
        <w:t xml:space="preserve"> նրանց թույլատրելի պարունակությունը, ինչպես նա</w:t>
      </w:r>
      <w:r w:rsidR="00C54D75">
        <w:rPr>
          <w:rFonts w:ascii="Sylfaen" w:hAnsi="Sylfaen"/>
          <w:sz w:val="24"/>
          <w:szCs w:val="24"/>
        </w:rPr>
        <w:t>և</w:t>
      </w:r>
      <w:r w:rsidRPr="00834D52">
        <w:rPr>
          <w:rFonts w:ascii="Sylfaen" w:hAnsi="Sylfaen"/>
          <w:sz w:val="24"/>
          <w:szCs w:val="24"/>
        </w:rPr>
        <w:t xml:space="preserve"> ներկայացնել դրանք սահմանելու մեթոդիկան: Այն դեպքում, երբ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մենագրության մեջ ներառված մասնագիրը բավարար չէ բաղադրամասի որակի ապահովման համար, </w:t>
      </w:r>
      <w:r w:rsidRPr="00834D52">
        <w:rPr>
          <w:rFonts w:ascii="Sylfaen" w:hAnsi="Sylfaen"/>
          <w:sz w:val="24"/>
          <w:szCs w:val="24"/>
        </w:rPr>
        <w:lastRenderedPageBreak/>
        <w:t>արտադրողից կամ գրանցման հավաստագրի իրավատիրոջից կարող է պահանջվել առավել մանրամասն մասնագիր:</w:t>
      </w:r>
    </w:p>
    <w:p w14:paraId="55865290" w14:textId="77777777" w:rsidR="006F76EB" w:rsidRPr="00834D52" w:rsidRDefault="006F76EB" w:rsidP="00F7333A">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վերլուծության մեթոդներն ու մեթոդիկաները ներառված են Եվրասիական տնտեսական միության դեղագրքի մեջ, ապա դրանք ամբողջությամբ շարադրելու անհրաժեշտություն չկա, </w:t>
      </w:r>
      <w:r w:rsidR="00C54D75">
        <w:rPr>
          <w:rFonts w:ascii="Sylfaen" w:hAnsi="Sylfaen"/>
          <w:sz w:val="24"/>
          <w:szCs w:val="24"/>
        </w:rPr>
        <w:t>և</w:t>
      </w:r>
      <w:r w:rsidRPr="00834D52">
        <w:rPr>
          <w:rFonts w:ascii="Sylfaen" w:hAnsi="Sylfaen"/>
          <w:sz w:val="24"/>
          <w:szCs w:val="24"/>
        </w:rPr>
        <w:t xml:space="preserve"> բավական է բերել համապատասխան հղում մենագրություններին </w:t>
      </w:r>
      <w:r w:rsidR="00C54D75">
        <w:rPr>
          <w:rFonts w:ascii="Sylfaen" w:hAnsi="Sylfaen"/>
          <w:sz w:val="24"/>
          <w:szCs w:val="24"/>
        </w:rPr>
        <w:t>և</w:t>
      </w:r>
      <w:r w:rsidRPr="00834D52">
        <w:rPr>
          <w:rFonts w:ascii="Sylfaen" w:hAnsi="Sylfaen"/>
          <w:sz w:val="24"/>
          <w:szCs w:val="24"/>
        </w:rPr>
        <w:t xml:space="preserve"> ընդհանուր բաժիններին, </w:t>
      </w:r>
    </w:p>
    <w:p w14:paraId="1D1A47AA" w14:textId="0EB2E761"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եթե ելանյութերն ու հումքը, ակտիվ դեղագործական բաղադրամասերը կամ օժանդակ նյութերը նկարագրված չեն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մեջ, ապա կարող է կիրառվել այլ պետության դեղագրքի մենագրությանը արված հղումը: Նման դեպքերում </w:t>
      </w:r>
      <w:r w:rsidR="0056496B">
        <w:rPr>
          <w:rFonts w:ascii="Sylfaen" w:hAnsi="Sylfaen"/>
          <w:sz w:val="24"/>
          <w:szCs w:val="24"/>
        </w:rPr>
        <w:t>դիմումատու</w:t>
      </w:r>
      <w:r w:rsidRPr="00834D52">
        <w:rPr>
          <w:rFonts w:ascii="Sylfaen" w:hAnsi="Sylfaen"/>
          <w:sz w:val="24"/>
          <w:szCs w:val="24"/>
        </w:rPr>
        <w:t>ն պետք է ներկայացնի մենագրության պատճենը մենագրության մեջ նկարագրված վերլուծական մեթոդիկաների վալիդացման հետ մեկտեղ, ինչպես նա</w:t>
      </w:r>
      <w:r w:rsidR="00C54D75">
        <w:rPr>
          <w:rFonts w:ascii="Sylfaen" w:hAnsi="Sylfaen"/>
          <w:sz w:val="24"/>
          <w:szCs w:val="24"/>
        </w:rPr>
        <w:t>և</w:t>
      </w:r>
      <w:r w:rsidRPr="00834D52">
        <w:rPr>
          <w:rFonts w:ascii="Sylfaen" w:hAnsi="Sylfaen"/>
          <w:sz w:val="24"/>
          <w:szCs w:val="24"/>
        </w:rPr>
        <w:t xml:space="preserve"> թարգմանությունը (անհրաժեշտության դեպքում), </w:t>
      </w:r>
    </w:p>
    <w:p w14:paraId="143C0713" w14:textId="5DCE3513"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 xml:space="preserve">եթե ակտիվ դեղագործական բաղադրամասը </w:t>
      </w:r>
      <w:r w:rsidR="00C54D75">
        <w:rPr>
          <w:rFonts w:ascii="Sylfaen" w:hAnsi="Sylfaen"/>
          <w:sz w:val="24"/>
          <w:szCs w:val="24"/>
        </w:rPr>
        <w:t>և</w:t>
      </w:r>
      <w:r w:rsidRPr="00834D52">
        <w:rPr>
          <w:rFonts w:ascii="Sylfaen" w:hAnsi="Sylfaen"/>
          <w:sz w:val="24"/>
          <w:szCs w:val="24"/>
        </w:rPr>
        <w:t xml:space="preserve"> (կամ) օժանդակ նյութը </w:t>
      </w:r>
      <w:r w:rsidR="00C54D75">
        <w:rPr>
          <w:rFonts w:ascii="Sylfaen" w:hAnsi="Sylfaen"/>
          <w:sz w:val="24"/>
          <w:szCs w:val="24"/>
        </w:rPr>
        <w:t>և</w:t>
      </w:r>
      <w:r w:rsidRPr="00834D52">
        <w:rPr>
          <w:rFonts w:ascii="Sylfaen" w:hAnsi="Sylfaen"/>
          <w:sz w:val="24"/>
          <w:szCs w:val="24"/>
        </w:rPr>
        <w:t xml:space="preserve"> ելանյութը նկարագրված են Եվրոպական դեղագրքի մենագրության մեջ, </w:t>
      </w:r>
      <w:r w:rsidR="0056496B">
        <w:rPr>
          <w:rFonts w:ascii="Sylfaen" w:hAnsi="Sylfaen"/>
          <w:sz w:val="24"/>
          <w:szCs w:val="24"/>
        </w:rPr>
        <w:t>դիմումատու</w:t>
      </w:r>
      <w:r w:rsidRPr="00834D52">
        <w:rPr>
          <w:rFonts w:ascii="Sylfaen" w:hAnsi="Sylfaen"/>
          <w:sz w:val="24"/>
          <w:szCs w:val="24"/>
        </w:rPr>
        <w:t xml:space="preserve">ն կարող է տվյալ մոդուլի համապատասխան կետում ներկայացնել Եվրոպական դեղագրքի մենագրությանը համապատասխանության սերտիֆիկատ: Ընդունված է, որ Եվրոպական դեղագրքի մենագրությանը համապատասխանության սերտիֆիկատները փոխարինում են տվյալ մոդուլի մեջ նշված՝ համապատասխան բաժինների էական տվյալներին: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 xml:space="preserve">ին գրավոր հավաստի, որ արտադրական գործընթացը համապատասխանության տվյալ սերտիֆիկատը տրամադրելու ժամանակվանից ի վեր չի փոխվել, </w:t>
      </w:r>
    </w:p>
    <w:p w14:paraId="5DE80DDC" w14:textId="369BCBCE"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 xml:space="preserve">լավ ուսումնասիրված (3-ից ոչ պակաս անդամ պետություններում դեղապատրաստուկի ազդող նյութերի՝ բացառությամբ կենսաբանական նյութերի, առաջին համակարգված </w:t>
      </w:r>
      <w:r w:rsidR="00C54D75">
        <w:rPr>
          <w:rFonts w:ascii="Sylfaen" w:hAnsi="Sylfaen"/>
          <w:sz w:val="24"/>
          <w:szCs w:val="24"/>
        </w:rPr>
        <w:t>և</w:t>
      </w:r>
      <w:r w:rsidRPr="00834D52">
        <w:rPr>
          <w:rFonts w:ascii="Sylfaen" w:hAnsi="Sylfaen"/>
          <w:sz w:val="24"/>
          <w:szCs w:val="24"/>
        </w:rPr>
        <w:t xml:space="preserve"> փաստաթղթավորված կիրառության օրվանից 10</w:t>
      </w:r>
      <w:r w:rsidR="00E633A0" w:rsidRPr="000E3C03">
        <w:rPr>
          <w:rFonts w:ascii="Sylfaen" w:hAnsi="Sylfaen"/>
          <w:sz w:val="24"/>
          <w:szCs w:val="24"/>
        </w:rPr>
        <w:t> </w:t>
      </w:r>
      <w:r w:rsidRPr="00834D52">
        <w:rPr>
          <w:rFonts w:ascii="Sylfaen" w:hAnsi="Sylfaen"/>
          <w:sz w:val="24"/>
          <w:szCs w:val="24"/>
        </w:rPr>
        <w:t xml:space="preserve">տարուց ոչ պակաս) ակտիվ դեղագործական բաղադրամասերի համար ակտիվ դեղագործական բաղադրամասի արտադրողը կամ դեղապատրաստուկի </w:t>
      </w:r>
      <w:r w:rsidRPr="00834D52">
        <w:rPr>
          <w:rFonts w:ascii="Sylfaen" w:hAnsi="Sylfaen"/>
          <w:sz w:val="24"/>
          <w:szCs w:val="24"/>
        </w:rPr>
        <w:lastRenderedPageBreak/>
        <w:t xml:space="preserve">գրանցման </w:t>
      </w:r>
      <w:r w:rsidR="0056496B">
        <w:rPr>
          <w:rFonts w:ascii="Sylfaen" w:hAnsi="Sylfaen"/>
          <w:sz w:val="24"/>
          <w:szCs w:val="24"/>
        </w:rPr>
        <w:t>դիմումատու</w:t>
      </w:r>
      <w:r w:rsidRPr="00834D52">
        <w:rPr>
          <w:rFonts w:ascii="Sylfaen" w:hAnsi="Sylfaen"/>
          <w:sz w:val="24"/>
          <w:szCs w:val="24"/>
        </w:rPr>
        <w:t>ն իրավունք ունի կազմելու առանձին փաստաթուղթ, որը ներառում է հետ</w:t>
      </w:r>
      <w:r w:rsidR="00C54D75">
        <w:rPr>
          <w:rFonts w:ascii="Sylfaen" w:hAnsi="Sylfaen"/>
          <w:sz w:val="24"/>
          <w:szCs w:val="24"/>
        </w:rPr>
        <w:t>և</w:t>
      </w:r>
      <w:r w:rsidRPr="00834D52">
        <w:rPr>
          <w:rFonts w:ascii="Sylfaen" w:hAnsi="Sylfaen"/>
          <w:sz w:val="24"/>
          <w:szCs w:val="24"/>
        </w:rPr>
        <w:t xml:space="preserve">յալ տեղեկությունները (ակտիվ դեղագործական բաղադրամասի դոսյեն կամ մաստեր-ֆայլը)՝ </w:t>
      </w:r>
    </w:p>
    <w:p w14:paraId="2A68A656"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մանրամասն նկարագրություն, </w:t>
      </w:r>
    </w:p>
    <w:p w14:paraId="0BC1FCEC" w14:textId="77777777" w:rsidR="006F76EB" w:rsidRPr="00834D52" w:rsidRDefault="006F76EB" w:rsidP="00B34586">
      <w:pPr>
        <w:tabs>
          <w:tab w:val="left" w:pos="1418"/>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հսկողություն արտադրության գործընթացում, </w:t>
      </w:r>
    </w:p>
    <w:p w14:paraId="2C10AEBF"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արտադրության գործընթացի վալիդացման մասին հաշվետվություն:</w:t>
      </w:r>
    </w:p>
    <w:p w14:paraId="170C9408" w14:textId="77777777"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Ակտիվ դեղագործական բաղադրամասի արտադրողն իրավունք ունի անդամ պետության լիազորված մարմին ուղարկելու ակտիվ դեղագործական բաղադրամասի մաստեր-ֆայլը:</w:t>
      </w:r>
    </w:p>
    <w:p w14:paraId="5897A4B0" w14:textId="7D537FF2" w:rsidR="006F76EB" w:rsidRPr="00834D52" w:rsidRDefault="006F76EB" w:rsidP="00B34586">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բաղադրամասի մաստեր-ֆայլի օգտագործման ժամանակ դեղապատրաստուկի գրանցման դոսյեի կազմում այդ ակտիվ դեղագործական բաղադրամասի արտադրողը պետք է համապատասխան դեղապատրաստուկի </w:t>
      </w:r>
      <w:r w:rsidR="0056496B">
        <w:rPr>
          <w:rFonts w:ascii="Sylfaen" w:hAnsi="Sylfaen"/>
          <w:sz w:val="24"/>
          <w:szCs w:val="24"/>
        </w:rPr>
        <w:t>դիմումատու</w:t>
      </w:r>
      <w:r w:rsidRPr="00834D52">
        <w:rPr>
          <w:rFonts w:ascii="Sylfaen" w:hAnsi="Sylfaen"/>
          <w:sz w:val="24"/>
          <w:szCs w:val="24"/>
        </w:rPr>
        <w:t xml:space="preserve">ին (գրանցման հավաստագրի իրավատիրոջը) ներկայացնի բոլոր անհրաժեշտ տվյալները՝ սույն Կանոններով նախատեսված պատասխանատվությունը կրելու համար: Ակտիվ դեղագործական բաղադրամասի արտադրողը պետք է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ներկայացնի գրավոր հավաստում, որով երաշխավորվում է սերիաների որակի հաստատունությունը, ինչպես նա</w:t>
      </w:r>
      <w:r w:rsidR="00C54D75">
        <w:rPr>
          <w:rFonts w:ascii="Sylfaen" w:hAnsi="Sylfaen"/>
          <w:sz w:val="24"/>
          <w:szCs w:val="24"/>
        </w:rPr>
        <w:t>և</w:t>
      </w:r>
      <w:r w:rsidRPr="00834D52">
        <w:rPr>
          <w:rFonts w:ascii="Sylfaen" w:hAnsi="Sylfaen"/>
          <w:sz w:val="24"/>
          <w:szCs w:val="24"/>
        </w:rPr>
        <w:t xml:space="preserve"> այն, որ առանց </w:t>
      </w:r>
      <w:r w:rsidR="0056496B">
        <w:rPr>
          <w:rFonts w:ascii="Sylfaen" w:hAnsi="Sylfaen"/>
          <w:sz w:val="24"/>
          <w:szCs w:val="24"/>
        </w:rPr>
        <w:t>դիմումատու</w:t>
      </w:r>
      <w:r w:rsidRPr="00834D52">
        <w:rPr>
          <w:rFonts w:ascii="Sylfaen" w:hAnsi="Sylfaen"/>
          <w:sz w:val="24"/>
          <w:szCs w:val="24"/>
        </w:rPr>
        <w:t>ին (գրանցման հավաստագրի իրավատիրոջը) տեղեկացնելու՝ այդ ակտիվ դեղագործական բաղադրամասի արտադրական գործընթացի կամ մասնագրերի մեջ փոփոխություններ չեն կատարվելու: Այդպիսի փոփոխություն կատարելու համար անհրաժեշտ փաստաթղթերն ու տվյալները անհրաժեշտ է փոխանցել լիազորված մարմին, այդ փաստաթղթերն ու տվյալները ներկայացվում են նա</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ին՝ ակտիվ դեղագործական բաղադրամասի մաստեր-ֆայլի բաց մասին վերաբերող բաժիններով:</w:t>
      </w:r>
    </w:p>
    <w:p w14:paraId="4C95CD1A" w14:textId="25F9F2F8" w:rsidR="006F76EB" w:rsidRPr="00834D52" w:rsidRDefault="006F76EB" w:rsidP="00B34586">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ամբողջական տեղեկություններ չունի այն ակտիվ դեղագործական բաղադրամասի մաստեր-ֆայլի փակ մասի վերաբերյալ, որից այն պատրաստվում է, հաշվի առնելով դրանց գաղտնիությունը՝ տվյալ ակտիվ </w:t>
      </w:r>
      <w:r w:rsidRPr="00834D52">
        <w:rPr>
          <w:rFonts w:ascii="Sylfaen" w:hAnsi="Sylfaen"/>
          <w:sz w:val="24"/>
          <w:szCs w:val="24"/>
        </w:rPr>
        <w:lastRenderedPageBreak/>
        <w:t xml:space="preserve">դեղագործական բաղադրամասի արտադրողի կողմից </w:t>
      </w:r>
      <w:r w:rsidR="0056496B">
        <w:rPr>
          <w:rFonts w:ascii="Sylfaen" w:hAnsi="Sylfaen"/>
          <w:sz w:val="24"/>
          <w:szCs w:val="24"/>
        </w:rPr>
        <w:t>դիմում</w:t>
      </w:r>
      <w:r w:rsidRPr="00834D52">
        <w:rPr>
          <w:rFonts w:ascii="Sylfaen" w:hAnsi="Sylfaen"/>
          <w:sz w:val="24"/>
          <w:szCs w:val="24"/>
        </w:rPr>
        <w:t xml:space="preserve">ին կցվում է գրավոր թույլտվություն՝ պայմանով, որ դրա մասին տեղեկությունները ներառված են միասնական ռեեստրի մեջ: Նշված թույլտվությունը պետք է դեղապատրաստուկի փորձաքննություն անցկացնելիս լիազորված մարմնին իրավունք տա օգտագործելու նշված ակտիվ դեղագործական բաղադրամասի մաստեր-ֆայլի փակ մասի ավելի վաղ ներկայացված տեղեկատվությունը, </w:t>
      </w:r>
    </w:p>
    <w:p w14:paraId="29EA3E21" w14:textId="534EE52B"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թ)</w:t>
      </w:r>
      <w:r w:rsidRPr="00834D52">
        <w:rPr>
          <w:rFonts w:ascii="Sylfaen" w:hAnsi="Sylfaen"/>
          <w:sz w:val="24"/>
          <w:szCs w:val="24"/>
        </w:rPr>
        <w:tab/>
        <w:t xml:space="preserve">անհրաժեշտ է նկարագրել կենդանիների սպունգանման էնցեֆալոպաթիայի (որոճող կենդանիներից ստացված հումքից) փոխանցումը կանխելու հատուկ միջոցները. արտադրական գործընթացի յուրաքանչյուր փուլում </w:t>
      </w:r>
      <w:r w:rsidR="0056496B">
        <w:rPr>
          <w:rFonts w:ascii="Sylfaen" w:hAnsi="Sylfaen"/>
          <w:sz w:val="24"/>
          <w:szCs w:val="24"/>
        </w:rPr>
        <w:t>դիմումատու</w:t>
      </w:r>
      <w:r w:rsidRPr="00834D52">
        <w:rPr>
          <w:rFonts w:ascii="Sylfaen" w:hAnsi="Sylfaen"/>
          <w:sz w:val="24"/>
          <w:szCs w:val="24"/>
        </w:rPr>
        <w:t xml:space="preserve">ն պետք է հավաստի օգտագործված նյութերի համապատասխանությունը կենդանիների սպունգանման էնցեֆալոպաթիայի հարուցիչների փոխանցման ռիսկի նվազեցման ձեռնարկի պահանջներին՝ համաձայն Եվրասիական տնտեսական միության դեղագրքի, կամ ներկայացնի Եվրոպական դեղագրքի կոնկրետ մենագրությանը համապատասխանության սերտիֆիկատ կամ գիտական տվյալներ՝ այդ համապատասխանությունը հիմնավորելու համար, </w:t>
      </w:r>
    </w:p>
    <w:p w14:paraId="1A5E501B" w14:textId="77777777" w:rsidR="006F76EB" w:rsidRPr="00834D52" w:rsidRDefault="006F76EB" w:rsidP="00623D29">
      <w:pPr>
        <w:tabs>
          <w:tab w:val="left" w:pos="1134"/>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հարկ է ներկայացնել տեղեկատվություն՝ կողմնակի ագենտներով (վիրուսային կամ ոչ վիրուսային բնույթի) հնարավոր կոնտամինացիայի ռիսկի գնահատման մասին՝ հատուկ ձեռնարկներում, ինչպես նա</w:t>
      </w:r>
      <w:r w:rsidR="00C54D75">
        <w:rPr>
          <w:rFonts w:ascii="Sylfaen" w:hAnsi="Sylfaen"/>
          <w:sz w:val="24"/>
          <w:szCs w:val="24"/>
        </w:rPr>
        <w:t>և</w:t>
      </w:r>
      <w:r w:rsidRPr="00834D52">
        <w:rPr>
          <w:rFonts w:ascii="Sylfaen" w:hAnsi="Sylfaen"/>
          <w:sz w:val="24"/>
          <w:szCs w:val="24"/>
        </w:rPr>
        <w:t xml:space="preserve"> ընդհանուր հոդվածներում (մենագրություններում) </w:t>
      </w:r>
      <w:r w:rsidR="00C54D75">
        <w:rPr>
          <w:rFonts w:ascii="Sylfaen" w:hAnsi="Sylfaen"/>
          <w:sz w:val="24"/>
          <w:szCs w:val="24"/>
        </w:rPr>
        <w:t>և</w:t>
      </w:r>
      <w:r w:rsidRPr="00834D52">
        <w:rPr>
          <w:rFonts w:ascii="Sylfaen" w:hAnsi="Sylfaen"/>
          <w:sz w:val="24"/>
          <w:szCs w:val="24"/>
        </w:rPr>
        <w:t xml:space="preserve"> Հայեցակարգին համապատասխան Եվրասիական տնտեսական միության դեղագրքի, անդամ պետությունների դեղագրքերի </w:t>
      </w:r>
      <w:r w:rsidR="00C54D75">
        <w:rPr>
          <w:rFonts w:ascii="Sylfaen" w:hAnsi="Sylfaen"/>
          <w:sz w:val="24"/>
          <w:szCs w:val="24"/>
        </w:rPr>
        <w:t>և</w:t>
      </w:r>
      <w:r w:rsidRPr="00834D52">
        <w:rPr>
          <w:rFonts w:ascii="Sylfaen" w:hAnsi="Sylfaen"/>
          <w:sz w:val="24"/>
          <w:szCs w:val="24"/>
        </w:rPr>
        <w:t xml:space="preserve"> հիմնական դեղագրքերի ընդհանուր բաժիններում շարադրված պահանջների համաձայն, </w:t>
      </w:r>
    </w:p>
    <w:p w14:paraId="2F33E6AA"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ժա)</w:t>
      </w:r>
      <w:r w:rsidRPr="00834D52">
        <w:rPr>
          <w:rFonts w:ascii="Sylfaen" w:hAnsi="Sylfaen"/>
          <w:sz w:val="24"/>
          <w:szCs w:val="24"/>
        </w:rPr>
        <w:tab/>
        <w:t xml:space="preserve">անհրաժեշտ է մանրամասն նկարագրել դեղապատրաստուկի արտադրական գործընթացի </w:t>
      </w:r>
      <w:r w:rsidR="00C54D75">
        <w:rPr>
          <w:rFonts w:ascii="Sylfaen" w:hAnsi="Sylfaen"/>
          <w:sz w:val="24"/>
          <w:szCs w:val="24"/>
        </w:rPr>
        <w:t>և</w:t>
      </w:r>
      <w:r w:rsidRPr="00834D52">
        <w:rPr>
          <w:rFonts w:ascii="Sylfaen" w:hAnsi="Sylfaen"/>
          <w:sz w:val="24"/>
          <w:szCs w:val="24"/>
        </w:rPr>
        <w:t xml:space="preserve"> հսկողության ցանկացած փուլում կիրառվող հատուկ սարքերն ու սարքավորումները, </w:t>
      </w:r>
    </w:p>
    <w:p w14:paraId="7524CCD7" w14:textId="77777777" w:rsidR="006F76EB" w:rsidRPr="00834D52" w:rsidRDefault="006F76EB" w:rsidP="00623D29">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ժբ)</w:t>
      </w:r>
      <w:r w:rsidRPr="00834D52">
        <w:rPr>
          <w:rFonts w:ascii="Sylfaen" w:hAnsi="Sylfaen"/>
          <w:sz w:val="24"/>
          <w:szCs w:val="24"/>
        </w:rPr>
        <w:tab/>
        <w:t>անհրաժեշտության դեպքում հարկ է ներկայացնել Հանձնաժողովի կողմից հաստատված կանոններին համապատասխան բժշկական արտադրատեսակի գրանցումը հավաստող փաստաթղթեր:</w:t>
      </w:r>
    </w:p>
    <w:p w14:paraId="1FD34014"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3.2.S.</w:t>
      </w:r>
      <w:r w:rsidRPr="00834D52">
        <w:rPr>
          <w:rFonts w:ascii="Sylfaen" w:hAnsi="Sylfaen"/>
          <w:sz w:val="24"/>
          <w:szCs w:val="24"/>
        </w:rPr>
        <w:tab/>
        <w:t>Ակտիվ դեղագործական բաղադրամաս:</w:t>
      </w:r>
    </w:p>
    <w:p w14:paraId="064E0F5E" w14:textId="77777777" w:rsidR="006F76EB" w:rsidRPr="00834D52" w:rsidRDefault="006F76EB" w:rsidP="00623D2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3.2.S.1.</w:t>
      </w:r>
      <w:r w:rsidRPr="00834D52">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834D52">
        <w:rPr>
          <w:rFonts w:ascii="Sylfaen" w:hAnsi="Sylfaen"/>
          <w:sz w:val="24"/>
          <w:szCs w:val="24"/>
        </w:rPr>
        <w:t xml:space="preserve"> հումքի մասին՝ </w:t>
      </w:r>
    </w:p>
    <w:p w14:paraId="7BB0434A" w14:textId="77777777" w:rsidR="006F76EB" w:rsidRPr="00834D52" w:rsidRDefault="006F76EB" w:rsidP="00623D2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ներկայացվում է ակտիվ դեղագործական բաղադրամասի անվանումը, ներառյալ՝ առաջարկվող միջազգային չարտոնագրված անվանումը (ՄՉԱ), առկայության դեպքում՝ դեղագրքային անվանումը՝ համաձայն Եվրասիական տնտեսական միության դեղագրքի, </w:t>
      </w:r>
      <w:r w:rsidR="00C54D75">
        <w:rPr>
          <w:rFonts w:ascii="Sylfaen" w:hAnsi="Sylfaen"/>
          <w:sz w:val="24"/>
          <w:szCs w:val="24"/>
        </w:rPr>
        <w:t>և</w:t>
      </w:r>
      <w:r w:rsidRPr="00834D52">
        <w:rPr>
          <w:rFonts w:ascii="Sylfaen" w:hAnsi="Sylfaen"/>
          <w:sz w:val="24"/>
          <w:szCs w:val="24"/>
        </w:rPr>
        <w:t xml:space="preserve"> քիմիական անվանումը՝ IUPAC-ի անվանացանկին համապատասխան:</w:t>
      </w:r>
    </w:p>
    <w:p w14:paraId="34126C4A"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Ներկայացվում են կառուցվածքային բանաձ</w:t>
      </w:r>
      <w:r w:rsidR="00C54D75">
        <w:rPr>
          <w:rFonts w:ascii="Sylfaen" w:hAnsi="Sylfaen"/>
          <w:sz w:val="24"/>
          <w:szCs w:val="24"/>
        </w:rPr>
        <w:t>և</w:t>
      </w:r>
      <w:r w:rsidRPr="00834D52">
        <w:rPr>
          <w:rFonts w:ascii="Sylfaen" w:hAnsi="Sylfaen"/>
          <w:sz w:val="24"/>
          <w:szCs w:val="24"/>
        </w:rPr>
        <w:t xml:space="preserve">ը,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(էմպիրիկ)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Կենսատեխնիկական դեղապատրաստուկների համար, եթե կիրառելի է, անհրաժեշտ է ներկայացնել ամինաթթուների սխեմատիկ հաջորդականությունը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w:t>
      </w:r>
    </w:p>
    <w:p w14:paraId="41D116D8" w14:textId="77777777" w:rsidR="006F76EB" w:rsidRPr="00834D52" w:rsidRDefault="006F76EB" w:rsidP="00623D29">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դեղապատրաստուկների համար անհրաժեշտ է ներկայացնել ակտիվ դեղագործական բաղադրամասի ֆիզիկաքիմիական </w:t>
      </w:r>
      <w:r w:rsidR="00C54D75">
        <w:rPr>
          <w:rFonts w:ascii="Sylfaen" w:hAnsi="Sylfaen"/>
          <w:sz w:val="24"/>
          <w:szCs w:val="24"/>
        </w:rPr>
        <w:t>և</w:t>
      </w:r>
      <w:r w:rsidRPr="00834D52">
        <w:rPr>
          <w:rFonts w:ascii="Sylfaen" w:hAnsi="Sylfaen"/>
          <w:sz w:val="24"/>
          <w:szCs w:val="24"/>
        </w:rPr>
        <w:t xml:space="preserve"> այլ կար</w:t>
      </w:r>
      <w:r w:rsidR="00C54D75">
        <w:rPr>
          <w:rFonts w:ascii="Sylfaen" w:hAnsi="Sylfaen"/>
          <w:sz w:val="24"/>
          <w:szCs w:val="24"/>
        </w:rPr>
        <w:t>և</w:t>
      </w:r>
      <w:r w:rsidRPr="00834D52">
        <w:rPr>
          <w:rFonts w:ascii="Sylfaen" w:hAnsi="Sylfaen"/>
          <w:sz w:val="24"/>
          <w:szCs w:val="24"/>
        </w:rPr>
        <w:t xml:space="preserve">որ հատկությունների ցանկը, ներառյալ՝ նրանց կենսաբանական ակտիվությունը, </w:t>
      </w:r>
    </w:p>
    <w:p w14:paraId="0D662CA5" w14:textId="77777777" w:rsidR="006F76EB" w:rsidRPr="00834D52" w:rsidRDefault="006F76EB" w:rsidP="00623D2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այդ կետի համատեքստում ելանյութեր են համարվում բոլոր այն նյութերը, որոնցից արտադրվում կամ անջատվում են ակտիվ դեղագործական բաղադրամասերը: </w:t>
      </w:r>
    </w:p>
    <w:p w14:paraId="23CB770E"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ծագման դեղապատրաստուկների համար ելանյութ է համարվում կենսաբանական ծագման ցանկացած նյութ (օրինակ՝ միկրոօրգանիզմներ, բուսական կամ կենդանական ծագման օրգաններ </w:t>
      </w:r>
      <w:r w:rsidR="00C54D75">
        <w:rPr>
          <w:rFonts w:ascii="Sylfaen" w:hAnsi="Sylfaen"/>
          <w:sz w:val="24"/>
          <w:szCs w:val="24"/>
        </w:rPr>
        <w:t>և</w:t>
      </w:r>
      <w:r w:rsidRPr="00834D52">
        <w:rPr>
          <w:rFonts w:ascii="Sylfaen" w:hAnsi="Sylfaen"/>
          <w:sz w:val="24"/>
          <w:szCs w:val="24"/>
        </w:rPr>
        <w:t xml:space="preserve"> հյուսվածքներ, մարդու </w:t>
      </w:r>
      <w:r w:rsidR="00C54D75">
        <w:rPr>
          <w:rFonts w:ascii="Sylfaen" w:hAnsi="Sylfaen"/>
          <w:sz w:val="24"/>
          <w:szCs w:val="24"/>
        </w:rPr>
        <w:t>և</w:t>
      </w:r>
      <w:r w:rsidRPr="00834D52">
        <w:rPr>
          <w:rFonts w:ascii="Sylfaen" w:hAnsi="Sylfaen"/>
          <w:sz w:val="24"/>
          <w:szCs w:val="24"/>
        </w:rPr>
        <w:t xml:space="preserve"> կենդանիների բջիջներ կամ հեղուկներ (ներառյալ՝ արյունն ու պլազման), բջջի կենսատեխնոլոգիական բաղադրիչներ (բջջի,</w:t>
      </w:r>
      <w:r w:rsidR="00302149" w:rsidRPr="00302149">
        <w:rPr>
          <w:rFonts w:ascii="Sylfaen" w:hAnsi="Sylfaen"/>
          <w:sz w:val="24"/>
          <w:szCs w:val="24"/>
        </w:rPr>
        <w:t> </w:t>
      </w:r>
      <w:r w:rsidRPr="00834D52">
        <w:rPr>
          <w:rFonts w:ascii="Sylfaen" w:hAnsi="Sylfaen"/>
          <w:sz w:val="24"/>
          <w:szCs w:val="24"/>
        </w:rPr>
        <w:t>ներառյալ՝ առաջնային բջջի ռեկոմբինանտ կամ ոչ ռեկոմբինանտ սուբստրատներ)):</w:t>
      </w:r>
    </w:p>
    <w:p w14:paraId="4FA32801" w14:textId="77777777" w:rsidR="006F76EB" w:rsidRPr="00834D52" w:rsidRDefault="006F76EB" w:rsidP="00302149">
      <w:pPr>
        <w:tabs>
          <w:tab w:val="left" w:pos="1418"/>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Կենսաբանական ծագման դեղապատրաստուկ են համարվում (այս կետի համատեքստում) բոլոր այն դեղապատրաստուկները, որոնց ակտիվ (ազդող) նյութը (այսուհետ՝ ակտիվ նյութ) կենսաբանական սուբստանցիան (նյութն) է:</w:t>
      </w:r>
    </w:p>
    <w:p w14:paraId="414298FD" w14:textId="77777777" w:rsidR="006F76EB" w:rsidRPr="00834D52" w:rsidRDefault="006F76EB" w:rsidP="008F21A4">
      <w:pPr>
        <w:tabs>
          <w:tab w:val="left" w:pos="1418"/>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Կենսաբանական սուբստանցիա՝ սուբստանցիա, որը ստացվում է կենսաբանական աղբյուրից, որի նկարագրության </w:t>
      </w:r>
      <w:r w:rsidR="00C54D75">
        <w:rPr>
          <w:rFonts w:ascii="Sylfaen" w:hAnsi="Sylfaen"/>
          <w:sz w:val="24"/>
          <w:szCs w:val="24"/>
        </w:rPr>
        <w:t>և</w:t>
      </w:r>
      <w:r w:rsidRPr="00834D52">
        <w:rPr>
          <w:rFonts w:ascii="Sylfaen" w:hAnsi="Sylfaen"/>
          <w:sz w:val="24"/>
          <w:szCs w:val="24"/>
        </w:rPr>
        <w:t xml:space="preserve"> որակի հավաստման համար անհրաժեշտ է ներկայացնել վերլուծության ֆիզիկական, քիմիական </w:t>
      </w:r>
      <w:r w:rsidR="00C54D75">
        <w:rPr>
          <w:rFonts w:ascii="Sylfaen" w:hAnsi="Sylfaen"/>
          <w:sz w:val="24"/>
          <w:szCs w:val="24"/>
        </w:rPr>
        <w:t>և</w:t>
      </w:r>
      <w:r w:rsidRPr="00834D52">
        <w:rPr>
          <w:rFonts w:ascii="Sylfaen" w:hAnsi="Sylfaen"/>
          <w:sz w:val="24"/>
          <w:szCs w:val="24"/>
        </w:rPr>
        <w:t xml:space="preserve"> կենսաբանական մեթոդների համակցություն՝ արտադրության գործընթացի </w:t>
      </w:r>
      <w:r w:rsidR="00C54D75">
        <w:rPr>
          <w:rFonts w:ascii="Sylfaen" w:hAnsi="Sylfaen"/>
          <w:sz w:val="24"/>
          <w:szCs w:val="24"/>
        </w:rPr>
        <w:t>և</w:t>
      </w:r>
      <w:r w:rsidRPr="00834D52">
        <w:rPr>
          <w:rFonts w:ascii="Sylfaen" w:hAnsi="Sylfaen"/>
          <w:sz w:val="24"/>
          <w:szCs w:val="24"/>
        </w:rPr>
        <w:t xml:space="preserve"> դրա հսկողության նկարագրության հետ:</w:t>
      </w:r>
    </w:p>
    <w:p w14:paraId="32F3E798" w14:textId="77777777" w:rsidR="006F76EB" w:rsidRPr="00834D52" w:rsidRDefault="006F76EB" w:rsidP="008F21A4">
      <w:pPr>
        <w:tabs>
          <w:tab w:val="left" w:pos="1418"/>
        </w:tabs>
        <w:spacing w:after="160" w:line="350" w:lineRule="auto"/>
        <w:ind w:right="-8" w:firstLine="567"/>
        <w:jc w:val="both"/>
        <w:rPr>
          <w:rFonts w:ascii="Sylfaen" w:hAnsi="Sylfaen"/>
          <w:spacing w:val="-4"/>
          <w:sz w:val="24"/>
          <w:szCs w:val="24"/>
        </w:rPr>
      </w:pPr>
      <w:r w:rsidRPr="00834D52">
        <w:rPr>
          <w:rFonts w:ascii="Sylfaen" w:hAnsi="Sylfaen"/>
          <w:spacing w:val="-4"/>
          <w:sz w:val="24"/>
          <w:szCs w:val="24"/>
        </w:rPr>
        <w:t xml:space="preserve">Ցանկացած այլ նյութ, որն օգտագործվում է ակտիվ նյութ կամ ակտիվ բաղադրիչ արտադրելու կամ ստանալու համար, որից սակայն այդ ակտիվ նյութը կամ ակտիվ բաղադրիչն անմիջականորեն չեն ստանում (մասնավորապես՝ ռեագենտներ, սննդարար միջավայրեր, պտղի, սաղմի շիճուկ, պրեպարատիվ քրոմատագրության մեջ կիրառվող հավելումներ </w:t>
      </w:r>
      <w:r w:rsidR="00C54D75">
        <w:rPr>
          <w:rFonts w:ascii="Sylfaen" w:hAnsi="Sylfaen"/>
          <w:spacing w:val="-4"/>
          <w:sz w:val="24"/>
          <w:szCs w:val="24"/>
        </w:rPr>
        <w:t>և</w:t>
      </w:r>
      <w:r w:rsidRPr="00834D52">
        <w:rPr>
          <w:rFonts w:ascii="Sylfaen" w:hAnsi="Sylfaen"/>
          <w:spacing w:val="-4"/>
          <w:sz w:val="24"/>
          <w:szCs w:val="24"/>
        </w:rPr>
        <w:t xml:space="preserve"> բուֆերներ), համարվում է հումք: </w:t>
      </w:r>
    </w:p>
    <w:p w14:paraId="52088936" w14:textId="77777777" w:rsidR="006F76EB" w:rsidRPr="00834D52" w:rsidRDefault="006F76EB" w:rsidP="00623D29">
      <w:pPr>
        <w:tabs>
          <w:tab w:val="left" w:pos="1701"/>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3.2.S.2.</w:t>
      </w:r>
      <w:r w:rsidRPr="00834D52">
        <w:rPr>
          <w:rFonts w:ascii="Sylfaen" w:hAnsi="Sylfaen"/>
          <w:sz w:val="24"/>
          <w:szCs w:val="24"/>
        </w:rPr>
        <w:tab/>
        <w:t xml:space="preserve">Ակտիվ դեղագործական բաղադրամասի արտադրության գործընթացը՝ </w:t>
      </w:r>
    </w:p>
    <w:p w14:paraId="2C84B209" w14:textId="52176319" w:rsidR="006F76EB" w:rsidRPr="00834D52" w:rsidRDefault="006F76EB" w:rsidP="00623D29">
      <w:pPr>
        <w:tabs>
          <w:tab w:val="left" w:pos="1134"/>
        </w:tabs>
        <w:spacing w:after="160" w:line="35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ն պարտավոր է ներկայացնել ակտիվ դեղագործական բաղադրամասի արտադրական գործընթացի նկարագրությունը: Արտադրության գործընթացի պատշաճ նկարագրության </w:t>
      </w:r>
      <w:r w:rsidR="00C54D75">
        <w:rPr>
          <w:rFonts w:ascii="Sylfaen" w:hAnsi="Sylfaen"/>
          <w:sz w:val="24"/>
          <w:szCs w:val="24"/>
        </w:rPr>
        <w:t>և</w:t>
      </w:r>
      <w:r w:rsidRPr="00834D52">
        <w:rPr>
          <w:rFonts w:ascii="Sylfaen" w:hAnsi="Sylfaen"/>
          <w:sz w:val="24"/>
          <w:szCs w:val="24"/>
        </w:rPr>
        <w:t xml:space="preserve"> դրա հսկողության համար պետք է անհրաժեշտ տեղեկատվությունը շարադրել Միության իրավունքի մաս կազմող համապատասխան ակտերով սահմանված պահանջներին համապատասխան, </w:t>
      </w:r>
    </w:p>
    <w:p w14:paraId="79AEDFCE" w14:textId="7F810839" w:rsidR="006F76EB" w:rsidRPr="00834D52" w:rsidRDefault="006F76EB" w:rsidP="00623D29">
      <w:pPr>
        <w:tabs>
          <w:tab w:val="left" w:pos="1134"/>
        </w:tabs>
        <w:spacing w:after="160" w:line="35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բ)</w:t>
      </w:r>
      <w:r w:rsidRPr="00834D52">
        <w:rPr>
          <w:rFonts w:ascii="Sylfaen" w:hAnsi="Sylfaen"/>
          <w:spacing w:val="-4"/>
          <w:sz w:val="24"/>
          <w:szCs w:val="24"/>
        </w:rPr>
        <w:tab/>
        <w:t xml:space="preserve">ակտիվ դեղագործական բաղադրամասի արտադրության համար անհրաժեշտ ամբողջ ելանյութն ու նյութերն անհրաժեշտ է թվարկել՝ նշելով արտադրության այն փուլը, որի ժամանակ օգտագործվում է հումքի </w:t>
      </w:r>
      <w:r w:rsidR="00C54D75">
        <w:rPr>
          <w:rFonts w:ascii="Sylfaen" w:hAnsi="Sylfaen"/>
          <w:spacing w:val="-4"/>
          <w:sz w:val="24"/>
          <w:szCs w:val="24"/>
        </w:rPr>
        <w:t>և</w:t>
      </w:r>
      <w:r w:rsidRPr="00834D52">
        <w:rPr>
          <w:rFonts w:ascii="Sylfaen" w:hAnsi="Sylfaen"/>
          <w:spacing w:val="-4"/>
          <w:sz w:val="24"/>
          <w:szCs w:val="24"/>
        </w:rPr>
        <w:t xml:space="preserve"> նյութերի ցանկացած տեսակ: Անհրաժեշտ է ներկայացնել տեղեկատվություն՝ դրանց որակի </w:t>
      </w:r>
      <w:r w:rsidR="00C54D75">
        <w:rPr>
          <w:rFonts w:ascii="Sylfaen" w:hAnsi="Sylfaen"/>
          <w:spacing w:val="-4"/>
          <w:sz w:val="24"/>
          <w:szCs w:val="24"/>
        </w:rPr>
        <w:t>և</w:t>
      </w:r>
      <w:r w:rsidRPr="00834D52">
        <w:rPr>
          <w:rFonts w:ascii="Sylfaen" w:hAnsi="Sylfaen"/>
          <w:spacing w:val="-4"/>
          <w:sz w:val="24"/>
          <w:szCs w:val="24"/>
        </w:rPr>
        <w:t xml:space="preserve"> հսկողության մասին, ինչպես նա</w:t>
      </w:r>
      <w:r w:rsidR="00C54D75">
        <w:rPr>
          <w:rFonts w:ascii="Sylfaen" w:hAnsi="Sylfaen"/>
          <w:spacing w:val="-4"/>
          <w:sz w:val="24"/>
          <w:szCs w:val="24"/>
        </w:rPr>
        <w:t>և</w:t>
      </w:r>
      <w:r w:rsidRPr="00834D52">
        <w:rPr>
          <w:rFonts w:ascii="Sylfaen" w:hAnsi="Sylfaen"/>
          <w:spacing w:val="-4"/>
          <w:sz w:val="24"/>
          <w:szCs w:val="24"/>
        </w:rPr>
        <w:t xml:space="preserve"> ենթադրվող կիրառության համար պահանջներին (ստանդարտներին) համապատասխանությունը հավաստող տեղեկություններ: Անհրաժեշտ է թվարկել ելանյութերը (հումքը), ինչպես նա</w:t>
      </w:r>
      <w:r w:rsidR="00C54D75">
        <w:rPr>
          <w:rFonts w:ascii="Sylfaen" w:hAnsi="Sylfaen"/>
          <w:spacing w:val="-4"/>
          <w:sz w:val="24"/>
          <w:szCs w:val="24"/>
        </w:rPr>
        <w:t>և</w:t>
      </w:r>
      <w:r w:rsidRPr="00834D52">
        <w:rPr>
          <w:rFonts w:ascii="Sylfaen" w:hAnsi="Sylfaen"/>
          <w:spacing w:val="-4"/>
          <w:sz w:val="24"/>
          <w:szCs w:val="24"/>
        </w:rPr>
        <w:t xml:space="preserve"> ներկայացնել որակի </w:t>
      </w:r>
      <w:r w:rsidR="00C54D75">
        <w:rPr>
          <w:rFonts w:ascii="Sylfaen" w:hAnsi="Sylfaen"/>
          <w:spacing w:val="-4"/>
          <w:sz w:val="24"/>
          <w:szCs w:val="24"/>
        </w:rPr>
        <w:t>և</w:t>
      </w:r>
      <w:r w:rsidRPr="00834D52">
        <w:rPr>
          <w:rFonts w:ascii="Sylfaen" w:hAnsi="Sylfaen"/>
          <w:spacing w:val="-4"/>
          <w:sz w:val="24"/>
          <w:szCs w:val="24"/>
        </w:rPr>
        <w:t xml:space="preserve"> որակի հսկողության փաստաթղթեր: Անհրաժեշտ է ներկայացնել արտադրական </w:t>
      </w:r>
      <w:r w:rsidRPr="00834D52">
        <w:rPr>
          <w:rFonts w:ascii="Sylfaen" w:hAnsi="Sylfaen"/>
          <w:spacing w:val="-4"/>
          <w:sz w:val="24"/>
          <w:szCs w:val="24"/>
        </w:rPr>
        <w:lastRenderedPageBreak/>
        <w:t xml:space="preserve">հարթակների անվանումն ու գտնվելու վայրը </w:t>
      </w:r>
      <w:r w:rsidR="00C54D75">
        <w:rPr>
          <w:rFonts w:ascii="Sylfaen" w:hAnsi="Sylfaen"/>
          <w:spacing w:val="-4"/>
          <w:sz w:val="24"/>
          <w:szCs w:val="24"/>
        </w:rPr>
        <w:t>և</w:t>
      </w:r>
      <w:r w:rsidRPr="00834D52">
        <w:rPr>
          <w:rFonts w:ascii="Sylfaen" w:hAnsi="Sylfaen"/>
          <w:spacing w:val="-4"/>
          <w:sz w:val="24"/>
          <w:szCs w:val="24"/>
        </w:rPr>
        <w:t xml:space="preserve"> նշել յուրաքանչյուր արտադրողի պարտականությունները, ներառյալ՝ պայմանագրային արտադրությունները, ինչպես նա</w:t>
      </w:r>
      <w:r w:rsidR="00C54D75">
        <w:rPr>
          <w:rFonts w:ascii="Sylfaen" w:hAnsi="Sylfaen"/>
          <w:spacing w:val="-4"/>
          <w:sz w:val="24"/>
          <w:szCs w:val="24"/>
        </w:rPr>
        <w:t>և</w:t>
      </w:r>
      <w:r w:rsidRPr="00834D52">
        <w:rPr>
          <w:rFonts w:ascii="Sylfaen" w:hAnsi="Sylfaen"/>
          <w:spacing w:val="-4"/>
          <w:sz w:val="24"/>
          <w:szCs w:val="24"/>
        </w:rPr>
        <w:t xml:space="preserve"> տեղեկատվություն՝ </w:t>
      </w:r>
      <w:r w:rsidR="006841ED" w:rsidRPr="006841ED">
        <w:rPr>
          <w:rFonts w:ascii="Sylfaen" w:hAnsi="Sylfaen"/>
          <w:sz w:val="24"/>
          <w:szCs w:val="24"/>
        </w:rPr>
        <w:t>օգտագործվող յուրաքանչյուր արտադրական հարթակի</w:t>
      </w:r>
      <w:r w:rsidR="006841ED">
        <w:rPr>
          <w:sz w:val="21"/>
          <w:szCs w:val="21"/>
        </w:rPr>
        <w:t xml:space="preserve"> </w:t>
      </w:r>
      <w:r w:rsidRPr="00834D52">
        <w:rPr>
          <w:rFonts w:ascii="Sylfaen" w:hAnsi="Sylfaen"/>
          <w:spacing w:val="-4"/>
          <w:sz w:val="24"/>
          <w:szCs w:val="24"/>
        </w:rPr>
        <w:t xml:space="preserve">կամ փորձարկման լաբորատորիայի մասին, </w:t>
      </w:r>
    </w:p>
    <w:p w14:paraId="44CCC830" w14:textId="77777777" w:rsidR="006F76EB" w:rsidRPr="00834D52" w:rsidRDefault="006F76EB" w:rsidP="00623D2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կենսաբանական դեղապատրաստուկների համար սահմանվել են հետ</w:t>
      </w:r>
      <w:r w:rsidR="00C54D75">
        <w:rPr>
          <w:rFonts w:ascii="Sylfaen" w:hAnsi="Sylfaen"/>
          <w:sz w:val="24"/>
          <w:szCs w:val="24"/>
        </w:rPr>
        <w:t>և</w:t>
      </w:r>
      <w:r w:rsidRPr="00834D52">
        <w:rPr>
          <w:rFonts w:ascii="Sylfaen" w:hAnsi="Sylfaen"/>
          <w:sz w:val="24"/>
          <w:szCs w:val="24"/>
        </w:rPr>
        <w:t>յալ լրացուցիչ պահանջները՝</w:t>
      </w:r>
    </w:p>
    <w:p w14:paraId="7F28B812"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ելանյութերի ծագման </w:t>
      </w:r>
      <w:r w:rsidR="00C54D75">
        <w:rPr>
          <w:rFonts w:ascii="Sylfaen" w:hAnsi="Sylfaen"/>
          <w:sz w:val="24"/>
          <w:szCs w:val="24"/>
        </w:rPr>
        <w:t>և</w:t>
      </w:r>
      <w:r w:rsidRPr="00834D52">
        <w:rPr>
          <w:rFonts w:ascii="Sylfaen" w:hAnsi="Sylfaen"/>
          <w:sz w:val="24"/>
          <w:szCs w:val="24"/>
        </w:rPr>
        <w:t xml:space="preserve"> ստացման պատմության նկարագրությունը </w:t>
      </w:r>
      <w:r w:rsidR="00C54D75">
        <w:rPr>
          <w:rFonts w:ascii="Sylfaen" w:hAnsi="Sylfaen"/>
          <w:sz w:val="24"/>
          <w:szCs w:val="24"/>
        </w:rPr>
        <w:t>և</w:t>
      </w:r>
      <w:r w:rsidRPr="00834D52">
        <w:rPr>
          <w:rFonts w:ascii="Sylfaen" w:hAnsi="Sylfaen"/>
          <w:sz w:val="24"/>
          <w:szCs w:val="24"/>
        </w:rPr>
        <w:t xml:space="preserve"> փաստաթղթային հավաստումը, </w:t>
      </w:r>
    </w:p>
    <w:p w14:paraId="582A7430" w14:textId="7D12B8B4"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սպունգանման էնցեֆալոպատիայի հարուցիչների փոխանցումը կանխելու ուղղությամբ, հատուկ միջոցառումների հետ կապված, </w:t>
      </w:r>
      <w:r w:rsidR="0056496B">
        <w:rPr>
          <w:rFonts w:ascii="Sylfaen" w:hAnsi="Sylfaen"/>
          <w:sz w:val="24"/>
          <w:szCs w:val="24"/>
        </w:rPr>
        <w:t>դիմումատու</w:t>
      </w:r>
      <w:r w:rsidRPr="00834D52">
        <w:rPr>
          <w:rFonts w:ascii="Sylfaen" w:hAnsi="Sylfaen"/>
          <w:sz w:val="24"/>
          <w:szCs w:val="24"/>
        </w:rPr>
        <w:t>ն պետք է հավաստի, որ ակտիվ նյութը բավարարում է, մասնավորապես, Եվրասիական տնտեսական միության դեղագրքի համապատասխան հոդվածի (մենագրության)՝ արտադրվող դեղապատրաստուկներով տվյալ հարուցիչների փոխանցման ռիսկը նվազեցնելու պահանջներին,</w:t>
      </w:r>
    </w:p>
    <w:p w14:paraId="6FB833C5"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բջիջների բանկերի օգտագործման ժամանակ ներկայացվում են ապացույցներ առ այն, որ բջիջների բնութագրերը մնացել են անփոփոխ արտադրության համար օգտագործվող պասսաժների այդ քանակի դեպքում, ինչպես նա</w:t>
      </w:r>
      <w:r w:rsidR="00C54D75">
        <w:rPr>
          <w:rFonts w:ascii="Sylfaen" w:hAnsi="Sylfaen"/>
          <w:sz w:val="24"/>
          <w:szCs w:val="24"/>
        </w:rPr>
        <w:t>և</w:t>
      </w:r>
      <w:r w:rsidRPr="00834D52">
        <w:rPr>
          <w:rFonts w:ascii="Sylfaen" w:hAnsi="Sylfaen"/>
          <w:sz w:val="24"/>
          <w:szCs w:val="24"/>
        </w:rPr>
        <w:t xml:space="preserve"> հաջորդ ժամանակահատվածի ընթացքում, </w:t>
      </w:r>
    </w:p>
    <w:p w14:paraId="08A700B5" w14:textId="77777777" w:rsidR="006F76EB" w:rsidRPr="00834D52" w:rsidRDefault="006F76EB" w:rsidP="00C02BB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ցանքսային նյութերը, բջիջների բանկերը, շիճուկների կամ պլազմայի պուլերը </w:t>
      </w:r>
      <w:r w:rsidR="00C54D75">
        <w:rPr>
          <w:rFonts w:ascii="Sylfaen" w:hAnsi="Sylfaen"/>
          <w:sz w:val="24"/>
          <w:szCs w:val="24"/>
        </w:rPr>
        <w:t>և</w:t>
      </w:r>
      <w:r w:rsidRPr="00834D52">
        <w:rPr>
          <w:rFonts w:ascii="Sylfaen" w:hAnsi="Sylfaen"/>
          <w:sz w:val="24"/>
          <w:szCs w:val="24"/>
        </w:rPr>
        <w:t xml:space="preserve"> կենսաբանական ծագման այլ նյութեր, ինչպես նա</w:t>
      </w:r>
      <w:r w:rsidR="00C54D75">
        <w:rPr>
          <w:rFonts w:ascii="Sylfaen" w:hAnsi="Sylfaen"/>
          <w:sz w:val="24"/>
          <w:szCs w:val="24"/>
        </w:rPr>
        <w:t>և</w:t>
      </w:r>
      <w:r w:rsidRPr="00834D52">
        <w:rPr>
          <w:rFonts w:ascii="Sylfaen" w:hAnsi="Sylfaen"/>
          <w:sz w:val="24"/>
          <w:szCs w:val="24"/>
        </w:rPr>
        <w:t xml:space="preserve"> հնարավորության դեպքում այն նյութերը, որոնցից դրանք ստացվել են, հետազոտվում են կողմնակի ագենտների առկայությունը ստուգելու համար, </w:t>
      </w:r>
    </w:p>
    <w:p w14:paraId="09D2E837" w14:textId="77777777" w:rsidR="006F76EB" w:rsidRPr="00834D52" w:rsidRDefault="006F76EB" w:rsidP="00C02BB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հնարավոր ախտածին կողմնակի ագենտների առկայությունից հնարավոր չէ խուսափել, ապա թույլատրվում է նյութերն օգտագործել միայն այն դեպքում, երբ հետագա մշակման ժամանակ կապահովվի տվյալ կողմնակի ագենտների հեռացումը </w:t>
      </w:r>
      <w:r w:rsidR="00C54D75">
        <w:rPr>
          <w:rFonts w:ascii="Sylfaen" w:hAnsi="Sylfaen"/>
          <w:sz w:val="24"/>
          <w:szCs w:val="24"/>
        </w:rPr>
        <w:t>և</w:t>
      </w:r>
      <w:r w:rsidRPr="00834D52">
        <w:rPr>
          <w:rFonts w:ascii="Sylfaen" w:hAnsi="Sylfaen"/>
          <w:sz w:val="24"/>
          <w:szCs w:val="24"/>
        </w:rPr>
        <w:t xml:space="preserve"> (կամ) ակտիվազրկումը, </w:t>
      </w:r>
      <w:r w:rsidR="00C54D75">
        <w:rPr>
          <w:rFonts w:ascii="Sylfaen" w:hAnsi="Sylfaen"/>
          <w:sz w:val="24"/>
          <w:szCs w:val="24"/>
        </w:rPr>
        <w:t>և</w:t>
      </w:r>
      <w:r w:rsidRPr="00834D52">
        <w:rPr>
          <w:rFonts w:ascii="Sylfaen" w:hAnsi="Sylfaen"/>
          <w:sz w:val="24"/>
          <w:szCs w:val="24"/>
        </w:rPr>
        <w:t xml:space="preserve"> դա պետք է վալիդացվի, </w:t>
      </w:r>
    </w:p>
    <w:p w14:paraId="7B232BE4" w14:textId="7128098A" w:rsidR="006F76EB" w:rsidRPr="00834D52" w:rsidRDefault="006F76EB" w:rsidP="00516C70">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պատվաստանյութերի արտադրությունը պետք է հիմնվի (հնարավորության դեպքում) ցանքսային կուլտուրաների </w:t>
      </w:r>
      <w:r w:rsidR="00C54D75">
        <w:rPr>
          <w:rFonts w:ascii="Sylfaen" w:hAnsi="Sylfaen"/>
          <w:sz w:val="24"/>
          <w:szCs w:val="24"/>
        </w:rPr>
        <w:t>և</w:t>
      </w:r>
      <w:r w:rsidRPr="00834D52">
        <w:rPr>
          <w:rFonts w:ascii="Sylfaen" w:hAnsi="Sylfaen"/>
          <w:sz w:val="24"/>
          <w:szCs w:val="24"/>
        </w:rPr>
        <w:t xml:space="preserve"> բջիջների </w:t>
      </w:r>
      <w:r w:rsidR="00F350A1">
        <w:rPr>
          <w:rFonts w:ascii="Sylfaen" w:hAnsi="Sylfaen"/>
          <w:sz w:val="24"/>
          <w:szCs w:val="24"/>
        </w:rPr>
        <w:t>հայտ</w:t>
      </w:r>
      <w:r w:rsidRPr="00834D52">
        <w:rPr>
          <w:rFonts w:ascii="Sylfaen" w:hAnsi="Sylfaen"/>
          <w:sz w:val="24"/>
          <w:szCs w:val="24"/>
        </w:rPr>
        <w:t xml:space="preserve">նի բանկերի համակարգի վրա: Մանրէաբանական </w:t>
      </w:r>
      <w:r w:rsidR="00C54D75">
        <w:rPr>
          <w:rFonts w:ascii="Sylfaen" w:hAnsi="Sylfaen"/>
          <w:sz w:val="24"/>
          <w:szCs w:val="24"/>
        </w:rPr>
        <w:t>և</w:t>
      </w:r>
      <w:r w:rsidRPr="00834D52">
        <w:rPr>
          <w:rFonts w:ascii="Sylfaen" w:hAnsi="Sylfaen"/>
          <w:sz w:val="24"/>
          <w:szCs w:val="24"/>
        </w:rPr>
        <w:t xml:space="preserve"> վիրուսային պատվաստանյութերի արտադրության ժամանակ վարակի հարուցչի բնութագրերը պետք է ցույց տրվեն ցանքսային նյութի վրա: Բացի այդ, կենդանի պատվաստանյութերի մասով ատտենուացիայի (ախտածին միկրոօրգանիզմների վիրուլենտության (վարակայնության) թուլացում) բնութագրերի կայունությունը պետք է հավաստվի ցանքսային նյութի վրա, եթե այդ ապացույցը բավարար չլինի, ատտենուացիայի բնութագրերը պետք է հավաստվեն նա</w:t>
      </w:r>
      <w:r w:rsidR="00C54D75">
        <w:rPr>
          <w:rFonts w:ascii="Sylfaen" w:hAnsi="Sylfaen"/>
          <w:sz w:val="24"/>
          <w:szCs w:val="24"/>
        </w:rPr>
        <w:t>և</w:t>
      </w:r>
      <w:r w:rsidRPr="00834D52">
        <w:rPr>
          <w:rFonts w:ascii="Sylfaen" w:hAnsi="Sylfaen"/>
          <w:sz w:val="24"/>
          <w:szCs w:val="24"/>
        </w:rPr>
        <w:t xml:space="preserve"> արտադրության փուլում, </w:t>
      </w:r>
    </w:p>
    <w:p w14:paraId="0F57C696"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III մասում շարադրված դրույթներին համապատասխան՝ մարդու արյունից կամ պլազմայից ստացված դեղապատրաստուկների համար անհրաժեշտ է նկարագրել </w:t>
      </w:r>
      <w:r w:rsidR="00C54D75">
        <w:rPr>
          <w:rFonts w:ascii="Sylfaen" w:hAnsi="Sylfaen"/>
          <w:sz w:val="24"/>
          <w:szCs w:val="24"/>
        </w:rPr>
        <w:t>և</w:t>
      </w:r>
      <w:r w:rsidRPr="00834D52">
        <w:rPr>
          <w:rFonts w:ascii="Sylfaen" w:hAnsi="Sylfaen"/>
          <w:sz w:val="24"/>
          <w:szCs w:val="24"/>
        </w:rPr>
        <w:t xml:space="preserve"> փաստաթղթերով հավաստել ելանյութերի ծագումը, ելանյութերի ընտրության, տրանսպորտային փոխադրման </w:t>
      </w:r>
      <w:r w:rsidR="00C54D75">
        <w:rPr>
          <w:rFonts w:ascii="Sylfaen" w:hAnsi="Sylfaen"/>
          <w:sz w:val="24"/>
          <w:szCs w:val="24"/>
        </w:rPr>
        <w:t>և</w:t>
      </w:r>
      <w:r w:rsidRPr="00834D52">
        <w:rPr>
          <w:rFonts w:ascii="Sylfaen" w:hAnsi="Sylfaen"/>
          <w:sz w:val="24"/>
          <w:szCs w:val="24"/>
        </w:rPr>
        <w:t xml:space="preserve"> պահպանման չափանիշներն ու մեթոդիկաները, </w:t>
      </w:r>
    </w:p>
    <w:p w14:paraId="356A2C9A" w14:textId="77777777" w:rsidR="006F76EB" w:rsidRPr="00834D52" w:rsidRDefault="006F76EB" w:rsidP="0078306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արտադրական տարածքներն ու սարքավորումները, </w:t>
      </w:r>
    </w:p>
    <w:p w14:paraId="453DEE0E"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համապատասխան դեպքերում անհրաժեշտ է ներկայացնել տեղեկատվություն՝ փորձարկումների </w:t>
      </w:r>
      <w:r w:rsidR="00C54D75">
        <w:rPr>
          <w:rFonts w:ascii="Sylfaen" w:hAnsi="Sylfaen"/>
          <w:sz w:val="24"/>
          <w:szCs w:val="24"/>
        </w:rPr>
        <w:t>և</w:t>
      </w:r>
      <w:r w:rsidRPr="00834D52">
        <w:rPr>
          <w:rFonts w:ascii="Sylfaen" w:hAnsi="Sylfaen"/>
          <w:sz w:val="24"/>
          <w:szCs w:val="24"/>
        </w:rPr>
        <w:t xml:space="preserve"> ընդունելիության չափանիշների մասին, յուրաքանչյուր կրիտիկական փուլում, տեղեկատվություն՝ միջանկյալ արգասիքների որակի </w:t>
      </w:r>
      <w:r w:rsidR="00C54D75">
        <w:rPr>
          <w:rFonts w:ascii="Sylfaen" w:hAnsi="Sylfaen"/>
          <w:sz w:val="24"/>
          <w:szCs w:val="24"/>
        </w:rPr>
        <w:t>և</w:t>
      </w:r>
      <w:r w:rsidRPr="00834D52">
        <w:rPr>
          <w:rFonts w:ascii="Sylfaen" w:hAnsi="Sylfaen"/>
          <w:sz w:val="24"/>
          <w:szCs w:val="24"/>
        </w:rPr>
        <w:t xml:space="preserve"> հսկողության, ինչպես նա</w:t>
      </w:r>
      <w:r w:rsidR="00C54D75">
        <w:rPr>
          <w:rFonts w:ascii="Sylfaen" w:hAnsi="Sylfaen"/>
          <w:sz w:val="24"/>
          <w:szCs w:val="24"/>
        </w:rPr>
        <w:t>և</w:t>
      </w:r>
      <w:r w:rsidRPr="00834D52">
        <w:rPr>
          <w:rFonts w:ascii="Sylfaen" w:hAnsi="Sylfaen"/>
          <w:sz w:val="24"/>
          <w:szCs w:val="24"/>
        </w:rPr>
        <w:t xml:space="preserve"> գործընթացի վալիդացման </w:t>
      </w:r>
      <w:r w:rsidR="00C54D75">
        <w:rPr>
          <w:rFonts w:ascii="Sylfaen" w:hAnsi="Sylfaen"/>
          <w:sz w:val="24"/>
          <w:szCs w:val="24"/>
        </w:rPr>
        <w:t>և</w:t>
      </w:r>
      <w:r w:rsidRPr="00834D52">
        <w:rPr>
          <w:rFonts w:ascii="Sylfaen" w:hAnsi="Sylfaen"/>
          <w:sz w:val="24"/>
          <w:szCs w:val="24"/>
        </w:rPr>
        <w:t xml:space="preserve"> (կամ) դրա գնահատման մասին, </w:t>
      </w:r>
    </w:p>
    <w:p w14:paraId="73E26E5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եթե հնարավոր ախտածին կողմնակի ագենտների առկայությունից խուսափել հնարավոր չէ, ապա թույլատրվում է նյութերն օգտագործել միայն այն դեպքերում, երբ հետագա մշակումը ապահովում է դրանց հեռացումը </w:t>
      </w:r>
      <w:r w:rsidR="00C54D75">
        <w:rPr>
          <w:rFonts w:ascii="Sylfaen" w:hAnsi="Sylfaen"/>
          <w:sz w:val="24"/>
          <w:szCs w:val="24"/>
        </w:rPr>
        <w:t>և</w:t>
      </w:r>
      <w:r w:rsidRPr="00834D52">
        <w:rPr>
          <w:rFonts w:ascii="Sylfaen" w:hAnsi="Sylfaen"/>
          <w:sz w:val="24"/>
          <w:szCs w:val="24"/>
        </w:rPr>
        <w:t xml:space="preserve"> (կամ) ակտիվազրկումը, որը հավաստվում է վալիդացմամբ </w:t>
      </w:r>
      <w:r w:rsidR="00C54D75">
        <w:rPr>
          <w:rFonts w:ascii="Sylfaen" w:hAnsi="Sylfaen"/>
          <w:sz w:val="24"/>
          <w:szCs w:val="24"/>
        </w:rPr>
        <w:t>և</w:t>
      </w:r>
      <w:r w:rsidRPr="00834D52">
        <w:rPr>
          <w:rFonts w:ascii="Sylfaen" w:hAnsi="Sylfaen"/>
          <w:sz w:val="24"/>
          <w:szCs w:val="24"/>
        </w:rPr>
        <w:t xml:space="preserve"> բերվում է վիրուսային անվտանգության գնահատման համապատասխան բաժնում, </w:t>
      </w:r>
    </w:p>
    <w:p w14:paraId="50AF1475" w14:textId="3B3C36CF" w:rsidR="006F76EB" w:rsidRDefault="006F76EB" w:rsidP="00C02BB4">
      <w:pPr>
        <w:tabs>
          <w:tab w:val="left" w:pos="1134"/>
        </w:tabs>
        <w:spacing w:after="160" w:line="360" w:lineRule="auto"/>
        <w:ind w:right="-6" w:firstLine="567"/>
        <w:jc w:val="both"/>
        <w:rPr>
          <w:rFonts w:ascii="Sylfaen" w:hAnsi="Sylfaen"/>
          <w:sz w:val="24"/>
          <w:szCs w:val="24"/>
        </w:rPr>
      </w:pPr>
      <w:r w:rsidRPr="00834D52">
        <w:rPr>
          <w:rFonts w:ascii="Sylfaen" w:hAnsi="Sylfaen"/>
          <w:sz w:val="24"/>
          <w:szCs w:val="24"/>
        </w:rPr>
        <w:t>զ)</w:t>
      </w:r>
      <w:r w:rsidRPr="00834D52">
        <w:rPr>
          <w:rFonts w:ascii="Sylfaen" w:hAnsi="Sylfaen"/>
          <w:sz w:val="24"/>
          <w:szCs w:val="24"/>
        </w:rPr>
        <w:tab/>
        <w:t xml:space="preserve">ակտիվ դեղագործական բաղադրամասի համար անհրաժեշտ է նախատեսել մշակման ժամանակ արտադրական գործընթացի </w:t>
      </w:r>
      <w:r w:rsidR="00C54D75">
        <w:rPr>
          <w:rFonts w:ascii="Sylfaen" w:hAnsi="Sylfaen"/>
          <w:sz w:val="24"/>
          <w:szCs w:val="24"/>
        </w:rPr>
        <w:t>և</w:t>
      </w:r>
      <w:r w:rsidRPr="00834D52">
        <w:rPr>
          <w:rFonts w:ascii="Sylfaen" w:hAnsi="Sylfaen"/>
          <w:sz w:val="24"/>
          <w:szCs w:val="24"/>
        </w:rPr>
        <w:t xml:space="preserve"> (կամ) </w:t>
      </w:r>
      <w:r w:rsidRPr="00834D52">
        <w:rPr>
          <w:rFonts w:ascii="Sylfaen" w:hAnsi="Sylfaen"/>
          <w:sz w:val="24"/>
          <w:szCs w:val="24"/>
        </w:rPr>
        <w:lastRenderedPageBreak/>
        <w:t xml:space="preserve">արտադրական հարթակի էական փոփոխությունների նկարագրություն </w:t>
      </w:r>
      <w:r w:rsidR="00C54D75">
        <w:rPr>
          <w:rFonts w:ascii="Sylfaen" w:hAnsi="Sylfaen"/>
          <w:sz w:val="24"/>
          <w:szCs w:val="24"/>
        </w:rPr>
        <w:t>և</w:t>
      </w:r>
      <w:r w:rsidRPr="00834D52">
        <w:rPr>
          <w:rFonts w:ascii="Sylfaen" w:hAnsi="Sylfaen"/>
          <w:sz w:val="24"/>
          <w:szCs w:val="24"/>
        </w:rPr>
        <w:t xml:space="preserve"> վերլուծություն, ինչպես նա</w:t>
      </w:r>
      <w:r w:rsidR="00C54D75">
        <w:rPr>
          <w:rFonts w:ascii="Sylfaen" w:hAnsi="Sylfaen"/>
          <w:sz w:val="24"/>
          <w:szCs w:val="24"/>
        </w:rPr>
        <w:t>և</w:t>
      </w:r>
      <w:r w:rsidRPr="00834D52">
        <w:rPr>
          <w:rFonts w:ascii="Sylfaen" w:hAnsi="Sylfaen"/>
          <w:sz w:val="24"/>
          <w:szCs w:val="24"/>
        </w:rPr>
        <w:t xml:space="preserve"> (այն դեպքում, երբ դեղապատրաստուկ արտադրողն ակտիվ դեղագործական բաղադրամաս արտադրողը չէ) ներկայացնել ակտիվ դեղագործական բաղադրամասի արտադրողի՝ </w:t>
      </w:r>
      <w:r w:rsidR="0056496B">
        <w:rPr>
          <w:rFonts w:ascii="Sylfaen" w:hAnsi="Sylfaen"/>
          <w:sz w:val="24"/>
          <w:szCs w:val="24"/>
        </w:rPr>
        <w:t>դիմումատու</w:t>
      </w:r>
      <w:r w:rsidRPr="00834D52">
        <w:rPr>
          <w:rFonts w:ascii="Sylfaen" w:hAnsi="Sylfaen"/>
          <w:sz w:val="24"/>
          <w:szCs w:val="24"/>
        </w:rPr>
        <w:t>ին արտադրական գործընթացի կամ մասնագրերի փոփոխությունների մասին (ազատ ձ</w:t>
      </w:r>
      <w:r w:rsidR="00C54D75">
        <w:rPr>
          <w:rFonts w:ascii="Sylfaen" w:hAnsi="Sylfaen"/>
          <w:sz w:val="24"/>
          <w:szCs w:val="24"/>
        </w:rPr>
        <w:t>և</w:t>
      </w:r>
      <w:r w:rsidRPr="00834D52">
        <w:rPr>
          <w:rFonts w:ascii="Sylfaen" w:hAnsi="Sylfaen"/>
          <w:sz w:val="24"/>
          <w:szCs w:val="24"/>
        </w:rPr>
        <w:t>ով) տեղեկացնելու գրավոր պարտավորության պատճենը:</w:t>
      </w:r>
    </w:p>
    <w:p w14:paraId="100F6690" w14:textId="3FBE3750" w:rsidR="006841ED" w:rsidRPr="006841ED" w:rsidRDefault="006841ED" w:rsidP="006841ED">
      <w:pPr>
        <w:rPr>
          <w:b/>
          <w:bCs/>
          <w:i/>
          <w:iCs/>
          <w:lang w:val="en-US"/>
        </w:rPr>
      </w:pPr>
      <w:r w:rsidRPr="00CD4709">
        <w:rPr>
          <w:b/>
          <w:bCs/>
          <w:i/>
          <w:iCs/>
        </w:rPr>
        <w:t>(</w:t>
      </w:r>
      <w:r w:rsidRPr="006841ED">
        <w:rPr>
          <w:rFonts w:ascii="Sylfaen" w:hAnsi="Sylfaen"/>
          <w:b/>
          <w:bCs/>
          <w:sz w:val="24"/>
          <w:szCs w:val="24"/>
        </w:rPr>
        <w:t>3.2.S.2.</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67B0B03B"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3.2.S.3.</w:t>
      </w:r>
      <w:r w:rsidRPr="00834D52">
        <w:rPr>
          <w:rFonts w:ascii="Sylfaen" w:hAnsi="Sylfaen"/>
          <w:sz w:val="24"/>
          <w:szCs w:val="24"/>
        </w:rPr>
        <w:tab/>
        <w:t>Ակտիվ դեղագործական բաղադրամասի բնութագրերի նկարագրությունը՝</w:t>
      </w:r>
    </w:p>
    <w:p w14:paraId="0065BE93" w14:textId="77777777" w:rsidR="006F76EB" w:rsidRPr="00834D52" w:rsidRDefault="006F76EB" w:rsidP="00C02BB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տվյալներ՝ ակտիվ դեղագործական բաղադրամասի կառուցվածքի </w:t>
      </w:r>
      <w:r w:rsidR="00C54D75">
        <w:rPr>
          <w:rFonts w:ascii="Sylfaen" w:hAnsi="Sylfaen"/>
          <w:sz w:val="24"/>
          <w:szCs w:val="24"/>
        </w:rPr>
        <w:t>և</w:t>
      </w:r>
      <w:r w:rsidRPr="00834D52">
        <w:rPr>
          <w:rFonts w:ascii="Sylfaen" w:hAnsi="Sylfaen"/>
          <w:sz w:val="24"/>
          <w:szCs w:val="24"/>
        </w:rPr>
        <w:t xml:space="preserve"> այլ բնութագրերի մասին, </w:t>
      </w:r>
    </w:p>
    <w:p w14:paraId="5A4CB989" w14:textId="77777777" w:rsidR="006F76EB" w:rsidRPr="00834D52" w:rsidRDefault="006F76EB" w:rsidP="004C797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հաստատել ակտիվ դեղագործական բաղադրամասի կառուցվածքը՝ հիմնվելով ժամանակակից ֆիզիկաքիմիական </w:t>
      </w:r>
      <w:r w:rsidR="00C54D75">
        <w:rPr>
          <w:rFonts w:ascii="Sylfaen" w:hAnsi="Sylfaen"/>
          <w:sz w:val="24"/>
          <w:szCs w:val="24"/>
        </w:rPr>
        <w:t>և</w:t>
      </w:r>
      <w:r w:rsidRPr="00834D52">
        <w:rPr>
          <w:rFonts w:ascii="Sylfaen" w:hAnsi="Sylfaen"/>
          <w:sz w:val="24"/>
          <w:szCs w:val="24"/>
        </w:rPr>
        <w:t xml:space="preserve"> (կամ) իմուն քիմիական </w:t>
      </w:r>
      <w:r w:rsidR="00C54D75">
        <w:rPr>
          <w:rFonts w:ascii="Sylfaen" w:hAnsi="Sylfaen"/>
          <w:sz w:val="24"/>
          <w:szCs w:val="24"/>
        </w:rPr>
        <w:t>և</w:t>
      </w:r>
      <w:r w:rsidRPr="00834D52">
        <w:rPr>
          <w:rFonts w:ascii="Sylfaen" w:hAnsi="Sylfaen"/>
          <w:sz w:val="24"/>
          <w:szCs w:val="24"/>
        </w:rPr>
        <w:t xml:space="preserve"> (կամ) կենսաբանական մեթոդների վրա, ինչպես նա</w:t>
      </w:r>
      <w:r w:rsidR="00C54D75">
        <w:rPr>
          <w:rFonts w:ascii="Sylfaen" w:hAnsi="Sylfaen"/>
          <w:sz w:val="24"/>
          <w:szCs w:val="24"/>
        </w:rPr>
        <w:t>և</w:t>
      </w:r>
      <w:r w:rsidRPr="00834D52">
        <w:rPr>
          <w:rFonts w:ascii="Sylfaen" w:hAnsi="Sylfaen"/>
          <w:sz w:val="24"/>
          <w:szCs w:val="24"/>
        </w:rPr>
        <w:t xml:space="preserve"> ներկայացնել տեղեկատվություն՝ խառնուկների մասին:</w:t>
      </w:r>
    </w:p>
    <w:p w14:paraId="4C769616"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3.2.S.4.</w:t>
      </w:r>
      <w:r w:rsidRPr="00834D52">
        <w:rPr>
          <w:rFonts w:ascii="Sylfaen" w:hAnsi="Sylfaen"/>
          <w:sz w:val="24"/>
          <w:szCs w:val="24"/>
        </w:rPr>
        <w:tab/>
        <w:t>Ակտիվ դեղագործական բաղադրամասի որակի հսկողություն՝</w:t>
      </w:r>
    </w:p>
    <w:p w14:paraId="7C689FA2" w14:textId="77777777" w:rsidR="006F76EB" w:rsidRPr="00834D52" w:rsidRDefault="006F76EB" w:rsidP="00C02BB4">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ակտիվ դեղագործական բաղադրամասի սերիական հսկողության համար օգտագործվող մասնագրերի մասին, այդ մասնագրերի, փորձարկումների մեթոդիկաների </w:t>
      </w:r>
      <w:r w:rsidR="00C54D75">
        <w:rPr>
          <w:rFonts w:ascii="Sylfaen" w:hAnsi="Sylfaen"/>
          <w:sz w:val="24"/>
          <w:szCs w:val="24"/>
        </w:rPr>
        <w:t>և</w:t>
      </w:r>
      <w:r w:rsidRPr="00834D52">
        <w:rPr>
          <w:rFonts w:ascii="Sylfaen" w:hAnsi="Sylfaen"/>
          <w:sz w:val="24"/>
          <w:szCs w:val="24"/>
        </w:rPr>
        <w:t xml:space="preserve"> դրանց վալիդացման ընտրության հիմնավորումը, </w:t>
      </w:r>
    </w:p>
    <w:p w14:paraId="54C0FB4B" w14:textId="77777777" w:rsidR="006F76EB" w:rsidRPr="00834D52" w:rsidRDefault="006F76EB" w:rsidP="004C797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մշակման փուլում արտադրված առանձին սերիաների որակի հսկողության արդյունքները:</w:t>
      </w:r>
    </w:p>
    <w:p w14:paraId="0A75466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3.2.S.5.</w:t>
      </w:r>
      <w:r w:rsidRPr="00834D52">
        <w:rPr>
          <w:rFonts w:ascii="Sylfaen" w:hAnsi="Sylfaen"/>
          <w:sz w:val="24"/>
          <w:szCs w:val="24"/>
        </w:rPr>
        <w:tab/>
        <w:t>Ստանդարտ նմուշները կամ նյութերը՝</w:t>
      </w:r>
    </w:p>
    <w:p w14:paraId="501A0B25"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ստանդարտ նյութերն ու ստանդարտ նմուշները: Հնարավորության դեպքում անհրաժեշտ է կիրառել համապատասխան դեղագրքային քիմիական ստանդարտ նմուշներ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կենսաբանական ստանդարտ նյութեր:</w:t>
      </w:r>
    </w:p>
    <w:p w14:paraId="122A79B7"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3.2.S.6.</w:t>
      </w:r>
      <w:r w:rsidRPr="00834D52">
        <w:rPr>
          <w:rFonts w:ascii="Sylfaen" w:hAnsi="Sylfaen"/>
          <w:sz w:val="24"/>
          <w:szCs w:val="24"/>
        </w:rPr>
        <w:tab/>
        <w:t>Փաթեթավորման (խցան փակման) համակարգը</w:t>
      </w:r>
    </w:p>
    <w:p w14:paraId="028C0A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փաթեթվածքի </w:t>
      </w:r>
      <w:r w:rsidR="00C54D75">
        <w:rPr>
          <w:rFonts w:ascii="Sylfaen" w:hAnsi="Sylfaen"/>
          <w:sz w:val="24"/>
          <w:szCs w:val="24"/>
        </w:rPr>
        <w:t>և</w:t>
      </w:r>
      <w:r w:rsidRPr="00834D52">
        <w:rPr>
          <w:rFonts w:ascii="Sylfaen" w:hAnsi="Sylfaen"/>
          <w:sz w:val="24"/>
          <w:szCs w:val="24"/>
        </w:rPr>
        <w:t xml:space="preserve"> փաթեթավորման (խցան փակման) համակարգի նկարագրությունը </w:t>
      </w:r>
      <w:r w:rsidR="00C54D75">
        <w:rPr>
          <w:rFonts w:ascii="Sylfaen" w:hAnsi="Sylfaen"/>
          <w:sz w:val="24"/>
          <w:szCs w:val="24"/>
        </w:rPr>
        <w:t>և</w:t>
      </w:r>
      <w:r w:rsidRPr="00834D52">
        <w:rPr>
          <w:rFonts w:ascii="Sylfaen" w:hAnsi="Sylfaen"/>
          <w:sz w:val="24"/>
          <w:szCs w:val="24"/>
        </w:rPr>
        <w:t xml:space="preserve"> դրա բաղադրիչների մասնագրերի: </w:t>
      </w:r>
    </w:p>
    <w:p w14:paraId="5188BE22"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3.2.S.7.</w:t>
      </w:r>
      <w:r w:rsidRPr="00834D52">
        <w:rPr>
          <w:rFonts w:ascii="Sylfaen" w:hAnsi="Sylfaen"/>
          <w:sz w:val="24"/>
          <w:szCs w:val="24"/>
        </w:rPr>
        <w:tab/>
        <w:t>Կայունությունը</w:t>
      </w:r>
    </w:p>
    <w:p w14:paraId="05F30B01"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008270E4"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հետազոտությունների ժամանակ ստացված արդյունքները, </w:t>
      </w:r>
    </w:p>
    <w:p w14:paraId="57F9D804" w14:textId="77777777"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անհրաժեշտ է ներկայացնել կայունության հետազոտության համապատասխան ձ</w:t>
      </w:r>
      <w:r w:rsidR="00C54D75">
        <w:rPr>
          <w:rFonts w:ascii="Sylfaen" w:hAnsi="Sylfaen"/>
          <w:sz w:val="24"/>
          <w:szCs w:val="24"/>
        </w:rPr>
        <w:t>և</w:t>
      </w:r>
      <w:r w:rsidRPr="00834D52">
        <w:rPr>
          <w:rFonts w:ascii="Sylfaen" w:hAnsi="Sylfaen"/>
          <w:sz w:val="24"/>
          <w:szCs w:val="24"/>
        </w:rPr>
        <w:t>աչափով ձ</w:t>
      </w:r>
      <w:r w:rsidR="00C54D75">
        <w:rPr>
          <w:rFonts w:ascii="Sylfaen" w:hAnsi="Sylfaen"/>
          <w:sz w:val="24"/>
          <w:szCs w:val="24"/>
        </w:rPr>
        <w:t>և</w:t>
      </w:r>
      <w:r w:rsidRPr="00834D52">
        <w:rPr>
          <w:rFonts w:ascii="Sylfaen" w:hAnsi="Sylfaen"/>
          <w:sz w:val="24"/>
          <w:szCs w:val="24"/>
        </w:rPr>
        <w:t xml:space="preserve">ակերպված մանրամասն արդյունքները, ներառյալ՝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դրանց վալիդացման մասին տեղեկությունները, </w:t>
      </w:r>
    </w:p>
    <w:p w14:paraId="26E0E334" w14:textId="221D1C79" w:rsidR="006F76EB" w:rsidRPr="00834D52" w:rsidRDefault="006F76EB" w:rsidP="00C02BB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հետազոտության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այն կատարելու պարտավորությունները: </w:t>
      </w:r>
    </w:p>
    <w:p w14:paraId="1C78FBE3"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w:t>
      </w:r>
      <w:r w:rsidRPr="00834D52">
        <w:rPr>
          <w:rFonts w:ascii="Sylfaen" w:hAnsi="Sylfaen"/>
          <w:sz w:val="24"/>
          <w:szCs w:val="24"/>
        </w:rPr>
        <w:tab/>
        <w:t>Դեղապատրաստուկը:</w:t>
      </w:r>
    </w:p>
    <w:p w14:paraId="6863FD91" w14:textId="77777777" w:rsidR="006F76EB" w:rsidRPr="00834D52" w:rsidRDefault="006F76EB" w:rsidP="00C02BB4">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3.2.P.1.</w:t>
      </w:r>
      <w:r w:rsidRPr="00834D52">
        <w:rPr>
          <w:rFonts w:ascii="Sylfaen" w:hAnsi="Sylfaen"/>
          <w:sz w:val="24"/>
          <w:szCs w:val="24"/>
        </w:rPr>
        <w:tab/>
        <w:t xml:space="preserve">Դեղապատրաստուկի նկարագրությունն ու բաղադրությունը: </w:t>
      </w:r>
    </w:p>
    <w:p w14:paraId="5F03962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դեղապատրաստուկի նկարագրությունն ու դրա բաղադրությունը: Տեղեկատվությունը պետք է ներառի դեղաձ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բաղադրության նկարագրությունը՝ պատրաստի դեղաձ</w:t>
      </w:r>
      <w:r w:rsidR="00C54D75">
        <w:rPr>
          <w:rFonts w:ascii="Sylfaen" w:hAnsi="Sylfaen"/>
          <w:sz w:val="24"/>
          <w:szCs w:val="24"/>
        </w:rPr>
        <w:t>և</w:t>
      </w:r>
      <w:r w:rsidRPr="00834D52">
        <w:rPr>
          <w:rFonts w:ascii="Sylfaen" w:hAnsi="Sylfaen"/>
          <w:sz w:val="24"/>
          <w:szCs w:val="24"/>
        </w:rPr>
        <w:t xml:space="preserve">ի բոլոր բաղադրիչների, միավոր դեղաչափի հաշվարկով դրանց քանակության ցանկով, բաղադրամասերի գործառական նշանակությունը </w:t>
      </w:r>
    </w:p>
    <w:p w14:paraId="27A4B814"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w:t>
      </w:r>
    </w:p>
    <w:p w14:paraId="7536A38A"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 անկախ դրանց ծագումից կամ քանակից, ներառյալ՝ ներկանյութերը, կոնսերվանտները, մոդիֆիկատորները, ստաբիլիզատորները, </w:t>
      </w:r>
      <w:r w:rsidRPr="00834D52">
        <w:rPr>
          <w:rFonts w:ascii="Sylfaen" w:hAnsi="Sylfaen"/>
          <w:sz w:val="24"/>
          <w:szCs w:val="24"/>
        </w:rPr>
        <w:lastRenderedPageBreak/>
        <w:t xml:space="preserve">թանձրացուցիչները, էմուլգատորները, համային </w:t>
      </w:r>
      <w:r w:rsidR="00C54D75">
        <w:rPr>
          <w:rFonts w:ascii="Sylfaen" w:hAnsi="Sylfaen"/>
          <w:sz w:val="24"/>
          <w:szCs w:val="24"/>
        </w:rPr>
        <w:t>և</w:t>
      </w:r>
      <w:r w:rsidRPr="00834D52">
        <w:rPr>
          <w:rFonts w:ascii="Sylfaen" w:hAnsi="Sylfaen"/>
          <w:sz w:val="24"/>
          <w:szCs w:val="24"/>
        </w:rPr>
        <w:t xml:space="preserve"> բուրավետ նյութերը </w:t>
      </w:r>
      <w:r w:rsidR="00C54D75">
        <w:rPr>
          <w:rFonts w:ascii="Sylfaen" w:hAnsi="Sylfaen"/>
          <w:sz w:val="24"/>
          <w:szCs w:val="24"/>
        </w:rPr>
        <w:t>և</w:t>
      </w:r>
      <w:r w:rsidRPr="00834D52">
        <w:rPr>
          <w:rFonts w:ascii="Sylfaen" w:hAnsi="Sylfaen"/>
          <w:sz w:val="24"/>
          <w:szCs w:val="24"/>
        </w:rPr>
        <w:t xml:space="preserve"> այլն, </w:t>
      </w:r>
    </w:p>
    <w:p w14:paraId="4C2CE1E3"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 xml:space="preserve">ի, ներքին ընդունման ժամանակ կամ ներմուծման ցանկացած այլ եղանակով պացիենտի օրգանիզմ թափանցող դեղապատրաստուկների արտաքին թաղանթի բաղադրիչներ (պինդ դեղապատիճներ, փափուկ դեղապատիճներ, ուղիղաղիքային դեղապատիճներ, թաղանթով պատված հաբեր, թաղանթային ծածկույթով պատված հաբեր </w:t>
      </w:r>
      <w:r w:rsidR="00C54D75">
        <w:rPr>
          <w:rFonts w:ascii="Sylfaen" w:hAnsi="Sylfaen"/>
          <w:sz w:val="24"/>
          <w:szCs w:val="24"/>
        </w:rPr>
        <w:t>և</w:t>
      </w:r>
      <w:r w:rsidRPr="00834D52">
        <w:rPr>
          <w:rFonts w:ascii="Sylfaen" w:hAnsi="Sylfaen"/>
          <w:sz w:val="24"/>
          <w:szCs w:val="24"/>
        </w:rPr>
        <w:t xml:space="preserve"> այլն):</w:t>
      </w:r>
    </w:p>
    <w:p w14:paraId="70E2ABEF"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Նշված տեղեկություններն անհրաժեշտ է լրացնել կոնտեյների տեսակին </w:t>
      </w:r>
      <w:r w:rsidR="00C54D75">
        <w:rPr>
          <w:rFonts w:ascii="Sylfaen" w:hAnsi="Sylfaen"/>
          <w:sz w:val="24"/>
          <w:szCs w:val="24"/>
        </w:rPr>
        <w:t>և</w:t>
      </w:r>
      <w:r w:rsidRPr="00834D52">
        <w:rPr>
          <w:rFonts w:ascii="Sylfaen" w:hAnsi="Sylfaen"/>
          <w:sz w:val="24"/>
          <w:szCs w:val="24"/>
        </w:rPr>
        <w:t xml:space="preserve"> դրա խցանափակման եղանակին վերաբերող ցանկացած էական տվյալով (եթե</w:t>
      </w:r>
      <w:r w:rsidR="009C2B4F" w:rsidRPr="009C2B4F">
        <w:rPr>
          <w:rFonts w:ascii="Sylfaen" w:hAnsi="Sylfaen"/>
          <w:sz w:val="24"/>
          <w:szCs w:val="24"/>
        </w:rPr>
        <w:t> </w:t>
      </w:r>
      <w:r w:rsidRPr="00834D52">
        <w:rPr>
          <w:rFonts w:ascii="Sylfaen" w:hAnsi="Sylfaen"/>
          <w:sz w:val="24"/>
          <w:szCs w:val="24"/>
        </w:rPr>
        <w:t xml:space="preserve">կիրառելի է) այն սարքերի մասին մանրամասն տեղեկատվությամբ, որոնց օգնությամբ կօգտագործվի կամ կներմուծվի դեղապատրաստուկը, </w:t>
      </w:r>
      <w:r w:rsidR="00C54D75">
        <w:rPr>
          <w:rFonts w:ascii="Sylfaen" w:hAnsi="Sylfaen"/>
          <w:sz w:val="24"/>
          <w:szCs w:val="24"/>
        </w:rPr>
        <w:t>և</w:t>
      </w:r>
      <w:r w:rsidRPr="00834D52">
        <w:rPr>
          <w:rFonts w:ascii="Sylfaen" w:hAnsi="Sylfaen"/>
          <w:sz w:val="24"/>
          <w:szCs w:val="24"/>
        </w:rPr>
        <w:t xml:space="preserve"> որոնք կմատակարարվեն դեղապատրաստուկի հետ:</w:t>
      </w:r>
    </w:p>
    <w:p w14:paraId="42EAF44C" w14:textId="77777777" w:rsidR="006F76EB" w:rsidRPr="00834D52" w:rsidRDefault="006F76EB" w:rsidP="008270E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«Ընդունված տերմինաբանություն» արտահայությունը, որը, անկախ այլ դրույթների կիրառությունից, օգտագործվում է դեղապատրաստուկների բաղադրամասերի նկարագրության ժամանակ, նշանակում է հետ</w:t>
      </w:r>
      <w:r w:rsidR="00C54D75">
        <w:rPr>
          <w:rFonts w:ascii="Sylfaen" w:hAnsi="Sylfaen"/>
          <w:sz w:val="24"/>
          <w:szCs w:val="24"/>
        </w:rPr>
        <w:t>և</w:t>
      </w:r>
      <w:r w:rsidRPr="00834D52">
        <w:rPr>
          <w:rFonts w:ascii="Sylfaen" w:hAnsi="Sylfaen"/>
          <w:sz w:val="24"/>
          <w:szCs w:val="24"/>
        </w:rPr>
        <w:t xml:space="preserve">յալը՝ </w:t>
      </w:r>
    </w:p>
    <w:p w14:paraId="4AAAE6D8"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Առողջապահության համաշխարհային կազմակերպության կողմից ներկայացված ՄՉԱ ունեցող նյութերի համար՝ ՄՉԱ-ն կամ եթե նյութը հանդիպում է աղային, եթերային, հիդրատային կամ այլ ձ</w:t>
      </w:r>
      <w:r w:rsidR="00C54D75">
        <w:rPr>
          <w:rFonts w:ascii="Sylfaen" w:hAnsi="Sylfaen"/>
          <w:sz w:val="24"/>
          <w:szCs w:val="24"/>
        </w:rPr>
        <w:t>և</w:t>
      </w:r>
      <w:r w:rsidRPr="00834D52">
        <w:rPr>
          <w:rFonts w:ascii="Sylfaen" w:hAnsi="Sylfaen"/>
          <w:sz w:val="24"/>
          <w:szCs w:val="24"/>
        </w:rPr>
        <w:t xml:space="preserve">ով՝ համապատասխան մոդիֆիկացված ՄՉԱ-ն, </w:t>
      </w:r>
    </w:p>
    <w:p w14:paraId="1966C124"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այլ նյութերի համար (ՄՉԱ-ի բացակայության դեպքում)՝ համընդհանուր (խմբի) անվանումը՝ հաշվի առնելով աղային, եթերային, հիդրատային </w:t>
      </w:r>
      <w:r w:rsidR="00C54D75">
        <w:rPr>
          <w:rFonts w:ascii="Sylfaen" w:hAnsi="Sylfaen"/>
          <w:sz w:val="24"/>
          <w:szCs w:val="24"/>
        </w:rPr>
        <w:t>և</w:t>
      </w:r>
      <w:r w:rsidRPr="00834D52">
        <w:rPr>
          <w:rFonts w:ascii="Sylfaen" w:hAnsi="Sylfaen"/>
          <w:sz w:val="24"/>
          <w:szCs w:val="24"/>
        </w:rPr>
        <w:t xml:space="preserve"> այլ ձ</w:t>
      </w:r>
      <w:r w:rsidR="00C54D75">
        <w:rPr>
          <w:rFonts w:ascii="Sylfaen" w:hAnsi="Sylfaen"/>
          <w:sz w:val="24"/>
          <w:szCs w:val="24"/>
        </w:rPr>
        <w:t>և</w:t>
      </w:r>
      <w:r w:rsidRPr="00834D52">
        <w:rPr>
          <w:rFonts w:ascii="Sylfaen" w:hAnsi="Sylfaen"/>
          <w:sz w:val="24"/>
          <w:szCs w:val="24"/>
        </w:rPr>
        <w:t xml:space="preserve">եր, համընդհանուր (խմբի) անվանման բացակայության դեպքում՝ քիմիական անվանումը՝ ըստ IUPAC-ի անվանացանկի, իսկ վերջինիս բացակայության դեպքում բերվում են տվյալներ՝ ներմուծված հավելումների </w:t>
      </w:r>
      <w:r w:rsidR="00C54D75">
        <w:rPr>
          <w:rFonts w:ascii="Sylfaen" w:hAnsi="Sylfaen"/>
          <w:sz w:val="24"/>
          <w:szCs w:val="24"/>
        </w:rPr>
        <w:t>և</w:t>
      </w:r>
      <w:r w:rsidRPr="00834D52">
        <w:rPr>
          <w:rFonts w:ascii="Sylfaen" w:hAnsi="Sylfaen"/>
          <w:sz w:val="24"/>
          <w:szCs w:val="24"/>
        </w:rPr>
        <w:t xml:space="preserve"> այլնի ստանցման աղբյուրների </w:t>
      </w:r>
      <w:r w:rsidR="00C54D75">
        <w:rPr>
          <w:rFonts w:ascii="Sylfaen" w:hAnsi="Sylfaen"/>
          <w:sz w:val="24"/>
          <w:szCs w:val="24"/>
        </w:rPr>
        <w:t>և</w:t>
      </w:r>
      <w:r w:rsidRPr="00834D52">
        <w:rPr>
          <w:rFonts w:ascii="Sylfaen" w:hAnsi="Sylfaen"/>
          <w:sz w:val="24"/>
          <w:szCs w:val="24"/>
        </w:rPr>
        <w:t xml:space="preserve"> եղանակների առկայության մասին (անհրաժեշտության դեպքում համապատասխան մանրամասներով),</w:t>
      </w:r>
    </w:p>
    <w:p w14:paraId="160C3F4C" w14:textId="77777777" w:rsidR="006F76EB" w:rsidRPr="00834D52" w:rsidRDefault="006F76EB" w:rsidP="008270E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ներկանյութերի համար անվանումից զատ բերվում է համապատասխան ծածկագիրը՝ համաձայն Կոդեքս Ալիմենտարիուսի Սննդային հավելումների </w:t>
      </w:r>
      <w:r w:rsidRPr="00834D52">
        <w:rPr>
          <w:rFonts w:ascii="Sylfaen" w:hAnsi="Sylfaen"/>
          <w:sz w:val="24"/>
          <w:szCs w:val="24"/>
        </w:rPr>
        <w:lastRenderedPageBreak/>
        <w:t>համարակալման միջազգային համակարգի (Е-ծածկագրեր):</w:t>
      </w:r>
    </w:p>
    <w:p w14:paraId="6EE50971" w14:textId="77777777" w:rsidR="006F76EB" w:rsidRPr="00834D52" w:rsidRDefault="006F76EB" w:rsidP="009C2B4F">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«քանակական բաղադրություն» բաժնում ակտիվ դեղագործական բաղադրամասի համար, կախված դեղաձ</w:t>
      </w:r>
      <w:r w:rsidR="00C54D75">
        <w:rPr>
          <w:rFonts w:ascii="Sylfaen" w:hAnsi="Sylfaen"/>
          <w:sz w:val="24"/>
          <w:szCs w:val="24"/>
        </w:rPr>
        <w:t>և</w:t>
      </w:r>
      <w:r w:rsidRPr="00834D52">
        <w:rPr>
          <w:rFonts w:ascii="Sylfaen" w:hAnsi="Sylfaen"/>
          <w:sz w:val="24"/>
          <w:szCs w:val="24"/>
        </w:rPr>
        <w:t>ից, անհրաժեշտ է նշել կենսաբանական ակտիվության միավորների զանգվածը կամ քանակը՝ դեղաձ</w:t>
      </w:r>
      <w:r w:rsidR="00C54D75">
        <w:rPr>
          <w:rFonts w:ascii="Sylfaen" w:hAnsi="Sylfaen"/>
          <w:sz w:val="24"/>
          <w:szCs w:val="24"/>
        </w:rPr>
        <w:t>և</w:t>
      </w:r>
      <w:r w:rsidRPr="00834D52">
        <w:rPr>
          <w:rFonts w:ascii="Sylfaen" w:hAnsi="Sylfaen"/>
          <w:sz w:val="24"/>
          <w:szCs w:val="24"/>
        </w:rPr>
        <w:t>ի դոզավորման միավորի կամ զանգվածի միավորի կամ յուրաքանչյուր ակտիվ դեղագործական բաղադրամասի ծավալի միավորի հաշվարկով:</w:t>
      </w:r>
    </w:p>
    <w:p w14:paraId="63A83526" w14:textId="771D69D2"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ակտիվ դեղագործական բաղադրամասերը ներկայացված են միացությունների կամ ածանցյալների տեսքով, ապա անհրաժեշտ է ներկայացնել դրանց քանակական </w:t>
      </w:r>
      <w:r w:rsidR="009F5829">
        <w:rPr>
          <w:rFonts w:ascii="Sylfaen" w:hAnsi="Sylfaen"/>
          <w:sz w:val="24"/>
          <w:szCs w:val="24"/>
        </w:rPr>
        <w:t>արտահայտություն</w:t>
      </w:r>
      <w:r w:rsidRPr="00834D52">
        <w:rPr>
          <w:rFonts w:ascii="Sylfaen" w:hAnsi="Sylfaen"/>
          <w:sz w:val="24"/>
          <w:szCs w:val="24"/>
        </w:rPr>
        <w:t xml:space="preserve">ը՝ նշելով դրանց ընդհանուր զանգվածը </w:t>
      </w:r>
      <w:r w:rsidR="00C54D75">
        <w:rPr>
          <w:rFonts w:ascii="Sylfaen" w:hAnsi="Sylfaen"/>
          <w:sz w:val="24"/>
          <w:szCs w:val="24"/>
        </w:rPr>
        <w:t>և</w:t>
      </w:r>
      <w:r w:rsidRPr="00834D52">
        <w:rPr>
          <w:rFonts w:ascii="Sylfaen" w:hAnsi="Sylfaen"/>
          <w:sz w:val="24"/>
          <w:szCs w:val="24"/>
        </w:rPr>
        <w:t xml:space="preserve"> մոլեկուլի ակտիվ մասի զանգվածը (անհրաժեշտության դեպքում):</w:t>
      </w:r>
    </w:p>
    <w:p w14:paraId="470BF1CF" w14:textId="02C1A9FF"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բաղադրության մեջ առաջին անգամ </w:t>
      </w:r>
      <w:r w:rsidR="001A5F1A">
        <w:rPr>
          <w:rFonts w:ascii="Sylfaen" w:hAnsi="Sylfaen"/>
          <w:sz w:val="24"/>
          <w:szCs w:val="24"/>
        </w:rPr>
        <w:t>հայտագրված</w:t>
      </w:r>
      <w:r w:rsidRPr="00834D52">
        <w:rPr>
          <w:rFonts w:ascii="Sylfaen" w:hAnsi="Sylfaen"/>
          <w:sz w:val="24"/>
          <w:szCs w:val="24"/>
        </w:rPr>
        <w:t xml:space="preserve"> ակտիվ դեղագործական բաղադրամաս պարունակող դեղապատրաստուկների համար աղ կամ հիդրատ հանդիսացող ակտիվ դեղագործական բաղադրամասի քանակը անհրաժեշտ է միշտ նշել ակտիվ մասի մոլեկուլի զանգվածի հաշվարկով: </w:t>
      </w:r>
    </w:p>
    <w:p w14:paraId="30486778" w14:textId="6D3EE251" w:rsidR="006F76EB" w:rsidRPr="00834D52" w:rsidRDefault="006F76EB" w:rsidP="004176F2">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Որ</w:t>
      </w:r>
      <w:r w:rsidR="00C54D75">
        <w:rPr>
          <w:rFonts w:ascii="Sylfaen" w:hAnsi="Sylfaen"/>
          <w:spacing w:val="-4"/>
          <w:sz w:val="24"/>
          <w:szCs w:val="24"/>
        </w:rPr>
        <w:t>և</w:t>
      </w:r>
      <w:r w:rsidRPr="00834D52">
        <w:rPr>
          <w:rFonts w:ascii="Sylfaen" w:hAnsi="Sylfaen"/>
          <w:spacing w:val="-4"/>
          <w:sz w:val="24"/>
          <w:szCs w:val="24"/>
        </w:rPr>
        <w:t xml:space="preserve">է անդամ պետությունում դեղապատրաստուկի բաղադրության մեջ առաջին անգամ գրանցվող ակտիվ դեղագործական բաղադրամաս պարունակող դեղապատրաստուկների առնչությամբ այդ ակտիվ դեղագործական բաղադրամասի քանակական պարունակությունը, եթե այն աղ է կամ հիդրատ, անհրաժեշտ է </w:t>
      </w:r>
      <w:r w:rsidR="005F6A31">
        <w:rPr>
          <w:rFonts w:ascii="Sylfaen" w:hAnsi="Sylfaen"/>
          <w:spacing w:val="-4"/>
          <w:sz w:val="24"/>
          <w:szCs w:val="24"/>
        </w:rPr>
        <w:t>արտահայտե</w:t>
      </w:r>
      <w:r w:rsidRPr="00834D52">
        <w:rPr>
          <w:rFonts w:ascii="Sylfaen" w:hAnsi="Sylfaen"/>
          <w:spacing w:val="-4"/>
          <w:sz w:val="24"/>
          <w:szCs w:val="24"/>
        </w:rPr>
        <w:t xml:space="preserve">լ համաձայն համակարգային մոտեցման՝ ըստ մոլեկուլի ակտիվ մասի զանգվածի: Նույնպիսի ակտիվ դեղագործական բաղադրամասի քանակական պարունակությունն անդամ պետություններում գրանցվելիք հետագա բոլոր դեղապատրաստուկների մեջ անհրաժեշտ է նշել նույն կերպ: </w:t>
      </w:r>
    </w:p>
    <w:p w14:paraId="64B63531" w14:textId="7F3F2068"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սուբստանցիայի կամ ակտիվ նյութի համար, որը չի կարելի որոշել քիմիական եղանակով, նշվում են կենսաբանական ակտիվության միավորները կամ, առկայության դեպքում, Առողջապահության համաշխարհային կազմակերպության կողմից սահմանված կենսաբանական ակտիվության միջազգային միավորները: Եթե Առողջապահության համաշխարհային կազմակերպության միավորները սահմանված չեն, ապա կենսաբանական </w:t>
      </w:r>
      <w:r w:rsidRPr="00834D52">
        <w:rPr>
          <w:rFonts w:ascii="Sylfaen" w:hAnsi="Sylfaen"/>
          <w:sz w:val="24"/>
          <w:szCs w:val="24"/>
        </w:rPr>
        <w:lastRenderedPageBreak/>
        <w:t xml:space="preserve">ակտիվության միավորները պետք է </w:t>
      </w:r>
      <w:r w:rsidR="005F6A31">
        <w:rPr>
          <w:rFonts w:ascii="Sylfaen" w:hAnsi="Sylfaen"/>
          <w:sz w:val="24"/>
          <w:szCs w:val="24"/>
        </w:rPr>
        <w:t>արտահայտե</w:t>
      </w:r>
      <w:r w:rsidRPr="00834D52">
        <w:rPr>
          <w:rFonts w:ascii="Sylfaen" w:hAnsi="Sylfaen"/>
          <w:sz w:val="24"/>
          <w:szCs w:val="24"/>
        </w:rPr>
        <w:t xml:space="preserve">լ այնպես, որ ներկայացվի ճշգրիտ տեղեկատվություն՝ սուբստանցիայի կամ ազդող նյութի ակտիվության մասին՝ օգտագործելով, որտեղ անհրաժեշտ է, Եվրասիական տնտեսական միության դեղագրքի միավորները: Հնարավորության դեպքում պետք է նշվի միավոր զանգվածի կենսաբանական ակտիվությունը: </w:t>
      </w:r>
    </w:p>
    <w:p w14:paraId="3D238765" w14:textId="77777777" w:rsidR="006F76EB" w:rsidRPr="00AC17B1" w:rsidRDefault="006F76EB" w:rsidP="00C02BB4">
      <w:pPr>
        <w:tabs>
          <w:tab w:val="left" w:pos="1701"/>
          <w:tab w:val="left" w:pos="6720"/>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3.2.P.2.</w:t>
      </w:r>
      <w:r w:rsidRPr="00834D52">
        <w:rPr>
          <w:rFonts w:ascii="Sylfaen" w:hAnsi="Sylfaen"/>
          <w:sz w:val="24"/>
          <w:szCs w:val="24"/>
        </w:rPr>
        <w:tab/>
        <w:t xml:space="preserve">Դեղագործական մշակում՝ </w:t>
      </w:r>
    </w:p>
    <w:p w14:paraId="170E0B6E" w14:textId="38528480"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Տվյալ բաժնում պարունակվում է տեղեկատվություն՝ մշակման հետազոտությունների մասին, որոնք անցկացվել են՝ ապացուցելու այն, որ դեղաձ</w:t>
      </w:r>
      <w:r w:rsidR="00C54D75">
        <w:rPr>
          <w:rFonts w:ascii="Sylfaen" w:hAnsi="Sylfaen"/>
          <w:sz w:val="24"/>
          <w:szCs w:val="24"/>
        </w:rPr>
        <w:t>և</w:t>
      </w:r>
      <w:r w:rsidRPr="00834D52">
        <w:rPr>
          <w:rFonts w:ascii="Sylfaen" w:hAnsi="Sylfaen"/>
          <w:sz w:val="24"/>
          <w:szCs w:val="24"/>
        </w:rPr>
        <w:t>ը, բաղադրությունը, արտադրական գործընթացը, փաթեթավորման (խցանափակման) համակարգը, միկրոկենսբանական բնութագրերը, անմիջական օգտագործման համար պիտանի վերջնական դեղաձ</w:t>
      </w:r>
      <w:r w:rsidR="00C54D75">
        <w:rPr>
          <w:rFonts w:ascii="Sylfaen" w:hAnsi="Sylfaen"/>
          <w:sz w:val="24"/>
          <w:szCs w:val="24"/>
        </w:rPr>
        <w:t>և</w:t>
      </w:r>
      <w:r w:rsidRPr="00834D52">
        <w:rPr>
          <w:rFonts w:ascii="Sylfaen" w:hAnsi="Sylfaen"/>
          <w:sz w:val="24"/>
          <w:szCs w:val="24"/>
        </w:rPr>
        <w:t xml:space="preserve">ը պատրաստելու ցուցումները համապատասխանում են </w:t>
      </w:r>
      <w:r w:rsidR="0056496B">
        <w:rPr>
          <w:rFonts w:ascii="Sylfaen" w:hAnsi="Sylfaen"/>
          <w:sz w:val="24"/>
          <w:szCs w:val="24"/>
        </w:rPr>
        <w:t>դիմումատու</w:t>
      </w:r>
      <w:r w:rsidRPr="00834D52">
        <w:rPr>
          <w:rFonts w:ascii="Sylfaen" w:hAnsi="Sylfaen"/>
          <w:sz w:val="24"/>
          <w:szCs w:val="24"/>
        </w:rPr>
        <w:t>ի կողմից դեղապատրաստուկի գրանցման դոսյեում նշված պլանավորվող կիրառությանը:</w:t>
      </w:r>
    </w:p>
    <w:p w14:paraId="10D9375B"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բաժնում նկարագրված հետազոտությունները տարբերվում են մասնագրերին համապատասխան անցկացվող ընդունված ստուգիչ փորձարկումներից: Անհրաժեշտ է սահմանել </w:t>
      </w:r>
      <w:r w:rsidR="00C54D75">
        <w:rPr>
          <w:rFonts w:ascii="Sylfaen" w:hAnsi="Sylfaen"/>
          <w:sz w:val="24"/>
          <w:szCs w:val="24"/>
        </w:rPr>
        <w:t>և</w:t>
      </w:r>
      <w:r w:rsidRPr="00834D52">
        <w:rPr>
          <w:rFonts w:ascii="Sylfaen" w:hAnsi="Sylfaen"/>
          <w:sz w:val="24"/>
          <w:szCs w:val="24"/>
        </w:rPr>
        <w:t xml:space="preserve"> նկարագրել բաղադրության կրիտիկական պարամետրերն ու գործընթացի բնութագրերը, որոնք կարող են ազդել դեղապատրաստուկի սերիաների վերարտադրելիության, ազդեցության </w:t>
      </w:r>
      <w:r w:rsidR="00C54D75">
        <w:rPr>
          <w:rFonts w:ascii="Sylfaen" w:hAnsi="Sylfaen"/>
          <w:sz w:val="24"/>
          <w:szCs w:val="24"/>
        </w:rPr>
        <w:t>և</w:t>
      </w:r>
      <w:r w:rsidRPr="00834D52">
        <w:rPr>
          <w:rFonts w:ascii="Sylfaen" w:hAnsi="Sylfaen"/>
          <w:sz w:val="24"/>
          <w:szCs w:val="24"/>
        </w:rPr>
        <w:t xml:space="preserve"> որակի վրա: Անհրաժեշտության դեպքում լրացուցիչ հավաստող տվյալներ ներկայացնելիս հարկ է հղում անել 4-րդ </w:t>
      </w:r>
      <w:r w:rsidR="00C54D75">
        <w:rPr>
          <w:rFonts w:ascii="Sylfaen" w:hAnsi="Sylfaen"/>
          <w:sz w:val="24"/>
          <w:szCs w:val="24"/>
        </w:rPr>
        <w:t>և</w:t>
      </w:r>
      <w:r w:rsidRPr="00834D52">
        <w:rPr>
          <w:rFonts w:ascii="Sylfaen" w:hAnsi="Sylfaen"/>
          <w:sz w:val="24"/>
          <w:szCs w:val="24"/>
        </w:rPr>
        <w:t xml:space="preserve"> 5-րդ մոդուլների համապատասխան կետերին՝</w:t>
      </w:r>
    </w:p>
    <w:p w14:paraId="782D60F7" w14:textId="77777777" w:rsidR="006F76EB" w:rsidRPr="00834D52" w:rsidRDefault="006F76EB" w:rsidP="004176F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հիմնավորել ակտիվ դեղագործական բաղադրամասի համատեղելիությունը օժանդակ նյութերի հետ, ինչպես նա</w:t>
      </w:r>
      <w:r w:rsidR="00C54D75">
        <w:rPr>
          <w:rFonts w:ascii="Sylfaen" w:hAnsi="Sylfaen"/>
          <w:sz w:val="24"/>
          <w:szCs w:val="24"/>
        </w:rPr>
        <w:t>և</w:t>
      </w:r>
      <w:r w:rsidRPr="00834D52">
        <w:rPr>
          <w:rFonts w:ascii="Sylfaen" w:hAnsi="Sylfaen"/>
          <w:sz w:val="24"/>
          <w:szCs w:val="24"/>
        </w:rPr>
        <w:t xml:space="preserve"> ակտիվ դեղագործական բաղադրամասի հիմնական ֆիզիկաքիմիական հատկությունները, որոնք կարող են ազդել դեղապատրաստուկի բնութագրերի կամ համակցված դեղապատրաստուկների դեպքում՝ միմյանց հետ տարբեր ակտիվ դեղագործական բաղադրամասերի համադրելիության վրա, </w:t>
      </w:r>
    </w:p>
    <w:p w14:paraId="7FEDEBCC" w14:textId="77777777" w:rsidR="006F76EB" w:rsidRPr="00C02BB4" w:rsidRDefault="006F76EB" w:rsidP="004176F2">
      <w:pPr>
        <w:spacing w:after="160" w:line="372"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անհրաժեշտ է հիմնավորել օժանդակ նյութերի ընտրությունը, հատկապես դրանց </w:t>
      </w:r>
      <w:r w:rsidRPr="00C02BB4">
        <w:rPr>
          <w:rFonts w:ascii="Sylfaen" w:hAnsi="Sylfaen"/>
          <w:spacing w:val="-6"/>
          <w:sz w:val="24"/>
          <w:szCs w:val="24"/>
        </w:rPr>
        <w:lastRenderedPageBreak/>
        <w:t xml:space="preserve">համապատասխան գործառական բնութագրերի </w:t>
      </w:r>
      <w:r w:rsidR="00C54D75">
        <w:rPr>
          <w:rFonts w:ascii="Sylfaen" w:hAnsi="Sylfaen"/>
          <w:spacing w:val="-6"/>
          <w:sz w:val="24"/>
          <w:szCs w:val="24"/>
        </w:rPr>
        <w:t>և</w:t>
      </w:r>
      <w:r w:rsidRPr="00C02BB4">
        <w:rPr>
          <w:rFonts w:ascii="Sylfaen" w:hAnsi="Sylfaen"/>
          <w:spacing w:val="-6"/>
          <w:sz w:val="24"/>
          <w:szCs w:val="24"/>
        </w:rPr>
        <w:t xml:space="preserve"> բովանդակության առումով, </w:t>
      </w:r>
    </w:p>
    <w:p w14:paraId="657BEBEA" w14:textId="77777777" w:rsidR="006F76EB" w:rsidRPr="00834D52" w:rsidRDefault="006F76EB" w:rsidP="004176F2">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մշակման նկարագրությունը՝ հաշվի առնելով ներմուծման առաջարկվող ուղին </w:t>
      </w:r>
      <w:r w:rsidR="00C54D75">
        <w:rPr>
          <w:rFonts w:ascii="Sylfaen" w:hAnsi="Sylfaen"/>
          <w:sz w:val="24"/>
          <w:szCs w:val="24"/>
        </w:rPr>
        <w:t>և</w:t>
      </w:r>
      <w:r w:rsidRPr="00834D52">
        <w:rPr>
          <w:rFonts w:ascii="Sylfaen" w:hAnsi="Sylfaen"/>
          <w:sz w:val="24"/>
          <w:szCs w:val="24"/>
        </w:rPr>
        <w:t xml:space="preserve"> կիրառության եղանակը, </w:t>
      </w:r>
    </w:p>
    <w:p w14:paraId="5E16651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մեջ ցանկացած ավելցուկի առկայություն պետք է հիմնավորված լինի, </w:t>
      </w:r>
    </w:p>
    <w:p w14:paraId="1C322C6F"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w:t>
      </w:r>
      <w:r w:rsidR="00C54D75">
        <w:rPr>
          <w:rFonts w:ascii="Sylfaen" w:hAnsi="Sylfaen"/>
          <w:sz w:val="24"/>
          <w:szCs w:val="24"/>
        </w:rPr>
        <w:t>և</w:t>
      </w:r>
      <w:r w:rsidRPr="00834D52">
        <w:rPr>
          <w:rFonts w:ascii="Sylfaen" w:hAnsi="Sylfaen"/>
          <w:sz w:val="24"/>
          <w:szCs w:val="24"/>
        </w:rPr>
        <w:t xml:space="preserve"> հիմնավորել ցանկացած 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 </w:t>
      </w:r>
      <w:r w:rsidR="00C54D75">
        <w:rPr>
          <w:rFonts w:ascii="Sylfaen" w:hAnsi="Sylfaen"/>
          <w:sz w:val="24"/>
          <w:szCs w:val="24"/>
        </w:rPr>
        <w:t>և</w:t>
      </w:r>
      <w:r w:rsidRPr="00834D52">
        <w:rPr>
          <w:rFonts w:ascii="Sylfaen" w:hAnsi="Sylfaen"/>
          <w:sz w:val="24"/>
          <w:szCs w:val="24"/>
        </w:rPr>
        <w:t xml:space="preserve"> դեղապատրաստուկի բնութագրերի վրա ազդող ցանկացած պարամետր, </w:t>
      </w:r>
    </w:p>
    <w:p w14:paraId="4BDF4D74"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տեղեկատվություն՝ արտադրական գործընթացի ընտրության </w:t>
      </w:r>
      <w:r w:rsidR="00C54D75">
        <w:rPr>
          <w:rFonts w:ascii="Sylfaen" w:hAnsi="Sylfaen"/>
          <w:sz w:val="24"/>
          <w:szCs w:val="24"/>
        </w:rPr>
        <w:t>և</w:t>
      </w:r>
      <w:r w:rsidRPr="00834D52">
        <w:rPr>
          <w:rFonts w:ascii="Sylfaen" w:hAnsi="Sylfaen"/>
          <w:sz w:val="24"/>
          <w:szCs w:val="24"/>
        </w:rPr>
        <w:t xml:space="preserve"> օպտիմալացման, ինչպես նա</w:t>
      </w:r>
      <w:r w:rsidR="00C54D75">
        <w:rPr>
          <w:rFonts w:ascii="Sylfaen" w:hAnsi="Sylfaen"/>
          <w:sz w:val="24"/>
          <w:szCs w:val="24"/>
        </w:rPr>
        <w:t>և</w:t>
      </w:r>
      <w:r w:rsidRPr="00834D52">
        <w:rPr>
          <w:rFonts w:ascii="Sylfaen" w:hAnsi="Sylfaen"/>
          <w:sz w:val="24"/>
          <w:szCs w:val="24"/>
        </w:rPr>
        <w:t xml:space="preserve"> կլինիկական փորձարկումների փուլերում ներգրավված սերիաների պատրաստման ժամանակ օգտագործված արտադրական գործընթացի </w:t>
      </w:r>
      <w:r w:rsidR="00C54D75">
        <w:rPr>
          <w:rFonts w:ascii="Sylfaen" w:hAnsi="Sylfaen"/>
          <w:sz w:val="24"/>
          <w:szCs w:val="24"/>
        </w:rPr>
        <w:t>և</w:t>
      </w:r>
      <w:r w:rsidRPr="00834D52">
        <w:rPr>
          <w:rFonts w:ascii="Sylfaen" w:hAnsi="Sylfaen"/>
          <w:sz w:val="24"/>
          <w:szCs w:val="24"/>
        </w:rPr>
        <w:t xml:space="preserve"> պատրաստի դեղապատրաստուկի արտադրության պլանավորվող արդյունաբերական գործընթացի միջ</w:t>
      </w:r>
      <w:r w:rsidR="00C54D75">
        <w:rPr>
          <w:rFonts w:ascii="Sylfaen" w:hAnsi="Sylfaen"/>
          <w:sz w:val="24"/>
          <w:szCs w:val="24"/>
        </w:rPr>
        <w:t>և</w:t>
      </w:r>
      <w:r w:rsidRPr="00834D52">
        <w:rPr>
          <w:rFonts w:ascii="Sylfaen" w:hAnsi="Sylfaen"/>
          <w:sz w:val="24"/>
          <w:szCs w:val="24"/>
        </w:rPr>
        <w:t xml:space="preserve"> տարբերությունների (անհամապատասխանությունների) մասին, </w:t>
      </w:r>
    </w:p>
    <w:p w14:paraId="50AB3EA5" w14:textId="77777777" w:rsidR="006F76EB" w:rsidRPr="00834D52" w:rsidRDefault="006F76EB" w:rsidP="004176F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առաջնային փաթեթվածքի </w:t>
      </w:r>
      <w:r w:rsidR="00C54D75">
        <w:rPr>
          <w:rFonts w:ascii="Sylfaen" w:hAnsi="Sylfaen"/>
          <w:sz w:val="24"/>
          <w:szCs w:val="24"/>
        </w:rPr>
        <w:t>և</w:t>
      </w:r>
      <w:r w:rsidRPr="00834D52">
        <w:rPr>
          <w:rFonts w:ascii="Sylfaen" w:hAnsi="Sylfaen"/>
          <w:sz w:val="24"/>
          <w:szCs w:val="24"/>
        </w:rPr>
        <w:t xml:space="preserve"> խցանափակման այն համակարգի պիտանիությունը, որն օգտագործվում է դեղապատրաստուկի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կիրառության համար: Ընդ</w:t>
      </w:r>
      <w:r w:rsidR="00833B50" w:rsidRPr="00833B50">
        <w:rPr>
          <w:rFonts w:ascii="Sylfaen" w:hAnsi="Sylfaen"/>
          <w:sz w:val="24"/>
          <w:szCs w:val="24"/>
        </w:rPr>
        <w:t> </w:t>
      </w:r>
      <w:r w:rsidRPr="00834D52">
        <w:rPr>
          <w:rFonts w:ascii="Sylfaen" w:hAnsi="Sylfaen"/>
          <w:sz w:val="24"/>
          <w:szCs w:val="24"/>
        </w:rPr>
        <w:t xml:space="preserve">որում, կարող է պահանջվել դեղապատրաստուկի </w:t>
      </w:r>
      <w:r w:rsidR="00C54D75">
        <w:rPr>
          <w:rFonts w:ascii="Sylfaen" w:hAnsi="Sylfaen"/>
          <w:sz w:val="24"/>
          <w:szCs w:val="24"/>
        </w:rPr>
        <w:t>և</w:t>
      </w:r>
      <w:r w:rsidRPr="00834D52">
        <w:rPr>
          <w:rFonts w:ascii="Sylfaen" w:hAnsi="Sylfaen"/>
          <w:sz w:val="24"/>
          <w:szCs w:val="24"/>
        </w:rPr>
        <w:t xml:space="preserve"> առաջնային փաթեթվածքի նյութի միջ</w:t>
      </w:r>
      <w:r w:rsidR="00C54D75">
        <w:rPr>
          <w:rFonts w:ascii="Sylfaen" w:hAnsi="Sylfaen"/>
          <w:sz w:val="24"/>
          <w:szCs w:val="24"/>
        </w:rPr>
        <w:t>և</w:t>
      </w:r>
      <w:r w:rsidRPr="00834D52">
        <w:rPr>
          <w:rFonts w:ascii="Sylfaen" w:hAnsi="Sylfaen"/>
          <w:sz w:val="24"/>
          <w:szCs w:val="24"/>
        </w:rPr>
        <w:t xml:space="preserve"> հնարավոր փոխազդեցության նկարագրություն, </w:t>
      </w:r>
    </w:p>
    <w:p w14:paraId="548F222C" w14:textId="77777777" w:rsidR="006F76EB" w:rsidRPr="00834D52" w:rsidRDefault="006F76EB" w:rsidP="004176F2">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ինչպես ոչ մանրէազերծ, այնպես էլ մանրէազերծ դեղապատրաստուկների համար անհրաժեշտ է ներկայացնել դեղաձ</w:t>
      </w:r>
      <w:r w:rsidR="00C54D75">
        <w:rPr>
          <w:rFonts w:ascii="Sylfaen" w:hAnsi="Sylfaen"/>
          <w:sz w:val="24"/>
          <w:szCs w:val="24"/>
        </w:rPr>
        <w:t>և</w:t>
      </w:r>
      <w:r w:rsidRPr="00834D52">
        <w:rPr>
          <w:rFonts w:ascii="Sylfaen" w:hAnsi="Sylfaen"/>
          <w:sz w:val="24"/>
          <w:szCs w:val="24"/>
        </w:rPr>
        <w:t xml:space="preserve">ի միկրոկենսաբանական բնութագրերը՝ Եվրասիական տնտեսական միության դեղագրքի պահանջներին համապատասխան, </w:t>
      </w:r>
    </w:p>
    <w:p w14:paraId="121ED0D9" w14:textId="77777777" w:rsidR="006F76EB" w:rsidRPr="00C02BB4" w:rsidRDefault="006F76EB" w:rsidP="004176F2">
      <w:pPr>
        <w:spacing w:after="160" w:line="384" w:lineRule="auto"/>
        <w:ind w:right="-6" w:firstLine="567"/>
        <w:jc w:val="both"/>
        <w:rPr>
          <w:rFonts w:ascii="Sylfaen" w:eastAsia="Times New Roman" w:hAnsi="Sylfaen" w:cs="Times New Roman"/>
          <w:spacing w:val="-6"/>
          <w:sz w:val="24"/>
          <w:szCs w:val="24"/>
        </w:rPr>
      </w:pPr>
      <w:r w:rsidRPr="00C02BB4">
        <w:rPr>
          <w:rFonts w:ascii="Sylfaen" w:hAnsi="Sylfaen"/>
          <w:spacing w:val="-6"/>
          <w:sz w:val="24"/>
          <w:szCs w:val="24"/>
        </w:rPr>
        <w:t xml:space="preserve">լուծիչների կամ դոզատորի (դոզավորող սարքի) կիրառության վերաբերյալ համապատասխան լրացուցիչ տեղեկություններ ներկայացնելու համար անհրաժեշտ է </w:t>
      </w:r>
      <w:r w:rsidRPr="00C02BB4">
        <w:rPr>
          <w:rFonts w:ascii="Sylfaen" w:hAnsi="Sylfaen"/>
          <w:spacing w:val="-6"/>
          <w:sz w:val="24"/>
          <w:szCs w:val="24"/>
        </w:rPr>
        <w:lastRenderedPageBreak/>
        <w:t>հիմնավորել դեղապատրաստուկի համատեղելիությունը կիրառությունից առաջ նոսրացման համար նախատեսված լուծիչների կամ դոզատորի հետ:</w:t>
      </w:r>
    </w:p>
    <w:p w14:paraId="433EC6A9" w14:textId="77777777" w:rsidR="006F76EB" w:rsidRPr="00834D52" w:rsidRDefault="006F76EB" w:rsidP="004E7237">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3.2.P.3.</w:t>
      </w:r>
      <w:r w:rsidRPr="00834D52">
        <w:rPr>
          <w:rFonts w:ascii="Sylfaen" w:hAnsi="Sylfaen"/>
          <w:sz w:val="24"/>
          <w:szCs w:val="24"/>
        </w:rPr>
        <w:tab/>
        <w:t xml:space="preserve">Դեղապատրաստուկի արտադրության գործընթացը՝ </w:t>
      </w:r>
    </w:p>
    <w:p w14:paraId="5A581337" w14:textId="508E0765" w:rsidR="006F76EB" w:rsidRPr="00834D52" w:rsidRDefault="006F76EB" w:rsidP="004E7237">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դեղապատրաստուկի գրանցման </w:t>
      </w:r>
      <w:r w:rsidR="0056496B">
        <w:rPr>
          <w:rFonts w:ascii="Sylfaen" w:hAnsi="Sylfaen"/>
          <w:sz w:val="24"/>
          <w:szCs w:val="24"/>
        </w:rPr>
        <w:t>դիմում</w:t>
      </w:r>
      <w:r w:rsidRPr="00834D52">
        <w:rPr>
          <w:rFonts w:ascii="Sylfaen" w:hAnsi="Sylfaen"/>
          <w:sz w:val="24"/>
          <w:szCs w:val="24"/>
        </w:rPr>
        <w:t>ի մեջ նշված արտադրության եղանակի նկարագրությունը շարադրվում է այնպես, որ ներկայացնի կատարվող գործառնությունների բնույթի պատշաճ համառոտ ռեզյումե:</w:t>
      </w:r>
    </w:p>
    <w:p w14:paraId="7FE60C4E"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Այս նպատակով արտադրության եղանակի նկարագրությունը պետք է ներառի առնվազն՝ </w:t>
      </w:r>
    </w:p>
    <w:p w14:paraId="3772F8AF"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արտադրության տարբեր փուլերի նկարագրություն, ներառյալ՝ հսկողությունը արտադրության գործընթացում </w:t>
      </w:r>
      <w:r w:rsidR="00C54D75">
        <w:rPr>
          <w:rFonts w:ascii="Sylfaen" w:hAnsi="Sylfaen"/>
          <w:sz w:val="24"/>
          <w:szCs w:val="24"/>
        </w:rPr>
        <w:t>և</w:t>
      </w:r>
      <w:r w:rsidRPr="00834D52">
        <w:rPr>
          <w:rFonts w:ascii="Sylfaen" w:hAnsi="Sylfaen"/>
          <w:sz w:val="24"/>
          <w:szCs w:val="24"/>
        </w:rPr>
        <w:t xml:space="preserve"> կիրառելիության համատապատասխան չափանիշները՝ գնահատելու այն, թե արդյոք արտադրության ժամանակ օգտագործվող գործընթացները կարող են հանգեցնել դեղաձ</w:t>
      </w:r>
      <w:r w:rsidR="00C54D75">
        <w:rPr>
          <w:rFonts w:ascii="Sylfaen" w:hAnsi="Sylfaen"/>
          <w:sz w:val="24"/>
          <w:szCs w:val="24"/>
        </w:rPr>
        <w:t>և</w:t>
      </w:r>
      <w:r w:rsidRPr="00834D52">
        <w:rPr>
          <w:rFonts w:ascii="Sylfaen" w:hAnsi="Sylfaen"/>
          <w:sz w:val="24"/>
          <w:szCs w:val="24"/>
        </w:rPr>
        <w:t xml:space="preserve">ի բաղադրիչների ցանկացած անցանկալի փոփոխության, </w:t>
      </w:r>
    </w:p>
    <w:p w14:paraId="50BB1E3A" w14:textId="77777777" w:rsidR="006F76EB" w:rsidRPr="00834D52" w:rsidRDefault="006F76EB" w:rsidP="004E7237">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համասեռությունն ապահովելու համար անհրաժեշտ ցանկացած միջոցի նկարագրություն (շարունակական արտադրական գործընթացի դեպքում), </w:t>
      </w:r>
    </w:p>
    <w:p w14:paraId="358369F1" w14:textId="77777777" w:rsidR="006F76EB" w:rsidRPr="00834D52" w:rsidRDefault="006F76EB" w:rsidP="004E723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վալիդացման փորձարարական հետազոտությունների արդյունքներն արտադրության ոչ ստանդարտ մեթոդների օգտագործման ժամանակ, կամ եթե այն կրիտիկական է դեղապատրաստուկի համար, </w:t>
      </w:r>
    </w:p>
    <w:p w14:paraId="0D841859"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մանրէազերծման առկա գործընթացների </w:t>
      </w:r>
      <w:r w:rsidR="00C54D75">
        <w:rPr>
          <w:rFonts w:ascii="Sylfaen" w:hAnsi="Sylfaen"/>
          <w:sz w:val="24"/>
          <w:szCs w:val="24"/>
        </w:rPr>
        <w:t>և</w:t>
      </w:r>
      <w:r w:rsidRPr="00834D52">
        <w:rPr>
          <w:rFonts w:ascii="Sylfaen" w:hAnsi="Sylfaen"/>
          <w:sz w:val="24"/>
          <w:szCs w:val="24"/>
        </w:rPr>
        <w:t xml:space="preserve"> (կամ) ասեպտիկ պայմաններ ապահովելու գործընթացների նկարագրություն (մանրէազերծ դեղապատրաստուկների համար), </w:t>
      </w:r>
    </w:p>
    <w:p w14:paraId="1FA6C0FC" w14:textId="77777777"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մանրամասն արտադրական դեղագրությունը (սերիայի բաղադրությունը):</w:t>
      </w:r>
    </w:p>
    <w:p w14:paraId="5B46554B" w14:textId="25FEC8FC" w:rsidR="006F76EB" w:rsidRPr="00834D52" w:rsidRDefault="006F76EB" w:rsidP="005856E7">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հարթակների անվանումն ու գտնվելու վայրը </w:t>
      </w:r>
      <w:r w:rsidR="00C54D75">
        <w:rPr>
          <w:rFonts w:ascii="Sylfaen" w:hAnsi="Sylfaen"/>
          <w:sz w:val="24"/>
          <w:szCs w:val="24"/>
        </w:rPr>
        <w:t>և</w:t>
      </w:r>
      <w:r w:rsidRPr="00834D52">
        <w:rPr>
          <w:rFonts w:ascii="Sylfaen" w:hAnsi="Sylfaen"/>
          <w:sz w:val="24"/>
          <w:szCs w:val="24"/>
        </w:rPr>
        <w:t xml:space="preserve"> նշել յուրաքանչյուր արտադրողի պարտականությունները՝ </w:t>
      </w:r>
      <w:r w:rsidRPr="00834D52">
        <w:rPr>
          <w:rFonts w:ascii="Sylfaen" w:hAnsi="Sylfaen"/>
          <w:sz w:val="24"/>
          <w:szCs w:val="24"/>
        </w:rPr>
        <w:lastRenderedPageBreak/>
        <w:t>ներառյալ պայմանագրային արտադրությունները, ինչպես նա</w:t>
      </w:r>
      <w:r w:rsidR="00C54D75">
        <w:rPr>
          <w:rFonts w:ascii="Sylfaen" w:hAnsi="Sylfaen"/>
          <w:sz w:val="24"/>
          <w:szCs w:val="24"/>
        </w:rPr>
        <w:t>և</w:t>
      </w:r>
      <w:r w:rsidRPr="00834D52">
        <w:rPr>
          <w:rFonts w:ascii="Sylfaen" w:hAnsi="Sylfaen"/>
          <w:sz w:val="24"/>
          <w:szCs w:val="24"/>
        </w:rPr>
        <w:t xml:space="preserve"> տեղեկատվություն՝ օգտագործվող յուրաքանչյուր արտադրական </w:t>
      </w:r>
      <w:r w:rsidR="00E9295E">
        <w:rPr>
          <w:rFonts w:ascii="Sylfaen" w:hAnsi="Sylfaen"/>
          <w:sz w:val="24"/>
          <w:szCs w:val="24"/>
        </w:rPr>
        <w:t>հարթակի</w:t>
      </w:r>
      <w:r w:rsidRPr="00834D52">
        <w:rPr>
          <w:rFonts w:ascii="Sylfaen" w:hAnsi="Sylfaen"/>
          <w:sz w:val="24"/>
          <w:szCs w:val="24"/>
        </w:rPr>
        <w:t xml:space="preserve"> կամ փորձարկման լաբորատորիայի մասին,</w:t>
      </w:r>
    </w:p>
    <w:p w14:paraId="3442FE9B" w14:textId="77777777" w:rsidR="006F76EB" w:rsidRPr="00834D52" w:rsidRDefault="006F76EB" w:rsidP="00E06CAB">
      <w:pPr>
        <w:tabs>
          <w:tab w:val="left" w:pos="1134"/>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դեղապատրաստուկի որակի հսկողության համար անհրաժեշտ է բերել այն վերլուծական մեթոդիկաների նկարագրությունը, որոնք կարող են կիրառվել տեխնոլոգիական գործընթացի միջանկյալ փուլերում՝ արտադրական գործընթացի համասեռությունը ապահովելու նպատակով:</w:t>
      </w:r>
    </w:p>
    <w:p w14:paraId="092E4A6B" w14:textId="565890B8"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Այս մեթոդիկաները կար</w:t>
      </w:r>
      <w:r w:rsidR="00C54D75">
        <w:rPr>
          <w:rFonts w:ascii="Sylfaen" w:hAnsi="Sylfaen"/>
          <w:sz w:val="24"/>
          <w:szCs w:val="24"/>
        </w:rPr>
        <w:t>և</w:t>
      </w:r>
      <w:r w:rsidRPr="00834D52">
        <w:rPr>
          <w:rFonts w:ascii="Sylfaen" w:hAnsi="Sylfaen"/>
          <w:sz w:val="24"/>
          <w:szCs w:val="24"/>
        </w:rPr>
        <w:t xml:space="preserve">որ են դեղապատրաստուկի՝ արտադրական դեղագրությանը համապատասխանելու տեսակետից հատկապես այն դեպքերում, երբ </w:t>
      </w:r>
      <w:r w:rsidR="0056496B">
        <w:rPr>
          <w:rFonts w:ascii="Sylfaen" w:hAnsi="Sylfaen"/>
          <w:sz w:val="24"/>
          <w:szCs w:val="24"/>
        </w:rPr>
        <w:t>դիմումատու</w:t>
      </w:r>
      <w:r w:rsidRPr="00834D52">
        <w:rPr>
          <w:rFonts w:ascii="Sylfaen" w:hAnsi="Sylfaen"/>
          <w:sz w:val="24"/>
          <w:szCs w:val="24"/>
        </w:rPr>
        <w:t xml:space="preserve">ն առաջարկում է դեղապատրաստուկի հսկողության վերլուծական մեթոդիկա, որը չի ներառում բոլոր ակտիվ դեղագործական բաղադրամասերի (կամ բոլոր այն օժանդակ նյութերի, որոնք պետք է համապատասխանեն ակտիվ դեղագործական բաղադրամասերին ներկայացվող պահանջներին) քանակական որոշում: </w:t>
      </w:r>
    </w:p>
    <w:p w14:paraId="4FE990A2" w14:textId="77777777" w:rsidR="006F76EB" w:rsidRPr="00834D52" w:rsidRDefault="006F76EB" w:rsidP="0097392D">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Սա վերաբերում է նա</w:t>
      </w:r>
      <w:r w:rsidR="00C54D75">
        <w:rPr>
          <w:rFonts w:ascii="Sylfaen" w:hAnsi="Sylfaen"/>
          <w:sz w:val="24"/>
          <w:szCs w:val="24"/>
        </w:rPr>
        <w:t>և</w:t>
      </w:r>
      <w:r w:rsidRPr="00834D52">
        <w:rPr>
          <w:rFonts w:ascii="Sylfaen" w:hAnsi="Sylfaen"/>
          <w:sz w:val="24"/>
          <w:szCs w:val="24"/>
        </w:rPr>
        <w:t xml:space="preserve"> այն դեպքերին, երբ դեղապատրաստուկի որակի հսկողությունը կախված է ներարտադրական փորձարկումներից հատկապես այն դեպքերում, երբ դեղապատրաստուկի արտադրության եղանակը էապես ազդում է նրա որակի վրա, </w:t>
      </w:r>
    </w:p>
    <w:p w14:paraId="4E5E85AC" w14:textId="61334637" w:rsidR="006F76EB" w:rsidRDefault="006F76EB" w:rsidP="00E06CAB">
      <w:pPr>
        <w:tabs>
          <w:tab w:val="left" w:pos="1134"/>
        </w:tabs>
        <w:spacing w:after="160" w:line="372" w:lineRule="auto"/>
        <w:ind w:right="-6" w:firstLine="567"/>
        <w:jc w:val="both"/>
        <w:rPr>
          <w:rFonts w:ascii="Sylfaen" w:hAnsi="Sylfaen"/>
          <w:sz w:val="24"/>
          <w:szCs w:val="24"/>
        </w:rPr>
      </w:pPr>
      <w:r w:rsidRPr="00834D52">
        <w:rPr>
          <w:rFonts w:ascii="Sylfaen" w:hAnsi="Sylfaen"/>
          <w:sz w:val="24"/>
          <w:szCs w:val="24"/>
        </w:rPr>
        <w:t>գ)</w:t>
      </w:r>
      <w:r w:rsidRPr="00834D52">
        <w:rPr>
          <w:rFonts w:ascii="Sylfaen" w:hAnsi="Sylfaen"/>
          <w:sz w:val="24"/>
          <w:szCs w:val="24"/>
        </w:rPr>
        <w:tab/>
        <w:t xml:space="preserve">արտադրության կրիտիկական կետերի կամ արտադրական գործընթացում օգտագործվող քանակական որոշման մեթոդների համար անհրաժեշտ է ներկայացնել վալիդացման հետազոտությունների նկարագրությունը, փաստաթղթերը </w:t>
      </w:r>
      <w:r w:rsidR="00C54D75">
        <w:rPr>
          <w:rFonts w:ascii="Sylfaen" w:hAnsi="Sylfaen"/>
          <w:sz w:val="24"/>
          <w:szCs w:val="24"/>
        </w:rPr>
        <w:t>և</w:t>
      </w:r>
      <w:r w:rsidRPr="00834D52">
        <w:rPr>
          <w:rFonts w:ascii="Sylfaen" w:hAnsi="Sylfaen"/>
          <w:sz w:val="24"/>
          <w:szCs w:val="24"/>
        </w:rPr>
        <w:t xml:space="preserve"> արդյունքները:</w:t>
      </w:r>
    </w:p>
    <w:p w14:paraId="0719878C" w14:textId="626A5947" w:rsidR="00E9295E" w:rsidRPr="006F28F9" w:rsidRDefault="00E9295E" w:rsidP="00422847">
      <w:pPr>
        <w:rPr>
          <w:b/>
          <w:bCs/>
          <w:i/>
          <w:iCs/>
        </w:rPr>
      </w:pPr>
      <w:r w:rsidRPr="00422847">
        <w:rPr>
          <w:rFonts w:ascii="Sylfaen" w:hAnsi="Sylfaen"/>
          <w:b/>
          <w:bCs/>
          <w:i/>
          <w:iCs/>
          <w:sz w:val="24"/>
          <w:szCs w:val="24"/>
        </w:rPr>
        <w:t>(</w:t>
      </w:r>
      <w:r w:rsidRPr="00422847">
        <w:rPr>
          <w:rFonts w:ascii="Sylfaen" w:hAnsi="Sylfaen"/>
          <w:b/>
          <w:bCs/>
          <w:sz w:val="24"/>
          <w:szCs w:val="24"/>
        </w:rPr>
        <w:t>3.2.</w:t>
      </w:r>
      <w:r w:rsidRPr="00422847">
        <w:rPr>
          <w:rFonts w:ascii="Sylfaen" w:hAnsi="Sylfaen"/>
          <w:sz w:val="24"/>
          <w:szCs w:val="24"/>
        </w:rPr>
        <w:t xml:space="preserve"> </w:t>
      </w:r>
      <w:r w:rsidRPr="00422847">
        <w:rPr>
          <w:rFonts w:ascii="Sylfaen" w:hAnsi="Sylfaen"/>
          <w:b/>
          <w:bCs/>
          <w:i/>
          <w:iCs/>
          <w:sz w:val="24"/>
          <w:szCs w:val="24"/>
        </w:rPr>
        <w:t>P</w:t>
      </w:r>
      <w:r w:rsidRPr="00422847">
        <w:rPr>
          <w:rFonts w:ascii="Sylfaen" w:hAnsi="Sylfaen"/>
          <w:b/>
          <w:bCs/>
          <w:sz w:val="24"/>
          <w:szCs w:val="24"/>
        </w:rPr>
        <w:t>.</w:t>
      </w:r>
      <w:r w:rsidR="00422847" w:rsidRPr="00422847">
        <w:rPr>
          <w:rFonts w:ascii="Sylfaen" w:hAnsi="Sylfaen"/>
          <w:b/>
          <w:bCs/>
          <w:sz w:val="24"/>
          <w:szCs w:val="24"/>
        </w:rPr>
        <w:t>3</w:t>
      </w:r>
      <w:r w:rsidRPr="00422847">
        <w:rPr>
          <w:rFonts w:ascii="Sylfaen" w:hAnsi="Sylfaen"/>
          <w:b/>
          <w:bCs/>
          <w:sz w:val="24"/>
          <w:szCs w:val="24"/>
        </w:rPr>
        <w:t>.</w:t>
      </w:r>
      <w:r w:rsidRPr="006841ED">
        <w:rPr>
          <w:rFonts w:ascii="Sylfaen" w:hAnsi="Sylfaen"/>
          <w:sz w:val="24"/>
          <w:szCs w:val="24"/>
        </w:rPr>
        <w:t xml:space="preserve"> </w:t>
      </w:r>
      <w:r w:rsidRPr="006841ED">
        <w:rPr>
          <w:rFonts w:ascii="Sylfaen" w:hAnsi="Sylfaen"/>
          <w:b/>
          <w:bCs/>
          <w:i/>
          <w:iCs/>
          <w:sz w:val="24"/>
          <w:szCs w:val="24"/>
        </w:rPr>
        <w:t>կետը</w:t>
      </w:r>
      <w:r>
        <w:rPr>
          <w:rFonts w:ascii="Sylfaen" w:hAnsi="Sylfaen"/>
          <w:b/>
          <w:bCs/>
          <w:i/>
          <w:iCs/>
          <w:sz w:val="24"/>
          <w:szCs w:val="24"/>
        </w:rPr>
        <w:t xml:space="preserve"> </w:t>
      </w:r>
      <w:r w:rsidRPr="006841ED">
        <w:rPr>
          <w:rFonts w:ascii="Sylfaen" w:hAnsi="Sylfaen"/>
          <w:b/>
          <w:bCs/>
          <w:i/>
          <w:iCs/>
          <w:sz w:val="24"/>
          <w:szCs w:val="24"/>
        </w:rPr>
        <w:t>փոփ</w:t>
      </w:r>
      <w:r w:rsidRPr="00CD4709">
        <w:rPr>
          <w:b/>
          <w:bCs/>
          <w:i/>
          <w:iCs/>
        </w:rPr>
        <w:t>. 30.01.20 թիվ 9)</w:t>
      </w:r>
    </w:p>
    <w:p w14:paraId="1B3AE3C4" w14:textId="77777777" w:rsidR="006F76EB" w:rsidRPr="00834D52" w:rsidRDefault="006F76EB" w:rsidP="00E06CAB">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3.2.P.4.</w:t>
      </w:r>
      <w:r w:rsidRPr="00834D52">
        <w:rPr>
          <w:rFonts w:ascii="Sylfaen" w:hAnsi="Sylfaen"/>
          <w:sz w:val="24"/>
          <w:szCs w:val="24"/>
        </w:rPr>
        <w:tab/>
        <w:t>Օժանդակ նյութերի որակի հսկողություն՝</w:t>
      </w:r>
    </w:p>
    <w:p w14:paraId="3D40863C" w14:textId="77777777" w:rsidR="006F76EB" w:rsidRPr="00834D52" w:rsidRDefault="006F76EB" w:rsidP="00E06CAB">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հարկ է ներկայացնել օժանդակ նյութերի արտադրության համար օգտագործվող բոլոր ելանյութերի ցանկը՝ նշելով, թե գործընթացի որ փուլում է </w:t>
      </w:r>
      <w:r w:rsidRPr="00834D52">
        <w:rPr>
          <w:rFonts w:ascii="Sylfaen" w:hAnsi="Sylfaen"/>
          <w:sz w:val="24"/>
          <w:szCs w:val="24"/>
        </w:rPr>
        <w:lastRenderedPageBreak/>
        <w:t xml:space="preserve">կիրառվում դրանցից յուրաքանչյուրը: Պետք է ներկայացվի տեղեկատվություն այդ ելանյութերի որակի </w:t>
      </w:r>
      <w:r w:rsidR="00C54D75">
        <w:rPr>
          <w:rFonts w:ascii="Sylfaen" w:hAnsi="Sylfaen"/>
          <w:sz w:val="24"/>
          <w:szCs w:val="24"/>
        </w:rPr>
        <w:t>և</w:t>
      </w:r>
      <w:r w:rsidRPr="00834D52">
        <w:rPr>
          <w:rFonts w:ascii="Sylfaen" w:hAnsi="Sylfaen"/>
          <w:sz w:val="24"/>
          <w:szCs w:val="24"/>
        </w:rPr>
        <w:t xml:space="preserve"> որակի հսկողության մասին, ինչպես նա</w:t>
      </w:r>
      <w:r w:rsidR="00C54D75">
        <w:rPr>
          <w:rFonts w:ascii="Sylfaen" w:hAnsi="Sylfaen"/>
          <w:sz w:val="24"/>
          <w:szCs w:val="24"/>
        </w:rPr>
        <w:t>և</w:t>
      </w:r>
      <w:r w:rsidRPr="00834D52">
        <w:rPr>
          <w:rFonts w:ascii="Sylfaen" w:hAnsi="Sylfaen"/>
          <w:sz w:val="24"/>
          <w:szCs w:val="24"/>
        </w:rPr>
        <w:t xml:space="preserve"> տեղեկատվություն, որը վկայում է, որ իրենց ենթադրվող կիրառության տեսակետից նյութերը համապատասխանում են ստանդարտներին:</w:t>
      </w:r>
    </w:p>
    <w:p w14:paraId="6F6A6FD4"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Բոլոր դեպքերում ներկանյութերը պետք է բավարարեն Եվրասիական տնտեսական միության դեղագրքի համապատասխան հոդվածի (մենագրության) պահանջներին </w:t>
      </w:r>
      <w:r w:rsidR="00C54D75">
        <w:rPr>
          <w:rFonts w:ascii="Sylfaen" w:hAnsi="Sylfaen"/>
          <w:sz w:val="24"/>
          <w:szCs w:val="24"/>
        </w:rPr>
        <w:t>և</w:t>
      </w:r>
      <w:r w:rsidRPr="00834D52">
        <w:rPr>
          <w:rFonts w:ascii="Sylfaen" w:hAnsi="Sylfaen"/>
          <w:sz w:val="24"/>
          <w:szCs w:val="24"/>
        </w:rPr>
        <w:t xml:space="preserve"> Հանձնաժողովի խորհրդի 2012 թվականի հուլիսի 20-ի </w:t>
      </w:r>
      <w:r w:rsidR="00833B50" w:rsidRPr="00F06D43">
        <w:rPr>
          <w:rFonts w:ascii="Sylfaen" w:hAnsi="Sylfaen"/>
          <w:sz w:val="24"/>
          <w:szCs w:val="24"/>
        </w:rPr>
        <w:br/>
      </w:r>
      <w:r w:rsidRPr="00834D52">
        <w:rPr>
          <w:rFonts w:ascii="Sylfaen" w:hAnsi="Sylfaen"/>
          <w:sz w:val="24"/>
          <w:szCs w:val="24"/>
        </w:rPr>
        <w:t xml:space="preserve">թիվ 58 որոշմամբ ընդունված «Սննդային հավելումների, բուրավետիչների </w:t>
      </w:r>
      <w:r w:rsidR="00C54D75">
        <w:rPr>
          <w:rFonts w:ascii="Sylfaen" w:hAnsi="Sylfaen"/>
          <w:sz w:val="24"/>
          <w:szCs w:val="24"/>
        </w:rPr>
        <w:t>և</w:t>
      </w:r>
      <w:r w:rsidRPr="00834D52">
        <w:rPr>
          <w:rFonts w:ascii="Sylfaen" w:hAnsi="Sylfaen"/>
          <w:sz w:val="24"/>
          <w:szCs w:val="24"/>
        </w:rPr>
        <w:t xml:space="preserve"> տեխնոլոգիական օժանդակ միջոցների անվտանգությանը ներկայացվող պահանջներ» (ՄՄ ՏԿ 029/2012) Մաքսային միության տեխնիկական կանոնակարգի պահանջներին, բացի այդ, ներկանյութերը պետք է համապատասխանեն Միության իրավունքի մաս կազմող ակտերի պահանջներով սահմանված մաքրության չափանիշներին, </w:t>
      </w:r>
    </w:p>
    <w:p w14:paraId="61511585"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յուրաքանչյուր օժանդակ նյութի համար պետք է ներկայացվեն մասնագրեր </w:t>
      </w:r>
      <w:r w:rsidR="00C54D75">
        <w:rPr>
          <w:rFonts w:ascii="Sylfaen" w:hAnsi="Sylfaen"/>
          <w:sz w:val="24"/>
          <w:szCs w:val="24"/>
        </w:rPr>
        <w:t>և</w:t>
      </w:r>
      <w:r w:rsidRPr="00834D52">
        <w:rPr>
          <w:rFonts w:ascii="Sylfaen" w:hAnsi="Sylfaen"/>
          <w:sz w:val="24"/>
          <w:szCs w:val="24"/>
        </w:rPr>
        <w:t xml:space="preserve"> դրանց հիմնավորումները: Անհրաժեշտ է նկարագրել </w:t>
      </w:r>
      <w:r w:rsidR="00C54D75">
        <w:rPr>
          <w:rFonts w:ascii="Sylfaen" w:hAnsi="Sylfaen"/>
          <w:sz w:val="24"/>
          <w:szCs w:val="24"/>
        </w:rPr>
        <w:t>և</w:t>
      </w:r>
      <w:r w:rsidRPr="00834D52">
        <w:rPr>
          <w:rFonts w:ascii="Sylfaen" w:hAnsi="Sylfaen"/>
          <w:sz w:val="24"/>
          <w:szCs w:val="24"/>
        </w:rPr>
        <w:t xml:space="preserve"> պատշաճ կերպով վալիդացնել դրանց որակի հսկողության համար օգտագործվող վերլուծական մեթոդիկաները, </w:t>
      </w:r>
    </w:p>
    <w:p w14:paraId="7EB372BE" w14:textId="77777777" w:rsidR="006F76EB" w:rsidRPr="00834D52" w:rsidRDefault="006F76EB" w:rsidP="00E06CA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հատուկ ուշադրություն դարձնել 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նյութերին:</w:t>
      </w:r>
    </w:p>
    <w:p w14:paraId="4545E4A6" w14:textId="15BD4280"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Կենդանիների սպունգանման էնցեֆալոպատիայի հարուցիչների փոխանցումը կանխելու հատուկ միջոցներ կիրառելու նպատակով </w:t>
      </w:r>
      <w:r w:rsidR="0056496B">
        <w:rPr>
          <w:rFonts w:ascii="Sylfaen" w:hAnsi="Sylfaen"/>
          <w:sz w:val="24"/>
          <w:szCs w:val="24"/>
        </w:rPr>
        <w:t>դիմումատու</w:t>
      </w:r>
      <w:r w:rsidRPr="00834D52">
        <w:rPr>
          <w:rFonts w:ascii="Sylfaen" w:hAnsi="Sylfaen"/>
          <w:sz w:val="24"/>
          <w:szCs w:val="24"/>
        </w:rPr>
        <w:t>ն պետք է օժանդակ նյութերի համար հավաստի նա</w:t>
      </w:r>
      <w:r w:rsidR="00C54D75">
        <w:rPr>
          <w:rFonts w:ascii="Sylfaen" w:hAnsi="Sylfaen"/>
          <w:sz w:val="24"/>
          <w:szCs w:val="24"/>
        </w:rPr>
        <w:t>և</w:t>
      </w:r>
      <w:r w:rsidRPr="00834D52">
        <w:rPr>
          <w:rFonts w:ascii="Sylfaen" w:hAnsi="Sylfaen"/>
          <w:sz w:val="24"/>
          <w:szCs w:val="24"/>
        </w:rPr>
        <w:t>, որ դեղապատրաստուկը բավարարում է, մասնավորապես, արտադրվող դեղապատրաստուկներով տվյալ հարուցիչների փոխանցման ռիսկի նվազեցման վերաբերյալ Եվրասիական տնտեսական միության դեղագրքի համապատասխան հոդվածի (մենագրության) պահանջներին:</w:t>
      </w:r>
    </w:p>
    <w:p w14:paraId="2561977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Համապատասխանությունը վերը նշված պահանջներին կարելի է հավաստել՝ ներկայացնելով սպունգանման էնցեֆալոպատիայի հարուցիչների առնչությամբ </w:t>
      </w:r>
      <w:r w:rsidRPr="00834D52">
        <w:rPr>
          <w:rFonts w:ascii="Sylfaen" w:hAnsi="Sylfaen"/>
          <w:sz w:val="24"/>
          <w:szCs w:val="24"/>
        </w:rPr>
        <w:lastRenderedPageBreak/>
        <w:t xml:space="preserve">Եվրոպական դեղագրքի մենագրությանը համապատասխանության սերտիֆիկատ կամ այլ փաստաթղթեր (տվյալներ), որոնք հիմնավորում են այդ համապատասխանությունը, </w:t>
      </w:r>
    </w:p>
    <w:p w14:paraId="2BFB6314" w14:textId="77777777" w:rsidR="006F76EB" w:rsidRPr="00834D52" w:rsidRDefault="006F76EB" w:rsidP="00E06CA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նոր օժանդակ նյութեր՝</w:t>
      </w:r>
    </w:p>
    <w:p w14:paraId="6614C35D"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օժանդակ նյութերի համար, որոնք առաջին անգամ են օգտագործվում դեղապատրաստուկի մեջ կամ կիրառվում են այդ օժանդակ նյութերի համար նոր ներմուծման ուղու դեպքում, անհրաժեշտ է ներկայացնել արտադրության, հատկությունների </w:t>
      </w:r>
      <w:r w:rsidR="00C54D75">
        <w:rPr>
          <w:rFonts w:ascii="Sylfaen" w:hAnsi="Sylfaen"/>
          <w:sz w:val="24"/>
          <w:szCs w:val="24"/>
        </w:rPr>
        <w:t>և</w:t>
      </w:r>
      <w:r w:rsidRPr="00834D52">
        <w:rPr>
          <w:rFonts w:ascii="Sylfaen" w:hAnsi="Sylfaen"/>
          <w:sz w:val="24"/>
          <w:szCs w:val="24"/>
        </w:rPr>
        <w:t xml:space="preserve"> հսկողության ամբողջական նկարագրություն՝ հղում անելով անվտանգության հաստատված նախակլինիկական կամ կլինիկական տվյալներին: Այդ տեղեկատվությունը պետք է ձ</w:t>
      </w:r>
      <w:r w:rsidR="00C54D75">
        <w:rPr>
          <w:rFonts w:ascii="Sylfaen" w:hAnsi="Sylfaen"/>
          <w:sz w:val="24"/>
          <w:szCs w:val="24"/>
        </w:rPr>
        <w:t>և</w:t>
      </w:r>
      <w:r w:rsidRPr="00834D52">
        <w:rPr>
          <w:rFonts w:ascii="Sylfaen" w:hAnsi="Sylfaen"/>
          <w:sz w:val="24"/>
          <w:szCs w:val="24"/>
        </w:rPr>
        <w:t>ակերպվի այնպես, ինչպես նշված է վեր</w:t>
      </w:r>
      <w:r w:rsidR="00C54D75">
        <w:rPr>
          <w:rFonts w:ascii="Sylfaen" w:hAnsi="Sylfaen"/>
          <w:sz w:val="24"/>
          <w:szCs w:val="24"/>
        </w:rPr>
        <w:t>և</w:t>
      </w:r>
      <w:r w:rsidRPr="00834D52">
        <w:rPr>
          <w:rFonts w:ascii="Sylfaen" w:hAnsi="Sylfaen"/>
          <w:sz w:val="24"/>
          <w:szCs w:val="24"/>
        </w:rPr>
        <w:t>ում՝ ակտիվ դեղագործական բաղադրամասի համար:</w:t>
      </w:r>
    </w:p>
    <w:p w14:paraId="4597C377" w14:textId="77777777" w:rsidR="006F76EB" w:rsidRPr="00834D52" w:rsidRDefault="006F76EB" w:rsidP="004A1A19">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քիմիական, դեղագործական </w:t>
      </w:r>
      <w:r w:rsidR="00C54D75">
        <w:rPr>
          <w:rFonts w:ascii="Sylfaen" w:hAnsi="Sylfaen"/>
          <w:sz w:val="24"/>
          <w:szCs w:val="24"/>
        </w:rPr>
        <w:t>և</w:t>
      </w:r>
      <w:r w:rsidRPr="00834D52">
        <w:rPr>
          <w:rFonts w:ascii="Sylfaen" w:hAnsi="Sylfaen"/>
          <w:sz w:val="24"/>
          <w:szCs w:val="24"/>
        </w:rPr>
        <w:t xml:space="preserve"> կենսաբանական տեղեկատվություն: Այդ տեղեկատվությունը պետք է ձ</w:t>
      </w:r>
      <w:r w:rsidR="00C54D75">
        <w:rPr>
          <w:rFonts w:ascii="Sylfaen" w:hAnsi="Sylfaen"/>
          <w:sz w:val="24"/>
          <w:szCs w:val="24"/>
        </w:rPr>
        <w:t>և</w:t>
      </w:r>
      <w:r w:rsidRPr="00834D52">
        <w:rPr>
          <w:rFonts w:ascii="Sylfaen" w:hAnsi="Sylfaen"/>
          <w:sz w:val="24"/>
          <w:szCs w:val="24"/>
        </w:rPr>
        <w:t xml:space="preserve">ակերպվի այնպես, ինչպես նշված է 3-րդ մոդուլում ակտիվ դեղագործական բաղադրամասի առնչությամբ: </w:t>
      </w:r>
    </w:p>
    <w:p w14:paraId="6A328FA8"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օժանդակ նյութի մասին տեղեկատվությունը կարող է ներկայացվել վերը նկարագրված ձ</w:t>
      </w:r>
      <w:r w:rsidR="00C54D75">
        <w:rPr>
          <w:rFonts w:ascii="Sylfaen" w:hAnsi="Sylfaen"/>
          <w:sz w:val="24"/>
          <w:szCs w:val="24"/>
        </w:rPr>
        <w:t>և</w:t>
      </w:r>
      <w:r w:rsidRPr="00834D52">
        <w:rPr>
          <w:rFonts w:ascii="Sylfaen" w:hAnsi="Sylfaen"/>
          <w:sz w:val="24"/>
          <w:szCs w:val="24"/>
        </w:rPr>
        <w:t xml:space="preserve">աչափի համաձայն կազմված առանձին փաստաթղթի տեսքով: </w:t>
      </w:r>
    </w:p>
    <w:p w14:paraId="30BE21A9" w14:textId="18706A29"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w:t>
      </w:r>
      <w:r w:rsidR="00C54D75">
        <w:rPr>
          <w:rFonts w:ascii="Sylfaen" w:hAnsi="Sylfaen"/>
          <w:sz w:val="24"/>
          <w:szCs w:val="24"/>
        </w:rPr>
        <w:t>և</w:t>
      </w:r>
      <w:r w:rsidRPr="00834D52">
        <w:rPr>
          <w:rFonts w:ascii="Sylfaen" w:hAnsi="Sylfaen"/>
          <w:sz w:val="24"/>
          <w:szCs w:val="24"/>
        </w:rPr>
        <w:t xml:space="preserve"> նոր օժանդակ նյութի արտադրողը մի</w:t>
      </w:r>
      <w:r w:rsidR="00C54D75">
        <w:rPr>
          <w:rFonts w:ascii="Sylfaen" w:hAnsi="Sylfaen"/>
          <w:sz w:val="24"/>
          <w:szCs w:val="24"/>
        </w:rPr>
        <w:t>և</w:t>
      </w:r>
      <w:r w:rsidRPr="00834D52">
        <w:rPr>
          <w:rFonts w:ascii="Sylfaen" w:hAnsi="Sylfaen"/>
          <w:sz w:val="24"/>
          <w:szCs w:val="24"/>
        </w:rPr>
        <w:t xml:space="preserve">նույն անձը չեն, ապա այդ առանձին փաստաթուղթն արտադրողի կողմից պետք է ներկայացվի </w:t>
      </w:r>
      <w:r w:rsidR="0056496B">
        <w:rPr>
          <w:rFonts w:ascii="Sylfaen" w:hAnsi="Sylfaen"/>
          <w:sz w:val="24"/>
          <w:szCs w:val="24"/>
        </w:rPr>
        <w:t>դիմումատու</w:t>
      </w:r>
      <w:r w:rsidRPr="00834D52">
        <w:rPr>
          <w:rFonts w:ascii="Sylfaen" w:hAnsi="Sylfaen"/>
          <w:sz w:val="24"/>
          <w:szCs w:val="24"/>
        </w:rPr>
        <w:t>ին:</w:t>
      </w:r>
    </w:p>
    <w:p w14:paraId="091E0D04"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թունավորության հետազոտության արդյունքների մասին լրացուցիչ տեղեկատվությունը պետք է ներկայացվի գրանցման դոսյեի 4-րդ մոդուլում: </w:t>
      </w:r>
    </w:p>
    <w:p w14:paraId="60E603E7"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Նոր օժանդակ նյութի համար կլինիկական հետազոտությունների արդյունքները հարկ է նկարագրել դեղապատրաստուկի գրանցման դոսյեի 5-րդ մոդուլում: </w:t>
      </w:r>
    </w:p>
    <w:p w14:paraId="7330B09F" w14:textId="77777777" w:rsidR="006F76EB" w:rsidRPr="00834D52" w:rsidRDefault="006F76EB" w:rsidP="0097392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3.2.P.5.</w:t>
      </w:r>
      <w:r w:rsidRPr="00834D52">
        <w:rPr>
          <w:rFonts w:ascii="Sylfaen" w:hAnsi="Sylfaen"/>
          <w:sz w:val="24"/>
          <w:szCs w:val="24"/>
        </w:rPr>
        <w:tab/>
        <w:t>Դեղապատրաստուկի որակի հսկողությունը:</w:t>
      </w:r>
    </w:p>
    <w:p w14:paraId="2DF4BFB2" w14:textId="77777777" w:rsidR="006F76EB" w:rsidRPr="00834D52" w:rsidRDefault="006F76EB" w:rsidP="00E06CA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 որակի հսկողության նպատակով դեղապատրաստուկի սերիա ասելով հասկանում ենք դեղապատրաստուկի՝ ելանյութի </w:t>
      </w:r>
      <w:r w:rsidR="00C54D75">
        <w:rPr>
          <w:rFonts w:ascii="Sylfaen" w:hAnsi="Sylfaen"/>
          <w:sz w:val="24"/>
          <w:szCs w:val="24"/>
        </w:rPr>
        <w:t>և</w:t>
      </w:r>
      <w:r w:rsidRPr="00834D52">
        <w:rPr>
          <w:rFonts w:ascii="Sylfaen" w:hAnsi="Sylfaen"/>
          <w:sz w:val="24"/>
          <w:szCs w:val="24"/>
        </w:rPr>
        <w:t xml:space="preserve"> նյութերի նույն քանակից արտադրված </w:t>
      </w:r>
      <w:r w:rsidR="00C54D75">
        <w:rPr>
          <w:rFonts w:ascii="Sylfaen" w:hAnsi="Sylfaen"/>
          <w:sz w:val="24"/>
          <w:szCs w:val="24"/>
        </w:rPr>
        <w:t>և</w:t>
      </w:r>
      <w:r w:rsidRPr="00834D52">
        <w:rPr>
          <w:rFonts w:ascii="Sylfaen" w:hAnsi="Sylfaen"/>
          <w:sz w:val="24"/>
          <w:szCs w:val="24"/>
        </w:rPr>
        <w:t xml:space="preserve"> մի</w:t>
      </w:r>
      <w:r w:rsidR="00C54D75">
        <w:rPr>
          <w:rFonts w:ascii="Sylfaen" w:hAnsi="Sylfaen"/>
          <w:sz w:val="24"/>
          <w:szCs w:val="24"/>
        </w:rPr>
        <w:t>և</w:t>
      </w:r>
      <w:r w:rsidRPr="00834D52">
        <w:rPr>
          <w:rFonts w:ascii="Sylfaen" w:hAnsi="Sylfaen"/>
          <w:sz w:val="24"/>
          <w:szCs w:val="24"/>
        </w:rPr>
        <w:t xml:space="preserve">նույն արտադրական </w:t>
      </w:r>
      <w:r w:rsidR="00C54D75">
        <w:rPr>
          <w:rFonts w:ascii="Sylfaen" w:hAnsi="Sylfaen"/>
          <w:sz w:val="24"/>
          <w:szCs w:val="24"/>
        </w:rPr>
        <w:t>և</w:t>
      </w:r>
      <w:r w:rsidRPr="00834D52">
        <w:rPr>
          <w:rFonts w:ascii="Sylfaen" w:hAnsi="Sylfaen"/>
          <w:sz w:val="24"/>
          <w:szCs w:val="24"/>
        </w:rPr>
        <w:t xml:space="preserve"> (կամ) մանրէազերծման գործառնություններին ենթարկված միավորների ամբողջ քանակը ներառող արտադրանքը կամ արտադրության շարունակական գործընթացի դեպքում որոշակի ժամանակահատվածում արտադրված </w:t>
      </w:r>
      <w:r w:rsidR="00C54D75">
        <w:rPr>
          <w:rFonts w:ascii="Sylfaen" w:hAnsi="Sylfaen"/>
          <w:sz w:val="24"/>
          <w:szCs w:val="24"/>
        </w:rPr>
        <w:t>և</w:t>
      </w:r>
      <w:r w:rsidRPr="00834D52">
        <w:rPr>
          <w:rFonts w:ascii="Sylfaen" w:hAnsi="Sylfaen"/>
          <w:sz w:val="24"/>
          <w:szCs w:val="24"/>
        </w:rPr>
        <w:t xml:space="preserve"> համասեռությամբ բնութագրվող դեղապատրաստուկի բոլոր միավորները ներառող արտադրանքը: </w:t>
      </w:r>
    </w:p>
    <w:p w14:paraId="216AD3ED"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մեջ ակտիվ դեղագործական բաղադրամասի պարունակության թույլատրելի առավելագույն շեղումը դրա արտադրության օրվա դրությամբ չպետք է գերազանցի ± 5 %-ը՝ բացառությամբ համապատասխան կերպով հիմնավորված դեպքերի:</w:t>
      </w:r>
    </w:p>
    <w:p w14:paraId="1A50F0C9" w14:textId="77777777" w:rsidR="006F76EB" w:rsidRPr="00834D52" w:rsidRDefault="006F76EB" w:rsidP="0097392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մանրամասն տեղեկատվություն մասնագրերի մասին (դեղապատրաստուկի բացթողման դեպքում </w:t>
      </w:r>
      <w:r w:rsidR="00C54D75">
        <w:rPr>
          <w:rFonts w:ascii="Sylfaen" w:hAnsi="Sylfaen"/>
          <w:sz w:val="24"/>
          <w:szCs w:val="24"/>
        </w:rPr>
        <w:t>և</w:t>
      </w:r>
      <w:r w:rsidRPr="00834D52">
        <w:rPr>
          <w:rFonts w:ascii="Sylfaen" w:hAnsi="Sylfaen"/>
          <w:sz w:val="24"/>
          <w:szCs w:val="24"/>
        </w:rPr>
        <w:t xml:space="preserve"> դրա պիտանիության ժամկետի (պահպանման ժամկետի) ընթացքում՝ դեղապատրաստուկի կայունության անցկացված փորձարկումների հիման վրա)՝ որակի ցուցանիշների, փորձարկումների մեթոդիկաների </w:t>
      </w:r>
      <w:r w:rsidR="00C54D75">
        <w:rPr>
          <w:rFonts w:ascii="Sylfaen" w:hAnsi="Sylfaen"/>
          <w:sz w:val="24"/>
          <w:szCs w:val="24"/>
        </w:rPr>
        <w:t>և</w:t>
      </w:r>
      <w:r w:rsidRPr="00834D52">
        <w:rPr>
          <w:rFonts w:ascii="Sylfaen" w:hAnsi="Sylfaen"/>
          <w:sz w:val="24"/>
          <w:szCs w:val="24"/>
        </w:rPr>
        <w:t xml:space="preserve"> այդ մեթոդիկաների վալիդացման ընտրության հիմնավորմամբ: </w:t>
      </w:r>
    </w:p>
    <w:p w14:paraId="2E31FFA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3.2.P.6.</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4F2958B9"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սահմանել </w:t>
      </w:r>
      <w:r w:rsidR="00C54D75">
        <w:rPr>
          <w:rFonts w:ascii="Sylfaen" w:hAnsi="Sylfaen"/>
          <w:sz w:val="24"/>
          <w:szCs w:val="24"/>
        </w:rPr>
        <w:t>և</w:t>
      </w:r>
      <w:r w:rsidRPr="00834D52">
        <w:rPr>
          <w:rFonts w:ascii="Sylfaen" w:hAnsi="Sylfaen"/>
          <w:sz w:val="24"/>
          <w:szCs w:val="24"/>
        </w:rPr>
        <w:t xml:space="preserve"> մանրամասն նկարագրել դեղապատրաստուկի որակի հսկողության ժամանակ օգտագործվող ստանդարտ նյութերը </w:t>
      </w:r>
      <w:r w:rsidR="00C54D75">
        <w:rPr>
          <w:rFonts w:ascii="Sylfaen" w:hAnsi="Sylfaen"/>
          <w:sz w:val="24"/>
          <w:szCs w:val="24"/>
        </w:rPr>
        <w:t>և</w:t>
      </w:r>
      <w:r w:rsidRPr="00834D52">
        <w:rPr>
          <w:rFonts w:ascii="Sylfaen" w:hAnsi="Sylfaen"/>
          <w:sz w:val="24"/>
          <w:szCs w:val="24"/>
        </w:rPr>
        <w:t xml:space="preserve"> ստանդարտ նմուշները, եթե դրանց մասին տեղեկատվությունը նշված չէ գրանցման դոսյեի այն բաժնում, որում գտնվում են ակտիվ դեղագործական բաղադրամասի մասին փաստաթղթերն ու տվյալները:</w:t>
      </w:r>
    </w:p>
    <w:p w14:paraId="003D8DBF" w14:textId="77777777" w:rsidR="006F76EB" w:rsidRPr="00834D52" w:rsidRDefault="006F76EB" w:rsidP="00E06CA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3.2.P.7.</w:t>
      </w:r>
      <w:r w:rsidRPr="00834D52">
        <w:rPr>
          <w:rFonts w:ascii="Sylfaen" w:hAnsi="Sylfaen"/>
          <w:sz w:val="24"/>
          <w:szCs w:val="24"/>
        </w:rPr>
        <w:tab/>
        <w:t>Փաթեթավորման (խցանափակման) համակարգը:</w:t>
      </w:r>
    </w:p>
    <w:p w14:paraId="54739860" w14:textId="77777777" w:rsidR="006F76EB" w:rsidRPr="00834D52" w:rsidRDefault="006F76EB" w:rsidP="0097392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առաջնային (ներքին) փաթեթվածքի </w:t>
      </w:r>
      <w:r w:rsidR="00C54D75">
        <w:rPr>
          <w:rFonts w:ascii="Sylfaen" w:hAnsi="Sylfaen"/>
          <w:sz w:val="24"/>
          <w:szCs w:val="24"/>
        </w:rPr>
        <w:t>և</w:t>
      </w:r>
      <w:r w:rsidRPr="00834D52">
        <w:rPr>
          <w:rFonts w:ascii="Sylfaen" w:hAnsi="Sylfaen"/>
          <w:sz w:val="24"/>
          <w:szCs w:val="24"/>
        </w:rPr>
        <w:t xml:space="preserve"> խցանափակման համակարգի նկարագրությունը՝ ներառյալ նյութեր, որոնցից արտադրված է առաջնային փաթեթվածքի յուրաքանչյուր բաղադրիչ, ինչպես նա</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այդ նյութերի մասնագրերը: Մասնագրերը պետք է ներառեն նյութերի նկարագրությունը </w:t>
      </w:r>
      <w:r w:rsidR="00C54D75">
        <w:rPr>
          <w:rFonts w:ascii="Sylfaen" w:hAnsi="Sylfaen"/>
          <w:sz w:val="24"/>
          <w:szCs w:val="24"/>
        </w:rPr>
        <w:t>և</w:t>
      </w:r>
      <w:r w:rsidRPr="00834D52">
        <w:rPr>
          <w:rFonts w:ascii="Sylfaen" w:hAnsi="Sylfaen"/>
          <w:sz w:val="24"/>
          <w:szCs w:val="24"/>
        </w:rPr>
        <w:t xml:space="preserve"> նույնականացումը: Անհրաժեշտության դեպքում պետք է ներկայացվի տեղեկատվություն՝ վերլուծության ոչ դեղագրքային մեթոդների (ներառյալ՝ մեթոդիկաների վալիդացման) մասին:</w:t>
      </w:r>
    </w:p>
    <w:p w14:paraId="71A9795C" w14:textId="77777777" w:rsidR="006F76EB" w:rsidRPr="00834D52" w:rsidRDefault="006F76EB" w:rsidP="0097392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ոչ գործառական նյութերի համար ներկայացվում է միայն համառոտ նկարագրությունը: Երկրորդական (սպառողական) </w:t>
      </w:r>
      <w:r w:rsidR="00C54D75">
        <w:rPr>
          <w:rFonts w:ascii="Sylfaen" w:hAnsi="Sylfaen"/>
          <w:sz w:val="24"/>
          <w:szCs w:val="24"/>
        </w:rPr>
        <w:t>և</w:t>
      </w:r>
      <w:r w:rsidRPr="00834D52">
        <w:rPr>
          <w:rFonts w:ascii="Sylfaen" w:hAnsi="Sylfaen"/>
          <w:sz w:val="24"/>
          <w:szCs w:val="24"/>
        </w:rPr>
        <w:t xml:space="preserve"> միջանկյալ փաթեթվածքի գործառական բաղադրիչների համար ներկայացվում է լրացուցիչ տեղեկատվություն: </w:t>
      </w:r>
    </w:p>
    <w:p w14:paraId="0DA1A886" w14:textId="77777777" w:rsidR="006F76EB" w:rsidRPr="00834D52" w:rsidRDefault="006F76EB" w:rsidP="00E06CA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3.2.P.8.</w:t>
      </w:r>
      <w:r w:rsidRPr="00834D52">
        <w:rPr>
          <w:rFonts w:ascii="Sylfaen" w:hAnsi="Sylfaen"/>
          <w:sz w:val="24"/>
          <w:szCs w:val="24"/>
        </w:rPr>
        <w:tab/>
        <w:t xml:space="preserve">Դեղապատրաստուկի կայունությունը՝ </w:t>
      </w:r>
    </w:p>
    <w:p w14:paraId="0DCAD7F4"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0097392D" w:rsidRPr="00A958BD">
        <w:rPr>
          <w:rFonts w:ascii="Sylfaen" w:hAnsi="Sylfaen"/>
          <w:sz w:val="24"/>
          <w:szCs w:val="24"/>
        </w:rPr>
        <w:tab/>
      </w:r>
      <w:r w:rsidRPr="00834D52">
        <w:rPr>
          <w:rFonts w:ascii="Sylfaen" w:hAnsi="Sylfaen"/>
          <w:sz w:val="24"/>
          <w:szCs w:val="24"/>
        </w:rPr>
        <w:t xml:space="preserve">անհրաժեշտ է ներկայացնել անցկացված հետազոտությունների տեսակների մասին ռեզյումեն, օգտագործված պլանները (ծրագրերը) </w:t>
      </w:r>
      <w:r w:rsidR="00C54D75">
        <w:rPr>
          <w:rFonts w:ascii="Sylfaen" w:hAnsi="Sylfaen"/>
          <w:sz w:val="24"/>
          <w:szCs w:val="24"/>
        </w:rPr>
        <w:t>և</w:t>
      </w:r>
      <w:r w:rsidRPr="00834D52">
        <w:rPr>
          <w:rFonts w:ascii="Sylfaen" w:hAnsi="Sylfaen"/>
          <w:sz w:val="24"/>
          <w:szCs w:val="24"/>
        </w:rPr>
        <w:t xml:space="preserve"> հետազոտությունն անցկացնելու ժամանակ ստացված արդյունքները, </w:t>
      </w:r>
    </w:p>
    <w:p w14:paraId="39CB52C1"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0097392D" w:rsidRPr="00A958BD">
        <w:rPr>
          <w:rFonts w:ascii="Sylfaen" w:hAnsi="Sylfaen"/>
          <w:sz w:val="24"/>
          <w:szCs w:val="24"/>
        </w:rPr>
        <w:tab/>
      </w:r>
      <w:r w:rsidRPr="00834D52">
        <w:rPr>
          <w:rFonts w:ascii="Sylfaen" w:hAnsi="Sylfaen"/>
          <w:sz w:val="24"/>
          <w:szCs w:val="24"/>
        </w:rPr>
        <w:t>անհրաժեշտ է ներկայացնել համապատասխան ձ</w:t>
      </w:r>
      <w:r w:rsidR="00C54D75">
        <w:rPr>
          <w:rFonts w:ascii="Sylfaen" w:hAnsi="Sylfaen"/>
          <w:sz w:val="24"/>
          <w:szCs w:val="24"/>
        </w:rPr>
        <w:t>և</w:t>
      </w:r>
      <w:r w:rsidRPr="00834D52">
        <w:rPr>
          <w:rFonts w:ascii="Sylfaen" w:hAnsi="Sylfaen"/>
          <w:sz w:val="24"/>
          <w:szCs w:val="24"/>
        </w:rPr>
        <w:t xml:space="preserve">աչափով գրառված՝ կայունության հետազոտության անցկացման մանրամասն արդյունքները՝ ներառյալ տեղեկություններ՝ օգտագործված վերլուծական մեթոդիկաների </w:t>
      </w:r>
      <w:r w:rsidR="00C54D75">
        <w:rPr>
          <w:rFonts w:ascii="Sylfaen" w:hAnsi="Sylfaen"/>
          <w:sz w:val="24"/>
          <w:szCs w:val="24"/>
        </w:rPr>
        <w:t>և</w:t>
      </w:r>
      <w:r w:rsidRPr="00834D52">
        <w:rPr>
          <w:rFonts w:ascii="Sylfaen" w:hAnsi="Sylfaen"/>
          <w:sz w:val="24"/>
          <w:szCs w:val="24"/>
        </w:rPr>
        <w:t xml:space="preserve"> վերլուծական մեթոդիկաների վալիդացման մասին: </w:t>
      </w:r>
    </w:p>
    <w:p w14:paraId="483288E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Պատվաստանյութերի համար անհրաժեշտության դեպքում հարկ է ներկայացնել տեղեկատվություն՝ կումուլյատիվ կայունության մասին, </w:t>
      </w:r>
    </w:p>
    <w:p w14:paraId="55BB2178" w14:textId="012CC453"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անհրաժեշտ է ներկայացնել հետգրանցումային շրջանում կայունության ուսումնասիրության պլանը (ծրագիրը)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 xml:space="preserve">ի՝ նշված պլանը կատարելու պարտավորությունները: </w:t>
      </w:r>
    </w:p>
    <w:p w14:paraId="06FFD5BC"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w:t>
      </w:r>
      <w:r w:rsidRPr="00834D52">
        <w:rPr>
          <w:rFonts w:ascii="Sylfaen" w:hAnsi="Sylfaen"/>
          <w:sz w:val="24"/>
          <w:szCs w:val="24"/>
        </w:rPr>
        <w:tab/>
        <w:t>Լրացումները:</w:t>
      </w:r>
    </w:p>
    <w:p w14:paraId="1FB7384F"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3.2.А.1.</w:t>
      </w:r>
      <w:r w:rsidRPr="00834D52">
        <w:rPr>
          <w:rFonts w:ascii="Sylfaen" w:hAnsi="Sylfaen"/>
          <w:sz w:val="24"/>
          <w:szCs w:val="24"/>
        </w:rPr>
        <w:tab/>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p w14:paraId="52F7EC37"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3.2.А.2.</w:t>
      </w:r>
      <w:r w:rsidRPr="00834D52">
        <w:rPr>
          <w:rFonts w:ascii="Sylfaen" w:hAnsi="Sylfaen"/>
          <w:sz w:val="24"/>
          <w:szCs w:val="24"/>
        </w:rPr>
        <w:tab/>
        <w:t>Կողմնակի ագենտների առկայության առնչությամբ դեղապատրաստուկների անվտանգության գնահատումը:</w:t>
      </w:r>
    </w:p>
    <w:p w14:paraId="0C2DD8B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3.2.А.3.</w:t>
      </w:r>
      <w:r w:rsidRPr="00834D52">
        <w:rPr>
          <w:rFonts w:ascii="Sylfaen" w:hAnsi="Sylfaen"/>
          <w:sz w:val="24"/>
          <w:szCs w:val="24"/>
        </w:rPr>
        <w:tab/>
        <w:t>Նոր օժանդակ նյութեր:</w:t>
      </w:r>
    </w:p>
    <w:p w14:paraId="55DEC88E" w14:textId="5C25EAE1"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3.2.R.1.</w:t>
      </w:r>
      <w:r w:rsidRPr="00834D52">
        <w:rPr>
          <w:rFonts w:ascii="Sylfaen" w:hAnsi="Sylfaen"/>
          <w:sz w:val="24"/>
          <w:szCs w:val="24"/>
        </w:rPr>
        <w:tab/>
      </w:r>
      <w:r w:rsidR="00422847">
        <w:rPr>
          <w:rFonts w:ascii="Sylfaen" w:hAnsi="Sylfaen"/>
          <w:sz w:val="24"/>
          <w:szCs w:val="24"/>
        </w:rPr>
        <w:t>Արտադրանքի արտադրված սերիաների մասին գրառումներ (հաշվետվություններ)</w:t>
      </w:r>
      <w:r w:rsidRPr="00834D52">
        <w:rPr>
          <w:rFonts w:ascii="Sylfaen" w:hAnsi="Sylfaen"/>
          <w:sz w:val="24"/>
          <w:szCs w:val="24"/>
        </w:rPr>
        <w:t xml:space="preserve">: </w:t>
      </w:r>
    </w:p>
    <w:p w14:paraId="5EC0C9A6"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3.2.R.2.</w:t>
      </w:r>
      <w:r w:rsidRPr="00834D52">
        <w:rPr>
          <w:rFonts w:ascii="Sylfaen" w:hAnsi="Sylfaen"/>
          <w:sz w:val="24"/>
          <w:szCs w:val="24"/>
        </w:rPr>
        <w:tab/>
        <w:t xml:space="preserve">Վալիդացիոն համապարփակ պլան: </w:t>
      </w:r>
    </w:p>
    <w:p w14:paraId="2504CBE2"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3.2.R.3.</w:t>
      </w:r>
      <w:r w:rsidRPr="00834D52">
        <w:rPr>
          <w:rFonts w:ascii="Sylfaen" w:hAnsi="Sylfaen"/>
          <w:sz w:val="24"/>
          <w:szCs w:val="24"/>
        </w:rPr>
        <w:tab/>
        <w:t xml:space="preserve">Դեղապատրաստուկի որակի վերջին ուսումնասիրությունը: </w:t>
      </w:r>
    </w:p>
    <w:p w14:paraId="440E6A21" w14:textId="77777777" w:rsidR="006F76EB" w:rsidRPr="00834D52" w:rsidRDefault="006F76EB" w:rsidP="00604C9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3.2.R.4.</w:t>
      </w:r>
      <w:r w:rsidRPr="00834D52">
        <w:rPr>
          <w:rFonts w:ascii="Sylfaen" w:hAnsi="Sylfaen"/>
          <w:sz w:val="24"/>
          <w:szCs w:val="24"/>
        </w:rPr>
        <w:tab/>
        <w:t xml:space="preserve">Որակի ձեռնարկը կամ արտադրողի՝ որակի հսկողության լաբորատորիայի լաբորատոր ձեռնարկը: </w:t>
      </w:r>
    </w:p>
    <w:p w14:paraId="780A4356" w14:textId="35B0A8DC" w:rsidR="006F76EB" w:rsidRDefault="006F76EB" w:rsidP="00604C9A">
      <w:pPr>
        <w:tabs>
          <w:tab w:val="left" w:pos="1701"/>
        </w:tabs>
        <w:spacing w:after="160" w:line="360" w:lineRule="auto"/>
        <w:ind w:right="-8" w:firstLine="567"/>
        <w:jc w:val="both"/>
        <w:rPr>
          <w:rFonts w:ascii="Sylfaen" w:hAnsi="Sylfaen"/>
          <w:sz w:val="24"/>
          <w:szCs w:val="24"/>
        </w:rPr>
      </w:pPr>
      <w:r w:rsidRPr="00834D52">
        <w:rPr>
          <w:rFonts w:ascii="Sylfaen" w:hAnsi="Sylfaen"/>
          <w:sz w:val="24"/>
          <w:szCs w:val="24"/>
        </w:rPr>
        <w:t>3.2.R.5.</w:t>
      </w:r>
      <w:r w:rsidRPr="00834D52">
        <w:rPr>
          <w:rFonts w:ascii="Sylfaen" w:hAnsi="Sylfaen"/>
          <w:sz w:val="24"/>
          <w:szCs w:val="24"/>
        </w:rPr>
        <w:tab/>
        <w:t xml:space="preserve">Արտադրողի՝ որակի հսկողության լաբորատորիայի կողմից իրականացվող վերլուծական մեթոդիկաների ցուցակը: </w:t>
      </w:r>
    </w:p>
    <w:p w14:paraId="1190B714" w14:textId="7589B2A4" w:rsidR="00422847" w:rsidRPr="006F28F9" w:rsidRDefault="00422847" w:rsidP="00422847">
      <w:pPr>
        <w:rPr>
          <w:b/>
          <w:bCs/>
          <w:i/>
          <w:iCs/>
        </w:rPr>
      </w:pPr>
      <w:r w:rsidRPr="00CD4709">
        <w:rPr>
          <w:b/>
          <w:bCs/>
          <w:i/>
          <w:iCs/>
        </w:rPr>
        <w:t>(</w:t>
      </w:r>
      <w:r>
        <w:rPr>
          <w:b/>
          <w:bCs/>
          <w:i/>
          <w:iCs/>
        </w:rPr>
        <w:t xml:space="preserve">3-րդ բաժինը </w:t>
      </w:r>
      <w:r w:rsidRPr="00CD4709">
        <w:rPr>
          <w:b/>
          <w:bCs/>
          <w:i/>
          <w:iCs/>
        </w:rPr>
        <w:t>փոփ. 30.01.20 թիվ 9)</w:t>
      </w:r>
    </w:p>
    <w:p w14:paraId="554AC1B5" w14:textId="77777777" w:rsidR="00422847" w:rsidRPr="00DB039F" w:rsidRDefault="00422847" w:rsidP="00604C9A">
      <w:pPr>
        <w:tabs>
          <w:tab w:val="left" w:pos="1701"/>
        </w:tabs>
        <w:spacing w:after="160" w:line="360" w:lineRule="auto"/>
        <w:ind w:right="-8" w:firstLine="567"/>
        <w:jc w:val="both"/>
        <w:rPr>
          <w:rFonts w:ascii="Sylfaen" w:hAnsi="Sylfaen"/>
          <w:sz w:val="24"/>
          <w:szCs w:val="24"/>
        </w:rPr>
      </w:pPr>
    </w:p>
    <w:p w14:paraId="3CC621CB" w14:textId="77777777" w:rsidR="006F76EB" w:rsidRPr="00DB039F"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p>
    <w:p w14:paraId="180B43C9" w14:textId="77777777" w:rsidR="006F76EB" w:rsidRPr="00834D52" w:rsidRDefault="006F76EB" w:rsidP="00F85569">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4. Գրանցման դոսյեի՝ 4-րդ մոդուլում բերված փաստաթղթերի նկատմամբ պահանջները՝ հաշվետվություններ նախակլինիկական (ոչ կլինիկական) հետազոտությունների մասին</w:t>
      </w:r>
    </w:p>
    <w:p w14:paraId="03344419"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4-րդ մոդուլի բովանդակությունը:</w:t>
      </w:r>
    </w:p>
    <w:p w14:paraId="072530E7" w14:textId="77777777" w:rsidR="006F76EB" w:rsidRPr="00834D52" w:rsidRDefault="006F76EB" w:rsidP="00604C9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 xml:space="preserve">Հաշվետվություններ՝ նախակլինիկական (ոչ կլինիկական) հետազոտությունների մասին: </w:t>
      </w:r>
    </w:p>
    <w:p w14:paraId="38D1BBC7"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Առանձին դեպքերում, սույն պահանջների II մասի պատրաստուկների առանձին խմբերի հետազոտության </w:t>
      </w:r>
      <w:r w:rsidR="00C54D75">
        <w:rPr>
          <w:rFonts w:ascii="Sylfaen" w:hAnsi="Sylfaen"/>
          <w:sz w:val="24"/>
          <w:szCs w:val="24"/>
        </w:rPr>
        <w:t>և</w:t>
      </w:r>
      <w:r w:rsidRPr="00834D52">
        <w:rPr>
          <w:rFonts w:ascii="Sylfaen" w:hAnsi="Sylfaen"/>
          <w:sz w:val="24"/>
          <w:szCs w:val="24"/>
        </w:rPr>
        <w:t xml:space="preserve">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պահանջներին համապատասխան, տվյալ բաժնում կարող է բերվել գիտական գրականության տվյալների ուսումնասիրությունը՝ անցկացրած սեփական նախակլինիկական հետազոտությունների արդյունքների փոխարեն: </w:t>
      </w:r>
    </w:p>
    <w:p w14:paraId="611D920E" w14:textId="77777777" w:rsidR="006F76EB" w:rsidRPr="00834D52" w:rsidRDefault="006F76EB" w:rsidP="000E2C50">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Դեղաբանական </w:t>
      </w:r>
      <w:r w:rsidR="00C54D75">
        <w:rPr>
          <w:rFonts w:ascii="Sylfaen" w:hAnsi="Sylfaen"/>
          <w:sz w:val="24"/>
          <w:szCs w:val="24"/>
        </w:rPr>
        <w:t>և</w:t>
      </w:r>
      <w:r w:rsidRPr="00834D52">
        <w:rPr>
          <w:rFonts w:ascii="Sylfaen" w:hAnsi="Sylfaen"/>
          <w:sz w:val="24"/>
          <w:szCs w:val="24"/>
        </w:rPr>
        <w:t xml:space="preserve"> թունաբանական փորձարկումների մասին գրանցման դոսյեի փաստաթղթերը պետք է սահմանեն՝ </w:t>
      </w:r>
    </w:p>
    <w:p w14:paraId="46790CA9" w14:textId="77777777" w:rsidR="006F76EB" w:rsidRPr="00834D52" w:rsidRDefault="006F76EB" w:rsidP="000E2C50">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 xml:space="preserve">դեղապատրաստուկի հնարավոր թունավորությունը </w:t>
      </w:r>
      <w:r w:rsidR="00C54D75">
        <w:rPr>
          <w:rFonts w:ascii="Sylfaen" w:hAnsi="Sylfaen"/>
          <w:spacing w:val="-4"/>
          <w:sz w:val="24"/>
          <w:szCs w:val="24"/>
        </w:rPr>
        <w:t>և</w:t>
      </w:r>
      <w:r w:rsidRPr="00834D52">
        <w:rPr>
          <w:rFonts w:ascii="Sylfaen" w:hAnsi="Sylfaen"/>
          <w:spacing w:val="-4"/>
          <w:sz w:val="24"/>
          <w:szCs w:val="24"/>
        </w:rPr>
        <w:t xml:space="preserve"> ցանկացած վնասակար կամ անցանկալի թունավոր ռեակցիա, որը կարող է դիտվել մարդու կողմից այն կիրառելու առաջարկվող պայմաններում, ընդ որում, պետք է բերվի դրանց գնահատումը՝ հաշվի առնելով համապատասխան ախտաբանական վիճակները, </w:t>
      </w:r>
    </w:p>
    <w:p w14:paraId="2CE7869D" w14:textId="705972F4" w:rsidR="006F76EB" w:rsidRPr="00834D52" w:rsidRDefault="006F76EB" w:rsidP="000E2C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դեղագործական հատկությունները՝ ըստ որակական </w:t>
      </w:r>
      <w:r w:rsidR="00C54D75">
        <w:rPr>
          <w:rFonts w:ascii="Sylfaen" w:hAnsi="Sylfaen"/>
          <w:sz w:val="24"/>
          <w:szCs w:val="24"/>
        </w:rPr>
        <w:t>և</w:t>
      </w:r>
      <w:r w:rsidRPr="00834D52">
        <w:rPr>
          <w:rFonts w:ascii="Sylfaen" w:hAnsi="Sylfaen"/>
          <w:sz w:val="24"/>
          <w:szCs w:val="24"/>
        </w:rPr>
        <w:t xml:space="preserve"> քանակական ցուցանիշների </w:t>
      </w:r>
      <w:r w:rsidR="00C54D75">
        <w:rPr>
          <w:rFonts w:ascii="Sylfaen" w:hAnsi="Sylfaen"/>
          <w:sz w:val="24"/>
          <w:szCs w:val="24"/>
        </w:rPr>
        <w:t>և</w:t>
      </w:r>
      <w:r w:rsidRPr="00834D52">
        <w:rPr>
          <w:rFonts w:ascii="Sylfaen" w:hAnsi="Sylfaen"/>
          <w:sz w:val="24"/>
          <w:szCs w:val="24"/>
        </w:rPr>
        <w:t xml:space="preserve"> ըստ </w:t>
      </w:r>
      <w:r w:rsidR="0056496B">
        <w:rPr>
          <w:rFonts w:ascii="Sylfaen" w:hAnsi="Sylfaen"/>
          <w:sz w:val="24"/>
          <w:szCs w:val="24"/>
        </w:rPr>
        <w:t>դիմում</w:t>
      </w:r>
      <w:r w:rsidRPr="00834D52">
        <w:rPr>
          <w:rFonts w:ascii="Sylfaen" w:hAnsi="Sylfaen"/>
          <w:sz w:val="24"/>
          <w:szCs w:val="24"/>
        </w:rPr>
        <w:t xml:space="preserve">ագրվող կլինիկական կիրառության: Բոլոր արդյունքները պետք է լինեն հավաստի </w:t>
      </w:r>
      <w:r w:rsidR="00C54D75">
        <w:rPr>
          <w:rFonts w:ascii="Sylfaen" w:hAnsi="Sylfaen"/>
          <w:sz w:val="24"/>
          <w:szCs w:val="24"/>
        </w:rPr>
        <w:t>և</w:t>
      </w:r>
      <w:r w:rsidRPr="00834D52">
        <w:rPr>
          <w:rFonts w:ascii="Sylfaen" w:hAnsi="Sylfaen"/>
          <w:sz w:val="24"/>
          <w:szCs w:val="24"/>
        </w:rPr>
        <w:t xml:space="preserve"> բոլորի համար կիրառելի: Փորձարարական հետազոտությունների պլանավորման </w:t>
      </w:r>
      <w:r w:rsidR="00C54D75">
        <w:rPr>
          <w:rFonts w:ascii="Sylfaen" w:hAnsi="Sylfaen"/>
          <w:sz w:val="24"/>
          <w:szCs w:val="24"/>
        </w:rPr>
        <w:t>և</w:t>
      </w:r>
      <w:r w:rsidRPr="00834D52">
        <w:rPr>
          <w:rFonts w:ascii="Sylfaen" w:hAnsi="Sylfaen"/>
          <w:sz w:val="24"/>
          <w:szCs w:val="24"/>
        </w:rPr>
        <w:t xml:space="preserve"> ստացված տվյալների գնահատման ժամանակ անհրաժեշտ է օգտագործել արդյունքների մաթեմատիկական </w:t>
      </w:r>
      <w:r w:rsidR="00C54D75">
        <w:rPr>
          <w:rFonts w:ascii="Sylfaen" w:hAnsi="Sylfaen"/>
          <w:sz w:val="24"/>
          <w:szCs w:val="24"/>
        </w:rPr>
        <w:t>և</w:t>
      </w:r>
      <w:r w:rsidRPr="00834D52">
        <w:rPr>
          <w:rFonts w:ascii="Sylfaen" w:hAnsi="Sylfaen"/>
          <w:sz w:val="24"/>
          <w:szCs w:val="24"/>
        </w:rPr>
        <w:t xml:space="preserve"> վիճակագրական մշակման մեթոդներ: </w:t>
      </w:r>
    </w:p>
    <w:p w14:paraId="4923F8FF" w14:textId="77777777" w:rsidR="006F76EB" w:rsidRPr="00834D52" w:rsidRDefault="006F76EB" w:rsidP="00E5048D">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Բացի այդ, անհրաժեշտ է գրանցման դոսյեի մեջ բուժաշխատողների համար ներկայացնել տեղեկատվություն՝ դեղապատրաստուկի թերապ</w:t>
      </w:r>
      <w:r w:rsidR="00C54D75">
        <w:rPr>
          <w:rFonts w:ascii="Sylfaen" w:hAnsi="Sylfaen"/>
          <w:sz w:val="24"/>
          <w:szCs w:val="24"/>
        </w:rPr>
        <w:t>և</w:t>
      </w:r>
      <w:r w:rsidRPr="00834D52">
        <w:rPr>
          <w:rFonts w:ascii="Sylfaen" w:hAnsi="Sylfaen"/>
          <w:sz w:val="24"/>
          <w:szCs w:val="24"/>
        </w:rPr>
        <w:t xml:space="preserve">տիկ </w:t>
      </w:r>
      <w:r w:rsidR="00C54D75">
        <w:rPr>
          <w:rFonts w:ascii="Sylfaen" w:hAnsi="Sylfaen"/>
          <w:sz w:val="24"/>
          <w:szCs w:val="24"/>
        </w:rPr>
        <w:t>և</w:t>
      </w:r>
      <w:r w:rsidRPr="00834D52">
        <w:rPr>
          <w:rFonts w:ascii="Sylfaen" w:hAnsi="Sylfaen"/>
          <w:sz w:val="24"/>
          <w:szCs w:val="24"/>
        </w:rPr>
        <w:t xml:space="preserve"> թունաբանական պոտենցիալի (ներունակության) մասին: </w:t>
      </w:r>
    </w:p>
    <w:p w14:paraId="04141ED0" w14:textId="65C530F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Այնպիսի կենսաբանական դեղապատրաստուկների համար, ինչպիսիք են իմունոլոգիական դեղապատրաստուկները </w:t>
      </w:r>
      <w:r w:rsidR="00C54D75">
        <w:rPr>
          <w:rFonts w:ascii="Sylfaen" w:hAnsi="Sylfaen"/>
          <w:sz w:val="24"/>
          <w:szCs w:val="24"/>
        </w:rPr>
        <w:t>և</w:t>
      </w:r>
      <w:r w:rsidRPr="00834D52">
        <w:rPr>
          <w:rFonts w:ascii="Sylfaen" w:hAnsi="Sylfaen"/>
          <w:sz w:val="24"/>
          <w:szCs w:val="24"/>
        </w:rPr>
        <w:t xml:space="preserve"> մարդու արյունից </w:t>
      </w:r>
      <w:r w:rsidR="00C54D75">
        <w:rPr>
          <w:rFonts w:ascii="Sylfaen" w:hAnsi="Sylfaen"/>
          <w:sz w:val="24"/>
          <w:szCs w:val="24"/>
        </w:rPr>
        <w:t>և</w:t>
      </w:r>
      <w:r w:rsidRPr="00834D52">
        <w:rPr>
          <w:rFonts w:ascii="Sylfaen" w:hAnsi="Sylfaen"/>
          <w:sz w:val="24"/>
          <w:szCs w:val="24"/>
        </w:rPr>
        <w:t xml:space="preserve"> պլազմայից ստացվող դեղապատրաստուկները, կարող է պահանջվել դեղապատրաստուկի գրանցման դոսյեի տվյալ մոդուլի պահանջների հարմարեցում կոնկրետ դեղապատրաստուկին, այդ պատճառով </w:t>
      </w:r>
      <w:r w:rsidR="0056496B">
        <w:rPr>
          <w:rFonts w:ascii="Sylfaen" w:hAnsi="Sylfaen"/>
          <w:sz w:val="24"/>
          <w:szCs w:val="24"/>
        </w:rPr>
        <w:t>դիմումատու</w:t>
      </w:r>
      <w:r w:rsidRPr="00834D52">
        <w:rPr>
          <w:rFonts w:ascii="Sylfaen" w:hAnsi="Sylfaen"/>
          <w:sz w:val="24"/>
          <w:szCs w:val="24"/>
        </w:rPr>
        <w:t xml:space="preserve">ն պետք է ներկայացնի հետազոտության օգտագործված ծրագրի հիմնավորում: </w:t>
      </w:r>
    </w:p>
    <w:p w14:paraId="12EED2AE"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դրա հետազոտության ծրագրի առումով անհրաժեշտ է նախատեսել, որ՝ </w:t>
      </w:r>
    </w:p>
    <w:p w14:paraId="6F150AC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բազմակի ներմուծում պահանջող բոլոր հետազոտությունները պլանավորվել են՝ հաշվի առնելով հակամարմինների առաջացումը խթանելու </w:t>
      </w:r>
      <w:r w:rsidR="00C54D75">
        <w:rPr>
          <w:rFonts w:ascii="Sylfaen" w:hAnsi="Sylfaen"/>
          <w:sz w:val="24"/>
          <w:szCs w:val="24"/>
        </w:rPr>
        <w:t>և</w:t>
      </w:r>
      <w:r w:rsidRPr="00834D52">
        <w:rPr>
          <w:rFonts w:ascii="Sylfaen" w:hAnsi="Sylfaen"/>
          <w:sz w:val="24"/>
          <w:szCs w:val="24"/>
        </w:rPr>
        <w:t xml:space="preserve"> օրգանիզմի վրա հակամարմինները ներգործելու հնարավորությունները, </w:t>
      </w:r>
    </w:p>
    <w:p w14:paraId="154AEBD4"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վերլուծվել են վերարտադրողական գործառույթի, սաղմնային (պտղային)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ինչպես նա</w:t>
      </w:r>
      <w:r w:rsidR="00C54D75">
        <w:rPr>
          <w:rFonts w:ascii="Sylfaen" w:hAnsi="Sylfaen"/>
          <w:sz w:val="24"/>
          <w:szCs w:val="24"/>
        </w:rPr>
        <w:t>և</w:t>
      </w:r>
      <w:r w:rsidRPr="00834D52">
        <w:rPr>
          <w:rFonts w:ascii="Sylfaen" w:hAnsi="Sylfaen"/>
          <w:sz w:val="24"/>
          <w:szCs w:val="24"/>
        </w:rPr>
        <w:t xml:space="preserve"> դեղապատրաստուկի </w:t>
      </w:r>
      <w:r w:rsidRPr="00834D52">
        <w:rPr>
          <w:rFonts w:ascii="Sylfaen" w:hAnsi="Sylfaen"/>
          <w:sz w:val="24"/>
          <w:szCs w:val="24"/>
        </w:rPr>
        <w:lastRenderedPageBreak/>
        <w:t xml:space="preserve">մուտագեն </w:t>
      </w:r>
      <w:r w:rsidR="00C54D75">
        <w:rPr>
          <w:rFonts w:ascii="Sylfaen" w:hAnsi="Sylfaen"/>
          <w:sz w:val="24"/>
          <w:szCs w:val="24"/>
        </w:rPr>
        <w:t>և</w:t>
      </w:r>
      <w:r w:rsidRPr="00834D52">
        <w:rPr>
          <w:rFonts w:ascii="Sylfaen" w:hAnsi="Sylfaen"/>
          <w:sz w:val="24"/>
          <w:szCs w:val="24"/>
        </w:rPr>
        <w:t xml:space="preserve"> քաղցկեղածին ազդեցության հետազոտություններ անցկացնելու նպատակահարմարության հարցերը: Եթե թունավորության պատճառը ակտիվ նյութը չէ (4-րդ </w:t>
      </w:r>
      <w:r w:rsidR="00C54D75">
        <w:rPr>
          <w:rFonts w:ascii="Sylfaen" w:hAnsi="Sylfaen"/>
          <w:sz w:val="24"/>
          <w:szCs w:val="24"/>
        </w:rPr>
        <w:t>և</w:t>
      </w:r>
      <w:r w:rsidRPr="00834D52">
        <w:rPr>
          <w:rFonts w:ascii="Sylfaen" w:hAnsi="Sylfaen"/>
          <w:sz w:val="24"/>
          <w:szCs w:val="24"/>
        </w:rPr>
        <w:t xml:space="preserve"> 5-րդ մոդուլների նկարագրության ժամանակ «ակտիվ (ազդող) նյութ», «ակտիվ նյութ» </w:t>
      </w:r>
      <w:r w:rsidR="00C54D75">
        <w:rPr>
          <w:rFonts w:ascii="Sylfaen" w:hAnsi="Sylfaen"/>
          <w:sz w:val="24"/>
          <w:szCs w:val="24"/>
        </w:rPr>
        <w:t>և</w:t>
      </w:r>
      <w:r w:rsidRPr="00834D52">
        <w:rPr>
          <w:rFonts w:ascii="Sylfaen" w:hAnsi="Sylfaen"/>
          <w:sz w:val="24"/>
          <w:szCs w:val="24"/>
        </w:rPr>
        <w:t xml:space="preserve"> «ազդող նյութ» հասկացությունները համանման են), այլ ուրիշ նյութեր, ապա կարելի է հետազոտություններ անցկացնել այն պայմանով, որ վալիդացման արդյունքներով հաստատվել է, որ այդ բաղադրիչները հեռացվել են դեղապատրաստուկից:</w:t>
      </w:r>
    </w:p>
    <w:p w14:paraId="7645E9C5" w14:textId="77777777" w:rsidR="006F76EB" w:rsidRPr="00834D52" w:rsidRDefault="006F76EB" w:rsidP="00E5048D">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օժանդակ նյութը օգտագործվում է դեղագործական գործունեության մեջ առաջին անգամ, անհրաժեշտ է անցկացնել դրա թունաբանական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 xml:space="preserve">կինետիկ հետազոտություններ: </w:t>
      </w:r>
    </w:p>
    <w:p w14:paraId="73262EE3"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կա դեղապատրաստուկի զգալի քայքայման հավանականություն դրա պահպանման ժամանակ, անհրաժեշտ է քննարկել քայքայման արգասիքների թունաբանական հետազոտություն անցկացնելու մասին հարցը: </w:t>
      </w:r>
    </w:p>
    <w:p w14:paraId="1AE1B247"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4.2.1.</w:t>
      </w:r>
      <w:r w:rsidRPr="00834D52">
        <w:rPr>
          <w:rFonts w:ascii="Sylfaen" w:hAnsi="Sylfaen"/>
          <w:sz w:val="24"/>
          <w:szCs w:val="24"/>
        </w:rPr>
        <w:tab/>
        <w:t>Դեղաբանություն:</w:t>
      </w:r>
    </w:p>
    <w:p w14:paraId="5F81125A"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Դեղաբանական հետազոտությունների մասով դեղապաստրաստուկի գրանցման դոսյեում անհրաժեշտ է լուսաբանել 2 տարբեր ասպեկտներ՝ </w:t>
      </w:r>
    </w:p>
    <w:p w14:paraId="75A9E840" w14:textId="77777777"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 xml:space="preserve">տիկ կիրառության համար առաջարկվող դեղապատրաստուկի </w:t>
      </w:r>
      <w:r w:rsidR="00355C33">
        <w:rPr>
          <w:rFonts w:ascii="Sylfaen" w:hAnsi="Sylfaen"/>
          <w:sz w:val="24"/>
          <w:szCs w:val="24"/>
        </w:rPr>
        <w:t>դեղա</w:t>
      </w:r>
      <w:r w:rsidRPr="00834D52">
        <w:rPr>
          <w:rFonts w:ascii="Sylfaen" w:hAnsi="Sylfaen"/>
          <w:sz w:val="24"/>
          <w:szCs w:val="24"/>
        </w:rPr>
        <w:t xml:space="preserve">դինամիկ ակտիվությունը պետք է համապատասխան կերպով ուսումնասիրված </w:t>
      </w:r>
      <w:r w:rsidR="00C54D75">
        <w:rPr>
          <w:rFonts w:ascii="Sylfaen" w:hAnsi="Sylfaen"/>
          <w:sz w:val="24"/>
          <w:szCs w:val="24"/>
        </w:rPr>
        <w:t>և</w:t>
      </w:r>
      <w:r w:rsidRPr="00834D52">
        <w:rPr>
          <w:rFonts w:ascii="Sylfaen" w:hAnsi="Sylfaen"/>
          <w:sz w:val="24"/>
          <w:szCs w:val="24"/>
        </w:rPr>
        <w:t xml:space="preserve"> նկարագրված լինի: Հնարավորության դեպքում պետք է օգտագործվեն հետազոտության ընդունված </w:t>
      </w:r>
      <w:r w:rsidR="00C54D75">
        <w:rPr>
          <w:rFonts w:ascii="Sylfaen" w:hAnsi="Sylfaen"/>
          <w:sz w:val="24"/>
          <w:szCs w:val="24"/>
        </w:rPr>
        <w:t>և</w:t>
      </w:r>
      <w:r w:rsidRPr="00834D52">
        <w:rPr>
          <w:rFonts w:ascii="Sylfaen" w:hAnsi="Sylfaen"/>
          <w:sz w:val="24"/>
          <w:szCs w:val="24"/>
        </w:rPr>
        <w:t xml:space="preserve"> վալիդացված մեթոդիկաներ (ինչպես in vivo, այպես էլ in vitro): Նոր փորձարարական մեթոդիկաների նկարագրությունը պետք է լինի բավականաչափ մանրամասն, որպեսզի ապահովի դրանց վերարտադրելիությունը: Արդյունքներն անհրաժեշտ է ներկայացնել քանակական ցուցանիշների տեսքով (օրինակ՝ դեղաչափ-էֆեկտ </w:t>
      </w:r>
      <w:r w:rsidR="00C54D75">
        <w:rPr>
          <w:rFonts w:ascii="Sylfaen" w:hAnsi="Sylfaen"/>
          <w:sz w:val="24"/>
          <w:szCs w:val="24"/>
        </w:rPr>
        <w:t>և</w:t>
      </w:r>
      <w:r w:rsidRPr="00834D52">
        <w:rPr>
          <w:rFonts w:ascii="Sylfaen" w:hAnsi="Sylfaen"/>
          <w:sz w:val="24"/>
          <w:szCs w:val="24"/>
        </w:rPr>
        <w:t xml:space="preserve"> (կամ) ժամանակ-էֆեկտ կորերի </w:t>
      </w:r>
      <w:r w:rsidR="00C54D75">
        <w:rPr>
          <w:rFonts w:ascii="Sylfaen" w:hAnsi="Sylfaen"/>
          <w:sz w:val="24"/>
          <w:szCs w:val="24"/>
        </w:rPr>
        <w:t>և</w:t>
      </w:r>
      <w:r w:rsidRPr="00834D52">
        <w:rPr>
          <w:rFonts w:ascii="Sylfaen" w:hAnsi="Sylfaen"/>
          <w:sz w:val="24"/>
          <w:szCs w:val="24"/>
        </w:rPr>
        <w:t xml:space="preserve"> այլն): Արդյունքները պետք է համադրվեն համանման թերապ</w:t>
      </w:r>
      <w:r w:rsidR="00C54D75">
        <w:rPr>
          <w:rFonts w:ascii="Sylfaen" w:hAnsi="Sylfaen"/>
          <w:sz w:val="24"/>
          <w:szCs w:val="24"/>
        </w:rPr>
        <w:t>և</w:t>
      </w:r>
      <w:r w:rsidRPr="00834D52">
        <w:rPr>
          <w:rFonts w:ascii="Sylfaen" w:hAnsi="Sylfaen"/>
          <w:sz w:val="24"/>
          <w:szCs w:val="24"/>
        </w:rPr>
        <w:t>տիկ ազդեցություն ունեցող նյութը կամ նյութերը բնութագրող տվյալների հետ: Համեմատական հետազոտությունների բացակայությունը պետք է հիմնավորված լինի,</w:t>
      </w:r>
    </w:p>
    <w:p w14:paraId="123FCC20" w14:textId="34514222" w:rsidR="006F76EB" w:rsidRPr="00834D52" w:rsidRDefault="0056496B" w:rsidP="00E5048D">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6F76EB" w:rsidRPr="00834D52">
        <w:rPr>
          <w:rFonts w:ascii="Sylfaen" w:hAnsi="Sylfaen"/>
          <w:sz w:val="24"/>
          <w:szCs w:val="24"/>
        </w:rPr>
        <w:t xml:space="preserve">ն պետք է ուսումնասիրի նյութի հնարավոր անցանկալի </w:t>
      </w:r>
      <w:r w:rsidR="00355C33">
        <w:rPr>
          <w:rFonts w:ascii="Sylfaen" w:hAnsi="Sylfaen"/>
          <w:sz w:val="24"/>
          <w:szCs w:val="24"/>
        </w:rPr>
        <w:t>դեղա</w:t>
      </w:r>
      <w:r w:rsidR="006F76EB" w:rsidRPr="00834D52">
        <w:rPr>
          <w:rFonts w:ascii="Sylfaen" w:hAnsi="Sylfaen"/>
          <w:sz w:val="24"/>
          <w:szCs w:val="24"/>
        </w:rPr>
        <w:t>դինամիկ էֆեկտները կենդանի օրգանիզմի ֆիզիոլոգիական գործառույթների փոփոխության առումով: Այդպիսի ուսումնասիրություն անհրաժեշտ է անցկացնել դեղաչափերի սպասվող թերապ</w:t>
      </w:r>
      <w:r w:rsidR="00C54D75">
        <w:rPr>
          <w:rFonts w:ascii="Sylfaen" w:hAnsi="Sylfaen"/>
          <w:sz w:val="24"/>
          <w:szCs w:val="24"/>
        </w:rPr>
        <w:t>և</w:t>
      </w:r>
      <w:r w:rsidR="006F76EB" w:rsidRPr="00834D52">
        <w:rPr>
          <w:rFonts w:ascii="Sylfaen" w:hAnsi="Sylfaen"/>
          <w:sz w:val="24"/>
          <w:szCs w:val="24"/>
        </w:rPr>
        <w:t xml:space="preserve">տիկ ընդգրկույթին համապատասխանող </w:t>
      </w:r>
      <w:r w:rsidR="00C54D75">
        <w:rPr>
          <w:rFonts w:ascii="Sylfaen" w:hAnsi="Sylfaen"/>
          <w:sz w:val="24"/>
          <w:szCs w:val="24"/>
        </w:rPr>
        <w:t>և</w:t>
      </w:r>
      <w:r w:rsidR="006F76EB" w:rsidRPr="00834D52">
        <w:rPr>
          <w:rFonts w:ascii="Sylfaen" w:hAnsi="Sylfaen"/>
          <w:sz w:val="24"/>
          <w:szCs w:val="24"/>
        </w:rPr>
        <w:t xml:space="preserve"> այդ ընդգրկույթը գերազանցող էքսպոզիցիաների ժամանակ: Եթե փորձարարական մեթոդները ստանդարտ չեն, դրանք պետք է բավականաչափ մանրամասն նկարագրվեն </w:t>
      </w:r>
      <w:r w:rsidR="00C54D75">
        <w:rPr>
          <w:rFonts w:ascii="Sylfaen" w:hAnsi="Sylfaen"/>
          <w:sz w:val="24"/>
          <w:szCs w:val="24"/>
        </w:rPr>
        <w:t>և</w:t>
      </w:r>
      <w:r w:rsidR="006F76EB" w:rsidRPr="00834D52">
        <w:rPr>
          <w:rFonts w:ascii="Sylfaen" w:hAnsi="Sylfaen"/>
          <w:sz w:val="24"/>
          <w:szCs w:val="24"/>
        </w:rPr>
        <w:t xml:space="preserve"> վալիդացվեն (դրանք վերարտադրելու </w:t>
      </w:r>
      <w:r w:rsidR="00C54D75">
        <w:rPr>
          <w:rFonts w:ascii="Sylfaen" w:hAnsi="Sylfaen"/>
          <w:sz w:val="24"/>
          <w:szCs w:val="24"/>
        </w:rPr>
        <w:t>և</w:t>
      </w:r>
      <w:r w:rsidR="006F76EB" w:rsidRPr="00834D52">
        <w:rPr>
          <w:rFonts w:ascii="Sylfaen" w:hAnsi="Sylfaen"/>
          <w:sz w:val="24"/>
          <w:szCs w:val="24"/>
        </w:rPr>
        <w:t xml:space="preserve"> դրանց հավաստիությունը հաստատելու հնարավորությունն ապահովելու համար): Ակտիվ նյութի բազմակի ներմուծմանն ի պատասխան առաջացած ռեակցիաների ցանկացած քանակական փոփոխություն պետք է հետազոտվի: </w:t>
      </w:r>
    </w:p>
    <w:p w14:paraId="34869841" w14:textId="6DBD86A2" w:rsidR="006F76EB" w:rsidRPr="00834D52" w:rsidRDefault="006F76EB" w:rsidP="00E5048D">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ֆիքսված համակցությունների </w:t>
      </w:r>
      <w:r w:rsidR="00355C33">
        <w:rPr>
          <w:rFonts w:ascii="Sylfaen" w:hAnsi="Sylfaen"/>
          <w:sz w:val="24"/>
          <w:szCs w:val="24"/>
        </w:rPr>
        <w:t>դեղա</w:t>
      </w:r>
      <w:r w:rsidRPr="00834D52">
        <w:rPr>
          <w:rFonts w:ascii="Sylfaen" w:hAnsi="Sylfaen"/>
          <w:sz w:val="24"/>
          <w:szCs w:val="24"/>
        </w:rPr>
        <w:t xml:space="preserve">դինամիկ փոխազդեցությունն ուսումնասիրելու մասով գրանցման դոսյեի փաստաթղթերը պետք է հիմնվեն դեղաբանական նախադրյալների կամ այդ ֆիքսված համակցությունների կիրառության ցուցումների վրա: Առաջին դեպքում </w:t>
      </w:r>
      <w:r w:rsidR="00355C33">
        <w:rPr>
          <w:rFonts w:ascii="Sylfaen" w:hAnsi="Sylfaen"/>
          <w:sz w:val="24"/>
          <w:szCs w:val="24"/>
        </w:rPr>
        <w:t>դեղա</w:t>
      </w:r>
      <w:r w:rsidRPr="00834D52">
        <w:rPr>
          <w:rFonts w:ascii="Sylfaen" w:hAnsi="Sylfaen"/>
          <w:sz w:val="24"/>
          <w:szCs w:val="24"/>
        </w:rPr>
        <w:t>դինամիկ հետազոտությունը պետք է հաստատի այն փոխազդեցությունները, որոնք այդ համակցությունը դարձնում են թերապ</w:t>
      </w:r>
      <w:r w:rsidR="00C54D75">
        <w:rPr>
          <w:rFonts w:ascii="Sylfaen" w:hAnsi="Sylfaen"/>
          <w:sz w:val="24"/>
          <w:szCs w:val="24"/>
        </w:rPr>
        <w:t>և</w:t>
      </w:r>
      <w:r w:rsidRPr="00834D52">
        <w:rPr>
          <w:rFonts w:ascii="Sylfaen" w:hAnsi="Sylfaen"/>
          <w:sz w:val="24"/>
          <w:szCs w:val="24"/>
        </w:rPr>
        <w:t xml:space="preserve">տիկ կիրառության համար նշանակալի: Երկրորդ դեպքում, երբ նյութերի այդպիսի համակցության գիտական հիմնավորումը հիմնվում է փորձարարական թերապիայի վրա, հետազոտությունը սահմանում է կենդանիների վրա այն դեղաբանական ազդեցության հաստատման հնարավորությունը, որը սպասվում է ակտիվ նյութերի այդ համակցությունից մարդու մոտ </w:t>
      </w:r>
      <w:r w:rsidR="00C54D75">
        <w:rPr>
          <w:rFonts w:ascii="Sylfaen" w:hAnsi="Sylfaen"/>
          <w:sz w:val="24"/>
          <w:szCs w:val="24"/>
        </w:rPr>
        <w:t>և</w:t>
      </w:r>
      <w:r w:rsidRPr="00834D52">
        <w:rPr>
          <w:rFonts w:ascii="Sylfaen" w:hAnsi="Sylfaen"/>
          <w:sz w:val="24"/>
          <w:szCs w:val="24"/>
        </w:rPr>
        <w:t xml:space="preserve"> առնվազն </w:t>
      </w:r>
      <w:r w:rsidR="00003ABD">
        <w:rPr>
          <w:rFonts w:ascii="Sylfaen" w:hAnsi="Sylfaen"/>
          <w:sz w:val="24"/>
          <w:szCs w:val="24"/>
        </w:rPr>
        <w:t>հայտնաբերված</w:t>
      </w:r>
      <w:r w:rsidRPr="00834D52">
        <w:rPr>
          <w:rFonts w:ascii="Sylfaen" w:hAnsi="Sylfaen"/>
          <w:sz w:val="24"/>
          <w:szCs w:val="24"/>
        </w:rPr>
        <w:t xml:space="preserve"> ցանկացած ուղեկցող էֆեկտի նշանակալիությունը: </w:t>
      </w:r>
    </w:p>
    <w:p w14:paraId="2A8BCB08"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կինետիկան։</w:t>
      </w:r>
    </w:p>
    <w:p w14:paraId="4FF8CE71"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մասով գրանցման դոսյեի փաստաթղթերը ներառում են կենդանի օրգանիզմում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հետ տեղի ունեցող բոլոր գործընթացների վերլուծության արդյունքները </w:t>
      </w:r>
      <w:r w:rsidR="00C54D75">
        <w:rPr>
          <w:rFonts w:ascii="Sylfaen" w:hAnsi="Sylfaen"/>
          <w:sz w:val="24"/>
          <w:szCs w:val="24"/>
        </w:rPr>
        <w:t>և</w:t>
      </w:r>
      <w:r w:rsidR="006F76EB" w:rsidRPr="00834D52">
        <w:rPr>
          <w:rFonts w:ascii="Sylfaen" w:hAnsi="Sylfaen"/>
          <w:sz w:val="24"/>
          <w:szCs w:val="24"/>
        </w:rPr>
        <w:t xml:space="preserve"> ընդգրկում են կլանման, բաշխման, կենսաձ</w:t>
      </w:r>
      <w:r w:rsidR="00C54D75">
        <w:rPr>
          <w:rFonts w:ascii="Sylfaen" w:hAnsi="Sylfaen"/>
          <w:sz w:val="24"/>
          <w:szCs w:val="24"/>
        </w:rPr>
        <w:t>և</w:t>
      </w:r>
      <w:r w:rsidR="006F76EB" w:rsidRPr="00834D52">
        <w:rPr>
          <w:rFonts w:ascii="Sylfaen" w:hAnsi="Sylfaen"/>
          <w:sz w:val="24"/>
          <w:szCs w:val="24"/>
        </w:rPr>
        <w:t xml:space="preserve">ափոխման </w:t>
      </w:r>
      <w:r w:rsidR="00C54D75">
        <w:rPr>
          <w:rFonts w:ascii="Sylfaen" w:hAnsi="Sylfaen"/>
          <w:sz w:val="24"/>
          <w:szCs w:val="24"/>
        </w:rPr>
        <w:t>և</w:t>
      </w:r>
      <w:r w:rsidR="006F76EB" w:rsidRPr="00834D52">
        <w:rPr>
          <w:rFonts w:ascii="Sylfaen" w:hAnsi="Sylfaen"/>
          <w:sz w:val="24"/>
          <w:szCs w:val="24"/>
        </w:rPr>
        <w:t xml:space="preserve"> ակտիվ նյութի </w:t>
      </w:r>
      <w:r w:rsidR="00C54D75">
        <w:rPr>
          <w:rFonts w:ascii="Sylfaen" w:hAnsi="Sylfaen"/>
          <w:sz w:val="24"/>
          <w:szCs w:val="24"/>
        </w:rPr>
        <w:t>և</w:t>
      </w:r>
      <w:r w:rsidR="006F76EB" w:rsidRPr="00834D52">
        <w:rPr>
          <w:rFonts w:ascii="Sylfaen" w:hAnsi="Sylfaen"/>
          <w:sz w:val="24"/>
          <w:szCs w:val="24"/>
        </w:rPr>
        <w:t xml:space="preserve"> դրա մետաբոլիտների դուրսբերման ուսումնասիրությունը: </w:t>
      </w:r>
    </w:p>
    <w:p w14:paraId="1714AB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Փուլերից յուրաքանչյուրի հետազոտությունը (կլանման, բաշխման, կենսաձ</w:t>
      </w:r>
      <w:r w:rsidR="00C54D75">
        <w:rPr>
          <w:rFonts w:ascii="Sylfaen" w:hAnsi="Sylfaen"/>
          <w:sz w:val="24"/>
          <w:szCs w:val="24"/>
        </w:rPr>
        <w:t>և</w:t>
      </w:r>
      <w:r w:rsidRPr="00834D52">
        <w:rPr>
          <w:rFonts w:ascii="Sylfaen" w:hAnsi="Sylfaen"/>
          <w:sz w:val="24"/>
          <w:szCs w:val="24"/>
        </w:rPr>
        <w:t xml:space="preserve">ափոխման </w:t>
      </w:r>
      <w:r w:rsidR="00C54D75">
        <w:rPr>
          <w:rFonts w:ascii="Sylfaen" w:hAnsi="Sylfaen"/>
          <w:sz w:val="24"/>
          <w:szCs w:val="24"/>
        </w:rPr>
        <w:t>և</w:t>
      </w:r>
      <w:r w:rsidRPr="00834D52">
        <w:rPr>
          <w:rFonts w:ascii="Sylfaen" w:hAnsi="Sylfaen"/>
          <w:sz w:val="24"/>
          <w:szCs w:val="24"/>
        </w:rPr>
        <w:t xml:space="preserve"> դուրսբերման) կարող է կատարվել ինչպես ֆիզիկական, քիմիական կամ կենսաբանական մեթոդների, այնպես էլ հենց ակտիվ նյութի փաստացի </w:t>
      </w:r>
      <w:r w:rsidR="00355C33">
        <w:rPr>
          <w:rFonts w:ascii="Sylfaen" w:hAnsi="Sylfaen"/>
          <w:sz w:val="24"/>
          <w:szCs w:val="24"/>
        </w:rPr>
        <w:t>դեղա</w:t>
      </w:r>
      <w:r w:rsidRPr="00834D52">
        <w:rPr>
          <w:rFonts w:ascii="Sylfaen" w:hAnsi="Sylfaen"/>
          <w:sz w:val="24"/>
          <w:szCs w:val="24"/>
        </w:rPr>
        <w:t xml:space="preserve">դինամիկ ակտիվության ուսումնասիրության միջոցով: </w:t>
      </w:r>
    </w:p>
    <w:p w14:paraId="0F006CE8"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Ակտիվ նյութի բաշխման </w:t>
      </w:r>
      <w:r w:rsidR="00C54D75">
        <w:rPr>
          <w:rFonts w:ascii="Sylfaen" w:hAnsi="Sylfaen"/>
          <w:sz w:val="24"/>
          <w:szCs w:val="24"/>
        </w:rPr>
        <w:t>և</w:t>
      </w:r>
      <w:r w:rsidRPr="00834D52">
        <w:rPr>
          <w:rFonts w:ascii="Sylfaen" w:hAnsi="Sylfaen"/>
          <w:sz w:val="24"/>
          <w:szCs w:val="24"/>
        </w:rPr>
        <w:t xml:space="preserve"> օրգանիզմից դուրսբերման մասին տեղեկատվությունն անհրաժեշտ է բոլոր այն դեպքերում, երբ ակտիվ նյութի բաշխման </w:t>
      </w:r>
      <w:r w:rsidR="00C54D75">
        <w:rPr>
          <w:rFonts w:ascii="Sylfaen" w:hAnsi="Sylfaen"/>
          <w:sz w:val="24"/>
          <w:szCs w:val="24"/>
        </w:rPr>
        <w:t>և</w:t>
      </w:r>
      <w:r w:rsidRPr="00834D52">
        <w:rPr>
          <w:rFonts w:ascii="Sylfaen" w:hAnsi="Sylfaen"/>
          <w:sz w:val="24"/>
          <w:szCs w:val="24"/>
        </w:rPr>
        <w:t xml:space="preserve"> դուրսբերման մասին տվյալները պարտադիր են մարդու համար դեղապատրաստուկի դեղաչափը որոշելու համար, ինչպես նա</w:t>
      </w:r>
      <w:r w:rsidR="00C54D75">
        <w:rPr>
          <w:rFonts w:ascii="Sylfaen" w:hAnsi="Sylfaen"/>
          <w:sz w:val="24"/>
          <w:szCs w:val="24"/>
        </w:rPr>
        <w:t>և</w:t>
      </w:r>
      <w:r w:rsidRPr="00834D52">
        <w:rPr>
          <w:rFonts w:ascii="Sylfaen" w:hAnsi="Sylfaen"/>
          <w:sz w:val="24"/>
          <w:szCs w:val="24"/>
        </w:rPr>
        <w:t xml:space="preserve"> քիմիոթերապ</w:t>
      </w:r>
      <w:r w:rsidR="00C54D75">
        <w:rPr>
          <w:rFonts w:ascii="Sylfaen" w:hAnsi="Sylfaen"/>
          <w:sz w:val="24"/>
          <w:szCs w:val="24"/>
        </w:rPr>
        <w:t>և</w:t>
      </w:r>
      <w:r w:rsidRPr="00834D52">
        <w:rPr>
          <w:rFonts w:ascii="Sylfaen" w:hAnsi="Sylfaen"/>
          <w:sz w:val="24"/>
          <w:szCs w:val="24"/>
        </w:rPr>
        <w:t xml:space="preserve">տիկ նյութերի (հակաբիոտիկների </w:t>
      </w:r>
      <w:r w:rsidR="00C54D75">
        <w:rPr>
          <w:rFonts w:ascii="Sylfaen" w:hAnsi="Sylfaen"/>
          <w:sz w:val="24"/>
          <w:szCs w:val="24"/>
        </w:rPr>
        <w:t>և</w:t>
      </w:r>
      <w:r w:rsidRPr="00834D52">
        <w:rPr>
          <w:rFonts w:ascii="Sylfaen" w:hAnsi="Sylfaen"/>
          <w:sz w:val="24"/>
          <w:szCs w:val="24"/>
        </w:rPr>
        <w:t xml:space="preserve"> այլն) </w:t>
      </w:r>
      <w:r w:rsidR="00C54D75">
        <w:rPr>
          <w:rFonts w:ascii="Sylfaen" w:hAnsi="Sylfaen"/>
          <w:sz w:val="24"/>
          <w:szCs w:val="24"/>
        </w:rPr>
        <w:t>և</w:t>
      </w:r>
      <w:r w:rsidRPr="00834D52">
        <w:rPr>
          <w:rFonts w:ascii="Sylfaen" w:hAnsi="Sylfaen"/>
          <w:sz w:val="24"/>
          <w:szCs w:val="24"/>
        </w:rPr>
        <w:t xml:space="preserve"> այն նյութերի համար, որոնց օգտագործումը կախված է դրանց ոչ </w:t>
      </w:r>
      <w:r w:rsidR="00355C33">
        <w:rPr>
          <w:rFonts w:ascii="Sylfaen" w:hAnsi="Sylfaen"/>
          <w:sz w:val="24"/>
          <w:szCs w:val="24"/>
        </w:rPr>
        <w:t>դեղա</w:t>
      </w:r>
      <w:r w:rsidRPr="00834D52">
        <w:rPr>
          <w:rFonts w:ascii="Sylfaen" w:hAnsi="Sylfaen"/>
          <w:sz w:val="24"/>
          <w:szCs w:val="24"/>
        </w:rPr>
        <w:t xml:space="preserve">դինամիկ էֆեկտներից (օրինակ՝ ախտորոշիչ պատրաստուկներ </w:t>
      </w:r>
      <w:r w:rsidR="00C54D75">
        <w:rPr>
          <w:rFonts w:ascii="Sylfaen" w:hAnsi="Sylfaen"/>
          <w:sz w:val="24"/>
          <w:szCs w:val="24"/>
        </w:rPr>
        <w:t>և</w:t>
      </w:r>
      <w:r w:rsidRPr="00834D52">
        <w:rPr>
          <w:rFonts w:ascii="Sylfaen" w:hAnsi="Sylfaen"/>
          <w:sz w:val="24"/>
          <w:szCs w:val="24"/>
        </w:rPr>
        <w:t xml:space="preserve"> այլն):</w:t>
      </w:r>
    </w:p>
    <w:p w14:paraId="1E5EB5A2" w14:textId="77777777"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Նպատակահարմար է in vitro հետազոտություններն անցկացնել մարդուց ստացված թեստ-համակարգերի օգտագործմամբ, այլ ոչ թե կենդանական ծագման թեստ-համակարգերի օգտագործմամբ (օրինակ՝ ակտիվ նյութի՝ սպիտակուցների հետ կապվելու, մետաբոլիզմի, դեղերի փոխազդեցությունների հետազոտությունը): </w:t>
      </w:r>
    </w:p>
    <w:p w14:paraId="326AC7EB" w14:textId="6A3DDC2D"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անհրաժեշտ է ներկայացնել դեղաբանորեն ակտիվ նյութերի </w:t>
      </w:r>
      <w:r w:rsidR="00355C33">
        <w:rPr>
          <w:rFonts w:ascii="Sylfaen" w:hAnsi="Sylfaen"/>
          <w:sz w:val="24"/>
          <w:szCs w:val="24"/>
        </w:rPr>
        <w:t>դեղա</w:t>
      </w:r>
      <w:r w:rsidRPr="00834D52">
        <w:rPr>
          <w:rFonts w:ascii="Sylfaen" w:hAnsi="Sylfaen"/>
          <w:sz w:val="24"/>
          <w:szCs w:val="24"/>
        </w:rPr>
        <w:t xml:space="preserve">կինետիկ հետազոտությունների արդյունքները: Այն </w:t>
      </w:r>
      <w:r w:rsidR="005F6A31">
        <w:rPr>
          <w:rFonts w:ascii="Sylfaen" w:hAnsi="Sylfaen"/>
          <w:sz w:val="24"/>
          <w:szCs w:val="24"/>
        </w:rPr>
        <w:t>հայտնի</w:t>
      </w:r>
      <w:r w:rsidRPr="00834D52">
        <w:rPr>
          <w:rFonts w:ascii="Sylfaen" w:hAnsi="Sylfaen"/>
          <w:sz w:val="24"/>
          <w:szCs w:val="24"/>
        </w:rPr>
        <w:t xml:space="preserve"> ակտիվ նյութերի նոր ֆիքսված համակցությունների օգտագործման ժամանակ, որոնք արդեն հետազոտվել են դեղամիջոցների շրջանառության մասով Միության իրավունքի մաս կազմող ակտերի դրույթներին համապատասխան, </w:t>
      </w:r>
      <w:r w:rsidR="0056496B">
        <w:rPr>
          <w:rFonts w:ascii="Sylfaen" w:hAnsi="Sylfaen"/>
          <w:sz w:val="24"/>
          <w:szCs w:val="24"/>
        </w:rPr>
        <w:t>դիմումատու</w:t>
      </w:r>
      <w:r w:rsidRPr="00834D52">
        <w:rPr>
          <w:rFonts w:ascii="Sylfaen" w:hAnsi="Sylfaen"/>
          <w:sz w:val="24"/>
          <w:szCs w:val="24"/>
        </w:rPr>
        <w:t xml:space="preserve">ի կողմից անցկացված սեփական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տեղեկատվությունը կարող է բացակայել գրանցման դոսյեից, եթե այդ որոշումը հիմնավորված է թունավորության հետազոտությունների </w:t>
      </w:r>
      <w:r w:rsidR="00C54D75">
        <w:rPr>
          <w:rFonts w:ascii="Sylfaen" w:hAnsi="Sylfaen"/>
          <w:sz w:val="24"/>
          <w:szCs w:val="24"/>
        </w:rPr>
        <w:t>և</w:t>
      </w:r>
      <w:r w:rsidRPr="00834D52">
        <w:rPr>
          <w:rFonts w:ascii="Sylfaen" w:hAnsi="Sylfaen"/>
          <w:sz w:val="24"/>
          <w:szCs w:val="24"/>
        </w:rPr>
        <w:t xml:space="preserve"> փորձարարական թերապ</w:t>
      </w:r>
      <w:r w:rsidR="00C54D75">
        <w:rPr>
          <w:rFonts w:ascii="Sylfaen" w:hAnsi="Sylfaen"/>
          <w:sz w:val="24"/>
          <w:szCs w:val="24"/>
        </w:rPr>
        <w:t>և</w:t>
      </w:r>
      <w:r w:rsidRPr="00834D52">
        <w:rPr>
          <w:rFonts w:ascii="Sylfaen" w:hAnsi="Sylfaen"/>
          <w:sz w:val="24"/>
          <w:szCs w:val="24"/>
        </w:rPr>
        <w:t xml:space="preserve">տիկ հետազոտությունների արդյունքներով: </w:t>
      </w:r>
    </w:p>
    <w:p w14:paraId="45844176" w14:textId="77777777" w:rsidR="006F76EB" w:rsidRPr="00834D52" w:rsidRDefault="00355C33" w:rsidP="00C04974">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կինետիկ հետազոտությունների ծրագիրը պետք է ապահովի մարդու </w:t>
      </w:r>
      <w:r w:rsidR="00C54D75">
        <w:rPr>
          <w:rFonts w:ascii="Sylfaen" w:hAnsi="Sylfaen"/>
          <w:sz w:val="24"/>
          <w:szCs w:val="24"/>
        </w:rPr>
        <w:t>և</w:t>
      </w:r>
      <w:r w:rsidR="006F76EB" w:rsidRPr="00834D52">
        <w:rPr>
          <w:rFonts w:ascii="Sylfaen" w:hAnsi="Sylfaen"/>
          <w:sz w:val="24"/>
          <w:szCs w:val="24"/>
        </w:rPr>
        <w:t xml:space="preserve"> կենդանիների մոտ ստացված </w:t>
      </w:r>
      <w:r>
        <w:rPr>
          <w:rFonts w:ascii="Sylfaen" w:hAnsi="Sylfaen"/>
          <w:sz w:val="24"/>
          <w:szCs w:val="24"/>
        </w:rPr>
        <w:t>դեղա</w:t>
      </w:r>
      <w:r w:rsidR="006F76EB" w:rsidRPr="00834D52">
        <w:rPr>
          <w:rFonts w:ascii="Sylfaen" w:hAnsi="Sylfaen"/>
          <w:sz w:val="24"/>
          <w:szCs w:val="24"/>
        </w:rPr>
        <w:t xml:space="preserve">կինետիկ տվյալների համեմատությունը </w:t>
      </w:r>
      <w:r w:rsidR="00C54D75">
        <w:rPr>
          <w:rFonts w:ascii="Sylfaen" w:hAnsi="Sylfaen"/>
          <w:sz w:val="24"/>
          <w:szCs w:val="24"/>
        </w:rPr>
        <w:t>և</w:t>
      </w:r>
      <w:r w:rsidR="006F76EB" w:rsidRPr="00834D52">
        <w:rPr>
          <w:rFonts w:ascii="Sylfaen" w:hAnsi="Sylfaen"/>
          <w:sz w:val="24"/>
          <w:szCs w:val="24"/>
        </w:rPr>
        <w:t xml:space="preserve"> </w:t>
      </w:r>
      <w:r>
        <w:rPr>
          <w:rFonts w:ascii="Sylfaen" w:hAnsi="Sylfaen"/>
          <w:sz w:val="24"/>
          <w:szCs w:val="24"/>
        </w:rPr>
        <w:t>դեղա</w:t>
      </w:r>
      <w:r w:rsidR="006F76EB" w:rsidRPr="00834D52">
        <w:rPr>
          <w:rFonts w:ascii="Sylfaen" w:hAnsi="Sylfaen"/>
          <w:sz w:val="24"/>
          <w:szCs w:val="24"/>
        </w:rPr>
        <w:t xml:space="preserve">կինետիկայի ուսումնասիրության՝ կենդանիների մոտ ստացված </w:t>
      </w:r>
      <w:r w:rsidR="006F76EB" w:rsidRPr="00834D52">
        <w:rPr>
          <w:rFonts w:ascii="Sylfaen" w:hAnsi="Sylfaen"/>
          <w:sz w:val="24"/>
          <w:szCs w:val="24"/>
        </w:rPr>
        <w:lastRenderedPageBreak/>
        <w:t xml:space="preserve">արդյունքների արտարկումը մարդու վրա: </w:t>
      </w:r>
    </w:p>
    <w:p w14:paraId="7DD02374"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w:t>
      </w:r>
      <w:r w:rsidRPr="00834D52">
        <w:rPr>
          <w:rFonts w:ascii="Sylfaen" w:hAnsi="Sylfaen"/>
          <w:sz w:val="24"/>
          <w:szCs w:val="24"/>
        </w:rPr>
        <w:tab/>
        <w:t>Թունաբանությունը:</w:t>
      </w:r>
    </w:p>
    <w:p w14:paraId="34ED264E" w14:textId="77777777" w:rsidR="006F76EB" w:rsidRPr="00834D52" w:rsidRDefault="006F76EB" w:rsidP="00604C9A">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4.2.3.1.</w:t>
      </w:r>
      <w:r w:rsidRPr="00834D52">
        <w:rPr>
          <w:rFonts w:ascii="Sylfaen" w:hAnsi="Sylfaen"/>
          <w:sz w:val="24"/>
          <w:szCs w:val="24"/>
        </w:rPr>
        <w:tab/>
        <w:t xml:space="preserve">Դեղապատրաստուկի ակտիվ նյութի թունավորությունը մեկանգամյա ներմուծման ժամանակ: </w:t>
      </w:r>
    </w:p>
    <w:p w14:paraId="08E36045"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Մեկանգամյա ներմուծման ժամանակ թունավորությունը հետազոտելու մասով դեղապատրաստուկի գրանցման դոսյեի փաստաթղթերը ներառում են թունավորության այն դրս</w:t>
      </w:r>
      <w:r w:rsidR="00C54D75">
        <w:rPr>
          <w:rFonts w:ascii="Sylfaen" w:hAnsi="Sylfaen"/>
          <w:sz w:val="24"/>
          <w:szCs w:val="24"/>
        </w:rPr>
        <w:t>և</w:t>
      </w:r>
      <w:r w:rsidRPr="00834D52">
        <w:rPr>
          <w:rFonts w:ascii="Sylfaen" w:hAnsi="Sylfaen"/>
          <w:sz w:val="24"/>
          <w:szCs w:val="24"/>
        </w:rPr>
        <w:t xml:space="preserve">որումների որակական </w:t>
      </w:r>
      <w:r w:rsidR="00C54D75">
        <w:rPr>
          <w:rFonts w:ascii="Sylfaen" w:hAnsi="Sylfaen"/>
          <w:sz w:val="24"/>
          <w:szCs w:val="24"/>
        </w:rPr>
        <w:t>և</w:t>
      </w:r>
      <w:r w:rsidRPr="00834D52">
        <w:rPr>
          <w:rFonts w:ascii="Sylfaen" w:hAnsi="Sylfaen"/>
          <w:sz w:val="24"/>
          <w:szCs w:val="24"/>
        </w:rPr>
        <w:t xml:space="preserve"> քանակական վերլուծությունը, որոնք կարող են առաջանալ այն ակտիվ նյութի կամ նյութերի մեկանգամյա ներմուծման հետ</w:t>
      </w:r>
      <w:r w:rsidR="00C54D75">
        <w:rPr>
          <w:rFonts w:ascii="Sylfaen" w:hAnsi="Sylfaen"/>
          <w:sz w:val="24"/>
          <w:szCs w:val="24"/>
        </w:rPr>
        <w:t>և</w:t>
      </w:r>
      <w:r w:rsidRPr="00834D52">
        <w:rPr>
          <w:rFonts w:ascii="Sylfaen" w:hAnsi="Sylfaen"/>
          <w:sz w:val="24"/>
          <w:szCs w:val="24"/>
        </w:rPr>
        <w:t xml:space="preserve">անքով, որոնք դեղապատրաստուկում պարունակվում են նույն այն հարաբերությամբ </w:t>
      </w:r>
      <w:r w:rsidR="00C54D75">
        <w:rPr>
          <w:rFonts w:ascii="Sylfaen" w:hAnsi="Sylfaen"/>
          <w:sz w:val="24"/>
          <w:szCs w:val="24"/>
        </w:rPr>
        <w:t>և</w:t>
      </w:r>
      <w:r w:rsidRPr="00834D52">
        <w:rPr>
          <w:rFonts w:ascii="Sylfaen" w:hAnsi="Sylfaen"/>
          <w:sz w:val="24"/>
          <w:szCs w:val="24"/>
        </w:rPr>
        <w:t xml:space="preserve"> նույն այն ֆիզիկաքիմիական վիճակով, ինչպես </w:t>
      </w:r>
      <w:r w:rsidR="00C54D75">
        <w:rPr>
          <w:rFonts w:ascii="Sylfaen" w:hAnsi="Sylfaen"/>
          <w:sz w:val="24"/>
          <w:szCs w:val="24"/>
        </w:rPr>
        <w:t>և</w:t>
      </w:r>
      <w:r w:rsidRPr="00834D52">
        <w:rPr>
          <w:rFonts w:ascii="Sylfaen" w:hAnsi="Sylfaen"/>
          <w:sz w:val="24"/>
          <w:szCs w:val="24"/>
        </w:rPr>
        <w:t xml:space="preserve"> պատրաստի դեղապատրաստուկում: </w:t>
      </w:r>
    </w:p>
    <w:p w14:paraId="15F0FA0E"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ժամանակ թունավորության հետազոտությունները անհրաժեշտ է անցկացնել Հանձնաժողովի ձեռնարկներին համապատասխան կամ դրանց բացակայության դեպքում՝ անդամ պետությունների համապատասխան ձեռնարկներով: </w:t>
      </w:r>
    </w:p>
    <w:p w14:paraId="58B5AD65"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4.2.3.2.</w:t>
      </w:r>
      <w:r w:rsidRPr="00834D52">
        <w:rPr>
          <w:rFonts w:ascii="Sylfaen" w:hAnsi="Sylfaen"/>
          <w:sz w:val="24"/>
          <w:szCs w:val="24"/>
        </w:rPr>
        <w:tab/>
        <w:t>Թունավորությունը կրկնակի (բազմակի) ներմուծման դեպքում:</w:t>
      </w:r>
    </w:p>
    <w:p w14:paraId="4CC9F261"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հետազոտության մասով գրանցման դոսյեի փաստաթղթերը </w:t>
      </w:r>
    </w:p>
    <w:p w14:paraId="7A644249" w14:textId="52DA2573"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կրկնակի (բազմակի) ներմուծման դեպքում պետք է </w:t>
      </w:r>
      <w:r w:rsidR="005F6A31">
        <w:rPr>
          <w:rFonts w:ascii="Sylfaen" w:hAnsi="Sylfaen"/>
          <w:sz w:val="24"/>
          <w:szCs w:val="24"/>
        </w:rPr>
        <w:t>արտահայտեն</w:t>
      </w:r>
      <w:r w:rsidRPr="00834D52">
        <w:rPr>
          <w:rFonts w:ascii="Sylfaen" w:hAnsi="Sylfaen"/>
          <w:sz w:val="24"/>
          <w:szCs w:val="24"/>
        </w:rPr>
        <w:t xml:space="preserve"> ակտիվ նյութի կամ ակտիվ նյութերի համակցության բազմակի ներմուծման արդյունքում առաջացած ցանկացած ֆիզիոլոգիական </w:t>
      </w:r>
      <w:r w:rsidR="00C54D75">
        <w:rPr>
          <w:rFonts w:ascii="Sylfaen" w:hAnsi="Sylfaen"/>
          <w:sz w:val="24"/>
          <w:szCs w:val="24"/>
        </w:rPr>
        <w:t>և</w:t>
      </w:r>
      <w:r w:rsidRPr="00834D52">
        <w:rPr>
          <w:rFonts w:ascii="Sylfaen" w:hAnsi="Sylfaen"/>
          <w:sz w:val="24"/>
          <w:szCs w:val="24"/>
        </w:rPr>
        <w:t xml:space="preserve"> (կամ) պաթոանատոմիական փոփոխության </w:t>
      </w:r>
      <w:r w:rsidR="009B6AA0">
        <w:rPr>
          <w:rFonts w:ascii="Sylfaen" w:hAnsi="Sylfaen"/>
          <w:sz w:val="24"/>
          <w:szCs w:val="24"/>
        </w:rPr>
        <w:t>հայտնաբերում</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այդ փոփոխությունների՝ դեղաչափից կախված լինելու ձ</w:t>
      </w:r>
      <w:r w:rsidR="00C54D75">
        <w:rPr>
          <w:rFonts w:ascii="Sylfaen" w:hAnsi="Sylfaen"/>
          <w:sz w:val="24"/>
          <w:szCs w:val="24"/>
        </w:rPr>
        <w:t>և</w:t>
      </w:r>
      <w:r w:rsidRPr="00834D52">
        <w:rPr>
          <w:rFonts w:ascii="Sylfaen" w:hAnsi="Sylfaen"/>
          <w:sz w:val="24"/>
          <w:szCs w:val="24"/>
        </w:rPr>
        <w:t>ի սահմանումը:</w:t>
      </w:r>
    </w:p>
    <w:p w14:paraId="734FDC8F"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դոսյեում նախընտրելի է բերել 2 հետազոտությունների անցկացման արդյունքում ստացված տեղեկատվություն՝ կարճաժամկետ</w:t>
      </w:r>
      <w:r w:rsidR="003D12D4" w:rsidRPr="00553BBB">
        <w:rPr>
          <w:rFonts w:ascii="Sylfaen" w:hAnsi="Sylfaen"/>
          <w:sz w:val="24"/>
          <w:szCs w:val="24"/>
        </w:rPr>
        <w:br/>
      </w:r>
      <w:r w:rsidRPr="00834D52">
        <w:rPr>
          <w:rFonts w:ascii="Sylfaen" w:hAnsi="Sylfaen"/>
          <w:sz w:val="24"/>
          <w:szCs w:val="24"/>
        </w:rPr>
        <w:t>(2-4 շաբաթ տ</w:t>
      </w:r>
      <w:r w:rsidR="00C54D75">
        <w:rPr>
          <w:rFonts w:ascii="Sylfaen" w:hAnsi="Sylfaen"/>
          <w:sz w:val="24"/>
          <w:szCs w:val="24"/>
        </w:rPr>
        <w:t>և</w:t>
      </w:r>
      <w:r w:rsidRPr="00834D52">
        <w:rPr>
          <w:rFonts w:ascii="Sylfaen" w:hAnsi="Sylfaen"/>
          <w:sz w:val="24"/>
          <w:szCs w:val="24"/>
        </w:rPr>
        <w:t xml:space="preserve">ողությամբ) </w:t>
      </w:r>
      <w:r w:rsidR="00C54D75">
        <w:rPr>
          <w:rFonts w:ascii="Sylfaen" w:hAnsi="Sylfaen"/>
          <w:sz w:val="24"/>
          <w:szCs w:val="24"/>
        </w:rPr>
        <w:t>և</w:t>
      </w:r>
      <w:r w:rsidRPr="00834D52">
        <w:rPr>
          <w:rFonts w:ascii="Sylfaen" w:hAnsi="Sylfaen"/>
          <w:sz w:val="24"/>
          <w:szCs w:val="24"/>
        </w:rPr>
        <w:t xml:space="preserve"> երկարաժամկետ: </w:t>
      </w:r>
    </w:p>
    <w:p w14:paraId="59CD4578"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Երկարաժամկետ հետազոտության տ</w:t>
      </w:r>
      <w:r w:rsidR="00C54D75">
        <w:rPr>
          <w:rFonts w:ascii="Sylfaen" w:hAnsi="Sylfaen"/>
          <w:sz w:val="24"/>
          <w:szCs w:val="24"/>
        </w:rPr>
        <w:t>և</w:t>
      </w:r>
      <w:r w:rsidRPr="00834D52">
        <w:rPr>
          <w:rFonts w:ascii="Sylfaen" w:hAnsi="Sylfaen"/>
          <w:sz w:val="24"/>
          <w:szCs w:val="24"/>
        </w:rPr>
        <w:t>ողությունը կախված է դեղապատրաստուկի կլինիկական կիրառության տ</w:t>
      </w:r>
      <w:r w:rsidR="00C54D75">
        <w:rPr>
          <w:rFonts w:ascii="Sylfaen" w:hAnsi="Sylfaen"/>
          <w:sz w:val="24"/>
          <w:szCs w:val="24"/>
        </w:rPr>
        <w:t>և</w:t>
      </w:r>
      <w:r w:rsidRPr="00834D52">
        <w:rPr>
          <w:rFonts w:ascii="Sylfaen" w:hAnsi="Sylfaen"/>
          <w:sz w:val="24"/>
          <w:szCs w:val="24"/>
        </w:rPr>
        <w:t xml:space="preserve">ողությունից: </w:t>
      </w:r>
    </w:p>
    <w:p w14:paraId="32EEFF9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Դրա նպատակներն են հնարավոր այն անցանկալի եր</w:t>
      </w:r>
      <w:r w:rsidR="00C54D75">
        <w:rPr>
          <w:rFonts w:ascii="Sylfaen" w:hAnsi="Sylfaen"/>
          <w:sz w:val="24"/>
          <w:szCs w:val="24"/>
        </w:rPr>
        <w:t>և</w:t>
      </w:r>
      <w:r w:rsidRPr="00834D52">
        <w:rPr>
          <w:rFonts w:ascii="Sylfaen" w:hAnsi="Sylfaen"/>
          <w:sz w:val="24"/>
          <w:szCs w:val="24"/>
        </w:rPr>
        <w:t xml:space="preserve">ույթների փորձնական որոշումը </w:t>
      </w:r>
      <w:r w:rsidR="00C54D75">
        <w:rPr>
          <w:rFonts w:ascii="Sylfaen" w:hAnsi="Sylfaen"/>
          <w:sz w:val="24"/>
          <w:szCs w:val="24"/>
        </w:rPr>
        <w:t>և</w:t>
      </w:r>
      <w:r w:rsidRPr="00834D52">
        <w:rPr>
          <w:rFonts w:ascii="Sylfaen" w:hAnsi="Sylfaen"/>
          <w:sz w:val="24"/>
          <w:szCs w:val="24"/>
        </w:rPr>
        <w:t xml:space="preserve"> նկարագրությունը, որոնք պետք է հաշվի առնվեն կլինիկական փորձարկումներ անցկացնելիս:</w:t>
      </w:r>
    </w:p>
    <w:p w14:paraId="15D0D68C" w14:textId="77777777" w:rsidR="006F76EB" w:rsidRPr="00834D52" w:rsidRDefault="006F76EB" w:rsidP="00C04974">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փորձարկումների տ</w:t>
      </w:r>
      <w:r w:rsidR="00C54D75">
        <w:rPr>
          <w:rFonts w:ascii="Sylfaen" w:hAnsi="Sylfaen"/>
          <w:sz w:val="24"/>
          <w:szCs w:val="24"/>
        </w:rPr>
        <w:t>և</w:t>
      </w:r>
      <w:r w:rsidRPr="00834D52">
        <w:rPr>
          <w:rFonts w:ascii="Sylfaen" w:hAnsi="Sylfaen"/>
          <w:sz w:val="24"/>
          <w:szCs w:val="24"/>
        </w:rPr>
        <w:t xml:space="preserve">ողությունը բազմակի ներմուծման դեպքում պետք է համապատասխանի Հանձնաժողովի ձեռնարկներին, իսկ դրանց բացակայության դեպքում՝ անդամ պետությունների համապատասխան ձեռնարկներին: </w:t>
      </w:r>
    </w:p>
    <w:p w14:paraId="07C3684B" w14:textId="77777777" w:rsidR="006F76EB" w:rsidRPr="00834D52" w:rsidRDefault="006F76EB" w:rsidP="00C04974">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4.2.3.3.</w:t>
      </w:r>
      <w:r w:rsidRPr="00834D52">
        <w:rPr>
          <w:rFonts w:ascii="Sylfaen" w:hAnsi="Sylfaen"/>
          <w:sz w:val="24"/>
          <w:szCs w:val="24"/>
        </w:rPr>
        <w:tab/>
        <w:t>Գենոտոքսիկությունը։</w:t>
      </w:r>
    </w:p>
    <w:p w14:paraId="6E84B7E5" w14:textId="3B9E72EE" w:rsidR="006F76EB" w:rsidRPr="00834D52" w:rsidRDefault="006F76EB" w:rsidP="00604C9A">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դեղապատրաստուկի մուտագեն </w:t>
      </w:r>
      <w:r w:rsidR="00C54D75">
        <w:rPr>
          <w:rFonts w:ascii="Sylfaen" w:hAnsi="Sylfaen"/>
          <w:sz w:val="24"/>
          <w:szCs w:val="24"/>
        </w:rPr>
        <w:t>և</w:t>
      </w:r>
      <w:r w:rsidRPr="00834D52">
        <w:rPr>
          <w:rFonts w:ascii="Sylfaen" w:hAnsi="Sylfaen"/>
          <w:sz w:val="24"/>
          <w:szCs w:val="24"/>
        </w:rPr>
        <w:t xml:space="preserve"> կլաստոգեն պոտենցիալի մասին տեղեկատվություն, որի նպատակն այն խախտումների </w:t>
      </w:r>
      <w:r w:rsidR="00F350A1">
        <w:rPr>
          <w:rFonts w:ascii="Sylfaen" w:hAnsi="Sylfaen"/>
          <w:sz w:val="24"/>
          <w:szCs w:val="24"/>
        </w:rPr>
        <w:t>հայտ</w:t>
      </w:r>
      <w:r w:rsidRPr="00834D52">
        <w:rPr>
          <w:rFonts w:ascii="Sylfaen" w:hAnsi="Sylfaen"/>
          <w:sz w:val="24"/>
          <w:szCs w:val="24"/>
        </w:rPr>
        <w:t xml:space="preserve">նաբերումն է, որոնք կարող են առաջացնել ակտիվ նյութը առանձին օրգանիզմի գենետիկական նյութի կամ բջիջների մեջ: Մուտագեն նյութերը վտանգավոր են մարդու առողջության համար, քանի որ մուտագենի ազդեցությունը հանգեցնում է սեռական բջիջներում մուտացիաների </w:t>
      </w:r>
      <w:r w:rsidR="00C54D75">
        <w:rPr>
          <w:rFonts w:ascii="Sylfaen" w:hAnsi="Sylfaen"/>
          <w:sz w:val="24"/>
          <w:szCs w:val="24"/>
        </w:rPr>
        <w:t>և</w:t>
      </w:r>
      <w:r w:rsidRPr="00834D52">
        <w:rPr>
          <w:rFonts w:ascii="Sylfaen" w:hAnsi="Sylfaen"/>
          <w:sz w:val="24"/>
          <w:szCs w:val="24"/>
        </w:rPr>
        <w:t xml:space="preserve"> ժառանգական խախտումների առաջացման, ինչպես նա</w:t>
      </w:r>
      <w:r w:rsidR="00C54D75">
        <w:rPr>
          <w:rFonts w:ascii="Sylfaen" w:hAnsi="Sylfaen"/>
          <w:sz w:val="24"/>
          <w:szCs w:val="24"/>
        </w:rPr>
        <w:t>և</w:t>
      </w:r>
      <w:r w:rsidRPr="00834D52">
        <w:rPr>
          <w:rFonts w:ascii="Sylfaen" w:hAnsi="Sylfaen"/>
          <w:sz w:val="24"/>
          <w:szCs w:val="24"/>
        </w:rPr>
        <w:t xml:space="preserve"> սոմատիկ բջիջներում մուտացիաների, ինչը կարող է հանգեցնել չարորակ նորագոյացությունների զարգացմանը: Այս հետազոտությունները պարտադիր են բոլոր նոր ակտիվ նյութերի համար: </w:t>
      </w:r>
    </w:p>
    <w:p w14:paraId="748FC44C" w14:textId="77777777" w:rsidR="006F76EB" w:rsidRPr="00834D52" w:rsidRDefault="006F76EB" w:rsidP="00604C9A">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4.2.3.4.</w:t>
      </w:r>
      <w:r w:rsidRPr="00834D52">
        <w:rPr>
          <w:rFonts w:ascii="Sylfaen" w:hAnsi="Sylfaen"/>
          <w:sz w:val="24"/>
          <w:szCs w:val="24"/>
        </w:rPr>
        <w:tab/>
        <w:t>Քաղցկեղածնությունը։</w:t>
      </w:r>
    </w:p>
    <w:p w14:paraId="4A6A9E68"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դոսյեում բերվում է տեղեկատվություն՝ դրա քաղցկեղածին պոտենցիալի հետազոտությունների մասին, որոնք սովորաբար անցկացվում են հետ</w:t>
      </w:r>
      <w:r w:rsidR="00C54D75">
        <w:rPr>
          <w:rFonts w:ascii="Sylfaen" w:hAnsi="Sylfaen"/>
          <w:sz w:val="24"/>
          <w:szCs w:val="24"/>
        </w:rPr>
        <w:t>և</w:t>
      </w:r>
      <w:r w:rsidRPr="00834D52">
        <w:rPr>
          <w:rFonts w:ascii="Sylfaen" w:hAnsi="Sylfaen"/>
          <w:sz w:val="24"/>
          <w:szCs w:val="24"/>
        </w:rPr>
        <w:t xml:space="preserve">յալ դեպքերում՝ </w:t>
      </w:r>
    </w:p>
    <w:p w14:paraId="774BCCED" w14:textId="77777777"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անընդհատ կամ պարբերական (ընդհատումներով) կիրառության համար հիվանդի ամբողջ կյանքի ընթացքում, </w:t>
      </w:r>
    </w:p>
    <w:p w14:paraId="32019570" w14:textId="797F67BA"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թունավորության հետազոտությունների անցկացման ժամանակ դեղապատրաստուկի բազմակի ներմուծման դեպքում թեստ-համակարգերում </w:t>
      </w:r>
      <w:r w:rsidR="00FE4A71">
        <w:rPr>
          <w:rFonts w:ascii="Sylfaen" w:hAnsi="Sylfaen"/>
          <w:sz w:val="24"/>
          <w:szCs w:val="24"/>
        </w:rPr>
        <w:t xml:space="preserve">հայտնաբերվել </w:t>
      </w:r>
      <w:r w:rsidRPr="00834D52">
        <w:rPr>
          <w:rFonts w:ascii="Sylfaen" w:hAnsi="Sylfaen"/>
          <w:sz w:val="24"/>
          <w:szCs w:val="24"/>
        </w:rPr>
        <w:t xml:space="preserve"> են ենթադրվող քաղցկեղածին պոտենցիալով փոփոխություններ, </w:t>
      </w:r>
    </w:p>
    <w:p w14:paraId="01CEAE8D" w14:textId="17914B24" w:rsidR="006F76EB" w:rsidRPr="00834D52" w:rsidRDefault="006F76EB" w:rsidP="00C0497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ակտիվ նյութը պատկանում է քիմիական դասին կամ կառուցվածքով մոտ է </w:t>
      </w:r>
      <w:r w:rsidR="005F6A31">
        <w:rPr>
          <w:rFonts w:ascii="Sylfaen" w:hAnsi="Sylfaen"/>
          <w:sz w:val="24"/>
          <w:szCs w:val="24"/>
        </w:rPr>
        <w:t>հայտնի</w:t>
      </w:r>
      <w:r w:rsidRPr="00834D52">
        <w:rPr>
          <w:rFonts w:ascii="Sylfaen" w:hAnsi="Sylfaen"/>
          <w:sz w:val="24"/>
          <w:szCs w:val="24"/>
        </w:rPr>
        <w:t xml:space="preserve"> քաղցկեղածիններին կամ կոկանցերոգեններին (եթե պատրաստուկը պատկանում է միացությունների նույն դեղագործական (քիմիական) դասին կամ ունի համանման կառուցվածք, կամ եթե եզրահանգումը արվել է բազմակի ներմուծման դեպքում՝ թունավորության հետազոտության տվյալների հիման վրա):</w:t>
      </w:r>
    </w:p>
    <w:p w14:paraId="710B07EC" w14:textId="256992D6" w:rsidR="006F76EB" w:rsidRPr="00834D52" w:rsidRDefault="006F76EB" w:rsidP="00C0497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Չկա անհրաժեշտություն անցկացնելու միանշանակ գենոտոքսիկ միացությունների քաղցկեղածին պոտենցիալի հետազոտություններ, քանի որ նշված միացությունները քաղցկեղածին են, մարդկանց համար վտանգ ներկայացնող: Եթե նման դեղապատրաստուկը նախատեսված է հիվանդների երկարատ</w:t>
      </w:r>
      <w:r w:rsidR="00C54D75">
        <w:rPr>
          <w:rFonts w:ascii="Sylfaen" w:hAnsi="Sylfaen"/>
          <w:sz w:val="24"/>
          <w:szCs w:val="24"/>
        </w:rPr>
        <w:t>և</w:t>
      </w:r>
      <w:r w:rsidRPr="00834D52">
        <w:rPr>
          <w:rFonts w:ascii="Sylfaen" w:hAnsi="Sylfaen"/>
          <w:sz w:val="24"/>
          <w:szCs w:val="24"/>
        </w:rPr>
        <w:t xml:space="preserve"> բուժման համար, հնարավոր է, որ պահանջվի երկարաժամկետ հետազոտության անցկացում վաղ օնկոգեն (ուռուցքածին) էֆեկտի </w:t>
      </w:r>
      <w:r w:rsidR="00F350A1">
        <w:rPr>
          <w:rFonts w:ascii="Sylfaen" w:hAnsi="Sylfaen"/>
          <w:sz w:val="24"/>
          <w:szCs w:val="24"/>
        </w:rPr>
        <w:t>հայտ</w:t>
      </w:r>
      <w:r w:rsidRPr="00834D52">
        <w:rPr>
          <w:rFonts w:ascii="Sylfaen" w:hAnsi="Sylfaen"/>
          <w:sz w:val="24"/>
          <w:szCs w:val="24"/>
        </w:rPr>
        <w:t xml:space="preserve">նաբերման համար: </w:t>
      </w:r>
    </w:p>
    <w:p w14:paraId="4F3BEB7C"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4.2.3.5.</w:t>
      </w:r>
      <w:r w:rsidRPr="00834D52">
        <w:rPr>
          <w:rFonts w:ascii="Sylfaen" w:hAnsi="Sylfaen"/>
          <w:sz w:val="24"/>
          <w:szCs w:val="24"/>
        </w:rPr>
        <w:tab/>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w:t>
      </w:r>
    </w:p>
    <w:p w14:paraId="48C5E377"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բերվում է տեղեկատվություն՝ կանանց </w:t>
      </w:r>
      <w:r w:rsidR="00C54D75">
        <w:rPr>
          <w:rFonts w:ascii="Sylfaen" w:hAnsi="Sylfaen"/>
          <w:sz w:val="24"/>
          <w:szCs w:val="24"/>
        </w:rPr>
        <w:t>և</w:t>
      </w:r>
      <w:r w:rsidRPr="00834D52">
        <w:rPr>
          <w:rFonts w:ascii="Sylfaen" w:hAnsi="Sylfaen"/>
          <w:sz w:val="24"/>
          <w:szCs w:val="24"/>
        </w:rPr>
        <w:t xml:space="preserve"> տղամարդկանց մոտ վերարտադրողական գործառույթի հնարավոր խախտումների հետազոտությունների, ինչպես նա</w:t>
      </w:r>
      <w:r w:rsidR="00C54D75">
        <w:rPr>
          <w:rFonts w:ascii="Sylfaen" w:hAnsi="Sylfaen"/>
          <w:sz w:val="24"/>
          <w:szCs w:val="24"/>
        </w:rPr>
        <w:t>և</w:t>
      </w:r>
      <w:r w:rsidRPr="00834D52">
        <w:rPr>
          <w:rFonts w:ascii="Sylfaen" w:hAnsi="Sylfaen"/>
          <w:sz w:val="24"/>
          <w:szCs w:val="24"/>
        </w:rPr>
        <w:t xml:space="preserve"> սերնդի վրա բացասական ազդեցություն թողնելու մասին: </w:t>
      </w:r>
    </w:p>
    <w:p w14:paraId="6AB429E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Նշված հետազոտությունները իրականացվում են համապատասխան փորձարկումների օգնությամբ, որոնք ներառում են կենդանիների սեռահասուն արուների </w:t>
      </w:r>
      <w:r w:rsidR="00C54D75">
        <w:rPr>
          <w:rFonts w:ascii="Sylfaen" w:hAnsi="Sylfaen"/>
          <w:sz w:val="24"/>
          <w:szCs w:val="24"/>
        </w:rPr>
        <w:t>և</w:t>
      </w:r>
      <w:r w:rsidRPr="00834D52">
        <w:rPr>
          <w:rFonts w:ascii="Sylfaen" w:hAnsi="Sylfaen"/>
          <w:sz w:val="24"/>
          <w:szCs w:val="24"/>
        </w:rPr>
        <w:t xml:space="preserve"> էգերի վերարտադրողական գործառույթի վրա դեղապատրաստուկի թողած ազդեցության հետազոտությունները, բեղմնավորումից մինչ</w:t>
      </w:r>
      <w:r w:rsidR="00C54D75">
        <w:rPr>
          <w:rFonts w:ascii="Sylfaen" w:hAnsi="Sylfaen"/>
          <w:sz w:val="24"/>
          <w:szCs w:val="24"/>
        </w:rPr>
        <w:t>և</w:t>
      </w:r>
      <w:r w:rsidRPr="00834D52">
        <w:rPr>
          <w:rFonts w:ascii="Sylfaen" w:hAnsi="Sylfaen"/>
          <w:sz w:val="24"/>
          <w:szCs w:val="24"/>
        </w:rPr>
        <w:t xml:space="preserve"> սեռական հասունություն զարգացման բոլոր փուլերում սերնդի վրա թողած թունավոր </w:t>
      </w:r>
      <w:r w:rsidR="00C54D75">
        <w:rPr>
          <w:rFonts w:ascii="Sylfaen" w:hAnsi="Sylfaen"/>
          <w:sz w:val="24"/>
          <w:szCs w:val="24"/>
        </w:rPr>
        <w:t>և</w:t>
      </w:r>
      <w:r w:rsidRPr="00834D52">
        <w:rPr>
          <w:rFonts w:ascii="Sylfaen" w:hAnsi="Sylfaen"/>
          <w:sz w:val="24"/>
          <w:szCs w:val="24"/>
        </w:rPr>
        <w:t xml:space="preserve"> տերատոգեն ազդեցության հետազոտությունները, ինչպես նա</w:t>
      </w:r>
      <w:r w:rsidR="00C54D75">
        <w:rPr>
          <w:rFonts w:ascii="Sylfaen" w:hAnsi="Sylfaen"/>
          <w:sz w:val="24"/>
          <w:szCs w:val="24"/>
        </w:rPr>
        <w:t>և</w:t>
      </w:r>
      <w:r w:rsidRPr="00834D52">
        <w:rPr>
          <w:rFonts w:ascii="Sylfaen" w:hAnsi="Sylfaen"/>
          <w:sz w:val="24"/>
          <w:szCs w:val="24"/>
        </w:rPr>
        <w:t xml:space="preserve"> թաքնված էֆեկտների հետազոտությունները, երբ հետազոտվող դեղապատրաստուկը ներմուծվել է կենդանիների հղի էգերին:</w:t>
      </w:r>
    </w:p>
    <w:p w14:paraId="1CB7EB9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Մանրամասն հետազոտությունների բացակայությունը դեղապատրաստուկի գրանցման դոսյեի մեջ պետք է համապատասխան կերպով հիմնավորված լինի: </w:t>
      </w:r>
    </w:p>
    <w:p w14:paraId="56D6D36E"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Կախված դեղապատրաստուկի կիրառության ցուցումներից կարող է պահանջվել լրացուցիչ հետազոտությունների անցկացում (օրինակ՝ սերնդի զարգացման վրա ազդեցության հետազոտություններ), երբ հիմնավորված է դեղապատրաստուկի ներմուծումը ոչ սեռահասուն կենդանիներին: </w:t>
      </w:r>
    </w:p>
    <w:p w14:paraId="0A7A044C"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սաղմնապտղային թունավորության հետազոտության մասին, որը, որպես կանոն, անցկացվում է 2 տեսակ կաթնասունների վրա, որոնցից մեկը չպետք է լինի կրծողների դասի ներկայացուցիչ: Նախածննդաբերական </w:t>
      </w:r>
      <w:r w:rsidR="00C54D75">
        <w:rPr>
          <w:rFonts w:ascii="Sylfaen" w:hAnsi="Sylfaen"/>
          <w:sz w:val="24"/>
          <w:szCs w:val="24"/>
        </w:rPr>
        <w:t>և</w:t>
      </w:r>
      <w:r w:rsidRPr="00834D52">
        <w:rPr>
          <w:rFonts w:ascii="Sylfaen" w:hAnsi="Sylfaen"/>
          <w:sz w:val="24"/>
          <w:szCs w:val="24"/>
        </w:rPr>
        <w:t xml:space="preserve"> հետծննդաբերական թունավորության հետազոտությունները պետք է անցկացվեն կենդանիների առնվազն մեկ տեսակի վրա: </w:t>
      </w:r>
    </w:p>
    <w:p w14:paraId="06038937" w14:textId="34D2B580"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F6A31">
        <w:rPr>
          <w:rFonts w:ascii="Sylfaen" w:hAnsi="Sylfaen"/>
          <w:sz w:val="24"/>
          <w:szCs w:val="24"/>
        </w:rPr>
        <w:t>հայտ</w:t>
      </w:r>
      <w:r w:rsidRPr="00834D52">
        <w:rPr>
          <w:rFonts w:ascii="Sylfaen" w:hAnsi="Sylfaen"/>
          <w:sz w:val="24"/>
          <w:szCs w:val="24"/>
        </w:rPr>
        <w:t xml:space="preserve">նի է, որ ակտիվ նյութի նյութափոխանակությունը կենդանիների որոշակի տեսակի մոտ համանման է մարդու մոտ ակտիվ նյութի նյութափոխանակությանը, հետազոտություններ անցկացնելիս նպատակահարմար է օգտագործել հենց այդ տեսակը: </w:t>
      </w:r>
    </w:p>
    <w:p w14:paraId="50B3BFE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Ցանկալի է նա</w:t>
      </w:r>
      <w:r w:rsidR="00C54D75">
        <w:rPr>
          <w:rFonts w:ascii="Sylfaen" w:hAnsi="Sylfaen"/>
          <w:sz w:val="24"/>
          <w:szCs w:val="24"/>
        </w:rPr>
        <w:t>և</w:t>
      </w:r>
      <w:r w:rsidRPr="00834D52">
        <w:rPr>
          <w:rFonts w:ascii="Sylfaen" w:hAnsi="Sylfaen"/>
          <w:sz w:val="24"/>
          <w:szCs w:val="24"/>
        </w:rPr>
        <w:t xml:space="preserve">, որ կենդանիների տեսակներից մեկը լինի հենց այն, որն օգտագործվել է բազմակի ներմուծման դեպքում թունավորության հետազոտություններ անցկացնելիս, </w:t>
      </w:r>
    </w:p>
    <w:p w14:paraId="1AD5A7E2" w14:textId="498058F1"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բովանդակային պլանը սահմանելիս պետք է հաշվի առնվի </w:t>
      </w:r>
      <w:r w:rsidR="0056496B">
        <w:rPr>
          <w:rFonts w:ascii="Sylfaen" w:hAnsi="Sylfaen"/>
          <w:sz w:val="24"/>
          <w:szCs w:val="24"/>
        </w:rPr>
        <w:t>դիմում</w:t>
      </w:r>
      <w:r w:rsidRPr="00834D52">
        <w:rPr>
          <w:rFonts w:ascii="Sylfaen" w:hAnsi="Sylfaen"/>
          <w:sz w:val="24"/>
          <w:szCs w:val="24"/>
        </w:rPr>
        <w:t xml:space="preserve"> ներկայացնելու պահին գիտական գիտելիքի մակարդակը: </w:t>
      </w:r>
    </w:p>
    <w:p w14:paraId="11964DF7" w14:textId="77777777" w:rsidR="006F76EB" w:rsidRPr="00834D52" w:rsidRDefault="006F76EB" w:rsidP="0031596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4.2.3.6.</w:t>
      </w:r>
      <w:r w:rsidRPr="00834D52">
        <w:rPr>
          <w:rFonts w:ascii="Sylfaen" w:hAnsi="Sylfaen"/>
          <w:sz w:val="24"/>
          <w:szCs w:val="24"/>
        </w:rPr>
        <w:tab/>
        <w:t>Տեղային տանելիությունը։</w:t>
      </w:r>
    </w:p>
    <w:p w14:paraId="4E39AD6F" w14:textId="51D4B50A"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հետազոտությունների փաստաթղթերը պետք է պարունակեն տեղեկատվություն՝ տեղային տանելիության վերաբերյալ: Նշված տեղեկատվությունը </w:t>
      </w:r>
      <w:r w:rsidR="005F6A31">
        <w:rPr>
          <w:rFonts w:ascii="Sylfaen" w:hAnsi="Sylfaen"/>
          <w:sz w:val="24"/>
          <w:szCs w:val="24"/>
        </w:rPr>
        <w:t>արտահայտում</w:t>
      </w:r>
      <w:r w:rsidRPr="00834D52">
        <w:rPr>
          <w:rFonts w:ascii="Sylfaen" w:hAnsi="Sylfaen"/>
          <w:sz w:val="24"/>
          <w:szCs w:val="24"/>
        </w:rPr>
        <w:t xml:space="preserve"> է դեղապատրաստուկի (ակտիվ </w:t>
      </w:r>
      <w:r w:rsidR="00C54D75">
        <w:rPr>
          <w:rFonts w:ascii="Sylfaen" w:hAnsi="Sylfaen"/>
          <w:sz w:val="24"/>
          <w:szCs w:val="24"/>
        </w:rPr>
        <w:t>և</w:t>
      </w:r>
      <w:r w:rsidRPr="00834D52">
        <w:rPr>
          <w:rFonts w:ascii="Sylfaen" w:hAnsi="Sylfaen"/>
          <w:sz w:val="24"/>
          <w:szCs w:val="24"/>
        </w:rPr>
        <w:t xml:space="preserve"> օժանդակ նյութերի) տեղային ազդեցության ուսումնասիրումը </w:t>
      </w:r>
      <w:r w:rsidR="00C54D75">
        <w:rPr>
          <w:rFonts w:ascii="Sylfaen" w:hAnsi="Sylfaen"/>
          <w:sz w:val="24"/>
          <w:szCs w:val="24"/>
        </w:rPr>
        <w:t>և</w:t>
      </w:r>
      <w:r w:rsidRPr="00834D52">
        <w:rPr>
          <w:rFonts w:ascii="Sylfaen" w:hAnsi="Sylfaen"/>
          <w:sz w:val="24"/>
          <w:szCs w:val="24"/>
        </w:rPr>
        <w:t xml:space="preserve"> սահմանումն օրգանիզմի հյուսվածքների վրա այն մասերում, որոնք կարող են շփման մեջ մտնել դեղապատրաստուկի հետ կլինիկական կիրառության ժամանակ դրա ներմուծման </w:t>
      </w:r>
      <w:r w:rsidRPr="00834D52">
        <w:rPr>
          <w:rFonts w:ascii="Sylfaen" w:hAnsi="Sylfaen"/>
          <w:sz w:val="24"/>
          <w:szCs w:val="24"/>
        </w:rPr>
        <w:lastRenderedPageBreak/>
        <w:t xml:space="preserve">արդյունքում: </w:t>
      </w:r>
    </w:p>
    <w:p w14:paraId="15BF57B7"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ռազմավարությունը պետք է ուղղված լինի այն բանին, որ ներմուծման ցանկացած մեխանիկական ազդեցություն կամ դեղապատրաստուկի ֆիզիկաքիմիական հատկություններով պայմանավորված ազդեցություն տարբերվի թունավոր կամ </w:t>
      </w:r>
      <w:r w:rsidR="00355C33">
        <w:rPr>
          <w:rFonts w:ascii="Sylfaen" w:hAnsi="Sylfaen"/>
          <w:sz w:val="24"/>
          <w:szCs w:val="24"/>
        </w:rPr>
        <w:t>դեղա</w:t>
      </w:r>
      <w:r w:rsidRPr="00834D52">
        <w:rPr>
          <w:rFonts w:ascii="Sylfaen" w:hAnsi="Sylfaen"/>
          <w:sz w:val="24"/>
          <w:szCs w:val="24"/>
        </w:rPr>
        <w:t xml:space="preserve">դինամիկ էֆեկտից: </w:t>
      </w:r>
    </w:p>
    <w:p w14:paraId="6894B98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պետք է ապացուցված լինի, որ դեղապատրաստուկի տեղային տանելիության հետազոտությունն իրականացվել է մարդու կիրառության համար մշակված դեղապատրաստուկի օգտագործմամբ: Նշված հետազոտության շրջանակներում ստուգիչ խմբի կենդանիներին ներմուծվում է կրիչ (լուծիչ) հետազոտվող դեղապատրաստուկը </w:t>
      </w:r>
      <w:r w:rsidR="00C54D75">
        <w:rPr>
          <w:rFonts w:ascii="Sylfaen" w:hAnsi="Sylfaen"/>
          <w:sz w:val="24"/>
          <w:szCs w:val="24"/>
        </w:rPr>
        <w:t>և</w:t>
      </w:r>
      <w:r w:rsidRPr="00834D52">
        <w:rPr>
          <w:rFonts w:ascii="Sylfaen" w:hAnsi="Sylfaen"/>
          <w:sz w:val="24"/>
          <w:szCs w:val="24"/>
        </w:rPr>
        <w:t xml:space="preserve"> (կամ) օժանդակ նյութերը՝ ներմուծելու համար: Անհրաժեշտության դեպքում հարկ է ներկայացնել տեղեկատվություն՝ դրական հսկողության խումբը </w:t>
      </w:r>
      <w:r w:rsidR="00C54D75">
        <w:rPr>
          <w:rFonts w:ascii="Sylfaen" w:hAnsi="Sylfaen"/>
          <w:sz w:val="24"/>
          <w:szCs w:val="24"/>
        </w:rPr>
        <w:t>և</w:t>
      </w:r>
      <w:r w:rsidRPr="00834D52">
        <w:rPr>
          <w:rFonts w:ascii="Sylfaen" w:hAnsi="Sylfaen"/>
          <w:sz w:val="24"/>
          <w:szCs w:val="24"/>
        </w:rPr>
        <w:t xml:space="preserve"> համեմատության նյութերը լրացուցիչ ներառելու մասին: </w:t>
      </w:r>
    </w:p>
    <w:p w14:paraId="2C9E7D22"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տեղային տանելիության հետազոտության բովանդակային պլանը (կենդանիների տեսակների, տ</w:t>
      </w:r>
      <w:r w:rsidR="00C54D75">
        <w:rPr>
          <w:rFonts w:ascii="Sylfaen" w:hAnsi="Sylfaen"/>
          <w:sz w:val="24"/>
          <w:szCs w:val="24"/>
        </w:rPr>
        <w:t>և</w:t>
      </w:r>
      <w:r w:rsidRPr="00834D52">
        <w:rPr>
          <w:rFonts w:ascii="Sylfaen" w:hAnsi="Sylfaen"/>
          <w:sz w:val="24"/>
          <w:szCs w:val="24"/>
        </w:rPr>
        <w:t xml:space="preserve">ողության, հաճախության, ներմուծման եղանակի, դեղաչափի ընտրությունը) կախված է հետազոտության խնդիրներից </w:t>
      </w:r>
      <w:r w:rsidR="00C54D75">
        <w:rPr>
          <w:rFonts w:ascii="Sylfaen" w:hAnsi="Sylfaen"/>
          <w:sz w:val="24"/>
          <w:szCs w:val="24"/>
        </w:rPr>
        <w:t>և</w:t>
      </w:r>
      <w:r w:rsidRPr="00834D52">
        <w:rPr>
          <w:rFonts w:ascii="Sylfaen" w:hAnsi="Sylfaen"/>
          <w:sz w:val="24"/>
          <w:szCs w:val="24"/>
        </w:rPr>
        <w:t xml:space="preserve"> դեղապատրաստուկի կլինիկական կիրառության ենթադրվող առանձնահատկություններից: Անհրաժեշտության դեպքում ներկայացվում է տեղեկատվություն՝ տեղային վնասվածքների դարձելիության գծով անցկացված հետազոտությունների մասին: </w:t>
      </w:r>
    </w:p>
    <w:p w14:paraId="57335C50"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Կենդանինների վրա հետազոտությունների մասին տեղեկատվությունը կարելի է փոխարինել in vitro վալիդացված մեթոդիկաների օգտագործմամբ ստացված փորձարկումների տվյալներով, եթե հետազոտությունների արդյունքները ունեն համադրելի որակ </w:t>
      </w:r>
      <w:r w:rsidR="00C54D75">
        <w:rPr>
          <w:rFonts w:ascii="Sylfaen" w:hAnsi="Sylfaen"/>
          <w:sz w:val="24"/>
          <w:szCs w:val="24"/>
        </w:rPr>
        <w:t>և</w:t>
      </w:r>
      <w:r w:rsidRPr="00834D52">
        <w:rPr>
          <w:rFonts w:ascii="Sylfaen" w:hAnsi="Sylfaen"/>
          <w:sz w:val="24"/>
          <w:szCs w:val="24"/>
        </w:rPr>
        <w:t xml:space="preserve"> պիտանի են անվտանգության վերլուծության համար: </w:t>
      </w:r>
    </w:p>
    <w:p w14:paraId="6869568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Պետք է գնահատվի տեղային կիրառման քիմիական նյութերի (օրինակ՝ մաշկային, ուղիղաղիքային, հեշտոցային) զգայունացնող պոտենցիալը՝ առնվազն մեկ թեստ-համակարգի օգտագործմամբ (հետազոտություն՝ ծովախոզուկների կամ </w:t>
      </w:r>
      <w:r w:rsidRPr="00834D52">
        <w:rPr>
          <w:rFonts w:ascii="Sylfaen" w:hAnsi="Sylfaen"/>
          <w:sz w:val="24"/>
          <w:szCs w:val="24"/>
        </w:rPr>
        <w:lastRenderedPageBreak/>
        <w:t>տեղային լիմֆատիկ հանգույցների վրա):</w:t>
      </w:r>
    </w:p>
    <w:p w14:paraId="2C2987B5" w14:textId="77777777" w:rsidR="006F76EB" w:rsidRPr="00834D52" w:rsidRDefault="006F76EB" w:rsidP="0031596C">
      <w:pPr>
        <w:tabs>
          <w:tab w:val="left" w:pos="1134"/>
        </w:tabs>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5.</w:t>
      </w:r>
      <w:r w:rsidRPr="00834D52">
        <w:rPr>
          <w:rFonts w:ascii="Sylfaen" w:hAnsi="Sylfaen"/>
          <w:spacing w:val="-4"/>
          <w:sz w:val="24"/>
          <w:szCs w:val="24"/>
        </w:rPr>
        <w:tab/>
        <w:t>5-րդ մոդուլում բերված գրանցման դոսյեի փաստաթղթերին ներկայացվող պահանջները. հաշվետվություններ՝ կլինիկական փորձարկումների մասին</w:t>
      </w:r>
    </w:p>
    <w:p w14:paraId="5047FE99" w14:textId="77777777" w:rsidR="006F76EB" w:rsidRPr="00834D52" w:rsidRDefault="006F76EB" w:rsidP="0031596C">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5-րդ մոդուլի բովանդակությունը:</w:t>
      </w:r>
    </w:p>
    <w:p w14:paraId="74FF173C"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Աղյուսակների տեսքով բոլոր կլինիկական հետազոտությունների (փորձարկումների) ցանկը:</w:t>
      </w:r>
    </w:p>
    <w:p w14:paraId="792B48F6"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հատուկ ուշադրություն դարձնել գրանցման դոսյեում հետ</w:t>
      </w:r>
      <w:r w:rsidR="00C54D75">
        <w:rPr>
          <w:rFonts w:ascii="Sylfaen" w:hAnsi="Sylfaen"/>
          <w:sz w:val="24"/>
          <w:szCs w:val="24"/>
        </w:rPr>
        <w:t>և</w:t>
      </w:r>
      <w:r w:rsidRPr="00834D52">
        <w:rPr>
          <w:rFonts w:ascii="Sylfaen" w:hAnsi="Sylfaen"/>
          <w:sz w:val="24"/>
          <w:szCs w:val="24"/>
        </w:rPr>
        <w:t>յալ տեղեկությունների առկայությանը.</w:t>
      </w:r>
    </w:p>
    <w:p w14:paraId="0C9B026D" w14:textId="77777777"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կլինիկական տեղեկատվություն, որը պետք է թույլ տա ձ</w:t>
      </w:r>
      <w:r w:rsidR="00C54D75">
        <w:rPr>
          <w:rFonts w:ascii="Sylfaen" w:hAnsi="Sylfaen"/>
          <w:sz w:val="24"/>
          <w:szCs w:val="24"/>
        </w:rPr>
        <w:t>և</w:t>
      </w:r>
      <w:r w:rsidRPr="00834D52">
        <w:rPr>
          <w:rFonts w:ascii="Sylfaen" w:hAnsi="Sylfaen"/>
          <w:sz w:val="24"/>
          <w:szCs w:val="24"/>
        </w:rPr>
        <w:t xml:space="preserve">ավորել գիտական տեսանկյունից բավականին հիմնավորված </w:t>
      </w:r>
      <w:r w:rsidR="00C54D75">
        <w:rPr>
          <w:rFonts w:ascii="Sylfaen" w:hAnsi="Sylfaen"/>
          <w:sz w:val="24"/>
          <w:szCs w:val="24"/>
        </w:rPr>
        <w:t>և</w:t>
      </w:r>
      <w:r w:rsidRPr="00834D52">
        <w:rPr>
          <w:rFonts w:ascii="Sylfaen" w:hAnsi="Sylfaen"/>
          <w:sz w:val="24"/>
          <w:szCs w:val="24"/>
        </w:rPr>
        <w:t xml:space="preserve"> արժանահավատ եզրակացություններ՝ դեղապատրաստուկի՝ գրանցման պայմաններին բավարարելու կամ չբավարարելու մասին: Ներկայացման են ենթակա բոլոր կլինիկական փորձարկումների արդյունքները (ինչպես բարենպաստ, այնպես էլ անբարենպաստ (բացասական արդյունքները)).</w:t>
      </w:r>
    </w:p>
    <w:p w14:paraId="31B8C938" w14:textId="52A48AB9"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կլինիկական փորձարկումներին պետք է միշտ նախորդեն համապատասխան դեղաբանական </w:t>
      </w:r>
      <w:r w:rsidR="00C54D75">
        <w:rPr>
          <w:rFonts w:ascii="Sylfaen" w:hAnsi="Sylfaen"/>
          <w:sz w:val="24"/>
          <w:szCs w:val="24"/>
        </w:rPr>
        <w:t>և</w:t>
      </w:r>
      <w:r w:rsidRPr="00834D52">
        <w:rPr>
          <w:rFonts w:ascii="Sylfaen" w:hAnsi="Sylfaen"/>
          <w:sz w:val="24"/>
          <w:szCs w:val="24"/>
        </w:rPr>
        <w:t xml:space="preserve"> թունաբանական այնպիսի հետազոտություններ (կենդանիների վրա անցկացված), որոնց վերաբերյալ տեղեկատվությունը ներկայացվում է գրանցման դոսյեի 4-րդ մոդուլում: Հետազոտողը պետք է ծանոթանա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արդյունքների հիման վրա կատարված եզրակացություններին: Դրա համար </w:t>
      </w:r>
      <w:r w:rsidR="0056496B">
        <w:rPr>
          <w:rFonts w:ascii="Sylfaen" w:hAnsi="Sylfaen"/>
          <w:sz w:val="24"/>
          <w:szCs w:val="24"/>
        </w:rPr>
        <w:t>դիմումատու</w:t>
      </w:r>
      <w:r w:rsidRPr="00834D52">
        <w:rPr>
          <w:rFonts w:ascii="Sylfaen" w:hAnsi="Sylfaen"/>
          <w:sz w:val="24"/>
          <w:szCs w:val="24"/>
        </w:rPr>
        <w:t xml:space="preserve">ն պետք է նրան ներկայացնի առնվազն հետազոտողի բրոշյուրը, որը պարունակում է կլինիկական փորձարկումների ամսաթվի սկզբի դրությամբ իրեն </w:t>
      </w:r>
      <w:r w:rsidR="005F6A31">
        <w:rPr>
          <w:rFonts w:ascii="Sylfaen" w:hAnsi="Sylfaen"/>
          <w:sz w:val="24"/>
          <w:szCs w:val="24"/>
        </w:rPr>
        <w:t>հայտնի</w:t>
      </w:r>
      <w:r w:rsidRPr="00834D52">
        <w:rPr>
          <w:rFonts w:ascii="Sylfaen" w:hAnsi="Sylfaen"/>
          <w:sz w:val="24"/>
          <w:szCs w:val="24"/>
        </w:rPr>
        <w:t xml:space="preserve"> համապատասխան ամբողջ տեղեկատվությունը (ներառյալ քիմիական, դեղաբանական </w:t>
      </w:r>
      <w:r w:rsidR="00C54D75">
        <w:rPr>
          <w:rFonts w:ascii="Sylfaen" w:hAnsi="Sylfaen"/>
          <w:sz w:val="24"/>
          <w:szCs w:val="24"/>
        </w:rPr>
        <w:t>և</w:t>
      </w:r>
      <w:r w:rsidRPr="00834D52">
        <w:rPr>
          <w:rFonts w:ascii="Sylfaen" w:hAnsi="Sylfaen"/>
          <w:sz w:val="24"/>
          <w:szCs w:val="24"/>
        </w:rPr>
        <w:t xml:space="preserve"> կենսաբանական տվյալները, կենդանիների վրա անցկացված թունաբանական, </w:t>
      </w:r>
      <w:r w:rsidR="00355C33">
        <w:rPr>
          <w:rFonts w:ascii="Sylfaen" w:hAnsi="Sylfaen"/>
          <w:sz w:val="24"/>
          <w:szCs w:val="24"/>
        </w:rPr>
        <w:t>դեղա</w:t>
      </w:r>
      <w:r w:rsidRPr="00834D52">
        <w:rPr>
          <w:rFonts w:ascii="Sylfaen" w:hAnsi="Sylfaen"/>
          <w:sz w:val="24"/>
          <w:szCs w:val="24"/>
        </w:rPr>
        <w:t xml:space="preserve">կինետիկ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դինամիկ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պլանավորված հետազոտության բնույթը, ծավալը </w:t>
      </w:r>
      <w:r w:rsidR="00C54D75">
        <w:rPr>
          <w:rFonts w:ascii="Sylfaen" w:hAnsi="Sylfaen"/>
          <w:sz w:val="24"/>
          <w:szCs w:val="24"/>
        </w:rPr>
        <w:t>և</w:t>
      </w:r>
      <w:r w:rsidRPr="00834D52">
        <w:rPr>
          <w:rFonts w:ascii="Sylfaen" w:hAnsi="Sylfaen"/>
          <w:sz w:val="24"/>
          <w:szCs w:val="24"/>
        </w:rPr>
        <w:t xml:space="preserve"> տ</w:t>
      </w:r>
      <w:r w:rsidR="00C54D75">
        <w:rPr>
          <w:rFonts w:ascii="Sylfaen" w:hAnsi="Sylfaen"/>
          <w:sz w:val="24"/>
          <w:szCs w:val="24"/>
        </w:rPr>
        <w:t>և</w:t>
      </w:r>
      <w:r w:rsidRPr="00834D52">
        <w:rPr>
          <w:rFonts w:ascii="Sylfaen" w:hAnsi="Sylfaen"/>
          <w:sz w:val="24"/>
          <w:szCs w:val="24"/>
        </w:rPr>
        <w:t xml:space="preserve">ողությունը հիմնավորելու </w:t>
      </w:r>
      <w:r w:rsidRPr="00834D52">
        <w:rPr>
          <w:rFonts w:ascii="Sylfaen" w:hAnsi="Sylfaen"/>
          <w:sz w:val="24"/>
          <w:szCs w:val="24"/>
        </w:rPr>
        <w:lastRenderedPageBreak/>
        <w:t xml:space="preserve">համար անհրաժեշտ բավարար տվյալներ ներկայացնող նախորդ կլինիկական փորձարկումների արդյունքները): Դեղաբանական </w:t>
      </w:r>
      <w:r w:rsidR="00C54D75">
        <w:rPr>
          <w:rFonts w:ascii="Sylfaen" w:hAnsi="Sylfaen"/>
          <w:sz w:val="24"/>
          <w:szCs w:val="24"/>
        </w:rPr>
        <w:t>և</w:t>
      </w:r>
      <w:r w:rsidRPr="00834D52">
        <w:rPr>
          <w:rFonts w:ascii="Sylfaen" w:hAnsi="Sylfaen"/>
          <w:sz w:val="24"/>
          <w:szCs w:val="24"/>
        </w:rPr>
        <w:t xml:space="preserve"> թունաբանական հետազոտությունների վերաբերյալ ամբողջական հաշվետվությունները պետք է ներկայացվեն ըստ պահանջի: Մարդուց կամ կենդանուց ստացված նյութերի օգտագործման ժամանակ՝ մինչ</w:t>
      </w:r>
      <w:r w:rsidR="00C54D75">
        <w:rPr>
          <w:rFonts w:ascii="Sylfaen" w:hAnsi="Sylfaen"/>
          <w:sz w:val="24"/>
          <w:szCs w:val="24"/>
        </w:rPr>
        <w:t>և</w:t>
      </w:r>
      <w:r w:rsidRPr="00834D52">
        <w:rPr>
          <w:rFonts w:ascii="Sylfaen" w:hAnsi="Sylfaen"/>
          <w:sz w:val="24"/>
          <w:szCs w:val="24"/>
        </w:rPr>
        <w:t xml:space="preserve"> հետազոտությունը սկսելը, պետք է ձեռնարկել վարակիչ ագենտների հնարավոր փոխանցման տեսանկյունից անվտանգությունն ապահովող բոլոր միջոցները.</w:t>
      </w:r>
    </w:p>
    <w:p w14:paraId="190C36F9" w14:textId="77777777" w:rsidR="006F76EB" w:rsidRPr="00834D52" w:rsidRDefault="006F76EB" w:rsidP="0031596C">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գրանցման հավաստագրի իրավատերը պետք է ապահովի կլինիկական հետազոտության հիմնական փաստաթղթերի (այդ թվում՝ անհատական գրանցման քարտերի) պահպանումը ստացված արդյունքների տիրապետողների մոտ (բացառությամբ ստացիոնար (ամբուլատոր) հիվանդների (պացիենտների) բժշկական քարտերի)՝</w:t>
      </w:r>
    </w:p>
    <w:p w14:paraId="04A5A8D5" w14:textId="77777777" w:rsidR="006F76EB" w:rsidRPr="00834D52" w:rsidRDefault="006F76EB" w:rsidP="00616C1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ավարտի կամ դադարեցման օրվանից 15 տարվա ընթացքում.</w:t>
      </w:r>
    </w:p>
    <w:p w14:paraId="624A9399" w14:textId="3BFC6963"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անդամ պետություններում վերջին գրանցման օրվանից 2 տարվա ընթացքում՝ Միությունում հաստատման սպասող կամ քննարկման մեջ գտնվող գրանցման </w:t>
      </w:r>
      <w:r w:rsidR="0056496B">
        <w:rPr>
          <w:rFonts w:ascii="Sylfaen" w:hAnsi="Sylfaen"/>
          <w:sz w:val="24"/>
          <w:szCs w:val="24"/>
        </w:rPr>
        <w:t>դիմում</w:t>
      </w:r>
      <w:r w:rsidR="005F6A31">
        <w:rPr>
          <w:rFonts w:ascii="Sylfaen" w:hAnsi="Sylfaen"/>
          <w:sz w:val="24"/>
          <w:szCs w:val="24"/>
        </w:rPr>
        <w:t>ն</w:t>
      </w:r>
      <w:r w:rsidRPr="00834D52">
        <w:rPr>
          <w:rFonts w:ascii="Sylfaen" w:hAnsi="Sylfaen"/>
          <w:sz w:val="24"/>
          <w:szCs w:val="24"/>
        </w:rPr>
        <w:t>երի բացակայության պայմանով.</w:t>
      </w:r>
    </w:p>
    <w:p w14:paraId="620D3277"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հետազոտվող դեղապատրաստուկի կլինիկական մշակման պաշտոնական դադարեցման օրվանից 2 տարվա ընթացքում:</w:t>
      </w:r>
    </w:p>
    <w:p w14:paraId="2F55EFED" w14:textId="77777777" w:rsidR="006F76EB" w:rsidRPr="00834D52" w:rsidRDefault="006F76EB" w:rsidP="00616C1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Ստացիոնար (ամբուլատոր) հիվանդների (պացիենտների) բժշկական քարտերը պետք է պահպանվեն համապատասխան պայմաններում՝ անդամ պետությունների օրենսդրությամբ նախատեսված ժամկետի ընթացքում, կլինիկական կենտրոնի, ինստիտուտի կամ մասնավոր պրակտիկայի հիմնարկության կողմից թույլատրված առավելագույն ժամանակահատվածին համապատասխան:</w:t>
      </w:r>
    </w:p>
    <w:p w14:paraId="0EE211C5"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Փաստաթղթերը կարող են պահպանվել ավելի երկար ժամկետի ընթացքում, </w:t>
      </w:r>
      <w:r w:rsidRPr="00834D52">
        <w:rPr>
          <w:rFonts w:ascii="Sylfaen" w:hAnsi="Sylfaen"/>
          <w:sz w:val="24"/>
          <w:szCs w:val="24"/>
        </w:rPr>
        <w:lastRenderedPageBreak/>
        <w:t>եթե դա պահանջվում է համապատասխան կանոնակարգող կանոններով կամ հետազոտության հովանավորի հետ համաձայնեցմամբ:</w:t>
      </w:r>
    </w:p>
    <w:p w14:paraId="11D06EA9" w14:textId="77777777" w:rsidR="006F76EB" w:rsidRPr="00834D52" w:rsidRDefault="006F76EB" w:rsidP="00616C15">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Հետազոտության հովանավորը պարտավոր է կլինիկական կենտրոնին, ինստիտուտին կամ մասնավոր պրակտիկայի հիմնարկությանը տեղեկացնել փաստաթղթերի հետագա պահպանման անհրաժեշտության բացակայության մասին:</w:t>
      </w:r>
    </w:p>
    <w:p w14:paraId="043216CD"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հովանավորը կամ տվյալների մեկ այլ սեփականատեր (տիրապետող) պետք է պահպանի հետազոտությանն առնչվող բոլոր մյուս փաստաթղթերը դեղապատրաստուկի գրանցման հավաստագրի գործողության ամբողջ ժամկետի ընթացքում:</w:t>
      </w:r>
    </w:p>
    <w:p w14:paraId="10A15BF1"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Այդ փաստաթղթերը ներառում են՝</w:t>
      </w:r>
    </w:p>
    <w:p w14:paraId="1950D923"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դրա անցկացման պայմաններով մեթոդաբանություն, հետազոտության կազմակերպում (կառավարում), հետազոտվող դեղապատրաստուկի, օգտագործված ստանդարտի (</w:t>
      </w:r>
      <w:r w:rsidR="00D0720C">
        <w:rPr>
          <w:rFonts w:ascii="Sylfaen" w:hAnsi="Sylfaen"/>
          <w:sz w:val="24"/>
          <w:szCs w:val="24"/>
        </w:rPr>
        <w:t>ռեֆերենտ</w:t>
      </w:r>
      <w:r w:rsidRPr="00834D52">
        <w:rPr>
          <w:rFonts w:ascii="Sylfaen" w:hAnsi="Sylfaen"/>
          <w:sz w:val="24"/>
          <w:szCs w:val="24"/>
        </w:rPr>
        <w:t xml:space="preserve"> պատրաստուկի </w:t>
      </w:r>
      <w:r w:rsidR="00C54D75">
        <w:rPr>
          <w:rFonts w:ascii="Sylfaen" w:hAnsi="Sylfaen"/>
          <w:sz w:val="24"/>
          <w:szCs w:val="24"/>
        </w:rPr>
        <w:t>և</w:t>
      </w:r>
      <w:r w:rsidRPr="00834D52">
        <w:rPr>
          <w:rFonts w:ascii="Sylfaen" w:hAnsi="Sylfaen"/>
          <w:sz w:val="24"/>
          <w:szCs w:val="24"/>
        </w:rPr>
        <w:t xml:space="preserve"> (կամ) պլացեբոյի) վերաբերյալ մանրամասն տեղեկատվություն պարունակող արձանագրությունը.</w:t>
      </w:r>
    </w:p>
    <w:p w14:paraId="4DA6CA1D"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ստանդարտ գործառնական ընթացակարգերը.</w:t>
      </w:r>
    </w:p>
    <w:p w14:paraId="12A48F6F"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արձանագրության </w:t>
      </w:r>
      <w:r w:rsidR="00C54D75">
        <w:rPr>
          <w:rFonts w:ascii="Sylfaen" w:hAnsi="Sylfaen"/>
          <w:sz w:val="24"/>
          <w:szCs w:val="24"/>
        </w:rPr>
        <w:t>և</w:t>
      </w:r>
      <w:r w:rsidRPr="00834D52">
        <w:rPr>
          <w:rFonts w:ascii="Sylfaen" w:hAnsi="Sylfaen"/>
          <w:sz w:val="24"/>
          <w:szCs w:val="24"/>
        </w:rPr>
        <w:t xml:space="preserve"> ընթացակարգերի վերաբերյալ բոլոր գրավոր կարծիքները, հետազոտողի բրոշյուրը, յուրաքանչյուր հետազոտության սուբյեկտի անհատական գրանցման քարտը.</w:t>
      </w:r>
    </w:p>
    <w:p w14:paraId="4E1F4115"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ամփոփիչ հաշվետվությունը.</w:t>
      </w:r>
    </w:p>
    <w:p w14:paraId="20109F78"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հավաստագիրը (առկայության դեպքում):</w:t>
      </w:r>
    </w:p>
    <w:p w14:paraId="38C27418"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Եզրափակիչ հաշվետվությունը պետք է պահպանվի հետազոտության հովանավորի կամ նրա իրավահաջորդի կողմից՝ դեղապատրաստուկների գրանցման հավաստագրի գործողության ժամկետի ավարտի օրվանից 5 տարվա ընթացքում: Գրանցման հավաստագրի իրավատերը պետք է լրացուցիչ միջոցներ ձեռնարկի՝ Հանձնաժողովի կողմից հաստատվող՝ Եվրասիական տնտեսական </w:t>
      </w:r>
      <w:r w:rsidRPr="00834D52">
        <w:rPr>
          <w:rFonts w:ascii="Sylfaen" w:hAnsi="Sylfaen"/>
          <w:sz w:val="24"/>
          <w:szCs w:val="24"/>
        </w:rPr>
        <w:lastRenderedPageBreak/>
        <w:t xml:space="preserve">միության պատշաճ կլինիկական գործունեության կանոններին համապատասխան փաստաթղթերի արխիվացման, </w:t>
      </w:r>
      <w:r w:rsidR="00C54D75">
        <w:rPr>
          <w:rFonts w:ascii="Sylfaen" w:hAnsi="Sylfaen"/>
          <w:sz w:val="24"/>
          <w:szCs w:val="24"/>
        </w:rPr>
        <w:t>և</w:t>
      </w:r>
      <w:r w:rsidRPr="00834D52">
        <w:rPr>
          <w:rFonts w:ascii="Sylfaen" w:hAnsi="Sylfaen"/>
          <w:sz w:val="24"/>
          <w:szCs w:val="24"/>
        </w:rPr>
        <w:t xml:space="preserve"> մանրամասն ձեռնարկներ (առաջարկություններ) ներդնելու համար:</w:t>
      </w:r>
    </w:p>
    <w:p w14:paraId="16EC8AB9" w14:textId="77777777" w:rsidR="006F76EB" w:rsidRPr="00834D52" w:rsidRDefault="006F76EB" w:rsidP="00616C15">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Առկա տվյալների սեփականատիրոջ փոփոխման մասին տեղեկատվությունը պետք է ձ</w:t>
      </w:r>
      <w:r w:rsidR="00C54D75">
        <w:rPr>
          <w:rFonts w:ascii="Sylfaen" w:hAnsi="Sylfaen"/>
          <w:sz w:val="24"/>
          <w:szCs w:val="24"/>
        </w:rPr>
        <w:t>և</w:t>
      </w:r>
      <w:r w:rsidRPr="00834D52">
        <w:rPr>
          <w:rFonts w:ascii="Sylfaen" w:hAnsi="Sylfaen"/>
          <w:sz w:val="24"/>
          <w:szCs w:val="24"/>
        </w:rPr>
        <w:t>ակերպվի համապատասխան ձ</w:t>
      </w:r>
      <w:r w:rsidR="00C54D75">
        <w:rPr>
          <w:rFonts w:ascii="Sylfaen" w:hAnsi="Sylfaen"/>
          <w:sz w:val="24"/>
          <w:szCs w:val="24"/>
        </w:rPr>
        <w:t>և</w:t>
      </w:r>
      <w:r w:rsidRPr="00834D52">
        <w:rPr>
          <w:rFonts w:ascii="Sylfaen" w:hAnsi="Sylfaen"/>
          <w:sz w:val="24"/>
          <w:szCs w:val="24"/>
        </w:rPr>
        <w:t xml:space="preserve">ով, տվյալները </w:t>
      </w:r>
      <w:r w:rsidR="00C54D75">
        <w:rPr>
          <w:rFonts w:ascii="Sylfaen" w:hAnsi="Sylfaen"/>
          <w:sz w:val="24"/>
          <w:szCs w:val="24"/>
        </w:rPr>
        <w:t>և</w:t>
      </w:r>
      <w:r w:rsidRPr="00834D52">
        <w:rPr>
          <w:rFonts w:ascii="Sylfaen" w:hAnsi="Sylfaen"/>
          <w:sz w:val="24"/>
          <w:szCs w:val="24"/>
        </w:rPr>
        <w:t xml:space="preserve"> փաստաթղթերը համապատասխան լիազորված մարմինների պահանջով պետք է ժամանակին ներկայացվեն.</w:t>
      </w:r>
    </w:p>
    <w:p w14:paraId="0B92920F" w14:textId="77777777" w:rsidR="006F76EB" w:rsidRPr="00834D52" w:rsidRDefault="006F76EB" w:rsidP="00616C15">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յուրաքանչյուր կլինիկական հետազոտության նկարագրություն պետք է օբյեկտիվ եզրակացություն կազմելու համար անհրաժեշտ բավականաչափ տեղեկատվություն պարունակի՝</w:t>
      </w:r>
    </w:p>
    <w:p w14:paraId="10F9FB6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հետազոտության հիմնավորում, նպատակներ, վիճակագրական պլան </w:t>
      </w:r>
      <w:r w:rsidR="00C54D75">
        <w:rPr>
          <w:rFonts w:ascii="Sylfaen" w:hAnsi="Sylfaen"/>
          <w:sz w:val="24"/>
          <w:szCs w:val="24"/>
        </w:rPr>
        <w:t>և</w:t>
      </w:r>
      <w:r w:rsidRPr="00834D52">
        <w:rPr>
          <w:rFonts w:ascii="Sylfaen" w:hAnsi="Sylfaen"/>
          <w:sz w:val="24"/>
          <w:szCs w:val="24"/>
        </w:rPr>
        <w:t xml:space="preserve"> մեթոդաբանություն՝ դրա անցկացման </w:t>
      </w:r>
      <w:r w:rsidR="00C54D75">
        <w:rPr>
          <w:rFonts w:ascii="Sylfaen" w:hAnsi="Sylfaen"/>
          <w:sz w:val="24"/>
          <w:szCs w:val="24"/>
        </w:rPr>
        <w:t>և</w:t>
      </w:r>
      <w:r w:rsidRPr="00834D52">
        <w:rPr>
          <w:rFonts w:ascii="Sylfaen" w:hAnsi="Sylfaen"/>
          <w:sz w:val="24"/>
          <w:szCs w:val="24"/>
        </w:rPr>
        <w:t xml:space="preserve"> կազմակերպման պայմաններով, </w:t>
      </w:r>
      <w:r w:rsidR="00C54D75">
        <w:rPr>
          <w:rFonts w:ascii="Sylfaen" w:hAnsi="Sylfaen"/>
          <w:sz w:val="24"/>
          <w:szCs w:val="24"/>
        </w:rPr>
        <w:t>և</w:t>
      </w:r>
      <w:r w:rsidRPr="00834D52">
        <w:rPr>
          <w:rFonts w:ascii="Sylfaen" w:hAnsi="Sylfaen"/>
          <w:sz w:val="24"/>
          <w:szCs w:val="24"/>
        </w:rPr>
        <w:t xml:space="preserve"> հետազոտվող դեղապատրաստուկի վերաբերյալ մանրամասն տեղեկատվություն պարունակող արձանագրություն.</w:t>
      </w:r>
    </w:p>
    <w:p w14:paraId="612F645B"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աուդիտ անցնելու մասին հավաստագիր (առկայության դեպքում).</w:t>
      </w:r>
    </w:p>
    <w:p w14:paraId="7229D624"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հետազոտողների ցանկ (կլինիկական հետազոտությունների անցկացման ժամանակ յուրաքանչյուր հետազոտող պետք է հաղորդի իր ազգանունը, հասցեն, զբաղեցրած պաշտոնը, որակավորման տվյալները </w:t>
      </w:r>
      <w:r w:rsidR="00C54D75">
        <w:rPr>
          <w:rFonts w:ascii="Sylfaen" w:hAnsi="Sylfaen"/>
          <w:sz w:val="24"/>
          <w:szCs w:val="24"/>
        </w:rPr>
        <w:t>և</w:t>
      </w:r>
      <w:r w:rsidRPr="00834D52">
        <w:rPr>
          <w:rFonts w:ascii="Sylfaen" w:hAnsi="Sylfaen"/>
          <w:sz w:val="24"/>
          <w:szCs w:val="24"/>
        </w:rPr>
        <w:t xml:space="preserve"> պարտականությունները).</w:t>
      </w:r>
    </w:p>
    <w:p w14:paraId="4A09102C"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հետազոտության անցկացման վայրը.</w:t>
      </w:r>
    </w:p>
    <w:p w14:paraId="58BE53CE"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յուրաքանչյուր առանձին պացիենտի մասին տեղեկատվություն՝ ներառյալ անհատական գրանցման քարտերը.</w:t>
      </w:r>
    </w:p>
    <w:p w14:paraId="18A1EE4A" w14:textId="77777777" w:rsidR="006F76EB" w:rsidRPr="00834D52" w:rsidRDefault="006F76EB" w:rsidP="00616C15">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հետազոտողի կողմից, իսկ բազմակենտրոն հետազոտության դեպքում՝ բոլոր հետազոտողների կամ համակարգողի (գլխավոր հետազոտողի) կողմից ստորագրված վերջնական հաշվետվություն.</w:t>
      </w:r>
    </w:p>
    <w:p w14:paraId="173F484E" w14:textId="4082DB22" w:rsidR="006F76EB" w:rsidRPr="00834D52" w:rsidRDefault="006F76EB" w:rsidP="0031596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 xml:space="preserve">սույն </w:t>
      </w:r>
      <w:r w:rsidRPr="004A3E9D">
        <w:rPr>
          <w:rFonts w:ascii="Sylfaen" w:hAnsi="Sylfaen"/>
          <w:sz w:val="24"/>
          <w:szCs w:val="24"/>
        </w:rPr>
        <w:t>կետի «ա»-«դ»</w:t>
      </w:r>
      <w:r w:rsidRPr="00834D52">
        <w:rPr>
          <w:rFonts w:ascii="Sylfaen" w:hAnsi="Sylfaen"/>
          <w:sz w:val="24"/>
          <w:szCs w:val="24"/>
        </w:rPr>
        <w:t xml:space="preserve"> ենթակետերում թվարկված կլինիկական հետազոտության տվյալները պետք է ներկայացվեն դեղապատրաստուկների </w:t>
      </w:r>
      <w:r w:rsidRPr="00834D52">
        <w:rPr>
          <w:rFonts w:ascii="Sylfaen" w:hAnsi="Sylfaen"/>
          <w:sz w:val="24"/>
          <w:szCs w:val="24"/>
        </w:rPr>
        <w:lastRenderedPageBreak/>
        <w:t xml:space="preserve">գրանցումն իրականացնող լիազորված մարմիններ: Լիազորված մարմինների հետ համաձայնեցմամբ </w:t>
      </w:r>
      <w:r w:rsidR="0056496B">
        <w:rPr>
          <w:rFonts w:ascii="Sylfaen" w:hAnsi="Sylfaen"/>
          <w:sz w:val="24"/>
          <w:szCs w:val="24"/>
        </w:rPr>
        <w:t>դիմումատու</w:t>
      </w:r>
      <w:r w:rsidRPr="00834D52">
        <w:rPr>
          <w:rFonts w:ascii="Sylfaen" w:hAnsi="Sylfaen"/>
          <w:sz w:val="24"/>
          <w:szCs w:val="24"/>
        </w:rPr>
        <w:t>ն իրավասու է չներկայացնելու թվարկված տեղեկությունների մի մասը: Բոլոր փաստաթղթերը պետք է ներկայացվեն անհապաղ՝ լիազորված մարմնի հարցման հիման վրա:</w:t>
      </w:r>
    </w:p>
    <w:p w14:paraId="71C58D62" w14:textId="1C6765C9"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Կլինիկական հետազոտության մասին հաշվետվության մեջ պետք է արտացոլվի հետազոտողի՝ փորձարարական ապացույցների վրա հիմնված կարծիքը սովորական պայմաններում օգտագործելու ժամանակ դեղապատրաստուկի անվտանգության, դեղապատրաստուկի տանելիության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տեղեկատվություն՝ կիրառման ցուցումների </w:t>
      </w:r>
      <w:r w:rsidR="00C54D75">
        <w:rPr>
          <w:rFonts w:ascii="Sylfaen" w:hAnsi="Sylfaen"/>
          <w:sz w:val="24"/>
          <w:szCs w:val="24"/>
        </w:rPr>
        <w:t>և</w:t>
      </w:r>
      <w:r w:rsidRPr="00834D52">
        <w:rPr>
          <w:rFonts w:ascii="Sylfaen" w:hAnsi="Sylfaen"/>
          <w:sz w:val="24"/>
          <w:szCs w:val="24"/>
        </w:rPr>
        <w:t xml:space="preserve"> հակացուցումների, դոզավորման ռեժիմի, թերապիայի շարունակականության, ինչպես նա</w:t>
      </w:r>
      <w:r w:rsidR="00C54D75">
        <w:rPr>
          <w:rFonts w:ascii="Sylfaen" w:hAnsi="Sylfaen"/>
          <w:sz w:val="24"/>
          <w:szCs w:val="24"/>
        </w:rPr>
        <w:t>և</w:t>
      </w:r>
      <w:r w:rsidRPr="00834D52">
        <w:rPr>
          <w:rFonts w:ascii="Sylfaen" w:hAnsi="Sylfaen"/>
          <w:sz w:val="24"/>
          <w:szCs w:val="24"/>
        </w:rPr>
        <w:t xml:space="preserve"> հատուկ նախազգուշական այն միջոցառումների վերաբերյալ, որոնք անհրաժեշտ է ձեռնարկել բուժման ժամանակ </w:t>
      </w:r>
      <w:r w:rsidR="00C54D75">
        <w:rPr>
          <w:rFonts w:ascii="Sylfaen" w:hAnsi="Sylfaen"/>
          <w:sz w:val="24"/>
          <w:szCs w:val="24"/>
        </w:rPr>
        <w:t>և</w:t>
      </w:r>
      <w:r w:rsidRPr="00834D52">
        <w:rPr>
          <w:rFonts w:ascii="Sylfaen" w:hAnsi="Sylfaen"/>
          <w:sz w:val="24"/>
          <w:szCs w:val="24"/>
        </w:rPr>
        <w:t xml:space="preserve"> գերդոզավորման կլինիկական ախտանիշների ի </w:t>
      </w:r>
      <w:r w:rsidR="00F350A1">
        <w:rPr>
          <w:rFonts w:ascii="Sylfaen" w:hAnsi="Sylfaen"/>
          <w:sz w:val="24"/>
          <w:szCs w:val="24"/>
        </w:rPr>
        <w:t>հայտ</w:t>
      </w:r>
      <w:r w:rsidRPr="00834D52">
        <w:rPr>
          <w:rFonts w:ascii="Sylfaen" w:hAnsi="Sylfaen"/>
          <w:sz w:val="24"/>
          <w:szCs w:val="24"/>
        </w:rPr>
        <w:t xml:space="preserve"> գալու դեպքում:</w:t>
      </w:r>
    </w:p>
    <w:p w14:paraId="42CDD985"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Բազմակենտրոն հետազոտության արդյունքների վերաբերյալ հաշվետվության մեջ համակարգող հետազոտողը բազմակենտրոն հետազոտության ժամանակ բոլոր կենտրոնների անունից պետք է նշի հետազոտվող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վերաբերյալ եզրակացությունը.</w:t>
      </w:r>
    </w:p>
    <w:p w14:paraId="6E1E92F6" w14:textId="77777777" w:rsidR="006F76EB" w:rsidRPr="00834D52" w:rsidRDefault="006F76EB" w:rsidP="00DC233B">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հետազոտության յուրաքանչյուր տեսակի մասով կլինիկական դիտարկումները պետք է ընդհանրացված բնույթ կրեն </w:t>
      </w:r>
      <w:r w:rsidR="00C54D75">
        <w:rPr>
          <w:rFonts w:ascii="Sylfaen" w:hAnsi="Sylfaen"/>
          <w:sz w:val="24"/>
          <w:szCs w:val="24"/>
        </w:rPr>
        <w:t>և</w:t>
      </w:r>
      <w:r w:rsidRPr="00834D52">
        <w:rPr>
          <w:rFonts w:ascii="Sylfaen" w:hAnsi="Sylfaen"/>
          <w:sz w:val="24"/>
          <w:szCs w:val="24"/>
        </w:rPr>
        <w:t xml:space="preserve"> ներառեն հետ</w:t>
      </w:r>
      <w:r w:rsidR="00C54D75">
        <w:rPr>
          <w:rFonts w:ascii="Sylfaen" w:hAnsi="Sylfaen"/>
          <w:sz w:val="24"/>
          <w:szCs w:val="24"/>
        </w:rPr>
        <w:t>և</w:t>
      </w:r>
      <w:r w:rsidRPr="00834D52">
        <w:rPr>
          <w:rFonts w:ascii="Sylfaen" w:hAnsi="Sylfaen"/>
          <w:sz w:val="24"/>
          <w:szCs w:val="24"/>
        </w:rPr>
        <w:t>յալ տվյալները.</w:t>
      </w:r>
    </w:p>
    <w:p w14:paraId="25F8EACB"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պատրաստուկներ ստացած սուբյեկտների թիվը </w:t>
      </w:r>
      <w:r w:rsidR="00C54D75">
        <w:rPr>
          <w:rFonts w:ascii="Sylfaen" w:hAnsi="Sylfaen"/>
          <w:sz w:val="24"/>
          <w:szCs w:val="24"/>
        </w:rPr>
        <w:t>և</w:t>
      </w:r>
      <w:r w:rsidRPr="00834D52">
        <w:rPr>
          <w:rFonts w:ascii="Sylfaen" w:hAnsi="Sylfaen"/>
          <w:sz w:val="24"/>
          <w:szCs w:val="24"/>
        </w:rPr>
        <w:t xml:space="preserve"> սեռը.</w:t>
      </w:r>
    </w:p>
    <w:p w14:paraId="5954384C"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հետազոտվող </w:t>
      </w:r>
      <w:r w:rsidR="00C54D75">
        <w:rPr>
          <w:rFonts w:ascii="Sylfaen" w:hAnsi="Sylfaen"/>
          <w:sz w:val="24"/>
          <w:szCs w:val="24"/>
        </w:rPr>
        <w:t>և</w:t>
      </w:r>
      <w:r w:rsidRPr="00834D52">
        <w:rPr>
          <w:rFonts w:ascii="Sylfaen" w:hAnsi="Sylfaen"/>
          <w:sz w:val="24"/>
          <w:szCs w:val="24"/>
        </w:rPr>
        <w:t xml:space="preserve"> ստուգիչ խմբերում պացիենտների ընտրությունը </w:t>
      </w:r>
      <w:r w:rsidR="00C54D75">
        <w:rPr>
          <w:rFonts w:ascii="Sylfaen" w:hAnsi="Sylfaen"/>
          <w:sz w:val="24"/>
          <w:szCs w:val="24"/>
        </w:rPr>
        <w:t>և</w:t>
      </w:r>
      <w:r w:rsidRPr="00834D52">
        <w:rPr>
          <w:rFonts w:ascii="Sylfaen" w:hAnsi="Sylfaen"/>
          <w:sz w:val="24"/>
          <w:szCs w:val="24"/>
        </w:rPr>
        <w:t xml:space="preserve"> ըստ տարիքի բաշխումը.</w:t>
      </w:r>
    </w:p>
    <w:p w14:paraId="0F00B18D" w14:textId="77777777" w:rsidR="006F76EB" w:rsidRPr="00834D52" w:rsidRDefault="006F76EB" w:rsidP="001637C4">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հետազոտությունից վաղաժամկետ դուրս մնացած պացիենտների թիվը </w:t>
      </w:r>
      <w:r w:rsidR="00C54D75">
        <w:rPr>
          <w:rFonts w:ascii="Sylfaen" w:hAnsi="Sylfaen"/>
          <w:sz w:val="24"/>
          <w:szCs w:val="24"/>
        </w:rPr>
        <w:t>և</w:t>
      </w:r>
      <w:r w:rsidRPr="00834D52">
        <w:rPr>
          <w:rFonts w:ascii="Sylfaen" w:hAnsi="Sylfaen"/>
          <w:sz w:val="24"/>
          <w:szCs w:val="24"/>
        </w:rPr>
        <w:t xml:space="preserve"> դրա պատճառները.</w:t>
      </w:r>
    </w:p>
    <w:p w14:paraId="28A81DF4" w14:textId="51E9DC72"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մասին, թե ինչ է տեղի ունեցել ստուգիչ խմբի մասնակիցների հետ վերահսկվող հետազոտությունների՝ վերոնշյալ </w:t>
      </w:r>
      <w:r w:rsidRPr="00834D52">
        <w:rPr>
          <w:rFonts w:ascii="Sylfaen" w:hAnsi="Sylfaen"/>
          <w:sz w:val="24"/>
          <w:szCs w:val="24"/>
        </w:rPr>
        <w:lastRenderedPageBreak/>
        <w:t xml:space="preserve">պայմաններում անցկացվելու դեպքում (չեն ստացել բուժում, ստացել են պլացեբո, ստացել են </w:t>
      </w:r>
      <w:r w:rsidR="005F6A31">
        <w:rPr>
          <w:rFonts w:ascii="Sylfaen" w:hAnsi="Sylfaen"/>
          <w:sz w:val="24"/>
          <w:szCs w:val="24"/>
        </w:rPr>
        <w:t>հայտնի</w:t>
      </w:r>
      <w:r w:rsidRPr="00834D52">
        <w:rPr>
          <w:rFonts w:ascii="Sylfaen" w:hAnsi="Sylfaen"/>
          <w:sz w:val="24"/>
          <w:szCs w:val="24"/>
        </w:rPr>
        <w:t xml:space="preserve"> ազդեցությամբ այլ դեղապատրաստուկ, ստացել են բուժման այլ տեսակ՝ առանց դեղապատրաստուկների կիրառման).</w:t>
      </w:r>
    </w:p>
    <w:p w14:paraId="5491E82A"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նկատվող անցանկալի ռեակցիաների հաճախականությունը.</w:t>
      </w:r>
    </w:p>
    <w:p w14:paraId="7C847AE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բարձր ռիսկի խմբի մեջ մտնող պացիենտների մասին տեղեկություններ (օրինակ՝ տարեց մարդիկ, երեխաներ, հղիներ կամ վերարտադրողական տարիքի կանայք կամ հիվանդներ, որոնց ֆիզիոլոգիական կամ պաթոլոգիական վիճակը հատուկ ուշադրություն է պահանջում).</w:t>
      </w:r>
    </w:p>
    <w:p w14:paraId="016B11F6"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ստացված արդյունքների պարամետրերը կամ գնահատման չափանիշները.</w:t>
      </w:r>
    </w:p>
    <w:p w14:paraId="039CC68A"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արդյունքների վիճակագրական գնահատումը, եթե դա պահանջվում է հետազոտության բովանդակային պլանով, </w:t>
      </w:r>
      <w:r w:rsidR="00C54D75">
        <w:rPr>
          <w:rFonts w:ascii="Sylfaen" w:hAnsi="Sylfaen"/>
          <w:sz w:val="24"/>
          <w:szCs w:val="24"/>
        </w:rPr>
        <w:t>և</w:t>
      </w:r>
      <w:r w:rsidRPr="00834D52">
        <w:rPr>
          <w:rFonts w:ascii="Sylfaen" w:hAnsi="Sylfaen"/>
          <w:sz w:val="24"/>
          <w:szCs w:val="24"/>
        </w:rPr>
        <w:t xml:space="preserve"> տարբեր ազդող գործոններ.</w:t>
      </w:r>
    </w:p>
    <w:p w14:paraId="30794A24"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գրանցման դոսյեում պետք է արտացոլվի հետազոտողի դիտարկումների մասին տեղեկատվությունը, որը վերաբերում է՝</w:t>
      </w:r>
    </w:p>
    <w:p w14:paraId="381E1A4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դադարեցման ժամանակ պացիենտի մոտ առաջացող ընտելանալու, կախվածության կամ դժվարությունների ցանկացած հատկանիշի.</w:t>
      </w:r>
    </w:p>
    <w:p w14:paraId="75E3167B"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այլ դեղապատրաստուկի հետ միաժամանակ ներմուծելիս տեղի ունեցող ցանկացած փոխազդեցության.</w:t>
      </w:r>
    </w:p>
    <w:p w14:paraId="23E2586F"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 պացիենտների հետազոտությունից բացառելու անհրաժեշտությունը սահմանող չափանիշներին.</w:t>
      </w:r>
    </w:p>
    <w:p w14:paraId="3D675598"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հետազոտության ժամանակ կամ հետագա հսկողության ընթացքում արձանագրված մահվան դեպքերին.</w:t>
      </w:r>
    </w:p>
    <w:p w14:paraId="404B75B2" w14:textId="77777777" w:rsidR="006F76EB" w:rsidRPr="00834D52" w:rsidRDefault="006F76EB" w:rsidP="00D55404">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ը)</w:t>
      </w:r>
      <w:r w:rsidRPr="00834D52">
        <w:rPr>
          <w:rFonts w:ascii="Sylfaen" w:hAnsi="Sylfaen"/>
          <w:sz w:val="24"/>
          <w:szCs w:val="24"/>
        </w:rPr>
        <w:tab/>
        <w:t>ակտիվ նյութերի նոր համակցության մասին տեղեկատվությունը պետք</w:t>
      </w:r>
      <w:r w:rsidR="00DC233B" w:rsidRPr="00D55404">
        <w:rPr>
          <w:rFonts w:ascii="Sylfaen" w:hAnsi="Sylfaen"/>
          <w:sz w:val="24"/>
          <w:szCs w:val="24"/>
        </w:rPr>
        <w:t> </w:t>
      </w:r>
      <w:r w:rsidRPr="00834D52">
        <w:rPr>
          <w:rFonts w:ascii="Sylfaen" w:hAnsi="Sylfaen"/>
          <w:sz w:val="24"/>
          <w:szCs w:val="24"/>
        </w:rPr>
        <w:t xml:space="preserve">է նույնական լինի նոր դեղապատրաստուկի մասին տվյալներին, գրանցման դոսյեում անհրաժեշտ է ներառել համակցության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հիմնավորումը.</w:t>
      </w:r>
    </w:p>
    <w:p w14:paraId="29EF0076" w14:textId="77777777" w:rsidR="006F76EB" w:rsidRPr="00834D52" w:rsidRDefault="006F76EB" w:rsidP="00DC233B">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թ)</w:t>
      </w:r>
      <w:r w:rsidRPr="00834D52">
        <w:rPr>
          <w:rFonts w:ascii="Sylfaen" w:hAnsi="Sylfaen"/>
          <w:sz w:val="24"/>
          <w:szCs w:val="24"/>
        </w:rPr>
        <w:tab/>
        <w:t>դեղապատրաստուկի գրանցման դոսյեում սույն կետի «ա» — «ը» ենթակետերում թվարկված տվյալների ամբողջական կամ մասնակի բացակայության դեպքում անհրաժեշտ է ներկայացնել տվյալների բացակայության պատճառի բացատրություն:</w:t>
      </w:r>
    </w:p>
    <w:p w14:paraId="50F17DB1" w14:textId="77777777" w:rsidR="006F76EB" w:rsidRPr="00834D52" w:rsidRDefault="006F76EB" w:rsidP="001637C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կլինիկական հետազոտությունների անցկացման ժամանակ ստացվել են անսպասելի արդյունքներ, անհրաժեշտ է անցկացնել լրացուցիչ 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հետազոտություններ </w:t>
      </w:r>
      <w:r w:rsidR="00C54D75">
        <w:rPr>
          <w:rFonts w:ascii="Sylfaen" w:hAnsi="Sylfaen"/>
          <w:sz w:val="24"/>
          <w:szCs w:val="24"/>
        </w:rPr>
        <w:t>և</w:t>
      </w:r>
      <w:r w:rsidRPr="00834D52">
        <w:rPr>
          <w:rFonts w:ascii="Sylfaen" w:hAnsi="Sylfaen"/>
          <w:sz w:val="24"/>
          <w:szCs w:val="24"/>
        </w:rPr>
        <w:t xml:space="preserve"> ամփոփել ստացված արդյունքները.</w:t>
      </w:r>
    </w:p>
    <w:p w14:paraId="5B6FCC6F" w14:textId="77777777" w:rsidR="006F76EB" w:rsidRPr="00834D52" w:rsidRDefault="006F76EB" w:rsidP="00DC233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ժ)</w:t>
      </w:r>
      <w:r w:rsidRPr="00834D52">
        <w:rPr>
          <w:rFonts w:ascii="Sylfaen" w:hAnsi="Sylfaen"/>
          <w:sz w:val="24"/>
          <w:szCs w:val="24"/>
        </w:rPr>
        <w:tab/>
        <w:t>եթե դեղապատրաստուկը նախատեսված է երկարատ</w:t>
      </w:r>
      <w:r w:rsidR="00C54D75">
        <w:rPr>
          <w:rFonts w:ascii="Sylfaen" w:hAnsi="Sylfaen"/>
          <w:sz w:val="24"/>
          <w:szCs w:val="24"/>
        </w:rPr>
        <w:t>և</w:t>
      </w:r>
      <w:r w:rsidRPr="00834D52">
        <w:rPr>
          <w:rFonts w:ascii="Sylfaen" w:hAnsi="Sylfaen"/>
          <w:sz w:val="24"/>
          <w:szCs w:val="24"/>
        </w:rPr>
        <w:t xml:space="preserve"> օգտագործման համար, դեղապատրաստուկի գրանցման դոսյեում անհրաժեշտ է ներկայացնել դեղաբանական ազդեցության փոփոխությունների նկարագրությունը դեղապատրաստուկի բազմանգամյա օգտագործման արդյունքում, ինչպես նա</w:t>
      </w:r>
      <w:r w:rsidR="00C54D75">
        <w:rPr>
          <w:rFonts w:ascii="Sylfaen" w:hAnsi="Sylfaen"/>
          <w:sz w:val="24"/>
          <w:szCs w:val="24"/>
        </w:rPr>
        <w:t>և</w:t>
      </w:r>
      <w:r w:rsidRPr="00834D52">
        <w:rPr>
          <w:rFonts w:ascii="Sylfaen" w:hAnsi="Sylfaen"/>
          <w:sz w:val="24"/>
          <w:szCs w:val="24"/>
        </w:rPr>
        <w:t xml:space="preserve"> անհրաժեշտ է հիմնավորել երկարատ</w:t>
      </w:r>
      <w:r w:rsidR="00C54D75">
        <w:rPr>
          <w:rFonts w:ascii="Sylfaen" w:hAnsi="Sylfaen"/>
          <w:sz w:val="24"/>
          <w:szCs w:val="24"/>
        </w:rPr>
        <w:t>և</w:t>
      </w:r>
      <w:r w:rsidRPr="00834D52">
        <w:rPr>
          <w:rFonts w:ascii="Sylfaen" w:hAnsi="Sylfaen"/>
          <w:sz w:val="24"/>
          <w:szCs w:val="24"/>
        </w:rPr>
        <w:t xml:space="preserve"> օգտագործման համար դոզավորման ընտրությունը:</w:t>
      </w:r>
    </w:p>
    <w:p w14:paraId="6B02B60F"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Հաշվետվություններ՝ կլինիկական հետազոտությունների (փորձարկումների) մասին:</w:t>
      </w:r>
    </w:p>
    <w:p w14:paraId="620F4154" w14:textId="77777777" w:rsidR="006F76EB" w:rsidRPr="00834D52" w:rsidRDefault="006F76EB" w:rsidP="00DC233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5.3.1.</w:t>
      </w:r>
      <w:r w:rsidRPr="00834D52">
        <w:rPr>
          <w:rFonts w:ascii="Sylfaen" w:hAnsi="Sylfaen"/>
          <w:sz w:val="24"/>
          <w:szCs w:val="24"/>
        </w:rPr>
        <w:tab/>
        <w:t>Հաշվետվություններ՝ կենսադեղագործական հետազոտությունների մասին:</w:t>
      </w:r>
    </w:p>
    <w:p w14:paraId="7E4A124C" w14:textId="77777777" w:rsidR="006F76EB" w:rsidRPr="00834D52" w:rsidRDefault="006F76EB" w:rsidP="001637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կազմում անհրաժեշտ է ներառել հաշվետվություններ՝ կենսամատչելիության, համեմատական կենսամատչելիության, կենսահամարժեքության, in vitro</w:t>
      </w:r>
      <w:r w:rsidRPr="008341C7">
        <w:rPr>
          <w:rFonts w:ascii="Sylfaen" w:hAnsi="Sylfaen"/>
          <w:sz w:val="24"/>
          <w:szCs w:val="24"/>
        </w:rPr>
        <w:t>-</w:t>
      </w:r>
      <w:r w:rsidRPr="00834D52">
        <w:rPr>
          <w:rFonts w:ascii="Sylfaen" w:hAnsi="Sylfaen"/>
          <w:sz w:val="24"/>
          <w:szCs w:val="24"/>
        </w:rPr>
        <w:t xml:space="preserve">in vivo համահարաբերակցության հետազոտության մասին, </w:t>
      </w:r>
      <w:r w:rsidR="00C54D75">
        <w:rPr>
          <w:rFonts w:ascii="Sylfaen" w:hAnsi="Sylfaen"/>
          <w:sz w:val="24"/>
          <w:szCs w:val="24"/>
        </w:rPr>
        <w:t>և</w:t>
      </w:r>
      <w:r w:rsidRPr="00834D52">
        <w:rPr>
          <w:rFonts w:ascii="Sylfaen" w:hAnsi="Sylfaen"/>
          <w:sz w:val="24"/>
          <w:szCs w:val="24"/>
        </w:rPr>
        <w:t xml:space="preserve"> կենսավերլուծական </w:t>
      </w:r>
      <w:r w:rsidR="00C54D75">
        <w:rPr>
          <w:rFonts w:ascii="Sylfaen" w:hAnsi="Sylfaen"/>
          <w:sz w:val="24"/>
          <w:szCs w:val="24"/>
        </w:rPr>
        <w:t>և</w:t>
      </w:r>
      <w:r w:rsidRPr="00834D52">
        <w:rPr>
          <w:rFonts w:ascii="Sylfaen" w:hAnsi="Sylfaen"/>
          <w:sz w:val="24"/>
          <w:szCs w:val="24"/>
        </w:rPr>
        <w:t xml:space="preserve"> վերլուծական մեթոդիկաների նկարագրությունը: Դեղագործական պատրաստուկների կենսահամարժեքությունը ցուցադրելու անհրաժեշտության դեպքում պետք է նշվեն տեղեկություններ՝ դրանց համեմատական կենսամատչելիության անցկացված գնահատման մասին:</w:t>
      </w:r>
    </w:p>
    <w:p w14:paraId="7AACE531" w14:textId="636E2CAD" w:rsidR="006F76EB" w:rsidRPr="00834D52" w:rsidRDefault="006F76EB" w:rsidP="001637C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Բիովեյվեր</w:t>
      </w:r>
      <w:r w:rsidR="004553AB">
        <w:rPr>
          <w:rFonts w:ascii="Sylfaen" w:hAnsi="Sylfaen"/>
          <w:sz w:val="24"/>
          <w:szCs w:val="24"/>
        </w:rPr>
        <w:t xml:space="preserve">ի </w:t>
      </w:r>
      <w:r w:rsidRPr="00834D52">
        <w:rPr>
          <w:rFonts w:ascii="Sylfaen" w:hAnsi="Sylfaen"/>
          <w:sz w:val="24"/>
          <w:szCs w:val="24"/>
        </w:rPr>
        <w:t xml:space="preserve">դեպքում դեղապատրաստուկի գրանցման դոսյեում անհրաժեշտ </w:t>
      </w:r>
      <w:r w:rsidRPr="00834D52">
        <w:rPr>
          <w:rFonts w:ascii="Sylfaen" w:hAnsi="Sylfaen"/>
          <w:sz w:val="24"/>
          <w:szCs w:val="24"/>
        </w:rPr>
        <w:lastRenderedPageBreak/>
        <w:t xml:space="preserve">է ներկայացնել հաշվետվություն՝ in vitro հետազոտությունների անցկացման մասին: Կենսահամարժեքության հետազոտությունների անցկացումը </w:t>
      </w:r>
      <w:r w:rsidR="00C54D75">
        <w:rPr>
          <w:rFonts w:ascii="Sylfaen" w:hAnsi="Sylfaen"/>
          <w:sz w:val="24"/>
          <w:szCs w:val="24"/>
        </w:rPr>
        <w:t>և</w:t>
      </w:r>
      <w:r w:rsidRPr="00834D52">
        <w:rPr>
          <w:rFonts w:ascii="Sylfaen" w:hAnsi="Sylfaen"/>
          <w:sz w:val="24"/>
          <w:szCs w:val="24"/>
        </w:rPr>
        <w:t xml:space="preserve"> գնահատումը կամ կենսահամարժեքության հետազոտություններ չանցկացնելու հիմնավորումը պետք է ներկայացվեն Հանձնաժողովի կողմից հաստատված՝ Եվրասիական տնտեսական միության շրջանակներում դեղապատրաստուկների կենսահամարժեքության հետազոտությունների անցկացման կանոնների պահանջներին համապատասխան:</w:t>
      </w:r>
    </w:p>
    <w:p w14:paraId="55E1851B"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5.3.2.</w:t>
      </w:r>
      <w:r w:rsidRPr="00834D52">
        <w:rPr>
          <w:rFonts w:ascii="Sylfaen" w:hAnsi="Sylfaen"/>
          <w:sz w:val="24"/>
          <w:szCs w:val="24"/>
        </w:rPr>
        <w:tab/>
        <w:t xml:space="preserve">Հաշվետվություններ՝ 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47BC43D6" w14:textId="77777777" w:rsidR="006F76EB" w:rsidRPr="00834D52" w:rsidRDefault="006F76EB" w:rsidP="005E478F">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Մարդուց ստացված կենսանյութերի շարքին են պատկանում մարդուց ստացված սպիտակուցները, բջիջները, հյուսվածքները </w:t>
      </w:r>
      <w:r w:rsidR="00C54D75">
        <w:rPr>
          <w:rFonts w:ascii="Sylfaen" w:hAnsi="Sylfaen"/>
          <w:sz w:val="24"/>
          <w:szCs w:val="24"/>
        </w:rPr>
        <w:t>և</w:t>
      </w:r>
      <w:r w:rsidRPr="00834D52">
        <w:rPr>
          <w:rFonts w:ascii="Sylfaen" w:hAnsi="Sylfaen"/>
          <w:sz w:val="24"/>
          <w:szCs w:val="24"/>
        </w:rPr>
        <w:t xml:space="preserve"> դրանց հետ կապված նյութերը, որոնք օգտագործվում են in vitro կամ in vivo հետազոտությունների անցկացման ժամանակ ակտիվ նյութերի </w:t>
      </w:r>
      <w:r w:rsidR="00355C33">
        <w:rPr>
          <w:rFonts w:ascii="Sylfaen" w:hAnsi="Sylfaen"/>
          <w:sz w:val="24"/>
          <w:szCs w:val="24"/>
        </w:rPr>
        <w:t>դեղա</w:t>
      </w:r>
      <w:r w:rsidRPr="00834D52">
        <w:rPr>
          <w:rFonts w:ascii="Sylfaen" w:hAnsi="Sylfaen"/>
          <w:sz w:val="24"/>
          <w:szCs w:val="24"/>
        </w:rPr>
        <w:t xml:space="preserve">կինետիկ հատկությունների գնահատման համար: Դեղապատրաստուկի գրանցման դոսյեում անհրաժեշտ է պլազմայի սպիտակուցների հետ ակտիվ նյութի կապման, լյարդում նյութափոխանակության </w:t>
      </w:r>
      <w:r w:rsidR="00C54D75">
        <w:rPr>
          <w:rFonts w:ascii="Sylfaen" w:hAnsi="Sylfaen"/>
          <w:sz w:val="24"/>
          <w:szCs w:val="24"/>
        </w:rPr>
        <w:t>և</w:t>
      </w:r>
      <w:r w:rsidRPr="00834D52">
        <w:rPr>
          <w:rFonts w:ascii="Sylfaen" w:hAnsi="Sylfaen"/>
          <w:sz w:val="24"/>
          <w:szCs w:val="24"/>
        </w:rPr>
        <w:t xml:space="preserve"> ակտիվ նյութի փոխազդեցության հետազոտության, ինչպես նա</w:t>
      </w:r>
      <w:r w:rsidR="00C54D75">
        <w:rPr>
          <w:rFonts w:ascii="Sylfaen" w:hAnsi="Sylfaen"/>
          <w:sz w:val="24"/>
          <w:szCs w:val="24"/>
        </w:rPr>
        <w:t>և</w:t>
      </w:r>
      <w:r w:rsidRPr="00834D52">
        <w:rPr>
          <w:rFonts w:ascii="Sylfaen" w:hAnsi="Sylfaen"/>
          <w:sz w:val="24"/>
          <w:szCs w:val="24"/>
        </w:rPr>
        <w:t xml:space="preserve"> մարդուց ստացված այլ կենսանյութերի օգտագործմամբ հետազոտության մասին հաշվետվություններ ներկայացնել:</w:t>
      </w:r>
    </w:p>
    <w:p w14:paraId="1C833938"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5.3.3.</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կինետիկ հետազոտությունների վերաբերյալ.</w:t>
      </w:r>
    </w:p>
    <w:p w14:paraId="7136CFF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դոսյեում անհրաժեշտ է նկարագրել հետ</w:t>
      </w:r>
      <w:r w:rsidR="00C54D75">
        <w:rPr>
          <w:rFonts w:ascii="Sylfaen" w:hAnsi="Sylfaen"/>
          <w:sz w:val="24"/>
          <w:szCs w:val="24"/>
        </w:rPr>
        <w:t>և</w:t>
      </w:r>
      <w:r w:rsidRPr="00834D52">
        <w:rPr>
          <w:rFonts w:ascii="Sylfaen" w:hAnsi="Sylfaen"/>
          <w:sz w:val="24"/>
          <w:szCs w:val="24"/>
        </w:rPr>
        <w:t xml:space="preserve">յալ </w:t>
      </w:r>
      <w:r w:rsidR="00355C33">
        <w:rPr>
          <w:rFonts w:ascii="Sylfaen" w:hAnsi="Sylfaen"/>
          <w:sz w:val="24"/>
          <w:szCs w:val="24"/>
        </w:rPr>
        <w:t>դեղա</w:t>
      </w:r>
      <w:r w:rsidRPr="00834D52">
        <w:rPr>
          <w:rFonts w:ascii="Sylfaen" w:hAnsi="Sylfaen"/>
          <w:sz w:val="24"/>
          <w:szCs w:val="24"/>
        </w:rPr>
        <w:t>կինետիկ բնութագրերը.</w:t>
      </w:r>
    </w:p>
    <w:p w14:paraId="5ED5208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կլանում (արագության </w:t>
      </w:r>
      <w:r w:rsidR="00C54D75">
        <w:rPr>
          <w:rFonts w:ascii="Sylfaen" w:hAnsi="Sylfaen"/>
          <w:sz w:val="24"/>
          <w:szCs w:val="24"/>
        </w:rPr>
        <w:t>և</w:t>
      </w:r>
      <w:r w:rsidRPr="00834D52">
        <w:rPr>
          <w:rFonts w:ascii="Sylfaen" w:hAnsi="Sylfaen"/>
          <w:sz w:val="24"/>
          <w:szCs w:val="24"/>
        </w:rPr>
        <w:t xml:space="preserve"> աստիճանի նշումով).</w:t>
      </w:r>
    </w:p>
    <w:p w14:paraId="314DC72A"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բաշխում.</w:t>
      </w:r>
    </w:p>
    <w:p w14:paraId="0FDE743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նյութափոխանակություն.</w:t>
      </w:r>
    </w:p>
    <w:p w14:paraId="641D59A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դուրսբերում:</w:t>
      </w:r>
    </w:p>
    <w:p w14:paraId="5504C57D" w14:textId="77777777" w:rsidR="006F76EB" w:rsidRPr="00834D52" w:rsidRDefault="006F76EB" w:rsidP="005E478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 է ներկայացնել կլինիկապես կար</w:t>
      </w:r>
      <w:r w:rsidR="00C54D75">
        <w:rPr>
          <w:rFonts w:ascii="Sylfaen" w:hAnsi="Sylfaen"/>
          <w:sz w:val="24"/>
          <w:szCs w:val="24"/>
        </w:rPr>
        <w:t>և</w:t>
      </w:r>
      <w:r w:rsidRPr="00834D52">
        <w:rPr>
          <w:rFonts w:ascii="Sylfaen" w:hAnsi="Sylfaen"/>
          <w:sz w:val="24"/>
          <w:szCs w:val="24"/>
        </w:rPr>
        <w:t xml:space="preserve">որ բնութագրերի (ներառյալ կինետիկ տվյալների նշանակությունը ռիսկի խմբերից պացիենտների համար դեղապատրաստուկի դոզավորման ռեժիմը որոշելու ժամանակ) </w:t>
      </w:r>
      <w:r w:rsidR="00C54D75">
        <w:rPr>
          <w:rFonts w:ascii="Sylfaen" w:hAnsi="Sylfaen"/>
          <w:sz w:val="24"/>
          <w:szCs w:val="24"/>
        </w:rPr>
        <w:t>և</w:t>
      </w:r>
      <w:r w:rsidRPr="00834D52">
        <w:rPr>
          <w:rFonts w:ascii="Sylfaen" w:hAnsi="Sylfaen"/>
          <w:sz w:val="24"/>
          <w:szCs w:val="24"/>
        </w:rPr>
        <w:t xml:space="preserve"> նախակլինիկական հետազոտությունների անցկացման ժամանակ օգտագործված մարդու </w:t>
      </w:r>
      <w:r w:rsidR="00C54D75">
        <w:rPr>
          <w:rFonts w:ascii="Sylfaen" w:hAnsi="Sylfaen"/>
          <w:sz w:val="24"/>
          <w:szCs w:val="24"/>
        </w:rPr>
        <w:t>և</w:t>
      </w:r>
      <w:r w:rsidRPr="00834D52">
        <w:rPr>
          <w:rFonts w:ascii="Sylfaen" w:hAnsi="Sylfaen"/>
          <w:sz w:val="24"/>
          <w:szCs w:val="24"/>
        </w:rPr>
        <w:t xml:space="preserve"> կենդանիների տեսակների միջ</w:t>
      </w:r>
      <w:r w:rsidR="00C54D75">
        <w:rPr>
          <w:rFonts w:ascii="Sylfaen" w:hAnsi="Sylfaen"/>
          <w:sz w:val="24"/>
          <w:szCs w:val="24"/>
        </w:rPr>
        <w:t>և</w:t>
      </w:r>
      <w:r w:rsidRPr="00834D52">
        <w:rPr>
          <w:rFonts w:ascii="Sylfaen" w:hAnsi="Sylfaen"/>
          <w:sz w:val="24"/>
          <w:szCs w:val="24"/>
        </w:rPr>
        <w:t xml:space="preserve"> տարբերությունների նկարագրությունը:</w:t>
      </w:r>
    </w:p>
    <w:p w14:paraId="33192F3E"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բացի կլինիկական հետազոտությունների ժամանակ փորձանմուշների պատահական ընտրության վրա հիմնված պոպուլյացիոն </w:t>
      </w:r>
      <w:r w:rsidR="00355C33">
        <w:rPr>
          <w:rFonts w:ascii="Sylfaen" w:hAnsi="Sylfaen"/>
          <w:sz w:val="24"/>
          <w:szCs w:val="24"/>
        </w:rPr>
        <w:t>դեղա</w:t>
      </w:r>
      <w:r w:rsidRPr="00834D52">
        <w:rPr>
          <w:rFonts w:ascii="Sylfaen" w:hAnsi="Sylfaen"/>
          <w:sz w:val="24"/>
          <w:szCs w:val="24"/>
        </w:rPr>
        <w:t xml:space="preserve">կինետիկայի վերլուծության դեպքում զգալի քանակությամբ փորձանմուշների օգտագործմամբ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հետազոտությունների մասին տեղեկությունների, կարող է տեղեկատվություն բերվել դեղաչափի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պարամետրերի (ռեակցիայի) արժեքների միջ</w:t>
      </w:r>
      <w:r w:rsidR="00C54D75">
        <w:rPr>
          <w:rFonts w:ascii="Sylfaen" w:hAnsi="Sylfaen"/>
          <w:sz w:val="24"/>
          <w:szCs w:val="24"/>
        </w:rPr>
        <w:t>և</w:t>
      </w:r>
      <w:r w:rsidRPr="00834D52">
        <w:rPr>
          <w:rFonts w:ascii="Sylfaen" w:hAnsi="Sylfaen"/>
          <w:sz w:val="24"/>
          <w:szCs w:val="24"/>
        </w:rPr>
        <w:t xml:space="preserve"> փոխադարձ կապի փոփոխականության վրա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մասին:</w:t>
      </w:r>
    </w:p>
    <w:p w14:paraId="68362767"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հաշվետվություններ՝ </w:t>
      </w:r>
      <w:r w:rsidR="00355C33">
        <w:rPr>
          <w:rFonts w:ascii="Sylfaen" w:hAnsi="Sylfaen"/>
          <w:sz w:val="24"/>
          <w:szCs w:val="24"/>
        </w:rPr>
        <w:t>դեղա</w:t>
      </w:r>
      <w:r w:rsidRPr="00834D52">
        <w:rPr>
          <w:rFonts w:ascii="Sylfaen" w:hAnsi="Sylfaen"/>
          <w:sz w:val="24"/>
          <w:szCs w:val="24"/>
        </w:rPr>
        <w:t xml:space="preserve">կինետիկայի հետազոտությունների </w:t>
      </w:r>
      <w:r w:rsidR="00C54D75">
        <w:rPr>
          <w:rFonts w:ascii="Sylfaen" w:hAnsi="Sylfaen"/>
          <w:sz w:val="24"/>
          <w:szCs w:val="24"/>
        </w:rPr>
        <w:t>և</w:t>
      </w:r>
      <w:r w:rsidRPr="00834D52">
        <w:rPr>
          <w:rFonts w:ascii="Sylfaen" w:hAnsi="Sylfaen"/>
          <w:sz w:val="24"/>
          <w:szCs w:val="24"/>
        </w:rPr>
        <w:t xml:space="preserve"> առողջ կամավորների </w:t>
      </w:r>
      <w:r w:rsidR="00C54D75">
        <w:rPr>
          <w:rFonts w:ascii="Sylfaen" w:hAnsi="Sylfaen"/>
          <w:sz w:val="24"/>
          <w:szCs w:val="24"/>
        </w:rPr>
        <w:t>և</w:t>
      </w:r>
      <w:r w:rsidRPr="00834D52">
        <w:rPr>
          <w:rFonts w:ascii="Sylfaen" w:hAnsi="Sylfaen"/>
          <w:sz w:val="24"/>
          <w:szCs w:val="24"/>
        </w:rPr>
        <w:t xml:space="preserve"> պացիենտների կողմից դեղապատրաստուկի տանելիության առաջին հետազոտությունների մասին, հաշվետվություններ՝ ներքին </w:t>
      </w:r>
      <w:r w:rsidR="00C54D75">
        <w:rPr>
          <w:rFonts w:ascii="Sylfaen" w:hAnsi="Sylfaen"/>
          <w:sz w:val="24"/>
          <w:szCs w:val="24"/>
        </w:rPr>
        <w:t>և</w:t>
      </w:r>
      <w:r w:rsidRPr="00834D52">
        <w:rPr>
          <w:rFonts w:ascii="Sylfaen" w:hAnsi="Sylfaen"/>
          <w:sz w:val="24"/>
          <w:szCs w:val="24"/>
        </w:rPr>
        <w:t xml:space="preserve"> արտաքին գործոնների ազդեցության գնահատման նպատակով </w:t>
      </w:r>
      <w:r w:rsidR="00355C33">
        <w:rPr>
          <w:rFonts w:ascii="Sylfaen" w:hAnsi="Sylfaen"/>
          <w:sz w:val="24"/>
          <w:szCs w:val="24"/>
        </w:rPr>
        <w:t>դեղա</w:t>
      </w:r>
      <w:r w:rsidRPr="00834D52">
        <w:rPr>
          <w:rFonts w:ascii="Sylfaen" w:hAnsi="Sylfaen"/>
          <w:sz w:val="24"/>
          <w:szCs w:val="24"/>
        </w:rPr>
        <w:t>կինետիկայի ուսումնասիրության մասին, ինչպես նա</w:t>
      </w:r>
      <w:r w:rsidR="00C54D75">
        <w:rPr>
          <w:rFonts w:ascii="Sylfaen" w:hAnsi="Sylfaen"/>
          <w:sz w:val="24"/>
          <w:szCs w:val="24"/>
        </w:rPr>
        <w:t>և</w:t>
      </w:r>
      <w:r w:rsidRPr="00834D52">
        <w:rPr>
          <w:rFonts w:ascii="Sylfaen" w:hAnsi="Sylfaen"/>
          <w:sz w:val="24"/>
          <w:szCs w:val="24"/>
        </w:rPr>
        <w:t xml:space="preserve"> հաշվետվություններ՝ պոպուլյացիոն </w:t>
      </w:r>
      <w:r w:rsidR="00355C33">
        <w:rPr>
          <w:rFonts w:ascii="Sylfaen" w:hAnsi="Sylfaen"/>
          <w:sz w:val="24"/>
          <w:szCs w:val="24"/>
        </w:rPr>
        <w:t>դեղա</w:t>
      </w:r>
      <w:r w:rsidRPr="00834D52">
        <w:rPr>
          <w:rFonts w:ascii="Sylfaen" w:hAnsi="Sylfaen"/>
          <w:sz w:val="24"/>
          <w:szCs w:val="24"/>
        </w:rPr>
        <w:t>կինետիկայի մասին.</w:t>
      </w:r>
    </w:p>
    <w:p w14:paraId="00927802" w14:textId="77777777" w:rsidR="006F76EB" w:rsidRPr="00834D52" w:rsidRDefault="006F76EB" w:rsidP="005E478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դեղապատրաստուկը կիրառվում է այլ դեղապատրաստուկների հետ միասին, դեղապատրաստուկի գրանցման դոսյեում պետք է ներկայացված լինի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ներկայացնել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կինետիկ փոխազդեցության ուսումնասիրության վերաբերյալ:</w:t>
      </w:r>
    </w:p>
    <w:p w14:paraId="0E12932F" w14:textId="77777777" w:rsidR="006F76EB" w:rsidRPr="00834D52" w:rsidRDefault="006F76EB" w:rsidP="00D55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5.3.4.</w:t>
      </w:r>
      <w:r w:rsidRPr="00834D52">
        <w:rPr>
          <w:rFonts w:ascii="Sylfaen" w:hAnsi="Sylfaen"/>
          <w:sz w:val="24"/>
          <w:szCs w:val="24"/>
        </w:rPr>
        <w:tab/>
        <w:t xml:space="preserve">Հաշվետվություններ՝ մարդու մոտ </w:t>
      </w:r>
      <w:r w:rsidR="00355C33">
        <w:rPr>
          <w:rFonts w:ascii="Sylfaen" w:hAnsi="Sylfaen"/>
          <w:sz w:val="24"/>
          <w:szCs w:val="24"/>
        </w:rPr>
        <w:t>դեղա</w:t>
      </w:r>
      <w:r w:rsidRPr="00834D52">
        <w:rPr>
          <w:rFonts w:ascii="Sylfaen" w:hAnsi="Sylfaen"/>
          <w:sz w:val="24"/>
          <w:szCs w:val="24"/>
        </w:rPr>
        <w:t>դինամիկ հետազոտությունների վերաբերյալ.</w:t>
      </w:r>
    </w:p>
    <w:p w14:paraId="79A53D3A" w14:textId="77777777" w:rsidR="006F76EB" w:rsidRPr="00834D52" w:rsidRDefault="006F76EB" w:rsidP="00D55404">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ա)</w:t>
      </w:r>
      <w:r w:rsidRPr="00834D52">
        <w:rPr>
          <w:rFonts w:ascii="Sylfaen" w:hAnsi="Sylfaen"/>
          <w:sz w:val="24"/>
          <w:szCs w:val="24"/>
        </w:rPr>
        <w:tab/>
        <w:t xml:space="preserve">գրանցման դոսյեում անհրաժեշտ է հաստատել </w:t>
      </w:r>
      <w:r w:rsidR="00355C33">
        <w:rPr>
          <w:rFonts w:ascii="Sylfaen" w:hAnsi="Sylfaen"/>
          <w:sz w:val="24"/>
          <w:szCs w:val="24"/>
        </w:rPr>
        <w:t>դեղա</w:t>
      </w:r>
      <w:r w:rsidRPr="00834D52">
        <w:rPr>
          <w:rFonts w:ascii="Sylfaen" w:hAnsi="Sylfaen"/>
          <w:sz w:val="24"/>
          <w:szCs w:val="24"/>
        </w:rPr>
        <w:t xml:space="preserve">դինամիկ ազդեցության </w:t>
      </w:r>
      <w:r w:rsidR="00C54D75">
        <w:rPr>
          <w:rFonts w:ascii="Sylfaen" w:hAnsi="Sylfaen"/>
          <w:sz w:val="24"/>
          <w:szCs w:val="24"/>
        </w:rPr>
        <w:t>և</w:t>
      </w:r>
      <w:r w:rsidRPr="00834D52">
        <w:rPr>
          <w:rFonts w:ascii="Sylfaen" w:hAnsi="Sylfaen"/>
          <w:sz w:val="24"/>
          <w:szCs w:val="24"/>
        </w:rPr>
        <w:t xml:space="preserve"> արդյունավետության համահարաբերակցությունը, ներառյալ՝</w:t>
      </w:r>
    </w:p>
    <w:p w14:paraId="532AC687" w14:textId="77777777" w:rsidR="006F76EB" w:rsidRPr="00834D52" w:rsidRDefault="006F76EB" w:rsidP="005E478F">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«դեղաչափ-ազդեցություն» կախվածությունը </w:t>
      </w:r>
      <w:r w:rsidR="00C54D75">
        <w:rPr>
          <w:rFonts w:ascii="Sylfaen" w:hAnsi="Sylfaen"/>
          <w:spacing w:val="4"/>
          <w:sz w:val="24"/>
          <w:szCs w:val="24"/>
        </w:rPr>
        <w:t>և</w:t>
      </w:r>
      <w:r w:rsidRPr="00834D52">
        <w:rPr>
          <w:rFonts w:ascii="Sylfaen" w:hAnsi="Sylfaen"/>
          <w:spacing w:val="4"/>
          <w:sz w:val="24"/>
          <w:szCs w:val="24"/>
        </w:rPr>
        <w:t xml:space="preserve"> դրա զարգացումը ժամանակի մեջ.</w:t>
      </w:r>
    </w:p>
    <w:p w14:paraId="2B0F133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դոզավորման ռեժիմի </w:t>
      </w:r>
      <w:r w:rsidR="00C54D75">
        <w:rPr>
          <w:rFonts w:ascii="Sylfaen" w:hAnsi="Sylfaen"/>
          <w:sz w:val="24"/>
          <w:szCs w:val="24"/>
        </w:rPr>
        <w:t>և</w:t>
      </w:r>
      <w:r w:rsidRPr="00834D52">
        <w:rPr>
          <w:rFonts w:ascii="Sylfaen" w:hAnsi="Sylfaen"/>
          <w:sz w:val="24"/>
          <w:szCs w:val="24"/>
        </w:rPr>
        <w:t xml:space="preserve"> ներմուծման պայմանների հիմնավորումը.</w:t>
      </w:r>
    </w:p>
    <w:p w14:paraId="7C610D94"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ազդեցության մեխանիզմը, եթե հնարավոր է:</w:t>
      </w:r>
    </w:p>
    <w:p w14:paraId="3252D67C" w14:textId="77777777" w:rsidR="006F76EB" w:rsidRPr="00834D52" w:rsidRDefault="006F76EB" w:rsidP="005E478F">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արդյունավետության հետ կապ չունեցող </w:t>
      </w:r>
      <w:r w:rsidR="00355C33">
        <w:rPr>
          <w:rFonts w:ascii="Sylfaen" w:hAnsi="Sylfaen"/>
          <w:sz w:val="24"/>
          <w:szCs w:val="24"/>
        </w:rPr>
        <w:t>դեղա</w:t>
      </w:r>
      <w:r w:rsidRPr="00834D52">
        <w:rPr>
          <w:rFonts w:ascii="Sylfaen" w:hAnsi="Sylfaen"/>
          <w:sz w:val="24"/>
          <w:szCs w:val="24"/>
        </w:rPr>
        <w:t xml:space="preserve">դինամիկ ազդեցության նկարագրությունը: Մարդու մոտ </w:t>
      </w:r>
      <w:r w:rsidR="00355C33">
        <w:rPr>
          <w:rFonts w:ascii="Sylfaen" w:hAnsi="Sylfaen"/>
          <w:sz w:val="24"/>
          <w:szCs w:val="24"/>
        </w:rPr>
        <w:t>դեղա</w:t>
      </w:r>
      <w:r w:rsidRPr="00834D52">
        <w:rPr>
          <w:rFonts w:ascii="Sylfaen" w:hAnsi="Sylfaen"/>
          <w:sz w:val="24"/>
          <w:szCs w:val="24"/>
        </w:rPr>
        <w:t>դինամիկ էֆեկտների հաստատումը որ</w:t>
      </w:r>
      <w:r w:rsidR="00C54D75">
        <w:rPr>
          <w:rFonts w:ascii="Sylfaen" w:hAnsi="Sylfaen"/>
          <w:sz w:val="24"/>
          <w:szCs w:val="24"/>
        </w:rPr>
        <w:t>և</w:t>
      </w:r>
      <w:r w:rsidRPr="00834D52">
        <w:rPr>
          <w:rFonts w:ascii="Sylfaen" w:hAnsi="Sylfaen"/>
          <w:sz w:val="24"/>
          <w:szCs w:val="24"/>
        </w:rPr>
        <w:t>է որոշակի թերապ</w:t>
      </w:r>
      <w:r w:rsidR="00C54D75">
        <w:rPr>
          <w:rFonts w:ascii="Sylfaen" w:hAnsi="Sylfaen"/>
          <w:sz w:val="24"/>
          <w:szCs w:val="24"/>
        </w:rPr>
        <w:t>և</w:t>
      </w:r>
      <w:r w:rsidRPr="00834D52">
        <w:rPr>
          <w:rFonts w:ascii="Sylfaen" w:hAnsi="Sylfaen"/>
          <w:sz w:val="24"/>
          <w:szCs w:val="24"/>
        </w:rPr>
        <w:t>տիկ էֆեկտի առկայության բավարար հիմնավորում չէ.</w:t>
      </w:r>
    </w:p>
    <w:p w14:paraId="2EFB264B" w14:textId="77777777" w:rsidR="006F76EB" w:rsidRPr="00834D52" w:rsidRDefault="006F76EB" w:rsidP="008116D5">
      <w:pPr>
        <w:tabs>
          <w:tab w:val="left" w:pos="113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եթե դեղապատրաստուկը կիրառվում է այլ դեղապատրաստուկների հետ միասին, անհրաժեշտ է ներկայացնել դրանց միաժամանակյա կիրառման հետազոտության նկարագրությունը, որն անցկացվել է դեղաբանական ազդեցության հնարավոր փոփոխությունը ցուցադրելու համար: Անհրաժեշտ է նշել տեղեկատվություն՝ այլ դեղապատրաստուկների կամ նյութերի հետ ակտիվ նյութի </w:t>
      </w:r>
      <w:r w:rsidR="00355C33">
        <w:rPr>
          <w:rFonts w:ascii="Sylfaen" w:hAnsi="Sylfaen"/>
          <w:sz w:val="24"/>
          <w:szCs w:val="24"/>
        </w:rPr>
        <w:t>դեղա</w:t>
      </w:r>
      <w:r w:rsidRPr="00834D52">
        <w:rPr>
          <w:rFonts w:ascii="Sylfaen" w:hAnsi="Sylfaen"/>
          <w:sz w:val="24"/>
          <w:szCs w:val="24"/>
        </w:rPr>
        <w:t>դինամիկ փոխազդեցության ուսումնասիրության վերաբերյալ:</w:t>
      </w:r>
    </w:p>
    <w:p w14:paraId="73F8DD84" w14:textId="77777777"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w:t>
      </w:r>
      <w:r w:rsidRPr="00834D52">
        <w:rPr>
          <w:rFonts w:ascii="Sylfaen" w:hAnsi="Sylfaen"/>
          <w:sz w:val="24"/>
          <w:szCs w:val="24"/>
        </w:rPr>
        <w:tab/>
        <w:t xml:space="preserve">Հաշվետվություններ՝ 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w:t>
      </w:r>
    </w:p>
    <w:p w14:paraId="2D56FBBA" w14:textId="29E2F1B6" w:rsidR="006F76EB" w:rsidRPr="00834D52" w:rsidRDefault="006F76EB" w:rsidP="008116D5">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5.3.5.1.</w:t>
      </w:r>
      <w:r w:rsidRPr="00834D52">
        <w:rPr>
          <w:rFonts w:ascii="Sylfaen" w:hAnsi="Sylfaen"/>
          <w:sz w:val="24"/>
          <w:szCs w:val="24"/>
        </w:rPr>
        <w:tab/>
        <w:t xml:space="preserve">Հաշվետվություններ՝ </w:t>
      </w:r>
      <w:r w:rsidR="00FB4A19">
        <w:rPr>
          <w:rFonts w:ascii="Sylfaen" w:hAnsi="Sylfaen"/>
          <w:sz w:val="24"/>
          <w:szCs w:val="24"/>
        </w:rPr>
        <w:t>հայտատարված</w:t>
      </w:r>
      <w:r w:rsidRPr="00834D52">
        <w:rPr>
          <w:rFonts w:ascii="Sylfaen" w:hAnsi="Sylfaen"/>
          <w:sz w:val="24"/>
          <w:szCs w:val="24"/>
        </w:rPr>
        <w:t xml:space="preserve"> կիրառման ցուցումների հաստատմանը վերաբերող վերահսկվող կլինիկական հետազոտությունների վերաբերյալ:</w:t>
      </w:r>
    </w:p>
    <w:p w14:paraId="7D03E243" w14:textId="77777777" w:rsidR="006F76EB" w:rsidRPr="0023323A" w:rsidRDefault="006F76EB" w:rsidP="005E478F">
      <w:pPr>
        <w:spacing w:after="160" w:line="348" w:lineRule="auto"/>
        <w:ind w:right="-8" w:firstLine="567"/>
        <w:jc w:val="both"/>
        <w:rPr>
          <w:rFonts w:ascii="Sylfaen" w:eastAsia="Times New Roman" w:hAnsi="Sylfaen" w:cs="Times New Roman"/>
          <w:spacing w:val="-6"/>
          <w:sz w:val="24"/>
          <w:szCs w:val="24"/>
        </w:rPr>
      </w:pPr>
      <w:r w:rsidRPr="0023323A">
        <w:rPr>
          <w:rFonts w:ascii="Sylfaen" w:hAnsi="Sylfaen"/>
          <w:spacing w:val="-6"/>
          <w:sz w:val="24"/>
          <w:szCs w:val="24"/>
        </w:rPr>
        <w:t xml:space="preserve">Պետք է ներկայացվի տեղեկատվություն՝ անցկացված կլինիկական հետազոտությունների վերաբերյալ, որոնք պետք է հնարավորինս պատահականորեն բաշխված </w:t>
      </w:r>
      <w:r w:rsidR="00C54D75">
        <w:rPr>
          <w:rFonts w:ascii="Sylfaen" w:hAnsi="Sylfaen"/>
          <w:spacing w:val="-6"/>
          <w:sz w:val="24"/>
          <w:szCs w:val="24"/>
        </w:rPr>
        <w:t>և</w:t>
      </w:r>
      <w:r w:rsidRPr="0023323A">
        <w:rPr>
          <w:rFonts w:ascii="Sylfaen" w:hAnsi="Sylfaen"/>
          <w:spacing w:val="-6"/>
          <w:sz w:val="24"/>
          <w:szCs w:val="24"/>
        </w:rPr>
        <w:t xml:space="preserve"> վերահսկելի լինեն, </w:t>
      </w:r>
      <w:r w:rsidR="00C54D75">
        <w:rPr>
          <w:rFonts w:ascii="Sylfaen" w:hAnsi="Sylfaen"/>
          <w:spacing w:val="-6"/>
          <w:sz w:val="24"/>
          <w:szCs w:val="24"/>
        </w:rPr>
        <w:t>և</w:t>
      </w:r>
      <w:r w:rsidRPr="0023323A">
        <w:rPr>
          <w:rFonts w:ascii="Sylfaen" w:hAnsi="Sylfaen"/>
          <w:spacing w:val="-6"/>
          <w:sz w:val="24"/>
          <w:szCs w:val="24"/>
        </w:rPr>
        <w:t xml:space="preserve"> որոնց շրջանակներում հետազոտվող դեղապատրաստուկը համեմատվում է պլացեբոյի </w:t>
      </w:r>
      <w:r w:rsidR="00C54D75">
        <w:rPr>
          <w:rFonts w:ascii="Sylfaen" w:hAnsi="Sylfaen"/>
          <w:spacing w:val="-6"/>
          <w:sz w:val="24"/>
          <w:szCs w:val="24"/>
        </w:rPr>
        <w:t>և</w:t>
      </w:r>
      <w:r w:rsidRPr="0023323A">
        <w:rPr>
          <w:rFonts w:ascii="Sylfaen" w:hAnsi="Sylfaen"/>
          <w:spacing w:val="-6"/>
          <w:sz w:val="24"/>
          <w:szCs w:val="24"/>
        </w:rPr>
        <w:t xml:space="preserve"> (կամ) ապացուցված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հետ, իսկ հետազոտության որ</w:t>
      </w:r>
      <w:r w:rsidR="00C54D75">
        <w:rPr>
          <w:rFonts w:ascii="Sylfaen" w:hAnsi="Sylfaen"/>
          <w:spacing w:val="-6"/>
          <w:sz w:val="24"/>
          <w:szCs w:val="24"/>
        </w:rPr>
        <w:t>և</w:t>
      </w:r>
      <w:r w:rsidRPr="0023323A">
        <w:rPr>
          <w:rFonts w:ascii="Sylfaen" w:hAnsi="Sylfaen"/>
          <w:spacing w:val="-6"/>
          <w:sz w:val="24"/>
          <w:szCs w:val="24"/>
        </w:rPr>
        <w:t xml:space="preserve">է այլ բովանդակային պլանի օգտագործումն անհրաժեշտ է հիմնավորել: Ստուգիչ խմբերի </w:t>
      </w:r>
      <w:r w:rsidRPr="0023323A">
        <w:rPr>
          <w:rFonts w:ascii="Sylfaen" w:hAnsi="Sylfaen"/>
          <w:spacing w:val="-6"/>
          <w:sz w:val="24"/>
          <w:szCs w:val="24"/>
        </w:rPr>
        <w:lastRenderedPageBreak/>
        <w:t xml:space="preserve">ընտրությունը յուրաքանչյուր կոնկրետ դեպքում կախված է էթիկական ասպեկտներից </w:t>
      </w:r>
      <w:r w:rsidR="00C54D75">
        <w:rPr>
          <w:rFonts w:ascii="Sylfaen" w:hAnsi="Sylfaen"/>
          <w:spacing w:val="-6"/>
          <w:sz w:val="24"/>
          <w:szCs w:val="24"/>
        </w:rPr>
        <w:t>և</w:t>
      </w:r>
      <w:r w:rsidRPr="0023323A">
        <w:rPr>
          <w:rFonts w:ascii="Sylfaen" w:hAnsi="Sylfaen"/>
          <w:spacing w:val="-6"/>
          <w:sz w:val="24"/>
          <w:szCs w:val="24"/>
        </w:rPr>
        <w:t xml:space="preserve"> կիրառման ոլորտից, այդ պատճառով առանձին դեպքերում նպատակահարմար է համեմատել նոր դեղապատրաստուկի արդյունավետությունն ապացուցված (հաստատված) թերապ</w:t>
      </w:r>
      <w:r w:rsidR="00C54D75">
        <w:rPr>
          <w:rFonts w:ascii="Sylfaen" w:hAnsi="Sylfaen"/>
          <w:spacing w:val="-6"/>
          <w:sz w:val="24"/>
          <w:szCs w:val="24"/>
        </w:rPr>
        <w:t>և</w:t>
      </w:r>
      <w:r w:rsidRPr="0023323A">
        <w:rPr>
          <w:rFonts w:ascii="Sylfaen" w:hAnsi="Sylfaen"/>
          <w:spacing w:val="-6"/>
          <w:sz w:val="24"/>
          <w:szCs w:val="24"/>
        </w:rPr>
        <w:t>տիկ արդյունավետությամբ դեղապատրաստուկի արդյունավետության հետ, այլ ոչ թէ պլացեբոյի:</w:t>
      </w:r>
    </w:p>
    <w:p w14:paraId="190C206C"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Գնահատականը ներկայացնելիս անհրաժեշտ է կիրառել միջոցներ, որոնք թույլ են տալիս խուսափել կողմնապահությունից, ներառյալ՝ պատահական բաշխման </w:t>
      </w:r>
      <w:r w:rsidR="00C54D75">
        <w:rPr>
          <w:rFonts w:ascii="Sylfaen" w:hAnsi="Sylfaen"/>
          <w:sz w:val="24"/>
          <w:szCs w:val="24"/>
        </w:rPr>
        <w:t>և</w:t>
      </w:r>
      <w:r w:rsidRPr="00834D52">
        <w:rPr>
          <w:rFonts w:ascii="Sylfaen" w:hAnsi="Sylfaen"/>
          <w:sz w:val="24"/>
          <w:szCs w:val="24"/>
        </w:rPr>
        <w:t xml:space="preserve"> կույր վերահսկման մեթոդները:</w:t>
      </w:r>
    </w:p>
    <w:p w14:paraId="0144A149"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դոսյեում ընդգրկված հետազոտության արձանագրությունում պետք է ներառվեն օգտագործված վիճակագրական մեթոդների նկարագրությունը, պացիենտների թիվը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նրանց ընդգրկելու պատճառները (այդ թվում՝ հետազոտությունների վիճակագրական հզորության հաշվարկները), նշանակելիության կիրառված մակարդակը </w:t>
      </w:r>
      <w:r w:rsidR="00C54D75">
        <w:rPr>
          <w:rFonts w:ascii="Sylfaen" w:hAnsi="Sylfaen"/>
          <w:sz w:val="24"/>
          <w:szCs w:val="24"/>
        </w:rPr>
        <w:t>և</w:t>
      </w:r>
      <w:r w:rsidRPr="00834D52">
        <w:rPr>
          <w:rFonts w:ascii="Sylfaen" w:hAnsi="Sylfaen"/>
          <w:sz w:val="24"/>
          <w:szCs w:val="24"/>
        </w:rPr>
        <w:t xml:space="preserve"> վիճակագրական միավորի նկարագրությունը (օգտագործվող վիճակագրական պարամետրերը): Կողմնապահ գնահատականից խուսափելու համար ձեռնարկված միջոցները (հատկապես պատահական բաշխման մեթոդները) պետք է համապատասխանաբար հիմնավորված </w:t>
      </w:r>
      <w:r w:rsidR="00C54D75">
        <w:rPr>
          <w:rFonts w:ascii="Sylfaen" w:hAnsi="Sylfaen"/>
          <w:sz w:val="24"/>
          <w:szCs w:val="24"/>
        </w:rPr>
        <w:t>և</w:t>
      </w:r>
      <w:r w:rsidRPr="00834D52">
        <w:rPr>
          <w:rFonts w:ascii="Sylfaen" w:hAnsi="Sylfaen"/>
          <w:sz w:val="24"/>
          <w:szCs w:val="24"/>
        </w:rPr>
        <w:t xml:space="preserve"> փաստաթղթավորված լինեն: Կլինիկական հետազոտություններին մասնակցելու համար մեծ թվով պացիենտներ ընդգրկելու մասին տեղեկատվությունը համարժեք փոխարինում չէ համապատասխան կերպ վերահսկվող հետազոտությանը:</w:t>
      </w:r>
    </w:p>
    <w:p w14:paraId="40EC1D06" w14:textId="77777777" w:rsidR="006F76EB" w:rsidRPr="00834D52" w:rsidRDefault="006F76EB" w:rsidP="005E478F">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Անվտանգության մասին տվյալների վերլուծության անցկացման ժամանակ անհրաժեշտ է ուշադրություն դարձնել այն հանգամանքներին, որոնք հանգեցրել են դոզավորման ռեժիմի կարգավորմանը կամ այլ դեղապատրաստուկի զուգընթաց կիրառման անհրաժեշտությանը, լուրջ անցանկալի եր</w:t>
      </w:r>
      <w:r w:rsidR="00C54D75">
        <w:rPr>
          <w:rFonts w:ascii="Sylfaen" w:hAnsi="Sylfaen"/>
          <w:spacing w:val="-4"/>
          <w:sz w:val="24"/>
          <w:szCs w:val="24"/>
        </w:rPr>
        <w:t>և</w:t>
      </w:r>
      <w:r w:rsidRPr="00834D52">
        <w:rPr>
          <w:rFonts w:ascii="Sylfaen" w:hAnsi="Sylfaen"/>
          <w:spacing w:val="-4"/>
          <w:sz w:val="24"/>
          <w:szCs w:val="24"/>
        </w:rPr>
        <w:t>ույթների, եր</w:t>
      </w:r>
      <w:r w:rsidR="00C54D75">
        <w:rPr>
          <w:rFonts w:ascii="Sylfaen" w:hAnsi="Sylfaen"/>
          <w:spacing w:val="-4"/>
          <w:sz w:val="24"/>
          <w:szCs w:val="24"/>
        </w:rPr>
        <w:t>և</w:t>
      </w:r>
      <w:r w:rsidRPr="00834D52">
        <w:rPr>
          <w:rFonts w:ascii="Sylfaen" w:hAnsi="Sylfaen"/>
          <w:spacing w:val="-4"/>
          <w:sz w:val="24"/>
          <w:szCs w:val="24"/>
        </w:rPr>
        <w:t xml:space="preserve">ույթների, որոնք կլինիկական հետազոտության մեջ մասնակցությունը բացառելու պատճառ են դարձել </w:t>
      </w:r>
      <w:r w:rsidR="00C54D75">
        <w:rPr>
          <w:rFonts w:ascii="Sylfaen" w:hAnsi="Sylfaen"/>
          <w:spacing w:val="-4"/>
          <w:sz w:val="24"/>
          <w:szCs w:val="24"/>
        </w:rPr>
        <w:t>և</w:t>
      </w:r>
      <w:r w:rsidRPr="00834D52">
        <w:rPr>
          <w:rFonts w:ascii="Sylfaen" w:hAnsi="Sylfaen"/>
          <w:spacing w:val="-4"/>
          <w:sz w:val="24"/>
          <w:szCs w:val="24"/>
        </w:rPr>
        <w:t xml:space="preserve"> պացիենտի մահվան են հանգեցրել: Անհրաժեշտ է նույնականացնել հետազոտության՝ ռիսկի բարձր աստիճանով պացիենտներին կամ պացիենտների խմբերը </w:t>
      </w:r>
      <w:r w:rsidR="00C54D75">
        <w:rPr>
          <w:rFonts w:ascii="Sylfaen" w:hAnsi="Sylfaen"/>
          <w:spacing w:val="-4"/>
          <w:sz w:val="24"/>
          <w:szCs w:val="24"/>
        </w:rPr>
        <w:t>և</w:t>
      </w:r>
      <w:r w:rsidRPr="00834D52">
        <w:rPr>
          <w:rFonts w:ascii="Sylfaen" w:hAnsi="Sylfaen"/>
          <w:spacing w:val="-4"/>
          <w:sz w:val="24"/>
          <w:szCs w:val="24"/>
        </w:rPr>
        <w:t xml:space="preserve"> հատուկ ուշադրություն դարձնել պոտենցիալ խոցելի խմբերի վրա, որտեղ </w:t>
      </w:r>
      <w:r w:rsidRPr="00834D52">
        <w:rPr>
          <w:rFonts w:ascii="Sylfaen" w:hAnsi="Sylfaen"/>
          <w:spacing w:val="-4"/>
          <w:sz w:val="24"/>
          <w:szCs w:val="24"/>
        </w:rPr>
        <w:lastRenderedPageBreak/>
        <w:t xml:space="preserve">պացիենտների թիվը կարող է փոքր լինել (օրինակ՝ երեխաներ, հղիներ, առողջությամբ տկար տարեցներ, նյութափոխանակության կամ արտազատման զգալի խանգարումներով մարդիկ </w:t>
      </w:r>
      <w:r w:rsidR="00C54D75">
        <w:rPr>
          <w:rFonts w:ascii="Sylfaen" w:hAnsi="Sylfaen"/>
          <w:spacing w:val="-4"/>
          <w:sz w:val="24"/>
          <w:szCs w:val="24"/>
        </w:rPr>
        <w:t>և</w:t>
      </w:r>
      <w:r w:rsidRPr="00834D52">
        <w:rPr>
          <w:rFonts w:ascii="Sylfaen" w:hAnsi="Sylfaen"/>
          <w:spacing w:val="-4"/>
          <w:sz w:val="24"/>
          <w:szCs w:val="24"/>
        </w:rPr>
        <w:t xml:space="preserve"> այլն): Պետք է նկարագրել դեղապատրաստուկի հնարավոր կիրառման ոլորտների նկատմամբ անվտանգության վերջնական գնահատականը:</w:t>
      </w:r>
    </w:p>
    <w:p w14:paraId="3D224F2A" w14:textId="77777777" w:rsidR="006F76EB" w:rsidRPr="00834D52" w:rsidRDefault="006F76EB" w:rsidP="008116D5">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5.3.5.2.</w:t>
      </w:r>
      <w:r w:rsidRPr="00834D52">
        <w:rPr>
          <w:rFonts w:ascii="Sylfaen" w:hAnsi="Sylfaen"/>
          <w:sz w:val="24"/>
          <w:szCs w:val="24"/>
        </w:rPr>
        <w:tab/>
        <w:t xml:space="preserve">Հաշվետվություններ՝ չվերահսկվող կլինիկական հետազոտությունների վերաբերյալ, հաշվետվություններ՝ մի քանի հետազոտությունների միջոցով տվյալների վերլուծության վերաբերյալ, </w:t>
      </w:r>
      <w:r w:rsidR="00C54D75">
        <w:rPr>
          <w:rFonts w:ascii="Sylfaen" w:hAnsi="Sylfaen"/>
          <w:sz w:val="24"/>
          <w:szCs w:val="24"/>
        </w:rPr>
        <w:t>և</w:t>
      </w:r>
      <w:r w:rsidRPr="00834D52">
        <w:rPr>
          <w:rFonts w:ascii="Sylfaen" w:hAnsi="Sylfaen"/>
          <w:sz w:val="24"/>
          <w:szCs w:val="24"/>
        </w:rPr>
        <w:t xml:space="preserve"> հաշվետվություններ՝ այլ կլինիկական հետազոտությունների վերաբերյալ:</w:t>
      </w:r>
    </w:p>
    <w:p w14:paraId="6843D758"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Այդ հաշվետվություններն անհրաժեշտ է ընդգրկել դեղապատրաստուկի գրանցման դոսյեում:</w:t>
      </w:r>
    </w:p>
    <w:p w14:paraId="0DA94A0D" w14:textId="77777777" w:rsidR="006F76EB" w:rsidRPr="00834D52" w:rsidRDefault="006F76EB" w:rsidP="003D753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5.3.6.</w:t>
      </w:r>
      <w:r w:rsidRPr="00834D52">
        <w:rPr>
          <w:rFonts w:ascii="Sylfaen" w:hAnsi="Sylfaen"/>
          <w:sz w:val="24"/>
          <w:szCs w:val="24"/>
        </w:rPr>
        <w:tab/>
        <w:t>Հաշվետվություններ՝ հետգրանցումային կիրառման փորձի վերաբերյալ:</w:t>
      </w:r>
    </w:p>
    <w:p w14:paraId="328A8A99" w14:textId="77777777" w:rsidR="006F76EB" w:rsidRPr="00834D52" w:rsidRDefault="006F76EB" w:rsidP="005E478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դեղապատրաստուկն արդեն գրանցված է այլ երկրներում, դեղապատրաստուկի գրանցման դոսյեում անհրաժեշտ է ընդգրկել տեղեկատվություն՝ քննարկվող դեղապատրաստուկի </w:t>
      </w:r>
      <w:r w:rsidR="00C54D75">
        <w:rPr>
          <w:rFonts w:ascii="Sylfaen" w:hAnsi="Sylfaen"/>
          <w:sz w:val="24"/>
          <w:szCs w:val="24"/>
        </w:rPr>
        <w:t>և</w:t>
      </w:r>
      <w:r w:rsidRPr="00834D52">
        <w:rPr>
          <w:rFonts w:ascii="Sylfaen" w:hAnsi="Sylfaen"/>
          <w:sz w:val="24"/>
          <w:szCs w:val="24"/>
        </w:rPr>
        <w:t xml:space="preserve"> նույն ակտիվ նյութով դեղապատրաստուկների նկատմամբ անցանկալի ռեակցիաների վերաբերյալ (հնարավորության դեպքում դրանց կլինիկական կիրառման ծավալի հետ համեմատելով):</w:t>
      </w:r>
    </w:p>
    <w:p w14:paraId="07F3DA11" w14:textId="77777777" w:rsidR="006F76EB" w:rsidRPr="00834D52" w:rsidRDefault="006F76EB" w:rsidP="003D7538">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5.3.7.</w:t>
      </w:r>
      <w:r w:rsidRPr="00834D52">
        <w:rPr>
          <w:rFonts w:ascii="Sylfaen" w:hAnsi="Sylfaen"/>
          <w:sz w:val="24"/>
          <w:szCs w:val="24"/>
        </w:rPr>
        <w:tab/>
        <w:t xml:space="preserve">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w:t>
      </w:r>
    </w:p>
    <w:p w14:paraId="3101606B" w14:textId="77777777" w:rsidR="006F76EB" w:rsidRPr="00834D52" w:rsidRDefault="006F76EB" w:rsidP="00BC08C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դոսյեին կցվում են այն անհատական գրանցման քարտերը </w:t>
      </w:r>
      <w:r w:rsidR="00C54D75">
        <w:rPr>
          <w:rFonts w:ascii="Sylfaen" w:hAnsi="Sylfaen"/>
          <w:sz w:val="24"/>
          <w:szCs w:val="24"/>
        </w:rPr>
        <w:t>և</w:t>
      </w:r>
      <w:r w:rsidRPr="00834D52">
        <w:rPr>
          <w:rFonts w:ascii="Sylfaen" w:hAnsi="Sylfaen"/>
          <w:sz w:val="24"/>
          <w:szCs w:val="24"/>
        </w:rPr>
        <w:t xml:space="preserve"> պացիենտների ցուցակները, որոնք ենթակա են ներկայացման նույն կարգով, ինչ հետազոտության մասով ինդեքսավորմամբ </w:t>
      </w:r>
      <w:r w:rsidR="00C54D75">
        <w:rPr>
          <w:rFonts w:ascii="Sylfaen" w:hAnsi="Sylfaen"/>
          <w:sz w:val="24"/>
          <w:szCs w:val="24"/>
        </w:rPr>
        <w:t>և</w:t>
      </w:r>
      <w:r w:rsidRPr="00834D52">
        <w:rPr>
          <w:rFonts w:ascii="Sylfaen" w:hAnsi="Sylfaen"/>
          <w:sz w:val="24"/>
          <w:szCs w:val="24"/>
        </w:rPr>
        <w:t xml:space="preserve"> հետազոտության պացիենտների անձնական տվյալների գաղտնիության պահպանմամբ կլինիկական հետազոտությունների վերաբերյալ հաշվետվությունները:</w:t>
      </w:r>
    </w:p>
    <w:p w14:paraId="1CDCC316" w14:textId="14B4DF63" w:rsidR="006F76EB" w:rsidRDefault="006F76EB" w:rsidP="00BC08C4">
      <w:pPr>
        <w:spacing w:after="160" w:line="360" w:lineRule="auto"/>
        <w:ind w:right="-8" w:firstLine="567"/>
        <w:jc w:val="both"/>
        <w:rPr>
          <w:rFonts w:ascii="Sylfaen" w:hAnsi="Sylfaen"/>
          <w:sz w:val="24"/>
          <w:szCs w:val="24"/>
        </w:rPr>
      </w:pPr>
      <w:r w:rsidRPr="00834D52">
        <w:rPr>
          <w:rFonts w:ascii="Sylfaen" w:hAnsi="Sylfaen"/>
          <w:sz w:val="24"/>
          <w:szCs w:val="24"/>
        </w:rPr>
        <w:t>Նա</w:t>
      </w:r>
      <w:r w:rsidR="00C54D75">
        <w:rPr>
          <w:rFonts w:ascii="Sylfaen" w:hAnsi="Sylfaen"/>
          <w:sz w:val="24"/>
          <w:szCs w:val="24"/>
        </w:rPr>
        <w:t>և</w:t>
      </w:r>
      <w:r w:rsidRPr="00834D52">
        <w:rPr>
          <w:rFonts w:ascii="Sylfaen" w:hAnsi="Sylfaen"/>
          <w:sz w:val="24"/>
          <w:szCs w:val="24"/>
        </w:rPr>
        <w:t xml:space="preserve"> գրանցման դոսյեին կցվում են լաբորատոր </w:t>
      </w:r>
      <w:r w:rsidR="00C54D75">
        <w:rPr>
          <w:rFonts w:ascii="Sylfaen" w:hAnsi="Sylfaen"/>
          <w:sz w:val="24"/>
          <w:szCs w:val="24"/>
        </w:rPr>
        <w:t>և</w:t>
      </w:r>
      <w:r w:rsidRPr="00834D52">
        <w:rPr>
          <w:rFonts w:ascii="Sylfaen" w:hAnsi="Sylfaen"/>
          <w:sz w:val="24"/>
          <w:szCs w:val="24"/>
        </w:rPr>
        <w:t xml:space="preserve"> գործիքային </w:t>
      </w:r>
      <w:r w:rsidRPr="00834D52">
        <w:rPr>
          <w:rFonts w:ascii="Sylfaen" w:hAnsi="Sylfaen"/>
          <w:sz w:val="24"/>
          <w:szCs w:val="24"/>
        </w:rPr>
        <w:lastRenderedPageBreak/>
        <w:t>հետազոտության մեթոդների, կլինիկական հետազոտությունների արդյունքների վիճակագրական մշակման տվյալները:</w:t>
      </w:r>
    </w:p>
    <w:p w14:paraId="1C0A86B3" w14:textId="32FF412C" w:rsidR="004553AB" w:rsidRPr="006F28F9" w:rsidRDefault="004553AB" w:rsidP="004553AB">
      <w:pPr>
        <w:rPr>
          <w:b/>
          <w:bCs/>
          <w:i/>
          <w:iCs/>
        </w:rPr>
      </w:pPr>
      <w:r w:rsidRPr="00CD4709">
        <w:rPr>
          <w:b/>
          <w:bCs/>
          <w:i/>
          <w:iCs/>
        </w:rPr>
        <w:t>(</w:t>
      </w:r>
      <w:r>
        <w:rPr>
          <w:b/>
          <w:bCs/>
          <w:i/>
          <w:iCs/>
        </w:rPr>
        <w:t xml:space="preserve">5-րդ կետը </w:t>
      </w:r>
      <w:r w:rsidRPr="00CD4709">
        <w:rPr>
          <w:b/>
          <w:bCs/>
          <w:i/>
          <w:iCs/>
        </w:rPr>
        <w:t>փոփ. 30.01.20 թիվ 9)</w:t>
      </w:r>
    </w:p>
    <w:p w14:paraId="79EA9A13" w14:textId="77777777" w:rsidR="004553AB" w:rsidRPr="00834D52" w:rsidRDefault="004553AB" w:rsidP="00BC08C4">
      <w:pPr>
        <w:spacing w:after="160" w:line="360" w:lineRule="auto"/>
        <w:ind w:right="-8" w:firstLine="567"/>
        <w:jc w:val="both"/>
        <w:rPr>
          <w:rFonts w:ascii="Sylfaen" w:eastAsia="Times New Roman" w:hAnsi="Sylfaen" w:cs="Times New Roman"/>
          <w:sz w:val="24"/>
          <w:szCs w:val="24"/>
        </w:rPr>
      </w:pPr>
    </w:p>
    <w:p w14:paraId="5C34F124" w14:textId="77777777" w:rsidR="0039534B" w:rsidRDefault="0039534B">
      <w:pPr>
        <w:widowControl/>
        <w:rPr>
          <w:rFonts w:ascii="Sylfaen" w:hAnsi="Sylfaen"/>
          <w:sz w:val="24"/>
          <w:szCs w:val="24"/>
        </w:rPr>
      </w:pPr>
      <w:r>
        <w:rPr>
          <w:rFonts w:ascii="Sylfaen" w:hAnsi="Sylfaen"/>
          <w:sz w:val="24"/>
          <w:szCs w:val="24"/>
        </w:rPr>
        <w:br w:type="page"/>
      </w:r>
    </w:p>
    <w:p w14:paraId="7613DD39"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Դեղապատրաստուկի գրանցման դոսյեի մոդուլներին ներկայացվող հատուկ պահանջները</w:t>
      </w:r>
    </w:p>
    <w:p w14:paraId="731ACA2A" w14:textId="77777777" w:rsidR="006F76EB" w:rsidRPr="00834D52" w:rsidRDefault="006F76EB" w:rsidP="00BC08C4">
      <w:pPr>
        <w:spacing w:after="160" w:line="360" w:lineRule="auto"/>
        <w:ind w:left="567" w:right="565"/>
        <w:jc w:val="center"/>
        <w:rPr>
          <w:rFonts w:ascii="Sylfaen" w:hAnsi="Sylfaen"/>
          <w:sz w:val="24"/>
          <w:szCs w:val="24"/>
        </w:rPr>
      </w:pPr>
    </w:p>
    <w:p w14:paraId="65CAB434" w14:textId="77777777" w:rsidR="006F76EB" w:rsidRPr="00834D52" w:rsidRDefault="006F76EB" w:rsidP="00CB3DC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6. Վերարտադրված դեղապատրաստուկների գրանցման դոսյեի փաստաթղթերին ներկայացվող պահանջները</w:t>
      </w:r>
    </w:p>
    <w:p w14:paraId="2C700DFA" w14:textId="77777777" w:rsidR="006F76EB" w:rsidRPr="00834D52" w:rsidRDefault="006F76EB" w:rsidP="00CB3DC3">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Վերարտադրված դեղապատրաստուկների գրանցման դոսյեն ներկայացվում է սույն բաժնի պահանջներին համապատասխան՝ հաշվի առնելով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կանոնները:</w:t>
      </w:r>
    </w:p>
    <w:p w14:paraId="61D4F68D"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հետազոտություններում </w:t>
      </w:r>
      <w:r w:rsidR="00D23E48">
        <w:rPr>
          <w:rFonts w:ascii="Sylfaen" w:hAnsi="Sylfaen"/>
          <w:sz w:val="24"/>
          <w:szCs w:val="24"/>
        </w:rPr>
        <w:t>ռեֆերենտ</w:t>
      </w:r>
      <w:r w:rsidR="00D23E48" w:rsidRPr="00834D52">
        <w:rPr>
          <w:rFonts w:ascii="Sylfaen" w:hAnsi="Sylfaen"/>
          <w:sz w:val="24"/>
          <w:szCs w:val="24"/>
        </w:rPr>
        <w:t xml:space="preserve"> </w:t>
      </w:r>
      <w:r w:rsidRPr="00834D52">
        <w:rPr>
          <w:rFonts w:ascii="Sylfaen" w:hAnsi="Sylfaen"/>
          <w:sz w:val="24"/>
          <w:szCs w:val="24"/>
        </w:rPr>
        <w:t>պատրաստուկի ընտրությունն իրականացվում է՝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42036B0B"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Վերարտադրվող դեղապատրաստուկի կենսահամարժեքությունն օրիգինալ դեղապատրաստուկին պետք է ցուցադրվի համապատասխան կենսամատչելիության հետազոտություններով՝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p w14:paraId="182E6D73"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բնութագիրը </w:t>
      </w:r>
      <w:r w:rsidR="00C54D75">
        <w:rPr>
          <w:rFonts w:ascii="Sylfaen" w:hAnsi="Sylfaen"/>
          <w:sz w:val="24"/>
          <w:szCs w:val="24"/>
        </w:rPr>
        <w:t>և</w:t>
      </w:r>
      <w:r w:rsidRPr="00834D52">
        <w:rPr>
          <w:rFonts w:ascii="Sylfaen" w:hAnsi="Sylfaen"/>
          <w:sz w:val="24"/>
          <w:szCs w:val="24"/>
        </w:rPr>
        <w:t xml:space="preserve"> վերարտադրվող դեղապատրաստուկի բժշկական կիրառման հրահանգը պետք է համապատասխանեն դեղապատրաստուկի ընդհանուր բնութագրին </w:t>
      </w:r>
      <w:r w:rsidR="00C54D75">
        <w:rPr>
          <w:rFonts w:ascii="Sylfaen" w:hAnsi="Sylfaen"/>
          <w:sz w:val="24"/>
          <w:szCs w:val="24"/>
        </w:rPr>
        <w:t>և</w:t>
      </w:r>
      <w:r w:rsidRPr="00834D52">
        <w:rPr>
          <w:rFonts w:ascii="Sylfaen" w:hAnsi="Sylfaen"/>
          <w:sz w:val="24"/>
          <w:szCs w:val="24"/>
        </w:rPr>
        <w:t xml:space="preserve"> օրիգինալ դեղապատրաստուկի բժշկական կիրառման հրահանգին: Կիրառման ցուցումների՝ ընդլայնման կամ դոզավորման ռեժիմի մասով կամ վերարտադրված դեղապատրաստուկի բժշկական կիրառման հրահանգներում ներմուծման </w:t>
      </w:r>
      <w:r w:rsidRPr="00834D52">
        <w:rPr>
          <w:rFonts w:ascii="Sylfaen" w:hAnsi="Sylfaen"/>
          <w:sz w:val="24"/>
          <w:szCs w:val="24"/>
        </w:rPr>
        <w:lastRenderedPageBreak/>
        <w:t>ուղիների՝ օրիգինալ դեղապատրաստուկից տարբերվելու դեպքում պետք է ներկայացնել համապատասխան կլինիկական հետազոտությունների արդյունքները:</w:t>
      </w:r>
    </w:p>
    <w:p w14:paraId="48299032"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6.1.</w:t>
      </w:r>
      <w:r w:rsidRPr="00834D52">
        <w:rPr>
          <w:rFonts w:ascii="Sylfaen" w:hAnsi="Sylfaen"/>
          <w:sz w:val="24"/>
          <w:szCs w:val="24"/>
        </w:rPr>
        <w:tab/>
        <w:t>Մոդուլ 1.</w:t>
      </w:r>
    </w:p>
    <w:p w14:paraId="7D8DA993" w14:textId="40683831"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վերարտադրված դեղապատրաստուկն է: Նշված ռեզյումեն պետք է պարունակի պատրաստուկի, դրա որակական կազմի </w:t>
      </w:r>
      <w:r w:rsidR="00C54D75">
        <w:rPr>
          <w:rFonts w:ascii="Sylfaen" w:hAnsi="Sylfaen"/>
          <w:sz w:val="24"/>
          <w:szCs w:val="24"/>
        </w:rPr>
        <w:t>և</w:t>
      </w:r>
      <w:r w:rsidRPr="00834D52">
        <w:rPr>
          <w:rFonts w:ascii="Sylfaen" w:hAnsi="Sylfaen"/>
          <w:sz w:val="24"/>
          <w:szCs w:val="24"/>
        </w:rPr>
        <w:t xml:space="preserve"> դրանում ակտիվ նյութի քանակական բաղադրության, օրիգինալ պատրաստուկի ակտիվ նյութի համեմատ դրա դեղագործական ձ</w:t>
      </w:r>
      <w:r w:rsidR="00C54D75">
        <w:rPr>
          <w:rFonts w:ascii="Sylfaen" w:hAnsi="Sylfaen"/>
          <w:sz w:val="24"/>
          <w:szCs w:val="24"/>
        </w:rPr>
        <w:t>և</w:t>
      </w:r>
      <w:r w:rsidRPr="00834D52">
        <w:rPr>
          <w:rFonts w:ascii="Sylfaen" w:hAnsi="Sylfaen"/>
          <w:sz w:val="24"/>
          <w:szCs w:val="24"/>
        </w:rPr>
        <w:t xml:space="preserve">ի </w:t>
      </w:r>
      <w:r w:rsidR="00C54D75">
        <w:rPr>
          <w:rFonts w:ascii="Sylfaen" w:hAnsi="Sylfaen"/>
          <w:sz w:val="24"/>
          <w:szCs w:val="24"/>
        </w:rPr>
        <w:t>և</w:t>
      </w:r>
      <w:r w:rsidRPr="00834D52">
        <w:rPr>
          <w:rFonts w:ascii="Sylfaen" w:hAnsi="Sylfaen"/>
          <w:sz w:val="24"/>
          <w:szCs w:val="24"/>
        </w:rPr>
        <w:t xml:space="preserve"> դրա ակտիվ նյութի անվտանգության պրոֆիլի </w:t>
      </w:r>
      <w:r w:rsidR="00C54D75">
        <w:rPr>
          <w:rFonts w:ascii="Sylfaen" w:hAnsi="Sylfaen"/>
          <w:sz w:val="24"/>
          <w:szCs w:val="24"/>
        </w:rPr>
        <w:t>և</w:t>
      </w:r>
      <w:r w:rsidRPr="00834D52">
        <w:rPr>
          <w:rFonts w:ascii="Sylfaen" w:hAnsi="Sylfaen"/>
          <w:sz w:val="24"/>
          <w:szCs w:val="24"/>
        </w:rPr>
        <w:t xml:space="preserve"> (կամ) արդյունավետության վերաբերյալ տեղեկատվությունը,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կենսաբանական 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վերաբերյալ:</w:t>
      </w:r>
    </w:p>
    <w:p w14:paraId="3EAF5D52"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 դեպքերում կարող է պահանջվել ռիսկերի կառավարման պլանը:</w:t>
      </w:r>
    </w:p>
    <w:p w14:paraId="689BE270"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Ռեզյումեի մեջ սույն կետում թվարկված տարրերից մի քանիսի բացակայության դեպքում հարկ է դեղապատրաստուկի գրանցման դոսյեի համապատասխան բաժնում ներկայացնել դրանց բացակայության հիմնավորումը:</w:t>
      </w:r>
    </w:p>
    <w:p w14:paraId="3F4ABFC0" w14:textId="77777777" w:rsidR="006F76EB" w:rsidRPr="00834D52" w:rsidRDefault="006F76EB" w:rsidP="00ED35B6">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6.2.</w:t>
      </w:r>
      <w:r w:rsidRPr="00834D52">
        <w:rPr>
          <w:rFonts w:ascii="Sylfaen" w:hAnsi="Sylfaen"/>
          <w:sz w:val="24"/>
          <w:szCs w:val="24"/>
        </w:rPr>
        <w:tab/>
        <w:t>Մոդուլ 2.</w:t>
      </w:r>
    </w:p>
    <w:p w14:paraId="31AAF328" w14:textId="77777777" w:rsidR="006F76EB" w:rsidRPr="00834D52" w:rsidRDefault="006F76EB" w:rsidP="00CB3DC3">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Նախակլինիկական </w:t>
      </w:r>
      <w:r w:rsidR="00C54D75">
        <w:rPr>
          <w:rFonts w:ascii="Sylfaen" w:hAnsi="Sylfaen"/>
          <w:spacing w:val="-4"/>
          <w:sz w:val="24"/>
          <w:szCs w:val="24"/>
        </w:rPr>
        <w:t>և</w:t>
      </w:r>
      <w:r w:rsidRPr="00834D52">
        <w:rPr>
          <w:rFonts w:ascii="Sylfaen" w:hAnsi="Sylfaen"/>
          <w:spacing w:val="-4"/>
          <w:sz w:val="24"/>
          <w:szCs w:val="24"/>
        </w:rPr>
        <w:t xml:space="preserve"> կլինիկական տվյալների ամփոփագրում պետք է նշվեն՝</w:t>
      </w:r>
    </w:p>
    <w:p w14:paraId="063F072C"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ռեզյումեն (</w:t>
      </w:r>
      <w:r w:rsidR="00C54D75">
        <w:rPr>
          <w:rFonts w:ascii="Sylfaen" w:hAnsi="Sylfaen"/>
          <w:sz w:val="24"/>
          <w:szCs w:val="24"/>
        </w:rPr>
        <w:t>և</w:t>
      </w:r>
      <w:r w:rsidRPr="00834D52">
        <w:rPr>
          <w:rFonts w:ascii="Sylfaen" w:hAnsi="Sylfaen"/>
          <w:sz w:val="24"/>
          <w:szCs w:val="24"/>
        </w:rPr>
        <w:t> համապատասխան դեպքերում՝ դեղապատրաստուկի պահպանման ժամանակ առաջացող հնարավոր քայքայման արգասիքները).</w:t>
      </w:r>
    </w:p>
    <w:p w14:paraId="3B02DAF5" w14:textId="77777777" w:rsidR="006F76EB" w:rsidRPr="00834D52" w:rsidRDefault="006F76EB" w:rsidP="00CB3DC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գնահատումը կամ այն պատճառի բացատրությունը, որի հիման վրա կենսահամարժեքության հետազոտություններ չեն անցկացվել.</w:t>
      </w:r>
    </w:p>
    <w:p w14:paraId="7796B6C7"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տվյալ դեղապատրաստուկի ակտիվ նյութի վերաբերյալ գրական հրապարակումների թարմացում (տվյալ պահանջը կարող է կատարվել գրախոսվող պարբերականներում հրապարակումներին արված հղումների միջոցով).</w:t>
      </w:r>
    </w:p>
    <w:p w14:paraId="6BEEDEF6"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կետերը,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45EC6825" w14:textId="44B4AD81"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տեղեկատվությունը,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665C60" w:rsidRPr="00665C60">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1964391F"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6.3.</w:t>
      </w:r>
      <w:r w:rsidRPr="00834D52">
        <w:rPr>
          <w:rFonts w:ascii="Sylfaen" w:hAnsi="Sylfaen"/>
          <w:sz w:val="24"/>
          <w:szCs w:val="24"/>
        </w:rPr>
        <w:tab/>
        <w:t>Մոդուլ 3.</w:t>
      </w:r>
    </w:p>
    <w:p w14:paraId="34F02065" w14:textId="77777777" w:rsidR="006F76EB" w:rsidRPr="00834D52" w:rsidRDefault="006F76EB" w:rsidP="00CB3DC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Պետք է ներկայացնել դեղապատրաստուկի գրանցման դոսյեի 3-րդ մոդուլն ամբողջությամբ:</w:t>
      </w:r>
    </w:p>
    <w:p w14:paraId="7B179D20" w14:textId="77777777" w:rsidR="006F76EB" w:rsidRPr="00834D52" w:rsidRDefault="006F76EB" w:rsidP="00ED35B6">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6.4.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3F3DE0B" w14:textId="625B287F" w:rsidR="006F76EB" w:rsidRPr="00834D52" w:rsidRDefault="006F76EB" w:rsidP="00CB3DC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Կենսահամարժեքության հետազոտությունների արդյունքները, որոնք անցկացվել են այն դեպքերում, երբ դա անհրաժեշտ է, հարկ է ընդգրկել դեղապատրաստուկի գրանցման դոսյեի 5.3.1 բաժնում: Բիովեյվեր</w:t>
      </w:r>
      <w:r w:rsidR="004553AB">
        <w:rPr>
          <w:rFonts w:ascii="Sylfaen" w:hAnsi="Sylfaen"/>
          <w:sz w:val="24"/>
          <w:szCs w:val="24"/>
        </w:rPr>
        <w:t>ով</w:t>
      </w:r>
      <w:r w:rsidRPr="00834D52">
        <w:rPr>
          <w:rFonts w:ascii="Sylfaen" w:hAnsi="Sylfaen"/>
          <w:sz w:val="24"/>
          <w:szCs w:val="24"/>
        </w:rPr>
        <w:t xml:space="preserve"> համարժեքության ապացուցման արդյունքները պետք է ներկայացված լինեն 5.3.1.2</w:t>
      </w:r>
      <w:r w:rsidR="00665C60" w:rsidRPr="00665C60">
        <w:rPr>
          <w:rFonts w:ascii="Sylfaen" w:hAnsi="Sylfaen"/>
          <w:sz w:val="24"/>
          <w:szCs w:val="24"/>
        </w:rPr>
        <w:t> </w:t>
      </w:r>
      <w:r w:rsidRPr="00834D52">
        <w:rPr>
          <w:rFonts w:ascii="Sylfaen" w:hAnsi="Sylfaen"/>
          <w:sz w:val="24"/>
          <w:szCs w:val="24"/>
        </w:rPr>
        <w:t>ենթաբաժնում: Նա</w:t>
      </w:r>
      <w:r w:rsidR="00C54D75">
        <w:rPr>
          <w:rFonts w:ascii="Sylfaen" w:hAnsi="Sylfaen"/>
          <w:sz w:val="24"/>
          <w:szCs w:val="24"/>
        </w:rPr>
        <w:t>և</w:t>
      </w:r>
      <w:r w:rsidRPr="00834D52">
        <w:rPr>
          <w:rFonts w:ascii="Sylfaen" w:hAnsi="Sylfaen"/>
          <w:sz w:val="24"/>
          <w:szCs w:val="24"/>
        </w:rPr>
        <w:t xml:space="preserve"> անհրաժեշտ է ներկայացնել կենսավերլուծական մեթոդի վալիդացման մասին հաշվետվությունը: Նա</w:t>
      </w:r>
      <w:r w:rsidR="00C54D75">
        <w:rPr>
          <w:rFonts w:ascii="Sylfaen" w:hAnsi="Sylfaen"/>
          <w:sz w:val="24"/>
          <w:szCs w:val="24"/>
        </w:rPr>
        <w:t>և</w:t>
      </w:r>
      <w:r w:rsidRPr="00834D52">
        <w:rPr>
          <w:rFonts w:ascii="Sylfaen" w:hAnsi="Sylfaen"/>
          <w:sz w:val="24"/>
          <w:szCs w:val="24"/>
        </w:rPr>
        <w:t xml:space="preserve"> անհրաժեշտ է ներկայացնել կոնցենտրացիայի, </w:t>
      </w:r>
      <w:r w:rsidR="00355C33">
        <w:rPr>
          <w:rFonts w:ascii="Sylfaen" w:hAnsi="Sylfaen"/>
          <w:sz w:val="24"/>
          <w:szCs w:val="24"/>
        </w:rPr>
        <w:t>դեղա</w:t>
      </w:r>
      <w:r w:rsidRPr="00834D52">
        <w:rPr>
          <w:rFonts w:ascii="Sylfaen" w:hAnsi="Sylfaen"/>
          <w:sz w:val="24"/>
          <w:szCs w:val="24"/>
        </w:rPr>
        <w:t xml:space="preserve">կինետիկայի մասին </w:t>
      </w:r>
      <w:r w:rsidR="00C54D75">
        <w:rPr>
          <w:rFonts w:ascii="Sylfaen" w:hAnsi="Sylfaen"/>
          <w:sz w:val="24"/>
          <w:szCs w:val="24"/>
        </w:rPr>
        <w:t>և</w:t>
      </w:r>
      <w:r w:rsidRPr="00834D52">
        <w:rPr>
          <w:rFonts w:ascii="Sylfaen" w:hAnsi="Sylfaen"/>
          <w:sz w:val="24"/>
          <w:szCs w:val="24"/>
        </w:rPr>
        <w:t xml:space="preserve"> վիճակագրական վերլուծության մասով տվյալները:</w:t>
      </w:r>
    </w:p>
    <w:p w14:paraId="4D9A2AEE" w14:textId="77777777" w:rsidR="006F76EB" w:rsidRPr="00834D52" w:rsidRDefault="006F76EB" w:rsidP="008D457F">
      <w:pPr>
        <w:spacing w:after="160" w:line="336"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lastRenderedPageBreak/>
        <w:t xml:space="preserve">Կենսահամարժեքության հետազոտության անցկացման մասին հաշվետվությունում անհրաժեշտ է նշել տեղեկություններ՝ հետազոտողի (նշելով նրա աշխատանքային վայրը), հետազոտությունն անցկացնող կազմակերպության </w:t>
      </w:r>
      <w:r w:rsidR="00C54D75">
        <w:rPr>
          <w:rFonts w:ascii="Sylfaen" w:hAnsi="Sylfaen"/>
          <w:spacing w:val="-4"/>
          <w:sz w:val="24"/>
          <w:szCs w:val="24"/>
        </w:rPr>
        <w:t>և</w:t>
      </w:r>
      <w:r w:rsidRPr="00834D52">
        <w:rPr>
          <w:rFonts w:ascii="Sylfaen" w:hAnsi="Sylfaen"/>
          <w:spacing w:val="-4"/>
          <w:sz w:val="24"/>
          <w:szCs w:val="24"/>
        </w:rPr>
        <w:t xml:space="preserve"> հետազոտության անցկացման ժամկետի մասին: Հաշվետվությանն անհրաժեշտ է կցել աուդիտների հավաստագրերը (առկայության դեպքում):</w:t>
      </w:r>
    </w:p>
    <w:p w14:paraId="2E6DCB9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Կենսահամարժեքության հետազոտության անցկացման մասին հաշվետվությունում կամ առանձին պաշտոնական գրությունում պետք է նշվի </w:t>
      </w:r>
      <w:r w:rsidR="0032680A">
        <w:rPr>
          <w:rFonts w:ascii="Sylfaen" w:hAnsi="Sylfaen"/>
          <w:sz w:val="24"/>
          <w:szCs w:val="24"/>
        </w:rPr>
        <w:t xml:space="preserve">ռեֆերենտ </w:t>
      </w:r>
      <w:r w:rsidRPr="00834D52">
        <w:rPr>
          <w:rFonts w:ascii="Sylfaen" w:hAnsi="Sylfaen"/>
          <w:sz w:val="24"/>
          <w:szCs w:val="24"/>
        </w:rPr>
        <w:t>դեղապատրաստուկի ընտրության հաստատումը՝ Հանձնաժողովի կողմից հաստատվող՝ Եվրասիական տնտեսական միության շրջանակներում դեղապատրաստուկի կենսահամարժեքության հետազոտությունների անցկացման կանոններին համապատասխան: Նա</w:t>
      </w:r>
      <w:r w:rsidR="00C54D75">
        <w:rPr>
          <w:rFonts w:ascii="Sylfaen" w:hAnsi="Sylfaen"/>
          <w:sz w:val="24"/>
          <w:szCs w:val="24"/>
        </w:rPr>
        <w:t>և</w:t>
      </w:r>
      <w:r w:rsidRPr="00834D52">
        <w:rPr>
          <w:rFonts w:ascii="Sylfaen" w:hAnsi="Sylfaen"/>
          <w:sz w:val="24"/>
          <w:szCs w:val="24"/>
        </w:rPr>
        <w:t xml:space="preserve"> նշվում են </w:t>
      </w:r>
      <w:r w:rsidR="0032680A">
        <w:rPr>
          <w:rFonts w:ascii="Sylfaen" w:hAnsi="Sylfaen"/>
          <w:sz w:val="24"/>
          <w:szCs w:val="24"/>
        </w:rPr>
        <w:t xml:space="preserve">ռեֆերենտ </w:t>
      </w:r>
      <w:r w:rsidRPr="00834D52">
        <w:rPr>
          <w:rFonts w:ascii="Sylfaen" w:hAnsi="Sylfaen"/>
          <w:sz w:val="24"/>
          <w:szCs w:val="24"/>
        </w:rPr>
        <w:t>դեղապատրաստուկի վերաբերյալ հետ</w:t>
      </w:r>
      <w:r w:rsidR="00C54D75">
        <w:rPr>
          <w:rFonts w:ascii="Sylfaen" w:hAnsi="Sylfaen"/>
          <w:sz w:val="24"/>
          <w:szCs w:val="24"/>
        </w:rPr>
        <w:t>և</w:t>
      </w:r>
      <w:r w:rsidRPr="00834D52">
        <w:rPr>
          <w:rFonts w:ascii="Sylfaen" w:hAnsi="Sylfaen"/>
          <w:sz w:val="24"/>
          <w:szCs w:val="24"/>
        </w:rPr>
        <w:t>յալ տեղեկությունները.</w:t>
      </w:r>
    </w:p>
    <w:p w14:paraId="45296076"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5F667691"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դոզավորումը.</w:t>
      </w:r>
    </w:p>
    <w:p w14:paraId="78DF817F"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177E9C3"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իրավատերը.</w:t>
      </w:r>
    </w:p>
    <w:p w14:paraId="604FA4CC"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ամսաթիվը.</w:t>
      </w:r>
    </w:p>
    <w:p w14:paraId="6A720078" w14:textId="77777777" w:rsidR="006F76EB" w:rsidRPr="00834D52" w:rsidRDefault="006F76EB" w:rsidP="008D457F">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գրանցման հավաստագրի համարը.</w:t>
      </w:r>
    </w:p>
    <w:p w14:paraId="3288FE0C"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պետությունը, որի տարածքում </w:t>
      </w:r>
      <w:r w:rsidR="00D23E48">
        <w:rPr>
          <w:rFonts w:ascii="Sylfaen" w:hAnsi="Sylfaen"/>
          <w:sz w:val="24"/>
          <w:szCs w:val="24"/>
        </w:rPr>
        <w:t xml:space="preserve">ռեֆերենտ </w:t>
      </w:r>
      <w:r w:rsidRPr="00834D52">
        <w:rPr>
          <w:rFonts w:ascii="Sylfaen" w:hAnsi="Sylfaen"/>
          <w:sz w:val="24"/>
          <w:szCs w:val="24"/>
        </w:rPr>
        <w:t>պատրաստուկը գրանցված է.</w:t>
      </w:r>
    </w:p>
    <w:p w14:paraId="4C86CEE7"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սերիայի համարը.</w:t>
      </w:r>
    </w:p>
    <w:p w14:paraId="6ABC44C3"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53A6ECAB"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5D23151"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2BBAB80F" w14:textId="77777777" w:rsidR="006F76EB" w:rsidRPr="00834D52" w:rsidRDefault="006F76EB" w:rsidP="008D457F">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Դեղամիջոցների հարցերով փորձագիտական կոմիտեի առաջարկությունը՝ </w:t>
      </w:r>
      <w:r w:rsidR="0032680A">
        <w:rPr>
          <w:rFonts w:ascii="Sylfaen" w:hAnsi="Sylfaen"/>
          <w:sz w:val="24"/>
          <w:szCs w:val="24"/>
        </w:rPr>
        <w:t xml:space="preserve">ռեֆերենտ </w:t>
      </w:r>
      <w:r w:rsidRPr="00834D52">
        <w:rPr>
          <w:rFonts w:ascii="Sylfaen" w:hAnsi="Sylfaen"/>
          <w:sz w:val="24"/>
          <w:szCs w:val="24"/>
        </w:rPr>
        <w:t>պատրաստուկի ընտրության վերաբերյալ (առկայության դեպքում):</w:t>
      </w:r>
    </w:p>
    <w:p w14:paraId="3533E3CD"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նշել թեստավորվող պատրաստուկի անվանումը </w:t>
      </w:r>
      <w:r w:rsidR="00C54D75">
        <w:rPr>
          <w:rFonts w:ascii="Sylfaen" w:hAnsi="Sylfaen"/>
          <w:sz w:val="24"/>
          <w:szCs w:val="24"/>
        </w:rPr>
        <w:t>և</w:t>
      </w:r>
      <w:r w:rsidRPr="00834D52">
        <w:rPr>
          <w:rFonts w:ascii="Sylfaen" w:hAnsi="Sylfaen"/>
          <w:sz w:val="24"/>
          <w:szCs w:val="24"/>
        </w:rPr>
        <w:t xml:space="preserve"> բաղադրությունը,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օրը:</w:t>
      </w:r>
    </w:p>
    <w:p w14:paraId="22B70CD6" w14:textId="77777777"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Հետազոտության մասին հաշվետվության հավելվածում նա</w:t>
      </w:r>
      <w:r w:rsidR="00C54D75">
        <w:rPr>
          <w:rFonts w:ascii="Sylfaen" w:hAnsi="Sylfaen"/>
          <w:sz w:val="24"/>
          <w:szCs w:val="24"/>
        </w:rPr>
        <w:t>և</w:t>
      </w:r>
      <w:r w:rsidRPr="00834D52">
        <w:rPr>
          <w:rFonts w:ascii="Sylfaen" w:hAnsi="Sylfaen"/>
          <w:sz w:val="24"/>
          <w:szCs w:val="24"/>
        </w:rPr>
        <w:t xml:space="preserve"> ընդգրկվում են կենսահամարժեքության հետազոտությունում օգտագործված </w:t>
      </w:r>
      <w:r w:rsidR="00D23E48">
        <w:rPr>
          <w:rFonts w:ascii="Sylfaen" w:hAnsi="Sylfaen"/>
          <w:sz w:val="24"/>
          <w:szCs w:val="24"/>
        </w:rPr>
        <w:t>ռեֆերենտ</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թեստավորվող պատրաստուկի սերիայի վերլուծության հավաստագրերը:</w:t>
      </w:r>
    </w:p>
    <w:p w14:paraId="63742DA7" w14:textId="25F66DEB"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արտադրողի՝ որակի հարցերով լիազորված անձի կողմից ստորագրված </w:t>
      </w:r>
      <w:r w:rsidR="00C54D75">
        <w:rPr>
          <w:rFonts w:ascii="Sylfaen" w:hAnsi="Sylfaen"/>
          <w:sz w:val="24"/>
          <w:szCs w:val="24"/>
        </w:rPr>
        <w:t>և</w:t>
      </w:r>
      <w:r w:rsidRPr="00834D52">
        <w:rPr>
          <w:rFonts w:ascii="Sylfaen" w:hAnsi="Sylfaen"/>
          <w:sz w:val="24"/>
          <w:szCs w:val="24"/>
        </w:rPr>
        <w:t xml:space="preserve"> հետազոտվող պատրաստուկի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գրանցման նպատակով </w:t>
      </w:r>
      <w:r w:rsidR="001A5F1A">
        <w:rPr>
          <w:rFonts w:ascii="Sylfaen" w:hAnsi="Sylfaen"/>
          <w:sz w:val="24"/>
          <w:szCs w:val="24"/>
        </w:rPr>
        <w:t>հայտագրված</w:t>
      </w:r>
      <w:r w:rsidRPr="00834D52">
        <w:rPr>
          <w:rFonts w:ascii="Sylfaen" w:hAnsi="Sylfaen"/>
          <w:sz w:val="24"/>
          <w:szCs w:val="24"/>
        </w:rPr>
        <w:t xml:space="preserve"> դեղապարաստուկի քանակական կազմի </w:t>
      </w:r>
      <w:r w:rsidR="00C54D75">
        <w:rPr>
          <w:rFonts w:ascii="Sylfaen" w:hAnsi="Sylfaen"/>
          <w:sz w:val="24"/>
          <w:szCs w:val="24"/>
        </w:rPr>
        <w:t>և</w:t>
      </w:r>
      <w:r w:rsidRPr="00834D52">
        <w:rPr>
          <w:rFonts w:ascii="Sylfaen" w:hAnsi="Sylfaen"/>
          <w:sz w:val="24"/>
          <w:szCs w:val="24"/>
        </w:rPr>
        <w:t xml:space="preserve"> արտադրության հետ նույնական լինելը հաստատող պաշտոնական գրություն ներկայացնել:</w:t>
      </w:r>
    </w:p>
    <w:p w14:paraId="7B085D8B" w14:textId="298ABEE4" w:rsidR="006F76EB" w:rsidRPr="00834D52" w:rsidRDefault="006F76EB" w:rsidP="002B6F90">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 է լրացուցիչ տեղեկատվություն ներկայացնել (դեղապատրաստուկի գրանցման դոսյեի ընդհանուր տեխնիկական փաստաթղթի կառուցվածքին համապատասխան), որով կապացուցվի, որ </w:t>
      </w:r>
      <w:r w:rsidR="001A5F1A">
        <w:rPr>
          <w:rFonts w:ascii="Sylfaen" w:hAnsi="Sylfaen"/>
          <w:sz w:val="24"/>
          <w:szCs w:val="24"/>
        </w:rPr>
        <w:t>հայտագրված</w:t>
      </w:r>
      <w:r w:rsidRPr="00834D52">
        <w:rPr>
          <w:rFonts w:ascii="Sylfaen" w:hAnsi="Sylfaen"/>
          <w:sz w:val="24"/>
          <w:szCs w:val="24"/>
        </w:rPr>
        <w:t xml:space="preserve"> դեղապատրաստուկի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 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32680A">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0AF9A3B2"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նախակլինիկական, կլինիկական հետազոտությունների արդյունքները, որոնք անցկացվել են այն դեպքերում, երբ դա անհրաժեշտ է, պետք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2609A36E" w14:textId="77777777" w:rsidR="006F76EB" w:rsidRPr="00834D52" w:rsidRDefault="006F76EB" w:rsidP="002B6F90">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Կենսամատչելիության հետազոտությունները չեն պահանջվում Հանձնաժողովի կողմից հաստատվող՝ Եվրասիական տնտեսական միության շրջանակներում դեղապատրաստուկների կենսամատչելիության հետազոտությունների անցկացման կանոններում նշված չափանիշներին վերարտադրված դեղապատրաստուկի համապատասխանելու մասին տվյալների առկայության դեպքում:</w:t>
      </w:r>
    </w:p>
    <w:p w14:paraId="5ACF7C8A" w14:textId="118EF33E" w:rsidR="006F76EB" w:rsidRDefault="006F76EB" w:rsidP="007D3426">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Այն դեպքում, երբ վերարտադրվող դեղապատրաստուկի ակտիվ նյութը ներկայացված է այլ աղով, եթերով կամ գրանցված պատրաստուկի ակտիվ նյութի ածանցյալով, ներկայացվում է լրացուցիչ տեղեկատվություն (մատենագիտական ուսումնասիրություններ) կամ համապատասխան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(համեմատական կենսամատչելիության հետազոտությունների) հաշվետվություններ, որոնցով ապացուցվում է վերարտադրված դեղապատրաստուկի </w:t>
      </w:r>
      <w:r w:rsidR="00355C33">
        <w:rPr>
          <w:rFonts w:ascii="Sylfaen" w:hAnsi="Sylfaen"/>
          <w:sz w:val="24"/>
          <w:szCs w:val="24"/>
        </w:rPr>
        <w:t>դեղա</w:t>
      </w:r>
      <w:r w:rsidRPr="00834D52">
        <w:rPr>
          <w:rFonts w:ascii="Sylfaen" w:hAnsi="Sylfaen"/>
          <w:sz w:val="24"/>
          <w:szCs w:val="24"/>
        </w:rPr>
        <w:t xml:space="preserve">կինետիկայում, </w:t>
      </w:r>
      <w:r w:rsidR="00355C33">
        <w:rPr>
          <w:rFonts w:ascii="Sylfaen" w:hAnsi="Sylfaen"/>
          <w:sz w:val="24"/>
          <w:szCs w:val="24"/>
        </w:rPr>
        <w:t>դեղա</w:t>
      </w:r>
      <w:r w:rsidRPr="00834D52">
        <w:rPr>
          <w:rFonts w:ascii="Sylfaen" w:hAnsi="Sylfaen"/>
          <w:sz w:val="24"/>
          <w:szCs w:val="24"/>
        </w:rPr>
        <w:t xml:space="preserve">դինամիկայում </w:t>
      </w:r>
      <w:r w:rsidR="00C54D75">
        <w:rPr>
          <w:rFonts w:ascii="Sylfaen" w:hAnsi="Sylfaen"/>
          <w:sz w:val="24"/>
          <w:szCs w:val="24"/>
        </w:rPr>
        <w:t>և</w:t>
      </w:r>
      <w:r w:rsidRPr="00834D52">
        <w:rPr>
          <w:rFonts w:ascii="Sylfaen" w:hAnsi="Sylfaen"/>
          <w:sz w:val="24"/>
          <w:szCs w:val="24"/>
        </w:rPr>
        <w:t xml:space="preserve"> (կամ) թունավորության մեջ փոփոխությունների բացակայությունը: Այդպիսի ապացույցներ չներկայացնելու դեպքում տվյալ նյութը դիտարկվում է որպես նոր ակտիվ նյութ:</w:t>
      </w:r>
    </w:p>
    <w:p w14:paraId="64E9A235" w14:textId="4A57DF37" w:rsidR="006F76EB" w:rsidRPr="006F28F9" w:rsidRDefault="004553AB" w:rsidP="007F2846">
      <w:pPr>
        <w:rPr>
          <w:b/>
          <w:bCs/>
          <w:i/>
          <w:iCs/>
        </w:rPr>
      </w:pPr>
      <w:r w:rsidRPr="00CD4709">
        <w:rPr>
          <w:b/>
          <w:bCs/>
          <w:i/>
          <w:iCs/>
        </w:rPr>
        <w:t>(</w:t>
      </w:r>
      <w:r>
        <w:rPr>
          <w:b/>
          <w:bCs/>
          <w:i/>
          <w:iCs/>
        </w:rPr>
        <w:t xml:space="preserve">6-րդ կետը </w:t>
      </w:r>
      <w:r w:rsidRPr="00CD4709">
        <w:rPr>
          <w:b/>
          <w:bCs/>
          <w:i/>
          <w:iCs/>
        </w:rPr>
        <w:t>փոփ. 30.01.20 թիվ 9)</w:t>
      </w:r>
    </w:p>
    <w:p w14:paraId="7200B08E" w14:textId="77777777" w:rsidR="006F76EB" w:rsidRPr="00834D52" w:rsidRDefault="006F76EB" w:rsidP="007D3426">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7. Հիբրիդային դեղապատրաստուկների գրանցման դոսյեի փաստաթղթերին ներկայացվող պահանջները</w:t>
      </w:r>
    </w:p>
    <w:p w14:paraId="1F82279B"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Հիբրիդային դեղապատրաստուկների գրանցման դոսյեն պետք է պարունակի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լրացուցիչ տվյալներ՝ սույն բաժնի պահանջներին համապատասխան:</w:t>
      </w:r>
    </w:p>
    <w:p w14:paraId="5F362E10"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7.1.</w:t>
      </w:r>
      <w:r w:rsidRPr="00834D52">
        <w:rPr>
          <w:rFonts w:ascii="Sylfaen" w:hAnsi="Sylfaen"/>
          <w:sz w:val="24"/>
          <w:szCs w:val="24"/>
        </w:rPr>
        <w:tab/>
        <w:t>Մոդուլ 1.</w:t>
      </w:r>
    </w:p>
    <w:p w14:paraId="3C9203F7" w14:textId="3A3DFDA6"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Վերարտադրված դեղապատրաստուկի գրանցման դոսյեի 1.8.2 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(մինչ</w:t>
      </w:r>
      <w:r w:rsidR="00C54D75">
        <w:rPr>
          <w:rFonts w:ascii="Sylfaen" w:hAnsi="Sylfaen"/>
          <w:sz w:val="24"/>
          <w:szCs w:val="24"/>
        </w:rPr>
        <w:t>և</w:t>
      </w:r>
      <w:r w:rsidRPr="00834D52">
        <w:rPr>
          <w:rFonts w:ascii="Sylfaen" w:hAnsi="Sylfaen"/>
          <w:sz w:val="24"/>
          <w:szCs w:val="24"/>
        </w:rPr>
        <w:t xml:space="preserve"> 5 էջ), որոնք ցույց են տալիս, որ դեղապատրաստուկը համապատասխան օրիգինալ դեղապատրաստուկի հիբրիդային դեղապատրաստուկ է: Ռեզյումեն պետք է պարունակի օրիգինալ պատրաստուկի համեմատությամբ պատրաստուկի, ակտիվ դեղագործական բաղադրամասի, դեղաձ</w:t>
      </w:r>
      <w:r w:rsidR="00C54D75">
        <w:rPr>
          <w:rFonts w:ascii="Sylfaen" w:hAnsi="Sylfaen"/>
          <w:sz w:val="24"/>
          <w:szCs w:val="24"/>
        </w:rPr>
        <w:t>և</w:t>
      </w:r>
      <w:r w:rsidRPr="00834D52">
        <w:rPr>
          <w:rFonts w:ascii="Sylfaen" w:hAnsi="Sylfaen"/>
          <w:sz w:val="24"/>
          <w:szCs w:val="24"/>
        </w:rPr>
        <w:t>ի, դոզավորումների, կիրառման ցուցումների, կիրառման եղանակի մասին տեղեկատվություն, ինչպես նա</w:t>
      </w:r>
      <w:r w:rsidR="00C54D75">
        <w:rPr>
          <w:rFonts w:ascii="Sylfaen" w:hAnsi="Sylfaen"/>
          <w:sz w:val="24"/>
          <w:szCs w:val="24"/>
        </w:rPr>
        <w:t>և</w:t>
      </w:r>
      <w:r w:rsidRPr="00834D52">
        <w:rPr>
          <w:rFonts w:ascii="Sylfaen" w:hAnsi="Sylfaen"/>
          <w:sz w:val="24"/>
          <w:szCs w:val="24"/>
        </w:rPr>
        <w:t xml:space="preserve"> անհրաժեշտության դեպքում տեղեկություններ՝ տվյալ պատրաստուկի կենսամատչելիության </w:t>
      </w:r>
      <w:r w:rsidR="00C54D75">
        <w:rPr>
          <w:rFonts w:ascii="Sylfaen" w:hAnsi="Sylfaen"/>
          <w:sz w:val="24"/>
          <w:szCs w:val="24"/>
        </w:rPr>
        <w:t>և</w:t>
      </w:r>
      <w:r w:rsidRPr="00834D52">
        <w:rPr>
          <w:rFonts w:ascii="Sylfaen" w:hAnsi="Sylfaen"/>
          <w:sz w:val="24"/>
          <w:szCs w:val="24"/>
        </w:rPr>
        <w:t xml:space="preserve"> կենսահամարժեքության մասին:</w:t>
      </w:r>
    </w:p>
    <w:p w14:paraId="48AEE0A3"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Որոշակի դեպքերում կարող է պահանջվել ռիսկերի կառավարման պլանը:</w:t>
      </w:r>
    </w:p>
    <w:p w14:paraId="77ECB91C" w14:textId="77777777" w:rsidR="006F76EB" w:rsidRPr="00834D52" w:rsidRDefault="006F76EB" w:rsidP="007D3426">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Որոշակի տարրերի բացակայության դեպքում պետք է հիմնավորել դրանց բացակայությունը դեղապատրաստուկի գրանցման դոսյեի՝ տվյալ տարրի դասավորվածությանը համապատասխանող բաժնում: </w:t>
      </w:r>
    </w:p>
    <w:p w14:paraId="4F865697" w14:textId="77777777" w:rsidR="006F76EB" w:rsidRPr="00834D52" w:rsidRDefault="006F76EB" w:rsidP="008A55C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7.2.</w:t>
      </w:r>
      <w:r w:rsidRPr="00834D52">
        <w:rPr>
          <w:rFonts w:ascii="Sylfaen" w:hAnsi="Sylfaen"/>
          <w:sz w:val="24"/>
          <w:szCs w:val="24"/>
        </w:rPr>
        <w:tab/>
        <w:t>Մոդուլ 2.</w:t>
      </w:r>
    </w:p>
    <w:p w14:paraId="6FB4BC97"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w:t>
      </w:r>
      <w:r w:rsidR="00C54D75">
        <w:rPr>
          <w:rFonts w:ascii="Sylfaen" w:hAnsi="Sylfaen"/>
          <w:sz w:val="24"/>
          <w:szCs w:val="24"/>
        </w:rPr>
        <w:t>և</w:t>
      </w:r>
      <w:r w:rsidRPr="00834D52">
        <w:rPr>
          <w:rFonts w:ascii="Sylfaen" w:hAnsi="Sylfaen"/>
          <w:sz w:val="24"/>
          <w:szCs w:val="24"/>
        </w:rPr>
        <w:t xml:space="preserve"> կլինիկական տվյալների ամփոփագրում անհրաժեշտ է հատուկ ուշադրություն դարձնել հետ</w:t>
      </w:r>
      <w:r w:rsidR="00C54D75">
        <w:rPr>
          <w:rFonts w:ascii="Sylfaen" w:hAnsi="Sylfaen"/>
          <w:sz w:val="24"/>
          <w:szCs w:val="24"/>
        </w:rPr>
        <w:t>և</w:t>
      </w:r>
      <w:r w:rsidRPr="00834D52">
        <w:rPr>
          <w:rFonts w:ascii="Sylfaen" w:hAnsi="Sylfaen"/>
          <w:sz w:val="24"/>
          <w:szCs w:val="24"/>
        </w:rPr>
        <w:t>յալ տարրերին.</w:t>
      </w:r>
    </w:p>
    <w:p w14:paraId="03B3CF9D"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դեղագործական շուկայում իրացման ենթակա դեղապատրաստուկի սերիաներում ակտիվ նյութի խառնուկների պրոֆիլի ռեզյումե (</w:t>
      </w:r>
      <w:r w:rsidR="00C54D75">
        <w:rPr>
          <w:rFonts w:ascii="Sylfaen" w:hAnsi="Sylfaen"/>
          <w:sz w:val="24"/>
          <w:szCs w:val="24"/>
        </w:rPr>
        <w:t>և</w:t>
      </w:r>
      <w:r w:rsidR="001C41B5" w:rsidRPr="001C41B5">
        <w:rPr>
          <w:rFonts w:ascii="Sylfaen" w:hAnsi="Sylfaen"/>
          <w:sz w:val="24"/>
          <w:szCs w:val="24"/>
        </w:rPr>
        <w:t> </w:t>
      </w:r>
      <w:r w:rsidRPr="00834D52">
        <w:rPr>
          <w:rFonts w:ascii="Sylfaen" w:hAnsi="Sylfaen"/>
          <w:sz w:val="24"/>
          <w:szCs w:val="24"/>
        </w:rPr>
        <w:t>համապատասխան դեպքերում՝ դեղապատրաստուկի պահպանման ժամանակ առաջացող հնարավոր քայքայման արգասիքները): դեղապատրաստուկի սերիաներով, որը ենթակա է իրացմանը դեղագործական շուկայում.</w:t>
      </w:r>
    </w:p>
    <w:p w14:paraId="24307D1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տվյալ դեղապատրաստուկի ակտիվ նյութի վերաբերյալ գրական հրապարակումների թարմացում (տվյալ պահանջը կարող է կատարվել գրախոսվող պարբերականներում հոդվածներին արված հղումների միջոցով).</w:t>
      </w:r>
    </w:p>
    <w:p w14:paraId="733BF15C"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նախկինում անծանոթ կամ պատրաստուկի բնութագրից </w:t>
      </w:r>
      <w:r w:rsidR="00C54D75">
        <w:rPr>
          <w:rFonts w:ascii="Sylfaen" w:hAnsi="Sylfaen"/>
          <w:sz w:val="24"/>
          <w:szCs w:val="24"/>
        </w:rPr>
        <w:t>և</w:t>
      </w:r>
      <w:r w:rsidRPr="00834D52">
        <w:rPr>
          <w:rFonts w:ascii="Sylfaen" w:hAnsi="Sylfaen"/>
          <w:sz w:val="24"/>
          <w:szCs w:val="24"/>
        </w:rPr>
        <w:t xml:space="preserve"> (կամ) դրա թերապ</w:t>
      </w:r>
      <w:r w:rsidR="00C54D75">
        <w:rPr>
          <w:rFonts w:ascii="Sylfaen" w:hAnsi="Sylfaen"/>
          <w:sz w:val="24"/>
          <w:szCs w:val="24"/>
        </w:rPr>
        <w:t>և</w:t>
      </w:r>
      <w:r w:rsidRPr="00834D52">
        <w:rPr>
          <w:rFonts w:ascii="Sylfaen" w:hAnsi="Sylfaen"/>
          <w:sz w:val="24"/>
          <w:szCs w:val="24"/>
        </w:rPr>
        <w:t xml:space="preserve">տիկ խմբից բխող կետեր, որոնք հարկ է վերլուծել նախակլինիկական </w:t>
      </w:r>
      <w:r w:rsidR="00C54D75">
        <w:rPr>
          <w:rFonts w:ascii="Sylfaen" w:hAnsi="Sylfaen"/>
          <w:sz w:val="24"/>
          <w:szCs w:val="24"/>
        </w:rPr>
        <w:t>և</w:t>
      </w:r>
      <w:r w:rsidRPr="00834D52">
        <w:rPr>
          <w:rFonts w:ascii="Sylfaen" w:hAnsi="Sylfaen"/>
          <w:sz w:val="24"/>
          <w:szCs w:val="24"/>
        </w:rPr>
        <w:t xml:space="preserve"> կլինիկական ամփոփագրերում (ռեզյումեներում) </w:t>
      </w:r>
      <w:r w:rsidR="00C54D75">
        <w:rPr>
          <w:rFonts w:ascii="Sylfaen" w:hAnsi="Sylfaen"/>
          <w:sz w:val="24"/>
          <w:szCs w:val="24"/>
        </w:rPr>
        <w:t>և</w:t>
      </w:r>
      <w:r w:rsidRPr="00834D52">
        <w:rPr>
          <w:rFonts w:ascii="Sylfaen" w:hAnsi="Sylfaen"/>
          <w:sz w:val="24"/>
          <w:szCs w:val="24"/>
        </w:rPr>
        <w:t xml:space="preserve"> հիմնավորել գիտական գրականությունից </w:t>
      </w:r>
      <w:r w:rsidR="00C54D75">
        <w:rPr>
          <w:rFonts w:ascii="Sylfaen" w:hAnsi="Sylfaen"/>
          <w:sz w:val="24"/>
          <w:szCs w:val="24"/>
        </w:rPr>
        <w:t>և</w:t>
      </w:r>
      <w:r w:rsidRPr="00834D52">
        <w:rPr>
          <w:rFonts w:ascii="Sylfaen" w:hAnsi="Sylfaen"/>
          <w:sz w:val="24"/>
          <w:szCs w:val="24"/>
        </w:rPr>
        <w:t xml:space="preserve"> (կամ) լրացուցիչ հետազոտությունների անցկացման արդյունքում ստացված ապացույցներով.</w:t>
      </w:r>
    </w:p>
    <w:p w14:paraId="5DA748FC" w14:textId="432D9D9F"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լրացուցիչ տեղեկատվություն, որով ապացուցվում է, որ </w:t>
      </w:r>
      <w:r w:rsidR="001A5F1A">
        <w:rPr>
          <w:rFonts w:ascii="Sylfaen" w:hAnsi="Sylfaen"/>
          <w:sz w:val="24"/>
          <w:szCs w:val="24"/>
        </w:rPr>
        <w:t>հայտագրված</w:t>
      </w:r>
      <w:r w:rsidRPr="00834D52">
        <w:rPr>
          <w:rFonts w:ascii="Sylfaen" w:hAnsi="Sylfaen"/>
          <w:sz w:val="24"/>
          <w:szCs w:val="24"/>
        </w:rPr>
        <w:t xml:space="preserve"> պատրաստուկի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պրոֆիլները չեն</w:t>
      </w:r>
      <w:r w:rsidR="00553BBB" w:rsidRPr="00553BBB">
        <w:rPr>
          <w:rFonts w:ascii="Sylfaen" w:hAnsi="Sylfaen"/>
          <w:sz w:val="24"/>
          <w:szCs w:val="24"/>
        </w:rPr>
        <w:t> </w:t>
      </w:r>
      <w:r w:rsidRPr="00834D52">
        <w:rPr>
          <w:rFonts w:ascii="Sylfaen" w:hAnsi="Sylfaen"/>
          <w:sz w:val="24"/>
          <w:szCs w:val="24"/>
        </w:rPr>
        <w:t xml:space="preserve">տարբերվում </w:t>
      </w:r>
      <w:r w:rsidR="0032680A">
        <w:rPr>
          <w:rFonts w:ascii="Sylfaen" w:hAnsi="Sylfaen"/>
          <w:sz w:val="24"/>
          <w:szCs w:val="24"/>
        </w:rPr>
        <w:t xml:space="preserve">ռեֆերենտ </w:t>
      </w:r>
      <w:r w:rsidRPr="00834D52">
        <w:rPr>
          <w:rFonts w:ascii="Sylfaen" w:hAnsi="Sylfaen"/>
          <w:sz w:val="24"/>
          <w:szCs w:val="24"/>
        </w:rPr>
        <w:t xml:space="preserve">պատրաստուկի նույն պրոֆիլներից՝ ակտիվ նյութի (աղերի, եթերների, իզոմերների, իզոմերների խառնուրդների, </w:t>
      </w:r>
      <w:r w:rsidR="00D23E48">
        <w:rPr>
          <w:rFonts w:ascii="Sylfaen" w:hAnsi="Sylfaen"/>
          <w:sz w:val="24"/>
          <w:szCs w:val="24"/>
        </w:rPr>
        <w:t xml:space="preserve">ռեֆերենտ </w:t>
      </w:r>
      <w:r w:rsidRPr="00834D52">
        <w:rPr>
          <w:rFonts w:ascii="Sylfaen" w:hAnsi="Sylfaen"/>
          <w:sz w:val="24"/>
          <w:szCs w:val="24"/>
        </w:rPr>
        <w:t>պատրաստուկի ակտիվ նյութի կոմպլեքսների կամ ածանցյալների) քիմիական ձ</w:t>
      </w:r>
      <w:r w:rsidR="00C54D75">
        <w:rPr>
          <w:rFonts w:ascii="Sylfaen" w:hAnsi="Sylfaen"/>
          <w:sz w:val="24"/>
          <w:szCs w:val="24"/>
        </w:rPr>
        <w:t>և</w:t>
      </w:r>
      <w:r w:rsidRPr="00834D52">
        <w:rPr>
          <w:rFonts w:ascii="Sylfaen" w:hAnsi="Sylfaen"/>
          <w:sz w:val="24"/>
          <w:szCs w:val="24"/>
        </w:rPr>
        <w:t>ի տարբերության դեպքում:</w:t>
      </w:r>
    </w:p>
    <w:p w14:paraId="75A7E168"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7.3.</w:t>
      </w:r>
      <w:r w:rsidRPr="00834D52">
        <w:rPr>
          <w:rFonts w:ascii="Sylfaen" w:hAnsi="Sylfaen"/>
          <w:sz w:val="24"/>
          <w:szCs w:val="24"/>
        </w:rPr>
        <w:tab/>
        <w:t>Մոդուլ 3.</w:t>
      </w:r>
    </w:p>
    <w:p w14:paraId="447F484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Հարկ է ներկայացնել դեղապատրաստուկի գրանցման դոսյեի 3-րդ մոդուլն ամբողջությամբ:</w:t>
      </w:r>
    </w:p>
    <w:p w14:paraId="620451B6"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7.4.</w:t>
      </w:r>
      <w:r w:rsidRPr="00834D52">
        <w:rPr>
          <w:rFonts w:ascii="Sylfaen" w:hAnsi="Sylfaen"/>
          <w:sz w:val="24"/>
          <w:szCs w:val="24"/>
        </w:rPr>
        <w:tab/>
        <w:t xml:space="preserve">Մոդուլ 4 </w:t>
      </w:r>
      <w:r w:rsidR="00C54D75">
        <w:rPr>
          <w:rFonts w:ascii="Sylfaen" w:hAnsi="Sylfaen"/>
          <w:sz w:val="24"/>
          <w:szCs w:val="24"/>
        </w:rPr>
        <w:t>և</w:t>
      </w:r>
      <w:r w:rsidRPr="00834D52">
        <w:rPr>
          <w:rFonts w:ascii="Sylfaen" w:hAnsi="Sylfaen"/>
          <w:sz w:val="24"/>
          <w:szCs w:val="24"/>
        </w:rPr>
        <w:t xml:space="preserve"> մոդուլ 5:</w:t>
      </w:r>
    </w:p>
    <w:p w14:paraId="5ABF9A5E" w14:textId="77777777" w:rsidR="006F76EB" w:rsidRPr="003C049F"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Հիբրիդային դեղապատրաստուկի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արդյունքները հարկ է ընդգրկել 4-րդ </w:t>
      </w:r>
      <w:r w:rsidR="00C54D75">
        <w:rPr>
          <w:rFonts w:ascii="Sylfaen" w:hAnsi="Sylfaen"/>
          <w:sz w:val="24"/>
          <w:szCs w:val="24"/>
        </w:rPr>
        <w:t>և</w:t>
      </w:r>
      <w:r w:rsidRPr="00834D52">
        <w:rPr>
          <w:rFonts w:ascii="Sylfaen" w:hAnsi="Sylfaen"/>
          <w:sz w:val="24"/>
          <w:szCs w:val="24"/>
        </w:rPr>
        <w:t xml:space="preserve"> 5-րդ մոդուլների համապատասխան բաժիններում:</w:t>
      </w:r>
    </w:p>
    <w:p w14:paraId="0391ED88" w14:textId="77777777" w:rsidR="00AC17B1" w:rsidRPr="003C049F" w:rsidRDefault="00AC17B1" w:rsidP="00105024">
      <w:pPr>
        <w:spacing w:after="160" w:line="360" w:lineRule="auto"/>
        <w:ind w:right="-6" w:firstLine="567"/>
        <w:jc w:val="center"/>
        <w:rPr>
          <w:rFonts w:ascii="Sylfaen" w:eastAsia="Times New Roman" w:hAnsi="Sylfaen" w:cs="Times New Roman"/>
          <w:sz w:val="24"/>
          <w:szCs w:val="24"/>
        </w:rPr>
      </w:pPr>
    </w:p>
    <w:p w14:paraId="105224AB" w14:textId="3EF0A12B" w:rsidR="006F76EB" w:rsidRPr="00834D52" w:rsidRDefault="006F76EB" w:rsidP="00AC17B1">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Վերարտադրված </w:t>
      </w:r>
      <w:r w:rsidR="00C54D75">
        <w:rPr>
          <w:rFonts w:ascii="Sylfaen" w:hAnsi="Sylfaen"/>
          <w:sz w:val="24"/>
          <w:szCs w:val="24"/>
        </w:rPr>
        <w:t>և</w:t>
      </w:r>
      <w:r w:rsidRPr="00834D52">
        <w:rPr>
          <w:rFonts w:ascii="Sylfaen" w:hAnsi="Sylfaen"/>
          <w:sz w:val="24"/>
          <w:szCs w:val="24"/>
        </w:rPr>
        <w:t xml:space="preserve"> հիբրիդային դեղապատրաստուկների համար կամ ընդլայնված պահանջներով գրանցման </w:t>
      </w:r>
      <w:r w:rsidR="009F5829">
        <w:rPr>
          <w:rFonts w:ascii="Sylfaen" w:hAnsi="Sylfaen"/>
          <w:sz w:val="24"/>
          <w:szCs w:val="24"/>
        </w:rPr>
        <w:t>դիմումներ</w:t>
      </w:r>
      <w:r w:rsidRPr="00834D52">
        <w:rPr>
          <w:rFonts w:ascii="Sylfaen" w:hAnsi="Sylfaen"/>
          <w:sz w:val="24"/>
          <w:szCs w:val="24"/>
        </w:rPr>
        <w:t>ի համար անհրաժեշտ լրացուցիչ հետազոտությունների անցկացման կարգը</w:t>
      </w:r>
    </w:p>
    <w:tbl>
      <w:tblPr>
        <w:tblStyle w:val="TableGrid"/>
        <w:tblW w:w="0" w:type="auto"/>
        <w:tblLook w:val="04A0" w:firstRow="1" w:lastRow="0" w:firstColumn="1" w:lastColumn="0" w:noHBand="0" w:noVBand="1"/>
      </w:tblPr>
      <w:tblGrid>
        <w:gridCol w:w="4650"/>
        <w:gridCol w:w="4650"/>
      </w:tblGrid>
      <w:tr w:rsidR="006F76EB" w:rsidRPr="00834D52" w14:paraId="2F3C2813" w14:textId="77777777" w:rsidTr="00F71229">
        <w:tc>
          <w:tcPr>
            <w:tcW w:w="4650" w:type="dxa"/>
            <w:tcBorders>
              <w:bottom w:val="single" w:sz="4" w:space="0" w:color="auto"/>
            </w:tcBorders>
            <w:vAlign w:val="center"/>
          </w:tcPr>
          <w:p w14:paraId="3A5578AE" w14:textId="7E0E540C" w:rsidR="006F76EB" w:rsidRPr="00834D52" w:rsidRDefault="006F76EB" w:rsidP="00105024">
            <w:pPr>
              <w:spacing w:after="120"/>
              <w:ind w:right="-6"/>
              <w:jc w:val="center"/>
              <w:rPr>
                <w:rFonts w:ascii="Sylfaen" w:eastAsia="Times New Roman" w:hAnsi="Sylfaen" w:cs="Times New Roman"/>
                <w:sz w:val="24"/>
                <w:szCs w:val="24"/>
              </w:rPr>
            </w:pPr>
            <w:r w:rsidRPr="00834D52">
              <w:rPr>
                <w:rFonts w:ascii="Sylfaen" w:hAnsi="Sylfaen"/>
                <w:color w:val="1C1C1C"/>
                <w:sz w:val="24"/>
                <w:szCs w:val="24"/>
              </w:rPr>
              <w:t xml:space="preserve">Դեղապատրաստուկների կամ գրանցման </w:t>
            </w:r>
            <w:r w:rsidR="009F5829">
              <w:rPr>
                <w:rFonts w:ascii="Sylfaen" w:hAnsi="Sylfaen"/>
                <w:color w:val="1C1C1C"/>
                <w:sz w:val="24"/>
                <w:szCs w:val="24"/>
              </w:rPr>
              <w:t>դիմումներ</w:t>
            </w:r>
            <w:r w:rsidRPr="00834D52">
              <w:rPr>
                <w:rFonts w:ascii="Sylfaen" w:hAnsi="Sylfaen"/>
                <w:color w:val="1C1C1C"/>
                <w:sz w:val="24"/>
                <w:szCs w:val="24"/>
              </w:rPr>
              <w:t>ի բնութագիրը</w:t>
            </w:r>
          </w:p>
        </w:tc>
        <w:tc>
          <w:tcPr>
            <w:tcW w:w="4650" w:type="dxa"/>
            <w:tcBorders>
              <w:bottom w:val="single" w:sz="4" w:space="0" w:color="auto"/>
            </w:tcBorders>
            <w:vAlign w:val="center"/>
          </w:tcPr>
          <w:p w14:paraId="7C038CC4" w14:textId="77777777" w:rsidR="006F76EB" w:rsidRPr="00834D52" w:rsidRDefault="006F76EB" w:rsidP="00105024">
            <w:pPr>
              <w:spacing w:after="120"/>
              <w:ind w:right="-6"/>
              <w:jc w:val="center"/>
              <w:rPr>
                <w:rFonts w:ascii="Sylfaen" w:hAnsi="Sylfaen"/>
                <w:sz w:val="24"/>
                <w:szCs w:val="24"/>
              </w:rPr>
            </w:pPr>
            <w:r w:rsidRPr="00834D52">
              <w:rPr>
                <w:rFonts w:ascii="Sylfaen" w:hAnsi="Sylfaen"/>
                <w:color w:val="1C1C1C"/>
                <w:sz w:val="24"/>
                <w:szCs w:val="24"/>
              </w:rPr>
              <w:t>Պահանջվող լրացուցիչ տվյալները</w:t>
            </w:r>
          </w:p>
        </w:tc>
      </w:tr>
      <w:tr w:rsidR="006F76EB" w:rsidRPr="00834D52" w14:paraId="42D93A35" w14:textId="77777777" w:rsidTr="00F71229">
        <w:tc>
          <w:tcPr>
            <w:tcW w:w="4650" w:type="dxa"/>
            <w:tcBorders>
              <w:top w:val="single" w:sz="4" w:space="0" w:color="auto"/>
              <w:left w:val="nil"/>
              <w:bottom w:val="nil"/>
              <w:right w:val="nil"/>
            </w:tcBorders>
          </w:tcPr>
          <w:p w14:paraId="31DA37E5"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t>Տարբեր աղեր, բարդ եթերներ, կոմպլեքսներ, դրանց ածանցյալները (մոլեկուլի մի</w:t>
            </w:r>
            <w:r w:rsidR="00C54D75">
              <w:rPr>
                <w:rFonts w:ascii="Sylfaen" w:hAnsi="Sylfaen"/>
                <w:color w:val="1C1C1C"/>
                <w:spacing w:val="-6"/>
                <w:sz w:val="24"/>
                <w:szCs w:val="24"/>
              </w:rPr>
              <w:t>և</w:t>
            </w:r>
            <w:r w:rsidRPr="00267658">
              <w:rPr>
                <w:rFonts w:ascii="Sylfaen" w:hAnsi="Sylfaen"/>
                <w:color w:val="1C1C1C"/>
                <w:spacing w:val="-6"/>
                <w:sz w:val="24"/>
                <w:szCs w:val="24"/>
              </w:rPr>
              <w:t>նույն ակտիվ մասով)</w:t>
            </w:r>
          </w:p>
        </w:tc>
        <w:tc>
          <w:tcPr>
            <w:tcW w:w="4650" w:type="dxa"/>
            <w:tcBorders>
              <w:top w:val="single" w:sz="4" w:space="0" w:color="auto"/>
              <w:left w:val="nil"/>
              <w:bottom w:val="nil"/>
              <w:right w:val="nil"/>
            </w:tcBorders>
          </w:tcPr>
          <w:p w14:paraId="1B9F219D"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ապացույցներ այն մասին, որ մոլեկուլի ակտիվ մասի </w:t>
            </w:r>
            <w:r w:rsidR="00355C33" w:rsidRPr="00267658">
              <w:rPr>
                <w:rFonts w:ascii="Sylfaen" w:hAnsi="Sylfaen"/>
                <w:spacing w:val="-6"/>
                <w:sz w:val="24"/>
                <w:szCs w:val="24"/>
              </w:rPr>
              <w:t>դեղա</w:t>
            </w:r>
            <w:r w:rsidRPr="00267658">
              <w:rPr>
                <w:rFonts w:ascii="Sylfaen" w:hAnsi="Sylfaen"/>
                <w:spacing w:val="-6"/>
                <w:sz w:val="24"/>
                <w:szCs w:val="24"/>
              </w:rPr>
              <w:t xml:space="preserve">կինետիկայում, </w:t>
            </w:r>
            <w:r w:rsidR="00355C33" w:rsidRPr="00267658">
              <w:rPr>
                <w:rFonts w:ascii="Sylfaen" w:hAnsi="Sylfaen"/>
                <w:spacing w:val="-6"/>
                <w:sz w:val="24"/>
                <w:szCs w:val="24"/>
              </w:rPr>
              <w:t>դեղա</w:t>
            </w:r>
            <w:r w:rsidRPr="00267658">
              <w:rPr>
                <w:rFonts w:ascii="Sylfaen" w:hAnsi="Sylfaen"/>
                <w:spacing w:val="-6"/>
                <w:sz w:val="24"/>
                <w:szCs w:val="24"/>
              </w:rPr>
              <w:t xml:space="preserve">դինամիկայում </w:t>
            </w:r>
            <w:r w:rsidR="00C54D75">
              <w:rPr>
                <w:rFonts w:ascii="Sylfaen" w:hAnsi="Sylfaen"/>
                <w:spacing w:val="-6"/>
                <w:sz w:val="24"/>
                <w:szCs w:val="24"/>
              </w:rPr>
              <w:t>և</w:t>
            </w:r>
            <w:r w:rsidRPr="00267658">
              <w:rPr>
                <w:rFonts w:ascii="Sylfaen" w:hAnsi="Sylfaen"/>
                <w:spacing w:val="-6"/>
                <w:sz w:val="24"/>
                <w:szCs w:val="24"/>
              </w:rPr>
              <w:t xml:space="preserve"> (կամ) թունավորության մեջ չկան այնպիսի փոփոխություններ, որոնք կարող են զգալի ազդեցություն ունենալ անվտանգության </w:t>
            </w:r>
            <w:r w:rsidR="00C54D75">
              <w:rPr>
                <w:rFonts w:ascii="Sylfaen" w:hAnsi="Sylfaen"/>
                <w:spacing w:val="-6"/>
                <w:sz w:val="24"/>
                <w:szCs w:val="24"/>
              </w:rPr>
              <w:t>և</w:t>
            </w:r>
            <w:r w:rsidRPr="00267658">
              <w:rPr>
                <w:rFonts w:ascii="Sylfaen" w:hAnsi="Sylfaen"/>
                <w:spacing w:val="-6"/>
                <w:sz w:val="24"/>
                <w:szCs w:val="24"/>
              </w:rPr>
              <w:t xml:space="preserve"> (կամ) արդյունավետության պրոֆիլի վրա (այլապես ակտիվ նյութը հարկ է դիտարկել որպես նոր ակտիվ նյութ)</w:t>
            </w:r>
          </w:p>
        </w:tc>
      </w:tr>
      <w:tr w:rsidR="006F76EB" w:rsidRPr="00834D52" w14:paraId="337DF076" w14:textId="77777777" w:rsidTr="008D0D54">
        <w:trPr>
          <w:trHeight w:val="3006"/>
        </w:trPr>
        <w:tc>
          <w:tcPr>
            <w:tcW w:w="4650" w:type="dxa"/>
            <w:tcBorders>
              <w:top w:val="nil"/>
              <w:left w:val="nil"/>
              <w:bottom w:val="nil"/>
              <w:right w:val="nil"/>
            </w:tcBorders>
          </w:tcPr>
          <w:p w14:paraId="229AE99C"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Կիրառման այլ եղանակ կամ այլ դեղաձ</w:t>
            </w:r>
            <w:r w:rsidR="00C54D75">
              <w:rPr>
                <w:rFonts w:ascii="Sylfaen" w:hAnsi="Sylfaen"/>
                <w:spacing w:val="-6"/>
                <w:sz w:val="24"/>
                <w:szCs w:val="24"/>
              </w:rPr>
              <w:t>և</w:t>
            </w:r>
            <w:r w:rsidRPr="00267658">
              <w:rPr>
                <w:rFonts w:ascii="Sylfaen" w:hAnsi="Sylfaen"/>
                <w:spacing w:val="-6"/>
                <w:sz w:val="24"/>
                <w:szCs w:val="24"/>
              </w:rPr>
              <w:t>՝</w:t>
            </w:r>
          </w:p>
        </w:tc>
        <w:tc>
          <w:tcPr>
            <w:tcW w:w="4650" w:type="dxa"/>
            <w:tcBorders>
              <w:top w:val="nil"/>
              <w:left w:val="nil"/>
              <w:bottom w:val="nil"/>
              <w:right w:val="nil"/>
            </w:tcBorders>
          </w:tcPr>
          <w:p w14:paraId="2C00BDCB"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spacing w:val="-6"/>
                <w:sz w:val="24"/>
                <w:szCs w:val="24"/>
              </w:rPr>
              <w:t xml:space="preserve">կլինիկական տվյալները (անվտանգություն </w:t>
            </w:r>
            <w:r w:rsidR="00C54D75">
              <w:rPr>
                <w:rFonts w:ascii="Sylfaen" w:hAnsi="Sylfaen"/>
                <w:spacing w:val="-6"/>
                <w:sz w:val="24"/>
                <w:szCs w:val="24"/>
              </w:rPr>
              <w:t>և</w:t>
            </w:r>
            <w:r w:rsidRPr="00267658">
              <w:rPr>
                <w:rFonts w:ascii="Sylfaen" w:hAnsi="Sylfaen"/>
                <w:spacing w:val="-6"/>
                <w:sz w:val="24"/>
                <w:szCs w:val="24"/>
              </w:rPr>
              <w:t xml:space="preserve"> արդյունավետություն), </w:t>
            </w:r>
            <w:r w:rsidR="00355C33" w:rsidRPr="00267658">
              <w:rPr>
                <w:rFonts w:ascii="Sylfaen" w:hAnsi="Sylfaen"/>
                <w:spacing w:val="-6"/>
                <w:sz w:val="24"/>
                <w:szCs w:val="24"/>
              </w:rPr>
              <w:t>դեղա</w:t>
            </w:r>
            <w:r w:rsidRPr="00267658">
              <w:rPr>
                <w:rFonts w:ascii="Sylfaen" w:hAnsi="Sylfaen"/>
                <w:spacing w:val="-6"/>
                <w:sz w:val="24"/>
                <w:szCs w:val="24"/>
              </w:rPr>
              <w:t>կինետիկան, ինչպես նա</w:t>
            </w:r>
            <w:r w:rsidR="00C54D75">
              <w:rPr>
                <w:rFonts w:ascii="Sylfaen" w:hAnsi="Sylfaen"/>
                <w:spacing w:val="-6"/>
                <w:sz w:val="24"/>
                <w:szCs w:val="24"/>
              </w:rPr>
              <w:t>և</w:t>
            </w:r>
            <w:r w:rsidRPr="00267658">
              <w:rPr>
                <w:rFonts w:ascii="Sylfaen" w:hAnsi="Sylfaen"/>
                <w:spacing w:val="-6"/>
                <w:sz w:val="24"/>
                <w:szCs w:val="24"/>
              </w:rPr>
              <w:t xml:space="preserve"> համապատասխան նախակլինիկական տվյալները (օրինակ՝ տեղային տանելիությունը) (առկայության դեպքում)</w:t>
            </w:r>
          </w:p>
        </w:tc>
      </w:tr>
      <w:tr w:rsidR="006F76EB" w:rsidRPr="00834D52" w14:paraId="3A1DE99A" w14:textId="77777777" w:rsidTr="00F71229">
        <w:tc>
          <w:tcPr>
            <w:tcW w:w="4650" w:type="dxa"/>
            <w:tcBorders>
              <w:top w:val="nil"/>
              <w:left w:val="nil"/>
              <w:bottom w:val="nil"/>
              <w:right w:val="nil"/>
            </w:tcBorders>
          </w:tcPr>
          <w:p w14:paraId="017E9EEF"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 xml:space="preserve">ներմուծման նոր ուղին (պարէնտերալ ներմուծման համար անհրաժեշտ է տարբերակել ներզարկերակային, ներերակային, ներմկանային, միջմաշկային </w:t>
            </w:r>
            <w:r w:rsidR="00C54D75">
              <w:rPr>
                <w:rFonts w:ascii="Sylfaen" w:hAnsi="Sylfaen"/>
                <w:spacing w:val="-6"/>
                <w:sz w:val="24"/>
                <w:szCs w:val="24"/>
              </w:rPr>
              <w:t>և</w:t>
            </w:r>
            <w:r w:rsidRPr="00267658">
              <w:rPr>
                <w:rFonts w:ascii="Sylfaen" w:hAnsi="Sylfaen"/>
                <w:spacing w:val="-6"/>
                <w:sz w:val="24"/>
                <w:szCs w:val="24"/>
              </w:rPr>
              <w:t xml:space="preserve"> ներմուծման այլ մեթոդներ) այլ դեղաձ</w:t>
            </w:r>
            <w:r w:rsidR="00C54D75">
              <w:rPr>
                <w:rFonts w:ascii="Sylfaen" w:hAnsi="Sylfaen"/>
                <w:spacing w:val="-6"/>
                <w:sz w:val="24"/>
                <w:szCs w:val="24"/>
              </w:rPr>
              <w:t>և</w:t>
            </w:r>
            <w:r w:rsidRPr="00267658">
              <w:rPr>
                <w:rFonts w:ascii="Sylfaen" w:hAnsi="Sylfaen"/>
                <w:spacing w:val="-6"/>
                <w:sz w:val="24"/>
                <w:szCs w:val="24"/>
              </w:rPr>
              <w:t xml:space="preserve"> (ներմուծման մի</w:t>
            </w:r>
            <w:r w:rsidR="00C54D75">
              <w:rPr>
                <w:rFonts w:ascii="Sylfaen" w:hAnsi="Sylfaen"/>
                <w:spacing w:val="-6"/>
                <w:sz w:val="24"/>
                <w:szCs w:val="24"/>
              </w:rPr>
              <w:t>և</w:t>
            </w:r>
            <w:r w:rsidRPr="00267658">
              <w:rPr>
                <w:rFonts w:ascii="Sylfaen" w:hAnsi="Sylfaen"/>
                <w:spacing w:val="-6"/>
                <w:sz w:val="24"/>
                <w:szCs w:val="24"/>
              </w:rPr>
              <w:t>նույն եղանակի դեպքում)</w:t>
            </w:r>
          </w:p>
        </w:tc>
        <w:tc>
          <w:tcPr>
            <w:tcW w:w="4650" w:type="dxa"/>
            <w:tcBorders>
              <w:top w:val="nil"/>
              <w:left w:val="nil"/>
              <w:bottom w:val="nil"/>
              <w:right w:val="nil"/>
            </w:tcBorders>
          </w:tcPr>
          <w:p w14:paraId="71A3F5E9"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p>
        </w:tc>
      </w:tr>
      <w:tr w:rsidR="006F76EB" w:rsidRPr="00834D52" w14:paraId="4A9015CF" w14:textId="77777777" w:rsidTr="00F71229">
        <w:tc>
          <w:tcPr>
            <w:tcW w:w="4650" w:type="dxa"/>
            <w:tcBorders>
              <w:top w:val="nil"/>
              <w:left w:val="nil"/>
              <w:bottom w:val="nil"/>
              <w:right w:val="nil"/>
            </w:tcBorders>
          </w:tcPr>
          <w:p w14:paraId="28978500"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color w:val="1C1C1C"/>
                <w:spacing w:val="-6"/>
                <w:sz w:val="24"/>
                <w:szCs w:val="24"/>
              </w:rPr>
              <w:lastRenderedPageBreak/>
              <w:t>Այլ դոզավորում՝ ներմուծման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եղանակի (դեղաձ</w:t>
            </w:r>
            <w:r w:rsidR="00C54D75">
              <w:rPr>
                <w:rFonts w:ascii="Sylfaen" w:hAnsi="Sylfaen"/>
                <w:color w:val="1C1C1C"/>
                <w:spacing w:val="-6"/>
                <w:sz w:val="24"/>
                <w:szCs w:val="24"/>
              </w:rPr>
              <w:t>և</w:t>
            </w:r>
            <w:r w:rsidRPr="00267658">
              <w:rPr>
                <w:rFonts w:ascii="Sylfaen" w:hAnsi="Sylfaen"/>
                <w:color w:val="1C1C1C"/>
                <w:spacing w:val="-6"/>
                <w:sz w:val="24"/>
                <w:szCs w:val="24"/>
              </w:rPr>
              <w:t xml:space="preserve">ի) </w:t>
            </w:r>
            <w:r w:rsidR="00C54D75">
              <w:rPr>
                <w:rFonts w:ascii="Sylfaen" w:hAnsi="Sylfaen"/>
                <w:color w:val="1C1C1C"/>
                <w:spacing w:val="-6"/>
                <w:sz w:val="24"/>
                <w:szCs w:val="24"/>
              </w:rPr>
              <w:t>և</w:t>
            </w:r>
            <w:r w:rsidRPr="00267658">
              <w:rPr>
                <w:rFonts w:ascii="Sylfaen" w:hAnsi="Sylfaen"/>
                <w:color w:val="1C1C1C"/>
                <w:spacing w:val="-6"/>
                <w:sz w:val="24"/>
                <w:szCs w:val="24"/>
              </w:rPr>
              <w:t xml:space="preserve"> կիրառման մի</w:t>
            </w:r>
            <w:r w:rsidR="00C54D75">
              <w:rPr>
                <w:rFonts w:ascii="Sylfaen" w:hAnsi="Sylfaen"/>
                <w:color w:val="1C1C1C"/>
                <w:spacing w:val="-6"/>
                <w:sz w:val="24"/>
                <w:szCs w:val="24"/>
              </w:rPr>
              <w:t>և</w:t>
            </w:r>
            <w:r w:rsidRPr="00267658">
              <w:rPr>
                <w:rFonts w:ascii="Sylfaen" w:hAnsi="Sylfaen"/>
                <w:color w:val="1C1C1C"/>
                <w:spacing w:val="-6"/>
                <w:sz w:val="24"/>
                <w:szCs w:val="24"/>
              </w:rPr>
              <w:t>նույն ցուցումների դեպքում</w:t>
            </w:r>
          </w:p>
        </w:tc>
        <w:tc>
          <w:tcPr>
            <w:tcW w:w="4650" w:type="dxa"/>
            <w:tcBorders>
              <w:top w:val="nil"/>
              <w:left w:val="nil"/>
              <w:bottom w:val="nil"/>
              <w:right w:val="nil"/>
            </w:tcBorders>
          </w:tcPr>
          <w:p w14:paraId="57D6127C" w14:textId="77777777" w:rsidR="006F76EB" w:rsidRPr="00267658" w:rsidRDefault="006F76EB" w:rsidP="00105024">
            <w:pPr>
              <w:spacing w:after="120"/>
              <w:ind w:left="26" w:right="83"/>
              <w:jc w:val="both"/>
              <w:rPr>
                <w:rFonts w:ascii="Sylfaen" w:eastAsia="Times New Roman" w:hAnsi="Sylfaen" w:cs="Times New Roman"/>
                <w:spacing w:val="-6"/>
                <w:sz w:val="24"/>
                <w:szCs w:val="24"/>
              </w:rPr>
            </w:pPr>
            <w:r w:rsidRPr="00267658">
              <w:rPr>
                <w:rFonts w:ascii="Sylfaen" w:hAnsi="Sylfaen"/>
                <w:color w:val="1C1C1C"/>
                <w:spacing w:val="-6"/>
                <w:sz w:val="24"/>
                <w:szCs w:val="24"/>
              </w:rPr>
              <w:t>համեմատական կենսամատչելիության տվյալները՝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r w:rsidR="006F76EB" w:rsidRPr="00834D52" w14:paraId="05985E4E" w14:textId="77777777" w:rsidTr="00F71229">
        <w:tc>
          <w:tcPr>
            <w:tcW w:w="4650" w:type="dxa"/>
            <w:tcBorders>
              <w:top w:val="nil"/>
              <w:left w:val="nil"/>
              <w:bottom w:val="nil"/>
              <w:right w:val="nil"/>
            </w:tcBorders>
          </w:tcPr>
          <w:p w14:paraId="14A17C38" w14:textId="77777777" w:rsidR="006F76EB" w:rsidRPr="00267658" w:rsidRDefault="006F76EB" w:rsidP="00105024">
            <w:pPr>
              <w:spacing w:after="120"/>
              <w:ind w:left="70" w:right="52"/>
              <w:jc w:val="both"/>
              <w:rPr>
                <w:rFonts w:ascii="Sylfaen" w:eastAsia="Times New Roman" w:hAnsi="Sylfaen" w:cs="Times New Roman"/>
                <w:spacing w:val="-6"/>
                <w:sz w:val="24"/>
                <w:szCs w:val="24"/>
              </w:rPr>
            </w:pPr>
            <w:r w:rsidRPr="00267658">
              <w:rPr>
                <w:rFonts w:ascii="Sylfaen" w:hAnsi="Sylfaen"/>
                <w:spacing w:val="-6"/>
                <w:sz w:val="24"/>
                <w:szCs w:val="24"/>
              </w:rPr>
              <w:t>Գերկենսամատչելի պատրաստուկներ՝ դոզավորման միջակայքի պահպանման դեպքում, սակայն դոզայի նվազեցմամբ, պլազմայում (արյան մեջ) համապատասխան խտության հասնելու համար նախատեսված</w:t>
            </w:r>
          </w:p>
        </w:tc>
        <w:tc>
          <w:tcPr>
            <w:tcW w:w="4650" w:type="dxa"/>
            <w:tcBorders>
              <w:top w:val="nil"/>
              <w:left w:val="nil"/>
              <w:bottom w:val="nil"/>
              <w:right w:val="nil"/>
            </w:tcBorders>
          </w:tcPr>
          <w:p w14:paraId="122737E7" w14:textId="77777777" w:rsidR="006F76EB" w:rsidRPr="00267658" w:rsidRDefault="006F76EB" w:rsidP="00105024">
            <w:pPr>
              <w:spacing w:after="120"/>
              <w:ind w:left="26" w:right="83"/>
              <w:jc w:val="both"/>
              <w:rPr>
                <w:rFonts w:ascii="Sylfaen" w:eastAsia="Times New Roman" w:hAnsi="Sylfaen" w:cs="Times New Roman"/>
                <w:color w:val="1C1C1C"/>
                <w:spacing w:val="-6"/>
                <w:sz w:val="24"/>
                <w:szCs w:val="24"/>
              </w:rPr>
            </w:pPr>
            <w:r w:rsidRPr="00267658">
              <w:rPr>
                <w:rFonts w:ascii="Sylfaen" w:hAnsi="Sylfaen"/>
                <w:spacing w:val="-6"/>
                <w:sz w:val="24"/>
                <w:szCs w:val="24"/>
              </w:rPr>
              <w:t xml:space="preserve">առանձին դեպքերում բավական է համեմատական կենսամատչելիության հետազոտությունների անցկացումը՝ </w:t>
            </w:r>
            <w:r w:rsidRPr="00267658">
              <w:rPr>
                <w:rFonts w:ascii="Sylfaen" w:hAnsi="Sylfaen"/>
                <w:color w:val="1C1C1C"/>
                <w:spacing w:val="-6"/>
                <w:sz w:val="24"/>
                <w:szCs w:val="24"/>
              </w:rPr>
              <w:t>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կանոններին համապատասխան</w:t>
            </w:r>
          </w:p>
        </w:tc>
      </w:tr>
    </w:tbl>
    <w:p w14:paraId="41669174" w14:textId="77777777" w:rsidR="00287D3E" w:rsidRPr="003C049F" w:rsidRDefault="00287D3E" w:rsidP="008D0D54">
      <w:pPr>
        <w:spacing w:after="160" w:line="336" w:lineRule="auto"/>
        <w:ind w:right="-8"/>
        <w:jc w:val="center"/>
        <w:rPr>
          <w:rFonts w:ascii="Sylfaen" w:hAnsi="Sylfaen"/>
          <w:sz w:val="24"/>
          <w:szCs w:val="24"/>
        </w:rPr>
      </w:pPr>
    </w:p>
    <w:p w14:paraId="16E6F50C" w14:textId="77777777" w:rsidR="006F76EB" w:rsidRPr="00834D52" w:rsidRDefault="006F76EB" w:rsidP="00287D3E">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8. Լավ ուսումնասիրված բժշկական կիրառությամբ դեղապատրաստուկների գրանցման դոսյեի փաստաթղթերին ներկայացվող պահանջները</w:t>
      </w:r>
    </w:p>
    <w:p w14:paraId="35538209" w14:textId="77777777" w:rsidR="006F76EB" w:rsidRPr="00834D52" w:rsidRDefault="006F76EB" w:rsidP="008D0D54">
      <w:pPr>
        <w:spacing w:after="160" w:line="341" w:lineRule="auto"/>
        <w:ind w:right="-6" w:firstLine="567"/>
        <w:jc w:val="both"/>
        <w:rPr>
          <w:rFonts w:ascii="Sylfaen" w:eastAsia="Times New Roman" w:hAnsi="Sylfaen" w:cs="Times New Roman"/>
          <w:sz w:val="24"/>
          <w:szCs w:val="24"/>
        </w:rPr>
      </w:pPr>
      <w:r w:rsidRPr="00834D52">
        <w:rPr>
          <w:rFonts w:ascii="Sylfaen" w:hAnsi="Sylfaen"/>
          <w:spacing w:val="-4"/>
          <w:sz w:val="24"/>
          <w:szCs w:val="24"/>
        </w:rPr>
        <w:t xml:space="preserve">Հաստատված արդյունավետությամբ </w:t>
      </w:r>
      <w:r w:rsidR="00C54D75">
        <w:rPr>
          <w:rFonts w:ascii="Sylfaen" w:hAnsi="Sylfaen"/>
          <w:spacing w:val="-4"/>
          <w:sz w:val="24"/>
          <w:szCs w:val="24"/>
        </w:rPr>
        <w:t>և</w:t>
      </w:r>
      <w:r w:rsidRPr="00834D52">
        <w:rPr>
          <w:rFonts w:ascii="Sylfaen" w:hAnsi="Sylfaen"/>
          <w:spacing w:val="-4"/>
          <w:sz w:val="24"/>
          <w:szCs w:val="24"/>
        </w:rPr>
        <w:t xml:space="preserve"> անվտանգության ընդունելի մակարդակով դեղապատրաստուկների նկատմամբ (որոնց շարքին դասվում են, օրինակ, բուսական ծագման հումքից դեղապատրաստուկները (կեչու կուպր, օձի թույն, մեղվաբուծական մթերքներ, բժշկական տզրուկներ, լեղի, հանքանյութեր </w:t>
      </w:r>
      <w:r w:rsidR="00C54D75">
        <w:rPr>
          <w:rFonts w:ascii="Sylfaen" w:hAnsi="Sylfaen"/>
          <w:spacing w:val="-4"/>
          <w:sz w:val="24"/>
          <w:szCs w:val="24"/>
        </w:rPr>
        <w:t>և</w:t>
      </w:r>
      <w:r w:rsidRPr="00834D52">
        <w:rPr>
          <w:rFonts w:ascii="Sylfaen" w:hAnsi="Sylfaen"/>
          <w:spacing w:val="-4"/>
          <w:sz w:val="24"/>
          <w:szCs w:val="24"/>
        </w:rPr>
        <w:t xml:space="preserve"> այլն),</w:t>
      </w:r>
      <w:r w:rsidRPr="00834D52">
        <w:rPr>
          <w:rFonts w:ascii="Sylfaen" w:hAnsi="Sylfaen"/>
          <w:sz w:val="24"/>
          <w:szCs w:val="24"/>
        </w:rPr>
        <w:t xml:space="preserve"> որոնց ակտիվ նյութերը բժշկական կիրառության մեջ լավ ուսումնասիրված են, վիտամինները </w:t>
      </w:r>
      <w:r w:rsidR="00C54D75">
        <w:rPr>
          <w:rFonts w:ascii="Sylfaen" w:hAnsi="Sylfaen"/>
          <w:sz w:val="24"/>
          <w:szCs w:val="24"/>
        </w:rPr>
        <w:t>և</w:t>
      </w:r>
      <w:r w:rsidRPr="00834D52">
        <w:rPr>
          <w:rFonts w:ascii="Sylfaen" w:hAnsi="Sylfaen"/>
          <w:sz w:val="24"/>
          <w:szCs w:val="24"/>
        </w:rPr>
        <w:t xml:space="preserve"> վիտամինահանքանյութային կոմպլեքսները, ինչպես նա</w:t>
      </w:r>
      <w:r w:rsidR="00C54D75">
        <w:rPr>
          <w:rFonts w:ascii="Sylfaen" w:hAnsi="Sylfaen"/>
          <w:sz w:val="24"/>
          <w:szCs w:val="24"/>
        </w:rPr>
        <w:t>և</w:t>
      </w:r>
      <w:r w:rsidRPr="00834D52">
        <w:rPr>
          <w:rFonts w:ascii="Sylfaen" w:hAnsi="Sylfaen"/>
          <w:sz w:val="24"/>
          <w:szCs w:val="24"/>
        </w:rPr>
        <w:t xml:space="preserve"> դեղապատրաստուկները, որոնց դեղաբանական ակտիվությունը որոշվում է բուսական ծագման կենսաբանորեն ակտիվ նյութերի ամբողջությամբ, հականեխիչների լուծույթները (ջրածնի պերօքսիդ, յոդ, ադամանդե կանաչ </w:t>
      </w:r>
      <w:r w:rsidR="00C54D75">
        <w:rPr>
          <w:rFonts w:ascii="Sylfaen" w:hAnsi="Sylfaen"/>
          <w:sz w:val="24"/>
          <w:szCs w:val="24"/>
        </w:rPr>
        <w:t>և</w:t>
      </w:r>
      <w:r w:rsidRPr="00834D52">
        <w:rPr>
          <w:rFonts w:ascii="Sylfaen" w:hAnsi="Sylfaen"/>
          <w:sz w:val="24"/>
          <w:szCs w:val="24"/>
        </w:rPr>
        <w:t xml:space="preserve"> այլն), ներարկումների համար ջուրը, մակակլանիչները (ակտիվացված ածուխ </w:t>
      </w:r>
      <w:r w:rsidR="00C54D75">
        <w:rPr>
          <w:rFonts w:ascii="Sylfaen" w:hAnsi="Sylfaen"/>
          <w:sz w:val="24"/>
          <w:szCs w:val="24"/>
        </w:rPr>
        <w:t>և</w:t>
      </w:r>
      <w:r w:rsidRPr="00834D52">
        <w:rPr>
          <w:rFonts w:ascii="Sylfaen" w:hAnsi="Sylfaen"/>
          <w:sz w:val="24"/>
          <w:szCs w:val="24"/>
        </w:rPr>
        <w:t xml:space="preserve"> այլն), փքահալած դեղապատրաստուկները, գրգռիչ </w:t>
      </w:r>
      <w:r w:rsidR="00C54D75">
        <w:rPr>
          <w:rFonts w:ascii="Sylfaen" w:hAnsi="Sylfaen"/>
          <w:sz w:val="24"/>
          <w:szCs w:val="24"/>
        </w:rPr>
        <w:t>և</w:t>
      </w:r>
      <w:r w:rsidRPr="00834D52">
        <w:rPr>
          <w:rFonts w:ascii="Sylfaen" w:hAnsi="Sylfaen"/>
          <w:sz w:val="24"/>
          <w:szCs w:val="24"/>
        </w:rPr>
        <w:t xml:space="preserve"> պատիճավորող միջոցների խմբից դեղապատրաստուկները) պետք է կիրառվեն հետ</w:t>
      </w:r>
      <w:r w:rsidR="00C54D75">
        <w:rPr>
          <w:rFonts w:ascii="Sylfaen" w:hAnsi="Sylfaen"/>
          <w:sz w:val="24"/>
          <w:szCs w:val="24"/>
        </w:rPr>
        <w:t>և</w:t>
      </w:r>
      <w:r w:rsidRPr="00834D52">
        <w:rPr>
          <w:rFonts w:ascii="Sylfaen" w:hAnsi="Sylfaen"/>
          <w:sz w:val="24"/>
          <w:szCs w:val="24"/>
        </w:rPr>
        <w:t>յալ հատուկ կանոնները:</w:t>
      </w:r>
    </w:p>
    <w:p w14:paraId="5FB06158" w14:textId="536D0D63" w:rsidR="006F76EB" w:rsidRPr="00834D52" w:rsidRDefault="0056496B" w:rsidP="00B7356B">
      <w:pPr>
        <w:spacing w:after="160" w:line="384" w:lineRule="auto"/>
        <w:ind w:right="-6" w:firstLine="567"/>
        <w:jc w:val="both"/>
        <w:rPr>
          <w:rFonts w:ascii="Sylfaen" w:eastAsia="Times New Roman" w:hAnsi="Sylfaen" w:cs="Times New Roman"/>
          <w:spacing w:val="-4"/>
          <w:sz w:val="24"/>
          <w:szCs w:val="24"/>
        </w:rPr>
      </w:pPr>
      <w:r>
        <w:rPr>
          <w:rFonts w:ascii="Sylfaen" w:hAnsi="Sylfaen"/>
          <w:spacing w:val="-4"/>
          <w:sz w:val="24"/>
          <w:szCs w:val="24"/>
        </w:rPr>
        <w:t>Դիմումատու</w:t>
      </w:r>
      <w:r w:rsidR="006F76EB" w:rsidRPr="00834D52">
        <w:rPr>
          <w:rFonts w:ascii="Sylfaen" w:hAnsi="Sylfaen"/>
          <w:spacing w:val="-4"/>
          <w:sz w:val="24"/>
          <w:szCs w:val="24"/>
        </w:rPr>
        <w:t>ն պետք է ներկայացնի դեղապատրաստուկի գրանցման դոսյեի 1-</w:t>
      </w:r>
      <w:r w:rsidR="006F76EB" w:rsidRPr="00834D52">
        <w:rPr>
          <w:rFonts w:ascii="Sylfaen" w:hAnsi="Sylfaen"/>
          <w:spacing w:val="-4"/>
          <w:sz w:val="24"/>
          <w:szCs w:val="24"/>
        </w:rPr>
        <w:lastRenderedPageBreak/>
        <w:t xml:space="preserve">ին, 2-րդ </w:t>
      </w:r>
      <w:r w:rsidR="00C54D75">
        <w:rPr>
          <w:rFonts w:ascii="Sylfaen" w:hAnsi="Sylfaen"/>
          <w:spacing w:val="-4"/>
          <w:sz w:val="24"/>
          <w:szCs w:val="24"/>
        </w:rPr>
        <w:t>և</w:t>
      </w:r>
      <w:r w:rsidR="006F76EB" w:rsidRPr="00834D52">
        <w:rPr>
          <w:rFonts w:ascii="Sylfaen" w:hAnsi="Sylfaen"/>
          <w:spacing w:val="-4"/>
          <w:sz w:val="24"/>
          <w:szCs w:val="24"/>
        </w:rPr>
        <w:t xml:space="preserve"> 3-րդ մոդուլները՝ սույն պահանջների I մասի պահանջներին համապատասխան:</w:t>
      </w:r>
    </w:p>
    <w:p w14:paraId="0C935127" w14:textId="77777777"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w:t>
      </w:r>
      <w:r w:rsidR="00C54D75">
        <w:rPr>
          <w:rFonts w:ascii="Sylfaen" w:hAnsi="Sylfaen"/>
          <w:sz w:val="24"/>
          <w:szCs w:val="24"/>
        </w:rPr>
        <w:t>և</w:t>
      </w:r>
      <w:r w:rsidRPr="00834D52">
        <w:rPr>
          <w:rFonts w:ascii="Sylfaen" w:hAnsi="Sylfaen"/>
          <w:sz w:val="24"/>
          <w:szCs w:val="24"/>
        </w:rPr>
        <w:t xml:space="preserve"> 5-րդ մոդուլներում մանրամասն գիտական մատենագիտության մեջ անհրաժեշտ է նշել դեղապատրաստուկի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0A9CF307"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pacing w:val="-4"/>
          <w:sz w:val="24"/>
          <w:szCs w:val="24"/>
        </w:rPr>
        <w:t>Լավ ուսումնասիրված բժշկական կիրառությունը հաստատելու համար պետք է ներկայացված լինեն հետ</w:t>
      </w:r>
      <w:r w:rsidR="00C54D75">
        <w:rPr>
          <w:rFonts w:ascii="Sylfaen" w:hAnsi="Sylfaen"/>
          <w:spacing w:val="-4"/>
          <w:sz w:val="24"/>
          <w:szCs w:val="24"/>
        </w:rPr>
        <w:t>և</w:t>
      </w:r>
      <w:r w:rsidRPr="00834D52">
        <w:rPr>
          <w:rFonts w:ascii="Sylfaen" w:hAnsi="Sylfaen"/>
          <w:spacing w:val="-4"/>
          <w:sz w:val="24"/>
          <w:szCs w:val="24"/>
        </w:rPr>
        <w:t>յալ տվյալները</w:t>
      </w:r>
      <w:r w:rsidRPr="00834D52">
        <w:rPr>
          <w:rFonts w:ascii="Sylfaen" w:hAnsi="Sylfaen"/>
          <w:sz w:val="24"/>
          <w:szCs w:val="24"/>
        </w:rPr>
        <w:t>.</w:t>
      </w:r>
    </w:p>
    <w:p w14:paraId="42240D50" w14:textId="77777777" w:rsidR="006F76EB" w:rsidRPr="00834D52" w:rsidRDefault="006F76EB" w:rsidP="00B7356B">
      <w:pPr>
        <w:tabs>
          <w:tab w:val="left" w:pos="1134"/>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գործոններ, որոնք անհրաժեշտ է հաշվի առնել լավ ուսումնասիրված բժշկական կիրառության դեղապատրաստուկների բաղադրիչները որոշելու ժամանակ՝</w:t>
      </w:r>
    </w:p>
    <w:p w14:paraId="7C1F919F" w14:textId="77777777" w:rsidR="006F76EB" w:rsidRPr="00834D52" w:rsidRDefault="006F76EB" w:rsidP="00B7356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ժամկետը, որի ընթացքում ակտիվ նյութն օգտագործվում է բժշկական պրակտիկայում.</w:t>
      </w:r>
    </w:p>
    <w:p w14:paraId="62227F9D"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ակտիվ նյութի օգտագործման քանակական ասպեկտները.</w:t>
      </w:r>
    </w:p>
    <w:p w14:paraId="608697CE" w14:textId="4D8E97A1" w:rsidR="006F76EB" w:rsidRPr="00834D52" w:rsidRDefault="006F76EB" w:rsidP="00B7356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գիտական հրապարակումների հաճախականությունը </w:t>
      </w:r>
      <w:r w:rsidR="00C54D75">
        <w:rPr>
          <w:rFonts w:ascii="Sylfaen" w:hAnsi="Sylfaen"/>
          <w:sz w:val="24"/>
          <w:szCs w:val="24"/>
        </w:rPr>
        <w:t>և</w:t>
      </w:r>
      <w:r w:rsidRPr="00834D52">
        <w:rPr>
          <w:rFonts w:ascii="Sylfaen" w:hAnsi="Sylfaen"/>
          <w:sz w:val="24"/>
          <w:szCs w:val="24"/>
        </w:rPr>
        <w:t xml:space="preserve"> ակտիվ նյութի օգտագործման արդիականությունը 5 տարվա ընթացքում՝ մինչ</w:t>
      </w:r>
      <w:r w:rsidR="00C54D75">
        <w:rPr>
          <w:rFonts w:ascii="Sylfaen" w:hAnsi="Sylfaen"/>
          <w:sz w:val="24"/>
          <w:szCs w:val="24"/>
        </w:rPr>
        <w:t>և</w:t>
      </w:r>
      <w:r w:rsidRPr="00834D52">
        <w:rPr>
          <w:rFonts w:ascii="Sylfaen" w:hAnsi="Sylfaen"/>
          <w:sz w:val="24"/>
          <w:szCs w:val="24"/>
        </w:rPr>
        <w:t xml:space="preserve"> տվյալ դեղապատրաստուկի գրանցման </w:t>
      </w:r>
      <w:r w:rsidR="0056496B">
        <w:rPr>
          <w:rFonts w:ascii="Sylfaen" w:hAnsi="Sylfaen"/>
          <w:sz w:val="24"/>
          <w:szCs w:val="24"/>
        </w:rPr>
        <w:t>դիմում</w:t>
      </w:r>
      <w:r w:rsidRPr="00834D52">
        <w:rPr>
          <w:rFonts w:ascii="Sylfaen" w:hAnsi="Sylfaen"/>
          <w:sz w:val="24"/>
          <w:szCs w:val="24"/>
        </w:rPr>
        <w:t>ի ներկայացման օրը (գիտական աղբյուրներում հրապարակումներին արված հղումներով).</w:t>
      </w:r>
    </w:p>
    <w:p w14:paraId="267A97A6" w14:textId="77777777" w:rsidR="006F76EB" w:rsidRPr="00834D52" w:rsidRDefault="006F76EB" w:rsidP="00B7356B">
      <w:pPr>
        <w:spacing w:after="160" w:line="384" w:lineRule="auto"/>
        <w:ind w:right="-6" w:firstLine="567"/>
        <w:rPr>
          <w:rFonts w:ascii="Sylfaen" w:eastAsia="Times New Roman" w:hAnsi="Sylfaen" w:cs="Times New Roman"/>
          <w:sz w:val="24"/>
          <w:szCs w:val="24"/>
        </w:rPr>
      </w:pPr>
      <w:r w:rsidRPr="00834D52">
        <w:rPr>
          <w:rFonts w:ascii="Sylfaen" w:hAnsi="Sylfaen"/>
          <w:sz w:val="24"/>
          <w:szCs w:val="24"/>
        </w:rPr>
        <w:t>գիտական գնահատականների համաձայնեցվածությունը:</w:t>
      </w:r>
    </w:p>
    <w:p w14:paraId="48187EAA" w14:textId="77777777" w:rsidR="006F76EB" w:rsidRPr="00834D52" w:rsidRDefault="006F76EB" w:rsidP="00B7356B">
      <w:pPr>
        <w:spacing w:after="160" w:line="384"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Լավ ուսումնասիրված բժշկական կիրառության տարբեր ակտիվ նյութերը որոշելու նպատակով կարող է գնահատում իրականացվել տարբեր ժամանակահատվածների համար: Լավ ուսումնասիրված բժշկական կիրառության ակտիվ նյութը որոշելու համար անհրաժեշտ ժամանակահատվածը պետք է կազմի ոչ պակաս, քան 10 տարի առնվազն 3 անդամ պետությունում դրա փաստաթղթավորված կիրառման պահից: Կենսաբանական դեղապատրաստուկները </w:t>
      </w:r>
      <w:r w:rsidR="00C54D75">
        <w:rPr>
          <w:rFonts w:ascii="Sylfaen" w:hAnsi="Sylfaen"/>
          <w:spacing w:val="-4"/>
          <w:sz w:val="24"/>
          <w:szCs w:val="24"/>
        </w:rPr>
        <w:t>և</w:t>
      </w:r>
      <w:r w:rsidRPr="00834D52">
        <w:rPr>
          <w:rFonts w:ascii="Sylfaen" w:hAnsi="Sylfaen"/>
          <w:spacing w:val="-4"/>
          <w:sz w:val="24"/>
          <w:szCs w:val="24"/>
        </w:rPr>
        <w:t xml:space="preserve"> դեղապատրաստուկները, որոնց համար պահանջվում է կենսահամարժեքության </w:t>
      </w:r>
      <w:r w:rsidRPr="00834D52">
        <w:rPr>
          <w:rFonts w:ascii="Sylfaen" w:hAnsi="Sylfaen"/>
          <w:spacing w:val="-4"/>
          <w:sz w:val="24"/>
          <w:szCs w:val="24"/>
        </w:rPr>
        <w:lastRenderedPageBreak/>
        <w:t xml:space="preserve">հետազոտությունների </w:t>
      </w:r>
      <w:r w:rsidR="00C54D75">
        <w:rPr>
          <w:rFonts w:ascii="Sylfaen" w:hAnsi="Sylfaen"/>
          <w:spacing w:val="-4"/>
          <w:sz w:val="24"/>
          <w:szCs w:val="24"/>
        </w:rPr>
        <w:t>և</w:t>
      </w:r>
      <w:r w:rsidRPr="00834D52">
        <w:rPr>
          <w:rFonts w:ascii="Sylfaen" w:hAnsi="Sylfaen"/>
          <w:spacing w:val="-4"/>
          <w:sz w:val="24"/>
          <w:szCs w:val="24"/>
        </w:rPr>
        <w:t xml:space="preserve"> (կամ) կլինիկական հետազոտությունների անցկացում, չեն դասվում լավ ուսումնասիրված կիրառությամբ դեղապատրաստուկների կատեգորիային.</w:t>
      </w:r>
    </w:p>
    <w:p w14:paraId="6EC024E9" w14:textId="48C25D9C"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 xml:space="preserve">ի ներկայացրած գրանցման դոսյեի նյութերը պետք է ներառեն փաստաթղթեր </w:t>
      </w:r>
      <w:r w:rsidR="00C54D75">
        <w:rPr>
          <w:rFonts w:ascii="Sylfaen" w:hAnsi="Sylfaen"/>
          <w:sz w:val="24"/>
          <w:szCs w:val="24"/>
        </w:rPr>
        <w:t>և</w:t>
      </w:r>
      <w:r w:rsidRPr="00834D52">
        <w:rPr>
          <w:rFonts w:ascii="Sylfaen" w:hAnsi="Sylfaen"/>
          <w:sz w:val="24"/>
          <w:szCs w:val="24"/>
        </w:rPr>
        <w:t xml:space="preserve"> տվյալներ՝ անվտանգության </w:t>
      </w:r>
      <w:r w:rsidR="00C54D75">
        <w:rPr>
          <w:rFonts w:ascii="Sylfaen" w:hAnsi="Sylfaen"/>
          <w:sz w:val="24"/>
          <w:szCs w:val="24"/>
        </w:rPr>
        <w:t>և</w:t>
      </w:r>
      <w:r w:rsidRPr="00834D52">
        <w:rPr>
          <w:rFonts w:ascii="Sylfaen" w:hAnsi="Sylfaen"/>
          <w:sz w:val="24"/>
          <w:szCs w:val="24"/>
        </w:rPr>
        <w:t xml:space="preserve"> արդյունավետության գնահատման բոլոր այն ասպեկտների վերաբերյալ, որոնք համապատասխան գրականության ակնարկին արված հղում են պարունակում կամ տրամադրում են այդպիսի հղում՝ հաշվի առնելով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հետազոտությունները </w:t>
      </w:r>
      <w:r w:rsidR="00C54D75">
        <w:rPr>
          <w:rFonts w:ascii="Sylfaen" w:hAnsi="Sylfaen"/>
          <w:sz w:val="24"/>
          <w:szCs w:val="24"/>
        </w:rPr>
        <w:t>և</w:t>
      </w:r>
      <w:r w:rsidRPr="00834D52">
        <w:rPr>
          <w:rFonts w:ascii="Sylfaen" w:hAnsi="Sylfaen"/>
          <w:sz w:val="24"/>
          <w:szCs w:val="24"/>
        </w:rPr>
        <w:t xml:space="preserve"> համաճարակաբանական հետազոտությունների </w:t>
      </w:r>
      <w:r w:rsidR="00C54D75">
        <w:rPr>
          <w:rFonts w:ascii="Sylfaen" w:hAnsi="Sylfaen"/>
          <w:sz w:val="24"/>
          <w:szCs w:val="24"/>
        </w:rPr>
        <w:t>և</w:t>
      </w:r>
      <w:r w:rsidRPr="00834D52">
        <w:rPr>
          <w:rFonts w:ascii="Sylfaen" w:hAnsi="Sylfaen"/>
          <w:sz w:val="24"/>
          <w:szCs w:val="24"/>
        </w:rPr>
        <w:t xml:space="preserve"> հատկապես համեմատական համաճարակաբանական հետազոտությունների արդյունքներին առնչվող հրատարակված գիտական գրականությունը, բոլոր փաստաթղթերը (դեղապատրաստուկի գնահատման ինչպես դրական , այնպես էլ բացասական արդյունքներով):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ապացույցների այլ աղբյուրներին արված մատենագիտական հղումը (հետգրանցումային հետազոտություններ, համաճարակաբանական հետազոտություններ </w:t>
      </w:r>
      <w:r w:rsidR="00C54D75">
        <w:rPr>
          <w:rFonts w:ascii="Sylfaen" w:hAnsi="Sylfaen"/>
          <w:sz w:val="24"/>
          <w:szCs w:val="24"/>
        </w:rPr>
        <w:t>և</w:t>
      </w:r>
      <w:r w:rsidRPr="00834D52">
        <w:rPr>
          <w:rFonts w:ascii="Sylfaen" w:hAnsi="Sylfaen"/>
          <w:sz w:val="24"/>
          <w:szCs w:val="24"/>
        </w:rPr>
        <w:t xml:space="preserve"> նմ.), բացառությամբ այն տվյալների, որոնք վերաբերում են վերահսկման </w:t>
      </w:r>
      <w:r w:rsidR="00C54D75">
        <w:rPr>
          <w:rFonts w:ascii="Sylfaen" w:hAnsi="Sylfaen"/>
          <w:sz w:val="24"/>
          <w:szCs w:val="24"/>
        </w:rPr>
        <w:t>և</w:t>
      </w:r>
      <w:r w:rsidRPr="00834D52">
        <w:rPr>
          <w:rFonts w:ascii="Sylfaen" w:hAnsi="Sylfaen"/>
          <w:sz w:val="24"/>
          <w:szCs w:val="24"/>
        </w:rPr>
        <w:t xml:space="preserve"> փորձարկումների մեթոդներին, կարող է լինել դեղապատրաստուկի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ապացույց՝ պայմանով, որ գրանցման դոսյեում հստակ բացատրված </w:t>
      </w:r>
      <w:r w:rsidR="00C54D75">
        <w:rPr>
          <w:rFonts w:ascii="Sylfaen" w:hAnsi="Sylfaen"/>
          <w:sz w:val="24"/>
          <w:szCs w:val="24"/>
        </w:rPr>
        <w:t>և</w:t>
      </w:r>
      <w:r w:rsidRPr="00834D52">
        <w:rPr>
          <w:rFonts w:ascii="Sylfaen" w:hAnsi="Sylfaen"/>
          <w:sz w:val="24"/>
          <w:szCs w:val="24"/>
        </w:rPr>
        <w:t xml:space="preserve"> հիմնավորված է տեղեկատվության այդ աղբյուրների օգտագործումը.</w:t>
      </w:r>
    </w:p>
    <w:p w14:paraId="5C54E0B9"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դեղապատրաստուկի գրանցման դոսյեի փաստաթղթերում </w:t>
      </w:r>
      <w:r w:rsidR="00C54D75">
        <w:rPr>
          <w:rFonts w:ascii="Sylfaen" w:hAnsi="Sylfaen"/>
          <w:sz w:val="24"/>
          <w:szCs w:val="24"/>
        </w:rPr>
        <w:t>և</w:t>
      </w:r>
      <w:r w:rsidRPr="00834D52">
        <w:rPr>
          <w:rFonts w:ascii="Sylfaen" w:hAnsi="Sylfaen"/>
          <w:sz w:val="24"/>
          <w:szCs w:val="24"/>
        </w:rPr>
        <w:t xml:space="preserve"> տվյալներում անհրաժեշտ է հիմնավորել, թե ինչու կարող է անվտանգության </w:t>
      </w:r>
      <w:r w:rsidR="00C54D75">
        <w:rPr>
          <w:rFonts w:ascii="Sylfaen" w:hAnsi="Sylfaen"/>
          <w:sz w:val="24"/>
          <w:szCs w:val="24"/>
        </w:rPr>
        <w:t>և</w:t>
      </w:r>
      <w:r w:rsidRPr="00834D52">
        <w:rPr>
          <w:rFonts w:ascii="Sylfaen" w:hAnsi="Sylfaen"/>
          <w:sz w:val="24"/>
          <w:szCs w:val="24"/>
        </w:rPr>
        <w:t xml:space="preserve"> (կամ) արդյունավետության ընդունելի մակարդակը համարվել ապացուցված՝ անկախ որոշ հետազոտությունների բացակայությունից.</w:t>
      </w:r>
    </w:p>
    <w:p w14:paraId="3F3E1091" w14:textId="78BE398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w:t>
      </w:r>
      <w:r w:rsidRPr="00834D52">
        <w:rPr>
          <w:rFonts w:ascii="Sylfaen" w:hAnsi="Sylfaen"/>
          <w:spacing w:val="-4"/>
          <w:sz w:val="24"/>
          <w:szCs w:val="24"/>
        </w:rPr>
        <w:tab/>
        <w:t xml:space="preserve">դեղապատրաստուկի գրանցման դոսյեի 2-րդ մոդուլի նախակլինիկական </w:t>
      </w:r>
      <w:r w:rsidR="00C54D75">
        <w:rPr>
          <w:rFonts w:ascii="Sylfaen" w:hAnsi="Sylfaen"/>
          <w:spacing w:val="-4"/>
          <w:sz w:val="24"/>
          <w:szCs w:val="24"/>
        </w:rPr>
        <w:t>և</w:t>
      </w:r>
      <w:r w:rsidRPr="00834D52">
        <w:rPr>
          <w:rFonts w:ascii="Sylfaen" w:hAnsi="Sylfaen"/>
          <w:spacing w:val="-4"/>
          <w:sz w:val="24"/>
          <w:szCs w:val="24"/>
        </w:rPr>
        <w:t xml:space="preserve"> (կամ) կլինիկական ակնարկներում անհրաժեշտ է պարզաբանել գրանցելու համար առաջարկված դեղապատրաստուկի ներկայացված ցանկացած տվյալների արժեքը, եթե դրանք տարբերվում են արդեն իսկ գրանցված դեղապատրաստուկի տվյալներից: </w:t>
      </w:r>
      <w:r w:rsidRPr="00834D52">
        <w:rPr>
          <w:rFonts w:ascii="Sylfaen" w:hAnsi="Sylfaen"/>
          <w:spacing w:val="-4"/>
          <w:sz w:val="24"/>
          <w:szCs w:val="24"/>
        </w:rPr>
        <w:lastRenderedPageBreak/>
        <w:t xml:space="preserve">Անհրաժեշտ է ներկայացնել հիմնավորում այն մասին, թե արդյոք, անկախ առկա տարբերություններից, կարելի է </w:t>
      </w:r>
      <w:r w:rsidR="001A5F1A">
        <w:rPr>
          <w:rFonts w:ascii="Sylfaen" w:hAnsi="Sylfaen"/>
          <w:spacing w:val="-4"/>
          <w:sz w:val="24"/>
          <w:szCs w:val="24"/>
        </w:rPr>
        <w:t>հայտագրված</w:t>
      </w:r>
      <w:r w:rsidRPr="00834D52">
        <w:rPr>
          <w:rFonts w:ascii="Sylfaen" w:hAnsi="Sylfaen"/>
          <w:spacing w:val="-4"/>
          <w:sz w:val="24"/>
          <w:szCs w:val="24"/>
        </w:rPr>
        <w:t xml:space="preserve"> դեղապատրաստուկը նմանեցնել արդեն իսկ գրանցված դեղապատրաստուկին.</w:t>
      </w:r>
    </w:p>
    <w:p w14:paraId="4B0E7214" w14:textId="77777777"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դեղապատրաստուկի օգտագործման հետգրանցումային փորձը կարող է ներկայացված լինել մի</w:t>
      </w:r>
      <w:r w:rsidR="00C54D75">
        <w:rPr>
          <w:rFonts w:ascii="Sylfaen" w:hAnsi="Sylfaen"/>
          <w:sz w:val="24"/>
          <w:szCs w:val="24"/>
        </w:rPr>
        <w:t>և</w:t>
      </w:r>
      <w:r w:rsidRPr="00834D52">
        <w:rPr>
          <w:rFonts w:ascii="Sylfaen" w:hAnsi="Sylfaen"/>
          <w:sz w:val="24"/>
          <w:szCs w:val="24"/>
        </w:rPr>
        <w:t>նույն ակտիվ նյութերը պարունակող այլ դեղապատրաստուկների օգտագործման մասին տեղեկատվության տեսքով.</w:t>
      </w:r>
    </w:p>
    <w:p w14:paraId="043B3639" w14:textId="28D8DFDD" w:rsidR="006F76EB" w:rsidRPr="00834D52" w:rsidRDefault="006F76EB" w:rsidP="008A55CF">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դեղապատրաստուկը երրորդ երկրների շուկաներում կիրառելու փորձի առկայության դեպքում պետք է դեղապատրաստուկի անվտանգության մասով ներկայացնել պարբերական թարմացվող հաշվետվություն գրանցման </w:t>
      </w:r>
      <w:r w:rsidR="0056496B">
        <w:rPr>
          <w:rFonts w:ascii="Sylfaen" w:hAnsi="Sylfaen"/>
          <w:sz w:val="24"/>
          <w:szCs w:val="24"/>
        </w:rPr>
        <w:t>դիմում</w:t>
      </w:r>
      <w:r w:rsidRPr="00834D52">
        <w:rPr>
          <w:rFonts w:ascii="Sylfaen" w:hAnsi="Sylfaen"/>
          <w:sz w:val="24"/>
          <w:szCs w:val="24"/>
        </w:rPr>
        <w:t>ը ներկայացնելու օրվանից 5 տարի առաջ:</w:t>
      </w:r>
    </w:p>
    <w:p w14:paraId="6E9BCAB9" w14:textId="77777777" w:rsidR="00B7356B" w:rsidRPr="002978B0" w:rsidRDefault="00B7356B" w:rsidP="006F76EB">
      <w:pPr>
        <w:spacing w:after="160" w:line="360" w:lineRule="auto"/>
        <w:ind w:left="567" w:right="565"/>
        <w:jc w:val="center"/>
        <w:rPr>
          <w:rFonts w:ascii="Sylfaen" w:hAnsi="Sylfaen"/>
          <w:sz w:val="24"/>
          <w:szCs w:val="24"/>
        </w:rPr>
      </w:pPr>
    </w:p>
    <w:p w14:paraId="69BD06E0"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9. Համակցված դեղապատրաստուկների գրանցման դոսյեին ներկայացվող պահանջները</w:t>
      </w:r>
    </w:p>
    <w:p w14:paraId="13BDC054" w14:textId="018E68E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դեղապատրաստուկների համար, որոնք 2 կամ ավելի վաղ </w:t>
      </w:r>
      <w:r w:rsidR="005F6A31">
        <w:rPr>
          <w:rFonts w:ascii="Sylfaen" w:hAnsi="Sylfaen"/>
          <w:sz w:val="24"/>
          <w:szCs w:val="24"/>
        </w:rPr>
        <w:t>հայտնի</w:t>
      </w:r>
      <w:r w:rsidRPr="00834D52">
        <w:rPr>
          <w:rFonts w:ascii="Sylfaen" w:hAnsi="Sylfaen"/>
          <w:sz w:val="24"/>
          <w:szCs w:val="24"/>
        </w:rPr>
        <w:t xml:space="preserve"> ակտիվ նյութերի (այսինքն՝ համակցված դեղապատրաստուկների կազմի մեջ մտնող, սակայն նախկինում միաբաղադրիչ պատրաստուկների կազմում գրանցված ակտիվ նյութերի) համակցություններ են մեկ դեղաձ</w:t>
      </w:r>
      <w:r w:rsidR="00C54D75">
        <w:rPr>
          <w:rFonts w:ascii="Sylfaen" w:hAnsi="Sylfaen"/>
          <w:sz w:val="24"/>
          <w:szCs w:val="24"/>
        </w:rPr>
        <w:t>և</w:t>
      </w:r>
      <w:r w:rsidRPr="00834D52">
        <w:rPr>
          <w:rFonts w:ascii="Sylfaen" w:hAnsi="Sylfaen"/>
          <w:sz w:val="24"/>
          <w:szCs w:val="24"/>
        </w:rPr>
        <w:t xml:space="preserve">ում, ներկայացվում է ամբողջական գրանցման դոսյեն (1-5-րդ մոդուլներ)՝ սույն Պահանջների I-ին մասին համապատասխան: 3-րդ մոդուլը ներառում է արտադրության, որակի վերահսկման </w:t>
      </w:r>
      <w:r w:rsidR="00C54D75">
        <w:rPr>
          <w:rFonts w:ascii="Sylfaen" w:hAnsi="Sylfaen"/>
          <w:sz w:val="24"/>
          <w:szCs w:val="24"/>
        </w:rPr>
        <w:t>և</w:t>
      </w:r>
      <w:r w:rsidRPr="00834D52">
        <w:rPr>
          <w:rFonts w:ascii="Sylfaen" w:hAnsi="Sylfaen"/>
          <w:sz w:val="24"/>
          <w:szCs w:val="24"/>
        </w:rPr>
        <w:t xml:space="preserve"> համակցված դեղապատրաստուկների կազմի մեջ մտնող յուրաքանչյուր ակտիվ նյութի արտադրողի վերաբերյալ տեղեկությունները (ընդ որում, համակցված փաթեթվածքով ներկայացված միաբաղադրիչ դեղապատրաստուկները չեն կարող դիտարկվել որպես համակցված դեղապատրաստուկներ): 4-րդ </w:t>
      </w:r>
      <w:r w:rsidR="00C54D75">
        <w:rPr>
          <w:rFonts w:ascii="Sylfaen" w:hAnsi="Sylfaen"/>
          <w:sz w:val="24"/>
          <w:szCs w:val="24"/>
        </w:rPr>
        <w:t>և</w:t>
      </w:r>
      <w:r w:rsidRPr="00834D52">
        <w:rPr>
          <w:rFonts w:ascii="Sylfaen" w:hAnsi="Sylfaen"/>
          <w:sz w:val="24"/>
          <w:szCs w:val="24"/>
        </w:rPr>
        <w:t xml:space="preserve"> 5-րդ մոդուլներում ներկայացվում են գրանցման համար </w:t>
      </w:r>
      <w:r w:rsidR="0056496B">
        <w:rPr>
          <w:rFonts w:ascii="Sylfaen" w:hAnsi="Sylfaen"/>
          <w:sz w:val="24"/>
          <w:szCs w:val="24"/>
        </w:rPr>
        <w:t>դիմում</w:t>
      </w:r>
      <w:r w:rsidRPr="00834D52">
        <w:rPr>
          <w:rFonts w:ascii="Sylfaen" w:hAnsi="Sylfaen"/>
          <w:sz w:val="24"/>
          <w:szCs w:val="24"/>
        </w:rPr>
        <w:t xml:space="preserve">ագրվող ակտիվ նյութերի համակցությունների նախակլինիկական </w:t>
      </w:r>
      <w:r w:rsidR="00C54D75">
        <w:rPr>
          <w:rFonts w:ascii="Sylfaen" w:hAnsi="Sylfaen"/>
          <w:sz w:val="24"/>
          <w:szCs w:val="24"/>
        </w:rPr>
        <w:t>և</w:t>
      </w:r>
      <w:r w:rsidRPr="00834D52">
        <w:rPr>
          <w:rFonts w:ascii="Sylfaen" w:hAnsi="Sylfaen"/>
          <w:sz w:val="24"/>
          <w:szCs w:val="24"/>
        </w:rPr>
        <w:t xml:space="preserve"> կլինիկական հետազոտությունների արդյունքները:</w:t>
      </w:r>
    </w:p>
    <w:p w14:paraId="71882124" w14:textId="77777777" w:rsidR="006F76EB" w:rsidRPr="00834D52" w:rsidRDefault="006F76EB" w:rsidP="00DA5BB8">
      <w:pPr>
        <w:spacing w:after="160" w:line="341"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10. Կենսահամանման (կենսանման) դեղապատրաստուկների </w:t>
      </w:r>
      <w:r w:rsidRPr="00834D52">
        <w:rPr>
          <w:rFonts w:ascii="Sylfaen" w:hAnsi="Sylfaen"/>
          <w:sz w:val="24"/>
          <w:szCs w:val="24"/>
        </w:rPr>
        <w:lastRenderedPageBreak/>
        <w:t>գրանցման դոսյեին ներկայացվող պահանջները</w:t>
      </w:r>
    </w:p>
    <w:p w14:paraId="0E6C5EFD" w14:textId="77777777" w:rsidR="006F76EB" w:rsidRPr="00834D52" w:rsidRDefault="006F76EB" w:rsidP="00DA5BB8">
      <w:pPr>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Կենսահամանման (կենսանման) դեղապատրաստուկը գրանցելու համար ներկայացվում են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հետ դրա համեմատական հետազոտությունների տվյալները: Կենսահամանման (կենսանման) դեղապատրաստուկի որակը, անվտանգությունը, արդյունավետությունը </w:t>
      </w:r>
      <w:r w:rsidR="00C54D75">
        <w:rPr>
          <w:rFonts w:ascii="Sylfaen" w:hAnsi="Sylfaen"/>
          <w:sz w:val="24"/>
          <w:szCs w:val="24"/>
        </w:rPr>
        <w:t>և</w:t>
      </w:r>
      <w:r w:rsidRPr="00834D52">
        <w:rPr>
          <w:rFonts w:ascii="Sylfaen" w:hAnsi="Sylfaen"/>
          <w:sz w:val="24"/>
          <w:szCs w:val="24"/>
        </w:rPr>
        <w:t xml:space="preserve"> իմունոգենությունը դրա մշակման արտադրական, նախակլինիկական </w:t>
      </w:r>
      <w:r w:rsidR="00C54D75">
        <w:rPr>
          <w:rFonts w:ascii="Sylfaen" w:hAnsi="Sylfaen"/>
          <w:sz w:val="24"/>
          <w:szCs w:val="24"/>
        </w:rPr>
        <w:t>և</w:t>
      </w:r>
      <w:r w:rsidRPr="00834D52">
        <w:rPr>
          <w:rFonts w:ascii="Sylfaen" w:hAnsi="Sylfaen"/>
          <w:sz w:val="24"/>
          <w:szCs w:val="24"/>
        </w:rPr>
        <w:t xml:space="preserve"> կլինիկական փուլերում պետք է համեմատվեն մի</w:t>
      </w:r>
      <w:r w:rsidR="00C54D75">
        <w:rPr>
          <w:rFonts w:ascii="Sylfaen" w:hAnsi="Sylfaen"/>
          <w:sz w:val="24"/>
          <w:szCs w:val="24"/>
        </w:rPr>
        <w:t>և</w:t>
      </w:r>
      <w:r w:rsidRPr="00834D52">
        <w:rPr>
          <w:rFonts w:ascii="Sylfaen" w:hAnsi="Sylfaen"/>
          <w:sz w:val="24"/>
          <w:szCs w:val="24"/>
        </w:rPr>
        <w:t xml:space="preserve">նույն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հետ՝ Հանձնաժողովի կողմից հաստատվող՝ Եվրասիական տնտեսական միության շրջանակներում կենսաբանական դեղամիջոցների հետազոտության կանոններին համապատասխան: Կենսահամանման (կենսանման) դեղապատրաստուկների գրանցման դոսյեն ներկայացվում է սույն բաժնի պահանջներին համապատասխան:</w:t>
      </w:r>
    </w:p>
    <w:p w14:paraId="6E84BB97" w14:textId="77777777"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w:t>
      </w:r>
      <w:r w:rsidRPr="00834D52">
        <w:rPr>
          <w:rFonts w:ascii="Sylfaen" w:hAnsi="Sylfaen"/>
          <w:sz w:val="24"/>
          <w:szCs w:val="24"/>
        </w:rPr>
        <w:tab/>
        <w:t>Մոդուլ 1.</w:t>
      </w:r>
    </w:p>
    <w:p w14:paraId="751D8C15" w14:textId="29F08F2A"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10.1.1.</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8</w:t>
      </w:r>
      <w:r w:rsidRPr="00834D52">
        <w:rPr>
          <w:rFonts w:ascii="Sylfaen" w:hAnsi="Sylfaen"/>
          <w:sz w:val="24"/>
          <w:szCs w:val="24"/>
        </w:rPr>
        <w:t>.2</w:t>
      </w:r>
      <w:r w:rsidR="00DA5BB8" w:rsidRPr="00DA5BB8">
        <w:rPr>
          <w:rFonts w:ascii="Sylfaen" w:hAnsi="Sylfaen"/>
          <w:sz w:val="24"/>
          <w:szCs w:val="24"/>
        </w:rPr>
        <w:t> </w:t>
      </w:r>
      <w:r w:rsidRPr="00834D52">
        <w:rPr>
          <w:rFonts w:ascii="Sylfaen" w:hAnsi="Sylfaen"/>
          <w:sz w:val="24"/>
          <w:szCs w:val="24"/>
        </w:rPr>
        <w:t xml:space="preserve">բաժնում </w:t>
      </w:r>
      <w:r w:rsidR="0056496B">
        <w:rPr>
          <w:rFonts w:ascii="Sylfaen" w:hAnsi="Sylfaen"/>
          <w:sz w:val="24"/>
          <w:szCs w:val="24"/>
        </w:rPr>
        <w:t>դիմումատու</w:t>
      </w:r>
      <w:r w:rsidRPr="00834D52">
        <w:rPr>
          <w:rFonts w:ascii="Sylfaen" w:hAnsi="Sylfaen"/>
          <w:sz w:val="24"/>
          <w:szCs w:val="24"/>
        </w:rPr>
        <w:t xml:space="preserve">ն պետք է ներկայացնի այնպիսի հիմնավորումների </w:t>
      </w:r>
      <w:r w:rsidR="00C54D75">
        <w:rPr>
          <w:rFonts w:ascii="Sylfaen" w:hAnsi="Sylfaen"/>
          <w:sz w:val="24"/>
          <w:szCs w:val="24"/>
        </w:rPr>
        <w:t>և</w:t>
      </w:r>
      <w:r w:rsidRPr="00834D52">
        <w:rPr>
          <w:rFonts w:ascii="Sylfaen" w:hAnsi="Sylfaen"/>
          <w:sz w:val="24"/>
          <w:szCs w:val="24"/>
        </w:rPr>
        <w:t xml:space="preserve"> փաստերի ռեզյումե, որոնք ցույց են տալիս, որ դեղապատրաստուկը, որի գրանցման համար </w:t>
      </w:r>
      <w:r w:rsidR="0056496B">
        <w:rPr>
          <w:rFonts w:ascii="Sylfaen" w:hAnsi="Sylfaen"/>
          <w:sz w:val="24"/>
          <w:szCs w:val="24"/>
        </w:rPr>
        <w:t>դիմում</w:t>
      </w:r>
      <w:r w:rsidRPr="00834D52">
        <w:rPr>
          <w:rFonts w:ascii="Sylfaen" w:hAnsi="Sylfaen"/>
          <w:sz w:val="24"/>
          <w:szCs w:val="24"/>
        </w:rPr>
        <w:t xml:space="preserve"> է ներկայացվում, օրիգինալ դեղապատրաստուկին կենսահամանման (կենսանման) դեղապատրաստուկ է: Ռեզյումեն պետք է պարունակի դեղապատրաստուկի, ակտիվ նյութի, դեղաձ</w:t>
      </w:r>
      <w:r w:rsidR="00C54D75">
        <w:rPr>
          <w:rFonts w:ascii="Sylfaen" w:hAnsi="Sylfaen"/>
          <w:sz w:val="24"/>
          <w:szCs w:val="24"/>
        </w:rPr>
        <w:t>և</w:t>
      </w:r>
      <w:r w:rsidRPr="00834D52">
        <w:rPr>
          <w:rFonts w:ascii="Sylfaen" w:hAnsi="Sylfaen"/>
          <w:sz w:val="24"/>
          <w:szCs w:val="24"/>
        </w:rPr>
        <w:t xml:space="preserve">ի, դոզավորման, կիրառման ցուցումների </w:t>
      </w:r>
      <w:r w:rsidR="00C54D75">
        <w:rPr>
          <w:rFonts w:ascii="Sylfaen" w:hAnsi="Sylfaen"/>
          <w:sz w:val="24"/>
          <w:szCs w:val="24"/>
        </w:rPr>
        <w:t>և</w:t>
      </w:r>
      <w:r w:rsidRPr="00834D52">
        <w:rPr>
          <w:rFonts w:ascii="Sylfaen" w:hAnsi="Sylfaen"/>
          <w:sz w:val="24"/>
          <w:szCs w:val="24"/>
        </w:rPr>
        <w:t xml:space="preserve"> կիրառման եղանակի վերաբերյալ տեղեկատվություն՝ օրիգինալ դեղապատրաստուկի վերաբերյալ համանման տեղեկատվության համեմատությամբ:</w:t>
      </w:r>
    </w:p>
    <w:p w14:paraId="09940821" w14:textId="7BA985CB" w:rsidR="006F76EB" w:rsidRPr="00834D52" w:rsidRDefault="006F76EB" w:rsidP="00DA5BB8">
      <w:pPr>
        <w:tabs>
          <w:tab w:val="left" w:pos="1701"/>
        </w:tabs>
        <w:spacing w:after="160" w:line="341" w:lineRule="auto"/>
        <w:ind w:right="-8" w:firstLine="567"/>
        <w:jc w:val="both"/>
        <w:rPr>
          <w:rFonts w:ascii="Sylfaen" w:eastAsia="Times New Roman" w:hAnsi="Sylfaen" w:cs="Times New Roman"/>
          <w:sz w:val="24"/>
          <w:szCs w:val="24"/>
        </w:rPr>
      </w:pPr>
      <w:r w:rsidRPr="00834D52">
        <w:rPr>
          <w:rFonts w:ascii="Sylfaen" w:hAnsi="Sylfaen"/>
          <w:sz w:val="24"/>
          <w:szCs w:val="24"/>
        </w:rPr>
        <w:t>10.1.2.</w:t>
      </w:r>
      <w:r w:rsidRPr="00834D52">
        <w:rPr>
          <w:rFonts w:ascii="Sylfaen" w:hAnsi="Sylfaen"/>
          <w:sz w:val="24"/>
          <w:szCs w:val="24"/>
        </w:rPr>
        <w:tab/>
        <w:t>Դեղապատրաստուկի գրանցման դոսյեի 1-ին մոդուլի 1.</w:t>
      </w:r>
      <w:r w:rsidR="00E90FAF" w:rsidRPr="00E90FAF">
        <w:rPr>
          <w:rFonts w:ascii="Sylfaen" w:hAnsi="Sylfaen"/>
          <w:sz w:val="24"/>
          <w:szCs w:val="24"/>
        </w:rPr>
        <w:t>10</w:t>
      </w:r>
      <w:r w:rsidRPr="00834D52">
        <w:rPr>
          <w:rFonts w:ascii="Sylfaen" w:hAnsi="Sylfaen"/>
          <w:sz w:val="24"/>
          <w:szCs w:val="24"/>
        </w:rPr>
        <w:t xml:space="preserve"> բաժնում գրանցման հավաստագրի իրավատիրոջ դեղազգոնության համակարգի մասին հակիրճ տեղեկատվության հետ միասին ներկայացվում է գրանցման համար </w:t>
      </w:r>
      <w:r w:rsidR="0056496B">
        <w:rPr>
          <w:rFonts w:ascii="Sylfaen" w:hAnsi="Sylfaen"/>
          <w:sz w:val="24"/>
          <w:szCs w:val="24"/>
        </w:rPr>
        <w:t>դիմում</w:t>
      </w:r>
      <w:r w:rsidRPr="00834D52">
        <w:rPr>
          <w:rFonts w:ascii="Sylfaen" w:hAnsi="Sylfaen"/>
          <w:sz w:val="24"/>
          <w:szCs w:val="24"/>
        </w:rPr>
        <w:t>ագրվող կենսահամանման (կենսանման) դեղապատրաստուկի ռիսկերի կառավարման պլանը:</w:t>
      </w:r>
    </w:p>
    <w:p w14:paraId="0F088F44" w14:textId="77777777" w:rsidR="006F76EB" w:rsidRPr="00834D52" w:rsidRDefault="006F76EB" w:rsidP="004B2E59">
      <w:pPr>
        <w:tabs>
          <w:tab w:val="left" w:pos="1701"/>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10.1.3.</w:t>
      </w:r>
      <w:r w:rsidRPr="00834D52">
        <w:rPr>
          <w:rFonts w:ascii="Sylfaen" w:hAnsi="Sylfaen"/>
          <w:sz w:val="24"/>
          <w:szCs w:val="24"/>
        </w:rPr>
        <w:tab/>
        <w:t xml:space="preserve">Գրանցման դոսյեի որոշակի տարրերի բացակայության դեպքում </w:t>
      </w:r>
      <w:r w:rsidRPr="00834D52">
        <w:rPr>
          <w:rFonts w:ascii="Sylfaen" w:hAnsi="Sylfaen"/>
          <w:sz w:val="24"/>
          <w:szCs w:val="24"/>
        </w:rPr>
        <w:lastRenderedPageBreak/>
        <w:t>պետք է ներկայացնել դրանց բացակայության հիմնավորումը տվյալ մոդուլի համապատասխան բաժնում:</w:t>
      </w:r>
    </w:p>
    <w:p w14:paraId="566CDCCC" w14:textId="77777777" w:rsidR="006F76EB" w:rsidRPr="00834D52" w:rsidRDefault="006F76EB" w:rsidP="004B2E59">
      <w:pPr>
        <w:tabs>
          <w:tab w:val="left" w:pos="1274"/>
        </w:tabs>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10.2.</w:t>
      </w:r>
      <w:r w:rsidRPr="00834D52">
        <w:rPr>
          <w:rFonts w:ascii="Sylfaen" w:hAnsi="Sylfaen"/>
          <w:sz w:val="24"/>
          <w:szCs w:val="24"/>
        </w:rPr>
        <w:tab/>
        <w:t>Մոդուլ 2.</w:t>
      </w:r>
    </w:p>
    <w:p w14:paraId="295F67AF" w14:textId="645D5C75" w:rsidR="006F76EB" w:rsidRPr="008B2F3A" w:rsidRDefault="006F76EB" w:rsidP="00746502">
      <w:pPr>
        <w:tabs>
          <w:tab w:val="left" w:pos="1418"/>
        </w:tabs>
        <w:spacing w:after="160" w:line="360" w:lineRule="auto"/>
        <w:ind w:right="-6" w:firstLine="567"/>
        <w:jc w:val="both"/>
        <w:rPr>
          <w:rFonts w:ascii="Sylfaen" w:eastAsia="Times New Roman" w:hAnsi="Sylfaen" w:cs="Times New Roman"/>
          <w:spacing w:val="-6"/>
          <w:sz w:val="24"/>
          <w:szCs w:val="24"/>
        </w:rPr>
      </w:pPr>
      <w:r w:rsidRPr="008B2F3A">
        <w:rPr>
          <w:rFonts w:ascii="Sylfaen" w:hAnsi="Sylfaen"/>
          <w:spacing w:val="-6"/>
          <w:sz w:val="24"/>
          <w:szCs w:val="24"/>
        </w:rPr>
        <w:t xml:space="preserve">Որակի մասով տվյալների ուսումնասիրության, նախակլինիկական </w:t>
      </w:r>
      <w:r w:rsidR="00C54D75">
        <w:rPr>
          <w:rFonts w:ascii="Sylfaen" w:hAnsi="Sylfaen"/>
          <w:spacing w:val="-6"/>
          <w:sz w:val="24"/>
          <w:szCs w:val="24"/>
        </w:rPr>
        <w:t>և</w:t>
      </w:r>
      <w:r w:rsidRPr="008B2F3A">
        <w:rPr>
          <w:rFonts w:ascii="Sylfaen" w:hAnsi="Sylfaen"/>
          <w:spacing w:val="-6"/>
          <w:sz w:val="24"/>
          <w:szCs w:val="24"/>
        </w:rPr>
        <w:t xml:space="preserve"> կլինիկական տվյալների ուսումնասիրությունների մեջ անհրաժեշտ է լրացուցիչ համեմատական տեղեկատվություն ներկայացնել </w:t>
      </w:r>
      <w:r w:rsidR="0056496B">
        <w:rPr>
          <w:rFonts w:ascii="Sylfaen" w:hAnsi="Sylfaen"/>
          <w:spacing w:val="-6"/>
          <w:sz w:val="24"/>
          <w:szCs w:val="24"/>
        </w:rPr>
        <w:t>դիմում</w:t>
      </w:r>
      <w:r w:rsidRPr="008B2F3A">
        <w:rPr>
          <w:rFonts w:ascii="Sylfaen" w:hAnsi="Sylfaen"/>
          <w:spacing w:val="-6"/>
          <w:sz w:val="24"/>
          <w:szCs w:val="24"/>
        </w:rPr>
        <w:t xml:space="preserve">ագրվող դեղապատրաստուկի </w:t>
      </w:r>
      <w:r w:rsidR="00C54D75">
        <w:rPr>
          <w:rFonts w:ascii="Sylfaen" w:hAnsi="Sylfaen"/>
          <w:spacing w:val="-6"/>
          <w:sz w:val="24"/>
          <w:szCs w:val="24"/>
        </w:rPr>
        <w:t>և</w:t>
      </w:r>
      <w:r w:rsidRPr="008B2F3A">
        <w:rPr>
          <w:rFonts w:ascii="Sylfaen" w:hAnsi="Sylfaen"/>
          <w:spacing w:val="-6"/>
          <w:sz w:val="24"/>
          <w:szCs w:val="24"/>
        </w:rPr>
        <w:t xml:space="preserve"> </w:t>
      </w:r>
      <w:r w:rsidR="0032680A">
        <w:rPr>
          <w:rFonts w:ascii="Sylfaen" w:hAnsi="Sylfaen"/>
          <w:spacing w:val="-6"/>
          <w:sz w:val="24"/>
          <w:szCs w:val="24"/>
        </w:rPr>
        <w:t xml:space="preserve">ռեֆերենտ </w:t>
      </w:r>
      <w:r w:rsidRPr="008B2F3A">
        <w:rPr>
          <w:rFonts w:ascii="Sylfaen" w:hAnsi="Sylfaen"/>
          <w:spacing w:val="-6"/>
          <w:sz w:val="24"/>
          <w:szCs w:val="24"/>
        </w:rPr>
        <w:t>դեղապատրաստուկի վերաբերյալ, ինչպես նա</w:t>
      </w:r>
      <w:r w:rsidR="00C54D75">
        <w:rPr>
          <w:rFonts w:ascii="Sylfaen" w:hAnsi="Sylfaen"/>
          <w:spacing w:val="-6"/>
          <w:sz w:val="24"/>
          <w:szCs w:val="24"/>
        </w:rPr>
        <w:t>և</w:t>
      </w:r>
      <w:r w:rsidRPr="008B2F3A">
        <w:rPr>
          <w:rFonts w:ascii="Sylfaen" w:hAnsi="Sylfaen"/>
          <w:spacing w:val="-6"/>
          <w:sz w:val="24"/>
          <w:szCs w:val="24"/>
        </w:rPr>
        <w:t xml:space="preserve"> բերել </w:t>
      </w:r>
      <w:r w:rsidR="00D23E48" w:rsidRPr="008B2F3A">
        <w:rPr>
          <w:rFonts w:ascii="Sylfaen" w:hAnsi="Sylfaen"/>
          <w:spacing w:val="-6"/>
          <w:sz w:val="24"/>
          <w:szCs w:val="24"/>
        </w:rPr>
        <w:t xml:space="preserve">ռեֆերենտ </w:t>
      </w:r>
      <w:r w:rsidRPr="008B2F3A">
        <w:rPr>
          <w:rFonts w:ascii="Sylfaen" w:hAnsi="Sylfaen"/>
          <w:spacing w:val="-6"/>
          <w:sz w:val="24"/>
          <w:szCs w:val="24"/>
        </w:rPr>
        <w:t xml:space="preserve">պատրաստուկի ընտրության չափանիշները </w:t>
      </w:r>
      <w:r w:rsidR="00C54D75">
        <w:rPr>
          <w:rFonts w:ascii="Sylfaen" w:hAnsi="Sylfaen"/>
          <w:spacing w:val="-6"/>
          <w:sz w:val="24"/>
          <w:szCs w:val="24"/>
        </w:rPr>
        <w:t>և</w:t>
      </w:r>
      <w:r w:rsidRPr="008B2F3A">
        <w:rPr>
          <w:rFonts w:ascii="Sylfaen" w:hAnsi="Sylfaen"/>
          <w:spacing w:val="-6"/>
          <w:sz w:val="24"/>
          <w:szCs w:val="24"/>
        </w:rPr>
        <w:t xml:space="preserve"> դրանց հիմնավորումը:</w:t>
      </w:r>
    </w:p>
    <w:p w14:paraId="4C197BCA" w14:textId="361C96B7" w:rsidR="006F76EB" w:rsidRPr="00834D52" w:rsidRDefault="007F2846" w:rsidP="00746502">
      <w:pPr>
        <w:tabs>
          <w:tab w:val="left" w:pos="1418"/>
        </w:tabs>
        <w:spacing w:after="160" w:line="360" w:lineRule="auto"/>
        <w:ind w:right="-6" w:firstLine="567"/>
        <w:jc w:val="both"/>
        <w:rPr>
          <w:rFonts w:ascii="Sylfaen" w:eastAsia="Times New Roman" w:hAnsi="Sylfaen" w:cs="Times New Roman"/>
          <w:sz w:val="24"/>
          <w:szCs w:val="24"/>
        </w:rPr>
      </w:pPr>
      <w:r>
        <w:rPr>
          <w:rFonts w:ascii="Sylfaen" w:hAnsi="Sylfaen"/>
          <w:spacing w:val="-4"/>
          <w:sz w:val="24"/>
          <w:szCs w:val="24"/>
        </w:rPr>
        <w:t>Հետազոտության մասին հաշվետվությունը</w:t>
      </w:r>
      <w:r w:rsidR="006F76EB" w:rsidRPr="00834D52">
        <w:rPr>
          <w:rFonts w:ascii="Sylfaen" w:hAnsi="Sylfaen"/>
          <w:spacing w:val="-4"/>
          <w:sz w:val="24"/>
          <w:szCs w:val="24"/>
        </w:rPr>
        <w:t xml:space="preserve"> կամ առանձին պաշտոնական գրությունը պետք է </w:t>
      </w:r>
      <w:r w:rsidR="0032680A">
        <w:rPr>
          <w:rFonts w:ascii="Sylfaen" w:hAnsi="Sylfaen"/>
          <w:spacing w:val="-4"/>
          <w:sz w:val="24"/>
          <w:szCs w:val="24"/>
        </w:rPr>
        <w:t xml:space="preserve">ռեֆերենտ </w:t>
      </w:r>
      <w:r w:rsidR="006F76EB" w:rsidRPr="00834D52">
        <w:rPr>
          <w:rFonts w:ascii="Sylfaen" w:hAnsi="Sylfaen"/>
          <w:spacing w:val="-4"/>
          <w:sz w:val="24"/>
          <w:szCs w:val="24"/>
        </w:rPr>
        <w:t>դեղապատրաստուկի ընտրության հաստատում պարունակի՝ Հանձնաժողովի կողմից հաստատվող՝ Եվրասիական տնտեսական միության շրջանակներում կենսաբանական դեղամիջոցների հետազոտությունների անցկացման կանոններին համապատասխան: Նա</w:t>
      </w:r>
      <w:r w:rsidR="00C54D75">
        <w:rPr>
          <w:rFonts w:ascii="Sylfaen" w:hAnsi="Sylfaen"/>
          <w:spacing w:val="-4"/>
          <w:sz w:val="24"/>
          <w:szCs w:val="24"/>
        </w:rPr>
        <w:t>և</w:t>
      </w:r>
      <w:r w:rsidR="006F76EB" w:rsidRPr="00834D52">
        <w:rPr>
          <w:rFonts w:ascii="Sylfaen" w:hAnsi="Sylfaen"/>
          <w:spacing w:val="-4"/>
          <w:sz w:val="24"/>
          <w:szCs w:val="24"/>
        </w:rPr>
        <w:t xml:space="preserve"> պետք է նշվեն </w:t>
      </w:r>
      <w:r w:rsidR="00D23E48">
        <w:rPr>
          <w:rFonts w:ascii="Sylfaen" w:hAnsi="Sylfaen"/>
          <w:spacing w:val="-4"/>
          <w:sz w:val="24"/>
          <w:szCs w:val="24"/>
        </w:rPr>
        <w:t xml:space="preserve">ռեֆերենտ </w:t>
      </w:r>
      <w:r w:rsidR="006F76EB" w:rsidRPr="00834D52">
        <w:rPr>
          <w:rFonts w:ascii="Sylfaen" w:hAnsi="Sylfaen"/>
          <w:spacing w:val="-4"/>
          <w:sz w:val="24"/>
          <w:szCs w:val="24"/>
        </w:rPr>
        <w:t>պատրաստուկի վերաբերյալ հետ</w:t>
      </w:r>
      <w:r w:rsidR="00C54D75">
        <w:rPr>
          <w:rFonts w:ascii="Sylfaen" w:hAnsi="Sylfaen"/>
          <w:spacing w:val="-4"/>
          <w:sz w:val="24"/>
          <w:szCs w:val="24"/>
        </w:rPr>
        <w:t>և</w:t>
      </w:r>
      <w:r w:rsidR="006F76EB" w:rsidRPr="00834D52">
        <w:rPr>
          <w:rFonts w:ascii="Sylfaen" w:hAnsi="Sylfaen"/>
          <w:spacing w:val="-4"/>
          <w:sz w:val="24"/>
          <w:szCs w:val="24"/>
        </w:rPr>
        <w:t>յալ տեղեկությունները</w:t>
      </w:r>
      <w:r w:rsidR="006F76EB" w:rsidRPr="00834D52">
        <w:rPr>
          <w:rFonts w:ascii="Sylfaen" w:hAnsi="Sylfaen"/>
          <w:sz w:val="24"/>
          <w:szCs w:val="24"/>
        </w:rPr>
        <w:t>.</w:t>
      </w:r>
    </w:p>
    <w:p w14:paraId="08AEDEB6" w14:textId="77777777" w:rsidR="006F76EB" w:rsidRPr="00834D52" w:rsidRDefault="006F76EB" w:rsidP="004B2E59">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անվանումը.</w:t>
      </w:r>
    </w:p>
    <w:p w14:paraId="37A295E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735E8C92"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գրանցման հավաստագրի իրավատիրոջ անվանումը.</w:t>
      </w:r>
    </w:p>
    <w:p w14:paraId="0D43B75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գրանցման ամսաթիվը </w:t>
      </w:r>
      <w:r w:rsidR="00C54D75">
        <w:rPr>
          <w:rFonts w:ascii="Sylfaen" w:hAnsi="Sylfaen"/>
          <w:sz w:val="24"/>
          <w:szCs w:val="24"/>
        </w:rPr>
        <w:t>և</w:t>
      </w:r>
      <w:r w:rsidRPr="00834D52">
        <w:rPr>
          <w:rFonts w:ascii="Sylfaen" w:hAnsi="Sylfaen"/>
          <w:sz w:val="24"/>
          <w:szCs w:val="24"/>
        </w:rPr>
        <w:t xml:space="preserve"> համարը (համարները).</w:t>
      </w:r>
    </w:p>
    <w:p w14:paraId="79DCAF69"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անդամ պետությունները, որտեղ </w:t>
      </w:r>
      <w:r w:rsidR="0032680A">
        <w:rPr>
          <w:rFonts w:ascii="Sylfaen" w:hAnsi="Sylfaen"/>
          <w:sz w:val="24"/>
          <w:szCs w:val="24"/>
        </w:rPr>
        <w:t xml:space="preserve">ռեֆերենտ </w:t>
      </w:r>
      <w:r w:rsidRPr="00834D52">
        <w:rPr>
          <w:rFonts w:ascii="Sylfaen" w:hAnsi="Sylfaen"/>
          <w:sz w:val="24"/>
          <w:szCs w:val="24"/>
        </w:rPr>
        <w:t>պատրաստուկը գրանցված</w:t>
      </w:r>
      <w:r w:rsidR="00BC52BC" w:rsidRPr="00BC52BC">
        <w:rPr>
          <w:rFonts w:ascii="Sylfaen" w:hAnsi="Sylfaen"/>
          <w:sz w:val="24"/>
          <w:szCs w:val="24"/>
        </w:rPr>
        <w:t> </w:t>
      </w:r>
      <w:r w:rsidRPr="00834D52">
        <w:rPr>
          <w:rFonts w:ascii="Sylfaen" w:hAnsi="Sylfaen"/>
          <w:sz w:val="24"/>
          <w:szCs w:val="24"/>
        </w:rPr>
        <w:t>է.</w:t>
      </w:r>
    </w:p>
    <w:p w14:paraId="22423B3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w:t>
      </w:r>
      <w:r w:rsidR="00C54D75">
        <w:rPr>
          <w:rFonts w:ascii="Sylfaen" w:hAnsi="Sylfaen"/>
          <w:sz w:val="24"/>
          <w:szCs w:val="24"/>
        </w:rPr>
        <w:t>և</w:t>
      </w:r>
      <w:r w:rsidRPr="00834D52">
        <w:rPr>
          <w:rFonts w:ascii="Sylfaen" w:hAnsi="Sylfaen"/>
          <w:sz w:val="24"/>
          <w:szCs w:val="24"/>
        </w:rPr>
        <w:t xml:space="preserve"> դեղագործական մշակման համար օգտագործված </w:t>
      </w:r>
      <w:r w:rsidR="00D23E48">
        <w:rPr>
          <w:rFonts w:ascii="Sylfaen" w:hAnsi="Sylfaen"/>
          <w:sz w:val="24"/>
          <w:szCs w:val="24"/>
        </w:rPr>
        <w:t xml:space="preserve">ռեֆերենտ </w:t>
      </w:r>
      <w:r w:rsidRPr="00834D52">
        <w:rPr>
          <w:rFonts w:ascii="Sylfaen" w:hAnsi="Sylfaen"/>
          <w:sz w:val="24"/>
          <w:szCs w:val="24"/>
        </w:rPr>
        <w:t>պատրաստուկի սերիայի համարը.</w:t>
      </w:r>
    </w:p>
    <w:p w14:paraId="61E59DF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արտադրողի անվանումը.</w:t>
      </w:r>
    </w:p>
    <w:p w14:paraId="40E909E8"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պիտանիության ժամկետը.</w:t>
      </w:r>
    </w:p>
    <w:p w14:paraId="472DDD93"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ձեռքբերման երկիրը:</w:t>
      </w:r>
    </w:p>
    <w:p w14:paraId="459A378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Առկայության դեպքում անհրաժեշտ է ներկայացնել Դեղամիջոցների </w:t>
      </w:r>
      <w:r w:rsidRPr="00834D52">
        <w:rPr>
          <w:rFonts w:ascii="Sylfaen" w:hAnsi="Sylfaen"/>
          <w:sz w:val="24"/>
          <w:szCs w:val="24"/>
        </w:rPr>
        <w:lastRenderedPageBreak/>
        <w:t xml:space="preserve">հարցերով փորձագիտական կոմիտեի առաջարկությունը </w:t>
      </w:r>
      <w:r w:rsidR="00D23E48">
        <w:rPr>
          <w:rFonts w:ascii="Sylfaen" w:hAnsi="Sylfaen"/>
          <w:sz w:val="24"/>
          <w:szCs w:val="24"/>
        </w:rPr>
        <w:t xml:space="preserve">ռեֆերենտ </w:t>
      </w:r>
      <w:r w:rsidRPr="00834D52">
        <w:rPr>
          <w:rFonts w:ascii="Sylfaen" w:hAnsi="Sylfaen"/>
          <w:sz w:val="24"/>
          <w:szCs w:val="24"/>
        </w:rPr>
        <w:t>պատրաստուկի ընտրության հարցի վերաբերյալ:</w:t>
      </w:r>
    </w:p>
    <w:p w14:paraId="4850274E"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նշել հետազոտվող պատրաստուկի (պատրաստուկների) անվանումը </w:t>
      </w:r>
      <w:r w:rsidR="00C54D75">
        <w:rPr>
          <w:rFonts w:ascii="Sylfaen" w:hAnsi="Sylfaen"/>
          <w:sz w:val="24"/>
          <w:szCs w:val="24"/>
        </w:rPr>
        <w:t>և</w:t>
      </w:r>
      <w:r w:rsidRPr="00834D52">
        <w:rPr>
          <w:rFonts w:ascii="Sylfaen" w:hAnsi="Sylfaen"/>
          <w:sz w:val="24"/>
          <w:szCs w:val="24"/>
        </w:rPr>
        <w:t xml:space="preserve"> կազմը, սերիայի ծավալը, արտադրության ամսաթիվը </w:t>
      </w:r>
      <w:r w:rsidR="00C54D75">
        <w:rPr>
          <w:rFonts w:ascii="Sylfaen" w:hAnsi="Sylfaen"/>
          <w:sz w:val="24"/>
          <w:szCs w:val="24"/>
        </w:rPr>
        <w:t>և</w:t>
      </w:r>
      <w:r w:rsidRPr="00834D52">
        <w:rPr>
          <w:rFonts w:ascii="Sylfaen" w:hAnsi="Sylfaen"/>
          <w:sz w:val="24"/>
          <w:szCs w:val="24"/>
        </w:rPr>
        <w:t xml:space="preserve"> հնարավորության դեպքում՝ պիտանիության ժամկետի ավարտի ամսաթիվը:</w:t>
      </w:r>
    </w:p>
    <w:p w14:paraId="4600B433" w14:textId="01CEC646" w:rsidR="006F76EB" w:rsidRDefault="006F76EB" w:rsidP="00746502">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 xml:space="preserve">Անհրաժեշտ է ներկայացնել անցկացված համեմատական նախակլինիկական </w:t>
      </w:r>
      <w:r w:rsidR="00C54D75">
        <w:rPr>
          <w:rFonts w:ascii="Sylfaen" w:hAnsi="Sylfaen"/>
          <w:sz w:val="24"/>
          <w:szCs w:val="24"/>
        </w:rPr>
        <w:t>և</w:t>
      </w:r>
      <w:r w:rsidRPr="00834D52">
        <w:rPr>
          <w:rFonts w:ascii="Sylfaen" w:hAnsi="Sylfaen"/>
          <w:sz w:val="24"/>
          <w:szCs w:val="24"/>
        </w:rPr>
        <w:t xml:space="preserve"> (կամ) կլինիկական հետազոտությունների ծավալի հիմնավորում՝ ելնելով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պահանջներից: Հետազոտության վերաբերյալ հաշվետվության հավելվածում անհրաժեշտ է ներկայացնել հետազոտության մեջ օգտագործված </w:t>
      </w:r>
      <w:r w:rsidR="0032680A">
        <w:rPr>
          <w:rFonts w:ascii="Sylfaen" w:hAnsi="Sylfaen"/>
          <w:sz w:val="24"/>
          <w:szCs w:val="24"/>
        </w:rPr>
        <w:t xml:space="preserve">ռեֆերենտ </w:t>
      </w:r>
      <w:r w:rsidR="00C54D75">
        <w:rPr>
          <w:rFonts w:ascii="Sylfaen" w:hAnsi="Sylfaen"/>
          <w:sz w:val="24"/>
          <w:szCs w:val="24"/>
        </w:rPr>
        <w:t>և</w:t>
      </w:r>
      <w:r w:rsidRPr="00834D52">
        <w:rPr>
          <w:rFonts w:ascii="Sylfaen" w:hAnsi="Sylfaen"/>
          <w:sz w:val="24"/>
          <w:szCs w:val="24"/>
        </w:rPr>
        <w:t xml:space="preserve"> հետազոտվող պատրաստուկների սերիաների վերլուծության հավաստագրերի պատճենները:</w:t>
      </w:r>
    </w:p>
    <w:p w14:paraId="65ED5D7A" w14:textId="32F915FE" w:rsidR="007F2846" w:rsidRPr="006F28F9" w:rsidRDefault="007F2846" w:rsidP="007F2846">
      <w:pPr>
        <w:rPr>
          <w:b/>
          <w:bCs/>
          <w:i/>
          <w:iCs/>
        </w:rPr>
      </w:pPr>
      <w:r w:rsidRPr="00CD4709">
        <w:rPr>
          <w:b/>
          <w:bCs/>
          <w:i/>
          <w:iCs/>
        </w:rPr>
        <w:t>(</w:t>
      </w:r>
      <w:r>
        <w:rPr>
          <w:b/>
          <w:bCs/>
          <w:i/>
          <w:iCs/>
        </w:rPr>
        <w:t xml:space="preserve">10.2 կետը </w:t>
      </w:r>
      <w:r w:rsidRPr="00CD4709">
        <w:rPr>
          <w:b/>
          <w:bCs/>
          <w:i/>
          <w:iCs/>
        </w:rPr>
        <w:t>փոփ. 30.01.20 թիվ 9)</w:t>
      </w:r>
    </w:p>
    <w:p w14:paraId="74990C18" w14:textId="77777777" w:rsidR="007F2846" w:rsidRPr="00834D52" w:rsidRDefault="007F2846" w:rsidP="00746502">
      <w:pPr>
        <w:tabs>
          <w:tab w:val="left" w:pos="1418"/>
        </w:tabs>
        <w:spacing w:after="160" w:line="360" w:lineRule="auto"/>
        <w:ind w:right="-8" w:firstLine="567"/>
        <w:jc w:val="both"/>
        <w:rPr>
          <w:rFonts w:ascii="Sylfaen" w:eastAsia="Times New Roman" w:hAnsi="Sylfaen" w:cs="Times New Roman"/>
          <w:sz w:val="24"/>
          <w:szCs w:val="24"/>
        </w:rPr>
      </w:pPr>
    </w:p>
    <w:p w14:paraId="240DF2B4" w14:textId="77777777" w:rsidR="006F76EB" w:rsidRPr="00834D52" w:rsidRDefault="006F76EB" w:rsidP="00746502">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10.3.</w:t>
      </w:r>
      <w:r w:rsidRPr="00834D52">
        <w:rPr>
          <w:rFonts w:ascii="Sylfaen" w:hAnsi="Sylfaen"/>
          <w:sz w:val="24"/>
          <w:szCs w:val="24"/>
        </w:rPr>
        <w:tab/>
        <w:t>Մոդուլ 3.</w:t>
      </w:r>
    </w:p>
    <w:p w14:paraId="4624A5A1" w14:textId="77777777" w:rsidR="006F76EB" w:rsidRPr="00834D52" w:rsidRDefault="006F76EB" w:rsidP="00746502">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գրանցման դոսյեի 3-րդ մոդուլում անհրաժեշտ է լրացուցիչ ներկայացնել հետ</w:t>
      </w:r>
      <w:r w:rsidR="00C54D75">
        <w:rPr>
          <w:rFonts w:ascii="Sylfaen" w:hAnsi="Sylfaen"/>
          <w:sz w:val="24"/>
          <w:szCs w:val="24"/>
        </w:rPr>
        <w:t>և</w:t>
      </w:r>
      <w:r w:rsidRPr="00834D52">
        <w:rPr>
          <w:rFonts w:ascii="Sylfaen" w:hAnsi="Sylfaen"/>
          <w:sz w:val="24"/>
          <w:szCs w:val="24"/>
        </w:rPr>
        <w:t>յալ տվյալները՝ հաշվի առնելով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պահանջները.</w:t>
      </w:r>
    </w:p>
    <w:p w14:paraId="06F2DAD9" w14:textId="77777777" w:rsidR="006F76EB" w:rsidRPr="00834D52" w:rsidRDefault="006F76EB" w:rsidP="0074650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 xml:space="preserve">կենսաբանական դեղապատրաստուկի ակտիվ նյութերի մոլեկուլային </w:t>
      </w:r>
      <w:r w:rsidR="00C54D75">
        <w:rPr>
          <w:rFonts w:ascii="Sylfaen" w:hAnsi="Sylfaen"/>
          <w:sz w:val="24"/>
          <w:szCs w:val="24"/>
        </w:rPr>
        <w:t>և</w:t>
      </w:r>
      <w:r w:rsidRPr="00834D52">
        <w:rPr>
          <w:rFonts w:ascii="Sylfaen" w:hAnsi="Sylfaen"/>
          <w:sz w:val="24"/>
          <w:szCs w:val="24"/>
        </w:rPr>
        <w:t xml:space="preserve"> կենսաբանական բնութագրերի միանմանության հաստատումը (առաջնային կառուցվածքի </w:t>
      </w:r>
      <w:r w:rsidR="00C54D75">
        <w:rPr>
          <w:rFonts w:ascii="Sylfaen" w:hAnsi="Sylfaen"/>
          <w:sz w:val="24"/>
          <w:szCs w:val="24"/>
        </w:rPr>
        <w:t>և</w:t>
      </w:r>
      <w:r w:rsidRPr="00834D52">
        <w:rPr>
          <w:rFonts w:ascii="Sylfaen" w:hAnsi="Sylfaen"/>
          <w:sz w:val="24"/>
          <w:szCs w:val="24"/>
        </w:rPr>
        <w:t xml:space="preserve"> ավելի բարձր կարգի կառուցվածքների, կենսաբանական ակտիվության հետտրանսլյացիոն մոդիֆիկացիաների (ներառյալ մասնավորապես գլիկոձ</w:t>
      </w:r>
      <w:r w:rsidR="00C54D75">
        <w:rPr>
          <w:rFonts w:ascii="Sylfaen" w:hAnsi="Sylfaen"/>
          <w:sz w:val="24"/>
          <w:szCs w:val="24"/>
        </w:rPr>
        <w:t>և</w:t>
      </w:r>
      <w:r w:rsidRPr="00834D52">
        <w:rPr>
          <w:rFonts w:ascii="Sylfaen" w:hAnsi="Sylfaen"/>
          <w:sz w:val="24"/>
          <w:szCs w:val="24"/>
        </w:rPr>
        <w:t>երը), զտության, խառնուրդների մասով տվյալներ).</w:t>
      </w:r>
    </w:p>
    <w:p w14:paraId="2DC263A4" w14:textId="77777777" w:rsidR="006F76EB" w:rsidRPr="00834D52" w:rsidRDefault="006F76EB" w:rsidP="0074650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բ)</w:t>
      </w:r>
      <w:r w:rsidRPr="00834D52">
        <w:rPr>
          <w:rFonts w:ascii="Sylfaen" w:hAnsi="Sylfaen"/>
          <w:sz w:val="24"/>
          <w:szCs w:val="24"/>
        </w:rPr>
        <w:tab/>
        <w:t xml:space="preserve">բիոսիմիլար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բնութագրերի միանմանության հաստատումը (դեղաձ</w:t>
      </w:r>
      <w:r w:rsidR="00C54D75">
        <w:rPr>
          <w:rFonts w:ascii="Sylfaen" w:hAnsi="Sylfaen"/>
          <w:sz w:val="24"/>
          <w:szCs w:val="24"/>
        </w:rPr>
        <w:t>և</w:t>
      </w:r>
      <w:r w:rsidRPr="00834D52">
        <w:rPr>
          <w:rFonts w:ascii="Sylfaen" w:hAnsi="Sylfaen"/>
          <w:sz w:val="24"/>
          <w:szCs w:val="24"/>
        </w:rPr>
        <w:t xml:space="preserve">ը, քանակական </w:t>
      </w:r>
      <w:r w:rsidR="00C54D75">
        <w:rPr>
          <w:rFonts w:ascii="Sylfaen" w:hAnsi="Sylfaen"/>
          <w:sz w:val="24"/>
          <w:szCs w:val="24"/>
        </w:rPr>
        <w:t>և</w:t>
      </w:r>
      <w:r w:rsidRPr="00834D52">
        <w:rPr>
          <w:rFonts w:ascii="Sylfaen" w:hAnsi="Sylfaen"/>
          <w:sz w:val="24"/>
          <w:szCs w:val="24"/>
        </w:rPr>
        <w:t xml:space="preserve"> որակական կազմը, դոզավորումը, կիրառման եղանակը, պահպանման պայմանները, պահպանման ժամկետը, կայունությունը, խառնուրդների պրոֆիլը).</w:t>
      </w:r>
    </w:p>
    <w:p w14:paraId="157555E2" w14:textId="683F9B3E" w:rsidR="006F76EB" w:rsidRPr="00834D52" w:rsidRDefault="006F76EB" w:rsidP="00A4035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խառնուրդներում </w:t>
      </w:r>
      <w:r w:rsidR="00C54D75">
        <w:rPr>
          <w:rFonts w:ascii="Sylfaen" w:hAnsi="Sylfaen"/>
          <w:sz w:val="24"/>
          <w:szCs w:val="24"/>
        </w:rPr>
        <w:t>և</w:t>
      </w:r>
      <w:r w:rsidRPr="00834D52">
        <w:rPr>
          <w:rFonts w:ascii="Sylfaen" w:hAnsi="Sylfaen"/>
          <w:sz w:val="24"/>
          <w:szCs w:val="24"/>
        </w:rPr>
        <w:t xml:space="preserve"> օժանդակ նյութերում տարբերությունների առկայության դեպքում պետք է գնահատվի դրանց հնարավոր ազդեցությունը բիոսիմիլարի կլինիկական անվտանգության </w:t>
      </w:r>
      <w:r w:rsidR="00C54D75">
        <w:rPr>
          <w:rFonts w:ascii="Sylfaen" w:hAnsi="Sylfaen"/>
          <w:sz w:val="24"/>
          <w:szCs w:val="24"/>
        </w:rPr>
        <w:t>և</w:t>
      </w:r>
      <w:r w:rsidRPr="00834D52">
        <w:rPr>
          <w:rFonts w:ascii="Sylfaen" w:hAnsi="Sylfaen"/>
          <w:sz w:val="24"/>
          <w:szCs w:val="24"/>
        </w:rPr>
        <w:t xml:space="preserve"> արդյունավետության պրոֆիլի վրա </w:t>
      </w:r>
      <w:r w:rsidR="00C54D75">
        <w:rPr>
          <w:rFonts w:ascii="Sylfaen" w:hAnsi="Sylfaen"/>
          <w:sz w:val="24"/>
          <w:szCs w:val="24"/>
        </w:rPr>
        <w:t>և</w:t>
      </w:r>
      <w:r w:rsidRPr="00834D52">
        <w:rPr>
          <w:rFonts w:ascii="Sylfaen" w:hAnsi="Sylfaen"/>
          <w:sz w:val="24"/>
          <w:szCs w:val="24"/>
        </w:rPr>
        <w:t xml:space="preserve"> ներկայացվի այդ տարբերությունների ընդունելիության հիմնավորումը (սեփական հետազոտության արդյունքների կամ գիտական գրականության մեջ բերված տվյալների հիման վրա) այնպիսի տարբերությունների առկայության դեպքում, որոնց կլինիկական նշանակությունը </w:t>
      </w:r>
      <w:r w:rsidR="005F6A31">
        <w:rPr>
          <w:rFonts w:ascii="Sylfaen" w:hAnsi="Sylfaen"/>
          <w:sz w:val="24"/>
          <w:szCs w:val="24"/>
        </w:rPr>
        <w:t>հայտնի</w:t>
      </w:r>
      <w:r w:rsidRPr="00834D52">
        <w:rPr>
          <w:rFonts w:ascii="Sylfaen" w:hAnsi="Sylfaen"/>
          <w:sz w:val="24"/>
          <w:szCs w:val="24"/>
        </w:rPr>
        <w:t xml:space="preserve"> չէ՝ հատկապես անվտանգության առումով,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 պահանջվում է անցկացնել լրացուցիչ հետազոտություններ.</w:t>
      </w:r>
    </w:p>
    <w:p w14:paraId="516C87A2"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 xml:space="preserve">արտադրական պրոցեսի ամբողջական նկարագրությունը </w:t>
      </w:r>
      <w:r w:rsidR="00C54D75">
        <w:rPr>
          <w:rFonts w:ascii="Sylfaen" w:hAnsi="Sylfaen"/>
          <w:sz w:val="24"/>
          <w:szCs w:val="24"/>
        </w:rPr>
        <w:t>և</w:t>
      </w:r>
      <w:r w:rsidRPr="00834D52">
        <w:rPr>
          <w:rFonts w:ascii="Sylfaen" w:hAnsi="Sylfaen"/>
          <w:sz w:val="24"/>
          <w:szCs w:val="24"/>
        </w:rPr>
        <w:t xml:space="preserve"> տվյալները (սկսած էքսպրեսվող կառուցվածքների (համակարգերի), ելակետային </w:t>
      </w:r>
      <w:r w:rsidR="00F251C5" w:rsidRPr="00F06D43">
        <w:rPr>
          <w:rFonts w:ascii="Sylfaen" w:hAnsi="Sylfaen"/>
          <w:sz w:val="24"/>
          <w:szCs w:val="24"/>
        </w:rPr>
        <w:br/>
      </w:r>
      <w:r w:rsidRPr="00834D52">
        <w:rPr>
          <w:rFonts w:ascii="Sylfaen" w:hAnsi="Sylfaen"/>
          <w:sz w:val="24"/>
          <w:szCs w:val="24"/>
        </w:rPr>
        <w:t xml:space="preserve">շտամ-պրոդուցենտի </w:t>
      </w:r>
      <w:r w:rsidR="00C54D75">
        <w:rPr>
          <w:rFonts w:ascii="Sylfaen" w:hAnsi="Sylfaen"/>
          <w:sz w:val="24"/>
          <w:szCs w:val="24"/>
        </w:rPr>
        <w:t>և</w:t>
      </w:r>
      <w:r w:rsidRPr="00834D52">
        <w:rPr>
          <w:rFonts w:ascii="Sylfaen" w:hAnsi="Sylfaen"/>
          <w:sz w:val="24"/>
          <w:szCs w:val="24"/>
        </w:rPr>
        <w:t xml:space="preserve"> բջիջների բանկերի մշակումից, բջիջների կուլտուրաներից (կուլտիվացումից), հավաքելուց, մաքրելուց, արտադրանքն արտադրելուց </w:t>
      </w:r>
      <w:r w:rsidR="00C54D75">
        <w:rPr>
          <w:rFonts w:ascii="Sylfaen" w:hAnsi="Sylfaen"/>
          <w:sz w:val="24"/>
          <w:szCs w:val="24"/>
        </w:rPr>
        <w:t>և</w:t>
      </w:r>
      <w:r w:rsidRPr="00834D52">
        <w:rPr>
          <w:rFonts w:ascii="Sylfaen" w:hAnsi="Sylfaen"/>
          <w:sz w:val="24"/>
          <w:szCs w:val="24"/>
        </w:rPr>
        <w:t xml:space="preserve"> մաքրելուց հետո լրացուցիչ արտադրական պրոցեսներից, չբաժնեծրարված արտադրանքի </w:t>
      </w:r>
      <w:r w:rsidR="00C54D75">
        <w:rPr>
          <w:rFonts w:ascii="Sylfaen" w:hAnsi="Sylfaen"/>
          <w:sz w:val="24"/>
          <w:szCs w:val="24"/>
        </w:rPr>
        <w:t>և</w:t>
      </w:r>
      <w:r w:rsidRPr="00834D52">
        <w:rPr>
          <w:rFonts w:ascii="Sylfaen" w:hAnsi="Sylfaen"/>
          <w:sz w:val="24"/>
          <w:szCs w:val="24"/>
        </w:rPr>
        <w:t xml:space="preserve"> պատրաստի դեղաձ</w:t>
      </w:r>
      <w:r w:rsidR="00C54D75">
        <w:rPr>
          <w:rFonts w:ascii="Sylfaen" w:hAnsi="Sylfaen"/>
          <w:sz w:val="24"/>
          <w:szCs w:val="24"/>
        </w:rPr>
        <w:t>և</w:t>
      </w:r>
      <w:r w:rsidRPr="00834D52">
        <w:rPr>
          <w:rFonts w:ascii="Sylfaen" w:hAnsi="Sylfaen"/>
          <w:sz w:val="24"/>
          <w:szCs w:val="24"/>
        </w:rPr>
        <w:t xml:space="preserve">ի համար կոնտեյներները լցնելուց </w:t>
      </w:r>
      <w:r w:rsidR="00C54D75">
        <w:rPr>
          <w:rFonts w:ascii="Sylfaen" w:hAnsi="Sylfaen"/>
          <w:sz w:val="24"/>
          <w:szCs w:val="24"/>
        </w:rPr>
        <w:t>և</w:t>
      </w:r>
      <w:r w:rsidRPr="00834D52">
        <w:rPr>
          <w:rFonts w:ascii="Sylfaen" w:hAnsi="Sylfaen"/>
          <w:sz w:val="24"/>
          <w:szCs w:val="24"/>
        </w:rPr>
        <w:t xml:space="preserve"> վերջացրած պահպանումով).</w:t>
      </w:r>
    </w:p>
    <w:p w14:paraId="4B9C2519"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կենսահամանման (կենսանման) դեղապատրաստուկի դեղագործական մշակման ընթացքում անցկացվող հետազոտությունների վերաբերյալ տվյալները՝ դրա դեղաձ</w:t>
      </w:r>
      <w:r w:rsidR="00C54D75">
        <w:rPr>
          <w:rFonts w:ascii="Sylfaen" w:hAnsi="Sylfaen"/>
          <w:sz w:val="24"/>
          <w:szCs w:val="24"/>
        </w:rPr>
        <w:t>և</w:t>
      </w:r>
      <w:r w:rsidRPr="00834D52">
        <w:rPr>
          <w:rFonts w:ascii="Sylfaen" w:hAnsi="Sylfaen"/>
          <w:sz w:val="24"/>
          <w:szCs w:val="24"/>
        </w:rPr>
        <w:t xml:space="preserve">ը, կազմը </w:t>
      </w:r>
      <w:r w:rsidR="00C54D75">
        <w:rPr>
          <w:rFonts w:ascii="Sylfaen" w:hAnsi="Sylfaen"/>
          <w:sz w:val="24"/>
          <w:szCs w:val="24"/>
        </w:rPr>
        <w:t>և</w:t>
      </w:r>
      <w:r w:rsidRPr="00834D52">
        <w:rPr>
          <w:rFonts w:ascii="Sylfaen" w:hAnsi="Sylfaen"/>
          <w:sz w:val="24"/>
          <w:szCs w:val="24"/>
        </w:rPr>
        <w:t xml:space="preserve"> փաթեթավորման (խցանափակման) համակարգը (ներառյալ՝ դրանց ամբողջականությունը՝ մանրէային աղտոտումը կանխելու համար) որոշելու </w:t>
      </w:r>
      <w:r w:rsidR="00C54D75">
        <w:rPr>
          <w:rFonts w:ascii="Sylfaen" w:hAnsi="Sylfaen"/>
          <w:sz w:val="24"/>
          <w:szCs w:val="24"/>
        </w:rPr>
        <w:t>և</w:t>
      </w:r>
      <w:r w:rsidRPr="00834D52">
        <w:rPr>
          <w:rFonts w:ascii="Sylfaen" w:hAnsi="Sylfaen"/>
          <w:sz w:val="24"/>
          <w:szCs w:val="24"/>
        </w:rPr>
        <w:t xml:space="preserve"> հիմնավորելու համար.</w:t>
      </w:r>
    </w:p>
    <w:p w14:paraId="4048025B"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զ)</w:t>
      </w:r>
      <w:r w:rsidRPr="00834D52">
        <w:rPr>
          <w:rFonts w:ascii="Sylfaen" w:hAnsi="Sylfaen"/>
          <w:sz w:val="24"/>
          <w:szCs w:val="24"/>
        </w:rPr>
        <w:tab/>
        <w:t xml:space="preserve">կենսահամանման (կենսանման) դեղապատրաստուկի մասնագիրը, որը պետք է պարունակի </w:t>
      </w:r>
      <w:r w:rsidR="00C54D75">
        <w:rPr>
          <w:rFonts w:ascii="Sylfaen" w:hAnsi="Sylfaen"/>
          <w:sz w:val="24"/>
          <w:szCs w:val="24"/>
        </w:rPr>
        <w:t>և</w:t>
      </w:r>
      <w:r w:rsidRPr="00834D52">
        <w:rPr>
          <w:rFonts w:ascii="Sylfaen" w:hAnsi="Sylfaen"/>
          <w:sz w:val="24"/>
          <w:szCs w:val="24"/>
        </w:rPr>
        <w:t xml:space="preserve"> կանոնակարգի դեղապատրաստուկի այն կար</w:t>
      </w:r>
      <w:r w:rsidR="00C54D75">
        <w:rPr>
          <w:rFonts w:ascii="Sylfaen" w:hAnsi="Sylfaen"/>
          <w:sz w:val="24"/>
          <w:szCs w:val="24"/>
        </w:rPr>
        <w:t>և</w:t>
      </w:r>
      <w:r w:rsidRPr="00834D52">
        <w:rPr>
          <w:rFonts w:ascii="Sylfaen" w:hAnsi="Sylfaen"/>
          <w:sz w:val="24"/>
          <w:szCs w:val="24"/>
        </w:rPr>
        <w:t xml:space="preserve">որ </w:t>
      </w:r>
      <w:r w:rsidRPr="00834D52">
        <w:rPr>
          <w:rFonts w:ascii="Sylfaen" w:hAnsi="Sylfaen"/>
          <w:sz w:val="24"/>
          <w:szCs w:val="24"/>
        </w:rPr>
        <w:lastRenderedPageBreak/>
        <w:t xml:space="preserve">քանակական ցուցանիշները, որոնք սահմանվել են </w:t>
      </w:r>
      <w:r w:rsidR="00D23E48">
        <w:rPr>
          <w:rFonts w:ascii="Sylfaen" w:hAnsi="Sylfaen"/>
          <w:sz w:val="24"/>
          <w:szCs w:val="24"/>
        </w:rPr>
        <w:t xml:space="preserve">ռեֆերենտ </w:t>
      </w:r>
      <w:r w:rsidRPr="00834D52">
        <w:rPr>
          <w:rFonts w:ascii="Sylfaen" w:hAnsi="Sylfaen"/>
          <w:sz w:val="24"/>
          <w:szCs w:val="24"/>
        </w:rPr>
        <w:t xml:space="preserve">կենսաբանական դեղապատրաստուկի համար (ինչպիսիք են նույնականացումը, մաքրությունը, ակտիվությունը, մոլեկուլային հետերոգենությունը չափերի, լիցքի </w:t>
      </w:r>
      <w:r w:rsidR="00C54D75">
        <w:rPr>
          <w:rFonts w:ascii="Sylfaen" w:hAnsi="Sylfaen"/>
          <w:sz w:val="24"/>
          <w:szCs w:val="24"/>
        </w:rPr>
        <w:t>և</w:t>
      </w:r>
      <w:r w:rsidRPr="00834D52">
        <w:rPr>
          <w:rFonts w:ascii="Sylfaen" w:hAnsi="Sylfaen"/>
          <w:sz w:val="24"/>
          <w:szCs w:val="24"/>
        </w:rPr>
        <w:t xml:space="preserve"> հիդրոֆոբության տեսանկյունից (որտեղ հնարավոր է դրանք որոշել), սիալիլացման (սիալաթթվի ավելացման) աստիճանը, առանձին պոլիպեպտիդ շղթաների քանակը, ֆունկցիոնալ հատվածի գլիկոզիլացումը, ագրեգացման աստիճանը, այնպիսի խառնուրդներ, ինչպիսիք են սպիտակուցը </w:t>
      </w:r>
      <w:r w:rsidR="00C54D75">
        <w:rPr>
          <w:rFonts w:ascii="Sylfaen" w:hAnsi="Sylfaen"/>
          <w:sz w:val="24"/>
          <w:szCs w:val="24"/>
        </w:rPr>
        <w:t>և</w:t>
      </w:r>
      <w:r w:rsidRPr="00834D52">
        <w:rPr>
          <w:rFonts w:ascii="Sylfaen" w:hAnsi="Sylfaen"/>
          <w:sz w:val="24"/>
          <w:szCs w:val="24"/>
        </w:rPr>
        <w:t xml:space="preserve"> ընդունող բջջի ԴՆԹն </w:t>
      </w:r>
      <w:r w:rsidR="00C54D75">
        <w:rPr>
          <w:rFonts w:ascii="Sylfaen" w:hAnsi="Sylfaen"/>
          <w:sz w:val="24"/>
          <w:szCs w:val="24"/>
        </w:rPr>
        <w:t>և</w:t>
      </w:r>
      <w:r w:rsidRPr="00834D52">
        <w:rPr>
          <w:rFonts w:ascii="Sylfaen" w:hAnsi="Sylfaen"/>
          <w:sz w:val="24"/>
          <w:szCs w:val="24"/>
        </w:rPr>
        <w:t xml:space="preserve"> այլն).</w:t>
      </w:r>
    </w:p>
    <w:p w14:paraId="258F2178" w14:textId="77777777" w:rsidR="006F76EB" w:rsidRPr="00834D52" w:rsidRDefault="006F76EB" w:rsidP="00A4035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է)</w:t>
      </w:r>
      <w:r w:rsidRPr="00834D52">
        <w:rPr>
          <w:rFonts w:ascii="Sylfaen" w:hAnsi="Sylfaen"/>
          <w:sz w:val="24"/>
          <w:szCs w:val="24"/>
        </w:rPr>
        <w:tab/>
        <w:t>կայունության հետազոտությունները:</w:t>
      </w:r>
    </w:p>
    <w:p w14:paraId="7F03CC36" w14:textId="77777777" w:rsidR="006F76EB" w:rsidRPr="00834D52" w:rsidRDefault="006F76EB" w:rsidP="00F10DF3">
      <w:pPr>
        <w:tabs>
          <w:tab w:val="left" w:pos="1276"/>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10.4.</w:t>
      </w:r>
      <w:r w:rsidRPr="00834D52">
        <w:rPr>
          <w:rFonts w:ascii="Sylfaen" w:hAnsi="Sylfaen"/>
          <w:sz w:val="24"/>
          <w:szCs w:val="24"/>
        </w:rPr>
        <w:tab/>
        <w:t>Մոդուլ 4.</w:t>
      </w:r>
    </w:p>
    <w:p w14:paraId="4FBE28BB" w14:textId="77777777" w:rsidR="006F76EB" w:rsidRPr="00834D52" w:rsidRDefault="006F76EB" w:rsidP="00F10DF3">
      <w:pPr>
        <w:tabs>
          <w:tab w:val="left" w:pos="1276"/>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4-րդ մոդուլում պետք է ներկայացնել կենսահամանման (կենսանման) դեղապատրաստուկի նախակլինիկական (ոչ կլինիկական) հետազոտությունները </w:t>
      </w:r>
      <w:r w:rsidR="0032680A">
        <w:rPr>
          <w:rFonts w:ascii="Sylfaen" w:hAnsi="Sylfaen"/>
          <w:sz w:val="24"/>
          <w:szCs w:val="24"/>
        </w:rPr>
        <w:t xml:space="preserve">ռեֆերենտ </w:t>
      </w:r>
      <w:r w:rsidRPr="00834D52">
        <w:rPr>
          <w:rFonts w:ascii="Sylfaen" w:hAnsi="Sylfaen"/>
          <w:sz w:val="24"/>
          <w:szCs w:val="24"/>
        </w:rPr>
        <w:t>կենսաբանական դեղապատրաստուկի համեմատությամբ՝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w:t>
      </w:r>
    </w:p>
    <w:p w14:paraId="4D2D642D" w14:textId="77777777" w:rsidR="006F76EB" w:rsidRPr="00834D52" w:rsidRDefault="006F76EB" w:rsidP="00F10DF3">
      <w:pPr>
        <w:tabs>
          <w:tab w:val="left" w:pos="1276"/>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10.5.</w:t>
      </w:r>
      <w:r w:rsidRPr="00834D52">
        <w:rPr>
          <w:rFonts w:ascii="Sylfaen" w:hAnsi="Sylfaen"/>
          <w:sz w:val="24"/>
          <w:szCs w:val="24"/>
        </w:rPr>
        <w:tab/>
        <w:t>Մոդուլ 5.</w:t>
      </w:r>
    </w:p>
    <w:p w14:paraId="6168EECF" w14:textId="77777777" w:rsidR="006F76EB" w:rsidRPr="00834D52" w:rsidRDefault="006F76EB" w:rsidP="00BC52BC">
      <w:pPr>
        <w:tabs>
          <w:tab w:val="left" w:pos="1418"/>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5-րդ մոդուլում ներկայացվում են փաստաթղթեր </w:t>
      </w:r>
      <w:r w:rsidR="00C54D75">
        <w:rPr>
          <w:rFonts w:ascii="Sylfaen" w:hAnsi="Sylfaen"/>
          <w:spacing w:val="-4"/>
          <w:sz w:val="24"/>
          <w:szCs w:val="24"/>
        </w:rPr>
        <w:t>և</w:t>
      </w:r>
      <w:r w:rsidRPr="00834D52">
        <w:rPr>
          <w:rFonts w:ascii="Sylfaen" w:hAnsi="Sylfaen"/>
          <w:spacing w:val="-4"/>
          <w:sz w:val="24"/>
          <w:szCs w:val="24"/>
        </w:rPr>
        <w:t xml:space="preserve"> տվյալներ՝ Հանձնաժողովի կողմից հաստատվող՝ Եվրասիական տնտեսական միության շրջանակներում կենսաբանական դեղամիջոցների հետազոտությունների անցկացման կանոնների պահանջներին համապատասխան, որոնք պարունակում են՝</w:t>
      </w:r>
    </w:p>
    <w:p w14:paraId="119E5A96" w14:textId="77777777" w:rsidR="006F76EB" w:rsidRPr="00834D52" w:rsidRDefault="006F76EB" w:rsidP="00F875F2">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w:t>
      </w:r>
      <w:r w:rsidRPr="00834D52">
        <w:rPr>
          <w:rFonts w:ascii="Sylfaen" w:hAnsi="Sylfaen"/>
          <w:sz w:val="24"/>
          <w:szCs w:val="24"/>
        </w:rPr>
        <w:tab/>
        <w:t xml:space="preserve">կենսահամանման (կենսանման) դեղապատրաստուկի կլինիկական հետազոտությունների արդյունքները </w:t>
      </w:r>
      <w:r w:rsidR="0032680A">
        <w:rPr>
          <w:rFonts w:ascii="Sylfaen" w:hAnsi="Sylfaen"/>
          <w:sz w:val="24"/>
          <w:szCs w:val="24"/>
        </w:rPr>
        <w:t xml:space="preserve">ռեֆերենտ </w:t>
      </w:r>
      <w:r w:rsidRPr="00834D52">
        <w:rPr>
          <w:rFonts w:ascii="Sylfaen" w:hAnsi="Sylfaen"/>
          <w:sz w:val="24"/>
          <w:szCs w:val="24"/>
        </w:rPr>
        <w:t>դեղապատրաստուկի համեմատությամբ, որոնք ներառում են՝</w:t>
      </w:r>
    </w:p>
    <w:p w14:paraId="0305E8BD" w14:textId="77777777" w:rsidR="006F76EB" w:rsidRPr="00834D52" w:rsidRDefault="00355C33" w:rsidP="00F875F2">
      <w:pPr>
        <w:tabs>
          <w:tab w:val="left" w:pos="1418"/>
        </w:tabs>
        <w:spacing w:after="160" w:line="348"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հետազոտությունների արդյունքները (</w:t>
      </w:r>
      <w:r>
        <w:rPr>
          <w:rFonts w:ascii="Sylfaen" w:hAnsi="Sylfaen"/>
          <w:sz w:val="24"/>
          <w:szCs w:val="24"/>
        </w:rPr>
        <w:t>դեղա</w:t>
      </w:r>
      <w:r w:rsidR="006F76EB" w:rsidRPr="00834D52">
        <w:rPr>
          <w:rFonts w:ascii="Sylfaen" w:hAnsi="Sylfaen"/>
          <w:sz w:val="24"/>
          <w:szCs w:val="24"/>
        </w:rPr>
        <w:t xml:space="preserve">կինետիկ հետազոտությունների մեկանգամյա ներմուծման դեպքում, </w:t>
      </w:r>
      <w:r>
        <w:rPr>
          <w:rFonts w:ascii="Sylfaen" w:hAnsi="Sylfaen"/>
          <w:sz w:val="24"/>
          <w:szCs w:val="24"/>
        </w:rPr>
        <w:t>դեղա</w:t>
      </w:r>
      <w:r w:rsidR="006F76EB" w:rsidRPr="00834D52">
        <w:rPr>
          <w:rFonts w:ascii="Sylfaen" w:hAnsi="Sylfaen"/>
          <w:sz w:val="24"/>
          <w:szCs w:val="24"/>
        </w:rPr>
        <w:t>կինետիկ հետազոտությունների բազմակի ներմուծման դեպքում (</w:t>
      </w:r>
      <w:r>
        <w:rPr>
          <w:rFonts w:ascii="Sylfaen" w:hAnsi="Sylfaen"/>
          <w:sz w:val="24"/>
          <w:szCs w:val="24"/>
        </w:rPr>
        <w:t>դեղա</w:t>
      </w:r>
      <w:r w:rsidR="006F76EB" w:rsidRPr="00834D52">
        <w:rPr>
          <w:rFonts w:ascii="Sylfaen" w:hAnsi="Sylfaen"/>
          <w:sz w:val="24"/>
          <w:szCs w:val="24"/>
        </w:rPr>
        <w:t xml:space="preserve">կինետիկայի՝ </w:t>
      </w:r>
      <w:r w:rsidR="006F76EB" w:rsidRPr="00834D52">
        <w:rPr>
          <w:rFonts w:ascii="Sylfaen" w:hAnsi="Sylfaen"/>
          <w:sz w:val="24"/>
          <w:szCs w:val="24"/>
        </w:rPr>
        <w:lastRenderedPageBreak/>
        <w:t xml:space="preserve">դեղաչափից </w:t>
      </w:r>
      <w:r w:rsidR="00C54D75">
        <w:rPr>
          <w:rFonts w:ascii="Sylfaen" w:hAnsi="Sylfaen"/>
          <w:sz w:val="24"/>
          <w:szCs w:val="24"/>
        </w:rPr>
        <w:t>և</w:t>
      </w:r>
      <w:r w:rsidR="006F76EB" w:rsidRPr="00834D52">
        <w:rPr>
          <w:rFonts w:ascii="Sylfaen" w:hAnsi="Sylfaen"/>
          <w:sz w:val="24"/>
          <w:szCs w:val="24"/>
        </w:rPr>
        <w:t xml:space="preserve"> ժամանակից կախվածության առկայության դեպքում) կենսահամանման (կենսանմամ) դեղապատրաստուկի </w:t>
      </w:r>
      <w:r w:rsidR="00C54D75">
        <w:rPr>
          <w:rFonts w:ascii="Sylfaen" w:hAnsi="Sylfaen"/>
          <w:sz w:val="24"/>
          <w:szCs w:val="24"/>
        </w:rPr>
        <w:t>և</w:t>
      </w:r>
      <w:r w:rsidR="006F76EB" w:rsidRPr="00834D52">
        <w:rPr>
          <w:rFonts w:ascii="Sylfaen" w:hAnsi="Sylfaen"/>
          <w:sz w:val="24"/>
          <w:szCs w:val="24"/>
        </w:rPr>
        <w:t xml:space="preserve">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պատրաստուկի </w:t>
      </w:r>
      <w:r>
        <w:rPr>
          <w:rFonts w:ascii="Sylfaen" w:hAnsi="Sylfaen"/>
          <w:sz w:val="24"/>
          <w:szCs w:val="24"/>
        </w:rPr>
        <w:t>դեղա</w:t>
      </w:r>
      <w:r w:rsidR="006F76EB" w:rsidRPr="00834D52">
        <w:rPr>
          <w:rFonts w:ascii="Sylfaen" w:hAnsi="Sylfaen"/>
          <w:sz w:val="24"/>
          <w:szCs w:val="24"/>
        </w:rPr>
        <w:t xml:space="preserve">կինետիկ համեմատությունը պետք է ներառի </w:t>
      </w:r>
      <w:r>
        <w:rPr>
          <w:rFonts w:ascii="Sylfaen" w:hAnsi="Sylfaen"/>
          <w:sz w:val="24"/>
          <w:szCs w:val="24"/>
        </w:rPr>
        <w:t>դեղա</w:t>
      </w:r>
      <w:r w:rsidR="006F76EB" w:rsidRPr="00834D52">
        <w:rPr>
          <w:rFonts w:ascii="Sylfaen" w:hAnsi="Sylfaen"/>
          <w:sz w:val="24"/>
          <w:szCs w:val="24"/>
        </w:rPr>
        <w:t xml:space="preserve">դինամիկ հետազոտությունների կլանման, կենսամատչելիության, դուրսբերման բնութագրերը, այսինքն՝ քլիրենսը </w:t>
      </w:r>
      <w:r w:rsidR="00C54D75">
        <w:rPr>
          <w:rFonts w:ascii="Sylfaen" w:hAnsi="Sylfaen"/>
          <w:sz w:val="24"/>
          <w:szCs w:val="24"/>
        </w:rPr>
        <w:t>և</w:t>
      </w:r>
      <w:r w:rsidR="006F76EB" w:rsidRPr="00834D52">
        <w:rPr>
          <w:rFonts w:ascii="Sylfaen" w:hAnsi="Sylfaen"/>
          <w:sz w:val="24"/>
          <w:szCs w:val="24"/>
        </w:rPr>
        <w:t xml:space="preserve"> (կամ) կիսադուրսբերման ժամանակահատվածը), </w:t>
      </w:r>
      <w:r>
        <w:rPr>
          <w:rFonts w:ascii="Sylfaen" w:hAnsi="Sylfaen"/>
          <w:sz w:val="24"/>
          <w:szCs w:val="24"/>
        </w:rPr>
        <w:t>դեղա</w:t>
      </w:r>
      <w:r w:rsidR="006F76EB" w:rsidRPr="00834D52">
        <w:rPr>
          <w:rFonts w:ascii="Sylfaen" w:hAnsi="Sylfaen"/>
          <w:sz w:val="24"/>
          <w:szCs w:val="24"/>
        </w:rPr>
        <w:t>դինամիկ հետազոտությունների արդյունքները (ընդ</w:t>
      </w:r>
      <w:r w:rsidR="00F251C5" w:rsidRPr="00F251C5">
        <w:rPr>
          <w:rFonts w:ascii="Sylfaen" w:hAnsi="Sylfaen"/>
          <w:sz w:val="24"/>
          <w:szCs w:val="24"/>
        </w:rPr>
        <w:t> </w:t>
      </w:r>
      <w:r w:rsidR="006F76EB" w:rsidRPr="00834D52">
        <w:rPr>
          <w:rFonts w:ascii="Sylfaen" w:hAnsi="Sylfaen"/>
          <w:sz w:val="24"/>
          <w:szCs w:val="24"/>
        </w:rPr>
        <w:t xml:space="preserve">որում, </w:t>
      </w:r>
      <w:r>
        <w:rPr>
          <w:rFonts w:ascii="Sylfaen" w:hAnsi="Sylfaen"/>
          <w:sz w:val="24"/>
          <w:szCs w:val="24"/>
        </w:rPr>
        <w:t>դեղա</w:t>
      </w:r>
      <w:r w:rsidR="006F76EB" w:rsidRPr="00834D52">
        <w:rPr>
          <w:rFonts w:ascii="Sylfaen" w:hAnsi="Sylfaen"/>
          <w:sz w:val="24"/>
          <w:szCs w:val="24"/>
        </w:rPr>
        <w:t xml:space="preserve">դինամիկ արդյունքները պետք է գնահատվեն համապատասխան պոպուլյացիայի վրա </w:t>
      </w:r>
      <w:r w:rsidR="00C54D75">
        <w:rPr>
          <w:rFonts w:ascii="Sylfaen" w:hAnsi="Sylfaen"/>
          <w:sz w:val="24"/>
          <w:szCs w:val="24"/>
        </w:rPr>
        <w:t>և</w:t>
      </w:r>
      <w:r w:rsidR="006F76EB" w:rsidRPr="00834D52">
        <w:rPr>
          <w:rFonts w:ascii="Sylfaen" w:hAnsi="Sylfaen"/>
          <w:sz w:val="24"/>
          <w:szCs w:val="24"/>
        </w:rPr>
        <w:t xml:space="preserve"> նախակլինիկական հետազոտությունների ժամանակ ստացված «դեղաչափ-ազդեցություն» կախվածության կորի ուռուցիկ հատվածից դեղաչափի կիրառմամբ, իսկ </w:t>
      </w:r>
      <w:r>
        <w:rPr>
          <w:rFonts w:ascii="Sylfaen" w:hAnsi="Sylfaen"/>
          <w:sz w:val="24"/>
          <w:szCs w:val="24"/>
        </w:rPr>
        <w:t>դեղա</w:t>
      </w:r>
      <w:r w:rsidR="006F76EB" w:rsidRPr="00834D52">
        <w:rPr>
          <w:rFonts w:ascii="Sylfaen" w:hAnsi="Sylfaen"/>
          <w:sz w:val="24"/>
          <w:szCs w:val="24"/>
        </w:rPr>
        <w:t>դինամիկ մարկերները պետք է ընտրվեն՝ կախված դրանց կլինիկական նշանակությունից)).</w:t>
      </w:r>
    </w:p>
    <w:p w14:paraId="14BE4FA3" w14:textId="77777777" w:rsidR="006F76EB" w:rsidRPr="00834D52" w:rsidRDefault="006F76EB" w:rsidP="00F875F2">
      <w:pPr>
        <w:tabs>
          <w:tab w:val="left" w:pos="1418"/>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համեմատական կլինիկական հետազոտությունների տվյալները, ներառյալ՝ անցանկալի եր</w:t>
      </w:r>
      <w:r w:rsidR="00C54D75">
        <w:rPr>
          <w:rFonts w:ascii="Sylfaen" w:hAnsi="Sylfaen"/>
          <w:sz w:val="24"/>
          <w:szCs w:val="24"/>
        </w:rPr>
        <w:t>և</w:t>
      </w:r>
      <w:r w:rsidRPr="00834D52">
        <w:rPr>
          <w:rFonts w:ascii="Sylfaen" w:hAnsi="Sylfaen"/>
          <w:sz w:val="24"/>
          <w:szCs w:val="24"/>
        </w:rPr>
        <w:t xml:space="preserve">ույթների (ռեակցիաների) տեսակի, հաճախականության </w:t>
      </w:r>
      <w:r w:rsidR="00C54D75">
        <w:rPr>
          <w:rFonts w:ascii="Sylfaen" w:hAnsi="Sylfaen"/>
          <w:sz w:val="24"/>
          <w:szCs w:val="24"/>
        </w:rPr>
        <w:t>և</w:t>
      </w:r>
      <w:r w:rsidRPr="00834D52">
        <w:rPr>
          <w:rFonts w:ascii="Sylfaen" w:hAnsi="Sylfaen"/>
          <w:sz w:val="24"/>
          <w:szCs w:val="24"/>
        </w:rPr>
        <w:t xml:space="preserve"> ծանրության գնահատումը, նպատակային խմբի վրա իմունոգենության հետազոտությունները (առաջացող հակամարմինների առաջացման հաճախականության </w:t>
      </w:r>
      <w:r w:rsidR="00C54D75">
        <w:rPr>
          <w:rFonts w:ascii="Sylfaen" w:hAnsi="Sylfaen"/>
          <w:sz w:val="24"/>
          <w:szCs w:val="24"/>
        </w:rPr>
        <w:t>և</w:t>
      </w:r>
      <w:r w:rsidRPr="00834D52">
        <w:rPr>
          <w:rFonts w:ascii="Sylfaen" w:hAnsi="Sylfaen"/>
          <w:sz w:val="24"/>
          <w:szCs w:val="24"/>
        </w:rPr>
        <w:t xml:space="preserve"> տեսակի համեմատությունը, կենսահամանման (կենսանման) դեղապատրաստուկի </w:t>
      </w:r>
      <w:r w:rsidR="00C54D75">
        <w:rPr>
          <w:rFonts w:ascii="Sylfaen" w:hAnsi="Sylfaen"/>
          <w:sz w:val="24"/>
          <w:szCs w:val="24"/>
        </w:rPr>
        <w:t>և</w:t>
      </w:r>
      <w:r w:rsidRPr="00834D52">
        <w:rPr>
          <w:rFonts w:ascii="Sylfaen" w:hAnsi="Sylfaen"/>
          <w:sz w:val="24"/>
          <w:szCs w:val="24"/>
        </w:rPr>
        <w:t xml:space="preserve"> </w:t>
      </w:r>
      <w:r w:rsidR="0032680A">
        <w:rPr>
          <w:rFonts w:ascii="Sylfaen" w:hAnsi="Sylfaen"/>
          <w:sz w:val="24"/>
          <w:szCs w:val="24"/>
        </w:rPr>
        <w:t xml:space="preserve">ռեֆերենտ </w:t>
      </w:r>
      <w:r w:rsidRPr="00834D52">
        <w:rPr>
          <w:rFonts w:ascii="Sylfaen" w:hAnsi="Sylfaen"/>
          <w:sz w:val="24"/>
          <w:szCs w:val="24"/>
        </w:rPr>
        <w:t>պատրաստուկի համար իմունային պատասխանի պոտենցիալ կլինիկական հետ</w:t>
      </w:r>
      <w:r w:rsidR="00C54D75">
        <w:rPr>
          <w:rFonts w:ascii="Sylfaen" w:hAnsi="Sylfaen"/>
          <w:sz w:val="24"/>
          <w:szCs w:val="24"/>
        </w:rPr>
        <w:t>և</w:t>
      </w:r>
      <w:r w:rsidRPr="00834D52">
        <w:rPr>
          <w:rFonts w:ascii="Sylfaen" w:hAnsi="Sylfaen"/>
          <w:sz w:val="24"/>
          <w:szCs w:val="24"/>
        </w:rPr>
        <w:t xml:space="preserve">անքները), իմունոգենությունը պետք է հետազոտվի իմունային պատասխանի </w:t>
      </w:r>
      <w:r w:rsidR="00C54D75">
        <w:rPr>
          <w:rFonts w:ascii="Sylfaen" w:hAnsi="Sylfaen"/>
          <w:sz w:val="24"/>
          <w:szCs w:val="24"/>
        </w:rPr>
        <w:t>և</w:t>
      </w:r>
      <w:r w:rsidRPr="00834D52">
        <w:rPr>
          <w:rFonts w:ascii="Sylfaen" w:hAnsi="Sylfaen"/>
          <w:sz w:val="24"/>
          <w:szCs w:val="24"/>
        </w:rPr>
        <w:t xml:space="preserve"> իմունային անցանկալի ռեակցիաների մենաբարձր ռիսկով պացիենտների պոպուլյացիաների համար.</w:t>
      </w:r>
    </w:p>
    <w:p w14:paraId="6401E3CD" w14:textId="77777777" w:rsidR="006F76EB" w:rsidRPr="00F06D43" w:rsidRDefault="006F76EB" w:rsidP="00F875F2">
      <w:pPr>
        <w:tabs>
          <w:tab w:val="left" w:pos="1418"/>
        </w:tabs>
        <w:spacing w:after="160" w:line="348" w:lineRule="auto"/>
        <w:ind w:right="-6" w:firstLine="567"/>
        <w:jc w:val="both"/>
        <w:rPr>
          <w:rFonts w:ascii="Sylfaen" w:hAnsi="Sylfaen"/>
          <w:sz w:val="24"/>
          <w:szCs w:val="24"/>
        </w:rPr>
      </w:pPr>
      <w:r w:rsidRPr="00834D52">
        <w:rPr>
          <w:rFonts w:ascii="Sylfaen" w:hAnsi="Sylfaen"/>
          <w:sz w:val="24"/>
          <w:szCs w:val="24"/>
        </w:rPr>
        <w:t xml:space="preserve">հակամարմինները որոշելու ռազմավարության հիմնավորումը՝ ներառյալ մեթոդների ընտրությունը, գնահատումը </w:t>
      </w:r>
      <w:r w:rsidR="00C54D75">
        <w:rPr>
          <w:rFonts w:ascii="Sylfaen" w:hAnsi="Sylfaen"/>
          <w:sz w:val="24"/>
          <w:szCs w:val="24"/>
        </w:rPr>
        <w:t>և</w:t>
      </w:r>
      <w:r w:rsidRPr="00834D52">
        <w:rPr>
          <w:rFonts w:ascii="Sylfaen" w:hAnsi="Sylfaen"/>
          <w:sz w:val="24"/>
          <w:szCs w:val="24"/>
        </w:rPr>
        <w:t xml:space="preserve"> բնութագիրը, փորձանմուշներ վերցնելու ժամանակը սահմանելը (այդ թվում՝ մինչ</w:t>
      </w:r>
      <w:r w:rsidR="00C54D75">
        <w:rPr>
          <w:rFonts w:ascii="Sylfaen" w:hAnsi="Sylfaen"/>
          <w:sz w:val="24"/>
          <w:szCs w:val="24"/>
        </w:rPr>
        <w:t>և</w:t>
      </w:r>
      <w:r w:rsidRPr="00834D52">
        <w:rPr>
          <w:rFonts w:ascii="Sylfaen" w:hAnsi="Sylfaen"/>
          <w:sz w:val="24"/>
          <w:szCs w:val="24"/>
        </w:rPr>
        <w:t xml:space="preserve"> պատրաստուկի կիրառումը), փորձանմուշների ծավալները, մշակումը </w:t>
      </w:r>
      <w:r w:rsidR="00C54D75">
        <w:rPr>
          <w:rFonts w:ascii="Sylfaen" w:hAnsi="Sylfaen"/>
          <w:sz w:val="24"/>
          <w:szCs w:val="24"/>
        </w:rPr>
        <w:t>և</w:t>
      </w:r>
      <w:r w:rsidRPr="00834D52">
        <w:rPr>
          <w:rFonts w:ascii="Sylfaen" w:hAnsi="Sylfaen"/>
          <w:sz w:val="24"/>
          <w:szCs w:val="24"/>
        </w:rPr>
        <w:t xml:space="preserve"> պահումը, ինչպես նա</w:t>
      </w:r>
      <w:r w:rsidR="00C54D75">
        <w:rPr>
          <w:rFonts w:ascii="Sylfaen" w:hAnsi="Sylfaen"/>
          <w:sz w:val="24"/>
          <w:szCs w:val="24"/>
        </w:rPr>
        <w:t>և</w:t>
      </w:r>
      <w:r w:rsidRPr="00834D52">
        <w:rPr>
          <w:rFonts w:ascii="Sylfaen" w:hAnsi="Sylfaen"/>
          <w:sz w:val="24"/>
          <w:szCs w:val="24"/>
        </w:rPr>
        <w:t xml:space="preserve"> տվյալների վերլուծության վիճակագրական մեթոդները, հակամարմինները որոշելու վերլուծական մեթոդիկաները պետք է վալիդացվեն հետազոտությունների ընտրված նպատակի համար, պետք է մեթոդի բավարար զգայունակության նախնական վերլուծություն, չեզոքացնող հակամարմինները որոշելու գործընթաց անցկացնել.</w:t>
      </w:r>
    </w:p>
    <w:p w14:paraId="378D1A2C" w14:textId="77777777" w:rsidR="00F251C5" w:rsidRPr="00F06D43" w:rsidRDefault="00F251C5" w:rsidP="00F875F2">
      <w:pPr>
        <w:tabs>
          <w:tab w:val="left" w:pos="1418"/>
        </w:tabs>
        <w:spacing w:after="160" w:line="348" w:lineRule="auto"/>
        <w:ind w:right="-6" w:firstLine="567"/>
        <w:jc w:val="both"/>
        <w:rPr>
          <w:rFonts w:ascii="Sylfaen" w:eastAsia="Times New Roman" w:hAnsi="Sylfaen" w:cs="Times New Roman"/>
          <w:sz w:val="24"/>
          <w:szCs w:val="24"/>
        </w:rPr>
      </w:pPr>
    </w:p>
    <w:p w14:paraId="3B31D6A3" w14:textId="77777777" w:rsidR="006F76EB" w:rsidRPr="00834D52" w:rsidRDefault="006F76EB" w:rsidP="00F251C5">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հսկողության ժամանակահատվածի նշում՝ իմունոգենության հետազոտության անցկացման ժամանակ (որը պետք է համապատասխանի բուժման պլանավորված տ</w:t>
      </w:r>
      <w:r w:rsidR="00C54D75">
        <w:rPr>
          <w:rFonts w:ascii="Sylfaen" w:hAnsi="Sylfaen"/>
          <w:sz w:val="24"/>
          <w:szCs w:val="24"/>
        </w:rPr>
        <w:t>և</w:t>
      </w:r>
      <w:r w:rsidRPr="00834D52">
        <w:rPr>
          <w:rFonts w:ascii="Sylfaen" w:hAnsi="Sylfaen"/>
          <w:sz w:val="24"/>
          <w:szCs w:val="24"/>
        </w:rPr>
        <w:t xml:space="preserve">ողությանը </w:t>
      </w:r>
      <w:r w:rsidR="00C54D75">
        <w:rPr>
          <w:rFonts w:ascii="Sylfaen" w:hAnsi="Sylfaen"/>
          <w:sz w:val="24"/>
          <w:szCs w:val="24"/>
        </w:rPr>
        <w:t>և</w:t>
      </w:r>
      <w:r w:rsidRPr="00834D52">
        <w:rPr>
          <w:rFonts w:ascii="Sylfaen" w:hAnsi="Sylfaen"/>
          <w:sz w:val="24"/>
          <w:szCs w:val="24"/>
        </w:rPr>
        <w:t xml:space="preserve"> հակամարմինների գոյացման ենթադրվող ժամանակին </w:t>
      </w:r>
      <w:r w:rsidR="00C54D75">
        <w:rPr>
          <w:rFonts w:ascii="Sylfaen" w:hAnsi="Sylfaen"/>
          <w:sz w:val="24"/>
          <w:szCs w:val="24"/>
        </w:rPr>
        <w:t>և</w:t>
      </w:r>
      <w:r w:rsidRPr="00834D52">
        <w:rPr>
          <w:rFonts w:ascii="Sylfaen" w:hAnsi="Sylfaen"/>
          <w:sz w:val="24"/>
          <w:szCs w:val="24"/>
        </w:rPr>
        <w:t xml:space="preserve"> չպետք է 12 ամսից պակաս լինի, հետազոտության այլ տ</w:t>
      </w:r>
      <w:r w:rsidR="00C54D75">
        <w:rPr>
          <w:rFonts w:ascii="Sylfaen" w:hAnsi="Sylfaen"/>
          <w:sz w:val="24"/>
          <w:szCs w:val="24"/>
        </w:rPr>
        <w:t>և</w:t>
      </w:r>
      <w:r w:rsidRPr="00834D52">
        <w:rPr>
          <w:rFonts w:ascii="Sylfaen" w:hAnsi="Sylfaen"/>
          <w:sz w:val="24"/>
          <w:szCs w:val="24"/>
        </w:rPr>
        <w:t>ողության դեպքում պետք է ներկայացնել հիմնավորում)).</w:t>
      </w:r>
    </w:p>
    <w:p w14:paraId="0203FE17" w14:textId="77777777" w:rsidR="006F76EB" w:rsidRPr="00834D52" w:rsidRDefault="006F76EB" w:rsidP="00F251C5">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հակամարմինների տիտրերի գոյացման կլինիկապես նշանակալի դեպքերը </w:t>
      </w:r>
      <w:r w:rsidR="00C54D75">
        <w:rPr>
          <w:rFonts w:ascii="Sylfaen" w:hAnsi="Sylfaen"/>
          <w:sz w:val="24"/>
          <w:szCs w:val="24"/>
        </w:rPr>
        <w:t>և</w:t>
      </w:r>
      <w:r w:rsidRPr="00834D52">
        <w:rPr>
          <w:rFonts w:ascii="Sylfaen" w:hAnsi="Sylfaen"/>
          <w:sz w:val="24"/>
          <w:szCs w:val="24"/>
        </w:rPr>
        <w:t xml:space="preserve"> դրանց տիտրի պահպանումը որոշակի ժամանակահատվածի ընթացքում (ընդ որում, անհրաժեշտ է ուսումնասիրել իմունային պատասխանի բնույթի պոտենցիալ փոփոխությունները </w:t>
      </w:r>
      <w:r w:rsidR="00C54D75">
        <w:rPr>
          <w:rFonts w:ascii="Sylfaen" w:hAnsi="Sylfaen"/>
          <w:sz w:val="24"/>
          <w:szCs w:val="24"/>
        </w:rPr>
        <w:t>և</w:t>
      </w:r>
      <w:r w:rsidRPr="00834D52">
        <w:rPr>
          <w:rFonts w:ascii="Sylfaen" w:hAnsi="Sylfaen"/>
          <w:sz w:val="24"/>
          <w:szCs w:val="24"/>
        </w:rPr>
        <w:t xml:space="preserve"> կլինիկական հետ</w:t>
      </w:r>
      <w:r w:rsidR="00C54D75">
        <w:rPr>
          <w:rFonts w:ascii="Sylfaen" w:hAnsi="Sylfaen"/>
          <w:sz w:val="24"/>
          <w:szCs w:val="24"/>
        </w:rPr>
        <w:t>և</w:t>
      </w:r>
      <w:r w:rsidRPr="00834D52">
        <w:rPr>
          <w:rFonts w:ascii="Sylfaen" w:hAnsi="Sylfaen"/>
          <w:sz w:val="24"/>
          <w:szCs w:val="24"/>
        </w:rPr>
        <w:t xml:space="preserve">անքները նախագրանցումային </w:t>
      </w:r>
      <w:r w:rsidR="00C54D75">
        <w:rPr>
          <w:rFonts w:ascii="Sylfaen" w:hAnsi="Sylfaen"/>
          <w:sz w:val="24"/>
          <w:szCs w:val="24"/>
        </w:rPr>
        <w:t>և</w:t>
      </w:r>
      <w:r w:rsidRPr="00834D52">
        <w:rPr>
          <w:rFonts w:ascii="Sylfaen" w:hAnsi="Sylfaen"/>
          <w:sz w:val="24"/>
          <w:szCs w:val="24"/>
        </w:rPr>
        <w:t xml:space="preserve"> հետգրանցումային շրջանում).</w:t>
      </w:r>
    </w:p>
    <w:p w14:paraId="6E3767C8" w14:textId="3A23C1FE" w:rsidR="006F76EB" w:rsidRPr="00834D52" w:rsidRDefault="006F76EB" w:rsidP="00F10DF3">
      <w:pPr>
        <w:tabs>
          <w:tab w:val="left" w:pos="1418"/>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կլինիկական տվյալները պետք է ստացվեն վերջնական արտադրական պրոցեսի միջոցով արտադրված դեղապատրաստուկը, այսինքն՝ այն դեղապատրաստուկը, որի նկատմամբ ներկայացվում է գրանցման </w:t>
      </w:r>
      <w:r w:rsidR="0056496B">
        <w:rPr>
          <w:rFonts w:ascii="Sylfaen" w:hAnsi="Sylfaen"/>
          <w:sz w:val="24"/>
          <w:szCs w:val="24"/>
        </w:rPr>
        <w:t>դիմում</w:t>
      </w:r>
      <w:r w:rsidRPr="00834D52">
        <w:rPr>
          <w:rFonts w:ascii="Sylfaen" w:hAnsi="Sylfaen"/>
          <w:sz w:val="24"/>
          <w:szCs w:val="24"/>
        </w:rPr>
        <w:t xml:space="preserve">ը, կիրառելու ժամանակ, այդ պահանջներից ցանկացած շեղումների դեպքում </w:t>
      </w:r>
      <w:r w:rsidR="0056496B">
        <w:rPr>
          <w:rFonts w:ascii="Sylfaen" w:hAnsi="Sylfaen"/>
          <w:sz w:val="24"/>
          <w:szCs w:val="24"/>
        </w:rPr>
        <w:t>դիմումատու</w:t>
      </w:r>
      <w:r w:rsidRPr="00834D52">
        <w:rPr>
          <w:rFonts w:ascii="Sylfaen" w:hAnsi="Sylfaen"/>
          <w:sz w:val="24"/>
          <w:szCs w:val="24"/>
        </w:rPr>
        <w:t xml:space="preserve">ն պետք է ներկայացնի հիմնավորում </w:t>
      </w:r>
      <w:r w:rsidR="00C54D75">
        <w:rPr>
          <w:rFonts w:ascii="Sylfaen" w:hAnsi="Sylfaen"/>
          <w:sz w:val="24"/>
          <w:szCs w:val="24"/>
        </w:rPr>
        <w:t>և</w:t>
      </w:r>
      <w:r w:rsidRPr="00834D52">
        <w:rPr>
          <w:rFonts w:ascii="Sylfaen" w:hAnsi="Sylfaen"/>
          <w:sz w:val="24"/>
          <w:szCs w:val="24"/>
        </w:rPr>
        <w:t xml:space="preserve"> անհրաժեշտության դեպքում դեղապատրաստուկի՝ վերջնական </w:t>
      </w:r>
      <w:r w:rsidR="00C54D75">
        <w:rPr>
          <w:rFonts w:ascii="Sylfaen" w:hAnsi="Sylfaen"/>
          <w:sz w:val="24"/>
          <w:szCs w:val="24"/>
        </w:rPr>
        <w:t>և</w:t>
      </w:r>
      <w:r w:rsidRPr="00834D52">
        <w:rPr>
          <w:rFonts w:ascii="Sylfaen" w:hAnsi="Sylfaen"/>
          <w:sz w:val="24"/>
          <w:szCs w:val="24"/>
        </w:rPr>
        <w:t xml:space="preserve"> ավելի վաղ կազմի հետ անցկացված համադրելիության լրացուցիչ հետազոտությունների տվյալները՝ Հանձնաժողովի կողմից հաստատվող՝ Եվրասիական տնտեսական միության շրջանակներում կենսաբանական դեղամիջոցների հետազոտությունների անցկացման կանոնների համաձայն.</w:t>
      </w:r>
    </w:p>
    <w:p w14:paraId="5E956309" w14:textId="0BB85BB0" w:rsidR="006F76EB" w:rsidRPr="00834D52" w:rsidRDefault="006F76EB" w:rsidP="00F10DF3">
      <w:pPr>
        <w:tabs>
          <w:tab w:val="left" w:pos="1134"/>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անվտանգության մասնագիրը ներառող՝ ռիսկերի կառավարման պլանը (</w:t>
      </w:r>
      <w:r w:rsidR="0032680A">
        <w:rPr>
          <w:rFonts w:ascii="Sylfaen" w:hAnsi="Sylfaen"/>
          <w:sz w:val="24"/>
          <w:szCs w:val="24"/>
        </w:rPr>
        <w:t xml:space="preserve">ռեֆերենտ </w:t>
      </w:r>
      <w:r w:rsidRPr="00834D52">
        <w:rPr>
          <w:rFonts w:ascii="Sylfaen" w:hAnsi="Sylfaen"/>
          <w:sz w:val="24"/>
          <w:szCs w:val="24"/>
        </w:rPr>
        <w:t xml:space="preserve">պատրաստուկի, դեղամիջոցների դասի </w:t>
      </w:r>
      <w:r w:rsidR="00C54D75">
        <w:rPr>
          <w:rFonts w:ascii="Sylfaen" w:hAnsi="Sylfaen"/>
          <w:sz w:val="24"/>
          <w:szCs w:val="24"/>
        </w:rPr>
        <w:t>և</w:t>
      </w:r>
      <w:r w:rsidRPr="00834D52">
        <w:rPr>
          <w:rFonts w:ascii="Sylfaen" w:hAnsi="Sylfaen"/>
          <w:sz w:val="24"/>
          <w:szCs w:val="24"/>
        </w:rPr>
        <w:t xml:space="preserve"> (կամ) բիոսիմիլարի անվտանգության՝ կար</w:t>
      </w:r>
      <w:r w:rsidR="00C54D75">
        <w:rPr>
          <w:rFonts w:ascii="Sylfaen" w:hAnsi="Sylfaen"/>
          <w:sz w:val="24"/>
          <w:szCs w:val="24"/>
        </w:rPr>
        <w:t>և</w:t>
      </w:r>
      <w:r w:rsidRPr="00834D52">
        <w:rPr>
          <w:rFonts w:ascii="Sylfaen" w:hAnsi="Sylfaen"/>
          <w:sz w:val="24"/>
          <w:szCs w:val="24"/>
        </w:rPr>
        <w:t xml:space="preserve">որ </w:t>
      </w:r>
      <w:r w:rsidR="00003ABD">
        <w:rPr>
          <w:rFonts w:ascii="Sylfaen" w:hAnsi="Sylfaen"/>
          <w:sz w:val="24"/>
          <w:szCs w:val="24"/>
        </w:rPr>
        <w:t>հայտնաբերված</w:t>
      </w:r>
      <w:r w:rsidRPr="00834D52">
        <w:rPr>
          <w:rFonts w:ascii="Sylfaen" w:hAnsi="Sylfaen"/>
          <w:sz w:val="24"/>
          <w:szCs w:val="24"/>
        </w:rPr>
        <w:t xml:space="preserve"> </w:t>
      </w:r>
      <w:r w:rsidR="00C54D75">
        <w:rPr>
          <w:rFonts w:ascii="Sylfaen" w:hAnsi="Sylfaen"/>
          <w:sz w:val="24"/>
          <w:szCs w:val="24"/>
        </w:rPr>
        <w:t>և</w:t>
      </w:r>
      <w:r w:rsidRPr="00834D52">
        <w:rPr>
          <w:rFonts w:ascii="Sylfaen" w:hAnsi="Sylfaen"/>
          <w:sz w:val="24"/>
          <w:szCs w:val="24"/>
        </w:rPr>
        <w:t xml:space="preserve"> հնարավոր բացասական ասպեկտների նկարագրությամբ) </w:t>
      </w:r>
      <w:r w:rsidR="00C54D75">
        <w:rPr>
          <w:rFonts w:ascii="Sylfaen" w:hAnsi="Sylfaen"/>
          <w:sz w:val="24"/>
          <w:szCs w:val="24"/>
        </w:rPr>
        <w:t>և</w:t>
      </w:r>
      <w:r w:rsidRPr="00834D52">
        <w:rPr>
          <w:rFonts w:ascii="Sylfaen" w:hAnsi="Sylfaen"/>
          <w:sz w:val="24"/>
          <w:szCs w:val="24"/>
        </w:rPr>
        <w:t xml:space="preserve"> հետգրանցումային շրջանում կենսահամանման (կենսանման) դեղապատրաստուկի համար դեղազգոնության պլանը (անվտանգության մասնագրի, ռիսկերի կառավարման պլանի վրա հիմնված պլանավորվող հետգրանցումային միջոցառումների </w:t>
      </w:r>
      <w:r w:rsidR="00C54D75">
        <w:rPr>
          <w:rFonts w:ascii="Sylfaen" w:hAnsi="Sylfaen"/>
          <w:sz w:val="24"/>
          <w:szCs w:val="24"/>
        </w:rPr>
        <w:t>և</w:t>
      </w:r>
      <w:r w:rsidRPr="00834D52">
        <w:rPr>
          <w:rFonts w:ascii="Sylfaen" w:hAnsi="Sylfaen"/>
          <w:sz w:val="24"/>
          <w:szCs w:val="24"/>
        </w:rPr>
        <w:t xml:space="preserve"> ռիսկերի </w:t>
      </w:r>
      <w:r w:rsidRPr="00834D52">
        <w:rPr>
          <w:rFonts w:ascii="Sylfaen" w:hAnsi="Sylfaen"/>
          <w:sz w:val="24"/>
          <w:szCs w:val="24"/>
        </w:rPr>
        <w:lastRenderedPageBreak/>
        <w:t xml:space="preserve">նվազեցմանն ուղղված միջոցների նկարագրությամբ, այդ թվում՝ պացիենտների </w:t>
      </w:r>
      <w:r w:rsidR="00C54D75">
        <w:rPr>
          <w:rFonts w:ascii="Sylfaen" w:hAnsi="Sylfaen"/>
          <w:sz w:val="24"/>
          <w:szCs w:val="24"/>
        </w:rPr>
        <w:t>և</w:t>
      </w:r>
      <w:r w:rsidRPr="00834D52">
        <w:rPr>
          <w:rFonts w:ascii="Sylfaen" w:hAnsi="Sylfaen"/>
          <w:sz w:val="24"/>
          <w:szCs w:val="24"/>
        </w:rPr>
        <w:t xml:space="preserve"> (կամ) բժշկական </w:t>
      </w:r>
      <w:r w:rsidR="00C54D75">
        <w:rPr>
          <w:rFonts w:ascii="Sylfaen" w:hAnsi="Sylfaen"/>
          <w:sz w:val="24"/>
          <w:szCs w:val="24"/>
        </w:rPr>
        <w:t>և</w:t>
      </w:r>
      <w:r w:rsidRPr="00834D52">
        <w:rPr>
          <w:rFonts w:ascii="Sylfaen" w:hAnsi="Sylfaen"/>
          <w:sz w:val="24"/>
          <w:szCs w:val="24"/>
        </w:rPr>
        <w:t xml:space="preserve"> դեղագործական ոլորտների աշխատողների համար տեղեկատվական նյութերի ներկայացմամբ):</w:t>
      </w:r>
    </w:p>
    <w:p w14:paraId="24053919" w14:textId="77777777" w:rsidR="006F76EB" w:rsidRPr="002F1C69" w:rsidRDefault="006F76EB" w:rsidP="00BC52BC">
      <w:pPr>
        <w:widowControl/>
        <w:spacing w:after="160" w:line="336" w:lineRule="auto"/>
        <w:jc w:val="center"/>
        <w:rPr>
          <w:rFonts w:ascii="Sylfaen" w:hAnsi="Sylfaen"/>
          <w:sz w:val="24"/>
          <w:szCs w:val="24"/>
        </w:rPr>
      </w:pPr>
    </w:p>
    <w:p w14:paraId="776C2BFA" w14:textId="587673DC" w:rsidR="006F76EB" w:rsidRPr="00834D52" w:rsidRDefault="006F76EB" w:rsidP="006D7713">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11. Գրանցման դոսյեն՝ հետգրանցումային միջոցների սահմանմամբ գրանցման </w:t>
      </w:r>
      <w:r w:rsidR="009F5829">
        <w:rPr>
          <w:rFonts w:ascii="Sylfaen" w:hAnsi="Sylfaen"/>
          <w:sz w:val="24"/>
          <w:szCs w:val="24"/>
        </w:rPr>
        <w:t>դիմումներ</w:t>
      </w:r>
      <w:r w:rsidRPr="00834D52">
        <w:rPr>
          <w:rFonts w:ascii="Sylfaen" w:hAnsi="Sylfaen"/>
          <w:sz w:val="24"/>
          <w:szCs w:val="24"/>
        </w:rPr>
        <w:t>ի համար (պայմաններով գրանցում)</w:t>
      </w:r>
    </w:p>
    <w:p w14:paraId="0BE002FF" w14:textId="7FBFD862"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գրանցման հավաստագիրը կարող է տրամադրվել որոշ պարտավորությունների կատարման պայմանով այն դեպքում, երբ </w:t>
      </w:r>
      <w:r w:rsidR="0056496B">
        <w:rPr>
          <w:rFonts w:ascii="Sylfaen" w:hAnsi="Sylfaen"/>
          <w:sz w:val="24"/>
          <w:szCs w:val="24"/>
        </w:rPr>
        <w:t>դիմումատու</w:t>
      </w:r>
      <w:r w:rsidRPr="00834D52">
        <w:rPr>
          <w:rFonts w:ascii="Sylfaen" w:hAnsi="Sylfaen"/>
          <w:sz w:val="24"/>
          <w:szCs w:val="24"/>
        </w:rPr>
        <w:t xml:space="preserve">ն կարող է հաստատել (հիմնավորել)սովորական պայմաններում օգտագործման ժամանակ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ամբողջական տվյալներ ներկայացնելու անհնարինությունը՝ պայմանավորված հետ</w:t>
      </w:r>
      <w:r w:rsidR="00C54D75">
        <w:rPr>
          <w:rFonts w:ascii="Sylfaen" w:hAnsi="Sylfaen"/>
          <w:sz w:val="24"/>
          <w:szCs w:val="24"/>
        </w:rPr>
        <w:t>և</w:t>
      </w:r>
      <w:r w:rsidRPr="00834D52">
        <w:rPr>
          <w:rFonts w:ascii="Sylfaen" w:hAnsi="Sylfaen"/>
          <w:sz w:val="24"/>
          <w:szCs w:val="24"/>
        </w:rPr>
        <w:t>յալ պատճառներից որ</w:t>
      </w:r>
      <w:r w:rsidR="00C54D75">
        <w:rPr>
          <w:rFonts w:ascii="Sylfaen" w:hAnsi="Sylfaen"/>
          <w:sz w:val="24"/>
          <w:szCs w:val="24"/>
        </w:rPr>
        <w:t>և</w:t>
      </w:r>
      <w:r w:rsidRPr="00834D52">
        <w:rPr>
          <w:rFonts w:ascii="Sylfaen" w:hAnsi="Sylfaen"/>
          <w:sz w:val="24"/>
          <w:szCs w:val="24"/>
        </w:rPr>
        <w:t>է մեկով.</w:t>
      </w:r>
    </w:p>
    <w:p w14:paraId="2BDF96C7" w14:textId="254D5E0A"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որոնցով ենթադրվում է կիրառել դեղապատրաստուկը, այնքան հազվադեպ են հանդիպում, որ </w:t>
      </w:r>
      <w:r w:rsidR="0056496B">
        <w:rPr>
          <w:rFonts w:ascii="Sylfaen" w:hAnsi="Sylfaen"/>
          <w:sz w:val="24"/>
          <w:szCs w:val="24"/>
        </w:rPr>
        <w:t>դիմումատու</w:t>
      </w:r>
      <w:r w:rsidRPr="00834D52">
        <w:rPr>
          <w:rFonts w:ascii="Sylfaen" w:hAnsi="Sylfaen"/>
          <w:sz w:val="24"/>
          <w:szCs w:val="24"/>
        </w:rPr>
        <w:t>ն հիմնավորված ձ</w:t>
      </w:r>
      <w:r w:rsidR="00C54D75">
        <w:rPr>
          <w:rFonts w:ascii="Sylfaen" w:hAnsi="Sylfaen"/>
          <w:sz w:val="24"/>
          <w:szCs w:val="24"/>
        </w:rPr>
        <w:t>և</w:t>
      </w:r>
      <w:r w:rsidRPr="00834D52">
        <w:rPr>
          <w:rFonts w:ascii="Sylfaen" w:hAnsi="Sylfaen"/>
          <w:sz w:val="24"/>
          <w:szCs w:val="24"/>
        </w:rPr>
        <w:t xml:space="preserve">ով չի կարող ակնկալել դեղապատրաստուկի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ապացույցների բազմակողմանի հաստատում ստանալը.</w:t>
      </w:r>
    </w:p>
    <w:p w14:paraId="3BA8153A"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հետազոտությունների առկա գիտական մեթոդների դեպքում դեղապատրաստուկի արդյունավետության կամ անվտանգության վերաբերյալ ամբողջական տեղեկատվություն չի կարող ներկայացվել.</w:t>
      </w:r>
    </w:p>
    <w:p w14:paraId="3A43301B" w14:textId="77777777" w:rsidR="006F76EB" w:rsidRPr="00834D52" w:rsidRDefault="006F76EB" w:rsidP="006D7713">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արդյունավետության կամ անվտանգության վերաբերյալ տեղեկատվություն ստանալը կհակասի բժշկական էթիկայի համընդհանուր սկզբունքներին:</w:t>
      </w:r>
    </w:p>
    <w:p w14:paraId="3E995413" w14:textId="77777777" w:rsidR="006F76EB" w:rsidRPr="00834D52" w:rsidRDefault="006F76EB" w:rsidP="0015773F">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Պայմաններով գրանցումը կարող է ներառել հետ</w:t>
      </w:r>
      <w:r w:rsidR="00C54D75">
        <w:rPr>
          <w:rFonts w:ascii="Sylfaen" w:hAnsi="Sylfaen"/>
          <w:sz w:val="24"/>
          <w:szCs w:val="24"/>
        </w:rPr>
        <w:t>և</w:t>
      </w:r>
      <w:r w:rsidRPr="00834D52">
        <w:rPr>
          <w:rFonts w:ascii="Sylfaen" w:hAnsi="Sylfaen"/>
          <w:sz w:val="24"/>
          <w:szCs w:val="24"/>
        </w:rPr>
        <w:t>յալը՝</w:t>
      </w:r>
    </w:p>
    <w:p w14:paraId="1B3B35B2" w14:textId="18CD2C5C" w:rsidR="006F76EB" w:rsidRPr="00834D52" w:rsidRDefault="0056496B" w:rsidP="0015773F">
      <w:pPr>
        <w:spacing w:after="160" w:line="372"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ն պետք է անդամ պետության լիազորված մարմնի կողմից սահմանված ժամկետում ավարտի անվտանգության կամ արդյունավետության հետազոտությունների որոշակի ծրագիր, որի արդյունքները պետք է թույլ տան </w:t>
      </w:r>
      <w:r w:rsidR="006F76EB" w:rsidRPr="00834D52">
        <w:rPr>
          <w:rFonts w:ascii="Sylfaen" w:hAnsi="Sylfaen"/>
          <w:sz w:val="24"/>
          <w:szCs w:val="24"/>
        </w:rPr>
        <w:lastRenderedPageBreak/>
        <w:t>անցկացնել օգուտ/ռիսկ հարաբերակցության կրկնակի գնահատումը.</w:t>
      </w:r>
    </w:p>
    <w:p w14:paraId="4987AA81" w14:textId="77777777" w:rsidR="006F76EB" w:rsidRPr="00834D52" w:rsidRDefault="006F76EB" w:rsidP="00B43712">
      <w:pPr>
        <w:spacing w:after="160" w:line="365"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քննարկվող դեղապատրաստուկը կարող է բացթողնվել միայն դեղատոմսով </w:t>
      </w:r>
      <w:r w:rsidR="00C54D75">
        <w:rPr>
          <w:rFonts w:ascii="Sylfaen" w:hAnsi="Sylfaen"/>
          <w:sz w:val="24"/>
          <w:szCs w:val="24"/>
        </w:rPr>
        <w:t>և</w:t>
      </w:r>
      <w:r w:rsidRPr="00834D52">
        <w:rPr>
          <w:rFonts w:ascii="Sylfaen" w:hAnsi="Sylfaen"/>
          <w:sz w:val="24"/>
          <w:szCs w:val="24"/>
        </w:rPr>
        <w:t xml:space="preserve"> կիրառվում է որոշ դեպքերում միայն բժշկական խիստ հսկողության ներքո, հնարավոր է հիվանդանոցում, իսկ ռադիոդեղագործական միջոցներին առնչվող դեպքերում՝ հատուկ լիազորված անձի հսկողության ներքո.</w:t>
      </w:r>
    </w:p>
    <w:p w14:paraId="74A50395" w14:textId="77777777" w:rsidR="006F76EB" w:rsidRPr="007F5A60" w:rsidRDefault="006F76EB" w:rsidP="00B43712">
      <w:pPr>
        <w:spacing w:after="160" w:line="365" w:lineRule="auto"/>
        <w:ind w:right="-8" w:firstLine="567"/>
        <w:jc w:val="both"/>
        <w:rPr>
          <w:rFonts w:ascii="Sylfaen" w:hAnsi="Sylfaen"/>
          <w:spacing w:val="-4"/>
          <w:sz w:val="24"/>
          <w:szCs w:val="24"/>
        </w:rPr>
      </w:pPr>
      <w:r w:rsidRPr="00834D52">
        <w:rPr>
          <w:rFonts w:ascii="Sylfaen" w:hAnsi="Sylfaen"/>
          <w:spacing w:val="-4"/>
          <w:sz w:val="24"/>
          <w:szCs w:val="24"/>
        </w:rPr>
        <w:t xml:space="preserve">ԲԿՀ-ն, ԴՊԸԲ-ն, գրանցման հավաստագիրը </w:t>
      </w:r>
      <w:r w:rsidR="00C54D75">
        <w:rPr>
          <w:rFonts w:ascii="Sylfaen" w:hAnsi="Sylfaen"/>
          <w:spacing w:val="-4"/>
          <w:sz w:val="24"/>
          <w:szCs w:val="24"/>
        </w:rPr>
        <w:t>և</w:t>
      </w:r>
      <w:r w:rsidRPr="00834D52">
        <w:rPr>
          <w:rFonts w:ascii="Sylfaen" w:hAnsi="Sylfaen"/>
          <w:spacing w:val="-4"/>
          <w:sz w:val="24"/>
          <w:szCs w:val="24"/>
        </w:rPr>
        <w:t xml:space="preserve"> բժշկական ցանկացած տեղեկատվություն պետք է պարունակեն դիմում, որը բուժաշխատողի ուշադրությունն է հրավիրում այն փաստի վրա, որ քննարկվող դեղապատրաստուկի առկա բնութագրերը բավարար չեն դեղապատրաստուկի արդյունավետության կամ անվտանգության որոշ ասպեկտների հաստատման առումով:</w:t>
      </w:r>
    </w:p>
    <w:p w14:paraId="79875A78" w14:textId="77777777" w:rsidR="00B43712" w:rsidRPr="007F5A60" w:rsidRDefault="00B43712" w:rsidP="00B43712">
      <w:pPr>
        <w:spacing w:after="160" w:line="365" w:lineRule="auto"/>
        <w:ind w:right="-8" w:firstLine="567"/>
        <w:jc w:val="both"/>
        <w:rPr>
          <w:rFonts w:ascii="Sylfaen" w:eastAsia="Times New Roman" w:hAnsi="Sylfaen" w:cs="Times New Roman"/>
          <w:spacing w:val="-4"/>
          <w:sz w:val="24"/>
          <w:szCs w:val="24"/>
        </w:rPr>
      </w:pPr>
    </w:p>
    <w:p w14:paraId="58A6AACC" w14:textId="77777777" w:rsidR="006F76EB" w:rsidRPr="00834D52"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III. Դեղապատրաստուկների առանձին տեսակների գրանցման դոսյեի փաստաթղթերին ներկայացվող հատուկ պահանջները</w:t>
      </w:r>
    </w:p>
    <w:p w14:paraId="0CF34208"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p>
    <w:p w14:paraId="6B38F24A" w14:textId="77777777" w:rsidR="006F76EB" w:rsidRPr="00834D52" w:rsidRDefault="006F76EB" w:rsidP="006F76EB">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12. Կենսաբանական դեղապատրաստուկներ</w:t>
      </w:r>
    </w:p>
    <w:p w14:paraId="02B3E25E" w14:textId="77777777" w:rsidR="006F76EB" w:rsidRPr="00834D52" w:rsidRDefault="006F76EB" w:rsidP="00787EA1">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Պատվաստանյութերի, արյան պատրաստուկների գրանցման դոսյեի 3-րդ մոդուլը ձ</w:t>
      </w:r>
      <w:r w:rsidR="00C54D75">
        <w:rPr>
          <w:rFonts w:ascii="Sylfaen" w:hAnsi="Sylfaen"/>
          <w:sz w:val="24"/>
          <w:szCs w:val="24"/>
        </w:rPr>
        <w:t>և</w:t>
      </w:r>
      <w:r w:rsidRPr="00834D52">
        <w:rPr>
          <w:rFonts w:ascii="Sylfaen" w:hAnsi="Sylfaen"/>
          <w:sz w:val="24"/>
          <w:szCs w:val="24"/>
        </w:rPr>
        <w:t>ավորվում է՝ հաշվի առնելով այդ դեղապատրաստուկների՝ սույն բաժնում նշված առանձնահատկությունները:</w:t>
      </w:r>
    </w:p>
    <w:p w14:paraId="49FFEFC3" w14:textId="77777777" w:rsidR="006F76EB" w:rsidRPr="00834D52" w:rsidRDefault="006F76EB" w:rsidP="000D0FC9">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12.1.</w:t>
      </w:r>
      <w:r w:rsidRPr="00834D52">
        <w:rPr>
          <w:rFonts w:ascii="Sylfaen" w:hAnsi="Sylfaen"/>
          <w:sz w:val="24"/>
          <w:szCs w:val="24"/>
        </w:rPr>
        <w:tab/>
        <w:t>Պլազմայից ստացված դեղապատրաստուկներ</w:t>
      </w:r>
    </w:p>
    <w:p w14:paraId="7A9DEDD8" w14:textId="77777777" w:rsidR="006F76EB" w:rsidRPr="00834D52" w:rsidRDefault="006F76EB" w:rsidP="00890A75">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արյունից կամ արյան պլազմայից ստացված դեղապատրաստուկների համար, մարդու արյունից (պլազմայից) ստացված ելակետային նյութերին </w:t>
      </w:r>
      <w:r w:rsidR="00C54D75">
        <w:rPr>
          <w:rFonts w:ascii="Sylfaen" w:hAnsi="Sylfaen"/>
          <w:sz w:val="24"/>
          <w:szCs w:val="24"/>
        </w:rPr>
        <w:t>և</w:t>
      </w:r>
      <w:r w:rsidRPr="00834D52">
        <w:rPr>
          <w:rFonts w:ascii="Sylfaen" w:hAnsi="Sylfaen"/>
          <w:sz w:val="24"/>
          <w:szCs w:val="24"/>
        </w:rPr>
        <w:t xml:space="preserve"> հումքին ներկայացվող պահանջները կարող են փոխարինվել պլազմայի՝ սույն մասին համապատասխանող մաստեր-ֆայլով՝ որպես սույն պահանջների I մասում ներկայացված գրանցման դոսյեի 3-րդ մոդուլին ներկայացվող ընդհանուր պահանջներից բացառություն:</w:t>
      </w:r>
    </w:p>
    <w:p w14:paraId="17BA7ECB" w14:textId="77777777" w:rsidR="006F76EB" w:rsidRPr="00834D52" w:rsidRDefault="006F76EB" w:rsidP="000D0FC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12.1.1.</w:t>
      </w:r>
      <w:r w:rsidRPr="00834D52">
        <w:rPr>
          <w:rFonts w:ascii="Sylfaen" w:hAnsi="Sylfaen"/>
          <w:sz w:val="24"/>
          <w:szCs w:val="24"/>
        </w:rPr>
        <w:tab/>
        <w:t>Գրանցման դոսյեի ձ</w:t>
      </w:r>
      <w:r w:rsidR="00C54D75">
        <w:rPr>
          <w:rFonts w:ascii="Sylfaen" w:hAnsi="Sylfaen"/>
          <w:sz w:val="24"/>
          <w:szCs w:val="24"/>
        </w:rPr>
        <w:t>և</w:t>
      </w:r>
      <w:r w:rsidRPr="00834D52">
        <w:rPr>
          <w:rFonts w:ascii="Sylfaen" w:hAnsi="Sylfaen"/>
          <w:sz w:val="24"/>
          <w:szCs w:val="24"/>
        </w:rPr>
        <w:t>ավորման ընդհանուր սկզբունքները:</w:t>
      </w:r>
    </w:p>
    <w:p w14:paraId="689EE705" w14:textId="77777777" w:rsidR="006F76EB" w:rsidRPr="00834D52" w:rsidRDefault="006F76EB" w:rsidP="000D0FC9">
      <w:pPr>
        <w:tabs>
          <w:tab w:val="left" w:pos="1418"/>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Սույն պահանջների շրջանակներում՝</w:t>
      </w:r>
    </w:p>
    <w:p w14:paraId="33118A4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արյան պլազմայի մաստեր-ֆայլը դեղապատրաստուկի գրանցման դոսյեից առանձին </w:t>
      </w:r>
      <w:r w:rsidR="00C54D75">
        <w:rPr>
          <w:rFonts w:ascii="Sylfaen" w:hAnsi="Sylfaen"/>
          <w:sz w:val="24"/>
          <w:szCs w:val="24"/>
        </w:rPr>
        <w:t>և</w:t>
      </w:r>
      <w:r w:rsidRPr="00834D52">
        <w:rPr>
          <w:rFonts w:ascii="Sylfaen" w:hAnsi="Sylfaen"/>
          <w:sz w:val="24"/>
          <w:szCs w:val="24"/>
        </w:rPr>
        <w:t xml:space="preserve"> դեղապատրաստուկների կամ բժշկական արտադրատեսակների մաս կազմող ենթաֆրակցիայի կամ միջանկյալ ֆրակցիայի, օժանդակ նյութերի կամ ակտիվ նյութերի բաղադրիչների արտադրության ժամանակ որպես ելակետային նյութ </w:t>
      </w:r>
      <w:r w:rsidR="00C54D75">
        <w:rPr>
          <w:rFonts w:ascii="Sylfaen" w:hAnsi="Sylfaen"/>
          <w:sz w:val="24"/>
          <w:szCs w:val="24"/>
        </w:rPr>
        <w:t>և</w:t>
      </w:r>
      <w:r w:rsidRPr="00834D52">
        <w:rPr>
          <w:rFonts w:ascii="Sylfaen" w:hAnsi="Sylfaen"/>
          <w:sz w:val="24"/>
          <w:szCs w:val="24"/>
        </w:rPr>
        <w:t xml:space="preserve"> (կամ) հումք օգտագործված մարդու արյան ամբողջ պլազմայի բնութագրերի վերաբերյալ նշանակալի մանրամասն տեղեկություններ պարունակող ինքնուրույն փաստաթուղթ է.</w:t>
      </w:r>
    </w:p>
    <w:p w14:paraId="42F28901" w14:textId="77777777" w:rsidR="006F76EB" w:rsidRPr="00787EA1" w:rsidRDefault="006F76EB" w:rsidP="005266D9">
      <w:pPr>
        <w:tabs>
          <w:tab w:val="left" w:pos="1418"/>
        </w:tabs>
        <w:spacing w:after="160" w:line="384" w:lineRule="auto"/>
        <w:ind w:right="-6" w:firstLine="567"/>
        <w:jc w:val="both"/>
        <w:rPr>
          <w:rFonts w:ascii="Sylfaen" w:eastAsia="Times New Roman" w:hAnsi="Sylfaen" w:cs="Times New Roman"/>
          <w:spacing w:val="-6"/>
          <w:sz w:val="24"/>
          <w:szCs w:val="24"/>
        </w:rPr>
      </w:pPr>
      <w:r w:rsidRPr="00787EA1">
        <w:rPr>
          <w:rFonts w:ascii="Sylfaen" w:hAnsi="Sylfaen"/>
          <w:spacing w:val="-6"/>
          <w:sz w:val="24"/>
          <w:szCs w:val="24"/>
        </w:rPr>
        <w:t xml:space="preserve">մարդու պլազման ֆրակցիաների բաժանող (վերամշակող) յուրաքանչյուր կենտրոն կամ հիմնարկություն պետք է պատրաստի </w:t>
      </w:r>
      <w:r w:rsidR="00C54D75">
        <w:rPr>
          <w:rFonts w:ascii="Sylfaen" w:hAnsi="Sylfaen"/>
          <w:spacing w:val="-6"/>
          <w:sz w:val="24"/>
          <w:szCs w:val="24"/>
        </w:rPr>
        <w:t>և</w:t>
      </w:r>
      <w:r w:rsidRPr="00787EA1">
        <w:rPr>
          <w:rFonts w:ascii="Sylfaen" w:hAnsi="Sylfaen"/>
          <w:spacing w:val="-6"/>
          <w:sz w:val="24"/>
          <w:szCs w:val="24"/>
        </w:rPr>
        <w:t xml:space="preserve"> մշտապես թարմացնի արյան պլազմայի մաստեր-ֆայլում նշված ամբողջ մանրամասն նշանակալի տեղեկատվությունը.</w:t>
      </w:r>
    </w:p>
    <w:p w14:paraId="6D7EC294" w14:textId="51EA3AE3"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պետք է անդամ պետության լիազորված մարմին ներկայացվի գրանցման հավաստագրի </w:t>
      </w:r>
      <w:r w:rsidR="0056496B">
        <w:rPr>
          <w:rFonts w:ascii="Sylfaen" w:hAnsi="Sylfaen"/>
          <w:sz w:val="24"/>
          <w:szCs w:val="24"/>
        </w:rPr>
        <w:t>դիմումատու</w:t>
      </w:r>
      <w:r w:rsidRPr="00834D52">
        <w:rPr>
          <w:rFonts w:ascii="Sylfaen" w:hAnsi="Sylfaen"/>
          <w:sz w:val="24"/>
          <w:szCs w:val="24"/>
        </w:rPr>
        <w:t xml:space="preserve">ի կամ իրավատիրոջ կողմից: Եթե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մաստեր-ֆայլի տիրապետողը չէ, մաստեր-ֆայլը պետք է հասանելի լինի գրանցման հավաստագրի </w:t>
      </w:r>
      <w:r w:rsidR="0056496B">
        <w:rPr>
          <w:rFonts w:ascii="Sylfaen" w:hAnsi="Sylfaen"/>
          <w:sz w:val="24"/>
          <w:szCs w:val="24"/>
        </w:rPr>
        <w:t>դիմումատու</w:t>
      </w:r>
      <w:r w:rsidRPr="00834D52">
        <w:rPr>
          <w:rFonts w:ascii="Sylfaen" w:hAnsi="Sylfaen"/>
          <w:sz w:val="24"/>
          <w:szCs w:val="24"/>
        </w:rPr>
        <w:t xml:space="preserve">ին կամ իրավատիրոջը՝ այն անդամ պետությունների լիազորված մարմիններ ներկայացնելու համար: Գրանցման հավաստագրի </w:t>
      </w:r>
      <w:r w:rsidR="0056496B">
        <w:rPr>
          <w:rFonts w:ascii="Sylfaen" w:hAnsi="Sylfaen"/>
          <w:sz w:val="24"/>
          <w:szCs w:val="24"/>
        </w:rPr>
        <w:t>դիմումատու</w:t>
      </w:r>
      <w:r w:rsidRPr="00834D52">
        <w:rPr>
          <w:rFonts w:ascii="Sylfaen" w:hAnsi="Sylfaen"/>
          <w:sz w:val="24"/>
          <w:szCs w:val="24"/>
        </w:rPr>
        <w:t xml:space="preserve">ն կամ իրավատերը ցանկացած դեպքում պատասխանատվություն է կրում դեղապատրաստուկի որակի,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համար.</w:t>
      </w:r>
    </w:p>
    <w:p w14:paraId="32FB9217" w14:textId="77777777" w:rsidR="006F76EB" w:rsidRPr="00834D52" w:rsidRDefault="006F76EB" w:rsidP="005266D9">
      <w:pPr>
        <w:tabs>
          <w:tab w:val="left" w:pos="1418"/>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գրանցման դոսյեն վերաբերում է պլազմայից ստացված բաղադրիչին, ապա որպես ելակետային նյութ (հումք) օգտագործված պլազմայի համար պետք է հղում կատարել իրավատիրոջ մաստեր-ֆայլին:</w:t>
      </w:r>
    </w:p>
    <w:p w14:paraId="78204C9A" w14:textId="77777777" w:rsidR="006F76EB" w:rsidRPr="00F06D43" w:rsidRDefault="006F76EB" w:rsidP="005266D9">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12.1.2.</w:t>
      </w:r>
      <w:r w:rsidRPr="00834D52">
        <w:rPr>
          <w:rFonts w:ascii="Sylfaen" w:hAnsi="Sylfaen"/>
          <w:sz w:val="24"/>
          <w:szCs w:val="24"/>
        </w:rPr>
        <w:tab/>
        <w:t>Գրանցման դոսյեի նյութերի բովանդակությանը ներկայացվող լրացուցիչ պահանջներ:</w:t>
      </w:r>
    </w:p>
    <w:p w14:paraId="0A279E65" w14:textId="77777777" w:rsidR="005266D9" w:rsidRPr="00F06D43" w:rsidRDefault="005266D9" w:rsidP="005266D9">
      <w:pPr>
        <w:tabs>
          <w:tab w:val="left" w:pos="1701"/>
        </w:tabs>
        <w:spacing w:after="160" w:line="384" w:lineRule="auto"/>
        <w:ind w:right="-6" w:firstLine="567"/>
        <w:jc w:val="both"/>
        <w:rPr>
          <w:rFonts w:ascii="Sylfaen" w:eastAsia="Times New Roman" w:hAnsi="Sylfaen" w:cs="Times New Roman"/>
          <w:sz w:val="24"/>
          <w:szCs w:val="24"/>
        </w:rPr>
      </w:pPr>
    </w:p>
    <w:p w14:paraId="2CF43247"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Իրավատիրոջ մաստեր-ֆայլը պետք է պարունակի որպես ելակետային նյութ (հումք) օգտագործված պլազմայի վերաբերյալ հետ</w:t>
      </w:r>
      <w:r w:rsidR="00C54D75">
        <w:rPr>
          <w:rFonts w:ascii="Sylfaen" w:hAnsi="Sylfaen"/>
          <w:sz w:val="24"/>
          <w:szCs w:val="24"/>
        </w:rPr>
        <w:t>և</w:t>
      </w:r>
      <w:r w:rsidRPr="00834D52">
        <w:rPr>
          <w:rFonts w:ascii="Sylfaen" w:hAnsi="Sylfaen"/>
          <w:sz w:val="24"/>
          <w:szCs w:val="24"/>
        </w:rPr>
        <w:t>յալ տեղեկատվությունը.</w:t>
      </w:r>
    </w:p>
    <w:p w14:paraId="2F39A05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ծագումը՝</w:t>
      </w:r>
    </w:p>
    <w:p w14:paraId="50C9F011"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անցկացվում է արյան (պլազմայի) հավաքումը՝ ներառյալ տեսչական ստուգումների </w:t>
      </w:r>
      <w:r w:rsidR="00C54D75">
        <w:rPr>
          <w:rFonts w:ascii="Sylfaen" w:hAnsi="Sylfaen"/>
          <w:sz w:val="24"/>
          <w:szCs w:val="24"/>
        </w:rPr>
        <w:t>և</w:t>
      </w:r>
      <w:r w:rsidRPr="00834D52">
        <w:rPr>
          <w:rFonts w:ascii="Sylfaen" w:hAnsi="Sylfaen"/>
          <w:sz w:val="24"/>
          <w:szCs w:val="24"/>
        </w:rPr>
        <w:t xml:space="preserve"> տվյալ գործունեության տեսակը վարելու հատուկ թույլտվություն ներկայացնելու վերաբերյալ տվյալները, ինչպես նա</w:t>
      </w:r>
      <w:r w:rsidR="00C54D75">
        <w:rPr>
          <w:rFonts w:ascii="Sylfaen" w:hAnsi="Sylfaen"/>
          <w:sz w:val="24"/>
          <w:szCs w:val="24"/>
        </w:rPr>
        <w:t>և</w:t>
      </w:r>
      <w:r w:rsidRPr="00834D52">
        <w:rPr>
          <w:rFonts w:ascii="Sylfaen" w:hAnsi="Sylfaen"/>
          <w:sz w:val="24"/>
          <w:szCs w:val="24"/>
        </w:rPr>
        <w:t xml:space="preserve"> այն տարածաշրջանում, որտեղ արտադրվում է արյան (պլազմայի) պատրաստուկը, արյան միջոցով փոխանցվող վարակների վերաբերյալ համաճարակաբանական տվյալները.</w:t>
      </w:r>
    </w:p>
    <w:p w14:paraId="6E0BA5AC"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տեղեկություններ այն կենտրոնների կամ հիմնարկությունների վերաբերյալ, որտեղ դոնացիայի </w:t>
      </w:r>
      <w:r w:rsidR="00C54D75">
        <w:rPr>
          <w:rFonts w:ascii="Sylfaen" w:hAnsi="Sylfaen"/>
          <w:sz w:val="24"/>
          <w:szCs w:val="24"/>
        </w:rPr>
        <w:t>և</w:t>
      </w:r>
      <w:r w:rsidRPr="00834D52">
        <w:rPr>
          <w:rFonts w:ascii="Sylfaen" w:hAnsi="Sylfaen"/>
          <w:sz w:val="24"/>
          <w:szCs w:val="24"/>
        </w:rPr>
        <w:t xml:space="preserve"> պլազմայի պուլերի (միավորումների) վերահսկում է անցկացվում՝ ներառյալ այդ կենտրոնների կամ հիմնարկությունների տեսչական </w:t>
      </w:r>
      <w:r w:rsidR="00C54D75">
        <w:rPr>
          <w:rFonts w:ascii="Sylfaen" w:hAnsi="Sylfaen"/>
          <w:sz w:val="24"/>
          <w:szCs w:val="24"/>
        </w:rPr>
        <w:t>և</w:t>
      </w:r>
      <w:r w:rsidRPr="00834D52">
        <w:rPr>
          <w:rFonts w:ascii="Sylfaen" w:hAnsi="Sylfaen"/>
          <w:sz w:val="24"/>
          <w:szCs w:val="24"/>
        </w:rPr>
        <w:t xml:space="preserve"> կարգավորման կարգավիճակը.</w:t>
      </w:r>
    </w:p>
    <w:p w14:paraId="4FDFAE18"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արյան (պլազմայի) դոնորների ընտրության (բացառման) չափանիշները.</w:t>
      </w:r>
    </w:p>
    <w:p w14:paraId="5326BD3D"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գործող համակարգի նկարագրությունը, որը թույլ է տալիս հետ</w:t>
      </w:r>
      <w:r w:rsidR="00C54D75">
        <w:rPr>
          <w:rFonts w:ascii="Sylfaen" w:hAnsi="Sylfaen"/>
          <w:sz w:val="24"/>
          <w:szCs w:val="24"/>
        </w:rPr>
        <w:t>և</w:t>
      </w:r>
      <w:r w:rsidRPr="00834D52">
        <w:rPr>
          <w:rFonts w:ascii="Sylfaen" w:hAnsi="Sylfaen"/>
          <w:sz w:val="24"/>
          <w:szCs w:val="24"/>
        </w:rPr>
        <w:t>ելու արյան յուրաքանչյուր դոնացիայի ընթացքին՝ հիմնարկությունից, որտեղ հավաքում են արյունը (պլազման)՝ մինչ</w:t>
      </w:r>
      <w:r w:rsidR="00C54D75">
        <w:rPr>
          <w:rFonts w:ascii="Sylfaen" w:hAnsi="Sylfaen"/>
          <w:sz w:val="24"/>
          <w:szCs w:val="24"/>
        </w:rPr>
        <w:t>և</w:t>
      </w:r>
      <w:r w:rsidRPr="00834D52">
        <w:rPr>
          <w:rFonts w:ascii="Sylfaen" w:hAnsi="Sylfaen"/>
          <w:sz w:val="24"/>
          <w:szCs w:val="24"/>
        </w:rPr>
        <w:t xml:space="preserve"> պատրաստի դեղապատրաստուկը, </w:t>
      </w:r>
      <w:r w:rsidR="00C54D75">
        <w:rPr>
          <w:rFonts w:ascii="Sylfaen" w:hAnsi="Sylfaen"/>
          <w:sz w:val="24"/>
          <w:szCs w:val="24"/>
        </w:rPr>
        <w:t>և</w:t>
      </w:r>
      <w:r w:rsidRPr="00834D52">
        <w:rPr>
          <w:rFonts w:ascii="Sylfaen" w:hAnsi="Sylfaen"/>
          <w:sz w:val="24"/>
          <w:szCs w:val="24"/>
        </w:rPr>
        <w:t xml:space="preserve"> հակառակը.</w:t>
      </w:r>
    </w:p>
    <w:p w14:paraId="1036A3EE"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որակը </w:t>
      </w:r>
      <w:r w:rsidR="00C54D75">
        <w:rPr>
          <w:rFonts w:ascii="Sylfaen" w:hAnsi="Sylfaen"/>
          <w:sz w:val="24"/>
          <w:szCs w:val="24"/>
        </w:rPr>
        <w:t>և</w:t>
      </w:r>
      <w:r w:rsidRPr="00834D52">
        <w:rPr>
          <w:rFonts w:ascii="Sylfaen" w:hAnsi="Sylfaen"/>
          <w:sz w:val="24"/>
          <w:szCs w:val="24"/>
        </w:rPr>
        <w:t xml:space="preserve"> դրա անվտանգությունը՝</w:t>
      </w:r>
    </w:p>
    <w:p w14:paraId="1B3BA1FA"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որակի համապատասխանությունը Եվրասիական տնտեսական միության դեղագրքի համապատասխան հոդվածներին (մենագրություններին) կամ դրանց բացակայության դեպքում՝ անդամ պետությունների պետական դեղագրքերի հոդվածներին (մենագրություններին) կամ հիմնական դեղագրքերին՝ Եվրասիական տնտեսական միության անդամ պետությունների դեղագրքերի ներդաշնակեցման հայեցակարգին համապատասխան.</w:t>
      </w:r>
    </w:p>
    <w:p w14:paraId="59C1B65B" w14:textId="77777777" w:rsidR="006F76EB" w:rsidRPr="00834D52" w:rsidRDefault="006F76EB" w:rsidP="000D0FC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հավաքված արյան (պլազմայի) մեջ </w:t>
      </w:r>
      <w:r w:rsidR="00C54D75">
        <w:rPr>
          <w:rFonts w:ascii="Sylfaen" w:hAnsi="Sylfaen"/>
          <w:sz w:val="24"/>
          <w:szCs w:val="24"/>
        </w:rPr>
        <w:t>և</w:t>
      </w:r>
      <w:r w:rsidRPr="00834D52">
        <w:rPr>
          <w:rFonts w:ascii="Sylfaen" w:hAnsi="Sylfaen"/>
          <w:sz w:val="24"/>
          <w:szCs w:val="24"/>
        </w:rPr>
        <w:t xml:space="preserve"> դրա պուլերում վարակների հարուցիչների առկայության վերահսկում` ներառյալ վերահսկման մեթոդների </w:t>
      </w:r>
      <w:r w:rsidRPr="00834D52">
        <w:rPr>
          <w:rFonts w:ascii="Sylfaen" w:hAnsi="Sylfaen"/>
          <w:sz w:val="24"/>
          <w:szCs w:val="24"/>
        </w:rPr>
        <w:lastRenderedPageBreak/>
        <w:t xml:space="preserve">մասին տեղեկատվությունը </w:t>
      </w:r>
      <w:r w:rsidR="00C54D75">
        <w:rPr>
          <w:rFonts w:ascii="Sylfaen" w:hAnsi="Sylfaen"/>
          <w:sz w:val="24"/>
          <w:szCs w:val="24"/>
        </w:rPr>
        <w:t>և</w:t>
      </w:r>
      <w:r w:rsidRPr="00834D52">
        <w:rPr>
          <w:rFonts w:ascii="Sylfaen" w:hAnsi="Sylfaen"/>
          <w:sz w:val="24"/>
          <w:szCs w:val="24"/>
        </w:rPr>
        <w:t xml:space="preserve"> պլազմայի պուլերի դեպքում՝ կիրառված մեթոդիկաների վալիդացման տվյալները.</w:t>
      </w:r>
    </w:p>
    <w:p w14:paraId="777DA649"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արյունը </w:t>
      </w:r>
      <w:r w:rsidR="00C54D75">
        <w:rPr>
          <w:rFonts w:ascii="Sylfaen" w:hAnsi="Sylfaen"/>
          <w:sz w:val="24"/>
          <w:szCs w:val="24"/>
        </w:rPr>
        <w:t>և</w:t>
      </w:r>
      <w:r w:rsidRPr="00834D52">
        <w:rPr>
          <w:rFonts w:ascii="Sylfaen" w:hAnsi="Sylfaen"/>
          <w:sz w:val="24"/>
          <w:szCs w:val="24"/>
        </w:rPr>
        <w:t xml:space="preserve"> պլազման հավաքելու համար կոնտեյներների տեխնիկական բնութագրերը՝ ներառյալ օգտագործված հակամակարդիչների վերաբերյալ տեղեկատվությունը.</w:t>
      </w:r>
    </w:p>
    <w:p w14:paraId="2A612792"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պլազմայի պահպանման </w:t>
      </w:r>
      <w:r w:rsidR="00C54D75">
        <w:rPr>
          <w:rFonts w:ascii="Sylfaen" w:hAnsi="Sylfaen"/>
          <w:sz w:val="24"/>
          <w:szCs w:val="24"/>
        </w:rPr>
        <w:t>և</w:t>
      </w:r>
      <w:r w:rsidRPr="00834D52">
        <w:rPr>
          <w:rFonts w:ascii="Sylfaen" w:hAnsi="Sylfaen"/>
          <w:sz w:val="24"/>
          <w:szCs w:val="24"/>
        </w:rPr>
        <w:t xml:space="preserve"> փոխադրման պայմանները.</w:t>
      </w:r>
    </w:p>
    <w:p w14:paraId="6C37D8FD"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արտադրման համար օգտագործվող ցանկացած նյութի պահպանման ընթացակարգը </w:t>
      </w:r>
      <w:r w:rsidR="00C54D75">
        <w:rPr>
          <w:rFonts w:ascii="Sylfaen" w:hAnsi="Sylfaen"/>
          <w:sz w:val="24"/>
          <w:szCs w:val="24"/>
        </w:rPr>
        <w:t>և</w:t>
      </w:r>
      <w:r w:rsidRPr="00834D52">
        <w:rPr>
          <w:rFonts w:ascii="Sylfaen" w:hAnsi="Sylfaen"/>
          <w:sz w:val="24"/>
          <w:szCs w:val="24"/>
        </w:rPr>
        <w:t xml:space="preserve"> (կամ) կարանտինի ժամանակահատվածը.</w:t>
      </w:r>
    </w:p>
    <w:p w14:paraId="358C50A8" w14:textId="77777777" w:rsidR="006F76EB" w:rsidRPr="00834D52" w:rsidRDefault="006F76EB" w:rsidP="000D0FC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պլազմայի պուլի բնութագիրը.</w:t>
      </w:r>
    </w:p>
    <w:p w14:paraId="62FF027D"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պլազմայից ստացված դեղապատրաստուկն արտադրողի </w:t>
      </w:r>
      <w:r w:rsidR="00C54D75">
        <w:rPr>
          <w:rFonts w:ascii="Sylfaen" w:hAnsi="Sylfaen"/>
          <w:sz w:val="24"/>
          <w:szCs w:val="24"/>
        </w:rPr>
        <w:t>և</w:t>
      </w:r>
      <w:r w:rsidRPr="00834D52">
        <w:rPr>
          <w:rFonts w:ascii="Sylfaen" w:hAnsi="Sylfaen"/>
          <w:sz w:val="24"/>
          <w:szCs w:val="24"/>
        </w:rPr>
        <w:t xml:space="preserve"> (կամ) պլազման ֆրակցիաների բաժանող </w:t>
      </w:r>
      <w:r w:rsidR="00C54D75">
        <w:rPr>
          <w:rFonts w:ascii="Sylfaen" w:hAnsi="Sylfaen"/>
          <w:sz w:val="24"/>
          <w:szCs w:val="24"/>
        </w:rPr>
        <w:t>և</w:t>
      </w:r>
      <w:r w:rsidRPr="00834D52">
        <w:rPr>
          <w:rFonts w:ascii="Sylfaen" w:hAnsi="Sylfaen"/>
          <w:sz w:val="24"/>
          <w:szCs w:val="24"/>
        </w:rPr>
        <w:t xml:space="preserve"> (կամ) վերամշակող կենտրոնի կամ հիմնարկության </w:t>
      </w:r>
      <w:r w:rsidR="00C54D75">
        <w:rPr>
          <w:rFonts w:ascii="Sylfaen" w:hAnsi="Sylfaen"/>
          <w:sz w:val="24"/>
          <w:szCs w:val="24"/>
        </w:rPr>
        <w:t>և</w:t>
      </w:r>
      <w:r w:rsidRPr="00834D52">
        <w:rPr>
          <w:rFonts w:ascii="Sylfaen" w:hAnsi="Sylfaen"/>
          <w:sz w:val="24"/>
          <w:szCs w:val="24"/>
        </w:rPr>
        <w:t xml:space="preserve"> արյան (պլազմայի) հավաքման </w:t>
      </w:r>
      <w:r w:rsidR="00C54D75">
        <w:rPr>
          <w:rFonts w:ascii="Sylfaen" w:hAnsi="Sylfaen"/>
          <w:sz w:val="24"/>
          <w:szCs w:val="24"/>
        </w:rPr>
        <w:t>և</w:t>
      </w:r>
      <w:r w:rsidRPr="00834D52">
        <w:rPr>
          <w:rFonts w:ascii="Sylfaen" w:hAnsi="Sylfaen"/>
          <w:sz w:val="24"/>
          <w:szCs w:val="24"/>
        </w:rPr>
        <w:t xml:space="preserve"> վերահսկման կենտրոնի կամ հիմնարկության միջ</w:t>
      </w:r>
      <w:r w:rsidR="00C54D75">
        <w:rPr>
          <w:rFonts w:ascii="Sylfaen" w:hAnsi="Sylfaen"/>
          <w:sz w:val="24"/>
          <w:szCs w:val="24"/>
        </w:rPr>
        <w:t>և</w:t>
      </w:r>
      <w:r w:rsidRPr="00834D52">
        <w:rPr>
          <w:rFonts w:ascii="Sylfaen" w:hAnsi="Sylfaen"/>
          <w:sz w:val="24"/>
          <w:szCs w:val="24"/>
        </w:rPr>
        <w:t xml:space="preserve"> փոխգործակցության սահմանված համակարգի, ինչպես նա</w:t>
      </w:r>
      <w:r w:rsidR="00C54D75">
        <w:rPr>
          <w:rFonts w:ascii="Sylfaen" w:hAnsi="Sylfaen"/>
          <w:sz w:val="24"/>
          <w:szCs w:val="24"/>
        </w:rPr>
        <w:t>և</w:t>
      </w:r>
      <w:r w:rsidRPr="00834D52">
        <w:rPr>
          <w:rFonts w:ascii="Sylfaen" w:hAnsi="Sylfaen"/>
          <w:sz w:val="24"/>
          <w:szCs w:val="24"/>
        </w:rPr>
        <w:t xml:space="preserve"> դրանց կողմից համաձայնեցված պլազմայի մասնագրերի նկարագրությունը:</w:t>
      </w:r>
    </w:p>
    <w:p w14:paraId="6C0F5DDC"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Պլազմայի մաստեր-ֆայլը նա</w:t>
      </w:r>
      <w:r w:rsidR="00C54D75">
        <w:rPr>
          <w:rFonts w:ascii="Sylfaen" w:hAnsi="Sylfaen"/>
          <w:sz w:val="24"/>
          <w:szCs w:val="24"/>
        </w:rPr>
        <w:t>և</w:t>
      </w:r>
      <w:r w:rsidRPr="00834D52">
        <w:rPr>
          <w:rFonts w:ascii="Sylfaen" w:hAnsi="Sylfaen"/>
          <w:sz w:val="24"/>
          <w:szCs w:val="24"/>
        </w:rPr>
        <w:t xml:space="preserve"> պետք է պարունակի այն դեղապատրաստուկների ցանկը, որոնց վրա այն տարածվում է՝ անկախ նրանից, թե այդ դեղապատրաստուկները գրանցված են, գտնվում են գրանցման ընթացքում, թե կլինիկական հետազոտությունների փուլում:</w:t>
      </w:r>
    </w:p>
    <w:p w14:paraId="2490A2B5" w14:textId="77777777" w:rsidR="006F76EB" w:rsidRPr="00834D52" w:rsidRDefault="006F76EB" w:rsidP="000D0FC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12.1.3.</w:t>
      </w:r>
      <w:r w:rsidRPr="00834D52">
        <w:rPr>
          <w:rFonts w:ascii="Sylfaen" w:hAnsi="Sylfaen"/>
          <w:sz w:val="24"/>
          <w:szCs w:val="24"/>
        </w:rPr>
        <w:tab/>
        <w:t xml:space="preserve">Գրանցման դոսյեի 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5BBEAEE0" w14:textId="76F7648A"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Չգրանցված դեղապատրաստուկների համար </w:t>
      </w:r>
      <w:r w:rsidR="0056496B">
        <w:rPr>
          <w:rFonts w:ascii="Sylfaen" w:hAnsi="Sylfaen"/>
          <w:sz w:val="24"/>
          <w:szCs w:val="24"/>
        </w:rPr>
        <w:t>դիմումատու</w:t>
      </w:r>
      <w:r w:rsidRPr="00834D52">
        <w:rPr>
          <w:rFonts w:ascii="Sylfaen" w:hAnsi="Sylfaen"/>
          <w:sz w:val="24"/>
          <w:szCs w:val="24"/>
        </w:rPr>
        <w:t xml:space="preserve">ն պետք է անդամ պետության լիազորված մարմին ներկայացնի դեղապատրաստուկի ամբողջական գրանցման դոսյեն, որը կուղեկցվի պլազմայի առանձին մաստեր-ֆայլի հավելվածով, եթե նախկինում այն չի կազմվել </w:t>
      </w:r>
      <w:r w:rsidR="00C54D75">
        <w:rPr>
          <w:rFonts w:ascii="Sylfaen" w:hAnsi="Sylfaen"/>
          <w:sz w:val="24"/>
          <w:szCs w:val="24"/>
        </w:rPr>
        <w:t>և</w:t>
      </w:r>
      <w:r w:rsidRPr="00834D52">
        <w:rPr>
          <w:rFonts w:ascii="Sylfaen" w:hAnsi="Sylfaen"/>
          <w:sz w:val="24"/>
          <w:szCs w:val="24"/>
        </w:rPr>
        <w:t xml:space="preserve"> չի ներկայացվել նրանց կողմից:</w:t>
      </w:r>
    </w:p>
    <w:p w14:paraId="3D47BF43" w14:textId="77777777" w:rsidR="006F76EB" w:rsidRPr="00834D52" w:rsidRDefault="006F76EB" w:rsidP="000D0FC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փորձաքննության՝ դեղապատրաստուկի </w:t>
      </w:r>
      <w:r w:rsidRPr="00834D52">
        <w:rPr>
          <w:rFonts w:ascii="Sylfaen" w:hAnsi="Sylfaen"/>
          <w:sz w:val="24"/>
          <w:szCs w:val="24"/>
        </w:rPr>
        <w:lastRenderedPageBreak/>
        <w:t xml:space="preserve">գրանցման դոսյեի գրանցման </w:t>
      </w:r>
      <w:r w:rsidR="00C54D75">
        <w:rPr>
          <w:rFonts w:ascii="Sylfaen" w:hAnsi="Sylfaen"/>
          <w:sz w:val="24"/>
          <w:szCs w:val="24"/>
        </w:rPr>
        <w:t>և</w:t>
      </w:r>
      <w:r w:rsidRPr="00834D52">
        <w:rPr>
          <w:rFonts w:ascii="Sylfaen" w:hAnsi="Sylfaen"/>
          <w:sz w:val="24"/>
          <w:szCs w:val="24"/>
        </w:rPr>
        <w:t xml:space="preserve"> փորձաքննության շրջանակներում: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հաշվետվության հավելվածով: Տրված եզրակացությունը (հավաստագիրը, վկայականը) վավեր է Միության ամբողջ տարածքում:</w:t>
      </w:r>
    </w:p>
    <w:p w14:paraId="048138CC" w14:textId="77777777" w:rsidR="006F76EB" w:rsidRPr="00834D52" w:rsidRDefault="006F76EB" w:rsidP="000D0FC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Պլազմայի մաստեր-ֆայլը ենթակա է ամենամյա թարմացման </w:t>
      </w:r>
      <w:r w:rsidR="00C54D75">
        <w:rPr>
          <w:rFonts w:ascii="Sylfaen" w:hAnsi="Sylfaen"/>
          <w:sz w:val="24"/>
          <w:szCs w:val="24"/>
        </w:rPr>
        <w:t>և</w:t>
      </w:r>
      <w:r w:rsidRPr="00834D52">
        <w:rPr>
          <w:rFonts w:ascii="Sylfaen" w:hAnsi="Sylfaen"/>
          <w:sz w:val="24"/>
          <w:szCs w:val="24"/>
        </w:rPr>
        <w:t xml:space="preserve"> կրկնակի փորձաքննության:</w:t>
      </w:r>
    </w:p>
    <w:p w14:paraId="6C6C9A36" w14:textId="77777777" w:rsidR="006F76EB" w:rsidRPr="00834D52" w:rsidRDefault="006F76EB" w:rsidP="000D0FC9">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Պլազմայի մաստեր-ֆայլում փոփոխություններ կատարելու դեպքում այն ենթակա է փորձաքննության՝ փոփոխությունների կատարման ընթացակարգին համապատասխան:</w:t>
      </w:r>
    </w:p>
    <w:p w14:paraId="1D64FAFC" w14:textId="77777777" w:rsidR="006F76EB" w:rsidRPr="00834D52" w:rsidRDefault="006F76EB" w:rsidP="000D0FC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Միության տրված եզրակացությունը (հավաստագիրը, վկայականը) անդամ պետության լիազորված մարմնի կողմից ընդունվում է մարդու պլազմայից (արյունից) ստացված դեղապատրաստուկների գրանցման (գրանցումը հաստատելու, գրանցման դոսյեում փոփոխություններ կատարելու) ընթացակարգերն իրականացնելիս:</w:t>
      </w:r>
    </w:p>
    <w:p w14:paraId="45FD68A4" w14:textId="77777777" w:rsidR="006F76EB" w:rsidRPr="00834D52" w:rsidRDefault="006F76EB" w:rsidP="001A09F9">
      <w:pPr>
        <w:tabs>
          <w:tab w:val="left" w:pos="1134"/>
        </w:tabs>
        <w:spacing w:after="160" w:line="360" w:lineRule="auto"/>
        <w:ind w:left="567" w:right="579"/>
        <w:jc w:val="both"/>
        <w:rPr>
          <w:rFonts w:ascii="Sylfaen" w:eastAsia="Times New Roman" w:hAnsi="Sylfaen" w:cs="Times New Roman"/>
          <w:sz w:val="24"/>
          <w:szCs w:val="24"/>
        </w:rPr>
      </w:pPr>
      <w:r w:rsidRPr="001A09F9">
        <w:rPr>
          <w:rFonts w:ascii="Sylfaen" w:hAnsi="Sylfaen"/>
          <w:sz w:val="24"/>
          <w:szCs w:val="24"/>
        </w:rPr>
        <w:t>12.2.</w:t>
      </w:r>
      <w:r w:rsidR="001A09F9" w:rsidRPr="00F06D43">
        <w:rPr>
          <w:rFonts w:ascii="Sylfaen" w:hAnsi="Sylfaen"/>
          <w:sz w:val="24"/>
          <w:szCs w:val="24"/>
        </w:rPr>
        <w:tab/>
      </w:r>
      <w:r w:rsidRPr="001A09F9">
        <w:rPr>
          <w:rFonts w:ascii="Sylfaen" w:hAnsi="Sylfaen"/>
          <w:sz w:val="24"/>
          <w:szCs w:val="24"/>
        </w:rPr>
        <w:t>Պատվաստանյութեր</w:t>
      </w:r>
    </w:p>
    <w:p w14:paraId="25A44647"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կիրառման համար պատվաստանյութերի նկատմամբ, որպես գրանցման դոսյեի «Ակտիվ դեղագործական բաղադրամաս» 3-րդ մոդուլին ներկայացվող ընդհանուր պահանջներից բացառություն, պատվաստանյութային հակածնի մաստեր-ֆայլի համակարգի օգտագործման հիման վրա կիրառվում են հետ</w:t>
      </w:r>
      <w:r w:rsidR="00C54D75">
        <w:rPr>
          <w:rFonts w:ascii="Sylfaen" w:hAnsi="Sylfaen"/>
          <w:sz w:val="24"/>
          <w:szCs w:val="24"/>
        </w:rPr>
        <w:t>և</w:t>
      </w:r>
      <w:r w:rsidRPr="00834D52">
        <w:rPr>
          <w:rFonts w:ascii="Sylfaen" w:hAnsi="Sylfaen"/>
          <w:sz w:val="24"/>
          <w:szCs w:val="24"/>
        </w:rPr>
        <w:t>յալ պահանջները:</w:t>
      </w:r>
    </w:p>
    <w:p w14:paraId="2A28DE72" w14:textId="77777777" w:rsidR="006F76EB" w:rsidRPr="00834D52" w:rsidRDefault="006F76EB" w:rsidP="0038445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գրիպի կանխարգելման համար պատվաստանյութ չհամարվող պատվաստանյութի գրանցման դոսյեն յուրաքանչյուր այն հակածնի համար, որն այդ պատվաստանյութի ակտիվ նյութն է, պետք է ներառի պատվաստանյութային հակածնի մաստեր-ֆայլը:</w:t>
      </w:r>
    </w:p>
    <w:p w14:paraId="7CEA8E48" w14:textId="77777777" w:rsidR="006F76EB" w:rsidRPr="00834D52" w:rsidRDefault="006F76EB" w:rsidP="008B1DE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12.2.1.</w:t>
      </w:r>
      <w:r w:rsidRPr="00834D52">
        <w:rPr>
          <w:rFonts w:ascii="Sylfaen" w:hAnsi="Sylfaen"/>
          <w:sz w:val="24"/>
          <w:szCs w:val="24"/>
        </w:rPr>
        <w:tab/>
        <w:t>Ընդհանուր սկզբունքները:</w:t>
      </w:r>
    </w:p>
    <w:p w14:paraId="4D615C50" w14:textId="1C1F32E4"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Պատվաստանյութային հակածնի մաստեր-ֆայլը պատվաստանյութի գրանցման դոսյեի առանձին մաս է, որը պարունակում է տվյալ դեղապատրաստուկի մաս կազմող յուրաքանչյուր ակտիվ նյութի վերաբերյալ կենսաբանական, դեղագործական </w:t>
      </w:r>
      <w:r w:rsidR="00C54D75">
        <w:rPr>
          <w:rFonts w:ascii="Sylfaen" w:hAnsi="Sylfaen"/>
          <w:sz w:val="24"/>
          <w:szCs w:val="24"/>
        </w:rPr>
        <w:t>և</w:t>
      </w:r>
      <w:r w:rsidRPr="00834D52">
        <w:rPr>
          <w:rFonts w:ascii="Sylfaen" w:hAnsi="Sylfaen"/>
          <w:sz w:val="24"/>
          <w:szCs w:val="24"/>
        </w:rPr>
        <w:t xml:space="preserve"> քիմիական բնույթի ամբողջ նշանակալի տեղեկատվությունը: Այդ առանձին մասը կարող է ընդհանուր լինել մի</w:t>
      </w:r>
      <w:r w:rsidR="00C54D75">
        <w:rPr>
          <w:rFonts w:ascii="Sylfaen" w:hAnsi="Sylfaen"/>
          <w:sz w:val="24"/>
          <w:szCs w:val="24"/>
        </w:rPr>
        <w:t>և</w:t>
      </w:r>
      <w:r w:rsidRPr="00834D52">
        <w:rPr>
          <w:rFonts w:ascii="Sylfaen" w:hAnsi="Sylfaen"/>
          <w:sz w:val="24"/>
          <w:szCs w:val="24"/>
        </w:rPr>
        <w:t xml:space="preserve">նույն </w:t>
      </w:r>
      <w:r w:rsidR="0056496B">
        <w:rPr>
          <w:rFonts w:ascii="Sylfaen" w:hAnsi="Sylfaen"/>
          <w:sz w:val="24"/>
          <w:szCs w:val="24"/>
        </w:rPr>
        <w:t>դիմումատու</w:t>
      </w:r>
      <w:r w:rsidRPr="00834D52">
        <w:rPr>
          <w:rFonts w:ascii="Sylfaen" w:hAnsi="Sylfaen"/>
          <w:sz w:val="24"/>
          <w:szCs w:val="24"/>
        </w:rPr>
        <w:t xml:space="preserve">ի կամ գրանցման հավաստագրի իրավատիրոջ կողմից ներկայացվող մեկ կամ ավելի միավալենտ </w:t>
      </w:r>
      <w:r w:rsidR="00C54D75">
        <w:rPr>
          <w:rFonts w:ascii="Sylfaen" w:hAnsi="Sylfaen"/>
          <w:sz w:val="24"/>
          <w:szCs w:val="24"/>
        </w:rPr>
        <w:t>և</w:t>
      </w:r>
      <w:r w:rsidRPr="00834D52">
        <w:rPr>
          <w:rFonts w:ascii="Sylfaen" w:hAnsi="Sylfaen"/>
          <w:sz w:val="24"/>
          <w:szCs w:val="24"/>
        </w:rPr>
        <w:t xml:space="preserve"> (կամ) համակցված պատվաստանյութերի համար:</w:t>
      </w:r>
    </w:p>
    <w:p w14:paraId="2B1F4227"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Պատվաստանյութը կարող է պարունակել մեկ կամ մի քանի տարբեր պատվաստանյութային հակածիններ: Պատվաստանյութում ակտիվ նյութերի քանակը համապատասխանում է պատվաստանյութային հակածինների քանակին:</w:t>
      </w:r>
    </w:p>
    <w:p w14:paraId="6939AAE2"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(բազմավալենտ) պատվաստանյութը պարունակում է առնվազն 2 տարբեր պատվաստանյութային հակածիններ, որոնք նախատեսված են մեկ կամ մի քանի վարակիչ հիվանդությունների կանխարգելման համար:</w:t>
      </w:r>
    </w:p>
    <w:p w14:paraId="645D7C56"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Միավալենտ պատվաստանյութը պատվաստանյութ է, որը պարունակում է 1</w:t>
      </w:r>
      <w:r w:rsidR="00145C95" w:rsidRPr="002F1C69">
        <w:rPr>
          <w:rFonts w:ascii="Sylfaen" w:hAnsi="Sylfaen"/>
          <w:sz w:val="24"/>
          <w:szCs w:val="24"/>
        </w:rPr>
        <w:t> </w:t>
      </w:r>
      <w:r w:rsidRPr="00834D52">
        <w:rPr>
          <w:rFonts w:ascii="Sylfaen" w:hAnsi="Sylfaen"/>
          <w:sz w:val="24"/>
          <w:szCs w:val="24"/>
        </w:rPr>
        <w:t>վարակիչ հիվանդության կանխարգելման համար նախատեսված 1</w:t>
      </w:r>
      <w:r w:rsidR="00841B06" w:rsidRPr="00841B06">
        <w:rPr>
          <w:rFonts w:ascii="Sylfaen" w:hAnsi="Sylfaen"/>
          <w:sz w:val="24"/>
          <w:szCs w:val="24"/>
        </w:rPr>
        <w:t> </w:t>
      </w:r>
      <w:r w:rsidRPr="00834D52">
        <w:rPr>
          <w:rFonts w:ascii="Sylfaen" w:hAnsi="Sylfaen"/>
          <w:sz w:val="24"/>
          <w:szCs w:val="24"/>
        </w:rPr>
        <w:t>պատվաստանյութային հակածին:</w:t>
      </w:r>
    </w:p>
    <w:p w14:paraId="7177E015" w14:textId="77777777" w:rsidR="006F76EB" w:rsidRPr="00834D52" w:rsidRDefault="006F76EB" w:rsidP="00F3592B">
      <w:pPr>
        <w:tabs>
          <w:tab w:val="left" w:pos="1701"/>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12.2.2.</w:t>
      </w:r>
      <w:r w:rsidRPr="00834D52">
        <w:rPr>
          <w:rFonts w:ascii="Sylfaen" w:hAnsi="Sylfaen"/>
          <w:sz w:val="24"/>
          <w:szCs w:val="24"/>
        </w:rPr>
        <w:tab/>
        <w:t>Գրանցման դոսյեի նյութերի բովանդակությանը ներկայացվող լրացուցիչ պահանջներ:</w:t>
      </w:r>
    </w:p>
    <w:p w14:paraId="1EDC749A" w14:textId="10184C29"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մաստեր-ֆայլը պետք է պարունակի 3-րդ՝ «Որակ» մոդուլի համապատասխան մասից (Ակտիվ դեղագործական բաղադրամաս) դուրս բերված հետ</w:t>
      </w:r>
      <w:r w:rsidR="00C54D75">
        <w:rPr>
          <w:rFonts w:ascii="Sylfaen" w:hAnsi="Sylfaen"/>
          <w:sz w:val="24"/>
          <w:szCs w:val="24"/>
        </w:rPr>
        <w:t>և</w:t>
      </w:r>
      <w:r w:rsidRPr="00834D52">
        <w:rPr>
          <w:rFonts w:ascii="Sylfaen" w:hAnsi="Sylfaen"/>
          <w:sz w:val="24"/>
          <w:szCs w:val="24"/>
        </w:rPr>
        <w:t>յալ տեղեկատվությունը, ինչպես նկարագրված</w:t>
      </w:r>
      <w:r w:rsidR="00841B06" w:rsidRPr="00841B06">
        <w:rPr>
          <w:rFonts w:ascii="Sylfaen" w:hAnsi="Sylfaen"/>
          <w:sz w:val="24"/>
          <w:szCs w:val="24"/>
        </w:rPr>
        <w:t> </w:t>
      </w:r>
      <w:r w:rsidRPr="00834D52">
        <w:rPr>
          <w:rFonts w:ascii="Sylfaen" w:hAnsi="Sylfaen"/>
          <w:sz w:val="24"/>
          <w:szCs w:val="24"/>
        </w:rPr>
        <w:t>է սույն հավելվածի I մասում:</w:t>
      </w:r>
    </w:p>
    <w:p w14:paraId="0A71EBE0" w14:textId="77777777" w:rsidR="006F76EB" w:rsidRPr="00834D52" w:rsidRDefault="006F76EB" w:rsidP="00F3592B">
      <w:pPr>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w:t>
      </w:r>
    </w:p>
    <w:p w14:paraId="4F729F21" w14:textId="77777777" w:rsidR="006F76EB" w:rsidRPr="00834D52" w:rsidRDefault="006F76EB" w:rsidP="00F3592B">
      <w:pPr>
        <w:tabs>
          <w:tab w:val="left" w:pos="1134"/>
        </w:tabs>
        <w:spacing w:after="160" w:line="353" w:lineRule="auto"/>
        <w:ind w:right="-6" w:firstLine="567"/>
        <w:jc w:val="both"/>
        <w:rPr>
          <w:rFonts w:ascii="Sylfaen" w:eastAsia="Times New Roman" w:hAnsi="Sylfaen" w:cs="Times New Roman"/>
          <w:sz w:val="24"/>
          <w:szCs w:val="24"/>
        </w:rPr>
      </w:pPr>
      <w:r w:rsidRPr="00834D52">
        <w:rPr>
          <w:rFonts w:ascii="Sylfaen" w:hAnsi="Sylfaen"/>
          <w:sz w:val="24"/>
          <w:szCs w:val="24"/>
        </w:rPr>
        <w:t>1.</w:t>
      </w:r>
      <w:r w:rsidRPr="00834D52">
        <w:rPr>
          <w:rFonts w:ascii="Sylfaen" w:hAnsi="Sylfaen"/>
          <w:sz w:val="24"/>
          <w:szCs w:val="24"/>
        </w:rPr>
        <w:tab/>
        <w:t xml:space="preserve">Ընդհանուր տեղեկատվությունը՝ ներառյալ Եվրասիական տնտեսական միության դեղագրքի հոդվածին (մենագրությանը) կամ այդպիսի հոդվածների (մենագրությունների) բացակայության դեպքում՝ անդամ պետությունների դեղագրքերի հոդվածներին (մենագրություններին) կամ հիմնական դեղագրքերին համապատասխանության վերաբերյալ տեղեկությունները՝ Միության անդամ </w:t>
      </w:r>
      <w:r w:rsidRPr="00834D52">
        <w:rPr>
          <w:rFonts w:ascii="Sylfaen" w:hAnsi="Sylfaen"/>
          <w:sz w:val="24"/>
          <w:szCs w:val="24"/>
        </w:rPr>
        <w:lastRenderedPageBreak/>
        <w:t>պետությունների դեղագրքերի ներդաշնակեցման հայեցակարգին համապատասխան:</w:t>
      </w:r>
    </w:p>
    <w:p w14:paraId="7B4F9C03"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Տեղեկատվություն՝ ակտիվ նյութն արտադրողի վերաբերյալ՝ արտադրական պրոցեսի, ելանյութի </w:t>
      </w:r>
      <w:r w:rsidR="00C54D75">
        <w:rPr>
          <w:rFonts w:ascii="Sylfaen" w:hAnsi="Sylfaen"/>
          <w:sz w:val="24"/>
          <w:szCs w:val="24"/>
        </w:rPr>
        <w:t>և</w:t>
      </w:r>
      <w:r w:rsidRPr="00834D52">
        <w:rPr>
          <w:rFonts w:ascii="Sylfaen" w:hAnsi="Sylfaen"/>
          <w:sz w:val="24"/>
          <w:szCs w:val="24"/>
        </w:rPr>
        <w:t xml:space="preserve"> հումքի, փոխանցվող սպունգանման էնցեֆալոպաթիայի առնչությամբ հատուկ միջոցների </w:t>
      </w:r>
      <w:r w:rsidR="00C54D75">
        <w:rPr>
          <w:rFonts w:ascii="Sylfaen" w:hAnsi="Sylfaen"/>
          <w:sz w:val="24"/>
          <w:szCs w:val="24"/>
        </w:rPr>
        <w:t>և</w:t>
      </w:r>
      <w:r w:rsidRPr="00834D52">
        <w:rPr>
          <w:rFonts w:ascii="Sylfaen" w:hAnsi="Sylfaen"/>
          <w:sz w:val="24"/>
          <w:szCs w:val="24"/>
        </w:rPr>
        <w:t xml:space="preserve"> կողմնակի վարակիչ ագենտների անվտանգության գնահատման, շենքերի </w:t>
      </w:r>
      <w:r w:rsidR="00C54D75">
        <w:rPr>
          <w:rFonts w:ascii="Sylfaen" w:hAnsi="Sylfaen"/>
          <w:sz w:val="24"/>
          <w:szCs w:val="24"/>
        </w:rPr>
        <w:t>և</w:t>
      </w:r>
      <w:r w:rsidRPr="00834D52">
        <w:rPr>
          <w:rFonts w:ascii="Sylfaen" w:hAnsi="Sylfaen"/>
          <w:sz w:val="24"/>
          <w:szCs w:val="24"/>
        </w:rPr>
        <w:t xml:space="preserve"> սարքավորումների վերաբերյալ տեղեկատվություն:</w:t>
      </w:r>
    </w:p>
    <w:p w14:paraId="382115ED"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Ակտիվ նյութի բնութագիրը:</w:t>
      </w:r>
    </w:p>
    <w:p w14:paraId="6853023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Ակտիվ նյութերի որակի վերահսկողությունը:</w:t>
      </w:r>
    </w:p>
    <w:p w14:paraId="5389892B"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5.</w:t>
      </w:r>
      <w:r w:rsidRPr="00834D52">
        <w:rPr>
          <w:rFonts w:ascii="Sylfaen" w:hAnsi="Sylfaen"/>
          <w:sz w:val="24"/>
          <w:szCs w:val="24"/>
        </w:rPr>
        <w:tab/>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p w14:paraId="5E601A80"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6.</w:t>
      </w:r>
      <w:r w:rsidRPr="00834D52">
        <w:rPr>
          <w:rFonts w:ascii="Sylfaen" w:hAnsi="Sylfaen"/>
          <w:sz w:val="24"/>
          <w:szCs w:val="24"/>
        </w:rPr>
        <w:tab/>
        <w:t xml:space="preserve">Ակտիվ նյութի սկզբնական փաթեթավորումը </w:t>
      </w:r>
      <w:r w:rsidR="00C54D75">
        <w:rPr>
          <w:rFonts w:ascii="Sylfaen" w:hAnsi="Sylfaen"/>
          <w:sz w:val="24"/>
          <w:szCs w:val="24"/>
        </w:rPr>
        <w:t>և</w:t>
      </w:r>
      <w:r w:rsidRPr="00834D52">
        <w:rPr>
          <w:rFonts w:ascii="Sylfaen" w:hAnsi="Sylfaen"/>
          <w:sz w:val="24"/>
          <w:szCs w:val="24"/>
        </w:rPr>
        <w:t xml:space="preserve"> խցանափակման համակարգը:</w:t>
      </w:r>
    </w:p>
    <w:p w14:paraId="27E57F36" w14:textId="77777777" w:rsidR="006F76EB" w:rsidRPr="00834D52"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7.</w:t>
      </w:r>
      <w:r w:rsidRPr="00834D52">
        <w:rPr>
          <w:rFonts w:ascii="Sylfaen" w:hAnsi="Sylfaen"/>
          <w:sz w:val="24"/>
          <w:szCs w:val="24"/>
        </w:rPr>
        <w:tab/>
        <w:t>Ակտիվ նյութի կայունությունը.</w:t>
      </w:r>
    </w:p>
    <w:p w14:paraId="2A4E04DF" w14:textId="77777777" w:rsidR="006F76EB" w:rsidRPr="002F1C69" w:rsidRDefault="006F76EB" w:rsidP="00F3592B">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Փորձաքննությունը </w:t>
      </w:r>
      <w:r w:rsidR="00C54D75">
        <w:rPr>
          <w:rFonts w:ascii="Sylfaen" w:hAnsi="Sylfaen"/>
          <w:sz w:val="24"/>
          <w:szCs w:val="24"/>
        </w:rPr>
        <w:t>և</w:t>
      </w:r>
      <w:r w:rsidRPr="00834D52">
        <w:rPr>
          <w:rFonts w:ascii="Sylfaen" w:hAnsi="Sylfaen"/>
          <w:sz w:val="24"/>
          <w:szCs w:val="24"/>
        </w:rPr>
        <w:t xml:space="preserve"> եզրակացության տրամադրումը:</w:t>
      </w:r>
    </w:p>
    <w:p w14:paraId="0E1DB914" w14:textId="5B1982E5" w:rsidR="006F76EB" w:rsidRPr="00834D52" w:rsidRDefault="006F76EB" w:rsidP="00F3592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Նոր պատվաստանյութերի համար, որոնք նոր պատվաստանյութային հակածին են պարունակում, </w:t>
      </w:r>
      <w:r w:rsidR="0056496B">
        <w:rPr>
          <w:rFonts w:ascii="Sylfaen" w:hAnsi="Sylfaen"/>
          <w:sz w:val="24"/>
          <w:szCs w:val="24"/>
        </w:rPr>
        <w:t>դիմումատու</w:t>
      </w:r>
      <w:r w:rsidRPr="00834D52">
        <w:rPr>
          <w:rFonts w:ascii="Sylfaen" w:hAnsi="Sylfaen"/>
          <w:sz w:val="24"/>
          <w:szCs w:val="24"/>
        </w:rPr>
        <w:t>ն պետք է լիազորված մարմին ներկայացնի ամբողջական գրանցման դոսյեն` ներառյալ նոր պատվաստանյութի մաս հանդիսացող յուրաքանչյուր պատվաստանյութային հակածնի համար պատվաստանյութային հակածնի բոլոր մաստեր-ֆայլերը, եթե պատվաստանյութային հակածնի մաստեր-ֆայլն այդ պատվաստանյութային հակածնի համար բացակայում է: Փորձաքննության դրական արդյունքների դեպքում տրվում է մաստեր-ֆայլի` Միության եզրակացություն (հավաստագիր, վկայական), որը պետք է ուղեկցվի փորձագիտական հաշվետվությամբ: Տրված եզրակացությունը (հավաստագիրը, վկայականը) վավեր է Միության ամբողջ տարածքում:</w:t>
      </w:r>
    </w:p>
    <w:p w14:paraId="2551F47B"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Նշված պահանջները նա</w:t>
      </w:r>
      <w:r w:rsidR="00C54D75">
        <w:rPr>
          <w:rFonts w:ascii="Sylfaen" w:hAnsi="Sylfaen"/>
          <w:sz w:val="24"/>
          <w:szCs w:val="24"/>
        </w:rPr>
        <w:t>և</w:t>
      </w:r>
      <w:r w:rsidRPr="00834D52">
        <w:rPr>
          <w:rFonts w:ascii="Sylfaen" w:hAnsi="Sylfaen"/>
          <w:sz w:val="24"/>
          <w:szCs w:val="24"/>
        </w:rPr>
        <w:t xml:space="preserve"> կիրառվում են յուրաքանչյուր այնպիսի պատվաստանյութի նկատմամբ, որը բաղկացած է պատվաստանյութային հակածինների նոր համակցությունից՝ անկախ նրանից, թե արդյոք այդ հակածիններից մեկը կամ մի քանիսն այն պատվաստանյութերի մաս են, որոնք արդեն իսկ գրանցված են անդամ պետությունում:</w:t>
      </w:r>
    </w:p>
    <w:p w14:paraId="541CDFB5"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Պատվաստանյութային հակածնի մաստեր-ֆայլում փոփոխություններ կատարելու դեպքում մաստեր-ֆայլը ենթակա է փորձաքննության՝ փոփոխություններ կատարելու ընթացակարգին համապատասխան:</w:t>
      </w:r>
    </w:p>
    <w:p w14:paraId="72BF1877" w14:textId="0F2E6AA2" w:rsidR="006F76EB" w:rsidRDefault="006F76EB" w:rsidP="00841B06">
      <w:pPr>
        <w:spacing w:after="160" w:line="384" w:lineRule="auto"/>
        <w:ind w:right="-6" w:firstLine="567"/>
        <w:jc w:val="both"/>
        <w:rPr>
          <w:rFonts w:ascii="Sylfaen" w:hAnsi="Sylfaen"/>
          <w:sz w:val="24"/>
          <w:szCs w:val="24"/>
        </w:rPr>
      </w:pPr>
      <w:r w:rsidRPr="00834D52">
        <w:rPr>
          <w:rFonts w:ascii="Sylfaen" w:hAnsi="Sylfaen"/>
          <w:sz w:val="24"/>
          <w:szCs w:val="24"/>
        </w:rPr>
        <w:t>Միության տրված եզրակացությունը (հավաստագիրը, վկայականը) լիազորված մարմնի կողմից ընդունվում է պատվաստանյութերի գրանցման (գրանցումը հաստատելու, գրանցման դոսյեում փոփոխություններ կատարելու) ընթացակարգերն իրականացնելիս:</w:t>
      </w:r>
    </w:p>
    <w:p w14:paraId="02BD8300" w14:textId="0398D2E5" w:rsidR="00CD23DD" w:rsidRDefault="00CD23DD" w:rsidP="00841B06">
      <w:pPr>
        <w:spacing w:after="160" w:line="384" w:lineRule="auto"/>
        <w:ind w:right="-6" w:firstLine="567"/>
        <w:jc w:val="both"/>
        <w:rPr>
          <w:rFonts w:ascii="Sylfaen" w:hAnsi="Sylfaen"/>
          <w:sz w:val="24"/>
          <w:szCs w:val="24"/>
        </w:rPr>
      </w:pPr>
      <w:r w:rsidRPr="00CD23DD">
        <w:rPr>
          <w:rFonts w:ascii="Sylfaen" w:hAnsi="Sylfaen"/>
          <w:sz w:val="24"/>
          <w:szCs w:val="24"/>
        </w:rPr>
        <w:t>12.2.3. Փորձաքննություն և եզրակացությունների տրամադրում</w:t>
      </w:r>
      <w:r>
        <w:rPr>
          <w:rFonts w:ascii="Sylfaen" w:hAnsi="Sylfaen"/>
          <w:sz w:val="24"/>
          <w:szCs w:val="24"/>
        </w:rPr>
        <w:t>:</w:t>
      </w:r>
    </w:p>
    <w:p w14:paraId="783B82F7" w14:textId="5670052B" w:rsidR="00CD23DD" w:rsidRPr="006F28F9" w:rsidRDefault="00CD23DD" w:rsidP="00CD23DD">
      <w:pPr>
        <w:rPr>
          <w:b/>
          <w:bCs/>
          <w:i/>
          <w:iCs/>
        </w:rPr>
      </w:pPr>
      <w:r w:rsidRPr="00CD4709">
        <w:rPr>
          <w:b/>
          <w:bCs/>
          <w:i/>
          <w:iCs/>
        </w:rPr>
        <w:t>(</w:t>
      </w:r>
      <w:r>
        <w:rPr>
          <w:b/>
          <w:bCs/>
          <w:i/>
          <w:iCs/>
        </w:rPr>
        <w:t xml:space="preserve"> </w:t>
      </w:r>
      <w:r w:rsidRPr="00CD23DD">
        <w:rPr>
          <w:rFonts w:ascii="Sylfaen" w:hAnsi="Sylfaen"/>
          <w:b/>
          <w:bCs/>
          <w:i/>
          <w:iCs/>
          <w:sz w:val="24"/>
          <w:szCs w:val="24"/>
        </w:rPr>
        <w:t>12.2.3</w:t>
      </w:r>
      <w:r>
        <w:rPr>
          <w:rFonts w:ascii="Sylfaen" w:hAnsi="Sylfaen"/>
          <w:b/>
          <w:bCs/>
          <w:i/>
          <w:iCs/>
          <w:sz w:val="24"/>
          <w:szCs w:val="24"/>
        </w:rPr>
        <w:t xml:space="preserve"> կետը լրաց</w:t>
      </w:r>
      <w:r w:rsidRPr="00CD23DD">
        <w:rPr>
          <w:rFonts w:ascii="Sylfaen" w:hAnsi="Sylfaen"/>
          <w:b/>
          <w:bCs/>
          <w:i/>
          <w:iCs/>
          <w:sz w:val="24"/>
          <w:szCs w:val="24"/>
        </w:rPr>
        <w:t>.  30.01.20 թիվ 9</w:t>
      </w:r>
      <w:r w:rsidRPr="00CD4709">
        <w:rPr>
          <w:b/>
          <w:bCs/>
          <w:i/>
          <w:iCs/>
        </w:rPr>
        <w:t>)</w:t>
      </w:r>
    </w:p>
    <w:p w14:paraId="18DF3F29" w14:textId="77777777" w:rsidR="00CD23DD" w:rsidRPr="002F1C69" w:rsidRDefault="00CD23DD" w:rsidP="00841B06">
      <w:pPr>
        <w:spacing w:after="160" w:line="384" w:lineRule="auto"/>
        <w:ind w:right="-6" w:firstLine="567"/>
        <w:jc w:val="both"/>
        <w:rPr>
          <w:rFonts w:ascii="Sylfaen" w:hAnsi="Sylfaen"/>
          <w:sz w:val="24"/>
          <w:szCs w:val="24"/>
        </w:rPr>
      </w:pPr>
    </w:p>
    <w:p w14:paraId="281A74C8" w14:textId="77777777" w:rsidR="006F76EB" w:rsidRPr="00834D52" w:rsidRDefault="006F76EB" w:rsidP="00841B06">
      <w:pPr>
        <w:tabs>
          <w:tab w:val="left" w:pos="1134"/>
        </w:tabs>
        <w:spacing w:after="160" w:line="384" w:lineRule="auto"/>
        <w:ind w:right="565" w:firstLine="567"/>
        <w:jc w:val="both"/>
        <w:rPr>
          <w:rFonts w:ascii="Sylfaen" w:eastAsia="Times New Roman" w:hAnsi="Sylfaen" w:cs="Times New Roman"/>
          <w:spacing w:val="-4"/>
          <w:sz w:val="24"/>
          <w:szCs w:val="24"/>
        </w:rPr>
      </w:pPr>
      <w:r w:rsidRPr="00834D52">
        <w:rPr>
          <w:rFonts w:ascii="Sylfaen" w:hAnsi="Sylfaen"/>
          <w:spacing w:val="-4"/>
          <w:sz w:val="24"/>
          <w:szCs w:val="24"/>
        </w:rPr>
        <w:t>12.3.</w:t>
      </w:r>
      <w:r w:rsidR="007643CC" w:rsidRPr="002978B0">
        <w:rPr>
          <w:rFonts w:ascii="Sylfaen" w:hAnsi="Sylfaen"/>
          <w:spacing w:val="-4"/>
          <w:sz w:val="24"/>
          <w:szCs w:val="24"/>
        </w:rPr>
        <w:tab/>
      </w:r>
      <w:r w:rsidRPr="00834D52">
        <w:rPr>
          <w:rFonts w:ascii="Sylfaen" w:hAnsi="Sylfaen"/>
          <w:spacing w:val="-4"/>
          <w:sz w:val="24"/>
          <w:szCs w:val="24"/>
        </w:rPr>
        <w:t>Պարզեցված գրանցման դոսյե՝ լավ ուսումնասիրված բժշկական կիրառման պատվաստանյութերի համար, որոնց արտադրությունն անդամ պետությունների տարածքներում իրականացվել է մինչ</w:t>
      </w:r>
      <w:r w:rsidR="00C54D75">
        <w:rPr>
          <w:rFonts w:ascii="Sylfaen" w:hAnsi="Sylfaen"/>
          <w:spacing w:val="-4"/>
          <w:sz w:val="24"/>
          <w:szCs w:val="24"/>
        </w:rPr>
        <w:t>և</w:t>
      </w:r>
      <w:r w:rsidRPr="00834D52">
        <w:rPr>
          <w:rFonts w:ascii="Sylfaen" w:hAnsi="Sylfaen"/>
          <w:spacing w:val="-4"/>
          <w:sz w:val="24"/>
          <w:szCs w:val="24"/>
        </w:rPr>
        <w:t xml:space="preserve"> 2000 թվականը</w:t>
      </w:r>
    </w:p>
    <w:p w14:paraId="19FEF7B2"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Հաստատված արդյունավետությամբ </w:t>
      </w:r>
      <w:r w:rsidR="00C54D75">
        <w:rPr>
          <w:rFonts w:ascii="Sylfaen" w:hAnsi="Sylfaen"/>
          <w:sz w:val="24"/>
          <w:szCs w:val="24"/>
        </w:rPr>
        <w:t>և</w:t>
      </w:r>
      <w:r w:rsidRPr="00834D52">
        <w:rPr>
          <w:rFonts w:ascii="Sylfaen" w:hAnsi="Sylfaen"/>
          <w:sz w:val="24"/>
          <w:szCs w:val="24"/>
        </w:rPr>
        <w:t xml:space="preserve"> անվտանգության ընդունելի մակարդակով այն պատվաստանյութերի համար, որոնց պատվաստանյութային հակածինը լավ ուսումնասիրված է բժշկական կիրառման մեջ, </w:t>
      </w:r>
      <w:r w:rsidR="00C54D75">
        <w:rPr>
          <w:rFonts w:ascii="Sylfaen" w:hAnsi="Sylfaen"/>
          <w:sz w:val="24"/>
          <w:szCs w:val="24"/>
        </w:rPr>
        <w:t>և</w:t>
      </w:r>
      <w:r w:rsidRPr="00834D52">
        <w:rPr>
          <w:rFonts w:ascii="Sylfaen" w:hAnsi="Sylfaen"/>
          <w:sz w:val="24"/>
          <w:szCs w:val="24"/>
        </w:rPr>
        <w:t xml:space="preserve"> որոնց արտադրությունն անդամ պետությունների տարածքներում իրականացվել է մինչ</w:t>
      </w:r>
      <w:r w:rsidR="00C54D75">
        <w:rPr>
          <w:rFonts w:ascii="Sylfaen" w:hAnsi="Sylfaen"/>
          <w:sz w:val="24"/>
          <w:szCs w:val="24"/>
        </w:rPr>
        <w:t>և</w:t>
      </w:r>
      <w:r w:rsidRPr="00834D52">
        <w:rPr>
          <w:rFonts w:ascii="Sylfaen" w:hAnsi="Sylfaen"/>
          <w:sz w:val="24"/>
          <w:szCs w:val="24"/>
        </w:rPr>
        <w:t xml:space="preserve"> 2000 թվականը, կիրառվում են հետ</w:t>
      </w:r>
      <w:r w:rsidR="00C54D75">
        <w:rPr>
          <w:rFonts w:ascii="Sylfaen" w:hAnsi="Sylfaen"/>
          <w:sz w:val="24"/>
          <w:szCs w:val="24"/>
        </w:rPr>
        <w:t>և</w:t>
      </w:r>
      <w:r w:rsidRPr="00834D52">
        <w:rPr>
          <w:rFonts w:ascii="Sylfaen" w:hAnsi="Sylfaen"/>
          <w:sz w:val="24"/>
          <w:szCs w:val="24"/>
        </w:rPr>
        <w:t>յալ կանոնները:</w:t>
      </w:r>
    </w:p>
    <w:p w14:paraId="657135BD" w14:textId="560C7025" w:rsidR="006F76EB" w:rsidRPr="00834D52" w:rsidRDefault="0056496B" w:rsidP="00841B06">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 պետք է գրանցման դոսյեի 3-րդ մոդուլը ձ</w:t>
      </w:r>
      <w:r w:rsidR="00C54D75">
        <w:rPr>
          <w:rFonts w:ascii="Sylfaen" w:hAnsi="Sylfaen"/>
          <w:sz w:val="24"/>
          <w:szCs w:val="24"/>
        </w:rPr>
        <w:t>և</w:t>
      </w:r>
      <w:r w:rsidR="006F76EB" w:rsidRPr="00834D52">
        <w:rPr>
          <w:rFonts w:ascii="Sylfaen" w:hAnsi="Sylfaen"/>
          <w:sz w:val="24"/>
          <w:szCs w:val="24"/>
        </w:rPr>
        <w:t xml:space="preserve">ակերպի սույն հավելվածի I մասի </w:t>
      </w:r>
      <w:r w:rsidR="00C54D75">
        <w:rPr>
          <w:rFonts w:ascii="Sylfaen" w:hAnsi="Sylfaen"/>
          <w:sz w:val="24"/>
          <w:szCs w:val="24"/>
        </w:rPr>
        <w:t>և</w:t>
      </w:r>
      <w:r w:rsidR="006F76EB" w:rsidRPr="00834D52">
        <w:rPr>
          <w:rFonts w:ascii="Sylfaen" w:hAnsi="Sylfaen"/>
          <w:sz w:val="24"/>
          <w:szCs w:val="24"/>
        </w:rPr>
        <w:t xml:space="preserve"> II մասի 12.2 բաժնի դրույթներին համապատասխան:</w:t>
      </w:r>
    </w:p>
    <w:p w14:paraId="432777D7" w14:textId="77777777" w:rsidR="006F76EB" w:rsidRPr="00834D52" w:rsidRDefault="006F76EB" w:rsidP="00841B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Գրանցման դոսյեի 4-րդ </w:t>
      </w:r>
      <w:r w:rsidR="00C54D75">
        <w:rPr>
          <w:rFonts w:ascii="Sylfaen" w:hAnsi="Sylfaen"/>
          <w:sz w:val="24"/>
          <w:szCs w:val="24"/>
        </w:rPr>
        <w:t>և</w:t>
      </w:r>
      <w:r w:rsidRPr="00834D52">
        <w:rPr>
          <w:rFonts w:ascii="Sylfaen" w:hAnsi="Sylfaen"/>
          <w:sz w:val="24"/>
          <w:szCs w:val="24"/>
        </w:rPr>
        <w:t xml:space="preserve"> 5-րդ մոդուլներում նախակլինիկական </w:t>
      </w:r>
      <w:r w:rsidR="00C54D75">
        <w:rPr>
          <w:rFonts w:ascii="Sylfaen" w:hAnsi="Sylfaen"/>
          <w:sz w:val="24"/>
          <w:szCs w:val="24"/>
        </w:rPr>
        <w:t>և</w:t>
      </w:r>
      <w:r w:rsidRPr="00834D52">
        <w:rPr>
          <w:rFonts w:ascii="Sylfaen" w:hAnsi="Sylfaen"/>
          <w:sz w:val="24"/>
          <w:szCs w:val="24"/>
        </w:rPr>
        <w:t xml:space="preserve"> կլինիկական ուսումնասիրության վերաբերյալ հաշվետվությունների փոխարեն ներկայացվում է գիտական ամփոփիչ մատենագիտություն, որի մեջ անհրաժեշտ է նշել պատվաստանյութի նախակլինիկական </w:t>
      </w:r>
      <w:r w:rsidR="00C54D75">
        <w:rPr>
          <w:rFonts w:ascii="Sylfaen" w:hAnsi="Sylfaen"/>
          <w:sz w:val="24"/>
          <w:szCs w:val="24"/>
        </w:rPr>
        <w:t>և</w:t>
      </w:r>
      <w:r w:rsidRPr="00834D52">
        <w:rPr>
          <w:rFonts w:ascii="Sylfaen" w:hAnsi="Sylfaen"/>
          <w:sz w:val="24"/>
          <w:szCs w:val="24"/>
        </w:rPr>
        <w:t xml:space="preserve"> կլինիկական բնութագրերը:</w:t>
      </w:r>
    </w:p>
    <w:p w14:paraId="5C2D4753" w14:textId="77777777" w:rsidR="006F76EB" w:rsidRPr="00834D52" w:rsidRDefault="006F76EB" w:rsidP="00841B06">
      <w:pPr>
        <w:spacing w:after="160" w:line="384" w:lineRule="auto"/>
        <w:ind w:right="-8"/>
        <w:jc w:val="center"/>
        <w:rPr>
          <w:rFonts w:ascii="Sylfaen" w:hAnsi="Sylfaen"/>
          <w:sz w:val="24"/>
          <w:szCs w:val="24"/>
        </w:rPr>
      </w:pPr>
    </w:p>
    <w:p w14:paraId="50161B49" w14:textId="77777777" w:rsidR="006F76EB" w:rsidRPr="00834D52" w:rsidRDefault="006F76EB" w:rsidP="00DE1FF5">
      <w:pPr>
        <w:spacing w:after="160" w:line="384" w:lineRule="auto"/>
        <w:ind w:left="567" w:right="565"/>
        <w:jc w:val="center"/>
        <w:rPr>
          <w:rFonts w:ascii="Sylfaen" w:eastAsia="Times New Roman" w:hAnsi="Sylfaen" w:cs="Times New Roman"/>
          <w:sz w:val="24"/>
          <w:szCs w:val="24"/>
        </w:rPr>
      </w:pPr>
      <w:r w:rsidRPr="00834D52">
        <w:rPr>
          <w:rFonts w:ascii="Sylfaen" w:hAnsi="Sylfaen"/>
          <w:sz w:val="24"/>
          <w:szCs w:val="24"/>
        </w:rPr>
        <w:t xml:space="preserve">13. Ռադիոդեղագործական </w:t>
      </w:r>
      <w:r w:rsidR="000B6A2F" w:rsidRPr="007F5A60">
        <w:rPr>
          <w:rFonts w:ascii="Sylfaen" w:hAnsi="Sylfaen"/>
          <w:sz w:val="24"/>
          <w:szCs w:val="24"/>
        </w:rPr>
        <w:br/>
      </w:r>
      <w:r w:rsidRPr="00834D52">
        <w:rPr>
          <w:rFonts w:ascii="Sylfaen" w:hAnsi="Sylfaen"/>
          <w:sz w:val="24"/>
          <w:szCs w:val="24"/>
        </w:rPr>
        <w:t xml:space="preserve">պատրաստուկներ </w:t>
      </w:r>
      <w:r w:rsidR="00C54D75">
        <w:rPr>
          <w:rFonts w:ascii="Sylfaen" w:hAnsi="Sylfaen"/>
          <w:sz w:val="24"/>
          <w:szCs w:val="24"/>
        </w:rPr>
        <w:t>և</w:t>
      </w:r>
      <w:r w:rsidRPr="00834D52">
        <w:rPr>
          <w:rFonts w:ascii="Sylfaen" w:hAnsi="Sylfaen"/>
          <w:sz w:val="24"/>
          <w:szCs w:val="24"/>
        </w:rPr>
        <w:t xml:space="preserve"> պրեկուրսորներ</w:t>
      </w:r>
    </w:p>
    <w:p w14:paraId="7B219B14"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պատրաստուկների </w:t>
      </w:r>
      <w:r w:rsidR="00C54D75">
        <w:rPr>
          <w:rFonts w:ascii="Sylfaen" w:hAnsi="Sylfaen"/>
          <w:sz w:val="24"/>
          <w:szCs w:val="24"/>
        </w:rPr>
        <w:t>և</w:t>
      </w:r>
      <w:r w:rsidRPr="00834D52">
        <w:rPr>
          <w:rFonts w:ascii="Sylfaen" w:hAnsi="Sylfaen"/>
          <w:sz w:val="24"/>
          <w:szCs w:val="24"/>
        </w:rPr>
        <w:t xml:space="preserve"> դրանց պրեկուրսորների համար գրանցման դոսյեն ներկայացվում է սույն բաժնի պահանջներին համապատասխան:</w:t>
      </w:r>
    </w:p>
    <w:p w14:paraId="53474D1E" w14:textId="77777777" w:rsidR="006F76EB" w:rsidRPr="00834D52" w:rsidRDefault="006F76EB" w:rsidP="00DE1FF5">
      <w:pPr>
        <w:tabs>
          <w:tab w:val="left" w:pos="1134"/>
        </w:tabs>
        <w:spacing w:after="160" w:line="384" w:lineRule="auto"/>
        <w:ind w:right="565" w:firstLine="567"/>
        <w:jc w:val="both"/>
        <w:rPr>
          <w:rFonts w:ascii="Sylfaen" w:eastAsia="Times New Roman" w:hAnsi="Sylfaen" w:cs="Times New Roman"/>
          <w:sz w:val="24"/>
          <w:szCs w:val="24"/>
        </w:rPr>
      </w:pPr>
      <w:r w:rsidRPr="00834D52">
        <w:rPr>
          <w:rFonts w:ascii="Sylfaen" w:hAnsi="Sylfaen"/>
          <w:sz w:val="24"/>
          <w:szCs w:val="24"/>
        </w:rPr>
        <w:t>13.1.</w:t>
      </w:r>
      <w:r w:rsidR="00213DEA" w:rsidRPr="002978B0">
        <w:rPr>
          <w:rFonts w:ascii="Sylfaen" w:hAnsi="Sylfaen"/>
          <w:sz w:val="24"/>
          <w:szCs w:val="24"/>
        </w:rPr>
        <w:tab/>
      </w:r>
      <w:r w:rsidRPr="00834D52">
        <w:rPr>
          <w:rFonts w:ascii="Sylfaen" w:hAnsi="Sylfaen"/>
          <w:sz w:val="24"/>
          <w:szCs w:val="24"/>
        </w:rPr>
        <w:t>Ռադիոդեղագործական պատրաստուկներ</w:t>
      </w:r>
    </w:p>
    <w:p w14:paraId="716665AA" w14:textId="77777777" w:rsidR="006F76EB" w:rsidRPr="00834D52" w:rsidRDefault="006F76EB" w:rsidP="00DE1FF5">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13.1.1.</w:t>
      </w:r>
      <w:r w:rsidRPr="00834D52">
        <w:rPr>
          <w:rFonts w:ascii="Sylfaen" w:hAnsi="Sylfaen"/>
          <w:sz w:val="24"/>
          <w:szCs w:val="24"/>
        </w:rPr>
        <w:tab/>
        <w:t>Մոդուլ 3.</w:t>
      </w:r>
    </w:p>
    <w:p w14:paraId="00572EEF" w14:textId="77777777" w:rsidR="006F76EB" w:rsidRPr="00834D52" w:rsidRDefault="006F76EB" w:rsidP="00DE1FF5">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հավաքակազմում, որի մեջ արտադրողի կողմից մատակարարումից հետո ավելացվում է ռադիոակտիվ նիշ, «ակտիվ նյութ» նշանակում է ռադիոնուկլիդի փոխանցման կամ կապման համար նախատեսված՝ հավաքակազմի մաս: Ռադիոդեղագործական հավաքակազմի արտադրության մեթոդի նկարագրությունը պետք է ներառի հավաքակազմի արտադրության վերաբերյալ մանրամասն տվյալներ </w:t>
      </w:r>
      <w:r w:rsidR="00C54D75">
        <w:rPr>
          <w:rFonts w:ascii="Sylfaen" w:hAnsi="Sylfaen"/>
          <w:sz w:val="24"/>
          <w:szCs w:val="24"/>
        </w:rPr>
        <w:t>և</w:t>
      </w:r>
      <w:r w:rsidRPr="00834D52">
        <w:rPr>
          <w:rFonts w:ascii="Sylfaen" w:hAnsi="Sylfaen"/>
          <w:sz w:val="24"/>
          <w:szCs w:val="24"/>
        </w:rPr>
        <w:t xml:space="preserve"> ռադիոակտիվ դեղապատրաստուկի արտադրության համար առաջարկվող վերջնական մշակման տվյալներ: Ռադիոնուկլիդի պահանջվող մասնագրերը պետք է նկարագրվեն Եվրասիական տնտեսական միության դեղագրքի ընդհանուր կամ մասնավոր հոդվածներին (մենագրություններին) համապատասխան (հոդվածի (մենագրության) առկայության դեպքում) կամ այդպիսի հոդվածների (մենագրությունների) բացակայության դեպքում` անդամ պետությունների դեղագրքերի կամ Միության անդամ պետությունների դեղագրքերի ներդաշնակեցման հայեցակարգին համապատասխան հիմնական դեղագրքերի հոդվածներին (մենագրություններին) </w:t>
      </w:r>
      <w:r w:rsidRPr="00834D52">
        <w:rPr>
          <w:rFonts w:ascii="Sylfaen" w:hAnsi="Sylfaen"/>
          <w:sz w:val="24"/>
          <w:szCs w:val="24"/>
        </w:rPr>
        <w:lastRenderedPageBreak/>
        <w:t>համապատասխան:</w:t>
      </w:r>
    </w:p>
    <w:p w14:paraId="2BB04A30"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Հարկավոր է նկարագրել բոլոր միացությունները, որոնք անհրաժեշտ են ռադիոակտիվ նիշավորման համար, ինչպես նա</w:t>
      </w:r>
      <w:r w:rsidR="00C54D75">
        <w:rPr>
          <w:rFonts w:ascii="Sylfaen" w:hAnsi="Sylfaen"/>
          <w:sz w:val="24"/>
          <w:szCs w:val="24"/>
        </w:rPr>
        <w:t>և</w:t>
      </w:r>
      <w:r w:rsidRPr="00834D52">
        <w:rPr>
          <w:rFonts w:ascii="Sylfaen" w:hAnsi="Sylfaen"/>
          <w:sz w:val="24"/>
          <w:szCs w:val="24"/>
        </w:rPr>
        <w:t xml:space="preserve"> ռադիոակտիվ նիշով միացությունների կառուցվածքները:</w:t>
      </w:r>
    </w:p>
    <w:p w14:paraId="251AD23B" w14:textId="77777777" w:rsidR="006F76EB" w:rsidRPr="00834D52" w:rsidRDefault="006F76EB" w:rsidP="00DE1FF5">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վերլուծել ռադիոնուկլիդների միջուկային ռեակցիաները:</w:t>
      </w:r>
    </w:p>
    <w:p w14:paraId="10FFEB8A"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Գեներատորի մայր </w:t>
      </w:r>
      <w:r w:rsidR="00C54D75">
        <w:rPr>
          <w:rFonts w:ascii="Sylfaen" w:hAnsi="Sylfaen"/>
          <w:sz w:val="24"/>
          <w:szCs w:val="24"/>
        </w:rPr>
        <w:t>և</w:t>
      </w:r>
      <w:r w:rsidRPr="00834D52">
        <w:rPr>
          <w:rFonts w:ascii="Sylfaen" w:hAnsi="Sylfaen"/>
          <w:sz w:val="24"/>
          <w:szCs w:val="24"/>
        </w:rPr>
        <w:t xml:space="preserve"> դուստր ռադիոնուկլիդները համարվում են ակտիվ նյութեր:</w:t>
      </w:r>
    </w:p>
    <w:p w14:paraId="44FBD94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ռադիոնուկլիդի բնույթի, իզոտոպի իսկության, հնարավոր խառնուկների, կրիչի, կիրառման </w:t>
      </w:r>
      <w:r w:rsidR="00C54D75">
        <w:rPr>
          <w:rFonts w:ascii="Sylfaen" w:hAnsi="Sylfaen"/>
          <w:sz w:val="24"/>
          <w:szCs w:val="24"/>
        </w:rPr>
        <w:t>և</w:t>
      </w:r>
      <w:r w:rsidRPr="00834D52">
        <w:rPr>
          <w:rFonts w:ascii="Sylfaen" w:hAnsi="Sylfaen"/>
          <w:sz w:val="24"/>
          <w:szCs w:val="24"/>
        </w:rPr>
        <w:t xml:space="preserve"> սպեցիֆիկ ակտիվության վերաբերյալ տեղեկություններ:</w:t>
      </w:r>
    </w:p>
    <w:p w14:paraId="0CCAA7C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Ելակետային նյութերը ներառում են ճառագայթման համար նպատակային նյութեր:</w:t>
      </w:r>
    </w:p>
    <w:p w14:paraId="55940963"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դիտարկել քիմիական (ռադիոքիմիական) մաքրությունը </w:t>
      </w:r>
      <w:r w:rsidR="00C54D75">
        <w:rPr>
          <w:rFonts w:ascii="Sylfaen" w:hAnsi="Sylfaen"/>
          <w:sz w:val="24"/>
          <w:szCs w:val="24"/>
        </w:rPr>
        <w:t>և</w:t>
      </w:r>
      <w:r w:rsidRPr="00834D52">
        <w:rPr>
          <w:rFonts w:ascii="Sylfaen" w:hAnsi="Sylfaen"/>
          <w:sz w:val="24"/>
          <w:szCs w:val="24"/>
        </w:rPr>
        <w:t xml:space="preserve"> դրա կապը կենսաբաշխման հետ:</w:t>
      </w:r>
    </w:p>
    <w:p w14:paraId="2B38F15C"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ռադիոնուկլիդային մաքրությունը, ռադիոքիմիական մաքրությունը </w:t>
      </w:r>
      <w:r w:rsidR="00C54D75">
        <w:rPr>
          <w:rFonts w:ascii="Sylfaen" w:hAnsi="Sylfaen"/>
          <w:sz w:val="24"/>
          <w:szCs w:val="24"/>
        </w:rPr>
        <w:t>և</w:t>
      </w:r>
      <w:r w:rsidRPr="00834D52">
        <w:rPr>
          <w:rFonts w:ascii="Sylfaen" w:hAnsi="Sylfaen"/>
          <w:sz w:val="24"/>
          <w:szCs w:val="24"/>
        </w:rPr>
        <w:t xml:space="preserve"> սպեցիֆիկ ակտիվությունը:</w:t>
      </w:r>
    </w:p>
    <w:p w14:paraId="42901A75"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Գեներատորների համար պահանջվում են մայր </w:t>
      </w:r>
      <w:r w:rsidR="00C54D75">
        <w:rPr>
          <w:rFonts w:ascii="Sylfaen" w:hAnsi="Sylfaen"/>
          <w:sz w:val="24"/>
          <w:szCs w:val="24"/>
        </w:rPr>
        <w:t>և</w:t>
      </w:r>
      <w:r w:rsidRPr="00834D52">
        <w:rPr>
          <w:rFonts w:ascii="Sylfaen" w:hAnsi="Sylfaen"/>
          <w:sz w:val="24"/>
          <w:szCs w:val="24"/>
        </w:rPr>
        <w:t xml:space="preserve"> դուստր ռադիոնուկլիդների փորձարկումների մանրամասն տվյալներ: </w:t>
      </w:r>
      <w:r w:rsidRPr="00834D52">
        <w:rPr>
          <w:rFonts w:ascii="Sylfaen" w:hAnsi="Sylfaen"/>
          <w:sz w:val="24"/>
          <w:szCs w:val="24"/>
        </w:rPr>
        <w:br/>
        <w:t xml:space="preserve">Գեներատոր-էլյուատների համար անհրաժեշտ է ներկայացնել մայր ռադիոնուկլիդների </w:t>
      </w:r>
      <w:r w:rsidR="00C54D75">
        <w:rPr>
          <w:rFonts w:ascii="Sylfaen" w:hAnsi="Sylfaen"/>
          <w:sz w:val="24"/>
          <w:szCs w:val="24"/>
        </w:rPr>
        <w:t>և</w:t>
      </w:r>
      <w:r w:rsidRPr="00834D52">
        <w:rPr>
          <w:rFonts w:ascii="Sylfaen" w:hAnsi="Sylfaen"/>
          <w:sz w:val="24"/>
          <w:szCs w:val="24"/>
        </w:rPr>
        <w:t xml:space="preserve"> գեներատորի համակարգի այլ բաղադրիչների փորձարկումների արդյունքները:</w:t>
      </w:r>
    </w:p>
    <w:p w14:paraId="2D53D1A6" w14:textId="350BB9CB"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Ակտիվ նյութերի պարունակությունը պետք է </w:t>
      </w:r>
      <w:r w:rsidR="0085119E">
        <w:rPr>
          <w:rFonts w:ascii="Sylfaen" w:hAnsi="Sylfaen"/>
          <w:sz w:val="24"/>
          <w:szCs w:val="24"/>
        </w:rPr>
        <w:t>արտահայտվ</w:t>
      </w:r>
      <w:r w:rsidRPr="00834D52">
        <w:rPr>
          <w:rFonts w:ascii="Sylfaen" w:hAnsi="Sylfaen"/>
          <w:sz w:val="24"/>
          <w:szCs w:val="24"/>
        </w:rPr>
        <w:t xml:space="preserve">ի մոլեկուլի ակտիվ մասի զանգվածի հիման վրա միայն ռադիոդեղագործական հավաքակազմերի մասով: Ռադիոնուկլիդների համար ռադիոակտիվությունն անհրաժեշտ է </w:t>
      </w:r>
      <w:r w:rsidR="005F6A31">
        <w:rPr>
          <w:rFonts w:ascii="Sylfaen" w:hAnsi="Sylfaen"/>
          <w:sz w:val="24"/>
          <w:szCs w:val="24"/>
        </w:rPr>
        <w:t>արտահայտե</w:t>
      </w:r>
      <w:r w:rsidRPr="00834D52">
        <w:rPr>
          <w:rFonts w:ascii="Sylfaen" w:hAnsi="Sylfaen"/>
          <w:sz w:val="24"/>
          <w:szCs w:val="24"/>
        </w:rPr>
        <w:t xml:space="preserve">լ բեքերելով` նշելով ամսաթիվը </w:t>
      </w:r>
      <w:r w:rsidR="00C54D75">
        <w:rPr>
          <w:rFonts w:ascii="Sylfaen" w:hAnsi="Sylfaen"/>
          <w:sz w:val="24"/>
          <w:szCs w:val="24"/>
        </w:rPr>
        <w:t>և</w:t>
      </w:r>
      <w:r w:rsidRPr="00834D52">
        <w:rPr>
          <w:rFonts w:ascii="Sylfaen" w:hAnsi="Sylfaen"/>
          <w:sz w:val="24"/>
          <w:szCs w:val="24"/>
        </w:rPr>
        <w:t xml:space="preserve"> անհրաժեշտության </w:t>
      </w:r>
      <w:r w:rsidRPr="00834D52">
        <w:rPr>
          <w:rFonts w:ascii="Sylfaen" w:hAnsi="Sylfaen"/>
          <w:sz w:val="24"/>
          <w:szCs w:val="24"/>
        </w:rPr>
        <w:lastRenderedPageBreak/>
        <w:t xml:space="preserve">դեպքում՝ ժամանակը </w:t>
      </w:r>
      <w:r w:rsidR="00C54D75">
        <w:rPr>
          <w:rFonts w:ascii="Sylfaen" w:hAnsi="Sylfaen"/>
          <w:sz w:val="24"/>
          <w:szCs w:val="24"/>
        </w:rPr>
        <w:t>և</w:t>
      </w:r>
      <w:r w:rsidRPr="00834D52">
        <w:rPr>
          <w:rFonts w:ascii="Sylfaen" w:hAnsi="Sylfaen"/>
          <w:sz w:val="24"/>
          <w:szCs w:val="24"/>
        </w:rPr>
        <w:t xml:space="preserve"> ժամային գոտին: Անհրաժեշտ է նշել ռադիոակտիվության տիպը:</w:t>
      </w:r>
    </w:p>
    <w:p w14:paraId="039E8A4D" w14:textId="77777777" w:rsidR="006F76EB" w:rsidRPr="00834D52" w:rsidRDefault="006F76EB" w:rsidP="00DE1FF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Ռադիոդեղագործական հավաքակազմ հանդիսացող դեղապատրաստուկի մասնագրերը պետք է ներառեն ռադիոակտիվ նիշավորումից հետո պատրաստուկի հատկությունների փորձարկումների արդյունքները: Անհրաժեշտ է ներառել ռադիոակտիվ նիշով միացության ռադիոքիմիական </w:t>
      </w:r>
      <w:r w:rsidR="00C54D75">
        <w:rPr>
          <w:rFonts w:ascii="Sylfaen" w:hAnsi="Sylfaen"/>
          <w:sz w:val="24"/>
          <w:szCs w:val="24"/>
        </w:rPr>
        <w:t>և</w:t>
      </w:r>
      <w:r w:rsidRPr="00834D52">
        <w:rPr>
          <w:rFonts w:ascii="Sylfaen" w:hAnsi="Sylfaen"/>
          <w:sz w:val="24"/>
          <w:szCs w:val="24"/>
        </w:rPr>
        <w:t xml:space="preserve"> ռադիոնուկլիդային մաքրության համապատասխան հսկողությունը: Ռադիոակտիվ նիշավորման համար անհրաժեշտ ցանկացած նյութ ենթակա է իսկության սահմանման </w:t>
      </w:r>
      <w:r w:rsidR="00C54D75">
        <w:rPr>
          <w:rFonts w:ascii="Sylfaen" w:hAnsi="Sylfaen"/>
          <w:sz w:val="24"/>
          <w:szCs w:val="24"/>
        </w:rPr>
        <w:t>և</w:t>
      </w:r>
      <w:r w:rsidRPr="00834D52">
        <w:rPr>
          <w:rFonts w:ascii="Sylfaen" w:hAnsi="Sylfaen"/>
          <w:sz w:val="24"/>
          <w:szCs w:val="24"/>
        </w:rPr>
        <w:t xml:space="preserve"> քանակական որոշման:</w:t>
      </w:r>
    </w:p>
    <w:p w14:paraId="742C59E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Իզոտոպային գեներատորների, իզոտոպային հավաքակազմերի </w:t>
      </w:r>
      <w:r w:rsidR="00C54D75">
        <w:rPr>
          <w:rFonts w:ascii="Sylfaen" w:hAnsi="Sylfaen"/>
          <w:sz w:val="24"/>
          <w:szCs w:val="24"/>
        </w:rPr>
        <w:t>և</w:t>
      </w:r>
      <w:r w:rsidRPr="00834D52">
        <w:rPr>
          <w:rFonts w:ascii="Sylfaen" w:hAnsi="Sylfaen"/>
          <w:sz w:val="24"/>
          <w:szCs w:val="24"/>
        </w:rPr>
        <w:t xml:space="preserve"> ռադիոակտիվ նիշով դեղապատրաստուկների համար անհրաժեշտ է ներկայացնել կայունության մասին տեղեկատվություն: Բազմակի օգտագործման համար կոնտեյներներում ռադիոդեղագործական դեղապատրաստուկների օգտագործման դեպքում անհրաժեշտ է նշել կայունությունը:</w:t>
      </w:r>
    </w:p>
    <w:p w14:paraId="6481DA04"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13.1.2.</w:t>
      </w:r>
      <w:r w:rsidRPr="00834D52">
        <w:rPr>
          <w:rFonts w:ascii="Sylfaen" w:hAnsi="Sylfaen"/>
          <w:sz w:val="24"/>
          <w:szCs w:val="24"/>
        </w:rPr>
        <w:tab/>
        <w:t>Մոդուլ 4.</w:t>
      </w:r>
    </w:p>
    <w:p w14:paraId="6495C941"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Թունավորությունը կարող է կապված լինել ճառագայթման դոզայի հետ: Ախտորոշաբանության մեջ թունավորությունը ռադիոդեղագործական դեղապատրաստուկների կիրառման անցանկալի հետ</w:t>
      </w:r>
      <w:r w:rsidR="00C54D75">
        <w:rPr>
          <w:rFonts w:ascii="Sylfaen" w:hAnsi="Sylfaen"/>
          <w:sz w:val="24"/>
          <w:szCs w:val="24"/>
        </w:rPr>
        <w:t>և</w:t>
      </w:r>
      <w:r w:rsidRPr="00834D52">
        <w:rPr>
          <w:rFonts w:ascii="Sylfaen" w:hAnsi="Sylfaen"/>
          <w:sz w:val="24"/>
          <w:szCs w:val="24"/>
        </w:rPr>
        <w:t>անք է. թերապիայում այն ցանկալի հատկություն է, հետ</w:t>
      </w:r>
      <w:r w:rsidR="00C54D75">
        <w:rPr>
          <w:rFonts w:ascii="Sylfaen" w:hAnsi="Sylfaen"/>
          <w:sz w:val="24"/>
          <w:szCs w:val="24"/>
        </w:rPr>
        <w:t>և</w:t>
      </w:r>
      <w:r w:rsidRPr="00834D52">
        <w:rPr>
          <w:rFonts w:ascii="Sylfaen" w:hAnsi="Sylfaen"/>
          <w:sz w:val="24"/>
          <w:szCs w:val="24"/>
        </w:rPr>
        <w:t xml:space="preserve">աբար ռադիոդեղագործական պատրաստուկների անվտանգությունը </w:t>
      </w:r>
      <w:r w:rsidR="00C54D75">
        <w:rPr>
          <w:rFonts w:ascii="Sylfaen" w:hAnsi="Sylfaen"/>
          <w:sz w:val="24"/>
          <w:szCs w:val="24"/>
        </w:rPr>
        <w:t>և</w:t>
      </w:r>
      <w:r w:rsidRPr="00834D52">
        <w:rPr>
          <w:rFonts w:ascii="Sylfaen" w:hAnsi="Sylfaen"/>
          <w:sz w:val="24"/>
          <w:szCs w:val="24"/>
        </w:rPr>
        <w:t xml:space="preserve"> արդյունավետությունը գնահատելիս անհրաժեշտ է նշել դեղապատրաստուկներին ներկայացվող պահանջները </w:t>
      </w:r>
      <w:r w:rsidR="00C54D75">
        <w:rPr>
          <w:rFonts w:ascii="Sylfaen" w:hAnsi="Sylfaen"/>
          <w:sz w:val="24"/>
          <w:szCs w:val="24"/>
        </w:rPr>
        <w:t>և</w:t>
      </w:r>
      <w:r w:rsidRPr="00834D52">
        <w:rPr>
          <w:rFonts w:ascii="Sylfaen" w:hAnsi="Sylfaen"/>
          <w:sz w:val="24"/>
          <w:szCs w:val="24"/>
        </w:rPr>
        <w:t xml:space="preserve"> ճառագայթային դոզաչափման ասպեկտները: Անհրաժեշտ է փաստաթղթավորել ճառագայթման ազդեցությունը մարդու օրգանի (հյուսվածքի) վրա: Ճառագայթման կլանված դոզայի ցուցանիշն անհրաժեշտ է հաշվարկել՝ ներմուծման որոշակի եղանակի դեպքում նշելով օգտագործված միջազգայնորեն ճանաչված չափման միավորների համակարգը:</w:t>
      </w:r>
    </w:p>
    <w:p w14:paraId="6156C1D7"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13.1.3.</w:t>
      </w:r>
      <w:r w:rsidRPr="00834D52">
        <w:rPr>
          <w:rFonts w:ascii="Sylfaen" w:hAnsi="Sylfaen"/>
          <w:sz w:val="24"/>
          <w:szCs w:val="24"/>
        </w:rPr>
        <w:tab/>
        <w:t>Մոդուլ 5.</w:t>
      </w:r>
    </w:p>
    <w:p w14:paraId="58573F47"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Անհրաժեշտության դեպքում ներկայացվում են կլինիկական փորձարկումների արդյունքները: Կլինիկական փորձարկումների արդյունքների բացակայությունը հիմնավորվում է կլինիկական տեղեկագրերի մեջ (գրանցման դոսյեի 2-րդ մոդուլ):</w:t>
      </w:r>
    </w:p>
    <w:p w14:paraId="26236F65" w14:textId="77777777" w:rsidR="006F76EB" w:rsidRPr="00834D52" w:rsidRDefault="006F76EB" w:rsidP="00DE1FF5">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w:t>
      </w:r>
      <w:r w:rsidRPr="00834D52">
        <w:rPr>
          <w:rFonts w:ascii="Sylfaen" w:hAnsi="Sylfaen"/>
          <w:sz w:val="24"/>
          <w:szCs w:val="24"/>
        </w:rPr>
        <w:tab/>
        <w:t>Ռադիոակտիվ նիշավորման համար օգտագործվող ռադիոդեղագործական պրեկուրսորներ.</w:t>
      </w:r>
    </w:p>
    <w:p w14:paraId="38753F0C"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Միայն ռադիոակտիվ նիշավորման համար նախատեսված ռադիոդեղագործական պրեկուրսորի դեպքում նախ </w:t>
      </w:r>
      <w:r w:rsidR="00C54D75">
        <w:rPr>
          <w:rFonts w:ascii="Sylfaen" w:hAnsi="Sylfaen"/>
          <w:sz w:val="24"/>
          <w:szCs w:val="24"/>
        </w:rPr>
        <w:t>և</w:t>
      </w:r>
      <w:r w:rsidRPr="00834D52">
        <w:rPr>
          <w:rFonts w:ascii="Sylfaen" w:hAnsi="Sylfaen"/>
          <w:sz w:val="24"/>
          <w:szCs w:val="24"/>
        </w:rPr>
        <w:t xml:space="preserve"> առաջ անհրաժեշտ է ներկայացնել տեղեկատվություն՝ ռադիոակտիվ նիշավորման անբավարար արդյունավետության հնարավոր հետ</w:t>
      </w:r>
      <w:r w:rsidR="00C54D75">
        <w:rPr>
          <w:rFonts w:ascii="Sylfaen" w:hAnsi="Sylfaen"/>
          <w:sz w:val="24"/>
          <w:szCs w:val="24"/>
        </w:rPr>
        <w:t>և</w:t>
      </w:r>
      <w:r w:rsidRPr="00834D52">
        <w:rPr>
          <w:rFonts w:ascii="Sylfaen" w:hAnsi="Sylfaen"/>
          <w:sz w:val="24"/>
          <w:szCs w:val="24"/>
        </w:rPr>
        <w:t>անքների կամ ռադիոակտիվ նիշով կոնյուգատի in vivo դիսոցման մասին, այսինքն՝ այնպիսի հարցերի, որոնք կապված են պացիենտների մոտ ազատ ռադիոնուկլիդի ազդեցության հետ:</w:t>
      </w:r>
      <w:r w:rsidRPr="00834D52">
        <w:rPr>
          <w:rFonts w:ascii="Sylfaen" w:hAnsi="Sylfaen"/>
          <w:sz w:val="24"/>
          <w:szCs w:val="24"/>
        </w:rPr>
        <w:br/>
        <w:t>Դրա հետ մեկտեղ անհրաժեշտ է նա</w:t>
      </w:r>
      <w:r w:rsidR="00C54D75">
        <w:rPr>
          <w:rFonts w:ascii="Sylfaen" w:hAnsi="Sylfaen"/>
          <w:sz w:val="24"/>
          <w:szCs w:val="24"/>
        </w:rPr>
        <w:t>և</w:t>
      </w:r>
      <w:r w:rsidRPr="00834D52">
        <w:rPr>
          <w:rFonts w:ascii="Sylfaen" w:hAnsi="Sylfaen"/>
          <w:sz w:val="24"/>
          <w:szCs w:val="24"/>
        </w:rPr>
        <w:t xml:space="preserve"> ներկայացնել ռիսկի գործոնների մասին համապատասխան տեղեկատվություն, այսինքն՝ հիվանդանոցի անձնակազմի </w:t>
      </w:r>
      <w:r w:rsidR="00C54D75">
        <w:rPr>
          <w:rFonts w:ascii="Sylfaen" w:hAnsi="Sylfaen"/>
          <w:sz w:val="24"/>
          <w:szCs w:val="24"/>
        </w:rPr>
        <w:t>և</w:t>
      </w:r>
      <w:r w:rsidRPr="00834D52">
        <w:rPr>
          <w:rFonts w:ascii="Sylfaen" w:hAnsi="Sylfaen"/>
          <w:sz w:val="24"/>
          <w:szCs w:val="24"/>
        </w:rPr>
        <w:t xml:space="preserve"> շրջակա միջավայրի վրա ռադիոակտիվ ազդեցության մասին տեղեկատվություն:</w:t>
      </w:r>
    </w:p>
    <w:p w14:paraId="05008289"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Մասնավորապես, անհրաժեշտ է ներկայացնել հետ</w:t>
      </w:r>
      <w:r w:rsidR="00C54D75">
        <w:rPr>
          <w:rFonts w:ascii="Sylfaen" w:hAnsi="Sylfaen"/>
          <w:sz w:val="24"/>
          <w:szCs w:val="24"/>
        </w:rPr>
        <w:t>և</w:t>
      </w:r>
      <w:r w:rsidRPr="00834D52">
        <w:rPr>
          <w:rFonts w:ascii="Sylfaen" w:hAnsi="Sylfaen"/>
          <w:sz w:val="24"/>
          <w:szCs w:val="24"/>
        </w:rPr>
        <w:t>յալ տեղեկատվությունը.</w:t>
      </w:r>
    </w:p>
    <w:p w14:paraId="7F9C66B5" w14:textId="77777777" w:rsidR="006F76EB" w:rsidRPr="00834D52" w:rsidRDefault="006F76EB" w:rsidP="00F550B6">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13.2.1.</w:t>
      </w:r>
      <w:r w:rsidRPr="00834D52">
        <w:rPr>
          <w:rFonts w:ascii="Sylfaen" w:hAnsi="Sylfaen"/>
          <w:sz w:val="24"/>
          <w:szCs w:val="24"/>
        </w:rPr>
        <w:tab/>
        <w:t>Մոդուլ 3.</w:t>
      </w:r>
    </w:p>
    <w:p w14:paraId="2E1D1CA6" w14:textId="77777777" w:rsidR="006F76EB" w:rsidRPr="00834D52" w:rsidRDefault="006F76EB" w:rsidP="00F550B6">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I մասի 3-րդ բաժնում նշված՝ գրանցման դոսյեի 3-րդ մոդուլի բովանդակությանը ներկայացվող պահանջները պետք է կիրառվեն ռադիոդեղագործական պրեկուրսորների գրանցման ժամանակ՝ անհրաժեշտության դեպքում «ա» </w:t>
      </w:r>
      <w:r w:rsidR="00C54D75">
        <w:rPr>
          <w:rFonts w:ascii="Sylfaen" w:hAnsi="Sylfaen"/>
          <w:sz w:val="24"/>
          <w:szCs w:val="24"/>
        </w:rPr>
        <w:t>և</w:t>
      </w:r>
      <w:r w:rsidRPr="00834D52">
        <w:rPr>
          <w:rFonts w:ascii="Sylfaen" w:hAnsi="Sylfaen"/>
          <w:sz w:val="24"/>
          <w:szCs w:val="24"/>
        </w:rPr>
        <w:t xml:space="preserve"> «թ» ենթակետերի մասով:</w:t>
      </w:r>
    </w:p>
    <w:p w14:paraId="2DE0DF8D" w14:textId="77777777" w:rsidR="006F76EB" w:rsidRPr="00834D52" w:rsidRDefault="006F76EB" w:rsidP="00263847">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13.2.2.</w:t>
      </w:r>
      <w:r w:rsidRPr="00834D52">
        <w:rPr>
          <w:rFonts w:ascii="Sylfaen" w:hAnsi="Sylfaen"/>
          <w:sz w:val="24"/>
          <w:szCs w:val="24"/>
        </w:rPr>
        <w:tab/>
        <w:t>Մոդուլ 4.</w:t>
      </w:r>
    </w:p>
    <w:p w14:paraId="26ECF67F" w14:textId="77777777" w:rsidR="006F76EB" w:rsidRPr="00834D52" w:rsidRDefault="006F76EB" w:rsidP="00263847">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w:t>
      </w:r>
      <w:r w:rsidR="00C54D75">
        <w:rPr>
          <w:rFonts w:ascii="Sylfaen" w:hAnsi="Sylfaen"/>
          <w:sz w:val="24"/>
          <w:szCs w:val="24"/>
        </w:rPr>
        <w:t>և</w:t>
      </w:r>
      <w:r w:rsidRPr="00834D52">
        <w:rPr>
          <w:rFonts w:ascii="Sylfaen" w:hAnsi="Sylfaen"/>
          <w:sz w:val="24"/>
          <w:szCs w:val="24"/>
        </w:rPr>
        <w:t xml:space="preserve"> բազմակի ներմուծման դեպքում անհրաժեշտ է ներկայացնել Հանձնաժողովի կողմից հաստատվող՝ պատշաճ լաբորատոր գործունեության կանոններին համապատասխան անցկացված նախակլինիկական հետազոտությունների՝ թունավորության վերաբերյալ արդյունքները: Ռադիոնուկլիդների մուտագենության հետազոտությունները նշված դեպքում չեն </w:t>
      </w:r>
      <w:r w:rsidRPr="00834D52">
        <w:rPr>
          <w:rFonts w:ascii="Sylfaen" w:hAnsi="Sylfaen"/>
          <w:sz w:val="24"/>
          <w:szCs w:val="24"/>
        </w:rPr>
        <w:lastRenderedPageBreak/>
        <w:t>համարվում կիրառելի:</w:t>
      </w:r>
    </w:p>
    <w:p w14:paraId="6BB92A8B"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քիմիական թունավորության </w:t>
      </w:r>
      <w:r w:rsidR="00C54D75">
        <w:rPr>
          <w:rFonts w:ascii="Sylfaen" w:hAnsi="Sylfaen"/>
          <w:sz w:val="24"/>
          <w:szCs w:val="24"/>
        </w:rPr>
        <w:t>և</w:t>
      </w:r>
      <w:r w:rsidRPr="00834D52">
        <w:rPr>
          <w:rFonts w:ascii="Sylfaen" w:hAnsi="Sylfaen"/>
          <w:sz w:val="24"/>
          <w:szCs w:val="24"/>
        </w:rPr>
        <w:t xml:space="preserve"> «սառը» (ռադիոակտիվ նյութեր չպարունակող) նուկլիդի մասին տեղեկատվություն:</w:t>
      </w:r>
    </w:p>
    <w:p w14:paraId="39A2107B" w14:textId="77777777" w:rsidR="006F76EB" w:rsidRPr="00834D52" w:rsidRDefault="006F76EB" w:rsidP="00263847">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13.2.3.</w:t>
      </w:r>
      <w:r w:rsidRPr="00834D52">
        <w:rPr>
          <w:rFonts w:ascii="Sylfaen" w:hAnsi="Sylfaen"/>
          <w:sz w:val="24"/>
          <w:szCs w:val="24"/>
        </w:rPr>
        <w:tab/>
        <w:t>Մոդուլ 5.</w:t>
      </w:r>
    </w:p>
    <w:p w14:paraId="195F0D70"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Ինքնին պրեկուրսորի օգտագործմամբ կլինիկական հետազոտությունների ընթացքում ստացված կլինիկական տեղեկատվությունը բացառապես ռադիոակտիվ նիշավորման համար նախատեսված ռադիոդեղագործական պրեկուրսորի դեպքում չի համարվում նշանակալի:</w:t>
      </w:r>
    </w:p>
    <w:p w14:paraId="6E93317D" w14:textId="77777777" w:rsidR="006F76EB" w:rsidRPr="00834D52" w:rsidRDefault="006F76EB" w:rsidP="00263847">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ներկայացնել համապատասխան կրիչի մոլեկուլների հետ միանալիս ռադիոդեղագործական պրեկուրսորի կլինիկական արդյունավետությունը հաստատող տեղեկատվություն:</w:t>
      </w:r>
    </w:p>
    <w:p w14:paraId="1FDE8445" w14:textId="77777777" w:rsidR="006F76EB" w:rsidRPr="00834D52" w:rsidRDefault="006F76EB" w:rsidP="00F550B6">
      <w:pPr>
        <w:spacing w:after="160" w:line="350" w:lineRule="auto"/>
        <w:ind w:right="-6"/>
        <w:jc w:val="center"/>
        <w:rPr>
          <w:rFonts w:ascii="Sylfaen" w:hAnsi="Sylfaen"/>
          <w:sz w:val="24"/>
          <w:szCs w:val="24"/>
        </w:rPr>
      </w:pPr>
    </w:p>
    <w:p w14:paraId="36850849" w14:textId="77777777" w:rsidR="006F76EB" w:rsidRPr="00834D52" w:rsidRDefault="006F76EB" w:rsidP="003C049F">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14. Հոմեոպաթիկ դեղապատրաստուկներ</w:t>
      </w:r>
    </w:p>
    <w:p w14:paraId="289B9B5B"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14.1.</w:t>
      </w:r>
      <w:r w:rsidRPr="00834D52">
        <w:rPr>
          <w:rFonts w:ascii="Sylfaen" w:hAnsi="Sylfaen"/>
          <w:sz w:val="24"/>
          <w:szCs w:val="24"/>
        </w:rPr>
        <w:tab/>
        <w:t>Մոդուլ 3.</w:t>
      </w:r>
    </w:p>
    <w:p w14:paraId="74A3CCCB"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Եզրույթները.</w:t>
      </w:r>
    </w:p>
    <w:p w14:paraId="4AF486AD"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դոսյեում նկարագրված հոմեոպաթիկ դեղագործական բաղադրամասի լատիներեն գիտական անվանումը պետք է համապատասխանի Եվրասիական տնտեսական միության դեղագրքի մենագրության (առկայության դեպքում) կամ Միության անդամ պետությունների հոմեոպաթիկ դեղագրքի կամ Գերմանիայի հոմեոպաթիկ դեղագրքի, Ֆրանսիայի դեղագրքի </w:t>
      </w:r>
      <w:r w:rsidR="00C54D75">
        <w:rPr>
          <w:rFonts w:ascii="Sylfaen" w:hAnsi="Sylfaen"/>
          <w:sz w:val="24"/>
          <w:szCs w:val="24"/>
        </w:rPr>
        <w:t>և</w:t>
      </w:r>
      <w:r w:rsidRPr="00834D52">
        <w:rPr>
          <w:rFonts w:ascii="Sylfaen" w:hAnsi="Sylfaen"/>
          <w:sz w:val="24"/>
          <w:szCs w:val="24"/>
        </w:rPr>
        <w:t xml:space="preserve"> Եվրոպական դեղագրքի լատիներեն անվանմանը:</w:t>
      </w:r>
    </w:p>
    <w:p w14:paraId="21DF69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Ելակետային նյութերի հսկողությունը.</w:t>
      </w:r>
    </w:p>
    <w:p w14:paraId="12D76945"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դոսյեի նյութերում պետք է ներկայացված լինեն փաստաթղթեր, որոնք հաստատում են պատրաստուկների բոլոր բաղադրիչների՝ ներառյալ հոմեոպաթիկ դեղագործական բաղադրամասը </w:t>
      </w:r>
      <w:r w:rsidR="00C54D75">
        <w:rPr>
          <w:rFonts w:ascii="Sylfaen" w:hAnsi="Sylfaen"/>
          <w:sz w:val="24"/>
          <w:szCs w:val="24"/>
        </w:rPr>
        <w:t>և</w:t>
      </w:r>
      <w:r w:rsidRPr="00834D52">
        <w:rPr>
          <w:rFonts w:ascii="Sylfaen" w:hAnsi="Sylfaen"/>
          <w:sz w:val="24"/>
          <w:szCs w:val="24"/>
        </w:rPr>
        <w:t xml:space="preserve"> օժանդակ նյութերը, որակի համապատասխանությունը «Բաղադրությունը» բաժնում ներկայացված՝ </w:t>
      </w:r>
      <w:r w:rsidRPr="00834D52">
        <w:rPr>
          <w:rFonts w:ascii="Sylfaen" w:hAnsi="Sylfaen"/>
          <w:sz w:val="24"/>
          <w:szCs w:val="24"/>
        </w:rPr>
        <w:lastRenderedPageBreak/>
        <w:t>մենագրություններին կամ նորմատիվ փաստաթղթերին արված հղումների պահանջներին: Հոմեոպաթիկ դեղագործական բաղադրամասի համար դրանք Եվրասիական տնտեսական միության դեղագրքի (առկայության դեպքում) կամ անդամ պետությունների մենագրություններն են կամ Գերմանիայի հոմեոպաթիկ դեղագրքի մենագրությունները կամ Ֆրանսիայի</w:t>
      </w:r>
      <w:r w:rsidR="00E90FAF" w:rsidRPr="00E90FAF">
        <w:rPr>
          <w:rFonts w:ascii="Sylfaen" w:hAnsi="Sylfaen"/>
          <w:sz w:val="24"/>
          <w:szCs w:val="24"/>
        </w:rPr>
        <w:t xml:space="preserve"> </w:t>
      </w:r>
      <w:r w:rsidR="00B55C20">
        <w:rPr>
          <w:rFonts w:ascii="Sylfaen" w:hAnsi="Sylfaen"/>
          <w:sz w:val="24"/>
          <w:szCs w:val="24"/>
        </w:rPr>
        <w:t>դեղագրքի</w:t>
      </w:r>
      <w:r w:rsidRPr="00834D52">
        <w:rPr>
          <w:rFonts w:ascii="Sylfaen" w:hAnsi="Sylfaen"/>
          <w:sz w:val="24"/>
          <w:szCs w:val="24"/>
        </w:rPr>
        <w:t xml:space="preserve"> կամ եվրոպական դեղագրքի մենագրությունները. օժանդակ բաղադրիչների համար՝ նորմատիվ փաստաթղթերը կամ նշված դեղագրքերի մենագրությունները:</w:t>
      </w:r>
    </w:p>
    <w:p w14:paraId="6CEE3BAE" w14:textId="77777777" w:rsidR="006F76EB" w:rsidRPr="00834D52" w:rsidRDefault="006F76EB" w:rsidP="003C049F">
      <w:pPr>
        <w:spacing w:after="160" w:line="37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Որակի հիմնական պահանջները պետք է կիրառվեն ոչ միայն բոլոր ելակետային նյութերի </w:t>
      </w:r>
      <w:r w:rsidR="00C54D75">
        <w:rPr>
          <w:rFonts w:ascii="Sylfaen" w:hAnsi="Sylfaen"/>
          <w:sz w:val="24"/>
          <w:szCs w:val="24"/>
        </w:rPr>
        <w:t>և</w:t>
      </w:r>
      <w:r w:rsidRPr="00834D52">
        <w:rPr>
          <w:rFonts w:ascii="Sylfaen" w:hAnsi="Sylfaen"/>
          <w:sz w:val="24"/>
          <w:szCs w:val="24"/>
        </w:rPr>
        <w:t xml:space="preserve"> հումքի, այլ նա</w:t>
      </w:r>
      <w:r w:rsidR="00C54D75">
        <w:rPr>
          <w:rFonts w:ascii="Sylfaen" w:hAnsi="Sylfaen"/>
          <w:sz w:val="24"/>
          <w:szCs w:val="24"/>
        </w:rPr>
        <w:t>և</w:t>
      </w:r>
      <w:r w:rsidRPr="00834D52">
        <w:rPr>
          <w:rFonts w:ascii="Sylfaen" w:hAnsi="Sylfaen"/>
          <w:sz w:val="24"/>
          <w:szCs w:val="24"/>
        </w:rPr>
        <w:t xml:space="preserve"> միջանկյալ արգասիքների (սուբստանցիայի նոսրացումների) նկատմամբ մինչ</w:t>
      </w:r>
      <w:r w:rsidR="00C54D75">
        <w:rPr>
          <w:rFonts w:ascii="Sylfaen" w:hAnsi="Sylfaen"/>
          <w:sz w:val="24"/>
          <w:szCs w:val="24"/>
        </w:rPr>
        <w:t>և</w:t>
      </w:r>
      <w:r w:rsidRPr="00834D52">
        <w:rPr>
          <w:rFonts w:ascii="Sylfaen" w:hAnsi="Sylfaen"/>
          <w:sz w:val="24"/>
          <w:szCs w:val="24"/>
        </w:rPr>
        <w:t xml:space="preserve"> վերջին նոսրացումը, որը ներմուծվում է դեղապատրաստուկ: Ուժեղ ազդեցություն ունեցող կամ թունավոր ազդեցություն ունեցող նյութ պարունակող հոմեոպաթիկ դեղագործական բաղադրամասերի օգտագործման դեպքում այդպիսի ազդող նյութի պարունակությունը պետք է որոշվի հարմար մեթոդով </w:t>
      </w:r>
      <w:r w:rsidR="00C54D75">
        <w:rPr>
          <w:rFonts w:ascii="Sylfaen" w:hAnsi="Sylfaen"/>
          <w:sz w:val="24"/>
          <w:szCs w:val="24"/>
        </w:rPr>
        <w:t>և</w:t>
      </w:r>
      <w:r w:rsidRPr="00834D52">
        <w:rPr>
          <w:rFonts w:ascii="Sylfaen" w:hAnsi="Sylfaen"/>
          <w:sz w:val="24"/>
          <w:szCs w:val="24"/>
        </w:rPr>
        <w:t xml:space="preserve"> համապատասխան ձ</w:t>
      </w:r>
      <w:r w:rsidR="00C54D75">
        <w:rPr>
          <w:rFonts w:ascii="Sylfaen" w:hAnsi="Sylfaen"/>
          <w:sz w:val="24"/>
          <w:szCs w:val="24"/>
        </w:rPr>
        <w:t>և</w:t>
      </w:r>
      <w:r w:rsidRPr="00834D52">
        <w:rPr>
          <w:rFonts w:ascii="Sylfaen" w:hAnsi="Sylfaen"/>
          <w:sz w:val="24"/>
          <w:szCs w:val="24"/>
        </w:rPr>
        <w:t xml:space="preserve">ով կարգավորվի (օրինակ՝ այդպիսի ազդող նյութի պարունակության երկկողմանի նորմավորմամբ կամ չորրորդ տասնորդական նոսրացման փորձարկմամբ): Որպես կանոն, տասնորդական սանդղակի D4-ից բարձր նոսրացումը </w:t>
      </w:r>
      <w:r w:rsidR="00C54D75">
        <w:rPr>
          <w:rFonts w:ascii="Sylfaen" w:hAnsi="Sylfaen"/>
          <w:sz w:val="24"/>
          <w:szCs w:val="24"/>
        </w:rPr>
        <w:t>և</w:t>
      </w:r>
      <w:r w:rsidRPr="00834D52">
        <w:rPr>
          <w:rFonts w:ascii="Sylfaen" w:hAnsi="Sylfaen"/>
          <w:sz w:val="24"/>
          <w:szCs w:val="24"/>
        </w:rPr>
        <w:t xml:space="preserve"> հարյուրերորդական սանդղակով նոսրացումները թույլ չեն տալիս անցկացնել այդպիսի գնահատում:</w:t>
      </w:r>
    </w:p>
    <w:p w14:paraId="0A746439"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հոմեոպաթիկ դեղագործական բաղադրամասի նոսրացում, դրանք ստանում են Եվրասիական տնտեսական միության դեղագրքի համապատասխան մենագրության (առկայության դեպքում) կամ անդամ պետությունների դեղագրքի մենագրության կամ Գերմանիայի հոմեոպաթիկ դեղագրքի մենագրության, Ֆրանսիայի </w:t>
      </w:r>
      <w:r w:rsidR="009A01E5">
        <w:rPr>
          <w:rFonts w:ascii="Sylfaen" w:hAnsi="Sylfaen"/>
          <w:sz w:val="24"/>
          <w:szCs w:val="24"/>
        </w:rPr>
        <w:t xml:space="preserve">դեղագրքի </w:t>
      </w:r>
      <w:r w:rsidRPr="00834D52">
        <w:rPr>
          <w:rFonts w:ascii="Sylfaen" w:hAnsi="Sylfaen"/>
          <w:sz w:val="24"/>
          <w:szCs w:val="24"/>
        </w:rPr>
        <w:t xml:space="preserve">կամ եվրոպական դեղագրքի </w:t>
      </w:r>
      <w:r w:rsidR="009A01E5" w:rsidRPr="00834D52">
        <w:rPr>
          <w:rFonts w:ascii="Sylfaen" w:hAnsi="Sylfaen"/>
          <w:sz w:val="24"/>
          <w:szCs w:val="24"/>
        </w:rPr>
        <w:t xml:space="preserve">մենագրության </w:t>
      </w:r>
      <w:r w:rsidRPr="00834D52">
        <w:rPr>
          <w:rFonts w:ascii="Sylfaen" w:hAnsi="Sylfaen"/>
          <w:sz w:val="24"/>
          <w:szCs w:val="24"/>
        </w:rPr>
        <w:t xml:space="preserve">մեջ նկարագրված մեթոդներին </w:t>
      </w:r>
      <w:r w:rsidR="00C54D75">
        <w:rPr>
          <w:rFonts w:ascii="Sylfaen" w:hAnsi="Sylfaen"/>
          <w:sz w:val="24"/>
          <w:szCs w:val="24"/>
        </w:rPr>
        <w:t>և</w:t>
      </w:r>
      <w:r w:rsidRPr="00834D52">
        <w:rPr>
          <w:rFonts w:ascii="Sylfaen" w:hAnsi="Sylfaen"/>
          <w:sz w:val="24"/>
          <w:szCs w:val="24"/>
        </w:rPr>
        <w:t xml:space="preserve"> եղանակներին համապատասխան </w:t>
      </w:r>
      <w:r w:rsidR="00C54D75">
        <w:rPr>
          <w:rFonts w:ascii="Sylfaen" w:hAnsi="Sylfaen"/>
          <w:sz w:val="24"/>
          <w:szCs w:val="24"/>
        </w:rPr>
        <w:t>և</w:t>
      </w:r>
      <w:r w:rsidRPr="00834D52">
        <w:rPr>
          <w:rFonts w:ascii="Sylfaen" w:hAnsi="Sylfaen"/>
          <w:sz w:val="24"/>
          <w:szCs w:val="24"/>
        </w:rPr>
        <w:t xml:space="preserve"> նշում են նոսրացման սանդղակն ու աստիճանը:</w:t>
      </w:r>
    </w:p>
    <w:p w14:paraId="2E35824D"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հսկողական փորձարկումներ.</w:t>
      </w:r>
    </w:p>
    <w:p w14:paraId="55D4822A" w14:textId="7CF59D45"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Հոմեոպաթիկ դեղապատրաստուկների նկատմամբ պետք է կիրառվեն որակին ներկայացվող հիմնական պահանջները: Որակին ներկայացվող հիմնական պահանջներից շեղումների առկայության դեպքում անհրաժեշտ է, որ </w:t>
      </w:r>
      <w:r w:rsidR="0056496B">
        <w:rPr>
          <w:rFonts w:ascii="Sylfaen" w:hAnsi="Sylfaen"/>
          <w:sz w:val="24"/>
          <w:szCs w:val="24"/>
        </w:rPr>
        <w:t>դիմումատու</w:t>
      </w:r>
      <w:r w:rsidRPr="00834D52">
        <w:rPr>
          <w:rFonts w:ascii="Sylfaen" w:hAnsi="Sylfaen"/>
          <w:sz w:val="24"/>
          <w:szCs w:val="24"/>
        </w:rPr>
        <w:t>ն հիմնավորի դրանք:</w:t>
      </w:r>
    </w:p>
    <w:p w14:paraId="549255F4" w14:textId="77777777" w:rsidR="006F76EB" w:rsidRPr="00834D52" w:rsidRDefault="006F76EB" w:rsidP="003C049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Այն դեպքում, երբ հոմեոպաթիկ դեղապատրաստուկի արտադրության համար օգտագործվում է ուժեղ ազդեցություն ունեցող կամ թունավոր ազդեցություն ունեցող նյութ պարունակող հոմեոպաթիկ դեղագործական բաղադրամաս, պետք է հոմեոպաթիկ դեղապատրաստուկի մեջ նշված նյութերի իսկության ու քանակական որոշման սահմանման նպատակով անցկացվեն փորձարկումներ (անհրաժեշտության դեպքում):</w:t>
      </w:r>
    </w:p>
    <w:p w14:paraId="0CF86389"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Բոլոր թունաբանորեն նշանակալի բաղադրիչների քանակական որոշման </w:t>
      </w:r>
      <w:r w:rsidR="00C54D75">
        <w:rPr>
          <w:rFonts w:ascii="Sylfaen" w:hAnsi="Sylfaen"/>
          <w:sz w:val="24"/>
          <w:szCs w:val="24"/>
        </w:rPr>
        <w:t>և</w:t>
      </w:r>
      <w:r w:rsidRPr="00834D52">
        <w:rPr>
          <w:rFonts w:ascii="Sylfaen" w:hAnsi="Sylfaen"/>
          <w:sz w:val="24"/>
          <w:szCs w:val="24"/>
        </w:rPr>
        <w:t xml:space="preserve"> (կամ) նույնականացման անհնարինության (օրինակ՝ դեղապատրաստուկի մեջ նոսրացման աստիճանի պատճառով) մասին հիմնավորման առկայության դեպքում անհրաժեշտ է արտադրական պրոցեսի </w:t>
      </w:r>
      <w:r w:rsidR="00C54D75">
        <w:rPr>
          <w:rFonts w:ascii="Sylfaen" w:hAnsi="Sylfaen"/>
          <w:sz w:val="24"/>
          <w:szCs w:val="24"/>
        </w:rPr>
        <w:t>և</w:t>
      </w:r>
      <w:r w:rsidRPr="00834D52">
        <w:rPr>
          <w:rFonts w:ascii="Sylfaen" w:hAnsi="Sylfaen"/>
          <w:sz w:val="24"/>
          <w:szCs w:val="24"/>
        </w:rPr>
        <w:t xml:space="preserve"> նոսրացման պրոցեսի ամբողջական վալիդացմամբ հաստատել որակը:</w:t>
      </w:r>
    </w:p>
    <w:p w14:paraId="300F35D8" w14:textId="77777777" w:rsidR="006F76EB" w:rsidRPr="00834D52" w:rsidRDefault="006F76EB" w:rsidP="003C049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դեպքում, երբ հոմեոպաթիկ դեղապատրաստուկի արտադրության համար օգտագործվում է ուժեղ ազդեցություն ունեցող կամ թունավոր ազդեցություն ունեցող նյութ չպարունակող հոմեոպաթիկ դեղագործական բաղադրամաս, նյութերի իսկության </w:t>
      </w:r>
      <w:r w:rsidR="00C54D75">
        <w:rPr>
          <w:rFonts w:ascii="Sylfaen" w:hAnsi="Sylfaen"/>
          <w:sz w:val="24"/>
          <w:szCs w:val="24"/>
        </w:rPr>
        <w:t>և</w:t>
      </w:r>
      <w:r w:rsidRPr="00834D52">
        <w:rPr>
          <w:rFonts w:ascii="Sylfaen" w:hAnsi="Sylfaen"/>
          <w:sz w:val="24"/>
          <w:szCs w:val="24"/>
        </w:rPr>
        <w:t xml:space="preserve"> քանակական որոշման սահմանման նպատակով պետք է անցկացվեն փորձարկումներ` հոմեոպաթիկ դեղագործական բաղադրամասի կոնկրետ անվանման մենագրությունների համաձայն (անհրաժեշտության դեպքում):</w:t>
      </w:r>
    </w:p>
    <w:p w14:paraId="5291665A"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Կայունության փորձարկումներ.</w:t>
      </w:r>
    </w:p>
    <w:p w14:paraId="2F105E1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հաստատել դեղապատրաստուկի կայունությունը: Ելակետային հոմեոպաթիկ նյութի կայունության փորձարկումների տվյալները, որպես կանոն, իրական են տվյալ նյութից պատրաստված նոսրացումների </w:t>
      </w:r>
      <w:r w:rsidR="00C54D75">
        <w:rPr>
          <w:rFonts w:ascii="Sylfaen" w:hAnsi="Sylfaen"/>
          <w:sz w:val="24"/>
          <w:szCs w:val="24"/>
        </w:rPr>
        <w:t>և</w:t>
      </w:r>
      <w:r w:rsidRPr="00834D52">
        <w:rPr>
          <w:rFonts w:ascii="Sylfaen" w:hAnsi="Sylfaen"/>
          <w:sz w:val="24"/>
          <w:szCs w:val="24"/>
        </w:rPr>
        <w:t xml:space="preserve"> տրիտուրացիաների համար: Եթե ակտիվ նյութի քանակական որոշումը կամ նույնականացումն անհնար է նոսրացման աստիճանի պատճառով, ապա կարող </w:t>
      </w:r>
      <w:r w:rsidRPr="00834D52">
        <w:rPr>
          <w:rFonts w:ascii="Sylfaen" w:hAnsi="Sylfaen"/>
          <w:sz w:val="24"/>
          <w:szCs w:val="24"/>
        </w:rPr>
        <w:lastRenderedPageBreak/>
        <w:t>են դիտարկվել դեղաձ</w:t>
      </w:r>
      <w:r w:rsidR="00C54D75">
        <w:rPr>
          <w:rFonts w:ascii="Sylfaen" w:hAnsi="Sylfaen"/>
          <w:sz w:val="24"/>
          <w:szCs w:val="24"/>
        </w:rPr>
        <w:t>և</w:t>
      </w:r>
      <w:r w:rsidRPr="00834D52">
        <w:rPr>
          <w:rFonts w:ascii="Sylfaen" w:hAnsi="Sylfaen"/>
          <w:sz w:val="24"/>
          <w:szCs w:val="24"/>
        </w:rPr>
        <w:t>ի կայունության փորձարկումների տվյալները:</w:t>
      </w:r>
    </w:p>
    <w:p w14:paraId="21F67891"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14.2.</w:t>
      </w:r>
      <w:r w:rsidRPr="00834D52">
        <w:rPr>
          <w:rFonts w:ascii="Sylfaen" w:hAnsi="Sylfaen"/>
          <w:sz w:val="24"/>
          <w:szCs w:val="24"/>
        </w:rPr>
        <w:tab/>
        <w:t>Մոդուլ 4.</w:t>
      </w:r>
    </w:p>
    <w:p w14:paraId="077C0ED9"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Թունավորության նախակլինիկական հետազոտությունների տվյալները.</w:t>
      </w:r>
    </w:p>
    <w:p w14:paraId="3D5248D7"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Ցանկացած տեղեկատվության բացակայություն անհրաժեշտ է հիմնավորել, օրինակ՝ հիմնավորել, թե ինչպես կարող է հաստատվել անվտանգության թույլատրելի մակարդակը որոշ հետազոտությունների բացակայության դեպքում:</w:t>
      </w:r>
    </w:p>
    <w:p w14:paraId="18C127D1"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նոր հոմեոպաթիկ դեղամիջոցների (մատրիցայի թուրմի,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թունաբանական հետազոտությունների տվյալները, տարբեր դոզավորումների ընտրության հիմնավորումը </w:t>
      </w:r>
      <w:r w:rsidR="00C54D75">
        <w:rPr>
          <w:rFonts w:ascii="Sylfaen" w:hAnsi="Sylfaen"/>
          <w:sz w:val="24"/>
          <w:szCs w:val="24"/>
        </w:rPr>
        <w:t>և</w:t>
      </w:r>
      <w:r w:rsidRPr="00834D52">
        <w:rPr>
          <w:rFonts w:ascii="Sylfaen" w:hAnsi="Sylfaen"/>
          <w:sz w:val="24"/>
          <w:szCs w:val="24"/>
        </w:rPr>
        <w:t xml:space="preserve"> կլինիկական հետազոտությունների հետագա տվյալները: </w:t>
      </w:r>
    </w:p>
    <w:p w14:paraId="452129E2" w14:textId="77777777" w:rsidR="006F76EB" w:rsidRPr="00834D52" w:rsidRDefault="006F76EB" w:rsidP="00263847">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14.3.</w:t>
      </w:r>
      <w:r w:rsidRPr="00834D52">
        <w:rPr>
          <w:rFonts w:ascii="Sylfaen" w:hAnsi="Sylfaen"/>
          <w:sz w:val="24"/>
          <w:szCs w:val="24"/>
        </w:rPr>
        <w:tab/>
        <w:t>Մոդուլ 5.</w:t>
      </w:r>
    </w:p>
    <w:p w14:paraId="24509C58"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Հետգրանցումային ժամանակահատվածում կիրառման կլինիկական հետազոտությունների տվյալները (առկայության դեպքում):</w:t>
      </w:r>
    </w:p>
    <w:p w14:paraId="438A9C42" w14:textId="77777777" w:rsidR="006F76EB" w:rsidRPr="00834D52" w:rsidRDefault="006F76EB" w:rsidP="00263847">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հիմնավորել ցանկացած տեղեկատվության բացակայությունը, օրինակ՝ հիմնավորել այն, թե որոշ տեղեկությունների բացակայության դեպքում ինչպես կարող է հաստատվել արդյունավետության </w:t>
      </w:r>
      <w:r w:rsidR="00C54D75">
        <w:rPr>
          <w:rFonts w:ascii="Sylfaen" w:hAnsi="Sylfaen"/>
          <w:sz w:val="24"/>
          <w:szCs w:val="24"/>
        </w:rPr>
        <w:t>և</w:t>
      </w:r>
      <w:r w:rsidRPr="00834D52">
        <w:rPr>
          <w:rFonts w:ascii="Sylfaen" w:hAnsi="Sylfaen"/>
          <w:sz w:val="24"/>
          <w:szCs w:val="24"/>
        </w:rPr>
        <w:t xml:space="preserve"> անվտանգության թույլատրելի պրոֆիլը:</w:t>
      </w:r>
    </w:p>
    <w:p w14:paraId="379963F9" w14:textId="77777777" w:rsidR="006F76EB" w:rsidRPr="00834D52" w:rsidRDefault="006F76EB" w:rsidP="00263847">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Դեղագրքերի </w:t>
      </w:r>
      <w:r w:rsidR="00C54D75">
        <w:rPr>
          <w:rFonts w:ascii="Sylfaen" w:hAnsi="Sylfaen"/>
          <w:sz w:val="24"/>
          <w:szCs w:val="24"/>
        </w:rPr>
        <w:t>և</w:t>
      </w:r>
      <w:r w:rsidRPr="00834D52">
        <w:rPr>
          <w:rFonts w:ascii="Sylfaen" w:hAnsi="Sylfaen"/>
          <w:sz w:val="24"/>
          <w:szCs w:val="24"/>
        </w:rPr>
        <w:t xml:space="preserve"> մենագրությունների մեջ չնշված հոմեոպաթիկ դեղապատրաստուկների (մատրիցայի թուրմերի, տրիտուրացիաների </w:t>
      </w:r>
      <w:r w:rsidR="00C54D75">
        <w:rPr>
          <w:rFonts w:ascii="Sylfaen" w:hAnsi="Sylfaen"/>
          <w:sz w:val="24"/>
          <w:szCs w:val="24"/>
        </w:rPr>
        <w:t>և</w:t>
      </w:r>
      <w:r w:rsidRPr="00834D52">
        <w:rPr>
          <w:rFonts w:ascii="Sylfaen" w:hAnsi="Sylfaen"/>
          <w:sz w:val="24"/>
          <w:szCs w:val="24"/>
        </w:rPr>
        <w:t xml:space="preserve"> այլ բաղադրիչների) համար պարտադիր ներկայացվում են կլինիկական հետազոտությունների տվյալները (սույն հավելվածի պահանջներին համապատասխան) </w:t>
      </w:r>
      <w:r w:rsidR="00C54D75">
        <w:rPr>
          <w:rFonts w:ascii="Sylfaen" w:hAnsi="Sylfaen"/>
          <w:sz w:val="24"/>
          <w:szCs w:val="24"/>
        </w:rPr>
        <w:t>և</w:t>
      </w:r>
      <w:r w:rsidRPr="00834D52">
        <w:rPr>
          <w:rFonts w:ascii="Sylfaen" w:hAnsi="Sylfaen"/>
          <w:sz w:val="24"/>
          <w:szCs w:val="24"/>
        </w:rPr>
        <w:t xml:space="preserve"> տարբեր դոզավորումների ընտրության հիմնավորումը:</w:t>
      </w:r>
    </w:p>
    <w:p w14:paraId="129D12B0" w14:textId="7EDB6CE2"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բազմամյա փորձ ունեցող </w:t>
      </w:r>
      <w:r w:rsidR="00C54D75">
        <w:rPr>
          <w:rFonts w:ascii="Sylfaen" w:hAnsi="Sylfaen"/>
          <w:sz w:val="24"/>
          <w:szCs w:val="24"/>
        </w:rPr>
        <w:t>և</w:t>
      </w:r>
      <w:r w:rsidRPr="00834D52">
        <w:rPr>
          <w:rFonts w:ascii="Sylfaen" w:hAnsi="Sylfaen"/>
          <w:sz w:val="24"/>
          <w:szCs w:val="24"/>
        </w:rPr>
        <w:t xml:space="preserve"> դեղագրքի մեջ ներառված հոմեոպաթիկ դեղապատրաստուկների համար կիրառման </w:t>
      </w:r>
      <w:r w:rsidR="0056496B">
        <w:rPr>
          <w:rFonts w:ascii="Sylfaen" w:hAnsi="Sylfaen"/>
          <w:sz w:val="24"/>
          <w:szCs w:val="24"/>
        </w:rPr>
        <w:t>դիմում</w:t>
      </w:r>
      <w:r w:rsidRPr="00834D52">
        <w:rPr>
          <w:rFonts w:ascii="Sylfaen" w:hAnsi="Sylfaen"/>
          <w:sz w:val="24"/>
          <w:szCs w:val="24"/>
        </w:rPr>
        <w:t xml:space="preserve">ագրվող ոլորտում ներկայացվում է հոմեոպաթիկ դեղապատրաստուկի </w:t>
      </w:r>
      <w:r w:rsidRPr="00834D52">
        <w:rPr>
          <w:rFonts w:ascii="Sylfaen" w:hAnsi="Sylfaen"/>
          <w:sz w:val="24"/>
          <w:szCs w:val="24"/>
        </w:rPr>
        <w:lastRenderedPageBreak/>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վերաբերյալ գիտական գրականության տվյալների տեղեկագիր:</w:t>
      </w:r>
    </w:p>
    <w:p w14:paraId="2EE2AB80" w14:textId="77777777"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ընդհանուր բնութագրում </w:t>
      </w:r>
      <w:r w:rsidR="00C54D75">
        <w:rPr>
          <w:rFonts w:ascii="Sylfaen" w:hAnsi="Sylfaen"/>
          <w:sz w:val="24"/>
          <w:szCs w:val="24"/>
        </w:rPr>
        <w:t>և</w:t>
      </w:r>
      <w:r w:rsidRPr="00834D52">
        <w:rPr>
          <w:rFonts w:ascii="Sylfaen" w:hAnsi="Sylfaen"/>
          <w:sz w:val="24"/>
          <w:szCs w:val="24"/>
        </w:rPr>
        <w:t xml:space="preserve"> դեղապատրաստուկի բժշկական կիրառման հրահանգում ներառվում է հետ</w:t>
      </w:r>
      <w:r w:rsidR="00C54D75">
        <w:rPr>
          <w:rFonts w:ascii="Sylfaen" w:hAnsi="Sylfaen"/>
          <w:sz w:val="24"/>
          <w:szCs w:val="24"/>
        </w:rPr>
        <w:t>և</w:t>
      </w:r>
      <w:r w:rsidRPr="00834D52">
        <w:rPr>
          <w:rFonts w:ascii="Sylfaen" w:hAnsi="Sylfaen"/>
          <w:sz w:val="24"/>
          <w:szCs w:val="24"/>
        </w:rPr>
        <w:t>յալ նշումը՝ «հոմեոպաթիկ դեղապատրաստուկ»:</w:t>
      </w:r>
    </w:p>
    <w:p w14:paraId="48DA24DE" w14:textId="77777777" w:rsidR="006F76EB" w:rsidRPr="00834D52" w:rsidRDefault="006F76EB" w:rsidP="00033514">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14.4.</w:t>
      </w:r>
      <w:r w:rsidRPr="00834D52">
        <w:rPr>
          <w:rFonts w:ascii="Sylfaen" w:hAnsi="Sylfaen"/>
          <w:sz w:val="24"/>
          <w:szCs w:val="24"/>
        </w:rPr>
        <w:tab/>
        <w:t>Հոմեոպաթիկ դեղապատրաստուկների համար պարզեցված գրանցման դոսյե.</w:t>
      </w:r>
    </w:p>
    <w:p w14:paraId="73C52A8B"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Հոմեոպաթիկ դեղապատրաստուկների գրանցման համար տրամադրվում է պարզեցված գրանցման դոսյե՝ հետ</w:t>
      </w:r>
      <w:r w:rsidR="00C54D75">
        <w:rPr>
          <w:rFonts w:ascii="Sylfaen" w:hAnsi="Sylfaen"/>
          <w:sz w:val="24"/>
          <w:szCs w:val="24"/>
        </w:rPr>
        <w:t>և</w:t>
      </w:r>
      <w:r w:rsidRPr="00834D52">
        <w:rPr>
          <w:rFonts w:ascii="Sylfaen" w:hAnsi="Sylfaen"/>
          <w:sz w:val="24"/>
          <w:szCs w:val="24"/>
        </w:rPr>
        <w:t>յալ պայմանների պահպանման դեպքում՝</w:t>
      </w:r>
    </w:p>
    <w:p w14:paraId="6DFE04CA"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դեղապատրաստուկը նախատեսված է ներքին ընդունման կամ արտաքին, տեղային, ինհալացիայի միջոցով կիրառման համար.</w:t>
      </w:r>
    </w:p>
    <w:p w14:paraId="450AA19C"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փաթեթվածքի վրա, ԴԸԲ-ում կամ ԲԿՀ-ում ներկայացված չէ կիրառման կոնկրետ թերապ</w:t>
      </w:r>
      <w:r w:rsidR="00C54D75">
        <w:rPr>
          <w:rFonts w:ascii="Sylfaen" w:hAnsi="Sylfaen"/>
          <w:sz w:val="24"/>
          <w:szCs w:val="24"/>
        </w:rPr>
        <w:t>և</w:t>
      </w:r>
      <w:r w:rsidRPr="00834D52">
        <w:rPr>
          <w:rFonts w:ascii="Sylfaen" w:hAnsi="Sylfaen"/>
          <w:sz w:val="24"/>
          <w:szCs w:val="24"/>
        </w:rPr>
        <w:t>տիկ ցուցում.</w:t>
      </w:r>
    </w:p>
    <w:p w14:paraId="43E6AAA0"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նոսրացման աստիճանը բավարար է դեղապատրաստուկի անվտանգությունը երաշխավորելու համար, մասնավորապես, դեղապատրաստուկը պարունակում է հոմեոպաթիկ բաղադրամասի 1/10</w:t>
      </w:r>
      <w:r w:rsidRPr="00834D52">
        <w:rPr>
          <w:rFonts w:ascii="Sylfaen" w:hAnsi="Sylfaen" w:cs="Courier New"/>
          <w:sz w:val="24"/>
          <w:szCs w:val="24"/>
        </w:rPr>
        <w:t> </w:t>
      </w:r>
      <w:r w:rsidRPr="00834D52">
        <w:rPr>
          <w:rFonts w:ascii="Sylfaen" w:hAnsi="Sylfaen"/>
          <w:sz w:val="24"/>
          <w:szCs w:val="24"/>
        </w:rPr>
        <w:t>000-ից ոչ ավելի մասը (հոմեոպաթիկ մատրիցայի թուրմեր) կամ պարունակում է այլաբուժության (ալոպաթիայի) մեջ կիրառվող նվազագույն դեղաչափի 1/100-ից ոչ ավելին՝ այն ազդող նյութերի մասով, որոնց առկայությունը դեղապատրաստուկի մեջ պահանջում է դեղատոմսով բացթողում:</w:t>
      </w:r>
    </w:p>
    <w:p w14:paraId="032C8483" w14:textId="77777777" w:rsidR="006F76EB" w:rsidRPr="00834D52" w:rsidRDefault="006F76EB" w:rsidP="00033514">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Նշված հոմեոպաթիկ դեղապատրաստուկների համար թերապ</w:t>
      </w:r>
      <w:r w:rsidR="00C54D75">
        <w:rPr>
          <w:rFonts w:ascii="Sylfaen" w:hAnsi="Sylfaen"/>
          <w:sz w:val="24"/>
          <w:szCs w:val="24"/>
        </w:rPr>
        <w:t>և</w:t>
      </w:r>
      <w:r w:rsidRPr="00834D52">
        <w:rPr>
          <w:rFonts w:ascii="Sylfaen" w:hAnsi="Sylfaen"/>
          <w:sz w:val="24"/>
          <w:szCs w:val="24"/>
        </w:rPr>
        <w:t>տիկ արդյունավետության ապացույցներ չեն պահանջվում: Այդպիսի հոմեոպաթիկ դեղապատրաստուկների բացթողման կատեգորիան սահմանվում է գրանցման ժամանակ:</w:t>
      </w:r>
    </w:p>
    <w:p w14:paraId="5DE43489" w14:textId="1AFA8C66" w:rsidR="006F76EB" w:rsidRPr="00834D52" w:rsidRDefault="006F76EB" w:rsidP="00033514">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հատուկ, պարզեցված ընթացակարգ անցկացնելու </w:t>
      </w:r>
      <w:r w:rsidR="0056496B">
        <w:rPr>
          <w:rFonts w:ascii="Sylfaen" w:hAnsi="Sylfaen"/>
          <w:sz w:val="24"/>
          <w:szCs w:val="24"/>
        </w:rPr>
        <w:t>դիմում</w:t>
      </w:r>
      <w:r w:rsidRPr="00834D52">
        <w:rPr>
          <w:rFonts w:ascii="Sylfaen" w:hAnsi="Sylfaen"/>
          <w:sz w:val="24"/>
          <w:szCs w:val="24"/>
        </w:rPr>
        <w:t xml:space="preserve">ը </w:t>
      </w:r>
      <w:r w:rsidRPr="00834D52">
        <w:rPr>
          <w:rFonts w:ascii="Sylfaen" w:hAnsi="Sylfaen"/>
          <w:sz w:val="24"/>
          <w:szCs w:val="24"/>
        </w:rPr>
        <w:lastRenderedPageBreak/>
        <w:t>կարող է ընդգրկել մի</w:t>
      </w:r>
      <w:r w:rsidR="00C54D75">
        <w:rPr>
          <w:rFonts w:ascii="Sylfaen" w:hAnsi="Sylfaen"/>
          <w:sz w:val="24"/>
          <w:szCs w:val="24"/>
        </w:rPr>
        <w:t>և</w:t>
      </w:r>
      <w:r w:rsidRPr="00834D52">
        <w:rPr>
          <w:rFonts w:ascii="Sylfaen" w:hAnsi="Sylfaen"/>
          <w:sz w:val="24"/>
          <w:szCs w:val="24"/>
        </w:rPr>
        <w:t>նույն հոմեոպաթիկ դեղագործական բաղադրամասից կամ ծագման բնույթով (օրինակ՝ կենդանական, հանքային կամ բուսական ծագման) միավորված մի քանի հոմեոպաթիկ դեղագործական բաղադրամասից ստացված դեղապատրաստուկների սերիան:</w:t>
      </w:r>
    </w:p>
    <w:p w14:paraId="16C0464A" w14:textId="39E132E5"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գրանցման դոսյեով հետ</w:t>
      </w:r>
      <w:r w:rsidR="00C54D75">
        <w:rPr>
          <w:rFonts w:ascii="Sylfaen" w:hAnsi="Sylfaen"/>
          <w:sz w:val="24"/>
          <w:szCs w:val="24"/>
        </w:rPr>
        <w:t>և</w:t>
      </w:r>
      <w:r w:rsidRPr="00834D52">
        <w:rPr>
          <w:rFonts w:ascii="Sylfaen" w:hAnsi="Sylfaen"/>
          <w:sz w:val="24"/>
          <w:szCs w:val="24"/>
        </w:rPr>
        <w:t>յալ փաստաթղթերի հետ միասին.</w:t>
      </w:r>
    </w:p>
    <w:p w14:paraId="6955392E" w14:textId="77777777" w:rsidR="006F76EB" w:rsidRPr="00834D52" w:rsidRDefault="006F76EB" w:rsidP="002F1C69">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դեղագրքի մեջ նշված՝ հոմեոպաթիկ դեղագործական բաղադրամասի լատիներեն գիտական անվանումը՝ սանդղակի </w:t>
      </w:r>
      <w:r w:rsidR="00C54D75">
        <w:rPr>
          <w:rFonts w:ascii="Sylfaen" w:hAnsi="Sylfaen"/>
          <w:sz w:val="24"/>
          <w:szCs w:val="24"/>
        </w:rPr>
        <w:t>և</w:t>
      </w:r>
      <w:r w:rsidRPr="00834D52">
        <w:rPr>
          <w:rFonts w:ascii="Sylfaen" w:hAnsi="Sylfaen"/>
          <w:sz w:val="24"/>
          <w:szCs w:val="24"/>
        </w:rPr>
        <w:t xml:space="preserve"> նոսրացման աստիճանի նշմամբ, ներմուծման ուղիների, դեղաձ</w:t>
      </w:r>
      <w:r w:rsidR="00C54D75">
        <w:rPr>
          <w:rFonts w:ascii="Sylfaen" w:hAnsi="Sylfaen"/>
          <w:sz w:val="24"/>
          <w:szCs w:val="24"/>
        </w:rPr>
        <w:t>և</w:t>
      </w:r>
      <w:r w:rsidRPr="00834D52">
        <w:rPr>
          <w:rFonts w:ascii="Sylfaen" w:hAnsi="Sylfaen"/>
          <w:sz w:val="24"/>
          <w:szCs w:val="24"/>
        </w:rPr>
        <w:t xml:space="preserve">երի </w:t>
      </w:r>
      <w:r w:rsidR="00C54D75">
        <w:rPr>
          <w:rFonts w:ascii="Sylfaen" w:hAnsi="Sylfaen"/>
          <w:sz w:val="24"/>
          <w:szCs w:val="24"/>
        </w:rPr>
        <w:t>և</w:t>
      </w:r>
      <w:r w:rsidRPr="00834D52">
        <w:rPr>
          <w:rFonts w:ascii="Sylfaen" w:hAnsi="Sylfaen"/>
          <w:sz w:val="24"/>
          <w:szCs w:val="24"/>
        </w:rPr>
        <w:t xml:space="preserve"> նոսրացման աստիճանի վերաբերյալ տվյալները, որոնք ենթակա են գրանցման.</w:t>
      </w:r>
    </w:p>
    <w:p w14:paraId="057F91AD" w14:textId="271B8C80" w:rsidR="006F76EB" w:rsidRPr="00834D52" w:rsidRDefault="006F76EB" w:rsidP="002F1C6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սպառողական </w:t>
      </w:r>
      <w:r w:rsidR="00C54D75">
        <w:rPr>
          <w:rFonts w:ascii="Sylfaen" w:hAnsi="Sylfaen"/>
          <w:sz w:val="24"/>
          <w:szCs w:val="24"/>
        </w:rPr>
        <w:t>և</w:t>
      </w:r>
      <w:r w:rsidRPr="00834D52">
        <w:rPr>
          <w:rFonts w:ascii="Sylfaen" w:hAnsi="Sylfaen"/>
          <w:sz w:val="24"/>
          <w:szCs w:val="24"/>
        </w:rPr>
        <w:t xml:space="preserve"> առաջնային փաթեթվածքի, ինչպես նա</w:t>
      </w:r>
      <w:r w:rsidR="00C54D75">
        <w:rPr>
          <w:rFonts w:ascii="Sylfaen" w:hAnsi="Sylfaen"/>
          <w:sz w:val="24"/>
          <w:szCs w:val="24"/>
        </w:rPr>
        <w:t>և</w:t>
      </w:r>
      <w:r w:rsidRPr="00834D52">
        <w:rPr>
          <w:rFonts w:ascii="Sylfaen" w:hAnsi="Sylfaen"/>
          <w:sz w:val="24"/>
          <w:szCs w:val="24"/>
        </w:rPr>
        <w:t xml:space="preserve"> դեղապատրաստուկի ընդհանուր բնութագրի </w:t>
      </w:r>
      <w:r w:rsidR="00C54D75">
        <w:rPr>
          <w:rFonts w:ascii="Sylfaen" w:hAnsi="Sylfaen"/>
          <w:sz w:val="24"/>
          <w:szCs w:val="24"/>
        </w:rPr>
        <w:t>և</w:t>
      </w:r>
      <w:r w:rsidRPr="00834D52">
        <w:rPr>
          <w:rFonts w:ascii="Sylfaen" w:hAnsi="Sylfaen"/>
          <w:sz w:val="24"/>
          <w:szCs w:val="24"/>
        </w:rPr>
        <w:t xml:space="preserve"> պարզեցված գրանցման ընթացակարգի համար </w:t>
      </w:r>
      <w:r w:rsidR="001A5F1A">
        <w:rPr>
          <w:rFonts w:ascii="Sylfaen" w:hAnsi="Sylfaen"/>
          <w:sz w:val="24"/>
          <w:szCs w:val="24"/>
        </w:rPr>
        <w:t>հայտագրված</w:t>
      </w:r>
      <w:r w:rsidRPr="00834D52">
        <w:rPr>
          <w:rFonts w:ascii="Sylfaen" w:hAnsi="Sylfaen"/>
          <w:sz w:val="24"/>
          <w:szCs w:val="24"/>
        </w:rPr>
        <w:t xml:space="preserve"> հոմեոպաթիկ դեղապատրաստուկների բժշկական կիրառման հրահանգի (ներդիր թերթիկի) մեկ կամ ավելի մակետներ.</w:t>
      </w:r>
    </w:p>
    <w:p w14:paraId="0A0445E9"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դոսյե՝ հոմեոպաթիկ դեղագործական բաղադրամասի, հումքի կամ հումքի տեսակների ստացման </w:t>
      </w:r>
      <w:r w:rsidR="00C54D75">
        <w:rPr>
          <w:rFonts w:ascii="Sylfaen" w:hAnsi="Sylfaen"/>
          <w:sz w:val="24"/>
          <w:szCs w:val="24"/>
        </w:rPr>
        <w:t>և</w:t>
      </w:r>
      <w:r w:rsidRPr="00834D52">
        <w:rPr>
          <w:rFonts w:ascii="Sylfaen" w:hAnsi="Sylfaen"/>
          <w:sz w:val="24"/>
          <w:szCs w:val="24"/>
        </w:rPr>
        <w:t xml:space="preserve"> հսկողության եղանակի նկարագրությամբ, համապատասխան մատենագիտության հիման վրա հոմեոպաթիկ օգտագործման հիմնավորում.</w:t>
      </w:r>
    </w:p>
    <w:p w14:paraId="60FAA7A0"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յուրաքանչյուր դեղաձ</w:t>
      </w:r>
      <w:r w:rsidR="00C54D75">
        <w:rPr>
          <w:rFonts w:ascii="Sylfaen" w:hAnsi="Sylfaen"/>
          <w:sz w:val="24"/>
          <w:szCs w:val="24"/>
        </w:rPr>
        <w:t>և</w:t>
      </w:r>
      <w:r w:rsidRPr="00834D52">
        <w:rPr>
          <w:rFonts w:ascii="Sylfaen" w:hAnsi="Sylfaen"/>
          <w:sz w:val="24"/>
          <w:szCs w:val="24"/>
        </w:rPr>
        <w:t xml:space="preserve">ի արտադրության </w:t>
      </w:r>
      <w:r w:rsidR="00C54D75">
        <w:rPr>
          <w:rFonts w:ascii="Sylfaen" w:hAnsi="Sylfaen"/>
          <w:sz w:val="24"/>
          <w:szCs w:val="24"/>
        </w:rPr>
        <w:t>և</w:t>
      </w:r>
      <w:r w:rsidRPr="00834D52">
        <w:rPr>
          <w:rFonts w:ascii="Sylfaen" w:hAnsi="Sylfaen"/>
          <w:sz w:val="24"/>
          <w:szCs w:val="24"/>
        </w:rPr>
        <w:t xml:space="preserve"> հսկողության նկարագրություն, սանդղակի, նոսրացման (պոտենցման) եղանակի նկարագրություն.</w:t>
      </w:r>
    </w:p>
    <w:p w14:paraId="0AFD96DF"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դեղամիջոցների արտադրության լիցենզիա </w:t>
      </w:r>
      <w:r w:rsidR="00C54D75">
        <w:rPr>
          <w:rFonts w:ascii="Sylfaen" w:hAnsi="Sylfaen"/>
          <w:sz w:val="24"/>
          <w:szCs w:val="24"/>
        </w:rPr>
        <w:t>և</w:t>
      </w:r>
      <w:r w:rsidRPr="00834D52">
        <w:rPr>
          <w:rFonts w:ascii="Sylfaen" w:hAnsi="Sylfaen"/>
          <w:sz w:val="24"/>
          <w:szCs w:val="24"/>
        </w:rPr>
        <w:t xml:space="preserve"> Միության պատշաճ արտադրական գործունեության կանոններին համապատասխանությունը հաստատող փաստաթուղթ.</w:t>
      </w:r>
    </w:p>
    <w:p w14:paraId="3D919226" w14:textId="77777777" w:rsidR="006F76EB" w:rsidRPr="00834D52" w:rsidRDefault="006F76EB" w:rsidP="002F1C6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այլ երկրներում ստացված՝ պարզեցված ընթացակարգով դեղապատրաստուկի գրանցման մասին վկայականների պատճեններ.</w:t>
      </w:r>
    </w:p>
    <w:p w14:paraId="14A08AEF" w14:textId="77777777" w:rsidR="006F76EB" w:rsidRPr="002F1C69" w:rsidRDefault="006F76EB" w:rsidP="002F1C69">
      <w:pPr>
        <w:spacing w:after="160" w:line="360" w:lineRule="auto"/>
        <w:ind w:right="-8" w:firstLine="567"/>
        <w:jc w:val="both"/>
        <w:rPr>
          <w:rFonts w:ascii="Sylfaen" w:hAnsi="Sylfaen"/>
          <w:sz w:val="24"/>
          <w:szCs w:val="24"/>
        </w:rPr>
      </w:pPr>
      <w:r w:rsidRPr="00834D52">
        <w:rPr>
          <w:rFonts w:ascii="Sylfaen" w:hAnsi="Sylfaen"/>
          <w:sz w:val="24"/>
          <w:szCs w:val="24"/>
        </w:rPr>
        <w:lastRenderedPageBreak/>
        <w:t>հոմեոպաթիկ դեղապատրաստուկի կայունության վերաբերյալ տվյալներ:</w:t>
      </w:r>
    </w:p>
    <w:p w14:paraId="6DFE9F1B" w14:textId="77777777" w:rsidR="00C968AE" w:rsidRPr="002F1C69" w:rsidRDefault="00C968AE" w:rsidP="005176C6">
      <w:pPr>
        <w:spacing w:after="160" w:line="360" w:lineRule="auto"/>
        <w:ind w:right="-8" w:firstLine="567"/>
        <w:jc w:val="center"/>
        <w:rPr>
          <w:rFonts w:ascii="Sylfaen" w:eastAsia="Times New Roman" w:hAnsi="Sylfaen" w:cs="Times New Roman"/>
          <w:sz w:val="24"/>
          <w:szCs w:val="24"/>
        </w:rPr>
      </w:pPr>
    </w:p>
    <w:p w14:paraId="5C2AB60F" w14:textId="77777777" w:rsidR="006F76EB" w:rsidRPr="00834D52" w:rsidRDefault="006F76EB" w:rsidP="002F1C6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15. Դեղաբուսական պատրաստուկ</w:t>
      </w:r>
    </w:p>
    <w:p w14:paraId="6D9742F9"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պատրաստուկների գրանցման համար գրանցման դոսյեն ներկայացվում է սույն բաժնի պահանջներին համապատասխան:</w:t>
      </w:r>
    </w:p>
    <w:p w14:paraId="5EF14F61" w14:textId="77777777" w:rsidR="006F76EB" w:rsidRPr="00834D52" w:rsidRDefault="006F76EB" w:rsidP="002154F6">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w:t>
      </w:r>
      <w:r w:rsidRPr="00834D52">
        <w:rPr>
          <w:rFonts w:ascii="Sylfaen" w:hAnsi="Sylfaen"/>
          <w:sz w:val="24"/>
          <w:szCs w:val="24"/>
        </w:rPr>
        <w:tab/>
        <w:t>Մոդուլ 3.</w:t>
      </w:r>
    </w:p>
    <w:p w14:paraId="6A7F1F11" w14:textId="03132A92"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պատրաստուկները գրանցելիս պետք է կիրառվեն սույն հավելվածի I մասի 3-րդ բաժնում նշված՝ 3-րդ մոդուլին ներկայացվող պահանջները, ներառյալ՝ Եվրասիական տնտեսական միության դեղագրքի դեղագրքային հոդվածներին (մենագրություններին) կամ անդամ պետությունների դեղագրքերին համապատասխանության անհրաժեշտությունը: Անհրաժեշտ է հաշվի առնել </w:t>
      </w:r>
      <w:r w:rsidR="0056496B">
        <w:rPr>
          <w:rFonts w:ascii="Sylfaen" w:hAnsi="Sylfaen"/>
          <w:sz w:val="24"/>
          <w:szCs w:val="24"/>
        </w:rPr>
        <w:t>դիմում</w:t>
      </w:r>
      <w:r w:rsidRPr="00834D52">
        <w:rPr>
          <w:rFonts w:ascii="Sylfaen" w:hAnsi="Sylfaen"/>
          <w:sz w:val="24"/>
          <w:szCs w:val="24"/>
        </w:rPr>
        <w:t>ը ներկայացնելու օրվա մասին առկա գիտական տեղեկությունները:</w:t>
      </w:r>
    </w:p>
    <w:p w14:paraId="29D7BF6C" w14:textId="77777777" w:rsidR="006F76EB" w:rsidRPr="00834D52" w:rsidRDefault="006F76EB" w:rsidP="00E902E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15.1.1.</w:t>
      </w:r>
      <w:r w:rsidRPr="00834D52">
        <w:rPr>
          <w:rFonts w:ascii="Sylfaen" w:hAnsi="Sylfaen"/>
          <w:sz w:val="24"/>
          <w:szCs w:val="24"/>
        </w:rPr>
        <w:tab/>
        <w:t>Բուսական ծագման բաղադրամասեր.</w:t>
      </w:r>
    </w:p>
    <w:p w14:paraId="54D74975"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շրջանակներում «բուսական ծագման դեղագործական բաղադրամասը» ընդհանուր հասկացություն է՝ իր մեջ ներառելով «դեղաբուսական հումք»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 հասկացությունները:</w:t>
      </w:r>
    </w:p>
    <w:p w14:paraId="6229E252"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հումքը մանրացնելուց հետո ստացված բուսական ծագման դեղագործական բաղադրամասի համար անհրաժեշտ է նշել ստացման աղբյուր հանդիսացող բույսի կենսաանվանական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7BDC554D"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հումքի մշակումից հետո ստացված </w:t>
      </w:r>
      <w:r w:rsidRPr="00834D52">
        <w:rPr>
          <w:rFonts w:ascii="Sylfaen" w:hAnsi="Sylfaen"/>
          <w:sz w:val="24"/>
          <w:szCs w:val="24"/>
        </w:rPr>
        <w:lastRenderedPageBreak/>
        <w:t xml:space="preserve">բուսական ծագման դեղագործական բաղադրամասի համար անհրաժեշտ է նշել ստացման աղբյուր հանդիսացող բույսի կենսանվանական գիտական անվանումը. ցեղային </w:t>
      </w:r>
      <w:r w:rsidR="00C54D75">
        <w:rPr>
          <w:rFonts w:ascii="Sylfaen" w:hAnsi="Sylfaen"/>
          <w:sz w:val="24"/>
          <w:szCs w:val="24"/>
        </w:rPr>
        <w:t>և</w:t>
      </w:r>
      <w:r w:rsidRPr="00834D52">
        <w:rPr>
          <w:rFonts w:ascii="Sylfaen" w:hAnsi="Sylfaen"/>
          <w:sz w:val="24"/>
          <w:szCs w:val="24"/>
        </w:rPr>
        <w:t xml:space="preserve"> տեսակային, տարատեսակությունը </w:t>
      </w:r>
      <w:r w:rsidR="00C54D75">
        <w:rPr>
          <w:rFonts w:ascii="Sylfaen" w:hAnsi="Sylfaen"/>
          <w:sz w:val="24"/>
          <w:szCs w:val="24"/>
        </w:rPr>
        <w:t>և</w:t>
      </w:r>
      <w:r w:rsidRPr="00834D52">
        <w:rPr>
          <w:rFonts w:ascii="Sylfaen" w:hAnsi="Sylfaen"/>
          <w:sz w:val="24"/>
          <w:szCs w:val="24"/>
        </w:rPr>
        <w:t xml:space="preserve"> հեղինակների անունները լատիներենով, քեմոտիպը (անհրաժեշտության դեպքում), ծագման աղբյուրը (վայրի կամ մշակովի), ստացման աղբյուր հանդիսացող բույսի մորֆոլոգիական խումբը, բուսական ծագման բաղադրամասի անվանումը (սահմանումը):</w:t>
      </w:r>
    </w:p>
    <w:p w14:paraId="4EC1724B" w14:textId="32810A11"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«Կառուցվածք» բաժինը դեղաբուսական հումքը մանրացնելուց հետո ստացված բուսական ծագման դեղագործական բաղադրամասի համար ներառում է դրա կատեգորիայի նշումը (ամբողջական, մանրացված, փոշի), տարբեր եղանակներով (լուծամզում, թորում, մզում, թորզատում, մաքրում, խտացում, խմորում </w:t>
      </w:r>
      <w:r w:rsidR="00C54D75">
        <w:rPr>
          <w:rFonts w:ascii="Sylfaen" w:hAnsi="Sylfaen"/>
          <w:sz w:val="24"/>
          <w:szCs w:val="24"/>
        </w:rPr>
        <w:t>և</w:t>
      </w:r>
      <w:r w:rsidRPr="00834D52">
        <w:rPr>
          <w:rFonts w:ascii="Sylfaen" w:hAnsi="Sylfaen"/>
          <w:sz w:val="24"/>
          <w:szCs w:val="24"/>
        </w:rPr>
        <w:t xml:space="preserve"> այլն) դեղաբուսական հումքը մշակելուց հետո ստացված բուսական ծագման դեղագործական բաղադրամասի համար՝ ագրեգատային (ֆիզիկական) վիճակի նշումը (օրինակ՝ չոր, խիտ, հեղուկ լուծամզվածք), ինչպես նա</w:t>
      </w:r>
      <w:r w:rsidR="00C54D75">
        <w:rPr>
          <w:rFonts w:ascii="Sylfaen" w:hAnsi="Sylfaen"/>
          <w:sz w:val="24"/>
          <w:szCs w:val="24"/>
        </w:rPr>
        <w:t>և</w:t>
      </w:r>
      <w:r w:rsidRPr="00834D52">
        <w:rPr>
          <w:rFonts w:ascii="Sylfaen" w:hAnsi="Sylfaen"/>
          <w:sz w:val="24"/>
          <w:szCs w:val="24"/>
        </w:rPr>
        <w:t xml:space="preserve"> </w:t>
      </w:r>
      <w:r w:rsidR="005F6A31">
        <w:rPr>
          <w:rFonts w:ascii="Sylfaen" w:hAnsi="Sylfaen"/>
          <w:sz w:val="24"/>
          <w:szCs w:val="24"/>
        </w:rPr>
        <w:t>հայտնի</w:t>
      </w:r>
      <w:r w:rsidRPr="00834D52">
        <w:rPr>
          <w:rFonts w:ascii="Sylfaen" w:hAnsi="Sylfaen"/>
          <w:sz w:val="24"/>
          <w:szCs w:val="24"/>
        </w:rPr>
        <w:t xml:space="preserve"> թերապ</w:t>
      </w:r>
      <w:r w:rsidR="00C54D75">
        <w:rPr>
          <w:rFonts w:ascii="Sylfaen" w:hAnsi="Sylfaen"/>
          <w:sz w:val="24"/>
          <w:szCs w:val="24"/>
        </w:rPr>
        <w:t>և</w:t>
      </w:r>
      <w:r w:rsidRPr="00834D52">
        <w:rPr>
          <w:rFonts w:ascii="Sylfaen" w:hAnsi="Sylfaen"/>
          <w:sz w:val="24"/>
          <w:szCs w:val="24"/>
        </w:rPr>
        <w:t>տիկ ազդեցությամբ բաղադրիչների նկարագրությունը կամ մարկերները (մոլեկուլային բանաձ</w:t>
      </w:r>
      <w:r w:rsidR="00C54D75">
        <w:rPr>
          <w:rFonts w:ascii="Sylfaen" w:hAnsi="Sylfaen"/>
          <w:sz w:val="24"/>
          <w:szCs w:val="24"/>
        </w:rPr>
        <w:t>և</w:t>
      </w:r>
      <w:r w:rsidRPr="00834D52">
        <w:rPr>
          <w:rFonts w:ascii="Sylfaen" w:hAnsi="Sylfaen"/>
          <w:sz w:val="24"/>
          <w:szCs w:val="24"/>
        </w:rPr>
        <w:t>, հարաբերական մոլեկուլային զանգված, կառուցվածքային բանաձ</w:t>
      </w:r>
      <w:r w:rsidR="00C54D75">
        <w:rPr>
          <w:rFonts w:ascii="Sylfaen" w:hAnsi="Sylfaen"/>
          <w:sz w:val="24"/>
          <w:szCs w:val="24"/>
        </w:rPr>
        <w:t>և</w:t>
      </w:r>
      <w:r w:rsidRPr="00834D52">
        <w:rPr>
          <w:rFonts w:ascii="Sylfaen" w:hAnsi="Sylfaen"/>
          <w:sz w:val="24"/>
          <w:szCs w:val="24"/>
        </w:rPr>
        <w:t xml:space="preserve">, ներառյալ՝ հարաբերական </w:t>
      </w:r>
      <w:r w:rsidR="00C54D75">
        <w:rPr>
          <w:rFonts w:ascii="Sylfaen" w:hAnsi="Sylfaen"/>
          <w:sz w:val="24"/>
          <w:szCs w:val="24"/>
        </w:rPr>
        <w:t>և</w:t>
      </w:r>
      <w:r w:rsidRPr="00834D52">
        <w:rPr>
          <w:rFonts w:ascii="Sylfaen" w:hAnsi="Sylfaen"/>
          <w:sz w:val="24"/>
          <w:szCs w:val="24"/>
        </w:rPr>
        <w:t xml:space="preserve"> բացարձակ տարածական կառուցվածքը, մոլեկուլային բանաձ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հարաբերական մոլեկուլային զանգվածը) </w:t>
      </w:r>
      <w:r w:rsidR="00C54D75">
        <w:rPr>
          <w:rFonts w:ascii="Sylfaen" w:hAnsi="Sylfaen"/>
          <w:sz w:val="24"/>
          <w:szCs w:val="24"/>
        </w:rPr>
        <w:t>և</w:t>
      </w:r>
      <w:r w:rsidRPr="00834D52">
        <w:rPr>
          <w:rFonts w:ascii="Sylfaen" w:hAnsi="Sylfaen"/>
          <w:sz w:val="24"/>
          <w:szCs w:val="24"/>
        </w:rPr>
        <w:t xml:space="preserve"> այլ բաղադրիչներ:</w:t>
      </w:r>
    </w:p>
    <w:p w14:paraId="6E4A82E2" w14:textId="3A066928"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Դեղաբուսական հումքի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 մթերման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w:t>
      </w:r>
    </w:p>
    <w:p w14:paraId="3B8BF790" w14:textId="7575BE31" w:rsidR="006F76EB" w:rsidRPr="00834D52" w:rsidRDefault="006F76EB" w:rsidP="00E902EF">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Դեղաբուսական հումքից ստացված արտադրանքի արտադրողի մասին բաժինը պետք է պարունակի հետ</w:t>
      </w:r>
      <w:r w:rsidR="00C54D75">
        <w:rPr>
          <w:rFonts w:ascii="Sylfaen" w:hAnsi="Sylfaen"/>
          <w:sz w:val="24"/>
          <w:szCs w:val="24"/>
        </w:rPr>
        <w:t>և</w:t>
      </w:r>
      <w:r w:rsidRPr="00834D52">
        <w:rPr>
          <w:rFonts w:ascii="Sylfaen" w:hAnsi="Sylfaen"/>
          <w:sz w:val="24"/>
          <w:szCs w:val="24"/>
        </w:rPr>
        <w:t xml:space="preserve">յալ տեղեկությունները՝ յուրաքանչյուր մատակարարի անվանումը, հասցեն </w:t>
      </w:r>
      <w:r w:rsidR="00C54D75">
        <w:rPr>
          <w:rFonts w:ascii="Sylfaen" w:hAnsi="Sylfaen"/>
          <w:sz w:val="24"/>
          <w:szCs w:val="24"/>
        </w:rPr>
        <w:t>և</w:t>
      </w:r>
      <w:r w:rsidRPr="00834D52">
        <w:rPr>
          <w:rFonts w:ascii="Sylfaen" w:hAnsi="Sylfaen"/>
          <w:sz w:val="24"/>
          <w:szCs w:val="24"/>
        </w:rPr>
        <w:t xml:space="preserve"> պատասխանատվությունը, դեղաբուսական հումքից ստացված արտադրանքի արտադրության </w:t>
      </w:r>
      <w:r w:rsidR="00C54D75">
        <w:rPr>
          <w:rFonts w:ascii="Sylfaen" w:hAnsi="Sylfaen"/>
          <w:sz w:val="24"/>
          <w:szCs w:val="24"/>
        </w:rPr>
        <w:t>և</w:t>
      </w:r>
      <w:r w:rsidRPr="00834D52">
        <w:rPr>
          <w:rFonts w:ascii="Sylfaen" w:hAnsi="Sylfaen"/>
          <w:sz w:val="24"/>
          <w:szCs w:val="24"/>
        </w:rPr>
        <w:t xml:space="preserve"> որակի հսկողության գործում ներգրավված յուրաքանչյուր արտադրական </w:t>
      </w:r>
      <w:r w:rsidR="00CD23DD">
        <w:rPr>
          <w:rFonts w:ascii="Sylfaen" w:hAnsi="Sylfaen"/>
          <w:sz w:val="24"/>
          <w:szCs w:val="24"/>
        </w:rPr>
        <w:t>հարթակը</w:t>
      </w:r>
      <w:r w:rsidRPr="00834D52">
        <w:rPr>
          <w:rFonts w:ascii="Sylfaen" w:hAnsi="Sylfaen"/>
          <w:sz w:val="24"/>
          <w:szCs w:val="24"/>
        </w:rPr>
        <w:t xml:space="preserve"> կամ լաբորատորիան :</w:t>
      </w:r>
    </w:p>
    <w:p w14:paraId="03A512AD" w14:textId="77777777" w:rsidR="006F76EB" w:rsidRPr="0030798D" w:rsidRDefault="006F76EB" w:rsidP="00E902EF">
      <w:pPr>
        <w:spacing w:after="160" w:line="348" w:lineRule="auto"/>
        <w:ind w:right="-8" w:firstLine="567"/>
        <w:jc w:val="both"/>
        <w:rPr>
          <w:rFonts w:ascii="Sylfaen" w:eastAsia="Times New Roman" w:hAnsi="Sylfaen" w:cs="Times New Roman"/>
          <w:spacing w:val="-6"/>
          <w:sz w:val="24"/>
          <w:szCs w:val="24"/>
        </w:rPr>
      </w:pPr>
      <w:r w:rsidRPr="00834D52">
        <w:rPr>
          <w:rFonts w:ascii="Sylfaen" w:hAnsi="Sylfaen"/>
          <w:sz w:val="24"/>
          <w:szCs w:val="24"/>
        </w:rPr>
        <w:lastRenderedPageBreak/>
        <w:t>«</w:t>
      </w:r>
      <w:r w:rsidRPr="0030798D">
        <w:rPr>
          <w:rFonts w:ascii="Sylfaen" w:hAnsi="Sylfaen"/>
          <w:spacing w:val="-6"/>
          <w:sz w:val="24"/>
          <w:szCs w:val="24"/>
        </w:rPr>
        <w:t xml:space="preserve">Արտադրական պրոցեսի </w:t>
      </w:r>
      <w:r w:rsidR="00C54D75">
        <w:rPr>
          <w:rFonts w:ascii="Sylfaen" w:hAnsi="Sylfaen"/>
          <w:spacing w:val="-6"/>
          <w:sz w:val="24"/>
          <w:szCs w:val="24"/>
        </w:rPr>
        <w:t>և</w:t>
      </w:r>
      <w:r w:rsidRPr="0030798D">
        <w:rPr>
          <w:rFonts w:ascii="Sylfaen" w:hAnsi="Sylfaen"/>
          <w:spacing w:val="-6"/>
          <w:sz w:val="24"/>
          <w:szCs w:val="24"/>
        </w:rPr>
        <w:t xml:space="preserve"> դրա հսկողության նկարագրություն» բաժինը դեղաբուսական հումքի համար պետք է պարունակի վայրի կամ մշակովի դեղաբուսական հումքի (դեղաբույսի աշխարհագրական աղբյուր, մշակման պրոցեսի նկարագրություն) մթերման պրոցեսի մասին տեղեկություններ ու դրա հետագա մշակման եղանակները (հավաքում, չորացում) </w:t>
      </w:r>
      <w:r w:rsidR="00C54D75">
        <w:rPr>
          <w:rFonts w:ascii="Sylfaen" w:hAnsi="Sylfaen"/>
          <w:spacing w:val="-6"/>
          <w:sz w:val="24"/>
          <w:szCs w:val="24"/>
        </w:rPr>
        <w:t>և</w:t>
      </w:r>
      <w:r w:rsidRPr="0030798D">
        <w:rPr>
          <w:rFonts w:ascii="Sylfaen" w:hAnsi="Sylfaen"/>
          <w:spacing w:val="-6"/>
          <w:sz w:val="24"/>
          <w:szCs w:val="24"/>
        </w:rPr>
        <w:t xml:space="preserve"> պահպանման պայմանները: Դեղաբուսական հումքից ստացված արտադրանքի համար անհրաժեշտ է ներկայացնել արտադրանքի ստացման արտադրական պրոցեսի վերաբերյալ տեղեկություններ, ներառյալ՝ մշակման, լուծիչների </w:t>
      </w:r>
      <w:r w:rsidR="00C54D75">
        <w:rPr>
          <w:rFonts w:ascii="Sylfaen" w:hAnsi="Sylfaen"/>
          <w:spacing w:val="-6"/>
          <w:sz w:val="24"/>
          <w:szCs w:val="24"/>
        </w:rPr>
        <w:t>և</w:t>
      </w:r>
      <w:r w:rsidRPr="0030798D">
        <w:rPr>
          <w:rFonts w:ascii="Sylfaen" w:hAnsi="Sylfaen"/>
          <w:spacing w:val="-6"/>
          <w:sz w:val="24"/>
          <w:szCs w:val="24"/>
        </w:rPr>
        <w:t xml:space="preserve"> ռեագենտների, մաքրման </w:t>
      </w:r>
      <w:r w:rsidR="00C54D75">
        <w:rPr>
          <w:rFonts w:ascii="Sylfaen" w:hAnsi="Sylfaen"/>
          <w:spacing w:val="-6"/>
          <w:sz w:val="24"/>
          <w:szCs w:val="24"/>
        </w:rPr>
        <w:t>և</w:t>
      </w:r>
      <w:r w:rsidRPr="0030798D">
        <w:rPr>
          <w:rFonts w:ascii="Sylfaen" w:hAnsi="Sylfaen"/>
          <w:spacing w:val="-6"/>
          <w:sz w:val="24"/>
          <w:szCs w:val="24"/>
        </w:rPr>
        <w:t xml:space="preserve"> ստանդարտացման փուլերի նկարագրությունը (անհրաժեշտության դեպքում):</w:t>
      </w:r>
    </w:p>
    <w:p w14:paraId="6ECA35A3"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մշակման առնչությամբ անհրաժեշտ է ներկայացնել ռեզյումե, որի մեջ նկարագրվում է բուսական սուբստանցիայի մշակումը: Դեղաբուսական հումքից ստացված արտադրանքի արտադրական պրոցեսի մշակման առնչությամբ անհրաժեշտ է ներկայացնել ռեզյումե, որի մեջ նկարագրվում է արտադրանքի մշակումը` հաշվի առնելով դեղաբուսական պատրաստուկի ներմուծման ենթադրվող եղանակը </w:t>
      </w:r>
      <w:r w:rsidR="00C54D75">
        <w:rPr>
          <w:rFonts w:ascii="Sylfaen" w:hAnsi="Sylfaen"/>
          <w:sz w:val="24"/>
          <w:szCs w:val="24"/>
        </w:rPr>
        <w:t>և</w:t>
      </w:r>
      <w:r w:rsidRPr="00834D52">
        <w:rPr>
          <w:rFonts w:ascii="Sylfaen" w:hAnsi="Sylfaen"/>
          <w:sz w:val="24"/>
          <w:szCs w:val="24"/>
        </w:rPr>
        <w:t xml:space="preserve"> դրա բժշկական կիրառումը: Անհրաժեշտ է դիտարկել դեղաբուսական հումքի </w:t>
      </w:r>
      <w:r w:rsidR="00C54D75">
        <w:rPr>
          <w:rFonts w:ascii="Sylfaen" w:hAnsi="Sylfaen"/>
          <w:sz w:val="24"/>
          <w:szCs w:val="24"/>
        </w:rPr>
        <w:t>և</w:t>
      </w:r>
      <w:r w:rsidRPr="00834D52">
        <w:rPr>
          <w:rFonts w:ascii="Sylfaen" w:hAnsi="Sylfaen"/>
          <w:sz w:val="24"/>
          <w:szCs w:val="24"/>
        </w:rPr>
        <w:t xml:space="preserve"> դեղաբուսական հումքից ստացված արտադրանքի համեմատական բուսաքիմիական վերլուծության արդյունքները` օգտագործելով մատենագիտական տվյալները (անհրաժեշտության դեպքում):</w:t>
      </w:r>
    </w:p>
    <w:p w14:paraId="5E78904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 կառուցվածքը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բուսաբանական, մակրոսկոպիկ, միկրոսկոպիկ </w:t>
      </w:r>
      <w:r w:rsidR="00C54D75">
        <w:rPr>
          <w:rFonts w:ascii="Sylfaen" w:hAnsi="Sylfaen"/>
          <w:sz w:val="24"/>
          <w:szCs w:val="24"/>
        </w:rPr>
        <w:t>և</w:t>
      </w:r>
      <w:r w:rsidRPr="00834D52">
        <w:rPr>
          <w:rFonts w:ascii="Sylfaen" w:hAnsi="Sylfaen"/>
          <w:sz w:val="24"/>
          <w:szCs w:val="24"/>
        </w:rPr>
        <w:t xml:space="preserve"> բուսաքիմիական բնութագրերի ու կենսաբանական ակտիվության վերաբերյալ տեղեկություններ (անհրաժեշտության դեպքում):</w:t>
      </w:r>
    </w:p>
    <w:p w14:paraId="5244849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հումքից ստացված արտադրանքի բաղադրությունը </w:t>
      </w:r>
      <w:r w:rsidR="00C54D75">
        <w:rPr>
          <w:rFonts w:ascii="Sylfaen" w:hAnsi="Sylfaen"/>
          <w:sz w:val="24"/>
          <w:szCs w:val="24"/>
        </w:rPr>
        <w:t>և</w:t>
      </w:r>
      <w:r w:rsidRPr="00834D52">
        <w:rPr>
          <w:rFonts w:ascii="Sylfaen" w:hAnsi="Sylfaen"/>
          <w:sz w:val="24"/>
          <w:szCs w:val="24"/>
        </w:rPr>
        <w:t xml:space="preserve"> այլ բնութագրեր նկարագրելիս անհրաժեշտ է ներկայացնել բուսական ծագման արտադրանքի բուսա- </w:t>
      </w:r>
      <w:r w:rsidR="00C54D75">
        <w:rPr>
          <w:rFonts w:ascii="Sylfaen" w:hAnsi="Sylfaen"/>
          <w:sz w:val="24"/>
          <w:szCs w:val="24"/>
        </w:rPr>
        <w:t>և</w:t>
      </w:r>
      <w:r w:rsidRPr="00834D52">
        <w:rPr>
          <w:rFonts w:ascii="Sylfaen" w:hAnsi="Sylfaen"/>
          <w:sz w:val="24"/>
          <w:szCs w:val="24"/>
        </w:rPr>
        <w:t xml:space="preserve"> ֆիզիկաքիմիական բնութագրերի </w:t>
      </w:r>
      <w:r w:rsidR="00C54D75">
        <w:rPr>
          <w:rFonts w:ascii="Sylfaen" w:hAnsi="Sylfaen"/>
          <w:sz w:val="24"/>
          <w:szCs w:val="24"/>
        </w:rPr>
        <w:t>և</w:t>
      </w:r>
      <w:r w:rsidRPr="00834D52">
        <w:rPr>
          <w:rFonts w:ascii="Sylfaen" w:hAnsi="Sylfaen"/>
          <w:sz w:val="24"/>
          <w:szCs w:val="24"/>
        </w:rPr>
        <w:t xml:space="preserve"> կենսաբանական ակտիվության վերաբերյալ տեղեկություններ (անհրաժեշտության դեպքում):</w:t>
      </w:r>
    </w:p>
    <w:p w14:paraId="29A015B6"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դեղահումքի </w:t>
      </w:r>
      <w:r w:rsidR="00C54D75">
        <w:rPr>
          <w:rFonts w:ascii="Sylfaen" w:hAnsi="Sylfaen"/>
          <w:sz w:val="24"/>
          <w:szCs w:val="24"/>
        </w:rPr>
        <w:t>և</w:t>
      </w:r>
      <w:r w:rsidRPr="00834D52">
        <w:rPr>
          <w:rFonts w:ascii="Sylfaen" w:hAnsi="Sylfaen"/>
          <w:sz w:val="24"/>
          <w:szCs w:val="24"/>
        </w:rPr>
        <w:t xml:space="preserve"> բուսական դեղահումքից </w:t>
      </w:r>
      <w:r w:rsidRPr="00834D52">
        <w:rPr>
          <w:rFonts w:ascii="Sylfaen" w:hAnsi="Sylfaen"/>
          <w:sz w:val="24"/>
          <w:szCs w:val="24"/>
        </w:rPr>
        <w:lastRenderedPageBreak/>
        <w:t>ստացված արտադրանքի համար մասնագրերը (անհրաժեշտության դեպքում):</w:t>
      </w:r>
    </w:p>
    <w:p w14:paraId="7D6DB411"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բնական ծագման դեղագործական բաղադրամասի փորձարկման համար օգտագործվող վերլուծական մեթոդիկաները, ներկայացնել դրանց վալիդացման մասին հաշվետվություն (եթե դրանք դեղագրքային չեն), ներառյալ՝ փորձարկան համար օգտագործվող վերլուծական մեթոդիկաների համար փորձառական տվյալները:</w:t>
      </w:r>
    </w:p>
    <w:p w14:paraId="74A1DEEB" w14:textId="77777777" w:rsidR="006F76EB" w:rsidRPr="00834D52" w:rsidRDefault="006F76EB" w:rsidP="0030798D">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Սերիաների վերլուծության տվյալներն անհրաժեշտ է ներկայացնել որպես սերիաների </w:t>
      </w:r>
      <w:r w:rsidR="00C54D75">
        <w:rPr>
          <w:rFonts w:ascii="Sylfaen" w:hAnsi="Sylfaen"/>
          <w:sz w:val="24"/>
          <w:szCs w:val="24"/>
        </w:rPr>
        <w:t>և</w:t>
      </w:r>
      <w:r w:rsidRPr="00834D52">
        <w:rPr>
          <w:rFonts w:ascii="Sylfaen" w:hAnsi="Sylfaen"/>
          <w:sz w:val="24"/>
          <w:szCs w:val="24"/>
        </w:rPr>
        <w:t xml:space="preserve"> բուսական ծագման բաղադրամասերի սերիաների վերլուծությունների այնպիսի արդյունքների նկարագրություն, որոնք ներառում են դեղագրքային սուբստանցիաների համար տվյալներ:</w:t>
      </w:r>
    </w:p>
    <w:p w14:paraId="00F1C932"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Անհրաժեշտության դեպքում հարկավոր է ներկայացնել բուսական ծագման բաղադրամասերի մասնագրերի հիմնավորումը:</w:t>
      </w:r>
    </w:p>
    <w:p w14:paraId="56C04553" w14:textId="77777777"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ներկայացնել բուսական ծագման բաղադրամասերի փորձարկումների համար օգտագործվող նմուշների </w:t>
      </w:r>
      <w:r w:rsidR="00C54D75">
        <w:rPr>
          <w:rFonts w:ascii="Sylfaen" w:hAnsi="Sylfaen"/>
          <w:sz w:val="24"/>
          <w:szCs w:val="24"/>
        </w:rPr>
        <w:t>և</w:t>
      </w:r>
      <w:r w:rsidRPr="00834D52">
        <w:rPr>
          <w:rFonts w:ascii="Sylfaen" w:hAnsi="Sylfaen"/>
          <w:sz w:val="24"/>
          <w:szCs w:val="24"/>
        </w:rPr>
        <w:t xml:space="preserve"> նյութերի ստանդարտների մասին տեղեկատվություն:</w:t>
      </w:r>
    </w:p>
    <w:p w14:paraId="293069E8" w14:textId="410E5A1B" w:rsidR="006F76EB" w:rsidRDefault="006F76EB" w:rsidP="00453EB9">
      <w:pPr>
        <w:spacing w:after="160" w:line="360" w:lineRule="auto"/>
        <w:ind w:right="-6" w:firstLine="567"/>
        <w:jc w:val="both"/>
        <w:rPr>
          <w:rFonts w:ascii="Sylfaen" w:hAnsi="Sylfaen"/>
          <w:sz w:val="24"/>
          <w:szCs w:val="24"/>
        </w:rPr>
      </w:pPr>
      <w:r w:rsidRPr="00834D52">
        <w:rPr>
          <w:rFonts w:ascii="Sylfaen" w:hAnsi="Sylfaen"/>
          <w:sz w:val="24"/>
          <w:szCs w:val="24"/>
        </w:rPr>
        <w:t xml:space="preserve">Եթե բուսական ծագման բաղադրամասի վերաբերյալ մենագրությունը ներառված է Եվրոպական դեղագքրի մեջ, ապա </w:t>
      </w:r>
      <w:r w:rsidR="0056496B">
        <w:rPr>
          <w:rFonts w:ascii="Sylfaen" w:hAnsi="Sylfaen"/>
          <w:sz w:val="24"/>
          <w:szCs w:val="24"/>
        </w:rPr>
        <w:t>դիմումատու</w:t>
      </w:r>
      <w:r w:rsidRPr="00834D52">
        <w:rPr>
          <w:rFonts w:ascii="Sylfaen" w:hAnsi="Sylfaen"/>
          <w:sz w:val="24"/>
          <w:szCs w:val="24"/>
        </w:rPr>
        <w:t>ն կարող է ներկայացնել դեղամիջոցների որակի հարցերով Եվրոպական տնօրինության կողմից տրվող համապատասխանության սերտիֆիկատ (առկայության դեպքում):</w:t>
      </w:r>
    </w:p>
    <w:p w14:paraId="1E7EF8F8" w14:textId="41F268CE" w:rsidR="00CD23DD" w:rsidRPr="006F28F9" w:rsidRDefault="00CD23DD" w:rsidP="00CD23DD">
      <w:pPr>
        <w:rPr>
          <w:b/>
          <w:bCs/>
          <w:i/>
          <w:iCs/>
        </w:rPr>
      </w:pPr>
      <w:r w:rsidRPr="00CD4709">
        <w:rPr>
          <w:b/>
          <w:bCs/>
          <w:i/>
          <w:iCs/>
        </w:rPr>
        <w:t>(</w:t>
      </w:r>
      <w:r>
        <w:rPr>
          <w:b/>
          <w:bCs/>
          <w:i/>
          <w:iCs/>
        </w:rPr>
        <w:t xml:space="preserve">15.1.1 կետը </w:t>
      </w:r>
      <w:r w:rsidRPr="00CD4709">
        <w:rPr>
          <w:b/>
          <w:bCs/>
          <w:i/>
          <w:iCs/>
        </w:rPr>
        <w:t>փոփ. 30.01.20 թիվ 9)</w:t>
      </w:r>
    </w:p>
    <w:p w14:paraId="5EA3A4D5" w14:textId="77777777" w:rsidR="00CD23DD" w:rsidRPr="00834D52" w:rsidRDefault="00CD23DD" w:rsidP="00453EB9">
      <w:pPr>
        <w:spacing w:after="160" w:line="360" w:lineRule="auto"/>
        <w:ind w:right="-6" w:firstLine="567"/>
        <w:jc w:val="both"/>
        <w:rPr>
          <w:rFonts w:ascii="Sylfaen" w:eastAsia="Times New Roman" w:hAnsi="Sylfaen" w:cs="Times New Roman"/>
          <w:sz w:val="24"/>
          <w:szCs w:val="24"/>
        </w:rPr>
      </w:pPr>
    </w:p>
    <w:p w14:paraId="415BA5AC" w14:textId="77777777" w:rsidR="006F76EB" w:rsidRPr="00834D52" w:rsidRDefault="006F76EB" w:rsidP="00453EB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15.1.2.</w:t>
      </w:r>
      <w:r w:rsidRPr="00834D52">
        <w:rPr>
          <w:rFonts w:ascii="Sylfaen" w:hAnsi="Sylfaen"/>
          <w:sz w:val="24"/>
          <w:szCs w:val="24"/>
        </w:rPr>
        <w:tab/>
        <w:t>Դեղաբուսական պատրաստուկներ.</w:t>
      </w:r>
    </w:p>
    <w:p w14:paraId="73EFA0C1" w14:textId="33ECE62B" w:rsidR="006F76EB" w:rsidRPr="00834D52" w:rsidRDefault="006F76EB" w:rsidP="00453EB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Բաղադրության մշակման վերաբերյալ անհրաժեշտ է ներկայացնել ռեզյումե, որի մեջ նկարագրված է դեղաբուսական պատրաստուկի մշակումը` հաշվի առնելով ներմուծման ենթադրվող ուղին </w:t>
      </w:r>
      <w:r w:rsidR="00C54D75">
        <w:rPr>
          <w:rFonts w:ascii="Sylfaen" w:hAnsi="Sylfaen"/>
          <w:sz w:val="24"/>
          <w:szCs w:val="24"/>
        </w:rPr>
        <w:t>և</w:t>
      </w:r>
      <w:r w:rsidRPr="00834D52">
        <w:rPr>
          <w:rFonts w:ascii="Sylfaen" w:hAnsi="Sylfaen"/>
          <w:sz w:val="24"/>
          <w:szCs w:val="24"/>
        </w:rPr>
        <w:t xml:space="preserve"> օգտագործումը: Անհրաժեշտ է վերլուծել </w:t>
      </w:r>
      <w:r w:rsidR="001A5F1A">
        <w:rPr>
          <w:rFonts w:ascii="Sylfaen" w:hAnsi="Sylfaen"/>
          <w:sz w:val="24"/>
          <w:szCs w:val="24"/>
        </w:rPr>
        <w:t>հայտագրված</w:t>
      </w:r>
      <w:r w:rsidRPr="00834D52">
        <w:rPr>
          <w:rFonts w:ascii="Sylfaen" w:hAnsi="Sylfaen"/>
          <w:sz w:val="24"/>
          <w:szCs w:val="24"/>
        </w:rPr>
        <w:t xml:space="preserve"> դեղաբուսական պատրաստուկի բուսաքիմիական բաղադրության </w:t>
      </w:r>
      <w:r w:rsidRPr="00834D52">
        <w:rPr>
          <w:rFonts w:ascii="Sylfaen" w:hAnsi="Sylfaen"/>
          <w:sz w:val="24"/>
          <w:szCs w:val="24"/>
        </w:rPr>
        <w:lastRenderedPageBreak/>
        <w:t>մասին տվյալներն ու մատենագիտության գիտական աղբյուրներում բերված տվյալները:</w:t>
      </w:r>
    </w:p>
    <w:p w14:paraId="4AF7142F" w14:textId="77777777" w:rsidR="006F76EB" w:rsidRPr="00834D52" w:rsidRDefault="006F76EB" w:rsidP="00E902EF">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«Արտադրական պրոցեսի </w:t>
      </w:r>
      <w:r w:rsidR="00C54D75">
        <w:rPr>
          <w:rFonts w:ascii="Sylfaen" w:hAnsi="Sylfaen"/>
          <w:sz w:val="24"/>
          <w:szCs w:val="24"/>
        </w:rPr>
        <w:t>և</w:t>
      </w:r>
      <w:r w:rsidRPr="00834D52">
        <w:rPr>
          <w:rFonts w:ascii="Sylfaen" w:hAnsi="Sylfaen"/>
          <w:sz w:val="24"/>
          <w:szCs w:val="24"/>
        </w:rPr>
        <w:t xml:space="preserve"> դրա հսկողության նկարագրություն» բաժինը դեղաբուսական պատրաստուկի համար պետք է պարունակի պատրաստուկի ստացման արտադրական պրոցեսի վերաբերյալ տեղեկություններ, ներառյալ՝ մշակման, լուծիչների </w:t>
      </w:r>
      <w:r w:rsidR="00C54D75">
        <w:rPr>
          <w:rFonts w:ascii="Sylfaen" w:hAnsi="Sylfaen"/>
          <w:sz w:val="24"/>
          <w:szCs w:val="24"/>
        </w:rPr>
        <w:t>և</w:t>
      </w:r>
      <w:r w:rsidRPr="00834D52">
        <w:rPr>
          <w:rFonts w:ascii="Sylfaen" w:hAnsi="Sylfaen"/>
          <w:sz w:val="24"/>
          <w:szCs w:val="24"/>
        </w:rPr>
        <w:t xml:space="preserve"> ռեագենտների, օժանդակ նյութերի, մաքրման </w:t>
      </w:r>
      <w:r w:rsidR="00C54D75">
        <w:rPr>
          <w:rFonts w:ascii="Sylfaen" w:hAnsi="Sylfaen"/>
          <w:sz w:val="24"/>
          <w:szCs w:val="24"/>
        </w:rPr>
        <w:t>և</w:t>
      </w:r>
      <w:r w:rsidRPr="00834D52">
        <w:rPr>
          <w:rFonts w:ascii="Sylfaen" w:hAnsi="Sylfaen"/>
          <w:sz w:val="24"/>
          <w:szCs w:val="24"/>
        </w:rPr>
        <w:t xml:space="preserve"> ստանդարտացման փուլերի նկարագրությունը (անհրաժեշտության դեպքում):</w:t>
      </w:r>
    </w:p>
    <w:p w14:paraId="03CE2386" w14:textId="77777777" w:rsidR="006F76EB" w:rsidRPr="00834D52" w:rsidRDefault="006F76EB" w:rsidP="00EE00B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15.1.3.</w:t>
      </w:r>
      <w:r w:rsidRPr="00834D52">
        <w:rPr>
          <w:rFonts w:ascii="Sylfaen" w:hAnsi="Sylfaen"/>
          <w:sz w:val="24"/>
          <w:szCs w:val="24"/>
        </w:rPr>
        <w:tab/>
        <w:t xml:space="preserve">Մոդուլներ 4 </w:t>
      </w:r>
      <w:r w:rsidR="00C54D75">
        <w:rPr>
          <w:rFonts w:ascii="Sylfaen" w:hAnsi="Sylfaen"/>
          <w:sz w:val="24"/>
          <w:szCs w:val="24"/>
        </w:rPr>
        <w:t>և</w:t>
      </w:r>
      <w:r w:rsidRPr="00834D52">
        <w:rPr>
          <w:rFonts w:ascii="Sylfaen" w:hAnsi="Sylfaen"/>
          <w:sz w:val="24"/>
          <w:szCs w:val="24"/>
        </w:rPr>
        <w:t xml:space="preserve"> 5.</w:t>
      </w:r>
    </w:p>
    <w:p w14:paraId="163573FE" w14:textId="77777777" w:rsidR="006F76EB" w:rsidRPr="00834D52" w:rsidRDefault="006F76EB" w:rsidP="00E902EF">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(թունաբանական </w:t>
      </w:r>
      <w:r w:rsidR="00C54D75">
        <w:rPr>
          <w:rFonts w:ascii="Sylfaen" w:hAnsi="Sylfaen"/>
          <w:sz w:val="24"/>
          <w:szCs w:val="24"/>
        </w:rPr>
        <w:t>և</w:t>
      </w:r>
      <w:r w:rsidRPr="00834D52">
        <w:rPr>
          <w:rFonts w:ascii="Sylfaen" w:hAnsi="Sylfaen"/>
          <w:sz w:val="24"/>
          <w:szCs w:val="24"/>
        </w:rPr>
        <w:t xml:space="preserve"> դեղաբանական) </w:t>
      </w:r>
      <w:r w:rsidR="00C54D75">
        <w:rPr>
          <w:rFonts w:ascii="Sylfaen" w:hAnsi="Sylfaen"/>
          <w:sz w:val="24"/>
          <w:szCs w:val="24"/>
        </w:rPr>
        <w:t>և</w:t>
      </w:r>
      <w:r w:rsidRPr="00834D52">
        <w:rPr>
          <w:rFonts w:ascii="Sylfaen" w:hAnsi="Sylfaen"/>
          <w:sz w:val="24"/>
          <w:szCs w:val="24"/>
        </w:rPr>
        <w:t xml:space="preserve"> կլինիկական հետազետությունների արդյունքները.</w:t>
      </w:r>
    </w:p>
    <w:p w14:paraId="1BAFA67A"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համակցված բուսական պատրաստուկների դեպքում (ներառյալ վիտամինների </w:t>
      </w:r>
      <w:r w:rsidR="00C54D75">
        <w:rPr>
          <w:rFonts w:ascii="Sylfaen" w:hAnsi="Sylfaen"/>
          <w:sz w:val="24"/>
          <w:szCs w:val="24"/>
        </w:rPr>
        <w:t>և</w:t>
      </w:r>
      <w:r w:rsidRPr="00834D52">
        <w:rPr>
          <w:rFonts w:ascii="Sylfaen" w:hAnsi="Sylfaen"/>
          <w:sz w:val="24"/>
          <w:szCs w:val="24"/>
        </w:rPr>
        <w:t xml:space="preserve"> (կամ) հանքային նյութերի հետ համակցությունները) համակցությունների առանձին բաղադրիչներ բավարար ուսումնասիրված չեն, ապա պետք է ներկայացվեն համակցության յուրաքանչյուր առանձին բաղադրիչի մասին տվյալներ:</w:t>
      </w:r>
    </w:p>
    <w:p w14:paraId="3C924992" w14:textId="77777777" w:rsidR="006F76EB" w:rsidRPr="00834D52" w:rsidRDefault="006F76EB" w:rsidP="00EE00B2">
      <w:pPr>
        <w:tabs>
          <w:tab w:val="left" w:pos="1701"/>
        </w:tabs>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15.2.</w:t>
      </w:r>
      <w:r w:rsidRPr="00834D52">
        <w:rPr>
          <w:rFonts w:ascii="Sylfaen" w:hAnsi="Sylfaen"/>
          <w:sz w:val="24"/>
          <w:szCs w:val="24"/>
        </w:rPr>
        <w:tab/>
        <w:t>Դեղաբուսական պատրաստուկների պարզեցված գրանցման դոսյե.</w:t>
      </w:r>
    </w:p>
    <w:p w14:paraId="531D492B"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Դեղաբուսական պատրաստուկների գրանցման համար պարզեցված գրանցման դեսյեն ներկայացվում է թուրմի, լուծամզվածքի </w:t>
      </w:r>
      <w:r w:rsidR="00C54D75">
        <w:rPr>
          <w:rFonts w:ascii="Sylfaen" w:hAnsi="Sylfaen"/>
          <w:sz w:val="24"/>
          <w:szCs w:val="24"/>
        </w:rPr>
        <w:t>և</w:t>
      </w:r>
      <w:r w:rsidRPr="00834D52">
        <w:rPr>
          <w:rFonts w:ascii="Sylfaen" w:hAnsi="Sylfaen"/>
          <w:sz w:val="24"/>
          <w:szCs w:val="24"/>
        </w:rPr>
        <w:t xml:space="preserve"> այլ դեղաձ</w:t>
      </w:r>
      <w:r w:rsidR="00C54D75">
        <w:rPr>
          <w:rFonts w:ascii="Sylfaen" w:hAnsi="Sylfaen"/>
          <w:sz w:val="24"/>
          <w:szCs w:val="24"/>
        </w:rPr>
        <w:t>և</w:t>
      </w:r>
      <w:r w:rsidRPr="00834D52">
        <w:rPr>
          <w:rFonts w:ascii="Sylfaen" w:hAnsi="Sylfaen"/>
          <w:sz w:val="24"/>
          <w:szCs w:val="24"/>
        </w:rPr>
        <w:t>երով դեղաբուսական դեղապատրաստուկների համար, ինչպես նա</w:t>
      </w:r>
      <w:r w:rsidR="00C54D75">
        <w:rPr>
          <w:rFonts w:ascii="Sylfaen" w:hAnsi="Sylfaen"/>
          <w:sz w:val="24"/>
          <w:szCs w:val="24"/>
        </w:rPr>
        <w:t>և</w:t>
      </w:r>
      <w:r w:rsidRPr="00834D52">
        <w:rPr>
          <w:rFonts w:ascii="Sylfaen" w:hAnsi="Sylfaen"/>
          <w:sz w:val="24"/>
          <w:szCs w:val="24"/>
        </w:rPr>
        <w:t xml:space="preserve"> բույսի մանրացված կամ փոշենման, կտրատած </w:t>
      </w:r>
      <w:r w:rsidR="00C54D75">
        <w:rPr>
          <w:rFonts w:ascii="Sylfaen" w:hAnsi="Sylfaen"/>
          <w:sz w:val="24"/>
          <w:szCs w:val="24"/>
        </w:rPr>
        <w:t>և</w:t>
      </w:r>
      <w:r w:rsidRPr="00834D52">
        <w:rPr>
          <w:rFonts w:ascii="Sylfaen" w:hAnsi="Sylfaen"/>
          <w:sz w:val="24"/>
          <w:szCs w:val="24"/>
        </w:rPr>
        <w:t xml:space="preserve"> մամլած մասերի համար ու այլ պատրաստուկների համար` հետ</w:t>
      </w:r>
      <w:r w:rsidR="00C54D75">
        <w:rPr>
          <w:rFonts w:ascii="Sylfaen" w:hAnsi="Sylfaen"/>
          <w:sz w:val="24"/>
          <w:szCs w:val="24"/>
        </w:rPr>
        <w:t>և</w:t>
      </w:r>
      <w:r w:rsidRPr="00834D52">
        <w:rPr>
          <w:rFonts w:ascii="Sylfaen" w:hAnsi="Sylfaen"/>
          <w:sz w:val="24"/>
          <w:szCs w:val="24"/>
        </w:rPr>
        <w:t>յալ պահանջներին հետ</w:t>
      </w:r>
      <w:r w:rsidR="00C54D75">
        <w:rPr>
          <w:rFonts w:ascii="Sylfaen" w:hAnsi="Sylfaen"/>
          <w:sz w:val="24"/>
          <w:szCs w:val="24"/>
        </w:rPr>
        <w:t>և</w:t>
      </w:r>
      <w:r w:rsidRPr="00834D52">
        <w:rPr>
          <w:rFonts w:ascii="Sylfaen" w:hAnsi="Sylfaen"/>
          <w:sz w:val="24"/>
          <w:szCs w:val="24"/>
        </w:rPr>
        <w:t xml:space="preserve">ելու դեպքում` </w:t>
      </w:r>
    </w:p>
    <w:p w14:paraId="258CDC60" w14:textId="77777777" w:rsidR="006F76EB" w:rsidRPr="00834D52" w:rsidRDefault="006F76EB" w:rsidP="006F508C">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կիրառման ցուցումները համապատասխանում են դեղաբույսի ընդհանուր ճանաչում ունեցող հատկություններին ու բաղադրությանը </w:t>
      </w:r>
      <w:r w:rsidR="00C54D75">
        <w:rPr>
          <w:rFonts w:ascii="Sylfaen" w:hAnsi="Sylfaen"/>
          <w:sz w:val="24"/>
          <w:szCs w:val="24"/>
        </w:rPr>
        <w:t>և</w:t>
      </w:r>
      <w:r w:rsidRPr="00834D52">
        <w:rPr>
          <w:rFonts w:ascii="Sylfaen" w:hAnsi="Sylfaen"/>
          <w:sz w:val="24"/>
          <w:szCs w:val="24"/>
        </w:rPr>
        <w:t xml:space="preserve"> նախատեսված են կանխարգելման կամ բուժման նպատակով առանց բժշկի հսկողության կիրառելու համար.</w:t>
      </w:r>
    </w:p>
    <w:p w14:paraId="27EF1BFA"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բնութագրով կիրառման եղանակների </w:t>
      </w:r>
      <w:r w:rsidR="00C54D75">
        <w:rPr>
          <w:rFonts w:ascii="Sylfaen" w:hAnsi="Sylfaen"/>
          <w:spacing w:val="4"/>
          <w:sz w:val="24"/>
          <w:szCs w:val="24"/>
        </w:rPr>
        <w:t>և</w:t>
      </w:r>
      <w:r w:rsidRPr="00834D52">
        <w:rPr>
          <w:rFonts w:ascii="Sylfaen" w:hAnsi="Sylfaen"/>
          <w:spacing w:val="4"/>
          <w:sz w:val="24"/>
          <w:szCs w:val="24"/>
        </w:rPr>
        <w:t xml:space="preserve"> </w:t>
      </w:r>
      <w:r w:rsidRPr="00834D52">
        <w:rPr>
          <w:rFonts w:ascii="Sylfaen" w:hAnsi="Sylfaen"/>
          <w:spacing w:val="4"/>
          <w:sz w:val="24"/>
          <w:szCs w:val="24"/>
        </w:rPr>
        <w:lastRenderedPageBreak/>
        <w:t>դեղաչափերի դեպքում.</w:t>
      </w:r>
    </w:p>
    <w:p w14:paraId="1B111C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նախատեսված է ներքին ընդունման կամ արտաքին, տեղային </w:t>
      </w:r>
      <w:r w:rsidR="00C54D75">
        <w:rPr>
          <w:rFonts w:ascii="Sylfaen" w:hAnsi="Sylfaen"/>
          <w:spacing w:val="4"/>
          <w:sz w:val="24"/>
          <w:szCs w:val="24"/>
        </w:rPr>
        <w:t>և</w:t>
      </w:r>
      <w:r w:rsidRPr="00834D52">
        <w:rPr>
          <w:rFonts w:ascii="Sylfaen" w:hAnsi="Sylfaen"/>
          <w:spacing w:val="4"/>
          <w:sz w:val="24"/>
          <w:szCs w:val="24"/>
        </w:rPr>
        <w:t xml:space="preserve"> (կամ) ինհալացիայի միջոցով կիրառման համար.</w:t>
      </w:r>
    </w:p>
    <w:p w14:paraId="7A714E2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դեղաբուսական պատրաստուկի կիրառման անվտանգությունը հիմնված է երկարատ</w:t>
      </w:r>
      <w:r w:rsidR="00C54D75">
        <w:rPr>
          <w:rFonts w:ascii="Sylfaen" w:hAnsi="Sylfaen"/>
          <w:spacing w:val="4"/>
          <w:sz w:val="24"/>
          <w:szCs w:val="24"/>
        </w:rPr>
        <w:t>և</w:t>
      </w:r>
      <w:r w:rsidRPr="00834D52">
        <w:rPr>
          <w:rFonts w:ascii="Sylfaen" w:hAnsi="Sylfaen"/>
          <w:spacing w:val="4"/>
          <w:sz w:val="24"/>
          <w:szCs w:val="24"/>
        </w:rPr>
        <w:t xml:space="preserve"> փորձի վրա (3-ից ոչ պակաս անդամ պետություններում դեղաբուսական պատրաստուկի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հիմնավորված կիրառման օրվանից 10 տարուց ոչ պակաս).</w:t>
      </w:r>
    </w:p>
    <w:p w14:paraId="67CFBCB4" w14:textId="77777777" w:rsidR="006F76EB" w:rsidRPr="00834D52" w:rsidRDefault="006F76EB" w:rsidP="006F508C">
      <w:pPr>
        <w:spacing w:after="160" w:line="372"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մականշվածքը </w:t>
      </w:r>
      <w:r w:rsidR="00C54D75">
        <w:rPr>
          <w:rFonts w:ascii="Sylfaen" w:hAnsi="Sylfaen"/>
          <w:spacing w:val="4"/>
          <w:sz w:val="24"/>
          <w:szCs w:val="24"/>
        </w:rPr>
        <w:t>և</w:t>
      </w:r>
      <w:r w:rsidRPr="00834D52">
        <w:rPr>
          <w:rFonts w:ascii="Sylfaen" w:hAnsi="Sylfaen"/>
          <w:spacing w:val="4"/>
          <w:sz w:val="24"/>
          <w:szCs w:val="24"/>
        </w:rPr>
        <w:t xml:space="preserve"> բժշկական կիրառման հրահանգը (ներդիր թերթիկը) պետք է պարունակեն նշումներ հետ</w:t>
      </w:r>
      <w:r w:rsidR="00C54D75">
        <w:rPr>
          <w:rFonts w:ascii="Sylfaen" w:hAnsi="Sylfaen"/>
          <w:spacing w:val="4"/>
          <w:sz w:val="24"/>
          <w:szCs w:val="24"/>
        </w:rPr>
        <w:t>և</w:t>
      </w:r>
      <w:r w:rsidRPr="00834D52">
        <w:rPr>
          <w:rFonts w:ascii="Sylfaen" w:hAnsi="Sylfaen"/>
          <w:spacing w:val="4"/>
          <w:sz w:val="24"/>
          <w:szCs w:val="24"/>
        </w:rPr>
        <w:t xml:space="preserve">յալի մասին` </w:t>
      </w:r>
    </w:p>
    <w:p w14:paraId="27872886"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պատրաստուկը դեղաբուսական պատրաստուկ է կիրառման երկարատ</w:t>
      </w:r>
      <w:r w:rsidR="00C54D75">
        <w:rPr>
          <w:rFonts w:ascii="Sylfaen" w:hAnsi="Sylfaen"/>
          <w:spacing w:val="4"/>
          <w:sz w:val="24"/>
          <w:szCs w:val="24"/>
        </w:rPr>
        <w:t>և</w:t>
      </w:r>
      <w:r w:rsidRPr="00834D52">
        <w:rPr>
          <w:rFonts w:ascii="Sylfaen" w:hAnsi="Sylfaen"/>
          <w:spacing w:val="4"/>
          <w:sz w:val="24"/>
          <w:szCs w:val="24"/>
        </w:rPr>
        <w:t xml:space="preserve"> փորձի հիման վրա նշված նշանակմամբ կիրառելու համար.</w:t>
      </w:r>
    </w:p>
    <w:p w14:paraId="072A5C13" w14:textId="77777777"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սպառողը պետք է խորհրդակցի բժշկի կամ որակավորված բժշկական մասնագետի հետ, եթե դեղամիջոցը կիրառելիս պահպանվում են ախտանիշներ կամ նկատվում են բժշկական կիրառման հրահանգի (ներդիր թերթիկի) մեջ չնշված անցանկալի ռեակցիաներ: </w:t>
      </w:r>
    </w:p>
    <w:p w14:paraId="7F1AEBA3" w14:textId="1314356A" w:rsidR="006F76EB" w:rsidRPr="00834D52" w:rsidRDefault="006F76EB" w:rsidP="008406B4">
      <w:pPr>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Դեղաբուսական պատրաստուկի բաղադրության մեջ վիտամինների </w:t>
      </w:r>
      <w:r w:rsidR="00C54D75">
        <w:rPr>
          <w:rFonts w:ascii="Sylfaen" w:hAnsi="Sylfaen"/>
          <w:spacing w:val="4"/>
          <w:sz w:val="24"/>
          <w:szCs w:val="24"/>
        </w:rPr>
        <w:t>և</w:t>
      </w:r>
      <w:r w:rsidRPr="00834D52">
        <w:rPr>
          <w:rFonts w:ascii="Sylfaen" w:hAnsi="Sylfaen"/>
          <w:spacing w:val="4"/>
          <w:sz w:val="24"/>
          <w:szCs w:val="24"/>
        </w:rPr>
        <w:t xml:space="preserve"> հանքային նյութերի առկայության դեպքում գրանցման պարզեցված ընթացակարգն անցկացվում է պայմանով, որ ներկայացված են կիրառման </w:t>
      </w:r>
      <w:r w:rsidR="001A5F1A">
        <w:rPr>
          <w:rFonts w:ascii="Sylfaen" w:hAnsi="Sylfaen"/>
          <w:spacing w:val="4"/>
          <w:sz w:val="24"/>
          <w:szCs w:val="24"/>
        </w:rPr>
        <w:t>հայտագրված</w:t>
      </w:r>
      <w:r w:rsidRPr="00834D52">
        <w:rPr>
          <w:rFonts w:ascii="Sylfaen" w:hAnsi="Sylfaen"/>
          <w:spacing w:val="4"/>
          <w:sz w:val="24"/>
          <w:szCs w:val="24"/>
        </w:rPr>
        <w:t xml:space="preserve"> ցուցումների առնչությամբ հիմնավորված տվյալներ, որոնք ապացուցում են, որ վիտամինները կամ հանքային նյութերն ունեն բուսական ակտիվ բաղադրամասերի ազդեցությանն օժանդակող ազդեցություն:</w:t>
      </w:r>
    </w:p>
    <w:p w14:paraId="46CEC8E5" w14:textId="77777777" w:rsidR="006F76EB" w:rsidRPr="00834D52" w:rsidRDefault="006F76EB" w:rsidP="008406B4">
      <w:pPr>
        <w:tabs>
          <w:tab w:val="left" w:pos="1701"/>
        </w:tabs>
        <w:spacing w:after="160" w:line="360" w:lineRule="auto"/>
        <w:ind w:right="-6" w:firstLine="567"/>
        <w:jc w:val="both"/>
        <w:rPr>
          <w:rFonts w:ascii="Sylfaen" w:eastAsia="Times New Roman" w:hAnsi="Sylfaen" w:cs="Times New Roman"/>
          <w:spacing w:val="4"/>
          <w:sz w:val="24"/>
          <w:szCs w:val="24"/>
        </w:rPr>
      </w:pPr>
      <w:r w:rsidRPr="00834D52">
        <w:rPr>
          <w:rFonts w:ascii="Sylfaen" w:hAnsi="Sylfaen"/>
          <w:spacing w:val="4"/>
          <w:sz w:val="24"/>
          <w:szCs w:val="24"/>
        </w:rPr>
        <w:t>15.2.1.</w:t>
      </w:r>
      <w:r w:rsidRPr="00834D52">
        <w:rPr>
          <w:rFonts w:ascii="Sylfaen" w:hAnsi="Sylfaen"/>
          <w:spacing w:val="4"/>
          <w:sz w:val="24"/>
          <w:szCs w:val="24"/>
        </w:rPr>
        <w:tab/>
        <w:t>Մոդուլ 2.</w:t>
      </w:r>
    </w:p>
    <w:p w14:paraId="05FDDCA0" w14:textId="77777777" w:rsidR="006F76EB" w:rsidRPr="00834D52" w:rsidRDefault="006F76EB" w:rsidP="008406B4">
      <w:pPr>
        <w:spacing w:after="160" w:line="360" w:lineRule="auto"/>
        <w:ind w:right="-6" w:firstLine="567"/>
        <w:jc w:val="both"/>
        <w:rPr>
          <w:rFonts w:ascii="Sylfaen" w:eastAsia="Times New Roman" w:hAnsi="Sylfaen" w:cs="Times New Roman"/>
          <w:vanish/>
          <w:spacing w:val="4"/>
          <w:sz w:val="24"/>
          <w:szCs w:val="24"/>
        </w:rPr>
      </w:pPr>
      <w:r w:rsidRPr="00834D52">
        <w:rPr>
          <w:rFonts w:ascii="Sylfaen" w:hAnsi="Sylfaen"/>
          <w:spacing w:val="4"/>
          <w:sz w:val="24"/>
          <w:szCs w:val="24"/>
        </w:rPr>
        <w:t xml:space="preserve">Մատենագիտական տվյալները կամ 2.4 </w:t>
      </w:r>
      <w:r w:rsidR="00C54D75">
        <w:rPr>
          <w:rFonts w:ascii="Sylfaen" w:hAnsi="Sylfaen"/>
          <w:spacing w:val="4"/>
          <w:sz w:val="24"/>
          <w:szCs w:val="24"/>
        </w:rPr>
        <w:t>և</w:t>
      </w:r>
      <w:r w:rsidRPr="00834D52">
        <w:rPr>
          <w:rFonts w:ascii="Sylfaen" w:hAnsi="Sylfaen"/>
          <w:spacing w:val="4"/>
          <w:sz w:val="24"/>
          <w:szCs w:val="24"/>
        </w:rPr>
        <w:t xml:space="preserve"> 2.5 բաժինները պատրաստող մասնագետի եզրակացությունն այն մասին, որ դիտարկվող դեղաբուսական պատրաստուկը կամ համապատասխան պատրաստուկն օգտագործվել է բոլոր անդամ պետություններում առաջին սիստեմատիկ </w:t>
      </w:r>
      <w:r w:rsidR="00C54D75">
        <w:rPr>
          <w:rFonts w:ascii="Sylfaen" w:hAnsi="Sylfaen"/>
          <w:spacing w:val="4"/>
          <w:sz w:val="24"/>
          <w:szCs w:val="24"/>
        </w:rPr>
        <w:t>և</w:t>
      </w:r>
      <w:r w:rsidRPr="00834D52">
        <w:rPr>
          <w:rFonts w:ascii="Sylfaen" w:hAnsi="Sylfaen"/>
          <w:spacing w:val="4"/>
          <w:sz w:val="24"/>
          <w:szCs w:val="24"/>
        </w:rPr>
        <w:t xml:space="preserve"> փաստաթղթերով </w:t>
      </w:r>
      <w:r w:rsidRPr="00834D52">
        <w:rPr>
          <w:rFonts w:ascii="Sylfaen" w:hAnsi="Sylfaen"/>
          <w:spacing w:val="4"/>
          <w:sz w:val="24"/>
          <w:szCs w:val="24"/>
        </w:rPr>
        <w:lastRenderedPageBreak/>
        <w:t>հիմնավորված կիրառման օրվանից 10 տարուց ոչ պակաս:</w:t>
      </w:r>
    </w:p>
    <w:p w14:paraId="77059B05" w14:textId="77777777" w:rsidR="006F76EB" w:rsidRPr="00834D52" w:rsidRDefault="006F76EB" w:rsidP="0084340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15.2.2.</w:t>
      </w:r>
      <w:r w:rsidRPr="00834D52">
        <w:rPr>
          <w:rFonts w:ascii="Sylfaen" w:hAnsi="Sylfaen"/>
          <w:sz w:val="24"/>
          <w:szCs w:val="24"/>
        </w:rPr>
        <w:tab/>
        <w:t>Պարզեցված գրանցման դոսյեի փաստաթղթերի ցանկը.</w:t>
      </w:r>
    </w:p>
    <w:p w14:paraId="2D191829" w14:textId="52412191" w:rsidR="006F76EB" w:rsidRPr="009D2161" w:rsidRDefault="006F76EB" w:rsidP="00843404">
      <w:pPr>
        <w:spacing w:after="160" w:line="360" w:lineRule="auto"/>
        <w:ind w:right="-8" w:firstLine="567"/>
        <w:jc w:val="both"/>
        <w:rPr>
          <w:rFonts w:ascii="Sylfaen" w:hAnsi="Sylfaen"/>
          <w:sz w:val="24"/>
          <w:szCs w:val="24"/>
        </w:rPr>
      </w:pPr>
      <w:r w:rsidRPr="00834D52">
        <w:rPr>
          <w:rFonts w:ascii="Sylfaen" w:hAnsi="Sylfaen"/>
          <w:sz w:val="24"/>
          <w:szCs w:val="24"/>
        </w:rPr>
        <w:t xml:space="preserve">Սերիայից սերիա պատրաստուկի դեղագործական որակը </w:t>
      </w:r>
      <w:r w:rsidR="00C54D75">
        <w:rPr>
          <w:rFonts w:ascii="Sylfaen" w:hAnsi="Sylfaen"/>
          <w:sz w:val="24"/>
          <w:szCs w:val="24"/>
        </w:rPr>
        <w:t>և</w:t>
      </w:r>
      <w:r w:rsidRPr="00834D52">
        <w:rPr>
          <w:rFonts w:ascii="Sylfaen" w:hAnsi="Sylfaen"/>
          <w:sz w:val="24"/>
          <w:szCs w:val="24"/>
        </w:rPr>
        <w:t xml:space="preserve"> համասեռությունը հաստատելու համար </w:t>
      </w:r>
      <w:r w:rsidR="0056496B">
        <w:rPr>
          <w:rFonts w:ascii="Sylfaen" w:hAnsi="Sylfaen"/>
          <w:sz w:val="24"/>
          <w:szCs w:val="24"/>
        </w:rPr>
        <w:t>դիմում</w:t>
      </w:r>
      <w:r w:rsidRPr="00834D52">
        <w:rPr>
          <w:rFonts w:ascii="Sylfaen" w:hAnsi="Sylfaen"/>
          <w:sz w:val="24"/>
          <w:szCs w:val="24"/>
        </w:rPr>
        <w:t>ն ուղեկցվում է 1</w:t>
      </w:r>
      <w:r>
        <w:rPr>
          <w:rFonts w:ascii="Sylfaen" w:hAnsi="Sylfaen"/>
          <w:sz w:val="24"/>
          <w:szCs w:val="24"/>
        </w:rPr>
        <w:t>-</w:t>
      </w:r>
      <w:r w:rsidRPr="00834D52">
        <w:rPr>
          <w:rFonts w:ascii="Sylfaen" w:hAnsi="Sylfaen"/>
          <w:sz w:val="24"/>
          <w:szCs w:val="24"/>
        </w:rPr>
        <w:t xml:space="preserve">3 մոդուլներից կազմված գրանցման դոսյեով` Հանձնաժողովի կողմից հաստատվող` Բժշկական կիրառման դեղապատրաստուկների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4 հավելվածին համապատասխան: Գրանցման դոսյեի 4-րդ </w:t>
      </w:r>
      <w:r w:rsidR="00C54D75">
        <w:rPr>
          <w:rFonts w:ascii="Sylfaen" w:hAnsi="Sylfaen"/>
          <w:sz w:val="24"/>
          <w:szCs w:val="24"/>
        </w:rPr>
        <w:t>և</w:t>
      </w:r>
      <w:r w:rsidRPr="00834D52">
        <w:rPr>
          <w:rFonts w:ascii="Sylfaen" w:hAnsi="Sylfaen"/>
          <w:sz w:val="24"/>
          <w:szCs w:val="24"/>
        </w:rPr>
        <w:t xml:space="preserve"> 5-րդ մոդուլները ձ</w:t>
      </w:r>
      <w:r w:rsidR="00C54D75">
        <w:rPr>
          <w:rFonts w:ascii="Sylfaen" w:hAnsi="Sylfaen"/>
          <w:sz w:val="24"/>
          <w:szCs w:val="24"/>
        </w:rPr>
        <w:t>և</w:t>
      </w:r>
      <w:r w:rsidRPr="00834D52">
        <w:rPr>
          <w:rFonts w:ascii="Sylfaen" w:hAnsi="Sylfaen"/>
          <w:sz w:val="24"/>
          <w:szCs w:val="24"/>
        </w:rPr>
        <w:t xml:space="preserve">ավորվում են մատենագիտական աբյուրների պատճեններով </w:t>
      </w:r>
      <w:r w:rsidR="00C54D75">
        <w:rPr>
          <w:rFonts w:ascii="Sylfaen" w:hAnsi="Sylfaen"/>
          <w:sz w:val="24"/>
          <w:szCs w:val="24"/>
        </w:rPr>
        <w:t>և</w:t>
      </w:r>
      <w:r w:rsidRPr="00834D52">
        <w:rPr>
          <w:rFonts w:ascii="Sylfaen" w:hAnsi="Sylfaen"/>
          <w:sz w:val="24"/>
          <w:szCs w:val="24"/>
        </w:rPr>
        <w:t xml:space="preserve"> այն տվյալներով, որոնց վրա են հիմնված գրանցման դոսյեի 2-րդ մոդուլի </w:t>
      </w:r>
      <w:r w:rsidRPr="00834D52">
        <w:rPr>
          <w:rFonts w:ascii="Sylfaen" w:hAnsi="Sylfaen"/>
          <w:sz w:val="24"/>
          <w:szCs w:val="24"/>
        </w:rPr>
        <w:br/>
        <w:t xml:space="preserve">2.4 </w:t>
      </w:r>
      <w:r w:rsidR="00C54D75">
        <w:rPr>
          <w:rFonts w:ascii="Sylfaen" w:hAnsi="Sylfaen"/>
          <w:sz w:val="24"/>
          <w:szCs w:val="24"/>
        </w:rPr>
        <w:t>և</w:t>
      </w:r>
      <w:r w:rsidRPr="00834D52">
        <w:rPr>
          <w:rFonts w:ascii="Sylfaen" w:hAnsi="Sylfaen"/>
          <w:sz w:val="24"/>
          <w:szCs w:val="24"/>
        </w:rPr>
        <w:t xml:space="preserve"> 2.5 բաժինների՝ մասնագետների կողմից պատրաստված տեղեկագրերը:</w:t>
      </w:r>
    </w:p>
    <w:p w14:paraId="36C0B4C9" w14:textId="77777777" w:rsidR="006F76EB" w:rsidRPr="00834D52" w:rsidRDefault="006F76EB" w:rsidP="00843404">
      <w:pPr>
        <w:spacing w:after="160" w:line="360" w:lineRule="auto"/>
        <w:ind w:left="567" w:right="565"/>
        <w:jc w:val="center"/>
        <w:rPr>
          <w:rFonts w:ascii="Sylfaen" w:eastAsia="Times New Roman" w:hAnsi="Sylfaen" w:cs="Times New Roman"/>
          <w:sz w:val="24"/>
          <w:szCs w:val="24"/>
        </w:rPr>
      </w:pPr>
      <w:r w:rsidRPr="00834D52">
        <w:rPr>
          <w:rFonts w:ascii="Sylfaen" w:hAnsi="Sylfaen"/>
          <w:sz w:val="24"/>
          <w:szCs w:val="24"/>
        </w:rPr>
        <w:t>16. Հազվադեպ կիրառվող (որբ) պատրաստուկներ</w:t>
      </w:r>
      <w:r w:rsidRPr="00834D52">
        <w:rPr>
          <w:rFonts w:ascii="Sylfaen" w:hAnsi="Sylfaen"/>
          <w:sz w:val="24"/>
          <w:szCs w:val="24"/>
        </w:rPr>
        <w:br/>
        <w:t xml:space="preserve">(հազվադեպ հիվանդությունների բուժման համար </w:t>
      </w:r>
      <w:r w:rsidRPr="00834D52">
        <w:rPr>
          <w:rFonts w:ascii="Sylfaen" w:hAnsi="Sylfaen"/>
          <w:sz w:val="24"/>
          <w:szCs w:val="24"/>
        </w:rPr>
        <w:br/>
        <w:t>նախատեսված պատրաստուկներ)</w:t>
      </w:r>
    </w:p>
    <w:p w14:paraId="19E45F55" w14:textId="30AC97AC" w:rsidR="006F76EB" w:rsidRPr="00834D52" w:rsidRDefault="006F76EB" w:rsidP="0084340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Հազվադեպ կիրառվող (որբ) պատրաստուկների դեպքում կարող են կիրառվել II մասի հիմնական դրույթները (բացառիկ հանգամանքներ): </w:t>
      </w:r>
      <w:r w:rsidR="0056496B">
        <w:rPr>
          <w:rFonts w:ascii="Sylfaen" w:hAnsi="Sylfaen"/>
          <w:sz w:val="24"/>
          <w:szCs w:val="24"/>
        </w:rPr>
        <w:t>Դիմումատու</w:t>
      </w:r>
      <w:r w:rsidRPr="00834D52">
        <w:rPr>
          <w:rFonts w:ascii="Sylfaen" w:hAnsi="Sylfaen"/>
          <w:sz w:val="24"/>
          <w:szCs w:val="24"/>
        </w:rPr>
        <w:t xml:space="preserve">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ռեզյումեի մեջ պետք է հիմնավորի այն պատճառները, ըստ որոնց հնարավոր չէ ներկայացնել ամբողջ տեղեկատվությունը, </w:t>
      </w:r>
      <w:r w:rsidR="00C54D75">
        <w:rPr>
          <w:rFonts w:ascii="Sylfaen" w:hAnsi="Sylfaen"/>
          <w:sz w:val="24"/>
          <w:szCs w:val="24"/>
        </w:rPr>
        <w:t>և</w:t>
      </w:r>
      <w:r w:rsidRPr="00834D52">
        <w:rPr>
          <w:rFonts w:ascii="Sylfaen" w:hAnsi="Sylfaen"/>
          <w:sz w:val="24"/>
          <w:szCs w:val="24"/>
        </w:rPr>
        <w:t xml:space="preserve"> ներկայացնի դիտարկվող հազվադեպ կիրառվող (որբ) պատրաստուկների համար օգուտի </w:t>
      </w:r>
      <w:r w:rsidR="00C54D75">
        <w:rPr>
          <w:rFonts w:ascii="Sylfaen" w:hAnsi="Sylfaen"/>
          <w:sz w:val="24"/>
          <w:szCs w:val="24"/>
        </w:rPr>
        <w:t>և</w:t>
      </w:r>
      <w:r w:rsidRPr="00834D52">
        <w:rPr>
          <w:rFonts w:ascii="Sylfaen" w:hAnsi="Sylfaen"/>
          <w:sz w:val="24"/>
          <w:szCs w:val="24"/>
        </w:rPr>
        <w:t xml:space="preserve"> ռիսկի հարաբերակցության հիմնավորումը:</w:t>
      </w:r>
    </w:p>
    <w:p w14:paraId="692A1153" w14:textId="77777777" w:rsidR="006F76EB" w:rsidRPr="00834D52" w:rsidRDefault="006F76EB" w:rsidP="00843404">
      <w:pPr>
        <w:spacing w:after="0" w:line="240" w:lineRule="auto"/>
        <w:ind w:right="-8"/>
        <w:jc w:val="center"/>
        <w:rPr>
          <w:rFonts w:ascii="Sylfaen" w:hAnsi="Sylfaen"/>
          <w:sz w:val="24"/>
          <w:szCs w:val="24"/>
        </w:rPr>
      </w:pPr>
    </w:p>
    <w:p w14:paraId="0DE78801" w14:textId="77777777" w:rsidR="006F76EB" w:rsidRPr="00834D52" w:rsidRDefault="006F76EB" w:rsidP="00A63AE9">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 xml:space="preserve">IV. Բարձր տեխնոլոգիական </w:t>
      </w:r>
      <w:r w:rsidR="00A63AE9" w:rsidRPr="009D2161">
        <w:rPr>
          <w:rFonts w:ascii="Sylfaen" w:hAnsi="Sylfaen"/>
          <w:sz w:val="24"/>
          <w:szCs w:val="24"/>
        </w:rPr>
        <w:br/>
      </w:r>
      <w:r w:rsidRPr="00834D52">
        <w:rPr>
          <w:rFonts w:ascii="Sylfaen" w:hAnsi="Sylfaen"/>
          <w:sz w:val="24"/>
          <w:szCs w:val="24"/>
        </w:rPr>
        <w:t>դեղապատրաստուկներ</w:t>
      </w:r>
    </w:p>
    <w:p w14:paraId="06594298" w14:textId="77777777" w:rsidR="006F76EB" w:rsidRPr="00834D52" w:rsidRDefault="006F76EB" w:rsidP="00352FF1">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17.1.</w:t>
      </w:r>
      <w:r w:rsidRPr="00834D52">
        <w:rPr>
          <w:rFonts w:ascii="Sylfaen" w:hAnsi="Sylfaen"/>
          <w:sz w:val="24"/>
          <w:szCs w:val="24"/>
        </w:rPr>
        <w:tab/>
        <w:t>Ներածություն.</w:t>
      </w:r>
    </w:p>
    <w:p w14:paraId="295C657C" w14:textId="77777777" w:rsidR="006F76EB" w:rsidRPr="00834D52" w:rsidRDefault="006F76EB" w:rsidP="00A63AE9">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Բարձր տեխնոլոգիական դեղապատրաստուկների գրանցման դոսյեի համար անհրաժեշտ է պահպանել սույն հավելվածի I մասում նկարագրված ձ</w:t>
      </w:r>
      <w:r w:rsidR="00C54D75">
        <w:rPr>
          <w:rFonts w:ascii="Sylfaen" w:hAnsi="Sylfaen"/>
          <w:sz w:val="24"/>
          <w:szCs w:val="24"/>
        </w:rPr>
        <w:t>և</w:t>
      </w:r>
      <w:r w:rsidRPr="00834D52">
        <w:rPr>
          <w:rFonts w:ascii="Sylfaen" w:hAnsi="Sylfaen"/>
          <w:sz w:val="24"/>
          <w:szCs w:val="24"/>
        </w:rPr>
        <w:t>աչափին ներկայացվող պահանջները (գրանցման դոսյեի 1</w:t>
      </w:r>
      <w:r w:rsidRPr="008341C7">
        <w:rPr>
          <w:rFonts w:ascii="Sylfaen" w:hAnsi="Sylfaen"/>
          <w:sz w:val="24"/>
          <w:szCs w:val="24"/>
        </w:rPr>
        <w:t>-</w:t>
      </w:r>
      <w:r w:rsidRPr="00834D52">
        <w:rPr>
          <w:rFonts w:ascii="Sylfaen" w:hAnsi="Sylfaen"/>
          <w:sz w:val="24"/>
          <w:szCs w:val="24"/>
        </w:rPr>
        <w:t>5-րդ մոդուլներ):</w:t>
      </w:r>
    </w:p>
    <w:p w14:paraId="58AE1C96"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3-5-րդ մոդուլներին ներկայացվող տեխնիկական պահանջները կարող են </w:t>
      </w:r>
      <w:r w:rsidRPr="00834D52">
        <w:rPr>
          <w:rFonts w:ascii="Sylfaen" w:hAnsi="Sylfaen"/>
          <w:sz w:val="24"/>
          <w:szCs w:val="24"/>
        </w:rPr>
        <w:lastRenderedPageBreak/>
        <w:t xml:space="preserve">կիրառվել բարձր տեխնոլոգիական կենսաբանական դեղապատրաստուկների նկատմամբ, ինչպես նկարագրված է սույն հավելվածի I մասում: Սույն մասի </w:t>
      </w:r>
      <w:r w:rsidRPr="00834D52">
        <w:rPr>
          <w:rFonts w:ascii="Sylfaen" w:hAnsi="Sylfaen"/>
          <w:sz w:val="24"/>
          <w:szCs w:val="24"/>
        </w:rPr>
        <w:br/>
        <w:t xml:space="preserve">17.3, 17.4 </w:t>
      </w:r>
      <w:r w:rsidR="00C54D75">
        <w:rPr>
          <w:rFonts w:ascii="Sylfaen" w:hAnsi="Sylfaen"/>
          <w:sz w:val="24"/>
          <w:szCs w:val="24"/>
        </w:rPr>
        <w:t>և</w:t>
      </w:r>
      <w:r w:rsidRPr="00834D52">
        <w:rPr>
          <w:rFonts w:ascii="Sylfaen" w:hAnsi="Sylfaen"/>
          <w:sz w:val="24"/>
          <w:szCs w:val="24"/>
        </w:rPr>
        <w:t xml:space="preserve"> 17.5 բաժիններում նկարագրված՝ բարձր տեխնոլոգիական դեղապատրաստուկներին ներկայացվող հատուկ պահանջներով բացատրվում է, թե ինչպես են բարձր տեխնոլոգիական դեղապատրաստուկների նկատմամբ կիրառվում սույն հավելվածի I մասի պահանջները:</w:t>
      </w:r>
    </w:p>
    <w:p w14:paraId="2A8B9ED4"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սպեցիֆիկ բնույթը՝ կարող է կիրառվել ռիսկի վերլուծության վրա հիմնված մոտեցում՝ անհրաժեշտ տեղեկությունների ծավալը </w:t>
      </w:r>
      <w:r w:rsidR="00C54D75">
        <w:rPr>
          <w:rFonts w:ascii="Sylfaen" w:hAnsi="Sylfaen"/>
          <w:sz w:val="24"/>
          <w:szCs w:val="24"/>
        </w:rPr>
        <w:t>և</w:t>
      </w:r>
      <w:r w:rsidRPr="00834D52">
        <w:rPr>
          <w:rFonts w:ascii="Sylfaen" w:hAnsi="Sylfaen"/>
          <w:sz w:val="24"/>
          <w:szCs w:val="24"/>
        </w:rPr>
        <w:t xml:space="preserve"> որակին, նախակլինիկական ու կլինիկական ուսումնասիրությանը ներկայացվող պահանջները որոշելու համար, դրանք, Միության կիրառելի ձեռնարկներին կամ վերջինների բացակայության դեպքում՝ անդամ պետությունների ձեռնարկներին համապատասխան, գրանցման հավաստագրի մեջ ներառելու համար:</w:t>
      </w:r>
    </w:p>
    <w:p w14:paraId="4958F9EA" w14:textId="77777777" w:rsidR="006F76EB" w:rsidRPr="00834D52" w:rsidRDefault="006F76EB" w:rsidP="00A63AE9">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Ռիսկերի վերլուծությունը կարող է ներառել մշակման ողջ գործընթացը: Ռիսկի այն գործոնները, որոնք կարող են դիտարկվել, ներառում են բջիջների ծագումը (աուտոլոգիկ, ալլոգեն, քսենոգեն), բջիջների բազմացման (պրոլիֆերացիայի) </w:t>
      </w:r>
      <w:r w:rsidR="00C54D75">
        <w:rPr>
          <w:rFonts w:ascii="Sylfaen" w:hAnsi="Sylfaen"/>
          <w:sz w:val="24"/>
          <w:szCs w:val="24"/>
        </w:rPr>
        <w:t>և</w:t>
      </w:r>
      <w:r w:rsidRPr="00834D52">
        <w:rPr>
          <w:rFonts w:ascii="Sylfaen" w:hAnsi="Sylfaen"/>
          <w:sz w:val="24"/>
          <w:szCs w:val="24"/>
        </w:rPr>
        <w:t xml:space="preserve"> (կամ) տարբերակման (դիֆերենցման) ունակությունը, իմունային պատասխան առաջացնելու ունակությունը, բջիջների հետ մանիպուլյացիան, կենսաակտիվ մոլեկուլների կամ բժշկական արտադրատեսակների հետ բջիջների համակցությունը, գենոթերապ</w:t>
      </w:r>
      <w:r w:rsidR="00C54D75">
        <w:rPr>
          <w:rFonts w:ascii="Sylfaen" w:hAnsi="Sylfaen"/>
          <w:sz w:val="24"/>
          <w:szCs w:val="24"/>
        </w:rPr>
        <w:t>և</w:t>
      </w:r>
      <w:r w:rsidRPr="00834D52">
        <w:rPr>
          <w:rFonts w:ascii="Sylfaen" w:hAnsi="Sylfaen"/>
          <w:sz w:val="24"/>
          <w:szCs w:val="24"/>
        </w:rPr>
        <w:t>տիկ դեղապատրաստուկի բնույթը, վիրուսների ռեպլիկացիայի կամ in vivo-ում օգտագործվող միկրոօրգանիզմների բազմացման ունակությունը, նուկլեինաթթուների կամ գեներից գենոմ հաջորդականության ինտեգրման աստիճանը, գործելու (գոյության) տ</w:t>
      </w:r>
      <w:r w:rsidR="00C54D75">
        <w:rPr>
          <w:rFonts w:ascii="Sylfaen" w:hAnsi="Sylfaen"/>
          <w:sz w:val="24"/>
          <w:szCs w:val="24"/>
        </w:rPr>
        <w:t>և</w:t>
      </w:r>
      <w:r w:rsidRPr="00834D52">
        <w:rPr>
          <w:rFonts w:ascii="Sylfaen" w:hAnsi="Sylfaen"/>
          <w:sz w:val="24"/>
          <w:szCs w:val="24"/>
        </w:rPr>
        <w:t xml:space="preserve">ողությունը, ուռուցքածնության ռիսկը </w:t>
      </w:r>
      <w:r w:rsidR="00C54D75">
        <w:rPr>
          <w:rFonts w:ascii="Sylfaen" w:hAnsi="Sylfaen"/>
          <w:sz w:val="24"/>
          <w:szCs w:val="24"/>
        </w:rPr>
        <w:t>և</w:t>
      </w:r>
      <w:r w:rsidRPr="00834D52">
        <w:rPr>
          <w:rFonts w:ascii="Sylfaen" w:hAnsi="Sylfaen"/>
          <w:sz w:val="24"/>
          <w:szCs w:val="24"/>
        </w:rPr>
        <w:t xml:space="preserve"> ներմուծման ուղին կամ օգտագործման եղանակը:</w:t>
      </w:r>
    </w:p>
    <w:p w14:paraId="75786A1C"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Ոչ կլինիկական </w:t>
      </w:r>
      <w:r w:rsidR="00C54D75">
        <w:rPr>
          <w:rFonts w:ascii="Sylfaen" w:hAnsi="Sylfaen"/>
          <w:sz w:val="24"/>
          <w:szCs w:val="24"/>
        </w:rPr>
        <w:t>և</w:t>
      </w:r>
      <w:r w:rsidRPr="00834D52">
        <w:rPr>
          <w:rFonts w:ascii="Sylfaen" w:hAnsi="Sylfaen"/>
          <w:sz w:val="24"/>
          <w:szCs w:val="24"/>
        </w:rPr>
        <w:t xml:space="preserve"> կլինիկական տվյալները կամ այլ բարձր տեխնոլոգիական դեղապատրաստուկների հետ կապված փորձը կարող են նա</w:t>
      </w:r>
      <w:r w:rsidR="00C54D75">
        <w:rPr>
          <w:rFonts w:ascii="Sylfaen" w:hAnsi="Sylfaen"/>
          <w:sz w:val="24"/>
          <w:szCs w:val="24"/>
        </w:rPr>
        <w:t>և</w:t>
      </w:r>
      <w:r w:rsidRPr="00834D52">
        <w:rPr>
          <w:rFonts w:ascii="Sylfaen" w:hAnsi="Sylfaen"/>
          <w:sz w:val="24"/>
          <w:szCs w:val="24"/>
        </w:rPr>
        <w:t xml:space="preserve"> դիտարկվել ռիսկերի վերլուծության ժամանակ:</w:t>
      </w:r>
    </w:p>
    <w:p w14:paraId="278BA7CA" w14:textId="789373BD"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Սույն հավելվածի պահանջներից ցանկացած շեղում պետք է գիտականորեն </w:t>
      </w:r>
      <w:r w:rsidRPr="00834D52">
        <w:rPr>
          <w:rFonts w:ascii="Sylfaen" w:hAnsi="Sylfaen"/>
          <w:sz w:val="24"/>
          <w:szCs w:val="24"/>
        </w:rPr>
        <w:lastRenderedPageBreak/>
        <w:t xml:space="preserve">հիմնավորված լինի գրանցման դոսյեի 2-րդ մոդուլում: Եթե անցկացվում է ռիսկերի վերլուծություն, ապա այն պետք է նկարագրվի գրանցման դոսյեի 2-րդ մոդուլում: Այդ դեպքում անհրաժեշտ է դիտարկել օգտագործվող մեթոդաբանությունը, </w:t>
      </w:r>
      <w:r w:rsidR="00003ABD">
        <w:rPr>
          <w:rFonts w:ascii="Sylfaen" w:hAnsi="Sylfaen"/>
          <w:sz w:val="24"/>
          <w:szCs w:val="24"/>
        </w:rPr>
        <w:t>հայտնաբերված</w:t>
      </w:r>
      <w:r w:rsidRPr="00834D52">
        <w:rPr>
          <w:rFonts w:ascii="Sylfaen" w:hAnsi="Sylfaen"/>
          <w:sz w:val="24"/>
          <w:szCs w:val="24"/>
        </w:rPr>
        <w:t xml:space="preserve"> ռիսկերի բնույթը </w:t>
      </w:r>
      <w:r w:rsidR="00C54D75">
        <w:rPr>
          <w:rFonts w:ascii="Sylfaen" w:hAnsi="Sylfaen"/>
          <w:sz w:val="24"/>
          <w:szCs w:val="24"/>
        </w:rPr>
        <w:t>և</w:t>
      </w:r>
      <w:r w:rsidRPr="00834D52">
        <w:rPr>
          <w:rFonts w:ascii="Sylfaen" w:hAnsi="Sylfaen"/>
          <w:sz w:val="24"/>
          <w:szCs w:val="24"/>
        </w:rPr>
        <w:t xml:space="preserve"> ռիսկերի վերլուծության վրա հիմնված մոտեցման արդյունքների ազդեցությունը դեղապատրաստուկի մշակման </w:t>
      </w:r>
      <w:r w:rsidR="00C54D75">
        <w:rPr>
          <w:rFonts w:ascii="Sylfaen" w:hAnsi="Sylfaen"/>
          <w:sz w:val="24"/>
          <w:szCs w:val="24"/>
        </w:rPr>
        <w:t>և</w:t>
      </w:r>
      <w:r w:rsidRPr="00834D52">
        <w:rPr>
          <w:rFonts w:ascii="Sylfaen" w:hAnsi="Sylfaen"/>
          <w:sz w:val="24"/>
          <w:szCs w:val="24"/>
        </w:rPr>
        <w:t xml:space="preserve"> գնահատման ծրագրի վրա: Անհրաժեշտ է նա</w:t>
      </w:r>
      <w:r w:rsidR="00C54D75">
        <w:rPr>
          <w:rFonts w:ascii="Sylfaen" w:hAnsi="Sylfaen"/>
          <w:sz w:val="24"/>
          <w:szCs w:val="24"/>
        </w:rPr>
        <w:t>և</w:t>
      </w:r>
      <w:r w:rsidRPr="00834D52">
        <w:rPr>
          <w:rFonts w:ascii="Sylfaen" w:hAnsi="Sylfaen"/>
          <w:sz w:val="24"/>
          <w:szCs w:val="24"/>
        </w:rPr>
        <w:t xml:space="preserve"> նկարագրել ռիսկերի վերլուծության արդյունքներով պայմանավորված՝ սույն հավելվածի պահանջներից ցանկացած շեղում:</w:t>
      </w:r>
    </w:p>
    <w:p w14:paraId="33B0AE59" w14:textId="77777777" w:rsidR="006F76EB" w:rsidRPr="00834D52" w:rsidRDefault="006F76EB" w:rsidP="00352FF1">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w:t>
      </w:r>
      <w:r w:rsidRPr="00834D52">
        <w:rPr>
          <w:rFonts w:ascii="Sylfaen" w:hAnsi="Sylfaen"/>
          <w:sz w:val="24"/>
          <w:szCs w:val="24"/>
        </w:rPr>
        <w:tab/>
        <w:t>Սահմանումները.</w:t>
      </w:r>
    </w:p>
    <w:p w14:paraId="1C1D6E7E" w14:textId="77777777" w:rsidR="006F76EB" w:rsidRPr="00834D52" w:rsidRDefault="006F76EB" w:rsidP="00352FF1">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17.2.1.</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w:t>
      </w:r>
    </w:p>
    <w:p w14:paraId="3024894D"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դեղապատրաստուկը կենսաբանական դեղապատրաստուկ է՝</w:t>
      </w:r>
    </w:p>
    <w:p w14:paraId="04B42B4A"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որը պարունակում է ակտիվ նյութ, պարունակում է ռեկոմբինանտ նուկլեինաթթու կամ կազմված է դրանից, որն օգտագործվում կամ ներմուծվում է մարդու օրգանիզմ՝ գենետիկ հաջորդականության կարգավորման, վերականգնման, փոխարինման, ավելացման կամ հեռացման նպատակով,</w:t>
      </w:r>
    </w:p>
    <w:p w14:paraId="0EED60F8"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որի թերապ</w:t>
      </w:r>
      <w:r w:rsidR="00C54D75">
        <w:rPr>
          <w:rFonts w:ascii="Sylfaen" w:hAnsi="Sylfaen"/>
          <w:sz w:val="24"/>
          <w:szCs w:val="24"/>
        </w:rPr>
        <w:t>և</w:t>
      </w:r>
      <w:r w:rsidRPr="00834D52">
        <w:rPr>
          <w:rFonts w:ascii="Sylfaen" w:hAnsi="Sylfaen"/>
          <w:sz w:val="24"/>
          <w:szCs w:val="24"/>
        </w:rPr>
        <w:t>տիկ, կանխարգելիչ կամ ախտորոշիչ էֆեկտներն ուղղակիորեն պայմանավորված են ռեկոմբինանտ նուկլեինաթթվի հաջորդականությամբ, որն այն պարունակում է, կամ այդ հաջորդականության գեների էքսպրեսիայի արգասիքով:</w:t>
      </w:r>
    </w:p>
    <w:p w14:paraId="43ADCE94"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դեղապատրաստուկները չեն ներառում վարակիչ հիվանդությունների դեմ պատվաստանյութեր:</w:t>
      </w:r>
    </w:p>
    <w:p w14:paraId="7DDADE5A" w14:textId="77777777" w:rsidR="006F76EB" w:rsidRPr="00834D52" w:rsidRDefault="006F76EB" w:rsidP="00A63AE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17.2.2.</w:t>
      </w:r>
      <w:r w:rsidRPr="00834D52">
        <w:rPr>
          <w:rFonts w:ascii="Sylfaen" w:hAnsi="Sylfaen"/>
          <w:sz w:val="24"/>
          <w:szCs w:val="24"/>
        </w:rPr>
        <w:tab/>
        <w:t>Սոմատիկ բջիջների հիմքով դեղապատրաստուկներ.</w:t>
      </w:r>
    </w:p>
    <w:p w14:paraId="509113B0" w14:textId="77777777" w:rsidR="006F76EB" w:rsidRPr="00834D52" w:rsidRDefault="006F76EB" w:rsidP="00A63AE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Սոմատիկ բջիջների հիմքով դեղապատրաստուկը կենսաբանական դեղապատրաստուկ է՝ </w:t>
      </w:r>
    </w:p>
    <w:p w14:paraId="68AD1D7A"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որը պարունակում է այնպիսի բջիջներ կամ հյուսվածքներ կամ կազմված է </w:t>
      </w:r>
      <w:r w:rsidRPr="00834D52">
        <w:rPr>
          <w:rFonts w:ascii="Sylfaen" w:hAnsi="Sylfaen"/>
          <w:sz w:val="24"/>
          <w:szCs w:val="24"/>
        </w:rPr>
        <w:lastRenderedPageBreak/>
        <w:t xml:space="preserve">դրանցից, որոնք ենթարկվել են զգալի մանիպուլյացիայի այնպես, որ դրանց՝ կլինիկական օգտագործման համար նշանակալի կենսաբանական բնութագրերը, ֆիզիոլոգիական ֆունկցիաները կամ կառուցվածքային հատկությունները փոփոխվել են, կամ որը կազմված է անպիսի բջիջներից կամ հյուսվածքներից, որոնք նախատեսված չեն ընդունողի </w:t>
      </w:r>
      <w:r w:rsidR="00C54D75">
        <w:rPr>
          <w:rFonts w:ascii="Sylfaen" w:hAnsi="Sylfaen"/>
          <w:sz w:val="24"/>
          <w:szCs w:val="24"/>
        </w:rPr>
        <w:t>և</w:t>
      </w:r>
      <w:r w:rsidRPr="00834D52">
        <w:rPr>
          <w:rFonts w:ascii="Sylfaen" w:hAnsi="Sylfaen"/>
          <w:sz w:val="24"/>
          <w:szCs w:val="24"/>
        </w:rPr>
        <w:t xml:space="preserve"> դոնորի մոտ մի</w:t>
      </w:r>
      <w:r w:rsidR="00C54D75">
        <w:rPr>
          <w:rFonts w:ascii="Sylfaen" w:hAnsi="Sylfaen"/>
          <w:sz w:val="24"/>
          <w:szCs w:val="24"/>
        </w:rPr>
        <w:t>և</w:t>
      </w:r>
      <w:r w:rsidRPr="00834D52">
        <w:rPr>
          <w:rFonts w:ascii="Sylfaen" w:hAnsi="Sylfaen"/>
          <w:sz w:val="24"/>
          <w:szCs w:val="24"/>
        </w:rPr>
        <w:t>նույն հիմնական ֆունկցիաներն իրականացնելու նպատակով կիրառման համար: Որպես զգալի մանիպուլյացիաներ չեն դիտարկվում կտրատումը, մանրացումը, ձ</w:t>
      </w:r>
      <w:r w:rsidR="00C54D75">
        <w:rPr>
          <w:rFonts w:ascii="Sylfaen" w:hAnsi="Sylfaen"/>
          <w:sz w:val="24"/>
          <w:szCs w:val="24"/>
        </w:rPr>
        <w:t>և</w:t>
      </w:r>
      <w:r w:rsidRPr="00834D52">
        <w:rPr>
          <w:rFonts w:ascii="Sylfaen" w:hAnsi="Sylfaen"/>
          <w:sz w:val="24"/>
          <w:szCs w:val="24"/>
        </w:rPr>
        <w:t>ավորումը, ցենտրիֆուգումը, հակաբիոտիկների կամ հականեխիչների լուծույթներով մշակումը, մանրէազերծումը, ճառագայթումը, բջիջների բաժանումը, դրանց խտացումը կամ մաքրումը, ֆիլտրացումը, լիոֆիլիզացումը, սառեցումը, կրիոկոնսերվացումը, վիտրիֆիկացումը.</w:t>
      </w:r>
    </w:p>
    <w:p w14:paraId="5450C9A7" w14:textId="77777777" w:rsidR="006F76EB" w:rsidRPr="00834D52" w:rsidRDefault="006F76EB" w:rsidP="00D8646A">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մարդու մոտ կիրառվում է դրա բաղադրության մեջ մտնող բջիջների կամ հյուսվածքների դեղաբանական, իմունոլոգիական կամ մետաբոլիկ ազդեցության հետ</w:t>
      </w:r>
      <w:r w:rsidR="00C54D75">
        <w:rPr>
          <w:rFonts w:ascii="Sylfaen" w:hAnsi="Sylfaen"/>
          <w:sz w:val="24"/>
          <w:szCs w:val="24"/>
        </w:rPr>
        <w:t>և</w:t>
      </w:r>
      <w:r w:rsidRPr="00834D52">
        <w:rPr>
          <w:rFonts w:ascii="Sylfaen" w:hAnsi="Sylfaen"/>
          <w:sz w:val="24"/>
          <w:szCs w:val="24"/>
        </w:rPr>
        <w:t>անքով առաջացած հիվանդության բուժման, կանխարգելման կամ ախտորոշման նպատակով:</w:t>
      </w:r>
    </w:p>
    <w:p w14:paraId="3A5500EE" w14:textId="77777777" w:rsidR="006F76EB" w:rsidRPr="00834D52" w:rsidRDefault="006F76EB" w:rsidP="00D8646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w:t>
      </w:r>
      <w:r w:rsidRPr="00834D52">
        <w:rPr>
          <w:rFonts w:ascii="Sylfaen" w:hAnsi="Sylfaen"/>
          <w:sz w:val="24"/>
          <w:szCs w:val="24"/>
        </w:rPr>
        <w:tab/>
        <w:t>Գրանցման դոսյեի 3-րդ մոդուլին ներկայացվող հատուկ պահանջները.</w:t>
      </w:r>
    </w:p>
    <w:p w14:paraId="6A118E90" w14:textId="77777777" w:rsidR="006F76EB" w:rsidRPr="00834D52" w:rsidRDefault="006F76EB" w:rsidP="00D8646A">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17.3.1.</w:t>
      </w:r>
      <w:r w:rsidRPr="00834D52">
        <w:rPr>
          <w:rFonts w:ascii="Sylfaen" w:hAnsi="Sylfaen"/>
          <w:sz w:val="24"/>
          <w:szCs w:val="24"/>
        </w:rPr>
        <w:tab/>
        <w:t>Բոլոր բարձր տեխնոլոգիական դեղապատրաստուկների համար հատուկ պահանջները.</w:t>
      </w:r>
    </w:p>
    <w:p w14:paraId="3E971DED" w14:textId="7B2D66E1" w:rsidR="006F76EB" w:rsidRPr="00834D52" w:rsidRDefault="006F76EB" w:rsidP="00D8646A">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հետագծելիության համակարգի նկարագրությունը, որը </w:t>
      </w:r>
      <w:r w:rsidR="0056496B">
        <w:rPr>
          <w:rFonts w:ascii="Sylfaen" w:hAnsi="Sylfaen"/>
          <w:sz w:val="24"/>
          <w:szCs w:val="24"/>
        </w:rPr>
        <w:t>դիմումատու</w:t>
      </w:r>
      <w:r w:rsidRPr="00834D52">
        <w:rPr>
          <w:rFonts w:ascii="Sylfaen" w:hAnsi="Sylfaen"/>
          <w:sz w:val="24"/>
          <w:szCs w:val="24"/>
        </w:rPr>
        <w:t xml:space="preserve">ն պարտավորվում է սահմանել </w:t>
      </w:r>
      <w:r w:rsidR="00C54D75">
        <w:rPr>
          <w:rFonts w:ascii="Sylfaen" w:hAnsi="Sylfaen"/>
          <w:sz w:val="24"/>
          <w:szCs w:val="24"/>
        </w:rPr>
        <w:t>և</w:t>
      </w:r>
      <w:r w:rsidRPr="00834D52">
        <w:rPr>
          <w:rFonts w:ascii="Sylfaen" w:hAnsi="Sylfaen"/>
          <w:sz w:val="24"/>
          <w:szCs w:val="24"/>
        </w:rPr>
        <w:t xml:space="preserve"> պահպանել առանձին դեղապատրաստուկի ու դրա ելակետային նյութերի </w:t>
      </w:r>
      <w:r w:rsidR="00C54D75">
        <w:rPr>
          <w:rFonts w:ascii="Sylfaen" w:hAnsi="Sylfaen"/>
          <w:sz w:val="24"/>
          <w:szCs w:val="24"/>
        </w:rPr>
        <w:t>և</w:t>
      </w:r>
      <w:r w:rsidRPr="00834D52">
        <w:rPr>
          <w:rFonts w:ascii="Sylfaen" w:hAnsi="Sylfaen"/>
          <w:sz w:val="24"/>
          <w:szCs w:val="24"/>
        </w:rPr>
        <w:t xml:space="preserve"> հումքի, ներառյալ՝ դրանում պարունակվող բջիջների կամ հյուսվածքների հետ շփման մեջ գտնվող բոլոր նյութերի ստացման (ծագման) աղբյուրի, դրանց արտադրության, փաթեթվածքի, պահպանման, տրանսպորտային փոխադրման </w:t>
      </w:r>
      <w:r w:rsidR="00C54D75">
        <w:rPr>
          <w:rFonts w:ascii="Sylfaen" w:hAnsi="Sylfaen"/>
          <w:sz w:val="24"/>
          <w:szCs w:val="24"/>
        </w:rPr>
        <w:t>և</w:t>
      </w:r>
      <w:r w:rsidRPr="00834D52">
        <w:rPr>
          <w:rFonts w:ascii="Sylfaen" w:hAnsi="Sylfaen"/>
          <w:sz w:val="24"/>
          <w:szCs w:val="24"/>
        </w:rPr>
        <w:t xml:space="preserve"> բժշկական կազմակերպություն մատակարարման հետագծելիությունն ապահովելու համար:</w:t>
      </w:r>
    </w:p>
    <w:p w14:paraId="4663F15A" w14:textId="77777777" w:rsidR="006F76EB" w:rsidRPr="00834D52" w:rsidRDefault="006F76EB" w:rsidP="000A4ACC">
      <w:pPr>
        <w:tabs>
          <w:tab w:val="left" w:pos="1985"/>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Հետագծելիության համակարգը պետք է լրացնի մարդու բջիջների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հյուսվածքների վերաբերյալ անդամ պետությունների հետագծելիության համակարգերին ներկայացվող պահանջները </w:t>
      </w:r>
      <w:r w:rsidR="00C54D75">
        <w:rPr>
          <w:rFonts w:ascii="Sylfaen" w:hAnsi="Sylfaen"/>
          <w:sz w:val="24"/>
          <w:szCs w:val="24"/>
        </w:rPr>
        <w:t>և</w:t>
      </w:r>
      <w:r w:rsidRPr="00834D52">
        <w:rPr>
          <w:rFonts w:ascii="Sylfaen" w:hAnsi="Sylfaen"/>
          <w:sz w:val="24"/>
          <w:szCs w:val="24"/>
        </w:rPr>
        <w:t xml:space="preserve"> համաձայնեցվի դրանց հետ:</w:t>
      </w:r>
    </w:p>
    <w:p w14:paraId="032EE4E3"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390F8E1D"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w:t>
      </w:r>
      <w:r w:rsidRPr="00834D52">
        <w:rPr>
          <w:rFonts w:ascii="Sylfaen" w:hAnsi="Sylfaen"/>
          <w:sz w:val="24"/>
          <w:szCs w:val="24"/>
        </w:rPr>
        <w:tab/>
        <w:t xml:space="preserve">Ներածություն. դեղապատրաստուկ, ակտիվ նյութ </w:t>
      </w:r>
      <w:r w:rsidR="00C54D75">
        <w:rPr>
          <w:rFonts w:ascii="Sylfaen" w:hAnsi="Sylfaen"/>
          <w:sz w:val="24"/>
          <w:szCs w:val="24"/>
        </w:rPr>
        <w:t>և</w:t>
      </w:r>
      <w:r w:rsidRPr="00834D52">
        <w:rPr>
          <w:rFonts w:ascii="Sylfaen" w:hAnsi="Sylfaen"/>
          <w:sz w:val="24"/>
          <w:szCs w:val="24"/>
        </w:rPr>
        <w:t xml:space="preserve"> ելակետային նյութեր.</w:t>
      </w:r>
    </w:p>
    <w:p w14:paraId="24CBCA7A" w14:textId="77777777" w:rsidR="006F76EB" w:rsidRPr="00834D52" w:rsidRDefault="006F76EB" w:rsidP="008A0FE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17.3.2.1.1.</w:t>
      </w:r>
      <w:r w:rsidRPr="00834D52">
        <w:rPr>
          <w:rFonts w:ascii="Sylfaen" w:hAnsi="Sylfaen"/>
          <w:sz w:val="24"/>
          <w:szCs w:val="24"/>
        </w:rPr>
        <w:tab/>
        <w:t>Ռեկոմբինանտային նուկլեինաթթուների հաջորդականություն կամ գենետիկորեն մոդիֆիկացված միկրոօրգանիզմներ կամ վիրուս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39236FEE" w14:textId="77777777" w:rsidR="006F76EB" w:rsidRPr="00834D52" w:rsidRDefault="006F76EB" w:rsidP="00AD33B0">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նուկլեինաթթվի հաջորդականությունից, գենետիկորեն մոդիֆիկացված միկրոօրգանիզմից կամ վիրուսից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1F89CD7D"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նուկլեինաթթվի հաջորդականությունից կամ գենետիկորեն մոդիֆիկացված մկիրոօրգանիզմից կամ վիրուսից:</w:t>
      </w:r>
    </w:p>
    <w:p w14:paraId="049CE797" w14:textId="77777777" w:rsidR="006F76EB" w:rsidRPr="00834D52" w:rsidRDefault="006F76EB" w:rsidP="007E1C16">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17.3.2.1.2.</w:t>
      </w:r>
      <w:r w:rsidRPr="00834D52">
        <w:rPr>
          <w:rFonts w:ascii="Sylfaen" w:hAnsi="Sylfaen"/>
          <w:sz w:val="24"/>
          <w:szCs w:val="24"/>
        </w:rPr>
        <w:tab/>
        <w:t>Գենետիկորեն մոդիֆիկացված բջիջներ պարունակող գենոթերապ</w:t>
      </w:r>
      <w:r w:rsidR="00C54D75">
        <w:rPr>
          <w:rFonts w:ascii="Sylfaen" w:hAnsi="Sylfaen"/>
          <w:sz w:val="24"/>
          <w:szCs w:val="24"/>
        </w:rPr>
        <w:t>և</w:t>
      </w:r>
      <w:r w:rsidRPr="00834D52">
        <w:rPr>
          <w:rFonts w:ascii="Sylfaen" w:hAnsi="Sylfaen"/>
          <w:sz w:val="24"/>
          <w:szCs w:val="24"/>
        </w:rPr>
        <w:t>տիկ դեղապատրաստուկներ.</w:t>
      </w:r>
    </w:p>
    <w:p w14:paraId="126D41A8" w14:textId="77777777" w:rsidR="006F76EB" w:rsidRPr="00834D52" w:rsidRDefault="006F76EB" w:rsidP="007E1C16">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գենետիկորեն մոդիֆիկացված բջիջներից </w:t>
      </w:r>
      <w:r w:rsidR="00C54D75">
        <w:rPr>
          <w:rFonts w:ascii="Sylfaen" w:hAnsi="Sylfaen"/>
          <w:sz w:val="24"/>
          <w:szCs w:val="24"/>
        </w:rPr>
        <w:t>և</w:t>
      </w:r>
      <w:r w:rsidRPr="00834D52">
        <w:rPr>
          <w:rFonts w:ascii="Sylfaen" w:hAnsi="Sylfaen"/>
          <w:sz w:val="24"/>
          <w:szCs w:val="24"/>
        </w:rPr>
        <w:t xml:space="preserve"> փաթեթավորված լինի բժշկական օգտագործման համար նախատեսված առաջնային փաթեթվածքում: Դեղապատրաստուկը կարող է համակցվել բժշկական արտադրատեսակի հետ:</w:t>
      </w:r>
    </w:p>
    <w:p w14:paraId="047C8D8C" w14:textId="77777777" w:rsidR="006F76EB" w:rsidRPr="00834D52" w:rsidRDefault="006F76EB" w:rsidP="007E1C16">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Ակտիվ նյութը պետք է կազմված լինի 17.3.2.1.1. բաժնում նշված արտադրանքի տեսակներից որ</w:t>
      </w:r>
      <w:r w:rsidR="00C54D75">
        <w:rPr>
          <w:rFonts w:ascii="Sylfaen" w:hAnsi="Sylfaen"/>
          <w:sz w:val="24"/>
          <w:szCs w:val="24"/>
        </w:rPr>
        <w:t>և</w:t>
      </w:r>
      <w:r w:rsidRPr="00834D52">
        <w:rPr>
          <w:rFonts w:ascii="Sylfaen" w:hAnsi="Sylfaen"/>
          <w:sz w:val="24"/>
          <w:szCs w:val="24"/>
        </w:rPr>
        <w:t>է մեկով գենետիկորեն մոդիֆիկացված բջիջներից:</w:t>
      </w:r>
    </w:p>
    <w:p w14:paraId="394EDA39"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17.3.2.1.3.</w:t>
      </w:r>
      <w:r w:rsidRPr="00834D52">
        <w:rPr>
          <w:rFonts w:ascii="Sylfaen" w:hAnsi="Sylfaen"/>
          <w:sz w:val="24"/>
          <w:szCs w:val="24"/>
        </w:rPr>
        <w:tab/>
        <w:t xml:space="preserve">Վիրուսներից կամ վիրուսային վեկտորներից կազմված արտադրանքի տեսակների համար ելակետային նյութեր են այն բաղադրիչները, </w:t>
      </w:r>
      <w:r w:rsidRPr="00834D52">
        <w:rPr>
          <w:rFonts w:ascii="Sylfaen" w:hAnsi="Sylfaen"/>
          <w:sz w:val="24"/>
          <w:szCs w:val="24"/>
        </w:rPr>
        <w:lastRenderedPageBreak/>
        <w:t>որոնցից ստանում են վիրուսային վեկտոր՝ ռեցիպիենտ բջիջների (փաթեթավորող բջիջների) տրանսֆեկցիայի համար օգտագործվող վիրուսային կամ պլազմիդային վեկտորի գլխավոր բանկ կամ ռեցիպիենտ բջիջների գծի (բջջային փաթեթավորող գծի) գլխավոր բանկ:</w:t>
      </w:r>
    </w:p>
    <w:p w14:paraId="2116968C" w14:textId="77777777" w:rsidR="006F76EB" w:rsidRPr="000A4ACC" w:rsidRDefault="006F76EB" w:rsidP="007E1C16">
      <w:pPr>
        <w:tabs>
          <w:tab w:val="left" w:pos="1701"/>
        </w:tabs>
        <w:spacing w:after="160" w:line="372" w:lineRule="auto"/>
        <w:ind w:right="-6" w:firstLine="567"/>
        <w:jc w:val="both"/>
        <w:rPr>
          <w:rFonts w:ascii="Sylfaen" w:hAnsi="Sylfaen"/>
          <w:sz w:val="24"/>
          <w:szCs w:val="24"/>
        </w:rPr>
      </w:pPr>
      <w:r w:rsidRPr="00834D52">
        <w:rPr>
          <w:rFonts w:ascii="Sylfaen" w:hAnsi="Sylfaen"/>
          <w:sz w:val="24"/>
          <w:szCs w:val="24"/>
        </w:rPr>
        <w:t>17.3.2.1.4.</w:t>
      </w:r>
      <w:r w:rsidRPr="00834D52">
        <w:rPr>
          <w:rFonts w:ascii="Sylfaen" w:hAnsi="Sylfaen"/>
          <w:sz w:val="24"/>
          <w:szCs w:val="24"/>
        </w:rPr>
        <w:tab/>
        <w:t xml:space="preserve">Վիրուսներից </w:t>
      </w:r>
      <w:r w:rsidR="00C54D75">
        <w:rPr>
          <w:rFonts w:ascii="Sylfaen" w:hAnsi="Sylfaen"/>
          <w:sz w:val="24"/>
          <w:szCs w:val="24"/>
        </w:rPr>
        <w:t>և</w:t>
      </w:r>
      <w:r w:rsidRPr="00834D52">
        <w:rPr>
          <w:rFonts w:ascii="Sylfaen" w:hAnsi="Sylfaen"/>
          <w:sz w:val="24"/>
          <w:szCs w:val="24"/>
        </w:rPr>
        <w:t xml:space="preserve"> վիրուսային վեկտորներից տարբերվող՝ պլազմիդներից կազմված արտադրանքի տեսակների, ոչ վիրուսային վեկտորների </w:t>
      </w:r>
      <w:r w:rsidR="00C54D75">
        <w:rPr>
          <w:rFonts w:ascii="Sylfaen" w:hAnsi="Sylfaen"/>
          <w:sz w:val="24"/>
          <w:szCs w:val="24"/>
        </w:rPr>
        <w:t>և</w:t>
      </w:r>
      <w:r w:rsidRPr="00834D52">
        <w:rPr>
          <w:rFonts w:ascii="Sylfaen" w:hAnsi="Sylfaen"/>
          <w:sz w:val="24"/>
          <w:szCs w:val="24"/>
        </w:rPr>
        <w:t xml:space="preserve"> գենետիկորեն մոդիֆիկացված օրգանիզմի համար ելակետային նյութեր են պրոդուցենտ բջիջներ ստանալու համար օգտագործվող բաղադրիչները՝ պլազմիդներ, բակտերիալ ընդունող բջիջներ </w:t>
      </w:r>
      <w:r w:rsidR="00C54D75">
        <w:rPr>
          <w:rFonts w:ascii="Sylfaen" w:hAnsi="Sylfaen"/>
          <w:sz w:val="24"/>
          <w:szCs w:val="24"/>
        </w:rPr>
        <w:t>և</w:t>
      </w:r>
      <w:r w:rsidRPr="00834D52">
        <w:rPr>
          <w:rFonts w:ascii="Sylfaen" w:hAnsi="Sylfaen"/>
          <w:sz w:val="24"/>
          <w:szCs w:val="24"/>
        </w:rPr>
        <w:t xml:space="preserve"> ռեկոմբինանտ մանրէային բջիջների գլխավոր բանկ: </w:t>
      </w:r>
    </w:p>
    <w:p w14:paraId="7A9A4A87" w14:textId="77777777" w:rsidR="006F76EB" w:rsidRPr="000A4ACC" w:rsidRDefault="006F76EB" w:rsidP="007E1C16">
      <w:pPr>
        <w:tabs>
          <w:tab w:val="left" w:pos="1701"/>
        </w:tabs>
        <w:spacing w:after="160" w:line="341" w:lineRule="auto"/>
        <w:ind w:right="-6" w:firstLine="567"/>
        <w:jc w:val="both"/>
        <w:rPr>
          <w:rFonts w:ascii="Sylfaen" w:hAnsi="Sylfaen"/>
          <w:sz w:val="24"/>
          <w:szCs w:val="24"/>
        </w:rPr>
      </w:pPr>
      <w:r w:rsidRPr="00834D52">
        <w:rPr>
          <w:rFonts w:ascii="Sylfaen" w:hAnsi="Sylfaen"/>
          <w:sz w:val="24"/>
          <w:szCs w:val="24"/>
        </w:rPr>
        <w:t>17.3.2.1.5.</w:t>
      </w:r>
      <w:r w:rsidRPr="00834D52">
        <w:rPr>
          <w:rFonts w:ascii="Sylfaen" w:hAnsi="Sylfaen"/>
          <w:sz w:val="24"/>
          <w:szCs w:val="24"/>
        </w:rPr>
        <w:tab/>
        <w:t xml:space="preserve">Գենետիկորեն մոդիֆիկացված բջիջների համար ելակետային նյութեր են գենետիկորեն մոդիֆիկացված բջիջների ստացման համար օգտագործվող բաղադրիչները, այսինքն՝ վեկտորի ստացման համար ելակետային նյութերը, մարդու </w:t>
      </w:r>
      <w:r w:rsidR="00C54D75">
        <w:rPr>
          <w:rFonts w:ascii="Sylfaen" w:hAnsi="Sylfaen"/>
          <w:sz w:val="24"/>
          <w:szCs w:val="24"/>
        </w:rPr>
        <w:t>և</w:t>
      </w:r>
      <w:r w:rsidRPr="00834D52">
        <w:rPr>
          <w:rFonts w:ascii="Sylfaen" w:hAnsi="Sylfaen"/>
          <w:sz w:val="24"/>
          <w:szCs w:val="24"/>
        </w:rPr>
        <w:t xml:space="preserve"> կենդանիների վեկտորը </w:t>
      </w:r>
      <w:r w:rsidR="00C54D75">
        <w:rPr>
          <w:rFonts w:ascii="Sylfaen" w:hAnsi="Sylfaen"/>
          <w:sz w:val="24"/>
          <w:szCs w:val="24"/>
        </w:rPr>
        <w:t>և</w:t>
      </w:r>
      <w:r w:rsidRPr="00834D52">
        <w:rPr>
          <w:rFonts w:ascii="Sylfaen" w:hAnsi="Sylfaen"/>
          <w:sz w:val="24"/>
          <w:szCs w:val="24"/>
        </w:rPr>
        <w:t xml:space="preserve"> բջիջները: Արտադրական պատշաճ գործունեության սկզբունքները պետք է կիրառվեն՝ սկսելով վեկտորի արտադրության համար օգտագործվող բանկերի համակարգերից մինչ</w:t>
      </w:r>
      <w:r w:rsidR="00C54D75">
        <w:rPr>
          <w:rFonts w:ascii="Sylfaen" w:hAnsi="Sylfaen"/>
          <w:sz w:val="24"/>
          <w:szCs w:val="24"/>
        </w:rPr>
        <w:t>և</w:t>
      </w:r>
      <w:r w:rsidRPr="00834D52">
        <w:rPr>
          <w:rFonts w:ascii="Sylfaen" w:hAnsi="Sylfaen"/>
          <w:sz w:val="24"/>
          <w:szCs w:val="24"/>
        </w:rPr>
        <w:t xml:space="preserve"> պատրաստի արտադրանքը:</w:t>
      </w:r>
    </w:p>
    <w:p w14:paraId="0C2A1CCD" w14:textId="77777777" w:rsidR="006F76EB" w:rsidRPr="00986A6E" w:rsidRDefault="006F76EB" w:rsidP="007E1C16">
      <w:pPr>
        <w:tabs>
          <w:tab w:val="left" w:pos="1701"/>
        </w:tabs>
        <w:spacing w:after="160" w:line="341" w:lineRule="auto"/>
        <w:ind w:right="-6" w:firstLine="567"/>
        <w:jc w:val="both"/>
        <w:rPr>
          <w:rFonts w:ascii="Sylfaen" w:hAnsi="Sylfaen"/>
          <w:sz w:val="24"/>
          <w:szCs w:val="24"/>
        </w:rPr>
      </w:pPr>
      <w:r w:rsidRPr="00986A6E">
        <w:rPr>
          <w:rFonts w:ascii="Sylfaen" w:hAnsi="Sylfaen"/>
          <w:sz w:val="24"/>
          <w:szCs w:val="24"/>
        </w:rPr>
        <w:t>17.3.2.2.</w:t>
      </w:r>
      <w:r w:rsidRPr="00986A6E">
        <w:rPr>
          <w:rFonts w:ascii="Sylfaen" w:hAnsi="Sylfaen"/>
          <w:sz w:val="24"/>
          <w:szCs w:val="24"/>
        </w:rPr>
        <w:tab/>
        <w:t>Հատուկ պահանջներ.</w:t>
      </w:r>
    </w:p>
    <w:p w14:paraId="469F8C69" w14:textId="77777777" w:rsidR="006F76EB" w:rsidRPr="00986A6E" w:rsidRDefault="006F76EB" w:rsidP="007E1C16">
      <w:pPr>
        <w:spacing w:after="160" w:line="341" w:lineRule="auto"/>
        <w:ind w:right="-6" w:firstLine="567"/>
        <w:jc w:val="both"/>
        <w:rPr>
          <w:rFonts w:ascii="Sylfaen" w:hAnsi="Sylfaen"/>
          <w:sz w:val="24"/>
          <w:szCs w:val="24"/>
        </w:rPr>
      </w:pPr>
      <w:r w:rsidRPr="00986A6E">
        <w:rPr>
          <w:rFonts w:ascii="Sylfaen" w:hAnsi="Sylfaen"/>
          <w:sz w:val="24"/>
          <w:szCs w:val="24"/>
        </w:rPr>
        <w:t xml:space="preserve">Ի լրումն սույն հավելվածի I մասի 3.2.1 </w:t>
      </w:r>
      <w:r w:rsidR="00C54D75">
        <w:rPr>
          <w:rFonts w:ascii="Sylfaen" w:hAnsi="Sylfaen"/>
          <w:sz w:val="24"/>
          <w:szCs w:val="24"/>
        </w:rPr>
        <w:t>և</w:t>
      </w:r>
      <w:r w:rsidRPr="00986A6E">
        <w:rPr>
          <w:rFonts w:ascii="Sylfaen" w:hAnsi="Sylfaen"/>
          <w:sz w:val="24"/>
          <w:szCs w:val="24"/>
        </w:rPr>
        <w:t xml:space="preserve"> 3.2.2 բաժիններում նշված պահանջների՝ պետք է կիրառվեն հետ</w:t>
      </w:r>
      <w:r w:rsidR="00C54D75">
        <w:rPr>
          <w:rFonts w:ascii="Sylfaen" w:hAnsi="Sylfaen"/>
          <w:sz w:val="24"/>
          <w:szCs w:val="24"/>
        </w:rPr>
        <w:t>և</w:t>
      </w:r>
      <w:r w:rsidRPr="00986A6E">
        <w:rPr>
          <w:rFonts w:ascii="Sylfaen" w:hAnsi="Sylfaen"/>
          <w:sz w:val="24"/>
          <w:szCs w:val="24"/>
        </w:rPr>
        <w:t>յալ պահանջները.</w:t>
      </w:r>
    </w:p>
    <w:p w14:paraId="71DA6ADD" w14:textId="77777777" w:rsidR="006F76EB" w:rsidRPr="00C64A77" w:rsidRDefault="006F76EB" w:rsidP="007E1C16">
      <w:pPr>
        <w:tabs>
          <w:tab w:val="left" w:pos="1134"/>
        </w:tabs>
        <w:spacing w:after="160" w:line="341" w:lineRule="auto"/>
        <w:ind w:right="-6" w:firstLine="567"/>
        <w:jc w:val="both"/>
        <w:rPr>
          <w:rFonts w:ascii="Sylfaen" w:eastAsia="Times New Roman" w:hAnsi="Sylfaen" w:cs="Times New Roman"/>
          <w:spacing w:val="-6"/>
          <w:sz w:val="24"/>
          <w:szCs w:val="24"/>
        </w:rPr>
      </w:pPr>
      <w:r w:rsidRPr="00986A6E">
        <w:rPr>
          <w:rFonts w:ascii="Sylfaen" w:hAnsi="Sylfaen"/>
          <w:sz w:val="24"/>
          <w:szCs w:val="24"/>
        </w:rPr>
        <w:t>ա)</w:t>
      </w:r>
      <w:r w:rsidRPr="00986A6E">
        <w:rPr>
          <w:rFonts w:ascii="Sylfaen" w:hAnsi="Sylfaen"/>
          <w:sz w:val="24"/>
          <w:szCs w:val="24"/>
        </w:rPr>
        <w:tab/>
      </w:r>
      <w:r w:rsidRPr="00C64A77">
        <w:rPr>
          <w:rFonts w:ascii="Sylfaen" w:hAnsi="Sylfaen"/>
          <w:spacing w:val="-6"/>
          <w:sz w:val="24"/>
          <w:szCs w:val="24"/>
        </w:rPr>
        <w:t xml:space="preserve">տեղեկատվությունն անհրաժեշտ է ներկայացնել ակտիվ նյութի արտադրության համար օգտագործվող բոլոր ելակետային նյութերի մասով, ներառյալ՝ մարդու </w:t>
      </w:r>
      <w:r w:rsidR="00C54D75">
        <w:rPr>
          <w:rFonts w:ascii="Sylfaen" w:hAnsi="Sylfaen"/>
          <w:spacing w:val="-6"/>
          <w:sz w:val="24"/>
          <w:szCs w:val="24"/>
        </w:rPr>
        <w:t>և</w:t>
      </w:r>
      <w:r w:rsidRPr="00C64A77">
        <w:rPr>
          <w:rFonts w:ascii="Sylfaen" w:hAnsi="Sylfaen"/>
          <w:spacing w:val="-6"/>
          <w:sz w:val="24"/>
          <w:szCs w:val="24"/>
        </w:rPr>
        <w:t xml:space="preserve"> կենդանիների բջիջների գենետիկ մոդիֆիկացման </w:t>
      </w:r>
      <w:r w:rsidR="00C54D75">
        <w:rPr>
          <w:rFonts w:ascii="Sylfaen" w:hAnsi="Sylfaen"/>
          <w:spacing w:val="-6"/>
          <w:sz w:val="24"/>
          <w:szCs w:val="24"/>
        </w:rPr>
        <w:t>և</w:t>
      </w:r>
      <w:r w:rsidRPr="00C64A77">
        <w:rPr>
          <w:rFonts w:ascii="Sylfaen" w:hAnsi="Sylfaen"/>
          <w:spacing w:val="-6"/>
          <w:sz w:val="24"/>
          <w:szCs w:val="24"/>
        </w:rPr>
        <w:t xml:space="preserve"> գենետիկորեն մոդիֆիկացված բջիջների հետագա կուլտիվացման </w:t>
      </w:r>
      <w:r w:rsidR="00C54D75">
        <w:rPr>
          <w:rFonts w:ascii="Sylfaen" w:hAnsi="Sylfaen"/>
          <w:spacing w:val="-6"/>
          <w:sz w:val="24"/>
          <w:szCs w:val="24"/>
        </w:rPr>
        <w:t>և</w:t>
      </w:r>
      <w:r w:rsidRPr="00C64A77">
        <w:rPr>
          <w:rFonts w:ascii="Sylfaen" w:hAnsi="Sylfaen"/>
          <w:spacing w:val="-6"/>
          <w:sz w:val="24"/>
          <w:szCs w:val="24"/>
        </w:rPr>
        <w:t xml:space="preserve"> կոնսերվացման համար (անհրաժեշտության դեպքում) անհրաժեշտ արրտադրանքի տեսակները՝ հաշվի առնելով մաքրման փուլերի հնարավոր բացակայությունը.</w:t>
      </w:r>
    </w:p>
    <w:p w14:paraId="63428E81"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բ)</w:t>
      </w:r>
      <w:r w:rsidRPr="00834D52">
        <w:rPr>
          <w:rFonts w:ascii="Sylfaen" w:hAnsi="Sylfaen"/>
          <w:sz w:val="24"/>
          <w:szCs w:val="24"/>
        </w:rPr>
        <w:tab/>
        <w:t xml:space="preserve">միկրոօրգանիզմներ (այդ թվում՝ վիրուսներ) պարունակող արտադրանքի տեսակների համար անհրաժեշտ է ներկայացնել </w:t>
      </w:r>
      <w:r w:rsidRPr="00834D52">
        <w:rPr>
          <w:rFonts w:ascii="Sylfaen" w:hAnsi="Sylfaen"/>
          <w:sz w:val="24"/>
          <w:szCs w:val="24"/>
        </w:rPr>
        <w:lastRenderedPageBreak/>
        <w:t xml:space="preserve">միկրոօրգանիզմների գենետիկ մոդիֆիկացման, սեկվենավորման, ատենուացիայի, որոշակի տիպի հյուսվածքների </w:t>
      </w:r>
      <w:r w:rsidR="00C54D75">
        <w:rPr>
          <w:rFonts w:ascii="Sylfaen" w:hAnsi="Sylfaen"/>
          <w:sz w:val="24"/>
          <w:szCs w:val="24"/>
        </w:rPr>
        <w:t>և</w:t>
      </w:r>
      <w:r w:rsidRPr="00834D52">
        <w:rPr>
          <w:rFonts w:ascii="Sylfaen" w:hAnsi="Sylfaen"/>
          <w:sz w:val="24"/>
          <w:szCs w:val="24"/>
        </w:rPr>
        <w:t xml:space="preserve"> բջիջների տրոպիզմի, բջջային ցիկլից միկրոօրգանիզմների հատկությունների կախվածության, ծնողական շտամի ախտածնության </w:t>
      </w:r>
      <w:r w:rsidR="00C54D75">
        <w:rPr>
          <w:rFonts w:ascii="Sylfaen" w:hAnsi="Sylfaen"/>
          <w:sz w:val="24"/>
          <w:szCs w:val="24"/>
        </w:rPr>
        <w:t>և</w:t>
      </w:r>
      <w:r w:rsidRPr="00834D52">
        <w:rPr>
          <w:rFonts w:ascii="Sylfaen" w:hAnsi="Sylfaen"/>
          <w:sz w:val="24"/>
          <w:szCs w:val="24"/>
        </w:rPr>
        <w:t xml:space="preserve"> բնութագրերի վերաբերյալ տվյալներ.</w:t>
      </w:r>
    </w:p>
    <w:p w14:paraId="0B61CC33" w14:textId="77777777" w:rsidR="006F76EB" w:rsidRPr="00834D52" w:rsidRDefault="006F76EB" w:rsidP="007E1C16">
      <w:pPr>
        <w:tabs>
          <w:tab w:val="left" w:pos="1134"/>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w:t>
      </w:r>
      <w:r w:rsidRPr="00834D52">
        <w:rPr>
          <w:rFonts w:ascii="Sylfaen" w:hAnsi="Sylfaen"/>
          <w:sz w:val="24"/>
          <w:szCs w:val="24"/>
        </w:rPr>
        <w:tab/>
        <w:t xml:space="preserve">գրանցման դոսյեի համապատասխան բաժիններում անհրաժեշտ է նկարագրել արտադրական ու հարակից խառնուկները </w:t>
      </w:r>
      <w:r w:rsidR="00C54D75">
        <w:rPr>
          <w:rFonts w:ascii="Sylfaen" w:hAnsi="Sylfaen"/>
          <w:sz w:val="24"/>
          <w:szCs w:val="24"/>
        </w:rPr>
        <w:t>և</w:t>
      </w:r>
      <w:r w:rsidRPr="00834D52">
        <w:rPr>
          <w:rFonts w:ascii="Sylfaen" w:hAnsi="Sylfaen"/>
          <w:sz w:val="24"/>
          <w:szCs w:val="24"/>
        </w:rPr>
        <w:t xml:space="preserve"> հատկապես ռեպլիկացիայի ունակ վիրուսների տեսքով կոնտամինացնող ագենտները, եթե վեկտորը պետք է ռեպլիկացիայի ունակ չլինի.</w:t>
      </w:r>
    </w:p>
    <w:p w14:paraId="41E37221" w14:textId="77777777" w:rsidR="006F76EB" w:rsidRPr="00834D52" w:rsidRDefault="006F76EB" w:rsidP="000F124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w:t>
      </w:r>
      <w:r w:rsidRPr="00834D52">
        <w:rPr>
          <w:rFonts w:ascii="Sylfaen" w:hAnsi="Sylfaen"/>
          <w:sz w:val="24"/>
          <w:szCs w:val="24"/>
        </w:rPr>
        <w:tab/>
        <w:t>արտադրանքի պիտանիության ժամկետի ողջ ընթացքում պլազմիդների համար անհրաժեշտ է անցկացնել պլազմիդների տարբեր ձ</w:t>
      </w:r>
      <w:r w:rsidR="00C54D75">
        <w:rPr>
          <w:rFonts w:ascii="Sylfaen" w:hAnsi="Sylfaen"/>
          <w:sz w:val="24"/>
          <w:szCs w:val="24"/>
        </w:rPr>
        <w:t>և</w:t>
      </w:r>
      <w:r w:rsidRPr="00834D52">
        <w:rPr>
          <w:rFonts w:ascii="Sylfaen" w:hAnsi="Sylfaen"/>
          <w:sz w:val="24"/>
          <w:szCs w:val="24"/>
        </w:rPr>
        <w:t>երի քանակական որոշում.</w:t>
      </w:r>
    </w:p>
    <w:p w14:paraId="4D9E3F45" w14:textId="77777777" w:rsidR="006F76EB" w:rsidRPr="00834D52" w:rsidRDefault="006F76EB" w:rsidP="000F124E">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w:t>
      </w:r>
      <w:r w:rsidRPr="00834D52">
        <w:rPr>
          <w:rFonts w:ascii="Sylfaen" w:hAnsi="Sylfaen"/>
          <w:sz w:val="24"/>
          <w:szCs w:val="24"/>
        </w:rPr>
        <w:tab/>
        <w:t>գենետիկորեն մոդիֆիկացված բջիջների համար մինչ</w:t>
      </w:r>
      <w:r w:rsidR="00C54D75">
        <w:rPr>
          <w:rFonts w:ascii="Sylfaen" w:hAnsi="Sylfaen"/>
          <w:sz w:val="24"/>
          <w:szCs w:val="24"/>
        </w:rPr>
        <w:t>և</w:t>
      </w:r>
      <w:r w:rsidRPr="00834D52">
        <w:rPr>
          <w:rFonts w:ascii="Sylfaen" w:hAnsi="Sylfaen"/>
          <w:sz w:val="24"/>
          <w:szCs w:val="24"/>
        </w:rPr>
        <w:t xml:space="preserve"> գենետիկ մոդիֆիկացումը </w:t>
      </w:r>
      <w:r w:rsidR="00C54D75">
        <w:rPr>
          <w:rFonts w:ascii="Sylfaen" w:hAnsi="Sylfaen"/>
          <w:sz w:val="24"/>
          <w:szCs w:val="24"/>
        </w:rPr>
        <w:t>և</w:t>
      </w:r>
      <w:r w:rsidRPr="00834D52">
        <w:rPr>
          <w:rFonts w:ascii="Sylfaen" w:hAnsi="Sylfaen"/>
          <w:sz w:val="24"/>
          <w:szCs w:val="24"/>
        </w:rPr>
        <w:t xml:space="preserve"> դրանից հետո, ինչպես նա</w:t>
      </w:r>
      <w:r w:rsidR="00C54D75">
        <w:rPr>
          <w:rFonts w:ascii="Sylfaen" w:hAnsi="Sylfaen"/>
          <w:sz w:val="24"/>
          <w:szCs w:val="24"/>
        </w:rPr>
        <w:t>և</w:t>
      </w:r>
      <w:r w:rsidRPr="00834D52">
        <w:rPr>
          <w:rFonts w:ascii="Sylfaen" w:hAnsi="Sylfaen"/>
          <w:sz w:val="24"/>
          <w:szCs w:val="24"/>
        </w:rPr>
        <w:t xml:space="preserve"> հետագա սառեցման (պահպանման) որ</w:t>
      </w:r>
      <w:r w:rsidR="00C54D75">
        <w:rPr>
          <w:rFonts w:ascii="Sylfaen" w:hAnsi="Sylfaen"/>
          <w:sz w:val="24"/>
          <w:szCs w:val="24"/>
        </w:rPr>
        <w:t>և</w:t>
      </w:r>
      <w:r w:rsidRPr="00834D52">
        <w:rPr>
          <w:rFonts w:ascii="Sylfaen" w:hAnsi="Sylfaen"/>
          <w:sz w:val="24"/>
          <w:szCs w:val="24"/>
        </w:rPr>
        <w:t xml:space="preserve">է պրոցեդուրայից առաջ կամ դրանից հետո անհրաժեշտ է անցկացնել բջիջների բնութագրերի թեստավորում: </w:t>
      </w:r>
    </w:p>
    <w:p w14:paraId="4AEE0764" w14:textId="77777777" w:rsidR="006F76EB" w:rsidRPr="00834D52" w:rsidRDefault="006F76EB" w:rsidP="000F124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Ի լրումն գենոթերապ</w:t>
      </w:r>
      <w:r w:rsidR="00C54D75">
        <w:rPr>
          <w:rFonts w:ascii="Sylfaen" w:hAnsi="Sylfaen"/>
          <w:sz w:val="24"/>
          <w:szCs w:val="24"/>
        </w:rPr>
        <w:t>և</w:t>
      </w:r>
      <w:r w:rsidRPr="00834D52">
        <w:rPr>
          <w:rFonts w:ascii="Sylfaen" w:hAnsi="Sylfaen"/>
          <w:sz w:val="24"/>
          <w:szCs w:val="24"/>
        </w:rPr>
        <w:t xml:space="preserve">տիկ դեղապատրաստուկներին ներկայացվող սահմանված պահանջների՝ գենետիկորեն մոդիֆիկացված բջիջների համար հարկավոր է կիրառել սոմատիկ բջիջների հիմքով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համար որակին ներկայացվող պահանջներ՝ սույն պահանջների 17.3.3 բաժնին համապատասխան:</w:t>
      </w:r>
    </w:p>
    <w:p w14:paraId="289E728D"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դեղապատրաստուկներին ներկայացվող հատուկ պահանջները.</w:t>
      </w:r>
    </w:p>
    <w:p w14:paraId="619D624A" w14:textId="77777777" w:rsidR="006F76EB" w:rsidRPr="00834D52" w:rsidRDefault="006F76EB" w:rsidP="000F124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17.3.3.1.</w:t>
      </w:r>
      <w:r w:rsidRPr="00834D52">
        <w:rPr>
          <w:rFonts w:ascii="Sylfaen" w:hAnsi="Sylfaen"/>
          <w:sz w:val="24"/>
          <w:szCs w:val="24"/>
        </w:rPr>
        <w:tab/>
        <w:t xml:space="preserve">Ներածություն. դեղապատրաստուկ, դեղագործական բաղադրամաս </w:t>
      </w:r>
      <w:r w:rsidR="00C54D75">
        <w:rPr>
          <w:rFonts w:ascii="Sylfaen" w:hAnsi="Sylfaen"/>
          <w:sz w:val="24"/>
          <w:szCs w:val="24"/>
        </w:rPr>
        <w:t>և</w:t>
      </w:r>
      <w:r w:rsidRPr="00834D52">
        <w:rPr>
          <w:rFonts w:ascii="Sylfaen" w:hAnsi="Sylfaen"/>
          <w:sz w:val="24"/>
          <w:szCs w:val="24"/>
        </w:rPr>
        <w:t xml:space="preserve"> ելակետային նյութեր:</w:t>
      </w:r>
    </w:p>
    <w:p w14:paraId="6DD08D44"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Դեղապատրաստուկը պետք է կազմված լինի առաջարկվող բժշկական կիրառման համար նախատեսված առաջնային փաթեթվածքով դեղագործական բաղադրամասից ու դրա վերջնական համակցության մեջ ներառված </w:t>
      </w:r>
      <w:r w:rsidRPr="00834D52">
        <w:rPr>
          <w:rFonts w:ascii="Sylfaen" w:hAnsi="Sylfaen"/>
          <w:sz w:val="24"/>
          <w:szCs w:val="24"/>
        </w:rPr>
        <w:lastRenderedPageBreak/>
        <w:t>դեղագործական բաղադրամասից, եթե այն համակցված բարձր տեխնոլոգիական դեղապատրաստուկ է:</w:t>
      </w:r>
    </w:p>
    <w:p w14:paraId="74C8687B"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Դեղագործական բաղադրամասը պետք է կազմված լինի ինժեներիայի ենթարկված բջիջներից (հյուսվածքներից):</w:t>
      </w:r>
    </w:p>
    <w:p w14:paraId="475D1D69" w14:textId="77777777" w:rsidR="006F76EB" w:rsidRPr="00834D52" w:rsidRDefault="006F76EB" w:rsidP="001155F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լրացուցիչ նյութերը (օրինակ՝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համակցվում են մշակման ենթարկված այն բջիջների հետ, որոնց հետ դրանք մեկ ամբողջություն են կազմում, ելակետային նյութեր են հանդիսանում նույնիսկ այն դեպքում, երբ չունեն կենսաբանական ծագում:</w:t>
      </w:r>
    </w:p>
    <w:p w14:paraId="5A3E202E" w14:textId="77777777" w:rsidR="006F76EB" w:rsidRPr="00333A89" w:rsidRDefault="006F76EB" w:rsidP="00D569EF">
      <w:pPr>
        <w:spacing w:after="160" w:line="384" w:lineRule="auto"/>
        <w:ind w:right="-6" w:firstLine="567"/>
        <w:jc w:val="both"/>
        <w:rPr>
          <w:rFonts w:ascii="Sylfaen" w:eastAsia="Times New Roman" w:hAnsi="Sylfaen" w:cs="Times New Roman"/>
          <w:spacing w:val="-4"/>
          <w:sz w:val="24"/>
          <w:szCs w:val="24"/>
        </w:rPr>
      </w:pPr>
      <w:r w:rsidRPr="00333A89">
        <w:rPr>
          <w:rFonts w:ascii="Sylfaen" w:hAnsi="Sylfaen"/>
          <w:spacing w:val="-4"/>
          <w:sz w:val="24"/>
          <w:szCs w:val="24"/>
        </w:rPr>
        <w:t>Դեղագործական բաղադրամասերի արտադրության մեջ օգտագործվող այն նյութերը (օրինակ՝ սնուցող միջավայրը, աճի գործոնները), որոնք նախատեսված չեն որպես դեղագործական բաղադրամասի բաղադրիչ ներառվելու համար, հանդիսանում են հումք:</w:t>
      </w:r>
    </w:p>
    <w:p w14:paraId="1C657927"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w:t>
      </w:r>
      <w:r w:rsidRPr="00834D52">
        <w:rPr>
          <w:rFonts w:ascii="Sylfaen" w:hAnsi="Sylfaen"/>
          <w:sz w:val="24"/>
          <w:szCs w:val="24"/>
        </w:rPr>
        <w:tab/>
        <w:t>Հատուկ պահանջներ.</w:t>
      </w:r>
    </w:p>
    <w:p w14:paraId="7BE58AFB"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 լրումն սույն հավելվածի I մասի 3.2.1 </w:t>
      </w:r>
      <w:r w:rsidR="00C54D75">
        <w:rPr>
          <w:rFonts w:ascii="Sylfaen" w:hAnsi="Sylfaen"/>
          <w:sz w:val="24"/>
          <w:szCs w:val="24"/>
        </w:rPr>
        <w:t>և</w:t>
      </w:r>
      <w:r w:rsidRPr="00834D52">
        <w:rPr>
          <w:rFonts w:ascii="Sylfaen" w:hAnsi="Sylfaen"/>
          <w:sz w:val="24"/>
          <w:szCs w:val="24"/>
        </w:rPr>
        <w:t xml:space="preserve"> 3.2.2 բաժիններում նշված պահանջների՝ կիրառվում են հետ</w:t>
      </w:r>
      <w:r w:rsidR="00C54D75">
        <w:rPr>
          <w:rFonts w:ascii="Sylfaen" w:hAnsi="Sylfaen"/>
          <w:sz w:val="24"/>
          <w:szCs w:val="24"/>
        </w:rPr>
        <w:t>և</w:t>
      </w:r>
      <w:r w:rsidRPr="00834D52">
        <w:rPr>
          <w:rFonts w:ascii="Sylfaen" w:hAnsi="Sylfaen"/>
          <w:sz w:val="24"/>
          <w:szCs w:val="24"/>
        </w:rPr>
        <w:t>յալ պահանջները՝</w:t>
      </w:r>
    </w:p>
    <w:p w14:paraId="3011B9C4" w14:textId="77777777" w:rsidR="006F76EB" w:rsidRPr="00834D52" w:rsidRDefault="006F76EB" w:rsidP="00131173">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17.3.3.2.1.</w:t>
      </w:r>
      <w:r w:rsidRPr="00834D52">
        <w:rPr>
          <w:rFonts w:ascii="Sylfaen" w:hAnsi="Sylfaen"/>
          <w:sz w:val="24"/>
          <w:szCs w:val="24"/>
        </w:rPr>
        <w:tab/>
        <w:t>Ելակետային նյութեր.</w:t>
      </w:r>
    </w:p>
    <w:p w14:paraId="33107456" w14:textId="77777777" w:rsidR="006F76EB" w:rsidRPr="00834D52" w:rsidRDefault="006F76EB" w:rsidP="00AD33B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որպես ելակետային նյութեր օգտագործվող՝ մարդու հյուսվածքների </w:t>
      </w:r>
      <w:r w:rsidR="00C54D75">
        <w:rPr>
          <w:rFonts w:ascii="Sylfaen" w:hAnsi="Sylfaen"/>
          <w:sz w:val="24"/>
          <w:szCs w:val="24"/>
        </w:rPr>
        <w:t>և</w:t>
      </w:r>
      <w:r w:rsidRPr="00834D52">
        <w:rPr>
          <w:rFonts w:ascii="Sylfaen" w:hAnsi="Sylfaen"/>
          <w:sz w:val="24"/>
          <w:szCs w:val="24"/>
        </w:rPr>
        <w:t xml:space="preserve"> բջիջների ստացման, մթերման </w:t>
      </w:r>
      <w:r w:rsidR="00C54D75">
        <w:rPr>
          <w:rFonts w:ascii="Sylfaen" w:hAnsi="Sylfaen"/>
          <w:sz w:val="24"/>
          <w:szCs w:val="24"/>
        </w:rPr>
        <w:t>և</w:t>
      </w:r>
      <w:r w:rsidRPr="00834D52">
        <w:rPr>
          <w:rFonts w:ascii="Sylfaen" w:hAnsi="Sylfaen"/>
          <w:sz w:val="24"/>
          <w:szCs w:val="24"/>
        </w:rPr>
        <w:t xml:space="preserve"> փորձարկման մասին ռեզյումե: Անհրաժեշտ է ներկայացնել հիմնավորում, եթե որպես ելակետային նյութեր օգտագործվել են անառողջ բջիջներ կամ հյուսվածքներ </w:t>
      </w:r>
      <w:r w:rsidRPr="00834D52">
        <w:rPr>
          <w:rFonts w:ascii="Sylfaen" w:hAnsi="Sylfaen"/>
          <w:sz w:val="24"/>
          <w:szCs w:val="24"/>
        </w:rPr>
        <w:br/>
        <w:t>(օրինակ՝ քաղցկեղային):</w:t>
      </w:r>
    </w:p>
    <w:p w14:paraId="194BE2C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ալլոգեն բջիջների պոպուլյացիաները միավորվել են, ապա անհրաժեշտ է նկարագրել միավորման ռազմավարությունն ու ձեռնարկել հետագծելիության ապահովմանն ուղղված միջոցներ:</w:t>
      </w:r>
    </w:p>
    <w:p w14:paraId="0F48D15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Արտադրության պրոցեսի վալիդացման, դեղագործական բաղադրամասի </w:t>
      </w:r>
      <w:r w:rsidR="00C54D75">
        <w:rPr>
          <w:rFonts w:ascii="Sylfaen" w:hAnsi="Sylfaen"/>
          <w:sz w:val="24"/>
          <w:szCs w:val="24"/>
        </w:rPr>
        <w:t>և</w:t>
      </w:r>
      <w:r w:rsidRPr="00834D52">
        <w:rPr>
          <w:rFonts w:ascii="Sylfaen" w:hAnsi="Sylfaen"/>
          <w:sz w:val="24"/>
          <w:szCs w:val="24"/>
        </w:rPr>
        <w:t xml:space="preserve"> դեղապատրաստուկի հատկությունների, մշակման մեջ օգտագործվող վերլուծական մեթոդիկաների նկարագրության, մասնագրերի կազմման </w:t>
      </w:r>
      <w:r w:rsidR="00C54D75">
        <w:rPr>
          <w:rFonts w:ascii="Sylfaen" w:hAnsi="Sylfaen"/>
          <w:sz w:val="24"/>
          <w:szCs w:val="24"/>
        </w:rPr>
        <w:t>և</w:t>
      </w:r>
      <w:r w:rsidRPr="00834D52">
        <w:rPr>
          <w:rFonts w:ascii="Sylfaen" w:hAnsi="Sylfaen"/>
          <w:sz w:val="24"/>
          <w:szCs w:val="24"/>
        </w:rPr>
        <w:t xml:space="preserve"> կայունության որոշման ժամանակ անհրաժեշտ է հաշվի առնել մարդու կամ կենդանիների հյուսվածքների </w:t>
      </w:r>
      <w:r w:rsidR="00C54D75">
        <w:rPr>
          <w:rFonts w:ascii="Sylfaen" w:hAnsi="Sylfaen"/>
          <w:sz w:val="24"/>
          <w:szCs w:val="24"/>
        </w:rPr>
        <w:t>և</w:t>
      </w:r>
      <w:r w:rsidRPr="00834D52">
        <w:rPr>
          <w:rFonts w:ascii="Sylfaen" w:hAnsi="Sylfaen"/>
          <w:sz w:val="24"/>
          <w:szCs w:val="24"/>
        </w:rPr>
        <w:t xml:space="preserve"> բջիջների օգտագործմամբ պայմանավորված պոտենցիալ փոփոխականությունը:</w:t>
      </w:r>
    </w:p>
    <w:p w14:paraId="77934A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Քսենոգեն բջջային դեղապատրաստուկների առնչությամբ անհրաժեշտ է ներկայացնել կենդանիների աղբյուրի (օրինակ՝ աշխարհագրական ծագումը, անասնապահական տնտեսությունը, տարիքը), ընդունելիության հիմնական չափանիշների, կենդանի-դոնորների մոտ վարակների կանխմանն ու դիտարկմանն ուղղված միջոցների, վարակիչ ագենտների, ներառյալ՝ ուղղահայաց փոխանցվող միկրոօրգանիզմների </w:t>
      </w:r>
      <w:r w:rsidR="00C54D75">
        <w:rPr>
          <w:rFonts w:ascii="Sylfaen" w:hAnsi="Sylfaen"/>
          <w:sz w:val="24"/>
          <w:szCs w:val="24"/>
        </w:rPr>
        <w:t>և</w:t>
      </w:r>
      <w:r w:rsidRPr="00834D52">
        <w:rPr>
          <w:rFonts w:ascii="Sylfaen" w:hAnsi="Sylfaen"/>
          <w:sz w:val="24"/>
          <w:szCs w:val="24"/>
        </w:rPr>
        <w:t xml:space="preserve"> վիրուսների նկատմամբ կենդանիների փորձարկումների </w:t>
      </w:r>
      <w:r w:rsidR="00C54D75">
        <w:rPr>
          <w:rFonts w:ascii="Sylfaen" w:hAnsi="Sylfaen"/>
          <w:sz w:val="24"/>
          <w:szCs w:val="24"/>
        </w:rPr>
        <w:t>և</w:t>
      </w:r>
      <w:r w:rsidRPr="00834D52">
        <w:rPr>
          <w:rFonts w:ascii="Sylfaen" w:hAnsi="Sylfaen"/>
          <w:sz w:val="24"/>
          <w:szCs w:val="24"/>
        </w:rPr>
        <w:t xml:space="preserve"> կենդանիներ պահելու պայմանների պիտանիության հաստատման վերաբերյալ տեղեկություններ:</w:t>
      </w:r>
    </w:p>
    <w:p w14:paraId="68AB3DA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Գենետիկորեն մոդիֆիկացված կենդանիներից ստացված բջջային դեղապատրաստուկների առնչությամբ անհրաժեշտ է նկարագրել բջիջների գենետիկ մոդիֆիկացմամբ պայմանավորված հիմնական հատկությունները: Անհրաժեշտ է ներկայացնել տրանսգեն կենդանիների ստեղծման </w:t>
      </w:r>
      <w:r w:rsidR="00C54D75">
        <w:rPr>
          <w:rFonts w:ascii="Sylfaen" w:hAnsi="Sylfaen"/>
          <w:sz w:val="24"/>
          <w:szCs w:val="24"/>
        </w:rPr>
        <w:t>և</w:t>
      </w:r>
      <w:r w:rsidRPr="00834D52">
        <w:rPr>
          <w:rFonts w:ascii="Sylfaen" w:hAnsi="Sylfaen"/>
          <w:sz w:val="24"/>
          <w:szCs w:val="24"/>
        </w:rPr>
        <w:t xml:space="preserve"> նկարագրության մեթոդի մանրամասն նկարագրություն:</w:t>
      </w:r>
    </w:p>
    <w:p w14:paraId="0C69DD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Գենետիկորեն մոդիֆիկացված բջիջների առնչությամբ անհրաժեշտ է նա</w:t>
      </w:r>
      <w:r w:rsidR="00C54D75">
        <w:rPr>
          <w:rFonts w:ascii="Sylfaen" w:hAnsi="Sylfaen"/>
          <w:sz w:val="24"/>
          <w:szCs w:val="24"/>
        </w:rPr>
        <w:t>և</w:t>
      </w:r>
      <w:r w:rsidRPr="00834D52">
        <w:rPr>
          <w:rFonts w:ascii="Sylfaen" w:hAnsi="Sylfaen"/>
          <w:sz w:val="24"/>
          <w:szCs w:val="24"/>
        </w:rPr>
        <w:t xml:space="preserve"> հաշվի առնել սույն հավելվածի 17.3.2 բաժնում նշված պահանջները:</w:t>
      </w:r>
    </w:p>
    <w:p w14:paraId="545FA42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w:t>
      </w:r>
      <w:r w:rsidR="00C54D75">
        <w:rPr>
          <w:rFonts w:ascii="Sylfaen" w:hAnsi="Sylfaen"/>
          <w:sz w:val="24"/>
          <w:szCs w:val="24"/>
        </w:rPr>
        <w:t>և</w:t>
      </w:r>
      <w:r w:rsidRPr="00834D52">
        <w:rPr>
          <w:rFonts w:ascii="Sylfaen" w:hAnsi="Sylfaen"/>
          <w:sz w:val="24"/>
          <w:szCs w:val="24"/>
        </w:rPr>
        <w:t xml:space="preserve"> հիմնավորել բոլոր այն լրացուցիչ նյութերի փորձարկումների պայմանները (կմախքներ, մատրիցաներ, արտադրատեսակներ, կենսանյութեր, կենսամոլեկուլներ </w:t>
      </w:r>
      <w:r w:rsidR="00C54D75">
        <w:rPr>
          <w:rFonts w:ascii="Sylfaen" w:hAnsi="Sylfaen"/>
          <w:sz w:val="24"/>
          <w:szCs w:val="24"/>
        </w:rPr>
        <w:t>և</w:t>
      </w:r>
      <w:r w:rsidRPr="00834D52">
        <w:rPr>
          <w:rFonts w:ascii="Sylfaen" w:hAnsi="Sylfaen"/>
          <w:sz w:val="24"/>
          <w:szCs w:val="24"/>
        </w:rPr>
        <w:t xml:space="preserve"> այլն), որոնք համակցվել են ինժեներիայի ենթարկված բջիջների հետ:</w:t>
      </w:r>
    </w:p>
    <w:p w14:paraId="7429C0BD"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 կամ ակտիվ իմպլանտավորվող բժշկական արտադրատեսակ սահմանման տակ ընկնող կմախքների, մատրիցաների </w:t>
      </w:r>
      <w:r w:rsidR="00C54D75">
        <w:rPr>
          <w:rFonts w:ascii="Sylfaen" w:hAnsi="Sylfaen"/>
          <w:sz w:val="24"/>
          <w:szCs w:val="24"/>
        </w:rPr>
        <w:t>և</w:t>
      </w:r>
      <w:r w:rsidRPr="00834D52">
        <w:rPr>
          <w:rFonts w:ascii="Sylfaen" w:hAnsi="Sylfaen"/>
          <w:sz w:val="24"/>
          <w:szCs w:val="24"/>
        </w:rPr>
        <w:t xml:space="preserve"> արտադրատեսակների առնչությամբ անհրաժեշտ է ներկայացնել սույն հավելվածի </w:t>
      </w:r>
      <w:r w:rsidRPr="00834D52">
        <w:rPr>
          <w:rFonts w:ascii="Sylfaen" w:hAnsi="Sylfaen"/>
          <w:sz w:val="24"/>
          <w:szCs w:val="24"/>
        </w:rPr>
        <w:lastRenderedPageBreak/>
        <w:t>17.3.4 բաժնում նշված տեղեկությունները, որոնք պահանջվում են առաջատար թերապիայի համար նախատեսված համակցված դեղապատրաստուկների փորձաքննության համար:</w:t>
      </w:r>
    </w:p>
    <w:p w14:paraId="00D3F891" w14:textId="77777777" w:rsidR="006F76EB" w:rsidRPr="00834D52" w:rsidRDefault="006F76EB" w:rsidP="00E70EE4">
      <w:pPr>
        <w:tabs>
          <w:tab w:val="left" w:pos="1701"/>
        </w:tabs>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17.3.3.2.2.</w:t>
      </w:r>
      <w:r w:rsidRPr="00834D52">
        <w:rPr>
          <w:rFonts w:ascii="Sylfaen" w:hAnsi="Sylfaen"/>
          <w:sz w:val="24"/>
          <w:szCs w:val="24"/>
        </w:rPr>
        <w:tab/>
        <w:t>Արտադրական պրոցեսը</w:t>
      </w:r>
    </w:p>
    <w:p w14:paraId="5EF38759" w14:textId="77777777" w:rsidR="006F76EB" w:rsidRPr="00834D52" w:rsidRDefault="006F76EB" w:rsidP="00E70EE4">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Հումքերի համասեռության </w:t>
      </w:r>
      <w:r w:rsidR="00C54D75">
        <w:rPr>
          <w:rFonts w:ascii="Sylfaen" w:hAnsi="Sylfaen"/>
          <w:sz w:val="24"/>
          <w:szCs w:val="24"/>
        </w:rPr>
        <w:t>և</w:t>
      </w:r>
      <w:r w:rsidRPr="00834D52">
        <w:rPr>
          <w:rFonts w:ascii="Sylfaen" w:hAnsi="Sylfaen"/>
          <w:sz w:val="24"/>
          <w:szCs w:val="24"/>
        </w:rPr>
        <w:t xml:space="preserve"> արտադրության պրոցեսի, արտադրության </w:t>
      </w:r>
      <w:r w:rsidR="00C54D75">
        <w:rPr>
          <w:rFonts w:ascii="Sylfaen" w:hAnsi="Sylfaen"/>
          <w:sz w:val="24"/>
          <w:szCs w:val="24"/>
        </w:rPr>
        <w:t>և</w:t>
      </w:r>
      <w:r w:rsidRPr="00834D52">
        <w:rPr>
          <w:rFonts w:ascii="Sylfaen" w:hAnsi="Sylfaen"/>
          <w:sz w:val="24"/>
          <w:szCs w:val="24"/>
        </w:rPr>
        <w:t xml:space="preserve"> տրանսպորտային փոխադրման ընթացքում (ընդհուպ մինչ</w:t>
      </w:r>
      <w:r w:rsidR="00C54D75">
        <w:rPr>
          <w:rFonts w:ascii="Sylfaen" w:hAnsi="Sylfaen"/>
          <w:sz w:val="24"/>
          <w:szCs w:val="24"/>
        </w:rPr>
        <w:t>և</w:t>
      </w:r>
      <w:r w:rsidRPr="00834D52">
        <w:rPr>
          <w:rFonts w:ascii="Sylfaen" w:hAnsi="Sylfaen"/>
          <w:sz w:val="24"/>
          <w:szCs w:val="24"/>
        </w:rPr>
        <w:t xml:space="preserve"> կիրառումը կամ ներմուծումը) բջիջների ֆունկցիոնալ ամբողջականության </w:t>
      </w:r>
      <w:r w:rsidR="00C54D75">
        <w:rPr>
          <w:rFonts w:ascii="Sylfaen" w:hAnsi="Sylfaen"/>
          <w:sz w:val="24"/>
          <w:szCs w:val="24"/>
        </w:rPr>
        <w:t>և</w:t>
      </w:r>
      <w:r w:rsidRPr="00834D52">
        <w:rPr>
          <w:rFonts w:ascii="Sylfaen" w:hAnsi="Sylfaen"/>
          <w:sz w:val="24"/>
          <w:szCs w:val="24"/>
        </w:rPr>
        <w:t xml:space="preserve"> տարբերակման (դիֆերենցման) պատշաճ վիճակի ապահովման նպատակով անհրաժեշտ է վալիդացնել արտադրության պրոցեսը:</w:t>
      </w:r>
    </w:p>
    <w:p w14:paraId="3F9C55C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բջիջներն ուղղակիորեն աճեցված են ներսում կամ մատրիցայի, կմախքի կամ արտադրատեսակի վրա, ապա անհրաժեշտ է ներկայացնել բջիջների աճի տեսանկյունից բջջային կուլտուրայի ստացման պրոցեսի վալիդացման, այդպիսի համակցության գործառույթի </w:t>
      </w:r>
      <w:r w:rsidR="00C54D75">
        <w:rPr>
          <w:rFonts w:ascii="Sylfaen" w:hAnsi="Sylfaen"/>
          <w:sz w:val="24"/>
          <w:szCs w:val="24"/>
        </w:rPr>
        <w:t>և</w:t>
      </w:r>
      <w:r w:rsidRPr="00834D52">
        <w:rPr>
          <w:rFonts w:ascii="Sylfaen" w:hAnsi="Sylfaen"/>
          <w:sz w:val="24"/>
          <w:szCs w:val="24"/>
        </w:rPr>
        <w:t xml:space="preserve"> ամբողջականության վերաբերյալ տեղեկություններ:</w:t>
      </w:r>
    </w:p>
    <w:p w14:paraId="6B935635"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17.3.3.2.3.</w:t>
      </w:r>
      <w:r w:rsidRPr="00834D52">
        <w:rPr>
          <w:rFonts w:ascii="Sylfaen" w:hAnsi="Sylfaen"/>
          <w:sz w:val="24"/>
          <w:szCs w:val="24"/>
        </w:rPr>
        <w:tab/>
        <w:t xml:space="preserve">Հատկությունների նկարագրության </w:t>
      </w:r>
      <w:r w:rsidR="00C54D75">
        <w:rPr>
          <w:rFonts w:ascii="Sylfaen" w:hAnsi="Sylfaen"/>
          <w:sz w:val="24"/>
          <w:szCs w:val="24"/>
        </w:rPr>
        <w:t>և</w:t>
      </w:r>
      <w:r w:rsidRPr="00834D52">
        <w:rPr>
          <w:rFonts w:ascii="Sylfaen" w:hAnsi="Sylfaen"/>
          <w:sz w:val="24"/>
          <w:szCs w:val="24"/>
        </w:rPr>
        <w:t xml:space="preserve"> որակի հսկողության ռազմավարությունը.</w:t>
      </w:r>
    </w:p>
    <w:p w14:paraId="0E5F21D3"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բջիջների կամ բջիջների խառնուրդների պոպուլյացիաների հատկությունների՝ դրանց իսկության, մաքրության (օրինակ՝ օտար մանրէային ագենտների կամ բջջային կոնտամինանտների առկայություն), կենսունակության, ակտիվության, կարիոլոգիայի, քաղցկեղածնության </w:t>
      </w:r>
      <w:r w:rsidR="00C54D75">
        <w:rPr>
          <w:rFonts w:ascii="Sylfaen" w:hAnsi="Sylfaen"/>
          <w:sz w:val="24"/>
          <w:szCs w:val="24"/>
        </w:rPr>
        <w:t>և</w:t>
      </w:r>
      <w:r w:rsidRPr="00834D52">
        <w:rPr>
          <w:rFonts w:ascii="Sylfaen" w:hAnsi="Sylfaen"/>
          <w:sz w:val="24"/>
          <w:szCs w:val="24"/>
        </w:rPr>
        <w:t xml:space="preserve"> առաջարկվող բժշկական կիրառման համար պիտանիության տեսանկյունից նկարագրությանը վերաբերող տեղեկություններ: Անհրաժեշտ է հաստատել բջիջների գենետիկ կայունությունը:</w:t>
      </w:r>
    </w:p>
    <w:p w14:paraId="72A144C9"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արտադրական </w:t>
      </w:r>
      <w:r w:rsidR="00C54D75">
        <w:rPr>
          <w:rFonts w:ascii="Sylfaen" w:hAnsi="Sylfaen"/>
          <w:sz w:val="24"/>
          <w:szCs w:val="24"/>
        </w:rPr>
        <w:t>և</w:t>
      </w:r>
      <w:r w:rsidRPr="00834D52">
        <w:rPr>
          <w:rFonts w:ascii="Sylfaen" w:hAnsi="Sylfaen"/>
          <w:sz w:val="24"/>
          <w:szCs w:val="24"/>
        </w:rPr>
        <w:t xml:space="preserve"> հարակից խառնուկների վերաբերյալ որակական </w:t>
      </w:r>
      <w:r w:rsidR="00C54D75">
        <w:rPr>
          <w:rFonts w:ascii="Sylfaen" w:hAnsi="Sylfaen"/>
          <w:sz w:val="24"/>
          <w:szCs w:val="24"/>
        </w:rPr>
        <w:t>և</w:t>
      </w:r>
      <w:r w:rsidRPr="00834D52">
        <w:rPr>
          <w:rFonts w:ascii="Sylfaen" w:hAnsi="Sylfaen"/>
          <w:sz w:val="24"/>
          <w:szCs w:val="24"/>
        </w:rPr>
        <w:t xml:space="preserve"> հնարավորության դեպքում՝ քանակական տեղեկություններ, ինչպես նա</w:t>
      </w:r>
      <w:r w:rsidR="00C54D75">
        <w:rPr>
          <w:rFonts w:ascii="Sylfaen" w:hAnsi="Sylfaen"/>
          <w:sz w:val="24"/>
          <w:szCs w:val="24"/>
        </w:rPr>
        <w:t>և</w:t>
      </w:r>
      <w:r w:rsidRPr="00834D52">
        <w:rPr>
          <w:rFonts w:ascii="Sylfaen" w:hAnsi="Sylfaen"/>
          <w:sz w:val="24"/>
          <w:szCs w:val="24"/>
        </w:rPr>
        <w:t xml:space="preserve"> տեղեկություններ այն բոլոր նյութերի վերաբերյալ, </w:t>
      </w:r>
      <w:r w:rsidRPr="00834D52">
        <w:rPr>
          <w:rFonts w:ascii="Sylfaen" w:hAnsi="Sylfaen"/>
          <w:sz w:val="24"/>
          <w:szCs w:val="24"/>
        </w:rPr>
        <w:lastRenderedPageBreak/>
        <w:t>որոնք կարող են արտադրության ընթացքում հանգեցնել դեգրադացիայի արգասիքների առաջացման: Անհրաժեշտ է հիմնավորել խառնուկների ուսումնասիրության մակարդակը:</w:t>
      </w:r>
    </w:p>
    <w:p w14:paraId="2FD8C882" w14:textId="77777777" w:rsidR="006F76EB" w:rsidRPr="00F06D43" w:rsidRDefault="006F76EB" w:rsidP="007B65EB">
      <w:pPr>
        <w:spacing w:after="160" w:line="384" w:lineRule="auto"/>
        <w:ind w:right="-6" w:firstLine="567"/>
        <w:jc w:val="both"/>
        <w:rPr>
          <w:rFonts w:ascii="Sylfaen" w:hAnsi="Sylfaen"/>
          <w:sz w:val="24"/>
          <w:szCs w:val="24"/>
        </w:rPr>
      </w:pPr>
      <w:r w:rsidRPr="00834D52">
        <w:rPr>
          <w:rFonts w:ascii="Sylfaen" w:hAnsi="Sylfaen"/>
          <w:sz w:val="24"/>
          <w:szCs w:val="24"/>
        </w:rPr>
        <w:t xml:space="preserve">Անհրաժեշտ է ներկայացնել հիմնավորում այն մասին, որ դեղագործական բաղադրամասի կամ դեղապատրաստուկի հետ հնարավոր չէ անցկացնել որակի հսկողության որոշակի փորձարկումներ, սակայն դա հնարավոր է առանցքային միջանկյալ արգասիքների հետ </w:t>
      </w:r>
      <w:r w:rsidR="00C54D75">
        <w:rPr>
          <w:rFonts w:ascii="Sylfaen" w:hAnsi="Sylfaen"/>
          <w:sz w:val="24"/>
          <w:szCs w:val="24"/>
        </w:rPr>
        <w:t>և</w:t>
      </w:r>
      <w:r w:rsidRPr="00834D52">
        <w:rPr>
          <w:rFonts w:ascii="Sylfaen" w:hAnsi="Sylfaen"/>
          <w:sz w:val="24"/>
          <w:szCs w:val="24"/>
        </w:rPr>
        <w:t xml:space="preserve"> (կամ) ներարտադրական հսկողության շրջանակներում:</w:t>
      </w:r>
    </w:p>
    <w:p w14:paraId="2A90F5E0" w14:textId="77777777" w:rsidR="007B65EB" w:rsidRPr="00F06D43" w:rsidRDefault="007B65EB" w:rsidP="007B65EB">
      <w:pPr>
        <w:spacing w:after="160" w:line="384" w:lineRule="auto"/>
        <w:ind w:right="-6" w:firstLine="567"/>
        <w:jc w:val="both"/>
        <w:rPr>
          <w:rFonts w:ascii="Sylfaen" w:eastAsia="Times New Roman" w:hAnsi="Sylfaen" w:cs="Times New Roman"/>
          <w:sz w:val="24"/>
          <w:szCs w:val="24"/>
        </w:rPr>
      </w:pPr>
    </w:p>
    <w:p w14:paraId="16355344"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Եթե որպես բաղադրիչներ բջջային դեղապատրաստուկները պարունակում</w:t>
      </w:r>
      <w:r w:rsidR="007B65EB" w:rsidRPr="007B65EB">
        <w:rPr>
          <w:rFonts w:ascii="Sylfaen" w:hAnsi="Sylfaen"/>
          <w:sz w:val="24"/>
          <w:szCs w:val="24"/>
        </w:rPr>
        <w:t> </w:t>
      </w:r>
      <w:r w:rsidRPr="00834D52">
        <w:rPr>
          <w:rFonts w:ascii="Sylfaen" w:hAnsi="Sylfaen"/>
          <w:sz w:val="24"/>
          <w:szCs w:val="24"/>
        </w:rPr>
        <w:t>են կենսաբանական ակտիվ մոլեկուլներ (օրինակ՝ աճի գործոններ, ցիտոկիններ), ապա անհրաժեշտ է նկարագրել դրանց ազդեցությունն ու փոխազդեցությունը դեղագործական բաղադրամասի այլ բաղադրիչների վրա:</w:t>
      </w:r>
    </w:p>
    <w:p w14:paraId="16C816B8" w14:textId="77777777" w:rsidR="006F76EB" w:rsidRPr="00834D52" w:rsidRDefault="006F76EB" w:rsidP="00CE1C3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եռաչափ կառուցվածքը հանդիսանում է ենթադրվող ֆունկցիայի մաս, ապա այդպիսի բջջային դեղապատրաստուկների հատկությունների նկարագրության մաս պետք է դառնան տարբերակման (դիֆերենցման) վիճակը, բջիջների կառուցվածաքային </w:t>
      </w:r>
      <w:r w:rsidR="00C54D75">
        <w:rPr>
          <w:rFonts w:ascii="Sylfaen" w:hAnsi="Sylfaen"/>
          <w:sz w:val="24"/>
          <w:szCs w:val="24"/>
        </w:rPr>
        <w:t>և</w:t>
      </w:r>
      <w:r w:rsidRPr="00834D52">
        <w:rPr>
          <w:rFonts w:ascii="Sylfaen" w:hAnsi="Sylfaen"/>
          <w:sz w:val="24"/>
          <w:szCs w:val="24"/>
        </w:rPr>
        <w:t xml:space="preserve"> ֆունկցիոնալ կազմակերպումը </w:t>
      </w:r>
      <w:r w:rsidR="00C54D75">
        <w:rPr>
          <w:rFonts w:ascii="Sylfaen" w:hAnsi="Sylfaen"/>
          <w:sz w:val="24"/>
          <w:szCs w:val="24"/>
        </w:rPr>
        <w:t>և</w:t>
      </w:r>
      <w:r w:rsidRPr="00834D52">
        <w:rPr>
          <w:rFonts w:ascii="Sylfaen" w:hAnsi="Sylfaen"/>
          <w:sz w:val="24"/>
          <w:szCs w:val="24"/>
        </w:rPr>
        <w:t xml:space="preserve"> առաջացող արտաբջջային մատրիքսը (անհրաժեշտության դեպքում): Անհրաժեշտության դեպքում ֆիզիկաքիմիական հատկությունների նկարագրությունները պետք է լրացնեն նախակլինիկիական հետազոտություններին:</w:t>
      </w:r>
    </w:p>
    <w:p w14:paraId="151C6178" w14:textId="77777777" w:rsidR="006F76EB" w:rsidRPr="00834D52" w:rsidRDefault="006F76EB" w:rsidP="00131173">
      <w:pPr>
        <w:tabs>
          <w:tab w:val="left" w:pos="1701"/>
        </w:tabs>
        <w:spacing w:after="160" w:line="350" w:lineRule="auto"/>
        <w:ind w:right="-6" w:firstLine="567"/>
        <w:jc w:val="both"/>
        <w:rPr>
          <w:rFonts w:ascii="Sylfaen" w:eastAsia="Times New Roman" w:hAnsi="Sylfaen" w:cs="Times New Roman"/>
          <w:sz w:val="24"/>
          <w:szCs w:val="24"/>
        </w:rPr>
      </w:pPr>
      <w:r w:rsidRPr="00834D52">
        <w:rPr>
          <w:rFonts w:ascii="Sylfaen" w:hAnsi="Sylfaen"/>
          <w:sz w:val="24"/>
          <w:szCs w:val="24"/>
        </w:rPr>
        <w:t>17.3.3.2.4.</w:t>
      </w:r>
      <w:r w:rsidRPr="00834D52">
        <w:rPr>
          <w:rFonts w:ascii="Sylfaen" w:hAnsi="Sylfaen"/>
          <w:sz w:val="24"/>
          <w:szCs w:val="24"/>
        </w:rPr>
        <w:tab/>
        <w:t>Օժանդակ նյութեր.</w:t>
      </w:r>
    </w:p>
    <w:p w14:paraId="7CD3FD2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(օրինակ՝ փոխանցման միջավայրի բաղադրիչներ) մեջ օգտագործվող օժանդակ նյութերի նկատմամբ կիրառվում են սույն հավելվածի I մասում նշված նոր օժանդակ նյութերին ներկայացվող պահանջները, եթե բջիջների կամ հյուսվածքների </w:t>
      </w:r>
      <w:r w:rsidR="00C54D75">
        <w:rPr>
          <w:rFonts w:ascii="Sylfaen" w:hAnsi="Sylfaen"/>
          <w:sz w:val="24"/>
          <w:szCs w:val="24"/>
        </w:rPr>
        <w:t>և</w:t>
      </w:r>
      <w:r w:rsidRPr="00834D52">
        <w:rPr>
          <w:rFonts w:ascii="Sylfaen" w:hAnsi="Sylfaen"/>
          <w:sz w:val="24"/>
          <w:szCs w:val="24"/>
        </w:rPr>
        <w:t xml:space="preserve"> օժանդակ նյութերի միջ</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փոխազդեցության վերաբերյալ տվյալները բացակայում են: </w:t>
      </w:r>
    </w:p>
    <w:p w14:paraId="6BA3A2B9" w14:textId="77777777" w:rsidR="006F76EB" w:rsidRPr="00834D52" w:rsidRDefault="006F76EB" w:rsidP="0013117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17.3.3.2.5.</w:t>
      </w:r>
      <w:r w:rsidRPr="00834D52">
        <w:rPr>
          <w:rFonts w:ascii="Sylfaen" w:hAnsi="Sylfaen"/>
          <w:sz w:val="24"/>
          <w:szCs w:val="24"/>
        </w:rPr>
        <w:tab/>
        <w:t>Մշակման վերաբերյալ հետազոտությունները.</w:t>
      </w:r>
    </w:p>
    <w:p w14:paraId="7FA68039"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Մշակման ծրագիրը նկարագրելիս անհրաժեշտ է ներկայացնել նյութերի </w:t>
      </w:r>
      <w:r w:rsidR="00C54D75">
        <w:rPr>
          <w:rFonts w:ascii="Sylfaen" w:hAnsi="Sylfaen"/>
          <w:sz w:val="24"/>
          <w:szCs w:val="24"/>
        </w:rPr>
        <w:t>և</w:t>
      </w:r>
      <w:r w:rsidRPr="00834D52">
        <w:rPr>
          <w:rFonts w:ascii="Sylfaen" w:hAnsi="Sylfaen"/>
          <w:sz w:val="24"/>
          <w:szCs w:val="24"/>
        </w:rPr>
        <w:t xml:space="preserve"> պրոցեսների ընտրության հիմնավորումը: Մասնավորապես, անհրաժեշտ է վերլուծել պատրաստի դեղապատրաստուկի մեջ բջիջների պոպուլյացիայի ամբողջականությունը:</w:t>
      </w:r>
    </w:p>
    <w:p w14:paraId="31921600" w14:textId="77777777" w:rsidR="006F76EB" w:rsidRPr="00834D52" w:rsidRDefault="006F76EB" w:rsidP="00131173">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17.3.3.2.6.</w:t>
      </w:r>
      <w:r w:rsidRPr="00834D52">
        <w:rPr>
          <w:rFonts w:ascii="Sylfaen" w:hAnsi="Sylfaen"/>
          <w:sz w:val="24"/>
          <w:szCs w:val="24"/>
        </w:rPr>
        <w:tab/>
        <w:t>Ստանդարտ նյութեր.</w:t>
      </w:r>
    </w:p>
    <w:p w14:paraId="4C62CB40" w14:textId="77777777" w:rsidR="006F76EB" w:rsidRPr="00D569EF" w:rsidRDefault="006F76EB" w:rsidP="00CE1C3D">
      <w:pPr>
        <w:tabs>
          <w:tab w:val="left" w:pos="1701"/>
        </w:tabs>
        <w:spacing w:after="160" w:line="360" w:lineRule="auto"/>
        <w:ind w:right="-6" w:firstLine="567"/>
        <w:jc w:val="both"/>
        <w:rPr>
          <w:rFonts w:ascii="Sylfaen" w:hAnsi="Sylfaen"/>
          <w:sz w:val="24"/>
          <w:szCs w:val="24"/>
        </w:rPr>
      </w:pPr>
      <w:r w:rsidRPr="00834D52">
        <w:rPr>
          <w:rFonts w:ascii="Sylfaen" w:hAnsi="Sylfaen"/>
          <w:sz w:val="24"/>
          <w:szCs w:val="24"/>
        </w:rPr>
        <w:t xml:space="preserve">Անհրաժեշտ է փաստաթղթավորել </w:t>
      </w:r>
      <w:r w:rsidR="00C54D75">
        <w:rPr>
          <w:rFonts w:ascii="Sylfaen" w:hAnsi="Sylfaen"/>
          <w:sz w:val="24"/>
          <w:szCs w:val="24"/>
        </w:rPr>
        <w:t>և</w:t>
      </w:r>
      <w:r w:rsidRPr="00834D52">
        <w:rPr>
          <w:rFonts w:ascii="Sylfaen" w:hAnsi="Sylfaen"/>
          <w:sz w:val="24"/>
          <w:szCs w:val="24"/>
        </w:rPr>
        <w:t xml:space="preserve"> նկարագրել ստանդարտ նմուշների այն հատկությունները, որոնք դեղագործական բաղադրամասի </w:t>
      </w:r>
      <w:r w:rsidR="00C54D75">
        <w:rPr>
          <w:rFonts w:ascii="Sylfaen" w:hAnsi="Sylfaen"/>
          <w:sz w:val="24"/>
          <w:szCs w:val="24"/>
        </w:rPr>
        <w:t>և</w:t>
      </w:r>
      <w:r w:rsidRPr="00834D52">
        <w:rPr>
          <w:rFonts w:ascii="Sylfaen" w:hAnsi="Sylfaen"/>
          <w:sz w:val="24"/>
          <w:szCs w:val="24"/>
        </w:rPr>
        <w:t xml:space="preserve"> (կամ) պատրաստի դեղապատրաստուկի համար նշանակալի </w:t>
      </w:r>
      <w:r w:rsidR="00C54D75">
        <w:rPr>
          <w:rFonts w:ascii="Sylfaen" w:hAnsi="Sylfaen"/>
          <w:sz w:val="24"/>
          <w:szCs w:val="24"/>
        </w:rPr>
        <w:t>և</w:t>
      </w:r>
      <w:r w:rsidRPr="00834D52">
        <w:rPr>
          <w:rFonts w:ascii="Sylfaen" w:hAnsi="Sylfaen"/>
          <w:sz w:val="24"/>
          <w:szCs w:val="24"/>
        </w:rPr>
        <w:t xml:space="preserve"> սպեցիֆիկ են:</w:t>
      </w:r>
    </w:p>
    <w:p w14:paraId="051C3A82" w14:textId="77777777" w:rsidR="006F76EB" w:rsidRPr="00D569EF" w:rsidRDefault="006F76EB" w:rsidP="007B65EB">
      <w:pPr>
        <w:tabs>
          <w:tab w:val="left" w:pos="1701"/>
        </w:tabs>
        <w:spacing w:after="160" w:line="384" w:lineRule="auto"/>
        <w:ind w:right="-6" w:firstLine="567"/>
        <w:jc w:val="both"/>
        <w:rPr>
          <w:rFonts w:ascii="Sylfaen" w:hAnsi="Sylfaen"/>
          <w:sz w:val="24"/>
          <w:szCs w:val="24"/>
        </w:rPr>
      </w:pPr>
      <w:r w:rsidRPr="00834D52">
        <w:rPr>
          <w:rFonts w:ascii="Sylfaen" w:hAnsi="Sylfaen"/>
          <w:sz w:val="24"/>
          <w:szCs w:val="24"/>
        </w:rPr>
        <w:t>17.3.4.</w:t>
      </w:r>
      <w:r w:rsidRPr="00834D52">
        <w:rPr>
          <w:rFonts w:ascii="Sylfaen" w:hAnsi="Sylfaen"/>
          <w:sz w:val="24"/>
          <w:szCs w:val="24"/>
        </w:rPr>
        <w:tab/>
        <w:t>Բժշկական արտադրատեսակներ պարունակող բարձր տեխնոլոգիական դեղապատրաստուկներին ներկայացվող հատուկ պահանջները.</w:t>
      </w:r>
    </w:p>
    <w:p w14:paraId="26FD420E"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17.3.4.1.</w:t>
      </w:r>
      <w:r w:rsidRPr="00834D52">
        <w:rPr>
          <w:rFonts w:ascii="Sylfaen" w:hAnsi="Sylfaen"/>
          <w:sz w:val="24"/>
          <w:szCs w:val="24"/>
        </w:rPr>
        <w:tab/>
        <w:t>Բժշկական արտադրատեսակներ պարունակող բարձր տեխնոլոգիական դեղապատրաստուկներ.</w:t>
      </w:r>
    </w:p>
    <w:p w14:paraId="5CDBC8BC"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դեղապատրաստուկի ֆիզիկական հատկությունների նկարագրությունը </w:t>
      </w:r>
      <w:r w:rsidR="00C54D75">
        <w:rPr>
          <w:rFonts w:ascii="Sylfaen" w:hAnsi="Sylfaen"/>
          <w:sz w:val="24"/>
          <w:szCs w:val="24"/>
        </w:rPr>
        <w:t>և</w:t>
      </w:r>
      <w:r w:rsidRPr="00834D52">
        <w:rPr>
          <w:rFonts w:ascii="Sylfaen" w:hAnsi="Sylfaen"/>
          <w:sz w:val="24"/>
          <w:szCs w:val="24"/>
        </w:rPr>
        <w:t xml:space="preserve"> ազդեցությունը, ինչպես նա</w:t>
      </w:r>
      <w:r w:rsidR="00C54D75">
        <w:rPr>
          <w:rFonts w:ascii="Sylfaen" w:hAnsi="Sylfaen"/>
          <w:sz w:val="24"/>
          <w:szCs w:val="24"/>
        </w:rPr>
        <w:t>և</w:t>
      </w:r>
      <w:r w:rsidRPr="00834D52">
        <w:rPr>
          <w:rFonts w:ascii="Sylfaen" w:hAnsi="Sylfaen"/>
          <w:sz w:val="24"/>
          <w:szCs w:val="24"/>
        </w:rPr>
        <w:t xml:space="preserve"> դրա կառուցման մեթոդների նկարագրությունը:</w:t>
      </w:r>
    </w:p>
    <w:p w14:paraId="76B0B03B"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նկարագրել մի կողմից գեների, բջիջների (հյուսվածքների) </w:t>
      </w:r>
      <w:r w:rsidR="00C54D75">
        <w:rPr>
          <w:rFonts w:ascii="Sylfaen" w:hAnsi="Sylfaen"/>
          <w:sz w:val="24"/>
          <w:szCs w:val="24"/>
        </w:rPr>
        <w:t>և</w:t>
      </w:r>
      <w:r w:rsidRPr="00834D52">
        <w:rPr>
          <w:rFonts w:ascii="Sylfaen" w:hAnsi="Sylfaen"/>
          <w:sz w:val="24"/>
          <w:szCs w:val="24"/>
        </w:rPr>
        <w:t xml:space="preserve"> մյուս կողմից՝ կառուցվածքային բաղադրիչների միջ</w:t>
      </w:r>
      <w:r w:rsidR="00C54D75">
        <w:rPr>
          <w:rFonts w:ascii="Sylfaen" w:hAnsi="Sylfaen"/>
          <w:sz w:val="24"/>
          <w:szCs w:val="24"/>
        </w:rPr>
        <w:t>և</w:t>
      </w:r>
      <w:r w:rsidRPr="00834D52">
        <w:rPr>
          <w:rFonts w:ascii="Sylfaen" w:hAnsi="Sylfaen"/>
          <w:sz w:val="24"/>
          <w:szCs w:val="24"/>
        </w:rPr>
        <w:t xml:space="preserve"> փոխազդեցությունն ու դրանց համատեղելիությունը:</w:t>
      </w:r>
    </w:p>
    <w:p w14:paraId="7365C2C3"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17.3.4.2.</w:t>
      </w:r>
      <w:r w:rsidRPr="00834D52">
        <w:rPr>
          <w:rFonts w:ascii="Sylfaen" w:hAnsi="Sylfaen"/>
          <w:sz w:val="24"/>
          <w:szCs w:val="24"/>
        </w:rPr>
        <w:tab/>
        <w:t>Համակցված բարձր տեխնոլոգիական դեղապատրաստուկներ.</w:t>
      </w:r>
    </w:p>
    <w:p w14:paraId="21EDB272" w14:textId="77777777" w:rsidR="006F76EB" w:rsidRPr="00834D52" w:rsidRDefault="006F76EB" w:rsidP="007B65EB">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 ասելով հասկանում ենք բարձր տեխնոլոգիական դեղապատրաստուկ, որը բավարարում է հետ</w:t>
      </w:r>
      <w:r w:rsidR="00C54D75">
        <w:rPr>
          <w:rFonts w:ascii="Sylfaen" w:hAnsi="Sylfaen"/>
          <w:sz w:val="24"/>
          <w:szCs w:val="24"/>
        </w:rPr>
        <w:t>և</w:t>
      </w:r>
      <w:r w:rsidRPr="00834D52">
        <w:rPr>
          <w:rFonts w:ascii="Sylfaen" w:hAnsi="Sylfaen"/>
          <w:sz w:val="24"/>
          <w:szCs w:val="24"/>
        </w:rPr>
        <w:t>յալ պայմանները.</w:t>
      </w:r>
    </w:p>
    <w:p w14:paraId="36E37FC7"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այն պետք է որպես պատրաստուկի բաղադրիչ մաս պարունակի մեկ կամ մի </w:t>
      </w:r>
      <w:r w:rsidRPr="00834D52">
        <w:rPr>
          <w:rFonts w:ascii="Sylfaen" w:hAnsi="Sylfaen"/>
          <w:sz w:val="24"/>
          <w:szCs w:val="24"/>
        </w:rPr>
        <w:lastRenderedPageBreak/>
        <w:t>քանի բժշկական արտադրատեսակներ՝ բժշկական արտադրատեսակների մասին Միության օրենսդրության սահմանման մեջ, կամ մեկ կամ մի քանի իմպլանտավորվող բժշկական արտադրատեսակներից՝ բժշկական արտադրատեսակների մասին Միության օրենսդրության սահմանման մեջ.</w:t>
      </w:r>
    </w:p>
    <w:p w14:paraId="50A9D041" w14:textId="77777777" w:rsidR="006F76EB" w:rsidRPr="00834D52" w:rsidRDefault="006F76EB" w:rsidP="007B65EB">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դրա բջջային կամ հյուսվածքային մասը պետք է պարունակի կենսունակ բջիջներ կամ հյուսվածքներ.</w:t>
      </w:r>
    </w:p>
    <w:p w14:paraId="1DA73B16" w14:textId="77777777" w:rsidR="006F76EB" w:rsidRPr="00834D52" w:rsidRDefault="006F76EB" w:rsidP="007B65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դրա՝ ոչ կենսունակ բջիջներ կամ հյուսվածքներ պարունակող բջջային կամ հյուսվածքային մասը մարդու օրգանիզմում պետք է ունենա ազդեցություն թողնելու ունակություն, ինչը նշված արտադրատեսակների մասով կարելի է դիտարկել որպես առաջնային:</w:t>
      </w:r>
    </w:p>
    <w:p w14:paraId="33927CEE"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Համակցված բարձր տեխնոլոգիական դեղապատրաստուկների բջջային կամ հյուսվածքային մասերին ներկայացվում են սույն հավելվածի 17.3.3 բաժնում նշված՝ սոմատոթերապ</w:t>
      </w:r>
      <w:r w:rsidR="00C54D75">
        <w:rPr>
          <w:rFonts w:ascii="Sylfaen" w:hAnsi="Sylfaen"/>
          <w:sz w:val="24"/>
          <w:szCs w:val="24"/>
        </w:rPr>
        <w:t>և</w:t>
      </w:r>
      <w:r w:rsidRPr="00834D52">
        <w:rPr>
          <w:rFonts w:ascii="Sylfaen" w:hAnsi="Sylfaen"/>
          <w:sz w:val="24"/>
          <w:szCs w:val="24"/>
        </w:rPr>
        <w:t xml:space="preserve">տիկ դեղապատրաստուկներին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պատրաստուկներին ներկայացվող հատուկ պահանջները, եթե բջիջները ենթարկվել են գենետիկ մոդիֆիկացման, ապա ներկայացվում են սույն Հավելվածի 17.3.2. բաժնում նշված՝ 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15CF8A4F" w14:textId="77777777" w:rsidR="006F76EB" w:rsidRPr="00834D52" w:rsidRDefault="006F76EB" w:rsidP="00D569EF">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արտադրատեսակը կամ ակտիվ իմպլանտավորվող բժշկական արտադրատեսակը կարող է լինել դեղագործական բաղադրամասի բաղադրիչ մաս: Եթե բժշկական արտադրատեսակը կամ ակտիվ իմպլանտավորվող բժշկական արտադրատեսակը դեղապատրաստուկի արտադրության, կիրառման կամ ներմուծման ընթացքում միավորվում է բջիջների հետ, ապա այն ճանաչվում է որպես պատրաստի դեղապատրաստուկի բաղադրիչ մաս:</w:t>
      </w:r>
    </w:p>
    <w:p w14:paraId="55F9B5F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(դեղագործական բաղադրամասի կամ դեղապատրաստուկի բաղադրիչ մաս հանդիսացող) բժշկական արտադրատեսակին կամ ակտիվ իմպլանտավորվող բժշկական </w:t>
      </w:r>
      <w:r w:rsidRPr="00834D52">
        <w:rPr>
          <w:rFonts w:ascii="Sylfaen" w:hAnsi="Sylfaen"/>
          <w:sz w:val="24"/>
          <w:szCs w:val="24"/>
        </w:rPr>
        <w:lastRenderedPageBreak/>
        <w:t>արտադրատեսակին առնչվող տեղեկություններ, որոնք անհրաժեշտ են համակցված բարձր տեխնոլոգիական դեղապատրաստուկների փորձաքննության համար: Այդպիսի տեղեկություններ են՝</w:t>
      </w:r>
    </w:p>
    <w:p w14:paraId="67C79B13" w14:textId="77777777"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բժշկական արտադրատեսակի կամ իմպլանտավորվող բժշկական արտադրատեսակի ընտրության </w:t>
      </w:r>
      <w:r w:rsidR="00C54D75">
        <w:rPr>
          <w:rFonts w:ascii="Sylfaen" w:hAnsi="Sylfaen"/>
          <w:sz w:val="24"/>
          <w:szCs w:val="24"/>
        </w:rPr>
        <w:t>և</w:t>
      </w:r>
      <w:r w:rsidRPr="00834D52">
        <w:rPr>
          <w:rFonts w:ascii="Sylfaen" w:hAnsi="Sylfaen"/>
          <w:sz w:val="24"/>
          <w:szCs w:val="24"/>
        </w:rPr>
        <w:t xml:space="preserve"> ենթադրվող ֆուկցիայի վերաբերյալ տեղեկությունները </w:t>
      </w:r>
      <w:r w:rsidR="00C54D75">
        <w:rPr>
          <w:rFonts w:ascii="Sylfaen" w:hAnsi="Sylfaen"/>
          <w:sz w:val="24"/>
          <w:szCs w:val="24"/>
        </w:rPr>
        <w:t>և</w:t>
      </w:r>
      <w:r w:rsidRPr="00834D52">
        <w:rPr>
          <w:rFonts w:ascii="Sylfaen" w:hAnsi="Sylfaen"/>
          <w:sz w:val="24"/>
          <w:szCs w:val="24"/>
        </w:rPr>
        <w:t xml:space="preserve"> պատրաստուկների այլ բաղադրիչների հետ արտադրատեսակի համատեղելիության հաստատումը.</w:t>
      </w:r>
    </w:p>
    <w:p w14:paraId="6F9524E1"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մասին Միության օրենսդրությամբ սահմանված առանցքային պահանջներին բժշկական արտադրատեսակի համապատասխանության կամ արտադրատեսակների շրջանառության ոլորտում Միության իրավունքի մաս կազմող ակտերով սահմանված առանցքային պահանջներին ակտիվ իմպլանտավորվող բժշկական արտադրատեսակի համապատասխանության հաստատումը.</w:t>
      </w:r>
    </w:p>
    <w:p w14:paraId="47B4CB0B"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տրանսմիսիվ սպունգանման էնցեֆալոպատիայի մասին պահանջներին բժշկական արտադրատեսակի կամ իմպլանտավորվող բժշկական արտադրատեսակի համապատասխանության հաստատումը (անհրաժեշտության դեպքում).</w:t>
      </w:r>
    </w:p>
    <w:p w14:paraId="7DDE2FD9" w14:textId="77777777" w:rsidR="006F76EB" w:rsidRPr="00834D52" w:rsidRDefault="006F76EB" w:rsidP="00FA49D2">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բժշկական արտադրատեսակների շրջանառության ոլորտում Միության իրավունքի մաս կազմող ակտերին համապատասխան լիազորված մարմնի (կազմակերպության) կողմից բժշկական արտադրատեսակի կամ ակտիվ իմպլանտավորվող բժշկական արտադրատեսակի ցանկացած գնահատման արդյունք (անհրաժեշտության դեպքում):</w:t>
      </w:r>
    </w:p>
    <w:p w14:paraId="4FDE8347" w14:textId="6536E72A" w:rsidR="006F76EB" w:rsidRPr="00834D52" w:rsidRDefault="006F76EB" w:rsidP="00FA49D2">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բաժնի «դ» կետում նշված գնահատում անցկացնող ծանուցում ստացած անձը պետք է </w:t>
      </w:r>
      <w:r w:rsidR="0056496B">
        <w:rPr>
          <w:rFonts w:ascii="Sylfaen" w:hAnsi="Sylfaen"/>
          <w:sz w:val="24"/>
          <w:szCs w:val="24"/>
        </w:rPr>
        <w:t>դիմում</w:t>
      </w:r>
      <w:r w:rsidRPr="00834D52">
        <w:rPr>
          <w:rFonts w:ascii="Sylfaen" w:hAnsi="Sylfaen"/>
          <w:sz w:val="24"/>
          <w:szCs w:val="24"/>
        </w:rPr>
        <w:t xml:space="preserve">ի փորձաքննություն իրականացնող լիազորված մարմնի հարցմամբ ներկայացնի այն բոլոր տեղեկությունները, որոնք վերաբերում են բժշկական արտադրատեսակների շրջանառության ոլորտում Միության իրավունքի մաս կազմող ակտերին համապատասխան գնահատման արդյունքներին: Դրանց կարող են դասվել այն տեղեկություններն ու </w:t>
      </w:r>
      <w:r w:rsidRPr="00834D52">
        <w:rPr>
          <w:rFonts w:ascii="Sylfaen" w:hAnsi="Sylfaen"/>
          <w:sz w:val="24"/>
          <w:szCs w:val="24"/>
        </w:rPr>
        <w:lastRenderedPageBreak/>
        <w:t xml:space="preserve">փաստաթղթերը, որոնք պարունակվում են դիտարկվող </w:t>
      </w:r>
      <w:r w:rsidR="0056496B">
        <w:rPr>
          <w:rFonts w:ascii="Sylfaen" w:hAnsi="Sylfaen"/>
          <w:sz w:val="24"/>
          <w:szCs w:val="24"/>
        </w:rPr>
        <w:t>դիմում</w:t>
      </w:r>
      <w:r w:rsidRPr="00834D52">
        <w:rPr>
          <w:rFonts w:ascii="Sylfaen" w:hAnsi="Sylfaen"/>
          <w:sz w:val="24"/>
          <w:szCs w:val="24"/>
        </w:rPr>
        <w:t>ի համապատասխանության գնահատման մեջ՝ համակցված բարձր տեխնոլոգիական դեղապատրաստուկը որպես մեկ ամբողջություն ուսումնասիրելու նպատակով (անհրաժեշտության դեպքում):</w:t>
      </w:r>
    </w:p>
    <w:p w14:paraId="265F26EB" w14:textId="77777777" w:rsidR="006F76EB" w:rsidRPr="00834D52" w:rsidRDefault="006F76EB" w:rsidP="00FA49D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w:t>
      </w:r>
      <w:r w:rsidRPr="00834D52">
        <w:rPr>
          <w:rFonts w:ascii="Sylfaen" w:hAnsi="Sylfaen"/>
          <w:sz w:val="24"/>
          <w:szCs w:val="24"/>
        </w:rPr>
        <w:tab/>
        <w:t>Գրանցման դոսյեի 4-րդ մոդուլին ներկայացվող հատուկ պահանջները.</w:t>
      </w:r>
    </w:p>
    <w:p w14:paraId="2B64BCF8"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17.4.1.</w:t>
      </w:r>
      <w:r w:rsidRPr="00834D52">
        <w:rPr>
          <w:rFonts w:ascii="Sylfaen" w:hAnsi="Sylfaen"/>
          <w:sz w:val="24"/>
          <w:szCs w:val="24"/>
        </w:rPr>
        <w:tab/>
        <w:t>Բարձր տեխնոլոգիական դեղապատրաստուկների համար հատուկ պահանջները.</w:t>
      </w:r>
    </w:p>
    <w:p w14:paraId="52B2476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Հաշվի առնելով բարձր տեխնոլոգիական դեղապատրաստուկների եզակի </w:t>
      </w:r>
      <w:r w:rsidR="00C54D75">
        <w:rPr>
          <w:rFonts w:ascii="Sylfaen" w:hAnsi="Sylfaen"/>
          <w:sz w:val="24"/>
          <w:szCs w:val="24"/>
        </w:rPr>
        <w:t>և</w:t>
      </w:r>
      <w:r w:rsidRPr="00834D52">
        <w:rPr>
          <w:rFonts w:ascii="Sylfaen" w:hAnsi="Sylfaen"/>
          <w:sz w:val="24"/>
          <w:szCs w:val="24"/>
        </w:rPr>
        <w:t xml:space="preserve"> բազմազան կառուցվածքային ու կենսաբանական հատկությունները՝ սույն հավելվածի I մասի 4-րդ բաժնում նշված՝ գրանցման դոսյեի 4-րդ մոդուլին ներկայացվող պահանջները ոչ միշտ են կիրառելի դեղապատրաստուկների դեղաբանական ու թունաբանական հետազոտությունների նկատմամբ:</w:t>
      </w:r>
      <w:r w:rsidRPr="00834D52">
        <w:rPr>
          <w:rFonts w:ascii="Sylfaen" w:hAnsi="Sylfaen"/>
          <w:sz w:val="24"/>
          <w:szCs w:val="24"/>
        </w:rPr>
        <w:br/>
        <w:t>Սույն հավելվածի 17.4.1</w:t>
      </w:r>
      <w:r>
        <w:rPr>
          <w:rFonts w:ascii="Sylfaen" w:hAnsi="Sylfaen"/>
          <w:sz w:val="24"/>
          <w:szCs w:val="24"/>
        </w:rPr>
        <w:t>-</w:t>
      </w:r>
      <w:r w:rsidRPr="00834D52">
        <w:rPr>
          <w:rFonts w:ascii="Sylfaen" w:hAnsi="Sylfaen"/>
          <w:sz w:val="24"/>
          <w:szCs w:val="24"/>
        </w:rPr>
        <w:t>17.4.3 բաժինների տեխնիկական պահանջներով պարզաբանվում է, թե ինչպես կատարել բարձր տեխնոլոգիական դեղապատրաստուկների նկատմամբ սույն հավելվածի I մասի պահանջները: Համապատասխան դեպքերում հաշվի առնելով բարձր տեխնոլոգիական դեղապատրաստուկների առանձնահատկությունները՝ դրանց նկատմամբ սահմանվում են լրացուցիչ պահանջներ:</w:t>
      </w:r>
    </w:p>
    <w:p w14:paraId="1C69A43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տեղեկագրում անհրաժեշտ է ներկայացնել նախակլինիկական մշակման </w:t>
      </w:r>
      <w:r w:rsidR="00C54D75">
        <w:rPr>
          <w:rFonts w:ascii="Sylfaen" w:hAnsi="Sylfaen"/>
          <w:sz w:val="24"/>
          <w:szCs w:val="24"/>
        </w:rPr>
        <w:t>և</w:t>
      </w:r>
      <w:r w:rsidRPr="00834D52">
        <w:rPr>
          <w:rFonts w:ascii="Sylfaen" w:hAnsi="Sylfaen"/>
          <w:sz w:val="24"/>
          <w:szCs w:val="24"/>
        </w:rPr>
        <w:t xml:space="preserve"> կենդանիների ու մոդելների (in vitro </w:t>
      </w:r>
      <w:r w:rsidR="00C54D75">
        <w:rPr>
          <w:rFonts w:ascii="Sylfaen" w:hAnsi="Sylfaen"/>
          <w:sz w:val="24"/>
          <w:szCs w:val="24"/>
        </w:rPr>
        <w:t>և</w:t>
      </w:r>
      <w:r w:rsidRPr="00834D52">
        <w:rPr>
          <w:rFonts w:ascii="Sylfaen" w:hAnsi="Sylfaen"/>
          <w:sz w:val="24"/>
          <w:szCs w:val="24"/>
        </w:rPr>
        <w:t xml:space="preserve"> in vivo) համապատասխան տեսակների ընտրության չափանիշների գիտական հիմնավորումն ու վերլուծությունը: Ընտրված կենդանական մոդելները կարող են լինել իմունաբանական ռեակտիվության խախտմամբ, նոկաուտային, հումանիզացված կամ տրանսգեն կենդանիներ: Անհրաժեշտ է դիտարկել հոմոլոգային մոդելների (օրինակ՝ մկների մոտ մկան բջիջների վերլուծություն) կամ հիվանդությունը նմանակող մոդելների օգտագործման հնարավորությունը, մասնավորապես, իմունոգենության </w:t>
      </w:r>
      <w:r w:rsidR="00C54D75">
        <w:rPr>
          <w:rFonts w:ascii="Sylfaen" w:hAnsi="Sylfaen"/>
          <w:sz w:val="24"/>
          <w:szCs w:val="24"/>
        </w:rPr>
        <w:t>և</w:t>
      </w:r>
      <w:r w:rsidRPr="00834D52">
        <w:rPr>
          <w:rFonts w:ascii="Sylfaen" w:hAnsi="Sylfaen"/>
          <w:sz w:val="24"/>
          <w:szCs w:val="24"/>
        </w:rPr>
        <w:t xml:space="preserve"> իմունոտոքսիկության հետազոտությունների ժամանակ:</w:t>
      </w:r>
    </w:p>
    <w:p w14:paraId="1BCE9AF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Ի լրումն սույն հավելվածի I մասի պահանջների՝ անհրաժեշտ է ներկայացնել դեղապատրաստուկի մեջ պարունակվող կառուցվածքային բոլոր բաղադրիչների (օրինակ՝ մատրիցաների, կմախքների </w:t>
      </w:r>
      <w:r w:rsidR="00C54D75">
        <w:rPr>
          <w:rFonts w:ascii="Sylfaen" w:hAnsi="Sylfaen"/>
          <w:sz w:val="24"/>
          <w:szCs w:val="24"/>
        </w:rPr>
        <w:t>և</w:t>
      </w:r>
      <w:r w:rsidRPr="00834D52">
        <w:rPr>
          <w:rFonts w:ascii="Sylfaen" w:hAnsi="Sylfaen"/>
          <w:sz w:val="24"/>
          <w:szCs w:val="24"/>
        </w:rPr>
        <w:t xml:space="preserve"> արտադրատեսակների) </w:t>
      </w:r>
      <w:r w:rsidR="00C54D75">
        <w:rPr>
          <w:rFonts w:ascii="Sylfaen" w:hAnsi="Sylfaen"/>
          <w:sz w:val="24"/>
          <w:szCs w:val="24"/>
        </w:rPr>
        <w:t>և</w:t>
      </w:r>
      <w:r w:rsidRPr="00834D52">
        <w:rPr>
          <w:rFonts w:ascii="Sylfaen" w:hAnsi="Sylfaen"/>
          <w:sz w:val="24"/>
          <w:szCs w:val="24"/>
        </w:rPr>
        <w:t xml:space="preserve"> ցանկացած լրացուցիչ նյութի (օրինակ՝ բջջային արտադրանքի տեսակների, կենսամոլեկուլների, կենսանյութերի </w:t>
      </w:r>
      <w:r w:rsidR="00C54D75">
        <w:rPr>
          <w:rFonts w:ascii="Sylfaen" w:hAnsi="Sylfaen"/>
          <w:sz w:val="24"/>
          <w:szCs w:val="24"/>
        </w:rPr>
        <w:t>և</w:t>
      </w:r>
      <w:r w:rsidRPr="00834D52">
        <w:rPr>
          <w:rFonts w:ascii="Sylfaen" w:hAnsi="Sylfaen"/>
          <w:sz w:val="24"/>
          <w:szCs w:val="24"/>
        </w:rPr>
        <w:t xml:space="preserve"> քիմիական նյութերի) անվտանգության, պիտանիության </w:t>
      </w:r>
      <w:r w:rsidR="00C54D75">
        <w:rPr>
          <w:rFonts w:ascii="Sylfaen" w:hAnsi="Sylfaen"/>
          <w:sz w:val="24"/>
          <w:szCs w:val="24"/>
        </w:rPr>
        <w:t>և</w:t>
      </w:r>
      <w:r w:rsidRPr="00834D52">
        <w:rPr>
          <w:rFonts w:ascii="Sylfaen" w:hAnsi="Sylfaen"/>
          <w:sz w:val="24"/>
          <w:szCs w:val="24"/>
        </w:rPr>
        <w:t xml:space="preserve"> կենսահամատեղելիության վերաբերյալ տվյալներ: Անհրաժեշտ</w:t>
      </w:r>
      <w:r w:rsidR="00362224" w:rsidRPr="00362224">
        <w:rPr>
          <w:rFonts w:ascii="Sylfaen" w:hAnsi="Sylfaen"/>
          <w:sz w:val="24"/>
          <w:szCs w:val="24"/>
        </w:rPr>
        <w:t> </w:t>
      </w:r>
      <w:r w:rsidRPr="00834D52">
        <w:rPr>
          <w:rFonts w:ascii="Sylfaen" w:hAnsi="Sylfaen"/>
          <w:sz w:val="24"/>
          <w:szCs w:val="24"/>
        </w:rPr>
        <w:t xml:space="preserve">է հաշվի առնել դրանց ֆիզիկական, մեխանիկական, 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p w14:paraId="601CCC27" w14:textId="77777777" w:rsidR="006F76EB" w:rsidRPr="00834D52" w:rsidRDefault="006F76EB" w:rsidP="0036222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17.4.2.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դեղապատրաստուկներին ներկայացվող հատուկ պահանջները.</w:t>
      </w:r>
    </w:p>
    <w:p w14:paraId="4BD0D1C1"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Նախակլինիկական անվտանգության պատշաճ նկարագրության համար անհրաժեշտ նախակլինիկական հետազոտությունների ծավալի </w:t>
      </w:r>
      <w:r w:rsidR="00C54D75">
        <w:rPr>
          <w:rFonts w:ascii="Sylfaen" w:hAnsi="Sylfaen"/>
          <w:sz w:val="24"/>
          <w:szCs w:val="24"/>
        </w:rPr>
        <w:t>և</w:t>
      </w:r>
      <w:r w:rsidRPr="00834D52">
        <w:rPr>
          <w:rFonts w:ascii="Sylfaen" w:hAnsi="Sylfaen"/>
          <w:sz w:val="24"/>
          <w:szCs w:val="24"/>
        </w:rPr>
        <w:t xml:space="preserve"> տեսակների որոշման համար հարկավոր է հաշվի առնել գենոթերապ</w:t>
      </w:r>
      <w:r w:rsidR="00C54D75">
        <w:rPr>
          <w:rFonts w:ascii="Sylfaen" w:hAnsi="Sylfaen"/>
          <w:sz w:val="24"/>
          <w:szCs w:val="24"/>
        </w:rPr>
        <w:t>և</w:t>
      </w:r>
      <w:r w:rsidRPr="00834D52">
        <w:rPr>
          <w:rFonts w:ascii="Sylfaen" w:hAnsi="Sylfaen"/>
          <w:sz w:val="24"/>
          <w:szCs w:val="24"/>
        </w:rPr>
        <w:t>տիկ դեղապատրաստուկի բովանդակային պլանն ու տեսակը:</w:t>
      </w:r>
    </w:p>
    <w:p w14:paraId="250BADEF"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17.4.2.1.</w:t>
      </w:r>
      <w:r w:rsidRPr="00834D52">
        <w:rPr>
          <w:rFonts w:ascii="Sylfaen" w:hAnsi="Sylfaen"/>
          <w:sz w:val="24"/>
          <w:szCs w:val="24"/>
        </w:rPr>
        <w:tab/>
        <w:t>Դեղաբանություն.</w:t>
      </w:r>
    </w:p>
    <w:p w14:paraId="4C1C74FA" w14:textId="2301FB1C"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ներկայացնել </w:t>
      </w:r>
      <w:r w:rsidR="001A5F1A">
        <w:rPr>
          <w:rFonts w:ascii="Sylfaen" w:hAnsi="Sylfaen"/>
          <w:sz w:val="24"/>
          <w:szCs w:val="24"/>
        </w:rPr>
        <w:t>հայտագրված</w:t>
      </w:r>
      <w:r w:rsidRPr="00834D52">
        <w:rPr>
          <w:rFonts w:ascii="Sylfaen" w:hAnsi="Sylfaen"/>
          <w:sz w:val="24"/>
          <w:szCs w:val="24"/>
        </w:rPr>
        <w:t xml:space="preserve"> ցուցմանն առնչվող in vitro </w:t>
      </w:r>
      <w:r w:rsidR="00C54D75">
        <w:rPr>
          <w:rFonts w:ascii="Sylfaen" w:hAnsi="Sylfaen"/>
          <w:sz w:val="24"/>
          <w:szCs w:val="24"/>
        </w:rPr>
        <w:t>և</w:t>
      </w:r>
      <w:r w:rsidRPr="00834D52">
        <w:rPr>
          <w:rFonts w:ascii="Sylfaen" w:hAnsi="Sylfaen"/>
          <w:sz w:val="24"/>
          <w:szCs w:val="24"/>
        </w:rPr>
        <w:br/>
        <w:t xml:space="preserve">in vivo էֆեկտների այն հետազոտությունների (այսինքն՝ ազդեցության մեխանիզմի </w:t>
      </w:r>
      <w:r w:rsidR="00355C33">
        <w:rPr>
          <w:rFonts w:ascii="Sylfaen" w:hAnsi="Sylfaen"/>
          <w:sz w:val="24"/>
          <w:szCs w:val="24"/>
        </w:rPr>
        <w:t>դեղա</w:t>
      </w:r>
      <w:r w:rsidRPr="00834D52">
        <w:rPr>
          <w:rFonts w:ascii="Sylfaen" w:hAnsi="Sylfaen"/>
          <w:sz w:val="24"/>
          <w:szCs w:val="24"/>
        </w:rPr>
        <w:t xml:space="preserve">դինամիկ հետազոտությունների) արդյունքերը, որոնց մեջ օգտագործվել են կենդանիների այն մոդելներն ու համապատասխան տեսակները, որոնք ընտելացվել են հաստատելու համար այն, որ նուկլեինաթթվի հաջորդականությունը հասնում է թիրախին (օրգանին կամ բջիջներին) </w:t>
      </w:r>
      <w:r w:rsidR="00C54D75">
        <w:rPr>
          <w:rFonts w:ascii="Sylfaen" w:hAnsi="Sylfaen"/>
          <w:sz w:val="24"/>
          <w:szCs w:val="24"/>
        </w:rPr>
        <w:t>և</w:t>
      </w:r>
      <w:r w:rsidRPr="00834D52">
        <w:rPr>
          <w:rFonts w:ascii="Sylfaen" w:hAnsi="Sylfaen"/>
          <w:sz w:val="24"/>
          <w:szCs w:val="24"/>
        </w:rPr>
        <w:t xml:space="preserve"> ապահովում է անհրաժեշտ ֆունկցիան (էքսպրեսիայի </w:t>
      </w:r>
      <w:r w:rsidR="00C54D75">
        <w:rPr>
          <w:rFonts w:ascii="Sylfaen" w:hAnsi="Sylfaen"/>
          <w:sz w:val="24"/>
          <w:szCs w:val="24"/>
        </w:rPr>
        <w:t>և</w:t>
      </w:r>
      <w:r w:rsidRPr="00834D52">
        <w:rPr>
          <w:rFonts w:ascii="Sylfaen" w:hAnsi="Sylfaen"/>
          <w:sz w:val="24"/>
          <w:szCs w:val="24"/>
        </w:rPr>
        <w:t xml:space="preserve"> ֆունկցիոնալ ակտիվության աստիճանը): Անհրաժեշտ է նկարագրել նուկլեինաթթվի հաջորդականության ֆունկցիայի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կլինիկական հետազոտություններում դոզավորման առաջարկվող ռեժիմը:</w:t>
      </w:r>
    </w:p>
    <w:p w14:paraId="7AC07BC6"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Թիրախի սելեկտիվությունը. Եթե գենոթերապ</w:t>
      </w:r>
      <w:r w:rsidR="00C54D75">
        <w:rPr>
          <w:rFonts w:ascii="Sylfaen" w:hAnsi="Sylfaen"/>
          <w:sz w:val="24"/>
          <w:szCs w:val="24"/>
        </w:rPr>
        <w:t>և</w:t>
      </w:r>
      <w:r w:rsidRPr="00834D52">
        <w:rPr>
          <w:rFonts w:ascii="Sylfaen" w:hAnsi="Sylfaen"/>
          <w:sz w:val="24"/>
          <w:szCs w:val="24"/>
        </w:rPr>
        <w:t xml:space="preserve">տիկ դեղապատրաստուկը պետք է ունենա սելեկտիվություն </w:t>
      </w:r>
      <w:r w:rsidR="00C54D75">
        <w:rPr>
          <w:rFonts w:ascii="Sylfaen" w:hAnsi="Sylfaen"/>
          <w:sz w:val="24"/>
          <w:szCs w:val="24"/>
        </w:rPr>
        <w:t>և</w:t>
      </w:r>
      <w:r w:rsidRPr="00834D52">
        <w:rPr>
          <w:rFonts w:ascii="Sylfaen" w:hAnsi="Sylfaen"/>
          <w:sz w:val="24"/>
          <w:szCs w:val="24"/>
        </w:rPr>
        <w:t xml:space="preserve"> ֆունկցիոնալություն, սահմանափակ թիրախ, </w:t>
      </w:r>
      <w:r w:rsidRPr="00834D52">
        <w:rPr>
          <w:rFonts w:ascii="Sylfaen" w:hAnsi="Sylfaen"/>
          <w:sz w:val="24"/>
          <w:szCs w:val="24"/>
        </w:rPr>
        <w:lastRenderedPageBreak/>
        <w:t xml:space="preserve">ապա անհրաժեշտ է ներկայացնել թիրախների բջիջների </w:t>
      </w:r>
      <w:r w:rsidR="00C54D75">
        <w:rPr>
          <w:rFonts w:ascii="Sylfaen" w:hAnsi="Sylfaen"/>
          <w:sz w:val="24"/>
          <w:szCs w:val="24"/>
        </w:rPr>
        <w:t>և</w:t>
      </w:r>
      <w:r w:rsidRPr="00834D52">
        <w:rPr>
          <w:rFonts w:ascii="Sylfaen" w:hAnsi="Sylfaen"/>
          <w:sz w:val="24"/>
          <w:szCs w:val="24"/>
        </w:rPr>
        <w:t xml:space="preserve"> հյուսվածքների ֆունկցիոնալության սպեցիֆիկությունն ու տ</w:t>
      </w:r>
      <w:r w:rsidR="00C54D75">
        <w:rPr>
          <w:rFonts w:ascii="Sylfaen" w:hAnsi="Sylfaen"/>
          <w:sz w:val="24"/>
          <w:szCs w:val="24"/>
        </w:rPr>
        <w:t>և</w:t>
      </w:r>
      <w:r w:rsidRPr="00834D52">
        <w:rPr>
          <w:rFonts w:ascii="Sylfaen" w:hAnsi="Sylfaen"/>
          <w:sz w:val="24"/>
          <w:szCs w:val="24"/>
        </w:rPr>
        <w:t>ողությունը հաստատող հետազոտությունների արդյունքները:</w:t>
      </w:r>
    </w:p>
    <w:p w14:paraId="45595CC8" w14:textId="77777777" w:rsidR="006F76EB" w:rsidRPr="00834D52" w:rsidRDefault="006F76EB" w:rsidP="007C3BBD">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17.4.2.2.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10493642"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Կենսաբաշխման հետազոտությունների ժամանակ անհրաժեշտ է ուսումնասիրել պերսիստենցիան, քլիրենսը </w:t>
      </w:r>
      <w:r w:rsidR="00C54D75">
        <w:rPr>
          <w:rFonts w:ascii="Sylfaen" w:hAnsi="Sylfaen"/>
          <w:sz w:val="24"/>
          <w:szCs w:val="24"/>
        </w:rPr>
        <w:t>և</w:t>
      </w:r>
      <w:r w:rsidRPr="00834D52">
        <w:rPr>
          <w:rFonts w:ascii="Sylfaen" w:hAnsi="Sylfaen"/>
          <w:sz w:val="24"/>
          <w:szCs w:val="24"/>
        </w:rPr>
        <w:t xml:space="preserve"> մոբիլիզացիան: Ի լրումն դրանց՝ անհրաժեշտ է հստակեցնել գեներատիվ փոխանցման ռիսկը:</w:t>
      </w:r>
    </w:p>
    <w:p w14:paraId="63B32E08"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գրանցման դոսյեում բացակայում է դիտարկվող դեղապատրաստուկի տեսակից ելնելով արված հիմնավորումը, ապա անհրաժեշտ է ներկայացնել տարածման </w:t>
      </w:r>
      <w:r w:rsidR="00C54D75">
        <w:rPr>
          <w:rFonts w:ascii="Sylfaen" w:hAnsi="Sylfaen"/>
          <w:sz w:val="24"/>
          <w:szCs w:val="24"/>
        </w:rPr>
        <w:t>և</w:t>
      </w:r>
      <w:r w:rsidRPr="00834D52">
        <w:rPr>
          <w:rFonts w:ascii="Sylfaen" w:hAnsi="Sylfaen"/>
          <w:sz w:val="24"/>
          <w:szCs w:val="24"/>
        </w:rPr>
        <w:t xml:space="preserve"> երրորդ անձանց փոխանցման ռիսկի հետազոտությունների արդյունքները, ինչպես նա</w:t>
      </w:r>
      <w:r w:rsidR="00C54D75">
        <w:rPr>
          <w:rFonts w:ascii="Sylfaen" w:hAnsi="Sylfaen"/>
          <w:sz w:val="24"/>
          <w:szCs w:val="24"/>
        </w:rPr>
        <w:t>և</w:t>
      </w:r>
      <w:r w:rsidRPr="00834D52">
        <w:rPr>
          <w:rFonts w:ascii="Sylfaen" w:hAnsi="Sylfaen"/>
          <w:sz w:val="24"/>
          <w:szCs w:val="24"/>
        </w:rPr>
        <w:t xml:space="preserve"> շրջակա միջավայրի համար ռիսկի գնահատման արդյունքները:</w:t>
      </w:r>
    </w:p>
    <w:p w14:paraId="6BF9E19D" w14:textId="77777777" w:rsidR="006F76EB" w:rsidRPr="00834D52" w:rsidRDefault="006F76EB" w:rsidP="007C3BBD">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17.4.2.3.</w:t>
      </w:r>
      <w:r w:rsidRPr="00834D52">
        <w:rPr>
          <w:rFonts w:ascii="Sylfaen" w:hAnsi="Sylfaen"/>
          <w:sz w:val="24"/>
          <w:szCs w:val="24"/>
        </w:rPr>
        <w:tab/>
        <w:t>Թունաբանություն.</w:t>
      </w:r>
    </w:p>
    <w:p w14:paraId="6C5135C6"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պատրաստի գենոթերապ</w:t>
      </w:r>
      <w:r w:rsidR="00C54D75">
        <w:rPr>
          <w:rFonts w:ascii="Sylfaen" w:hAnsi="Sylfaen"/>
          <w:sz w:val="24"/>
          <w:szCs w:val="24"/>
        </w:rPr>
        <w:t>և</w:t>
      </w:r>
      <w:r w:rsidRPr="00834D52">
        <w:rPr>
          <w:rFonts w:ascii="Sylfaen" w:hAnsi="Sylfaen"/>
          <w:sz w:val="24"/>
          <w:szCs w:val="24"/>
        </w:rPr>
        <w:t xml:space="preserve">տիկ դեղապատրաստուկի թունավորությունը: Բացի դրանից, դեղապատրաստուկի տեսակից կախված՝ անհրաժեշտ է անցկացնել դեղագործական բաղադրամասի </w:t>
      </w:r>
      <w:r w:rsidR="00C54D75">
        <w:rPr>
          <w:rFonts w:ascii="Sylfaen" w:hAnsi="Sylfaen"/>
          <w:sz w:val="24"/>
          <w:szCs w:val="24"/>
        </w:rPr>
        <w:t>և</w:t>
      </w:r>
      <w:r w:rsidRPr="00834D52">
        <w:rPr>
          <w:rFonts w:ascii="Sylfaen" w:hAnsi="Sylfaen"/>
          <w:sz w:val="24"/>
          <w:szCs w:val="24"/>
        </w:rPr>
        <w:t xml:space="preserve"> օժանդակ նյութերի առանձին փորձարկում՝ հաշվի առնելով դրանց ֆիզիոլոգիական ֆունկցիայի գնահատման համար չնախատեսված՝ նուկլեինաթթվի հաջորդականության էքսպրեսիայի արգասիքների in vivo էֆեկտը:</w:t>
      </w:r>
    </w:p>
    <w:p w14:paraId="0288E2F2"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Մեկանգամյա ներմուծման դեպքում թույլատրվում է թունավորության հետազոտությունները համատեղել դեղաբանական անվտանգության հետազոտությունների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հետազոտությունների հետ,</w:t>
      </w:r>
      <w:r w:rsidRPr="00834D52">
        <w:rPr>
          <w:rFonts w:ascii="Sylfaen" w:hAnsi="Sylfaen"/>
          <w:sz w:val="24"/>
          <w:szCs w:val="24"/>
        </w:rPr>
        <w:br/>
        <w:t>օրինակ՝ պերսիստենցիայի ուսումնասիրության նպատակով:</w:t>
      </w:r>
    </w:p>
    <w:p w14:paraId="587714AF" w14:textId="77777777" w:rsidR="006F76EB" w:rsidRPr="00834D52" w:rsidRDefault="006F76EB" w:rsidP="007C3BBD">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ենթադրվում է մարդու օրգանիզմ դեղապատրաստուկի բազմակի ներմուծում, ապա բազմակի ներմուծման դեպքում անհրաժեշտ է ներկայացնել </w:t>
      </w:r>
      <w:r w:rsidRPr="00834D52">
        <w:rPr>
          <w:rFonts w:ascii="Sylfaen" w:hAnsi="Sylfaen"/>
          <w:sz w:val="24"/>
          <w:szCs w:val="24"/>
        </w:rPr>
        <w:lastRenderedPageBreak/>
        <w:t xml:space="preserve">թունավորության հետազոտությունների արդյունքները: Ներմուծման եղանակն ու ռեժիմը պետք է համապատասխանեն կլինիկական կիրառման ժամանակ ներմուծման եղանակին </w:t>
      </w:r>
      <w:r w:rsidR="00C54D75">
        <w:rPr>
          <w:rFonts w:ascii="Sylfaen" w:hAnsi="Sylfaen"/>
          <w:sz w:val="24"/>
          <w:szCs w:val="24"/>
        </w:rPr>
        <w:t>և</w:t>
      </w:r>
      <w:r w:rsidRPr="00834D52">
        <w:rPr>
          <w:rFonts w:ascii="Sylfaen" w:hAnsi="Sylfaen"/>
          <w:sz w:val="24"/>
          <w:szCs w:val="24"/>
        </w:rPr>
        <w:t xml:space="preserve"> ռեժիմին: Եթե մեկանգամյա ներմուծումը մարդու մոտ կարող է հանգեցնել նուկլեինաթթվի հաջորդականության երկարատ</w:t>
      </w:r>
      <w:r w:rsidR="00C54D75">
        <w:rPr>
          <w:rFonts w:ascii="Sylfaen" w:hAnsi="Sylfaen"/>
          <w:sz w:val="24"/>
          <w:szCs w:val="24"/>
        </w:rPr>
        <w:t>և</w:t>
      </w:r>
      <w:r w:rsidRPr="00834D52">
        <w:rPr>
          <w:rFonts w:ascii="Sylfaen" w:hAnsi="Sylfaen"/>
          <w:sz w:val="24"/>
          <w:szCs w:val="24"/>
        </w:rPr>
        <w:t xml:space="preserve"> ֆունկցիոնալության, ապա բազմակի ներմուծման դեպքում անհրաժեշտ է անցկացնել </w:t>
      </w:r>
      <w:r w:rsidRPr="00333A89">
        <w:rPr>
          <w:rFonts w:ascii="Sylfaen" w:hAnsi="Sylfaen"/>
          <w:spacing w:val="-4"/>
          <w:sz w:val="24"/>
          <w:szCs w:val="24"/>
        </w:rPr>
        <w:t>թունավորության հետազոտություններ: Գենոթերապ</w:t>
      </w:r>
      <w:r w:rsidR="00C54D75">
        <w:rPr>
          <w:rFonts w:ascii="Sylfaen" w:hAnsi="Sylfaen"/>
          <w:spacing w:val="-4"/>
          <w:sz w:val="24"/>
          <w:szCs w:val="24"/>
        </w:rPr>
        <w:t>և</w:t>
      </w:r>
      <w:r w:rsidRPr="00333A89">
        <w:rPr>
          <w:rFonts w:ascii="Sylfaen" w:hAnsi="Sylfaen"/>
          <w:spacing w:val="-4"/>
          <w:sz w:val="24"/>
          <w:szCs w:val="24"/>
        </w:rPr>
        <w:t xml:space="preserve">տիկ դեղապատրաստուկների պերսիստենցիայից </w:t>
      </w:r>
      <w:r w:rsidR="00C54D75">
        <w:rPr>
          <w:rFonts w:ascii="Sylfaen" w:hAnsi="Sylfaen"/>
          <w:spacing w:val="-4"/>
          <w:sz w:val="24"/>
          <w:szCs w:val="24"/>
        </w:rPr>
        <w:t>և</w:t>
      </w:r>
      <w:r w:rsidRPr="00333A89">
        <w:rPr>
          <w:rFonts w:ascii="Sylfaen" w:hAnsi="Sylfaen"/>
          <w:spacing w:val="-4"/>
          <w:sz w:val="24"/>
          <w:szCs w:val="24"/>
        </w:rPr>
        <w:t xml:space="preserve"> սպասվող պոտենցիալ ռիսկերից կախված՝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կարող է գերազանցել թունաբանության ստանդարտ հետազոտությունների տ</w:t>
      </w:r>
      <w:r w:rsidR="00C54D75">
        <w:rPr>
          <w:rFonts w:ascii="Sylfaen" w:hAnsi="Sylfaen"/>
          <w:spacing w:val="-4"/>
          <w:sz w:val="24"/>
          <w:szCs w:val="24"/>
        </w:rPr>
        <w:t>և</w:t>
      </w:r>
      <w:r w:rsidRPr="00333A89">
        <w:rPr>
          <w:rFonts w:ascii="Sylfaen" w:hAnsi="Sylfaen"/>
          <w:spacing w:val="-4"/>
          <w:sz w:val="24"/>
          <w:szCs w:val="24"/>
        </w:rPr>
        <w:t>ողությունը: Անհրաժեշտ է ներկայացնել հետազոտությունների տ</w:t>
      </w:r>
      <w:r w:rsidR="00C54D75">
        <w:rPr>
          <w:rFonts w:ascii="Sylfaen" w:hAnsi="Sylfaen"/>
          <w:spacing w:val="-4"/>
          <w:sz w:val="24"/>
          <w:szCs w:val="24"/>
        </w:rPr>
        <w:t>և</w:t>
      </w:r>
      <w:r w:rsidRPr="00333A89">
        <w:rPr>
          <w:rFonts w:ascii="Sylfaen" w:hAnsi="Sylfaen"/>
          <w:spacing w:val="-4"/>
          <w:sz w:val="24"/>
          <w:szCs w:val="24"/>
        </w:rPr>
        <w:t>ականության</w:t>
      </w:r>
      <w:r w:rsidRPr="00834D52">
        <w:rPr>
          <w:rFonts w:ascii="Sylfaen" w:hAnsi="Sylfaen"/>
          <w:sz w:val="24"/>
          <w:szCs w:val="24"/>
        </w:rPr>
        <w:t xml:space="preserve"> հիմնավորումը:</w:t>
      </w:r>
    </w:p>
    <w:p w14:paraId="6B61754F" w14:textId="77777777" w:rsidR="006F76EB" w:rsidRPr="00834D52" w:rsidRDefault="006F76EB" w:rsidP="007C3BBD">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ուսումնասիրել գենոտոքսիկությունը: Սակայն անհրաժեշտ է գենոտոքսիկության ստանդարտ հետազոտություններն անցկացնել միայն որոշակի խառնուկի կամ մատակարարման համակարգի բաղադրիչի փորձարկման դեպքում:</w:t>
      </w:r>
    </w:p>
    <w:p w14:paraId="14DE5296" w14:textId="77777777" w:rsidR="006F76EB" w:rsidRPr="004A3E9D" w:rsidRDefault="006F76EB" w:rsidP="001E3FDE">
      <w:pPr>
        <w:spacing w:after="160" w:line="360" w:lineRule="auto"/>
        <w:ind w:right="-6" w:firstLine="567"/>
        <w:jc w:val="both"/>
        <w:rPr>
          <w:rFonts w:ascii="Sylfaen" w:eastAsia="Times New Roman" w:hAnsi="Sylfaen" w:cs="Times New Roman"/>
          <w:spacing w:val="-4"/>
          <w:sz w:val="24"/>
          <w:szCs w:val="24"/>
        </w:rPr>
      </w:pPr>
      <w:r w:rsidRPr="004A3E9D">
        <w:rPr>
          <w:rFonts w:ascii="Sylfaen" w:hAnsi="Sylfaen"/>
          <w:spacing w:val="-4"/>
          <w:sz w:val="24"/>
          <w:szCs w:val="24"/>
        </w:rPr>
        <w:t>Անհրաժեշտ է ուսումնասիրել քաղցկեղածնությունը: Առնետների մոտ քաղցկեղածնության ցմահ ստանդարտ հետազոտություններ չեն պահանջվում: Սակայն, դեղապատրաստուկի տեսակից կախված, ուռուցքածին պոտենցիալն անհրաժեշտ է ուսումնասիրել համապատասխան in vivo կամ in vitro մոդելների վրա:</w:t>
      </w:r>
    </w:p>
    <w:p w14:paraId="3012F3C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թունավորությունը. Եթե գրանցման դոսյեում բացակայում է դիտարկվող դեղապատրաստուկի տեսակից ելնելով արված պատշաճ հիմնավորումը, ապա անհրաժեշտ է ներկայացնել</w:t>
      </w:r>
      <w:r w:rsidRPr="00834D52">
        <w:rPr>
          <w:rFonts w:ascii="Sylfaen" w:hAnsi="Sylfaen"/>
          <w:sz w:val="24"/>
          <w:szCs w:val="24"/>
        </w:rPr>
        <w:br/>
        <w:t xml:space="preserve">ֆերտիլության </w:t>
      </w:r>
      <w:r w:rsidR="00C54D75">
        <w:rPr>
          <w:rFonts w:ascii="Sylfaen" w:hAnsi="Sylfaen"/>
          <w:sz w:val="24"/>
          <w:szCs w:val="24"/>
        </w:rPr>
        <w:t>և</w:t>
      </w:r>
      <w:r w:rsidRPr="00834D52">
        <w:rPr>
          <w:rFonts w:ascii="Sylfaen" w:hAnsi="Sylfaen"/>
          <w:sz w:val="24"/>
          <w:szCs w:val="24"/>
        </w:rPr>
        <w:t xml:space="preserve"> ընդհանուր վերարտադրողական ֆունկցիայի ուսումնասիրության հետազոտությունների արդյունքները: Անհրաժեշտ է ներկայացնել սաղմնապտղային </w:t>
      </w:r>
      <w:r w:rsidR="00C54D75">
        <w:rPr>
          <w:rFonts w:ascii="Sylfaen" w:hAnsi="Sylfaen"/>
          <w:sz w:val="24"/>
          <w:szCs w:val="24"/>
        </w:rPr>
        <w:t>և</w:t>
      </w:r>
      <w:r w:rsidRPr="00834D52">
        <w:rPr>
          <w:rFonts w:ascii="Sylfaen" w:hAnsi="Sylfaen"/>
          <w:sz w:val="24"/>
          <w:szCs w:val="24"/>
        </w:rPr>
        <w:t xml:space="preserve"> նախածննդաբերական թունավորության, գեներատիվ փոխանցման ուսումնասիրության արդյունքները: </w:t>
      </w:r>
    </w:p>
    <w:p w14:paraId="621EBE02" w14:textId="77777777" w:rsidR="006F76EB" w:rsidRPr="00834D52" w:rsidRDefault="006F76EB" w:rsidP="001E3FDE">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Լրացուցիչ թունաբանական հետազոտությունները.</w:t>
      </w:r>
    </w:p>
    <w:p w14:paraId="506C2CB7" w14:textId="7FB0901F"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Ինտեգրման հետազոտությունները. Բոլոր գենոթերապ</w:t>
      </w:r>
      <w:r w:rsidR="00C54D75">
        <w:rPr>
          <w:rFonts w:ascii="Sylfaen" w:hAnsi="Sylfaen"/>
          <w:sz w:val="24"/>
          <w:szCs w:val="24"/>
        </w:rPr>
        <w:t>և</w:t>
      </w:r>
      <w:r w:rsidRPr="00834D52">
        <w:rPr>
          <w:rFonts w:ascii="Sylfaen" w:hAnsi="Sylfaen"/>
          <w:sz w:val="24"/>
          <w:szCs w:val="24"/>
        </w:rPr>
        <w:t xml:space="preserve">տիկ </w:t>
      </w:r>
      <w:r w:rsidRPr="00834D52">
        <w:rPr>
          <w:rFonts w:ascii="Sylfaen" w:hAnsi="Sylfaen"/>
          <w:sz w:val="24"/>
          <w:szCs w:val="24"/>
        </w:rPr>
        <w:lastRenderedPageBreak/>
        <w:t>դեղապատրաստուկների առնչությամբ անհրաժեշտ է ներկայացնել դրանց ինտեգրման հետազոտությունների արդյունքները, եթե այդպիսի արդյունքների բացակայությունը գիտականորեն ապացուցված չէ, օրինակ՝ բջջի միջուկի մեջ նուկլեինաթթվի հաջորդականության ներթափանցման բացակայության հետ</w:t>
      </w:r>
      <w:r w:rsidR="00C54D75">
        <w:rPr>
          <w:rFonts w:ascii="Sylfaen" w:hAnsi="Sylfaen"/>
          <w:sz w:val="24"/>
          <w:szCs w:val="24"/>
        </w:rPr>
        <w:t>և</w:t>
      </w:r>
      <w:r w:rsidRPr="00834D52">
        <w:rPr>
          <w:rFonts w:ascii="Sylfaen" w:hAnsi="Sylfaen"/>
          <w:sz w:val="24"/>
          <w:szCs w:val="24"/>
        </w:rPr>
        <w:t>անքով: Եթե կենսաբաշխման հետազոտությունների արդյունքներով բացա</w:t>
      </w:r>
      <w:r w:rsidR="0056496B">
        <w:rPr>
          <w:rFonts w:ascii="Sylfaen" w:hAnsi="Sylfaen"/>
          <w:sz w:val="24"/>
          <w:szCs w:val="24"/>
        </w:rPr>
        <w:t>դիմում</w:t>
      </w:r>
      <w:r w:rsidRPr="00834D52">
        <w:rPr>
          <w:rFonts w:ascii="Sylfaen" w:hAnsi="Sylfaen"/>
          <w:sz w:val="24"/>
          <w:szCs w:val="24"/>
        </w:rPr>
        <w:t>վում է գեներատիվ փոխանցման ռիսկ, ապա գենոթերապ</w:t>
      </w:r>
      <w:r w:rsidR="00C54D75">
        <w:rPr>
          <w:rFonts w:ascii="Sylfaen" w:hAnsi="Sylfaen"/>
          <w:sz w:val="24"/>
          <w:szCs w:val="24"/>
        </w:rPr>
        <w:t>և</w:t>
      </w:r>
      <w:r w:rsidRPr="00834D52">
        <w:rPr>
          <w:rFonts w:ascii="Sylfaen" w:hAnsi="Sylfaen"/>
          <w:sz w:val="24"/>
          <w:szCs w:val="24"/>
        </w:rPr>
        <w:t>տիկ դեղապատրաստուկների (ենթադրաբար ինտեգրմանը ոչ ունակ) առնչությամբ անհրաժեշտ է անցկացնել ինտեգրման հետազոտություններ:</w:t>
      </w:r>
    </w:p>
    <w:p w14:paraId="60FC4816" w14:textId="77777777" w:rsidR="006F76EB" w:rsidRPr="00834D52" w:rsidRDefault="006F76EB" w:rsidP="001E3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Իմունոգենություն </w:t>
      </w:r>
      <w:r w:rsidR="00C54D75">
        <w:rPr>
          <w:rFonts w:ascii="Sylfaen" w:hAnsi="Sylfaen"/>
          <w:sz w:val="24"/>
          <w:szCs w:val="24"/>
        </w:rPr>
        <w:t>և</w:t>
      </w:r>
      <w:r w:rsidRPr="00834D52">
        <w:rPr>
          <w:rFonts w:ascii="Sylfaen" w:hAnsi="Sylfaen"/>
          <w:sz w:val="24"/>
          <w:szCs w:val="24"/>
        </w:rPr>
        <w:t xml:space="preserve"> իմունոտոքսիկություն. Անհրաժեշտ է ուսումնասիրել պոտենցիալ իմունոգեն </w:t>
      </w:r>
      <w:r w:rsidR="00C54D75">
        <w:rPr>
          <w:rFonts w:ascii="Sylfaen" w:hAnsi="Sylfaen"/>
          <w:sz w:val="24"/>
          <w:szCs w:val="24"/>
        </w:rPr>
        <w:t>և</w:t>
      </w:r>
      <w:r w:rsidRPr="00834D52">
        <w:rPr>
          <w:rFonts w:ascii="Sylfaen" w:hAnsi="Sylfaen"/>
          <w:sz w:val="24"/>
          <w:szCs w:val="24"/>
        </w:rPr>
        <w:t xml:space="preserve"> իմունոտոքսիկ էֆեկտները:</w:t>
      </w:r>
    </w:p>
    <w:p w14:paraId="49666B8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w:t>
      </w:r>
      <w:r w:rsidRPr="00834D52">
        <w:rPr>
          <w:rFonts w:ascii="Sylfaen" w:hAnsi="Sylfaen"/>
          <w:sz w:val="24"/>
          <w:szCs w:val="24"/>
        </w:rPr>
        <w:tab/>
        <w:t>Սոմատիկ բջիջների հիմքով 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դեղապատրաստուկների նկատմամբ հատուկ պահանջները.</w:t>
      </w:r>
    </w:p>
    <w:p w14:paraId="793702D6"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17.4.3.1.</w:t>
      </w:r>
      <w:r w:rsidRPr="00834D52">
        <w:rPr>
          <w:rFonts w:ascii="Sylfaen" w:hAnsi="Sylfaen"/>
          <w:sz w:val="24"/>
          <w:szCs w:val="24"/>
        </w:rPr>
        <w:tab/>
        <w:t>Դեղաբանություն.</w:t>
      </w:r>
    </w:p>
    <w:p w14:paraId="4E74B6D0"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ազդեցության մեխանիզմի հաստատման նպատակով անհրաժեշտ է անցկացնել առաջնային դեղաբանության պատշաճ հետազոտություններ: Անհրաժեշտ է ուսումնասիրել բջջային դեղապատրաստուկների փոխազդեցությունը շրջակա հյուսվածքների հետ:</w:t>
      </w:r>
    </w:p>
    <w:p w14:paraId="6E963921"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Հարկավոր է որոշել դեղապատրաստուկի՝ ցանկալի էֆեկտին (արդյունավետ դեղաչափի) հասնելու համար անհրաժեշտ քանակը </w:t>
      </w:r>
      <w:r w:rsidR="00C54D75">
        <w:rPr>
          <w:rFonts w:ascii="Sylfaen" w:hAnsi="Sylfaen"/>
          <w:sz w:val="24"/>
          <w:szCs w:val="24"/>
        </w:rPr>
        <w:t>և</w:t>
      </w:r>
      <w:r w:rsidRPr="00834D52">
        <w:rPr>
          <w:rFonts w:ascii="Sylfaen" w:hAnsi="Sylfaen"/>
          <w:sz w:val="24"/>
          <w:szCs w:val="24"/>
        </w:rPr>
        <w:t xml:space="preserve"> դրա տեսակից կախված՝ դոզավորման ռեժիմը:</w:t>
      </w:r>
    </w:p>
    <w:p w14:paraId="141A9297"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տիկ դեղապատրաստուկի, հյուսվածքային ինժեներիայի պատրաստուկի կամ լրացուցիչ նյութերի թերապ</w:t>
      </w:r>
      <w:r w:rsidR="00C54D75">
        <w:rPr>
          <w:rFonts w:ascii="Sylfaen" w:hAnsi="Sylfaen"/>
          <w:sz w:val="24"/>
          <w:szCs w:val="24"/>
        </w:rPr>
        <w:t>և</w:t>
      </w:r>
      <w:r w:rsidRPr="00834D52">
        <w:rPr>
          <w:rFonts w:ascii="Sylfaen" w:hAnsi="Sylfaen"/>
          <w:sz w:val="24"/>
          <w:szCs w:val="24"/>
        </w:rPr>
        <w:t>տիկ էֆեկտների հետ կապ չունեցող պոտենցիալ ֆիզիոլոգիական էֆեկտների գնահատման նպատակով անհրաժեշտ է ներկայացնել երկրորդային դեղաբանության հետազոտության արդյունքները, քանի որ, բացի անհրաժեշտ սպիտակուցներից, կարող են առաջանալ նա</w:t>
      </w:r>
      <w:r w:rsidR="00C54D75">
        <w:rPr>
          <w:rFonts w:ascii="Sylfaen" w:hAnsi="Sylfaen"/>
          <w:sz w:val="24"/>
          <w:szCs w:val="24"/>
        </w:rPr>
        <w:t>և</w:t>
      </w:r>
      <w:r w:rsidRPr="00834D52">
        <w:rPr>
          <w:rFonts w:ascii="Sylfaen" w:hAnsi="Sylfaen"/>
          <w:sz w:val="24"/>
          <w:szCs w:val="24"/>
        </w:rPr>
        <w:t xml:space="preserve"> կենսաբանորեն ակտիվ մոլեկուլներ, կամ անհրաժեշտ սպիտակուցները կարող են ունենալ անցանկալի թիրախներ:</w:t>
      </w:r>
    </w:p>
    <w:p w14:paraId="5A765809" w14:textId="77777777" w:rsidR="006F76EB" w:rsidRPr="00834D52" w:rsidRDefault="006F76EB" w:rsidP="00362224">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17.4.3.2.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կինետիկա.</w:t>
      </w:r>
    </w:p>
    <w:p w14:paraId="091C3F6B" w14:textId="77777777" w:rsidR="006F76EB" w:rsidRPr="00834D52" w:rsidRDefault="006F76EB" w:rsidP="007B5A44">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Կլանման, բաշխման, նյութափոխանակության </w:t>
      </w:r>
      <w:r w:rsidR="00C54D75">
        <w:rPr>
          <w:rFonts w:ascii="Sylfaen" w:hAnsi="Sylfaen"/>
          <w:sz w:val="24"/>
          <w:szCs w:val="24"/>
        </w:rPr>
        <w:t>և</w:t>
      </w:r>
      <w:r w:rsidRPr="00834D52">
        <w:rPr>
          <w:rFonts w:ascii="Sylfaen" w:hAnsi="Sylfaen"/>
          <w:sz w:val="24"/>
          <w:szCs w:val="24"/>
        </w:rPr>
        <w:t xml:space="preserve"> արտաթորման ուսումնասիրության համար ստանդարտ </w:t>
      </w:r>
      <w:r w:rsidR="00355C33">
        <w:rPr>
          <w:rFonts w:ascii="Sylfaen" w:hAnsi="Sylfaen"/>
          <w:sz w:val="24"/>
          <w:szCs w:val="24"/>
        </w:rPr>
        <w:t>դեղա</w:t>
      </w:r>
      <w:r w:rsidRPr="00834D52">
        <w:rPr>
          <w:rFonts w:ascii="Sylfaen" w:hAnsi="Sylfaen"/>
          <w:sz w:val="24"/>
          <w:szCs w:val="24"/>
        </w:rPr>
        <w:t>կինետիկ հետազոտություններ չեն պահանջվում: Սակայն եթե գրանցման դոսյեում բացակայում է դիտարկվող դեղապատրաստուկի տեսակի վրա հիմնված պատշաճ հիմնավորումը, ապա անհրաժեշտ է ուսումնասիրել այնպիսի պարամետրեր, ինչպիսիք են կենսունակությունը, երկարատ</w:t>
      </w:r>
      <w:r w:rsidR="00C54D75">
        <w:rPr>
          <w:rFonts w:ascii="Sylfaen" w:hAnsi="Sylfaen"/>
          <w:sz w:val="24"/>
          <w:szCs w:val="24"/>
        </w:rPr>
        <w:t>և</w:t>
      </w:r>
      <w:r w:rsidRPr="00834D52">
        <w:rPr>
          <w:rFonts w:ascii="Sylfaen" w:hAnsi="Sylfaen"/>
          <w:sz w:val="24"/>
          <w:szCs w:val="24"/>
        </w:rPr>
        <w:t xml:space="preserve">ությունը, աճը, տարբերակումը (դիֆերենցումը) </w:t>
      </w:r>
      <w:r w:rsidR="00C54D75">
        <w:rPr>
          <w:rFonts w:ascii="Sylfaen" w:hAnsi="Sylfaen"/>
          <w:sz w:val="24"/>
          <w:szCs w:val="24"/>
        </w:rPr>
        <w:t>և</w:t>
      </w:r>
      <w:r w:rsidRPr="00834D52">
        <w:rPr>
          <w:rFonts w:ascii="Sylfaen" w:hAnsi="Sylfaen"/>
          <w:sz w:val="24"/>
          <w:szCs w:val="24"/>
        </w:rPr>
        <w:t xml:space="preserve"> միգրացիան:</w:t>
      </w:r>
    </w:p>
    <w:p w14:paraId="1BB99FCD" w14:textId="77777777" w:rsidR="006F76EB" w:rsidRPr="00834D52" w:rsidRDefault="006F76EB" w:rsidP="007B5A44">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w:t>
      </w:r>
      <w:r w:rsidR="00C54D75">
        <w:rPr>
          <w:rFonts w:ascii="Sylfaen" w:hAnsi="Sylfaen"/>
          <w:sz w:val="24"/>
          <w:szCs w:val="24"/>
        </w:rPr>
        <w:t>և</w:t>
      </w:r>
      <w:r w:rsidRPr="00834D52">
        <w:rPr>
          <w:rFonts w:ascii="Sylfaen" w:hAnsi="Sylfaen"/>
          <w:sz w:val="24"/>
          <w:szCs w:val="24"/>
        </w:rPr>
        <w:t xml:space="preserve"> հյուսվածքային ինժեներիայի պատրաստուկների, մշտական հիմունքով արտադրվող ակտիվ կենսամոլեկուլների առնչությամբ անհրաժեշտ է ուսումնասիրել այդպիսի մոլեկուլների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 </w:t>
      </w:r>
    </w:p>
    <w:p w14:paraId="3B342A3B"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17.4.3.3.</w:t>
      </w:r>
      <w:r w:rsidRPr="00834D52">
        <w:rPr>
          <w:rFonts w:ascii="Sylfaen" w:hAnsi="Sylfaen"/>
          <w:sz w:val="24"/>
          <w:szCs w:val="24"/>
        </w:rPr>
        <w:tab/>
        <w:t>Թունաբանություն.</w:t>
      </w:r>
    </w:p>
    <w:p w14:paraId="5B44DA18"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ուսումնասիրել պատրաստի դեղապատրաստուկի թունավորությունը: Անհրաժեշտ է դիտարկել դեղագործական բաղադրամասի, օժանդակ նյութերի, լրացուցիչ նյութերի </w:t>
      </w:r>
      <w:r w:rsidR="00C54D75">
        <w:rPr>
          <w:rFonts w:ascii="Sylfaen" w:hAnsi="Sylfaen"/>
          <w:sz w:val="24"/>
          <w:szCs w:val="24"/>
        </w:rPr>
        <w:t>և</w:t>
      </w:r>
      <w:r w:rsidRPr="00834D52">
        <w:rPr>
          <w:rFonts w:ascii="Sylfaen" w:hAnsi="Sylfaen"/>
          <w:sz w:val="24"/>
          <w:szCs w:val="24"/>
        </w:rPr>
        <w:t xml:space="preserve"> բոլոր արտադրական խառնուկների առանձին ուսումնասիրելու հնարավորությունը:</w:t>
      </w:r>
    </w:p>
    <w:p w14:paraId="7B6FC18D"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Դիտարկումների տ</w:t>
      </w:r>
      <w:r w:rsidR="00C54D75">
        <w:rPr>
          <w:rFonts w:ascii="Sylfaen" w:hAnsi="Sylfaen"/>
          <w:sz w:val="24"/>
          <w:szCs w:val="24"/>
        </w:rPr>
        <w:t>և</w:t>
      </w:r>
      <w:r w:rsidRPr="00834D52">
        <w:rPr>
          <w:rFonts w:ascii="Sylfaen" w:hAnsi="Sylfaen"/>
          <w:sz w:val="24"/>
          <w:szCs w:val="24"/>
        </w:rPr>
        <w:t>ողությունը կարող է գերազանցել ստանդարտ թունաբանական հետազոտությունների ժամանակ դիտարկումների տ</w:t>
      </w:r>
      <w:r w:rsidR="00C54D75">
        <w:rPr>
          <w:rFonts w:ascii="Sylfaen" w:hAnsi="Sylfaen"/>
          <w:sz w:val="24"/>
          <w:szCs w:val="24"/>
        </w:rPr>
        <w:t>և</w:t>
      </w:r>
      <w:r w:rsidRPr="00834D52">
        <w:rPr>
          <w:rFonts w:ascii="Sylfaen" w:hAnsi="Sylfaen"/>
          <w:sz w:val="24"/>
          <w:szCs w:val="24"/>
        </w:rPr>
        <w:t>ողությանը, հետ</w:t>
      </w:r>
      <w:r w:rsidR="00C54D75">
        <w:rPr>
          <w:rFonts w:ascii="Sylfaen" w:hAnsi="Sylfaen"/>
          <w:sz w:val="24"/>
          <w:szCs w:val="24"/>
        </w:rPr>
        <w:t>և</w:t>
      </w:r>
      <w:r w:rsidRPr="00834D52">
        <w:rPr>
          <w:rFonts w:ascii="Sylfaen" w:hAnsi="Sylfaen"/>
          <w:sz w:val="24"/>
          <w:szCs w:val="24"/>
        </w:rPr>
        <w:t>աբար անհրաժեշտ է հաշվի առնել դեղապատրաստուկի ենթադրվող կենսական ցիկլը, ինչպես նա</w:t>
      </w:r>
      <w:r w:rsidR="00C54D75">
        <w:rPr>
          <w:rFonts w:ascii="Sylfaen" w:hAnsi="Sylfaen"/>
          <w:sz w:val="24"/>
          <w:szCs w:val="24"/>
        </w:rPr>
        <w:t>և</w:t>
      </w:r>
      <w:r w:rsidRPr="00834D52">
        <w:rPr>
          <w:rFonts w:ascii="Sylfaen" w:hAnsi="Sylfaen"/>
          <w:sz w:val="24"/>
          <w:szCs w:val="24"/>
        </w:rPr>
        <w:t xml:space="preserve"> դրա </w:t>
      </w:r>
      <w:r w:rsidR="00355C33">
        <w:rPr>
          <w:rFonts w:ascii="Sylfaen" w:hAnsi="Sylfaen"/>
          <w:sz w:val="24"/>
          <w:szCs w:val="24"/>
        </w:rPr>
        <w:t>դեղա</w:t>
      </w:r>
      <w:r w:rsidRPr="00834D52">
        <w:rPr>
          <w:rFonts w:ascii="Sylfaen" w:hAnsi="Sylfaen"/>
          <w:sz w:val="24"/>
          <w:szCs w:val="24"/>
        </w:rPr>
        <w:t xml:space="preserve">դինամիկ </w:t>
      </w:r>
      <w:r w:rsidR="00C54D75">
        <w:rPr>
          <w:rFonts w:ascii="Sylfaen" w:hAnsi="Sylfaen"/>
          <w:sz w:val="24"/>
          <w:szCs w:val="24"/>
        </w:rPr>
        <w:t>և</w:t>
      </w:r>
      <w:r w:rsidRPr="00834D52">
        <w:rPr>
          <w:rFonts w:ascii="Sylfaen" w:hAnsi="Sylfaen"/>
          <w:sz w:val="24"/>
          <w:szCs w:val="24"/>
        </w:rPr>
        <w:t xml:space="preserve"> </w:t>
      </w:r>
      <w:r w:rsidR="00355C33">
        <w:rPr>
          <w:rFonts w:ascii="Sylfaen" w:hAnsi="Sylfaen"/>
          <w:sz w:val="24"/>
          <w:szCs w:val="24"/>
        </w:rPr>
        <w:t>դեղա</w:t>
      </w:r>
      <w:r w:rsidRPr="00834D52">
        <w:rPr>
          <w:rFonts w:ascii="Sylfaen" w:hAnsi="Sylfaen"/>
          <w:sz w:val="24"/>
          <w:szCs w:val="24"/>
        </w:rPr>
        <w:t>կինետիկ հատկությունները: Անհրաժեշտ է ներկայացնել հետազոտությունների տ</w:t>
      </w:r>
      <w:r w:rsidR="00C54D75">
        <w:rPr>
          <w:rFonts w:ascii="Sylfaen" w:hAnsi="Sylfaen"/>
          <w:sz w:val="24"/>
          <w:szCs w:val="24"/>
        </w:rPr>
        <w:t>և</w:t>
      </w:r>
      <w:r w:rsidRPr="00834D52">
        <w:rPr>
          <w:rFonts w:ascii="Sylfaen" w:hAnsi="Sylfaen"/>
          <w:sz w:val="24"/>
          <w:szCs w:val="24"/>
        </w:rPr>
        <w:t>ողության հիմնավորումը:</w:t>
      </w:r>
    </w:p>
    <w:p w14:paraId="09614193"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Քաղցկեղածնության </w:t>
      </w:r>
      <w:r w:rsidR="00C54D75">
        <w:rPr>
          <w:rFonts w:ascii="Sylfaen" w:hAnsi="Sylfaen"/>
          <w:sz w:val="24"/>
          <w:szCs w:val="24"/>
        </w:rPr>
        <w:t>և</w:t>
      </w:r>
      <w:r w:rsidRPr="00834D52">
        <w:rPr>
          <w:rFonts w:ascii="Sylfaen" w:hAnsi="Sylfaen"/>
          <w:sz w:val="24"/>
          <w:szCs w:val="24"/>
        </w:rPr>
        <w:t xml:space="preserve"> գենոտոքսիկության ստանդարտ հետազոտություններ չեն պահանջվում՝ բացառությամբ պատրաստի դեղապատրաստուկի ուռուցքածին պոտենցիալի:</w:t>
      </w:r>
    </w:p>
    <w:p w14:paraId="731D67E9"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Անհրաժեշտ է ուսումնասիրել իմունոգեն </w:t>
      </w:r>
      <w:r w:rsidR="00C54D75">
        <w:rPr>
          <w:rFonts w:ascii="Sylfaen" w:hAnsi="Sylfaen"/>
          <w:sz w:val="24"/>
          <w:szCs w:val="24"/>
        </w:rPr>
        <w:t>և</w:t>
      </w:r>
      <w:r w:rsidRPr="00834D52">
        <w:rPr>
          <w:rFonts w:ascii="Sylfaen" w:hAnsi="Sylfaen"/>
          <w:sz w:val="24"/>
          <w:szCs w:val="24"/>
        </w:rPr>
        <w:t xml:space="preserve"> իմունոտոքսիկ պոտենցիալը:</w:t>
      </w:r>
    </w:p>
    <w:p w14:paraId="4A2848BC" w14:textId="77777777" w:rsidR="006F76EB" w:rsidRPr="00834D52" w:rsidRDefault="006F76EB" w:rsidP="001E3FD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Կենդանիների բջիջներ պարունակող բջջային դեղապատրաստուկների առնչությամբ անհրաժեշտ է ուսումնասիրել դրանցով պայմանավորված անվտանգության հարցերը, օրինակ՝ մարդուն քսենոգենային ախտածինների փոխանցման ռիսկը:</w:t>
      </w:r>
    </w:p>
    <w:p w14:paraId="067B2E24"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w:t>
      </w:r>
      <w:r w:rsidRPr="00834D52">
        <w:rPr>
          <w:rFonts w:ascii="Sylfaen" w:hAnsi="Sylfaen"/>
          <w:sz w:val="24"/>
          <w:szCs w:val="24"/>
        </w:rPr>
        <w:tab/>
        <w:t>Գրանցման դոսյեի 5-րդ մոդուլին ներկայացվող հատուկ պահանջները.</w:t>
      </w:r>
    </w:p>
    <w:p w14:paraId="3EA5C663" w14:textId="77777777" w:rsidR="006F76EB" w:rsidRPr="00834D52" w:rsidRDefault="006F76EB" w:rsidP="001E3FDE">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17.5.1.</w:t>
      </w:r>
      <w:r w:rsidRPr="00834D52">
        <w:rPr>
          <w:rFonts w:ascii="Sylfaen" w:hAnsi="Sylfaen"/>
          <w:sz w:val="24"/>
          <w:szCs w:val="24"/>
        </w:rPr>
        <w:tab/>
        <w:t>Բարձր տեխնոլոգիական դեղապատրաստուկներին ներկայացվող հատուկ պահանջները.</w:t>
      </w:r>
    </w:p>
    <w:p w14:paraId="78B89D5A" w14:textId="77777777" w:rsidR="006F76EB" w:rsidRPr="00834D52" w:rsidRDefault="006F76EB" w:rsidP="007B5A4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17.5.1.1.</w:t>
      </w:r>
      <w:r w:rsidRPr="00834D52">
        <w:rPr>
          <w:rFonts w:ascii="Sylfaen" w:hAnsi="Sylfaen"/>
          <w:sz w:val="24"/>
          <w:szCs w:val="24"/>
        </w:rPr>
        <w:tab/>
        <w:t>Սույն բաժնի հատուկ պահանջները լրացնում են սույն հավելվածի I</w:t>
      </w:r>
      <w:r w:rsidR="00864219" w:rsidRPr="00864219">
        <w:rPr>
          <w:rFonts w:ascii="Sylfaen" w:hAnsi="Sylfaen"/>
          <w:sz w:val="24"/>
          <w:szCs w:val="24"/>
        </w:rPr>
        <w:t> </w:t>
      </w:r>
      <w:r w:rsidRPr="00834D52">
        <w:rPr>
          <w:rFonts w:ascii="Sylfaen" w:hAnsi="Sylfaen"/>
          <w:sz w:val="24"/>
          <w:szCs w:val="24"/>
        </w:rPr>
        <w:t>մասի 5-րդ բաժնի գրանցման դոսյեի 5-րդ մոդուլին ներկայացվող պահանջները:</w:t>
      </w:r>
    </w:p>
    <w:p w14:paraId="5D797A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17.5.1.2.</w:t>
      </w:r>
      <w:r w:rsidRPr="00834D52">
        <w:rPr>
          <w:rFonts w:ascii="Sylfaen" w:hAnsi="Sylfaen"/>
          <w:sz w:val="24"/>
          <w:szCs w:val="24"/>
        </w:rPr>
        <w:tab/>
        <w:t>Եթե բարձր տեխնոլոգիական դեղապատրաստուկների կլինիկական կիրառման համար անհրաժեշտ է օժանդակ հատուկ թերապիա կամ վիրաբուժական պրոցեդուրաներ, ապա թերապ</w:t>
      </w:r>
      <w:r w:rsidR="00C54D75">
        <w:rPr>
          <w:rFonts w:ascii="Sylfaen" w:hAnsi="Sylfaen"/>
          <w:sz w:val="24"/>
          <w:szCs w:val="24"/>
        </w:rPr>
        <w:t>և</w:t>
      </w:r>
      <w:r w:rsidRPr="00834D52">
        <w:rPr>
          <w:rFonts w:ascii="Sylfaen" w:hAnsi="Sylfaen"/>
          <w:sz w:val="24"/>
          <w:szCs w:val="24"/>
        </w:rPr>
        <w:t xml:space="preserve">տիկ միջոցառումների ողջ համալիրն անհրաժեշտ է ուսումնասիրել որպես ամբողջություն: Կլինիկական մշակման ընթացքում անհրաժեշտ է ներկայացնել այդպիսի պրոցեդուրաների ստանդարտացման </w:t>
      </w:r>
      <w:r w:rsidR="00C54D75">
        <w:rPr>
          <w:rFonts w:ascii="Sylfaen" w:hAnsi="Sylfaen"/>
          <w:sz w:val="24"/>
          <w:szCs w:val="24"/>
        </w:rPr>
        <w:t>և</w:t>
      </w:r>
      <w:r w:rsidRPr="00834D52">
        <w:rPr>
          <w:rFonts w:ascii="Sylfaen" w:hAnsi="Sylfaen"/>
          <w:sz w:val="24"/>
          <w:szCs w:val="24"/>
        </w:rPr>
        <w:t xml:space="preserve"> օպտիմալացման վերաբերյալ տեղեկություններ:</w:t>
      </w:r>
    </w:p>
    <w:p w14:paraId="18550E46"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վիրաբուժական պրոցեդուրայի ընթացքում բարձր տեխնոլոգիական դեղապատրաստուկի կիրառման, իմպլանտացիայի կամ ներմուծման համար օգտագործվող բժշկական արտադրատեսակները կարող են ազդեցություն ունենալ այդ պատրաստուկի արդյունավետության </w:t>
      </w:r>
      <w:r w:rsidR="00C54D75">
        <w:rPr>
          <w:rFonts w:ascii="Sylfaen" w:hAnsi="Sylfaen"/>
          <w:sz w:val="24"/>
          <w:szCs w:val="24"/>
        </w:rPr>
        <w:t>և</w:t>
      </w:r>
      <w:r w:rsidRPr="00834D52">
        <w:rPr>
          <w:rFonts w:ascii="Sylfaen" w:hAnsi="Sylfaen"/>
          <w:sz w:val="24"/>
          <w:szCs w:val="24"/>
        </w:rPr>
        <w:t xml:space="preserve"> անվտանգության վրա, ապա անհրաժեշտ է ներկայացնել այդպիսի արտադրատեսակների վերաբերյալ տեղեկություններ:</w:t>
      </w:r>
    </w:p>
    <w:p w14:paraId="12115F69" w14:textId="77777777" w:rsidR="006F76EB" w:rsidRPr="00834D52" w:rsidRDefault="006F76EB" w:rsidP="0086421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Անհրաժեշտ է նախատեսել կիրառման, իմպլանտացիայի, ներմուծման </w:t>
      </w:r>
      <w:r w:rsidR="00C54D75">
        <w:rPr>
          <w:rFonts w:ascii="Sylfaen" w:hAnsi="Sylfaen"/>
          <w:sz w:val="24"/>
          <w:szCs w:val="24"/>
        </w:rPr>
        <w:t>և</w:t>
      </w:r>
      <w:r w:rsidRPr="00834D52">
        <w:rPr>
          <w:rFonts w:ascii="Sylfaen" w:hAnsi="Sylfaen"/>
          <w:sz w:val="24"/>
          <w:szCs w:val="24"/>
        </w:rPr>
        <w:t xml:space="preserve"> հետագա դիտարկման համար անցկացվող գնահատմանն ուղղված առանձին վերլուծություն: Անհրաժեշտության դեպքում հարկավոր է ներկայացնել </w:t>
      </w:r>
      <w:r w:rsidRPr="00834D52">
        <w:rPr>
          <w:rFonts w:ascii="Sylfaen" w:hAnsi="Sylfaen"/>
          <w:sz w:val="24"/>
          <w:szCs w:val="24"/>
        </w:rPr>
        <w:lastRenderedPageBreak/>
        <w:t xml:space="preserve">բուժաշխատողների՝ օգտագործման, կիրառման, իմպլանտացիայի </w:t>
      </w:r>
      <w:r w:rsidR="00C54D75">
        <w:rPr>
          <w:rFonts w:ascii="Sylfaen" w:hAnsi="Sylfaen"/>
          <w:sz w:val="24"/>
          <w:szCs w:val="24"/>
        </w:rPr>
        <w:t>և</w:t>
      </w:r>
      <w:r w:rsidRPr="00834D52">
        <w:rPr>
          <w:rFonts w:ascii="Sylfaen" w:hAnsi="Sylfaen"/>
          <w:sz w:val="24"/>
          <w:szCs w:val="24"/>
        </w:rPr>
        <w:t xml:space="preserve"> ներմուծման ընթացակարգերի ուսուցման պլան:</w:t>
      </w:r>
    </w:p>
    <w:p w14:paraId="3F85F9AA" w14:textId="77777777" w:rsidR="006F76EB" w:rsidRPr="00834D52" w:rsidRDefault="006F76EB" w:rsidP="0086421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17.5.1.3.</w:t>
      </w:r>
      <w:r w:rsidRPr="00834D52">
        <w:rPr>
          <w:rFonts w:ascii="Sylfaen" w:hAnsi="Sylfaen"/>
          <w:sz w:val="24"/>
          <w:szCs w:val="24"/>
        </w:rPr>
        <w:tab/>
        <w:t>Հաշվի առնելով, որ կլինիկական մշակման ընթացքում բարձր տեխնոլոգիական դեղապատրաստուկների արտադրության պրոցեսը կարող է ենթարկվել փոփոխությունների, կարող են պահանջվել համադրելիությունը հաստատող լրացուցիչ հետազոտություններ:</w:t>
      </w:r>
    </w:p>
    <w:p w14:paraId="11C7C348" w14:textId="77777777" w:rsidR="006F76EB" w:rsidRPr="00834D52" w:rsidRDefault="006F76EB" w:rsidP="00864219">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17.5.1.4.</w:t>
      </w:r>
      <w:r w:rsidRPr="00834D52">
        <w:rPr>
          <w:rFonts w:ascii="Sylfaen" w:hAnsi="Sylfaen"/>
          <w:sz w:val="24"/>
          <w:szCs w:val="24"/>
        </w:rPr>
        <w:tab/>
        <w:t xml:space="preserve">Կլինիկական մշակման ընթացքում անհրաժեշտ է ուսումնասիրել պոտենցիալ վարակիչ ագենտներով կամ կենդանի աղբյուրներից ստացված նյութերի օգտագործմամբ պայմանավորված ռիսկերը </w:t>
      </w:r>
      <w:r w:rsidR="00C54D75">
        <w:rPr>
          <w:rFonts w:ascii="Sylfaen" w:hAnsi="Sylfaen"/>
          <w:sz w:val="24"/>
          <w:szCs w:val="24"/>
        </w:rPr>
        <w:t>և</w:t>
      </w:r>
      <w:r w:rsidRPr="00834D52">
        <w:rPr>
          <w:rFonts w:ascii="Sylfaen" w:hAnsi="Sylfaen"/>
          <w:sz w:val="24"/>
          <w:szCs w:val="24"/>
        </w:rPr>
        <w:t xml:space="preserve"> նկարագրել այդ ռիսկերի նվազեցմանն ուղղված միջոցները:</w:t>
      </w:r>
    </w:p>
    <w:p w14:paraId="379B5070"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17.5.1.5.</w:t>
      </w:r>
      <w:r w:rsidRPr="00834D52">
        <w:rPr>
          <w:rFonts w:ascii="Sylfaen" w:hAnsi="Sylfaen"/>
          <w:sz w:val="24"/>
          <w:szCs w:val="24"/>
        </w:rPr>
        <w:tab/>
        <w:t>Դեղաչափի ընտրության մասով հետազոտությունների օգնությամբ անհրաժեշտ է որոշել դեղաչափերն ու դոզավորման ռեժիմը:</w:t>
      </w:r>
    </w:p>
    <w:p w14:paraId="5C69A3C4" w14:textId="2D403228"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17.5.1.6.</w:t>
      </w:r>
      <w:r w:rsidRPr="00834D52">
        <w:rPr>
          <w:rFonts w:ascii="Sylfaen" w:hAnsi="Sylfaen"/>
          <w:sz w:val="24"/>
          <w:szCs w:val="24"/>
        </w:rPr>
        <w:tab/>
        <w:t xml:space="preserve">Ըստ </w:t>
      </w:r>
      <w:r w:rsidR="001A5F1A">
        <w:rPr>
          <w:rFonts w:ascii="Sylfaen" w:hAnsi="Sylfaen"/>
          <w:sz w:val="24"/>
          <w:szCs w:val="24"/>
        </w:rPr>
        <w:t>հայտագրված</w:t>
      </w:r>
      <w:r w:rsidRPr="00834D52">
        <w:rPr>
          <w:rFonts w:ascii="Sylfaen" w:hAnsi="Sylfaen"/>
          <w:sz w:val="24"/>
          <w:szCs w:val="24"/>
        </w:rPr>
        <w:t xml:space="preserve"> ցուցումների՝ արդյունավետությունն անհրաժեշտ է հաստատել այնպիսի կլինիկական հետազոտությունների համապատասխան արդյունքներով, որոնցում օգտագործվել են ենթադրվող կիրառման համար կլինիկորեն նշանակալի վերջնակետերը: Որոշակի կլինիկական վիճակներում կարող է պահանջվել երկարաժամկետ արդյունավետության հաստատում: Անհրաժեշտ է ներկայացնել երկարաժամկետ արդյունավետության գնահատման ռազմավարությունը:</w:t>
      </w:r>
    </w:p>
    <w:p w14:paraId="5BBC7031"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17.5.1.7.</w:t>
      </w:r>
      <w:r w:rsidRPr="00834D52">
        <w:rPr>
          <w:rFonts w:ascii="Sylfaen" w:hAnsi="Sylfaen"/>
          <w:sz w:val="24"/>
          <w:szCs w:val="24"/>
        </w:rPr>
        <w:tab/>
        <w:t xml:space="preserve">Ռիսկերի կառավարման պլանում անհրաժեշտ է նախատեսել անվտանգության </w:t>
      </w:r>
      <w:r w:rsidR="00C54D75">
        <w:rPr>
          <w:rFonts w:ascii="Sylfaen" w:hAnsi="Sylfaen"/>
          <w:sz w:val="24"/>
          <w:szCs w:val="24"/>
        </w:rPr>
        <w:t>և</w:t>
      </w:r>
      <w:r w:rsidRPr="00834D52">
        <w:rPr>
          <w:rFonts w:ascii="Sylfaen" w:hAnsi="Sylfaen"/>
          <w:sz w:val="24"/>
          <w:szCs w:val="24"/>
        </w:rPr>
        <w:t xml:space="preserve"> արդյունավետության երկարաժամկետ դիտարկման ռազմավարությունը:</w:t>
      </w:r>
    </w:p>
    <w:p w14:paraId="6728E768"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17.5.1.8.</w:t>
      </w:r>
      <w:r w:rsidRPr="00834D52">
        <w:rPr>
          <w:rFonts w:ascii="Sylfaen" w:hAnsi="Sylfaen"/>
          <w:sz w:val="24"/>
          <w:szCs w:val="24"/>
        </w:rPr>
        <w:tab/>
        <w:t xml:space="preserve">Առաջատար թերապիայի համար համակցված դեղապատրաստուկների անվտանգության </w:t>
      </w:r>
      <w:r w:rsidR="00C54D75">
        <w:rPr>
          <w:rFonts w:ascii="Sylfaen" w:hAnsi="Sylfaen"/>
          <w:sz w:val="24"/>
          <w:szCs w:val="24"/>
        </w:rPr>
        <w:t>և</w:t>
      </w:r>
      <w:r w:rsidRPr="00834D52">
        <w:rPr>
          <w:rFonts w:ascii="Sylfaen" w:hAnsi="Sylfaen"/>
          <w:sz w:val="24"/>
          <w:szCs w:val="24"/>
        </w:rPr>
        <w:t xml:space="preserve"> արդյունավետության հետազոտություններն անհրաժեշտ է պլանավորել </w:t>
      </w:r>
      <w:r w:rsidR="00C54D75">
        <w:rPr>
          <w:rFonts w:ascii="Sylfaen" w:hAnsi="Sylfaen"/>
          <w:sz w:val="24"/>
          <w:szCs w:val="24"/>
        </w:rPr>
        <w:t>և</w:t>
      </w:r>
      <w:r w:rsidRPr="00834D52">
        <w:rPr>
          <w:rFonts w:ascii="Sylfaen" w:hAnsi="Sylfaen"/>
          <w:sz w:val="24"/>
          <w:szCs w:val="24"/>
        </w:rPr>
        <w:t xml:space="preserve"> անցկացնել ամբողջ համակցված պատրաստուկի վրա: </w:t>
      </w:r>
    </w:p>
    <w:p w14:paraId="2742784B"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17.5.2.</w:t>
      </w:r>
      <w:r w:rsidRPr="00834D52">
        <w:rPr>
          <w:rFonts w:ascii="Sylfaen" w:hAnsi="Sylfaen"/>
          <w:sz w:val="24"/>
          <w:szCs w:val="24"/>
        </w:rPr>
        <w:tab/>
        <w:t>Գենոթերապ</w:t>
      </w:r>
      <w:r w:rsidR="00C54D75">
        <w:rPr>
          <w:rFonts w:ascii="Sylfaen" w:hAnsi="Sylfaen"/>
          <w:sz w:val="24"/>
          <w:szCs w:val="24"/>
        </w:rPr>
        <w:t>և</w:t>
      </w:r>
      <w:r w:rsidRPr="00834D52">
        <w:rPr>
          <w:rFonts w:ascii="Sylfaen" w:hAnsi="Sylfaen"/>
          <w:sz w:val="24"/>
          <w:szCs w:val="24"/>
        </w:rPr>
        <w:t>տիկ դեղամիջոցներին ներկայացվող հատուկ պահանջները.</w:t>
      </w:r>
    </w:p>
    <w:p w14:paraId="3C0DA439" w14:textId="77777777" w:rsidR="006F76EB" w:rsidRPr="00834D52" w:rsidRDefault="006F76EB" w:rsidP="003A0A7B">
      <w:pPr>
        <w:tabs>
          <w:tab w:val="left" w:pos="1701"/>
        </w:tabs>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17.5.2.1.</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հետազոտությունները.</w:t>
      </w:r>
    </w:p>
    <w:p w14:paraId="7261E36A"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մոտ </w:t>
      </w:r>
      <w:r w:rsidR="00355C33">
        <w:rPr>
          <w:rFonts w:ascii="Sylfaen" w:hAnsi="Sylfaen"/>
          <w:sz w:val="24"/>
          <w:szCs w:val="24"/>
        </w:rPr>
        <w:t>դեղա</w:t>
      </w:r>
      <w:r w:rsidRPr="00834D52">
        <w:rPr>
          <w:rFonts w:ascii="Sylfaen" w:hAnsi="Sylfaen"/>
          <w:sz w:val="24"/>
          <w:szCs w:val="24"/>
        </w:rPr>
        <w:t>կինետիկ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305E4901" w14:textId="77777777" w:rsidR="006F76EB" w:rsidRPr="00834D52" w:rsidRDefault="006F76EB" w:rsidP="003A0A7B">
      <w:pPr>
        <w:spacing w:after="160" w:line="341" w:lineRule="auto"/>
        <w:ind w:right="-6" w:firstLine="567"/>
        <w:jc w:val="both"/>
        <w:rPr>
          <w:rFonts w:ascii="Sylfaen" w:eastAsia="Times New Roman" w:hAnsi="Sylfaen" w:cs="Times New Roman"/>
          <w:sz w:val="24"/>
          <w:szCs w:val="24"/>
        </w:rPr>
      </w:pPr>
      <w:r w:rsidRPr="00834D52">
        <w:rPr>
          <w:rFonts w:ascii="Sylfaen" w:hAnsi="Sylfaen"/>
          <w:sz w:val="24"/>
          <w:szCs w:val="24"/>
        </w:rPr>
        <w:t>գենոթերապ</w:t>
      </w:r>
      <w:r w:rsidR="00C54D75">
        <w:rPr>
          <w:rFonts w:ascii="Sylfaen" w:hAnsi="Sylfaen"/>
          <w:sz w:val="24"/>
          <w:szCs w:val="24"/>
        </w:rPr>
        <w:t>և</w:t>
      </w:r>
      <w:r w:rsidRPr="00834D52">
        <w:rPr>
          <w:rFonts w:ascii="Sylfaen" w:hAnsi="Sylfaen"/>
          <w:sz w:val="24"/>
          <w:szCs w:val="24"/>
        </w:rPr>
        <w:t>տիկ դեղապատրաստուկների արտաթորման ուսումնասիրությանն ուղղված վիրուսների դուրսբերման հետազոտությունները (shedding studies).</w:t>
      </w:r>
    </w:p>
    <w:p w14:paraId="2C2369A1"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կենսաբաշխման հետազոտությունները.</w:t>
      </w:r>
    </w:p>
    <w:p w14:paraId="65981D27" w14:textId="77777777" w:rsidR="006F76EB" w:rsidRPr="007F5A60"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դեղապատրատուկի </w:t>
      </w:r>
      <w:r w:rsidR="00C54D75">
        <w:rPr>
          <w:rFonts w:ascii="Sylfaen" w:hAnsi="Sylfaen"/>
          <w:sz w:val="24"/>
          <w:szCs w:val="24"/>
        </w:rPr>
        <w:t>և</w:t>
      </w:r>
      <w:r w:rsidRPr="00834D52">
        <w:rPr>
          <w:rFonts w:ascii="Sylfaen" w:hAnsi="Sylfaen"/>
          <w:sz w:val="24"/>
          <w:szCs w:val="24"/>
        </w:rPr>
        <w:t xml:space="preserve"> գենի էքսպրեսիայի արգասիքների (օրինակ՝ էքսպրեսված սպիտակուցների կամ գենոմային սիգնատուրաների) </w:t>
      </w:r>
      <w:r w:rsidR="00355C33">
        <w:rPr>
          <w:rFonts w:ascii="Sylfaen" w:hAnsi="Sylfaen"/>
          <w:sz w:val="24"/>
          <w:szCs w:val="24"/>
        </w:rPr>
        <w:t>դեղա</w:t>
      </w:r>
      <w:r w:rsidRPr="00834D52">
        <w:rPr>
          <w:rFonts w:ascii="Sylfaen" w:hAnsi="Sylfaen"/>
          <w:sz w:val="24"/>
          <w:szCs w:val="24"/>
        </w:rPr>
        <w:t>կինետիկ հետազոտությունները:</w:t>
      </w:r>
    </w:p>
    <w:p w14:paraId="17A34EF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17.5.2.2.</w:t>
      </w:r>
      <w:r w:rsidRPr="00834D52">
        <w:rPr>
          <w:rFonts w:ascii="Sylfaen" w:hAnsi="Sylfaen"/>
          <w:sz w:val="24"/>
          <w:szCs w:val="24"/>
        </w:rPr>
        <w:tab/>
        <w:t xml:space="preserve">Մարդու մոտ </w:t>
      </w:r>
      <w:r w:rsidR="00355C33">
        <w:rPr>
          <w:rFonts w:ascii="Sylfaen" w:hAnsi="Sylfaen"/>
          <w:sz w:val="24"/>
          <w:szCs w:val="24"/>
        </w:rPr>
        <w:t>դեղա</w:t>
      </w:r>
      <w:r w:rsidRPr="00834D52">
        <w:rPr>
          <w:rFonts w:ascii="Sylfaen" w:hAnsi="Sylfaen"/>
          <w:sz w:val="24"/>
          <w:szCs w:val="24"/>
        </w:rPr>
        <w:t>դինամիկ հետազոտությունները.</w:t>
      </w:r>
    </w:p>
    <w:p w14:paraId="6F182AFF" w14:textId="77777777" w:rsidR="006F76EB" w:rsidRPr="00834D52" w:rsidRDefault="00355C33" w:rsidP="003A0A7B">
      <w:pPr>
        <w:spacing w:after="160" w:line="360" w:lineRule="auto"/>
        <w:ind w:right="-6"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հետազոտությունների ժամանակ անհրաժեշտ է ուսումնասիրել գենոթերապ</w:t>
      </w:r>
      <w:r w:rsidR="00C54D75">
        <w:rPr>
          <w:rFonts w:ascii="Sylfaen" w:hAnsi="Sylfaen"/>
          <w:sz w:val="24"/>
          <w:szCs w:val="24"/>
        </w:rPr>
        <w:t>և</w:t>
      </w:r>
      <w:r w:rsidR="006F76EB" w:rsidRPr="00834D52">
        <w:rPr>
          <w:rFonts w:ascii="Sylfaen" w:hAnsi="Sylfaen"/>
          <w:sz w:val="24"/>
          <w:szCs w:val="24"/>
        </w:rPr>
        <w:t>տիկ դեղապատրաստուկների ներմուծումից հետո նուկլեինաթթվի հաջորդականության էքսպրեսիան ու ֆունկցիաները:</w:t>
      </w:r>
    </w:p>
    <w:p w14:paraId="0D36625D"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17.5.2.3.</w:t>
      </w:r>
      <w:r w:rsidRPr="00834D52">
        <w:rPr>
          <w:rFonts w:ascii="Sylfaen" w:hAnsi="Sylfaen"/>
          <w:sz w:val="24"/>
          <w:szCs w:val="24"/>
        </w:rPr>
        <w:tab/>
        <w:t>Անվտանգության հետազոտությունները.</w:t>
      </w:r>
    </w:p>
    <w:p w14:paraId="7A6848A6"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հետազոտությունների ժամանակ անհրաժեշտ է հաշվի առնել հետ</w:t>
      </w:r>
      <w:r w:rsidR="00C54D75">
        <w:rPr>
          <w:rFonts w:ascii="Sylfaen" w:hAnsi="Sylfaen"/>
          <w:sz w:val="24"/>
          <w:szCs w:val="24"/>
        </w:rPr>
        <w:t>և</w:t>
      </w:r>
      <w:r w:rsidRPr="00834D52">
        <w:rPr>
          <w:rFonts w:ascii="Sylfaen" w:hAnsi="Sylfaen"/>
          <w:sz w:val="24"/>
          <w:szCs w:val="24"/>
        </w:rPr>
        <w:t>յալը.</w:t>
      </w:r>
    </w:p>
    <w:p w14:paraId="0DB7F15C"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ռեպլիկացիայի ունակ վեկտորների առաջացումը. </w:t>
      </w:r>
    </w:p>
    <w:p w14:paraId="64B2FD02"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նոր շտամների առաջացումը.</w:t>
      </w:r>
    </w:p>
    <w:p w14:paraId="41A12479"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գոյություն ունեցող գենոմային հաջորդականությունների վերատեսակավորումը.</w:t>
      </w:r>
    </w:p>
    <w:p w14:paraId="5E00FB44" w14:textId="77777777" w:rsidR="006F76EB" w:rsidRPr="00834D52" w:rsidRDefault="006F76EB" w:rsidP="003A0A7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ներդրված (ինսերցիոն) մուտագենեզի հետ</w:t>
      </w:r>
      <w:r w:rsidR="00C54D75">
        <w:rPr>
          <w:rFonts w:ascii="Sylfaen" w:hAnsi="Sylfaen"/>
          <w:sz w:val="24"/>
          <w:szCs w:val="24"/>
        </w:rPr>
        <w:t>և</w:t>
      </w:r>
      <w:r w:rsidRPr="00834D52">
        <w:rPr>
          <w:rFonts w:ascii="Sylfaen" w:hAnsi="Sylfaen"/>
          <w:sz w:val="24"/>
          <w:szCs w:val="24"/>
        </w:rPr>
        <w:t>անքով ուռուցքային բջիջների բազմացումը (պրոլիֆերացիան):</w:t>
      </w:r>
    </w:p>
    <w:p w14:paraId="66B43A37" w14:textId="77777777" w:rsidR="006F76EB" w:rsidRPr="00834D52" w:rsidRDefault="006F76EB" w:rsidP="003A0A7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17.5.3.</w:t>
      </w:r>
      <w:r w:rsidRPr="00834D52">
        <w:rPr>
          <w:rFonts w:ascii="Sylfaen" w:hAnsi="Sylfaen"/>
          <w:sz w:val="24"/>
          <w:szCs w:val="24"/>
        </w:rPr>
        <w:tab/>
        <w:t>Սոմատիկ բջիջների հիմքով դեղապատրաստուկներին ներկայացվող հատուկ պահանջները.</w:t>
      </w:r>
    </w:p>
    <w:p w14:paraId="2B2A3A01" w14:textId="77777777" w:rsidR="006F76EB" w:rsidRPr="00834D52" w:rsidRDefault="006F76EB" w:rsidP="003A0A7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17.5.3.1.</w:t>
      </w:r>
      <w:r w:rsidRPr="00834D52">
        <w:rPr>
          <w:rFonts w:ascii="Sylfaen" w:hAnsi="Sylfaen"/>
          <w:sz w:val="24"/>
          <w:szCs w:val="24"/>
        </w:rPr>
        <w:tab/>
        <w:t>Սոմատիկ բջիջների հիմքով դեղապատրաստուկներ, որոնց ազդեցության մեխանիզմը հիմնված է որոշակի կենսաբանական ակտիվ մոլեկուլների մշակման վրա:</w:t>
      </w:r>
    </w:p>
    <w:p w14:paraId="0E001308" w14:textId="77777777" w:rsidR="006F76EB" w:rsidRPr="00834D52" w:rsidRDefault="006F76EB" w:rsidP="003A0A7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սոմատոթերապ</w:t>
      </w:r>
      <w:r w:rsidR="00C54D75">
        <w:rPr>
          <w:rFonts w:ascii="Sylfaen" w:hAnsi="Sylfaen"/>
          <w:sz w:val="24"/>
          <w:szCs w:val="24"/>
        </w:rPr>
        <w:t>և</w:t>
      </w:r>
      <w:r w:rsidRPr="00834D52">
        <w:rPr>
          <w:rFonts w:ascii="Sylfaen" w:hAnsi="Sylfaen"/>
          <w:sz w:val="24"/>
          <w:szCs w:val="24"/>
        </w:rPr>
        <w:t>տիկ դեղապատրաստուկների ազդեցության մեխանիզմ</w:t>
      </w:r>
      <w:r w:rsidR="001B2B66" w:rsidRPr="001B2B66">
        <w:rPr>
          <w:rFonts w:ascii="Sylfaen" w:hAnsi="Sylfaen"/>
          <w:sz w:val="24"/>
          <w:szCs w:val="24"/>
        </w:rPr>
        <w:t> </w:t>
      </w:r>
      <w:r w:rsidRPr="00834D52">
        <w:rPr>
          <w:rFonts w:ascii="Sylfaen" w:hAnsi="Sylfaen"/>
          <w:sz w:val="24"/>
          <w:szCs w:val="24"/>
        </w:rPr>
        <w:t xml:space="preserve">է հանդիսանում որոշակի ակտիվ կենսամոլեկուլների արտադրանքը, ապա անհրաժեշտ է հնարավորության դեպքում նկարագրել այդպիսի մոլեկուլների </w:t>
      </w:r>
      <w:r w:rsidR="00355C33">
        <w:rPr>
          <w:rFonts w:ascii="Sylfaen" w:hAnsi="Sylfaen"/>
          <w:sz w:val="24"/>
          <w:szCs w:val="24"/>
        </w:rPr>
        <w:t>դեղա</w:t>
      </w:r>
      <w:r w:rsidRPr="00834D52">
        <w:rPr>
          <w:rFonts w:ascii="Sylfaen" w:hAnsi="Sylfaen"/>
          <w:sz w:val="24"/>
          <w:szCs w:val="24"/>
        </w:rPr>
        <w:t>կինետիկ հատկությունները (մասնավորապես՝ բաշխումը, տ</w:t>
      </w:r>
      <w:r w:rsidR="00C54D75">
        <w:rPr>
          <w:rFonts w:ascii="Sylfaen" w:hAnsi="Sylfaen"/>
          <w:sz w:val="24"/>
          <w:szCs w:val="24"/>
        </w:rPr>
        <w:t>և</w:t>
      </w:r>
      <w:r w:rsidRPr="00834D52">
        <w:rPr>
          <w:rFonts w:ascii="Sylfaen" w:hAnsi="Sylfaen"/>
          <w:sz w:val="24"/>
          <w:szCs w:val="24"/>
        </w:rPr>
        <w:t xml:space="preserve">ողությունը </w:t>
      </w:r>
      <w:r w:rsidR="00C54D75">
        <w:rPr>
          <w:rFonts w:ascii="Sylfaen" w:hAnsi="Sylfaen"/>
          <w:sz w:val="24"/>
          <w:szCs w:val="24"/>
        </w:rPr>
        <w:t>և</w:t>
      </w:r>
      <w:r w:rsidRPr="00834D52">
        <w:rPr>
          <w:rFonts w:ascii="Sylfaen" w:hAnsi="Sylfaen"/>
          <w:sz w:val="24"/>
          <w:szCs w:val="24"/>
        </w:rPr>
        <w:t xml:space="preserve"> էքսպրեսիայի ծավալը):</w:t>
      </w:r>
    </w:p>
    <w:p w14:paraId="33E6C524"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17.5.3.2.</w:t>
      </w:r>
      <w:r w:rsidRPr="00834D52">
        <w:rPr>
          <w:rFonts w:ascii="Sylfaen" w:hAnsi="Sylfaen"/>
          <w:sz w:val="24"/>
          <w:szCs w:val="24"/>
        </w:rPr>
        <w:tab/>
        <w:t>Սոմատոթերապ</w:t>
      </w:r>
      <w:r w:rsidR="00C54D75">
        <w:rPr>
          <w:rFonts w:ascii="Sylfaen" w:hAnsi="Sylfaen"/>
          <w:sz w:val="24"/>
          <w:szCs w:val="24"/>
        </w:rPr>
        <w:t>և</w:t>
      </w:r>
      <w:r w:rsidRPr="00834D52">
        <w:rPr>
          <w:rFonts w:ascii="Sylfaen" w:hAnsi="Sylfaen"/>
          <w:sz w:val="24"/>
          <w:szCs w:val="24"/>
        </w:rPr>
        <w:t xml:space="preserve">տիկ դեղապատրաստուկների բաղադրիչների կենսաբանական բաշխումը, պերսիստենցիան </w:t>
      </w:r>
      <w:r w:rsidR="00C54D75">
        <w:rPr>
          <w:rFonts w:ascii="Sylfaen" w:hAnsi="Sylfaen"/>
          <w:sz w:val="24"/>
          <w:szCs w:val="24"/>
        </w:rPr>
        <w:t>և</w:t>
      </w:r>
      <w:r w:rsidRPr="00834D52">
        <w:rPr>
          <w:rFonts w:ascii="Sylfaen" w:hAnsi="Sylfaen"/>
          <w:sz w:val="24"/>
          <w:szCs w:val="24"/>
        </w:rPr>
        <w:t xml:space="preserve"> երկարատ</w:t>
      </w:r>
      <w:r w:rsidR="00C54D75">
        <w:rPr>
          <w:rFonts w:ascii="Sylfaen" w:hAnsi="Sylfaen"/>
          <w:sz w:val="24"/>
          <w:szCs w:val="24"/>
        </w:rPr>
        <w:t>և</w:t>
      </w:r>
      <w:r w:rsidRPr="00834D52">
        <w:rPr>
          <w:rFonts w:ascii="Sylfaen" w:hAnsi="Sylfaen"/>
          <w:sz w:val="24"/>
          <w:szCs w:val="24"/>
        </w:rPr>
        <w:t xml:space="preserve"> աճակցումը.</w:t>
      </w:r>
    </w:p>
    <w:p w14:paraId="3725C880"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Կլինիկական մշակման ընթացքում անհրաժեշտ է ուսումնասիրել սոմատո-թերապ</w:t>
      </w:r>
      <w:r w:rsidR="00C54D75">
        <w:rPr>
          <w:rFonts w:ascii="Sylfaen" w:hAnsi="Sylfaen"/>
          <w:sz w:val="24"/>
          <w:szCs w:val="24"/>
        </w:rPr>
        <w:t>և</w:t>
      </w:r>
      <w:r w:rsidRPr="00834D52">
        <w:rPr>
          <w:rFonts w:ascii="Sylfaen" w:hAnsi="Sylfaen"/>
          <w:sz w:val="24"/>
          <w:szCs w:val="24"/>
        </w:rPr>
        <w:t xml:space="preserve">տիկ դեղապատրաստուկի բաղադրիչների կենսաբաշխումը, պերսիստենցիան </w:t>
      </w:r>
      <w:r w:rsidR="00C54D75">
        <w:rPr>
          <w:rFonts w:ascii="Sylfaen" w:hAnsi="Sylfaen"/>
          <w:sz w:val="24"/>
          <w:szCs w:val="24"/>
        </w:rPr>
        <w:t>և</w:t>
      </w:r>
      <w:r w:rsidRPr="00834D52">
        <w:rPr>
          <w:rFonts w:ascii="Sylfaen" w:hAnsi="Sylfaen"/>
          <w:sz w:val="24"/>
          <w:szCs w:val="24"/>
        </w:rPr>
        <w:t xml:space="preserve"> երկարաժամկետ աճակցումը:</w:t>
      </w:r>
    </w:p>
    <w:p w14:paraId="3F89A8D9" w14:textId="77777777" w:rsidR="006F76EB" w:rsidRPr="00834D52" w:rsidRDefault="006F76EB" w:rsidP="000C5CD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17.5.3.3.</w:t>
      </w:r>
      <w:r w:rsidRPr="00834D52">
        <w:rPr>
          <w:rFonts w:ascii="Sylfaen" w:hAnsi="Sylfaen"/>
          <w:sz w:val="24"/>
          <w:szCs w:val="24"/>
        </w:rPr>
        <w:tab/>
        <w:t>Անվտանգության հետազոտությունները:</w:t>
      </w:r>
    </w:p>
    <w:p w14:paraId="1F1F583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Անվտանգության հետազոտություններում անհրաժեշտ է հաշվի առնել հետ</w:t>
      </w:r>
      <w:r w:rsidR="00C54D75">
        <w:rPr>
          <w:rFonts w:ascii="Sylfaen" w:hAnsi="Sylfaen"/>
          <w:sz w:val="24"/>
          <w:szCs w:val="24"/>
        </w:rPr>
        <w:t>և</w:t>
      </w:r>
      <w:r w:rsidRPr="00834D52">
        <w:rPr>
          <w:rFonts w:ascii="Sylfaen" w:hAnsi="Sylfaen"/>
          <w:sz w:val="24"/>
          <w:szCs w:val="24"/>
        </w:rPr>
        <w:t>յալը՝</w:t>
      </w:r>
    </w:p>
    <w:p w14:paraId="1087DF1F"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բաշխումը </w:t>
      </w:r>
      <w:r w:rsidR="00C54D75">
        <w:rPr>
          <w:rFonts w:ascii="Sylfaen" w:hAnsi="Sylfaen"/>
          <w:sz w:val="24"/>
          <w:szCs w:val="24"/>
        </w:rPr>
        <w:t>և</w:t>
      </w:r>
      <w:r w:rsidRPr="00834D52">
        <w:rPr>
          <w:rFonts w:ascii="Sylfaen" w:hAnsi="Sylfaen"/>
          <w:sz w:val="24"/>
          <w:szCs w:val="24"/>
        </w:rPr>
        <w:t xml:space="preserve"> աճակցումը ներմուծումից հետո,</w:t>
      </w:r>
    </w:p>
    <w:p w14:paraId="47875106"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էկտոպիկ աճակցումը,</w:t>
      </w:r>
    </w:p>
    <w:p w14:paraId="2D3C25D4" w14:textId="77777777" w:rsidR="006F76EB" w:rsidRPr="00834D52" w:rsidRDefault="006F76EB" w:rsidP="000C5CDC">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օնկոգեն տրանսֆորմացիան </w:t>
      </w:r>
      <w:r w:rsidR="00C54D75">
        <w:rPr>
          <w:rFonts w:ascii="Sylfaen" w:hAnsi="Sylfaen"/>
          <w:sz w:val="24"/>
          <w:szCs w:val="24"/>
        </w:rPr>
        <w:t>և</w:t>
      </w:r>
      <w:r w:rsidRPr="00834D52">
        <w:rPr>
          <w:rFonts w:ascii="Sylfaen" w:hAnsi="Sylfaen"/>
          <w:sz w:val="24"/>
          <w:szCs w:val="24"/>
        </w:rPr>
        <w:t xml:space="preserve"> համապատասխանությունը բջիջների (հյուսվածքների) համապատասխան գծի հատկություններին:</w:t>
      </w:r>
    </w:p>
    <w:p w14:paraId="7783F6E7"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w:t>
      </w:r>
      <w:r w:rsidRPr="00834D52">
        <w:rPr>
          <w:rFonts w:ascii="Sylfaen" w:hAnsi="Sylfaen"/>
          <w:sz w:val="24"/>
          <w:szCs w:val="24"/>
        </w:rPr>
        <w:tab/>
        <w:t>Հյուսվածքային ինժեներիայի պատրաստուկներին ներկայացվող հատուկ պահանջները:</w:t>
      </w:r>
    </w:p>
    <w:p w14:paraId="1CA3E14C" w14:textId="77777777" w:rsidR="006F76EB" w:rsidRPr="00834D52" w:rsidRDefault="006F76EB" w:rsidP="000C5CDC">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17.5.4.1.</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կինետիկ հետազոտությունները:</w:t>
      </w:r>
    </w:p>
    <w:p w14:paraId="5606F14E" w14:textId="77777777" w:rsidR="006F76EB" w:rsidRPr="00834D52" w:rsidRDefault="006F76EB" w:rsidP="00333A89">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ստանդարտ </w:t>
      </w:r>
      <w:r w:rsidR="00355C33">
        <w:rPr>
          <w:rFonts w:ascii="Sylfaen" w:hAnsi="Sylfaen"/>
          <w:sz w:val="24"/>
          <w:szCs w:val="24"/>
        </w:rPr>
        <w:t>դեղա</w:t>
      </w:r>
      <w:r w:rsidRPr="00834D52">
        <w:rPr>
          <w:rFonts w:ascii="Sylfaen" w:hAnsi="Sylfaen"/>
          <w:sz w:val="24"/>
          <w:szCs w:val="24"/>
        </w:rPr>
        <w:t xml:space="preserve">կինետիկ հետազոտությունները նշանակալի չեն հյուսվածքային ինժեներիայի պատրաստուկների համար, կլինիկական մշակման ընթացքում անհրաժեշտ է ուսումնասիրել դրանց բաղադրիչների կենսաբաշխումը, </w:t>
      </w:r>
      <w:r w:rsidRPr="00834D52">
        <w:rPr>
          <w:rFonts w:ascii="Sylfaen" w:hAnsi="Sylfaen"/>
          <w:sz w:val="24"/>
          <w:szCs w:val="24"/>
        </w:rPr>
        <w:lastRenderedPageBreak/>
        <w:t xml:space="preserve">պերսիստենցիան </w:t>
      </w:r>
      <w:r w:rsidR="00C54D75">
        <w:rPr>
          <w:rFonts w:ascii="Sylfaen" w:hAnsi="Sylfaen"/>
          <w:sz w:val="24"/>
          <w:szCs w:val="24"/>
        </w:rPr>
        <w:t>և</w:t>
      </w:r>
      <w:r w:rsidRPr="00834D52">
        <w:rPr>
          <w:rFonts w:ascii="Sylfaen" w:hAnsi="Sylfaen"/>
          <w:sz w:val="24"/>
          <w:szCs w:val="24"/>
        </w:rPr>
        <w:t xml:space="preserve"> դեգրադացիան:</w:t>
      </w:r>
    </w:p>
    <w:p w14:paraId="63642F3A" w14:textId="77777777" w:rsidR="006F76EB" w:rsidRPr="00834D52" w:rsidRDefault="006F76EB" w:rsidP="00333A89">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17.5.4.2.</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դինամիկ հետազոտությունները:</w:t>
      </w:r>
    </w:p>
    <w:p w14:paraId="1574A182" w14:textId="77777777" w:rsidR="006F76EB" w:rsidRPr="00834D52" w:rsidRDefault="00355C33" w:rsidP="00333A89">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 xml:space="preserve">դինամիկ հետազոտությունների բովանդակային պլանը պետք է հիմնված լինի հյուսվածքային ինժեներիայի պատրաստուկների առանձնահատկությունների վրա: Անհրաժեշտ է ներկայացնել այն պատրաստուկի «հայեցակարգի ապացույցի» </w:t>
      </w:r>
      <w:r w:rsidR="00C54D75">
        <w:rPr>
          <w:rFonts w:ascii="Sylfaen" w:hAnsi="Sylfaen"/>
          <w:sz w:val="24"/>
          <w:szCs w:val="24"/>
        </w:rPr>
        <w:t>և</w:t>
      </w:r>
      <w:r w:rsidR="006F76EB" w:rsidRPr="00834D52">
        <w:rPr>
          <w:rFonts w:ascii="Sylfaen" w:hAnsi="Sylfaen"/>
          <w:sz w:val="24"/>
          <w:szCs w:val="24"/>
        </w:rPr>
        <w:t xml:space="preserve"> կինետիկայի հաստատումը, որը պահանջվում է ենթադրվող ռեգեներացիային, ռեպարացիային (վերականգնման) կամ փոխարինմանը հասնելու համար: Անհրաժեշտ է հաշվի առնել դիտարկվող գործառույթի </w:t>
      </w:r>
      <w:r w:rsidR="00C54D75">
        <w:rPr>
          <w:rFonts w:ascii="Sylfaen" w:hAnsi="Sylfaen"/>
          <w:sz w:val="24"/>
          <w:szCs w:val="24"/>
        </w:rPr>
        <w:t>և</w:t>
      </w:r>
      <w:r w:rsidR="006F76EB" w:rsidRPr="00834D52">
        <w:rPr>
          <w:rFonts w:ascii="Sylfaen" w:hAnsi="Sylfaen"/>
          <w:sz w:val="24"/>
          <w:szCs w:val="24"/>
        </w:rPr>
        <w:t xml:space="preserve"> կառուցվածքի հետ կապված համապատասխան </w:t>
      </w:r>
      <w:r>
        <w:rPr>
          <w:rFonts w:ascii="Sylfaen" w:hAnsi="Sylfaen"/>
          <w:sz w:val="24"/>
          <w:szCs w:val="24"/>
        </w:rPr>
        <w:t>դեղա</w:t>
      </w:r>
      <w:r w:rsidR="006F76EB" w:rsidRPr="00834D52">
        <w:rPr>
          <w:rFonts w:ascii="Sylfaen" w:hAnsi="Sylfaen"/>
          <w:sz w:val="24"/>
          <w:szCs w:val="24"/>
        </w:rPr>
        <w:t>դինամիկ նշիչները (մարկերները):</w:t>
      </w:r>
    </w:p>
    <w:p w14:paraId="3664BF1C" w14:textId="77777777" w:rsidR="006F76EB" w:rsidRPr="00834D52" w:rsidRDefault="006F76EB" w:rsidP="005B6429">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17.5.4.3.</w:t>
      </w:r>
      <w:r w:rsidRPr="00834D52">
        <w:rPr>
          <w:rFonts w:ascii="Sylfaen" w:hAnsi="Sylfaen"/>
          <w:sz w:val="24"/>
          <w:szCs w:val="24"/>
        </w:rPr>
        <w:tab/>
        <w:t>Անվտանգության հետազոտությունները:</w:t>
      </w:r>
    </w:p>
    <w:p w14:paraId="52046891" w14:textId="5307D808" w:rsidR="006F76EB" w:rsidRDefault="006F76EB" w:rsidP="005B6429">
      <w:pPr>
        <w:spacing w:after="160" w:line="384" w:lineRule="auto"/>
        <w:ind w:right="-8" w:firstLine="567"/>
        <w:jc w:val="both"/>
        <w:rPr>
          <w:rFonts w:ascii="Sylfaen" w:hAnsi="Sylfaen"/>
          <w:sz w:val="24"/>
          <w:szCs w:val="24"/>
        </w:rPr>
      </w:pPr>
      <w:r w:rsidRPr="00834D52">
        <w:rPr>
          <w:rFonts w:ascii="Sylfaen" w:hAnsi="Sylfaen"/>
          <w:sz w:val="24"/>
          <w:szCs w:val="24"/>
        </w:rPr>
        <w:t>Հյուսվածքային ինժեներիայի պատրաստուկների անվտանգության հետազոտության ժամանակ հարկ է առաջնորդվել սույն հավելվածի 17.5.3.3 բաժնում նշված պահանջներով:</w:t>
      </w:r>
    </w:p>
    <w:p w14:paraId="0663AF33" w14:textId="242B29A6" w:rsidR="00DE0437" w:rsidRPr="006F28F9" w:rsidRDefault="00DE0437" w:rsidP="00DE0437">
      <w:pPr>
        <w:rPr>
          <w:b/>
          <w:bCs/>
          <w:i/>
          <w:iCs/>
        </w:rPr>
      </w:pPr>
      <w:r w:rsidRPr="00CD4709">
        <w:rPr>
          <w:b/>
          <w:bCs/>
          <w:i/>
          <w:iCs/>
        </w:rPr>
        <w:t>(</w:t>
      </w:r>
      <w:r>
        <w:rPr>
          <w:b/>
          <w:bCs/>
          <w:i/>
          <w:iCs/>
        </w:rPr>
        <w:t xml:space="preserve">հավելվածը </w:t>
      </w:r>
      <w:r w:rsidRPr="00CD4709">
        <w:rPr>
          <w:b/>
          <w:bCs/>
          <w:i/>
          <w:iCs/>
        </w:rPr>
        <w:t>փոփ.</w:t>
      </w:r>
      <w:r w:rsidR="004869F1">
        <w:rPr>
          <w:b/>
          <w:bCs/>
          <w:i/>
          <w:iCs/>
        </w:rPr>
        <w:t>, լրաց.</w:t>
      </w:r>
      <w:r w:rsidRPr="00CD4709">
        <w:rPr>
          <w:b/>
          <w:bCs/>
          <w:i/>
          <w:iCs/>
        </w:rPr>
        <w:t xml:space="preserve"> 30.01.20 թիվ 9</w:t>
      </w:r>
      <w:r w:rsidR="00E430CB">
        <w:rPr>
          <w:b/>
          <w:bCs/>
          <w:i/>
          <w:iCs/>
        </w:rPr>
        <w:t>, լրաց 23.04.21 թիվ 34</w:t>
      </w:r>
      <w:r w:rsidRPr="00CD4709">
        <w:rPr>
          <w:b/>
          <w:bCs/>
          <w:i/>
          <w:iCs/>
        </w:rPr>
        <w:t>)</w:t>
      </w:r>
    </w:p>
    <w:p w14:paraId="0E2C62E3" w14:textId="77777777" w:rsidR="000C5CDC" w:rsidRPr="002978B0" w:rsidRDefault="000C5CDC" w:rsidP="005B6429">
      <w:pPr>
        <w:spacing w:after="160" w:line="384" w:lineRule="auto"/>
        <w:ind w:right="-8" w:firstLine="567"/>
        <w:jc w:val="both"/>
        <w:rPr>
          <w:rFonts w:ascii="Sylfaen" w:eastAsia="Times New Roman" w:hAnsi="Sylfaen" w:cs="Times New Roman"/>
          <w:sz w:val="24"/>
          <w:szCs w:val="24"/>
        </w:rPr>
      </w:pPr>
    </w:p>
    <w:p w14:paraId="57DA5AA2" w14:textId="77777777" w:rsidR="006F76EB" w:rsidRPr="007F5A60" w:rsidRDefault="005B6429" w:rsidP="005B6429">
      <w:pPr>
        <w:spacing w:after="160" w:line="360" w:lineRule="auto"/>
        <w:jc w:val="center"/>
        <w:rPr>
          <w:rFonts w:ascii="Sylfaen" w:eastAsia="Times New Roman" w:hAnsi="Sylfaen" w:cs="Times New Roman"/>
          <w:sz w:val="24"/>
          <w:szCs w:val="24"/>
        </w:rPr>
      </w:pPr>
      <w:r w:rsidRPr="007F5A60">
        <w:rPr>
          <w:rFonts w:ascii="Sylfaen" w:eastAsia="Times New Roman" w:hAnsi="Sylfaen" w:cs="Times New Roman"/>
          <w:sz w:val="24"/>
          <w:szCs w:val="24"/>
        </w:rPr>
        <w:t>________________</w:t>
      </w:r>
    </w:p>
    <w:p w14:paraId="6ED3CD38" w14:textId="77777777" w:rsidR="005B6429" w:rsidRPr="007F5A60" w:rsidRDefault="005B6429" w:rsidP="006F76EB">
      <w:pPr>
        <w:spacing w:after="160" w:line="360" w:lineRule="auto"/>
        <w:rPr>
          <w:rFonts w:ascii="Sylfaen" w:eastAsia="Times New Roman" w:hAnsi="Sylfaen" w:cs="Times New Roman"/>
          <w:sz w:val="24"/>
          <w:szCs w:val="24"/>
        </w:rPr>
      </w:pPr>
    </w:p>
    <w:p w14:paraId="4E74CB6A" w14:textId="77777777" w:rsidR="005B6429" w:rsidRPr="007F5A60" w:rsidRDefault="005B6429" w:rsidP="006F76EB">
      <w:pPr>
        <w:spacing w:after="160" w:line="360" w:lineRule="auto"/>
        <w:rPr>
          <w:rFonts w:ascii="Sylfaen" w:eastAsia="Times New Roman" w:hAnsi="Sylfaen" w:cs="Times New Roman"/>
          <w:sz w:val="24"/>
          <w:szCs w:val="24"/>
        </w:rPr>
        <w:sectPr w:rsidR="005B6429" w:rsidRPr="007F5A60" w:rsidSect="00F71229">
          <w:headerReference w:type="default" r:id="rId9"/>
          <w:footerReference w:type="default" r:id="rId10"/>
          <w:pgSz w:w="11920" w:h="16840"/>
          <w:pgMar w:top="1418" w:right="1418" w:bottom="1418" w:left="1418" w:header="738" w:footer="512" w:gutter="0"/>
          <w:pgNumType w:start="1"/>
          <w:cols w:space="720"/>
          <w:titlePg/>
          <w:docGrid w:linePitch="299"/>
        </w:sectPr>
      </w:pPr>
    </w:p>
    <w:p w14:paraId="71AC74E6" w14:textId="77777777" w:rsidR="006F76EB" w:rsidRPr="002D52C6" w:rsidRDefault="00BA6538" w:rsidP="006F76EB">
      <w:pPr>
        <w:spacing w:after="160" w:line="360" w:lineRule="auto"/>
        <w:ind w:left="4536" w:right="-8"/>
        <w:jc w:val="center"/>
        <w:rPr>
          <w:rFonts w:ascii="Sylfaen" w:eastAsia="Times New Roman" w:hAnsi="Sylfaen" w:cs="Times New Roman"/>
          <w:sz w:val="24"/>
          <w:szCs w:val="24"/>
        </w:rPr>
      </w:pPr>
      <w:r w:rsidRPr="002D52C6">
        <w:rPr>
          <w:rFonts w:ascii="Sylfaen" w:hAnsi="Sylfaen"/>
          <w:sz w:val="24"/>
          <w:szCs w:val="24"/>
        </w:rPr>
        <w:lastRenderedPageBreak/>
        <w:t>ՀԱՎԵԼՎԱԾ ԹԻՎ</w:t>
      </w:r>
      <w:r w:rsidR="00C648A4">
        <w:rPr>
          <w:rFonts w:ascii="Sylfaen" w:hAnsi="Sylfaen"/>
          <w:sz w:val="24"/>
          <w:szCs w:val="24"/>
        </w:rPr>
        <w:t xml:space="preserve"> 2</w:t>
      </w:r>
    </w:p>
    <w:p w14:paraId="000DA221" w14:textId="77777777" w:rsidR="006F76EB" w:rsidRPr="00834D52" w:rsidRDefault="00C648A4" w:rsidP="006F76EB">
      <w:pPr>
        <w:spacing w:after="160" w:line="360" w:lineRule="auto"/>
        <w:ind w:left="4536" w:right="-8"/>
        <w:jc w:val="center"/>
        <w:rPr>
          <w:rFonts w:ascii="Sylfaen" w:eastAsia="Times New Roman" w:hAnsi="Sylfaen" w:cs="Times New Roman"/>
          <w:sz w:val="24"/>
          <w:szCs w:val="24"/>
        </w:rPr>
      </w:pPr>
      <w:r>
        <w:rPr>
          <w:rFonts w:ascii="Sylfaen" w:hAnsi="Sylfaen"/>
          <w:sz w:val="24"/>
          <w:szCs w:val="24"/>
        </w:rPr>
        <w:t xml:space="preserve">բժշկական կիրառման դեղամիջոցների գրանցման </w:t>
      </w:r>
      <w:r w:rsidR="00C54D75">
        <w:rPr>
          <w:rFonts w:ascii="Sylfaen" w:hAnsi="Sylfaen"/>
          <w:sz w:val="24"/>
          <w:szCs w:val="24"/>
        </w:rPr>
        <w:t>և</w:t>
      </w:r>
      <w:r>
        <w:rPr>
          <w:rFonts w:ascii="Sylfaen" w:hAnsi="Sylfaen"/>
          <w:sz w:val="24"/>
          <w:szCs w:val="24"/>
        </w:rPr>
        <w:t xml:space="preserve"> փորձաքննության կանոնների</w:t>
      </w:r>
    </w:p>
    <w:p w14:paraId="26118828" w14:textId="77777777" w:rsidR="006F76EB" w:rsidRPr="00834D52" w:rsidRDefault="006F76EB" w:rsidP="00A721D8">
      <w:pPr>
        <w:spacing w:after="160" w:line="360" w:lineRule="auto"/>
        <w:ind w:right="-6"/>
        <w:jc w:val="center"/>
        <w:rPr>
          <w:rFonts w:ascii="Sylfaen" w:hAnsi="Sylfaen"/>
          <w:sz w:val="24"/>
          <w:szCs w:val="24"/>
        </w:rPr>
      </w:pPr>
    </w:p>
    <w:p w14:paraId="09A13AE8" w14:textId="77777777" w:rsidR="006F76EB" w:rsidRPr="00333A89" w:rsidRDefault="006F76EB" w:rsidP="006F76EB">
      <w:pPr>
        <w:spacing w:after="160" w:line="360" w:lineRule="auto"/>
        <w:ind w:left="567" w:right="579"/>
        <w:jc w:val="center"/>
        <w:rPr>
          <w:rFonts w:ascii="Sylfaen" w:eastAsia="Times New Roman" w:hAnsi="Sylfaen" w:cs="Times New Roman"/>
          <w:b/>
          <w:sz w:val="24"/>
          <w:szCs w:val="24"/>
        </w:rPr>
      </w:pPr>
      <w:r w:rsidRPr="00333A89">
        <w:rPr>
          <w:rFonts w:ascii="Sylfaen" w:hAnsi="Sylfaen"/>
          <w:b/>
          <w:sz w:val="24"/>
          <w:szCs w:val="24"/>
        </w:rPr>
        <w:t>ՁԵՎԵՐ</w:t>
      </w:r>
    </w:p>
    <w:p w14:paraId="095D8544" w14:textId="2588EAEE"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 xml:space="preserve">դեղապատրաստուկի գրանցման, վերագրանցման, Եվրասիական տնտեսական միության պահանջներին համապատասխանեցնելու </w:t>
      </w:r>
      <w:r w:rsidR="00C54D75">
        <w:rPr>
          <w:rFonts w:ascii="Sylfaen" w:hAnsi="Sylfaen"/>
          <w:b/>
          <w:sz w:val="24"/>
          <w:szCs w:val="24"/>
        </w:rPr>
        <w:t>և</w:t>
      </w:r>
      <w:r w:rsidRPr="00834D52">
        <w:rPr>
          <w:rFonts w:ascii="Sylfaen" w:hAnsi="Sylfaen"/>
          <w:b/>
          <w:sz w:val="24"/>
          <w:szCs w:val="24"/>
        </w:rPr>
        <w:t xml:space="preserve"> դեղապատրաստուկի գրանցման դոսյեում փոփոխություններ </w:t>
      </w:r>
      <w:r w:rsidRPr="00DB039F">
        <w:rPr>
          <w:rFonts w:ascii="Sylfaen" w:hAnsi="Sylfaen"/>
          <w:b/>
          <w:sz w:val="24"/>
          <w:szCs w:val="24"/>
        </w:rPr>
        <w:br/>
      </w:r>
      <w:r w:rsidRPr="00834D52">
        <w:rPr>
          <w:rFonts w:ascii="Sylfaen" w:hAnsi="Sylfaen"/>
          <w:b/>
          <w:sz w:val="24"/>
          <w:szCs w:val="24"/>
        </w:rPr>
        <w:t xml:space="preserve">կատարելու մասին </w:t>
      </w:r>
      <w:r w:rsidR="009F5829">
        <w:rPr>
          <w:rFonts w:ascii="Sylfaen" w:hAnsi="Sylfaen"/>
          <w:b/>
          <w:sz w:val="24"/>
          <w:szCs w:val="24"/>
        </w:rPr>
        <w:t>դիմումներ</w:t>
      </w:r>
      <w:r w:rsidRPr="00834D52">
        <w:rPr>
          <w:rFonts w:ascii="Sylfaen" w:hAnsi="Sylfaen"/>
          <w:b/>
          <w:sz w:val="24"/>
          <w:szCs w:val="24"/>
        </w:rPr>
        <w:t>ի</w:t>
      </w:r>
    </w:p>
    <w:p w14:paraId="63CE30E8" w14:textId="77777777" w:rsidR="006F76EB" w:rsidRPr="00834D52" w:rsidRDefault="006F76EB" w:rsidP="006F76EB">
      <w:pPr>
        <w:spacing w:after="160" w:line="360" w:lineRule="auto"/>
        <w:ind w:right="-6"/>
        <w:jc w:val="right"/>
        <w:rPr>
          <w:rFonts w:ascii="Sylfaen" w:eastAsia="Times New Roman" w:hAnsi="Sylfaen" w:cs="Times New Roman"/>
          <w:sz w:val="24"/>
          <w:szCs w:val="24"/>
        </w:rPr>
      </w:pPr>
      <w:r w:rsidRPr="00834D52">
        <w:rPr>
          <w:rFonts w:ascii="Sylfaen" w:hAnsi="Sylfaen"/>
          <w:sz w:val="24"/>
          <w:szCs w:val="24"/>
        </w:rPr>
        <w:t>(ձ</w:t>
      </w:r>
      <w:r w:rsidR="00C54D75">
        <w:rPr>
          <w:rFonts w:ascii="Sylfaen" w:hAnsi="Sylfaen"/>
          <w:sz w:val="24"/>
          <w:szCs w:val="24"/>
        </w:rPr>
        <w:t>և</w:t>
      </w:r>
      <w:r w:rsidRPr="00834D52">
        <w:rPr>
          <w:rFonts w:ascii="Sylfaen" w:hAnsi="Sylfaen"/>
          <w:sz w:val="24"/>
          <w:szCs w:val="24"/>
        </w:rPr>
        <w:t>ը)</w:t>
      </w:r>
    </w:p>
    <w:p w14:paraId="78371EC0" w14:textId="7C36B01E" w:rsidR="006F76EB" w:rsidRPr="00DA0C56" w:rsidRDefault="006F76EB" w:rsidP="006F76EB">
      <w:pPr>
        <w:spacing w:after="160" w:line="360" w:lineRule="auto"/>
        <w:ind w:left="567" w:right="565"/>
        <w:jc w:val="center"/>
        <w:rPr>
          <w:rFonts w:ascii="Sylfaen" w:hAnsi="Sylfaen"/>
          <w:sz w:val="24"/>
          <w:szCs w:val="24"/>
        </w:rPr>
      </w:pPr>
      <w:r w:rsidRPr="00834D52">
        <w:rPr>
          <w:rFonts w:ascii="Sylfaen" w:hAnsi="Sylfaen"/>
          <w:sz w:val="24"/>
          <w:szCs w:val="24"/>
        </w:rPr>
        <w:t xml:space="preserve">I. </w:t>
      </w:r>
      <w:r w:rsidR="0056496B">
        <w:rPr>
          <w:rFonts w:ascii="Sylfaen" w:hAnsi="Sylfaen"/>
          <w:sz w:val="24"/>
          <w:szCs w:val="24"/>
        </w:rPr>
        <w:t>ԴԻՄՈՒՄ</w:t>
      </w:r>
      <w:r w:rsidRPr="00834D52">
        <w:rPr>
          <w:rFonts w:ascii="Sylfaen" w:hAnsi="Sylfaen"/>
          <w:sz w:val="24"/>
          <w:szCs w:val="24"/>
        </w:rPr>
        <w:br/>
        <w:t>դեղապատրաստուկի գրանցման (դեղապատրաստուկի գրանցման դոսյեն Եվրասիական տնտեսական միության պահանջներին համապատասխանեցնելու) մասին</w:t>
      </w:r>
    </w:p>
    <w:p w14:paraId="75A3B038" w14:textId="77777777" w:rsidR="006F76EB" w:rsidRPr="00DA0C56" w:rsidRDefault="006F76EB" w:rsidP="006F76EB">
      <w:pPr>
        <w:spacing w:after="160" w:line="360" w:lineRule="auto"/>
        <w:ind w:left="567" w:right="565"/>
        <w:jc w:val="center"/>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5"/>
      </w:tblGrid>
      <w:tr w:rsidR="006F76EB" w:rsidRPr="00834D52" w14:paraId="66D2F2CB" w14:textId="77777777" w:rsidTr="00F71229">
        <w:trPr>
          <w:jc w:val="center"/>
        </w:trPr>
        <w:tc>
          <w:tcPr>
            <w:tcW w:w="5211" w:type="dxa"/>
          </w:tcPr>
          <w:p w14:paraId="23AC59F1" w14:textId="3D576A86" w:rsidR="006F76EB" w:rsidRPr="00834D52" w:rsidRDefault="0056496B" w:rsidP="00F71229">
            <w:pPr>
              <w:spacing w:after="160"/>
              <w:ind w:right="-8"/>
              <w:rPr>
                <w:rFonts w:ascii="Sylfaen" w:hAnsi="Sylfaen"/>
                <w:sz w:val="24"/>
                <w:szCs w:val="24"/>
              </w:rPr>
            </w:pPr>
            <w:r>
              <w:rPr>
                <w:rFonts w:ascii="Sylfaen" w:hAnsi="Sylfaen"/>
                <w:sz w:val="24"/>
                <w:szCs w:val="24"/>
              </w:rPr>
              <w:t>Դիմում</w:t>
            </w:r>
            <w:r w:rsidR="006F76EB" w:rsidRPr="00834D52">
              <w:rPr>
                <w:rFonts w:ascii="Sylfaen" w:hAnsi="Sylfaen"/>
                <w:sz w:val="24"/>
                <w:szCs w:val="24"/>
              </w:rPr>
              <w:t>ը ստանալու ամսաթիվը</w:t>
            </w:r>
          </w:p>
        </w:tc>
        <w:tc>
          <w:tcPr>
            <w:tcW w:w="4075" w:type="dxa"/>
          </w:tcPr>
          <w:p w14:paraId="2603474C" w14:textId="77777777" w:rsidR="006F76EB" w:rsidRPr="00834D52" w:rsidRDefault="006F76EB" w:rsidP="00F71229">
            <w:pPr>
              <w:spacing w:after="160"/>
              <w:ind w:left="46" w:right="-8"/>
              <w:jc w:val="center"/>
              <w:rPr>
                <w:rFonts w:ascii="Sylfaen" w:eastAsia="Times New Roman" w:hAnsi="Sylfaen" w:cs="Times New Roman"/>
                <w:sz w:val="24"/>
                <w:szCs w:val="24"/>
              </w:rPr>
            </w:pPr>
            <w:r w:rsidRPr="00834D52">
              <w:rPr>
                <w:rFonts w:ascii="Sylfaen" w:hAnsi="Sylfaen"/>
                <w:sz w:val="24"/>
                <w:szCs w:val="24"/>
              </w:rPr>
              <w:t>Թիվ________________________</w:t>
            </w:r>
          </w:p>
        </w:tc>
      </w:tr>
      <w:tr w:rsidR="006F76EB" w:rsidRPr="00834D52" w14:paraId="5888B33F" w14:textId="77777777" w:rsidTr="00F71229">
        <w:trPr>
          <w:jc w:val="center"/>
        </w:trPr>
        <w:tc>
          <w:tcPr>
            <w:tcW w:w="5211" w:type="dxa"/>
          </w:tcPr>
          <w:p w14:paraId="45B93AD3" w14:textId="77777777" w:rsidR="006F76EB" w:rsidRPr="00834D52" w:rsidRDefault="006F76EB" w:rsidP="00F71229">
            <w:pPr>
              <w:spacing w:after="160"/>
              <w:ind w:right="-8"/>
              <w:rPr>
                <w:rFonts w:ascii="Sylfaen" w:eastAsia="Times New Roman" w:hAnsi="Sylfaen" w:cs="Times New Roman"/>
                <w:sz w:val="24"/>
                <w:szCs w:val="24"/>
              </w:rPr>
            </w:pPr>
            <w:r w:rsidRPr="00834D52">
              <w:rPr>
                <w:rFonts w:ascii="Sylfaen" w:hAnsi="Sylfaen"/>
                <w:sz w:val="24"/>
                <w:szCs w:val="24"/>
              </w:rPr>
              <w:t>«___» _______________ 20 ___ թ.</w:t>
            </w:r>
          </w:p>
        </w:tc>
        <w:tc>
          <w:tcPr>
            <w:tcW w:w="4075" w:type="dxa"/>
          </w:tcPr>
          <w:p w14:paraId="6E128BC3" w14:textId="77777777" w:rsidR="006F76EB" w:rsidRPr="00834D52" w:rsidRDefault="006F76EB" w:rsidP="00F71229">
            <w:pPr>
              <w:spacing w:after="160"/>
              <w:ind w:left="453" w:right="-8"/>
              <w:rPr>
                <w:rFonts w:ascii="Sylfaen" w:eastAsia="Times New Roman" w:hAnsi="Sylfaen" w:cs="Times New Roman"/>
                <w:sz w:val="24"/>
                <w:szCs w:val="24"/>
              </w:rPr>
            </w:pPr>
          </w:p>
        </w:tc>
      </w:tr>
      <w:tr w:rsidR="006F76EB" w:rsidRPr="00834D52" w14:paraId="30E4C8BB"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jc w:val="center"/>
        </w:trPr>
        <w:tc>
          <w:tcPr>
            <w:tcW w:w="5211" w:type="dxa"/>
            <w:tcBorders>
              <w:top w:val="nil"/>
              <w:left w:val="nil"/>
              <w:bottom w:val="nil"/>
              <w:right w:val="single" w:sz="4" w:space="0" w:color="auto"/>
            </w:tcBorders>
          </w:tcPr>
          <w:p w14:paraId="0F515806"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075" w:type="dxa"/>
            <w:tcBorders>
              <w:left w:val="single" w:sz="4" w:space="0" w:color="auto"/>
            </w:tcBorders>
          </w:tcPr>
          <w:p w14:paraId="3EAA936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4BA32A57"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3F5754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075" w:type="dxa"/>
            <w:tcBorders>
              <w:left w:val="single" w:sz="4" w:space="0" w:color="auto"/>
            </w:tcBorders>
          </w:tcPr>
          <w:p w14:paraId="0AA0888C"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1B4981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4D9C3062"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 xml:space="preserve">Դեղաչափերը կամ խտությունը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7BF9053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07EE9EE"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6DF6C481"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075" w:type="dxa"/>
            <w:tcBorders>
              <w:left w:val="single" w:sz="4" w:space="0" w:color="auto"/>
            </w:tcBorders>
          </w:tcPr>
          <w:p w14:paraId="2EDD7283"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03727E6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1FE0F6E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075" w:type="dxa"/>
            <w:tcBorders>
              <w:left w:val="single" w:sz="4" w:space="0" w:color="auto"/>
            </w:tcBorders>
          </w:tcPr>
          <w:p w14:paraId="146BB7AF"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3FE5F058"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5A6895CA" w14:textId="3EA5878A"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075" w:type="dxa"/>
            <w:tcBorders>
              <w:left w:val="single" w:sz="4" w:space="0" w:color="auto"/>
            </w:tcBorders>
          </w:tcPr>
          <w:p w14:paraId="79475071" w14:textId="77777777" w:rsidR="006F76EB" w:rsidRPr="00834D52" w:rsidRDefault="006F76EB" w:rsidP="00F71229">
            <w:pPr>
              <w:spacing w:after="160"/>
              <w:ind w:right="-8"/>
              <w:rPr>
                <w:rFonts w:ascii="Sylfaen" w:eastAsia="Times New Roman" w:hAnsi="Sylfaen" w:cs="Times New Roman"/>
                <w:sz w:val="24"/>
                <w:szCs w:val="24"/>
              </w:rPr>
            </w:pPr>
          </w:p>
        </w:tc>
      </w:tr>
      <w:tr w:rsidR="006F76EB" w:rsidRPr="00834D52" w14:paraId="2356A7AC" w14:textId="77777777" w:rsidTr="00F71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211" w:type="dxa"/>
            <w:tcBorders>
              <w:top w:val="nil"/>
              <w:left w:val="nil"/>
              <w:bottom w:val="nil"/>
              <w:right w:val="single" w:sz="4" w:space="0" w:color="auto"/>
            </w:tcBorders>
          </w:tcPr>
          <w:p w14:paraId="73422C05" w14:textId="0F1D3FD9" w:rsidR="006F76EB" w:rsidRPr="00834D52" w:rsidRDefault="0056496B" w:rsidP="00F71229">
            <w:pPr>
              <w:spacing w:after="160"/>
              <w:ind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075" w:type="dxa"/>
            <w:tcBorders>
              <w:left w:val="single" w:sz="4" w:space="0" w:color="auto"/>
            </w:tcBorders>
          </w:tcPr>
          <w:p w14:paraId="4C9FA3AB" w14:textId="77777777" w:rsidR="006F76EB" w:rsidRPr="00834D52" w:rsidRDefault="006F76EB" w:rsidP="00F71229">
            <w:pPr>
              <w:spacing w:after="160"/>
              <w:ind w:right="-8"/>
              <w:rPr>
                <w:rFonts w:ascii="Sylfaen" w:eastAsia="Times New Roman" w:hAnsi="Sylfaen" w:cs="Times New Roman"/>
                <w:sz w:val="24"/>
                <w:szCs w:val="24"/>
              </w:rPr>
            </w:pPr>
          </w:p>
        </w:tc>
      </w:tr>
    </w:tbl>
    <w:p w14:paraId="4E6B2F13" w14:textId="77777777" w:rsidR="006F76EB" w:rsidRPr="00834D52" w:rsidRDefault="006F76EB" w:rsidP="00803E4B">
      <w:pPr>
        <w:spacing w:after="160" w:line="240" w:lineRule="auto"/>
        <w:ind w:right="-6" w:firstLine="567"/>
        <w:jc w:val="center"/>
        <w:rPr>
          <w:rFonts w:ascii="Sylfaen" w:hAnsi="Sylfaen"/>
          <w:sz w:val="24"/>
          <w:szCs w:val="24"/>
          <w:lang w:val="en-US"/>
        </w:rPr>
      </w:pPr>
    </w:p>
    <w:p w14:paraId="00F9D196" w14:textId="77777777"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0AEA0744" w14:textId="2274CE4F" w:rsidR="006F76EB" w:rsidRPr="00834D52" w:rsidRDefault="006F76EB" w:rsidP="00685570">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90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սույն </w:t>
      </w:r>
      <w:r w:rsidR="0056496B">
        <w:rPr>
          <w:rFonts w:ascii="Sylfaen" w:hAnsi="Sylfaen"/>
          <w:sz w:val="24"/>
          <w:szCs w:val="24"/>
        </w:rPr>
        <w:t>դիմում</w:t>
      </w:r>
      <w:r w:rsidRPr="00834D52">
        <w:rPr>
          <w:rFonts w:ascii="Sylfaen" w:hAnsi="Sylfaen"/>
          <w:sz w:val="24"/>
          <w:szCs w:val="24"/>
        </w:rPr>
        <w:t>ի քննությունը կմերժվի:</w:t>
      </w:r>
    </w:p>
    <w:p w14:paraId="4F256FC7" w14:textId="16AC68D6"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ընդգրկված բոլոր տվյալները ստացվել են սահմանված կարգով </w:t>
      </w:r>
      <w:r w:rsidR="00C54D75">
        <w:rPr>
          <w:rFonts w:ascii="Sylfaen" w:hAnsi="Sylfaen"/>
          <w:sz w:val="24"/>
          <w:szCs w:val="24"/>
        </w:rPr>
        <w:t>և</w:t>
      </w:r>
      <w:r w:rsidRPr="00834D52">
        <w:rPr>
          <w:rFonts w:ascii="Sylfaen" w:hAnsi="Sylfaen"/>
          <w:sz w:val="24"/>
          <w:szCs w:val="24"/>
        </w:rPr>
        <w:t xml:space="preserve"> չեն խախտում 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4.3 </w:t>
      </w:r>
      <w:r w:rsidR="00C54D75">
        <w:rPr>
          <w:rFonts w:ascii="Sylfaen" w:hAnsi="Sylfaen"/>
          <w:sz w:val="24"/>
          <w:szCs w:val="24"/>
        </w:rPr>
        <w:t>և</w:t>
      </w:r>
      <w:r w:rsidRPr="00834D52">
        <w:rPr>
          <w:rFonts w:ascii="Sylfaen" w:hAnsi="Sylfaen"/>
          <w:sz w:val="24"/>
          <w:szCs w:val="24"/>
        </w:rPr>
        <w:t xml:space="preserve"> 4.4 ենթակետեր):</w:t>
      </w:r>
    </w:p>
    <w:p w14:paraId="6A3E13D9" w14:textId="77777777"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նախատեսված բոլոր վճարները (տուրքերը) վճարվել են (կվճարվեն) օրենսդրության պահանջներին համապատասխան:</w:t>
      </w:r>
    </w:p>
    <w:p w14:paraId="6A8C593A" w14:textId="504611CA" w:rsidR="006F76EB" w:rsidRPr="00834D52" w:rsidRDefault="006F76EB" w:rsidP="00685570">
      <w:pPr>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կից ներկայացվում է (սույն </w:t>
      </w:r>
      <w:r w:rsidR="0056496B">
        <w:rPr>
          <w:rFonts w:ascii="Sylfaen" w:hAnsi="Sylfaen"/>
          <w:sz w:val="24"/>
          <w:szCs w:val="24"/>
        </w:rPr>
        <w:t>դիմում</w:t>
      </w:r>
      <w:r w:rsidRPr="00834D52">
        <w:rPr>
          <w:rFonts w:ascii="Sylfaen" w:hAnsi="Sylfaen"/>
          <w:sz w:val="24"/>
          <w:szCs w:val="24"/>
        </w:rPr>
        <w:t>ի հավելվածի 4.1 ենթակետ):</w:t>
      </w:r>
    </w:p>
    <w:p w14:paraId="2547E767" w14:textId="77777777" w:rsidR="006F76EB" w:rsidRPr="00834D52" w:rsidRDefault="006F76EB" w:rsidP="006F76EB">
      <w:pPr>
        <w:spacing w:after="160" w:line="360" w:lineRule="auto"/>
        <w:ind w:right="-8"/>
        <w:rPr>
          <w:rFonts w:ascii="Sylfaen" w:hAnsi="Sylfaen"/>
          <w:sz w:val="24"/>
          <w:szCs w:val="24"/>
        </w:rPr>
      </w:pPr>
    </w:p>
    <w:p w14:paraId="52853262" w14:textId="26134599" w:rsidR="006F76EB" w:rsidRPr="00834D52" w:rsidRDefault="0056496B" w:rsidP="006F76EB">
      <w:pPr>
        <w:spacing w:after="160" w:line="360" w:lineRule="auto"/>
        <w:ind w:right="-8"/>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5AEABCE1"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7A5CF76D"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(ստորագրություն)</w:t>
      </w:r>
    </w:p>
    <w:p w14:paraId="5B8CFBD2" w14:textId="77777777" w:rsidR="006F76EB" w:rsidRPr="00834D52" w:rsidRDefault="006F76EB" w:rsidP="004243A9">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4AA57E6E" w14:textId="77777777" w:rsidR="006F76EB" w:rsidRPr="002978B0" w:rsidRDefault="006F76EB" w:rsidP="004243A9">
      <w:pPr>
        <w:spacing w:after="0" w:line="240" w:lineRule="auto"/>
        <w:ind w:right="-8"/>
        <w:rPr>
          <w:rFonts w:ascii="Sylfaen" w:hAnsi="Sylfaen"/>
          <w:sz w:val="20"/>
          <w:szCs w:val="20"/>
        </w:rPr>
      </w:pPr>
      <w:r w:rsidRPr="00834D52">
        <w:rPr>
          <w:rFonts w:ascii="Sylfaen" w:hAnsi="Sylfaen"/>
          <w:sz w:val="20"/>
          <w:szCs w:val="20"/>
        </w:rPr>
        <w:t>(ազգանուն, անուն, հայրանուն)</w:t>
      </w:r>
    </w:p>
    <w:p w14:paraId="49F02551" w14:textId="77777777" w:rsidR="004243A9" w:rsidRPr="002978B0" w:rsidRDefault="004243A9" w:rsidP="004243A9">
      <w:pPr>
        <w:spacing w:after="0" w:line="240" w:lineRule="auto"/>
        <w:ind w:right="-8"/>
        <w:rPr>
          <w:rFonts w:ascii="Sylfaen" w:eastAsia="Times New Roman" w:hAnsi="Sylfaen" w:cs="Times New Roman"/>
          <w:sz w:val="20"/>
          <w:szCs w:val="20"/>
        </w:rPr>
      </w:pPr>
    </w:p>
    <w:p w14:paraId="1CD468B9" w14:textId="77777777" w:rsidR="006F76EB" w:rsidRPr="00834D52" w:rsidRDefault="006F76EB" w:rsidP="006F76EB">
      <w:pPr>
        <w:spacing w:after="0" w:line="240" w:lineRule="auto"/>
        <w:ind w:right="-6"/>
        <w:rPr>
          <w:rFonts w:ascii="Sylfaen" w:eastAsia="Times New Roman" w:hAnsi="Sylfaen" w:cs="Times New Roman"/>
          <w:sz w:val="24"/>
          <w:szCs w:val="24"/>
        </w:rPr>
      </w:pPr>
      <w:r w:rsidRPr="00834D52">
        <w:rPr>
          <w:rFonts w:ascii="Sylfaen" w:hAnsi="Sylfaen"/>
          <w:sz w:val="24"/>
          <w:szCs w:val="24"/>
        </w:rPr>
        <w:t>__________________________________</w:t>
      </w:r>
    </w:p>
    <w:p w14:paraId="1BC241F3" w14:textId="77777777" w:rsidR="006F76EB" w:rsidRPr="00834D52" w:rsidRDefault="006F76EB" w:rsidP="006F76EB">
      <w:pPr>
        <w:spacing w:after="160" w:line="360" w:lineRule="auto"/>
        <w:ind w:right="-8"/>
        <w:rPr>
          <w:rFonts w:ascii="Sylfaen" w:eastAsia="Times New Roman" w:hAnsi="Sylfaen" w:cs="Times New Roman"/>
          <w:sz w:val="20"/>
          <w:szCs w:val="20"/>
        </w:rPr>
      </w:pPr>
      <w:r w:rsidRPr="00834D52">
        <w:rPr>
          <w:rFonts w:ascii="Sylfaen" w:hAnsi="Sylfaen"/>
          <w:sz w:val="20"/>
          <w:szCs w:val="20"/>
        </w:rPr>
        <w:t>(պաշտոն)</w:t>
      </w:r>
    </w:p>
    <w:p w14:paraId="0668B85C" w14:textId="77777777" w:rsidR="006F76EB" w:rsidRPr="00834D52" w:rsidRDefault="006F76EB" w:rsidP="006F76EB">
      <w:pPr>
        <w:spacing w:after="160" w:line="360" w:lineRule="auto"/>
        <w:ind w:right="-8"/>
        <w:rPr>
          <w:rFonts w:ascii="Sylfaen" w:hAnsi="Sylfaen"/>
          <w:sz w:val="24"/>
          <w:szCs w:val="24"/>
          <w:u w:val="single" w:color="000000"/>
        </w:rPr>
      </w:pPr>
      <w:r w:rsidRPr="00834D52">
        <w:rPr>
          <w:rFonts w:ascii="Sylfaen" w:hAnsi="Sylfaen"/>
          <w:sz w:val="24"/>
          <w:szCs w:val="24"/>
        </w:rPr>
        <w:t>Կ. Տ.</w:t>
      </w:r>
    </w:p>
    <w:p w14:paraId="7A7553EC" w14:textId="77777777" w:rsidR="00803E4B" w:rsidRPr="007F5A60" w:rsidRDefault="00803E4B" w:rsidP="006F76EB">
      <w:pPr>
        <w:spacing w:after="160" w:line="360" w:lineRule="auto"/>
        <w:ind w:right="-8"/>
        <w:jc w:val="center"/>
        <w:rPr>
          <w:rFonts w:ascii="Sylfaen" w:hAnsi="Sylfaen"/>
          <w:sz w:val="24"/>
          <w:szCs w:val="24"/>
          <w:u w:val="single" w:color="000000"/>
        </w:rPr>
      </w:pPr>
    </w:p>
    <w:p w14:paraId="02216EE9" w14:textId="4F408B85" w:rsidR="006F76EB" w:rsidRPr="00834D52" w:rsidRDefault="006F76EB" w:rsidP="006F76EB">
      <w:pPr>
        <w:spacing w:after="160" w:line="360" w:lineRule="auto"/>
        <w:ind w:right="-8"/>
        <w:jc w:val="center"/>
        <w:rPr>
          <w:rFonts w:ascii="Sylfaen" w:eastAsia="Times New Roman" w:hAnsi="Sylfaen" w:cs="Times New Roman"/>
          <w:sz w:val="24"/>
          <w:szCs w:val="24"/>
          <w:u w:val="single" w:color="000000"/>
        </w:rPr>
      </w:pPr>
      <w:r w:rsidRPr="00834D52">
        <w:rPr>
          <w:rFonts w:ascii="Sylfaen" w:hAnsi="Sylfaen"/>
          <w:sz w:val="24"/>
          <w:szCs w:val="24"/>
          <w:u w:val="single" w:color="000000"/>
        </w:rPr>
        <w:lastRenderedPageBreak/>
        <w:t xml:space="preserve">1. </w:t>
      </w:r>
      <w:r w:rsidR="0056496B">
        <w:rPr>
          <w:rFonts w:ascii="Sylfaen" w:hAnsi="Sylfaen"/>
          <w:sz w:val="24"/>
          <w:szCs w:val="24"/>
          <w:u w:val="single"/>
        </w:rPr>
        <w:t>Դիմում</w:t>
      </w:r>
      <w:r w:rsidRPr="00834D52">
        <w:rPr>
          <w:rFonts w:ascii="Sylfaen" w:hAnsi="Sylfaen"/>
          <w:sz w:val="24"/>
          <w:szCs w:val="24"/>
          <w:u w:val="single"/>
        </w:rPr>
        <w:t xml:space="preserve">ի </w:t>
      </w:r>
      <w:r w:rsidRPr="00834D52">
        <w:rPr>
          <w:rFonts w:ascii="Sylfaen" w:hAnsi="Sylfaen"/>
          <w:sz w:val="24"/>
          <w:szCs w:val="24"/>
          <w:u w:val="single" w:color="000000"/>
        </w:rPr>
        <w:t>ընդհանուր կետերը</w:t>
      </w:r>
    </w:p>
    <w:p w14:paraId="57A8A2F4"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7B806153" w14:textId="6850E2B4" w:rsidR="006F76EB" w:rsidRPr="00834D52" w:rsidRDefault="006F76EB" w:rsidP="0068557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յալին համապատասխան:</w:t>
      </w:r>
    </w:p>
    <w:p w14:paraId="0722B992" w14:textId="1F7CB3A0" w:rsidR="006F76EB" w:rsidRPr="00834D52" w:rsidRDefault="006F76EB" w:rsidP="0068557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փոխադարձ ճանաչման ընթացակարգով՝</w:t>
      </w:r>
    </w:p>
    <w:tbl>
      <w:tblPr>
        <w:tblW w:w="9788" w:type="dxa"/>
        <w:jc w:val="center"/>
        <w:tblLayout w:type="fixed"/>
        <w:tblCellMar>
          <w:left w:w="0" w:type="dxa"/>
          <w:right w:w="0" w:type="dxa"/>
        </w:tblCellMar>
        <w:tblLook w:val="01E0" w:firstRow="1" w:lastRow="1" w:firstColumn="1" w:lastColumn="1" w:noHBand="0" w:noVBand="0"/>
      </w:tblPr>
      <w:tblGrid>
        <w:gridCol w:w="5161"/>
        <w:gridCol w:w="4627"/>
      </w:tblGrid>
      <w:tr w:rsidR="006F76EB" w:rsidRPr="00834D52" w14:paraId="2D6E9B36"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5A35D8CD" w14:textId="77777777" w:rsidR="006F76EB" w:rsidRPr="00834D52" w:rsidRDefault="0032680A" w:rsidP="00F71229">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627" w:type="dxa"/>
            <w:tcBorders>
              <w:top w:val="single" w:sz="4" w:space="0" w:color="000000"/>
              <w:left w:val="single" w:sz="4" w:space="0" w:color="000000"/>
              <w:bottom w:val="single" w:sz="4" w:space="0" w:color="000000"/>
              <w:right w:val="single" w:sz="4" w:space="0" w:color="000000"/>
            </w:tcBorders>
          </w:tcPr>
          <w:p w14:paraId="5ECB043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E59C520"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745348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627" w:type="dxa"/>
            <w:tcBorders>
              <w:top w:val="single" w:sz="4" w:space="0" w:color="000000"/>
              <w:left w:val="single" w:sz="4" w:space="0" w:color="000000"/>
              <w:bottom w:val="single" w:sz="4" w:space="0" w:color="000000"/>
              <w:right w:val="single" w:sz="4" w:space="0" w:color="000000"/>
            </w:tcBorders>
          </w:tcPr>
          <w:p w14:paraId="04FD8EBE"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D0FF3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4EC15A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27" w:type="dxa"/>
            <w:tcBorders>
              <w:top w:val="single" w:sz="4" w:space="0" w:color="000000"/>
              <w:left w:val="single" w:sz="4" w:space="0" w:color="000000"/>
              <w:bottom w:val="single" w:sz="4" w:space="0" w:color="000000"/>
              <w:right w:val="single" w:sz="4" w:space="0" w:color="000000"/>
            </w:tcBorders>
          </w:tcPr>
          <w:p w14:paraId="10073D8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0F557C4"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6CDB0B1C"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2A462B3C"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D2FD13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3F34D22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627" w:type="dxa"/>
            <w:tcBorders>
              <w:top w:val="single" w:sz="4" w:space="0" w:color="000000"/>
              <w:left w:val="single" w:sz="4" w:space="0" w:color="000000"/>
              <w:bottom w:val="single" w:sz="4" w:space="0" w:color="000000"/>
              <w:right w:val="single" w:sz="4" w:space="0" w:color="000000"/>
            </w:tcBorders>
          </w:tcPr>
          <w:p w14:paraId="686F9EE6"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579CE88"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4E7B22BF" w14:textId="3EF523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գրանցման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627" w:type="dxa"/>
            <w:tcBorders>
              <w:top w:val="single" w:sz="4" w:space="0" w:color="000000"/>
              <w:left w:val="single" w:sz="4" w:space="0" w:color="000000"/>
              <w:bottom w:val="single" w:sz="4" w:space="0" w:color="000000"/>
              <w:right w:val="single" w:sz="4" w:space="0" w:color="000000"/>
            </w:tcBorders>
          </w:tcPr>
          <w:p w14:paraId="64F0D07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EDF665"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2CF4E976"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պետությունները, որտեղ տվյալ դեղապատրաստուկն արդեն գրանցվել է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4AAD143B"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09F48E3"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0126E2A"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որտեղ դեղապատրաստուկն արդեն գրանցվել է</w:t>
            </w:r>
          </w:p>
        </w:tc>
        <w:tc>
          <w:tcPr>
            <w:tcW w:w="4627" w:type="dxa"/>
            <w:tcBorders>
              <w:top w:val="single" w:sz="4" w:space="0" w:color="000000"/>
              <w:left w:val="single" w:sz="4" w:space="0" w:color="000000"/>
              <w:bottom w:val="single" w:sz="4" w:space="0" w:color="000000"/>
              <w:right w:val="single" w:sz="4" w:space="0" w:color="000000"/>
            </w:tcBorders>
          </w:tcPr>
          <w:p w14:paraId="5E190345"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E9E4967"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9BBCCE8"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627" w:type="dxa"/>
            <w:tcBorders>
              <w:top w:val="single" w:sz="4" w:space="0" w:color="000000"/>
              <w:left w:val="single" w:sz="4" w:space="0" w:color="000000"/>
              <w:bottom w:val="single" w:sz="4" w:space="0" w:color="000000"/>
              <w:right w:val="single" w:sz="4" w:space="0" w:color="000000"/>
            </w:tcBorders>
          </w:tcPr>
          <w:p w14:paraId="34B0D31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15FF201C"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1972FBE4"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հավաստագրի համարը</w:t>
            </w:r>
          </w:p>
        </w:tc>
        <w:tc>
          <w:tcPr>
            <w:tcW w:w="4627" w:type="dxa"/>
            <w:tcBorders>
              <w:top w:val="single" w:sz="4" w:space="0" w:color="000000"/>
              <w:left w:val="single" w:sz="4" w:space="0" w:color="000000"/>
              <w:bottom w:val="single" w:sz="4" w:space="0" w:color="000000"/>
              <w:right w:val="single" w:sz="4" w:space="0" w:color="000000"/>
            </w:tcBorders>
          </w:tcPr>
          <w:p w14:paraId="6B361CE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6CB5E0F"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777F9E85" w14:textId="0A282A96" w:rsidR="006F76EB" w:rsidRPr="00834D52" w:rsidRDefault="0056496B" w:rsidP="00F7122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Եվրասիական տնտեսական միության այլ անդամ պետություններ (առկայության դեպքում)</w:t>
            </w:r>
          </w:p>
        </w:tc>
        <w:tc>
          <w:tcPr>
            <w:tcW w:w="4627" w:type="dxa"/>
            <w:tcBorders>
              <w:top w:val="single" w:sz="4" w:space="0" w:color="000000"/>
              <w:left w:val="single" w:sz="4" w:space="0" w:color="000000"/>
              <w:bottom w:val="single" w:sz="4" w:space="0" w:color="000000"/>
              <w:right w:val="single" w:sz="4" w:space="0" w:color="000000"/>
            </w:tcBorders>
          </w:tcPr>
          <w:p w14:paraId="75F158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AE266EB" w14:textId="77777777" w:rsidTr="00F71229">
        <w:trPr>
          <w:jc w:val="center"/>
        </w:trPr>
        <w:tc>
          <w:tcPr>
            <w:tcW w:w="5161" w:type="dxa"/>
            <w:tcBorders>
              <w:top w:val="single" w:sz="4" w:space="0" w:color="000000"/>
              <w:left w:val="single" w:sz="4" w:space="0" w:color="000000"/>
              <w:bottom w:val="single" w:sz="4" w:space="0" w:color="000000"/>
              <w:right w:val="single" w:sz="4" w:space="0" w:color="000000"/>
            </w:tcBorders>
          </w:tcPr>
          <w:p w14:paraId="02E44AFB" w14:textId="77777777" w:rsidR="006F76EB" w:rsidRPr="00834D52" w:rsidRDefault="006F76EB" w:rsidP="00F7122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 (եթե կիրառելի է))</w:t>
            </w:r>
          </w:p>
        </w:tc>
        <w:tc>
          <w:tcPr>
            <w:tcW w:w="4627" w:type="dxa"/>
            <w:tcBorders>
              <w:top w:val="single" w:sz="4" w:space="0" w:color="000000"/>
              <w:left w:val="single" w:sz="4" w:space="0" w:color="000000"/>
              <w:bottom w:val="single" w:sz="4" w:space="0" w:color="000000"/>
              <w:right w:val="single" w:sz="4" w:space="0" w:color="000000"/>
            </w:tcBorders>
          </w:tcPr>
          <w:p w14:paraId="0B1D3762" w14:textId="77777777" w:rsidR="006F76EB" w:rsidRPr="00834D52" w:rsidRDefault="006F76EB" w:rsidP="00F71229">
            <w:pPr>
              <w:spacing w:after="120" w:line="240" w:lineRule="auto"/>
              <w:ind w:right="-6"/>
              <w:rPr>
                <w:rFonts w:ascii="Sylfaen" w:hAnsi="Sylfaen"/>
                <w:sz w:val="24"/>
                <w:szCs w:val="24"/>
              </w:rPr>
            </w:pPr>
          </w:p>
        </w:tc>
      </w:tr>
    </w:tbl>
    <w:p w14:paraId="5A933EAB" w14:textId="77777777" w:rsidR="006F76EB" w:rsidRPr="00834D52" w:rsidRDefault="006F76EB" w:rsidP="006F76EB">
      <w:pPr>
        <w:tabs>
          <w:tab w:val="left" w:pos="1701"/>
        </w:tabs>
        <w:spacing w:after="160" w:line="360" w:lineRule="auto"/>
        <w:ind w:right="-8" w:firstLine="567"/>
        <w:rPr>
          <w:rFonts w:ascii="Sylfaen" w:hAnsi="Sylfaen"/>
          <w:sz w:val="24"/>
          <w:szCs w:val="24"/>
        </w:rPr>
      </w:pPr>
    </w:p>
    <w:p w14:paraId="5DD81A09" w14:textId="242FC5EB"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ներկայացվել է ապակենտրոնացված ընթացակարգով՝</w:t>
      </w:r>
    </w:p>
    <w:tbl>
      <w:tblPr>
        <w:tblW w:w="10259" w:type="dxa"/>
        <w:tblInd w:w="-336" w:type="dxa"/>
        <w:tblLayout w:type="fixed"/>
        <w:tblCellMar>
          <w:left w:w="0" w:type="dxa"/>
          <w:right w:w="0" w:type="dxa"/>
        </w:tblCellMar>
        <w:tblLook w:val="01E0" w:firstRow="1" w:lastRow="1" w:firstColumn="1" w:lastColumn="1" w:noHBand="0" w:noVBand="0"/>
      </w:tblPr>
      <w:tblGrid>
        <w:gridCol w:w="5041"/>
        <w:gridCol w:w="5218"/>
      </w:tblGrid>
      <w:tr w:rsidR="006F76EB" w:rsidRPr="00834D52" w14:paraId="66DC71F7" w14:textId="77777777" w:rsidTr="009A3F22">
        <w:trPr>
          <w:trHeight w:val="589"/>
        </w:trPr>
        <w:tc>
          <w:tcPr>
            <w:tcW w:w="5041" w:type="dxa"/>
            <w:tcBorders>
              <w:top w:val="single" w:sz="4" w:space="0" w:color="000000"/>
              <w:left w:val="single" w:sz="4" w:space="0" w:color="000000"/>
              <w:bottom w:val="single" w:sz="4" w:space="0" w:color="000000"/>
              <w:right w:val="single" w:sz="4" w:space="0" w:color="000000"/>
            </w:tcBorders>
            <w:vAlign w:val="center"/>
          </w:tcPr>
          <w:p w14:paraId="466BA509" w14:textId="42831726"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218" w:type="dxa"/>
            <w:tcBorders>
              <w:top w:val="single" w:sz="4" w:space="0" w:color="000000"/>
              <w:left w:val="single" w:sz="4" w:space="0" w:color="000000"/>
              <w:bottom w:val="single" w:sz="4" w:space="0" w:color="000000"/>
              <w:right w:val="single" w:sz="4" w:space="0" w:color="000000"/>
            </w:tcBorders>
          </w:tcPr>
          <w:p w14:paraId="2AA714FA" w14:textId="77777777" w:rsidR="006F76EB" w:rsidRPr="00834D52" w:rsidRDefault="006F76EB" w:rsidP="008214E9">
            <w:pPr>
              <w:spacing w:after="120" w:line="240" w:lineRule="auto"/>
              <w:ind w:right="-6"/>
              <w:rPr>
                <w:rFonts w:ascii="Sylfaen" w:hAnsi="Sylfaen"/>
                <w:sz w:val="24"/>
                <w:szCs w:val="24"/>
              </w:rPr>
            </w:pPr>
          </w:p>
        </w:tc>
      </w:tr>
      <w:tr w:rsidR="006F76EB" w:rsidRPr="00834D52" w14:paraId="28E61D06" w14:textId="77777777" w:rsidTr="009A3F22">
        <w:trPr>
          <w:trHeight w:val="611"/>
        </w:trPr>
        <w:tc>
          <w:tcPr>
            <w:tcW w:w="5041" w:type="dxa"/>
            <w:tcBorders>
              <w:top w:val="single" w:sz="4" w:space="0" w:color="000000"/>
              <w:left w:val="single" w:sz="4" w:space="0" w:color="000000"/>
              <w:bottom w:val="single" w:sz="4" w:space="0" w:color="000000"/>
              <w:right w:val="single" w:sz="4" w:space="0" w:color="000000"/>
            </w:tcBorders>
            <w:vAlign w:val="center"/>
          </w:tcPr>
          <w:p w14:paraId="320D04F2" w14:textId="77777777" w:rsidR="006F76EB" w:rsidRPr="00834D52" w:rsidRDefault="0032680A" w:rsidP="009A3F22">
            <w:pPr>
              <w:spacing w:after="120" w:line="240" w:lineRule="auto"/>
              <w:ind w:left="180"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218" w:type="dxa"/>
            <w:tcBorders>
              <w:top w:val="single" w:sz="4" w:space="0" w:color="000000"/>
              <w:left w:val="single" w:sz="4" w:space="0" w:color="000000"/>
              <w:bottom w:val="single" w:sz="4" w:space="0" w:color="000000"/>
              <w:right w:val="single" w:sz="4" w:space="0" w:color="000000"/>
            </w:tcBorders>
          </w:tcPr>
          <w:p w14:paraId="3883873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D6C553C"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1EF427D4"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218" w:type="dxa"/>
            <w:tcBorders>
              <w:top w:val="single" w:sz="4" w:space="0" w:color="000000"/>
              <w:left w:val="single" w:sz="4" w:space="0" w:color="000000"/>
              <w:bottom w:val="single" w:sz="4" w:space="0" w:color="000000"/>
              <w:right w:val="single" w:sz="4" w:space="0" w:color="000000"/>
            </w:tcBorders>
          </w:tcPr>
          <w:p w14:paraId="17A8AFC8" w14:textId="77777777" w:rsidR="006F76EB" w:rsidRPr="00834D52" w:rsidRDefault="006F76EB" w:rsidP="008214E9">
            <w:pPr>
              <w:spacing w:after="120" w:line="240" w:lineRule="auto"/>
              <w:ind w:right="-6"/>
              <w:rPr>
                <w:rFonts w:ascii="Sylfaen" w:hAnsi="Sylfaen"/>
                <w:sz w:val="24"/>
                <w:szCs w:val="24"/>
              </w:rPr>
            </w:pPr>
          </w:p>
        </w:tc>
      </w:tr>
      <w:tr w:rsidR="006F76EB" w:rsidRPr="00834D52" w14:paraId="08937316" w14:textId="77777777" w:rsidTr="009A3F22">
        <w:trPr>
          <w:trHeight w:val="1058"/>
        </w:trPr>
        <w:tc>
          <w:tcPr>
            <w:tcW w:w="5041" w:type="dxa"/>
            <w:tcBorders>
              <w:top w:val="single" w:sz="4" w:space="0" w:color="000000"/>
              <w:left w:val="single" w:sz="4" w:space="0" w:color="000000"/>
              <w:bottom w:val="single" w:sz="4" w:space="0" w:color="000000"/>
              <w:right w:val="single" w:sz="4" w:space="0" w:color="000000"/>
            </w:tcBorders>
            <w:vAlign w:val="center"/>
          </w:tcPr>
          <w:p w14:paraId="000EC6E0" w14:textId="5BCAF558" w:rsidR="006F76EB" w:rsidRPr="00834D52" w:rsidRDefault="0056496B" w:rsidP="009A3F22">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 ներկայացնելու համար ճանաչման պետությունները</w:t>
            </w:r>
          </w:p>
        </w:tc>
        <w:tc>
          <w:tcPr>
            <w:tcW w:w="5218" w:type="dxa"/>
            <w:tcBorders>
              <w:top w:val="single" w:sz="4" w:space="0" w:color="000000"/>
              <w:left w:val="single" w:sz="4" w:space="0" w:color="000000"/>
              <w:bottom w:val="single" w:sz="4" w:space="0" w:color="000000"/>
              <w:right w:val="single" w:sz="4" w:space="0" w:color="000000"/>
            </w:tcBorders>
          </w:tcPr>
          <w:p w14:paraId="51F03E50" w14:textId="77777777" w:rsidR="006F76EB" w:rsidRPr="00834D52" w:rsidRDefault="006F76EB" w:rsidP="008214E9">
            <w:pPr>
              <w:spacing w:after="120" w:line="240" w:lineRule="auto"/>
              <w:ind w:right="-6"/>
              <w:rPr>
                <w:rFonts w:ascii="Sylfaen" w:hAnsi="Sylfaen"/>
                <w:sz w:val="24"/>
                <w:szCs w:val="24"/>
              </w:rPr>
            </w:pPr>
          </w:p>
        </w:tc>
      </w:tr>
      <w:tr w:rsidR="006F76EB" w:rsidRPr="00834D52" w14:paraId="3E53883B" w14:textId="77777777" w:rsidTr="009A3F22">
        <w:trPr>
          <w:trHeight w:val="2847"/>
        </w:trPr>
        <w:tc>
          <w:tcPr>
            <w:tcW w:w="5041" w:type="dxa"/>
            <w:tcBorders>
              <w:top w:val="single" w:sz="4" w:space="0" w:color="000000"/>
              <w:left w:val="single" w:sz="4" w:space="0" w:color="000000"/>
              <w:bottom w:val="single" w:sz="4" w:space="0" w:color="000000"/>
              <w:right w:val="single" w:sz="4" w:space="0" w:color="000000"/>
            </w:tcBorders>
            <w:vAlign w:val="center"/>
          </w:tcPr>
          <w:p w14:paraId="1BB2C2F3" w14:textId="77777777" w:rsidR="006F76EB" w:rsidRPr="00834D52" w:rsidRDefault="006F76EB" w:rsidP="009A3F2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(կամ) ճանաչման պետություններում առ</w:t>
            </w:r>
            <w:r w:rsidR="00C54D75">
              <w:rPr>
                <w:rFonts w:ascii="Sylfaen" w:hAnsi="Sylfaen"/>
                <w:sz w:val="24"/>
                <w:szCs w:val="24"/>
              </w:rPr>
              <w:t>և</w:t>
            </w:r>
            <w:r w:rsidRPr="00834D52">
              <w:rPr>
                <w:rFonts w:ascii="Sylfaen" w:hAnsi="Sylfaen"/>
                <w:sz w:val="24"/>
                <w:szCs w:val="24"/>
              </w:rPr>
              <w:t>տրային անվանումից տարբերվելու դեպքում</w:t>
            </w:r>
            <w:r w:rsidRPr="00834D52">
              <w:rPr>
                <w:rFonts w:ascii="Sylfaen" w:hAnsi="Sylfaen"/>
                <w:sz w:val="24"/>
                <w:szCs w:val="24"/>
              </w:rPr>
              <w:br/>
              <w:t>(եթե կիրառելի է))</w:t>
            </w:r>
          </w:p>
        </w:tc>
        <w:tc>
          <w:tcPr>
            <w:tcW w:w="5218" w:type="dxa"/>
            <w:tcBorders>
              <w:top w:val="single" w:sz="4" w:space="0" w:color="000000"/>
              <w:left w:val="single" w:sz="4" w:space="0" w:color="000000"/>
              <w:bottom w:val="single" w:sz="4" w:space="0" w:color="000000"/>
              <w:right w:val="single" w:sz="4" w:space="0" w:color="000000"/>
            </w:tcBorders>
          </w:tcPr>
          <w:p w14:paraId="33EDA158" w14:textId="77777777" w:rsidR="006F76EB" w:rsidRPr="00834D52" w:rsidRDefault="006F76EB" w:rsidP="008214E9">
            <w:pPr>
              <w:spacing w:after="120" w:line="240" w:lineRule="auto"/>
              <w:ind w:right="-6"/>
              <w:rPr>
                <w:rFonts w:ascii="Sylfaen" w:hAnsi="Sylfaen"/>
                <w:sz w:val="24"/>
                <w:szCs w:val="24"/>
              </w:rPr>
            </w:pPr>
          </w:p>
        </w:tc>
      </w:tr>
    </w:tbl>
    <w:p w14:paraId="259E226A" w14:textId="77777777" w:rsidR="008214E9" w:rsidRPr="007F5A60" w:rsidRDefault="008214E9" w:rsidP="006F76EB">
      <w:pPr>
        <w:tabs>
          <w:tab w:val="left" w:pos="1701"/>
        </w:tabs>
        <w:spacing w:after="160" w:line="360" w:lineRule="auto"/>
        <w:ind w:right="-8" w:firstLine="567"/>
        <w:jc w:val="both"/>
        <w:rPr>
          <w:rFonts w:ascii="Sylfaen" w:hAnsi="Sylfaen"/>
          <w:sz w:val="24"/>
          <w:szCs w:val="24"/>
        </w:rPr>
      </w:pPr>
    </w:p>
    <w:p w14:paraId="3E9B1453" w14:textId="07BEFB85"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1.1.3.</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ներկայացվել է փոխադարձ ճանաչման ընթացակարգով գրանցման դոսյեն Եվրասիական տնտեսական միության պահանջներին համապատասխանեցնելու նպատակով՝ </w:t>
      </w:r>
    </w:p>
    <w:tbl>
      <w:tblPr>
        <w:tblW w:w="9755" w:type="dxa"/>
        <w:jc w:val="center"/>
        <w:tblLayout w:type="fixed"/>
        <w:tblCellMar>
          <w:left w:w="0" w:type="dxa"/>
          <w:right w:w="0" w:type="dxa"/>
        </w:tblCellMar>
        <w:tblLook w:val="01E0" w:firstRow="1" w:lastRow="1" w:firstColumn="1" w:lastColumn="1" w:noHBand="0" w:noVBand="0"/>
      </w:tblPr>
      <w:tblGrid>
        <w:gridCol w:w="5020"/>
        <w:gridCol w:w="4735"/>
      </w:tblGrid>
      <w:tr w:rsidR="006F76EB" w:rsidRPr="00834D52" w14:paraId="76F8BDDC"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5E67897E" w14:textId="77777777" w:rsidR="006F76EB" w:rsidRPr="00834D52" w:rsidRDefault="0032680A" w:rsidP="007040C0">
            <w:pPr>
              <w:spacing w:after="120" w:line="240" w:lineRule="auto"/>
              <w:ind w:left="180" w:right="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735" w:type="dxa"/>
            <w:tcBorders>
              <w:top w:val="single" w:sz="4" w:space="0" w:color="000000"/>
              <w:left w:val="single" w:sz="4" w:space="0" w:color="000000"/>
              <w:bottom w:val="single" w:sz="4" w:space="0" w:color="000000"/>
              <w:right w:val="single" w:sz="4" w:space="0" w:color="000000"/>
            </w:tcBorders>
          </w:tcPr>
          <w:p w14:paraId="4512A2B4"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82D42C4"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3F98A565"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735" w:type="dxa"/>
            <w:tcBorders>
              <w:top w:val="single" w:sz="4" w:space="0" w:color="000000"/>
              <w:left w:val="single" w:sz="4" w:space="0" w:color="000000"/>
              <w:bottom w:val="single" w:sz="4" w:space="0" w:color="000000"/>
              <w:right w:val="single" w:sz="4" w:space="0" w:color="000000"/>
            </w:tcBorders>
          </w:tcPr>
          <w:p w14:paraId="5E0DF2E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1681854D"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5B673CC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ամսաթիվը</w:t>
            </w:r>
          </w:p>
        </w:tc>
        <w:tc>
          <w:tcPr>
            <w:tcW w:w="4735" w:type="dxa"/>
            <w:tcBorders>
              <w:top w:val="single" w:sz="4" w:space="0" w:color="000000"/>
              <w:left w:val="single" w:sz="4" w:space="0" w:color="000000"/>
              <w:bottom w:val="single" w:sz="4" w:space="0" w:color="000000"/>
              <w:right w:val="single" w:sz="4" w:space="0" w:color="000000"/>
            </w:tcBorders>
          </w:tcPr>
          <w:p w14:paraId="2293ADD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5CA4408" w14:textId="77777777" w:rsidTr="00D641AF">
        <w:trPr>
          <w:trHeight w:val="446"/>
          <w:jc w:val="center"/>
        </w:trPr>
        <w:tc>
          <w:tcPr>
            <w:tcW w:w="5020" w:type="dxa"/>
            <w:tcBorders>
              <w:top w:val="single" w:sz="4" w:space="0" w:color="000000"/>
              <w:left w:val="single" w:sz="4" w:space="0" w:color="000000"/>
              <w:bottom w:val="single" w:sz="4" w:space="0" w:color="000000"/>
              <w:right w:val="single" w:sz="4" w:space="0" w:color="000000"/>
            </w:tcBorders>
          </w:tcPr>
          <w:p w14:paraId="01E38D2E"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735" w:type="dxa"/>
            <w:tcBorders>
              <w:top w:val="single" w:sz="4" w:space="0" w:color="000000"/>
              <w:left w:val="single" w:sz="4" w:space="0" w:color="000000"/>
              <w:bottom w:val="single" w:sz="4" w:space="0" w:color="000000"/>
              <w:right w:val="single" w:sz="4" w:space="0" w:color="000000"/>
            </w:tcBorders>
          </w:tcPr>
          <w:p w14:paraId="11ABC5A7" w14:textId="77777777" w:rsidR="006F76EB" w:rsidRPr="00834D52" w:rsidRDefault="006F76EB" w:rsidP="007040C0">
            <w:pPr>
              <w:spacing w:after="120" w:line="240" w:lineRule="auto"/>
              <w:ind w:right="-8"/>
              <w:rPr>
                <w:rFonts w:ascii="Sylfaen" w:hAnsi="Sylfaen"/>
                <w:sz w:val="24"/>
                <w:szCs w:val="24"/>
              </w:rPr>
            </w:pPr>
          </w:p>
        </w:tc>
      </w:tr>
      <w:tr w:rsidR="006F76EB" w:rsidRPr="00834D52" w14:paraId="2E73D47F" w14:textId="77777777" w:rsidTr="00D641AF">
        <w:trPr>
          <w:trHeight w:val="429"/>
          <w:jc w:val="center"/>
        </w:trPr>
        <w:tc>
          <w:tcPr>
            <w:tcW w:w="5020" w:type="dxa"/>
            <w:tcBorders>
              <w:top w:val="single" w:sz="4" w:space="0" w:color="000000"/>
              <w:left w:val="single" w:sz="4" w:space="0" w:color="000000"/>
              <w:bottom w:val="single" w:sz="4" w:space="0" w:color="000000"/>
              <w:right w:val="single" w:sz="4" w:space="0" w:color="000000"/>
            </w:tcBorders>
          </w:tcPr>
          <w:p w14:paraId="3BA09F67"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4735" w:type="dxa"/>
            <w:tcBorders>
              <w:top w:val="single" w:sz="4" w:space="0" w:color="000000"/>
              <w:left w:val="single" w:sz="4" w:space="0" w:color="000000"/>
              <w:bottom w:val="single" w:sz="4" w:space="0" w:color="000000"/>
              <w:right w:val="single" w:sz="4" w:space="0" w:color="000000"/>
            </w:tcBorders>
          </w:tcPr>
          <w:p w14:paraId="1C100A9C" w14:textId="77777777" w:rsidR="006F76EB" w:rsidRPr="00834D52" w:rsidRDefault="006F76EB" w:rsidP="007040C0">
            <w:pPr>
              <w:spacing w:after="120" w:line="240" w:lineRule="auto"/>
              <w:ind w:right="-8"/>
              <w:rPr>
                <w:rFonts w:ascii="Sylfaen" w:hAnsi="Sylfaen"/>
                <w:sz w:val="24"/>
                <w:szCs w:val="24"/>
              </w:rPr>
            </w:pPr>
          </w:p>
        </w:tc>
      </w:tr>
      <w:tr w:rsidR="006F76EB" w:rsidRPr="00834D52" w14:paraId="45CA5C7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2CABCD1A" w14:textId="24E647AC"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 xml:space="preserve">դեղապատրաստուկի գրանցման դոսյեն Եվրասիական տնտեսական միության պահանջներին համապատասխանեցնելու </w:t>
            </w:r>
            <w:r w:rsidR="0056496B">
              <w:rPr>
                <w:rFonts w:ascii="Sylfaen" w:hAnsi="Sylfaen"/>
                <w:sz w:val="24"/>
                <w:szCs w:val="24"/>
              </w:rPr>
              <w:t>դիմում</w:t>
            </w:r>
            <w:r w:rsidRPr="00834D52">
              <w:rPr>
                <w:rFonts w:ascii="Sylfaen" w:hAnsi="Sylfaen"/>
                <w:sz w:val="24"/>
                <w:szCs w:val="24"/>
              </w:rPr>
              <w:t>ի նույնականացման համարը</w:t>
            </w:r>
          </w:p>
        </w:tc>
        <w:tc>
          <w:tcPr>
            <w:tcW w:w="4735" w:type="dxa"/>
            <w:tcBorders>
              <w:top w:val="single" w:sz="4" w:space="0" w:color="000000"/>
              <w:left w:val="single" w:sz="4" w:space="0" w:color="000000"/>
              <w:bottom w:val="single" w:sz="4" w:space="0" w:color="000000"/>
              <w:right w:val="single" w:sz="4" w:space="0" w:color="000000"/>
            </w:tcBorders>
          </w:tcPr>
          <w:p w14:paraId="55E8246D" w14:textId="77777777" w:rsidR="006F76EB" w:rsidRPr="00834D52" w:rsidRDefault="006F76EB" w:rsidP="007040C0">
            <w:pPr>
              <w:spacing w:after="120" w:line="240" w:lineRule="auto"/>
              <w:ind w:right="-8"/>
              <w:rPr>
                <w:rFonts w:ascii="Sylfaen" w:hAnsi="Sylfaen"/>
                <w:sz w:val="24"/>
                <w:szCs w:val="24"/>
              </w:rPr>
            </w:pPr>
          </w:p>
        </w:tc>
      </w:tr>
      <w:tr w:rsidR="006F76EB" w:rsidRPr="00834D52" w14:paraId="5AB0B096" w14:textId="77777777" w:rsidTr="00D641AF">
        <w:trPr>
          <w:trHeight w:val="1406"/>
          <w:jc w:val="center"/>
        </w:trPr>
        <w:tc>
          <w:tcPr>
            <w:tcW w:w="5020" w:type="dxa"/>
            <w:tcBorders>
              <w:top w:val="single" w:sz="4" w:space="0" w:color="000000"/>
              <w:left w:val="single" w:sz="4" w:space="0" w:color="000000"/>
              <w:bottom w:val="single" w:sz="4" w:space="0" w:color="000000"/>
              <w:right w:val="single" w:sz="4" w:space="0" w:color="000000"/>
            </w:tcBorders>
          </w:tcPr>
          <w:p w14:paraId="7F4A0629"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lastRenderedPageBreak/>
              <w:t>Եվրասիական տնտեսական միության անդամ պետությունները, որտեղ դեղապատրաստուկն արդեն գրանցվել է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55DB574B"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4EDA1FA" w14:textId="77777777" w:rsidTr="00D641AF">
        <w:trPr>
          <w:trHeight w:val="977"/>
          <w:jc w:val="center"/>
        </w:trPr>
        <w:tc>
          <w:tcPr>
            <w:tcW w:w="5020" w:type="dxa"/>
            <w:tcBorders>
              <w:top w:val="single" w:sz="4" w:space="0" w:color="000000"/>
              <w:left w:val="single" w:sz="4" w:space="0" w:color="000000"/>
              <w:bottom w:val="single" w:sz="4" w:space="0" w:color="000000"/>
              <w:right w:val="single" w:sz="4" w:space="0" w:color="000000"/>
            </w:tcBorders>
          </w:tcPr>
          <w:p w14:paraId="47734A40"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որտեղ դեղապատրաստուկն արդեն գրանցվել է (</w:t>
            </w:r>
            <w:r w:rsidR="0032680A">
              <w:rPr>
                <w:rFonts w:ascii="Sylfaen" w:hAnsi="Sylfaen"/>
                <w:sz w:val="24"/>
                <w:szCs w:val="24"/>
              </w:rPr>
              <w:t xml:space="preserve">ռեֆերենտ </w:t>
            </w:r>
            <w:r w:rsidRPr="00834D52">
              <w:rPr>
                <w:rFonts w:ascii="Sylfaen" w:hAnsi="Sylfaen"/>
                <w:sz w:val="24"/>
                <w:szCs w:val="24"/>
              </w:rPr>
              <w:t>պետությունում գրանցված առ</w:t>
            </w:r>
            <w:r w:rsidR="00C54D75">
              <w:rPr>
                <w:rFonts w:ascii="Sylfaen" w:hAnsi="Sylfaen"/>
                <w:sz w:val="24"/>
                <w:szCs w:val="24"/>
              </w:rPr>
              <w:t>և</w:t>
            </w:r>
            <w:r w:rsidRPr="00834D52">
              <w:rPr>
                <w:rFonts w:ascii="Sylfaen" w:hAnsi="Sylfaen"/>
                <w:sz w:val="24"/>
                <w:szCs w:val="24"/>
              </w:rPr>
              <w:t>տրային անվանումից տարբերվելու դեպքում)</w:t>
            </w:r>
          </w:p>
        </w:tc>
        <w:tc>
          <w:tcPr>
            <w:tcW w:w="4735" w:type="dxa"/>
            <w:tcBorders>
              <w:top w:val="single" w:sz="4" w:space="0" w:color="000000"/>
              <w:left w:val="single" w:sz="4" w:space="0" w:color="000000"/>
              <w:bottom w:val="single" w:sz="4" w:space="0" w:color="000000"/>
              <w:right w:val="single" w:sz="4" w:space="0" w:color="000000"/>
            </w:tcBorders>
          </w:tcPr>
          <w:p w14:paraId="2CF45856" w14:textId="77777777" w:rsidR="006F76EB" w:rsidRPr="00834D52" w:rsidRDefault="006F76EB" w:rsidP="007040C0">
            <w:pPr>
              <w:spacing w:after="120" w:line="240" w:lineRule="auto"/>
              <w:ind w:right="-8"/>
              <w:rPr>
                <w:rFonts w:ascii="Sylfaen" w:hAnsi="Sylfaen"/>
                <w:sz w:val="24"/>
                <w:szCs w:val="24"/>
              </w:rPr>
            </w:pPr>
          </w:p>
        </w:tc>
      </w:tr>
      <w:tr w:rsidR="006F76EB" w:rsidRPr="00834D52" w14:paraId="0795494F" w14:textId="77777777" w:rsidTr="00D641AF">
        <w:trPr>
          <w:trHeight w:val="1081"/>
          <w:jc w:val="center"/>
        </w:trPr>
        <w:tc>
          <w:tcPr>
            <w:tcW w:w="5020" w:type="dxa"/>
            <w:tcBorders>
              <w:top w:val="single" w:sz="4" w:space="0" w:color="000000"/>
              <w:left w:val="single" w:sz="4" w:space="0" w:color="000000"/>
              <w:bottom w:val="single" w:sz="4" w:space="0" w:color="000000"/>
              <w:right w:val="single" w:sz="4" w:space="0" w:color="000000"/>
            </w:tcBorders>
          </w:tcPr>
          <w:p w14:paraId="1B6BB948"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ճանաչման պետություններում գրանցման ամսաթիվը, եթե դեղապատրաստուկը գրանցված է</w:t>
            </w:r>
          </w:p>
        </w:tc>
        <w:tc>
          <w:tcPr>
            <w:tcW w:w="4735" w:type="dxa"/>
            <w:tcBorders>
              <w:top w:val="single" w:sz="4" w:space="0" w:color="000000"/>
              <w:left w:val="single" w:sz="4" w:space="0" w:color="000000"/>
              <w:bottom w:val="single" w:sz="4" w:space="0" w:color="000000"/>
              <w:right w:val="single" w:sz="4" w:space="0" w:color="000000"/>
            </w:tcBorders>
          </w:tcPr>
          <w:p w14:paraId="0EAFC13F" w14:textId="77777777" w:rsidR="006F76EB" w:rsidRPr="00834D52" w:rsidRDefault="006F76EB" w:rsidP="007040C0">
            <w:pPr>
              <w:spacing w:after="120" w:line="240" w:lineRule="auto"/>
              <w:ind w:right="-8"/>
              <w:rPr>
                <w:rFonts w:ascii="Sylfaen" w:hAnsi="Sylfaen"/>
                <w:sz w:val="24"/>
                <w:szCs w:val="24"/>
              </w:rPr>
            </w:pPr>
          </w:p>
        </w:tc>
      </w:tr>
      <w:tr w:rsidR="006F76EB" w:rsidRPr="00834D52" w14:paraId="30685FE9"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52A10C1" w14:textId="77777777" w:rsidR="006F76EB" w:rsidRPr="00834D52" w:rsidRDefault="006F76EB" w:rsidP="007040C0">
            <w:pPr>
              <w:spacing w:after="120" w:line="240" w:lineRule="auto"/>
              <w:ind w:left="180" w:right="67"/>
              <w:rPr>
                <w:rFonts w:ascii="Sylfaen" w:eastAsia="Times New Roman" w:hAnsi="Sylfaen" w:cs="Times New Roman"/>
                <w:sz w:val="24"/>
                <w:szCs w:val="24"/>
              </w:rPr>
            </w:pPr>
            <w:r w:rsidRPr="00834D52">
              <w:rPr>
                <w:rFonts w:ascii="Sylfaen" w:hAnsi="Sylfaen"/>
                <w:sz w:val="24"/>
                <w:szCs w:val="24"/>
              </w:rPr>
              <w:t>գրանցման հավաստագրի համարը ճանաչման պետություններում</w:t>
            </w:r>
          </w:p>
        </w:tc>
        <w:tc>
          <w:tcPr>
            <w:tcW w:w="4735" w:type="dxa"/>
            <w:tcBorders>
              <w:top w:val="single" w:sz="4" w:space="0" w:color="000000"/>
              <w:left w:val="single" w:sz="4" w:space="0" w:color="000000"/>
              <w:bottom w:val="single" w:sz="4" w:space="0" w:color="000000"/>
              <w:right w:val="single" w:sz="4" w:space="0" w:color="000000"/>
            </w:tcBorders>
          </w:tcPr>
          <w:p w14:paraId="39D1604E" w14:textId="77777777" w:rsidR="006F76EB" w:rsidRPr="00834D52" w:rsidRDefault="006F76EB" w:rsidP="007040C0">
            <w:pPr>
              <w:spacing w:after="120" w:line="240" w:lineRule="auto"/>
              <w:ind w:right="-8"/>
              <w:rPr>
                <w:rFonts w:ascii="Sylfaen" w:hAnsi="Sylfaen"/>
                <w:sz w:val="24"/>
                <w:szCs w:val="24"/>
              </w:rPr>
            </w:pPr>
          </w:p>
        </w:tc>
      </w:tr>
      <w:tr w:rsidR="00F537E4" w:rsidRPr="00834D52" w14:paraId="39B3D151"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46FCAC39" w14:textId="5EB8FB20" w:rsidR="00F537E4" w:rsidRPr="00AB17F6" w:rsidRDefault="00F537E4" w:rsidP="007040C0">
            <w:pPr>
              <w:spacing w:after="120" w:line="240" w:lineRule="auto"/>
              <w:ind w:left="180" w:right="67"/>
              <w:rPr>
                <w:rFonts w:ascii="Sylfaen" w:hAnsi="Sylfaen"/>
                <w:sz w:val="24"/>
                <w:szCs w:val="24"/>
              </w:rPr>
            </w:pPr>
            <w:r w:rsidRPr="00AB17F6">
              <w:rPr>
                <w:rFonts w:ascii="Sylfaen" w:hAnsi="Sylfaen"/>
                <w:sz w:val="24"/>
                <w:szCs w:val="24"/>
              </w:rPr>
              <w:t>Եվրասիական տնտեսական միության այլ անդամ պետություններ՝ դիմում ներկայացնելու համար (առկայության դեպքում)</w:t>
            </w:r>
          </w:p>
        </w:tc>
        <w:tc>
          <w:tcPr>
            <w:tcW w:w="4735" w:type="dxa"/>
            <w:tcBorders>
              <w:top w:val="single" w:sz="4" w:space="0" w:color="000000"/>
              <w:left w:val="single" w:sz="4" w:space="0" w:color="000000"/>
              <w:bottom w:val="single" w:sz="4" w:space="0" w:color="000000"/>
              <w:right w:val="single" w:sz="4" w:space="0" w:color="000000"/>
            </w:tcBorders>
          </w:tcPr>
          <w:p w14:paraId="6667DDC6" w14:textId="77777777" w:rsidR="00F537E4" w:rsidRPr="00834D52" w:rsidRDefault="00F537E4" w:rsidP="007040C0">
            <w:pPr>
              <w:spacing w:after="120" w:line="240" w:lineRule="auto"/>
              <w:ind w:right="-8"/>
              <w:rPr>
                <w:rFonts w:ascii="Sylfaen" w:hAnsi="Sylfaen"/>
                <w:sz w:val="24"/>
                <w:szCs w:val="24"/>
              </w:rPr>
            </w:pPr>
          </w:p>
        </w:tc>
      </w:tr>
      <w:tr w:rsidR="00F537E4" w:rsidRPr="00834D52" w14:paraId="0125F035" w14:textId="77777777" w:rsidTr="00D641AF">
        <w:trPr>
          <w:trHeight w:val="771"/>
          <w:jc w:val="center"/>
        </w:trPr>
        <w:tc>
          <w:tcPr>
            <w:tcW w:w="5020" w:type="dxa"/>
            <w:tcBorders>
              <w:top w:val="single" w:sz="4" w:space="0" w:color="000000"/>
              <w:left w:val="single" w:sz="4" w:space="0" w:color="000000"/>
              <w:bottom w:val="single" w:sz="4" w:space="0" w:color="000000"/>
              <w:right w:val="single" w:sz="4" w:space="0" w:color="000000"/>
            </w:tcBorders>
          </w:tcPr>
          <w:p w14:paraId="08BBD458" w14:textId="77777777" w:rsidR="00F537E4" w:rsidRPr="00834D52" w:rsidRDefault="00F537E4" w:rsidP="007040C0">
            <w:pPr>
              <w:spacing w:after="120" w:line="240" w:lineRule="auto"/>
              <w:ind w:left="180" w:right="67"/>
              <w:rPr>
                <w:rFonts w:ascii="Sylfaen" w:hAnsi="Sylfaen"/>
                <w:sz w:val="24"/>
                <w:szCs w:val="24"/>
              </w:rPr>
            </w:pPr>
          </w:p>
        </w:tc>
        <w:tc>
          <w:tcPr>
            <w:tcW w:w="4735" w:type="dxa"/>
            <w:tcBorders>
              <w:top w:val="single" w:sz="4" w:space="0" w:color="000000"/>
              <w:left w:val="single" w:sz="4" w:space="0" w:color="000000"/>
              <w:bottom w:val="single" w:sz="4" w:space="0" w:color="000000"/>
              <w:right w:val="single" w:sz="4" w:space="0" w:color="000000"/>
            </w:tcBorders>
          </w:tcPr>
          <w:p w14:paraId="28CDFB14" w14:textId="77777777" w:rsidR="00F537E4" w:rsidRPr="00834D52" w:rsidRDefault="00F537E4" w:rsidP="007040C0">
            <w:pPr>
              <w:spacing w:after="120" w:line="240" w:lineRule="auto"/>
              <w:ind w:right="-8"/>
              <w:rPr>
                <w:rFonts w:ascii="Sylfaen" w:hAnsi="Sylfaen"/>
                <w:sz w:val="24"/>
                <w:szCs w:val="24"/>
              </w:rPr>
            </w:pPr>
          </w:p>
        </w:tc>
      </w:tr>
    </w:tbl>
    <w:p w14:paraId="15EB5290" w14:textId="689A18E5" w:rsidR="008D05A2" w:rsidRPr="006F28F9" w:rsidRDefault="008D05A2" w:rsidP="008D05A2">
      <w:pPr>
        <w:rPr>
          <w:b/>
          <w:bCs/>
          <w:i/>
          <w:iCs/>
        </w:rPr>
      </w:pPr>
      <w:r w:rsidRPr="00CD4709">
        <w:rPr>
          <w:b/>
          <w:bCs/>
          <w:i/>
          <w:iCs/>
        </w:rPr>
        <w:t>(</w:t>
      </w:r>
      <w:r>
        <w:rPr>
          <w:b/>
          <w:bCs/>
          <w:i/>
          <w:iCs/>
        </w:rPr>
        <w:t xml:space="preserve">աղյուսակը լրաց. </w:t>
      </w:r>
      <w:r w:rsidRPr="00CD4709">
        <w:rPr>
          <w:b/>
          <w:bCs/>
          <w:i/>
          <w:iCs/>
        </w:rPr>
        <w:t xml:space="preserve"> 30.01.20 թիվ 9)</w:t>
      </w:r>
    </w:p>
    <w:p w14:paraId="2F3443BD" w14:textId="77777777" w:rsidR="006F76EB" w:rsidRPr="00834D52" w:rsidRDefault="006F76EB" w:rsidP="006F76EB">
      <w:pPr>
        <w:spacing w:after="160" w:line="360" w:lineRule="auto"/>
        <w:ind w:right="-8" w:firstLine="567"/>
        <w:jc w:val="both"/>
        <w:rPr>
          <w:rFonts w:ascii="Sylfaen" w:hAnsi="Sylfaen"/>
          <w:sz w:val="24"/>
          <w:szCs w:val="24"/>
        </w:rPr>
      </w:pPr>
    </w:p>
    <w:p w14:paraId="03177830" w14:textId="52052FF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այս բաժնում:</w:t>
      </w:r>
    </w:p>
    <w:p w14:paraId="366A8AB3" w14:textId="5A61AB4A"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համապատասխան տեսակի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այլ դեղապատրաստուկների, չեն լրացվում:</w:t>
      </w:r>
    </w:p>
    <w:p w14:paraId="3057D6E3" w14:textId="77777777" w:rsidR="006F76EB" w:rsidRPr="00834D52" w:rsidRDefault="006F76EB" w:rsidP="006F76EB">
      <w:pPr>
        <w:spacing w:after="160" w:line="360" w:lineRule="auto"/>
        <w:rPr>
          <w:rFonts w:ascii="Sylfaen" w:eastAsia="Times New Roman" w:hAnsi="Sylfaen" w:cs="Times New Roman"/>
          <w:sz w:val="24"/>
          <w:szCs w:val="24"/>
        </w:rPr>
      </w:pPr>
      <w:r w:rsidRPr="00834D52">
        <w:rPr>
          <w:rFonts w:ascii="Sylfaen" w:hAnsi="Sylfaen"/>
          <w:sz w:val="24"/>
          <w:szCs w:val="24"/>
        </w:rPr>
        <w:br w:type="page"/>
      </w:r>
    </w:p>
    <w:p w14:paraId="34DB957D"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2B7647EE">
          <v:rect id="_x0000_s1026" style="position:absolute;left:0;text-align:left;margin-left:114.35pt;margin-top:2.35pt;width:12.75pt;height:12pt;z-index:251517440"/>
        </w:pict>
      </w:r>
      <w:r w:rsidR="006F76EB" w:rsidRPr="00834D52">
        <w:rPr>
          <w:rFonts w:ascii="Sylfaen" w:hAnsi="Sylfaen"/>
          <w:sz w:val="24"/>
          <w:szCs w:val="24"/>
        </w:rPr>
        <w:t>ՕՐԻԳԻՆԱԼ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3399"/>
        <w:gridCol w:w="513"/>
        <w:gridCol w:w="4784"/>
      </w:tblGrid>
      <w:tr w:rsidR="006F76EB" w:rsidRPr="00834D52" w14:paraId="621F28BA" w14:textId="77777777" w:rsidTr="00F71229">
        <w:trPr>
          <w:jc w:val="center"/>
        </w:trPr>
        <w:tc>
          <w:tcPr>
            <w:tcW w:w="604" w:type="dxa"/>
          </w:tcPr>
          <w:p w14:paraId="670299C6" w14:textId="77777777" w:rsidR="006F76EB" w:rsidRPr="00834D52" w:rsidRDefault="00FC294A"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73B22DE1">
                <v:rect id="_x0000_s1027" style="position:absolute;margin-left:3pt;margin-top:4.65pt;width:12.75pt;height:12pt;z-index:251518464"/>
              </w:pict>
            </w:r>
          </w:p>
        </w:tc>
        <w:tc>
          <w:tcPr>
            <w:tcW w:w="3399" w:type="dxa"/>
          </w:tcPr>
          <w:p w14:paraId="69D23810"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կենսաբանական դեղապատրաստուկ</w:t>
            </w:r>
          </w:p>
        </w:tc>
        <w:tc>
          <w:tcPr>
            <w:tcW w:w="513" w:type="dxa"/>
          </w:tcPr>
          <w:p w14:paraId="40BDB6AC" w14:textId="77777777" w:rsidR="006F76EB" w:rsidRPr="00834D52" w:rsidRDefault="00FC294A"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15970854">
                <v:rect id="_x0000_s1028" style="position:absolute;margin-left:-.55pt;margin-top:4.65pt;width:12.75pt;height:12pt;z-index:251519488;mso-position-horizontal-relative:text;mso-position-vertical-relative:text"/>
              </w:pict>
            </w:r>
          </w:p>
        </w:tc>
        <w:tc>
          <w:tcPr>
            <w:tcW w:w="4784" w:type="dxa"/>
          </w:tcPr>
          <w:p w14:paraId="4915BDC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այլ դեղապատրաստուկ</w:t>
            </w:r>
          </w:p>
        </w:tc>
      </w:tr>
      <w:tr w:rsidR="006F76EB" w:rsidRPr="00834D52" w14:paraId="182231E1" w14:textId="77777777" w:rsidTr="00F71229">
        <w:trPr>
          <w:jc w:val="center"/>
        </w:trPr>
        <w:tc>
          <w:tcPr>
            <w:tcW w:w="604" w:type="dxa"/>
          </w:tcPr>
          <w:p w14:paraId="606A5DCE" w14:textId="77777777" w:rsidR="006F76EB" w:rsidRPr="00834D52" w:rsidRDefault="00FC294A" w:rsidP="00F71229">
            <w:pPr>
              <w:spacing w:after="160" w:line="360" w:lineRule="auto"/>
              <w:ind w:right="-8"/>
              <w:rPr>
                <w:rFonts w:ascii="Sylfaen" w:hAnsi="Sylfaen"/>
                <w:noProof/>
                <w:sz w:val="24"/>
                <w:szCs w:val="24"/>
              </w:rPr>
            </w:pPr>
            <w:r>
              <w:rPr>
                <w:rFonts w:ascii="Sylfaen" w:eastAsia="Times New Roman" w:hAnsi="Sylfaen" w:cs="Times New Roman"/>
                <w:noProof/>
                <w:sz w:val="24"/>
                <w:szCs w:val="24"/>
              </w:rPr>
              <w:pict w14:anchorId="5E272E18">
                <v:rect id="_x0000_s1029" style="position:absolute;margin-left:2.25pt;margin-top:3.95pt;width:12.75pt;height:12pt;z-index:251520512;mso-position-horizontal-relative:text;mso-position-vertical-relative:text"/>
              </w:pict>
            </w:r>
          </w:p>
        </w:tc>
        <w:tc>
          <w:tcPr>
            <w:tcW w:w="8696" w:type="dxa"/>
            <w:gridSpan w:val="3"/>
          </w:tcPr>
          <w:p w14:paraId="6B9D99CD"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նոր ակտիվ դեղագործական բաղադրամաս (այսուհետ՝ ԱԴԲ)</w:t>
            </w:r>
          </w:p>
        </w:tc>
      </w:tr>
    </w:tbl>
    <w:p w14:paraId="72E0477F" w14:textId="77777777" w:rsidR="006F76EB" w:rsidRPr="00834D52" w:rsidRDefault="006F76EB" w:rsidP="005A5E5E">
      <w:pPr>
        <w:spacing w:after="160" w:line="480" w:lineRule="auto"/>
        <w:ind w:right="-8" w:firstLine="567"/>
        <w:jc w:val="both"/>
        <w:rPr>
          <w:rFonts w:ascii="Sylfaen" w:hAnsi="Sylfaen"/>
          <w:sz w:val="24"/>
          <w:szCs w:val="24"/>
        </w:rPr>
      </w:pPr>
    </w:p>
    <w:p w14:paraId="2123CD4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տեղեկությունները բացակայում են:</w:t>
      </w:r>
    </w:p>
    <w:p w14:paraId="7586ACE6" w14:textId="6417C951" w:rsidR="006F76EB" w:rsidRPr="00834D52" w:rsidRDefault="00FC294A"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202035AC">
          <v:rect id="_x0000_s1030" style="position:absolute;left:0;text-align:left;margin-left:2.25pt;margin-top:2.9pt;width:12.75pt;height:12pt;z-index:251521536"/>
        </w:pict>
      </w:r>
      <w:r w:rsidR="005F6A31">
        <w:rPr>
          <w:rFonts w:ascii="Sylfaen" w:hAnsi="Sylfaen"/>
          <w:sz w:val="24"/>
          <w:szCs w:val="24"/>
        </w:rPr>
        <w:t>հայտնի</w:t>
      </w:r>
      <w:r w:rsidR="006F76EB" w:rsidRPr="00834D52">
        <w:rPr>
          <w:rFonts w:ascii="Sylfaen" w:hAnsi="Sylfaen"/>
          <w:sz w:val="24"/>
          <w:szCs w:val="24"/>
        </w:rPr>
        <w:t xml:space="preserve"> ԱԴԲ-ն</w:t>
      </w:r>
    </w:p>
    <w:p w14:paraId="4AA3F5C8"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ԱԴԲ-ի վերաբերյալ տեղեկություններ կան</w:t>
      </w:r>
    </w:p>
    <w:p w14:paraId="0F18C7CF" w14:textId="77777777" w:rsidR="006F76EB" w:rsidRPr="00834D52" w:rsidRDefault="006F76EB" w:rsidP="005A5E5E">
      <w:pPr>
        <w:spacing w:after="160" w:line="480" w:lineRule="auto"/>
        <w:ind w:right="-6" w:firstLine="567"/>
        <w:jc w:val="both"/>
        <w:rPr>
          <w:rFonts w:ascii="Sylfaen" w:eastAsia="Times New Roman" w:hAnsi="Sylfaen" w:cs="Times New Roman"/>
          <w:sz w:val="24"/>
          <w:szCs w:val="24"/>
        </w:rPr>
      </w:pPr>
    </w:p>
    <w:p w14:paraId="44B614FC"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EB7D0FE">
          <v:rect id="_x0000_s1031" style="position:absolute;left:0;text-align:left;margin-left:96.75pt;margin-top:2.9pt;width:12.75pt;height:12pt;z-index:251522560"/>
        </w:pict>
      </w:r>
      <w:r w:rsidR="006F76EB" w:rsidRPr="00834D52">
        <w:rPr>
          <w:rFonts w:ascii="Sylfaen" w:hAnsi="Sylfaen"/>
          <w:sz w:val="24"/>
          <w:szCs w:val="24"/>
        </w:rPr>
        <w:t>ՎԵՐԱՐՏԱԴՐՎԱԾ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3377"/>
        <w:gridCol w:w="510"/>
        <w:gridCol w:w="4798"/>
      </w:tblGrid>
      <w:tr w:rsidR="006F76EB" w:rsidRPr="00834D52" w14:paraId="656CC7B3" w14:textId="77777777" w:rsidTr="00F71229">
        <w:trPr>
          <w:jc w:val="center"/>
        </w:trPr>
        <w:tc>
          <w:tcPr>
            <w:tcW w:w="601" w:type="dxa"/>
          </w:tcPr>
          <w:p w14:paraId="184FD7A6" w14:textId="77777777" w:rsidR="006F76EB" w:rsidRPr="00834D52" w:rsidRDefault="00FC294A" w:rsidP="00F71229">
            <w:pPr>
              <w:spacing w:after="160" w:line="360" w:lineRule="auto"/>
              <w:ind w:right="-8"/>
              <w:rPr>
                <w:rFonts w:ascii="Sylfaen" w:eastAsia="Times New Roman" w:hAnsi="Sylfaen" w:cs="Times New Roman"/>
                <w:sz w:val="24"/>
                <w:szCs w:val="24"/>
              </w:rPr>
            </w:pPr>
            <w:r>
              <w:rPr>
                <w:rFonts w:ascii="Sylfaen" w:hAnsi="Sylfaen"/>
                <w:noProof/>
                <w:sz w:val="24"/>
                <w:szCs w:val="24"/>
              </w:rPr>
              <w:pict w14:anchorId="3CD95B05">
                <v:rect id="_x0000_s1032" style="position:absolute;margin-left:3pt;margin-top:4.65pt;width:12.75pt;height:12pt;z-index:251523584"/>
              </w:pict>
            </w:r>
          </w:p>
        </w:tc>
        <w:tc>
          <w:tcPr>
            <w:tcW w:w="3377" w:type="dxa"/>
          </w:tcPr>
          <w:p w14:paraId="4A10B573"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միաբաղադրիչ</w:t>
            </w:r>
          </w:p>
        </w:tc>
        <w:tc>
          <w:tcPr>
            <w:tcW w:w="510" w:type="dxa"/>
          </w:tcPr>
          <w:p w14:paraId="7E0DD4D1" w14:textId="77777777" w:rsidR="006F76EB" w:rsidRPr="00834D52" w:rsidRDefault="00FC294A" w:rsidP="00F71229">
            <w:pPr>
              <w:spacing w:after="160" w:line="360" w:lineRule="auto"/>
              <w:ind w:right="-8"/>
              <w:rPr>
                <w:rFonts w:ascii="Sylfaen" w:eastAsia="Times New Roman" w:hAnsi="Sylfaen" w:cs="Times New Roman"/>
                <w:sz w:val="24"/>
                <w:szCs w:val="24"/>
              </w:rPr>
            </w:pPr>
            <w:r>
              <w:rPr>
                <w:rFonts w:ascii="Sylfaen" w:eastAsia="Times New Roman" w:hAnsi="Sylfaen" w:cs="Times New Roman"/>
                <w:noProof/>
                <w:sz w:val="24"/>
                <w:szCs w:val="24"/>
              </w:rPr>
              <w:pict w14:anchorId="798591E0">
                <v:rect id="_x0000_s1033" style="position:absolute;margin-left:-.55pt;margin-top:4.65pt;width:12.75pt;height:12pt;z-index:251524608;mso-position-horizontal-relative:text;mso-position-vertical-relative:text"/>
              </w:pict>
            </w:r>
          </w:p>
        </w:tc>
        <w:tc>
          <w:tcPr>
            <w:tcW w:w="4798" w:type="dxa"/>
          </w:tcPr>
          <w:p w14:paraId="73AA402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բազմաբաղադրիչ</w:t>
            </w:r>
          </w:p>
        </w:tc>
      </w:tr>
    </w:tbl>
    <w:p w14:paraId="193617A3" w14:textId="77777777" w:rsidR="006F76EB" w:rsidRPr="00834D52" w:rsidRDefault="006F76EB" w:rsidP="005A5E5E">
      <w:pPr>
        <w:spacing w:after="160" w:line="480" w:lineRule="auto"/>
        <w:ind w:right="-6"/>
        <w:rPr>
          <w:rFonts w:ascii="Sylfaen" w:hAnsi="Sylfaen"/>
          <w:sz w:val="24"/>
          <w:szCs w:val="24"/>
          <w:lang w:val="en-US"/>
        </w:rPr>
      </w:pPr>
    </w:p>
    <w:p w14:paraId="4B359A7C" w14:textId="77777777" w:rsidR="006F76EB" w:rsidRPr="00834D52" w:rsidRDefault="006F76EB" w:rsidP="006F76EB">
      <w:pPr>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9788" w:type="dxa"/>
        <w:jc w:val="center"/>
        <w:tblLayout w:type="fixed"/>
        <w:tblCellMar>
          <w:left w:w="0" w:type="dxa"/>
          <w:right w:w="0" w:type="dxa"/>
        </w:tblCellMar>
        <w:tblLook w:val="01E0" w:firstRow="1" w:lastRow="1" w:firstColumn="1" w:lastColumn="1" w:noHBand="0" w:noVBand="0"/>
      </w:tblPr>
      <w:tblGrid>
        <w:gridCol w:w="5518"/>
        <w:gridCol w:w="4270"/>
      </w:tblGrid>
      <w:tr w:rsidR="006F76EB" w:rsidRPr="00834D52" w14:paraId="2142B165"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627471D1"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70" w:type="dxa"/>
            <w:tcBorders>
              <w:top w:val="single" w:sz="4" w:space="0" w:color="000000"/>
              <w:left w:val="single" w:sz="4" w:space="0" w:color="000000"/>
              <w:bottom w:val="single" w:sz="4" w:space="0" w:color="000000"/>
              <w:right w:val="single" w:sz="4" w:space="0" w:color="000000"/>
            </w:tcBorders>
          </w:tcPr>
          <w:p w14:paraId="283F58E9" w14:textId="77777777" w:rsidR="006F76EB" w:rsidRPr="00834D52" w:rsidRDefault="006F76EB" w:rsidP="007040C0">
            <w:pPr>
              <w:spacing w:after="120" w:line="240" w:lineRule="auto"/>
              <w:ind w:right="-8"/>
              <w:rPr>
                <w:rFonts w:ascii="Sylfaen" w:hAnsi="Sylfaen"/>
                <w:sz w:val="24"/>
                <w:szCs w:val="24"/>
              </w:rPr>
            </w:pPr>
          </w:p>
        </w:tc>
      </w:tr>
      <w:tr w:rsidR="006F76EB" w:rsidRPr="00834D52" w14:paraId="61D16C03" w14:textId="77777777" w:rsidTr="00F71229">
        <w:trPr>
          <w:jc w:val="center"/>
        </w:trPr>
        <w:tc>
          <w:tcPr>
            <w:tcW w:w="5518" w:type="dxa"/>
            <w:tcBorders>
              <w:top w:val="single" w:sz="4" w:space="0" w:color="000000"/>
              <w:left w:val="single" w:sz="4" w:space="0" w:color="000000"/>
              <w:bottom w:val="single" w:sz="4" w:space="0" w:color="000000"/>
              <w:right w:val="single" w:sz="4" w:space="0" w:color="000000"/>
            </w:tcBorders>
          </w:tcPr>
          <w:p w14:paraId="169C45DD" w14:textId="77777777" w:rsidR="006F76EB" w:rsidRPr="00834D52" w:rsidRDefault="006F76EB" w:rsidP="007040C0">
            <w:pPr>
              <w:spacing w:after="120" w:line="240" w:lineRule="auto"/>
              <w:ind w:left="180" w:right="61"/>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w:t>
            </w:r>
            <w:r w:rsidRPr="00834D52">
              <w:rPr>
                <w:rFonts w:ascii="Sylfaen" w:hAnsi="Sylfaen"/>
                <w:sz w:val="24"/>
                <w:szCs w:val="24"/>
              </w:rPr>
              <w:lastRenderedPageBreak/>
              <w:t>անդամ պետությունները, որտեղ գրանցվել է օրիգինալ դեղապատրաստուկը</w:t>
            </w:r>
          </w:p>
        </w:tc>
        <w:tc>
          <w:tcPr>
            <w:tcW w:w="4270" w:type="dxa"/>
            <w:tcBorders>
              <w:top w:val="single" w:sz="4" w:space="0" w:color="000000"/>
              <w:left w:val="single" w:sz="4" w:space="0" w:color="000000"/>
              <w:bottom w:val="single" w:sz="4" w:space="0" w:color="000000"/>
              <w:right w:val="single" w:sz="4" w:space="0" w:color="000000"/>
            </w:tcBorders>
          </w:tcPr>
          <w:p w14:paraId="0430DE6B" w14:textId="77777777" w:rsidR="006F76EB" w:rsidRPr="00834D52" w:rsidRDefault="006F76EB" w:rsidP="007040C0">
            <w:pPr>
              <w:spacing w:after="120" w:line="240" w:lineRule="auto"/>
              <w:ind w:right="-8"/>
              <w:rPr>
                <w:rFonts w:ascii="Sylfaen" w:hAnsi="Sylfaen"/>
                <w:sz w:val="24"/>
                <w:szCs w:val="24"/>
              </w:rPr>
            </w:pPr>
          </w:p>
        </w:tc>
      </w:tr>
    </w:tbl>
    <w:p w14:paraId="3A299152" w14:textId="77777777" w:rsidR="006F76EB" w:rsidRPr="00834D52" w:rsidRDefault="0032680A" w:rsidP="006F76EB">
      <w:pPr>
        <w:spacing w:after="160" w:line="348" w:lineRule="auto"/>
        <w:ind w:right="-8" w:firstLine="567"/>
        <w:jc w:val="both"/>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bl>
      <w:tblPr>
        <w:tblStyle w:val="TableGrid"/>
        <w:tblW w:w="9785" w:type="dxa"/>
        <w:jc w:val="center"/>
        <w:tblLook w:val="04A0" w:firstRow="1" w:lastRow="0" w:firstColumn="1" w:lastColumn="0" w:noHBand="0" w:noVBand="1"/>
      </w:tblPr>
      <w:tblGrid>
        <w:gridCol w:w="5544"/>
        <w:gridCol w:w="4241"/>
      </w:tblGrid>
      <w:tr w:rsidR="006F76EB" w:rsidRPr="00834D52" w14:paraId="6183EEF5" w14:textId="77777777" w:rsidTr="00F71229">
        <w:trPr>
          <w:jc w:val="center"/>
        </w:trPr>
        <w:tc>
          <w:tcPr>
            <w:tcW w:w="5544" w:type="dxa"/>
          </w:tcPr>
          <w:p w14:paraId="67B8D5A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241" w:type="dxa"/>
          </w:tcPr>
          <w:p w14:paraId="38E9197F" w14:textId="77777777" w:rsidR="006F76EB" w:rsidRPr="00834D52" w:rsidRDefault="006F76EB" w:rsidP="00986B92">
            <w:pPr>
              <w:spacing w:after="120"/>
              <w:ind w:right="-6"/>
              <w:rPr>
                <w:rFonts w:ascii="Sylfaen" w:eastAsia="Times New Roman" w:hAnsi="Sylfaen" w:cs="Times New Roman"/>
                <w:sz w:val="24"/>
                <w:szCs w:val="24"/>
              </w:rPr>
            </w:pPr>
          </w:p>
        </w:tc>
      </w:tr>
      <w:tr w:rsidR="006F76EB" w:rsidRPr="00834D52" w14:paraId="3DDCD8CA" w14:textId="77777777" w:rsidTr="00F71229">
        <w:trPr>
          <w:jc w:val="center"/>
        </w:trPr>
        <w:tc>
          <w:tcPr>
            <w:tcW w:w="5544" w:type="dxa"/>
          </w:tcPr>
          <w:p w14:paraId="1D731455"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գրանցվել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4241" w:type="dxa"/>
          </w:tcPr>
          <w:p w14:paraId="62DFC6DC" w14:textId="77777777" w:rsidR="006F76EB" w:rsidRPr="00834D52" w:rsidRDefault="006F76EB" w:rsidP="00986B92">
            <w:pPr>
              <w:spacing w:after="120"/>
              <w:ind w:right="-6"/>
              <w:rPr>
                <w:rFonts w:ascii="Sylfaen" w:hAnsi="Sylfaen"/>
                <w:sz w:val="24"/>
                <w:szCs w:val="24"/>
              </w:rPr>
            </w:pPr>
          </w:p>
        </w:tc>
      </w:tr>
      <w:tr w:rsidR="006F76EB" w:rsidRPr="00834D52" w14:paraId="0096F623" w14:textId="77777777" w:rsidTr="00F71229">
        <w:trPr>
          <w:jc w:val="center"/>
        </w:trPr>
        <w:tc>
          <w:tcPr>
            <w:tcW w:w="5544" w:type="dxa"/>
          </w:tcPr>
          <w:p w14:paraId="5C758251" w14:textId="77777777" w:rsidR="006F76EB" w:rsidRPr="00834D52" w:rsidRDefault="006F76EB" w:rsidP="00986B92">
            <w:pPr>
              <w:spacing w:after="120"/>
              <w:ind w:left="86" w:right="-6"/>
              <w:rPr>
                <w:rFonts w:ascii="Sylfaen" w:eastAsia="Times New Roman" w:hAnsi="Sylfaen" w:cs="Times New Roman"/>
                <w:sz w:val="24"/>
                <w:szCs w:val="24"/>
              </w:rPr>
            </w:pPr>
            <w:r w:rsidRPr="00834D52">
              <w:rPr>
                <w:rFonts w:ascii="Sylfaen" w:hAnsi="Sylfaen"/>
                <w:sz w:val="24"/>
                <w:szCs w:val="24"/>
              </w:rPr>
              <w:t xml:space="preserve">բերել </w:t>
            </w:r>
            <w:r w:rsidR="0032680A">
              <w:rPr>
                <w:rFonts w:ascii="Sylfaen" w:hAnsi="Sylfaen"/>
                <w:sz w:val="24"/>
                <w:szCs w:val="24"/>
              </w:rPr>
              <w:t xml:space="preserve">ռեֆերենտ </w:t>
            </w:r>
            <w:r w:rsidRPr="00834D52">
              <w:rPr>
                <w:rFonts w:ascii="Sylfaen" w:hAnsi="Sylfaen"/>
                <w:sz w:val="24"/>
                <w:szCs w:val="24"/>
              </w:rPr>
              <w:t>պատրաստուկի օգտագործման հիմնավորումներ դրա՝ օրիգինալ պատրաստուկից տարբերվելու դեպքում</w:t>
            </w:r>
          </w:p>
        </w:tc>
        <w:tc>
          <w:tcPr>
            <w:tcW w:w="4241" w:type="dxa"/>
          </w:tcPr>
          <w:p w14:paraId="23153B76" w14:textId="77777777" w:rsidR="006F76EB" w:rsidRPr="00834D52" w:rsidRDefault="006F76EB" w:rsidP="00986B92">
            <w:pPr>
              <w:spacing w:after="120"/>
              <w:ind w:right="-6"/>
              <w:rPr>
                <w:rFonts w:ascii="Sylfaen" w:hAnsi="Sylfaen"/>
                <w:sz w:val="24"/>
                <w:szCs w:val="24"/>
              </w:rPr>
            </w:pPr>
          </w:p>
        </w:tc>
      </w:tr>
      <w:tr w:rsidR="006F76EB" w:rsidRPr="00834D52" w14:paraId="2B91F158" w14:textId="77777777" w:rsidTr="00F71229">
        <w:trPr>
          <w:jc w:val="center"/>
        </w:trPr>
        <w:tc>
          <w:tcPr>
            <w:tcW w:w="5544" w:type="dxa"/>
          </w:tcPr>
          <w:p w14:paraId="3A6D4F24" w14:textId="77777777" w:rsidR="006F76EB" w:rsidRPr="00834D52" w:rsidRDefault="0032680A" w:rsidP="00986B92">
            <w:pPr>
              <w:spacing w:after="120"/>
              <w:ind w:left="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4241" w:type="dxa"/>
          </w:tcPr>
          <w:p w14:paraId="0E81FB4A" w14:textId="77777777" w:rsidR="006F76EB" w:rsidRPr="00834D52" w:rsidRDefault="006F76EB" w:rsidP="00986B92">
            <w:pPr>
              <w:spacing w:after="120"/>
              <w:ind w:right="-6"/>
              <w:rPr>
                <w:rFonts w:ascii="Sylfaen" w:hAnsi="Sylfaen"/>
                <w:sz w:val="24"/>
                <w:szCs w:val="24"/>
              </w:rPr>
            </w:pPr>
          </w:p>
        </w:tc>
      </w:tr>
    </w:tbl>
    <w:p w14:paraId="18E47DEF" w14:textId="77777777" w:rsidR="006F76EB" w:rsidRPr="00834D52" w:rsidRDefault="006F76EB" w:rsidP="006F76EB">
      <w:pPr>
        <w:spacing w:after="160" w:line="348" w:lineRule="auto"/>
        <w:ind w:right="-6"/>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6982"/>
      </w:tblGrid>
      <w:tr w:rsidR="006F76EB" w:rsidRPr="00834D52" w14:paraId="7C69682F" w14:textId="77777777" w:rsidTr="00644138">
        <w:trPr>
          <w:jc w:val="center"/>
        </w:trPr>
        <w:tc>
          <w:tcPr>
            <w:tcW w:w="2318" w:type="dxa"/>
          </w:tcPr>
          <w:p w14:paraId="10BFFFCF"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Ծանոթագրություն:</w:t>
            </w:r>
          </w:p>
        </w:tc>
        <w:tc>
          <w:tcPr>
            <w:tcW w:w="6982" w:type="dxa"/>
          </w:tcPr>
          <w:p w14:paraId="30C574B4" w14:textId="7777777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1.</w:t>
            </w:r>
            <w:r w:rsidRPr="007F5A60">
              <w:rPr>
                <w:rFonts w:ascii="Sylfaen" w:hAnsi="Sylfaen"/>
                <w:sz w:val="24"/>
                <w:szCs w:val="24"/>
              </w:rPr>
              <w:tab/>
            </w:r>
            <w:r w:rsidR="006F76EB" w:rsidRPr="00834D52">
              <w:rPr>
                <w:rFonts w:ascii="Sylfaen" w:hAnsi="Sylfaen"/>
                <w:sz w:val="24"/>
                <w:szCs w:val="24"/>
              </w:rPr>
              <w:t>Բաժինն անհրաժեշտ է լրացնել յուրաքանչյուր դեղապատրաստուկի համար, որն օգտագործվել է համարժեքության հետազոտություններում:</w:t>
            </w:r>
          </w:p>
          <w:p w14:paraId="221AE254" w14:textId="455C94E7" w:rsidR="006F76EB" w:rsidRPr="00834D52" w:rsidRDefault="00986B92" w:rsidP="00986B92">
            <w:pPr>
              <w:tabs>
                <w:tab w:val="left" w:pos="801"/>
              </w:tabs>
              <w:spacing w:after="160" w:line="336" w:lineRule="auto"/>
              <w:ind w:right="-6"/>
              <w:jc w:val="both"/>
              <w:rPr>
                <w:rFonts w:ascii="Sylfaen" w:eastAsia="Times New Roman" w:hAnsi="Sylfaen" w:cs="Times New Roman"/>
                <w:sz w:val="24"/>
                <w:szCs w:val="24"/>
              </w:rPr>
            </w:pPr>
            <w:r>
              <w:rPr>
                <w:rFonts w:ascii="Sylfaen" w:hAnsi="Sylfaen"/>
                <w:sz w:val="24"/>
                <w:szCs w:val="24"/>
              </w:rPr>
              <w:t>2.</w:t>
            </w:r>
            <w:r w:rsidRPr="00986B92">
              <w:rPr>
                <w:rFonts w:ascii="Sylfaen" w:hAnsi="Sylfaen"/>
                <w:sz w:val="24"/>
                <w:szCs w:val="24"/>
              </w:rPr>
              <w:tab/>
            </w:r>
            <w:r w:rsidR="0056496B">
              <w:rPr>
                <w:rFonts w:ascii="Sylfaen" w:hAnsi="Sylfaen"/>
                <w:sz w:val="24"/>
                <w:szCs w:val="24"/>
              </w:rPr>
              <w:t>Դիմում</w:t>
            </w:r>
            <w:r w:rsidR="006F76EB" w:rsidRPr="00834D52">
              <w:rPr>
                <w:rFonts w:ascii="Sylfaen" w:hAnsi="Sylfaen"/>
                <w:sz w:val="24"/>
                <w:szCs w:val="24"/>
              </w:rPr>
              <w:t>ը լրացնելիս «օրիգինալ պատրաստուկ» դաշտում նշվում է տեղեկատվություն այն օրիգինալ պատրաստուկի մասին, որի վերարտադրված կրկնօրինակը տվյալ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մասին, որն օգտագործվել է համարժեքությունը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72CED1B3" w14:textId="77777777" w:rsidR="006F76EB" w:rsidRPr="00834D52" w:rsidRDefault="00FC294A" w:rsidP="00644138">
      <w:pPr>
        <w:spacing w:after="160" w:line="360" w:lineRule="auto"/>
        <w:ind w:left="567" w:right="579"/>
        <w:jc w:val="center"/>
        <w:rPr>
          <w:rFonts w:ascii="Sylfaen" w:eastAsia="Times New Roman" w:hAnsi="Sylfaen" w:cs="Times New Roman"/>
          <w:sz w:val="24"/>
          <w:szCs w:val="24"/>
        </w:rPr>
      </w:pPr>
      <w:r>
        <w:rPr>
          <w:rFonts w:ascii="Sylfaen" w:hAnsi="Sylfaen"/>
          <w:noProof/>
          <w:sz w:val="24"/>
          <w:szCs w:val="24"/>
        </w:rPr>
        <w:lastRenderedPageBreak/>
        <w:pict w14:anchorId="143A2E05">
          <v:rect id="_x0000_s1034" style="position:absolute;left:0;text-align:left;margin-left:47.6pt;margin-top:2.45pt;width:12.75pt;height:12pt;z-index:251525632;mso-position-horizontal-relative:text;mso-position-vertical-relative:text"/>
        </w:pict>
      </w:r>
      <w:r w:rsidR="006F76EB" w:rsidRPr="00834D52">
        <w:rPr>
          <w:rFonts w:ascii="Sylfaen" w:hAnsi="Sylfaen" w:cs="Sylfaen"/>
          <w:sz w:val="24"/>
          <w:szCs w:val="24"/>
        </w:rPr>
        <w:t>ԿԵՆՍԱՆՄԱՆ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ԿԵՆՍԱՆՄԱՆԱԿ</w:t>
      </w:r>
      <w:r w:rsidR="006F76EB" w:rsidRPr="00834D52">
        <w:rPr>
          <w:rFonts w:ascii="Sylfaen" w:hAnsi="Sylfaen"/>
          <w:sz w:val="24"/>
          <w:szCs w:val="24"/>
        </w:rPr>
        <w:t>)</w:t>
      </w:r>
    </w:p>
    <w:p w14:paraId="034FBF5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10065" w:type="dxa"/>
        <w:jc w:val="center"/>
        <w:tblLayout w:type="fixed"/>
        <w:tblCellMar>
          <w:left w:w="0" w:type="dxa"/>
          <w:right w:w="0" w:type="dxa"/>
        </w:tblCellMar>
        <w:tblLook w:val="01E0" w:firstRow="1" w:lastRow="1" w:firstColumn="1" w:lastColumn="1" w:noHBand="0" w:noVBand="0"/>
      </w:tblPr>
      <w:tblGrid>
        <w:gridCol w:w="4977"/>
        <w:gridCol w:w="5088"/>
      </w:tblGrid>
      <w:tr w:rsidR="006F76EB" w:rsidRPr="00834D52" w14:paraId="303DD337"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256BEAB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088" w:type="dxa"/>
            <w:tcBorders>
              <w:top w:val="single" w:sz="4" w:space="0" w:color="000000"/>
              <w:left w:val="single" w:sz="4" w:space="0" w:color="000000"/>
              <w:bottom w:val="single" w:sz="4" w:space="0" w:color="000000"/>
              <w:right w:val="single" w:sz="4" w:space="0" w:color="000000"/>
            </w:tcBorders>
          </w:tcPr>
          <w:p w14:paraId="3818F362" w14:textId="77777777" w:rsidR="006F76EB" w:rsidRPr="00834D52" w:rsidRDefault="006F76EB" w:rsidP="00644138">
            <w:pPr>
              <w:spacing w:after="120" w:line="240" w:lineRule="auto"/>
              <w:ind w:right="-6"/>
              <w:rPr>
                <w:rFonts w:ascii="Sylfaen" w:hAnsi="Sylfaen"/>
                <w:sz w:val="24"/>
                <w:szCs w:val="24"/>
              </w:rPr>
            </w:pPr>
          </w:p>
        </w:tc>
      </w:tr>
      <w:tr w:rsidR="006F76EB" w:rsidRPr="00834D52" w14:paraId="25652D50"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4EDCABF0"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r w:rsidRPr="00834D52">
              <w:rPr>
                <w:rFonts w:ascii="Sylfaen" w:hAnsi="Sylfaen"/>
                <w:sz w:val="24"/>
                <w:szCs w:val="24"/>
              </w:rPr>
              <w:br/>
              <w:t>(այն ընկերությունը, որի անունով տրվել է գրանցման հավաստագիրը), գրանցման</w:t>
            </w:r>
          </w:p>
        </w:tc>
        <w:tc>
          <w:tcPr>
            <w:tcW w:w="5088" w:type="dxa"/>
            <w:tcBorders>
              <w:top w:val="single" w:sz="4" w:space="0" w:color="000000"/>
              <w:left w:val="single" w:sz="4" w:space="0" w:color="000000"/>
              <w:bottom w:val="single" w:sz="4" w:space="0" w:color="000000"/>
              <w:right w:val="single" w:sz="4" w:space="0" w:color="000000"/>
            </w:tcBorders>
          </w:tcPr>
          <w:p w14:paraId="02BCF08E" w14:textId="77777777" w:rsidR="006F76EB" w:rsidRPr="00834D52" w:rsidRDefault="006F76EB" w:rsidP="00644138">
            <w:pPr>
              <w:spacing w:after="120" w:line="240" w:lineRule="auto"/>
              <w:ind w:right="-6"/>
              <w:rPr>
                <w:rFonts w:ascii="Sylfaen" w:hAnsi="Sylfaen"/>
                <w:sz w:val="24"/>
                <w:szCs w:val="24"/>
              </w:rPr>
            </w:pPr>
          </w:p>
        </w:tc>
      </w:tr>
      <w:tr w:rsidR="006F76EB" w:rsidRPr="00834D52" w14:paraId="3F5F714B" w14:textId="77777777" w:rsidTr="00A5746F">
        <w:trPr>
          <w:jc w:val="center"/>
        </w:trPr>
        <w:tc>
          <w:tcPr>
            <w:tcW w:w="4977" w:type="dxa"/>
            <w:tcBorders>
              <w:top w:val="single" w:sz="4" w:space="0" w:color="000000"/>
              <w:left w:val="single" w:sz="4" w:space="0" w:color="000000"/>
              <w:bottom w:val="single" w:sz="4" w:space="0" w:color="000000"/>
              <w:right w:val="single" w:sz="4" w:space="0" w:color="000000"/>
            </w:tcBorders>
          </w:tcPr>
          <w:p w14:paraId="3588129C" w14:textId="77777777" w:rsidR="006F76EB" w:rsidRPr="00834D52" w:rsidRDefault="006F76EB" w:rsidP="00644138">
            <w:pPr>
              <w:spacing w:after="120" w:line="240" w:lineRule="auto"/>
              <w:ind w:left="191" w:right="-6"/>
              <w:rPr>
                <w:rFonts w:ascii="Sylfaen" w:eastAsia="Times New Roman" w:hAnsi="Sylfaen" w:cs="Times New Roman"/>
                <w:sz w:val="24"/>
                <w:szCs w:val="24"/>
              </w:rPr>
            </w:pPr>
            <w:r w:rsidRPr="00834D52">
              <w:rPr>
                <w:rFonts w:ascii="Sylfaen" w:hAnsi="Sylfaen"/>
                <w:sz w:val="24"/>
                <w:szCs w:val="24"/>
              </w:rPr>
              <w:t>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088" w:type="dxa"/>
            <w:tcBorders>
              <w:top w:val="single" w:sz="4" w:space="0" w:color="000000"/>
              <w:left w:val="single" w:sz="4" w:space="0" w:color="000000"/>
              <w:bottom w:val="single" w:sz="4" w:space="0" w:color="000000"/>
              <w:right w:val="single" w:sz="4" w:space="0" w:color="000000"/>
            </w:tcBorders>
          </w:tcPr>
          <w:p w14:paraId="403EAC29" w14:textId="77777777" w:rsidR="006F76EB" w:rsidRPr="00834D52" w:rsidRDefault="006F76EB" w:rsidP="00644138">
            <w:pPr>
              <w:spacing w:after="120" w:line="240" w:lineRule="auto"/>
              <w:ind w:right="-6"/>
              <w:rPr>
                <w:rFonts w:ascii="Sylfaen" w:hAnsi="Sylfaen"/>
                <w:sz w:val="24"/>
                <w:szCs w:val="24"/>
              </w:rPr>
            </w:pPr>
          </w:p>
        </w:tc>
      </w:tr>
    </w:tbl>
    <w:p w14:paraId="4B8A2043" w14:textId="77777777" w:rsidR="006F76EB" w:rsidRPr="00834D52" w:rsidRDefault="0032680A" w:rsidP="006F76EB">
      <w:pPr>
        <w:spacing w:after="160" w:line="360" w:lineRule="auto"/>
        <w:ind w:right="-6" w:firstLine="567"/>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w:t>
      </w:r>
    </w:p>
    <w:tbl>
      <w:tblPr>
        <w:tblStyle w:val="TableGrid"/>
        <w:tblW w:w="10161" w:type="dxa"/>
        <w:jc w:val="center"/>
        <w:tblLayout w:type="fixed"/>
        <w:tblLook w:val="04A0" w:firstRow="1" w:lastRow="0" w:firstColumn="1" w:lastColumn="0" w:noHBand="0" w:noVBand="1"/>
      </w:tblPr>
      <w:tblGrid>
        <w:gridCol w:w="4916"/>
        <w:gridCol w:w="5245"/>
      </w:tblGrid>
      <w:tr w:rsidR="006F76EB" w:rsidRPr="00834D52" w14:paraId="59FF25B0" w14:textId="77777777" w:rsidTr="00F71229">
        <w:trPr>
          <w:jc w:val="center"/>
        </w:trPr>
        <w:tc>
          <w:tcPr>
            <w:tcW w:w="4916" w:type="dxa"/>
          </w:tcPr>
          <w:p w14:paraId="0D049843"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245" w:type="dxa"/>
          </w:tcPr>
          <w:p w14:paraId="045207BA"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0BEE2685" w14:textId="77777777" w:rsidTr="00F71229">
        <w:trPr>
          <w:jc w:val="center"/>
        </w:trPr>
        <w:tc>
          <w:tcPr>
            <w:tcW w:w="4916" w:type="dxa"/>
          </w:tcPr>
          <w:p w14:paraId="2C55B6D7" w14:textId="77777777" w:rsidR="006F76EB" w:rsidRPr="00834D52" w:rsidRDefault="006F76EB" w:rsidP="00BE625D">
            <w:pPr>
              <w:spacing w:after="120"/>
              <w:ind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տնտեսական միության այն անդամ պետությունները, որտեղ գրանցված է </w:t>
            </w:r>
            <w:r w:rsidR="0032680A">
              <w:rPr>
                <w:rFonts w:ascii="Sylfaen" w:hAnsi="Sylfaen"/>
                <w:sz w:val="24"/>
                <w:szCs w:val="24"/>
              </w:rPr>
              <w:t xml:space="preserve">ռեֆերենտ </w:t>
            </w:r>
            <w:r w:rsidRPr="00834D52">
              <w:rPr>
                <w:rFonts w:ascii="Sylfaen" w:hAnsi="Sylfaen"/>
                <w:sz w:val="24"/>
                <w:szCs w:val="24"/>
              </w:rPr>
              <w:t>դեղապատրաստուկը</w:t>
            </w:r>
          </w:p>
        </w:tc>
        <w:tc>
          <w:tcPr>
            <w:tcW w:w="5245" w:type="dxa"/>
          </w:tcPr>
          <w:p w14:paraId="6F543124"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51341AF4" w14:textId="77777777" w:rsidTr="00F71229">
        <w:trPr>
          <w:jc w:val="center"/>
        </w:trPr>
        <w:tc>
          <w:tcPr>
            <w:tcW w:w="4916" w:type="dxa"/>
          </w:tcPr>
          <w:p w14:paraId="4A487A48"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դեղապատրաստուկի ընտրության վերաբերյալ Դեղամիջոցների հարցերով փորձագիտական կոմիտեի առաջարկությունների առկայությունը</w:t>
            </w:r>
          </w:p>
        </w:tc>
        <w:tc>
          <w:tcPr>
            <w:tcW w:w="5245" w:type="dxa"/>
          </w:tcPr>
          <w:p w14:paraId="5987FE50" w14:textId="77777777" w:rsidR="006F76EB" w:rsidRPr="00834D52" w:rsidRDefault="006F76EB" w:rsidP="00BE625D">
            <w:pPr>
              <w:spacing w:after="120"/>
              <w:ind w:right="-8"/>
              <w:rPr>
                <w:rFonts w:ascii="Sylfaen" w:eastAsia="Times New Roman" w:hAnsi="Sylfaen" w:cs="Times New Roman"/>
                <w:sz w:val="24"/>
                <w:szCs w:val="24"/>
              </w:rPr>
            </w:pPr>
          </w:p>
        </w:tc>
      </w:tr>
      <w:tr w:rsidR="006F76EB" w:rsidRPr="00834D52" w14:paraId="736B1ED6" w14:textId="77777777" w:rsidTr="00F71229">
        <w:trPr>
          <w:trHeight w:val="482"/>
          <w:jc w:val="center"/>
        </w:trPr>
        <w:tc>
          <w:tcPr>
            <w:tcW w:w="4916" w:type="dxa"/>
            <w:vMerge w:val="restart"/>
          </w:tcPr>
          <w:p w14:paraId="56FADEF4" w14:textId="77777777" w:rsidR="006F76EB" w:rsidRPr="00834D52" w:rsidRDefault="0032680A" w:rsidP="00BE625D">
            <w:pPr>
              <w:spacing w:after="120"/>
              <w:ind w:right="-8"/>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կենսաբանական դեղապատրաստուկի համեմատ տարբերությունները (եթե առկա են)՝</w:t>
            </w:r>
          </w:p>
        </w:tc>
        <w:tc>
          <w:tcPr>
            <w:tcW w:w="5245" w:type="dxa"/>
            <w:vAlign w:val="center"/>
          </w:tcPr>
          <w:p w14:paraId="71480816" w14:textId="77777777" w:rsidR="006F76EB" w:rsidRPr="00834D52" w:rsidRDefault="00FC294A" w:rsidP="00BE625D">
            <w:pPr>
              <w:spacing w:after="120"/>
              <w:ind w:left="459" w:right="-8"/>
              <w:rPr>
                <w:rFonts w:ascii="Sylfaen" w:eastAsia="Times New Roman" w:hAnsi="Sylfaen" w:cs="Times New Roman"/>
                <w:sz w:val="24"/>
                <w:szCs w:val="24"/>
              </w:rPr>
            </w:pPr>
            <w:r>
              <w:rPr>
                <w:rFonts w:ascii="Sylfaen" w:hAnsi="Sylfaen"/>
                <w:noProof/>
                <w:sz w:val="24"/>
                <w:szCs w:val="24"/>
              </w:rPr>
              <w:pict w14:anchorId="1704422C">
                <v:rect id="_x0000_s1035" style="position:absolute;left:0;text-align:left;margin-left:2.9pt;margin-top:2.55pt;width:12.75pt;height:12pt;z-index:251526656;mso-position-horizontal-relative:text;mso-position-vertical-relative:text"/>
              </w:pict>
            </w:r>
            <w:r w:rsidR="006F76EB" w:rsidRPr="00834D52">
              <w:rPr>
                <w:rFonts w:ascii="Sylfaen" w:hAnsi="Sylfaen" w:cs="Sylfaen"/>
                <w:sz w:val="24"/>
                <w:szCs w:val="24"/>
              </w:rPr>
              <w:t>ելանյութերի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65DCBA83" w14:textId="77777777" w:rsidTr="00F71229">
        <w:trPr>
          <w:trHeight w:val="482"/>
          <w:jc w:val="center"/>
        </w:trPr>
        <w:tc>
          <w:tcPr>
            <w:tcW w:w="4916" w:type="dxa"/>
            <w:vMerge/>
          </w:tcPr>
          <w:p w14:paraId="6F8AF8D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1794F1C" w14:textId="77777777" w:rsidR="006F76EB" w:rsidRPr="00834D52" w:rsidRDefault="00FC294A"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196B48FC">
                <v:rect id="_x0000_s1036" style="position:absolute;left:0;text-align:left;margin-left:3.75pt;margin-top:5.35pt;width:12.75pt;height:12pt;z-index:251527680;mso-position-horizontal-relative:text;mso-position-vertical-relative:text"/>
              </w:pict>
            </w:r>
            <w:r w:rsidR="006F76EB" w:rsidRPr="00834D52">
              <w:rPr>
                <w:rFonts w:ascii="Sylfaen" w:hAnsi="Sylfaen" w:cs="Sylfaen"/>
                <w:sz w:val="24"/>
                <w:szCs w:val="24"/>
              </w:rPr>
              <w:t>արտադրական</w:t>
            </w:r>
            <w:r w:rsidR="006F76EB" w:rsidRPr="00834D52">
              <w:rPr>
                <w:rFonts w:ascii="Sylfaen" w:hAnsi="Sylfaen"/>
                <w:sz w:val="24"/>
                <w:szCs w:val="24"/>
              </w:rPr>
              <w:t xml:space="preserve"> </w:t>
            </w:r>
            <w:r w:rsidR="006F76EB" w:rsidRPr="00834D52">
              <w:rPr>
                <w:rFonts w:ascii="Sylfaen" w:hAnsi="Sylfaen" w:cs="Sylfaen"/>
                <w:sz w:val="24"/>
                <w:szCs w:val="24"/>
              </w:rPr>
              <w:t>գործընթացի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164D827F" w14:textId="77777777" w:rsidTr="00F71229">
        <w:trPr>
          <w:trHeight w:val="482"/>
          <w:jc w:val="center"/>
        </w:trPr>
        <w:tc>
          <w:tcPr>
            <w:tcW w:w="4916" w:type="dxa"/>
            <w:vMerge/>
          </w:tcPr>
          <w:p w14:paraId="5FEC2F85"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2E7EBCB" w14:textId="77777777" w:rsidR="006F76EB" w:rsidRPr="00834D52" w:rsidRDefault="00FC294A"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43DBAB76">
                <v:rect id="_x0000_s1037" style="position:absolute;left:0;text-align:left;margin-left:3.8pt;margin-top:4.95pt;width:12.75pt;height:12pt;z-index:251528704;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ցուցումներ</w:t>
            </w:r>
          </w:p>
        </w:tc>
      </w:tr>
      <w:tr w:rsidR="006F76EB" w:rsidRPr="00834D52" w14:paraId="44B88E91" w14:textId="77777777" w:rsidTr="00F71229">
        <w:trPr>
          <w:trHeight w:val="482"/>
          <w:jc w:val="center"/>
        </w:trPr>
        <w:tc>
          <w:tcPr>
            <w:tcW w:w="4916" w:type="dxa"/>
            <w:vMerge/>
          </w:tcPr>
          <w:p w14:paraId="3693FB03"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66116766" w14:textId="77777777" w:rsidR="006F76EB" w:rsidRPr="00834D52" w:rsidRDefault="00FC294A"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5D4DA562">
                <v:rect id="_x0000_s1038" style="position:absolute;left:0;text-align:left;margin-left:3.95pt;margin-top:6.2pt;width:12.75pt;height:12pt;z-index:251529728;mso-position-horizontal-relative:text;mso-position-vertical-relative:text"/>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p>
        </w:tc>
      </w:tr>
      <w:tr w:rsidR="006F76EB" w:rsidRPr="00834D52" w14:paraId="2A10BB0D" w14:textId="77777777" w:rsidTr="00F71229">
        <w:trPr>
          <w:trHeight w:val="482"/>
          <w:jc w:val="center"/>
        </w:trPr>
        <w:tc>
          <w:tcPr>
            <w:tcW w:w="4916" w:type="dxa"/>
            <w:vMerge/>
          </w:tcPr>
          <w:p w14:paraId="77423AB2"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42D2BFB1" w14:textId="77777777" w:rsidR="006F76EB" w:rsidRPr="00834D52" w:rsidRDefault="00FC294A" w:rsidP="00BE625D">
            <w:pPr>
              <w:spacing w:after="120"/>
              <w:ind w:left="459" w:right="-8"/>
              <w:rPr>
                <w:rFonts w:ascii="Sylfaen" w:eastAsia="Times New Roman" w:hAnsi="Sylfaen" w:cs="Times New Roman"/>
                <w:sz w:val="24"/>
                <w:szCs w:val="24"/>
              </w:rPr>
            </w:pPr>
            <w:r>
              <w:rPr>
                <w:rFonts w:ascii="Sylfaen" w:eastAsia="Times New Roman" w:hAnsi="Sylfaen" w:cs="Times New Roman"/>
                <w:sz w:val="24"/>
                <w:szCs w:val="24"/>
              </w:rPr>
              <w:pict w14:anchorId="06CE8070">
                <v:rect id="_x0000_s1039" style="position:absolute;left:0;text-align:left;margin-left:3.9pt;margin-top:7.25pt;width:12.75pt;height:12pt;z-index:25153075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636F5567" w14:textId="77777777" w:rsidTr="00F71229">
        <w:trPr>
          <w:trHeight w:val="482"/>
          <w:jc w:val="center"/>
        </w:trPr>
        <w:tc>
          <w:tcPr>
            <w:tcW w:w="4916" w:type="dxa"/>
            <w:vMerge/>
          </w:tcPr>
          <w:p w14:paraId="5EE49BB7"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vAlign w:val="center"/>
          </w:tcPr>
          <w:p w14:paraId="0336ABF4" w14:textId="77777777" w:rsidR="006F76EB" w:rsidRPr="00834D52" w:rsidRDefault="00FC294A" w:rsidP="00BE625D">
            <w:pPr>
              <w:spacing w:after="120"/>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3B220861">
                <v:rect id="_x0000_s1040" style="position:absolute;left:0;text-align:left;margin-left:3.75pt;margin-top:3.95pt;width:12.75pt;height:12pt;z-index:251531776;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0E68BE61" w14:textId="77777777" w:rsidTr="00F71229">
        <w:trPr>
          <w:trHeight w:val="482"/>
          <w:jc w:val="center"/>
        </w:trPr>
        <w:tc>
          <w:tcPr>
            <w:tcW w:w="4916" w:type="dxa"/>
            <w:vMerge/>
            <w:tcBorders>
              <w:bottom w:val="single" w:sz="4" w:space="0" w:color="auto"/>
            </w:tcBorders>
          </w:tcPr>
          <w:p w14:paraId="412C3F3D" w14:textId="77777777" w:rsidR="006F76EB" w:rsidRPr="00834D52" w:rsidRDefault="006F76EB" w:rsidP="00BE625D">
            <w:pPr>
              <w:spacing w:after="120"/>
              <w:ind w:right="-8"/>
              <w:rPr>
                <w:rFonts w:ascii="Sylfaen" w:eastAsia="Times New Roman" w:hAnsi="Sylfaen" w:cs="Times New Roman"/>
                <w:sz w:val="24"/>
                <w:szCs w:val="24"/>
              </w:rPr>
            </w:pPr>
          </w:p>
        </w:tc>
        <w:tc>
          <w:tcPr>
            <w:tcW w:w="5245" w:type="dxa"/>
            <w:tcBorders>
              <w:bottom w:val="single" w:sz="4" w:space="0" w:color="auto"/>
            </w:tcBorders>
            <w:vAlign w:val="center"/>
          </w:tcPr>
          <w:p w14:paraId="5982EA70" w14:textId="77777777" w:rsidR="006F76EB" w:rsidRPr="00834D52" w:rsidRDefault="00FC294A" w:rsidP="00BE625D">
            <w:pPr>
              <w:spacing w:after="120"/>
              <w:ind w:left="459" w:right="-66"/>
              <w:rPr>
                <w:rFonts w:ascii="Sylfaen" w:eastAsia="Times New Roman" w:hAnsi="Sylfaen" w:cs="Times New Roman"/>
                <w:sz w:val="24"/>
                <w:szCs w:val="24"/>
                <w:lang w:val="en-US"/>
              </w:rPr>
            </w:pPr>
            <w:r>
              <w:rPr>
                <w:rFonts w:ascii="Sylfaen" w:eastAsia="Times New Roman" w:hAnsi="Sylfaen" w:cs="Times New Roman"/>
                <w:sz w:val="24"/>
                <w:szCs w:val="24"/>
              </w:rPr>
              <w:pict w14:anchorId="23A833DA">
                <v:rect id="_x0000_s1041" style="position:absolute;left:0;text-align:left;margin-left:4.1pt;margin-top:3.5pt;width:12.75pt;height:12pt;z-index:251532800;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______________</w:t>
            </w:r>
            <w:r w:rsidR="006F76EB" w:rsidRPr="00834D52">
              <w:rPr>
                <w:rFonts w:ascii="Sylfaen" w:hAnsi="Sylfaen"/>
                <w:sz w:val="24"/>
                <w:szCs w:val="24"/>
                <w:lang w:val="en-US"/>
              </w:rPr>
              <w:t>___</w:t>
            </w:r>
          </w:p>
        </w:tc>
      </w:tr>
    </w:tbl>
    <w:p w14:paraId="635C5418" w14:textId="77777777" w:rsidR="006F76EB" w:rsidRPr="00834D52" w:rsidRDefault="006F76EB" w:rsidP="006F76EB">
      <w:pPr>
        <w:rPr>
          <w:rFonts w:ascii="Sylfaen" w:hAnsi="Sylfaen"/>
        </w:rPr>
      </w:pPr>
    </w:p>
    <w:tbl>
      <w:tblPr>
        <w:tblStyle w:val="TableGrid"/>
        <w:tblW w:w="9781" w:type="dxa"/>
        <w:jc w:val="center"/>
        <w:tblLook w:val="04A0" w:firstRow="1" w:lastRow="0" w:firstColumn="1" w:lastColumn="0" w:noHBand="0" w:noVBand="1"/>
      </w:tblPr>
      <w:tblGrid>
        <w:gridCol w:w="2318"/>
        <w:gridCol w:w="7463"/>
      </w:tblGrid>
      <w:tr w:rsidR="006F76EB" w:rsidRPr="00834D52" w14:paraId="69173037" w14:textId="77777777" w:rsidTr="00F71229">
        <w:trPr>
          <w:trHeight w:val="482"/>
          <w:jc w:val="center"/>
        </w:trPr>
        <w:tc>
          <w:tcPr>
            <w:tcW w:w="2318" w:type="dxa"/>
            <w:tcBorders>
              <w:top w:val="nil"/>
              <w:left w:val="nil"/>
              <w:bottom w:val="nil"/>
              <w:right w:val="nil"/>
            </w:tcBorders>
          </w:tcPr>
          <w:p w14:paraId="68131A26"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463" w:type="dxa"/>
            <w:tcBorders>
              <w:top w:val="nil"/>
              <w:left w:val="nil"/>
              <w:bottom w:val="nil"/>
              <w:right w:val="nil"/>
            </w:tcBorders>
            <w:vAlign w:val="center"/>
          </w:tcPr>
          <w:p w14:paraId="3FDF0031" w14:textId="44DAC990" w:rsidR="006F76EB" w:rsidRPr="00834D52" w:rsidRDefault="0056496B" w:rsidP="00F71229">
            <w:pPr>
              <w:spacing w:after="160" w:line="360" w:lineRule="auto"/>
              <w:ind w:right="-8"/>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«օրիգինալ կենսաբանական դեղապատրաստուկ» դաշտում նշվում է տեղեկատվություն այն օրիգինալ պատրաստուկի մասին, որի կենսանմանակը գրանցման ներկայացվող դեղապատրաստուկն է: «</w:t>
            </w:r>
            <w:r w:rsidR="0032680A">
              <w:rPr>
                <w:rFonts w:ascii="Sylfaen" w:hAnsi="Sylfaen"/>
                <w:sz w:val="24"/>
                <w:szCs w:val="24"/>
              </w:rPr>
              <w:t xml:space="preserve">Ռեֆերենտ </w:t>
            </w:r>
            <w:r w:rsidR="006F76EB" w:rsidRPr="00834D52">
              <w:rPr>
                <w:rFonts w:ascii="Sylfaen" w:hAnsi="Sylfaen"/>
                <w:sz w:val="24"/>
                <w:szCs w:val="24"/>
              </w:rPr>
              <w:t xml:space="preserve">պատրաստուկ» դաշտում նշվում է տեղեկատվություն այն պատրաստուկի (պատրաստուկների) մասին, որն օգտագործվել է (օգտագործվել են) կենսահամանմանությունը հաստատելու համար: </w:t>
            </w:r>
            <w:r w:rsidR="0032680A">
              <w:rPr>
                <w:rFonts w:ascii="Sylfaen" w:hAnsi="Sylfaen"/>
                <w:sz w:val="24"/>
                <w:szCs w:val="24"/>
              </w:rPr>
              <w:t xml:space="preserve">Ռեֆերենտ </w:t>
            </w:r>
            <w:r w:rsidR="00C54D75">
              <w:rPr>
                <w:rFonts w:ascii="Sylfaen" w:hAnsi="Sylfaen"/>
                <w:sz w:val="24"/>
                <w:szCs w:val="24"/>
              </w:rPr>
              <w:t>և</w:t>
            </w:r>
            <w:r w:rsidR="006F76EB" w:rsidRPr="00834D52">
              <w:rPr>
                <w:rFonts w:ascii="Sylfaen" w:hAnsi="Sylfaen"/>
                <w:sz w:val="24"/>
                <w:szCs w:val="24"/>
              </w:rPr>
              <w:t xml:space="preserve"> օրիգինալ պատրաստուկների մասին տեղեկատվությունը համընկնելու դեպքում համապատասխան տեղեկատվությունը կրկնվում է:</w:t>
            </w:r>
          </w:p>
        </w:tc>
      </w:tr>
    </w:tbl>
    <w:p w14:paraId="39A194B5" w14:textId="77777777" w:rsidR="006F76EB" w:rsidRPr="00834D52" w:rsidRDefault="006F76EB" w:rsidP="006F76EB">
      <w:pPr>
        <w:spacing w:after="160" w:line="360" w:lineRule="auto"/>
        <w:ind w:right="-8"/>
        <w:jc w:val="center"/>
        <w:rPr>
          <w:rFonts w:ascii="Sylfaen" w:hAnsi="Sylfaen"/>
          <w:sz w:val="24"/>
          <w:szCs w:val="24"/>
        </w:rPr>
      </w:pPr>
    </w:p>
    <w:p w14:paraId="06D2BEB8"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6D9F808">
          <v:rect id="_x0000_s1042" style="position:absolute;left:0;text-align:left;margin-left:100.15pt;margin-top:1.45pt;width:12.75pt;height:12pt;z-index:251533824"/>
        </w:pict>
      </w:r>
      <w:r w:rsidR="006F76EB" w:rsidRPr="00834D52">
        <w:rPr>
          <w:rFonts w:ascii="Sylfaen" w:hAnsi="Sylfaen"/>
          <w:sz w:val="24"/>
          <w:szCs w:val="24"/>
        </w:rPr>
        <w:t>ՀԻԲՐԻԴԱՅԻՆ ԴԵՂԱՊԱՏՐԱՍՏՈՒԿ</w:t>
      </w:r>
    </w:p>
    <w:p w14:paraId="5DEB5FF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w:t>
      </w:r>
    </w:p>
    <w:tbl>
      <w:tblPr>
        <w:tblW w:w="10136" w:type="dxa"/>
        <w:jc w:val="center"/>
        <w:tblLayout w:type="fixed"/>
        <w:tblCellMar>
          <w:left w:w="0" w:type="dxa"/>
          <w:right w:w="0" w:type="dxa"/>
        </w:tblCellMar>
        <w:tblLook w:val="01E0" w:firstRow="1" w:lastRow="1" w:firstColumn="1" w:lastColumn="1" w:noHBand="0" w:noVBand="0"/>
      </w:tblPr>
      <w:tblGrid>
        <w:gridCol w:w="2198"/>
        <w:gridCol w:w="2552"/>
        <w:gridCol w:w="5037"/>
        <w:gridCol w:w="349"/>
      </w:tblGrid>
      <w:tr w:rsidR="006F76EB" w:rsidRPr="00834D52" w14:paraId="1F15DE54" w14:textId="77777777" w:rsidTr="00F71229">
        <w:trPr>
          <w:jc w:val="center"/>
        </w:trPr>
        <w:tc>
          <w:tcPr>
            <w:tcW w:w="4750" w:type="dxa"/>
            <w:gridSpan w:val="2"/>
            <w:tcBorders>
              <w:top w:val="single" w:sz="4" w:space="0" w:color="000000"/>
              <w:left w:val="single" w:sz="4" w:space="0" w:color="000000"/>
              <w:bottom w:val="single" w:sz="4" w:space="0" w:color="000000"/>
              <w:right w:val="single" w:sz="4" w:space="0" w:color="000000"/>
            </w:tcBorders>
          </w:tcPr>
          <w:p w14:paraId="29CCD594"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5386" w:type="dxa"/>
            <w:gridSpan w:val="2"/>
            <w:tcBorders>
              <w:top w:val="single" w:sz="4" w:space="0" w:color="000000"/>
              <w:left w:val="single" w:sz="4" w:space="0" w:color="000000"/>
              <w:bottom w:val="single" w:sz="4" w:space="0" w:color="000000"/>
              <w:right w:val="single" w:sz="4" w:space="0" w:color="000000"/>
            </w:tcBorders>
          </w:tcPr>
          <w:p w14:paraId="322A629D" w14:textId="77777777" w:rsidR="006F76EB" w:rsidRPr="00834D52" w:rsidRDefault="006F76EB" w:rsidP="00BE625D">
            <w:pPr>
              <w:spacing w:after="120" w:line="240" w:lineRule="auto"/>
              <w:ind w:right="-8"/>
              <w:rPr>
                <w:rFonts w:ascii="Sylfaen" w:hAnsi="Sylfaen"/>
                <w:sz w:val="24"/>
                <w:szCs w:val="24"/>
              </w:rPr>
            </w:pPr>
          </w:p>
        </w:tc>
      </w:tr>
      <w:tr w:rsidR="006F76EB" w:rsidRPr="00834D52" w14:paraId="7BA6C4B8" w14:textId="77777777" w:rsidTr="00F71229">
        <w:trPr>
          <w:jc w:val="center"/>
        </w:trPr>
        <w:tc>
          <w:tcPr>
            <w:tcW w:w="4750" w:type="dxa"/>
            <w:gridSpan w:val="2"/>
            <w:tcBorders>
              <w:top w:val="single" w:sz="4" w:space="0" w:color="000000"/>
              <w:left w:val="single" w:sz="4" w:space="0" w:color="000000"/>
              <w:bottom w:val="single" w:sz="4" w:space="0" w:color="auto"/>
              <w:right w:val="single" w:sz="4" w:space="0" w:color="000000"/>
            </w:tcBorders>
          </w:tcPr>
          <w:p w14:paraId="24FF0652" w14:textId="77777777" w:rsidR="006F76EB" w:rsidRPr="00834D52" w:rsidRDefault="006F76EB" w:rsidP="00BE625D">
            <w:pPr>
              <w:spacing w:after="120" w:line="240" w:lineRule="auto"/>
              <w:ind w:left="71" w:right="-8"/>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6" w:type="dxa"/>
            <w:gridSpan w:val="2"/>
            <w:tcBorders>
              <w:top w:val="single" w:sz="4" w:space="0" w:color="000000"/>
              <w:left w:val="single" w:sz="4" w:space="0" w:color="000000"/>
              <w:bottom w:val="single" w:sz="4" w:space="0" w:color="auto"/>
              <w:right w:val="single" w:sz="4" w:space="0" w:color="000000"/>
            </w:tcBorders>
          </w:tcPr>
          <w:p w14:paraId="66A24E67" w14:textId="77777777" w:rsidR="006F76EB" w:rsidRPr="00834D52" w:rsidRDefault="006F76EB" w:rsidP="00BE625D">
            <w:pPr>
              <w:spacing w:after="120" w:line="240" w:lineRule="auto"/>
              <w:ind w:right="-8"/>
              <w:rPr>
                <w:rFonts w:ascii="Sylfaen" w:hAnsi="Sylfaen"/>
                <w:sz w:val="24"/>
                <w:szCs w:val="24"/>
              </w:rPr>
            </w:pPr>
          </w:p>
        </w:tc>
      </w:tr>
      <w:tr w:rsidR="006F76EB" w:rsidRPr="00834D52" w14:paraId="39524D04" w14:textId="77777777" w:rsidTr="00F71229">
        <w:trPr>
          <w:jc w:val="center"/>
        </w:trPr>
        <w:tc>
          <w:tcPr>
            <w:tcW w:w="4750" w:type="dxa"/>
            <w:gridSpan w:val="2"/>
            <w:vMerge w:val="restart"/>
            <w:tcBorders>
              <w:top w:val="single" w:sz="4" w:space="0" w:color="auto"/>
              <w:left w:val="single" w:sz="4" w:space="0" w:color="auto"/>
              <w:bottom w:val="single" w:sz="4" w:space="0" w:color="auto"/>
              <w:right w:val="single" w:sz="4" w:space="0" w:color="auto"/>
            </w:tcBorders>
          </w:tcPr>
          <w:p w14:paraId="47D5B7FC" w14:textId="77777777" w:rsidR="006F76EB" w:rsidRPr="00834D52" w:rsidRDefault="006F76EB" w:rsidP="00BE625D">
            <w:pPr>
              <w:spacing w:after="120" w:line="240" w:lineRule="auto"/>
              <w:ind w:left="71" w:right="113"/>
              <w:rPr>
                <w:rFonts w:ascii="Sylfaen" w:eastAsia="Times New Roman" w:hAnsi="Sylfaen" w:cs="Times New Roman"/>
                <w:sz w:val="24"/>
                <w:szCs w:val="24"/>
              </w:rPr>
            </w:pPr>
            <w:r w:rsidRPr="00834D52">
              <w:rPr>
                <w:rFonts w:ascii="Sylfaen" w:hAnsi="Sylfaen"/>
                <w:sz w:val="24"/>
                <w:szCs w:val="24"/>
              </w:rPr>
              <w:t>օրիգինալ դեղապատրաստուկի համեմատ տարբերությունները՝</w:t>
            </w:r>
          </w:p>
        </w:tc>
        <w:tc>
          <w:tcPr>
            <w:tcW w:w="5386" w:type="dxa"/>
            <w:gridSpan w:val="2"/>
            <w:tcBorders>
              <w:top w:val="single" w:sz="4" w:space="0" w:color="auto"/>
              <w:left w:val="single" w:sz="4" w:space="0" w:color="auto"/>
              <w:bottom w:val="single" w:sz="4" w:space="0" w:color="auto"/>
              <w:right w:val="single" w:sz="4" w:space="0" w:color="auto"/>
            </w:tcBorders>
          </w:tcPr>
          <w:p w14:paraId="6D00232C" w14:textId="77777777" w:rsidR="006F76EB" w:rsidRPr="00834D52" w:rsidRDefault="00FC294A"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730D0978">
                <v:rect id="_x0000_s1043" style="position:absolute;left:0;text-align:left;margin-left:4.25pt;margin-top:4.8pt;width:12.75pt;height:12pt;z-index:251534848;mso-position-horizontal-relative:text;mso-position-vertical-relative:text"/>
              </w:pic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tc>
      </w:tr>
      <w:tr w:rsidR="006F76EB" w:rsidRPr="00834D52" w14:paraId="441E0570"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5615A03"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22C6EA7A" w14:textId="77777777" w:rsidR="006F76EB" w:rsidRPr="00834D52" w:rsidRDefault="00FC294A" w:rsidP="00BE625D">
            <w:pPr>
              <w:spacing w:after="120" w:line="240" w:lineRule="auto"/>
              <w:ind w:left="459" w:right="-8"/>
              <w:rPr>
                <w:rFonts w:ascii="Sylfaen" w:eastAsia="Times New Roman" w:hAnsi="Sylfaen" w:cs="Times New Roman"/>
                <w:sz w:val="24"/>
                <w:szCs w:val="24"/>
              </w:rPr>
            </w:pPr>
            <w:r>
              <w:rPr>
                <w:rFonts w:ascii="Sylfaen" w:eastAsia="Times New Roman" w:hAnsi="Sylfaen" w:cs="Times New Roman"/>
                <w:noProof/>
                <w:sz w:val="24"/>
                <w:szCs w:val="24"/>
              </w:rPr>
              <w:pict w14:anchorId="56313422">
                <v:rect id="_x0000_s1044" style="position:absolute;left:0;text-align:left;margin-left:3.5pt;margin-top:4.35pt;width:12.75pt;height:12pt;z-index:25153587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p>
        </w:tc>
      </w:tr>
      <w:tr w:rsidR="006F76EB" w:rsidRPr="00834D52" w14:paraId="28968545"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4EC37F97"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D029EE5" w14:textId="77777777" w:rsidR="006F76EB" w:rsidRPr="00834D52" w:rsidRDefault="00FC294A" w:rsidP="00BE625D">
            <w:pPr>
              <w:spacing w:after="120" w:line="240" w:lineRule="auto"/>
              <w:ind w:left="459" w:right="501"/>
              <w:rPr>
                <w:rFonts w:ascii="Sylfaen" w:hAnsi="Sylfaen"/>
                <w:sz w:val="24"/>
                <w:szCs w:val="24"/>
              </w:rPr>
            </w:pPr>
            <w:r>
              <w:rPr>
                <w:rFonts w:ascii="Sylfaen" w:eastAsia="Times New Roman" w:hAnsi="Sylfaen" w:cs="Times New Roman"/>
                <w:noProof/>
                <w:sz w:val="24"/>
                <w:szCs w:val="24"/>
              </w:rPr>
              <w:pict w14:anchorId="38A9D9CA">
                <v:rect id="_x0000_s1045" style="position:absolute;left:0;text-align:left;margin-left:3.5pt;margin-top:2.75pt;width:12.75pt;height:12pt;z-index:251536896;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դեղաչափեր</w:t>
            </w:r>
            <w:r w:rsidR="006F76EB" w:rsidRPr="00834D52">
              <w:rPr>
                <w:rFonts w:ascii="Sylfaen" w:hAnsi="Sylfaen"/>
                <w:sz w:val="24"/>
                <w:szCs w:val="24"/>
              </w:rPr>
              <w:t xml:space="preserve"> (</w:t>
            </w:r>
            <w:r w:rsidR="006F76EB" w:rsidRPr="00834D52">
              <w:rPr>
                <w:rFonts w:ascii="Sylfaen" w:hAnsi="Sylfaen" w:cs="Sylfaen"/>
                <w:sz w:val="24"/>
                <w:szCs w:val="24"/>
              </w:rPr>
              <w:t>ԱԴԲ</w:t>
            </w:r>
            <w:r w:rsidR="006F76EB" w:rsidRPr="00834D52">
              <w:rPr>
                <w:rFonts w:ascii="Sylfaen" w:hAnsi="Sylfaen"/>
                <w:sz w:val="24"/>
                <w:szCs w:val="24"/>
              </w:rPr>
              <w:t>-</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քանակական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r w:rsidR="006F76EB" w:rsidRPr="00834D52">
              <w:rPr>
                <w:rFonts w:ascii="Sylfaen" w:hAnsi="Sylfaen"/>
                <w:sz w:val="24"/>
                <w:szCs w:val="24"/>
              </w:rPr>
              <w:t>)</w:t>
            </w:r>
          </w:p>
        </w:tc>
      </w:tr>
      <w:tr w:rsidR="006F76EB" w:rsidRPr="00834D52" w14:paraId="263720ED"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318365E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18E86353" w14:textId="77777777" w:rsidR="006F76EB" w:rsidRPr="00834D52" w:rsidRDefault="00FC294A"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6714E143">
                <v:rect id="_x0000_s1046" style="position:absolute;left:0;text-align:left;margin-left:3.5pt;margin-top:3.75pt;width:12.75pt;height:12pt;z-index:251537920;mso-position-horizontal-relative:text;mso-position-vertical-relative:text"/>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եղանակ</w:t>
            </w:r>
          </w:p>
        </w:tc>
      </w:tr>
      <w:tr w:rsidR="006F76EB" w:rsidRPr="00834D52" w14:paraId="35CBD9C7" w14:textId="77777777" w:rsidTr="00F71229">
        <w:trPr>
          <w:jc w:val="center"/>
        </w:trPr>
        <w:tc>
          <w:tcPr>
            <w:tcW w:w="4750" w:type="dxa"/>
            <w:gridSpan w:val="2"/>
            <w:vMerge/>
            <w:tcBorders>
              <w:top w:val="single" w:sz="4" w:space="0" w:color="auto"/>
              <w:left w:val="single" w:sz="4" w:space="0" w:color="auto"/>
              <w:bottom w:val="single" w:sz="4" w:space="0" w:color="auto"/>
              <w:right w:val="single" w:sz="4" w:space="0" w:color="auto"/>
            </w:tcBorders>
          </w:tcPr>
          <w:p w14:paraId="2BF6D94C"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auto"/>
              <w:bottom w:val="single" w:sz="4" w:space="0" w:color="auto"/>
              <w:right w:val="single" w:sz="4" w:space="0" w:color="auto"/>
            </w:tcBorders>
          </w:tcPr>
          <w:p w14:paraId="37FB111A" w14:textId="77777777" w:rsidR="006F76EB" w:rsidRPr="00834D52" w:rsidRDefault="00FC294A"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2712C11A">
                <v:rect id="_x0000_s1047" style="position:absolute;left:0;text-align:left;margin-left:3.5pt;margin-top:3.65pt;width:12.75pt;height:12pt;z-index:251538944;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355C33">
              <w:rPr>
                <w:rFonts w:ascii="Sylfaen" w:hAnsi="Sylfaen"/>
                <w:sz w:val="24"/>
                <w:szCs w:val="24"/>
              </w:rPr>
              <w:t>դեղա</w:t>
            </w:r>
            <w:r w:rsidR="006F76EB" w:rsidRPr="00834D52">
              <w:rPr>
                <w:rFonts w:ascii="Sylfaen" w:hAnsi="Sylfaen" w:cs="Sylfaen"/>
                <w:sz w:val="24"/>
                <w:szCs w:val="24"/>
              </w:rPr>
              <w:t>կինետիկա</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կենսամատչելիություն</w:t>
            </w:r>
            <w:r w:rsidR="006F76EB" w:rsidRPr="00834D52">
              <w:rPr>
                <w:rFonts w:ascii="Sylfaen" w:hAnsi="Sylfaen"/>
                <w:sz w:val="24"/>
                <w:szCs w:val="24"/>
              </w:rPr>
              <w:t>)</w:t>
            </w:r>
          </w:p>
        </w:tc>
      </w:tr>
      <w:tr w:rsidR="006F76EB" w:rsidRPr="00834D52" w14:paraId="314B7EF2" w14:textId="77777777" w:rsidTr="00F71229">
        <w:trPr>
          <w:jc w:val="center"/>
        </w:trPr>
        <w:tc>
          <w:tcPr>
            <w:tcW w:w="4750" w:type="dxa"/>
            <w:gridSpan w:val="2"/>
            <w:vMerge/>
            <w:tcBorders>
              <w:top w:val="single" w:sz="4" w:space="0" w:color="auto"/>
              <w:left w:val="single" w:sz="4" w:space="0" w:color="000000"/>
              <w:right w:val="single" w:sz="4" w:space="0" w:color="000000"/>
            </w:tcBorders>
          </w:tcPr>
          <w:p w14:paraId="686E7E22"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auto"/>
              <w:left w:val="single" w:sz="4" w:space="0" w:color="000000"/>
              <w:bottom w:val="single" w:sz="4" w:space="0" w:color="000000"/>
              <w:right w:val="single" w:sz="4" w:space="0" w:color="000000"/>
            </w:tcBorders>
          </w:tcPr>
          <w:p w14:paraId="71E9CC32" w14:textId="77777777" w:rsidR="006F76EB" w:rsidRPr="00834D52" w:rsidRDefault="00FC294A" w:rsidP="00BE625D">
            <w:pPr>
              <w:spacing w:after="120" w:line="240" w:lineRule="auto"/>
              <w:ind w:left="459" w:right="-8"/>
              <w:rPr>
                <w:rFonts w:ascii="Sylfaen" w:hAnsi="Sylfaen"/>
                <w:sz w:val="24"/>
                <w:szCs w:val="24"/>
              </w:rPr>
            </w:pPr>
            <w:r>
              <w:rPr>
                <w:rFonts w:ascii="Sylfaen" w:eastAsia="Times New Roman" w:hAnsi="Sylfaen" w:cs="Times New Roman"/>
                <w:noProof/>
                <w:sz w:val="24"/>
                <w:szCs w:val="24"/>
              </w:rPr>
              <w:pict w14:anchorId="1586BC4B">
                <v:rect id="_x0000_s1048" style="position:absolute;left:0;text-align:left;margin-left:3.5pt;margin-top:2.45pt;width:12.75pt;height:12pt;z-index:251539968;mso-position-horizontal-relative:text;mso-position-vertical-relative:text"/>
              </w:pict>
            </w:r>
            <w:r w:rsidR="006F76EB" w:rsidRPr="00834D52">
              <w:rPr>
                <w:rFonts w:ascii="Sylfaen" w:hAnsi="Sylfaen" w:cs="Sylfaen"/>
                <w:sz w:val="24"/>
                <w:szCs w:val="24"/>
              </w:rPr>
              <w:t>կիրառման</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ցուցում</w:t>
            </w:r>
          </w:p>
        </w:tc>
      </w:tr>
      <w:tr w:rsidR="006F76EB" w:rsidRPr="00834D52" w14:paraId="37E66F1D" w14:textId="77777777" w:rsidTr="00F71229">
        <w:trPr>
          <w:trHeight w:val="486"/>
          <w:jc w:val="center"/>
        </w:trPr>
        <w:tc>
          <w:tcPr>
            <w:tcW w:w="4750" w:type="dxa"/>
            <w:gridSpan w:val="2"/>
            <w:vMerge/>
            <w:tcBorders>
              <w:left w:val="single" w:sz="4" w:space="0" w:color="000000"/>
              <w:bottom w:val="single" w:sz="4" w:space="0" w:color="auto"/>
              <w:right w:val="single" w:sz="4" w:space="0" w:color="000000"/>
            </w:tcBorders>
          </w:tcPr>
          <w:p w14:paraId="3851C93B" w14:textId="77777777" w:rsidR="006F76EB" w:rsidRPr="00834D52" w:rsidRDefault="006F76EB" w:rsidP="00BE625D">
            <w:pPr>
              <w:spacing w:after="120" w:line="240" w:lineRule="auto"/>
              <w:ind w:left="71" w:right="-8"/>
              <w:rPr>
                <w:rFonts w:ascii="Sylfaen" w:eastAsia="Times New Roman" w:hAnsi="Sylfaen" w:cs="Times New Roman"/>
                <w:sz w:val="24"/>
                <w:szCs w:val="24"/>
              </w:rPr>
            </w:pPr>
          </w:p>
        </w:tc>
        <w:tc>
          <w:tcPr>
            <w:tcW w:w="5386" w:type="dxa"/>
            <w:gridSpan w:val="2"/>
            <w:tcBorders>
              <w:top w:val="single" w:sz="4" w:space="0" w:color="000000"/>
              <w:left w:val="single" w:sz="4" w:space="0" w:color="000000"/>
              <w:bottom w:val="single" w:sz="4" w:space="0" w:color="auto"/>
              <w:right w:val="single" w:sz="4" w:space="0" w:color="000000"/>
            </w:tcBorders>
          </w:tcPr>
          <w:p w14:paraId="34A1A291" w14:textId="77777777" w:rsidR="006F76EB" w:rsidRPr="00834D52" w:rsidRDefault="00FC294A" w:rsidP="00BE625D">
            <w:pPr>
              <w:spacing w:after="120" w:line="240" w:lineRule="auto"/>
              <w:ind w:left="459" w:right="-8"/>
              <w:rPr>
                <w:rFonts w:ascii="Sylfaen" w:hAnsi="Sylfaen"/>
                <w:sz w:val="24"/>
                <w:szCs w:val="24"/>
                <w:lang w:val="en-US"/>
              </w:rPr>
            </w:pPr>
            <w:r>
              <w:rPr>
                <w:rFonts w:ascii="Sylfaen" w:eastAsia="Times New Roman" w:hAnsi="Sylfaen" w:cs="Times New Roman"/>
                <w:noProof/>
                <w:sz w:val="24"/>
                <w:szCs w:val="24"/>
              </w:rPr>
              <w:pict w14:anchorId="6CF24569">
                <v:rect id="_x0000_s1049" style="position:absolute;left:0;text-align:left;margin-left:4.25pt;margin-top:4.6pt;width:12.75pt;height:12pt;z-index:251540992;mso-position-horizontal-relative:text;mso-position-vertical-relative:text"/>
              </w:pic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w:t>
            </w:r>
            <w:r w:rsidR="006F76EB" w:rsidRPr="00834D52">
              <w:rPr>
                <w:rFonts w:ascii="Sylfaen" w:hAnsi="Sylfaen"/>
                <w:sz w:val="24"/>
                <w:szCs w:val="24"/>
              </w:rPr>
              <w:t>_____________</w:t>
            </w:r>
            <w:r w:rsidR="006F76EB" w:rsidRPr="00834D52">
              <w:rPr>
                <w:rFonts w:ascii="Sylfaen" w:hAnsi="Sylfaen"/>
                <w:sz w:val="24"/>
                <w:szCs w:val="24"/>
                <w:lang w:val="en-US"/>
              </w:rPr>
              <w:t>_</w:t>
            </w:r>
            <w:r w:rsidR="006F76EB" w:rsidRPr="00834D52">
              <w:rPr>
                <w:rFonts w:ascii="Sylfaen" w:hAnsi="Sylfaen"/>
                <w:sz w:val="24"/>
                <w:szCs w:val="24"/>
              </w:rPr>
              <w:t>___</w:t>
            </w:r>
            <w:r w:rsidR="006F76EB" w:rsidRPr="00834D52">
              <w:rPr>
                <w:rFonts w:ascii="Sylfaen" w:hAnsi="Sylfaen"/>
                <w:sz w:val="24"/>
                <w:szCs w:val="24"/>
                <w:lang w:val="en-US"/>
              </w:rPr>
              <w:t>__</w:t>
            </w:r>
          </w:p>
        </w:tc>
      </w:tr>
      <w:tr w:rsidR="006F76EB" w:rsidRPr="00834D52" w14:paraId="553305CD" w14:textId="77777777" w:rsidTr="00F71229">
        <w:tblPrEx>
          <w:jc w:val="left"/>
        </w:tblPrEx>
        <w:trPr>
          <w:gridAfter w:val="1"/>
          <w:wAfter w:w="349" w:type="dxa"/>
        </w:trPr>
        <w:tc>
          <w:tcPr>
            <w:tcW w:w="2198" w:type="dxa"/>
          </w:tcPr>
          <w:p w14:paraId="1E418E98"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lastRenderedPageBreak/>
              <w:t>Ծանոթագրություն:</w:t>
            </w:r>
          </w:p>
        </w:tc>
        <w:tc>
          <w:tcPr>
            <w:tcW w:w="7589" w:type="dxa"/>
            <w:gridSpan w:val="2"/>
          </w:tcPr>
          <w:p w14:paraId="540815A4" w14:textId="1E40E5EC" w:rsidR="006F76EB" w:rsidRPr="00834D52" w:rsidRDefault="0056496B" w:rsidP="00F71229">
            <w:pPr>
              <w:spacing w:after="160" w:line="360" w:lineRule="auto"/>
              <w:ind w:left="61" w:right="25"/>
              <w:jc w:val="both"/>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լրացնելիս տվյալ դաշտում նշվում է տեղեկատվություն այն օրիգինալ պատրաստուկի մասին, որի հիբրիդային կրկնօրինակը տվյալ դեղապատրաստուկն է: Նշված դաշտը լրացվում է՝ անկախ օրիգինալ պատրաստուկի՝ դեղագործական շուկայում առկայությունից:</w:t>
            </w:r>
          </w:p>
        </w:tc>
      </w:tr>
    </w:tbl>
    <w:p w14:paraId="21725F6B" w14:textId="77777777" w:rsidR="006F76EB" w:rsidRPr="00834D52" w:rsidRDefault="006F76EB" w:rsidP="00F24A75">
      <w:pPr>
        <w:spacing w:after="0" w:line="240" w:lineRule="auto"/>
        <w:ind w:right="-6"/>
        <w:jc w:val="center"/>
        <w:rPr>
          <w:rFonts w:ascii="Sylfaen" w:hAnsi="Sylfaen"/>
          <w:sz w:val="24"/>
          <w:szCs w:val="24"/>
        </w:rPr>
      </w:pPr>
    </w:p>
    <w:p w14:paraId="3BC34C76"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55DC7E1">
          <v:rect id="_x0000_s1050" style="position:absolute;left:0;text-align:left;margin-left:102pt;margin-top:3pt;width:12.75pt;height:12pt;z-index:251542016"/>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791"/>
        <w:gridCol w:w="567"/>
        <w:gridCol w:w="3402"/>
      </w:tblGrid>
      <w:tr w:rsidR="006F76EB" w:rsidRPr="00834D52" w14:paraId="3908B307" w14:textId="77777777" w:rsidTr="00F71229">
        <w:trPr>
          <w:jc w:val="center"/>
        </w:trPr>
        <w:tc>
          <w:tcPr>
            <w:tcW w:w="420" w:type="dxa"/>
          </w:tcPr>
          <w:p w14:paraId="4E59145F" w14:textId="77777777" w:rsidR="006F76EB" w:rsidRPr="00834D52" w:rsidRDefault="00FC294A" w:rsidP="00F71229">
            <w:pPr>
              <w:spacing w:after="160" w:line="360" w:lineRule="auto"/>
              <w:ind w:right="-8"/>
              <w:rPr>
                <w:rFonts w:ascii="Sylfaen" w:hAnsi="Sylfaen"/>
                <w:sz w:val="24"/>
                <w:szCs w:val="24"/>
              </w:rPr>
            </w:pPr>
            <w:r>
              <w:rPr>
                <w:rFonts w:ascii="Sylfaen" w:hAnsi="Sylfaen"/>
                <w:noProof/>
                <w:sz w:val="24"/>
                <w:szCs w:val="24"/>
              </w:rPr>
              <w:pict w14:anchorId="19C9CA99">
                <v:rect id="_x0000_s1051" style="position:absolute;margin-left:-3pt;margin-top:4.05pt;width:12.75pt;height:12pt;z-index:251543040"/>
              </w:pict>
            </w:r>
          </w:p>
        </w:tc>
        <w:tc>
          <w:tcPr>
            <w:tcW w:w="4791" w:type="dxa"/>
          </w:tcPr>
          <w:p w14:paraId="4A6F619E" w14:textId="490C56DF" w:rsidR="006F76EB" w:rsidRPr="00834D52" w:rsidRDefault="005F6A31" w:rsidP="00F71229">
            <w:pPr>
              <w:spacing w:after="160" w:line="360" w:lineRule="auto"/>
              <w:ind w:right="-8"/>
              <w:rPr>
                <w:rFonts w:ascii="Sylfaen" w:hAnsi="Sylfaen"/>
                <w:sz w:val="24"/>
                <w:szCs w:val="24"/>
              </w:rPr>
            </w:pPr>
            <w:r>
              <w:rPr>
                <w:rFonts w:ascii="Sylfaen" w:hAnsi="Sylfaen"/>
                <w:sz w:val="24"/>
                <w:szCs w:val="24"/>
              </w:rPr>
              <w:t>հայտնի</w:t>
            </w:r>
            <w:r w:rsidR="006F76EB" w:rsidRPr="00834D52">
              <w:rPr>
                <w:rFonts w:ascii="Sylfaen" w:hAnsi="Sylfaen"/>
                <w:sz w:val="24"/>
                <w:szCs w:val="24"/>
              </w:rPr>
              <w:t xml:space="preserve"> համակցություն</w:t>
            </w:r>
          </w:p>
        </w:tc>
        <w:tc>
          <w:tcPr>
            <w:tcW w:w="567" w:type="dxa"/>
            <w:vAlign w:val="center"/>
          </w:tcPr>
          <w:p w14:paraId="2E00D3D3" w14:textId="77777777" w:rsidR="006F76EB" w:rsidRPr="00834D52" w:rsidRDefault="00FC294A" w:rsidP="00F71229">
            <w:pPr>
              <w:spacing w:after="160" w:line="360" w:lineRule="auto"/>
              <w:ind w:right="-8"/>
              <w:jc w:val="right"/>
              <w:rPr>
                <w:rFonts w:ascii="Sylfaen" w:hAnsi="Sylfaen"/>
                <w:sz w:val="24"/>
                <w:szCs w:val="24"/>
              </w:rPr>
            </w:pPr>
            <w:r>
              <w:rPr>
                <w:rFonts w:ascii="Sylfaen" w:hAnsi="Sylfaen"/>
                <w:noProof/>
                <w:sz w:val="24"/>
                <w:szCs w:val="24"/>
              </w:rPr>
              <w:pict w14:anchorId="6D6E0A79">
                <v:rect id="_x0000_s1052" style="position:absolute;left:0;text-align:left;margin-left:-.65pt;margin-top:4.15pt;width:12.75pt;height:12pt;z-index:251544064;mso-position-horizontal-relative:text;mso-position-vertical-relative:text"/>
              </w:pict>
            </w:r>
          </w:p>
        </w:tc>
        <w:tc>
          <w:tcPr>
            <w:tcW w:w="3402" w:type="dxa"/>
          </w:tcPr>
          <w:p w14:paraId="70CB0EEE"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նոր համակցություն</w:t>
            </w:r>
          </w:p>
        </w:tc>
      </w:tr>
    </w:tbl>
    <w:p w14:paraId="1DC8E30B" w14:textId="77777777" w:rsidR="006F76EB" w:rsidRPr="00834D52" w:rsidRDefault="006F76EB" w:rsidP="00F24A75">
      <w:pPr>
        <w:spacing w:after="0" w:line="240" w:lineRule="auto"/>
        <w:ind w:right="-6"/>
        <w:rPr>
          <w:rFonts w:ascii="Sylfaen" w:hAnsi="Sylfaen"/>
          <w:sz w:val="24"/>
          <w:szCs w:val="24"/>
          <w:lang w:val="en-US"/>
        </w:rPr>
      </w:pPr>
    </w:p>
    <w:p w14:paraId="3EBAEC1F" w14:textId="785041BA"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4810"/>
        <w:gridCol w:w="4978"/>
      </w:tblGrid>
      <w:tr w:rsidR="006F76EB" w:rsidRPr="00834D52" w14:paraId="436C70C9"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240133E9"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դեղապատրաստուկի անվանումը, դեղաչափը, դեղաձ</w:t>
            </w:r>
            <w:r w:rsidR="00C54D75">
              <w:rPr>
                <w:rFonts w:ascii="Sylfaen" w:hAnsi="Sylfaen"/>
                <w:sz w:val="24"/>
                <w:szCs w:val="24"/>
              </w:rPr>
              <w:t>և</w:t>
            </w:r>
            <w:r w:rsidRPr="00834D52">
              <w:rPr>
                <w:rFonts w:ascii="Sylfaen" w:hAnsi="Sylfaen"/>
                <w:sz w:val="24"/>
                <w:szCs w:val="24"/>
              </w:rPr>
              <w:t>ը</w:t>
            </w:r>
          </w:p>
        </w:tc>
        <w:tc>
          <w:tcPr>
            <w:tcW w:w="4978" w:type="dxa"/>
            <w:tcBorders>
              <w:top w:val="single" w:sz="4" w:space="0" w:color="000000"/>
              <w:left w:val="single" w:sz="4" w:space="0" w:color="000000"/>
              <w:bottom w:val="single" w:sz="4" w:space="0" w:color="000000"/>
              <w:right w:val="single" w:sz="4" w:space="0" w:color="000000"/>
            </w:tcBorders>
          </w:tcPr>
          <w:p w14:paraId="5D313288" w14:textId="77777777" w:rsidR="006F76EB" w:rsidRPr="00834D52" w:rsidRDefault="006F76EB" w:rsidP="00F24A75">
            <w:pPr>
              <w:spacing w:after="120" w:line="240" w:lineRule="auto"/>
              <w:ind w:right="-6"/>
              <w:rPr>
                <w:rFonts w:ascii="Sylfaen" w:hAnsi="Sylfaen"/>
                <w:sz w:val="24"/>
                <w:szCs w:val="24"/>
              </w:rPr>
            </w:pPr>
          </w:p>
        </w:tc>
      </w:tr>
      <w:tr w:rsidR="006F76EB" w:rsidRPr="00834D52" w14:paraId="3939AD0F" w14:textId="77777777" w:rsidTr="00F71229">
        <w:trPr>
          <w:jc w:val="center"/>
        </w:trPr>
        <w:tc>
          <w:tcPr>
            <w:tcW w:w="4810" w:type="dxa"/>
            <w:tcBorders>
              <w:top w:val="single" w:sz="4" w:space="0" w:color="000000"/>
              <w:left w:val="single" w:sz="4" w:space="0" w:color="000000"/>
              <w:bottom w:val="single" w:sz="4" w:space="0" w:color="000000"/>
              <w:right w:val="single" w:sz="4" w:space="0" w:color="000000"/>
            </w:tcBorders>
          </w:tcPr>
          <w:p w14:paraId="322F9FA5"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978" w:type="dxa"/>
            <w:tcBorders>
              <w:top w:val="single" w:sz="4" w:space="0" w:color="000000"/>
              <w:left w:val="single" w:sz="4" w:space="0" w:color="000000"/>
              <w:bottom w:val="single" w:sz="4" w:space="0" w:color="000000"/>
              <w:right w:val="single" w:sz="4" w:space="0" w:color="000000"/>
            </w:tcBorders>
          </w:tcPr>
          <w:p w14:paraId="680C4180" w14:textId="77777777" w:rsidR="006F76EB" w:rsidRPr="00834D52" w:rsidRDefault="006F76EB" w:rsidP="00F24A75">
            <w:pPr>
              <w:spacing w:after="120" w:line="240" w:lineRule="auto"/>
              <w:ind w:right="-6"/>
              <w:rPr>
                <w:rFonts w:ascii="Sylfaen" w:hAnsi="Sylfaen"/>
                <w:sz w:val="24"/>
                <w:szCs w:val="24"/>
              </w:rPr>
            </w:pPr>
          </w:p>
        </w:tc>
      </w:tr>
    </w:tbl>
    <w:p w14:paraId="74B0DEF4" w14:textId="77777777" w:rsidR="006F76EB" w:rsidRPr="00834D52" w:rsidRDefault="006F76EB" w:rsidP="00F24A75">
      <w:pPr>
        <w:widowControl/>
        <w:jc w:val="center"/>
        <w:rPr>
          <w:rFonts w:ascii="Sylfaen" w:hAnsi="Sylfaen"/>
          <w:sz w:val="24"/>
          <w:szCs w:val="24"/>
        </w:rPr>
      </w:pPr>
    </w:p>
    <w:p w14:paraId="406633EC" w14:textId="77777777" w:rsidR="006F76EB" w:rsidRPr="00834D52" w:rsidRDefault="00FC294A" w:rsidP="006F76EB">
      <w:pPr>
        <w:spacing w:after="160" w:line="360" w:lineRule="auto"/>
        <w:ind w:left="1134" w:right="1132"/>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94BB52">
          <v:rect id="_x0000_s1053" style="position:absolute;left:0;text-align:left;margin-left:42.75pt;margin-top:2.8pt;width:12.75pt;height:12pt;z-index:251545088"/>
        </w:pict>
      </w:r>
      <w:r w:rsidR="006F76EB" w:rsidRPr="00834D52">
        <w:rPr>
          <w:rFonts w:ascii="Sylfaen" w:hAnsi="Sylfaen" w:cs="Sylfaen"/>
          <w:sz w:val="24"/>
          <w:szCs w:val="24"/>
        </w:rPr>
        <w:t>ԼԱՎ</w:t>
      </w:r>
      <w:r w:rsidR="006F76EB" w:rsidRPr="00834D52">
        <w:rPr>
          <w:rFonts w:ascii="Sylfaen" w:hAnsi="Sylfaen"/>
          <w:sz w:val="24"/>
          <w:szCs w:val="24"/>
        </w:rPr>
        <w:t xml:space="preserve"> </w:t>
      </w:r>
      <w:r w:rsidR="006F76EB" w:rsidRPr="00834D52">
        <w:rPr>
          <w:rFonts w:ascii="Sylfaen" w:hAnsi="Sylfaen" w:cs="Sylfaen"/>
          <w:sz w:val="24"/>
          <w:szCs w:val="24"/>
        </w:rPr>
        <w:t>ՈՒՍՈՒՄՆԱՍԻՐՎԱԾ</w:t>
      </w:r>
      <w:r w:rsidR="006F76EB" w:rsidRPr="00834D52">
        <w:rPr>
          <w:rFonts w:ascii="Sylfaen" w:hAnsi="Sylfaen"/>
          <w:sz w:val="24"/>
          <w:szCs w:val="24"/>
        </w:rPr>
        <w:t xml:space="preserve"> </w:t>
      </w:r>
      <w:r w:rsidR="006F76EB" w:rsidRPr="00834D52">
        <w:rPr>
          <w:rFonts w:ascii="Sylfaen" w:hAnsi="Sylfaen" w:cs="Sylfaen"/>
          <w:sz w:val="24"/>
          <w:szCs w:val="24"/>
        </w:rPr>
        <w:t>ԲԺՇԿԱԿԱՆ</w:t>
      </w:r>
      <w:r w:rsidR="006F76EB" w:rsidRPr="00834D52">
        <w:rPr>
          <w:rFonts w:ascii="Sylfaen" w:hAnsi="Sylfaen"/>
          <w:sz w:val="24"/>
          <w:szCs w:val="24"/>
        </w:rPr>
        <w:t xml:space="preserve"> </w:t>
      </w:r>
      <w:r w:rsidR="006F76EB" w:rsidRPr="00834D52">
        <w:rPr>
          <w:rFonts w:ascii="Sylfaen" w:hAnsi="Sylfaen" w:cs="Sylfaen"/>
          <w:sz w:val="24"/>
          <w:szCs w:val="24"/>
        </w:rPr>
        <w:t>ԿԻՐԱՌՈՒԹՅԱՄԲ</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p>
    <w:p w14:paraId="2BE2B330" w14:textId="77777777" w:rsidR="006F76EB" w:rsidRPr="00834D52" w:rsidRDefault="00FC294A" w:rsidP="006F76EB">
      <w:pPr>
        <w:spacing w:after="160" w:line="360" w:lineRule="auto"/>
        <w:ind w:left="1134" w:right="1132"/>
        <w:jc w:val="center"/>
        <w:rPr>
          <w:rFonts w:ascii="Sylfaen" w:eastAsia="Times New Roman" w:hAnsi="Sylfaen" w:cs="Times New Roman"/>
          <w:sz w:val="24"/>
          <w:szCs w:val="24"/>
        </w:rPr>
      </w:pPr>
      <w:r>
        <w:rPr>
          <w:rFonts w:ascii="Sylfaen" w:hAnsi="Sylfaen"/>
          <w:noProof/>
          <w:sz w:val="24"/>
          <w:szCs w:val="24"/>
        </w:rPr>
        <w:pict w14:anchorId="31E2F9E7">
          <v:rect id="_x0000_s1054" style="position:absolute;left:0;text-align:left;margin-left:55.5pt;margin-top:2.5pt;width:12.75pt;height:12pt;z-index:251546112"/>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ԴԵՂԱՊԱՏՐԱՍՏՈՒԿ</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ՊՐԵԿՈՒՐՍՈՐ</w:t>
      </w:r>
    </w:p>
    <w:p w14:paraId="3300F2BC" w14:textId="77777777" w:rsidR="006F76EB" w:rsidRPr="00834D52" w:rsidRDefault="00FC294A"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B99E6D6">
          <v:rect id="_x0000_s1055" style="position:absolute;left:0;text-align:left;margin-left:1.5pt;margin-top:4.9pt;width:12.75pt;height:12pt;z-index:251547136"/>
        </w:pic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հավաքակազմը</w:t>
      </w:r>
    </w:p>
    <w:p w14:paraId="466CD5E9" w14:textId="77777777" w:rsidR="006F76EB" w:rsidRPr="00834D52" w:rsidRDefault="00FC294A" w:rsidP="006F76EB">
      <w:pPr>
        <w:spacing w:after="160" w:line="360" w:lineRule="auto"/>
        <w:ind w:left="567" w:right="-8"/>
        <w:rPr>
          <w:rFonts w:ascii="Sylfaen" w:eastAsia="Times New Roman" w:hAnsi="Sylfaen" w:cs="Times New Roman"/>
          <w:sz w:val="24"/>
          <w:szCs w:val="24"/>
        </w:rPr>
      </w:pPr>
      <w:r>
        <w:rPr>
          <w:rFonts w:ascii="Sylfaen" w:eastAsia="Times New Roman" w:hAnsi="Sylfaen" w:cs="Times New Roman"/>
          <w:noProof/>
          <w:sz w:val="24"/>
          <w:szCs w:val="24"/>
        </w:rPr>
        <w:pict w14:anchorId="0A398A5E">
          <v:rect id="_x0000_s1056" style="position:absolute;left:0;text-align:left;margin-left:1.5pt;margin-top:2.3pt;width:12.75pt;height:12pt;z-index:251548160"/>
        </w:pict>
      </w:r>
      <w:r w:rsidR="006F76EB" w:rsidRPr="00834D52">
        <w:rPr>
          <w:rFonts w:ascii="Sylfaen" w:hAnsi="Sylfaen" w:cs="Sylfaen"/>
          <w:sz w:val="24"/>
          <w:szCs w:val="24"/>
        </w:rPr>
        <w:t>ռադիոնուկլիդի</w:t>
      </w:r>
      <w:r w:rsidR="006F76EB" w:rsidRPr="00834D52">
        <w:rPr>
          <w:rFonts w:ascii="Sylfaen" w:hAnsi="Sylfaen"/>
          <w:sz w:val="24"/>
          <w:szCs w:val="24"/>
        </w:rPr>
        <w:t xml:space="preserve"> </w:t>
      </w:r>
      <w:r w:rsidR="006F76EB" w:rsidRPr="00834D52">
        <w:rPr>
          <w:rFonts w:ascii="Sylfaen" w:hAnsi="Sylfaen" w:cs="Sylfaen"/>
          <w:sz w:val="24"/>
          <w:szCs w:val="24"/>
        </w:rPr>
        <w:t>պրեկուրսորը</w:t>
      </w:r>
    </w:p>
    <w:tbl>
      <w:tblPr>
        <w:tblW w:w="9788" w:type="dxa"/>
        <w:jc w:val="center"/>
        <w:tblLayout w:type="fixed"/>
        <w:tblCellMar>
          <w:left w:w="0" w:type="dxa"/>
          <w:right w:w="0" w:type="dxa"/>
        </w:tblCellMar>
        <w:tblLook w:val="01E0" w:firstRow="1" w:lastRow="1" w:firstColumn="1" w:lastColumn="1" w:noHBand="0" w:noVBand="0"/>
      </w:tblPr>
      <w:tblGrid>
        <w:gridCol w:w="4804"/>
        <w:gridCol w:w="6"/>
        <w:gridCol w:w="4978"/>
      </w:tblGrid>
      <w:tr w:rsidR="006F76EB" w:rsidRPr="00834D52" w14:paraId="606C9D50" w14:textId="77777777" w:rsidTr="00F71229">
        <w:trPr>
          <w:jc w:val="center"/>
        </w:trPr>
        <w:tc>
          <w:tcPr>
            <w:tcW w:w="4810" w:type="dxa"/>
            <w:gridSpan w:val="2"/>
            <w:tcBorders>
              <w:top w:val="single" w:sz="4" w:space="0" w:color="000000"/>
              <w:left w:val="single" w:sz="4" w:space="0" w:color="000000"/>
              <w:bottom w:val="single" w:sz="4" w:space="0" w:color="000000"/>
              <w:right w:val="single" w:sz="4" w:space="0" w:color="000000"/>
            </w:tcBorders>
          </w:tcPr>
          <w:p w14:paraId="58572DA6" w14:textId="77777777" w:rsidR="006F76EB" w:rsidRPr="00834D52" w:rsidRDefault="006F76EB" w:rsidP="00F24A75">
            <w:pPr>
              <w:spacing w:after="120" w:line="240" w:lineRule="auto"/>
              <w:ind w:left="213"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w:t>
            </w:r>
            <w:r w:rsidRPr="00834D52">
              <w:rPr>
                <w:rFonts w:ascii="Sylfaen" w:hAnsi="Sylfaen"/>
                <w:sz w:val="24"/>
                <w:szCs w:val="24"/>
              </w:rPr>
              <w:br/>
              <w:t xml:space="preserve">(առաջնային </w:t>
            </w:r>
            <w:r w:rsidR="00C54D75">
              <w:rPr>
                <w:rFonts w:ascii="Sylfaen" w:hAnsi="Sylfaen"/>
                <w:sz w:val="24"/>
                <w:szCs w:val="24"/>
              </w:rPr>
              <w:t>և</w:t>
            </w:r>
            <w:r w:rsidRPr="00834D52">
              <w:rPr>
                <w:rFonts w:ascii="Sylfaen" w:hAnsi="Sylfaen"/>
                <w:sz w:val="24"/>
                <w:szCs w:val="24"/>
              </w:rPr>
              <w:t xml:space="preserve"> երկրորդային)</w:t>
            </w:r>
            <w:r w:rsidRPr="00834D52">
              <w:rPr>
                <w:rFonts w:ascii="Sylfaen" w:hAnsi="Sylfaen"/>
                <w:sz w:val="24"/>
                <w:szCs w:val="24"/>
              </w:rPr>
              <w:br/>
              <w:t>(առկայության դեպքում)</w:t>
            </w:r>
          </w:p>
        </w:tc>
        <w:tc>
          <w:tcPr>
            <w:tcW w:w="4978" w:type="dxa"/>
            <w:tcBorders>
              <w:top w:val="single" w:sz="4" w:space="0" w:color="000000"/>
              <w:left w:val="single" w:sz="4" w:space="0" w:color="000000"/>
              <w:bottom w:val="single" w:sz="4" w:space="0" w:color="000000"/>
              <w:right w:val="single" w:sz="4" w:space="0" w:color="000000"/>
            </w:tcBorders>
          </w:tcPr>
          <w:p w14:paraId="237F29A0" w14:textId="77777777" w:rsidR="006F76EB" w:rsidRPr="00834D52" w:rsidRDefault="006F76EB" w:rsidP="00F24A75">
            <w:pPr>
              <w:spacing w:after="120" w:line="240" w:lineRule="auto"/>
              <w:ind w:right="-8"/>
              <w:rPr>
                <w:rFonts w:ascii="Sylfaen" w:hAnsi="Sylfaen"/>
                <w:sz w:val="24"/>
                <w:szCs w:val="24"/>
              </w:rPr>
            </w:pPr>
          </w:p>
        </w:tc>
      </w:tr>
      <w:tr w:rsidR="006F76EB" w:rsidRPr="00834D52" w14:paraId="6F63359A" w14:textId="77777777" w:rsidTr="00DE7C06">
        <w:trPr>
          <w:jc w:val="center"/>
        </w:trPr>
        <w:tc>
          <w:tcPr>
            <w:tcW w:w="4804" w:type="dxa"/>
            <w:tcBorders>
              <w:top w:val="single" w:sz="4" w:space="0" w:color="000000"/>
              <w:left w:val="single" w:sz="4" w:space="0" w:color="000000"/>
              <w:bottom w:val="single" w:sz="4" w:space="0" w:color="000000"/>
              <w:right w:val="single" w:sz="4" w:space="0" w:color="000000"/>
            </w:tcBorders>
          </w:tcPr>
          <w:p w14:paraId="41DBFD20" w14:textId="77777777" w:rsidR="006F76EB" w:rsidRPr="00834D52" w:rsidRDefault="006F76EB" w:rsidP="00F71229">
            <w:pPr>
              <w:spacing w:after="160" w:line="360" w:lineRule="auto"/>
              <w:ind w:left="213" w:right="-8"/>
              <w:rPr>
                <w:rFonts w:ascii="Sylfaen" w:eastAsia="Times New Roman" w:hAnsi="Sylfaen" w:cs="Times New Roman"/>
                <w:sz w:val="24"/>
                <w:szCs w:val="24"/>
              </w:rPr>
            </w:pPr>
            <w:r w:rsidRPr="00834D52">
              <w:rPr>
                <w:rFonts w:ascii="Sylfaen" w:hAnsi="Sylfaen"/>
                <w:sz w:val="24"/>
                <w:szCs w:val="24"/>
              </w:rPr>
              <w:t>գեներատոր</w:t>
            </w:r>
          </w:p>
        </w:tc>
        <w:tc>
          <w:tcPr>
            <w:tcW w:w="4984" w:type="dxa"/>
            <w:gridSpan w:val="2"/>
            <w:tcBorders>
              <w:top w:val="single" w:sz="4" w:space="0" w:color="000000"/>
              <w:left w:val="single" w:sz="4" w:space="0" w:color="000000"/>
              <w:bottom w:val="single" w:sz="4" w:space="0" w:color="000000"/>
              <w:right w:val="single" w:sz="4" w:space="0" w:color="000000"/>
            </w:tcBorders>
          </w:tcPr>
          <w:p w14:paraId="2F8A8027" w14:textId="77777777" w:rsidR="006F76EB" w:rsidRPr="00834D52" w:rsidRDefault="006F76EB" w:rsidP="00F71229">
            <w:pPr>
              <w:spacing w:after="160" w:line="360" w:lineRule="auto"/>
              <w:ind w:right="-8"/>
              <w:rPr>
                <w:rFonts w:ascii="Sylfaen" w:hAnsi="Sylfaen"/>
                <w:sz w:val="24"/>
                <w:szCs w:val="24"/>
              </w:rPr>
            </w:pPr>
          </w:p>
        </w:tc>
      </w:tr>
    </w:tbl>
    <w:p w14:paraId="4C0C4231" w14:textId="77777777" w:rsidR="006F76EB" w:rsidRPr="00834D52" w:rsidRDefault="006F76EB" w:rsidP="006F76EB">
      <w:pPr>
        <w:spacing w:after="160" w:line="360" w:lineRule="auto"/>
        <w:ind w:right="-8"/>
        <w:rPr>
          <w:rFonts w:ascii="Sylfaen" w:hAnsi="Sylfaen"/>
          <w:sz w:val="24"/>
          <w:szCs w:val="24"/>
        </w:rPr>
      </w:pPr>
    </w:p>
    <w:p w14:paraId="0D542559"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5C7DFDE8">
          <v:rect id="_x0000_s1057" style="position:absolute;left:0;text-align:left;margin-left:100.85pt;margin-top:2.85pt;width:12.75pt;height:12pt;z-index:251549184"/>
        </w:pict>
      </w:r>
      <w:r w:rsidR="006F76EB" w:rsidRPr="00834D52">
        <w:rPr>
          <w:rFonts w:ascii="Sylfaen" w:hAnsi="Sylfaen"/>
          <w:sz w:val="24"/>
          <w:szCs w:val="24"/>
        </w:rPr>
        <w:t>ՀՈՄԵՈՊԱԹԻԿ ԴԵՂԱՊԱՏՐԱՍՏՈՒԿ</w:t>
      </w:r>
    </w:p>
    <w:p w14:paraId="70298F1C" w14:textId="77777777" w:rsidR="006F76EB" w:rsidRPr="00834D52" w:rsidRDefault="006F76EB" w:rsidP="00DE7C06">
      <w:pPr>
        <w:spacing w:after="160" w:line="360" w:lineRule="auto"/>
        <w:ind w:right="-8"/>
        <w:jc w:val="center"/>
        <w:rPr>
          <w:rFonts w:ascii="Sylfaen" w:hAnsi="Sylfaen"/>
          <w:sz w:val="24"/>
          <w:szCs w:val="24"/>
        </w:rPr>
      </w:pPr>
    </w:p>
    <w:p w14:paraId="056425D4" w14:textId="77777777" w:rsidR="006F76EB" w:rsidRPr="00834D52" w:rsidRDefault="00FC294A"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68828B3D">
          <v:rect id="_x0000_s1058" style="position:absolute;left:0;text-align:left;margin-left:.75pt;margin-top:5.15pt;width:12.75pt;height:12pt;z-index:251550208"/>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չներառված</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6E0BE4D8" w14:textId="77777777" w:rsidR="006F76EB" w:rsidRPr="00834D52" w:rsidRDefault="00FC294A" w:rsidP="006F76EB">
      <w:pPr>
        <w:spacing w:after="160" w:line="360" w:lineRule="auto"/>
        <w:ind w:left="567" w:right="-8"/>
        <w:rPr>
          <w:rFonts w:ascii="Sylfaen" w:eastAsia="Times New Roman" w:hAnsi="Sylfaen" w:cs="Times New Roman"/>
          <w:sz w:val="24"/>
          <w:szCs w:val="24"/>
        </w:rPr>
      </w:pPr>
      <w:r>
        <w:rPr>
          <w:rFonts w:ascii="Sylfaen" w:hAnsi="Sylfaen"/>
          <w:noProof/>
          <w:sz w:val="24"/>
          <w:szCs w:val="24"/>
        </w:rPr>
        <w:pict w14:anchorId="73249AD1">
          <v:rect id="_x0000_s1059" style="position:absolute;left:0;text-align:left;margin-left:.75pt;margin-top:2.55pt;width:12.75pt;height:12pt;z-index:251551232"/>
        </w:pict>
      </w:r>
      <w:r w:rsidR="006F76EB" w:rsidRPr="00834D52">
        <w:rPr>
          <w:rFonts w:ascii="Sylfaen" w:hAnsi="Sylfaen" w:cs="Sylfaen"/>
          <w:sz w:val="24"/>
          <w:szCs w:val="24"/>
        </w:rPr>
        <w:t>դեղագրքերում</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մենագրությունների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ներառված</w:t>
      </w:r>
      <w:r w:rsidR="006F76EB" w:rsidRPr="00834D52">
        <w:rPr>
          <w:rFonts w:ascii="Sylfaen" w:hAnsi="Sylfaen"/>
          <w:sz w:val="24"/>
          <w:szCs w:val="24"/>
        </w:rPr>
        <w:t xml:space="preserve"> </w:t>
      </w:r>
      <w:r w:rsidR="006F76EB" w:rsidRPr="00834D52">
        <w:rPr>
          <w:rFonts w:ascii="Sylfaen" w:hAnsi="Sylfaen" w:cs="Sylfaen"/>
          <w:sz w:val="24"/>
          <w:szCs w:val="24"/>
        </w:rPr>
        <w:t>հոմեոպաթիկ</w:t>
      </w:r>
      <w:r w:rsidR="006F76EB" w:rsidRPr="00834D52">
        <w:rPr>
          <w:rFonts w:ascii="Sylfaen" w:hAnsi="Sylfaen"/>
          <w:sz w:val="24"/>
          <w:szCs w:val="24"/>
        </w:rPr>
        <w:t xml:space="preserve"> </w:t>
      </w:r>
      <w:r w:rsidR="006F76EB" w:rsidRPr="00834D52">
        <w:rPr>
          <w:rFonts w:ascii="Sylfaen" w:hAnsi="Sylfaen" w:cs="Sylfaen"/>
          <w:sz w:val="24"/>
          <w:szCs w:val="24"/>
        </w:rPr>
        <w:t>պատրաստուկ</w:t>
      </w:r>
    </w:p>
    <w:p w14:paraId="59572076"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5E544733">
          <v:rect id="_x0000_s1060" style="position:absolute;left:0;text-align:left;margin-left:105pt;margin-top:2.55pt;width:12.75pt;height:12pt;z-index:251552256"/>
        </w:pict>
      </w:r>
      <w:r w:rsidR="006F76EB" w:rsidRPr="00834D52">
        <w:rPr>
          <w:rFonts w:ascii="Sylfaen" w:hAnsi="Sylfaen" w:cs="Sylfaen"/>
          <w:sz w:val="24"/>
          <w:szCs w:val="24"/>
        </w:rPr>
        <w:t>ԲՈՒՍԱԿԱՆ</w:t>
      </w:r>
      <w:r w:rsidR="006F76EB" w:rsidRPr="00834D52">
        <w:rPr>
          <w:rFonts w:ascii="Sylfaen" w:hAnsi="Sylfaen"/>
          <w:sz w:val="24"/>
          <w:szCs w:val="24"/>
        </w:rPr>
        <w:t xml:space="preserve"> ԴԵՂԱՊԱՏՐԱՍՏՈՒԿ</w:t>
      </w:r>
    </w:p>
    <w:p w14:paraId="7E854194"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23C525B">
          <v:rect id="_x0000_s1061" style="position:absolute;left:0;text-align:left;margin-left:51.35pt;margin-top:3.35pt;width:12.75pt;height:12pt;z-index:251553280"/>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ԳՐԱՆՑՈՒՄ</w:t>
      </w:r>
      <w:r w:rsidR="006F76EB" w:rsidRPr="00834D52">
        <w:rPr>
          <w:rFonts w:ascii="Sylfaen" w:hAnsi="Sylfaen"/>
          <w:sz w:val="24"/>
          <w:szCs w:val="24"/>
        </w:rPr>
        <w:t xml:space="preserve"> </w:t>
      </w:r>
      <w:r w:rsidR="006F76EB" w:rsidRPr="00834D52">
        <w:rPr>
          <w:rFonts w:ascii="Sylfaen" w:hAnsi="Sylfaen" w:cs="Sylfaen"/>
          <w:sz w:val="24"/>
          <w:szCs w:val="24"/>
        </w:rPr>
        <w:t>ՊԱՀԱՆՋՈՂ</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w:t>
      </w:r>
    </w:p>
    <w:p w14:paraId="5931CE7D" w14:textId="77777777" w:rsidR="006F76EB" w:rsidRPr="00834D52" w:rsidRDefault="006F76EB" w:rsidP="00DE7C06">
      <w:pPr>
        <w:spacing w:after="160" w:line="360" w:lineRule="auto"/>
        <w:ind w:right="-8"/>
        <w:jc w:val="center"/>
        <w:rPr>
          <w:rFonts w:ascii="Sylfaen" w:hAnsi="Sylfaen"/>
          <w:sz w:val="24"/>
          <w:szCs w:val="24"/>
        </w:rPr>
      </w:pPr>
    </w:p>
    <w:p w14:paraId="66CB77D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Նշել անհրաժեշտը՝</w:t>
      </w:r>
    </w:p>
    <w:p w14:paraId="26C13232" w14:textId="77777777" w:rsidR="006F76EB" w:rsidRPr="00834D52" w:rsidRDefault="00FC294A"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3F305D4D">
          <v:rect id="_x0000_s1062" style="position:absolute;left:0;text-align:left;margin-left:.75pt;margin-top:4.5pt;width:12.75pt;height:12pt;z-index:251554304"/>
        </w:pict>
      </w:r>
      <w:r w:rsidR="006F76EB" w:rsidRPr="00834D52">
        <w:rPr>
          <w:rFonts w:ascii="Sylfaen" w:hAnsi="Sylfaen" w:cs="Sylfaen"/>
          <w:sz w:val="24"/>
          <w:szCs w:val="24"/>
        </w:rPr>
        <w:t>այն</w:t>
      </w:r>
      <w:r w:rsidR="006F76EB" w:rsidRPr="00834D52">
        <w:rPr>
          <w:rFonts w:ascii="Sylfaen" w:hAnsi="Sylfaen"/>
          <w:sz w:val="24"/>
          <w:szCs w:val="24"/>
        </w:rPr>
        <w:t xml:space="preserve"> </w:t>
      </w:r>
      <w:r w:rsidR="006F76EB" w:rsidRPr="00834D52">
        <w:rPr>
          <w:rFonts w:ascii="Sylfaen" w:hAnsi="Sylfaen" w:cs="Sylfaen"/>
          <w:sz w:val="24"/>
          <w:szCs w:val="24"/>
        </w:rPr>
        <w:t>ակտիվ</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բաղադրամասերի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փոփոխությունները</w:t>
      </w:r>
      <w:r w:rsidR="006F76EB" w:rsidRPr="00834D52">
        <w:rPr>
          <w:rFonts w:ascii="Sylfaen" w:hAnsi="Sylfaen"/>
          <w:sz w:val="24"/>
          <w:szCs w:val="24"/>
        </w:rPr>
        <w:t xml:space="preserve">, </w:t>
      </w:r>
      <w:r w:rsidR="006F76EB" w:rsidRPr="00834D52">
        <w:rPr>
          <w:rFonts w:ascii="Sylfaen" w:hAnsi="Sylfaen" w:cs="Sylfaen"/>
          <w:sz w:val="24"/>
          <w:szCs w:val="24"/>
        </w:rPr>
        <w:t>որոնք</w:t>
      </w:r>
      <w:r w:rsidR="006F76EB" w:rsidRPr="00834D52">
        <w:rPr>
          <w:rFonts w:ascii="Sylfaen" w:hAnsi="Sylfaen"/>
          <w:sz w:val="24"/>
          <w:szCs w:val="24"/>
        </w:rPr>
        <w:t xml:space="preserve"> </w:t>
      </w:r>
      <w:r w:rsidR="006F76EB" w:rsidRPr="00834D52">
        <w:rPr>
          <w:rFonts w:ascii="Sylfaen" w:hAnsi="Sylfaen" w:cs="Sylfaen"/>
          <w:sz w:val="24"/>
          <w:szCs w:val="24"/>
        </w:rPr>
        <w:t>չեն</w:t>
      </w:r>
      <w:r w:rsidR="006F76EB" w:rsidRPr="00834D52">
        <w:rPr>
          <w:rFonts w:ascii="Sylfaen" w:hAnsi="Sylfaen"/>
          <w:sz w:val="24"/>
          <w:szCs w:val="24"/>
        </w:rPr>
        <w:t xml:space="preserve"> </w:t>
      </w:r>
      <w:r w:rsidR="006F76EB" w:rsidRPr="00834D52">
        <w:rPr>
          <w:rFonts w:ascii="Sylfaen" w:hAnsi="Sylfaen" w:cs="Sylfaen"/>
          <w:sz w:val="24"/>
          <w:szCs w:val="24"/>
        </w:rPr>
        <w:t>որակվում</w:t>
      </w:r>
      <w:r w:rsidR="006F76EB" w:rsidRPr="00834D52">
        <w:rPr>
          <w:rFonts w:ascii="Sylfaen" w:hAnsi="Sylfaen"/>
          <w:sz w:val="24"/>
          <w:szCs w:val="24"/>
        </w:rPr>
        <w:t xml:space="preserve"> </w:t>
      </w:r>
      <w:r w:rsidR="006F76EB" w:rsidRPr="00834D52">
        <w:rPr>
          <w:rFonts w:ascii="Sylfaen" w:hAnsi="Sylfaen" w:cs="Sylfaen"/>
          <w:sz w:val="24"/>
          <w:szCs w:val="24"/>
        </w:rPr>
        <w:t>որպես</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ԱԴԲ՝</w:t>
      </w:r>
    </w:p>
    <w:p w14:paraId="5CAF7FC1"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D78308F">
          <v:rect id="_x0000_s1063" style="position:absolute;left:0;text-align:left;margin-left:-.55pt;margin-top:3.05pt;width:12.75pt;height:12pt;z-index:251555328"/>
        </w:pict>
      </w:r>
      <w:r w:rsidR="006F76EB" w:rsidRPr="00834D52">
        <w:rPr>
          <w:rFonts w:ascii="Sylfaen" w:hAnsi="Sylfaen"/>
          <w:sz w:val="24"/>
          <w:szCs w:val="24"/>
        </w:rPr>
        <w:t>քիմիական ԱԴԲ-ի փոխարինումն այլ աղով (եթերով, կոմպլեքսով, ածանցյալով) ազդող նյութի մոլեկուլի նույն ակտիվ ֆունկցիոնալ մասով, որը պատասխանատու է թերապ</w:t>
      </w:r>
      <w:r w:rsidR="00C54D75">
        <w:rPr>
          <w:rFonts w:ascii="Sylfaen" w:hAnsi="Sylfaen"/>
          <w:sz w:val="24"/>
          <w:szCs w:val="24"/>
        </w:rPr>
        <w:t>և</w:t>
      </w:r>
      <w:r w:rsidR="006F76EB" w:rsidRPr="00834D52">
        <w:rPr>
          <w:rFonts w:ascii="Sylfaen" w:hAnsi="Sylfaen"/>
          <w:sz w:val="24"/>
          <w:szCs w:val="24"/>
        </w:rPr>
        <w:t>տիկ ազդեցության համար արդյունավետության (անվտանգության) մասով էական տարբերությունների բացակայության դեպքում,</w:t>
      </w:r>
    </w:p>
    <w:p w14:paraId="53C4F5EA"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46EBB2C5">
          <v:rect id="_x0000_s1064" style="position:absolute;left:0;text-align:left;margin-left:.2pt;margin-top:3.9pt;width:12.75pt;height:12pt;z-index:251556352"/>
        </w:pict>
      </w:r>
      <w:r w:rsidR="006F76EB" w:rsidRPr="00834D52">
        <w:rPr>
          <w:rFonts w:ascii="Sylfaen" w:hAnsi="Sylfaen" w:cs="Sylfaen"/>
          <w:sz w:val="24"/>
          <w:szCs w:val="24"/>
        </w:rPr>
        <w:t>փոխարինում</w:t>
      </w:r>
      <w:r w:rsidR="006F76EB" w:rsidRPr="00834D52">
        <w:rPr>
          <w:rFonts w:ascii="Sylfaen" w:hAnsi="Sylfaen"/>
          <w:sz w:val="24"/>
          <w:szCs w:val="24"/>
        </w:rPr>
        <w:t xml:space="preserve">ն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իզոմերով</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առանձին</w:t>
      </w:r>
      <w:r w:rsidR="006F76EB" w:rsidRPr="00834D52">
        <w:rPr>
          <w:rFonts w:ascii="Sylfaen" w:hAnsi="Sylfaen"/>
          <w:sz w:val="24"/>
          <w:szCs w:val="24"/>
        </w:rPr>
        <w:t xml:space="preserve"> </w:t>
      </w:r>
      <w:r w:rsidR="006F76EB" w:rsidRPr="00834D52">
        <w:rPr>
          <w:rFonts w:ascii="Sylfaen" w:hAnsi="Sylfaen" w:cs="Sylfaen"/>
          <w:sz w:val="24"/>
          <w:szCs w:val="24"/>
        </w:rPr>
        <w:t>իզոմերների</w:t>
      </w:r>
      <w:r w:rsidR="006F76EB" w:rsidRPr="00834D52">
        <w:rPr>
          <w:rFonts w:ascii="Sylfaen" w:hAnsi="Sylfaen"/>
          <w:sz w:val="24"/>
          <w:szCs w:val="24"/>
        </w:rPr>
        <w:t xml:space="preserve"> </w:t>
      </w:r>
      <w:r w:rsidR="006F76EB" w:rsidRPr="00834D52">
        <w:rPr>
          <w:rFonts w:ascii="Sylfaen" w:hAnsi="Sylfaen" w:cs="Sylfaen"/>
          <w:sz w:val="24"/>
          <w:szCs w:val="24"/>
        </w:rPr>
        <w:t>խառնուրդով</w:t>
      </w:r>
      <w:r w:rsidR="006F76EB" w:rsidRPr="00834D52">
        <w:rPr>
          <w:rFonts w:ascii="Sylfaen" w:hAnsi="Sylfaen"/>
          <w:sz w:val="24"/>
          <w:szCs w:val="24"/>
        </w:rPr>
        <w:t xml:space="preserve"> (</w:t>
      </w:r>
      <w:r w:rsidR="006F76EB" w:rsidRPr="00834D52">
        <w:rPr>
          <w:rFonts w:ascii="Sylfaen" w:hAnsi="Sylfaen" w:cs="Sylfaen"/>
          <w:sz w:val="24"/>
          <w:szCs w:val="24"/>
        </w:rPr>
        <w:t>օրինակ՝</w:t>
      </w:r>
      <w:r w:rsidR="006F76EB" w:rsidRPr="00834D52">
        <w:rPr>
          <w:rFonts w:ascii="Sylfaen" w:hAnsi="Sylfaen"/>
          <w:sz w:val="24"/>
          <w:szCs w:val="24"/>
        </w:rPr>
        <w:t xml:space="preserve"> </w:t>
      </w:r>
      <w:r w:rsidR="006F76EB" w:rsidRPr="00834D52">
        <w:rPr>
          <w:rFonts w:ascii="Sylfaen" w:hAnsi="Sylfaen" w:cs="Sylfaen"/>
          <w:sz w:val="24"/>
          <w:szCs w:val="24"/>
        </w:rPr>
        <w:t>ռացեմատի</w:t>
      </w:r>
      <w:r w:rsidR="006F76EB" w:rsidRPr="00834D52">
        <w:rPr>
          <w:rFonts w:ascii="Sylfaen" w:hAnsi="Sylfaen"/>
          <w:sz w:val="24"/>
          <w:szCs w:val="24"/>
        </w:rPr>
        <w:t xml:space="preserve"> </w:t>
      </w:r>
      <w:r w:rsidR="006F76EB" w:rsidRPr="00834D52">
        <w:rPr>
          <w:rFonts w:ascii="Sylfaen" w:hAnsi="Sylfaen" w:cs="Sylfaen"/>
          <w:sz w:val="24"/>
          <w:szCs w:val="24"/>
        </w:rPr>
        <w:t>փոխարինումը</w:t>
      </w:r>
      <w:r w:rsidR="006F76EB" w:rsidRPr="00834D52">
        <w:rPr>
          <w:rFonts w:ascii="Sylfaen" w:hAnsi="Sylfaen"/>
          <w:sz w:val="24"/>
          <w:szCs w:val="24"/>
        </w:rPr>
        <w:t xml:space="preserve"> </w:t>
      </w:r>
      <w:r w:rsidR="006F76EB" w:rsidRPr="00834D52">
        <w:rPr>
          <w:rFonts w:ascii="Sylfaen" w:hAnsi="Sylfaen" w:cs="Sylfaen"/>
          <w:sz w:val="24"/>
          <w:szCs w:val="24"/>
        </w:rPr>
        <w:t>միակ</w:t>
      </w:r>
      <w:r w:rsidR="006F76EB" w:rsidRPr="00834D52">
        <w:rPr>
          <w:rFonts w:ascii="Sylfaen" w:hAnsi="Sylfaen"/>
          <w:sz w:val="24"/>
          <w:szCs w:val="24"/>
        </w:rPr>
        <w:t xml:space="preserve"> </w:t>
      </w:r>
      <w:r w:rsidR="006F76EB" w:rsidRPr="00834D52">
        <w:rPr>
          <w:rFonts w:ascii="Sylfaen" w:hAnsi="Sylfaen" w:cs="Sylfaen"/>
          <w:sz w:val="24"/>
          <w:szCs w:val="24"/>
        </w:rPr>
        <w:t>էնանտիոմերով</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461AF3F0"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35FAB8">
          <v:rect id="_x0000_s1065" style="position:absolute;left:0;text-align:left;margin-left:.1pt;margin-top:3.55pt;width:12.75pt;height:12pt;z-index:251557376"/>
        </w:pict>
      </w:r>
      <w:r w:rsidR="006F76EB" w:rsidRPr="00834D52">
        <w:rPr>
          <w:rFonts w:ascii="Sylfaen" w:hAnsi="Sylfaen"/>
          <w:sz w:val="24"/>
          <w:szCs w:val="24"/>
        </w:rPr>
        <w:t xml:space="preserve">կենսաբանական ԱԴԲ-ի փոխարինումը մեկ այլ՝ փոքր-ինչ փոփոխված մոլեկուլային կառուցվածքով արդյունավետության </w:t>
      </w:r>
      <w:r w:rsidR="00C54D75">
        <w:rPr>
          <w:rFonts w:ascii="Sylfaen" w:hAnsi="Sylfaen"/>
          <w:sz w:val="24"/>
          <w:szCs w:val="24"/>
        </w:rPr>
        <w:t>և</w:t>
      </w:r>
      <w:r w:rsidR="006F76EB" w:rsidRPr="00834D52">
        <w:rPr>
          <w:rFonts w:ascii="Sylfaen" w:hAnsi="Sylfaen"/>
          <w:sz w:val="24"/>
          <w:szCs w:val="24"/>
        </w:rPr>
        <w:t xml:space="preserve"> (կամ) անվտանգության մասով էական տարբերությունների բացակայության դեպքում՝ բացառությամբ մարդու գրիպի կանխարգելման համար սեզոնային, նախահամավարակային կամ համավարակային պատվաստանյութի ԱԴԲ-ի փոփոխությունների,</w:t>
      </w:r>
    </w:p>
    <w:p w14:paraId="130D278A"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40E045CD">
          <v:rect id="_x0000_s1066" style="position:absolute;left:0;text-align:left;margin-left:.85pt;margin-top:4.4pt;width:12.75pt;height:12pt;z-index:251558400"/>
        </w:pict>
      </w:r>
      <w:r w:rsidR="006F76EB" w:rsidRPr="00834D52">
        <w:rPr>
          <w:rFonts w:ascii="Sylfaen" w:hAnsi="Sylfaen" w:cs="Sylfaen"/>
          <w:sz w:val="24"/>
          <w:szCs w:val="24"/>
        </w:rPr>
        <w:t>հակածին</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ելանյութ</w:t>
      </w:r>
      <w:r w:rsidR="006F76EB" w:rsidRPr="00834D52">
        <w:rPr>
          <w:rFonts w:ascii="Sylfaen" w:hAnsi="Sylfaen"/>
          <w:sz w:val="24"/>
          <w:szCs w:val="24"/>
        </w:rPr>
        <w:t xml:space="preserve"> </w:t>
      </w:r>
      <w:r w:rsidR="006F76EB" w:rsidRPr="00834D52">
        <w:rPr>
          <w:rFonts w:ascii="Sylfaen" w:hAnsi="Sylfaen" w:cs="Sylfaen"/>
          <w:sz w:val="24"/>
          <w:szCs w:val="24"/>
        </w:rPr>
        <w:t>ստանալու</w:t>
      </w:r>
      <w:r w:rsidR="006F76EB" w:rsidRPr="00834D52">
        <w:rPr>
          <w:rFonts w:ascii="Sylfaen" w:hAnsi="Sylfaen"/>
          <w:sz w:val="24"/>
          <w:szCs w:val="24"/>
        </w:rPr>
        <w:t xml:space="preserve"> </w:t>
      </w:r>
      <w:r w:rsidR="006F76EB" w:rsidRPr="00834D52">
        <w:rPr>
          <w:rFonts w:ascii="Sylfaen" w:hAnsi="Sylfaen" w:cs="Sylfaen"/>
          <w:sz w:val="24"/>
          <w:szCs w:val="24"/>
        </w:rPr>
        <w:t>համար</w:t>
      </w:r>
      <w:r w:rsidR="006F76EB" w:rsidRPr="00834D52">
        <w:rPr>
          <w:rFonts w:ascii="Sylfaen" w:hAnsi="Sylfaen"/>
          <w:sz w:val="24"/>
          <w:szCs w:val="24"/>
        </w:rPr>
        <w:t xml:space="preserve"> </w:t>
      </w:r>
      <w:r w:rsidR="006F76EB" w:rsidRPr="00834D52">
        <w:rPr>
          <w:rFonts w:ascii="Sylfaen" w:hAnsi="Sylfaen" w:cs="Sylfaen"/>
          <w:sz w:val="24"/>
          <w:szCs w:val="24"/>
        </w:rPr>
        <w:t>օգտագործվող</w:t>
      </w:r>
      <w:r w:rsidR="006F76EB" w:rsidRPr="00834D52">
        <w:rPr>
          <w:rFonts w:ascii="Sylfaen" w:hAnsi="Sylfaen"/>
          <w:sz w:val="24"/>
          <w:szCs w:val="24"/>
        </w:rPr>
        <w:t xml:space="preserve"> </w:t>
      </w:r>
      <w:r w:rsidR="006F76EB" w:rsidRPr="00834D52">
        <w:rPr>
          <w:rFonts w:ascii="Sylfaen" w:hAnsi="Sylfaen" w:cs="Sylfaen"/>
          <w:sz w:val="24"/>
          <w:szCs w:val="24"/>
        </w:rPr>
        <w:t>վեկտորի</w:t>
      </w:r>
      <w:r w:rsidR="006F76EB" w:rsidRPr="00834D52">
        <w:rPr>
          <w:rFonts w:ascii="Sylfaen" w:hAnsi="Sylfaen"/>
          <w:sz w:val="24"/>
          <w:szCs w:val="24"/>
        </w:rPr>
        <w:t xml:space="preserve"> </w:t>
      </w:r>
      <w:r w:rsidR="006F76EB" w:rsidRPr="00834D52">
        <w:rPr>
          <w:rFonts w:ascii="Sylfaen" w:hAnsi="Sylfaen" w:cs="Sylfaen"/>
          <w:sz w:val="24"/>
          <w:szCs w:val="24"/>
        </w:rPr>
        <w:t>մոդիֆիկացումները՝</w:t>
      </w:r>
      <w:r w:rsidR="006F76EB" w:rsidRPr="00834D52">
        <w:rPr>
          <w:rFonts w:ascii="Sylfaen" w:hAnsi="Sylfaen"/>
          <w:sz w:val="24"/>
          <w:szCs w:val="24"/>
        </w:rPr>
        <w:t xml:space="preserve"> </w:t>
      </w:r>
      <w:r w:rsidR="006F76EB" w:rsidRPr="00834D52">
        <w:rPr>
          <w:rFonts w:ascii="Sylfaen" w:hAnsi="Sylfaen" w:cs="Sylfaen"/>
          <w:sz w:val="24"/>
          <w:szCs w:val="24"/>
        </w:rPr>
        <w:t>ներառյալ</w:t>
      </w:r>
      <w:r w:rsidR="006F76EB" w:rsidRPr="00834D52">
        <w:rPr>
          <w:rFonts w:ascii="Sylfaen" w:hAnsi="Sylfaen"/>
          <w:sz w:val="24"/>
          <w:szCs w:val="24"/>
        </w:rPr>
        <w:t xml:space="preserve">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 xml:space="preserve"> </w:t>
      </w:r>
      <w:r w:rsidR="006F76EB" w:rsidRPr="00834D52">
        <w:rPr>
          <w:rFonts w:ascii="Sylfaen" w:hAnsi="Sylfaen" w:cs="Sylfaen"/>
          <w:sz w:val="24"/>
          <w:szCs w:val="24"/>
        </w:rPr>
        <w:t>այլ</w:t>
      </w:r>
      <w:r w:rsidR="006F76EB" w:rsidRPr="00834D52">
        <w:rPr>
          <w:rFonts w:ascii="Sylfaen" w:hAnsi="Sylfaen"/>
          <w:sz w:val="24"/>
          <w:szCs w:val="24"/>
        </w:rPr>
        <w:t xml:space="preserve"> </w:t>
      </w:r>
      <w:r w:rsidR="006F76EB" w:rsidRPr="00834D52">
        <w:rPr>
          <w:rFonts w:ascii="Sylfaen" w:hAnsi="Sylfaen" w:cs="Sylfaen"/>
          <w:sz w:val="24"/>
          <w:szCs w:val="24"/>
        </w:rPr>
        <w:t>աղբյուրից</w:t>
      </w:r>
      <w:r w:rsidR="006F76EB" w:rsidRPr="00834D52">
        <w:rPr>
          <w:rFonts w:ascii="Sylfaen" w:hAnsi="Sylfaen"/>
          <w:sz w:val="24"/>
          <w:szCs w:val="24"/>
        </w:rPr>
        <w:t xml:space="preserve"> </w:t>
      </w:r>
      <w:r w:rsidR="006F76EB" w:rsidRPr="00834D52">
        <w:rPr>
          <w:rFonts w:ascii="Sylfaen" w:hAnsi="Sylfaen" w:cs="Sylfaen"/>
          <w:sz w:val="24"/>
          <w:szCs w:val="24"/>
        </w:rPr>
        <w:t>բջիջների</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գլխավոր</w:t>
      </w:r>
      <w:r w:rsidR="006F76EB" w:rsidRPr="00834D52">
        <w:rPr>
          <w:rFonts w:ascii="Sylfaen" w:hAnsi="Sylfaen"/>
          <w:sz w:val="24"/>
          <w:szCs w:val="24"/>
        </w:rPr>
        <w:t xml:space="preserve"> </w:t>
      </w:r>
      <w:r w:rsidR="006F76EB" w:rsidRPr="00834D52">
        <w:rPr>
          <w:rFonts w:ascii="Sylfaen" w:hAnsi="Sylfaen" w:cs="Sylfaen"/>
          <w:sz w:val="24"/>
          <w:szCs w:val="24"/>
        </w:rPr>
        <w:t>բանկը</w:t>
      </w:r>
      <w:r w:rsidR="006F76EB" w:rsidRPr="00834D52">
        <w:rPr>
          <w:rFonts w:ascii="Sylfaen" w:hAnsi="Sylfaen"/>
          <w:sz w:val="24"/>
          <w:szCs w:val="24"/>
        </w:rPr>
        <w:t>,</w:t>
      </w:r>
    </w:p>
    <w:p w14:paraId="7AB29B71"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6E2A4F5">
          <v:rect id="_x0000_s1067" style="position:absolute;left:0;text-align:left;margin-left:1.6pt;margin-top:2.6pt;width:12.75pt;height:12pt;z-index:25155942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լիգանդը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ռադիոդեղագործական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պատրաստուկի</w:t>
      </w:r>
      <w:r w:rsidR="006F76EB" w:rsidRPr="00834D52">
        <w:rPr>
          <w:rFonts w:ascii="Sylfaen" w:hAnsi="Sylfaen"/>
          <w:sz w:val="24"/>
          <w:szCs w:val="24"/>
        </w:rPr>
        <w:t xml:space="preserve"> </w:t>
      </w:r>
      <w:r w:rsidR="006F76EB" w:rsidRPr="00834D52">
        <w:rPr>
          <w:rFonts w:ascii="Sylfaen" w:hAnsi="Sylfaen" w:cs="Sylfaen"/>
          <w:sz w:val="24"/>
          <w:szCs w:val="24"/>
        </w:rPr>
        <w:t>կապող</w:t>
      </w:r>
      <w:r w:rsidR="006F76EB" w:rsidRPr="00834D52">
        <w:rPr>
          <w:rFonts w:ascii="Sylfaen" w:hAnsi="Sylfaen"/>
          <w:sz w:val="24"/>
          <w:szCs w:val="24"/>
        </w:rPr>
        <w:t xml:space="preserve"> </w:t>
      </w:r>
      <w:r w:rsidR="006F76EB" w:rsidRPr="00834D52">
        <w:rPr>
          <w:rFonts w:ascii="Sylfaen" w:hAnsi="Sylfaen" w:cs="Sylfaen"/>
          <w:sz w:val="24"/>
          <w:szCs w:val="24"/>
        </w:rPr>
        <w:t>մեխանիզմ</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մասով</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10234BD" w14:textId="77777777" w:rsidR="006F76EB" w:rsidRPr="00834D52" w:rsidRDefault="00FC294A" w:rsidP="006F76EB">
      <w:pPr>
        <w:spacing w:after="160" w:line="360" w:lineRule="auto"/>
        <w:ind w:right="-8" w:firstLine="567"/>
        <w:rPr>
          <w:rFonts w:ascii="Sylfaen" w:eastAsia="Times New Roman" w:hAnsi="Sylfaen" w:cs="Times New Roman"/>
          <w:sz w:val="24"/>
          <w:szCs w:val="24"/>
        </w:rPr>
      </w:pPr>
      <w:r>
        <w:rPr>
          <w:rFonts w:ascii="Sylfaen" w:eastAsia="Times New Roman" w:hAnsi="Sylfaen" w:cs="Times New Roman"/>
          <w:noProof/>
          <w:sz w:val="24"/>
          <w:szCs w:val="24"/>
        </w:rPr>
        <w:pict w14:anchorId="6FDF42E3">
          <v:rect id="_x0000_s1069" style="position:absolute;left:0;text-align:left;margin-left:3pt;margin-top:100.4pt;width:12.75pt;height:12pt;z-index:251560448"/>
        </w:pict>
      </w:r>
      <w:r>
        <w:rPr>
          <w:rFonts w:ascii="Sylfaen" w:eastAsia="Times New Roman" w:hAnsi="Sylfaen" w:cs="Times New Roman"/>
          <w:sz w:val="24"/>
          <w:szCs w:val="24"/>
        </w:rPr>
        <w:pict w14:anchorId="6315F047">
          <v:rect id="_x0000_s1068" style="position:absolute;left:0;text-align:left;margin-left:1.6pt;margin-top:4.15pt;width:12.75pt;height:12pt;z-index:251561472"/>
        </w:pict>
      </w:r>
      <w:r w:rsidR="006F76EB" w:rsidRPr="00834D52">
        <w:rPr>
          <w:rFonts w:ascii="Sylfaen" w:hAnsi="Sylfaen" w:cs="Sylfaen"/>
          <w:sz w:val="24"/>
          <w:szCs w:val="24"/>
        </w:rPr>
        <w:t>էքստրագենտի</w:t>
      </w:r>
      <w:r w:rsidR="006F76EB" w:rsidRPr="00834D52">
        <w:rPr>
          <w:rFonts w:ascii="Sylfaen" w:hAnsi="Sylfaen"/>
          <w:sz w:val="24"/>
          <w:szCs w:val="24"/>
        </w:rPr>
        <w:t xml:space="preserve"> (</w:t>
      </w:r>
      <w:r w:rsidR="006F76EB" w:rsidRPr="00834D52">
        <w:rPr>
          <w:rFonts w:ascii="Sylfaen" w:hAnsi="Sylfaen" w:cs="Sylfaen"/>
          <w:sz w:val="24"/>
          <w:szCs w:val="24"/>
        </w:rPr>
        <w:t>լուծիչի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դեղաբուսական</w:t>
      </w:r>
      <w:r w:rsidR="006F76EB" w:rsidRPr="00834D52">
        <w:rPr>
          <w:rFonts w:ascii="Sylfaen" w:hAnsi="Sylfaen"/>
          <w:sz w:val="24"/>
          <w:szCs w:val="24"/>
        </w:rPr>
        <w:t xml:space="preserve"> </w:t>
      </w:r>
      <w:r w:rsidR="006F76EB" w:rsidRPr="00834D52">
        <w:rPr>
          <w:rFonts w:ascii="Sylfaen" w:hAnsi="Sylfaen" w:cs="Sylfaen"/>
          <w:sz w:val="24"/>
          <w:szCs w:val="24"/>
        </w:rPr>
        <w:t>հումքի</w:t>
      </w:r>
      <w:r w:rsidR="006F76EB" w:rsidRPr="00834D52">
        <w:rPr>
          <w:rFonts w:ascii="Sylfaen" w:hAnsi="Sylfaen"/>
          <w:sz w:val="24"/>
          <w:szCs w:val="24"/>
        </w:rPr>
        <w:t xml:space="preserve"> </w:t>
      </w:r>
      <w:r w:rsidR="00C54D75">
        <w:rPr>
          <w:rFonts w:ascii="Sylfaen" w:hAnsi="Sylfaen" w:cs="Sylfaen"/>
          <w:sz w:val="24"/>
          <w:szCs w:val="24"/>
        </w:rPr>
        <w:t>և</w:t>
      </w:r>
      <w:r w:rsidR="006F76EB" w:rsidRPr="00834D52">
        <w:rPr>
          <w:rFonts w:ascii="Sylfaen" w:hAnsi="Sylfaen"/>
          <w:sz w:val="24"/>
          <w:szCs w:val="24"/>
        </w:rPr>
        <w:t xml:space="preserve"> </w:t>
      </w:r>
      <w:r w:rsidR="006F76EB" w:rsidRPr="00834D52">
        <w:rPr>
          <w:rFonts w:ascii="Sylfaen" w:hAnsi="Sylfaen" w:cs="Sylfaen"/>
          <w:sz w:val="24"/>
          <w:szCs w:val="24"/>
        </w:rPr>
        <w:t>բուսական</w:t>
      </w:r>
      <w:r w:rsidR="006F76EB" w:rsidRPr="00834D52">
        <w:rPr>
          <w:rFonts w:ascii="Sylfaen" w:hAnsi="Sylfaen"/>
          <w:sz w:val="24"/>
          <w:szCs w:val="24"/>
        </w:rPr>
        <w:t xml:space="preserve"> </w:t>
      </w:r>
      <w:r w:rsidR="006F76EB" w:rsidRPr="00834D52">
        <w:rPr>
          <w:rFonts w:ascii="Sylfaen" w:hAnsi="Sylfaen" w:cs="Sylfaen"/>
          <w:sz w:val="24"/>
          <w:szCs w:val="24"/>
        </w:rPr>
        <w:t>ծագման</w:t>
      </w:r>
      <w:r w:rsidR="006F76EB" w:rsidRPr="00834D52">
        <w:rPr>
          <w:rFonts w:ascii="Sylfaen" w:hAnsi="Sylfaen"/>
          <w:sz w:val="24"/>
          <w:szCs w:val="24"/>
        </w:rPr>
        <w:t xml:space="preserve"> </w:t>
      </w:r>
      <w:r w:rsidR="006F76EB" w:rsidRPr="00834D52">
        <w:rPr>
          <w:rFonts w:ascii="Sylfaen" w:hAnsi="Sylfaen" w:cs="Sylfaen"/>
          <w:sz w:val="24"/>
          <w:szCs w:val="24"/>
        </w:rPr>
        <w:t>դեղագործական</w:t>
      </w:r>
      <w:r w:rsidR="006F76EB" w:rsidRPr="00834D52">
        <w:rPr>
          <w:rFonts w:ascii="Sylfaen" w:hAnsi="Sylfaen"/>
          <w:sz w:val="24"/>
          <w:szCs w:val="24"/>
        </w:rPr>
        <w:t xml:space="preserve"> </w:t>
      </w:r>
      <w:r w:rsidR="006F76EB" w:rsidRPr="00834D52">
        <w:rPr>
          <w:rFonts w:ascii="Sylfaen" w:hAnsi="Sylfaen" w:cs="Sylfaen"/>
          <w:sz w:val="24"/>
          <w:szCs w:val="24"/>
        </w:rPr>
        <w:t>բաղադրամասի</w:t>
      </w:r>
      <w:r w:rsidR="006F76EB" w:rsidRPr="00834D52">
        <w:rPr>
          <w:rFonts w:ascii="Sylfaen" w:hAnsi="Sylfaen"/>
          <w:sz w:val="24"/>
          <w:szCs w:val="24"/>
        </w:rPr>
        <w:t xml:space="preserve"> </w:t>
      </w:r>
      <w:r w:rsidR="006F76EB" w:rsidRPr="00834D52">
        <w:rPr>
          <w:rFonts w:ascii="Sylfaen" w:hAnsi="Sylfaen" w:cs="Sylfaen"/>
          <w:sz w:val="24"/>
          <w:szCs w:val="24"/>
        </w:rPr>
        <w:t>հարաբերակցություններ</w:t>
      </w:r>
      <w:r w:rsidR="006F76EB" w:rsidRPr="00834D52">
        <w:rPr>
          <w:rFonts w:ascii="Sylfaen" w:hAnsi="Sylfaen"/>
          <w:sz w:val="24"/>
          <w:szCs w:val="24"/>
        </w:rPr>
        <w:t xml:space="preserve">ն </w:t>
      </w:r>
      <w:r w:rsidR="006F76EB" w:rsidRPr="00834D52">
        <w:rPr>
          <w:rFonts w:ascii="Sylfaen" w:hAnsi="Sylfaen" w:cs="Sylfaen"/>
          <w:sz w:val="24"/>
          <w:szCs w:val="24"/>
        </w:rPr>
        <w:t>արդյունավետության</w:t>
      </w:r>
      <w:r w:rsidR="006F76EB" w:rsidRPr="00834D52">
        <w:rPr>
          <w:rFonts w:ascii="Sylfaen" w:hAnsi="Sylfaen"/>
          <w:sz w:val="24"/>
          <w:szCs w:val="24"/>
        </w:rPr>
        <w:t xml:space="preserve"> (</w:t>
      </w:r>
      <w:r w:rsidR="006F76EB" w:rsidRPr="00834D52">
        <w:rPr>
          <w:rFonts w:ascii="Sylfaen" w:hAnsi="Sylfaen" w:cs="Sylfaen"/>
          <w:sz w:val="24"/>
          <w:szCs w:val="24"/>
        </w:rPr>
        <w:t>անվտանգության</w:t>
      </w:r>
      <w:r w:rsidR="006F76EB" w:rsidRPr="00834D52">
        <w:rPr>
          <w:rFonts w:ascii="Sylfaen" w:hAnsi="Sylfaen"/>
          <w:sz w:val="24"/>
          <w:szCs w:val="24"/>
        </w:rPr>
        <w:t xml:space="preserve">) </w:t>
      </w:r>
      <w:r w:rsidR="006F76EB" w:rsidRPr="00834D52">
        <w:rPr>
          <w:rFonts w:ascii="Sylfaen" w:hAnsi="Sylfaen" w:cs="Sylfaen"/>
          <w:sz w:val="24"/>
          <w:szCs w:val="24"/>
        </w:rPr>
        <w:t>մեջ</w:t>
      </w:r>
      <w:r w:rsidR="006F76EB" w:rsidRPr="00834D52">
        <w:rPr>
          <w:rFonts w:ascii="Sylfaen" w:hAnsi="Sylfaen"/>
          <w:sz w:val="24"/>
          <w:szCs w:val="24"/>
        </w:rPr>
        <w:t xml:space="preserve"> </w:t>
      </w:r>
      <w:r w:rsidR="006F76EB" w:rsidRPr="00834D52">
        <w:rPr>
          <w:rFonts w:ascii="Sylfaen" w:hAnsi="Sylfaen" w:cs="Sylfaen"/>
          <w:sz w:val="24"/>
          <w:szCs w:val="24"/>
        </w:rPr>
        <w:t>էական</w:t>
      </w:r>
      <w:r w:rsidR="006F76EB" w:rsidRPr="00834D52">
        <w:rPr>
          <w:rFonts w:ascii="Sylfaen" w:hAnsi="Sylfaen"/>
          <w:sz w:val="24"/>
          <w:szCs w:val="24"/>
        </w:rPr>
        <w:t xml:space="preserve"> </w:t>
      </w:r>
      <w:r w:rsidR="006F76EB" w:rsidRPr="00834D52">
        <w:rPr>
          <w:rFonts w:ascii="Sylfaen" w:hAnsi="Sylfaen" w:cs="Sylfaen"/>
          <w:sz w:val="24"/>
          <w:szCs w:val="24"/>
        </w:rPr>
        <w:t>տարբերությունների</w:t>
      </w:r>
      <w:r w:rsidR="006F76EB" w:rsidRPr="00834D52">
        <w:rPr>
          <w:rFonts w:ascii="Sylfaen" w:hAnsi="Sylfaen"/>
          <w:sz w:val="24"/>
          <w:szCs w:val="24"/>
        </w:rPr>
        <w:t xml:space="preserve"> </w:t>
      </w:r>
      <w:r w:rsidR="006F76EB" w:rsidRPr="00834D52">
        <w:rPr>
          <w:rFonts w:ascii="Sylfaen" w:hAnsi="Sylfaen" w:cs="Sylfaen"/>
          <w:sz w:val="24"/>
          <w:szCs w:val="24"/>
        </w:rPr>
        <w:t>բացակայության</w:t>
      </w:r>
      <w:r w:rsidR="006F76EB" w:rsidRPr="00834D52">
        <w:rPr>
          <w:rFonts w:ascii="Sylfaen" w:hAnsi="Sylfaen"/>
          <w:sz w:val="24"/>
          <w:szCs w:val="24"/>
        </w:rPr>
        <w:t xml:space="preserve"> </w:t>
      </w:r>
      <w:r w:rsidR="006F76EB" w:rsidRPr="00834D52">
        <w:rPr>
          <w:rFonts w:ascii="Sylfaen" w:hAnsi="Sylfaen" w:cs="Sylfaen"/>
          <w:sz w:val="24"/>
          <w:szCs w:val="24"/>
        </w:rPr>
        <w:t>դեպքում</w:t>
      </w:r>
      <w:r w:rsidR="006F76EB" w:rsidRPr="00834D52">
        <w:rPr>
          <w:rFonts w:ascii="Sylfaen" w:hAnsi="Sylfaen"/>
          <w:sz w:val="24"/>
          <w:szCs w:val="24"/>
        </w:rPr>
        <w:t>,</w:t>
      </w:r>
    </w:p>
    <w:p w14:paraId="3CAE05B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cs="Sylfaen"/>
          <w:sz w:val="24"/>
          <w:szCs w:val="24"/>
        </w:rPr>
        <w:t>դեղաչափի</w:t>
      </w:r>
      <w:r w:rsidRPr="00834D52">
        <w:rPr>
          <w:rFonts w:ascii="Sylfaen" w:hAnsi="Sylfaen"/>
          <w:sz w:val="24"/>
          <w:szCs w:val="24"/>
        </w:rPr>
        <w:t xml:space="preserve">, </w:t>
      </w:r>
      <w:r w:rsidRPr="00834D52">
        <w:rPr>
          <w:rFonts w:ascii="Sylfaen" w:hAnsi="Sylfaen" w:cs="Sylfaen"/>
          <w:sz w:val="24"/>
          <w:szCs w:val="24"/>
        </w:rPr>
        <w:t>դեղաձ</w:t>
      </w:r>
      <w:r w:rsidR="00C54D75">
        <w:rPr>
          <w:rFonts w:ascii="Sylfaen" w:hAnsi="Sylfaen" w:cs="Sylfaen"/>
          <w:sz w:val="24"/>
          <w:szCs w:val="24"/>
        </w:rPr>
        <w:t>և</w:t>
      </w:r>
      <w:r w:rsidRPr="00834D52">
        <w:rPr>
          <w:rFonts w:ascii="Sylfaen" w:hAnsi="Sylfaen" w:cs="Sylfaen"/>
          <w:sz w:val="24"/>
          <w:szCs w:val="24"/>
        </w:rPr>
        <w:t>ի</w:t>
      </w:r>
      <w:r w:rsidRPr="00834D52">
        <w:rPr>
          <w:rFonts w:ascii="Sylfaen" w:hAnsi="Sylfaen"/>
          <w:sz w:val="24"/>
          <w:szCs w:val="24"/>
        </w:rPr>
        <w:t xml:space="preserve"> </w:t>
      </w:r>
      <w:r w:rsidR="00C54D75">
        <w:rPr>
          <w:rFonts w:ascii="Sylfaen" w:hAnsi="Sylfaen" w:cs="Sylfaen"/>
          <w:sz w:val="24"/>
          <w:szCs w:val="24"/>
        </w:rPr>
        <w:t>և</w:t>
      </w:r>
      <w:r w:rsidRPr="00834D52">
        <w:rPr>
          <w:rFonts w:ascii="Sylfaen" w:hAnsi="Sylfaen"/>
          <w:sz w:val="24"/>
          <w:szCs w:val="24"/>
        </w:rPr>
        <w:t xml:space="preserve"> </w:t>
      </w:r>
      <w:r w:rsidRPr="00834D52">
        <w:rPr>
          <w:rFonts w:ascii="Sylfaen" w:hAnsi="Sylfaen" w:cs="Sylfaen"/>
          <w:sz w:val="24"/>
          <w:szCs w:val="24"/>
        </w:rPr>
        <w:t>կիրառման</w:t>
      </w:r>
      <w:r w:rsidRPr="00834D52">
        <w:rPr>
          <w:rFonts w:ascii="Sylfaen" w:hAnsi="Sylfaen"/>
          <w:sz w:val="24"/>
          <w:szCs w:val="24"/>
        </w:rPr>
        <w:t xml:space="preserve"> </w:t>
      </w:r>
      <w:r w:rsidRPr="00834D52">
        <w:rPr>
          <w:rFonts w:ascii="Sylfaen" w:hAnsi="Sylfaen" w:cs="Sylfaen"/>
          <w:sz w:val="24"/>
          <w:szCs w:val="24"/>
        </w:rPr>
        <w:t>եղանակի</w:t>
      </w:r>
      <w:r w:rsidRPr="00834D52">
        <w:rPr>
          <w:rFonts w:ascii="Sylfaen" w:hAnsi="Sylfaen"/>
          <w:sz w:val="24"/>
          <w:szCs w:val="24"/>
        </w:rPr>
        <w:t xml:space="preserve"> </w:t>
      </w:r>
      <w:r w:rsidRPr="00834D52">
        <w:rPr>
          <w:rFonts w:ascii="Sylfaen" w:hAnsi="Sylfaen" w:cs="Sylfaen"/>
          <w:sz w:val="24"/>
          <w:szCs w:val="24"/>
        </w:rPr>
        <w:t>փոփոխությունները՝</w:t>
      </w:r>
    </w:p>
    <w:p w14:paraId="7B1DE2CB"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BAFD0B2">
          <v:rect id="_x0000_s1070" style="position:absolute;left:0;text-align:left;margin-left:2.25pt;margin-top:4.2pt;width:12.75pt;height:12pt;z-index:251562496"/>
        </w:pict>
      </w:r>
      <w:r w:rsidR="006F76EB" w:rsidRPr="00834D52">
        <w:rPr>
          <w:rFonts w:ascii="Sylfaen" w:hAnsi="Sylfaen" w:cs="Sylfaen"/>
          <w:sz w:val="24"/>
          <w:szCs w:val="24"/>
        </w:rPr>
        <w:t>կենսամատչելիության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492711E"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02E63501">
          <v:rect id="_x0000_s1071" style="position:absolute;left:0;text-align:left;margin-left:2.25pt;margin-top:4.6pt;width:12.75pt;height:12pt;z-index:251563520"/>
        </w:pict>
      </w:r>
      <w:r w:rsidR="00355C33">
        <w:rPr>
          <w:rFonts w:ascii="Sylfaen" w:hAnsi="Sylfaen" w:cs="Sylfaen"/>
          <w:sz w:val="24"/>
          <w:szCs w:val="24"/>
        </w:rPr>
        <w:t>դեղա</w:t>
      </w:r>
      <w:r w:rsidR="006F76EB" w:rsidRPr="00834D52">
        <w:rPr>
          <w:rFonts w:ascii="Sylfaen" w:hAnsi="Sylfaen" w:cs="Sylfaen"/>
          <w:sz w:val="24"/>
          <w:szCs w:val="24"/>
        </w:rPr>
        <w:t>կինետիկայի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w:t>
      </w:r>
    </w:p>
    <w:p w14:paraId="410A70FA"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48C0FE6">
          <v:rect id="_x0000_s1072" style="position:absolute;left:0;text-align:left;margin-left:3pt;margin-top:2.75pt;width:12.75pt;height:12pt;z-index:251564544"/>
        </w:pic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դեղաչափի</w:t>
      </w:r>
      <w:r w:rsidR="006F76EB" w:rsidRPr="00834D52">
        <w:rPr>
          <w:rFonts w:ascii="Sylfaen" w:hAnsi="Sylfaen"/>
          <w:sz w:val="24"/>
          <w:szCs w:val="24"/>
        </w:rPr>
        <w:t xml:space="preserve"> (</w:t>
      </w:r>
      <w:r w:rsidR="006F76EB" w:rsidRPr="00834D52">
        <w:rPr>
          <w:rFonts w:ascii="Sylfaen" w:hAnsi="Sylfaen" w:cs="Sylfaen"/>
          <w:sz w:val="24"/>
          <w:szCs w:val="24"/>
        </w:rPr>
        <w:t>ակտիվության</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89D01EF"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1C4ACEAA">
          <v:rect id="_x0000_s1073" style="position:absolute;left:0;text-align:left;margin-left:3pt;margin-top:3.15pt;width:12.75pt;height:12pt;z-index:251565568"/>
        </w:pic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դեղաձ</w:t>
      </w:r>
      <w:r w:rsidR="00C54D75">
        <w:rPr>
          <w:rFonts w:ascii="Sylfaen" w:hAnsi="Sylfaen" w:cs="Sylfaen"/>
          <w:sz w:val="24"/>
          <w:szCs w:val="24"/>
        </w:rPr>
        <w:t>և</w:t>
      </w:r>
      <w:r w:rsidR="006F76EB" w:rsidRPr="00834D52">
        <w:rPr>
          <w:rFonts w:ascii="Sylfaen" w:hAnsi="Sylfaen" w:cs="Sylfaen"/>
          <w:sz w:val="24"/>
          <w:szCs w:val="24"/>
        </w:rPr>
        <w:t>ի</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r w:rsidR="006F76EB" w:rsidRPr="00834D52">
        <w:rPr>
          <w:rFonts w:ascii="Sylfaen" w:hAnsi="Sylfaen"/>
          <w:sz w:val="24"/>
          <w:szCs w:val="24"/>
        </w:rPr>
        <w:t>,</w:t>
      </w:r>
    </w:p>
    <w:p w14:paraId="4A6002DE"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7CE70DA5">
          <v:rect id="_x0000_s1074" style="position:absolute;left:0;text-align:left;margin-left:3pt;margin-top:1.3pt;width:12.75pt;height:12pt;z-index:251566592"/>
        </w:pic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փոփոխությունը</w:t>
      </w:r>
      <w:r w:rsidR="006F76EB" w:rsidRPr="00834D52">
        <w:rPr>
          <w:rFonts w:ascii="Sylfaen" w:hAnsi="Sylfaen"/>
          <w:sz w:val="24"/>
          <w:szCs w:val="24"/>
        </w:rPr>
        <w:t xml:space="preserve"> </w:t>
      </w:r>
      <w:r w:rsidR="006F76EB" w:rsidRPr="00834D52">
        <w:rPr>
          <w:rFonts w:ascii="Sylfaen" w:hAnsi="Sylfaen" w:cs="Sylfaen"/>
          <w:sz w:val="24"/>
          <w:szCs w:val="24"/>
        </w:rPr>
        <w:t>կամ</w:t>
      </w:r>
      <w:r w:rsidR="006F76EB" w:rsidRPr="00834D52">
        <w:rPr>
          <w:rFonts w:ascii="Sylfaen" w:hAnsi="Sylfaen"/>
          <w:sz w:val="24"/>
          <w:szCs w:val="24"/>
        </w:rPr>
        <w:t xml:space="preserve"> </w:t>
      </w:r>
      <w:r w:rsidR="006F76EB" w:rsidRPr="00834D52">
        <w:rPr>
          <w:rFonts w:ascii="Sylfaen" w:hAnsi="Sylfaen" w:cs="Sylfaen"/>
          <w:sz w:val="24"/>
          <w:szCs w:val="24"/>
        </w:rPr>
        <w:t>ներմուծման</w:t>
      </w:r>
      <w:r w:rsidR="006F76EB" w:rsidRPr="00834D52">
        <w:rPr>
          <w:rFonts w:ascii="Sylfaen" w:hAnsi="Sylfaen"/>
          <w:sz w:val="24"/>
          <w:szCs w:val="24"/>
        </w:rPr>
        <w:t xml:space="preserve"> </w:t>
      </w:r>
      <w:r w:rsidR="006F76EB" w:rsidRPr="00834D52">
        <w:rPr>
          <w:rFonts w:ascii="Sylfaen" w:hAnsi="Sylfaen" w:cs="Sylfaen"/>
          <w:sz w:val="24"/>
          <w:szCs w:val="24"/>
        </w:rPr>
        <w:t>նոր</w:t>
      </w:r>
      <w:r w:rsidR="006F76EB" w:rsidRPr="00834D52">
        <w:rPr>
          <w:rFonts w:ascii="Sylfaen" w:hAnsi="Sylfaen"/>
          <w:sz w:val="24"/>
          <w:szCs w:val="24"/>
        </w:rPr>
        <w:t xml:space="preserve"> </w:t>
      </w:r>
      <w:r w:rsidR="006F76EB" w:rsidRPr="00834D52">
        <w:rPr>
          <w:rFonts w:ascii="Sylfaen" w:hAnsi="Sylfaen" w:cs="Sylfaen"/>
          <w:sz w:val="24"/>
          <w:szCs w:val="24"/>
        </w:rPr>
        <w:t>ուղու</w:t>
      </w:r>
      <w:r w:rsidR="006F76EB" w:rsidRPr="00834D52">
        <w:rPr>
          <w:rFonts w:ascii="Sylfaen" w:hAnsi="Sylfaen"/>
          <w:sz w:val="24"/>
          <w:szCs w:val="24"/>
        </w:rPr>
        <w:t xml:space="preserve"> </w:t>
      </w:r>
      <w:r w:rsidR="006F76EB" w:rsidRPr="00834D52">
        <w:rPr>
          <w:rFonts w:ascii="Sylfaen" w:hAnsi="Sylfaen" w:cs="Sylfaen"/>
          <w:sz w:val="24"/>
          <w:szCs w:val="24"/>
        </w:rPr>
        <w:t>ավելացումը</w:t>
      </w:r>
    </w:p>
    <w:p w14:paraId="605ADEB4" w14:textId="77777777" w:rsidR="006F76EB" w:rsidRPr="00834D52" w:rsidRDefault="006F76EB" w:rsidP="006F76EB">
      <w:pPr>
        <w:spacing w:after="0" w:line="240" w:lineRule="auto"/>
        <w:ind w:right="-6"/>
        <w:jc w:val="both"/>
        <w:rPr>
          <w:rFonts w:ascii="Sylfaen" w:hAnsi="Sylfaen"/>
          <w:sz w:val="24"/>
          <w:szCs w:val="24"/>
        </w:rPr>
      </w:pPr>
      <w:r w:rsidRPr="00834D52">
        <w:rPr>
          <w:rFonts w:ascii="Sylfaen" w:hAnsi="Sylfaen"/>
          <w:sz w:val="24"/>
          <w:szCs w:val="24"/>
        </w:rPr>
        <w:t>Դեղապատրաստուկ, որը գրանցված է</w:t>
      </w:r>
      <w:r w:rsidR="002E0B92" w:rsidRPr="002E0B92">
        <w:rPr>
          <w:rFonts w:ascii="Sylfaen" w:hAnsi="Sylfaen"/>
          <w:sz w:val="24"/>
          <w:szCs w:val="24"/>
        </w:rPr>
        <w:t xml:space="preserve"> </w:t>
      </w:r>
      <w:r w:rsidRPr="00834D52">
        <w:rPr>
          <w:rFonts w:ascii="Sylfaen" w:hAnsi="Sylfaen"/>
          <w:sz w:val="24"/>
          <w:szCs w:val="24"/>
        </w:rPr>
        <w:t xml:space="preserve">___________________ </w:t>
      </w:r>
      <w:r w:rsidR="003426FC">
        <w:rPr>
          <w:rFonts w:ascii="Sylfaen" w:hAnsi="Sylfaen"/>
          <w:sz w:val="24"/>
          <w:szCs w:val="24"/>
        </w:rPr>
        <w:t xml:space="preserve">ռեֆերենտ </w:t>
      </w:r>
      <w:r w:rsidRPr="00834D52">
        <w:rPr>
          <w:rFonts w:ascii="Sylfaen" w:hAnsi="Sylfaen"/>
          <w:sz w:val="24"/>
          <w:szCs w:val="24"/>
        </w:rPr>
        <w:br/>
        <w:t xml:space="preserve">                                        </w:t>
      </w:r>
      <w:r w:rsidR="0056482B">
        <w:rPr>
          <w:rFonts w:ascii="Sylfaen" w:hAnsi="Sylfaen"/>
          <w:sz w:val="24"/>
          <w:szCs w:val="24"/>
        </w:rPr>
        <w:t xml:space="preserve">                       </w:t>
      </w:r>
      <w:r w:rsidRPr="00834D52">
        <w:rPr>
          <w:rFonts w:ascii="Sylfaen" w:hAnsi="Sylfaen"/>
          <w:sz w:val="24"/>
          <w:szCs w:val="24"/>
        </w:rPr>
        <w:t xml:space="preserve">            </w:t>
      </w:r>
      <w:r w:rsidRPr="00834D52">
        <w:rPr>
          <w:rFonts w:ascii="Sylfaen" w:hAnsi="Sylfaen"/>
          <w:sz w:val="20"/>
          <w:szCs w:val="24"/>
        </w:rPr>
        <w:t>(պետության անվանումը)</w:t>
      </w:r>
      <w:r w:rsidRPr="00834D52">
        <w:rPr>
          <w:rFonts w:ascii="Sylfaen" w:hAnsi="Sylfaen"/>
          <w:sz w:val="24"/>
          <w:szCs w:val="24"/>
        </w:rPr>
        <w:t xml:space="preserve"> </w:t>
      </w:r>
    </w:p>
    <w:p w14:paraId="191E9A5A" w14:textId="77777777" w:rsidR="006F76EB" w:rsidRPr="00834D52" w:rsidRDefault="006F76EB" w:rsidP="006F76EB">
      <w:pPr>
        <w:spacing w:after="160" w:line="360" w:lineRule="auto"/>
        <w:ind w:right="-6"/>
        <w:jc w:val="both"/>
        <w:rPr>
          <w:rFonts w:ascii="Sylfaen" w:hAnsi="Sylfaen"/>
          <w:sz w:val="24"/>
          <w:szCs w:val="24"/>
        </w:rPr>
      </w:pPr>
      <w:r w:rsidRPr="00834D52">
        <w:rPr>
          <w:rFonts w:ascii="Sylfaen" w:hAnsi="Sylfaen"/>
          <w:sz w:val="24"/>
          <w:szCs w:val="24"/>
        </w:rPr>
        <w:t xml:space="preserve">պետությունում, </w:t>
      </w:r>
      <w:r w:rsidR="00C54D75">
        <w:rPr>
          <w:rFonts w:ascii="Sylfaen" w:hAnsi="Sylfaen"/>
          <w:sz w:val="24"/>
          <w:szCs w:val="24"/>
        </w:rPr>
        <w:t>և</w:t>
      </w:r>
      <w:r w:rsidRPr="00834D52">
        <w:rPr>
          <w:rFonts w:ascii="Sylfaen" w:hAnsi="Sylfaen"/>
          <w:sz w:val="24"/>
          <w:szCs w:val="24"/>
        </w:rPr>
        <w:t xml:space="preserve"> որում համապատասխան փոփոխություններ են կատարվում՝</w:t>
      </w:r>
    </w:p>
    <w:p w14:paraId="461424F1" w14:textId="77777777" w:rsidR="006F76EB" w:rsidRPr="00834D52" w:rsidRDefault="006F76EB" w:rsidP="006F76EB">
      <w:pPr>
        <w:spacing w:after="160" w:line="360" w:lineRule="auto"/>
        <w:ind w:right="-6"/>
        <w:jc w:val="both"/>
        <w:rPr>
          <w:rFonts w:ascii="Sylfaen" w:hAnsi="Sylfaen"/>
          <w:sz w:val="24"/>
          <w:szCs w:val="24"/>
        </w:rPr>
      </w:pPr>
    </w:p>
    <w:tbl>
      <w:tblPr>
        <w:tblStyle w:val="TableGrid"/>
        <w:tblW w:w="0" w:type="auto"/>
        <w:jc w:val="center"/>
        <w:tblLook w:val="04A0" w:firstRow="1" w:lastRow="0" w:firstColumn="1" w:lastColumn="0" w:noHBand="0" w:noVBand="1"/>
      </w:tblPr>
      <w:tblGrid>
        <w:gridCol w:w="4761"/>
        <w:gridCol w:w="4525"/>
      </w:tblGrid>
      <w:tr w:rsidR="006F76EB" w:rsidRPr="00834D52" w14:paraId="238FDDF7" w14:textId="77777777" w:rsidTr="00F71229">
        <w:trPr>
          <w:jc w:val="center"/>
        </w:trPr>
        <w:tc>
          <w:tcPr>
            <w:tcW w:w="4761" w:type="dxa"/>
          </w:tcPr>
          <w:p w14:paraId="0DDA1EE0"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անվանումը, դեղաչափը, դեղաձ</w:t>
            </w:r>
            <w:r w:rsidR="00C54D75">
              <w:rPr>
                <w:rFonts w:ascii="Sylfaen" w:hAnsi="Sylfaen"/>
                <w:sz w:val="24"/>
                <w:szCs w:val="24"/>
              </w:rPr>
              <w:t>և</w:t>
            </w:r>
            <w:r w:rsidRPr="00834D52">
              <w:rPr>
                <w:rFonts w:ascii="Sylfaen" w:hAnsi="Sylfaen"/>
                <w:sz w:val="24"/>
                <w:szCs w:val="24"/>
              </w:rPr>
              <w:t>ը</w:t>
            </w:r>
          </w:p>
        </w:tc>
        <w:tc>
          <w:tcPr>
            <w:tcW w:w="4525" w:type="dxa"/>
          </w:tcPr>
          <w:p w14:paraId="03DF2B61" w14:textId="77777777" w:rsidR="006F76EB" w:rsidRPr="00834D52" w:rsidRDefault="006F76EB" w:rsidP="00DE7C06">
            <w:pPr>
              <w:spacing w:after="120"/>
              <w:ind w:right="-6"/>
              <w:rPr>
                <w:rFonts w:ascii="Sylfaen" w:hAnsi="Sylfaen"/>
                <w:sz w:val="24"/>
                <w:szCs w:val="24"/>
              </w:rPr>
            </w:pPr>
          </w:p>
        </w:tc>
      </w:tr>
      <w:tr w:rsidR="006F76EB" w:rsidRPr="00834D52" w14:paraId="7A69E441" w14:textId="77777777" w:rsidTr="00F71229">
        <w:trPr>
          <w:jc w:val="center"/>
        </w:trPr>
        <w:tc>
          <w:tcPr>
            <w:tcW w:w="4761" w:type="dxa"/>
          </w:tcPr>
          <w:p w14:paraId="61430945"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w:t>
            </w:r>
          </w:p>
        </w:tc>
        <w:tc>
          <w:tcPr>
            <w:tcW w:w="4525" w:type="dxa"/>
          </w:tcPr>
          <w:p w14:paraId="63C79347" w14:textId="77777777" w:rsidR="006F76EB" w:rsidRPr="00834D52" w:rsidRDefault="006F76EB" w:rsidP="00DE7C06">
            <w:pPr>
              <w:spacing w:after="120"/>
              <w:ind w:right="-6"/>
              <w:rPr>
                <w:rFonts w:ascii="Sylfaen" w:hAnsi="Sylfaen"/>
                <w:sz w:val="24"/>
                <w:szCs w:val="24"/>
              </w:rPr>
            </w:pPr>
          </w:p>
        </w:tc>
      </w:tr>
      <w:tr w:rsidR="006F76EB" w:rsidRPr="00834D52" w14:paraId="6DE8919E" w14:textId="77777777" w:rsidTr="00F71229">
        <w:trPr>
          <w:jc w:val="center"/>
        </w:trPr>
        <w:tc>
          <w:tcPr>
            <w:tcW w:w="4761" w:type="dxa"/>
          </w:tcPr>
          <w:p w14:paraId="4B668D2B" w14:textId="77777777" w:rsidR="006F76EB" w:rsidRPr="00834D52" w:rsidRDefault="006F76EB" w:rsidP="00DE7C06">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25" w:type="dxa"/>
          </w:tcPr>
          <w:p w14:paraId="384298B1" w14:textId="77777777" w:rsidR="006F76EB" w:rsidRPr="00834D52" w:rsidRDefault="006F76EB" w:rsidP="00DE7C06">
            <w:pPr>
              <w:spacing w:after="120"/>
              <w:ind w:right="-6"/>
              <w:rPr>
                <w:rFonts w:ascii="Sylfaen" w:hAnsi="Sylfaen"/>
                <w:sz w:val="24"/>
                <w:szCs w:val="24"/>
              </w:rPr>
            </w:pPr>
          </w:p>
        </w:tc>
      </w:tr>
    </w:tbl>
    <w:p w14:paraId="0E275A01" w14:textId="77777777" w:rsidR="006F76EB" w:rsidRPr="00834D52" w:rsidRDefault="006F76EB" w:rsidP="006F76EB">
      <w:pPr>
        <w:spacing w:after="160" w:line="360" w:lineRule="auto"/>
        <w:ind w:right="-8"/>
        <w:rPr>
          <w:rFonts w:ascii="Sylfaen" w:hAnsi="Sylfaen"/>
          <w:sz w:val="24"/>
          <w:szCs w:val="24"/>
        </w:rPr>
      </w:pPr>
    </w:p>
    <w:p w14:paraId="16B498BB"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4703747E">
          <v:rect id="_x0000_s1075" style="position:absolute;left:0;text-align:left;margin-left:57.75pt;margin-top:1.5pt;width:12.75pt;height:12pt;z-index:251567616"/>
        </w:pict>
      </w:r>
      <w:r w:rsidR="006F76EB" w:rsidRPr="00834D52">
        <w:rPr>
          <w:rFonts w:ascii="Sylfaen" w:hAnsi="Sylfaen" w:cs="Sylfaen"/>
          <w:sz w:val="24"/>
          <w:szCs w:val="24"/>
        </w:rPr>
        <w:t>ՀԱԶՎԱԴԵՊ</w:t>
      </w:r>
      <w:r w:rsidR="006F76EB" w:rsidRPr="00834D52">
        <w:rPr>
          <w:rFonts w:ascii="Sylfaen" w:hAnsi="Sylfaen"/>
          <w:sz w:val="24"/>
          <w:szCs w:val="24"/>
        </w:rPr>
        <w:t xml:space="preserve"> </w:t>
      </w:r>
      <w:r w:rsidR="006F76EB" w:rsidRPr="00834D52">
        <w:rPr>
          <w:rFonts w:ascii="Sylfaen" w:hAnsi="Sylfaen" w:cs="Sylfaen"/>
          <w:sz w:val="24"/>
          <w:szCs w:val="24"/>
        </w:rPr>
        <w:t>ԿԻՐԱՌՎՈՂ</w:t>
      </w:r>
      <w:r w:rsidR="006F76EB" w:rsidRPr="00834D52">
        <w:rPr>
          <w:rFonts w:ascii="Sylfaen" w:hAnsi="Sylfaen"/>
          <w:sz w:val="24"/>
          <w:szCs w:val="24"/>
        </w:rPr>
        <w:t xml:space="preserve"> («</w:t>
      </w:r>
      <w:r w:rsidR="006F76EB" w:rsidRPr="00834D52">
        <w:rPr>
          <w:rFonts w:ascii="Sylfaen" w:hAnsi="Sylfaen" w:cs="Sylfaen"/>
          <w:sz w:val="24"/>
          <w:szCs w:val="24"/>
        </w:rPr>
        <w:t>ՈՐԲ</w:t>
      </w:r>
      <w:r w:rsidR="006F76EB" w:rsidRPr="00834D52">
        <w:rPr>
          <w:rFonts w:ascii="Sylfaen" w:hAnsi="Sylfaen"/>
          <w:sz w:val="24"/>
          <w:szCs w:val="24"/>
        </w:rPr>
        <w:t>»)ԴԵՂԱՊԱՏՐԱՍՏՈՒԿ</w:t>
      </w:r>
    </w:p>
    <w:p w14:paraId="2953F289" w14:textId="77777777" w:rsidR="006F76EB" w:rsidRPr="00834D52" w:rsidRDefault="006F76EB" w:rsidP="00100CD9">
      <w:pPr>
        <w:spacing w:after="160" w:line="384" w:lineRule="auto"/>
        <w:ind w:right="-6" w:firstLine="567"/>
        <w:jc w:val="both"/>
        <w:rPr>
          <w:rFonts w:ascii="Sylfaen" w:hAnsi="Sylfaen"/>
          <w:sz w:val="24"/>
          <w:szCs w:val="24"/>
        </w:rPr>
      </w:pPr>
      <w:r w:rsidRPr="00834D52">
        <w:rPr>
          <w:rFonts w:ascii="Sylfaen" w:hAnsi="Sylfaen"/>
          <w:sz w:val="24"/>
          <w:szCs w:val="24"/>
        </w:rPr>
        <w:t>Արդյո՞ք դեղապատրաստուկին տրվել է հազվադեպ կիրառվող («որբ») դեղապատրաստուկի կարգավիճակ Եվրասիական տնտեսական միության անդամ պետություններում կամ դրա սահմաններից դուրս</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252"/>
        <w:gridCol w:w="2941"/>
      </w:tblGrid>
      <w:tr w:rsidR="006F76EB" w:rsidRPr="00834D52" w14:paraId="410A42F5" w14:textId="77777777" w:rsidTr="00F71229">
        <w:trPr>
          <w:jc w:val="center"/>
        </w:trPr>
        <w:tc>
          <w:tcPr>
            <w:tcW w:w="2093" w:type="dxa"/>
          </w:tcPr>
          <w:p w14:paraId="148C38E1" w14:textId="77777777" w:rsidR="006F76EB" w:rsidRPr="00834D52" w:rsidRDefault="00FC294A"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A98E1DC">
                <v:rect id="_x0000_s1078" style="position:absolute;left:0;text-align:left;margin-left:23.25pt;margin-top:4.3pt;width:12.75pt;height:12pt;z-index:251568640"/>
              </w:pict>
            </w:r>
            <w:r w:rsidR="006F76EB" w:rsidRPr="00834D52">
              <w:rPr>
                <w:rFonts w:ascii="Sylfaen" w:hAnsi="Sylfaen"/>
                <w:sz w:val="24"/>
                <w:szCs w:val="24"/>
              </w:rPr>
              <w:t>ոչ</w:t>
            </w:r>
          </w:p>
        </w:tc>
        <w:tc>
          <w:tcPr>
            <w:tcW w:w="4252" w:type="dxa"/>
          </w:tcPr>
          <w:p w14:paraId="626ED1AC" w14:textId="77777777" w:rsidR="006F76EB" w:rsidRPr="00834D52" w:rsidRDefault="00FC294A" w:rsidP="00F71229">
            <w:pPr>
              <w:spacing w:after="160" w:line="360" w:lineRule="auto"/>
              <w:ind w:right="-8"/>
              <w:jc w:val="center"/>
              <w:rPr>
                <w:rFonts w:ascii="Sylfaen" w:eastAsia="Times New Roman" w:hAnsi="Sylfaen" w:cs="Times New Roman"/>
                <w:sz w:val="24"/>
                <w:szCs w:val="24"/>
                <w:lang w:val="en-US"/>
              </w:rPr>
            </w:pPr>
            <w:r>
              <w:rPr>
                <w:rFonts w:ascii="Sylfaen" w:hAnsi="Sylfaen"/>
                <w:noProof/>
                <w:sz w:val="24"/>
                <w:szCs w:val="24"/>
              </w:rPr>
              <w:pict w14:anchorId="061D97D5">
                <v:rect id="_x0000_s1077" style="position:absolute;left:0;text-align:left;margin-left:2.2pt;margin-top:4.3pt;width:12.75pt;height:12pt;z-index:251569664;mso-position-horizontal-relative:text;mso-position-vertical-relative:text"/>
              </w:pict>
            </w:r>
            <w:r w:rsidR="006F76EB" w:rsidRPr="00834D52">
              <w:rPr>
                <w:rFonts w:ascii="Sylfaen" w:hAnsi="Sylfaen"/>
                <w:sz w:val="24"/>
                <w:szCs w:val="24"/>
              </w:rPr>
              <w:t>քննարկման գործընթացում է</w:t>
            </w:r>
          </w:p>
        </w:tc>
        <w:tc>
          <w:tcPr>
            <w:tcW w:w="2941" w:type="dxa"/>
          </w:tcPr>
          <w:p w14:paraId="506EADB1" w14:textId="77777777" w:rsidR="006F76EB" w:rsidRPr="00834D52" w:rsidRDefault="00FC294A"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85670DD">
                <v:rect id="_x0000_s1076" style="position:absolute;left:0;text-align:left;margin-left:38.7pt;margin-top:4.3pt;width:12.75pt;height:12pt;z-index:251570688;mso-position-horizontal-relative:text;mso-position-vertical-relative:text"/>
              </w:pict>
            </w:r>
            <w:r w:rsidR="006F76EB" w:rsidRPr="00834D52">
              <w:rPr>
                <w:rFonts w:ascii="Sylfaen" w:hAnsi="Sylfaen"/>
                <w:sz w:val="24"/>
                <w:szCs w:val="24"/>
              </w:rPr>
              <w:t>այո</w:t>
            </w:r>
          </w:p>
        </w:tc>
      </w:tr>
    </w:tbl>
    <w:p w14:paraId="41B77ACF" w14:textId="77777777" w:rsidR="006F76EB" w:rsidRPr="00834D52" w:rsidRDefault="006F76EB" w:rsidP="00DC2F35">
      <w:pPr>
        <w:spacing w:after="160" w:line="480" w:lineRule="auto"/>
        <w:ind w:right="-6" w:firstLine="567"/>
        <w:jc w:val="center"/>
        <w:rPr>
          <w:rFonts w:ascii="Sylfaen" w:eastAsia="Times New Roman" w:hAnsi="Sylfaen" w:cs="Times New Roman"/>
          <w:sz w:val="24"/>
          <w:szCs w:val="24"/>
          <w:lang w:val="en-US"/>
        </w:rPr>
      </w:pPr>
    </w:p>
    <w:tbl>
      <w:tblPr>
        <w:tblW w:w="10185" w:type="dxa"/>
        <w:jc w:val="center"/>
        <w:tblLayout w:type="fixed"/>
        <w:tblCellMar>
          <w:left w:w="0" w:type="dxa"/>
          <w:right w:w="0" w:type="dxa"/>
        </w:tblCellMar>
        <w:tblLook w:val="01E0" w:firstRow="1" w:lastRow="1" w:firstColumn="1" w:lastColumn="1" w:noHBand="0" w:noVBand="0"/>
      </w:tblPr>
      <w:tblGrid>
        <w:gridCol w:w="5118"/>
        <w:gridCol w:w="5067"/>
      </w:tblGrid>
      <w:tr w:rsidR="006F76EB" w:rsidRPr="00834D52" w14:paraId="5178A66D" w14:textId="77777777" w:rsidTr="00100CD9">
        <w:trPr>
          <w:trHeight w:val="495"/>
          <w:jc w:val="center"/>
        </w:trPr>
        <w:tc>
          <w:tcPr>
            <w:tcW w:w="5118" w:type="dxa"/>
            <w:tcBorders>
              <w:top w:val="single" w:sz="4" w:space="0" w:color="000000"/>
              <w:left w:val="single" w:sz="4" w:space="0" w:color="000000"/>
              <w:bottom w:val="single" w:sz="4" w:space="0" w:color="000000"/>
              <w:right w:val="single" w:sz="4" w:space="0" w:color="000000"/>
            </w:tcBorders>
          </w:tcPr>
          <w:p w14:paraId="36EF2DD1"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067" w:type="dxa"/>
            <w:tcBorders>
              <w:top w:val="single" w:sz="4" w:space="0" w:color="000000"/>
              <w:left w:val="single" w:sz="4" w:space="0" w:color="000000"/>
              <w:bottom w:val="single" w:sz="4" w:space="0" w:color="000000"/>
              <w:right w:val="single" w:sz="4" w:space="0" w:color="000000"/>
            </w:tcBorders>
          </w:tcPr>
          <w:p w14:paraId="10BD83DE" w14:textId="77777777" w:rsidR="006F76EB" w:rsidRPr="00834D52" w:rsidRDefault="006F76EB" w:rsidP="00DE7C06">
            <w:pPr>
              <w:spacing w:after="120" w:line="240" w:lineRule="auto"/>
              <w:ind w:right="-6"/>
              <w:rPr>
                <w:rFonts w:ascii="Sylfaen" w:hAnsi="Sylfaen"/>
                <w:sz w:val="24"/>
                <w:szCs w:val="24"/>
              </w:rPr>
            </w:pPr>
          </w:p>
        </w:tc>
      </w:tr>
      <w:tr w:rsidR="006F76EB" w:rsidRPr="00834D52" w14:paraId="166E764A" w14:textId="77777777" w:rsidTr="00100CD9">
        <w:trPr>
          <w:trHeight w:val="1199"/>
          <w:jc w:val="center"/>
        </w:trPr>
        <w:tc>
          <w:tcPr>
            <w:tcW w:w="5118" w:type="dxa"/>
            <w:tcBorders>
              <w:top w:val="single" w:sz="4" w:space="0" w:color="000000"/>
              <w:left w:val="single" w:sz="4" w:space="0" w:color="000000"/>
              <w:bottom w:val="single" w:sz="4" w:space="0" w:color="000000"/>
              <w:right w:val="single" w:sz="4" w:space="0" w:color="000000"/>
            </w:tcBorders>
          </w:tcPr>
          <w:p w14:paraId="1C958814"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5067" w:type="dxa"/>
            <w:tcBorders>
              <w:top w:val="single" w:sz="4" w:space="0" w:color="000000"/>
              <w:left w:val="single" w:sz="4" w:space="0" w:color="000000"/>
              <w:bottom w:val="single" w:sz="4" w:space="0" w:color="000000"/>
              <w:right w:val="single" w:sz="4" w:space="0" w:color="000000"/>
            </w:tcBorders>
          </w:tcPr>
          <w:p w14:paraId="2F9230F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76B87267" w14:textId="77777777" w:rsidTr="00100CD9">
        <w:trPr>
          <w:trHeight w:val="2303"/>
          <w:jc w:val="center"/>
        </w:trPr>
        <w:tc>
          <w:tcPr>
            <w:tcW w:w="5118" w:type="dxa"/>
            <w:tcBorders>
              <w:top w:val="single" w:sz="4" w:space="0" w:color="000000"/>
              <w:left w:val="single" w:sz="4" w:space="0" w:color="000000"/>
              <w:bottom w:val="single" w:sz="4" w:space="0" w:color="000000"/>
              <w:right w:val="single" w:sz="4" w:space="0" w:color="000000"/>
            </w:tcBorders>
          </w:tcPr>
          <w:p w14:paraId="26BCAB95"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հազվադեպ կիրառվող («որբ») դեղապատրաստուկի կարգավիճակ են տվել</w:t>
            </w:r>
          </w:p>
        </w:tc>
        <w:tc>
          <w:tcPr>
            <w:tcW w:w="5067" w:type="dxa"/>
            <w:tcBorders>
              <w:top w:val="single" w:sz="4" w:space="0" w:color="000000"/>
              <w:left w:val="single" w:sz="4" w:space="0" w:color="000000"/>
              <w:bottom w:val="single" w:sz="4" w:space="0" w:color="000000"/>
              <w:right w:val="single" w:sz="4" w:space="0" w:color="000000"/>
            </w:tcBorders>
          </w:tcPr>
          <w:p w14:paraId="2F0F3D89" w14:textId="77777777" w:rsidR="006F76EB" w:rsidRPr="00834D52" w:rsidRDefault="006F76EB" w:rsidP="00DE7C06">
            <w:pPr>
              <w:spacing w:after="120" w:line="240" w:lineRule="auto"/>
              <w:ind w:right="-6"/>
              <w:rPr>
                <w:rFonts w:ascii="Sylfaen" w:hAnsi="Sylfaen"/>
                <w:sz w:val="24"/>
                <w:szCs w:val="24"/>
              </w:rPr>
            </w:pPr>
          </w:p>
        </w:tc>
      </w:tr>
    </w:tbl>
    <w:p w14:paraId="1D09DE1E" w14:textId="77777777"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 տալը մերժվել է՝</w:t>
      </w:r>
    </w:p>
    <w:tbl>
      <w:tblPr>
        <w:tblW w:w="10100" w:type="dxa"/>
        <w:jc w:val="center"/>
        <w:tblLayout w:type="fixed"/>
        <w:tblCellMar>
          <w:left w:w="0" w:type="dxa"/>
          <w:right w:w="0" w:type="dxa"/>
        </w:tblCellMar>
        <w:tblLook w:val="01E0" w:firstRow="1" w:lastRow="1" w:firstColumn="1" w:lastColumn="1" w:noHBand="0" w:noVBand="0"/>
      </w:tblPr>
      <w:tblGrid>
        <w:gridCol w:w="4403"/>
        <w:gridCol w:w="5697"/>
      </w:tblGrid>
      <w:tr w:rsidR="006F76EB" w:rsidRPr="00834D52" w14:paraId="1F98E9C4"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1E9AF2C0"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395F7F0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778C4F2"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484CBCD9"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որոշման համարը</w:t>
            </w:r>
          </w:p>
        </w:tc>
        <w:tc>
          <w:tcPr>
            <w:tcW w:w="5697" w:type="dxa"/>
            <w:tcBorders>
              <w:top w:val="single" w:sz="4" w:space="0" w:color="000000"/>
              <w:left w:val="single" w:sz="4" w:space="0" w:color="000000"/>
              <w:bottom w:val="single" w:sz="4" w:space="0" w:color="000000"/>
              <w:right w:val="single" w:sz="4" w:space="0" w:color="000000"/>
            </w:tcBorders>
          </w:tcPr>
          <w:p w14:paraId="42F5B6F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6AF75236" w14:textId="77777777" w:rsidTr="00100CD9">
        <w:trPr>
          <w:trHeight w:val="516"/>
          <w:jc w:val="center"/>
        </w:trPr>
        <w:tc>
          <w:tcPr>
            <w:tcW w:w="10100" w:type="dxa"/>
            <w:gridSpan w:val="2"/>
            <w:tcBorders>
              <w:top w:val="single" w:sz="4" w:space="0" w:color="000000"/>
              <w:left w:val="single" w:sz="4" w:space="0" w:color="000000"/>
              <w:bottom w:val="single" w:sz="4" w:space="0" w:color="000000"/>
              <w:right w:val="single" w:sz="4" w:space="0" w:color="000000"/>
            </w:tcBorders>
          </w:tcPr>
          <w:p w14:paraId="1F285FFE" w14:textId="03796E04"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կարգավիճակ տալու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65266C3E" w14:textId="77777777" w:rsidTr="00100CD9">
        <w:trPr>
          <w:trHeight w:val="516"/>
          <w:jc w:val="center"/>
        </w:trPr>
        <w:tc>
          <w:tcPr>
            <w:tcW w:w="4403" w:type="dxa"/>
            <w:tcBorders>
              <w:top w:val="single" w:sz="4" w:space="0" w:color="000000"/>
              <w:left w:val="single" w:sz="4" w:space="0" w:color="000000"/>
              <w:bottom w:val="single" w:sz="4" w:space="0" w:color="000000"/>
              <w:right w:val="single" w:sz="4" w:space="0" w:color="000000"/>
            </w:tcBorders>
          </w:tcPr>
          <w:p w14:paraId="2D19D1A3" w14:textId="77777777" w:rsidR="006F76EB" w:rsidRPr="00834D52" w:rsidRDefault="006F76EB" w:rsidP="00DE7C06">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ամսաթիվը</w:t>
            </w:r>
          </w:p>
        </w:tc>
        <w:tc>
          <w:tcPr>
            <w:tcW w:w="5697" w:type="dxa"/>
            <w:tcBorders>
              <w:top w:val="single" w:sz="4" w:space="0" w:color="000000"/>
              <w:left w:val="single" w:sz="4" w:space="0" w:color="000000"/>
              <w:bottom w:val="single" w:sz="4" w:space="0" w:color="000000"/>
              <w:right w:val="single" w:sz="4" w:space="0" w:color="000000"/>
            </w:tcBorders>
          </w:tcPr>
          <w:p w14:paraId="528C22F8" w14:textId="77777777" w:rsidR="006F76EB" w:rsidRPr="00834D52" w:rsidRDefault="006F76EB" w:rsidP="00DE7C06">
            <w:pPr>
              <w:spacing w:after="120" w:line="240" w:lineRule="auto"/>
              <w:ind w:right="-6"/>
              <w:rPr>
                <w:rFonts w:ascii="Sylfaen" w:hAnsi="Sylfaen"/>
                <w:sz w:val="24"/>
                <w:szCs w:val="24"/>
              </w:rPr>
            </w:pPr>
          </w:p>
        </w:tc>
      </w:tr>
    </w:tbl>
    <w:p w14:paraId="0E1372CC" w14:textId="5822D56E" w:rsidR="006F76EB" w:rsidRPr="00834D52" w:rsidRDefault="006F76EB" w:rsidP="00100CD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Դեղապատրաստուկին հազվադեպ կիրառվող («որբ») պատրաստուկի կարգավիճակ տալը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4.2 ենթակետ):</w:t>
      </w:r>
    </w:p>
    <w:p w14:paraId="1B27C1A5" w14:textId="77777777" w:rsidR="00100CD9" w:rsidRDefault="00100CD9">
      <w:pPr>
        <w:widowControl/>
        <w:rPr>
          <w:rFonts w:ascii="Sylfaen" w:hAnsi="Sylfaen"/>
          <w:sz w:val="24"/>
          <w:szCs w:val="24"/>
        </w:rPr>
      </w:pPr>
      <w:r>
        <w:rPr>
          <w:rFonts w:ascii="Sylfaen" w:hAnsi="Sylfaen"/>
          <w:sz w:val="24"/>
          <w:szCs w:val="24"/>
        </w:rPr>
        <w:br w:type="page"/>
      </w:r>
    </w:p>
    <w:p w14:paraId="5F3C9FFF" w14:textId="24F4A92E"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2. </w:t>
      </w:r>
      <w:r w:rsidR="0056496B">
        <w:rPr>
          <w:rFonts w:ascii="Sylfaen" w:hAnsi="Sylfaen"/>
          <w:sz w:val="24"/>
          <w:szCs w:val="24"/>
        </w:rPr>
        <w:t>Դիմում</w:t>
      </w:r>
      <w:r w:rsidRPr="00834D52">
        <w:rPr>
          <w:rFonts w:ascii="Sylfaen" w:hAnsi="Sylfaen"/>
          <w:sz w:val="24"/>
          <w:szCs w:val="24"/>
        </w:rPr>
        <w:t>ի հատուկ կետերը</w:t>
      </w:r>
    </w:p>
    <w:tbl>
      <w:tblPr>
        <w:tblW w:w="9356" w:type="dxa"/>
        <w:jc w:val="center"/>
        <w:tblLayout w:type="fixed"/>
        <w:tblCellMar>
          <w:left w:w="0" w:type="dxa"/>
          <w:right w:w="0" w:type="dxa"/>
        </w:tblCellMar>
        <w:tblLook w:val="01E0" w:firstRow="1" w:lastRow="1" w:firstColumn="1" w:lastColumn="1" w:noHBand="0" w:noVBand="0"/>
      </w:tblPr>
      <w:tblGrid>
        <w:gridCol w:w="4291"/>
        <w:gridCol w:w="5065"/>
      </w:tblGrid>
      <w:tr w:rsidR="006F76EB" w:rsidRPr="00834D52" w14:paraId="4E8AC216"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3D2D74C"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 xml:space="preserve">2.1. 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5065" w:type="dxa"/>
            <w:tcBorders>
              <w:top w:val="single" w:sz="4" w:space="0" w:color="000000"/>
              <w:left w:val="single" w:sz="4" w:space="0" w:color="000000"/>
              <w:bottom w:val="single" w:sz="4" w:space="0" w:color="000000"/>
              <w:right w:val="single" w:sz="4" w:space="0" w:color="000000"/>
            </w:tcBorders>
          </w:tcPr>
          <w:p w14:paraId="3A9A5A66" w14:textId="77777777" w:rsidR="006F76EB" w:rsidRPr="00834D52" w:rsidRDefault="006F76EB" w:rsidP="00DE7C06">
            <w:pPr>
              <w:spacing w:after="120" w:line="240" w:lineRule="auto"/>
              <w:ind w:right="-6"/>
              <w:rPr>
                <w:rFonts w:ascii="Sylfaen" w:hAnsi="Sylfaen"/>
                <w:sz w:val="24"/>
                <w:szCs w:val="24"/>
              </w:rPr>
            </w:pPr>
          </w:p>
        </w:tc>
      </w:tr>
      <w:tr w:rsidR="006F76EB" w:rsidRPr="00834D52" w14:paraId="4E22A92E"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3C44A753"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2.1.1. Դեղապատրաստուկի անվանումը</w:t>
            </w:r>
          </w:p>
        </w:tc>
        <w:tc>
          <w:tcPr>
            <w:tcW w:w="5065" w:type="dxa"/>
            <w:tcBorders>
              <w:top w:val="single" w:sz="4" w:space="0" w:color="000000"/>
              <w:left w:val="single" w:sz="4" w:space="0" w:color="000000"/>
              <w:bottom w:val="single" w:sz="4" w:space="0" w:color="000000"/>
              <w:right w:val="single" w:sz="4" w:space="0" w:color="000000"/>
            </w:tcBorders>
          </w:tcPr>
          <w:p w14:paraId="30D3F31F" w14:textId="77777777" w:rsidR="006F76EB" w:rsidRPr="00834D52" w:rsidRDefault="006F76EB" w:rsidP="00DE7C06">
            <w:pPr>
              <w:spacing w:after="120" w:line="240" w:lineRule="auto"/>
              <w:ind w:right="-6"/>
              <w:rPr>
                <w:rFonts w:ascii="Sylfaen" w:hAnsi="Sylfaen"/>
                <w:sz w:val="24"/>
                <w:szCs w:val="24"/>
              </w:rPr>
            </w:pPr>
          </w:p>
        </w:tc>
      </w:tr>
      <w:tr w:rsidR="006F76EB" w:rsidRPr="00834D52" w14:paraId="0DFC7BD8" w14:textId="77777777" w:rsidTr="00F71229">
        <w:trPr>
          <w:jc w:val="center"/>
        </w:trPr>
        <w:tc>
          <w:tcPr>
            <w:tcW w:w="4291" w:type="dxa"/>
            <w:tcBorders>
              <w:top w:val="single" w:sz="4" w:space="0" w:color="000000"/>
              <w:left w:val="single" w:sz="4" w:space="0" w:color="000000"/>
              <w:bottom w:val="single" w:sz="4" w:space="0" w:color="000000"/>
              <w:right w:val="single" w:sz="4" w:space="0" w:color="000000"/>
            </w:tcBorders>
          </w:tcPr>
          <w:p w14:paraId="22C1170A" w14:textId="77777777" w:rsidR="006F76EB" w:rsidRPr="00834D52" w:rsidRDefault="006F76EB" w:rsidP="00DE7C06">
            <w:pPr>
              <w:spacing w:after="120" w:line="240" w:lineRule="auto"/>
              <w:ind w:left="50" w:right="-6"/>
              <w:rPr>
                <w:rFonts w:ascii="Sylfaen" w:eastAsia="Times New Roman" w:hAnsi="Sylfaen" w:cs="Times New Roman"/>
                <w:sz w:val="24"/>
                <w:szCs w:val="24"/>
              </w:rPr>
            </w:pPr>
            <w:r w:rsidRPr="00834D52">
              <w:rPr>
                <w:rFonts w:ascii="Sylfaen" w:hAnsi="Sylfaen"/>
                <w:sz w:val="24"/>
                <w:szCs w:val="24"/>
              </w:rPr>
              <w:t>2.1.2. ԱԴԲ-ի անվանումը կամ բաղադրությունը</w:t>
            </w:r>
          </w:p>
        </w:tc>
        <w:tc>
          <w:tcPr>
            <w:tcW w:w="5065" w:type="dxa"/>
            <w:tcBorders>
              <w:top w:val="single" w:sz="4" w:space="0" w:color="000000"/>
              <w:left w:val="single" w:sz="4" w:space="0" w:color="000000"/>
              <w:bottom w:val="single" w:sz="4" w:space="0" w:color="000000"/>
              <w:right w:val="single" w:sz="4" w:space="0" w:color="000000"/>
            </w:tcBorders>
          </w:tcPr>
          <w:p w14:paraId="649D9F7D" w14:textId="77777777" w:rsidR="006F76EB" w:rsidRPr="00834D52" w:rsidRDefault="006F76EB" w:rsidP="00DE7C06">
            <w:pPr>
              <w:spacing w:after="120" w:line="240" w:lineRule="auto"/>
              <w:ind w:right="-6"/>
              <w:rPr>
                <w:rFonts w:ascii="Sylfaen" w:hAnsi="Sylfaen"/>
                <w:sz w:val="24"/>
                <w:szCs w:val="24"/>
              </w:rPr>
            </w:pPr>
          </w:p>
        </w:tc>
      </w:tr>
    </w:tbl>
    <w:p w14:paraId="2A27C37E" w14:textId="77777777" w:rsidR="006F76EB" w:rsidRPr="007F5A6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Այս կարգով պետք է ներկայացվի միայն մեկ անվանում՝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52839130" w14:textId="77777777" w:rsidR="007349DC" w:rsidRPr="007F5A60" w:rsidRDefault="007349DC" w:rsidP="007349DC">
      <w:pPr>
        <w:spacing w:after="160" w:line="360" w:lineRule="auto"/>
        <w:ind w:right="-8" w:firstLine="567"/>
        <w:rPr>
          <w:rFonts w:ascii="Sylfaen" w:hAnsi="Sylfaen"/>
          <w:sz w:val="24"/>
          <w:szCs w:val="24"/>
        </w:rPr>
      </w:pPr>
      <w:r w:rsidRPr="007F5A60">
        <w:rPr>
          <w:rFonts w:ascii="Sylfaen" w:hAnsi="Sylfaen"/>
          <w:sz w:val="24"/>
          <w:szCs w:val="24"/>
        </w:rPr>
        <w:t>______________________</w:t>
      </w:r>
    </w:p>
    <w:p w14:paraId="1C65C52B" w14:textId="77777777" w:rsidR="007349DC" w:rsidRPr="007F5A60" w:rsidRDefault="007349DC" w:rsidP="007349DC">
      <w:pPr>
        <w:spacing w:after="120" w:line="240" w:lineRule="auto"/>
        <w:ind w:right="-6" w:firstLine="567"/>
        <w:rPr>
          <w:rFonts w:ascii="Sylfaen" w:eastAsia="Times New Roman" w:hAnsi="Sylfaen" w:cs="Times New Roman"/>
          <w:sz w:val="24"/>
          <w:szCs w:val="24"/>
        </w:rPr>
      </w:pPr>
    </w:p>
    <w:p w14:paraId="0749B73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
        <w:t>2.1.3.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3206CCD1"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787" w:type="dxa"/>
        <w:jc w:val="center"/>
        <w:tblLayout w:type="fixed"/>
        <w:tblCellMar>
          <w:left w:w="0" w:type="dxa"/>
          <w:right w:w="0" w:type="dxa"/>
        </w:tblCellMar>
        <w:tblLook w:val="01E0" w:firstRow="1" w:lastRow="1" w:firstColumn="1" w:lastColumn="1" w:noHBand="0" w:noVBand="0"/>
      </w:tblPr>
      <w:tblGrid>
        <w:gridCol w:w="4128"/>
        <w:gridCol w:w="5659"/>
      </w:tblGrid>
      <w:tr w:rsidR="006F76EB" w:rsidRPr="00834D52" w14:paraId="46D2A6A5"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49EC2FDD"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ԱԲՔ ծածկագիրը</w:t>
            </w:r>
          </w:p>
        </w:tc>
        <w:tc>
          <w:tcPr>
            <w:tcW w:w="5659" w:type="dxa"/>
            <w:tcBorders>
              <w:top w:val="single" w:sz="4" w:space="0" w:color="000000"/>
              <w:left w:val="single" w:sz="4" w:space="0" w:color="000000"/>
              <w:bottom w:val="single" w:sz="4" w:space="0" w:color="000000"/>
              <w:right w:val="single" w:sz="4" w:space="0" w:color="000000"/>
            </w:tcBorders>
          </w:tcPr>
          <w:p w14:paraId="04F50522" w14:textId="77777777" w:rsidR="006F76EB" w:rsidRPr="00834D52" w:rsidRDefault="006F76EB" w:rsidP="003B6635">
            <w:pPr>
              <w:spacing w:after="120" w:line="240" w:lineRule="auto"/>
              <w:ind w:right="-6"/>
              <w:rPr>
                <w:rFonts w:ascii="Sylfaen" w:hAnsi="Sylfaen"/>
                <w:sz w:val="24"/>
                <w:szCs w:val="24"/>
              </w:rPr>
            </w:pPr>
          </w:p>
        </w:tc>
      </w:tr>
      <w:tr w:rsidR="006F76EB" w:rsidRPr="00834D52" w14:paraId="2598F64E" w14:textId="77777777" w:rsidTr="00F71229">
        <w:trPr>
          <w:jc w:val="center"/>
        </w:trPr>
        <w:tc>
          <w:tcPr>
            <w:tcW w:w="4128" w:type="dxa"/>
            <w:tcBorders>
              <w:top w:val="single" w:sz="4" w:space="0" w:color="000000"/>
              <w:left w:val="single" w:sz="4" w:space="0" w:color="000000"/>
              <w:bottom w:val="single" w:sz="4" w:space="0" w:color="000000"/>
              <w:right w:val="single" w:sz="4" w:space="0" w:color="000000"/>
            </w:tcBorders>
          </w:tcPr>
          <w:p w14:paraId="1A4FD1C0" w14:textId="77777777" w:rsidR="006F76EB" w:rsidRPr="00834D52" w:rsidRDefault="006F76EB" w:rsidP="003B663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խումբը</w:t>
            </w:r>
          </w:p>
        </w:tc>
        <w:tc>
          <w:tcPr>
            <w:tcW w:w="5659" w:type="dxa"/>
            <w:tcBorders>
              <w:top w:val="single" w:sz="4" w:space="0" w:color="000000"/>
              <w:left w:val="single" w:sz="4" w:space="0" w:color="000000"/>
              <w:bottom w:val="single" w:sz="4" w:space="0" w:color="000000"/>
              <w:right w:val="single" w:sz="4" w:space="0" w:color="000000"/>
            </w:tcBorders>
          </w:tcPr>
          <w:p w14:paraId="032E6302" w14:textId="77777777" w:rsidR="006F76EB" w:rsidRPr="00834D52" w:rsidRDefault="006F76EB" w:rsidP="003B6635">
            <w:pPr>
              <w:spacing w:after="120" w:line="240" w:lineRule="auto"/>
              <w:ind w:right="-6"/>
              <w:rPr>
                <w:rFonts w:ascii="Sylfaen" w:hAnsi="Sylfaen"/>
                <w:sz w:val="24"/>
                <w:szCs w:val="24"/>
              </w:rPr>
            </w:pPr>
          </w:p>
        </w:tc>
      </w:tr>
    </w:tbl>
    <w:p w14:paraId="782DD91D" w14:textId="1A7F73FC" w:rsidR="006F76EB" w:rsidRPr="00834D52" w:rsidRDefault="006F76EB" w:rsidP="007349DC">
      <w:pPr>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տրված չէ, ապա նշե՛ք, թե արդյոք ներկայացվել է ԱԲՔ ծածկագիր տալու </w:t>
      </w:r>
      <w:r w:rsidR="0056496B">
        <w:rPr>
          <w:rFonts w:ascii="Sylfaen" w:hAnsi="Sylfaen"/>
          <w:sz w:val="24"/>
          <w:szCs w:val="24"/>
        </w:rPr>
        <w:t>դիմում</w:t>
      </w:r>
    </w:p>
    <w:p w14:paraId="11EF2905" w14:textId="77777777" w:rsidR="006F76EB" w:rsidRPr="00834D52" w:rsidRDefault="006F76EB" w:rsidP="007349DC">
      <w:pPr>
        <w:tabs>
          <w:tab w:val="left" w:pos="1134"/>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w:t>
      </w:r>
      <w:r w:rsidRPr="00834D52">
        <w:rPr>
          <w:rFonts w:ascii="Sylfaen" w:hAnsi="Sylfaen"/>
          <w:sz w:val="24"/>
          <w:szCs w:val="24"/>
        </w:rPr>
        <w:tab/>
        <w:t>Դեղաչափը,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ուղին, առաջնային փաթեթվածքի տարողությունը, դոզավորման միավորների թիվը փաթեթվածքի մեջ</w:t>
      </w:r>
    </w:p>
    <w:p w14:paraId="1F05657B" w14:textId="77777777" w:rsidR="006F76EB" w:rsidRPr="00834D52" w:rsidRDefault="006F76EB" w:rsidP="007349DC">
      <w:pPr>
        <w:tabs>
          <w:tab w:val="left" w:pos="1701"/>
        </w:tabs>
        <w:spacing w:after="160" w:line="312" w:lineRule="auto"/>
        <w:ind w:right="-6" w:firstLine="567"/>
        <w:jc w:val="both"/>
        <w:rPr>
          <w:rFonts w:ascii="Sylfaen" w:eastAsia="Times New Roman" w:hAnsi="Sylfaen" w:cs="Times New Roman"/>
          <w:sz w:val="24"/>
          <w:szCs w:val="24"/>
        </w:rPr>
      </w:pPr>
      <w:r w:rsidRPr="00834D52">
        <w:rPr>
          <w:rFonts w:ascii="Sylfaen" w:hAnsi="Sylfaen"/>
          <w:sz w:val="24"/>
          <w:szCs w:val="24"/>
        </w:rPr>
        <w:t>2.2.1.</w:t>
      </w:r>
      <w:r w:rsidRPr="00834D52">
        <w:rPr>
          <w:rFonts w:ascii="Sylfaen" w:hAnsi="Sylfaen"/>
          <w:sz w:val="24"/>
          <w:szCs w:val="24"/>
        </w:rPr>
        <w:tab/>
        <w:t xml:space="preserve">Դեղաչափը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2D12F028" w14:textId="77777777" w:rsidR="006F76EB" w:rsidRPr="007F5A60" w:rsidRDefault="006F76EB" w:rsidP="007349DC">
      <w:pPr>
        <w:spacing w:after="160" w:line="312" w:lineRule="auto"/>
        <w:ind w:right="-6" w:firstLine="567"/>
        <w:jc w:val="both"/>
        <w:rPr>
          <w:rFonts w:ascii="Sylfaen" w:hAnsi="Sylfae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712" w:type="dxa"/>
        <w:jc w:val="center"/>
        <w:tblLayout w:type="fixed"/>
        <w:tblCellMar>
          <w:left w:w="0" w:type="dxa"/>
          <w:right w:w="0" w:type="dxa"/>
        </w:tblCellMar>
        <w:tblLook w:val="01E0" w:firstRow="1" w:lastRow="1" w:firstColumn="1" w:lastColumn="1" w:noHBand="0" w:noVBand="0"/>
      </w:tblPr>
      <w:tblGrid>
        <w:gridCol w:w="5566"/>
        <w:gridCol w:w="4146"/>
      </w:tblGrid>
      <w:tr w:rsidR="006F76EB" w:rsidRPr="00834D52" w14:paraId="5FABA1D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4A940B84"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4146" w:type="dxa"/>
            <w:tcBorders>
              <w:top w:val="single" w:sz="4" w:space="0" w:color="000000"/>
              <w:left w:val="single" w:sz="4" w:space="0" w:color="000000"/>
              <w:bottom w:val="single" w:sz="4" w:space="0" w:color="000000"/>
              <w:right w:val="single" w:sz="4" w:space="0" w:color="000000"/>
            </w:tcBorders>
          </w:tcPr>
          <w:p w14:paraId="2C8AB0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4EE67306"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566DC5F9" w14:textId="77777777" w:rsidR="006F76EB" w:rsidRPr="00834D52" w:rsidRDefault="006F76EB" w:rsidP="004E3708">
            <w:pPr>
              <w:spacing w:after="120" w:line="240" w:lineRule="auto"/>
              <w:ind w:left="172" w:right="-6" w:firstLine="492"/>
              <w:rPr>
                <w:rFonts w:ascii="Sylfaen" w:eastAsia="Times New Roman" w:hAnsi="Sylfaen" w:cs="Times New Roman"/>
                <w:sz w:val="24"/>
                <w:szCs w:val="24"/>
              </w:rPr>
            </w:pPr>
            <w:r w:rsidRPr="00834D52">
              <w:rPr>
                <w:rFonts w:ascii="Sylfaen" w:hAnsi="Sylfaen"/>
                <w:sz w:val="24"/>
                <w:szCs w:val="24"/>
              </w:rPr>
              <w:t>դեղաչափերը կամ խտությունները</w:t>
            </w:r>
          </w:p>
        </w:tc>
        <w:tc>
          <w:tcPr>
            <w:tcW w:w="4146" w:type="dxa"/>
            <w:tcBorders>
              <w:top w:val="single" w:sz="4" w:space="0" w:color="000000"/>
              <w:left w:val="single" w:sz="4" w:space="0" w:color="000000"/>
              <w:bottom w:val="single" w:sz="4" w:space="0" w:color="000000"/>
              <w:right w:val="single" w:sz="4" w:space="0" w:color="000000"/>
            </w:tcBorders>
          </w:tcPr>
          <w:p w14:paraId="4C50B2C1" w14:textId="77777777" w:rsidR="006F76EB" w:rsidRPr="00834D52" w:rsidRDefault="006F76EB" w:rsidP="004E3708">
            <w:pPr>
              <w:spacing w:after="120" w:line="240" w:lineRule="auto"/>
              <w:ind w:right="-6"/>
              <w:rPr>
                <w:rFonts w:ascii="Sylfaen" w:hAnsi="Sylfaen"/>
                <w:sz w:val="24"/>
                <w:szCs w:val="24"/>
              </w:rPr>
            </w:pPr>
          </w:p>
        </w:tc>
      </w:tr>
      <w:tr w:rsidR="006F76EB" w:rsidRPr="00834D52" w14:paraId="2578E3D5"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79D79002" w14:textId="77777777" w:rsidR="006F76EB" w:rsidRPr="00834D52" w:rsidRDefault="006F76EB" w:rsidP="004E3708">
            <w:pPr>
              <w:spacing w:after="120" w:line="240" w:lineRule="auto"/>
              <w:ind w:left="172" w:right="-6" w:firstLine="536"/>
              <w:rPr>
                <w:rFonts w:ascii="Sylfaen" w:eastAsia="Times New Roman" w:hAnsi="Sylfaen" w:cs="Times New Roman"/>
                <w:sz w:val="24"/>
                <w:szCs w:val="24"/>
              </w:rPr>
            </w:pPr>
            <w:r w:rsidRPr="00834D52">
              <w:rPr>
                <w:rFonts w:ascii="Sylfaen" w:hAnsi="Sylfaen"/>
                <w:sz w:val="24"/>
                <w:szCs w:val="24"/>
              </w:rPr>
              <w:t>2.2.2.</w:t>
            </w:r>
            <w:r w:rsidRPr="00834D52">
              <w:rPr>
                <w:rFonts w:ascii="Sylfaen" w:hAnsi="Sylfaen"/>
                <w:sz w:val="24"/>
                <w:szCs w:val="24"/>
              </w:rPr>
              <w:tab/>
            </w:r>
            <w:r w:rsidR="004E3708" w:rsidRPr="007F5A60">
              <w:rPr>
                <w:rFonts w:ascii="Sylfaen" w:hAnsi="Sylfaen"/>
                <w:sz w:val="24"/>
                <w:szCs w:val="24"/>
              </w:rPr>
              <w:tab/>
            </w:r>
            <w:r w:rsidRPr="00834D52">
              <w:rPr>
                <w:rFonts w:ascii="Sylfaen" w:hAnsi="Sylfaen"/>
                <w:sz w:val="24"/>
                <w:szCs w:val="24"/>
              </w:rPr>
              <w:t>Ներմուծման ուղին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146" w:type="dxa"/>
            <w:tcBorders>
              <w:top w:val="single" w:sz="4" w:space="0" w:color="000000"/>
              <w:left w:val="single" w:sz="4" w:space="0" w:color="000000"/>
              <w:bottom w:val="single" w:sz="4" w:space="0" w:color="000000"/>
              <w:right w:val="single" w:sz="4" w:space="0" w:color="000000"/>
            </w:tcBorders>
          </w:tcPr>
          <w:p w14:paraId="5DBC8CF8" w14:textId="77777777" w:rsidR="006F76EB" w:rsidRPr="00834D52" w:rsidRDefault="006F76EB" w:rsidP="004E3708">
            <w:pPr>
              <w:spacing w:after="120" w:line="240" w:lineRule="auto"/>
              <w:ind w:right="-6"/>
              <w:rPr>
                <w:rFonts w:ascii="Sylfaen" w:hAnsi="Sylfaen"/>
                <w:sz w:val="24"/>
                <w:szCs w:val="24"/>
              </w:rPr>
            </w:pPr>
          </w:p>
        </w:tc>
      </w:tr>
      <w:tr w:rsidR="006F76EB" w:rsidRPr="00834D52" w14:paraId="71F99DCF" w14:textId="77777777" w:rsidTr="00F71229">
        <w:trPr>
          <w:jc w:val="center"/>
        </w:trPr>
        <w:tc>
          <w:tcPr>
            <w:tcW w:w="5566" w:type="dxa"/>
            <w:tcBorders>
              <w:top w:val="single" w:sz="4" w:space="0" w:color="000000"/>
              <w:left w:val="single" w:sz="4" w:space="0" w:color="000000"/>
              <w:bottom w:val="single" w:sz="4" w:space="0" w:color="000000"/>
              <w:right w:val="single" w:sz="4" w:space="0" w:color="000000"/>
            </w:tcBorders>
          </w:tcPr>
          <w:p w14:paraId="29C91EC6" w14:textId="3DA198D0" w:rsidR="006F76EB" w:rsidRPr="00834D52" w:rsidRDefault="006F76EB" w:rsidP="004E3708">
            <w:pPr>
              <w:spacing w:after="120" w:line="240" w:lineRule="auto"/>
              <w:ind w:left="172" w:right="149" w:firstLine="536"/>
              <w:rPr>
                <w:rFonts w:ascii="Sylfaen" w:eastAsia="Times New Roman" w:hAnsi="Sylfaen" w:cs="Times New Roman"/>
                <w:sz w:val="24"/>
                <w:szCs w:val="24"/>
              </w:rPr>
            </w:pPr>
            <w:r w:rsidRPr="00834D52">
              <w:rPr>
                <w:rFonts w:ascii="Sylfaen" w:hAnsi="Sylfaen"/>
                <w:sz w:val="24"/>
                <w:szCs w:val="24"/>
              </w:rPr>
              <w:t>2.2.3.</w:t>
            </w:r>
            <w:r w:rsidR="004E3708" w:rsidRPr="007F5A60">
              <w:rPr>
                <w:rFonts w:ascii="Sylfaen" w:hAnsi="Sylfaen"/>
                <w:sz w:val="24"/>
                <w:szCs w:val="24"/>
              </w:rPr>
              <w:tab/>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փաթեթվածքը, միջանկյալ փաթեթվածքը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սարքվածքները՝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887B3C">
              <w:t xml:space="preserve"> </w:t>
            </w:r>
            <w:r w:rsidR="00887B3C" w:rsidRPr="00887B3C">
              <w:rPr>
                <w:rFonts w:ascii="Sylfaen" w:hAnsi="Sylfaen"/>
                <w:sz w:val="24"/>
                <w:szCs w:val="24"/>
              </w:rPr>
              <w:t>չբաժնեծրարված արտադրանքի փաթեթվածք (առկայության դեպքում)</w:t>
            </w:r>
          </w:p>
        </w:tc>
        <w:tc>
          <w:tcPr>
            <w:tcW w:w="4146" w:type="dxa"/>
            <w:tcBorders>
              <w:top w:val="single" w:sz="4" w:space="0" w:color="000000"/>
              <w:left w:val="single" w:sz="4" w:space="0" w:color="000000"/>
              <w:bottom w:val="single" w:sz="4" w:space="0" w:color="000000"/>
              <w:right w:val="single" w:sz="4" w:space="0" w:color="000000"/>
            </w:tcBorders>
          </w:tcPr>
          <w:p w14:paraId="23AE54D8" w14:textId="77777777" w:rsidR="006F76EB" w:rsidRPr="00834D52" w:rsidRDefault="006F76EB" w:rsidP="004E3708">
            <w:pPr>
              <w:spacing w:after="120" w:line="240" w:lineRule="auto"/>
              <w:ind w:right="-6"/>
              <w:rPr>
                <w:rFonts w:ascii="Sylfaen" w:hAnsi="Sylfaen"/>
                <w:sz w:val="24"/>
                <w:szCs w:val="24"/>
              </w:rPr>
            </w:pPr>
          </w:p>
        </w:tc>
      </w:tr>
    </w:tbl>
    <w:p w14:paraId="10280903"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6AEE6079"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2.2.3.1.</w:t>
      </w:r>
      <w:r w:rsidRPr="00834D52">
        <w:rPr>
          <w:rFonts w:ascii="Sylfaen" w:hAnsi="Sylfaen"/>
          <w:sz w:val="24"/>
          <w:szCs w:val="24"/>
        </w:rPr>
        <w:tab/>
        <w:t>Դոզավորման միավորների թիվը փաթեթվածքի մեջ:</w:t>
      </w:r>
    </w:p>
    <w:p w14:paraId="55F7FE7D"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2.2.3.2.</w:t>
      </w:r>
      <w:r w:rsidRPr="00834D52">
        <w:rPr>
          <w:rFonts w:ascii="Sylfaen" w:hAnsi="Sylfaen"/>
          <w:sz w:val="24"/>
          <w:szCs w:val="24"/>
        </w:rPr>
        <w:tab/>
        <w:t>Պահպանման առաջարկվող ժամկետը:</w:t>
      </w:r>
    </w:p>
    <w:p w14:paraId="25EAD70E"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D48FF2A"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2.2.3.4.</w:t>
      </w:r>
      <w:r w:rsidRPr="00834D52">
        <w:rPr>
          <w:rFonts w:ascii="Sylfaen" w:hAnsi="Sylfaen"/>
          <w:sz w:val="24"/>
          <w:szCs w:val="24"/>
        </w:rPr>
        <w:tab/>
        <w:t>Պահպանման առաջարկվող ժամկետը (վերականգնումից (լուծումից) կամ նոսրացումից հետո):</w:t>
      </w:r>
    </w:p>
    <w:p w14:paraId="3471C83F"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2.2.3.5.</w:t>
      </w:r>
      <w:r w:rsidRPr="00834D52">
        <w:rPr>
          <w:rFonts w:ascii="Sylfaen" w:hAnsi="Sylfaen"/>
          <w:sz w:val="24"/>
          <w:szCs w:val="24"/>
        </w:rPr>
        <w:tab/>
        <w:t>Պահպանման առաջարկվող պայմանները:</w:t>
      </w:r>
    </w:p>
    <w:p w14:paraId="0C1BF880" w14:textId="77777777" w:rsidR="006F76EB" w:rsidRPr="00834D52" w:rsidRDefault="006F76EB" w:rsidP="004E3708">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2818F149" w14:textId="77777777" w:rsidR="006F76EB" w:rsidRPr="00834D52" w:rsidRDefault="006F76EB" w:rsidP="004E3708">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2.2.4.</w:t>
      </w:r>
      <w:r w:rsidRPr="00834D52">
        <w:rPr>
          <w:rFonts w:ascii="Sylfaen" w:hAnsi="Sylfaen"/>
          <w:sz w:val="24"/>
          <w:szCs w:val="24"/>
        </w:rPr>
        <w:tab/>
        <w:t>Տեղեկատվություն՝ ներմուծման սարքվածքների վերաբերյալ</w:t>
      </w:r>
    </w:p>
    <w:p w14:paraId="5FED4C7E" w14:textId="77777777" w:rsidR="006F76EB" w:rsidRPr="00834D52" w:rsidRDefault="006F76EB" w:rsidP="004E3708">
      <w:pPr>
        <w:tabs>
          <w:tab w:val="left" w:pos="1701"/>
        </w:tabs>
        <w:spacing w:after="160" w:line="360" w:lineRule="auto"/>
        <w:ind w:right="-6" w:firstLine="567"/>
        <w:rPr>
          <w:rFonts w:ascii="Sylfaen" w:hAnsi="Sylfaen"/>
          <w:sz w:val="24"/>
          <w:szCs w:val="24"/>
        </w:rPr>
      </w:pPr>
      <w:r w:rsidRPr="00834D52">
        <w:rPr>
          <w:rFonts w:ascii="Sylfaen" w:hAnsi="Sylfaen"/>
          <w:sz w:val="24"/>
          <w:szCs w:val="24"/>
        </w:rPr>
        <w:t>2.3.</w:t>
      </w:r>
      <w:r w:rsidRPr="00834D52">
        <w:rPr>
          <w:rFonts w:ascii="Sylfaen" w:hAnsi="Sylfaen"/>
          <w:sz w:val="24"/>
          <w:szCs w:val="24"/>
        </w:rPr>
        <w:tab/>
        <w:t>Բացթողման կատեգորիան</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394"/>
      </w:tblGrid>
      <w:tr w:rsidR="006F76EB" w:rsidRPr="00834D52" w14:paraId="67A4A84D" w14:textId="77777777" w:rsidTr="00F71229">
        <w:tc>
          <w:tcPr>
            <w:tcW w:w="5070" w:type="dxa"/>
          </w:tcPr>
          <w:p w14:paraId="2D9C68D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46F15F6" w14:textId="77777777" w:rsidR="006F76EB" w:rsidRPr="00834D52" w:rsidRDefault="00FC294A" w:rsidP="00F71229">
            <w:pPr>
              <w:spacing w:after="160"/>
              <w:ind w:right="-6"/>
              <w:rPr>
                <w:rFonts w:ascii="Sylfaen" w:eastAsia="Times New Roman" w:hAnsi="Sylfaen" w:cs="Times New Roman"/>
                <w:sz w:val="24"/>
                <w:szCs w:val="24"/>
              </w:rPr>
            </w:pPr>
            <w:r>
              <w:rPr>
                <w:rFonts w:ascii="Sylfaen" w:hAnsi="Sylfaen"/>
                <w:noProof/>
                <w:sz w:val="24"/>
                <w:szCs w:val="24"/>
              </w:rPr>
              <w:pict w14:anchorId="6734A7BF">
                <v:rect id="_x0000_s1079" style="position:absolute;margin-left:-.4pt;margin-top:5.55pt;width:12.75pt;height:12pt;z-index:251571712;mso-position-horizontal-relative:text;mso-position-vertical-relative:text"/>
              </w:pict>
            </w:r>
          </w:p>
        </w:tc>
        <w:tc>
          <w:tcPr>
            <w:tcW w:w="4394" w:type="dxa"/>
          </w:tcPr>
          <w:p w14:paraId="14AA6300"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դեղատոմսով</w:t>
            </w:r>
          </w:p>
        </w:tc>
      </w:tr>
      <w:tr w:rsidR="006F76EB" w:rsidRPr="00834D52" w14:paraId="3A622C99" w14:textId="77777777" w:rsidTr="00F71229">
        <w:tc>
          <w:tcPr>
            <w:tcW w:w="5070" w:type="dxa"/>
          </w:tcPr>
          <w:p w14:paraId="32D97FBE" w14:textId="77777777" w:rsidR="006F76EB" w:rsidRPr="00834D52" w:rsidRDefault="006F76EB" w:rsidP="00F71229">
            <w:pPr>
              <w:tabs>
                <w:tab w:val="left" w:pos="1701"/>
              </w:tabs>
              <w:spacing w:after="160"/>
              <w:ind w:right="-35" w:firstLine="567"/>
              <w:rPr>
                <w:rFonts w:ascii="Sylfaen" w:eastAsia="Times New Roman" w:hAnsi="Sylfaen" w:cs="Times New Roman"/>
                <w:sz w:val="24"/>
                <w:szCs w:val="24"/>
              </w:rPr>
            </w:pPr>
            <w:r w:rsidRPr="00834D52">
              <w:rPr>
                <w:rFonts w:ascii="Sylfaen" w:hAnsi="Sylfaen"/>
                <w:sz w:val="24"/>
                <w:szCs w:val="24"/>
              </w:rPr>
              <w:t>2.3.1.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25" w:type="dxa"/>
          </w:tcPr>
          <w:p w14:paraId="5D0679D5" w14:textId="77777777" w:rsidR="006F76EB" w:rsidRPr="00834D52" w:rsidRDefault="00FC294A" w:rsidP="00F71229">
            <w:pPr>
              <w:spacing w:after="160"/>
              <w:ind w:right="-6"/>
              <w:rPr>
                <w:rFonts w:ascii="Sylfaen" w:eastAsia="Times New Roman" w:hAnsi="Sylfaen" w:cs="Times New Roman"/>
                <w:sz w:val="24"/>
                <w:szCs w:val="24"/>
              </w:rPr>
            </w:pPr>
            <w:r>
              <w:rPr>
                <w:rFonts w:ascii="Sylfaen" w:hAnsi="Sylfaen"/>
                <w:noProof/>
                <w:sz w:val="24"/>
                <w:szCs w:val="24"/>
              </w:rPr>
              <w:pict w14:anchorId="6A1445F1">
                <v:rect id="_x0000_s1080" style="position:absolute;margin-left:-.4pt;margin-top:5.45pt;width:12.75pt;height:12pt;z-index:251572736;mso-position-horizontal-relative:text;mso-position-vertical-relative:text"/>
              </w:pict>
            </w:r>
          </w:p>
        </w:tc>
        <w:tc>
          <w:tcPr>
            <w:tcW w:w="4394" w:type="dxa"/>
          </w:tcPr>
          <w:p w14:paraId="5C7CCA1A"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առանց դեղատոմսի</w:t>
            </w:r>
          </w:p>
        </w:tc>
      </w:tr>
      <w:tr w:rsidR="006F76EB" w:rsidRPr="00834D52" w14:paraId="5454E316" w14:textId="77777777" w:rsidTr="00F71229">
        <w:tc>
          <w:tcPr>
            <w:tcW w:w="5070" w:type="dxa"/>
          </w:tcPr>
          <w:p w14:paraId="6355CBA9" w14:textId="77777777" w:rsidR="006F76EB" w:rsidRPr="00834D52" w:rsidRDefault="006F76EB" w:rsidP="00F71229">
            <w:pPr>
              <w:spacing w:after="160"/>
              <w:ind w:right="-6"/>
              <w:rPr>
                <w:rFonts w:ascii="Sylfaen" w:eastAsia="Times New Roman" w:hAnsi="Sylfaen" w:cs="Times New Roman"/>
                <w:sz w:val="24"/>
                <w:szCs w:val="24"/>
              </w:rPr>
            </w:pPr>
          </w:p>
        </w:tc>
        <w:tc>
          <w:tcPr>
            <w:tcW w:w="425" w:type="dxa"/>
          </w:tcPr>
          <w:p w14:paraId="6D7309AE" w14:textId="77777777" w:rsidR="006F76EB" w:rsidRPr="00834D52" w:rsidRDefault="00FC294A" w:rsidP="00F71229">
            <w:pPr>
              <w:spacing w:after="160"/>
              <w:ind w:right="-6"/>
              <w:rPr>
                <w:rFonts w:ascii="Sylfaen" w:eastAsia="Times New Roman" w:hAnsi="Sylfaen" w:cs="Times New Roman"/>
                <w:sz w:val="24"/>
                <w:szCs w:val="24"/>
              </w:rPr>
            </w:pPr>
            <w:r>
              <w:rPr>
                <w:rFonts w:ascii="Sylfaen" w:hAnsi="Sylfaen"/>
                <w:noProof/>
                <w:sz w:val="24"/>
                <w:szCs w:val="24"/>
              </w:rPr>
              <w:pict w14:anchorId="26CC1C8C">
                <v:rect id="_x0000_s1081" style="position:absolute;margin-left:-.4pt;margin-top:5.35pt;width:12.75pt;height:12pt;z-index:251573760;mso-position-horizontal-relative:text;mso-position-vertical-relative:text"/>
              </w:pict>
            </w:r>
          </w:p>
        </w:tc>
        <w:tc>
          <w:tcPr>
            <w:tcW w:w="4394" w:type="dxa"/>
          </w:tcPr>
          <w:p w14:paraId="714738A4" w14:textId="77777777" w:rsidR="006F76EB" w:rsidRPr="00834D52" w:rsidRDefault="006F76EB" w:rsidP="00F71229">
            <w:pPr>
              <w:spacing w:after="160"/>
              <w:ind w:right="-6"/>
              <w:rPr>
                <w:rFonts w:ascii="Sylfaen" w:eastAsia="Times New Roman" w:hAnsi="Sylfaen" w:cs="Times New Roman"/>
                <w:sz w:val="24"/>
                <w:szCs w:val="24"/>
              </w:rPr>
            </w:pPr>
            <w:r w:rsidRPr="00834D52">
              <w:rPr>
                <w:rFonts w:ascii="Sylfaen" w:hAnsi="Sylfaen"/>
                <w:sz w:val="24"/>
                <w:szCs w:val="24"/>
              </w:rPr>
              <w:t>ստացիոնար պայմաններում</w:t>
            </w:r>
          </w:p>
        </w:tc>
      </w:tr>
    </w:tbl>
    <w:p w14:paraId="5798B867"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t>2.4.</w:t>
      </w:r>
      <w:r w:rsidRPr="00834D52">
        <w:rPr>
          <w:rFonts w:ascii="Sylfaen" w:hAnsi="Sylfaen"/>
          <w:sz w:val="24"/>
          <w:szCs w:val="24"/>
        </w:rPr>
        <w:tab/>
        <w:t>Գրանցման հավաստագրի իրավատերը</w:t>
      </w:r>
    </w:p>
    <w:p w14:paraId="18E73976" w14:textId="77777777" w:rsidR="006F76EB" w:rsidRPr="00834D52" w:rsidRDefault="006F76EB" w:rsidP="006F76EB">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2.4.1.</w:t>
      </w:r>
      <w:r w:rsidRPr="00834D52">
        <w:rPr>
          <w:rFonts w:ascii="Sylfaen" w:hAnsi="Sylfaen"/>
          <w:sz w:val="24"/>
          <w:szCs w:val="24"/>
        </w:rPr>
        <w:tab/>
        <w:t>Գրանցման հավաստագրի իրավատերը՝</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0F5BA36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799428DF"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766" w:type="dxa"/>
            <w:tcBorders>
              <w:top w:val="single" w:sz="4" w:space="0" w:color="000000"/>
              <w:left w:val="single" w:sz="4" w:space="0" w:color="000000"/>
              <w:bottom w:val="single" w:sz="4" w:space="0" w:color="000000"/>
              <w:right w:val="single" w:sz="4" w:space="0" w:color="000000"/>
            </w:tcBorders>
          </w:tcPr>
          <w:p w14:paraId="43F0FE6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FE3599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4997BFC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766" w:type="dxa"/>
            <w:tcBorders>
              <w:top w:val="single" w:sz="4" w:space="0" w:color="000000"/>
              <w:left w:val="single" w:sz="4" w:space="0" w:color="000000"/>
              <w:bottom w:val="single" w:sz="4" w:space="0" w:color="000000"/>
              <w:right w:val="single" w:sz="4" w:space="0" w:color="000000"/>
            </w:tcBorders>
          </w:tcPr>
          <w:p w14:paraId="5DA4A1E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261BF75"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1FF073F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766" w:type="dxa"/>
            <w:tcBorders>
              <w:top w:val="single" w:sz="4" w:space="0" w:color="000000"/>
              <w:left w:val="single" w:sz="4" w:space="0" w:color="000000"/>
              <w:bottom w:val="single" w:sz="4" w:space="0" w:color="000000"/>
              <w:right w:val="single" w:sz="4" w:space="0" w:color="000000"/>
            </w:tcBorders>
          </w:tcPr>
          <w:p w14:paraId="669E4FA1"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BDF0F4F"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5AFAE1E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5B8C15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A75BAB2"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5B3393"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40D65B34" w14:textId="77777777" w:rsidR="006F76EB" w:rsidRPr="00834D52" w:rsidRDefault="006F76EB" w:rsidP="00E8196D">
            <w:pPr>
              <w:spacing w:after="120" w:line="240" w:lineRule="auto"/>
              <w:ind w:right="-6"/>
              <w:rPr>
                <w:rFonts w:ascii="Sylfaen" w:hAnsi="Sylfaen"/>
                <w:sz w:val="24"/>
                <w:szCs w:val="24"/>
              </w:rPr>
            </w:pPr>
          </w:p>
        </w:tc>
      </w:tr>
    </w:tbl>
    <w:p w14:paraId="11883295" w14:textId="09E7329A"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535" w:type="dxa"/>
        <w:jc w:val="center"/>
        <w:tblLayout w:type="fixed"/>
        <w:tblCellMar>
          <w:left w:w="0" w:type="dxa"/>
          <w:right w:w="0" w:type="dxa"/>
        </w:tblCellMar>
        <w:tblLook w:val="01E0" w:firstRow="1" w:lastRow="1" w:firstColumn="1" w:lastColumn="1" w:noHBand="0" w:noVBand="0"/>
      </w:tblPr>
      <w:tblGrid>
        <w:gridCol w:w="4769"/>
        <w:gridCol w:w="4766"/>
      </w:tblGrid>
      <w:tr w:rsidR="006F76EB" w:rsidRPr="00834D52" w14:paraId="2950EE93"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109319B"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4766" w:type="dxa"/>
            <w:tcBorders>
              <w:top w:val="single" w:sz="4" w:space="0" w:color="000000"/>
              <w:left w:val="single" w:sz="4" w:space="0" w:color="000000"/>
              <w:bottom w:val="single" w:sz="4" w:space="0" w:color="000000"/>
              <w:right w:val="single" w:sz="4" w:space="0" w:color="000000"/>
            </w:tcBorders>
          </w:tcPr>
          <w:p w14:paraId="48C0D8FB"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5A6B581"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20DD4BA1"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766" w:type="dxa"/>
            <w:tcBorders>
              <w:top w:val="single" w:sz="4" w:space="0" w:color="000000"/>
              <w:left w:val="single" w:sz="4" w:space="0" w:color="000000"/>
              <w:bottom w:val="single" w:sz="4" w:space="0" w:color="000000"/>
              <w:right w:val="single" w:sz="4" w:space="0" w:color="000000"/>
            </w:tcBorders>
          </w:tcPr>
          <w:p w14:paraId="64AB2B3D" w14:textId="77777777" w:rsidR="006F76EB" w:rsidRPr="00834D52" w:rsidRDefault="006F76EB" w:rsidP="00E8196D">
            <w:pPr>
              <w:spacing w:after="120" w:line="240" w:lineRule="auto"/>
              <w:ind w:right="-6"/>
              <w:rPr>
                <w:rFonts w:ascii="Sylfaen" w:hAnsi="Sylfaen"/>
                <w:sz w:val="24"/>
                <w:szCs w:val="24"/>
              </w:rPr>
            </w:pPr>
          </w:p>
        </w:tc>
      </w:tr>
      <w:tr w:rsidR="006F76EB" w:rsidRPr="00834D52" w14:paraId="0A90BEE9" w14:textId="77777777" w:rsidTr="00F71229">
        <w:trPr>
          <w:jc w:val="center"/>
        </w:trPr>
        <w:tc>
          <w:tcPr>
            <w:tcW w:w="4769" w:type="dxa"/>
            <w:tcBorders>
              <w:top w:val="single" w:sz="4" w:space="0" w:color="000000"/>
              <w:left w:val="single" w:sz="4" w:space="0" w:color="000000"/>
              <w:bottom w:val="single" w:sz="4" w:space="0" w:color="000000"/>
              <w:right w:val="single" w:sz="4" w:space="0" w:color="000000"/>
            </w:tcBorders>
          </w:tcPr>
          <w:p w14:paraId="378DD0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766" w:type="dxa"/>
            <w:tcBorders>
              <w:top w:val="single" w:sz="4" w:space="0" w:color="000000"/>
              <w:left w:val="single" w:sz="4" w:space="0" w:color="000000"/>
              <w:bottom w:val="single" w:sz="4" w:space="0" w:color="000000"/>
              <w:right w:val="single" w:sz="4" w:space="0" w:color="000000"/>
            </w:tcBorders>
          </w:tcPr>
          <w:p w14:paraId="5680141F" w14:textId="77777777" w:rsidR="006F76EB" w:rsidRPr="00834D52" w:rsidRDefault="006F76EB" w:rsidP="00E8196D">
            <w:pPr>
              <w:spacing w:after="120" w:line="240" w:lineRule="auto"/>
              <w:ind w:right="-6"/>
              <w:rPr>
                <w:rFonts w:ascii="Sylfaen" w:hAnsi="Sylfaen"/>
                <w:sz w:val="24"/>
                <w:szCs w:val="24"/>
              </w:rPr>
            </w:pPr>
          </w:p>
        </w:tc>
      </w:tr>
    </w:tbl>
    <w:p w14:paraId="6DF8955B" w14:textId="2F21A58A"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 xml:space="preserve">Տվյալ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4.1 ենթակետ):</w:t>
      </w:r>
    </w:p>
    <w:p w14:paraId="7486C468" w14:textId="627507D6"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 xml:space="preserve">ի ներկայացուցիչը (դիմումատուի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2.4.2 ենթակետում ներկայացված անձանցից՝</w:t>
      </w:r>
    </w:p>
    <w:tbl>
      <w:tblPr>
        <w:tblW w:w="9395" w:type="dxa"/>
        <w:jc w:val="center"/>
        <w:tblLayout w:type="fixed"/>
        <w:tblCellMar>
          <w:left w:w="0" w:type="dxa"/>
          <w:right w:w="0" w:type="dxa"/>
        </w:tblCellMar>
        <w:tblLook w:val="01E0" w:firstRow="1" w:lastRow="1" w:firstColumn="1" w:lastColumn="1" w:noHBand="0" w:noVBand="0"/>
      </w:tblPr>
      <w:tblGrid>
        <w:gridCol w:w="5125"/>
        <w:gridCol w:w="4270"/>
      </w:tblGrid>
      <w:tr w:rsidR="006F76EB" w:rsidRPr="00834D52" w14:paraId="423E5327"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7129CFD3" w14:textId="0E9D81B8" w:rsidR="006F76EB" w:rsidRPr="00834D52" w:rsidRDefault="0056496B" w:rsidP="00E8196D">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4270" w:type="dxa"/>
            <w:tcBorders>
              <w:top w:val="single" w:sz="4" w:space="0" w:color="000000"/>
              <w:left w:val="single" w:sz="4" w:space="0" w:color="000000"/>
              <w:bottom w:val="single" w:sz="4" w:space="0" w:color="000000"/>
              <w:right w:val="single" w:sz="4" w:space="0" w:color="000000"/>
            </w:tcBorders>
          </w:tcPr>
          <w:p w14:paraId="6C16D034"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E04F778"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6C08C72C"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270" w:type="dxa"/>
            <w:tcBorders>
              <w:top w:val="single" w:sz="4" w:space="0" w:color="000000"/>
              <w:left w:val="single" w:sz="4" w:space="0" w:color="000000"/>
              <w:bottom w:val="single" w:sz="4" w:space="0" w:color="000000"/>
              <w:right w:val="single" w:sz="4" w:space="0" w:color="000000"/>
            </w:tcBorders>
          </w:tcPr>
          <w:p w14:paraId="27CDD22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13342020"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3F967862"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270" w:type="dxa"/>
            <w:tcBorders>
              <w:top w:val="single" w:sz="4" w:space="0" w:color="000000"/>
              <w:left w:val="single" w:sz="4" w:space="0" w:color="000000"/>
              <w:bottom w:val="single" w:sz="4" w:space="0" w:color="000000"/>
              <w:right w:val="single" w:sz="4" w:space="0" w:color="000000"/>
            </w:tcBorders>
          </w:tcPr>
          <w:p w14:paraId="0A950D83" w14:textId="77777777" w:rsidR="006F76EB" w:rsidRPr="00834D52" w:rsidRDefault="006F76EB" w:rsidP="00E8196D">
            <w:pPr>
              <w:spacing w:after="120" w:line="240" w:lineRule="auto"/>
              <w:ind w:right="-6"/>
              <w:rPr>
                <w:rFonts w:ascii="Sylfaen" w:hAnsi="Sylfaen"/>
                <w:sz w:val="24"/>
                <w:szCs w:val="24"/>
              </w:rPr>
            </w:pPr>
          </w:p>
        </w:tc>
      </w:tr>
      <w:tr w:rsidR="006F76EB" w:rsidRPr="00834D52" w14:paraId="60094ACC"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1C134AE"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270" w:type="dxa"/>
            <w:tcBorders>
              <w:top w:val="single" w:sz="4" w:space="0" w:color="000000"/>
              <w:left w:val="single" w:sz="4" w:space="0" w:color="000000"/>
              <w:bottom w:val="single" w:sz="4" w:space="0" w:color="000000"/>
              <w:right w:val="single" w:sz="4" w:space="0" w:color="000000"/>
            </w:tcBorders>
          </w:tcPr>
          <w:p w14:paraId="7C0ED4DE" w14:textId="77777777" w:rsidR="006F76EB" w:rsidRPr="00834D52" w:rsidRDefault="006F76EB" w:rsidP="00E8196D">
            <w:pPr>
              <w:spacing w:after="120" w:line="240" w:lineRule="auto"/>
              <w:ind w:right="-6"/>
              <w:rPr>
                <w:rFonts w:ascii="Sylfaen" w:hAnsi="Sylfaen"/>
                <w:sz w:val="24"/>
                <w:szCs w:val="24"/>
              </w:rPr>
            </w:pPr>
          </w:p>
        </w:tc>
      </w:tr>
      <w:tr w:rsidR="006F76EB" w:rsidRPr="00834D52" w14:paraId="7EFA8704" w14:textId="77777777" w:rsidTr="00F71229">
        <w:trPr>
          <w:jc w:val="center"/>
        </w:trPr>
        <w:tc>
          <w:tcPr>
            <w:tcW w:w="5125" w:type="dxa"/>
            <w:tcBorders>
              <w:top w:val="single" w:sz="4" w:space="0" w:color="000000"/>
              <w:left w:val="single" w:sz="4" w:space="0" w:color="000000"/>
              <w:bottom w:val="single" w:sz="4" w:space="0" w:color="000000"/>
              <w:right w:val="single" w:sz="4" w:space="0" w:color="000000"/>
            </w:tcBorders>
          </w:tcPr>
          <w:p w14:paraId="5F876194" w14:textId="77777777" w:rsidR="006F76EB" w:rsidRPr="00834D52" w:rsidRDefault="006F76EB" w:rsidP="00E8196D">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էլեկտրոնային փոստի հասցեն</w:t>
            </w:r>
          </w:p>
        </w:tc>
        <w:tc>
          <w:tcPr>
            <w:tcW w:w="4270" w:type="dxa"/>
            <w:tcBorders>
              <w:top w:val="single" w:sz="4" w:space="0" w:color="000000"/>
              <w:left w:val="single" w:sz="4" w:space="0" w:color="000000"/>
              <w:bottom w:val="single" w:sz="4" w:space="0" w:color="000000"/>
              <w:right w:val="single" w:sz="4" w:space="0" w:color="000000"/>
            </w:tcBorders>
          </w:tcPr>
          <w:p w14:paraId="67B75310" w14:textId="77777777" w:rsidR="006F76EB" w:rsidRPr="00834D52" w:rsidRDefault="006F76EB" w:rsidP="00E8196D">
            <w:pPr>
              <w:spacing w:after="120" w:line="240" w:lineRule="auto"/>
              <w:ind w:right="-6"/>
              <w:rPr>
                <w:rFonts w:ascii="Sylfaen" w:hAnsi="Sylfaen"/>
                <w:sz w:val="24"/>
                <w:szCs w:val="24"/>
              </w:rPr>
            </w:pPr>
          </w:p>
        </w:tc>
      </w:tr>
    </w:tbl>
    <w:p w14:paraId="6C1AAE78" w14:textId="148BEAF9"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Տվյալ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4.1 ենթակետ):</w:t>
      </w:r>
    </w:p>
    <w:p w14:paraId="56A421E9" w14:textId="77777777"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2.4.4.</w:t>
      </w:r>
      <w:r w:rsidRPr="00834D52">
        <w:rPr>
          <w:rFonts w:ascii="Sylfaen" w:hAnsi="Sylfaen"/>
          <w:sz w:val="24"/>
          <w:szCs w:val="24"/>
        </w:rPr>
        <w:tab/>
        <w:t>Գրանցման հավաստագրի իրավատիրոջ՝ Եվրասիական տնտեսական միության անդամ պետություններում դեղազգոնության համար պատասխանատու լիազորված անձը՝</w:t>
      </w:r>
    </w:p>
    <w:tbl>
      <w:tblPr>
        <w:tblW w:w="9110" w:type="dxa"/>
        <w:jc w:val="center"/>
        <w:tblLayout w:type="fixed"/>
        <w:tblCellMar>
          <w:left w:w="0" w:type="dxa"/>
          <w:right w:w="0" w:type="dxa"/>
        </w:tblCellMar>
        <w:tblLook w:val="01E0" w:firstRow="1" w:lastRow="1" w:firstColumn="1" w:lastColumn="1" w:noHBand="0" w:noVBand="0"/>
      </w:tblPr>
      <w:tblGrid>
        <w:gridCol w:w="4858"/>
        <w:gridCol w:w="4252"/>
      </w:tblGrid>
      <w:tr w:rsidR="006F76EB" w:rsidRPr="00834D52" w14:paraId="1C8193A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1B5CC4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252" w:type="dxa"/>
            <w:tcBorders>
              <w:top w:val="single" w:sz="4" w:space="0" w:color="000000"/>
              <w:left w:val="single" w:sz="4" w:space="0" w:color="000000"/>
              <w:bottom w:val="single" w:sz="4" w:space="0" w:color="000000"/>
              <w:right w:val="single" w:sz="4" w:space="0" w:color="000000"/>
            </w:tcBorders>
          </w:tcPr>
          <w:p w14:paraId="666A7118"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1D67B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3209BFF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252" w:type="dxa"/>
            <w:tcBorders>
              <w:top w:val="single" w:sz="4" w:space="0" w:color="000000"/>
              <w:left w:val="single" w:sz="4" w:space="0" w:color="000000"/>
              <w:bottom w:val="single" w:sz="4" w:space="0" w:color="000000"/>
              <w:right w:val="single" w:sz="4" w:space="0" w:color="000000"/>
            </w:tcBorders>
          </w:tcPr>
          <w:p w14:paraId="3B1621D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3F20D69B"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12217256"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4252" w:type="dxa"/>
            <w:tcBorders>
              <w:top w:val="single" w:sz="4" w:space="0" w:color="000000"/>
              <w:left w:val="single" w:sz="4" w:space="0" w:color="000000"/>
              <w:bottom w:val="single" w:sz="4" w:space="0" w:color="000000"/>
              <w:right w:val="single" w:sz="4" w:space="0" w:color="000000"/>
            </w:tcBorders>
          </w:tcPr>
          <w:p w14:paraId="282C1B5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49594EA"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69D5CC8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252" w:type="dxa"/>
            <w:tcBorders>
              <w:top w:val="single" w:sz="4" w:space="0" w:color="000000"/>
              <w:left w:val="single" w:sz="4" w:space="0" w:color="000000"/>
              <w:bottom w:val="single" w:sz="4" w:space="0" w:color="000000"/>
              <w:right w:val="single" w:sz="4" w:space="0" w:color="000000"/>
            </w:tcBorders>
          </w:tcPr>
          <w:p w14:paraId="4A14372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81D034"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797E872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4252" w:type="dxa"/>
            <w:tcBorders>
              <w:top w:val="single" w:sz="4" w:space="0" w:color="000000"/>
              <w:left w:val="single" w:sz="4" w:space="0" w:color="000000"/>
              <w:bottom w:val="single" w:sz="4" w:space="0" w:color="000000"/>
              <w:right w:val="single" w:sz="4" w:space="0" w:color="000000"/>
            </w:tcBorders>
          </w:tcPr>
          <w:p w14:paraId="0613110D"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CD2AB7C" w14:textId="77777777" w:rsidTr="00F71229">
        <w:trPr>
          <w:jc w:val="center"/>
        </w:trPr>
        <w:tc>
          <w:tcPr>
            <w:tcW w:w="4858" w:type="dxa"/>
            <w:tcBorders>
              <w:top w:val="single" w:sz="4" w:space="0" w:color="000000"/>
              <w:left w:val="single" w:sz="4" w:space="0" w:color="000000"/>
              <w:bottom w:val="single" w:sz="4" w:space="0" w:color="000000"/>
              <w:right w:val="single" w:sz="4" w:space="0" w:color="000000"/>
            </w:tcBorders>
          </w:tcPr>
          <w:p w14:paraId="231D2260"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252" w:type="dxa"/>
            <w:tcBorders>
              <w:top w:val="single" w:sz="4" w:space="0" w:color="000000"/>
              <w:left w:val="single" w:sz="4" w:space="0" w:color="000000"/>
              <w:bottom w:val="single" w:sz="4" w:space="0" w:color="000000"/>
              <w:right w:val="single" w:sz="4" w:space="0" w:color="000000"/>
            </w:tcBorders>
          </w:tcPr>
          <w:p w14:paraId="2FBC7B4B" w14:textId="77777777" w:rsidR="006F76EB" w:rsidRPr="00834D52" w:rsidRDefault="006F76EB" w:rsidP="000728A0">
            <w:pPr>
              <w:spacing w:after="120" w:line="240" w:lineRule="auto"/>
              <w:ind w:right="-6"/>
              <w:rPr>
                <w:rFonts w:ascii="Sylfaen" w:hAnsi="Sylfaen"/>
                <w:sz w:val="24"/>
                <w:szCs w:val="24"/>
              </w:rPr>
            </w:pPr>
          </w:p>
        </w:tc>
      </w:tr>
    </w:tbl>
    <w:p w14:paraId="6909999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0" w:type="auto"/>
        <w:jc w:val="center"/>
        <w:tblLook w:val="04A0" w:firstRow="1" w:lastRow="0" w:firstColumn="1" w:lastColumn="0" w:noHBand="0" w:noVBand="1"/>
      </w:tblPr>
      <w:tblGrid>
        <w:gridCol w:w="9036"/>
      </w:tblGrid>
      <w:tr w:rsidR="006F76EB" w:rsidRPr="00834D52" w14:paraId="5A5DF1EB" w14:textId="77777777" w:rsidTr="00F71229">
        <w:trPr>
          <w:jc w:val="center"/>
        </w:trPr>
        <w:tc>
          <w:tcPr>
            <w:tcW w:w="9036" w:type="dxa"/>
          </w:tcPr>
          <w:p w14:paraId="30557B0A" w14:textId="77777777" w:rsidR="006F76EB" w:rsidRPr="00834D52" w:rsidRDefault="006F76EB" w:rsidP="000728A0">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մաստեր-ֆայլի վավերապայմանները՝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6116A28E" w14:textId="6E811B70" w:rsidR="006F76EB" w:rsidRPr="00834D52" w:rsidRDefault="006F76EB" w:rsidP="006F76EB">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դեղազգոնության իրականացման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2.4.4 կետում նշված անձից՝</w:t>
      </w:r>
    </w:p>
    <w:tbl>
      <w:tblPr>
        <w:tblW w:w="9079" w:type="dxa"/>
        <w:jc w:val="center"/>
        <w:tblLayout w:type="fixed"/>
        <w:tblCellMar>
          <w:left w:w="0" w:type="dxa"/>
          <w:right w:w="0" w:type="dxa"/>
        </w:tblCellMar>
        <w:tblLook w:val="01E0" w:firstRow="1" w:lastRow="1" w:firstColumn="1" w:lastColumn="1" w:noHBand="0" w:noVBand="0"/>
      </w:tblPr>
      <w:tblGrid>
        <w:gridCol w:w="5108"/>
        <w:gridCol w:w="3971"/>
      </w:tblGrid>
      <w:tr w:rsidR="006F76EB" w:rsidRPr="00834D52" w14:paraId="1504AE6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C6707C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3971" w:type="dxa"/>
            <w:tcBorders>
              <w:top w:val="single" w:sz="4" w:space="0" w:color="000000"/>
              <w:left w:val="single" w:sz="4" w:space="0" w:color="000000"/>
              <w:bottom w:val="single" w:sz="4" w:space="0" w:color="000000"/>
              <w:right w:val="single" w:sz="4" w:space="0" w:color="000000"/>
            </w:tcBorders>
          </w:tcPr>
          <w:p w14:paraId="57A2A0E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455E47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6FA3FE2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իրավաբանական անձի (գրանցման </w:t>
            </w:r>
            <w:r w:rsidRPr="00834D52">
              <w:rPr>
                <w:rFonts w:ascii="Sylfaen" w:hAnsi="Sylfaen"/>
                <w:sz w:val="24"/>
                <w:szCs w:val="24"/>
              </w:rPr>
              <w:lastRenderedPageBreak/>
              <w:t>հավաստագրի իրավատիրոջ) անվանումը</w:t>
            </w:r>
          </w:p>
        </w:tc>
        <w:tc>
          <w:tcPr>
            <w:tcW w:w="3971" w:type="dxa"/>
            <w:tcBorders>
              <w:top w:val="single" w:sz="4" w:space="0" w:color="000000"/>
              <w:left w:val="single" w:sz="4" w:space="0" w:color="000000"/>
              <w:bottom w:val="single" w:sz="4" w:space="0" w:color="000000"/>
              <w:right w:val="single" w:sz="4" w:space="0" w:color="000000"/>
            </w:tcBorders>
          </w:tcPr>
          <w:p w14:paraId="015B3D9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07134C4"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0E2AFF61"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իրավաբանական անձի հասցեն</w:t>
            </w:r>
          </w:p>
        </w:tc>
        <w:tc>
          <w:tcPr>
            <w:tcW w:w="3971" w:type="dxa"/>
            <w:tcBorders>
              <w:top w:val="single" w:sz="4" w:space="0" w:color="000000"/>
              <w:left w:val="single" w:sz="4" w:space="0" w:color="000000"/>
              <w:bottom w:val="single" w:sz="4" w:space="0" w:color="000000"/>
              <w:right w:val="single" w:sz="4" w:space="0" w:color="000000"/>
            </w:tcBorders>
          </w:tcPr>
          <w:p w14:paraId="2293F02A" w14:textId="77777777" w:rsidR="006F76EB" w:rsidRPr="00834D52" w:rsidRDefault="006F76EB" w:rsidP="000728A0">
            <w:pPr>
              <w:spacing w:after="120" w:line="240" w:lineRule="auto"/>
              <w:ind w:right="-6"/>
              <w:rPr>
                <w:rFonts w:ascii="Sylfaen" w:hAnsi="Sylfaen"/>
                <w:sz w:val="24"/>
                <w:szCs w:val="24"/>
              </w:rPr>
            </w:pPr>
          </w:p>
        </w:tc>
      </w:tr>
      <w:tr w:rsidR="006F76EB" w:rsidRPr="00834D52" w14:paraId="03593D99"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3202198F"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պետությունը</w:t>
            </w:r>
          </w:p>
        </w:tc>
        <w:tc>
          <w:tcPr>
            <w:tcW w:w="3971" w:type="dxa"/>
            <w:tcBorders>
              <w:top w:val="single" w:sz="4" w:space="0" w:color="000000"/>
              <w:left w:val="single" w:sz="4" w:space="0" w:color="000000"/>
              <w:bottom w:val="single" w:sz="4" w:space="0" w:color="000000"/>
              <w:right w:val="single" w:sz="4" w:space="0" w:color="000000"/>
            </w:tcBorders>
          </w:tcPr>
          <w:p w14:paraId="159B56A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88BC50B"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119CD364"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71" w:type="dxa"/>
            <w:tcBorders>
              <w:top w:val="single" w:sz="4" w:space="0" w:color="000000"/>
              <w:left w:val="single" w:sz="4" w:space="0" w:color="000000"/>
              <w:bottom w:val="single" w:sz="4" w:space="0" w:color="000000"/>
              <w:right w:val="single" w:sz="4" w:space="0" w:color="000000"/>
            </w:tcBorders>
          </w:tcPr>
          <w:p w14:paraId="48665305" w14:textId="77777777" w:rsidR="006F76EB" w:rsidRPr="00834D52" w:rsidRDefault="006F76EB" w:rsidP="000728A0">
            <w:pPr>
              <w:spacing w:after="120" w:line="240" w:lineRule="auto"/>
              <w:ind w:right="-6"/>
              <w:rPr>
                <w:rFonts w:ascii="Sylfaen" w:hAnsi="Sylfaen"/>
                <w:sz w:val="24"/>
                <w:szCs w:val="24"/>
              </w:rPr>
            </w:pPr>
          </w:p>
        </w:tc>
      </w:tr>
      <w:tr w:rsidR="006F76EB" w:rsidRPr="00834D52" w14:paraId="73B05DCC" w14:textId="77777777" w:rsidTr="00F71229">
        <w:trPr>
          <w:jc w:val="center"/>
        </w:trPr>
        <w:tc>
          <w:tcPr>
            <w:tcW w:w="5108" w:type="dxa"/>
            <w:tcBorders>
              <w:top w:val="single" w:sz="4" w:space="0" w:color="000000"/>
              <w:left w:val="single" w:sz="4" w:space="0" w:color="000000"/>
              <w:bottom w:val="single" w:sz="4" w:space="0" w:color="000000"/>
              <w:right w:val="single" w:sz="4" w:space="0" w:color="000000"/>
            </w:tcBorders>
          </w:tcPr>
          <w:p w14:paraId="4512E71A" w14:textId="77777777" w:rsidR="006F76EB" w:rsidRPr="00834D52" w:rsidRDefault="006F76EB" w:rsidP="000728A0">
            <w:pPr>
              <w:spacing w:after="120" w:line="240" w:lineRule="auto"/>
              <w:ind w:left="180" w:right="-6"/>
              <w:rPr>
                <w:rFonts w:ascii="Sylfaen" w:hAnsi="Sylfaen"/>
                <w:sz w:val="24"/>
                <w:szCs w:val="24"/>
              </w:rPr>
            </w:pPr>
            <w:r w:rsidRPr="00834D52">
              <w:rPr>
                <w:rFonts w:ascii="Sylfaen" w:hAnsi="Sylfaen"/>
                <w:sz w:val="24"/>
                <w:szCs w:val="24"/>
              </w:rPr>
              <w:t>էլեկտրոնային փոստի հասցեն</w:t>
            </w:r>
          </w:p>
        </w:tc>
        <w:tc>
          <w:tcPr>
            <w:tcW w:w="3971" w:type="dxa"/>
            <w:tcBorders>
              <w:top w:val="single" w:sz="4" w:space="0" w:color="000000"/>
              <w:left w:val="single" w:sz="4" w:space="0" w:color="000000"/>
              <w:bottom w:val="single" w:sz="4" w:space="0" w:color="000000"/>
              <w:right w:val="single" w:sz="4" w:space="0" w:color="000000"/>
            </w:tcBorders>
          </w:tcPr>
          <w:p w14:paraId="01389B74" w14:textId="77777777" w:rsidR="006F76EB" w:rsidRPr="00834D52" w:rsidRDefault="006F76EB" w:rsidP="000728A0">
            <w:pPr>
              <w:spacing w:after="120" w:line="240" w:lineRule="auto"/>
              <w:ind w:right="-6"/>
              <w:rPr>
                <w:rFonts w:ascii="Sylfaen" w:hAnsi="Sylfaen"/>
                <w:sz w:val="24"/>
                <w:szCs w:val="24"/>
              </w:rPr>
            </w:pPr>
          </w:p>
        </w:tc>
      </w:tr>
    </w:tbl>
    <w:p w14:paraId="500B3ED7" w14:textId="77777777" w:rsidR="006F76EB" w:rsidRPr="00834D52" w:rsidRDefault="006F76EB" w:rsidP="006F76EB">
      <w:pPr>
        <w:spacing w:after="160" w:line="360" w:lineRule="auto"/>
        <w:ind w:right="-6" w:firstLine="567"/>
        <w:jc w:val="both"/>
        <w:rPr>
          <w:rFonts w:ascii="Sylfaen" w:hAnsi="Sylfaen"/>
          <w:sz w:val="24"/>
          <w:szCs w:val="24"/>
        </w:rPr>
      </w:pPr>
      <w:r w:rsidRPr="00834D52">
        <w:rPr>
          <w:rFonts w:ascii="Sylfaen" w:hAnsi="Sylfaen"/>
          <w:sz w:val="24"/>
          <w:szCs w:val="24"/>
        </w:rPr>
        <w:t xml:space="preserve">Նշե՛ք Եվրասիական տնտեսական միության անդամ պետությունում դեղազգոնության հարցերով կոնտակտային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5A769A7E" w14:textId="77777777" w:rsidR="006F76EB" w:rsidRPr="00834D52" w:rsidRDefault="006F76EB" w:rsidP="000728A0">
      <w:pPr>
        <w:tabs>
          <w:tab w:val="left" w:pos="1134"/>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2.5.</w:t>
      </w:r>
      <w:r w:rsidRPr="00834D52">
        <w:rPr>
          <w:rFonts w:ascii="Sylfaen" w:hAnsi="Sylfaen"/>
          <w:sz w:val="24"/>
          <w:szCs w:val="24"/>
        </w:rPr>
        <w:tab/>
        <w:t>Դեղապատրաստուկ արտադրողը</w:t>
      </w:r>
    </w:p>
    <w:p w14:paraId="1311AC31" w14:textId="77777777" w:rsidR="006F76EB" w:rsidRPr="00834D52" w:rsidRDefault="006F76EB" w:rsidP="006F76E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2.5.1.</w:t>
      </w:r>
      <w:r w:rsidRPr="00834D52">
        <w:rPr>
          <w:rFonts w:ascii="Sylfaen" w:hAnsi="Sylfaen"/>
          <w:sz w:val="24"/>
          <w:szCs w:val="24"/>
        </w:rPr>
        <w:tab/>
        <w:t xml:space="preserve">Արտադրողը, որը պատասխանատու է դեղապատրաստուկի սերիաների որակի բացթողման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3AE553D1"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2807942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45CBEA3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1A349A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0ACD3AD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87" w:type="dxa"/>
            <w:tcBorders>
              <w:top w:val="single" w:sz="4" w:space="0" w:color="000000"/>
              <w:left w:val="single" w:sz="4" w:space="0" w:color="000000"/>
              <w:bottom w:val="single" w:sz="4" w:space="0" w:color="000000"/>
              <w:right w:val="single" w:sz="4" w:space="0" w:color="000000"/>
            </w:tcBorders>
          </w:tcPr>
          <w:p w14:paraId="7E58042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090F91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04D08E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87" w:type="dxa"/>
            <w:tcBorders>
              <w:top w:val="single" w:sz="4" w:space="0" w:color="000000"/>
              <w:left w:val="single" w:sz="4" w:space="0" w:color="000000"/>
              <w:bottom w:val="single" w:sz="4" w:space="0" w:color="000000"/>
              <w:right w:val="single" w:sz="4" w:space="0" w:color="000000"/>
            </w:tcBorders>
          </w:tcPr>
          <w:p w14:paraId="665B1DBE" w14:textId="77777777" w:rsidR="006F76EB" w:rsidRPr="00834D52" w:rsidRDefault="006F76EB" w:rsidP="000728A0">
            <w:pPr>
              <w:spacing w:after="120" w:line="240" w:lineRule="auto"/>
              <w:ind w:right="-6"/>
              <w:rPr>
                <w:rFonts w:ascii="Sylfaen" w:hAnsi="Sylfaen"/>
                <w:sz w:val="24"/>
                <w:szCs w:val="24"/>
              </w:rPr>
            </w:pPr>
          </w:p>
        </w:tc>
      </w:tr>
      <w:tr w:rsidR="006F76EB" w:rsidRPr="00834D52" w14:paraId="2E2F5DFF"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4B08C85"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7" w:type="dxa"/>
            <w:tcBorders>
              <w:top w:val="single" w:sz="4" w:space="0" w:color="000000"/>
              <w:left w:val="single" w:sz="4" w:space="0" w:color="000000"/>
              <w:bottom w:val="single" w:sz="4" w:space="0" w:color="000000"/>
              <w:right w:val="single" w:sz="4" w:space="0" w:color="000000"/>
            </w:tcBorders>
          </w:tcPr>
          <w:p w14:paraId="640BA7C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409CD12"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6A35D308"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2DEDBA1E" w14:textId="77777777" w:rsidR="006F76EB" w:rsidRPr="00834D52" w:rsidRDefault="006F76EB" w:rsidP="000728A0">
            <w:pPr>
              <w:spacing w:after="120" w:line="240" w:lineRule="auto"/>
              <w:ind w:right="-6"/>
              <w:rPr>
                <w:rFonts w:ascii="Sylfaen" w:hAnsi="Sylfaen"/>
                <w:sz w:val="24"/>
                <w:szCs w:val="24"/>
              </w:rPr>
            </w:pPr>
          </w:p>
        </w:tc>
      </w:tr>
    </w:tbl>
    <w:p w14:paraId="570CD98B" w14:textId="77777777" w:rsidR="006F76EB" w:rsidRPr="00834D52" w:rsidRDefault="006F76EB" w:rsidP="006F76EB">
      <w:pPr>
        <w:tabs>
          <w:tab w:val="left" w:pos="1701"/>
        </w:tabs>
        <w:spacing w:after="160" w:line="348" w:lineRule="auto"/>
        <w:ind w:right="-6" w:firstLine="567"/>
        <w:jc w:val="both"/>
        <w:rPr>
          <w:rFonts w:ascii="Sylfaen" w:hAnsi="Sylfaen"/>
          <w:sz w:val="24"/>
          <w:szCs w:val="24"/>
        </w:rPr>
      </w:pPr>
      <w:r w:rsidRPr="00834D52">
        <w:rPr>
          <w:rFonts w:ascii="Sylfaen" w:hAnsi="Sylfaen"/>
          <w:sz w:val="24"/>
          <w:szCs w:val="24"/>
        </w:rPr>
        <w:t>2.5.2.</w:t>
      </w:r>
      <w:r w:rsidRPr="00834D52">
        <w:rPr>
          <w:rFonts w:ascii="Sylfaen" w:hAnsi="Sylfaen"/>
          <w:sz w:val="24"/>
          <w:szCs w:val="24"/>
        </w:rPr>
        <w:tab/>
        <w:t xml:space="preserve">Արտադրող երկրի՝ արյան պատրաստուկների </w:t>
      </w:r>
      <w:r w:rsidR="00C54D75">
        <w:rPr>
          <w:rFonts w:ascii="Sylfaen" w:hAnsi="Sylfaen"/>
          <w:sz w:val="24"/>
          <w:szCs w:val="24"/>
        </w:rPr>
        <w:t>և</w:t>
      </w:r>
      <w:r w:rsidRPr="00834D52">
        <w:rPr>
          <w:rFonts w:ascii="Sylfaen" w:hAnsi="Sylfaen"/>
          <w:sz w:val="24"/>
          <w:szCs w:val="24"/>
        </w:rPr>
        <w:t xml:space="preserve"> պատվաստանյութերի որակի հսկողության լաբորատորիան, որը պատասխանատու է սերիայի որակի հսկողության (բացթողման) համար</w:t>
      </w:r>
    </w:p>
    <w:tbl>
      <w:tblPr>
        <w:tblW w:w="9121" w:type="dxa"/>
        <w:jc w:val="center"/>
        <w:tblLayout w:type="fixed"/>
        <w:tblCellMar>
          <w:left w:w="0" w:type="dxa"/>
          <w:right w:w="0" w:type="dxa"/>
        </w:tblCellMar>
        <w:tblLook w:val="01E0" w:firstRow="1" w:lastRow="1" w:firstColumn="1" w:lastColumn="1" w:noHBand="0" w:noVBand="0"/>
      </w:tblPr>
      <w:tblGrid>
        <w:gridCol w:w="5129"/>
        <w:gridCol w:w="3992"/>
      </w:tblGrid>
      <w:tr w:rsidR="006F76EB" w:rsidRPr="00834D52" w14:paraId="2731D7E1"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23029791"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3992" w:type="dxa"/>
            <w:tcBorders>
              <w:top w:val="single" w:sz="4" w:space="0" w:color="000000"/>
              <w:left w:val="single" w:sz="4" w:space="0" w:color="000000"/>
              <w:bottom w:val="single" w:sz="4" w:space="0" w:color="000000"/>
              <w:right w:val="single" w:sz="4" w:space="0" w:color="000000"/>
            </w:tcBorders>
          </w:tcPr>
          <w:p w14:paraId="357D68FF"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571445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E3393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992" w:type="dxa"/>
            <w:tcBorders>
              <w:top w:val="single" w:sz="4" w:space="0" w:color="000000"/>
              <w:left w:val="single" w:sz="4" w:space="0" w:color="000000"/>
              <w:bottom w:val="single" w:sz="4" w:space="0" w:color="000000"/>
              <w:right w:val="single" w:sz="4" w:space="0" w:color="000000"/>
            </w:tcBorders>
          </w:tcPr>
          <w:p w14:paraId="5B9C4789"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6504AEC"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35586559"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3992" w:type="dxa"/>
            <w:tcBorders>
              <w:top w:val="single" w:sz="4" w:space="0" w:color="000000"/>
              <w:left w:val="single" w:sz="4" w:space="0" w:color="000000"/>
              <w:bottom w:val="single" w:sz="4" w:space="0" w:color="000000"/>
              <w:right w:val="single" w:sz="4" w:space="0" w:color="000000"/>
            </w:tcBorders>
          </w:tcPr>
          <w:p w14:paraId="1B34DEB3"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DDD1472"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61572E07"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92" w:type="dxa"/>
            <w:tcBorders>
              <w:top w:val="single" w:sz="4" w:space="0" w:color="000000"/>
              <w:left w:val="single" w:sz="4" w:space="0" w:color="000000"/>
              <w:bottom w:val="single" w:sz="4" w:space="0" w:color="000000"/>
              <w:right w:val="single" w:sz="4" w:space="0" w:color="000000"/>
            </w:tcBorders>
          </w:tcPr>
          <w:p w14:paraId="688DAAC4"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BBDEF8D" w14:textId="77777777" w:rsidTr="00F71229">
        <w:trPr>
          <w:jc w:val="center"/>
        </w:trPr>
        <w:tc>
          <w:tcPr>
            <w:tcW w:w="5129" w:type="dxa"/>
            <w:tcBorders>
              <w:top w:val="single" w:sz="4" w:space="0" w:color="000000"/>
              <w:left w:val="single" w:sz="4" w:space="0" w:color="000000"/>
              <w:bottom w:val="single" w:sz="4" w:space="0" w:color="000000"/>
              <w:right w:val="single" w:sz="4" w:space="0" w:color="000000"/>
            </w:tcBorders>
          </w:tcPr>
          <w:p w14:paraId="45661AD4"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92" w:type="dxa"/>
            <w:tcBorders>
              <w:top w:val="single" w:sz="4" w:space="0" w:color="000000"/>
              <w:left w:val="single" w:sz="4" w:space="0" w:color="000000"/>
              <w:bottom w:val="single" w:sz="4" w:space="0" w:color="000000"/>
              <w:right w:val="single" w:sz="4" w:space="0" w:color="000000"/>
            </w:tcBorders>
          </w:tcPr>
          <w:p w14:paraId="79200071" w14:textId="77777777" w:rsidR="006F76EB" w:rsidRPr="00834D52" w:rsidRDefault="006F76EB" w:rsidP="000728A0">
            <w:pPr>
              <w:spacing w:after="120" w:line="240" w:lineRule="auto"/>
              <w:ind w:right="-6"/>
              <w:rPr>
                <w:rFonts w:ascii="Sylfaen" w:hAnsi="Sylfaen"/>
                <w:sz w:val="24"/>
                <w:szCs w:val="24"/>
              </w:rPr>
            </w:pPr>
          </w:p>
        </w:tc>
      </w:tr>
    </w:tbl>
    <w:p w14:paraId="209BE1D8" w14:textId="77777777" w:rsidR="000728A0" w:rsidRDefault="000728A0" w:rsidP="006F76EB">
      <w:pPr>
        <w:tabs>
          <w:tab w:val="left" w:pos="1701"/>
        </w:tabs>
        <w:spacing w:after="160" w:line="348" w:lineRule="auto"/>
        <w:ind w:right="-6" w:firstLine="567"/>
        <w:jc w:val="both"/>
        <w:rPr>
          <w:rFonts w:ascii="Sylfaen" w:hAnsi="Sylfaen"/>
          <w:sz w:val="24"/>
          <w:szCs w:val="24"/>
          <w:lang w:val="en-US"/>
        </w:rPr>
      </w:pPr>
    </w:p>
    <w:p w14:paraId="1733EB58" w14:textId="77777777" w:rsidR="006F76EB" w:rsidRPr="00834D52" w:rsidRDefault="006F76EB" w:rsidP="006F76EB">
      <w:pPr>
        <w:tabs>
          <w:tab w:val="left" w:pos="1701"/>
        </w:tabs>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2.5.3.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պետության համար (առկայության դեպքում))</w:t>
      </w:r>
    </w:p>
    <w:tbl>
      <w:tblPr>
        <w:tblW w:w="9110" w:type="dxa"/>
        <w:jc w:val="center"/>
        <w:tblLayout w:type="fixed"/>
        <w:tblCellMar>
          <w:left w:w="0" w:type="dxa"/>
          <w:right w:w="0" w:type="dxa"/>
        </w:tblCellMar>
        <w:tblLook w:val="01E0" w:firstRow="1" w:lastRow="1" w:firstColumn="1" w:lastColumn="1" w:noHBand="0" w:noVBand="0"/>
      </w:tblPr>
      <w:tblGrid>
        <w:gridCol w:w="5123"/>
        <w:gridCol w:w="3987"/>
      </w:tblGrid>
      <w:tr w:rsidR="006F76EB" w:rsidRPr="00834D52" w14:paraId="0F4E132E"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DD85A92"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987" w:type="dxa"/>
            <w:tcBorders>
              <w:top w:val="single" w:sz="4" w:space="0" w:color="000000"/>
              <w:left w:val="single" w:sz="4" w:space="0" w:color="000000"/>
              <w:bottom w:val="single" w:sz="4" w:space="0" w:color="000000"/>
              <w:right w:val="single" w:sz="4" w:space="0" w:color="000000"/>
            </w:tcBorders>
          </w:tcPr>
          <w:p w14:paraId="3017777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1B79586C"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414279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3987" w:type="dxa"/>
            <w:tcBorders>
              <w:top w:val="single" w:sz="4" w:space="0" w:color="000000"/>
              <w:left w:val="single" w:sz="4" w:space="0" w:color="000000"/>
              <w:bottom w:val="single" w:sz="4" w:space="0" w:color="000000"/>
              <w:right w:val="single" w:sz="4" w:space="0" w:color="000000"/>
            </w:tcBorders>
          </w:tcPr>
          <w:p w14:paraId="2E2D5096" w14:textId="77777777" w:rsidR="006F76EB" w:rsidRPr="00834D52" w:rsidRDefault="006F76EB" w:rsidP="000728A0">
            <w:pPr>
              <w:spacing w:after="120" w:line="240" w:lineRule="auto"/>
              <w:ind w:right="-6"/>
              <w:rPr>
                <w:rFonts w:ascii="Sylfaen" w:hAnsi="Sylfaen"/>
                <w:sz w:val="24"/>
                <w:szCs w:val="24"/>
              </w:rPr>
            </w:pPr>
          </w:p>
        </w:tc>
      </w:tr>
      <w:tr w:rsidR="006F76EB" w:rsidRPr="00834D52" w14:paraId="5797C905"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1941D71E"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3987" w:type="dxa"/>
            <w:tcBorders>
              <w:top w:val="single" w:sz="4" w:space="0" w:color="000000"/>
              <w:left w:val="single" w:sz="4" w:space="0" w:color="000000"/>
              <w:bottom w:val="single" w:sz="4" w:space="0" w:color="000000"/>
              <w:right w:val="single" w:sz="4" w:space="0" w:color="000000"/>
            </w:tcBorders>
          </w:tcPr>
          <w:p w14:paraId="0DE65000"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788C10"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7507A76B"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հեռախոսի </w:t>
            </w:r>
            <w:r w:rsidR="00C54D75">
              <w:rPr>
                <w:rFonts w:ascii="Sylfaen" w:hAnsi="Sylfaen"/>
                <w:sz w:val="24"/>
                <w:szCs w:val="24"/>
              </w:rPr>
              <w:t>և</w:t>
            </w:r>
            <w:r w:rsidRPr="00834D52">
              <w:rPr>
                <w:rFonts w:ascii="Sylfaen" w:hAnsi="Sylfaen"/>
                <w:sz w:val="24"/>
                <w:szCs w:val="24"/>
              </w:rPr>
              <w:t xml:space="preserve"> ֆաքսի համարները</w:t>
            </w:r>
          </w:p>
        </w:tc>
        <w:tc>
          <w:tcPr>
            <w:tcW w:w="3987" w:type="dxa"/>
            <w:tcBorders>
              <w:top w:val="single" w:sz="4" w:space="0" w:color="000000"/>
              <w:left w:val="single" w:sz="4" w:space="0" w:color="000000"/>
              <w:bottom w:val="single" w:sz="4" w:space="0" w:color="000000"/>
              <w:right w:val="single" w:sz="4" w:space="0" w:color="000000"/>
            </w:tcBorders>
          </w:tcPr>
          <w:p w14:paraId="41AEB592" w14:textId="77777777" w:rsidR="006F76EB" w:rsidRPr="00834D52" w:rsidRDefault="006F76EB" w:rsidP="000728A0">
            <w:pPr>
              <w:spacing w:after="120" w:line="240" w:lineRule="auto"/>
              <w:ind w:right="-6"/>
              <w:rPr>
                <w:rFonts w:ascii="Sylfaen" w:hAnsi="Sylfaen"/>
                <w:sz w:val="24"/>
                <w:szCs w:val="24"/>
              </w:rPr>
            </w:pPr>
          </w:p>
        </w:tc>
      </w:tr>
      <w:tr w:rsidR="006F76EB" w:rsidRPr="00834D52" w14:paraId="66261ACA" w14:textId="77777777" w:rsidTr="00F71229">
        <w:trPr>
          <w:jc w:val="center"/>
        </w:trPr>
        <w:tc>
          <w:tcPr>
            <w:tcW w:w="5123" w:type="dxa"/>
            <w:tcBorders>
              <w:top w:val="single" w:sz="4" w:space="0" w:color="000000"/>
              <w:left w:val="single" w:sz="4" w:space="0" w:color="000000"/>
              <w:bottom w:val="single" w:sz="4" w:space="0" w:color="000000"/>
              <w:right w:val="single" w:sz="4" w:space="0" w:color="000000"/>
            </w:tcBorders>
          </w:tcPr>
          <w:p w14:paraId="39A21C7A" w14:textId="77777777" w:rsidR="006F76EB" w:rsidRPr="00834D52" w:rsidRDefault="006F76EB" w:rsidP="000728A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7" w:type="dxa"/>
            <w:tcBorders>
              <w:top w:val="single" w:sz="4" w:space="0" w:color="000000"/>
              <w:left w:val="single" w:sz="4" w:space="0" w:color="000000"/>
              <w:bottom w:val="single" w:sz="4" w:space="0" w:color="000000"/>
              <w:right w:val="single" w:sz="4" w:space="0" w:color="000000"/>
            </w:tcBorders>
          </w:tcPr>
          <w:p w14:paraId="1B2B45EB" w14:textId="77777777" w:rsidR="006F76EB" w:rsidRPr="00834D52" w:rsidRDefault="006F76EB" w:rsidP="000728A0">
            <w:pPr>
              <w:spacing w:after="120" w:line="240" w:lineRule="auto"/>
              <w:ind w:right="-6"/>
              <w:rPr>
                <w:rFonts w:ascii="Sylfaen" w:hAnsi="Sylfaen"/>
                <w:sz w:val="24"/>
                <w:szCs w:val="24"/>
              </w:rPr>
            </w:pPr>
          </w:p>
        </w:tc>
      </w:tr>
    </w:tbl>
    <w:p w14:paraId="5EDEB017" w14:textId="77777777" w:rsidR="006F76EB" w:rsidRPr="00834D52" w:rsidRDefault="006F76EB" w:rsidP="006F76EB">
      <w:pPr>
        <w:tabs>
          <w:tab w:val="left" w:pos="1701"/>
        </w:tabs>
        <w:spacing w:after="160" w:line="348" w:lineRule="auto"/>
        <w:ind w:right="-8" w:firstLine="567"/>
        <w:rPr>
          <w:rFonts w:ascii="Sylfaen" w:eastAsia="Times New Roman" w:hAnsi="Sylfaen" w:cs="Times New Roman"/>
          <w:sz w:val="24"/>
          <w:szCs w:val="24"/>
        </w:rPr>
      </w:pPr>
      <w:r w:rsidRPr="00834D52">
        <w:rPr>
          <w:rFonts w:ascii="Sylfaen" w:hAnsi="Sylfaen"/>
          <w:sz w:val="24"/>
          <w:szCs w:val="24"/>
        </w:rPr>
        <w:t>2.5.4.</w:t>
      </w:r>
      <w:r w:rsidRPr="00834D52">
        <w:rPr>
          <w:rFonts w:ascii="Sylfaen" w:hAnsi="Sylfaen"/>
          <w:sz w:val="24"/>
          <w:szCs w:val="24"/>
        </w:rPr>
        <w:tab/>
        <w:t xml:space="preserve">Դեղապատրաստուկ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0165419" w14:textId="77777777" w:rsidR="006F76EB" w:rsidRPr="00834D52" w:rsidRDefault="006F76EB" w:rsidP="006F76EB">
      <w:pPr>
        <w:spacing w:after="160" w:line="348"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(ներառյալ լուծիչների) արտադրության գործընթացին մասնակցող բոլոր արտադրական հարթակները՝ նշելով արտադրական գործընթացի փուլերը՝</w:t>
      </w:r>
    </w:p>
    <w:tbl>
      <w:tblPr>
        <w:tblStyle w:val="TableGrid"/>
        <w:tblW w:w="0" w:type="auto"/>
        <w:jc w:val="center"/>
        <w:tblLook w:val="04A0" w:firstRow="1" w:lastRow="0" w:firstColumn="1" w:lastColumn="0" w:noHBand="0" w:noVBand="1"/>
      </w:tblPr>
      <w:tblGrid>
        <w:gridCol w:w="5080"/>
        <w:gridCol w:w="3986"/>
      </w:tblGrid>
      <w:tr w:rsidR="006F76EB" w:rsidRPr="00834D52" w14:paraId="66F16942" w14:textId="77777777" w:rsidTr="00F71229">
        <w:trPr>
          <w:jc w:val="center"/>
        </w:trPr>
        <w:tc>
          <w:tcPr>
            <w:tcW w:w="5080" w:type="dxa"/>
          </w:tcPr>
          <w:p w14:paraId="13A51295"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արտադրական գործընթացի փուլի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986" w:type="dxa"/>
          </w:tcPr>
          <w:p w14:paraId="3EC6AD4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5BBCFA66" w14:textId="77777777" w:rsidTr="00F71229">
        <w:trPr>
          <w:jc w:val="center"/>
        </w:trPr>
        <w:tc>
          <w:tcPr>
            <w:tcW w:w="5080" w:type="dxa"/>
          </w:tcPr>
          <w:p w14:paraId="565FF03A"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footnoteReference w:customMarkFollows="1" w:id="2"/>
              <w:t>գործունեության իրականացման վայրի հասցեն*</w:t>
            </w:r>
          </w:p>
        </w:tc>
        <w:tc>
          <w:tcPr>
            <w:tcW w:w="3986" w:type="dxa"/>
          </w:tcPr>
          <w:p w14:paraId="398FC673"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194134E6" w14:textId="77777777" w:rsidTr="00F71229">
        <w:trPr>
          <w:jc w:val="center"/>
        </w:trPr>
        <w:tc>
          <w:tcPr>
            <w:tcW w:w="5080" w:type="dxa"/>
          </w:tcPr>
          <w:p w14:paraId="7BDF05F9"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պետությունը*</w:t>
            </w:r>
          </w:p>
        </w:tc>
        <w:tc>
          <w:tcPr>
            <w:tcW w:w="3986" w:type="dxa"/>
          </w:tcPr>
          <w:p w14:paraId="35F5296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60EF1028" w14:textId="77777777" w:rsidTr="00F71229">
        <w:trPr>
          <w:jc w:val="center"/>
        </w:trPr>
        <w:tc>
          <w:tcPr>
            <w:tcW w:w="5080" w:type="dxa"/>
          </w:tcPr>
          <w:p w14:paraId="75971A0B"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3986" w:type="dxa"/>
          </w:tcPr>
          <w:p w14:paraId="40CF0491" w14:textId="77777777" w:rsidR="006F76EB" w:rsidRPr="00834D52" w:rsidRDefault="006F76EB" w:rsidP="006D210C">
            <w:pPr>
              <w:spacing w:after="120"/>
              <w:ind w:right="-6"/>
              <w:rPr>
                <w:rFonts w:ascii="Sylfaen" w:eastAsia="Times New Roman" w:hAnsi="Sylfaen" w:cs="Times New Roman"/>
                <w:sz w:val="24"/>
                <w:szCs w:val="24"/>
              </w:rPr>
            </w:pPr>
          </w:p>
        </w:tc>
      </w:tr>
      <w:tr w:rsidR="006F76EB" w:rsidRPr="00834D52" w14:paraId="7EB37ADB" w14:textId="77777777" w:rsidTr="00F71229">
        <w:trPr>
          <w:jc w:val="center"/>
        </w:trPr>
        <w:tc>
          <w:tcPr>
            <w:tcW w:w="5080" w:type="dxa"/>
          </w:tcPr>
          <w:p w14:paraId="4E4BB46F" w14:textId="77777777" w:rsidR="006F76EB" w:rsidRPr="00834D52" w:rsidRDefault="006F76EB" w:rsidP="006D210C">
            <w:pPr>
              <w:spacing w:after="120"/>
              <w:ind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986" w:type="dxa"/>
          </w:tcPr>
          <w:p w14:paraId="4955E15D" w14:textId="77777777" w:rsidR="006F76EB" w:rsidRPr="00834D52" w:rsidRDefault="006F76EB" w:rsidP="006D210C">
            <w:pPr>
              <w:spacing w:after="120"/>
              <w:ind w:right="-6"/>
              <w:rPr>
                <w:rFonts w:ascii="Sylfaen" w:eastAsia="Times New Roman" w:hAnsi="Sylfaen" w:cs="Times New Roman"/>
                <w:sz w:val="24"/>
                <w:szCs w:val="24"/>
              </w:rPr>
            </w:pPr>
          </w:p>
        </w:tc>
      </w:tr>
    </w:tbl>
    <w:p w14:paraId="467D2E1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պահպանման մասով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DB1EC48" w14:textId="77777777" w:rsidTr="00F71229">
        <w:trPr>
          <w:jc w:val="center"/>
        </w:trPr>
        <w:tc>
          <w:tcPr>
            <w:tcW w:w="1560" w:type="dxa"/>
          </w:tcPr>
          <w:p w14:paraId="4B5E6FBD"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F6FF335">
                <v:rect id="_x0000_s1082" style="position:absolute;left:0;text-align:left;margin-left:8.25pt;margin-top:4.05pt;width:12.75pt;height:12pt;z-index:251574784"/>
              </w:pict>
            </w:r>
            <w:r w:rsidR="006F76EB" w:rsidRPr="00834D52">
              <w:rPr>
                <w:rFonts w:ascii="Sylfaen" w:hAnsi="Sylfaen"/>
                <w:sz w:val="24"/>
                <w:szCs w:val="24"/>
              </w:rPr>
              <w:t>ոչ</w:t>
            </w:r>
          </w:p>
        </w:tc>
        <w:tc>
          <w:tcPr>
            <w:tcW w:w="1559" w:type="dxa"/>
          </w:tcPr>
          <w:p w14:paraId="00F18CC4"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4D23BFB">
                <v:rect id="_x0000_s1129" style="position:absolute;left:0;text-align:left;margin-left:.5pt;margin-top:4.05pt;width:12.75pt;height:12pt;z-index:251575808;mso-position-horizontal-relative:text;mso-position-vertical-relative:text"/>
              </w:pict>
            </w:r>
            <w:r w:rsidR="006F76EB" w:rsidRPr="00834D52">
              <w:rPr>
                <w:rFonts w:ascii="Sylfaen" w:hAnsi="Sylfaen"/>
                <w:sz w:val="24"/>
                <w:szCs w:val="24"/>
              </w:rPr>
              <w:t>այո</w:t>
            </w:r>
          </w:p>
        </w:tc>
      </w:tr>
    </w:tbl>
    <w:p w14:paraId="3DC25F06"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64C4387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4A75461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56B69AB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365A8A38" w14:textId="77777777" w:rsidR="006F76EB" w:rsidRPr="00834D52" w:rsidRDefault="006F76EB" w:rsidP="004F2439">
            <w:pPr>
              <w:spacing w:after="120" w:line="240" w:lineRule="auto"/>
              <w:ind w:right="-6"/>
              <w:rPr>
                <w:rFonts w:ascii="Sylfaen" w:hAnsi="Sylfaen"/>
                <w:sz w:val="24"/>
                <w:szCs w:val="24"/>
              </w:rPr>
            </w:pPr>
          </w:p>
        </w:tc>
      </w:tr>
      <w:tr w:rsidR="006F76EB" w:rsidRPr="00834D52" w14:paraId="7C9CCD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00F69C1"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3A58D2D3" w14:textId="77777777" w:rsidR="006F76EB" w:rsidRPr="00834D52" w:rsidRDefault="006F76EB" w:rsidP="004F2439">
            <w:pPr>
              <w:spacing w:after="120" w:line="240" w:lineRule="auto"/>
              <w:ind w:right="-6"/>
              <w:rPr>
                <w:rFonts w:ascii="Sylfaen" w:hAnsi="Sylfaen"/>
                <w:sz w:val="24"/>
                <w:szCs w:val="24"/>
              </w:rPr>
            </w:pPr>
          </w:p>
        </w:tc>
      </w:tr>
      <w:tr w:rsidR="006F76EB" w:rsidRPr="00834D52" w14:paraId="6BA846F4"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695F9A9"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2979126" w14:textId="77777777" w:rsidR="006F76EB" w:rsidRPr="00834D52" w:rsidRDefault="006F76EB" w:rsidP="004F2439">
            <w:pPr>
              <w:spacing w:after="120" w:line="240" w:lineRule="auto"/>
              <w:ind w:right="-6"/>
              <w:rPr>
                <w:rFonts w:ascii="Sylfaen" w:hAnsi="Sylfaen"/>
                <w:sz w:val="24"/>
                <w:szCs w:val="24"/>
              </w:rPr>
            </w:pPr>
          </w:p>
        </w:tc>
      </w:tr>
      <w:tr w:rsidR="006F76EB" w:rsidRPr="00834D52" w14:paraId="3EA8F56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31B6EAEA"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br/>
              <w:t>ԱԴԲ-ի կատեգորիան</w:t>
            </w:r>
          </w:p>
        </w:tc>
        <w:tc>
          <w:tcPr>
            <w:tcW w:w="4495" w:type="dxa"/>
            <w:gridSpan w:val="3"/>
            <w:tcBorders>
              <w:top w:val="single" w:sz="4" w:space="0" w:color="000000"/>
              <w:left w:val="single" w:sz="4" w:space="0" w:color="000000"/>
              <w:bottom w:val="single" w:sz="4" w:space="0" w:color="auto"/>
              <w:right w:val="single" w:sz="4" w:space="0" w:color="000000"/>
            </w:tcBorders>
          </w:tcPr>
          <w:p w14:paraId="515ED89E" w14:textId="77777777" w:rsidR="006F76EB" w:rsidRPr="00834D52" w:rsidRDefault="006F76EB" w:rsidP="004F2439">
            <w:pPr>
              <w:spacing w:after="120" w:line="240" w:lineRule="auto"/>
              <w:ind w:right="-6"/>
              <w:rPr>
                <w:rFonts w:ascii="Sylfaen" w:hAnsi="Sylfaen"/>
                <w:sz w:val="24"/>
                <w:szCs w:val="24"/>
              </w:rPr>
            </w:pPr>
          </w:p>
        </w:tc>
      </w:tr>
      <w:tr w:rsidR="006F76EB" w:rsidRPr="00834D52" w14:paraId="43F28363"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72DC09C5" w14:textId="77777777" w:rsidR="006F76EB" w:rsidRPr="00834D52" w:rsidRDefault="006F76EB" w:rsidP="006D210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7E6FCD17" w14:textId="77777777" w:rsidR="006F76EB" w:rsidRPr="00834D52" w:rsidRDefault="00FC294A" w:rsidP="006D210C">
            <w:pPr>
              <w:spacing w:after="120" w:line="240" w:lineRule="auto"/>
              <w:ind w:left="42" w:right="-6"/>
              <w:rPr>
                <w:rFonts w:ascii="Sylfaen" w:eastAsia="Times New Roman" w:hAnsi="Sylfaen" w:cs="Times New Roman"/>
                <w:sz w:val="24"/>
                <w:szCs w:val="24"/>
              </w:rPr>
            </w:pPr>
            <w:r>
              <w:rPr>
                <w:rFonts w:ascii="Sylfaen" w:hAnsi="Sylfaen"/>
                <w:noProof/>
                <w:sz w:val="24"/>
                <w:szCs w:val="24"/>
              </w:rPr>
              <w:pict w14:anchorId="1053CC40">
                <v:rect id="_x0000_s1084" style="position:absolute;left:0;text-align:left;margin-left:139.9pt;margin-top:2.2pt;width:12.75pt;height:12pt;z-index:251576832;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221BD562" w14:textId="77777777" w:rsidR="006F76EB" w:rsidRPr="00834D52" w:rsidRDefault="00FC294A" w:rsidP="006D210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CF7256">
                <v:rect id="_x0000_s1083" style="position:absolute;left:0;text-align:left;margin-left:37.9pt;margin-top:2.2pt;width:12.75pt;height:12pt;z-index:251577856;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20D5C4FB" w14:textId="77777777" w:rsidR="006F76EB" w:rsidRPr="00834D52" w:rsidRDefault="006F76EB" w:rsidP="006D210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49A73B4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կատարվել է պատշաճ արտադրական գործունեության պահանջների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DA44E65" w14:textId="77777777" w:rsidTr="00F71229">
        <w:trPr>
          <w:jc w:val="center"/>
        </w:trPr>
        <w:tc>
          <w:tcPr>
            <w:tcW w:w="1560" w:type="dxa"/>
          </w:tcPr>
          <w:p w14:paraId="2F99726D"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6624B33">
                <v:rect id="_x0000_s1130" style="position:absolute;left:0;text-align:left;margin-left:8.25pt;margin-top:4.05pt;width:12.75pt;height:12pt;z-index:251578880"/>
              </w:pict>
            </w:r>
            <w:r w:rsidR="006F76EB" w:rsidRPr="00834D52">
              <w:rPr>
                <w:rFonts w:ascii="Sylfaen" w:hAnsi="Sylfaen"/>
                <w:sz w:val="24"/>
                <w:szCs w:val="24"/>
              </w:rPr>
              <w:t>ոչ</w:t>
            </w:r>
          </w:p>
        </w:tc>
        <w:tc>
          <w:tcPr>
            <w:tcW w:w="1559" w:type="dxa"/>
          </w:tcPr>
          <w:p w14:paraId="2CC78775"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EBA40B">
                <v:rect id="_x0000_s1131" style="position:absolute;left:0;text-align:left;margin-left:.5pt;margin-top:4.05pt;width:12.75pt;height:12pt;z-index:251579904;mso-position-horizontal-relative:text;mso-position-vertical-relative:text"/>
              </w:pict>
            </w:r>
            <w:r w:rsidR="006F76EB" w:rsidRPr="00834D52">
              <w:rPr>
                <w:rFonts w:ascii="Sylfaen" w:hAnsi="Sylfaen"/>
                <w:sz w:val="24"/>
                <w:szCs w:val="24"/>
              </w:rPr>
              <w:t>այո</w:t>
            </w:r>
          </w:p>
        </w:tc>
      </w:tr>
    </w:tbl>
    <w:p w14:paraId="2360700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36" w:type="dxa"/>
        <w:jc w:val="center"/>
        <w:tblLayout w:type="fixed"/>
        <w:tblCellMar>
          <w:left w:w="0" w:type="dxa"/>
          <w:right w:w="0" w:type="dxa"/>
        </w:tblCellMar>
        <w:tblLook w:val="01E0" w:firstRow="1" w:lastRow="1" w:firstColumn="1" w:lastColumn="1" w:noHBand="0" w:noVBand="0"/>
      </w:tblPr>
      <w:tblGrid>
        <w:gridCol w:w="5141"/>
        <w:gridCol w:w="2835"/>
        <w:gridCol w:w="851"/>
        <w:gridCol w:w="809"/>
      </w:tblGrid>
      <w:tr w:rsidR="006F76EB" w:rsidRPr="00834D52" w14:paraId="2F5AF20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5B78A33"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վերջին տեսչական ստուգման ամսաթիվը</w:t>
            </w:r>
          </w:p>
        </w:tc>
        <w:tc>
          <w:tcPr>
            <w:tcW w:w="4495" w:type="dxa"/>
            <w:gridSpan w:val="3"/>
            <w:tcBorders>
              <w:top w:val="single" w:sz="4" w:space="0" w:color="000000"/>
              <w:left w:val="single" w:sz="4" w:space="0" w:color="000000"/>
              <w:bottom w:val="single" w:sz="4" w:space="0" w:color="000000"/>
              <w:right w:val="single" w:sz="4" w:space="0" w:color="000000"/>
            </w:tcBorders>
          </w:tcPr>
          <w:p w14:paraId="2D3D9A73" w14:textId="77777777" w:rsidR="006F76EB" w:rsidRPr="00834D52" w:rsidRDefault="006F76EB" w:rsidP="006A0AAC">
            <w:pPr>
              <w:spacing w:after="120" w:line="240" w:lineRule="auto"/>
              <w:ind w:right="-6"/>
              <w:rPr>
                <w:rFonts w:ascii="Sylfaen" w:hAnsi="Sylfaen"/>
                <w:sz w:val="24"/>
                <w:szCs w:val="24"/>
              </w:rPr>
            </w:pPr>
          </w:p>
        </w:tc>
      </w:tr>
      <w:tr w:rsidR="006F76EB" w:rsidRPr="00834D52" w14:paraId="5A47974A"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F042F51"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Ստուգում անցկացրած լիազորված մարմնի անվանումը</w:t>
            </w:r>
          </w:p>
        </w:tc>
        <w:tc>
          <w:tcPr>
            <w:tcW w:w="4495" w:type="dxa"/>
            <w:gridSpan w:val="3"/>
            <w:tcBorders>
              <w:top w:val="single" w:sz="4" w:space="0" w:color="000000"/>
              <w:left w:val="single" w:sz="4" w:space="0" w:color="000000"/>
              <w:bottom w:val="single" w:sz="4" w:space="0" w:color="000000"/>
              <w:right w:val="single" w:sz="4" w:space="0" w:color="000000"/>
            </w:tcBorders>
          </w:tcPr>
          <w:p w14:paraId="6E980D6A"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7A4FA32"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0783CE6C"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տեսչական ստուգման տեսակը</w:t>
            </w:r>
          </w:p>
        </w:tc>
        <w:tc>
          <w:tcPr>
            <w:tcW w:w="4495" w:type="dxa"/>
            <w:gridSpan w:val="3"/>
            <w:tcBorders>
              <w:top w:val="single" w:sz="4" w:space="0" w:color="000000"/>
              <w:left w:val="single" w:sz="4" w:space="0" w:color="000000"/>
              <w:bottom w:val="single" w:sz="4" w:space="0" w:color="000000"/>
              <w:right w:val="single" w:sz="4" w:space="0" w:color="000000"/>
            </w:tcBorders>
          </w:tcPr>
          <w:p w14:paraId="6692C53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3B1AD3F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1F0582" w14:textId="77777777" w:rsidR="006F76EB" w:rsidRPr="00834D52" w:rsidRDefault="006F76EB" w:rsidP="006A0AAC">
            <w:pPr>
              <w:spacing w:after="120" w:line="240" w:lineRule="auto"/>
              <w:ind w:left="180" w:right="-6"/>
              <w:rPr>
                <w:rFonts w:ascii="Sylfaen" w:hAnsi="Sylfaen"/>
                <w:sz w:val="24"/>
                <w:szCs w:val="24"/>
              </w:rPr>
            </w:pPr>
            <w:r w:rsidRPr="00834D52">
              <w:rPr>
                <w:rFonts w:ascii="Sylfaen" w:hAnsi="Sylfaen"/>
                <w:sz w:val="24"/>
                <w:szCs w:val="24"/>
              </w:rPr>
              <w:t xml:space="preserve">ստուգվող դեղապատրաստուկների </w:t>
            </w:r>
            <w:r w:rsidR="00C54D75">
              <w:rPr>
                <w:rFonts w:ascii="Sylfaen" w:hAnsi="Sylfaen"/>
                <w:sz w:val="24"/>
                <w:szCs w:val="24"/>
              </w:rPr>
              <w:t>և</w:t>
            </w:r>
            <w:r w:rsidRPr="00834D52">
              <w:rPr>
                <w:rFonts w:ascii="Sylfaen" w:hAnsi="Sylfaen"/>
                <w:sz w:val="24"/>
                <w:szCs w:val="24"/>
              </w:rPr>
              <w:t xml:space="preserve"> ԱԴԲ-ի կատեգորիան</w:t>
            </w:r>
          </w:p>
        </w:tc>
        <w:tc>
          <w:tcPr>
            <w:tcW w:w="4495" w:type="dxa"/>
            <w:gridSpan w:val="3"/>
            <w:tcBorders>
              <w:top w:val="single" w:sz="4" w:space="0" w:color="000000"/>
              <w:left w:val="single" w:sz="4" w:space="0" w:color="000000"/>
              <w:bottom w:val="single" w:sz="4" w:space="0" w:color="000000"/>
              <w:right w:val="single" w:sz="4" w:space="0" w:color="000000"/>
            </w:tcBorders>
          </w:tcPr>
          <w:p w14:paraId="64235904"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C893BD9" w14:textId="77777777" w:rsidTr="00F71229">
        <w:trPr>
          <w:jc w:val="center"/>
        </w:trPr>
        <w:tc>
          <w:tcPr>
            <w:tcW w:w="5141" w:type="dxa"/>
            <w:tcBorders>
              <w:top w:val="single" w:sz="4" w:space="0" w:color="000000"/>
              <w:left w:val="single" w:sz="4" w:space="0" w:color="000000"/>
              <w:bottom w:val="single" w:sz="4" w:space="0" w:color="000000"/>
              <w:right w:val="single" w:sz="4" w:space="0" w:color="auto"/>
            </w:tcBorders>
          </w:tcPr>
          <w:p w14:paraId="0F4322BF"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35" w:type="dxa"/>
            <w:tcBorders>
              <w:top w:val="single" w:sz="4" w:space="0" w:color="auto"/>
              <w:left w:val="single" w:sz="4" w:space="0" w:color="auto"/>
              <w:bottom w:val="single" w:sz="4" w:space="0" w:color="auto"/>
            </w:tcBorders>
          </w:tcPr>
          <w:p w14:paraId="1D98B5B5" w14:textId="77777777" w:rsidR="006F76EB" w:rsidRPr="00834D52" w:rsidRDefault="00FC294A" w:rsidP="006A0AA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2200FC89">
                <v:rect id="_x0000_s1133" style="position:absolute;left:0;text-align:left;margin-left:139.9pt;margin-top:2.2pt;width:12.75pt;height:12pt;z-index:251580928;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67F9CB3" w14:textId="77777777" w:rsidR="006F76EB" w:rsidRPr="00834D52" w:rsidRDefault="00FC294A" w:rsidP="006A0AA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1AE4D2A3">
                <v:rect id="_x0000_s1132" style="position:absolute;left:0;text-align:left;margin-left:37.9pt;margin-top:2.2pt;width:12.75pt;height:12pt;z-index:251581952;mso-position-horizontal-relative:text;mso-position-vertical-relative:text"/>
              </w:pict>
            </w:r>
            <w:r w:rsidR="006F76EB" w:rsidRPr="00834D52">
              <w:rPr>
                <w:rFonts w:ascii="Sylfaen" w:hAnsi="Sylfaen"/>
                <w:sz w:val="24"/>
                <w:szCs w:val="24"/>
              </w:rPr>
              <w:t>ոչ</w:t>
            </w:r>
          </w:p>
        </w:tc>
        <w:tc>
          <w:tcPr>
            <w:tcW w:w="809" w:type="dxa"/>
            <w:tcBorders>
              <w:top w:val="single" w:sz="4" w:space="0" w:color="auto"/>
              <w:bottom w:val="single" w:sz="4" w:space="0" w:color="auto"/>
              <w:right w:val="single" w:sz="4" w:space="0" w:color="auto"/>
            </w:tcBorders>
          </w:tcPr>
          <w:p w14:paraId="68AB3E7D" w14:textId="77777777" w:rsidR="006F76EB" w:rsidRPr="00834D52" w:rsidRDefault="006F76EB" w:rsidP="006A0AA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07C99FAB"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2.5.5.</w:t>
      </w:r>
      <w:r w:rsidRPr="00834D52">
        <w:rPr>
          <w:rFonts w:ascii="Sylfaen" w:hAnsi="Sylfaen"/>
          <w:sz w:val="24"/>
          <w:szCs w:val="24"/>
        </w:rPr>
        <w:tab/>
        <w:t xml:space="preserve">ԱԴԲ-ի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5CFF209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արտադրության գործընթացին մասնակցող բոլոր արտադրական հարթակները՝ նշելով արտադրության փուլը: Կենսաբանական դեղապատրաստուկների դեպքում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36" w:type="dxa"/>
        <w:jc w:val="center"/>
        <w:tblLayout w:type="fixed"/>
        <w:tblCellMar>
          <w:left w:w="0" w:type="dxa"/>
          <w:right w:w="0" w:type="dxa"/>
        </w:tblCellMar>
        <w:tblLook w:val="01E0" w:firstRow="1" w:lastRow="1" w:firstColumn="1" w:lastColumn="1" w:noHBand="0" w:noVBand="0"/>
      </w:tblPr>
      <w:tblGrid>
        <w:gridCol w:w="5141"/>
        <w:gridCol w:w="4495"/>
      </w:tblGrid>
      <w:tr w:rsidR="006F76EB" w:rsidRPr="00834D52" w14:paraId="7390DF8E"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10C0E"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արտադրական գործընթացի փուլի անվանումը, ակտիվ դեղագործական </w:t>
            </w:r>
            <w:r w:rsidRPr="00834D52">
              <w:rPr>
                <w:rFonts w:ascii="Sylfaen" w:hAnsi="Sylfaen"/>
                <w:sz w:val="24"/>
                <w:szCs w:val="24"/>
              </w:rPr>
              <w:lastRenderedPageBreak/>
              <w:t>բաղադրամասը</w:t>
            </w:r>
          </w:p>
        </w:tc>
        <w:tc>
          <w:tcPr>
            <w:tcW w:w="4495" w:type="dxa"/>
            <w:tcBorders>
              <w:top w:val="single" w:sz="4" w:space="0" w:color="000000"/>
              <w:left w:val="single" w:sz="4" w:space="0" w:color="000000"/>
              <w:bottom w:val="single" w:sz="4" w:space="0" w:color="000000"/>
              <w:right w:val="single" w:sz="4" w:space="0" w:color="000000"/>
            </w:tcBorders>
          </w:tcPr>
          <w:p w14:paraId="51884376" w14:textId="77777777" w:rsidR="006F76EB" w:rsidRPr="00834D52" w:rsidRDefault="006F76EB" w:rsidP="006A0AAC">
            <w:pPr>
              <w:spacing w:after="120" w:line="240" w:lineRule="auto"/>
              <w:ind w:right="-6"/>
              <w:rPr>
                <w:rFonts w:ascii="Sylfaen" w:hAnsi="Sylfaen"/>
                <w:sz w:val="24"/>
                <w:szCs w:val="24"/>
              </w:rPr>
            </w:pPr>
          </w:p>
        </w:tc>
      </w:tr>
      <w:tr w:rsidR="006F76EB" w:rsidRPr="00834D52" w14:paraId="1E5D61BB"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17DD34B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հանդիսացող ֆիզիկական անձի ազգանունը, անունը, հայրանունը</w:t>
            </w:r>
          </w:p>
        </w:tc>
        <w:tc>
          <w:tcPr>
            <w:tcW w:w="4495" w:type="dxa"/>
            <w:tcBorders>
              <w:top w:val="single" w:sz="4" w:space="0" w:color="000000"/>
              <w:left w:val="single" w:sz="4" w:space="0" w:color="000000"/>
              <w:bottom w:val="single" w:sz="4" w:space="0" w:color="000000"/>
              <w:right w:val="single" w:sz="4" w:space="0" w:color="000000"/>
            </w:tcBorders>
          </w:tcPr>
          <w:p w14:paraId="1C3AFF35"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9B709D"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7F7B15BA"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գործունեություն իրականացնելու վայրի հասցեն</w:t>
            </w:r>
          </w:p>
        </w:tc>
        <w:tc>
          <w:tcPr>
            <w:tcW w:w="4495" w:type="dxa"/>
            <w:tcBorders>
              <w:top w:val="single" w:sz="4" w:space="0" w:color="000000"/>
              <w:left w:val="single" w:sz="4" w:space="0" w:color="000000"/>
              <w:bottom w:val="single" w:sz="4" w:space="0" w:color="000000"/>
              <w:right w:val="single" w:sz="4" w:space="0" w:color="000000"/>
            </w:tcBorders>
          </w:tcPr>
          <w:p w14:paraId="2FFD75C2"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A7E6F1C"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B3C0868"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495" w:type="dxa"/>
            <w:tcBorders>
              <w:top w:val="single" w:sz="4" w:space="0" w:color="000000"/>
              <w:left w:val="single" w:sz="4" w:space="0" w:color="000000"/>
              <w:bottom w:val="single" w:sz="4" w:space="0" w:color="000000"/>
              <w:right w:val="single" w:sz="4" w:space="0" w:color="000000"/>
            </w:tcBorders>
          </w:tcPr>
          <w:p w14:paraId="591B61A9" w14:textId="77777777" w:rsidR="006F76EB" w:rsidRPr="00834D52" w:rsidRDefault="006F76EB" w:rsidP="006A0AAC">
            <w:pPr>
              <w:spacing w:after="120" w:line="240" w:lineRule="auto"/>
              <w:ind w:right="-6"/>
              <w:rPr>
                <w:rFonts w:ascii="Sylfaen" w:hAnsi="Sylfaen"/>
                <w:sz w:val="24"/>
                <w:szCs w:val="24"/>
              </w:rPr>
            </w:pPr>
          </w:p>
        </w:tc>
      </w:tr>
      <w:tr w:rsidR="006F76EB" w:rsidRPr="00834D52" w14:paraId="03788BF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2F792910"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495" w:type="dxa"/>
            <w:tcBorders>
              <w:top w:val="single" w:sz="4" w:space="0" w:color="000000"/>
              <w:left w:val="single" w:sz="4" w:space="0" w:color="000000"/>
              <w:bottom w:val="single" w:sz="4" w:space="0" w:color="000000"/>
              <w:right w:val="single" w:sz="4" w:space="0" w:color="000000"/>
            </w:tcBorders>
          </w:tcPr>
          <w:p w14:paraId="562924E0" w14:textId="77777777" w:rsidR="006F76EB" w:rsidRPr="00834D52" w:rsidRDefault="006F76EB" w:rsidP="006A0AAC">
            <w:pPr>
              <w:spacing w:after="120" w:line="240" w:lineRule="auto"/>
              <w:ind w:right="-6"/>
              <w:rPr>
                <w:rFonts w:ascii="Sylfaen" w:hAnsi="Sylfaen"/>
                <w:sz w:val="24"/>
                <w:szCs w:val="24"/>
              </w:rPr>
            </w:pPr>
          </w:p>
        </w:tc>
      </w:tr>
      <w:tr w:rsidR="006F76EB" w:rsidRPr="00834D52" w14:paraId="29ECF225" w14:textId="77777777" w:rsidTr="00F71229">
        <w:trPr>
          <w:jc w:val="center"/>
        </w:trPr>
        <w:tc>
          <w:tcPr>
            <w:tcW w:w="5141" w:type="dxa"/>
            <w:tcBorders>
              <w:top w:val="single" w:sz="4" w:space="0" w:color="000000"/>
              <w:left w:val="single" w:sz="4" w:space="0" w:color="000000"/>
              <w:bottom w:val="single" w:sz="4" w:space="0" w:color="000000"/>
              <w:right w:val="single" w:sz="4" w:space="0" w:color="000000"/>
            </w:tcBorders>
          </w:tcPr>
          <w:p w14:paraId="429DDCAB" w14:textId="77777777" w:rsidR="006F76EB" w:rsidRPr="00834D52" w:rsidRDefault="006F76EB" w:rsidP="006A0AA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495" w:type="dxa"/>
            <w:tcBorders>
              <w:top w:val="single" w:sz="4" w:space="0" w:color="000000"/>
              <w:left w:val="single" w:sz="4" w:space="0" w:color="000000"/>
              <w:bottom w:val="single" w:sz="4" w:space="0" w:color="000000"/>
              <w:right w:val="single" w:sz="4" w:space="0" w:color="000000"/>
            </w:tcBorders>
          </w:tcPr>
          <w:p w14:paraId="3D275B78" w14:textId="77777777" w:rsidR="006F76EB" w:rsidRPr="00834D52" w:rsidRDefault="006F76EB" w:rsidP="006A0AAC">
            <w:pPr>
              <w:spacing w:after="120" w:line="240" w:lineRule="auto"/>
              <w:ind w:right="-6"/>
              <w:rPr>
                <w:rFonts w:ascii="Sylfaen" w:hAnsi="Sylfaen"/>
                <w:sz w:val="24"/>
                <w:szCs w:val="24"/>
              </w:rPr>
            </w:pPr>
          </w:p>
        </w:tc>
      </w:tr>
    </w:tbl>
    <w:p w14:paraId="02125055" w14:textId="6B5BFDC1"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արտադրողի լիազորված անձի </w:t>
      </w:r>
      <w:r w:rsidR="0056496B">
        <w:rPr>
          <w:rFonts w:ascii="Sylfaen" w:hAnsi="Sylfaen"/>
          <w:sz w:val="24"/>
          <w:szCs w:val="24"/>
        </w:rPr>
        <w:t>դիմում</w:t>
      </w:r>
      <w:r w:rsidRPr="00834D52">
        <w:rPr>
          <w:rFonts w:ascii="Sylfaen" w:hAnsi="Sylfaen"/>
          <w:sz w:val="24"/>
          <w:szCs w:val="24"/>
        </w:rPr>
        <w:t xml:space="preserve">ը՝ համաձայն սույն </w:t>
      </w:r>
      <w:r w:rsidR="0056496B">
        <w:rPr>
          <w:rFonts w:ascii="Sylfaen" w:hAnsi="Sylfaen"/>
          <w:sz w:val="24"/>
          <w:szCs w:val="24"/>
        </w:rPr>
        <w:t>դիմում</w:t>
      </w:r>
      <w:r w:rsidRPr="00834D52">
        <w:rPr>
          <w:rFonts w:ascii="Sylfaen" w:hAnsi="Sylfaen"/>
          <w:sz w:val="24"/>
          <w:szCs w:val="24"/>
        </w:rPr>
        <w:t xml:space="preserve">ի հավելվածի 4.5 կետի (կցե՛ք այն սխեման, որը ներառում է արտադրության գործընթացում ներգրավված տարբեր արտադրական հարթակների համար գործողությունները </w:t>
      </w:r>
      <w:r w:rsidR="00C54D75">
        <w:rPr>
          <w:rFonts w:ascii="Sylfaen" w:hAnsi="Sylfaen"/>
          <w:sz w:val="24"/>
          <w:szCs w:val="24"/>
        </w:rPr>
        <w:t>և</w:t>
      </w:r>
      <w:r w:rsidRPr="00834D52">
        <w:rPr>
          <w:rFonts w:ascii="Sylfaen" w:hAnsi="Sylfaen"/>
          <w:sz w:val="24"/>
          <w:szCs w:val="24"/>
        </w:rPr>
        <w:t xml:space="preserve"> դրանց հաջորդականությունը՝ ներառյալ բացթողման հսկողությունը):</w:t>
      </w:r>
    </w:p>
    <w:p w14:paraId="13A08D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Եվրասիական տնտեսական միության պատշաճ արտադրական գործունեության կանոնների պահանջների պահպանման մասով ԱԴԲ-ի հարթակի տեսչական ստուգում Եվրասիական տնտեսական միության անդամ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C6B3FF1" w14:textId="77777777" w:rsidTr="00F71229">
        <w:trPr>
          <w:jc w:val="center"/>
        </w:trPr>
        <w:tc>
          <w:tcPr>
            <w:tcW w:w="1560" w:type="dxa"/>
          </w:tcPr>
          <w:p w14:paraId="114EBEE1"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77179E6">
                <v:rect id="_x0000_s1134" style="position:absolute;left:0;text-align:left;margin-left:8.25pt;margin-top:4.05pt;width:12.75pt;height:12pt;z-index:251582976"/>
              </w:pict>
            </w:r>
            <w:r w:rsidR="006F76EB" w:rsidRPr="00834D52">
              <w:rPr>
                <w:rFonts w:ascii="Sylfaen" w:hAnsi="Sylfaen"/>
                <w:sz w:val="24"/>
                <w:szCs w:val="24"/>
              </w:rPr>
              <w:t>ոչ</w:t>
            </w:r>
          </w:p>
        </w:tc>
        <w:tc>
          <w:tcPr>
            <w:tcW w:w="1559" w:type="dxa"/>
          </w:tcPr>
          <w:p w14:paraId="14FD81DA"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5E5FB8">
                <v:rect id="_x0000_s1135" style="position:absolute;left:0;text-align:left;margin-left:.5pt;margin-top:4.05pt;width:12.75pt;height:12pt;z-index:251584000;mso-position-horizontal-relative:text;mso-position-vertical-relative:text"/>
              </w:pict>
            </w:r>
            <w:r w:rsidR="006F76EB" w:rsidRPr="00834D52">
              <w:rPr>
                <w:rFonts w:ascii="Sylfaen" w:hAnsi="Sylfaen"/>
                <w:sz w:val="24"/>
                <w:szCs w:val="24"/>
              </w:rPr>
              <w:t>այո</w:t>
            </w:r>
          </w:p>
        </w:tc>
      </w:tr>
    </w:tbl>
    <w:p w14:paraId="1980DFC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E322E28" w14:textId="77777777" w:rsidTr="00F71229">
        <w:trPr>
          <w:jc w:val="center"/>
        </w:trPr>
        <w:tc>
          <w:tcPr>
            <w:tcW w:w="1560" w:type="dxa"/>
          </w:tcPr>
          <w:p w14:paraId="0015F6B1"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A8AF6A7">
                <v:rect id="_x0000_s1136" style="position:absolute;left:0;text-align:left;margin-left:8.25pt;margin-top:4.05pt;width:12.75pt;height:12pt;z-index:251585024"/>
              </w:pict>
            </w:r>
            <w:r w:rsidR="006F76EB" w:rsidRPr="00834D52">
              <w:rPr>
                <w:rFonts w:ascii="Sylfaen" w:hAnsi="Sylfaen"/>
                <w:sz w:val="24"/>
                <w:szCs w:val="24"/>
              </w:rPr>
              <w:t>ոչ</w:t>
            </w:r>
          </w:p>
        </w:tc>
        <w:tc>
          <w:tcPr>
            <w:tcW w:w="1559" w:type="dxa"/>
          </w:tcPr>
          <w:p w14:paraId="65A5A184"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0253239">
                <v:rect id="_x0000_s1137" style="position:absolute;left:0;text-align:left;margin-left:.5pt;margin-top:4.05pt;width:12.75pt;height:12pt;z-index:251586048;mso-position-horizontal-relative:text;mso-position-vertical-relative:text"/>
              </w:pict>
            </w:r>
            <w:r w:rsidR="006F76EB" w:rsidRPr="00834D52">
              <w:rPr>
                <w:rFonts w:ascii="Sylfaen" w:hAnsi="Sylfaen"/>
                <w:sz w:val="24"/>
                <w:szCs w:val="24"/>
              </w:rPr>
              <w:t>այո</w:t>
            </w:r>
          </w:p>
        </w:tc>
      </w:tr>
    </w:tbl>
    <w:p w14:paraId="062176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36" w:type="dxa"/>
        <w:jc w:val="center"/>
        <w:tblLayout w:type="fixed"/>
        <w:tblCellMar>
          <w:left w:w="0" w:type="dxa"/>
          <w:right w:w="0" w:type="dxa"/>
        </w:tblCellMar>
        <w:tblLook w:val="01E0" w:firstRow="1" w:lastRow="1" w:firstColumn="1" w:lastColumn="1" w:noHBand="0" w:noVBand="0"/>
      </w:tblPr>
      <w:tblGrid>
        <w:gridCol w:w="5103"/>
        <w:gridCol w:w="4533"/>
      </w:tblGrid>
      <w:tr w:rsidR="006F76EB" w:rsidRPr="00834D52" w14:paraId="5F909AF9" w14:textId="77777777" w:rsidTr="00F71229">
        <w:trPr>
          <w:jc w:val="center"/>
        </w:trPr>
        <w:tc>
          <w:tcPr>
            <w:tcW w:w="5103" w:type="dxa"/>
            <w:tcBorders>
              <w:top w:val="single" w:sz="4" w:space="0" w:color="auto"/>
              <w:left w:val="single" w:sz="4" w:space="0" w:color="auto"/>
              <w:bottom w:val="single" w:sz="4" w:space="0" w:color="auto"/>
              <w:right w:val="single" w:sz="4" w:space="0" w:color="auto"/>
            </w:tcBorders>
          </w:tcPr>
          <w:p w14:paraId="4CCD8D4F"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բաղադրամասի անվանումը</w:t>
            </w:r>
          </w:p>
        </w:tc>
        <w:tc>
          <w:tcPr>
            <w:tcW w:w="4533" w:type="dxa"/>
            <w:tcBorders>
              <w:top w:val="single" w:sz="4" w:space="0" w:color="auto"/>
              <w:left w:val="single" w:sz="4" w:space="0" w:color="auto"/>
              <w:bottom w:val="single" w:sz="4" w:space="0" w:color="auto"/>
              <w:right w:val="single" w:sz="4" w:space="0" w:color="auto"/>
            </w:tcBorders>
          </w:tcPr>
          <w:p w14:paraId="04B2EF3D" w14:textId="77777777" w:rsidR="006F76EB" w:rsidRPr="00834D52" w:rsidRDefault="006F76EB" w:rsidP="0004077C">
            <w:pPr>
              <w:spacing w:after="0" w:line="240" w:lineRule="auto"/>
              <w:ind w:right="-6"/>
              <w:rPr>
                <w:rFonts w:ascii="Sylfaen" w:hAnsi="Sylfaen"/>
                <w:sz w:val="24"/>
                <w:szCs w:val="24"/>
              </w:rPr>
            </w:pPr>
          </w:p>
        </w:tc>
      </w:tr>
      <w:tr w:rsidR="006F76EB" w:rsidRPr="00834D52" w14:paraId="505B6E68" w14:textId="77777777" w:rsidTr="00F71229">
        <w:trPr>
          <w:jc w:val="center"/>
        </w:trPr>
        <w:tc>
          <w:tcPr>
            <w:tcW w:w="5103" w:type="dxa"/>
            <w:tcBorders>
              <w:top w:val="single" w:sz="4" w:space="0" w:color="auto"/>
              <w:left w:val="single" w:sz="4" w:space="0" w:color="000000"/>
              <w:bottom w:val="single" w:sz="4" w:space="0" w:color="000000"/>
              <w:right w:val="single" w:sz="4" w:space="0" w:color="000000"/>
            </w:tcBorders>
          </w:tcPr>
          <w:p w14:paraId="49963BEA"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 կամ ձեռնարկատեր հանդիսացող ֆիզիկական անձի (արտադրողի) ազգանունը, անունը, հայրանունը</w:t>
            </w:r>
          </w:p>
        </w:tc>
        <w:tc>
          <w:tcPr>
            <w:tcW w:w="4533" w:type="dxa"/>
            <w:tcBorders>
              <w:top w:val="single" w:sz="4" w:space="0" w:color="auto"/>
              <w:left w:val="single" w:sz="4" w:space="0" w:color="000000"/>
              <w:bottom w:val="single" w:sz="4" w:space="0" w:color="000000"/>
              <w:right w:val="single" w:sz="4" w:space="0" w:color="000000"/>
            </w:tcBorders>
          </w:tcPr>
          <w:p w14:paraId="23856AB5" w14:textId="77777777" w:rsidR="006F76EB" w:rsidRPr="00834D52" w:rsidRDefault="006F76EB" w:rsidP="0004077C">
            <w:pPr>
              <w:spacing w:after="0" w:line="240" w:lineRule="auto"/>
              <w:ind w:right="-6"/>
              <w:rPr>
                <w:rFonts w:ascii="Sylfaen" w:hAnsi="Sylfaen"/>
                <w:sz w:val="24"/>
                <w:szCs w:val="24"/>
              </w:rPr>
            </w:pPr>
          </w:p>
        </w:tc>
      </w:tr>
      <w:tr w:rsidR="006F76EB" w:rsidRPr="00834D52" w14:paraId="1A5641E2"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EA75EA7"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 xml:space="preserve">համապատասխանության սերտիֆիկատի </w:t>
            </w:r>
            <w:r w:rsidRPr="00834D52">
              <w:rPr>
                <w:rFonts w:ascii="Sylfaen" w:hAnsi="Sylfaen"/>
                <w:sz w:val="24"/>
                <w:szCs w:val="24"/>
              </w:rPr>
              <w:lastRenderedPageBreak/>
              <w:t>համարը</w:t>
            </w:r>
          </w:p>
        </w:tc>
        <w:tc>
          <w:tcPr>
            <w:tcW w:w="4533" w:type="dxa"/>
            <w:tcBorders>
              <w:top w:val="single" w:sz="4" w:space="0" w:color="000000"/>
              <w:left w:val="single" w:sz="4" w:space="0" w:color="000000"/>
              <w:bottom w:val="single" w:sz="4" w:space="0" w:color="000000"/>
              <w:right w:val="single" w:sz="4" w:space="0" w:color="000000"/>
            </w:tcBorders>
          </w:tcPr>
          <w:p w14:paraId="55E70276" w14:textId="77777777" w:rsidR="006F76EB" w:rsidRPr="00834D52" w:rsidRDefault="006F76EB" w:rsidP="0004077C">
            <w:pPr>
              <w:spacing w:after="0" w:line="240" w:lineRule="auto"/>
              <w:ind w:right="-6"/>
              <w:rPr>
                <w:rFonts w:ascii="Sylfaen" w:hAnsi="Sylfaen"/>
                <w:sz w:val="24"/>
                <w:szCs w:val="24"/>
              </w:rPr>
            </w:pPr>
          </w:p>
        </w:tc>
      </w:tr>
      <w:tr w:rsidR="006F76EB" w:rsidRPr="00834D52" w14:paraId="10E17F0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A2A4CD8" w14:textId="77777777" w:rsidR="006F76EB" w:rsidRPr="00834D52" w:rsidRDefault="006F76EB" w:rsidP="0004077C">
            <w:pPr>
              <w:spacing w:after="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33" w:type="dxa"/>
            <w:tcBorders>
              <w:top w:val="single" w:sz="4" w:space="0" w:color="000000"/>
              <w:left w:val="single" w:sz="4" w:space="0" w:color="000000"/>
              <w:bottom w:val="single" w:sz="4" w:space="0" w:color="000000"/>
              <w:right w:val="single" w:sz="4" w:space="0" w:color="000000"/>
            </w:tcBorders>
          </w:tcPr>
          <w:p w14:paraId="43D30131" w14:textId="77777777" w:rsidR="006F76EB" w:rsidRPr="00834D52" w:rsidRDefault="006F76EB" w:rsidP="0004077C">
            <w:pPr>
              <w:spacing w:after="0" w:line="240" w:lineRule="auto"/>
              <w:ind w:right="-6"/>
              <w:rPr>
                <w:rFonts w:ascii="Sylfaen" w:hAnsi="Sylfaen"/>
                <w:sz w:val="24"/>
                <w:szCs w:val="24"/>
              </w:rPr>
            </w:pPr>
          </w:p>
        </w:tc>
      </w:tr>
    </w:tbl>
    <w:p w14:paraId="35D41627" w14:textId="77777777" w:rsidR="0004077C" w:rsidRDefault="0004077C" w:rsidP="006F76EB">
      <w:pPr>
        <w:spacing w:after="160" w:line="360" w:lineRule="auto"/>
        <w:ind w:right="-8" w:firstLine="567"/>
        <w:jc w:val="both"/>
        <w:rPr>
          <w:rFonts w:ascii="Sylfaen" w:hAnsi="Sylfaen"/>
          <w:sz w:val="24"/>
          <w:szCs w:val="24"/>
          <w:lang w:val="en-US"/>
        </w:rPr>
      </w:pPr>
    </w:p>
    <w:p w14:paraId="2462966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անցկացվել է պատշաճ արտադրական գործունեության կանոնների պահպանման մասով հարթակի տեսչական ստուգում այլ պետության լիազորված մարմնի կողմից՝</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74F165E" w14:textId="77777777" w:rsidTr="00F71229">
        <w:trPr>
          <w:jc w:val="center"/>
        </w:trPr>
        <w:tc>
          <w:tcPr>
            <w:tcW w:w="1560" w:type="dxa"/>
          </w:tcPr>
          <w:p w14:paraId="752FFAA0"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04681C">
                <v:rect id="_x0000_s1138" style="position:absolute;left:0;text-align:left;margin-left:8.25pt;margin-top:4.05pt;width:12.75pt;height:12pt;z-index:251587072"/>
              </w:pict>
            </w:r>
            <w:r w:rsidR="006F76EB" w:rsidRPr="00834D52">
              <w:rPr>
                <w:rFonts w:ascii="Sylfaen" w:hAnsi="Sylfaen"/>
                <w:sz w:val="24"/>
                <w:szCs w:val="24"/>
              </w:rPr>
              <w:t>ոչ</w:t>
            </w:r>
          </w:p>
        </w:tc>
        <w:tc>
          <w:tcPr>
            <w:tcW w:w="1559" w:type="dxa"/>
          </w:tcPr>
          <w:p w14:paraId="4CAEC1D6"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A1AC4E0">
                <v:rect id="_x0000_s1139" style="position:absolute;left:0;text-align:left;margin-left:.5pt;margin-top:4.05pt;width:12.75pt;height:12pt;z-index:251588096;mso-position-horizontal-relative:text;mso-position-vertical-relative:text"/>
              </w:pict>
            </w:r>
            <w:r w:rsidR="006F76EB" w:rsidRPr="00834D52">
              <w:rPr>
                <w:rFonts w:ascii="Sylfaen" w:hAnsi="Sylfaen"/>
                <w:sz w:val="24"/>
                <w:szCs w:val="24"/>
              </w:rPr>
              <w:t>այո</w:t>
            </w:r>
          </w:p>
        </w:tc>
      </w:tr>
    </w:tbl>
    <w:p w14:paraId="6019F60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786" w:type="dxa"/>
        <w:jc w:val="center"/>
        <w:tblLayout w:type="fixed"/>
        <w:tblCellMar>
          <w:left w:w="0" w:type="dxa"/>
          <w:right w:w="0" w:type="dxa"/>
        </w:tblCellMar>
        <w:tblLook w:val="01E0" w:firstRow="1" w:lastRow="1" w:firstColumn="1" w:lastColumn="1" w:noHBand="0" w:noVBand="0"/>
      </w:tblPr>
      <w:tblGrid>
        <w:gridCol w:w="5164"/>
        <w:gridCol w:w="2936"/>
        <w:gridCol w:w="864"/>
        <w:gridCol w:w="822"/>
      </w:tblGrid>
      <w:tr w:rsidR="006F76EB" w:rsidRPr="00834D52" w14:paraId="5D090F3C"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5EFF66B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622" w:type="dxa"/>
            <w:gridSpan w:val="3"/>
            <w:tcBorders>
              <w:top w:val="single" w:sz="4" w:space="0" w:color="000000"/>
              <w:left w:val="single" w:sz="4" w:space="0" w:color="000000"/>
              <w:bottom w:val="single" w:sz="4" w:space="0" w:color="000000"/>
              <w:right w:val="single" w:sz="4" w:space="0" w:color="000000"/>
            </w:tcBorders>
          </w:tcPr>
          <w:p w14:paraId="071573D3" w14:textId="77777777" w:rsidR="006F76EB" w:rsidRPr="00834D52" w:rsidRDefault="006F76EB" w:rsidP="0004077C">
            <w:pPr>
              <w:spacing w:after="120" w:line="240" w:lineRule="auto"/>
              <w:ind w:right="-6"/>
              <w:rPr>
                <w:rFonts w:ascii="Sylfaen" w:hAnsi="Sylfaen"/>
                <w:sz w:val="24"/>
                <w:szCs w:val="24"/>
              </w:rPr>
            </w:pPr>
          </w:p>
        </w:tc>
      </w:tr>
      <w:tr w:rsidR="006F76EB" w:rsidRPr="00834D52" w14:paraId="51D6267B"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3F9A69BB"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 անցկացրած լիազորված մարմնի անվանումը</w:t>
            </w:r>
          </w:p>
        </w:tc>
        <w:tc>
          <w:tcPr>
            <w:tcW w:w="4622" w:type="dxa"/>
            <w:gridSpan w:val="3"/>
            <w:tcBorders>
              <w:top w:val="single" w:sz="4" w:space="0" w:color="000000"/>
              <w:left w:val="single" w:sz="4" w:space="0" w:color="000000"/>
              <w:bottom w:val="single" w:sz="4" w:space="0" w:color="000000"/>
              <w:right w:val="single" w:sz="4" w:space="0" w:color="000000"/>
            </w:tcBorders>
          </w:tcPr>
          <w:p w14:paraId="21D70B3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09933815"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000000"/>
            </w:tcBorders>
          </w:tcPr>
          <w:p w14:paraId="1F8F0CEF"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622" w:type="dxa"/>
            <w:gridSpan w:val="3"/>
            <w:tcBorders>
              <w:top w:val="single" w:sz="4" w:space="0" w:color="000000"/>
              <w:left w:val="single" w:sz="4" w:space="0" w:color="000000"/>
              <w:bottom w:val="single" w:sz="4" w:space="0" w:color="000000"/>
              <w:right w:val="single" w:sz="4" w:space="0" w:color="000000"/>
            </w:tcBorders>
          </w:tcPr>
          <w:p w14:paraId="4DEFF4E8" w14:textId="77777777" w:rsidR="006F76EB" w:rsidRPr="00834D52" w:rsidRDefault="006F76EB" w:rsidP="0004077C">
            <w:pPr>
              <w:spacing w:after="120" w:line="240" w:lineRule="auto"/>
              <w:ind w:right="-6"/>
              <w:rPr>
                <w:rFonts w:ascii="Sylfaen" w:hAnsi="Sylfaen"/>
                <w:sz w:val="24"/>
                <w:szCs w:val="24"/>
              </w:rPr>
            </w:pPr>
          </w:p>
        </w:tc>
      </w:tr>
      <w:tr w:rsidR="006F76EB" w:rsidRPr="00834D52" w14:paraId="4B50C31C" w14:textId="77777777" w:rsidTr="00815B19">
        <w:trPr>
          <w:trHeight w:val="823"/>
          <w:jc w:val="center"/>
        </w:trPr>
        <w:tc>
          <w:tcPr>
            <w:tcW w:w="5164" w:type="dxa"/>
            <w:tcBorders>
              <w:top w:val="single" w:sz="4" w:space="0" w:color="000000"/>
              <w:left w:val="single" w:sz="4" w:space="0" w:color="000000"/>
              <w:bottom w:val="single" w:sz="4" w:space="0" w:color="000000"/>
              <w:right w:val="single" w:sz="4" w:space="0" w:color="000000"/>
            </w:tcBorders>
          </w:tcPr>
          <w:p w14:paraId="6FDB4243"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4622" w:type="dxa"/>
            <w:gridSpan w:val="3"/>
            <w:tcBorders>
              <w:top w:val="single" w:sz="4" w:space="0" w:color="000000"/>
              <w:left w:val="single" w:sz="4" w:space="0" w:color="000000"/>
              <w:bottom w:val="single" w:sz="4" w:space="0" w:color="000000"/>
              <w:right w:val="single" w:sz="4" w:space="0" w:color="000000"/>
            </w:tcBorders>
          </w:tcPr>
          <w:p w14:paraId="4989ECDD" w14:textId="77777777" w:rsidR="006F76EB" w:rsidRPr="00834D52" w:rsidRDefault="006F76EB" w:rsidP="0004077C">
            <w:pPr>
              <w:spacing w:after="120" w:line="240" w:lineRule="auto"/>
              <w:ind w:right="-6"/>
              <w:rPr>
                <w:rFonts w:ascii="Sylfaen" w:hAnsi="Sylfaen"/>
                <w:sz w:val="24"/>
                <w:szCs w:val="24"/>
              </w:rPr>
            </w:pPr>
          </w:p>
        </w:tc>
      </w:tr>
      <w:tr w:rsidR="006F76EB" w:rsidRPr="00834D52" w14:paraId="6744E5CE" w14:textId="77777777" w:rsidTr="00815B19">
        <w:trPr>
          <w:trHeight w:val="486"/>
          <w:jc w:val="center"/>
        </w:trPr>
        <w:tc>
          <w:tcPr>
            <w:tcW w:w="5164" w:type="dxa"/>
            <w:tcBorders>
              <w:top w:val="single" w:sz="4" w:space="0" w:color="000000"/>
              <w:left w:val="single" w:sz="4" w:space="0" w:color="000000"/>
              <w:bottom w:val="single" w:sz="4" w:space="0" w:color="000000"/>
              <w:right w:val="single" w:sz="4" w:space="0" w:color="auto"/>
            </w:tcBorders>
          </w:tcPr>
          <w:p w14:paraId="7459E76E" w14:textId="77777777" w:rsidR="006F76EB" w:rsidRPr="00834D52" w:rsidRDefault="006F76EB" w:rsidP="0004077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936" w:type="dxa"/>
            <w:tcBorders>
              <w:top w:val="single" w:sz="4" w:space="0" w:color="auto"/>
              <w:left w:val="single" w:sz="4" w:space="0" w:color="auto"/>
              <w:bottom w:val="single" w:sz="4" w:space="0" w:color="auto"/>
            </w:tcBorders>
          </w:tcPr>
          <w:p w14:paraId="38105422" w14:textId="77777777" w:rsidR="006F76EB" w:rsidRPr="00834D52" w:rsidRDefault="00FC294A" w:rsidP="0004077C">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6FFFB145">
                <v:rect id="_x0000_s1141" style="position:absolute;left:0;text-align:left;margin-left:139.9pt;margin-top:2.2pt;width:12.75pt;height:12pt;z-index:251589120;mso-position-horizontal-relative:text;mso-position-vertical-relative:text"/>
              </w:pict>
            </w:r>
            <w:r w:rsidR="006F76EB" w:rsidRPr="00834D52">
              <w:rPr>
                <w:rFonts w:ascii="Sylfaen" w:hAnsi="Sylfaen"/>
                <w:sz w:val="24"/>
                <w:szCs w:val="24"/>
              </w:rPr>
              <w:t>համապատասխանում է՝</w:t>
            </w:r>
          </w:p>
        </w:tc>
        <w:tc>
          <w:tcPr>
            <w:tcW w:w="864" w:type="dxa"/>
            <w:tcBorders>
              <w:top w:val="single" w:sz="4" w:space="0" w:color="auto"/>
              <w:bottom w:val="single" w:sz="4" w:space="0" w:color="auto"/>
            </w:tcBorders>
          </w:tcPr>
          <w:p w14:paraId="657868DA" w14:textId="77777777" w:rsidR="006F76EB" w:rsidRPr="00834D52" w:rsidRDefault="00FC294A" w:rsidP="0004077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40937C">
                <v:rect id="_x0000_s1140" style="position:absolute;left:0;text-align:left;margin-left:37.9pt;margin-top:2.2pt;width:12.75pt;height:12pt;z-index:251590144;mso-position-horizontal-relative:text;mso-position-vertical-relative:text"/>
              </w:pict>
            </w:r>
            <w:r w:rsidR="006F76EB" w:rsidRPr="00834D52">
              <w:rPr>
                <w:rFonts w:ascii="Sylfaen" w:hAnsi="Sylfaen"/>
                <w:sz w:val="24"/>
                <w:szCs w:val="24"/>
              </w:rPr>
              <w:t>ոչ</w:t>
            </w:r>
          </w:p>
        </w:tc>
        <w:tc>
          <w:tcPr>
            <w:tcW w:w="822" w:type="dxa"/>
            <w:tcBorders>
              <w:top w:val="single" w:sz="4" w:space="0" w:color="auto"/>
              <w:bottom w:val="single" w:sz="4" w:space="0" w:color="auto"/>
              <w:right w:val="single" w:sz="4" w:space="0" w:color="auto"/>
            </w:tcBorders>
          </w:tcPr>
          <w:p w14:paraId="575B5E7E" w14:textId="77777777" w:rsidR="006F76EB" w:rsidRPr="00834D52" w:rsidRDefault="006F76EB" w:rsidP="0004077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59310E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3A5C789" w14:textId="77777777" w:rsidTr="00F71229">
        <w:trPr>
          <w:jc w:val="center"/>
        </w:trPr>
        <w:tc>
          <w:tcPr>
            <w:tcW w:w="1560" w:type="dxa"/>
          </w:tcPr>
          <w:p w14:paraId="4A04C405"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B66D9C9">
                <v:rect id="_x0000_s1142" style="position:absolute;left:0;text-align:left;margin-left:8.25pt;margin-top:4.05pt;width:12.75pt;height:12pt;z-index:251591168"/>
              </w:pict>
            </w:r>
            <w:r w:rsidR="006F76EB" w:rsidRPr="00834D52">
              <w:rPr>
                <w:rFonts w:ascii="Sylfaen" w:hAnsi="Sylfaen"/>
                <w:sz w:val="24"/>
                <w:szCs w:val="24"/>
              </w:rPr>
              <w:t>ոչ</w:t>
            </w:r>
          </w:p>
        </w:tc>
        <w:tc>
          <w:tcPr>
            <w:tcW w:w="1559" w:type="dxa"/>
          </w:tcPr>
          <w:p w14:paraId="33E0D706"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DB06A">
                <v:rect id="_x0000_s1143" style="position:absolute;left:0;text-align:left;margin-left:.5pt;margin-top:4.05pt;width:12.75pt;height:12pt;z-index:251592192;mso-position-horizontal-relative:text;mso-position-vertical-relative:text"/>
              </w:pict>
            </w:r>
            <w:r w:rsidR="006F76EB" w:rsidRPr="00834D52">
              <w:rPr>
                <w:rFonts w:ascii="Sylfaen" w:hAnsi="Sylfaen"/>
                <w:sz w:val="24"/>
                <w:szCs w:val="24"/>
              </w:rPr>
              <w:t>այո</w:t>
            </w:r>
          </w:p>
        </w:tc>
      </w:tr>
    </w:tbl>
    <w:p w14:paraId="19E4C21E"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9" w:type="dxa"/>
        <w:jc w:val="center"/>
        <w:tblLayout w:type="fixed"/>
        <w:tblCellMar>
          <w:left w:w="0" w:type="dxa"/>
          <w:right w:w="0" w:type="dxa"/>
        </w:tblCellMar>
        <w:tblLook w:val="01E0" w:firstRow="1" w:lastRow="1" w:firstColumn="1" w:lastColumn="1" w:noHBand="0" w:noVBand="0"/>
      </w:tblPr>
      <w:tblGrid>
        <w:gridCol w:w="6130"/>
        <w:gridCol w:w="3589"/>
      </w:tblGrid>
      <w:tr w:rsidR="006F76EB" w:rsidRPr="00834D52" w14:paraId="45A064D7" w14:textId="77777777" w:rsidTr="003B78AE">
        <w:trPr>
          <w:trHeight w:val="529"/>
          <w:jc w:val="center"/>
        </w:trPr>
        <w:tc>
          <w:tcPr>
            <w:tcW w:w="6130" w:type="dxa"/>
            <w:tcBorders>
              <w:top w:val="single" w:sz="4" w:space="0" w:color="000000"/>
              <w:left w:val="single" w:sz="4" w:space="0" w:color="000000"/>
              <w:bottom w:val="single" w:sz="4" w:space="0" w:color="000000"/>
              <w:right w:val="single" w:sz="4" w:space="0" w:color="000000"/>
            </w:tcBorders>
          </w:tcPr>
          <w:p w14:paraId="77F7A93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ակտիվ դեղագործական բաղադրամասի անվանումը</w:t>
            </w:r>
          </w:p>
        </w:tc>
        <w:tc>
          <w:tcPr>
            <w:tcW w:w="3589" w:type="dxa"/>
            <w:tcBorders>
              <w:top w:val="single" w:sz="4" w:space="0" w:color="000000"/>
              <w:left w:val="single" w:sz="4" w:space="0" w:color="000000"/>
              <w:bottom w:val="single" w:sz="4" w:space="0" w:color="000000"/>
              <w:right w:val="single" w:sz="4" w:space="0" w:color="000000"/>
            </w:tcBorders>
          </w:tcPr>
          <w:p w14:paraId="7323F5FA" w14:textId="77777777" w:rsidR="006F76EB" w:rsidRPr="00834D52" w:rsidRDefault="006F76EB" w:rsidP="003B78AE">
            <w:pPr>
              <w:spacing w:after="120" w:line="240" w:lineRule="auto"/>
              <w:ind w:right="-6"/>
              <w:rPr>
                <w:rFonts w:ascii="Sylfaen" w:hAnsi="Sylfaen"/>
                <w:sz w:val="24"/>
                <w:szCs w:val="24"/>
              </w:rPr>
            </w:pPr>
          </w:p>
        </w:tc>
      </w:tr>
      <w:tr w:rsidR="006F76EB" w:rsidRPr="00834D52" w14:paraId="66FC79B3" w14:textId="77777777" w:rsidTr="003B78AE">
        <w:trPr>
          <w:trHeight w:val="983"/>
          <w:jc w:val="center"/>
        </w:trPr>
        <w:tc>
          <w:tcPr>
            <w:tcW w:w="6130" w:type="dxa"/>
            <w:tcBorders>
              <w:top w:val="single" w:sz="4" w:space="0" w:color="000000"/>
              <w:left w:val="single" w:sz="4" w:space="0" w:color="000000"/>
              <w:bottom w:val="single" w:sz="4" w:space="0" w:color="000000"/>
              <w:right w:val="single" w:sz="4" w:space="0" w:color="000000"/>
            </w:tcBorders>
          </w:tcPr>
          <w:p w14:paraId="35497109"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մաստեր-ֆայլի իրավատիրոջ անվանումը</w:t>
            </w:r>
          </w:p>
        </w:tc>
        <w:tc>
          <w:tcPr>
            <w:tcW w:w="3589" w:type="dxa"/>
            <w:tcBorders>
              <w:top w:val="single" w:sz="4" w:space="0" w:color="000000"/>
              <w:left w:val="single" w:sz="4" w:space="0" w:color="000000"/>
              <w:bottom w:val="single" w:sz="4" w:space="0" w:color="000000"/>
              <w:right w:val="single" w:sz="4" w:space="0" w:color="000000"/>
            </w:tcBorders>
          </w:tcPr>
          <w:p w14:paraId="5D823372"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0C7BC46" w14:textId="77777777" w:rsidTr="003B78AE">
        <w:trPr>
          <w:trHeight w:val="1401"/>
          <w:jc w:val="center"/>
        </w:trPr>
        <w:tc>
          <w:tcPr>
            <w:tcW w:w="6130" w:type="dxa"/>
            <w:tcBorders>
              <w:top w:val="single" w:sz="4" w:space="0" w:color="000000"/>
              <w:left w:val="single" w:sz="4" w:space="0" w:color="000000"/>
              <w:bottom w:val="single" w:sz="4" w:space="0" w:color="000000"/>
              <w:right w:val="single" w:sz="4" w:space="0" w:color="000000"/>
            </w:tcBorders>
          </w:tcPr>
          <w:p w14:paraId="7ED5A755"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ԱԴԲ արտադրողի անվանումը, եթե այն տարբերվում է ԱԴԲ արտադրողի մաստեր-ֆայլի իրավատիրոջից</w:t>
            </w:r>
          </w:p>
        </w:tc>
        <w:tc>
          <w:tcPr>
            <w:tcW w:w="3589" w:type="dxa"/>
            <w:tcBorders>
              <w:top w:val="single" w:sz="4" w:space="0" w:color="000000"/>
              <w:left w:val="single" w:sz="4" w:space="0" w:color="000000"/>
              <w:bottom w:val="single" w:sz="4" w:space="0" w:color="000000"/>
              <w:right w:val="single" w:sz="4" w:space="0" w:color="000000"/>
            </w:tcBorders>
          </w:tcPr>
          <w:p w14:paraId="658169E1" w14:textId="77777777" w:rsidR="006F76EB" w:rsidRPr="00834D52" w:rsidRDefault="006F76EB" w:rsidP="003B78AE">
            <w:pPr>
              <w:spacing w:after="120" w:line="240" w:lineRule="auto"/>
              <w:ind w:right="-6"/>
              <w:rPr>
                <w:rFonts w:ascii="Sylfaen" w:hAnsi="Sylfaen"/>
                <w:sz w:val="24"/>
                <w:szCs w:val="24"/>
              </w:rPr>
            </w:pPr>
          </w:p>
        </w:tc>
      </w:tr>
      <w:tr w:rsidR="006F76EB" w:rsidRPr="00834D52" w14:paraId="375B3BFA" w14:textId="77777777" w:rsidTr="003B78AE">
        <w:trPr>
          <w:trHeight w:val="566"/>
          <w:jc w:val="center"/>
        </w:trPr>
        <w:tc>
          <w:tcPr>
            <w:tcW w:w="6130" w:type="dxa"/>
            <w:tcBorders>
              <w:top w:val="single" w:sz="4" w:space="0" w:color="000000"/>
              <w:left w:val="single" w:sz="4" w:space="0" w:color="000000"/>
              <w:bottom w:val="single" w:sz="4" w:space="0" w:color="000000"/>
              <w:right w:val="single" w:sz="4" w:space="0" w:color="000000"/>
            </w:tcBorders>
          </w:tcPr>
          <w:p w14:paraId="798E939B" w14:textId="77777777" w:rsidR="006F76EB" w:rsidRPr="00834D52" w:rsidRDefault="006F76EB" w:rsidP="003B78AE">
            <w:pPr>
              <w:spacing w:after="120" w:line="240" w:lineRule="auto"/>
              <w:ind w:left="180" w:right="-6"/>
              <w:rPr>
                <w:rFonts w:ascii="Sylfaen" w:hAnsi="Sylfaen"/>
                <w:sz w:val="24"/>
                <w:szCs w:val="24"/>
              </w:rPr>
            </w:pPr>
            <w:r w:rsidRPr="00834D52">
              <w:rPr>
                <w:rFonts w:ascii="Sylfaen" w:hAnsi="Sylfaen"/>
                <w:sz w:val="24"/>
                <w:szCs w:val="24"/>
              </w:rPr>
              <w:t>վերջին վերանայման ամսաթիվը</w:t>
            </w:r>
          </w:p>
        </w:tc>
        <w:tc>
          <w:tcPr>
            <w:tcW w:w="3589" w:type="dxa"/>
            <w:tcBorders>
              <w:top w:val="single" w:sz="4" w:space="0" w:color="000000"/>
              <w:left w:val="single" w:sz="4" w:space="0" w:color="000000"/>
              <w:bottom w:val="single" w:sz="4" w:space="0" w:color="000000"/>
              <w:right w:val="single" w:sz="4" w:space="0" w:color="000000"/>
            </w:tcBorders>
          </w:tcPr>
          <w:p w14:paraId="6DC19AC4" w14:textId="77777777" w:rsidR="006F76EB" w:rsidRPr="00834D52" w:rsidRDefault="006F76EB" w:rsidP="003B78AE">
            <w:pPr>
              <w:spacing w:after="120" w:line="240" w:lineRule="auto"/>
              <w:ind w:right="-6"/>
              <w:rPr>
                <w:rFonts w:ascii="Sylfaen" w:hAnsi="Sylfaen"/>
                <w:sz w:val="24"/>
                <w:szCs w:val="24"/>
              </w:rPr>
            </w:pPr>
          </w:p>
        </w:tc>
      </w:tr>
    </w:tbl>
    <w:p w14:paraId="4218B984" w14:textId="2636C60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տրամադրվել է պատվաստանյութային հակածնի մաստեր-ֆայլի </w:t>
      </w:r>
      <w:r w:rsidRPr="00834D52">
        <w:rPr>
          <w:rFonts w:ascii="Sylfaen" w:hAnsi="Sylfaen"/>
          <w:sz w:val="24"/>
          <w:szCs w:val="24"/>
        </w:rPr>
        <w:lastRenderedPageBreak/>
        <w:t xml:space="preserve">(այսուհետ՝ ՊՀՄՖ) սերտիֆիկատ, որն օգտագործվում է այս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C3E5146" w14:textId="77777777" w:rsidTr="00F71229">
        <w:trPr>
          <w:jc w:val="center"/>
        </w:trPr>
        <w:tc>
          <w:tcPr>
            <w:tcW w:w="1560" w:type="dxa"/>
          </w:tcPr>
          <w:p w14:paraId="4991D2AC"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F25956B">
                <v:rect id="_x0000_s1144" style="position:absolute;left:0;text-align:left;margin-left:8.25pt;margin-top:4.05pt;width:12.75pt;height:12pt;z-index:251593216"/>
              </w:pict>
            </w:r>
            <w:r w:rsidR="006F76EB" w:rsidRPr="00834D52">
              <w:rPr>
                <w:rFonts w:ascii="Sylfaen" w:hAnsi="Sylfaen"/>
                <w:sz w:val="24"/>
                <w:szCs w:val="24"/>
              </w:rPr>
              <w:t>ոչ</w:t>
            </w:r>
          </w:p>
        </w:tc>
        <w:tc>
          <w:tcPr>
            <w:tcW w:w="1559" w:type="dxa"/>
          </w:tcPr>
          <w:p w14:paraId="7A4BE287"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FE20B94">
                <v:rect id="_x0000_s1145" style="position:absolute;left:0;text-align:left;margin-left:.5pt;margin-top:4.05pt;width:12.75pt;height:12pt;z-index:251594240;mso-position-horizontal-relative:text;mso-position-vertical-relative:text"/>
              </w:pict>
            </w:r>
            <w:r w:rsidR="006F76EB" w:rsidRPr="00834D52">
              <w:rPr>
                <w:rFonts w:ascii="Sylfaen" w:hAnsi="Sylfaen"/>
                <w:sz w:val="24"/>
                <w:szCs w:val="24"/>
              </w:rPr>
              <w:t>այո</w:t>
            </w:r>
          </w:p>
        </w:tc>
      </w:tr>
    </w:tbl>
    <w:p w14:paraId="0DC0CA91"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3" w:type="dxa"/>
        <w:jc w:val="center"/>
        <w:tblLayout w:type="fixed"/>
        <w:tblCellMar>
          <w:left w:w="0" w:type="dxa"/>
          <w:right w:w="0" w:type="dxa"/>
        </w:tblCellMar>
        <w:tblLook w:val="01E0" w:firstRow="1" w:lastRow="1" w:firstColumn="1" w:lastColumn="1" w:noHBand="0" w:noVBand="0"/>
      </w:tblPr>
      <w:tblGrid>
        <w:gridCol w:w="5112"/>
        <w:gridCol w:w="4541"/>
      </w:tblGrid>
      <w:tr w:rsidR="006F76EB" w:rsidRPr="00834D52" w14:paraId="4A3049FB"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827D1E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41" w:type="dxa"/>
            <w:tcBorders>
              <w:top w:val="single" w:sz="4" w:space="0" w:color="000000"/>
              <w:left w:val="single" w:sz="4" w:space="0" w:color="000000"/>
              <w:bottom w:val="single" w:sz="4" w:space="0" w:color="000000"/>
              <w:right w:val="single" w:sz="4" w:space="0" w:color="000000"/>
            </w:tcBorders>
          </w:tcPr>
          <w:p w14:paraId="6AAB56DD" w14:textId="77777777" w:rsidR="006F76EB" w:rsidRPr="00834D52" w:rsidRDefault="006F76EB" w:rsidP="00815B19">
            <w:pPr>
              <w:spacing w:after="120" w:line="240" w:lineRule="auto"/>
              <w:ind w:right="-6"/>
              <w:rPr>
                <w:rFonts w:ascii="Sylfaen" w:hAnsi="Sylfaen"/>
                <w:sz w:val="24"/>
                <w:szCs w:val="24"/>
              </w:rPr>
            </w:pPr>
          </w:p>
        </w:tc>
      </w:tr>
      <w:tr w:rsidR="006F76EB" w:rsidRPr="00834D52" w14:paraId="79C64FF4" w14:textId="77777777" w:rsidTr="00815B19">
        <w:trPr>
          <w:trHeight w:val="1176"/>
          <w:jc w:val="center"/>
        </w:trPr>
        <w:tc>
          <w:tcPr>
            <w:tcW w:w="5112" w:type="dxa"/>
            <w:tcBorders>
              <w:top w:val="single" w:sz="4" w:space="0" w:color="000000"/>
              <w:left w:val="single" w:sz="4" w:space="0" w:color="000000"/>
              <w:bottom w:val="single" w:sz="4" w:space="0" w:color="000000"/>
              <w:right w:val="single" w:sz="4" w:space="0" w:color="000000"/>
            </w:tcBorders>
          </w:tcPr>
          <w:p w14:paraId="3992F90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պատվաստանյութային հակածնի արտադրողի (ՊՀՄՖ-ի սերտիֆիկատին տիրապետողի) անվանումը</w:t>
            </w:r>
          </w:p>
        </w:tc>
        <w:tc>
          <w:tcPr>
            <w:tcW w:w="4541" w:type="dxa"/>
            <w:tcBorders>
              <w:top w:val="single" w:sz="4" w:space="0" w:color="000000"/>
              <w:left w:val="single" w:sz="4" w:space="0" w:color="000000"/>
              <w:bottom w:val="single" w:sz="4" w:space="0" w:color="000000"/>
              <w:right w:val="single" w:sz="4" w:space="0" w:color="000000"/>
            </w:tcBorders>
          </w:tcPr>
          <w:p w14:paraId="5668490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D9D3A4E" w14:textId="77777777" w:rsidTr="00815B19">
        <w:trPr>
          <w:trHeight w:val="485"/>
          <w:jc w:val="center"/>
        </w:trPr>
        <w:tc>
          <w:tcPr>
            <w:tcW w:w="5112" w:type="dxa"/>
            <w:tcBorders>
              <w:top w:val="single" w:sz="4" w:space="0" w:color="000000"/>
              <w:left w:val="single" w:sz="4" w:space="0" w:color="000000"/>
              <w:bottom w:val="single" w:sz="4" w:space="0" w:color="000000"/>
              <w:right w:val="single" w:sz="4" w:space="0" w:color="000000"/>
            </w:tcBorders>
          </w:tcPr>
          <w:p w14:paraId="47F64F9B" w14:textId="24402D0D" w:rsidR="006F76EB" w:rsidRPr="00834D52" w:rsidRDefault="0056496B" w:rsidP="00815B19">
            <w:pPr>
              <w:spacing w:after="120" w:line="240" w:lineRule="auto"/>
              <w:ind w:left="180"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4541" w:type="dxa"/>
            <w:tcBorders>
              <w:top w:val="single" w:sz="4" w:space="0" w:color="000000"/>
              <w:left w:val="single" w:sz="4" w:space="0" w:color="000000"/>
              <w:bottom w:val="single" w:sz="4" w:space="0" w:color="000000"/>
              <w:right w:val="single" w:sz="4" w:space="0" w:color="000000"/>
            </w:tcBorders>
          </w:tcPr>
          <w:p w14:paraId="4F58D2D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31B26C49" w14:textId="77777777" w:rsidTr="00815B19">
        <w:trPr>
          <w:trHeight w:val="821"/>
          <w:jc w:val="center"/>
        </w:trPr>
        <w:tc>
          <w:tcPr>
            <w:tcW w:w="5112" w:type="dxa"/>
            <w:tcBorders>
              <w:top w:val="single" w:sz="4" w:space="0" w:color="000000"/>
              <w:left w:val="single" w:sz="4" w:space="0" w:color="000000"/>
              <w:bottom w:val="single" w:sz="4" w:space="0" w:color="000000"/>
              <w:right w:val="single" w:sz="4" w:space="0" w:color="000000"/>
            </w:tcBorders>
          </w:tcPr>
          <w:p w14:paraId="33D27EA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41" w:type="dxa"/>
            <w:tcBorders>
              <w:top w:val="single" w:sz="4" w:space="0" w:color="000000"/>
              <w:left w:val="single" w:sz="4" w:space="0" w:color="000000"/>
              <w:bottom w:val="single" w:sz="4" w:space="0" w:color="000000"/>
              <w:right w:val="single" w:sz="4" w:space="0" w:color="000000"/>
            </w:tcBorders>
          </w:tcPr>
          <w:p w14:paraId="2D51AEFA"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83A9D87" w14:textId="77777777" w:rsidTr="00815B19">
        <w:trPr>
          <w:trHeight w:val="839"/>
          <w:jc w:val="center"/>
        </w:trPr>
        <w:tc>
          <w:tcPr>
            <w:tcW w:w="5112" w:type="dxa"/>
            <w:tcBorders>
              <w:top w:val="single" w:sz="4" w:space="0" w:color="000000"/>
              <w:left w:val="single" w:sz="4" w:space="0" w:color="000000"/>
              <w:bottom w:val="single" w:sz="4" w:space="0" w:color="000000"/>
              <w:right w:val="single" w:sz="4" w:space="0" w:color="000000"/>
            </w:tcBorders>
          </w:tcPr>
          <w:p w14:paraId="24F1009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41" w:type="dxa"/>
            <w:tcBorders>
              <w:top w:val="single" w:sz="4" w:space="0" w:color="000000"/>
              <w:left w:val="single" w:sz="4" w:space="0" w:color="000000"/>
              <w:bottom w:val="single" w:sz="4" w:space="0" w:color="000000"/>
              <w:right w:val="single" w:sz="4" w:space="0" w:color="000000"/>
            </w:tcBorders>
          </w:tcPr>
          <w:p w14:paraId="4CB0730D" w14:textId="77777777" w:rsidR="006F76EB" w:rsidRPr="00834D52" w:rsidRDefault="006F76EB" w:rsidP="00815B19">
            <w:pPr>
              <w:spacing w:after="120" w:line="240" w:lineRule="auto"/>
              <w:ind w:right="-6"/>
              <w:rPr>
                <w:rFonts w:ascii="Sylfaen" w:hAnsi="Sylfaen"/>
                <w:sz w:val="24"/>
                <w:szCs w:val="24"/>
              </w:rPr>
            </w:pPr>
          </w:p>
        </w:tc>
      </w:tr>
    </w:tbl>
    <w:p w14:paraId="6BBA1BC8"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2.5.6.</w:t>
      </w:r>
      <w:r w:rsidRPr="00834D52">
        <w:rPr>
          <w:rFonts w:ascii="Sylfaen" w:hAnsi="Sylfaen"/>
          <w:sz w:val="24"/>
          <w:szCs w:val="24"/>
        </w:rPr>
        <w:tab/>
        <w:t xml:space="preserve">Կենսամատչելիությունը </w:t>
      </w:r>
      <w:r w:rsidR="00C54D75">
        <w:rPr>
          <w:rFonts w:ascii="Sylfaen" w:hAnsi="Sylfaen"/>
          <w:sz w:val="24"/>
          <w:szCs w:val="24"/>
        </w:rPr>
        <w:t>և</w:t>
      </w:r>
      <w:r w:rsidRPr="00834D52">
        <w:rPr>
          <w:rFonts w:ascii="Sylfaen" w:hAnsi="Sylfaen"/>
          <w:sz w:val="24"/>
          <w:szCs w:val="24"/>
        </w:rPr>
        <w:t xml:space="preserve"> (կամ) կենսահամարժեքությունը որոշելու համար կլինիկական հետազոտության մեջ ներգրավվող պայմանագրային հետազոտական կազմակերպությունները, կամ որոնք ներգրավվել են արյան պատրաստուկների արտադրության գործընթացների վալիդացման համար</w:t>
      </w:r>
    </w:p>
    <w:p w14:paraId="5DC8BC65"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703" w:type="dxa"/>
        <w:jc w:val="center"/>
        <w:tblLayout w:type="fixed"/>
        <w:tblCellMar>
          <w:left w:w="0" w:type="dxa"/>
          <w:right w:w="0" w:type="dxa"/>
        </w:tblCellMar>
        <w:tblLook w:val="01E0" w:firstRow="1" w:lastRow="1" w:firstColumn="1" w:lastColumn="1" w:noHBand="0" w:noVBand="0"/>
      </w:tblPr>
      <w:tblGrid>
        <w:gridCol w:w="5177"/>
        <w:gridCol w:w="4526"/>
      </w:tblGrid>
      <w:tr w:rsidR="006F76EB" w:rsidRPr="00834D52" w14:paraId="7581E7CD"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78F0488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351B5B1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4215B0F"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3A6A600"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526" w:type="dxa"/>
            <w:tcBorders>
              <w:top w:val="single" w:sz="4" w:space="0" w:color="000000"/>
              <w:left w:val="single" w:sz="4" w:space="0" w:color="000000"/>
              <w:bottom w:val="single" w:sz="4" w:space="0" w:color="000000"/>
              <w:right w:val="single" w:sz="4" w:space="0" w:color="000000"/>
            </w:tcBorders>
          </w:tcPr>
          <w:p w14:paraId="7B3B11A8"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99B24C9" w14:textId="77777777" w:rsidTr="005A3BE2">
        <w:trPr>
          <w:trHeight w:val="439"/>
          <w:jc w:val="center"/>
        </w:trPr>
        <w:tc>
          <w:tcPr>
            <w:tcW w:w="5177" w:type="dxa"/>
            <w:tcBorders>
              <w:top w:val="single" w:sz="4" w:space="0" w:color="000000"/>
              <w:left w:val="single" w:sz="4" w:space="0" w:color="000000"/>
              <w:bottom w:val="single" w:sz="4" w:space="0" w:color="000000"/>
              <w:right w:val="single" w:sz="4" w:space="0" w:color="000000"/>
            </w:tcBorders>
          </w:tcPr>
          <w:p w14:paraId="2EAF2033"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F72FE86" w14:textId="77777777" w:rsidR="006F76EB" w:rsidRPr="00834D52" w:rsidRDefault="006F76EB" w:rsidP="00815B19">
            <w:pPr>
              <w:spacing w:after="120" w:line="240" w:lineRule="auto"/>
              <w:ind w:right="-6"/>
              <w:rPr>
                <w:rFonts w:ascii="Sylfaen" w:hAnsi="Sylfaen"/>
                <w:sz w:val="24"/>
                <w:szCs w:val="24"/>
              </w:rPr>
            </w:pPr>
          </w:p>
        </w:tc>
      </w:tr>
      <w:tr w:rsidR="006F76EB" w:rsidRPr="00834D52" w14:paraId="58425F9E"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5FDEFF25"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08EF1D44" w14:textId="77777777" w:rsidR="006F76EB" w:rsidRPr="00834D52" w:rsidRDefault="006F76EB" w:rsidP="00815B19">
            <w:pPr>
              <w:spacing w:after="120" w:line="240" w:lineRule="auto"/>
              <w:ind w:right="-6"/>
              <w:rPr>
                <w:rFonts w:ascii="Sylfaen" w:hAnsi="Sylfaen"/>
                <w:sz w:val="24"/>
                <w:szCs w:val="24"/>
              </w:rPr>
            </w:pPr>
          </w:p>
        </w:tc>
      </w:tr>
      <w:tr w:rsidR="006F76EB" w:rsidRPr="00834D52" w14:paraId="44BA98CC"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055B06CB"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526" w:type="dxa"/>
            <w:tcBorders>
              <w:top w:val="single" w:sz="4" w:space="0" w:color="000000"/>
              <w:left w:val="single" w:sz="4" w:space="0" w:color="000000"/>
              <w:bottom w:val="single" w:sz="4" w:space="0" w:color="000000"/>
              <w:right w:val="single" w:sz="4" w:space="0" w:color="000000"/>
            </w:tcBorders>
          </w:tcPr>
          <w:p w14:paraId="10205DC9"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E3F35C9" w14:textId="77777777" w:rsidTr="005A3BE2">
        <w:trPr>
          <w:trHeight w:val="772"/>
          <w:jc w:val="center"/>
        </w:trPr>
        <w:tc>
          <w:tcPr>
            <w:tcW w:w="5177" w:type="dxa"/>
            <w:tcBorders>
              <w:top w:val="single" w:sz="4" w:space="0" w:color="000000"/>
              <w:left w:val="single" w:sz="4" w:space="0" w:color="000000"/>
              <w:bottom w:val="single" w:sz="4" w:space="0" w:color="000000"/>
              <w:right w:val="single" w:sz="4" w:space="0" w:color="000000"/>
            </w:tcBorders>
          </w:tcPr>
          <w:p w14:paraId="4584AD77"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526" w:type="dxa"/>
            <w:tcBorders>
              <w:top w:val="single" w:sz="4" w:space="0" w:color="000000"/>
              <w:left w:val="single" w:sz="4" w:space="0" w:color="000000"/>
              <w:bottom w:val="single" w:sz="4" w:space="0" w:color="000000"/>
              <w:right w:val="single" w:sz="4" w:space="0" w:color="000000"/>
            </w:tcBorders>
          </w:tcPr>
          <w:p w14:paraId="0DFF8287" w14:textId="77777777" w:rsidR="006F76EB" w:rsidRPr="00834D52" w:rsidRDefault="006F76EB" w:rsidP="00815B19">
            <w:pPr>
              <w:spacing w:after="120" w:line="240" w:lineRule="auto"/>
              <w:ind w:right="-6"/>
              <w:rPr>
                <w:rFonts w:ascii="Sylfaen" w:hAnsi="Sylfaen"/>
                <w:sz w:val="24"/>
                <w:szCs w:val="24"/>
              </w:rPr>
            </w:pPr>
          </w:p>
        </w:tc>
      </w:tr>
      <w:tr w:rsidR="006F76EB" w:rsidRPr="00834D52" w14:paraId="2E73623D" w14:textId="77777777" w:rsidTr="005A3BE2">
        <w:trPr>
          <w:trHeight w:val="789"/>
          <w:jc w:val="center"/>
        </w:trPr>
        <w:tc>
          <w:tcPr>
            <w:tcW w:w="5177" w:type="dxa"/>
            <w:tcBorders>
              <w:top w:val="single" w:sz="4" w:space="0" w:color="000000"/>
              <w:left w:val="single" w:sz="4" w:space="0" w:color="000000"/>
              <w:bottom w:val="single" w:sz="4" w:space="0" w:color="000000"/>
              <w:right w:val="single" w:sz="4" w:space="0" w:color="000000"/>
            </w:tcBorders>
          </w:tcPr>
          <w:p w14:paraId="79FF1118"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 xml:space="preserve">հեռախոսի </w:t>
            </w:r>
            <w:r w:rsidR="00C54D75">
              <w:rPr>
                <w:rFonts w:ascii="Sylfaen" w:hAnsi="Sylfaen"/>
                <w:sz w:val="24"/>
                <w:szCs w:val="24"/>
              </w:rPr>
              <w:t>և</w:t>
            </w:r>
            <w:r w:rsidRPr="00834D52">
              <w:rPr>
                <w:rFonts w:ascii="Sylfaen" w:hAnsi="Sylfaen"/>
                <w:sz w:val="24"/>
                <w:szCs w:val="24"/>
              </w:rPr>
              <w:t xml:space="preserve"> ֆաքսի համարները (առկայության դեպքում)</w:t>
            </w:r>
          </w:p>
        </w:tc>
        <w:tc>
          <w:tcPr>
            <w:tcW w:w="4526" w:type="dxa"/>
            <w:tcBorders>
              <w:top w:val="single" w:sz="4" w:space="0" w:color="000000"/>
              <w:left w:val="single" w:sz="4" w:space="0" w:color="000000"/>
              <w:bottom w:val="single" w:sz="4" w:space="0" w:color="000000"/>
              <w:right w:val="single" w:sz="4" w:space="0" w:color="000000"/>
            </w:tcBorders>
          </w:tcPr>
          <w:p w14:paraId="493FC4F2" w14:textId="77777777" w:rsidR="006F76EB" w:rsidRPr="00834D52" w:rsidRDefault="006F76EB" w:rsidP="00815B19">
            <w:pPr>
              <w:spacing w:after="120" w:line="240" w:lineRule="auto"/>
              <w:ind w:right="-6"/>
              <w:rPr>
                <w:rFonts w:ascii="Sylfaen" w:hAnsi="Sylfaen"/>
                <w:sz w:val="24"/>
                <w:szCs w:val="24"/>
              </w:rPr>
            </w:pPr>
          </w:p>
        </w:tc>
      </w:tr>
      <w:tr w:rsidR="006F76EB" w:rsidRPr="00834D52" w14:paraId="19F488FB" w14:textId="77777777" w:rsidTr="005A3BE2">
        <w:trPr>
          <w:trHeight w:val="456"/>
          <w:jc w:val="center"/>
        </w:trPr>
        <w:tc>
          <w:tcPr>
            <w:tcW w:w="5177" w:type="dxa"/>
            <w:tcBorders>
              <w:top w:val="single" w:sz="4" w:space="0" w:color="000000"/>
              <w:left w:val="single" w:sz="4" w:space="0" w:color="000000"/>
              <w:bottom w:val="single" w:sz="4" w:space="0" w:color="000000"/>
              <w:right w:val="single" w:sz="4" w:space="0" w:color="000000"/>
            </w:tcBorders>
          </w:tcPr>
          <w:p w14:paraId="1B8C8E56" w14:textId="77777777" w:rsidR="006F76EB" w:rsidRPr="00834D52" w:rsidRDefault="006F76EB" w:rsidP="00815B19">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6" w:type="dxa"/>
            <w:tcBorders>
              <w:top w:val="single" w:sz="4" w:space="0" w:color="000000"/>
              <w:left w:val="single" w:sz="4" w:space="0" w:color="000000"/>
              <w:bottom w:val="single" w:sz="4" w:space="0" w:color="000000"/>
              <w:right w:val="single" w:sz="4" w:space="0" w:color="000000"/>
            </w:tcBorders>
          </w:tcPr>
          <w:p w14:paraId="7A3D3A5A" w14:textId="77777777" w:rsidR="006F76EB" w:rsidRPr="00834D52" w:rsidRDefault="006F76EB" w:rsidP="00815B19">
            <w:pPr>
              <w:spacing w:after="120" w:line="240" w:lineRule="auto"/>
              <w:ind w:right="-6"/>
              <w:rPr>
                <w:rFonts w:ascii="Sylfaen" w:hAnsi="Sylfaen"/>
                <w:sz w:val="24"/>
                <w:szCs w:val="24"/>
              </w:rPr>
            </w:pPr>
          </w:p>
        </w:tc>
      </w:tr>
    </w:tbl>
    <w:p w14:paraId="5537C971" w14:textId="77777777" w:rsidR="006F76EB" w:rsidRPr="00834D52" w:rsidRDefault="006F76EB" w:rsidP="00E13489">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5837E019"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2.6.1.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(ԱԴՆ-ն </w:t>
      </w:r>
      <w:r w:rsidR="00C54D75">
        <w:rPr>
          <w:rFonts w:ascii="Sylfaen" w:hAnsi="Sylfaen"/>
          <w:sz w:val="24"/>
          <w:szCs w:val="24"/>
        </w:rPr>
        <w:t>և</w:t>
      </w:r>
      <w:r w:rsidRPr="00834D52">
        <w:rPr>
          <w:rFonts w:ascii="Sylfaen" w:hAnsi="Sylfaen"/>
          <w:sz w:val="24"/>
          <w:szCs w:val="24"/>
        </w:rPr>
        <w:t xml:space="preserve"> օժանդակ նյութերը)</w:t>
      </w:r>
    </w:p>
    <w:p w14:paraId="729CF612"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միավորով է բաղադրությունը (դոզավորված ձ</w:t>
      </w:r>
      <w:r w:rsidR="00C54D75">
        <w:rPr>
          <w:rFonts w:ascii="Sylfaen" w:hAnsi="Sylfaen"/>
          <w:sz w:val="24"/>
          <w:szCs w:val="24"/>
        </w:rPr>
        <w:t>և</w:t>
      </w:r>
      <w:r w:rsidRPr="00834D52">
        <w:rPr>
          <w:rFonts w:ascii="Sylfaen" w:hAnsi="Sylfaen"/>
          <w:sz w:val="24"/>
          <w:szCs w:val="24"/>
        </w:rPr>
        <w:t>ի, ծավալի, զանգվածի թե այլ միավորով):</w:t>
      </w:r>
    </w:p>
    <w:p w14:paraId="0A990C53" w14:textId="77777777" w:rsidR="006F76EB" w:rsidRPr="00834D52" w:rsidRDefault="006F76EB" w:rsidP="00E13489">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10603" w:type="dxa"/>
        <w:jc w:val="center"/>
        <w:tblLayout w:type="fixed"/>
        <w:tblCellMar>
          <w:left w:w="0" w:type="dxa"/>
          <w:right w:w="0" w:type="dxa"/>
        </w:tblCellMar>
        <w:tblLook w:val="01E0" w:firstRow="1" w:lastRow="1" w:firstColumn="1" w:lastColumn="1" w:noHBand="0" w:noVBand="0"/>
      </w:tblPr>
      <w:tblGrid>
        <w:gridCol w:w="908"/>
        <w:gridCol w:w="2553"/>
        <w:gridCol w:w="3399"/>
        <w:gridCol w:w="1418"/>
        <w:gridCol w:w="2325"/>
      </w:tblGrid>
      <w:tr w:rsidR="006F76EB" w:rsidRPr="00834D52" w14:paraId="3D942B94"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2C7A8254"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2E69080"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1242835A" w14:textId="77777777" w:rsidR="006F76EB" w:rsidRPr="00834D52" w:rsidRDefault="006F76EB" w:rsidP="00F71229">
            <w:pPr>
              <w:spacing w:after="120" w:line="240" w:lineRule="auto"/>
              <w:ind w:right="-3"/>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1CB5C91F"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04F1714C"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r w:rsidR="006F76EB" w:rsidRPr="00834D52" w14:paraId="59B837EF" w14:textId="77777777" w:rsidTr="00F71229">
        <w:trPr>
          <w:jc w:val="center"/>
        </w:trPr>
        <w:tc>
          <w:tcPr>
            <w:tcW w:w="908" w:type="dxa"/>
            <w:tcBorders>
              <w:top w:val="single" w:sz="4" w:space="0" w:color="000000"/>
              <w:left w:val="single" w:sz="4" w:space="0" w:color="000000"/>
              <w:bottom w:val="single" w:sz="4" w:space="0" w:color="000000"/>
              <w:right w:val="single" w:sz="4" w:space="0" w:color="000000"/>
            </w:tcBorders>
          </w:tcPr>
          <w:p w14:paraId="7858A4BA"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553" w:type="dxa"/>
            <w:tcBorders>
              <w:top w:val="single" w:sz="4" w:space="0" w:color="000000"/>
              <w:left w:val="single" w:sz="4" w:space="0" w:color="000000"/>
              <w:bottom w:val="single" w:sz="4" w:space="0" w:color="000000"/>
              <w:right w:val="single" w:sz="4" w:space="0" w:color="000000"/>
            </w:tcBorders>
            <w:vAlign w:val="center"/>
          </w:tcPr>
          <w:p w14:paraId="7BB47D3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399" w:type="dxa"/>
            <w:tcBorders>
              <w:top w:val="single" w:sz="4" w:space="0" w:color="000000"/>
              <w:left w:val="single" w:sz="4" w:space="0" w:color="000000"/>
              <w:bottom w:val="single" w:sz="4" w:space="0" w:color="000000"/>
              <w:right w:val="single" w:sz="4" w:space="0" w:color="000000"/>
            </w:tcBorders>
            <w:vAlign w:val="center"/>
          </w:tcPr>
          <w:p w14:paraId="5634746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418" w:type="dxa"/>
            <w:tcBorders>
              <w:top w:val="single" w:sz="4" w:space="0" w:color="000000"/>
              <w:left w:val="single" w:sz="4" w:space="0" w:color="000000"/>
              <w:bottom w:val="single" w:sz="4" w:space="0" w:color="000000"/>
              <w:right w:val="single" w:sz="4" w:space="0" w:color="000000"/>
            </w:tcBorders>
            <w:vAlign w:val="center"/>
          </w:tcPr>
          <w:p w14:paraId="35619F81"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2325" w:type="dxa"/>
            <w:tcBorders>
              <w:top w:val="single" w:sz="4" w:space="0" w:color="000000"/>
              <w:left w:val="single" w:sz="4" w:space="0" w:color="000000"/>
              <w:bottom w:val="single" w:sz="4" w:space="0" w:color="000000"/>
              <w:right w:val="single" w:sz="4" w:space="0" w:color="000000"/>
            </w:tcBorders>
            <w:vAlign w:val="center"/>
          </w:tcPr>
          <w:p w14:paraId="7D30F1C6" w14:textId="77777777" w:rsidR="006F76EB" w:rsidRPr="00834D52" w:rsidRDefault="006F76EB" w:rsidP="00F71229">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Հոդվածը (մենագրությունը)</w:t>
            </w:r>
          </w:p>
        </w:tc>
      </w:tr>
    </w:tbl>
    <w:p w14:paraId="0B46A12C" w14:textId="77777777" w:rsidR="006F76EB" w:rsidRPr="00834D52" w:rsidRDefault="006F76EB" w:rsidP="00E13489">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Ծանոթագրություն: Յուրաքանչյուր ԱԴԲ-ի համար անհրաժեշտ է նշել միայն մեկ անվանում հետ</w:t>
      </w:r>
      <w:r w:rsidR="00C54D75">
        <w:rPr>
          <w:rFonts w:ascii="Sylfaen" w:hAnsi="Sylfaen"/>
          <w:sz w:val="24"/>
          <w:szCs w:val="24"/>
        </w:rPr>
        <w:t>և</w:t>
      </w:r>
      <w:r w:rsidRPr="00834D52">
        <w:rPr>
          <w:rFonts w:ascii="Sylfaen" w:hAnsi="Sylfaen"/>
          <w:sz w:val="24"/>
          <w:szCs w:val="24"/>
        </w:rPr>
        <w:t>յալ հաջորդականությամբ՝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անվանումն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հայեցակարգին համապատասխան հիմնական դեղագրքերի), համընդհանուր կամ խմբային անվանումը, գիտական (քիմիական) անվանումը:</w:t>
      </w:r>
    </w:p>
    <w:p w14:paraId="2FA1C431" w14:textId="77777777" w:rsidR="006F76EB" w:rsidRPr="00834D52" w:rsidRDefault="006F76EB" w:rsidP="00E13489">
      <w:pPr>
        <w:spacing w:after="160" w:line="336" w:lineRule="auto"/>
        <w:ind w:right="-6" w:firstLine="567"/>
        <w:jc w:val="both"/>
        <w:rPr>
          <w:rFonts w:ascii="Sylfaen" w:hAnsi="Sylfaen"/>
          <w:sz w:val="24"/>
          <w:szCs w:val="24"/>
        </w:rPr>
      </w:pPr>
      <w:r w:rsidRPr="00834D52">
        <w:rPr>
          <w:rFonts w:ascii="Sylfaen" w:hAnsi="Sylfaen"/>
          <w:sz w:val="24"/>
          <w:szCs w:val="24"/>
        </w:rPr>
        <w:footnoteReference w:customMarkFollows="1" w:id="3"/>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636" w:type="dxa"/>
        <w:tblInd w:w="109" w:type="dxa"/>
        <w:tblLayout w:type="fixed"/>
        <w:tblCellMar>
          <w:left w:w="0" w:type="dxa"/>
          <w:right w:w="0" w:type="dxa"/>
        </w:tblCellMar>
        <w:tblLook w:val="01E0" w:firstRow="1" w:lastRow="1" w:firstColumn="1" w:lastColumn="1" w:noHBand="0" w:noVBand="0"/>
      </w:tblPr>
      <w:tblGrid>
        <w:gridCol w:w="5141"/>
        <w:gridCol w:w="4495"/>
      </w:tblGrid>
      <w:tr w:rsidR="006F76EB" w:rsidRPr="00834D52" w14:paraId="2E367A59"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6BF04FE9"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բաղադրամասերը</w:t>
            </w:r>
          </w:p>
        </w:tc>
        <w:tc>
          <w:tcPr>
            <w:tcW w:w="4495" w:type="dxa"/>
            <w:tcBorders>
              <w:top w:val="single" w:sz="4" w:space="0" w:color="000000"/>
              <w:left w:val="single" w:sz="4" w:space="0" w:color="000000"/>
              <w:bottom w:val="single" w:sz="4" w:space="0" w:color="000000"/>
              <w:right w:val="single" w:sz="4" w:space="0" w:color="000000"/>
            </w:tcBorders>
          </w:tcPr>
          <w:p w14:paraId="7D367BC0" w14:textId="77777777" w:rsidR="006F76EB" w:rsidRPr="00834D52" w:rsidRDefault="006F76EB" w:rsidP="005A3BE2">
            <w:pPr>
              <w:spacing w:after="120" w:line="240" w:lineRule="auto"/>
              <w:ind w:right="-6"/>
              <w:rPr>
                <w:rFonts w:ascii="Sylfaen" w:hAnsi="Sylfaen"/>
                <w:sz w:val="24"/>
                <w:szCs w:val="24"/>
              </w:rPr>
            </w:pPr>
          </w:p>
        </w:tc>
      </w:tr>
      <w:tr w:rsidR="006F76EB" w:rsidRPr="00834D52" w14:paraId="79751D01"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B007D13" w14:textId="77777777" w:rsidR="006F76EB" w:rsidRPr="00834D52" w:rsidRDefault="006F76EB" w:rsidP="005A3BE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495" w:type="dxa"/>
            <w:tcBorders>
              <w:top w:val="single" w:sz="4" w:space="0" w:color="000000"/>
              <w:left w:val="single" w:sz="4" w:space="0" w:color="000000"/>
              <w:bottom w:val="single" w:sz="4" w:space="0" w:color="000000"/>
              <w:right w:val="single" w:sz="4" w:space="0" w:color="000000"/>
            </w:tcBorders>
          </w:tcPr>
          <w:p w14:paraId="5CCB2C73" w14:textId="77777777" w:rsidR="006F76EB" w:rsidRPr="00834D52" w:rsidRDefault="006F76EB" w:rsidP="005A3BE2">
            <w:pPr>
              <w:spacing w:after="120" w:line="240" w:lineRule="auto"/>
              <w:ind w:right="-6"/>
              <w:rPr>
                <w:rFonts w:ascii="Sylfaen" w:hAnsi="Sylfaen"/>
                <w:sz w:val="24"/>
                <w:szCs w:val="24"/>
              </w:rPr>
            </w:pPr>
          </w:p>
        </w:tc>
      </w:tr>
    </w:tbl>
    <w:p w14:paraId="1CE6986A"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 որոնք </w:t>
      </w:r>
      <w:r w:rsidRPr="00834D52">
        <w:rPr>
          <w:rFonts w:ascii="Sylfaen" w:hAnsi="Sylfaen"/>
          <w:sz w:val="24"/>
          <w:szCs w:val="24"/>
        </w:rPr>
        <w:lastRenderedPageBreak/>
        <w:t>դեղապատրաստուկի բաղադրության մաս են կազմում կամ օգտագործվում են դրա արտադրության գործընթացում</w:t>
      </w:r>
    </w:p>
    <w:p w14:paraId="5571E775"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DE30136">
          <v:rect id="_x0000_s1085" style="position:absolute;left:0;text-align:left;margin-left:188.6pt;margin-top:2.1pt;width:12.75pt;height:12pt;z-index:251595264"/>
        </w:pict>
      </w:r>
      <w:r w:rsidR="006F76EB" w:rsidRPr="00834D52">
        <w:rPr>
          <w:rFonts w:ascii="Sylfaen" w:hAnsi="Sylfaen" w:cs="Sylfaen"/>
          <w:sz w:val="24"/>
          <w:szCs w:val="24"/>
        </w:rPr>
        <w:t>չկան</w:t>
      </w:r>
    </w:p>
    <w:tbl>
      <w:tblPr>
        <w:tblW w:w="11059" w:type="dxa"/>
        <w:jc w:val="center"/>
        <w:tblLayout w:type="fixed"/>
        <w:tblCellMar>
          <w:left w:w="0" w:type="dxa"/>
          <w:right w:w="0" w:type="dxa"/>
        </w:tblCellMar>
        <w:tblLook w:val="01E0" w:firstRow="1" w:lastRow="1" w:firstColumn="1" w:lastColumn="1" w:noHBand="0" w:noVBand="0"/>
      </w:tblPr>
      <w:tblGrid>
        <w:gridCol w:w="1372"/>
        <w:gridCol w:w="832"/>
        <w:gridCol w:w="733"/>
        <w:gridCol w:w="733"/>
        <w:gridCol w:w="1777"/>
        <w:gridCol w:w="1508"/>
        <w:gridCol w:w="1382"/>
        <w:gridCol w:w="2722"/>
      </w:tblGrid>
      <w:tr w:rsidR="003B78AE" w:rsidRPr="00834D52" w14:paraId="44197D5E" w14:textId="77777777" w:rsidTr="003B78AE">
        <w:trPr>
          <w:trHeight w:val="1913"/>
          <w:jc w:val="center"/>
        </w:trPr>
        <w:tc>
          <w:tcPr>
            <w:tcW w:w="1372" w:type="dxa"/>
            <w:tcBorders>
              <w:top w:val="single" w:sz="4" w:space="0" w:color="000000"/>
              <w:left w:val="single" w:sz="4" w:space="0" w:color="000000"/>
              <w:bottom w:val="single" w:sz="4" w:space="0" w:color="000000"/>
              <w:right w:val="single" w:sz="4" w:space="0" w:color="000000"/>
            </w:tcBorders>
          </w:tcPr>
          <w:p w14:paraId="0DC96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Անվանումը</w:t>
            </w:r>
          </w:p>
        </w:tc>
        <w:tc>
          <w:tcPr>
            <w:tcW w:w="2298" w:type="dxa"/>
            <w:gridSpan w:val="3"/>
            <w:tcBorders>
              <w:top w:val="single" w:sz="4" w:space="0" w:color="000000"/>
              <w:left w:val="single" w:sz="4" w:space="0" w:color="000000"/>
              <w:bottom w:val="single" w:sz="4" w:space="0" w:color="000000"/>
              <w:right w:val="single" w:sz="4" w:space="0" w:color="000000"/>
            </w:tcBorders>
          </w:tcPr>
          <w:p w14:paraId="01C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Գործառույթը</w:t>
            </w:r>
          </w:p>
        </w:tc>
        <w:tc>
          <w:tcPr>
            <w:tcW w:w="1777" w:type="dxa"/>
            <w:tcBorders>
              <w:top w:val="single" w:sz="4" w:space="0" w:color="000000"/>
              <w:left w:val="single" w:sz="4" w:space="0" w:color="000000"/>
              <w:bottom w:val="single" w:sz="4" w:space="0" w:color="000000"/>
              <w:right w:val="single" w:sz="4" w:space="0" w:color="000000"/>
            </w:tcBorders>
          </w:tcPr>
          <w:p w14:paraId="6261A6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ՏՍԷ-ի նկատմամբ զգայուն կենդանիներից</w:t>
            </w:r>
            <w:r w:rsidRPr="00834D52">
              <w:rPr>
                <w:rStyle w:val="FootnoteReference"/>
                <w:rFonts w:ascii="Sylfaen" w:hAnsi="Sylfaen"/>
                <w:sz w:val="24"/>
                <w:szCs w:val="24"/>
              </w:rPr>
              <w:footnoteReference w:id="4"/>
            </w:r>
          </w:p>
        </w:tc>
        <w:tc>
          <w:tcPr>
            <w:tcW w:w="1508" w:type="dxa"/>
            <w:tcBorders>
              <w:top w:val="single" w:sz="4" w:space="0" w:color="000000"/>
              <w:left w:val="single" w:sz="4" w:space="0" w:color="000000"/>
              <w:bottom w:val="single" w:sz="4" w:space="0" w:color="000000"/>
              <w:right w:val="single" w:sz="4" w:space="0" w:color="000000"/>
            </w:tcBorders>
          </w:tcPr>
          <w:p w14:paraId="573BE6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Այլ կենդանիներ</w:t>
            </w:r>
          </w:p>
        </w:tc>
        <w:tc>
          <w:tcPr>
            <w:tcW w:w="1382" w:type="dxa"/>
            <w:tcBorders>
              <w:top w:val="single" w:sz="4" w:space="0" w:color="000000"/>
              <w:left w:val="single" w:sz="4" w:space="0" w:color="000000"/>
              <w:bottom w:val="single" w:sz="4" w:space="0" w:color="000000"/>
              <w:right w:val="single" w:sz="4" w:space="0" w:color="000000"/>
            </w:tcBorders>
          </w:tcPr>
          <w:p w14:paraId="3015AA7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Մարդկային ծագման</w:t>
            </w:r>
          </w:p>
        </w:tc>
        <w:tc>
          <w:tcPr>
            <w:tcW w:w="2722" w:type="dxa"/>
            <w:tcBorders>
              <w:top w:val="single" w:sz="4" w:space="0" w:color="000000"/>
              <w:left w:val="single" w:sz="4" w:space="0" w:color="000000"/>
              <w:bottom w:val="single" w:sz="4" w:space="0" w:color="000000"/>
              <w:right w:val="single" w:sz="4" w:space="0" w:color="000000"/>
            </w:tcBorders>
          </w:tcPr>
          <w:p w14:paraId="4A3A92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դեղագրքի համապատաս-խանության սերտիֆիկատի համարը</w:t>
            </w:r>
            <w:r w:rsidRPr="00834D52">
              <w:rPr>
                <w:rFonts w:ascii="Sylfaen" w:hAnsi="Sylfaen"/>
                <w:sz w:val="24"/>
                <w:szCs w:val="24"/>
              </w:rPr>
              <w:br/>
              <w:t>(առկայության դեպքում)</w:t>
            </w:r>
          </w:p>
        </w:tc>
      </w:tr>
      <w:tr w:rsidR="00D75041" w:rsidRPr="00834D52" w14:paraId="2B7189F5" w14:textId="77777777" w:rsidTr="003B78AE">
        <w:trPr>
          <w:trHeight w:val="375"/>
          <w:jc w:val="center"/>
        </w:trPr>
        <w:tc>
          <w:tcPr>
            <w:tcW w:w="1372" w:type="dxa"/>
            <w:tcBorders>
              <w:top w:val="single" w:sz="4" w:space="0" w:color="000000"/>
              <w:left w:val="single" w:sz="4" w:space="0" w:color="000000"/>
              <w:bottom w:val="single" w:sz="4" w:space="0" w:color="000000"/>
              <w:right w:val="single" w:sz="4" w:space="0" w:color="000000"/>
            </w:tcBorders>
          </w:tcPr>
          <w:p w14:paraId="20EB516C" w14:textId="77777777" w:rsidR="006F76EB" w:rsidRPr="00834D52" w:rsidRDefault="006F76EB" w:rsidP="00F71229">
            <w:pPr>
              <w:spacing w:after="120" w:line="240" w:lineRule="auto"/>
              <w:ind w:right="-8"/>
              <w:rPr>
                <w:rFonts w:ascii="Sylfaen" w:hAnsi="Sylfaen"/>
                <w:sz w:val="24"/>
                <w:szCs w:val="24"/>
              </w:rPr>
            </w:pPr>
          </w:p>
        </w:tc>
        <w:tc>
          <w:tcPr>
            <w:tcW w:w="832" w:type="dxa"/>
            <w:tcBorders>
              <w:top w:val="single" w:sz="4" w:space="0" w:color="000000"/>
              <w:left w:val="single" w:sz="4" w:space="0" w:color="000000"/>
              <w:bottom w:val="single" w:sz="4" w:space="0" w:color="000000"/>
              <w:right w:val="single" w:sz="4" w:space="0" w:color="000000"/>
            </w:tcBorders>
          </w:tcPr>
          <w:p w14:paraId="7E9F60A4"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ԱԴԲ-ն</w:t>
            </w:r>
          </w:p>
        </w:tc>
        <w:tc>
          <w:tcPr>
            <w:tcW w:w="733" w:type="dxa"/>
            <w:tcBorders>
              <w:top w:val="single" w:sz="4" w:space="0" w:color="000000"/>
              <w:left w:val="single" w:sz="4" w:space="0" w:color="000000"/>
              <w:bottom w:val="single" w:sz="4" w:space="0" w:color="000000"/>
              <w:right w:val="single" w:sz="4" w:space="0" w:color="000000"/>
            </w:tcBorders>
          </w:tcPr>
          <w:p w14:paraId="434B6D9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id="5"/>
            </w:r>
          </w:p>
        </w:tc>
        <w:tc>
          <w:tcPr>
            <w:tcW w:w="733" w:type="dxa"/>
            <w:tcBorders>
              <w:top w:val="single" w:sz="4" w:space="0" w:color="000000"/>
              <w:left w:val="single" w:sz="4" w:space="0" w:color="000000"/>
              <w:bottom w:val="single" w:sz="4" w:space="0" w:color="000000"/>
              <w:right w:val="single" w:sz="4" w:space="0" w:color="000000"/>
            </w:tcBorders>
          </w:tcPr>
          <w:p w14:paraId="3FB6FC10" w14:textId="77777777" w:rsidR="006F76EB" w:rsidRPr="00834D52" w:rsidRDefault="006F76EB" w:rsidP="00F71229">
            <w:pPr>
              <w:spacing w:after="120" w:line="240" w:lineRule="auto"/>
              <w:ind w:left="38" w:right="-8"/>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id="6"/>
            </w:r>
          </w:p>
        </w:tc>
        <w:tc>
          <w:tcPr>
            <w:tcW w:w="1777" w:type="dxa"/>
            <w:tcBorders>
              <w:top w:val="single" w:sz="4" w:space="0" w:color="000000"/>
              <w:left w:val="single" w:sz="4" w:space="0" w:color="000000"/>
              <w:bottom w:val="single" w:sz="4" w:space="0" w:color="000000"/>
              <w:right w:val="single" w:sz="4" w:space="0" w:color="000000"/>
            </w:tcBorders>
          </w:tcPr>
          <w:p w14:paraId="69F0C7FA"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534BDA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35D795A"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140553EE" w14:textId="77777777" w:rsidR="006F76EB" w:rsidRPr="00834D52" w:rsidRDefault="006F76EB" w:rsidP="00F71229">
            <w:pPr>
              <w:spacing w:after="120" w:line="240" w:lineRule="auto"/>
              <w:ind w:right="-8"/>
              <w:rPr>
                <w:rFonts w:ascii="Sylfaen" w:hAnsi="Sylfaen"/>
                <w:sz w:val="24"/>
                <w:szCs w:val="24"/>
              </w:rPr>
            </w:pPr>
          </w:p>
        </w:tc>
      </w:tr>
      <w:tr w:rsidR="00D75041" w:rsidRPr="00834D52" w14:paraId="50B784A0" w14:textId="77777777" w:rsidTr="003B78AE">
        <w:trPr>
          <w:trHeight w:val="386"/>
          <w:jc w:val="center"/>
        </w:trPr>
        <w:tc>
          <w:tcPr>
            <w:tcW w:w="1372" w:type="dxa"/>
            <w:tcBorders>
              <w:top w:val="single" w:sz="4" w:space="0" w:color="000000"/>
              <w:left w:val="single" w:sz="4" w:space="0" w:color="000000"/>
              <w:bottom w:val="single" w:sz="4" w:space="0" w:color="000000"/>
              <w:right w:val="single" w:sz="4" w:space="0" w:color="000000"/>
            </w:tcBorders>
          </w:tcPr>
          <w:p w14:paraId="3DC65432"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1</w:t>
            </w:r>
          </w:p>
        </w:tc>
        <w:tc>
          <w:tcPr>
            <w:tcW w:w="832" w:type="dxa"/>
            <w:tcBorders>
              <w:top w:val="single" w:sz="4" w:space="0" w:color="000000"/>
              <w:left w:val="single" w:sz="4" w:space="0" w:color="000000"/>
              <w:bottom w:val="single" w:sz="4" w:space="0" w:color="000000"/>
              <w:right w:val="single" w:sz="4" w:space="0" w:color="000000"/>
            </w:tcBorders>
          </w:tcPr>
          <w:p w14:paraId="7C98D3FB"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E0951E0"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1696C47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30FAA9CC"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1B50B7ED"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2ACB726"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36FADB30"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F18FE2"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2B67C3D8"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2</w:t>
            </w:r>
          </w:p>
        </w:tc>
        <w:tc>
          <w:tcPr>
            <w:tcW w:w="832" w:type="dxa"/>
            <w:tcBorders>
              <w:top w:val="single" w:sz="4" w:space="0" w:color="000000"/>
              <w:left w:val="single" w:sz="4" w:space="0" w:color="000000"/>
              <w:bottom w:val="single" w:sz="4" w:space="0" w:color="000000"/>
              <w:right w:val="single" w:sz="4" w:space="0" w:color="000000"/>
            </w:tcBorders>
          </w:tcPr>
          <w:p w14:paraId="46D10784"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5C1A28D2"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729CE045"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0754AB0F"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563318D1"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014BF6E0"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5A4AA6E5" w14:textId="77777777" w:rsidR="006F76EB" w:rsidRPr="00834D52" w:rsidRDefault="006F76EB" w:rsidP="00F71229">
            <w:pPr>
              <w:spacing w:after="120" w:line="240" w:lineRule="auto"/>
              <w:ind w:right="-8"/>
              <w:rPr>
                <w:rFonts w:ascii="Sylfaen" w:hAnsi="Sylfaen"/>
                <w:sz w:val="24"/>
                <w:szCs w:val="24"/>
              </w:rPr>
            </w:pPr>
          </w:p>
        </w:tc>
      </w:tr>
      <w:tr w:rsidR="00D75041" w:rsidRPr="00834D52" w14:paraId="199F21A7"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5A29BD99"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3</w:t>
            </w:r>
          </w:p>
        </w:tc>
        <w:tc>
          <w:tcPr>
            <w:tcW w:w="832" w:type="dxa"/>
            <w:tcBorders>
              <w:top w:val="single" w:sz="4" w:space="0" w:color="000000"/>
              <w:left w:val="single" w:sz="4" w:space="0" w:color="000000"/>
              <w:bottom w:val="single" w:sz="4" w:space="0" w:color="000000"/>
              <w:right w:val="single" w:sz="4" w:space="0" w:color="000000"/>
            </w:tcBorders>
          </w:tcPr>
          <w:p w14:paraId="0E5B7106"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650BAFD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0C66DCCD"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61314F54"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3BBD45D2"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72C703D"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2EDAC408" w14:textId="77777777" w:rsidR="006F76EB" w:rsidRPr="00834D52" w:rsidRDefault="006F76EB" w:rsidP="00F71229">
            <w:pPr>
              <w:spacing w:after="120" w:line="240" w:lineRule="auto"/>
              <w:ind w:right="-8"/>
              <w:rPr>
                <w:rFonts w:ascii="Sylfaen" w:hAnsi="Sylfaen"/>
                <w:sz w:val="24"/>
                <w:szCs w:val="24"/>
              </w:rPr>
            </w:pPr>
          </w:p>
        </w:tc>
      </w:tr>
      <w:tr w:rsidR="00D75041" w:rsidRPr="00834D52" w14:paraId="7C76E0A4" w14:textId="77777777" w:rsidTr="003B78AE">
        <w:trPr>
          <w:trHeight w:val="401"/>
          <w:jc w:val="center"/>
        </w:trPr>
        <w:tc>
          <w:tcPr>
            <w:tcW w:w="1372" w:type="dxa"/>
            <w:tcBorders>
              <w:top w:val="single" w:sz="4" w:space="0" w:color="000000"/>
              <w:left w:val="single" w:sz="4" w:space="0" w:color="000000"/>
              <w:bottom w:val="single" w:sz="4" w:space="0" w:color="000000"/>
              <w:right w:val="single" w:sz="4" w:space="0" w:color="000000"/>
            </w:tcBorders>
          </w:tcPr>
          <w:p w14:paraId="08DAC6BC" w14:textId="77777777" w:rsidR="006F76EB" w:rsidRPr="00834D52" w:rsidRDefault="006F76EB" w:rsidP="00F71229">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832" w:type="dxa"/>
            <w:tcBorders>
              <w:top w:val="single" w:sz="4" w:space="0" w:color="000000"/>
              <w:left w:val="single" w:sz="4" w:space="0" w:color="000000"/>
              <w:bottom w:val="single" w:sz="4" w:space="0" w:color="000000"/>
              <w:right w:val="single" w:sz="4" w:space="0" w:color="000000"/>
            </w:tcBorders>
          </w:tcPr>
          <w:p w14:paraId="4C06BD37"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995B32F" w14:textId="77777777" w:rsidR="006F76EB" w:rsidRPr="00834D52" w:rsidRDefault="006F76EB" w:rsidP="00F71229">
            <w:pPr>
              <w:spacing w:after="120" w:line="240" w:lineRule="auto"/>
              <w:ind w:right="-8"/>
              <w:rPr>
                <w:rFonts w:ascii="Sylfaen" w:hAnsi="Sylfaen"/>
                <w:sz w:val="24"/>
                <w:szCs w:val="24"/>
              </w:rPr>
            </w:pPr>
          </w:p>
        </w:tc>
        <w:tc>
          <w:tcPr>
            <w:tcW w:w="733" w:type="dxa"/>
            <w:tcBorders>
              <w:top w:val="single" w:sz="4" w:space="0" w:color="000000"/>
              <w:left w:val="single" w:sz="4" w:space="0" w:color="000000"/>
              <w:bottom w:val="single" w:sz="4" w:space="0" w:color="000000"/>
              <w:right w:val="single" w:sz="4" w:space="0" w:color="000000"/>
            </w:tcBorders>
          </w:tcPr>
          <w:p w14:paraId="3F07E180" w14:textId="77777777" w:rsidR="006F76EB" w:rsidRPr="00834D52" w:rsidRDefault="006F76EB" w:rsidP="00F71229">
            <w:pPr>
              <w:spacing w:after="120" w:line="240" w:lineRule="auto"/>
              <w:ind w:right="-8"/>
              <w:rPr>
                <w:rFonts w:ascii="Sylfaen" w:hAnsi="Sylfae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14:paraId="2C62B3A8" w14:textId="77777777" w:rsidR="006F76EB" w:rsidRPr="00834D52" w:rsidRDefault="006F76EB" w:rsidP="00F71229">
            <w:pPr>
              <w:spacing w:after="120" w:line="240" w:lineRule="auto"/>
              <w:ind w:right="-8"/>
              <w:rPr>
                <w:rFonts w:ascii="Sylfaen" w:hAnsi="Sylfaen"/>
                <w:sz w:val="24"/>
                <w:szCs w:val="24"/>
              </w:rPr>
            </w:pPr>
          </w:p>
        </w:tc>
        <w:tc>
          <w:tcPr>
            <w:tcW w:w="1508" w:type="dxa"/>
            <w:tcBorders>
              <w:top w:val="single" w:sz="4" w:space="0" w:color="000000"/>
              <w:left w:val="single" w:sz="4" w:space="0" w:color="000000"/>
              <w:bottom w:val="single" w:sz="4" w:space="0" w:color="000000"/>
              <w:right w:val="single" w:sz="4" w:space="0" w:color="000000"/>
            </w:tcBorders>
          </w:tcPr>
          <w:p w14:paraId="61930ACC" w14:textId="77777777" w:rsidR="006F76EB" w:rsidRPr="00834D52" w:rsidRDefault="006F76EB" w:rsidP="00F71229">
            <w:pPr>
              <w:spacing w:after="120" w:line="240" w:lineRule="auto"/>
              <w:ind w:right="-8"/>
              <w:rPr>
                <w:rFonts w:ascii="Sylfaen" w:hAnsi="Sylfaen"/>
                <w:sz w:val="24"/>
                <w:szCs w:val="24"/>
              </w:rPr>
            </w:pPr>
          </w:p>
        </w:tc>
        <w:tc>
          <w:tcPr>
            <w:tcW w:w="1382" w:type="dxa"/>
            <w:tcBorders>
              <w:top w:val="single" w:sz="4" w:space="0" w:color="000000"/>
              <w:left w:val="single" w:sz="4" w:space="0" w:color="000000"/>
              <w:bottom w:val="single" w:sz="4" w:space="0" w:color="000000"/>
              <w:right w:val="single" w:sz="4" w:space="0" w:color="000000"/>
            </w:tcBorders>
          </w:tcPr>
          <w:p w14:paraId="61121AFC" w14:textId="77777777" w:rsidR="006F76EB" w:rsidRPr="00834D52" w:rsidRDefault="006F76EB" w:rsidP="00F71229">
            <w:pPr>
              <w:spacing w:after="120" w:line="240" w:lineRule="auto"/>
              <w:ind w:right="-8"/>
              <w:rPr>
                <w:rFonts w:ascii="Sylfaen" w:hAnsi="Sylfaen"/>
                <w:sz w:val="24"/>
                <w:szCs w:val="24"/>
              </w:rPr>
            </w:pPr>
          </w:p>
        </w:tc>
        <w:tc>
          <w:tcPr>
            <w:tcW w:w="2722" w:type="dxa"/>
            <w:tcBorders>
              <w:top w:val="single" w:sz="4" w:space="0" w:color="000000"/>
              <w:left w:val="single" w:sz="4" w:space="0" w:color="000000"/>
              <w:bottom w:val="single" w:sz="4" w:space="0" w:color="000000"/>
              <w:right w:val="single" w:sz="4" w:space="0" w:color="000000"/>
            </w:tcBorders>
          </w:tcPr>
          <w:p w14:paraId="0EA21E73" w14:textId="77777777" w:rsidR="006F76EB" w:rsidRPr="00834D52" w:rsidRDefault="006F76EB" w:rsidP="00F71229">
            <w:pPr>
              <w:spacing w:after="120" w:line="240" w:lineRule="auto"/>
              <w:ind w:right="-8"/>
              <w:rPr>
                <w:rFonts w:ascii="Sylfaen" w:hAnsi="Sylfaen"/>
                <w:sz w:val="24"/>
                <w:szCs w:val="24"/>
              </w:rPr>
            </w:pPr>
          </w:p>
        </w:tc>
      </w:tr>
    </w:tbl>
    <w:p w14:paraId="7794DCA0" w14:textId="1A50D94D" w:rsidR="006F76EB" w:rsidRPr="00834D52" w:rsidRDefault="006F76EB" w:rsidP="00523379">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լիազորված մարմինների կողմից տրված փաստաթղթի առկայությունը ՏՍԷ</w:t>
      </w:r>
      <w:r w:rsidRPr="00834D52">
        <w:rPr>
          <w:rFonts w:ascii="Sylfaen" w:hAnsi="Sylfaen"/>
          <w:sz w:val="24"/>
          <w:szCs w:val="24"/>
          <w:vertAlign w:val="superscript"/>
        </w:rPr>
        <w:t>3</w:t>
      </w:r>
      <w:r w:rsidRPr="00834D52">
        <w:rPr>
          <w:rFonts w:ascii="Sylfaen" w:hAnsi="Sylfaen"/>
          <w:sz w:val="24"/>
          <w:szCs w:val="24"/>
        </w:rPr>
        <w:t xml:space="preserve">-ի դեպքերի </w:t>
      </w:r>
      <w:r w:rsidR="00F350A1">
        <w:rPr>
          <w:rFonts w:ascii="Sylfaen" w:hAnsi="Sylfaen"/>
          <w:sz w:val="24"/>
          <w:szCs w:val="24"/>
        </w:rPr>
        <w:t>հայտ</w:t>
      </w:r>
      <w:r w:rsidRPr="00834D52">
        <w:rPr>
          <w:rFonts w:ascii="Sylfaen" w:hAnsi="Sylfaen"/>
          <w:sz w:val="24"/>
          <w:szCs w:val="24"/>
        </w:rPr>
        <w:t>նաբերման երկրում</w:t>
      </w:r>
      <w:r w:rsidRPr="00834D52">
        <w:rPr>
          <w:rFonts w:ascii="Sylfaen" w:hAnsi="Sylfaen"/>
          <w:sz w:val="24"/>
          <w:szCs w:val="24"/>
        </w:rPr>
        <w:br/>
        <w:t xml:space="preserve">(ըստ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գրանցման վերաբերյալ </w:t>
      </w:r>
    </w:p>
    <w:p w14:paraId="24E0D971" w14:textId="3B8C7EA8" w:rsidR="006F76EB" w:rsidRPr="00834D52" w:rsidRDefault="006F76EB" w:rsidP="00523379">
      <w:pPr>
        <w:tabs>
          <w:tab w:val="left" w:pos="1701"/>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2.6.3.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գրանցման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BFE242" w14:textId="77777777" w:rsidTr="00F71229">
        <w:trPr>
          <w:jc w:val="center"/>
        </w:trPr>
        <w:tc>
          <w:tcPr>
            <w:tcW w:w="1560" w:type="dxa"/>
          </w:tcPr>
          <w:p w14:paraId="61028C81"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8B2434B">
                <v:rect id="_x0000_s1146" style="position:absolute;left:0;text-align:left;margin-left:8.25pt;margin-top:4.05pt;width:12.75pt;height:12pt;z-index:251596288"/>
              </w:pict>
            </w:r>
            <w:r w:rsidR="006F76EB" w:rsidRPr="00834D52">
              <w:rPr>
                <w:rFonts w:ascii="Sylfaen" w:hAnsi="Sylfaen"/>
                <w:sz w:val="24"/>
                <w:szCs w:val="24"/>
              </w:rPr>
              <w:t>ոչ</w:t>
            </w:r>
          </w:p>
        </w:tc>
        <w:tc>
          <w:tcPr>
            <w:tcW w:w="1559" w:type="dxa"/>
          </w:tcPr>
          <w:p w14:paraId="39D52381"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9CC6371">
                <v:rect id="_x0000_s1147" style="position:absolute;left:0;text-align:left;margin-left:.5pt;margin-top:4.05pt;width:12.75pt;height:12pt;z-index:251597312;mso-position-horizontal-relative:text;mso-position-vertical-relative:text"/>
              </w:pict>
            </w:r>
            <w:r w:rsidR="006F76EB" w:rsidRPr="00834D52">
              <w:rPr>
                <w:rFonts w:ascii="Sylfaen" w:hAnsi="Sylfaen"/>
                <w:sz w:val="24"/>
                <w:szCs w:val="24"/>
              </w:rPr>
              <w:t>այո</w:t>
            </w:r>
          </w:p>
        </w:tc>
      </w:tr>
    </w:tbl>
    <w:p w14:paraId="1C57C204" w14:textId="77777777" w:rsidR="00523379" w:rsidRDefault="00523379" w:rsidP="006F76EB">
      <w:pPr>
        <w:spacing w:after="160" w:line="360" w:lineRule="auto"/>
        <w:ind w:right="-8" w:firstLine="567"/>
        <w:rPr>
          <w:rFonts w:ascii="Sylfaen" w:hAnsi="Sylfaen"/>
          <w:sz w:val="24"/>
          <w:szCs w:val="24"/>
        </w:rPr>
      </w:pPr>
    </w:p>
    <w:p w14:paraId="6DBAC43B" w14:textId="77777777" w:rsidR="00523379" w:rsidRDefault="00523379">
      <w:pPr>
        <w:widowControl/>
        <w:rPr>
          <w:rFonts w:ascii="Sylfaen" w:hAnsi="Sylfaen"/>
          <w:sz w:val="24"/>
          <w:szCs w:val="24"/>
        </w:rPr>
      </w:pPr>
      <w:r>
        <w:rPr>
          <w:rFonts w:ascii="Sylfaen" w:hAnsi="Sylfaen"/>
          <w:sz w:val="24"/>
          <w:szCs w:val="24"/>
        </w:rPr>
        <w:lastRenderedPageBreak/>
        <w:br w:type="page"/>
      </w:r>
    </w:p>
    <w:p w14:paraId="3106EECA"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Style w:val="TableGrid"/>
        <w:tblW w:w="0" w:type="auto"/>
        <w:jc w:val="center"/>
        <w:tblLook w:val="04A0" w:firstRow="1" w:lastRow="0" w:firstColumn="1" w:lastColumn="0" w:noHBand="0" w:noVBand="1"/>
      </w:tblPr>
      <w:tblGrid>
        <w:gridCol w:w="4786"/>
        <w:gridCol w:w="1418"/>
        <w:gridCol w:w="1701"/>
        <w:gridCol w:w="1395"/>
      </w:tblGrid>
      <w:tr w:rsidR="006F76EB" w:rsidRPr="00834D52" w14:paraId="6E8903A6" w14:textId="77777777" w:rsidTr="00051BB3">
        <w:trPr>
          <w:jc w:val="center"/>
        </w:trPr>
        <w:tc>
          <w:tcPr>
            <w:tcW w:w="4786" w:type="dxa"/>
          </w:tcPr>
          <w:p w14:paraId="72038FD3"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հղմամբ նյութը (սուբստանցիան)</w:t>
            </w:r>
          </w:p>
        </w:tc>
        <w:tc>
          <w:tcPr>
            <w:tcW w:w="4514" w:type="dxa"/>
            <w:gridSpan w:val="3"/>
          </w:tcPr>
          <w:p w14:paraId="0DB186B2"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7C485D7" w14:textId="77777777" w:rsidTr="00051BB3">
        <w:trPr>
          <w:jc w:val="center"/>
        </w:trPr>
        <w:tc>
          <w:tcPr>
            <w:tcW w:w="4786" w:type="dxa"/>
            <w:vMerge w:val="restart"/>
          </w:tcPr>
          <w:p w14:paraId="195DDEDC"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գործառույթը</w:t>
            </w:r>
          </w:p>
        </w:tc>
        <w:tc>
          <w:tcPr>
            <w:tcW w:w="1418" w:type="dxa"/>
          </w:tcPr>
          <w:p w14:paraId="413B5299"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ԱԴԲ-ն</w:t>
            </w:r>
          </w:p>
        </w:tc>
        <w:tc>
          <w:tcPr>
            <w:tcW w:w="1701" w:type="dxa"/>
          </w:tcPr>
          <w:p w14:paraId="1BDC85A9"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7"/>
              <w:t>1</w:t>
            </w:r>
          </w:p>
        </w:tc>
        <w:tc>
          <w:tcPr>
            <w:tcW w:w="1395" w:type="dxa"/>
          </w:tcPr>
          <w:p w14:paraId="76006235" w14:textId="77777777" w:rsidR="006F76EB" w:rsidRPr="00834D52" w:rsidRDefault="006F76EB" w:rsidP="00F71229">
            <w:pPr>
              <w:spacing w:after="120"/>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8"/>
              <w:t>2</w:t>
            </w:r>
          </w:p>
        </w:tc>
      </w:tr>
      <w:tr w:rsidR="006F76EB" w:rsidRPr="00834D52" w14:paraId="2D4B6257" w14:textId="77777777" w:rsidTr="00051BB3">
        <w:trPr>
          <w:jc w:val="center"/>
        </w:trPr>
        <w:tc>
          <w:tcPr>
            <w:tcW w:w="4786" w:type="dxa"/>
            <w:vMerge/>
          </w:tcPr>
          <w:p w14:paraId="194F42E1" w14:textId="77777777" w:rsidR="006F76EB" w:rsidRPr="00834D52" w:rsidRDefault="006F76EB" w:rsidP="00F71229">
            <w:pPr>
              <w:spacing w:after="120"/>
              <w:ind w:right="-6"/>
              <w:rPr>
                <w:rFonts w:ascii="Sylfaen" w:eastAsia="Times New Roman" w:hAnsi="Sylfaen" w:cs="Times New Roman"/>
                <w:sz w:val="24"/>
                <w:szCs w:val="24"/>
              </w:rPr>
            </w:pPr>
          </w:p>
        </w:tc>
        <w:tc>
          <w:tcPr>
            <w:tcW w:w="1418" w:type="dxa"/>
          </w:tcPr>
          <w:p w14:paraId="10C566F1"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701" w:type="dxa"/>
          </w:tcPr>
          <w:p w14:paraId="000ADDAF" w14:textId="77777777" w:rsidR="006F76EB" w:rsidRPr="00834D52" w:rsidRDefault="006F76EB" w:rsidP="00F71229">
            <w:pPr>
              <w:spacing w:after="120"/>
              <w:ind w:right="-6"/>
              <w:jc w:val="both"/>
              <w:rPr>
                <w:rFonts w:ascii="Sylfaen" w:eastAsia="Times New Roman" w:hAnsi="Sylfaen" w:cs="Times New Roman"/>
                <w:sz w:val="24"/>
                <w:szCs w:val="24"/>
              </w:rPr>
            </w:pPr>
          </w:p>
        </w:tc>
        <w:tc>
          <w:tcPr>
            <w:tcW w:w="1395" w:type="dxa"/>
          </w:tcPr>
          <w:p w14:paraId="3BE7238B" w14:textId="77777777" w:rsidR="006F76EB" w:rsidRPr="00834D52" w:rsidRDefault="006F76EB" w:rsidP="00F71229">
            <w:pPr>
              <w:spacing w:after="120"/>
              <w:ind w:right="-6"/>
              <w:jc w:val="both"/>
              <w:rPr>
                <w:rFonts w:ascii="Sylfaen" w:eastAsia="Times New Roman" w:hAnsi="Sylfaen" w:cs="Times New Roman"/>
                <w:sz w:val="24"/>
                <w:szCs w:val="24"/>
              </w:rPr>
            </w:pPr>
          </w:p>
        </w:tc>
      </w:tr>
      <w:tr w:rsidR="006F76EB" w:rsidRPr="00834D52" w14:paraId="0FD62646" w14:textId="77777777" w:rsidTr="00051BB3">
        <w:trPr>
          <w:jc w:val="center"/>
        </w:trPr>
        <w:tc>
          <w:tcPr>
            <w:tcW w:w="4786" w:type="dxa"/>
          </w:tcPr>
          <w:p w14:paraId="400878B9" w14:textId="731A1D1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ՊՄՖ-ի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4514" w:type="dxa"/>
            <w:gridSpan w:val="3"/>
          </w:tcPr>
          <w:p w14:paraId="200C383C" w14:textId="77777777" w:rsidR="006F76EB" w:rsidRPr="00834D52" w:rsidRDefault="006F76EB" w:rsidP="00F71229">
            <w:pPr>
              <w:spacing w:after="120"/>
              <w:ind w:right="-6"/>
              <w:rPr>
                <w:rFonts w:ascii="Sylfaen" w:hAnsi="Sylfaen"/>
                <w:sz w:val="24"/>
                <w:szCs w:val="24"/>
              </w:rPr>
            </w:pPr>
          </w:p>
        </w:tc>
      </w:tr>
      <w:tr w:rsidR="006F76EB" w:rsidRPr="00834D52" w14:paraId="45A95870" w14:textId="77777777" w:rsidTr="00051BB3">
        <w:trPr>
          <w:jc w:val="center"/>
        </w:trPr>
        <w:tc>
          <w:tcPr>
            <w:tcW w:w="4786" w:type="dxa"/>
          </w:tcPr>
          <w:p w14:paraId="2587020E" w14:textId="19B2F320"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4514" w:type="dxa"/>
            <w:gridSpan w:val="3"/>
          </w:tcPr>
          <w:p w14:paraId="47669685" w14:textId="77777777" w:rsidR="006F76EB" w:rsidRPr="00834D52" w:rsidRDefault="006F76EB" w:rsidP="00F71229">
            <w:pPr>
              <w:spacing w:after="120"/>
              <w:ind w:right="-6"/>
              <w:rPr>
                <w:rFonts w:ascii="Sylfaen" w:hAnsi="Sylfaen"/>
                <w:sz w:val="24"/>
                <w:szCs w:val="24"/>
              </w:rPr>
            </w:pPr>
          </w:p>
        </w:tc>
      </w:tr>
      <w:tr w:rsidR="006F76EB" w:rsidRPr="00834D52" w14:paraId="48FF4BDB" w14:textId="77777777" w:rsidTr="00051BB3">
        <w:trPr>
          <w:jc w:val="center"/>
        </w:trPr>
        <w:tc>
          <w:tcPr>
            <w:tcW w:w="4786" w:type="dxa"/>
          </w:tcPr>
          <w:p w14:paraId="0CB29EA7" w14:textId="234CECAD" w:rsidR="006F76EB" w:rsidRPr="00834D52" w:rsidRDefault="0056496B" w:rsidP="00F71229">
            <w:pPr>
              <w:spacing w:after="120"/>
              <w:ind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ը ներկայացնելու ամսաթիվը (եթե քննարկման փուլում է)</w:t>
            </w:r>
          </w:p>
        </w:tc>
        <w:tc>
          <w:tcPr>
            <w:tcW w:w="4514" w:type="dxa"/>
            <w:gridSpan w:val="3"/>
          </w:tcPr>
          <w:p w14:paraId="3B7D179A" w14:textId="77777777" w:rsidR="006F76EB" w:rsidRPr="00834D52" w:rsidRDefault="006F76EB" w:rsidP="00F71229">
            <w:pPr>
              <w:spacing w:after="120"/>
              <w:ind w:right="-6"/>
              <w:rPr>
                <w:rFonts w:ascii="Sylfaen" w:hAnsi="Sylfaen"/>
                <w:sz w:val="24"/>
                <w:szCs w:val="24"/>
              </w:rPr>
            </w:pPr>
          </w:p>
        </w:tc>
      </w:tr>
      <w:tr w:rsidR="006F76EB" w:rsidRPr="00834D52" w14:paraId="24EA87D7" w14:textId="77777777" w:rsidTr="00051BB3">
        <w:trPr>
          <w:jc w:val="center"/>
        </w:trPr>
        <w:tc>
          <w:tcPr>
            <w:tcW w:w="4786" w:type="dxa"/>
          </w:tcPr>
          <w:p w14:paraId="050DF365" w14:textId="77777777" w:rsidR="006F76EB" w:rsidRPr="00834D52" w:rsidRDefault="006F76EB" w:rsidP="00F71229">
            <w:pPr>
              <w:spacing w:after="120"/>
              <w:ind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w:t>
            </w:r>
            <w:r w:rsidRPr="00401029">
              <w:rPr>
                <w:rFonts w:ascii="Sylfaen" w:hAnsi="Sylfaen"/>
                <w:sz w:val="24"/>
                <w:szCs w:val="24"/>
              </w:rPr>
              <w:t xml:space="preserve"> </w:t>
            </w:r>
            <w:r w:rsidRPr="00834D52">
              <w:rPr>
                <w:rFonts w:ascii="Sylfaen" w:hAnsi="Sylfaen"/>
                <w:sz w:val="24"/>
                <w:szCs w:val="24"/>
              </w:rPr>
              <w:t>(եթե</w:t>
            </w:r>
            <w:r w:rsidRPr="00401029">
              <w:rPr>
                <w:rFonts w:ascii="Sylfaen" w:hAnsi="Sylfaen"/>
                <w:sz w:val="24"/>
                <w:szCs w:val="24"/>
              </w:rPr>
              <w:t> </w:t>
            </w:r>
            <w:r w:rsidRPr="00834D52">
              <w:rPr>
                <w:rFonts w:ascii="Sylfaen" w:hAnsi="Sylfaen"/>
                <w:sz w:val="24"/>
                <w:szCs w:val="24"/>
              </w:rPr>
              <w:t>առկա է սերտիֆիկատ)</w:t>
            </w:r>
          </w:p>
        </w:tc>
        <w:tc>
          <w:tcPr>
            <w:tcW w:w="4514" w:type="dxa"/>
            <w:gridSpan w:val="3"/>
          </w:tcPr>
          <w:p w14:paraId="033F0D36" w14:textId="77777777" w:rsidR="006F76EB" w:rsidRPr="00834D52" w:rsidRDefault="006F76EB" w:rsidP="00F71229">
            <w:pPr>
              <w:spacing w:after="120"/>
              <w:ind w:right="-6"/>
              <w:rPr>
                <w:rFonts w:ascii="Sylfaen" w:hAnsi="Sylfaen"/>
                <w:sz w:val="24"/>
                <w:szCs w:val="24"/>
              </w:rPr>
            </w:pPr>
          </w:p>
        </w:tc>
      </w:tr>
    </w:tbl>
    <w:p w14:paraId="546A17ED"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DB2C" w14:textId="77777777" w:rsidTr="00F71229">
        <w:trPr>
          <w:jc w:val="center"/>
        </w:trPr>
        <w:tc>
          <w:tcPr>
            <w:tcW w:w="1560" w:type="dxa"/>
          </w:tcPr>
          <w:p w14:paraId="0524C142"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10FE608">
                <v:rect id="_x0000_s1148" style="position:absolute;left:0;text-align:left;margin-left:8.25pt;margin-top:4.05pt;width:12.75pt;height:12pt;z-index:251598336"/>
              </w:pict>
            </w:r>
            <w:r w:rsidR="006F76EB" w:rsidRPr="00834D52">
              <w:rPr>
                <w:rFonts w:ascii="Sylfaen" w:hAnsi="Sylfaen"/>
                <w:sz w:val="24"/>
                <w:szCs w:val="24"/>
              </w:rPr>
              <w:t>ոչ</w:t>
            </w:r>
          </w:p>
        </w:tc>
        <w:tc>
          <w:tcPr>
            <w:tcW w:w="1559" w:type="dxa"/>
          </w:tcPr>
          <w:p w14:paraId="6E16B280"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F87DAC">
                <v:rect id="_x0000_s1149" style="position:absolute;left:0;text-align:left;margin-left:.5pt;margin-top:4.05pt;width:12.75pt;height:12pt;z-index:251599360;mso-position-horizontal-relative:text;mso-position-vertical-relative:text"/>
              </w:pict>
            </w:r>
            <w:r w:rsidR="006F76EB" w:rsidRPr="00834D52">
              <w:rPr>
                <w:rFonts w:ascii="Sylfaen" w:hAnsi="Sylfaen"/>
                <w:sz w:val="24"/>
                <w:szCs w:val="24"/>
              </w:rPr>
              <w:t>այո</w:t>
            </w:r>
          </w:p>
        </w:tc>
      </w:tr>
    </w:tbl>
    <w:p w14:paraId="3C471EC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3A1D2B8" w14:textId="77777777" w:rsidTr="00F71229">
        <w:trPr>
          <w:jc w:val="center"/>
        </w:trPr>
        <w:tc>
          <w:tcPr>
            <w:tcW w:w="1560" w:type="dxa"/>
          </w:tcPr>
          <w:p w14:paraId="0F753CAC"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CFA153C">
                <v:rect id="_x0000_s1150" style="position:absolute;left:0;text-align:left;margin-left:8.25pt;margin-top:4.05pt;width:12.75pt;height:12pt;z-index:251600384"/>
              </w:pict>
            </w:r>
            <w:r w:rsidR="006F76EB" w:rsidRPr="00834D52">
              <w:rPr>
                <w:rFonts w:ascii="Sylfaen" w:hAnsi="Sylfaen"/>
                <w:sz w:val="24"/>
                <w:szCs w:val="24"/>
              </w:rPr>
              <w:t>ոչ</w:t>
            </w:r>
          </w:p>
        </w:tc>
        <w:tc>
          <w:tcPr>
            <w:tcW w:w="1559" w:type="dxa"/>
          </w:tcPr>
          <w:p w14:paraId="1FA54DAE"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10D9244">
                <v:rect id="_x0000_s1151" style="position:absolute;left:0;text-align:left;margin-left:.5pt;margin-top:4.05pt;width:12.75pt;height:12pt;z-index:251601408;mso-position-horizontal-relative:text;mso-position-vertical-relative:text"/>
              </w:pict>
            </w:r>
            <w:r w:rsidR="006F76EB" w:rsidRPr="00834D52">
              <w:rPr>
                <w:rFonts w:ascii="Sylfaen" w:hAnsi="Sylfaen"/>
                <w:sz w:val="24"/>
                <w:szCs w:val="24"/>
              </w:rPr>
              <w:t>այո</w:t>
            </w:r>
          </w:p>
        </w:tc>
      </w:tr>
    </w:tbl>
    <w:p w14:paraId="121DB3C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հղումը:</w:t>
      </w:r>
    </w:p>
    <w:p w14:paraId="18860E4B" w14:textId="77777777" w:rsidR="006F76EB" w:rsidRPr="00834D52" w:rsidRDefault="006F76EB" w:rsidP="00AB4B3F">
      <w:pPr>
        <w:spacing w:after="0" w:line="240" w:lineRule="auto"/>
        <w:ind w:right="-6"/>
        <w:jc w:val="center"/>
        <w:rPr>
          <w:rFonts w:ascii="Sylfaen" w:eastAsia="Times New Roman" w:hAnsi="Sylfaen" w:cs="Times New Roman"/>
          <w:sz w:val="24"/>
          <w:szCs w:val="24"/>
        </w:rPr>
      </w:pPr>
    </w:p>
    <w:p w14:paraId="69DF0D8A"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 Այլ տեղեկություններ</w:t>
      </w:r>
    </w:p>
    <w:p w14:paraId="2D174D1D"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31E9C963" w14:textId="77777777" w:rsidTr="00F71229">
        <w:trPr>
          <w:jc w:val="center"/>
        </w:trPr>
        <w:tc>
          <w:tcPr>
            <w:tcW w:w="1560" w:type="dxa"/>
          </w:tcPr>
          <w:p w14:paraId="71F60D2D"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B0EAA9">
                <v:rect id="_x0000_s1152" style="position:absolute;left:0;text-align:left;margin-left:8.25pt;margin-top:4.05pt;width:12.75pt;height:12pt;z-index:251602432"/>
              </w:pict>
            </w:r>
            <w:r w:rsidR="006F76EB" w:rsidRPr="00834D52">
              <w:rPr>
                <w:rFonts w:ascii="Sylfaen" w:hAnsi="Sylfaen"/>
                <w:sz w:val="24"/>
                <w:szCs w:val="24"/>
              </w:rPr>
              <w:t>ոչ</w:t>
            </w:r>
          </w:p>
        </w:tc>
        <w:tc>
          <w:tcPr>
            <w:tcW w:w="1559" w:type="dxa"/>
          </w:tcPr>
          <w:p w14:paraId="076467AB"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E271277">
                <v:rect id="_x0000_s1153" style="position:absolute;left:0;text-align:left;margin-left:.5pt;margin-top:4.05pt;width:12.75pt;height:12pt;z-index:251603456;mso-position-horizontal-relative:text;mso-position-vertical-relative:text"/>
              </w:pict>
            </w:r>
            <w:r w:rsidR="006F76EB" w:rsidRPr="00834D52">
              <w:rPr>
                <w:rFonts w:ascii="Sylfaen" w:hAnsi="Sylfaen"/>
                <w:sz w:val="24"/>
                <w:szCs w:val="24"/>
              </w:rPr>
              <w:t>այո</w:t>
            </w:r>
          </w:p>
        </w:tc>
      </w:tr>
    </w:tbl>
    <w:p w14:paraId="70DFB2A1" w14:textId="77777777" w:rsidR="006F76EB" w:rsidRPr="00834D52" w:rsidRDefault="006F76EB" w:rsidP="006F76EB">
      <w:pPr>
        <w:spacing w:after="160" w:line="360" w:lineRule="auto"/>
        <w:ind w:right="-8"/>
        <w:rPr>
          <w:rFonts w:ascii="Sylfaen" w:hAnsi="Sylfaen"/>
          <w:sz w:val="24"/>
          <w:szCs w:val="24"/>
        </w:rPr>
      </w:pPr>
    </w:p>
    <w:p w14:paraId="50D4B8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0" w:type="auto"/>
        <w:jc w:val="center"/>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51B5407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AD99DD"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vAlign w:val="center"/>
          </w:tcPr>
          <w:p w14:paraId="1DF47D9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vAlign w:val="center"/>
          </w:tcPr>
          <w:p w14:paraId="4783D11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702" w:type="dxa"/>
            <w:tcBorders>
              <w:top w:val="single" w:sz="4" w:space="0" w:color="000000"/>
              <w:left w:val="single" w:sz="4" w:space="0" w:color="000000"/>
              <w:bottom w:val="single" w:sz="4" w:space="0" w:color="000000"/>
              <w:right w:val="single" w:sz="4" w:space="0" w:color="000000"/>
            </w:tcBorders>
            <w:vAlign w:val="center"/>
          </w:tcPr>
          <w:p w14:paraId="26F85BA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vAlign w:val="center"/>
          </w:tcPr>
          <w:p w14:paraId="20E0234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06194B1" w14:textId="77777777" w:rsidTr="00F71229">
        <w:trPr>
          <w:jc w:val="center"/>
        </w:trPr>
        <w:tc>
          <w:tcPr>
            <w:tcW w:w="1838" w:type="dxa"/>
            <w:tcBorders>
              <w:top w:val="single" w:sz="4" w:space="0" w:color="000000"/>
              <w:left w:val="single" w:sz="4" w:space="0" w:color="000000"/>
              <w:bottom w:val="single" w:sz="4" w:space="0" w:color="000000"/>
              <w:right w:val="single" w:sz="4" w:space="0" w:color="000000"/>
            </w:tcBorders>
          </w:tcPr>
          <w:p w14:paraId="317601FF" w14:textId="77777777" w:rsidR="006F76EB" w:rsidRPr="00834D52" w:rsidRDefault="006F76EB" w:rsidP="00051BB3">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7377067" w14:textId="77777777" w:rsidR="006F76EB" w:rsidRPr="00834D52" w:rsidRDefault="006F76EB" w:rsidP="00051BB3">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DFCDF3" w14:textId="77777777" w:rsidR="006F76EB" w:rsidRPr="00834D52" w:rsidRDefault="006F76EB" w:rsidP="00051BB3">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58ECB566" w14:textId="77777777" w:rsidR="006F76EB" w:rsidRPr="00834D52" w:rsidRDefault="006F76EB" w:rsidP="00051BB3">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BF7E6E5" w14:textId="77777777" w:rsidR="006F76EB" w:rsidRPr="00834D52" w:rsidRDefault="006F76EB" w:rsidP="00051BB3">
            <w:pPr>
              <w:spacing w:after="120" w:line="240" w:lineRule="auto"/>
              <w:ind w:right="-6"/>
              <w:rPr>
                <w:rFonts w:ascii="Sylfaen" w:hAnsi="Sylfaen"/>
                <w:sz w:val="24"/>
                <w:szCs w:val="24"/>
              </w:rPr>
            </w:pPr>
          </w:p>
        </w:tc>
      </w:tr>
    </w:tbl>
    <w:p w14:paraId="7A92184C" w14:textId="5BBBDB7B" w:rsidR="006F76EB" w:rsidRPr="00834D52" w:rsidRDefault="006F76EB" w:rsidP="00051BB3">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օրենսդրությանը համապատասխան տրամադրված արտոնագիր ունեցող դեղապատրաստուկների գրանցման համար (դեղապատրաստուկի գրանցման դոսյեն Եվրասիական տնտեսական միության իրավունքի մաս կազմող ակտերի պահանջներին համապատասխանեցնելու համար) </w:t>
      </w:r>
      <w:r w:rsidR="0056496B">
        <w:rPr>
          <w:rFonts w:ascii="Sylfaen" w:hAnsi="Sylfaen"/>
          <w:sz w:val="24"/>
          <w:szCs w:val="24"/>
        </w:rPr>
        <w:t>դիմումատու</w:t>
      </w:r>
      <w:r w:rsidRPr="00834D52">
        <w:rPr>
          <w:rFonts w:ascii="Sylfaen" w:hAnsi="Sylfaen"/>
          <w:sz w:val="24"/>
          <w:szCs w:val="24"/>
        </w:rPr>
        <w:t xml:space="preserve">ն ներկայացնում է այդպիսի արտոնագրի կամ այն լիցենզիոն համաձայնագրի՝ իր կողմից վավերացված պատճենը, որը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է տալիս: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մտավոր իրավունքները, որոնք պաշտպանվում են արտոնագրով կամ փոխանցվում լիցենզիայով, չեն խախտվում դեղապատրաստուկի գրանցման պատճառով:</w:t>
      </w:r>
    </w:p>
    <w:p w14:paraId="51BB1F2F" w14:textId="77777777" w:rsidR="006F76EB" w:rsidRPr="00834D52" w:rsidRDefault="006F76EB" w:rsidP="002D046B">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D695FC9" w14:textId="77777777" w:rsidTr="00F71229">
        <w:trPr>
          <w:jc w:val="center"/>
        </w:trPr>
        <w:tc>
          <w:tcPr>
            <w:tcW w:w="1560" w:type="dxa"/>
          </w:tcPr>
          <w:p w14:paraId="12A8266B"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BFC1FA1">
                <v:rect id="_x0000_s1154" style="position:absolute;left:0;text-align:left;margin-left:8.25pt;margin-top:4.05pt;width:12.75pt;height:12pt;z-index:251604480"/>
              </w:pict>
            </w:r>
            <w:r w:rsidR="006F76EB" w:rsidRPr="00834D52">
              <w:rPr>
                <w:rFonts w:ascii="Sylfaen" w:hAnsi="Sylfaen"/>
                <w:sz w:val="24"/>
                <w:szCs w:val="24"/>
              </w:rPr>
              <w:t>ոչ</w:t>
            </w:r>
          </w:p>
        </w:tc>
        <w:tc>
          <w:tcPr>
            <w:tcW w:w="1559" w:type="dxa"/>
          </w:tcPr>
          <w:p w14:paraId="57D69044"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2563E1C">
                <v:rect id="_x0000_s1155" style="position:absolute;left:0;text-align:left;margin-left:.5pt;margin-top:4.05pt;width:12.75pt;height:12pt;z-index:251605504;mso-position-horizontal-relative:text;mso-position-vertical-relative:text"/>
              </w:pict>
            </w:r>
            <w:r w:rsidR="006F76EB" w:rsidRPr="00834D52">
              <w:rPr>
                <w:rFonts w:ascii="Sylfaen" w:hAnsi="Sylfaen"/>
                <w:sz w:val="24"/>
                <w:szCs w:val="24"/>
              </w:rPr>
              <w:t>այո</w:t>
            </w:r>
          </w:p>
        </w:tc>
      </w:tr>
    </w:tbl>
    <w:p w14:paraId="2E8C8F1E"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615B375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տեղեկատվությունը՝</w:t>
      </w:r>
    </w:p>
    <w:tbl>
      <w:tblPr>
        <w:tblW w:w="9564" w:type="dxa"/>
        <w:jc w:val="center"/>
        <w:tblLayout w:type="fixed"/>
        <w:tblCellMar>
          <w:left w:w="0" w:type="dxa"/>
          <w:right w:w="0" w:type="dxa"/>
        </w:tblCellMar>
        <w:tblLook w:val="01E0" w:firstRow="1" w:lastRow="1" w:firstColumn="1" w:lastColumn="1" w:noHBand="0" w:noVBand="0"/>
      </w:tblPr>
      <w:tblGrid>
        <w:gridCol w:w="2158"/>
        <w:gridCol w:w="2410"/>
        <w:gridCol w:w="1594"/>
        <w:gridCol w:w="1526"/>
        <w:gridCol w:w="1876"/>
      </w:tblGrid>
      <w:tr w:rsidR="006F76EB" w:rsidRPr="00834D52" w14:paraId="0A6BD3B2"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vAlign w:val="center"/>
          </w:tcPr>
          <w:p w14:paraId="0367868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410" w:type="dxa"/>
            <w:tcBorders>
              <w:top w:val="single" w:sz="4" w:space="0" w:color="000000"/>
              <w:left w:val="single" w:sz="4" w:space="0" w:color="000000"/>
              <w:bottom w:val="single" w:sz="4" w:space="0" w:color="000000"/>
              <w:right w:val="single" w:sz="4" w:space="0" w:color="000000"/>
            </w:tcBorders>
            <w:vAlign w:val="center"/>
          </w:tcPr>
          <w:p w14:paraId="35A00B02"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Վավեր է անդամ պետության տարածքում</w:t>
            </w:r>
          </w:p>
        </w:tc>
        <w:tc>
          <w:tcPr>
            <w:tcW w:w="1594" w:type="dxa"/>
            <w:tcBorders>
              <w:top w:val="single" w:sz="4" w:space="0" w:color="000000"/>
              <w:left w:val="single" w:sz="4" w:space="0" w:color="000000"/>
              <w:bottom w:val="single" w:sz="4" w:space="0" w:color="000000"/>
              <w:right w:val="single" w:sz="4" w:space="0" w:color="000000"/>
            </w:tcBorders>
            <w:vAlign w:val="center"/>
          </w:tcPr>
          <w:p w14:paraId="57D32723"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Տրամադրման ամսաթիվը</w:t>
            </w:r>
          </w:p>
        </w:tc>
        <w:tc>
          <w:tcPr>
            <w:tcW w:w="1526" w:type="dxa"/>
            <w:tcBorders>
              <w:top w:val="single" w:sz="4" w:space="0" w:color="000000"/>
              <w:left w:val="single" w:sz="4" w:space="0" w:color="000000"/>
              <w:bottom w:val="single" w:sz="4" w:space="0" w:color="000000"/>
              <w:right w:val="single" w:sz="4" w:space="0" w:color="000000"/>
            </w:tcBorders>
            <w:vAlign w:val="center"/>
          </w:tcPr>
          <w:p w14:paraId="5A915AA1"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76" w:type="dxa"/>
            <w:tcBorders>
              <w:top w:val="single" w:sz="4" w:space="0" w:color="000000"/>
              <w:left w:val="single" w:sz="4" w:space="0" w:color="000000"/>
              <w:bottom w:val="single" w:sz="4" w:space="0" w:color="000000"/>
              <w:right w:val="single" w:sz="4" w:space="0" w:color="000000"/>
            </w:tcBorders>
            <w:vAlign w:val="center"/>
          </w:tcPr>
          <w:p w14:paraId="154EC86E" w14:textId="77777777" w:rsidR="006F76EB" w:rsidRPr="00834D52" w:rsidRDefault="006F76EB" w:rsidP="00051B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728B6A54" w14:textId="77777777" w:rsidTr="00F71229">
        <w:trPr>
          <w:jc w:val="center"/>
        </w:trPr>
        <w:tc>
          <w:tcPr>
            <w:tcW w:w="2158" w:type="dxa"/>
            <w:tcBorders>
              <w:top w:val="single" w:sz="4" w:space="0" w:color="000000"/>
              <w:left w:val="single" w:sz="4" w:space="0" w:color="000000"/>
              <w:bottom w:val="single" w:sz="4" w:space="0" w:color="000000"/>
              <w:right w:val="single" w:sz="4" w:space="0" w:color="000000"/>
            </w:tcBorders>
          </w:tcPr>
          <w:p w14:paraId="65A4FBD3" w14:textId="77777777" w:rsidR="006F76EB" w:rsidRPr="00834D52" w:rsidRDefault="006F76EB" w:rsidP="00051BB3">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55DB548" w14:textId="77777777" w:rsidR="006F76EB" w:rsidRPr="00834D52" w:rsidRDefault="006F76EB" w:rsidP="00051BB3">
            <w:pPr>
              <w:spacing w:after="120" w:line="240" w:lineRule="auto"/>
              <w:ind w:right="-6"/>
              <w:rPr>
                <w:rFonts w:ascii="Sylfaen" w:hAnsi="Sylfaen"/>
                <w:sz w:val="24"/>
                <w:szCs w:val="24"/>
              </w:rPr>
            </w:pPr>
          </w:p>
        </w:tc>
        <w:tc>
          <w:tcPr>
            <w:tcW w:w="1594" w:type="dxa"/>
            <w:tcBorders>
              <w:top w:val="single" w:sz="4" w:space="0" w:color="000000"/>
              <w:left w:val="single" w:sz="4" w:space="0" w:color="000000"/>
              <w:bottom w:val="single" w:sz="4" w:space="0" w:color="000000"/>
              <w:right w:val="single" w:sz="4" w:space="0" w:color="000000"/>
            </w:tcBorders>
          </w:tcPr>
          <w:p w14:paraId="770046A5" w14:textId="77777777" w:rsidR="006F76EB" w:rsidRPr="00834D52" w:rsidRDefault="006F76EB" w:rsidP="00051BB3">
            <w:pPr>
              <w:spacing w:after="120" w:line="240" w:lineRule="auto"/>
              <w:ind w:right="-6"/>
              <w:rPr>
                <w:rFonts w:ascii="Sylfaen" w:hAnsi="Sylfaen"/>
                <w:sz w:val="24"/>
                <w:szCs w:val="24"/>
              </w:rPr>
            </w:pPr>
          </w:p>
        </w:tc>
        <w:tc>
          <w:tcPr>
            <w:tcW w:w="1526" w:type="dxa"/>
            <w:tcBorders>
              <w:top w:val="single" w:sz="4" w:space="0" w:color="000000"/>
              <w:left w:val="single" w:sz="4" w:space="0" w:color="000000"/>
              <w:bottom w:val="single" w:sz="4" w:space="0" w:color="000000"/>
              <w:right w:val="single" w:sz="4" w:space="0" w:color="000000"/>
            </w:tcBorders>
          </w:tcPr>
          <w:p w14:paraId="60A330AF" w14:textId="77777777" w:rsidR="006F76EB" w:rsidRPr="00834D52" w:rsidRDefault="006F76EB" w:rsidP="00051BB3">
            <w:pPr>
              <w:spacing w:after="120" w:line="240" w:lineRule="auto"/>
              <w:ind w:right="-6"/>
              <w:rPr>
                <w:rFonts w:ascii="Sylfaen" w:hAnsi="Sylfaen"/>
                <w:sz w:val="24"/>
                <w:szCs w:val="24"/>
              </w:rPr>
            </w:pPr>
          </w:p>
        </w:tc>
        <w:tc>
          <w:tcPr>
            <w:tcW w:w="1876" w:type="dxa"/>
            <w:tcBorders>
              <w:top w:val="single" w:sz="4" w:space="0" w:color="000000"/>
              <w:left w:val="single" w:sz="4" w:space="0" w:color="000000"/>
              <w:bottom w:val="single" w:sz="4" w:space="0" w:color="000000"/>
              <w:right w:val="single" w:sz="4" w:space="0" w:color="000000"/>
            </w:tcBorders>
          </w:tcPr>
          <w:p w14:paraId="6F8F9671" w14:textId="77777777" w:rsidR="006F76EB" w:rsidRPr="00834D52" w:rsidRDefault="006F76EB" w:rsidP="00051BB3">
            <w:pPr>
              <w:spacing w:after="120" w:line="240" w:lineRule="auto"/>
              <w:ind w:right="-6"/>
              <w:rPr>
                <w:rFonts w:ascii="Sylfaen" w:hAnsi="Sylfaen"/>
                <w:sz w:val="24"/>
                <w:szCs w:val="24"/>
              </w:rPr>
            </w:pPr>
          </w:p>
        </w:tc>
      </w:tr>
    </w:tbl>
    <w:p w14:paraId="697B0D54" w14:textId="77777777" w:rsidR="006F76EB" w:rsidRPr="00834D52" w:rsidRDefault="006F76EB" w:rsidP="006F76EB">
      <w:pPr>
        <w:spacing w:after="160" w:line="360" w:lineRule="auto"/>
        <w:ind w:right="-8"/>
        <w:jc w:val="both"/>
        <w:rPr>
          <w:rFonts w:ascii="Sylfaen" w:eastAsia="Times New Roman" w:hAnsi="Sylfaen" w:cs="Times New Roman"/>
          <w:sz w:val="24"/>
          <w:szCs w:val="24"/>
        </w:rPr>
      </w:pPr>
    </w:p>
    <w:p w14:paraId="30BB3040" w14:textId="392AA105"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ի կողմից վավերացված՝ ապրանքային նշանի գրանցման հավաստագրի պատճենը, որը գործում է Եվրասիական տնտեսական միության անդամ պետության տարածքում:</w:t>
      </w:r>
    </w:p>
    <w:p w14:paraId="1836CDD6" w14:textId="55CE3ABE"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համաձայնագրի պատճենը կամ ապրանքային նշանի օգտագործման իրավունք տվող պետական գրանցման հաստատումը:</w:t>
      </w:r>
    </w:p>
    <w:p w14:paraId="09834245"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Արդյո՞ք դեղապատրաստուկը գրանցված է արտադրողի երկրում՝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289A1DA5" w14:textId="77777777" w:rsidTr="00F71229">
        <w:trPr>
          <w:jc w:val="center"/>
        </w:trPr>
        <w:tc>
          <w:tcPr>
            <w:tcW w:w="1560" w:type="dxa"/>
          </w:tcPr>
          <w:p w14:paraId="0B91F509"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199BFCA">
                <v:rect id="_x0000_s1156" style="position:absolute;left:0;text-align:left;margin-left:8.25pt;margin-top:4.05pt;width:12.75pt;height:12pt;z-index:251606528"/>
              </w:pict>
            </w:r>
            <w:r w:rsidR="006F76EB" w:rsidRPr="00834D52">
              <w:rPr>
                <w:rFonts w:ascii="Sylfaen" w:hAnsi="Sylfaen"/>
                <w:sz w:val="24"/>
                <w:szCs w:val="24"/>
              </w:rPr>
              <w:t>ոչ</w:t>
            </w:r>
          </w:p>
        </w:tc>
        <w:tc>
          <w:tcPr>
            <w:tcW w:w="1559" w:type="dxa"/>
          </w:tcPr>
          <w:p w14:paraId="797214EF"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25F9FE5">
                <v:rect id="_x0000_s1157" style="position:absolute;left:0;text-align:left;margin-left:.5pt;margin-top:4.05pt;width:12.75pt;height:12pt;z-index:251607552;mso-position-horizontal-relative:text;mso-position-vertical-relative:text"/>
              </w:pict>
            </w:r>
            <w:r w:rsidR="006F76EB" w:rsidRPr="00834D52">
              <w:rPr>
                <w:rFonts w:ascii="Sylfaen" w:hAnsi="Sylfaen"/>
                <w:sz w:val="24"/>
                <w:szCs w:val="24"/>
              </w:rPr>
              <w:t>այո</w:t>
            </w:r>
          </w:p>
        </w:tc>
      </w:tr>
    </w:tbl>
    <w:p w14:paraId="3B70107E" w14:textId="77777777" w:rsidR="006F76EB" w:rsidRPr="00834D52" w:rsidRDefault="006F76EB" w:rsidP="006F76EB">
      <w:pPr>
        <w:spacing w:after="160" w:line="360" w:lineRule="auto"/>
        <w:ind w:right="-8"/>
        <w:jc w:val="both"/>
        <w:rPr>
          <w:rFonts w:ascii="Sylfaen" w:hAnsi="Sylfaen"/>
          <w:sz w:val="24"/>
          <w:szCs w:val="24"/>
          <w:lang w:val="en-US"/>
        </w:rPr>
      </w:pPr>
    </w:p>
    <w:p w14:paraId="55358B8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0664D77" w14:textId="77777777" w:rsidTr="00F71229">
        <w:trPr>
          <w:jc w:val="center"/>
        </w:trPr>
        <w:tc>
          <w:tcPr>
            <w:tcW w:w="1560" w:type="dxa"/>
          </w:tcPr>
          <w:p w14:paraId="0236F7D7"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1985E33E">
                <v:rect id="_x0000_s1158" style="position:absolute;left:0;text-align:left;margin-left:8.25pt;margin-top:4.05pt;width:12.75pt;height:12pt;z-index:251608576"/>
              </w:pict>
            </w:r>
            <w:r w:rsidR="006F76EB" w:rsidRPr="00834D52">
              <w:rPr>
                <w:rFonts w:ascii="Sylfaen" w:hAnsi="Sylfaen"/>
                <w:sz w:val="24"/>
                <w:szCs w:val="24"/>
              </w:rPr>
              <w:t>ոչ</w:t>
            </w:r>
          </w:p>
        </w:tc>
        <w:tc>
          <w:tcPr>
            <w:tcW w:w="1559" w:type="dxa"/>
          </w:tcPr>
          <w:p w14:paraId="11CEAA41"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06B8D34">
                <v:rect id="_x0000_s1159" style="position:absolute;left:0;text-align:left;margin-left:.5pt;margin-top:4.05pt;width:12.75pt;height:12pt;z-index:251609600;mso-position-horizontal-relative:text;mso-position-vertical-relative:text"/>
              </w:pict>
            </w:r>
            <w:r w:rsidR="006F76EB" w:rsidRPr="00834D52">
              <w:rPr>
                <w:rFonts w:ascii="Sylfaen" w:hAnsi="Sylfaen"/>
                <w:sz w:val="24"/>
                <w:szCs w:val="24"/>
              </w:rPr>
              <w:t>այո</w:t>
            </w:r>
          </w:p>
        </w:tc>
      </w:tr>
    </w:tbl>
    <w:p w14:paraId="2FB6B482" w14:textId="77777777" w:rsidR="006F76EB" w:rsidRPr="00834D52" w:rsidRDefault="006F76EB" w:rsidP="006F76EB">
      <w:pPr>
        <w:tabs>
          <w:tab w:val="left" w:pos="1701"/>
        </w:tabs>
        <w:spacing w:after="160" w:line="360" w:lineRule="auto"/>
        <w:ind w:right="-8" w:firstLine="567"/>
        <w:jc w:val="both"/>
        <w:rPr>
          <w:rFonts w:ascii="Sylfaen" w:hAnsi="Sylfaen"/>
          <w:sz w:val="24"/>
          <w:szCs w:val="24"/>
          <w:lang w:val="en-US"/>
        </w:rPr>
      </w:pPr>
    </w:p>
    <w:p w14:paraId="0F37B6BF" w14:textId="77777777" w:rsidR="006F76EB" w:rsidRPr="00834D52" w:rsidRDefault="006F76EB" w:rsidP="00051BB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անցկացվել է տվյալ դեղապատրաստուկի վերաբերյալ նախնական գիտական խորհրդակցություն Եվրասիական տնտեսական միության անդամ պետություններում՝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99E6AA6" w14:textId="77777777" w:rsidTr="00F71229">
        <w:trPr>
          <w:jc w:val="center"/>
        </w:trPr>
        <w:tc>
          <w:tcPr>
            <w:tcW w:w="1560" w:type="dxa"/>
          </w:tcPr>
          <w:p w14:paraId="676A76DB"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914C8E5">
                <v:rect id="_x0000_s1160" style="position:absolute;left:0;text-align:left;margin-left:8.25pt;margin-top:4.05pt;width:12.75pt;height:12pt;z-index:251610624"/>
              </w:pict>
            </w:r>
            <w:r w:rsidR="006F76EB" w:rsidRPr="00834D52">
              <w:rPr>
                <w:rFonts w:ascii="Sylfaen" w:hAnsi="Sylfaen"/>
                <w:sz w:val="24"/>
                <w:szCs w:val="24"/>
              </w:rPr>
              <w:t>ոչ</w:t>
            </w:r>
          </w:p>
        </w:tc>
        <w:tc>
          <w:tcPr>
            <w:tcW w:w="1559" w:type="dxa"/>
          </w:tcPr>
          <w:p w14:paraId="7A5E959C"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D6C048F">
                <v:rect id="_x0000_s1161" style="position:absolute;left:0;text-align:left;margin-left:.5pt;margin-top:4.05pt;width:12.75pt;height:12pt;z-index:251611648;mso-position-horizontal-relative:text;mso-position-vertical-relative:text"/>
              </w:pict>
            </w:r>
            <w:r w:rsidR="006F76EB" w:rsidRPr="00834D52">
              <w:rPr>
                <w:rFonts w:ascii="Sylfaen" w:hAnsi="Sylfaen"/>
                <w:sz w:val="24"/>
                <w:szCs w:val="24"/>
              </w:rPr>
              <w:t>այո</w:t>
            </w:r>
          </w:p>
        </w:tc>
      </w:tr>
    </w:tbl>
    <w:p w14:paraId="6D6E2836" w14:textId="77777777" w:rsidR="006F76EB" w:rsidRPr="00834D52" w:rsidRDefault="006F76EB" w:rsidP="006F76EB">
      <w:pPr>
        <w:spacing w:after="160" w:line="360" w:lineRule="auto"/>
        <w:ind w:right="-8"/>
        <w:rPr>
          <w:rFonts w:ascii="Sylfaen" w:hAnsi="Sylfaen"/>
          <w:sz w:val="24"/>
          <w:szCs w:val="24"/>
        </w:rPr>
      </w:pPr>
    </w:p>
    <w:p w14:paraId="36098B8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804" w:type="dxa"/>
        <w:jc w:val="center"/>
        <w:tblLayout w:type="fixed"/>
        <w:tblCellMar>
          <w:left w:w="0" w:type="dxa"/>
          <w:right w:w="0" w:type="dxa"/>
        </w:tblCellMar>
        <w:tblLook w:val="01E0" w:firstRow="1" w:lastRow="1" w:firstColumn="1" w:lastColumn="1" w:noHBand="0" w:noVBand="0"/>
      </w:tblPr>
      <w:tblGrid>
        <w:gridCol w:w="5192"/>
        <w:gridCol w:w="4612"/>
      </w:tblGrid>
      <w:tr w:rsidR="006F76EB" w:rsidRPr="00834D52" w14:paraId="7D8683C0"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73A1003"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անդամ պետությունը</w:t>
            </w:r>
          </w:p>
        </w:tc>
        <w:tc>
          <w:tcPr>
            <w:tcW w:w="4612" w:type="dxa"/>
            <w:tcBorders>
              <w:top w:val="single" w:sz="4" w:space="0" w:color="000000"/>
              <w:left w:val="single" w:sz="4" w:space="0" w:color="000000"/>
              <w:bottom w:val="single" w:sz="4" w:space="0" w:color="000000"/>
              <w:right w:val="single" w:sz="4" w:space="0" w:color="000000"/>
            </w:tcBorders>
          </w:tcPr>
          <w:p w14:paraId="7984FA62" w14:textId="77777777" w:rsidR="006F76EB" w:rsidRPr="00834D52" w:rsidRDefault="006F76EB" w:rsidP="00280FAE">
            <w:pPr>
              <w:spacing w:after="120" w:line="240" w:lineRule="auto"/>
              <w:ind w:right="-8"/>
              <w:rPr>
                <w:rFonts w:ascii="Sylfaen" w:hAnsi="Sylfaen"/>
                <w:sz w:val="24"/>
                <w:szCs w:val="24"/>
              </w:rPr>
            </w:pPr>
          </w:p>
        </w:tc>
      </w:tr>
      <w:tr w:rsidR="006F76EB" w:rsidRPr="00834D52" w14:paraId="480A23A8" w14:textId="77777777" w:rsidTr="002D046B">
        <w:trPr>
          <w:trHeight w:val="549"/>
          <w:jc w:val="center"/>
        </w:trPr>
        <w:tc>
          <w:tcPr>
            <w:tcW w:w="5192" w:type="dxa"/>
            <w:tcBorders>
              <w:top w:val="single" w:sz="4" w:space="0" w:color="000000"/>
              <w:left w:val="single" w:sz="4" w:space="0" w:color="000000"/>
              <w:bottom w:val="single" w:sz="4" w:space="0" w:color="000000"/>
              <w:right w:val="single" w:sz="4" w:space="0" w:color="000000"/>
            </w:tcBorders>
          </w:tcPr>
          <w:p w14:paraId="2C794A39" w14:textId="77777777" w:rsidR="006F76EB" w:rsidRPr="00834D52" w:rsidRDefault="006F76EB" w:rsidP="00280FAE">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անցկացման ամսաթիվը</w:t>
            </w:r>
          </w:p>
        </w:tc>
        <w:tc>
          <w:tcPr>
            <w:tcW w:w="4612" w:type="dxa"/>
            <w:tcBorders>
              <w:top w:val="single" w:sz="4" w:space="0" w:color="000000"/>
              <w:left w:val="single" w:sz="4" w:space="0" w:color="000000"/>
              <w:bottom w:val="single" w:sz="4" w:space="0" w:color="000000"/>
              <w:right w:val="single" w:sz="4" w:space="0" w:color="000000"/>
            </w:tcBorders>
          </w:tcPr>
          <w:p w14:paraId="44212EB8" w14:textId="77777777" w:rsidR="006F76EB" w:rsidRPr="00834D52" w:rsidRDefault="006F76EB" w:rsidP="00280FAE">
            <w:pPr>
              <w:spacing w:after="120" w:line="240" w:lineRule="auto"/>
              <w:ind w:right="-8"/>
              <w:rPr>
                <w:rFonts w:ascii="Sylfaen" w:hAnsi="Sylfaen"/>
                <w:sz w:val="24"/>
                <w:szCs w:val="24"/>
              </w:rPr>
            </w:pPr>
          </w:p>
        </w:tc>
      </w:tr>
      <w:tr w:rsidR="006F76EB" w:rsidRPr="00834D52" w14:paraId="1E95B3A8" w14:textId="77777777" w:rsidTr="002D046B">
        <w:trPr>
          <w:trHeight w:val="1353"/>
          <w:jc w:val="center"/>
        </w:trPr>
        <w:tc>
          <w:tcPr>
            <w:tcW w:w="5192" w:type="dxa"/>
            <w:tcBorders>
              <w:top w:val="single" w:sz="4" w:space="0" w:color="000000"/>
              <w:left w:val="single" w:sz="4" w:space="0" w:color="000000"/>
              <w:bottom w:val="single" w:sz="4" w:space="0" w:color="000000"/>
              <w:right w:val="single" w:sz="4" w:space="0" w:color="000000"/>
            </w:tcBorders>
          </w:tcPr>
          <w:p w14:paraId="4806C391" w14:textId="77777777" w:rsidR="006F76EB" w:rsidRPr="00834D52" w:rsidRDefault="006F76EB" w:rsidP="00280FAE">
            <w:pPr>
              <w:spacing w:after="120" w:line="240" w:lineRule="auto"/>
              <w:ind w:left="180" w:right="830"/>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612" w:type="dxa"/>
            <w:tcBorders>
              <w:top w:val="single" w:sz="4" w:space="0" w:color="000000"/>
              <w:left w:val="single" w:sz="4" w:space="0" w:color="000000"/>
              <w:bottom w:val="single" w:sz="4" w:space="0" w:color="000000"/>
              <w:right w:val="single" w:sz="4" w:space="0" w:color="000000"/>
            </w:tcBorders>
          </w:tcPr>
          <w:p w14:paraId="46895BDB" w14:textId="77777777" w:rsidR="006F76EB" w:rsidRPr="00834D52" w:rsidRDefault="006F76EB" w:rsidP="00280FAE">
            <w:pPr>
              <w:spacing w:after="120" w:line="240" w:lineRule="auto"/>
              <w:ind w:right="-8"/>
              <w:rPr>
                <w:rFonts w:ascii="Sylfaen" w:hAnsi="Sylfaen"/>
                <w:sz w:val="24"/>
                <w:szCs w:val="24"/>
              </w:rPr>
            </w:pPr>
          </w:p>
        </w:tc>
      </w:tr>
    </w:tbl>
    <w:p w14:paraId="7019F85D"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Արդյո՞ք Դեղամիջոցների հարցերով փորձագիտական կոմիտեում անցկացվել է տվյալ դեղապատրաստուկի վերաբերյալ նախնական գիտական խորհրդակցություն՝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11C7AEA3" w14:textId="77777777" w:rsidTr="00F71229">
        <w:trPr>
          <w:jc w:val="center"/>
        </w:trPr>
        <w:tc>
          <w:tcPr>
            <w:tcW w:w="1560" w:type="dxa"/>
          </w:tcPr>
          <w:p w14:paraId="2F59FACD"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3F7B619">
                <v:rect id="_x0000_s1162" style="position:absolute;left:0;text-align:left;margin-left:8.25pt;margin-top:4.05pt;width:12.75pt;height:12pt;z-index:251612672"/>
              </w:pict>
            </w:r>
            <w:r w:rsidR="006F76EB" w:rsidRPr="00834D52">
              <w:rPr>
                <w:rFonts w:ascii="Sylfaen" w:hAnsi="Sylfaen"/>
                <w:sz w:val="24"/>
                <w:szCs w:val="24"/>
              </w:rPr>
              <w:t>ոչ</w:t>
            </w:r>
          </w:p>
        </w:tc>
        <w:tc>
          <w:tcPr>
            <w:tcW w:w="1559" w:type="dxa"/>
          </w:tcPr>
          <w:p w14:paraId="29F75D6C"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71118FE1">
                <v:rect id="_x0000_s1163" style="position:absolute;left:0;text-align:left;margin-left:.5pt;margin-top:4.05pt;width:12.75pt;height:12pt;z-index:251613696;mso-position-horizontal-relative:text;mso-position-vertical-relative:text"/>
              </w:pict>
            </w:r>
            <w:r w:rsidR="006F76EB" w:rsidRPr="00834D52">
              <w:rPr>
                <w:rFonts w:ascii="Sylfaen" w:hAnsi="Sylfaen"/>
                <w:sz w:val="24"/>
                <w:szCs w:val="24"/>
              </w:rPr>
              <w:t>այո</w:t>
            </w:r>
          </w:p>
        </w:tc>
      </w:tr>
    </w:tbl>
    <w:p w14:paraId="348351BF" w14:textId="77777777" w:rsidR="006F76EB" w:rsidRPr="00834D52" w:rsidRDefault="006F76EB" w:rsidP="006F76EB">
      <w:pPr>
        <w:spacing w:after="160" w:line="360" w:lineRule="auto"/>
        <w:ind w:right="-8"/>
        <w:rPr>
          <w:rFonts w:ascii="Sylfaen" w:hAnsi="Sylfaen"/>
          <w:sz w:val="24"/>
          <w:szCs w:val="24"/>
          <w:lang w:val="en-US"/>
        </w:rPr>
      </w:pPr>
    </w:p>
    <w:p w14:paraId="2CE3DE82"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w:t>
      </w:r>
    </w:p>
    <w:tbl>
      <w:tblPr>
        <w:tblW w:w="9552" w:type="dxa"/>
        <w:tblInd w:w="109" w:type="dxa"/>
        <w:tblLayout w:type="fixed"/>
        <w:tblCellMar>
          <w:left w:w="0" w:type="dxa"/>
          <w:right w:w="0" w:type="dxa"/>
        </w:tblCellMar>
        <w:tblLook w:val="01E0" w:firstRow="1" w:lastRow="1" w:firstColumn="1" w:lastColumn="1" w:noHBand="0" w:noVBand="0"/>
      </w:tblPr>
      <w:tblGrid>
        <w:gridCol w:w="4675"/>
        <w:gridCol w:w="4877"/>
      </w:tblGrid>
      <w:tr w:rsidR="006F76EB" w:rsidRPr="00834D52" w14:paraId="6897C5D9" w14:textId="77777777" w:rsidTr="00DA7D09">
        <w:trPr>
          <w:trHeight w:val="720"/>
        </w:trPr>
        <w:tc>
          <w:tcPr>
            <w:tcW w:w="4675" w:type="dxa"/>
            <w:tcBorders>
              <w:top w:val="single" w:sz="4" w:space="0" w:color="000000"/>
              <w:left w:val="single" w:sz="4" w:space="0" w:color="000000"/>
              <w:bottom w:val="single" w:sz="4" w:space="0" w:color="000000"/>
              <w:right w:val="single" w:sz="4" w:space="0" w:color="000000"/>
            </w:tcBorders>
          </w:tcPr>
          <w:p w14:paraId="3CDBFE10"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4877" w:type="dxa"/>
            <w:tcBorders>
              <w:top w:val="single" w:sz="4" w:space="0" w:color="000000"/>
              <w:left w:val="single" w:sz="4" w:space="0" w:color="000000"/>
              <w:bottom w:val="single" w:sz="4" w:space="0" w:color="000000"/>
              <w:right w:val="single" w:sz="4" w:space="0" w:color="000000"/>
            </w:tcBorders>
          </w:tcPr>
          <w:p w14:paraId="5EAE87AC" w14:textId="77777777" w:rsidR="006F76EB" w:rsidRPr="00834D52" w:rsidRDefault="006F76EB" w:rsidP="00280FAE">
            <w:pPr>
              <w:spacing w:after="120" w:line="240" w:lineRule="auto"/>
              <w:ind w:right="-6"/>
              <w:rPr>
                <w:rFonts w:ascii="Sylfaen" w:hAnsi="Sylfaen"/>
                <w:sz w:val="24"/>
                <w:szCs w:val="24"/>
              </w:rPr>
            </w:pPr>
          </w:p>
        </w:tc>
      </w:tr>
      <w:tr w:rsidR="006F76EB" w:rsidRPr="00834D52" w14:paraId="07EC5401" w14:textId="77777777" w:rsidTr="00DA7D09">
        <w:trPr>
          <w:trHeight w:val="1293"/>
        </w:trPr>
        <w:tc>
          <w:tcPr>
            <w:tcW w:w="4675" w:type="dxa"/>
            <w:tcBorders>
              <w:top w:val="single" w:sz="4" w:space="0" w:color="000000"/>
              <w:left w:val="single" w:sz="4" w:space="0" w:color="000000"/>
              <w:bottom w:val="single" w:sz="4" w:space="0" w:color="000000"/>
              <w:right w:val="single" w:sz="4" w:space="0" w:color="000000"/>
            </w:tcBorders>
          </w:tcPr>
          <w:p w14:paraId="218DF30C" w14:textId="77777777" w:rsidR="006F76EB" w:rsidRPr="00834D52" w:rsidRDefault="006F76EB" w:rsidP="00280FAE">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նշում՝ դոսյեի կազմում եզրակացության առկայության մասին </w:t>
            </w:r>
          </w:p>
        </w:tc>
        <w:tc>
          <w:tcPr>
            <w:tcW w:w="4877" w:type="dxa"/>
            <w:tcBorders>
              <w:top w:val="single" w:sz="4" w:space="0" w:color="000000"/>
              <w:left w:val="single" w:sz="4" w:space="0" w:color="000000"/>
              <w:bottom w:val="single" w:sz="4" w:space="0" w:color="000000"/>
              <w:right w:val="single" w:sz="4" w:space="0" w:color="000000"/>
            </w:tcBorders>
          </w:tcPr>
          <w:p w14:paraId="5DB1C556" w14:textId="77777777" w:rsidR="006F76EB" w:rsidRPr="00834D52" w:rsidRDefault="006F76EB" w:rsidP="00280FAE">
            <w:pPr>
              <w:spacing w:after="120" w:line="240" w:lineRule="auto"/>
              <w:ind w:right="-6"/>
              <w:rPr>
                <w:rFonts w:ascii="Sylfaen" w:hAnsi="Sylfaen"/>
                <w:sz w:val="24"/>
                <w:szCs w:val="24"/>
              </w:rPr>
            </w:pPr>
          </w:p>
        </w:tc>
      </w:tr>
    </w:tbl>
    <w:p w14:paraId="105F6316"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դադարեցման մասին տեղեկատվություն: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C6CF6FD" w14:textId="77777777" w:rsidTr="00F71229">
        <w:trPr>
          <w:jc w:val="center"/>
        </w:trPr>
        <w:tc>
          <w:tcPr>
            <w:tcW w:w="1560" w:type="dxa"/>
          </w:tcPr>
          <w:p w14:paraId="366909BA"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49C9B0C9">
                <v:rect id="_x0000_s1164" style="position:absolute;left:0;text-align:left;margin-left:8.25pt;margin-top:4.05pt;width:12.75pt;height:12pt;z-index:251614720"/>
              </w:pict>
            </w:r>
            <w:r w:rsidR="006F76EB" w:rsidRPr="00834D52">
              <w:rPr>
                <w:rFonts w:ascii="Sylfaen" w:hAnsi="Sylfaen"/>
                <w:sz w:val="24"/>
                <w:szCs w:val="24"/>
              </w:rPr>
              <w:t>ոչ</w:t>
            </w:r>
          </w:p>
        </w:tc>
        <w:tc>
          <w:tcPr>
            <w:tcW w:w="1559" w:type="dxa"/>
          </w:tcPr>
          <w:p w14:paraId="76A6EA07"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598FE735">
                <v:rect id="_x0000_s1165" style="position:absolute;left:0;text-align:left;margin-left:.5pt;margin-top:4.05pt;width:12.75pt;height:12pt;z-index:251615744;mso-position-horizontal-relative:text;mso-position-vertical-relative:text"/>
              </w:pict>
            </w:r>
            <w:r w:rsidR="006F76EB" w:rsidRPr="00834D52">
              <w:rPr>
                <w:rFonts w:ascii="Sylfaen" w:hAnsi="Sylfaen"/>
                <w:sz w:val="24"/>
                <w:szCs w:val="24"/>
              </w:rPr>
              <w:t>այո</w:t>
            </w:r>
          </w:p>
        </w:tc>
      </w:tr>
    </w:tbl>
    <w:p w14:paraId="7B4C5034" w14:textId="77777777" w:rsidR="006F76EB" w:rsidRPr="00834D52" w:rsidRDefault="006F76EB" w:rsidP="006F76EB">
      <w:pPr>
        <w:spacing w:after="160" w:line="360" w:lineRule="auto"/>
        <w:ind w:right="-8"/>
        <w:rPr>
          <w:rFonts w:ascii="Sylfaen" w:hAnsi="Sylfaen"/>
          <w:sz w:val="24"/>
          <w:szCs w:val="24"/>
          <w:lang w:val="en-US"/>
        </w:rPr>
      </w:pPr>
    </w:p>
    <w:p w14:paraId="39ADC451" w14:textId="77777777" w:rsidR="006F76EB" w:rsidRPr="00834D52" w:rsidRDefault="006F76EB" w:rsidP="006F76EB">
      <w:pPr>
        <w:spacing w:after="160" w:line="343"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980" w:type="dxa"/>
        <w:jc w:val="center"/>
        <w:tblLayout w:type="fixed"/>
        <w:tblCellMar>
          <w:left w:w="0" w:type="dxa"/>
          <w:right w:w="0" w:type="dxa"/>
        </w:tblCellMar>
        <w:tblLook w:val="01E0" w:firstRow="1" w:lastRow="1" w:firstColumn="1" w:lastColumn="1" w:noHBand="0" w:noVBand="0"/>
      </w:tblPr>
      <w:tblGrid>
        <w:gridCol w:w="3496"/>
        <w:gridCol w:w="1351"/>
        <w:gridCol w:w="1575"/>
        <w:gridCol w:w="1882"/>
        <w:gridCol w:w="1676"/>
      </w:tblGrid>
      <w:tr w:rsidR="006F76EB" w:rsidRPr="00834D52" w14:paraId="11518283"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5A5120C8"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351" w:type="dxa"/>
            <w:tcBorders>
              <w:top w:val="single" w:sz="4" w:space="0" w:color="000000"/>
              <w:left w:val="single" w:sz="4" w:space="0" w:color="000000"/>
              <w:bottom w:val="single" w:sz="4" w:space="0" w:color="000000"/>
              <w:right w:val="single" w:sz="4" w:space="0" w:color="000000"/>
            </w:tcBorders>
          </w:tcPr>
          <w:p w14:paraId="75636BD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Պատճառը</w:t>
            </w:r>
          </w:p>
        </w:tc>
        <w:tc>
          <w:tcPr>
            <w:tcW w:w="1575" w:type="dxa"/>
            <w:tcBorders>
              <w:top w:val="single" w:sz="4" w:space="0" w:color="000000"/>
              <w:left w:val="single" w:sz="4" w:space="0" w:color="000000"/>
              <w:bottom w:val="single" w:sz="4" w:space="0" w:color="000000"/>
              <w:right w:val="single" w:sz="4" w:space="0" w:color="000000"/>
            </w:tcBorders>
          </w:tcPr>
          <w:p w14:paraId="022C6F53"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Երկիրը</w:t>
            </w:r>
          </w:p>
        </w:tc>
        <w:tc>
          <w:tcPr>
            <w:tcW w:w="1882" w:type="dxa"/>
            <w:tcBorders>
              <w:top w:val="single" w:sz="4" w:space="0" w:color="000000"/>
              <w:left w:val="single" w:sz="4" w:space="0" w:color="000000"/>
              <w:bottom w:val="single" w:sz="4" w:space="0" w:color="000000"/>
              <w:right w:val="single" w:sz="4" w:space="0" w:color="000000"/>
            </w:tcBorders>
          </w:tcPr>
          <w:p w14:paraId="7DB76564"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Ժամկետը</w:t>
            </w:r>
          </w:p>
        </w:tc>
        <w:tc>
          <w:tcPr>
            <w:tcW w:w="1676" w:type="dxa"/>
            <w:tcBorders>
              <w:top w:val="single" w:sz="4" w:space="0" w:color="000000"/>
              <w:left w:val="single" w:sz="4" w:space="0" w:color="000000"/>
              <w:bottom w:val="single" w:sz="4" w:space="0" w:color="000000"/>
              <w:right w:val="single" w:sz="4" w:space="0" w:color="000000"/>
            </w:tcBorders>
          </w:tcPr>
          <w:p w14:paraId="7FB9ADE7" w14:textId="77777777" w:rsidR="006F76EB" w:rsidRPr="00834D52" w:rsidRDefault="006F76EB" w:rsidP="00280FAE">
            <w:pPr>
              <w:spacing w:after="120" w:line="240" w:lineRule="auto"/>
              <w:ind w:left="27" w:right="79"/>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07FCD511" w14:textId="77777777" w:rsidTr="00DA7D09">
        <w:trPr>
          <w:trHeight w:val="807"/>
          <w:jc w:val="center"/>
        </w:trPr>
        <w:tc>
          <w:tcPr>
            <w:tcW w:w="3496" w:type="dxa"/>
            <w:tcBorders>
              <w:top w:val="single" w:sz="4" w:space="0" w:color="000000"/>
              <w:left w:val="single" w:sz="4" w:space="0" w:color="000000"/>
              <w:bottom w:val="single" w:sz="4" w:space="0" w:color="000000"/>
              <w:right w:val="single" w:sz="4" w:space="0" w:color="000000"/>
            </w:tcBorders>
          </w:tcPr>
          <w:p w14:paraId="7F089E59" w14:textId="77777777" w:rsidR="006F76EB" w:rsidRPr="00834D52" w:rsidRDefault="006F76EB" w:rsidP="00280FAE">
            <w:pPr>
              <w:spacing w:after="120" w:line="240" w:lineRule="auto"/>
              <w:ind w:right="-6"/>
              <w:rPr>
                <w:rFonts w:ascii="Sylfaen" w:hAnsi="Sylfaen"/>
                <w:sz w:val="24"/>
                <w:szCs w:val="24"/>
              </w:rPr>
            </w:pPr>
          </w:p>
        </w:tc>
        <w:tc>
          <w:tcPr>
            <w:tcW w:w="1351" w:type="dxa"/>
            <w:tcBorders>
              <w:top w:val="single" w:sz="4" w:space="0" w:color="000000"/>
              <w:left w:val="single" w:sz="4" w:space="0" w:color="000000"/>
              <w:bottom w:val="single" w:sz="4" w:space="0" w:color="000000"/>
              <w:right w:val="single" w:sz="4" w:space="0" w:color="000000"/>
            </w:tcBorders>
          </w:tcPr>
          <w:p w14:paraId="08AFB678"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57F7D011"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58F5F809"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F3965A1" w14:textId="77777777" w:rsidR="006F76EB" w:rsidRPr="00834D52" w:rsidRDefault="006F76EB" w:rsidP="00280FAE">
            <w:pPr>
              <w:spacing w:after="120" w:line="240" w:lineRule="auto"/>
              <w:ind w:right="-6"/>
              <w:rPr>
                <w:rFonts w:ascii="Sylfaen" w:hAnsi="Sylfaen"/>
                <w:sz w:val="24"/>
                <w:szCs w:val="24"/>
              </w:rPr>
            </w:pPr>
          </w:p>
        </w:tc>
      </w:tr>
      <w:tr w:rsidR="006F76EB" w:rsidRPr="00834D52" w14:paraId="7D7E197A" w14:textId="77777777" w:rsidTr="00DA7D09">
        <w:trPr>
          <w:trHeight w:val="838"/>
          <w:jc w:val="center"/>
        </w:trPr>
        <w:tc>
          <w:tcPr>
            <w:tcW w:w="3496" w:type="dxa"/>
            <w:tcBorders>
              <w:top w:val="single" w:sz="4" w:space="0" w:color="000000"/>
              <w:left w:val="single" w:sz="4" w:space="0" w:color="000000"/>
              <w:bottom w:val="single" w:sz="4" w:space="0" w:color="000000"/>
              <w:right w:val="single" w:sz="4" w:space="0" w:color="000000"/>
            </w:tcBorders>
          </w:tcPr>
          <w:p w14:paraId="09869F28" w14:textId="77777777" w:rsidR="006F76EB" w:rsidRPr="00834D52" w:rsidRDefault="006F76EB" w:rsidP="00280FAE">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351" w:type="dxa"/>
            <w:tcBorders>
              <w:top w:val="single" w:sz="4" w:space="0" w:color="000000"/>
              <w:left w:val="single" w:sz="4" w:space="0" w:color="000000"/>
              <w:bottom w:val="single" w:sz="4" w:space="0" w:color="000000"/>
              <w:right w:val="single" w:sz="4" w:space="0" w:color="000000"/>
            </w:tcBorders>
          </w:tcPr>
          <w:p w14:paraId="0C947AEE" w14:textId="77777777" w:rsidR="006F76EB" w:rsidRPr="00834D52" w:rsidRDefault="006F76EB" w:rsidP="00280FAE">
            <w:pPr>
              <w:spacing w:after="120" w:line="240" w:lineRule="auto"/>
              <w:ind w:right="-6"/>
              <w:rPr>
                <w:rFonts w:ascii="Sylfaen" w:hAnsi="Sylfaen"/>
                <w:sz w:val="24"/>
                <w:szCs w:val="24"/>
              </w:rPr>
            </w:pPr>
          </w:p>
        </w:tc>
        <w:tc>
          <w:tcPr>
            <w:tcW w:w="1575" w:type="dxa"/>
            <w:tcBorders>
              <w:top w:val="single" w:sz="4" w:space="0" w:color="000000"/>
              <w:left w:val="single" w:sz="4" w:space="0" w:color="000000"/>
              <w:bottom w:val="single" w:sz="4" w:space="0" w:color="000000"/>
              <w:right w:val="single" w:sz="4" w:space="0" w:color="000000"/>
            </w:tcBorders>
          </w:tcPr>
          <w:p w14:paraId="373CB52F" w14:textId="77777777" w:rsidR="006F76EB" w:rsidRPr="00834D52" w:rsidRDefault="006F76EB" w:rsidP="00280FAE">
            <w:pPr>
              <w:spacing w:after="120" w:line="240" w:lineRule="auto"/>
              <w:ind w:right="-6"/>
              <w:rPr>
                <w:rFonts w:ascii="Sylfaen" w:hAnsi="Sylfaen"/>
                <w:sz w:val="24"/>
                <w:szCs w:val="24"/>
              </w:rPr>
            </w:pPr>
          </w:p>
        </w:tc>
        <w:tc>
          <w:tcPr>
            <w:tcW w:w="1882" w:type="dxa"/>
            <w:tcBorders>
              <w:top w:val="single" w:sz="4" w:space="0" w:color="000000"/>
              <w:left w:val="single" w:sz="4" w:space="0" w:color="000000"/>
              <w:bottom w:val="single" w:sz="4" w:space="0" w:color="000000"/>
              <w:right w:val="single" w:sz="4" w:space="0" w:color="000000"/>
            </w:tcBorders>
          </w:tcPr>
          <w:p w14:paraId="2EFF92CF" w14:textId="77777777" w:rsidR="006F76EB" w:rsidRPr="00834D52" w:rsidRDefault="006F76EB" w:rsidP="00280FAE">
            <w:pPr>
              <w:spacing w:after="120" w:line="240" w:lineRule="auto"/>
              <w:ind w:right="-6"/>
              <w:rPr>
                <w:rFonts w:ascii="Sylfaen" w:hAnsi="Sylfaen"/>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DAFD4A9" w14:textId="77777777" w:rsidR="006F76EB" w:rsidRPr="00834D52" w:rsidRDefault="006F76EB" w:rsidP="00280FAE">
            <w:pPr>
              <w:spacing w:after="120" w:line="240" w:lineRule="auto"/>
              <w:ind w:right="-6"/>
              <w:rPr>
                <w:rFonts w:ascii="Sylfaen" w:hAnsi="Sylfaen"/>
                <w:sz w:val="24"/>
                <w:szCs w:val="24"/>
              </w:rPr>
            </w:pPr>
          </w:p>
        </w:tc>
      </w:tr>
    </w:tbl>
    <w:p w14:paraId="69A46576" w14:textId="77777777" w:rsidR="00280FAE" w:rsidRDefault="00280FAE" w:rsidP="006F76EB">
      <w:pPr>
        <w:spacing w:after="160" w:line="343" w:lineRule="auto"/>
        <w:ind w:right="-6"/>
        <w:jc w:val="center"/>
        <w:rPr>
          <w:rFonts w:ascii="Sylfaen" w:hAnsi="Sylfaen"/>
          <w:sz w:val="24"/>
          <w:szCs w:val="24"/>
          <w:lang w:val="en-US"/>
        </w:rPr>
      </w:pPr>
    </w:p>
    <w:p w14:paraId="62D561B7" w14:textId="4D73ABEF" w:rsidR="006F76EB" w:rsidRPr="00834D52" w:rsidRDefault="006F76EB" w:rsidP="00DA7D09">
      <w:pPr>
        <w:spacing w:after="160" w:line="384" w:lineRule="auto"/>
        <w:ind w:right="-6"/>
        <w:jc w:val="center"/>
        <w:rPr>
          <w:rFonts w:ascii="Sylfaen" w:hAnsi="Sylfaen"/>
          <w:sz w:val="24"/>
          <w:szCs w:val="24"/>
          <w:lang w:val="en-US"/>
        </w:rPr>
      </w:pPr>
      <w:r w:rsidRPr="00834D52">
        <w:rPr>
          <w:rFonts w:ascii="Sylfaen" w:hAnsi="Sylfaen"/>
          <w:sz w:val="24"/>
          <w:szCs w:val="24"/>
        </w:rPr>
        <w:t xml:space="preserve">4. </w:t>
      </w:r>
      <w:r w:rsidR="0056496B">
        <w:rPr>
          <w:rFonts w:ascii="Sylfaen" w:hAnsi="Sylfaen"/>
          <w:sz w:val="24"/>
          <w:szCs w:val="24"/>
        </w:rPr>
        <w:t>Դիմում</w:t>
      </w:r>
      <w:r w:rsidRPr="00834D52">
        <w:rPr>
          <w:rFonts w:ascii="Sylfaen" w:hAnsi="Sylfaen"/>
          <w:sz w:val="24"/>
          <w:szCs w:val="24"/>
        </w:rPr>
        <w:t>ի հավելվածները</w:t>
      </w:r>
    </w:p>
    <w:p w14:paraId="2F12A15E" w14:textId="04675DF0"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lang w:val="en-US"/>
        </w:rPr>
        <w:tab/>
      </w: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իրականացնելու լիազորագիրը (եթե կիրառելի է):</w:t>
      </w:r>
    </w:p>
    <w:p w14:paraId="78C55E99"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Դեղապատրաստուկի հազվադեպ կիրառվող («որբ») կարգավիճակը հաստատող փաստաթղթի պատճենը:</w:t>
      </w:r>
    </w:p>
    <w:p w14:paraId="46CB106A" w14:textId="77777777" w:rsidR="006F76EB" w:rsidRPr="00834D52" w:rsidRDefault="006F76EB" w:rsidP="00105DDA">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Գրանցվող դեղապատրաստուկի մասով Եվրասիական տնտեսական միության անդամ պետությունների տարածքում գործող արտոնագրերի պատճենները:</w:t>
      </w:r>
    </w:p>
    <w:p w14:paraId="77417DA8" w14:textId="5F36F78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lastRenderedPageBreak/>
        <w:t>4.4.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267E9D5B" w14:textId="77777777"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Ապրանքային նշանի Միության անդամ պետության տարածքում գործող՝ ապրանքային նշանի գրանցման վկայականի պատճենը:</w:t>
      </w:r>
    </w:p>
    <w:p w14:paraId="62676155" w14:textId="7D34C68A" w:rsidR="006F76EB" w:rsidRPr="00834D52" w:rsidRDefault="006F76EB" w:rsidP="00DA7D09">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4.6.</w:t>
      </w:r>
      <w:r w:rsidRPr="00834D52">
        <w:rPr>
          <w:rFonts w:ascii="Sylfaen" w:hAnsi="Sylfaen"/>
          <w:sz w:val="24"/>
          <w:szCs w:val="24"/>
        </w:rPr>
        <w:tab/>
        <w:t xml:space="preserve">Որակի վերահսկողության հարցերով լիազորված անձի </w:t>
      </w:r>
      <w:r w:rsidR="0056496B">
        <w:rPr>
          <w:rFonts w:ascii="Sylfaen" w:hAnsi="Sylfaen"/>
          <w:sz w:val="24"/>
          <w:szCs w:val="24"/>
        </w:rPr>
        <w:t>դիմում</w:t>
      </w:r>
      <w:r w:rsidRPr="00834D52">
        <w:rPr>
          <w:rFonts w:ascii="Sylfaen" w:hAnsi="Sylfaen"/>
          <w:sz w:val="24"/>
          <w:szCs w:val="24"/>
        </w:rPr>
        <w:t xml:space="preserve">ն արտադրության՝ Հանձնաժողովի կողմից հաստատվող՝ Եվրասիական տնտեսական միության պատշաճ արտադրական գործունեության կանոններին </w:t>
      </w:r>
      <w:r w:rsidR="00C54D75">
        <w:rPr>
          <w:rFonts w:ascii="Sylfaen" w:hAnsi="Sylfaen"/>
          <w:sz w:val="24"/>
          <w:szCs w:val="24"/>
        </w:rPr>
        <w:t>և</w:t>
      </w:r>
      <w:r w:rsidRPr="00834D52">
        <w:rPr>
          <w:rFonts w:ascii="Sylfaen" w:hAnsi="Sylfaen"/>
          <w:sz w:val="24"/>
          <w:szCs w:val="24"/>
        </w:rPr>
        <w:t xml:space="preserve">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մասով պատշաճ գործունեության ձեռնարկներին համապատասխանելու վերաբերյալ՝ ներառյալ այն հարթակները, որտեղ իրականացվում է որակի վերահսկողությունը (վերահսկողությունը արտադրության ընթացքում):</w:t>
      </w:r>
    </w:p>
    <w:p w14:paraId="330DD957" w14:textId="77777777" w:rsidR="006F76EB" w:rsidRPr="00834D52" w:rsidRDefault="006F76EB" w:rsidP="006F76EB">
      <w:pPr>
        <w:spacing w:after="160" w:line="360" w:lineRule="auto"/>
        <w:ind w:right="-8"/>
        <w:jc w:val="center"/>
        <w:rPr>
          <w:rFonts w:ascii="Sylfaen" w:hAnsi="Sylfaen"/>
          <w:sz w:val="24"/>
          <w:szCs w:val="24"/>
        </w:rPr>
      </w:pPr>
    </w:p>
    <w:p w14:paraId="3557A1D1" w14:textId="77777777" w:rsidR="006F76EB" w:rsidRPr="00834D52" w:rsidRDefault="006F76EB" w:rsidP="006F76EB">
      <w:pPr>
        <w:widowControl/>
        <w:rPr>
          <w:rFonts w:ascii="Sylfaen" w:hAnsi="Sylfaen"/>
          <w:sz w:val="24"/>
          <w:szCs w:val="24"/>
        </w:rPr>
      </w:pPr>
      <w:r w:rsidRPr="00834D52">
        <w:rPr>
          <w:rFonts w:ascii="Sylfaen" w:hAnsi="Sylfaen"/>
          <w:sz w:val="24"/>
          <w:szCs w:val="24"/>
        </w:rPr>
        <w:br w:type="page"/>
      </w:r>
    </w:p>
    <w:p w14:paraId="7DE7A624" w14:textId="76D56965"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II. </w:t>
      </w:r>
      <w:r w:rsidR="0056496B">
        <w:rPr>
          <w:rFonts w:ascii="Sylfaen" w:hAnsi="Sylfaen"/>
          <w:sz w:val="24"/>
          <w:szCs w:val="24"/>
        </w:rPr>
        <w:t>ԴԻՄՈՒՄ</w:t>
      </w:r>
    </w:p>
    <w:p w14:paraId="3ADD9D67"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դեղապատրաստուկի վերագրանցման</w:t>
      </w:r>
    </w:p>
    <w:p w14:paraId="62EC48AA" w14:textId="77777777" w:rsidR="006F76EB" w:rsidRPr="00834D52" w:rsidRDefault="006F76EB" w:rsidP="006F76EB">
      <w:pPr>
        <w:spacing w:after="160" w:line="360" w:lineRule="auto"/>
        <w:ind w:right="-8"/>
        <w:rPr>
          <w:rFonts w:ascii="Sylfaen" w:hAnsi="Sylfae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917"/>
      </w:tblGrid>
      <w:tr w:rsidR="006F76EB" w:rsidRPr="00834D52" w14:paraId="234C4CF0" w14:textId="77777777" w:rsidTr="00F71229">
        <w:trPr>
          <w:jc w:val="center"/>
        </w:trPr>
        <w:tc>
          <w:tcPr>
            <w:tcW w:w="5038" w:type="dxa"/>
          </w:tcPr>
          <w:p w14:paraId="1DAC9034" w14:textId="52C7821D"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5038" w:type="dxa"/>
          </w:tcPr>
          <w:p w14:paraId="0024EAB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թիվ_________________________________</w:t>
            </w:r>
          </w:p>
        </w:tc>
      </w:tr>
      <w:tr w:rsidR="006F76EB" w:rsidRPr="00834D52" w14:paraId="23CE8418" w14:textId="77777777" w:rsidTr="00F71229">
        <w:trPr>
          <w:jc w:val="center"/>
        </w:trPr>
        <w:tc>
          <w:tcPr>
            <w:tcW w:w="5038" w:type="dxa"/>
          </w:tcPr>
          <w:p w14:paraId="4130555A"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«____» ____________________ 20___թ.</w:t>
            </w:r>
          </w:p>
        </w:tc>
        <w:tc>
          <w:tcPr>
            <w:tcW w:w="5038" w:type="dxa"/>
          </w:tcPr>
          <w:p w14:paraId="76472E77" w14:textId="77777777" w:rsidR="006F76EB" w:rsidRPr="00834D52" w:rsidRDefault="006F76EB" w:rsidP="00F71229">
            <w:pPr>
              <w:spacing w:after="160" w:line="360" w:lineRule="auto"/>
              <w:ind w:right="-8"/>
              <w:rPr>
                <w:rFonts w:ascii="Sylfaen" w:eastAsia="Times New Roman" w:hAnsi="Sylfaen" w:cs="Times New Roman"/>
                <w:sz w:val="24"/>
                <w:szCs w:val="24"/>
              </w:rPr>
            </w:pPr>
          </w:p>
        </w:tc>
      </w:tr>
    </w:tbl>
    <w:p w14:paraId="44AE3FBF" w14:textId="77777777" w:rsidR="006F76EB" w:rsidRPr="00834D52" w:rsidRDefault="006F76EB" w:rsidP="006F76EB">
      <w:pPr>
        <w:spacing w:after="160" w:line="360" w:lineRule="auto"/>
        <w:ind w:right="-8"/>
        <w:rPr>
          <w:rFonts w:ascii="Sylfaen" w:hAnsi="Sylfaen"/>
          <w:sz w:val="24"/>
          <w:szCs w:val="24"/>
        </w:rPr>
      </w:pPr>
    </w:p>
    <w:tbl>
      <w:tblPr>
        <w:tblW w:w="9910" w:type="dxa"/>
        <w:jc w:val="center"/>
        <w:tblLayout w:type="fixed"/>
        <w:tblCellMar>
          <w:left w:w="0" w:type="dxa"/>
          <w:right w:w="0" w:type="dxa"/>
        </w:tblCellMar>
        <w:tblLook w:val="01E0" w:firstRow="1" w:lastRow="1" w:firstColumn="1" w:lastColumn="1" w:noHBand="0" w:noVBand="0"/>
      </w:tblPr>
      <w:tblGrid>
        <w:gridCol w:w="5240"/>
        <w:gridCol w:w="4670"/>
      </w:tblGrid>
      <w:tr w:rsidR="006F76EB" w:rsidRPr="00834D52" w14:paraId="7D27AB6E"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6BD0509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670" w:type="dxa"/>
            <w:tcBorders>
              <w:top w:val="single" w:sz="4" w:space="0" w:color="000000"/>
              <w:left w:val="single" w:sz="4" w:space="0" w:color="000000"/>
              <w:bottom w:val="single" w:sz="4" w:space="0" w:color="000000"/>
              <w:right w:val="single" w:sz="4" w:space="0" w:color="000000"/>
            </w:tcBorders>
          </w:tcPr>
          <w:p w14:paraId="31B162C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7CF7C38"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5E8A92C"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670" w:type="dxa"/>
            <w:tcBorders>
              <w:top w:val="single" w:sz="4" w:space="0" w:color="000000"/>
              <w:left w:val="single" w:sz="4" w:space="0" w:color="000000"/>
              <w:bottom w:val="single" w:sz="4" w:space="0" w:color="000000"/>
              <w:right w:val="single" w:sz="4" w:space="0" w:color="000000"/>
            </w:tcBorders>
          </w:tcPr>
          <w:p w14:paraId="79AEF3E4" w14:textId="77777777" w:rsidR="006F76EB" w:rsidRPr="00834D52" w:rsidRDefault="006F76EB" w:rsidP="00F71229">
            <w:pPr>
              <w:spacing w:after="120" w:line="240" w:lineRule="auto"/>
              <w:ind w:right="-6"/>
              <w:rPr>
                <w:rFonts w:ascii="Sylfaen" w:hAnsi="Sylfaen"/>
                <w:sz w:val="24"/>
                <w:szCs w:val="24"/>
              </w:rPr>
            </w:pPr>
          </w:p>
        </w:tc>
      </w:tr>
      <w:tr w:rsidR="006F76EB" w:rsidRPr="00834D52" w14:paraId="59B9BB5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DDD5D10"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Դոզավորումները կամ կոնցենտրացիաները </w:t>
            </w:r>
          </w:p>
        </w:tc>
        <w:tc>
          <w:tcPr>
            <w:tcW w:w="4670" w:type="dxa"/>
            <w:tcBorders>
              <w:top w:val="single" w:sz="4" w:space="0" w:color="000000"/>
              <w:left w:val="single" w:sz="4" w:space="0" w:color="000000"/>
              <w:bottom w:val="single" w:sz="4" w:space="0" w:color="000000"/>
              <w:right w:val="single" w:sz="4" w:space="0" w:color="000000"/>
            </w:tcBorders>
          </w:tcPr>
          <w:p w14:paraId="30481E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0BE8A35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556195B"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13179CD7" w14:textId="77777777" w:rsidR="006F76EB" w:rsidRPr="00834D52" w:rsidRDefault="006F76EB" w:rsidP="00F71229">
            <w:pPr>
              <w:spacing w:after="120" w:line="240" w:lineRule="auto"/>
              <w:ind w:right="-6"/>
              <w:rPr>
                <w:rFonts w:ascii="Sylfaen" w:hAnsi="Sylfaen"/>
                <w:sz w:val="24"/>
                <w:szCs w:val="24"/>
              </w:rPr>
            </w:pPr>
          </w:p>
        </w:tc>
      </w:tr>
      <w:tr w:rsidR="006F76EB" w:rsidRPr="00834D52" w14:paraId="39C0C97F"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76CF4C7E"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670" w:type="dxa"/>
            <w:tcBorders>
              <w:top w:val="single" w:sz="4" w:space="0" w:color="000000"/>
              <w:left w:val="single" w:sz="4" w:space="0" w:color="000000"/>
              <w:bottom w:val="single" w:sz="4" w:space="0" w:color="000000"/>
              <w:right w:val="single" w:sz="4" w:space="0" w:color="000000"/>
            </w:tcBorders>
          </w:tcPr>
          <w:p w14:paraId="09B682B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F6E5E73"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3FED704"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670" w:type="dxa"/>
            <w:tcBorders>
              <w:top w:val="single" w:sz="4" w:space="0" w:color="000000"/>
              <w:left w:val="single" w:sz="4" w:space="0" w:color="000000"/>
              <w:bottom w:val="single" w:sz="4" w:space="0" w:color="000000"/>
              <w:right w:val="single" w:sz="4" w:space="0" w:color="000000"/>
            </w:tcBorders>
          </w:tcPr>
          <w:p w14:paraId="528B920A"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CDB760"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582A534B" w14:textId="0262781A"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670" w:type="dxa"/>
            <w:tcBorders>
              <w:top w:val="single" w:sz="4" w:space="0" w:color="000000"/>
              <w:left w:val="single" w:sz="4" w:space="0" w:color="000000"/>
              <w:bottom w:val="single" w:sz="4" w:space="0" w:color="000000"/>
              <w:right w:val="single" w:sz="4" w:space="0" w:color="000000"/>
            </w:tcBorders>
          </w:tcPr>
          <w:p w14:paraId="6ACA4533" w14:textId="77777777" w:rsidR="006F76EB" w:rsidRPr="00834D52" w:rsidRDefault="006F76EB" w:rsidP="00F71229">
            <w:pPr>
              <w:spacing w:after="120" w:line="240" w:lineRule="auto"/>
              <w:ind w:right="-6"/>
              <w:rPr>
                <w:rFonts w:ascii="Sylfaen" w:hAnsi="Sylfaen"/>
                <w:sz w:val="24"/>
                <w:szCs w:val="24"/>
              </w:rPr>
            </w:pPr>
          </w:p>
        </w:tc>
      </w:tr>
      <w:tr w:rsidR="006F76EB" w:rsidRPr="00834D52" w14:paraId="70250E79"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2B00D5D6" w14:textId="7E093DED" w:rsidR="006F76EB" w:rsidRPr="00834D52" w:rsidRDefault="0056496B" w:rsidP="00F71229">
            <w:pPr>
              <w:spacing w:after="12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670" w:type="dxa"/>
            <w:tcBorders>
              <w:top w:val="single" w:sz="4" w:space="0" w:color="000000"/>
              <w:left w:val="single" w:sz="4" w:space="0" w:color="000000"/>
              <w:bottom w:val="single" w:sz="4" w:space="0" w:color="000000"/>
              <w:right w:val="single" w:sz="4" w:space="0" w:color="000000"/>
            </w:tcBorders>
          </w:tcPr>
          <w:p w14:paraId="5A18453D" w14:textId="77777777" w:rsidR="006F76EB" w:rsidRPr="00834D52" w:rsidRDefault="006F76EB" w:rsidP="00F71229">
            <w:pPr>
              <w:spacing w:after="120" w:line="240" w:lineRule="auto"/>
              <w:ind w:right="-6"/>
              <w:rPr>
                <w:rFonts w:ascii="Sylfaen" w:hAnsi="Sylfaen"/>
                <w:sz w:val="24"/>
                <w:szCs w:val="24"/>
              </w:rPr>
            </w:pPr>
          </w:p>
        </w:tc>
      </w:tr>
      <w:tr w:rsidR="006F76EB" w:rsidRPr="00834D52" w14:paraId="6C136EB6" w14:textId="77777777" w:rsidTr="00F71229">
        <w:trPr>
          <w:jc w:val="center"/>
        </w:trPr>
        <w:tc>
          <w:tcPr>
            <w:tcW w:w="9910" w:type="dxa"/>
            <w:gridSpan w:val="2"/>
            <w:tcBorders>
              <w:top w:val="single" w:sz="4" w:space="0" w:color="000000"/>
              <w:left w:val="single" w:sz="4" w:space="0" w:color="000000"/>
              <w:bottom w:val="single" w:sz="4" w:space="0" w:color="000000"/>
              <w:right w:val="single" w:sz="4" w:space="0" w:color="000000"/>
            </w:tcBorders>
          </w:tcPr>
          <w:p w14:paraId="58A92593" w14:textId="77777777" w:rsidR="006F76EB" w:rsidRPr="00834D52" w:rsidRDefault="006F76EB" w:rsidP="00F71229">
            <w:pPr>
              <w:spacing w:after="12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135139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408B350D"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670" w:type="dxa"/>
            <w:tcBorders>
              <w:top w:val="single" w:sz="4" w:space="0" w:color="000000"/>
              <w:left w:val="single" w:sz="4" w:space="0" w:color="000000"/>
              <w:bottom w:val="single" w:sz="4" w:space="0" w:color="000000"/>
              <w:right w:val="single" w:sz="4" w:space="0" w:color="000000"/>
            </w:tcBorders>
          </w:tcPr>
          <w:p w14:paraId="377F1428"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ECD59BB"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0C3DE951"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670" w:type="dxa"/>
            <w:tcBorders>
              <w:top w:val="single" w:sz="4" w:space="0" w:color="000000"/>
              <w:left w:val="single" w:sz="4" w:space="0" w:color="000000"/>
              <w:bottom w:val="single" w:sz="4" w:space="0" w:color="000000"/>
              <w:right w:val="single" w:sz="4" w:space="0" w:color="000000"/>
            </w:tcBorders>
          </w:tcPr>
          <w:p w14:paraId="3E2C9142" w14:textId="77777777" w:rsidR="006F76EB" w:rsidRPr="00834D52" w:rsidRDefault="006F76EB" w:rsidP="00F71229">
            <w:pPr>
              <w:spacing w:after="120" w:line="240" w:lineRule="auto"/>
              <w:ind w:right="-6"/>
              <w:rPr>
                <w:rFonts w:ascii="Sylfaen" w:hAnsi="Sylfaen"/>
                <w:sz w:val="24"/>
                <w:szCs w:val="24"/>
              </w:rPr>
            </w:pPr>
          </w:p>
        </w:tc>
      </w:tr>
      <w:tr w:rsidR="006F76EB" w:rsidRPr="00834D52" w14:paraId="41EF2B74" w14:textId="77777777" w:rsidTr="00F71229">
        <w:trPr>
          <w:jc w:val="center"/>
        </w:trPr>
        <w:tc>
          <w:tcPr>
            <w:tcW w:w="5240" w:type="dxa"/>
            <w:tcBorders>
              <w:top w:val="single" w:sz="4" w:space="0" w:color="000000"/>
              <w:left w:val="single" w:sz="4" w:space="0" w:color="000000"/>
              <w:bottom w:val="single" w:sz="4" w:space="0" w:color="000000"/>
              <w:right w:val="single" w:sz="4" w:space="0" w:color="000000"/>
            </w:tcBorders>
          </w:tcPr>
          <w:p w14:paraId="36F84316" w14:textId="77777777" w:rsidR="006F76EB" w:rsidRPr="00834D52" w:rsidRDefault="006F76EB" w:rsidP="00F71229">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670" w:type="dxa"/>
            <w:tcBorders>
              <w:top w:val="single" w:sz="4" w:space="0" w:color="000000"/>
              <w:left w:val="single" w:sz="4" w:space="0" w:color="000000"/>
              <w:bottom w:val="single" w:sz="4" w:space="0" w:color="000000"/>
              <w:right w:val="single" w:sz="4" w:space="0" w:color="000000"/>
            </w:tcBorders>
          </w:tcPr>
          <w:p w14:paraId="6D3268E6" w14:textId="77777777" w:rsidR="006F76EB" w:rsidRPr="00834D52" w:rsidRDefault="006F76EB" w:rsidP="00F71229">
            <w:pPr>
              <w:spacing w:after="120" w:line="240" w:lineRule="auto"/>
              <w:ind w:right="-6"/>
              <w:rPr>
                <w:rFonts w:ascii="Sylfaen" w:hAnsi="Sylfaen"/>
                <w:sz w:val="24"/>
                <w:szCs w:val="24"/>
              </w:rPr>
            </w:pPr>
          </w:p>
        </w:tc>
      </w:tr>
    </w:tbl>
    <w:p w14:paraId="0F62CA33"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 համար:</w:t>
      </w:r>
    </w:p>
    <w:p w14:paraId="5BF3BDD3" w14:textId="44FDF5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426FC">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30C62371" w14:textId="7572122C"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z w:val="24"/>
          <w:szCs w:val="24"/>
        </w:rPr>
        <w:t>և</w:t>
      </w:r>
      <w:r w:rsidRPr="00834D52">
        <w:rPr>
          <w:rFonts w:ascii="Sylfaen" w:hAnsi="Sylfaen"/>
          <w:sz w:val="24"/>
          <w:szCs w:val="24"/>
        </w:rPr>
        <w:t xml:space="preserve"> դրանցով չեն խախտվում </w:t>
      </w:r>
      <w:r w:rsidRPr="00834D52">
        <w:rPr>
          <w:rFonts w:ascii="Sylfaen" w:hAnsi="Sylfaen"/>
          <w:sz w:val="24"/>
          <w:szCs w:val="24"/>
        </w:rPr>
        <w:lastRenderedPageBreak/>
        <w:t xml:space="preserve">երրորդ անձանց մտավոր սեփականության իրավունքները (սույն </w:t>
      </w:r>
      <w:r w:rsidR="0056496B">
        <w:rPr>
          <w:rFonts w:ascii="Sylfaen" w:hAnsi="Sylfaen"/>
          <w:sz w:val="24"/>
          <w:szCs w:val="24"/>
        </w:rPr>
        <w:t>դիմում</w:t>
      </w:r>
      <w:r w:rsidRPr="00834D52">
        <w:rPr>
          <w:rFonts w:ascii="Sylfaen" w:hAnsi="Sylfaen"/>
          <w:sz w:val="24"/>
          <w:szCs w:val="24"/>
        </w:rPr>
        <w:t xml:space="preserve">ի հավելվածի </w:t>
      </w:r>
      <w:r w:rsidR="00E90FAF" w:rsidRPr="00E90FAF">
        <w:rPr>
          <w:rFonts w:ascii="Sylfaen" w:hAnsi="Sylfaen"/>
          <w:sz w:val="24"/>
          <w:szCs w:val="24"/>
        </w:rPr>
        <w:t>5</w:t>
      </w:r>
      <w:r w:rsidRPr="00834D52">
        <w:rPr>
          <w:rFonts w:ascii="Sylfaen" w:hAnsi="Sylfaen"/>
          <w:sz w:val="24"/>
          <w:szCs w:val="24"/>
        </w:rPr>
        <w:t xml:space="preserve">.3 </w:t>
      </w:r>
      <w:r w:rsidR="00C54D75">
        <w:rPr>
          <w:rFonts w:ascii="Sylfaen" w:hAnsi="Sylfaen"/>
          <w:sz w:val="24"/>
          <w:szCs w:val="24"/>
        </w:rPr>
        <w:t>և</w:t>
      </w:r>
      <w:r w:rsidRPr="00834D52">
        <w:rPr>
          <w:rFonts w:ascii="Sylfaen" w:hAnsi="Sylfaen"/>
          <w:sz w:val="24"/>
          <w:szCs w:val="24"/>
        </w:rPr>
        <w:t xml:space="preserve"> </w:t>
      </w:r>
      <w:r w:rsidR="00E90FAF" w:rsidRPr="00E90FAF">
        <w:rPr>
          <w:rFonts w:ascii="Sylfaen" w:hAnsi="Sylfaen"/>
          <w:sz w:val="24"/>
          <w:szCs w:val="24"/>
        </w:rPr>
        <w:t>5</w:t>
      </w:r>
      <w:r w:rsidRPr="00834D52">
        <w:rPr>
          <w:rFonts w:ascii="Sylfaen" w:hAnsi="Sylfaen"/>
          <w:sz w:val="24"/>
          <w:szCs w:val="24"/>
        </w:rPr>
        <w:t xml:space="preserve">.4 ենթակետեր): </w:t>
      </w:r>
    </w:p>
    <w:p w14:paraId="3C4A6D1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 </w:t>
      </w:r>
    </w:p>
    <w:p w14:paraId="0E479FF7" w14:textId="35406153"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Կից ներկայացված է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6CD07855" w14:textId="77777777" w:rsidR="006F76EB" w:rsidRPr="00834D52" w:rsidRDefault="006F76EB" w:rsidP="004F6D87">
      <w:pPr>
        <w:spacing w:after="120" w:line="240" w:lineRule="auto"/>
        <w:ind w:right="-6" w:firstLine="567"/>
        <w:jc w:val="both"/>
        <w:rPr>
          <w:rFonts w:ascii="Sylfaen" w:hAnsi="Sylfaen"/>
          <w:sz w:val="24"/>
          <w:szCs w:val="24"/>
        </w:rPr>
      </w:pPr>
    </w:p>
    <w:p w14:paraId="14A53829" w14:textId="794118A7"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21684A4C"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38F71170" w14:textId="77777777" w:rsidR="006F76EB" w:rsidRPr="00834D52" w:rsidRDefault="006F76EB" w:rsidP="006F76EB">
      <w:pPr>
        <w:spacing w:after="160" w:line="360" w:lineRule="auto"/>
        <w:ind w:right="5526"/>
        <w:jc w:val="center"/>
        <w:rPr>
          <w:rFonts w:ascii="Sylfaen" w:eastAsia="Times New Roman" w:hAnsi="Sylfaen" w:cs="Times New Roman"/>
          <w:sz w:val="20"/>
          <w:szCs w:val="24"/>
        </w:rPr>
      </w:pPr>
      <w:r w:rsidRPr="00834D52">
        <w:rPr>
          <w:rFonts w:ascii="Sylfaen" w:hAnsi="Sylfaen"/>
          <w:sz w:val="20"/>
          <w:szCs w:val="24"/>
        </w:rPr>
        <w:t>(ստորագրություն)</w:t>
      </w:r>
    </w:p>
    <w:p w14:paraId="7964C8A1" w14:textId="77777777" w:rsidR="006F76EB" w:rsidRPr="00834D52" w:rsidRDefault="006F76EB" w:rsidP="006F76EB">
      <w:pPr>
        <w:spacing w:after="0" w:line="240" w:lineRule="auto"/>
        <w:ind w:right="5526"/>
        <w:jc w:val="both"/>
        <w:rPr>
          <w:rFonts w:ascii="Sylfaen" w:eastAsia="Times New Roman" w:hAnsi="Sylfaen" w:cs="Times New Roman"/>
          <w:sz w:val="24"/>
          <w:szCs w:val="24"/>
        </w:rPr>
      </w:pPr>
      <w:r w:rsidRPr="00834D52">
        <w:rPr>
          <w:rFonts w:ascii="Sylfaen" w:hAnsi="Sylfaen"/>
          <w:sz w:val="24"/>
          <w:szCs w:val="24"/>
        </w:rPr>
        <w:t>_____________________________</w:t>
      </w:r>
    </w:p>
    <w:p w14:paraId="2A71CB9D"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(ազգանուն, անուն, հայրանուն)</w:t>
      </w:r>
    </w:p>
    <w:p w14:paraId="6A9D1B14" w14:textId="77777777" w:rsidR="006F76EB" w:rsidRPr="00834D52" w:rsidRDefault="006F76EB" w:rsidP="006F76EB">
      <w:pPr>
        <w:spacing w:after="0" w:line="240" w:lineRule="auto"/>
        <w:ind w:right="-6"/>
        <w:jc w:val="both"/>
        <w:rPr>
          <w:rFonts w:ascii="Sylfaen" w:eastAsia="Times New Roman" w:hAnsi="Sylfaen" w:cs="Times New Roman"/>
          <w:sz w:val="24"/>
          <w:szCs w:val="24"/>
        </w:rPr>
      </w:pPr>
      <w:r w:rsidRPr="00834D52">
        <w:rPr>
          <w:rFonts w:ascii="Sylfaen" w:hAnsi="Sylfaen"/>
          <w:sz w:val="24"/>
          <w:szCs w:val="24"/>
        </w:rPr>
        <w:t>_____________________________</w:t>
      </w:r>
    </w:p>
    <w:p w14:paraId="2824AE53" w14:textId="77777777" w:rsidR="006F76EB" w:rsidRPr="00834D52" w:rsidRDefault="006F76EB" w:rsidP="006F76EB">
      <w:pPr>
        <w:spacing w:after="160" w:line="360" w:lineRule="auto"/>
        <w:ind w:right="5526"/>
        <w:jc w:val="center"/>
        <w:rPr>
          <w:rFonts w:ascii="Sylfaen" w:eastAsia="Times New Roman" w:hAnsi="Sylfaen" w:cs="Times New Roman"/>
          <w:sz w:val="20"/>
          <w:szCs w:val="20"/>
        </w:rPr>
      </w:pPr>
      <w:r w:rsidRPr="00834D52">
        <w:rPr>
          <w:rFonts w:ascii="Sylfaen" w:hAnsi="Sylfaen"/>
          <w:sz w:val="20"/>
          <w:szCs w:val="20"/>
        </w:rPr>
        <w:t>(պաշտոն)</w:t>
      </w:r>
    </w:p>
    <w:p w14:paraId="22407AC0" w14:textId="77777777" w:rsidR="006F76EB" w:rsidRPr="00834D52" w:rsidRDefault="006F76EB" w:rsidP="008B170E">
      <w:pPr>
        <w:spacing w:after="160" w:line="240" w:lineRule="auto"/>
        <w:ind w:right="-6"/>
        <w:rPr>
          <w:rFonts w:ascii="Sylfaen" w:hAnsi="Sylfaen"/>
          <w:sz w:val="24"/>
          <w:szCs w:val="24"/>
        </w:rPr>
      </w:pPr>
    </w:p>
    <w:p w14:paraId="1EB1CE00" w14:textId="77777777" w:rsidR="006F76EB" w:rsidRPr="00834D52" w:rsidRDefault="006F76EB" w:rsidP="006F76EB">
      <w:pPr>
        <w:spacing w:after="160" w:line="360" w:lineRule="auto"/>
        <w:ind w:right="-8"/>
        <w:rPr>
          <w:rFonts w:ascii="Sylfaen" w:eastAsia="Times New Roman" w:hAnsi="Sylfaen" w:cs="Times New Roman"/>
          <w:sz w:val="24"/>
          <w:szCs w:val="24"/>
        </w:rPr>
      </w:pPr>
      <w:r w:rsidRPr="00834D52">
        <w:rPr>
          <w:rFonts w:ascii="Sylfaen" w:hAnsi="Sylfaen"/>
          <w:sz w:val="24"/>
          <w:szCs w:val="24"/>
        </w:rPr>
        <w:t>Կ. Տ.</w:t>
      </w:r>
    </w:p>
    <w:p w14:paraId="26389CF6" w14:textId="681FC9F0" w:rsidR="006F76EB" w:rsidRPr="000D7620" w:rsidRDefault="006F76EB" w:rsidP="006F76EB">
      <w:pPr>
        <w:spacing w:after="160" w:line="360" w:lineRule="auto"/>
        <w:ind w:right="-8"/>
        <w:jc w:val="center"/>
        <w:rPr>
          <w:rFonts w:ascii="Sylfaen" w:eastAsia="Times New Roman" w:hAnsi="Sylfaen" w:cs="Times New Roman"/>
          <w:sz w:val="24"/>
          <w:szCs w:val="24"/>
        </w:rPr>
      </w:pPr>
      <w:r w:rsidRPr="000D7620">
        <w:rPr>
          <w:rFonts w:ascii="Sylfaen" w:hAnsi="Sylfaen"/>
          <w:sz w:val="24"/>
          <w:szCs w:val="24"/>
        </w:rPr>
        <w:t xml:space="preserve">1. </w:t>
      </w:r>
      <w:r w:rsidR="0056496B">
        <w:rPr>
          <w:rFonts w:ascii="Sylfaen" w:hAnsi="Sylfaen"/>
          <w:sz w:val="24"/>
          <w:szCs w:val="24"/>
        </w:rPr>
        <w:t>Դիմում</w:t>
      </w:r>
      <w:r w:rsidRPr="000D7620">
        <w:rPr>
          <w:rFonts w:ascii="Sylfaen" w:hAnsi="Sylfaen"/>
          <w:sz w:val="24"/>
          <w:szCs w:val="24"/>
        </w:rPr>
        <w:t>ի ընդհանուր կետերը</w:t>
      </w:r>
    </w:p>
    <w:p w14:paraId="64EA3D5E" w14:textId="77777777" w:rsidR="006F76EB" w:rsidRPr="00834D52" w:rsidRDefault="006F76EB" w:rsidP="006F76EB">
      <w:pPr>
        <w:spacing w:after="160" w:line="360" w:lineRule="auto"/>
        <w:ind w:right="-8"/>
        <w:jc w:val="both"/>
        <w:rPr>
          <w:rFonts w:ascii="Sylfaen" w:hAnsi="Sylfaen"/>
          <w:sz w:val="24"/>
          <w:szCs w:val="24"/>
        </w:rPr>
      </w:pPr>
    </w:p>
    <w:p w14:paraId="09411B3D" w14:textId="6D7F6CCE" w:rsidR="006F76EB" w:rsidRPr="00834D52" w:rsidRDefault="006F76EB" w:rsidP="000D762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21BEAFB4" w14:textId="1BFFEA78"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 xml:space="preserve">ը ներկայացված է փոխադարձ ճանաչման ընթացակարգով՝ </w:t>
      </w:r>
    </w:p>
    <w:tbl>
      <w:tblPr>
        <w:tblW w:w="9714" w:type="dxa"/>
        <w:jc w:val="center"/>
        <w:tblLayout w:type="fixed"/>
        <w:tblCellMar>
          <w:left w:w="0" w:type="dxa"/>
          <w:right w:w="0" w:type="dxa"/>
        </w:tblCellMar>
        <w:tblLook w:val="01E0" w:firstRow="1" w:lastRow="1" w:firstColumn="1" w:lastColumn="1" w:noHBand="0" w:noVBand="0"/>
      </w:tblPr>
      <w:tblGrid>
        <w:gridCol w:w="5145"/>
        <w:gridCol w:w="4569"/>
      </w:tblGrid>
      <w:tr w:rsidR="006F76EB" w:rsidRPr="00834D52" w14:paraId="7C80BD5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2B675D3D" w14:textId="77777777" w:rsidR="006F76EB" w:rsidRPr="00834D52" w:rsidRDefault="0032680A" w:rsidP="008B170E">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69" w:type="dxa"/>
            <w:tcBorders>
              <w:top w:val="single" w:sz="4" w:space="0" w:color="000000"/>
              <w:left w:val="single" w:sz="4" w:space="0" w:color="000000"/>
              <w:bottom w:val="single" w:sz="4" w:space="0" w:color="000000"/>
              <w:right w:val="single" w:sz="4" w:space="0" w:color="000000"/>
            </w:tcBorders>
          </w:tcPr>
          <w:p w14:paraId="3770C6A0"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5390EF" w14:textId="77777777" w:rsidTr="00EB2655">
        <w:trPr>
          <w:trHeight w:val="964"/>
          <w:jc w:val="center"/>
        </w:trPr>
        <w:tc>
          <w:tcPr>
            <w:tcW w:w="5145" w:type="dxa"/>
            <w:tcBorders>
              <w:top w:val="single" w:sz="4" w:space="0" w:color="000000"/>
              <w:left w:val="single" w:sz="4" w:space="0" w:color="000000"/>
              <w:bottom w:val="single" w:sz="4" w:space="0" w:color="000000"/>
              <w:right w:val="single" w:sz="4" w:space="0" w:color="000000"/>
            </w:tcBorders>
          </w:tcPr>
          <w:p w14:paraId="71EBBA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 xml:space="preserve">պետությունում </w:t>
            </w:r>
          </w:p>
        </w:tc>
        <w:tc>
          <w:tcPr>
            <w:tcW w:w="4569" w:type="dxa"/>
            <w:tcBorders>
              <w:top w:val="single" w:sz="4" w:space="0" w:color="000000"/>
              <w:left w:val="single" w:sz="4" w:space="0" w:color="000000"/>
              <w:bottom w:val="single" w:sz="4" w:space="0" w:color="000000"/>
              <w:right w:val="single" w:sz="4" w:space="0" w:color="000000"/>
            </w:tcBorders>
          </w:tcPr>
          <w:p w14:paraId="7B5B8D9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DDDF0E3" w14:textId="77777777" w:rsidTr="00EB2655">
        <w:trPr>
          <w:trHeight w:val="579"/>
          <w:jc w:val="center"/>
        </w:trPr>
        <w:tc>
          <w:tcPr>
            <w:tcW w:w="5145" w:type="dxa"/>
            <w:tcBorders>
              <w:top w:val="single" w:sz="4" w:space="0" w:color="000000"/>
              <w:left w:val="single" w:sz="4" w:space="0" w:color="000000"/>
              <w:bottom w:val="single" w:sz="4" w:space="0" w:color="000000"/>
              <w:right w:val="single" w:sz="4" w:space="0" w:color="000000"/>
            </w:tcBorders>
          </w:tcPr>
          <w:p w14:paraId="5AEBC16B"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569" w:type="dxa"/>
            <w:tcBorders>
              <w:top w:val="single" w:sz="4" w:space="0" w:color="000000"/>
              <w:left w:val="single" w:sz="4" w:space="0" w:color="000000"/>
              <w:bottom w:val="single" w:sz="4" w:space="0" w:color="000000"/>
              <w:right w:val="single" w:sz="4" w:space="0" w:color="000000"/>
            </w:tcBorders>
          </w:tcPr>
          <w:p w14:paraId="2168003D"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2C85E1E" w14:textId="77777777" w:rsidTr="00EB2655">
        <w:trPr>
          <w:trHeight w:val="537"/>
          <w:jc w:val="center"/>
        </w:trPr>
        <w:tc>
          <w:tcPr>
            <w:tcW w:w="5145" w:type="dxa"/>
            <w:tcBorders>
              <w:top w:val="single" w:sz="4" w:space="0" w:color="000000"/>
              <w:left w:val="single" w:sz="4" w:space="0" w:color="000000"/>
              <w:bottom w:val="single" w:sz="4" w:space="0" w:color="000000"/>
              <w:right w:val="single" w:sz="4" w:space="0" w:color="000000"/>
            </w:tcBorders>
          </w:tcPr>
          <w:p w14:paraId="366F0E4E"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569" w:type="dxa"/>
            <w:tcBorders>
              <w:top w:val="single" w:sz="4" w:space="0" w:color="000000"/>
              <w:left w:val="single" w:sz="4" w:space="0" w:color="000000"/>
              <w:bottom w:val="single" w:sz="4" w:space="0" w:color="000000"/>
              <w:right w:val="single" w:sz="4" w:space="0" w:color="000000"/>
            </w:tcBorders>
          </w:tcPr>
          <w:p w14:paraId="5D84980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57B17B37"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1BCF7320"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գրանցման հավաստագրի պատճենը</w:t>
            </w:r>
          </w:p>
        </w:tc>
        <w:tc>
          <w:tcPr>
            <w:tcW w:w="4569" w:type="dxa"/>
            <w:tcBorders>
              <w:top w:val="single" w:sz="4" w:space="0" w:color="000000"/>
              <w:left w:val="single" w:sz="4" w:space="0" w:color="000000"/>
              <w:bottom w:val="single" w:sz="4" w:space="0" w:color="000000"/>
              <w:right w:val="single" w:sz="4" w:space="0" w:color="000000"/>
            </w:tcBorders>
          </w:tcPr>
          <w:p w14:paraId="00805E62" w14:textId="77777777" w:rsidR="006F76EB" w:rsidRPr="00834D52" w:rsidRDefault="006F76EB" w:rsidP="008B170E">
            <w:pPr>
              <w:spacing w:after="120" w:line="240" w:lineRule="auto"/>
              <w:ind w:right="-6"/>
              <w:rPr>
                <w:rFonts w:ascii="Sylfaen" w:hAnsi="Sylfaen"/>
                <w:sz w:val="24"/>
                <w:szCs w:val="24"/>
              </w:rPr>
            </w:pPr>
          </w:p>
        </w:tc>
      </w:tr>
      <w:tr w:rsidR="006F76EB" w:rsidRPr="00834D52" w14:paraId="4ACA5FB1" w14:textId="77777777" w:rsidTr="00EB2655">
        <w:trPr>
          <w:trHeight w:val="557"/>
          <w:jc w:val="center"/>
        </w:trPr>
        <w:tc>
          <w:tcPr>
            <w:tcW w:w="5145" w:type="dxa"/>
            <w:tcBorders>
              <w:top w:val="single" w:sz="4" w:space="0" w:color="000000"/>
              <w:left w:val="single" w:sz="4" w:space="0" w:color="000000"/>
              <w:bottom w:val="single" w:sz="4" w:space="0" w:color="000000"/>
              <w:right w:val="single" w:sz="4" w:space="0" w:color="000000"/>
            </w:tcBorders>
          </w:tcPr>
          <w:p w14:paraId="4ED0CDDD" w14:textId="08078CE0"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69" w:type="dxa"/>
            <w:tcBorders>
              <w:top w:val="single" w:sz="4" w:space="0" w:color="000000"/>
              <w:left w:val="single" w:sz="4" w:space="0" w:color="000000"/>
              <w:bottom w:val="single" w:sz="4" w:space="0" w:color="000000"/>
              <w:right w:val="single" w:sz="4" w:space="0" w:color="000000"/>
            </w:tcBorders>
          </w:tcPr>
          <w:p w14:paraId="3B767745" w14:textId="77777777" w:rsidR="006F76EB" w:rsidRPr="00834D52" w:rsidRDefault="006F76EB" w:rsidP="008B170E">
            <w:pPr>
              <w:spacing w:after="120" w:line="240" w:lineRule="auto"/>
              <w:ind w:right="-6"/>
              <w:rPr>
                <w:rFonts w:ascii="Sylfaen" w:hAnsi="Sylfaen"/>
                <w:sz w:val="24"/>
                <w:szCs w:val="24"/>
              </w:rPr>
            </w:pPr>
          </w:p>
        </w:tc>
      </w:tr>
      <w:tr w:rsidR="006F76EB" w:rsidRPr="00834D52" w14:paraId="270F8615" w14:textId="77777777" w:rsidTr="00EB2655">
        <w:trPr>
          <w:trHeight w:val="1351"/>
          <w:jc w:val="center"/>
        </w:trPr>
        <w:tc>
          <w:tcPr>
            <w:tcW w:w="5145" w:type="dxa"/>
            <w:tcBorders>
              <w:top w:val="single" w:sz="4" w:space="0" w:color="000000"/>
              <w:left w:val="single" w:sz="4" w:space="0" w:color="000000"/>
              <w:bottom w:val="single" w:sz="4" w:space="0" w:color="000000"/>
              <w:right w:val="single" w:sz="4" w:space="0" w:color="000000"/>
            </w:tcBorders>
          </w:tcPr>
          <w:p w14:paraId="50C5EA08" w14:textId="2C3AC9EE" w:rsidR="006F76EB" w:rsidRPr="00834D52" w:rsidRDefault="0056496B" w:rsidP="008B170E">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53B021DA" w14:textId="77777777" w:rsidR="006F76EB" w:rsidRPr="00834D52" w:rsidRDefault="006F76EB" w:rsidP="008B170E">
            <w:pPr>
              <w:spacing w:after="120" w:line="240" w:lineRule="auto"/>
              <w:ind w:right="-6"/>
              <w:rPr>
                <w:rFonts w:ascii="Sylfaen" w:hAnsi="Sylfaen"/>
                <w:sz w:val="24"/>
                <w:szCs w:val="24"/>
              </w:rPr>
            </w:pPr>
          </w:p>
        </w:tc>
      </w:tr>
      <w:tr w:rsidR="006F76EB" w:rsidRPr="00834D52" w14:paraId="0295B8BB" w14:textId="77777777" w:rsidTr="00EB2655">
        <w:trPr>
          <w:trHeight w:val="1759"/>
          <w:jc w:val="center"/>
        </w:trPr>
        <w:tc>
          <w:tcPr>
            <w:tcW w:w="5145" w:type="dxa"/>
            <w:tcBorders>
              <w:top w:val="single" w:sz="4" w:space="0" w:color="000000"/>
              <w:left w:val="single" w:sz="4" w:space="0" w:color="000000"/>
              <w:bottom w:val="single" w:sz="4" w:space="0" w:color="000000"/>
              <w:right w:val="single" w:sz="4" w:space="0" w:color="000000"/>
            </w:tcBorders>
          </w:tcPr>
          <w:p w14:paraId="19979DF6" w14:textId="77777777" w:rsidR="006F76EB" w:rsidRPr="00834D52" w:rsidRDefault="006F76EB" w:rsidP="008B170E">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4569" w:type="dxa"/>
            <w:tcBorders>
              <w:top w:val="single" w:sz="4" w:space="0" w:color="000000"/>
              <w:left w:val="single" w:sz="4" w:space="0" w:color="000000"/>
              <w:bottom w:val="single" w:sz="4" w:space="0" w:color="000000"/>
              <w:right w:val="single" w:sz="4" w:space="0" w:color="000000"/>
            </w:tcBorders>
          </w:tcPr>
          <w:p w14:paraId="6893A109" w14:textId="77777777" w:rsidR="006F76EB" w:rsidRPr="00834D52" w:rsidRDefault="006F76EB" w:rsidP="008B170E">
            <w:pPr>
              <w:spacing w:after="120" w:line="240" w:lineRule="auto"/>
              <w:ind w:right="-6"/>
              <w:rPr>
                <w:rFonts w:ascii="Sylfaen" w:hAnsi="Sylfaen"/>
                <w:sz w:val="24"/>
                <w:szCs w:val="24"/>
              </w:rPr>
            </w:pPr>
          </w:p>
        </w:tc>
      </w:tr>
    </w:tbl>
    <w:p w14:paraId="44DC84F9" w14:textId="45EE8B61" w:rsidR="006F76EB" w:rsidRPr="00834D52" w:rsidRDefault="006F76EB" w:rsidP="006F76EB">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jc w:val="center"/>
        <w:tblLayout w:type="fixed"/>
        <w:tblCellMar>
          <w:left w:w="0" w:type="dxa"/>
          <w:right w:w="0" w:type="dxa"/>
        </w:tblCellMar>
        <w:tblLook w:val="01E0" w:firstRow="1" w:lastRow="1" w:firstColumn="1" w:lastColumn="1" w:noHBand="0" w:noVBand="0"/>
      </w:tblPr>
      <w:tblGrid>
        <w:gridCol w:w="5091"/>
        <w:gridCol w:w="4521"/>
      </w:tblGrid>
      <w:tr w:rsidR="006F76EB" w:rsidRPr="00834D52" w14:paraId="2597914A"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5AE61049" w14:textId="3E121146"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4521" w:type="dxa"/>
            <w:tcBorders>
              <w:top w:val="single" w:sz="4" w:space="0" w:color="000000"/>
              <w:left w:val="single" w:sz="4" w:space="0" w:color="000000"/>
              <w:bottom w:val="single" w:sz="4" w:space="0" w:color="000000"/>
              <w:right w:val="single" w:sz="4" w:space="0" w:color="000000"/>
            </w:tcBorders>
          </w:tcPr>
          <w:p w14:paraId="470BAA78" w14:textId="77777777" w:rsidR="006F76EB" w:rsidRPr="00834D52" w:rsidRDefault="006F76EB" w:rsidP="004F6D87">
            <w:pPr>
              <w:spacing w:after="120" w:line="240" w:lineRule="auto"/>
              <w:ind w:right="-6"/>
              <w:rPr>
                <w:rFonts w:ascii="Sylfaen" w:hAnsi="Sylfaen"/>
                <w:sz w:val="24"/>
                <w:szCs w:val="24"/>
              </w:rPr>
            </w:pPr>
          </w:p>
        </w:tc>
      </w:tr>
      <w:tr w:rsidR="006F76EB" w:rsidRPr="00834D52" w14:paraId="767D3823" w14:textId="77777777" w:rsidTr="00EB2655">
        <w:trPr>
          <w:trHeight w:val="575"/>
          <w:jc w:val="center"/>
        </w:trPr>
        <w:tc>
          <w:tcPr>
            <w:tcW w:w="5091" w:type="dxa"/>
            <w:tcBorders>
              <w:top w:val="single" w:sz="4" w:space="0" w:color="000000"/>
              <w:left w:val="single" w:sz="4" w:space="0" w:color="000000"/>
              <w:bottom w:val="single" w:sz="4" w:space="0" w:color="000000"/>
              <w:right w:val="single" w:sz="4" w:space="0" w:color="000000"/>
            </w:tcBorders>
          </w:tcPr>
          <w:p w14:paraId="42AD999A" w14:textId="77777777" w:rsidR="006F76EB" w:rsidRPr="00834D52" w:rsidRDefault="0032680A" w:rsidP="004F6D87">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4521" w:type="dxa"/>
            <w:tcBorders>
              <w:top w:val="single" w:sz="4" w:space="0" w:color="000000"/>
              <w:left w:val="single" w:sz="4" w:space="0" w:color="000000"/>
              <w:bottom w:val="single" w:sz="4" w:space="0" w:color="000000"/>
              <w:right w:val="single" w:sz="4" w:space="0" w:color="000000"/>
            </w:tcBorders>
          </w:tcPr>
          <w:p w14:paraId="18EA7AFF" w14:textId="77777777" w:rsidR="006F76EB" w:rsidRPr="00834D52" w:rsidRDefault="006F76EB" w:rsidP="004F6D87">
            <w:pPr>
              <w:spacing w:after="120" w:line="240" w:lineRule="auto"/>
              <w:ind w:right="-6"/>
              <w:rPr>
                <w:rFonts w:ascii="Sylfaen" w:hAnsi="Sylfaen"/>
                <w:sz w:val="24"/>
                <w:szCs w:val="24"/>
              </w:rPr>
            </w:pPr>
          </w:p>
        </w:tc>
      </w:tr>
      <w:tr w:rsidR="006F76EB" w:rsidRPr="00834D52" w14:paraId="36B3554B"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3CDF9D10"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4521" w:type="dxa"/>
            <w:tcBorders>
              <w:top w:val="single" w:sz="4" w:space="0" w:color="000000"/>
              <w:left w:val="single" w:sz="4" w:space="0" w:color="000000"/>
              <w:bottom w:val="single" w:sz="4" w:space="0" w:color="000000"/>
              <w:right w:val="single" w:sz="4" w:space="0" w:color="000000"/>
            </w:tcBorders>
          </w:tcPr>
          <w:p w14:paraId="69993C8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14B8642" w14:textId="77777777" w:rsidTr="00EB2655">
        <w:trPr>
          <w:trHeight w:val="974"/>
          <w:jc w:val="center"/>
        </w:trPr>
        <w:tc>
          <w:tcPr>
            <w:tcW w:w="5091" w:type="dxa"/>
            <w:tcBorders>
              <w:top w:val="single" w:sz="4" w:space="0" w:color="000000"/>
              <w:left w:val="single" w:sz="4" w:space="0" w:color="000000"/>
              <w:bottom w:val="single" w:sz="4" w:space="0" w:color="000000"/>
              <w:right w:val="single" w:sz="4" w:space="0" w:color="000000"/>
            </w:tcBorders>
          </w:tcPr>
          <w:p w14:paraId="18DBE0B6" w14:textId="2CADCBED" w:rsidR="006F76EB" w:rsidRPr="00834D52" w:rsidRDefault="0056496B" w:rsidP="004F6D87">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4521" w:type="dxa"/>
            <w:tcBorders>
              <w:top w:val="single" w:sz="4" w:space="0" w:color="000000"/>
              <w:left w:val="single" w:sz="4" w:space="0" w:color="000000"/>
              <w:bottom w:val="single" w:sz="4" w:space="0" w:color="000000"/>
              <w:right w:val="single" w:sz="4" w:space="0" w:color="000000"/>
            </w:tcBorders>
          </w:tcPr>
          <w:p w14:paraId="46485E03" w14:textId="77777777" w:rsidR="006F76EB" w:rsidRPr="00834D52" w:rsidRDefault="006F76EB" w:rsidP="004F6D87">
            <w:pPr>
              <w:spacing w:after="120" w:line="240" w:lineRule="auto"/>
              <w:ind w:right="-6"/>
              <w:rPr>
                <w:rFonts w:ascii="Sylfaen" w:hAnsi="Sylfaen"/>
                <w:sz w:val="24"/>
                <w:szCs w:val="24"/>
              </w:rPr>
            </w:pPr>
          </w:p>
        </w:tc>
      </w:tr>
      <w:tr w:rsidR="006F76EB" w:rsidRPr="00834D52" w14:paraId="63833E8F" w14:textId="77777777" w:rsidTr="00EB2655">
        <w:trPr>
          <w:trHeight w:val="1837"/>
          <w:jc w:val="center"/>
        </w:trPr>
        <w:tc>
          <w:tcPr>
            <w:tcW w:w="5091" w:type="dxa"/>
            <w:tcBorders>
              <w:top w:val="single" w:sz="4" w:space="0" w:color="000000"/>
              <w:left w:val="single" w:sz="4" w:space="0" w:color="000000"/>
              <w:bottom w:val="single" w:sz="4" w:space="0" w:color="000000"/>
              <w:right w:val="single" w:sz="4" w:space="0" w:color="000000"/>
            </w:tcBorders>
          </w:tcPr>
          <w:p w14:paraId="296A84C5" w14:textId="77777777" w:rsidR="006F76EB" w:rsidRPr="00834D52" w:rsidRDefault="006F76EB" w:rsidP="004F6D87">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4521" w:type="dxa"/>
            <w:tcBorders>
              <w:top w:val="single" w:sz="4" w:space="0" w:color="000000"/>
              <w:left w:val="single" w:sz="4" w:space="0" w:color="000000"/>
              <w:bottom w:val="single" w:sz="4" w:space="0" w:color="000000"/>
              <w:right w:val="single" w:sz="4" w:space="0" w:color="000000"/>
            </w:tcBorders>
          </w:tcPr>
          <w:p w14:paraId="76743787" w14:textId="77777777" w:rsidR="006F76EB" w:rsidRPr="00834D52" w:rsidRDefault="006F76EB" w:rsidP="004F6D87">
            <w:pPr>
              <w:spacing w:after="120" w:line="240" w:lineRule="auto"/>
              <w:ind w:right="-6"/>
              <w:rPr>
                <w:rFonts w:ascii="Sylfaen" w:hAnsi="Sylfaen"/>
                <w:sz w:val="24"/>
                <w:szCs w:val="24"/>
              </w:rPr>
            </w:pPr>
          </w:p>
        </w:tc>
      </w:tr>
    </w:tbl>
    <w:p w14:paraId="3D03F25B" w14:textId="4644A92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 xml:space="preserve">ը, որոնց հղում է կատարվում այս բաժնում: </w:t>
      </w:r>
    </w:p>
    <w:p w14:paraId="5B7550F1" w14:textId="77777777" w:rsidR="00EB2655" w:rsidRDefault="00EB2655">
      <w:pPr>
        <w:widowControl/>
        <w:rPr>
          <w:rFonts w:ascii="Sylfaen" w:hAnsi="Sylfaen"/>
          <w:sz w:val="24"/>
          <w:szCs w:val="24"/>
        </w:rPr>
      </w:pPr>
      <w:r>
        <w:rPr>
          <w:rFonts w:ascii="Sylfaen" w:hAnsi="Sylfaen"/>
          <w:sz w:val="24"/>
          <w:szCs w:val="24"/>
        </w:rPr>
        <w:br w:type="page"/>
      </w:r>
    </w:p>
    <w:p w14:paraId="3EAF1D1F" w14:textId="77777777" w:rsidR="006F76EB" w:rsidRPr="00834D52" w:rsidRDefault="006F76EB" w:rsidP="006F76EB">
      <w:pPr>
        <w:spacing w:after="160" w:line="360" w:lineRule="auto"/>
        <w:ind w:left="567" w:right="423"/>
        <w:jc w:val="center"/>
        <w:rPr>
          <w:rFonts w:ascii="Sylfaen" w:eastAsia="Times New Roman" w:hAnsi="Sylfaen" w:cs="Times New Roman"/>
          <w:sz w:val="24"/>
          <w:szCs w:val="24"/>
        </w:rPr>
      </w:pPr>
      <w:r w:rsidRPr="00834D52">
        <w:rPr>
          <w:rFonts w:ascii="Sylfaen" w:hAnsi="Sylfaen"/>
          <w:sz w:val="24"/>
          <w:szCs w:val="24"/>
        </w:rPr>
        <w:lastRenderedPageBreak/>
        <w:t xml:space="preserve">2. Հաստատված փոփոխությունները կամ քննարկման փուլում </w:t>
      </w:r>
      <w:r w:rsidRPr="00834D52">
        <w:rPr>
          <w:rFonts w:ascii="Sylfaen" w:hAnsi="Sylfaen"/>
          <w:sz w:val="24"/>
          <w:szCs w:val="24"/>
        </w:rPr>
        <w:br/>
        <w:t xml:space="preserve">գտնվող փոփոխություները, որոնք եղել են գրանցման </w:t>
      </w:r>
      <w:r w:rsidRPr="00834D52">
        <w:rPr>
          <w:rFonts w:ascii="Sylfaen" w:hAnsi="Sylfaen"/>
          <w:sz w:val="24"/>
          <w:szCs w:val="24"/>
        </w:rPr>
        <w:br/>
        <w:t>հավաստագրի տրման պահից</w:t>
      </w:r>
    </w:p>
    <w:tbl>
      <w:tblPr>
        <w:tblW w:w="8931" w:type="dxa"/>
        <w:jc w:val="center"/>
        <w:tblLayout w:type="fixed"/>
        <w:tblCellMar>
          <w:left w:w="0" w:type="dxa"/>
          <w:right w:w="0" w:type="dxa"/>
        </w:tblCellMar>
        <w:tblLook w:val="01E0" w:firstRow="1" w:lastRow="1" w:firstColumn="1" w:lastColumn="1" w:noHBand="0" w:noVBand="0"/>
      </w:tblPr>
      <w:tblGrid>
        <w:gridCol w:w="916"/>
        <w:gridCol w:w="2407"/>
        <w:gridCol w:w="2410"/>
        <w:gridCol w:w="3198"/>
      </w:tblGrid>
      <w:tr w:rsidR="006F76EB" w:rsidRPr="00834D52" w14:paraId="5CA30773"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EFCF37E" w14:textId="77777777" w:rsidR="006F76EB" w:rsidRPr="00834D52" w:rsidRDefault="006F76EB" w:rsidP="004F6D87">
            <w:pPr>
              <w:spacing w:after="120" w:line="240" w:lineRule="auto"/>
              <w:ind w:left="28" w:right="48"/>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291622AF"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Ներկայացման ամսաթիվը</w:t>
            </w:r>
          </w:p>
        </w:tc>
        <w:tc>
          <w:tcPr>
            <w:tcW w:w="2410" w:type="dxa"/>
            <w:tcBorders>
              <w:top w:val="single" w:sz="4" w:space="0" w:color="000000"/>
              <w:left w:val="single" w:sz="4" w:space="0" w:color="000000"/>
              <w:bottom w:val="single" w:sz="4" w:space="0" w:color="000000"/>
              <w:right w:val="single" w:sz="4" w:space="0" w:color="000000"/>
            </w:tcBorders>
          </w:tcPr>
          <w:p w14:paraId="513D5B5B"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հաստատման ամսաթիվը</w:t>
            </w:r>
          </w:p>
        </w:tc>
        <w:tc>
          <w:tcPr>
            <w:tcW w:w="3198" w:type="dxa"/>
            <w:tcBorders>
              <w:top w:val="single" w:sz="4" w:space="0" w:color="000000"/>
              <w:left w:val="single" w:sz="4" w:space="0" w:color="000000"/>
              <w:bottom w:val="single" w:sz="4" w:space="0" w:color="000000"/>
              <w:right w:val="single" w:sz="4" w:space="0" w:color="000000"/>
            </w:tcBorders>
          </w:tcPr>
          <w:p w14:paraId="39E68C59" w14:textId="77777777" w:rsidR="006F76EB" w:rsidRPr="00834D52" w:rsidRDefault="006F76EB" w:rsidP="004F6D87">
            <w:pPr>
              <w:spacing w:after="120" w:line="240" w:lineRule="auto"/>
              <w:ind w:left="142" w:right="48"/>
              <w:rPr>
                <w:rFonts w:ascii="Sylfaen" w:eastAsia="Times New Roman" w:hAnsi="Sylfaen" w:cs="Times New Roman"/>
                <w:sz w:val="24"/>
                <w:szCs w:val="24"/>
              </w:rPr>
            </w:pPr>
            <w:r w:rsidRPr="00834D52">
              <w:rPr>
                <w:rFonts w:ascii="Sylfaen" w:hAnsi="Sylfaen"/>
                <w:sz w:val="24"/>
                <w:szCs w:val="24"/>
              </w:rPr>
              <w:t>Փոփոխության տիպը (ընթացակարգի տեսակը), փոփոխության համառոտ նկարագրությունը</w:t>
            </w:r>
          </w:p>
        </w:tc>
      </w:tr>
      <w:tr w:rsidR="006F76EB" w:rsidRPr="00834D52" w14:paraId="5A88E66A"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7561ADCD" w14:textId="77777777" w:rsidR="006F76EB" w:rsidRPr="00834D52" w:rsidRDefault="006F76EB" w:rsidP="004F6D87">
            <w:pPr>
              <w:spacing w:after="120" w:line="240" w:lineRule="auto"/>
              <w:ind w:right="-8"/>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F55884F"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4F5B1BD6"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7547B21D" w14:textId="77777777" w:rsidR="006F76EB" w:rsidRPr="00834D52" w:rsidRDefault="006F76EB" w:rsidP="004F6D87">
            <w:pPr>
              <w:spacing w:after="120" w:line="240" w:lineRule="auto"/>
              <w:ind w:right="-8"/>
              <w:rPr>
                <w:rFonts w:ascii="Sylfaen" w:hAnsi="Sylfaen"/>
                <w:sz w:val="24"/>
                <w:szCs w:val="24"/>
              </w:rPr>
            </w:pPr>
          </w:p>
        </w:tc>
      </w:tr>
      <w:tr w:rsidR="006F76EB" w:rsidRPr="00834D52" w14:paraId="45513695" w14:textId="77777777" w:rsidTr="00F71229">
        <w:trPr>
          <w:jc w:val="center"/>
        </w:trPr>
        <w:tc>
          <w:tcPr>
            <w:tcW w:w="916" w:type="dxa"/>
            <w:tcBorders>
              <w:top w:val="single" w:sz="4" w:space="0" w:color="000000"/>
              <w:left w:val="single" w:sz="4" w:space="0" w:color="000000"/>
              <w:bottom w:val="single" w:sz="4" w:space="0" w:color="000000"/>
              <w:right w:val="single" w:sz="4" w:space="0" w:color="000000"/>
            </w:tcBorders>
          </w:tcPr>
          <w:p w14:paraId="50FC4F4B" w14:textId="77777777" w:rsidR="006F76EB" w:rsidRPr="00834D52" w:rsidRDefault="006F76EB" w:rsidP="004F6D87">
            <w:pPr>
              <w:spacing w:after="120" w:line="240" w:lineRule="auto"/>
              <w:ind w:right="-8"/>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7A7AC177" w14:textId="77777777" w:rsidR="006F76EB" w:rsidRPr="00834D52" w:rsidRDefault="006F76EB" w:rsidP="004F6D87">
            <w:pPr>
              <w:spacing w:after="120" w:line="240" w:lineRule="auto"/>
              <w:ind w:right="-8"/>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25CEE89" w14:textId="77777777" w:rsidR="006F76EB" w:rsidRPr="00834D52" w:rsidRDefault="006F76EB" w:rsidP="004F6D87">
            <w:pPr>
              <w:spacing w:after="120" w:line="240" w:lineRule="auto"/>
              <w:ind w:right="-8"/>
              <w:rPr>
                <w:rFonts w:ascii="Sylfaen" w:hAnsi="Sylfaen"/>
                <w:sz w:val="24"/>
                <w:szCs w:val="24"/>
              </w:rPr>
            </w:pPr>
          </w:p>
        </w:tc>
        <w:tc>
          <w:tcPr>
            <w:tcW w:w="3198" w:type="dxa"/>
            <w:tcBorders>
              <w:top w:val="single" w:sz="4" w:space="0" w:color="000000"/>
              <w:left w:val="single" w:sz="4" w:space="0" w:color="000000"/>
              <w:bottom w:val="single" w:sz="4" w:space="0" w:color="000000"/>
              <w:right w:val="single" w:sz="4" w:space="0" w:color="000000"/>
            </w:tcBorders>
          </w:tcPr>
          <w:p w14:paraId="5237E4CC" w14:textId="77777777" w:rsidR="006F76EB" w:rsidRPr="00834D52" w:rsidRDefault="006F76EB" w:rsidP="004F6D87">
            <w:pPr>
              <w:spacing w:after="120" w:line="240" w:lineRule="auto"/>
              <w:ind w:right="-8"/>
              <w:rPr>
                <w:rFonts w:ascii="Sylfaen" w:hAnsi="Sylfaen"/>
                <w:sz w:val="24"/>
                <w:szCs w:val="24"/>
              </w:rPr>
            </w:pPr>
          </w:p>
        </w:tc>
      </w:tr>
    </w:tbl>
    <w:p w14:paraId="57A7CF1D" w14:textId="32B9E66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ի մնացած բաժինները, որոնք վերաբերում են դեղապատրաստուկների այլ տիպերին, չեն լրացվում:</w:t>
      </w:r>
    </w:p>
    <w:p w14:paraId="5BC17555"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00A5D471">
          <v:rect id="_x0000_s1086" style="position:absolute;left:0;text-align:left;margin-left:115.1pt;margin-top:1.55pt;width:12.75pt;height:12pt;z-index:251616768"/>
        </w:pict>
      </w:r>
      <w:r w:rsidR="006F76EB" w:rsidRPr="00834D52">
        <w:rPr>
          <w:rFonts w:ascii="Sylfaen" w:hAnsi="Sylfaen"/>
          <w:sz w:val="24"/>
          <w:szCs w:val="24"/>
        </w:rPr>
        <w:t>ՕՐԻԳԻՆԱԼ ԴԵՂԱՊԱՏՐԱՍՏՈՒԿ</w:t>
      </w:r>
    </w:p>
    <w:tbl>
      <w:tblPr>
        <w:tblStyle w:val="TableGrid"/>
        <w:tblW w:w="0" w:type="auto"/>
        <w:tblLook w:val="04A0" w:firstRow="1" w:lastRow="0" w:firstColumn="1" w:lastColumn="0" w:noHBand="0" w:noVBand="1"/>
      </w:tblPr>
      <w:tblGrid>
        <w:gridCol w:w="4503"/>
        <w:gridCol w:w="4536"/>
      </w:tblGrid>
      <w:tr w:rsidR="006F76EB" w:rsidRPr="00834D52" w14:paraId="04C5F1AB" w14:textId="77777777" w:rsidTr="00F71229">
        <w:tc>
          <w:tcPr>
            <w:tcW w:w="4503" w:type="dxa"/>
          </w:tcPr>
          <w:p w14:paraId="27BF2A01" w14:textId="77777777" w:rsidR="006F76EB" w:rsidRPr="00834D52" w:rsidRDefault="00FC294A" w:rsidP="00EB2655">
            <w:pPr>
              <w:spacing w:after="120"/>
              <w:ind w:right="1420" w:firstLine="426"/>
              <w:rPr>
                <w:rFonts w:ascii="Sylfaen" w:eastAsia="Times New Roman" w:hAnsi="Sylfaen" w:cs="Times New Roman"/>
                <w:sz w:val="24"/>
                <w:szCs w:val="24"/>
              </w:rPr>
            </w:pPr>
            <w:r>
              <w:rPr>
                <w:rFonts w:ascii="Sylfaen" w:eastAsia="Times New Roman" w:hAnsi="Sylfaen" w:cs="Times New Roman"/>
                <w:noProof/>
                <w:sz w:val="24"/>
                <w:szCs w:val="24"/>
              </w:rPr>
              <w:pict w14:anchorId="74D3B403">
                <v:rect id="_x0000_s1087" style="position:absolute;left:0;text-align:left;margin-left:-1.25pt;margin-top:4.85pt;width:12.75pt;height:12pt;z-index:251617792"/>
              </w:pict>
            </w:r>
            <w:r w:rsidR="006F76EB" w:rsidRPr="00834D52">
              <w:rPr>
                <w:rFonts w:ascii="Sylfaen" w:hAnsi="Sylfaen"/>
                <w:sz w:val="24"/>
                <w:szCs w:val="24"/>
              </w:rPr>
              <w:t>կենսաբանական դեղապատրաստուկ</w:t>
            </w:r>
          </w:p>
        </w:tc>
        <w:tc>
          <w:tcPr>
            <w:tcW w:w="4536" w:type="dxa"/>
          </w:tcPr>
          <w:p w14:paraId="6BBB1FF5" w14:textId="77777777" w:rsidR="006F76EB" w:rsidRPr="00834D52" w:rsidRDefault="00FC294A" w:rsidP="00EB2655">
            <w:pPr>
              <w:spacing w:after="120"/>
              <w:ind w:left="349" w:right="-8"/>
              <w:rPr>
                <w:rFonts w:ascii="Sylfaen" w:eastAsia="Times New Roman" w:hAnsi="Sylfaen" w:cs="Times New Roman"/>
                <w:sz w:val="24"/>
                <w:szCs w:val="24"/>
              </w:rPr>
            </w:pPr>
            <w:r>
              <w:rPr>
                <w:rFonts w:ascii="Sylfaen" w:eastAsia="Times New Roman" w:hAnsi="Sylfaen" w:cs="Times New Roman"/>
                <w:noProof/>
                <w:sz w:val="24"/>
                <w:szCs w:val="24"/>
              </w:rPr>
              <w:pict w14:anchorId="78ADC36F">
                <v:rect id="_x0000_s1088" style="position:absolute;left:0;text-align:left;margin-left:-1.9pt;margin-top:4.85pt;width:12.75pt;height:12pt;z-index:251618816;mso-position-horizontal-relative:text;mso-position-vertical-relative:text"/>
              </w:pict>
            </w:r>
            <w:r w:rsidR="006F76EB" w:rsidRPr="00834D52">
              <w:rPr>
                <w:rFonts w:ascii="Sylfaen" w:hAnsi="Sylfaen"/>
                <w:sz w:val="24"/>
                <w:szCs w:val="24"/>
              </w:rPr>
              <w:t>այլ դեղապատրաստուկ</w:t>
            </w:r>
          </w:p>
        </w:tc>
      </w:tr>
      <w:tr w:rsidR="006F76EB" w:rsidRPr="00834D52" w14:paraId="457E3969" w14:textId="77777777" w:rsidTr="00F71229">
        <w:tc>
          <w:tcPr>
            <w:tcW w:w="9039" w:type="dxa"/>
            <w:gridSpan w:val="2"/>
          </w:tcPr>
          <w:p w14:paraId="38D4E3BF" w14:textId="77777777" w:rsidR="006F76EB" w:rsidRPr="00834D52" w:rsidRDefault="00FC294A" w:rsidP="00EB2655">
            <w:pPr>
              <w:spacing w:after="120"/>
              <w:ind w:right="-10" w:firstLine="426"/>
              <w:rPr>
                <w:rFonts w:ascii="Sylfaen" w:eastAsia="Times New Roman" w:hAnsi="Sylfaen" w:cs="Times New Roman"/>
                <w:sz w:val="24"/>
                <w:szCs w:val="24"/>
              </w:rPr>
            </w:pPr>
            <w:r>
              <w:rPr>
                <w:rFonts w:ascii="Sylfaen" w:eastAsia="Times New Roman" w:hAnsi="Sylfaen" w:cs="Times New Roman"/>
                <w:sz w:val="24"/>
                <w:szCs w:val="24"/>
              </w:rPr>
              <w:pict w14:anchorId="3D2F77BB">
                <v:rect id="_x0000_s1089" style="position:absolute;left:0;text-align:left;margin-left:-2pt;margin-top:3.65pt;width:12.75pt;height:12pt;z-index:251619840;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5A31D9D2" w14:textId="77777777" w:rsidR="006F76EB" w:rsidRPr="00834D52" w:rsidRDefault="006F76EB" w:rsidP="00EB2655">
            <w:pPr>
              <w:spacing w:after="120"/>
              <w:ind w:right="-10"/>
              <w:jc w:val="both"/>
              <w:rPr>
                <w:rFonts w:ascii="Sylfaen" w:eastAsia="Times New Roman" w:hAnsi="Sylfaen" w:cs="Times New Roman"/>
                <w:sz w:val="24"/>
                <w:szCs w:val="24"/>
              </w:rPr>
            </w:pPr>
            <w:r w:rsidRPr="00834D52">
              <w:rPr>
                <w:rFonts w:ascii="Sylfaen" w:hAnsi="Sylfaen"/>
                <w:sz w:val="24"/>
                <w:szCs w:val="24"/>
              </w:rPr>
              <w:t xml:space="preserve">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 </w:t>
            </w:r>
          </w:p>
        </w:tc>
      </w:tr>
      <w:tr w:rsidR="006F76EB" w:rsidRPr="00834D52" w14:paraId="312538B9" w14:textId="77777777" w:rsidTr="00F71229">
        <w:tc>
          <w:tcPr>
            <w:tcW w:w="9039" w:type="dxa"/>
            <w:gridSpan w:val="2"/>
          </w:tcPr>
          <w:p w14:paraId="166D4F1C" w14:textId="403488A4" w:rsidR="006F76EB" w:rsidRPr="00834D52" w:rsidRDefault="00FC294A" w:rsidP="00EB2655">
            <w:pPr>
              <w:spacing w:after="120"/>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611104E4">
                <v:rect id="_x0000_s1090" style="position:absolute;left:0;text-align:left;margin-left:-2pt;margin-top:3.25pt;width:12.75pt;height:12pt;z-index:251620864;mso-position-horizontal-relative:text;mso-position-vertical-relative:text"/>
              </w:pict>
            </w:r>
            <w:r w:rsidR="005F6A31">
              <w:rPr>
                <w:rFonts w:ascii="Sylfaen" w:hAnsi="Sylfaen"/>
                <w:sz w:val="24"/>
                <w:szCs w:val="24"/>
              </w:rPr>
              <w:t>հայտնի</w:t>
            </w:r>
            <w:r w:rsidR="006F76EB" w:rsidRPr="00834D52">
              <w:rPr>
                <w:rFonts w:ascii="Sylfaen" w:hAnsi="Sylfaen"/>
                <w:sz w:val="24"/>
                <w:szCs w:val="24"/>
              </w:rPr>
              <w:t xml:space="preserve"> ԱԴԲ</w:t>
            </w:r>
          </w:p>
          <w:p w14:paraId="7A80901A" w14:textId="77777777" w:rsidR="006F76EB" w:rsidRPr="00834D52" w:rsidRDefault="006F76EB" w:rsidP="00EB2655">
            <w:pPr>
              <w:spacing w:after="120"/>
              <w:ind w:right="-8"/>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7BFDCDAC" w14:textId="77777777" w:rsidR="006F76EB" w:rsidRPr="00834D52" w:rsidRDefault="006F76EB" w:rsidP="00A64FAB">
      <w:pPr>
        <w:spacing w:after="160" w:line="480" w:lineRule="auto"/>
        <w:ind w:right="-6"/>
        <w:jc w:val="center"/>
        <w:rPr>
          <w:rFonts w:ascii="Sylfaen" w:hAnsi="Sylfaen"/>
          <w:sz w:val="24"/>
          <w:szCs w:val="24"/>
        </w:rPr>
      </w:pPr>
    </w:p>
    <w:p w14:paraId="52C82FBA"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64F5955D">
          <v:rect id="_x0000_s1091" style="position:absolute;left:0;text-align:left;margin-left:89.5pt;margin-top:2.5pt;width:12.75pt;height:12pt;z-index:251621888"/>
        </w:pict>
      </w:r>
      <w:r w:rsidR="006F76EB" w:rsidRPr="00834D52">
        <w:rPr>
          <w:rFonts w:ascii="Sylfaen" w:hAnsi="Sylfaen"/>
          <w:sz w:val="24"/>
          <w:szCs w:val="24"/>
        </w:rPr>
        <w:t>ՎԵՐԱՐՏԱԴՐՎԱԾ ԴԵՂԱՊԱՏՐԱՍՏՈՒԿ</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6F76EB" w:rsidRPr="00834D52" w14:paraId="41F612A1" w14:textId="77777777" w:rsidTr="00F71229">
        <w:tc>
          <w:tcPr>
            <w:tcW w:w="4643" w:type="dxa"/>
          </w:tcPr>
          <w:p w14:paraId="64DBD04E" w14:textId="77777777" w:rsidR="006F76EB" w:rsidRPr="00834D52" w:rsidRDefault="00FC294A" w:rsidP="00F71229">
            <w:pPr>
              <w:spacing w:after="160" w:line="360" w:lineRule="auto"/>
              <w:ind w:right="-8"/>
              <w:jc w:val="center"/>
              <w:rPr>
                <w:rFonts w:ascii="Sylfaen" w:hAnsi="Sylfaen"/>
                <w:sz w:val="24"/>
                <w:szCs w:val="24"/>
                <w:lang w:val="ru-RU"/>
              </w:rPr>
            </w:pPr>
            <w:r>
              <w:rPr>
                <w:rFonts w:ascii="Sylfaen" w:eastAsia="Wingdings 2" w:hAnsi="Sylfaen" w:cs="Wingdings 2"/>
                <w:noProof/>
                <w:sz w:val="24"/>
                <w:szCs w:val="24"/>
              </w:rPr>
              <w:pict w14:anchorId="3C6FF843">
                <v:rect id="_x0000_s1093" style="position:absolute;left:0;text-align:left;margin-left:52.1pt;margin-top:2.35pt;width:12.75pt;height:12pt;z-index:251622912"/>
              </w:pict>
            </w:r>
            <w:r w:rsidR="006F76EB" w:rsidRPr="00834D52">
              <w:rPr>
                <w:rFonts w:ascii="Sylfaen" w:hAnsi="Sylfaen"/>
                <w:sz w:val="24"/>
                <w:szCs w:val="24"/>
              </w:rPr>
              <w:t>միաբաղադրիչ</w:t>
            </w:r>
          </w:p>
        </w:tc>
        <w:tc>
          <w:tcPr>
            <w:tcW w:w="4643" w:type="dxa"/>
          </w:tcPr>
          <w:p w14:paraId="5FD32317" w14:textId="77777777" w:rsidR="006F76EB" w:rsidRPr="00834D52" w:rsidRDefault="00FC294A" w:rsidP="00F71229">
            <w:pPr>
              <w:spacing w:after="160" w:line="360" w:lineRule="auto"/>
              <w:ind w:right="-8"/>
              <w:jc w:val="center"/>
              <w:rPr>
                <w:rFonts w:ascii="Sylfaen" w:hAnsi="Sylfaen"/>
                <w:sz w:val="24"/>
                <w:szCs w:val="24"/>
                <w:lang w:val="ru-RU"/>
              </w:rPr>
            </w:pPr>
            <w:r>
              <w:rPr>
                <w:rFonts w:ascii="Sylfaen" w:eastAsia="Times New Roman" w:hAnsi="Sylfaen" w:cs="Times New Roman"/>
                <w:noProof/>
                <w:sz w:val="24"/>
                <w:szCs w:val="24"/>
              </w:rPr>
              <w:pict w14:anchorId="2E93F643">
                <v:rect id="_x0000_s1092" style="position:absolute;left:0;text-align:left;margin-left:41.85pt;margin-top:2.35pt;width:12.75pt;height:12pt;z-index:251623936;mso-position-horizontal-relative:text;mso-position-vertical-relative:text"/>
              </w:pict>
            </w:r>
            <w:r w:rsidR="006F76EB" w:rsidRPr="00834D52">
              <w:rPr>
                <w:rFonts w:ascii="Sylfaen" w:hAnsi="Sylfaen"/>
                <w:sz w:val="24"/>
                <w:szCs w:val="24"/>
              </w:rPr>
              <w:t>բազմաբաղադրիչ</w:t>
            </w:r>
          </w:p>
        </w:tc>
      </w:tr>
    </w:tbl>
    <w:p w14:paraId="18358C33" w14:textId="77777777" w:rsidR="006F76EB" w:rsidRPr="00834D52" w:rsidRDefault="006F76EB" w:rsidP="006F76EB">
      <w:pPr>
        <w:spacing w:after="160" w:line="360" w:lineRule="auto"/>
        <w:ind w:right="-8"/>
        <w:rPr>
          <w:rFonts w:ascii="Sylfaen" w:hAnsi="Sylfae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5498"/>
        <w:gridCol w:w="4114"/>
      </w:tblGrid>
      <w:tr w:rsidR="006F76EB" w:rsidRPr="00834D52" w14:paraId="7418E558"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59502E9B"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0B2177E5"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A235687"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lastRenderedPageBreak/>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 xml:space="preserve">ը </w:t>
            </w:r>
          </w:p>
        </w:tc>
        <w:tc>
          <w:tcPr>
            <w:tcW w:w="4114" w:type="dxa"/>
            <w:tcBorders>
              <w:top w:val="single" w:sz="4" w:space="0" w:color="000000"/>
              <w:left w:val="single" w:sz="4" w:space="0" w:color="000000"/>
              <w:bottom w:val="single" w:sz="4" w:space="0" w:color="000000"/>
              <w:right w:val="single" w:sz="4" w:space="0" w:color="000000"/>
            </w:tcBorders>
          </w:tcPr>
          <w:p w14:paraId="38BB7919"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495459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1E014E6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332A9B5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C9CD200" w14:textId="77777777" w:rsidTr="00F71229">
        <w:trPr>
          <w:jc w:val="center"/>
        </w:trPr>
        <w:tc>
          <w:tcPr>
            <w:tcW w:w="9612" w:type="dxa"/>
            <w:gridSpan w:val="2"/>
            <w:tcBorders>
              <w:top w:val="single" w:sz="4" w:space="0" w:color="000000"/>
              <w:left w:val="single" w:sz="4" w:space="0" w:color="000000"/>
              <w:bottom w:val="single" w:sz="4" w:space="0" w:color="000000"/>
              <w:right w:val="single" w:sz="4" w:space="0" w:color="000000"/>
            </w:tcBorders>
          </w:tcPr>
          <w:p w14:paraId="6D9BC9E2"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դեղապատրաստուկը, որն օգտագործվել է համարժեքության հետազոտություններում (եթե այդպիսիք անցկացվել են)՝</w:t>
            </w:r>
          </w:p>
        </w:tc>
      </w:tr>
      <w:tr w:rsidR="006F76EB" w:rsidRPr="00834D52" w14:paraId="2E403D70"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730F6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2C7C0E6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1639D7AB"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7181ACE1"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6D2209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38A9F074"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44136A2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37DD1CE3" w14:textId="77777777" w:rsidR="006F76EB" w:rsidRPr="00834D52" w:rsidRDefault="006F76EB" w:rsidP="00A64FAB">
            <w:pPr>
              <w:spacing w:after="120" w:line="240" w:lineRule="auto"/>
              <w:ind w:right="-6"/>
              <w:rPr>
                <w:rFonts w:ascii="Sylfaen" w:hAnsi="Sylfaen"/>
                <w:sz w:val="24"/>
                <w:szCs w:val="24"/>
              </w:rPr>
            </w:pPr>
          </w:p>
        </w:tc>
      </w:tr>
      <w:tr w:rsidR="006F76EB" w:rsidRPr="00834D52" w14:paraId="7DFE492A" w14:textId="77777777" w:rsidTr="00F71229">
        <w:trPr>
          <w:jc w:val="center"/>
        </w:trPr>
        <w:tc>
          <w:tcPr>
            <w:tcW w:w="5498" w:type="dxa"/>
            <w:tcBorders>
              <w:top w:val="single" w:sz="4" w:space="0" w:color="000000"/>
              <w:left w:val="single" w:sz="4" w:space="0" w:color="000000"/>
              <w:bottom w:val="single" w:sz="4" w:space="0" w:color="000000"/>
              <w:right w:val="single" w:sz="4" w:space="0" w:color="000000"/>
            </w:tcBorders>
          </w:tcPr>
          <w:p w14:paraId="6A7A709F"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763F85D6" w14:textId="77777777" w:rsidR="006F76EB" w:rsidRPr="00834D52" w:rsidRDefault="006F76EB" w:rsidP="00A64FAB">
            <w:pPr>
              <w:spacing w:after="120" w:line="240" w:lineRule="auto"/>
              <w:ind w:right="-6"/>
              <w:rPr>
                <w:rFonts w:ascii="Sylfaen" w:hAnsi="Sylfaen"/>
                <w:sz w:val="24"/>
                <w:szCs w:val="24"/>
              </w:rPr>
            </w:pPr>
          </w:p>
        </w:tc>
      </w:tr>
    </w:tbl>
    <w:p w14:paraId="1F49DC2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6F8F7C70" w14:textId="77777777" w:rsidR="006F76EB" w:rsidRPr="00834D52" w:rsidRDefault="006F76EB" w:rsidP="006F76EB">
      <w:pPr>
        <w:spacing w:after="160" w:line="360" w:lineRule="auto"/>
        <w:rPr>
          <w:rFonts w:ascii="Sylfaen" w:hAnsi="Sylfaen"/>
          <w:sz w:val="24"/>
          <w:szCs w:val="24"/>
        </w:rPr>
      </w:pPr>
      <w:r w:rsidRPr="00834D52">
        <w:rPr>
          <w:rFonts w:ascii="Sylfaen" w:hAnsi="Sylfaen"/>
          <w:sz w:val="24"/>
          <w:szCs w:val="24"/>
        </w:rPr>
        <w:br w:type="page"/>
      </w:r>
    </w:p>
    <w:p w14:paraId="6EA5BE55" w14:textId="77777777" w:rsidR="006F76EB" w:rsidRPr="00834D52" w:rsidRDefault="00FC294A"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D5B2C99">
          <v:rect id="_x0000_s1094" style="position:absolute;left:0;text-align:left;margin-left:49pt;margin-top:.75pt;width:12.75pt;height:12pt;z-index:251624960"/>
        </w:pict>
      </w:r>
      <w:r w:rsidR="006F76EB" w:rsidRPr="00834D52">
        <w:rPr>
          <w:rFonts w:ascii="Sylfaen" w:hAnsi="Sylfaen"/>
          <w:sz w:val="24"/>
          <w:szCs w:val="24"/>
        </w:rPr>
        <w:t>ԿԵՆՍԱՆՄԱՆ ԴԵՂԱՊԱՏՐԱՍՏՈՒԿ (ԿԵՆՍԱՆՄԱՆԱԿ)</w:t>
      </w:r>
    </w:p>
    <w:p w14:paraId="6783C793"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903" w:type="dxa"/>
        <w:jc w:val="center"/>
        <w:tblLayout w:type="fixed"/>
        <w:tblCellMar>
          <w:left w:w="0" w:type="dxa"/>
          <w:right w:w="0" w:type="dxa"/>
        </w:tblCellMar>
        <w:tblLook w:val="01E0" w:firstRow="1" w:lastRow="1" w:firstColumn="1" w:lastColumn="1" w:noHBand="0" w:noVBand="0"/>
      </w:tblPr>
      <w:tblGrid>
        <w:gridCol w:w="5147"/>
        <w:gridCol w:w="4756"/>
      </w:tblGrid>
      <w:tr w:rsidR="006F76EB" w:rsidRPr="00834D52" w14:paraId="46A0A911"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458C469E"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756" w:type="dxa"/>
            <w:tcBorders>
              <w:top w:val="single" w:sz="4" w:space="0" w:color="000000"/>
              <w:left w:val="single" w:sz="4" w:space="0" w:color="000000"/>
              <w:bottom w:val="single" w:sz="4" w:space="0" w:color="000000"/>
              <w:right w:val="single" w:sz="4" w:space="0" w:color="000000"/>
            </w:tcBorders>
          </w:tcPr>
          <w:p w14:paraId="317DEAAC"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D5E7179"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C82D030"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756" w:type="dxa"/>
            <w:tcBorders>
              <w:top w:val="single" w:sz="4" w:space="0" w:color="000000"/>
              <w:left w:val="single" w:sz="4" w:space="0" w:color="000000"/>
              <w:bottom w:val="single" w:sz="4" w:space="0" w:color="000000"/>
              <w:right w:val="single" w:sz="4" w:space="0" w:color="000000"/>
            </w:tcBorders>
          </w:tcPr>
          <w:p w14:paraId="61798133" w14:textId="77777777" w:rsidR="006F76EB" w:rsidRPr="00834D52" w:rsidRDefault="006F76EB" w:rsidP="00A64FAB">
            <w:pPr>
              <w:spacing w:after="120" w:line="240" w:lineRule="auto"/>
              <w:ind w:right="-6"/>
              <w:rPr>
                <w:rFonts w:ascii="Sylfaen" w:hAnsi="Sylfaen"/>
                <w:sz w:val="24"/>
                <w:szCs w:val="24"/>
              </w:rPr>
            </w:pPr>
          </w:p>
        </w:tc>
      </w:tr>
    </w:tbl>
    <w:p w14:paraId="7B33F0AA" w14:textId="77777777" w:rsidR="006F76EB" w:rsidRPr="00834D52" w:rsidRDefault="00D0720C" w:rsidP="006F76EB">
      <w:pPr>
        <w:spacing w:after="160" w:line="360" w:lineRule="auto"/>
        <w:ind w:right="-8" w:firstLine="567"/>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762" w:type="dxa"/>
        <w:jc w:val="center"/>
        <w:tblLayout w:type="fixed"/>
        <w:tblCellMar>
          <w:left w:w="0" w:type="dxa"/>
          <w:right w:w="0" w:type="dxa"/>
        </w:tblCellMar>
        <w:tblLook w:val="01E0" w:firstRow="1" w:lastRow="1" w:firstColumn="1" w:lastColumn="1" w:noHBand="0" w:noVBand="0"/>
      </w:tblPr>
      <w:tblGrid>
        <w:gridCol w:w="5147"/>
        <w:gridCol w:w="4615"/>
      </w:tblGrid>
      <w:tr w:rsidR="006F76EB" w:rsidRPr="00834D52" w14:paraId="0F37E64C"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12A4B5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15" w:type="dxa"/>
            <w:tcBorders>
              <w:top w:val="single" w:sz="4" w:space="0" w:color="000000"/>
              <w:left w:val="single" w:sz="4" w:space="0" w:color="000000"/>
              <w:bottom w:val="single" w:sz="4" w:space="0" w:color="000000"/>
              <w:right w:val="single" w:sz="4" w:space="0" w:color="000000"/>
            </w:tcBorders>
          </w:tcPr>
          <w:p w14:paraId="53D0E040" w14:textId="77777777" w:rsidR="006F76EB" w:rsidRPr="00834D52" w:rsidRDefault="006F76EB" w:rsidP="00A64FAB">
            <w:pPr>
              <w:spacing w:after="120" w:line="240" w:lineRule="auto"/>
              <w:ind w:right="-6"/>
              <w:rPr>
                <w:rFonts w:ascii="Sylfaen" w:hAnsi="Sylfaen"/>
                <w:sz w:val="24"/>
                <w:szCs w:val="24"/>
              </w:rPr>
            </w:pPr>
          </w:p>
        </w:tc>
      </w:tr>
      <w:tr w:rsidR="006F76EB" w:rsidRPr="00834D52" w14:paraId="4CEFF26F"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6E8AAC6D" w14:textId="77777777" w:rsidR="006F76EB" w:rsidRPr="00834D52" w:rsidRDefault="006F76EB" w:rsidP="00A64FAB">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 </w:t>
            </w:r>
          </w:p>
        </w:tc>
        <w:tc>
          <w:tcPr>
            <w:tcW w:w="4615" w:type="dxa"/>
            <w:tcBorders>
              <w:top w:val="single" w:sz="4" w:space="0" w:color="000000"/>
              <w:left w:val="single" w:sz="4" w:space="0" w:color="000000"/>
              <w:bottom w:val="single" w:sz="4" w:space="0" w:color="000000"/>
              <w:right w:val="single" w:sz="4" w:space="0" w:color="000000"/>
            </w:tcBorders>
          </w:tcPr>
          <w:p w14:paraId="5905C1FD" w14:textId="77777777" w:rsidR="006F76EB" w:rsidRPr="00834D52" w:rsidRDefault="006F76EB" w:rsidP="00A64FAB">
            <w:pPr>
              <w:spacing w:after="120" w:line="240" w:lineRule="auto"/>
              <w:ind w:right="-6"/>
              <w:rPr>
                <w:rFonts w:ascii="Sylfaen" w:hAnsi="Sylfaen"/>
                <w:sz w:val="24"/>
                <w:szCs w:val="24"/>
              </w:rPr>
            </w:pPr>
          </w:p>
        </w:tc>
      </w:tr>
      <w:tr w:rsidR="006F76EB" w:rsidRPr="00834D52" w14:paraId="070C8F35" w14:textId="77777777" w:rsidTr="00A64FAB">
        <w:trPr>
          <w:jc w:val="center"/>
        </w:trPr>
        <w:tc>
          <w:tcPr>
            <w:tcW w:w="5147" w:type="dxa"/>
            <w:tcBorders>
              <w:top w:val="single" w:sz="4" w:space="0" w:color="000000"/>
              <w:left w:val="single" w:sz="4" w:space="0" w:color="000000"/>
              <w:bottom w:val="single" w:sz="4" w:space="0" w:color="000000"/>
              <w:right w:val="single" w:sz="4" w:space="0" w:color="000000"/>
            </w:tcBorders>
          </w:tcPr>
          <w:p w14:paraId="2C3458E7"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615" w:type="dxa"/>
            <w:tcBorders>
              <w:top w:val="single" w:sz="4" w:space="0" w:color="000000"/>
              <w:left w:val="single" w:sz="4" w:space="0" w:color="000000"/>
              <w:bottom w:val="single" w:sz="4" w:space="0" w:color="000000"/>
              <w:right w:val="single" w:sz="4" w:space="0" w:color="000000"/>
            </w:tcBorders>
          </w:tcPr>
          <w:p w14:paraId="6F4361D1" w14:textId="77777777" w:rsidR="006F76EB" w:rsidRPr="00834D52" w:rsidRDefault="006F76EB" w:rsidP="00A64FAB">
            <w:pPr>
              <w:spacing w:after="120" w:line="240" w:lineRule="auto"/>
              <w:ind w:right="-6"/>
              <w:rPr>
                <w:rFonts w:ascii="Sylfaen" w:hAnsi="Sylfaen"/>
                <w:sz w:val="24"/>
                <w:szCs w:val="24"/>
              </w:rPr>
            </w:pPr>
          </w:p>
        </w:tc>
      </w:tr>
      <w:tr w:rsidR="006F76EB" w:rsidRPr="00834D52" w14:paraId="50BD1F72" w14:textId="77777777" w:rsidTr="00A64FAB">
        <w:trPr>
          <w:trHeight w:val="693"/>
          <w:jc w:val="center"/>
        </w:trPr>
        <w:tc>
          <w:tcPr>
            <w:tcW w:w="5147" w:type="dxa"/>
            <w:vMerge w:val="restart"/>
            <w:tcBorders>
              <w:top w:val="single" w:sz="4" w:space="0" w:color="000000"/>
              <w:left w:val="single" w:sz="4" w:space="0" w:color="000000"/>
              <w:right w:val="single" w:sz="4" w:space="0" w:color="000000"/>
            </w:tcBorders>
          </w:tcPr>
          <w:p w14:paraId="07DE9689" w14:textId="77777777" w:rsidR="006F76EB" w:rsidRPr="00834D52" w:rsidRDefault="00D0720C" w:rsidP="00A64FAB">
            <w:pPr>
              <w:spacing w:after="120" w:line="240" w:lineRule="auto"/>
              <w:ind w:left="186"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615" w:type="dxa"/>
            <w:tcBorders>
              <w:top w:val="single" w:sz="4" w:space="0" w:color="000000"/>
              <w:left w:val="single" w:sz="4" w:space="0" w:color="000000"/>
              <w:bottom w:val="single" w:sz="4" w:space="0" w:color="000000"/>
              <w:right w:val="single" w:sz="4" w:space="0" w:color="000000"/>
            </w:tcBorders>
          </w:tcPr>
          <w:p w14:paraId="0141B4AE" w14:textId="77777777" w:rsidR="006F76EB" w:rsidRPr="00834D52" w:rsidRDefault="00FC294A"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DCAD5A1">
                <v:rect id="_x0000_s1095" style="position:absolute;left:0;text-align:left;margin-left:2.7pt;margin-top:4.95pt;width:12.75pt;height:12pt;z-index:251625984;mso-position-horizontal-relative:text;mso-position-vertical-relative:text"/>
              </w:pict>
            </w:r>
            <w:r w:rsidR="006F76EB" w:rsidRPr="00834D52">
              <w:rPr>
                <w:rFonts w:ascii="Sylfaen" w:hAnsi="Sylfaen"/>
                <w:sz w:val="24"/>
                <w:szCs w:val="24"/>
              </w:rPr>
              <w:t>ելանյութերի տարբերությունները</w:t>
            </w:r>
          </w:p>
        </w:tc>
      </w:tr>
      <w:tr w:rsidR="006F76EB" w:rsidRPr="00834D52" w14:paraId="35495ED7" w14:textId="77777777" w:rsidTr="00A64FAB">
        <w:trPr>
          <w:jc w:val="center"/>
        </w:trPr>
        <w:tc>
          <w:tcPr>
            <w:tcW w:w="5147" w:type="dxa"/>
            <w:vMerge/>
            <w:tcBorders>
              <w:left w:val="single" w:sz="4" w:space="0" w:color="000000"/>
              <w:right w:val="single" w:sz="4" w:space="0" w:color="000000"/>
            </w:tcBorders>
          </w:tcPr>
          <w:p w14:paraId="026C4703"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0EED00EE" w14:textId="77777777" w:rsidR="006F76EB" w:rsidRPr="00834D52" w:rsidRDefault="00FC294A"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597258A1">
                <v:rect id="_x0000_s1096" style="position:absolute;left:0;text-align:left;margin-left:2.7pt;margin-top:6.35pt;width:12.75pt;height:12pt;z-index:251627008;mso-position-horizontal-relative:text;mso-position-vertical-relative:text"/>
              </w:pict>
            </w:r>
            <w:r w:rsidR="006F76EB" w:rsidRPr="00834D52">
              <w:rPr>
                <w:rFonts w:ascii="Sylfaen" w:hAnsi="Sylfaen"/>
                <w:sz w:val="24"/>
                <w:szCs w:val="24"/>
              </w:rPr>
              <w:t>արտադրական գործընթացի տարբերությունները</w:t>
            </w:r>
          </w:p>
        </w:tc>
      </w:tr>
      <w:tr w:rsidR="006F76EB" w:rsidRPr="00834D52" w14:paraId="44D45028" w14:textId="77777777" w:rsidTr="00A64FAB">
        <w:trPr>
          <w:jc w:val="center"/>
        </w:trPr>
        <w:tc>
          <w:tcPr>
            <w:tcW w:w="5147" w:type="dxa"/>
            <w:vMerge/>
            <w:tcBorders>
              <w:left w:val="single" w:sz="4" w:space="0" w:color="000000"/>
              <w:right w:val="single" w:sz="4" w:space="0" w:color="000000"/>
            </w:tcBorders>
          </w:tcPr>
          <w:p w14:paraId="5AC8274F"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4B98ED4C" w14:textId="77777777" w:rsidR="006F76EB" w:rsidRPr="00834D52" w:rsidRDefault="00FC294A"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12BEFBD9">
                <v:rect id="_x0000_s1097" style="position:absolute;left:0;text-align:left;margin-left:1.95pt;margin-top:7pt;width:12.75pt;height:12pt;z-index:251628032;mso-position-horizontal-relative:text;mso-position-vertical-relative:text"/>
              </w:pict>
            </w:r>
            <w:r w:rsidR="006F76EB" w:rsidRPr="00834D52">
              <w:rPr>
                <w:rFonts w:ascii="Sylfaen" w:hAnsi="Sylfaen"/>
                <w:sz w:val="24"/>
                <w:szCs w:val="24"/>
              </w:rPr>
              <w:t>կիրառման այլ ցուցումներ</w:t>
            </w:r>
          </w:p>
        </w:tc>
      </w:tr>
      <w:tr w:rsidR="006F76EB" w:rsidRPr="00834D52" w14:paraId="219B72D1" w14:textId="77777777" w:rsidTr="00A64FAB">
        <w:trPr>
          <w:jc w:val="center"/>
        </w:trPr>
        <w:tc>
          <w:tcPr>
            <w:tcW w:w="5147" w:type="dxa"/>
            <w:vMerge/>
            <w:tcBorders>
              <w:left w:val="single" w:sz="4" w:space="0" w:color="000000"/>
              <w:right w:val="single" w:sz="4" w:space="0" w:color="000000"/>
            </w:tcBorders>
          </w:tcPr>
          <w:p w14:paraId="2013D651"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411955A" w14:textId="77777777" w:rsidR="006F76EB" w:rsidRPr="00834D52" w:rsidRDefault="00FC294A"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43D061C3">
                <v:rect id="_x0000_s1098" style="position:absolute;left:0;text-align:left;margin-left:2.7pt;margin-top:4.65pt;width:12.75pt;height:12pt;z-index:251629056;mso-position-horizontal-relative:text;mso-position-vertical-relative:text"/>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tc>
      </w:tr>
      <w:tr w:rsidR="006F76EB" w:rsidRPr="00834D52" w14:paraId="15BCDC81" w14:textId="77777777" w:rsidTr="00A64FAB">
        <w:trPr>
          <w:jc w:val="center"/>
        </w:trPr>
        <w:tc>
          <w:tcPr>
            <w:tcW w:w="5147" w:type="dxa"/>
            <w:vMerge/>
            <w:tcBorders>
              <w:left w:val="single" w:sz="4" w:space="0" w:color="000000"/>
              <w:right w:val="single" w:sz="4" w:space="0" w:color="000000"/>
            </w:tcBorders>
          </w:tcPr>
          <w:p w14:paraId="63907C96"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39087D54" w14:textId="77777777" w:rsidR="006F76EB" w:rsidRPr="00834D52" w:rsidRDefault="00FC294A"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C435CF1">
                <v:rect id="_x0000_s1099" style="position:absolute;left:0;text-align:left;margin-left:2.7pt;margin-top:6.8pt;width:12.75pt;height:12pt;z-index:251630080;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4132BAE5" w14:textId="77777777" w:rsidTr="00A64FAB">
        <w:trPr>
          <w:jc w:val="center"/>
        </w:trPr>
        <w:tc>
          <w:tcPr>
            <w:tcW w:w="5147" w:type="dxa"/>
            <w:vMerge/>
            <w:tcBorders>
              <w:left w:val="single" w:sz="4" w:space="0" w:color="000000"/>
              <w:right w:val="single" w:sz="4" w:space="0" w:color="000000"/>
            </w:tcBorders>
          </w:tcPr>
          <w:p w14:paraId="0964044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5D05C3BB" w14:textId="77777777" w:rsidR="006F76EB" w:rsidRPr="00834D52" w:rsidRDefault="00FC294A" w:rsidP="00A64FAB">
            <w:pPr>
              <w:spacing w:after="120" w:line="240" w:lineRule="auto"/>
              <w:ind w:left="642" w:right="-6"/>
              <w:rPr>
                <w:rFonts w:ascii="Sylfaen" w:hAnsi="Sylfaen"/>
                <w:sz w:val="24"/>
                <w:szCs w:val="24"/>
              </w:rPr>
            </w:pPr>
            <w:r>
              <w:rPr>
                <w:rFonts w:ascii="Sylfaen" w:eastAsia="Times New Roman" w:hAnsi="Sylfaen" w:cs="Times New Roman"/>
                <w:noProof/>
                <w:sz w:val="24"/>
                <w:szCs w:val="24"/>
              </w:rPr>
              <w:pict w14:anchorId="2F5160FE">
                <v:rect id="_x0000_s1100" style="position:absolute;left:0;text-align:left;margin-left:2.7pt;margin-top:4.8pt;width:12.75pt;height:12pt;z-index:251631104;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A9375A3" w14:textId="77777777" w:rsidTr="00A64FAB">
        <w:trPr>
          <w:jc w:val="center"/>
        </w:trPr>
        <w:tc>
          <w:tcPr>
            <w:tcW w:w="5147" w:type="dxa"/>
            <w:vMerge/>
            <w:tcBorders>
              <w:left w:val="single" w:sz="4" w:space="0" w:color="000000"/>
              <w:bottom w:val="single" w:sz="4" w:space="0" w:color="000000"/>
              <w:right w:val="single" w:sz="4" w:space="0" w:color="000000"/>
            </w:tcBorders>
          </w:tcPr>
          <w:p w14:paraId="5238B47D" w14:textId="77777777" w:rsidR="006F76EB" w:rsidRPr="00834D52" w:rsidRDefault="006F76EB" w:rsidP="00A64FAB">
            <w:pPr>
              <w:spacing w:after="120" w:line="240" w:lineRule="auto"/>
              <w:ind w:right="-6"/>
              <w:rPr>
                <w:rFonts w:ascii="Sylfaen" w:eastAsia="Times New Roman" w:hAnsi="Sylfaen" w:cs="Times New Roman"/>
                <w:sz w:val="24"/>
                <w:szCs w:val="24"/>
              </w:rPr>
            </w:pPr>
          </w:p>
        </w:tc>
        <w:tc>
          <w:tcPr>
            <w:tcW w:w="4615" w:type="dxa"/>
            <w:tcBorders>
              <w:top w:val="single" w:sz="4" w:space="0" w:color="000000"/>
              <w:left w:val="single" w:sz="4" w:space="0" w:color="000000"/>
              <w:bottom w:val="single" w:sz="4" w:space="0" w:color="000000"/>
              <w:right w:val="single" w:sz="4" w:space="0" w:color="000000"/>
            </w:tcBorders>
          </w:tcPr>
          <w:p w14:paraId="6470FC52" w14:textId="77777777" w:rsidR="006F76EB" w:rsidRPr="00834D52" w:rsidRDefault="00FC294A" w:rsidP="00A64FAB">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6002C923">
                <v:rect id="_x0000_s1101" style="position:absolute;left:0;text-align:left;margin-left:2.7pt;margin-top:6.2pt;width:12.75pt;height:12pt;z-index:251632128;mso-position-horizontal-relative:text;mso-position-vertical-relative:text"/>
              </w:pict>
            </w:r>
            <w:r w:rsidR="006F76EB" w:rsidRPr="00834D52">
              <w:rPr>
                <w:rFonts w:ascii="Sylfaen" w:hAnsi="Sylfaen"/>
                <w:sz w:val="24"/>
                <w:szCs w:val="24"/>
              </w:rPr>
              <w:t>այլ տարբերություններ՝</w:t>
            </w:r>
          </w:p>
          <w:p w14:paraId="5D8CB89E" w14:textId="77777777" w:rsidR="006F76EB" w:rsidRPr="00834D52" w:rsidRDefault="006F76EB" w:rsidP="00A64FAB">
            <w:pPr>
              <w:spacing w:after="120" w:line="240" w:lineRule="auto"/>
              <w:ind w:left="75" w:right="-6"/>
              <w:rPr>
                <w:rFonts w:ascii="Sylfaen" w:hAnsi="Sylfaen"/>
                <w:sz w:val="24"/>
                <w:szCs w:val="24"/>
                <w:lang w:val="en-US"/>
              </w:rPr>
            </w:pPr>
            <w:r w:rsidRPr="00834D52">
              <w:rPr>
                <w:rFonts w:ascii="Sylfaen" w:hAnsi="Sylfaen"/>
                <w:sz w:val="24"/>
                <w:szCs w:val="24"/>
              </w:rPr>
              <w:t>____</w:t>
            </w:r>
            <w:r w:rsidR="00A00382">
              <w:rPr>
                <w:rFonts w:ascii="Sylfaen" w:hAnsi="Sylfaen"/>
                <w:sz w:val="24"/>
                <w:szCs w:val="24"/>
              </w:rPr>
              <w:t>________________________</w:t>
            </w:r>
            <w:r w:rsidRPr="00834D52">
              <w:rPr>
                <w:rFonts w:ascii="Sylfaen" w:hAnsi="Sylfaen"/>
                <w:sz w:val="24"/>
                <w:szCs w:val="24"/>
              </w:rPr>
              <w:t>_________</w:t>
            </w:r>
          </w:p>
        </w:tc>
      </w:tr>
    </w:tbl>
    <w:p w14:paraId="0614F22B"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5EB2DE3">
          <v:rect id="_x0000_s1102" style="position:absolute;left:0;text-align:left;margin-left:106.75pt;margin-top:1.5pt;width:12.75pt;height:12pt;z-index:251633152;mso-position-horizontal-relative:text;mso-position-vertical-relative:text"/>
        </w:pict>
      </w:r>
      <w:r w:rsidR="006F76EB" w:rsidRPr="00834D52">
        <w:rPr>
          <w:rFonts w:ascii="Sylfaen" w:hAnsi="Sylfaen"/>
          <w:sz w:val="24"/>
          <w:szCs w:val="24"/>
        </w:rPr>
        <w:t>ՀԻԲՐԻԴԱՅԻՆ ԴԵՂԱՊԱՏՐԱՍՏՈՒԿ</w:t>
      </w:r>
    </w:p>
    <w:tbl>
      <w:tblPr>
        <w:tblW w:w="9870" w:type="dxa"/>
        <w:jc w:val="center"/>
        <w:tblLayout w:type="fixed"/>
        <w:tblCellMar>
          <w:left w:w="0" w:type="dxa"/>
          <w:right w:w="0" w:type="dxa"/>
        </w:tblCellMar>
        <w:tblLook w:val="01E0" w:firstRow="1" w:lastRow="1" w:firstColumn="1" w:lastColumn="1" w:noHBand="0" w:noVBand="0"/>
      </w:tblPr>
      <w:tblGrid>
        <w:gridCol w:w="5196"/>
        <w:gridCol w:w="4674"/>
      </w:tblGrid>
      <w:tr w:rsidR="006F76EB" w:rsidRPr="00834D52" w14:paraId="12E14C4B" w14:textId="77777777" w:rsidTr="006760AA">
        <w:trPr>
          <w:trHeight w:val="490"/>
          <w:jc w:val="center"/>
        </w:trPr>
        <w:tc>
          <w:tcPr>
            <w:tcW w:w="9869" w:type="dxa"/>
            <w:gridSpan w:val="2"/>
            <w:tcBorders>
              <w:top w:val="single" w:sz="4" w:space="0" w:color="000000"/>
              <w:left w:val="single" w:sz="4" w:space="0" w:color="000000"/>
              <w:bottom w:val="single" w:sz="4" w:space="0" w:color="000000"/>
              <w:right w:val="single" w:sz="4" w:space="0" w:color="000000"/>
            </w:tcBorders>
          </w:tcPr>
          <w:p w14:paraId="6C9B0A26"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w:t>
            </w:r>
          </w:p>
        </w:tc>
      </w:tr>
      <w:tr w:rsidR="006F76EB" w:rsidRPr="00834D52" w14:paraId="40272AC1" w14:textId="77777777" w:rsidTr="006760AA">
        <w:trPr>
          <w:trHeight w:val="841"/>
          <w:jc w:val="center"/>
        </w:trPr>
        <w:tc>
          <w:tcPr>
            <w:tcW w:w="5196" w:type="dxa"/>
            <w:tcBorders>
              <w:top w:val="single" w:sz="4" w:space="0" w:color="000000"/>
              <w:left w:val="single" w:sz="4" w:space="0" w:color="000000"/>
              <w:bottom w:val="single" w:sz="4" w:space="0" w:color="000000"/>
              <w:right w:val="single" w:sz="4" w:space="0" w:color="000000"/>
            </w:tcBorders>
          </w:tcPr>
          <w:p w14:paraId="68388FB8"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674" w:type="dxa"/>
            <w:tcBorders>
              <w:top w:val="single" w:sz="4" w:space="0" w:color="000000"/>
              <w:left w:val="single" w:sz="4" w:space="0" w:color="000000"/>
              <w:bottom w:val="single" w:sz="4" w:space="0" w:color="000000"/>
              <w:right w:val="single" w:sz="4" w:space="0" w:color="000000"/>
            </w:tcBorders>
          </w:tcPr>
          <w:p w14:paraId="5CEE61B4" w14:textId="77777777" w:rsidR="006F76EB" w:rsidRPr="00834D52" w:rsidRDefault="006F76EB" w:rsidP="00A00382">
            <w:pPr>
              <w:spacing w:after="120" w:line="240" w:lineRule="auto"/>
              <w:ind w:right="-6"/>
              <w:rPr>
                <w:rFonts w:ascii="Sylfaen" w:hAnsi="Sylfaen"/>
                <w:sz w:val="24"/>
                <w:szCs w:val="24"/>
              </w:rPr>
            </w:pPr>
          </w:p>
        </w:tc>
      </w:tr>
      <w:tr w:rsidR="006F76EB" w:rsidRPr="00834D52" w14:paraId="4FC68C88" w14:textId="77777777" w:rsidTr="006760AA">
        <w:trPr>
          <w:trHeight w:val="1834"/>
          <w:jc w:val="center"/>
        </w:trPr>
        <w:tc>
          <w:tcPr>
            <w:tcW w:w="5196" w:type="dxa"/>
            <w:tcBorders>
              <w:top w:val="single" w:sz="4" w:space="0" w:color="000000"/>
              <w:left w:val="single" w:sz="4" w:space="0" w:color="000000"/>
              <w:bottom w:val="single" w:sz="4" w:space="0" w:color="auto"/>
              <w:right w:val="single" w:sz="4" w:space="0" w:color="000000"/>
            </w:tcBorders>
          </w:tcPr>
          <w:p w14:paraId="39A00B53"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գրանցման հավաստագրի իրավատերը, գրանցման ամսաթիվը, գրանցման հավաստագրի համարը, Միության այն անդամ պետությունները, որտեղ գրանցված է օրիգինալ դեղապատրաստուկը</w:t>
            </w:r>
          </w:p>
        </w:tc>
        <w:tc>
          <w:tcPr>
            <w:tcW w:w="4674" w:type="dxa"/>
            <w:tcBorders>
              <w:top w:val="single" w:sz="4" w:space="0" w:color="000000"/>
              <w:left w:val="single" w:sz="4" w:space="0" w:color="000000"/>
              <w:bottom w:val="single" w:sz="4" w:space="0" w:color="auto"/>
              <w:right w:val="single" w:sz="4" w:space="0" w:color="000000"/>
            </w:tcBorders>
          </w:tcPr>
          <w:p w14:paraId="4BDF477E"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22C44AF" w14:textId="77777777" w:rsidTr="006760AA">
        <w:trPr>
          <w:trHeight w:val="846"/>
          <w:jc w:val="center"/>
        </w:trPr>
        <w:tc>
          <w:tcPr>
            <w:tcW w:w="5196" w:type="dxa"/>
            <w:vMerge w:val="restart"/>
            <w:tcBorders>
              <w:top w:val="single" w:sz="4" w:space="0" w:color="auto"/>
              <w:left w:val="single" w:sz="4" w:space="0" w:color="auto"/>
              <w:bottom w:val="single" w:sz="4" w:space="0" w:color="auto"/>
              <w:right w:val="single" w:sz="4" w:space="0" w:color="auto"/>
            </w:tcBorders>
          </w:tcPr>
          <w:p w14:paraId="0F0A1C7E" w14:textId="77777777" w:rsidR="006F76EB" w:rsidRPr="00834D52" w:rsidRDefault="006F76EB" w:rsidP="00A00382">
            <w:pPr>
              <w:spacing w:after="120" w:line="240" w:lineRule="auto"/>
              <w:ind w:left="186" w:right="-6"/>
              <w:rPr>
                <w:rFonts w:ascii="Sylfaen" w:hAnsi="Sylfaen"/>
                <w:sz w:val="24"/>
                <w:szCs w:val="24"/>
              </w:rPr>
            </w:pPr>
            <w:r w:rsidRPr="00834D52">
              <w:rPr>
                <w:rFonts w:ascii="Sylfaen" w:hAnsi="Sylfaen"/>
                <w:sz w:val="24"/>
                <w:szCs w:val="24"/>
              </w:rPr>
              <w:t>Օրիգինալ դեղապատրաստուկի համեմատությամբ տարբերությունները՝</w:t>
            </w:r>
          </w:p>
        </w:tc>
        <w:tc>
          <w:tcPr>
            <w:tcW w:w="4674" w:type="dxa"/>
            <w:tcBorders>
              <w:top w:val="single" w:sz="4" w:space="0" w:color="auto"/>
              <w:left w:val="single" w:sz="4" w:space="0" w:color="auto"/>
              <w:bottom w:val="single" w:sz="4" w:space="0" w:color="auto"/>
              <w:right w:val="single" w:sz="4" w:space="0" w:color="auto"/>
            </w:tcBorders>
          </w:tcPr>
          <w:p w14:paraId="11F3D482" w14:textId="77777777" w:rsidR="006F76EB" w:rsidRPr="00834D52" w:rsidRDefault="00FC294A"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0A4C4611">
                <v:rect id="_x0000_s1103" style="position:absolute;left:0;text-align:left;margin-left:6.45pt;margin-top:7.25pt;width:12.75pt;height:12pt;z-index:251634176;mso-position-horizontal-relative:text;mso-position-vertical-relative:text"/>
              </w:pict>
            </w:r>
            <w:r w:rsidR="006F76EB" w:rsidRPr="00834D52">
              <w:rPr>
                <w:rFonts w:ascii="Sylfaen" w:hAnsi="Sylfaen"/>
                <w:sz w:val="24"/>
                <w:szCs w:val="24"/>
              </w:rPr>
              <w:t>ակտիվ դեղաբանական բաղադրամասի փոփոխություններ</w:t>
            </w:r>
          </w:p>
        </w:tc>
      </w:tr>
      <w:tr w:rsidR="006F76EB" w:rsidRPr="00834D52" w14:paraId="4A8E09C8" w14:textId="77777777" w:rsidTr="00A00382">
        <w:trPr>
          <w:trHeight w:val="155"/>
          <w:jc w:val="center"/>
        </w:trPr>
        <w:tc>
          <w:tcPr>
            <w:tcW w:w="5196" w:type="dxa"/>
            <w:vMerge/>
            <w:tcBorders>
              <w:top w:val="single" w:sz="4" w:space="0" w:color="auto"/>
              <w:left w:val="single" w:sz="4" w:space="0" w:color="000000"/>
              <w:right w:val="single" w:sz="4" w:space="0" w:color="000000"/>
            </w:tcBorders>
          </w:tcPr>
          <w:p w14:paraId="0753D607"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auto"/>
              <w:left w:val="single" w:sz="4" w:space="0" w:color="000000"/>
              <w:bottom w:val="single" w:sz="4" w:space="0" w:color="000000"/>
              <w:right w:val="single" w:sz="4" w:space="0" w:color="000000"/>
            </w:tcBorders>
          </w:tcPr>
          <w:p w14:paraId="364685F6" w14:textId="77777777" w:rsidR="006F76EB" w:rsidRPr="00834D52" w:rsidRDefault="00FC294A"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B28C388">
                <v:rect id="_x0000_s1104" style="position:absolute;left:0;text-align:left;margin-left:6.45pt;margin-top:5.3pt;width:12.75pt;height:12pt;z-index:251635200;mso-position-horizontal-relative:text;mso-position-vertical-relative:text"/>
              </w:pict>
            </w:r>
            <w:r w:rsidR="006F76EB" w:rsidRPr="00834D52">
              <w:rPr>
                <w:rFonts w:ascii="Sylfaen" w:hAnsi="Sylfaen"/>
                <w:sz w:val="24"/>
                <w:szCs w:val="24"/>
              </w:rPr>
              <w:t>այլ դեղաձ</w:t>
            </w:r>
            <w:r w:rsidR="00C54D75">
              <w:rPr>
                <w:rFonts w:ascii="Sylfaen" w:hAnsi="Sylfaen"/>
                <w:sz w:val="24"/>
                <w:szCs w:val="24"/>
              </w:rPr>
              <w:t>և</w:t>
            </w:r>
          </w:p>
        </w:tc>
      </w:tr>
      <w:tr w:rsidR="006F76EB" w:rsidRPr="00834D52" w14:paraId="464E60E5" w14:textId="77777777" w:rsidTr="00A00382">
        <w:trPr>
          <w:trHeight w:val="155"/>
          <w:jc w:val="center"/>
        </w:trPr>
        <w:tc>
          <w:tcPr>
            <w:tcW w:w="5196" w:type="dxa"/>
            <w:vMerge/>
            <w:tcBorders>
              <w:left w:val="single" w:sz="4" w:space="0" w:color="000000"/>
              <w:right w:val="single" w:sz="4" w:space="0" w:color="000000"/>
            </w:tcBorders>
          </w:tcPr>
          <w:p w14:paraId="461A0836"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FB9CF30" w14:textId="77777777" w:rsidR="006F76EB" w:rsidRPr="00834D52" w:rsidRDefault="00FC294A"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5E20B93">
                <v:rect id="_x0000_s1105" style="position:absolute;left:0;text-align:left;margin-left:6.45pt;margin-top:5.95pt;width:12.75pt;height:12pt;z-index:251636224;mso-position-horizontal-relative:text;mso-position-vertical-relative:text"/>
              </w:pict>
            </w:r>
            <w:r w:rsidR="006F76EB" w:rsidRPr="00834D52">
              <w:rPr>
                <w:rFonts w:ascii="Sylfaen" w:hAnsi="Sylfaen"/>
                <w:sz w:val="24"/>
                <w:szCs w:val="24"/>
              </w:rPr>
              <w:t>այլ դոզավորումներ (ԱԴԲ-ի քանակական փոփոխություններ)</w:t>
            </w:r>
          </w:p>
        </w:tc>
      </w:tr>
      <w:tr w:rsidR="006F76EB" w:rsidRPr="00834D52" w14:paraId="60E0128E" w14:textId="77777777" w:rsidTr="00A00382">
        <w:trPr>
          <w:trHeight w:val="155"/>
          <w:jc w:val="center"/>
        </w:trPr>
        <w:tc>
          <w:tcPr>
            <w:tcW w:w="5196" w:type="dxa"/>
            <w:vMerge/>
            <w:tcBorders>
              <w:left w:val="single" w:sz="4" w:space="0" w:color="000000"/>
              <w:right w:val="single" w:sz="4" w:space="0" w:color="000000"/>
            </w:tcBorders>
          </w:tcPr>
          <w:p w14:paraId="47E7FFCB"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A4CD6FB" w14:textId="77777777" w:rsidR="006F76EB" w:rsidRPr="00834D52" w:rsidRDefault="00FC294A"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5BE2F811">
                <v:rect id="_x0000_s1106" style="position:absolute;left:0;text-align:left;margin-left:5.7pt;margin-top:4pt;width:12.75pt;height:12pt;z-index:251637248;mso-position-horizontal-relative:text;mso-position-vertical-relative:text"/>
              </w:pict>
            </w:r>
            <w:r w:rsidR="006F76EB" w:rsidRPr="00834D52">
              <w:rPr>
                <w:rFonts w:ascii="Sylfaen" w:hAnsi="Sylfaen"/>
                <w:sz w:val="24"/>
                <w:szCs w:val="24"/>
              </w:rPr>
              <w:t>ներմուծման այլ եղանակ</w:t>
            </w:r>
          </w:p>
        </w:tc>
      </w:tr>
      <w:tr w:rsidR="006F76EB" w:rsidRPr="00834D52" w14:paraId="72CCD771" w14:textId="77777777" w:rsidTr="00A00382">
        <w:trPr>
          <w:trHeight w:val="155"/>
          <w:jc w:val="center"/>
        </w:trPr>
        <w:tc>
          <w:tcPr>
            <w:tcW w:w="5196" w:type="dxa"/>
            <w:vMerge/>
            <w:tcBorders>
              <w:left w:val="single" w:sz="4" w:space="0" w:color="000000"/>
              <w:right w:val="single" w:sz="4" w:space="0" w:color="000000"/>
            </w:tcBorders>
          </w:tcPr>
          <w:p w14:paraId="0F34B458"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73F756E0" w14:textId="77777777" w:rsidR="006F76EB" w:rsidRPr="00834D52" w:rsidRDefault="00FC294A"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2D539312">
                <v:rect id="_x0000_s1107" style="position:absolute;left:0;text-align:left;margin-left:5.7pt;margin-top:8.4pt;width:12.75pt;height:12pt;z-index:251638272;mso-position-horizontal-relative:text;mso-position-vertical-relative:text"/>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tc>
      </w:tr>
      <w:tr w:rsidR="006F76EB" w:rsidRPr="00834D52" w14:paraId="77A4AEA6" w14:textId="77777777" w:rsidTr="00A00382">
        <w:trPr>
          <w:trHeight w:val="155"/>
          <w:jc w:val="center"/>
        </w:trPr>
        <w:tc>
          <w:tcPr>
            <w:tcW w:w="5196" w:type="dxa"/>
            <w:vMerge/>
            <w:tcBorders>
              <w:left w:val="single" w:sz="4" w:space="0" w:color="000000"/>
              <w:right w:val="single" w:sz="4" w:space="0" w:color="000000"/>
            </w:tcBorders>
          </w:tcPr>
          <w:p w14:paraId="377204DC"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2C313AAC" w14:textId="77777777" w:rsidR="006F76EB" w:rsidRPr="00834D52" w:rsidRDefault="00FC294A" w:rsidP="00A00382">
            <w:pPr>
              <w:spacing w:after="120" w:line="240" w:lineRule="auto"/>
              <w:ind w:left="642" w:right="-6"/>
              <w:rPr>
                <w:rFonts w:ascii="Sylfaen" w:eastAsia="Times New Roman" w:hAnsi="Sylfaen" w:cs="Times New Roman"/>
                <w:sz w:val="24"/>
                <w:szCs w:val="24"/>
              </w:rPr>
            </w:pPr>
            <w:r>
              <w:rPr>
                <w:rFonts w:ascii="Sylfaen" w:eastAsia="Times New Roman" w:hAnsi="Sylfaen" w:cs="Times New Roman"/>
                <w:noProof/>
                <w:sz w:val="24"/>
                <w:szCs w:val="24"/>
              </w:rPr>
              <w:pict w14:anchorId="7A3DECC8">
                <v:rect id="_x0000_s1108" style="position:absolute;left:0;text-align:left;margin-left:6.45pt;margin-top:6.4pt;width:12.75pt;height:12pt;z-index:251639296;mso-position-horizontal-relative:text;mso-position-vertical-relative:text"/>
              </w:pict>
            </w:r>
            <w:r w:rsidR="006F76EB" w:rsidRPr="00834D52">
              <w:rPr>
                <w:rFonts w:ascii="Sylfaen" w:hAnsi="Sylfaen"/>
                <w:sz w:val="24"/>
                <w:szCs w:val="24"/>
              </w:rPr>
              <w:t>կիրառման այլ ցուցում</w:t>
            </w:r>
          </w:p>
        </w:tc>
      </w:tr>
      <w:tr w:rsidR="006F76EB" w:rsidRPr="00834D52" w14:paraId="02ED81A3" w14:textId="77777777" w:rsidTr="00A00382">
        <w:trPr>
          <w:trHeight w:val="155"/>
          <w:jc w:val="center"/>
        </w:trPr>
        <w:tc>
          <w:tcPr>
            <w:tcW w:w="5196" w:type="dxa"/>
            <w:vMerge/>
            <w:tcBorders>
              <w:left w:val="single" w:sz="4" w:space="0" w:color="000000"/>
              <w:bottom w:val="single" w:sz="4" w:space="0" w:color="000000"/>
              <w:right w:val="single" w:sz="4" w:space="0" w:color="000000"/>
            </w:tcBorders>
          </w:tcPr>
          <w:p w14:paraId="03CD122A" w14:textId="77777777" w:rsidR="006F76EB" w:rsidRPr="00834D52" w:rsidRDefault="006F76EB" w:rsidP="00A00382">
            <w:pPr>
              <w:spacing w:after="120" w:line="240" w:lineRule="auto"/>
              <w:ind w:right="-6"/>
              <w:rPr>
                <w:rFonts w:ascii="Sylfaen" w:eastAsia="Times New Roman" w:hAnsi="Sylfae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14:paraId="6D3E9279" w14:textId="77777777" w:rsidR="006F76EB" w:rsidRPr="00834D52" w:rsidRDefault="00FC294A" w:rsidP="00A00382">
            <w:pPr>
              <w:spacing w:after="120" w:line="240" w:lineRule="auto"/>
              <w:ind w:left="642" w:right="-6"/>
              <w:rPr>
                <w:rFonts w:ascii="Sylfaen" w:hAnsi="Sylfaen"/>
                <w:sz w:val="24"/>
                <w:szCs w:val="24"/>
                <w:lang w:val="en-US"/>
              </w:rPr>
            </w:pPr>
            <w:r>
              <w:rPr>
                <w:rFonts w:ascii="Sylfaen" w:eastAsia="Times New Roman" w:hAnsi="Sylfaen" w:cs="Times New Roman"/>
                <w:noProof/>
                <w:sz w:val="24"/>
                <w:szCs w:val="24"/>
              </w:rPr>
              <w:pict w14:anchorId="34B1AD4B">
                <v:rect id="_x0000_s1109" style="position:absolute;left:0;text-align:left;margin-left:6.45pt;margin-top:4.8pt;width:12.75pt;height:12pt;z-index:251640320;mso-position-horizontal-relative:text;mso-position-vertical-relative:text"/>
              </w:pict>
            </w:r>
            <w:r w:rsidR="006F76EB" w:rsidRPr="00834D52">
              <w:rPr>
                <w:rFonts w:ascii="Sylfaen" w:hAnsi="Sylfaen"/>
                <w:sz w:val="24"/>
                <w:szCs w:val="24"/>
              </w:rPr>
              <w:t>այլ տարբերություններ՝</w:t>
            </w:r>
          </w:p>
          <w:p w14:paraId="14861529" w14:textId="77777777" w:rsidR="006F76EB" w:rsidRPr="00834D52" w:rsidRDefault="006F76EB" w:rsidP="006760AA">
            <w:pPr>
              <w:spacing w:after="0" w:line="240" w:lineRule="auto"/>
              <w:ind w:left="641" w:right="-6"/>
              <w:rPr>
                <w:rFonts w:ascii="Sylfaen" w:hAnsi="Sylfaen"/>
                <w:sz w:val="24"/>
                <w:szCs w:val="24"/>
                <w:lang w:val="en-US"/>
              </w:rPr>
            </w:pPr>
            <w:r w:rsidRPr="00834D52">
              <w:rPr>
                <w:rFonts w:ascii="Sylfaen" w:hAnsi="Sylfaen"/>
                <w:sz w:val="24"/>
                <w:szCs w:val="24"/>
              </w:rPr>
              <w:t>_______________________________</w:t>
            </w:r>
          </w:p>
          <w:p w14:paraId="76E67A44" w14:textId="77777777" w:rsidR="006F76EB" w:rsidRPr="00834D52" w:rsidRDefault="006F76EB" w:rsidP="006760AA">
            <w:pPr>
              <w:spacing w:after="0" w:line="240" w:lineRule="auto"/>
              <w:ind w:left="641" w:right="-6"/>
              <w:rPr>
                <w:rFonts w:ascii="Sylfaen" w:eastAsia="Times New Roman" w:hAnsi="Sylfaen" w:cs="Times New Roman"/>
                <w:sz w:val="24"/>
                <w:szCs w:val="24"/>
              </w:rPr>
            </w:pPr>
            <w:r w:rsidRPr="00834D52">
              <w:rPr>
                <w:rFonts w:ascii="Sylfaen" w:hAnsi="Sylfaen"/>
                <w:sz w:val="24"/>
                <w:szCs w:val="24"/>
              </w:rPr>
              <w:t>_______________________________</w:t>
            </w:r>
          </w:p>
        </w:tc>
      </w:tr>
    </w:tbl>
    <w:p w14:paraId="6C92F24D" w14:textId="77777777" w:rsidR="006F76EB" w:rsidRPr="00834D52" w:rsidRDefault="006F76EB" w:rsidP="006760AA">
      <w:pPr>
        <w:spacing w:after="120" w:line="240" w:lineRule="auto"/>
        <w:ind w:right="-6"/>
        <w:rPr>
          <w:rFonts w:ascii="Sylfaen" w:hAnsi="Sylfaen"/>
          <w:sz w:val="24"/>
          <w:szCs w:val="24"/>
        </w:rPr>
      </w:pPr>
    </w:p>
    <w:p w14:paraId="5C6654A2" w14:textId="77777777" w:rsidR="006F76EB" w:rsidRPr="00834D52" w:rsidRDefault="00FC294A" w:rsidP="006F76EB">
      <w:pPr>
        <w:spacing w:after="160" w:line="360" w:lineRule="auto"/>
        <w:ind w:right="-8"/>
        <w:jc w:val="center"/>
        <w:rPr>
          <w:rFonts w:ascii="Sylfaen" w:hAnsi="Sylfaen"/>
          <w:sz w:val="24"/>
          <w:szCs w:val="24"/>
          <w:lang w:val="en-US"/>
        </w:rPr>
      </w:pPr>
      <w:r>
        <w:rPr>
          <w:rFonts w:ascii="Sylfaen" w:hAnsi="Sylfaen"/>
          <w:noProof/>
          <w:sz w:val="24"/>
          <w:szCs w:val="24"/>
        </w:rPr>
        <w:pict w14:anchorId="1F51DACF">
          <v:rect id="_x0000_s1110" style="position:absolute;left:0;text-align:left;margin-left:103.1pt;margin-top:1.5pt;width:12.75pt;height:12pt;z-index:251641344"/>
        </w:pict>
      </w:r>
      <w:r w:rsidR="006F76EB" w:rsidRPr="00834D52">
        <w:rPr>
          <w:rFonts w:ascii="Sylfaen" w:hAnsi="Sylfaen"/>
          <w:sz w:val="24"/>
          <w:szCs w:val="24"/>
        </w:rPr>
        <w:t>ՀԱՄԱԿՑՎԱԾ ԴԵՂԱՊԱՏՐԱՍՏՈՒԿ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3829"/>
      </w:tblGrid>
      <w:tr w:rsidR="006F76EB" w:rsidRPr="00834D52" w14:paraId="4C3F2970" w14:textId="77777777" w:rsidTr="00F71229">
        <w:trPr>
          <w:jc w:val="center"/>
        </w:trPr>
        <w:tc>
          <w:tcPr>
            <w:tcW w:w="4643" w:type="dxa"/>
          </w:tcPr>
          <w:p w14:paraId="5CC9A18B" w14:textId="315346FB" w:rsidR="006F76EB" w:rsidRPr="00834D52" w:rsidRDefault="00FC294A" w:rsidP="00F71229">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243F265">
                <v:rect id="_x0000_s1112" style="position:absolute;left:0;text-align:left;margin-left:25.75pt;margin-top:3.2pt;width:12.75pt;height:12pt;z-index:251642368"/>
              </w:pic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3829" w:type="dxa"/>
          </w:tcPr>
          <w:p w14:paraId="3E473168" w14:textId="77777777" w:rsidR="006F76EB" w:rsidRPr="00834D52" w:rsidRDefault="00FC294A" w:rsidP="00F71229">
            <w:pPr>
              <w:spacing w:after="160" w:line="360" w:lineRule="auto"/>
              <w:ind w:right="-8" w:firstLine="993"/>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3B6D333">
                <v:rect id="_x0000_s1111" style="position:absolute;left:0;text-align:left;margin-left:38.95pt;margin-top:3.2pt;width:12.75pt;height:12pt;z-index:251643392;mso-position-horizontal-relative:text;mso-position-vertical-relative:text"/>
              </w:pict>
            </w:r>
            <w:r w:rsidR="006F76EB" w:rsidRPr="00834D52">
              <w:rPr>
                <w:rFonts w:ascii="Sylfaen" w:hAnsi="Sylfaen"/>
                <w:sz w:val="24"/>
                <w:szCs w:val="24"/>
              </w:rPr>
              <w:t>նոր համակցություն</w:t>
            </w:r>
          </w:p>
        </w:tc>
      </w:tr>
    </w:tbl>
    <w:p w14:paraId="2E25928B" w14:textId="6895CEED"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9646" w:type="dxa"/>
        <w:tblInd w:w="109" w:type="dxa"/>
        <w:tblLayout w:type="fixed"/>
        <w:tblCellMar>
          <w:left w:w="0" w:type="dxa"/>
          <w:right w:w="0" w:type="dxa"/>
        </w:tblCellMar>
        <w:tblLook w:val="01E0" w:firstRow="1" w:lastRow="1" w:firstColumn="1" w:lastColumn="1" w:noHBand="0" w:noVBand="0"/>
      </w:tblPr>
      <w:tblGrid>
        <w:gridCol w:w="5141"/>
        <w:gridCol w:w="4505"/>
      </w:tblGrid>
      <w:tr w:rsidR="006F76EB" w:rsidRPr="00834D52" w14:paraId="7BE1670A"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7273A4B3"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505" w:type="dxa"/>
            <w:tcBorders>
              <w:top w:val="single" w:sz="4" w:space="0" w:color="000000"/>
              <w:left w:val="single" w:sz="4" w:space="0" w:color="000000"/>
              <w:bottom w:val="single" w:sz="4" w:space="0" w:color="000000"/>
              <w:right w:val="single" w:sz="4" w:space="0" w:color="000000"/>
            </w:tcBorders>
          </w:tcPr>
          <w:p w14:paraId="59826ECC" w14:textId="77777777" w:rsidR="006F76EB" w:rsidRPr="00834D52" w:rsidRDefault="006F76EB" w:rsidP="00A00382">
            <w:pPr>
              <w:spacing w:after="120" w:line="240" w:lineRule="auto"/>
              <w:ind w:right="-6"/>
              <w:rPr>
                <w:rFonts w:ascii="Sylfaen" w:hAnsi="Sylfaen"/>
                <w:sz w:val="24"/>
                <w:szCs w:val="24"/>
              </w:rPr>
            </w:pPr>
          </w:p>
        </w:tc>
      </w:tr>
      <w:tr w:rsidR="006F76EB" w:rsidRPr="00834D52" w14:paraId="55AE0AE0" w14:textId="77777777" w:rsidTr="00F71229">
        <w:tc>
          <w:tcPr>
            <w:tcW w:w="5141" w:type="dxa"/>
            <w:tcBorders>
              <w:top w:val="single" w:sz="4" w:space="0" w:color="000000"/>
              <w:left w:val="single" w:sz="4" w:space="0" w:color="000000"/>
              <w:bottom w:val="single" w:sz="4" w:space="0" w:color="000000"/>
              <w:right w:val="single" w:sz="4" w:space="0" w:color="000000"/>
            </w:tcBorders>
          </w:tcPr>
          <w:p w14:paraId="113AF029" w14:textId="77777777" w:rsidR="006F76EB" w:rsidRPr="00834D52" w:rsidRDefault="006F76EB" w:rsidP="00A0038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505" w:type="dxa"/>
            <w:tcBorders>
              <w:top w:val="single" w:sz="4" w:space="0" w:color="000000"/>
              <w:left w:val="single" w:sz="4" w:space="0" w:color="000000"/>
              <w:bottom w:val="single" w:sz="4" w:space="0" w:color="000000"/>
              <w:right w:val="single" w:sz="4" w:space="0" w:color="000000"/>
            </w:tcBorders>
          </w:tcPr>
          <w:p w14:paraId="1D1BFC62" w14:textId="77777777" w:rsidR="006F76EB" w:rsidRPr="00834D52" w:rsidRDefault="006F76EB" w:rsidP="00A00382">
            <w:pPr>
              <w:spacing w:after="120" w:line="240" w:lineRule="auto"/>
              <w:ind w:right="-6"/>
              <w:rPr>
                <w:rFonts w:ascii="Sylfaen" w:hAnsi="Sylfaen"/>
                <w:sz w:val="24"/>
                <w:szCs w:val="24"/>
              </w:rPr>
            </w:pPr>
          </w:p>
        </w:tc>
      </w:tr>
    </w:tbl>
    <w:p w14:paraId="10E413F6"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lastRenderedPageBreak/>
        <w:pict w14:anchorId="37D12272">
          <v:rect id="_x0000_s1113" style="position:absolute;left:0;text-align:left;margin-left:39.35pt;margin-top:2.2pt;width:12.75pt;height:12pt;z-index:251644416;mso-position-horizontal-relative:text;mso-position-vertical-relative:text"/>
        </w:pict>
      </w:r>
      <w:r w:rsidR="006F76EB" w:rsidRPr="00834D52">
        <w:rPr>
          <w:rFonts w:ascii="Sylfaen" w:hAnsi="Sylfaen"/>
          <w:sz w:val="24"/>
          <w:szCs w:val="24"/>
        </w:rPr>
        <w:t>ԼԱՎ ՈՒՍՈՒՄՆԱՍԻՐՎԱԾ ԲԺՇԿԱԿԱՆ ԿԻՐԱՌՈՒԹՅԱՄԲ ԴԵՂԱՊԱՏՐԱՍՏՈՒԿ</w:t>
      </w:r>
    </w:p>
    <w:p w14:paraId="18DE7D04"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D233DDD">
          <v:rect id="_x0000_s1114" style="position:absolute;left:0;text-align:left;margin-left:11pt;margin-top:1.9pt;width:12.75pt;height:12pt;z-index:251645440"/>
        </w:pict>
      </w:r>
      <w:r w:rsidR="006F76EB" w:rsidRPr="00834D52">
        <w:rPr>
          <w:rFonts w:ascii="Sylfaen" w:hAnsi="Sylfaen"/>
          <w:sz w:val="24"/>
          <w:szCs w:val="24"/>
        </w:rPr>
        <w:t>ՌԱԴԻՈԴԵՂԱԳՈՐԾԱԿԱՆ ԴԵՂԱՊԱՏՐԱՍՏՈՒԿ ԿԱՄ ՊՐԵԿՈՒՐՍՈՐ</w:t>
      </w:r>
    </w:p>
    <w:p w14:paraId="2A6EC238" w14:textId="77777777" w:rsidR="006F76EB" w:rsidRPr="00834D52" w:rsidRDefault="006F76EB" w:rsidP="006F76EB">
      <w:pPr>
        <w:spacing w:after="160" w:line="360" w:lineRule="auto"/>
        <w:ind w:right="-8"/>
        <w:rPr>
          <w:rFonts w:ascii="Sylfaen" w:hAnsi="Sylfaen"/>
          <w:sz w:val="24"/>
          <w:szCs w:val="24"/>
        </w:rPr>
      </w:pPr>
    </w:p>
    <w:p w14:paraId="761DA7EC" w14:textId="77777777" w:rsidR="006F76EB" w:rsidRPr="00834D52" w:rsidRDefault="00FC294A"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7C0927F0">
          <v:rect id="_x0000_s1115" style="position:absolute;left:0;text-align:left;margin-left:1.25pt;margin-top:2.65pt;width:12.75pt;height:12pt;z-index:251646464"/>
        </w:pict>
      </w:r>
      <w:r w:rsidR="006F76EB" w:rsidRPr="00834D52">
        <w:rPr>
          <w:rFonts w:ascii="Sylfaen" w:hAnsi="Sylfaen"/>
          <w:sz w:val="24"/>
          <w:szCs w:val="24"/>
        </w:rPr>
        <w:t>ռադիոդեղագործական հավաքակազմ</w:t>
      </w:r>
    </w:p>
    <w:p w14:paraId="6ABFF0CF" w14:textId="77777777" w:rsidR="006F76EB" w:rsidRDefault="00FC294A" w:rsidP="00D87E6B">
      <w:pPr>
        <w:spacing w:after="160" w:line="360" w:lineRule="auto"/>
        <w:ind w:right="-8" w:firstLine="567"/>
        <w:rPr>
          <w:rFonts w:ascii="Sylfaen" w:hAnsi="Sylfaen"/>
          <w:sz w:val="24"/>
          <w:szCs w:val="24"/>
          <w:lang w:val="en-US"/>
        </w:rPr>
      </w:pPr>
      <w:r>
        <w:rPr>
          <w:rFonts w:ascii="Sylfaen" w:hAnsi="Sylfaen"/>
          <w:noProof/>
          <w:sz w:val="24"/>
          <w:szCs w:val="24"/>
        </w:rPr>
        <w:pict w14:anchorId="064E2EAF">
          <v:rect id="_x0000_s1116" style="position:absolute;left:0;text-align:left;margin-left:1.25pt;margin-top:3.8pt;width:12.75pt;height:12pt;z-index:251647488"/>
        </w:pict>
      </w:r>
      <w:r w:rsidR="006F76EB" w:rsidRPr="00834D52">
        <w:rPr>
          <w:rFonts w:ascii="Sylfaen" w:hAnsi="Sylfaen"/>
          <w:sz w:val="24"/>
          <w:szCs w:val="24"/>
        </w:rPr>
        <w:t>ռադիոնուկլիդի պրեկուրսոր</w:t>
      </w:r>
    </w:p>
    <w:p w14:paraId="60861A93" w14:textId="77777777" w:rsidR="00D87E6B" w:rsidRPr="00D87E6B" w:rsidRDefault="00D87E6B" w:rsidP="00D87E6B">
      <w:pPr>
        <w:spacing w:after="160" w:line="360" w:lineRule="auto"/>
        <w:ind w:right="-8" w:firstLine="567"/>
        <w:rPr>
          <w:rFonts w:ascii="Sylfaen" w:eastAsia="Times New Roman" w:hAnsi="Sylfaen" w:cs="Times New Roman"/>
          <w:sz w:val="24"/>
          <w:szCs w:val="24"/>
          <w:lang w:val="en-US"/>
        </w:rPr>
      </w:pP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4DB19605" w14:textId="77777777" w:rsidTr="00D87E6B">
        <w:trPr>
          <w:trHeight w:val="1077"/>
        </w:trPr>
        <w:tc>
          <w:tcPr>
            <w:tcW w:w="4817" w:type="dxa"/>
            <w:tcBorders>
              <w:top w:val="single" w:sz="4" w:space="0" w:color="000000"/>
              <w:left w:val="single" w:sz="4" w:space="0" w:color="000000"/>
              <w:bottom w:val="single" w:sz="4" w:space="0" w:color="000000"/>
              <w:right w:val="single" w:sz="4" w:space="0" w:color="000000"/>
            </w:tcBorders>
          </w:tcPr>
          <w:p w14:paraId="13B67064"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590270E3" w14:textId="77777777" w:rsidR="006F76EB" w:rsidRPr="00834D52" w:rsidRDefault="006F76EB" w:rsidP="00EC36F7">
            <w:pPr>
              <w:spacing w:after="120" w:line="240" w:lineRule="auto"/>
              <w:ind w:right="-6"/>
              <w:rPr>
                <w:rFonts w:ascii="Sylfaen" w:hAnsi="Sylfaen"/>
                <w:sz w:val="24"/>
                <w:szCs w:val="24"/>
              </w:rPr>
            </w:pPr>
          </w:p>
        </w:tc>
      </w:tr>
      <w:tr w:rsidR="006F76EB" w:rsidRPr="00834D52" w14:paraId="57D03802" w14:textId="77777777" w:rsidTr="00D87E6B">
        <w:trPr>
          <w:trHeight w:val="622"/>
        </w:trPr>
        <w:tc>
          <w:tcPr>
            <w:tcW w:w="4817" w:type="dxa"/>
            <w:tcBorders>
              <w:top w:val="single" w:sz="4" w:space="0" w:color="000000"/>
              <w:left w:val="single" w:sz="4" w:space="0" w:color="000000"/>
              <w:bottom w:val="single" w:sz="4" w:space="0" w:color="000000"/>
              <w:right w:val="single" w:sz="4" w:space="0" w:color="000000"/>
            </w:tcBorders>
          </w:tcPr>
          <w:p w14:paraId="30D52AB0" w14:textId="77777777" w:rsidR="006F76EB" w:rsidRPr="00834D52" w:rsidRDefault="006F76EB" w:rsidP="00EC36F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CD378DA" w14:textId="77777777" w:rsidR="006F76EB" w:rsidRPr="00834D52" w:rsidRDefault="006F76EB" w:rsidP="00EC36F7">
            <w:pPr>
              <w:spacing w:after="120" w:line="240" w:lineRule="auto"/>
              <w:ind w:right="-6"/>
              <w:rPr>
                <w:rFonts w:ascii="Sylfaen" w:hAnsi="Sylfaen"/>
                <w:sz w:val="24"/>
                <w:szCs w:val="24"/>
              </w:rPr>
            </w:pPr>
          </w:p>
        </w:tc>
      </w:tr>
    </w:tbl>
    <w:p w14:paraId="6A018575" w14:textId="77777777" w:rsidR="006F76EB" w:rsidRPr="00834D52" w:rsidRDefault="006F76EB" w:rsidP="006F76EB">
      <w:pPr>
        <w:spacing w:after="160" w:line="360" w:lineRule="auto"/>
        <w:ind w:right="-8"/>
        <w:rPr>
          <w:rFonts w:ascii="Sylfaen" w:hAnsi="Sylfaen"/>
          <w:sz w:val="24"/>
          <w:szCs w:val="24"/>
        </w:rPr>
      </w:pPr>
    </w:p>
    <w:p w14:paraId="5769C673"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006192DF">
          <v:rect id="_x0000_s1117" style="position:absolute;left:0;text-align:left;margin-left:103.85pt;margin-top:1.7pt;width:12.75pt;height:12pt;z-index:251648512"/>
        </w:pict>
      </w:r>
      <w:r w:rsidR="006F76EB" w:rsidRPr="00834D52">
        <w:rPr>
          <w:rFonts w:ascii="Sylfaen" w:hAnsi="Sylfaen"/>
          <w:sz w:val="24"/>
          <w:szCs w:val="24"/>
        </w:rPr>
        <w:t>ՀՈՄԵՈՊԱԹԻԿ ԴԵՂԱՊԱՏՐԱՍՏՈՒԿ</w:t>
      </w:r>
    </w:p>
    <w:p w14:paraId="0FEF07AA" w14:textId="77777777" w:rsidR="006F76EB" w:rsidRPr="00834D52" w:rsidRDefault="00FC294A" w:rsidP="006F76EB">
      <w:pPr>
        <w:spacing w:after="160" w:line="360" w:lineRule="auto"/>
        <w:ind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3A4C1754">
          <v:rect id="_x0000_s1118" style="position:absolute;left:0;text-align:left;margin-left:-.25pt;margin-top:2.5pt;width:12.75pt;height:12pt;z-index:25164953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6005CF16" w14:textId="77777777" w:rsidR="006F76EB" w:rsidRPr="00834D52" w:rsidRDefault="00FC294A" w:rsidP="006F76EB">
      <w:pPr>
        <w:spacing w:after="160" w:line="360" w:lineRule="auto"/>
        <w:ind w:right="-8" w:firstLine="567"/>
        <w:rPr>
          <w:rFonts w:ascii="Sylfaen" w:eastAsia="Times New Roman" w:hAnsi="Sylfaen" w:cs="Times New Roman"/>
          <w:sz w:val="24"/>
          <w:szCs w:val="24"/>
        </w:rPr>
      </w:pPr>
      <w:r>
        <w:rPr>
          <w:rFonts w:ascii="Sylfaen" w:hAnsi="Sylfaen"/>
          <w:noProof/>
          <w:sz w:val="24"/>
          <w:szCs w:val="24"/>
        </w:rPr>
        <w:pict w14:anchorId="1427D2B4">
          <v:rect id="_x0000_s1119" style="position:absolute;left:0;text-align:left;margin-left:-1.75pt;margin-top:1.8pt;width:12.75pt;height:12pt;z-index:25165056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E66006" w14:textId="77777777" w:rsidR="006F76EB" w:rsidRPr="00834D52" w:rsidRDefault="00FC294A" w:rsidP="006F76EB">
      <w:pPr>
        <w:spacing w:after="160" w:line="360" w:lineRule="auto"/>
        <w:ind w:right="-8"/>
        <w:rPr>
          <w:rFonts w:ascii="Sylfaen" w:hAnsi="Sylfaen"/>
          <w:sz w:val="24"/>
          <w:szCs w:val="24"/>
        </w:rPr>
      </w:pPr>
      <w:r>
        <w:rPr>
          <w:rFonts w:ascii="Sylfaen" w:hAnsi="Sylfaen"/>
          <w:noProof/>
          <w:sz w:val="24"/>
          <w:szCs w:val="24"/>
        </w:rPr>
        <w:pict w14:anchorId="56CAF571">
          <v:rect id="_x0000_s1120" style="position:absolute;margin-left:108.35pt;margin-top:30.45pt;width:12.75pt;height:12pt;z-index:251651584"/>
        </w:pict>
      </w:r>
    </w:p>
    <w:p w14:paraId="75FEA8A2"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ԲՈՒՍԱԿԱՆ ԴԵՂԱՊԱՏՐԱՍՏՈՒԿ</w:t>
      </w:r>
    </w:p>
    <w:p w14:paraId="4598429E"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4336D6C7">
          <v:rect id="_x0000_s1121" style="position:absolute;left:0;text-align:left;margin-left:52.1pt;margin-top:1.55pt;width:12.75pt;height:12pt;z-index:251652608"/>
        </w:pict>
      </w:r>
      <w:r w:rsidR="006F76EB" w:rsidRPr="00834D52">
        <w:rPr>
          <w:rFonts w:ascii="Sylfaen" w:hAnsi="Sylfaen"/>
          <w:sz w:val="24"/>
          <w:szCs w:val="24"/>
        </w:rPr>
        <w:t>ՀԱԶՎԱԴԵՊ ԿԻՐԱՌՎՈՂ («ՈՐԲ») ԴԵՂԱՊԱՏՐԱՍՏՈՒԿ</w:t>
      </w:r>
    </w:p>
    <w:p w14:paraId="7D40734C"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953"/>
        <w:gridCol w:w="1166"/>
      </w:tblGrid>
      <w:tr w:rsidR="006F76EB" w:rsidRPr="00834D52" w14:paraId="0340E1DF" w14:textId="77777777" w:rsidTr="00F71229">
        <w:trPr>
          <w:jc w:val="center"/>
        </w:trPr>
        <w:tc>
          <w:tcPr>
            <w:tcW w:w="959" w:type="dxa"/>
          </w:tcPr>
          <w:p w14:paraId="2C942AE3"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9DA6B42">
                <v:rect id="_x0000_s1124" style="position:absolute;left:0;text-align:left;margin-left:-3pt;margin-top:1.2pt;width:12.75pt;height:12pt;z-index:251653632"/>
              </w:pict>
            </w:r>
            <w:r w:rsidR="006F76EB" w:rsidRPr="00834D52">
              <w:rPr>
                <w:rFonts w:ascii="Sylfaen" w:hAnsi="Sylfaen"/>
                <w:sz w:val="24"/>
                <w:szCs w:val="24"/>
              </w:rPr>
              <w:t xml:space="preserve">ոչ </w:t>
            </w:r>
          </w:p>
        </w:tc>
        <w:tc>
          <w:tcPr>
            <w:tcW w:w="5953" w:type="dxa"/>
          </w:tcPr>
          <w:p w14:paraId="4B3E1F1B"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B518A16">
                <v:rect id="_x0000_s1123" style="position:absolute;left:0;text-align:left;margin-left:-1.1pt;margin-top:1.2pt;width:12.75pt;height:12pt;z-index:25165465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166" w:type="dxa"/>
          </w:tcPr>
          <w:p w14:paraId="293C2414" w14:textId="77777777" w:rsidR="006F76EB" w:rsidRPr="00834D52" w:rsidRDefault="00FC294A" w:rsidP="00F71229">
            <w:pPr>
              <w:spacing w:after="160" w:line="360" w:lineRule="auto"/>
              <w:ind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2B2FEE">
                <v:rect id="_x0000_s1122" style="position:absolute;left:0;text-align:left;margin-left:-2.8pt;margin-top:1.2pt;width:12.75pt;height:12pt;z-index:251655680;mso-position-horizontal-relative:text;mso-position-vertical-relative:text"/>
              </w:pict>
            </w:r>
            <w:r w:rsidR="006F76EB" w:rsidRPr="00834D52">
              <w:rPr>
                <w:rFonts w:ascii="Sylfaen" w:hAnsi="Sylfaen"/>
                <w:sz w:val="24"/>
                <w:szCs w:val="24"/>
              </w:rPr>
              <w:t>այո</w:t>
            </w:r>
          </w:p>
        </w:tc>
      </w:tr>
    </w:tbl>
    <w:p w14:paraId="6B25C9E1" w14:textId="77777777" w:rsidR="006F76EB" w:rsidRPr="00834D52" w:rsidRDefault="006F76EB" w:rsidP="006F76EB">
      <w:pPr>
        <w:spacing w:after="160" w:line="360" w:lineRule="auto"/>
        <w:ind w:right="-8"/>
        <w:rPr>
          <w:rFonts w:ascii="Sylfaen" w:hAnsi="Sylfaen"/>
          <w:sz w:val="24"/>
          <w:szCs w:val="24"/>
        </w:rPr>
      </w:pPr>
    </w:p>
    <w:tbl>
      <w:tblPr>
        <w:tblW w:w="9610" w:type="dxa"/>
        <w:jc w:val="center"/>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41D005B0"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23BE9A7A"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62390DB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FA1E96F"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64771377"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4732B6F7" w14:textId="77777777" w:rsidR="006F76EB" w:rsidRPr="00834D52" w:rsidRDefault="006F76EB" w:rsidP="00285E87">
            <w:pPr>
              <w:spacing w:after="120" w:line="240" w:lineRule="auto"/>
              <w:ind w:right="-6"/>
              <w:rPr>
                <w:rFonts w:ascii="Sylfaen" w:hAnsi="Sylfaen"/>
                <w:sz w:val="24"/>
                <w:szCs w:val="24"/>
              </w:rPr>
            </w:pPr>
          </w:p>
        </w:tc>
      </w:tr>
      <w:tr w:rsidR="006F76EB" w:rsidRPr="00834D52" w14:paraId="74136461" w14:textId="77777777" w:rsidTr="00F71229">
        <w:trPr>
          <w:jc w:val="center"/>
        </w:trPr>
        <w:tc>
          <w:tcPr>
            <w:tcW w:w="6382" w:type="dxa"/>
            <w:gridSpan w:val="2"/>
            <w:tcBorders>
              <w:top w:val="single" w:sz="4" w:space="0" w:color="000000"/>
              <w:left w:val="single" w:sz="4" w:space="0" w:color="000000"/>
              <w:bottom w:val="single" w:sz="4" w:space="0" w:color="000000"/>
              <w:right w:val="single" w:sz="4" w:space="0" w:color="000000"/>
            </w:tcBorders>
          </w:tcPr>
          <w:p w14:paraId="01854103" w14:textId="77777777" w:rsidR="006F76EB" w:rsidRPr="00834D52" w:rsidRDefault="006F76EB" w:rsidP="00285E87">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 </w:t>
            </w:r>
          </w:p>
        </w:tc>
        <w:tc>
          <w:tcPr>
            <w:tcW w:w="3228" w:type="dxa"/>
            <w:tcBorders>
              <w:top w:val="single" w:sz="4" w:space="0" w:color="000000"/>
              <w:left w:val="single" w:sz="4" w:space="0" w:color="000000"/>
              <w:bottom w:val="single" w:sz="4" w:space="0" w:color="000000"/>
              <w:right w:val="single" w:sz="4" w:space="0" w:color="000000"/>
            </w:tcBorders>
          </w:tcPr>
          <w:p w14:paraId="701BC2F7" w14:textId="77777777" w:rsidR="006F76EB" w:rsidRPr="00834D52" w:rsidRDefault="006F76EB" w:rsidP="00285E87">
            <w:pPr>
              <w:spacing w:after="120" w:line="240" w:lineRule="auto"/>
              <w:ind w:right="-6"/>
              <w:rPr>
                <w:rFonts w:ascii="Sylfaen" w:hAnsi="Sylfaen"/>
                <w:sz w:val="24"/>
                <w:szCs w:val="24"/>
              </w:rPr>
            </w:pPr>
          </w:p>
        </w:tc>
      </w:tr>
    </w:tbl>
    <w:p w14:paraId="26FEE32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կարգավիճակի շնորհումը մերժվել է՝</w:t>
      </w:r>
    </w:p>
    <w:tbl>
      <w:tblPr>
        <w:tblW w:w="0" w:type="auto"/>
        <w:jc w:val="center"/>
        <w:tblLayout w:type="fixed"/>
        <w:tblCellMar>
          <w:left w:w="0" w:type="dxa"/>
          <w:right w:w="0" w:type="dxa"/>
        </w:tblCellMar>
        <w:tblLook w:val="01E0" w:firstRow="1" w:lastRow="1" w:firstColumn="1" w:lastColumn="1" w:noHBand="0" w:noVBand="0"/>
      </w:tblPr>
      <w:tblGrid>
        <w:gridCol w:w="4142"/>
        <w:gridCol w:w="5468"/>
      </w:tblGrid>
      <w:tr w:rsidR="006F76EB" w:rsidRPr="00834D52" w14:paraId="6F39101B"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1B5C7FF9"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46A62728"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78E6C6FF"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7B2BCF32"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որոշման համարը</w:t>
            </w:r>
          </w:p>
        </w:tc>
        <w:tc>
          <w:tcPr>
            <w:tcW w:w="5468" w:type="dxa"/>
            <w:tcBorders>
              <w:top w:val="single" w:sz="4" w:space="0" w:color="000000"/>
              <w:left w:val="single" w:sz="4" w:space="0" w:color="000000"/>
              <w:bottom w:val="single" w:sz="4" w:space="0" w:color="000000"/>
              <w:right w:val="single" w:sz="4" w:space="0" w:color="000000"/>
            </w:tcBorders>
          </w:tcPr>
          <w:p w14:paraId="5AB8A6E0"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1F5EB017"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486D2CDB" w14:textId="730EF2A2"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2574881D" w14:textId="77777777" w:rsidTr="00F71229">
        <w:trPr>
          <w:jc w:val="center"/>
        </w:trPr>
        <w:tc>
          <w:tcPr>
            <w:tcW w:w="4142" w:type="dxa"/>
            <w:tcBorders>
              <w:top w:val="single" w:sz="4" w:space="0" w:color="000000"/>
              <w:left w:val="single" w:sz="4" w:space="0" w:color="000000"/>
              <w:bottom w:val="single" w:sz="4" w:space="0" w:color="000000"/>
              <w:right w:val="single" w:sz="4" w:space="0" w:color="000000"/>
            </w:tcBorders>
          </w:tcPr>
          <w:p w14:paraId="0E9636BA" w14:textId="77777777" w:rsidR="006F76EB" w:rsidRPr="00834D52" w:rsidRDefault="006F76EB" w:rsidP="00D87E6B">
            <w:pPr>
              <w:spacing w:after="120" w:line="240" w:lineRule="auto"/>
              <w:ind w:left="181" w:right="-8"/>
              <w:rPr>
                <w:rFonts w:ascii="Sylfaen" w:eastAsia="Times New Roman" w:hAnsi="Sylfaen" w:cs="Times New Roman"/>
                <w:sz w:val="24"/>
                <w:szCs w:val="24"/>
              </w:rPr>
            </w:pPr>
            <w:r w:rsidRPr="00834D52">
              <w:rPr>
                <w:rFonts w:ascii="Sylfaen" w:hAnsi="Sylfaen"/>
                <w:sz w:val="24"/>
                <w:szCs w:val="24"/>
              </w:rPr>
              <w:t>ամսաթիվը</w:t>
            </w:r>
          </w:p>
        </w:tc>
        <w:tc>
          <w:tcPr>
            <w:tcW w:w="5468" w:type="dxa"/>
            <w:tcBorders>
              <w:top w:val="single" w:sz="4" w:space="0" w:color="000000"/>
              <w:left w:val="single" w:sz="4" w:space="0" w:color="000000"/>
              <w:bottom w:val="single" w:sz="4" w:space="0" w:color="000000"/>
              <w:right w:val="single" w:sz="4" w:space="0" w:color="000000"/>
            </w:tcBorders>
          </w:tcPr>
          <w:p w14:paraId="33BE4547" w14:textId="77777777" w:rsidR="006F76EB" w:rsidRPr="00834D52" w:rsidRDefault="006F76EB" w:rsidP="00F71229">
            <w:pPr>
              <w:spacing w:after="160" w:line="360" w:lineRule="auto"/>
              <w:ind w:left="180" w:right="-8"/>
              <w:rPr>
                <w:rFonts w:ascii="Sylfaen" w:hAnsi="Sylfaen"/>
                <w:sz w:val="24"/>
                <w:szCs w:val="24"/>
              </w:rPr>
            </w:pPr>
          </w:p>
        </w:tc>
      </w:tr>
      <w:tr w:rsidR="006F76EB" w:rsidRPr="00834D52" w14:paraId="29795321" w14:textId="77777777" w:rsidTr="00F71229">
        <w:trPr>
          <w:jc w:val="center"/>
        </w:trPr>
        <w:tc>
          <w:tcPr>
            <w:tcW w:w="9610" w:type="dxa"/>
            <w:gridSpan w:val="2"/>
            <w:tcBorders>
              <w:top w:val="single" w:sz="4" w:space="0" w:color="000000"/>
              <w:left w:val="single" w:sz="4" w:space="0" w:color="000000"/>
              <w:bottom w:val="single" w:sz="4" w:space="0" w:color="000000"/>
              <w:right w:val="single" w:sz="4" w:space="0" w:color="000000"/>
            </w:tcBorders>
          </w:tcPr>
          <w:p w14:paraId="029699C7" w14:textId="77777777"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դեղապատրաստուկին հազվադեպ կիրառվող («որբ») դեղապատրաստուկի կարգավիճակի շնորհումը հաստատող</w:t>
            </w:r>
          </w:p>
          <w:p w14:paraId="66962794" w14:textId="69BB4399" w:rsidR="006F76EB" w:rsidRPr="00834D52" w:rsidRDefault="006F76EB" w:rsidP="00D87E6B">
            <w:pPr>
              <w:spacing w:after="120" w:line="240" w:lineRule="auto"/>
              <w:ind w:left="181" w:right="45"/>
              <w:jc w:val="both"/>
              <w:rPr>
                <w:rFonts w:ascii="Sylfaen" w:eastAsia="Times New Roman" w:hAnsi="Sylfaen" w:cs="Times New Roman"/>
                <w:sz w:val="24"/>
                <w:szCs w:val="24"/>
              </w:rPr>
            </w:pPr>
            <w:r w:rsidRPr="00834D52">
              <w:rPr>
                <w:rFonts w:ascii="Sylfaen" w:hAnsi="Sylfaen"/>
                <w:sz w:val="24"/>
                <w:szCs w:val="24"/>
              </w:rPr>
              <w:t xml:space="preserve">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w:t>
            </w:r>
            <w:r w:rsidRPr="00834D52">
              <w:rPr>
                <w:rFonts w:ascii="Sylfaen" w:hAnsi="Sylfaen"/>
                <w:sz w:val="24"/>
                <w:szCs w:val="24"/>
              </w:rPr>
              <w:br/>
              <w:t xml:space="preserve">5.2 ենթակետ): </w:t>
            </w:r>
          </w:p>
        </w:tc>
      </w:tr>
    </w:tbl>
    <w:p w14:paraId="2E76D4D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p w14:paraId="1FD0B46C" w14:textId="0A77EC24" w:rsidR="006F76EB" w:rsidRPr="00B51587" w:rsidRDefault="006F76EB" w:rsidP="00B51587">
      <w:pPr>
        <w:widowControl/>
        <w:jc w:val="center"/>
        <w:rPr>
          <w:rFonts w:ascii="Sylfaen" w:hAnsi="Sylfaen"/>
          <w:sz w:val="24"/>
          <w:szCs w:val="24"/>
        </w:rPr>
      </w:pPr>
      <w:r w:rsidRPr="00834D52">
        <w:rPr>
          <w:rFonts w:ascii="Sylfaen" w:hAnsi="Sylfaen"/>
          <w:sz w:val="24"/>
          <w:szCs w:val="24"/>
        </w:rPr>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609" w:type="dxa"/>
        <w:jc w:val="center"/>
        <w:tblLayout w:type="fixed"/>
        <w:tblCellMar>
          <w:left w:w="0" w:type="dxa"/>
          <w:right w:w="0" w:type="dxa"/>
        </w:tblCellMar>
        <w:tblLook w:val="01E0" w:firstRow="1" w:lastRow="1" w:firstColumn="1" w:lastColumn="1" w:noHBand="0" w:noVBand="0"/>
      </w:tblPr>
      <w:tblGrid>
        <w:gridCol w:w="5373"/>
        <w:gridCol w:w="4236"/>
      </w:tblGrid>
      <w:tr w:rsidR="006F76EB" w:rsidRPr="00834D52" w14:paraId="3453562E"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24A64510"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4236" w:type="dxa"/>
            <w:tcBorders>
              <w:top w:val="single" w:sz="4" w:space="0" w:color="000000"/>
              <w:left w:val="single" w:sz="4" w:space="0" w:color="000000"/>
              <w:bottom w:val="single" w:sz="4" w:space="0" w:color="000000"/>
              <w:right w:val="single" w:sz="4" w:space="0" w:color="000000"/>
            </w:tcBorders>
          </w:tcPr>
          <w:p w14:paraId="19B448A3" w14:textId="77777777" w:rsidR="006F76EB" w:rsidRPr="00834D52" w:rsidRDefault="006F76EB" w:rsidP="00923BA3">
            <w:pPr>
              <w:spacing w:after="120" w:line="240" w:lineRule="auto"/>
              <w:ind w:right="-6"/>
              <w:rPr>
                <w:rFonts w:ascii="Sylfaen" w:hAnsi="Sylfaen"/>
                <w:sz w:val="24"/>
                <w:szCs w:val="24"/>
              </w:rPr>
            </w:pPr>
          </w:p>
        </w:tc>
      </w:tr>
      <w:tr w:rsidR="006F76EB" w:rsidRPr="00834D52" w14:paraId="742353A1"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7C1DE8B1"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 xml:space="preserve">3.1.1. </w:t>
            </w:r>
            <w:r w:rsidRPr="00834D52">
              <w:rPr>
                <w:rFonts w:ascii="Sylfaen" w:hAnsi="Sylfaen"/>
                <w:sz w:val="24"/>
                <w:szCs w:val="24"/>
                <w:lang w:val="en-US"/>
              </w:rPr>
              <w:tab/>
            </w:r>
            <w:r w:rsidRPr="00834D52">
              <w:rPr>
                <w:rFonts w:ascii="Sylfaen" w:hAnsi="Sylfaen"/>
                <w:sz w:val="24"/>
                <w:szCs w:val="24"/>
              </w:rPr>
              <w:t>Դեղապատրաստուկի անվանումը</w:t>
            </w:r>
          </w:p>
        </w:tc>
        <w:tc>
          <w:tcPr>
            <w:tcW w:w="4236" w:type="dxa"/>
            <w:tcBorders>
              <w:top w:val="single" w:sz="4" w:space="0" w:color="000000"/>
              <w:left w:val="single" w:sz="4" w:space="0" w:color="000000"/>
              <w:bottom w:val="single" w:sz="4" w:space="0" w:color="000000"/>
              <w:right w:val="single" w:sz="4" w:space="0" w:color="000000"/>
            </w:tcBorders>
          </w:tcPr>
          <w:p w14:paraId="2274C12B" w14:textId="77777777" w:rsidR="006F76EB" w:rsidRPr="00834D52" w:rsidRDefault="006F76EB" w:rsidP="00923BA3">
            <w:pPr>
              <w:spacing w:after="120" w:line="240" w:lineRule="auto"/>
              <w:ind w:right="-6"/>
              <w:rPr>
                <w:rFonts w:ascii="Sylfaen" w:hAnsi="Sylfaen"/>
                <w:sz w:val="24"/>
                <w:szCs w:val="24"/>
              </w:rPr>
            </w:pPr>
          </w:p>
        </w:tc>
      </w:tr>
      <w:tr w:rsidR="006F76EB" w:rsidRPr="00834D52" w14:paraId="50DD5D89" w14:textId="77777777" w:rsidTr="00F71229">
        <w:trPr>
          <w:jc w:val="center"/>
        </w:trPr>
        <w:tc>
          <w:tcPr>
            <w:tcW w:w="5373" w:type="dxa"/>
            <w:tcBorders>
              <w:top w:val="single" w:sz="4" w:space="0" w:color="000000"/>
              <w:left w:val="single" w:sz="4" w:space="0" w:color="000000"/>
              <w:bottom w:val="single" w:sz="4" w:space="0" w:color="000000"/>
              <w:right w:val="single" w:sz="4" w:space="0" w:color="000000"/>
            </w:tcBorders>
          </w:tcPr>
          <w:p w14:paraId="0A4C2C7F" w14:textId="77777777" w:rsidR="006F76EB" w:rsidRPr="00834D52" w:rsidRDefault="006F76EB" w:rsidP="00923BA3">
            <w:pPr>
              <w:tabs>
                <w:tab w:val="left" w:pos="1114"/>
              </w:tabs>
              <w:spacing w:after="120" w:line="240" w:lineRule="auto"/>
              <w:ind w:left="38" w:right="-6" w:firstLine="1"/>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4236" w:type="dxa"/>
            <w:tcBorders>
              <w:top w:val="single" w:sz="4" w:space="0" w:color="000000"/>
              <w:left w:val="single" w:sz="4" w:space="0" w:color="000000"/>
              <w:bottom w:val="single" w:sz="4" w:space="0" w:color="000000"/>
              <w:right w:val="single" w:sz="4" w:space="0" w:color="000000"/>
            </w:tcBorders>
          </w:tcPr>
          <w:p w14:paraId="2753B1EB" w14:textId="77777777" w:rsidR="006F76EB" w:rsidRPr="00834D52" w:rsidRDefault="006F76EB" w:rsidP="00923BA3">
            <w:pPr>
              <w:spacing w:after="120" w:line="240" w:lineRule="auto"/>
              <w:ind w:right="-6"/>
              <w:rPr>
                <w:rFonts w:ascii="Sylfaen" w:hAnsi="Sylfaen"/>
                <w:sz w:val="24"/>
                <w:szCs w:val="24"/>
              </w:rPr>
            </w:pPr>
          </w:p>
        </w:tc>
      </w:tr>
    </w:tbl>
    <w:p w14:paraId="575A3074" w14:textId="77777777" w:rsidR="006F76EB" w:rsidRPr="00F26B87" w:rsidRDefault="006F76EB" w:rsidP="00923BA3">
      <w:pPr>
        <w:spacing w:after="160" w:line="336" w:lineRule="auto"/>
        <w:ind w:right="-6"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համապատասխան հիմնական դեղագրքերի), համընդհանուր կամ խմբի անվանումը, գիտական (քիմիական) անվանումը:</w:t>
      </w:r>
    </w:p>
    <w:p w14:paraId="3A01AA42" w14:textId="77777777" w:rsidR="006F76EB" w:rsidRPr="00834D52" w:rsidRDefault="006F76EB" w:rsidP="00923BA3">
      <w:pPr>
        <w:tabs>
          <w:tab w:val="left" w:pos="1701"/>
        </w:tabs>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lastRenderedPageBreak/>
        <w:footnoteReference w:customMarkFollows="1" w:id="9"/>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w:t>
      </w:r>
    </w:p>
    <w:p w14:paraId="6CED70D4"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(օգտագործեք ԱԲՔ գործող ծածկագիրը)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145619F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C0E6076" w14:textId="77777777" w:rsidR="006F76EB" w:rsidRPr="002C43D7" w:rsidRDefault="006F76EB" w:rsidP="00923BA3">
            <w:pPr>
              <w:spacing w:after="160" w:line="360" w:lineRule="auto"/>
              <w:ind w:left="25" w:right="-8"/>
              <w:rPr>
                <w:rFonts w:ascii="Sylfaen" w:eastAsia="Times New Roman" w:hAnsi="Sylfaen" w:cs="Times New Roman"/>
                <w:sz w:val="24"/>
                <w:szCs w:val="24"/>
              </w:rPr>
            </w:pPr>
            <w:r w:rsidRPr="002C43D7">
              <w:rPr>
                <w:rFonts w:ascii="Sylfaen" w:hAnsi="Sylfaen"/>
                <w:sz w:val="24"/>
                <w:szCs w:val="24"/>
              </w:rPr>
              <w:t>ԱԲՔ ծածկագիրը</w:t>
            </w:r>
          </w:p>
        </w:tc>
        <w:tc>
          <w:tcPr>
            <w:tcW w:w="4519" w:type="dxa"/>
            <w:tcBorders>
              <w:top w:val="single" w:sz="4" w:space="0" w:color="000000"/>
              <w:left w:val="single" w:sz="4" w:space="0" w:color="000000"/>
              <w:bottom w:val="single" w:sz="4" w:space="0" w:color="000000"/>
              <w:right w:val="single" w:sz="4" w:space="0" w:color="000000"/>
            </w:tcBorders>
          </w:tcPr>
          <w:p w14:paraId="7E977AFC" w14:textId="77777777" w:rsidR="006F76EB" w:rsidRPr="00834D52" w:rsidRDefault="006F76EB" w:rsidP="00F71229">
            <w:pPr>
              <w:spacing w:after="160" w:line="360" w:lineRule="auto"/>
              <w:ind w:right="-8"/>
              <w:rPr>
                <w:rFonts w:ascii="Sylfaen" w:hAnsi="Sylfaen"/>
                <w:sz w:val="24"/>
                <w:szCs w:val="24"/>
              </w:rPr>
            </w:pPr>
          </w:p>
        </w:tc>
      </w:tr>
      <w:tr w:rsidR="006F76EB" w:rsidRPr="00834D52" w14:paraId="11119D9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62E3141" w14:textId="77777777" w:rsidR="006F76EB" w:rsidRPr="002C43D7" w:rsidRDefault="006F76EB" w:rsidP="00923BA3">
            <w:pPr>
              <w:spacing w:after="160" w:line="360" w:lineRule="auto"/>
              <w:ind w:right="-8"/>
              <w:rPr>
                <w:rFonts w:ascii="Sylfaen" w:eastAsia="Times New Roman" w:hAnsi="Sylfaen" w:cs="Times New Roman"/>
                <w:sz w:val="24"/>
                <w:szCs w:val="24"/>
              </w:rPr>
            </w:pPr>
            <w:r w:rsidRPr="002C43D7">
              <w:rPr>
                <w:rFonts w:ascii="Sylfaen" w:hAnsi="Sylfaen"/>
                <w:sz w:val="24"/>
                <w:szCs w:val="24"/>
              </w:rPr>
              <w:t>Խումբը</w:t>
            </w:r>
          </w:p>
        </w:tc>
        <w:tc>
          <w:tcPr>
            <w:tcW w:w="4519" w:type="dxa"/>
            <w:tcBorders>
              <w:top w:val="single" w:sz="4" w:space="0" w:color="000000"/>
              <w:left w:val="single" w:sz="4" w:space="0" w:color="000000"/>
              <w:bottom w:val="single" w:sz="4" w:space="0" w:color="000000"/>
              <w:right w:val="single" w:sz="4" w:space="0" w:color="000000"/>
            </w:tcBorders>
          </w:tcPr>
          <w:p w14:paraId="75246A5E" w14:textId="77777777" w:rsidR="006F76EB" w:rsidRPr="00834D52" w:rsidRDefault="006F76EB" w:rsidP="00F71229">
            <w:pPr>
              <w:spacing w:after="160" w:line="360" w:lineRule="auto"/>
              <w:ind w:right="-8"/>
              <w:rPr>
                <w:rFonts w:ascii="Sylfaen" w:hAnsi="Sylfaen"/>
                <w:sz w:val="24"/>
                <w:szCs w:val="24"/>
              </w:rPr>
            </w:pPr>
          </w:p>
        </w:tc>
      </w:tr>
    </w:tbl>
    <w:p w14:paraId="6BD7BD63" w14:textId="743C0DAE"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4E8971C1" w14:textId="77777777" w:rsidR="006F76EB" w:rsidRPr="00834D52" w:rsidRDefault="006F76EB" w:rsidP="00923BA3">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09DDDD72" w14:textId="77777777" w:rsidR="006F76EB" w:rsidRPr="00834D52" w:rsidRDefault="006F76EB" w:rsidP="00923BA3">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F851A36"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9289" w:type="dxa"/>
        <w:jc w:val="center"/>
        <w:tblLayout w:type="fixed"/>
        <w:tblCellMar>
          <w:left w:w="0" w:type="dxa"/>
          <w:right w:w="0" w:type="dxa"/>
        </w:tblCellMar>
        <w:tblLook w:val="01E0" w:firstRow="1" w:lastRow="1" w:firstColumn="1" w:lastColumn="1" w:noHBand="0" w:noVBand="0"/>
      </w:tblPr>
      <w:tblGrid>
        <w:gridCol w:w="5222"/>
        <w:gridCol w:w="4067"/>
      </w:tblGrid>
      <w:tr w:rsidR="006F76EB" w:rsidRPr="00834D52" w14:paraId="46C37B8F" w14:textId="77777777" w:rsidTr="00D249A2">
        <w:trPr>
          <w:trHeight w:val="487"/>
          <w:jc w:val="center"/>
        </w:trPr>
        <w:tc>
          <w:tcPr>
            <w:tcW w:w="5222" w:type="dxa"/>
            <w:tcBorders>
              <w:top w:val="single" w:sz="4" w:space="0" w:color="000000"/>
              <w:left w:val="single" w:sz="4" w:space="0" w:color="000000"/>
              <w:bottom w:val="single" w:sz="4" w:space="0" w:color="000000"/>
              <w:right w:val="single" w:sz="4" w:space="0" w:color="000000"/>
            </w:tcBorders>
          </w:tcPr>
          <w:p w14:paraId="504B3B25"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067" w:type="dxa"/>
            <w:tcBorders>
              <w:top w:val="single" w:sz="4" w:space="0" w:color="000000"/>
              <w:left w:val="single" w:sz="4" w:space="0" w:color="000000"/>
              <w:bottom w:val="single" w:sz="4" w:space="0" w:color="000000"/>
              <w:right w:val="single" w:sz="4" w:space="0" w:color="000000"/>
            </w:tcBorders>
          </w:tcPr>
          <w:p w14:paraId="7128D6C0" w14:textId="77777777" w:rsidR="006F76EB" w:rsidRPr="00834D52" w:rsidRDefault="006F76EB" w:rsidP="00B70AD0">
            <w:pPr>
              <w:spacing w:after="120" w:line="240" w:lineRule="auto"/>
              <w:ind w:right="-6"/>
              <w:rPr>
                <w:rFonts w:ascii="Sylfaen" w:hAnsi="Sylfaen"/>
                <w:sz w:val="24"/>
                <w:szCs w:val="24"/>
              </w:rPr>
            </w:pPr>
          </w:p>
        </w:tc>
      </w:tr>
      <w:tr w:rsidR="006F76EB" w:rsidRPr="00834D52" w14:paraId="2614C28C" w14:textId="77777777" w:rsidTr="00D249A2">
        <w:trPr>
          <w:trHeight w:val="506"/>
          <w:jc w:val="center"/>
        </w:trPr>
        <w:tc>
          <w:tcPr>
            <w:tcW w:w="5222" w:type="dxa"/>
            <w:tcBorders>
              <w:top w:val="single" w:sz="4" w:space="0" w:color="000000"/>
              <w:left w:val="single" w:sz="4" w:space="0" w:color="000000"/>
              <w:bottom w:val="single" w:sz="4" w:space="0" w:color="000000"/>
              <w:right w:val="single" w:sz="4" w:space="0" w:color="000000"/>
            </w:tcBorders>
          </w:tcPr>
          <w:p w14:paraId="546807DF" w14:textId="77777777" w:rsidR="006F76EB" w:rsidRPr="00834D52" w:rsidRDefault="006F76EB" w:rsidP="00B70AD0">
            <w:pPr>
              <w:spacing w:after="120" w:line="240" w:lineRule="auto"/>
              <w:ind w:left="48" w:right="-6" w:firstLine="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067" w:type="dxa"/>
            <w:tcBorders>
              <w:top w:val="single" w:sz="4" w:space="0" w:color="000000"/>
              <w:left w:val="single" w:sz="4" w:space="0" w:color="000000"/>
              <w:bottom w:val="single" w:sz="4" w:space="0" w:color="000000"/>
              <w:right w:val="single" w:sz="4" w:space="0" w:color="000000"/>
            </w:tcBorders>
          </w:tcPr>
          <w:p w14:paraId="3602D792" w14:textId="77777777" w:rsidR="006F76EB" w:rsidRPr="00834D52" w:rsidRDefault="006F76EB" w:rsidP="00B70AD0">
            <w:pPr>
              <w:spacing w:after="120" w:line="240" w:lineRule="auto"/>
              <w:ind w:right="-6"/>
              <w:rPr>
                <w:rFonts w:ascii="Sylfaen" w:hAnsi="Sylfaen"/>
                <w:sz w:val="24"/>
                <w:szCs w:val="24"/>
              </w:rPr>
            </w:pPr>
          </w:p>
        </w:tc>
      </w:tr>
      <w:tr w:rsidR="006F76EB" w:rsidRPr="00834D52" w14:paraId="5D375CAE" w14:textId="77777777" w:rsidTr="00D249A2">
        <w:trPr>
          <w:trHeight w:val="1247"/>
          <w:jc w:val="center"/>
        </w:trPr>
        <w:tc>
          <w:tcPr>
            <w:tcW w:w="5222" w:type="dxa"/>
            <w:tcBorders>
              <w:top w:val="single" w:sz="4" w:space="0" w:color="000000"/>
              <w:left w:val="single" w:sz="4" w:space="0" w:color="000000"/>
              <w:bottom w:val="single" w:sz="4" w:space="0" w:color="000000"/>
              <w:right w:val="single" w:sz="4" w:space="0" w:color="000000"/>
            </w:tcBorders>
          </w:tcPr>
          <w:p w14:paraId="05784BC8" w14:textId="77777777" w:rsidR="006F76EB" w:rsidRPr="00834D52" w:rsidRDefault="006F76EB" w:rsidP="00B70AD0">
            <w:pPr>
              <w:tabs>
                <w:tab w:val="left" w:pos="1105"/>
              </w:tabs>
              <w:spacing w:after="120" w:line="240" w:lineRule="auto"/>
              <w:ind w:left="48" w:right="-6" w:hanging="21"/>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4067" w:type="dxa"/>
            <w:tcBorders>
              <w:top w:val="single" w:sz="4" w:space="0" w:color="000000"/>
              <w:left w:val="single" w:sz="4" w:space="0" w:color="000000"/>
              <w:bottom w:val="single" w:sz="4" w:space="0" w:color="000000"/>
              <w:right w:val="single" w:sz="4" w:space="0" w:color="000000"/>
            </w:tcBorders>
          </w:tcPr>
          <w:p w14:paraId="72FFDFBD" w14:textId="77777777" w:rsidR="006F76EB" w:rsidRPr="00834D52" w:rsidRDefault="006F76EB" w:rsidP="00B70AD0">
            <w:pPr>
              <w:spacing w:after="120" w:line="240" w:lineRule="auto"/>
              <w:ind w:right="-6"/>
              <w:rPr>
                <w:rFonts w:ascii="Sylfaen" w:hAnsi="Sylfaen"/>
                <w:sz w:val="24"/>
                <w:szCs w:val="24"/>
              </w:rPr>
            </w:pPr>
          </w:p>
        </w:tc>
      </w:tr>
      <w:tr w:rsidR="006F76EB" w:rsidRPr="00834D52" w14:paraId="0D2AE727" w14:textId="77777777" w:rsidTr="00D249A2">
        <w:trPr>
          <w:trHeight w:val="2727"/>
          <w:jc w:val="center"/>
        </w:trPr>
        <w:tc>
          <w:tcPr>
            <w:tcW w:w="5222" w:type="dxa"/>
            <w:tcBorders>
              <w:top w:val="single" w:sz="4" w:space="0" w:color="000000"/>
              <w:left w:val="single" w:sz="4" w:space="0" w:color="000000"/>
              <w:bottom w:val="single" w:sz="4" w:space="0" w:color="000000"/>
              <w:right w:val="single" w:sz="4" w:space="0" w:color="000000"/>
            </w:tcBorders>
          </w:tcPr>
          <w:p w14:paraId="2FEB6557" w14:textId="2BE028D7" w:rsidR="006F76EB" w:rsidRPr="00834D52" w:rsidRDefault="006F76EB" w:rsidP="00B70AD0">
            <w:pPr>
              <w:tabs>
                <w:tab w:val="left" w:pos="1105"/>
              </w:tabs>
              <w:spacing w:after="120" w:line="240" w:lineRule="auto"/>
              <w:ind w:left="48" w:right="-6" w:hanging="21"/>
              <w:rPr>
                <w:rFonts w:ascii="Sylfaen" w:eastAsia="Times New Roman" w:hAnsi="Sylfaen" w:cs="Times New Roman"/>
                <w:spacing w:val="-4"/>
                <w:sz w:val="24"/>
                <w:szCs w:val="24"/>
              </w:rPr>
            </w:pPr>
            <w:r w:rsidRPr="00834D52">
              <w:rPr>
                <w:rFonts w:ascii="Sylfaen" w:hAnsi="Sylfaen"/>
                <w:spacing w:val="-4"/>
                <w:sz w:val="24"/>
                <w:szCs w:val="24"/>
              </w:rPr>
              <w:t>3.2.3.</w:t>
            </w:r>
            <w:r w:rsidRPr="00834D52">
              <w:rPr>
                <w:rFonts w:ascii="Sylfaen" w:hAnsi="Sylfaen"/>
                <w:spacing w:val="-4"/>
                <w:sz w:val="24"/>
                <w:szCs w:val="24"/>
              </w:rPr>
              <w:tab/>
              <w:t xml:space="preserve">Փաթեթվածքը՝ առաջնային </w:t>
            </w:r>
            <w:r w:rsidR="00C54D75">
              <w:rPr>
                <w:rFonts w:ascii="Sylfaen" w:hAnsi="Sylfaen"/>
                <w:spacing w:val="-4"/>
                <w:sz w:val="24"/>
                <w:szCs w:val="24"/>
              </w:rPr>
              <w:t>և</w:t>
            </w:r>
            <w:r w:rsidRPr="00834D52">
              <w:rPr>
                <w:rFonts w:ascii="Sylfaen" w:hAnsi="Sylfaen"/>
                <w:spacing w:val="-4"/>
                <w:sz w:val="24"/>
                <w:szCs w:val="24"/>
              </w:rPr>
              <w:t xml:space="preserve"> երկրորդային փաթեթվածք (առկայության դեպքում), խցանափակման համակարգը </w:t>
            </w:r>
            <w:r w:rsidR="00C54D75">
              <w:rPr>
                <w:rFonts w:ascii="Sylfaen" w:hAnsi="Sylfaen"/>
                <w:spacing w:val="-4"/>
                <w:sz w:val="24"/>
                <w:szCs w:val="24"/>
              </w:rPr>
              <w:t>և</w:t>
            </w:r>
            <w:r w:rsidRPr="00834D52">
              <w:rPr>
                <w:rFonts w:ascii="Sylfaen" w:hAnsi="Sylfaen"/>
                <w:spacing w:val="-4"/>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pacing w:val="-4"/>
                <w:sz w:val="24"/>
                <w:szCs w:val="24"/>
              </w:rPr>
              <w:t>և</w:t>
            </w:r>
            <w:r w:rsidRPr="00834D52">
              <w:rPr>
                <w:rFonts w:ascii="Sylfaen" w:hAnsi="Sylfaen"/>
                <w:spacing w:val="-4"/>
                <w:sz w:val="24"/>
                <w:szCs w:val="24"/>
              </w:rPr>
              <w:t>երի անվանացանկի ստանդարտ եզրույթների ցանկը)</w:t>
            </w:r>
            <w:r w:rsidR="00D5241F">
              <w:t xml:space="preserve"> </w:t>
            </w:r>
            <w:r w:rsidR="00D5241F" w:rsidRPr="00D5241F">
              <w:rPr>
                <w:rFonts w:ascii="Sylfaen" w:hAnsi="Sylfaen"/>
                <w:spacing w:val="-4"/>
                <w:sz w:val="24"/>
                <w:szCs w:val="24"/>
              </w:rPr>
              <w:t>չբաժնեծրարված արտադրանքի փաթեթվածք (առկայության դեպքում)</w:t>
            </w:r>
          </w:p>
        </w:tc>
        <w:tc>
          <w:tcPr>
            <w:tcW w:w="4067" w:type="dxa"/>
            <w:tcBorders>
              <w:top w:val="single" w:sz="4" w:space="0" w:color="000000"/>
              <w:left w:val="single" w:sz="4" w:space="0" w:color="000000"/>
              <w:bottom w:val="single" w:sz="4" w:space="0" w:color="000000"/>
              <w:right w:val="single" w:sz="4" w:space="0" w:color="000000"/>
            </w:tcBorders>
          </w:tcPr>
          <w:p w14:paraId="749B842F" w14:textId="77777777" w:rsidR="006F76EB" w:rsidRPr="00834D52" w:rsidRDefault="006F76EB" w:rsidP="00B70AD0">
            <w:pPr>
              <w:spacing w:after="120" w:line="240" w:lineRule="auto"/>
              <w:ind w:right="-6"/>
              <w:rPr>
                <w:rFonts w:ascii="Sylfaen" w:hAnsi="Sylfaen"/>
                <w:sz w:val="24"/>
                <w:szCs w:val="24"/>
              </w:rPr>
            </w:pPr>
          </w:p>
        </w:tc>
      </w:tr>
    </w:tbl>
    <w:p w14:paraId="41F2822F" w14:textId="77777777" w:rsidR="006F76EB" w:rsidRPr="00834D52" w:rsidRDefault="006F76EB" w:rsidP="006F76EB">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F7915B3"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33423896"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3.2.3.2.</w:t>
      </w:r>
      <w:r w:rsidRPr="00834D52">
        <w:rPr>
          <w:rFonts w:ascii="Sylfaen" w:hAnsi="Sylfaen"/>
          <w:sz w:val="24"/>
          <w:szCs w:val="24"/>
        </w:rPr>
        <w:tab/>
        <w:t>Պահպանման առաջարկվող ժամկետը</w:t>
      </w:r>
    </w:p>
    <w:p w14:paraId="0E81B40D"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20E51D3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109F375B"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471B4625"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փաթեթվածքն (առաջնային կամ միջանկյալ) առաջին անգամ բացելուց հետո</w:t>
      </w:r>
    </w:p>
    <w:p w14:paraId="7C5EDA18" w14:textId="77777777" w:rsidR="006F76EB" w:rsidRPr="00834D52" w:rsidRDefault="006F76EB" w:rsidP="00B70AD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5DE1D70F" w14:textId="77777777" w:rsidR="006F76EB" w:rsidRPr="00834D52" w:rsidRDefault="006F76EB" w:rsidP="007D3755">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9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9"/>
        <w:gridCol w:w="4323"/>
      </w:tblGrid>
      <w:tr w:rsidR="006F76EB" w:rsidRPr="00834D52" w14:paraId="6733BCF2" w14:textId="77777777" w:rsidTr="00D249A2">
        <w:trPr>
          <w:trHeight w:val="812"/>
        </w:trPr>
        <w:tc>
          <w:tcPr>
            <w:tcW w:w="5199" w:type="dxa"/>
          </w:tcPr>
          <w:p w14:paraId="3C043C88"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0992FE55" w14:textId="77777777" w:rsidR="006F76EB" w:rsidRPr="00834D52" w:rsidRDefault="00FC294A" w:rsidP="00F71229">
            <w:pPr>
              <w:tabs>
                <w:tab w:val="left" w:pos="1418"/>
              </w:tabs>
              <w:spacing w:after="160" w:line="360" w:lineRule="auto"/>
              <w:ind w:left="513" w:right="-8"/>
              <w:rPr>
                <w:rFonts w:ascii="Sylfaen" w:eastAsia="Times New Roman" w:hAnsi="Sylfaen" w:cs="Times New Roman"/>
                <w:sz w:val="24"/>
                <w:szCs w:val="24"/>
              </w:rPr>
            </w:pPr>
            <w:r>
              <w:rPr>
                <w:rFonts w:ascii="Sylfaen" w:hAnsi="Sylfaen"/>
                <w:noProof/>
                <w:sz w:val="24"/>
                <w:szCs w:val="24"/>
              </w:rPr>
              <w:pict w14:anchorId="0DDA914F">
                <v:rect id="_x0000_s1125" style="position:absolute;left:0;text-align:left;margin-left:-.45pt;margin-top:6.45pt;width:12.75pt;height:12pt;z-index:251656704;mso-position-horizontal-relative:text;mso-position-vertical-relative:text"/>
              </w:pict>
            </w:r>
            <w:r w:rsidR="006F76EB" w:rsidRPr="00834D52">
              <w:rPr>
                <w:rFonts w:ascii="Sylfaen" w:hAnsi="Sylfaen"/>
                <w:sz w:val="24"/>
                <w:szCs w:val="24"/>
              </w:rPr>
              <w:t>դեղատոմսով</w:t>
            </w:r>
          </w:p>
        </w:tc>
      </w:tr>
      <w:tr w:rsidR="006F76EB" w:rsidRPr="00834D52" w14:paraId="73E37538" w14:textId="77777777" w:rsidTr="00D249A2">
        <w:trPr>
          <w:trHeight w:val="1432"/>
        </w:trPr>
        <w:tc>
          <w:tcPr>
            <w:tcW w:w="5199" w:type="dxa"/>
          </w:tcPr>
          <w:p w14:paraId="46E4875A" w14:textId="77777777" w:rsidR="006F76EB" w:rsidRPr="00834D52" w:rsidRDefault="006F76EB" w:rsidP="008119C0">
            <w:pPr>
              <w:tabs>
                <w:tab w:val="left" w:pos="1134"/>
              </w:tabs>
              <w:spacing w:after="160" w:line="360" w:lineRule="auto"/>
              <w:ind w:right="-8"/>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lang w:val="en-US"/>
              </w:rPr>
              <w:tab/>
            </w:r>
            <w:r w:rsidRPr="00834D52">
              <w:rPr>
                <w:rFonts w:ascii="Sylfaen" w:hAnsi="Sylfaen"/>
                <w:sz w:val="24"/>
                <w:szCs w:val="24"/>
              </w:rPr>
              <w:t>Բացթողման առաջարկվող կատեգորիան՝</w:t>
            </w:r>
          </w:p>
        </w:tc>
        <w:tc>
          <w:tcPr>
            <w:tcW w:w="4323" w:type="dxa"/>
          </w:tcPr>
          <w:p w14:paraId="48294FB4" w14:textId="77777777" w:rsidR="006F76EB" w:rsidRPr="00834D52" w:rsidRDefault="00FC294A"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150540FE">
                <v:rect id="_x0000_s1126" style="position:absolute;left:0;text-align:left;margin-left:-.45pt;margin-top:5.35pt;width:12.75pt;height:12pt;z-index:251657728;mso-position-horizontal-relative:text;mso-position-vertical-relative:text"/>
              </w:pict>
            </w:r>
            <w:r w:rsidR="006F76EB" w:rsidRPr="00834D52">
              <w:rPr>
                <w:rFonts w:ascii="Sylfaen" w:hAnsi="Sylfaen"/>
                <w:sz w:val="24"/>
                <w:szCs w:val="24"/>
              </w:rPr>
              <w:t>առանց դեղատոմսի</w:t>
            </w:r>
          </w:p>
        </w:tc>
      </w:tr>
      <w:tr w:rsidR="006F76EB" w:rsidRPr="00834D52" w14:paraId="5475B4AB" w14:textId="77777777" w:rsidTr="00D249A2">
        <w:trPr>
          <w:trHeight w:val="812"/>
        </w:trPr>
        <w:tc>
          <w:tcPr>
            <w:tcW w:w="5199" w:type="dxa"/>
          </w:tcPr>
          <w:p w14:paraId="7814D476" w14:textId="77777777" w:rsidR="006F76EB" w:rsidRPr="00834D52" w:rsidRDefault="006F76EB" w:rsidP="00F71229">
            <w:pPr>
              <w:tabs>
                <w:tab w:val="left" w:pos="1418"/>
              </w:tabs>
              <w:spacing w:after="160" w:line="360" w:lineRule="auto"/>
              <w:ind w:right="-8"/>
              <w:rPr>
                <w:rFonts w:ascii="Sylfaen" w:eastAsia="Times New Roman" w:hAnsi="Sylfaen" w:cs="Times New Roman"/>
                <w:sz w:val="24"/>
                <w:szCs w:val="24"/>
              </w:rPr>
            </w:pPr>
          </w:p>
        </w:tc>
        <w:tc>
          <w:tcPr>
            <w:tcW w:w="4323" w:type="dxa"/>
          </w:tcPr>
          <w:p w14:paraId="52279B17" w14:textId="77777777" w:rsidR="006F76EB" w:rsidRPr="00834D52" w:rsidRDefault="00FC294A" w:rsidP="00F71229">
            <w:pPr>
              <w:tabs>
                <w:tab w:val="left" w:pos="1418"/>
              </w:tabs>
              <w:spacing w:after="160" w:line="360" w:lineRule="auto"/>
              <w:ind w:left="513" w:right="-8"/>
              <w:rPr>
                <w:rFonts w:ascii="Sylfaen" w:eastAsia="Times New Roman" w:hAnsi="Sylfaen" w:cs="Times New Roman"/>
                <w:sz w:val="24"/>
                <w:szCs w:val="24"/>
              </w:rPr>
            </w:pPr>
            <w:r>
              <w:rPr>
                <w:rFonts w:ascii="Sylfaen" w:eastAsia="Times New Roman" w:hAnsi="Sylfaen" w:cs="Times New Roman"/>
                <w:noProof/>
                <w:sz w:val="24"/>
                <w:szCs w:val="24"/>
              </w:rPr>
              <w:pict w14:anchorId="059B1A15">
                <v:rect id="_x0000_s1127" style="position:absolute;left:0;text-align:left;margin-left:-.45pt;margin-top:5pt;width:12.75pt;height:12pt;z-index:251658752;mso-position-horizontal-relative:text;mso-position-vertical-relative:text"/>
              </w:pict>
            </w:r>
            <w:r w:rsidR="006F76EB" w:rsidRPr="00834D52">
              <w:rPr>
                <w:rFonts w:ascii="Sylfaen" w:hAnsi="Sylfaen"/>
                <w:sz w:val="24"/>
                <w:szCs w:val="24"/>
              </w:rPr>
              <w:t>ստացիոնար պայմաններում</w:t>
            </w:r>
          </w:p>
        </w:tc>
      </w:tr>
    </w:tbl>
    <w:p w14:paraId="42A0F2DE"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Գրանցման հավաստագրի իրավատերը</w:t>
      </w:r>
    </w:p>
    <w:p w14:paraId="3391F3F5" w14:textId="77777777" w:rsidR="006F76EB" w:rsidRPr="00834D52" w:rsidRDefault="006F76EB" w:rsidP="008119C0">
      <w:pPr>
        <w:tabs>
          <w:tab w:val="left" w:pos="1701"/>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4202367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48D88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19" w:type="dxa"/>
            <w:tcBorders>
              <w:top w:val="single" w:sz="4" w:space="0" w:color="000000"/>
              <w:left w:val="single" w:sz="4" w:space="0" w:color="000000"/>
              <w:bottom w:val="single" w:sz="4" w:space="0" w:color="000000"/>
              <w:right w:val="single" w:sz="4" w:space="0" w:color="000000"/>
            </w:tcBorders>
          </w:tcPr>
          <w:p w14:paraId="62A729FA"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CCC0B6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F1101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հասցեն</w:t>
            </w:r>
          </w:p>
        </w:tc>
        <w:tc>
          <w:tcPr>
            <w:tcW w:w="4519" w:type="dxa"/>
            <w:tcBorders>
              <w:top w:val="single" w:sz="4" w:space="0" w:color="000000"/>
              <w:left w:val="single" w:sz="4" w:space="0" w:color="000000"/>
              <w:bottom w:val="single" w:sz="4" w:space="0" w:color="000000"/>
              <w:right w:val="single" w:sz="4" w:space="0" w:color="000000"/>
            </w:tcBorders>
          </w:tcPr>
          <w:p w14:paraId="6003CC93"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572D423"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E4CC2"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19" w:type="dxa"/>
            <w:tcBorders>
              <w:top w:val="single" w:sz="4" w:space="0" w:color="000000"/>
              <w:left w:val="single" w:sz="4" w:space="0" w:color="000000"/>
              <w:bottom w:val="single" w:sz="4" w:space="0" w:color="000000"/>
              <w:right w:val="single" w:sz="4" w:space="0" w:color="000000"/>
            </w:tcBorders>
          </w:tcPr>
          <w:p w14:paraId="0D3355E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0109007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41010F"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5D254B8" w14:textId="77777777" w:rsidR="006F76EB" w:rsidRPr="00834D52" w:rsidRDefault="006F76EB" w:rsidP="00D249A2">
            <w:pPr>
              <w:spacing w:after="120" w:line="240" w:lineRule="auto"/>
              <w:ind w:right="-6"/>
              <w:rPr>
                <w:rFonts w:ascii="Sylfaen" w:hAnsi="Sylfaen"/>
                <w:sz w:val="24"/>
                <w:szCs w:val="24"/>
              </w:rPr>
            </w:pPr>
          </w:p>
        </w:tc>
      </w:tr>
      <w:tr w:rsidR="006F76EB" w:rsidRPr="00834D52" w14:paraId="2385CD45"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164BFF5"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21250036" w14:textId="77777777" w:rsidR="006F76EB" w:rsidRPr="00834D52" w:rsidRDefault="006F76EB" w:rsidP="00D249A2">
            <w:pPr>
              <w:spacing w:after="120" w:line="240" w:lineRule="auto"/>
              <w:ind w:right="-6"/>
              <w:rPr>
                <w:rFonts w:ascii="Sylfaen" w:hAnsi="Sylfaen"/>
                <w:sz w:val="24"/>
                <w:szCs w:val="24"/>
              </w:rPr>
            </w:pPr>
          </w:p>
        </w:tc>
      </w:tr>
    </w:tbl>
    <w:p w14:paraId="5F2085A3" w14:textId="43CB0FF8"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jc w:val="center"/>
        <w:tblLayout w:type="fixed"/>
        <w:tblCellMar>
          <w:left w:w="0" w:type="dxa"/>
          <w:right w:w="0" w:type="dxa"/>
        </w:tblCellMar>
        <w:tblLook w:val="01E0" w:firstRow="1" w:lastRow="1" w:firstColumn="1" w:lastColumn="1" w:noHBand="0" w:noVBand="0"/>
      </w:tblPr>
      <w:tblGrid>
        <w:gridCol w:w="5090"/>
        <w:gridCol w:w="4519"/>
      </w:tblGrid>
      <w:tr w:rsidR="006F76EB" w:rsidRPr="00834D52" w14:paraId="647E2B1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DB3B98B"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անվանումը կամ ֆիզիկական անձի ազգանունը, անունը, հայրանունը</w:t>
            </w:r>
          </w:p>
        </w:tc>
        <w:tc>
          <w:tcPr>
            <w:tcW w:w="4519" w:type="dxa"/>
            <w:tcBorders>
              <w:top w:val="single" w:sz="4" w:space="0" w:color="000000"/>
              <w:left w:val="single" w:sz="4" w:space="0" w:color="000000"/>
              <w:bottom w:val="single" w:sz="4" w:space="0" w:color="000000"/>
              <w:right w:val="single" w:sz="4" w:space="0" w:color="000000"/>
            </w:tcBorders>
          </w:tcPr>
          <w:p w14:paraId="72E208F2"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3EF8F3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7470E74"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19" w:type="dxa"/>
            <w:tcBorders>
              <w:top w:val="single" w:sz="4" w:space="0" w:color="000000"/>
              <w:left w:val="single" w:sz="4" w:space="0" w:color="000000"/>
              <w:bottom w:val="single" w:sz="4" w:space="0" w:color="000000"/>
              <w:right w:val="single" w:sz="4" w:space="0" w:color="000000"/>
            </w:tcBorders>
          </w:tcPr>
          <w:p w14:paraId="5C026BD4" w14:textId="77777777" w:rsidR="006F76EB" w:rsidRPr="00834D52" w:rsidRDefault="006F76EB" w:rsidP="00D249A2">
            <w:pPr>
              <w:spacing w:after="120" w:line="240" w:lineRule="auto"/>
              <w:ind w:right="-6"/>
              <w:rPr>
                <w:rFonts w:ascii="Sylfaen" w:hAnsi="Sylfaen"/>
                <w:sz w:val="24"/>
                <w:szCs w:val="24"/>
              </w:rPr>
            </w:pPr>
          </w:p>
        </w:tc>
      </w:tr>
      <w:tr w:rsidR="006F76EB" w:rsidRPr="00834D52" w14:paraId="60D777FE"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7856EE39" w14:textId="77777777" w:rsidR="006F76EB" w:rsidRPr="00834D52" w:rsidRDefault="006F76EB" w:rsidP="00D249A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19" w:type="dxa"/>
            <w:tcBorders>
              <w:top w:val="single" w:sz="4" w:space="0" w:color="000000"/>
              <w:left w:val="single" w:sz="4" w:space="0" w:color="000000"/>
              <w:bottom w:val="single" w:sz="4" w:space="0" w:color="000000"/>
              <w:right w:val="single" w:sz="4" w:space="0" w:color="000000"/>
            </w:tcBorders>
          </w:tcPr>
          <w:p w14:paraId="39FE0375" w14:textId="77777777" w:rsidR="006F76EB" w:rsidRPr="00834D52" w:rsidRDefault="006F76EB" w:rsidP="00D249A2">
            <w:pPr>
              <w:spacing w:after="120" w:line="240" w:lineRule="auto"/>
              <w:ind w:right="-6"/>
              <w:rPr>
                <w:rFonts w:ascii="Sylfaen" w:hAnsi="Sylfaen"/>
                <w:sz w:val="24"/>
                <w:szCs w:val="24"/>
              </w:rPr>
            </w:pPr>
          </w:p>
        </w:tc>
      </w:tr>
    </w:tbl>
    <w:p w14:paraId="452338F8" w14:textId="77777777" w:rsidR="006F76EB" w:rsidRPr="00834D52" w:rsidRDefault="006F76EB" w:rsidP="006F76EB">
      <w:pPr>
        <w:spacing w:after="160" w:line="360" w:lineRule="auto"/>
        <w:ind w:right="-8" w:firstLine="567"/>
        <w:jc w:val="both"/>
        <w:rPr>
          <w:rFonts w:ascii="Sylfaen" w:hAnsi="Sylfaen"/>
          <w:sz w:val="24"/>
          <w:szCs w:val="24"/>
          <w:lang w:val="en-US"/>
        </w:rPr>
      </w:pPr>
    </w:p>
    <w:p w14:paraId="734D58EF" w14:textId="0EC088C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959B6AA" w14:textId="78F0A720"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34792B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1C1A30E" w14:textId="1EA868D9" w:rsidR="006F76EB" w:rsidRPr="00834D52" w:rsidRDefault="0056496B" w:rsidP="007D3755">
            <w:pPr>
              <w:spacing w:after="120" w:line="240" w:lineRule="auto"/>
              <w:ind w:left="180"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ներկայացուցչի ազգանունը, անունը, հայրանունը կամ իրավաբանական անձի անվանումը </w:t>
            </w:r>
          </w:p>
        </w:tc>
        <w:tc>
          <w:tcPr>
            <w:tcW w:w="4520" w:type="dxa"/>
            <w:tcBorders>
              <w:top w:val="single" w:sz="4" w:space="0" w:color="000000"/>
              <w:left w:val="single" w:sz="4" w:space="0" w:color="000000"/>
              <w:bottom w:val="single" w:sz="4" w:space="0" w:color="000000"/>
              <w:right w:val="single" w:sz="4" w:space="0" w:color="000000"/>
            </w:tcBorders>
          </w:tcPr>
          <w:p w14:paraId="7C98F6F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6D9379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3BD44262"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9038384" w14:textId="77777777" w:rsidR="006F76EB" w:rsidRPr="00834D52" w:rsidRDefault="006F76EB" w:rsidP="007D3755">
            <w:pPr>
              <w:spacing w:after="120" w:line="240" w:lineRule="auto"/>
              <w:ind w:right="-6"/>
              <w:rPr>
                <w:rFonts w:ascii="Sylfaen" w:hAnsi="Sylfaen"/>
                <w:sz w:val="24"/>
                <w:szCs w:val="24"/>
              </w:rPr>
            </w:pPr>
          </w:p>
        </w:tc>
      </w:tr>
      <w:tr w:rsidR="006F76EB" w:rsidRPr="00834D52" w14:paraId="7B5BAC0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36977E"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775E6528" w14:textId="77777777" w:rsidR="006F76EB" w:rsidRPr="00834D52" w:rsidRDefault="006F76EB" w:rsidP="007D3755">
            <w:pPr>
              <w:spacing w:after="120" w:line="240" w:lineRule="auto"/>
              <w:ind w:right="-6"/>
              <w:rPr>
                <w:rFonts w:ascii="Sylfaen" w:hAnsi="Sylfaen"/>
                <w:sz w:val="24"/>
                <w:szCs w:val="24"/>
              </w:rPr>
            </w:pPr>
          </w:p>
        </w:tc>
      </w:tr>
      <w:tr w:rsidR="006F76EB" w:rsidRPr="00834D52" w14:paraId="432AE3F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6E4B77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0F5ECEA9"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BB0873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F793C65"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490EE694" w14:textId="77777777" w:rsidR="006F76EB" w:rsidRPr="00834D52" w:rsidRDefault="006F76EB" w:rsidP="007D3755">
            <w:pPr>
              <w:spacing w:after="120" w:line="240" w:lineRule="auto"/>
              <w:ind w:right="-6"/>
              <w:rPr>
                <w:rFonts w:ascii="Sylfaen" w:hAnsi="Sylfaen"/>
                <w:sz w:val="24"/>
                <w:szCs w:val="24"/>
              </w:rPr>
            </w:pPr>
          </w:p>
        </w:tc>
      </w:tr>
    </w:tbl>
    <w:p w14:paraId="1E4045D0" w14:textId="4E06548F"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22C30791" w14:textId="77777777" w:rsidR="006F76EB" w:rsidRPr="00834D52" w:rsidRDefault="006F76EB" w:rsidP="0060033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2B5C1B77"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F0618B3"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4520" w:type="dxa"/>
            <w:tcBorders>
              <w:top w:val="single" w:sz="4" w:space="0" w:color="000000"/>
              <w:left w:val="single" w:sz="4" w:space="0" w:color="000000"/>
              <w:bottom w:val="single" w:sz="4" w:space="0" w:color="000000"/>
              <w:right w:val="single" w:sz="4" w:space="0" w:color="000000"/>
            </w:tcBorders>
          </w:tcPr>
          <w:p w14:paraId="17EE4865" w14:textId="77777777" w:rsidR="006F76EB" w:rsidRPr="00834D52" w:rsidRDefault="006F76EB" w:rsidP="007D3755">
            <w:pPr>
              <w:spacing w:after="120" w:line="240" w:lineRule="auto"/>
              <w:ind w:right="-8"/>
              <w:rPr>
                <w:rFonts w:ascii="Sylfaen" w:hAnsi="Sylfaen"/>
                <w:sz w:val="24"/>
                <w:szCs w:val="24"/>
              </w:rPr>
            </w:pPr>
          </w:p>
        </w:tc>
      </w:tr>
      <w:tr w:rsidR="006F76EB" w:rsidRPr="00834D52" w14:paraId="188A49B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79676BB" w14:textId="77777777" w:rsidR="006F76EB" w:rsidRPr="00834D52" w:rsidRDefault="006F76EB" w:rsidP="007D3755">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325596E3" w14:textId="77777777" w:rsidR="006F76EB" w:rsidRPr="00834D52" w:rsidRDefault="006F76EB" w:rsidP="007D3755">
            <w:pPr>
              <w:spacing w:after="120" w:line="240" w:lineRule="auto"/>
              <w:ind w:right="-8"/>
              <w:rPr>
                <w:rFonts w:ascii="Sylfaen" w:hAnsi="Sylfaen"/>
                <w:sz w:val="24"/>
                <w:szCs w:val="24"/>
              </w:rPr>
            </w:pPr>
          </w:p>
        </w:tc>
      </w:tr>
      <w:tr w:rsidR="006F76EB" w:rsidRPr="00834D52" w14:paraId="735A46D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C3B0E16"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իրավաբանական անձի (գրանցման հավաստագրի իրավատիրոջ) իրավաբանական հասցեն</w:t>
            </w:r>
          </w:p>
        </w:tc>
        <w:tc>
          <w:tcPr>
            <w:tcW w:w="4520" w:type="dxa"/>
            <w:tcBorders>
              <w:top w:val="single" w:sz="4" w:space="0" w:color="000000"/>
              <w:left w:val="single" w:sz="4" w:space="0" w:color="000000"/>
              <w:bottom w:val="single" w:sz="4" w:space="0" w:color="000000"/>
              <w:right w:val="single" w:sz="4" w:space="0" w:color="000000"/>
            </w:tcBorders>
          </w:tcPr>
          <w:p w14:paraId="5098073B" w14:textId="77777777" w:rsidR="006F76EB" w:rsidRPr="00834D52" w:rsidRDefault="006F76EB" w:rsidP="007D3755">
            <w:pPr>
              <w:spacing w:after="120" w:line="240" w:lineRule="auto"/>
              <w:ind w:right="-6"/>
              <w:rPr>
                <w:rFonts w:ascii="Sylfaen" w:hAnsi="Sylfaen"/>
                <w:sz w:val="24"/>
                <w:szCs w:val="24"/>
              </w:rPr>
            </w:pPr>
          </w:p>
        </w:tc>
      </w:tr>
      <w:tr w:rsidR="006F76EB" w:rsidRPr="00834D52" w14:paraId="5CC4256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95C68DD"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192FE07F" w14:textId="77777777" w:rsidR="006F76EB" w:rsidRPr="00834D52" w:rsidRDefault="006F76EB" w:rsidP="007D3755">
            <w:pPr>
              <w:spacing w:after="120" w:line="240" w:lineRule="auto"/>
              <w:ind w:right="-6"/>
              <w:rPr>
                <w:rFonts w:ascii="Sylfaen" w:hAnsi="Sylfaen"/>
                <w:sz w:val="24"/>
                <w:szCs w:val="24"/>
              </w:rPr>
            </w:pPr>
          </w:p>
        </w:tc>
      </w:tr>
      <w:tr w:rsidR="006F76EB" w:rsidRPr="00834D52" w14:paraId="2A08783B"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BDCB6C3"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520" w:type="dxa"/>
            <w:tcBorders>
              <w:top w:val="single" w:sz="4" w:space="0" w:color="000000"/>
              <w:left w:val="single" w:sz="4" w:space="0" w:color="000000"/>
              <w:bottom w:val="single" w:sz="4" w:space="0" w:color="000000"/>
              <w:right w:val="single" w:sz="4" w:space="0" w:color="000000"/>
            </w:tcBorders>
          </w:tcPr>
          <w:p w14:paraId="0D5C53D3" w14:textId="77777777" w:rsidR="006F76EB" w:rsidRPr="00834D52" w:rsidRDefault="006F76EB" w:rsidP="007D3755">
            <w:pPr>
              <w:spacing w:after="120" w:line="240" w:lineRule="auto"/>
              <w:ind w:right="-6"/>
              <w:rPr>
                <w:rFonts w:ascii="Sylfaen" w:hAnsi="Sylfaen"/>
                <w:sz w:val="24"/>
                <w:szCs w:val="24"/>
              </w:rPr>
            </w:pPr>
          </w:p>
        </w:tc>
      </w:tr>
      <w:tr w:rsidR="006F76EB" w:rsidRPr="00834D52" w14:paraId="01989ED1"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1F93A37" w14:textId="77777777" w:rsidR="006F76EB" w:rsidRPr="00834D52" w:rsidRDefault="006F76EB" w:rsidP="007D3755">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13B0E18" w14:textId="77777777" w:rsidR="006F76EB" w:rsidRPr="00834D52" w:rsidRDefault="006F76EB" w:rsidP="007D3755">
            <w:pPr>
              <w:spacing w:after="120" w:line="240" w:lineRule="auto"/>
              <w:ind w:right="-6"/>
              <w:rPr>
                <w:rFonts w:ascii="Sylfaen" w:hAnsi="Sylfaen"/>
                <w:sz w:val="24"/>
                <w:szCs w:val="24"/>
              </w:rPr>
            </w:pPr>
          </w:p>
        </w:tc>
      </w:tr>
    </w:tbl>
    <w:p w14:paraId="57116136" w14:textId="77777777"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497" w:type="dxa"/>
        <w:jc w:val="center"/>
        <w:tblLook w:val="04A0" w:firstRow="1" w:lastRow="0" w:firstColumn="1" w:lastColumn="0" w:noHBand="0" w:noVBand="1"/>
      </w:tblPr>
      <w:tblGrid>
        <w:gridCol w:w="9497"/>
      </w:tblGrid>
      <w:tr w:rsidR="006F76EB" w:rsidRPr="00834D52" w14:paraId="1E3DB615" w14:textId="77777777" w:rsidTr="00F71229">
        <w:trPr>
          <w:jc w:val="center"/>
        </w:trPr>
        <w:tc>
          <w:tcPr>
            <w:tcW w:w="9497" w:type="dxa"/>
          </w:tcPr>
          <w:p w14:paraId="50CB31AE" w14:textId="77777777" w:rsidR="006F76EB" w:rsidRPr="00834D52" w:rsidRDefault="006F76EB" w:rsidP="007D3755">
            <w:pPr>
              <w:spacing w:after="120"/>
              <w:ind w:right="-6"/>
              <w:rPr>
                <w:rFonts w:ascii="Sylfaen" w:eastAsia="Times New Roman" w:hAnsi="Sylfaen" w:cs="Times New Roman"/>
                <w:sz w:val="24"/>
                <w:szCs w:val="24"/>
              </w:rPr>
            </w:pPr>
            <w:r w:rsidRPr="00834D52">
              <w:rPr>
                <w:rFonts w:ascii="Sylfaen" w:hAnsi="Sylfaen"/>
                <w:sz w:val="24"/>
                <w:szCs w:val="24"/>
              </w:rPr>
              <w:t>դեղազգոնության մաստեր-ֆայլը՝</w:t>
            </w:r>
            <w:r w:rsidRPr="00834D52">
              <w:rPr>
                <w:rFonts w:ascii="Sylfaen" w:hAnsi="Sylfaen"/>
                <w:sz w:val="24"/>
                <w:szCs w:val="24"/>
              </w:rPr>
              <w:br/>
              <w:t>համարը՝</w:t>
            </w:r>
            <w:r w:rsidRPr="00834D52">
              <w:rPr>
                <w:rFonts w:ascii="Sylfaen" w:hAnsi="Sylfaen"/>
                <w:sz w:val="24"/>
                <w:szCs w:val="24"/>
              </w:rPr>
              <w:br/>
              <w:t>գտնվելու վայրի հասցեն՝</w:t>
            </w:r>
          </w:p>
        </w:tc>
      </w:tr>
    </w:tbl>
    <w:p w14:paraId="407EFD40" w14:textId="27757DF2" w:rsidR="006F76EB" w:rsidRPr="00834D52" w:rsidRDefault="006F76EB" w:rsidP="0060033A">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 xml:space="preserve">ի 3.4.4 ենթակետում նշվածից՝ </w:t>
      </w:r>
    </w:p>
    <w:tbl>
      <w:tblPr>
        <w:tblW w:w="9821" w:type="dxa"/>
        <w:jc w:val="center"/>
        <w:tblLayout w:type="fixed"/>
        <w:tblCellMar>
          <w:left w:w="0" w:type="dxa"/>
          <w:right w:w="0" w:type="dxa"/>
        </w:tblCellMar>
        <w:tblLook w:val="01E0" w:firstRow="1" w:lastRow="1" w:firstColumn="1" w:lastColumn="1" w:noHBand="0" w:noVBand="0"/>
      </w:tblPr>
      <w:tblGrid>
        <w:gridCol w:w="5166"/>
        <w:gridCol w:w="4655"/>
      </w:tblGrid>
      <w:tr w:rsidR="006F76EB" w:rsidRPr="00834D52" w14:paraId="4767D7C1" w14:textId="77777777" w:rsidTr="005B32CC">
        <w:trPr>
          <w:trHeight w:val="1637"/>
          <w:jc w:val="center"/>
        </w:trPr>
        <w:tc>
          <w:tcPr>
            <w:tcW w:w="5166" w:type="dxa"/>
            <w:tcBorders>
              <w:top w:val="single" w:sz="4" w:space="0" w:color="000000"/>
              <w:left w:val="single" w:sz="4" w:space="0" w:color="000000"/>
              <w:bottom w:val="single" w:sz="4" w:space="0" w:color="000000"/>
              <w:right w:val="single" w:sz="4" w:space="0" w:color="000000"/>
            </w:tcBorders>
          </w:tcPr>
          <w:p w14:paraId="62C64DE0"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655" w:type="dxa"/>
            <w:tcBorders>
              <w:top w:val="single" w:sz="4" w:space="0" w:color="000000"/>
              <w:left w:val="single" w:sz="4" w:space="0" w:color="000000"/>
              <w:bottom w:val="single" w:sz="4" w:space="0" w:color="000000"/>
              <w:right w:val="single" w:sz="4" w:space="0" w:color="000000"/>
            </w:tcBorders>
          </w:tcPr>
          <w:p w14:paraId="6CA66B1B" w14:textId="77777777" w:rsidR="006F76EB" w:rsidRPr="00834D52" w:rsidRDefault="006F76EB" w:rsidP="0060033A">
            <w:pPr>
              <w:spacing w:after="120" w:line="240" w:lineRule="auto"/>
              <w:ind w:right="-6"/>
              <w:rPr>
                <w:rFonts w:ascii="Sylfaen" w:hAnsi="Sylfaen"/>
                <w:sz w:val="24"/>
                <w:szCs w:val="24"/>
              </w:rPr>
            </w:pPr>
          </w:p>
        </w:tc>
      </w:tr>
      <w:tr w:rsidR="006F76EB" w:rsidRPr="00834D52" w14:paraId="4F387A7A" w14:textId="77777777" w:rsidTr="005B32CC">
        <w:trPr>
          <w:trHeight w:val="879"/>
          <w:jc w:val="center"/>
        </w:trPr>
        <w:tc>
          <w:tcPr>
            <w:tcW w:w="5166" w:type="dxa"/>
            <w:tcBorders>
              <w:top w:val="single" w:sz="4" w:space="0" w:color="000000"/>
              <w:left w:val="single" w:sz="4" w:space="0" w:color="000000"/>
              <w:bottom w:val="single" w:sz="4" w:space="0" w:color="000000"/>
              <w:right w:val="single" w:sz="4" w:space="0" w:color="000000"/>
            </w:tcBorders>
          </w:tcPr>
          <w:p w14:paraId="75CCE52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655" w:type="dxa"/>
            <w:tcBorders>
              <w:top w:val="single" w:sz="4" w:space="0" w:color="000000"/>
              <w:left w:val="single" w:sz="4" w:space="0" w:color="000000"/>
              <w:bottom w:val="single" w:sz="4" w:space="0" w:color="000000"/>
              <w:right w:val="single" w:sz="4" w:space="0" w:color="000000"/>
            </w:tcBorders>
          </w:tcPr>
          <w:p w14:paraId="507FBB12"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80AAA10"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44BF8B7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655" w:type="dxa"/>
            <w:tcBorders>
              <w:top w:val="single" w:sz="4" w:space="0" w:color="000000"/>
              <w:left w:val="single" w:sz="4" w:space="0" w:color="000000"/>
              <w:bottom w:val="single" w:sz="4" w:space="0" w:color="000000"/>
              <w:right w:val="single" w:sz="4" w:space="0" w:color="000000"/>
            </w:tcBorders>
          </w:tcPr>
          <w:p w14:paraId="0356125A" w14:textId="77777777" w:rsidR="006F76EB" w:rsidRPr="00834D52" w:rsidRDefault="006F76EB" w:rsidP="0060033A">
            <w:pPr>
              <w:spacing w:after="120" w:line="240" w:lineRule="auto"/>
              <w:ind w:right="-6"/>
              <w:rPr>
                <w:rFonts w:ascii="Sylfaen" w:hAnsi="Sylfaen"/>
                <w:sz w:val="24"/>
                <w:szCs w:val="24"/>
              </w:rPr>
            </w:pPr>
          </w:p>
        </w:tc>
      </w:tr>
      <w:tr w:rsidR="006F76EB" w:rsidRPr="00834D52" w14:paraId="6D01E303" w14:textId="77777777" w:rsidTr="005B32CC">
        <w:trPr>
          <w:trHeight w:val="500"/>
          <w:jc w:val="center"/>
        </w:trPr>
        <w:tc>
          <w:tcPr>
            <w:tcW w:w="5166" w:type="dxa"/>
            <w:tcBorders>
              <w:top w:val="single" w:sz="4" w:space="0" w:color="000000"/>
              <w:left w:val="single" w:sz="4" w:space="0" w:color="000000"/>
              <w:bottom w:val="single" w:sz="4" w:space="0" w:color="000000"/>
              <w:right w:val="single" w:sz="4" w:space="0" w:color="000000"/>
            </w:tcBorders>
          </w:tcPr>
          <w:p w14:paraId="6C2AF775"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երկիրը</w:t>
            </w:r>
          </w:p>
        </w:tc>
        <w:tc>
          <w:tcPr>
            <w:tcW w:w="4655" w:type="dxa"/>
            <w:tcBorders>
              <w:top w:val="single" w:sz="4" w:space="0" w:color="000000"/>
              <w:left w:val="single" w:sz="4" w:space="0" w:color="000000"/>
              <w:bottom w:val="single" w:sz="4" w:space="0" w:color="000000"/>
              <w:right w:val="single" w:sz="4" w:space="0" w:color="000000"/>
            </w:tcBorders>
          </w:tcPr>
          <w:p w14:paraId="476446EE" w14:textId="77777777" w:rsidR="006F76EB" w:rsidRPr="00834D52" w:rsidRDefault="006F76EB" w:rsidP="0060033A">
            <w:pPr>
              <w:spacing w:after="120" w:line="240" w:lineRule="auto"/>
              <w:ind w:right="-6"/>
              <w:rPr>
                <w:rFonts w:ascii="Sylfaen" w:hAnsi="Sylfaen"/>
                <w:sz w:val="24"/>
                <w:szCs w:val="24"/>
              </w:rPr>
            </w:pPr>
          </w:p>
        </w:tc>
      </w:tr>
      <w:tr w:rsidR="006F76EB" w:rsidRPr="00834D52" w14:paraId="2D2FF58F"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7C6EE006"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շուրջօրյա հեռախոսը/ֆաքսը</w:t>
            </w:r>
          </w:p>
        </w:tc>
        <w:tc>
          <w:tcPr>
            <w:tcW w:w="4655" w:type="dxa"/>
            <w:tcBorders>
              <w:top w:val="single" w:sz="4" w:space="0" w:color="000000"/>
              <w:left w:val="single" w:sz="4" w:space="0" w:color="000000"/>
              <w:bottom w:val="single" w:sz="4" w:space="0" w:color="000000"/>
              <w:right w:val="single" w:sz="4" w:space="0" w:color="000000"/>
            </w:tcBorders>
          </w:tcPr>
          <w:p w14:paraId="449542C9" w14:textId="77777777" w:rsidR="006F76EB" w:rsidRPr="00834D52" w:rsidRDefault="006F76EB" w:rsidP="0060033A">
            <w:pPr>
              <w:spacing w:after="120" w:line="240" w:lineRule="auto"/>
              <w:ind w:right="-6"/>
              <w:rPr>
                <w:rFonts w:ascii="Sylfaen" w:hAnsi="Sylfaen"/>
                <w:sz w:val="24"/>
                <w:szCs w:val="24"/>
              </w:rPr>
            </w:pPr>
          </w:p>
        </w:tc>
      </w:tr>
      <w:tr w:rsidR="006F76EB" w:rsidRPr="00834D52" w14:paraId="1FE82133" w14:textId="77777777" w:rsidTr="005B32CC">
        <w:trPr>
          <w:trHeight w:val="519"/>
          <w:jc w:val="center"/>
        </w:trPr>
        <w:tc>
          <w:tcPr>
            <w:tcW w:w="5166" w:type="dxa"/>
            <w:tcBorders>
              <w:top w:val="single" w:sz="4" w:space="0" w:color="000000"/>
              <w:left w:val="single" w:sz="4" w:space="0" w:color="000000"/>
              <w:bottom w:val="single" w:sz="4" w:space="0" w:color="000000"/>
              <w:right w:val="single" w:sz="4" w:space="0" w:color="000000"/>
            </w:tcBorders>
          </w:tcPr>
          <w:p w14:paraId="23EC2EF1" w14:textId="77777777" w:rsidR="006F76EB" w:rsidRPr="00834D52" w:rsidRDefault="006F76EB" w:rsidP="0060033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655" w:type="dxa"/>
            <w:tcBorders>
              <w:top w:val="single" w:sz="4" w:space="0" w:color="000000"/>
              <w:left w:val="single" w:sz="4" w:space="0" w:color="000000"/>
              <w:bottom w:val="single" w:sz="4" w:space="0" w:color="000000"/>
              <w:right w:val="single" w:sz="4" w:space="0" w:color="000000"/>
            </w:tcBorders>
          </w:tcPr>
          <w:p w14:paraId="36D18BAC" w14:textId="77777777" w:rsidR="006F76EB" w:rsidRPr="00834D52" w:rsidRDefault="006F76EB" w:rsidP="0060033A">
            <w:pPr>
              <w:spacing w:after="120" w:line="240" w:lineRule="auto"/>
              <w:ind w:right="-6"/>
              <w:rPr>
                <w:rFonts w:ascii="Sylfaen" w:hAnsi="Sylfaen"/>
                <w:sz w:val="24"/>
                <w:szCs w:val="24"/>
              </w:rPr>
            </w:pPr>
          </w:p>
        </w:tc>
      </w:tr>
    </w:tbl>
    <w:p w14:paraId="274E619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0502C350" w14:textId="77777777" w:rsidR="006F76EB" w:rsidRPr="00834D52" w:rsidRDefault="006F76EB" w:rsidP="005B32CC">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560B854A" w14:textId="77777777" w:rsidR="006F76EB" w:rsidRPr="00834D52" w:rsidRDefault="006F76EB" w:rsidP="005B32CC">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,անհրաժեշտության դեպքում՝ մականշվածքում)</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52174B3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3054EB0"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DA87181"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756E01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2AD3F4A"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520" w:type="dxa"/>
            <w:tcBorders>
              <w:top w:val="single" w:sz="4" w:space="0" w:color="000000"/>
              <w:left w:val="single" w:sz="4" w:space="0" w:color="000000"/>
              <w:bottom w:val="single" w:sz="4" w:space="0" w:color="000000"/>
              <w:right w:val="single" w:sz="4" w:space="0" w:color="000000"/>
            </w:tcBorders>
          </w:tcPr>
          <w:p w14:paraId="2B61F092" w14:textId="77777777" w:rsidR="006F76EB" w:rsidRPr="00834D52" w:rsidRDefault="006F76EB" w:rsidP="005B32CC">
            <w:pPr>
              <w:spacing w:after="120" w:line="240" w:lineRule="auto"/>
              <w:ind w:right="-6"/>
              <w:rPr>
                <w:rFonts w:ascii="Sylfaen" w:hAnsi="Sylfaen"/>
                <w:sz w:val="24"/>
                <w:szCs w:val="24"/>
              </w:rPr>
            </w:pPr>
          </w:p>
        </w:tc>
      </w:tr>
      <w:tr w:rsidR="006F76EB" w:rsidRPr="00834D52" w14:paraId="0AE57CCD"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ADF9E09"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520" w:type="dxa"/>
            <w:tcBorders>
              <w:top w:val="single" w:sz="4" w:space="0" w:color="000000"/>
              <w:left w:val="single" w:sz="4" w:space="0" w:color="000000"/>
              <w:bottom w:val="single" w:sz="4" w:space="0" w:color="000000"/>
              <w:right w:val="single" w:sz="4" w:space="0" w:color="000000"/>
            </w:tcBorders>
          </w:tcPr>
          <w:p w14:paraId="3FBE844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795FB1F9"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F17242"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520" w:type="dxa"/>
            <w:tcBorders>
              <w:top w:val="single" w:sz="4" w:space="0" w:color="000000"/>
              <w:left w:val="single" w:sz="4" w:space="0" w:color="000000"/>
              <w:bottom w:val="single" w:sz="4" w:space="0" w:color="000000"/>
              <w:right w:val="single" w:sz="4" w:space="0" w:color="000000"/>
            </w:tcBorders>
          </w:tcPr>
          <w:p w14:paraId="69B900C7" w14:textId="77777777" w:rsidR="006F76EB" w:rsidRPr="00834D52" w:rsidRDefault="006F76EB" w:rsidP="005B32CC">
            <w:pPr>
              <w:spacing w:after="120" w:line="240" w:lineRule="auto"/>
              <w:ind w:right="-6"/>
              <w:rPr>
                <w:rFonts w:ascii="Sylfaen" w:hAnsi="Sylfaen"/>
                <w:sz w:val="24"/>
                <w:szCs w:val="24"/>
              </w:rPr>
            </w:pPr>
          </w:p>
        </w:tc>
      </w:tr>
      <w:tr w:rsidR="006F76EB" w:rsidRPr="00834D52" w14:paraId="6CCC981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73B9BEF" w14:textId="77777777" w:rsidR="006F76EB" w:rsidRPr="00834D52" w:rsidRDefault="006F76EB" w:rsidP="005B32C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520" w:type="dxa"/>
            <w:tcBorders>
              <w:top w:val="single" w:sz="4" w:space="0" w:color="000000"/>
              <w:left w:val="single" w:sz="4" w:space="0" w:color="000000"/>
              <w:bottom w:val="single" w:sz="4" w:space="0" w:color="000000"/>
              <w:right w:val="single" w:sz="4" w:space="0" w:color="000000"/>
            </w:tcBorders>
          </w:tcPr>
          <w:p w14:paraId="74DA110A" w14:textId="77777777" w:rsidR="006F76EB" w:rsidRPr="00834D52" w:rsidRDefault="006F76EB" w:rsidP="005B32CC">
            <w:pPr>
              <w:spacing w:after="120" w:line="240" w:lineRule="auto"/>
              <w:ind w:right="-6"/>
              <w:rPr>
                <w:rFonts w:ascii="Sylfaen" w:hAnsi="Sylfaen"/>
                <w:sz w:val="24"/>
                <w:szCs w:val="24"/>
              </w:rPr>
            </w:pPr>
          </w:p>
        </w:tc>
      </w:tr>
    </w:tbl>
    <w:p w14:paraId="7FF32362" w14:textId="77777777" w:rsidR="006F76EB" w:rsidRPr="00834D52" w:rsidRDefault="006F76EB" w:rsidP="006F76EB">
      <w:pPr>
        <w:tabs>
          <w:tab w:val="left" w:pos="1418"/>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CF27EA" w:rsidRPr="00591731">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2B90645E"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2DA16B00"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78" w:type="dxa"/>
            <w:tcBorders>
              <w:top w:val="single" w:sz="4" w:space="0" w:color="000000"/>
              <w:left w:val="single" w:sz="4" w:space="0" w:color="000000"/>
              <w:bottom w:val="single" w:sz="4" w:space="0" w:color="000000"/>
              <w:right w:val="single" w:sz="4" w:space="0" w:color="000000"/>
            </w:tcBorders>
          </w:tcPr>
          <w:p w14:paraId="2492B758" w14:textId="77777777" w:rsidR="006F76EB" w:rsidRPr="00834D52" w:rsidRDefault="006F76EB" w:rsidP="00CF27EA">
            <w:pPr>
              <w:spacing w:after="120" w:line="240" w:lineRule="auto"/>
              <w:ind w:right="-6"/>
              <w:rPr>
                <w:rFonts w:ascii="Sylfaen" w:hAnsi="Sylfaen"/>
                <w:sz w:val="24"/>
                <w:szCs w:val="24"/>
              </w:rPr>
            </w:pPr>
          </w:p>
        </w:tc>
      </w:tr>
      <w:tr w:rsidR="006F76EB" w:rsidRPr="00834D52" w14:paraId="2E4AE3D9"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D6722DE"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78" w:type="dxa"/>
            <w:tcBorders>
              <w:top w:val="single" w:sz="4" w:space="0" w:color="000000"/>
              <w:left w:val="single" w:sz="4" w:space="0" w:color="000000"/>
              <w:bottom w:val="single" w:sz="4" w:space="0" w:color="000000"/>
              <w:right w:val="single" w:sz="4" w:space="0" w:color="000000"/>
            </w:tcBorders>
          </w:tcPr>
          <w:p w14:paraId="58B18BBE" w14:textId="77777777" w:rsidR="006F76EB" w:rsidRPr="00834D52" w:rsidRDefault="006F76EB" w:rsidP="00CF27EA">
            <w:pPr>
              <w:spacing w:after="120" w:line="240" w:lineRule="auto"/>
              <w:ind w:right="-6"/>
              <w:rPr>
                <w:rFonts w:ascii="Sylfaen" w:hAnsi="Sylfaen"/>
                <w:sz w:val="24"/>
                <w:szCs w:val="24"/>
              </w:rPr>
            </w:pPr>
          </w:p>
        </w:tc>
      </w:tr>
      <w:tr w:rsidR="006F76EB" w:rsidRPr="00834D52" w14:paraId="1E4A2D95"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0A13BDEC"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3269C227" w14:textId="77777777" w:rsidR="006F76EB" w:rsidRPr="00834D52" w:rsidRDefault="006F76EB" w:rsidP="00CF27EA">
            <w:pPr>
              <w:spacing w:after="120" w:line="240" w:lineRule="auto"/>
              <w:ind w:right="-6"/>
              <w:rPr>
                <w:rFonts w:ascii="Sylfaen" w:hAnsi="Sylfaen"/>
                <w:sz w:val="24"/>
                <w:szCs w:val="24"/>
              </w:rPr>
            </w:pPr>
          </w:p>
        </w:tc>
      </w:tr>
      <w:tr w:rsidR="006F76EB" w:rsidRPr="00834D52" w14:paraId="02EA3BE7"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EC377AF"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78" w:type="dxa"/>
            <w:tcBorders>
              <w:top w:val="single" w:sz="4" w:space="0" w:color="000000"/>
              <w:left w:val="single" w:sz="4" w:space="0" w:color="000000"/>
              <w:bottom w:val="single" w:sz="4" w:space="0" w:color="000000"/>
              <w:right w:val="single" w:sz="4" w:space="0" w:color="000000"/>
            </w:tcBorders>
          </w:tcPr>
          <w:p w14:paraId="4BD34426" w14:textId="77777777" w:rsidR="006F76EB" w:rsidRPr="00834D52" w:rsidRDefault="006F76EB" w:rsidP="00CF27EA">
            <w:pPr>
              <w:spacing w:after="120" w:line="240" w:lineRule="auto"/>
              <w:ind w:right="-6"/>
              <w:rPr>
                <w:rFonts w:ascii="Sylfaen" w:hAnsi="Sylfaen"/>
                <w:sz w:val="24"/>
                <w:szCs w:val="24"/>
              </w:rPr>
            </w:pPr>
          </w:p>
        </w:tc>
      </w:tr>
      <w:tr w:rsidR="006F76EB" w:rsidRPr="00834D52" w14:paraId="7290CEA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6F08B514" w14:textId="77777777" w:rsidR="006F76EB" w:rsidRPr="00834D52" w:rsidRDefault="006F76EB" w:rsidP="00CF27EA">
            <w:pPr>
              <w:spacing w:after="120" w:line="240" w:lineRule="auto"/>
              <w:ind w:left="121"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3C17A7E5" w14:textId="77777777" w:rsidR="006F76EB" w:rsidRPr="00834D52" w:rsidRDefault="006F76EB" w:rsidP="00CF27EA">
            <w:pPr>
              <w:spacing w:after="120" w:line="240" w:lineRule="auto"/>
              <w:ind w:right="-6"/>
              <w:rPr>
                <w:rFonts w:ascii="Sylfaen" w:hAnsi="Sylfaen"/>
                <w:sz w:val="24"/>
                <w:szCs w:val="24"/>
              </w:rPr>
            </w:pPr>
          </w:p>
        </w:tc>
      </w:tr>
    </w:tbl>
    <w:p w14:paraId="38560F41"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3.5.3.</w:t>
      </w:r>
      <w:r w:rsidRPr="00834D52">
        <w:rPr>
          <w:rFonts w:ascii="Sylfaen" w:hAnsi="Sylfaen"/>
          <w:sz w:val="24"/>
          <w:szCs w:val="24"/>
        </w:rPr>
        <w:tab/>
        <w:t>Եվրասիական տնտեսական միության շրջանակներում բողոքագրերի հետ աշխատանքի համար պատասխանատու կազմակերպությունը (յուրաքանչյուր անդամ պետության համար՝ առկայության դեպքում)</w:t>
      </w:r>
    </w:p>
    <w:tbl>
      <w:tblPr>
        <w:tblW w:w="0" w:type="auto"/>
        <w:jc w:val="center"/>
        <w:tblLayout w:type="fixed"/>
        <w:tblCellMar>
          <w:left w:w="0" w:type="dxa"/>
          <w:right w:w="0" w:type="dxa"/>
        </w:tblCellMar>
        <w:tblLook w:val="01E0" w:firstRow="1" w:lastRow="1" w:firstColumn="1" w:lastColumn="1" w:noHBand="0" w:noVBand="0"/>
      </w:tblPr>
      <w:tblGrid>
        <w:gridCol w:w="5532"/>
        <w:gridCol w:w="4078"/>
      </w:tblGrid>
      <w:tr w:rsidR="006F76EB" w:rsidRPr="00834D52" w14:paraId="6A1DD111"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893F7D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078" w:type="dxa"/>
            <w:tcBorders>
              <w:top w:val="single" w:sz="4" w:space="0" w:color="000000"/>
              <w:left w:val="single" w:sz="4" w:space="0" w:color="000000"/>
              <w:bottom w:val="single" w:sz="4" w:space="0" w:color="000000"/>
              <w:right w:val="single" w:sz="4" w:space="0" w:color="000000"/>
            </w:tcBorders>
          </w:tcPr>
          <w:p w14:paraId="3F98F5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1DE019A"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14EA5D95"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078" w:type="dxa"/>
            <w:tcBorders>
              <w:top w:val="single" w:sz="4" w:space="0" w:color="000000"/>
              <w:left w:val="single" w:sz="4" w:space="0" w:color="000000"/>
              <w:bottom w:val="single" w:sz="4" w:space="0" w:color="000000"/>
              <w:right w:val="single" w:sz="4" w:space="0" w:color="000000"/>
            </w:tcBorders>
          </w:tcPr>
          <w:p w14:paraId="7E14DFE3" w14:textId="77777777" w:rsidR="006F76EB" w:rsidRPr="00834D52" w:rsidRDefault="006F76EB" w:rsidP="00591731">
            <w:pPr>
              <w:spacing w:after="120" w:line="240" w:lineRule="auto"/>
              <w:ind w:right="-6"/>
              <w:rPr>
                <w:rFonts w:ascii="Sylfaen" w:hAnsi="Sylfaen"/>
                <w:sz w:val="24"/>
                <w:szCs w:val="24"/>
              </w:rPr>
            </w:pPr>
          </w:p>
        </w:tc>
      </w:tr>
      <w:tr w:rsidR="006F76EB" w:rsidRPr="00834D52" w14:paraId="7CD9844C"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CF0276B"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պետությունը</w:t>
            </w:r>
          </w:p>
        </w:tc>
        <w:tc>
          <w:tcPr>
            <w:tcW w:w="4078" w:type="dxa"/>
            <w:tcBorders>
              <w:top w:val="single" w:sz="4" w:space="0" w:color="000000"/>
              <w:left w:val="single" w:sz="4" w:space="0" w:color="000000"/>
              <w:bottom w:val="single" w:sz="4" w:space="0" w:color="000000"/>
              <w:right w:val="single" w:sz="4" w:space="0" w:color="000000"/>
            </w:tcBorders>
          </w:tcPr>
          <w:p w14:paraId="64250FBC" w14:textId="77777777" w:rsidR="006F76EB" w:rsidRPr="00834D52" w:rsidRDefault="006F76EB" w:rsidP="00591731">
            <w:pPr>
              <w:spacing w:after="120" w:line="240" w:lineRule="auto"/>
              <w:ind w:right="-6"/>
              <w:rPr>
                <w:rFonts w:ascii="Sylfaen" w:hAnsi="Sylfaen"/>
                <w:sz w:val="24"/>
                <w:szCs w:val="24"/>
              </w:rPr>
            </w:pPr>
          </w:p>
        </w:tc>
      </w:tr>
      <w:tr w:rsidR="006F76EB" w:rsidRPr="00834D52" w14:paraId="14567F5F"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3FB5521E"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078" w:type="dxa"/>
            <w:tcBorders>
              <w:top w:val="single" w:sz="4" w:space="0" w:color="000000"/>
              <w:left w:val="single" w:sz="4" w:space="0" w:color="000000"/>
              <w:bottom w:val="single" w:sz="4" w:space="0" w:color="000000"/>
              <w:right w:val="single" w:sz="4" w:space="0" w:color="000000"/>
            </w:tcBorders>
          </w:tcPr>
          <w:p w14:paraId="2A1C2224" w14:textId="77777777" w:rsidR="006F76EB" w:rsidRPr="00834D52" w:rsidRDefault="006F76EB" w:rsidP="00591731">
            <w:pPr>
              <w:spacing w:after="120" w:line="240" w:lineRule="auto"/>
              <w:ind w:right="-6"/>
              <w:rPr>
                <w:rFonts w:ascii="Sylfaen" w:hAnsi="Sylfaen"/>
                <w:sz w:val="24"/>
                <w:szCs w:val="24"/>
              </w:rPr>
            </w:pPr>
          </w:p>
        </w:tc>
      </w:tr>
      <w:tr w:rsidR="006F76EB" w:rsidRPr="00834D52" w14:paraId="0C5FFB0D" w14:textId="77777777" w:rsidTr="00F71229">
        <w:trPr>
          <w:jc w:val="center"/>
        </w:trPr>
        <w:tc>
          <w:tcPr>
            <w:tcW w:w="5532" w:type="dxa"/>
            <w:tcBorders>
              <w:top w:val="single" w:sz="4" w:space="0" w:color="000000"/>
              <w:left w:val="single" w:sz="4" w:space="0" w:color="000000"/>
              <w:bottom w:val="single" w:sz="4" w:space="0" w:color="000000"/>
              <w:right w:val="single" w:sz="4" w:space="0" w:color="000000"/>
            </w:tcBorders>
          </w:tcPr>
          <w:p w14:paraId="55610D24" w14:textId="77777777" w:rsidR="006F76EB" w:rsidRPr="00834D52" w:rsidRDefault="006F76EB" w:rsidP="00591731">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78" w:type="dxa"/>
            <w:tcBorders>
              <w:top w:val="single" w:sz="4" w:space="0" w:color="000000"/>
              <w:left w:val="single" w:sz="4" w:space="0" w:color="000000"/>
              <w:bottom w:val="single" w:sz="4" w:space="0" w:color="000000"/>
              <w:right w:val="single" w:sz="4" w:space="0" w:color="000000"/>
            </w:tcBorders>
          </w:tcPr>
          <w:p w14:paraId="07420FAC" w14:textId="77777777" w:rsidR="006F76EB" w:rsidRPr="00834D52" w:rsidRDefault="006F76EB" w:rsidP="00591731">
            <w:pPr>
              <w:spacing w:after="120" w:line="240" w:lineRule="auto"/>
              <w:ind w:right="-6"/>
              <w:rPr>
                <w:rFonts w:ascii="Sylfaen" w:hAnsi="Sylfaen"/>
                <w:sz w:val="24"/>
                <w:szCs w:val="24"/>
              </w:rPr>
            </w:pPr>
          </w:p>
        </w:tc>
      </w:tr>
    </w:tbl>
    <w:p w14:paraId="592ED2B9" w14:textId="77777777" w:rsidR="006F76EB" w:rsidRPr="00834D52" w:rsidRDefault="006F76EB" w:rsidP="00591731">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7456FB77"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արտադրական գործընթացին մասնակցող բոլոր </w:t>
      </w:r>
      <w:r w:rsidRPr="00834D52">
        <w:rPr>
          <w:rFonts w:ascii="Sylfaen" w:hAnsi="Sylfaen"/>
          <w:sz w:val="24"/>
          <w:szCs w:val="24"/>
        </w:rPr>
        <w:lastRenderedPageBreak/>
        <w:t>արտադրական հարթակները (ներառյալ լուծիչները)՝ նշելով արտադրական գործընթացի ընթացաշրջանը</w:t>
      </w:r>
    </w:p>
    <w:tbl>
      <w:tblPr>
        <w:tblW w:w="9610" w:type="dxa"/>
        <w:jc w:val="center"/>
        <w:tblLayout w:type="fixed"/>
        <w:tblCellMar>
          <w:left w:w="0" w:type="dxa"/>
          <w:right w:w="0" w:type="dxa"/>
        </w:tblCellMar>
        <w:tblLook w:val="01E0" w:firstRow="1" w:lastRow="1" w:firstColumn="1" w:lastColumn="1" w:noHBand="0" w:noVBand="0"/>
      </w:tblPr>
      <w:tblGrid>
        <w:gridCol w:w="5933"/>
        <w:gridCol w:w="3677"/>
      </w:tblGrid>
      <w:tr w:rsidR="006F76EB" w:rsidRPr="00834D52" w14:paraId="747C1F28"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7F9F286"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3677" w:type="dxa"/>
            <w:tcBorders>
              <w:top w:val="single" w:sz="4" w:space="0" w:color="000000"/>
              <w:left w:val="single" w:sz="4" w:space="0" w:color="000000"/>
              <w:bottom w:val="single" w:sz="4" w:space="0" w:color="000000"/>
              <w:right w:val="single" w:sz="4" w:space="0" w:color="000000"/>
            </w:tcBorders>
          </w:tcPr>
          <w:p w14:paraId="5AD9E6E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60FFD00"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58C4294E" w14:textId="77777777" w:rsidR="006F76EB" w:rsidRPr="00834D52" w:rsidRDefault="006F76EB" w:rsidP="00487CCB">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footnoteReference w:customMarkFollows="1" w:id="10"/>
              <w:t>գործունեության իրականացման վայրի հասցեն*</w:t>
            </w:r>
          </w:p>
        </w:tc>
        <w:tc>
          <w:tcPr>
            <w:tcW w:w="3677" w:type="dxa"/>
            <w:tcBorders>
              <w:top w:val="single" w:sz="4" w:space="0" w:color="000000"/>
              <w:left w:val="single" w:sz="4" w:space="0" w:color="000000"/>
              <w:bottom w:val="single" w:sz="4" w:space="0" w:color="000000"/>
              <w:right w:val="single" w:sz="4" w:space="0" w:color="000000"/>
            </w:tcBorders>
          </w:tcPr>
          <w:p w14:paraId="7871853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98283EB"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1E69AC10"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պետությունը*</w:t>
            </w:r>
          </w:p>
        </w:tc>
        <w:tc>
          <w:tcPr>
            <w:tcW w:w="3677" w:type="dxa"/>
            <w:tcBorders>
              <w:top w:val="single" w:sz="4" w:space="0" w:color="000000"/>
              <w:left w:val="single" w:sz="4" w:space="0" w:color="000000"/>
              <w:bottom w:val="single" w:sz="4" w:space="0" w:color="000000"/>
              <w:right w:val="single" w:sz="4" w:space="0" w:color="000000"/>
            </w:tcBorders>
          </w:tcPr>
          <w:p w14:paraId="56FAAB17" w14:textId="77777777" w:rsidR="006F76EB" w:rsidRPr="00834D52" w:rsidRDefault="006F76EB" w:rsidP="00487CCB">
            <w:pPr>
              <w:spacing w:after="120" w:line="240" w:lineRule="auto"/>
              <w:ind w:right="-6"/>
              <w:rPr>
                <w:rFonts w:ascii="Sylfaen" w:hAnsi="Sylfaen"/>
                <w:sz w:val="24"/>
                <w:szCs w:val="24"/>
              </w:rPr>
            </w:pPr>
          </w:p>
        </w:tc>
      </w:tr>
      <w:tr w:rsidR="006F76EB" w:rsidRPr="00834D52" w14:paraId="3C0DC67D"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4F0BC428"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77" w:type="dxa"/>
            <w:tcBorders>
              <w:top w:val="single" w:sz="4" w:space="0" w:color="000000"/>
              <w:left w:val="single" w:sz="4" w:space="0" w:color="000000"/>
              <w:bottom w:val="single" w:sz="4" w:space="0" w:color="000000"/>
              <w:right w:val="single" w:sz="4" w:space="0" w:color="000000"/>
            </w:tcBorders>
          </w:tcPr>
          <w:p w14:paraId="1171210E"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261D31A" w14:textId="77777777" w:rsidTr="00487CCB">
        <w:trPr>
          <w:jc w:val="center"/>
        </w:trPr>
        <w:tc>
          <w:tcPr>
            <w:tcW w:w="5933" w:type="dxa"/>
            <w:tcBorders>
              <w:top w:val="single" w:sz="4" w:space="0" w:color="000000"/>
              <w:left w:val="single" w:sz="4" w:space="0" w:color="000000"/>
              <w:bottom w:val="single" w:sz="4" w:space="0" w:color="000000"/>
              <w:right w:val="single" w:sz="4" w:space="0" w:color="000000"/>
            </w:tcBorders>
          </w:tcPr>
          <w:p w14:paraId="77849049" w14:textId="77777777" w:rsidR="006F76EB" w:rsidRPr="00834D52" w:rsidRDefault="006F76EB" w:rsidP="00487CCB">
            <w:pPr>
              <w:spacing w:after="120" w:line="240" w:lineRule="auto"/>
              <w:ind w:left="128" w:right="-6"/>
              <w:rPr>
                <w:rFonts w:ascii="Sylfaen" w:hAnsi="Sylfaen"/>
                <w:sz w:val="24"/>
                <w:szCs w:val="24"/>
              </w:rPr>
            </w:pPr>
            <w:r w:rsidRPr="00834D52">
              <w:rPr>
                <w:rFonts w:ascii="Sylfaen" w:hAnsi="Sylfaen"/>
                <w:sz w:val="24"/>
                <w:szCs w:val="24"/>
              </w:rPr>
              <w:t>էլեկտրոնային փոստի հասցեն*</w:t>
            </w:r>
          </w:p>
        </w:tc>
        <w:tc>
          <w:tcPr>
            <w:tcW w:w="3677" w:type="dxa"/>
            <w:tcBorders>
              <w:top w:val="single" w:sz="4" w:space="0" w:color="000000"/>
              <w:left w:val="single" w:sz="4" w:space="0" w:color="000000"/>
              <w:bottom w:val="single" w:sz="4" w:space="0" w:color="000000"/>
              <w:right w:val="single" w:sz="4" w:space="0" w:color="000000"/>
            </w:tcBorders>
          </w:tcPr>
          <w:p w14:paraId="33A0296C" w14:textId="77777777" w:rsidR="006F76EB" w:rsidRPr="00834D52" w:rsidRDefault="006F76EB" w:rsidP="00487CCB">
            <w:pPr>
              <w:spacing w:after="120" w:line="240" w:lineRule="auto"/>
              <w:ind w:right="-6"/>
              <w:rPr>
                <w:rFonts w:ascii="Sylfaen" w:hAnsi="Sylfaen"/>
                <w:sz w:val="24"/>
                <w:szCs w:val="24"/>
              </w:rPr>
            </w:pPr>
          </w:p>
        </w:tc>
      </w:tr>
    </w:tbl>
    <w:p w14:paraId="1DEC4F2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(կազմակերպության) կողմից անցկացվել է Եվրասիական տնտեսական հանձնաժողովի կողմից հաստատված Եվրասիական տնտեսական միության պատշաճ արտադրական գործունեության կանոնների պահպանման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5AC2745F" w14:textId="77777777" w:rsidTr="00F71229">
        <w:trPr>
          <w:jc w:val="center"/>
        </w:trPr>
        <w:tc>
          <w:tcPr>
            <w:tcW w:w="1560" w:type="dxa"/>
          </w:tcPr>
          <w:p w14:paraId="0DA49828"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A4447E2">
                <v:rect id="_x0000_s1166" style="position:absolute;left:0;text-align:left;margin-left:8.25pt;margin-top:4.05pt;width:12.75pt;height:12pt;z-index:251659776"/>
              </w:pict>
            </w:r>
            <w:r w:rsidR="006F76EB" w:rsidRPr="00834D52">
              <w:rPr>
                <w:rFonts w:ascii="Sylfaen" w:hAnsi="Sylfaen"/>
                <w:sz w:val="24"/>
                <w:szCs w:val="24"/>
              </w:rPr>
              <w:t>ոչ</w:t>
            </w:r>
          </w:p>
        </w:tc>
        <w:tc>
          <w:tcPr>
            <w:tcW w:w="1559" w:type="dxa"/>
          </w:tcPr>
          <w:p w14:paraId="7E6DF0F9"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886820B">
                <v:rect id="_x0000_s1167" style="position:absolute;left:0;text-align:left;margin-left:.5pt;margin-top:4.05pt;width:12.75pt;height:12pt;z-index:251660800;mso-position-horizontal-relative:text;mso-position-vertical-relative:text"/>
              </w:pict>
            </w:r>
            <w:r w:rsidR="006F76EB" w:rsidRPr="00834D52">
              <w:rPr>
                <w:rFonts w:ascii="Sylfaen" w:hAnsi="Sylfaen"/>
                <w:sz w:val="24"/>
                <w:szCs w:val="24"/>
              </w:rPr>
              <w:t>այո</w:t>
            </w:r>
          </w:p>
        </w:tc>
      </w:tr>
    </w:tbl>
    <w:p w14:paraId="70F73A59"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w:t>
      </w:r>
      <w:r w:rsidRPr="00834D52">
        <w:rPr>
          <w:rFonts w:ascii="Sylfaen" w:hAnsi="Sylfaen"/>
          <w:sz w:val="24"/>
          <w:szCs w:val="24"/>
          <w:lang w:val="en-US"/>
        </w:rPr>
        <w:t>՛</w:t>
      </w:r>
      <w:r w:rsidRPr="00834D52">
        <w:rPr>
          <w:rFonts w:ascii="Sylfaen" w:hAnsi="Sylfaen"/>
          <w:sz w:val="24"/>
          <w:szCs w:val="24"/>
        </w:rPr>
        <w:t>ք՝</w:t>
      </w:r>
    </w:p>
    <w:tbl>
      <w:tblPr>
        <w:tblW w:w="9592" w:type="dxa"/>
        <w:jc w:val="center"/>
        <w:tblLayout w:type="fixed"/>
        <w:tblCellMar>
          <w:left w:w="0" w:type="dxa"/>
          <w:right w:w="0" w:type="dxa"/>
        </w:tblCellMar>
        <w:tblLook w:val="01E0" w:firstRow="1" w:lastRow="1" w:firstColumn="1" w:lastColumn="1" w:noHBand="0" w:noVBand="0"/>
      </w:tblPr>
      <w:tblGrid>
        <w:gridCol w:w="5103"/>
        <w:gridCol w:w="2873"/>
        <w:gridCol w:w="851"/>
        <w:gridCol w:w="765"/>
      </w:tblGrid>
      <w:tr w:rsidR="006F76EB" w:rsidRPr="00834D52" w14:paraId="00CB6F1A"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5786605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489" w:type="dxa"/>
            <w:gridSpan w:val="3"/>
            <w:tcBorders>
              <w:top w:val="single" w:sz="4" w:space="0" w:color="000000"/>
              <w:left w:val="single" w:sz="4" w:space="0" w:color="000000"/>
              <w:bottom w:val="single" w:sz="4" w:space="0" w:color="000000"/>
              <w:right w:val="single" w:sz="4" w:space="0" w:color="000000"/>
            </w:tcBorders>
          </w:tcPr>
          <w:p w14:paraId="592BCFB0" w14:textId="77777777" w:rsidR="006F76EB" w:rsidRPr="00834D52" w:rsidRDefault="006F76EB" w:rsidP="00487CCB">
            <w:pPr>
              <w:spacing w:after="120" w:line="240" w:lineRule="auto"/>
              <w:ind w:right="-6"/>
              <w:rPr>
                <w:rFonts w:ascii="Sylfaen" w:hAnsi="Sylfaen"/>
                <w:sz w:val="24"/>
                <w:szCs w:val="24"/>
              </w:rPr>
            </w:pPr>
          </w:p>
        </w:tc>
      </w:tr>
      <w:tr w:rsidR="006F76EB" w:rsidRPr="00834D52" w14:paraId="2964954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771FBF5"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489" w:type="dxa"/>
            <w:gridSpan w:val="3"/>
            <w:tcBorders>
              <w:top w:val="single" w:sz="4" w:space="0" w:color="000000"/>
              <w:left w:val="single" w:sz="4" w:space="0" w:color="000000"/>
              <w:bottom w:val="single" w:sz="4" w:space="0" w:color="000000"/>
              <w:right w:val="single" w:sz="4" w:space="0" w:color="000000"/>
            </w:tcBorders>
          </w:tcPr>
          <w:p w14:paraId="0ADBB2BC" w14:textId="77777777" w:rsidR="006F76EB" w:rsidRPr="00834D52" w:rsidRDefault="006F76EB" w:rsidP="00487CCB">
            <w:pPr>
              <w:spacing w:after="120" w:line="240" w:lineRule="auto"/>
              <w:ind w:right="-6"/>
              <w:rPr>
                <w:rFonts w:ascii="Sylfaen" w:hAnsi="Sylfaen"/>
                <w:sz w:val="24"/>
                <w:szCs w:val="24"/>
              </w:rPr>
            </w:pPr>
          </w:p>
        </w:tc>
      </w:tr>
      <w:tr w:rsidR="006F76EB" w:rsidRPr="00834D52" w14:paraId="413AB39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12BF7EC1"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489" w:type="dxa"/>
            <w:gridSpan w:val="3"/>
            <w:tcBorders>
              <w:top w:val="single" w:sz="4" w:space="0" w:color="000000"/>
              <w:left w:val="single" w:sz="4" w:space="0" w:color="000000"/>
              <w:bottom w:val="single" w:sz="4" w:space="0" w:color="000000"/>
              <w:right w:val="single" w:sz="4" w:space="0" w:color="000000"/>
            </w:tcBorders>
          </w:tcPr>
          <w:p w14:paraId="576E658D" w14:textId="77777777" w:rsidR="006F76EB" w:rsidRPr="00834D52" w:rsidRDefault="006F76EB" w:rsidP="00487CCB">
            <w:pPr>
              <w:spacing w:after="120" w:line="240" w:lineRule="auto"/>
              <w:ind w:right="-6"/>
              <w:rPr>
                <w:rFonts w:ascii="Sylfaen" w:hAnsi="Sylfaen"/>
                <w:sz w:val="24"/>
                <w:szCs w:val="24"/>
              </w:rPr>
            </w:pPr>
          </w:p>
        </w:tc>
      </w:tr>
      <w:tr w:rsidR="006F76EB" w:rsidRPr="00834D52" w14:paraId="58415F58"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4089674"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489" w:type="dxa"/>
            <w:gridSpan w:val="3"/>
            <w:tcBorders>
              <w:top w:val="single" w:sz="4" w:space="0" w:color="000000"/>
              <w:left w:val="single" w:sz="4" w:space="0" w:color="000000"/>
              <w:bottom w:val="single" w:sz="4" w:space="0" w:color="000000"/>
              <w:right w:val="single" w:sz="4" w:space="0" w:color="000000"/>
            </w:tcBorders>
          </w:tcPr>
          <w:p w14:paraId="58809783" w14:textId="77777777" w:rsidR="006F76EB" w:rsidRPr="00834D52" w:rsidRDefault="006F76EB" w:rsidP="00487CCB">
            <w:pPr>
              <w:spacing w:after="120" w:line="240" w:lineRule="auto"/>
              <w:ind w:right="-6"/>
              <w:rPr>
                <w:rFonts w:ascii="Sylfaen" w:hAnsi="Sylfaen"/>
                <w:sz w:val="24"/>
                <w:szCs w:val="24"/>
              </w:rPr>
            </w:pPr>
          </w:p>
        </w:tc>
      </w:tr>
      <w:tr w:rsidR="006F76EB" w:rsidRPr="00834D52" w14:paraId="619EDAB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5EF39C3E" w14:textId="77777777" w:rsidR="006F76EB" w:rsidRPr="00834D52" w:rsidRDefault="006F76EB" w:rsidP="00487CCB">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42BDD83B" w14:textId="77777777" w:rsidR="006F76EB" w:rsidRPr="00834D52" w:rsidRDefault="00FC294A" w:rsidP="00487CCB">
            <w:pPr>
              <w:spacing w:after="120" w:line="240" w:lineRule="auto"/>
              <w:ind w:left="56" w:right="-6"/>
              <w:rPr>
                <w:rFonts w:ascii="Sylfaen" w:eastAsia="Times New Roman" w:hAnsi="Sylfaen" w:cs="Times New Roman"/>
                <w:sz w:val="24"/>
                <w:szCs w:val="24"/>
              </w:rPr>
            </w:pPr>
            <w:r>
              <w:rPr>
                <w:rFonts w:ascii="Sylfaen" w:hAnsi="Sylfaen"/>
                <w:noProof/>
                <w:sz w:val="24"/>
                <w:szCs w:val="24"/>
              </w:rPr>
              <w:pict w14:anchorId="7B37AAC5">
                <v:rect id="_x0000_s1169" style="position:absolute;left:0;text-align:left;margin-left:139.9pt;margin-top:2.2pt;width:12.75pt;height:12pt;z-index:251661824;mso-position-horizontal-relative:text;mso-position-vertical-relative:text"/>
              </w:pict>
            </w:r>
            <w:r w:rsidR="006F76EB" w:rsidRPr="00834D52">
              <w:rPr>
                <w:rFonts w:ascii="Sylfaen" w:hAnsi="Sylfaen"/>
                <w:sz w:val="24"/>
                <w:szCs w:val="24"/>
              </w:rPr>
              <w:t>համապատասխանում է՝</w:t>
            </w:r>
          </w:p>
        </w:tc>
        <w:tc>
          <w:tcPr>
            <w:tcW w:w="851" w:type="dxa"/>
            <w:tcBorders>
              <w:top w:val="single" w:sz="4" w:space="0" w:color="auto"/>
              <w:bottom w:val="single" w:sz="4" w:space="0" w:color="auto"/>
            </w:tcBorders>
          </w:tcPr>
          <w:p w14:paraId="081D23E2" w14:textId="77777777" w:rsidR="006F76EB" w:rsidRPr="00834D52" w:rsidRDefault="00FC294A" w:rsidP="00487CCB">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19F5269">
                <v:rect id="_x0000_s1168" style="position:absolute;left:0;text-align:left;margin-left:37.9pt;margin-top:2.2pt;width:12.75pt;height:12pt;z-index:251662848;mso-position-horizontal-relative:text;mso-position-vertical-relative:text"/>
              </w:pict>
            </w:r>
            <w:r w:rsidR="006F76EB" w:rsidRPr="00834D52">
              <w:rPr>
                <w:rFonts w:ascii="Sylfaen" w:hAnsi="Sylfaen"/>
                <w:sz w:val="24"/>
                <w:szCs w:val="24"/>
              </w:rPr>
              <w:t>ոչ</w:t>
            </w:r>
          </w:p>
        </w:tc>
        <w:tc>
          <w:tcPr>
            <w:tcW w:w="765" w:type="dxa"/>
            <w:tcBorders>
              <w:top w:val="single" w:sz="4" w:space="0" w:color="auto"/>
              <w:bottom w:val="single" w:sz="4" w:space="0" w:color="auto"/>
              <w:right w:val="single" w:sz="4" w:space="0" w:color="auto"/>
            </w:tcBorders>
          </w:tcPr>
          <w:p w14:paraId="60F63D69" w14:textId="77777777" w:rsidR="006F76EB" w:rsidRPr="00834D52" w:rsidRDefault="006F76EB" w:rsidP="00487CCB">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այո</w:t>
            </w:r>
          </w:p>
        </w:tc>
      </w:tr>
    </w:tbl>
    <w:p w14:paraId="26392B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տարածքի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3BCE51C" w14:textId="77777777" w:rsidTr="00F71229">
        <w:trPr>
          <w:jc w:val="center"/>
        </w:trPr>
        <w:tc>
          <w:tcPr>
            <w:tcW w:w="1560" w:type="dxa"/>
          </w:tcPr>
          <w:p w14:paraId="7A419846"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8294FF2">
                <v:rect id="_x0000_s1170" style="position:absolute;left:0;text-align:left;margin-left:8.25pt;margin-top:4.05pt;width:12.75pt;height:12pt;z-index:251663872"/>
              </w:pict>
            </w:r>
            <w:r w:rsidR="006F76EB" w:rsidRPr="00834D52">
              <w:rPr>
                <w:rFonts w:ascii="Sylfaen" w:hAnsi="Sylfaen"/>
                <w:sz w:val="24"/>
                <w:szCs w:val="24"/>
              </w:rPr>
              <w:t>ոչ</w:t>
            </w:r>
          </w:p>
        </w:tc>
        <w:tc>
          <w:tcPr>
            <w:tcW w:w="1559" w:type="dxa"/>
          </w:tcPr>
          <w:p w14:paraId="417BC18C"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63ECF3E5">
                <v:rect id="_x0000_s1171" style="position:absolute;left:0;text-align:left;margin-left:.5pt;margin-top:4.05pt;width:12.75pt;height:12pt;z-index:251664896;mso-position-horizontal-relative:text;mso-position-vertical-relative:text"/>
              </w:pict>
            </w:r>
            <w:r w:rsidR="006F76EB" w:rsidRPr="00834D52">
              <w:rPr>
                <w:rFonts w:ascii="Sylfaen" w:hAnsi="Sylfaen"/>
                <w:sz w:val="24"/>
                <w:szCs w:val="24"/>
              </w:rPr>
              <w:t>այո</w:t>
            </w:r>
          </w:p>
        </w:tc>
      </w:tr>
    </w:tbl>
    <w:p w14:paraId="40AE476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lastRenderedPageBreak/>
        <w:t>Եթե այո՝ նշե՛ք՝</w:t>
      </w:r>
    </w:p>
    <w:tbl>
      <w:tblPr>
        <w:tblW w:w="10050" w:type="dxa"/>
        <w:jc w:val="center"/>
        <w:tblLayout w:type="fixed"/>
        <w:tblCellMar>
          <w:left w:w="0" w:type="dxa"/>
          <w:right w:w="0" w:type="dxa"/>
        </w:tblCellMar>
        <w:tblLook w:val="01E0" w:firstRow="1" w:lastRow="1" w:firstColumn="1" w:lastColumn="1" w:noHBand="0" w:noVBand="0"/>
      </w:tblPr>
      <w:tblGrid>
        <w:gridCol w:w="5103"/>
        <w:gridCol w:w="2873"/>
        <w:gridCol w:w="1005"/>
        <w:gridCol w:w="1069"/>
      </w:tblGrid>
      <w:tr w:rsidR="006F76EB" w:rsidRPr="00834D52" w14:paraId="712750D7"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78F6FBC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4947" w:type="dxa"/>
            <w:gridSpan w:val="3"/>
            <w:tcBorders>
              <w:top w:val="single" w:sz="4" w:space="0" w:color="000000"/>
              <w:left w:val="single" w:sz="4" w:space="0" w:color="000000"/>
              <w:bottom w:val="single" w:sz="4" w:space="0" w:color="000000"/>
              <w:right w:val="single" w:sz="4" w:space="0" w:color="000000"/>
            </w:tcBorders>
          </w:tcPr>
          <w:p w14:paraId="36262A08" w14:textId="77777777" w:rsidR="006F76EB" w:rsidRPr="00834D52" w:rsidRDefault="006F76EB" w:rsidP="00EC7E9F">
            <w:pPr>
              <w:spacing w:after="120" w:line="240" w:lineRule="auto"/>
              <w:ind w:right="-6"/>
              <w:rPr>
                <w:rFonts w:ascii="Sylfaen" w:hAnsi="Sylfaen"/>
                <w:sz w:val="24"/>
                <w:szCs w:val="24"/>
              </w:rPr>
            </w:pPr>
          </w:p>
        </w:tc>
      </w:tr>
      <w:tr w:rsidR="006F76EB" w:rsidRPr="00834D52" w14:paraId="794282BF"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C554371"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4947" w:type="dxa"/>
            <w:gridSpan w:val="3"/>
            <w:tcBorders>
              <w:top w:val="single" w:sz="4" w:space="0" w:color="000000"/>
              <w:left w:val="single" w:sz="4" w:space="0" w:color="000000"/>
              <w:bottom w:val="single" w:sz="4" w:space="0" w:color="000000"/>
              <w:right w:val="single" w:sz="4" w:space="0" w:color="000000"/>
            </w:tcBorders>
          </w:tcPr>
          <w:p w14:paraId="3E08F8ED"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9697BD5"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079ED3C0"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4947" w:type="dxa"/>
            <w:gridSpan w:val="3"/>
            <w:tcBorders>
              <w:top w:val="single" w:sz="4" w:space="0" w:color="000000"/>
              <w:left w:val="single" w:sz="4" w:space="0" w:color="000000"/>
              <w:bottom w:val="single" w:sz="4" w:space="0" w:color="000000"/>
              <w:right w:val="single" w:sz="4" w:space="0" w:color="000000"/>
            </w:tcBorders>
          </w:tcPr>
          <w:p w14:paraId="732E11B0" w14:textId="77777777" w:rsidR="006F76EB" w:rsidRPr="00834D52" w:rsidRDefault="006F76EB" w:rsidP="00EC7E9F">
            <w:pPr>
              <w:spacing w:after="120" w:line="240" w:lineRule="auto"/>
              <w:ind w:right="-6"/>
              <w:rPr>
                <w:rFonts w:ascii="Sylfaen" w:hAnsi="Sylfaen"/>
                <w:sz w:val="24"/>
                <w:szCs w:val="24"/>
              </w:rPr>
            </w:pPr>
          </w:p>
        </w:tc>
      </w:tr>
      <w:tr w:rsidR="006F76EB" w:rsidRPr="00834D52" w14:paraId="4650BE9D" w14:textId="77777777" w:rsidTr="00F71229">
        <w:trPr>
          <w:jc w:val="center"/>
        </w:trPr>
        <w:tc>
          <w:tcPr>
            <w:tcW w:w="5103" w:type="dxa"/>
            <w:tcBorders>
              <w:top w:val="single" w:sz="4" w:space="0" w:color="000000"/>
              <w:left w:val="single" w:sz="4" w:space="0" w:color="000000"/>
              <w:bottom w:val="single" w:sz="4" w:space="0" w:color="000000"/>
              <w:right w:val="single" w:sz="4" w:space="0" w:color="000000"/>
            </w:tcBorders>
          </w:tcPr>
          <w:p w14:paraId="6EC06D9F"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4947" w:type="dxa"/>
            <w:gridSpan w:val="3"/>
            <w:tcBorders>
              <w:top w:val="single" w:sz="4" w:space="0" w:color="000000"/>
              <w:left w:val="single" w:sz="4" w:space="0" w:color="000000"/>
              <w:bottom w:val="single" w:sz="4" w:space="0" w:color="000000"/>
              <w:right w:val="single" w:sz="4" w:space="0" w:color="000000"/>
            </w:tcBorders>
          </w:tcPr>
          <w:p w14:paraId="673A6565" w14:textId="77777777" w:rsidR="006F76EB" w:rsidRPr="00834D52" w:rsidRDefault="006F76EB" w:rsidP="00EC7E9F">
            <w:pPr>
              <w:spacing w:after="120" w:line="240" w:lineRule="auto"/>
              <w:ind w:right="-6"/>
              <w:rPr>
                <w:rFonts w:ascii="Sylfaen" w:hAnsi="Sylfaen"/>
                <w:sz w:val="24"/>
                <w:szCs w:val="24"/>
              </w:rPr>
            </w:pPr>
          </w:p>
        </w:tc>
      </w:tr>
      <w:tr w:rsidR="006F76EB" w:rsidRPr="00834D52" w14:paraId="2B001295" w14:textId="77777777" w:rsidTr="00F71229">
        <w:trPr>
          <w:jc w:val="center"/>
        </w:trPr>
        <w:tc>
          <w:tcPr>
            <w:tcW w:w="5103" w:type="dxa"/>
            <w:tcBorders>
              <w:top w:val="single" w:sz="4" w:space="0" w:color="000000"/>
              <w:left w:val="single" w:sz="4" w:space="0" w:color="000000"/>
              <w:bottom w:val="single" w:sz="4" w:space="0" w:color="000000"/>
              <w:right w:val="single" w:sz="4" w:space="0" w:color="auto"/>
            </w:tcBorders>
          </w:tcPr>
          <w:p w14:paraId="22AD6E98" w14:textId="77777777" w:rsidR="006F76EB" w:rsidRPr="00834D52" w:rsidRDefault="006F76EB" w:rsidP="00EC7E9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2873" w:type="dxa"/>
            <w:tcBorders>
              <w:top w:val="single" w:sz="4" w:space="0" w:color="auto"/>
              <w:left w:val="single" w:sz="4" w:space="0" w:color="auto"/>
              <w:bottom w:val="single" w:sz="4" w:space="0" w:color="auto"/>
            </w:tcBorders>
          </w:tcPr>
          <w:p w14:paraId="727883B9" w14:textId="77777777" w:rsidR="006F76EB" w:rsidRPr="00834D52" w:rsidRDefault="006F76EB" w:rsidP="00EC7E9F">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1005" w:type="dxa"/>
            <w:tcBorders>
              <w:top w:val="single" w:sz="4" w:space="0" w:color="auto"/>
              <w:bottom w:val="single" w:sz="4" w:space="0" w:color="auto"/>
            </w:tcBorders>
          </w:tcPr>
          <w:p w14:paraId="14624D7D" w14:textId="77777777" w:rsidR="006F76EB" w:rsidRPr="00834D52" w:rsidRDefault="00FC294A" w:rsidP="00EC7E9F">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14557122">
                <v:rect id="_x0000_s1173" style="position:absolute;left:0;text-align:left;margin-left:1.9pt;margin-top:2.2pt;width:12.75pt;height:12pt;z-index:251665920;mso-position-horizontal-relative:text;mso-position-vertical-relative:text"/>
              </w:pict>
            </w:r>
            <w:r w:rsidR="006F76EB" w:rsidRPr="00834D52">
              <w:rPr>
                <w:rFonts w:ascii="Sylfaen" w:hAnsi="Sylfaen"/>
                <w:sz w:val="24"/>
                <w:szCs w:val="24"/>
              </w:rPr>
              <w:t>ոչ</w:t>
            </w:r>
          </w:p>
        </w:tc>
        <w:tc>
          <w:tcPr>
            <w:tcW w:w="1069" w:type="dxa"/>
            <w:tcBorders>
              <w:top w:val="single" w:sz="4" w:space="0" w:color="auto"/>
              <w:bottom w:val="single" w:sz="4" w:space="0" w:color="auto"/>
              <w:right w:val="single" w:sz="4" w:space="0" w:color="auto"/>
            </w:tcBorders>
          </w:tcPr>
          <w:p w14:paraId="1A4382DD" w14:textId="77777777" w:rsidR="006F76EB" w:rsidRPr="00834D52" w:rsidRDefault="00FC294A" w:rsidP="00EC7E9F">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2CE1F022">
                <v:rect id="_x0000_s1172" style="position:absolute;left:0;text-align:left;margin-left:3.5pt;margin-top:2.2pt;width:12.75pt;height:12pt;z-index:251666944;mso-position-horizontal-relative:text;mso-position-vertical-relative:text"/>
              </w:pict>
            </w:r>
            <w:r w:rsidR="006F76EB" w:rsidRPr="00834D52">
              <w:rPr>
                <w:rFonts w:ascii="Sylfaen" w:hAnsi="Sylfaen"/>
                <w:sz w:val="24"/>
                <w:szCs w:val="24"/>
              </w:rPr>
              <w:t>այո</w:t>
            </w:r>
          </w:p>
        </w:tc>
      </w:tr>
    </w:tbl>
    <w:p w14:paraId="3CD59DBE" w14:textId="77777777" w:rsidR="006F76EB" w:rsidRPr="00834D52" w:rsidRDefault="006F76EB" w:rsidP="00EC7E9F">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6A116407"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tbl>
      <w:tblPr>
        <w:tblW w:w="9610" w:type="dxa"/>
        <w:jc w:val="center"/>
        <w:tblLayout w:type="fixed"/>
        <w:tblCellMar>
          <w:left w:w="0" w:type="dxa"/>
          <w:right w:w="0" w:type="dxa"/>
        </w:tblCellMar>
        <w:tblLook w:val="01E0" w:firstRow="1" w:lastRow="1" w:firstColumn="1" w:lastColumn="1" w:noHBand="0" w:noVBand="0"/>
      </w:tblPr>
      <w:tblGrid>
        <w:gridCol w:w="5508"/>
        <w:gridCol w:w="4102"/>
      </w:tblGrid>
      <w:tr w:rsidR="006F76EB" w:rsidRPr="00834D52" w14:paraId="72EDD504"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83750DC"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 xml:space="preserve">արտադրական գործընթացի ընթացաշրջանի անվանումը, ակտիվ դեղաբանական բաղադրամասը </w:t>
            </w:r>
          </w:p>
        </w:tc>
        <w:tc>
          <w:tcPr>
            <w:tcW w:w="4102" w:type="dxa"/>
            <w:tcBorders>
              <w:top w:val="single" w:sz="4" w:space="0" w:color="000000"/>
              <w:left w:val="single" w:sz="4" w:space="0" w:color="000000"/>
              <w:bottom w:val="single" w:sz="4" w:space="0" w:color="000000"/>
              <w:right w:val="single" w:sz="4" w:space="0" w:color="000000"/>
            </w:tcBorders>
          </w:tcPr>
          <w:p w14:paraId="3D25EC7A" w14:textId="77777777" w:rsidR="006F76EB" w:rsidRPr="00834D52" w:rsidRDefault="006F76EB" w:rsidP="00EC7E9F">
            <w:pPr>
              <w:spacing w:after="120" w:line="240" w:lineRule="auto"/>
              <w:ind w:right="-8"/>
              <w:rPr>
                <w:rFonts w:ascii="Sylfaen" w:hAnsi="Sylfaen"/>
                <w:sz w:val="24"/>
                <w:szCs w:val="24"/>
              </w:rPr>
            </w:pPr>
          </w:p>
        </w:tc>
      </w:tr>
      <w:tr w:rsidR="006F76EB" w:rsidRPr="00834D52" w14:paraId="5FCF61A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911EC59" w14:textId="77777777" w:rsidR="006F76EB" w:rsidRPr="00834D52" w:rsidRDefault="006F76EB" w:rsidP="00EC7E9F">
            <w:pPr>
              <w:spacing w:after="120" w:line="240" w:lineRule="auto"/>
              <w:ind w:left="180" w:right="142"/>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4102" w:type="dxa"/>
            <w:tcBorders>
              <w:top w:val="single" w:sz="4" w:space="0" w:color="000000"/>
              <w:left w:val="single" w:sz="4" w:space="0" w:color="000000"/>
              <w:bottom w:val="single" w:sz="4" w:space="0" w:color="000000"/>
              <w:right w:val="single" w:sz="4" w:space="0" w:color="000000"/>
            </w:tcBorders>
          </w:tcPr>
          <w:p w14:paraId="2FA4C968"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8F87769"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31E28A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02" w:type="dxa"/>
            <w:tcBorders>
              <w:top w:val="single" w:sz="4" w:space="0" w:color="000000"/>
              <w:left w:val="single" w:sz="4" w:space="0" w:color="000000"/>
              <w:bottom w:val="single" w:sz="4" w:space="0" w:color="000000"/>
              <w:right w:val="single" w:sz="4" w:space="0" w:color="000000"/>
            </w:tcBorders>
          </w:tcPr>
          <w:p w14:paraId="5ADADA60" w14:textId="77777777" w:rsidR="006F76EB" w:rsidRPr="00834D52" w:rsidRDefault="006F76EB" w:rsidP="00EC7E9F">
            <w:pPr>
              <w:spacing w:after="120" w:line="240" w:lineRule="auto"/>
              <w:ind w:right="-8"/>
              <w:rPr>
                <w:rFonts w:ascii="Sylfaen" w:hAnsi="Sylfaen"/>
                <w:sz w:val="24"/>
                <w:szCs w:val="24"/>
              </w:rPr>
            </w:pPr>
          </w:p>
        </w:tc>
      </w:tr>
      <w:tr w:rsidR="006F76EB" w:rsidRPr="00834D52" w14:paraId="3CEFB4B2"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0F09A52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պետությունը</w:t>
            </w:r>
          </w:p>
        </w:tc>
        <w:tc>
          <w:tcPr>
            <w:tcW w:w="4102" w:type="dxa"/>
            <w:tcBorders>
              <w:top w:val="single" w:sz="4" w:space="0" w:color="000000"/>
              <w:left w:val="single" w:sz="4" w:space="0" w:color="000000"/>
              <w:bottom w:val="single" w:sz="4" w:space="0" w:color="000000"/>
              <w:right w:val="single" w:sz="4" w:space="0" w:color="000000"/>
            </w:tcBorders>
          </w:tcPr>
          <w:p w14:paraId="001190E1" w14:textId="77777777" w:rsidR="006F76EB" w:rsidRPr="00834D52" w:rsidRDefault="006F76EB" w:rsidP="00EC7E9F">
            <w:pPr>
              <w:spacing w:after="120" w:line="240" w:lineRule="auto"/>
              <w:ind w:right="-8"/>
              <w:rPr>
                <w:rFonts w:ascii="Sylfaen" w:hAnsi="Sylfaen"/>
                <w:sz w:val="24"/>
                <w:szCs w:val="24"/>
              </w:rPr>
            </w:pPr>
          </w:p>
        </w:tc>
      </w:tr>
      <w:tr w:rsidR="006F76EB" w:rsidRPr="00834D52" w14:paraId="168FC280"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52F3E9E7"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02" w:type="dxa"/>
            <w:tcBorders>
              <w:top w:val="single" w:sz="4" w:space="0" w:color="000000"/>
              <w:left w:val="single" w:sz="4" w:space="0" w:color="000000"/>
              <w:bottom w:val="single" w:sz="4" w:space="0" w:color="000000"/>
              <w:right w:val="single" w:sz="4" w:space="0" w:color="000000"/>
            </w:tcBorders>
          </w:tcPr>
          <w:p w14:paraId="72613734" w14:textId="77777777" w:rsidR="006F76EB" w:rsidRPr="00834D52" w:rsidRDefault="006F76EB" w:rsidP="00EC7E9F">
            <w:pPr>
              <w:spacing w:after="120" w:line="240" w:lineRule="auto"/>
              <w:ind w:right="-8"/>
              <w:rPr>
                <w:rFonts w:ascii="Sylfaen" w:hAnsi="Sylfaen"/>
                <w:sz w:val="24"/>
                <w:szCs w:val="24"/>
              </w:rPr>
            </w:pPr>
          </w:p>
        </w:tc>
      </w:tr>
      <w:tr w:rsidR="006F76EB" w:rsidRPr="00834D52" w14:paraId="4F7E3A3A" w14:textId="77777777" w:rsidTr="002139FC">
        <w:trPr>
          <w:jc w:val="center"/>
        </w:trPr>
        <w:tc>
          <w:tcPr>
            <w:tcW w:w="5508" w:type="dxa"/>
            <w:tcBorders>
              <w:top w:val="single" w:sz="4" w:space="0" w:color="000000"/>
              <w:left w:val="single" w:sz="4" w:space="0" w:color="000000"/>
              <w:bottom w:val="single" w:sz="4" w:space="0" w:color="000000"/>
              <w:right w:val="single" w:sz="4" w:space="0" w:color="000000"/>
            </w:tcBorders>
          </w:tcPr>
          <w:p w14:paraId="24255EAD" w14:textId="77777777" w:rsidR="006F76EB" w:rsidRPr="00834D52" w:rsidRDefault="006F76EB" w:rsidP="00EC7E9F">
            <w:pPr>
              <w:spacing w:after="120" w:line="240" w:lineRule="auto"/>
              <w:ind w:left="180" w:right="-8"/>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02" w:type="dxa"/>
            <w:tcBorders>
              <w:top w:val="single" w:sz="4" w:space="0" w:color="000000"/>
              <w:left w:val="single" w:sz="4" w:space="0" w:color="000000"/>
              <w:bottom w:val="single" w:sz="4" w:space="0" w:color="000000"/>
              <w:right w:val="single" w:sz="4" w:space="0" w:color="000000"/>
            </w:tcBorders>
          </w:tcPr>
          <w:p w14:paraId="48ADD2D6" w14:textId="77777777" w:rsidR="006F76EB" w:rsidRPr="00834D52" w:rsidRDefault="006F76EB" w:rsidP="00EC7E9F">
            <w:pPr>
              <w:spacing w:after="120" w:line="240" w:lineRule="auto"/>
              <w:ind w:right="-8"/>
              <w:rPr>
                <w:rFonts w:ascii="Sylfaen" w:hAnsi="Sylfaen"/>
                <w:sz w:val="24"/>
                <w:szCs w:val="24"/>
              </w:rPr>
            </w:pPr>
          </w:p>
        </w:tc>
      </w:tr>
    </w:tbl>
    <w:p w14:paraId="388C9EC9" w14:textId="649D05B8"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05B44516"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պետության </w:t>
      </w:r>
      <w:r w:rsidRPr="00834D52">
        <w:rPr>
          <w:rFonts w:ascii="Sylfaen" w:hAnsi="Sylfaen"/>
          <w:sz w:val="24"/>
          <w:szCs w:val="24"/>
        </w:rPr>
        <w:lastRenderedPageBreak/>
        <w:t>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D973038" w14:textId="77777777" w:rsidTr="00F71229">
        <w:trPr>
          <w:jc w:val="center"/>
        </w:trPr>
        <w:tc>
          <w:tcPr>
            <w:tcW w:w="1560" w:type="dxa"/>
          </w:tcPr>
          <w:p w14:paraId="6FCB1C14" w14:textId="77777777" w:rsidR="006F76EB" w:rsidRPr="00834D52" w:rsidRDefault="00FC294A"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2C60677">
                <v:rect id="_x0000_s1174" style="position:absolute;left:0;text-align:left;margin-left:8.25pt;margin-top:4.05pt;width:12.75pt;height:12pt;z-index:251667968"/>
              </w:pict>
            </w:r>
            <w:r w:rsidR="006F76EB" w:rsidRPr="00834D52">
              <w:rPr>
                <w:rFonts w:ascii="Sylfaen" w:hAnsi="Sylfaen"/>
                <w:sz w:val="24"/>
                <w:szCs w:val="24"/>
              </w:rPr>
              <w:t>ոչ</w:t>
            </w:r>
          </w:p>
        </w:tc>
        <w:tc>
          <w:tcPr>
            <w:tcW w:w="1559" w:type="dxa"/>
          </w:tcPr>
          <w:p w14:paraId="5E012938" w14:textId="77777777" w:rsidR="006F76EB" w:rsidRPr="00834D52" w:rsidRDefault="00FC294A"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31F2F353">
                <v:rect id="_x0000_s1175" style="position:absolute;left:0;text-align:left;margin-left:.5pt;margin-top:4.05pt;width:12.75pt;height:12pt;z-index:251668992;mso-position-horizontal-relative:text;mso-position-vertical-relative:text"/>
              </w:pict>
            </w:r>
            <w:r w:rsidR="006F76EB" w:rsidRPr="00834D52">
              <w:rPr>
                <w:rFonts w:ascii="Sylfaen" w:hAnsi="Sylfaen"/>
                <w:sz w:val="24"/>
                <w:szCs w:val="24"/>
              </w:rPr>
              <w:t>այո</w:t>
            </w:r>
          </w:p>
        </w:tc>
      </w:tr>
    </w:tbl>
    <w:p w14:paraId="5C21BD3E" w14:textId="77777777" w:rsidR="006F76EB" w:rsidRPr="00834D52" w:rsidRDefault="006F76EB" w:rsidP="006F76EB">
      <w:pPr>
        <w:spacing w:after="160" w:line="353"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ԱԴԲ-ի համար տրվել է Եվրոպական դեղագրքի մենագրությանը համապատասխանության սերտիֆիկատ՝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4E925346" w14:textId="77777777" w:rsidTr="00F71229">
        <w:trPr>
          <w:jc w:val="center"/>
        </w:trPr>
        <w:tc>
          <w:tcPr>
            <w:tcW w:w="1560" w:type="dxa"/>
          </w:tcPr>
          <w:p w14:paraId="1565D8C1" w14:textId="77777777" w:rsidR="006F76EB" w:rsidRPr="00834D52" w:rsidRDefault="00FC294A" w:rsidP="00F71229">
            <w:pPr>
              <w:spacing w:after="160" w:line="353"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506D86CD">
                <v:rect id="_x0000_s1176" style="position:absolute;left:0;text-align:left;margin-left:8.25pt;margin-top:4.05pt;width:12.75pt;height:12pt;z-index:251670016"/>
              </w:pict>
            </w:r>
            <w:r w:rsidR="006F76EB" w:rsidRPr="00834D52">
              <w:rPr>
                <w:rFonts w:ascii="Sylfaen" w:hAnsi="Sylfaen"/>
                <w:sz w:val="24"/>
                <w:szCs w:val="24"/>
              </w:rPr>
              <w:t>ոչ</w:t>
            </w:r>
          </w:p>
        </w:tc>
        <w:tc>
          <w:tcPr>
            <w:tcW w:w="1559" w:type="dxa"/>
          </w:tcPr>
          <w:p w14:paraId="7F3926CC" w14:textId="77777777" w:rsidR="006F76EB" w:rsidRPr="00834D52" w:rsidRDefault="00FC294A" w:rsidP="00F71229">
            <w:pPr>
              <w:spacing w:after="160" w:line="353" w:lineRule="auto"/>
              <w:ind w:left="-108" w:right="-8"/>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14D94389">
                <v:rect id="_x0000_s1177" style="position:absolute;left:0;text-align:left;margin-left:.5pt;margin-top:4.05pt;width:12.75pt;height:12pt;z-index:251671040;mso-position-horizontal-relative:text;mso-position-vertical-relative:text"/>
              </w:pict>
            </w:r>
            <w:r w:rsidR="006F76EB" w:rsidRPr="00834D52">
              <w:rPr>
                <w:rFonts w:ascii="Sylfaen" w:hAnsi="Sylfaen"/>
                <w:sz w:val="24"/>
                <w:szCs w:val="24"/>
              </w:rPr>
              <w:t>այո</w:t>
            </w:r>
          </w:p>
        </w:tc>
      </w:tr>
    </w:tbl>
    <w:p w14:paraId="5E91854F" w14:textId="77777777" w:rsidR="006F76EB" w:rsidRPr="00834D52" w:rsidRDefault="006F76EB" w:rsidP="006F76EB">
      <w:pPr>
        <w:spacing w:after="160" w:line="353"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714" w:type="dxa"/>
        <w:tblInd w:w="5" w:type="dxa"/>
        <w:tblLayout w:type="fixed"/>
        <w:tblCellMar>
          <w:left w:w="0" w:type="dxa"/>
          <w:right w:w="0" w:type="dxa"/>
        </w:tblCellMar>
        <w:tblLook w:val="01E0" w:firstRow="1" w:lastRow="1" w:firstColumn="1" w:lastColumn="1" w:noHBand="0" w:noVBand="0"/>
      </w:tblPr>
      <w:tblGrid>
        <w:gridCol w:w="5954"/>
        <w:gridCol w:w="3760"/>
      </w:tblGrid>
      <w:tr w:rsidR="006F76EB" w:rsidRPr="00834D52" w14:paraId="5E8F0E02"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0FB4229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760" w:type="dxa"/>
            <w:tcBorders>
              <w:top w:val="single" w:sz="4" w:space="0" w:color="000000"/>
              <w:left w:val="single" w:sz="4" w:space="0" w:color="000000"/>
              <w:bottom w:val="single" w:sz="4" w:space="0" w:color="000000"/>
              <w:right w:val="single" w:sz="4" w:space="0" w:color="000000"/>
            </w:tcBorders>
          </w:tcPr>
          <w:p w14:paraId="0C9F83C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17FB80"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31193CB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իրավաբանական անձի անվանումը կամ անհատ ձեռնարկատեր ֆիզիկական անձի (արտադրողի) ազգանունը, անունը, հայրանունը</w:t>
            </w:r>
          </w:p>
        </w:tc>
        <w:tc>
          <w:tcPr>
            <w:tcW w:w="3760" w:type="dxa"/>
            <w:tcBorders>
              <w:top w:val="single" w:sz="4" w:space="0" w:color="000000"/>
              <w:left w:val="single" w:sz="4" w:space="0" w:color="000000"/>
              <w:bottom w:val="single" w:sz="4" w:space="0" w:color="000000"/>
              <w:right w:val="single" w:sz="4" w:space="0" w:color="000000"/>
            </w:tcBorders>
          </w:tcPr>
          <w:p w14:paraId="303B1817"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68E090E"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411852D7"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760" w:type="dxa"/>
            <w:tcBorders>
              <w:top w:val="single" w:sz="4" w:space="0" w:color="000000"/>
              <w:left w:val="single" w:sz="4" w:space="0" w:color="000000"/>
              <w:bottom w:val="single" w:sz="4" w:space="0" w:color="000000"/>
              <w:right w:val="single" w:sz="4" w:space="0" w:color="000000"/>
            </w:tcBorders>
          </w:tcPr>
          <w:p w14:paraId="5D2EC6D0" w14:textId="77777777" w:rsidR="006F76EB" w:rsidRPr="00834D52" w:rsidRDefault="006F76EB" w:rsidP="002139FC">
            <w:pPr>
              <w:spacing w:after="120" w:line="240" w:lineRule="auto"/>
              <w:ind w:right="-8"/>
              <w:rPr>
                <w:rFonts w:ascii="Sylfaen" w:hAnsi="Sylfaen"/>
                <w:sz w:val="24"/>
                <w:szCs w:val="24"/>
              </w:rPr>
            </w:pPr>
          </w:p>
        </w:tc>
      </w:tr>
      <w:tr w:rsidR="006F76EB" w:rsidRPr="00834D52" w14:paraId="6826FF5C" w14:textId="77777777" w:rsidTr="00754307">
        <w:tc>
          <w:tcPr>
            <w:tcW w:w="5954" w:type="dxa"/>
            <w:tcBorders>
              <w:top w:val="single" w:sz="4" w:space="0" w:color="000000"/>
              <w:left w:val="single" w:sz="4" w:space="0" w:color="000000"/>
              <w:bottom w:val="single" w:sz="4" w:space="0" w:color="000000"/>
              <w:right w:val="single" w:sz="4" w:space="0" w:color="000000"/>
            </w:tcBorders>
          </w:tcPr>
          <w:p w14:paraId="71FE42B6" w14:textId="77777777" w:rsidR="006F76EB" w:rsidRPr="00834D52" w:rsidRDefault="006F76EB" w:rsidP="002139FC">
            <w:pPr>
              <w:spacing w:after="120" w:line="240" w:lineRule="auto"/>
              <w:ind w:left="38" w:right="84"/>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760" w:type="dxa"/>
            <w:tcBorders>
              <w:top w:val="single" w:sz="4" w:space="0" w:color="000000"/>
              <w:left w:val="single" w:sz="4" w:space="0" w:color="000000"/>
              <w:bottom w:val="single" w:sz="4" w:space="0" w:color="000000"/>
              <w:right w:val="single" w:sz="4" w:space="0" w:color="000000"/>
            </w:tcBorders>
          </w:tcPr>
          <w:p w14:paraId="42523E26" w14:textId="77777777" w:rsidR="006F76EB" w:rsidRPr="00834D52" w:rsidRDefault="006F76EB" w:rsidP="002139FC">
            <w:pPr>
              <w:spacing w:after="120" w:line="240" w:lineRule="auto"/>
              <w:ind w:right="-8"/>
              <w:rPr>
                <w:rFonts w:ascii="Sylfaen" w:hAnsi="Sylfaen"/>
                <w:sz w:val="24"/>
                <w:szCs w:val="24"/>
              </w:rPr>
            </w:pPr>
          </w:p>
        </w:tc>
      </w:tr>
    </w:tbl>
    <w:p w14:paraId="3B1F582B" w14:textId="77777777" w:rsidR="006F76EB" w:rsidRPr="00834D52" w:rsidRDefault="006F76EB" w:rsidP="006F76EB">
      <w:pPr>
        <w:spacing w:after="160" w:line="348" w:lineRule="auto"/>
        <w:ind w:right="-6"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(կազմակերպության) կողմից անցկացվել է պատշաճ արտադրական գործունեության պահանջների կատարման մասով հարթակի տեսչական ստուգում՝</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0E25D360" w14:textId="77777777" w:rsidTr="00F71229">
        <w:trPr>
          <w:jc w:val="center"/>
        </w:trPr>
        <w:tc>
          <w:tcPr>
            <w:tcW w:w="1560" w:type="dxa"/>
          </w:tcPr>
          <w:p w14:paraId="3C864B1A" w14:textId="77777777" w:rsidR="006F76EB" w:rsidRPr="00834D52" w:rsidRDefault="00FC294A"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E00A92C">
                <v:rect id="_x0000_s1178" style="position:absolute;left:0;text-align:left;margin-left:8.25pt;margin-top:4.05pt;width:12.75pt;height:12pt;z-index:251672064"/>
              </w:pict>
            </w:r>
            <w:r w:rsidR="006F76EB" w:rsidRPr="00834D52">
              <w:rPr>
                <w:rFonts w:ascii="Sylfaen" w:hAnsi="Sylfaen"/>
                <w:sz w:val="24"/>
                <w:szCs w:val="24"/>
              </w:rPr>
              <w:t>ոչ</w:t>
            </w:r>
          </w:p>
        </w:tc>
        <w:tc>
          <w:tcPr>
            <w:tcW w:w="1559" w:type="dxa"/>
          </w:tcPr>
          <w:p w14:paraId="06FC0A5A" w14:textId="77777777" w:rsidR="006F76EB" w:rsidRPr="00834D52" w:rsidRDefault="00FC294A"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2A66E4FD">
                <v:rect id="_x0000_s1179" style="position:absolute;left:0;text-align:left;margin-left:.5pt;margin-top:4.05pt;width:12.75pt;height:12pt;z-index:251673088;mso-position-horizontal-relative:text;mso-position-vertical-relative:text"/>
              </w:pict>
            </w:r>
            <w:r w:rsidR="006F76EB" w:rsidRPr="00834D52">
              <w:rPr>
                <w:rFonts w:ascii="Sylfaen" w:hAnsi="Sylfaen"/>
                <w:sz w:val="24"/>
                <w:szCs w:val="24"/>
              </w:rPr>
              <w:t>այո</w:t>
            </w:r>
          </w:p>
        </w:tc>
      </w:tr>
    </w:tbl>
    <w:p w14:paraId="5C2AB196" w14:textId="77777777" w:rsidR="006F76EB" w:rsidRDefault="006F76EB" w:rsidP="006F76EB">
      <w:pPr>
        <w:spacing w:after="160" w:line="348" w:lineRule="auto"/>
        <w:ind w:right="-6"/>
        <w:rPr>
          <w:rFonts w:ascii="Sylfaen" w:hAnsi="Sylfaen"/>
          <w:sz w:val="24"/>
          <w:szCs w:val="24"/>
          <w:lang w:val="en-US"/>
        </w:rPr>
      </w:pPr>
      <w:r w:rsidRPr="00834D52">
        <w:rPr>
          <w:rFonts w:ascii="Sylfaen" w:hAnsi="Sylfaen"/>
          <w:sz w:val="24"/>
          <w:szCs w:val="24"/>
        </w:rPr>
        <w:t>Եթե այո՝ նշե՛ք՝</w:t>
      </w:r>
    </w:p>
    <w:tbl>
      <w:tblPr>
        <w:tblW w:w="9724" w:type="dxa"/>
        <w:jc w:val="center"/>
        <w:tblLayout w:type="fixed"/>
        <w:tblCellMar>
          <w:left w:w="0" w:type="dxa"/>
          <w:right w:w="0" w:type="dxa"/>
        </w:tblCellMar>
        <w:tblLook w:val="01E0" w:firstRow="1" w:lastRow="1" w:firstColumn="1" w:lastColumn="1" w:noHBand="0" w:noVBand="0"/>
      </w:tblPr>
      <w:tblGrid>
        <w:gridCol w:w="6180"/>
        <w:gridCol w:w="1559"/>
        <w:gridCol w:w="945"/>
        <w:gridCol w:w="1040"/>
      </w:tblGrid>
      <w:tr w:rsidR="006F76EB" w:rsidRPr="00834D52" w14:paraId="4A520E86"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6CEBABAB"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3544" w:type="dxa"/>
            <w:gridSpan w:val="3"/>
            <w:tcBorders>
              <w:top w:val="single" w:sz="4" w:space="0" w:color="000000"/>
              <w:left w:val="single" w:sz="4" w:space="0" w:color="000000"/>
              <w:bottom w:val="single" w:sz="4" w:space="0" w:color="000000"/>
              <w:right w:val="single" w:sz="4" w:space="0" w:color="000000"/>
            </w:tcBorders>
          </w:tcPr>
          <w:p w14:paraId="2825B9B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1E0CDCA"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4904063E"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3544" w:type="dxa"/>
            <w:gridSpan w:val="3"/>
            <w:tcBorders>
              <w:top w:val="single" w:sz="4" w:space="0" w:color="000000"/>
              <w:left w:val="single" w:sz="4" w:space="0" w:color="000000"/>
              <w:bottom w:val="single" w:sz="4" w:space="0" w:color="000000"/>
              <w:right w:val="single" w:sz="4" w:space="0" w:color="000000"/>
            </w:tcBorders>
          </w:tcPr>
          <w:p w14:paraId="3A705104" w14:textId="77777777" w:rsidR="006F76EB" w:rsidRPr="00834D52" w:rsidRDefault="006F76EB" w:rsidP="002139FC">
            <w:pPr>
              <w:spacing w:after="120" w:line="240" w:lineRule="auto"/>
              <w:ind w:right="-6"/>
              <w:rPr>
                <w:rFonts w:ascii="Sylfaen" w:hAnsi="Sylfaen"/>
                <w:sz w:val="24"/>
                <w:szCs w:val="24"/>
              </w:rPr>
            </w:pPr>
          </w:p>
        </w:tc>
      </w:tr>
      <w:tr w:rsidR="006F76EB" w:rsidRPr="00834D52" w14:paraId="41FBE9FC"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28436EDD"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3544" w:type="dxa"/>
            <w:gridSpan w:val="3"/>
            <w:tcBorders>
              <w:top w:val="single" w:sz="4" w:space="0" w:color="000000"/>
              <w:left w:val="single" w:sz="4" w:space="0" w:color="000000"/>
              <w:bottom w:val="single" w:sz="4" w:space="0" w:color="000000"/>
              <w:right w:val="single" w:sz="4" w:space="0" w:color="000000"/>
            </w:tcBorders>
          </w:tcPr>
          <w:p w14:paraId="3E00DBC5" w14:textId="77777777" w:rsidR="006F76EB" w:rsidRPr="00834D52" w:rsidRDefault="006F76EB" w:rsidP="002139FC">
            <w:pPr>
              <w:spacing w:after="120" w:line="240" w:lineRule="auto"/>
              <w:ind w:right="-6"/>
              <w:rPr>
                <w:rFonts w:ascii="Sylfaen" w:hAnsi="Sylfaen"/>
                <w:sz w:val="24"/>
                <w:szCs w:val="24"/>
              </w:rPr>
            </w:pPr>
          </w:p>
        </w:tc>
      </w:tr>
      <w:tr w:rsidR="006F76EB" w:rsidRPr="00834D52" w14:paraId="0F7BA7D2" w14:textId="77777777" w:rsidTr="00754307">
        <w:trPr>
          <w:jc w:val="center"/>
        </w:trPr>
        <w:tc>
          <w:tcPr>
            <w:tcW w:w="6180" w:type="dxa"/>
            <w:tcBorders>
              <w:top w:val="single" w:sz="4" w:space="0" w:color="000000"/>
              <w:left w:val="single" w:sz="4" w:space="0" w:color="000000"/>
              <w:bottom w:val="single" w:sz="4" w:space="0" w:color="000000"/>
              <w:right w:val="single" w:sz="4" w:space="0" w:color="000000"/>
            </w:tcBorders>
          </w:tcPr>
          <w:p w14:paraId="784C4515"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544" w:type="dxa"/>
            <w:gridSpan w:val="3"/>
            <w:tcBorders>
              <w:top w:val="single" w:sz="4" w:space="0" w:color="000000"/>
              <w:left w:val="single" w:sz="4" w:space="0" w:color="000000"/>
              <w:bottom w:val="single" w:sz="4" w:space="0" w:color="000000"/>
              <w:right w:val="single" w:sz="4" w:space="0" w:color="000000"/>
            </w:tcBorders>
          </w:tcPr>
          <w:p w14:paraId="21031CFC" w14:textId="77777777" w:rsidR="006F76EB" w:rsidRPr="00834D52" w:rsidRDefault="006F76EB" w:rsidP="002139FC">
            <w:pPr>
              <w:spacing w:after="120" w:line="240" w:lineRule="auto"/>
              <w:ind w:right="-6"/>
              <w:rPr>
                <w:rFonts w:ascii="Sylfaen" w:hAnsi="Sylfaen"/>
                <w:sz w:val="24"/>
                <w:szCs w:val="24"/>
              </w:rPr>
            </w:pPr>
          </w:p>
        </w:tc>
      </w:tr>
      <w:tr w:rsidR="006F76EB" w:rsidRPr="00834D52" w14:paraId="6C2F0392" w14:textId="77777777" w:rsidTr="00754307">
        <w:trPr>
          <w:jc w:val="center"/>
        </w:trPr>
        <w:tc>
          <w:tcPr>
            <w:tcW w:w="6180" w:type="dxa"/>
            <w:tcBorders>
              <w:top w:val="single" w:sz="4" w:space="0" w:color="000000"/>
              <w:left w:val="single" w:sz="4" w:space="0" w:color="000000"/>
              <w:bottom w:val="single" w:sz="4" w:space="0" w:color="000000"/>
              <w:right w:val="single" w:sz="4" w:space="0" w:color="auto"/>
            </w:tcBorders>
          </w:tcPr>
          <w:p w14:paraId="15E1E694" w14:textId="77777777" w:rsidR="006F76EB" w:rsidRPr="00834D52" w:rsidRDefault="006F76EB" w:rsidP="002139FC">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եզրակացություն</w:t>
            </w:r>
          </w:p>
        </w:tc>
        <w:tc>
          <w:tcPr>
            <w:tcW w:w="1559" w:type="dxa"/>
            <w:tcBorders>
              <w:top w:val="single" w:sz="4" w:space="0" w:color="auto"/>
              <w:left w:val="single" w:sz="4" w:space="0" w:color="auto"/>
              <w:bottom w:val="single" w:sz="4" w:space="0" w:color="auto"/>
            </w:tcBorders>
          </w:tcPr>
          <w:p w14:paraId="16577397" w14:textId="77777777" w:rsidR="006F76EB" w:rsidRPr="00834D52" w:rsidRDefault="006F76EB" w:rsidP="002139FC">
            <w:pPr>
              <w:spacing w:after="120" w:line="240" w:lineRule="auto"/>
              <w:ind w:left="56" w:right="-6"/>
              <w:rPr>
                <w:rFonts w:ascii="Sylfaen" w:eastAsia="Times New Roman" w:hAnsi="Sylfaen" w:cs="Times New Roman"/>
                <w:sz w:val="24"/>
                <w:szCs w:val="24"/>
              </w:rPr>
            </w:pPr>
            <w:r w:rsidRPr="00834D52">
              <w:rPr>
                <w:rFonts w:ascii="Sylfaen" w:hAnsi="Sylfaen"/>
                <w:sz w:val="24"/>
                <w:szCs w:val="24"/>
              </w:rPr>
              <w:t>համապատասխանում է՝</w:t>
            </w:r>
          </w:p>
        </w:tc>
        <w:tc>
          <w:tcPr>
            <w:tcW w:w="945" w:type="dxa"/>
            <w:tcBorders>
              <w:top w:val="single" w:sz="4" w:space="0" w:color="auto"/>
              <w:bottom w:val="single" w:sz="4" w:space="0" w:color="auto"/>
            </w:tcBorders>
          </w:tcPr>
          <w:p w14:paraId="33FA27B2" w14:textId="77777777" w:rsidR="006F76EB" w:rsidRPr="00834D52" w:rsidRDefault="00FC294A" w:rsidP="002139FC">
            <w:pPr>
              <w:spacing w:after="120" w:line="240" w:lineRule="auto"/>
              <w:ind w:right="-6"/>
              <w:jc w:val="center"/>
              <w:rPr>
                <w:rFonts w:ascii="Sylfaen" w:eastAsia="Times New Roman" w:hAnsi="Sylfaen" w:cs="Times New Roman"/>
                <w:sz w:val="24"/>
                <w:szCs w:val="24"/>
              </w:rPr>
            </w:pPr>
            <w:r>
              <w:rPr>
                <w:rFonts w:ascii="Sylfaen" w:hAnsi="Sylfaen"/>
                <w:noProof/>
                <w:sz w:val="24"/>
                <w:szCs w:val="24"/>
              </w:rPr>
              <w:pict w14:anchorId="486B75E2">
                <v:rect id="_x0000_s1181" style="position:absolute;left:0;text-align:left;margin-left:3.4pt;margin-top:2.2pt;width:12.75pt;height:12pt;z-index:251674112;mso-position-horizontal-relative:text;mso-position-vertical-relative:text"/>
              </w:pict>
            </w:r>
            <w:r w:rsidR="006F76EB" w:rsidRPr="00834D52">
              <w:rPr>
                <w:rFonts w:ascii="Sylfaen" w:hAnsi="Sylfaen"/>
                <w:sz w:val="24"/>
                <w:szCs w:val="24"/>
              </w:rPr>
              <w:t>ոչ</w:t>
            </w:r>
          </w:p>
        </w:tc>
        <w:tc>
          <w:tcPr>
            <w:tcW w:w="1040" w:type="dxa"/>
            <w:tcBorders>
              <w:top w:val="single" w:sz="4" w:space="0" w:color="auto"/>
              <w:bottom w:val="single" w:sz="4" w:space="0" w:color="auto"/>
              <w:right w:val="single" w:sz="4" w:space="0" w:color="auto"/>
            </w:tcBorders>
          </w:tcPr>
          <w:p w14:paraId="1ED1A837" w14:textId="77777777" w:rsidR="006F76EB" w:rsidRPr="00834D52" w:rsidRDefault="00FC294A" w:rsidP="002139FC">
            <w:pPr>
              <w:spacing w:after="120" w:line="24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962CE0">
                <v:rect id="_x0000_s1180" style="position:absolute;left:0;text-align:left;margin-left:1.85pt;margin-top:2.2pt;width:12.75pt;height:12pt;z-index:251675136;mso-position-horizontal-relative:text;mso-position-vertical-relative:text"/>
              </w:pict>
            </w:r>
            <w:r w:rsidR="006F76EB" w:rsidRPr="00834D52">
              <w:rPr>
                <w:rFonts w:ascii="Sylfaen" w:hAnsi="Sylfaen"/>
                <w:sz w:val="24"/>
                <w:szCs w:val="24"/>
              </w:rPr>
              <w:t>այո</w:t>
            </w:r>
          </w:p>
        </w:tc>
      </w:tr>
    </w:tbl>
    <w:p w14:paraId="62A8DDB7" w14:textId="77777777" w:rsidR="00754307" w:rsidRDefault="00754307" w:rsidP="006F76EB">
      <w:pPr>
        <w:spacing w:after="160" w:line="348" w:lineRule="auto"/>
        <w:ind w:right="-6" w:firstLine="567"/>
        <w:rPr>
          <w:rFonts w:ascii="Sylfaen" w:hAnsi="Sylfaen"/>
          <w:sz w:val="24"/>
          <w:szCs w:val="24"/>
          <w:lang w:val="en-US"/>
        </w:rPr>
      </w:pPr>
    </w:p>
    <w:p w14:paraId="034EA20E"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lastRenderedPageBreak/>
        <w:t>Արդյոք գրանցման դոսյեի կազմում օգտագործվելու է ԱԴԲ-ն արտադրողի մաստեր-ֆայլը՝</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77CA81E5" w14:textId="77777777" w:rsidTr="00F71229">
        <w:trPr>
          <w:jc w:val="center"/>
        </w:trPr>
        <w:tc>
          <w:tcPr>
            <w:tcW w:w="1560" w:type="dxa"/>
          </w:tcPr>
          <w:p w14:paraId="7AABAE20" w14:textId="77777777" w:rsidR="006F76EB" w:rsidRPr="00834D52" w:rsidRDefault="00FC294A" w:rsidP="00F71229">
            <w:pPr>
              <w:spacing w:after="160" w:line="348"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65447C0B">
                <v:rect id="_x0000_s1182" style="position:absolute;left:0;text-align:left;margin-left:8.25pt;margin-top:4.05pt;width:12.75pt;height:12pt;z-index:251676160"/>
              </w:pict>
            </w:r>
            <w:r w:rsidR="006F76EB" w:rsidRPr="00834D52">
              <w:rPr>
                <w:rFonts w:ascii="Sylfaen" w:hAnsi="Sylfaen"/>
                <w:sz w:val="24"/>
                <w:szCs w:val="24"/>
              </w:rPr>
              <w:t>ոչ</w:t>
            </w:r>
          </w:p>
        </w:tc>
        <w:tc>
          <w:tcPr>
            <w:tcW w:w="1559" w:type="dxa"/>
          </w:tcPr>
          <w:p w14:paraId="274406ED" w14:textId="77777777" w:rsidR="006F76EB" w:rsidRPr="00834D52" w:rsidRDefault="00FC294A" w:rsidP="00F71229">
            <w:pPr>
              <w:spacing w:after="160" w:line="348" w:lineRule="auto"/>
              <w:ind w:left="-108" w:right="-6"/>
              <w:jc w:val="center"/>
              <w:rPr>
                <w:rFonts w:ascii="Sylfaen" w:eastAsia="Times New Roman" w:hAnsi="Sylfaen" w:cs="Times New Roman"/>
                <w:sz w:val="24"/>
                <w:szCs w:val="24"/>
                <w:lang w:val="en-US"/>
              </w:rPr>
            </w:pPr>
            <w:r>
              <w:rPr>
                <w:rFonts w:ascii="Sylfaen" w:eastAsia="Times New Roman" w:hAnsi="Sylfaen" w:cs="Times New Roman"/>
                <w:noProof/>
                <w:sz w:val="24"/>
                <w:szCs w:val="24"/>
              </w:rPr>
              <w:pict w14:anchorId="0F5796B4">
                <v:rect id="_x0000_s1183" style="position:absolute;left:0;text-align:left;margin-left:.5pt;margin-top:4.05pt;width:12.75pt;height:12pt;z-index:251677184;mso-position-horizontal-relative:text;mso-position-vertical-relative:text"/>
              </w:pict>
            </w:r>
            <w:r w:rsidR="006F76EB" w:rsidRPr="00834D52">
              <w:rPr>
                <w:rFonts w:ascii="Sylfaen" w:hAnsi="Sylfaen"/>
                <w:sz w:val="24"/>
                <w:szCs w:val="24"/>
              </w:rPr>
              <w:t>այո</w:t>
            </w:r>
          </w:p>
        </w:tc>
      </w:tr>
    </w:tbl>
    <w:p w14:paraId="2EE61931" w14:textId="77777777" w:rsidR="006F76EB" w:rsidRPr="00834D52" w:rsidRDefault="006F76EB" w:rsidP="006F76EB">
      <w:pPr>
        <w:spacing w:after="160" w:line="348" w:lineRule="auto"/>
        <w:ind w:right="-6"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68CD623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C612EF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4520" w:type="dxa"/>
            <w:tcBorders>
              <w:top w:val="single" w:sz="4" w:space="0" w:color="000000"/>
              <w:left w:val="single" w:sz="4" w:space="0" w:color="000000"/>
              <w:bottom w:val="single" w:sz="4" w:space="0" w:color="000000"/>
              <w:right w:val="single" w:sz="4" w:space="0" w:color="000000"/>
            </w:tcBorders>
          </w:tcPr>
          <w:p w14:paraId="47537C1E" w14:textId="77777777" w:rsidR="006F76EB" w:rsidRPr="00834D52" w:rsidRDefault="006F76EB" w:rsidP="00732974">
            <w:pPr>
              <w:spacing w:after="120" w:line="240" w:lineRule="auto"/>
              <w:ind w:right="-6"/>
              <w:rPr>
                <w:rFonts w:ascii="Sylfaen" w:hAnsi="Sylfaen"/>
                <w:sz w:val="24"/>
                <w:szCs w:val="24"/>
              </w:rPr>
            </w:pPr>
          </w:p>
        </w:tc>
      </w:tr>
      <w:tr w:rsidR="006F76EB" w:rsidRPr="00834D52" w14:paraId="4C883466"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A3CBCB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ԱԴԲՆ-ն արտադրողի մաստեր-ֆայլի իրավատիրոջ անվանումը</w:t>
            </w:r>
          </w:p>
        </w:tc>
        <w:tc>
          <w:tcPr>
            <w:tcW w:w="4520" w:type="dxa"/>
            <w:tcBorders>
              <w:top w:val="single" w:sz="4" w:space="0" w:color="000000"/>
              <w:left w:val="single" w:sz="4" w:space="0" w:color="000000"/>
              <w:bottom w:val="single" w:sz="4" w:space="0" w:color="000000"/>
              <w:right w:val="single" w:sz="4" w:space="0" w:color="000000"/>
            </w:tcBorders>
          </w:tcPr>
          <w:p w14:paraId="77211DF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06E36CEF"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204EFD9B"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ԱԴԲ-ն արտադրողի անվանումը, եթե</w:t>
            </w:r>
          </w:p>
          <w:p w14:paraId="1163E0E7"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տարբերվում է ԱԴԲ-ն արտադրողի մաստեր-ֆայլի իրավատիրոջից</w:t>
            </w:r>
          </w:p>
        </w:tc>
        <w:tc>
          <w:tcPr>
            <w:tcW w:w="4520" w:type="dxa"/>
            <w:tcBorders>
              <w:top w:val="single" w:sz="4" w:space="0" w:color="000000"/>
              <w:left w:val="single" w:sz="4" w:space="0" w:color="000000"/>
              <w:bottom w:val="single" w:sz="4" w:space="0" w:color="000000"/>
              <w:right w:val="single" w:sz="4" w:space="0" w:color="000000"/>
            </w:tcBorders>
          </w:tcPr>
          <w:p w14:paraId="3FB7BD3C"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C10B174"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5DD6C0E6" w14:textId="77777777" w:rsidR="006F76EB" w:rsidRPr="00834D52" w:rsidRDefault="006F76EB" w:rsidP="00732974">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4520" w:type="dxa"/>
            <w:tcBorders>
              <w:top w:val="single" w:sz="4" w:space="0" w:color="000000"/>
              <w:left w:val="single" w:sz="4" w:space="0" w:color="000000"/>
              <w:bottom w:val="single" w:sz="4" w:space="0" w:color="000000"/>
              <w:right w:val="single" w:sz="4" w:space="0" w:color="000000"/>
            </w:tcBorders>
          </w:tcPr>
          <w:p w14:paraId="12B31A9D" w14:textId="77777777" w:rsidR="006F76EB" w:rsidRPr="00834D52" w:rsidRDefault="006F76EB" w:rsidP="00732974">
            <w:pPr>
              <w:spacing w:after="120" w:line="240" w:lineRule="auto"/>
              <w:ind w:right="-6"/>
              <w:rPr>
                <w:rFonts w:ascii="Sylfaen" w:hAnsi="Sylfaen"/>
                <w:sz w:val="24"/>
                <w:szCs w:val="24"/>
              </w:rPr>
            </w:pPr>
          </w:p>
        </w:tc>
      </w:tr>
    </w:tbl>
    <w:p w14:paraId="2774A6BA" w14:textId="210606AB"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տրվել է պատվաստանյութային հակածնի մաստեր-ֆայլի սերտիֆիկատ (այսուհետ՝ ՊՀՄՖ), որն օգտագործվում է գրանցման դոսյեում,</w:t>
      </w:r>
      <w:r w:rsidRPr="00834D52">
        <w:rPr>
          <w:rFonts w:ascii="Sylfaen" w:hAnsi="Sylfaen"/>
          <w:sz w:val="24"/>
          <w:szCs w:val="24"/>
        </w:rPr>
        <w:br/>
        <w:t xml:space="preserve">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tblGrid>
      <w:tr w:rsidR="006F76EB" w:rsidRPr="00834D52" w14:paraId="6EB16100" w14:textId="77777777" w:rsidTr="00F71229">
        <w:trPr>
          <w:jc w:val="center"/>
        </w:trPr>
        <w:tc>
          <w:tcPr>
            <w:tcW w:w="1560" w:type="dxa"/>
          </w:tcPr>
          <w:p w14:paraId="412D0383" w14:textId="77777777" w:rsidR="006F76EB" w:rsidRPr="00834D52" w:rsidRDefault="00FC294A" w:rsidP="00F71229">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2E3D2FAA">
                <v:rect id="_x0000_s1184" style="position:absolute;left:0;text-align:left;margin-left:8.25pt;margin-top:4.05pt;width:12.75pt;height:12pt;z-index:251678208"/>
              </w:pict>
            </w:r>
            <w:r w:rsidR="006F76EB" w:rsidRPr="00834D52">
              <w:rPr>
                <w:rFonts w:ascii="Sylfaen" w:hAnsi="Sylfaen"/>
                <w:sz w:val="24"/>
                <w:szCs w:val="24"/>
              </w:rPr>
              <w:t>ոչ</w:t>
            </w:r>
          </w:p>
        </w:tc>
        <w:tc>
          <w:tcPr>
            <w:tcW w:w="1559" w:type="dxa"/>
          </w:tcPr>
          <w:p w14:paraId="76EC9F8A"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5A500A">
                <v:rect id="_x0000_s1185" style="position:absolute;left:0;text-align:left;margin-left:.5pt;margin-top:4.05pt;width:12.75pt;height:12pt;z-index:251679232;mso-position-horizontal-relative:text;mso-position-vertical-relative:text"/>
              </w:pict>
            </w:r>
            <w:r w:rsidR="006F76EB" w:rsidRPr="00834D52">
              <w:rPr>
                <w:rFonts w:ascii="Sylfaen" w:hAnsi="Sylfaen"/>
                <w:sz w:val="24"/>
                <w:szCs w:val="24"/>
              </w:rPr>
              <w:t>այո</w:t>
            </w:r>
          </w:p>
        </w:tc>
      </w:tr>
    </w:tbl>
    <w:p w14:paraId="25E31E2F"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jc w:val="center"/>
        <w:tblLayout w:type="fixed"/>
        <w:tblCellMar>
          <w:left w:w="0" w:type="dxa"/>
          <w:right w:w="0" w:type="dxa"/>
        </w:tblCellMar>
        <w:tblLook w:val="01E0" w:firstRow="1" w:lastRow="1" w:firstColumn="1" w:lastColumn="1" w:noHBand="0" w:noVBand="0"/>
      </w:tblPr>
      <w:tblGrid>
        <w:gridCol w:w="5090"/>
        <w:gridCol w:w="4520"/>
      </w:tblGrid>
      <w:tr w:rsidR="006F76EB" w:rsidRPr="00834D52" w14:paraId="1626C390"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509BB2E"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հակածնի անվանումը</w:t>
            </w:r>
          </w:p>
        </w:tc>
        <w:tc>
          <w:tcPr>
            <w:tcW w:w="4520" w:type="dxa"/>
            <w:tcBorders>
              <w:top w:val="single" w:sz="4" w:space="0" w:color="000000"/>
              <w:left w:val="single" w:sz="4" w:space="0" w:color="000000"/>
              <w:bottom w:val="single" w:sz="4" w:space="0" w:color="000000"/>
              <w:right w:val="single" w:sz="4" w:space="0" w:color="000000"/>
            </w:tcBorders>
          </w:tcPr>
          <w:p w14:paraId="315E9FD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7999C548"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68293796"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4520" w:type="dxa"/>
            <w:tcBorders>
              <w:top w:val="single" w:sz="4" w:space="0" w:color="000000"/>
              <w:left w:val="single" w:sz="4" w:space="0" w:color="000000"/>
              <w:bottom w:val="single" w:sz="4" w:space="0" w:color="000000"/>
              <w:right w:val="single" w:sz="4" w:space="0" w:color="000000"/>
            </w:tcBorders>
          </w:tcPr>
          <w:p w14:paraId="10467240"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1912FEA"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1B3258AA" w14:textId="06A0ED2F" w:rsidR="006F76EB" w:rsidRPr="00834D52" w:rsidRDefault="0056496B" w:rsidP="00732974">
            <w:pPr>
              <w:spacing w:after="120" w:line="240" w:lineRule="auto"/>
              <w:ind w:left="128"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 xml:space="preserve">ի (սերտիֆիկատի) համարը </w:t>
            </w:r>
          </w:p>
        </w:tc>
        <w:tc>
          <w:tcPr>
            <w:tcW w:w="4520" w:type="dxa"/>
            <w:tcBorders>
              <w:top w:val="single" w:sz="4" w:space="0" w:color="000000"/>
              <w:left w:val="single" w:sz="4" w:space="0" w:color="000000"/>
              <w:bottom w:val="single" w:sz="4" w:space="0" w:color="000000"/>
              <w:right w:val="single" w:sz="4" w:space="0" w:color="000000"/>
            </w:tcBorders>
          </w:tcPr>
          <w:p w14:paraId="75802ED2" w14:textId="77777777" w:rsidR="006F76EB" w:rsidRPr="00834D52" w:rsidRDefault="006F76EB" w:rsidP="00732974">
            <w:pPr>
              <w:spacing w:after="120" w:line="240" w:lineRule="auto"/>
              <w:ind w:right="-6"/>
              <w:rPr>
                <w:rFonts w:ascii="Sylfaen" w:hAnsi="Sylfaen"/>
                <w:sz w:val="24"/>
                <w:szCs w:val="24"/>
              </w:rPr>
            </w:pPr>
          </w:p>
        </w:tc>
      </w:tr>
      <w:tr w:rsidR="006F76EB" w:rsidRPr="00834D52" w14:paraId="2F665BB2"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49E80723"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4520" w:type="dxa"/>
            <w:tcBorders>
              <w:top w:val="single" w:sz="4" w:space="0" w:color="000000"/>
              <w:left w:val="single" w:sz="4" w:space="0" w:color="000000"/>
              <w:bottom w:val="single" w:sz="4" w:space="0" w:color="000000"/>
              <w:right w:val="single" w:sz="4" w:space="0" w:color="000000"/>
            </w:tcBorders>
          </w:tcPr>
          <w:p w14:paraId="6566AF77" w14:textId="77777777" w:rsidR="006F76EB" w:rsidRPr="00834D52" w:rsidRDefault="006F76EB" w:rsidP="00732974">
            <w:pPr>
              <w:spacing w:after="120" w:line="240" w:lineRule="auto"/>
              <w:ind w:right="-6"/>
              <w:rPr>
                <w:rFonts w:ascii="Sylfaen" w:hAnsi="Sylfaen"/>
                <w:sz w:val="24"/>
                <w:szCs w:val="24"/>
              </w:rPr>
            </w:pPr>
          </w:p>
        </w:tc>
      </w:tr>
      <w:tr w:rsidR="006F76EB" w:rsidRPr="00834D52" w14:paraId="5B93BB4C" w14:textId="77777777" w:rsidTr="00F71229">
        <w:trPr>
          <w:jc w:val="center"/>
        </w:trPr>
        <w:tc>
          <w:tcPr>
            <w:tcW w:w="5090" w:type="dxa"/>
            <w:tcBorders>
              <w:top w:val="single" w:sz="4" w:space="0" w:color="000000"/>
              <w:left w:val="single" w:sz="4" w:space="0" w:color="000000"/>
              <w:bottom w:val="single" w:sz="4" w:space="0" w:color="000000"/>
              <w:right w:val="single" w:sz="4" w:space="0" w:color="000000"/>
            </w:tcBorders>
          </w:tcPr>
          <w:p w14:paraId="04D891FC" w14:textId="77777777" w:rsidR="006F76EB" w:rsidRPr="00834D52" w:rsidRDefault="006F76EB" w:rsidP="00732974">
            <w:pPr>
              <w:spacing w:after="120" w:line="240" w:lineRule="auto"/>
              <w:ind w:left="128"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4520" w:type="dxa"/>
            <w:tcBorders>
              <w:top w:val="single" w:sz="4" w:space="0" w:color="000000"/>
              <w:left w:val="single" w:sz="4" w:space="0" w:color="000000"/>
              <w:bottom w:val="single" w:sz="4" w:space="0" w:color="000000"/>
              <w:right w:val="single" w:sz="4" w:space="0" w:color="000000"/>
            </w:tcBorders>
          </w:tcPr>
          <w:p w14:paraId="03652D9E" w14:textId="77777777" w:rsidR="006F76EB" w:rsidRPr="00834D52" w:rsidRDefault="006F76EB" w:rsidP="00732974">
            <w:pPr>
              <w:spacing w:after="120" w:line="240" w:lineRule="auto"/>
              <w:ind w:right="-6"/>
              <w:rPr>
                <w:rFonts w:ascii="Sylfaen" w:hAnsi="Sylfaen"/>
                <w:sz w:val="24"/>
                <w:szCs w:val="24"/>
              </w:rPr>
            </w:pPr>
          </w:p>
        </w:tc>
      </w:tr>
    </w:tbl>
    <w:p w14:paraId="4D853597" w14:textId="77777777" w:rsidR="006F76EB" w:rsidRPr="00834D52" w:rsidRDefault="006F76EB" w:rsidP="00732974">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0A65B9A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10233" w:type="dxa"/>
        <w:jc w:val="center"/>
        <w:tblLayout w:type="fixed"/>
        <w:tblCellMar>
          <w:left w:w="0" w:type="dxa"/>
          <w:right w:w="0" w:type="dxa"/>
        </w:tblCellMar>
        <w:tblLook w:val="01E0" w:firstRow="1" w:lastRow="1" w:firstColumn="1" w:lastColumn="1" w:noHBand="0" w:noVBand="0"/>
      </w:tblPr>
      <w:tblGrid>
        <w:gridCol w:w="5420"/>
        <w:gridCol w:w="4813"/>
      </w:tblGrid>
      <w:tr w:rsidR="006F76EB" w:rsidRPr="00834D52" w14:paraId="377680C1" w14:textId="77777777" w:rsidTr="009B121E">
        <w:trPr>
          <w:trHeight w:val="455"/>
          <w:jc w:val="center"/>
        </w:trPr>
        <w:tc>
          <w:tcPr>
            <w:tcW w:w="5420" w:type="dxa"/>
            <w:tcBorders>
              <w:top w:val="single" w:sz="4" w:space="0" w:color="000000"/>
              <w:left w:val="single" w:sz="4" w:space="0" w:color="000000"/>
              <w:bottom w:val="single" w:sz="4" w:space="0" w:color="000000"/>
              <w:right w:val="single" w:sz="4" w:space="0" w:color="000000"/>
            </w:tcBorders>
          </w:tcPr>
          <w:p w14:paraId="7B90D0D3"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DA82A95"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D6BC2C1" w14:textId="77777777" w:rsidTr="009B121E">
        <w:trPr>
          <w:trHeight w:val="438"/>
          <w:jc w:val="center"/>
        </w:trPr>
        <w:tc>
          <w:tcPr>
            <w:tcW w:w="5420" w:type="dxa"/>
            <w:tcBorders>
              <w:top w:val="single" w:sz="4" w:space="0" w:color="000000"/>
              <w:left w:val="single" w:sz="4" w:space="0" w:color="000000"/>
              <w:bottom w:val="single" w:sz="4" w:space="0" w:color="000000"/>
              <w:right w:val="single" w:sz="4" w:space="0" w:color="000000"/>
            </w:tcBorders>
          </w:tcPr>
          <w:p w14:paraId="583631DF"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4813" w:type="dxa"/>
            <w:tcBorders>
              <w:top w:val="single" w:sz="4" w:space="0" w:color="000000"/>
              <w:left w:val="single" w:sz="4" w:space="0" w:color="000000"/>
              <w:bottom w:val="single" w:sz="4" w:space="0" w:color="000000"/>
              <w:right w:val="single" w:sz="4" w:space="0" w:color="000000"/>
            </w:tcBorders>
          </w:tcPr>
          <w:p w14:paraId="322415F9" w14:textId="77777777" w:rsidR="006F76EB" w:rsidRPr="00834D52" w:rsidRDefault="006F76EB" w:rsidP="00520390">
            <w:pPr>
              <w:spacing w:after="120" w:line="240" w:lineRule="auto"/>
              <w:ind w:right="-6"/>
              <w:rPr>
                <w:rFonts w:ascii="Sylfaen" w:hAnsi="Sylfaen"/>
                <w:sz w:val="24"/>
                <w:szCs w:val="24"/>
              </w:rPr>
            </w:pPr>
          </w:p>
        </w:tc>
      </w:tr>
      <w:tr w:rsidR="006F76EB" w:rsidRPr="00834D52" w14:paraId="17C3DCF9" w14:textId="77777777" w:rsidTr="009B121E">
        <w:trPr>
          <w:trHeight w:val="759"/>
          <w:jc w:val="center"/>
        </w:trPr>
        <w:tc>
          <w:tcPr>
            <w:tcW w:w="5420" w:type="dxa"/>
            <w:tcBorders>
              <w:top w:val="single" w:sz="4" w:space="0" w:color="000000"/>
              <w:left w:val="single" w:sz="4" w:space="0" w:color="000000"/>
              <w:bottom w:val="single" w:sz="4" w:space="0" w:color="000000"/>
              <w:right w:val="single" w:sz="4" w:space="0" w:color="000000"/>
            </w:tcBorders>
          </w:tcPr>
          <w:p w14:paraId="1A1B4307"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EudraCT-ի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22E72003"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FC61110"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5000F3A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ClinicalTrials.gov-ի համարը</w:t>
            </w:r>
            <w:r w:rsidRPr="00834D52">
              <w:rPr>
                <w:rFonts w:ascii="Sylfaen" w:hAnsi="Sylfaen"/>
                <w:sz w:val="24"/>
                <w:szCs w:val="24"/>
              </w:rPr>
              <w:br/>
              <w:t>(առկայության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4F912F07" w14:textId="77777777" w:rsidR="006F76EB" w:rsidRPr="00834D52" w:rsidRDefault="006F76EB" w:rsidP="00520390">
            <w:pPr>
              <w:spacing w:after="120" w:line="240" w:lineRule="auto"/>
              <w:ind w:right="-6"/>
              <w:rPr>
                <w:rFonts w:ascii="Sylfaen" w:hAnsi="Sylfaen"/>
                <w:sz w:val="24"/>
                <w:szCs w:val="24"/>
              </w:rPr>
            </w:pPr>
          </w:p>
        </w:tc>
      </w:tr>
      <w:tr w:rsidR="006F76EB" w:rsidRPr="00834D52" w14:paraId="05D8AA98" w14:textId="77777777" w:rsidTr="009B121E">
        <w:trPr>
          <w:trHeight w:val="793"/>
          <w:jc w:val="center"/>
        </w:trPr>
        <w:tc>
          <w:tcPr>
            <w:tcW w:w="5420" w:type="dxa"/>
            <w:tcBorders>
              <w:top w:val="single" w:sz="4" w:space="0" w:color="000000"/>
              <w:left w:val="single" w:sz="4" w:space="0" w:color="000000"/>
              <w:bottom w:val="single" w:sz="4" w:space="0" w:color="000000"/>
              <w:right w:val="single" w:sz="4" w:space="0" w:color="000000"/>
            </w:tcBorders>
          </w:tcPr>
          <w:p w14:paraId="3C894D68"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4813" w:type="dxa"/>
            <w:tcBorders>
              <w:top w:val="single" w:sz="4" w:space="0" w:color="000000"/>
              <w:left w:val="single" w:sz="4" w:space="0" w:color="000000"/>
              <w:bottom w:val="single" w:sz="4" w:space="0" w:color="000000"/>
              <w:right w:val="single" w:sz="4" w:space="0" w:color="000000"/>
            </w:tcBorders>
          </w:tcPr>
          <w:p w14:paraId="7A6B6A44"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64F33A0" w14:textId="77777777" w:rsidTr="009B121E">
        <w:trPr>
          <w:trHeight w:val="818"/>
          <w:jc w:val="center"/>
        </w:trPr>
        <w:tc>
          <w:tcPr>
            <w:tcW w:w="5420" w:type="dxa"/>
            <w:tcBorders>
              <w:top w:val="single" w:sz="4" w:space="0" w:color="000000"/>
              <w:left w:val="single" w:sz="4" w:space="0" w:color="000000"/>
              <w:bottom w:val="single" w:sz="4" w:space="0" w:color="000000"/>
              <w:right w:val="single" w:sz="4" w:space="0" w:color="000000"/>
            </w:tcBorders>
          </w:tcPr>
          <w:p w14:paraId="64152E4E"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հասցեն</w:t>
            </w:r>
          </w:p>
        </w:tc>
        <w:tc>
          <w:tcPr>
            <w:tcW w:w="4813" w:type="dxa"/>
            <w:tcBorders>
              <w:top w:val="single" w:sz="4" w:space="0" w:color="000000"/>
              <w:left w:val="single" w:sz="4" w:space="0" w:color="000000"/>
              <w:bottom w:val="single" w:sz="4" w:space="0" w:color="000000"/>
              <w:right w:val="single" w:sz="4" w:space="0" w:color="000000"/>
            </w:tcBorders>
          </w:tcPr>
          <w:p w14:paraId="1B9E632B" w14:textId="77777777" w:rsidR="006F76EB" w:rsidRPr="00834D52" w:rsidRDefault="006F76EB" w:rsidP="00520390">
            <w:pPr>
              <w:spacing w:after="120" w:line="240" w:lineRule="auto"/>
              <w:ind w:right="-6"/>
              <w:rPr>
                <w:rFonts w:ascii="Sylfaen" w:hAnsi="Sylfaen"/>
                <w:sz w:val="24"/>
                <w:szCs w:val="24"/>
              </w:rPr>
            </w:pPr>
          </w:p>
        </w:tc>
      </w:tr>
      <w:tr w:rsidR="006F76EB" w:rsidRPr="00834D52" w14:paraId="43E1AFC2" w14:textId="77777777" w:rsidTr="009B121E">
        <w:trPr>
          <w:trHeight w:val="828"/>
          <w:jc w:val="center"/>
        </w:trPr>
        <w:tc>
          <w:tcPr>
            <w:tcW w:w="5420" w:type="dxa"/>
            <w:tcBorders>
              <w:top w:val="single" w:sz="4" w:space="0" w:color="000000"/>
              <w:left w:val="single" w:sz="4" w:space="0" w:color="000000"/>
              <w:bottom w:val="single" w:sz="4" w:space="0" w:color="000000"/>
              <w:right w:val="single" w:sz="4" w:space="0" w:color="000000"/>
            </w:tcBorders>
          </w:tcPr>
          <w:p w14:paraId="477C5425"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813" w:type="dxa"/>
            <w:tcBorders>
              <w:top w:val="single" w:sz="4" w:space="0" w:color="000000"/>
              <w:left w:val="single" w:sz="4" w:space="0" w:color="000000"/>
              <w:bottom w:val="single" w:sz="4" w:space="0" w:color="000000"/>
              <w:right w:val="single" w:sz="4" w:space="0" w:color="000000"/>
            </w:tcBorders>
          </w:tcPr>
          <w:p w14:paraId="07B4F32D" w14:textId="77777777" w:rsidR="006F76EB" w:rsidRPr="00834D52" w:rsidRDefault="006F76EB" w:rsidP="00520390">
            <w:pPr>
              <w:spacing w:after="120" w:line="240" w:lineRule="auto"/>
              <w:ind w:right="-6"/>
              <w:rPr>
                <w:rFonts w:ascii="Sylfaen" w:hAnsi="Sylfaen"/>
                <w:sz w:val="24"/>
                <w:szCs w:val="24"/>
              </w:rPr>
            </w:pPr>
          </w:p>
        </w:tc>
      </w:tr>
      <w:tr w:rsidR="006F76EB" w:rsidRPr="00834D52" w14:paraId="2CD1C730" w14:textId="77777777" w:rsidTr="009B121E">
        <w:trPr>
          <w:trHeight w:val="786"/>
          <w:jc w:val="center"/>
        </w:trPr>
        <w:tc>
          <w:tcPr>
            <w:tcW w:w="5420" w:type="dxa"/>
            <w:tcBorders>
              <w:top w:val="single" w:sz="4" w:space="0" w:color="000000"/>
              <w:left w:val="single" w:sz="4" w:space="0" w:color="000000"/>
              <w:bottom w:val="single" w:sz="4" w:space="0" w:color="000000"/>
              <w:right w:val="single" w:sz="4" w:space="0" w:color="000000"/>
            </w:tcBorders>
          </w:tcPr>
          <w:p w14:paraId="442077F9" w14:textId="77777777" w:rsidR="006F76EB" w:rsidRPr="00834D52" w:rsidRDefault="006F76EB" w:rsidP="00520390">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813" w:type="dxa"/>
            <w:tcBorders>
              <w:top w:val="single" w:sz="4" w:space="0" w:color="000000"/>
              <w:left w:val="single" w:sz="4" w:space="0" w:color="000000"/>
              <w:bottom w:val="single" w:sz="4" w:space="0" w:color="000000"/>
              <w:right w:val="single" w:sz="4" w:space="0" w:color="000000"/>
            </w:tcBorders>
          </w:tcPr>
          <w:p w14:paraId="2CA764C6" w14:textId="77777777" w:rsidR="006F76EB" w:rsidRPr="00834D52" w:rsidRDefault="006F76EB" w:rsidP="00520390">
            <w:pPr>
              <w:spacing w:after="120" w:line="240" w:lineRule="auto"/>
              <w:ind w:right="-6"/>
              <w:rPr>
                <w:rFonts w:ascii="Sylfaen" w:hAnsi="Sylfaen"/>
                <w:sz w:val="24"/>
                <w:szCs w:val="24"/>
              </w:rPr>
            </w:pPr>
          </w:p>
        </w:tc>
      </w:tr>
    </w:tbl>
    <w:p w14:paraId="06D34C51" w14:textId="77777777" w:rsidR="006F76EB" w:rsidRPr="00834D52" w:rsidRDefault="006F76EB" w:rsidP="0052039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732364AA" w14:textId="77777777" w:rsidR="006F76EB" w:rsidRPr="00834D52" w:rsidRDefault="006F76EB" w:rsidP="0052039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2FD9B22A" w14:textId="77777777" w:rsidR="00136617" w:rsidRDefault="006F76EB" w:rsidP="006F76EB">
      <w:pPr>
        <w:tabs>
          <w:tab w:val="left" w:pos="1418"/>
        </w:tabs>
        <w:spacing w:after="160" w:line="360" w:lineRule="auto"/>
        <w:ind w:right="-8" w:firstLine="567"/>
        <w:jc w:val="both"/>
        <w:rPr>
          <w:rFonts w:ascii="Sylfaen" w:hAnsi="Sylfae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4D94B805" w14:textId="77777777" w:rsidR="00136617" w:rsidRDefault="00136617">
      <w:pPr>
        <w:widowControl/>
        <w:rPr>
          <w:rFonts w:ascii="Sylfaen" w:hAnsi="Sylfaen"/>
          <w:sz w:val="24"/>
          <w:szCs w:val="24"/>
        </w:rPr>
      </w:pPr>
      <w:r>
        <w:rPr>
          <w:rFonts w:ascii="Sylfaen" w:hAnsi="Sylfaen"/>
          <w:sz w:val="24"/>
          <w:szCs w:val="24"/>
        </w:rPr>
        <w:br w:type="page"/>
      </w:r>
    </w:p>
    <w:p w14:paraId="5D646B96" w14:textId="77777777" w:rsidR="00520390"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lastRenderedPageBreak/>
        <w:t>ԱԴԲ-ն թվարկե՛ք օժանդակ նյութերից առանձին՝</w:t>
      </w:r>
    </w:p>
    <w:tbl>
      <w:tblPr>
        <w:tblW w:w="10395" w:type="dxa"/>
        <w:jc w:val="center"/>
        <w:tblLayout w:type="fixed"/>
        <w:tblCellMar>
          <w:left w:w="0" w:type="dxa"/>
          <w:right w:w="0" w:type="dxa"/>
        </w:tblCellMar>
        <w:tblLook w:val="01E0" w:firstRow="1" w:lastRow="1" w:firstColumn="1" w:lastColumn="1" w:noHBand="0" w:noVBand="0"/>
      </w:tblPr>
      <w:tblGrid>
        <w:gridCol w:w="706"/>
        <w:gridCol w:w="2973"/>
        <w:gridCol w:w="3419"/>
        <w:gridCol w:w="1340"/>
        <w:gridCol w:w="1957"/>
      </w:tblGrid>
      <w:tr w:rsidR="006F76EB" w:rsidRPr="00834D52" w14:paraId="65244D70" w14:textId="77777777" w:rsidTr="003A6399">
        <w:trPr>
          <w:trHeight w:val="1969"/>
          <w:jc w:val="center"/>
        </w:trPr>
        <w:tc>
          <w:tcPr>
            <w:tcW w:w="706" w:type="dxa"/>
            <w:tcBorders>
              <w:top w:val="single" w:sz="4" w:space="0" w:color="000000"/>
              <w:left w:val="single" w:sz="4" w:space="0" w:color="000000"/>
              <w:bottom w:val="single" w:sz="4" w:space="0" w:color="000000"/>
              <w:right w:val="single" w:sz="4" w:space="0" w:color="000000"/>
            </w:tcBorders>
          </w:tcPr>
          <w:p w14:paraId="7080362D"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1AB50A4"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ԱԴԲ-ի անվանումը</w:t>
            </w:r>
            <w:r w:rsidRPr="00834D52">
              <w:rPr>
                <w:rStyle w:val="FootnoteReference"/>
                <w:rFonts w:ascii="Sylfaen" w:eastAsia="Times New Roman" w:hAnsi="Sylfaen" w:cs="Times New Roman"/>
                <w:sz w:val="24"/>
                <w:szCs w:val="24"/>
              </w:rPr>
              <w:sym w:font="Symbol" w:char="F02A"/>
            </w:r>
          </w:p>
        </w:tc>
        <w:tc>
          <w:tcPr>
            <w:tcW w:w="3419" w:type="dxa"/>
            <w:tcBorders>
              <w:top w:val="single" w:sz="4" w:space="0" w:color="000000"/>
              <w:left w:val="single" w:sz="4" w:space="0" w:color="000000"/>
              <w:bottom w:val="single" w:sz="4" w:space="0" w:color="000000"/>
              <w:right w:val="single" w:sz="4" w:space="0" w:color="000000"/>
            </w:tcBorders>
          </w:tcPr>
          <w:p w14:paraId="2441537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footnoteReference w:customMarkFollows="1" w:id="11"/>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792B8BF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16A5791F"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r w:rsidR="006F76EB" w:rsidRPr="00834D52" w14:paraId="1E662F17" w14:textId="77777777" w:rsidTr="003A6399">
        <w:trPr>
          <w:trHeight w:val="1993"/>
          <w:jc w:val="center"/>
        </w:trPr>
        <w:tc>
          <w:tcPr>
            <w:tcW w:w="706" w:type="dxa"/>
            <w:tcBorders>
              <w:top w:val="single" w:sz="4" w:space="0" w:color="000000"/>
              <w:left w:val="single" w:sz="4" w:space="0" w:color="000000"/>
              <w:bottom w:val="single" w:sz="4" w:space="0" w:color="000000"/>
              <w:right w:val="single" w:sz="4" w:space="0" w:color="000000"/>
            </w:tcBorders>
          </w:tcPr>
          <w:p w14:paraId="3CBB9DD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973" w:type="dxa"/>
            <w:tcBorders>
              <w:top w:val="single" w:sz="4" w:space="0" w:color="000000"/>
              <w:left w:val="single" w:sz="4" w:space="0" w:color="000000"/>
              <w:bottom w:val="single" w:sz="4" w:space="0" w:color="000000"/>
              <w:right w:val="single" w:sz="4" w:space="0" w:color="000000"/>
            </w:tcBorders>
          </w:tcPr>
          <w:p w14:paraId="04A377B6"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19" w:type="dxa"/>
            <w:tcBorders>
              <w:top w:val="single" w:sz="4" w:space="0" w:color="000000"/>
              <w:left w:val="single" w:sz="4" w:space="0" w:color="000000"/>
              <w:bottom w:val="single" w:sz="4" w:space="0" w:color="000000"/>
              <w:right w:val="single" w:sz="4" w:space="0" w:color="000000"/>
            </w:tcBorders>
          </w:tcPr>
          <w:p w14:paraId="0E34277C"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Քանակությունը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340" w:type="dxa"/>
            <w:tcBorders>
              <w:top w:val="single" w:sz="4" w:space="0" w:color="000000"/>
              <w:left w:val="single" w:sz="4" w:space="0" w:color="000000"/>
              <w:bottom w:val="single" w:sz="4" w:space="0" w:color="000000"/>
              <w:right w:val="single" w:sz="4" w:space="0" w:color="000000"/>
            </w:tcBorders>
          </w:tcPr>
          <w:p w14:paraId="01DB7387"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957" w:type="dxa"/>
            <w:tcBorders>
              <w:top w:val="single" w:sz="4" w:space="0" w:color="000000"/>
              <w:left w:val="single" w:sz="4" w:space="0" w:color="000000"/>
              <w:bottom w:val="single" w:sz="4" w:space="0" w:color="000000"/>
              <w:right w:val="single" w:sz="4" w:space="0" w:color="000000"/>
            </w:tcBorders>
          </w:tcPr>
          <w:p w14:paraId="5AEBAD5A" w14:textId="77777777" w:rsidR="006F76EB" w:rsidRPr="00834D52" w:rsidRDefault="006F76EB" w:rsidP="0052039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5129443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Ավելցուկների մասին տեղեկությունները չի թույլատրվում նշել բաղադրության մասին սյունակներում, դրանք պետք է շարադրել ստոր</w:t>
      </w:r>
      <w:r w:rsidR="00C54D75">
        <w:rPr>
          <w:rFonts w:ascii="Sylfaen" w:hAnsi="Sylfaen"/>
          <w:sz w:val="24"/>
          <w:szCs w:val="24"/>
        </w:rPr>
        <w:t>և</w:t>
      </w:r>
      <w:r w:rsidRPr="00834D52">
        <w:rPr>
          <w:rFonts w:ascii="Sylfaen" w:hAnsi="Sylfaen"/>
          <w:sz w:val="24"/>
          <w:szCs w:val="24"/>
        </w:rPr>
        <w:t>՝</w:t>
      </w:r>
    </w:p>
    <w:tbl>
      <w:tblPr>
        <w:tblW w:w="10325" w:type="dxa"/>
        <w:jc w:val="center"/>
        <w:tblLayout w:type="fixed"/>
        <w:tblCellMar>
          <w:left w:w="0" w:type="dxa"/>
          <w:right w:w="0" w:type="dxa"/>
        </w:tblCellMar>
        <w:tblLook w:val="01E0" w:firstRow="1" w:lastRow="1" w:firstColumn="1" w:lastColumn="1" w:noHBand="0" w:noVBand="0"/>
      </w:tblPr>
      <w:tblGrid>
        <w:gridCol w:w="5718"/>
        <w:gridCol w:w="4607"/>
      </w:tblGrid>
      <w:tr w:rsidR="006F76EB" w:rsidRPr="00834D52" w14:paraId="69405E94" w14:textId="77777777" w:rsidTr="004147B3">
        <w:trPr>
          <w:trHeight w:val="918"/>
          <w:jc w:val="center"/>
        </w:trPr>
        <w:tc>
          <w:tcPr>
            <w:tcW w:w="5718" w:type="dxa"/>
            <w:tcBorders>
              <w:top w:val="single" w:sz="4" w:space="0" w:color="000000"/>
              <w:left w:val="single" w:sz="4" w:space="0" w:color="000000"/>
              <w:bottom w:val="single" w:sz="4" w:space="0" w:color="000000"/>
              <w:right w:val="single" w:sz="4" w:space="0" w:color="000000"/>
            </w:tcBorders>
          </w:tcPr>
          <w:p w14:paraId="372B0165"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ակտիվ դեղաբանական բաղադրամասը</w:t>
            </w:r>
          </w:p>
        </w:tc>
        <w:tc>
          <w:tcPr>
            <w:tcW w:w="4607" w:type="dxa"/>
            <w:tcBorders>
              <w:top w:val="single" w:sz="4" w:space="0" w:color="000000"/>
              <w:left w:val="single" w:sz="4" w:space="0" w:color="000000"/>
              <w:bottom w:val="single" w:sz="4" w:space="0" w:color="000000"/>
              <w:right w:val="single" w:sz="4" w:space="0" w:color="000000"/>
            </w:tcBorders>
          </w:tcPr>
          <w:p w14:paraId="07E14C7F" w14:textId="77777777" w:rsidR="006F76EB" w:rsidRPr="00834D52" w:rsidRDefault="006F76EB" w:rsidP="00C623FA">
            <w:pPr>
              <w:spacing w:after="120" w:line="240" w:lineRule="auto"/>
              <w:ind w:right="-6"/>
              <w:rPr>
                <w:rFonts w:ascii="Sylfaen" w:hAnsi="Sylfaen"/>
                <w:sz w:val="24"/>
                <w:szCs w:val="24"/>
              </w:rPr>
            </w:pPr>
          </w:p>
        </w:tc>
      </w:tr>
      <w:tr w:rsidR="006F76EB" w:rsidRPr="00834D52" w14:paraId="6E01BC85" w14:textId="77777777" w:rsidTr="004147B3">
        <w:trPr>
          <w:trHeight w:val="954"/>
          <w:jc w:val="center"/>
        </w:trPr>
        <w:tc>
          <w:tcPr>
            <w:tcW w:w="5718" w:type="dxa"/>
            <w:tcBorders>
              <w:top w:val="single" w:sz="4" w:space="0" w:color="000000"/>
              <w:left w:val="single" w:sz="4" w:space="0" w:color="000000"/>
              <w:bottom w:val="single" w:sz="4" w:space="0" w:color="000000"/>
              <w:right w:val="single" w:sz="4" w:space="0" w:color="000000"/>
            </w:tcBorders>
          </w:tcPr>
          <w:p w14:paraId="657947AD" w14:textId="77777777" w:rsidR="006F76EB" w:rsidRPr="00834D52" w:rsidRDefault="006F76EB" w:rsidP="00C623FA">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օժանդակ նյութ(եր)ը</w:t>
            </w:r>
          </w:p>
        </w:tc>
        <w:tc>
          <w:tcPr>
            <w:tcW w:w="4607" w:type="dxa"/>
            <w:tcBorders>
              <w:top w:val="single" w:sz="4" w:space="0" w:color="000000"/>
              <w:left w:val="single" w:sz="4" w:space="0" w:color="000000"/>
              <w:bottom w:val="single" w:sz="4" w:space="0" w:color="000000"/>
              <w:right w:val="single" w:sz="4" w:space="0" w:color="000000"/>
            </w:tcBorders>
          </w:tcPr>
          <w:p w14:paraId="78BFB7F9" w14:textId="77777777" w:rsidR="006F76EB" w:rsidRPr="00834D52" w:rsidRDefault="006F76EB" w:rsidP="00C623FA">
            <w:pPr>
              <w:spacing w:after="120" w:line="240" w:lineRule="auto"/>
              <w:ind w:right="-6"/>
              <w:rPr>
                <w:rFonts w:ascii="Sylfaen" w:hAnsi="Sylfaen"/>
                <w:sz w:val="24"/>
                <w:szCs w:val="24"/>
              </w:rPr>
            </w:pPr>
          </w:p>
        </w:tc>
      </w:tr>
    </w:tbl>
    <w:p w14:paraId="53AA3E44" w14:textId="77777777" w:rsidR="006F76EB" w:rsidRPr="00834D52" w:rsidRDefault="006F76EB" w:rsidP="00C623F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Դեղապատրաստուկի բաղադրության մաս կազմող կամ դրա արտադրության գործընթացում կիրառվող կենդանական </w:t>
      </w:r>
      <w:r w:rsidR="00C54D75">
        <w:rPr>
          <w:rFonts w:ascii="Sylfaen" w:hAnsi="Sylfaen"/>
          <w:sz w:val="24"/>
          <w:szCs w:val="24"/>
        </w:rPr>
        <w:t>և</w:t>
      </w:r>
      <w:r w:rsidRPr="00834D52">
        <w:rPr>
          <w:rFonts w:ascii="Sylfaen" w:hAnsi="Sylfaen"/>
          <w:sz w:val="24"/>
          <w:szCs w:val="24"/>
        </w:rPr>
        <w:t xml:space="preserve"> (կամ) մարդկային ծագման նյութերի ցանկը</w:t>
      </w:r>
    </w:p>
    <w:p w14:paraId="45238B99" w14:textId="77777777" w:rsidR="003A6399" w:rsidRDefault="00FC294A" w:rsidP="006F76EB">
      <w:pPr>
        <w:spacing w:after="160" w:line="360" w:lineRule="auto"/>
        <w:ind w:right="-8"/>
        <w:jc w:val="center"/>
        <w:rPr>
          <w:rFonts w:ascii="Sylfaen" w:hAnsi="Sylfaen"/>
          <w:sz w:val="24"/>
          <w:szCs w:val="24"/>
        </w:rPr>
      </w:pPr>
      <w:r>
        <w:rPr>
          <w:rFonts w:ascii="Sylfaen" w:eastAsia="Times New Roman" w:hAnsi="Sylfaen" w:cs="Times New Roman"/>
          <w:noProof/>
          <w:sz w:val="24"/>
          <w:szCs w:val="24"/>
        </w:rPr>
        <w:pict w14:anchorId="2FBD942F">
          <v:rect id="_x0000_s1128" style="position:absolute;left:0;text-align:left;margin-left:166.1pt;margin-top:2.75pt;width:12.75pt;height:12pt;z-index:251680256"/>
        </w:pict>
      </w:r>
      <w:r w:rsidR="006F76EB" w:rsidRPr="00834D52">
        <w:rPr>
          <w:rFonts w:ascii="Sylfaen" w:hAnsi="Sylfaen"/>
          <w:sz w:val="24"/>
          <w:szCs w:val="24"/>
        </w:rPr>
        <w:t>բացակայում են</w:t>
      </w:r>
    </w:p>
    <w:p w14:paraId="7FAF3EB3" w14:textId="77777777" w:rsidR="003A6399" w:rsidRDefault="003A6399">
      <w:pPr>
        <w:widowControl/>
        <w:rPr>
          <w:rFonts w:ascii="Sylfaen" w:hAnsi="Sylfaen"/>
          <w:sz w:val="24"/>
          <w:szCs w:val="24"/>
        </w:rPr>
      </w:pPr>
      <w:r>
        <w:rPr>
          <w:rFonts w:ascii="Sylfaen" w:hAnsi="Sylfaen"/>
          <w:sz w:val="24"/>
          <w:szCs w:val="24"/>
        </w:rPr>
        <w:br w:type="page"/>
      </w:r>
    </w:p>
    <w:p w14:paraId="01055C3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p>
    <w:tbl>
      <w:tblPr>
        <w:tblW w:w="10366" w:type="dxa"/>
        <w:jc w:val="center"/>
        <w:tblLayout w:type="fixed"/>
        <w:tblCellMar>
          <w:left w:w="0" w:type="dxa"/>
          <w:right w:w="0" w:type="dxa"/>
        </w:tblCellMar>
        <w:tblLook w:val="01E0" w:firstRow="1" w:lastRow="1" w:firstColumn="1" w:lastColumn="1" w:noHBand="0" w:noVBand="0"/>
      </w:tblPr>
      <w:tblGrid>
        <w:gridCol w:w="1225"/>
        <w:gridCol w:w="723"/>
        <w:gridCol w:w="722"/>
        <w:gridCol w:w="579"/>
        <w:gridCol w:w="1776"/>
        <w:gridCol w:w="1225"/>
        <w:gridCol w:w="1308"/>
        <w:gridCol w:w="2808"/>
      </w:tblGrid>
      <w:tr w:rsidR="006F76EB" w:rsidRPr="00834D52" w14:paraId="521230C8" w14:textId="77777777" w:rsidTr="00BE0DB5">
        <w:trPr>
          <w:trHeight w:val="1960"/>
          <w:jc w:val="center"/>
        </w:trPr>
        <w:tc>
          <w:tcPr>
            <w:tcW w:w="1225" w:type="dxa"/>
            <w:tcBorders>
              <w:top w:val="single" w:sz="4" w:space="0" w:color="000000"/>
              <w:left w:val="single" w:sz="4" w:space="0" w:color="000000"/>
              <w:bottom w:val="single" w:sz="4" w:space="0" w:color="000000"/>
              <w:right w:val="single" w:sz="4" w:space="0" w:color="000000"/>
            </w:tcBorders>
          </w:tcPr>
          <w:p w14:paraId="45AFF902"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Անվանումը</w:t>
            </w:r>
          </w:p>
        </w:tc>
        <w:tc>
          <w:tcPr>
            <w:tcW w:w="2024" w:type="dxa"/>
            <w:gridSpan w:val="3"/>
            <w:tcBorders>
              <w:top w:val="single" w:sz="4" w:space="0" w:color="000000"/>
              <w:left w:val="single" w:sz="4" w:space="0" w:color="000000"/>
              <w:bottom w:val="single" w:sz="4" w:space="0" w:color="000000"/>
              <w:right w:val="single" w:sz="4" w:space="0" w:color="000000"/>
            </w:tcBorders>
          </w:tcPr>
          <w:p w14:paraId="0AF096B3" w14:textId="77777777" w:rsidR="006F76EB" w:rsidRPr="00834D52" w:rsidRDefault="006F76EB" w:rsidP="00C623FA">
            <w:pPr>
              <w:spacing w:after="120" w:line="240" w:lineRule="auto"/>
              <w:ind w:left="142"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76" w:type="dxa"/>
            <w:tcBorders>
              <w:top w:val="single" w:sz="4" w:space="0" w:color="000000"/>
              <w:left w:val="single" w:sz="4" w:space="0" w:color="000000"/>
              <w:bottom w:val="single" w:sz="4" w:space="0" w:color="000000"/>
              <w:right w:val="single" w:sz="4" w:space="0" w:color="000000"/>
            </w:tcBorders>
          </w:tcPr>
          <w:p w14:paraId="4AD20F38" w14:textId="77777777" w:rsidR="006F76EB" w:rsidRPr="00834D52" w:rsidRDefault="006F76EB" w:rsidP="00D7038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p>
        </w:tc>
        <w:tc>
          <w:tcPr>
            <w:tcW w:w="1225" w:type="dxa"/>
            <w:tcBorders>
              <w:top w:val="single" w:sz="4" w:space="0" w:color="000000"/>
              <w:left w:val="single" w:sz="4" w:space="0" w:color="000000"/>
              <w:bottom w:val="single" w:sz="4" w:space="0" w:color="000000"/>
              <w:right w:val="single" w:sz="4" w:space="0" w:color="000000"/>
            </w:tcBorders>
          </w:tcPr>
          <w:p w14:paraId="779EA80A"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w:t>
            </w:r>
          </w:p>
        </w:tc>
        <w:tc>
          <w:tcPr>
            <w:tcW w:w="1308" w:type="dxa"/>
            <w:tcBorders>
              <w:top w:val="single" w:sz="4" w:space="0" w:color="000000"/>
              <w:left w:val="single" w:sz="4" w:space="0" w:color="000000"/>
              <w:bottom w:val="single" w:sz="4" w:space="0" w:color="000000"/>
              <w:right w:val="single" w:sz="4" w:space="0" w:color="000000"/>
            </w:tcBorders>
          </w:tcPr>
          <w:p w14:paraId="1CA17987"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808" w:type="dxa"/>
            <w:tcBorders>
              <w:top w:val="single" w:sz="4" w:space="0" w:color="000000"/>
              <w:left w:val="single" w:sz="4" w:space="0" w:color="000000"/>
              <w:bottom w:val="single" w:sz="4" w:space="0" w:color="000000"/>
              <w:right w:val="single" w:sz="4" w:space="0" w:color="000000"/>
            </w:tcBorders>
          </w:tcPr>
          <w:p w14:paraId="79BFE71D" w14:textId="77777777" w:rsidR="006F76EB" w:rsidRPr="00834D52" w:rsidRDefault="006F76EB" w:rsidP="00C623F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վերաբերյալ Եվրոպական դեղագրքերի համապատասխանության սերտիֆիկատ (նշե՛ք համարը)</w:t>
            </w:r>
          </w:p>
        </w:tc>
      </w:tr>
      <w:tr w:rsidR="006F76EB" w:rsidRPr="00834D52" w14:paraId="69885BF9"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1EE63C34" w14:textId="77777777" w:rsidR="006F76EB" w:rsidRPr="00834D52" w:rsidRDefault="006F76EB" w:rsidP="00C623FA">
            <w:pPr>
              <w:spacing w:after="120" w:line="240" w:lineRule="auto"/>
              <w:ind w:right="-6"/>
              <w:rPr>
                <w:rFonts w:ascii="Sylfaen" w:hAnsi="Sylfaen"/>
                <w:sz w:val="20"/>
                <w:szCs w:val="20"/>
              </w:rPr>
            </w:pPr>
          </w:p>
        </w:tc>
        <w:tc>
          <w:tcPr>
            <w:tcW w:w="723" w:type="dxa"/>
            <w:tcBorders>
              <w:top w:val="single" w:sz="4" w:space="0" w:color="000000"/>
              <w:left w:val="single" w:sz="4" w:space="0" w:color="000000"/>
              <w:bottom w:val="single" w:sz="4" w:space="0" w:color="000000"/>
              <w:right w:val="single" w:sz="4" w:space="0" w:color="000000"/>
            </w:tcBorders>
          </w:tcPr>
          <w:p w14:paraId="01A05EAD"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722" w:type="dxa"/>
            <w:tcBorders>
              <w:top w:val="single" w:sz="4" w:space="0" w:color="000000"/>
              <w:left w:val="single" w:sz="4" w:space="0" w:color="000000"/>
              <w:bottom w:val="single" w:sz="4" w:space="0" w:color="000000"/>
              <w:right w:val="single" w:sz="4" w:space="0" w:color="000000"/>
            </w:tcBorders>
          </w:tcPr>
          <w:p w14:paraId="005CC6C7"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ՕՆ</w:t>
            </w:r>
            <w:r w:rsidR="002C3F55">
              <w:rPr>
                <w:rStyle w:val="FootnoteReference"/>
                <w:rFonts w:ascii="Sylfaen" w:hAnsi="Sylfaen"/>
                <w:sz w:val="20"/>
                <w:szCs w:val="20"/>
              </w:rPr>
              <w:footnoteReference w:id="12"/>
            </w:r>
          </w:p>
        </w:tc>
        <w:tc>
          <w:tcPr>
            <w:tcW w:w="579" w:type="dxa"/>
            <w:tcBorders>
              <w:top w:val="single" w:sz="4" w:space="0" w:color="000000"/>
              <w:left w:val="single" w:sz="4" w:space="0" w:color="000000"/>
              <w:bottom w:val="single" w:sz="4" w:space="0" w:color="000000"/>
              <w:right w:val="single" w:sz="4" w:space="0" w:color="000000"/>
            </w:tcBorders>
          </w:tcPr>
          <w:p w14:paraId="02426F0E" w14:textId="77777777" w:rsidR="006F76EB" w:rsidRPr="002C3F55" w:rsidRDefault="006F76EB" w:rsidP="002C3F55">
            <w:pPr>
              <w:spacing w:after="120" w:line="240" w:lineRule="auto"/>
              <w:ind w:right="-6"/>
              <w:rPr>
                <w:rFonts w:ascii="Sylfaen" w:eastAsia="Times New Roman" w:hAnsi="Sylfaen" w:cs="Times New Roman"/>
                <w:sz w:val="20"/>
                <w:szCs w:val="20"/>
                <w:lang w:val="en-US"/>
              </w:rPr>
            </w:pPr>
            <w:r w:rsidRPr="00834D52">
              <w:rPr>
                <w:rFonts w:ascii="Sylfaen" w:hAnsi="Sylfaen"/>
                <w:sz w:val="20"/>
                <w:szCs w:val="20"/>
              </w:rPr>
              <w:t>Ռ</w:t>
            </w:r>
            <w:r w:rsidR="002C3F55">
              <w:rPr>
                <w:rStyle w:val="FootnoteReference"/>
                <w:rFonts w:ascii="Sylfaen" w:hAnsi="Sylfaen"/>
                <w:sz w:val="20"/>
                <w:szCs w:val="20"/>
              </w:rPr>
              <w:footnoteReference w:id="13"/>
            </w:r>
          </w:p>
        </w:tc>
        <w:tc>
          <w:tcPr>
            <w:tcW w:w="1776" w:type="dxa"/>
            <w:tcBorders>
              <w:top w:val="single" w:sz="4" w:space="0" w:color="000000"/>
              <w:left w:val="single" w:sz="4" w:space="0" w:color="000000"/>
              <w:bottom w:val="single" w:sz="4" w:space="0" w:color="000000"/>
              <w:right w:val="single" w:sz="4" w:space="0" w:color="000000"/>
            </w:tcBorders>
          </w:tcPr>
          <w:p w14:paraId="49AB11E3"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2D9FC78"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3FB75A9D"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1C1CC3"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24838F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2F3D5878"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723" w:type="dxa"/>
            <w:tcBorders>
              <w:top w:val="single" w:sz="4" w:space="0" w:color="000000"/>
              <w:left w:val="single" w:sz="4" w:space="0" w:color="000000"/>
              <w:bottom w:val="single" w:sz="4" w:space="0" w:color="000000"/>
              <w:right w:val="single" w:sz="4" w:space="0" w:color="000000"/>
            </w:tcBorders>
          </w:tcPr>
          <w:p w14:paraId="5F77B47B"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E53B811"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3CC90E70"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083BA340"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72F28971"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5D8FA0EC"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6A1D54B9"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79E6236" w14:textId="77777777" w:rsidTr="00BE0DB5">
        <w:trPr>
          <w:trHeight w:val="507"/>
          <w:jc w:val="center"/>
        </w:trPr>
        <w:tc>
          <w:tcPr>
            <w:tcW w:w="1225" w:type="dxa"/>
            <w:tcBorders>
              <w:top w:val="single" w:sz="4" w:space="0" w:color="000000"/>
              <w:left w:val="single" w:sz="4" w:space="0" w:color="000000"/>
              <w:bottom w:val="single" w:sz="4" w:space="0" w:color="000000"/>
              <w:right w:val="single" w:sz="4" w:space="0" w:color="000000"/>
            </w:tcBorders>
          </w:tcPr>
          <w:p w14:paraId="27BF1E7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723" w:type="dxa"/>
            <w:tcBorders>
              <w:top w:val="single" w:sz="4" w:space="0" w:color="000000"/>
              <w:left w:val="single" w:sz="4" w:space="0" w:color="000000"/>
              <w:bottom w:val="single" w:sz="4" w:space="0" w:color="000000"/>
              <w:right w:val="single" w:sz="4" w:space="0" w:color="000000"/>
            </w:tcBorders>
          </w:tcPr>
          <w:p w14:paraId="69FFE1C4"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188511B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40485F2"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7C937C29"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10F3CA3"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09609EB"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707218A" w14:textId="77777777" w:rsidR="006F76EB" w:rsidRPr="00834D52" w:rsidRDefault="006F76EB" w:rsidP="00C623FA">
            <w:pPr>
              <w:spacing w:after="120" w:line="240" w:lineRule="auto"/>
              <w:ind w:right="-6"/>
              <w:rPr>
                <w:rFonts w:ascii="Sylfaen" w:hAnsi="Sylfaen"/>
                <w:sz w:val="20"/>
                <w:szCs w:val="20"/>
              </w:rPr>
            </w:pPr>
          </w:p>
        </w:tc>
      </w:tr>
      <w:tr w:rsidR="006F76EB" w:rsidRPr="00834D52" w14:paraId="42C7A7B6"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622A5DA3"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723" w:type="dxa"/>
            <w:tcBorders>
              <w:top w:val="single" w:sz="4" w:space="0" w:color="000000"/>
              <w:left w:val="single" w:sz="4" w:space="0" w:color="000000"/>
              <w:bottom w:val="single" w:sz="4" w:space="0" w:color="000000"/>
              <w:right w:val="single" w:sz="4" w:space="0" w:color="000000"/>
            </w:tcBorders>
          </w:tcPr>
          <w:p w14:paraId="0E571843"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3E4A7CA2"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4A9C38D4"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663CFF05"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4D105322"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065223E9"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18384BFB" w14:textId="77777777" w:rsidR="006F76EB" w:rsidRPr="00834D52" w:rsidRDefault="006F76EB" w:rsidP="00C623FA">
            <w:pPr>
              <w:spacing w:after="120" w:line="240" w:lineRule="auto"/>
              <w:ind w:right="-6"/>
              <w:rPr>
                <w:rFonts w:ascii="Sylfaen" w:hAnsi="Sylfaen"/>
                <w:sz w:val="20"/>
                <w:szCs w:val="20"/>
              </w:rPr>
            </w:pPr>
          </w:p>
        </w:tc>
      </w:tr>
      <w:tr w:rsidR="006F76EB" w:rsidRPr="00834D52" w14:paraId="031C61BE" w14:textId="77777777" w:rsidTr="00BE0DB5">
        <w:trPr>
          <w:trHeight w:val="530"/>
          <w:jc w:val="center"/>
        </w:trPr>
        <w:tc>
          <w:tcPr>
            <w:tcW w:w="1225" w:type="dxa"/>
            <w:tcBorders>
              <w:top w:val="single" w:sz="4" w:space="0" w:color="000000"/>
              <w:left w:val="single" w:sz="4" w:space="0" w:color="000000"/>
              <w:bottom w:val="single" w:sz="4" w:space="0" w:color="000000"/>
              <w:right w:val="single" w:sz="4" w:space="0" w:color="000000"/>
            </w:tcBorders>
          </w:tcPr>
          <w:p w14:paraId="0079CE8F" w14:textId="77777777" w:rsidR="006F76EB" w:rsidRPr="00834D52" w:rsidRDefault="006F76EB" w:rsidP="00C623F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723" w:type="dxa"/>
            <w:tcBorders>
              <w:top w:val="single" w:sz="4" w:space="0" w:color="000000"/>
              <w:left w:val="single" w:sz="4" w:space="0" w:color="000000"/>
              <w:bottom w:val="single" w:sz="4" w:space="0" w:color="000000"/>
              <w:right w:val="single" w:sz="4" w:space="0" w:color="000000"/>
            </w:tcBorders>
          </w:tcPr>
          <w:p w14:paraId="5BF5E477" w14:textId="77777777" w:rsidR="006F76EB" w:rsidRPr="00834D52" w:rsidRDefault="006F76EB" w:rsidP="00C623FA">
            <w:pPr>
              <w:spacing w:after="120" w:line="240" w:lineRule="auto"/>
              <w:ind w:right="-6"/>
              <w:rPr>
                <w:rFonts w:ascii="Sylfaen" w:hAnsi="Sylfaen"/>
                <w:sz w:val="20"/>
                <w:szCs w:val="20"/>
              </w:rPr>
            </w:pPr>
          </w:p>
        </w:tc>
        <w:tc>
          <w:tcPr>
            <w:tcW w:w="722" w:type="dxa"/>
            <w:tcBorders>
              <w:top w:val="single" w:sz="4" w:space="0" w:color="000000"/>
              <w:left w:val="single" w:sz="4" w:space="0" w:color="000000"/>
              <w:bottom w:val="single" w:sz="4" w:space="0" w:color="000000"/>
              <w:right w:val="single" w:sz="4" w:space="0" w:color="000000"/>
            </w:tcBorders>
          </w:tcPr>
          <w:p w14:paraId="034AA2FE" w14:textId="77777777" w:rsidR="006F76EB" w:rsidRPr="00834D52" w:rsidRDefault="006F76EB" w:rsidP="00C623FA">
            <w:pPr>
              <w:spacing w:after="120" w:line="240" w:lineRule="auto"/>
              <w:ind w:right="-6"/>
              <w:rPr>
                <w:rFonts w:ascii="Sylfaen" w:hAnsi="Sylfaen"/>
                <w:sz w:val="20"/>
                <w:szCs w:val="20"/>
              </w:rPr>
            </w:pPr>
          </w:p>
        </w:tc>
        <w:tc>
          <w:tcPr>
            <w:tcW w:w="579" w:type="dxa"/>
            <w:tcBorders>
              <w:top w:val="single" w:sz="4" w:space="0" w:color="000000"/>
              <w:left w:val="single" w:sz="4" w:space="0" w:color="000000"/>
              <w:bottom w:val="single" w:sz="4" w:space="0" w:color="000000"/>
              <w:right w:val="single" w:sz="4" w:space="0" w:color="000000"/>
            </w:tcBorders>
          </w:tcPr>
          <w:p w14:paraId="615BAF95" w14:textId="77777777" w:rsidR="006F76EB" w:rsidRPr="00834D52" w:rsidRDefault="006F76EB" w:rsidP="00C623FA">
            <w:pPr>
              <w:spacing w:after="120" w:line="240" w:lineRule="auto"/>
              <w:ind w:right="-6"/>
              <w:rPr>
                <w:rFonts w:ascii="Sylfaen" w:hAnsi="Sylfaen"/>
                <w:sz w:val="20"/>
                <w:szCs w:val="20"/>
              </w:rPr>
            </w:pPr>
          </w:p>
        </w:tc>
        <w:tc>
          <w:tcPr>
            <w:tcW w:w="1776" w:type="dxa"/>
            <w:tcBorders>
              <w:top w:val="single" w:sz="4" w:space="0" w:color="000000"/>
              <w:left w:val="single" w:sz="4" w:space="0" w:color="000000"/>
              <w:bottom w:val="single" w:sz="4" w:space="0" w:color="000000"/>
              <w:right w:val="single" w:sz="4" w:space="0" w:color="000000"/>
            </w:tcBorders>
          </w:tcPr>
          <w:p w14:paraId="156BC1A6" w14:textId="77777777" w:rsidR="006F76EB" w:rsidRPr="00834D52" w:rsidRDefault="006F76EB" w:rsidP="00C623FA">
            <w:pPr>
              <w:spacing w:after="120" w:line="240" w:lineRule="auto"/>
              <w:ind w:right="-6"/>
              <w:rPr>
                <w:rFonts w:ascii="Sylfaen" w:hAnsi="Sylfaen"/>
                <w:sz w:val="20"/>
                <w:szCs w:val="20"/>
              </w:rPr>
            </w:pPr>
          </w:p>
        </w:tc>
        <w:tc>
          <w:tcPr>
            <w:tcW w:w="1225" w:type="dxa"/>
            <w:tcBorders>
              <w:top w:val="single" w:sz="4" w:space="0" w:color="000000"/>
              <w:left w:val="single" w:sz="4" w:space="0" w:color="000000"/>
              <w:bottom w:val="single" w:sz="4" w:space="0" w:color="000000"/>
              <w:right w:val="single" w:sz="4" w:space="0" w:color="000000"/>
            </w:tcBorders>
          </w:tcPr>
          <w:p w14:paraId="61F0B19A" w14:textId="77777777" w:rsidR="006F76EB" w:rsidRPr="00834D52" w:rsidRDefault="006F76EB" w:rsidP="00C623FA">
            <w:pPr>
              <w:spacing w:after="120" w:line="240" w:lineRule="auto"/>
              <w:ind w:right="-6"/>
              <w:rPr>
                <w:rFonts w:ascii="Sylfaen" w:hAnsi="Sylfaen"/>
                <w:sz w:val="20"/>
                <w:szCs w:val="20"/>
              </w:rPr>
            </w:pPr>
          </w:p>
        </w:tc>
        <w:tc>
          <w:tcPr>
            <w:tcW w:w="1308" w:type="dxa"/>
            <w:tcBorders>
              <w:top w:val="single" w:sz="4" w:space="0" w:color="000000"/>
              <w:left w:val="single" w:sz="4" w:space="0" w:color="000000"/>
              <w:bottom w:val="single" w:sz="4" w:space="0" w:color="000000"/>
              <w:right w:val="single" w:sz="4" w:space="0" w:color="000000"/>
            </w:tcBorders>
          </w:tcPr>
          <w:p w14:paraId="69DA58E7" w14:textId="77777777" w:rsidR="006F76EB" w:rsidRPr="00834D52" w:rsidRDefault="006F76EB" w:rsidP="00C623FA">
            <w:pPr>
              <w:spacing w:after="120" w:line="240" w:lineRule="auto"/>
              <w:ind w:right="-6"/>
              <w:rPr>
                <w:rFonts w:ascii="Sylfaen" w:hAnsi="Sylfaen"/>
                <w:sz w:val="20"/>
                <w:szCs w:val="20"/>
              </w:rPr>
            </w:pPr>
          </w:p>
        </w:tc>
        <w:tc>
          <w:tcPr>
            <w:tcW w:w="2808" w:type="dxa"/>
            <w:tcBorders>
              <w:top w:val="single" w:sz="4" w:space="0" w:color="000000"/>
              <w:left w:val="single" w:sz="4" w:space="0" w:color="000000"/>
              <w:bottom w:val="single" w:sz="4" w:space="0" w:color="000000"/>
              <w:right w:val="single" w:sz="4" w:space="0" w:color="000000"/>
            </w:tcBorders>
          </w:tcPr>
          <w:p w14:paraId="78918EB3" w14:textId="77777777" w:rsidR="006F76EB" w:rsidRPr="00834D52" w:rsidRDefault="006F76EB" w:rsidP="00C623FA">
            <w:pPr>
              <w:spacing w:after="120" w:line="240" w:lineRule="auto"/>
              <w:ind w:right="-6"/>
              <w:rPr>
                <w:rFonts w:ascii="Sylfaen" w:hAnsi="Sylfaen"/>
                <w:sz w:val="20"/>
                <w:szCs w:val="20"/>
              </w:rPr>
            </w:pPr>
          </w:p>
        </w:tc>
      </w:tr>
    </w:tbl>
    <w:p w14:paraId="72DE5B1C" w14:textId="77777777" w:rsidR="006F76EB" w:rsidRPr="00834D52" w:rsidRDefault="006F76EB" w:rsidP="004147B3">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002C3F55">
        <w:rPr>
          <w:rStyle w:val="FootnoteReference"/>
          <w:rFonts w:ascii="Sylfaen" w:hAnsi="Sylfaen"/>
          <w:sz w:val="24"/>
          <w:szCs w:val="24"/>
        </w:rPr>
        <w:footnoteReference w:id="14"/>
      </w:r>
      <w:r w:rsidRPr="00834D52">
        <w:rPr>
          <w:rFonts w:ascii="Sylfaen" w:hAnsi="Sylfaen"/>
          <w:sz w:val="24"/>
          <w:szCs w:val="24"/>
        </w:rPr>
        <w:t>-ի վերաբերյալ Եվրոպական դեղագրքերի համապատասխանության սերտիֆիկատի կամ հումքի ծագման երկրի անասնաբուժական վերահսկողության՝ երկրում ՏՍԷ</w:t>
      </w:r>
      <w:r w:rsidRPr="00834D52">
        <w:rPr>
          <w:rFonts w:ascii="Sylfaen" w:hAnsi="Sylfaen"/>
          <w:sz w:val="24"/>
          <w:szCs w:val="24"/>
          <w:vertAlign w:val="superscript"/>
        </w:rPr>
        <w:t>3</w:t>
      </w:r>
      <w:r w:rsidRPr="00834D52">
        <w:rPr>
          <w:rFonts w:ascii="Sylfaen" w:hAnsi="Sylfaen"/>
          <w:sz w:val="24"/>
          <w:szCs w:val="24"/>
        </w:rPr>
        <w:t xml:space="preserve">-ի դեպքերի գրանցման (ըստ կլինիկական </w:t>
      </w:r>
      <w:r w:rsidR="00C54D75">
        <w:rPr>
          <w:rFonts w:ascii="Sylfaen" w:hAnsi="Sylfaen"/>
          <w:sz w:val="24"/>
          <w:szCs w:val="24"/>
        </w:rPr>
        <w:t>և</w:t>
      </w:r>
      <w:r w:rsidRPr="00834D52">
        <w:rPr>
          <w:rFonts w:ascii="Sylfaen" w:hAnsi="Sylfaen"/>
          <w:sz w:val="24"/>
          <w:szCs w:val="24"/>
        </w:rPr>
        <w:t xml:space="preserve"> լաբորատոր հսկողության արդյունքների) մասով լիազորված մարմինների կողմից տրված փաստաթղթի առկայությունը</w:t>
      </w:r>
    </w:p>
    <w:p w14:paraId="575A3E01" w14:textId="35341523" w:rsidR="006F76EB" w:rsidRPr="00834D52" w:rsidRDefault="006F76EB" w:rsidP="004147B3">
      <w:pPr>
        <w:tabs>
          <w:tab w:val="left" w:pos="1701"/>
        </w:tabs>
        <w:spacing w:after="160" w:line="336" w:lineRule="auto"/>
        <w:ind w:right="-6" w:firstLine="567"/>
        <w:jc w:val="both"/>
        <w:rPr>
          <w:rFonts w:ascii="Sylfaen" w:hAnsi="Sylfaen"/>
          <w:sz w:val="24"/>
          <w:szCs w:val="24"/>
        </w:rPr>
      </w:pPr>
      <w:r w:rsidRPr="00834D52">
        <w:rPr>
          <w:rFonts w:ascii="Sylfaen" w:hAnsi="Sylfaen"/>
          <w:sz w:val="24"/>
          <w:szCs w:val="24"/>
        </w:rPr>
        <w:t>3.6.3.</w:t>
      </w:r>
      <w:r w:rsidRPr="00834D52">
        <w:rPr>
          <w:rFonts w:ascii="Sylfaen" w:hAnsi="Sylfaen"/>
          <w:sz w:val="24"/>
          <w:szCs w:val="24"/>
        </w:rPr>
        <w:tab/>
        <w:t xml:space="preserve">Արդյոք տրվել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870CFAE" w14:textId="77777777" w:rsidTr="00F71229">
        <w:tc>
          <w:tcPr>
            <w:tcW w:w="2268" w:type="dxa"/>
          </w:tcPr>
          <w:p w14:paraId="3C098E72"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w14:anchorId="16EA8EFE">
                <v:rect id="_x0000_s1235" style="position:absolute;left:0;text-align:left;margin-left:40.6pt;margin-top:3.05pt;width:12.75pt;height:12pt;z-index:251681280"/>
              </w:pict>
            </w:r>
            <w:r w:rsidR="006F76EB" w:rsidRPr="00834D52">
              <w:rPr>
                <w:rFonts w:ascii="Sylfaen" w:hAnsi="Sylfaen"/>
                <w:sz w:val="24"/>
                <w:szCs w:val="24"/>
              </w:rPr>
              <w:t>ոչ</w:t>
            </w:r>
          </w:p>
        </w:tc>
        <w:tc>
          <w:tcPr>
            <w:tcW w:w="2126" w:type="dxa"/>
          </w:tcPr>
          <w:p w14:paraId="55AA7C56"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3F7C576D">
                <v:rect id="_x0000_s1186" style="position:absolute;left:0;text-align:left;margin-left:15.15pt;margin-top:3.05pt;width:12.75pt;height:12pt;z-index:251682304;mso-position-horizontal-relative:text;mso-position-vertical-relative:text"/>
              </w:pict>
            </w:r>
            <w:r w:rsidR="006F76EB" w:rsidRPr="00834D52">
              <w:rPr>
                <w:rFonts w:ascii="Sylfaen" w:hAnsi="Sylfaen"/>
                <w:sz w:val="24"/>
                <w:szCs w:val="24"/>
              </w:rPr>
              <w:t>այո</w:t>
            </w:r>
          </w:p>
        </w:tc>
      </w:tr>
    </w:tbl>
    <w:p w14:paraId="6ADBF0EB" w14:textId="77777777" w:rsidR="00BE0DB5" w:rsidRDefault="00BE0DB5" w:rsidP="006F76EB">
      <w:pPr>
        <w:spacing w:after="160" w:line="360" w:lineRule="auto"/>
        <w:ind w:right="-8" w:firstLine="567"/>
        <w:rPr>
          <w:rFonts w:ascii="Sylfaen" w:hAnsi="Sylfaen"/>
          <w:sz w:val="24"/>
          <w:szCs w:val="24"/>
        </w:rPr>
      </w:pPr>
    </w:p>
    <w:p w14:paraId="12B655BE" w14:textId="77777777" w:rsidR="00BE0DB5" w:rsidRDefault="00BE0DB5">
      <w:pPr>
        <w:widowControl/>
        <w:rPr>
          <w:rFonts w:ascii="Sylfaen" w:hAnsi="Sylfaen"/>
          <w:sz w:val="24"/>
          <w:szCs w:val="24"/>
        </w:rPr>
      </w:pPr>
      <w:r>
        <w:rPr>
          <w:rFonts w:ascii="Sylfaen" w:hAnsi="Sylfaen"/>
          <w:sz w:val="24"/>
          <w:szCs w:val="24"/>
        </w:rPr>
        <w:br w:type="page"/>
      </w:r>
    </w:p>
    <w:p w14:paraId="780422ED" w14:textId="77777777" w:rsidR="006F76EB" w:rsidRPr="00834D52"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lastRenderedPageBreak/>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288F191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1BCD42F"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 հղումով նյութը (սուբստանցիան)</w:t>
            </w:r>
          </w:p>
        </w:tc>
        <w:tc>
          <w:tcPr>
            <w:tcW w:w="5468" w:type="dxa"/>
            <w:gridSpan w:val="3"/>
            <w:tcBorders>
              <w:top w:val="single" w:sz="4" w:space="0" w:color="000000"/>
              <w:left w:val="single" w:sz="4" w:space="0" w:color="000000"/>
              <w:bottom w:val="single" w:sz="4" w:space="0" w:color="000000"/>
              <w:right w:val="single" w:sz="4" w:space="0" w:color="000000"/>
            </w:tcBorders>
          </w:tcPr>
          <w:p w14:paraId="5424F31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3D44131B" w14:textId="77777777" w:rsidTr="00F71229">
        <w:tc>
          <w:tcPr>
            <w:tcW w:w="4142" w:type="dxa"/>
            <w:vMerge w:val="restart"/>
            <w:tcBorders>
              <w:top w:val="single" w:sz="4" w:space="0" w:color="000000"/>
              <w:left w:val="single" w:sz="4" w:space="0" w:color="000000"/>
              <w:right w:val="single" w:sz="4" w:space="0" w:color="000000"/>
            </w:tcBorders>
          </w:tcPr>
          <w:p w14:paraId="14C26FBC"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tcPr>
          <w:p w14:paraId="024533C0"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ԱԴՆ-ն</w:t>
            </w:r>
          </w:p>
        </w:tc>
        <w:tc>
          <w:tcPr>
            <w:tcW w:w="1822" w:type="dxa"/>
            <w:tcBorders>
              <w:top w:val="single" w:sz="4" w:space="0" w:color="000000"/>
              <w:left w:val="single" w:sz="4" w:space="0" w:color="000000"/>
              <w:bottom w:val="single" w:sz="4" w:space="0" w:color="000000"/>
              <w:right w:val="single" w:sz="4" w:space="0" w:color="000000"/>
            </w:tcBorders>
          </w:tcPr>
          <w:p w14:paraId="33DF05EC"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15"/>
              <w:t>1</w:t>
            </w:r>
          </w:p>
        </w:tc>
        <w:tc>
          <w:tcPr>
            <w:tcW w:w="1824" w:type="dxa"/>
            <w:tcBorders>
              <w:top w:val="single" w:sz="4" w:space="0" w:color="000000"/>
              <w:left w:val="single" w:sz="4" w:space="0" w:color="000000"/>
              <w:bottom w:val="single" w:sz="4" w:space="0" w:color="000000"/>
              <w:right w:val="single" w:sz="4" w:space="0" w:color="000000"/>
            </w:tcBorders>
          </w:tcPr>
          <w:p w14:paraId="0DF2F8EB" w14:textId="77777777" w:rsidR="006F76EB" w:rsidRPr="00834D52" w:rsidRDefault="006F76EB" w:rsidP="004147B3">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w:t>
            </w:r>
            <w:r w:rsidRPr="00834D52">
              <w:rPr>
                <w:rStyle w:val="FootnoteReference"/>
                <w:rFonts w:ascii="Sylfaen" w:hAnsi="Sylfaen"/>
                <w:sz w:val="24"/>
                <w:szCs w:val="24"/>
              </w:rPr>
              <w:footnoteReference w:customMarkFollows="1" w:id="16"/>
              <w:t>2</w:t>
            </w:r>
          </w:p>
        </w:tc>
      </w:tr>
      <w:tr w:rsidR="006F76EB" w:rsidRPr="00834D52" w14:paraId="4B265E53" w14:textId="77777777" w:rsidTr="00F71229">
        <w:tc>
          <w:tcPr>
            <w:tcW w:w="4142" w:type="dxa"/>
            <w:vMerge/>
            <w:tcBorders>
              <w:left w:val="single" w:sz="4" w:space="0" w:color="000000"/>
              <w:bottom w:val="single" w:sz="4" w:space="0" w:color="000000"/>
              <w:right w:val="single" w:sz="4" w:space="0" w:color="000000"/>
            </w:tcBorders>
          </w:tcPr>
          <w:p w14:paraId="779DD470" w14:textId="77777777" w:rsidR="006F76EB" w:rsidRPr="00834D52" w:rsidRDefault="006F76EB" w:rsidP="004147B3">
            <w:pPr>
              <w:spacing w:after="120" w:line="240" w:lineRule="auto"/>
              <w:ind w:left="180" w:right="135"/>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CEBC086" w14:textId="77777777" w:rsidR="006F76EB" w:rsidRPr="00834D52" w:rsidRDefault="006F76EB" w:rsidP="004147B3">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7B45CDFC" w14:textId="77777777" w:rsidR="006F76EB" w:rsidRPr="00834D52" w:rsidRDefault="006F76EB" w:rsidP="004147B3">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FFC3FBF" w14:textId="77777777" w:rsidR="006F76EB" w:rsidRPr="00834D52" w:rsidRDefault="006F76EB" w:rsidP="004147B3">
            <w:pPr>
              <w:spacing w:after="120" w:line="240" w:lineRule="auto"/>
              <w:ind w:right="-6"/>
              <w:rPr>
                <w:rFonts w:ascii="Sylfaen" w:hAnsi="Sylfaen"/>
                <w:sz w:val="24"/>
                <w:szCs w:val="24"/>
              </w:rPr>
            </w:pPr>
          </w:p>
        </w:tc>
      </w:tr>
      <w:tr w:rsidR="006F76EB" w:rsidRPr="00834D52" w14:paraId="5E211E69"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9FD6B20" w14:textId="3127F93E"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ՊՄՖ-ին տիրապետողի/</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2A035D5A" w14:textId="77777777" w:rsidR="006F76EB" w:rsidRPr="00834D52" w:rsidRDefault="006F76EB" w:rsidP="004147B3">
            <w:pPr>
              <w:spacing w:after="120" w:line="240" w:lineRule="auto"/>
              <w:ind w:right="-6"/>
              <w:rPr>
                <w:rFonts w:ascii="Sylfaen" w:hAnsi="Sylfaen"/>
                <w:sz w:val="24"/>
                <w:szCs w:val="24"/>
              </w:rPr>
            </w:pPr>
          </w:p>
        </w:tc>
      </w:tr>
      <w:tr w:rsidR="006F76EB" w:rsidRPr="00834D52" w14:paraId="45E82E3C"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987E62" w14:textId="04B00E01"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սերտիֆիկատի/</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0354014"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CEA943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7428E15" w14:textId="70516BC7" w:rsidR="006F76EB" w:rsidRPr="00834D52" w:rsidRDefault="0056496B" w:rsidP="004147B3">
            <w:pPr>
              <w:spacing w:after="120" w:line="240" w:lineRule="auto"/>
              <w:ind w:left="180" w:right="135"/>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w:t>
            </w:r>
          </w:p>
        </w:tc>
        <w:tc>
          <w:tcPr>
            <w:tcW w:w="5468" w:type="dxa"/>
            <w:gridSpan w:val="3"/>
            <w:tcBorders>
              <w:top w:val="single" w:sz="4" w:space="0" w:color="000000"/>
              <w:left w:val="single" w:sz="4" w:space="0" w:color="000000"/>
              <w:bottom w:val="single" w:sz="4" w:space="0" w:color="000000"/>
              <w:right w:val="single" w:sz="4" w:space="0" w:color="000000"/>
            </w:tcBorders>
          </w:tcPr>
          <w:p w14:paraId="4F51B71C" w14:textId="77777777" w:rsidR="006F76EB" w:rsidRPr="00834D52" w:rsidRDefault="006F76EB" w:rsidP="004147B3">
            <w:pPr>
              <w:spacing w:after="120" w:line="240" w:lineRule="auto"/>
              <w:ind w:right="-6"/>
              <w:rPr>
                <w:rFonts w:ascii="Sylfaen" w:hAnsi="Sylfaen"/>
                <w:sz w:val="24"/>
                <w:szCs w:val="24"/>
              </w:rPr>
            </w:pPr>
          </w:p>
        </w:tc>
      </w:tr>
      <w:tr w:rsidR="006F76EB" w:rsidRPr="00834D52" w14:paraId="002C5A5A"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E443901" w14:textId="77777777" w:rsidR="006F76EB" w:rsidRPr="00834D52" w:rsidRDefault="006F76EB" w:rsidP="004147B3">
            <w:pPr>
              <w:spacing w:after="120" w:line="240" w:lineRule="auto"/>
              <w:ind w:left="180" w:right="135"/>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3A4B91FD" w14:textId="77777777" w:rsidR="006F76EB" w:rsidRPr="00834D52" w:rsidRDefault="006F76EB" w:rsidP="004147B3">
            <w:pPr>
              <w:spacing w:after="120" w:line="240" w:lineRule="auto"/>
              <w:ind w:right="-6"/>
              <w:rPr>
                <w:rFonts w:ascii="Sylfaen" w:hAnsi="Sylfaen"/>
                <w:sz w:val="24"/>
                <w:szCs w:val="24"/>
              </w:rPr>
            </w:pPr>
          </w:p>
        </w:tc>
      </w:tr>
    </w:tbl>
    <w:p w14:paraId="4092CE17"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245F749" w14:textId="77777777" w:rsidTr="00F71229">
        <w:tc>
          <w:tcPr>
            <w:tcW w:w="2268" w:type="dxa"/>
          </w:tcPr>
          <w:p w14:paraId="5AF92651"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032D06F">
                <v:rect id="_x0000_s1237" style="position:absolute;left:0;text-align:left;margin-left:40.6pt;margin-top:3.05pt;width:12.75pt;height:12pt;z-index:251683328"/>
              </w:pict>
            </w:r>
            <w:r w:rsidR="006F76EB" w:rsidRPr="00834D52">
              <w:rPr>
                <w:rFonts w:ascii="Sylfaen" w:hAnsi="Sylfaen"/>
                <w:sz w:val="24"/>
                <w:szCs w:val="24"/>
              </w:rPr>
              <w:t>ոչ</w:t>
            </w:r>
          </w:p>
        </w:tc>
        <w:tc>
          <w:tcPr>
            <w:tcW w:w="2126" w:type="dxa"/>
          </w:tcPr>
          <w:p w14:paraId="233FD11C"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872F203">
                <v:rect id="_x0000_s1236" style="position:absolute;left:0;text-align:left;margin-left:15.15pt;margin-top:3.05pt;width:12.75pt;height:12pt;z-index:251684352;mso-position-horizontal-relative:text;mso-position-vertical-relative:text"/>
              </w:pict>
            </w:r>
            <w:r w:rsidR="006F76EB" w:rsidRPr="00834D52">
              <w:rPr>
                <w:rFonts w:ascii="Sylfaen" w:hAnsi="Sylfaen"/>
                <w:sz w:val="24"/>
                <w:szCs w:val="24"/>
              </w:rPr>
              <w:t>այո</w:t>
            </w:r>
          </w:p>
        </w:tc>
      </w:tr>
    </w:tbl>
    <w:p w14:paraId="312C9CBD"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41175A9" w14:textId="77777777" w:rsidTr="00F71229">
        <w:tc>
          <w:tcPr>
            <w:tcW w:w="2268" w:type="dxa"/>
          </w:tcPr>
          <w:p w14:paraId="1785C3BF"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4CBB4610">
                <v:rect id="_x0000_s1239" style="position:absolute;left:0;text-align:left;margin-left:40.6pt;margin-top:3.05pt;width:12.75pt;height:12pt;z-index:251685376"/>
              </w:pict>
            </w:r>
            <w:r w:rsidR="006F76EB" w:rsidRPr="00834D52">
              <w:rPr>
                <w:rFonts w:ascii="Sylfaen" w:hAnsi="Sylfaen"/>
                <w:sz w:val="24"/>
                <w:szCs w:val="24"/>
              </w:rPr>
              <w:t>ոչ</w:t>
            </w:r>
          </w:p>
        </w:tc>
        <w:tc>
          <w:tcPr>
            <w:tcW w:w="2126" w:type="dxa"/>
          </w:tcPr>
          <w:p w14:paraId="01B33C00"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BC002">
                <v:rect id="_x0000_s1238" style="position:absolute;left:0;text-align:left;margin-left:15.15pt;margin-top:3.05pt;width:12.75pt;height:12pt;z-index:251686400;mso-position-horizontal-relative:text;mso-position-vertical-relative:text"/>
              </w:pict>
            </w:r>
            <w:r w:rsidR="006F76EB" w:rsidRPr="00834D52">
              <w:rPr>
                <w:rFonts w:ascii="Sylfaen" w:hAnsi="Sylfaen"/>
                <w:sz w:val="24"/>
                <w:szCs w:val="24"/>
              </w:rPr>
              <w:t>այո</w:t>
            </w:r>
          </w:p>
        </w:tc>
      </w:tr>
    </w:tbl>
    <w:p w14:paraId="3CDBAD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Կատարե՛ք անհրաժեշտ հղում:</w:t>
      </w:r>
    </w:p>
    <w:p w14:paraId="52AC9CFD"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30F76B8" w14:textId="77777777" w:rsidR="006F76EB" w:rsidRPr="00834D52" w:rsidRDefault="006F76EB" w:rsidP="006F76EB">
      <w:pPr>
        <w:tabs>
          <w:tab w:val="left" w:pos="1418"/>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Արդյոք Եվրասիական տնտեսական միության անդամ պետության տարածքում գործող արտոնագրերով պահպանվում են դեղապատրաստուկի նկատմամբ մտավոր սեփականության իրավունքները՝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2C18D36" w14:textId="77777777" w:rsidTr="00F71229">
        <w:tc>
          <w:tcPr>
            <w:tcW w:w="2268" w:type="dxa"/>
          </w:tcPr>
          <w:p w14:paraId="434A3E65"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7181F1A7">
                <v:rect id="_x0000_s1241" style="position:absolute;left:0;text-align:left;margin-left:40.6pt;margin-top:3.05pt;width:12.75pt;height:12pt;z-index:251687424"/>
              </w:pict>
            </w:r>
            <w:r w:rsidR="006F76EB" w:rsidRPr="00834D52">
              <w:rPr>
                <w:rFonts w:ascii="Sylfaen" w:hAnsi="Sylfaen"/>
                <w:sz w:val="24"/>
                <w:szCs w:val="24"/>
              </w:rPr>
              <w:t>ոչ</w:t>
            </w:r>
          </w:p>
        </w:tc>
        <w:tc>
          <w:tcPr>
            <w:tcW w:w="2126" w:type="dxa"/>
          </w:tcPr>
          <w:p w14:paraId="12488275"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1208736">
                <v:rect id="_x0000_s1240" style="position:absolute;left:0;text-align:left;margin-left:15.15pt;margin-top:3.05pt;width:12.75pt;height:12pt;z-index:251688448;mso-position-horizontal-relative:text;mso-position-vertical-relative:text"/>
              </w:pict>
            </w:r>
            <w:r w:rsidR="006F76EB" w:rsidRPr="00834D52">
              <w:rPr>
                <w:rFonts w:ascii="Sylfaen" w:hAnsi="Sylfaen"/>
                <w:sz w:val="24"/>
                <w:szCs w:val="24"/>
              </w:rPr>
              <w:t>այո</w:t>
            </w:r>
          </w:p>
        </w:tc>
      </w:tr>
    </w:tbl>
    <w:p w14:paraId="565307C3"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211" w:type="dxa"/>
        <w:tblInd w:w="102" w:type="dxa"/>
        <w:tblLayout w:type="fixed"/>
        <w:tblCellMar>
          <w:left w:w="0" w:type="dxa"/>
          <w:right w:w="0" w:type="dxa"/>
        </w:tblCellMar>
        <w:tblLook w:val="01E0" w:firstRow="1" w:lastRow="1" w:firstColumn="1" w:lastColumn="1" w:noHBand="0" w:noVBand="0"/>
      </w:tblPr>
      <w:tblGrid>
        <w:gridCol w:w="1838"/>
        <w:gridCol w:w="2268"/>
        <w:gridCol w:w="1560"/>
        <w:gridCol w:w="1702"/>
        <w:gridCol w:w="1843"/>
      </w:tblGrid>
      <w:tr w:rsidR="006F76EB" w:rsidRPr="00834D52" w14:paraId="4F94FC70"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4A5DB80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68" w:type="dxa"/>
            <w:tcBorders>
              <w:top w:val="single" w:sz="4" w:space="0" w:color="000000"/>
              <w:left w:val="single" w:sz="4" w:space="0" w:color="000000"/>
              <w:bottom w:val="single" w:sz="4" w:space="0" w:color="000000"/>
              <w:right w:val="single" w:sz="4" w:space="0" w:color="000000"/>
            </w:tcBorders>
          </w:tcPr>
          <w:p w14:paraId="086AD75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0" w:type="dxa"/>
            <w:tcBorders>
              <w:top w:val="single" w:sz="4" w:space="0" w:color="000000"/>
              <w:left w:val="single" w:sz="4" w:space="0" w:color="000000"/>
              <w:bottom w:val="single" w:sz="4" w:space="0" w:color="000000"/>
              <w:right w:val="single" w:sz="4" w:space="0" w:color="000000"/>
            </w:tcBorders>
          </w:tcPr>
          <w:p w14:paraId="05D4E24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2" w:type="dxa"/>
            <w:tcBorders>
              <w:top w:val="single" w:sz="4" w:space="0" w:color="000000"/>
              <w:left w:val="single" w:sz="4" w:space="0" w:color="000000"/>
              <w:bottom w:val="single" w:sz="4" w:space="0" w:color="000000"/>
              <w:right w:val="single" w:sz="4" w:space="0" w:color="000000"/>
            </w:tcBorders>
          </w:tcPr>
          <w:p w14:paraId="52FA83CE"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3" w:type="dxa"/>
            <w:tcBorders>
              <w:top w:val="single" w:sz="4" w:space="0" w:color="000000"/>
              <w:left w:val="single" w:sz="4" w:space="0" w:color="000000"/>
              <w:bottom w:val="single" w:sz="4" w:space="0" w:color="000000"/>
              <w:right w:val="single" w:sz="4" w:space="0" w:color="000000"/>
            </w:tcBorders>
          </w:tcPr>
          <w:p w14:paraId="6F9F5BE3"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Արտոնագրին տիրապետողը</w:t>
            </w:r>
          </w:p>
        </w:tc>
      </w:tr>
      <w:tr w:rsidR="006F76EB" w:rsidRPr="00834D52" w14:paraId="4A7976F8" w14:textId="77777777" w:rsidTr="00F71229">
        <w:tc>
          <w:tcPr>
            <w:tcW w:w="1838" w:type="dxa"/>
            <w:tcBorders>
              <w:top w:val="single" w:sz="4" w:space="0" w:color="000000"/>
              <w:left w:val="single" w:sz="4" w:space="0" w:color="000000"/>
              <w:bottom w:val="single" w:sz="4" w:space="0" w:color="000000"/>
              <w:right w:val="single" w:sz="4" w:space="0" w:color="000000"/>
            </w:tcBorders>
          </w:tcPr>
          <w:p w14:paraId="21A540F6" w14:textId="77777777" w:rsidR="006F76EB" w:rsidRPr="00834D52" w:rsidRDefault="006F76EB" w:rsidP="004947F6">
            <w:pPr>
              <w:spacing w:after="120" w:line="240" w:lineRule="auto"/>
              <w:ind w:right="-6"/>
              <w:rPr>
                <w:rFonts w:ascii="Sylfaen" w:hAnsi="Sylfae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BB9E2E6" w14:textId="77777777" w:rsidR="006F76EB" w:rsidRPr="00834D52" w:rsidRDefault="006F76EB" w:rsidP="004947F6">
            <w:pPr>
              <w:spacing w:after="120" w:line="240" w:lineRule="auto"/>
              <w:ind w:right="-6"/>
              <w:rPr>
                <w:rFonts w:ascii="Sylfaen" w:hAnsi="Sylfae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54280FA" w14:textId="77777777" w:rsidR="006F76EB" w:rsidRPr="00834D52" w:rsidRDefault="006F76EB" w:rsidP="004947F6">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635AAE1E" w14:textId="77777777" w:rsidR="006F76EB" w:rsidRPr="00834D52" w:rsidRDefault="006F76EB" w:rsidP="004947F6">
            <w:pPr>
              <w:spacing w:after="120" w:line="240" w:lineRule="auto"/>
              <w:ind w:right="-6"/>
              <w:rPr>
                <w:rFonts w:ascii="Sylfaen" w:hAnsi="Sylfae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8D690B0" w14:textId="77777777" w:rsidR="006F76EB" w:rsidRPr="00834D52" w:rsidRDefault="006F76EB" w:rsidP="004947F6">
            <w:pPr>
              <w:spacing w:after="120" w:line="240" w:lineRule="auto"/>
              <w:ind w:right="-6"/>
              <w:rPr>
                <w:rFonts w:ascii="Sylfaen" w:hAnsi="Sylfaen"/>
                <w:sz w:val="24"/>
                <w:szCs w:val="24"/>
              </w:rPr>
            </w:pPr>
          </w:p>
        </w:tc>
      </w:tr>
    </w:tbl>
    <w:p w14:paraId="30D5E96D" w14:textId="01F3D633"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կամ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պաշտպանված կամ լիցենզիայով փոխանցված մտավոր սեփականության իրավունքները չեն խախտվում դեղապատրաստուկի գրանցման հետ</w:t>
      </w:r>
      <w:r w:rsidR="00C54D75">
        <w:rPr>
          <w:rFonts w:ascii="Sylfaen" w:hAnsi="Sylfaen"/>
          <w:sz w:val="24"/>
          <w:szCs w:val="24"/>
        </w:rPr>
        <w:t>և</w:t>
      </w:r>
      <w:r w:rsidRPr="00834D52">
        <w:rPr>
          <w:rFonts w:ascii="Sylfaen" w:hAnsi="Sylfaen"/>
          <w:sz w:val="24"/>
          <w:szCs w:val="24"/>
        </w:rPr>
        <w:t>անքով:</w:t>
      </w:r>
    </w:p>
    <w:p w14:paraId="1968D291" w14:textId="77777777" w:rsidR="006F76EB" w:rsidRPr="00834D52" w:rsidRDefault="006F76EB" w:rsidP="004947F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10D0CB8" w14:textId="77777777" w:rsidTr="00F71229">
        <w:tc>
          <w:tcPr>
            <w:tcW w:w="2268" w:type="dxa"/>
          </w:tcPr>
          <w:p w14:paraId="6562C197"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7EFD9B0">
                <v:rect id="_x0000_s1243" style="position:absolute;left:0;text-align:left;margin-left:40.6pt;margin-top:3.05pt;width:12.75pt;height:12pt;z-index:251689472"/>
              </w:pict>
            </w:r>
            <w:r w:rsidR="006F76EB" w:rsidRPr="00834D52">
              <w:rPr>
                <w:rFonts w:ascii="Sylfaen" w:hAnsi="Sylfaen"/>
                <w:sz w:val="24"/>
                <w:szCs w:val="24"/>
              </w:rPr>
              <w:t>ոչ</w:t>
            </w:r>
          </w:p>
        </w:tc>
        <w:tc>
          <w:tcPr>
            <w:tcW w:w="2126" w:type="dxa"/>
          </w:tcPr>
          <w:p w14:paraId="18A9B18C"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77F222F">
                <v:rect id="_x0000_s1242" style="position:absolute;left:0;text-align:left;margin-left:15.15pt;margin-top:3.05pt;width:12.75pt;height:12pt;z-index:251690496;mso-position-horizontal-relative:text;mso-position-vertical-relative:text"/>
              </w:pict>
            </w:r>
            <w:r w:rsidR="006F76EB" w:rsidRPr="00834D52">
              <w:rPr>
                <w:rFonts w:ascii="Sylfaen" w:hAnsi="Sylfaen"/>
                <w:sz w:val="24"/>
                <w:szCs w:val="24"/>
              </w:rPr>
              <w:t>այո</w:t>
            </w:r>
          </w:p>
        </w:tc>
      </w:tr>
    </w:tbl>
    <w:p w14:paraId="2CADC5E9"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 ապա ներկայացրե՛ք այդ տեղեկատվությունը՝</w:t>
      </w:r>
    </w:p>
    <w:tbl>
      <w:tblPr>
        <w:tblW w:w="9407" w:type="dxa"/>
        <w:tblInd w:w="102" w:type="dxa"/>
        <w:tblLayout w:type="fixed"/>
        <w:tblCellMar>
          <w:left w:w="0" w:type="dxa"/>
          <w:right w:w="0" w:type="dxa"/>
        </w:tblCellMar>
        <w:tblLook w:val="01E0" w:firstRow="1" w:lastRow="1" w:firstColumn="1" w:lastColumn="1" w:noHBand="0" w:noVBand="0"/>
      </w:tblPr>
      <w:tblGrid>
        <w:gridCol w:w="1733"/>
        <w:gridCol w:w="2274"/>
        <w:gridCol w:w="1279"/>
        <w:gridCol w:w="1813"/>
        <w:gridCol w:w="2308"/>
      </w:tblGrid>
      <w:tr w:rsidR="006F76EB" w:rsidRPr="00834D52" w14:paraId="170B7584" w14:textId="77777777" w:rsidTr="004947F6">
        <w:trPr>
          <w:trHeight w:val="1453"/>
        </w:trPr>
        <w:tc>
          <w:tcPr>
            <w:tcW w:w="1733" w:type="dxa"/>
            <w:tcBorders>
              <w:top w:val="single" w:sz="4" w:space="0" w:color="000000"/>
              <w:left w:val="single" w:sz="4" w:space="0" w:color="000000"/>
              <w:bottom w:val="single" w:sz="4" w:space="0" w:color="000000"/>
              <w:right w:val="single" w:sz="4" w:space="0" w:color="000000"/>
            </w:tcBorders>
          </w:tcPr>
          <w:p w14:paraId="218E580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Վկայականի համարը</w:t>
            </w:r>
          </w:p>
        </w:tc>
        <w:tc>
          <w:tcPr>
            <w:tcW w:w="2274" w:type="dxa"/>
            <w:tcBorders>
              <w:top w:val="single" w:sz="4" w:space="0" w:color="000000"/>
              <w:left w:val="single" w:sz="4" w:space="0" w:color="000000"/>
              <w:bottom w:val="single" w:sz="4" w:space="0" w:color="000000"/>
              <w:right w:val="single" w:sz="4" w:space="0" w:color="000000"/>
            </w:tcBorders>
          </w:tcPr>
          <w:p w14:paraId="6CD40352"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79" w:type="dxa"/>
            <w:tcBorders>
              <w:top w:val="single" w:sz="4" w:space="0" w:color="000000"/>
              <w:left w:val="single" w:sz="4" w:space="0" w:color="000000"/>
              <w:bottom w:val="single" w:sz="4" w:space="0" w:color="000000"/>
              <w:right w:val="single" w:sz="4" w:space="0" w:color="000000"/>
            </w:tcBorders>
          </w:tcPr>
          <w:p w14:paraId="1C904785"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813" w:type="dxa"/>
            <w:tcBorders>
              <w:top w:val="single" w:sz="4" w:space="0" w:color="000000"/>
              <w:left w:val="single" w:sz="4" w:space="0" w:color="000000"/>
              <w:bottom w:val="single" w:sz="4" w:space="0" w:color="000000"/>
              <w:right w:val="single" w:sz="4" w:space="0" w:color="000000"/>
            </w:tcBorders>
          </w:tcPr>
          <w:p w14:paraId="66146DFD"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308" w:type="dxa"/>
            <w:tcBorders>
              <w:top w:val="single" w:sz="4" w:space="0" w:color="000000"/>
              <w:left w:val="single" w:sz="4" w:space="0" w:color="000000"/>
              <w:bottom w:val="single" w:sz="4" w:space="0" w:color="000000"/>
              <w:right w:val="single" w:sz="4" w:space="0" w:color="000000"/>
            </w:tcBorders>
          </w:tcPr>
          <w:p w14:paraId="38CC7759" w14:textId="77777777" w:rsidR="006F76EB" w:rsidRPr="00834D52" w:rsidRDefault="006F76EB" w:rsidP="004947F6">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4A0FD4DB" w14:textId="77777777" w:rsidTr="004947F6">
        <w:trPr>
          <w:trHeight w:val="599"/>
        </w:trPr>
        <w:tc>
          <w:tcPr>
            <w:tcW w:w="1733" w:type="dxa"/>
            <w:tcBorders>
              <w:top w:val="single" w:sz="4" w:space="0" w:color="000000"/>
              <w:left w:val="single" w:sz="4" w:space="0" w:color="000000"/>
              <w:bottom w:val="single" w:sz="4" w:space="0" w:color="000000"/>
              <w:right w:val="single" w:sz="4" w:space="0" w:color="000000"/>
            </w:tcBorders>
          </w:tcPr>
          <w:p w14:paraId="2DA7F6D0" w14:textId="77777777" w:rsidR="006F76EB" w:rsidRPr="00834D52" w:rsidRDefault="006F76EB" w:rsidP="004947F6">
            <w:pPr>
              <w:spacing w:after="120" w:line="240" w:lineRule="auto"/>
              <w:ind w:right="-6"/>
              <w:rPr>
                <w:rFonts w:ascii="Sylfaen" w:hAnsi="Sylfaen"/>
                <w:sz w:val="24"/>
                <w:szCs w:val="24"/>
              </w:rPr>
            </w:pPr>
          </w:p>
        </w:tc>
        <w:tc>
          <w:tcPr>
            <w:tcW w:w="2274" w:type="dxa"/>
            <w:tcBorders>
              <w:top w:val="single" w:sz="4" w:space="0" w:color="000000"/>
              <w:left w:val="single" w:sz="4" w:space="0" w:color="000000"/>
              <w:bottom w:val="single" w:sz="4" w:space="0" w:color="000000"/>
              <w:right w:val="single" w:sz="4" w:space="0" w:color="000000"/>
            </w:tcBorders>
          </w:tcPr>
          <w:p w14:paraId="1FB44356" w14:textId="77777777" w:rsidR="006F76EB" w:rsidRPr="00834D52" w:rsidRDefault="006F76EB" w:rsidP="004947F6">
            <w:pPr>
              <w:spacing w:after="120" w:line="240" w:lineRule="auto"/>
              <w:ind w:right="-6"/>
              <w:rPr>
                <w:rFonts w:ascii="Sylfaen" w:hAnsi="Sylfae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187EF71" w14:textId="77777777" w:rsidR="006F76EB" w:rsidRPr="00834D52" w:rsidRDefault="006F76EB" w:rsidP="004947F6">
            <w:pPr>
              <w:spacing w:after="120" w:line="240" w:lineRule="auto"/>
              <w:ind w:right="-6"/>
              <w:rPr>
                <w:rFonts w:ascii="Sylfaen" w:hAnsi="Sylfaen"/>
                <w:sz w:val="24"/>
                <w:szCs w:val="24"/>
              </w:rPr>
            </w:pPr>
          </w:p>
        </w:tc>
        <w:tc>
          <w:tcPr>
            <w:tcW w:w="1813" w:type="dxa"/>
            <w:tcBorders>
              <w:top w:val="single" w:sz="4" w:space="0" w:color="000000"/>
              <w:left w:val="single" w:sz="4" w:space="0" w:color="000000"/>
              <w:bottom w:val="single" w:sz="4" w:space="0" w:color="000000"/>
              <w:right w:val="single" w:sz="4" w:space="0" w:color="000000"/>
            </w:tcBorders>
          </w:tcPr>
          <w:p w14:paraId="36F99A8B" w14:textId="77777777" w:rsidR="006F76EB" w:rsidRPr="00834D52" w:rsidRDefault="006F76EB" w:rsidP="004947F6">
            <w:pPr>
              <w:spacing w:after="120" w:line="240" w:lineRule="auto"/>
              <w:ind w:right="-6"/>
              <w:rPr>
                <w:rFonts w:ascii="Sylfaen" w:hAnsi="Sylfaen"/>
                <w:sz w:val="24"/>
                <w:szCs w:val="24"/>
              </w:rPr>
            </w:pPr>
          </w:p>
        </w:tc>
        <w:tc>
          <w:tcPr>
            <w:tcW w:w="2308" w:type="dxa"/>
            <w:tcBorders>
              <w:top w:val="single" w:sz="4" w:space="0" w:color="000000"/>
              <w:left w:val="single" w:sz="4" w:space="0" w:color="000000"/>
              <w:bottom w:val="single" w:sz="4" w:space="0" w:color="000000"/>
              <w:right w:val="single" w:sz="4" w:space="0" w:color="000000"/>
            </w:tcBorders>
          </w:tcPr>
          <w:p w14:paraId="20AA8DD4" w14:textId="77777777" w:rsidR="006F76EB" w:rsidRPr="00834D52" w:rsidRDefault="006F76EB" w:rsidP="004947F6">
            <w:pPr>
              <w:spacing w:after="120" w:line="240" w:lineRule="auto"/>
              <w:ind w:right="-6"/>
              <w:rPr>
                <w:rFonts w:ascii="Sylfaen" w:hAnsi="Sylfaen"/>
                <w:sz w:val="24"/>
                <w:szCs w:val="24"/>
              </w:rPr>
            </w:pPr>
          </w:p>
        </w:tc>
      </w:tr>
    </w:tbl>
    <w:p w14:paraId="5C65C367" w14:textId="2D599CE5" w:rsidR="006F76EB" w:rsidRPr="00834D52" w:rsidRDefault="006F76EB" w:rsidP="004947F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Կցել </w:t>
      </w:r>
      <w:r w:rsidR="0056496B">
        <w:rPr>
          <w:rFonts w:ascii="Sylfaen" w:hAnsi="Sylfaen"/>
          <w:sz w:val="24"/>
          <w:szCs w:val="24"/>
        </w:rPr>
        <w:t>դիմումատու</w:t>
      </w:r>
      <w:r w:rsidRPr="00834D52">
        <w:rPr>
          <w:rFonts w:ascii="Sylfaen" w:hAnsi="Sylfaen"/>
          <w:sz w:val="24"/>
          <w:szCs w:val="24"/>
        </w:rPr>
        <w:t xml:space="preserve">ի կողմից վավերացված՝ Եվրասիական տնտեսական միության անդամ պետության տարածքում գործող ապրանքային նշանի գրանցման </w:t>
      </w:r>
      <w:r w:rsidRPr="00834D52">
        <w:rPr>
          <w:rFonts w:ascii="Sylfaen" w:hAnsi="Sylfaen"/>
          <w:sz w:val="24"/>
          <w:szCs w:val="24"/>
        </w:rPr>
        <w:lastRenderedPageBreak/>
        <w:t>վկայականի պատճենը:</w:t>
      </w:r>
    </w:p>
    <w:p w14:paraId="47062B32" w14:textId="68A66B45"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 չէ, ապա կցել </w:t>
      </w:r>
      <w:r w:rsidR="0056496B">
        <w:rPr>
          <w:rFonts w:ascii="Sylfaen" w:hAnsi="Sylfaen"/>
          <w:sz w:val="24"/>
          <w:szCs w:val="24"/>
        </w:rPr>
        <w:t>դիմումատու</w:t>
      </w:r>
      <w:r w:rsidRPr="00834D52">
        <w:rPr>
          <w:rFonts w:ascii="Sylfaen" w:hAnsi="Sylfaen"/>
          <w:sz w:val="24"/>
          <w:szCs w:val="24"/>
        </w:rPr>
        <w:t>ի կողմից վավերացված լիցենզիոն պայմանագրի պատճենը կամ ապրանքային նշանի օգտագործման իրավունքի տր</w:t>
      </w:r>
      <w:r w:rsidR="00037B30">
        <w:rPr>
          <w:rFonts w:ascii="Sylfaen" w:hAnsi="Sylfaen"/>
          <w:sz w:val="24"/>
          <w:szCs w:val="24"/>
        </w:rPr>
        <w:t>ա</w:t>
      </w:r>
      <w:r w:rsidRPr="00834D52">
        <w:rPr>
          <w:rFonts w:ascii="Sylfaen" w:hAnsi="Sylfaen"/>
          <w:sz w:val="24"/>
          <w:szCs w:val="24"/>
        </w:rPr>
        <w:t>մ</w:t>
      </w:r>
      <w:r w:rsidR="00037B30">
        <w:rPr>
          <w:rFonts w:ascii="Sylfaen" w:hAnsi="Sylfaen"/>
          <w:sz w:val="24"/>
          <w:szCs w:val="24"/>
        </w:rPr>
        <w:t>ադրմ</w:t>
      </w:r>
      <w:r w:rsidRPr="00834D52">
        <w:rPr>
          <w:rFonts w:ascii="Sylfaen" w:hAnsi="Sylfaen"/>
          <w:sz w:val="24"/>
          <w:szCs w:val="24"/>
        </w:rPr>
        <w:t>ան</w:t>
      </w:r>
      <w:r w:rsidR="00037B30">
        <w:rPr>
          <w:rFonts w:ascii="Sylfaen" w:hAnsi="Sylfaen"/>
          <w:sz w:val="24"/>
          <w:szCs w:val="24"/>
        </w:rPr>
        <w:t xml:space="preserve"> գրանցման</w:t>
      </w:r>
      <w:r w:rsidRPr="00834D52">
        <w:rPr>
          <w:rFonts w:ascii="Sylfaen" w:hAnsi="Sylfaen"/>
          <w:sz w:val="24"/>
          <w:szCs w:val="24"/>
        </w:rPr>
        <w:t xml:space="preserve"> հաստատումը:</w:t>
      </w:r>
    </w:p>
    <w:p w14:paraId="52B402C4" w14:textId="77777777" w:rsidR="006F76EB" w:rsidRPr="00834D52" w:rsidRDefault="006F76EB" w:rsidP="00B71A73">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44A0674" w14:textId="77777777" w:rsidTr="00F71229">
        <w:tc>
          <w:tcPr>
            <w:tcW w:w="2268" w:type="dxa"/>
          </w:tcPr>
          <w:p w14:paraId="5EDAFEBB" w14:textId="77777777" w:rsidR="006F76EB" w:rsidRPr="00834D52" w:rsidRDefault="00FC294A"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34F389E">
                <v:rect id="_x0000_s1245" style="position:absolute;left:0;text-align:left;margin-left:40.6pt;margin-top:3.05pt;width:12.75pt;height:12pt;z-index:251691520"/>
              </w:pict>
            </w:r>
            <w:r w:rsidR="006F76EB" w:rsidRPr="00834D52">
              <w:rPr>
                <w:rFonts w:ascii="Sylfaen" w:hAnsi="Sylfaen"/>
                <w:sz w:val="24"/>
                <w:szCs w:val="24"/>
              </w:rPr>
              <w:t>ոչ</w:t>
            </w:r>
          </w:p>
        </w:tc>
        <w:tc>
          <w:tcPr>
            <w:tcW w:w="2126" w:type="dxa"/>
          </w:tcPr>
          <w:p w14:paraId="126B2A7F" w14:textId="77777777" w:rsidR="006F76EB" w:rsidRPr="00834D52" w:rsidRDefault="00FC294A"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13BF38B">
                <v:rect id="_x0000_s1244" style="position:absolute;left:0;text-align:left;margin-left:15.15pt;margin-top:3.05pt;width:12.75pt;height:12pt;z-index:251692544;mso-position-horizontal-relative:text;mso-position-vertical-relative:text"/>
              </w:pict>
            </w:r>
            <w:r w:rsidR="006F76EB" w:rsidRPr="00834D52">
              <w:rPr>
                <w:rFonts w:ascii="Sylfaen" w:hAnsi="Sylfaen"/>
                <w:sz w:val="24"/>
                <w:szCs w:val="24"/>
              </w:rPr>
              <w:t>այո</w:t>
            </w:r>
          </w:p>
        </w:tc>
      </w:tr>
    </w:tbl>
    <w:p w14:paraId="16E6727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E09CC6A" w14:textId="77777777" w:rsidTr="00F71229">
        <w:tc>
          <w:tcPr>
            <w:tcW w:w="2268" w:type="dxa"/>
          </w:tcPr>
          <w:p w14:paraId="21C1653E" w14:textId="77777777" w:rsidR="006F76EB" w:rsidRPr="00834D52" w:rsidRDefault="00FC294A"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33FAF5F0">
                <v:rect id="_x0000_s1247" style="position:absolute;left:0;text-align:left;margin-left:40.6pt;margin-top:3.05pt;width:12.75pt;height:12pt;z-index:251693568"/>
              </w:pict>
            </w:r>
            <w:r w:rsidR="006F76EB" w:rsidRPr="00834D52">
              <w:rPr>
                <w:rFonts w:ascii="Sylfaen" w:hAnsi="Sylfaen"/>
                <w:sz w:val="24"/>
                <w:szCs w:val="24"/>
              </w:rPr>
              <w:t>ոչ</w:t>
            </w:r>
          </w:p>
        </w:tc>
        <w:tc>
          <w:tcPr>
            <w:tcW w:w="2126" w:type="dxa"/>
          </w:tcPr>
          <w:p w14:paraId="1355CF99" w14:textId="77777777" w:rsidR="006F76EB" w:rsidRPr="00834D52" w:rsidRDefault="00FC294A"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DB9B4E1">
                <v:rect id="_x0000_s1246" style="position:absolute;left:0;text-align:left;margin-left:15.15pt;margin-top:3.05pt;width:12.75pt;height:12pt;z-index:251694592;mso-position-horizontal-relative:text;mso-position-vertical-relative:text"/>
              </w:pict>
            </w:r>
            <w:r w:rsidR="006F76EB" w:rsidRPr="00834D52">
              <w:rPr>
                <w:rFonts w:ascii="Sylfaen" w:hAnsi="Sylfaen"/>
                <w:sz w:val="24"/>
                <w:szCs w:val="24"/>
              </w:rPr>
              <w:t>այո</w:t>
            </w:r>
          </w:p>
        </w:tc>
      </w:tr>
    </w:tbl>
    <w:p w14:paraId="38F3E250" w14:textId="77777777" w:rsidR="006F76EB" w:rsidRPr="00834D52" w:rsidRDefault="00AA40D1" w:rsidP="00B71A73">
      <w:pPr>
        <w:tabs>
          <w:tab w:val="left" w:pos="1134"/>
        </w:tabs>
        <w:spacing w:after="160" w:line="336" w:lineRule="auto"/>
        <w:ind w:right="-8" w:firstLine="567"/>
        <w:jc w:val="both"/>
        <w:rPr>
          <w:rFonts w:ascii="Sylfaen" w:eastAsia="Times New Roman" w:hAnsi="Sylfaen" w:cs="Times New Roman"/>
          <w:sz w:val="24"/>
          <w:szCs w:val="24"/>
        </w:rPr>
      </w:pPr>
      <w:r>
        <w:rPr>
          <w:rFonts w:ascii="Sylfaen" w:hAnsi="Sylfaen"/>
          <w:sz w:val="24"/>
          <w:szCs w:val="24"/>
        </w:rPr>
        <w:t>4</w:t>
      </w:r>
      <w:r w:rsidR="006F76EB" w:rsidRPr="00834D52">
        <w:rPr>
          <w:rFonts w:ascii="Sylfaen" w:hAnsi="Sylfaen"/>
          <w:sz w:val="24"/>
          <w:szCs w:val="24"/>
        </w:rPr>
        <w:t>.4.</w:t>
      </w:r>
      <w:r w:rsidR="006F76EB" w:rsidRPr="00834D52">
        <w:rPr>
          <w:rFonts w:ascii="Sylfaen" w:hAnsi="Sylfaen"/>
          <w:sz w:val="24"/>
          <w:szCs w:val="24"/>
        </w:rPr>
        <w:tab/>
        <w:t>Արդյոք Եվրասիական տնտեսական միության անդամ պետություններում անցկացվել է տվյալ դեղապատրաստուկի առնչությամբ նախնական գիտական խորհրդատվություն ՝</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27F6A875" w14:textId="77777777" w:rsidTr="00F71229">
        <w:tc>
          <w:tcPr>
            <w:tcW w:w="2268" w:type="dxa"/>
          </w:tcPr>
          <w:p w14:paraId="7F3DEECD" w14:textId="77777777" w:rsidR="006F76EB" w:rsidRPr="00834D52" w:rsidRDefault="00FC294A"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85CFA86">
                <v:rect id="_x0000_s1249" style="position:absolute;left:0;text-align:left;margin-left:40.6pt;margin-top:3.05pt;width:12.75pt;height:12pt;z-index:251695616"/>
              </w:pict>
            </w:r>
            <w:r w:rsidR="006F76EB" w:rsidRPr="00834D52">
              <w:rPr>
                <w:rFonts w:ascii="Sylfaen" w:hAnsi="Sylfaen"/>
                <w:sz w:val="24"/>
                <w:szCs w:val="24"/>
              </w:rPr>
              <w:t>ոչ</w:t>
            </w:r>
          </w:p>
        </w:tc>
        <w:tc>
          <w:tcPr>
            <w:tcW w:w="2126" w:type="dxa"/>
          </w:tcPr>
          <w:p w14:paraId="05FF2337" w14:textId="77777777" w:rsidR="006F76EB" w:rsidRPr="00834D52" w:rsidRDefault="00FC294A"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203B7E7">
                <v:rect id="_x0000_s1248" style="position:absolute;left:0;text-align:left;margin-left:15.15pt;margin-top:3.05pt;width:12.75pt;height:12pt;z-index:251696640;mso-position-horizontal-relative:text;mso-position-vertical-relative:text"/>
              </w:pict>
            </w:r>
            <w:r w:rsidR="006F76EB" w:rsidRPr="00834D52">
              <w:rPr>
                <w:rFonts w:ascii="Sylfaen" w:hAnsi="Sylfaen"/>
                <w:sz w:val="24"/>
                <w:szCs w:val="24"/>
              </w:rPr>
              <w:t>այո</w:t>
            </w:r>
          </w:p>
        </w:tc>
      </w:tr>
    </w:tbl>
    <w:p w14:paraId="3CA9622D"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3F9AE938"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492831BD"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467" w:type="dxa"/>
            <w:tcBorders>
              <w:top w:val="single" w:sz="4" w:space="0" w:color="000000"/>
              <w:left w:val="single" w:sz="4" w:space="0" w:color="000000"/>
              <w:bottom w:val="single" w:sz="4" w:space="0" w:color="000000"/>
              <w:right w:val="single" w:sz="4" w:space="0" w:color="000000"/>
            </w:tcBorders>
          </w:tcPr>
          <w:p w14:paraId="2608EDE3" w14:textId="77777777" w:rsidR="006F76EB" w:rsidRPr="00834D52" w:rsidRDefault="006F76EB" w:rsidP="00B71A73">
            <w:pPr>
              <w:spacing w:after="120" w:line="240" w:lineRule="auto"/>
              <w:ind w:right="-6"/>
              <w:rPr>
                <w:rFonts w:ascii="Sylfaen" w:hAnsi="Sylfaen"/>
                <w:sz w:val="24"/>
                <w:szCs w:val="24"/>
              </w:rPr>
            </w:pPr>
          </w:p>
        </w:tc>
      </w:tr>
      <w:tr w:rsidR="006F76EB" w:rsidRPr="00834D52" w14:paraId="36A81A01"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4F1D552"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3C918BAC" w14:textId="77777777" w:rsidR="006F76EB" w:rsidRPr="00834D52" w:rsidRDefault="006F76EB" w:rsidP="00B71A73">
            <w:pPr>
              <w:spacing w:after="120" w:line="240" w:lineRule="auto"/>
              <w:ind w:right="-6"/>
              <w:rPr>
                <w:rFonts w:ascii="Sylfaen" w:hAnsi="Sylfaen"/>
                <w:sz w:val="24"/>
                <w:szCs w:val="24"/>
              </w:rPr>
            </w:pPr>
          </w:p>
        </w:tc>
      </w:tr>
      <w:tr w:rsidR="006F76EB" w:rsidRPr="00834D52" w14:paraId="0B2D71D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9FA6E01" w14:textId="77777777" w:rsidR="006F76EB" w:rsidRPr="00834D52" w:rsidRDefault="006F76EB" w:rsidP="00B71A73">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467" w:type="dxa"/>
            <w:tcBorders>
              <w:top w:val="single" w:sz="4" w:space="0" w:color="000000"/>
              <w:left w:val="single" w:sz="4" w:space="0" w:color="000000"/>
              <w:bottom w:val="single" w:sz="4" w:space="0" w:color="000000"/>
              <w:right w:val="single" w:sz="4" w:space="0" w:color="000000"/>
            </w:tcBorders>
          </w:tcPr>
          <w:p w14:paraId="475B0DCE" w14:textId="77777777" w:rsidR="006F76EB" w:rsidRPr="00834D52" w:rsidRDefault="006F76EB" w:rsidP="00B71A73">
            <w:pPr>
              <w:spacing w:after="120" w:line="240" w:lineRule="auto"/>
              <w:ind w:right="-6"/>
              <w:rPr>
                <w:rFonts w:ascii="Sylfaen" w:hAnsi="Sylfaen"/>
                <w:sz w:val="24"/>
                <w:szCs w:val="24"/>
              </w:rPr>
            </w:pPr>
          </w:p>
        </w:tc>
      </w:tr>
    </w:tbl>
    <w:p w14:paraId="69748B4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Դեղամիջոցների փորձագիտական կոմիտեում</w:t>
      </w:r>
      <w:r w:rsidRPr="00834D52" w:rsidDel="00D67DB4">
        <w:rPr>
          <w:rFonts w:ascii="Sylfaen" w:hAnsi="Sylfaen"/>
          <w:sz w:val="24"/>
          <w:szCs w:val="24"/>
        </w:rPr>
        <w:t xml:space="preserve"> </w:t>
      </w:r>
      <w:r w:rsidRPr="00834D52">
        <w:rPr>
          <w:rFonts w:ascii="Sylfaen" w:hAnsi="Sylfaen"/>
          <w:sz w:val="24"/>
          <w:szCs w:val="24"/>
        </w:rPr>
        <w:t>անցկացվել է տվյալ դեղապատրաստուկի առնչությամբ նախնական գիտական խորհրդատվություն՝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A8C66AC" w14:textId="77777777" w:rsidTr="00F71229">
        <w:tc>
          <w:tcPr>
            <w:tcW w:w="2268" w:type="dxa"/>
          </w:tcPr>
          <w:p w14:paraId="370F5A7D"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B2EEDD">
                <v:rect id="_x0000_s1251" style="position:absolute;left:0;text-align:left;margin-left:40.6pt;margin-top:3.05pt;width:12.75pt;height:12pt;z-index:251697664"/>
              </w:pict>
            </w:r>
            <w:r w:rsidR="006F76EB" w:rsidRPr="00834D52">
              <w:rPr>
                <w:rFonts w:ascii="Sylfaen" w:hAnsi="Sylfaen"/>
                <w:sz w:val="24"/>
                <w:szCs w:val="24"/>
              </w:rPr>
              <w:t>ոչ</w:t>
            </w:r>
          </w:p>
        </w:tc>
        <w:tc>
          <w:tcPr>
            <w:tcW w:w="2126" w:type="dxa"/>
          </w:tcPr>
          <w:p w14:paraId="630F3C62"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28254E0">
                <v:rect id="_x0000_s1250" style="position:absolute;left:0;text-align:left;margin-left:15.15pt;margin-top:3.05pt;width:12.75pt;height:12pt;z-index:251698688;mso-position-horizontal-relative:text;mso-position-vertical-relative:text"/>
              </w:pict>
            </w:r>
            <w:r w:rsidR="006F76EB" w:rsidRPr="00834D52">
              <w:rPr>
                <w:rFonts w:ascii="Sylfaen" w:hAnsi="Sylfaen"/>
                <w:sz w:val="24"/>
                <w:szCs w:val="24"/>
              </w:rPr>
              <w:t>այո</w:t>
            </w:r>
          </w:p>
        </w:tc>
      </w:tr>
    </w:tbl>
    <w:p w14:paraId="574BC3FA"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676" w:type="dxa"/>
        <w:tblInd w:w="109" w:type="dxa"/>
        <w:tblLayout w:type="fixed"/>
        <w:tblCellMar>
          <w:left w:w="0" w:type="dxa"/>
          <w:right w:w="0" w:type="dxa"/>
        </w:tblCellMar>
        <w:tblLook w:val="01E0" w:firstRow="1" w:lastRow="1" w:firstColumn="1" w:lastColumn="1" w:noHBand="0" w:noVBand="0"/>
      </w:tblPr>
      <w:tblGrid>
        <w:gridCol w:w="4171"/>
        <w:gridCol w:w="5505"/>
      </w:tblGrid>
      <w:tr w:rsidR="006F76EB" w:rsidRPr="00834D52" w14:paraId="766805D1" w14:textId="77777777" w:rsidTr="00AF3B62">
        <w:trPr>
          <w:trHeight w:val="604"/>
        </w:trPr>
        <w:tc>
          <w:tcPr>
            <w:tcW w:w="4171" w:type="dxa"/>
            <w:tcBorders>
              <w:top w:val="single" w:sz="4" w:space="0" w:color="000000"/>
              <w:left w:val="single" w:sz="4" w:space="0" w:color="000000"/>
              <w:bottom w:val="single" w:sz="4" w:space="0" w:color="000000"/>
              <w:right w:val="single" w:sz="4" w:space="0" w:color="000000"/>
            </w:tcBorders>
          </w:tcPr>
          <w:p w14:paraId="10AA3274"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505" w:type="dxa"/>
            <w:tcBorders>
              <w:top w:val="single" w:sz="4" w:space="0" w:color="000000"/>
              <w:left w:val="single" w:sz="4" w:space="0" w:color="000000"/>
              <w:bottom w:val="single" w:sz="4" w:space="0" w:color="000000"/>
              <w:right w:val="single" w:sz="4" w:space="0" w:color="000000"/>
            </w:tcBorders>
          </w:tcPr>
          <w:p w14:paraId="6C5E3D71" w14:textId="77777777" w:rsidR="006F76EB" w:rsidRPr="00834D52" w:rsidRDefault="006F76EB" w:rsidP="00AF3B62">
            <w:pPr>
              <w:spacing w:after="120" w:line="240" w:lineRule="auto"/>
              <w:ind w:right="-6"/>
              <w:rPr>
                <w:rFonts w:ascii="Sylfaen" w:hAnsi="Sylfaen"/>
                <w:sz w:val="24"/>
                <w:szCs w:val="24"/>
              </w:rPr>
            </w:pPr>
          </w:p>
        </w:tc>
      </w:tr>
      <w:tr w:rsidR="006F76EB" w:rsidRPr="00834D52" w14:paraId="45AFB4C0" w14:textId="77777777" w:rsidTr="00AF3B62">
        <w:trPr>
          <w:trHeight w:val="1045"/>
        </w:trPr>
        <w:tc>
          <w:tcPr>
            <w:tcW w:w="4171" w:type="dxa"/>
            <w:tcBorders>
              <w:top w:val="single" w:sz="4" w:space="0" w:color="000000"/>
              <w:left w:val="single" w:sz="4" w:space="0" w:color="000000"/>
              <w:bottom w:val="single" w:sz="4" w:space="0" w:color="000000"/>
              <w:right w:val="single" w:sz="4" w:space="0" w:color="000000"/>
            </w:tcBorders>
          </w:tcPr>
          <w:p w14:paraId="0FB4272D" w14:textId="77777777" w:rsidR="006F76EB" w:rsidRPr="00834D52" w:rsidRDefault="006F76EB" w:rsidP="00AF3B62">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դոսյեի կազմում եզրակացության առկայության մասին նշում</w:t>
            </w:r>
          </w:p>
        </w:tc>
        <w:tc>
          <w:tcPr>
            <w:tcW w:w="5505" w:type="dxa"/>
            <w:tcBorders>
              <w:top w:val="single" w:sz="4" w:space="0" w:color="000000"/>
              <w:left w:val="single" w:sz="4" w:space="0" w:color="000000"/>
              <w:bottom w:val="single" w:sz="4" w:space="0" w:color="000000"/>
              <w:right w:val="single" w:sz="4" w:space="0" w:color="000000"/>
            </w:tcBorders>
          </w:tcPr>
          <w:p w14:paraId="0D4FB3C1" w14:textId="77777777" w:rsidR="006F76EB" w:rsidRPr="00834D52" w:rsidRDefault="006F76EB" w:rsidP="00AF3B62">
            <w:pPr>
              <w:spacing w:after="120" w:line="240" w:lineRule="auto"/>
              <w:ind w:right="-6"/>
              <w:rPr>
                <w:rFonts w:ascii="Sylfaen" w:hAnsi="Sylfaen"/>
                <w:sz w:val="24"/>
                <w:szCs w:val="24"/>
              </w:rPr>
            </w:pPr>
          </w:p>
        </w:tc>
      </w:tr>
    </w:tbl>
    <w:p w14:paraId="00B60817" w14:textId="77777777"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w:t>
      </w:r>
      <w:r w:rsidRPr="00834D52">
        <w:rPr>
          <w:rFonts w:ascii="Sylfaen" w:hAnsi="Sylfaen"/>
          <w:sz w:val="24"/>
          <w:szCs w:val="24"/>
        </w:rPr>
        <w:lastRenderedPageBreak/>
        <w:t xml:space="preserve">հավաստագրի մերժումների, հետկանչերի </w:t>
      </w:r>
      <w:r w:rsidR="00C54D75">
        <w:rPr>
          <w:rFonts w:ascii="Sylfaen" w:hAnsi="Sylfaen"/>
          <w:sz w:val="24"/>
          <w:szCs w:val="24"/>
        </w:rPr>
        <w:t>և</w:t>
      </w:r>
      <w:r w:rsidRPr="00834D52">
        <w:rPr>
          <w:rFonts w:ascii="Sylfaen" w:hAnsi="Sylfaen"/>
          <w:sz w:val="24"/>
          <w:szCs w:val="24"/>
        </w:rPr>
        <w:t xml:space="preserve"> գործողությունը դադարեցնելու մասին տեղեկատվություն:</w:t>
      </w:r>
    </w:p>
    <w:p w14:paraId="626101C4"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Եթե այո՝</w:t>
      </w:r>
    </w:p>
    <w:tbl>
      <w:tblPr>
        <w:tblW w:w="9529" w:type="dxa"/>
        <w:tblInd w:w="222" w:type="dxa"/>
        <w:tblLayout w:type="fixed"/>
        <w:tblCellMar>
          <w:left w:w="0" w:type="dxa"/>
          <w:right w:w="0" w:type="dxa"/>
        </w:tblCellMar>
        <w:tblLook w:val="01E0" w:firstRow="1" w:lastRow="1" w:firstColumn="1" w:lastColumn="1" w:noHBand="0" w:noVBand="0"/>
      </w:tblPr>
      <w:tblGrid>
        <w:gridCol w:w="2582"/>
        <w:gridCol w:w="1558"/>
        <w:gridCol w:w="1702"/>
        <w:gridCol w:w="1702"/>
        <w:gridCol w:w="1985"/>
      </w:tblGrid>
      <w:tr w:rsidR="006F76EB" w:rsidRPr="00834D52" w14:paraId="1C4750A3" w14:textId="77777777" w:rsidTr="00AF3B62">
        <w:trPr>
          <w:trHeight w:val="1000"/>
        </w:trPr>
        <w:tc>
          <w:tcPr>
            <w:tcW w:w="2582" w:type="dxa"/>
            <w:tcBorders>
              <w:top w:val="single" w:sz="4" w:space="0" w:color="000000"/>
              <w:left w:val="single" w:sz="4" w:space="0" w:color="000000"/>
              <w:bottom w:val="single" w:sz="4" w:space="0" w:color="000000"/>
              <w:right w:val="single" w:sz="4" w:space="0" w:color="000000"/>
            </w:tcBorders>
          </w:tcPr>
          <w:p w14:paraId="3E8DAAE0"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558" w:type="dxa"/>
            <w:tcBorders>
              <w:top w:val="single" w:sz="4" w:space="0" w:color="000000"/>
              <w:left w:val="single" w:sz="4" w:space="0" w:color="000000"/>
              <w:bottom w:val="single" w:sz="4" w:space="0" w:color="000000"/>
              <w:right w:val="single" w:sz="4" w:space="0" w:color="000000"/>
            </w:tcBorders>
          </w:tcPr>
          <w:p w14:paraId="5BE11D2E"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702" w:type="dxa"/>
            <w:tcBorders>
              <w:top w:val="single" w:sz="4" w:space="0" w:color="000000"/>
              <w:left w:val="single" w:sz="4" w:space="0" w:color="000000"/>
              <w:bottom w:val="single" w:sz="4" w:space="0" w:color="000000"/>
              <w:right w:val="single" w:sz="4" w:space="0" w:color="000000"/>
            </w:tcBorders>
          </w:tcPr>
          <w:p w14:paraId="66294453"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Երկիրը</w:t>
            </w:r>
          </w:p>
        </w:tc>
        <w:tc>
          <w:tcPr>
            <w:tcW w:w="1702" w:type="dxa"/>
            <w:tcBorders>
              <w:top w:val="single" w:sz="4" w:space="0" w:color="000000"/>
              <w:left w:val="single" w:sz="4" w:space="0" w:color="000000"/>
              <w:bottom w:val="single" w:sz="4" w:space="0" w:color="000000"/>
              <w:right w:val="single" w:sz="4" w:space="0" w:color="000000"/>
            </w:tcBorders>
          </w:tcPr>
          <w:p w14:paraId="582F2374"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985" w:type="dxa"/>
            <w:tcBorders>
              <w:top w:val="single" w:sz="4" w:space="0" w:color="000000"/>
              <w:left w:val="single" w:sz="4" w:space="0" w:color="000000"/>
              <w:bottom w:val="single" w:sz="4" w:space="0" w:color="000000"/>
              <w:right w:val="single" w:sz="4" w:space="0" w:color="000000"/>
            </w:tcBorders>
          </w:tcPr>
          <w:p w14:paraId="23700A49" w14:textId="77777777" w:rsidR="006F76EB" w:rsidRPr="00834D52" w:rsidRDefault="006F76EB" w:rsidP="00AF3B62">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31F1F449"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76ED46F1" w14:textId="77777777" w:rsidR="006F76EB" w:rsidRPr="00834D52" w:rsidRDefault="006F76EB" w:rsidP="00AF3B62">
            <w:pPr>
              <w:spacing w:after="120" w:line="240" w:lineRule="auto"/>
              <w:ind w:right="-6"/>
              <w:rPr>
                <w:rFonts w:ascii="Sylfaen" w:hAnsi="Sylfae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7C78191"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0BC24E74"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38486326"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108CAF" w14:textId="77777777" w:rsidR="006F76EB" w:rsidRPr="00834D52" w:rsidRDefault="006F76EB" w:rsidP="00AF3B62">
            <w:pPr>
              <w:spacing w:after="120" w:line="240" w:lineRule="auto"/>
              <w:ind w:right="-6"/>
              <w:rPr>
                <w:rFonts w:ascii="Sylfaen" w:hAnsi="Sylfaen"/>
                <w:sz w:val="24"/>
                <w:szCs w:val="24"/>
              </w:rPr>
            </w:pPr>
          </w:p>
        </w:tc>
      </w:tr>
      <w:tr w:rsidR="006F76EB" w:rsidRPr="00834D52" w14:paraId="395053B6" w14:textId="77777777" w:rsidTr="00AF3B62">
        <w:trPr>
          <w:trHeight w:val="590"/>
        </w:trPr>
        <w:tc>
          <w:tcPr>
            <w:tcW w:w="2582" w:type="dxa"/>
            <w:tcBorders>
              <w:top w:val="single" w:sz="4" w:space="0" w:color="000000"/>
              <w:left w:val="single" w:sz="4" w:space="0" w:color="000000"/>
              <w:bottom w:val="single" w:sz="4" w:space="0" w:color="000000"/>
              <w:right w:val="single" w:sz="4" w:space="0" w:color="000000"/>
            </w:tcBorders>
          </w:tcPr>
          <w:p w14:paraId="2A355EC6" w14:textId="77777777" w:rsidR="006F76EB" w:rsidRPr="00834D52" w:rsidRDefault="006F76EB" w:rsidP="00AF3B62">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1558" w:type="dxa"/>
            <w:tcBorders>
              <w:top w:val="single" w:sz="4" w:space="0" w:color="000000"/>
              <w:left w:val="single" w:sz="4" w:space="0" w:color="000000"/>
              <w:bottom w:val="single" w:sz="4" w:space="0" w:color="000000"/>
              <w:right w:val="single" w:sz="4" w:space="0" w:color="000000"/>
            </w:tcBorders>
          </w:tcPr>
          <w:p w14:paraId="5C81ABFE"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5B015D9" w14:textId="77777777" w:rsidR="006F76EB" w:rsidRPr="00834D52" w:rsidRDefault="006F76EB" w:rsidP="00AF3B62">
            <w:pPr>
              <w:spacing w:after="120" w:line="240" w:lineRule="auto"/>
              <w:ind w:right="-6"/>
              <w:rPr>
                <w:rFonts w:ascii="Sylfaen" w:hAnsi="Sylfae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7F431938" w14:textId="77777777" w:rsidR="006F76EB" w:rsidRPr="00834D52" w:rsidRDefault="006F76EB" w:rsidP="00AF3B62">
            <w:pPr>
              <w:spacing w:after="120" w:line="240" w:lineRule="auto"/>
              <w:ind w:right="-6"/>
              <w:rPr>
                <w:rFonts w:ascii="Sylfaen" w:hAnsi="Sylfae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C2B6F0E" w14:textId="77777777" w:rsidR="006F76EB" w:rsidRPr="00834D52" w:rsidRDefault="006F76EB" w:rsidP="00AF3B62">
            <w:pPr>
              <w:spacing w:after="120" w:line="240" w:lineRule="auto"/>
              <w:ind w:right="-6"/>
              <w:rPr>
                <w:rFonts w:ascii="Sylfaen" w:hAnsi="Sylfaen"/>
                <w:sz w:val="24"/>
                <w:szCs w:val="24"/>
              </w:rPr>
            </w:pPr>
          </w:p>
        </w:tc>
      </w:tr>
    </w:tbl>
    <w:p w14:paraId="59A84EF9" w14:textId="77777777" w:rsidR="006F76EB" w:rsidRPr="00834D52" w:rsidRDefault="006F76EB" w:rsidP="006F76EB">
      <w:pPr>
        <w:spacing w:after="160" w:line="336" w:lineRule="auto"/>
        <w:ind w:right="-8"/>
        <w:jc w:val="center"/>
        <w:rPr>
          <w:rFonts w:ascii="Sylfaen" w:hAnsi="Sylfaen"/>
          <w:sz w:val="24"/>
          <w:szCs w:val="24"/>
          <w:lang w:val="en-US"/>
        </w:rPr>
      </w:pPr>
    </w:p>
    <w:p w14:paraId="28EA88D7" w14:textId="72A14B18"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հավելվածները</w:t>
      </w:r>
    </w:p>
    <w:p w14:paraId="4890668A" w14:textId="42CC2D4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իրավաբանական նշանակություն ունեցող գործողություններ կատարելու լիազորագիրը (եթե կիրառելի է):</w:t>
      </w:r>
    </w:p>
    <w:p w14:paraId="66BA8C1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կիրառվող («որբ») կարգավիճակը հաստատող փաստաթղթի պատճենը:</w:t>
      </w:r>
    </w:p>
    <w:p w14:paraId="1D9CD434" w14:textId="77777777" w:rsidR="006F76EB" w:rsidRPr="00834D52" w:rsidRDefault="006F76EB" w:rsidP="00AF3B62">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Գրանցվող դեղապատրաստուկի առնչությամբ Եվրասիական տնտեսական միության անդամ պետությունների տարածքում գործող արտոնագրերի պատճենները:</w:t>
      </w:r>
    </w:p>
    <w:p w14:paraId="248588D0" w14:textId="31C3D686" w:rsidR="006F76EB" w:rsidRPr="00834D52" w:rsidRDefault="006F76EB" w:rsidP="00AF3B62">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գրանցմամբ չի խախտվում երրորդ անձանց մտավոր սեփականության իրավունքները:</w:t>
      </w:r>
    </w:p>
    <w:p w14:paraId="31DE56B3" w14:textId="77777777" w:rsidR="006F76EB" w:rsidRPr="00834D52" w:rsidRDefault="006F76EB" w:rsidP="00AF3B62">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Եվրասիական տնտեսական միության անդամ պետության տարածքում գործող ապրանքային նշանի գրանցման վկայականի պատճենը:</w:t>
      </w:r>
    </w:p>
    <w:p w14:paraId="39B0E147" w14:textId="6C7A7C24" w:rsidR="006F76EB" w:rsidRPr="00834D52" w:rsidRDefault="006F76EB" w:rsidP="00AF3B62">
      <w:pPr>
        <w:tabs>
          <w:tab w:val="left" w:pos="1134"/>
        </w:tabs>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5.6.</w:t>
      </w:r>
      <w:r w:rsidRPr="00834D52">
        <w:rPr>
          <w:rFonts w:ascii="Sylfaen" w:hAnsi="Sylfaen"/>
          <w:spacing w:val="-4"/>
          <w:sz w:val="24"/>
          <w:szCs w:val="24"/>
        </w:rPr>
        <w:tab/>
        <w:t xml:space="preserve">Որակի հսկողության հարցերով լիազորված անձի </w:t>
      </w:r>
      <w:r w:rsidR="0056496B">
        <w:rPr>
          <w:rFonts w:ascii="Sylfaen" w:hAnsi="Sylfaen"/>
          <w:spacing w:val="-4"/>
          <w:sz w:val="24"/>
          <w:szCs w:val="24"/>
        </w:rPr>
        <w:t>դիմում</w:t>
      </w:r>
      <w:r w:rsidRPr="00834D52">
        <w:rPr>
          <w:rFonts w:ascii="Sylfaen" w:hAnsi="Sylfaen"/>
          <w:spacing w:val="-4"/>
          <w:sz w:val="24"/>
          <w:szCs w:val="24"/>
        </w:rPr>
        <w:t xml:space="preserve">ը՝ արտադրության՝ Եվրասիական տնտեսական միության պատշաճ արտադրական գործունեության կանոններին </w:t>
      </w:r>
      <w:r w:rsidR="00C54D75">
        <w:rPr>
          <w:rFonts w:ascii="Sylfaen" w:hAnsi="Sylfaen"/>
          <w:spacing w:val="-4"/>
          <w:sz w:val="24"/>
          <w:szCs w:val="24"/>
        </w:rPr>
        <w:t>և</w:t>
      </w:r>
      <w:r w:rsidRPr="00834D52">
        <w:rPr>
          <w:rFonts w:ascii="Sylfaen" w:hAnsi="Sylfaen"/>
          <w:spacing w:val="-4"/>
          <w:sz w:val="24"/>
          <w:szCs w:val="24"/>
        </w:rPr>
        <w:t xml:space="preserve"> դեղապատրաստուկի ու ԱԴԲ-ի արտադրության գործընթացում օգտագործվող յուրաքանչյուր արտադրական հարթակի համար ելանյութերի մասով պատշաճ գործունեության ձեռնարկներին </w:t>
      </w:r>
      <w:r w:rsidRPr="00834D52">
        <w:rPr>
          <w:rFonts w:ascii="Sylfaen" w:hAnsi="Sylfaen"/>
          <w:spacing w:val="-4"/>
          <w:sz w:val="24"/>
          <w:szCs w:val="24"/>
        </w:rPr>
        <w:lastRenderedPageBreak/>
        <w:t>համապատասխանելու մասին, ներառյալ այն հարթակները, որտեղ իրականացվում է որակի հսկողություն (արտադրության գործընթացում հսկողություն):</w:t>
      </w:r>
    </w:p>
    <w:p w14:paraId="51BF28E0" w14:textId="4625EF63" w:rsidR="006F76EB" w:rsidRPr="00F06D43" w:rsidRDefault="006F76EB" w:rsidP="006F76EB">
      <w:pPr>
        <w:spacing w:after="160" w:line="360" w:lineRule="auto"/>
        <w:ind w:left="567" w:right="565"/>
        <w:jc w:val="center"/>
        <w:rPr>
          <w:rFonts w:ascii="Sylfaen" w:eastAsia="Times New Roman" w:hAnsi="Sylfaen" w:cs="Times New Roman"/>
          <w:sz w:val="24"/>
          <w:szCs w:val="24"/>
        </w:rPr>
      </w:pPr>
      <w:r w:rsidRPr="00F06D43">
        <w:rPr>
          <w:rFonts w:ascii="Sylfaen" w:hAnsi="Sylfaen"/>
          <w:sz w:val="24"/>
          <w:szCs w:val="24"/>
        </w:rPr>
        <w:t xml:space="preserve">III. </w:t>
      </w:r>
      <w:r w:rsidR="0056496B">
        <w:rPr>
          <w:rFonts w:ascii="Sylfaen" w:hAnsi="Sylfaen"/>
          <w:sz w:val="24"/>
          <w:szCs w:val="24"/>
        </w:rPr>
        <w:t>ԴԻՄՈՒՄ</w:t>
      </w:r>
      <w:r w:rsidRPr="00F06D43">
        <w:rPr>
          <w:rFonts w:ascii="Sylfaen" w:hAnsi="Sylfaen"/>
          <w:sz w:val="24"/>
          <w:szCs w:val="24"/>
        </w:rPr>
        <w:t xml:space="preserve"> </w:t>
      </w:r>
      <w:r w:rsidR="00537062">
        <w:rPr>
          <w:rFonts w:ascii="Sylfaen" w:hAnsi="Sylfaen"/>
          <w:sz w:val="24"/>
          <w:szCs w:val="24"/>
        </w:rPr>
        <w:br/>
      </w:r>
      <w:r w:rsidR="00F06D43" w:rsidRPr="00F06D43">
        <w:rPr>
          <w:rFonts w:ascii="Sylfaen" w:hAnsi="Sylfaen"/>
          <w:sz w:val="24"/>
          <w:szCs w:val="24"/>
        </w:rPr>
        <w:t>Դ</w:t>
      </w:r>
      <w:r w:rsidRPr="00F06D43">
        <w:rPr>
          <w:rFonts w:ascii="Sylfaen" w:hAnsi="Sylfaen"/>
          <w:sz w:val="24"/>
          <w:szCs w:val="24"/>
        </w:rPr>
        <w:t xml:space="preserve">եղապատրաստուկի գրանցման դոսյեում </w:t>
      </w:r>
      <w:r w:rsidRPr="00F06D43">
        <w:rPr>
          <w:rFonts w:ascii="Sylfaen" w:hAnsi="Sylfaen"/>
          <w:sz w:val="24"/>
          <w:szCs w:val="24"/>
        </w:rPr>
        <w:br/>
        <w:t>փոփոխություններ կատարելու մասին</w:t>
      </w:r>
    </w:p>
    <w:tbl>
      <w:tblPr>
        <w:tblStyle w:val="TableGrid"/>
        <w:tblW w:w="955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456"/>
      </w:tblGrid>
      <w:tr w:rsidR="006F76EB" w:rsidRPr="00834D52" w14:paraId="3297B0B6" w14:textId="77777777" w:rsidTr="00B9781A">
        <w:trPr>
          <w:trHeight w:val="442"/>
        </w:trPr>
        <w:tc>
          <w:tcPr>
            <w:tcW w:w="5103" w:type="dxa"/>
          </w:tcPr>
          <w:p w14:paraId="2D8FE92D" w14:textId="77E87990" w:rsidR="006F76EB" w:rsidRPr="00834D52" w:rsidRDefault="0056496B" w:rsidP="00F71229">
            <w:pPr>
              <w:spacing w:after="160" w:line="360" w:lineRule="auto"/>
              <w:ind w:right="-8"/>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ն ստանալու ամսաթիվը</w:t>
            </w:r>
          </w:p>
        </w:tc>
        <w:tc>
          <w:tcPr>
            <w:tcW w:w="4456" w:type="dxa"/>
            <w:vMerge w:val="restart"/>
          </w:tcPr>
          <w:p w14:paraId="04F127FC" w14:textId="77777777" w:rsidR="006F76EB" w:rsidRPr="00834D52" w:rsidRDefault="006F76EB" w:rsidP="00F71229">
            <w:pPr>
              <w:spacing w:after="160" w:line="360" w:lineRule="auto"/>
              <w:ind w:right="-8"/>
              <w:rPr>
                <w:rFonts w:ascii="Sylfaen" w:eastAsia="Times New Roman" w:hAnsi="Sylfaen" w:cs="Times New Roman"/>
                <w:sz w:val="24"/>
                <w:szCs w:val="24"/>
              </w:rPr>
            </w:pPr>
            <w:r w:rsidRPr="00834D52">
              <w:rPr>
                <w:rFonts w:ascii="Sylfaen" w:hAnsi="Sylfaen"/>
                <w:sz w:val="24"/>
                <w:szCs w:val="24"/>
              </w:rPr>
              <w:t>թիվ _______________________________</w:t>
            </w:r>
          </w:p>
        </w:tc>
      </w:tr>
      <w:tr w:rsidR="006F76EB" w:rsidRPr="00834D52" w14:paraId="23177D77" w14:textId="77777777" w:rsidTr="00B9781A">
        <w:trPr>
          <w:trHeight w:val="497"/>
        </w:trPr>
        <w:tc>
          <w:tcPr>
            <w:tcW w:w="5103" w:type="dxa"/>
          </w:tcPr>
          <w:p w14:paraId="0062F882" w14:textId="77777777" w:rsidR="006F76EB" w:rsidRPr="00834D52" w:rsidRDefault="006F76EB" w:rsidP="00F71229">
            <w:pPr>
              <w:spacing w:after="160" w:line="360" w:lineRule="auto"/>
              <w:ind w:right="-8"/>
              <w:rPr>
                <w:rFonts w:ascii="Sylfaen" w:hAnsi="Sylfaen"/>
                <w:sz w:val="24"/>
                <w:szCs w:val="24"/>
              </w:rPr>
            </w:pPr>
            <w:r w:rsidRPr="00834D52">
              <w:rPr>
                <w:rFonts w:ascii="Sylfaen" w:hAnsi="Sylfaen"/>
                <w:sz w:val="24"/>
                <w:szCs w:val="24"/>
              </w:rPr>
              <w:t>«___» _______________ 20 ___ թ.</w:t>
            </w:r>
          </w:p>
        </w:tc>
        <w:tc>
          <w:tcPr>
            <w:tcW w:w="4456" w:type="dxa"/>
            <w:vMerge/>
          </w:tcPr>
          <w:p w14:paraId="6FE44427" w14:textId="77777777" w:rsidR="006F76EB" w:rsidRPr="00834D52" w:rsidRDefault="006F76EB" w:rsidP="00F71229">
            <w:pPr>
              <w:spacing w:after="160" w:line="360" w:lineRule="auto"/>
              <w:ind w:right="-8"/>
              <w:rPr>
                <w:rFonts w:ascii="Sylfaen" w:hAnsi="Sylfaen"/>
                <w:sz w:val="24"/>
                <w:szCs w:val="24"/>
              </w:rPr>
            </w:pPr>
          </w:p>
        </w:tc>
      </w:tr>
    </w:tbl>
    <w:p w14:paraId="5734F24E" w14:textId="77777777" w:rsidR="006F76EB" w:rsidRPr="00834D52" w:rsidRDefault="006F76EB" w:rsidP="00666B75">
      <w:pPr>
        <w:spacing w:after="120" w:line="240" w:lineRule="auto"/>
        <w:ind w:right="-6"/>
        <w:jc w:val="center"/>
        <w:rPr>
          <w:rFonts w:ascii="Sylfaen" w:eastAsia="Times New Roman" w:hAnsi="Sylfaen" w:cs="Times New Roma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5558"/>
        <w:gridCol w:w="4241"/>
      </w:tblGrid>
      <w:tr w:rsidR="006F76EB" w:rsidRPr="00834D52" w14:paraId="359CDDC2" w14:textId="77777777" w:rsidTr="00BC304C">
        <w:trPr>
          <w:trHeight w:val="640"/>
          <w:jc w:val="center"/>
        </w:trPr>
        <w:tc>
          <w:tcPr>
            <w:tcW w:w="5558" w:type="dxa"/>
            <w:tcBorders>
              <w:top w:val="single" w:sz="4" w:space="0" w:color="000000"/>
              <w:left w:val="single" w:sz="4" w:space="0" w:color="000000"/>
              <w:bottom w:val="single" w:sz="4" w:space="0" w:color="000000"/>
              <w:right w:val="single" w:sz="4" w:space="0" w:color="000000"/>
            </w:tcBorders>
          </w:tcPr>
          <w:p w14:paraId="25407D6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առ</w:t>
            </w:r>
            <w:r w:rsidR="00C54D75">
              <w:rPr>
                <w:rFonts w:ascii="Sylfaen" w:hAnsi="Sylfaen"/>
                <w:sz w:val="24"/>
                <w:szCs w:val="24"/>
              </w:rPr>
              <w:t>և</w:t>
            </w:r>
            <w:r w:rsidRPr="00834D52">
              <w:rPr>
                <w:rFonts w:ascii="Sylfaen" w:hAnsi="Sylfaen"/>
                <w:sz w:val="24"/>
                <w:szCs w:val="24"/>
              </w:rPr>
              <w:t>տրային անվանումները</w:t>
            </w:r>
          </w:p>
        </w:tc>
        <w:tc>
          <w:tcPr>
            <w:tcW w:w="4241" w:type="dxa"/>
            <w:tcBorders>
              <w:top w:val="single" w:sz="4" w:space="0" w:color="000000"/>
              <w:left w:val="single" w:sz="4" w:space="0" w:color="000000"/>
              <w:bottom w:val="single" w:sz="4" w:space="0" w:color="000000"/>
              <w:right w:val="single" w:sz="4" w:space="0" w:color="000000"/>
            </w:tcBorders>
          </w:tcPr>
          <w:p w14:paraId="3617441D" w14:textId="77777777" w:rsidR="006F76EB" w:rsidRPr="00834D52" w:rsidRDefault="006F76EB" w:rsidP="00537062">
            <w:pPr>
              <w:spacing w:after="60" w:line="240" w:lineRule="auto"/>
              <w:ind w:right="-6"/>
              <w:rPr>
                <w:rFonts w:ascii="Sylfaen" w:hAnsi="Sylfaen"/>
                <w:sz w:val="24"/>
                <w:szCs w:val="24"/>
              </w:rPr>
            </w:pPr>
          </w:p>
        </w:tc>
      </w:tr>
      <w:tr w:rsidR="006F76EB" w:rsidRPr="00834D52" w14:paraId="5C10B428"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5DF4316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Ակտիվ դեղաբանական բաղադրամասերը</w:t>
            </w:r>
          </w:p>
        </w:tc>
        <w:tc>
          <w:tcPr>
            <w:tcW w:w="4241" w:type="dxa"/>
            <w:tcBorders>
              <w:top w:val="single" w:sz="4" w:space="0" w:color="000000"/>
              <w:left w:val="single" w:sz="4" w:space="0" w:color="000000"/>
              <w:bottom w:val="single" w:sz="4" w:space="0" w:color="000000"/>
              <w:right w:val="single" w:sz="4" w:space="0" w:color="000000"/>
            </w:tcBorders>
          </w:tcPr>
          <w:p w14:paraId="7C18BCD2" w14:textId="77777777" w:rsidR="006F76EB" w:rsidRPr="00834D52" w:rsidRDefault="006F76EB" w:rsidP="00537062">
            <w:pPr>
              <w:spacing w:after="60" w:line="240" w:lineRule="auto"/>
              <w:ind w:right="-6"/>
              <w:rPr>
                <w:rFonts w:ascii="Sylfaen" w:hAnsi="Sylfaen"/>
                <w:sz w:val="24"/>
                <w:szCs w:val="24"/>
              </w:rPr>
            </w:pPr>
          </w:p>
        </w:tc>
      </w:tr>
      <w:tr w:rsidR="006F76EB" w:rsidRPr="00834D52" w14:paraId="37279FC0" w14:textId="77777777" w:rsidTr="00BC304C">
        <w:trPr>
          <w:trHeight w:val="668"/>
          <w:jc w:val="center"/>
        </w:trPr>
        <w:tc>
          <w:tcPr>
            <w:tcW w:w="5558" w:type="dxa"/>
            <w:tcBorders>
              <w:top w:val="single" w:sz="4" w:space="0" w:color="000000"/>
              <w:left w:val="single" w:sz="4" w:space="0" w:color="000000"/>
              <w:bottom w:val="single" w:sz="4" w:space="0" w:color="000000"/>
              <w:right w:val="single" w:sz="4" w:space="0" w:color="000000"/>
            </w:tcBorders>
          </w:tcPr>
          <w:p w14:paraId="07DC43B8" w14:textId="77777777" w:rsidR="006F76EB" w:rsidRPr="00834D52" w:rsidRDefault="006F76EB" w:rsidP="00537062">
            <w:pPr>
              <w:spacing w:after="60" w:line="240" w:lineRule="auto"/>
              <w:ind w:left="186" w:right="69"/>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4241" w:type="dxa"/>
            <w:tcBorders>
              <w:top w:val="single" w:sz="4" w:space="0" w:color="000000"/>
              <w:left w:val="single" w:sz="4" w:space="0" w:color="000000"/>
              <w:bottom w:val="single" w:sz="4" w:space="0" w:color="000000"/>
              <w:right w:val="single" w:sz="4" w:space="0" w:color="000000"/>
            </w:tcBorders>
          </w:tcPr>
          <w:p w14:paraId="281E8D83" w14:textId="77777777" w:rsidR="006F76EB" w:rsidRPr="00834D52" w:rsidRDefault="006F76EB" w:rsidP="00537062">
            <w:pPr>
              <w:spacing w:after="60" w:line="240" w:lineRule="auto"/>
              <w:ind w:right="-6"/>
              <w:rPr>
                <w:rFonts w:ascii="Sylfaen" w:hAnsi="Sylfaen"/>
                <w:sz w:val="24"/>
                <w:szCs w:val="24"/>
              </w:rPr>
            </w:pPr>
          </w:p>
        </w:tc>
      </w:tr>
      <w:tr w:rsidR="006F76EB" w:rsidRPr="00834D52" w14:paraId="3F4D39C9"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628555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545E436B" w14:textId="77777777" w:rsidR="006F76EB" w:rsidRPr="00834D52" w:rsidRDefault="006F76EB" w:rsidP="00537062">
            <w:pPr>
              <w:spacing w:after="60" w:line="240" w:lineRule="auto"/>
              <w:ind w:right="-6"/>
              <w:rPr>
                <w:rFonts w:ascii="Sylfaen" w:hAnsi="Sylfaen"/>
                <w:sz w:val="24"/>
                <w:szCs w:val="24"/>
              </w:rPr>
            </w:pPr>
          </w:p>
        </w:tc>
      </w:tr>
      <w:tr w:rsidR="006F76EB" w:rsidRPr="00834D52" w14:paraId="0413DC5D"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10AEACA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Բացթողման ձ</w:t>
            </w:r>
            <w:r w:rsidR="00C54D75">
              <w:rPr>
                <w:rFonts w:ascii="Sylfaen" w:hAnsi="Sylfaen"/>
                <w:sz w:val="24"/>
                <w:szCs w:val="24"/>
              </w:rPr>
              <w:t>և</w:t>
            </w:r>
            <w:r w:rsidRPr="00834D52">
              <w:rPr>
                <w:rFonts w:ascii="Sylfaen" w:hAnsi="Sylfaen"/>
                <w:sz w:val="24"/>
                <w:szCs w:val="24"/>
              </w:rPr>
              <w:t>ը</w:t>
            </w:r>
          </w:p>
        </w:tc>
        <w:tc>
          <w:tcPr>
            <w:tcW w:w="4241" w:type="dxa"/>
            <w:tcBorders>
              <w:top w:val="single" w:sz="4" w:space="0" w:color="000000"/>
              <w:left w:val="single" w:sz="4" w:space="0" w:color="000000"/>
              <w:bottom w:val="single" w:sz="4" w:space="0" w:color="000000"/>
              <w:right w:val="single" w:sz="4" w:space="0" w:color="000000"/>
            </w:tcBorders>
          </w:tcPr>
          <w:p w14:paraId="1822A4AA" w14:textId="77777777" w:rsidR="006F76EB" w:rsidRPr="00834D52" w:rsidRDefault="006F76EB" w:rsidP="00537062">
            <w:pPr>
              <w:spacing w:after="60" w:line="240" w:lineRule="auto"/>
              <w:ind w:right="-6"/>
              <w:rPr>
                <w:rFonts w:ascii="Sylfaen" w:hAnsi="Sylfaen"/>
                <w:sz w:val="24"/>
                <w:szCs w:val="24"/>
              </w:rPr>
            </w:pPr>
          </w:p>
        </w:tc>
      </w:tr>
      <w:tr w:rsidR="006F76EB" w:rsidRPr="00834D52" w14:paraId="17E44B2D"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8F97DA8"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4241" w:type="dxa"/>
            <w:tcBorders>
              <w:top w:val="single" w:sz="4" w:space="0" w:color="000000"/>
              <w:left w:val="single" w:sz="4" w:space="0" w:color="000000"/>
              <w:bottom w:val="single" w:sz="4" w:space="0" w:color="000000"/>
              <w:right w:val="single" w:sz="4" w:space="0" w:color="000000"/>
            </w:tcBorders>
          </w:tcPr>
          <w:p w14:paraId="66564D67" w14:textId="77777777" w:rsidR="006F76EB" w:rsidRPr="00834D52" w:rsidRDefault="006F76EB" w:rsidP="00537062">
            <w:pPr>
              <w:spacing w:after="60" w:line="240" w:lineRule="auto"/>
              <w:ind w:right="-6"/>
              <w:rPr>
                <w:rFonts w:ascii="Sylfaen" w:hAnsi="Sylfaen"/>
                <w:sz w:val="24"/>
                <w:szCs w:val="24"/>
              </w:rPr>
            </w:pPr>
          </w:p>
        </w:tc>
      </w:tr>
      <w:tr w:rsidR="006F76EB" w:rsidRPr="00834D52" w14:paraId="5E455F04"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C24C043" w14:textId="2B1AFCC4"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ն</w:t>
            </w:r>
          </w:p>
        </w:tc>
        <w:tc>
          <w:tcPr>
            <w:tcW w:w="4241" w:type="dxa"/>
            <w:tcBorders>
              <w:top w:val="single" w:sz="4" w:space="0" w:color="000000"/>
              <w:left w:val="single" w:sz="4" w:space="0" w:color="000000"/>
              <w:bottom w:val="single" w:sz="4" w:space="0" w:color="000000"/>
              <w:right w:val="single" w:sz="4" w:space="0" w:color="000000"/>
            </w:tcBorders>
          </w:tcPr>
          <w:p w14:paraId="18F085B0" w14:textId="77777777" w:rsidR="006F76EB" w:rsidRPr="00834D52" w:rsidRDefault="006F76EB" w:rsidP="00537062">
            <w:pPr>
              <w:spacing w:after="60" w:line="240" w:lineRule="auto"/>
              <w:ind w:right="-6"/>
              <w:rPr>
                <w:rFonts w:ascii="Sylfaen" w:hAnsi="Sylfaen"/>
                <w:sz w:val="24"/>
                <w:szCs w:val="24"/>
              </w:rPr>
            </w:pPr>
          </w:p>
        </w:tc>
      </w:tr>
      <w:tr w:rsidR="006F76EB" w:rsidRPr="00834D52" w14:paraId="31E27313"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265B117E" w14:textId="03FAA0FC" w:rsidR="006F76EB" w:rsidRPr="00834D52" w:rsidRDefault="0056496B" w:rsidP="00537062">
            <w:pPr>
              <w:spacing w:after="60" w:line="240" w:lineRule="auto"/>
              <w:ind w:left="186" w:right="-6"/>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ներկայացուցիչը</w:t>
            </w:r>
          </w:p>
        </w:tc>
        <w:tc>
          <w:tcPr>
            <w:tcW w:w="4241" w:type="dxa"/>
            <w:tcBorders>
              <w:top w:val="single" w:sz="4" w:space="0" w:color="000000"/>
              <w:left w:val="single" w:sz="4" w:space="0" w:color="000000"/>
              <w:bottom w:val="single" w:sz="4" w:space="0" w:color="000000"/>
              <w:right w:val="single" w:sz="4" w:space="0" w:color="000000"/>
            </w:tcBorders>
          </w:tcPr>
          <w:p w14:paraId="0EBADDFA" w14:textId="77777777" w:rsidR="006F76EB" w:rsidRPr="00834D52" w:rsidRDefault="006F76EB" w:rsidP="00537062">
            <w:pPr>
              <w:spacing w:after="60" w:line="240" w:lineRule="auto"/>
              <w:ind w:right="-6"/>
              <w:rPr>
                <w:rFonts w:ascii="Sylfaen" w:hAnsi="Sylfaen"/>
                <w:sz w:val="24"/>
                <w:szCs w:val="24"/>
              </w:rPr>
            </w:pPr>
          </w:p>
        </w:tc>
      </w:tr>
      <w:tr w:rsidR="006F76EB" w:rsidRPr="00834D52" w14:paraId="66A0F1DF" w14:textId="77777777" w:rsidTr="00BC304C">
        <w:trPr>
          <w:trHeight w:val="364"/>
          <w:jc w:val="center"/>
        </w:trPr>
        <w:tc>
          <w:tcPr>
            <w:tcW w:w="9799" w:type="dxa"/>
            <w:gridSpan w:val="2"/>
            <w:tcBorders>
              <w:top w:val="single" w:sz="4" w:space="0" w:color="000000"/>
              <w:left w:val="single" w:sz="4" w:space="0" w:color="000000"/>
              <w:bottom w:val="single" w:sz="4" w:space="0" w:color="000000"/>
              <w:right w:val="single" w:sz="4" w:space="0" w:color="000000"/>
            </w:tcBorders>
          </w:tcPr>
          <w:p w14:paraId="57655CAB" w14:textId="77777777" w:rsidR="006F76EB" w:rsidRPr="00834D52" w:rsidRDefault="006F76EB" w:rsidP="00537062">
            <w:pPr>
              <w:spacing w:after="60" w:line="240" w:lineRule="auto"/>
              <w:ind w:left="186" w:right="-6"/>
              <w:jc w:val="center"/>
              <w:rPr>
                <w:rFonts w:ascii="Sylfaen" w:eastAsia="Times New Roman" w:hAnsi="Sylfaen" w:cs="Times New Roman"/>
                <w:sz w:val="24"/>
                <w:szCs w:val="24"/>
              </w:rPr>
            </w:pPr>
            <w:r w:rsidRPr="00834D52">
              <w:rPr>
                <w:rFonts w:ascii="Sylfaen" w:hAnsi="Sylfaen"/>
                <w:sz w:val="24"/>
                <w:szCs w:val="24"/>
              </w:rPr>
              <w:t>Գրանցման հավաստագրի տվյալները</w:t>
            </w:r>
          </w:p>
        </w:tc>
      </w:tr>
      <w:tr w:rsidR="006F76EB" w:rsidRPr="00834D52" w14:paraId="2921B9A5" w14:textId="77777777" w:rsidTr="00BC304C">
        <w:trPr>
          <w:trHeight w:val="377"/>
          <w:jc w:val="center"/>
        </w:trPr>
        <w:tc>
          <w:tcPr>
            <w:tcW w:w="5558" w:type="dxa"/>
            <w:tcBorders>
              <w:top w:val="single" w:sz="4" w:space="0" w:color="000000"/>
              <w:left w:val="single" w:sz="4" w:space="0" w:color="000000"/>
              <w:bottom w:val="single" w:sz="4" w:space="0" w:color="000000"/>
              <w:right w:val="single" w:sz="4" w:space="0" w:color="000000"/>
            </w:tcBorders>
          </w:tcPr>
          <w:p w14:paraId="476BEB7A"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4241" w:type="dxa"/>
            <w:tcBorders>
              <w:top w:val="single" w:sz="4" w:space="0" w:color="000000"/>
              <w:left w:val="single" w:sz="4" w:space="0" w:color="000000"/>
              <w:bottom w:val="single" w:sz="4" w:space="0" w:color="000000"/>
              <w:right w:val="single" w:sz="4" w:space="0" w:color="000000"/>
            </w:tcBorders>
          </w:tcPr>
          <w:p w14:paraId="12357DA4" w14:textId="77777777" w:rsidR="006F76EB" w:rsidRPr="00834D52" w:rsidRDefault="006F76EB" w:rsidP="00537062">
            <w:pPr>
              <w:spacing w:after="60" w:line="240" w:lineRule="auto"/>
              <w:ind w:right="-6"/>
              <w:rPr>
                <w:rFonts w:ascii="Sylfaen" w:hAnsi="Sylfaen"/>
                <w:sz w:val="24"/>
                <w:szCs w:val="24"/>
              </w:rPr>
            </w:pPr>
          </w:p>
        </w:tc>
      </w:tr>
      <w:tr w:rsidR="006F76EB" w:rsidRPr="00834D52" w14:paraId="5F12B5D3" w14:textId="77777777" w:rsidTr="00BC304C">
        <w:trPr>
          <w:trHeight w:val="364"/>
          <w:jc w:val="center"/>
        </w:trPr>
        <w:tc>
          <w:tcPr>
            <w:tcW w:w="5558" w:type="dxa"/>
            <w:tcBorders>
              <w:top w:val="single" w:sz="4" w:space="0" w:color="000000"/>
              <w:left w:val="single" w:sz="4" w:space="0" w:color="000000"/>
              <w:bottom w:val="single" w:sz="4" w:space="0" w:color="000000"/>
              <w:right w:val="single" w:sz="4" w:space="0" w:color="000000"/>
            </w:tcBorders>
          </w:tcPr>
          <w:p w14:paraId="0DDBCA35"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4241" w:type="dxa"/>
            <w:tcBorders>
              <w:top w:val="single" w:sz="4" w:space="0" w:color="000000"/>
              <w:left w:val="single" w:sz="4" w:space="0" w:color="000000"/>
              <w:bottom w:val="single" w:sz="4" w:space="0" w:color="000000"/>
              <w:right w:val="single" w:sz="4" w:space="0" w:color="000000"/>
            </w:tcBorders>
          </w:tcPr>
          <w:p w14:paraId="43E90FDF" w14:textId="77777777" w:rsidR="006F76EB" w:rsidRPr="00834D52" w:rsidRDefault="006F76EB" w:rsidP="00537062">
            <w:pPr>
              <w:spacing w:after="60" w:line="240" w:lineRule="auto"/>
              <w:ind w:right="-6"/>
              <w:rPr>
                <w:rFonts w:ascii="Sylfaen" w:hAnsi="Sylfaen"/>
                <w:sz w:val="24"/>
                <w:szCs w:val="24"/>
              </w:rPr>
            </w:pPr>
          </w:p>
        </w:tc>
      </w:tr>
      <w:tr w:rsidR="006F76EB" w:rsidRPr="00834D52" w14:paraId="38CEAD89" w14:textId="77777777" w:rsidTr="00BC304C">
        <w:trPr>
          <w:trHeight w:val="529"/>
          <w:jc w:val="center"/>
        </w:trPr>
        <w:tc>
          <w:tcPr>
            <w:tcW w:w="5558" w:type="dxa"/>
            <w:tcBorders>
              <w:top w:val="single" w:sz="4" w:space="0" w:color="000000"/>
              <w:left w:val="single" w:sz="4" w:space="0" w:color="000000"/>
              <w:bottom w:val="single" w:sz="4" w:space="0" w:color="000000"/>
              <w:right w:val="single" w:sz="4" w:space="0" w:color="000000"/>
            </w:tcBorders>
          </w:tcPr>
          <w:p w14:paraId="6BD65B5B" w14:textId="77777777" w:rsidR="006F76EB" w:rsidRPr="00834D52" w:rsidRDefault="006F76EB" w:rsidP="00537062">
            <w:pPr>
              <w:spacing w:after="60" w:line="240" w:lineRule="auto"/>
              <w:ind w:left="186" w:right="-6"/>
              <w:rPr>
                <w:rFonts w:ascii="Sylfaen" w:eastAsia="Times New Roman" w:hAnsi="Sylfaen" w:cs="Times New Roman"/>
                <w:sz w:val="24"/>
                <w:szCs w:val="24"/>
              </w:rPr>
            </w:pPr>
            <w:r w:rsidRPr="00834D52">
              <w:rPr>
                <w:rFonts w:ascii="Sylfaen" w:hAnsi="Sylfaen"/>
                <w:sz w:val="24"/>
                <w:szCs w:val="24"/>
              </w:rPr>
              <w:t>որակի նորմատիվային փաստաթղթի համարը</w:t>
            </w:r>
          </w:p>
        </w:tc>
        <w:tc>
          <w:tcPr>
            <w:tcW w:w="4241" w:type="dxa"/>
            <w:tcBorders>
              <w:top w:val="single" w:sz="4" w:space="0" w:color="000000"/>
              <w:left w:val="single" w:sz="4" w:space="0" w:color="000000"/>
              <w:bottom w:val="single" w:sz="4" w:space="0" w:color="000000"/>
              <w:right w:val="single" w:sz="4" w:space="0" w:color="000000"/>
            </w:tcBorders>
          </w:tcPr>
          <w:p w14:paraId="197BADFE" w14:textId="77777777" w:rsidR="006F76EB" w:rsidRPr="00834D52" w:rsidRDefault="006F76EB" w:rsidP="00537062">
            <w:pPr>
              <w:spacing w:after="60" w:line="240" w:lineRule="auto"/>
              <w:ind w:right="-6"/>
              <w:rPr>
                <w:rFonts w:ascii="Sylfaen" w:hAnsi="Sylfaen"/>
                <w:sz w:val="24"/>
                <w:szCs w:val="24"/>
              </w:rPr>
            </w:pPr>
          </w:p>
        </w:tc>
      </w:tr>
    </w:tbl>
    <w:p w14:paraId="6BE42673" w14:textId="77777777"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երաշխավորում եմ ներկայացված փաստաթղթերում </w:t>
      </w:r>
      <w:r w:rsidR="00C54D75">
        <w:rPr>
          <w:rFonts w:ascii="Sylfaen" w:hAnsi="Sylfaen"/>
          <w:sz w:val="24"/>
          <w:szCs w:val="24"/>
        </w:rPr>
        <w:t>և</w:t>
      </w:r>
      <w:r w:rsidRPr="00834D52">
        <w:rPr>
          <w:rFonts w:ascii="Sylfaen" w:hAnsi="Sylfaen"/>
          <w:sz w:val="24"/>
          <w:szCs w:val="24"/>
        </w:rPr>
        <w:t xml:space="preserve"> գրանցման դոսյեում ներառված տվյալներում պարունակվող տեղեկատվության հավաստիությունը </w:t>
      </w:r>
      <w:r w:rsidR="00C54D75">
        <w:rPr>
          <w:rFonts w:ascii="Sylfaen" w:hAnsi="Sylfaen"/>
          <w:sz w:val="24"/>
          <w:szCs w:val="24"/>
        </w:rPr>
        <w:t>և</w:t>
      </w:r>
      <w:r w:rsidRPr="00834D52">
        <w:rPr>
          <w:rFonts w:ascii="Sylfaen" w:hAnsi="Sylfaen"/>
          <w:sz w:val="24"/>
          <w:szCs w:val="24"/>
        </w:rPr>
        <w:t xml:space="preserve"> պատասխանատվություն եմ կրում դրանց համար:</w:t>
      </w:r>
    </w:p>
    <w:p w14:paraId="2AA40722" w14:textId="2608C430" w:rsidR="006F76EB" w:rsidRPr="00834D52" w:rsidRDefault="006F76EB" w:rsidP="00B9781A">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Ես համաձայն եմ, որ 30 օրվա ընթացքում գրանցման դոսյեի լրացման համար անհրաժեշտ փաստաթղթերը </w:t>
      </w:r>
      <w:r w:rsidR="00C54D75">
        <w:rPr>
          <w:rFonts w:ascii="Sylfaen" w:hAnsi="Sylfaen"/>
          <w:sz w:val="24"/>
          <w:szCs w:val="24"/>
        </w:rPr>
        <w:t>և</w:t>
      </w:r>
      <w:r w:rsidRPr="00834D52">
        <w:rPr>
          <w:rFonts w:ascii="Sylfaen" w:hAnsi="Sylfaen"/>
          <w:sz w:val="24"/>
          <w:szCs w:val="24"/>
        </w:rPr>
        <w:t xml:space="preserve"> տվյալները չներկայացնելու դեպքում </w:t>
      </w:r>
      <w:r w:rsidR="0032680A">
        <w:rPr>
          <w:rFonts w:ascii="Sylfaen" w:hAnsi="Sylfaen"/>
          <w:sz w:val="24"/>
          <w:szCs w:val="24"/>
        </w:rPr>
        <w:t xml:space="preserve">ռեֆերենտ </w:t>
      </w:r>
      <w:r w:rsidRPr="00834D52">
        <w:rPr>
          <w:rFonts w:ascii="Sylfaen" w:hAnsi="Sylfaen"/>
          <w:sz w:val="24"/>
          <w:szCs w:val="24"/>
        </w:rPr>
        <w:t xml:space="preserve">պետության լիազորված մարմնի (փորձագիտական կազմակերպության) դիտողությունների հիման վրա տվյալ </w:t>
      </w:r>
      <w:r w:rsidR="0056496B">
        <w:rPr>
          <w:rFonts w:ascii="Sylfaen" w:hAnsi="Sylfaen"/>
          <w:sz w:val="24"/>
          <w:szCs w:val="24"/>
        </w:rPr>
        <w:t>դիմում</w:t>
      </w:r>
      <w:r w:rsidRPr="00834D52">
        <w:rPr>
          <w:rFonts w:ascii="Sylfaen" w:hAnsi="Sylfaen"/>
          <w:sz w:val="24"/>
          <w:szCs w:val="24"/>
        </w:rPr>
        <w:t>ի ուսումնասիրությունը կմերժվի:</w:t>
      </w:r>
    </w:p>
    <w:p w14:paraId="71B278D8" w14:textId="7A559275" w:rsidR="006F76EB" w:rsidRPr="00666B75" w:rsidRDefault="006F76EB" w:rsidP="00B9781A">
      <w:pPr>
        <w:spacing w:after="160" w:line="336" w:lineRule="auto"/>
        <w:ind w:right="-6" w:firstLine="567"/>
        <w:jc w:val="both"/>
        <w:rPr>
          <w:rFonts w:ascii="Sylfaen" w:eastAsia="Times New Roman" w:hAnsi="Sylfaen" w:cs="Times New Roman"/>
          <w:spacing w:val="-6"/>
          <w:sz w:val="24"/>
          <w:szCs w:val="24"/>
        </w:rPr>
      </w:pPr>
      <w:r w:rsidRPr="00666B75">
        <w:rPr>
          <w:rFonts w:ascii="Sylfaen" w:hAnsi="Sylfaen"/>
          <w:spacing w:val="-6"/>
          <w:sz w:val="24"/>
          <w:szCs w:val="24"/>
        </w:rPr>
        <w:t xml:space="preserve">Ես հաստատում եմ, որ գրանցման դոսյեի կազմում ներառված բոլոր տվյալները ձեռք են բերվել սահմանված կարգով, </w:t>
      </w:r>
      <w:r w:rsidR="00C54D75">
        <w:rPr>
          <w:rFonts w:ascii="Sylfaen" w:hAnsi="Sylfaen"/>
          <w:spacing w:val="-6"/>
          <w:sz w:val="24"/>
          <w:szCs w:val="24"/>
        </w:rPr>
        <w:t>և</w:t>
      </w:r>
      <w:r w:rsidRPr="00666B75">
        <w:rPr>
          <w:rFonts w:ascii="Sylfaen" w:hAnsi="Sylfaen"/>
          <w:spacing w:val="-6"/>
          <w:sz w:val="24"/>
          <w:szCs w:val="24"/>
        </w:rPr>
        <w:t xml:space="preserve"> դրանցով չեն խախտվում երրորդ անձանց </w:t>
      </w:r>
      <w:r w:rsidRPr="00666B75">
        <w:rPr>
          <w:rFonts w:ascii="Sylfaen" w:hAnsi="Sylfaen"/>
          <w:spacing w:val="-6"/>
          <w:sz w:val="24"/>
          <w:szCs w:val="24"/>
        </w:rPr>
        <w:lastRenderedPageBreak/>
        <w:t xml:space="preserve">մտավոր սեփականության իրավունքները (սույն </w:t>
      </w:r>
      <w:r w:rsidR="0056496B">
        <w:rPr>
          <w:rFonts w:ascii="Sylfaen" w:hAnsi="Sylfaen"/>
          <w:spacing w:val="-6"/>
          <w:sz w:val="24"/>
          <w:szCs w:val="24"/>
        </w:rPr>
        <w:t>դիմում</w:t>
      </w:r>
      <w:r w:rsidRPr="00666B75">
        <w:rPr>
          <w:rFonts w:ascii="Sylfaen" w:hAnsi="Sylfaen"/>
          <w:spacing w:val="-6"/>
          <w:sz w:val="24"/>
          <w:szCs w:val="24"/>
        </w:rPr>
        <w:t xml:space="preserve">ի հավելվածի </w:t>
      </w:r>
      <w:r w:rsidR="00B57BA8" w:rsidRPr="00666B75">
        <w:rPr>
          <w:rFonts w:ascii="Sylfaen" w:hAnsi="Sylfaen"/>
          <w:spacing w:val="-6"/>
          <w:sz w:val="24"/>
          <w:szCs w:val="24"/>
        </w:rPr>
        <w:t>5</w:t>
      </w:r>
      <w:r w:rsidRPr="00666B75">
        <w:rPr>
          <w:rFonts w:ascii="Sylfaen" w:hAnsi="Sylfaen"/>
          <w:spacing w:val="-6"/>
          <w:sz w:val="24"/>
          <w:szCs w:val="24"/>
        </w:rPr>
        <w:t xml:space="preserve">.3 </w:t>
      </w:r>
      <w:r w:rsidR="00C54D75">
        <w:rPr>
          <w:rFonts w:ascii="Sylfaen" w:hAnsi="Sylfaen"/>
          <w:spacing w:val="-6"/>
          <w:sz w:val="24"/>
          <w:szCs w:val="24"/>
        </w:rPr>
        <w:t>և</w:t>
      </w:r>
      <w:r w:rsidRPr="00666B75">
        <w:rPr>
          <w:rFonts w:ascii="Sylfaen" w:hAnsi="Sylfaen"/>
          <w:spacing w:val="-6"/>
          <w:sz w:val="24"/>
          <w:szCs w:val="24"/>
        </w:rPr>
        <w:t xml:space="preserve"> </w:t>
      </w:r>
      <w:r w:rsidR="00B57BA8" w:rsidRPr="00666B75">
        <w:rPr>
          <w:rFonts w:ascii="Sylfaen" w:hAnsi="Sylfaen"/>
          <w:spacing w:val="-6"/>
          <w:sz w:val="24"/>
          <w:szCs w:val="24"/>
        </w:rPr>
        <w:t>5</w:t>
      </w:r>
      <w:r w:rsidRPr="00666B75">
        <w:rPr>
          <w:rFonts w:ascii="Sylfaen" w:hAnsi="Sylfaen"/>
          <w:spacing w:val="-6"/>
          <w:sz w:val="24"/>
          <w:szCs w:val="24"/>
        </w:rPr>
        <w:t>.4</w:t>
      </w:r>
      <w:r w:rsidR="005053A4" w:rsidRPr="00526607">
        <w:rPr>
          <w:rFonts w:ascii="Sylfaen" w:hAnsi="Sylfaen"/>
          <w:spacing w:val="-6"/>
          <w:sz w:val="24"/>
          <w:szCs w:val="24"/>
        </w:rPr>
        <w:t> </w:t>
      </w:r>
      <w:r w:rsidRPr="00666B75">
        <w:rPr>
          <w:rFonts w:ascii="Sylfaen" w:hAnsi="Sylfaen"/>
          <w:spacing w:val="-6"/>
          <w:sz w:val="24"/>
          <w:szCs w:val="24"/>
        </w:rPr>
        <w:t>ենթակետեր):</w:t>
      </w:r>
    </w:p>
    <w:p w14:paraId="66D2D9F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Ես նա</w:t>
      </w:r>
      <w:r w:rsidR="00C54D75">
        <w:rPr>
          <w:rFonts w:ascii="Sylfaen" w:hAnsi="Sylfaen"/>
          <w:sz w:val="24"/>
          <w:szCs w:val="24"/>
        </w:rPr>
        <w:t>և</w:t>
      </w:r>
      <w:r w:rsidRPr="00834D52">
        <w:rPr>
          <w:rFonts w:ascii="Sylfaen" w:hAnsi="Sylfaen"/>
          <w:sz w:val="24"/>
          <w:szCs w:val="24"/>
        </w:rPr>
        <w:t xml:space="preserve"> հաստատում եմ, որ բոլոր նախատեսված գանձումները (տուրքերը) վճարված են (կվճարվեն) օրենսդրության պահանջներին համապատասխան:</w:t>
      </w:r>
    </w:p>
    <w:p w14:paraId="420107B0" w14:textId="22FEF73C"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Կից ներկայացված է</w:t>
      </w:r>
      <w:r w:rsidRPr="00834D52" w:rsidDel="00A7499F">
        <w:rPr>
          <w:rFonts w:ascii="Sylfaen" w:hAnsi="Sylfaen"/>
          <w:sz w:val="24"/>
          <w:szCs w:val="24"/>
        </w:rPr>
        <w:t xml:space="preserve"> </w:t>
      </w:r>
      <w:r w:rsidRPr="00834D52">
        <w:rPr>
          <w:rFonts w:ascii="Sylfaen" w:hAnsi="Sylfaen"/>
          <w:sz w:val="24"/>
          <w:szCs w:val="24"/>
        </w:rPr>
        <w:t xml:space="preserve">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3C90C9CC" w14:textId="0302C6B3" w:rsidR="006F76EB" w:rsidRPr="00834D52" w:rsidRDefault="0056496B" w:rsidP="006F76EB">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անունից</w:t>
      </w:r>
    </w:p>
    <w:p w14:paraId="199A6F4D"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54ACAECB"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(ստորագրություն)</w:t>
      </w:r>
    </w:p>
    <w:p w14:paraId="7FBA8912" w14:textId="77777777" w:rsidR="006F76EB" w:rsidRPr="00834D52" w:rsidRDefault="006F76EB" w:rsidP="001543F8">
      <w:pPr>
        <w:spacing w:after="160" w:line="240" w:lineRule="auto"/>
        <w:ind w:right="-6" w:firstLine="567"/>
        <w:rPr>
          <w:rFonts w:ascii="Sylfaen" w:hAnsi="Sylfaen"/>
          <w:sz w:val="24"/>
          <w:szCs w:val="24"/>
        </w:rPr>
      </w:pPr>
    </w:p>
    <w:p w14:paraId="322963E3"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78E9C81D" w14:textId="77777777" w:rsidR="006F76EB" w:rsidRPr="00F560AC" w:rsidRDefault="006F76EB" w:rsidP="00F560AC">
      <w:pPr>
        <w:spacing w:after="120" w:line="240" w:lineRule="auto"/>
        <w:ind w:right="-8" w:firstLine="567"/>
        <w:rPr>
          <w:rFonts w:ascii="Sylfaen" w:eastAsia="Times New Roman" w:hAnsi="Sylfaen" w:cs="Times New Roman"/>
          <w:sz w:val="20"/>
          <w:szCs w:val="20"/>
        </w:rPr>
      </w:pPr>
      <w:r w:rsidRPr="00F560AC">
        <w:rPr>
          <w:rFonts w:ascii="Sylfaen" w:hAnsi="Sylfaen"/>
          <w:sz w:val="20"/>
          <w:szCs w:val="20"/>
        </w:rPr>
        <w:t>(ազգանուն, անուն, հայրանուն)</w:t>
      </w:r>
    </w:p>
    <w:p w14:paraId="3BAEF9C5" w14:textId="77777777" w:rsidR="006F76EB" w:rsidRPr="00F560AC" w:rsidRDefault="006F76EB" w:rsidP="001543F8">
      <w:pPr>
        <w:spacing w:after="160" w:line="240" w:lineRule="auto"/>
        <w:ind w:right="-6" w:firstLine="567"/>
        <w:rPr>
          <w:rFonts w:ascii="Sylfaen" w:hAnsi="Sylfaen"/>
          <w:sz w:val="20"/>
          <w:szCs w:val="20"/>
        </w:rPr>
      </w:pPr>
    </w:p>
    <w:p w14:paraId="42B0D082" w14:textId="77777777" w:rsidR="006F76EB" w:rsidRPr="00834D52" w:rsidRDefault="006F76EB" w:rsidP="00F560AC">
      <w:pPr>
        <w:spacing w:after="120" w:line="240" w:lineRule="auto"/>
        <w:ind w:right="-6" w:firstLine="567"/>
        <w:jc w:val="both"/>
        <w:rPr>
          <w:rFonts w:ascii="Sylfaen" w:eastAsia="Times New Roman" w:hAnsi="Sylfaen" w:cs="Times New Roman"/>
          <w:sz w:val="24"/>
          <w:szCs w:val="24"/>
        </w:rPr>
      </w:pPr>
      <w:r w:rsidRPr="00834D52">
        <w:rPr>
          <w:rFonts w:ascii="Sylfaen" w:hAnsi="Sylfaen"/>
          <w:sz w:val="24"/>
          <w:szCs w:val="24"/>
        </w:rPr>
        <w:t>_____________________________</w:t>
      </w:r>
    </w:p>
    <w:p w14:paraId="143BF22E" w14:textId="77777777" w:rsidR="006F76EB" w:rsidRPr="007F5A60" w:rsidRDefault="006F76EB" w:rsidP="00F560AC">
      <w:pPr>
        <w:spacing w:after="120" w:line="240" w:lineRule="auto"/>
        <w:ind w:right="-8" w:firstLine="567"/>
        <w:rPr>
          <w:rFonts w:ascii="Sylfaen" w:hAnsi="Sylfaen"/>
          <w:sz w:val="20"/>
          <w:szCs w:val="20"/>
        </w:rPr>
      </w:pPr>
      <w:r w:rsidRPr="00F560AC">
        <w:rPr>
          <w:rFonts w:ascii="Sylfaen" w:hAnsi="Sylfaen"/>
          <w:sz w:val="20"/>
          <w:szCs w:val="20"/>
        </w:rPr>
        <w:t>(պաշտոն)</w:t>
      </w:r>
    </w:p>
    <w:p w14:paraId="5AC69837" w14:textId="77777777" w:rsidR="001543F8" w:rsidRPr="007F5A60" w:rsidRDefault="001543F8" w:rsidP="00F560AC">
      <w:pPr>
        <w:spacing w:after="120" w:line="240" w:lineRule="auto"/>
        <w:ind w:right="-8" w:firstLine="567"/>
        <w:rPr>
          <w:rFonts w:ascii="Sylfaen" w:eastAsia="Times New Roman" w:hAnsi="Sylfaen" w:cs="Times New Roman"/>
          <w:sz w:val="20"/>
          <w:szCs w:val="20"/>
        </w:rPr>
      </w:pPr>
    </w:p>
    <w:p w14:paraId="0FCA571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Կ. Տ.</w:t>
      </w:r>
    </w:p>
    <w:p w14:paraId="607BD06A" w14:textId="77777777" w:rsidR="006F76EB" w:rsidRPr="00F75C7A" w:rsidRDefault="006F76EB" w:rsidP="006F76EB">
      <w:pPr>
        <w:spacing w:after="160" w:line="360" w:lineRule="auto"/>
        <w:ind w:right="-8"/>
        <w:jc w:val="center"/>
        <w:rPr>
          <w:rFonts w:ascii="Sylfaen" w:hAnsi="Sylfaen"/>
          <w:sz w:val="24"/>
          <w:szCs w:val="24"/>
          <w:u w:val="thick" w:color="000000"/>
        </w:rPr>
      </w:pPr>
    </w:p>
    <w:p w14:paraId="08F76228" w14:textId="2A45258B" w:rsidR="006F76EB" w:rsidRPr="00537062" w:rsidRDefault="006F76EB" w:rsidP="006F76EB">
      <w:pPr>
        <w:spacing w:after="160" w:line="360" w:lineRule="auto"/>
        <w:ind w:right="-8"/>
        <w:jc w:val="center"/>
        <w:rPr>
          <w:rFonts w:ascii="Sylfaen" w:eastAsia="Times New Roman" w:hAnsi="Sylfaen" w:cs="Times New Roman"/>
          <w:sz w:val="24"/>
          <w:szCs w:val="24"/>
        </w:rPr>
      </w:pPr>
      <w:r w:rsidRPr="00537062">
        <w:rPr>
          <w:rFonts w:ascii="Sylfaen" w:hAnsi="Sylfaen"/>
          <w:sz w:val="24"/>
          <w:szCs w:val="24"/>
        </w:rPr>
        <w:t xml:space="preserve">1. </w:t>
      </w:r>
      <w:r w:rsidR="0056496B">
        <w:rPr>
          <w:rFonts w:ascii="Sylfaen" w:hAnsi="Sylfaen"/>
          <w:sz w:val="24"/>
          <w:szCs w:val="24"/>
        </w:rPr>
        <w:t>Դիմում</w:t>
      </w:r>
      <w:r w:rsidRPr="00537062">
        <w:rPr>
          <w:rFonts w:ascii="Sylfaen" w:hAnsi="Sylfaen"/>
          <w:sz w:val="24"/>
          <w:szCs w:val="24"/>
        </w:rPr>
        <w:t>ի ընդհանուր կետերը</w:t>
      </w:r>
    </w:p>
    <w:p w14:paraId="157D3E5F" w14:textId="4A2481B0"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 xml:space="preserve">Այս </w:t>
      </w:r>
      <w:r w:rsidR="0056496B">
        <w:rPr>
          <w:rFonts w:ascii="Sylfaen" w:hAnsi="Sylfaen"/>
          <w:sz w:val="24"/>
          <w:szCs w:val="24"/>
        </w:rPr>
        <w:t>դիմում</w:t>
      </w:r>
      <w:r w:rsidRPr="00834D52">
        <w:rPr>
          <w:rFonts w:ascii="Sylfaen" w:hAnsi="Sylfaen"/>
          <w:sz w:val="24"/>
          <w:szCs w:val="24"/>
        </w:rPr>
        <w:t>ը ներկայացվում է հետ</w:t>
      </w:r>
      <w:r w:rsidR="00C54D75">
        <w:rPr>
          <w:rFonts w:ascii="Sylfaen" w:hAnsi="Sylfaen"/>
          <w:sz w:val="24"/>
          <w:szCs w:val="24"/>
        </w:rPr>
        <w:t>և</w:t>
      </w:r>
      <w:r w:rsidRPr="00834D52">
        <w:rPr>
          <w:rFonts w:ascii="Sylfaen" w:hAnsi="Sylfaen"/>
          <w:sz w:val="24"/>
          <w:szCs w:val="24"/>
        </w:rPr>
        <w:t>յալի համաձայն:</w:t>
      </w:r>
    </w:p>
    <w:p w14:paraId="00CE91F1" w14:textId="31F7D6CA"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1.1.1.</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փոխադարձ ճանաչման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101B18A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FC16C59" w14:textId="77777777" w:rsidR="006F76EB" w:rsidRPr="00834D52" w:rsidRDefault="0032680A" w:rsidP="001543F8">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0A6642BE"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7C92ECD"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A8E7607"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4652F68C"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EC5865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7C15556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w:t>
            </w:r>
          </w:p>
        </w:tc>
        <w:tc>
          <w:tcPr>
            <w:tcW w:w="5006" w:type="dxa"/>
            <w:tcBorders>
              <w:top w:val="single" w:sz="4" w:space="0" w:color="000000"/>
              <w:left w:val="single" w:sz="4" w:space="0" w:color="000000"/>
              <w:bottom w:val="single" w:sz="4" w:space="0" w:color="000000"/>
              <w:right w:val="single" w:sz="4" w:space="0" w:color="000000"/>
            </w:tcBorders>
          </w:tcPr>
          <w:p w14:paraId="597B0040" w14:textId="77777777" w:rsidR="006F76EB" w:rsidRPr="00834D52" w:rsidRDefault="006F76EB" w:rsidP="001543F8">
            <w:pPr>
              <w:spacing w:after="120" w:line="240" w:lineRule="auto"/>
              <w:ind w:right="-6"/>
              <w:rPr>
                <w:rFonts w:ascii="Sylfaen" w:hAnsi="Sylfaen"/>
                <w:sz w:val="24"/>
                <w:szCs w:val="24"/>
              </w:rPr>
            </w:pPr>
          </w:p>
        </w:tc>
      </w:tr>
      <w:tr w:rsidR="006F76EB" w:rsidRPr="00834D52" w14:paraId="630062A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AC0AC4C"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համարը</w:t>
            </w:r>
          </w:p>
        </w:tc>
        <w:tc>
          <w:tcPr>
            <w:tcW w:w="5006" w:type="dxa"/>
            <w:tcBorders>
              <w:top w:val="single" w:sz="4" w:space="0" w:color="000000"/>
              <w:left w:val="single" w:sz="4" w:space="0" w:color="000000"/>
              <w:bottom w:val="single" w:sz="4" w:space="0" w:color="000000"/>
              <w:right w:val="single" w:sz="4" w:space="0" w:color="000000"/>
            </w:tcBorders>
          </w:tcPr>
          <w:p w14:paraId="2C9ECBE2" w14:textId="77777777" w:rsidR="006F76EB" w:rsidRPr="00834D52" w:rsidRDefault="006F76EB" w:rsidP="001543F8">
            <w:pPr>
              <w:spacing w:after="120" w:line="240" w:lineRule="auto"/>
              <w:ind w:right="-6"/>
              <w:rPr>
                <w:rFonts w:ascii="Sylfaen" w:hAnsi="Sylfaen"/>
                <w:sz w:val="24"/>
                <w:szCs w:val="24"/>
              </w:rPr>
            </w:pPr>
          </w:p>
        </w:tc>
      </w:tr>
      <w:tr w:rsidR="006F76EB" w:rsidRPr="00834D52" w14:paraId="78F5EF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20D4D046"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պատճենը</w:t>
            </w:r>
          </w:p>
        </w:tc>
        <w:tc>
          <w:tcPr>
            <w:tcW w:w="5006" w:type="dxa"/>
            <w:tcBorders>
              <w:top w:val="single" w:sz="4" w:space="0" w:color="000000"/>
              <w:left w:val="single" w:sz="4" w:space="0" w:color="000000"/>
              <w:bottom w:val="single" w:sz="4" w:space="0" w:color="000000"/>
              <w:right w:val="single" w:sz="4" w:space="0" w:color="000000"/>
            </w:tcBorders>
          </w:tcPr>
          <w:p w14:paraId="1F46C4BB" w14:textId="77777777" w:rsidR="006F76EB" w:rsidRPr="00834D52" w:rsidRDefault="006F76EB" w:rsidP="001543F8">
            <w:pPr>
              <w:spacing w:after="120" w:line="240" w:lineRule="auto"/>
              <w:ind w:right="-6"/>
              <w:rPr>
                <w:rFonts w:ascii="Sylfaen" w:hAnsi="Sylfaen"/>
                <w:sz w:val="24"/>
                <w:szCs w:val="24"/>
              </w:rPr>
            </w:pPr>
          </w:p>
        </w:tc>
      </w:tr>
      <w:tr w:rsidR="006F76EB" w:rsidRPr="00834D52" w14:paraId="43C00BEC"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DEC6375" w14:textId="3AD294B6"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lastRenderedPageBreak/>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40B03A79" w14:textId="77777777" w:rsidR="006F76EB" w:rsidRPr="00834D52" w:rsidRDefault="006F76EB" w:rsidP="001543F8">
            <w:pPr>
              <w:spacing w:after="120" w:line="240" w:lineRule="auto"/>
              <w:ind w:right="-6"/>
              <w:rPr>
                <w:rFonts w:ascii="Sylfaen" w:hAnsi="Sylfaen"/>
                <w:sz w:val="24"/>
                <w:szCs w:val="24"/>
              </w:rPr>
            </w:pPr>
          </w:p>
        </w:tc>
      </w:tr>
      <w:tr w:rsidR="006F76EB" w:rsidRPr="00834D52" w14:paraId="50650B84"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9964004" w14:textId="01B96B81" w:rsidR="006F76EB" w:rsidRPr="00834D52" w:rsidRDefault="0056496B" w:rsidP="001543F8">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Եվրասիական տնտեսական միության այլ անդամ պետություններ (առկայության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5422A6C7" w14:textId="77777777" w:rsidR="006F76EB" w:rsidRPr="00834D52" w:rsidRDefault="006F76EB" w:rsidP="001543F8">
            <w:pPr>
              <w:spacing w:after="120" w:line="240" w:lineRule="auto"/>
              <w:ind w:right="-6"/>
              <w:rPr>
                <w:rFonts w:ascii="Sylfaen" w:hAnsi="Sylfaen"/>
                <w:sz w:val="24"/>
                <w:szCs w:val="24"/>
              </w:rPr>
            </w:pPr>
          </w:p>
        </w:tc>
      </w:tr>
      <w:tr w:rsidR="006F76EB" w:rsidRPr="00834D52" w14:paraId="0ABF5D4F"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F779E05" w14:textId="77777777" w:rsidR="006F76EB" w:rsidRPr="00834D52" w:rsidRDefault="006F76EB" w:rsidP="001543F8">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պետությունում գրանցվածից առ</w:t>
            </w:r>
            <w:r w:rsidR="00C54D75">
              <w:rPr>
                <w:rFonts w:ascii="Sylfaen" w:hAnsi="Sylfaen"/>
                <w:sz w:val="24"/>
                <w:szCs w:val="24"/>
              </w:rPr>
              <w:t>և</w:t>
            </w:r>
            <w:r w:rsidRPr="00834D52">
              <w:rPr>
                <w:rFonts w:ascii="Sylfaen" w:hAnsi="Sylfaen"/>
                <w:sz w:val="24"/>
                <w:szCs w:val="24"/>
              </w:rPr>
              <w:t>տրային անվանման տարբերության դեպքում)</w:t>
            </w:r>
          </w:p>
        </w:tc>
        <w:tc>
          <w:tcPr>
            <w:tcW w:w="5006" w:type="dxa"/>
            <w:tcBorders>
              <w:top w:val="single" w:sz="4" w:space="0" w:color="000000"/>
              <w:left w:val="single" w:sz="4" w:space="0" w:color="000000"/>
              <w:bottom w:val="single" w:sz="4" w:space="0" w:color="000000"/>
              <w:right w:val="single" w:sz="4" w:space="0" w:color="000000"/>
            </w:tcBorders>
          </w:tcPr>
          <w:p w14:paraId="3AF60234" w14:textId="77777777" w:rsidR="006F76EB" w:rsidRPr="00834D52" w:rsidRDefault="006F76EB" w:rsidP="001543F8">
            <w:pPr>
              <w:spacing w:after="120" w:line="240" w:lineRule="auto"/>
              <w:ind w:right="-6"/>
              <w:rPr>
                <w:rFonts w:ascii="Sylfaen" w:hAnsi="Sylfaen"/>
                <w:sz w:val="24"/>
                <w:szCs w:val="24"/>
              </w:rPr>
            </w:pPr>
          </w:p>
        </w:tc>
      </w:tr>
    </w:tbl>
    <w:p w14:paraId="6A6B600F" w14:textId="4BD3F705" w:rsidR="006F76EB" w:rsidRPr="00834D52" w:rsidRDefault="006F76EB" w:rsidP="006F76EB">
      <w:pPr>
        <w:tabs>
          <w:tab w:val="left" w:pos="1418"/>
        </w:tabs>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1.1.2.</w:t>
      </w:r>
      <w:r w:rsidRPr="00834D52">
        <w:rPr>
          <w:rFonts w:ascii="Sylfaen" w:hAnsi="Sylfaen"/>
          <w:sz w:val="24"/>
          <w:szCs w:val="24"/>
        </w:rPr>
        <w:tab/>
      </w:r>
      <w:r w:rsidR="0056496B">
        <w:rPr>
          <w:rFonts w:ascii="Sylfaen" w:hAnsi="Sylfaen"/>
          <w:sz w:val="24"/>
          <w:szCs w:val="24"/>
        </w:rPr>
        <w:t>Դիմում</w:t>
      </w:r>
      <w:r w:rsidRPr="00834D52">
        <w:rPr>
          <w:rFonts w:ascii="Sylfaen" w:hAnsi="Sylfaen"/>
          <w:sz w:val="24"/>
          <w:szCs w:val="24"/>
        </w:rPr>
        <w:t>ը ներկայացված է ապակենտրոնացված ընթացակարգով՝</w:t>
      </w:r>
    </w:p>
    <w:tbl>
      <w:tblPr>
        <w:tblW w:w="9612" w:type="dxa"/>
        <w:tblInd w:w="103" w:type="dxa"/>
        <w:tblLayout w:type="fixed"/>
        <w:tblCellMar>
          <w:left w:w="0" w:type="dxa"/>
          <w:right w:w="0" w:type="dxa"/>
        </w:tblCellMar>
        <w:tblLook w:val="01E0" w:firstRow="1" w:lastRow="1" w:firstColumn="1" w:lastColumn="1" w:noHBand="0" w:noVBand="0"/>
      </w:tblPr>
      <w:tblGrid>
        <w:gridCol w:w="4606"/>
        <w:gridCol w:w="5006"/>
      </w:tblGrid>
      <w:tr w:rsidR="006F76EB" w:rsidRPr="00834D52" w14:paraId="249DE65B"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345120C7" w14:textId="43132886"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նույնականացման համարը</w:t>
            </w:r>
          </w:p>
        </w:tc>
        <w:tc>
          <w:tcPr>
            <w:tcW w:w="5006" w:type="dxa"/>
            <w:tcBorders>
              <w:top w:val="single" w:sz="4" w:space="0" w:color="000000"/>
              <w:left w:val="single" w:sz="4" w:space="0" w:color="000000"/>
              <w:bottom w:val="single" w:sz="4" w:space="0" w:color="000000"/>
              <w:right w:val="single" w:sz="4" w:space="0" w:color="000000"/>
            </w:tcBorders>
          </w:tcPr>
          <w:p w14:paraId="2763396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834D236"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589B04E7" w14:textId="77777777" w:rsidR="006F76EB" w:rsidRPr="00834D52" w:rsidRDefault="0032680A" w:rsidP="00BC304C">
            <w:pPr>
              <w:spacing w:after="120" w:line="240" w:lineRule="auto"/>
              <w:ind w:left="186" w:right="-6"/>
              <w:rPr>
                <w:rFonts w:ascii="Sylfaen" w:eastAsia="Times New Roman" w:hAnsi="Sylfaen" w:cs="Times New Roman"/>
                <w:sz w:val="24"/>
                <w:szCs w:val="24"/>
              </w:rPr>
            </w:pPr>
            <w:r>
              <w:rPr>
                <w:rFonts w:ascii="Sylfaen" w:hAnsi="Sylfaen"/>
                <w:sz w:val="24"/>
                <w:szCs w:val="24"/>
              </w:rPr>
              <w:t xml:space="preserve">ռեֆերենտ </w:t>
            </w:r>
            <w:r w:rsidR="006F76EB" w:rsidRPr="00834D52">
              <w:rPr>
                <w:rFonts w:ascii="Sylfaen" w:hAnsi="Sylfaen"/>
                <w:sz w:val="24"/>
                <w:szCs w:val="24"/>
              </w:rPr>
              <w:t>պետությունը</w:t>
            </w:r>
          </w:p>
        </w:tc>
        <w:tc>
          <w:tcPr>
            <w:tcW w:w="5006" w:type="dxa"/>
            <w:tcBorders>
              <w:top w:val="single" w:sz="4" w:space="0" w:color="000000"/>
              <w:left w:val="single" w:sz="4" w:space="0" w:color="000000"/>
              <w:bottom w:val="single" w:sz="4" w:space="0" w:color="000000"/>
              <w:right w:val="single" w:sz="4" w:space="0" w:color="000000"/>
            </w:tcBorders>
          </w:tcPr>
          <w:p w14:paraId="4E17F592"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450B7E"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6D7111DE"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 xml:space="preserve">տրային անվանումը </w:t>
            </w:r>
            <w:r w:rsidR="0032680A">
              <w:rPr>
                <w:rFonts w:ascii="Sylfaen" w:hAnsi="Sylfaen"/>
                <w:sz w:val="24"/>
                <w:szCs w:val="24"/>
              </w:rPr>
              <w:t xml:space="preserve">ռեֆերենտ </w:t>
            </w:r>
            <w:r w:rsidRPr="00834D52">
              <w:rPr>
                <w:rFonts w:ascii="Sylfaen" w:hAnsi="Sylfaen"/>
                <w:sz w:val="24"/>
                <w:szCs w:val="24"/>
              </w:rPr>
              <w:t>պետությունում</w:t>
            </w:r>
          </w:p>
        </w:tc>
        <w:tc>
          <w:tcPr>
            <w:tcW w:w="5006" w:type="dxa"/>
            <w:tcBorders>
              <w:top w:val="single" w:sz="4" w:space="0" w:color="000000"/>
              <w:left w:val="single" w:sz="4" w:space="0" w:color="000000"/>
              <w:bottom w:val="single" w:sz="4" w:space="0" w:color="000000"/>
              <w:right w:val="single" w:sz="4" w:space="0" w:color="000000"/>
            </w:tcBorders>
          </w:tcPr>
          <w:p w14:paraId="25C770F4" w14:textId="77777777" w:rsidR="006F76EB" w:rsidRPr="00834D52" w:rsidRDefault="006F76EB" w:rsidP="00BC304C">
            <w:pPr>
              <w:spacing w:after="120" w:line="240" w:lineRule="auto"/>
              <w:ind w:right="-6"/>
              <w:rPr>
                <w:rFonts w:ascii="Sylfaen" w:hAnsi="Sylfaen"/>
                <w:sz w:val="24"/>
                <w:szCs w:val="24"/>
              </w:rPr>
            </w:pPr>
          </w:p>
        </w:tc>
      </w:tr>
      <w:tr w:rsidR="006F76EB" w:rsidRPr="00834D52" w14:paraId="02FEEF32"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46D6CC38" w14:textId="7EF809C1" w:rsidR="006F76EB" w:rsidRPr="00834D52" w:rsidRDefault="0056496B" w:rsidP="00BC304C">
            <w:pPr>
              <w:spacing w:after="120" w:line="240" w:lineRule="auto"/>
              <w:ind w:left="186"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ճանաչման պետությունները</w:t>
            </w:r>
          </w:p>
        </w:tc>
        <w:tc>
          <w:tcPr>
            <w:tcW w:w="5006" w:type="dxa"/>
            <w:tcBorders>
              <w:top w:val="single" w:sz="4" w:space="0" w:color="000000"/>
              <w:left w:val="single" w:sz="4" w:space="0" w:color="000000"/>
              <w:bottom w:val="single" w:sz="4" w:space="0" w:color="000000"/>
              <w:right w:val="single" w:sz="4" w:space="0" w:color="000000"/>
            </w:tcBorders>
          </w:tcPr>
          <w:p w14:paraId="39656C77" w14:textId="77777777" w:rsidR="006F76EB" w:rsidRPr="00834D52" w:rsidRDefault="006F76EB" w:rsidP="00BC304C">
            <w:pPr>
              <w:spacing w:after="120" w:line="240" w:lineRule="auto"/>
              <w:ind w:right="-6"/>
              <w:rPr>
                <w:rFonts w:ascii="Sylfaen" w:hAnsi="Sylfaen"/>
                <w:sz w:val="24"/>
                <w:szCs w:val="24"/>
              </w:rPr>
            </w:pPr>
          </w:p>
        </w:tc>
      </w:tr>
      <w:tr w:rsidR="006F76EB" w:rsidRPr="00834D52" w14:paraId="5A093519" w14:textId="77777777" w:rsidTr="00BC304C">
        <w:tc>
          <w:tcPr>
            <w:tcW w:w="4606" w:type="dxa"/>
            <w:tcBorders>
              <w:top w:val="single" w:sz="4" w:space="0" w:color="000000"/>
              <w:left w:val="single" w:sz="4" w:space="0" w:color="000000"/>
              <w:bottom w:val="single" w:sz="4" w:space="0" w:color="000000"/>
              <w:right w:val="single" w:sz="4" w:space="0" w:color="000000"/>
            </w:tcBorders>
          </w:tcPr>
          <w:p w14:paraId="092AFC1A" w14:textId="77777777" w:rsidR="006F76EB" w:rsidRPr="00834D52" w:rsidRDefault="006F76EB" w:rsidP="00BC304C">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առ</w:t>
            </w:r>
            <w:r w:rsidR="00C54D75">
              <w:rPr>
                <w:rFonts w:ascii="Sylfaen" w:hAnsi="Sylfaen"/>
                <w:sz w:val="24"/>
                <w:szCs w:val="24"/>
              </w:rPr>
              <w:t>և</w:t>
            </w:r>
            <w:r w:rsidRPr="00834D52">
              <w:rPr>
                <w:rFonts w:ascii="Sylfaen" w:hAnsi="Sylfaen"/>
                <w:sz w:val="24"/>
                <w:szCs w:val="24"/>
              </w:rPr>
              <w:t>տրային անվանումները ճանաչման պետություններում (</w:t>
            </w:r>
            <w:r w:rsidR="0032680A">
              <w:rPr>
                <w:rFonts w:ascii="Sylfaen" w:hAnsi="Sylfaen"/>
                <w:sz w:val="24"/>
                <w:szCs w:val="24"/>
              </w:rPr>
              <w:t xml:space="preserve">ռեֆերենտ </w:t>
            </w:r>
            <w:r w:rsidRPr="00834D52">
              <w:rPr>
                <w:rFonts w:ascii="Sylfaen" w:hAnsi="Sylfaen"/>
                <w:sz w:val="24"/>
                <w:szCs w:val="24"/>
              </w:rPr>
              <w:t>պետության հետ առ</w:t>
            </w:r>
            <w:r w:rsidR="00C54D75">
              <w:rPr>
                <w:rFonts w:ascii="Sylfaen" w:hAnsi="Sylfaen"/>
                <w:sz w:val="24"/>
                <w:szCs w:val="24"/>
              </w:rPr>
              <w:t>և</w:t>
            </w:r>
            <w:r w:rsidRPr="00834D52">
              <w:rPr>
                <w:rFonts w:ascii="Sylfaen" w:hAnsi="Sylfaen"/>
                <w:sz w:val="24"/>
                <w:szCs w:val="24"/>
              </w:rPr>
              <w:t>տրային անվանումների տարբերությունների դեպքում)</w:t>
            </w:r>
          </w:p>
        </w:tc>
        <w:tc>
          <w:tcPr>
            <w:tcW w:w="5006" w:type="dxa"/>
            <w:tcBorders>
              <w:top w:val="single" w:sz="4" w:space="0" w:color="000000"/>
              <w:left w:val="single" w:sz="4" w:space="0" w:color="000000"/>
              <w:bottom w:val="single" w:sz="4" w:space="0" w:color="000000"/>
              <w:right w:val="single" w:sz="4" w:space="0" w:color="000000"/>
            </w:tcBorders>
          </w:tcPr>
          <w:p w14:paraId="511627FF" w14:textId="77777777" w:rsidR="006F76EB" w:rsidRPr="00834D52" w:rsidRDefault="006F76EB" w:rsidP="00BC304C">
            <w:pPr>
              <w:spacing w:after="120" w:line="240" w:lineRule="auto"/>
              <w:ind w:right="-6"/>
              <w:rPr>
                <w:rFonts w:ascii="Sylfaen" w:hAnsi="Sylfaen"/>
                <w:sz w:val="24"/>
                <w:szCs w:val="24"/>
              </w:rPr>
            </w:pPr>
          </w:p>
        </w:tc>
      </w:tr>
    </w:tbl>
    <w:p w14:paraId="2E46D7F9" w14:textId="42B107E0"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Ծանոթագրություն. Բաժինը պետք է լրացվի ցանկացած </w:t>
      </w:r>
      <w:r w:rsidR="0056496B">
        <w:rPr>
          <w:rFonts w:ascii="Sylfaen" w:hAnsi="Sylfaen"/>
          <w:sz w:val="24"/>
          <w:szCs w:val="24"/>
        </w:rPr>
        <w:t>դիմում</w:t>
      </w:r>
      <w:r w:rsidRPr="00834D52">
        <w:rPr>
          <w:rFonts w:ascii="Sylfaen" w:hAnsi="Sylfaen"/>
          <w:sz w:val="24"/>
          <w:szCs w:val="24"/>
        </w:rPr>
        <w:t xml:space="preserve">ի համար՝ ներառյալ այն </w:t>
      </w:r>
      <w:r w:rsidR="009F5829">
        <w:rPr>
          <w:rFonts w:ascii="Sylfaen" w:hAnsi="Sylfaen"/>
          <w:sz w:val="24"/>
          <w:szCs w:val="24"/>
        </w:rPr>
        <w:t>դիմումներ</w:t>
      </w:r>
      <w:r w:rsidRPr="00834D52">
        <w:rPr>
          <w:rFonts w:ascii="Sylfaen" w:hAnsi="Sylfaen"/>
          <w:sz w:val="24"/>
          <w:szCs w:val="24"/>
        </w:rPr>
        <w:t>ը, որոնց հղում է կատարվում այդ բաժնում:</w:t>
      </w:r>
    </w:p>
    <w:p w14:paraId="6ED847C4" w14:textId="77777777" w:rsidR="006F76EB" w:rsidRPr="00834D52" w:rsidRDefault="006F76EB" w:rsidP="006F76EB">
      <w:pPr>
        <w:spacing w:after="160" w:line="360" w:lineRule="auto"/>
        <w:ind w:right="-8"/>
        <w:jc w:val="center"/>
        <w:rPr>
          <w:rFonts w:ascii="Sylfaen" w:hAnsi="Sylfaen"/>
          <w:sz w:val="24"/>
          <w:szCs w:val="24"/>
        </w:rPr>
      </w:pPr>
    </w:p>
    <w:p w14:paraId="7A462203"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2. Կատարվող փոփոխությունները</w:t>
      </w:r>
    </w:p>
    <w:tbl>
      <w:tblPr>
        <w:tblW w:w="9346" w:type="dxa"/>
        <w:tblInd w:w="215" w:type="dxa"/>
        <w:tblLayout w:type="fixed"/>
        <w:tblCellMar>
          <w:left w:w="0" w:type="dxa"/>
          <w:right w:w="0" w:type="dxa"/>
        </w:tblCellMar>
        <w:tblLook w:val="01E0" w:firstRow="1" w:lastRow="1" w:firstColumn="1" w:lastColumn="1" w:noHBand="0" w:noVBand="0"/>
      </w:tblPr>
      <w:tblGrid>
        <w:gridCol w:w="706"/>
        <w:gridCol w:w="2407"/>
        <w:gridCol w:w="2410"/>
        <w:gridCol w:w="3823"/>
      </w:tblGrid>
      <w:tr w:rsidR="006F76EB" w:rsidRPr="00834D52" w14:paraId="1D9BE33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6F93B803"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07" w:type="dxa"/>
            <w:tcBorders>
              <w:top w:val="single" w:sz="4" w:space="0" w:color="000000"/>
              <w:left w:val="single" w:sz="4" w:space="0" w:color="000000"/>
              <w:bottom w:val="single" w:sz="4" w:space="0" w:color="000000"/>
              <w:right w:val="single" w:sz="4" w:space="0" w:color="000000"/>
            </w:tcBorders>
          </w:tcPr>
          <w:p w14:paraId="11072CB9"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անվանումը</w:t>
            </w:r>
          </w:p>
        </w:tc>
        <w:tc>
          <w:tcPr>
            <w:tcW w:w="2410" w:type="dxa"/>
            <w:tcBorders>
              <w:top w:val="single" w:sz="4" w:space="0" w:color="000000"/>
              <w:left w:val="single" w:sz="4" w:space="0" w:color="000000"/>
              <w:bottom w:val="single" w:sz="4" w:space="0" w:color="000000"/>
              <w:right w:val="single" w:sz="4" w:space="0" w:color="000000"/>
            </w:tcBorders>
          </w:tcPr>
          <w:p w14:paraId="5B4B82C2"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տիպը</w:t>
            </w:r>
          </w:p>
        </w:tc>
        <w:tc>
          <w:tcPr>
            <w:tcW w:w="3823" w:type="dxa"/>
            <w:tcBorders>
              <w:top w:val="single" w:sz="4" w:space="0" w:color="000000"/>
              <w:left w:val="single" w:sz="4" w:space="0" w:color="000000"/>
              <w:bottom w:val="single" w:sz="4" w:space="0" w:color="000000"/>
              <w:right w:val="single" w:sz="4" w:space="0" w:color="000000"/>
            </w:tcBorders>
          </w:tcPr>
          <w:p w14:paraId="7AE4263D" w14:textId="77777777" w:rsidR="006F76EB" w:rsidRPr="00834D52" w:rsidRDefault="006F76EB" w:rsidP="00BC304C">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Փոփոխության համառոտ նկարագրությունը</w:t>
            </w:r>
          </w:p>
        </w:tc>
      </w:tr>
      <w:tr w:rsidR="006F76EB" w:rsidRPr="00834D52" w14:paraId="0D05948B" w14:textId="77777777" w:rsidTr="00F71229">
        <w:tc>
          <w:tcPr>
            <w:tcW w:w="706" w:type="dxa"/>
            <w:tcBorders>
              <w:top w:val="single" w:sz="4" w:space="0" w:color="000000"/>
              <w:left w:val="single" w:sz="4" w:space="0" w:color="000000"/>
              <w:bottom w:val="single" w:sz="4" w:space="0" w:color="000000"/>
              <w:right w:val="single" w:sz="4" w:space="0" w:color="000000"/>
            </w:tcBorders>
          </w:tcPr>
          <w:p w14:paraId="006905A9"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80AD2D9"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247C05A"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05AB05AE" w14:textId="77777777" w:rsidR="006F76EB" w:rsidRPr="00834D52" w:rsidRDefault="006F76EB" w:rsidP="00BC304C">
            <w:pPr>
              <w:spacing w:after="120" w:line="240" w:lineRule="auto"/>
              <w:ind w:right="-6"/>
              <w:rPr>
                <w:rFonts w:ascii="Sylfaen" w:hAnsi="Sylfaen"/>
                <w:sz w:val="24"/>
                <w:szCs w:val="24"/>
              </w:rPr>
            </w:pPr>
          </w:p>
        </w:tc>
      </w:tr>
      <w:tr w:rsidR="006F76EB" w:rsidRPr="00834D52" w14:paraId="6FC7A8DE" w14:textId="77777777" w:rsidTr="00F71229">
        <w:tc>
          <w:tcPr>
            <w:tcW w:w="706" w:type="dxa"/>
            <w:tcBorders>
              <w:top w:val="single" w:sz="4" w:space="0" w:color="000000"/>
              <w:left w:val="single" w:sz="4" w:space="0" w:color="000000"/>
              <w:bottom w:val="single" w:sz="4" w:space="0" w:color="000000"/>
              <w:right w:val="single" w:sz="4" w:space="0" w:color="000000"/>
            </w:tcBorders>
          </w:tcPr>
          <w:p w14:paraId="2A20520B" w14:textId="77777777" w:rsidR="006F76EB" w:rsidRPr="00834D52" w:rsidRDefault="006F76EB" w:rsidP="00BC304C">
            <w:pPr>
              <w:spacing w:after="120" w:line="240" w:lineRule="auto"/>
              <w:ind w:right="-6"/>
              <w:rPr>
                <w:rFonts w:ascii="Sylfaen" w:hAnsi="Sylfaen"/>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34F836A8"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31558986"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39899FE3" w14:textId="77777777" w:rsidR="006F76EB" w:rsidRPr="00834D52" w:rsidRDefault="006F76EB" w:rsidP="00BC304C">
            <w:pPr>
              <w:spacing w:after="120" w:line="240" w:lineRule="auto"/>
              <w:ind w:right="-6"/>
              <w:rPr>
                <w:rFonts w:ascii="Sylfaen" w:hAnsi="Sylfaen"/>
                <w:sz w:val="24"/>
                <w:szCs w:val="24"/>
              </w:rPr>
            </w:pPr>
          </w:p>
        </w:tc>
      </w:tr>
      <w:tr w:rsidR="006F76EB" w:rsidRPr="00834D52" w14:paraId="784A47F7" w14:textId="77777777" w:rsidTr="00F71229">
        <w:tc>
          <w:tcPr>
            <w:tcW w:w="706" w:type="dxa"/>
            <w:tcBorders>
              <w:top w:val="single" w:sz="4" w:space="0" w:color="000000"/>
              <w:left w:val="single" w:sz="4" w:space="0" w:color="000000"/>
              <w:bottom w:val="single" w:sz="4" w:space="0" w:color="000000"/>
              <w:right w:val="single" w:sz="4" w:space="0" w:color="000000"/>
            </w:tcBorders>
          </w:tcPr>
          <w:p w14:paraId="59A651F2" w14:textId="77777777" w:rsidR="006F76EB" w:rsidRPr="00834D52" w:rsidRDefault="006F76EB" w:rsidP="00BC304C">
            <w:pPr>
              <w:spacing w:after="120" w:line="240" w:lineRule="auto"/>
              <w:ind w:right="-6"/>
              <w:rPr>
                <w:rFonts w:ascii="Sylfaen" w:eastAsia="Times New Roman" w:hAnsi="Sylfaen" w:cs="Times New Roman"/>
                <w:sz w:val="24"/>
                <w:szCs w:val="24"/>
              </w:rPr>
            </w:pPr>
            <w:r w:rsidRPr="00834D52">
              <w:rPr>
                <w:rFonts w:ascii="Sylfaen" w:hAnsi="Sylfaen"/>
                <w:sz w:val="24"/>
                <w:szCs w:val="24"/>
              </w:rPr>
              <w:t>...</w:t>
            </w:r>
          </w:p>
        </w:tc>
        <w:tc>
          <w:tcPr>
            <w:tcW w:w="2407" w:type="dxa"/>
            <w:tcBorders>
              <w:top w:val="single" w:sz="4" w:space="0" w:color="000000"/>
              <w:left w:val="single" w:sz="4" w:space="0" w:color="000000"/>
              <w:bottom w:val="single" w:sz="4" w:space="0" w:color="000000"/>
              <w:right w:val="single" w:sz="4" w:space="0" w:color="000000"/>
            </w:tcBorders>
          </w:tcPr>
          <w:p w14:paraId="5CA29026" w14:textId="77777777" w:rsidR="006F76EB" w:rsidRPr="00834D52" w:rsidRDefault="006F76EB" w:rsidP="00BC304C">
            <w:pPr>
              <w:spacing w:after="120" w:line="240" w:lineRule="auto"/>
              <w:ind w:right="-6"/>
              <w:rPr>
                <w:rFonts w:ascii="Sylfaen" w:hAnsi="Sylfae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380D679" w14:textId="77777777" w:rsidR="006F76EB" w:rsidRPr="00834D52" w:rsidRDefault="006F76EB" w:rsidP="00BC304C">
            <w:pPr>
              <w:spacing w:after="120" w:line="240" w:lineRule="auto"/>
              <w:ind w:right="-6"/>
              <w:rPr>
                <w:rFonts w:ascii="Sylfaen" w:hAnsi="Sylfaen"/>
                <w:sz w:val="24"/>
                <w:szCs w:val="24"/>
              </w:rPr>
            </w:pPr>
          </w:p>
        </w:tc>
        <w:tc>
          <w:tcPr>
            <w:tcW w:w="3823" w:type="dxa"/>
            <w:tcBorders>
              <w:top w:val="single" w:sz="4" w:space="0" w:color="000000"/>
              <w:left w:val="single" w:sz="4" w:space="0" w:color="000000"/>
              <w:bottom w:val="single" w:sz="4" w:space="0" w:color="000000"/>
              <w:right w:val="single" w:sz="4" w:space="0" w:color="000000"/>
            </w:tcBorders>
          </w:tcPr>
          <w:p w14:paraId="60B0C389" w14:textId="77777777" w:rsidR="006F76EB" w:rsidRPr="00834D52" w:rsidRDefault="006F76EB" w:rsidP="00BC304C">
            <w:pPr>
              <w:spacing w:after="120" w:line="240" w:lineRule="auto"/>
              <w:ind w:right="-6"/>
              <w:rPr>
                <w:rFonts w:ascii="Sylfaen" w:hAnsi="Sylfaen"/>
                <w:sz w:val="24"/>
                <w:szCs w:val="24"/>
              </w:rPr>
            </w:pPr>
          </w:p>
        </w:tc>
      </w:tr>
    </w:tbl>
    <w:p w14:paraId="54B7CFD5" w14:textId="6423FCD0"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Դեղապատրաստուկի՝ ստոր</w:t>
      </w:r>
      <w:r w:rsidR="00C54D75">
        <w:rPr>
          <w:rFonts w:ascii="Sylfaen" w:hAnsi="Sylfaen"/>
          <w:sz w:val="24"/>
          <w:szCs w:val="24"/>
        </w:rPr>
        <w:t>և</w:t>
      </w:r>
      <w:r w:rsidRPr="00834D52">
        <w:rPr>
          <w:rFonts w:ascii="Sylfaen" w:hAnsi="Sylfaen"/>
          <w:sz w:val="24"/>
          <w:szCs w:val="24"/>
        </w:rPr>
        <w:t xml:space="preserve"> բերված համապատասխան տիպի համար </w:t>
      </w:r>
      <w:r w:rsidR="0056496B">
        <w:rPr>
          <w:rFonts w:ascii="Sylfaen" w:hAnsi="Sylfaen"/>
          <w:sz w:val="24"/>
          <w:szCs w:val="24"/>
        </w:rPr>
        <w:t>դիմում</w:t>
      </w:r>
      <w:r w:rsidRPr="00834D52">
        <w:rPr>
          <w:rFonts w:ascii="Sylfaen" w:hAnsi="Sylfaen"/>
          <w:sz w:val="24"/>
          <w:szCs w:val="24"/>
        </w:rPr>
        <w:t xml:space="preserve"> ներկայացնելու դեպքում </w:t>
      </w:r>
      <w:r w:rsidR="0056496B">
        <w:rPr>
          <w:rFonts w:ascii="Sylfaen" w:hAnsi="Sylfaen"/>
          <w:sz w:val="24"/>
          <w:szCs w:val="24"/>
        </w:rPr>
        <w:t>դիմում</w:t>
      </w:r>
      <w:r w:rsidRPr="00834D52">
        <w:rPr>
          <w:rFonts w:ascii="Sylfaen" w:hAnsi="Sylfaen"/>
          <w:sz w:val="24"/>
          <w:szCs w:val="24"/>
        </w:rPr>
        <w:t xml:space="preserve">ի մնացած բաժինները, որոնք վերաբերում </w:t>
      </w:r>
      <w:r w:rsidRPr="00834D52">
        <w:rPr>
          <w:rFonts w:ascii="Sylfaen" w:hAnsi="Sylfaen"/>
          <w:sz w:val="24"/>
          <w:szCs w:val="24"/>
        </w:rPr>
        <w:lastRenderedPageBreak/>
        <w:t>են դեղապատրաստուկների այլ տիպերին, չեն լրացվում:</w:t>
      </w:r>
    </w:p>
    <w:p w14:paraId="2AACF70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p>
    <w:p w14:paraId="488D5016" w14:textId="77777777" w:rsidR="006F76EB" w:rsidRPr="00834D52" w:rsidRDefault="00FC294A" w:rsidP="00E15800">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7CFEDEE0">
          <v:rect id="_x0000_s1187" style="position:absolute;left:0;text-align:left;margin-left:70pt;margin-top:2.2pt;width:12.75pt;height:12pt;z-index:251699712"/>
        </w:pict>
      </w:r>
      <w:r w:rsidR="006F76EB" w:rsidRPr="00834D52">
        <w:rPr>
          <w:rFonts w:ascii="Sylfaen" w:hAnsi="Sylfaen"/>
          <w:sz w:val="24"/>
          <w:szCs w:val="24"/>
        </w:rPr>
        <w:t>ՕՐԻԳԻՆԱԼ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289"/>
        <w:gridCol w:w="4323"/>
      </w:tblGrid>
      <w:tr w:rsidR="006F76EB" w:rsidRPr="00834D52" w14:paraId="085C0684" w14:textId="77777777" w:rsidTr="00F71229">
        <w:tc>
          <w:tcPr>
            <w:tcW w:w="5289" w:type="dxa"/>
            <w:tcBorders>
              <w:top w:val="single" w:sz="4" w:space="0" w:color="000000"/>
              <w:left w:val="single" w:sz="4" w:space="0" w:color="000000"/>
              <w:bottom w:val="single" w:sz="4" w:space="0" w:color="000000"/>
              <w:right w:val="single" w:sz="4" w:space="0" w:color="000000"/>
            </w:tcBorders>
          </w:tcPr>
          <w:p w14:paraId="70462A97" w14:textId="77777777" w:rsidR="006F76EB" w:rsidRPr="00834D52" w:rsidRDefault="00FC294A" w:rsidP="00BC304C">
            <w:pPr>
              <w:spacing w:after="120" w:line="240" w:lineRule="auto"/>
              <w:ind w:left="186" w:right="-8" w:firstLine="567"/>
              <w:jc w:val="both"/>
              <w:rPr>
                <w:rFonts w:ascii="Sylfaen" w:eastAsia="Times New Roman" w:hAnsi="Sylfaen" w:cs="Times New Roman"/>
                <w:sz w:val="24"/>
                <w:szCs w:val="24"/>
              </w:rPr>
            </w:pPr>
            <w:r>
              <w:rPr>
                <w:rFonts w:ascii="Sylfaen" w:eastAsia="Times New Roman" w:hAnsi="Sylfaen" w:cs="Times New Roman"/>
                <w:noProof/>
                <w:sz w:val="24"/>
                <w:szCs w:val="24"/>
              </w:rPr>
              <w:pict w14:anchorId="58B93ED8">
                <v:rect id="_x0000_s1188" style="position:absolute;left:0;text-align:left;margin-left:14.6pt;margin-top:4.75pt;width:12.75pt;height:12pt;z-index:251700736"/>
              </w:pict>
            </w:r>
            <w:r w:rsidR="006F76EB" w:rsidRPr="00834D52">
              <w:rPr>
                <w:rFonts w:ascii="Sylfaen" w:hAnsi="Sylfaen"/>
                <w:sz w:val="24"/>
                <w:szCs w:val="24"/>
              </w:rPr>
              <w:t>կենսաբանական դեղապատրաստուկ</w:t>
            </w:r>
          </w:p>
        </w:tc>
        <w:tc>
          <w:tcPr>
            <w:tcW w:w="4323" w:type="dxa"/>
            <w:tcBorders>
              <w:top w:val="single" w:sz="4" w:space="0" w:color="000000"/>
              <w:left w:val="single" w:sz="4" w:space="0" w:color="000000"/>
              <w:bottom w:val="single" w:sz="4" w:space="0" w:color="000000"/>
              <w:right w:val="single" w:sz="4" w:space="0" w:color="000000"/>
            </w:tcBorders>
          </w:tcPr>
          <w:p w14:paraId="4EDCD173" w14:textId="77777777" w:rsidR="006F76EB" w:rsidRPr="00834D52" w:rsidRDefault="00FC294A" w:rsidP="00BC304C">
            <w:pPr>
              <w:spacing w:after="120" w:line="240" w:lineRule="auto"/>
              <w:ind w:left="186" w:right="-8" w:firstLine="567"/>
              <w:rPr>
                <w:rFonts w:ascii="Sylfaen" w:eastAsia="Times New Roman" w:hAnsi="Sylfaen" w:cs="Times New Roman"/>
                <w:sz w:val="24"/>
                <w:szCs w:val="24"/>
              </w:rPr>
            </w:pPr>
            <w:r>
              <w:rPr>
                <w:rFonts w:ascii="Sylfaen" w:hAnsi="Sylfaen"/>
                <w:noProof/>
                <w:sz w:val="24"/>
                <w:szCs w:val="24"/>
              </w:rPr>
              <w:pict w14:anchorId="55ACCDE4">
                <v:rect id="_x0000_s1189" style="position:absolute;left:0;text-align:left;margin-left:15.95pt;margin-top:4.75pt;width:12.75pt;height:12pt;z-index:251701760;mso-position-horizontal-relative:text;mso-position-vertical-relative:text"/>
              </w:pict>
            </w:r>
            <w:r w:rsidR="006F76EB" w:rsidRPr="00834D52">
              <w:rPr>
                <w:rFonts w:ascii="Sylfaen" w:hAnsi="Sylfaen"/>
                <w:sz w:val="24"/>
                <w:szCs w:val="24"/>
              </w:rPr>
              <w:t>այլ դեղապատրաստուկ</w:t>
            </w:r>
          </w:p>
        </w:tc>
      </w:tr>
      <w:tr w:rsidR="006F76EB" w:rsidRPr="00834D52" w14:paraId="1DBF033B"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D72B258" w14:textId="77777777" w:rsidR="006F76EB" w:rsidRPr="00834D52" w:rsidRDefault="00FC294A"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61639378">
                <v:rect id="_x0000_s1190" style="position:absolute;left:0;text-align:left;margin-left:14.6pt;margin-top:5.05pt;width:12.75pt;height:12pt;z-index:251702784;mso-position-horizontal-relative:text;mso-position-vertical-relative:text"/>
              </w:pict>
            </w:r>
            <w:r w:rsidR="006F76EB" w:rsidRPr="00834D52">
              <w:rPr>
                <w:rFonts w:ascii="Sylfaen" w:hAnsi="Sylfaen"/>
                <w:sz w:val="24"/>
                <w:szCs w:val="24"/>
              </w:rPr>
              <w:t>նոր ակտիվ դեղաբանական բաղադրամաս (այսուհետ՝ ԱԴԲ)</w:t>
            </w:r>
          </w:p>
          <w:p w14:paraId="4430C33E" w14:textId="77777777" w:rsidR="006F76EB" w:rsidRPr="00834D52" w:rsidRDefault="006F76EB" w:rsidP="00BC304C">
            <w:pPr>
              <w:spacing w:after="120" w:line="240" w:lineRule="auto"/>
              <w:ind w:left="186" w:right="212"/>
              <w:jc w:val="both"/>
              <w:rPr>
                <w:rFonts w:ascii="Sylfaen" w:eastAsia="Times New Roman" w:hAnsi="Sylfaen" w:cs="Times New Roma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բացակայում են ԱԴԲ-ի մասին տեղեկությունները:</w:t>
            </w:r>
          </w:p>
        </w:tc>
      </w:tr>
      <w:tr w:rsidR="006F76EB" w:rsidRPr="00834D52" w14:paraId="033CB1B6"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43EBC2E1" w14:textId="183BAB31" w:rsidR="006F76EB" w:rsidRPr="00834D52" w:rsidRDefault="00FC294A" w:rsidP="00BC304C">
            <w:pPr>
              <w:spacing w:after="120" w:line="240" w:lineRule="auto"/>
              <w:ind w:left="753" w:right="-8"/>
              <w:jc w:val="both"/>
              <w:rPr>
                <w:rFonts w:ascii="Sylfaen" w:eastAsia="Times New Roman" w:hAnsi="Sylfaen" w:cs="Times New Roman"/>
                <w:sz w:val="24"/>
                <w:szCs w:val="24"/>
              </w:rPr>
            </w:pPr>
            <w:r>
              <w:rPr>
                <w:rFonts w:ascii="Sylfaen" w:eastAsia="Times New Roman" w:hAnsi="Sylfaen" w:cs="Times New Roman"/>
                <w:noProof/>
                <w:sz w:val="24"/>
                <w:szCs w:val="24"/>
              </w:rPr>
              <w:pict w14:anchorId="441D5529">
                <v:rect id="_x0000_s1191" style="position:absolute;left:0;text-align:left;margin-left:14.6pt;margin-top:4.6pt;width:12.75pt;height:12pt;z-index:251703808;mso-position-horizontal-relative:text;mso-position-vertical-relative:text"/>
              </w:pict>
            </w:r>
            <w:r w:rsidR="005F6A31">
              <w:rPr>
                <w:rFonts w:ascii="Sylfaen" w:hAnsi="Sylfaen"/>
                <w:sz w:val="24"/>
                <w:szCs w:val="24"/>
              </w:rPr>
              <w:t>հայտնի</w:t>
            </w:r>
            <w:r w:rsidR="006F76EB" w:rsidRPr="00834D52">
              <w:rPr>
                <w:rFonts w:ascii="Sylfaen" w:hAnsi="Sylfaen"/>
                <w:sz w:val="24"/>
                <w:szCs w:val="24"/>
              </w:rPr>
              <w:t xml:space="preserve"> ԱԴԲ</w:t>
            </w:r>
          </w:p>
          <w:p w14:paraId="46A0006A" w14:textId="77777777" w:rsidR="006F76EB" w:rsidRPr="00834D52" w:rsidRDefault="006F76EB" w:rsidP="00BC304C">
            <w:pPr>
              <w:spacing w:after="120" w:line="240" w:lineRule="auto"/>
              <w:ind w:left="186" w:right="212"/>
              <w:rPr>
                <w:rFonts w:ascii="Sylfaen" w:hAnsi="Sylfaen"/>
                <w:sz w:val="24"/>
                <w:szCs w:val="24"/>
              </w:rPr>
            </w:pPr>
            <w:r w:rsidRPr="00834D52">
              <w:rPr>
                <w:rFonts w:ascii="Sylfaen" w:hAnsi="Sylfaen"/>
                <w:sz w:val="24"/>
                <w:szCs w:val="24"/>
              </w:rPr>
              <w:t>Ծանոթագրություն. Եվրասիական տնտեսական միության գրանցված դեղամիջոցների միասնական ռեեստրում կամ Եվրասիական տնտեսական միության անդամ պետությունների համապատասխան ազգային ռեեստրներում առկա են ԱԴԲ-ի մասին տեղեկություններ:</w:t>
            </w:r>
          </w:p>
        </w:tc>
      </w:tr>
    </w:tbl>
    <w:p w14:paraId="4A7A465E" w14:textId="77777777" w:rsidR="006F76EB" w:rsidRPr="00834D52" w:rsidRDefault="006F76EB" w:rsidP="006F76EB">
      <w:pPr>
        <w:spacing w:after="160" w:line="360" w:lineRule="auto"/>
        <w:ind w:right="-8"/>
        <w:jc w:val="center"/>
        <w:rPr>
          <w:rFonts w:ascii="Sylfaen" w:hAnsi="Sylfaen"/>
          <w:sz w:val="24"/>
          <w:szCs w:val="24"/>
        </w:rPr>
      </w:pPr>
    </w:p>
    <w:p w14:paraId="4FEA6748"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eastAsia="Times New Roman" w:hAnsi="Sylfaen" w:cs="Times New Roman"/>
          <w:noProof/>
          <w:sz w:val="24"/>
          <w:szCs w:val="24"/>
        </w:rPr>
        <w:pict w14:anchorId="3458D552">
          <v:rect id="_x0000_s1192" style="position:absolute;left:0;text-align:left;margin-left:57.25pt;margin-top:2.45pt;width:12.75pt;height:12pt;z-index:251704832"/>
        </w:pict>
      </w:r>
      <w:r w:rsidR="006F76EB" w:rsidRPr="00834D52">
        <w:rPr>
          <w:rFonts w:ascii="Sylfaen" w:hAnsi="Sylfaen"/>
          <w:sz w:val="24"/>
          <w:szCs w:val="24"/>
        </w:rPr>
        <w:t>ՎԵՐԱՐՏԱԴՐՎԱԾ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110"/>
      </w:tblGrid>
      <w:tr w:rsidR="006F76EB" w:rsidRPr="00834D52" w14:paraId="2A1D8F1F" w14:textId="77777777" w:rsidTr="00F71229">
        <w:tc>
          <w:tcPr>
            <w:tcW w:w="5387" w:type="dxa"/>
          </w:tcPr>
          <w:p w14:paraId="6E890B8C" w14:textId="77777777" w:rsidR="006F76EB" w:rsidRPr="00834D52" w:rsidRDefault="00FC294A" w:rsidP="00F71229">
            <w:pPr>
              <w:spacing w:after="160" w:line="360" w:lineRule="auto"/>
              <w:ind w:left="44" w:right="-8" w:firstLine="425"/>
              <w:rPr>
                <w:rFonts w:ascii="Sylfaen" w:hAnsi="Sylfaen"/>
                <w:sz w:val="24"/>
                <w:szCs w:val="24"/>
              </w:rPr>
            </w:pPr>
            <w:r>
              <w:rPr>
                <w:rFonts w:ascii="Sylfaen" w:eastAsia="Times New Roman" w:hAnsi="Sylfaen" w:cs="Times New Roman"/>
                <w:noProof/>
                <w:sz w:val="24"/>
                <w:szCs w:val="24"/>
              </w:rPr>
              <w:pict w14:anchorId="4EFC72F2">
                <v:rect id="_x0000_s1193" style="position:absolute;left:0;text-align:left;margin-left:1.75pt;margin-top:4.35pt;width:12.75pt;height:12pt;z-index:251705856"/>
              </w:pict>
            </w:r>
            <w:r w:rsidR="006F76EB" w:rsidRPr="00834D52">
              <w:rPr>
                <w:rFonts w:ascii="Sylfaen" w:hAnsi="Sylfaen"/>
                <w:sz w:val="24"/>
                <w:szCs w:val="24"/>
              </w:rPr>
              <w:t>միաբաղադրիչ</w:t>
            </w:r>
          </w:p>
        </w:tc>
        <w:tc>
          <w:tcPr>
            <w:tcW w:w="4110" w:type="dxa"/>
          </w:tcPr>
          <w:p w14:paraId="1A8CE443" w14:textId="77777777" w:rsidR="006F76EB" w:rsidRPr="00834D52" w:rsidRDefault="00FC294A" w:rsidP="00F71229">
            <w:pPr>
              <w:spacing w:after="160" w:line="360" w:lineRule="auto"/>
              <w:ind w:left="469" w:right="-8"/>
              <w:rPr>
                <w:rFonts w:ascii="Sylfaen" w:hAnsi="Sylfaen"/>
                <w:sz w:val="24"/>
                <w:szCs w:val="24"/>
              </w:rPr>
            </w:pPr>
            <w:r>
              <w:rPr>
                <w:rFonts w:ascii="Sylfaen" w:eastAsia="Times New Roman" w:hAnsi="Sylfaen" w:cs="Times New Roman"/>
                <w:noProof/>
                <w:sz w:val="24"/>
                <w:szCs w:val="24"/>
              </w:rPr>
              <w:pict w14:anchorId="45D284AE">
                <v:rect id="_x0000_s1194" style="position:absolute;left:0;text-align:left;margin-left:-.4pt;margin-top:4.35pt;width:12.75pt;height:12pt;z-index:251706880;mso-position-horizontal-relative:text;mso-position-vertical-relative:text"/>
              </w:pict>
            </w:r>
            <w:r w:rsidR="006F76EB" w:rsidRPr="00834D52">
              <w:rPr>
                <w:rFonts w:ascii="Sylfaen" w:hAnsi="Sylfaen"/>
                <w:sz w:val="24"/>
                <w:szCs w:val="24"/>
              </w:rPr>
              <w:t>բազմաբաղադրիչ</w:t>
            </w:r>
          </w:p>
        </w:tc>
      </w:tr>
    </w:tbl>
    <w:p w14:paraId="4B085541" w14:textId="77777777" w:rsidR="006F76EB" w:rsidRPr="00834D52" w:rsidRDefault="006F76EB" w:rsidP="006F76EB">
      <w:pPr>
        <w:spacing w:after="160" w:line="360" w:lineRule="auto"/>
        <w:ind w:right="-8"/>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47341562"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19BB72E9"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DDA101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425280B"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107E06DD"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BF4DE9C"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41A85152"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7144802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08A5A9F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2C0CF87D"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Pr="00834D52">
              <w:rPr>
                <w:rFonts w:ascii="Sylfaen" w:hAnsi="Sylfaen"/>
                <w:sz w:val="24"/>
                <w:szCs w:val="24"/>
              </w:rPr>
              <w:t xml:space="preserve"> </w:t>
            </w:r>
            <w:r w:rsidR="006F76EB" w:rsidRPr="00834D52">
              <w:rPr>
                <w:rFonts w:ascii="Sylfaen" w:hAnsi="Sylfaen"/>
                <w:sz w:val="24"/>
                <w:szCs w:val="24"/>
              </w:rPr>
              <w:t>դեղապատրաստուկը, որն օգտագործվել է համարժեքության հետազոտություններում (եթե այդպիսիք անցկացվել են)՝</w:t>
            </w:r>
          </w:p>
        </w:tc>
      </w:tr>
      <w:tr w:rsidR="006F76EB" w:rsidRPr="00834D52" w14:paraId="2B65D4EE"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5675C79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7F77A0EE" w14:textId="77777777" w:rsidR="006F76EB" w:rsidRPr="00834D52" w:rsidRDefault="006F76EB" w:rsidP="00E15800">
            <w:pPr>
              <w:spacing w:after="120" w:line="240" w:lineRule="auto"/>
              <w:ind w:right="-6"/>
              <w:rPr>
                <w:rFonts w:ascii="Sylfaen" w:hAnsi="Sylfaen"/>
                <w:sz w:val="24"/>
                <w:szCs w:val="24"/>
              </w:rPr>
            </w:pPr>
          </w:p>
        </w:tc>
      </w:tr>
      <w:tr w:rsidR="006F76EB" w:rsidRPr="00834D52" w14:paraId="7B73ECD9"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CA67BB5"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lastRenderedPageBreak/>
              <w:t xml:space="preserve">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19E4D96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44792828"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29522AC8"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 xml:space="preserve">բերել </w:t>
            </w:r>
            <w:r w:rsidR="00D0720C">
              <w:rPr>
                <w:rFonts w:ascii="Sylfaen" w:hAnsi="Sylfaen"/>
                <w:sz w:val="24"/>
                <w:szCs w:val="24"/>
              </w:rPr>
              <w:t>ռեֆերենտ</w:t>
            </w:r>
            <w:r w:rsidRPr="00834D52">
              <w:rPr>
                <w:rFonts w:ascii="Sylfaen" w:hAnsi="Sylfaen"/>
                <w:sz w:val="24"/>
                <w:szCs w:val="24"/>
              </w:rPr>
              <w:t xml:space="preserve"> պատրաստուկի օգտագործման հիմնավորումներ օրիգինալ պատրաստուկից դրա տարբերության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50400E80"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200D5DD"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77065055" w14:textId="77777777" w:rsidR="006F76EB" w:rsidRPr="00834D52" w:rsidRDefault="00D0720C" w:rsidP="00E15800">
            <w:pPr>
              <w:spacing w:after="120" w:line="240" w:lineRule="auto"/>
              <w:ind w:left="187" w:right="-6"/>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վերաբերյալ Դեղամիջոցների հարցերով փորձագիտական կոմիտեի առաջարկությունների առկայությունը</w:t>
            </w:r>
          </w:p>
        </w:tc>
        <w:tc>
          <w:tcPr>
            <w:tcW w:w="4114" w:type="dxa"/>
            <w:tcBorders>
              <w:top w:val="single" w:sz="4" w:space="0" w:color="000000"/>
              <w:left w:val="single" w:sz="4" w:space="0" w:color="000000"/>
              <w:bottom w:val="single" w:sz="4" w:space="0" w:color="000000"/>
              <w:right w:val="single" w:sz="4" w:space="0" w:color="000000"/>
            </w:tcBorders>
          </w:tcPr>
          <w:p w14:paraId="4844C9DC" w14:textId="77777777" w:rsidR="006F76EB" w:rsidRPr="00834D52" w:rsidRDefault="006F76EB" w:rsidP="00E15800">
            <w:pPr>
              <w:spacing w:after="120" w:line="240" w:lineRule="auto"/>
              <w:ind w:right="-6"/>
              <w:rPr>
                <w:rFonts w:ascii="Sylfaen" w:hAnsi="Sylfaen"/>
                <w:sz w:val="24"/>
                <w:szCs w:val="24"/>
              </w:rPr>
            </w:pPr>
          </w:p>
        </w:tc>
      </w:tr>
    </w:tbl>
    <w:p w14:paraId="45194A10" w14:textId="77777777" w:rsidR="006F76EB" w:rsidRPr="00834D52"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Ծանոթագրություն. Բաժինն անհրաժեշտ է լրացնել յուրաքանչյուր դեղապատրաստուկի համար, որն օգտագործվել է համարժեքության հետազոտություններում:</w:t>
      </w:r>
    </w:p>
    <w:p w14:paraId="763B2C4A" w14:textId="77777777" w:rsidR="006F76EB" w:rsidRPr="00834D52" w:rsidRDefault="006F76EB" w:rsidP="00DA62B0">
      <w:pPr>
        <w:spacing w:after="160" w:line="360" w:lineRule="auto"/>
        <w:ind w:right="-8"/>
        <w:jc w:val="center"/>
        <w:rPr>
          <w:rFonts w:ascii="Sylfaen" w:hAnsi="Sylfaen"/>
          <w:sz w:val="24"/>
          <w:szCs w:val="24"/>
        </w:rPr>
      </w:pPr>
    </w:p>
    <w:p w14:paraId="571F02F9"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3838EE17">
          <v:rect id="_x0000_s1195" style="position:absolute;left:0;text-align:left;margin-left:32.5pt;margin-top:2.1pt;width:12.75pt;height:12pt;z-index:251707904"/>
        </w:pict>
      </w:r>
      <w:r w:rsidR="006F76EB" w:rsidRPr="00834D52">
        <w:rPr>
          <w:rFonts w:ascii="Sylfaen" w:hAnsi="Sylfaen"/>
          <w:sz w:val="24"/>
          <w:szCs w:val="24"/>
        </w:rPr>
        <w:t>ԿԵՆՍԱՆՄԱՆ ԴԵՂԱՊԱՏՐԱՍՏՈՒԿ (ԿԵՆՍԱՆՄԱՆԱԿ)</w:t>
      </w:r>
    </w:p>
    <w:p w14:paraId="5BC20078"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Օրիգինալ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98"/>
        <w:gridCol w:w="4114"/>
      </w:tblGrid>
      <w:tr w:rsidR="006F76EB" w:rsidRPr="00834D52" w14:paraId="2E0BDD53"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3C98D8A8"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14" w:type="dxa"/>
            <w:tcBorders>
              <w:top w:val="single" w:sz="4" w:space="0" w:color="000000"/>
              <w:left w:val="single" w:sz="4" w:space="0" w:color="000000"/>
              <w:bottom w:val="single" w:sz="4" w:space="0" w:color="000000"/>
              <w:right w:val="single" w:sz="4" w:space="0" w:color="000000"/>
            </w:tcBorders>
          </w:tcPr>
          <w:p w14:paraId="4EBC6F6F"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D364DBF" w14:textId="77777777" w:rsidTr="00F71229">
        <w:tc>
          <w:tcPr>
            <w:tcW w:w="5498" w:type="dxa"/>
            <w:tcBorders>
              <w:top w:val="single" w:sz="4" w:space="0" w:color="000000"/>
              <w:left w:val="single" w:sz="4" w:space="0" w:color="000000"/>
              <w:bottom w:val="single" w:sz="4" w:space="0" w:color="000000"/>
              <w:right w:val="single" w:sz="4" w:space="0" w:color="000000"/>
            </w:tcBorders>
          </w:tcPr>
          <w:p w14:paraId="1836977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(այն ընկերությունը, որի անունով տրվել է գրանցման հավաստագիրը),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4114" w:type="dxa"/>
            <w:tcBorders>
              <w:top w:val="single" w:sz="4" w:space="0" w:color="000000"/>
              <w:left w:val="single" w:sz="4" w:space="0" w:color="000000"/>
              <w:bottom w:val="single" w:sz="4" w:space="0" w:color="000000"/>
              <w:right w:val="single" w:sz="4" w:space="0" w:color="000000"/>
            </w:tcBorders>
          </w:tcPr>
          <w:p w14:paraId="015E6431" w14:textId="77777777" w:rsidR="006F76EB" w:rsidRPr="00834D52" w:rsidRDefault="006F76EB" w:rsidP="00E15800">
            <w:pPr>
              <w:spacing w:after="120" w:line="240" w:lineRule="auto"/>
              <w:ind w:right="-6"/>
              <w:rPr>
                <w:rFonts w:ascii="Sylfaen" w:hAnsi="Sylfaen"/>
                <w:sz w:val="24"/>
                <w:szCs w:val="24"/>
              </w:rPr>
            </w:pPr>
          </w:p>
        </w:tc>
      </w:tr>
    </w:tbl>
    <w:p w14:paraId="475156BA" w14:textId="77777777" w:rsidR="006F76EB" w:rsidRPr="00834D52" w:rsidRDefault="00D0720C" w:rsidP="006F76EB">
      <w:pPr>
        <w:spacing w:after="160" w:line="360" w:lineRule="auto"/>
        <w:ind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5431"/>
        <w:gridCol w:w="4181"/>
      </w:tblGrid>
      <w:tr w:rsidR="006F76EB" w:rsidRPr="00834D52" w14:paraId="1EA2BA7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67907B6"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4181" w:type="dxa"/>
            <w:tcBorders>
              <w:top w:val="single" w:sz="4" w:space="0" w:color="000000"/>
              <w:left w:val="single" w:sz="4" w:space="0" w:color="000000"/>
              <w:bottom w:val="single" w:sz="4" w:space="0" w:color="000000"/>
              <w:right w:val="single" w:sz="4" w:space="0" w:color="000000"/>
            </w:tcBorders>
          </w:tcPr>
          <w:p w14:paraId="3C297CBA" w14:textId="77777777" w:rsidR="006F76EB" w:rsidRPr="00834D52" w:rsidRDefault="006F76EB" w:rsidP="00E15800">
            <w:pPr>
              <w:spacing w:after="120" w:line="240" w:lineRule="auto"/>
              <w:ind w:right="-8"/>
              <w:rPr>
                <w:rFonts w:ascii="Sylfaen" w:hAnsi="Sylfaen"/>
                <w:sz w:val="24"/>
                <w:szCs w:val="24"/>
              </w:rPr>
            </w:pPr>
          </w:p>
        </w:tc>
      </w:tr>
      <w:tr w:rsidR="006F76EB" w:rsidRPr="00834D52" w14:paraId="599A610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63D871B2" w14:textId="77777777" w:rsidR="006F76EB" w:rsidRPr="00834D52" w:rsidRDefault="006F76EB" w:rsidP="00E1580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իրավատերը, գրանցման ամսաթիվը, գրանցման հավաստագրի համարը, Եվրասիական </w:t>
            </w:r>
            <w:r w:rsidRPr="00834D52">
              <w:rPr>
                <w:rFonts w:ascii="Sylfaen" w:hAnsi="Sylfaen"/>
                <w:sz w:val="24"/>
                <w:szCs w:val="24"/>
              </w:rPr>
              <w:lastRenderedPageBreak/>
              <w:t xml:space="preserve">տնտեսական միության այն անդամ պետությունները, որտեղ գրանցված է </w:t>
            </w:r>
            <w:r w:rsidR="00D0720C">
              <w:rPr>
                <w:rFonts w:ascii="Sylfaen" w:hAnsi="Sylfaen"/>
                <w:sz w:val="24"/>
                <w:szCs w:val="24"/>
              </w:rPr>
              <w:t>ռեֆերենտ</w:t>
            </w:r>
            <w:r w:rsidRPr="00834D52">
              <w:rPr>
                <w:rFonts w:ascii="Sylfaen" w:hAnsi="Sylfaen"/>
                <w:sz w:val="24"/>
                <w:szCs w:val="24"/>
              </w:rPr>
              <w:t xml:space="preserve"> դեղապատրաստուկը</w:t>
            </w:r>
          </w:p>
        </w:tc>
        <w:tc>
          <w:tcPr>
            <w:tcW w:w="4181" w:type="dxa"/>
            <w:tcBorders>
              <w:top w:val="single" w:sz="4" w:space="0" w:color="000000"/>
              <w:left w:val="single" w:sz="4" w:space="0" w:color="000000"/>
              <w:bottom w:val="single" w:sz="4" w:space="0" w:color="000000"/>
              <w:right w:val="single" w:sz="4" w:space="0" w:color="000000"/>
            </w:tcBorders>
          </w:tcPr>
          <w:p w14:paraId="018EAD48" w14:textId="77777777" w:rsidR="006F76EB" w:rsidRPr="00834D52" w:rsidRDefault="006F76EB" w:rsidP="00E15800">
            <w:pPr>
              <w:spacing w:after="120" w:line="240" w:lineRule="auto"/>
              <w:ind w:right="-8"/>
              <w:rPr>
                <w:rFonts w:ascii="Sylfaen" w:hAnsi="Sylfaen"/>
                <w:sz w:val="24"/>
                <w:szCs w:val="24"/>
              </w:rPr>
            </w:pPr>
          </w:p>
        </w:tc>
      </w:tr>
      <w:tr w:rsidR="006F76EB" w:rsidRPr="00834D52" w14:paraId="758CD529"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1289E48D"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դեղապատրաստուկի ընտրության հարցի վերաբերյալ Դեղամիջոցների հարցերով փորձագիտական կոմիտեի առաջարկությունների առկայությունը</w:t>
            </w:r>
          </w:p>
        </w:tc>
        <w:tc>
          <w:tcPr>
            <w:tcW w:w="4181" w:type="dxa"/>
            <w:tcBorders>
              <w:top w:val="single" w:sz="4" w:space="0" w:color="000000"/>
              <w:left w:val="single" w:sz="4" w:space="0" w:color="000000"/>
              <w:bottom w:val="single" w:sz="4" w:space="0" w:color="000000"/>
              <w:right w:val="single" w:sz="4" w:space="0" w:color="000000"/>
            </w:tcBorders>
          </w:tcPr>
          <w:p w14:paraId="4F11B656" w14:textId="77777777" w:rsidR="006F76EB" w:rsidRPr="00834D52" w:rsidRDefault="006F76EB" w:rsidP="00E15800">
            <w:pPr>
              <w:spacing w:after="120" w:line="240" w:lineRule="auto"/>
              <w:ind w:right="-8"/>
              <w:rPr>
                <w:rFonts w:ascii="Sylfaen" w:hAnsi="Sylfaen"/>
                <w:sz w:val="24"/>
                <w:szCs w:val="24"/>
              </w:rPr>
            </w:pPr>
          </w:p>
        </w:tc>
      </w:tr>
      <w:tr w:rsidR="006F76EB" w:rsidRPr="00834D52" w14:paraId="67A8DF1C" w14:textId="77777777" w:rsidTr="00F71229">
        <w:tc>
          <w:tcPr>
            <w:tcW w:w="5431" w:type="dxa"/>
            <w:tcBorders>
              <w:top w:val="single" w:sz="4" w:space="0" w:color="000000"/>
              <w:left w:val="single" w:sz="4" w:space="0" w:color="000000"/>
              <w:bottom w:val="single" w:sz="4" w:space="0" w:color="000000"/>
              <w:right w:val="single" w:sz="4" w:space="0" w:color="000000"/>
            </w:tcBorders>
          </w:tcPr>
          <w:p w14:paraId="36DA7085" w14:textId="77777777" w:rsidR="006F76EB" w:rsidRPr="00834D52" w:rsidRDefault="00D0720C" w:rsidP="00E15800">
            <w:pPr>
              <w:spacing w:after="120" w:line="240" w:lineRule="auto"/>
              <w:ind w:left="186" w:right="-8"/>
              <w:rPr>
                <w:rFonts w:ascii="Sylfaen" w:eastAsia="Times New Roman" w:hAnsi="Sylfaen" w:cs="Times New Roman"/>
                <w:sz w:val="24"/>
                <w:szCs w:val="24"/>
              </w:rPr>
            </w:pPr>
            <w:r>
              <w:rPr>
                <w:rFonts w:ascii="Sylfaen" w:hAnsi="Sylfaen"/>
                <w:sz w:val="24"/>
                <w:szCs w:val="24"/>
              </w:rPr>
              <w:t>ռեֆերենտ</w:t>
            </w:r>
            <w:r w:rsidR="006F76EB" w:rsidRPr="00834D52">
              <w:rPr>
                <w:rFonts w:ascii="Sylfaen" w:hAnsi="Sylfaen"/>
                <w:sz w:val="24"/>
                <w:szCs w:val="24"/>
              </w:rPr>
              <w:t xml:space="preserve"> կենսաբանական դեղապատրաստուկի համեմատությամբ տարբերությունները (առկայության դեպքում)՝</w:t>
            </w:r>
          </w:p>
        </w:tc>
        <w:tc>
          <w:tcPr>
            <w:tcW w:w="4181" w:type="dxa"/>
            <w:tcBorders>
              <w:top w:val="single" w:sz="4" w:space="0" w:color="000000"/>
              <w:left w:val="single" w:sz="4" w:space="0" w:color="000000"/>
              <w:bottom w:val="single" w:sz="4" w:space="0" w:color="000000"/>
              <w:right w:val="single" w:sz="4" w:space="0" w:color="000000"/>
            </w:tcBorders>
          </w:tcPr>
          <w:p w14:paraId="751B6412" w14:textId="77777777" w:rsidR="006F76EB" w:rsidRPr="00834D52" w:rsidRDefault="00FC294A"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7B12AAE3">
                <v:rect id="_x0000_s1196" style="position:absolute;left:0;text-align:left;margin-left:4.2pt;margin-top:5.4pt;width:12.75pt;height:12pt;z-index:251708928;mso-position-horizontal-relative:text;mso-position-vertical-relative:text"/>
              </w:pict>
            </w:r>
            <w:r w:rsidR="006F76EB" w:rsidRPr="00834D52">
              <w:rPr>
                <w:rFonts w:ascii="Sylfaen" w:hAnsi="Sylfaen"/>
                <w:sz w:val="24"/>
                <w:szCs w:val="24"/>
              </w:rPr>
              <w:t>ելանյութերի տարբերությունները</w:t>
            </w:r>
          </w:p>
          <w:p w14:paraId="36DB0ADD" w14:textId="77777777" w:rsidR="006F76EB" w:rsidRPr="00834D52" w:rsidRDefault="00FC294A"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32D20F">
                <v:rect id="_x0000_s1197" style="position:absolute;left:0;text-align:left;margin-left:4.95pt;margin-top:5.05pt;width:12.75pt;height:12pt;z-index:251709952"/>
              </w:pict>
            </w:r>
            <w:r w:rsidR="006F76EB" w:rsidRPr="00834D52">
              <w:rPr>
                <w:rFonts w:ascii="Sylfaen" w:hAnsi="Sylfaen"/>
                <w:sz w:val="24"/>
                <w:szCs w:val="24"/>
              </w:rPr>
              <w:t>արտադրական գործընթացի տարբերությունները</w:t>
            </w:r>
          </w:p>
          <w:p w14:paraId="0C3C91BC" w14:textId="77777777" w:rsidR="006F76EB" w:rsidRPr="00834D52" w:rsidRDefault="00FC294A"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36B14C36">
                <v:rect id="_x0000_s1198" style="position:absolute;left:0;text-align:left;margin-left:5.7pt;margin-top:2.55pt;width:12.75pt;height:12pt;z-index:251710976"/>
              </w:pict>
            </w:r>
            <w:r w:rsidR="006F76EB" w:rsidRPr="00834D52">
              <w:rPr>
                <w:rFonts w:ascii="Sylfaen" w:hAnsi="Sylfaen"/>
                <w:sz w:val="24"/>
                <w:szCs w:val="24"/>
              </w:rPr>
              <w:t>կիրառման այլ ցուցումներ</w:t>
            </w:r>
          </w:p>
          <w:p w14:paraId="0AAF9DC9" w14:textId="77777777" w:rsidR="006F76EB" w:rsidRPr="00834D52" w:rsidRDefault="00FC294A"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4AC58763">
                <v:rect id="_x0000_s1199" style="position:absolute;left:0;text-align:left;margin-left:5.7pt;margin-top:4.5pt;width:12.75pt;height:12pt;z-index:251712000"/>
              </w:pict>
            </w:r>
            <w:r w:rsidR="006F76EB" w:rsidRPr="00834D52">
              <w:rPr>
                <w:rFonts w:ascii="Sylfaen" w:hAnsi="Sylfaen"/>
                <w:sz w:val="24"/>
                <w:szCs w:val="24"/>
              </w:rPr>
              <w:t>դեղաձ</w:t>
            </w:r>
            <w:r w:rsidR="00C54D75">
              <w:rPr>
                <w:rFonts w:ascii="Sylfaen" w:hAnsi="Sylfaen"/>
                <w:sz w:val="24"/>
                <w:szCs w:val="24"/>
              </w:rPr>
              <w:t>և</w:t>
            </w:r>
            <w:r w:rsidR="006F76EB" w:rsidRPr="00834D52">
              <w:rPr>
                <w:rFonts w:ascii="Sylfaen" w:hAnsi="Sylfaen"/>
                <w:sz w:val="24"/>
                <w:szCs w:val="24"/>
              </w:rPr>
              <w:t>ի տարբերությունները</w:t>
            </w:r>
          </w:p>
          <w:p w14:paraId="0E44DC3F" w14:textId="77777777" w:rsidR="006F76EB" w:rsidRPr="00834D52" w:rsidRDefault="00FC294A"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16E7BDA7">
                <v:rect id="_x0000_s1200" style="position:absolute;left:0;text-align:left;margin-left:5.7pt;margin-top:6.45pt;width:12.75pt;height:12pt;z-index:251713024"/>
              </w:pict>
            </w:r>
            <w:r w:rsidR="006F76EB" w:rsidRPr="00834D52">
              <w:rPr>
                <w:rFonts w:ascii="Sylfaen" w:hAnsi="Sylfaen"/>
                <w:sz w:val="24"/>
                <w:szCs w:val="24"/>
              </w:rPr>
              <w:t>այլ դոզավորումներ (ԱԴԲ-ի քանակական փոփոխություններ)</w:t>
            </w:r>
          </w:p>
          <w:p w14:paraId="02C22785" w14:textId="77777777" w:rsidR="006F76EB" w:rsidRPr="00834D52" w:rsidRDefault="00FC294A" w:rsidP="00E15800">
            <w:pPr>
              <w:spacing w:after="120" w:line="240" w:lineRule="auto"/>
              <w:ind w:left="469" w:right="-8"/>
              <w:rPr>
                <w:rFonts w:ascii="Sylfaen" w:eastAsia="Times New Roman" w:hAnsi="Sylfaen" w:cs="Times New Roman"/>
                <w:sz w:val="24"/>
                <w:szCs w:val="24"/>
              </w:rPr>
            </w:pPr>
            <w:r>
              <w:rPr>
                <w:rFonts w:ascii="Sylfaen" w:hAnsi="Sylfaen"/>
                <w:noProof/>
                <w:sz w:val="24"/>
                <w:szCs w:val="24"/>
              </w:rPr>
              <w:pict w14:anchorId="53637D98">
                <v:rect id="_x0000_s1201" style="position:absolute;left:0;text-align:left;margin-left:5.7pt;margin-top:5.15pt;width:12.75pt;height:12pt;z-index:251714048"/>
              </w:pict>
            </w:r>
            <w:r w:rsidR="006F76EB" w:rsidRPr="00834D52">
              <w:rPr>
                <w:rFonts w:ascii="Sylfaen" w:hAnsi="Sylfaen"/>
                <w:sz w:val="24"/>
                <w:szCs w:val="24"/>
              </w:rPr>
              <w:t>ներմուծման այլ եղանակ</w:t>
            </w:r>
          </w:p>
          <w:p w14:paraId="6D72C97E" w14:textId="77777777" w:rsidR="006F76EB" w:rsidRPr="00834D52" w:rsidRDefault="00FC294A" w:rsidP="00E15800">
            <w:pPr>
              <w:spacing w:after="120" w:line="240" w:lineRule="auto"/>
              <w:ind w:left="469"/>
              <w:rPr>
                <w:rFonts w:ascii="Sylfaen" w:eastAsia="Times New Roman" w:hAnsi="Sylfaen" w:cs="Times New Roman"/>
                <w:sz w:val="24"/>
                <w:szCs w:val="24"/>
              </w:rPr>
            </w:pPr>
            <w:r>
              <w:rPr>
                <w:rFonts w:ascii="Sylfaen" w:hAnsi="Sylfaen"/>
                <w:noProof/>
                <w:sz w:val="24"/>
                <w:szCs w:val="24"/>
              </w:rPr>
              <w:pict w14:anchorId="2AD60676">
                <v:rect id="_x0000_s1202" style="position:absolute;left:0;text-align:left;margin-left:5.7pt;margin-top:1.8pt;width:12.75pt;height:12pt;z-index:251715072"/>
              </w:pict>
            </w:r>
            <w:r w:rsidR="006F76EB" w:rsidRPr="00834D52">
              <w:rPr>
                <w:rFonts w:ascii="Sylfaen" w:hAnsi="Sylfaen"/>
                <w:sz w:val="24"/>
                <w:szCs w:val="24"/>
              </w:rPr>
              <w:t>այլ տարբերություններ՝ ______________________</w:t>
            </w:r>
          </w:p>
        </w:tc>
      </w:tr>
    </w:tbl>
    <w:p w14:paraId="54841B26" w14:textId="77777777" w:rsidR="006F76EB" w:rsidRPr="00834D52" w:rsidRDefault="006F76EB" w:rsidP="006F76EB">
      <w:pPr>
        <w:spacing w:after="160" w:line="360" w:lineRule="auto"/>
        <w:ind w:right="-8"/>
        <w:jc w:val="center"/>
        <w:rPr>
          <w:rFonts w:ascii="Sylfaen" w:hAnsi="Sylfaen"/>
          <w:sz w:val="24"/>
          <w:szCs w:val="24"/>
        </w:rPr>
      </w:pPr>
    </w:p>
    <w:p w14:paraId="6B1262CF" w14:textId="77777777" w:rsidR="006F76EB" w:rsidRPr="00834D52" w:rsidRDefault="00FC294A" w:rsidP="006F76EB">
      <w:pPr>
        <w:spacing w:after="160" w:line="360" w:lineRule="auto"/>
        <w:ind w:right="-8"/>
        <w:jc w:val="center"/>
        <w:rPr>
          <w:rFonts w:ascii="Sylfaen" w:eastAsia="Times New Roman" w:hAnsi="Sylfaen" w:cs="Times New Roman"/>
          <w:sz w:val="24"/>
          <w:szCs w:val="24"/>
        </w:rPr>
      </w:pPr>
      <w:r>
        <w:rPr>
          <w:rFonts w:ascii="Sylfaen" w:hAnsi="Sylfaen"/>
          <w:noProof/>
          <w:sz w:val="24"/>
          <w:szCs w:val="24"/>
        </w:rPr>
        <w:pict w14:anchorId="6FC2B953">
          <v:rect id="_x0000_s1203" style="position:absolute;left:0;text-align:left;margin-left:82.1pt;margin-top:1.9pt;width:12.75pt;height:12pt;z-index:251716096"/>
        </w:pict>
      </w:r>
      <w:r w:rsidR="006F76EB" w:rsidRPr="00834D52">
        <w:rPr>
          <w:rFonts w:ascii="Sylfaen" w:hAnsi="Sylfaen"/>
          <w:sz w:val="24"/>
          <w:szCs w:val="24"/>
        </w:rPr>
        <w:t>ՀԻԲՐԻԴԱՅԻՆ ԴԵՂԱՊԱՏՐԱՍՏՈՒԿ</w:t>
      </w:r>
    </w:p>
    <w:tbl>
      <w:tblPr>
        <w:tblW w:w="9612" w:type="dxa"/>
        <w:tblInd w:w="103" w:type="dxa"/>
        <w:tblLayout w:type="fixed"/>
        <w:tblCellMar>
          <w:left w:w="0" w:type="dxa"/>
          <w:right w:w="0" w:type="dxa"/>
        </w:tblCellMar>
        <w:tblLook w:val="01E0" w:firstRow="1" w:lastRow="1" w:firstColumn="1" w:lastColumn="1" w:noHBand="0" w:noVBand="0"/>
      </w:tblPr>
      <w:tblGrid>
        <w:gridCol w:w="4580"/>
        <w:gridCol w:w="5032"/>
      </w:tblGrid>
      <w:tr w:rsidR="006F76EB" w:rsidRPr="00834D52" w14:paraId="423F9F95" w14:textId="77777777" w:rsidTr="00F71229">
        <w:tc>
          <w:tcPr>
            <w:tcW w:w="9612" w:type="dxa"/>
            <w:gridSpan w:val="2"/>
            <w:tcBorders>
              <w:top w:val="single" w:sz="4" w:space="0" w:color="000000"/>
              <w:left w:val="single" w:sz="4" w:space="0" w:color="000000"/>
              <w:bottom w:val="single" w:sz="4" w:space="0" w:color="000000"/>
              <w:right w:val="single" w:sz="4" w:space="0" w:color="000000"/>
            </w:tcBorders>
          </w:tcPr>
          <w:p w14:paraId="3B658F84"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Օրիգինալ դեղապատրաստուկ՝</w:t>
            </w:r>
          </w:p>
        </w:tc>
      </w:tr>
      <w:tr w:rsidR="006F76EB" w:rsidRPr="00834D52" w14:paraId="4FE7D8C3"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1DD9EECC"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032" w:type="dxa"/>
            <w:tcBorders>
              <w:top w:val="single" w:sz="4" w:space="0" w:color="000000"/>
              <w:left w:val="single" w:sz="4" w:space="0" w:color="000000"/>
              <w:bottom w:val="single" w:sz="4" w:space="0" w:color="000000"/>
              <w:right w:val="single" w:sz="4" w:space="0" w:color="000000"/>
            </w:tcBorders>
          </w:tcPr>
          <w:p w14:paraId="4CAACF84" w14:textId="77777777" w:rsidR="006F76EB" w:rsidRPr="00834D52" w:rsidRDefault="006F76EB" w:rsidP="00E15800">
            <w:pPr>
              <w:spacing w:after="120" w:line="240" w:lineRule="auto"/>
              <w:ind w:right="-6"/>
              <w:rPr>
                <w:rFonts w:ascii="Sylfaen" w:hAnsi="Sylfaen"/>
                <w:sz w:val="24"/>
                <w:szCs w:val="24"/>
              </w:rPr>
            </w:pPr>
          </w:p>
        </w:tc>
      </w:tr>
      <w:tr w:rsidR="006F76EB" w:rsidRPr="00834D52" w14:paraId="1A109650"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C739A91" w14:textId="77777777" w:rsidR="006F76EB" w:rsidRPr="00834D52" w:rsidRDefault="006F76EB" w:rsidP="00E15800">
            <w:pPr>
              <w:spacing w:after="120" w:line="240" w:lineRule="auto"/>
              <w:ind w:left="187" w:right="-6"/>
              <w:rPr>
                <w:rFonts w:ascii="Sylfaen" w:eastAsia="Times New Roman" w:hAnsi="Sylfaen" w:cs="Times New Roman"/>
                <w:sz w:val="24"/>
                <w:szCs w:val="24"/>
              </w:rPr>
            </w:pPr>
            <w:r w:rsidRPr="00834D52">
              <w:rPr>
                <w:rFonts w:ascii="Sylfaen" w:hAnsi="Sylfaen"/>
                <w:sz w:val="24"/>
                <w:szCs w:val="24"/>
              </w:rPr>
              <w:t>գրանցման հավաստագրի իրավատերը,</w:t>
            </w:r>
          </w:p>
        </w:tc>
        <w:tc>
          <w:tcPr>
            <w:tcW w:w="5032" w:type="dxa"/>
            <w:tcBorders>
              <w:top w:val="single" w:sz="4" w:space="0" w:color="000000"/>
              <w:left w:val="single" w:sz="4" w:space="0" w:color="000000"/>
              <w:bottom w:val="single" w:sz="4" w:space="0" w:color="000000"/>
              <w:right w:val="single" w:sz="4" w:space="0" w:color="000000"/>
            </w:tcBorders>
          </w:tcPr>
          <w:p w14:paraId="49FD6B77" w14:textId="77777777" w:rsidR="006F76EB" w:rsidRPr="00834D52" w:rsidRDefault="006F76EB" w:rsidP="00E15800">
            <w:pPr>
              <w:spacing w:after="120" w:line="240" w:lineRule="auto"/>
              <w:ind w:right="-6"/>
              <w:rPr>
                <w:rFonts w:ascii="Sylfaen" w:hAnsi="Sylfaen"/>
                <w:sz w:val="24"/>
                <w:szCs w:val="24"/>
              </w:rPr>
            </w:pPr>
          </w:p>
        </w:tc>
      </w:tr>
      <w:tr w:rsidR="006F76EB" w:rsidRPr="00834D52" w14:paraId="231E8842"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09634BFD"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ամսաթիվը, Եվրասիական տնտեսական միության այն անդամ պետությունների գրանցման հավաստագրի համարը, որտեղ գրանցված է օրիգինալ դեղապատրաստուկը</w:t>
            </w:r>
          </w:p>
        </w:tc>
        <w:tc>
          <w:tcPr>
            <w:tcW w:w="5032" w:type="dxa"/>
            <w:tcBorders>
              <w:top w:val="single" w:sz="4" w:space="0" w:color="000000"/>
              <w:left w:val="single" w:sz="4" w:space="0" w:color="000000"/>
              <w:bottom w:val="single" w:sz="4" w:space="0" w:color="000000"/>
              <w:right w:val="single" w:sz="4" w:space="0" w:color="000000"/>
            </w:tcBorders>
          </w:tcPr>
          <w:p w14:paraId="4166E2FB" w14:textId="77777777" w:rsidR="006F76EB" w:rsidRPr="00834D52" w:rsidRDefault="006F76EB" w:rsidP="00E15800">
            <w:pPr>
              <w:spacing w:after="120" w:line="240" w:lineRule="auto"/>
              <w:ind w:right="-6"/>
              <w:rPr>
                <w:rFonts w:ascii="Sylfaen" w:hAnsi="Sylfaen"/>
                <w:sz w:val="24"/>
                <w:szCs w:val="24"/>
              </w:rPr>
            </w:pPr>
          </w:p>
        </w:tc>
      </w:tr>
      <w:tr w:rsidR="006F76EB" w:rsidRPr="00834D52" w14:paraId="6C7440FB" w14:textId="77777777" w:rsidTr="00F71229">
        <w:tc>
          <w:tcPr>
            <w:tcW w:w="4580" w:type="dxa"/>
            <w:tcBorders>
              <w:top w:val="single" w:sz="4" w:space="0" w:color="000000"/>
              <w:left w:val="single" w:sz="4" w:space="0" w:color="000000"/>
              <w:bottom w:val="single" w:sz="4" w:space="0" w:color="000000"/>
              <w:right w:val="single" w:sz="4" w:space="0" w:color="000000"/>
            </w:tcBorders>
          </w:tcPr>
          <w:p w14:paraId="655E13FB" w14:textId="77777777" w:rsidR="006F76EB" w:rsidRPr="00834D52" w:rsidRDefault="006F76EB" w:rsidP="00E1580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Օրիգինալ դեղապատրաստուկի համեմատությամբ տարբերությունները՝</w:t>
            </w:r>
          </w:p>
        </w:tc>
        <w:tc>
          <w:tcPr>
            <w:tcW w:w="5032" w:type="dxa"/>
            <w:tcBorders>
              <w:top w:val="single" w:sz="4" w:space="0" w:color="000000"/>
              <w:left w:val="single" w:sz="4" w:space="0" w:color="000000"/>
              <w:bottom w:val="single" w:sz="4" w:space="0" w:color="000000"/>
              <w:right w:val="single" w:sz="4" w:space="0" w:color="000000"/>
            </w:tcBorders>
          </w:tcPr>
          <w:p w14:paraId="65317360" w14:textId="77777777" w:rsidR="006F76EB" w:rsidRPr="00834D52" w:rsidRDefault="00FC294A"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1C4CAAE7">
                <v:rect id="_x0000_s1204" style="position:absolute;left:0;text-align:left;margin-left:2.7pt;margin-top:6.05pt;width:12.75pt;height:12pt;z-index:251717120;mso-position-horizontal-relative:text;mso-position-vertical-relative:text"/>
              </w:pict>
            </w:r>
            <w:r w:rsidR="006F76EB" w:rsidRPr="00834D52">
              <w:rPr>
                <w:rFonts w:ascii="Sylfaen" w:hAnsi="Sylfaen"/>
                <w:sz w:val="24"/>
                <w:szCs w:val="24"/>
              </w:rPr>
              <w:t>ակտիվ դեղաբանական բաղադրամասի փոփոխություններ</w:t>
            </w:r>
          </w:p>
          <w:p w14:paraId="352418FF" w14:textId="77777777" w:rsidR="006F76EB" w:rsidRPr="00834D52" w:rsidRDefault="00FC294A"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4451C3C">
                <v:rect id="_x0000_s1205" style="position:absolute;left:0;text-align:left;margin-left:2.7pt;margin-top:3.1pt;width:12.75pt;height:12pt;z-index:251718144"/>
              </w:pict>
            </w:r>
            <w:r w:rsidR="006F76EB" w:rsidRPr="00834D52">
              <w:rPr>
                <w:rFonts w:ascii="Sylfaen" w:hAnsi="Sylfaen"/>
                <w:sz w:val="24"/>
                <w:szCs w:val="24"/>
              </w:rPr>
              <w:t>այլ դեղաձ</w:t>
            </w:r>
            <w:r w:rsidR="00C54D75">
              <w:rPr>
                <w:rFonts w:ascii="Sylfaen" w:hAnsi="Sylfaen"/>
                <w:sz w:val="24"/>
                <w:szCs w:val="24"/>
              </w:rPr>
              <w:t>և</w:t>
            </w:r>
          </w:p>
          <w:p w14:paraId="44DFB06C" w14:textId="77777777" w:rsidR="006F76EB" w:rsidRPr="00834D52" w:rsidRDefault="00FC294A"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2A590C1B">
                <v:rect id="_x0000_s1206" style="position:absolute;left:0;text-align:left;margin-left:2.7pt;margin-top:5pt;width:12.75pt;height:12pt;z-index:251719168"/>
              </w:pict>
            </w:r>
            <w:r w:rsidR="006F76EB" w:rsidRPr="00834D52">
              <w:rPr>
                <w:rFonts w:ascii="Sylfaen" w:hAnsi="Sylfaen"/>
                <w:sz w:val="24"/>
                <w:szCs w:val="24"/>
              </w:rPr>
              <w:t>այլ դոզավորումներ (ԱԴԲ-ի քանակական փոփոխություններ)</w:t>
            </w:r>
          </w:p>
          <w:p w14:paraId="54800B81" w14:textId="77777777" w:rsidR="006F76EB" w:rsidRPr="00834D52" w:rsidRDefault="00FC294A"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35322746">
                <v:rect id="_x0000_s1207" style="position:absolute;left:0;text-align:left;margin-left:2.7pt;margin-top:3.15pt;width:12.75pt;height:12pt;z-index:251720192"/>
              </w:pict>
            </w:r>
            <w:r w:rsidR="006F76EB" w:rsidRPr="00834D52">
              <w:rPr>
                <w:rFonts w:ascii="Sylfaen" w:hAnsi="Sylfaen"/>
                <w:sz w:val="24"/>
                <w:szCs w:val="24"/>
              </w:rPr>
              <w:t>ներմուծման այլ եղանակ</w:t>
            </w:r>
          </w:p>
          <w:p w14:paraId="4F463FC2" w14:textId="77777777" w:rsidR="006F76EB" w:rsidRPr="00834D52" w:rsidRDefault="00FC294A" w:rsidP="00E15800">
            <w:pPr>
              <w:spacing w:after="120" w:line="240" w:lineRule="auto"/>
              <w:ind w:left="469" w:right="-6"/>
              <w:rPr>
                <w:rFonts w:ascii="Sylfaen" w:eastAsia="Times New Roman" w:hAnsi="Sylfaen" w:cs="Times New Roman"/>
                <w:sz w:val="24"/>
                <w:szCs w:val="24"/>
              </w:rPr>
            </w:pPr>
            <w:r>
              <w:rPr>
                <w:rFonts w:ascii="Sylfaen" w:eastAsia="Times New Roman" w:hAnsi="Sylfaen" w:cs="Times New Roman"/>
                <w:noProof/>
                <w:sz w:val="24"/>
                <w:szCs w:val="24"/>
              </w:rPr>
              <w:lastRenderedPageBreak/>
              <w:pict w14:anchorId="60197C7F">
                <v:rect id="_x0000_s1208" style="position:absolute;left:0;text-align:left;margin-left:2.7pt;margin-top:5.45pt;width:12.75pt;height:12pt;z-index:251721216"/>
              </w:pict>
            </w:r>
            <w:r w:rsidR="006F76EB" w:rsidRPr="00834D52">
              <w:rPr>
                <w:rFonts w:ascii="Sylfaen" w:hAnsi="Sylfaen"/>
                <w:sz w:val="24"/>
                <w:szCs w:val="24"/>
              </w:rPr>
              <w:t xml:space="preserve">այլ </w:t>
            </w:r>
            <w:r w:rsidR="00355C33">
              <w:rPr>
                <w:rFonts w:ascii="Sylfaen" w:hAnsi="Sylfaen"/>
                <w:sz w:val="24"/>
                <w:szCs w:val="24"/>
              </w:rPr>
              <w:t>դեղա</w:t>
            </w:r>
            <w:r w:rsidR="006F76EB" w:rsidRPr="00834D52">
              <w:rPr>
                <w:rFonts w:ascii="Sylfaen" w:hAnsi="Sylfaen"/>
                <w:sz w:val="24"/>
                <w:szCs w:val="24"/>
              </w:rPr>
              <w:t>կինետիկա (ներառյալ՝ այլ կենսամատչելիություն).</w:t>
            </w:r>
          </w:p>
          <w:p w14:paraId="5508E4E5" w14:textId="77777777" w:rsidR="006F76EB" w:rsidRPr="00834D52" w:rsidRDefault="00FC294A" w:rsidP="00E15800">
            <w:pPr>
              <w:spacing w:after="120" w:line="240" w:lineRule="auto"/>
              <w:ind w:left="469" w:right="-6"/>
              <w:rPr>
                <w:rFonts w:ascii="Sylfaen" w:eastAsia="Times New Roman" w:hAnsi="Sylfaen" w:cs="Times New Roman"/>
                <w:sz w:val="24"/>
                <w:szCs w:val="24"/>
              </w:rPr>
            </w:pPr>
            <w:r>
              <w:rPr>
                <w:rFonts w:ascii="Sylfaen" w:hAnsi="Sylfaen"/>
                <w:noProof/>
                <w:sz w:val="24"/>
                <w:szCs w:val="24"/>
              </w:rPr>
              <w:pict w14:anchorId="4CCA0CB2">
                <v:rect id="_x0000_s1209" style="position:absolute;left:0;text-align:left;margin-left:2.7pt;margin-top:3.2pt;width:12.75pt;height:12pt;z-index:251722240"/>
              </w:pict>
            </w:r>
            <w:r w:rsidR="006F76EB" w:rsidRPr="00834D52">
              <w:rPr>
                <w:rFonts w:ascii="Sylfaen" w:hAnsi="Sylfaen"/>
                <w:sz w:val="24"/>
                <w:szCs w:val="24"/>
              </w:rPr>
              <w:t>կիրառման այլ ցուցում</w:t>
            </w:r>
          </w:p>
          <w:p w14:paraId="514202DA" w14:textId="77777777" w:rsidR="006F76EB" w:rsidRPr="00834D52" w:rsidRDefault="006F76EB" w:rsidP="00E15800">
            <w:pPr>
              <w:spacing w:after="120" w:line="240" w:lineRule="auto"/>
              <w:ind w:left="469" w:right="-6"/>
              <w:rPr>
                <w:rFonts w:ascii="Sylfaen" w:eastAsia="Times New Roman" w:hAnsi="Sylfaen" w:cs="Times New Roman"/>
                <w:sz w:val="24"/>
                <w:szCs w:val="24"/>
              </w:rPr>
            </w:pPr>
            <w:r w:rsidRPr="00834D52">
              <w:rPr>
                <w:rFonts w:ascii="Sylfaen" w:hAnsi="Sylfaen"/>
                <w:sz w:val="24"/>
                <w:szCs w:val="24"/>
              </w:rPr>
              <w:t>այլ տարբերություններ՝___________________</w:t>
            </w:r>
          </w:p>
        </w:tc>
      </w:tr>
    </w:tbl>
    <w:p w14:paraId="42EDCA94" w14:textId="77777777" w:rsidR="006F76EB" w:rsidRPr="00834D52" w:rsidRDefault="00FC294A" w:rsidP="006F76EB">
      <w:pPr>
        <w:spacing w:after="160" w:line="360" w:lineRule="auto"/>
        <w:ind w:right="-6"/>
        <w:jc w:val="center"/>
        <w:rPr>
          <w:rFonts w:ascii="Sylfaen" w:eastAsia="Times New Roman" w:hAnsi="Sylfaen" w:cs="Times New Roman"/>
          <w:sz w:val="24"/>
          <w:szCs w:val="24"/>
        </w:rPr>
      </w:pPr>
      <w:r>
        <w:rPr>
          <w:rFonts w:ascii="Sylfaen" w:hAnsi="Sylfaen"/>
          <w:noProof/>
          <w:sz w:val="24"/>
          <w:szCs w:val="24"/>
        </w:rPr>
        <w:lastRenderedPageBreak/>
        <w:pict w14:anchorId="7E55EC77">
          <v:rect id="_x0000_s1210" style="position:absolute;left:0;text-align:left;margin-left:60.5pt;margin-top:1.65pt;width:12.75pt;height:12pt;z-index:251723264;mso-position-horizontal-relative:text;mso-position-vertical-relative:text"/>
        </w:pict>
      </w:r>
      <w:r w:rsidR="006F76EB" w:rsidRPr="00834D52">
        <w:rPr>
          <w:rFonts w:ascii="Sylfaen" w:hAnsi="Sylfaen"/>
          <w:sz w:val="24"/>
          <w:szCs w:val="24"/>
        </w:rPr>
        <w:t>ՀԱՄԱԿՑՎԱԾ ԴԵՂԱՊԱՏՐԱՍՏՈՒԿ</w:t>
      </w:r>
    </w:p>
    <w:tbl>
      <w:tblPr>
        <w:tblStyle w:val="TableGrid"/>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6F76EB" w:rsidRPr="00834D52" w14:paraId="5A8E43A3" w14:textId="77777777" w:rsidTr="00F71229">
        <w:tc>
          <w:tcPr>
            <w:tcW w:w="4394" w:type="dxa"/>
          </w:tcPr>
          <w:p w14:paraId="37817119" w14:textId="13CC1AF6" w:rsidR="006F76EB" w:rsidRPr="00834D52" w:rsidRDefault="00FC294A" w:rsidP="00F71229">
            <w:pPr>
              <w:spacing w:after="160" w:line="360" w:lineRule="auto"/>
              <w:ind w:left="44" w:right="-6" w:firstLine="425"/>
              <w:rPr>
                <w:rFonts w:ascii="Sylfaen" w:hAnsi="Sylfaen"/>
                <w:sz w:val="24"/>
                <w:szCs w:val="24"/>
              </w:rPr>
            </w:pPr>
            <w:r>
              <w:rPr>
                <w:rFonts w:ascii="Sylfaen" w:hAnsi="Sylfaen"/>
                <w:noProof/>
                <w:sz w:val="24"/>
                <w:szCs w:val="24"/>
              </w:rPr>
              <w:pict w14:anchorId="415D8F56">
                <v:rect id="_x0000_s1211" style="position:absolute;left:0;text-align:left;margin-left:-1.75pt;margin-top:3.55pt;width:12.75pt;height:12pt;z-index:251724288"/>
              </w:pict>
            </w:r>
            <w:r w:rsidR="005F6A31">
              <w:rPr>
                <w:rFonts w:ascii="Sylfaen" w:hAnsi="Sylfaen"/>
                <w:sz w:val="24"/>
                <w:szCs w:val="24"/>
              </w:rPr>
              <w:t>հայտնի</w:t>
            </w:r>
            <w:r w:rsidR="006F76EB" w:rsidRPr="00834D52">
              <w:rPr>
                <w:rFonts w:ascii="Sylfaen" w:hAnsi="Sylfaen"/>
                <w:sz w:val="24"/>
                <w:szCs w:val="24"/>
              </w:rPr>
              <w:t xml:space="preserve"> համակցություն</w:t>
            </w:r>
          </w:p>
        </w:tc>
        <w:tc>
          <w:tcPr>
            <w:tcW w:w="5103" w:type="dxa"/>
          </w:tcPr>
          <w:p w14:paraId="7BDCA40B" w14:textId="77777777" w:rsidR="006F76EB" w:rsidRPr="00834D52" w:rsidRDefault="00FC294A" w:rsidP="00F71229">
            <w:pPr>
              <w:spacing w:after="160" w:line="360" w:lineRule="auto"/>
              <w:ind w:left="469" w:right="-6"/>
              <w:rPr>
                <w:rFonts w:ascii="Sylfaen" w:eastAsia="Times New Roman" w:hAnsi="Sylfaen" w:cs="Times New Roman"/>
                <w:sz w:val="24"/>
                <w:szCs w:val="24"/>
              </w:rPr>
            </w:pPr>
            <w:r>
              <w:rPr>
                <w:rFonts w:ascii="Sylfaen" w:hAnsi="Sylfaen"/>
                <w:noProof/>
                <w:sz w:val="24"/>
                <w:szCs w:val="24"/>
              </w:rPr>
              <w:pict w14:anchorId="3D50A4B1">
                <v:rect id="_x0000_s1212" style="position:absolute;left:0;text-align:left;margin-left:-1.9pt;margin-top:3.55pt;width:12.75pt;height:12pt;z-index:251725312;mso-position-horizontal-relative:text;mso-position-vertical-relative:text"/>
              </w:pict>
            </w:r>
            <w:r w:rsidR="006F76EB" w:rsidRPr="00834D52">
              <w:rPr>
                <w:rFonts w:ascii="Sylfaen" w:hAnsi="Sylfaen"/>
                <w:sz w:val="24"/>
                <w:szCs w:val="24"/>
              </w:rPr>
              <w:t>նոր համակցություն</w:t>
            </w:r>
          </w:p>
        </w:tc>
      </w:tr>
    </w:tbl>
    <w:p w14:paraId="1EC5B7FB" w14:textId="775D1182" w:rsidR="006F76EB" w:rsidRPr="00834D52" w:rsidRDefault="006F76EB" w:rsidP="006F76EB">
      <w:pPr>
        <w:spacing w:after="160" w:line="360" w:lineRule="auto"/>
        <w:ind w:right="-6" w:firstLine="567"/>
        <w:rPr>
          <w:rFonts w:ascii="Sylfaen" w:eastAsia="Times New Roman" w:hAnsi="Sylfaen" w:cs="Times New Roman"/>
          <w:sz w:val="24"/>
          <w:szCs w:val="24"/>
        </w:rPr>
      </w:pPr>
      <w:r w:rsidRPr="00834D52">
        <w:rPr>
          <w:rFonts w:ascii="Sylfaen" w:hAnsi="Sylfaen"/>
          <w:sz w:val="24"/>
          <w:szCs w:val="24"/>
        </w:rPr>
        <w:t>Օրիգինալ դեղապատրաստուկ (</w:t>
      </w:r>
      <w:r w:rsidR="005F6A31">
        <w:rPr>
          <w:rFonts w:ascii="Sylfaen" w:hAnsi="Sylfaen"/>
          <w:sz w:val="24"/>
          <w:szCs w:val="24"/>
        </w:rPr>
        <w:t>հայտնի</w:t>
      </w:r>
      <w:r w:rsidRPr="00834D52">
        <w:rPr>
          <w:rFonts w:ascii="Sylfaen" w:hAnsi="Sylfaen"/>
          <w:sz w:val="24"/>
          <w:szCs w:val="24"/>
        </w:rPr>
        <w:t xml:space="preserve"> համակցության դեպքում)՝</w:t>
      </w:r>
    </w:p>
    <w:tbl>
      <w:tblPr>
        <w:tblW w:w="0" w:type="auto"/>
        <w:tblInd w:w="109" w:type="dxa"/>
        <w:tblLayout w:type="fixed"/>
        <w:tblCellMar>
          <w:left w:w="0" w:type="dxa"/>
          <w:right w:w="0" w:type="dxa"/>
        </w:tblCellMar>
        <w:tblLook w:val="01E0" w:firstRow="1" w:lastRow="1" w:firstColumn="1" w:lastColumn="1" w:noHBand="0" w:noVBand="0"/>
      </w:tblPr>
      <w:tblGrid>
        <w:gridCol w:w="4258"/>
        <w:gridCol w:w="5388"/>
      </w:tblGrid>
      <w:tr w:rsidR="006F76EB" w:rsidRPr="00834D52" w14:paraId="3632A808"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222FE403"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դեղապատրաստուկի անվանումը, դոզավորումը, դեղաձ</w:t>
            </w:r>
            <w:r w:rsidR="00C54D75">
              <w:rPr>
                <w:rFonts w:ascii="Sylfaen" w:hAnsi="Sylfaen"/>
                <w:sz w:val="24"/>
                <w:szCs w:val="24"/>
              </w:rPr>
              <w:t>և</w:t>
            </w:r>
            <w:r w:rsidRPr="00834D52">
              <w:rPr>
                <w:rFonts w:ascii="Sylfaen" w:hAnsi="Sylfaen"/>
                <w:sz w:val="24"/>
                <w:szCs w:val="24"/>
              </w:rPr>
              <w:t>ը</w:t>
            </w:r>
          </w:p>
        </w:tc>
        <w:tc>
          <w:tcPr>
            <w:tcW w:w="5388" w:type="dxa"/>
            <w:tcBorders>
              <w:top w:val="single" w:sz="4" w:space="0" w:color="000000"/>
              <w:left w:val="single" w:sz="4" w:space="0" w:color="000000"/>
              <w:bottom w:val="single" w:sz="4" w:space="0" w:color="000000"/>
              <w:right w:val="single" w:sz="4" w:space="0" w:color="000000"/>
            </w:tcBorders>
          </w:tcPr>
          <w:p w14:paraId="224B1A0A" w14:textId="77777777" w:rsidR="006F76EB" w:rsidRPr="00834D52" w:rsidRDefault="006F76EB" w:rsidP="00DA62B0">
            <w:pPr>
              <w:spacing w:after="120" w:line="240" w:lineRule="auto"/>
              <w:ind w:right="-6"/>
              <w:rPr>
                <w:rFonts w:ascii="Sylfaen" w:hAnsi="Sylfaen"/>
                <w:sz w:val="24"/>
                <w:szCs w:val="24"/>
              </w:rPr>
            </w:pPr>
          </w:p>
        </w:tc>
      </w:tr>
      <w:tr w:rsidR="006F76EB" w:rsidRPr="00834D52" w14:paraId="5CDC8D0E" w14:textId="77777777" w:rsidTr="00F71229">
        <w:tc>
          <w:tcPr>
            <w:tcW w:w="4258" w:type="dxa"/>
            <w:tcBorders>
              <w:top w:val="single" w:sz="4" w:space="0" w:color="000000"/>
              <w:left w:val="single" w:sz="4" w:space="0" w:color="000000"/>
              <w:bottom w:val="single" w:sz="4" w:space="0" w:color="000000"/>
              <w:right w:val="single" w:sz="4" w:space="0" w:color="000000"/>
            </w:tcBorders>
          </w:tcPr>
          <w:p w14:paraId="50650FCD" w14:textId="77777777" w:rsidR="006F76EB" w:rsidRPr="00834D52" w:rsidRDefault="006F76EB" w:rsidP="00DA62B0">
            <w:pPr>
              <w:spacing w:after="120" w:line="240" w:lineRule="auto"/>
              <w:ind w:left="186" w:right="-6"/>
              <w:rPr>
                <w:rFonts w:ascii="Sylfaen" w:eastAsia="Times New Roman" w:hAnsi="Sylfaen" w:cs="Times New Roman"/>
                <w:sz w:val="24"/>
                <w:szCs w:val="24"/>
              </w:rPr>
            </w:pPr>
            <w:r w:rsidRPr="00834D52">
              <w:rPr>
                <w:rFonts w:ascii="Sylfaen" w:hAnsi="Sylfaen"/>
                <w:sz w:val="24"/>
                <w:szCs w:val="24"/>
              </w:rPr>
              <w:t>գրանցման հավաստագրի իրավատերը, գրանցման ամսաթիվը, գրանցման հավաստագրի համարը, Եվրասիական տնտեսական միության այն անդամ պետությունները, որտեղ գրանցված է օրիգինալ դեղապատրաստուկը</w:t>
            </w:r>
          </w:p>
        </w:tc>
        <w:tc>
          <w:tcPr>
            <w:tcW w:w="5388" w:type="dxa"/>
            <w:tcBorders>
              <w:top w:val="single" w:sz="4" w:space="0" w:color="000000"/>
              <w:left w:val="single" w:sz="4" w:space="0" w:color="000000"/>
              <w:bottom w:val="single" w:sz="4" w:space="0" w:color="000000"/>
              <w:right w:val="single" w:sz="4" w:space="0" w:color="000000"/>
            </w:tcBorders>
          </w:tcPr>
          <w:p w14:paraId="501BFD98" w14:textId="77777777" w:rsidR="006F76EB" w:rsidRPr="00834D52" w:rsidRDefault="006F76EB" w:rsidP="00DA62B0">
            <w:pPr>
              <w:spacing w:after="120" w:line="240" w:lineRule="auto"/>
              <w:ind w:right="-6"/>
              <w:rPr>
                <w:rFonts w:ascii="Sylfaen" w:hAnsi="Sylfaen"/>
                <w:sz w:val="24"/>
                <w:szCs w:val="24"/>
              </w:rPr>
            </w:pPr>
          </w:p>
        </w:tc>
      </w:tr>
    </w:tbl>
    <w:p w14:paraId="141C2DF3" w14:textId="77777777" w:rsidR="006F76EB" w:rsidRPr="00834D52" w:rsidRDefault="006F76EB" w:rsidP="006F76EB">
      <w:pPr>
        <w:spacing w:after="160" w:line="336" w:lineRule="auto"/>
        <w:ind w:right="-8"/>
        <w:rPr>
          <w:rFonts w:ascii="Sylfaen" w:hAnsi="Sylfaen"/>
          <w:sz w:val="24"/>
          <w:szCs w:val="24"/>
        </w:rPr>
      </w:pPr>
    </w:p>
    <w:p w14:paraId="181B9148" w14:textId="77777777" w:rsidR="006F76EB" w:rsidRPr="00834D52" w:rsidRDefault="00FC294A" w:rsidP="00DA62B0">
      <w:pPr>
        <w:spacing w:after="160" w:line="336" w:lineRule="auto"/>
        <w:ind w:left="567" w:right="-6"/>
        <w:jc w:val="center"/>
        <w:rPr>
          <w:rFonts w:ascii="Sylfaen" w:eastAsia="Times New Roman" w:hAnsi="Sylfaen" w:cs="Times New Roman"/>
          <w:sz w:val="24"/>
          <w:szCs w:val="24"/>
        </w:rPr>
      </w:pPr>
      <w:r>
        <w:rPr>
          <w:rFonts w:ascii="Sylfaen" w:hAnsi="Sylfaen"/>
          <w:noProof/>
          <w:sz w:val="24"/>
          <w:szCs w:val="24"/>
        </w:rPr>
        <w:pict w14:anchorId="59CAFAF5">
          <v:rect id="_x0000_s1213" style="position:absolute;left:0;text-align:left;margin-left:8.25pt;margin-top:.4pt;width:12.75pt;height:12pt;z-index:251726336"/>
        </w:pict>
      </w:r>
      <w:r w:rsidR="006F76EB" w:rsidRPr="00834D52">
        <w:rPr>
          <w:rFonts w:ascii="Sylfaen" w:hAnsi="Sylfaen"/>
          <w:sz w:val="24"/>
          <w:szCs w:val="24"/>
        </w:rPr>
        <w:t>ԼԱՎ ՈՒՍՈՒՄՆԱՍԻՐՎԱԾ ԲԺՇԿԱԿԱՆ ԿԻՐԱՌՈՒԹՅԱՄԲ ԴԵՂԱՊԱՏՐԱՍՏՈՒԿ</w:t>
      </w:r>
    </w:p>
    <w:p w14:paraId="74A12E00" w14:textId="77777777" w:rsidR="006F76EB" w:rsidRPr="00834D52" w:rsidRDefault="00FC294A" w:rsidP="00DA62B0">
      <w:pPr>
        <w:spacing w:after="160" w:line="336" w:lineRule="auto"/>
        <w:ind w:left="567" w:right="-6"/>
        <w:jc w:val="center"/>
        <w:rPr>
          <w:rFonts w:ascii="Sylfaen" w:hAnsi="Sylfaen"/>
          <w:sz w:val="24"/>
          <w:szCs w:val="24"/>
        </w:rPr>
      </w:pPr>
      <w:r>
        <w:rPr>
          <w:rFonts w:ascii="Sylfaen" w:hAnsi="Sylfaen"/>
          <w:noProof/>
          <w:sz w:val="24"/>
          <w:szCs w:val="24"/>
        </w:rPr>
        <w:pict w14:anchorId="5B0A6EFB">
          <v:rect id="_x0000_s1214" style="position:absolute;left:0;text-align:left;margin-left:8.25pt;margin-top:1.95pt;width:12.75pt;height:12pt;z-index:251727360"/>
        </w:pict>
      </w:r>
      <w:r w:rsidR="006F76EB" w:rsidRPr="00834D52">
        <w:rPr>
          <w:rFonts w:ascii="Sylfaen" w:hAnsi="Sylfaen"/>
          <w:sz w:val="24"/>
          <w:szCs w:val="24"/>
        </w:rPr>
        <w:t>ՌԱԴԻՈԴԵՂԱԳՈՐԾԱԿԱՆ ԴԵՂԱՊԱՏՐԱՍՏՈՒԿ ԿԱՄ ՊՐԵԿՈՒՐՍՈՐ</w:t>
      </w:r>
    </w:p>
    <w:p w14:paraId="666EB4B4" w14:textId="77777777" w:rsidR="006F76EB" w:rsidRPr="00834D52" w:rsidRDefault="006F76EB" w:rsidP="006F76EB">
      <w:pPr>
        <w:spacing w:after="160" w:line="336" w:lineRule="auto"/>
        <w:ind w:right="-6"/>
        <w:jc w:val="center"/>
        <w:rPr>
          <w:rFonts w:ascii="Sylfaen" w:eastAsia="Times New Roman" w:hAnsi="Sylfaen" w:cs="Times New Roman"/>
          <w:sz w:val="24"/>
          <w:szCs w:val="24"/>
        </w:rPr>
      </w:pPr>
    </w:p>
    <w:p w14:paraId="40173D39" w14:textId="77777777" w:rsidR="006F76EB" w:rsidRPr="00834D52" w:rsidRDefault="00FC294A" w:rsidP="006F76EB">
      <w:pPr>
        <w:spacing w:after="160" w:line="336" w:lineRule="auto"/>
        <w:ind w:left="567" w:right="-6"/>
        <w:rPr>
          <w:rFonts w:ascii="Sylfaen" w:eastAsia="Times New Roman" w:hAnsi="Sylfaen" w:cs="Times New Roman"/>
          <w:sz w:val="24"/>
          <w:szCs w:val="24"/>
        </w:rPr>
      </w:pPr>
      <w:r>
        <w:rPr>
          <w:rFonts w:ascii="Sylfaen" w:hAnsi="Sylfaen"/>
          <w:noProof/>
          <w:sz w:val="24"/>
          <w:szCs w:val="24"/>
        </w:rPr>
        <w:pict w14:anchorId="3A507531">
          <v:rect id="_x0000_s1215" style="position:absolute;left:0;text-align:left;margin-left:8.25pt;margin-top:5.75pt;width:12.75pt;height:12pt;z-index:251728384"/>
        </w:pict>
      </w:r>
      <w:r w:rsidR="006F76EB" w:rsidRPr="00834D52">
        <w:rPr>
          <w:rFonts w:ascii="Sylfaen" w:hAnsi="Sylfaen"/>
          <w:sz w:val="24"/>
          <w:szCs w:val="24"/>
        </w:rPr>
        <w:t>ռադիոդեղագործական հավաքակազմ</w:t>
      </w:r>
    </w:p>
    <w:p w14:paraId="569499C2" w14:textId="77777777" w:rsidR="006F76EB" w:rsidRPr="00DA62B0" w:rsidRDefault="00FC294A" w:rsidP="006F76EB">
      <w:pPr>
        <w:spacing w:after="160" w:line="336" w:lineRule="auto"/>
        <w:ind w:left="567" w:right="-6"/>
        <w:rPr>
          <w:rFonts w:ascii="Sylfaen" w:hAnsi="Sylfaen"/>
          <w:sz w:val="24"/>
          <w:szCs w:val="24"/>
        </w:rPr>
      </w:pPr>
      <w:r>
        <w:rPr>
          <w:rFonts w:ascii="Sylfaen" w:hAnsi="Sylfaen"/>
          <w:noProof/>
          <w:sz w:val="24"/>
          <w:szCs w:val="24"/>
        </w:rPr>
        <w:pict w14:anchorId="3BACA2C1">
          <v:rect id="_x0000_s1216" style="position:absolute;left:0;text-align:left;margin-left:9pt;margin-top:4.65pt;width:12.75pt;height:12pt;z-index:251729408"/>
        </w:pict>
      </w:r>
      <w:r w:rsidR="006F76EB" w:rsidRPr="00834D52">
        <w:rPr>
          <w:rFonts w:ascii="Sylfaen" w:hAnsi="Sylfaen"/>
          <w:sz w:val="24"/>
          <w:szCs w:val="24"/>
        </w:rPr>
        <w:t>ռադիոնուկլիդի պրեկուրսոր</w:t>
      </w:r>
    </w:p>
    <w:tbl>
      <w:tblPr>
        <w:tblW w:w="9646" w:type="dxa"/>
        <w:tblInd w:w="109" w:type="dxa"/>
        <w:tblLayout w:type="fixed"/>
        <w:tblCellMar>
          <w:left w:w="0" w:type="dxa"/>
          <w:right w:w="0" w:type="dxa"/>
        </w:tblCellMar>
        <w:tblLook w:val="01E0" w:firstRow="1" w:lastRow="1" w:firstColumn="1" w:lastColumn="1" w:noHBand="0" w:noVBand="0"/>
      </w:tblPr>
      <w:tblGrid>
        <w:gridCol w:w="4817"/>
        <w:gridCol w:w="4829"/>
      </w:tblGrid>
      <w:tr w:rsidR="006F76EB" w:rsidRPr="00834D52" w14:paraId="69A47062"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1DDB9074" w14:textId="77777777" w:rsidR="006F76EB" w:rsidRPr="00834D52" w:rsidRDefault="006F76EB" w:rsidP="00DA62B0">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ռադիոնուկլիդի աղբյուրը (առաջնային </w:t>
            </w:r>
            <w:r w:rsidR="00C54D75">
              <w:rPr>
                <w:rFonts w:ascii="Sylfaen" w:hAnsi="Sylfaen"/>
                <w:sz w:val="24"/>
                <w:szCs w:val="24"/>
              </w:rPr>
              <w:t>և</w:t>
            </w:r>
            <w:r w:rsidRPr="00834D52">
              <w:rPr>
                <w:rFonts w:ascii="Sylfaen" w:hAnsi="Sylfaen"/>
                <w:sz w:val="24"/>
                <w:szCs w:val="24"/>
              </w:rPr>
              <w:t xml:space="preserve"> երկրորդային) (առկայության դեպքում)</w:t>
            </w:r>
          </w:p>
        </w:tc>
        <w:tc>
          <w:tcPr>
            <w:tcW w:w="4829" w:type="dxa"/>
            <w:tcBorders>
              <w:top w:val="single" w:sz="4" w:space="0" w:color="000000"/>
              <w:left w:val="single" w:sz="4" w:space="0" w:color="000000"/>
              <w:bottom w:val="single" w:sz="4" w:space="0" w:color="000000"/>
              <w:right w:val="single" w:sz="4" w:space="0" w:color="000000"/>
            </w:tcBorders>
          </w:tcPr>
          <w:p w14:paraId="0B4177FA" w14:textId="77777777" w:rsidR="006F76EB" w:rsidRPr="00834D52" w:rsidRDefault="006F76EB" w:rsidP="00DA62B0">
            <w:pPr>
              <w:spacing w:after="120" w:line="240" w:lineRule="auto"/>
              <w:ind w:right="-8"/>
              <w:rPr>
                <w:rFonts w:ascii="Sylfaen" w:hAnsi="Sylfaen"/>
                <w:sz w:val="24"/>
                <w:szCs w:val="24"/>
              </w:rPr>
            </w:pPr>
          </w:p>
        </w:tc>
      </w:tr>
      <w:tr w:rsidR="006F76EB" w:rsidRPr="00834D52" w14:paraId="4B48F418" w14:textId="77777777" w:rsidTr="00F71229">
        <w:tc>
          <w:tcPr>
            <w:tcW w:w="4817" w:type="dxa"/>
            <w:tcBorders>
              <w:top w:val="single" w:sz="4" w:space="0" w:color="000000"/>
              <w:left w:val="single" w:sz="4" w:space="0" w:color="000000"/>
              <w:bottom w:val="single" w:sz="4" w:space="0" w:color="000000"/>
              <w:right w:val="single" w:sz="4" w:space="0" w:color="000000"/>
            </w:tcBorders>
          </w:tcPr>
          <w:p w14:paraId="64785324" w14:textId="77777777" w:rsidR="006F76EB" w:rsidRPr="00834D52" w:rsidRDefault="006F76EB" w:rsidP="00DA62B0">
            <w:pPr>
              <w:spacing w:after="120" w:line="240" w:lineRule="auto"/>
              <w:ind w:left="186" w:right="-8"/>
              <w:rPr>
                <w:rFonts w:ascii="Sylfaen" w:eastAsia="Times New Roman" w:hAnsi="Sylfaen" w:cs="Times New Roman"/>
                <w:sz w:val="24"/>
                <w:szCs w:val="24"/>
              </w:rPr>
            </w:pPr>
            <w:r w:rsidRPr="00834D52">
              <w:rPr>
                <w:rFonts w:ascii="Sylfaen" w:hAnsi="Sylfaen"/>
                <w:sz w:val="24"/>
                <w:szCs w:val="24"/>
              </w:rPr>
              <w:t>գեներատոր</w:t>
            </w:r>
          </w:p>
        </w:tc>
        <w:tc>
          <w:tcPr>
            <w:tcW w:w="4829" w:type="dxa"/>
            <w:tcBorders>
              <w:top w:val="single" w:sz="4" w:space="0" w:color="000000"/>
              <w:left w:val="single" w:sz="4" w:space="0" w:color="000000"/>
              <w:bottom w:val="single" w:sz="4" w:space="0" w:color="000000"/>
              <w:right w:val="single" w:sz="4" w:space="0" w:color="000000"/>
            </w:tcBorders>
          </w:tcPr>
          <w:p w14:paraId="771A695C" w14:textId="77777777" w:rsidR="006F76EB" w:rsidRPr="00834D52" w:rsidRDefault="006F76EB" w:rsidP="00DA62B0">
            <w:pPr>
              <w:spacing w:after="120" w:line="240" w:lineRule="auto"/>
              <w:ind w:right="-8"/>
              <w:rPr>
                <w:rFonts w:ascii="Sylfaen" w:hAnsi="Sylfaen"/>
                <w:sz w:val="24"/>
                <w:szCs w:val="24"/>
              </w:rPr>
            </w:pPr>
          </w:p>
        </w:tc>
      </w:tr>
    </w:tbl>
    <w:p w14:paraId="48C9185B" w14:textId="77777777" w:rsidR="006F76EB" w:rsidRPr="00834D52" w:rsidRDefault="006F76EB" w:rsidP="006F76EB">
      <w:pPr>
        <w:spacing w:after="160" w:line="336" w:lineRule="auto"/>
        <w:ind w:right="-8"/>
        <w:rPr>
          <w:rFonts w:ascii="Sylfaen" w:hAnsi="Sylfaen"/>
          <w:sz w:val="24"/>
          <w:szCs w:val="24"/>
        </w:rPr>
      </w:pPr>
    </w:p>
    <w:p w14:paraId="65B83A84" w14:textId="77777777" w:rsidR="006F76EB" w:rsidRPr="00834D52" w:rsidRDefault="00FC294A" w:rsidP="006F76EB">
      <w:pPr>
        <w:spacing w:after="160" w:line="336" w:lineRule="auto"/>
        <w:ind w:right="-6"/>
        <w:jc w:val="center"/>
        <w:rPr>
          <w:rFonts w:ascii="Sylfaen" w:hAnsi="Sylfaen"/>
          <w:sz w:val="24"/>
          <w:szCs w:val="24"/>
          <w:lang w:val="en-US"/>
        </w:rPr>
      </w:pPr>
      <w:r>
        <w:rPr>
          <w:rFonts w:ascii="Sylfaen" w:hAnsi="Sylfaen"/>
          <w:noProof/>
          <w:sz w:val="24"/>
          <w:szCs w:val="24"/>
        </w:rPr>
        <w:pict w14:anchorId="68ECAAAA">
          <v:rect id="_x0000_s1217" style="position:absolute;left:0;text-align:left;margin-left:57.75pt;margin-top:2.9pt;width:12.75pt;height:12pt;z-index:251730432"/>
        </w:pict>
      </w:r>
      <w:r w:rsidR="006F76EB" w:rsidRPr="00834D52">
        <w:rPr>
          <w:rFonts w:ascii="Sylfaen" w:hAnsi="Sylfaen"/>
          <w:sz w:val="24"/>
          <w:szCs w:val="24"/>
        </w:rPr>
        <w:t>ՀՈՄԵՈՊԱԹԻԿ ԴԵՂԱՊԱՏՐԱՍՏՈՒԿ</w:t>
      </w:r>
    </w:p>
    <w:p w14:paraId="67A9C386" w14:textId="77777777" w:rsidR="006F76EB" w:rsidRPr="00834D52" w:rsidRDefault="006F76EB" w:rsidP="006F76EB">
      <w:pPr>
        <w:spacing w:after="160" w:line="336" w:lineRule="auto"/>
        <w:ind w:right="-6"/>
        <w:jc w:val="center"/>
        <w:rPr>
          <w:rFonts w:ascii="Sylfaen" w:eastAsia="Times New Roman" w:hAnsi="Sylfaen" w:cs="Times New Roman"/>
          <w:sz w:val="24"/>
          <w:szCs w:val="24"/>
          <w:lang w:val="en-US"/>
        </w:rPr>
      </w:pPr>
    </w:p>
    <w:p w14:paraId="76BEE942" w14:textId="77777777" w:rsidR="006F76EB" w:rsidRPr="00834D52" w:rsidRDefault="00FC294A"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5A5C32D1">
          <v:rect id="_x0000_s1218" style="position:absolute;left:0;text-align:left;margin-left:8.25pt;margin-top:2.95pt;width:12.75pt;height:12pt;z-index:251731456"/>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չներառված նոր հոմեոպաթիկ պատրաստուկ</w:t>
      </w:r>
    </w:p>
    <w:p w14:paraId="1507734E" w14:textId="77777777" w:rsidR="006F76EB" w:rsidRPr="00834D52" w:rsidRDefault="00FC294A" w:rsidP="006F76EB">
      <w:pPr>
        <w:spacing w:after="160" w:line="336" w:lineRule="auto"/>
        <w:ind w:left="567" w:right="-6"/>
        <w:jc w:val="both"/>
        <w:rPr>
          <w:rFonts w:ascii="Sylfaen" w:eastAsia="Times New Roman" w:hAnsi="Sylfaen" w:cs="Times New Roman"/>
          <w:sz w:val="24"/>
          <w:szCs w:val="24"/>
        </w:rPr>
      </w:pPr>
      <w:r>
        <w:rPr>
          <w:rFonts w:ascii="Sylfaen" w:hAnsi="Sylfaen"/>
          <w:noProof/>
          <w:sz w:val="24"/>
          <w:szCs w:val="24"/>
        </w:rPr>
        <w:pict w14:anchorId="1E166DD2">
          <v:rect id="_x0000_s1219" style="position:absolute;left:0;text-align:left;margin-left:9pt;margin-top:1.85pt;width:12.75pt;height:12pt;z-index:251732480"/>
        </w:pict>
      </w:r>
      <w:r w:rsidR="006F76EB" w:rsidRPr="00834D52">
        <w:rPr>
          <w:rFonts w:ascii="Sylfaen" w:hAnsi="Sylfaen"/>
          <w:sz w:val="24"/>
          <w:szCs w:val="24"/>
        </w:rPr>
        <w:t xml:space="preserve">դեղագրքում </w:t>
      </w:r>
      <w:r w:rsidR="00C54D75">
        <w:rPr>
          <w:rFonts w:ascii="Sylfaen" w:hAnsi="Sylfaen"/>
          <w:sz w:val="24"/>
          <w:szCs w:val="24"/>
        </w:rPr>
        <w:t>և</w:t>
      </w:r>
      <w:r w:rsidR="006F76EB" w:rsidRPr="00834D52">
        <w:rPr>
          <w:rFonts w:ascii="Sylfaen" w:hAnsi="Sylfaen"/>
          <w:sz w:val="24"/>
          <w:szCs w:val="24"/>
        </w:rPr>
        <w:t xml:space="preserve"> մենագրության մեջ ներառված հոմեոպաթիկ պատրաստուկ</w:t>
      </w:r>
    </w:p>
    <w:p w14:paraId="59DF2138" w14:textId="77777777" w:rsidR="006F76EB" w:rsidRPr="00834D52" w:rsidRDefault="00FC294A" w:rsidP="006F76EB">
      <w:pPr>
        <w:spacing w:after="160" w:line="360" w:lineRule="auto"/>
        <w:ind w:right="-6"/>
        <w:jc w:val="center"/>
        <w:rPr>
          <w:rFonts w:ascii="Sylfaen" w:eastAsia="Times New Roman" w:hAnsi="Sylfaen" w:cs="Times New Roman"/>
          <w:sz w:val="24"/>
          <w:szCs w:val="24"/>
        </w:rPr>
      </w:pPr>
      <w:r>
        <w:rPr>
          <w:rFonts w:ascii="Sylfaen" w:eastAsia="Times New Roman" w:hAnsi="Sylfaen" w:cs="Times New Roman"/>
          <w:noProof/>
          <w:sz w:val="24"/>
          <w:szCs w:val="24"/>
        </w:rPr>
        <w:pict w14:anchorId="5D7FC85C">
          <v:rect id="_x0000_s1220" style="position:absolute;left:0;text-align:left;margin-left:70.5pt;margin-top:1.9pt;width:12.75pt;height:12pt;z-index:251733504"/>
        </w:pict>
      </w:r>
      <w:r w:rsidR="006F76EB" w:rsidRPr="00834D52">
        <w:rPr>
          <w:rFonts w:ascii="Sylfaen" w:hAnsi="Sylfaen"/>
          <w:sz w:val="24"/>
          <w:szCs w:val="24"/>
        </w:rPr>
        <w:t>ԲՈՒՍԱԿԱՆ ԴԵՂԱՊԱՏՐԱՍՏՈՒԿ</w:t>
      </w:r>
    </w:p>
    <w:p w14:paraId="600A4FC9" w14:textId="77777777" w:rsidR="006F76EB" w:rsidRPr="00834D52" w:rsidRDefault="00FC294A" w:rsidP="006F76EB">
      <w:pPr>
        <w:spacing w:after="160" w:line="360" w:lineRule="auto"/>
        <w:ind w:left="567" w:right="-6"/>
        <w:jc w:val="center"/>
        <w:rPr>
          <w:rFonts w:ascii="Sylfaen" w:hAnsi="Sylfaen"/>
          <w:sz w:val="24"/>
          <w:szCs w:val="24"/>
        </w:rPr>
      </w:pPr>
      <w:r>
        <w:rPr>
          <w:rFonts w:ascii="Sylfaen" w:hAnsi="Sylfaen"/>
          <w:noProof/>
          <w:sz w:val="24"/>
          <w:szCs w:val="24"/>
        </w:rPr>
        <w:pict w14:anchorId="0A365EAC">
          <v:rect id="_x0000_s1221" style="position:absolute;left:0;text-align:left;margin-left:70.5pt;margin-top:1.9pt;width:12.75pt;height:12pt;z-index:251734528"/>
        </w:pict>
      </w:r>
      <w:r w:rsidR="006F76EB" w:rsidRPr="00834D52">
        <w:rPr>
          <w:rFonts w:ascii="Sylfaen" w:hAnsi="Sylfaen"/>
          <w:sz w:val="24"/>
          <w:szCs w:val="24"/>
        </w:rPr>
        <w:t>ՀԱԶՎԱԴԵՊ ԿԻՐԱՌՎՈՂ («ՈՐԲ») ԴԵՂԱՊԱՏՐԱՍՏՈՒԿ</w:t>
      </w:r>
    </w:p>
    <w:p w14:paraId="06A3C82F" w14:textId="77777777" w:rsidR="006F76EB" w:rsidRPr="00834D52" w:rsidRDefault="006F76EB" w:rsidP="006F76EB">
      <w:pPr>
        <w:spacing w:after="160" w:line="360" w:lineRule="auto"/>
        <w:ind w:right="-6"/>
        <w:jc w:val="center"/>
        <w:rPr>
          <w:rFonts w:ascii="Sylfaen" w:eastAsia="Times New Roman" w:hAnsi="Sylfaen" w:cs="Times New Roman"/>
          <w:sz w:val="24"/>
          <w:szCs w:val="24"/>
        </w:rPr>
      </w:pPr>
    </w:p>
    <w:p w14:paraId="544377B5"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Արդյոք Եվրասիական տնտեսական միության անդամ պետություններում կամ դրա սահմաններից դուրս դեղապատրաստուկին տրվել է հազվադեպ կիրառվող («որբ») դեղապատրաստուկի կարգավիճակ </w:t>
      </w:r>
    </w:p>
    <w:tbl>
      <w:tblPr>
        <w:tblStyle w:val="TableGrid"/>
        <w:tblW w:w="96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954"/>
        <w:gridCol w:w="1843"/>
      </w:tblGrid>
      <w:tr w:rsidR="006F76EB" w:rsidRPr="00834D52" w14:paraId="479E6A50" w14:textId="77777777" w:rsidTr="00F71229">
        <w:tc>
          <w:tcPr>
            <w:tcW w:w="1809" w:type="dxa"/>
          </w:tcPr>
          <w:p w14:paraId="3B544348" w14:textId="77777777" w:rsidR="006F76EB" w:rsidRPr="00834D52" w:rsidRDefault="00FC294A" w:rsidP="00F71229">
            <w:pPr>
              <w:spacing w:after="160" w:line="360" w:lineRule="auto"/>
              <w:ind w:right="-8"/>
              <w:jc w:val="center"/>
              <w:rPr>
                <w:rFonts w:ascii="Sylfaen" w:eastAsia="Wingdings 2" w:hAnsi="Sylfaen" w:cs="Wingdings 2"/>
                <w:sz w:val="24"/>
                <w:szCs w:val="24"/>
              </w:rPr>
            </w:pPr>
            <w:r>
              <w:rPr>
                <w:rFonts w:ascii="Sylfaen" w:eastAsia="Times New Roman" w:hAnsi="Sylfaen" w:cs="Times New Roman"/>
                <w:noProof/>
                <w:sz w:val="24"/>
                <w:szCs w:val="24"/>
              </w:rPr>
              <w:pict w14:anchorId="62DA9984">
                <v:rect id="_x0000_s1223" style="position:absolute;left:0;text-align:left;margin-left:61.85pt;margin-top:3.9pt;width:12.75pt;height:12pt;z-index:251735552"/>
              </w:pict>
            </w:r>
            <w:r w:rsidR="006F76EB" w:rsidRPr="00834D52">
              <w:rPr>
                <w:rFonts w:ascii="Sylfaen" w:hAnsi="Sylfaen"/>
                <w:sz w:val="24"/>
                <w:szCs w:val="24"/>
              </w:rPr>
              <w:t>ոչ</w:t>
            </w:r>
          </w:p>
        </w:tc>
        <w:tc>
          <w:tcPr>
            <w:tcW w:w="5954" w:type="dxa"/>
          </w:tcPr>
          <w:p w14:paraId="2AA5E38B" w14:textId="77777777" w:rsidR="006F76EB" w:rsidRPr="00834D52" w:rsidRDefault="00FC294A" w:rsidP="00F71229">
            <w:pPr>
              <w:spacing w:after="160" w:line="360" w:lineRule="auto"/>
              <w:ind w:right="-8"/>
              <w:jc w:val="center"/>
              <w:rPr>
                <w:rFonts w:ascii="Sylfaen" w:eastAsia="Wingdings 2" w:hAnsi="Sylfaen" w:cs="Wingdings 2"/>
                <w:sz w:val="24"/>
                <w:szCs w:val="24"/>
              </w:rPr>
            </w:pPr>
            <w:r>
              <w:rPr>
                <w:rFonts w:ascii="Sylfaen" w:hAnsi="Sylfaen"/>
                <w:noProof/>
                <w:sz w:val="24"/>
                <w:szCs w:val="24"/>
              </w:rPr>
              <w:pict w14:anchorId="77403D28">
                <v:rect id="_x0000_s1222" style="position:absolute;left:0;text-align:left;margin-left:-1.15pt;margin-top:3.9pt;width:12.75pt;height:12pt;z-index:251736576;mso-position-horizontal-relative:text;mso-position-vertical-relative:text"/>
              </w:pict>
            </w:r>
            <w:r w:rsidR="006F76EB" w:rsidRPr="00834D52">
              <w:rPr>
                <w:rFonts w:ascii="Sylfaen" w:hAnsi="Sylfaen"/>
                <w:sz w:val="24"/>
                <w:szCs w:val="24"/>
              </w:rPr>
              <w:t>գտնվում է ուսումնասիրության գործընթացում</w:t>
            </w:r>
          </w:p>
        </w:tc>
        <w:tc>
          <w:tcPr>
            <w:tcW w:w="1843" w:type="dxa"/>
          </w:tcPr>
          <w:p w14:paraId="391722CA" w14:textId="77777777" w:rsidR="006F76EB" w:rsidRPr="00834D52" w:rsidRDefault="00FC294A" w:rsidP="00F71229">
            <w:pPr>
              <w:spacing w:after="160" w:line="360" w:lineRule="auto"/>
              <w:ind w:left="-108" w:right="-8"/>
              <w:jc w:val="center"/>
              <w:rPr>
                <w:rFonts w:ascii="Sylfaen" w:eastAsia="Times New Roman" w:hAnsi="Sylfaen" w:cs="Times New Roman"/>
                <w:sz w:val="24"/>
                <w:szCs w:val="24"/>
              </w:rPr>
            </w:pPr>
            <w:r>
              <w:rPr>
                <w:rFonts w:ascii="Sylfaen" w:hAnsi="Sylfaen"/>
                <w:noProof/>
                <w:sz w:val="24"/>
                <w:szCs w:val="24"/>
              </w:rPr>
              <w:pict w14:anchorId="7677306C">
                <v:rect id="_x0000_s1224" style="position:absolute;left:0;text-align:left;margin-left:62.55pt;margin-top:3.9pt;width:12.75pt;height:12pt;z-index:251737600;mso-position-horizontal-relative:text;mso-position-vertical-relative:text"/>
              </w:pict>
            </w:r>
            <w:r w:rsidR="006F76EB" w:rsidRPr="00834D52">
              <w:rPr>
                <w:rFonts w:ascii="Sylfaen" w:hAnsi="Sylfaen"/>
                <w:sz w:val="24"/>
                <w:szCs w:val="24"/>
              </w:rPr>
              <w:t>այո</w:t>
            </w:r>
          </w:p>
        </w:tc>
      </w:tr>
    </w:tbl>
    <w:p w14:paraId="23614B1E" w14:textId="77777777" w:rsidR="006F76EB" w:rsidRPr="00834D52" w:rsidRDefault="006F76EB" w:rsidP="006F76EB">
      <w:pPr>
        <w:spacing w:after="160" w:line="360" w:lineRule="auto"/>
        <w:ind w:right="-8"/>
        <w:rPr>
          <w:rFonts w:ascii="Sylfaen" w:hAnsi="Sylfae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4142"/>
        <w:gridCol w:w="2240"/>
        <w:gridCol w:w="3228"/>
      </w:tblGrid>
      <w:tr w:rsidR="006F76EB" w:rsidRPr="00834D52" w14:paraId="5013CACD"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668B7F62"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ամսաթիվը</w:t>
            </w:r>
          </w:p>
        </w:tc>
        <w:tc>
          <w:tcPr>
            <w:tcW w:w="5468" w:type="dxa"/>
            <w:gridSpan w:val="2"/>
            <w:tcBorders>
              <w:top w:val="single" w:sz="4" w:space="0" w:color="000000"/>
              <w:left w:val="single" w:sz="4" w:space="0" w:color="000000"/>
              <w:bottom w:val="single" w:sz="4" w:space="0" w:color="000000"/>
              <w:right w:val="single" w:sz="4" w:space="0" w:color="000000"/>
            </w:tcBorders>
          </w:tcPr>
          <w:p w14:paraId="10A2C95E"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p>
        </w:tc>
      </w:tr>
      <w:tr w:rsidR="006F76EB" w:rsidRPr="00834D52" w14:paraId="05A94A63"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22580865"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հազվադեպ կիրառվող («որբ») դեղապատրաստուկի գրանցման հավաստագրի համարը</w:t>
            </w:r>
          </w:p>
        </w:tc>
        <w:tc>
          <w:tcPr>
            <w:tcW w:w="3228" w:type="dxa"/>
            <w:tcBorders>
              <w:top w:val="single" w:sz="4" w:space="0" w:color="000000"/>
              <w:left w:val="single" w:sz="4" w:space="0" w:color="000000"/>
              <w:bottom w:val="single" w:sz="4" w:space="0" w:color="000000"/>
              <w:right w:val="single" w:sz="4" w:space="0" w:color="000000"/>
            </w:tcBorders>
          </w:tcPr>
          <w:p w14:paraId="2646D014" w14:textId="77777777" w:rsidR="006F76EB" w:rsidRPr="00834D52" w:rsidRDefault="006F76EB" w:rsidP="001516A4">
            <w:pPr>
              <w:spacing w:after="120" w:line="240" w:lineRule="auto"/>
              <w:ind w:right="-8"/>
              <w:rPr>
                <w:rFonts w:ascii="Sylfaen" w:hAnsi="Sylfaen"/>
                <w:sz w:val="24"/>
                <w:szCs w:val="24"/>
              </w:rPr>
            </w:pPr>
          </w:p>
        </w:tc>
      </w:tr>
      <w:tr w:rsidR="006F76EB" w:rsidRPr="00834D52" w14:paraId="69A1EDFE" w14:textId="77777777" w:rsidTr="00F71229">
        <w:tc>
          <w:tcPr>
            <w:tcW w:w="6382" w:type="dxa"/>
            <w:gridSpan w:val="2"/>
            <w:tcBorders>
              <w:top w:val="single" w:sz="4" w:space="0" w:color="000000"/>
              <w:left w:val="single" w:sz="4" w:space="0" w:color="000000"/>
              <w:bottom w:val="single" w:sz="4" w:space="0" w:color="000000"/>
              <w:right w:val="single" w:sz="4" w:space="0" w:color="000000"/>
            </w:tcBorders>
          </w:tcPr>
          <w:p w14:paraId="4A977781" w14:textId="77777777" w:rsidR="006F76EB" w:rsidRPr="00834D52" w:rsidRDefault="006F76EB" w:rsidP="001516A4">
            <w:pPr>
              <w:spacing w:after="120" w:line="240" w:lineRule="auto"/>
              <w:ind w:left="186" w:right="1235"/>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պետությունները </w:t>
            </w:r>
            <w:r w:rsidR="00C54D75">
              <w:rPr>
                <w:rFonts w:ascii="Sylfaen" w:hAnsi="Sylfaen"/>
                <w:sz w:val="24"/>
                <w:szCs w:val="24"/>
              </w:rPr>
              <w:t>և</w:t>
            </w:r>
            <w:r w:rsidRPr="00834D52">
              <w:rPr>
                <w:rFonts w:ascii="Sylfaen" w:hAnsi="Sylfaen"/>
                <w:sz w:val="24"/>
                <w:szCs w:val="24"/>
              </w:rPr>
              <w:t xml:space="preserve"> (կամ) այլ պետություններ, որոնք տվյալ դեղապատրաստուկին շնորհել են հազվադեպ կիրառվող («որբ») դեղապատրաստուկի կարգավիճակ</w:t>
            </w:r>
          </w:p>
        </w:tc>
        <w:tc>
          <w:tcPr>
            <w:tcW w:w="3228" w:type="dxa"/>
            <w:tcBorders>
              <w:top w:val="single" w:sz="4" w:space="0" w:color="000000"/>
              <w:left w:val="single" w:sz="4" w:space="0" w:color="000000"/>
              <w:bottom w:val="single" w:sz="4" w:space="0" w:color="000000"/>
              <w:right w:val="single" w:sz="4" w:space="0" w:color="000000"/>
            </w:tcBorders>
          </w:tcPr>
          <w:p w14:paraId="2FD06AE7" w14:textId="77777777" w:rsidR="006F76EB" w:rsidRPr="00834D52" w:rsidRDefault="006F76EB" w:rsidP="001516A4">
            <w:pPr>
              <w:spacing w:after="120" w:line="240" w:lineRule="auto"/>
              <w:ind w:right="-8"/>
              <w:rPr>
                <w:rFonts w:ascii="Sylfaen" w:hAnsi="Sylfaen"/>
                <w:sz w:val="24"/>
                <w:szCs w:val="24"/>
              </w:rPr>
            </w:pPr>
          </w:p>
        </w:tc>
      </w:tr>
    </w:tbl>
    <w:p w14:paraId="04340D7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z w:val="24"/>
          <w:szCs w:val="24"/>
        </w:rPr>
        <w:t>Հազվադեպ կիրառվող («որբ») դեղապատրաստուկի կարգավիճակի շնորհումը մերժվել է</w:t>
      </w:r>
      <w:r w:rsidRPr="00834D52">
        <w:rPr>
          <w:rFonts w:ascii="Sylfaen" w:hAnsi="Sylfaen"/>
          <w:spacing w:val="-4"/>
          <w:sz w:val="24"/>
          <w:szCs w:val="24"/>
        </w:rPr>
        <w:t>՝</w:t>
      </w:r>
    </w:p>
    <w:tbl>
      <w:tblPr>
        <w:tblW w:w="9663" w:type="dxa"/>
        <w:tblInd w:w="109" w:type="dxa"/>
        <w:tblLayout w:type="fixed"/>
        <w:tblCellMar>
          <w:left w:w="0" w:type="dxa"/>
          <w:right w:w="0" w:type="dxa"/>
        </w:tblCellMar>
        <w:tblLook w:val="01E0" w:firstRow="1" w:lastRow="1" w:firstColumn="1" w:lastColumn="1" w:noHBand="0" w:noVBand="0"/>
      </w:tblPr>
      <w:tblGrid>
        <w:gridCol w:w="4164"/>
        <w:gridCol w:w="5499"/>
      </w:tblGrid>
      <w:tr w:rsidR="006F76EB" w:rsidRPr="00834D52" w14:paraId="41AA2F26" w14:textId="77777777" w:rsidTr="001516A4">
        <w:trPr>
          <w:trHeight w:val="493"/>
        </w:trPr>
        <w:tc>
          <w:tcPr>
            <w:tcW w:w="4164" w:type="dxa"/>
            <w:tcBorders>
              <w:top w:val="single" w:sz="4" w:space="0" w:color="000000"/>
              <w:left w:val="single" w:sz="4" w:space="0" w:color="000000"/>
              <w:bottom w:val="single" w:sz="4" w:space="0" w:color="000000"/>
              <w:right w:val="single" w:sz="4" w:space="0" w:color="000000"/>
            </w:tcBorders>
          </w:tcPr>
          <w:p w14:paraId="5BF4EF5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000000"/>
              <w:bottom w:val="single" w:sz="4" w:space="0" w:color="000000"/>
              <w:right w:val="single" w:sz="4" w:space="0" w:color="000000"/>
            </w:tcBorders>
          </w:tcPr>
          <w:p w14:paraId="5E8F7C8E"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6AAF7B64"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38DF9D4C"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որոշման համարը</w:t>
            </w:r>
          </w:p>
        </w:tc>
        <w:tc>
          <w:tcPr>
            <w:tcW w:w="5499" w:type="dxa"/>
            <w:tcBorders>
              <w:top w:val="single" w:sz="4" w:space="0" w:color="000000"/>
              <w:left w:val="single" w:sz="4" w:space="0" w:color="auto"/>
              <w:bottom w:val="single" w:sz="4" w:space="0" w:color="000000"/>
              <w:right w:val="single" w:sz="4" w:space="0" w:color="000000"/>
            </w:tcBorders>
          </w:tcPr>
          <w:p w14:paraId="75A233F0"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2F8CF1A3" w14:textId="77777777" w:rsidTr="001516A4">
        <w:trPr>
          <w:trHeight w:val="493"/>
        </w:trPr>
        <w:tc>
          <w:tcPr>
            <w:tcW w:w="9663" w:type="dxa"/>
            <w:gridSpan w:val="2"/>
            <w:tcBorders>
              <w:top w:val="single" w:sz="4" w:space="0" w:color="000000"/>
              <w:left w:val="single" w:sz="4" w:space="0" w:color="000000"/>
              <w:bottom w:val="single" w:sz="4" w:space="0" w:color="000000"/>
              <w:right w:val="single" w:sz="4" w:space="0" w:color="000000"/>
            </w:tcBorders>
          </w:tcPr>
          <w:p w14:paraId="691D993F" w14:textId="69F92F8D"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 xml:space="preserve">կարգավիճակի շնորհման վերաբերյալ </w:t>
            </w:r>
            <w:r w:rsidR="0056496B">
              <w:rPr>
                <w:rFonts w:ascii="Sylfaen" w:hAnsi="Sylfaen"/>
                <w:sz w:val="24"/>
                <w:szCs w:val="24"/>
              </w:rPr>
              <w:t>դիմում</w:t>
            </w:r>
            <w:r w:rsidRPr="00834D52">
              <w:rPr>
                <w:rFonts w:ascii="Sylfaen" w:hAnsi="Sylfaen"/>
                <w:sz w:val="24"/>
                <w:szCs w:val="24"/>
              </w:rPr>
              <w:t>ը հետ է կանչվել</w:t>
            </w:r>
          </w:p>
        </w:tc>
      </w:tr>
      <w:tr w:rsidR="006F76EB" w:rsidRPr="00834D52" w14:paraId="0543CAB3" w14:textId="77777777" w:rsidTr="001516A4">
        <w:trPr>
          <w:trHeight w:val="493"/>
        </w:trPr>
        <w:tc>
          <w:tcPr>
            <w:tcW w:w="4164" w:type="dxa"/>
            <w:tcBorders>
              <w:top w:val="single" w:sz="4" w:space="0" w:color="000000"/>
              <w:left w:val="single" w:sz="4" w:space="0" w:color="000000"/>
              <w:bottom w:val="single" w:sz="4" w:space="0" w:color="000000"/>
              <w:right w:val="single" w:sz="4" w:space="0" w:color="auto"/>
            </w:tcBorders>
          </w:tcPr>
          <w:p w14:paraId="4D1EB555"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r w:rsidRPr="00834D52">
              <w:rPr>
                <w:rFonts w:ascii="Sylfaen" w:hAnsi="Sylfaen"/>
                <w:sz w:val="24"/>
                <w:szCs w:val="24"/>
              </w:rPr>
              <w:t>ամսաթիվը</w:t>
            </w:r>
          </w:p>
        </w:tc>
        <w:tc>
          <w:tcPr>
            <w:tcW w:w="5499" w:type="dxa"/>
            <w:tcBorders>
              <w:top w:val="single" w:sz="4" w:space="0" w:color="000000"/>
              <w:left w:val="single" w:sz="4" w:space="0" w:color="auto"/>
              <w:bottom w:val="single" w:sz="4" w:space="0" w:color="000000"/>
              <w:right w:val="single" w:sz="4" w:space="0" w:color="000000"/>
            </w:tcBorders>
          </w:tcPr>
          <w:p w14:paraId="2E1F63C8" w14:textId="77777777" w:rsidR="006F76EB" w:rsidRPr="00834D52" w:rsidRDefault="006F76EB" w:rsidP="001516A4">
            <w:pPr>
              <w:spacing w:after="120" w:line="240" w:lineRule="auto"/>
              <w:ind w:left="187" w:right="1235"/>
              <w:rPr>
                <w:rFonts w:ascii="Sylfaen" w:eastAsia="Times New Roman" w:hAnsi="Sylfaen" w:cs="Times New Roman"/>
                <w:sz w:val="24"/>
                <w:szCs w:val="24"/>
              </w:rPr>
            </w:pPr>
          </w:p>
        </w:tc>
      </w:tr>
      <w:tr w:rsidR="006F76EB" w:rsidRPr="00834D52" w14:paraId="38F822D7" w14:textId="77777777" w:rsidTr="001516A4">
        <w:trPr>
          <w:trHeight w:val="1197"/>
        </w:trPr>
        <w:tc>
          <w:tcPr>
            <w:tcW w:w="9663" w:type="dxa"/>
            <w:gridSpan w:val="2"/>
            <w:tcBorders>
              <w:top w:val="single" w:sz="4" w:space="0" w:color="000000"/>
              <w:left w:val="single" w:sz="4" w:space="0" w:color="000000"/>
              <w:bottom w:val="single" w:sz="4" w:space="0" w:color="000000"/>
              <w:right w:val="single" w:sz="4" w:space="0" w:color="000000"/>
            </w:tcBorders>
          </w:tcPr>
          <w:p w14:paraId="14C3DCBE" w14:textId="3FAEC5BA" w:rsidR="006F76EB" w:rsidRPr="00834D52" w:rsidRDefault="006F76EB" w:rsidP="001516A4">
            <w:pPr>
              <w:spacing w:after="120" w:line="240" w:lineRule="auto"/>
              <w:ind w:left="187"/>
              <w:rPr>
                <w:rFonts w:ascii="Sylfaen" w:eastAsia="Times New Roman" w:hAnsi="Sylfaen" w:cs="Times New Roman"/>
                <w:sz w:val="24"/>
                <w:szCs w:val="24"/>
              </w:rPr>
            </w:pPr>
            <w:r w:rsidRPr="00834D52">
              <w:rPr>
                <w:rFonts w:ascii="Sylfaen" w:hAnsi="Sylfaen"/>
                <w:sz w:val="24"/>
                <w:szCs w:val="24"/>
              </w:rPr>
              <w:lastRenderedPageBreak/>
              <w:t xml:space="preserve">դեղապատրաստուկին հազվադեպ կիրառվող («որբ») պատրաստուկի կարգավիճակի շնորհումը հաստատող փաստաթղթի պատճենը (առկայության դեպքում) (սույն </w:t>
            </w:r>
            <w:r w:rsidR="0056496B">
              <w:rPr>
                <w:rFonts w:ascii="Sylfaen" w:hAnsi="Sylfaen"/>
                <w:sz w:val="24"/>
                <w:szCs w:val="24"/>
              </w:rPr>
              <w:t>դիմում</w:t>
            </w:r>
            <w:r w:rsidRPr="00834D52">
              <w:rPr>
                <w:rFonts w:ascii="Sylfaen" w:hAnsi="Sylfaen"/>
                <w:sz w:val="24"/>
                <w:szCs w:val="24"/>
              </w:rPr>
              <w:t>ի հավելվածի 5.2 ենթակետ):</w:t>
            </w:r>
          </w:p>
        </w:tc>
      </w:tr>
    </w:tbl>
    <w:p w14:paraId="225D6654" w14:textId="77777777" w:rsidR="006F76EB" w:rsidRPr="00834D52" w:rsidRDefault="006F76EB" w:rsidP="006F76EB">
      <w:pPr>
        <w:spacing w:after="160" w:line="360" w:lineRule="auto"/>
        <w:ind w:right="-8"/>
        <w:rPr>
          <w:rFonts w:ascii="Sylfaen" w:eastAsia="Times New Roman" w:hAnsi="Sylfaen" w:cs="Times New Roman"/>
          <w:sz w:val="24"/>
          <w:szCs w:val="24"/>
        </w:rPr>
      </w:pPr>
    </w:p>
    <w:p w14:paraId="742B5E48" w14:textId="77777777" w:rsidR="001516A4" w:rsidRPr="007F5A60" w:rsidRDefault="001516A4">
      <w:pPr>
        <w:widowControl/>
        <w:rPr>
          <w:rFonts w:ascii="Sylfaen" w:hAnsi="Sylfaen"/>
          <w:sz w:val="24"/>
          <w:szCs w:val="24"/>
        </w:rPr>
      </w:pPr>
      <w:r w:rsidRPr="007F5A60">
        <w:rPr>
          <w:rFonts w:ascii="Sylfaen" w:hAnsi="Sylfaen"/>
          <w:sz w:val="24"/>
          <w:szCs w:val="24"/>
        </w:rPr>
        <w:br w:type="page"/>
      </w:r>
    </w:p>
    <w:p w14:paraId="3ECCF215" w14:textId="0466CE15" w:rsidR="006F76EB" w:rsidRPr="00834D52" w:rsidRDefault="006F76EB" w:rsidP="001516A4">
      <w:pPr>
        <w:spacing w:after="160" w:line="336" w:lineRule="auto"/>
        <w:ind w:right="-8"/>
        <w:jc w:val="center"/>
        <w:rPr>
          <w:rFonts w:ascii="Sylfaen" w:eastAsia="Times New Roman" w:hAnsi="Sylfaen" w:cs="Times New Roman"/>
          <w:sz w:val="24"/>
          <w:szCs w:val="24"/>
        </w:rPr>
      </w:pPr>
      <w:r w:rsidRPr="00834D52">
        <w:rPr>
          <w:rFonts w:ascii="Sylfaen" w:hAnsi="Sylfaen"/>
          <w:sz w:val="24"/>
          <w:szCs w:val="24"/>
        </w:rPr>
        <w:lastRenderedPageBreak/>
        <w:t xml:space="preserve">3. </w:t>
      </w:r>
      <w:r w:rsidR="0056496B">
        <w:rPr>
          <w:rFonts w:ascii="Sylfaen" w:hAnsi="Sylfaen"/>
          <w:sz w:val="24"/>
          <w:szCs w:val="24"/>
        </w:rPr>
        <w:t>Դիմում</w:t>
      </w:r>
      <w:r w:rsidRPr="00834D52">
        <w:rPr>
          <w:rFonts w:ascii="Sylfaen" w:hAnsi="Sylfaen"/>
          <w:sz w:val="24"/>
          <w:szCs w:val="24"/>
        </w:rPr>
        <w:t>ի հատուկ կետերը</w:t>
      </w:r>
    </w:p>
    <w:tbl>
      <w:tblPr>
        <w:tblW w:w="9535" w:type="dxa"/>
        <w:tblInd w:w="109" w:type="dxa"/>
        <w:tblLayout w:type="fixed"/>
        <w:tblCellMar>
          <w:left w:w="0" w:type="dxa"/>
          <w:right w:w="0" w:type="dxa"/>
        </w:tblCellMar>
        <w:tblLook w:val="01E0" w:firstRow="1" w:lastRow="1" w:firstColumn="1" w:lastColumn="1" w:noHBand="0" w:noVBand="0"/>
      </w:tblPr>
      <w:tblGrid>
        <w:gridCol w:w="5850"/>
        <w:gridCol w:w="3685"/>
      </w:tblGrid>
      <w:tr w:rsidR="006F76EB" w:rsidRPr="00834D52" w14:paraId="4031D5D8"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76FE845"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w:t>
            </w:r>
            <w:r w:rsidRPr="00834D52">
              <w:rPr>
                <w:rFonts w:ascii="Sylfaen" w:hAnsi="Sylfaen"/>
                <w:sz w:val="24"/>
                <w:szCs w:val="24"/>
              </w:rPr>
              <w:tab/>
              <w:t xml:space="preserve">Անվանումը </w:t>
            </w:r>
            <w:r w:rsidR="00C54D75">
              <w:rPr>
                <w:rFonts w:ascii="Sylfaen" w:hAnsi="Sylfaen"/>
                <w:sz w:val="24"/>
                <w:szCs w:val="24"/>
              </w:rPr>
              <w:t>և</w:t>
            </w:r>
            <w:r w:rsidRPr="00834D52">
              <w:rPr>
                <w:rFonts w:ascii="Sylfaen" w:hAnsi="Sylfaen"/>
                <w:sz w:val="24"/>
                <w:szCs w:val="24"/>
              </w:rPr>
              <w:t xml:space="preserve"> ԱԲՔ ծածկագիրը</w:t>
            </w:r>
          </w:p>
        </w:tc>
        <w:tc>
          <w:tcPr>
            <w:tcW w:w="3685" w:type="dxa"/>
            <w:tcBorders>
              <w:top w:val="single" w:sz="4" w:space="0" w:color="000000"/>
              <w:left w:val="single" w:sz="4" w:space="0" w:color="000000"/>
              <w:bottom w:val="single" w:sz="4" w:space="0" w:color="000000"/>
              <w:right w:val="single" w:sz="4" w:space="0" w:color="000000"/>
            </w:tcBorders>
          </w:tcPr>
          <w:p w14:paraId="7B2E7455" w14:textId="77777777" w:rsidR="006F76EB" w:rsidRPr="00834D52" w:rsidRDefault="006F76EB" w:rsidP="001516A4">
            <w:pPr>
              <w:spacing w:after="120" w:line="240" w:lineRule="auto"/>
              <w:ind w:right="-8"/>
              <w:rPr>
                <w:rFonts w:ascii="Sylfaen" w:hAnsi="Sylfaen"/>
                <w:sz w:val="24"/>
                <w:szCs w:val="24"/>
              </w:rPr>
            </w:pPr>
          </w:p>
        </w:tc>
      </w:tr>
      <w:tr w:rsidR="006F76EB" w:rsidRPr="00834D52" w14:paraId="0EDD747D"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52E587C6" w14:textId="77777777" w:rsidR="006F76EB" w:rsidRPr="00834D52" w:rsidRDefault="006F76EB" w:rsidP="001516A4">
            <w:pPr>
              <w:tabs>
                <w:tab w:val="left" w:pos="1172"/>
              </w:tabs>
              <w:spacing w:after="120" w:line="240" w:lineRule="auto"/>
              <w:ind w:left="186"/>
              <w:rPr>
                <w:rFonts w:ascii="Sylfaen" w:eastAsia="Times New Roman" w:hAnsi="Sylfaen" w:cs="Times New Roman"/>
                <w:sz w:val="24"/>
                <w:szCs w:val="24"/>
              </w:rPr>
            </w:pPr>
            <w:r w:rsidRPr="00834D52">
              <w:rPr>
                <w:rFonts w:ascii="Sylfaen" w:hAnsi="Sylfaen"/>
                <w:sz w:val="24"/>
                <w:szCs w:val="24"/>
              </w:rPr>
              <w:t>3.1.1.</w:t>
            </w:r>
            <w:r w:rsidRPr="00834D52">
              <w:rPr>
                <w:rFonts w:ascii="Sylfaen" w:hAnsi="Sylfaen"/>
                <w:sz w:val="24"/>
                <w:szCs w:val="24"/>
              </w:rPr>
              <w:tab/>
              <w:t>Դեղապատրաստուկի անվանումը</w:t>
            </w:r>
          </w:p>
        </w:tc>
        <w:tc>
          <w:tcPr>
            <w:tcW w:w="3685" w:type="dxa"/>
            <w:tcBorders>
              <w:top w:val="single" w:sz="4" w:space="0" w:color="000000"/>
              <w:left w:val="single" w:sz="4" w:space="0" w:color="000000"/>
              <w:bottom w:val="single" w:sz="4" w:space="0" w:color="000000"/>
              <w:right w:val="single" w:sz="4" w:space="0" w:color="000000"/>
            </w:tcBorders>
          </w:tcPr>
          <w:p w14:paraId="4A969BA2" w14:textId="77777777" w:rsidR="006F76EB" w:rsidRPr="00834D52" w:rsidRDefault="006F76EB" w:rsidP="001516A4">
            <w:pPr>
              <w:spacing w:after="120" w:line="240" w:lineRule="auto"/>
              <w:ind w:right="-8"/>
              <w:rPr>
                <w:rFonts w:ascii="Sylfaen" w:hAnsi="Sylfaen"/>
                <w:sz w:val="24"/>
                <w:szCs w:val="24"/>
              </w:rPr>
            </w:pPr>
          </w:p>
        </w:tc>
      </w:tr>
      <w:tr w:rsidR="006F76EB" w:rsidRPr="00834D52" w14:paraId="4DB9BF09" w14:textId="77777777" w:rsidTr="00F71229">
        <w:tc>
          <w:tcPr>
            <w:tcW w:w="5850" w:type="dxa"/>
            <w:tcBorders>
              <w:top w:val="single" w:sz="4" w:space="0" w:color="000000"/>
              <w:left w:val="single" w:sz="4" w:space="0" w:color="000000"/>
              <w:bottom w:val="single" w:sz="4" w:space="0" w:color="000000"/>
              <w:right w:val="single" w:sz="4" w:space="0" w:color="000000"/>
            </w:tcBorders>
          </w:tcPr>
          <w:p w14:paraId="60CAA2B2" w14:textId="77777777" w:rsidR="006F76EB" w:rsidRPr="00834D52" w:rsidRDefault="006F76EB" w:rsidP="001516A4">
            <w:pPr>
              <w:tabs>
                <w:tab w:val="left" w:pos="1172"/>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3.1.2.</w:t>
            </w:r>
            <w:r w:rsidRPr="00834D52">
              <w:rPr>
                <w:rFonts w:ascii="Sylfaen" w:hAnsi="Sylfaen"/>
                <w:sz w:val="24"/>
                <w:szCs w:val="24"/>
              </w:rPr>
              <w:tab/>
              <w:t>ԱԴԲ-ի անվանումը կամ բաղադրությունը</w:t>
            </w:r>
          </w:p>
        </w:tc>
        <w:tc>
          <w:tcPr>
            <w:tcW w:w="3685" w:type="dxa"/>
            <w:tcBorders>
              <w:top w:val="single" w:sz="4" w:space="0" w:color="000000"/>
              <w:left w:val="single" w:sz="4" w:space="0" w:color="000000"/>
              <w:bottom w:val="single" w:sz="4" w:space="0" w:color="000000"/>
              <w:right w:val="single" w:sz="4" w:space="0" w:color="000000"/>
            </w:tcBorders>
          </w:tcPr>
          <w:p w14:paraId="58D064D9" w14:textId="77777777" w:rsidR="006F76EB" w:rsidRPr="00834D52" w:rsidRDefault="006F76EB" w:rsidP="001516A4">
            <w:pPr>
              <w:spacing w:after="120" w:line="240" w:lineRule="auto"/>
              <w:ind w:right="-8"/>
              <w:rPr>
                <w:rFonts w:ascii="Sylfaen" w:hAnsi="Sylfaen"/>
                <w:sz w:val="24"/>
                <w:szCs w:val="24"/>
              </w:rPr>
            </w:pPr>
          </w:p>
        </w:tc>
      </w:tr>
    </w:tbl>
    <w:p w14:paraId="69E28CD1" w14:textId="77777777" w:rsidR="006F76EB" w:rsidRDefault="006F76EB" w:rsidP="006F76EB">
      <w:pPr>
        <w:spacing w:after="160" w:line="336" w:lineRule="auto"/>
        <w:ind w:right="-8" w:firstLine="567"/>
        <w:jc w:val="both"/>
        <w:rPr>
          <w:rFonts w:ascii="Sylfaen" w:hAnsi="Sylfaen"/>
          <w:sz w:val="24"/>
          <w:szCs w:val="24"/>
        </w:rPr>
      </w:pPr>
      <w:r w:rsidRPr="00834D52">
        <w:rPr>
          <w:rFonts w:ascii="Sylfaen" w:hAnsi="Sylfaen"/>
          <w:sz w:val="24"/>
          <w:szCs w:val="24"/>
        </w:rPr>
        <w:t>Ծանոթագրություն. Միայն մեկ անվանում պետք է բերվի հետ</w:t>
      </w:r>
      <w:r w:rsidR="00C54D75">
        <w:rPr>
          <w:rFonts w:ascii="Sylfaen" w:hAnsi="Sylfaen"/>
          <w:sz w:val="24"/>
          <w:szCs w:val="24"/>
        </w:rPr>
        <w:t>և</w:t>
      </w:r>
      <w:r w:rsidRPr="00834D52">
        <w:rPr>
          <w:rFonts w:ascii="Sylfaen" w:hAnsi="Sylfaen"/>
          <w:sz w:val="24"/>
          <w:szCs w:val="24"/>
        </w:rPr>
        <w:t>յալ կարգով՝ միջազգային չարտոնագրված անվանումը (այսուհետ՝ ՄՉԱ)</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անվանումը՝ ըստ Եվրասիական տնտեսական միության դեղագրքի, Եվրասիական տնտեսական միության անդամ պետությունների դեղագրքերի (կամ Եվրասիական տնտեսական հանձնաժողովի կողմից հաստատված Եվրասիական տնտեսական միության անդամ պետությունների դեղագրքերի ներդաշնակեցման հայեցակարգին </w:t>
      </w:r>
      <w:r w:rsidRPr="007E6BCD">
        <w:rPr>
          <w:rFonts w:ascii="Sylfaen" w:hAnsi="Sylfaen"/>
          <w:sz w:val="24"/>
          <w:szCs w:val="24"/>
        </w:rPr>
        <w:t xml:space="preserve">համապատասխան հիմնական դեղագրքերի), համընդհանուր կամ </w:t>
      </w:r>
      <w:r w:rsidR="00C648A4">
        <w:rPr>
          <w:rFonts w:ascii="Sylfaen" w:hAnsi="Sylfaen"/>
          <w:sz w:val="24"/>
          <w:szCs w:val="24"/>
        </w:rPr>
        <w:t>խմբի անվանումը, գիտական (քիմիական) անվանումը:</w:t>
      </w:r>
    </w:p>
    <w:p w14:paraId="334111E2" w14:textId="77777777" w:rsidR="006F76EB" w:rsidRPr="00834D52" w:rsidRDefault="006F76EB" w:rsidP="00FA28B3">
      <w:pPr>
        <w:tabs>
          <w:tab w:val="left" w:pos="1701"/>
        </w:tabs>
        <w:spacing w:after="160" w:line="336" w:lineRule="auto"/>
        <w:ind w:right="4331"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7"/>
        <w:t>3.1.3.</w:t>
      </w:r>
      <w:r w:rsidRPr="00834D52">
        <w:rPr>
          <w:rFonts w:ascii="Sylfaen" w:hAnsi="Sylfaen"/>
          <w:sz w:val="24"/>
          <w:szCs w:val="24"/>
        </w:rPr>
        <w:tab/>
      </w:r>
      <w:r w:rsidR="00355C33">
        <w:rPr>
          <w:rFonts w:ascii="Sylfaen" w:hAnsi="Sylfaen"/>
          <w:sz w:val="24"/>
          <w:szCs w:val="24"/>
        </w:rPr>
        <w:t>Դեղա</w:t>
      </w:r>
      <w:r w:rsidRPr="00834D52">
        <w:rPr>
          <w:rFonts w:ascii="Sylfaen" w:hAnsi="Sylfaen"/>
          <w:sz w:val="24"/>
          <w:szCs w:val="24"/>
        </w:rPr>
        <w:t>թերապ</w:t>
      </w:r>
      <w:r w:rsidR="00C54D75">
        <w:rPr>
          <w:rFonts w:ascii="Sylfaen" w:hAnsi="Sylfaen"/>
          <w:sz w:val="24"/>
          <w:szCs w:val="24"/>
        </w:rPr>
        <w:t>և</w:t>
      </w:r>
      <w:r w:rsidRPr="00834D52">
        <w:rPr>
          <w:rFonts w:ascii="Sylfaen" w:hAnsi="Sylfaen"/>
          <w:sz w:val="24"/>
          <w:szCs w:val="24"/>
        </w:rPr>
        <w:t>տիկ խումբը (օգտագործե՛ք գործող ԱԲՔ ծածկագիրը)</w:t>
      </w:r>
    </w:p>
    <w:tbl>
      <w:tblPr>
        <w:tblW w:w="9660" w:type="dxa"/>
        <w:tblInd w:w="109" w:type="dxa"/>
        <w:tblLayout w:type="fixed"/>
        <w:tblCellMar>
          <w:left w:w="0" w:type="dxa"/>
          <w:right w:w="0" w:type="dxa"/>
        </w:tblCellMar>
        <w:tblLook w:val="01E0" w:firstRow="1" w:lastRow="1" w:firstColumn="1" w:lastColumn="1" w:noHBand="0" w:noVBand="0"/>
      </w:tblPr>
      <w:tblGrid>
        <w:gridCol w:w="4164"/>
        <w:gridCol w:w="5496"/>
      </w:tblGrid>
      <w:tr w:rsidR="006F76EB" w:rsidRPr="00834D52" w14:paraId="784DCDCC"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6257CA6A"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ԱԲՔ ծածկագիրը</w:t>
            </w:r>
          </w:p>
        </w:tc>
        <w:tc>
          <w:tcPr>
            <w:tcW w:w="5496" w:type="dxa"/>
            <w:tcBorders>
              <w:top w:val="single" w:sz="4" w:space="0" w:color="000000"/>
              <w:left w:val="single" w:sz="4" w:space="0" w:color="000000"/>
              <w:bottom w:val="single" w:sz="4" w:space="0" w:color="000000"/>
              <w:right w:val="single" w:sz="4" w:space="0" w:color="000000"/>
            </w:tcBorders>
          </w:tcPr>
          <w:p w14:paraId="5CFD3101"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4471EFB" w14:textId="77777777" w:rsidTr="00FA28B3">
        <w:trPr>
          <w:trHeight w:val="722"/>
        </w:trPr>
        <w:tc>
          <w:tcPr>
            <w:tcW w:w="4164" w:type="dxa"/>
            <w:tcBorders>
              <w:top w:val="single" w:sz="4" w:space="0" w:color="000000"/>
              <w:left w:val="single" w:sz="4" w:space="0" w:color="000000"/>
              <w:bottom w:val="single" w:sz="4" w:space="0" w:color="000000"/>
              <w:right w:val="single" w:sz="4" w:space="0" w:color="000000"/>
            </w:tcBorders>
          </w:tcPr>
          <w:p w14:paraId="5BDD1487"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Խումբը</w:t>
            </w:r>
          </w:p>
        </w:tc>
        <w:tc>
          <w:tcPr>
            <w:tcW w:w="5496" w:type="dxa"/>
            <w:tcBorders>
              <w:top w:val="single" w:sz="4" w:space="0" w:color="000000"/>
              <w:left w:val="single" w:sz="4" w:space="0" w:color="000000"/>
              <w:bottom w:val="single" w:sz="4" w:space="0" w:color="000000"/>
              <w:right w:val="single" w:sz="4" w:space="0" w:color="000000"/>
            </w:tcBorders>
          </w:tcPr>
          <w:p w14:paraId="4B695DFA" w14:textId="77777777" w:rsidR="006F76EB" w:rsidRPr="00834D52" w:rsidRDefault="006F76EB" w:rsidP="00FA28B3">
            <w:pPr>
              <w:spacing w:after="120" w:line="240" w:lineRule="auto"/>
              <w:ind w:right="-8"/>
              <w:rPr>
                <w:rFonts w:ascii="Sylfaen" w:hAnsi="Sylfaen"/>
                <w:sz w:val="24"/>
                <w:szCs w:val="24"/>
              </w:rPr>
            </w:pPr>
          </w:p>
        </w:tc>
      </w:tr>
    </w:tbl>
    <w:p w14:paraId="577C50E2" w14:textId="578E6834" w:rsidR="006F76EB" w:rsidRPr="00834D52" w:rsidRDefault="006F76EB" w:rsidP="006F76EB">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ԱԲՔ ծածկագիր շնորհված չէ, ապա նշե՛ք, թե արդյոք ներկայացվել է ԱԲՔ ծածկագրի շնորհման </w:t>
      </w:r>
      <w:r w:rsidR="0056496B">
        <w:rPr>
          <w:rFonts w:ascii="Sylfaen" w:hAnsi="Sylfaen"/>
          <w:sz w:val="24"/>
          <w:szCs w:val="24"/>
        </w:rPr>
        <w:t>դիմում</w:t>
      </w:r>
      <w:r w:rsidRPr="00834D52">
        <w:rPr>
          <w:rFonts w:ascii="Sylfaen" w:hAnsi="Sylfaen"/>
          <w:sz w:val="24"/>
          <w:szCs w:val="24"/>
        </w:rPr>
        <w:t xml:space="preserve"> </w:t>
      </w:r>
    </w:p>
    <w:p w14:paraId="5737D5CD" w14:textId="77777777" w:rsidR="006F76EB" w:rsidRPr="00834D52" w:rsidRDefault="006F76EB" w:rsidP="00FA28B3">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w:t>
      </w:r>
      <w:r w:rsidRPr="00834D52">
        <w:rPr>
          <w:rFonts w:ascii="Sylfaen" w:hAnsi="Sylfaen"/>
          <w:sz w:val="24"/>
          <w:szCs w:val="24"/>
        </w:rPr>
        <w:tab/>
        <w:t>Դոզավորումը, դեղաձ</w:t>
      </w:r>
      <w:r w:rsidR="00C54D75">
        <w:rPr>
          <w:rFonts w:ascii="Sylfaen" w:hAnsi="Sylfaen"/>
          <w:sz w:val="24"/>
          <w:szCs w:val="24"/>
        </w:rPr>
        <w:t>և</w:t>
      </w:r>
      <w:r w:rsidRPr="00834D52">
        <w:rPr>
          <w:rFonts w:ascii="Sylfaen" w:hAnsi="Sylfaen"/>
          <w:sz w:val="24"/>
          <w:szCs w:val="24"/>
        </w:rPr>
        <w:t xml:space="preserve">ը </w:t>
      </w:r>
      <w:r w:rsidR="00C54D75">
        <w:rPr>
          <w:rFonts w:ascii="Sylfaen" w:hAnsi="Sylfaen"/>
          <w:sz w:val="24"/>
          <w:szCs w:val="24"/>
        </w:rPr>
        <w:t>և</w:t>
      </w:r>
      <w:r w:rsidRPr="00834D52">
        <w:rPr>
          <w:rFonts w:ascii="Sylfaen" w:hAnsi="Sylfaen"/>
          <w:sz w:val="24"/>
          <w:szCs w:val="24"/>
        </w:rPr>
        <w:t xml:space="preserve"> փաթեթվածքը, ներմուծման եղանակը, առաջնային փաթեթվածքի տարողունակությունը, դոզավորման միավորների քանակը փաթեթվածքում</w:t>
      </w:r>
    </w:p>
    <w:p w14:paraId="1412024D" w14:textId="77777777" w:rsidR="006F76EB" w:rsidRPr="00834D52" w:rsidRDefault="006F76EB" w:rsidP="00FA28B3">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3.2.1.</w:t>
      </w:r>
      <w:r w:rsidRPr="00834D52">
        <w:rPr>
          <w:rFonts w:ascii="Sylfaen" w:hAnsi="Sylfaen"/>
          <w:sz w:val="24"/>
          <w:szCs w:val="24"/>
        </w:rPr>
        <w:tab/>
        <w:t xml:space="preserve">Դոզավորումը </w:t>
      </w:r>
      <w:r w:rsidR="00C54D75">
        <w:rPr>
          <w:rFonts w:ascii="Sylfaen" w:hAnsi="Sylfaen"/>
          <w:sz w:val="24"/>
          <w:szCs w:val="24"/>
        </w:rPr>
        <w:t>և</w:t>
      </w:r>
      <w:r w:rsidRPr="00834D52">
        <w:rPr>
          <w:rFonts w:ascii="Sylfaen" w:hAnsi="Sylfaen"/>
          <w:sz w:val="24"/>
          <w:szCs w:val="24"/>
        </w:rPr>
        <w:t xml:space="preserve"> դեղաձ</w:t>
      </w:r>
      <w:r w:rsidR="00C54D75">
        <w:rPr>
          <w:rFonts w:ascii="Sylfaen" w:hAnsi="Sylfaen"/>
          <w:sz w:val="24"/>
          <w:szCs w:val="24"/>
        </w:rPr>
        <w:t>և</w:t>
      </w:r>
      <w:r w:rsidRPr="00834D52">
        <w:rPr>
          <w:rFonts w:ascii="Sylfaen" w:hAnsi="Sylfaen"/>
          <w:sz w:val="24"/>
          <w:szCs w:val="24"/>
        </w:rPr>
        <w:t>ը</w:t>
      </w:r>
    </w:p>
    <w:p w14:paraId="11EEFBDF"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(օգտագործե՛ք Եվրասիական տնտեսական միությունում կիրառվող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B8964CE"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184160D2"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lastRenderedPageBreak/>
              <w:t>դեղաձ</w:t>
            </w:r>
            <w:r w:rsidR="00C54D75">
              <w:rPr>
                <w:rFonts w:ascii="Sylfaen" w:hAnsi="Sylfaen"/>
                <w:sz w:val="24"/>
                <w:szCs w:val="24"/>
              </w:rPr>
              <w:t>և</w:t>
            </w:r>
            <w:r w:rsidRPr="00834D52">
              <w:rPr>
                <w:rFonts w:ascii="Sylfaen" w:hAnsi="Sylfaen"/>
                <w:sz w:val="24"/>
                <w:szCs w:val="24"/>
              </w:rPr>
              <w:t>ը</w:t>
            </w:r>
          </w:p>
        </w:tc>
        <w:tc>
          <w:tcPr>
            <w:tcW w:w="3794" w:type="dxa"/>
            <w:tcBorders>
              <w:top w:val="single" w:sz="4" w:space="0" w:color="000000"/>
              <w:left w:val="single" w:sz="4" w:space="0" w:color="000000"/>
              <w:bottom w:val="single" w:sz="4" w:space="0" w:color="000000"/>
              <w:right w:val="single" w:sz="4" w:space="0" w:color="000000"/>
            </w:tcBorders>
          </w:tcPr>
          <w:p w14:paraId="1F2C24B8" w14:textId="77777777" w:rsidR="006F76EB" w:rsidRPr="00834D52" w:rsidRDefault="006F76EB" w:rsidP="00FA28B3">
            <w:pPr>
              <w:spacing w:after="120" w:line="240" w:lineRule="auto"/>
              <w:ind w:right="-8"/>
              <w:rPr>
                <w:rFonts w:ascii="Sylfaen" w:hAnsi="Sylfaen"/>
                <w:sz w:val="24"/>
                <w:szCs w:val="24"/>
              </w:rPr>
            </w:pPr>
          </w:p>
        </w:tc>
      </w:tr>
      <w:tr w:rsidR="006F76EB" w:rsidRPr="00834D52" w14:paraId="25C3AB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0ED3B5B" w14:textId="77777777" w:rsidR="006F76EB" w:rsidRPr="00834D52" w:rsidRDefault="006F76EB" w:rsidP="00FA28B3">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դոզավորումները կամ կոնցենտրացիաները</w:t>
            </w:r>
          </w:p>
        </w:tc>
        <w:tc>
          <w:tcPr>
            <w:tcW w:w="3794" w:type="dxa"/>
            <w:tcBorders>
              <w:top w:val="single" w:sz="4" w:space="0" w:color="000000"/>
              <w:left w:val="single" w:sz="4" w:space="0" w:color="000000"/>
              <w:bottom w:val="single" w:sz="4" w:space="0" w:color="000000"/>
              <w:right w:val="single" w:sz="4" w:space="0" w:color="000000"/>
            </w:tcBorders>
          </w:tcPr>
          <w:p w14:paraId="080AEA1A" w14:textId="77777777" w:rsidR="006F76EB" w:rsidRPr="00834D52" w:rsidRDefault="006F76EB" w:rsidP="00FA28B3">
            <w:pPr>
              <w:spacing w:after="120" w:line="240" w:lineRule="auto"/>
              <w:ind w:right="-8"/>
              <w:rPr>
                <w:rFonts w:ascii="Sylfaen" w:hAnsi="Sylfaen"/>
                <w:sz w:val="24"/>
                <w:szCs w:val="24"/>
              </w:rPr>
            </w:pPr>
          </w:p>
        </w:tc>
      </w:tr>
      <w:tr w:rsidR="006F76EB" w:rsidRPr="00834D52" w14:paraId="76D43E9D"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5E90A515" w14:textId="7777777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3.2.2.</w:t>
            </w:r>
            <w:r w:rsidRPr="00834D52">
              <w:rPr>
                <w:rFonts w:ascii="Sylfaen" w:hAnsi="Sylfaen"/>
                <w:sz w:val="24"/>
                <w:szCs w:val="24"/>
              </w:rPr>
              <w:tab/>
              <w:t>Ներմուծման եղանակը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p>
        </w:tc>
        <w:tc>
          <w:tcPr>
            <w:tcW w:w="3794" w:type="dxa"/>
            <w:tcBorders>
              <w:top w:val="single" w:sz="4" w:space="0" w:color="000000"/>
              <w:left w:val="single" w:sz="4" w:space="0" w:color="000000"/>
              <w:bottom w:val="single" w:sz="4" w:space="0" w:color="000000"/>
              <w:right w:val="single" w:sz="4" w:space="0" w:color="000000"/>
            </w:tcBorders>
          </w:tcPr>
          <w:p w14:paraId="6E1A0239" w14:textId="77777777" w:rsidR="006F76EB" w:rsidRPr="00834D52" w:rsidRDefault="006F76EB" w:rsidP="00FA28B3">
            <w:pPr>
              <w:spacing w:after="120" w:line="240" w:lineRule="auto"/>
              <w:ind w:right="-8"/>
              <w:rPr>
                <w:rFonts w:ascii="Sylfaen" w:hAnsi="Sylfaen"/>
                <w:sz w:val="24"/>
                <w:szCs w:val="24"/>
              </w:rPr>
            </w:pPr>
          </w:p>
        </w:tc>
      </w:tr>
      <w:tr w:rsidR="006F76EB" w:rsidRPr="00834D52" w14:paraId="0F7294E2"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772FB41" w14:textId="2C5221A7" w:rsidR="006F76EB" w:rsidRPr="00834D52" w:rsidRDefault="006F76EB" w:rsidP="00FA28B3">
            <w:pPr>
              <w:tabs>
                <w:tab w:val="left" w:pos="1030"/>
              </w:tabs>
              <w:spacing w:after="120" w:line="240" w:lineRule="auto"/>
              <w:ind w:left="186" w:right="277"/>
              <w:rPr>
                <w:rFonts w:ascii="Sylfaen" w:eastAsia="Times New Roman" w:hAnsi="Sylfaen" w:cs="Times New Roman"/>
                <w:sz w:val="24"/>
                <w:szCs w:val="24"/>
              </w:rPr>
            </w:pPr>
            <w:r w:rsidRPr="00834D52">
              <w:rPr>
                <w:rFonts w:ascii="Sylfaen" w:hAnsi="Sylfaen"/>
                <w:sz w:val="24"/>
                <w:szCs w:val="24"/>
              </w:rPr>
              <w:t>3.2.3.</w:t>
            </w:r>
            <w:r w:rsidRPr="00834D52">
              <w:rPr>
                <w:rFonts w:ascii="Sylfaen" w:hAnsi="Sylfaen"/>
                <w:sz w:val="24"/>
                <w:szCs w:val="24"/>
              </w:rPr>
              <w:tab/>
              <w:t xml:space="preserve">Փաթեթվածքը՝ առաջնային </w:t>
            </w:r>
            <w:r w:rsidR="00C54D75">
              <w:rPr>
                <w:rFonts w:ascii="Sylfaen" w:hAnsi="Sylfaen"/>
                <w:sz w:val="24"/>
                <w:szCs w:val="24"/>
              </w:rPr>
              <w:t>և</w:t>
            </w:r>
            <w:r w:rsidRPr="00834D52">
              <w:rPr>
                <w:rFonts w:ascii="Sylfaen" w:hAnsi="Sylfaen"/>
                <w:sz w:val="24"/>
                <w:szCs w:val="24"/>
              </w:rPr>
              <w:t xml:space="preserve"> երկրորդային փաթեթվածք (առկայության դեպքում), խցանափակման համակարգը </w:t>
            </w:r>
            <w:r w:rsidR="00C54D75">
              <w:rPr>
                <w:rFonts w:ascii="Sylfaen" w:hAnsi="Sylfaen"/>
                <w:sz w:val="24"/>
                <w:szCs w:val="24"/>
              </w:rPr>
              <w:t>և</w:t>
            </w:r>
            <w:r w:rsidRPr="00834D52">
              <w:rPr>
                <w:rFonts w:ascii="Sylfaen" w:hAnsi="Sylfaen"/>
                <w:sz w:val="24"/>
                <w:szCs w:val="24"/>
              </w:rPr>
              <w:t xml:space="preserve"> ներմուծման սարքերը՝ ներառյալ այն նյութի նկարագրությունը, որից դրանք պատրաստված են (օգտագործե՛ք դեղաձ</w:t>
            </w:r>
            <w:r w:rsidR="00C54D75">
              <w:rPr>
                <w:rFonts w:ascii="Sylfaen" w:hAnsi="Sylfaen"/>
                <w:sz w:val="24"/>
                <w:szCs w:val="24"/>
              </w:rPr>
              <w:t>և</w:t>
            </w:r>
            <w:r w:rsidRPr="00834D52">
              <w:rPr>
                <w:rFonts w:ascii="Sylfaen" w:hAnsi="Sylfaen"/>
                <w:sz w:val="24"/>
                <w:szCs w:val="24"/>
              </w:rPr>
              <w:t>երի անվանացանկի ստանդարտ եզրույթների ցանկը)</w:t>
            </w:r>
            <w:r w:rsidR="00A4168F">
              <w:t xml:space="preserve"> </w:t>
            </w:r>
            <w:r w:rsidR="00A4168F" w:rsidRPr="00A4168F">
              <w:rPr>
                <w:rFonts w:ascii="Sylfaen" w:hAnsi="Sylfaen"/>
                <w:sz w:val="24"/>
                <w:szCs w:val="24"/>
              </w:rPr>
              <w:t>չբաժնեծրարված արտադրանքի փաթեթվածք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11DCDF3" w14:textId="77777777" w:rsidR="006F76EB" w:rsidRPr="00834D52" w:rsidRDefault="006F76EB" w:rsidP="00FA28B3">
            <w:pPr>
              <w:spacing w:after="120" w:line="240" w:lineRule="auto"/>
              <w:ind w:right="-8"/>
              <w:rPr>
                <w:rFonts w:ascii="Sylfaen" w:hAnsi="Sylfaen"/>
                <w:sz w:val="24"/>
                <w:szCs w:val="24"/>
              </w:rPr>
            </w:pPr>
          </w:p>
        </w:tc>
      </w:tr>
    </w:tbl>
    <w:p w14:paraId="39C65F05" w14:textId="77777777" w:rsidR="006F76EB" w:rsidRPr="00834D52" w:rsidRDefault="006F76EB" w:rsidP="009A0FA0">
      <w:pPr>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Փաթեթվածքի յուրաքանչյուր տեսակի համար նշե՛ք՝</w:t>
      </w:r>
    </w:p>
    <w:p w14:paraId="0A38102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3.2.3.1.</w:t>
      </w:r>
      <w:r w:rsidRPr="00834D52">
        <w:rPr>
          <w:rFonts w:ascii="Sylfaen" w:hAnsi="Sylfaen"/>
          <w:sz w:val="24"/>
          <w:szCs w:val="24"/>
        </w:rPr>
        <w:tab/>
        <w:t>Դոզավորման միավորների քանակը փաթեթվածքում</w:t>
      </w:r>
    </w:p>
    <w:p w14:paraId="23D0204D"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3.2.3.2.</w:t>
      </w:r>
      <w:r w:rsidRPr="00834D52">
        <w:rPr>
          <w:rFonts w:ascii="Sylfaen" w:hAnsi="Sylfaen"/>
          <w:sz w:val="24"/>
          <w:szCs w:val="24"/>
        </w:rPr>
        <w:tab/>
        <w:t>Պահպանման առաջարկվող ժամկետը</w:t>
      </w:r>
    </w:p>
    <w:p w14:paraId="0274010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3.2.3.3.</w:t>
      </w:r>
      <w:r w:rsidRPr="00834D52">
        <w:rPr>
          <w:rFonts w:ascii="Sylfaen" w:hAnsi="Sylfaen"/>
          <w:sz w:val="24"/>
          <w:szCs w:val="24"/>
        </w:rPr>
        <w:tab/>
        <w:t>Պահպանման առաջարկվող ժամկետը (առաջնային կամ միջանկյալ փաթեթվածքն առաջին անգամ բացելուց հետո)</w:t>
      </w:r>
    </w:p>
    <w:p w14:paraId="3758B905"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3.2.3.4.</w:t>
      </w:r>
      <w:r w:rsidRPr="00834D52">
        <w:rPr>
          <w:rFonts w:ascii="Sylfaen" w:hAnsi="Sylfaen"/>
          <w:sz w:val="24"/>
          <w:szCs w:val="24"/>
        </w:rPr>
        <w:tab/>
        <w:t>Պահպանման առաջարկվող ժամկետը (վերականգնումից (լուծումից) կամ նոսրացումից հետո)</w:t>
      </w:r>
    </w:p>
    <w:p w14:paraId="61BECD3B"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3.2.3.5.</w:t>
      </w:r>
      <w:r w:rsidRPr="00834D52">
        <w:rPr>
          <w:rFonts w:ascii="Sylfaen" w:hAnsi="Sylfaen"/>
          <w:sz w:val="24"/>
          <w:szCs w:val="24"/>
        </w:rPr>
        <w:tab/>
        <w:t>Պահպանման առաջարկվող պայմանները</w:t>
      </w:r>
    </w:p>
    <w:p w14:paraId="6FD44E29" w14:textId="77777777" w:rsidR="006F76EB" w:rsidRPr="00834D52" w:rsidRDefault="006F76EB" w:rsidP="009A0FA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3.2.3.6.</w:t>
      </w:r>
      <w:r w:rsidRPr="00834D52">
        <w:rPr>
          <w:rFonts w:ascii="Sylfaen" w:hAnsi="Sylfaen"/>
          <w:sz w:val="24"/>
          <w:szCs w:val="24"/>
        </w:rPr>
        <w:tab/>
        <w:t>Պահպանման առաջարկվող պայմանները փաթեթվածքը (առաջնային կամ միջանկյալ) առաջին անգամ բացելուց հետո</w:t>
      </w:r>
    </w:p>
    <w:p w14:paraId="3EC77328" w14:textId="77777777" w:rsidR="006F76EB" w:rsidRPr="00834D52" w:rsidRDefault="006F76EB" w:rsidP="009A0FA0">
      <w:pPr>
        <w:tabs>
          <w:tab w:val="left" w:pos="1701"/>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3.2.4.</w:t>
      </w:r>
      <w:r w:rsidRPr="00834D52">
        <w:rPr>
          <w:rFonts w:ascii="Sylfaen" w:hAnsi="Sylfaen"/>
          <w:sz w:val="24"/>
          <w:szCs w:val="24"/>
        </w:rPr>
        <w:tab/>
        <w:t>Ներմուծման սարքերի վերաբերյալ տեղեկատվություն</w:t>
      </w:r>
    </w:p>
    <w:p w14:paraId="04998D8B" w14:textId="77777777" w:rsidR="006F76EB" w:rsidRPr="00834D52" w:rsidRDefault="006F76EB" w:rsidP="009A0FA0">
      <w:pPr>
        <w:tabs>
          <w:tab w:val="left" w:pos="1701"/>
        </w:tabs>
        <w:spacing w:after="160" w:line="336" w:lineRule="auto"/>
        <w:ind w:right="-6" w:firstLine="567"/>
        <w:rPr>
          <w:rFonts w:ascii="Sylfaen" w:hAnsi="Sylfaen"/>
          <w:sz w:val="24"/>
          <w:szCs w:val="24"/>
        </w:rPr>
      </w:pPr>
      <w:r w:rsidRPr="00834D52">
        <w:rPr>
          <w:rFonts w:ascii="Sylfaen" w:hAnsi="Sylfaen"/>
          <w:sz w:val="24"/>
          <w:szCs w:val="24"/>
        </w:rPr>
        <w:t>3.3.</w:t>
      </w:r>
      <w:r w:rsidRPr="00834D52">
        <w:rPr>
          <w:rFonts w:ascii="Sylfaen" w:hAnsi="Sylfaen"/>
          <w:sz w:val="24"/>
          <w:szCs w:val="24"/>
        </w:rPr>
        <w:tab/>
        <w:t>Բացթողման կատեգորիան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685"/>
      </w:tblGrid>
      <w:tr w:rsidR="006F76EB" w:rsidRPr="00834D52" w14:paraId="300A0033" w14:textId="77777777" w:rsidTr="007527B5">
        <w:tc>
          <w:tcPr>
            <w:tcW w:w="4615" w:type="dxa"/>
          </w:tcPr>
          <w:p w14:paraId="11D7AFF7"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1A865F7D" w14:textId="77777777" w:rsidR="006F76EB" w:rsidRPr="00834D52" w:rsidRDefault="00FC294A"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55899A0A">
                <v:rect id="_x0000_s1225" style="position:absolute;left:0;text-align:left;margin-left:1.9pt;margin-top:4.3pt;width:12.75pt;height:12pt;z-index:251738624;mso-position-horizontal-relative:text;mso-position-vertical-relative:text"/>
              </w:pict>
            </w:r>
            <w:r w:rsidR="006F76EB" w:rsidRPr="00834D52">
              <w:rPr>
                <w:rFonts w:ascii="Sylfaen" w:hAnsi="Sylfaen"/>
                <w:sz w:val="24"/>
                <w:szCs w:val="24"/>
              </w:rPr>
              <w:t>դեղատոմսով</w:t>
            </w:r>
          </w:p>
        </w:tc>
      </w:tr>
      <w:tr w:rsidR="006F76EB" w:rsidRPr="00834D52" w14:paraId="036123C4" w14:textId="77777777" w:rsidTr="007527B5">
        <w:tc>
          <w:tcPr>
            <w:tcW w:w="4615" w:type="dxa"/>
          </w:tcPr>
          <w:p w14:paraId="0AB66A70" w14:textId="77777777" w:rsidR="006F76EB" w:rsidRPr="00834D52" w:rsidRDefault="006F76EB" w:rsidP="009A0FA0">
            <w:pPr>
              <w:tabs>
                <w:tab w:val="left" w:pos="1134"/>
              </w:tabs>
              <w:spacing w:after="160" w:line="336" w:lineRule="auto"/>
              <w:ind w:right="-6" w:firstLine="567"/>
              <w:rPr>
                <w:rFonts w:ascii="Sylfaen" w:eastAsia="Times New Roman" w:hAnsi="Sylfaen" w:cs="Times New Roman"/>
                <w:sz w:val="24"/>
                <w:szCs w:val="24"/>
              </w:rPr>
            </w:pPr>
            <w:r w:rsidRPr="00834D52">
              <w:rPr>
                <w:rFonts w:ascii="Sylfaen" w:hAnsi="Sylfaen"/>
                <w:sz w:val="24"/>
                <w:szCs w:val="24"/>
              </w:rPr>
              <w:t>3.3.1.</w:t>
            </w:r>
            <w:r w:rsidRPr="00834D52">
              <w:rPr>
                <w:rFonts w:ascii="Sylfaen" w:hAnsi="Sylfaen"/>
                <w:sz w:val="24"/>
                <w:szCs w:val="24"/>
              </w:rPr>
              <w:tab/>
              <w:t>Բացթողման առաջարկվող կատեգորիան.</w:t>
            </w:r>
          </w:p>
        </w:tc>
        <w:tc>
          <w:tcPr>
            <w:tcW w:w="4685" w:type="dxa"/>
          </w:tcPr>
          <w:p w14:paraId="131E1039" w14:textId="77777777" w:rsidR="006F76EB" w:rsidRPr="00834D52" w:rsidRDefault="00FC294A"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1AE766C0">
                <v:rect id="_x0000_s1226" style="position:absolute;left:0;text-align:left;margin-left:1.9pt;margin-top:6.7pt;width:12.75pt;height:12pt;z-index:251739648;mso-position-horizontal-relative:text;mso-position-vertical-relative:text"/>
              </w:pict>
            </w:r>
            <w:r w:rsidR="006F76EB" w:rsidRPr="00834D52">
              <w:rPr>
                <w:rFonts w:ascii="Sylfaen" w:hAnsi="Sylfaen"/>
                <w:sz w:val="24"/>
                <w:szCs w:val="24"/>
              </w:rPr>
              <w:t>առանց դեղատոմսի</w:t>
            </w:r>
          </w:p>
        </w:tc>
      </w:tr>
      <w:tr w:rsidR="006F76EB" w:rsidRPr="00834D52" w14:paraId="54BE74EA" w14:textId="77777777" w:rsidTr="007527B5">
        <w:tc>
          <w:tcPr>
            <w:tcW w:w="4615" w:type="dxa"/>
          </w:tcPr>
          <w:p w14:paraId="40A5CD80" w14:textId="77777777" w:rsidR="006F76EB" w:rsidRPr="00834D52" w:rsidRDefault="006F76EB" w:rsidP="00F71229">
            <w:pPr>
              <w:spacing w:after="160" w:line="336" w:lineRule="auto"/>
              <w:ind w:right="-6"/>
              <w:rPr>
                <w:rFonts w:ascii="Sylfaen" w:eastAsia="Times New Roman" w:hAnsi="Sylfaen" w:cs="Times New Roman"/>
                <w:sz w:val="24"/>
                <w:szCs w:val="24"/>
              </w:rPr>
            </w:pPr>
          </w:p>
        </w:tc>
        <w:tc>
          <w:tcPr>
            <w:tcW w:w="4685" w:type="dxa"/>
          </w:tcPr>
          <w:p w14:paraId="33C9834A" w14:textId="77777777" w:rsidR="006F76EB" w:rsidRPr="00834D52" w:rsidRDefault="00FC294A" w:rsidP="00F71229">
            <w:pPr>
              <w:spacing w:after="160" w:line="336" w:lineRule="auto"/>
              <w:ind w:left="632" w:right="-6"/>
              <w:rPr>
                <w:rFonts w:ascii="Sylfaen" w:eastAsia="Times New Roman" w:hAnsi="Sylfaen" w:cs="Times New Roman"/>
                <w:sz w:val="24"/>
                <w:szCs w:val="24"/>
              </w:rPr>
            </w:pPr>
            <w:r>
              <w:rPr>
                <w:rFonts w:ascii="Sylfaen" w:eastAsia="Times New Roman" w:hAnsi="Sylfaen" w:cs="Times New Roman"/>
                <w:noProof/>
                <w:sz w:val="24"/>
                <w:szCs w:val="24"/>
              </w:rPr>
              <w:pict w14:anchorId="3A5D838E">
                <v:rect id="_x0000_s1227" style="position:absolute;left:0;text-align:left;margin-left:1.9pt;margin-top:5.6pt;width:12.75pt;height:12pt;z-index:251740672;mso-position-horizontal-relative:text;mso-position-vertical-relative:text"/>
              </w:pict>
            </w:r>
            <w:r w:rsidR="006F76EB" w:rsidRPr="00834D52">
              <w:rPr>
                <w:rFonts w:ascii="Sylfaen" w:hAnsi="Sylfaen"/>
                <w:sz w:val="24"/>
                <w:szCs w:val="24"/>
              </w:rPr>
              <w:t>ստացիոնար պայմաններում</w:t>
            </w:r>
          </w:p>
        </w:tc>
      </w:tr>
    </w:tbl>
    <w:p w14:paraId="29981657"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lastRenderedPageBreak/>
        <w:t>3.4.</w:t>
      </w:r>
      <w:r w:rsidRPr="00834D52">
        <w:rPr>
          <w:rFonts w:ascii="Sylfaen" w:hAnsi="Sylfaen"/>
          <w:sz w:val="24"/>
          <w:szCs w:val="24"/>
          <w:lang w:val="en-US"/>
        </w:rPr>
        <w:tab/>
      </w:r>
      <w:r w:rsidRPr="00834D52">
        <w:rPr>
          <w:rFonts w:ascii="Sylfaen" w:hAnsi="Sylfaen"/>
          <w:sz w:val="24"/>
          <w:szCs w:val="24"/>
        </w:rPr>
        <w:t>Գրանցման հավաստագրի իրավատերը</w:t>
      </w:r>
    </w:p>
    <w:p w14:paraId="4A9DDF92" w14:textId="77777777" w:rsidR="006F76EB" w:rsidRPr="00834D52" w:rsidRDefault="006F76EB" w:rsidP="009A0FA0">
      <w:pPr>
        <w:tabs>
          <w:tab w:val="left" w:pos="1701"/>
        </w:tabs>
        <w:spacing w:after="160" w:line="336" w:lineRule="auto"/>
        <w:ind w:right="-8" w:firstLine="567"/>
        <w:rPr>
          <w:rFonts w:ascii="Sylfaen" w:eastAsia="Times New Roman" w:hAnsi="Sylfaen" w:cs="Times New Roman"/>
          <w:sz w:val="24"/>
          <w:szCs w:val="24"/>
          <w:lang w:val="en-US"/>
        </w:rPr>
      </w:pPr>
      <w:r w:rsidRPr="00834D52">
        <w:rPr>
          <w:rFonts w:ascii="Sylfaen" w:hAnsi="Sylfaen"/>
          <w:sz w:val="24"/>
          <w:szCs w:val="24"/>
        </w:rPr>
        <w:t>3.4.1.</w:t>
      </w:r>
      <w:r w:rsidRPr="00834D52">
        <w:rPr>
          <w:rFonts w:ascii="Sylfaen" w:hAnsi="Sylfaen"/>
          <w:sz w:val="24"/>
          <w:szCs w:val="24"/>
        </w:rPr>
        <w:tab/>
        <w:t>Գրանցման հավաստագրի իրավատերը՝</w:t>
      </w:r>
    </w:p>
    <w:tbl>
      <w:tblPr>
        <w:tblW w:w="0" w:type="auto"/>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79E5DDC1"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2596C75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3794" w:type="dxa"/>
            <w:tcBorders>
              <w:top w:val="single" w:sz="4" w:space="0" w:color="000000"/>
              <w:left w:val="single" w:sz="4" w:space="0" w:color="000000"/>
              <w:bottom w:val="single" w:sz="4" w:space="0" w:color="000000"/>
              <w:right w:val="single" w:sz="4" w:space="0" w:color="000000"/>
            </w:tcBorders>
          </w:tcPr>
          <w:p w14:paraId="2469621E"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FA3A843"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279328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հասցեն</w:t>
            </w:r>
          </w:p>
        </w:tc>
        <w:tc>
          <w:tcPr>
            <w:tcW w:w="3794" w:type="dxa"/>
            <w:tcBorders>
              <w:top w:val="single" w:sz="4" w:space="0" w:color="000000"/>
              <w:left w:val="single" w:sz="4" w:space="0" w:color="000000"/>
              <w:bottom w:val="single" w:sz="4" w:space="0" w:color="000000"/>
              <w:right w:val="single" w:sz="4" w:space="0" w:color="000000"/>
            </w:tcBorders>
          </w:tcPr>
          <w:p w14:paraId="7E94DB0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3BF93684"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347AE18A"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794" w:type="dxa"/>
            <w:tcBorders>
              <w:top w:val="single" w:sz="4" w:space="0" w:color="000000"/>
              <w:left w:val="single" w:sz="4" w:space="0" w:color="000000"/>
              <w:bottom w:val="single" w:sz="4" w:space="0" w:color="000000"/>
              <w:right w:val="single" w:sz="4" w:space="0" w:color="000000"/>
            </w:tcBorders>
          </w:tcPr>
          <w:p w14:paraId="692B44BF"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52546E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62AD4BB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D3E2BD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5116A610"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421CE2CE"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6935D419" w14:textId="77777777" w:rsidR="006F76EB" w:rsidRPr="00834D52" w:rsidRDefault="006F76EB" w:rsidP="009A0FA0">
            <w:pPr>
              <w:spacing w:after="120" w:line="240" w:lineRule="auto"/>
              <w:ind w:right="-8"/>
              <w:rPr>
                <w:rFonts w:ascii="Sylfaen" w:hAnsi="Sylfaen"/>
                <w:sz w:val="24"/>
                <w:szCs w:val="24"/>
              </w:rPr>
            </w:pPr>
          </w:p>
        </w:tc>
      </w:tr>
    </w:tbl>
    <w:p w14:paraId="6CED8BA0" w14:textId="791A51C7" w:rsidR="006F76EB" w:rsidRPr="00834D52" w:rsidRDefault="006F76EB" w:rsidP="009A0FA0">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3.4.2.</w:t>
      </w:r>
      <w:r w:rsidRPr="00834D52">
        <w:rPr>
          <w:rFonts w:ascii="Sylfaen" w:hAnsi="Sylfaen"/>
          <w:sz w:val="24"/>
          <w:szCs w:val="24"/>
        </w:rPr>
        <w:tab/>
        <w:t xml:space="preserve">Գրանցման հավաստագրի իրավատիրոջ ներկայացուցիչը (գրանցման հավաստագրի իրավատիրոջ անունից հանդես եկող անձը՝ </w:t>
      </w:r>
      <w:r w:rsidR="0056496B">
        <w:rPr>
          <w:rFonts w:ascii="Sylfaen" w:hAnsi="Sylfaen"/>
          <w:sz w:val="24"/>
          <w:szCs w:val="24"/>
        </w:rPr>
        <w:t>դիմումատու</w:t>
      </w:r>
      <w:r w:rsidRPr="00834D52">
        <w:rPr>
          <w:rFonts w:ascii="Sylfaen" w:hAnsi="Sylfaen"/>
          <w:sz w:val="24"/>
          <w:szCs w:val="24"/>
        </w:rPr>
        <w:t>ն)՝</w:t>
      </w:r>
    </w:p>
    <w:tbl>
      <w:tblPr>
        <w:tblW w:w="9609" w:type="dxa"/>
        <w:tblInd w:w="109" w:type="dxa"/>
        <w:tblLayout w:type="fixed"/>
        <w:tblCellMar>
          <w:left w:w="0" w:type="dxa"/>
          <w:right w:w="0" w:type="dxa"/>
        </w:tblCellMar>
        <w:tblLook w:val="01E0" w:firstRow="1" w:lastRow="1" w:firstColumn="1" w:lastColumn="1" w:noHBand="0" w:noVBand="0"/>
      </w:tblPr>
      <w:tblGrid>
        <w:gridCol w:w="5815"/>
        <w:gridCol w:w="3794"/>
      </w:tblGrid>
      <w:tr w:rsidR="006F76EB" w:rsidRPr="00834D52" w14:paraId="4916E25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701274D4"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անվանումը կամ ֆիզիկական անձի ազգանունը, անունը, հայրանունը</w:t>
            </w:r>
          </w:p>
        </w:tc>
        <w:tc>
          <w:tcPr>
            <w:tcW w:w="3794" w:type="dxa"/>
            <w:tcBorders>
              <w:top w:val="single" w:sz="4" w:space="0" w:color="000000"/>
              <w:left w:val="single" w:sz="4" w:space="0" w:color="000000"/>
              <w:bottom w:val="single" w:sz="4" w:space="0" w:color="000000"/>
              <w:right w:val="single" w:sz="4" w:space="0" w:color="000000"/>
            </w:tcBorders>
          </w:tcPr>
          <w:p w14:paraId="0F18E50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C9D70F6"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DF5B7D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794" w:type="dxa"/>
            <w:tcBorders>
              <w:top w:val="single" w:sz="4" w:space="0" w:color="000000"/>
              <w:left w:val="single" w:sz="4" w:space="0" w:color="000000"/>
              <w:bottom w:val="single" w:sz="4" w:space="0" w:color="000000"/>
              <w:right w:val="single" w:sz="4" w:space="0" w:color="000000"/>
            </w:tcBorders>
          </w:tcPr>
          <w:p w14:paraId="269A683B" w14:textId="77777777" w:rsidR="006F76EB" w:rsidRPr="00834D52" w:rsidRDefault="006F76EB" w:rsidP="009A0FA0">
            <w:pPr>
              <w:spacing w:after="120" w:line="240" w:lineRule="auto"/>
              <w:ind w:right="-8"/>
              <w:rPr>
                <w:rFonts w:ascii="Sylfaen" w:hAnsi="Sylfaen"/>
                <w:sz w:val="24"/>
                <w:szCs w:val="24"/>
              </w:rPr>
            </w:pPr>
          </w:p>
        </w:tc>
      </w:tr>
      <w:tr w:rsidR="006F76EB" w:rsidRPr="00834D52" w14:paraId="6A9A8375" w14:textId="77777777" w:rsidTr="00F71229">
        <w:tc>
          <w:tcPr>
            <w:tcW w:w="5815" w:type="dxa"/>
            <w:tcBorders>
              <w:top w:val="single" w:sz="4" w:space="0" w:color="000000"/>
              <w:left w:val="single" w:sz="4" w:space="0" w:color="000000"/>
              <w:bottom w:val="single" w:sz="4" w:space="0" w:color="000000"/>
              <w:right w:val="single" w:sz="4" w:space="0" w:color="000000"/>
            </w:tcBorders>
          </w:tcPr>
          <w:p w14:paraId="0F033276"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794" w:type="dxa"/>
            <w:tcBorders>
              <w:top w:val="single" w:sz="4" w:space="0" w:color="000000"/>
              <w:left w:val="single" w:sz="4" w:space="0" w:color="000000"/>
              <w:bottom w:val="single" w:sz="4" w:space="0" w:color="000000"/>
              <w:right w:val="single" w:sz="4" w:space="0" w:color="000000"/>
            </w:tcBorders>
          </w:tcPr>
          <w:p w14:paraId="08B388FA" w14:textId="77777777" w:rsidR="006F76EB" w:rsidRPr="00834D52" w:rsidRDefault="006F76EB" w:rsidP="009A0FA0">
            <w:pPr>
              <w:spacing w:after="120" w:line="240" w:lineRule="auto"/>
              <w:ind w:right="-8"/>
              <w:rPr>
                <w:rFonts w:ascii="Sylfaen" w:hAnsi="Sylfaen"/>
                <w:sz w:val="24"/>
                <w:szCs w:val="24"/>
              </w:rPr>
            </w:pPr>
          </w:p>
        </w:tc>
      </w:tr>
    </w:tbl>
    <w:p w14:paraId="44B218E3" w14:textId="7C448BD8"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Սույն կետը լրացնելիս կցե՛ք գրանցման հավաստագրի իրավատիրոջ անունից իրավաբանական նշանակություն ունեցող գործողություններ կատարելու լիազորագիրը (սույն </w:t>
      </w:r>
      <w:r w:rsidR="0056496B">
        <w:rPr>
          <w:rFonts w:ascii="Sylfaen" w:hAnsi="Sylfaen"/>
          <w:sz w:val="24"/>
          <w:szCs w:val="24"/>
        </w:rPr>
        <w:t>դիմում</w:t>
      </w:r>
      <w:r w:rsidRPr="00834D52">
        <w:rPr>
          <w:rFonts w:ascii="Sylfaen" w:hAnsi="Sylfaen"/>
          <w:sz w:val="24"/>
          <w:szCs w:val="24"/>
        </w:rPr>
        <w:t>ի հավելվածի 5.1 ենթակետ):</w:t>
      </w:r>
    </w:p>
    <w:p w14:paraId="7F71A031" w14:textId="15653F7F" w:rsidR="006F76EB" w:rsidRPr="00834D52" w:rsidRDefault="006F76EB" w:rsidP="009A0FA0">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3.4.3.</w:t>
      </w:r>
      <w:r w:rsidRPr="00834D52">
        <w:rPr>
          <w:rFonts w:ascii="Sylfaen" w:hAnsi="Sylfaen"/>
          <w:sz w:val="24"/>
          <w:szCs w:val="24"/>
        </w:rPr>
        <w:tab/>
        <w:t xml:space="preserve">Դեղապատրաստուկի գրանցումից հետո </w:t>
      </w:r>
      <w:r w:rsidR="0056496B">
        <w:rPr>
          <w:rFonts w:ascii="Sylfaen" w:hAnsi="Sylfaen"/>
          <w:sz w:val="24"/>
          <w:szCs w:val="24"/>
        </w:rPr>
        <w:t>դիմումատու</w:t>
      </w:r>
      <w:r w:rsidRPr="00834D52">
        <w:rPr>
          <w:rFonts w:ascii="Sylfaen" w:hAnsi="Sylfaen"/>
          <w:sz w:val="24"/>
          <w:szCs w:val="24"/>
        </w:rPr>
        <w:t>ի ներկայացուցիչը (</w:t>
      </w:r>
      <w:r w:rsidR="0056496B">
        <w:rPr>
          <w:rFonts w:ascii="Sylfaen" w:hAnsi="Sylfaen"/>
          <w:sz w:val="24"/>
          <w:szCs w:val="24"/>
        </w:rPr>
        <w:t>դիմումատու</w:t>
      </w:r>
      <w:r w:rsidRPr="00834D52">
        <w:rPr>
          <w:rFonts w:ascii="Sylfaen" w:hAnsi="Sylfaen"/>
          <w:sz w:val="24"/>
          <w:szCs w:val="24"/>
        </w:rPr>
        <w:t xml:space="preserve">ի անունից հանդես եկող անձը), եթե նրանք տարբերվում են սույն </w:t>
      </w:r>
      <w:r w:rsidR="0056496B">
        <w:rPr>
          <w:rFonts w:ascii="Sylfaen" w:hAnsi="Sylfaen"/>
          <w:sz w:val="24"/>
          <w:szCs w:val="24"/>
        </w:rPr>
        <w:t>դիմում</w:t>
      </w:r>
      <w:r w:rsidRPr="00834D52">
        <w:rPr>
          <w:rFonts w:ascii="Sylfaen" w:hAnsi="Sylfaen"/>
          <w:sz w:val="24"/>
          <w:szCs w:val="24"/>
        </w:rPr>
        <w:t>ի 3.4.2 ենթակետում ներկայացվածներից՝</w:t>
      </w:r>
    </w:p>
    <w:tbl>
      <w:tblPr>
        <w:tblW w:w="9610" w:type="dxa"/>
        <w:tblInd w:w="109" w:type="dxa"/>
        <w:tblLayout w:type="fixed"/>
        <w:tblCellMar>
          <w:left w:w="0" w:type="dxa"/>
          <w:right w:w="0" w:type="dxa"/>
        </w:tblCellMar>
        <w:tblLook w:val="01E0" w:firstRow="1" w:lastRow="1" w:firstColumn="1" w:lastColumn="1" w:noHBand="0" w:noVBand="0"/>
      </w:tblPr>
      <w:tblGrid>
        <w:gridCol w:w="5992"/>
        <w:gridCol w:w="3618"/>
      </w:tblGrid>
      <w:tr w:rsidR="006F76EB" w:rsidRPr="00834D52" w14:paraId="4E7B35A1"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1B6EF0" w14:textId="67A3F001" w:rsidR="006F76EB" w:rsidRPr="00834D52" w:rsidRDefault="0056496B" w:rsidP="009A0FA0">
            <w:pPr>
              <w:spacing w:after="120" w:line="240" w:lineRule="auto"/>
              <w:ind w:left="186" w:right="277"/>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ներկայացուցչի ազգանունը, անունը, հայրանունը կամ իրավաբանական անձի անվանումը</w:t>
            </w:r>
          </w:p>
        </w:tc>
        <w:tc>
          <w:tcPr>
            <w:tcW w:w="3618" w:type="dxa"/>
            <w:tcBorders>
              <w:top w:val="single" w:sz="4" w:space="0" w:color="000000"/>
              <w:left w:val="single" w:sz="4" w:space="0" w:color="000000"/>
              <w:bottom w:val="single" w:sz="4" w:space="0" w:color="000000"/>
              <w:right w:val="single" w:sz="4" w:space="0" w:color="000000"/>
            </w:tcBorders>
          </w:tcPr>
          <w:p w14:paraId="487BBFD5" w14:textId="77777777" w:rsidR="006F76EB" w:rsidRPr="00834D52" w:rsidRDefault="006F76EB" w:rsidP="009A0FA0">
            <w:pPr>
              <w:spacing w:after="120" w:line="240" w:lineRule="auto"/>
              <w:ind w:right="-8"/>
              <w:rPr>
                <w:rFonts w:ascii="Sylfaen" w:hAnsi="Sylfaen"/>
                <w:sz w:val="24"/>
                <w:szCs w:val="24"/>
              </w:rPr>
            </w:pPr>
          </w:p>
        </w:tc>
      </w:tr>
      <w:tr w:rsidR="006F76EB" w:rsidRPr="00834D52" w14:paraId="2A84D8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67C546DD"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իրավաբանական անձի իրավաբանական հասցեն</w:t>
            </w:r>
          </w:p>
        </w:tc>
        <w:tc>
          <w:tcPr>
            <w:tcW w:w="3618" w:type="dxa"/>
            <w:tcBorders>
              <w:top w:val="single" w:sz="4" w:space="0" w:color="000000"/>
              <w:left w:val="single" w:sz="4" w:space="0" w:color="000000"/>
              <w:bottom w:val="single" w:sz="4" w:space="0" w:color="000000"/>
              <w:right w:val="single" w:sz="4" w:space="0" w:color="000000"/>
            </w:tcBorders>
          </w:tcPr>
          <w:p w14:paraId="163C8346" w14:textId="77777777" w:rsidR="006F76EB" w:rsidRPr="00834D52" w:rsidRDefault="006F76EB" w:rsidP="009A0FA0">
            <w:pPr>
              <w:spacing w:after="120" w:line="240" w:lineRule="auto"/>
              <w:ind w:right="-8"/>
              <w:rPr>
                <w:rFonts w:ascii="Sylfaen" w:hAnsi="Sylfaen"/>
                <w:sz w:val="24"/>
                <w:szCs w:val="24"/>
              </w:rPr>
            </w:pPr>
          </w:p>
        </w:tc>
      </w:tr>
      <w:tr w:rsidR="006F76EB" w:rsidRPr="00834D52" w14:paraId="7B21D15C"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45854377"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պետությունը</w:t>
            </w:r>
          </w:p>
        </w:tc>
        <w:tc>
          <w:tcPr>
            <w:tcW w:w="3618" w:type="dxa"/>
            <w:tcBorders>
              <w:top w:val="single" w:sz="4" w:space="0" w:color="000000"/>
              <w:left w:val="single" w:sz="4" w:space="0" w:color="000000"/>
              <w:bottom w:val="single" w:sz="4" w:space="0" w:color="000000"/>
              <w:right w:val="single" w:sz="4" w:space="0" w:color="000000"/>
            </w:tcBorders>
          </w:tcPr>
          <w:p w14:paraId="247A191A" w14:textId="77777777" w:rsidR="006F76EB" w:rsidRPr="00834D52" w:rsidRDefault="006F76EB" w:rsidP="009A0FA0">
            <w:pPr>
              <w:spacing w:after="120" w:line="240" w:lineRule="auto"/>
              <w:ind w:right="-8"/>
              <w:rPr>
                <w:rFonts w:ascii="Sylfaen" w:hAnsi="Sylfaen"/>
                <w:sz w:val="24"/>
                <w:szCs w:val="24"/>
              </w:rPr>
            </w:pPr>
          </w:p>
        </w:tc>
      </w:tr>
      <w:tr w:rsidR="006F76EB" w:rsidRPr="00834D52" w14:paraId="0F3D10FE"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5B69AB3C"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18" w:type="dxa"/>
            <w:tcBorders>
              <w:top w:val="single" w:sz="4" w:space="0" w:color="000000"/>
              <w:left w:val="single" w:sz="4" w:space="0" w:color="000000"/>
              <w:bottom w:val="single" w:sz="4" w:space="0" w:color="000000"/>
              <w:right w:val="single" w:sz="4" w:space="0" w:color="000000"/>
            </w:tcBorders>
          </w:tcPr>
          <w:p w14:paraId="7FDAFD87" w14:textId="77777777" w:rsidR="006F76EB" w:rsidRPr="00834D52" w:rsidRDefault="006F76EB" w:rsidP="009A0FA0">
            <w:pPr>
              <w:spacing w:after="120" w:line="240" w:lineRule="auto"/>
              <w:ind w:right="-8"/>
              <w:rPr>
                <w:rFonts w:ascii="Sylfaen" w:hAnsi="Sylfaen"/>
                <w:sz w:val="24"/>
                <w:szCs w:val="24"/>
              </w:rPr>
            </w:pPr>
          </w:p>
        </w:tc>
      </w:tr>
      <w:tr w:rsidR="006F76EB" w:rsidRPr="00834D52" w14:paraId="478D7880" w14:textId="77777777" w:rsidTr="00827072">
        <w:tc>
          <w:tcPr>
            <w:tcW w:w="5992" w:type="dxa"/>
            <w:tcBorders>
              <w:top w:val="single" w:sz="4" w:space="0" w:color="000000"/>
              <w:left w:val="single" w:sz="4" w:space="0" w:color="000000"/>
              <w:bottom w:val="single" w:sz="4" w:space="0" w:color="000000"/>
              <w:right w:val="single" w:sz="4" w:space="0" w:color="000000"/>
            </w:tcBorders>
          </w:tcPr>
          <w:p w14:paraId="34C197F2" w14:textId="77777777" w:rsidR="006F76EB" w:rsidRPr="00834D52" w:rsidRDefault="006F76EB" w:rsidP="009A0FA0">
            <w:pPr>
              <w:spacing w:after="120" w:line="240" w:lineRule="auto"/>
              <w:ind w:left="186" w:right="277"/>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18" w:type="dxa"/>
            <w:tcBorders>
              <w:top w:val="single" w:sz="4" w:space="0" w:color="000000"/>
              <w:left w:val="single" w:sz="4" w:space="0" w:color="000000"/>
              <w:bottom w:val="single" w:sz="4" w:space="0" w:color="000000"/>
              <w:right w:val="single" w:sz="4" w:space="0" w:color="000000"/>
            </w:tcBorders>
          </w:tcPr>
          <w:p w14:paraId="01EEF72F" w14:textId="77777777" w:rsidR="006F76EB" w:rsidRPr="00834D52" w:rsidRDefault="006F76EB" w:rsidP="009A0FA0">
            <w:pPr>
              <w:spacing w:after="120" w:line="240" w:lineRule="auto"/>
              <w:ind w:right="-8"/>
              <w:rPr>
                <w:rFonts w:ascii="Sylfaen" w:hAnsi="Sylfaen"/>
                <w:sz w:val="24"/>
                <w:szCs w:val="24"/>
              </w:rPr>
            </w:pPr>
          </w:p>
        </w:tc>
      </w:tr>
    </w:tbl>
    <w:p w14:paraId="1954A9B6" w14:textId="3A34EA46" w:rsidR="006F76EB" w:rsidRPr="009A0FA0" w:rsidRDefault="006F76EB" w:rsidP="006F76EB">
      <w:pPr>
        <w:spacing w:after="160" w:line="360" w:lineRule="auto"/>
        <w:ind w:right="-8" w:firstLine="567"/>
        <w:jc w:val="both"/>
        <w:rPr>
          <w:rFonts w:ascii="Sylfaen" w:eastAsia="Times New Roman" w:hAnsi="Sylfaen" w:cs="Times New Roman"/>
          <w:spacing w:val="-6"/>
          <w:sz w:val="24"/>
          <w:szCs w:val="24"/>
        </w:rPr>
      </w:pPr>
      <w:r w:rsidRPr="009A0FA0">
        <w:rPr>
          <w:rFonts w:ascii="Sylfaen" w:hAnsi="Sylfaen"/>
          <w:spacing w:val="-6"/>
          <w:sz w:val="24"/>
          <w:szCs w:val="24"/>
        </w:rPr>
        <w:lastRenderedPageBreak/>
        <w:t xml:space="preserve">Սույն կետը լրացնելիս կցե՛ք լիազորագիրը (սույն </w:t>
      </w:r>
      <w:r w:rsidR="0056496B">
        <w:rPr>
          <w:rFonts w:ascii="Sylfaen" w:hAnsi="Sylfaen"/>
          <w:spacing w:val="-6"/>
          <w:sz w:val="24"/>
          <w:szCs w:val="24"/>
        </w:rPr>
        <w:t>դիմում</w:t>
      </w:r>
      <w:r w:rsidRPr="009A0FA0">
        <w:rPr>
          <w:rFonts w:ascii="Sylfaen" w:hAnsi="Sylfaen"/>
          <w:spacing w:val="-6"/>
          <w:sz w:val="24"/>
          <w:szCs w:val="24"/>
        </w:rPr>
        <w:t>ի հավելվածի 5.1 ենթակետ):</w:t>
      </w:r>
    </w:p>
    <w:p w14:paraId="5FFF621D" w14:textId="77777777" w:rsidR="006F76EB" w:rsidRPr="00834D52" w:rsidRDefault="006F76EB" w:rsidP="00827072">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3.4.4.</w:t>
      </w:r>
      <w:r w:rsidRPr="00834D52">
        <w:rPr>
          <w:rFonts w:ascii="Sylfaen" w:hAnsi="Sylfaen"/>
          <w:sz w:val="24"/>
          <w:szCs w:val="24"/>
        </w:rPr>
        <w:tab/>
        <w:t>Գրանցման հավաստագրի իրավատիրոջ՝ դեղազգոնության համար պատասխանատու լիազորված անձը՝</w:t>
      </w:r>
    </w:p>
    <w:tbl>
      <w:tblPr>
        <w:tblStyle w:val="TableGrid"/>
        <w:tblW w:w="0" w:type="auto"/>
        <w:tblInd w:w="250" w:type="dxa"/>
        <w:tblLook w:val="04A0" w:firstRow="1" w:lastRow="0" w:firstColumn="1" w:lastColumn="0" w:noHBand="0" w:noVBand="1"/>
      </w:tblPr>
      <w:tblGrid>
        <w:gridCol w:w="5954"/>
        <w:gridCol w:w="3096"/>
      </w:tblGrid>
      <w:tr w:rsidR="006F76EB" w:rsidRPr="00834D52" w14:paraId="6A5B8E19" w14:textId="77777777" w:rsidTr="00183A19">
        <w:tc>
          <w:tcPr>
            <w:tcW w:w="5954" w:type="dxa"/>
          </w:tcPr>
          <w:p w14:paraId="6363D8CF" w14:textId="77777777" w:rsidR="006F76EB" w:rsidRPr="00834D52" w:rsidRDefault="006F76EB" w:rsidP="00827072">
            <w:pPr>
              <w:spacing w:after="120"/>
              <w:ind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w:t>
            </w:r>
          </w:p>
        </w:tc>
        <w:tc>
          <w:tcPr>
            <w:tcW w:w="3096" w:type="dxa"/>
          </w:tcPr>
          <w:p w14:paraId="08817B15" w14:textId="77777777" w:rsidR="006F76EB" w:rsidRPr="00834D52" w:rsidRDefault="006F76EB" w:rsidP="00827072">
            <w:pPr>
              <w:spacing w:after="120"/>
              <w:ind w:right="-6"/>
              <w:rPr>
                <w:rFonts w:ascii="Sylfaen" w:hAnsi="Sylfaen"/>
                <w:sz w:val="24"/>
                <w:szCs w:val="24"/>
              </w:rPr>
            </w:pPr>
          </w:p>
        </w:tc>
      </w:tr>
      <w:tr w:rsidR="006F76EB" w:rsidRPr="00834D52" w14:paraId="66660C59" w14:textId="77777777" w:rsidTr="00183A19">
        <w:tc>
          <w:tcPr>
            <w:tcW w:w="5954" w:type="dxa"/>
          </w:tcPr>
          <w:p w14:paraId="55673B2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3096" w:type="dxa"/>
          </w:tcPr>
          <w:p w14:paraId="74547053" w14:textId="77777777" w:rsidR="006F76EB" w:rsidRPr="00834D52" w:rsidRDefault="006F76EB" w:rsidP="00827072">
            <w:pPr>
              <w:spacing w:after="120"/>
              <w:ind w:right="-6"/>
              <w:rPr>
                <w:rFonts w:ascii="Sylfaen" w:hAnsi="Sylfaen"/>
                <w:sz w:val="24"/>
                <w:szCs w:val="24"/>
              </w:rPr>
            </w:pPr>
          </w:p>
        </w:tc>
      </w:tr>
      <w:tr w:rsidR="006F76EB" w:rsidRPr="00834D52" w14:paraId="1DDC4F64" w14:textId="77777777" w:rsidTr="00183A19">
        <w:tc>
          <w:tcPr>
            <w:tcW w:w="5954" w:type="dxa"/>
          </w:tcPr>
          <w:p w14:paraId="73F49742"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իրավաբանական հասցեն</w:t>
            </w:r>
          </w:p>
        </w:tc>
        <w:tc>
          <w:tcPr>
            <w:tcW w:w="3096" w:type="dxa"/>
          </w:tcPr>
          <w:p w14:paraId="095BB285" w14:textId="77777777" w:rsidR="006F76EB" w:rsidRPr="00834D52" w:rsidRDefault="006F76EB" w:rsidP="00827072">
            <w:pPr>
              <w:spacing w:after="120"/>
              <w:ind w:right="-6"/>
              <w:rPr>
                <w:rFonts w:ascii="Sylfaen" w:hAnsi="Sylfaen"/>
                <w:sz w:val="24"/>
                <w:szCs w:val="24"/>
              </w:rPr>
            </w:pPr>
          </w:p>
        </w:tc>
      </w:tr>
      <w:tr w:rsidR="006F76EB" w:rsidRPr="00834D52" w14:paraId="2151584D" w14:textId="77777777" w:rsidTr="00183A19">
        <w:tc>
          <w:tcPr>
            <w:tcW w:w="5954" w:type="dxa"/>
          </w:tcPr>
          <w:p w14:paraId="27DE7636"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096" w:type="dxa"/>
          </w:tcPr>
          <w:p w14:paraId="1C69C904" w14:textId="77777777" w:rsidR="006F76EB" w:rsidRPr="00834D52" w:rsidRDefault="006F76EB" w:rsidP="00827072">
            <w:pPr>
              <w:spacing w:after="120"/>
              <w:ind w:right="-6"/>
              <w:rPr>
                <w:rFonts w:ascii="Sylfaen" w:hAnsi="Sylfaen"/>
                <w:sz w:val="24"/>
                <w:szCs w:val="24"/>
              </w:rPr>
            </w:pPr>
          </w:p>
        </w:tc>
      </w:tr>
      <w:tr w:rsidR="006F76EB" w:rsidRPr="00834D52" w14:paraId="4C46667C" w14:textId="77777777" w:rsidTr="00183A19">
        <w:tc>
          <w:tcPr>
            <w:tcW w:w="5954" w:type="dxa"/>
          </w:tcPr>
          <w:p w14:paraId="48B53E24"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3096" w:type="dxa"/>
          </w:tcPr>
          <w:p w14:paraId="6C1DBF72" w14:textId="77777777" w:rsidR="006F76EB" w:rsidRPr="00834D52" w:rsidRDefault="006F76EB" w:rsidP="00827072">
            <w:pPr>
              <w:spacing w:after="120"/>
              <w:ind w:right="-6"/>
              <w:rPr>
                <w:rFonts w:ascii="Sylfaen" w:hAnsi="Sylfaen"/>
                <w:sz w:val="24"/>
                <w:szCs w:val="24"/>
              </w:rPr>
            </w:pPr>
          </w:p>
        </w:tc>
      </w:tr>
      <w:tr w:rsidR="006F76EB" w:rsidRPr="00834D52" w14:paraId="04259F83" w14:textId="77777777" w:rsidTr="00183A19">
        <w:tc>
          <w:tcPr>
            <w:tcW w:w="5954" w:type="dxa"/>
          </w:tcPr>
          <w:p w14:paraId="43D67671" w14:textId="77777777" w:rsidR="006F76EB" w:rsidRPr="00834D52" w:rsidRDefault="006F76EB" w:rsidP="00827072">
            <w:pPr>
              <w:spacing w:after="120"/>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096" w:type="dxa"/>
          </w:tcPr>
          <w:p w14:paraId="158AAD43" w14:textId="77777777" w:rsidR="006F76EB" w:rsidRPr="00834D52" w:rsidRDefault="006F76EB" w:rsidP="00827072">
            <w:pPr>
              <w:spacing w:after="120"/>
              <w:ind w:right="-6"/>
              <w:rPr>
                <w:rFonts w:ascii="Sylfaen" w:hAnsi="Sylfaen"/>
                <w:sz w:val="24"/>
                <w:szCs w:val="24"/>
              </w:rPr>
            </w:pPr>
          </w:p>
        </w:tc>
      </w:tr>
    </w:tbl>
    <w:p w14:paraId="32651299"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Նշե՛ք գրանցման հավաստագրի իրավատիրոջ՝ դեղազգոնության համար պատասխանատու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w:t>
      </w:r>
    </w:p>
    <w:tbl>
      <w:tblPr>
        <w:tblStyle w:val="TableGrid"/>
        <w:tblW w:w="9639" w:type="dxa"/>
        <w:tblInd w:w="250" w:type="dxa"/>
        <w:tblLook w:val="04A0" w:firstRow="1" w:lastRow="0" w:firstColumn="1" w:lastColumn="0" w:noHBand="0" w:noVBand="1"/>
      </w:tblPr>
      <w:tblGrid>
        <w:gridCol w:w="9639"/>
      </w:tblGrid>
      <w:tr w:rsidR="006F76EB" w:rsidRPr="00834D52" w14:paraId="304E61A4" w14:textId="77777777" w:rsidTr="00F71229">
        <w:tc>
          <w:tcPr>
            <w:tcW w:w="9639" w:type="dxa"/>
          </w:tcPr>
          <w:p w14:paraId="6A873F49"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դեղազգոնության մաստեր-ֆայլը՝</w:t>
            </w:r>
          </w:p>
          <w:p w14:paraId="6193CD34"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համարը՝</w:t>
            </w:r>
          </w:p>
          <w:p w14:paraId="7E341D20" w14:textId="77777777" w:rsidR="006F76EB" w:rsidRPr="00834D52" w:rsidRDefault="006F76EB" w:rsidP="00183A19">
            <w:pPr>
              <w:spacing w:after="120"/>
              <w:ind w:right="-6"/>
              <w:jc w:val="both"/>
              <w:rPr>
                <w:rFonts w:ascii="Sylfaen" w:eastAsia="Times New Roman" w:hAnsi="Sylfaen" w:cs="Times New Roman"/>
                <w:sz w:val="24"/>
                <w:szCs w:val="24"/>
              </w:rPr>
            </w:pPr>
            <w:r w:rsidRPr="00834D52">
              <w:rPr>
                <w:rFonts w:ascii="Sylfaen" w:hAnsi="Sylfaen"/>
                <w:sz w:val="24"/>
                <w:szCs w:val="24"/>
              </w:rPr>
              <w:t>գտնվելու վայրի հասցեն՝</w:t>
            </w:r>
          </w:p>
        </w:tc>
      </w:tr>
    </w:tbl>
    <w:p w14:paraId="4A04A4B9" w14:textId="43E07CB4" w:rsidR="006F76EB" w:rsidRPr="00834D52" w:rsidRDefault="006F76EB" w:rsidP="00183A19">
      <w:pPr>
        <w:tabs>
          <w:tab w:val="left" w:pos="1701"/>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3.4.5.</w:t>
      </w:r>
      <w:r w:rsidRPr="00834D52">
        <w:rPr>
          <w:rFonts w:ascii="Sylfaen" w:hAnsi="Sylfaen"/>
          <w:sz w:val="24"/>
          <w:szCs w:val="24"/>
        </w:rPr>
        <w:tab/>
        <w:t xml:space="preserve">Եվրասիական տնտեսական միության անդամ պետությունում գրանցման հավաստագրի իրավատիրոջ՝ դեղազգոնություն իրականացնելու համար լիազորված անձը, եթե նա տարբերվում է սույն </w:t>
      </w:r>
      <w:r w:rsidR="0056496B">
        <w:rPr>
          <w:rFonts w:ascii="Sylfaen" w:hAnsi="Sylfaen"/>
          <w:sz w:val="24"/>
          <w:szCs w:val="24"/>
        </w:rPr>
        <w:t>դիմում</w:t>
      </w:r>
      <w:r w:rsidRPr="00834D52">
        <w:rPr>
          <w:rFonts w:ascii="Sylfaen" w:hAnsi="Sylfaen"/>
          <w:sz w:val="24"/>
          <w:szCs w:val="24"/>
        </w:rPr>
        <w:t>ի 3.4.4 ենթակետում նշվածից՝</w:t>
      </w:r>
    </w:p>
    <w:tbl>
      <w:tblPr>
        <w:tblW w:w="0" w:type="auto"/>
        <w:tblInd w:w="109" w:type="dxa"/>
        <w:tblLayout w:type="fixed"/>
        <w:tblCellMar>
          <w:left w:w="0" w:type="dxa"/>
          <w:right w:w="0" w:type="dxa"/>
        </w:tblCellMar>
        <w:tblLook w:val="01E0" w:firstRow="1" w:lastRow="1" w:firstColumn="1" w:lastColumn="1" w:noHBand="0" w:noVBand="0"/>
      </w:tblPr>
      <w:tblGrid>
        <w:gridCol w:w="5532"/>
        <w:gridCol w:w="4078"/>
      </w:tblGrid>
      <w:tr w:rsidR="006F76EB" w:rsidRPr="00834D52" w14:paraId="6CF15847"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2F302660"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գրանցման հավաստագրի իրավատիրոջ՝ դեղազգոնության համար պատասխանատու լիազորված անձի ազգանունը, անունը, հայրանունը</w:t>
            </w:r>
          </w:p>
        </w:tc>
        <w:tc>
          <w:tcPr>
            <w:tcW w:w="4078" w:type="dxa"/>
            <w:tcBorders>
              <w:top w:val="single" w:sz="4" w:space="0" w:color="000000"/>
              <w:left w:val="single" w:sz="4" w:space="0" w:color="000000"/>
              <w:bottom w:val="single" w:sz="4" w:space="0" w:color="000000"/>
              <w:right w:val="single" w:sz="4" w:space="0" w:color="000000"/>
            </w:tcBorders>
          </w:tcPr>
          <w:p w14:paraId="653CEA3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742F70D4"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01D48D04"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(գրանցման հավաստագրի իրավատիրոջ) անվանումը</w:t>
            </w:r>
          </w:p>
        </w:tc>
        <w:tc>
          <w:tcPr>
            <w:tcW w:w="4078" w:type="dxa"/>
            <w:tcBorders>
              <w:top w:val="single" w:sz="4" w:space="0" w:color="000000"/>
              <w:left w:val="single" w:sz="4" w:space="0" w:color="000000"/>
              <w:bottom w:val="single" w:sz="4" w:space="0" w:color="000000"/>
              <w:right w:val="single" w:sz="4" w:space="0" w:color="000000"/>
            </w:tcBorders>
          </w:tcPr>
          <w:p w14:paraId="5232713F"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D3F32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5B0857EB"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հասցեն</w:t>
            </w:r>
          </w:p>
        </w:tc>
        <w:tc>
          <w:tcPr>
            <w:tcW w:w="4078" w:type="dxa"/>
            <w:tcBorders>
              <w:top w:val="single" w:sz="4" w:space="0" w:color="000000"/>
              <w:left w:val="single" w:sz="4" w:space="0" w:color="000000"/>
              <w:bottom w:val="single" w:sz="4" w:space="0" w:color="000000"/>
              <w:right w:val="single" w:sz="4" w:space="0" w:color="000000"/>
            </w:tcBorders>
          </w:tcPr>
          <w:p w14:paraId="6A21C99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A25696F"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6C84C669"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երկիրը</w:t>
            </w:r>
          </w:p>
        </w:tc>
        <w:tc>
          <w:tcPr>
            <w:tcW w:w="4078" w:type="dxa"/>
            <w:tcBorders>
              <w:top w:val="single" w:sz="4" w:space="0" w:color="000000"/>
              <w:left w:val="single" w:sz="4" w:space="0" w:color="000000"/>
              <w:bottom w:val="single" w:sz="4" w:space="0" w:color="000000"/>
              <w:right w:val="single" w:sz="4" w:space="0" w:color="000000"/>
            </w:tcBorders>
          </w:tcPr>
          <w:p w14:paraId="3CBC9824" w14:textId="77777777" w:rsidR="006F76EB" w:rsidRPr="00834D52" w:rsidRDefault="006F76EB" w:rsidP="00183A19">
            <w:pPr>
              <w:spacing w:after="120" w:line="240" w:lineRule="auto"/>
              <w:ind w:right="-6"/>
              <w:rPr>
                <w:rFonts w:ascii="Sylfaen" w:hAnsi="Sylfaen"/>
                <w:sz w:val="24"/>
                <w:szCs w:val="24"/>
              </w:rPr>
            </w:pPr>
          </w:p>
        </w:tc>
      </w:tr>
      <w:tr w:rsidR="006F76EB" w:rsidRPr="00834D52" w14:paraId="23D8C1C5"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784A7E52"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lastRenderedPageBreak/>
              <w:t>շուրջօրյա հեռախոսը (ֆաքսը)</w:t>
            </w:r>
          </w:p>
        </w:tc>
        <w:tc>
          <w:tcPr>
            <w:tcW w:w="4078" w:type="dxa"/>
            <w:tcBorders>
              <w:top w:val="single" w:sz="4" w:space="0" w:color="000000"/>
              <w:left w:val="single" w:sz="4" w:space="0" w:color="000000"/>
              <w:bottom w:val="single" w:sz="4" w:space="0" w:color="000000"/>
              <w:right w:val="single" w:sz="4" w:space="0" w:color="000000"/>
            </w:tcBorders>
          </w:tcPr>
          <w:p w14:paraId="5CDCF611" w14:textId="77777777" w:rsidR="006F76EB" w:rsidRPr="00834D52" w:rsidRDefault="006F76EB" w:rsidP="00183A19">
            <w:pPr>
              <w:spacing w:after="120" w:line="240" w:lineRule="auto"/>
              <w:ind w:right="-6"/>
              <w:rPr>
                <w:rFonts w:ascii="Sylfaen" w:hAnsi="Sylfaen"/>
                <w:sz w:val="24"/>
                <w:szCs w:val="24"/>
              </w:rPr>
            </w:pPr>
          </w:p>
        </w:tc>
      </w:tr>
      <w:tr w:rsidR="006F76EB" w:rsidRPr="00834D52" w14:paraId="3EE6C998" w14:textId="77777777" w:rsidTr="00F71229">
        <w:tc>
          <w:tcPr>
            <w:tcW w:w="5532" w:type="dxa"/>
            <w:tcBorders>
              <w:top w:val="single" w:sz="4" w:space="0" w:color="000000"/>
              <w:left w:val="single" w:sz="4" w:space="0" w:color="000000"/>
              <w:bottom w:val="single" w:sz="4" w:space="0" w:color="000000"/>
              <w:right w:val="single" w:sz="4" w:space="0" w:color="000000"/>
            </w:tcBorders>
          </w:tcPr>
          <w:p w14:paraId="4D8E6301" w14:textId="77777777" w:rsidR="006F76EB" w:rsidRPr="00834D52" w:rsidRDefault="006F76EB" w:rsidP="00183A19">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փոստը</w:t>
            </w:r>
          </w:p>
        </w:tc>
        <w:tc>
          <w:tcPr>
            <w:tcW w:w="4078" w:type="dxa"/>
            <w:tcBorders>
              <w:top w:val="single" w:sz="4" w:space="0" w:color="000000"/>
              <w:left w:val="single" w:sz="4" w:space="0" w:color="000000"/>
              <w:bottom w:val="single" w:sz="4" w:space="0" w:color="000000"/>
              <w:right w:val="single" w:sz="4" w:space="0" w:color="000000"/>
            </w:tcBorders>
          </w:tcPr>
          <w:p w14:paraId="6A78FF4B" w14:textId="77777777" w:rsidR="006F76EB" w:rsidRPr="00834D52" w:rsidRDefault="006F76EB" w:rsidP="00183A19">
            <w:pPr>
              <w:spacing w:after="120" w:line="240" w:lineRule="auto"/>
              <w:ind w:right="-6"/>
              <w:rPr>
                <w:rFonts w:ascii="Sylfaen" w:hAnsi="Sylfaen"/>
                <w:sz w:val="24"/>
                <w:szCs w:val="24"/>
              </w:rPr>
            </w:pPr>
          </w:p>
        </w:tc>
      </w:tr>
    </w:tbl>
    <w:p w14:paraId="36D0B4E5" w14:textId="77777777" w:rsidR="006F76EB" w:rsidRPr="00834D52" w:rsidRDefault="006F76EB" w:rsidP="00FA2FDE">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Նշե՛ք Եվրասիական տնտեսական միության անդամ պետությունում դեղազգոնություն իրականացնելու համար լիազորված անձի գրանցման վայրը </w:t>
      </w:r>
      <w:r w:rsidR="00C54D75">
        <w:rPr>
          <w:rFonts w:ascii="Sylfaen" w:hAnsi="Sylfaen"/>
          <w:sz w:val="24"/>
          <w:szCs w:val="24"/>
        </w:rPr>
        <w:t>և</w:t>
      </w:r>
      <w:r w:rsidRPr="00834D52">
        <w:rPr>
          <w:rFonts w:ascii="Sylfaen" w:hAnsi="Sylfaen"/>
          <w:sz w:val="24"/>
          <w:szCs w:val="24"/>
        </w:rPr>
        <w:t xml:space="preserve"> փաստացի բնակության վայրը, նրա հեռախոսահամարը:</w:t>
      </w:r>
    </w:p>
    <w:p w14:paraId="7FB88583" w14:textId="77777777" w:rsidR="006F76EB" w:rsidRPr="00834D52" w:rsidRDefault="006F76EB" w:rsidP="00FA2FDE">
      <w:pPr>
        <w:tabs>
          <w:tab w:val="left" w:pos="1134"/>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w:t>
      </w:r>
      <w:r w:rsidRPr="00834D52">
        <w:rPr>
          <w:rFonts w:ascii="Sylfaen" w:hAnsi="Sylfaen"/>
          <w:sz w:val="24"/>
          <w:szCs w:val="24"/>
        </w:rPr>
        <w:tab/>
        <w:t>Դեղապատրաստուկն արտադրողը</w:t>
      </w:r>
    </w:p>
    <w:p w14:paraId="64E6E800"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3.5.1.</w:t>
      </w:r>
      <w:r w:rsidRPr="00834D52">
        <w:rPr>
          <w:rFonts w:ascii="Sylfaen" w:hAnsi="Sylfaen"/>
          <w:sz w:val="24"/>
          <w:szCs w:val="24"/>
        </w:rPr>
        <w:tab/>
        <w:t xml:space="preserve">Արտադրողը, որը պատասխանատու է դեղապատրաստուկի սերիաների բացթողման համար անհրաժեշտ որակի հսկողության համար (ինչպես նշված է դեղապատրաստուկի ընդհանուր բնութագրում, ներդիր թերթիկում </w:t>
      </w:r>
      <w:r w:rsidR="00C54D75">
        <w:rPr>
          <w:rFonts w:ascii="Sylfaen" w:hAnsi="Sylfaen"/>
          <w:sz w:val="24"/>
          <w:szCs w:val="24"/>
        </w:rPr>
        <w:t>և</w:t>
      </w:r>
      <w:r w:rsidRPr="00834D52">
        <w:rPr>
          <w:rFonts w:ascii="Sylfaen" w:hAnsi="Sylfaen"/>
          <w:sz w:val="24"/>
          <w:szCs w:val="24"/>
        </w:rPr>
        <w:t xml:space="preserve"> անհրաժեշտության դեպքում՝ մականշվածքում)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108DE41" w14:textId="77777777" w:rsidTr="00FA2FDE">
        <w:trPr>
          <w:trHeight w:val="526"/>
        </w:trPr>
        <w:tc>
          <w:tcPr>
            <w:tcW w:w="5581" w:type="dxa"/>
            <w:tcBorders>
              <w:top w:val="single" w:sz="4" w:space="0" w:color="000000"/>
              <w:left w:val="single" w:sz="4" w:space="0" w:color="000000"/>
              <w:bottom w:val="single" w:sz="4" w:space="0" w:color="000000"/>
              <w:right w:val="single" w:sz="4" w:space="0" w:color="000000"/>
            </w:tcBorders>
          </w:tcPr>
          <w:p w14:paraId="095F3A1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5455CE1" w14:textId="77777777" w:rsidR="006F76EB" w:rsidRPr="00834D52" w:rsidRDefault="006F76EB" w:rsidP="00FA2FDE">
            <w:pPr>
              <w:spacing w:after="120" w:line="240" w:lineRule="auto"/>
              <w:ind w:right="-6"/>
              <w:rPr>
                <w:rFonts w:ascii="Sylfaen" w:hAnsi="Sylfaen"/>
                <w:sz w:val="24"/>
                <w:szCs w:val="24"/>
              </w:rPr>
            </w:pPr>
          </w:p>
        </w:tc>
      </w:tr>
      <w:tr w:rsidR="006F76EB" w:rsidRPr="00834D52" w14:paraId="1FD6DAD0"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7C435E7E"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114" w:type="dxa"/>
            <w:tcBorders>
              <w:top w:val="single" w:sz="4" w:space="0" w:color="000000"/>
              <w:left w:val="single" w:sz="4" w:space="0" w:color="000000"/>
              <w:bottom w:val="single" w:sz="4" w:space="0" w:color="000000"/>
              <w:right w:val="single" w:sz="4" w:space="0" w:color="000000"/>
            </w:tcBorders>
          </w:tcPr>
          <w:p w14:paraId="3F8D03C8"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D0A9B57" w14:textId="77777777" w:rsidTr="00FA2FDE">
        <w:trPr>
          <w:trHeight w:val="547"/>
        </w:trPr>
        <w:tc>
          <w:tcPr>
            <w:tcW w:w="5581" w:type="dxa"/>
            <w:tcBorders>
              <w:top w:val="single" w:sz="4" w:space="0" w:color="000000"/>
              <w:left w:val="single" w:sz="4" w:space="0" w:color="000000"/>
              <w:bottom w:val="single" w:sz="4" w:space="0" w:color="000000"/>
              <w:right w:val="single" w:sz="4" w:space="0" w:color="000000"/>
            </w:tcBorders>
          </w:tcPr>
          <w:p w14:paraId="1095182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42CC920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2C9EE760" w14:textId="77777777" w:rsidTr="00FA2FDE">
        <w:trPr>
          <w:trHeight w:val="946"/>
        </w:trPr>
        <w:tc>
          <w:tcPr>
            <w:tcW w:w="5581" w:type="dxa"/>
            <w:tcBorders>
              <w:top w:val="single" w:sz="4" w:space="0" w:color="000000"/>
              <w:left w:val="single" w:sz="4" w:space="0" w:color="000000"/>
              <w:bottom w:val="single" w:sz="4" w:space="0" w:color="000000"/>
              <w:right w:val="single" w:sz="4" w:space="0" w:color="000000"/>
            </w:tcBorders>
          </w:tcPr>
          <w:p w14:paraId="5AF624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14" w:type="dxa"/>
            <w:tcBorders>
              <w:top w:val="single" w:sz="4" w:space="0" w:color="000000"/>
              <w:left w:val="single" w:sz="4" w:space="0" w:color="000000"/>
              <w:bottom w:val="single" w:sz="4" w:space="0" w:color="000000"/>
              <w:right w:val="single" w:sz="4" w:space="0" w:color="000000"/>
            </w:tcBorders>
          </w:tcPr>
          <w:p w14:paraId="2FD229EB" w14:textId="77777777" w:rsidR="006F76EB" w:rsidRPr="00834D52" w:rsidRDefault="006F76EB" w:rsidP="00FA2FDE">
            <w:pPr>
              <w:spacing w:after="120" w:line="240" w:lineRule="auto"/>
              <w:ind w:right="-6"/>
              <w:rPr>
                <w:rFonts w:ascii="Sylfaen" w:hAnsi="Sylfaen"/>
                <w:sz w:val="24"/>
                <w:szCs w:val="24"/>
              </w:rPr>
            </w:pPr>
          </w:p>
        </w:tc>
      </w:tr>
      <w:tr w:rsidR="006F76EB" w:rsidRPr="00834D52" w14:paraId="4F1E3282" w14:textId="77777777" w:rsidTr="00FA2FDE">
        <w:trPr>
          <w:trHeight w:val="568"/>
        </w:trPr>
        <w:tc>
          <w:tcPr>
            <w:tcW w:w="5581" w:type="dxa"/>
            <w:tcBorders>
              <w:top w:val="single" w:sz="4" w:space="0" w:color="000000"/>
              <w:left w:val="single" w:sz="4" w:space="0" w:color="000000"/>
              <w:bottom w:val="single" w:sz="4" w:space="0" w:color="000000"/>
              <w:right w:val="single" w:sz="4" w:space="0" w:color="000000"/>
            </w:tcBorders>
          </w:tcPr>
          <w:p w14:paraId="671F20E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303DD4EC" w14:textId="77777777" w:rsidR="006F76EB" w:rsidRPr="00834D52" w:rsidRDefault="006F76EB" w:rsidP="00FA2FDE">
            <w:pPr>
              <w:spacing w:after="120" w:line="240" w:lineRule="auto"/>
              <w:ind w:right="-6"/>
              <w:rPr>
                <w:rFonts w:ascii="Sylfaen" w:hAnsi="Sylfaen"/>
                <w:sz w:val="24"/>
                <w:szCs w:val="24"/>
              </w:rPr>
            </w:pPr>
          </w:p>
        </w:tc>
      </w:tr>
    </w:tbl>
    <w:p w14:paraId="548477B9" w14:textId="77777777" w:rsidR="006F76EB" w:rsidRPr="00834D52" w:rsidRDefault="006F76EB" w:rsidP="00FA2FDE">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3.5.2.</w:t>
      </w:r>
      <w:r w:rsidRPr="00834D52">
        <w:rPr>
          <w:rFonts w:ascii="Sylfaen" w:hAnsi="Sylfaen"/>
          <w:sz w:val="24"/>
          <w:szCs w:val="24"/>
        </w:rPr>
        <w:tab/>
        <w:t xml:space="preserve">Արտադրող երկրի՝ արյան </w:t>
      </w:r>
      <w:r w:rsidR="00C54D75">
        <w:rPr>
          <w:rFonts w:ascii="Sylfaen" w:hAnsi="Sylfaen"/>
          <w:sz w:val="24"/>
          <w:szCs w:val="24"/>
        </w:rPr>
        <w:t>և</w:t>
      </w:r>
      <w:r w:rsidRPr="00834D52">
        <w:rPr>
          <w:rFonts w:ascii="Sylfaen" w:hAnsi="Sylfaen"/>
          <w:sz w:val="24"/>
          <w:szCs w:val="24"/>
        </w:rPr>
        <w:t xml:space="preserve"> պատվաստանյութերի պատրաստուկների որակի հսկողության լաբորատորիան, որը պատասխանատու</w:t>
      </w:r>
      <w:r w:rsidR="00FA2FDE" w:rsidRPr="00FA2FDE">
        <w:rPr>
          <w:rFonts w:ascii="Sylfaen" w:hAnsi="Sylfaen"/>
          <w:sz w:val="24"/>
          <w:szCs w:val="24"/>
        </w:rPr>
        <w:t> </w:t>
      </w:r>
      <w:r w:rsidRPr="00834D52">
        <w:rPr>
          <w:rFonts w:ascii="Sylfaen" w:hAnsi="Sylfaen"/>
          <w:sz w:val="24"/>
          <w:szCs w:val="24"/>
        </w:rPr>
        <w:t>է սերիայի որակի հսկողության (բացթողման) համար</w:t>
      </w:r>
    </w:p>
    <w:tbl>
      <w:tblPr>
        <w:tblW w:w="9644" w:type="dxa"/>
        <w:tblInd w:w="109" w:type="dxa"/>
        <w:tblLayout w:type="fixed"/>
        <w:tblCellMar>
          <w:left w:w="0" w:type="dxa"/>
          <w:right w:w="0" w:type="dxa"/>
        </w:tblCellMar>
        <w:tblLook w:val="01E0" w:firstRow="1" w:lastRow="1" w:firstColumn="1" w:lastColumn="1" w:noHBand="0" w:noVBand="0"/>
      </w:tblPr>
      <w:tblGrid>
        <w:gridCol w:w="5552"/>
        <w:gridCol w:w="4092"/>
      </w:tblGrid>
      <w:tr w:rsidR="006F76EB" w:rsidRPr="00834D52" w14:paraId="43D54B2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78F1CD85"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լաբորատորիայի անվանումը</w:t>
            </w:r>
          </w:p>
        </w:tc>
        <w:tc>
          <w:tcPr>
            <w:tcW w:w="4092" w:type="dxa"/>
            <w:tcBorders>
              <w:top w:val="single" w:sz="4" w:space="0" w:color="000000"/>
              <w:left w:val="single" w:sz="4" w:space="0" w:color="000000"/>
              <w:bottom w:val="single" w:sz="4" w:space="0" w:color="000000"/>
              <w:right w:val="single" w:sz="4" w:space="0" w:color="000000"/>
            </w:tcBorders>
          </w:tcPr>
          <w:p w14:paraId="6F6654EF" w14:textId="77777777" w:rsidR="006F76EB" w:rsidRPr="00834D52" w:rsidRDefault="006F76EB" w:rsidP="00FA2FDE">
            <w:pPr>
              <w:spacing w:after="120" w:line="240" w:lineRule="auto"/>
              <w:ind w:right="-6"/>
              <w:rPr>
                <w:rFonts w:ascii="Sylfaen" w:hAnsi="Sylfaen"/>
                <w:sz w:val="24"/>
                <w:szCs w:val="24"/>
              </w:rPr>
            </w:pPr>
          </w:p>
        </w:tc>
      </w:tr>
      <w:tr w:rsidR="006F76EB" w:rsidRPr="00834D52" w14:paraId="77776BDC"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68B0505C"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4092" w:type="dxa"/>
            <w:tcBorders>
              <w:top w:val="single" w:sz="4" w:space="0" w:color="000000"/>
              <w:left w:val="single" w:sz="4" w:space="0" w:color="000000"/>
              <w:bottom w:val="single" w:sz="4" w:space="0" w:color="000000"/>
              <w:right w:val="single" w:sz="4" w:space="0" w:color="000000"/>
            </w:tcBorders>
          </w:tcPr>
          <w:p w14:paraId="4F07C0AC"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3143473" w14:textId="77777777" w:rsidTr="00426865">
        <w:trPr>
          <w:trHeight w:val="524"/>
        </w:trPr>
        <w:tc>
          <w:tcPr>
            <w:tcW w:w="5552" w:type="dxa"/>
            <w:tcBorders>
              <w:top w:val="single" w:sz="4" w:space="0" w:color="000000"/>
              <w:left w:val="single" w:sz="4" w:space="0" w:color="000000"/>
              <w:bottom w:val="single" w:sz="4" w:space="0" w:color="000000"/>
              <w:right w:val="single" w:sz="4" w:space="0" w:color="000000"/>
            </w:tcBorders>
          </w:tcPr>
          <w:p w14:paraId="3B71CDE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092" w:type="dxa"/>
            <w:tcBorders>
              <w:top w:val="single" w:sz="4" w:space="0" w:color="000000"/>
              <w:left w:val="single" w:sz="4" w:space="0" w:color="000000"/>
              <w:bottom w:val="single" w:sz="4" w:space="0" w:color="000000"/>
              <w:right w:val="single" w:sz="4" w:space="0" w:color="000000"/>
            </w:tcBorders>
          </w:tcPr>
          <w:p w14:paraId="17F52835"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E597824" w14:textId="77777777" w:rsidTr="00426865">
        <w:trPr>
          <w:trHeight w:val="888"/>
        </w:trPr>
        <w:tc>
          <w:tcPr>
            <w:tcW w:w="5552" w:type="dxa"/>
            <w:tcBorders>
              <w:top w:val="single" w:sz="4" w:space="0" w:color="000000"/>
              <w:left w:val="single" w:sz="4" w:space="0" w:color="000000"/>
              <w:bottom w:val="single" w:sz="4" w:space="0" w:color="000000"/>
              <w:right w:val="single" w:sz="4" w:space="0" w:color="000000"/>
            </w:tcBorders>
          </w:tcPr>
          <w:p w14:paraId="292CE649"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092" w:type="dxa"/>
            <w:tcBorders>
              <w:top w:val="single" w:sz="4" w:space="0" w:color="000000"/>
              <w:left w:val="single" w:sz="4" w:space="0" w:color="000000"/>
              <w:bottom w:val="single" w:sz="4" w:space="0" w:color="000000"/>
              <w:right w:val="single" w:sz="4" w:space="0" w:color="000000"/>
            </w:tcBorders>
          </w:tcPr>
          <w:p w14:paraId="3A8B5570" w14:textId="77777777" w:rsidR="006F76EB" w:rsidRPr="00834D52" w:rsidRDefault="006F76EB" w:rsidP="00FA2FDE">
            <w:pPr>
              <w:spacing w:after="120" w:line="240" w:lineRule="auto"/>
              <w:ind w:right="-6"/>
              <w:rPr>
                <w:rFonts w:ascii="Sylfaen" w:hAnsi="Sylfaen"/>
                <w:sz w:val="24"/>
                <w:szCs w:val="24"/>
              </w:rPr>
            </w:pPr>
          </w:p>
        </w:tc>
      </w:tr>
      <w:tr w:rsidR="006F76EB" w:rsidRPr="00834D52" w14:paraId="53A3A66A" w14:textId="77777777" w:rsidTr="00426865">
        <w:trPr>
          <w:trHeight w:val="544"/>
        </w:trPr>
        <w:tc>
          <w:tcPr>
            <w:tcW w:w="5552" w:type="dxa"/>
            <w:tcBorders>
              <w:top w:val="single" w:sz="4" w:space="0" w:color="000000"/>
              <w:left w:val="single" w:sz="4" w:space="0" w:color="000000"/>
              <w:bottom w:val="single" w:sz="4" w:space="0" w:color="000000"/>
              <w:right w:val="single" w:sz="4" w:space="0" w:color="000000"/>
            </w:tcBorders>
          </w:tcPr>
          <w:p w14:paraId="1962B760"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092" w:type="dxa"/>
            <w:tcBorders>
              <w:top w:val="single" w:sz="4" w:space="0" w:color="000000"/>
              <w:left w:val="single" w:sz="4" w:space="0" w:color="000000"/>
              <w:bottom w:val="single" w:sz="4" w:space="0" w:color="000000"/>
              <w:right w:val="single" w:sz="4" w:space="0" w:color="000000"/>
            </w:tcBorders>
          </w:tcPr>
          <w:p w14:paraId="7B219D7C" w14:textId="77777777" w:rsidR="006F76EB" w:rsidRPr="00834D52" w:rsidRDefault="006F76EB" w:rsidP="00FA2FDE">
            <w:pPr>
              <w:spacing w:after="120" w:line="240" w:lineRule="auto"/>
              <w:ind w:right="-6"/>
              <w:rPr>
                <w:rFonts w:ascii="Sylfaen" w:hAnsi="Sylfaen"/>
                <w:sz w:val="24"/>
                <w:szCs w:val="24"/>
              </w:rPr>
            </w:pPr>
          </w:p>
        </w:tc>
      </w:tr>
    </w:tbl>
    <w:p w14:paraId="483420D3" w14:textId="77777777" w:rsidR="006F76EB" w:rsidRPr="00DB039F" w:rsidRDefault="006F76EB" w:rsidP="00FA2FDE">
      <w:pPr>
        <w:tabs>
          <w:tab w:val="left" w:pos="1701"/>
        </w:tabs>
        <w:spacing w:after="160" w:line="360" w:lineRule="auto"/>
        <w:ind w:right="-6" w:firstLine="567"/>
        <w:jc w:val="both"/>
        <w:rPr>
          <w:rFonts w:ascii="Sylfaen" w:hAnsi="Sylfaen"/>
          <w:spacing w:val="-4"/>
          <w:sz w:val="24"/>
          <w:szCs w:val="24"/>
        </w:rPr>
      </w:pPr>
      <w:r w:rsidRPr="00834D52">
        <w:rPr>
          <w:rFonts w:ascii="Sylfaen" w:hAnsi="Sylfaen"/>
          <w:spacing w:val="-4"/>
          <w:sz w:val="24"/>
          <w:szCs w:val="24"/>
        </w:rPr>
        <w:t>3.5.3.</w:t>
      </w:r>
      <w:r w:rsidRPr="00834D52">
        <w:rPr>
          <w:rFonts w:ascii="Sylfaen" w:hAnsi="Sylfaen"/>
          <w:spacing w:val="-4"/>
          <w:sz w:val="24"/>
          <w:szCs w:val="24"/>
        </w:rPr>
        <w:tab/>
        <w:t xml:space="preserve">Եվրասիական տնտեսական միության շրջանակներում բողոքագրերի հետ աշխատանքի համար պատասխանատու կազմակերպությունը (Եվրասիական </w:t>
      </w:r>
      <w:r w:rsidRPr="00834D52">
        <w:rPr>
          <w:rFonts w:ascii="Sylfaen" w:hAnsi="Sylfaen"/>
          <w:spacing w:val="-4"/>
          <w:sz w:val="24"/>
          <w:szCs w:val="24"/>
        </w:rPr>
        <w:lastRenderedPageBreak/>
        <w:t>տնտեսական միության յուրաքանչյուր անդամ պետության համար (առկայության դեպքում)</w:t>
      </w:r>
    </w:p>
    <w:tbl>
      <w:tblPr>
        <w:tblW w:w="9695" w:type="dxa"/>
        <w:tblInd w:w="109" w:type="dxa"/>
        <w:tblLayout w:type="fixed"/>
        <w:tblCellMar>
          <w:left w:w="0" w:type="dxa"/>
          <w:right w:w="0" w:type="dxa"/>
        </w:tblCellMar>
        <w:tblLook w:val="01E0" w:firstRow="1" w:lastRow="1" w:firstColumn="1" w:lastColumn="1" w:noHBand="0" w:noVBand="0"/>
      </w:tblPr>
      <w:tblGrid>
        <w:gridCol w:w="5581"/>
        <w:gridCol w:w="4114"/>
      </w:tblGrid>
      <w:tr w:rsidR="006F76EB" w:rsidRPr="00834D52" w14:paraId="780FF42A" w14:textId="77777777" w:rsidTr="00FD580B">
        <w:trPr>
          <w:trHeight w:val="519"/>
        </w:trPr>
        <w:tc>
          <w:tcPr>
            <w:tcW w:w="5581" w:type="dxa"/>
            <w:tcBorders>
              <w:top w:val="single" w:sz="4" w:space="0" w:color="000000"/>
              <w:left w:val="single" w:sz="4" w:space="0" w:color="000000"/>
              <w:bottom w:val="single" w:sz="4" w:space="0" w:color="000000"/>
              <w:right w:val="single" w:sz="4" w:space="0" w:color="000000"/>
            </w:tcBorders>
          </w:tcPr>
          <w:p w14:paraId="12DC2336"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w:t>
            </w:r>
          </w:p>
        </w:tc>
        <w:tc>
          <w:tcPr>
            <w:tcW w:w="4114" w:type="dxa"/>
            <w:tcBorders>
              <w:top w:val="single" w:sz="4" w:space="0" w:color="000000"/>
              <w:left w:val="single" w:sz="4" w:space="0" w:color="000000"/>
              <w:bottom w:val="single" w:sz="4" w:space="0" w:color="000000"/>
              <w:right w:val="single" w:sz="4" w:space="0" w:color="000000"/>
            </w:tcBorders>
          </w:tcPr>
          <w:p w14:paraId="223F78F4" w14:textId="77777777" w:rsidR="006F76EB" w:rsidRPr="00834D52" w:rsidRDefault="006F76EB" w:rsidP="00FA2FDE">
            <w:pPr>
              <w:spacing w:after="120" w:line="240" w:lineRule="auto"/>
              <w:ind w:right="-6"/>
              <w:rPr>
                <w:rFonts w:ascii="Sylfaen" w:hAnsi="Sylfaen"/>
                <w:sz w:val="24"/>
                <w:szCs w:val="24"/>
              </w:rPr>
            </w:pPr>
          </w:p>
        </w:tc>
      </w:tr>
      <w:tr w:rsidR="006F76EB" w:rsidRPr="00834D52" w14:paraId="09E16926"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1716F30F"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գտնվելու վայրը</w:t>
            </w:r>
          </w:p>
        </w:tc>
        <w:tc>
          <w:tcPr>
            <w:tcW w:w="4114" w:type="dxa"/>
            <w:tcBorders>
              <w:top w:val="single" w:sz="4" w:space="0" w:color="000000"/>
              <w:left w:val="single" w:sz="4" w:space="0" w:color="000000"/>
              <w:bottom w:val="single" w:sz="4" w:space="0" w:color="000000"/>
              <w:right w:val="single" w:sz="4" w:space="0" w:color="000000"/>
            </w:tcBorders>
          </w:tcPr>
          <w:p w14:paraId="66774D67" w14:textId="77777777" w:rsidR="006F76EB" w:rsidRPr="00834D52" w:rsidRDefault="006F76EB" w:rsidP="00FA2FDE">
            <w:pPr>
              <w:spacing w:after="120" w:line="240" w:lineRule="auto"/>
              <w:ind w:right="-6"/>
              <w:rPr>
                <w:rFonts w:ascii="Sylfaen" w:hAnsi="Sylfaen"/>
                <w:sz w:val="24"/>
                <w:szCs w:val="24"/>
              </w:rPr>
            </w:pPr>
          </w:p>
        </w:tc>
      </w:tr>
      <w:tr w:rsidR="006F76EB" w:rsidRPr="00834D52" w14:paraId="6773B01F"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278B8C88" w14:textId="77777777" w:rsidR="006F76EB" w:rsidRPr="00834D52" w:rsidRDefault="006F76EB" w:rsidP="00FA2FDE">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պետությունը</w:t>
            </w:r>
          </w:p>
        </w:tc>
        <w:tc>
          <w:tcPr>
            <w:tcW w:w="4114" w:type="dxa"/>
            <w:tcBorders>
              <w:top w:val="single" w:sz="4" w:space="0" w:color="000000"/>
              <w:left w:val="single" w:sz="4" w:space="0" w:color="000000"/>
              <w:bottom w:val="single" w:sz="4" w:space="0" w:color="000000"/>
              <w:right w:val="single" w:sz="4" w:space="0" w:color="000000"/>
            </w:tcBorders>
          </w:tcPr>
          <w:p w14:paraId="2F9AF9F3"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403B0DB" w14:textId="77777777" w:rsidTr="00FD580B">
        <w:trPr>
          <w:trHeight w:val="913"/>
        </w:trPr>
        <w:tc>
          <w:tcPr>
            <w:tcW w:w="5581" w:type="dxa"/>
            <w:tcBorders>
              <w:top w:val="single" w:sz="4" w:space="0" w:color="000000"/>
              <w:left w:val="single" w:sz="4" w:space="0" w:color="000000"/>
              <w:bottom w:val="single" w:sz="4" w:space="0" w:color="000000"/>
              <w:right w:val="single" w:sz="4" w:space="0" w:color="000000"/>
            </w:tcBorders>
          </w:tcPr>
          <w:p w14:paraId="5C389517"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շուրջօրյա հեռախոսահամարը </w:t>
            </w:r>
            <w:r w:rsidR="00C54D75">
              <w:rPr>
                <w:rFonts w:ascii="Sylfaen" w:hAnsi="Sylfaen"/>
                <w:sz w:val="24"/>
                <w:szCs w:val="24"/>
              </w:rPr>
              <w:t>և</w:t>
            </w:r>
            <w:r w:rsidRPr="00834D52">
              <w:rPr>
                <w:rFonts w:ascii="Sylfaen" w:hAnsi="Sylfaen"/>
                <w:sz w:val="24"/>
                <w:szCs w:val="24"/>
              </w:rPr>
              <w:t xml:space="preserve"> ֆաքսի համարը</w:t>
            </w:r>
          </w:p>
        </w:tc>
        <w:tc>
          <w:tcPr>
            <w:tcW w:w="4114" w:type="dxa"/>
            <w:tcBorders>
              <w:top w:val="single" w:sz="4" w:space="0" w:color="000000"/>
              <w:left w:val="single" w:sz="4" w:space="0" w:color="000000"/>
              <w:bottom w:val="single" w:sz="4" w:space="0" w:color="000000"/>
              <w:right w:val="single" w:sz="4" w:space="0" w:color="000000"/>
            </w:tcBorders>
          </w:tcPr>
          <w:p w14:paraId="01BC688E" w14:textId="77777777" w:rsidR="006F76EB" w:rsidRPr="00834D52" w:rsidRDefault="006F76EB" w:rsidP="00FA2FDE">
            <w:pPr>
              <w:spacing w:after="120" w:line="240" w:lineRule="auto"/>
              <w:ind w:right="-6"/>
              <w:rPr>
                <w:rFonts w:ascii="Sylfaen" w:hAnsi="Sylfaen"/>
                <w:sz w:val="24"/>
                <w:szCs w:val="24"/>
              </w:rPr>
            </w:pPr>
          </w:p>
        </w:tc>
      </w:tr>
      <w:tr w:rsidR="006F76EB" w:rsidRPr="00834D52" w14:paraId="32D6E1F0" w14:textId="77777777" w:rsidTr="00FD580B">
        <w:trPr>
          <w:trHeight w:val="539"/>
        </w:trPr>
        <w:tc>
          <w:tcPr>
            <w:tcW w:w="5581" w:type="dxa"/>
            <w:tcBorders>
              <w:top w:val="single" w:sz="4" w:space="0" w:color="000000"/>
              <w:left w:val="single" w:sz="4" w:space="0" w:color="000000"/>
              <w:bottom w:val="single" w:sz="4" w:space="0" w:color="000000"/>
              <w:right w:val="single" w:sz="4" w:space="0" w:color="000000"/>
            </w:tcBorders>
          </w:tcPr>
          <w:p w14:paraId="0CA48DEB" w14:textId="77777777" w:rsidR="006F76EB" w:rsidRPr="00834D52" w:rsidRDefault="006F76EB" w:rsidP="00FA2FD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14" w:type="dxa"/>
            <w:tcBorders>
              <w:top w:val="single" w:sz="4" w:space="0" w:color="000000"/>
              <w:left w:val="single" w:sz="4" w:space="0" w:color="000000"/>
              <w:bottom w:val="single" w:sz="4" w:space="0" w:color="000000"/>
              <w:right w:val="single" w:sz="4" w:space="0" w:color="000000"/>
            </w:tcBorders>
          </w:tcPr>
          <w:p w14:paraId="1FE51803" w14:textId="77777777" w:rsidR="006F76EB" w:rsidRPr="00834D52" w:rsidRDefault="006F76EB" w:rsidP="00FA2FDE">
            <w:pPr>
              <w:spacing w:after="120" w:line="240" w:lineRule="auto"/>
              <w:ind w:right="-6"/>
              <w:rPr>
                <w:rFonts w:ascii="Sylfaen" w:hAnsi="Sylfaen"/>
                <w:sz w:val="24"/>
                <w:szCs w:val="24"/>
              </w:rPr>
            </w:pPr>
          </w:p>
        </w:tc>
      </w:tr>
    </w:tbl>
    <w:p w14:paraId="78A68C86" w14:textId="77777777" w:rsidR="006F76EB" w:rsidRPr="00834D52" w:rsidRDefault="006F76EB" w:rsidP="00FD580B">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3.5.4.</w:t>
      </w:r>
      <w:r w:rsidRPr="00834D52">
        <w:rPr>
          <w:rFonts w:ascii="Sylfaen" w:hAnsi="Sylfaen"/>
          <w:sz w:val="24"/>
          <w:szCs w:val="24"/>
        </w:rPr>
        <w:tab/>
        <w:t xml:space="preserve">Դեղապատրաստուկն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869F6CE" w14:textId="77777777" w:rsidR="006F76EB" w:rsidRPr="00834D52" w:rsidRDefault="006F76EB" w:rsidP="006F76EB">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Դեղապատրաստուկի արտադրական գործընթացին մասնակցող բոլոր արտադրական հարթակները (ներառյալ լուծիչները)՝ նշելով արտադրական գործընթացի ընթացաշրջանը</w:t>
      </w:r>
    </w:p>
    <w:tbl>
      <w:tblPr>
        <w:tblW w:w="9812" w:type="dxa"/>
        <w:tblInd w:w="109" w:type="dxa"/>
        <w:tblLayout w:type="fixed"/>
        <w:tblCellMar>
          <w:left w:w="0" w:type="dxa"/>
          <w:right w:w="0" w:type="dxa"/>
        </w:tblCellMar>
        <w:tblLook w:val="01E0" w:firstRow="1" w:lastRow="1" w:firstColumn="1" w:lastColumn="1" w:noHBand="0" w:noVBand="0"/>
      </w:tblPr>
      <w:tblGrid>
        <w:gridCol w:w="5648"/>
        <w:gridCol w:w="4164"/>
      </w:tblGrid>
      <w:tr w:rsidR="006F76EB" w:rsidRPr="00834D52" w14:paraId="67CF13D0" w14:textId="77777777" w:rsidTr="00FD580B">
        <w:trPr>
          <w:trHeight w:val="1312"/>
        </w:trPr>
        <w:tc>
          <w:tcPr>
            <w:tcW w:w="5648" w:type="dxa"/>
            <w:tcBorders>
              <w:top w:val="single" w:sz="4" w:space="0" w:color="000000"/>
              <w:left w:val="single" w:sz="4" w:space="0" w:color="000000"/>
              <w:bottom w:val="single" w:sz="4" w:space="0" w:color="000000"/>
              <w:right w:val="single" w:sz="4" w:space="0" w:color="000000"/>
            </w:tcBorders>
          </w:tcPr>
          <w:p w14:paraId="042DF5B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w:t>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իրավաբանական անձի անվանումը*</w:t>
            </w:r>
          </w:p>
        </w:tc>
        <w:tc>
          <w:tcPr>
            <w:tcW w:w="4164" w:type="dxa"/>
            <w:tcBorders>
              <w:top w:val="single" w:sz="4" w:space="0" w:color="000000"/>
              <w:left w:val="single" w:sz="4" w:space="0" w:color="000000"/>
              <w:bottom w:val="single" w:sz="4" w:space="0" w:color="000000"/>
              <w:right w:val="single" w:sz="4" w:space="0" w:color="000000"/>
            </w:tcBorders>
          </w:tcPr>
          <w:p w14:paraId="7237F56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9C76A38" w14:textId="77777777" w:rsidTr="00FD580B">
        <w:trPr>
          <w:trHeight w:val="521"/>
        </w:trPr>
        <w:tc>
          <w:tcPr>
            <w:tcW w:w="5648" w:type="dxa"/>
            <w:tcBorders>
              <w:top w:val="single" w:sz="4" w:space="0" w:color="000000"/>
              <w:left w:val="single" w:sz="4" w:space="0" w:color="000000"/>
              <w:bottom w:val="single" w:sz="4" w:space="0" w:color="000000"/>
              <w:right w:val="single" w:sz="4" w:space="0" w:color="000000"/>
            </w:tcBorders>
          </w:tcPr>
          <w:p w14:paraId="0E37FBD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footnoteReference w:customMarkFollows="1" w:id="18"/>
              <w:t>գործունեության իրականացման վայրի հասցեն*</w:t>
            </w:r>
          </w:p>
        </w:tc>
        <w:tc>
          <w:tcPr>
            <w:tcW w:w="4164" w:type="dxa"/>
            <w:tcBorders>
              <w:top w:val="single" w:sz="4" w:space="0" w:color="000000"/>
              <w:left w:val="single" w:sz="4" w:space="0" w:color="000000"/>
              <w:bottom w:val="single" w:sz="4" w:space="0" w:color="000000"/>
              <w:right w:val="single" w:sz="4" w:space="0" w:color="000000"/>
            </w:tcBorders>
          </w:tcPr>
          <w:p w14:paraId="14C52274" w14:textId="77777777" w:rsidR="006F76EB" w:rsidRPr="00834D52" w:rsidRDefault="006F76EB" w:rsidP="00FD580B">
            <w:pPr>
              <w:spacing w:after="120" w:line="240" w:lineRule="auto"/>
              <w:ind w:right="-6"/>
              <w:rPr>
                <w:rFonts w:ascii="Sylfaen" w:hAnsi="Sylfaen"/>
                <w:sz w:val="24"/>
                <w:szCs w:val="24"/>
              </w:rPr>
            </w:pPr>
          </w:p>
        </w:tc>
      </w:tr>
      <w:tr w:rsidR="006F76EB" w:rsidRPr="00834D52" w14:paraId="30094B17"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2242DB62"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4164" w:type="dxa"/>
            <w:tcBorders>
              <w:top w:val="single" w:sz="4" w:space="0" w:color="000000"/>
              <w:left w:val="single" w:sz="4" w:space="0" w:color="000000"/>
              <w:bottom w:val="single" w:sz="4" w:space="0" w:color="000000"/>
              <w:right w:val="single" w:sz="4" w:space="0" w:color="000000"/>
            </w:tcBorders>
          </w:tcPr>
          <w:p w14:paraId="79E70DCC"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23D43B4" w14:textId="77777777" w:rsidTr="00FD580B">
        <w:trPr>
          <w:trHeight w:val="936"/>
        </w:trPr>
        <w:tc>
          <w:tcPr>
            <w:tcW w:w="5648" w:type="dxa"/>
            <w:tcBorders>
              <w:top w:val="single" w:sz="4" w:space="0" w:color="000000"/>
              <w:left w:val="single" w:sz="4" w:space="0" w:color="000000"/>
              <w:bottom w:val="single" w:sz="4" w:space="0" w:color="000000"/>
              <w:right w:val="single" w:sz="4" w:space="0" w:color="000000"/>
            </w:tcBorders>
          </w:tcPr>
          <w:p w14:paraId="6F926E1F"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4164" w:type="dxa"/>
            <w:tcBorders>
              <w:top w:val="single" w:sz="4" w:space="0" w:color="000000"/>
              <w:left w:val="single" w:sz="4" w:space="0" w:color="000000"/>
              <w:bottom w:val="single" w:sz="4" w:space="0" w:color="000000"/>
              <w:right w:val="single" w:sz="4" w:space="0" w:color="000000"/>
            </w:tcBorders>
          </w:tcPr>
          <w:p w14:paraId="5F97810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5FD6C300" w14:textId="77777777" w:rsidTr="00FD580B">
        <w:trPr>
          <w:trHeight w:val="541"/>
        </w:trPr>
        <w:tc>
          <w:tcPr>
            <w:tcW w:w="5648" w:type="dxa"/>
            <w:tcBorders>
              <w:top w:val="single" w:sz="4" w:space="0" w:color="000000"/>
              <w:left w:val="single" w:sz="4" w:space="0" w:color="000000"/>
              <w:bottom w:val="single" w:sz="4" w:space="0" w:color="000000"/>
              <w:right w:val="single" w:sz="4" w:space="0" w:color="000000"/>
            </w:tcBorders>
          </w:tcPr>
          <w:p w14:paraId="135B34A6"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4164" w:type="dxa"/>
            <w:tcBorders>
              <w:top w:val="single" w:sz="4" w:space="0" w:color="000000"/>
              <w:left w:val="single" w:sz="4" w:space="0" w:color="000000"/>
              <w:bottom w:val="single" w:sz="4" w:space="0" w:color="000000"/>
              <w:right w:val="single" w:sz="4" w:space="0" w:color="000000"/>
            </w:tcBorders>
          </w:tcPr>
          <w:p w14:paraId="2CFF7921" w14:textId="77777777" w:rsidR="006F76EB" w:rsidRPr="00834D52" w:rsidRDefault="006F76EB" w:rsidP="00FD580B">
            <w:pPr>
              <w:spacing w:after="120" w:line="240" w:lineRule="auto"/>
              <w:ind w:right="-6"/>
              <w:rPr>
                <w:rFonts w:ascii="Sylfaen" w:hAnsi="Sylfaen"/>
                <w:sz w:val="24"/>
                <w:szCs w:val="24"/>
              </w:rPr>
            </w:pPr>
          </w:p>
        </w:tc>
      </w:tr>
    </w:tbl>
    <w:p w14:paraId="4D03B2F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w:t>
      </w:r>
      <w:r w:rsidRPr="00834D52" w:rsidDel="00615D9B">
        <w:rPr>
          <w:rFonts w:ascii="Sylfaen" w:hAnsi="Sylfaen"/>
          <w:sz w:val="24"/>
          <w:szCs w:val="24"/>
        </w:rPr>
        <w:t xml:space="preserve"> </w:t>
      </w:r>
      <w:r w:rsidRPr="00834D52">
        <w:rPr>
          <w:rFonts w:ascii="Sylfaen" w:hAnsi="Sylfaen"/>
          <w:sz w:val="24"/>
          <w:szCs w:val="24"/>
        </w:rPr>
        <w:t>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AF56D79" w14:textId="77777777" w:rsidTr="00F71229">
        <w:tc>
          <w:tcPr>
            <w:tcW w:w="2268" w:type="dxa"/>
          </w:tcPr>
          <w:p w14:paraId="21F47629"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w14:anchorId="308CB415">
                <v:rect id="_x0000_s1253" style="position:absolute;left:0;text-align:left;margin-left:40.6pt;margin-top:3.05pt;width:12.75pt;height:12pt;z-index:251741696"/>
              </w:pict>
            </w:r>
            <w:r w:rsidR="006F76EB" w:rsidRPr="00834D52">
              <w:rPr>
                <w:rFonts w:ascii="Sylfaen" w:hAnsi="Sylfaen"/>
                <w:sz w:val="24"/>
                <w:szCs w:val="24"/>
              </w:rPr>
              <w:t>ոչ</w:t>
            </w:r>
          </w:p>
        </w:tc>
        <w:tc>
          <w:tcPr>
            <w:tcW w:w="2126" w:type="dxa"/>
          </w:tcPr>
          <w:p w14:paraId="3A65B59F"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0E546C6">
                <v:rect id="_x0000_s1252" style="position:absolute;left:0;text-align:left;margin-left:15.15pt;margin-top:3.05pt;width:12.75pt;height:12pt;z-index:251742720;mso-position-horizontal-relative:text;mso-position-vertical-relative:text"/>
              </w:pict>
            </w:r>
            <w:r w:rsidR="006F76EB" w:rsidRPr="00834D52">
              <w:rPr>
                <w:rFonts w:ascii="Sylfaen" w:hAnsi="Sylfaen"/>
                <w:sz w:val="24"/>
                <w:szCs w:val="24"/>
              </w:rPr>
              <w:t>այո</w:t>
            </w:r>
          </w:p>
        </w:tc>
      </w:tr>
    </w:tbl>
    <w:p w14:paraId="6475BD8E" w14:textId="77777777" w:rsidR="008603F3" w:rsidRDefault="008603F3" w:rsidP="006F76EB">
      <w:pPr>
        <w:spacing w:after="160" w:line="360" w:lineRule="auto"/>
        <w:ind w:right="-8" w:firstLine="567"/>
        <w:rPr>
          <w:rFonts w:ascii="Sylfaen" w:hAnsi="Sylfaen"/>
          <w:sz w:val="24"/>
          <w:szCs w:val="24"/>
          <w:lang w:val="en-US"/>
        </w:rPr>
      </w:pPr>
    </w:p>
    <w:p w14:paraId="13F5E182"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69"/>
        <w:gridCol w:w="5342"/>
      </w:tblGrid>
      <w:tr w:rsidR="006F76EB" w:rsidRPr="00834D52" w14:paraId="2BC6D62F"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AD8E1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42" w:type="dxa"/>
            <w:tcBorders>
              <w:top w:val="single" w:sz="4" w:space="0" w:color="000000"/>
              <w:left w:val="single" w:sz="4" w:space="0" w:color="000000"/>
              <w:bottom w:val="single" w:sz="4" w:space="0" w:color="000000"/>
              <w:right w:val="single" w:sz="4" w:space="0" w:color="000000"/>
            </w:tcBorders>
          </w:tcPr>
          <w:p w14:paraId="4D4D5BC8" w14:textId="77777777" w:rsidR="006F76EB" w:rsidRPr="00834D52" w:rsidRDefault="006F76EB" w:rsidP="00FD580B">
            <w:pPr>
              <w:spacing w:after="120" w:line="240" w:lineRule="auto"/>
              <w:ind w:right="-6"/>
              <w:rPr>
                <w:rFonts w:ascii="Sylfaen" w:hAnsi="Sylfaen"/>
                <w:sz w:val="24"/>
                <w:szCs w:val="24"/>
              </w:rPr>
            </w:pPr>
          </w:p>
        </w:tc>
      </w:tr>
      <w:tr w:rsidR="006F76EB" w:rsidRPr="00834D52" w14:paraId="6EE48C76"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06138A57"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42" w:type="dxa"/>
            <w:tcBorders>
              <w:top w:val="single" w:sz="4" w:space="0" w:color="000000"/>
              <w:left w:val="single" w:sz="4" w:space="0" w:color="000000"/>
              <w:bottom w:val="single" w:sz="4" w:space="0" w:color="000000"/>
              <w:right w:val="single" w:sz="4" w:space="0" w:color="000000"/>
            </w:tcBorders>
          </w:tcPr>
          <w:p w14:paraId="36AEE719" w14:textId="77777777" w:rsidR="006F76EB" w:rsidRPr="00834D52" w:rsidRDefault="006F76EB" w:rsidP="00FD580B">
            <w:pPr>
              <w:spacing w:after="120" w:line="240" w:lineRule="auto"/>
              <w:ind w:right="-6"/>
              <w:rPr>
                <w:rFonts w:ascii="Sylfaen" w:hAnsi="Sylfaen"/>
                <w:sz w:val="24"/>
                <w:szCs w:val="24"/>
              </w:rPr>
            </w:pPr>
          </w:p>
        </w:tc>
      </w:tr>
      <w:tr w:rsidR="006F76EB" w:rsidRPr="00834D52" w14:paraId="4B33E653"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50ED77AA"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42" w:type="dxa"/>
            <w:tcBorders>
              <w:top w:val="single" w:sz="4" w:space="0" w:color="000000"/>
              <w:left w:val="single" w:sz="4" w:space="0" w:color="000000"/>
              <w:bottom w:val="single" w:sz="4" w:space="0" w:color="000000"/>
              <w:right w:val="single" w:sz="4" w:space="0" w:color="000000"/>
            </w:tcBorders>
          </w:tcPr>
          <w:p w14:paraId="411484B5" w14:textId="77777777" w:rsidR="006F76EB" w:rsidRPr="00834D52" w:rsidRDefault="006F76EB" w:rsidP="00FD580B">
            <w:pPr>
              <w:spacing w:after="120" w:line="240" w:lineRule="auto"/>
              <w:ind w:right="-6"/>
              <w:rPr>
                <w:rFonts w:ascii="Sylfaen" w:hAnsi="Sylfaen"/>
                <w:sz w:val="24"/>
                <w:szCs w:val="24"/>
              </w:rPr>
            </w:pPr>
          </w:p>
        </w:tc>
      </w:tr>
      <w:tr w:rsidR="006F76EB" w:rsidRPr="00834D52" w14:paraId="142D3BE7"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117DE7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342" w:type="dxa"/>
            <w:tcBorders>
              <w:top w:val="single" w:sz="4" w:space="0" w:color="000000"/>
              <w:left w:val="single" w:sz="4" w:space="0" w:color="000000"/>
              <w:bottom w:val="single" w:sz="4" w:space="0" w:color="000000"/>
              <w:right w:val="single" w:sz="4" w:space="0" w:color="000000"/>
            </w:tcBorders>
          </w:tcPr>
          <w:p w14:paraId="2BBD31D3" w14:textId="77777777" w:rsidR="006F76EB" w:rsidRPr="00834D52" w:rsidRDefault="006F76EB" w:rsidP="00FD580B">
            <w:pPr>
              <w:spacing w:after="120" w:line="240" w:lineRule="auto"/>
              <w:ind w:right="-6"/>
              <w:rPr>
                <w:rFonts w:ascii="Sylfaen" w:hAnsi="Sylfaen"/>
                <w:sz w:val="24"/>
                <w:szCs w:val="24"/>
              </w:rPr>
            </w:pPr>
          </w:p>
        </w:tc>
      </w:tr>
      <w:tr w:rsidR="006F76EB" w:rsidRPr="00834D52" w14:paraId="220BED1C" w14:textId="77777777" w:rsidTr="00F71229">
        <w:tc>
          <w:tcPr>
            <w:tcW w:w="4269" w:type="dxa"/>
            <w:tcBorders>
              <w:top w:val="single" w:sz="4" w:space="0" w:color="000000"/>
              <w:left w:val="single" w:sz="4" w:space="0" w:color="000000"/>
              <w:bottom w:val="single" w:sz="4" w:space="0" w:color="000000"/>
              <w:right w:val="single" w:sz="4" w:space="0" w:color="000000"/>
            </w:tcBorders>
          </w:tcPr>
          <w:p w14:paraId="265FD500" w14:textId="77777777" w:rsidR="006F76EB" w:rsidRPr="00834D52" w:rsidRDefault="006F76EB" w:rsidP="00FD580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42" w:type="dxa"/>
            <w:tcBorders>
              <w:top w:val="single" w:sz="4" w:space="0" w:color="000000"/>
              <w:left w:val="single" w:sz="4" w:space="0" w:color="000000"/>
              <w:bottom w:val="single" w:sz="4" w:space="0" w:color="000000"/>
              <w:right w:val="single" w:sz="4" w:space="0" w:color="000000"/>
            </w:tcBorders>
          </w:tcPr>
          <w:p w14:paraId="457B30CC" w14:textId="77777777" w:rsidR="006F76EB" w:rsidRPr="00834D52" w:rsidRDefault="00FC294A" w:rsidP="00FD580B">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16D8D5CD">
                <v:rect id="_x0000_s1229" style="position:absolute;left:0;text-align:left;margin-left:213.3pt;margin-top:5.7pt;width:12.75pt;height:12pt;z-index:251743744;mso-position-horizontal-relative:text;mso-position-vertical-relative:text"/>
              </w:pict>
            </w:r>
            <w:r>
              <w:rPr>
                <w:rFonts w:ascii="Sylfaen" w:eastAsia="Times New Roman" w:hAnsi="Sylfaen" w:cs="Times New Roman"/>
                <w:noProof/>
                <w:sz w:val="24"/>
                <w:szCs w:val="24"/>
              </w:rPr>
              <w:pict w14:anchorId="178ED1F9">
                <v:rect id="_x0000_s1228" style="position:absolute;left:0;text-align:left;margin-left:163.2pt;margin-top:5.7pt;width:12.75pt;height:12pt;z-index:251744768;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3E940D5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տարածքի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F424C95" w14:textId="77777777" w:rsidTr="00F71229">
        <w:tc>
          <w:tcPr>
            <w:tcW w:w="2268" w:type="dxa"/>
          </w:tcPr>
          <w:p w14:paraId="50D05EA1"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5D19EF48">
                <v:rect id="_x0000_s1255" style="position:absolute;left:0;text-align:left;margin-left:40.6pt;margin-top:3.05pt;width:12.75pt;height:12pt;z-index:251745792"/>
              </w:pict>
            </w:r>
            <w:r w:rsidR="006F76EB" w:rsidRPr="00834D52">
              <w:rPr>
                <w:rFonts w:ascii="Sylfaen" w:hAnsi="Sylfaen"/>
                <w:sz w:val="24"/>
                <w:szCs w:val="24"/>
              </w:rPr>
              <w:t>ոչ</w:t>
            </w:r>
          </w:p>
        </w:tc>
        <w:tc>
          <w:tcPr>
            <w:tcW w:w="2126" w:type="dxa"/>
          </w:tcPr>
          <w:p w14:paraId="64CB1DC7"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6FD9557">
                <v:rect id="_x0000_s1254" style="position:absolute;left:0;text-align:left;margin-left:15.15pt;margin-top:3.05pt;width:12.75pt;height:12pt;z-index:251746816;mso-position-horizontal-relative:text;mso-position-vertical-relative:text"/>
              </w:pict>
            </w:r>
            <w:r w:rsidR="006F76EB" w:rsidRPr="00834D52">
              <w:rPr>
                <w:rFonts w:ascii="Sylfaen" w:hAnsi="Sylfaen"/>
                <w:sz w:val="24"/>
                <w:szCs w:val="24"/>
              </w:rPr>
              <w:t>այո</w:t>
            </w:r>
          </w:p>
        </w:tc>
      </w:tr>
    </w:tbl>
    <w:p w14:paraId="0D80E28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528" w:type="dxa"/>
        <w:tblInd w:w="109" w:type="dxa"/>
        <w:tblLayout w:type="fixed"/>
        <w:tblCellMar>
          <w:left w:w="0" w:type="dxa"/>
          <w:right w:w="0" w:type="dxa"/>
        </w:tblCellMar>
        <w:tblLook w:val="01E0" w:firstRow="1" w:lastRow="1" w:firstColumn="1" w:lastColumn="1" w:noHBand="0" w:noVBand="0"/>
      </w:tblPr>
      <w:tblGrid>
        <w:gridCol w:w="4252"/>
        <w:gridCol w:w="5276"/>
      </w:tblGrid>
      <w:tr w:rsidR="006F76EB" w:rsidRPr="00834D52" w14:paraId="08A9AFF4"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247FD6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276" w:type="dxa"/>
            <w:tcBorders>
              <w:top w:val="single" w:sz="4" w:space="0" w:color="000000"/>
              <w:left w:val="single" w:sz="4" w:space="0" w:color="000000"/>
              <w:bottom w:val="single" w:sz="4" w:space="0" w:color="000000"/>
              <w:right w:val="single" w:sz="4" w:space="0" w:color="000000"/>
            </w:tcBorders>
          </w:tcPr>
          <w:p w14:paraId="574EE4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1EE7446" w14:textId="77777777" w:rsidTr="002A181E">
        <w:trPr>
          <w:trHeight w:val="927"/>
        </w:trPr>
        <w:tc>
          <w:tcPr>
            <w:tcW w:w="4252" w:type="dxa"/>
            <w:tcBorders>
              <w:top w:val="single" w:sz="4" w:space="0" w:color="000000"/>
              <w:left w:val="single" w:sz="4" w:space="0" w:color="000000"/>
              <w:bottom w:val="single" w:sz="4" w:space="0" w:color="000000"/>
              <w:right w:val="single" w:sz="4" w:space="0" w:color="000000"/>
            </w:tcBorders>
          </w:tcPr>
          <w:p w14:paraId="70CFEB3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276" w:type="dxa"/>
            <w:tcBorders>
              <w:top w:val="single" w:sz="4" w:space="0" w:color="000000"/>
              <w:left w:val="single" w:sz="4" w:space="0" w:color="000000"/>
              <w:bottom w:val="single" w:sz="4" w:space="0" w:color="000000"/>
              <w:right w:val="single" w:sz="4" w:space="0" w:color="000000"/>
            </w:tcBorders>
          </w:tcPr>
          <w:p w14:paraId="737EC8E8"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4113901"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13EF9559"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276" w:type="dxa"/>
            <w:tcBorders>
              <w:top w:val="single" w:sz="4" w:space="0" w:color="000000"/>
              <w:left w:val="single" w:sz="4" w:space="0" w:color="000000"/>
              <w:bottom w:val="single" w:sz="4" w:space="0" w:color="000000"/>
              <w:right w:val="single" w:sz="4" w:space="0" w:color="000000"/>
            </w:tcBorders>
          </w:tcPr>
          <w:p w14:paraId="69412AB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6980B353" w14:textId="77777777" w:rsidTr="002A181E">
        <w:trPr>
          <w:trHeight w:val="908"/>
        </w:trPr>
        <w:tc>
          <w:tcPr>
            <w:tcW w:w="4252" w:type="dxa"/>
            <w:tcBorders>
              <w:top w:val="single" w:sz="4" w:space="0" w:color="000000"/>
              <w:left w:val="single" w:sz="4" w:space="0" w:color="000000"/>
              <w:bottom w:val="single" w:sz="4" w:space="0" w:color="000000"/>
              <w:right w:val="single" w:sz="4" w:space="0" w:color="000000"/>
            </w:tcBorders>
          </w:tcPr>
          <w:p w14:paraId="23C49283"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ստուգվող դեղապատրաստուկների կատեգորիաներն ու ԱԴԲ-ն</w:t>
            </w:r>
          </w:p>
        </w:tc>
        <w:tc>
          <w:tcPr>
            <w:tcW w:w="5276" w:type="dxa"/>
            <w:tcBorders>
              <w:top w:val="single" w:sz="4" w:space="0" w:color="000000"/>
              <w:left w:val="single" w:sz="4" w:space="0" w:color="000000"/>
              <w:bottom w:val="single" w:sz="4" w:space="0" w:color="000000"/>
              <w:right w:val="single" w:sz="4" w:space="0" w:color="000000"/>
            </w:tcBorders>
          </w:tcPr>
          <w:p w14:paraId="47357971" w14:textId="77777777" w:rsidR="006F76EB" w:rsidRPr="00834D52" w:rsidRDefault="006F76EB" w:rsidP="002A181E">
            <w:pPr>
              <w:spacing w:after="120" w:line="240" w:lineRule="auto"/>
              <w:ind w:right="-6"/>
              <w:rPr>
                <w:rFonts w:ascii="Sylfaen" w:hAnsi="Sylfaen"/>
                <w:sz w:val="24"/>
                <w:szCs w:val="24"/>
              </w:rPr>
            </w:pPr>
          </w:p>
        </w:tc>
      </w:tr>
      <w:tr w:rsidR="006F76EB" w:rsidRPr="00834D52" w14:paraId="5BEEE476" w14:textId="77777777" w:rsidTr="002A181E">
        <w:trPr>
          <w:trHeight w:val="536"/>
        </w:trPr>
        <w:tc>
          <w:tcPr>
            <w:tcW w:w="4252" w:type="dxa"/>
            <w:tcBorders>
              <w:top w:val="single" w:sz="4" w:space="0" w:color="000000"/>
              <w:left w:val="single" w:sz="4" w:space="0" w:color="000000"/>
              <w:bottom w:val="single" w:sz="4" w:space="0" w:color="000000"/>
              <w:right w:val="single" w:sz="4" w:space="0" w:color="000000"/>
            </w:tcBorders>
          </w:tcPr>
          <w:p w14:paraId="096C57BD"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276" w:type="dxa"/>
            <w:tcBorders>
              <w:top w:val="single" w:sz="4" w:space="0" w:color="000000"/>
              <w:left w:val="single" w:sz="4" w:space="0" w:color="000000"/>
              <w:bottom w:val="single" w:sz="4" w:space="0" w:color="000000"/>
              <w:right w:val="single" w:sz="4" w:space="0" w:color="000000"/>
            </w:tcBorders>
          </w:tcPr>
          <w:p w14:paraId="1C6EA64F" w14:textId="77777777" w:rsidR="006F76EB" w:rsidRPr="00834D52" w:rsidRDefault="00FC294A" w:rsidP="002A181E">
            <w:pPr>
              <w:spacing w:after="120" w:line="240" w:lineRule="auto"/>
              <w:ind w:left="163" w:right="-6"/>
              <w:rPr>
                <w:rFonts w:ascii="Sylfaen" w:eastAsia="Times New Roman" w:hAnsi="Sylfaen" w:cs="Times New Roman"/>
                <w:sz w:val="24"/>
                <w:szCs w:val="24"/>
              </w:rPr>
            </w:pPr>
            <w:r>
              <w:rPr>
                <w:rFonts w:ascii="Sylfaen" w:hAnsi="Sylfaen"/>
                <w:noProof/>
                <w:sz w:val="24"/>
                <w:szCs w:val="24"/>
              </w:rPr>
              <w:pict w14:anchorId="095711EF">
                <v:rect id="_x0000_s1231" style="position:absolute;left:0;text-align:left;margin-left:195.05pt;margin-top:1.95pt;width:12.75pt;height:12pt;z-index:251747840;mso-position-horizontal-relative:text;mso-position-vertical-relative:text"/>
              </w:pict>
            </w:r>
            <w:r>
              <w:rPr>
                <w:rFonts w:ascii="Sylfaen" w:eastAsia="Times New Roman" w:hAnsi="Sylfaen" w:cs="Times New Roman"/>
                <w:noProof/>
                <w:sz w:val="24"/>
                <w:szCs w:val="24"/>
              </w:rPr>
              <w:pict w14:anchorId="6C57C3CE">
                <v:rect id="_x0000_s1230" style="position:absolute;left:0;text-align:left;margin-left:162.3pt;margin-top:1.95pt;width:12.75pt;height:12pt;z-index:251748864;mso-position-horizontal-relative:text;mso-position-vertical-relative:text"/>
              </w:pict>
            </w:r>
            <w:r w:rsidR="006F76EB" w:rsidRPr="00834D52">
              <w:rPr>
                <w:rFonts w:ascii="Sylfaen" w:hAnsi="Sylfaen"/>
                <w:sz w:val="24"/>
                <w:szCs w:val="24"/>
              </w:rPr>
              <w:t xml:space="preserve">համապատասխանում է՝ ոչ </w:t>
            </w:r>
            <w:r w:rsidR="006F76EB" w:rsidRPr="00834D52">
              <w:rPr>
                <w:rFonts w:ascii="Sylfaen" w:hAnsi="Sylfaen"/>
                <w:sz w:val="24"/>
                <w:szCs w:val="24"/>
                <w:lang w:val="en-US"/>
              </w:rPr>
              <w:t xml:space="preserve">                  </w:t>
            </w:r>
            <w:r w:rsidR="006F76EB" w:rsidRPr="00834D52">
              <w:rPr>
                <w:rFonts w:ascii="Sylfaen" w:hAnsi="Sylfaen"/>
                <w:sz w:val="24"/>
                <w:szCs w:val="24"/>
              </w:rPr>
              <w:t>այո</w:t>
            </w:r>
          </w:p>
        </w:tc>
      </w:tr>
    </w:tbl>
    <w:p w14:paraId="76BF72CF" w14:textId="77777777" w:rsidR="006F76EB" w:rsidRPr="00834D52" w:rsidRDefault="006F76EB" w:rsidP="002A181E">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3.5.5.</w:t>
      </w:r>
      <w:r w:rsidRPr="00834D52">
        <w:rPr>
          <w:rFonts w:ascii="Sylfaen" w:hAnsi="Sylfaen"/>
          <w:sz w:val="24"/>
          <w:szCs w:val="24"/>
        </w:rPr>
        <w:tab/>
        <w:t xml:space="preserve">ԱԴԲ-ն արտադրողը </w:t>
      </w:r>
      <w:r w:rsidR="00C54D75">
        <w:rPr>
          <w:rFonts w:ascii="Sylfaen" w:hAnsi="Sylfaen"/>
          <w:sz w:val="24"/>
          <w:szCs w:val="24"/>
        </w:rPr>
        <w:t>և</w:t>
      </w:r>
      <w:r w:rsidRPr="00834D52">
        <w:rPr>
          <w:rFonts w:ascii="Sylfaen" w:hAnsi="Sylfaen"/>
          <w:sz w:val="24"/>
          <w:szCs w:val="24"/>
        </w:rPr>
        <w:t xml:space="preserve"> արտադրական հարթակները</w:t>
      </w:r>
    </w:p>
    <w:p w14:paraId="29A45747" w14:textId="77777777" w:rsidR="006F76EB" w:rsidRPr="007F5A60"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արտադրական գործընթացին մասնակցող բոլոր արտադրական հարթակները՝ նշելով արտադրության էտապը: Կենսաբանական դեղապատրաստուկների համար պետք է թվարկվեն բջիջների գլխավոր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աշխատանքային բանկերի պահպանում իրականացնող բոլոր հարթակները </w:t>
      </w:r>
      <w:r w:rsidR="00C54D75">
        <w:rPr>
          <w:rFonts w:ascii="Sylfaen" w:hAnsi="Sylfaen"/>
          <w:sz w:val="24"/>
          <w:szCs w:val="24"/>
        </w:rPr>
        <w:t>և</w:t>
      </w:r>
      <w:r w:rsidRPr="00834D52">
        <w:rPr>
          <w:rFonts w:ascii="Sylfaen" w:hAnsi="Sylfaen"/>
          <w:sz w:val="24"/>
          <w:szCs w:val="24"/>
        </w:rPr>
        <w:t xml:space="preserve"> բջիջների աշխատանքային բանկի պատրաստում իրականացնող հարթակները:</w:t>
      </w:r>
    </w:p>
    <w:p w14:paraId="20B4FDCF" w14:textId="77777777" w:rsidR="002A181E" w:rsidRPr="007F5A60" w:rsidRDefault="002A181E" w:rsidP="006F76EB">
      <w:pPr>
        <w:spacing w:after="160" w:line="336" w:lineRule="auto"/>
        <w:ind w:right="-6" w:firstLine="567"/>
        <w:jc w:val="both"/>
        <w:rPr>
          <w:rFonts w:ascii="Sylfaen" w:eastAsia="Times New Roman" w:hAnsi="Sylfaen" w:cs="Times New Roman"/>
          <w:sz w:val="24"/>
          <w:szCs w:val="24"/>
        </w:rPr>
      </w:pP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3DC31E2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A79BED2"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արտադրական գործընթացի ընթացաշրջանի անվանումը, ակտիվ դեղաբանական բաղադրամասը</w:t>
            </w:r>
          </w:p>
        </w:tc>
        <w:tc>
          <w:tcPr>
            <w:tcW w:w="3653" w:type="dxa"/>
            <w:tcBorders>
              <w:top w:val="single" w:sz="4" w:space="0" w:color="000000"/>
              <w:left w:val="single" w:sz="4" w:space="0" w:color="000000"/>
              <w:bottom w:val="single" w:sz="4" w:space="0" w:color="000000"/>
              <w:right w:val="single" w:sz="4" w:space="0" w:color="000000"/>
            </w:tcBorders>
          </w:tcPr>
          <w:p w14:paraId="0B9A6937" w14:textId="77777777" w:rsidR="006F76EB" w:rsidRPr="00834D52" w:rsidRDefault="006F76EB" w:rsidP="002A181E">
            <w:pPr>
              <w:spacing w:after="120" w:line="240" w:lineRule="auto"/>
              <w:ind w:right="-6"/>
              <w:rPr>
                <w:rFonts w:ascii="Sylfaen" w:hAnsi="Sylfaen"/>
                <w:sz w:val="24"/>
                <w:szCs w:val="24"/>
              </w:rPr>
            </w:pPr>
          </w:p>
        </w:tc>
      </w:tr>
      <w:tr w:rsidR="006F76EB" w:rsidRPr="00834D52" w14:paraId="46AB58C5"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1696AD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իրավաբանական անձի անվանումը, անհատ ձեռնարկատեր ֆիզիկական անձի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44352A7A"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A56E2DB"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67969B0"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գործունեության իրականացման վայրի հասցեն</w:t>
            </w:r>
          </w:p>
        </w:tc>
        <w:tc>
          <w:tcPr>
            <w:tcW w:w="3653" w:type="dxa"/>
            <w:tcBorders>
              <w:top w:val="single" w:sz="4" w:space="0" w:color="000000"/>
              <w:left w:val="single" w:sz="4" w:space="0" w:color="000000"/>
              <w:bottom w:val="single" w:sz="4" w:space="0" w:color="000000"/>
              <w:right w:val="single" w:sz="4" w:space="0" w:color="000000"/>
            </w:tcBorders>
          </w:tcPr>
          <w:p w14:paraId="6AD862E5" w14:textId="77777777" w:rsidR="006F76EB" w:rsidRPr="00834D52" w:rsidRDefault="006F76EB" w:rsidP="002A181E">
            <w:pPr>
              <w:spacing w:after="120" w:line="240" w:lineRule="auto"/>
              <w:ind w:right="-6"/>
              <w:rPr>
                <w:rFonts w:ascii="Sylfaen" w:hAnsi="Sylfaen"/>
                <w:sz w:val="24"/>
                <w:szCs w:val="24"/>
              </w:rPr>
            </w:pPr>
          </w:p>
        </w:tc>
      </w:tr>
      <w:tr w:rsidR="006F76EB" w:rsidRPr="00834D52" w14:paraId="28506F5A"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249A22E"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պետությունը</w:t>
            </w:r>
          </w:p>
        </w:tc>
        <w:tc>
          <w:tcPr>
            <w:tcW w:w="3653" w:type="dxa"/>
            <w:tcBorders>
              <w:top w:val="single" w:sz="4" w:space="0" w:color="000000"/>
              <w:left w:val="single" w:sz="4" w:space="0" w:color="000000"/>
              <w:bottom w:val="single" w:sz="4" w:space="0" w:color="000000"/>
              <w:right w:val="single" w:sz="4" w:space="0" w:color="000000"/>
            </w:tcBorders>
          </w:tcPr>
          <w:p w14:paraId="1DDFA883" w14:textId="77777777" w:rsidR="006F76EB" w:rsidRPr="00834D52" w:rsidRDefault="006F76EB" w:rsidP="002A181E">
            <w:pPr>
              <w:spacing w:after="120" w:line="240" w:lineRule="auto"/>
              <w:ind w:right="-6"/>
              <w:rPr>
                <w:rFonts w:ascii="Sylfaen" w:hAnsi="Sylfaen"/>
                <w:sz w:val="24"/>
                <w:szCs w:val="24"/>
              </w:rPr>
            </w:pPr>
          </w:p>
        </w:tc>
      </w:tr>
      <w:tr w:rsidR="006F76EB" w:rsidRPr="00834D52" w14:paraId="0E33C66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0CC874B"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316F198B" w14:textId="77777777" w:rsidR="006F76EB" w:rsidRPr="00834D52" w:rsidRDefault="006F76EB" w:rsidP="002A181E">
            <w:pPr>
              <w:spacing w:after="120" w:line="240" w:lineRule="auto"/>
              <w:ind w:right="-6"/>
              <w:rPr>
                <w:rFonts w:ascii="Sylfaen" w:hAnsi="Sylfaen"/>
                <w:sz w:val="24"/>
                <w:szCs w:val="24"/>
              </w:rPr>
            </w:pPr>
          </w:p>
        </w:tc>
      </w:tr>
      <w:tr w:rsidR="006F76EB" w:rsidRPr="00834D52" w14:paraId="1CE614BF"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34F669C" w14:textId="77777777" w:rsidR="006F76EB" w:rsidRPr="00834D52" w:rsidRDefault="006F76EB" w:rsidP="002A181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8205EEA" w14:textId="77777777" w:rsidR="006F76EB" w:rsidRPr="00834D52" w:rsidRDefault="006F76EB" w:rsidP="002A181E">
            <w:pPr>
              <w:spacing w:after="120" w:line="240" w:lineRule="auto"/>
              <w:ind w:right="-6"/>
              <w:rPr>
                <w:rFonts w:ascii="Sylfaen" w:hAnsi="Sylfaen"/>
                <w:sz w:val="24"/>
                <w:szCs w:val="24"/>
              </w:rPr>
            </w:pPr>
          </w:p>
        </w:tc>
      </w:tr>
    </w:tbl>
    <w:p w14:paraId="41B69FC7" w14:textId="6E715D35" w:rsidR="006F76EB" w:rsidRPr="00834D52" w:rsidRDefault="006F76EB" w:rsidP="00762F9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ԱԴԲ-ի համար կցե՛ք լիազորված անձի </w:t>
      </w:r>
      <w:r w:rsidR="0056496B">
        <w:rPr>
          <w:rFonts w:ascii="Sylfaen" w:hAnsi="Sylfaen"/>
          <w:sz w:val="24"/>
          <w:szCs w:val="24"/>
        </w:rPr>
        <w:t>դիմում</w:t>
      </w:r>
      <w:r w:rsidRPr="00834D52">
        <w:rPr>
          <w:rFonts w:ascii="Sylfaen" w:hAnsi="Sylfaen"/>
          <w:sz w:val="24"/>
          <w:szCs w:val="24"/>
        </w:rPr>
        <w:t xml:space="preserve">ը՝ սույն </w:t>
      </w:r>
      <w:r w:rsidR="0056496B">
        <w:rPr>
          <w:rFonts w:ascii="Sylfaen" w:hAnsi="Sylfaen"/>
          <w:sz w:val="24"/>
          <w:szCs w:val="24"/>
        </w:rPr>
        <w:t>դիմում</w:t>
      </w:r>
      <w:r w:rsidRPr="00834D52">
        <w:rPr>
          <w:rFonts w:ascii="Sylfaen" w:hAnsi="Sylfaen"/>
          <w:sz w:val="24"/>
          <w:szCs w:val="24"/>
        </w:rPr>
        <w:t xml:space="preserve">ի հավելվածի 5.5 ենթակետի համաձայն (կցե՛ք այն սխեման, որը ներառում է արտադրական գործընթացում ներգրավված տարբեր արտադրական հարթակների համար հաջորդականությունը </w:t>
      </w:r>
      <w:r w:rsidR="00C54D75">
        <w:rPr>
          <w:rFonts w:ascii="Sylfaen" w:hAnsi="Sylfaen"/>
          <w:sz w:val="24"/>
          <w:szCs w:val="24"/>
        </w:rPr>
        <w:t>և</w:t>
      </w:r>
      <w:r w:rsidRPr="00834D52">
        <w:rPr>
          <w:rFonts w:ascii="Sylfaen" w:hAnsi="Sylfaen"/>
          <w:sz w:val="24"/>
          <w:szCs w:val="24"/>
        </w:rPr>
        <w:t xml:space="preserve"> գործողությունները՝ ներառյալ բացթողման համար անհրաժեշտ հսկողությունը):</w:t>
      </w:r>
    </w:p>
    <w:p w14:paraId="161C7E92" w14:textId="77777777" w:rsidR="006F76EB" w:rsidRPr="00834D52" w:rsidRDefault="006F76EB" w:rsidP="00762F9B">
      <w:pPr>
        <w:spacing w:after="160" w:line="336" w:lineRule="auto"/>
        <w:ind w:right="-8"/>
        <w:jc w:val="both"/>
        <w:rPr>
          <w:rFonts w:ascii="Sylfaen" w:eastAsia="Times New Roman" w:hAnsi="Sylfaen" w:cs="Times New Roman"/>
          <w:sz w:val="24"/>
          <w:szCs w:val="24"/>
        </w:rPr>
      </w:pPr>
      <w:r w:rsidRPr="00834D52">
        <w:rPr>
          <w:rFonts w:ascii="Sylfaen" w:hAnsi="Sylfaen"/>
          <w:sz w:val="24"/>
          <w:szCs w:val="24"/>
        </w:rPr>
        <w:t>Արդյոք Եվրասիական տնտեսական միության անդամ պետության լիազորված մարմնի կողմից անցկացվել է Եվրասիական տնտեսական միության պատշաճ արտադրական գործունեության պահանջների կատարման մասով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53FC8108" w14:textId="77777777" w:rsidTr="00F71229">
        <w:tc>
          <w:tcPr>
            <w:tcW w:w="2268" w:type="dxa"/>
          </w:tcPr>
          <w:p w14:paraId="5E306261"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DFFA8B3">
                <v:rect id="_x0000_s1257" style="position:absolute;left:0;text-align:left;margin-left:40.6pt;margin-top:3.05pt;width:12.75pt;height:12pt;z-index:251749888"/>
              </w:pict>
            </w:r>
            <w:r w:rsidR="006F76EB" w:rsidRPr="00834D52">
              <w:rPr>
                <w:rFonts w:ascii="Sylfaen" w:hAnsi="Sylfaen"/>
                <w:sz w:val="24"/>
                <w:szCs w:val="24"/>
              </w:rPr>
              <w:t>ոչ</w:t>
            </w:r>
          </w:p>
        </w:tc>
        <w:tc>
          <w:tcPr>
            <w:tcW w:w="2126" w:type="dxa"/>
          </w:tcPr>
          <w:p w14:paraId="013B1E0D"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3F7C666">
                <v:rect id="_x0000_s1256" style="position:absolute;left:0;text-align:left;margin-left:15.15pt;margin-top:3.05pt;width:12.75pt;height:12pt;z-index:251750912;mso-position-horizontal-relative:text;mso-position-vertical-relative:text"/>
              </w:pict>
            </w:r>
            <w:r w:rsidR="006F76EB" w:rsidRPr="00834D52">
              <w:rPr>
                <w:rFonts w:ascii="Sylfaen" w:hAnsi="Sylfaen"/>
                <w:sz w:val="24"/>
                <w:szCs w:val="24"/>
              </w:rPr>
              <w:t>այո</w:t>
            </w:r>
          </w:p>
        </w:tc>
      </w:tr>
    </w:tbl>
    <w:p w14:paraId="18EF0579"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ԱԴԲ-ի համար տրվել է Եվրոպական դեղագրքի մենագրությանը համապատասխանության սերտիֆիկատ</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4338A0" w14:textId="77777777" w:rsidTr="00F71229">
        <w:tc>
          <w:tcPr>
            <w:tcW w:w="2268" w:type="dxa"/>
          </w:tcPr>
          <w:p w14:paraId="24B1B1AD"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3831C22">
                <v:rect id="_x0000_s1259" style="position:absolute;left:0;text-align:left;margin-left:40.6pt;margin-top:3.05pt;width:12.75pt;height:12pt;z-index:251751936"/>
              </w:pict>
            </w:r>
            <w:r w:rsidR="006F76EB" w:rsidRPr="00834D52">
              <w:rPr>
                <w:rFonts w:ascii="Sylfaen" w:hAnsi="Sylfaen"/>
                <w:sz w:val="24"/>
                <w:szCs w:val="24"/>
              </w:rPr>
              <w:t>ոչ</w:t>
            </w:r>
          </w:p>
        </w:tc>
        <w:tc>
          <w:tcPr>
            <w:tcW w:w="2126" w:type="dxa"/>
          </w:tcPr>
          <w:p w14:paraId="4FF9EE99"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7DB1F77">
                <v:rect id="_x0000_s1258" style="position:absolute;left:0;text-align:left;margin-left:15.15pt;margin-top:3.05pt;width:12.75pt;height:12pt;z-index:251752960;mso-position-horizontal-relative:text;mso-position-vertical-relative:text"/>
              </w:pict>
            </w:r>
            <w:r w:rsidR="006F76EB" w:rsidRPr="00834D52">
              <w:rPr>
                <w:rFonts w:ascii="Sylfaen" w:hAnsi="Sylfaen"/>
                <w:sz w:val="24"/>
                <w:szCs w:val="24"/>
              </w:rPr>
              <w:t>այո</w:t>
            </w:r>
          </w:p>
        </w:tc>
      </w:tr>
    </w:tbl>
    <w:p w14:paraId="27E0322F" w14:textId="77777777" w:rsidR="006F76EB" w:rsidRPr="00834D52" w:rsidRDefault="006F76EB" w:rsidP="006F76EB">
      <w:pPr>
        <w:spacing w:after="160" w:line="360" w:lineRule="auto"/>
        <w:ind w:right="-8" w:firstLine="567"/>
        <w:rPr>
          <w:rFonts w:ascii="Sylfaen" w:hAnsi="Sylfaen"/>
          <w:sz w:val="24"/>
          <w:szCs w:val="24"/>
        </w:rPr>
      </w:pPr>
      <w:r w:rsidRPr="00834D52">
        <w:rPr>
          <w:rFonts w:ascii="Sylfaen" w:hAnsi="Sylfaen"/>
          <w:sz w:val="24"/>
          <w:szCs w:val="24"/>
        </w:rPr>
        <w:t>Եթե այո՝</w:t>
      </w:r>
    </w:p>
    <w:tbl>
      <w:tblPr>
        <w:tblW w:w="0" w:type="auto"/>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223A1042"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EF209A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0669C1B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77D503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88E67FB"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իրավաբանական անձի անվանումը կամ </w:t>
            </w:r>
            <w:r w:rsidRPr="00834D52">
              <w:rPr>
                <w:rFonts w:ascii="Sylfaen" w:hAnsi="Sylfaen"/>
                <w:sz w:val="24"/>
                <w:szCs w:val="24"/>
              </w:rPr>
              <w:lastRenderedPageBreak/>
              <w:t>ձեռնարկատեր ֆիզիկական անձի (արտադրողի) ազգանունը, անունը, հայրանունը</w:t>
            </w:r>
          </w:p>
        </w:tc>
        <w:tc>
          <w:tcPr>
            <w:tcW w:w="3653" w:type="dxa"/>
            <w:tcBorders>
              <w:top w:val="single" w:sz="4" w:space="0" w:color="000000"/>
              <w:left w:val="single" w:sz="4" w:space="0" w:color="000000"/>
              <w:bottom w:val="single" w:sz="4" w:space="0" w:color="000000"/>
              <w:right w:val="single" w:sz="4" w:space="0" w:color="000000"/>
            </w:tcBorders>
          </w:tcPr>
          <w:p w14:paraId="7A37BDE7" w14:textId="77777777" w:rsidR="006F76EB" w:rsidRPr="00834D52" w:rsidRDefault="006F76EB" w:rsidP="00762F9B">
            <w:pPr>
              <w:spacing w:after="120" w:line="240" w:lineRule="auto"/>
              <w:ind w:right="-6"/>
              <w:rPr>
                <w:rFonts w:ascii="Sylfaen" w:hAnsi="Sylfaen"/>
                <w:sz w:val="24"/>
                <w:szCs w:val="24"/>
              </w:rPr>
            </w:pPr>
          </w:p>
        </w:tc>
      </w:tr>
      <w:tr w:rsidR="006F76EB" w:rsidRPr="00834D52" w14:paraId="3CCEBFB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D7A1249"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3653" w:type="dxa"/>
            <w:tcBorders>
              <w:top w:val="single" w:sz="4" w:space="0" w:color="000000"/>
              <w:left w:val="single" w:sz="4" w:space="0" w:color="000000"/>
              <w:bottom w:val="single" w:sz="4" w:space="0" w:color="000000"/>
              <w:right w:val="single" w:sz="4" w:space="0" w:color="000000"/>
            </w:tcBorders>
          </w:tcPr>
          <w:p w14:paraId="3F1C53FC" w14:textId="77777777" w:rsidR="006F76EB" w:rsidRPr="00834D52" w:rsidRDefault="006F76EB" w:rsidP="00762F9B">
            <w:pPr>
              <w:spacing w:after="120" w:line="240" w:lineRule="auto"/>
              <w:ind w:right="-6"/>
              <w:rPr>
                <w:rFonts w:ascii="Sylfaen" w:hAnsi="Sylfaen"/>
                <w:sz w:val="24"/>
                <w:szCs w:val="24"/>
              </w:rPr>
            </w:pPr>
          </w:p>
        </w:tc>
      </w:tr>
      <w:tr w:rsidR="006F76EB" w:rsidRPr="00834D52" w14:paraId="44C1FCF6" w14:textId="77777777" w:rsidTr="00F71229">
        <w:tc>
          <w:tcPr>
            <w:tcW w:w="5957" w:type="dxa"/>
            <w:tcBorders>
              <w:top w:val="single" w:sz="4" w:space="0" w:color="000000"/>
              <w:left w:val="single" w:sz="4" w:space="0" w:color="000000"/>
              <w:bottom w:val="nil"/>
              <w:right w:val="single" w:sz="4" w:space="0" w:color="000000"/>
            </w:tcBorders>
          </w:tcPr>
          <w:p w14:paraId="629EA3A7" w14:textId="77777777" w:rsidR="006F76EB" w:rsidRPr="00834D52" w:rsidRDefault="006F76EB" w:rsidP="00762F9B">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nil"/>
              <w:right w:val="single" w:sz="4" w:space="0" w:color="000000"/>
            </w:tcBorders>
          </w:tcPr>
          <w:p w14:paraId="7AF93061" w14:textId="77777777" w:rsidR="006F76EB" w:rsidRPr="00834D52" w:rsidRDefault="006F76EB" w:rsidP="00762F9B">
            <w:pPr>
              <w:spacing w:after="120" w:line="240" w:lineRule="auto"/>
              <w:ind w:right="-6"/>
              <w:rPr>
                <w:rFonts w:ascii="Sylfaen" w:hAnsi="Sylfaen"/>
                <w:sz w:val="24"/>
                <w:szCs w:val="24"/>
              </w:rPr>
            </w:pPr>
          </w:p>
        </w:tc>
      </w:tr>
    </w:tbl>
    <w:p w14:paraId="61124FC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այլ պետության լիազորված մարմնի կողմից անցկացվել է պատշաճ արտադրական գործունեության պահանջների կատարման մասով հարթակի տեսչական ստուգում՝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ACD95B4" w14:textId="77777777" w:rsidTr="00F71229">
        <w:tc>
          <w:tcPr>
            <w:tcW w:w="2268" w:type="dxa"/>
          </w:tcPr>
          <w:p w14:paraId="168C0434"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C52ED46">
                <v:rect id="_x0000_s1261" style="position:absolute;left:0;text-align:left;margin-left:40.6pt;margin-top:3.05pt;width:12.75pt;height:12pt;z-index:251753984"/>
              </w:pict>
            </w:r>
            <w:r w:rsidR="006F76EB" w:rsidRPr="00834D52">
              <w:rPr>
                <w:rFonts w:ascii="Sylfaen" w:hAnsi="Sylfaen"/>
                <w:sz w:val="24"/>
                <w:szCs w:val="24"/>
              </w:rPr>
              <w:t>ոչ</w:t>
            </w:r>
          </w:p>
        </w:tc>
        <w:tc>
          <w:tcPr>
            <w:tcW w:w="2126" w:type="dxa"/>
          </w:tcPr>
          <w:p w14:paraId="1489F01F"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465767D">
                <v:rect id="_x0000_s1260" style="position:absolute;left:0;text-align:left;margin-left:15.15pt;margin-top:3.05pt;width:12.75pt;height:12pt;z-index:251755008;mso-position-horizontal-relative:text;mso-position-vertical-relative:text"/>
              </w:pict>
            </w:r>
            <w:r w:rsidR="006F76EB" w:rsidRPr="00834D52">
              <w:rPr>
                <w:rFonts w:ascii="Sylfaen" w:hAnsi="Sylfaen"/>
                <w:sz w:val="24"/>
                <w:szCs w:val="24"/>
              </w:rPr>
              <w:t>այո</w:t>
            </w:r>
          </w:p>
        </w:tc>
      </w:tr>
    </w:tbl>
    <w:p w14:paraId="0BF4D5F6"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 նշե՛ք՝</w:t>
      </w:r>
    </w:p>
    <w:tbl>
      <w:tblPr>
        <w:tblW w:w="9611" w:type="dxa"/>
        <w:tblInd w:w="109" w:type="dxa"/>
        <w:tblLayout w:type="fixed"/>
        <w:tblCellMar>
          <w:left w:w="0" w:type="dxa"/>
          <w:right w:w="0" w:type="dxa"/>
        </w:tblCellMar>
        <w:tblLook w:val="01E0" w:firstRow="1" w:lastRow="1" w:firstColumn="1" w:lastColumn="1" w:noHBand="0" w:noVBand="0"/>
      </w:tblPr>
      <w:tblGrid>
        <w:gridCol w:w="4259"/>
        <w:gridCol w:w="5352"/>
      </w:tblGrid>
      <w:tr w:rsidR="006F76EB" w:rsidRPr="00834D52" w14:paraId="4CF686D6"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4AC1015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տեսչական ստուգման ամսաթիվը</w:t>
            </w:r>
          </w:p>
        </w:tc>
        <w:tc>
          <w:tcPr>
            <w:tcW w:w="5352" w:type="dxa"/>
            <w:tcBorders>
              <w:top w:val="single" w:sz="4" w:space="0" w:color="000000"/>
              <w:left w:val="single" w:sz="4" w:space="0" w:color="000000"/>
              <w:bottom w:val="single" w:sz="4" w:space="0" w:color="000000"/>
              <w:right w:val="single" w:sz="4" w:space="0" w:color="000000"/>
            </w:tcBorders>
          </w:tcPr>
          <w:p w14:paraId="695DC25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716939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289F8EC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ստուգումն անցկացրած լիազորված մարմնի անվանումը</w:t>
            </w:r>
          </w:p>
        </w:tc>
        <w:tc>
          <w:tcPr>
            <w:tcW w:w="5352" w:type="dxa"/>
            <w:tcBorders>
              <w:top w:val="single" w:sz="4" w:space="0" w:color="000000"/>
              <w:left w:val="single" w:sz="4" w:space="0" w:color="000000"/>
              <w:bottom w:val="single" w:sz="4" w:space="0" w:color="000000"/>
              <w:right w:val="single" w:sz="4" w:space="0" w:color="000000"/>
            </w:tcBorders>
          </w:tcPr>
          <w:p w14:paraId="0C35CD6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CA6ED6C"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08298651"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տեսչական ստուգման տեսակը</w:t>
            </w:r>
          </w:p>
        </w:tc>
        <w:tc>
          <w:tcPr>
            <w:tcW w:w="5352" w:type="dxa"/>
            <w:tcBorders>
              <w:top w:val="single" w:sz="4" w:space="0" w:color="000000"/>
              <w:left w:val="single" w:sz="4" w:space="0" w:color="000000"/>
              <w:bottom w:val="single" w:sz="4" w:space="0" w:color="000000"/>
              <w:right w:val="single" w:sz="4" w:space="0" w:color="000000"/>
            </w:tcBorders>
          </w:tcPr>
          <w:p w14:paraId="3C127F3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F8BD03E"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AEF018F"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համապատասխանության վերաբերյալ փաստաթղթի համարը</w:t>
            </w:r>
          </w:p>
        </w:tc>
        <w:tc>
          <w:tcPr>
            <w:tcW w:w="5352" w:type="dxa"/>
            <w:tcBorders>
              <w:top w:val="single" w:sz="4" w:space="0" w:color="000000"/>
              <w:left w:val="single" w:sz="4" w:space="0" w:color="000000"/>
              <w:bottom w:val="single" w:sz="4" w:space="0" w:color="000000"/>
              <w:right w:val="single" w:sz="4" w:space="0" w:color="000000"/>
            </w:tcBorders>
          </w:tcPr>
          <w:p w14:paraId="5E1B7CB3"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8510733" w14:textId="77777777" w:rsidTr="00F71229">
        <w:tc>
          <w:tcPr>
            <w:tcW w:w="4259" w:type="dxa"/>
            <w:tcBorders>
              <w:top w:val="single" w:sz="4" w:space="0" w:color="000000"/>
              <w:left w:val="single" w:sz="4" w:space="0" w:color="000000"/>
              <w:bottom w:val="single" w:sz="4" w:space="0" w:color="000000"/>
              <w:right w:val="single" w:sz="4" w:space="0" w:color="000000"/>
            </w:tcBorders>
          </w:tcPr>
          <w:p w14:paraId="11C0C5F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եզրակացությունը</w:t>
            </w:r>
          </w:p>
        </w:tc>
        <w:tc>
          <w:tcPr>
            <w:tcW w:w="5352" w:type="dxa"/>
            <w:tcBorders>
              <w:top w:val="single" w:sz="4" w:space="0" w:color="000000"/>
              <w:left w:val="single" w:sz="4" w:space="0" w:color="000000"/>
              <w:bottom w:val="single" w:sz="4" w:space="0" w:color="000000"/>
              <w:right w:val="single" w:sz="4" w:space="0" w:color="000000"/>
            </w:tcBorders>
          </w:tcPr>
          <w:p w14:paraId="2B77A711" w14:textId="77777777" w:rsidR="006F76EB" w:rsidRPr="00834D52" w:rsidRDefault="00FC294A" w:rsidP="00BA3580">
            <w:pPr>
              <w:spacing w:after="120" w:line="240" w:lineRule="auto"/>
              <w:ind w:left="163" w:right="-6"/>
              <w:rPr>
                <w:rFonts w:ascii="Sylfaen" w:eastAsia="Times New Roman" w:hAnsi="Sylfaen" w:cs="Times New Roman"/>
                <w:sz w:val="24"/>
                <w:szCs w:val="24"/>
              </w:rPr>
            </w:pPr>
            <w:r>
              <w:rPr>
                <w:rFonts w:ascii="Sylfaen" w:eastAsia="Times New Roman" w:hAnsi="Sylfaen" w:cs="Times New Roman"/>
                <w:noProof/>
                <w:sz w:val="24"/>
                <w:szCs w:val="24"/>
              </w:rPr>
              <w:pict w14:anchorId="037F6E28">
                <v:rect id="_x0000_s1232" style="position:absolute;left:0;text-align:left;margin-left:166.7pt;margin-top:5.7pt;width:12.75pt;height:12pt;z-index:251756032;mso-position-horizontal-relative:text;mso-position-vertical-relative:text"/>
              </w:pict>
            </w:r>
            <w:r>
              <w:rPr>
                <w:rFonts w:ascii="Sylfaen" w:hAnsi="Sylfaen"/>
                <w:noProof/>
                <w:sz w:val="24"/>
                <w:szCs w:val="24"/>
              </w:rPr>
              <w:pict w14:anchorId="4AB1B8B7">
                <v:rect id="_x0000_s1233" style="position:absolute;left:0;text-align:left;margin-left:208.05pt;margin-top:5.7pt;width:12.75pt;height:12pt;z-index:251757056;mso-position-horizontal-relative:text;mso-position-vertical-relative:text"/>
              </w:pict>
            </w:r>
            <w:r w:rsidR="006F76EB" w:rsidRPr="00834D52">
              <w:rPr>
                <w:rFonts w:ascii="Sylfaen" w:hAnsi="Sylfaen"/>
                <w:sz w:val="24"/>
                <w:szCs w:val="24"/>
              </w:rPr>
              <w:t>համապատասխանում է՝ ոչ</w:t>
            </w:r>
            <w:r w:rsidR="006F76EB" w:rsidRPr="00834D52">
              <w:rPr>
                <w:rFonts w:ascii="Sylfaen" w:hAnsi="Sylfaen"/>
                <w:sz w:val="24"/>
                <w:szCs w:val="24"/>
                <w:lang w:val="en-US"/>
              </w:rPr>
              <w:t xml:space="preserve">                      </w:t>
            </w:r>
            <w:r w:rsidR="006F76EB" w:rsidRPr="00834D52">
              <w:rPr>
                <w:rFonts w:ascii="Sylfaen" w:hAnsi="Sylfaen"/>
                <w:sz w:val="24"/>
                <w:szCs w:val="24"/>
              </w:rPr>
              <w:t xml:space="preserve"> այո</w:t>
            </w:r>
          </w:p>
        </w:tc>
      </w:tr>
    </w:tbl>
    <w:p w14:paraId="478E091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գրանցման դոսյեի կազմում օգտագործվելու է ԱԴԲ-ն արտադրողի մաստեր-ֆայլը՝</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68D99A0" w14:textId="77777777" w:rsidTr="00F71229">
        <w:tc>
          <w:tcPr>
            <w:tcW w:w="2268" w:type="dxa"/>
          </w:tcPr>
          <w:p w14:paraId="2EFEAD57"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1F082990">
                <v:rect id="_x0000_s1263" style="position:absolute;left:0;text-align:left;margin-left:40.6pt;margin-top:3.05pt;width:12.75pt;height:12pt;z-index:251758080"/>
              </w:pict>
            </w:r>
            <w:r w:rsidR="006F76EB" w:rsidRPr="00834D52">
              <w:rPr>
                <w:rFonts w:ascii="Sylfaen" w:hAnsi="Sylfaen"/>
                <w:sz w:val="24"/>
                <w:szCs w:val="24"/>
              </w:rPr>
              <w:t>ոչ</w:t>
            </w:r>
          </w:p>
        </w:tc>
        <w:tc>
          <w:tcPr>
            <w:tcW w:w="2126" w:type="dxa"/>
          </w:tcPr>
          <w:p w14:paraId="7B4CA61D"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172F2E11">
                <v:rect id="_x0000_s1262" style="position:absolute;left:0;text-align:left;margin-left:15.15pt;margin-top:3.05pt;width:12.75pt;height:12pt;z-index:251759104;mso-position-horizontal-relative:text;mso-position-vertical-relative:text"/>
              </w:pict>
            </w:r>
            <w:r w:rsidR="006F76EB" w:rsidRPr="00834D52">
              <w:rPr>
                <w:rFonts w:ascii="Sylfaen" w:hAnsi="Sylfaen"/>
                <w:sz w:val="24"/>
                <w:szCs w:val="24"/>
              </w:rPr>
              <w:t>այո</w:t>
            </w:r>
          </w:p>
        </w:tc>
      </w:tr>
    </w:tbl>
    <w:p w14:paraId="414B68F7"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1E3C406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69D6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ակտիվ դեղաբանական բաղադրամասի անվանումը</w:t>
            </w:r>
          </w:p>
        </w:tc>
        <w:tc>
          <w:tcPr>
            <w:tcW w:w="3653" w:type="dxa"/>
            <w:tcBorders>
              <w:top w:val="single" w:sz="4" w:space="0" w:color="000000"/>
              <w:left w:val="single" w:sz="4" w:space="0" w:color="000000"/>
              <w:bottom w:val="single" w:sz="4" w:space="0" w:color="000000"/>
              <w:right w:val="single" w:sz="4" w:space="0" w:color="000000"/>
            </w:tcBorders>
          </w:tcPr>
          <w:p w14:paraId="69D151CE"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DCBF85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880615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մաստեր-ֆայլի իրավատիրոջ անվանումը</w:t>
            </w:r>
          </w:p>
        </w:tc>
        <w:tc>
          <w:tcPr>
            <w:tcW w:w="3653" w:type="dxa"/>
            <w:tcBorders>
              <w:top w:val="single" w:sz="4" w:space="0" w:color="000000"/>
              <w:left w:val="single" w:sz="4" w:space="0" w:color="000000"/>
              <w:bottom w:val="single" w:sz="4" w:space="0" w:color="000000"/>
              <w:right w:val="single" w:sz="4" w:space="0" w:color="000000"/>
            </w:tcBorders>
          </w:tcPr>
          <w:p w14:paraId="402385AC"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1203D4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050402A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ԱԴԲ-ն արտադրողի անվանումը, եթե նա տարբերվում է ԱԴԲ-ն արտադրողի մաստեր-ֆայլի իրավատիրոջից</w:t>
            </w:r>
          </w:p>
        </w:tc>
        <w:tc>
          <w:tcPr>
            <w:tcW w:w="3653" w:type="dxa"/>
            <w:tcBorders>
              <w:top w:val="single" w:sz="4" w:space="0" w:color="000000"/>
              <w:left w:val="single" w:sz="4" w:space="0" w:color="000000"/>
              <w:bottom w:val="single" w:sz="4" w:space="0" w:color="000000"/>
              <w:right w:val="single" w:sz="4" w:space="0" w:color="000000"/>
            </w:tcBorders>
          </w:tcPr>
          <w:p w14:paraId="05E72FC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E8E97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CDBCD2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վերջին վերանայման ամսաթիվը</w:t>
            </w:r>
          </w:p>
        </w:tc>
        <w:tc>
          <w:tcPr>
            <w:tcW w:w="3653" w:type="dxa"/>
            <w:tcBorders>
              <w:top w:val="single" w:sz="4" w:space="0" w:color="000000"/>
              <w:left w:val="single" w:sz="4" w:space="0" w:color="000000"/>
              <w:bottom w:val="single" w:sz="4" w:space="0" w:color="000000"/>
              <w:right w:val="single" w:sz="4" w:space="0" w:color="000000"/>
            </w:tcBorders>
          </w:tcPr>
          <w:p w14:paraId="3759E40D" w14:textId="77777777" w:rsidR="006F76EB" w:rsidRPr="00834D52" w:rsidRDefault="006F76EB" w:rsidP="00BA3580">
            <w:pPr>
              <w:spacing w:after="120" w:line="240" w:lineRule="auto"/>
              <w:ind w:right="-6"/>
              <w:rPr>
                <w:rFonts w:ascii="Sylfaen" w:hAnsi="Sylfaen"/>
                <w:sz w:val="24"/>
                <w:szCs w:val="24"/>
              </w:rPr>
            </w:pPr>
          </w:p>
        </w:tc>
      </w:tr>
    </w:tbl>
    <w:p w14:paraId="0F6514FD" w14:textId="57C39C7D"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Արդյոք տրվել է պատվաստանյութային հակածինի մաստեր-ֆայլի սերտիֆիկատ (այսուհետ՝ ՊՀՄՖ), որն օգտագործվում է գրանցման դոսյեում, թե </w:t>
      </w:r>
      <w:r w:rsidRPr="00834D52">
        <w:rPr>
          <w:rFonts w:ascii="Sylfaen" w:hAnsi="Sylfaen"/>
          <w:sz w:val="24"/>
          <w:szCs w:val="24"/>
        </w:rPr>
        <w:lastRenderedPageBreak/>
        <w:t xml:space="preserve">այն ստանալու </w:t>
      </w:r>
      <w:r w:rsidR="0056496B">
        <w:rPr>
          <w:rFonts w:ascii="Sylfaen" w:hAnsi="Sylfaen"/>
          <w:sz w:val="24"/>
          <w:szCs w:val="24"/>
        </w:rPr>
        <w:t>դիմում</w:t>
      </w:r>
      <w:r w:rsidRPr="00834D52">
        <w:rPr>
          <w:rFonts w:ascii="Sylfaen" w:hAnsi="Sylfaen"/>
          <w:sz w:val="24"/>
          <w:szCs w:val="24"/>
        </w:rPr>
        <w:t xml:space="preserve"> 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E7DBD75" w14:textId="77777777" w:rsidTr="00F71229">
        <w:tc>
          <w:tcPr>
            <w:tcW w:w="2268" w:type="dxa"/>
          </w:tcPr>
          <w:p w14:paraId="33E2F29F" w14:textId="77777777" w:rsidR="006F76EB" w:rsidRPr="00834D52" w:rsidRDefault="00FC294A"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806F0DC">
                <v:rect id="_x0000_s1265" style="position:absolute;left:0;text-align:left;margin-left:40.6pt;margin-top:3.05pt;width:12.75pt;height:12pt;z-index:251760128"/>
              </w:pict>
            </w:r>
            <w:r w:rsidR="006F76EB" w:rsidRPr="00834D52">
              <w:rPr>
                <w:rFonts w:ascii="Sylfaen" w:hAnsi="Sylfaen"/>
                <w:sz w:val="24"/>
                <w:szCs w:val="24"/>
              </w:rPr>
              <w:t>ոչ</w:t>
            </w:r>
          </w:p>
        </w:tc>
        <w:tc>
          <w:tcPr>
            <w:tcW w:w="2126" w:type="dxa"/>
          </w:tcPr>
          <w:p w14:paraId="248286E5" w14:textId="77777777" w:rsidR="006F76EB" w:rsidRPr="00834D52" w:rsidRDefault="00FC294A"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D52E19F">
                <v:rect id="_x0000_s1264" style="position:absolute;left:0;text-align:left;margin-left:15.15pt;margin-top:3.05pt;width:12.75pt;height:12pt;z-index:251761152;mso-position-horizontal-relative:text;mso-position-vertical-relative:text"/>
              </w:pict>
            </w:r>
            <w:r w:rsidR="006F76EB" w:rsidRPr="00834D52">
              <w:rPr>
                <w:rFonts w:ascii="Sylfaen" w:hAnsi="Sylfaen"/>
                <w:sz w:val="24"/>
                <w:szCs w:val="24"/>
              </w:rPr>
              <w:t>այո</w:t>
            </w:r>
          </w:p>
        </w:tc>
      </w:tr>
    </w:tbl>
    <w:p w14:paraId="78DA092B" w14:textId="77777777" w:rsidR="00BA3580" w:rsidRDefault="00BA3580" w:rsidP="006F76EB">
      <w:pPr>
        <w:spacing w:after="160" w:line="336" w:lineRule="auto"/>
        <w:ind w:right="-8" w:firstLine="567"/>
        <w:rPr>
          <w:rFonts w:ascii="Sylfaen" w:hAnsi="Sylfaen"/>
          <w:sz w:val="24"/>
          <w:szCs w:val="24"/>
          <w:lang w:val="en-US"/>
        </w:rPr>
      </w:pPr>
    </w:p>
    <w:p w14:paraId="5F9EA464"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928" w:type="dxa"/>
        <w:tblInd w:w="109" w:type="dxa"/>
        <w:tblLayout w:type="fixed"/>
        <w:tblCellMar>
          <w:left w:w="0" w:type="dxa"/>
          <w:right w:w="0" w:type="dxa"/>
        </w:tblCellMar>
        <w:tblLook w:val="01E0" w:firstRow="1" w:lastRow="1" w:firstColumn="1" w:lastColumn="1" w:noHBand="0" w:noVBand="0"/>
      </w:tblPr>
      <w:tblGrid>
        <w:gridCol w:w="6275"/>
        <w:gridCol w:w="3653"/>
      </w:tblGrid>
      <w:tr w:rsidR="006F76EB" w:rsidRPr="00834D52" w14:paraId="09F5FDBC"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64156E36"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հակածինի անվանումը</w:t>
            </w:r>
          </w:p>
        </w:tc>
        <w:tc>
          <w:tcPr>
            <w:tcW w:w="3653" w:type="dxa"/>
            <w:tcBorders>
              <w:top w:val="single" w:sz="4" w:space="0" w:color="000000"/>
              <w:left w:val="single" w:sz="4" w:space="0" w:color="000000"/>
              <w:bottom w:val="single" w:sz="4" w:space="0" w:color="000000"/>
              <w:right w:val="single" w:sz="4" w:space="0" w:color="000000"/>
            </w:tcBorders>
          </w:tcPr>
          <w:p w14:paraId="2531FE50" w14:textId="77777777" w:rsidR="006F76EB" w:rsidRPr="00834D52" w:rsidRDefault="006F76EB" w:rsidP="00BA3580">
            <w:pPr>
              <w:spacing w:after="120" w:line="240" w:lineRule="auto"/>
              <w:ind w:right="-6"/>
              <w:rPr>
                <w:rFonts w:ascii="Sylfaen" w:hAnsi="Sylfaen"/>
                <w:sz w:val="24"/>
                <w:szCs w:val="24"/>
              </w:rPr>
            </w:pPr>
          </w:p>
        </w:tc>
      </w:tr>
      <w:tr w:rsidR="006F76EB" w:rsidRPr="00834D52" w14:paraId="18F2EFC4"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D13D164"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պատվաստանյութային հակածինն արտադրողի (ՊՀՄՖ սերտիֆիկատին տիրապետողի) անվանումը</w:t>
            </w:r>
          </w:p>
        </w:tc>
        <w:tc>
          <w:tcPr>
            <w:tcW w:w="3653" w:type="dxa"/>
            <w:tcBorders>
              <w:top w:val="single" w:sz="4" w:space="0" w:color="000000"/>
              <w:left w:val="single" w:sz="4" w:space="0" w:color="000000"/>
              <w:bottom w:val="single" w:sz="4" w:space="0" w:color="000000"/>
              <w:right w:val="single" w:sz="4" w:space="0" w:color="000000"/>
            </w:tcBorders>
          </w:tcPr>
          <w:p w14:paraId="3C54B6B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32A24A8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3AE4DEC9" w14:textId="60E9F252" w:rsidR="006F76EB" w:rsidRPr="00834D52" w:rsidRDefault="0056496B" w:rsidP="00BA3580">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(սերտիֆիկատի) համարը</w:t>
            </w:r>
          </w:p>
        </w:tc>
        <w:tc>
          <w:tcPr>
            <w:tcW w:w="3653" w:type="dxa"/>
            <w:tcBorders>
              <w:top w:val="single" w:sz="4" w:space="0" w:color="000000"/>
              <w:left w:val="single" w:sz="4" w:space="0" w:color="000000"/>
              <w:bottom w:val="single" w:sz="4" w:space="0" w:color="000000"/>
              <w:right w:val="single" w:sz="4" w:space="0" w:color="000000"/>
            </w:tcBorders>
          </w:tcPr>
          <w:p w14:paraId="7943A1C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2FBABD97"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1712D56C"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ներկայացման ամսաթիվը (եթե քննարկման փուլում է)</w:t>
            </w:r>
          </w:p>
        </w:tc>
        <w:tc>
          <w:tcPr>
            <w:tcW w:w="3653" w:type="dxa"/>
            <w:tcBorders>
              <w:top w:val="single" w:sz="4" w:space="0" w:color="000000"/>
              <w:left w:val="single" w:sz="4" w:space="0" w:color="000000"/>
              <w:bottom w:val="single" w:sz="4" w:space="0" w:color="000000"/>
              <w:right w:val="single" w:sz="4" w:space="0" w:color="000000"/>
            </w:tcBorders>
          </w:tcPr>
          <w:p w14:paraId="48924DAD"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C4BB45D" w14:textId="77777777" w:rsidTr="00F71229">
        <w:tc>
          <w:tcPr>
            <w:tcW w:w="6275" w:type="dxa"/>
            <w:tcBorders>
              <w:top w:val="single" w:sz="4" w:space="0" w:color="000000"/>
              <w:left w:val="single" w:sz="4" w:space="0" w:color="000000"/>
              <w:bottom w:val="single" w:sz="4" w:space="0" w:color="000000"/>
              <w:right w:val="single" w:sz="4" w:space="0" w:color="000000"/>
            </w:tcBorders>
          </w:tcPr>
          <w:p w14:paraId="2A08183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առկա է)</w:t>
            </w:r>
          </w:p>
        </w:tc>
        <w:tc>
          <w:tcPr>
            <w:tcW w:w="3653" w:type="dxa"/>
            <w:tcBorders>
              <w:top w:val="single" w:sz="4" w:space="0" w:color="000000"/>
              <w:left w:val="single" w:sz="4" w:space="0" w:color="000000"/>
              <w:bottom w:val="single" w:sz="4" w:space="0" w:color="000000"/>
              <w:right w:val="single" w:sz="4" w:space="0" w:color="000000"/>
            </w:tcBorders>
          </w:tcPr>
          <w:p w14:paraId="13966920" w14:textId="77777777" w:rsidR="006F76EB" w:rsidRPr="00834D52" w:rsidRDefault="006F76EB" w:rsidP="00BA3580">
            <w:pPr>
              <w:spacing w:after="120" w:line="240" w:lineRule="auto"/>
              <w:ind w:right="-6"/>
              <w:rPr>
                <w:rFonts w:ascii="Sylfaen" w:hAnsi="Sylfaen"/>
                <w:sz w:val="24"/>
                <w:szCs w:val="24"/>
              </w:rPr>
            </w:pPr>
          </w:p>
        </w:tc>
      </w:tr>
    </w:tbl>
    <w:p w14:paraId="4F530F0E" w14:textId="77777777" w:rsidR="006F76EB" w:rsidRPr="00834D52" w:rsidRDefault="006F76EB" w:rsidP="00BA3580">
      <w:pPr>
        <w:tabs>
          <w:tab w:val="left" w:pos="1701"/>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3.5.6.</w:t>
      </w:r>
      <w:r w:rsidRPr="00834D52">
        <w:rPr>
          <w:rFonts w:ascii="Sylfaen" w:hAnsi="Sylfaen"/>
          <w:sz w:val="24"/>
          <w:szCs w:val="24"/>
        </w:rPr>
        <w:tab/>
        <w:t xml:space="preserve">Պայմանագրային հետազոտական կազմակերպությունները, որոնք ներգրավվում են կենսամատչելիության </w:t>
      </w:r>
      <w:r w:rsidR="00C54D75">
        <w:rPr>
          <w:rFonts w:ascii="Sylfaen" w:hAnsi="Sylfaen"/>
          <w:sz w:val="24"/>
          <w:szCs w:val="24"/>
        </w:rPr>
        <w:t>և</w:t>
      </w:r>
      <w:r w:rsidRPr="00834D52">
        <w:rPr>
          <w:rFonts w:ascii="Sylfaen" w:hAnsi="Sylfaen"/>
          <w:sz w:val="24"/>
          <w:szCs w:val="24"/>
        </w:rPr>
        <w:t xml:space="preserve"> (կամ) կենսահամարժեքության որոշման համար կլինիկական հետազոտություններին, կամ որոնք ներգրավվել են արյան պատրաստուկների արտադրական գործընթացների վալիդացմանը</w:t>
      </w:r>
    </w:p>
    <w:p w14:paraId="40755990" w14:textId="77777777" w:rsidR="006F76EB" w:rsidRPr="00834D52" w:rsidRDefault="006F76EB" w:rsidP="006F76EB">
      <w:pPr>
        <w:spacing w:after="160" w:line="336" w:lineRule="auto"/>
        <w:ind w:right="-6" w:firstLine="567"/>
        <w:jc w:val="both"/>
        <w:rPr>
          <w:rFonts w:ascii="Sylfaen" w:hAnsi="Sylfaen"/>
          <w:sz w:val="24"/>
          <w:szCs w:val="24"/>
        </w:rPr>
      </w:pPr>
      <w:r w:rsidRPr="00834D52">
        <w:rPr>
          <w:rFonts w:ascii="Sylfaen" w:hAnsi="Sylfaen"/>
          <w:sz w:val="24"/>
          <w:szCs w:val="24"/>
        </w:rPr>
        <w:t xml:space="preserve">Յուրաքանչյուր պայմանագրային հետազոտական կազմակերպության համար նշե՛ք, թե որտեղ են անցկացվել վերլուծական փորձարկումները </w:t>
      </w:r>
      <w:r w:rsidR="00C54D75">
        <w:rPr>
          <w:rFonts w:ascii="Sylfaen" w:hAnsi="Sylfaen"/>
          <w:sz w:val="24"/>
          <w:szCs w:val="24"/>
        </w:rPr>
        <w:t>և</w:t>
      </w:r>
      <w:r w:rsidRPr="00834D52">
        <w:rPr>
          <w:rFonts w:ascii="Sylfaen" w:hAnsi="Sylfaen"/>
          <w:sz w:val="24"/>
          <w:szCs w:val="24"/>
        </w:rPr>
        <w:t xml:space="preserve"> իրականացվել կլինիկական տվյալների հավաքագրումը, ինչպես նա</w:t>
      </w:r>
      <w:r w:rsidR="00C54D75">
        <w:rPr>
          <w:rFonts w:ascii="Sylfaen" w:hAnsi="Sylfaen"/>
          <w:sz w:val="24"/>
          <w:szCs w:val="24"/>
        </w:rPr>
        <w:t>և</w:t>
      </w:r>
      <w:r w:rsidRPr="00834D52">
        <w:rPr>
          <w:rFonts w:ascii="Sylfaen" w:hAnsi="Sylfaen"/>
          <w:sz w:val="24"/>
          <w:szCs w:val="24"/>
        </w:rPr>
        <w:t>՝</w:t>
      </w:r>
    </w:p>
    <w:tbl>
      <w:tblPr>
        <w:tblW w:w="9610" w:type="dxa"/>
        <w:tblInd w:w="109" w:type="dxa"/>
        <w:tblLayout w:type="fixed"/>
        <w:tblCellMar>
          <w:left w:w="0" w:type="dxa"/>
          <w:right w:w="0" w:type="dxa"/>
        </w:tblCellMar>
        <w:tblLook w:val="01E0" w:firstRow="1" w:lastRow="1" w:firstColumn="1" w:lastColumn="1" w:noHBand="0" w:noVBand="0"/>
      </w:tblPr>
      <w:tblGrid>
        <w:gridCol w:w="5957"/>
        <w:gridCol w:w="3653"/>
      </w:tblGrid>
      <w:tr w:rsidR="006F76EB" w:rsidRPr="00834D52" w14:paraId="4E40AFC6"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70F9BC1B"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հետազոտության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37B24CFF"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5DBB2E7"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22A4104E"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արձանագրության ծածկագիրը</w:t>
            </w:r>
          </w:p>
        </w:tc>
        <w:tc>
          <w:tcPr>
            <w:tcW w:w="3653" w:type="dxa"/>
            <w:tcBorders>
              <w:top w:val="single" w:sz="4" w:space="0" w:color="000000"/>
              <w:left w:val="single" w:sz="4" w:space="0" w:color="000000"/>
              <w:bottom w:val="single" w:sz="4" w:space="0" w:color="000000"/>
              <w:right w:val="single" w:sz="4" w:space="0" w:color="000000"/>
            </w:tcBorders>
          </w:tcPr>
          <w:p w14:paraId="0B123DDB"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73A06F4"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6B3888"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EudraCT-ի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7464B9D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50E68B0E"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6829B21A"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ClinicalTrials.gov-ի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22A28C2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6F0FD4E0"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37717359"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պայմանագրային հետազոտական կազմակերպության անվանումը</w:t>
            </w:r>
          </w:p>
        </w:tc>
        <w:tc>
          <w:tcPr>
            <w:tcW w:w="3653" w:type="dxa"/>
            <w:tcBorders>
              <w:top w:val="single" w:sz="4" w:space="0" w:color="000000"/>
              <w:left w:val="single" w:sz="4" w:space="0" w:color="000000"/>
              <w:bottom w:val="single" w:sz="4" w:space="0" w:color="000000"/>
              <w:right w:val="single" w:sz="4" w:space="0" w:color="000000"/>
            </w:tcBorders>
          </w:tcPr>
          <w:p w14:paraId="16630051" w14:textId="77777777" w:rsidR="006F76EB" w:rsidRPr="00834D52" w:rsidRDefault="006F76EB" w:rsidP="00BA3580">
            <w:pPr>
              <w:spacing w:after="120" w:line="240" w:lineRule="auto"/>
              <w:ind w:right="-6"/>
              <w:rPr>
                <w:rFonts w:ascii="Sylfaen" w:hAnsi="Sylfaen"/>
                <w:sz w:val="24"/>
                <w:szCs w:val="24"/>
              </w:rPr>
            </w:pPr>
          </w:p>
        </w:tc>
      </w:tr>
      <w:tr w:rsidR="006F76EB" w:rsidRPr="00834D52" w14:paraId="7CBC5081"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4D669115" w14:textId="77777777" w:rsidR="006F76EB" w:rsidRPr="00834D52" w:rsidRDefault="006F76EB" w:rsidP="00BA3580">
            <w:pPr>
              <w:spacing w:after="120" w:line="240" w:lineRule="auto"/>
              <w:ind w:left="112" w:right="-6"/>
              <w:rPr>
                <w:rFonts w:ascii="Sylfaen" w:eastAsia="Times New Roman" w:hAnsi="Sylfaen" w:cs="Times New Roman"/>
                <w:sz w:val="24"/>
                <w:szCs w:val="24"/>
                <w:lang w:val="en-US"/>
              </w:rPr>
            </w:pPr>
            <w:r w:rsidRPr="00834D52">
              <w:rPr>
                <w:rFonts w:ascii="Sylfaen" w:hAnsi="Sylfaen"/>
                <w:sz w:val="24"/>
                <w:szCs w:val="24"/>
              </w:rPr>
              <w:t>պայմանագրային հետազոտական կազմակերպության հասցեն</w:t>
            </w:r>
          </w:p>
        </w:tc>
        <w:tc>
          <w:tcPr>
            <w:tcW w:w="3653" w:type="dxa"/>
            <w:tcBorders>
              <w:top w:val="single" w:sz="4" w:space="0" w:color="000000"/>
              <w:left w:val="single" w:sz="4" w:space="0" w:color="000000"/>
              <w:bottom w:val="single" w:sz="4" w:space="0" w:color="000000"/>
              <w:right w:val="single" w:sz="4" w:space="0" w:color="000000"/>
            </w:tcBorders>
          </w:tcPr>
          <w:p w14:paraId="72D8A845" w14:textId="77777777" w:rsidR="006F76EB" w:rsidRPr="00834D52" w:rsidRDefault="006F76EB" w:rsidP="00BA3580">
            <w:pPr>
              <w:spacing w:after="120" w:line="240" w:lineRule="auto"/>
              <w:ind w:right="-6"/>
              <w:rPr>
                <w:rFonts w:ascii="Sylfaen" w:hAnsi="Sylfaen"/>
                <w:sz w:val="24"/>
                <w:szCs w:val="24"/>
              </w:rPr>
            </w:pPr>
          </w:p>
        </w:tc>
      </w:tr>
      <w:tr w:rsidR="006F76EB" w:rsidRPr="00834D52" w14:paraId="04FDFBA9"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5F69655D"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 xml:space="preserve">հեռախոսահամարը </w:t>
            </w:r>
            <w:r w:rsidR="00C54D75">
              <w:rPr>
                <w:rFonts w:ascii="Sylfaen" w:hAnsi="Sylfaen"/>
                <w:sz w:val="24"/>
                <w:szCs w:val="24"/>
              </w:rPr>
              <w:t>և</w:t>
            </w:r>
            <w:r w:rsidRPr="00834D52">
              <w:rPr>
                <w:rFonts w:ascii="Sylfaen" w:hAnsi="Sylfaen"/>
                <w:sz w:val="24"/>
                <w:szCs w:val="24"/>
              </w:rPr>
              <w:t xml:space="preserve"> ֆաքսի համարը (առկայության դեպքում)</w:t>
            </w:r>
          </w:p>
        </w:tc>
        <w:tc>
          <w:tcPr>
            <w:tcW w:w="3653" w:type="dxa"/>
            <w:tcBorders>
              <w:top w:val="single" w:sz="4" w:space="0" w:color="000000"/>
              <w:left w:val="single" w:sz="4" w:space="0" w:color="000000"/>
              <w:bottom w:val="single" w:sz="4" w:space="0" w:color="000000"/>
              <w:right w:val="single" w:sz="4" w:space="0" w:color="000000"/>
            </w:tcBorders>
          </w:tcPr>
          <w:p w14:paraId="69628E67" w14:textId="77777777" w:rsidR="006F76EB" w:rsidRPr="00834D52" w:rsidRDefault="006F76EB" w:rsidP="00BA3580">
            <w:pPr>
              <w:spacing w:after="120" w:line="240" w:lineRule="auto"/>
              <w:ind w:right="-6"/>
              <w:rPr>
                <w:rFonts w:ascii="Sylfaen" w:hAnsi="Sylfaen"/>
                <w:sz w:val="24"/>
                <w:szCs w:val="24"/>
              </w:rPr>
            </w:pPr>
          </w:p>
        </w:tc>
      </w:tr>
      <w:tr w:rsidR="006F76EB" w:rsidRPr="00834D52" w14:paraId="42EEE4BD" w14:textId="77777777" w:rsidTr="00F71229">
        <w:tc>
          <w:tcPr>
            <w:tcW w:w="5957" w:type="dxa"/>
            <w:tcBorders>
              <w:top w:val="single" w:sz="4" w:space="0" w:color="000000"/>
              <w:left w:val="single" w:sz="4" w:space="0" w:color="000000"/>
              <w:bottom w:val="single" w:sz="4" w:space="0" w:color="000000"/>
              <w:right w:val="single" w:sz="4" w:space="0" w:color="000000"/>
            </w:tcBorders>
          </w:tcPr>
          <w:p w14:paraId="1EAC27A3" w14:textId="77777777" w:rsidR="006F76EB" w:rsidRPr="00834D52" w:rsidRDefault="006F76EB" w:rsidP="00BA3580">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էլեկտրոնային փոստի հասցեն</w:t>
            </w:r>
          </w:p>
        </w:tc>
        <w:tc>
          <w:tcPr>
            <w:tcW w:w="3653" w:type="dxa"/>
            <w:tcBorders>
              <w:top w:val="single" w:sz="4" w:space="0" w:color="000000"/>
              <w:left w:val="single" w:sz="4" w:space="0" w:color="000000"/>
              <w:bottom w:val="single" w:sz="4" w:space="0" w:color="000000"/>
              <w:right w:val="single" w:sz="4" w:space="0" w:color="000000"/>
            </w:tcBorders>
          </w:tcPr>
          <w:p w14:paraId="4D795641" w14:textId="77777777" w:rsidR="006F76EB" w:rsidRPr="00834D52" w:rsidRDefault="006F76EB" w:rsidP="00BA3580">
            <w:pPr>
              <w:spacing w:after="120" w:line="240" w:lineRule="auto"/>
              <w:ind w:right="-6"/>
              <w:rPr>
                <w:rFonts w:ascii="Sylfaen" w:hAnsi="Sylfaen"/>
                <w:sz w:val="24"/>
                <w:szCs w:val="24"/>
              </w:rPr>
            </w:pPr>
          </w:p>
        </w:tc>
      </w:tr>
    </w:tbl>
    <w:p w14:paraId="61C9FA6E" w14:textId="77777777" w:rsidR="006F76EB" w:rsidRPr="00834D52" w:rsidRDefault="006F76EB" w:rsidP="00BA3580">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w:t>
      </w:r>
    </w:p>
    <w:p w14:paraId="1C992AA6" w14:textId="77777777" w:rsidR="006F76EB" w:rsidRPr="00834D52" w:rsidRDefault="006F76EB" w:rsidP="00BA3580">
      <w:pPr>
        <w:tabs>
          <w:tab w:val="left" w:pos="1701"/>
        </w:tabs>
        <w:spacing w:after="160" w:line="360" w:lineRule="auto"/>
        <w:ind w:right="1780" w:firstLine="567"/>
        <w:jc w:val="both"/>
        <w:rPr>
          <w:rFonts w:ascii="Sylfaen" w:eastAsia="Times New Roman" w:hAnsi="Sylfaen" w:cs="Times New Roman"/>
          <w:sz w:val="24"/>
          <w:szCs w:val="24"/>
        </w:rPr>
      </w:pPr>
      <w:r w:rsidRPr="00834D52">
        <w:rPr>
          <w:rFonts w:ascii="Sylfaen" w:hAnsi="Sylfaen"/>
          <w:sz w:val="24"/>
          <w:szCs w:val="24"/>
        </w:rPr>
        <w:lastRenderedPageBreak/>
        <w:t>3.6.1.</w:t>
      </w:r>
      <w:r w:rsidRPr="00834D52">
        <w:rPr>
          <w:rFonts w:ascii="Sylfaen" w:hAnsi="Sylfaen"/>
          <w:sz w:val="24"/>
          <w:szCs w:val="24"/>
        </w:rPr>
        <w:tab/>
        <w:t xml:space="preserve">Դեղապատրաստուկի որակական </w:t>
      </w:r>
      <w:r w:rsidR="00C54D75">
        <w:rPr>
          <w:rFonts w:ascii="Sylfaen" w:hAnsi="Sylfaen"/>
          <w:sz w:val="24"/>
          <w:szCs w:val="24"/>
        </w:rPr>
        <w:t>և</w:t>
      </w:r>
      <w:r w:rsidRPr="00834D52">
        <w:rPr>
          <w:rFonts w:ascii="Sylfaen" w:hAnsi="Sylfaen"/>
          <w:sz w:val="24"/>
          <w:szCs w:val="24"/>
        </w:rPr>
        <w:t xml:space="preserve"> քանակական բաղադրությունը (ԱԴԲ-ն </w:t>
      </w:r>
      <w:r w:rsidR="00C54D75">
        <w:rPr>
          <w:rFonts w:ascii="Sylfaen" w:hAnsi="Sylfaen"/>
          <w:sz w:val="24"/>
          <w:szCs w:val="24"/>
        </w:rPr>
        <w:t>և</w:t>
      </w:r>
      <w:r w:rsidRPr="00834D52">
        <w:rPr>
          <w:rFonts w:ascii="Sylfaen" w:hAnsi="Sylfaen"/>
          <w:sz w:val="24"/>
          <w:szCs w:val="24"/>
        </w:rPr>
        <w:t xml:space="preserve"> օժանդակ նյութերը)</w:t>
      </w:r>
    </w:p>
    <w:p w14:paraId="3B05F03B"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Անհրաժեշտ է նշել, թե որ միավորի հաշվով է բաղադրությունը (դոզավորված ձ</w:t>
      </w:r>
      <w:r w:rsidR="00C54D75">
        <w:rPr>
          <w:rFonts w:ascii="Sylfaen" w:hAnsi="Sylfaen"/>
          <w:sz w:val="24"/>
          <w:szCs w:val="24"/>
        </w:rPr>
        <w:t>և</w:t>
      </w:r>
      <w:r w:rsidRPr="00834D52">
        <w:rPr>
          <w:rFonts w:ascii="Sylfaen" w:hAnsi="Sylfaen"/>
          <w:sz w:val="24"/>
          <w:szCs w:val="24"/>
        </w:rPr>
        <w:t xml:space="preserve">ի միավորի, ծավալի միավորի, զանգվածի միավորի </w:t>
      </w:r>
      <w:r w:rsidR="00C54D75">
        <w:rPr>
          <w:rFonts w:ascii="Sylfaen" w:hAnsi="Sylfaen"/>
          <w:sz w:val="24"/>
          <w:szCs w:val="24"/>
        </w:rPr>
        <w:t>և</w:t>
      </w:r>
      <w:r w:rsidRPr="00834D52">
        <w:rPr>
          <w:rFonts w:ascii="Sylfaen" w:hAnsi="Sylfaen"/>
          <w:sz w:val="24"/>
          <w:szCs w:val="24"/>
        </w:rPr>
        <w:t xml:space="preserve"> այլն):</w:t>
      </w:r>
    </w:p>
    <w:p w14:paraId="6DDDDDAC" w14:textId="77777777" w:rsidR="006F76EB" w:rsidRPr="00834D52" w:rsidRDefault="006F76EB" w:rsidP="006F76EB">
      <w:pPr>
        <w:spacing w:after="160" w:line="360" w:lineRule="auto"/>
        <w:ind w:right="-8" w:firstLine="567"/>
        <w:rPr>
          <w:rFonts w:ascii="Sylfaen" w:eastAsia="Times New Roman" w:hAnsi="Sylfaen" w:cs="Times New Roman"/>
          <w:sz w:val="24"/>
          <w:szCs w:val="24"/>
        </w:rPr>
      </w:pPr>
      <w:r w:rsidRPr="00834D52">
        <w:rPr>
          <w:rFonts w:ascii="Sylfaen" w:hAnsi="Sylfaen"/>
          <w:sz w:val="24"/>
          <w:szCs w:val="24"/>
        </w:rPr>
        <w:t>Թվարկեք ԱԴԲ-ն՝ օժանդակ նյութերից առանձին</w:t>
      </w:r>
    </w:p>
    <w:tbl>
      <w:tblPr>
        <w:tblW w:w="9565" w:type="dxa"/>
        <w:tblInd w:w="222" w:type="dxa"/>
        <w:tblLayout w:type="fixed"/>
        <w:tblCellMar>
          <w:left w:w="0" w:type="dxa"/>
          <w:right w:w="0" w:type="dxa"/>
        </w:tblCellMar>
        <w:tblLook w:val="01E0" w:firstRow="1" w:lastRow="1" w:firstColumn="1" w:lastColumn="1" w:noHBand="0" w:noVBand="0"/>
      </w:tblPr>
      <w:tblGrid>
        <w:gridCol w:w="634"/>
        <w:gridCol w:w="2410"/>
        <w:gridCol w:w="3401"/>
        <w:gridCol w:w="1277"/>
        <w:gridCol w:w="1843"/>
      </w:tblGrid>
      <w:tr w:rsidR="006F76EB" w:rsidRPr="00834D52" w14:paraId="7B8EDF9B" w14:textId="77777777" w:rsidTr="0099364A">
        <w:trPr>
          <w:trHeight w:val="1524"/>
        </w:trPr>
        <w:tc>
          <w:tcPr>
            <w:tcW w:w="634" w:type="dxa"/>
            <w:tcBorders>
              <w:top w:val="single" w:sz="4" w:space="0" w:color="000000"/>
              <w:left w:val="single" w:sz="4" w:space="0" w:color="000000"/>
              <w:bottom w:val="single" w:sz="4" w:space="0" w:color="000000"/>
              <w:right w:val="single" w:sz="4" w:space="0" w:color="000000"/>
            </w:tcBorders>
            <w:vAlign w:val="center"/>
          </w:tcPr>
          <w:p w14:paraId="738E124E"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2C61403C"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ԱԴԲ-ի անվանումը </w:t>
            </w:r>
          </w:p>
        </w:tc>
        <w:tc>
          <w:tcPr>
            <w:tcW w:w="3401" w:type="dxa"/>
            <w:tcBorders>
              <w:top w:val="single" w:sz="4" w:space="0" w:color="000000"/>
              <w:left w:val="single" w:sz="4" w:space="0" w:color="000000"/>
              <w:bottom w:val="single" w:sz="4" w:space="0" w:color="000000"/>
              <w:right w:val="single" w:sz="4" w:space="0" w:color="000000"/>
            </w:tcBorders>
            <w:vAlign w:val="center"/>
          </w:tcPr>
          <w:p w14:paraId="29EA080D"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1243B4CA"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4A7B699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Հոդված (մենագրություն) </w:t>
            </w:r>
          </w:p>
        </w:tc>
      </w:tr>
      <w:tr w:rsidR="006F76EB" w:rsidRPr="00834D52" w14:paraId="10C05BC1" w14:textId="77777777" w:rsidTr="0099364A">
        <w:trPr>
          <w:trHeight w:val="1549"/>
        </w:trPr>
        <w:tc>
          <w:tcPr>
            <w:tcW w:w="634" w:type="dxa"/>
            <w:tcBorders>
              <w:top w:val="single" w:sz="4" w:space="0" w:color="000000"/>
              <w:left w:val="single" w:sz="4" w:space="0" w:color="000000"/>
              <w:bottom w:val="single" w:sz="4" w:space="0" w:color="000000"/>
              <w:right w:val="single" w:sz="4" w:space="0" w:color="000000"/>
            </w:tcBorders>
            <w:vAlign w:val="center"/>
          </w:tcPr>
          <w:p w14:paraId="33253306"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թիվ</w:t>
            </w:r>
          </w:p>
        </w:tc>
        <w:tc>
          <w:tcPr>
            <w:tcW w:w="2410" w:type="dxa"/>
            <w:tcBorders>
              <w:top w:val="single" w:sz="4" w:space="0" w:color="000000"/>
              <w:left w:val="single" w:sz="4" w:space="0" w:color="000000"/>
              <w:bottom w:val="single" w:sz="4" w:space="0" w:color="000000"/>
              <w:right w:val="single" w:sz="4" w:space="0" w:color="000000"/>
            </w:tcBorders>
            <w:vAlign w:val="center"/>
          </w:tcPr>
          <w:p w14:paraId="35232E71"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Օժանդակ նյութերի անվանումը</w:t>
            </w:r>
          </w:p>
        </w:tc>
        <w:tc>
          <w:tcPr>
            <w:tcW w:w="3401" w:type="dxa"/>
            <w:tcBorders>
              <w:top w:val="single" w:sz="4" w:space="0" w:color="000000"/>
              <w:left w:val="single" w:sz="4" w:space="0" w:color="000000"/>
              <w:bottom w:val="single" w:sz="4" w:space="0" w:color="000000"/>
              <w:right w:val="single" w:sz="4" w:space="0" w:color="000000"/>
            </w:tcBorders>
            <w:vAlign w:val="center"/>
          </w:tcPr>
          <w:p w14:paraId="21B986E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 xml:space="preserve">Քանակը (զանգվածի, ծավալի, ակտիվության կամ խտության </w:t>
            </w:r>
            <w:r w:rsidR="00C54D75">
              <w:rPr>
                <w:rFonts w:ascii="Sylfaen" w:hAnsi="Sylfaen"/>
                <w:sz w:val="24"/>
                <w:szCs w:val="24"/>
              </w:rPr>
              <w:t>և</w:t>
            </w:r>
            <w:r w:rsidRPr="00834D52">
              <w:rPr>
                <w:rFonts w:ascii="Sylfaen" w:hAnsi="Sylfaen"/>
                <w:sz w:val="24"/>
                <w:szCs w:val="24"/>
              </w:rPr>
              <w:t xml:space="preserve"> այլ միավորներով)</w:t>
            </w:r>
          </w:p>
        </w:tc>
        <w:tc>
          <w:tcPr>
            <w:tcW w:w="1277" w:type="dxa"/>
            <w:tcBorders>
              <w:top w:val="single" w:sz="4" w:space="0" w:color="000000"/>
              <w:left w:val="single" w:sz="4" w:space="0" w:color="000000"/>
              <w:bottom w:val="single" w:sz="4" w:space="0" w:color="000000"/>
              <w:right w:val="single" w:sz="4" w:space="0" w:color="000000"/>
            </w:tcBorders>
            <w:vAlign w:val="center"/>
          </w:tcPr>
          <w:p w14:paraId="657954A9"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Չափման միավորը</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1C430" w14:textId="77777777" w:rsidR="006F76EB" w:rsidRPr="00834D52" w:rsidRDefault="006F76EB" w:rsidP="00BA3580">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Հոդված (մենագրություն)</w:t>
            </w:r>
          </w:p>
        </w:tc>
      </w:tr>
    </w:tbl>
    <w:p w14:paraId="3E8CA765" w14:textId="77777777" w:rsidR="006F76EB" w:rsidRPr="00834D52" w:rsidRDefault="006F76EB" w:rsidP="006F76EB">
      <w:pPr>
        <w:spacing w:after="160" w:line="360" w:lineRule="auto"/>
        <w:ind w:right="-8" w:firstLine="567"/>
        <w:jc w:val="both"/>
        <w:rPr>
          <w:rFonts w:ascii="Sylfaen" w:eastAsia="Times New Roman" w:hAnsi="Sylfaen" w:cs="Times New Roman"/>
          <w:spacing w:val="-4"/>
          <w:sz w:val="24"/>
          <w:szCs w:val="24"/>
        </w:rPr>
      </w:pPr>
      <w:r w:rsidRPr="00834D52">
        <w:rPr>
          <w:rFonts w:ascii="Sylfaen" w:hAnsi="Sylfaen"/>
          <w:spacing w:val="-4"/>
          <w:sz w:val="24"/>
          <w:szCs w:val="24"/>
        </w:rPr>
        <w:t>Ծանոթագրություն. Յուրաքանչյուր ԱԴԲ-ի համար միայն մեկ անվանում պետք</w:t>
      </w:r>
      <w:r w:rsidRPr="00A97FD7">
        <w:rPr>
          <w:rFonts w:ascii="Sylfaen" w:hAnsi="Sylfaen"/>
          <w:spacing w:val="-4"/>
          <w:sz w:val="24"/>
          <w:szCs w:val="24"/>
        </w:rPr>
        <w:t> </w:t>
      </w:r>
      <w:r w:rsidRPr="00834D52">
        <w:rPr>
          <w:rFonts w:ascii="Sylfaen" w:hAnsi="Sylfaen"/>
          <w:spacing w:val="-4"/>
          <w:sz w:val="24"/>
          <w:szCs w:val="24"/>
        </w:rPr>
        <w:t>է նշել հետ</w:t>
      </w:r>
      <w:r w:rsidR="00C54D75">
        <w:rPr>
          <w:rFonts w:ascii="Sylfaen" w:hAnsi="Sylfaen"/>
          <w:spacing w:val="-4"/>
          <w:sz w:val="24"/>
          <w:szCs w:val="24"/>
        </w:rPr>
        <w:t>և</w:t>
      </w:r>
      <w:r w:rsidRPr="00834D52">
        <w:rPr>
          <w:rFonts w:ascii="Sylfaen" w:hAnsi="Sylfaen"/>
          <w:spacing w:val="-4"/>
          <w:sz w:val="24"/>
          <w:szCs w:val="24"/>
        </w:rPr>
        <w:t>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խմբային անվանումը, գիտական (քիմիական) անունը:</w:t>
      </w:r>
    </w:p>
    <w:p w14:paraId="34FEB4F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footnoteReference w:customMarkFollows="1" w:id="19"/>
        <w:t>Չի թույլատրվում ավելցուկի մասին տեղեկությունները նշել բաղադրությանը վերաբերող սյունակներում, դրանք անհրաժեշտ է շարադրել ստոր</w:t>
      </w:r>
      <w:r w:rsidR="00C54D75">
        <w:rPr>
          <w:rFonts w:ascii="Sylfaen" w:hAnsi="Sylfaen"/>
          <w:sz w:val="24"/>
          <w:szCs w:val="24"/>
        </w:rPr>
        <w:t>և</w:t>
      </w:r>
      <w:r w:rsidRPr="00834D52">
        <w:rPr>
          <w:rFonts w:ascii="Sylfaen" w:hAnsi="Sylfaen"/>
          <w:sz w:val="24"/>
          <w:szCs w:val="24"/>
        </w:rPr>
        <w:t>՝</w:t>
      </w:r>
    </w:p>
    <w:tbl>
      <w:tblPr>
        <w:tblW w:w="9577" w:type="dxa"/>
        <w:tblInd w:w="109" w:type="dxa"/>
        <w:tblLayout w:type="fixed"/>
        <w:tblCellMar>
          <w:left w:w="0" w:type="dxa"/>
          <w:right w:w="0" w:type="dxa"/>
        </w:tblCellMar>
        <w:tblLook w:val="01E0" w:firstRow="1" w:lastRow="1" w:firstColumn="1" w:lastColumn="1" w:noHBand="0" w:noVBand="0"/>
      </w:tblPr>
      <w:tblGrid>
        <w:gridCol w:w="6219"/>
        <w:gridCol w:w="3358"/>
      </w:tblGrid>
      <w:tr w:rsidR="006F76EB" w:rsidRPr="00834D52" w14:paraId="157CD58E" w14:textId="77777777" w:rsidTr="0099364A">
        <w:trPr>
          <w:trHeight w:val="791"/>
        </w:trPr>
        <w:tc>
          <w:tcPr>
            <w:tcW w:w="6219" w:type="dxa"/>
            <w:tcBorders>
              <w:top w:val="single" w:sz="4" w:space="0" w:color="000000"/>
              <w:left w:val="single" w:sz="4" w:space="0" w:color="000000"/>
              <w:bottom w:val="single" w:sz="4" w:space="0" w:color="000000"/>
              <w:right w:val="single" w:sz="4" w:space="0" w:color="000000"/>
            </w:tcBorders>
          </w:tcPr>
          <w:p w14:paraId="2A7066EE"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ակտիվ դեղագործական բաղադրամասեր</w:t>
            </w:r>
          </w:p>
        </w:tc>
        <w:tc>
          <w:tcPr>
            <w:tcW w:w="3358" w:type="dxa"/>
            <w:tcBorders>
              <w:top w:val="single" w:sz="4" w:space="0" w:color="000000"/>
              <w:left w:val="single" w:sz="4" w:space="0" w:color="000000"/>
              <w:bottom w:val="single" w:sz="4" w:space="0" w:color="000000"/>
              <w:right w:val="single" w:sz="4" w:space="0" w:color="000000"/>
            </w:tcBorders>
          </w:tcPr>
          <w:p w14:paraId="35298916" w14:textId="77777777" w:rsidR="006F76EB" w:rsidRPr="00834D52" w:rsidRDefault="006F76EB" w:rsidP="00714E9D">
            <w:pPr>
              <w:spacing w:after="0" w:line="240" w:lineRule="auto"/>
              <w:ind w:right="-6"/>
              <w:rPr>
                <w:rFonts w:ascii="Sylfaen" w:hAnsi="Sylfaen"/>
                <w:sz w:val="24"/>
                <w:szCs w:val="24"/>
              </w:rPr>
            </w:pPr>
          </w:p>
        </w:tc>
      </w:tr>
      <w:tr w:rsidR="006F76EB" w:rsidRPr="00834D52" w14:paraId="39FA4040" w14:textId="77777777" w:rsidTr="0099364A">
        <w:trPr>
          <w:trHeight w:val="835"/>
        </w:trPr>
        <w:tc>
          <w:tcPr>
            <w:tcW w:w="6219" w:type="dxa"/>
            <w:tcBorders>
              <w:top w:val="single" w:sz="4" w:space="0" w:color="000000"/>
              <w:left w:val="single" w:sz="4" w:space="0" w:color="000000"/>
              <w:bottom w:val="single" w:sz="4" w:space="0" w:color="000000"/>
              <w:right w:val="single" w:sz="4" w:space="0" w:color="000000"/>
            </w:tcBorders>
          </w:tcPr>
          <w:p w14:paraId="711963C7" w14:textId="77777777" w:rsidR="006F76EB" w:rsidRPr="00834D52" w:rsidRDefault="006F76EB" w:rsidP="00714E9D">
            <w:pPr>
              <w:spacing w:after="0" w:line="240" w:lineRule="auto"/>
              <w:ind w:left="112" w:right="-6"/>
              <w:rPr>
                <w:rFonts w:ascii="Sylfaen" w:eastAsia="Times New Roman" w:hAnsi="Sylfaen" w:cs="Times New Roman"/>
                <w:sz w:val="24"/>
                <w:szCs w:val="24"/>
              </w:rPr>
            </w:pPr>
            <w:r w:rsidRPr="00834D52">
              <w:rPr>
                <w:rFonts w:ascii="Sylfaen" w:hAnsi="Sylfaen"/>
                <w:sz w:val="24"/>
                <w:szCs w:val="24"/>
              </w:rPr>
              <w:t>օժանդակ նյութ (եր)</w:t>
            </w:r>
          </w:p>
        </w:tc>
        <w:tc>
          <w:tcPr>
            <w:tcW w:w="3358" w:type="dxa"/>
            <w:tcBorders>
              <w:top w:val="single" w:sz="4" w:space="0" w:color="000000"/>
              <w:left w:val="single" w:sz="4" w:space="0" w:color="000000"/>
              <w:bottom w:val="single" w:sz="4" w:space="0" w:color="000000"/>
              <w:right w:val="single" w:sz="4" w:space="0" w:color="000000"/>
            </w:tcBorders>
          </w:tcPr>
          <w:p w14:paraId="7615B629" w14:textId="77777777" w:rsidR="006F76EB" w:rsidRPr="00834D52" w:rsidRDefault="006F76EB" w:rsidP="00714E9D">
            <w:pPr>
              <w:spacing w:after="0" w:line="240" w:lineRule="auto"/>
              <w:ind w:right="-6"/>
              <w:rPr>
                <w:rFonts w:ascii="Sylfaen" w:hAnsi="Sylfaen"/>
                <w:sz w:val="24"/>
                <w:szCs w:val="24"/>
              </w:rPr>
            </w:pPr>
          </w:p>
        </w:tc>
      </w:tr>
    </w:tbl>
    <w:p w14:paraId="507FACBE" w14:textId="77777777" w:rsidR="006F76EB" w:rsidRPr="00834D52" w:rsidRDefault="006F76EB" w:rsidP="00714E9D">
      <w:pPr>
        <w:tabs>
          <w:tab w:val="left" w:pos="1701"/>
        </w:tabs>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3.6.2.</w:t>
      </w:r>
      <w:r w:rsidRPr="00834D52">
        <w:rPr>
          <w:rFonts w:ascii="Sylfaen" w:hAnsi="Sylfaen"/>
          <w:sz w:val="24"/>
          <w:szCs w:val="24"/>
        </w:rPr>
        <w:tab/>
        <w:t xml:space="preserve">Կենդանական </w:t>
      </w:r>
      <w:r w:rsidR="00C54D75">
        <w:rPr>
          <w:rFonts w:ascii="Sylfaen" w:hAnsi="Sylfaen"/>
          <w:sz w:val="24"/>
          <w:szCs w:val="24"/>
        </w:rPr>
        <w:t>և</w:t>
      </w:r>
      <w:r w:rsidRPr="00834D52">
        <w:rPr>
          <w:rFonts w:ascii="Sylfaen" w:hAnsi="Sylfaen"/>
          <w:sz w:val="24"/>
          <w:szCs w:val="24"/>
        </w:rPr>
        <w:t xml:space="preserve"> (կամ) մարդկային ծագման այն նյութերի ցանկը, </w:t>
      </w:r>
      <w:r w:rsidRPr="00834D52">
        <w:rPr>
          <w:rFonts w:ascii="Sylfaen" w:hAnsi="Sylfaen"/>
          <w:sz w:val="24"/>
          <w:szCs w:val="24"/>
        </w:rPr>
        <w:lastRenderedPageBreak/>
        <w:t>որոնք դեղապատրաստուկի բաղադրության մաս են կազմում կամ կիրառվում են դրա արտադրության պրոցեսում</w:t>
      </w:r>
    </w:p>
    <w:p w14:paraId="4D12D887" w14:textId="77777777" w:rsidR="006F76EB" w:rsidRDefault="00FC294A" w:rsidP="006F76EB">
      <w:pPr>
        <w:spacing w:after="160" w:line="360" w:lineRule="auto"/>
        <w:ind w:right="-6"/>
        <w:jc w:val="center"/>
        <w:rPr>
          <w:rFonts w:ascii="Sylfaen" w:hAnsi="Sylfaen"/>
          <w:sz w:val="24"/>
          <w:szCs w:val="24"/>
          <w:lang w:val="en-US"/>
        </w:rPr>
      </w:pPr>
      <w:r>
        <w:rPr>
          <w:rFonts w:ascii="Sylfaen" w:eastAsia="Times New Roman" w:hAnsi="Sylfaen" w:cs="Times New Roman"/>
          <w:noProof/>
          <w:sz w:val="24"/>
          <w:szCs w:val="24"/>
        </w:rPr>
        <w:pict w14:anchorId="3FA63EFE">
          <v:rect id="_x0000_s1234" style="position:absolute;left:0;text-align:left;margin-left:170.25pt;margin-top:5.45pt;width:12.75pt;height:12pt;z-index:251762176"/>
        </w:pict>
      </w:r>
      <w:r w:rsidR="006F76EB" w:rsidRPr="00834D52">
        <w:rPr>
          <w:rFonts w:ascii="Sylfaen" w:hAnsi="Sylfaen"/>
          <w:sz w:val="24"/>
          <w:szCs w:val="24"/>
        </w:rPr>
        <w:t>առկա չեն</w:t>
      </w:r>
    </w:p>
    <w:p w14:paraId="67099546" w14:textId="77777777" w:rsidR="0099364A" w:rsidRPr="0099364A" w:rsidRDefault="0099364A" w:rsidP="006F76EB">
      <w:pPr>
        <w:spacing w:after="160" w:line="360" w:lineRule="auto"/>
        <w:ind w:right="-6"/>
        <w:jc w:val="center"/>
        <w:rPr>
          <w:rFonts w:ascii="Sylfaen" w:hAnsi="Sylfaen"/>
          <w:sz w:val="24"/>
          <w:szCs w:val="24"/>
          <w:lang w:val="en-US"/>
        </w:rPr>
      </w:pPr>
    </w:p>
    <w:tbl>
      <w:tblPr>
        <w:tblW w:w="9951" w:type="dxa"/>
        <w:tblInd w:w="5" w:type="dxa"/>
        <w:tblLayout w:type="fixed"/>
        <w:tblCellMar>
          <w:left w:w="0" w:type="dxa"/>
          <w:right w:w="0" w:type="dxa"/>
        </w:tblCellMar>
        <w:tblLook w:val="01E0" w:firstRow="1" w:lastRow="1" w:firstColumn="1" w:lastColumn="1" w:noHBand="0" w:noVBand="0"/>
      </w:tblPr>
      <w:tblGrid>
        <w:gridCol w:w="1437"/>
        <w:gridCol w:w="575"/>
        <w:gridCol w:w="575"/>
        <w:gridCol w:w="574"/>
        <w:gridCol w:w="1725"/>
        <w:gridCol w:w="1436"/>
        <w:gridCol w:w="1150"/>
        <w:gridCol w:w="2479"/>
      </w:tblGrid>
      <w:tr w:rsidR="006F76EB" w:rsidRPr="00834D52" w14:paraId="40AEF8B4" w14:textId="77777777" w:rsidTr="00FB13FE">
        <w:trPr>
          <w:trHeight w:val="2040"/>
        </w:trPr>
        <w:tc>
          <w:tcPr>
            <w:tcW w:w="1437" w:type="dxa"/>
            <w:tcBorders>
              <w:top w:val="single" w:sz="4" w:space="0" w:color="000000"/>
              <w:left w:val="single" w:sz="4" w:space="0" w:color="000000"/>
              <w:bottom w:val="single" w:sz="4" w:space="0" w:color="000000"/>
              <w:right w:val="single" w:sz="4" w:space="0" w:color="000000"/>
            </w:tcBorders>
            <w:vAlign w:val="center"/>
          </w:tcPr>
          <w:p w14:paraId="75B07D49"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Անունը</w:t>
            </w:r>
          </w:p>
        </w:tc>
        <w:tc>
          <w:tcPr>
            <w:tcW w:w="1724" w:type="dxa"/>
            <w:gridSpan w:val="3"/>
            <w:tcBorders>
              <w:top w:val="single" w:sz="4" w:space="0" w:color="000000"/>
              <w:left w:val="single" w:sz="4" w:space="0" w:color="000000"/>
              <w:bottom w:val="single" w:sz="4" w:space="0" w:color="000000"/>
              <w:right w:val="single" w:sz="4" w:space="0" w:color="000000"/>
            </w:tcBorders>
            <w:vAlign w:val="center"/>
          </w:tcPr>
          <w:p w14:paraId="0EC35814"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Գործառույթը</w:t>
            </w:r>
          </w:p>
        </w:tc>
        <w:tc>
          <w:tcPr>
            <w:tcW w:w="1725" w:type="dxa"/>
            <w:tcBorders>
              <w:top w:val="single" w:sz="4" w:space="0" w:color="000000"/>
              <w:left w:val="single" w:sz="4" w:space="0" w:color="000000"/>
              <w:bottom w:val="single" w:sz="4" w:space="0" w:color="000000"/>
              <w:right w:val="single" w:sz="4" w:space="0" w:color="000000"/>
            </w:tcBorders>
            <w:vAlign w:val="center"/>
          </w:tcPr>
          <w:p w14:paraId="7716A2CC"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ՏՍԷ-ի նկատմամբ զգայուն կենդանիներից</w:t>
            </w:r>
            <w:r w:rsidRPr="00834D52">
              <w:rPr>
                <w:rStyle w:val="FootnoteReference"/>
                <w:rFonts w:ascii="Sylfaen" w:hAnsi="Sylfaen"/>
                <w:sz w:val="20"/>
                <w:szCs w:val="20"/>
              </w:rPr>
              <w:footnoteReference w:customMarkFollows="1" w:id="20"/>
              <w:t>3</w:t>
            </w:r>
          </w:p>
        </w:tc>
        <w:tc>
          <w:tcPr>
            <w:tcW w:w="1436" w:type="dxa"/>
            <w:tcBorders>
              <w:top w:val="single" w:sz="4" w:space="0" w:color="000000"/>
              <w:left w:val="single" w:sz="4" w:space="0" w:color="000000"/>
              <w:bottom w:val="single" w:sz="4" w:space="0" w:color="000000"/>
              <w:right w:val="single" w:sz="4" w:space="0" w:color="000000"/>
            </w:tcBorders>
            <w:vAlign w:val="center"/>
          </w:tcPr>
          <w:p w14:paraId="3A705A68"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Այլ կենդանիներից</w:t>
            </w:r>
          </w:p>
        </w:tc>
        <w:tc>
          <w:tcPr>
            <w:tcW w:w="1150" w:type="dxa"/>
            <w:tcBorders>
              <w:top w:val="single" w:sz="4" w:space="0" w:color="000000"/>
              <w:left w:val="single" w:sz="4" w:space="0" w:color="000000"/>
              <w:bottom w:val="single" w:sz="4" w:space="0" w:color="000000"/>
              <w:right w:val="single" w:sz="4" w:space="0" w:color="000000"/>
            </w:tcBorders>
            <w:vAlign w:val="center"/>
          </w:tcPr>
          <w:p w14:paraId="034909A6"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Մարդկային ծագման</w:t>
            </w:r>
          </w:p>
        </w:tc>
        <w:tc>
          <w:tcPr>
            <w:tcW w:w="2479" w:type="dxa"/>
            <w:tcBorders>
              <w:top w:val="single" w:sz="4" w:space="0" w:color="000000"/>
              <w:left w:val="single" w:sz="4" w:space="0" w:color="000000"/>
              <w:bottom w:val="single" w:sz="4" w:space="0" w:color="000000"/>
              <w:right w:val="single" w:sz="4" w:space="0" w:color="000000"/>
            </w:tcBorders>
            <w:vAlign w:val="center"/>
          </w:tcPr>
          <w:p w14:paraId="2403CBD2" w14:textId="77777777" w:rsidR="006F76EB" w:rsidRPr="00834D52" w:rsidRDefault="006F76EB" w:rsidP="0099364A">
            <w:pPr>
              <w:spacing w:after="120" w:line="240" w:lineRule="auto"/>
              <w:ind w:right="-6"/>
              <w:jc w:val="center"/>
              <w:rPr>
                <w:rFonts w:ascii="Sylfaen" w:eastAsia="Times New Roman" w:hAnsi="Sylfaen" w:cs="Times New Roman"/>
                <w:sz w:val="20"/>
                <w:szCs w:val="20"/>
              </w:rPr>
            </w:pPr>
            <w:r w:rsidRPr="00834D52">
              <w:rPr>
                <w:rFonts w:ascii="Sylfaen" w:hAnsi="Sylfaen"/>
                <w:sz w:val="20"/>
                <w:szCs w:val="20"/>
              </w:rPr>
              <w:t>ՏՍԷ</w:t>
            </w:r>
            <w:r w:rsidRPr="00834D52">
              <w:rPr>
                <w:rFonts w:ascii="Sylfaen" w:hAnsi="Sylfaen"/>
                <w:sz w:val="20"/>
                <w:szCs w:val="20"/>
                <w:vertAlign w:val="superscript"/>
              </w:rPr>
              <w:t>3</w:t>
            </w:r>
            <w:r w:rsidRPr="00834D52">
              <w:rPr>
                <w:rFonts w:ascii="Sylfaen" w:hAnsi="Sylfaen"/>
                <w:sz w:val="20"/>
                <w:szCs w:val="20"/>
              </w:rPr>
              <w:t>-ի մասով Եվրոպական դեղագրքերի համապատասխանության սերտիֆիկատ (նշե՛ք համարը)</w:t>
            </w:r>
          </w:p>
        </w:tc>
      </w:tr>
      <w:tr w:rsidR="006F76EB" w:rsidRPr="00834D52" w14:paraId="317191BC"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1387F1D4"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54FCB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ԱԴԲ</w:t>
            </w:r>
          </w:p>
        </w:tc>
        <w:tc>
          <w:tcPr>
            <w:tcW w:w="575" w:type="dxa"/>
            <w:tcBorders>
              <w:top w:val="single" w:sz="4" w:space="0" w:color="000000"/>
              <w:left w:val="single" w:sz="4" w:space="0" w:color="000000"/>
              <w:bottom w:val="single" w:sz="4" w:space="0" w:color="000000"/>
              <w:right w:val="single" w:sz="4" w:space="0" w:color="000000"/>
            </w:tcBorders>
          </w:tcPr>
          <w:p w14:paraId="14703394"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ՕՆ</w:t>
            </w:r>
            <w:r w:rsidRPr="00834D52">
              <w:rPr>
                <w:rStyle w:val="FootnoteReference"/>
                <w:rFonts w:ascii="Sylfaen" w:hAnsi="Sylfaen"/>
                <w:sz w:val="20"/>
                <w:szCs w:val="20"/>
              </w:rPr>
              <w:footnoteReference w:customMarkFollows="1" w:id="21"/>
              <w:t>1</w:t>
            </w:r>
          </w:p>
        </w:tc>
        <w:tc>
          <w:tcPr>
            <w:tcW w:w="574" w:type="dxa"/>
            <w:tcBorders>
              <w:top w:val="single" w:sz="4" w:space="0" w:color="000000"/>
              <w:left w:val="single" w:sz="4" w:space="0" w:color="000000"/>
              <w:bottom w:val="single" w:sz="4" w:space="0" w:color="000000"/>
              <w:right w:val="single" w:sz="4" w:space="0" w:color="000000"/>
            </w:tcBorders>
          </w:tcPr>
          <w:p w14:paraId="2F777D9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Ռ</w:t>
            </w:r>
            <w:r w:rsidRPr="00834D52">
              <w:rPr>
                <w:rStyle w:val="FootnoteReference"/>
                <w:rFonts w:ascii="Sylfaen" w:hAnsi="Sylfaen"/>
                <w:sz w:val="20"/>
                <w:szCs w:val="20"/>
              </w:rPr>
              <w:footnoteReference w:customMarkFollows="1" w:id="22"/>
              <w:t>2</w:t>
            </w:r>
          </w:p>
        </w:tc>
        <w:tc>
          <w:tcPr>
            <w:tcW w:w="1725" w:type="dxa"/>
            <w:tcBorders>
              <w:top w:val="single" w:sz="4" w:space="0" w:color="000000"/>
              <w:left w:val="single" w:sz="4" w:space="0" w:color="000000"/>
              <w:bottom w:val="single" w:sz="4" w:space="0" w:color="000000"/>
              <w:right w:val="single" w:sz="4" w:space="0" w:color="000000"/>
            </w:tcBorders>
          </w:tcPr>
          <w:p w14:paraId="161A1F57"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03310E6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0C01FE9A"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3911F7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794E00D4"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6CF09E9A"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1</w:t>
            </w:r>
          </w:p>
        </w:tc>
        <w:tc>
          <w:tcPr>
            <w:tcW w:w="575" w:type="dxa"/>
            <w:tcBorders>
              <w:top w:val="single" w:sz="4" w:space="0" w:color="000000"/>
              <w:left w:val="single" w:sz="4" w:space="0" w:color="000000"/>
              <w:bottom w:val="single" w:sz="4" w:space="0" w:color="000000"/>
              <w:right w:val="single" w:sz="4" w:space="0" w:color="000000"/>
            </w:tcBorders>
          </w:tcPr>
          <w:p w14:paraId="66017AD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61D1B450"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44FF3BB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0EA3202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2315E40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9DA4C58"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66AF9758"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410355E"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4082BA81"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2</w:t>
            </w:r>
          </w:p>
        </w:tc>
        <w:tc>
          <w:tcPr>
            <w:tcW w:w="575" w:type="dxa"/>
            <w:tcBorders>
              <w:top w:val="single" w:sz="4" w:space="0" w:color="000000"/>
              <w:left w:val="single" w:sz="4" w:space="0" w:color="000000"/>
              <w:bottom w:val="single" w:sz="4" w:space="0" w:color="000000"/>
              <w:right w:val="single" w:sz="4" w:space="0" w:color="000000"/>
            </w:tcBorders>
          </w:tcPr>
          <w:p w14:paraId="7239B982"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B8E977B"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85608DA"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79E4B64"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EBF1E02"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14EF1509"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3306B9BC" w14:textId="77777777" w:rsidR="006F76EB" w:rsidRPr="00834D52" w:rsidRDefault="006F76EB" w:rsidP="0099364A">
            <w:pPr>
              <w:spacing w:after="120" w:line="240" w:lineRule="auto"/>
              <w:ind w:right="-6"/>
              <w:rPr>
                <w:rFonts w:ascii="Sylfaen" w:hAnsi="Sylfaen"/>
                <w:sz w:val="20"/>
                <w:szCs w:val="20"/>
              </w:rPr>
            </w:pPr>
          </w:p>
        </w:tc>
      </w:tr>
      <w:tr w:rsidR="006F76EB" w:rsidRPr="00834D52" w14:paraId="53CF5C07" w14:textId="77777777" w:rsidTr="00FB13FE">
        <w:trPr>
          <w:trHeight w:val="528"/>
        </w:trPr>
        <w:tc>
          <w:tcPr>
            <w:tcW w:w="1437" w:type="dxa"/>
            <w:tcBorders>
              <w:top w:val="single" w:sz="4" w:space="0" w:color="000000"/>
              <w:left w:val="single" w:sz="4" w:space="0" w:color="000000"/>
              <w:bottom w:val="single" w:sz="4" w:space="0" w:color="000000"/>
              <w:right w:val="single" w:sz="4" w:space="0" w:color="000000"/>
            </w:tcBorders>
          </w:tcPr>
          <w:p w14:paraId="1CDC2959"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3</w:t>
            </w:r>
          </w:p>
        </w:tc>
        <w:tc>
          <w:tcPr>
            <w:tcW w:w="575" w:type="dxa"/>
            <w:tcBorders>
              <w:top w:val="single" w:sz="4" w:space="0" w:color="000000"/>
              <w:left w:val="single" w:sz="4" w:space="0" w:color="000000"/>
              <w:bottom w:val="single" w:sz="4" w:space="0" w:color="000000"/>
              <w:right w:val="single" w:sz="4" w:space="0" w:color="000000"/>
            </w:tcBorders>
          </w:tcPr>
          <w:p w14:paraId="452AF8C6"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1C969BAC"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58DEE3D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79D8489C"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796672C4"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6A4DD13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65F5F14" w14:textId="77777777" w:rsidR="006F76EB" w:rsidRPr="00834D52" w:rsidRDefault="006F76EB" w:rsidP="0099364A">
            <w:pPr>
              <w:spacing w:after="120" w:line="240" w:lineRule="auto"/>
              <w:ind w:right="-6"/>
              <w:rPr>
                <w:rFonts w:ascii="Sylfaen" w:hAnsi="Sylfaen"/>
                <w:sz w:val="20"/>
                <w:szCs w:val="20"/>
              </w:rPr>
            </w:pPr>
          </w:p>
        </w:tc>
      </w:tr>
      <w:tr w:rsidR="006F76EB" w:rsidRPr="00834D52" w14:paraId="219B896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550A699C" w14:textId="77777777" w:rsidR="006F76EB" w:rsidRPr="00834D52" w:rsidRDefault="006F76EB" w:rsidP="0099364A">
            <w:pPr>
              <w:spacing w:after="120" w:line="240" w:lineRule="auto"/>
              <w:ind w:right="-6"/>
              <w:rPr>
                <w:rFonts w:ascii="Sylfaen" w:eastAsia="Times New Roman" w:hAnsi="Sylfaen" w:cs="Times New Roman"/>
                <w:sz w:val="20"/>
                <w:szCs w:val="20"/>
              </w:rPr>
            </w:pPr>
            <w:r w:rsidRPr="00834D52">
              <w:rPr>
                <w:rFonts w:ascii="Sylfaen" w:hAnsi="Sylfaen"/>
                <w:sz w:val="20"/>
                <w:szCs w:val="20"/>
              </w:rPr>
              <w:t>...</w:t>
            </w:r>
          </w:p>
        </w:tc>
        <w:tc>
          <w:tcPr>
            <w:tcW w:w="575" w:type="dxa"/>
            <w:tcBorders>
              <w:top w:val="single" w:sz="4" w:space="0" w:color="000000"/>
              <w:left w:val="single" w:sz="4" w:space="0" w:color="000000"/>
              <w:bottom w:val="single" w:sz="4" w:space="0" w:color="000000"/>
              <w:right w:val="single" w:sz="4" w:space="0" w:color="000000"/>
            </w:tcBorders>
          </w:tcPr>
          <w:p w14:paraId="0B826330"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2423CFED"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0CEC8660"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8EBCB18"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38DB36BB"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4CCF63B2"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B30939B" w14:textId="77777777" w:rsidR="006F76EB" w:rsidRPr="00834D52" w:rsidRDefault="006F76EB" w:rsidP="0099364A">
            <w:pPr>
              <w:spacing w:after="120" w:line="240" w:lineRule="auto"/>
              <w:ind w:right="-6"/>
              <w:rPr>
                <w:rFonts w:ascii="Sylfaen" w:hAnsi="Sylfaen"/>
                <w:sz w:val="20"/>
                <w:szCs w:val="20"/>
              </w:rPr>
            </w:pPr>
          </w:p>
        </w:tc>
      </w:tr>
      <w:tr w:rsidR="006F76EB" w:rsidRPr="00834D52" w14:paraId="33384E73" w14:textId="77777777" w:rsidTr="00FB13FE">
        <w:trPr>
          <w:trHeight w:val="551"/>
        </w:trPr>
        <w:tc>
          <w:tcPr>
            <w:tcW w:w="1437" w:type="dxa"/>
            <w:tcBorders>
              <w:top w:val="single" w:sz="4" w:space="0" w:color="000000"/>
              <w:left w:val="single" w:sz="4" w:space="0" w:color="000000"/>
              <w:bottom w:val="single" w:sz="4" w:space="0" w:color="000000"/>
              <w:right w:val="single" w:sz="4" w:space="0" w:color="000000"/>
            </w:tcBorders>
          </w:tcPr>
          <w:p w14:paraId="66F259E7"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7A6FE2EF" w14:textId="77777777" w:rsidR="006F76EB" w:rsidRPr="00834D52" w:rsidRDefault="006F76EB" w:rsidP="0099364A">
            <w:pPr>
              <w:spacing w:after="120" w:line="240" w:lineRule="auto"/>
              <w:ind w:right="-6"/>
              <w:rPr>
                <w:rFonts w:ascii="Sylfaen" w:hAnsi="Sylfaen"/>
                <w:sz w:val="20"/>
                <w:szCs w:val="20"/>
              </w:rPr>
            </w:pPr>
          </w:p>
        </w:tc>
        <w:tc>
          <w:tcPr>
            <w:tcW w:w="575" w:type="dxa"/>
            <w:tcBorders>
              <w:top w:val="single" w:sz="4" w:space="0" w:color="000000"/>
              <w:left w:val="single" w:sz="4" w:space="0" w:color="000000"/>
              <w:bottom w:val="single" w:sz="4" w:space="0" w:color="000000"/>
              <w:right w:val="single" w:sz="4" w:space="0" w:color="000000"/>
            </w:tcBorders>
          </w:tcPr>
          <w:p w14:paraId="3161D9DF" w14:textId="77777777" w:rsidR="006F76EB" w:rsidRPr="00834D52" w:rsidRDefault="006F76EB" w:rsidP="0099364A">
            <w:pPr>
              <w:spacing w:after="120" w:line="240" w:lineRule="auto"/>
              <w:ind w:right="-6"/>
              <w:rPr>
                <w:rFonts w:ascii="Sylfaen" w:hAnsi="Sylfaen"/>
                <w:sz w:val="20"/>
                <w:szCs w:val="20"/>
              </w:rPr>
            </w:pPr>
          </w:p>
        </w:tc>
        <w:tc>
          <w:tcPr>
            <w:tcW w:w="574" w:type="dxa"/>
            <w:tcBorders>
              <w:top w:val="single" w:sz="4" w:space="0" w:color="000000"/>
              <w:left w:val="single" w:sz="4" w:space="0" w:color="000000"/>
              <w:bottom w:val="single" w:sz="4" w:space="0" w:color="000000"/>
              <w:right w:val="single" w:sz="4" w:space="0" w:color="000000"/>
            </w:tcBorders>
          </w:tcPr>
          <w:p w14:paraId="11EFFAFC" w14:textId="77777777" w:rsidR="006F76EB" w:rsidRPr="00834D52" w:rsidRDefault="006F76EB" w:rsidP="0099364A">
            <w:pPr>
              <w:spacing w:after="120" w:line="240" w:lineRule="auto"/>
              <w:ind w:right="-6"/>
              <w:rPr>
                <w:rFonts w:ascii="Sylfaen" w:hAnsi="Sylfae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3E7C4726" w14:textId="77777777" w:rsidR="006F76EB" w:rsidRPr="00834D52" w:rsidRDefault="006F76EB" w:rsidP="0099364A">
            <w:pPr>
              <w:spacing w:after="120" w:line="240" w:lineRule="auto"/>
              <w:ind w:right="-6"/>
              <w:rPr>
                <w:rFonts w:ascii="Sylfaen" w:hAnsi="Sylfae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14:paraId="40C26016" w14:textId="77777777" w:rsidR="006F76EB" w:rsidRPr="00834D52" w:rsidRDefault="006F76EB" w:rsidP="0099364A">
            <w:pPr>
              <w:spacing w:after="120" w:line="240" w:lineRule="auto"/>
              <w:ind w:right="-6"/>
              <w:rPr>
                <w:rFonts w:ascii="Sylfaen" w:hAnsi="Sylfaen"/>
                <w:sz w:val="20"/>
                <w:szCs w:val="20"/>
              </w:rPr>
            </w:pPr>
          </w:p>
        </w:tc>
        <w:tc>
          <w:tcPr>
            <w:tcW w:w="1150" w:type="dxa"/>
            <w:tcBorders>
              <w:top w:val="single" w:sz="4" w:space="0" w:color="000000"/>
              <w:left w:val="single" w:sz="4" w:space="0" w:color="000000"/>
              <w:bottom w:val="single" w:sz="4" w:space="0" w:color="000000"/>
              <w:right w:val="single" w:sz="4" w:space="0" w:color="000000"/>
            </w:tcBorders>
          </w:tcPr>
          <w:p w14:paraId="7BECF951" w14:textId="77777777" w:rsidR="006F76EB" w:rsidRPr="00834D52" w:rsidRDefault="006F76EB" w:rsidP="0099364A">
            <w:pPr>
              <w:spacing w:after="120" w:line="240" w:lineRule="auto"/>
              <w:ind w:right="-6"/>
              <w:rPr>
                <w:rFonts w:ascii="Sylfaen" w:hAnsi="Sylfaen"/>
                <w:sz w:val="20"/>
                <w:szCs w:val="20"/>
              </w:rPr>
            </w:pPr>
          </w:p>
        </w:tc>
        <w:tc>
          <w:tcPr>
            <w:tcW w:w="2479" w:type="dxa"/>
            <w:tcBorders>
              <w:top w:val="single" w:sz="4" w:space="0" w:color="000000"/>
              <w:left w:val="single" w:sz="4" w:space="0" w:color="000000"/>
              <w:bottom w:val="single" w:sz="4" w:space="0" w:color="000000"/>
              <w:right w:val="single" w:sz="4" w:space="0" w:color="000000"/>
            </w:tcBorders>
          </w:tcPr>
          <w:p w14:paraId="4D2583A6" w14:textId="77777777" w:rsidR="006F76EB" w:rsidRPr="00834D52" w:rsidRDefault="006F76EB" w:rsidP="0099364A">
            <w:pPr>
              <w:spacing w:after="120" w:line="240" w:lineRule="auto"/>
              <w:ind w:right="-6"/>
              <w:rPr>
                <w:rFonts w:ascii="Sylfaen" w:hAnsi="Sylfaen"/>
                <w:sz w:val="20"/>
                <w:szCs w:val="20"/>
              </w:rPr>
            </w:pPr>
          </w:p>
        </w:tc>
      </w:tr>
    </w:tbl>
    <w:p w14:paraId="12264EC6" w14:textId="77777777" w:rsidR="006F76EB" w:rsidRPr="00834D52" w:rsidRDefault="006F76EB" w:rsidP="00FB13FE">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Նշել ՏՍԷ</w:t>
      </w:r>
      <w:r w:rsidRPr="00834D52">
        <w:rPr>
          <w:rFonts w:ascii="Sylfaen" w:hAnsi="Sylfaen"/>
          <w:sz w:val="24"/>
          <w:szCs w:val="24"/>
          <w:vertAlign w:val="superscript"/>
        </w:rPr>
        <w:t>3</w:t>
      </w:r>
      <w:r w:rsidRPr="00834D52">
        <w:rPr>
          <w:rFonts w:ascii="Sylfaen" w:hAnsi="Sylfaen"/>
          <w:sz w:val="24"/>
          <w:szCs w:val="24"/>
        </w:rPr>
        <w:t xml:space="preserve">-ի մասով Եվրոպական դեղագրքերի համապատասխանության սերտիֆիկատի կամ հումքի ծագման երկրի անասնաբուժական վերահսկողություն իրականացնող լիազորված մարմինների կողմից՝ երկրում (կլինիկական </w:t>
      </w:r>
      <w:r w:rsidR="00C54D75">
        <w:rPr>
          <w:rFonts w:ascii="Sylfaen" w:hAnsi="Sylfaen"/>
          <w:sz w:val="24"/>
          <w:szCs w:val="24"/>
        </w:rPr>
        <w:t>և</w:t>
      </w:r>
      <w:r w:rsidRPr="00834D52">
        <w:rPr>
          <w:rFonts w:ascii="Sylfaen" w:hAnsi="Sylfaen"/>
          <w:sz w:val="24"/>
          <w:szCs w:val="24"/>
        </w:rPr>
        <w:t xml:space="preserve"> լաբորատոր վերահսկողության արդյունքների հիման վրա) ՏՍԷ-ի դեպքերի գրանցման առնչությամբ տրված փաստաթղթի առկայությունը:</w:t>
      </w:r>
    </w:p>
    <w:p w14:paraId="62A8AFDC" w14:textId="0C8C82C2" w:rsidR="006F76EB" w:rsidRPr="00834D52" w:rsidRDefault="006F76EB" w:rsidP="00FB13FE">
      <w:pPr>
        <w:tabs>
          <w:tab w:val="left" w:pos="1701"/>
        </w:tabs>
        <w:spacing w:after="160" w:line="384" w:lineRule="auto"/>
        <w:ind w:right="-8" w:firstLine="567"/>
        <w:jc w:val="both"/>
        <w:rPr>
          <w:rFonts w:ascii="Sylfaen" w:eastAsia="Times New Roman" w:hAnsi="Sylfaen" w:cs="Times New Roman"/>
          <w:sz w:val="24"/>
          <w:szCs w:val="24"/>
        </w:rPr>
      </w:pPr>
      <w:r w:rsidRPr="00834D52">
        <w:rPr>
          <w:rFonts w:ascii="Sylfaen" w:hAnsi="Sylfaen"/>
          <w:sz w:val="24"/>
          <w:szCs w:val="24"/>
        </w:rPr>
        <w:t>3.6.3.</w:t>
      </w:r>
      <w:r w:rsidRPr="00834D52">
        <w:rPr>
          <w:rFonts w:ascii="Sylfaen" w:hAnsi="Sylfaen"/>
          <w:sz w:val="24"/>
          <w:szCs w:val="24"/>
        </w:rPr>
        <w:tab/>
        <w:t xml:space="preserve">Արդյոք տրամադրվել է պլազմայի մաստեր-ֆայլի սերտիֆիկատ (այսուհետ՝ ՊՄՖ), որն օգտագործվում է տվյալ դոսյեում, թե այն ստանալու </w:t>
      </w:r>
      <w:r w:rsidR="0056496B">
        <w:rPr>
          <w:rFonts w:ascii="Sylfaen" w:hAnsi="Sylfaen"/>
          <w:sz w:val="24"/>
          <w:szCs w:val="24"/>
        </w:rPr>
        <w:t>դիմում</w:t>
      </w:r>
      <w:r w:rsidRPr="00834D52">
        <w:rPr>
          <w:rFonts w:ascii="Sylfaen" w:hAnsi="Sylfaen"/>
          <w:sz w:val="24"/>
          <w:szCs w:val="24"/>
        </w:rPr>
        <w:t xml:space="preserve"> </w:t>
      </w:r>
      <w:r w:rsidRPr="00834D52">
        <w:rPr>
          <w:rFonts w:ascii="Sylfaen" w:hAnsi="Sylfaen"/>
          <w:sz w:val="24"/>
          <w:szCs w:val="24"/>
        </w:rPr>
        <w:lastRenderedPageBreak/>
        <w:t>է ներկայացվել՝</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01DAD7B5" w14:textId="77777777" w:rsidTr="00F71229">
        <w:tc>
          <w:tcPr>
            <w:tcW w:w="2268" w:type="dxa"/>
          </w:tcPr>
          <w:p w14:paraId="7C6F7205"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7CB72E2">
                <v:rect id="_x0000_s1267" style="position:absolute;left:0;text-align:left;margin-left:40.6pt;margin-top:3.05pt;width:12.75pt;height:12pt;z-index:251763200"/>
              </w:pict>
            </w:r>
            <w:r w:rsidR="006F76EB" w:rsidRPr="00834D52">
              <w:rPr>
                <w:rFonts w:ascii="Sylfaen" w:hAnsi="Sylfaen"/>
                <w:sz w:val="24"/>
                <w:szCs w:val="24"/>
              </w:rPr>
              <w:t>ոչ</w:t>
            </w:r>
          </w:p>
        </w:tc>
        <w:tc>
          <w:tcPr>
            <w:tcW w:w="2126" w:type="dxa"/>
          </w:tcPr>
          <w:p w14:paraId="5A76279F"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303356D">
                <v:rect id="_x0000_s1266" style="position:absolute;left:0;text-align:left;margin-left:15.15pt;margin-top:3.05pt;width:12.75pt;height:12pt;z-index:251764224;mso-position-horizontal-relative:text;mso-position-vertical-relative:text"/>
              </w:pict>
            </w:r>
            <w:r w:rsidR="006F76EB" w:rsidRPr="00834D52">
              <w:rPr>
                <w:rFonts w:ascii="Sylfaen" w:hAnsi="Sylfaen"/>
                <w:sz w:val="24"/>
                <w:szCs w:val="24"/>
              </w:rPr>
              <w:t>այո</w:t>
            </w:r>
          </w:p>
        </w:tc>
      </w:tr>
    </w:tbl>
    <w:p w14:paraId="4391DF2B" w14:textId="77777777" w:rsidR="00FB13FE" w:rsidRDefault="00FB13FE" w:rsidP="006F76EB">
      <w:pPr>
        <w:spacing w:after="160" w:line="360" w:lineRule="auto"/>
        <w:ind w:right="-8" w:firstLine="567"/>
        <w:rPr>
          <w:rFonts w:ascii="Sylfaen" w:hAnsi="Sylfaen"/>
          <w:sz w:val="24"/>
          <w:szCs w:val="24"/>
          <w:lang w:val="en-US"/>
        </w:rPr>
      </w:pPr>
    </w:p>
    <w:p w14:paraId="4E2B591A" w14:textId="77777777" w:rsidR="006F76EB" w:rsidRDefault="006F76EB" w:rsidP="006F76EB">
      <w:pPr>
        <w:spacing w:after="160" w:line="360" w:lineRule="auto"/>
        <w:ind w:right="-8" w:firstLine="567"/>
        <w:rPr>
          <w:rFonts w:ascii="Sylfaen" w:hAnsi="Sylfaen"/>
          <w:sz w:val="24"/>
          <w:szCs w:val="24"/>
          <w:lang w:val="en-US"/>
        </w:rPr>
      </w:pPr>
      <w:r w:rsidRPr="00834D52">
        <w:rPr>
          <w:rFonts w:ascii="Sylfaen" w:hAnsi="Sylfaen"/>
          <w:sz w:val="24"/>
          <w:szCs w:val="24"/>
        </w:rPr>
        <w:t>Եթե այո՝</w:t>
      </w:r>
    </w:p>
    <w:tbl>
      <w:tblPr>
        <w:tblW w:w="9610" w:type="dxa"/>
        <w:tblInd w:w="109" w:type="dxa"/>
        <w:tblLayout w:type="fixed"/>
        <w:tblCellMar>
          <w:left w:w="0" w:type="dxa"/>
          <w:right w:w="0" w:type="dxa"/>
        </w:tblCellMar>
        <w:tblLook w:val="01E0" w:firstRow="1" w:lastRow="1" w:firstColumn="1" w:lastColumn="1" w:noHBand="0" w:noVBand="0"/>
      </w:tblPr>
      <w:tblGrid>
        <w:gridCol w:w="4142"/>
        <w:gridCol w:w="1822"/>
        <w:gridCol w:w="1822"/>
        <w:gridCol w:w="1824"/>
      </w:tblGrid>
      <w:tr w:rsidR="006F76EB" w:rsidRPr="00834D52" w14:paraId="78596D4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70061B2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նյութը (սուբստանցիան)՝ ՊՄՖ-ին արված հղումով</w:t>
            </w:r>
          </w:p>
        </w:tc>
        <w:tc>
          <w:tcPr>
            <w:tcW w:w="5468" w:type="dxa"/>
            <w:gridSpan w:val="3"/>
            <w:tcBorders>
              <w:top w:val="single" w:sz="4" w:space="0" w:color="000000"/>
              <w:left w:val="single" w:sz="4" w:space="0" w:color="000000"/>
              <w:bottom w:val="single" w:sz="4" w:space="0" w:color="000000"/>
              <w:right w:val="single" w:sz="4" w:space="0" w:color="000000"/>
            </w:tcBorders>
          </w:tcPr>
          <w:p w14:paraId="354D7A4B"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139A98A" w14:textId="77777777" w:rsidTr="00F71229">
        <w:tc>
          <w:tcPr>
            <w:tcW w:w="4142" w:type="dxa"/>
            <w:vMerge w:val="restart"/>
            <w:tcBorders>
              <w:top w:val="single" w:sz="4" w:space="0" w:color="000000"/>
              <w:left w:val="single" w:sz="4" w:space="0" w:color="000000"/>
              <w:right w:val="single" w:sz="4" w:space="0" w:color="000000"/>
            </w:tcBorders>
          </w:tcPr>
          <w:p w14:paraId="19C23B6D"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գործառույթը</w:t>
            </w:r>
          </w:p>
        </w:tc>
        <w:tc>
          <w:tcPr>
            <w:tcW w:w="1822" w:type="dxa"/>
            <w:tcBorders>
              <w:top w:val="single" w:sz="4" w:space="0" w:color="000000"/>
              <w:left w:val="single" w:sz="4" w:space="0" w:color="000000"/>
              <w:bottom w:val="single" w:sz="4" w:space="0" w:color="000000"/>
              <w:right w:val="single" w:sz="4" w:space="0" w:color="000000"/>
            </w:tcBorders>
            <w:vAlign w:val="center"/>
          </w:tcPr>
          <w:p w14:paraId="4B6E772D"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ԱԴԲ-ն</w:t>
            </w:r>
          </w:p>
        </w:tc>
        <w:tc>
          <w:tcPr>
            <w:tcW w:w="1822" w:type="dxa"/>
            <w:tcBorders>
              <w:top w:val="single" w:sz="4" w:space="0" w:color="000000"/>
              <w:left w:val="single" w:sz="4" w:space="0" w:color="000000"/>
              <w:bottom w:val="single" w:sz="4" w:space="0" w:color="000000"/>
              <w:right w:val="single" w:sz="4" w:space="0" w:color="000000"/>
            </w:tcBorders>
            <w:vAlign w:val="center"/>
          </w:tcPr>
          <w:p w14:paraId="67DEC420"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ՕՆ-ն</w:t>
            </w:r>
            <w:r w:rsidRPr="00834D52">
              <w:rPr>
                <w:rStyle w:val="FootnoteReference"/>
                <w:rFonts w:ascii="Sylfaen" w:hAnsi="Sylfaen"/>
                <w:sz w:val="24"/>
                <w:szCs w:val="24"/>
              </w:rPr>
              <w:footnoteReference w:customMarkFollows="1" w:id="23"/>
              <w:t>1</w:t>
            </w:r>
          </w:p>
        </w:tc>
        <w:tc>
          <w:tcPr>
            <w:tcW w:w="1824" w:type="dxa"/>
            <w:tcBorders>
              <w:top w:val="single" w:sz="4" w:space="0" w:color="000000"/>
              <w:left w:val="single" w:sz="4" w:space="0" w:color="000000"/>
              <w:bottom w:val="single" w:sz="4" w:space="0" w:color="000000"/>
              <w:right w:val="single" w:sz="4" w:space="0" w:color="000000"/>
            </w:tcBorders>
            <w:vAlign w:val="center"/>
          </w:tcPr>
          <w:p w14:paraId="6816E41A" w14:textId="77777777" w:rsidR="006F76EB" w:rsidRPr="00834D52" w:rsidRDefault="006F76EB" w:rsidP="00FB13FE">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Ռ-ն</w:t>
            </w:r>
            <w:r w:rsidRPr="00834D52">
              <w:rPr>
                <w:rStyle w:val="FootnoteReference"/>
                <w:rFonts w:ascii="Sylfaen" w:hAnsi="Sylfaen"/>
                <w:sz w:val="24"/>
                <w:szCs w:val="24"/>
              </w:rPr>
              <w:footnoteReference w:customMarkFollows="1" w:id="24"/>
              <w:t>2</w:t>
            </w:r>
          </w:p>
        </w:tc>
      </w:tr>
      <w:tr w:rsidR="006F76EB" w:rsidRPr="00834D52" w14:paraId="7B148ACC" w14:textId="77777777" w:rsidTr="00F71229">
        <w:tc>
          <w:tcPr>
            <w:tcW w:w="4142" w:type="dxa"/>
            <w:vMerge/>
            <w:tcBorders>
              <w:left w:val="single" w:sz="4" w:space="0" w:color="000000"/>
              <w:bottom w:val="single" w:sz="4" w:space="0" w:color="000000"/>
              <w:right w:val="single" w:sz="4" w:space="0" w:color="000000"/>
            </w:tcBorders>
          </w:tcPr>
          <w:p w14:paraId="2C29E2C8" w14:textId="77777777" w:rsidR="006F76EB" w:rsidRPr="00834D52" w:rsidRDefault="006F76EB" w:rsidP="00FB13FE">
            <w:pPr>
              <w:spacing w:after="120" w:line="240" w:lineRule="auto"/>
              <w:ind w:left="112" w:right="-6"/>
              <w:rPr>
                <w:rFonts w:ascii="Sylfaen" w:eastAsia="Times New Roman" w:hAnsi="Sylfaen" w:cs="Times New Roma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5DEDEFB7" w14:textId="77777777" w:rsidR="006F76EB" w:rsidRPr="00834D52" w:rsidRDefault="006F76EB" w:rsidP="00FB13FE">
            <w:pPr>
              <w:spacing w:after="120" w:line="240" w:lineRule="auto"/>
              <w:ind w:right="-6"/>
              <w:rPr>
                <w:rFonts w:ascii="Sylfaen" w:hAnsi="Sylfaen"/>
                <w:sz w:val="24"/>
                <w:szCs w:val="24"/>
              </w:rPr>
            </w:pPr>
          </w:p>
        </w:tc>
        <w:tc>
          <w:tcPr>
            <w:tcW w:w="1822" w:type="dxa"/>
            <w:tcBorders>
              <w:top w:val="single" w:sz="4" w:space="0" w:color="000000"/>
              <w:left w:val="single" w:sz="4" w:space="0" w:color="000000"/>
              <w:bottom w:val="single" w:sz="4" w:space="0" w:color="000000"/>
              <w:right w:val="single" w:sz="4" w:space="0" w:color="000000"/>
            </w:tcBorders>
          </w:tcPr>
          <w:p w14:paraId="0C123040" w14:textId="77777777" w:rsidR="006F76EB" w:rsidRPr="00834D52" w:rsidRDefault="006F76EB" w:rsidP="00FB13FE">
            <w:pPr>
              <w:spacing w:after="120" w:line="240" w:lineRule="auto"/>
              <w:ind w:right="-6"/>
              <w:rPr>
                <w:rFonts w:ascii="Sylfaen" w:hAnsi="Sylfaen"/>
                <w:sz w:val="24"/>
                <w:szCs w:val="24"/>
              </w:rPr>
            </w:pPr>
          </w:p>
        </w:tc>
        <w:tc>
          <w:tcPr>
            <w:tcW w:w="1824" w:type="dxa"/>
            <w:tcBorders>
              <w:top w:val="single" w:sz="4" w:space="0" w:color="000000"/>
              <w:left w:val="single" w:sz="4" w:space="0" w:color="000000"/>
              <w:bottom w:val="single" w:sz="4" w:space="0" w:color="000000"/>
              <w:right w:val="single" w:sz="4" w:space="0" w:color="000000"/>
            </w:tcBorders>
          </w:tcPr>
          <w:p w14:paraId="30D1C8E3" w14:textId="77777777" w:rsidR="006F76EB" w:rsidRPr="00834D52" w:rsidRDefault="006F76EB" w:rsidP="00FB13FE">
            <w:pPr>
              <w:spacing w:after="120" w:line="240" w:lineRule="auto"/>
              <w:ind w:right="-6"/>
              <w:rPr>
                <w:rFonts w:ascii="Sylfaen" w:hAnsi="Sylfaen"/>
                <w:sz w:val="24"/>
                <w:szCs w:val="24"/>
              </w:rPr>
            </w:pPr>
          </w:p>
        </w:tc>
      </w:tr>
      <w:tr w:rsidR="006F76EB" w:rsidRPr="00834D52" w14:paraId="66B35707"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1DA83F" w14:textId="5641BAB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ՊՄՖ-ի տիրապետողի (</w:t>
            </w:r>
            <w:r w:rsidR="0056496B">
              <w:rPr>
                <w:rFonts w:ascii="Sylfaen" w:hAnsi="Sylfaen"/>
                <w:sz w:val="24"/>
                <w:szCs w:val="24"/>
              </w:rPr>
              <w:t>դիմումատու</w:t>
            </w:r>
            <w:r w:rsidRPr="00834D52">
              <w:rPr>
                <w:rFonts w:ascii="Sylfaen" w:hAnsi="Sylfaen"/>
                <w:sz w:val="24"/>
                <w:szCs w:val="24"/>
              </w:rPr>
              <w:t>ի) անվանումը</w:t>
            </w:r>
          </w:p>
        </w:tc>
        <w:tc>
          <w:tcPr>
            <w:tcW w:w="5468" w:type="dxa"/>
            <w:gridSpan w:val="3"/>
            <w:tcBorders>
              <w:top w:val="single" w:sz="4" w:space="0" w:color="000000"/>
              <w:left w:val="single" w:sz="4" w:space="0" w:color="000000"/>
              <w:bottom w:val="single" w:sz="4" w:space="0" w:color="000000"/>
              <w:right w:val="single" w:sz="4" w:space="0" w:color="000000"/>
            </w:tcBorders>
          </w:tcPr>
          <w:p w14:paraId="32CC67B5" w14:textId="77777777" w:rsidR="006F76EB" w:rsidRPr="00834D52" w:rsidRDefault="006F76EB" w:rsidP="00FB13FE">
            <w:pPr>
              <w:spacing w:after="120" w:line="240" w:lineRule="auto"/>
              <w:ind w:right="-6"/>
              <w:rPr>
                <w:rFonts w:ascii="Sylfaen" w:hAnsi="Sylfaen"/>
                <w:sz w:val="24"/>
                <w:szCs w:val="24"/>
              </w:rPr>
            </w:pPr>
          </w:p>
        </w:tc>
      </w:tr>
      <w:tr w:rsidR="006F76EB" w:rsidRPr="00834D52" w14:paraId="32983DD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091EA44D" w14:textId="40F0A4ED"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Սերտիֆիկատի (</w:t>
            </w:r>
            <w:r w:rsidR="0056496B">
              <w:rPr>
                <w:rFonts w:ascii="Sylfaen" w:hAnsi="Sylfaen"/>
                <w:sz w:val="24"/>
                <w:szCs w:val="24"/>
              </w:rPr>
              <w:t>դիմում</w:t>
            </w:r>
            <w:r w:rsidRPr="00834D52">
              <w:rPr>
                <w:rFonts w:ascii="Sylfaen" w:hAnsi="Sylfaen"/>
                <w:sz w:val="24"/>
                <w:szCs w:val="24"/>
              </w:rPr>
              <w:t>ի) համարը</w:t>
            </w:r>
          </w:p>
        </w:tc>
        <w:tc>
          <w:tcPr>
            <w:tcW w:w="5468" w:type="dxa"/>
            <w:gridSpan w:val="3"/>
            <w:tcBorders>
              <w:top w:val="single" w:sz="4" w:space="0" w:color="000000"/>
              <w:left w:val="single" w:sz="4" w:space="0" w:color="000000"/>
              <w:bottom w:val="single" w:sz="4" w:space="0" w:color="000000"/>
              <w:right w:val="single" w:sz="4" w:space="0" w:color="000000"/>
            </w:tcBorders>
          </w:tcPr>
          <w:p w14:paraId="7791E201" w14:textId="77777777" w:rsidR="006F76EB" w:rsidRPr="00834D52" w:rsidRDefault="006F76EB" w:rsidP="00FB13FE">
            <w:pPr>
              <w:spacing w:after="120" w:line="240" w:lineRule="auto"/>
              <w:ind w:right="-6"/>
              <w:rPr>
                <w:rFonts w:ascii="Sylfaen" w:hAnsi="Sylfaen"/>
                <w:sz w:val="24"/>
                <w:szCs w:val="24"/>
              </w:rPr>
            </w:pPr>
          </w:p>
        </w:tc>
      </w:tr>
      <w:tr w:rsidR="006F76EB" w:rsidRPr="00834D52" w14:paraId="40A5E906"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158A5115" w14:textId="29A9CBFA" w:rsidR="006F76EB" w:rsidRPr="00834D52" w:rsidRDefault="0056496B" w:rsidP="00FB13FE">
            <w:pPr>
              <w:spacing w:after="120" w:line="240" w:lineRule="auto"/>
              <w:ind w:left="112" w:right="-6"/>
              <w:rPr>
                <w:rFonts w:ascii="Sylfaen" w:eastAsia="Times New Roman" w:hAnsi="Sylfaen" w:cs="Times New Roman"/>
                <w:sz w:val="24"/>
                <w:szCs w:val="24"/>
              </w:rPr>
            </w:pPr>
            <w:r>
              <w:rPr>
                <w:rFonts w:ascii="Sylfaen" w:hAnsi="Sylfaen"/>
                <w:sz w:val="24"/>
                <w:szCs w:val="24"/>
              </w:rPr>
              <w:t>դիմում</w:t>
            </w:r>
            <w:r w:rsidR="006F76EB" w:rsidRPr="00834D52">
              <w:rPr>
                <w:rFonts w:ascii="Sylfaen" w:hAnsi="Sylfaen"/>
                <w:sz w:val="24"/>
                <w:szCs w:val="24"/>
              </w:rPr>
              <w:t>ի ներկայացման ամսաթիվը (եթե քննարկման փուլում է գտնվում)</w:t>
            </w:r>
          </w:p>
        </w:tc>
        <w:tc>
          <w:tcPr>
            <w:tcW w:w="5468" w:type="dxa"/>
            <w:gridSpan w:val="3"/>
            <w:tcBorders>
              <w:top w:val="single" w:sz="4" w:space="0" w:color="000000"/>
              <w:left w:val="single" w:sz="4" w:space="0" w:color="000000"/>
              <w:bottom w:val="single" w:sz="4" w:space="0" w:color="000000"/>
              <w:right w:val="single" w:sz="4" w:space="0" w:color="000000"/>
            </w:tcBorders>
          </w:tcPr>
          <w:p w14:paraId="76554786" w14:textId="77777777" w:rsidR="006F76EB" w:rsidRPr="00834D52" w:rsidRDefault="006F76EB" w:rsidP="00FB13FE">
            <w:pPr>
              <w:spacing w:after="120" w:line="240" w:lineRule="auto"/>
              <w:ind w:right="-6"/>
              <w:rPr>
                <w:rFonts w:ascii="Sylfaen" w:hAnsi="Sylfaen"/>
                <w:sz w:val="24"/>
                <w:szCs w:val="24"/>
              </w:rPr>
            </w:pPr>
          </w:p>
        </w:tc>
      </w:tr>
      <w:tr w:rsidR="006F76EB" w:rsidRPr="00834D52" w14:paraId="503DCDA4"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37E96312" w14:textId="77777777" w:rsidR="006F76EB" w:rsidRPr="00834D52" w:rsidRDefault="006F76EB" w:rsidP="00FB13FE">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հաստատման կամ վերջին վերանայման ամսաթիվը (եթե սերտիֆիկատն առկա է)</w:t>
            </w:r>
          </w:p>
        </w:tc>
        <w:tc>
          <w:tcPr>
            <w:tcW w:w="5468" w:type="dxa"/>
            <w:gridSpan w:val="3"/>
            <w:tcBorders>
              <w:top w:val="single" w:sz="4" w:space="0" w:color="000000"/>
              <w:left w:val="single" w:sz="4" w:space="0" w:color="000000"/>
              <w:bottom w:val="single" w:sz="4" w:space="0" w:color="000000"/>
              <w:right w:val="single" w:sz="4" w:space="0" w:color="000000"/>
            </w:tcBorders>
          </w:tcPr>
          <w:p w14:paraId="0F8A85DB" w14:textId="77777777" w:rsidR="006F76EB" w:rsidRPr="00834D52" w:rsidRDefault="006F76EB" w:rsidP="00FB13FE">
            <w:pPr>
              <w:spacing w:after="120" w:line="240" w:lineRule="auto"/>
              <w:ind w:right="-6"/>
              <w:rPr>
                <w:rFonts w:ascii="Sylfaen" w:hAnsi="Sylfaen"/>
                <w:sz w:val="24"/>
                <w:szCs w:val="24"/>
              </w:rPr>
            </w:pPr>
          </w:p>
        </w:tc>
      </w:tr>
    </w:tbl>
    <w:p w14:paraId="6E06F76C" w14:textId="77777777" w:rsidR="006F76EB" w:rsidRPr="00834D52" w:rsidRDefault="006F76EB" w:rsidP="009D1C0A">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3.6.4.</w:t>
      </w:r>
      <w:r w:rsidRPr="00834D52">
        <w:rPr>
          <w:rFonts w:ascii="Sylfaen" w:hAnsi="Sylfaen"/>
          <w:sz w:val="24"/>
          <w:szCs w:val="24"/>
        </w:rPr>
        <w:tab/>
        <w:t>Արդյոք դեղապատրաստուկը պարունակում է կամ բաղկացած է գենետիկորեն մոդիֆիկացված օրգանիզմներից (ԳՄՕ)՝</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B325197" w14:textId="77777777" w:rsidTr="00F71229">
        <w:tc>
          <w:tcPr>
            <w:tcW w:w="2268" w:type="dxa"/>
          </w:tcPr>
          <w:p w14:paraId="1C4EEB30"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254A99">
                <v:rect id="_x0000_s1269" style="position:absolute;left:0;text-align:left;margin-left:40.6pt;margin-top:3.05pt;width:12.75pt;height:12pt;z-index:251765248"/>
              </w:pict>
            </w:r>
            <w:r w:rsidR="006F76EB" w:rsidRPr="00834D52">
              <w:rPr>
                <w:rFonts w:ascii="Sylfaen" w:hAnsi="Sylfaen"/>
                <w:sz w:val="24"/>
                <w:szCs w:val="24"/>
              </w:rPr>
              <w:t>ոչ</w:t>
            </w:r>
          </w:p>
        </w:tc>
        <w:tc>
          <w:tcPr>
            <w:tcW w:w="2126" w:type="dxa"/>
          </w:tcPr>
          <w:p w14:paraId="1AA15B25"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AABABAD">
                <v:rect id="_x0000_s1268" style="position:absolute;left:0;text-align:left;margin-left:15.15pt;margin-top:3.05pt;width:12.75pt;height:12pt;z-index:251766272;mso-position-horizontal-relative:text;mso-position-vertical-relative:text"/>
              </w:pict>
            </w:r>
            <w:r w:rsidR="006F76EB" w:rsidRPr="00834D52">
              <w:rPr>
                <w:rFonts w:ascii="Sylfaen" w:hAnsi="Sylfaen"/>
                <w:sz w:val="24"/>
                <w:szCs w:val="24"/>
              </w:rPr>
              <w:t>այո</w:t>
            </w:r>
          </w:p>
        </w:tc>
      </w:tr>
    </w:tbl>
    <w:p w14:paraId="1470DBB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արդյոք պատրաստուկը համապատասխանում է սահմանված պահանջներին՝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68B1A3" w14:textId="77777777" w:rsidTr="00F71229">
        <w:tc>
          <w:tcPr>
            <w:tcW w:w="2268" w:type="dxa"/>
          </w:tcPr>
          <w:p w14:paraId="48A97E07"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6E5B907">
                <v:rect id="_x0000_s1271" style="position:absolute;left:0;text-align:left;margin-left:40.6pt;margin-top:3.05pt;width:12.75pt;height:12pt;z-index:251767296"/>
              </w:pict>
            </w:r>
            <w:r w:rsidR="006F76EB" w:rsidRPr="00834D52">
              <w:rPr>
                <w:rFonts w:ascii="Sylfaen" w:hAnsi="Sylfaen"/>
                <w:sz w:val="24"/>
                <w:szCs w:val="24"/>
              </w:rPr>
              <w:t>ոչ</w:t>
            </w:r>
          </w:p>
        </w:tc>
        <w:tc>
          <w:tcPr>
            <w:tcW w:w="2126" w:type="dxa"/>
          </w:tcPr>
          <w:p w14:paraId="2954B321"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5F82FB0">
                <v:rect id="_x0000_s1270" style="position:absolute;left:0;text-align:left;margin-left:15.15pt;margin-top:3.05pt;width:12.75pt;height:12pt;z-index:251768320;mso-position-horizontal-relative:text;mso-position-vertical-relative:text"/>
              </w:pict>
            </w:r>
            <w:r w:rsidR="006F76EB" w:rsidRPr="00834D52">
              <w:rPr>
                <w:rFonts w:ascii="Sylfaen" w:hAnsi="Sylfaen"/>
                <w:sz w:val="24"/>
                <w:szCs w:val="24"/>
              </w:rPr>
              <w:t>այո</w:t>
            </w:r>
          </w:p>
        </w:tc>
      </w:tr>
    </w:tbl>
    <w:p w14:paraId="187379FB" w14:textId="17ACCF7B" w:rsidR="006F76EB" w:rsidRDefault="006F76EB" w:rsidP="006F76EB">
      <w:pPr>
        <w:spacing w:after="160" w:line="360" w:lineRule="auto"/>
        <w:ind w:right="-8" w:firstLine="567"/>
        <w:jc w:val="both"/>
        <w:rPr>
          <w:rFonts w:ascii="Sylfaen" w:hAnsi="Sylfaen"/>
          <w:sz w:val="24"/>
          <w:szCs w:val="24"/>
        </w:rPr>
      </w:pPr>
      <w:r w:rsidRPr="00834D52">
        <w:rPr>
          <w:rFonts w:ascii="Sylfaen" w:hAnsi="Sylfaen"/>
          <w:sz w:val="24"/>
          <w:szCs w:val="24"/>
        </w:rPr>
        <w:t>Կատարե՛ք անհրաժեշտ հղումը:</w:t>
      </w:r>
    </w:p>
    <w:p w14:paraId="7FA1ED66" w14:textId="45F982C0" w:rsidR="00F96F17" w:rsidRPr="00CD4709" w:rsidRDefault="00F96F17" w:rsidP="00F96F17">
      <w:pPr>
        <w:rPr>
          <w:b/>
          <w:bCs/>
          <w:i/>
          <w:iCs/>
        </w:rPr>
      </w:pPr>
      <w:r w:rsidRPr="00CD4709">
        <w:rPr>
          <w:b/>
          <w:bCs/>
          <w:i/>
          <w:iCs/>
        </w:rPr>
        <w:t>(</w:t>
      </w:r>
      <w:r>
        <w:rPr>
          <w:b/>
          <w:bCs/>
          <w:i/>
          <w:iCs/>
        </w:rPr>
        <w:t xml:space="preserve">3-րդ բաժինը </w:t>
      </w:r>
      <w:r w:rsidRPr="00CD4709">
        <w:rPr>
          <w:b/>
          <w:bCs/>
          <w:i/>
          <w:iCs/>
        </w:rPr>
        <w:t xml:space="preserve">փոփ. </w:t>
      </w:r>
      <w:r>
        <w:rPr>
          <w:b/>
          <w:bCs/>
          <w:i/>
          <w:iCs/>
        </w:rPr>
        <w:t>23.04.21 թիվ 34</w:t>
      </w:r>
      <w:r w:rsidRPr="00CD4709">
        <w:rPr>
          <w:b/>
          <w:bCs/>
          <w:i/>
          <w:iCs/>
        </w:rPr>
        <w:t>)</w:t>
      </w:r>
    </w:p>
    <w:p w14:paraId="5BA05528" w14:textId="77777777" w:rsidR="00F96F17" w:rsidRPr="00834D52" w:rsidRDefault="00F96F17" w:rsidP="006F76EB">
      <w:pPr>
        <w:spacing w:after="160" w:line="360" w:lineRule="auto"/>
        <w:ind w:right="-8" w:firstLine="567"/>
        <w:jc w:val="both"/>
        <w:rPr>
          <w:rFonts w:ascii="Sylfaen" w:eastAsia="Times New Roman" w:hAnsi="Sylfaen" w:cs="Times New Roman"/>
          <w:sz w:val="24"/>
          <w:szCs w:val="24"/>
        </w:rPr>
      </w:pPr>
    </w:p>
    <w:p w14:paraId="211B5BC4" w14:textId="77777777" w:rsidR="006F76EB" w:rsidRPr="00F96F17" w:rsidRDefault="006F76EB" w:rsidP="006F76EB">
      <w:pPr>
        <w:spacing w:after="160" w:line="360" w:lineRule="auto"/>
        <w:ind w:right="-8"/>
        <w:jc w:val="center"/>
        <w:rPr>
          <w:rFonts w:ascii="Sylfaen" w:hAnsi="Sylfaen"/>
          <w:sz w:val="24"/>
          <w:szCs w:val="24"/>
        </w:rPr>
      </w:pPr>
    </w:p>
    <w:p w14:paraId="319C2FEB"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4. Այլ տեղեկություններ</w:t>
      </w:r>
    </w:p>
    <w:p w14:paraId="4FE7094F" w14:textId="77777777" w:rsidR="006F76EB" w:rsidRPr="00834D52" w:rsidRDefault="006F76EB" w:rsidP="00D05A7F">
      <w:pPr>
        <w:tabs>
          <w:tab w:val="left" w:pos="1701"/>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4.1.</w:t>
      </w:r>
      <w:r w:rsidRPr="00834D52">
        <w:rPr>
          <w:rFonts w:ascii="Sylfaen" w:hAnsi="Sylfaen"/>
          <w:sz w:val="24"/>
          <w:szCs w:val="24"/>
        </w:rPr>
        <w:tab/>
        <w:t>Պահպանվո՞ւմ են արդյոք դեղապատրաստուկի նկատմամբ մտավոր սեփականության իրավունքները Եվրասիական տնտեսական միության անդամ պետության տարածքում գործող արտոնագրերով՝</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78A803" w14:textId="77777777" w:rsidTr="00F71229">
        <w:tc>
          <w:tcPr>
            <w:tcW w:w="2268" w:type="dxa"/>
          </w:tcPr>
          <w:p w14:paraId="6D5D0BB7"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7D4A4D5F">
                <v:rect id="_x0000_s1273" style="position:absolute;left:0;text-align:left;margin-left:40.6pt;margin-top:3.05pt;width:12.75pt;height:12pt;z-index:251769344"/>
              </w:pict>
            </w:r>
            <w:r w:rsidR="006F76EB" w:rsidRPr="00834D52">
              <w:rPr>
                <w:rFonts w:ascii="Sylfaen" w:hAnsi="Sylfaen"/>
                <w:sz w:val="24"/>
                <w:szCs w:val="24"/>
              </w:rPr>
              <w:t>ոչ</w:t>
            </w:r>
          </w:p>
        </w:tc>
        <w:tc>
          <w:tcPr>
            <w:tcW w:w="2126" w:type="dxa"/>
          </w:tcPr>
          <w:p w14:paraId="25975A87"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26873EEF">
                <v:rect id="_x0000_s1272" style="position:absolute;left:0;text-align:left;margin-left:15.15pt;margin-top:3.05pt;width:12.75pt;height:12pt;z-index:251770368;mso-position-horizontal-relative:text;mso-position-vertical-relative:text"/>
              </w:pict>
            </w:r>
            <w:r w:rsidR="006F76EB" w:rsidRPr="00834D52">
              <w:rPr>
                <w:rFonts w:ascii="Sylfaen" w:hAnsi="Sylfaen"/>
                <w:sz w:val="24"/>
                <w:szCs w:val="24"/>
              </w:rPr>
              <w:t>այո</w:t>
            </w:r>
          </w:p>
        </w:tc>
      </w:tr>
    </w:tbl>
    <w:p w14:paraId="41D2530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227" w:type="dxa"/>
        <w:tblInd w:w="102" w:type="dxa"/>
        <w:tblLayout w:type="fixed"/>
        <w:tblCellMar>
          <w:left w:w="0" w:type="dxa"/>
          <w:right w:w="0" w:type="dxa"/>
        </w:tblCellMar>
        <w:tblLook w:val="01E0" w:firstRow="1" w:lastRow="1" w:firstColumn="1" w:lastColumn="1" w:noHBand="0" w:noVBand="0"/>
      </w:tblPr>
      <w:tblGrid>
        <w:gridCol w:w="1841"/>
        <w:gridCol w:w="2272"/>
        <w:gridCol w:w="1563"/>
        <w:gridCol w:w="1705"/>
        <w:gridCol w:w="1846"/>
      </w:tblGrid>
      <w:tr w:rsidR="006F76EB" w:rsidRPr="00834D52" w14:paraId="40FDEFA0" w14:textId="77777777" w:rsidTr="00D05A7F">
        <w:trPr>
          <w:trHeight w:val="1358"/>
        </w:trPr>
        <w:tc>
          <w:tcPr>
            <w:tcW w:w="1841" w:type="dxa"/>
            <w:tcBorders>
              <w:top w:val="single" w:sz="4" w:space="0" w:color="000000"/>
              <w:left w:val="single" w:sz="4" w:space="0" w:color="000000"/>
              <w:bottom w:val="single" w:sz="4" w:space="0" w:color="000000"/>
              <w:right w:val="single" w:sz="4" w:space="0" w:color="000000"/>
            </w:tcBorders>
            <w:vAlign w:val="center"/>
          </w:tcPr>
          <w:p w14:paraId="3CC9235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համարը</w:t>
            </w:r>
          </w:p>
        </w:tc>
        <w:tc>
          <w:tcPr>
            <w:tcW w:w="2272" w:type="dxa"/>
            <w:tcBorders>
              <w:top w:val="single" w:sz="4" w:space="0" w:color="000000"/>
              <w:left w:val="single" w:sz="4" w:space="0" w:color="000000"/>
              <w:bottom w:val="single" w:sz="4" w:space="0" w:color="000000"/>
              <w:right w:val="single" w:sz="4" w:space="0" w:color="000000"/>
            </w:tcBorders>
            <w:vAlign w:val="center"/>
          </w:tcPr>
          <w:p w14:paraId="0B5E9A7A"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563" w:type="dxa"/>
            <w:tcBorders>
              <w:top w:val="single" w:sz="4" w:space="0" w:color="000000"/>
              <w:left w:val="single" w:sz="4" w:space="0" w:color="000000"/>
              <w:bottom w:val="single" w:sz="4" w:space="0" w:color="000000"/>
              <w:right w:val="single" w:sz="4" w:space="0" w:color="000000"/>
            </w:tcBorders>
            <w:vAlign w:val="center"/>
          </w:tcPr>
          <w:p w14:paraId="4758FF2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05" w:type="dxa"/>
            <w:tcBorders>
              <w:top w:val="single" w:sz="4" w:space="0" w:color="000000"/>
              <w:left w:val="single" w:sz="4" w:space="0" w:color="000000"/>
              <w:bottom w:val="single" w:sz="4" w:space="0" w:color="000000"/>
              <w:right w:val="single" w:sz="4" w:space="0" w:color="000000"/>
            </w:tcBorders>
            <w:vAlign w:val="center"/>
          </w:tcPr>
          <w:p w14:paraId="3C425EC7"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1846" w:type="dxa"/>
            <w:tcBorders>
              <w:top w:val="single" w:sz="4" w:space="0" w:color="000000"/>
              <w:left w:val="single" w:sz="4" w:space="0" w:color="000000"/>
              <w:bottom w:val="single" w:sz="4" w:space="0" w:color="000000"/>
              <w:right w:val="single" w:sz="4" w:space="0" w:color="000000"/>
            </w:tcBorders>
            <w:vAlign w:val="center"/>
          </w:tcPr>
          <w:p w14:paraId="593AD4AE" w14:textId="77777777" w:rsidR="006F76EB" w:rsidRPr="00834D52" w:rsidRDefault="006F76EB" w:rsidP="00D05A7F">
            <w:pPr>
              <w:spacing w:after="120" w:line="240" w:lineRule="auto"/>
              <w:ind w:right="-6"/>
              <w:jc w:val="center"/>
              <w:rPr>
                <w:rFonts w:ascii="Sylfaen" w:eastAsia="Times New Roman" w:hAnsi="Sylfaen" w:cs="Times New Roman"/>
                <w:sz w:val="24"/>
                <w:szCs w:val="24"/>
              </w:rPr>
            </w:pPr>
            <w:r w:rsidRPr="00834D52">
              <w:rPr>
                <w:rFonts w:ascii="Sylfaen" w:hAnsi="Sylfaen"/>
                <w:sz w:val="24"/>
                <w:szCs w:val="24"/>
              </w:rPr>
              <w:t>Արտոնագրի տիրապետողը</w:t>
            </w:r>
          </w:p>
        </w:tc>
      </w:tr>
      <w:tr w:rsidR="006F76EB" w:rsidRPr="00834D52" w14:paraId="4DB0DF94" w14:textId="77777777" w:rsidTr="00D05A7F">
        <w:trPr>
          <w:trHeight w:val="551"/>
        </w:trPr>
        <w:tc>
          <w:tcPr>
            <w:tcW w:w="1841" w:type="dxa"/>
            <w:tcBorders>
              <w:top w:val="single" w:sz="4" w:space="0" w:color="000000"/>
              <w:left w:val="single" w:sz="4" w:space="0" w:color="000000"/>
              <w:bottom w:val="single" w:sz="4" w:space="0" w:color="000000"/>
              <w:right w:val="single" w:sz="4" w:space="0" w:color="000000"/>
            </w:tcBorders>
          </w:tcPr>
          <w:p w14:paraId="68DEB3D9" w14:textId="77777777" w:rsidR="006F76EB" w:rsidRPr="00834D52" w:rsidRDefault="006F76EB" w:rsidP="00D05A7F">
            <w:pPr>
              <w:spacing w:after="120" w:line="240" w:lineRule="auto"/>
              <w:ind w:right="-6"/>
              <w:rPr>
                <w:rFonts w:ascii="Sylfaen" w:hAnsi="Sylfaen"/>
                <w:sz w:val="24"/>
                <w:szCs w:val="24"/>
              </w:rPr>
            </w:pPr>
          </w:p>
        </w:tc>
        <w:tc>
          <w:tcPr>
            <w:tcW w:w="2272" w:type="dxa"/>
            <w:tcBorders>
              <w:top w:val="single" w:sz="4" w:space="0" w:color="000000"/>
              <w:left w:val="single" w:sz="4" w:space="0" w:color="000000"/>
              <w:bottom w:val="single" w:sz="4" w:space="0" w:color="000000"/>
              <w:right w:val="single" w:sz="4" w:space="0" w:color="000000"/>
            </w:tcBorders>
          </w:tcPr>
          <w:p w14:paraId="42A68D29" w14:textId="77777777" w:rsidR="006F76EB" w:rsidRPr="00834D52" w:rsidRDefault="006F76EB" w:rsidP="00D05A7F">
            <w:pPr>
              <w:spacing w:after="120" w:line="240" w:lineRule="auto"/>
              <w:ind w:right="-6"/>
              <w:rPr>
                <w:rFonts w:ascii="Sylfaen" w:hAnsi="Sylfaen"/>
                <w:sz w:val="24"/>
                <w:szCs w:val="24"/>
              </w:rPr>
            </w:pPr>
          </w:p>
        </w:tc>
        <w:tc>
          <w:tcPr>
            <w:tcW w:w="1563" w:type="dxa"/>
            <w:tcBorders>
              <w:top w:val="single" w:sz="4" w:space="0" w:color="000000"/>
              <w:left w:val="single" w:sz="4" w:space="0" w:color="000000"/>
              <w:bottom w:val="single" w:sz="4" w:space="0" w:color="000000"/>
              <w:right w:val="single" w:sz="4" w:space="0" w:color="000000"/>
            </w:tcBorders>
          </w:tcPr>
          <w:p w14:paraId="0A822501" w14:textId="77777777" w:rsidR="006F76EB" w:rsidRPr="00834D52" w:rsidRDefault="006F76EB" w:rsidP="00D05A7F">
            <w:pPr>
              <w:spacing w:after="120" w:line="240" w:lineRule="auto"/>
              <w:ind w:right="-6"/>
              <w:rPr>
                <w:rFonts w:ascii="Sylfaen" w:hAnsi="Sylfaen"/>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DD2594D" w14:textId="77777777" w:rsidR="006F76EB" w:rsidRPr="00834D52" w:rsidRDefault="006F76EB" w:rsidP="00D05A7F">
            <w:pPr>
              <w:spacing w:after="120" w:line="240" w:lineRule="auto"/>
              <w:ind w:right="-6"/>
              <w:rPr>
                <w:rFonts w:ascii="Sylfaen" w:hAnsi="Sylfaen"/>
                <w:sz w:val="24"/>
                <w:szCs w:val="24"/>
              </w:rPr>
            </w:pPr>
          </w:p>
        </w:tc>
        <w:tc>
          <w:tcPr>
            <w:tcW w:w="1846" w:type="dxa"/>
            <w:tcBorders>
              <w:top w:val="single" w:sz="4" w:space="0" w:color="000000"/>
              <w:left w:val="single" w:sz="4" w:space="0" w:color="000000"/>
              <w:bottom w:val="single" w:sz="4" w:space="0" w:color="000000"/>
              <w:right w:val="single" w:sz="4" w:space="0" w:color="000000"/>
            </w:tcBorders>
          </w:tcPr>
          <w:p w14:paraId="49B8B2D1" w14:textId="77777777" w:rsidR="006F76EB" w:rsidRPr="00834D52" w:rsidRDefault="006F76EB" w:rsidP="00D05A7F">
            <w:pPr>
              <w:spacing w:after="120" w:line="240" w:lineRule="auto"/>
              <w:ind w:right="-6"/>
              <w:rPr>
                <w:rFonts w:ascii="Sylfaen" w:hAnsi="Sylfaen"/>
                <w:sz w:val="24"/>
                <w:szCs w:val="24"/>
              </w:rPr>
            </w:pPr>
          </w:p>
        </w:tc>
      </w:tr>
    </w:tbl>
    <w:p w14:paraId="157E20F0" w14:textId="5505D64F" w:rsidR="006F76EB" w:rsidRPr="00834D52" w:rsidRDefault="006F76EB" w:rsidP="00A86C06">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Այն դեղապատրաստուկների գրանցման համար, որոնք հիմնվում են մտավոր սեփականության այն օբյեկտների վրա կամ առնչություն ունեն մտավոր սեփականության այն օբյեկտների հետ, որոնց համար, Եվրասիական տնտեսական միության անդամ պետության օրենսդրությանը համապատասխան, տրվել է արտոնագիր, </w:t>
      </w:r>
      <w:r w:rsidR="0056496B">
        <w:rPr>
          <w:rFonts w:ascii="Sylfaen" w:hAnsi="Sylfaen"/>
          <w:sz w:val="24"/>
          <w:szCs w:val="24"/>
        </w:rPr>
        <w:t>դիմումատու</w:t>
      </w:r>
      <w:r w:rsidRPr="00834D52">
        <w:rPr>
          <w:rFonts w:ascii="Sylfaen" w:hAnsi="Sylfaen"/>
          <w:sz w:val="24"/>
          <w:szCs w:val="24"/>
        </w:rPr>
        <w:t xml:space="preserve">ն տրամադրում է իր կողմից վավերացված՝ Եվրասիական տնտեսական միության անդամ պետության տարածքում գործող արտոնագրի կամ լիցենզիոն համաձայնագրի պատճենը, որը տալիս է գրանցված դեղապատրաստուկի արտադրության </w:t>
      </w:r>
      <w:r w:rsidR="00C54D75">
        <w:rPr>
          <w:rFonts w:ascii="Sylfaen" w:hAnsi="Sylfaen"/>
          <w:sz w:val="24"/>
          <w:szCs w:val="24"/>
        </w:rPr>
        <w:t>և</w:t>
      </w:r>
      <w:r w:rsidRPr="00834D52">
        <w:rPr>
          <w:rFonts w:ascii="Sylfaen" w:hAnsi="Sylfaen"/>
          <w:sz w:val="24"/>
          <w:szCs w:val="24"/>
        </w:rPr>
        <w:t xml:space="preserve"> վաճառքի իրավունք: </w:t>
      </w:r>
      <w:r w:rsidR="0056496B">
        <w:rPr>
          <w:rFonts w:ascii="Sylfaen" w:hAnsi="Sylfaen"/>
          <w:sz w:val="24"/>
          <w:szCs w:val="24"/>
        </w:rPr>
        <w:t>Դիմումատու</w:t>
      </w:r>
      <w:r w:rsidRPr="00834D52">
        <w:rPr>
          <w:rFonts w:ascii="Sylfaen" w:hAnsi="Sylfaen"/>
          <w:sz w:val="24"/>
          <w:szCs w:val="24"/>
        </w:rPr>
        <w:t>ները ներկայացնում են նամակ, որում նշվում է, որ երրորդ անձանց՝ արտոնագրով պաշտպանվող կամ լիցենզիայով փոխանցվող մտավոր սեփականության իրավունքները չեն խախտվում դեղապատրաստուկի գրանցման պատճառով:</w:t>
      </w:r>
    </w:p>
    <w:p w14:paraId="22C24772" w14:textId="77777777" w:rsidR="006F76EB" w:rsidRPr="00834D52" w:rsidRDefault="006F76EB" w:rsidP="00A86C06">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4.2.</w:t>
      </w:r>
      <w:r w:rsidRPr="00834D52">
        <w:rPr>
          <w:rFonts w:ascii="Sylfaen" w:hAnsi="Sylfaen"/>
          <w:sz w:val="24"/>
          <w:szCs w:val="24"/>
        </w:rPr>
        <w:tab/>
        <w:t>Արդյոք ապրանքային նշանը գրանցված է Եվրասիական տնտեսական միության անդամ պետություններում՝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429A0834" w14:textId="77777777" w:rsidTr="00F71229">
        <w:tc>
          <w:tcPr>
            <w:tcW w:w="2268" w:type="dxa"/>
          </w:tcPr>
          <w:p w14:paraId="123B92FE"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D860F66">
                <v:rect id="_x0000_s1275" style="position:absolute;left:0;text-align:left;margin-left:40.6pt;margin-top:3.05pt;width:12.75pt;height:12pt;z-index:251771392"/>
              </w:pict>
            </w:r>
            <w:r w:rsidR="006F76EB" w:rsidRPr="00834D52">
              <w:rPr>
                <w:rFonts w:ascii="Sylfaen" w:hAnsi="Sylfaen"/>
                <w:sz w:val="24"/>
                <w:szCs w:val="24"/>
              </w:rPr>
              <w:t>ոչ</w:t>
            </w:r>
          </w:p>
        </w:tc>
        <w:tc>
          <w:tcPr>
            <w:tcW w:w="2126" w:type="dxa"/>
          </w:tcPr>
          <w:p w14:paraId="1282E50E"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0B0974DB">
                <v:rect id="_x0000_s1274" style="position:absolute;left:0;text-align:left;margin-left:15.15pt;margin-top:3.05pt;width:12.75pt;height:12pt;z-index:251772416;mso-position-horizontal-relative:text;mso-position-vertical-relative:text"/>
              </w:pict>
            </w:r>
            <w:r w:rsidR="006F76EB" w:rsidRPr="00834D52">
              <w:rPr>
                <w:rFonts w:ascii="Sylfaen" w:hAnsi="Sylfaen"/>
                <w:sz w:val="24"/>
                <w:szCs w:val="24"/>
              </w:rPr>
              <w:t>այո</w:t>
            </w:r>
          </w:p>
        </w:tc>
      </w:tr>
    </w:tbl>
    <w:p w14:paraId="2A397C9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lastRenderedPageBreak/>
        <w:t>Եթե այո, ապա ներկայացրե՛ք հետ</w:t>
      </w:r>
      <w:r w:rsidR="00C54D75">
        <w:rPr>
          <w:rFonts w:ascii="Sylfaen" w:hAnsi="Sylfaen"/>
          <w:sz w:val="24"/>
          <w:szCs w:val="24"/>
        </w:rPr>
        <w:t>և</w:t>
      </w:r>
      <w:r w:rsidRPr="00834D52">
        <w:rPr>
          <w:rFonts w:ascii="Sylfaen" w:hAnsi="Sylfaen"/>
          <w:sz w:val="24"/>
          <w:szCs w:val="24"/>
        </w:rPr>
        <w:t>յալ տեղեկությունները՝</w:t>
      </w:r>
    </w:p>
    <w:tbl>
      <w:tblPr>
        <w:tblW w:w="9325" w:type="dxa"/>
        <w:tblInd w:w="222" w:type="dxa"/>
        <w:tblLayout w:type="fixed"/>
        <w:tblCellMar>
          <w:left w:w="0" w:type="dxa"/>
          <w:right w:w="0" w:type="dxa"/>
        </w:tblCellMar>
        <w:tblLook w:val="01E0" w:firstRow="1" w:lastRow="1" w:firstColumn="1" w:lastColumn="1" w:noHBand="0" w:noVBand="0"/>
      </w:tblPr>
      <w:tblGrid>
        <w:gridCol w:w="1718"/>
        <w:gridCol w:w="2254"/>
        <w:gridCol w:w="1268"/>
        <w:gridCol w:w="1797"/>
        <w:gridCol w:w="2288"/>
      </w:tblGrid>
      <w:tr w:rsidR="006F76EB" w:rsidRPr="00834D52" w14:paraId="5A8E6E00" w14:textId="77777777" w:rsidTr="00337D8C">
        <w:trPr>
          <w:trHeight w:val="1417"/>
        </w:trPr>
        <w:tc>
          <w:tcPr>
            <w:tcW w:w="1718" w:type="dxa"/>
            <w:tcBorders>
              <w:top w:val="single" w:sz="4" w:space="0" w:color="000000"/>
              <w:left w:val="single" w:sz="4" w:space="0" w:color="000000"/>
              <w:bottom w:val="single" w:sz="4" w:space="0" w:color="000000"/>
              <w:right w:val="single" w:sz="4" w:space="0" w:color="000000"/>
            </w:tcBorders>
            <w:vAlign w:val="center"/>
          </w:tcPr>
          <w:p w14:paraId="7A6EAF68"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Վկայագրի համարը</w:t>
            </w:r>
          </w:p>
        </w:tc>
        <w:tc>
          <w:tcPr>
            <w:tcW w:w="2254" w:type="dxa"/>
            <w:tcBorders>
              <w:top w:val="single" w:sz="4" w:space="0" w:color="000000"/>
              <w:left w:val="single" w:sz="4" w:space="0" w:color="000000"/>
              <w:bottom w:val="single" w:sz="4" w:space="0" w:color="000000"/>
              <w:right w:val="single" w:sz="4" w:space="0" w:color="000000"/>
            </w:tcBorders>
            <w:vAlign w:val="center"/>
          </w:tcPr>
          <w:p w14:paraId="034C2C36"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անդամ պետության տարածքում</w:t>
            </w:r>
          </w:p>
        </w:tc>
        <w:tc>
          <w:tcPr>
            <w:tcW w:w="1268" w:type="dxa"/>
            <w:tcBorders>
              <w:top w:val="single" w:sz="4" w:space="0" w:color="000000"/>
              <w:left w:val="single" w:sz="4" w:space="0" w:color="000000"/>
              <w:bottom w:val="single" w:sz="4" w:space="0" w:color="000000"/>
              <w:right w:val="single" w:sz="4" w:space="0" w:color="000000"/>
            </w:tcBorders>
            <w:vAlign w:val="center"/>
          </w:tcPr>
          <w:p w14:paraId="1C48B7CF"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Տրման ամսաթիվը</w:t>
            </w:r>
          </w:p>
        </w:tc>
        <w:tc>
          <w:tcPr>
            <w:tcW w:w="1797" w:type="dxa"/>
            <w:tcBorders>
              <w:top w:val="single" w:sz="4" w:space="0" w:color="000000"/>
              <w:left w:val="single" w:sz="4" w:space="0" w:color="000000"/>
              <w:bottom w:val="single" w:sz="4" w:space="0" w:color="000000"/>
              <w:right w:val="single" w:sz="4" w:space="0" w:color="000000"/>
            </w:tcBorders>
            <w:vAlign w:val="center"/>
          </w:tcPr>
          <w:p w14:paraId="2CC04FC7" w14:textId="77777777" w:rsidR="006F76EB" w:rsidRPr="00834D52" w:rsidRDefault="006F76EB" w:rsidP="00337D8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Գործում է մինչ</w:t>
            </w:r>
            <w:r w:rsidR="00C54D75">
              <w:rPr>
                <w:rFonts w:ascii="Sylfaen" w:hAnsi="Sylfaen"/>
                <w:sz w:val="24"/>
                <w:szCs w:val="24"/>
              </w:rPr>
              <w:t>և</w:t>
            </w:r>
          </w:p>
        </w:tc>
        <w:tc>
          <w:tcPr>
            <w:tcW w:w="2288" w:type="dxa"/>
            <w:tcBorders>
              <w:top w:val="single" w:sz="4" w:space="0" w:color="000000"/>
              <w:left w:val="single" w:sz="4" w:space="0" w:color="000000"/>
              <w:bottom w:val="single" w:sz="4" w:space="0" w:color="000000"/>
              <w:right w:val="single" w:sz="4" w:space="0" w:color="000000"/>
            </w:tcBorders>
            <w:vAlign w:val="center"/>
          </w:tcPr>
          <w:p w14:paraId="68C14C06" w14:textId="77777777" w:rsidR="006F76EB" w:rsidRPr="00834D52" w:rsidRDefault="006F76EB" w:rsidP="00337D8C">
            <w:pPr>
              <w:spacing w:after="120" w:line="240" w:lineRule="auto"/>
              <w:ind w:left="209" w:right="252"/>
              <w:jc w:val="center"/>
              <w:rPr>
                <w:rFonts w:ascii="Sylfaen" w:eastAsia="Times New Roman" w:hAnsi="Sylfaen" w:cs="Times New Roman"/>
                <w:sz w:val="24"/>
                <w:szCs w:val="24"/>
              </w:rPr>
            </w:pPr>
            <w:r w:rsidRPr="00834D52">
              <w:rPr>
                <w:rFonts w:ascii="Sylfaen" w:hAnsi="Sylfaen"/>
                <w:sz w:val="24"/>
                <w:szCs w:val="24"/>
              </w:rPr>
              <w:t>Իրավատերը</w:t>
            </w:r>
          </w:p>
        </w:tc>
      </w:tr>
      <w:tr w:rsidR="006F76EB" w:rsidRPr="00834D52" w14:paraId="5C8E19AC" w14:textId="77777777" w:rsidTr="00337D8C">
        <w:trPr>
          <w:trHeight w:val="598"/>
        </w:trPr>
        <w:tc>
          <w:tcPr>
            <w:tcW w:w="1718" w:type="dxa"/>
            <w:tcBorders>
              <w:top w:val="single" w:sz="4" w:space="0" w:color="000000"/>
              <w:left w:val="single" w:sz="4" w:space="0" w:color="000000"/>
              <w:bottom w:val="single" w:sz="4" w:space="0" w:color="000000"/>
              <w:right w:val="single" w:sz="4" w:space="0" w:color="000000"/>
            </w:tcBorders>
          </w:tcPr>
          <w:p w14:paraId="251EDE74" w14:textId="77777777" w:rsidR="006F76EB" w:rsidRPr="00834D52" w:rsidRDefault="006F76EB" w:rsidP="00337D8C">
            <w:pPr>
              <w:spacing w:after="120" w:line="240" w:lineRule="auto"/>
              <w:ind w:right="-8"/>
              <w:rPr>
                <w:rFonts w:ascii="Sylfaen" w:hAnsi="Sylfaen"/>
                <w:sz w:val="24"/>
                <w:szCs w:val="24"/>
              </w:rPr>
            </w:pPr>
          </w:p>
        </w:tc>
        <w:tc>
          <w:tcPr>
            <w:tcW w:w="2254" w:type="dxa"/>
            <w:tcBorders>
              <w:top w:val="single" w:sz="4" w:space="0" w:color="000000"/>
              <w:left w:val="single" w:sz="4" w:space="0" w:color="000000"/>
              <w:bottom w:val="single" w:sz="4" w:space="0" w:color="000000"/>
              <w:right w:val="single" w:sz="4" w:space="0" w:color="000000"/>
            </w:tcBorders>
          </w:tcPr>
          <w:p w14:paraId="2C48C38F" w14:textId="77777777" w:rsidR="006F76EB" w:rsidRPr="00834D52" w:rsidRDefault="006F76EB" w:rsidP="00337D8C">
            <w:pPr>
              <w:spacing w:after="120" w:line="240" w:lineRule="auto"/>
              <w:ind w:right="-8"/>
              <w:rPr>
                <w:rFonts w:ascii="Sylfaen" w:hAnsi="Sylfaen"/>
                <w:sz w:val="24"/>
                <w:szCs w:val="24"/>
              </w:rPr>
            </w:pPr>
          </w:p>
        </w:tc>
        <w:tc>
          <w:tcPr>
            <w:tcW w:w="1268" w:type="dxa"/>
            <w:tcBorders>
              <w:top w:val="single" w:sz="4" w:space="0" w:color="000000"/>
              <w:left w:val="single" w:sz="4" w:space="0" w:color="000000"/>
              <w:bottom w:val="single" w:sz="4" w:space="0" w:color="000000"/>
              <w:right w:val="single" w:sz="4" w:space="0" w:color="000000"/>
            </w:tcBorders>
          </w:tcPr>
          <w:p w14:paraId="7E83205C" w14:textId="77777777" w:rsidR="006F76EB" w:rsidRPr="00834D52" w:rsidRDefault="006F76EB" w:rsidP="00337D8C">
            <w:pPr>
              <w:spacing w:after="120" w:line="240" w:lineRule="auto"/>
              <w:ind w:right="-8"/>
              <w:rPr>
                <w:rFonts w:ascii="Sylfaen" w:hAnsi="Sylfaen"/>
                <w:sz w:val="24"/>
                <w:szCs w:val="24"/>
              </w:rPr>
            </w:pPr>
          </w:p>
        </w:tc>
        <w:tc>
          <w:tcPr>
            <w:tcW w:w="1797" w:type="dxa"/>
            <w:tcBorders>
              <w:top w:val="single" w:sz="4" w:space="0" w:color="000000"/>
              <w:left w:val="single" w:sz="4" w:space="0" w:color="000000"/>
              <w:bottom w:val="single" w:sz="4" w:space="0" w:color="000000"/>
              <w:right w:val="single" w:sz="4" w:space="0" w:color="000000"/>
            </w:tcBorders>
          </w:tcPr>
          <w:p w14:paraId="077D5A58" w14:textId="77777777" w:rsidR="006F76EB" w:rsidRPr="00834D52" w:rsidRDefault="006F76EB" w:rsidP="00337D8C">
            <w:pPr>
              <w:spacing w:after="120" w:line="240" w:lineRule="auto"/>
              <w:ind w:right="-8"/>
              <w:rPr>
                <w:rFonts w:ascii="Sylfaen" w:hAnsi="Sylfaen"/>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EFF8B40" w14:textId="77777777" w:rsidR="006F76EB" w:rsidRPr="00834D52" w:rsidRDefault="006F76EB" w:rsidP="00337D8C">
            <w:pPr>
              <w:spacing w:after="120" w:line="240" w:lineRule="auto"/>
              <w:ind w:right="-8"/>
              <w:rPr>
                <w:rFonts w:ascii="Sylfaen" w:hAnsi="Sylfaen"/>
                <w:sz w:val="24"/>
                <w:szCs w:val="24"/>
              </w:rPr>
            </w:pPr>
          </w:p>
        </w:tc>
      </w:tr>
    </w:tbl>
    <w:p w14:paraId="527BCC67" w14:textId="77777777" w:rsidR="00A86C06" w:rsidRDefault="00A86C06" w:rsidP="006F76EB">
      <w:pPr>
        <w:spacing w:after="160" w:line="360" w:lineRule="auto"/>
        <w:ind w:right="-8" w:firstLine="567"/>
        <w:jc w:val="both"/>
        <w:rPr>
          <w:rFonts w:ascii="Sylfaen" w:hAnsi="Sylfaen"/>
          <w:sz w:val="24"/>
          <w:szCs w:val="24"/>
          <w:lang w:val="en-US"/>
        </w:rPr>
      </w:pPr>
    </w:p>
    <w:p w14:paraId="725D5AFD" w14:textId="5867AED2"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Կցել Եվրասիական տնտեսական միության անդամ պետության տարածքում գործող՝ ապրանքային նշանի գրանցման վկայագրի՝ </w:t>
      </w:r>
      <w:r w:rsidR="0056496B">
        <w:rPr>
          <w:rFonts w:ascii="Sylfaen" w:hAnsi="Sylfaen"/>
          <w:sz w:val="24"/>
          <w:szCs w:val="24"/>
        </w:rPr>
        <w:t>դիմումատու</w:t>
      </w:r>
      <w:r w:rsidRPr="00834D52">
        <w:rPr>
          <w:rFonts w:ascii="Sylfaen" w:hAnsi="Sylfaen"/>
          <w:sz w:val="24"/>
          <w:szCs w:val="24"/>
        </w:rPr>
        <w:t>ի կողմից վավերացված պատճենը:</w:t>
      </w:r>
    </w:p>
    <w:p w14:paraId="0278985F" w14:textId="1BACBFB6"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Եթե </w:t>
      </w:r>
      <w:r w:rsidR="0056496B">
        <w:rPr>
          <w:rFonts w:ascii="Sylfaen" w:hAnsi="Sylfaen"/>
          <w:sz w:val="24"/>
          <w:szCs w:val="24"/>
        </w:rPr>
        <w:t>դիմումատու</w:t>
      </w:r>
      <w:r w:rsidRPr="00834D52">
        <w:rPr>
          <w:rFonts w:ascii="Sylfaen" w:hAnsi="Sylfaen"/>
          <w:sz w:val="24"/>
          <w:szCs w:val="24"/>
        </w:rPr>
        <w:t xml:space="preserve">ն իրավատերը չէ, ապա կցել լիցենզիոն համաձայնագրի՝ </w:t>
      </w:r>
      <w:r w:rsidR="0056496B">
        <w:rPr>
          <w:rFonts w:ascii="Sylfaen" w:hAnsi="Sylfaen"/>
          <w:sz w:val="24"/>
          <w:szCs w:val="24"/>
        </w:rPr>
        <w:t>դիմումատու</w:t>
      </w:r>
      <w:r w:rsidRPr="00834D52">
        <w:rPr>
          <w:rFonts w:ascii="Sylfaen" w:hAnsi="Sylfaen"/>
          <w:sz w:val="24"/>
          <w:szCs w:val="24"/>
        </w:rPr>
        <w:t>ի կողմից վավերացված պատճենը կամ ապրանքային նշանի օգտագործման իրավունքի տրամադրման գրանցման հաստատումը:</w:t>
      </w:r>
    </w:p>
    <w:p w14:paraId="677A1CBF" w14:textId="77777777" w:rsidR="006F76EB" w:rsidRPr="00834D52" w:rsidRDefault="006F76EB" w:rsidP="00B45C4F">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4.3.</w:t>
      </w:r>
      <w:r w:rsidRPr="00834D52">
        <w:rPr>
          <w:rFonts w:ascii="Sylfaen" w:hAnsi="Sylfaen"/>
          <w:sz w:val="24"/>
          <w:szCs w:val="24"/>
        </w:rPr>
        <w:tab/>
        <w:t>Արդյոք դեղապատրաստուկը գրանցված է արտադրողի երկրում՝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110256D" w14:textId="77777777" w:rsidTr="00F71229">
        <w:tc>
          <w:tcPr>
            <w:tcW w:w="2268" w:type="dxa"/>
          </w:tcPr>
          <w:p w14:paraId="52ADB9FB"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4D49CE6">
                <v:rect id="_x0000_s1277" style="position:absolute;left:0;text-align:left;margin-left:40.6pt;margin-top:3.05pt;width:12.75pt;height:12pt;z-index:251773440"/>
              </w:pict>
            </w:r>
            <w:r w:rsidR="006F76EB" w:rsidRPr="00834D52">
              <w:rPr>
                <w:rFonts w:ascii="Sylfaen" w:hAnsi="Sylfaen"/>
                <w:sz w:val="24"/>
                <w:szCs w:val="24"/>
              </w:rPr>
              <w:t>ոչ</w:t>
            </w:r>
          </w:p>
        </w:tc>
        <w:tc>
          <w:tcPr>
            <w:tcW w:w="2126" w:type="dxa"/>
          </w:tcPr>
          <w:p w14:paraId="6DC4C6EB"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6B93E4E4">
                <v:rect id="_x0000_s1276" style="position:absolute;left:0;text-align:left;margin-left:15.15pt;margin-top:3.05pt;width:12.75pt;height:12pt;z-index:251774464;mso-position-horizontal-relative:text;mso-position-vertical-relative:text"/>
              </w:pict>
            </w:r>
            <w:r w:rsidR="006F76EB" w:rsidRPr="00834D52">
              <w:rPr>
                <w:rFonts w:ascii="Sylfaen" w:hAnsi="Sylfaen"/>
                <w:sz w:val="24"/>
                <w:szCs w:val="24"/>
              </w:rPr>
              <w:t>այո</w:t>
            </w:r>
          </w:p>
        </w:tc>
      </w:tr>
    </w:tbl>
    <w:p w14:paraId="53788A6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դեղապատրաստուկը գրանցված է այլ երկրներում՝</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78BC22C" w14:textId="77777777" w:rsidTr="00F71229">
        <w:tc>
          <w:tcPr>
            <w:tcW w:w="2268" w:type="dxa"/>
          </w:tcPr>
          <w:p w14:paraId="5262A061" w14:textId="77777777" w:rsidR="006F76EB" w:rsidRPr="00834D52" w:rsidRDefault="00FC294A" w:rsidP="00F71229">
            <w:pPr>
              <w:spacing w:after="160" w:line="360"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23C0E7A8">
                <v:rect id="_x0000_s1279" style="position:absolute;left:0;text-align:left;margin-left:40.6pt;margin-top:3.05pt;width:12.75pt;height:12pt;z-index:251775488"/>
              </w:pict>
            </w:r>
            <w:r w:rsidR="006F76EB" w:rsidRPr="00834D52">
              <w:rPr>
                <w:rFonts w:ascii="Sylfaen" w:hAnsi="Sylfaen"/>
                <w:sz w:val="24"/>
                <w:szCs w:val="24"/>
              </w:rPr>
              <w:t>ոչ</w:t>
            </w:r>
          </w:p>
        </w:tc>
        <w:tc>
          <w:tcPr>
            <w:tcW w:w="2126" w:type="dxa"/>
          </w:tcPr>
          <w:p w14:paraId="2CAF98F5" w14:textId="77777777" w:rsidR="006F76EB" w:rsidRPr="00834D52" w:rsidRDefault="00FC294A" w:rsidP="00F71229">
            <w:pPr>
              <w:spacing w:after="160" w:line="360"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3A83D001">
                <v:rect id="_x0000_s1278" style="position:absolute;left:0;text-align:left;margin-left:15.15pt;margin-top:3.05pt;width:12.75pt;height:12pt;z-index:251776512;mso-position-horizontal-relative:text;mso-position-vertical-relative:text"/>
              </w:pict>
            </w:r>
            <w:r w:rsidR="006F76EB" w:rsidRPr="00834D52">
              <w:rPr>
                <w:rFonts w:ascii="Sylfaen" w:hAnsi="Sylfaen"/>
                <w:sz w:val="24"/>
                <w:szCs w:val="24"/>
              </w:rPr>
              <w:t>այո</w:t>
            </w:r>
          </w:p>
        </w:tc>
      </w:tr>
    </w:tbl>
    <w:p w14:paraId="77A503A6" w14:textId="77777777" w:rsidR="006F76EB" w:rsidRPr="00834D52" w:rsidRDefault="006F76EB" w:rsidP="00B45C4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3.4.</w:t>
      </w:r>
      <w:r w:rsidRPr="00834D52">
        <w:rPr>
          <w:rFonts w:ascii="Sylfaen" w:hAnsi="Sylfaen"/>
          <w:sz w:val="24"/>
          <w:szCs w:val="24"/>
        </w:rPr>
        <w:tab/>
        <w:t>Արդյոք տվյալ դեղապատրաստուկի առնչությամբ Եվրասիական տնտեսական միության անդամ պետություններում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60574F33" w14:textId="77777777" w:rsidTr="00F71229">
        <w:tc>
          <w:tcPr>
            <w:tcW w:w="2268" w:type="dxa"/>
          </w:tcPr>
          <w:p w14:paraId="1089E634" w14:textId="77777777" w:rsidR="006F76EB" w:rsidRPr="00834D52" w:rsidRDefault="00FC294A"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6DCF8423">
                <v:rect id="_x0000_s1281" style="position:absolute;left:0;text-align:left;margin-left:40.6pt;margin-top:3.05pt;width:12.75pt;height:12pt;z-index:251777536"/>
              </w:pict>
            </w:r>
            <w:r w:rsidR="006F76EB" w:rsidRPr="00834D52">
              <w:rPr>
                <w:rFonts w:ascii="Sylfaen" w:hAnsi="Sylfaen"/>
                <w:sz w:val="24"/>
                <w:szCs w:val="24"/>
              </w:rPr>
              <w:t>ոչ</w:t>
            </w:r>
          </w:p>
        </w:tc>
        <w:tc>
          <w:tcPr>
            <w:tcW w:w="2126" w:type="dxa"/>
          </w:tcPr>
          <w:p w14:paraId="155105C7" w14:textId="77777777" w:rsidR="006F76EB" w:rsidRPr="00834D52" w:rsidRDefault="00FC294A"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4D0D2162">
                <v:rect id="_x0000_s1280" style="position:absolute;left:0;text-align:left;margin-left:15.15pt;margin-top:3.05pt;width:12.75pt;height:12pt;z-index:251778560;mso-position-horizontal-relative:text;mso-position-vertical-relative:text"/>
              </w:pict>
            </w:r>
            <w:r w:rsidR="006F76EB" w:rsidRPr="00834D52">
              <w:rPr>
                <w:rFonts w:ascii="Sylfaen" w:hAnsi="Sylfaen"/>
                <w:sz w:val="24"/>
                <w:szCs w:val="24"/>
              </w:rPr>
              <w:t>այո</w:t>
            </w:r>
          </w:p>
        </w:tc>
      </w:tr>
    </w:tbl>
    <w:p w14:paraId="1086424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54" w:type="dxa"/>
        <w:tblInd w:w="109" w:type="dxa"/>
        <w:tblLayout w:type="fixed"/>
        <w:tblCellMar>
          <w:left w:w="0" w:type="dxa"/>
          <w:right w:w="0" w:type="dxa"/>
        </w:tblCellMar>
        <w:tblLook w:val="01E0" w:firstRow="1" w:lastRow="1" w:firstColumn="1" w:lastColumn="1" w:noHBand="0" w:noVBand="0"/>
      </w:tblPr>
      <w:tblGrid>
        <w:gridCol w:w="4631"/>
        <w:gridCol w:w="5023"/>
      </w:tblGrid>
      <w:tr w:rsidR="006F76EB" w:rsidRPr="00834D52" w14:paraId="01367044" w14:textId="77777777" w:rsidTr="007C43CF">
        <w:trPr>
          <w:trHeight w:val="1014"/>
        </w:trPr>
        <w:tc>
          <w:tcPr>
            <w:tcW w:w="4631" w:type="dxa"/>
            <w:tcBorders>
              <w:top w:val="single" w:sz="4" w:space="0" w:color="000000"/>
              <w:left w:val="single" w:sz="4" w:space="0" w:color="000000"/>
              <w:bottom w:val="single" w:sz="4" w:space="0" w:color="000000"/>
              <w:right w:val="single" w:sz="4" w:space="0" w:color="000000"/>
            </w:tcBorders>
          </w:tcPr>
          <w:p w14:paraId="09AA5799"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պետությունը</w:t>
            </w:r>
          </w:p>
        </w:tc>
        <w:tc>
          <w:tcPr>
            <w:tcW w:w="5023" w:type="dxa"/>
            <w:tcBorders>
              <w:top w:val="single" w:sz="4" w:space="0" w:color="000000"/>
              <w:left w:val="single" w:sz="4" w:space="0" w:color="000000"/>
              <w:bottom w:val="single" w:sz="4" w:space="0" w:color="000000"/>
              <w:right w:val="single" w:sz="4" w:space="0" w:color="000000"/>
            </w:tcBorders>
          </w:tcPr>
          <w:p w14:paraId="66EF30F7" w14:textId="77777777" w:rsidR="006F76EB" w:rsidRPr="00834D52" w:rsidRDefault="006F76EB" w:rsidP="00B45C4F">
            <w:pPr>
              <w:spacing w:after="120" w:line="240" w:lineRule="auto"/>
              <w:ind w:right="-6"/>
              <w:rPr>
                <w:rFonts w:ascii="Sylfaen" w:hAnsi="Sylfaen"/>
                <w:sz w:val="24"/>
                <w:szCs w:val="24"/>
              </w:rPr>
            </w:pPr>
          </w:p>
        </w:tc>
      </w:tr>
      <w:tr w:rsidR="006F76EB" w:rsidRPr="00834D52" w14:paraId="0731E8D6" w14:textId="77777777" w:rsidTr="007C43CF">
        <w:trPr>
          <w:trHeight w:val="599"/>
        </w:trPr>
        <w:tc>
          <w:tcPr>
            <w:tcW w:w="4631" w:type="dxa"/>
            <w:tcBorders>
              <w:top w:val="single" w:sz="4" w:space="0" w:color="000000"/>
              <w:left w:val="single" w:sz="4" w:space="0" w:color="000000"/>
              <w:bottom w:val="single" w:sz="4" w:space="0" w:color="000000"/>
              <w:right w:val="single" w:sz="4" w:space="0" w:color="000000"/>
            </w:tcBorders>
          </w:tcPr>
          <w:p w14:paraId="207D8FD6"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023" w:type="dxa"/>
            <w:tcBorders>
              <w:top w:val="single" w:sz="4" w:space="0" w:color="000000"/>
              <w:left w:val="single" w:sz="4" w:space="0" w:color="000000"/>
              <w:bottom w:val="single" w:sz="4" w:space="0" w:color="000000"/>
              <w:right w:val="single" w:sz="4" w:space="0" w:color="000000"/>
            </w:tcBorders>
          </w:tcPr>
          <w:p w14:paraId="0C03C1E3" w14:textId="77777777" w:rsidR="006F76EB" w:rsidRPr="00834D52" w:rsidRDefault="006F76EB" w:rsidP="00B45C4F">
            <w:pPr>
              <w:spacing w:after="120" w:line="240" w:lineRule="auto"/>
              <w:ind w:right="-6"/>
              <w:rPr>
                <w:rFonts w:ascii="Sylfaen" w:hAnsi="Sylfaen"/>
                <w:sz w:val="24"/>
                <w:szCs w:val="24"/>
              </w:rPr>
            </w:pPr>
          </w:p>
        </w:tc>
      </w:tr>
      <w:tr w:rsidR="006F76EB" w:rsidRPr="00834D52" w14:paraId="62CADA24" w14:textId="77777777" w:rsidTr="007C43CF">
        <w:trPr>
          <w:trHeight w:val="1060"/>
        </w:trPr>
        <w:tc>
          <w:tcPr>
            <w:tcW w:w="4631" w:type="dxa"/>
            <w:tcBorders>
              <w:top w:val="single" w:sz="4" w:space="0" w:color="000000"/>
              <w:left w:val="single" w:sz="4" w:space="0" w:color="000000"/>
              <w:bottom w:val="single" w:sz="4" w:space="0" w:color="000000"/>
              <w:right w:val="single" w:sz="4" w:space="0" w:color="000000"/>
            </w:tcBorders>
          </w:tcPr>
          <w:p w14:paraId="20BE20E4" w14:textId="77777777" w:rsidR="006F76EB" w:rsidRPr="00834D52" w:rsidRDefault="006F76EB" w:rsidP="00B45C4F">
            <w:pPr>
              <w:spacing w:after="120" w:line="240" w:lineRule="auto"/>
              <w:ind w:left="180" w:right="-6"/>
              <w:rPr>
                <w:rFonts w:ascii="Sylfaen" w:eastAsia="Times New Roman" w:hAnsi="Sylfaen" w:cs="Times New Roman"/>
                <w:sz w:val="24"/>
                <w:szCs w:val="24"/>
              </w:rPr>
            </w:pPr>
            <w:r w:rsidRPr="00834D52">
              <w:rPr>
                <w:rFonts w:ascii="Sylfaen" w:hAnsi="Sylfaen"/>
                <w:sz w:val="24"/>
                <w:szCs w:val="24"/>
              </w:rPr>
              <w:lastRenderedPageBreak/>
              <w:t>դոսյեում եզրակացության առկայության մասին նշումը</w:t>
            </w:r>
          </w:p>
        </w:tc>
        <w:tc>
          <w:tcPr>
            <w:tcW w:w="5023" w:type="dxa"/>
            <w:tcBorders>
              <w:top w:val="single" w:sz="4" w:space="0" w:color="000000"/>
              <w:left w:val="single" w:sz="4" w:space="0" w:color="000000"/>
              <w:bottom w:val="single" w:sz="4" w:space="0" w:color="000000"/>
              <w:right w:val="single" w:sz="4" w:space="0" w:color="000000"/>
            </w:tcBorders>
          </w:tcPr>
          <w:p w14:paraId="39007D11" w14:textId="77777777" w:rsidR="006F76EB" w:rsidRPr="00834D52" w:rsidRDefault="006F76EB" w:rsidP="00B45C4F">
            <w:pPr>
              <w:spacing w:after="120" w:line="240" w:lineRule="auto"/>
              <w:ind w:right="-6"/>
              <w:rPr>
                <w:rFonts w:ascii="Sylfaen" w:hAnsi="Sylfaen"/>
                <w:sz w:val="24"/>
                <w:szCs w:val="24"/>
              </w:rPr>
            </w:pPr>
          </w:p>
        </w:tc>
      </w:tr>
    </w:tbl>
    <w:p w14:paraId="1B1F7AE3" w14:textId="77777777" w:rsidR="006F76EB" w:rsidRPr="00834D52" w:rsidRDefault="006F76EB" w:rsidP="006F76EB">
      <w:pPr>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Արդյոք տվյալ դեղապատրաստուկի առնչությամբ Դեղամիջոցների հարցերով փորձագիտական կոմիտեում անցկացվել է նախնական գիտական խորհրդակցություն՝</w:t>
      </w:r>
    </w:p>
    <w:tbl>
      <w:tblPr>
        <w:tblStyle w:val="TableGrid"/>
        <w:tblW w:w="4394" w:type="dxa"/>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6"/>
      </w:tblGrid>
      <w:tr w:rsidR="006F76EB" w:rsidRPr="00834D52" w14:paraId="3A58B329" w14:textId="77777777" w:rsidTr="00F71229">
        <w:tc>
          <w:tcPr>
            <w:tcW w:w="2268" w:type="dxa"/>
          </w:tcPr>
          <w:p w14:paraId="21BA07D8" w14:textId="77777777" w:rsidR="006F76EB" w:rsidRPr="00834D52" w:rsidRDefault="00FC294A" w:rsidP="00F71229">
            <w:pPr>
              <w:spacing w:after="160" w:line="336" w:lineRule="auto"/>
              <w:ind w:left="1134" w:right="458"/>
              <w:jc w:val="right"/>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pict w14:anchorId="0BC69162">
                <v:rect id="_x0000_s1283" style="position:absolute;left:0;text-align:left;margin-left:40.6pt;margin-top:3.05pt;width:12.75pt;height:12pt;z-index:251779584"/>
              </w:pict>
            </w:r>
            <w:r w:rsidR="006F76EB" w:rsidRPr="00834D52">
              <w:rPr>
                <w:rFonts w:ascii="Sylfaen" w:hAnsi="Sylfaen"/>
                <w:sz w:val="24"/>
                <w:szCs w:val="24"/>
              </w:rPr>
              <w:t>ոչ</w:t>
            </w:r>
          </w:p>
        </w:tc>
        <w:tc>
          <w:tcPr>
            <w:tcW w:w="2126" w:type="dxa"/>
          </w:tcPr>
          <w:p w14:paraId="78CBB7D7" w14:textId="77777777" w:rsidR="006F76EB" w:rsidRPr="00834D52" w:rsidRDefault="00FC294A" w:rsidP="00F71229">
            <w:pPr>
              <w:spacing w:after="160" w:line="336" w:lineRule="auto"/>
              <w:ind w:left="744" w:right="-8"/>
              <w:jc w:val="both"/>
              <w:rPr>
                <w:rFonts w:ascii="Sylfaen" w:eastAsia="Times New Roman" w:hAnsi="Sylfaen" w:cs="Times New Roman"/>
                <w:sz w:val="24"/>
                <w:szCs w:val="24"/>
                <w:lang w:val="en-US"/>
              </w:rPr>
            </w:pPr>
            <w:r>
              <w:rPr>
                <w:rFonts w:ascii="Sylfaen" w:eastAsia="Times New Roman" w:hAnsi="Sylfaen" w:cs="Times New Roman"/>
                <w:noProof/>
                <w:sz w:val="24"/>
                <w:szCs w:val="24"/>
              </w:rPr>
              <w:pict w14:anchorId="5BC41BD7">
                <v:rect id="_x0000_s1282" style="position:absolute;left:0;text-align:left;margin-left:15.15pt;margin-top:3.05pt;width:12.75pt;height:12pt;z-index:251780608;mso-position-horizontal-relative:text;mso-position-vertical-relative:text"/>
              </w:pict>
            </w:r>
            <w:r w:rsidR="006F76EB" w:rsidRPr="00834D52">
              <w:rPr>
                <w:rFonts w:ascii="Sylfaen" w:hAnsi="Sylfaen"/>
                <w:sz w:val="24"/>
                <w:szCs w:val="24"/>
              </w:rPr>
              <w:t>այո</w:t>
            </w:r>
          </w:p>
        </w:tc>
      </w:tr>
    </w:tbl>
    <w:p w14:paraId="77DDEFB4" w14:textId="77777777" w:rsidR="007C43CF" w:rsidRDefault="007C43CF" w:rsidP="006F76EB">
      <w:pPr>
        <w:spacing w:after="160" w:line="336" w:lineRule="auto"/>
        <w:ind w:right="-8" w:firstLine="567"/>
        <w:rPr>
          <w:rFonts w:ascii="Sylfaen" w:hAnsi="Sylfaen"/>
          <w:sz w:val="24"/>
          <w:szCs w:val="24"/>
          <w:lang w:val="en-US"/>
        </w:rPr>
      </w:pPr>
    </w:p>
    <w:p w14:paraId="1841B4FE" w14:textId="77777777" w:rsidR="006F76EB" w:rsidRPr="00834D52" w:rsidRDefault="006F76EB" w:rsidP="006F76EB">
      <w:pPr>
        <w:spacing w:after="160" w:line="336" w:lineRule="auto"/>
        <w:ind w:right="-8" w:firstLine="567"/>
        <w:rPr>
          <w:rFonts w:ascii="Sylfaen" w:eastAsia="Times New Roman" w:hAnsi="Sylfaen" w:cs="Times New Roman"/>
          <w:sz w:val="24"/>
          <w:szCs w:val="24"/>
        </w:rPr>
      </w:pPr>
      <w:r w:rsidRPr="00834D52">
        <w:rPr>
          <w:rFonts w:ascii="Sylfaen" w:hAnsi="Sylfaen"/>
          <w:sz w:val="24"/>
          <w:szCs w:val="24"/>
        </w:rPr>
        <w:t>Եթե այո՝</w:t>
      </w:r>
    </w:p>
    <w:tbl>
      <w:tblPr>
        <w:tblW w:w="9609" w:type="dxa"/>
        <w:tblInd w:w="109" w:type="dxa"/>
        <w:tblLayout w:type="fixed"/>
        <w:tblCellMar>
          <w:left w:w="0" w:type="dxa"/>
          <w:right w:w="0" w:type="dxa"/>
        </w:tblCellMar>
        <w:tblLook w:val="01E0" w:firstRow="1" w:lastRow="1" w:firstColumn="1" w:lastColumn="1" w:noHBand="0" w:noVBand="0"/>
      </w:tblPr>
      <w:tblGrid>
        <w:gridCol w:w="4142"/>
        <w:gridCol w:w="5467"/>
      </w:tblGrid>
      <w:tr w:rsidR="006F76EB" w:rsidRPr="00834D52" w14:paraId="69AE4AB2"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2BC93DA1"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անցկացման ամսաթիվը</w:t>
            </w:r>
          </w:p>
        </w:tc>
        <w:tc>
          <w:tcPr>
            <w:tcW w:w="5467" w:type="dxa"/>
            <w:tcBorders>
              <w:top w:val="single" w:sz="4" w:space="0" w:color="000000"/>
              <w:left w:val="single" w:sz="4" w:space="0" w:color="000000"/>
              <w:bottom w:val="single" w:sz="4" w:space="0" w:color="000000"/>
              <w:right w:val="single" w:sz="4" w:space="0" w:color="000000"/>
            </w:tcBorders>
          </w:tcPr>
          <w:p w14:paraId="624E1CA8" w14:textId="77777777" w:rsidR="006F76EB" w:rsidRPr="00834D52" w:rsidRDefault="006F76EB" w:rsidP="007C43CF">
            <w:pPr>
              <w:spacing w:after="120" w:line="240" w:lineRule="auto"/>
              <w:ind w:right="-6"/>
              <w:rPr>
                <w:rFonts w:ascii="Sylfaen" w:hAnsi="Sylfaen"/>
                <w:sz w:val="24"/>
                <w:szCs w:val="24"/>
              </w:rPr>
            </w:pPr>
          </w:p>
        </w:tc>
      </w:tr>
      <w:tr w:rsidR="006F76EB" w:rsidRPr="00834D52" w14:paraId="78EB126F" w14:textId="77777777" w:rsidTr="00F71229">
        <w:tc>
          <w:tcPr>
            <w:tcW w:w="4142" w:type="dxa"/>
            <w:tcBorders>
              <w:top w:val="single" w:sz="4" w:space="0" w:color="000000"/>
              <w:left w:val="single" w:sz="4" w:space="0" w:color="000000"/>
              <w:bottom w:val="single" w:sz="4" w:space="0" w:color="000000"/>
              <w:right w:val="single" w:sz="4" w:space="0" w:color="000000"/>
            </w:tcBorders>
          </w:tcPr>
          <w:p w14:paraId="5E747D8E" w14:textId="77777777" w:rsidR="006F76EB" w:rsidRPr="00834D52" w:rsidRDefault="006F76EB" w:rsidP="007C43CF">
            <w:pPr>
              <w:spacing w:after="120" w:line="240" w:lineRule="auto"/>
              <w:ind w:left="112" w:right="-6"/>
              <w:rPr>
                <w:rFonts w:ascii="Sylfaen" w:eastAsia="Times New Roman" w:hAnsi="Sylfaen" w:cs="Times New Roman"/>
                <w:sz w:val="24"/>
                <w:szCs w:val="24"/>
              </w:rPr>
            </w:pPr>
            <w:r w:rsidRPr="00834D52">
              <w:rPr>
                <w:rFonts w:ascii="Sylfaen" w:hAnsi="Sylfaen"/>
                <w:sz w:val="24"/>
                <w:szCs w:val="24"/>
              </w:rPr>
              <w:t>դոսյեում եզրակացության առկայության մասին նշումը</w:t>
            </w:r>
          </w:p>
        </w:tc>
        <w:tc>
          <w:tcPr>
            <w:tcW w:w="5467" w:type="dxa"/>
            <w:tcBorders>
              <w:top w:val="single" w:sz="4" w:space="0" w:color="000000"/>
              <w:left w:val="single" w:sz="4" w:space="0" w:color="000000"/>
              <w:bottom w:val="single" w:sz="4" w:space="0" w:color="000000"/>
              <w:right w:val="single" w:sz="4" w:space="0" w:color="000000"/>
            </w:tcBorders>
          </w:tcPr>
          <w:p w14:paraId="3601AA32" w14:textId="77777777" w:rsidR="006F76EB" w:rsidRPr="00834D52" w:rsidRDefault="006F76EB" w:rsidP="007C43CF">
            <w:pPr>
              <w:spacing w:after="120" w:line="240" w:lineRule="auto"/>
              <w:ind w:right="-6"/>
              <w:rPr>
                <w:rFonts w:ascii="Sylfaen" w:hAnsi="Sylfaen"/>
                <w:sz w:val="24"/>
                <w:szCs w:val="24"/>
              </w:rPr>
            </w:pPr>
          </w:p>
        </w:tc>
      </w:tr>
    </w:tbl>
    <w:p w14:paraId="6D2F1718" w14:textId="77777777" w:rsidR="006F76EB" w:rsidRPr="00834D52" w:rsidRDefault="006F76EB" w:rsidP="00190846">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4.5.</w:t>
      </w:r>
      <w:r w:rsidRPr="00834D52">
        <w:rPr>
          <w:rFonts w:ascii="Sylfaen" w:hAnsi="Sylfaen"/>
          <w:sz w:val="24"/>
          <w:szCs w:val="24"/>
        </w:rPr>
        <w:tab/>
        <w:t xml:space="preserve">Արտադրողի երկրում </w:t>
      </w:r>
      <w:r w:rsidR="00C54D75">
        <w:rPr>
          <w:rFonts w:ascii="Sylfaen" w:hAnsi="Sylfaen"/>
          <w:sz w:val="24"/>
          <w:szCs w:val="24"/>
        </w:rPr>
        <w:t>և</w:t>
      </w:r>
      <w:r w:rsidRPr="00834D52">
        <w:rPr>
          <w:rFonts w:ascii="Sylfaen" w:hAnsi="Sylfaen"/>
          <w:sz w:val="24"/>
          <w:szCs w:val="24"/>
        </w:rPr>
        <w:t xml:space="preserve"> այլ երկրներում դեղապատրաստուկի գրանցման հավաստագրի մերժման, հետկանչի </w:t>
      </w:r>
      <w:r w:rsidR="00C54D75">
        <w:rPr>
          <w:rFonts w:ascii="Sylfaen" w:hAnsi="Sylfaen"/>
          <w:sz w:val="24"/>
          <w:szCs w:val="24"/>
        </w:rPr>
        <w:t>և</w:t>
      </w:r>
      <w:r w:rsidRPr="00834D52">
        <w:rPr>
          <w:rFonts w:ascii="Sylfaen" w:hAnsi="Sylfaen"/>
          <w:sz w:val="24"/>
          <w:szCs w:val="24"/>
        </w:rPr>
        <w:t xml:space="preserve"> գործողության կասեցման մասին տեղեկատվություն:</w:t>
      </w:r>
    </w:p>
    <w:p w14:paraId="4295EDC7" w14:textId="77777777" w:rsidR="006F76EB" w:rsidRDefault="006F76EB" w:rsidP="006F76EB">
      <w:pPr>
        <w:spacing w:after="160" w:line="336" w:lineRule="auto"/>
        <w:ind w:right="-6" w:firstLine="567"/>
        <w:jc w:val="both"/>
        <w:rPr>
          <w:rFonts w:ascii="Sylfaen" w:hAnsi="Sylfaen"/>
          <w:sz w:val="24"/>
          <w:szCs w:val="24"/>
          <w:lang w:val="en-US"/>
        </w:rPr>
      </w:pPr>
      <w:r w:rsidRPr="00834D52">
        <w:rPr>
          <w:rFonts w:ascii="Sylfaen" w:hAnsi="Sylfaen"/>
          <w:sz w:val="24"/>
          <w:szCs w:val="24"/>
        </w:rPr>
        <w:t>Եթե այո՝</w:t>
      </w:r>
    </w:p>
    <w:tbl>
      <w:tblPr>
        <w:tblW w:w="9562" w:type="dxa"/>
        <w:tblInd w:w="102" w:type="dxa"/>
        <w:tblLayout w:type="fixed"/>
        <w:tblCellMar>
          <w:left w:w="0" w:type="dxa"/>
          <w:right w:w="0" w:type="dxa"/>
        </w:tblCellMar>
        <w:tblLook w:val="01E0" w:firstRow="1" w:lastRow="1" w:firstColumn="1" w:lastColumn="1" w:noHBand="0" w:noVBand="0"/>
      </w:tblPr>
      <w:tblGrid>
        <w:gridCol w:w="2762"/>
        <w:gridCol w:w="1431"/>
        <w:gridCol w:w="1858"/>
        <w:gridCol w:w="1857"/>
        <w:gridCol w:w="1654"/>
      </w:tblGrid>
      <w:tr w:rsidR="006F76EB" w:rsidRPr="00834D52" w14:paraId="28045089" w14:textId="77777777" w:rsidTr="00D4123F">
        <w:trPr>
          <w:trHeight w:val="922"/>
        </w:trPr>
        <w:tc>
          <w:tcPr>
            <w:tcW w:w="2762" w:type="dxa"/>
            <w:tcBorders>
              <w:top w:val="single" w:sz="4" w:space="0" w:color="000000"/>
              <w:left w:val="single" w:sz="4" w:space="0" w:color="000000"/>
              <w:bottom w:val="single" w:sz="4" w:space="0" w:color="000000"/>
              <w:right w:val="single" w:sz="4" w:space="0" w:color="000000"/>
            </w:tcBorders>
            <w:vAlign w:val="center"/>
          </w:tcPr>
          <w:p w14:paraId="0CCFC117" w14:textId="77777777" w:rsidR="006F76EB" w:rsidRPr="00834D52" w:rsidRDefault="006F76EB" w:rsidP="007902F3">
            <w:pPr>
              <w:spacing w:after="120" w:line="240" w:lineRule="auto"/>
              <w:ind w:left="187" w:right="-6"/>
              <w:jc w:val="center"/>
              <w:rPr>
                <w:rFonts w:ascii="Sylfaen" w:eastAsia="Times New Roman" w:hAnsi="Sylfaen" w:cs="Times New Roman"/>
                <w:sz w:val="24"/>
                <w:szCs w:val="24"/>
              </w:rPr>
            </w:pPr>
            <w:r w:rsidRPr="00834D52">
              <w:rPr>
                <w:rFonts w:ascii="Sylfaen" w:hAnsi="Sylfaen"/>
                <w:sz w:val="24"/>
                <w:szCs w:val="24"/>
              </w:rPr>
              <w:t>Սահմանափակման տեսակը</w:t>
            </w:r>
          </w:p>
        </w:tc>
        <w:tc>
          <w:tcPr>
            <w:tcW w:w="1431" w:type="dxa"/>
            <w:tcBorders>
              <w:top w:val="single" w:sz="4" w:space="0" w:color="000000"/>
              <w:left w:val="single" w:sz="4" w:space="0" w:color="000000"/>
              <w:bottom w:val="single" w:sz="4" w:space="0" w:color="000000"/>
              <w:right w:val="single" w:sz="4" w:space="0" w:color="000000"/>
            </w:tcBorders>
            <w:vAlign w:val="center"/>
          </w:tcPr>
          <w:p w14:paraId="192F4202"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Պատճառը</w:t>
            </w:r>
          </w:p>
        </w:tc>
        <w:tc>
          <w:tcPr>
            <w:tcW w:w="1858" w:type="dxa"/>
            <w:tcBorders>
              <w:top w:val="single" w:sz="4" w:space="0" w:color="000000"/>
              <w:left w:val="single" w:sz="4" w:space="0" w:color="000000"/>
              <w:bottom w:val="single" w:sz="4" w:space="0" w:color="000000"/>
              <w:right w:val="single" w:sz="4" w:space="0" w:color="000000"/>
            </w:tcBorders>
            <w:vAlign w:val="center"/>
          </w:tcPr>
          <w:p w14:paraId="45041879"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Երկիրը</w:t>
            </w:r>
          </w:p>
        </w:tc>
        <w:tc>
          <w:tcPr>
            <w:tcW w:w="1857" w:type="dxa"/>
            <w:tcBorders>
              <w:top w:val="single" w:sz="4" w:space="0" w:color="000000"/>
              <w:left w:val="single" w:sz="4" w:space="0" w:color="000000"/>
              <w:bottom w:val="single" w:sz="4" w:space="0" w:color="000000"/>
              <w:right w:val="single" w:sz="4" w:space="0" w:color="000000"/>
            </w:tcBorders>
            <w:vAlign w:val="center"/>
          </w:tcPr>
          <w:p w14:paraId="492BBA51"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Ժամկետը</w:t>
            </w:r>
          </w:p>
        </w:tc>
        <w:tc>
          <w:tcPr>
            <w:tcW w:w="1654" w:type="dxa"/>
            <w:tcBorders>
              <w:top w:val="single" w:sz="4" w:space="0" w:color="000000"/>
              <w:left w:val="single" w:sz="4" w:space="0" w:color="000000"/>
              <w:bottom w:val="single" w:sz="4" w:space="0" w:color="000000"/>
              <w:right w:val="single" w:sz="4" w:space="0" w:color="000000"/>
            </w:tcBorders>
            <w:vAlign w:val="center"/>
          </w:tcPr>
          <w:p w14:paraId="2D977F88" w14:textId="77777777" w:rsidR="006F76EB" w:rsidRPr="00834D52" w:rsidRDefault="006F76EB" w:rsidP="007902F3">
            <w:pPr>
              <w:spacing w:after="120" w:line="240" w:lineRule="auto"/>
              <w:ind w:left="50" w:right="-6"/>
              <w:jc w:val="center"/>
              <w:rPr>
                <w:rFonts w:ascii="Sylfaen" w:eastAsia="Times New Roman" w:hAnsi="Sylfaen" w:cs="Times New Roman"/>
                <w:sz w:val="24"/>
                <w:szCs w:val="24"/>
              </w:rPr>
            </w:pPr>
            <w:r w:rsidRPr="00834D52">
              <w:rPr>
                <w:rFonts w:ascii="Sylfaen" w:hAnsi="Sylfaen"/>
                <w:sz w:val="24"/>
                <w:szCs w:val="24"/>
              </w:rPr>
              <w:t>Ամսաթիվը</w:t>
            </w:r>
          </w:p>
        </w:tc>
      </w:tr>
      <w:tr w:rsidR="006F76EB" w:rsidRPr="00834D52" w14:paraId="4FB91022"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4892603A" w14:textId="77777777" w:rsidR="006F76EB" w:rsidRPr="00834D52" w:rsidRDefault="006F76EB" w:rsidP="007902F3">
            <w:pPr>
              <w:spacing w:after="120" w:line="240" w:lineRule="auto"/>
              <w:ind w:left="187" w:right="-6"/>
              <w:rPr>
                <w:rFonts w:ascii="Sylfaen" w:hAnsi="Sylfaen"/>
                <w:sz w:val="24"/>
                <w:szCs w:val="24"/>
              </w:rPr>
            </w:pPr>
          </w:p>
        </w:tc>
        <w:tc>
          <w:tcPr>
            <w:tcW w:w="1431" w:type="dxa"/>
            <w:tcBorders>
              <w:top w:val="single" w:sz="4" w:space="0" w:color="000000"/>
              <w:left w:val="single" w:sz="4" w:space="0" w:color="000000"/>
              <w:bottom w:val="single" w:sz="4" w:space="0" w:color="000000"/>
              <w:right w:val="single" w:sz="4" w:space="0" w:color="000000"/>
            </w:tcBorders>
          </w:tcPr>
          <w:p w14:paraId="32825D5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E43F5B9"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2036A49C"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6B55A573" w14:textId="77777777" w:rsidR="006F76EB" w:rsidRPr="00834D52" w:rsidRDefault="006F76EB" w:rsidP="007902F3">
            <w:pPr>
              <w:spacing w:after="120" w:line="240" w:lineRule="auto"/>
              <w:ind w:right="-6"/>
              <w:rPr>
                <w:rFonts w:ascii="Sylfaen" w:hAnsi="Sylfaen"/>
                <w:sz w:val="24"/>
                <w:szCs w:val="24"/>
              </w:rPr>
            </w:pPr>
          </w:p>
        </w:tc>
      </w:tr>
      <w:tr w:rsidR="006F76EB" w:rsidRPr="00834D52" w14:paraId="4272E72E" w14:textId="77777777" w:rsidTr="00D4123F">
        <w:trPr>
          <w:trHeight w:val="532"/>
        </w:trPr>
        <w:tc>
          <w:tcPr>
            <w:tcW w:w="2762" w:type="dxa"/>
            <w:tcBorders>
              <w:top w:val="single" w:sz="4" w:space="0" w:color="000000"/>
              <w:left w:val="single" w:sz="4" w:space="0" w:color="000000"/>
              <w:bottom w:val="single" w:sz="4" w:space="0" w:color="000000"/>
              <w:right w:val="single" w:sz="4" w:space="0" w:color="000000"/>
            </w:tcBorders>
          </w:tcPr>
          <w:p w14:paraId="09ACBCCD" w14:textId="77777777" w:rsidR="006F76EB" w:rsidRPr="007902F3" w:rsidRDefault="006F76EB" w:rsidP="007902F3">
            <w:pPr>
              <w:spacing w:after="120" w:line="240" w:lineRule="auto"/>
              <w:ind w:left="187" w:right="-6"/>
              <w:rPr>
                <w:rFonts w:ascii="Sylfaen" w:eastAsia="Times New Roman" w:hAnsi="Sylfaen" w:cs="Times New Roman"/>
                <w:sz w:val="24"/>
                <w:szCs w:val="24"/>
                <w:lang w:val="en-US"/>
              </w:rPr>
            </w:pPr>
            <w:r w:rsidRPr="00834D52">
              <w:rPr>
                <w:rFonts w:ascii="Sylfaen" w:hAnsi="Sylfaen"/>
                <w:sz w:val="24"/>
                <w:szCs w:val="24"/>
              </w:rPr>
              <w:t>...</w:t>
            </w:r>
          </w:p>
        </w:tc>
        <w:tc>
          <w:tcPr>
            <w:tcW w:w="1431" w:type="dxa"/>
            <w:tcBorders>
              <w:top w:val="single" w:sz="4" w:space="0" w:color="000000"/>
              <w:left w:val="single" w:sz="4" w:space="0" w:color="000000"/>
              <w:bottom w:val="single" w:sz="4" w:space="0" w:color="000000"/>
              <w:right w:val="single" w:sz="4" w:space="0" w:color="000000"/>
            </w:tcBorders>
          </w:tcPr>
          <w:p w14:paraId="42D3ACC9" w14:textId="77777777" w:rsidR="006F76EB" w:rsidRPr="00834D52" w:rsidRDefault="006F76EB" w:rsidP="007902F3">
            <w:pPr>
              <w:spacing w:after="120" w:line="240" w:lineRule="auto"/>
              <w:ind w:right="-6"/>
              <w:rPr>
                <w:rFonts w:ascii="Sylfaen" w:hAnsi="Sylfaen"/>
                <w:sz w:val="24"/>
                <w:szCs w:val="24"/>
              </w:rPr>
            </w:pPr>
          </w:p>
        </w:tc>
        <w:tc>
          <w:tcPr>
            <w:tcW w:w="1858" w:type="dxa"/>
            <w:tcBorders>
              <w:top w:val="single" w:sz="4" w:space="0" w:color="000000"/>
              <w:left w:val="single" w:sz="4" w:space="0" w:color="000000"/>
              <w:bottom w:val="single" w:sz="4" w:space="0" w:color="000000"/>
              <w:right w:val="single" w:sz="4" w:space="0" w:color="000000"/>
            </w:tcBorders>
          </w:tcPr>
          <w:p w14:paraId="4D986A38" w14:textId="77777777" w:rsidR="006F76EB" w:rsidRPr="00834D52" w:rsidRDefault="006F76EB" w:rsidP="007902F3">
            <w:pPr>
              <w:spacing w:after="120" w:line="240" w:lineRule="auto"/>
              <w:ind w:right="-6"/>
              <w:rPr>
                <w:rFonts w:ascii="Sylfaen" w:hAnsi="Sylfaen"/>
                <w:sz w:val="24"/>
                <w:szCs w:val="24"/>
              </w:rPr>
            </w:pPr>
          </w:p>
        </w:tc>
        <w:tc>
          <w:tcPr>
            <w:tcW w:w="1857" w:type="dxa"/>
            <w:tcBorders>
              <w:top w:val="single" w:sz="4" w:space="0" w:color="000000"/>
              <w:left w:val="single" w:sz="4" w:space="0" w:color="000000"/>
              <w:bottom w:val="single" w:sz="4" w:space="0" w:color="000000"/>
              <w:right w:val="single" w:sz="4" w:space="0" w:color="000000"/>
            </w:tcBorders>
          </w:tcPr>
          <w:p w14:paraId="6B2FBFF5" w14:textId="77777777" w:rsidR="006F76EB" w:rsidRPr="00834D52" w:rsidRDefault="006F76EB" w:rsidP="007902F3">
            <w:pPr>
              <w:spacing w:after="120" w:line="240" w:lineRule="auto"/>
              <w:ind w:right="-6"/>
              <w:rPr>
                <w:rFonts w:ascii="Sylfaen" w:hAnsi="Sylfaen"/>
                <w:sz w:val="24"/>
                <w:szCs w:val="24"/>
              </w:rPr>
            </w:pPr>
          </w:p>
        </w:tc>
        <w:tc>
          <w:tcPr>
            <w:tcW w:w="1654" w:type="dxa"/>
            <w:tcBorders>
              <w:top w:val="single" w:sz="4" w:space="0" w:color="000000"/>
              <w:left w:val="single" w:sz="4" w:space="0" w:color="000000"/>
              <w:bottom w:val="single" w:sz="4" w:space="0" w:color="000000"/>
              <w:right w:val="single" w:sz="4" w:space="0" w:color="000000"/>
            </w:tcBorders>
          </w:tcPr>
          <w:p w14:paraId="21E3FD23" w14:textId="77777777" w:rsidR="006F76EB" w:rsidRPr="00834D52" w:rsidRDefault="006F76EB" w:rsidP="007902F3">
            <w:pPr>
              <w:spacing w:after="120" w:line="240" w:lineRule="auto"/>
              <w:ind w:right="-6"/>
              <w:rPr>
                <w:rFonts w:ascii="Sylfaen" w:hAnsi="Sylfaen"/>
                <w:sz w:val="24"/>
                <w:szCs w:val="24"/>
              </w:rPr>
            </w:pPr>
          </w:p>
        </w:tc>
      </w:tr>
    </w:tbl>
    <w:p w14:paraId="4D1BA3C8" w14:textId="77777777" w:rsidR="007902F3" w:rsidRDefault="007902F3" w:rsidP="006F76EB">
      <w:pPr>
        <w:spacing w:after="160" w:line="336" w:lineRule="auto"/>
        <w:ind w:right="-6"/>
        <w:jc w:val="center"/>
        <w:rPr>
          <w:rFonts w:ascii="Sylfaen" w:hAnsi="Sylfaen"/>
          <w:sz w:val="24"/>
          <w:szCs w:val="24"/>
          <w:lang w:val="en-US"/>
        </w:rPr>
      </w:pPr>
    </w:p>
    <w:p w14:paraId="386701DA" w14:textId="76CDC27B" w:rsidR="006F76EB" w:rsidRPr="00834D52" w:rsidRDefault="006F76EB" w:rsidP="006F76EB">
      <w:pPr>
        <w:spacing w:after="160" w:line="336" w:lineRule="auto"/>
        <w:ind w:right="-6"/>
        <w:jc w:val="center"/>
        <w:rPr>
          <w:rFonts w:ascii="Sylfaen" w:eastAsia="Times New Roman" w:hAnsi="Sylfaen" w:cs="Times New Roman"/>
          <w:sz w:val="24"/>
          <w:szCs w:val="24"/>
        </w:rPr>
      </w:pPr>
      <w:r w:rsidRPr="00834D52">
        <w:rPr>
          <w:rFonts w:ascii="Sylfaen" w:hAnsi="Sylfaen"/>
          <w:sz w:val="24"/>
          <w:szCs w:val="24"/>
        </w:rPr>
        <w:t xml:space="preserve">5. </w:t>
      </w:r>
      <w:r w:rsidR="0056496B">
        <w:rPr>
          <w:rFonts w:ascii="Sylfaen" w:hAnsi="Sylfaen"/>
          <w:sz w:val="24"/>
          <w:szCs w:val="24"/>
        </w:rPr>
        <w:t>Դիմում</w:t>
      </w:r>
      <w:r w:rsidRPr="00834D52">
        <w:rPr>
          <w:rFonts w:ascii="Sylfaen" w:hAnsi="Sylfaen"/>
          <w:sz w:val="24"/>
          <w:szCs w:val="24"/>
        </w:rPr>
        <w:t>ի հավելված</w:t>
      </w:r>
    </w:p>
    <w:p w14:paraId="62BEEBFF" w14:textId="30FB4E93"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5.1.</w:t>
      </w:r>
      <w:r w:rsidRPr="00834D52">
        <w:rPr>
          <w:rFonts w:ascii="Sylfaen" w:hAnsi="Sylfaen"/>
          <w:sz w:val="24"/>
          <w:szCs w:val="24"/>
        </w:rPr>
        <w:tab/>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անունից իրավաբանորեն նշանակալի գործողություններ կատարելու լիազորագիրը (եթե կիրառելի է):</w:t>
      </w:r>
    </w:p>
    <w:p w14:paraId="517093BE"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5.2.</w:t>
      </w:r>
      <w:r w:rsidRPr="00834D52">
        <w:rPr>
          <w:rFonts w:ascii="Sylfaen" w:hAnsi="Sylfaen"/>
          <w:sz w:val="24"/>
          <w:szCs w:val="24"/>
        </w:rPr>
        <w:tab/>
        <w:t>Դեղապատրաստուկի հազվադեպ կիրառելի (որբ) կարգավիճակը հաստատող փաստաթղթի պատճենը:</w:t>
      </w:r>
    </w:p>
    <w:p w14:paraId="66E0AE65" w14:textId="77777777"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5.3.</w:t>
      </w:r>
      <w:r w:rsidRPr="00834D52">
        <w:rPr>
          <w:rFonts w:ascii="Sylfaen" w:hAnsi="Sylfaen"/>
          <w:sz w:val="24"/>
          <w:szCs w:val="24"/>
        </w:rPr>
        <w:tab/>
        <w:t xml:space="preserve">Գրանցվող դեղապատրաստուկի մասով Եվրասիական տնտեսական </w:t>
      </w:r>
      <w:r w:rsidRPr="00834D52">
        <w:rPr>
          <w:rFonts w:ascii="Sylfaen" w:hAnsi="Sylfaen"/>
          <w:sz w:val="24"/>
          <w:szCs w:val="24"/>
        </w:rPr>
        <w:lastRenderedPageBreak/>
        <w:t>միության անդամ պետությունների տարածքում գործող արտոնագրերի պատճենները:</w:t>
      </w:r>
    </w:p>
    <w:p w14:paraId="548F58BE" w14:textId="53505FBB" w:rsidR="006F76EB" w:rsidRPr="00834D52" w:rsidRDefault="006F76EB" w:rsidP="00D4123F">
      <w:pPr>
        <w:tabs>
          <w:tab w:val="left" w:pos="1134"/>
        </w:tabs>
        <w:spacing w:after="160" w:line="336" w:lineRule="auto"/>
        <w:ind w:right="-8" w:firstLine="567"/>
        <w:jc w:val="both"/>
        <w:rPr>
          <w:rFonts w:ascii="Sylfaen" w:eastAsia="Times New Roman" w:hAnsi="Sylfaen" w:cs="Times New Roman"/>
          <w:sz w:val="24"/>
          <w:szCs w:val="24"/>
        </w:rPr>
      </w:pPr>
      <w:r w:rsidRPr="00834D52">
        <w:rPr>
          <w:rFonts w:ascii="Sylfaen" w:hAnsi="Sylfaen"/>
          <w:sz w:val="24"/>
          <w:szCs w:val="24"/>
        </w:rPr>
        <w:t>5.4.</w:t>
      </w:r>
      <w:r w:rsidRPr="00834D52">
        <w:rPr>
          <w:rFonts w:ascii="Sylfaen" w:hAnsi="Sylfaen"/>
          <w:sz w:val="24"/>
          <w:szCs w:val="24"/>
        </w:rPr>
        <w:tab/>
      </w:r>
      <w:r w:rsidR="0056496B">
        <w:rPr>
          <w:rFonts w:ascii="Sylfaen" w:hAnsi="Sylfaen"/>
          <w:sz w:val="24"/>
          <w:szCs w:val="24"/>
        </w:rPr>
        <w:t>Դիմումատու</w:t>
      </w:r>
      <w:r w:rsidRPr="00834D52">
        <w:rPr>
          <w:rFonts w:ascii="Sylfaen" w:hAnsi="Sylfaen"/>
          <w:sz w:val="24"/>
          <w:szCs w:val="24"/>
        </w:rPr>
        <w:t>ի գրավոր հաստատումն այն մասին, որ դեղապատրաստուկի գրանցումը չի խախտում երրորդ անձանց` մտավոր սեփականության իրավունքները:</w:t>
      </w:r>
    </w:p>
    <w:p w14:paraId="1A4C5B20" w14:textId="77777777" w:rsidR="006F76EB" w:rsidRPr="00834D52" w:rsidRDefault="006F76EB" w:rsidP="00D4123F">
      <w:pPr>
        <w:tabs>
          <w:tab w:val="left" w:pos="1134"/>
        </w:tabs>
        <w:spacing w:after="160" w:line="336" w:lineRule="auto"/>
        <w:ind w:right="-6" w:firstLine="567"/>
        <w:jc w:val="both"/>
        <w:rPr>
          <w:rFonts w:ascii="Sylfaen" w:eastAsia="Times New Roman" w:hAnsi="Sylfaen" w:cs="Times New Roman"/>
          <w:sz w:val="24"/>
          <w:szCs w:val="24"/>
        </w:rPr>
      </w:pPr>
      <w:r w:rsidRPr="00834D52">
        <w:rPr>
          <w:rFonts w:ascii="Sylfaen" w:hAnsi="Sylfaen"/>
          <w:sz w:val="24"/>
          <w:szCs w:val="24"/>
        </w:rPr>
        <w:t>5.5.</w:t>
      </w:r>
      <w:r w:rsidRPr="00834D52">
        <w:rPr>
          <w:rFonts w:ascii="Sylfaen" w:hAnsi="Sylfaen"/>
          <w:sz w:val="24"/>
          <w:szCs w:val="24"/>
        </w:rPr>
        <w:tab/>
        <w:t>Միության անդամ պետության տարածքում ապրանքային նշանի գրանցման մասին գործող վկայագրի պատճենը:</w:t>
      </w:r>
    </w:p>
    <w:p w14:paraId="6070A169" w14:textId="77777777" w:rsidR="006F76EB" w:rsidRDefault="006F76EB" w:rsidP="00D4123F">
      <w:pPr>
        <w:tabs>
          <w:tab w:val="left" w:pos="1134"/>
        </w:tabs>
        <w:spacing w:after="160" w:line="336" w:lineRule="auto"/>
        <w:ind w:right="-6" w:firstLine="567"/>
        <w:jc w:val="both"/>
        <w:rPr>
          <w:rFonts w:ascii="Sylfaen" w:hAnsi="Sylfaen"/>
          <w:sz w:val="24"/>
          <w:szCs w:val="24"/>
        </w:rPr>
      </w:pPr>
      <w:r w:rsidRPr="00834D52">
        <w:rPr>
          <w:rFonts w:ascii="Sylfaen" w:hAnsi="Sylfaen"/>
          <w:sz w:val="24"/>
          <w:szCs w:val="24"/>
        </w:rPr>
        <w:t>5.6.</w:t>
      </w:r>
      <w:r w:rsidRPr="00834D52">
        <w:rPr>
          <w:rFonts w:ascii="Sylfaen" w:hAnsi="Sylfaen"/>
          <w:sz w:val="24"/>
          <w:szCs w:val="24"/>
        </w:rPr>
        <w:tab/>
        <w:t xml:space="preserve">Որակի հսկողության հարցերով լիազորված անձի </w:t>
      </w:r>
      <w:r w:rsidR="00F350A1">
        <w:rPr>
          <w:rFonts w:ascii="Sylfaen" w:hAnsi="Sylfaen"/>
          <w:sz w:val="24"/>
          <w:szCs w:val="24"/>
        </w:rPr>
        <w:t>հայտ</w:t>
      </w:r>
      <w:r w:rsidRPr="00834D52">
        <w:rPr>
          <w:rFonts w:ascii="Sylfaen" w:hAnsi="Sylfaen"/>
          <w:sz w:val="24"/>
          <w:szCs w:val="24"/>
        </w:rPr>
        <w:t xml:space="preserve">արարությունն արտադրության՝ Եվրասիական տնտեսական հանձնաժողովի կողմից հաստատվող` Եվրասիական տնտեսական միության պատշաճ արտադրական գործունեության կանոններին, դեղապատրաստուկի </w:t>
      </w:r>
      <w:r w:rsidR="00C54D75">
        <w:rPr>
          <w:rFonts w:ascii="Sylfaen" w:hAnsi="Sylfaen"/>
          <w:sz w:val="24"/>
          <w:szCs w:val="24"/>
        </w:rPr>
        <w:t>և</w:t>
      </w:r>
      <w:r w:rsidRPr="00834D52">
        <w:rPr>
          <w:rFonts w:ascii="Sylfaen" w:hAnsi="Sylfaen"/>
          <w:sz w:val="24"/>
          <w:szCs w:val="24"/>
        </w:rPr>
        <w:t xml:space="preserve"> ԱԴԲ-ի արտադրության գործընթացում օգտագործվող յուրաքանչյուր արտադրական հարթակի համար ելանյութերի առնչությամբ պատշաճ գործունեության ձեռնարկներին համապատասխանության մասին, այդ թվում այն հարթակների, որտեղ իրականացվում է որակի հսկողությունը (արտադրության գործընթացի հսկողությունը): </w:t>
      </w:r>
    </w:p>
    <w:p w14:paraId="5BED2D95" w14:textId="672F32C5"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r w:rsidR="00AC7652">
        <w:rPr>
          <w:b/>
          <w:bCs/>
          <w:i/>
          <w:iCs/>
        </w:rPr>
        <w:t xml:space="preserve">, </w:t>
      </w:r>
      <w:r w:rsidR="00AC7652">
        <w:rPr>
          <w:b/>
          <w:bCs/>
          <w:i/>
          <w:iCs/>
        </w:rPr>
        <w:t>լրաց 23.04.21 թիվ 34</w:t>
      </w:r>
      <w:r w:rsidRPr="00CD4709">
        <w:rPr>
          <w:b/>
          <w:bCs/>
          <w:i/>
          <w:iCs/>
        </w:rPr>
        <w:t>)</w:t>
      </w:r>
    </w:p>
    <w:p w14:paraId="7E5095E4" w14:textId="051DB9E1" w:rsidR="00890DC3" w:rsidRDefault="00890DC3" w:rsidP="00D4123F">
      <w:pPr>
        <w:tabs>
          <w:tab w:val="left" w:pos="1134"/>
        </w:tabs>
        <w:spacing w:after="160" w:line="336" w:lineRule="auto"/>
        <w:ind w:right="-6" w:firstLine="567"/>
        <w:jc w:val="both"/>
        <w:rPr>
          <w:rFonts w:ascii="Sylfaen" w:hAnsi="Sylfaen"/>
          <w:sz w:val="24"/>
          <w:szCs w:val="24"/>
        </w:rPr>
        <w:sectPr w:rsidR="00890DC3" w:rsidSect="00F71229">
          <w:footnotePr>
            <w:numRestart w:val="eachPage"/>
          </w:footnotePr>
          <w:pgSz w:w="11920" w:h="16840"/>
          <w:pgMar w:top="1418" w:right="1418" w:bottom="1418" w:left="1418" w:header="738" w:footer="370" w:gutter="0"/>
          <w:pgNumType w:start="16"/>
          <w:cols w:space="720"/>
        </w:sectPr>
      </w:pPr>
    </w:p>
    <w:p w14:paraId="74933FAA"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F4516">
        <w:rPr>
          <w:rFonts w:ascii="Sylfaen" w:hAnsi="Sylfaen"/>
          <w:sz w:val="24"/>
          <w:szCs w:val="24"/>
        </w:rPr>
        <w:t xml:space="preserve">ԹԻՎ </w:t>
      </w:r>
      <w:r w:rsidRPr="00834D52">
        <w:rPr>
          <w:rFonts w:ascii="Sylfaen" w:hAnsi="Sylfaen"/>
          <w:sz w:val="24"/>
          <w:szCs w:val="24"/>
        </w:rPr>
        <w:t>3</w:t>
      </w:r>
    </w:p>
    <w:p w14:paraId="4FFE5611" w14:textId="77777777" w:rsidR="006F76EB" w:rsidRPr="00834D52" w:rsidRDefault="006F76EB" w:rsidP="006F76EB">
      <w:pPr>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6B38A702" w14:textId="77777777" w:rsidR="006F76EB" w:rsidRPr="00834D52" w:rsidRDefault="006F76EB" w:rsidP="006F76EB">
      <w:pPr>
        <w:spacing w:after="160" w:line="360" w:lineRule="auto"/>
        <w:ind w:right="-8"/>
        <w:jc w:val="center"/>
        <w:rPr>
          <w:rFonts w:ascii="Sylfaen" w:hAnsi="Sylfaen"/>
          <w:sz w:val="24"/>
          <w:szCs w:val="24"/>
        </w:rPr>
      </w:pPr>
    </w:p>
    <w:p w14:paraId="776BF9F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ՑՈՒՑՈՒՄՆԵՐ</w:t>
      </w:r>
    </w:p>
    <w:p w14:paraId="0460D3CB" w14:textId="6968E171"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 xml:space="preserve">Որակի </w:t>
      </w:r>
      <w:r w:rsidR="00C64C1C">
        <w:rPr>
          <w:rFonts w:ascii="Sylfaen" w:hAnsi="Sylfaen"/>
          <w:b/>
          <w:sz w:val="24"/>
          <w:szCs w:val="24"/>
        </w:rPr>
        <w:t xml:space="preserve">վերաբերյալ </w:t>
      </w:r>
      <w:r w:rsidRPr="00834D52">
        <w:rPr>
          <w:rFonts w:ascii="Sylfaen" w:hAnsi="Sylfaen"/>
          <w:b/>
          <w:sz w:val="24"/>
          <w:szCs w:val="24"/>
        </w:rPr>
        <w:t xml:space="preserve">նորմատիվ փաստաթղթի կազմման, որն ուղեկցում է դեղապատրաստուկի գրանցման </w:t>
      </w:r>
      <w:r w:rsidR="0056496B">
        <w:rPr>
          <w:rFonts w:ascii="Sylfaen" w:hAnsi="Sylfaen"/>
          <w:b/>
          <w:sz w:val="24"/>
          <w:szCs w:val="24"/>
        </w:rPr>
        <w:t>դիմում</w:t>
      </w:r>
      <w:r w:rsidRPr="00834D52">
        <w:rPr>
          <w:rFonts w:ascii="Sylfaen" w:hAnsi="Sylfaen"/>
          <w:b/>
          <w:sz w:val="24"/>
          <w:szCs w:val="24"/>
        </w:rPr>
        <w:t>ին</w:t>
      </w:r>
    </w:p>
    <w:p w14:paraId="11A9D79C" w14:textId="77777777" w:rsidR="006F76EB" w:rsidRPr="00834D52" w:rsidRDefault="006F76EB" w:rsidP="006F76EB">
      <w:pPr>
        <w:spacing w:after="160" w:line="360" w:lineRule="auto"/>
        <w:ind w:right="-8" w:firstLine="567"/>
        <w:jc w:val="both"/>
        <w:rPr>
          <w:rFonts w:ascii="Sylfaen" w:hAnsi="Sylfaen"/>
          <w:sz w:val="24"/>
          <w:szCs w:val="24"/>
        </w:rPr>
      </w:pPr>
    </w:p>
    <w:p w14:paraId="3BC12C6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հսկողության նորմատիվ փաստաթղթերի (այսուհետ` ՆՓ) նախագիծը պետք է ներառի 8 բաժիններ`</w:t>
      </w:r>
    </w:p>
    <w:p w14:paraId="7CD03B42" w14:textId="77777777" w:rsidR="006F76EB" w:rsidRPr="00834D52" w:rsidRDefault="006F76EB" w:rsidP="009B75EA">
      <w:pPr>
        <w:pStyle w:val="ListParagraph"/>
        <w:numPr>
          <w:ilvl w:val="0"/>
          <w:numId w:val="2"/>
        </w:numPr>
        <w:tabs>
          <w:tab w:val="left" w:pos="1134"/>
        </w:tabs>
        <w:spacing w:after="160" w:line="360" w:lineRule="auto"/>
        <w:ind w:left="0" w:right="-8" w:firstLine="567"/>
        <w:contextualSpacing w:val="0"/>
        <w:jc w:val="both"/>
        <w:rPr>
          <w:rFonts w:ascii="Sylfaen" w:eastAsia="Times New Roman" w:hAnsi="Sylfaen" w:cs="Times New Roman"/>
          <w:sz w:val="24"/>
          <w:szCs w:val="24"/>
        </w:rPr>
      </w:pPr>
      <w:r w:rsidRPr="00834D52">
        <w:rPr>
          <w:rFonts w:ascii="Sylfaen" w:hAnsi="Sylfaen" w:cs="Arial"/>
          <w:sz w:val="24"/>
          <w:szCs w:val="24"/>
        </w:rPr>
        <w:t>Ամփոփաթերթը</w:t>
      </w:r>
      <w:r w:rsidRPr="00834D52">
        <w:rPr>
          <w:rFonts w:ascii="Sylfaen" w:hAnsi="Sylfaen"/>
          <w:sz w:val="24"/>
          <w:szCs w:val="24"/>
        </w:rPr>
        <w:t>, ներառյալ`</w:t>
      </w:r>
    </w:p>
    <w:p w14:paraId="5B7E51C1"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դեղապատրաստուկի անվանումը (ապրանքային անվանումը </w:t>
      </w:r>
      <w:r w:rsidR="00C54D75">
        <w:rPr>
          <w:rFonts w:ascii="Sylfaen" w:hAnsi="Sylfaen"/>
          <w:sz w:val="24"/>
          <w:szCs w:val="24"/>
        </w:rPr>
        <w:t>և</w:t>
      </w:r>
      <w:r w:rsidRPr="00834D52">
        <w:rPr>
          <w:rFonts w:ascii="Sylfaen" w:hAnsi="Sylfaen"/>
          <w:sz w:val="24"/>
          <w:szCs w:val="24"/>
        </w:rPr>
        <w:t xml:space="preserve"> ՄՉԱ-ն, դրա բացակայության դեպքում` համընդհանուր (խմբային) անվանումը, վերջինիս բացակայության դեպքում` քիմիական անվանումը),</w:t>
      </w:r>
    </w:p>
    <w:p w14:paraId="18133FD8"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ը,</w:t>
      </w:r>
    </w:p>
    <w:p w14:paraId="3584F612"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դեղաչափը,</w:t>
      </w:r>
    </w:p>
    <w:p w14:paraId="48E0D7A5"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երկրի անվանումը,</w:t>
      </w:r>
    </w:p>
    <w:p w14:paraId="74BDBD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ՆՓ համարի նշման համար դաշտ (նշվում է </w:t>
      </w:r>
      <w:r w:rsidR="0032680A">
        <w:rPr>
          <w:rFonts w:ascii="Sylfaen" w:hAnsi="Sylfaen"/>
          <w:sz w:val="24"/>
          <w:szCs w:val="24"/>
        </w:rPr>
        <w:t xml:space="preserve">ռեֆերենտ </w:t>
      </w:r>
      <w:r w:rsidRPr="00834D52">
        <w:rPr>
          <w:rFonts w:ascii="Sylfaen" w:hAnsi="Sylfaen"/>
          <w:sz w:val="24"/>
          <w:szCs w:val="24"/>
        </w:rPr>
        <w:t>պետության կողմից տրված գրանցման հավաստագրի համարի ձ</w:t>
      </w:r>
      <w:r w:rsidR="00C54D75">
        <w:rPr>
          <w:rFonts w:ascii="Sylfaen" w:hAnsi="Sylfaen"/>
          <w:sz w:val="24"/>
          <w:szCs w:val="24"/>
        </w:rPr>
        <w:t>և</w:t>
      </w:r>
      <w:r w:rsidRPr="00834D52">
        <w:rPr>
          <w:rFonts w:ascii="Sylfaen" w:hAnsi="Sylfaen"/>
          <w:sz w:val="24"/>
          <w:szCs w:val="24"/>
        </w:rPr>
        <w:t xml:space="preserve">ով </w:t>
      </w:r>
      <w:r w:rsidR="00C54D75">
        <w:rPr>
          <w:rFonts w:ascii="Sylfaen" w:hAnsi="Sylfaen"/>
          <w:sz w:val="24"/>
          <w:szCs w:val="24"/>
        </w:rPr>
        <w:t>և</w:t>
      </w:r>
      <w:r w:rsidRPr="00834D52">
        <w:rPr>
          <w:rFonts w:ascii="Sylfaen" w:hAnsi="Sylfaen"/>
          <w:sz w:val="24"/>
          <w:szCs w:val="24"/>
        </w:rPr>
        <w:t xml:space="preserve"> ՕՕ.ԱԱ.ՏՏՏՏ ձ</w:t>
      </w:r>
      <w:r w:rsidR="00C54D75">
        <w:rPr>
          <w:rFonts w:ascii="Sylfaen" w:hAnsi="Sylfaen"/>
          <w:sz w:val="24"/>
          <w:szCs w:val="24"/>
        </w:rPr>
        <w:t>և</w:t>
      </w:r>
      <w:r w:rsidRPr="00834D52">
        <w:rPr>
          <w:rFonts w:ascii="Sylfaen" w:hAnsi="Sylfaen"/>
          <w:sz w:val="24"/>
          <w:szCs w:val="24"/>
        </w:rPr>
        <w:t>աչափով գրանցման ամսաթիվը, որը նշվում է միացման գծիկով),</w:t>
      </w:r>
    </w:p>
    <w:p w14:paraId="2E11C75F"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համաձայնեցման գրիֆը:</w:t>
      </w:r>
    </w:p>
    <w:p w14:paraId="7B1A44E0"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2.</w:t>
      </w:r>
      <w:r w:rsidRPr="00834D52">
        <w:rPr>
          <w:rFonts w:ascii="Sylfaen" w:hAnsi="Sylfaen"/>
          <w:sz w:val="24"/>
          <w:szCs w:val="24"/>
        </w:rPr>
        <w:tab/>
        <w:t xml:space="preserve">Դեղապատրաստուկի բաղադրությունը նշվում է ՆՓ առանձին բաժնում գրանցման դոսյեի 3-րդ մոդուլի 3.2.Р.5.1 բաժնին համապատասխան (առանց նշելու ֆունկցիոնալ նշանակությունը) `որպես դեղագործական բաղադրամասի </w:t>
      </w:r>
      <w:r w:rsidR="00C54D75">
        <w:rPr>
          <w:rFonts w:ascii="Sylfaen" w:hAnsi="Sylfaen"/>
          <w:sz w:val="24"/>
          <w:szCs w:val="24"/>
        </w:rPr>
        <w:t>և</w:t>
      </w:r>
      <w:r w:rsidRPr="00834D52">
        <w:rPr>
          <w:rFonts w:ascii="Sylfaen" w:hAnsi="Sylfaen"/>
          <w:sz w:val="24"/>
          <w:szCs w:val="24"/>
        </w:rPr>
        <w:t xml:space="preserve"> </w:t>
      </w:r>
      <w:r w:rsidRPr="00834D52">
        <w:rPr>
          <w:rFonts w:ascii="Sylfaen" w:hAnsi="Sylfaen"/>
          <w:sz w:val="24"/>
          <w:szCs w:val="24"/>
        </w:rPr>
        <w:lastRenderedPageBreak/>
        <w:t xml:space="preserve">օժանդակ նյութերի քանակական </w:t>
      </w:r>
      <w:r w:rsidR="00C54D75">
        <w:rPr>
          <w:rFonts w:ascii="Sylfaen" w:hAnsi="Sylfaen"/>
          <w:sz w:val="24"/>
          <w:szCs w:val="24"/>
        </w:rPr>
        <w:t>և</w:t>
      </w:r>
      <w:r w:rsidRPr="00834D52">
        <w:rPr>
          <w:rFonts w:ascii="Sylfaen" w:hAnsi="Sylfaen"/>
          <w:sz w:val="24"/>
          <w:szCs w:val="24"/>
        </w:rPr>
        <w:t xml:space="preserve"> որակական բաղադրության ցուցում` դրանց որակը կարգավորող դեղագրքին կամ նորմատիվ փաստաթղթերին արված հղումներով: </w:t>
      </w:r>
    </w:p>
    <w:p w14:paraId="39D13C83" w14:textId="77777777" w:rsidR="006F76EB" w:rsidRPr="00834D52" w:rsidRDefault="006F76EB" w:rsidP="009B75EA">
      <w:pPr>
        <w:tabs>
          <w:tab w:val="left" w:pos="1134"/>
        </w:tabs>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3.</w:t>
      </w:r>
      <w:r w:rsidRPr="00834D52">
        <w:rPr>
          <w:rFonts w:ascii="Sylfaen" w:hAnsi="Sylfaen"/>
          <w:sz w:val="24"/>
          <w:szCs w:val="24"/>
        </w:rPr>
        <w:tab/>
        <w:t>Մասնագիրը (գրանցման դոսյեի 3-րդ մոդուլի 3.2.Р.5.1 բաժնին համապատասխան)՝ 3 սյունակներից բաղկացած աղյուսակի տեսքով՝</w:t>
      </w:r>
    </w:p>
    <w:p w14:paraId="2B0B403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որակի բոլոր ցուցանիշների ցանկը,</w:t>
      </w:r>
    </w:p>
    <w:p w14:paraId="69AC250C"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նորմաները (թույլատրելի շեմերը),</w:t>
      </w:r>
    </w:p>
    <w:p w14:paraId="0C1622BE"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փորձարկման մեթոդներին արված հղումները:</w:t>
      </w:r>
    </w:p>
    <w:p w14:paraId="483F7D48"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Որակի ցուցանիշները պետք է սահմանվեն Եվրասիական տնտեսական միության դեղագրքի (այսուհետ՝ Միություն) ընդհանուր դեղագրքային հոդվածների (մենագրությունների)` դեղաձ</w:t>
      </w:r>
      <w:r w:rsidR="00C54D75">
        <w:rPr>
          <w:rFonts w:ascii="Sylfaen" w:hAnsi="Sylfaen"/>
          <w:sz w:val="24"/>
          <w:szCs w:val="24"/>
        </w:rPr>
        <w:t>և</w:t>
      </w:r>
      <w:r w:rsidRPr="00834D52">
        <w:rPr>
          <w:rFonts w:ascii="Sylfaen" w:hAnsi="Sylfaen"/>
          <w:sz w:val="24"/>
          <w:szCs w:val="24"/>
        </w:rPr>
        <w:t>երին առնչվող պահանջներին համապատասխան` հաշվի առնելով դեղագործական բաղադրամասի բնույթից կախված դեղապատրաստուկի կոնկրետ դեղաձ</w:t>
      </w:r>
      <w:r w:rsidR="00C54D75">
        <w:rPr>
          <w:rFonts w:ascii="Sylfaen" w:hAnsi="Sylfaen"/>
          <w:sz w:val="24"/>
          <w:szCs w:val="24"/>
        </w:rPr>
        <w:t>և</w:t>
      </w:r>
      <w:r w:rsidRPr="00834D52">
        <w:rPr>
          <w:rFonts w:ascii="Sylfaen" w:hAnsi="Sylfaen"/>
          <w:sz w:val="24"/>
          <w:szCs w:val="24"/>
        </w:rPr>
        <w:t xml:space="preserve">երի առանձնահատկությունները, </w:t>
      </w:r>
      <w:r w:rsidR="00C54D75">
        <w:rPr>
          <w:rFonts w:ascii="Sylfaen" w:hAnsi="Sylfaen"/>
          <w:sz w:val="24"/>
          <w:szCs w:val="24"/>
        </w:rPr>
        <w:t>և</w:t>
      </w:r>
      <w:r w:rsidRPr="00834D52">
        <w:rPr>
          <w:rFonts w:ascii="Sylfaen" w:hAnsi="Sylfaen"/>
          <w:sz w:val="24"/>
          <w:szCs w:val="24"/>
        </w:rPr>
        <w:t xml:space="preserve"> սույն փաստաթղթին համապատասխան:</w:t>
      </w:r>
    </w:p>
    <w:p w14:paraId="46B61E14"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Մասնագրում որակի ցուցանիշների անվանումը նշվում է Եվրասիական տնտեսական միության դեղագրքին համապատասխան:</w:t>
      </w:r>
    </w:p>
    <w:p w14:paraId="53ACC6D2" w14:textId="77777777" w:rsidR="006F76EB" w:rsidRPr="00834D52" w:rsidRDefault="006F76EB" w:rsidP="006F76EB">
      <w:pPr>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Եթե առանձին ցուցանիշների մասով փորձարկումն իրականացվում է ընտրանքային կարգով կամ սահմանված պարբերականությամբ, ապա մասնագրում սահմանվում է փորձարկման ընտրողականությունը </w:t>
      </w:r>
      <w:r w:rsidR="00C54D75">
        <w:rPr>
          <w:rFonts w:ascii="Sylfaen" w:hAnsi="Sylfaen"/>
          <w:sz w:val="24"/>
          <w:szCs w:val="24"/>
        </w:rPr>
        <w:t>և</w:t>
      </w:r>
      <w:r w:rsidRPr="00834D52">
        <w:rPr>
          <w:rFonts w:ascii="Sylfaen" w:hAnsi="Sylfaen"/>
          <w:sz w:val="24"/>
          <w:szCs w:val="24"/>
        </w:rPr>
        <w:t xml:space="preserve"> պարբերականությունը:</w:t>
      </w:r>
    </w:p>
    <w:p w14:paraId="26545329" w14:textId="77777777" w:rsidR="006F76EB" w:rsidRPr="00834D52" w:rsidRDefault="006F76EB" w:rsidP="009B75EA">
      <w:pPr>
        <w:tabs>
          <w:tab w:val="left" w:pos="1134"/>
        </w:tabs>
        <w:spacing w:after="160" w:line="384" w:lineRule="auto"/>
        <w:ind w:right="-6" w:firstLine="567"/>
        <w:jc w:val="both"/>
        <w:rPr>
          <w:rFonts w:ascii="Sylfaen" w:eastAsia="Times New Roman" w:hAnsi="Sylfaen" w:cs="Times New Roman"/>
          <w:sz w:val="24"/>
          <w:szCs w:val="24"/>
        </w:rPr>
      </w:pPr>
      <w:r w:rsidRPr="00834D52">
        <w:rPr>
          <w:rFonts w:ascii="Sylfaen" w:hAnsi="Sylfaen"/>
          <w:sz w:val="24"/>
          <w:szCs w:val="24"/>
        </w:rPr>
        <w:t>4.</w:t>
      </w:r>
      <w:r w:rsidRPr="00834D52">
        <w:rPr>
          <w:rFonts w:ascii="Sylfaen" w:hAnsi="Sylfaen"/>
          <w:sz w:val="24"/>
          <w:szCs w:val="24"/>
        </w:rPr>
        <w:tab/>
        <w:t xml:space="preserve">Դեղապատրաստուկի փորձարկման մեթոդների </w:t>
      </w:r>
      <w:r w:rsidR="00C54D75">
        <w:rPr>
          <w:rFonts w:ascii="Sylfaen" w:hAnsi="Sylfaen"/>
          <w:sz w:val="24"/>
          <w:szCs w:val="24"/>
        </w:rPr>
        <w:t>և</w:t>
      </w:r>
      <w:r w:rsidRPr="00834D52">
        <w:rPr>
          <w:rFonts w:ascii="Sylfaen" w:hAnsi="Sylfaen"/>
          <w:sz w:val="24"/>
          <w:szCs w:val="24"/>
        </w:rPr>
        <w:t xml:space="preserve"> մեթոդիկաների իրականացման մանրամասն նկարագրությունը՝ որակի մասնագրի բոլոր ցուցանիշների մասով, Միության դեղագրքին արված հղումներով (եթե կիրառելի է) իրականացվում է գրանցման դոսյեի 3-րդ մոդուլի 3.2.Р.5.2 բաժնին համապատասխան: </w:t>
      </w:r>
    </w:p>
    <w:p w14:paraId="0C0722D1"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lastRenderedPageBreak/>
        <w:t>5.</w:t>
      </w:r>
      <w:r w:rsidRPr="009B75EA">
        <w:rPr>
          <w:rFonts w:ascii="Sylfaen" w:hAnsi="Sylfaen"/>
          <w:sz w:val="24"/>
          <w:szCs w:val="24"/>
        </w:rPr>
        <w:tab/>
        <w:t xml:space="preserve">ՆՓ-ի «Փաթեթվածք» բաժնում նկարագրվում են առաջնային փաթեթվածքը (ամպուլաներ, սրվակներ, բանկաներ, փաթեթներ </w:t>
      </w:r>
      <w:r w:rsidR="00C54D75">
        <w:rPr>
          <w:rFonts w:ascii="Sylfaen" w:hAnsi="Sylfaen"/>
          <w:sz w:val="24"/>
          <w:szCs w:val="24"/>
        </w:rPr>
        <w:t>և</w:t>
      </w:r>
      <w:r w:rsidRPr="009B75EA">
        <w:rPr>
          <w:rFonts w:ascii="Sylfaen" w:hAnsi="Sylfaen"/>
          <w:sz w:val="24"/>
          <w:szCs w:val="24"/>
        </w:rPr>
        <w:t xml:space="preserve"> այլն), առաջնային փաթեթվածքում միավոր արտադրանքի քանակը (օրինակ` ուրվագծային բջջային (բլիստերային) կամ ոչ բջջային (ոչ բլիստերային) փաթեթվածքում դեղահաբերի քանակը), միջանկյալ, երկրորդային (սպառողական) փաթեթվածքը </w:t>
      </w:r>
      <w:r w:rsidR="00C54D75">
        <w:rPr>
          <w:rFonts w:ascii="Sylfaen" w:hAnsi="Sylfaen"/>
          <w:sz w:val="24"/>
          <w:szCs w:val="24"/>
        </w:rPr>
        <w:t>և</w:t>
      </w:r>
      <w:r w:rsidRPr="009B75EA">
        <w:rPr>
          <w:rFonts w:ascii="Sylfaen" w:hAnsi="Sylfaen"/>
          <w:sz w:val="24"/>
          <w:szCs w:val="24"/>
        </w:rPr>
        <w:t xml:space="preserve"> դրանում առաջնային փաթեթվածքների քանակը (օրինակ` երկրորդային փաթեթվածքում ուրվագծային բջջային փաթեթվածքների քանակը), խոնավության կլանիչի, ներդիր թերթիկի (բժշկական կիրառման հրահանգի) առկայությունը, լրակազմությունը (ասեղ, կաթոցիչ, սեղմակ </w:t>
      </w:r>
      <w:r w:rsidR="00C54D75">
        <w:rPr>
          <w:rFonts w:ascii="Sylfaen" w:hAnsi="Sylfaen"/>
          <w:sz w:val="24"/>
          <w:szCs w:val="24"/>
        </w:rPr>
        <w:t>և</w:t>
      </w:r>
      <w:r w:rsidRPr="009B75EA">
        <w:rPr>
          <w:rFonts w:ascii="Sylfaen" w:hAnsi="Sylfaen"/>
          <w:sz w:val="24"/>
          <w:szCs w:val="24"/>
        </w:rPr>
        <w:t xml:space="preserve"> այլն) </w:t>
      </w:r>
      <w:r w:rsidR="00C54D75">
        <w:rPr>
          <w:rFonts w:ascii="Sylfaen" w:hAnsi="Sylfaen"/>
          <w:sz w:val="24"/>
          <w:szCs w:val="24"/>
        </w:rPr>
        <w:t>և</w:t>
      </w:r>
      <w:r w:rsidRPr="009B75EA">
        <w:rPr>
          <w:rFonts w:ascii="Sylfaen" w:hAnsi="Sylfaen"/>
          <w:sz w:val="24"/>
          <w:szCs w:val="24"/>
        </w:rPr>
        <w:t xml:space="preserve"> այլն:</w:t>
      </w:r>
    </w:p>
    <w:p w14:paraId="08CF5404"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6.</w:t>
      </w:r>
      <w:r w:rsidRPr="00834D52">
        <w:rPr>
          <w:rFonts w:ascii="Sylfaen" w:hAnsi="Sylfaen"/>
          <w:sz w:val="24"/>
          <w:szCs w:val="24"/>
        </w:rPr>
        <w:tab/>
        <w:t>ՆՓ-ի «Մականշվածք» բաժնում հղում է բերվում գրանցման դոսյեի 1-ին մոդուլի 1.3.2. բաժնին:</w:t>
      </w:r>
    </w:p>
    <w:p w14:paraId="14D6D7C0" w14:textId="77777777" w:rsidR="006F76EB" w:rsidRPr="009B75EA" w:rsidRDefault="006F76EB" w:rsidP="009B75EA">
      <w:pP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7.</w:t>
      </w:r>
      <w:r w:rsidRPr="00834D52">
        <w:rPr>
          <w:rFonts w:ascii="Sylfaen" w:hAnsi="Sylfaen"/>
          <w:sz w:val="24"/>
          <w:szCs w:val="24"/>
        </w:rPr>
        <w:tab/>
        <w:t>Պահման պայմանները:</w:t>
      </w:r>
    </w:p>
    <w:p w14:paraId="111FA05E" w14:textId="77777777" w:rsidR="006F76EB" w:rsidRDefault="006F76EB" w:rsidP="009B75EA">
      <w:pPr>
        <w:pBdr>
          <w:bottom w:val="single" w:sz="6" w:space="1" w:color="auto"/>
        </w:pBdr>
        <w:tabs>
          <w:tab w:val="left" w:pos="1134"/>
        </w:tabs>
        <w:spacing w:after="160" w:line="384" w:lineRule="auto"/>
        <w:ind w:right="-6" w:firstLine="567"/>
        <w:jc w:val="both"/>
        <w:rPr>
          <w:rFonts w:ascii="Sylfaen" w:hAnsi="Sylfaen"/>
          <w:sz w:val="24"/>
          <w:szCs w:val="24"/>
        </w:rPr>
      </w:pPr>
      <w:r w:rsidRPr="00834D52">
        <w:rPr>
          <w:rFonts w:ascii="Sylfaen" w:hAnsi="Sylfaen"/>
          <w:sz w:val="24"/>
          <w:szCs w:val="24"/>
        </w:rPr>
        <w:t>8.</w:t>
      </w:r>
      <w:r w:rsidRPr="00834D52">
        <w:rPr>
          <w:rFonts w:ascii="Sylfaen" w:hAnsi="Sylfaen"/>
          <w:sz w:val="24"/>
          <w:szCs w:val="24"/>
        </w:rPr>
        <w:tab/>
        <w:t>Պիտանիության (պահման) ժամկետը:</w:t>
      </w:r>
    </w:p>
    <w:p w14:paraId="06094DF6" w14:textId="77777777" w:rsidR="00890DC3" w:rsidRPr="006F28F9" w:rsidRDefault="00890DC3" w:rsidP="00890DC3">
      <w:pPr>
        <w:rPr>
          <w:b/>
          <w:bCs/>
          <w:i/>
          <w:iCs/>
        </w:rPr>
      </w:pPr>
      <w:r w:rsidRPr="00CD4709">
        <w:rPr>
          <w:b/>
          <w:bCs/>
          <w:i/>
          <w:iCs/>
        </w:rPr>
        <w:t>(</w:t>
      </w:r>
      <w:r>
        <w:rPr>
          <w:b/>
          <w:bCs/>
          <w:i/>
          <w:iCs/>
        </w:rPr>
        <w:t xml:space="preserve">հավելվածը </w:t>
      </w:r>
      <w:r w:rsidRPr="00CD4709">
        <w:rPr>
          <w:b/>
          <w:bCs/>
          <w:i/>
          <w:iCs/>
        </w:rPr>
        <w:t>փոփ. 30.01.20 թիվ 9)</w:t>
      </w:r>
    </w:p>
    <w:p w14:paraId="6ADB9C55" w14:textId="77777777" w:rsidR="00890DC3" w:rsidRPr="00834D52" w:rsidRDefault="00890DC3" w:rsidP="00974276">
      <w:pPr>
        <w:tabs>
          <w:tab w:val="left" w:pos="1134"/>
        </w:tabs>
        <w:spacing w:after="160" w:line="384" w:lineRule="auto"/>
        <w:ind w:right="-6" w:firstLine="567"/>
        <w:jc w:val="center"/>
        <w:rPr>
          <w:rFonts w:ascii="Sylfaen" w:eastAsia="Times New Roman" w:hAnsi="Sylfaen" w:cs="Times New Roman"/>
          <w:sz w:val="24"/>
          <w:szCs w:val="24"/>
        </w:rPr>
      </w:pPr>
    </w:p>
    <w:p w14:paraId="19E3C2B4" w14:textId="77777777" w:rsidR="006F76EB" w:rsidRDefault="006F76EB" w:rsidP="006F76EB">
      <w:pPr>
        <w:widowControl/>
        <w:rPr>
          <w:rFonts w:ascii="Sylfaen" w:hAnsi="Sylfaen"/>
          <w:sz w:val="24"/>
          <w:szCs w:val="24"/>
        </w:rPr>
      </w:pPr>
    </w:p>
    <w:p w14:paraId="51B13195" w14:textId="77777777" w:rsidR="006F76EB" w:rsidRDefault="006F76EB" w:rsidP="006F76EB">
      <w:pPr>
        <w:widowControl/>
        <w:spacing w:after="160" w:line="360" w:lineRule="auto"/>
        <w:rPr>
          <w:rFonts w:ascii="Sylfaen" w:hAnsi="Sylfaen"/>
          <w:sz w:val="24"/>
          <w:szCs w:val="24"/>
        </w:rPr>
        <w:sectPr w:rsidR="006F76EB" w:rsidSect="00F71229">
          <w:pgSz w:w="11920" w:h="16840"/>
          <w:pgMar w:top="1418" w:right="1418" w:bottom="1418" w:left="1418" w:header="738" w:footer="375" w:gutter="0"/>
          <w:pgNumType w:start="1"/>
          <w:cols w:space="720"/>
          <w:titlePg/>
          <w:docGrid w:linePitch="299"/>
        </w:sectPr>
      </w:pPr>
    </w:p>
    <w:p w14:paraId="15C7F1D4"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1C09E1">
        <w:rPr>
          <w:rFonts w:ascii="Sylfaen" w:hAnsi="Sylfaen"/>
          <w:sz w:val="24"/>
          <w:szCs w:val="24"/>
        </w:rPr>
        <w:t xml:space="preserve">ԹԻՎ </w:t>
      </w:r>
      <w:r w:rsidRPr="00834D52">
        <w:rPr>
          <w:rFonts w:ascii="Sylfaen" w:hAnsi="Sylfaen"/>
          <w:sz w:val="24"/>
          <w:szCs w:val="24"/>
        </w:rPr>
        <w:t>4</w:t>
      </w:r>
    </w:p>
    <w:p w14:paraId="32951D8B" w14:textId="77777777" w:rsidR="006F76EB" w:rsidRPr="00834D52" w:rsidRDefault="006F76EB" w:rsidP="006F76EB">
      <w:pPr>
        <w:spacing w:after="160" w:line="360" w:lineRule="auto"/>
        <w:ind w:left="4536"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1D9B3AEF" w14:textId="77777777" w:rsidR="006F76EB" w:rsidRPr="00834D52" w:rsidRDefault="006F76EB" w:rsidP="006F76EB">
      <w:pPr>
        <w:spacing w:after="160" w:line="360" w:lineRule="auto"/>
        <w:ind w:left="567" w:right="567"/>
        <w:jc w:val="center"/>
        <w:rPr>
          <w:rFonts w:ascii="Sylfaen" w:hAnsi="Sylfaen"/>
          <w:sz w:val="24"/>
          <w:szCs w:val="24"/>
        </w:rPr>
      </w:pPr>
    </w:p>
    <w:p w14:paraId="6730A9B4"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b/>
          <w:sz w:val="24"/>
          <w:szCs w:val="24"/>
        </w:rPr>
        <w:t>ՊԱՀԱՆՋՆԵՐ</w:t>
      </w:r>
    </w:p>
    <w:p w14:paraId="50EB5826" w14:textId="77777777" w:rsidR="006F76EB" w:rsidRPr="00834D52" w:rsidRDefault="006F76EB" w:rsidP="006F76EB">
      <w:pPr>
        <w:spacing w:after="160" w:line="360" w:lineRule="auto"/>
        <w:ind w:left="567" w:right="567"/>
        <w:jc w:val="center"/>
        <w:rPr>
          <w:rFonts w:ascii="Sylfaen" w:eastAsia="Times New Roman" w:hAnsi="Sylfaen" w:cs="Times New Roman"/>
          <w:b/>
          <w:bCs/>
          <w:sz w:val="24"/>
          <w:szCs w:val="24"/>
        </w:rPr>
      </w:pPr>
      <w:r w:rsidRPr="00834D52">
        <w:rPr>
          <w:rFonts w:ascii="Sylfaen" w:hAnsi="Sylfaen"/>
          <w:b/>
          <w:sz w:val="24"/>
          <w:szCs w:val="24"/>
        </w:rPr>
        <w:t>ընդհանուր տեխնիկական փաստաթղթի (ԸՏՓ) ձ</w:t>
      </w:r>
      <w:r w:rsidR="00C54D75">
        <w:rPr>
          <w:rFonts w:ascii="Sylfaen" w:hAnsi="Sylfaen"/>
          <w:b/>
          <w:sz w:val="24"/>
          <w:szCs w:val="24"/>
        </w:rPr>
        <w:t>և</w:t>
      </w:r>
      <w:r w:rsidRPr="00834D52">
        <w:rPr>
          <w:rFonts w:ascii="Sylfaen" w:hAnsi="Sylfaen"/>
          <w:b/>
          <w:sz w:val="24"/>
          <w:szCs w:val="24"/>
        </w:rPr>
        <w:t>աչափով դեղապատրաստուկի գրանցման դոսյեի փաստաթղթերի ձ</w:t>
      </w:r>
      <w:r w:rsidR="00C54D75">
        <w:rPr>
          <w:rFonts w:ascii="Sylfaen" w:hAnsi="Sylfaen"/>
          <w:b/>
          <w:sz w:val="24"/>
          <w:szCs w:val="24"/>
        </w:rPr>
        <w:t>և</w:t>
      </w:r>
      <w:r w:rsidRPr="00834D52">
        <w:rPr>
          <w:rFonts w:ascii="Sylfaen" w:hAnsi="Sylfaen"/>
          <w:b/>
          <w:sz w:val="24"/>
          <w:szCs w:val="24"/>
        </w:rPr>
        <w:t xml:space="preserve">աչափին </w:t>
      </w:r>
      <w:r w:rsidR="00C54D75">
        <w:rPr>
          <w:rFonts w:ascii="Sylfaen" w:hAnsi="Sylfaen"/>
          <w:b/>
          <w:sz w:val="24"/>
          <w:szCs w:val="24"/>
        </w:rPr>
        <w:t>և</w:t>
      </w:r>
      <w:r w:rsidRPr="00834D52">
        <w:rPr>
          <w:rFonts w:ascii="Sylfaen" w:hAnsi="Sylfaen"/>
          <w:b/>
          <w:sz w:val="24"/>
          <w:szCs w:val="24"/>
        </w:rPr>
        <w:t xml:space="preserve"> տեղադրմանը ներկայացվող</w:t>
      </w:r>
    </w:p>
    <w:p w14:paraId="6FA18A03"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p>
    <w:p w14:paraId="2338779F" w14:textId="77777777" w:rsidR="006F76EB" w:rsidRPr="00834D52" w:rsidRDefault="006F76EB" w:rsidP="006F76EB">
      <w:pPr>
        <w:spacing w:after="160" w:line="360" w:lineRule="auto"/>
        <w:ind w:left="567" w:right="567"/>
        <w:jc w:val="center"/>
        <w:rPr>
          <w:rFonts w:ascii="Sylfaen" w:eastAsia="Times New Roman" w:hAnsi="Sylfaen" w:cs="Times New Roman"/>
          <w:sz w:val="24"/>
          <w:szCs w:val="24"/>
        </w:rPr>
      </w:pPr>
      <w:r w:rsidRPr="00834D52">
        <w:rPr>
          <w:rFonts w:ascii="Sylfaen" w:hAnsi="Sylfaen"/>
          <w:sz w:val="24"/>
          <w:szCs w:val="24"/>
        </w:rPr>
        <w:t xml:space="preserve">I. Դեղապատրաստուկի գրանցման դոսյեի մոդուլներում </w:t>
      </w:r>
      <w:r w:rsidRPr="00834D52">
        <w:rPr>
          <w:rFonts w:ascii="Sylfaen" w:hAnsi="Sylfaen"/>
          <w:sz w:val="24"/>
          <w:szCs w:val="24"/>
        </w:rPr>
        <w:br/>
        <w:t>փաստաթղթերի ցանկը</w:t>
      </w:r>
    </w:p>
    <w:tbl>
      <w:tblPr>
        <w:tblStyle w:val="TableGrid"/>
        <w:tblW w:w="9977" w:type="dxa"/>
        <w:tblLook w:val="04A0" w:firstRow="1" w:lastRow="0" w:firstColumn="1" w:lastColumn="0" w:noHBand="0" w:noVBand="1"/>
      </w:tblPr>
      <w:tblGrid>
        <w:gridCol w:w="1809"/>
        <w:gridCol w:w="8157"/>
        <w:gridCol w:w="11"/>
      </w:tblGrid>
      <w:tr w:rsidR="006F76EB" w:rsidRPr="00834D52" w14:paraId="1FF617AA" w14:textId="77777777" w:rsidTr="00F71229">
        <w:trPr>
          <w:gridAfter w:val="1"/>
          <w:wAfter w:w="11" w:type="dxa"/>
          <w:tblHeader/>
        </w:trPr>
        <w:tc>
          <w:tcPr>
            <w:tcW w:w="1809" w:type="dxa"/>
          </w:tcPr>
          <w:p w14:paraId="4851E335" w14:textId="77777777" w:rsidR="006F76EB" w:rsidRPr="00834D52" w:rsidRDefault="006F76EB" w:rsidP="00E7523C">
            <w:pPr>
              <w:spacing w:after="120" w:line="360" w:lineRule="auto"/>
              <w:ind w:right="-6"/>
              <w:jc w:val="center"/>
              <w:rPr>
                <w:rFonts w:ascii="Sylfaen" w:eastAsia="Times New Roman" w:hAnsi="Sylfaen" w:cs="Times New Roman"/>
                <w:sz w:val="24"/>
                <w:szCs w:val="24"/>
              </w:rPr>
            </w:pPr>
            <w:r w:rsidRPr="00834D52">
              <w:rPr>
                <w:rFonts w:ascii="Sylfaen" w:hAnsi="Sylfaen"/>
                <w:sz w:val="24"/>
                <w:szCs w:val="24"/>
              </w:rPr>
              <w:t>Համարը՝ ը/կ</w:t>
            </w:r>
          </w:p>
        </w:tc>
        <w:tc>
          <w:tcPr>
            <w:tcW w:w="8157" w:type="dxa"/>
          </w:tcPr>
          <w:p w14:paraId="088636EF" w14:textId="77777777" w:rsidR="006F76EB" w:rsidRPr="00834D52" w:rsidRDefault="006F76EB" w:rsidP="00E7523C">
            <w:pPr>
              <w:spacing w:after="120" w:line="360" w:lineRule="auto"/>
              <w:ind w:right="111"/>
              <w:jc w:val="center"/>
              <w:rPr>
                <w:rFonts w:ascii="Sylfaen" w:eastAsia="Times New Roman" w:hAnsi="Sylfaen" w:cs="Times New Roman"/>
                <w:sz w:val="24"/>
                <w:szCs w:val="24"/>
              </w:rPr>
            </w:pPr>
            <w:r w:rsidRPr="00834D52">
              <w:rPr>
                <w:rFonts w:ascii="Sylfaen" w:hAnsi="Sylfaen"/>
                <w:sz w:val="24"/>
                <w:szCs w:val="24"/>
              </w:rPr>
              <w:t>ՓԱՍՏԱԹՂԹԻ ԱՆՎԱՆՈՒՄԸ</w:t>
            </w:r>
          </w:p>
        </w:tc>
      </w:tr>
      <w:tr w:rsidR="006F76EB" w:rsidRPr="00834D52" w14:paraId="12CC97DC" w14:textId="77777777" w:rsidTr="00F71229">
        <w:trPr>
          <w:gridAfter w:val="1"/>
          <w:wAfter w:w="11" w:type="dxa"/>
        </w:trPr>
        <w:tc>
          <w:tcPr>
            <w:tcW w:w="9966" w:type="dxa"/>
            <w:gridSpan w:val="2"/>
            <w:tcBorders>
              <w:bottom w:val="single" w:sz="4" w:space="0" w:color="auto"/>
            </w:tcBorders>
          </w:tcPr>
          <w:p w14:paraId="3EF68802" w14:textId="77777777" w:rsidR="006F76EB" w:rsidRPr="00834D52" w:rsidRDefault="006F76EB" w:rsidP="00E7523C">
            <w:pPr>
              <w:spacing w:after="120" w:line="360" w:lineRule="auto"/>
              <w:ind w:right="-31"/>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6A072593" w14:textId="77777777" w:rsidTr="00F71229">
        <w:trPr>
          <w:gridAfter w:val="1"/>
          <w:wAfter w:w="11" w:type="dxa"/>
        </w:trPr>
        <w:tc>
          <w:tcPr>
            <w:tcW w:w="1809" w:type="dxa"/>
            <w:tcBorders>
              <w:top w:val="single" w:sz="4" w:space="0" w:color="auto"/>
              <w:left w:val="nil"/>
              <w:bottom w:val="nil"/>
              <w:right w:val="nil"/>
            </w:tcBorders>
          </w:tcPr>
          <w:p w14:paraId="4DEA9250"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1.0.</w:t>
            </w:r>
          </w:p>
        </w:tc>
        <w:tc>
          <w:tcPr>
            <w:tcW w:w="8157" w:type="dxa"/>
            <w:tcBorders>
              <w:top w:val="single" w:sz="4" w:space="0" w:color="auto"/>
              <w:left w:val="nil"/>
              <w:bottom w:val="nil"/>
              <w:right w:val="nil"/>
            </w:tcBorders>
          </w:tcPr>
          <w:p w14:paraId="3AFBD42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Ուղեկցող նամակ (ինչպես ԸՏՓ-ում)</w:t>
            </w:r>
          </w:p>
        </w:tc>
      </w:tr>
      <w:tr w:rsidR="006F76EB" w:rsidRPr="00834D52" w14:paraId="7104D78E" w14:textId="77777777" w:rsidTr="00F71229">
        <w:trPr>
          <w:gridAfter w:val="1"/>
          <w:wAfter w:w="11" w:type="dxa"/>
        </w:trPr>
        <w:tc>
          <w:tcPr>
            <w:tcW w:w="1809" w:type="dxa"/>
            <w:tcBorders>
              <w:top w:val="nil"/>
              <w:left w:val="nil"/>
              <w:bottom w:val="nil"/>
              <w:right w:val="nil"/>
            </w:tcBorders>
          </w:tcPr>
          <w:p w14:paraId="2F395BD5"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1.1.</w:t>
            </w:r>
          </w:p>
        </w:tc>
        <w:tc>
          <w:tcPr>
            <w:tcW w:w="8157" w:type="dxa"/>
            <w:tcBorders>
              <w:top w:val="nil"/>
              <w:left w:val="nil"/>
              <w:bottom w:val="nil"/>
              <w:right w:val="nil"/>
            </w:tcBorders>
          </w:tcPr>
          <w:p w14:paraId="4684D5A4"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Բովանդակություն</w:t>
            </w:r>
          </w:p>
        </w:tc>
      </w:tr>
      <w:tr w:rsidR="006F76EB" w:rsidRPr="00834D52" w14:paraId="0518146E" w14:textId="77777777" w:rsidTr="00F71229">
        <w:trPr>
          <w:gridAfter w:val="1"/>
          <w:wAfter w:w="11" w:type="dxa"/>
        </w:trPr>
        <w:tc>
          <w:tcPr>
            <w:tcW w:w="1809" w:type="dxa"/>
            <w:tcBorders>
              <w:top w:val="nil"/>
              <w:left w:val="nil"/>
              <w:bottom w:val="nil"/>
              <w:right w:val="nil"/>
            </w:tcBorders>
          </w:tcPr>
          <w:p w14:paraId="61CE60C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w:t>
            </w:r>
          </w:p>
        </w:tc>
        <w:tc>
          <w:tcPr>
            <w:tcW w:w="8157" w:type="dxa"/>
            <w:tcBorders>
              <w:top w:val="nil"/>
              <w:left w:val="nil"/>
              <w:bottom w:val="nil"/>
              <w:right w:val="nil"/>
            </w:tcBorders>
          </w:tcPr>
          <w:p w14:paraId="4563148C"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Ընդհանուր փաստաթղթերը</w:t>
            </w:r>
          </w:p>
        </w:tc>
      </w:tr>
      <w:tr w:rsidR="006F76EB" w:rsidRPr="00834D52" w14:paraId="467CB38A" w14:textId="77777777" w:rsidTr="00F71229">
        <w:trPr>
          <w:gridAfter w:val="1"/>
          <w:wAfter w:w="11" w:type="dxa"/>
        </w:trPr>
        <w:tc>
          <w:tcPr>
            <w:tcW w:w="1809" w:type="dxa"/>
            <w:tcBorders>
              <w:top w:val="nil"/>
              <w:left w:val="nil"/>
              <w:bottom w:val="nil"/>
              <w:right w:val="nil"/>
            </w:tcBorders>
          </w:tcPr>
          <w:p w14:paraId="07D48413" w14:textId="77777777" w:rsidR="006F76EB" w:rsidRPr="00BC09C1" w:rsidRDefault="006F76EB" w:rsidP="00F71229">
            <w:pPr>
              <w:spacing w:after="160" w:line="360" w:lineRule="auto"/>
              <w:ind w:right="-6"/>
              <w:jc w:val="center"/>
              <w:rPr>
                <w:rFonts w:ascii="Sylfaen" w:eastAsia="Times New Roman" w:hAnsi="Sylfaen" w:cs="Times New Roman"/>
                <w:sz w:val="24"/>
                <w:szCs w:val="24"/>
                <w:lang w:val="en-US"/>
              </w:rPr>
            </w:pPr>
            <w:r w:rsidRPr="00834D52">
              <w:rPr>
                <w:rFonts w:ascii="Sylfaen" w:hAnsi="Sylfaen"/>
                <w:sz w:val="24"/>
                <w:szCs w:val="24"/>
              </w:rPr>
              <w:t>1.2.1.</w:t>
            </w:r>
          </w:p>
        </w:tc>
        <w:tc>
          <w:tcPr>
            <w:tcW w:w="8157" w:type="dxa"/>
            <w:tcBorders>
              <w:top w:val="nil"/>
              <w:left w:val="nil"/>
              <w:bottom w:val="nil"/>
              <w:right w:val="nil"/>
            </w:tcBorders>
          </w:tcPr>
          <w:p w14:paraId="7EDB84A5" w14:textId="76E04B8A"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Դեղապատրաստուկի գրանցման </w:t>
            </w:r>
            <w:r w:rsidR="0056496B">
              <w:rPr>
                <w:rFonts w:ascii="Sylfaen" w:hAnsi="Sylfaen"/>
                <w:sz w:val="24"/>
                <w:szCs w:val="24"/>
              </w:rPr>
              <w:t>դիմում</w:t>
            </w:r>
            <w:r w:rsidRPr="00834D52">
              <w:rPr>
                <w:rFonts w:ascii="Sylfaen" w:hAnsi="Sylfaen"/>
                <w:sz w:val="24"/>
                <w:szCs w:val="24"/>
              </w:rPr>
              <w:t>ը</w:t>
            </w:r>
          </w:p>
        </w:tc>
      </w:tr>
      <w:tr w:rsidR="006F76EB" w:rsidRPr="00834D52" w14:paraId="3EE582D0" w14:textId="77777777" w:rsidTr="00F71229">
        <w:trPr>
          <w:gridAfter w:val="1"/>
          <w:wAfter w:w="11" w:type="dxa"/>
        </w:trPr>
        <w:tc>
          <w:tcPr>
            <w:tcW w:w="1809" w:type="dxa"/>
            <w:tcBorders>
              <w:top w:val="nil"/>
              <w:left w:val="nil"/>
              <w:bottom w:val="nil"/>
              <w:right w:val="nil"/>
            </w:tcBorders>
          </w:tcPr>
          <w:p w14:paraId="390089E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1.2.2.</w:t>
            </w:r>
          </w:p>
        </w:tc>
        <w:tc>
          <w:tcPr>
            <w:tcW w:w="8157" w:type="dxa"/>
            <w:tcBorders>
              <w:top w:val="nil"/>
              <w:left w:val="nil"/>
              <w:bottom w:val="nil"/>
              <w:right w:val="nil"/>
            </w:tcBorders>
          </w:tcPr>
          <w:p w14:paraId="64B640E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փորձագիտական աշխատանքների վճարումը </w:t>
            </w:r>
            <w:r w:rsidR="00C54D75">
              <w:rPr>
                <w:rFonts w:ascii="Sylfaen" w:hAnsi="Sylfaen"/>
                <w:sz w:val="24"/>
                <w:szCs w:val="24"/>
              </w:rPr>
              <w:t>և</w:t>
            </w:r>
            <w:r w:rsidRPr="00834D52">
              <w:rPr>
                <w:rFonts w:ascii="Sylfaen" w:hAnsi="Sylfaen"/>
                <w:sz w:val="24"/>
                <w:szCs w:val="24"/>
              </w:rPr>
              <w:t xml:space="preserve"> (կամ) գրանցման վճարների (տուրքերի) վճարումը հաստատող փաստաթղթերը՝ Եվրասիական տնտեսական միության գրանցում իրականացնող անդամ պետության օրենսդրությանը համապատասխան սահմանված դեպքում </w:t>
            </w:r>
            <w:r w:rsidR="00C54D75">
              <w:rPr>
                <w:rFonts w:ascii="Sylfaen" w:hAnsi="Sylfaen"/>
                <w:sz w:val="24"/>
                <w:szCs w:val="24"/>
              </w:rPr>
              <w:t>և</w:t>
            </w:r>
            <w:r w:rsidRPr="00834D52">
              <w:rPr>
                <w:rFonts w:ascii="Sylfaen" w:hAnsi="Sylfaen"/>
                <w:sz w:val="24"/>
                <w:szCs w:val="24"/>
              </w:rPr>
              <w:t xml:space="preserve"> կարգով</w:t>
            </w:r>
            <w:r w:rsidRPr="00834D52">
              <w:rPr>
                <w:rStyle w:val="FootnoteReference"/>
                <w:rFonts w:ascii="Sylfaen" w:eastAsia="Times New Roman" w:hAnsi="Sylfaen" w:cs="Times New Roman"/>
                <w:sz w:val="24"/>
                <w:szCs w:val="24"/>
              </w:rPr>
              <w:sym w:font="Symbol" w:char="F02A"/>
            </w:r>
          </w:p>
        </w:tc>
      </w:tr>
      <w:tr w:rsidR="006F76EB" w:rsidRPr="00834D52" w14:paraId="36F367E3" w14:textId="77777777" w:rsidTr="00F71229">
        <w:trPr>
          <w:gridAfter w:val="1"/>
          <w:wAfter w:w="11" w:type="dxa"/>
        </w:trPr>
        <w:tc>
          <w:tcPr>
            <w:tcW w:w="1809" w:type="dxa"/>
            <w:tcBorders>
              <w:top w:val="nil"/>
              <w:left w:val="nil"/>
              <w:bottom w:val="nil"/>
              <w:right w:val="nil"/>
            </w:tcBorders>
          </w:tcPr>
          <w:p w14:paraId="05D840A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5"/>
              <w:t>1.2.3.</w:t>
            </w:r>
          </w:p>
        </w:tc>
        <w:tc>
          <w:tcPr>
            <w:tcW w:w="8157" w:type="dxa"/>
            <w:tcBorders>
              <w:top w:val="nil"/>
              <w:left w:val="nil"/>
              <w:bottom w:val="nil"/>
              <w:right w:val="nil"/>
            </w:tcBorders>
          </w:tcPr>
          <w:p w14:paraId="543601E4"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արտադրող երկրի լիազորված մարմնի կողմից տրված՝ դեղապատրաստուկի սերտիֆիկատի պատճենը (սահմանված կարգով վավերացված)` ըստ ԱՀԿ-ի կողմից առաջարկվող ձ</w:t>
            </w:r>
            <w:r w:rsidR="00C54D75">
              <w:rPr>
                <w:rFonts w:ascii="Sylfaen" w:hAnsi="Sylfaen"/>
                <w:sz w:val="24"/>
                <w:szCs w:val="24"/>
              </w:rPr>
              <w:t>և</w:t>
            </w:r>
            <w:r w:rsidRPr="00834D52">
              <w:rPr>
                <w:rFonts w:ascii="Sylfaen" w:hAnsi="Sylfaen"/>
                <w:sz w:val="24"/>
                <w:szCs w:val="24"/>
              </w:rPr>
              <w:t xml:space="preserve">աչափի: Այդպիսի սերտիֆիկատի բացակայության դեպքում ներկայացվում է արտադրող երկրում </w:t>
            </w:r>
            <w:r w:rsidR="00C54D75">
              <w:rPr>
                <w:rFonts w:ascii="Sylfaen" w:hAnsi="Sylfaen"/>
                <w:sz w:val="24"/>
                <w:szCs w:val="24"/>
              </w:rPr>
              <w:t>և</w:t>
            </w:r>
            <w:r w:rsidRPr="00834D52">
              <w:rPr>
                <w:rFonts w:ascii="Sylfaen" w:hAnsi="Sylfaen"/>
                <w:sz w:val="24"/>
                <w:szCs w:val="24"/>
              </w:rPr>
              <w:t xml:space="preserve"> (կամ) դեղապատրաստուկի գրանցման հավաստագրի իրավատեր երկրում գրանցումը հաստատող (սահմանված կարգով վավերացված) փաստաթուղթը (առկայության դեպքում)</w:t>
            </w:r>
          </w:p>
        </w:tc>
      </w:tr>
      <w:tr w:rsidR="006F76EB" w:rsidRPr="00834D52" w14:paraId="22EABCC6" w14:textId="77777777" w:rsidTr="00F71229">
        <w:trPr>
          <w:gridAfter w:val="1"/>
          <w:wAfter w:w="11" w:type="dxa"/>
        </w:trPr>
        <w:tc>
          <w:tcPr>
            <w:tcW w:w="1809" w:type="dxa"/>
            <w:tcBorders>
              <w:top w:val="nil"/>
              <w:left w:val="nil"/>
              <w:bottom w:val="nil"/>
              <w:right w:val="nil"/>
            </w:tcBorders>
          </w:tcPr>
          <w:p w14:paraId="32E54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1.2.4.</w:t>
            </w:r>
          </w:p>
        </w:tc>
        <w:tc>
          <w:tcPr>
            <w:tcW w:w="8157" w:type="dxa"/>
            <w:tcBorders>
              <w:top w:val="nil"/>
              <w:left w:val="nil"/>
              <w:bottom w:val="nil"/>
              <w:right w:val="nil"/>
            </w:tcBorders>
          </w:tcPr>
          <w:p w14:paraId="2070D010"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լիազորված մարմնի կողմից արտադրող երկրում կամ դեղապատրաստուկի գրանցման հավաստագրի (առկայության դեպքում) իրավատեր երկրում դեղապատրաստուկի գրանցման ժամանակ տրված փորձագիտական հաշվետվության ռուսերեն թարգմանությունը </w:t>
            </w:r>
            <w:r w:rsidR="00C54D75">
              <w:rPr>
                <w:rFonts w:ascii="Sylfaen" w:hAnsi="Sylfaen"/>
                <w:sz w:val="24"/>
                <w:szCs w:val="24"/>
              </w:rPr>
              <w:t>և</w:t>
            </w:r>
            <w:r w:rsidRPr="00834D52">
              <w:rPr>
                <w:rFonts w:ascii="Sylfaen" w:hAnsi="Sylfaen"/>
                <w:sz w:val="24"/>
                <w:szCs w:val="24"/>
              </w:rPr>
              <w:t xml:space="preserve"> սահմանված կարգով հաստատված պատճենը</w:t>
            </w:r>
          </w:p>
        </w:tc>
      </w:tr>
      <w:tr w:rsidR="006F76EB" w:rsidRPr="00834D52" w14:paraId="3283CEC4" w14:textId="77777777" w:rsidTr="00F71229">
        <w:trPr>
          <w:gridAfter w:val="1"/>
          <w:wAfter w:w="11" w:type="dxa"/>
        </w:trPr>
        <w:tc>
          <w:tcPr>
            <w:tcW w:w="1809" w:type="dxa"/>
            <w:tcBorders>
              <w:top w:val="nil"/>
              <w:left w:val="nil"/>
              <w:bottom w:val="nil"/>
              <w:right w:val="nil"/>
            </w:tcBorders>
          </w:tcPr>
          <w:p w14:paraId="2258AB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1.2.5.</w:t>
            </w:r>
          </w:p>
        </w:tc>
        <w:tc>
          <w:tcPr>
            <w:tcW w:w="8157" w:type="dxa"/>
            <w:tcBorders>
              <w:top w:val="nil"/>
              <w:left w:val="nil"/>
              <w:bottom w:val="nil"/>
              <w:right w:val="nil"/>
            </w:tcBorders>
          </w:tcPr>
          <w:p w14:paraId="3EC8A58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անդամ պետության լիազորված մարմնի (լիազորված կազմակերպության) եզրակացությունը (առաջարկությունը) Եվրասիական տնտեսական միության անդամ պետությունում տվյալ դեղապատրաստուկի վերաբերյալ նախնական գիտական խորհրդատվության արդյունքներով (առկայության դեպքում)</w:t>
            </w:r>
          </w:p>
        </w:tc>
      </w:tr>
      <w:tr w:rsidR="006F76EB" w:rsidRPr="00834D52" w14:paraId="5C59867B" w14:textId="77777777" w:rsidTr="00F71229">
        <w:trPr>
          <w:gridAfter w:val="1"/>
          <w:wAfter w:w="11" w:type="dxa"/>
        </w:trPr>
        <w:tc>
          <w:tcPr>
            <w:tcW w:w="1809" w:type="dxa"/>
            <w:tcBorders>
              <w:top w:val="nil"/>
              <w:left w:val="nil"/>
              <w:bottom w:val="nil"/>
              <w:right w:val="nil"/>
            </w:tcBorders>
          </w:tcPr>
          <w:p w14:paraId="05A0060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1.2.6.</w:t>
            </w:r>
          </w:p>
        </w:tc>
        <w:tc>
          <w:tcPr>
            <w:tcW w:w="8157" w:type="dxa"/>
            <w:tcBorders>
              <w:top w:val="nil"/>
              <w:left w:val="nil"/>
              <w:bottom w:val="nil"/>
              <w:right w:val="nil"/>
            </w:tcBorders>
          </w:tcPr>
          <w:p w14:paraId="6714FA2F" w14:textId="77777777"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Եվրասիական տնտեսական հանձնաժողովին կից գործող դեղամիջոցների հարցերով փորձագիտական կոմիտեի առաջարկությունը՝ ըստ տվյալ դեղապատրաստուկի վերաբերյալ նախնական գիտական խորհրդատվության արդյունքների (առկայության դեպքում)</w:t>
            </w:r>
          </w:p>
          <w:p w14:paraId="2ACED8A2"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7AA5DF0" w14:textId="77777777" w:rsidTr="00F71229">
        <w:trPr>
          <w:gridAfter w:val="1"/>
          <w:wAfter w:w="11" w:type="dxa"/>
        </w:trPr>
        <w:tc>
          <w:tcPr>
            <w:tcW w:w="1809" w:type="dxa"/>
            <w:tcBorders>
              <w:top w:val="nil"/>
              <w:left w:val="nil"/>
              <w:bottom w:val="nil"/>
              <w:right w:val="nil"/>
            </w:tcBorders>
          </w:tcPr>
          <w:p w14:paraId="71890F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1.3.</w:t>
            </w:r>
          </w:p>
        </w:tc>
        <w:tc>
          <w:tcPr>
            <w:tcW w:w="8157" w:type="dxa"/>
            <w:tcBorders>
              <w:top w:val="nil"/>
              <w:left w:val="nil"/>
              <w:bottom w:val="nil"/>
              <w:right w:val="nil"/>
            </w:tcBorders>
          </w:tcPr>
          <w:p w14:paraId="3220996B"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բնութագիրը, բժշկական կիրառման հրահանգը (ներդիր թերթիկը), մականշվածքը՝</w:t>
            </w:r>
          </w:p>
        </w:tc>
      </w:tr>
      <w:tr w:rsidR="006F76EB" w:rsidRPr="00834D52" w14:paraId="0E7DFC68" w14:textId="77777777" w:rsidTr="00F71229">
        <w:trPr>
          <w:gridAfter w:val="1"/>
          <w:wAfter w:w="11" w:type="dxa"/>
        </w:trPr>
        <w:tc>
          <w:tcPr>
            <w:tcW w:w="1809" w:type="dxa"/>
            <w:tcBorders>
              <w:top w:val="nil"/>
              <w:left w:val="nil"/>
              <w:bottom w:val="nil"/>
              <w:right w:val="nil"/>
            </w:tcBorders>
          </w:tcPr>
          <w:p w14:paraId="4DE27F4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1.3.1.</w:t>
            </w:r>
          </w:p>
        </w:tc>
        <w:tc>
          <w:tcPr>
            <w:tcW w:w="8157" w:type="dxa"/>
            <w:tcBorders>
              <w:top w:val="nil"/>
              <w:left w:val="nil"/>
              <w:bottom w:val="nil"/>
              <w:right w:val="nil"/>
            </w:tcBorders>
          </w:tcPr>
          <w:p w14:paraId="05399E63"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ընդհանուր բնութագրի նախագծերը, բժշկական կիրառման հրահանգը (ներդիր թերթիկը), որոնք կազմվել են Եվրասիական տնտեսական միության մարմինների ակտերի պահանջներին համապատասխան՝ ռուսերեն լեզվով</w:t>
            </w:r>
          </w:p>
        </w:tc>
      </w:tr>
      <w:tr w:rsidR="006F76EB" w:rsidRPr="00834D52" w14:paraId="626863E2" w14:textId="77777777" w:rsidTr="00F71229">
        <w:trPr>
          <w:gridAfter w:val="1"/>
          <w:wAfter w:w="11" w:type="dxa"/>
        </w:trPr>
        <w:tc>
          <w:tcPr>
            <w:tcW w:w="1809" w:type="dxa"/>
            <w:tcBorders>
              <w:top w:val="nil"/>
              <w:left w:val="nil"/>
              <w:bottom w:val="nil"/>
              <w:right w:val="nil"/>
            </w:tcBorders>
          </w:tcPr>
          <w:p w14:paraId="1248DD5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1.3.2.</w:t>
            </w:r>
          </w:p>
        </w:tc>
        <w:tc>
          <w:tcPr>
            <w:tcW w:w="8157" w:type="dxa"/>
            <w:tcBorders>
              <w:top w:val="nil"/>
              <w:left w:val="nil"/>
              <w:bottom w:val="nil"/>
              <w:right w:val="nil"/>
            </w:tcBorders>
          </w:tcPr>
          <w:p w14:paraId="106088A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առաջնային (ներքին) </w:t>
            </w:r>
            <w:r w:rsidR="00C54D75">
              <w:rPr>
                <w:rFonts w:ascii="Sylfaen" w:hAnsi="Sylfaen"/>
                <w:sz w:val="24"/>
                <w:szCs w:val="24"/>
              </w:rPr>
              <w:t>և</w:t>
            </w:r>
            <w:r w:rsidRPr="00834D52">
              <w:rPr>
                <w:rFonts w:ascii="Sylfaen" w:hAnsi="Sylfaen"/>
                <w:sz w:val="24"/>
                <w:szCs w:val="24"/>
              </w:rPr>
              <w:t xml:space="preserve"> երկրորդային (սպառողական) միջանկյալ փաթեթվածքների մակետները, որոնք պատրաստվել են Եվրասիական տնտեսական միության մարմինների ակտերի պահանջներին համապատասխան՝ ռուսերեն լեզվով: Միջանկյալ փաթեթվածքի, պիտակների, սթիքերների մակետները ներկայացվում են առկայության դեպքում</w:t>
            </w:r>
          </w:p>
        </w:tc>
      </w:tr>
      <w:tr w:rsidR="006F76EB" w:rsidRPr="00834D52" w14:paraId="07661501" w14:textId="77777777" w:rsidTr="00F71229">
        <w:trPr>
          <w:gridAfter w:val="1"/>
          <w:wAfter w:w="11" w:type="dxa"/>
        </w:trPr>
        <w:tc>
          <w:tcPr>
            <w:tcW w:w="1809" w:type="dxa"/>
            <w:tcBorders>
              <w:top w:val="nil"/>
              <w:left w:val="nil"/>
              <w:bottom w:val="nil"/>
              <w:right w:val="nil"/>
            </w:tcBorders>
          </w:tcPr>
          <w:p w14:paraId="59CCCBC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1.3.3.</w:t>
            </w:r>
          </w:p>
        </w:tc>
        <w:tc>
          <w:tcPr>
            <w:tcW w:w="8157" w:type="dxa"/>
            <w:tcBorders>
              <w:top w:val="nil"/>
              <w:left w:val="nil"/>
              <w:bottom w:val="nil"/>
              <w:right w:val="nil"/>
            </w:tcBorders>
          </w:tcPr>
          <w:p w14:paraId="20B2D36F" w14:textId="77777777" w:rsidR="006F76EB" w:rsidRPr="00834D52" w:rsidRDefault="006F76EB" w:rsidP="00377927">
            <w:pPr>
              <w:spacing w:after="160" w:line="360" w:lineRule="auto"/>
              <w:ind w:right="111"/>
              <w:rPr>
                <w:rFonts w:ascii="Sylfaen" w:eastAsia="Times New Roman" w:hAnsi="Sylfaen" w:cs="Times New Roman"/>
                <w:sz w:val="24"/>
                <w:szCs w:val="24"/>
              </w:rPr>
            </w:pPr>
            <w:r w:rsidRPr="00834D52">
              <w:rPr>
                <w:rFonts w:ascii="Sylfaen" w:hAnsi="Sylfaen"/>
                <w:sz w:val="24"/>
                <w:szCs w:val="24"/>
              </w:rPr>
              <w:t>բժշկական կիրառման հրահանգի (ներդիր թերթիկի) տեքստը օգտագործողների թեստավորման արդյունքները (</w:t>
            </w:r>
            <w:r w:rsidR="00377927">
              <w:rPr>
                <w:rFonts w:ascii="Sylfaen" w:hAnsi="Sylfaen"/>
                <w:sz w:val="24"/>
                <w:szCs w:val="24"/>
              </w:rPr>
              <w:t>առկայության դեպքում</w:t>
            </w:r>
            <w:r w:rsidRPr="00834D52">
              <w:rPr>
                <w:rFonts w:ascii="Sylfaen" w:hAnsi="Sylfaen"/>
                <w:sz w:val="24"/>
                <w:szCs w:val="24"/>
              </w:rPr>
              <w:t>)</w:t>
            </w:r>
          </w:p>
        </w:tc>
      </w:tr>
      <w:tr w:rsidR="006F76EB" w:rsidRPr="00834D52" w14:paraId="4AEB8519" w14:textId="77777777" w:rsidTr="00F71229">
        <w:trPr>
          <w:gridAfter w:val="1"/>
          <w:wAfter w:w="11" w:type="dxa"/>
        </w:trPr>
        <w:tc>
          <w:tcPr>
            <w:tcW w:w="1809" w:type="dxa"/>
            <w:tcBorders>
              <w:top w:val="nil"/>
              <w:left w:val="nil"/>
              <w:bottom w:val="nil"/>
              <w:right w:val="nil"/>
            </w:tcBorders>
          </w:tcPr>
          <w:p w14:paraId="72408C5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1.3.4.</w:t>
            </w:r>
          </w:p>
        </w:tc>
        <w:tc>
          <w:tcPr>
            <w:tcW w:w="8157" w:type="dxa"/>
            <w:tcBorders>
              <w:top w:val="nil"/>
              <w:left w:val="nil"/>
              <w:bottom w:val="nil"/>
              <w:right w:val="nil"/>
            </w:tcBorders>
          </w:tcPr>
          <w:p w14:paraId="3155FD84"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դեղապատրաստուկի ընդհանուր բնութագրի՝ իրավատիրոջ կողմից վավերացված գրանցման հավաստագրի պատճենները՝ վերջին վերանայման ամսաթվով, բժշկական կիրառման հրահանգը (ներդիր թերթիկը), որը հաստատվել է արտադրող երկրի, գրանցման հավաստագրի իրավատեր երկրի </w:t>
            </w:r>
            <w:r w:rsidR="00C54D75">
              <w:rPr>
                <w:rFonts w:ascii="Sylfaen" w:hAnsi="Sylfaen"/>
                <w:spacing w:val="4"/>
                <w:sz w:val="24"/>
                <w:szCs w:val="24"/>
              </w:rPr>
              <w:t>և</w:t>
            </w:r>
            <w:r w:rsidRPr="00834D52">
              <w:rPr>
                <w:rFonts w:ascii="Sylfaen" w:hAnsi="Sylfaen"/>
                <w:spacing w:val="4"/>
                <w:sz w:val="24"/>
                <w:szCs w:val="24"/>
              </w:rPr>
              <w:t xml:space="preserve"> (կամ) լավ կարգավորվող դեղագործական շուկա ունեցող մեկ այլ երկրի լիազորված մարմնի կողմից, որտեղ գրանցված է դեղապատրաստուկը (առկայության դեպքում)</w:t>
            </w:r>
          </w:p>
        </w:tc>
      </w:tr>
      <w:tr w:rsidR="006F76EB" w:rsidRPr="00834D52" w14:paraId="3FDEBA28" w14:textId="77777777" w:rsidTr="00F71229">
        <w:trPr>
          <w:gridAfter w:val="1"/>
          <w:wAfter w:w="11" w:type="dxa"/>
        </w:trPr>
        <w:tc>
          <w:tcPr>
            <w:tcW w:w="1809" w:type="dxa"/>
            <w:tcBorders>
              <w:top w:val="nil"/>
              <w:left w:val="nil"/>
              <w:bottom w:val="nil"/>
              <w:right w:val="nil"/>
            </w:tcBorders>
          </w:tcPr>
          <w:p w14:paraId="485DE93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1.4.</w:t>
            </w:r>
          </w:p>
        </w:tc>
        <w:tc>
          <w:tcPr>
            <w:tcW w:w="8157" w:type="dxa"/>
            <w:tcBorders>
              <w:top w:val="nil"/>
              <w:left w:val="nil"/>
              <w:bottom w:val="nil"/>
              <w:right w:val="nil"/>
            </w:tcBorders>
          </w:tcPr>
          <w:p w14:paraId="55C9F5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Այլ երկրներում դեղապատրաստուկի կարգավորման կարգավիճակի մասին տեղեկատվությունը (առկայության դեպքում)</w:t>
            </w:r>
          </w:p>
        </w:tc>
      </w:tr>
      <w:tr w:rsidR="006F76EB" w:rsidRPr="00834D52" w14:paraId="32E67A55" w14:textId="77777777" w:rsidTr="00F71229">
        <w:trPr>
          <w:gridAfter w:val="1"/>
          <w:wAfter w:w="11" w:type="dxa"/>
        </w:trPr>
        <w:tc>
          <w:tcPr>
            <w:tcW w:w="1809" w:type="dxa"/>
            <w:tcBorders>
              <w:top w:val="nil"/>
              <w:left w:val="nil"/>
              <w:bottom w:val="nil"/>
              <w:right w:val="nil"/>
            </w:tcBorders>
          </w:tcPr>
          <w:p w14:paraId="5E985B6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1.4.1.</w:t>
            </w:r>
          </w:p>
        </w:tc>
        <w:tc>
          <w:tcPr>
            <w:tcW w:w="8157" w:type="dxa"/>
            <w:tcBorders>
              <w:top w:val="nil"/>
              <w:left w:val="nil"/>
              <w:bottom w:val="nil"/>
              <w:right w:val="nil"/>
            </w:tcBorders>
          </w:tcPr>
          <w:p w14:paraId="15F6AA0D"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Այն երկրների ցանկը, որտեղ դեղապատրաստուկը ներկայացվել է գրանցման, գրանցվել է, գրանցման մերժում է ստացել կամ որոնց շուկայում դրա շրջանառությունը կասեցվել է` նշելով դեղապատրաստուկի անվանումը, գրանցման հավաստագրի համարը </w:t>
            </w:r>
            <w:r w:rsidR="00C54D75">
              <w:rPr>
                <w:rFonts w:ascii="Sylfaen" w:hAnsi="Sylfaen"/>
                <w:sz w:val="24"/>
                <w:szCs w:val="24"/>
              </w:rPr>
              <w:t>և</w:t>
            </w:r>
            <w:r w:rsidRPr="00834D52">
              <w:rPr>
                <w:rFonts w:ascii="Sylfaen" w:hAnsi="Sylfaen"/>
                <w:sz w:val="24"/>
                <w:szCs w:val="24"/>
              </w:rPr>
              <w:t xml:space="preserve"> ամսաթիվը, դրա գործողության ժամկետը կամ գրանցումը մերժելու մասին որոշում կայացնելու, գրանցման հավաստագրի գործողությունը կասեցնելու ամսաթիվը: Ներկայացվող տեղեկատվությունը պետք է վավերացվի գրանցման հավաստագրի իրավատիրոջ կողմից</w:t>
            </w:r>
          </w:p>
        </w:tc>
      </w:tr>
      <w:tr w:rsidR="006F76EB" w:rsidRPr="00834D52" w14:paraId="3A41EDAB" w14:textId="77777777" w:rsidTr="00F71229">
        <w:trPr>
          <w:gridAfter w:val="1"/>
          <w:wAfter w:w="11" w:type="dxa"/>
        </w:trPr>
        <w:tc>
          <w:tcPr>
            <w:tcW w:w="1809" w:type="dxa"/>
            <w:tcBorders>
              <w:top w:val="nil"/>
              <w:left w:val="nil"/>
              <w:bottom w:val="nil"/>
              <w:right w:val="nil"/>
            </w:tcBorders>
          </w:tcPr>
          <w:p w14:paraId="4EEFDEE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w:t>
            </w:r>
          </w:p>
        </w:tc>
        <w:tc>
          <w:tcPr>
            <w:tcW w:w="8157" w:type="dxa"/>
            <w:tcBorders>
              <w:top w:val="nil"/>
              <w:left w:val="nil"/>
              <w:bottom w:val="nil"/>
              <w:right w:val="nil"/>
            </w:tcBorders>
          </w:tcPr>
          <w:p w14:paraId="63471D7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փաստաթղթերը</w:t>
            </w:r>
          </w:p>
        </w:tc>
      </w:tr>
      <w:tr w:rsidR="006F76EB" w:rsidRPr="00834D52" w14:paraId="79194A9A" w14:textId="77777777" w:rsidTr="00F71229">
        <w:trPr>
          <w:gridAfter w:val="1"/>
          <w:wAfter w:w="11" w:type="dxa"/>
        </w:trPr>
        <w:tc>
          <w:tcPr>
            <w:tcW w:w="1809" w:type="dxa"/>
            <w:tcBorders>
              <w:top w:val="nil"/>
              <w:left w:val="nil"/>
              <w:bottom w:val="nil"/>
              <w:right w:val="nil"/>
            </w:tcBorders>
          </w:tcPr>
          <w:p w14:paraId="0E477C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1.5.1.</w:t>
            </w:r>
          </w:p>
        </w:tc>
        <w:tc>
          <w:tcPr>
            <w:tcW w:w="8157" w:type="dxa"/>
            <w:tcBorders>
              <w:top w:val="nil"/>
              <w:left w:val="nil"/>
              <w:bottom w:val="nil"/>
              <w:right w:val="nil"/>
            </w:tcBorders>
          </w:tcPr>
          <w:p w14:paraId="67851F93" w14:textId="77777777" w:rsidR="006F76EB" w:rsidRPr="00834D52" w:rsidRDefault="006F76EB" w:rsidP="00CE6A25">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Եվրասիական տնտեսական միության դեղագրքի հոդվածին կամ սպունգանման էնցեֆալոպատիայի մասով Եվրոպական դեղագրքին համապատասխանության սերտիֆիկատը կամ կենդանական ծագման դեղագործական բաղադրամասի օգտագործման դեպքում հումքի ծագման երկրի անասնաբուժական վերահսկողություն իրականացնող լիազորված մարմինների կողմից տրված փաստաթուղթը (</w:t>
            </w:r>
            <w:r w:rsidR="00DC3B8B">
              <w:rPr>
                <w:rFonts w:ascii="Sylfaen" w:hAnsi="Sylfaen"/>
                <w:sz w:val="24"/>
                <w:szCs w:val="24"/>
              </w:rPr>
              <w:t>եթե</w:t>
            </w:r>
            <w:r w:rsidR="00CE6A25" w:rsidRPr="00CE6A25">
              <w:rPr>
                <w:rFonts w:ascii="Sylfaen" w:hAnsi="Sylfaen"/>
                <w:sz w:val="24"/>
                <w:szCs w:val="24"/>
              </w:rPr>
              <w:t> </w:t>
            </w:r>
            <w:r w:rsidR="00DC3B8B">
              <w:rPr>
                <w:rFonts w:ascii="Sylfaen" w:hAnsi="Sylfaen"/>
                <w:sz w:val="24"/>
                <w:szCs w:val="24"/>
              </w:rPr>
              <w:t>կիրառելի է</w:t>
            </w:r>
            <w:r w:rsidRPr="00834D52">
              <w:rPr>
                <w:rFonts w:ascii="Sylfaen" w:hAnsi="Sylfaen"/>
                <w:sz w:val="24"/>
                <w:szCs w:val="24"/>
              </w:rPr>
              <w:t>)</w:t>
            </w:r>
          </w:p>
        </w:tc>
      </w:tr>
      <w:tr w:rsidR="006F76EB" w:rsidRPr="00834D52" w14:paraId="37BB885F" w14:textId="77777777" w:rsidTr="00F71229">
        <w:trPr>
          <w:gridAfter w:val="1"/>
          <w:wAfter w:w="11" w:type="dxa"/>
        </w:trPr>
        <w:tc>
          <w:tcPr>
            <w:tcW w:w="1809" w:type="dxa"/>
            <w:tcBorders>
              <w:top w:val="nil"/>
              <w:left w:val="nil"/>
              <w:bottom w:val="nil"/>
              <w:right w:val="nil"/>
            </w:tcBorders>
          </w:tcPr>
          <w:p w14:paraId="5A4FEDF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1.5.2.</w:t>
            </w:r>
          </w:p>
        </w:tc>
        <w:tc>
          <w:tcPr>
            <w:tcW w:w="8157" w:type="dxa"/>
            <w:tcBorders>
              <w:top w:val="nil"/>
              <w:left w:val="nil"/>
              <w:bottom w:val="nil"/>
              <w:right w:val="nil"/>
            </w:tcBorders>
          </w:tcPr>
          <w:p w14:paraId="47698FB9" w14:textId="77777777" w:rsidR="006F76EB" w:rsidRPr="00834D52" w:rsidRDefault="006F76EB" w:rsidP="0004184B">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 xml:space="preserve">ակտիվ դեղագործական բաղադրամասի մաստեր-ֆայլի իրավատիրոջ նամակը՝ դեղապատրաստուկի արտադրողին </w:t>
            </w:r>
            <w:r w:rsidR="00C54D75">
              <w:rPr>
                <w:rFonts w:ascii="Sylfaen" w:hAnsi="Sylfaen"/>
                <w:spacing w:val="-4"/>
                <w:sz w:val="24"/>
                <w:szCs w:val="24"/>
              </w:rPr>
              <w:t>և</w:t>
            </w:r>
            <w:r w:rsidRPr="00834D52">
              <w:rPr>
                <w:rFonts w:ascii="Sylfaen" w:hAnsi="Sylfaen"/>
                <w:spacing w:val="-4"/>
                <w:sz w:val="24"/>
                <w:szCs w:val="24"/>
              </w:rPr>
              <w:t xml:space="preserve"> Եվրասիական տնտեսական միության անդամ պետության լիազորված մարմնին նախքան դեղագործական բաղադրամասի մաստեր-ֆայլում որ</w:t>
            </w:r>
            <w:r w:rsidR="00C54D75">
              <w:rPr>
                <w:rFonts w:ascii="Sylfaen" w:hAnsi="Sylfaen"/>
                <w:spacing w:val="-4"/>
                <w:sz w:val="24"/>
                <w:szCs w:val="24"/>
              </w:rPr>
              <w:t>և</w:t>
            </w:r>
            <w:r w:rsidRPr="00834D52">
              <w:rPr>
                <w:rFonts w:ascii="Sylfaen" w:hAnsi="Sylfaen"/>
                <w:spacing w:val="-4"/>
                <w:sz w:val="24"/>
                <w:szCs w:val="24"/>
              </w:rPr>
              <w:t>է էական փոփոխություն մտցնելը բոլոր փոփոխությունների մասին հաղորդելու պարտավորությամբ (որակի հարցերով լիազորված մարմնի ստորագրությամբ նամակի</w:t>
            </w:r>
            <w:r w:rsidR="003052D3">
              <w:rPr>
                <w:rFonts w:ascii="Sylfaen" w:hAnsi="Sylfaen"/>
                <w:spacing w:val="-4"/>
                <w:sz w:val="24"/>
                <w:szCs w:val="24"/>
              </w:rPr>
              <w:t>՝ նոտարական կարգով վավերացված պատճենը</w:t>
            </w:r>
            <w:r w:rsidRPr="00834D52">
              <w:rPr>
                <w:rFonts w:ascii="Sylfaen" w:hAnsi="Sylfaen"/>
                <w:spacing w:val="-4"/>
                <w:sz w:val="24"/>
                <w:szCs w:val="24"/>
              </w:rPr>
              <w:t>` թարգմանությա</w:t>
            </w:r>
            <w:r w:rsidR="0004184B">
              <w:rPr>
                <w:rFonts w:ascii="Sylfaen" w:hAnsi="Sylfaen"/>
                <w:spacing w:val="-4"/>
                <w:sz w:val="24"/>
                <w:szCs w:val="24"/>
              </w:rPr>
              <w:t>մբ</w:t>
            </w:r>
            <w:r w:rsidRPr="00834D52">
              <w:rPr>
                <w:rFonts w:ascii="Sylfaen" w:hAnsi="Sylfaen"/>
                <w:spacing w:val="-4"/>
                <w:sz w:val="24"/>
                <w:szCs w:val="24"/>
              </w:rPr>
              <w:t>)</w:t>
            </w:r>
          </w:p>
        </w:tc>
      </w:tr>
      <w:tr w:rsidR="006F76EB" w:rsidRPr="00834D52" w14:paraId="5FB1F01E" w14:textId="77777777" w:rsidTr="00F71229">
        <w:trPr>
          <w:gridAfter w:val="1"/>
          <w:wAfter w:w="11" w:type="dxa"/>
        </w:trPr>
        <w:tc>
          <w:tcPr>
            <w:tcW w:w="1809" w:type="dxa"/>
            <w:tcBorders>
              <w:top w:val="nil"/>
              <w:left w:val="nil"/>
              <w:bottom w:val="nil"/>
              <w:right w:val="nil"/>
            </w:tcBorders>
          </w:tcPr>
          <w:p w14:paraId="306B680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1.5.3.</w:t>
            </w:r>
          </w:p>
        </w:tc>
        <w:tc>
          <w:tcPr>
            <w:tcW w:w="8157" w:type="dxa"/>
            <w:tcBorders>
              <w:top w:val="nil"/>
              <w:left w:val="nil"/>
              <w:bottom w:val="nil"/>
              <w:right w:val="nil"/>
            </w:tcBorders>
          </w:tcPr>
          <w:p w14:paraId="23827AE9"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դեղագործական բաղադրամասի մաստեր-ֆայլի իրավատիրոջ` դեղագործական բաղադրամասի մաստեր-ֆայլի փակ մասի փաստաթղթերը Եվրասիական տնտեսական միության անդամ </w:t>
            </w:r>
            <w:r w:rsidRPr="00834D52">
              <w:rPr>
                <w:rFonts w:ascii="Sylfaen" w:hAnsi="Sylfaen"/>
                <w:sz w:val="24"/>
                <w:szCs w:val="24"/>
              </w:rPr>
              <w:lastRenderedPageBreak/>
              <w:t>պետության լիազորված մարմնի հարցմամբ ներկայացնելու համաձայնությունը հաստատող նամակը</w:t>
            </w:r>
          </w:p>
        </w:tc>
      </w:tr>
      <w:tr w:rsidR="006F76EB" w:rsidRPr="00834D52" w14:paraId="15CC2435" w14:textId="77777777" w:rsidTr="00F71229">
        <w:trPr>
          <w:gridAfter w:val="1"/>
          <w:wAfter w:w="11" w:type="dxa"/>
        </w:trPr>
        <w:tc>
          <w:tcPr>
            <w:tcW w:w="1809" w:type="dxa"/>
            <w:tcBorders>
              <w:top w:val="nil"/>
              <w:left w:val="nil"/>
              <w:bottom w:val="nil"/>
              <w:right w:val="nil"/>
            </w:tcBorders>
          </w:tcPr>
          <w:p w14:paraId="4855A6E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1.5.4.</w:t>
            </w:r>
          </w:p>
        </w:tc>
        <w:tc>
          <w:tcPr>
            <w:tcW w:w="8157" w:type="dxa"/>
            <w:tcBorders>
              <w:top w:val="nil"/>
              <w:left w:val="nil"/>
              <w:bottom w:val="nil"/>
              <w:right w:val="nil"/>
            </w:tcBorders>
          </w:tcPr>
          <w:p w14:paraId="18F1F837"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Եվրոպական դեղագրքի պահանջներին դեղագործական բաղադրամասի համապատասխանության սերտիֆիկատի պատճենը (առկայության դեպքում)</w:t>
            </w:r>
          </w:p>
        </w:tc>
      </w:tr>
      <w:tr w:rsidR="006F76EB" w:rsidRPr="00834D52" w14:paraId="0B67AB47" w14:textId="77777777" w:rsidTr="00F71229">
        <w:trPr>
          <w:gridAfter w:val="1"/>
          <w:wAfter w:w="11" w:type="dxa"/>
        </w:trPr>
        <w:tc>
          <w:tcPr>
            <w:tcW w:w="1809" w:type="dxa"/>
            <w:tcBorders>
              <w:top w:val="nil"/>
              <w:left w:val="nil"/>
              <w:bottom w:val="nil"/>
              <w:right w:val="nil"/>
            </w:tcBorders>
          </w:tcPr>
          <w:p w14:paraId="5395D10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1.5.5.</w:t>
            </w:r>
          </w:p>
        </w:tc>
        <w:tc>
          <w:tcPr>
            <w:tcW w:w="8157" w:type="dxa"/>
            <w:tcBorders>
              <w:top w:val="nil"/>
              <w:left w:val="nil"/>
              <w:bottom w:val="nil"/>
              <w:right w:val="nil"/>
            </w:tcBorders>
          </w:tcPr>
          <w:p w14:paraId="358005B4" w14:textId="77777777"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պլազմայի մաստեր-ֆայլի սերտիֆիկատի պատճենը, որը տրվել է արտադրող երկրի լիազորված մարմնի կողմից (առկայության դեպքում)</w:t>
            </w:r>
          </w:p>
        </w:tc>
      </w:tr>
      <w:tr w:rsidR="006F76EB" w:rsidRPr="00834D52" w14:paraId="5E27FBD0" w14:textId="77777777" w:rsidTr="00F71229">
        <w:trPr>
          <w:gridAfter w:val="1"/>
          <w:wAfter w:w="11" w:type="dxa"/>
        </w:trPr>
        <w:tc>
          <w:tcPr>
            <w:tcW w:w="1809" w:type="dxa"/>
            <w:tcBorders>
              <w:top w:val="nil"/>
              <w:left w:val="nil"/>
              <w:bottom w:val="nil"/>
              <w:right w:val="nil"/>
            </w:tcBorders>
          </w:tcPr>
          <w:p w14:paraId="2F8ECEB1" w14:textId="77777777" w:rsidR="006F76EB" w:rsidRDefault="006F76EB" w:rsidP="00F71229">
            <w:pPr>
              <w:spacing w:after="160" w:line="360" w:lineRule="auto"/>
              <w:ind w:right="-6"/>
              <w:jc w:val="center"/>
              <w:rPr>
                <w:rFonts w:ascii="Sylfaen" w:hAnsi="Sylfaen"/>
                <w:sz w:val="24"/>
                <w:szCs w:val="24"/>
              </w:rPr>
            </w:pPr>
            <w:r w:rsidRPr="00834D52">
              <w:rPr>
                <w:rFonts w:ascii="Sylfaen" w:hAnsi="Sylfaen"/>
                <w:sz w:val="24"/>
                <w:szCs w:val="24"/>
              </w:rPr>
              <w:t>1.5.6.</w:t>
            </w:r>
          </w:p>
          <w:p w14:paraId="46298805" w14:textId="77777777" w:rsidR="00AB17F6" w:rsidRDefault="00AB17F6" w:rsidP="00F71229">
            <w:pPr>
              <w:spacing w:after="160" w:line="360" w:lineRule="auto"/>
              <w:ind w:right="-6"/>
              <w:jc w:val="center"/>
              <w:rPr>
                <w:rFonts w:ascii="Sylfaen" w:eastAsia="Times New Roman" w:hAnsi="Sylfaen" w:cs="Times New Roman"/>
                <w:sz w:val="24"/>
                <w:szCs w:val="24"/>
              </w:rPr>
            </w:pPr>
          </w:p>
          <w:p w14:paraId="2BC7BC18" w14:textId="448D3D9C" w:rsidR="00AB17F6" w:rsidRDefault="00AB17F6" w:rsidP="00F71229">
            <w:pPr>
              <w:spacing w:after="160" w:line="360" w:lineRule="auto"/>
              <w:ind w:right="-6"/>
              <w:jc w:val="center"/>
              <w:rPr>
                <w:rFonts w:ascii="Sylfaen" w:eastAsia="Times New Roman" w:hAnsi="Sylfaen" w:cs="Times New Roman"/>
                <w:sz w:val="24"/>
                <w:szCs w:val="24"/>
              </w:rPr>
            </w:pPr>
            <w:r w:rsidRPr="00AB17F6">
              <w:rPr>
                <w:rFonts w:ascii="Sylfaen" w:eastAsia="Times New Roman" w:hAnsi="Sylfaen" w:cs="Times New Roman"/>
                <w:sz w:val="24"/>
                <w:szCs w:val="24"/>
              </w:rPr>
              <w:t>1.5.7.</w:t>
            </w:r>
          </w:p>
          <w:p w14:paraId="232270F3" w14:textId="4254016E" w:rsidR="00AB17F6" w:rsidRPr="00834D52" w:rsidRDefault="00AB17F6" w:rsidP="00F71229">
            <w:pPr>
              <w:spacing w:after="160" w:line="360" w:lineRule="auto"/>
              <w:ind w:right="-6"/>
              <w:jc w:val="center"/>
              <w:rPr>
                <w:rFonts w:ascii="Sylfaen" w:eastAsia="Times New Roman" w:hAnsi="Sylfaen" w:cs="Times New Roman"/>
                <w:sz w:val="24"/>
                <w:szCs w:val="24"/>
              </w:rPr>
            </w:pPr>
          </w:p>
        </w:tc>
        <w:tc>
          <w:tcPr>
            <w:tcW w:w="8157" w:type="dxa"/>
            <w:tcBorders>
              <w:top w:val="nil"/>
              <w:left w:val="nil"/>
              <w:bottom w:val="nil"/>
              <w:right w:val="nil"/>
            </w:tcBorders>
          </w:tcPr>
          <w:p w14:paraId="679A875B" w14:textId="2E479469" w:rsidR="006F76EB" w:rsidRDefault="006F76EB" w:rsidP="00607D50">
            <w:pPr>
              <w:spacing w:after="160" w:line="336" w:lineRule="auto"/>
              <w:ind w:right="113"/>
              <w:jc w:val="both"/>
              <w:rPr>
                <w:rFonts w:ascii="Sylfaen" w:hAnsi="Sylfaen"/>
                <w:sz w:val="24"/>
                <w:szCs w:val="24"/>
              </w:rPr>
            </w:pPr>
            <w:r w:rsidRPr="00834D52">
              <w:rPr>
                <w:rFonts w:ascii="Sylfaen" w:hAnsi="Sylfaen"/>
                <w:sz w:val="24"/>
                <w:szCs w:val="24"/>
              </w:rPr>
              <w:t>պատվաստանյութային հակածնի մաստեր-ֆայլի սերտիֆիկատի պատճենը, որը տրվել է արտադրող երկրի լիազորված մարմնի կողմից (առկայության դեպքում)</w:t>
            </w:r>
          </w:p>
          <w:p w14:paraId="0B155EA2" w14:textId="5645188E" w:rsidR="00AB17F6" w:rsidRDefault="00AB17F6" w:rsidP="00607D50">
            <w:pPr>
              <w:spacing w:after="160" w:line="336" w:lineRule="auto"/>
              <w:ind w:right="113"/>
              <w:jc w:val="both"/>
              <w:rPr>
                <w:rFonts w:ascii="Sylfaen" w:hAnsi="Sylfaen"/>
                <w:sz w:val="24"/>
                <w:szCs w:val="24"/>
              </w:rPr>
            </w:pPr>
            <w:r w:rsidRPr="00AB17F6">
              <w:rPr>
                <w:rFonts w:ascii="Sylfaen" w:hAnsi="Sylfaen"/>
                <w:sz w:val="24"/>
                <w:szCs w:val="24"/>
              </w:rPr>
              <w:t>Եվրասիական տնտեսական հանձնաժողովի կոլեգիայի 2018 թվականի սեպտեմբերի 7-ի թիվ 151 որոշմամբ հաստատված՝ Դեղապատրաստուկի որակի վերաբերյալ նորմատիվ փաստաթուղթ կազմելու մասին ուղեցույցին համապատասխան պատրաստված՝ Որակի վերաբերյալ նորմատիվ փաստաթղթի նախագիծ</w:t>
            </w:r>
          </w:p>
          <w:p w14:paraId="7B53EFEB" w14:textId="6254BB19" w:rsidR="00AB17F6" w:rsidRPr="00834D52" w:rsidRDefault="00AB17F6" w:rsidP="00607D50">
            <w:pPr>
              <w:spacing w:after="160" w:line="336" w:lineRule="auto"/>
              <w:ind w:right="113"/>
              <w:jc w:val="both"/>
              <w:rPr>
                <w:rFonts w:ascii="Sylfaen" w:eastAsia="Times New Roman" w:hAnsi="Sylfaen" w:cs="Times New Roman"/>
                <w:sz w:val="24"/>
                <w:szCs w:val="24"/>
              </w:rPr>
            </w:pPr>
          </w:p>
        </w:tc>
      </w:tr>
      <w:tr w:rsidR="006F76EB" w:rsidRPr="00834D52" w14:paraId="6334644E" w14:textId="77777777" w:rsidTr="00F71229">
        <w:trPr>
          <w:gridAfter w:val="1"/>
          <w:wAfter w:w="11" w:type="dxa"/>
        </w:trPr>
        <w:tc>
          <w:tcPr>
            <w:tcW w:w="1809" w:type="dxa"/>
            <w:tcBorders>
              <w:top w:val="nil"/>
              <w:left w:val="nil"/>
              <w:bottom w:val="nil"/>
              <w:right w:val="nil"/>
            </w:tcBorders>
          </w:tcPr>
          <w:p w14:paraId="3EF434B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w:t>
            </w:r>
          </w:p>
        </w:tc>
        <w:tc>
          <w:tcPr>
            <w:tcW w:w="8157" w:type="dxa"/>
            <w:tcBorders>
              <w:top w:val="nil"/>
              <w:left w:val="nil"/>
              <w:bottom w:val="nil"/>
              <w:right w:val="nil"/>
            </w:tcBorders>
          </w:tcPr>
          <w:p w14:paraId="3996A493" w14:textId="77777777" w:rsidR="006F76EB" w:rsidRPr="00834D52" w:rsidRDefault="006F76EB" w:rsidP="00607D50">
            <w:pPr>
              <w:spacing w:after="160" w:line="336" w:lineRule="auto"/>
              <w:ind w:right="113"/>
              <w:rPr>
                <w:rFonts w:ascii="Sylfaen" w:eastAsia="Times New Roman" w:hAnsi="Sylfaen" w:cs="Times New Roman"/>
                <w:sz w:val="24"/>
                <w:szCs w:val="24"/>
              </w:rPr>
            </w:pPr>
            <w:r w:rsidRPr="00834D52">
              <w:rPr>
                <w:rFonts w:ascii="Sylfaen" w:hAnsi="Sylfaen"/>
                <w:sz w:val="24"/>
                <w:szCs w:val="24"/>
              </w:rPr>
              <w:t>Արտադրության փաստաթղթերը</w:t>
            </w:r>
          </w:p>
        </w:tc>
      </w:tr>
      <w:tr w:rsidR="006F76EB" w:rsidRPr="00834D52" w14:paraId="6287280F" w14:textId="77777777" w:rsidTr="00F71229">
        <w:trPr>
          <w:gridAfter w:val="1"/>
          <w:wAfter w:w="11" w:type="dxa"/>
        </w:trPr>
        <w:tc>
          <w:tcPr>
            <w:tcW w:w="1809" w:type="dxa"/>
            <w:tcBorders>
              <w:top w:val="nil"/>
              <w:left w:val="nil"/>
              <w:bottom w:val="nil"/>
              <w:right w:val="nil"/>
            </w:tcBorders>
          </w:tcPr>
          <w:p w14:paraId="6BF8FA6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w:t>
            </w:r>
          </w:p>
        </w:tc>
        <w:tc>
          <w:tcPr>
            <w:tcW w:w="8157" w:type="dxa"/>
            <w:tcBorders>
              <w:top w:val="nil"/>
              <w:left w:val="nil"/>
              <w:bottom w:val="nil"/>
              <w:right w:val="nil"/>
            </w:tcBorders>
          </w:tcPr>
          <w:p w14:paraId="49ABE543" w14:textId="5B49985F" w:rsidR="006F76EB" w:rsidRPr="00834D52" w:rsidRDefault="006F76EB" w:rsidP="00607D50">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պետության լիազորված մարմնի կողմից տրված՝ Եվրասիական տնտեսական հանձնաժողովի կողմից հաստատվող՝ Եվրասիական տնտեսական միության պատշաճ արտադրական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արտադրողի արտադրական հարթակի համապատասխանությունը հաստատող գործող փաստաթղթի սահմանված կարգով վավերացված պատճենը, այն երկրի (երկրների) լիազորված մարմինների կողմից տրված՝ պատշաճ արտադրական գործունեության </w:t>
            </w:r>
            <w:r w:rsidR="006B65FD">
              <w:rPr>
                <w:rFonts w:ascii="Sylfaen" w:hAnsi="Sylfaen"/>
                <w:sz w:val="24"/>
                <w:szCs w:val="24"/>
              </w:rPr>
              <w:t>պահանջներին արտադրողի արտադրական հարթակի համապատասխանությունը</w:t>
            </w:r>
            <w:r w:rsidRPr="00834D52">
              <w:rPr>
                <w:rFonts w:ascii="Sylfaen" w:hAnsi="Sylfaen"/>
                <w:sz w:val="24"/>
                <w:szCs w:val="24"/>
              </w:rPr>
              <w:t xml:space="preserve"> հաստատող </w:t>
            </w:r>
            <w:r w:rsidRPr="00834D52">
              <w:rPr>
                <w:rFonts w:ascii="Sylfaen" w:hAnsi="Sylfaen"/>
                <w:sz w:val="24"/>
                <w:szCs w:val="24"/>
              </w:rPr>
              <w:lastRenderedPageBreak/>
              <w:t xml:space="preserve">գործող փաստաթղթերի սահմանված կարգով վավերացված պատճենները, որտեղ տեղակայված է արտադրական հարթակը (արտադրության տարբեր էտապներում արտադրական հարթակները), </w:t>
            </w:r>
            <w:r w:rsidR="00C54D75">
              <w:rPr>
                <w:rFonts w:ascii="Sylfaen" w:hAnsi="Sylfaen"/>
                <w:sz w:val="24"/>
                <w:szCs w:val="24"/>
              </w:rPr>
              <w:t>և</w:t>
            </w:r>
            <w:r w:rsidRPr="00834D52">
              <w:rPr>
                <w:rFonts w:ascii="Sylfaen" w:hAnsi="Sylfaen"/>
                <w:sz w:val="24"/>
                <w:szCs w:val="24"/>
              </w:rPr>
              <w:t xml:space="preserve"> (կամ) այլ լիազորված մարմինների կողմից տրված պատճենները, իսկ առկայության դեպքում «Ինտերնետ» տեղեկատվական-հեռահաղորդակցության ցանցում (եթե կիրառելի է) ներկայացնել լիազորված մարմինների կողմից տրված՝ պատշաճ արտադրական գործունեության (օրինակ՝ EudraGMP) պահանջներին համապատասխանությունը հաստատող սերտիֆիկատների ռեեստրի կայքի հասցեն</w:t>
            </w:r>
          </w:p>
        </w:tc>
      </w:tr>
      <w:tr w:rsidR="006F76EB" w:rsidRPr="00834D52" w14:paraId="276588AC" w14:textId="77777777" w:rsidTr="00F71229">
        <w:trPr>
          <w:gridAfter w:val="1"/>
          <w:wAfter w:w="11" w:type="dxa"/>
        </w:trPr>
        <w:tc>
          <w:tcPr>
            <w:tcW w:w="1809" w:type="dxa"/>
            <w:tcBorders>
              <w:top w:val="nil"/>
              <w:left w:val="nil"/>
              <w:bottom w:val="nil"/>
              <w:right w:val="nil"/>
            </w:tcBorders>
          </w:tcPr>
          <w:p w14:paraId="7618B6C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1.6.2.</w:t>
            </w:r>
          </w:p>
        </w:tc>
        <w:tc>
          <w:tcPr>
            <w:tcW w:w="8157" w:type="dxa"/>
            <w:tcBorders>
              <w:top w:val="nil"/>
              <w:left w:val="nil"/>
              <w:bottom w:val="nil"/>
              <w:right w:val="nil"/>
            </w:tcBorders>
          </w:tcPr>
          <w:p w14:paraId="2D29607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այն երկրի լիազորված մարմնի կողմից տրված՝ արտադրություն իրականացնելու գործող թույտվության (լիցենզիայի) սահմանված կարգով վավերացված պատճենը (այդ թվում՝ դրա հավելվածները), որտեղ տեղակայված է արտադրական հարթակը (արտադրության տարբեր էտապներում արտադրական հարթակները)</w:t>
            </w:r>
          </w:p>
        </w:tc>
      </w:tr>
      <w:tr w:rsidR="006F76EB" w:rsidRPr="00834D52" w14:paraId="60D8F0F0" w14:textId="77777777" w:rsidTr="00F71229">
        <w:trPr>
          <w:gridAfter w:val="1"/>
          <w:wAfter w:w="11" w:type="dxa"/>
        </w:trPr>
        <w:tc>
          <w:tcPr>
            <w:tcW w:w="1809" w:type="dxa"/>
            <w:tcBorders>
              <w:top w:val="nil"/>
              <w:left w:val="nil"/>
              <w:bottom w:val="nil"/>
              <w:right w:val="nil"/>
            </w:tcBorders>
          </w:tcPr>
          <w:p w14:paraId="7D38FC1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1.6.3.</w:t>
            </w:r>
          </w:p>
        </w:tc>
        <w:tc>
          <w:tcPr>
            <w:tcW w:w="8157" w:type="dxa"/>
            <w:tcBorders>
              <w:top w:val="nil"/>
              <w:left w:val="nil"/>
              <w:bottom w:val="nil"/>
              <w:right w:val="nil"/>
            </w:tcBorders>
          </w:tcPr>
          <w:p w14:paraId="0E2C9EE8" w14:textId="577C0D42"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(արտադրության տարբեր էտապներում արտադրական հարթակների) պատշաճ արտադրական գործունեությանը համապատասխանության մասով տեսչական այն ստուգման (ստուգումների) հաշվետվությունների սահմանված կարգով վավերացված պատճենները, որն իրականացվել է (որոնք իրականացվել են) արտադրող երկրի լիազորված մարմնի կամ այլ լիազորված մարմնի կողմից՝ </w:t>
            </w:r>
            <w:r w:rsidR="0056496B">
              <w:rPr>
                <w:rFonts w:ascii="Sylfaen" w:hAnsi="Sylfaen"/>
                <w:sz w:val="24"/>
                <w:szCs w:val="24"/>
              </w:rPr>
              <w:t>դիմում</w:t>
            </w:r>
            <w:r w:rsidRPr="00834D52">
              <w:rPr>
                <w:rFonts w:ascii="Sylfaen" w:hAnsi="Sylfaen"/>
                <w:sz w:val="24"/>
                <w:szCs w:val="24"/>
              </w:rPr>
              <w:t xml:space="preserve">ը ներկայացնելու օրվանից հետո վերջին 3 տարիների ընթացքում՝ տեսչական ստուգումից հետո շտկող միջոցառումների (САРА) պլանի </w:t>
            </w:r>
            <w:r w:rsidR="00C54D75">
              <w:rPr>
                <w:rFonts w:ascii="Sylfaen" w:hAnsi="Sylfaen"/>
                <w:sz w:val="24"/>
                <w:szCs w:val="24"/>
              </w:rPr>
              <w:t>և</w:t>
            </w:r>
            <w:r w:rsidRPr="00834D52">
              <w:rPr>
                <w:rFonts w:ascii="Sylfaen" w:hAnsi="Sylfaen"/>
                <w:sz w:val="24"/>
                <w:szCs w:val="24"/>
              </w:rPr>
              <w:t xml:space="preserve"> հաշվետվության հետ մեկտեղ (առկայության դեպքում)</w:t>
            </w:r>
          </w:p>
        </w:tc>
      </w:tr>
      <w:tr w:rsidR="006F76EB" w:rsidRPr="00834D52" w14:paraId="52DF545F" w14:textId="77777777" w:rsidTr="00F71229">
        <w:trPr>
          <w:gridAfter w:val="1"/>
          <w:wAfter w:w="11" w:type="dxa"/>
        </w:trPr>
        <w:tc>
          <w:tcPr>
            <w:tcW w:w="1809" w:type="dxa"/>
            <w:tcBorders>
              <w:top w:val="nil"/>
              <w:left w:val="nil"/>
              <w:bottom w:val="nil"/>
              <w:right w:val="nil"/>
            </w:tcBorders>
          </w:tcPr>
          <w:p w14:paraId="7DA00C0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1.6.4.</w:t>
            </w:r>
          </w:p>
        </w:tc>
        <w:tc>
          <w:tcPr>
            <w:tcW w:w="8157" w:type="dxa"/>
            <w:tcBorders>
              <w:top w:val="nil"/>
              <w:left w:val="nil"/>
              <w:bottom w:val="nil"/>
              <w:right w:val="nil"/>
            </w:tcBorders>
          </w:tcPr>
          <w:p w14:paraId="7FFAC833" w14:textId="77777777" w:rsidR="006F76EB" w:rsidRPr="008C65C0"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w:t>
            </w:r>
            <w:r w:rsidRPr="00834D52">
              <w:rPr>
                <w:rFonts w:ascii="Sylfaen" w:hAnsi="Sylfaen"/>
                <w:sz w:val="24"/>
                <w:szCs w:val="24"/>
              </w:rPr>
              <w:lastRenderedPageBreak/>
              <w:t>կոնտրակտի (պայմանագրի)՝ սահմանված կարգով վավերացված պատճենը, եթե գրանցման հավաստագրի իրավատերը չի մասնակցում դեղապատրաստուկի արտադրության գործընթացին</w:t>
            </w:r>
            <w:r w:rsidR="008C65C0">
              <w:rPr>
                <w:rFonts w:ascii="Sylfaen" w:hAnsi="Sylfaen"/>
                <w:sz w:val="24"/>
                <w:szCs w:val="24"/>
              </w:rPr>
              <w:t xml:space="preserve"> </w:t>
            </w:r>
            <w:r w:rsidR="00E90FAF" w:rsidRPr="00E90FAF">
              <w:rPr>
                <w:rFonts w:ascii="Sylfaen" w:hAnsi="Sylfaen"/>
                <w:sz w:val="24"/>
                <w:szCs w:val="24"/>
              </w:rPr>
              <w:t>(</w:t>
            </w:r>
            <w:r w:rsidR="008C65C0">
              <w:rPr>
                <w:rFonts w:ascii="Sylfaen" w:hAnsi="Sylfaen"/>
                <w:sz w:val="24"/>
                <w:szCs w:val="24"/>
              </w:rPr>
              <w:t>առկայության դեպքում</w:t>
            </w:r>
            <w:r w:rsidR="00E90FAF" w:rsidRPr="00E90FAF">
              <w:rPr>
                <w:rFonts w:ascii="Sylfaen" w:hAnsi="Sylfaen"/>
                <w:sz w:val="24"/>
                <w:szCs w:val="24"/>
              </w:rPr>
              <w:t>)</w:t>
            </w:r>
          </w:p>
        </w:tc>
      </w:tr>
      <w:tr w:rsidR="006F76EB" w:rsidRPr="00834D52" w14:paraId="294B31D4" w14:textId="77777777" w:rsidTr="00F71229">
        <w:trPr>
          <w:gridAfter w:val="1"/>
          <w:wAfter w:w="11" w:type="dxa"/>
        </w:trPr>
        <w:tc>
          <w:tcPr>
            <w:tcW w:w="1809" w:type="dxa"/>
            <w:tcBorders>
              <w:top w:val="nil"/>
              <w:left w:val="nil"/>
              <w:bottom w:val="nil"/>
              <w:right w:val="nil"/>
            </w:tcBorders>
          </w:tcPr>
          <w:p w14:paraId="5CB4A67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1.6.5.</w:t>
            </w:r>
          </w:p>
        </w:tc>
        <w:tc>
          <w:tcPr>
            <w:tcW w:w="8157" w:type="dxa"/>
            <w:tcBorders>
              <w:top w:val="nil"/>
              <w:left w:val="nil"/>
              <w:bottom w:val="nil"/>
              <w:right w:val="nil"/>
            </w:tcBorders>
          </w:tcPr>
          <w:p w14:paraId="1963EB6B" w14:textId="77777777" w:rsidR="006F76EB" w:rsidRPr="007342DE"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պայմանագրային արտադրական հարթակի </w:t>
            </w:r>
            <w:r w:rsidR="00C54D75">
              <w:rPr>
                <w:rFonts w:ascii="Sylfaen" w:hAnsi="Sylfaen"/>
                <w:sz w:val="24"/>
                <w:szCs w:val="24"/>
              </w:rPr>
              <w:t>և</w:t>
            </w:r>
            <w:r w:rsidRPr="00834D52">
              <w:rPr>
                <w:rFonts w:ascii="Sylfaen" w:hAnsi="Sylfaen"/>
                <w:sz w:val="24"/>
                <w:szCs w:val="24"/>
              </w:rPr>
              <w:t xml:space="preserve"> արտադրողի միջ</w:t>
            </w:r>
            <w:r w:rsidR="00C54D75">
              <w:rPr>
                <w:rFonts w:ascii="Sylfaen" w:hAnsi="Sylfaen"/>
                <w:sz w:val="24"/>
                <w:szCs w:val="24"/>
              </w:rPr>
              <w:t>և</w:t>
            </w:r>
            <w:r w:rsidRPr="00834D52">
              <w:rPr>
                <w:rFonts w:ascii="Sylfaen" w:hAnsi="Sylfaen"/>
                <w:sz w:val="24"/>
                <w:szCs w:val="24"/>
              </w:rPr>
              <w:t xml:space="preserve"> պատշաճ արտադրական գործունեության պահանջները պահպանելու հարցերով կոնտրակտի (պայմանագրի)՝ սահմանված կարգով վավերացված պատճենը, եթե դեղապատրաստուկի արտադրության ամբողջ գործընթացը կամ էտապներից մեկը իրականացվում է պայմանագրային արտադրական հարթակում</w:t>
            </w:r>
            <w:r w:rsidR="007342DE">
              <w:rPr>
                <w:rFonts w:ascii="Sylfaen" w:hAnsi="Sylfaen"/>
                <w:sz w:val="24"/>
                <w:szCs w:val="24"/>
              </w:rPr>
              <w:t xml:space="preserve"> </w:t>
            </w:r>
            <w:r w:rsidR="00E90FAF" w:rsidRPr="00E90FAF">
              <w:rPr>
                <w:rFonts w:ascii="Sylfaen" w:hAnsi="Sylfaen"/>
                <w:sz w:val="24"/>
                <w:szCs w:val="24"/>
              </w:rPr>
              <w:t>(</w:t>
            </w:r>
            <w:r w:rsidR="007342DE">
              <w:rPr>
                <w:rFonts w:ascii="Sylfaen" w:hAnsi="Sylfaen"/>
                <w:sz w:val="24"/>
                <w:szCs w:val="24"/>
              </w:rPr>
              <w:t>եթե կիրառելի է</w:t>
            </w:r>
            <w:r w:rsidR="00E90FAF" w:rsidRPr="00E90FAF">
              <w:rPr>
                <w:rFonts w:ascii="Sylfaen" w:hAnsi="Sylfaen"/>
                <w:sz w:val="24"/>
                <w:szCs w:val="24"/>
              </w:rPr>
              <w:t>)</w:t>
            </w:r>
          </w:p>
        </w:tc>
      </w:tr>
      <w:tr w:rsidR="006F76EB" w:rsidRPr="00834D52" w14:paraId="65CB492B" w14:textId="77777777" w:rsidTr="00F71229">
        <w:trPr>
          <w:gridAfter w:val="1"/>
          <w:wAfter w:w="11" w:type="dxa"/>
        </w:trPr>
        <w:tc>
          <w:tcPr>
            <w:tcW w:w="1809" w:type="dxa"/>
            <w:tcBorders>
              <w:top w:val="nil"/>
              <w:left w:val="nil"/>
              <w:bottom w:val="nil"/>
              <w:right w:val="nil"/>
            </w:tcBorders>
          </w:tcPr>
          <w:p w14:paraId="44C350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1.6.6.</w:t>
            </w:r>
          </w:p>
        </w:tc>
        <w:tc>
          <w:tcPr>
            <w:tcW w:w="8157" w:type="dxa"/>
            <w:tcBorders>
              <w:top w:val="nil"/>
              <w:left w:val="nil"/>
              <w:bottom w:val="nil"/>
              <w:right w:val="nil"/>
            </w:tcBorders>
          </w:tcPr>
          <w:p w14:paraId="13E8D1F4" w14:textId="5D2E34B9"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կարգավորիչ ցանկացած միջոցի մասին տեղեկություններ, որը ձեռնարկվել է </w:t>
            </w:r>
            <w:r w:rsidR="001A5F1A">
              <w:rPr>
                <w:rFonts w:ascii="Sylfaen" w:hAnsi="Sylfaen"/>
                <w:sz w:val="24"/>
                <w:szCs w:val="24"/>
              </w:rPr>
              <w:t>հայտագրված</w:t>
            </w:r>
            <w:r w:rsidRPr="00834D52">
              <w:rPr>
                <w:rFonts w:ascii="Sylfaen" w:hAnsi="Sylfaen"/>
                <w:sz w:val="24"/>
                <w:szCs w:val="24"/>
              </w:rPr>
              <w:t xml:space="preserve"> արտադրական հարթակին առնչվող տեսչական ստուգման արդյունքներով տեսչական ստուգում իրականացնող լիազորված մարմնի կողմից վերջին 3 տարիների ընթացքում (</w:t>
            </w:r>
            <w:r w:rsidR="0056496B">
              <w:rPr>
                <w:rFonts w:ascii="Sylfaen" w:hAnsi="Sylfaen"/>
                <w:sz w:val="24"/>
                <w:szCs w:val="24"/>
              </w:rPr>
              <w:t>դիմում</w:t>
            </w:r>
            <w:r w:rsidRPr="00834D52">
              <w:rPr>
                <w:rFonts w:ascii="Sylfaen" w:hAnsi="Sylfaen"/>
                <w:sz w:val="24"/>
                <w:szCs w:val="24"/>
              </w:rPr>
              <w:t>ը ներկայացնելու օրվանից) (առկայության դեպքում)</w:t>
            </w:r>
          </w:p>
        </w:tc>
      </w:tr>
      <w:tr w:rsidR="006F76EB" w:rsidRPr="00834D52" w14:paraId="17EF3247" w14:textId="77777777" w:rsidTr="00F71229">
        <w:trPr>
          <w:gridAfter w:val="1"/>
          <w:wAfter w:w="11" w:type="dxa"/>
        </w:trPr>
        <w:tc>
          <w:tcPr>
            <w:tcW w:w="1809" w:type="dxa"/>
            <w:tcBorders>
              <w:top w:val="nil"/>
              <w:left w:val="nil"/>
              <w:bottom w:val="nil"/>
              <w:right w:val="nil"/>
            </w:tcBorders>
          </w:tcPr>
          <w:p w14:paraId="42C2D40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1.6.7.</w:t>
            </w:r>
          </w:p>
        </w:tc>
        <w:tc>
          <w:tcPr>
            <w:tcW w:w="8157" w:type="dxa"/>
            <w:tcBorders>
              <w:top w:val="nil"/>
              <w:left w:val="nil"/>
              <w:bottom w:val="nil"/>
              <w:right w:val="nil"/>
            </w:tcBorders>
          </w:tcPr>
          <w:p w14:paraId="474E0A55" w14:textId="1040396C"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որակի հարցերով լիազորված անձի նամակը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արտադրության պայմանների՝ Եվրասիական տնտեսական հանձնաժողովի կողմից հաստատվող` Եվրասիական տնտեսական միության պատշաճ արտադրական գործունեության կանոններին համապատասխանության մասին, այդ թվում՝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օգտագործվող յուրաքանչյուր արտադրական հարթակի համար ելանյութերի </w:t>
            </w:r>
            <w:r w:rsidR="00C54D75">
              <w:rPr>
                <w:rFonts w:ascii="Sylfaen" w:hAnsi="Sylfaen"/>
                <w:sz w:val="24"/>
                <w:szCs w:val="24"/>
              </w:rPr>
              <w:t>և</w:t>
            </w:r>
            <w:r w:rsidRPr="00834D52">
              <w:rPr>
                <w:rFonts w:ascii="Sylfaen" w:hAnsi="Sylfaen"/>
                <w:sz w:val="24"/>
                <w:szCs w:val="24"/>
              </w:rPr>
              <w:t xml:space="preserve"> ակտիվ դեղագործական բաղադրամասի մասով, ներառյալ այն հարթակները, որտեղ իրականացվում է որակի հսկողություն </w:t>
            </w:r>
            <w:r w:rsidR="00C54D75">
              <w:rPr>
                <w:rFonts w:ascii="Sylfaen" w:hAnsi="Sylfaen"/>
                <w:sz w:val="24"/>
                <w:szCs w:val="24"/>
              </w:rPr>
              <w:t>և</w:t>
            </w:r>
            <w:r w:rsidRPr="00834D52">
              <w:rPr>
                <w:rFonts w:ascii="Sylfaen" w:hAnsi="Sylfaen"/>
                <w:sz w:val="24"/>
                <w:szCs w:val="24"/>
              </w:rPr>
              <w:t xml:space="preserve"> հսկողություն արտադրության գործընթացում: Նամակը պետք է ստորագրվի որակի </w:t>
            </w:r>
            <w:r w:rsidRPr="00834D52">
              <w:rPr>
                <w:rFonts w:ascii="Sylfaen" w:hAnsi="Sylfaen"/>
                <w:sz w:val="24"/>
                <w:szCs w:val="24"/>
              </w:rPr>
              <w:lastRenderedPageBreak/>
              <w:t xml:space="preserve">հարցերով լիազորված մարմնի կողմից </w:t>
            </w:r>
            <w:r w:rsidR="00C54D75">
              <w:rPr>
                <w:rFonts w:ascii="Sylfaen" w:hAnsi="Sylfaen"/>
                <w:sz w:val="24"/>
                <w:szCs w:val="24"/>
              </w:rPr>
              <w:t>և</w:t>
            </w:r>
            <w:r w:rsidRPr="00834D52">
              <w:rPr>
                <w:rFonts w:ascii="Sylfaen" w:hAnsi="Sylfaen"/>
                <w:sz w:val="24"/>
                <w:szCs w:val="24"/>
              </w:rPr>
              <w:t xml:space="preserve"> վավերացվի արտադրողի կնիքով (դրոշմակնիքով)՝ անհրաժեշտության դեպքում ուղեկցվելով ռուսերեն թարգմանությամբ</w:t>
            </w:r>
          </w:p>
        </w:tc>
      </w:tr>
      <w:tr w:rsidR="006F76EB" w:rsidRPr="00834D52" w14:paraId="636B4B2E" w14:textId="77777777" w:rsidTr="00F71229">
        <w:trPr>
          <w:gridAfter w:val="1"/>
          <w:wAfter w:w="11" w:type="dxa"/>
        </w:trPr>
        <w:tc>
          <w:tcPr>
            <w:tcW w:w="1809" w:type="dxa"/>
            <w:tcBorders>
              <w:top w:val="nil"/>
              <w:left w:val="nil"/>
              <w:bottom w:val="nil"/>
              <w:right w:val="nil"/>
            </w:tcBorders>
          </w:tcPr>
          <w:p w14:paraId="4E6887A3"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1.6.8.</w:t>
            </w:r>
          </w:p>
        </w:tc>
        <w:tc>
          <w:tcPr>
            <w:tcW w:w="8157" w:type="dxa"/>
            <w:tcBorders>
              <w:top w:val="nil"/>
              <w:left w:val="nil"/>
              <w:bottom w:val="nil"/>
              <w:right w:val="nil"/>
            </w:tcBorders>
          </w:tcPr>
          <w:p w14:paraId="1B285AC0" w14:textId="737CFE39" w:rsidR="006F76EB" w:rsidRPr="00834D52"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դեղապատրաստուկի գրանցման համար </w:t>
            </w:r>
            <w:r w:rsidR="001A5F1A">
              <w:rPr>
                <w:rFonts w:ascii="Sylfaen" w:hAnsi="Sylfaen"/>
                <w:sz w:val="24"/>
                <w:szCs w:val="24"/>
              </w:rPr>
              <w:t>հայտագրված</w:t>
            </w:r>
            <w:r w:rsidRPr="00834D52">
              <w:rPr>
                <w:rFonts w:ascii="Sylfaen" w:hAnsi="Sylfaen"/>
                <w:sz w:val="24"/>
                <w:szCs w:val="24"/>
              </w:rPr>
              <w:t xml:space="preserve"> արտադրական հարթակում դեղապատրաստուկների որակի առնչությամբ վերջին 3 տարիների ընթացքում ներկայացված բողոքագրերի մասին տեղեկությունները (եթե կիրառելի է)</w:t>
            </w:r>
          </w:p>
          <w:p w14:paraId="762E25C1"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p>
        </w:tc>
      </w:tr>
      <w:tr w:rsidR="006F76EB" w:rsidRPr="00834D52" w14:paraId="2E12EF01" w14:textId="77777777" w:rsidTr="00F71229">
        <w:trPr>
          <w:gridAfter w:val="1"/>
          <w:wAfter w:w="11" w:type="dxa"/>
        </w:trPr>
        <w:tc>
          <w:tcPr>
            <w:tcW w:w="1809" w:type="dxa"/>
            <w:tcBorders>
              <w:top w:val="nil"/>
              <w:left w:val="nil"/>
              <w:bottom w:val="nil"/>
              <w:right w:val="nil"/>
            </w:tcBorders>
          </w:tcPr>
          <w:p w14:paraId="26301D7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1.6.9.</w:t>
            </w:r>
          </w:p>
        </w:tc>
        <w:tc>
          <w:tcPr>
            <w:tcW w:w="8157" w:type="dxa"/>
            <w:tcBorders>
              <w:top w:val="nil"/>
              <w:left w:val="nil"/>
              <w:bottom w:val="nil"/>
              <w:right w:val="nil"/>
            </w:tcBorders>
          </w:tcPr>
          <w:p w14:paraId="33B39232" w14:textId="2B3CE691"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Միության իրավունքը կազմող միջազգային պայմանագրերի և ակտերի պահանջներին համապատասխանության առնչությամբ դեղագործական տեսչական ստուգում անցկացնելու համաձայնությունը</w:t>
            </w:r>
          </w:p>
          <w:p w14:paraId="1A1AF9D4" w14:textId="77777777" w:rsidR="006B65FD" w:rsidRDefault="006B65FD" w:rsidP="006B65FD">
            <w:pPr>
              <w:rPr>
                <w:b/>
                <w:bCs/>
                <w:i/>
                <w:iCs/>
              </w:rPr>
            </w:pPr>
            <w:r w:rsidRPr="00CD4709">
              <w:rPr>
                <w:b/>
                <w:bCs/>
                <w:i/>
                <w:iCs/>
              </w:rPr>
              <w:t>(</w:t>
            </w:r>
            <w:r w:rsidRPr="006B65FD">
              <w:rPr>
                <w:b/>
                <w:bCs/>
                <w:i/>
                <w:iCs/>
              </w:rPr>
              <w:t>1.6.</w:t>
            </w:r>
            <w:r>
              <w:rPr>
                <w:b/>
                <w:bCs/>
                <w:i/>
                <w:iCs/>
              </w:rPr>
              <w:t xml:space="preserve">9 դիրքը </w:t>
            </w:r>
            <w:r w:rsidRPr="00CD4709">
              <w:rPr>
                <w:b/>
                <w:bCs/>
                <w:i/>
                <w:iCs/>
              </w:rPr>
              <w:t>փոփ. 30.01.20 թիվ 9)</w:t>
            </w:r>
          </w:p>
          <w:p w14:paraId="1EE764CE" w14:textId="7B9B911D" w:rsidR="006B65FD" w:rsidRPr="006B65FD" w:rsidRDefault="006B65FD" w:rsidP="006B65FD">
            <w:pPr>
              <w:rPr>
                <w:b/>
                <w:bCs/>
                <w:i/>
                <w:iCs/>
                <w:lang w:val="en-US"/>
              </w:rPr>
            </w:pPr>
          </w:p>
        </w:tc>
      </w:tr>
      <w:tr w:rsidR="006F76EB" w:rsidRPr="00834D52" w14:paraId="12FE92B0" w14:textId="77777777" w:rsidTr="00F71229">
        <w:trPr>
          <w:gridAfter w:val="1"/>
          <w:wAfter w:w="11" w:type="dxa"/>
        </w:trPr>
        <w:tc>
          <w:tcPr>
            <w:tcW w:w="1809" w:type="dxa"/>
            <w:tcBorders>
              <w:top w:val="nil"/>
              <w:left w:val="nil"/>
              <w:bottom w:val="nil"/>
              <w:right w:val="nil"/>
            </w:tcBorders>
          </w:tcPr>
          <w:p w14:paraId="2767CDB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1.6.10.</w:t>
            </w:r>
          </w:p>
        </w:tc>
        <w:tc>
          <w:tcPr>
            <w:tcW w:w="8157" w:type="dxa"/>
            <w:tcBorders>
              <w:top w:val="nil"/>
              <w:left w:val="nil"/>
              <w:bottom w:val="nil"/>
              <w:right w:val="nil"/>
            </w:tcBorders>
          </w:tcPr>
          <w:p w14:paraId="544C6D01" w14:textId="2BCE126E"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արտադրական հարթակի (արտադրական հարթակների) հիմնական դոսյեի (մաստեր-ֆայլի)՝ </w:t>
            </w:r>
            <w:r w:rsidR="0056496B">
              <w:rPr>
                <w:rFonts w:ascii="Sylfaen" w:hAnsi="Sylfaen"/>
                <w:sz w:val="24"/>
                <w:szCs w:val="24"/>
              </w:rPr>
              <w:t>դիմումատու</w:t>
            </w:r>
            <w:r w:rsidRPr="00834D52">
              <w:rPr>
                <w:rFonts w:ascii="Sylfaen" w:hAnsi="Sylfaen"/>
                <w:sz w:val="24"/>
                <w:szCs w:val="24"/>
              </w:rPr>
              <w:t>ի կողմից վավերացված պատճենը (եթե կիրառելի է)</w:t>
            </w:r>
          </w:p>
        </w:tc>
      </w:tr>
      <w:tr w:rsidR="006F76EB" w:rsidRPr="00834D52" w14:paraId="33C397FA" w14:textId="77777777" w:rsidTr="00F71229">
        <w:trPr>
          <w:gridAfter w:val="1"/>
          <w:wAfter w:w="11" w:type="dxa"/>
        </w:trPr>
        <w:tc>
          <w:tcPr>
            <w:tcW w:w="1809" w:type="dxa"/>
            <w:tcBorders>
              <w:top w:val="nil"/>
              <w:left w:val="nil"/>
              <w:bottom w:val="nil"/>
              <w:right w:val="nil"/>
            </w:tcBorders>
          </w:tcPr>
          <w:p w14:paraId="4B4E1CD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1.6.11.</w:t>
            </w:r>
          </w:p>
        </w:tc>
        <w:tc>
          <w:tcPr>
            <w:tcW w:w="8157" w:type="dxa"/>
            <w:tcBorders>
              <w:top w:val="nil"/>
              <w:left w:val="nil"/>
              <w:bottom w:val="nil"/>
              <w:right w:val="nil"/>
            </w:tcBorders>
          </w:tcPr>
          <w:p w14:paraId="6768B3FF" w14:textId="77777777" w:rsidR="006F76EB" w:rsidRDefault="006F76EB" w:rsidP="00F71229">
            <w:pPr>
              <w:spacing w:after="160" w:line="360" w:lineRule="auto"/>
              <w:ind w:right="111"/>
              <w:jc w:val="both"/>
              <w:rPr>
                <w:rFonts w:ascii="Sylfaen" w:hAnsi="Sylfaen"/>
                <w:sz w:val="24"/>
                <w:szCs w:val="24"/>
              </w:rPr>
            </w:pPr>
            <w:r w:rsidRPr="00834D52">
              <w:rPr>
                <w:rFonts w:ascii="Sylfaen" w:hAnsi="Sylfaen"/>
                <w:sz w:val="24"/>
                <w:szCs w:val="24"/>
              </w:rPr>
              <w:t xml:space="preserve">արտադրության էտապների սխեման՝ նշելով դեղապատրաստուկի </w:t>
            </w:r>
            <w:r w:rsidR="00C54D75">
              <w:rPr>
                <w:rFonts w:ascii="Sylfaen" w:hAnsi="Sylfaen"/>
                <w:sz w:val="24"/>
                <w:szCs w:val="24"/>
              </w:rPr>
              <w:t>և</w:t>
            </w:r>
            <w:r w:rsidRPr="00834D52">
              <w:rPr>
                <w:rFonts w:ascii="Sylfaen" w:hAnsi="Sylfaen"/>
                <w:sz w:val="24"/>
                <w:szCs w:val="24"/>
              </w:rPr>
              <w:t xml:space="preserve"> ակտիվ դեղագործական բաղադրամասի արտադրության գործընթացում ներգրավված բոլոր արտադրական հարթակները, ներառյալ՝ բացթողման որակի հսկողությունը</w:t>
            </w:r>
          </w:p>
          <w:p w14:paraId="1D6C202E" w14:textId="4E80DC79" w:rsidR="006B65FD" w:rsidRPr="00CD4709" w:rsidRDefault="006B65FD" w:rsidP="006B65FD">
            <w:pPr>
              <w:rPr>
                <w:b/>
                <w:bCs/>
                <w:i/>
                <w:iCs/>
                <w:lang w:val="en-US"/>
              </w:rPr>
            </w:pPr>
            <w:r w:rsidRPr="00CD4709">
              <w:rPr>
                <w:b/>
                <w:bCs/>
                <w:i/>
                <w:iCs/>
              </w:rPr>
              <w:t>(</w:t>
            </w:r>
            <w:r w:rsidRPr="006B65FD">
              <w:rPr>
                <w:b/>
                <w:bCs/>
                <w:i/>
                <w:iCs/>
              </w:rPr>
              <w:t>1.6.1</w:t>
            </w:r>
            <w:r>
              <w:rPr>
                <w:b/>
                <w:bCs/>
                <w:i/>
                <w:iCs/>
              </w:rPr>
              <w:t xml:space="preserve"> դիրքը </w:t>
            </w:r>
            <w:r w:rsidRPr="00CD4709">
              <w:rPr>
                <w:b/>
                <w:bCs/>
                <w:i/>
                <w:iCs/>
              </w:rPr>
              <w:t>փոփ. 30.01.20 թիվ 9)</w:t>
            </w:r>
          </w:p>
          <w:p w14:paraId="0EB43E38" w14:textId="31676A6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1720F0F7" w14:textId="77777777" w:rsidTr="00F71229">
        <w:trPr>
          <w:gridAfter w:val="1"/>
          <w:wAfter w:w="11" w:type="dxa"/>
        </w:trPr>
        <w:tc>
          <w:tcPr>
            <w:tcW w:w="1809" w:type="dxa"/>
            <w:tcBorders>
              <w:top w:val="nil"/>
              <w:left w:val="nil"/>
              <w:bottom w:val="nil"/>
              <w:right w:val="nil"/>
            </w:tcBorders>
          </w:tcPr>
          <w:p w14:paraId="71AA1D0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w:t>
            </w:r>
          </w:p>
        </w:tc>
        <w:tc>
          <w:tcPr>
            <w:tcW w:w="8157" w:type="dxa"/>
            <w:tcBorders>
              <w:top w:val="nil"/>
              <w:left w:val="nil"/>
              <w:bottom w:val="nil"/>
              <w:right w:val="nil"/>
            </w:tcBorders>
          </w:tcPr>
          <w:p w14:paraId="26293D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Մասնագետների մասին տեղեկատվություն՝</w:t>
            </w:r>
          </w:p>
        </w:tc>
      </w:tr>
      <w:tr w:rsidR="006F76EB" w:rsidRPr="00834D52" w14:paraId="033BD5EA" w14:textId="77777777" w:rsidTr="00F71229">
        <w:trPr>
          <w:gridAfter w:val="1"/>
          <w:wAfter w:w="11" w:type="dxa"/>
        </w:trPr>
        <w:tc>
          <w:tcPr>
            <w:tcW w:w="1809" w:type="dxa"/>
            <w:tcBorders>
              <w:top w:val="nil"/>
              <w:left w:val="nil"/>
              <w:bottom w:val="nil"/>
              <w:right w:val="nil"/>
            </w:tcBorders>
          </w:tcPr>
          <w:p w14:paraId="65C8E63B"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1.7.1</w:t>
            </w:r>
          </w:p>
        </w:tc>
        <w:tc>
          <w:tcPr>
            <w:tcW w:w="8157" w:type="dxa"/>
            <w:tcBorders>
              <w:top w:val="nil"/>
              <w:left w:val="nil"/>
              <w:bottom w:val="nil"/>
              <w:right w:val="nil"/>
            </w:tcBorders>
          </w:tcPr>
          <w:p w14:paraId="67354F9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տեղեկատվություն (հակիրճ ռեզյումե)՝ որակի ռեզյումե պատրաստած մասնագետի մասին</w:t>
            </w:r>
          </w:p>
        </w:tc>
      </w:tr>
      <w:tr w:rsidR="006F76EB" w:rsidRPr="00834D52" w14:paraId="0FF99E4B" w14:textId="77777777" w:rsidTr="00F71229">
        <w:trPr>
          <w:gridAfter w:val="1"/>
          <w:wAfter w:w="11" w:type="dxa"/>
        </w:trPr>
        <w:tc>
          <w:tcPr>
            <w:tcW w:w="1809" w:type="dxa"/>
            <w:tcBorders>
              <w:top w:val="nil"/>
              <w:left w:val="nil"/>
              <w:bottom w:val="nil"/>
              <w:right w:val="nil"/>
            </w:tcBorders>
          </w:tcPr>
          <w:p w14:paraId="298A150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1.7.2.</w:t>
            </w:r>
          </w:p>
        </w:tc>
        <w:tc>
          <w:tcPr>
            <w:tcW w:w="8157" w:type="dxa"/>
            <w:tcBorders>
              <w:top w:val="nil"/>
              <w:left w:val="nil"/>
              <w:bottom w:val="nil"/>
              <w:right w:val="nil"/>
            </w:tcBorders>
          </w:tcPr>
          <w:p w14:paraId="3154742D" w14:textId="61A7A553" w:rsidR="006F76EB" w:rsidRPr="00834D52" w:rsidRDefault="006B65FD" w:rsidP="00F71229">
            <w:pPr>
              <w:spacing w:after="160" w:line="360" w:lineRule="auto"/>
              <w:ind w:right="111"/>
              <w:jc w:val="both"/>
              <w:rPr>
                <w:rFonts w:ascii="Sylfaen" w:eastAsia="Times New Roman" w:hAnsi="Sylfaen" w:cs="Times New Roman"/>
                <w:sz w:val="24"/>
                <w:szCs w:val="24"/>
              </w:rPr>
            </w:pPr>
            <w:r w:rsidRPr="006B65FD">
              <w:rPr>
                <w:rFonts w:ascii="Sylfaen" w:hAnsi="Sylfaen"/>
                <w:sz w:val="24"/>
                <w:szCs w:val="24"/>
              </w:rPr>
              <w:t>տեղեկատվություն (հակիրճ ռեզյումե)՝ նախակլինիկական հետազոտությունների ռեզյումե պատրաստած մասնագետի մասին</w:t>
            </w:r>
          </w:p>
        </w:tc>
      </w:tr>
      <w:tr w:rsidR="006F76EB" w:rsidRPr="00834D52" w14:paraId="78B267C8" w14:textId="77777777" w:rsidTr="00F71229">
        <w:trPr>
          <w:gridAfter w:val="1"/>
          <w:wAfter w:w="11" w:type="dxa"/>
          <w:trHeight w:val="930"/>
        </w:trPr>
        <w:tc>
          <w:tcPr>
            <w:tcW w:w="1809" w:type="dxa"/>
            <w:tcBorders>
              <w:top w:val="nil"/>
              <w:left w:val="nil"/>
              <w:bottom w:val="nil"/>
              <w:right w:val="nil"/>
            </w:tcBorders>
          </w:tcPr>
          <w:p w14:paraId="763A62B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1.7.3.</w:t>
            </w:r>
          </w:p>
        </w:tc>
        <w:tc>
          <w:tcPr>
            <w:tcW w:w="8157" w:type="dxa"/>
            <w:tcBorders>
              <w:top w:val="nil"/>
              <w:left w:val="nil"/>
              <w:bottom w:val="nil"/>
              <w:right w:val="nil"/>
            </w:tcBorders>
          </w:tcPr>
          <w:p w14:paraId="4778F9B1" w14:textId="77777777" w:rsidR="006F76EB" w:rsidRDefault="006B65FD" w:rsidP="00F71229">
            <w:pPr>
              <w:spacing w:after="160" w:line="360" w:lineRule="auto"/>
              <w:ind w:right="111"/>
              <w:jc w:val="both"/>
              <w:rPr>
                <w:rFonts w:ascii="Sylfaen" w:hAnsi="Sylfaen"/>
                <w:sz w:val="24"/>
                <w:szCs w:val="24"/>
              </w:rPr>
            </w:pPr>
            <w:r w:rsidRPr="006B65FD">
              <w:rPr>
                <w:rFonts w:ascii="Sylfaen" w:hAnsi="Sylfaen"/>
                <w:sz w:val="24"/>
                <w:szCs w:val="24"/>
              </w:rPr>
              <w:t>տեղեկատվություն (հակիրճ ռեզյումե)՝ կլինիկական հետազոտությունների ռեզյումե պատրաստած մասնագետի մասին</w:t>
            </w:r>
          </w:p>
          <w:p w14:paraId="363E55CC" w14:textId="50B80063" w:rsidR="006B65FD" w:rsidRPr="00CD4709" w:rsidRDefault="006B65FD" w:rsidP="006B65FD">
            <w:pPr>
              <w:rPr>
                <w:b/>
                <w:bCs/>
                <w:i/>
                <w:iCs/>
                <w:lang w:val="en-US"/>
              </w:rPr>
            </w:pPr>
            <w:r w:rsidRPr="00CD4709">
              <w:rPr>
                <w:b/>
                <w:bCs/>
                <w:i/>
                <w:iCs/>
              </w:rPr>
              <w:t>(</w:t>
            </w:r>
            <w:r>
              <w:rPr>
                <w:b/>
                <w:bCs/>
                <w:i/>
                <w:iCs/>
              </w:rPr>
              <w:t xml:space="preserve">1.7 դիրքը </w:t>
            </w:r>
            <w:r w:rsidRPr="00CD4709">
              <w:rPr>
                <w:b/>
                <w:bCs/>
                <w:i/>
                <w:iCs/>
              </w:rPr>
              <w:t>փոփ. 30.01.20 թիվ 9)</w:t>
            </w:r>
          </w:p>
          <w:p w14:paraId="38E9B430" w14:textId="6BA1B8E0" w:rsidR="006B65FD" w:rsidRPr="00834D52" w:rsidRDefault="006B65FD" w:rsidP="00F71229">
            <w:pPr>
              <w:spacing w:after="160" w:line="360" w:lineRule="auto"/>
              <w:ind w:right="111"/>
              <w:jc w:val="both"/>
              <w:rPr>
                <w:rFonts w:ascii="Sylfaen" w:eastAsia="Times New Roman" w:hAnsi="Sylfaen" w:cs="Times New Roman"/>
                <w:sz w:val="24"/>
                <w:szCs w:val="24"/>
              </w:rPr>
            </w:pPr>
          </w:p>
        </w:tc>
      </w:tr>
      <w:tr w:rsidR="006F76EB" w:rsidRPr="00834D52" w14:paraId="5A544B86" w14:textId="77777777" w:rsidTr="00F71229">
        <w:trPr>
          <w:gridAfter w:val="1"/>
          <w:wAfter w:w="11" w:type="dxa"/>
        </w:trPr>
        <w:tc>
          <w:tcPr>
            <w:tcW w:w="1809" w:type="dxa"/>
            <w:tcBorders>
              <w:top w:val="nil"/>
              <w:left w:val="nil"/>
              <w:bottom w:val="nil"/>
              <w:right w:val="nil"/>
            </w:tcBorders>
          </w:tcPr>
          <w:p w14:paraId="6F44556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w:t>
            </w:r>
          </w:p>
        </w:tc>
        <w:tc>
          <w:tcPr>
            <w:tcW w:w="8157" w:type="dxa"/>
            <w:tcBorders>
              <w:top w:val="nil"/>
              <w:left w:val="nil"/>
              <w:bottom w:val="nil"/>
              <w:right w:val="nil"/>
            </w:tcBorders>
          </w:tcPr>
          <w:p w14:paraId="2B8CF9B4" w14:textId="25C9DB7E"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 xml:space="preserve">Տարբեր տեսակի </w:t>
            </w:r>
            <w:r w:rsidR="009F5829">
              <w:rPr>
                <w:rFonts w:ascii="Sylfaen" w:hAnsi="Sylfaen"/>
                <w:sz w:val="24"/>
                <w:szCs w:val="24"/>
              </w:rPr>
              <w:t>դիմումներ</w:t>
            </w:r>
            <w:r w:rsidRPr="00834D52">
              <w:rPr>
                <w:rFonts w:ascii="Sylfaen" w:hAnsi="Sylfaen"/>
                <w:sz w:val="24"/>
                <w:szCs w:val="24"/>
              </w:rPr>
              <w:t>ի համար մասնահատուկ պահանջները՝</w:t>
            </w:r>
          </w:p>
        </w:tc>
      </w:tr>
      <w:tr w:rsidR="006F76EB" w:rsidRPr="00834D52" w14:paraId="4FFF85C0" w14:textId="77777777" w:rsidTr="00F71229">
        <w:trPr>
          <w:gridAfter w:val="1"/>
          <w:wAfter w:w="11" w:type="dxa"/>
        </w:trPr>
        <w:tc>
          <w:tcPr>
            <w:tcW w:w="1809" w:type="dxa"/>
            <w:tcBorders>
              <w:top w:val="nil"/>
              <w:left w:val="nil"/>
              <w:bottom w:val="nil"/>
              <w:right w:val="nil"/>
            </w:tcBorders>
          </w:tcPr>
          <w:p w14:paraId="6EE24B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1.8.1.</w:t>
            </w:r>
          </w:p>
        </w:tc>
        <w:tc>
          <w:tcPr>
            <w:tcW w:w="8157" w:type="dxa"/>
            <w:tcBorders>
              <w:top w:val="nil"/>
              <w:left w:val="nil"/>
              <w:bottom w:val="nil"/>
              <w:right w:val="nil"/>
            </w:tcBorders>
          </w:tcPr>
          <w:p w14:paraId="7A740562" w14:textId="77777777" w:rsidR="006F76EB" w:rsidRPr="00401706"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դեղապատրաստուկի լրացուցիչ առ</w:t>
            </w:r>
            <w:r w:rsidR="00C54D75">
              <w:rPr>
                <w:rFonts w:ascii="Sylfaen" w:hAnsi="Sylfaen"/>
                <w:sz w:val="24"/>
                <w:szCs w:val="24"/>
              </w:rPr>
              <w:t>և</w:t>
            </w:r>
            <w:r w:rsidRPr="00834D52">
              <w:rPr>
                <w:rFonts w:ascii="Sylfaen" w:hAnsi="Sylfaen"/>
                <w:sz w:val="24"/>
                <w:szCs w:val="24"/>
              </w:rPr>
              <w:t>տրային անվանման մասին գրանցման հավաստագրի իրավատիրոջ նամակը</w:t>
            </w:r>
            <w:r w:rsidR="00401706">
              <w:rPr>
                <w:rFonts w:ascii="Sylfaen" w:hAnsi="Sylfaen"/>
                <w:sz w:val="24"/>
                <w:szCs w:val="24"/>
              </w:rPr>
              <w:t xml:space="preserve"> </w:t>
            </w:r>
            <w:r w:rsidR="00E90FAF" w:rsidRPr="00E90FAF">
              <w:rPr>
                <w:rFonts w:ascii="Sylfaen" w:hAnsi="Sylfaen"/>
                <w:sz w:val="24"/>
                <w:szCs w:val="24"/>
              </w:rPr>
              <w:t>(</w:t>
            </w:r>
            <w:r w:rsidR="00401706">
              <w:rPr>
                <w:rFonts w:ascii="Sylfaen" w:hAnsi="Sylfaen"/>
                <w:sz w:val="24"/>
                <w:szCs w:val="24"/>
              </w:rPr>
              <w:t>եթե կիրառելի է</w:t>
            </w:r>
            <w:r w:rsidR="00E90FAF" w:rsidRPr="00E90FAF">
              <w:rPr>
                <w:rFonts w:ascii="Sylfaen" w:hAnsi="Sylfaen"/>
                <w:sz w:val="24"/>
                <w:szCs w:val="24"/>
              </w:rPr>
              <w:t>)</w:t>
            </w:r>
          </w:p>
        </w:tc>
      </w:tr>
      <w:tr w:rsidR="006F76EB" w:rsidRPr="00834D52" w14:paraId="1C88C6E6" w14:textId="77777777" w:rsidTr="00F71229">
        <w:trPr>
          <w:gridAfter w:val="1"/>
          <w:wAfter w:w="11" w:type="dxa"/>
        </w:trPr>
        <w:tc>
          <w:tcPr>
            <w:tcW w:w="1809" w:type="dxa"/>
            <w:tcBorders>
              <w:top w:val="nil"/>
              <w:left w:val="nil"/>
              <w:bottom w:val="nil"/>
              <w:right w:val="nil"/>
            </w:tcBorders>
          </w:tcPr>
          <w:p w14:paraId="18BAE80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1.8.2.</w:t>
            </w:r>
          </w:p>
        </w:tc>
        <w:tc>
          <w:tcPr>
            <w:tcW w:w="8157" w:type="dxa"/>
            <w:tcBorders>
              <w:top w:val="nil"/>
              <w:left w:val="nil"/>
              <w:bottom w:val="nil"/>
              <w:right w:val="nil"/>
            </w:tcBorders>
          </w:tcPr>
          <w:p w14:paraId="5564F145" w14:textId="77777777" w:rsidR="006F76EB" w:rsidRPr="00834D52" w:rsidRDefault="006F76EB" w:rsidP="003205E0">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կլինիկական հետազոտությունների փաստաթղթերը (եթե կիրառելի են)</w:t>
            </w:r>
          </w:p>
        </w:tc>
      </w:tr>
      <w:tr w:rsidR="006F76EB" w:rsidRPr="00834D52" w14:paraId="2B33C977" w14:textId="77777777" w:rsidTr="00F71229">
        <w:trPr>
          <w:gridAfter w:val="1"/>
          <w:wAfter w:w="11" w:type="dxa"/>
        </w:trPr>
        <w:tc>
          <w:tcPr>
            <w:tcW w:w="1809" w:type="dxa"/>
            <w:tcBorders>
              <w:top w:val="nil"/>
              <w:left w:val="nil"/>
              <w:bottom w:val="nil"/>
              <w:right w:val="nil"/>
            </w:tcBorders>
          </w:tcPr>
          <w:p w14:paraId="46432F6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1.8.3.</w:t>
            </w:r>
          </w:p>
        </w:tc>
        <w:tc>
          <w:tcPr>
            <w:tcW w:w="8157" w:type="dxa"/>
            <w:tcBorders>
              <w:top w:val="nil"/>
              <w:left w:val="nil"/>
              <w:bottom w:val="nil"/>
              <w:right w:val="nil"/>
            </w:tcBorders>
          </w:tcPr>
          <w:p w14:paraId="1A7F92EA" w14:textId="77777777" w:rsidR="006F76EB" w:rsidRPr="00834D52" w:rsidRDefault="006F76EB" w:rsidP="00F71229">
            <w:pPr>
              <w:spacing w:after="160" w:line="360" w:lineRule="auto"/>
              <w:ind w:right="111"/>
              <w:jc w:val="both"/>
              <w:rPr>
                <w:rFonts w:ascii="Sylfaen" w:eastAsia="Times New Roman" w:hAnsi="Sylfaen" w:cs="Times New Roman"/>
                <w:spacing w:val="-4"/>
                <w:sz w:val="24"/>
                <w:szCs w:val="24"/>
              </w:rPr>
            </w:pPr>
            <w:r w:rsidRPr="00834D52">
              <w:rPr>
                <w:rFonts w:ascii="Sylfaen" w:hAnsi="Sylfaen"/>
                <w:spacing w:val="-4"/>
                <w:sz w:val="24"/>
                <w:szCs w:val="24"/>
              </w:rPr>
              <w:t>կլինիկական հետազոտությունների ցանկով աղյուսակ (եթե կիրառելի է)</w:t>
            </w:r>
          </w:p>
        </w:tc>
      </w:tr>
      <w:tr w:rsidR="006F76EB" w:rsidRPr="00834D52" w14:paraId="4ABC2696" w14:textId="77777777" w:rsidTr="00F71229">
        <w:trPr>
          <w:gridAfter w:val="1"/>
          <w:wAfter w:w="11" w:type="dxa"/>
        </w:trPr>
        <w:tc>
          <w:tcPr>
            <w:tcW w:w="1809" w:type="dxa"/>
            <w:tcBorders>
              <w:top w:val="nil"/>
              <w:left w:val="nil"/>
              <w:bottom w:val="nil"/>
              <w:right w:val="nil"/>
            </w:tcBorders>
          </w:tcPr>
          <w:p w14:paraId="7CC4A56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1.8.4.</w:t>
            </w:r>
          </w:p>
        </w:tc>
        <w:tc>
          <w:tcPr>
            <w:tcW w:w="8157" w:type="dxa"/>
            <w:tcBorders>
              <w:top w:val="nil"/>
              <w:left w:val="nil"/>
              <w:bottom w:val="nil"/>
              <w:right w:val="nil"/>
            </w:tcBorders>
          </w:tcPr>
          <w:p w14:paraId="1F098190" w14:textId="1AA13266"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նամակը՝ Եվրասիական տնտեսական հանձնաժողովի կողմից հաստատվող՝ Եվրասիական տնտեսական միության պատշաճ կլինիկական գործունեության կանոնների պահանջներին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կլինիկական հետազոտությունների համապատասխանության մասին </w:t>
            </w:r>
          </w:p>
        </w:tc>
      </w:tr>
      <w:tr w:rsidR="006F76EB" w:rsidRPr="00834D52" w14:paraId="623D4869" w14:textId="77777777" w:rsidTr="00F71229">
        <w:trPr>
          <w:gridAfter w:val="1"/>
          <w:wAfter w:w="11" w:type="dxa"/>
        </w:trPr>
        <w:tc>
          <w:tcPr>
            <w:tcW w:w="1809" w:type="dxa"/>
            <w:tcBorders>
              <w:top w:val="nil"/>
              <w:left w:val="nil"/>
              <w:bottom w:val="nil"/>
              <w:right w:val="nil"/>
            </w:tcBorders>
          </w:tcPr>
          <w:p w14:paraId="2F2127F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w:t>
            </w:r>
          </w:p>
        </w:tc>
        <w:tc>
          <w:tcPr>
            <w:tcW w:w="8157" w:type="dxa"/>
            <w:tcBorders>
              <w:top w:val="nil"/>
              <w:left w:val="nil"/>
              <w:bottom w:val="nil"/>
              <w:right w:val="nil"/>
            </w:tcBorders>
          </w:tcPr>
          <w:p w14:paraId="26067EDA" w14:textId="43C16194" w:rsidR="006F76EB" w:rsidRPr="00834D52" w:rsidRDefault="0056496B" w:rsidP="00F71229">
            <w:pPr>
              <w:spacing w:after="160" w:line="336" w:lineRule="auto"/>
              <w:ind w:right="113"/>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ի փաստաթղթերը՝ շրջակա միջավայրի համար պոտենցիալ վտանգը գնահատելու մասին (առկայության դեպքում)՝</w:t>
            </w:r>
          </w:p>
        </w:tc>
      </w:tr>
      <w:tr w:rsidR="006F76EB" w:rsidRPr="00834D52" w14:paraId="74FAC3AD" w14:textId="77777777" w:rsidTr="00F71229">
        <w:trPr>
          <w:gridAfter w:val="1"/>
          <w:wAfter w:w="11" w:type="dxa"/>
        </w:trPr>
        <w:tc>
          <w:tcPr>
            <w:tcW w:w="1809" w:type="dxa"/>
            <w:tcBorders>
              <w:top w:val="nil"/>
              <w:left w:val="nil"/>
              <w:bottom w:val="nil"/>
              <w:right w:val="nil"/>
            </w:tcBorders>
          </w:tcPr>
          <w:p w14:paraId="640FCE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1.9.1.</w:t>
            </w:r>
          </w:p>
        </w:tc>
        <w:tc>
          <w:tcPr>
            <w:tcW w:w="8157" w:type="dxa"/>
            <w:tcBorders>
              <w:top w:val="nil"/>
              <w:left w:val="nil"/>
              <w:bottom w:val="nil"/>
              <w:right w:val="nil"/>
            </w:tcBorders>
          </w:tcPr>
          <w:p w14:paraId="4D70A1C4" w14:textId="00204292" w:rsidR="006F76EB" w:rsidRPr="00834D52" w:rsidRDefault="0056496B" w:rsidP="00F71229">
            <w:pPr>
              <w:spacing w:after="160" w:line="336" w:lineRule="auto"/>
              <w:ind w:right="113"/>
              <w:jc w:val="both"/>
              <w:rPr>
                <w:rFonts w:ascii="Sylfaen" w:eastAsia="Times New Roman" w:hAnsi="Sylfaen" w:cs="Times New Roman"/>
                <w:sz w:val="24"/>
                <w:szCs w:val="24"/>
              </w:rPr>
            </w:pPr>
            <w:r>
              <w:rPr>
                <w:rFonts w:ascii="Sylfaen" w:hAnsi="Sylfaen"/>
                <w:sz w:val="24"/>
                <w:szCs w:val="24"/>
              </w:rPr>
              <w:t>դիմումատու</w:t>
            </w:r>
            <w:r w:rsidR="006F76EB" w:rsidRPr="00834D52">
              <w:rPr>
                <w:rFonts w:ascii="Sylfaen" w:hAnsi="Sylfaen"/>
                <w:sz w:val="24"/>
                <w:szCs w:val="24"/>
              </w:rPr>
              <w:t xml:space="preserve">ի նամակն այն մասին, որ դեղապատրաստուկները պարունակում են գենետիկորեն մոդիֆիկացված օրգանիզմներ կամ ստացվել են դրանցից </w:t>
            </w:r>
            <w:r w:rsidR="00E369DB" w:rsidRPr="00834D52">
              <w:rPr>
                <w:rFonts w:ascii="Sylfaen" w:hAnsi="Sylfaen"/>
                <w:spacing w:val="-4"/>
                <w:sz w:val="24"/>
                <w:szCs w:val="24"/>
              </w:rPr>
              <w:t>(եթե կիրառելի է)</w:t>
            </w:r>
          </w:p>
        </w:tc>
      </w:tr>
      <w:tr w:rsidR="006F76EB" w:rsidRPr="00834D52" w14:paraId="649D66B7" w14:textId="77777777" w:rsidTr="00F71229">
        <w:trPr>
          <w:gridAfter w:val="1"/>
          <w:wAfter w:w="11" w:type="dxa"/>
        </w:trPr>
        <w:tc>
          <w:tcPr>
            <w:tcW w:w="1809" w:type="dxa"/>
            <w:tcBorders>
              <w:top w:val="nil"/>
              <w:left w:val="nil"/>
              <w:bottom w:val="nil"/>
              <w:right w:val="nil"/>
            </w:tcBorders>
          </w:tcPr>
          <w:p w14:paraId="5331BE21"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w:t>
            </w:r>
          </w:p>
        </w:tc>
        <w:tc>
          <w:tcPr>
            <w:tcW w:w="8157" w:type="dxa"/>
            <w:tcBorders>
              <w:top w:val="nil"/>
              <w:left w:val="nil"/>
              <w:bottom w:val="nil"/>
              <w:right w:val="nil"/>
            </w:tcBorders>
          </w:tcPr>
          <w:p w14:paraId="3657E29D" w14:textId="41852651"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միության անդամ պետությունում </w:t>
            </w:r>
            <w:r w:rsidR="0056496B">
              <w:rPr>
                <w:rFonts w:ascii="Sylfaen" w:hAnsi="Sylfaen"/>
                <w:sz w:val="24"/>
                <w:szCs w:val="24"/>
              </w:rPr>
              <w:t>դիմումատու</w:t>
            </w:r>
            <w:r w:rsidRPr="00834D52">
              <w:rPr>
                <w:rFonts w:ascii="Sylfaen" w:hAnsi="Sylfaen"/>
                <w:sz w:val="24"/>
                <w:szCs w:val="24"/>
              </w:rPr>
              <w:t xml:space="preserve">ի դեղազգոնության մասով տեղեկատվություն </w:t>
            </w:r>
          </w:p>
        </w:tc>
      </w:tr>
      <w:tr w:rsidR="006F76EB" w:rsidRPr="00834D52" w14:paraId="24AF5B6F" w14:textId="77777777" w:rsidTr="00F71229">
        <w:trPr>
          <w:gridAfter w:val="1"/>
          <w:wAfter w:w="11" w:type="dxa"/>
        </w:trPr>
        <w:tc>
          <w:tcPr>
            <w:tcW w:w="1809" w:type="dxa"/>
            <w:tcBorders>
              <w:top w:val="nil"/>
              <w:left w:val="nil"/>
              <w:bottom w:val="nil"/>
              <w:right w:val="nil"/>
            </w:tcBorders>
          </w:tcPr>
          <w:p w14:paraId="057A77D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1.10.1.</w:t>
            </w:r>
          </w:p>
        </w:tc>
        <w:tc>
          <w:tcPr>
            <w:tcW w:w="8157" w:type="dxa"/>
            <w:tcBorders>
              <w:top w:val="nil"/>
              <w:left w:val="nil"/>
              <w:bottom w:val="nil"/>
              <w:right w:val="nil"/>
            </w:tcBorders>
          </w:tcPr>
          <w:p w14:paraId="46542229"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գրանցման հավաստագրի իրավատիրոջ դեղազգոնության համակարգի </w:t>
            </w:r>
            <w:r w:rsidRPr="00834D52">
              <w:rPr>
                <w:rFonts w:ascii="Sylfaen" w:hAnsi="Sylfaen"/>
                <w:sz w:val="24"/>
                <w:szCs w:val="24"/>
              </w:rPr>
              <w:lastRenderedPageBreak/>
              <w:t>մաստեր-ֆայլը՝ Եվրասիական տնտեսական միության պատշաճ դեղազգոնության գործունեությանը համապատասխան, կամ գրանցման հավաստագրի իրավատիրոջ դեղազգոնության համակարգի հակիրճ բնութագիրը</w:t>
            </w:r>
          </w:p>
        </w:tc>
      </w:tr>
      <w:tr w:rsidR="006F76EB" w:rsidRPr="00834D52" w14:paraId="749C1EA5" w14:textId="77777777" w:rsidTr="00F71229">
        <w:trPr>
          <w:gridAfter w:val="1"/>
          <w:wAfter w:w="11" w:type="dxa"/>
        </w:trPr>
        <w:tc>
          <w:tcPr>
            <w:tcW w:w="1809" w:type="dxa"/>
            <w:tcBorders>
              <w:top w:val="nil"/>
              <w:left w:val="nil"/>
              <w:bottom w:val="nil"/>
              <w:right w:val="nil"/>
            </w:tcBorders>
          </w:tcPr>
          <w:p w14:paraId="7653714F"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8157" w:type="dxa"/>
            <w:tcBorders>
              <w:top w:val="nil"/>
              <w:left w:val="nil"/>
              <w:bottom w:val="nil"/>
              <w:right w:val="nil"/>
            </w:tcBorders>
          </w:tcPr>
          <w:p w14:paraId="7A2EE88B" w14:textId="77777777"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գրավոր հաստատում այն մասին, որ գրանցման հավաստագրի իրավատերը իր տիրապետության տակ ունի որակավորված անձ, որը պատասխանատու է Եվրասիական տնտեսական միության անդամ պետության տարածքում դեղազգոնության համակարգի համար</w:t>
            </w:r>
          </w:p>
        </w:tc>
      </w:tr>
      <w:tr w:rsidR="006F76EB" w:rsidRPr="00834D52" w14:paraId="63381221" w14:textId="77777777" w:rsidTr="00F71229">
        <w:trPr>
          <w:gridAfter w:val="1"/>
          <w:wAfter w:w="11" w:type="dxa"/>
        </w:trPr>
        <w:tc>
          <w:tcPr>
            <w:tcW w:w="1809" w:type="dxa"/>
            <w:tcBorders>
              <w:top w:val="nil"/>
              <w:left w:val="nil"/>
              <w:bottom w:val="nil"/>
              <w:right w:val="nil"/>
            </w:tcBorders>
          </w:tcPr>
          <w:p w14:paraId="24508D6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1.10.3.</w:t>
            </w:r>
          </w:p>
        </w:tc>
        <w:tc>
          <w:tcPr>
            <w:tcW w:w="8157" w:type="dxa"/>
            <w:tcBorders>
              <w:top w:val="nil"/>
              <w:left w:val="nil"/>
              <w:bottom w:val="nil"/>
              <w:right w:val="nil"/>
            </w:tcBorders>
          </w:tcPr>
          <w:p w14:paraId="414DDD85" w14:textId="54649E9F" w:rsidR="006F76EB" w:rsidRPr="00834D52" w:rsidRDefault="006F76EB" w:rsidP="00F71229">
            <w:pPr>
              <w:spacing w:after="160" w:line="336" w:lineRule="auto"/>
              <w:ind w:right="113"/>
              <w:jc w:val="both"/>
              <w:rPr>
                <w:rFonts w:ascii="Sylfaen" w:eastAsia="Times New Roman" w:hAnsi="Sylfaen" w:cs="Times New Roman"/>
                <w:sz w:val="24"/>
                <w:szCs w:val="24"/>
              </w:rPr>
            </w:pPr>
            <w:r w:rsidRPr="00834D52">
              <w:rPr>
                <w:rFonts w:ascii="Sylfaen" w:hAnsi="Sylfaen"/>
                <w:sz w:val="24"/>
                <w:szCs w:val="24"/>
              </w:rPr>
              <w:t xml:space="preserve">Եվրասիական տնտեսական հանձնաժողովի կողմից հաստատվող՝ Եվրասիական տնտեսական միության պատշաճ դեղազգոնության գործունեության կանոնների պահանջներին համապատասխան գրանցման համար </w:t>
            </w:r>
            <w:r w:rsidR="001A5F1A">
              <w:rPr>
                <w:rFonts w:ascii="Sylfaen" w:hAnsi="Sylfaen"/>
                <w:sz w:val="24"/>
                <w:szCs w:val="24"/>
              </w:rPr>
              <w:t>հայտագրված</w:t>
            </w:r>
            <w:r w:rsidRPr="00834D52">
              <w:rPr>
                <w:rFonts w:ascii="Sylfaen" w:hAnsi="Sylfaen"/>
                <w:sz w:val="24"/>
                <w:szCs w:val="24"/>
              </w:rPr>
              <w:t xml:space="preserve"> դեղապատրաստուկի ռիսկերի կառավարման պլանը (եթե կիրառելի է)</w:t>
            </w:r>
          </w:p>
        </w:tc>
      </w:tr>
      <w:tr w:rsidR="006F76EB" w:rsidRPr="00834D52" w14:paraId="4284E42B" w14:textId="77777777" w:rsidTr="00F71229">
        <w:trPr>
          <w:gridAfter w:val="1"/>
          <w:wAfter w:w="11" w:type="dxa"/>
        </w:trPr>
        <w:tc>
          <w:tcPr>
            <w:tcW w:w="1809" w:type="dxa"/>
            <w:tcBorders>
              <w:top w:val="nil"/>
              <w:left w:val="nil"/>
              <w:bottom w:val="nil"/>
              <w:right w:val="nil"/>
            </w:tcBorders>
          </w:tcPr>
          <w:p w14:paraId="791C5B8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1.10.4.</w:t>
            </w:r>
          </w:p>
        </w:tc>
        <w:tc>
          <w:tcPr>
            <w:tcW w:w="8157" w:type="dxa"/>
            <w:tcBorders>
              <w:top w:val="nil"/>
              <w:left w:val="nil"/>
              <w:bottom w:val="nil"/>
              <w:right w:val="nil"/>
            </w:tcBorders>
          </w:tcPr>
          <w:p w14:paraId="4FEFEDDC"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պատշաճ կերպով վավերացված փաստաթղթեր, որոնցով հաստատվում են գրանցման հավաստագրի իրավատիրոջ բոլոր պարտավորությունների մի քանի իրավաբանական անձանց կողմից պատշաճ կատարումն ապահովող փոխգործակցության առկայությունը</w:t>
            </w:r>
            <w:r w:rsidR="00E369DB">
              <w:rPr>
                <w:rFonts w:ascii="Sylfaen" w:hAnsi="Sylfaen"/>
                <w:sz w:val="24"/>
                <w:szCs w:val="24"/>
              </w:rPr>
              <w:t xml:space="preserve"> </w:t>
            </w:r>
            <w:r w:rsidR="00E369DB" w:rsidRPr="00834D52">
              <w:rPr>
                <w:rFonts w:ascii="Sylfaen" w:hAnsi="Sylfaen"/>
                <w:spacing w:val="-4"/>
                <w:sz w:val="24"/>
                <w:szCs w:val="24"/>
              </w:rPr>
              <w:t>(եթե կիրառելի է)</w:t>
            </w:r>
          </w:p>
        </w:tc>
      </w:tr>
      <w:tr w:rsidR="006F76EB" w:rsidRPr="00834D52" w14:paraId="7AAB97A3" w14:textId="77777777" w:rsidTr="00F71229">
        <w:trPr>
          <w:gridAfter w:val="1"/>
          <w:wAfter w:w="11" w:type="dxa"/>
        </w:trPr>
        <w:tc>
          <w:tcPr>
            <w:tcW w:w="1809" w:type="dxa"/>
            <w:tcBorders>
              <w:top w:val="nil"/>
              <w:left w:val="nil"/>
              <w:bottom w:val="single" w:sz="4" w:space="0" w:color="auto"/>
              <w:right w:val="nil"/>
            </w:tcBorders>
          </w:tcPr>
          <w:p w14:paraId="7F3217E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1.11.</w:t>
            </w:r>
          </w:p>
        </w:tc>
        <w:tc>
          <w:tcPr>
            <w:tcW w:w="8157" w:type="dxa"/>
            <w:tcBorders>
              <w:top w:val="nil"/>
              <w:left w:val="nil"/>
              <w:bottom w:val="single" w:sz="4" w:space="0" w:color="auto"/>
              <w:right w:val="nil"/>
            </w:tcBorders>
          </w:tcPr>
          <w:p w14:paraId="3FCB709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Ապրանքային նշանի գրանցումը հաստատող փաստաթղթերի պատճենները (առկայության դեպքում):</w:t>
            </w:r>
          </w:p>
        </w:tc>
      </w:tr>
      <w:tr w:rsidR="006F76EB" w:rsidRPr="00834D52" w14:paraId="2D79E9A8" w14:textId="77777777" w:rsidTr="00F71229">
        <w:trPr>
          <w:gridAfter w:val="1"/>
          <w:wAfter w:w="11" w:type="dxa"/>
        </w:trPr>
        <w:tc>
          <w:tcPr>
            <w:tcW w:w="9966" w:type="dxa"/>
            <w:gridSpan w:val="2"/>
            <w:tcBorders>
              <w:top w:val="nil"/>
              <w:left w:val="single" w:sz="4" w:space="0" w:color="auto"/>
              <w:bottom w:val="nil"/>
              <w:right w:val="single" w:sz="4" w:space="0" w:color="auto"/>
            </w:tcBorders>
          </w:tcPr>
          <w:p w14:paraId="23E5444C" w14:textId="77777777" w:rsidR="006F76EB" w:rsidRPr="00834D52" w:rsidRDefault="006F76EB" w:rsidP="00F71229">
            <w:pPr>
              <w:spacing w:after="160" w:line="360" w:lineRule="auto"/>
              <w:ind w:right="-31"/>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ՌԵԶՅՈՒՄԵՆ</w:t>
            </w:r>
          </w:p>
        </w:tc>
      </w:tr>
      <w:tr w:rsidR="006F76EB" w:rsidRPr="00834D52" w14:paraId="0CF935C3" w14:textId="77777777" w:rsidTr="00F71229">
        <w:trPr>
          <w:gridAfter w:val="1"/>
          <w:wAfter w:w="11" w:type="dxa"/>
        </w:trPr>
        <w:tc>
          <w:tcPr>
            <w:tcW w:w="1809" w:type="dxa"/>
            <w:tcBorders>
              <w:top w:val="single" w:sz="4" w:space="0" w:color="auto"/>
              <w:left w:val="nil"/>
              <w:bottom w:val="nil"/>
              <w:right w:val="nil"/>
            </w:tcBorders>
          </w:tcPr>
          <w:p w14:paraId="3905A7E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2.1.</w:t>
            </w:r>
          </w:p>
        </w:tc>
        <w:tc>
          <w:tcPr>
            <w:tcW w:w="8157" w:type="dxa"/>
            <w:tcBorders>
              <w:top w:val="single" w:sz="4" w:space="0" w:color="auto"/>
              <w:left w:val="nil"/>
              <w:bottom w:val="nil"/>
              <w:right w:val="nil"/>
            </w:tcBorders>
          </w:tcPr>
          <w:p w14:paraId="2907028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2-5-րդ մոդուլների բովանդակությունը</w:t>
            </w:r>
          </w:p>
        </w:tc>
      </w:tr>
      <w:tr w:rsidR="006F76EB" w:rsidRPr="00834D52" w14:paraId="4539FC6A" w14:textId="77777777" w:rsidTr="00F71229">
        <w:trPr>
          <w:gridAfter w:val="1"/>
          <w:wAfter w:w="11" w:type="dxa"/>
        </w:trPr>
        <w:tc>
          <w:tcPr>
            <w:tcW w:w="1809" w:type="dxa"/>
            <w:tcBorders>
              <w:top w:val="nil"/>
              <w:left w:val="nil"/>
              <w:bottom w:val="nil"/>
              <w:right w:val="nil"/>
            </w:tcBorders>
          </w:tcPr>
          <w:p w14:paraId="4F90343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2.2.</w:t>
            </w:r>
          </w:p>
        </w:tc>
        <w:tc>
          <w:tcPr>
            <w:tcW w:w="8157" w:type="dxa"/>
            <w:tcBorders>
              <w:top w:val="nil"/>
              <w:left w:val="nil"/>
              <w:bottom w:val="nil"/>
              <w:right w:val="nil"/>
            </w:tcBorders>
          </w:tcPr>
          <w:p w14:paraId="6A2FC233"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ԸՏՓ-ի ներածությունը</w:t>
            </w:r>
          </w:p>
        </w:tc>
      </w:tr>
      <w:tr w:rsidR="006F76EB" w:rsidRPr="00834D52" w14:paraId="49EB7063" w14:textId="77777777" w:rsidTr="00F71229">
        <w:trPr>
          <w:gridAfter w:val="1"/>
          <w:wAfter w:w="11" w:type="dxa"/>
        </w:trPr>
        <w:tc>
          <w:tcPr>
            <w:tcW w:w="1809" w:type="dxa"/>
            <w:tcBorders>
              <w:top w:val="nil"/>
              <w:left w:val="nil"/>
              <w:bottom w:val="nil"/>
              <w:right w:val="nil"/>
            </w:tcBorders>
          </w:tcPr>
          <w:p w14:paraId="5C9538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2.3.</w:t>
            </w:r>
          </w:p>
        </w:tc>
        <w:tc>
          <w:tcPr>
            <w:tcW w:w="8157" w:type="dxa"/>
            <w:tcBorders>
              <w:top w:val="nil"/>
              <w:left w:val="nil"/>
              <w:bottom w:val="nil"/>
              <w:right w:val="nil"/>
            </w:tcBorders>
          </w:tcPr>
          <w:p w14:paraId="63B24AC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Որակի ընդհանուր ռեզյումեն</w:t>
            </w:r>
          </w:p>
        </w:tc>
      </w:tr>
      <w:tr w:rsidR="006F76EB" w:rsidRPr="00834D52" w14:paraId="6F7F31C3" w14:textId="77777777" w:rsidTr="00F71229">
        <w:trPr>
          <w:gridAfter w:val="1"/>
          <w:wAfter w:w="11" w:type="dxa"/>
        </w:trPr>
        <w:tc>
          <w:tcPr>
            <w:tcW w:w="1809" w:type="dxa"/>
            <w:tcBorders>
              <w:top w:val="nil"/>
              <w:left w:val="nil"/>
              <w:bottom w:val="nil"/>
              <w:right w:val="nil"/>
            </w:tcBorders>
          </w:tcPr>
          <w:p w14:paraId="6843535D"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2.4.</w:t>
            </w:r>
          </w:p>
        </w:tc>
        <w:tc>
          <w:tcPr>
            <w:tcW w:w="8157" w:type="dxa"/>
            <w:tcBorders>
              <w:top w:val="nil"/>
              <w:left w:val="nil"/>
              <w:bottom w:val="nil"/>
              <w:right w:val="nil"/>
            </w:tcBorders>
          </w:tcPr>
          <w:p w14:paraId="79E208F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Նախակլինիկական տվյալների ամփոփումը</w:t>
            </w:r>
          </w:p>
        </w:tc>
      </w:tr>
      <w:tr w:rsidR="006F76EB" w:rsidRPr="00834D52" w14:paraId="4614D615" w14:textId="77777777" w:rsidTr="00F71229">
        <w:trPr>
          <w:gridAfter w:val="1"/>
          <w:wAfter w:w="11" w:type="dxa"/>
        </w:trPr>
        <w:tc>
          <w:tcPr>
            <w:tcW w:w="1809" w:type="dxa"/>
            <w:tcBorders>
              <w:top w:val="nil"/>
              <w:left w:val="nil"/>
              <w:bottom w:val="nil"/>
              <w:right w:val="nil"/>
            </w:tcBorders>
          </w:tcPr>
          <w:p w14:paraId="7DA50909"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t>2.5.</w:t>
            </w:r>
          </w:p>
        </w:tc>
        <w:tc>
          <w:tcPr>
            <w:tcW w:w="8157" w:type="dxa"/>
            <w:tcBorders>
              <w:top w:val="nil"/>
              <w:left w:val="nil"/>
              <w:bottom w:val="nil"/>
              <w:right w:val="nil"/>
            </w:tcBorders>
          </w:tcPr>
          <w:p w14:paraId="3F58A09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տվյալների ամփոփումը</w:t>
            </w:r>
          </w:p>
        </w:tc>
      </w:tr>
      <w:tr w:rsidR="006F76EB" w:rsidRPr="00834D52" w14:paraId="1FF43D05" w14:textId="77777777" w:rsidTr="00F71229">
        <w:trPr>
          <w:gridAfter w:val="1"/>
          <w:wAfter w:w="11" w:type="dxa"/>
        </w:trPr>
        <w:tc>
          <w:tcPr>
            <w:tcW w:w="1809" w:type="dxa"/>
            <w:tcBorders>
              <w:top w:val="nil"/>
              <w:left w:val="nil"/>
              <w:bottom w:val="nil"/>
              <w:right w:val="nil"/>
            </w:tcBorders>
          </w:tcPr>
          <w:p w14:paraId="2865C3B0"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w:t>
            </w:r>
          </w:p>
        </w:tc>
        <w:tc>
          <w:tcPr>
            <w:tcW w:w="8157" w:type="dxa"/>
            <w:tcBorders>
              <w:top w:val="nil"/>
              <w:left w:val="nil"/>
              <w:bottom w:val="nil"/>
              <w:right w:val="nil"/>
            </w:tcBorders>
          </w:tcPr>
          <w:p w14:paraId="63110B8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հետազոտությունների ռեզյումեն</w:t>
            </w:r>
          </w:p>
        </w:tc>
      </w:tr>
      <w:tr w:rsidR="006F76EB" w:rsidRPr="00834D52" w14:paraId="33682E7C" w14:textId="77777777" w:rsidTr="00F71229">
        <w:trPr>
          <w:gridAfter w:val="1"/>
          <w:wAfter w:w="11" w:type="dxa"/>
        </w:trPr>
        <w:tc>
          <w:tcPr>
            <w:tcW w:w="1809" w:type="dxa"/>
            <w:tcBorders>
              <w:top w:val="nil"/>
              <w:left w:val="nil"/>
              <w:bottom w:val="nil"/>
              <w:right w:val="nil"/>
            </w:tcBorders>
          </w:tcPr>
          <w:p w14:paraId="77D5AFC5"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2.6.1.</w:t>
            </w:r>
          </w:p>
        </w:tc>
        <w:tc>
          <w:tcPr>
            <w:tcW w:w="8157" w:type="dxa"/>
            <w:tcBorders>
              <w:top w:val="nil"/>
              <w:left w:val="nil"/>
              <w:bottom w:val="nil"/>
              <w:right w:val="nil"/>
            </w:tcBorders>
          </w:tcPr>
          <w:p w14:paraId="5BC5194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01534E86" w14:textId="77777777" w:rsidTr="00F71229">
        <w:trPr>
          <w:gridAfter w:val="1"/>
          <w:wAfter w:w="11" w:type="dxa"/>
        </w:trPr>
        <w:tc>
          <w:tcPr>
            <w:tcW w:w="1809" w:type="dxa"/>
            <w:tcBorders>
              <w:top w:val="nil"/>
              <w:left w:val="nil"/>
              <w:bottom w:val="nil"/>
              <w:right w:val="nil"/>
            </w:tcBorders>
          </w:tcPr>
          <w:p w14:paraId="3ECC158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2.6.2.</w:t>
            </w:r>
          </w:p>
        </w:tc>
        <w:tc>
          <w:tcPr>
            <w:tcW w:w="8157" w:type="dxa"/>
            <w:tcBorders>
              <w:top w:val="nil"/>
              <w:left w:val="nil"/>
              <w:bottom w:val="nil"/>
              <w:right w:val="nil"/>
            </w:tcBorders>
          </w:tcPr>
          <w:p w14:paraId="3662A4A6"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Դեղաբանական տվյալների ռեզյումեն՝ աղյուսակների տեսքով</w:t>
            </w:r>
          </w:p>
        </w:tc>
      </w:tr>
      <w:tr w:rsidR="006F76EB" w:rsidRPr="00834D52" w14:paraId="26D746E1" w14:textId="77777777" w:rsidTr="00F71229">
        <w:trPr>
          <w:gridAfter w:val="1"/>
          <w:wAfter w:w="11" w:type="dxa"/>
        </w:trPr>
        <w:tc>
          <w:tcPr>
            <w:tcW w:w="1809" w:type="dxa"/>
            <w:tcBorders>
              <w:top w:val="nil"/>
              <w:left w:val="nil"/>
              <w:bottom w:val="nil"/>
              <w:right w:val="nil"/>
            </w:tcBorders>
          </w:tcPr>
          <w:p w14:paraId="73F8127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2.6.3.</w:t>
            </w:r>
          </w:p>
        </w:tc>
        <w:tc>
          <w:tcPr>
            <w:tcW w:w="8157" w:type="dxa"/>
            <w:tcBorders>
              <w:top w:val="nil"/>
              <w:left w:val="nil"/>
              <w:bottom w:val="nil"/>
              <w:right w:val="nil"/>
            </w:tcBorders>
          </w:tcPr>
          <w:p w14:paraId="0EE94A62" w14:textId="77777777" w:rsidR="006F76EB" w:rsidRPr="00834D52" w:rsidRDefault="00355C33" w:rsidP="00F71229">
            <w:pPr>
              <w:spacing w:after="160" w:line="360" w:lineRule="auto"/>
              <w:ind w:right="111"/>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տեքստային ձ</w:t>
            </w:r>
            <w:r w:rsidR="00C54D75">
              <w:rPr>
                <w:rFonts w:ascii="Sylfaen" w:hAnsi="Sylfaen"/>
                <w:sz w:val="24"/>
                <w:szCs w:val="24"/>
              </w:rPr>
              <w:t>և</w:t>
            </w:r>
            <w:r w:rsidR="006F76EB" w:rsidRPr="00834D52">
              <w:rPr>
                <w:rFonts w:ascii="Sylfaen" w:hAnsi="Sylfaen"/>
                <w:sz w:val="24"/>
                <w:szCs w:val="24"/>
              </w:rPr>
              <w:t>աչափով</w:t>
            </w:r>
          </w:p>
        </w:tc>
      </w:tr>
      <w:tr w:rsidR="006F76EB" w:rsidRPr="00834D52" w14:paraId="74FCB9DB" w14:textId="77777777" w:rsidTr="00F71229">
        <w:trPr>
          <w:gridAfter w:val="1"/>
          <w:wAfter w:w="11" w:type="dxa"/>
        </w:trPr>
        <w:tc>
          <w:tcPr>
            <w:tcW w:w="1809" w:type="dxa"/>
            <w:tcBorders>
              <w:top w:val="nil"/>
              <w:left w:val="nil"/>
              <w:bottom w:val="nil"/>
              <w:right w:val="nil"/>
            </w:tcBorders>
          </w:tcPr>
          <w:p w14:paraId="2BC6DED6"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2.6.4.</w:t>
            </w:r>
          </w:p>
        </w:tc>
        <w:tc>
          <w:tcPr>
            <w:tcW w:w="8157" w:type="dxa"/>
            <w:tcBorders>
              <w:top w:val="nil"/>
              <w:left w:val="nil"/>
              <w:bottom w:val="nil"/>
              <w:right w:val="nil"/>
            </w:tcBorders>
          </w:tcPr>
          <w:p w14:paraId="075F7AF5" w14:textId="77777777" w:rsidR="006F76EB" w:rsidRPr="00834D52" w:rsidRDefault="00355C33" w:rsidP="00F71229">
            <w:pPr>
              <w:spacing w:after="160" w:line="360" w:lineRule="auto"/>
              <w:ind w:right="111"/>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տվյալների ռեզյումեն՝ աղյուսակների տեսքով</w:t>
            </w:r>
          </w:p>
        </w:tc>
      </w:tr>
      <w:tr w:rsidR="006F76EB" w:rsidRPr="00834D52" w14:paraId="3C51EAC7" w14:textId="77777777" w:rsidTr="00F71229">
        <w:trPr>
          <w:gridAfter w:val="1"/>
          <w:wAfter w:w="11" w:type="dxa"/>
        </w:trPr>
        <w:tc>
          <w:tcPr>
            <w:tcW w:w="1809" w:type="dxa"/>
            <w:tcBorders>
              <w:top w:val="nil"/>
              <w:left w:val="nil"/>
              <w:bottom w:val="nil"/>
              <w:right w:val="nil"/>
            </w:tcBorders>
          </w:tcPr>
          <w:p w14:paraId="1E72F0E2"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2.6.5.</w:t>
            </w:r>
          </w:p>
        </w:tc>
        <w:tc>
          <w:tcPr>
            <w:tcW w:w="8157" w:type="dxa"/>
            <w:tcBorders>
              <w:top w:val="nil"/>
              <w:left w:val="nil"/>
              <w:bottom w:val="nil"/>
              <w:right w:val="nil"/>
            </w:tcBorders>
          </w:tcPr>
          <w:p w14:paraId="3A8FDE5A"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տեքստային ձ</w:t>
            </w:r>
            <w:r w:rsidR="00C54D75">
              <w:rPr>
                <w:rFonts w:ascii="Sylfaen" w:hAnsi="Sylfaen"/>
                <w:sz w:val="24"/>
                <w:szCs w:val="24"/>
              </w:rPr>
              <w:t>և</w:t>
            </w:r>
            <w:r w:rsidRPr="00834D52">
              <w:rPr>
                <w:rFonts w:ascii="Sylfaen" w:hAnsi="Sylfaen"/>
                <w:sz w:val="24"/>
                <w:szCs w:val="24"/>
              </w:rPr>
              <w:t>աչափով</w:t>
            </w:r>
          </w:p>
        </w:tc>
      </w:tr>
      <w:tr w:rsidR="006F76EB" w:rsidRPr="00834D52" w14:paraId="1456F239" w14:textId="77777777" w:rsidTr="00F71229">
        <w:trPr>
          <w:gridAfter w:val="1"/>
          <w:wAfter w:w="11" w:type="dxa"/>
        </w:trPr>
        <w:tc>
          <w:tcPr>
            <w:tcW w:w="1809" w:type="dxa"/>
            <w:tcBorders>
              <w:top w:val="nil"/>
              <w:left w:val="nil"/>
              <w:bottom w:val="nil"/>
              <w:right w:val="nil"/>
            </w:tcBorders>
          </w:tcPr>
          <w:p w14:paraId="2DA8A418"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2.6.6.</w:t>
            </w:r>
          </w:p>
        </w:tc>
        <w:tc>
          <w:tcPr>
            <w:tcW w:w="8157" w:type="dxa"/>
            <w:tcBorders>
              <w:top w:val="nil"/>
              <w:left w:val="nil"/>
              <w:bottom w:val="nil"/>
              <w:right w:val="nil"/>
            </w:tcBorders>
          </w:tcPr>
          <w:p w14:paraId="39ABF15B"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Թունաբանական տվյալների ռեզյումեն՝ աղյուսակների տեսքով</w:t>
            </w:r>
          </w:p>
        </w:tc>
      </w:tr>
      <w:tr w:rsidR="006F76EB" w:rsidRPr="00834D52" w14:paraId="19FB1D05" w14:textId="77777777" w:rsidTr="00F71229">
        <w:trPr>
          <w:gridAfter w:val="1"/>
          <w:wAfter w:w="11" w:type="dxa"/>
        </w:trPr>
        <w:tc>
          <w:tcPr>
            <w:tcW w:w="1809" w:type="dxa"/>
            <w:tcBorders>
              <w:top w:val="nil"/>
              <w:left w:val="nil"/>
              <w:bottom w:val="nil"/>
              <w:right w:val="nil"/>
            </w:tcBorders>
          </w:tcPr>
          <w:p w14:paraId="66973717"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w:t>
            </w:r>
          </w:p>
        </w:tc>
        <w:tc>
          <w:tcPr>
            <w:tcW w:w="8157" w:type="dxa"/>
            <w:tcBorders>
              <w:top w:val="nil"/>
              <w:left w:val="nil"/>
              <w:bottom w:val="nil"/>
              <w:right w:val="nil"/>
            </w:tcBorders>
          </w:tcPr>
          <w:p w14:paraId="52296B02" w14:textId="77777777" w:rsidR="006F76EB" w:rsidRPr="00834D52" w:rsidRDefault="006F76EB" w:rsidP="00F71229">
            <w:pPr>
              <w:spacing w:after="160" w:line="360" w:lineRule="auto"/>
              <w:ind w:right="111"/>
              <w:rPr>
                <w:rFonts w:ascii="Sylfaen" w:eastAsia="Times New Roman" w:hAnsi="Sylfaen" w:cs="Times New Roman"/>
                <w:sz w:val="24"/>
                <w:szCs w:val="24"/>
                <w:lang w:val="en-US"/>
              </w:rPr>
            </w:pPr>
            <w:r w:rsidRPr="00834D52">
              <w:rPr>
                <w:rFonts w:ascii="Sylfaen" w:hAnsi="Sylfaen"/>
                <w:sz w:val="24"/>
                <w:szCs w:val="24"/>
              </w:rPr>
              <w:t>Կլինիկական տվյալների ռեզյումեն</w:t>
            </w:r>
          </w:p>
        </w:tc>
      </w:tr>
      <w:tr w:rsidR="006F76EB" w:rsidRPr="00834D52" w14:paraId="5F3EAEE5" w14:textId="77777777" w:rsidTr="00F71229">
        <w:trPr>
          <w:gridAfter w:val="1"/>
          <w:wAfter w:w="11" w:type="dxa"/>
        </w:trPr>
        <w:tc>
          <w:tcPr>
            <w:tcW w:w="1809" w:type="dxa"/>
            <w:tcBorders>
              <w:top w:val="nil"/>
              <w:left w:val="nil"/>
              <w:bottom w:val="nil"/>
              <w:right w:val="nil"/>
            </w:tcBorders>
          </w:tcPr>
          <w:p w14:paraId="519514DE"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2.7.1.</w:t>
            </w:r>
          </w:p>
        </w:tc>
        <w:tc>
          <w:tcPr>
            <w:tcW w:w="8157" w:type="dxa"/>
            <w:tcBorders>
              <w:top w:val="nil"/>
              <w:left w:val="nil"/>
              <w:bottom w:val="nil"/>
              <w:right w:val="nil"/>
            </w:tcBorders>
          </w:tcPr>
          <w:p w14:paraId="5F4E707F" w14:textId="77777777" w:rsidR="006F76EB" w:rsidRPr="00834D52" w:rsidRDefault="006F76EB" w:rsidP="00F71229">
            <w:pPr>
              <w:spacing w:after="160" w:line="360" w:lineRule="auto"/>
              <w:ind w:right="111"/>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դրանց առնչվող վերլուծական մեթոդների ռեզյումեն</w:t>
            </w:r>
          </w:p>
        </w:tc>
      </w:tr>
      <w:tr w:rsidR="006F76EB" w:rsidRPr="00834D52" w14:paraId="169053C2" w14:textId="77777777" w:rsidTr="00F71229">
        <w:trPr>
          <w:gridAfter w:val="1"/>
          <w:wAfter w:w="11" w:type="dxa"/>
        </w:trPr>
        <w:tc>
          <w:tcPr>
            <w:tcW w:w="1809" w:type="dxa"/>
            <w:tcBorders>
              <w:top w:val="nil"/>
              <w:left w:val="nil"/>
              <w:bottom w:val="nil"/>
              <w:right w:val="nil"/>
            </w:tcBorders>
          </w:tcPr>
          <w:p w14:paraId="02C88394"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2.7.2.</w:t>
            </w:r>
          </w:p>
        </w:tc>
        <w:tc>
          <w:tcPr>
            <w:tcW w:w="8157" w:type="dxa"/>
            <w:tcBorders>
              <w:top w:val="nil"/>
              <w:left w:val="nil"/>
              <w:bottom w:val="nil"/>
              <w:right w:val="nil"/>
            </w:tcBorders>
          </w:tcPr>
          <w:p w14:paraId="616C65F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դեղաբանության մասով հետազոտությունների ռեզյումեն</w:t>
            </w:r>
          </w:p>
        </w:tc>
      </w:tr>
      <w:tr w:rsidR="006F76EB" w:rsidRPr="00834D52" w14:paraId="322721B7" w14:textId="77777777" w:rsidTr="00F71229">
        <w:trPr>
          <w:gridAfter w:val="1"/>
          <w:wAfter w:w="11" w:type="dxa"/>
        </w:trPr>
        <w:tc>
          <w:tcPr>
            <w:tcW w:w="1809" w:type="dxa"/>
            <w:tcBorders>
              <w:top w:val="nil"/>
              <w:left w:val="nil"/>
              <w:bottom w:val="nil"/>
              <w:right w:val="nil"/>
            </w:tcBorders>
          </w:tcPr>
          <w:p w14:paraId="39E9E53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2.7.3.</w:t>
            </w:r>
          </w:p>
        </w:tc>
        <w:tc>
          <w:tcPr>
            <w:tcW w:w="8157" w:type="dxa"/>
            <w:tcBorders>
              <w:top w:val="nil"/>
              <w:left w:val="nil"/>
              <w:bottom w:val="nil"/>
              <w:right w:val="nil"/>
            </w:tcBorders>
          </w:tcPr>
          <w:p w14:paraId="5D0C0BA2"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արդյունավետության մասով ռեզյումեն</w:t>
            </w:r>
          </w:p>
        </w:tc>
      </w:tr>
      <w:tr w:rsidR="006F76EB" w:rsidRPr="00834D52" w14:paraId="25A29789" w14:textId="77777777" w:rsidTr="00F71229">
        <w:trPr>
          <w:gridAfter w:val="1"/>
          <w:wAfter w:w="11" w:type="dxa"/>
        </w:trPr>
        <w:tc>
          <w:tcPr>
            <w:tcW w:w="1809" w:type="dxa"/>
            <w:tcBorders>
              <w:top w:val="nil"/>
              <w:left w:val="nil"/>
              <w:bottom w:val="nil"/>
              <w:right w:val="nil"/>
            </w:tcBorders>
          </w:tcPr>
          <w:p w14:paraId="2245377C"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2.7.4.</w:t>
            </w:r>
          </w:p>
        </w:tc>
        <w:tc>
          <w:tcPr>
            <w:tcW w:w="8157" w:type="dxa"/>
            <w:tcBorders>
              <w:top w:val="nil"/>
              <w:left w:val="nil"/>
              <w:bottom w:val="nil"/>
              <w:right w:val="nil"/>
            </w:tcBorders>
          </w:tcPr>
          <w:p w14:paraId="546E46E5"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Կլինիկական անվտանգության մասով ռեզյումեն</w:t>
            </w:r>
          </w:p>
        </w:tc>
      </w:tr>
      <w:tr w:rsidR="006F76EB" w:rsidRPr="00834D52" w14:paraId="598A34B3" w14:textId="77777777" w:rsidTr="00F71229">
        <w:trPr>
          <w:gridAfter w:val="1"/>
          <w:wAfter w:w="11" w:type="dxa"/>
        </w:trPr>
        <w:tc>
          <w:tcPr>
            <w:tcW w:w="1809" w:type="dxa"/>
            <w:tcBorders>
              <w:top w:val="nil"/>
              <w:left w:val="nil"/>
              <w:bottom w:val="nil"/>
              <w:right w:val="nil"/>
            </w:tcBorders>
          </w:tcPr>
          <w:p w14:paraId="699C1C2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2.7.5.</w:t>
            </w:r>
          </w:p>
        </w:tc>
        <w:tc>
          <w:tcPr>
            <w:tcW w:w="8157" w:type="dxa"/>
            <w:tcBorders>
              <w:top w:val="nil"/>
              <w:left w:val="nil"/>
              <w:bottom w:val="nil"/>
              <w:right w:val="nil"/>
            </w:tcBorders>
          </w:tcPr>
          <w:p w14:paraId="24F15658"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Օգտագործված գրականության աղբյուրների պատճենները</w:t>
            </w:r>
          </w:p>
        </w:tc>
      </w:tr>
      <w:tr w:rsidR="006F76EB" w:rsidRPr="00834D52" w14:paraId="389376F0" w14:textId="77777777" w:rsidTr="00F71229">
        <w:trPr>
          <w:gridAfter w:val="1"/>
          <w:wAfter w:w="11" w:type="dxa"/>
        </w:trPr>
        <w:tc>
          <w:tcPr>
            <w:tcW w:w="1809" w:type="dxa"/>
            <w:tcBorders>
              <w:top w:val="nil"/>
              <w:left w:val="nil"/>
              <w:bottom w:val="nil"/>
              <w:right w:val="nil"/>
            </w:tcBorders>
          </w:tcPr>
          <w:p w14:paraId="2614A2DA" w14:textId="77777777" w:rsidR="006F76EB" w:rsidRPr="00834D52" w:rsidRDefault="006F76EB" w:rsidP="00F71229">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2.7.6.</w:t>
            </w:r>
          </w:p>
        </w:tc>
        <w:tc>
          <w:tcPr>
            <w:tcW w:w="8157" w:type="dxa"/>
            <w:tcBorders>
              <w:top w:val="nil"/>
              <w:left w:val="nil"/>
              <w:bottom w:val="nil"/>
              <w:right w:val="nil"/>
            </w:tcBorders>
          </w:tcPr>
          <w:p w14:paraId="00B84749" w14:textId="77777777" w:rsidR="006F76EB" w:rsidRPr="00834D52" w:rsidRDefault="006F76EB" w:rsidP="00F71229">
            <w:pPr>
              <w:spacing w:after="160" w:line="360" w:lineRule="auto"/>
              <w:ind w:right="111"/>
              <w:rPr>
                <w:rFonts w:ascii="Sylfaen" w:eastAsia="Times New Roman" w:hAnsi="Sylfaen" w:cs="Times New Roman"/>
                <w:sz w:val="24"/>
                <w:szCs w:val="24"/>
              </w:rPr>
            </w:pPr>
            <w:r w:rsidRPr="00834D52">
              <w:rPr>
                <w:rFonts w:ascii="Sylfaen" w:hAnsi="Sylfaen"/>
                <w:sz w:val="24"/>
                <w:szCs w:val="24"/>
              </w:rPr>
              <w:t>Անհատական հետազոտությունների հակիրճ ամփոփումը</w:t>
            </w:r>
          </w:p>
        </w:tc>
      </w:tr>
      <w:tr w:rsidR="006F76EB" w:rsidRPr="00834D52" w14:paraId="0EF1D9F7"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0C46B09B" w14:textId="77777777" w:rsidR="006F76EB" w:rsidRPr="00834D52" w:rsidRDefault="006F76EB" w:rsidP="00F71229">
            <w:pPr>
              <w:spacing w:after="120"/>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26A29E56" w14:textId="77777777" w:rsidTr="00F71229">
        <w:tc>
          <w:tcPr>
            <w:tcW w:w="1809" w:type="dxa"/>
            <w:tcBorders>
              <w:top w:val="single" w:sz="4" w:space="0" w:color="auto"/>
              <w:left w:val="nil"/>
              <w:bottom w:val="nil"/>
              <w:right w:val="nil"/>
            </w:tcBorders>
          </w:tcPr>
          <w:p w14:paraId="6F43A049"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3.1.</w:t>
            </w:r>
          </w:p>
        </w:tc>
        <w:tc>
          <w:tcPr>
            <w:tcW w:w="8168" w:type="dxa"/>
            <w:gridSpan w:val="2"/>
            <w:tcBorders>
              <w:top w:val="single" w:sz="4" w:space="0" w:color="auto"/>
              <w:left w:val="nil"/>
              <w:bottom w:val="nil"/>
              <w:right w:val="nil"/>
            </w:tcBorders>
          </w:tcPr>
          <w:p w14:paraId="1068FC4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3-րդ մոդուլի բովանդակությունը</w:t>
            </w:r>
          </w:p>
        </w:tc>
      </w:tr>
      <w:tr w:rsidR="006F76EB" w:rsidRPr="00834D52" w14:paraId="0C885968" w14:textId="77777777" w:rsidTr="00F71229">
        <w:tc>
          <w:tcPr>
            <w:tcW w:w="1809" w:type="dxa"/>
            <w:tcBorders>
              <w:top w:val="nil"/>
              <w:left w:val="nil"/>
              <w:bottom w:val="nil"/>
              <w:right w:val="nil"/>
            </w:tcBorders>
          </w:tcPr>
          <w:p w14:paraId="47A116B8"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w:t>
            </w:r>
          </w:p>
        </w:tc>
        <w:tc>
          <w:tcPr>
            <w:tcW w:w="8168" w:type="dxa"/>
            <w:gridSpan w:val="2"/>
            <w:tcBorders>
              <w:top w:val="nil"/>
              <w:left w:val="nil"/>
              <w:bottom w:val="nil"/>
              <w:right w:val="nil"/>
            </w:tcBorders>
          </w:tcPr>
          <w:p w14:paraId="09F163A5"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Հիմնական տեղեկություններ</w:t>
            </w:r>
          </w:p>
        </w:tc>
      </w:tr>
      <w:tr w:rsidR="006F76EB" w:rsidRPr="00834D52" w14:paraId="06A9BBE3" w14:textId="77777777" w:rsidTr="00F71229">
        <w:tc>
          <w:tcPr>
            <w:tcW w:w="1809" w:type="dxa"/>
            <w:tcBorders>
              <w:top w:val="nil"/>
              <w:left w:val="nil"/>
              <w:bottom w:val="nil"/>
              <w:right w:val="nil"/>
            </w:tcBorders>
          </w:tcPr>
          <w:p w14:paraId="65DAA18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w:t>
            </w:r>
          </w:p>
        </w:tc>
        <w:tc>
          <w:tcPr>
            <w:tcW w:w="8168" w:type="dxa"/>
            <w:gridSpan w:val="2"/>
            <w:tcBorders>
              <w:top w:val="nil"/>
              <w:left w:val="nil"/>
              <w:bottom w:val="nil"/>
              <w:right w:val="nil"/>
            </w:tcBorders>
          </w:tcPr>
          <w:p w14:paraId="0F7495F6" w14:textId="77777777" w:rsidR="006F76EB" w:rsidRPr="00834D52" w:rsidRDefault="006F76EB" w:rsidP="00A028E3">
            <w:pPr>
              <w:spacing w:after="160" w:line="360" w:lineRule="auto"/>
              <w:ind w:right="-6"/>
              <w:jc w:val="both"/>
              <w:rPr>
                <w:rFonts w:ascii="Sylfaen" w:eastAsia="Times New Roman" w:hAnsi="Sylfaen" w:cs="Times New Roman"/>
                <w:sz w:val="24"/>
                <w:szCs w:val="24"/>
              </w:rPr>
            </w:pPr>
            <w:r w:rsidRPr="00834D52">
              <w:rPr>
                <w:rFonts w:ascii="Sylfaen" w:hAnsi="Sylfaen"/>
                <w:sz w:val="24"/>
                <w:szCs w:val="24"/>
              </w:rPr>
              <w:t xml:space="preserve">Ակտիվ դեղագործական բաղադրամաս (ԱԴԲ)՝ մի քանի ակտիվ (ազդող) նյութ պարունակող դեղապատրաստուկների համար տեղեկատվությունը ներկայացվում է ամբողջ ծավալով դրանցից </w:t>
            </w:r>
            <w:r w:rsidRPr="00834D52">
              <w:rPr>
                <w:rFonts w:ascii="Sylfaen" w:hAnsi="Sylfaen"/>
                <w:sz w:val="24"/>
                <w:szCs w:val="24"/>
              </w:rPr>
              <w:lastRenderedPageBreak/>
              <w:t>յուրաքանչյուրի վերաբերյալ</w:t>
            </w:r>
            <w:r w:rsidRPr="00834D52">
              <w:rPr>
                <w:rStyle w:val="FootnoteReference"/>
                <w:rFonts w:ascii="Sylfaen" w:eastAsia="Times New Roman" w:hAnsi="Sylfaen" w:cs="Times New Roman"/>
                <w:sz w:val="24"/>
                <w:szCs w:val="24"/>
              </w:rPr>
              <w:sym w:font="Symbol" w:char="F02A"/>
            </w:r>
            <w:r w:rsidRPr="00834D52">
              <w:rPr>
                <w:rStyle w:val="FootnoteReference"/>
                <w:rFonts w:ascii="Sylfaen" w:eastAsia="Times New Roman" w:hAnsi="Sylfaen" w:cs="Times New Roman"/>
                <w:sz w:val="24"/>
                <w:szCs w:val="24"/>
              </w:rPr>
              <w:sym w:font="Symbol" w:char="F02A"/>
            </w:r>
            <w:r w:rsidRPr="00834D52">
              <w:rPr>
                <w:rFonts w:ascii="Sylfaen" w:hAnsi="Sylfaen"/>
                <w:sz w:val="24"/>
                <w:szCs w:val="24"/>
              </w:rPr>
              <w:t xml:space="preserve"> </w:t>
            </w:r>
          </w:p>
        </w:tc>
      </w:tr>
      <w:tr w:rsidR="006F76EB" w:rsidRPr="00834D52" w14:paraId="79686FFD" w14:textId="77777777" w:rsidTr="00F71229">
        <w:tc>
          <w:tcPr>
            <w:tcW w:w="1809" w:type="dxa"/>
            <w:tcBorders>
              <w:top w:val="nil"/>
              <w:left w:val="nil"/>
              <w:bottom w:val="nil"/>
              <w:right w:val="nil"/>
            </w:tcBorders>
          </w:tcPr>
          <w:p w14:paraId="3899ABD0"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lastRenderedPageBreak/>
              <w:footnoteReference w:customMarkFollows="1" w:id="26"/>
              <w:t>3.2.S.1.</w:t>
            </w:r>
          </w:p>
        </w:tc>
        <w:tc>
          <w:tcPr>
            <w:tcW w:w="8168" w:type="dxa"/>
            <w:gridSpan w:val="2"/>
            <w:tcBorders>
              <w:top w:val="nil"/>
              <w:left w:val="nil"/>
              <w:bottom w:val="nil"/>
              <w:right w:val="nil"/>
            </w:tcBorders>
          </w:tcPr>
          <w:p w14:paraId="7A6114D0"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 xml:space="preserve">Ելանյութերի </w:t>
            </w:r>
            <w:r w:rsidR="00C54D75">
              <w:rPr>
                <w:rFonts w:ascii="Sylfaen" w:hAnsi="Sylfaen"/>
                <w:sz w:val="24"/>
                <w:szCs w:val="24"/>
              </w:rPr>
              <w:t>և</w:t>
            </w:r>
            <w:r w:rsidRPr="00834D52">
              <w:rPr>
                <w:rFonts w:ascii="Sylfaen" w:hAnsi="Sylfaen"/>
                <w:sz w:val="24"/>
                <w:szCs w:val="24"/>
              </w:rPr>
              <w:t xml:space="preserve"> հումքի վերաբերյալ ընդհանուր տեղեկատվություն**</w:t>
            </w:r>
          </w:p>
        </w:tc>
      </w:tr>
      <w:tr w:rsidR="006F76EB" w:rsidRPr="00834D52" w14:paraId="01892EB1" w14:textId="77777777" w:rsidTr="00F71229">
        <w:tc>
          <w:tcPr>
            <w:tcW w:w="1809" w:type="dxa"/>
            <w:tcBorders>
              <w:top w:val="nil"/>
              <w:left w:val="nil"/>
              <w:bottom w:val="nil"/>
              <w:right w:val="nil"/>
            </w:tcBorders>
          </w:tcPr>
          <w:p w14:paraId="369D23A3"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3.2.S.1.1.</w:t>
            </w:r>
          </w:p>
        </w:tc>
        <w:tc>
          <w:tcPr>
            <w:tcW w:w="8168" w:type="dxa"/>
            <w:gridSpan w:val="2"/>
            <w:tcBorders>
              <w:top w:val="nil"/>
              <w:left w:val="nil"/>
              <w:bottom w:val="nil"/>
              <w:right w:val="nil"/>
            </w:tcBorders>
          </w:tcPr>
          <w:p w14:paraId="456CFF41"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անվանումների մասին տեղեկատվություն**</w:t>
            </w:r>
          </w:p>
        </w:tc>
      </w:tr>
      <w:tr w:rsidR="006F76EB" w:rsidRPr="00834D52" w14:paraId="2B54DB89" w14:textId="77777777" w:rsidTr="00F71229">
        <w:tc>
          <w:tcPr>
            <w:tcW w:w="1809" w:type="dxa"/>
            <w:tcBorders>
              <w:top w:val="nil"/>
              <w:left w:val="nil"/>
              <w:bottom w:val="nil"/>
              <w:right w:val="nil"/>
            </w:tcBorders>
          </w:tcPr>
          <w:p w14:paraId="06D0FA1F"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3.2.S.1.2.</w:t>
            </w:r>
          </w:p>
        </w:tc>
        <w:tc>
          <w:tcPr>
            <w:tcW w:w="8168" w:type="dxa"/>
            <w:gridSpan w:val="2"/>
            <w:tcBorders>
              <w:top w:val="nil"/>
              <w:left w:val="nil"/>
              <w:bottom w:val="nil"/>
              <w:right w:val="nil"/>
            </w:tcBorders>
          </w:tcPr>
          <w:p w14:paraId="1A18251F"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կառուցվածքը**</w:t>
            </w:r>
          </w:p>
        </w:tc>
      </w:tr>
      <w:tr w:rsidR="006F76EB" w:rsidRPr="00834D52" w14:paraId="5E843C8F" w14:textId="77777777" w:rsidTr="00F71229">
        <w:tc>
          <w:tcPr>
            <w:tcW w:w="1809" w:type="dxa"/>
            <w:tcBorders>
              <w:top w:val="nil"/>
              <w:left w:val="nil"/>
              <w:bottom w:val="nil"/>
              <w:right w:val="nil"/>
            </w:tcBorders>
          </w:tcPr>
          <w:p w14:paraId="7176DA9D" w14:textId="77777777" w:rsidR="006F76EB" w:rsidRPr="00834D52" w:rsidRDefault="006F76EB" w:rsidP="00A028E3">
            <w:pPr>
              <w:spacing w:after="160" w:line="360" w:lineRule="auto"/>
              <w:ind w:right="-6"/>
              <w:jc w:val="center"/>
              <w:rPr>
                <w:rFonts w:ascii="Sylfaen" w:eastAsia="Times New Roman" w:hAnsi="Sylfaen" w:cs="Times New Roman"/>
                <w:sz w:val="24"/>
                <w:szCs w:val="24"/>
              </w:rPr>
            </w:pPr>
            <w:r w:rsidRPr="00834D52">
              <w:rPr>
                <w:rFonts w:ascii="Sylfaen" w:hAnsi="Sylfaen"/>
                <w:sz w:val="24"/>
                <w:szCs w:val="24"/>
              </w:rPr>
              <w:t>3.2.S.1.3.</w:t>
            </w:r>
          </w:p>
        </w:tc>
        <w:tc>
          <w:tcPr>
            <w:tcW w:w="8168" w:type="dxa"/>
            <w:gridSpan w:val="2"/>
            <w:tcBorders>
              <w:top w:val="nil"/>
              <w:left w:val="nil"/>
              <w:bottom w:val="nil"/>
              <w:right w:val="nil"/>
            </w:tcBorders>
          </w:tcPr>
          <w:p w14:paraId="77ADB84C" w14:textId="77777777" w:rsidR="006F76EB" w:rsidRPr="00834D52" w:rsidRDefault="006F76EB" w:rsidP="00A028E3">
            <w:pPr>
              <w:spacing w:after="160" w:line="360" w:lineRule="auto"/>
              <w:ind w:right="-6"/>
              <w:rPr>
                <w:rFonts w:ascii="Sylfaen" w:eastAsia="Times New Roman" w:hAnsi="Sylfaen" w:cs="Times New Roman"/>
                <w:sz w:val="24"/>
                <w:szCs w:val="24"/>
              </w:rPr>
            </w:pPr>
            <w:r w:rsidRPr="00834D52">
              <w:rPr>
                <w:rFonts w:ascii="Sylfaen" w:hAnsi="Sylfaen"/>
                <w:sz w:val="24"/>
                <w:szCs w:val="24"/>
              </w:rPr>
              <w:t>ԱԴԲ-ի ընդհանուր հատկությունները**</w:t>
            </w:r>
          </w:p>
        </w:tc>
      </w:tr>
      <w:tr w:rsidR="006F76EB" w:rsidRPr="00834D52" w14:paraId="192E7295" w14:textId="77777777" w:rsidTr="00F71229">
        <w:tc>
          <w:tcPr>
            <w:tcW w:w="1809" w:type="dxa"/>
            <w:tcBorders>
              <w:top w:val="nil"/>
              <w:left w:val="nil"/>
              <w:bottom w:val="nil"/>
              <w:right w:val="nil"/>
            </w:tcBorders>
          </w:tcPr>
          <w:p w14:paraId="12142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8168" w:type="dxa"/>
            <w:gridSpan w:val="2"/>
            <w:tcBorders>
              <w:top w:val="nil"/>
              <w:left w:val="nil"/>
              <w:bottom w:val="nil"/>
              <w:right w:val="nil"/>
            </w:tcBorders>
          </w:tcPr>
          <w:p w14:paraId="2AC315F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արտադրության գործընթացը</w:t>
            </w:r>
          </w:p>
        </w:tc>
      </w:tr>
      <w:tr w:rsidR="006F76EB" w:rsidRPr="00834D52" w14:paraId="419BA402" w14:textId="77777777" w:rsidTr="00F71229">
        <w:tc>
          <w:tcPr>
            <w:tcW w:w="1809" w:type="dxa"/>
            <w:tcBorders>
              <w:top w:val="nil"/>
              <w:left w:val="nil"/>
              <w:bottom w:val="nil"/>
              <w:right w:val="nil"/>
            </w:tcBorders>
          </w:tcPr>
          <w:p w14:paraId="25EE8D68"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3.2.S.2.1.</w:t>
            </w:r>
          </w:p>
        </w:tc>
        <w:tc>
          <w:tcPr>
            <w:tcW w:w="8168" w:type="dxa"/>
            <w:gridSpan w:val="2"/>
            <w:tcBorders>
              <w:top w:val="nil"/>
              <w:left w:val="nil"/>
              <w:bottom w:val="nil"/>
              <w:right w:val="nil"/>
            </w:tcBorders>
          </w:tcPr>
          <w:p w14:paraId="4BB3890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Արտադրողը**</w:t>
            </w:r>
          </w:p>
        </w:tc>
      </w:tr>
      <w:tr w:rsidR="006F76EB" w:rsidRPr="00834D52" w14:paraId="1515EBCB" w14:textId="77777777" w:rsidTr="00F71229">
        <w:tc>
          <w:tcPr>
            <w:tcW w:w="1809" w:type="dxa"/>
            <w:tcBorders>
              <w:top w:val="nil"/>
              <w:left w:val="nil"/>
              <w:bottom w:val="nil"/>
              <w:right w:val="nil"/>
            </w:tcBorders>
          </w:tcPr>
          <w:p w14:paraId="0AEFC6D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3.2.S.2.2.</w:t>
            </w:r>
          </w:p>
        </w:tc>
        <w:tc>
          <w:tcPr>
            <w:tcW w:w="8168" w:type="dxa"/>
            <w:gridSpan w:val="2"/>
            <w:tcBorders>
              <w:top w:val="nil"/>
              <w:left w:val="nil"/>
              <w:bottom w:val="nil"/>
              <w:right w:val="nil"/>
            </w:tcBorders>
          </w:tcPr>
          <w:p w14:paraId="2BAC8924"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նկարագրությունն ու դրա հսկողությունը</w:t>
            </w:r>
          </w:p>
        </w:tc>
      </w:tr>
      <w:tr w:rsidR="006F76EB" w:rsidRPr="00834D52" w14:paraId="0B5F05E7" w14:textId="77777777" w:rsidTr="00F71229">
        <w:tc>
          <w:tcPr>
            <w:tcW w:w="1809" w:type="dxa"/>
            <w:tcBorders>
              <w:top w:val="nil"/>
              <w:left w:val="nil"/>
              <w:bottom w:val="nil"/>
              <w:right w:val="nil"/>
            </w:tcBorders>
          </w:tcPr>
          <w:p w14:paraId="050389B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3.2.S.2.3.</w:t>
            </w:r>
          </w:p>
        </w:tc>
        <w:tc>
          <w:tcPr>
            <w:tcW w:w="8168" w:type="dxa"/>
            <w:gridSpan w:val="2"/>
            <w:tcBorders>
              <w:top w:val="nil"/>
              <w:left w:val="nil"/>
              <w:bottom w:val="nil"/>
              <w:right w:val="nil"/>
            </w:tcBorders>
          </w:tcPr>
          <w:p w14:paraId="73C5EE9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Ելանյութերի հսկողությունը</w:t>
            </w:r>
          </w:p>
        </w:tc>
      </w:tr>
      <w:tr w:rsidR="006F76EB" w:rsidRPr="00834D52" w14:paraId="77B27C3D" w14:textId="77777777" w:rsidTr="00F71229">
        <w:tc>
          <w:tcPr>
            <w:tcW w:w="1809" w:type="dxa"/>
            <w:tcBorders>
              <w:top w:val="nil"/>
              <w:left w:val="nil"/>
              <w:bottom w:val="nil"/>
              <w:right w:val="nil"/>
            </w:tcBorders>
          </w:tcPr>
          <w:p w14:paraId="577229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3.2.S.2.4.</w:t>
            </w:r>
          </w:p>
        </w:tc>
        <w:tc>
          <w:tcPr>
            <w:tcW w:w="8168" w:type="dxa"/>
            <w:gridSpan w:val="2"/>
            <w:tcBorders>
              <w:top w:val="nil"/>
              <w:left w:val="nil"/>
              <w:bottom w:val="nil"/>
              <w:right w:val="nil"/>
            </w:tcBorders>
          </w:tcPr>
          <w:p w14:paraId="51BDC16E"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0E01B26" w14:textId="77777777" w:rsidTr="00F71229">
        <w:tc>
          <w:tcPr>
            <w:tcW w:w="1809" w:type="dxa"/>
            <w:tcBorders>
              <w:top w:val="nil"/>
              <w:left w:val="nil"/>
              <w:bottom w:val="nil"/>
              <w:right w:val="nil"/>
            </w:tcBorders>
          </w:tcPr>
          <w:p w14:paraId="155523D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3.2.S.2.5.</w:t>
            </w:r>
          </w:p>
        </w:tc>
        <w:tc>
          <w:tcPr>
            <w:tcW w:w="8168" w:type="dxa"/>
            <w:gridSpan w:val="2"/>
            <w:tcBorders>
              <w:top w:val="nil"/>
              <w:left w:val="nil"/>
              <w:bottom w:val="nil"/>
              <w:right w:val="nil"/>
            </w:tcBorders>
          </w:tcPr>
          <w:p w14:paraId="7E4D270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4ACE1561" w14:textId="77777777" w:rsidTr="00F71229">
        <w:tc>
          <w:tcPr>
            <w:tcW w:w="1809" w:type="dxa"/>
            <w:tcBorders>
              <w:top w:val="nil"/>
              <w:left w:val="nil"/>
              <w:bottom w:val="nil"/>
              <w:right w:val="nil"/>
            </w:tcBorders>
          </w:tcPr>
          <w:p w14:paraId="607E83B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3.2.S.2.6.</w:t>
            </w:r>
          </w:p>
        </w:tc>
        <w:tc>
          <w:tcPr>
            <w:tcW w:w="8168" w:type="dxa"/>
            <w:gridSpan w:val="2"/>
            <w:tcBorders>
              <w:top w:val="nil"/>
              <w:left w:val="nil"/>
              <w:bottom w:val="nil"/>
              <w:right w:val="nil"/>
            </w:tcBorders>
          </w:tcPr>
          <w:p w14:paraId="708F76D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5C21EFA3" w14:textId="77777777" w:rsidTr="00F71229">
        <w:tc>
          <w:tcPr>
            <w:tcW w:w="1809" w:type="dxa"/>
            <w:tcBorders>
              <w:top w:val="nil"/>
              <w:left w:val="nil"/>
              <w:bottom w:val="nil"/>
              <w:right w:val="nil"/>
            </w:tcBorders>
          </w:tcPr>
          <w:p w14:paraId="5F1701F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8168" w:type="dxa"/>
            <w:gridSpan w:val="2"/>
            <w:tcBorders>
              <w:top w:val="nil"/>
              <w:left w:val="nil"/>
              <w:bottom w:val="nil"/>
              <w:right w:val="nil"/>
            </w:tcBorders>
          </w:tcPr>
          <w:p w14:paraId="10B3C89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բնութագրերի նկարագրությունը**</w:t>
            </w:r>
          </w:p>
        </w:tc>
      </w:tr>
      <w:tr w:rsidR="006F76EB" w:rsidRPr="00834D52" w14:paraId="3B121A24" w14:textId="77777777" w:rsidTr="00F71229">
        <w:tc>
          <w:tcPr>
            <w:tcW w:w="1809" w:type="dxa"/>
            <w:tcBorders>
              <w:top w:val="nil"/>
              <w:left w:val="nil"/>
              <w:bottom w:val="nil"/>
              <w:right w:val="nil"/>
            </w:tcBorders>
          </w:tcPr>
          <w:p w14:paraId="1CF32A5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3.2.S.3.1.</w:t>
            </w:r>
          </w:p>
        </w:tc>
        <w:tc>
          <w:tcPr>
            <w:tcW w:w="8168" w:type="dxa"/>
            <w:gridSpan w:val="2"/>
            <w:tcBorders>
              <w:top w:val="nil"/>
              <w:left w:val="nil"/>
              <w:bottom w:val="nil"/>
              <w:right w:val="nil"/>
            </w:tcBorders>
          </w:tcPr>
          <w:p w14:paraId="37AB20B2"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Կառուցվածքի </w:t>
            </w:r>
            <w:r w:rsidR="00C54D75">
              <w:rPr>
                <w:rFonts w:ascii="Sylfaen" w:hAnsi="Sylfaen"/>
                <w:sz w:val="24"/>
                <w:szCs w:val="24"/>
              </w:rPr>
              <w:t>և</w:t>
            </w:r>
            <w:r w:rsidRPr="00834D52">
              <w:rPr>
                <w:rFonts w:ascii="Sylfaen" w:hAnsi="Sylfaen"/>
                <w:sz w:val="24"/>
                <w:szCs w:val="24"/>
              </w:rPr>
              <w:t xml:space="preserve"> այլ բնութագրերի հաստատումը</w:t>
            </w:r>
          </w:p>
        </w:tc>
      </w:tr>
      <w:tr w:rsidR="006F76EB" w:rsidRPr="00834D52" w14:paraId="53C012AA" w14:textId="77777777" w:rsidTr="00F71229">
        <w:tc>
          <w:tcPr>
            <w:tcW w:w="1809" w:type="dxa"/>
            <w:tcBorders>
              <w:top w:val="nil"/>
              <w:left w:val="nil"/>
              <w:bottom w:val="nil"/>
              <w:right w:val="nil"/>
            </w:tcBorders>
          </w:tcPr>
          <w:p w14:paraId="4081A9E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3.2.S.3.2.</w:t>
            </w:r>
          </w:p>
        </w:tc>
        <w:tc>
          <w:tcPr>
            <w:tcW w:w="8168" w:type="dxa"/>
            <w:gridSpan w:val="2"/>
            <w:tcBorders>
              <w:top w:val="nil"/>
              <w:left w:val="nil"/>
              <w:bottom w:val="nil"/>
              <w:right w:val="nil"/>
            </w:tcBorders>
          </w:tcPr>
          <w:p w14:paraId="495EC53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Խառնուկները**</w:t>
            </w:r>
          </w:p>
        </w:tc>
      </w:tr>
      <w:tr w:rsidR="006F76EB" w:rsidRPr="00834D52" w14:paraId="2886C15C" w14:textId="77777777" w:rsidTr="00F71229">
        <w:tc>
          <w:tcPr>
            <w:tcW w:w="1809" w:type="dxa"/>
            <w:tcBorders>
              <w:top w:val="nil"/>
              <w:left w:val="nil"/>
              <w:bottom w:val="nil"/>
              <w:right w:val="nil"/>
            </w:tcBorders>
          </w:tcPr>
          <w:p w14:paraId="0A98D52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3.2.S.4.</w:t>
            </w:r>
          </w:p>
        </w:tc>
        <w:tc>
          <w:tcPr>
            <w:tcW w:w="8168" w:type="dxa"/>
            <w:gridSpan w:val="2"/>
            <w:tcBorders>
              <w:top w:val="nil"/>
              <w:left w:val="nil"/>
              <w:bottom w:val="nil"/>
              <w:right w:val="nil"/>
            </w:tcBorders>
          </w:tcPr>
          <w:p w14:paraId="243536D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ԱԴԲ-ի որակի հսկողությունը**</w:t>
            </w:r>
          </w:p>
        </w:tc>
      </w:tr>
      <w:tr w:rsidR="006F76EB" w:rsidRPr="00834D52" w14:paraId="7177EF38" w14:textId="77777777" w:rsidTr="00F71229">
        <w:tc>
          <w:tcPr>
            <w:tcW w:w="1809" w:type="dxa"/>
            <w:tcBorders>
              <w:top w:val="nil"/>
              <w:left w:val="nil"/>
              <w:bottom w:val="nil"/>
              <w:right w:val="nil"/>
            </w:tcBorders>
          </w:tcPr>
          <w:p w14:paraId="54B4B0AD"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3.2.S.4.1.</w:t>
            </w:r>
          </w:p>
        </w:tc>
        <w:tc>
          <w:tcPr>
            <w:tcW w:w="8168" w:type="dxa"/>
            <w:gridSpan w:val="2"/>
            <w:tcBorders>
              <w:top w:val="nil"/>
              <w:left w:val="nil"/>
              <w:bottom w:val="nil"/>
              <w:right w:val="nil"/>
            </w:tcBorders>
          </w:tcPr>
          <w:p w14:paraId="32EAB6EA"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Մասնագիրը**</w:t>
            </w:r>
          </w:p>
        </w:tc>
      </w:tr>
      <w:tr w:rsidR="006F76EB" w:rsidRPr="00834D52" w14:paraId="6356CA7E" w14:textId="77777777" w:rsidTr="00F71229">
        <w:tc>
          <w:tcPr>
            <w:tcW w:w="1809" w:type="dxa"/>
            <w:tcBorders>
              <w:top w:val="nil"/>
              <w:left w:val="nil"/>
              <w:bottom w:val="nil"/>
              <w:right w:val="nil"/>
            </w:tcBorders>
          </w:tcPr>
          <w:p w14:paraId="21212AB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3.2.S.4.2.</w:t>
            </w:r>
          </w:p>
        </w:tc>
        <w:tc>
          <w:tcPr>
            <w:tcW w:w="8168" w:type="dxa"/>
            <w:gridSpan w:val="2"/>
            <w:tcBorders>
              <w:top w:val="nil"/>
              <w:left w:val="nil"/>
              <w:bottom w:val="nil"/>
              <w:right w:val="nil"/>
            </w:tcBorders>
          </w:tcPr>
          <w:p w14:paraId="10713DA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5EC0809C" w14:textId="77777777" w:rsidTr="00F71229">
        <w:tc>
          <w:tcPr>
            <w:tcW w:w="1809" w:type="dxa"/>
            <w:tcBorders>
              <w:top w:val="nil"/>
              <w:left w:val="nil"/>
              <w:bottom w:val="nil"/>
              <w:right w:val="nil"/>
            </w:tcBorders>
          </w:tcPr>
          <w:p w14:paraId="13A31EA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3.2.S.4.3.</w:t>
            </w:r>
          </w:p>
        </w:tc>
        <w:tc>
          <w:tcPr>
            <w:tcW w:w="8168" w:type="dxa"/>
            <w:gridSpan w:val="2"/>
            <w:tcBorders>
              <w:top w:val="nil"/>
              <w:left w:val="nil"/>
              <w:bottom w:val="nil"/>
              <w:right w:val="nil"/>
            </w:tcBorders>
          </w:tcPr>
          <w:p w14:paraId="73DC1FE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6B1BDEF" w14:textId="77777777" w:rsidTr="00F71229">
        <w:tc>
          <w:tcPr>
            <w:tcW w:w="1809" w:type="dxa"/>
            <w:tcBorders>
              <w:top w:val="nil"/>
              <w:left w:val="nil"/>
              <w:bottom w:val="nil"/>
              <w:right w:val="nil"/>
            </w:tcBorders>
          </w:tcPr>
          <w:p w14:paraId="1A12DA9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3.2.S.4.4.</w:t>
            </w:r>
          </w:p>
        </w:tc>
        <w:tc>
          <w:tcPr>
            <w:tcW w:w="8168" w:type="dxa"/>
            <w:gridSpan w:val="2"/>
            <w:tcBorders>
              <w:top w:val="nil"/>
              <w:left w:val="nil"/>
              <w:bottom w:val="nil"/>
              <w:right w:val="nil"/>
            </w:tcBorders>
          </w:tcPr>
          <w:p w14:paraId="60584DE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Սերիաների վերլուծություն (սերիաների վերլուծության արդյունքները)**</w:t>
            </w:r>
          </w:p>
        </w:tc>
      </w:tr>
      <w:tr w:rsidR="006F76EB" w:rsidRPr="00834D52" w14:paraId="54ACB03D" w14:textId="77777777" w:rsidTr="00F71229">
        <w:tc>
          <w:tcPr>
            <w:tcW w:w="1809" w:type="dxa"/>
            <w:tcBorders>
              <w:top w:val="nil"/>
              <w:left w:val="nil"/>
              <w:bottom w:val="nil"/>
              <w:right w:val="nil"/>
            </w:tcBorders>
          </w:tcPr>
          <w:p w14:paraId="5BD04EF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3.2.S.4.5.</w:t>
            </w:r>
          </w:p>
        </w:tc>
        <w:tc>
          <w:tcPr>
            <w:tcW w:w="8168" w:type="dxa"/>
            <w:gridSpan w:val="2"/>
            <w:tcBorders>
              <w:top w:val="nil"/>
              <w:left w:val="nil"/>
              <w:bottom w:val="nil"/>
              <w:right w:val="nil"/>
            </w:tcBorders>
          </w:tcPr>
          <w:p w14:paraId="61715A9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Մասնագրի հիմնավորումը</w:t>
            </w:r>
          </w:p>
        </w:tc>
      </w:tr>
      <w:tr w:rsidR="006F76EB" w:rsidRPr="00834D52" w14:paraId="110BCA49" w14:textId="77777777" w:rsidTr="00F71229">
        <w:tc>
          <w:tcPr>
            <w:tcW w:w="1809" w:type="dxa"/>
            <w:tcBorders>
              <w:top w:val="nil"/>
              <w:left w:val="nil"/>
              <w:bottom w:val="nil"/>
              <w:right w:val="nil"/>
            </w:tcBorders>
          </w:tcPr>
          <w:p w14:paraId="7FF1F12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3.2.S.5.</w:t>
            </w:r>
          </w:p>
        </w:tc>
        <w:tc>
          <w:tcPr>
            <w:tcW w:w="8168" w:type="dxa"/>
            <w:gridSpan w:val="2"/>
            <w:tcBorders>
              <w:top w:val="nil"/>
              <w:left w:val="nil"/>
              <w:bottom w:val="nil"/>
              <w:right w:val="nil"/>
            </w:tcBorders>
          </w:tcPr>
          <w:p w14:paraId="7FBD023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Ստանդարտ նմուշները կամ նյութերը</w:t>
            </w:r>
          </w:p>
        </w:tc>
      </w:tr>
      <w:tr w:rsidR="006F76EB" w:rsidRPr="00834D52" w14:paraId="0E2AAEF8" w14:textId="77777777" w:rsidTr="00F71229">
        <w:tc>
          <w:tcPr>
            <w:tcW w:w="1809" w:type="dxa"/>
            <w:tcBorders>
              <w:top w:val="nil"/>
              <w:left w:val="nil"/>
              <w:bottom w:val="nil"/>
              <w:right w:val="nil"/>
            </w:tcBorders>
          </w:tcPr>
          <w:p w14:paraId="0C5C0A3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8168" w:type="dxa"/>
            <w:gridSpan w:val="2"/>
            <w:tcBorders>
              <w:top w:val="nil"/>
              <w:left w:val="nil"/>
              <w:bottom w:val="nil"/>
              <w:right w:val="nil"/>
            </w:tcBorders>
          </w:tcPr>
          <w:p w14:paraId="41FFD211"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0BA568D8" w14:textId="77777777" w:rsidTr="00F71229">
        <w:tc>
          <w:tcPr>
            <w:tcW w:w="1809" w:type="dxa"/>
            <w:tcBorders>
              <w:top w:val="nil"/>
              <w:left w:val="nil"/>
              <w:bottom w:val="nil"/>
              <w:right w:val="nil"/>
            </w:tcBorders>
          </w:tcPr>
          <w:p w14:paraId="16871CF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8168" w:type="dxa"/>
            <w:gridSpan w:val="2"/>
            <w:tcBorders>
              <w:top w:val="nil"/>
              <w:left w:val="nil"/>
              <w:bottom w:val="nil"/>
              <w:right w:val="nil"/>
            </w:tcBorders>
          </w:tcPr>
          <w:p w14:paraId="586DE98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Կայունությունը**</w:t>
            </w:r>
          </w:p>
        </w:tc>
      </w:tr>
      <w:tr w:rsidR="006F76EB" w:rsidRPr="00834D52" w14:paraId="23F2F67A" w14:textId="77777777" w:rsidTr="00F71229">
        <w:tc>
          <w:tcPr>
            <w:tcW w:w="1809" w:type="dxa"/>
            <w:tcBorders>
              <w:top w:val="nil"/>
              <w:left w:val="nil"/>
              <w:bottom w:val="nil"/>
              <w:right w:val="nil"/>
            </w:tcBorders>
          </w:tcPr>
          <w:p w14:paraId="63B3D6C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3.2.S.7.1.</w:t>
            </w:r>
          </w:p>
        </w:tc>
        <w:tc>
          <w:tcPr>
            <w:tcW w:w="8168" w:type="dxa"/>
            <w:gridSpan w:val="2"/>
            <w:tcBorders>
              <w:top w:val="nil"/>
              <w:left w:val="nil"/>
              <w:bottom w:val="nil"/>
              <w:right w:val="nil"/>
            </w:tcBorders>
          </w:tcPr>
          <w:p w14:paraId="0544300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729F77F8" w14:textId="77777777" w:rsidTr="00F71229">
        <w:tc>
          <w:tcPr>
            <w:tcW w:w="1809" w:type="dxa"/>
            <w:tcBorders>
              <w:top w:val="nil"/>
              <w:left w:val="nil"/>
              <w:bottom w:val="nil"/>
              <w:right w:val="nil"/>
            </w:tcBorders>
          </w:tcPr>
          <w:p w14:paraId="3AE664D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3.2.S.7.2.</w:t>
            </w:r>
          </w:p>
        </w:tc>
        <w:tc>
          <w:tcPr>
            <w:tcW w:w="8168" w:type="dxa"/>
            <w:gridSpan w:val="2"/>
            <w:tcBorders>
              <w:top w:val="nil"/>
              <w:left w:val="nil"/>
              <w:bottom w:val="nil"/>
              <w:right w:val="nil"/>
            </w:tcBorders>
          </w:tcPr>
          <w:p w14:paraId="33B645C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կայունությանը վերաբերող պարտավորությունները**</w:t>
            </w:r>
          </w:p>
        </w:tc>
      </w:tr>
      <w:tr w:rsidR="006F76EB" w:rsidRPr="00834D52" w14:paraId="75F2320E" w14:textId="77777777" w:rsidTr="00F71229">
        <w:tc>
          <w:tcPr>
            <w:tcW w:w="1809" w:type="dxa"/>
            <w:tcBorders>
              <w:top w:val="nil"/>
              <w:left w:val="nil"/>
              <w:bottom w:val="nil"/>
              <w:right w:val="nil"/>
            </w:tcBorders>
          </w:tcPr>
          <w:p w14:paraId="6ACA6A64"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3.2.S.7.3.</w:t>
            </w:r>
          </w:p>
        </w:tc>
        <w:tc>
          <w:tcPr>
            <w:tcW w:w="8168" w:type="dxa"/>
            <w:gridSpan w:val="2"/>
            <w:tcBorders>
              <w:top w:val="nil"/>
              <w:left w:val="nil"/>
              <w:bottom w:val="nil"/>
              <w:right w:val="nil"/>
            </w:tcBorders>
          </w:tcPr>
          <w:p w14:paraId="72605D8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Կայունության վերաբերյալ փորձարկումների տվյալները**</w:t>
            </w:r>
          </w:p>
        </w:tc>
      </w:tr>
      <w:tr w:rsidR="006F76EB" w:rsidRPr="00834D52" w14:paraId="3627C356" w14:textId="77777777" w:rsidTr="00F71229">
        <w:tc>
          <w:tcPr>
            <w:tcW w:w="1809" w:type="dxa"/>
            <w:tcBorders>
              <w:top w:val="nil"/>
              <w:left w:val="nil"/>
              <w:bottom w:val="nil"/>
              <w:right w:val="nil"/>
            </w:tcBorders>
          </w:tcPr>
          <w:p w14:paraId="67772DB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8168" w:type="dxa"/>
            <w:gridSpan w:val="2"/>
            <w:tcBorders>
              <w:top w:val="nil"/>
              <w:left w:val="nil"/>
              <w:bottom w:val="nil"/>
              <w:right w:val="nil"/>
            </w:tcBorders>
          </w:tcPr>
          <w:p w14:paraId="622164E0"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56112AD3" w14:textId="77777777" w:rsidTr="00F71229">
        <w:tc>
          <w:tcPr>
            <w:tcW w:w="1809" w:type="dxa"/>
            <w:tcBorders>
              <w:top w:val="nil"/>
              <w:left w:val="nil"/>
              <w:bottom w:val="nil"/>
              <w:right w:val="nil"/>
            </w:tcBorders>
          </w:tcPr>
          <w:p w14:paraId="2E7D8B8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8168" w:type="dxa"/>
            <w:gridSpan w:val="2"/>
            <w:tcBorders>
              <w:top w:val="nil"/>
              <w:left w:val="nil"/>
              <w:bottom w:val="nil"/>
              <w:right w:val="nil"/>
            </w:tcBorders>
          </w:tcPr>
          <w:p w14:paraId="215F0A0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Դեղապատրաստուկի նկարագրությունը </w:t>
            </w:r>
            <w:r w:rsidR="00C54D75">
              <w:rPr>
                <w:rFonts w:ascii="Sylfaen" w:hAnsi="Sylfaen"/>
                <w:sz w:val="24"/>
                <w:szCs w:val="24"/>
              </w:rPr>
              <w:t>և</w:t>
            </w:r>
            <w:r w:rsidRPr="00834D52">
              <w:rPr>
                <w:rFonts w:ascii="Sylfaen" w:hAnsi="Sylfaen"/>
                <w:sz w:val="24"/>
                <w:szCs w:val="24"/>
              </w:rPr>
              <w:t xml:space="preserve"> բաղադրությունը</w:t>
            </w:r>
          </w:p>
        </w:tc>
      </w:tr>
      <w:tr w:rsidR="006F76EB" w:rsidRPr="00834D52" w14:paraId="5E19AD2F" w14:textId="77777777" w:rsidTr="00F71229">
        <w:tc>
          <w:tcPr>
            <w:tcW w:w="1809" w:type="dxa"/>
            <w:tcBorders>
              <w:top w:val="nil"/>
              <w:left w:val="nil"/>
              <w:bottom w:val="nil"/>
              <w:right w:val="nil"/>
            </w:tcBorders>
          </w:tcPr>
          <w:p w14:paraId="6BA4D0E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8168" w:type="dxa"/>
            <w:gridSpan w:val="2"/>
            <w:tcBorders>
              <w:top w:val="nil"/>
              <w:left w:val="nil"/>
              <w:bottom w:val="nil"/>
              <w:right w:val="nil"/>
            </w:tcBorders>
          </w:tcPr>
          <w:p w14:paraId="2CEEBEC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Դեղագործական մշակում</w:t>
            </w:r>
          </w:p>
        </w:tc>
      </w:tr>
      <w:tr w:rsidR="006F76EB" w:rsidRPr="00834D52" w14:paraId="503198E2" w14:textId="77777777" w:rsidTr="00F71229">
        <w:tc>
          <w:tcPr>
            <w:tcW w:w="1809" w:type="dxa"/>
            <w:tcBorders>
              <w:top w:val="nil"/>
              <w:left w:val="nil"/>
              <w:bottom w:val="nil"/>
              <w:right w:val="nil"/>
            </w:tcBorders>
          </w:tcPr>
          <w:p w14:paraId="1A15DC9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w:t>
            </w:r>
          </w:p>
        </w:tc>
        <w:tc>
          <w:tcPr>
            <w:tcW w:w="8168" w:type="dxa"/>
            <w:gridSpan w:val="2"/>
            <w:tcBorders>
              <w:top w:val="nil"/>
              <w:left w:val="nil"/>
              <w:bottom w:val="nil"/>
              <w:right w:val="nil"/>
            </w:tcBorders>
          </w:tcPr>
          <w:p w14:paraId="53BB36C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բաղադրիչները</w:t>
            </w:r>
          </w:p>
        </w:tc>
      </w:tr>
      <w:tr w:rsidR="006F76EB" w:rsidRPr="00834D52" w14:paraId="25618360" w14:textId="77777777" w:rsidTr="00F71229">
        <w:tc>
          <w:tcPr>
            <w:tcW w:w="1809" w:type="dxa"/>
            <w:tcBorders>
              <w:top w:val="nil"/>
              <w:left w:val="nil"/>
              <w:bottom w:val="nil"/>
              <w:right w:val="nil"/>
            </w:tcBorders>
          </w:tcPr>
          <w:p w14:paraId="19C2E41B"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3.2.Р.2.1.1.</w:t>
            </w:r>
          </w:p>
        </w:tc>
        <w:tc>
          <w:tcPr>
            <w:tcW w:w="8168" w:type="dxa"/>
            <w:gridSpan w:val="2"/>
            <w:tcBorders>
              <w:top w:val="nil"/>
              <w:left w:val="nil"/>
              <w:bottom w:val="nil"/>
              <w:right w:val="nil"/>
            </w:tcBorders>
          </w:tcPr>
          <w:p w14:paraId="64B596A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Ակտիվ դեղագործական բաղադրամաս</w:t>
            </w:r>
          </w:p>
        </w:tc>
      </w:tr>
      <w:tr w:rsidR="006F76EB" w:rsidRPr="00834D52" w14:paraId="76B9C7E6" w14:textId="77777777" w:rsidTr="00F71229">
        <w:tc>
          <w:tcPr>
            <w:tcW w:w="1809" w:type="dxa"/>
            <w:tcBorders>
              <w:top w:val="nil"/>
              <w:left w:val="nil"/>
              <w:bottom w:val="nil"/>
              <w:right w:val="nil"/>
            </w:tcBorders>
          </w:tcPr>
          <w:p w14:paraId="28F9B34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3.2.Р.2.1.2.</w:t>
            </w:r>
          </w:p>
        </w:tc>
        <w:tc>
          <w:tcPr>
            <w:tcW w:w="8168" w:type="dxa"/>
            <w:gridSpan w:val="2"/>
            <w:tcBorders>
              <w:top w:val="nil"/>
              <w:left w:val="nil"/>
              <w:bottom w:val="nil"/>
              <w:right w:val="nil"/>
            </w:tcBorders>
          </w:tcPr>
          <w:p w14:paraId="0E5F3D27"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Օժանդակ նյութեր</w:t>
            </w:r>
          </w:p>
        </w:tc>
      </w:tr>
      <w:tr w:rsidR="006F76EB" w:rsidRPr="00834D52" w14:paraId="2C8D0ECE" w14:textId="77777777" w:rsidTr="00F71229">
        <w:tc>
          <w:tcPr>
            <w:tcW w:w="1809" w:type="dxa"/>
            <w:tcBorders>
              <w:top w:val="nil"/>
              <w:left w:val="nil"/>
              <w:bottom w:val="nil"/>
              <w:right w:val="nil"/>
            </w:tcBorders>
          </w:tcPr>
          <w:p w14:paraId="5036AE60"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w:t>
            </w:r>
          </w:p>
        </w:tc>
        <w:tc>
          <w:tcPr>
            <w:tcW w:w="8168" w:type="dxa"/>
            <w:gridSpan w:val="2"/>
            <w:tcBorders>
              <w:top w:val="nil"/>
              <w:left w:val="nil"/>
              <w:bottom w:val="nil"/>
              <w:right w:val="nil"/>
            </w:tcBorders>
          </w:tcPr>
          <w:p w14:paraId="5CCC816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12EA7B6D" w14:textId="77777777" w:rsidTr="00F71229">
        <w:tc>
          <w:tcPr>
            <w:tcW w:w="1809" w:type="dxa"/>
            <w:tcBorders>
              <w:top w:val="nil"/>
              <w:left w:val="nil"/>
              <w:bottom w:val="nil"/>
              <w:right w:val="nil"/>
            </w:tcBorders>
          </w:tcPr>
          <w:p w14:paraId="3A7DCC21"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3.2.Р.2.2.1.</w:t>
            </w:r>
          </w:p>
        </w:tc>
        <w:tc>
          <w:tcPr>
            <w:tcW w:w="8168" w:type="dxa"/>
            <w:gridSpan w:val="2"/>
            <w:tcBorders>
              <w:top w:val="nil"/>
              <w:left w:val="nil"/>
              <w:bottom w:val="nil"/>
              <w:right w:val="nil"/>
            </w:tcBorders>
          </w:tcPr>
          <w:p w14:paraId="070CD8EC"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Դեղաձ</w:t>
            </w:r>
            <w:r w:rsidR="00C54D75">
              <w:rPr>
                <w:rFonts w:ascii="Sylfaen" w:hAnsi="Sylfaen"/>
                <w:sz w:val="24"/>
                <w:szCs w:val="24"/>
              </w:rPr>
              <w:t>և</w:t>
            </w:r>
            <w:r w:rsidRPr="00834D52">
              <w:rPr>
                <w:rFonts w:ascii="Sylfaen" w:hAnsi="Sylfaen"/>
                <w:sz w:val="24"/>
                <w:szCs w:val="24"/>
              </w:rPr>
              <w:t>ի մշակումը</w:t>
            </w:r>
          </w:p>
        </w:tc>
      </w:tr>
      <w:tr w:rsidR="006F76EB" w:rsidRPr="00834D52" w14:paraId="309C7459" w14:textId="77777777" w:rsidTr="00F71229">
        <w:tc>
          <w:tcPr>
            <w:tcW w:w="1809" w:type="dxa"/>
            <w:tcBorders>
              <w:top w:val="nil"/>
              <w:left w:val="nil"/>
              <w:bottom w:val="nil"/>
              <w:right w:val="nil"/>
            </w:tcBorders>
          </w:tcPr>
          <w:p w14:paraId="488DC61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3.2.Р.2.2.2.</w:t>
            </w:r>
          </w:p>
        </w:tc>
        <w:tc>
          <w:tcPr>
            <w:tcW w:w="8168" w:type="dxa"/>
            <w:gridSpan w:val="2"/>
            <w:tcBorders>
              <w:top w:val="nil"/>
              <w:left w:val="nil"/>
              <w:bottom w:val="nil"/>
              <w:right w:val="nil"/>
            </w:tcBorders>
          </w:tcPr>
          <w:p w14:paraId="01F50A6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ավելցուկները</w:t>
            </w:r>
          </w:p>
        </w:tc>
      </w:tr>
      <w:tr w:rsidR="006F76EB" w:rsidRPr="00834D52" w14:paraId="71CCAA78" w14:textId="77777777" w:rsidTr="00F71229">
        <w:tc>
          <w:tcPr>
            <w:tcW w:w="1809" w:type="dxa"/>
            <w:tcBorders>
              <w:top w:val="nil"/>
              <w:left w:val="nil"/>
              <w:bottom w:val="nil"/>
              <w:right w:val="nil"/>
            </w:tcBorders>
          </w:tcPr>
          <w:p w14:paraId="7D2841E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3.2.Р.2.2.3.</w:t>
            </w:r>
          </w:p>
        </w:tc>
        <w:tc>
          <w:tcPr>
            <w:tcW w:w="8168" w:type="dxa"/>
            <w:gridSpan w:val="2"/>
            <w:tcBorders>
              <w:top w:val="nil"/>
              <w:left w:val="nil"/>
              <w:bottom w:val="nil"/>
              <w:right w:val="nil"/>
            </w:tcBorders>
          </w:tcPr>
          <w:p w14:paraId="0C74A43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Ֆիզիկաքիմիական </w:t>
            </w:r>
            <w:r w:rsidR="00C54D75">
              <w:rPr>
                <w:rFonts w:ascii="Sylfaen" w:hAnsi="Sylfaen"/>
                <w:sz w:val="24"/>
                <w:szCs w:val="24"/>
              </w:rPr>
              <w:t>և</w:t>
            </w:r>
            <w:r w:rsidRPr="00834D52">
              <w:rPr>
                <w:rFonts w:ascii="Sylfaen" w:hAnsi="Sylfaen"/>
                <w:sz w:val="24"/>
                <w:szCs w:val="24"/>
              </w:rPr>
              <w:t xml:space="preserve"> կենսաբանական հատկությունները</w:t>
            </w:r>
          </w:p>
        </w:tc>
      </w:tr>
      <w:tr w:rsidR="006F76EB" w:rsidRPr="00834D52" w14:paraId="3021030E" w14:textId="77777777" w:rsidTr="00F71229">
        <w:tc>
          <w:tcPr>
            <w:tcW w:w="1809" w:type="dxa"/>
            <w:tcBorders>
              <w:top w:val="nil"/>
              <w:left w:val="nil"/>
              <w:bottom w:val="nil"/>
              <w:right w:val="nil"/>
            </w:tcBorders>
          </w:tcPr>
          <w:p w14:paraId="53B4AB4A"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3.2.Р.2.3.</w:t>
            </w:r>
          </w:p>
        </w:tc>
        <w:tc>
          <w:tcPr>
            <w:tcW w:w="8168" w:type="dxa"/>
            <w:gridSpan w:val="2"/>
            <w:tcBorders>
              <w:top w:val="nil"/>
              <w:left w:val="nil"/>
              <w:bottom w:val="nil"/>
              <w:right w:val="nil"/>
            </w:tcBorders>
          </w:tcPr>
          <w:p w14:paraId="551C0CB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Արտադրական գործընթացի մշակումը</w:t>
            </w:r>
          </w:p>
        </w:tc>
      </w:tr>
      <w:tr w:rsidR="006F76EB" w:rsidRPr="00834D52" w14:paraId="090EECFA" w14:textId="77777777" w:rsidTr="00F71229">
        <w:tc>
          <w:tcPr>
            <w:tcW w:w="1809" w:type="dxa"/>
            <w:tcBorders>
              <w:top w:val="nil"/>
              <w:left w:val="nil"/>
              <w:bottom w:val="nil"/>
              <w:right w:val="nil"/>
            </w:tcBorders>
          </w:tcPr>
          <w:p w14:paraId="7D7EEE7F"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3.2.Р.2.4.</w:t>
            </w:r>
          </w:p>
        </w:tc>
        <w:tc>
          <w:tcPr>
            <w:tcW w:w="8168" w:type="dxa"/>
            <w:gridSpan w:val="2"/>
            <w:tcBorders>
              <w:top w:val="nil"/>
              <w:left w:val="nil"/>
              <w:bottom w:val="nil"/>
              <w:right w:val="nil"/>
            </w:tcBorders>
          </w:tcPr>
          <w:p w14:paraId="09908A1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412489A8" w14:textId="77777777" w:rsidTr="00F71229">
        <w:tc>
          <w:tcPr>
            <w:tcW w:w="1809" w:type="dxa"/>
            <w:tcBorders>
              <w:top w:val="nil"/>
              <w:left w:val="nil"/>
              <w:bottom w:val="nil"/>
              <w:right w:val="nil"/>
            </w:tcBorders>
          </w:tcPr>
          <w:p w14:paraId="1CA5EB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3.2.Р.2.5.</w:t>
            </w:r>
          </w:p>
        </w:tc>
        <w:tc>
          <w:tcPr>
            <w:tcW w:w="8168" w:type="dxa"/>
            <w:gridSpan w:val="2"/>
            <w:tcBorders>
              <w:top w:val="nil"/>
              <w:left w:val="nil"/>
              <w:bottom w:val="nil"/>
              <w:right w:val="nil"/>
            </w:tcBorders>
          </w:tcPr>
          <w:p w14:paraId="2435DB23"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Միկրոկենսաբանական բնութագրերը</w:t>
            </w:r>
          </w:p>
        </w:tc>
      </w:tr>
      <w:tr w:rsidR="006F76EB" w:rsidRPr="00834D52" w14:paraId="5CE47078" w14:textId="77777777" w:rsidTr="00F71229">
        <w:tc>
          <w:tcPr>
            <w:tcW w:w="1809" w:type="dxa"/>
            <w:tcBorders>
              <w:top w:val="nil"/>
              <w:left w:val="nil"/>
              <w:bottom w:val="nil"/>
              <w:right w:val="nil"/>
            </w:tcBorders>
          </w:tcPr>
          <w:p w14:paraId="31C1D7DC"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3.2.Р.2.6.</w:t>
            </w:r>
          </w:p>
        </w:tc>
        <w:tc>
          <w:tcPr>
            <w:tcW w:w="8168" w:type="dxa"/>
            <w:gridSpan w:val="2"/>
            <w:tcBorders>
              <w:top w:val="nil"/>
              <w:left w:val="nil"/>
              <w:bottom w:val="nil"/>
              <w:right w:val="nil"/>
            </w:tcBorders>
          </w:tcPr>
          <w:p w14:paraId="7482E6FD"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Համատեղելիությունը</w:t>
            </w:r>
          </w:p>
        </w:tc>
      </w:tr>
      <w:tr w:rsidR="006F76EB" w:rsidRPr="00834D52" w14:paraId="1E3FB161" w14:textId="77777777" w:rsidTr="00F71229">
        <w:tc>
          <w:tcPr>
            <w:tcW w:w="1809" w:type="dxa"/>
            <w:tcBorders>
              <w:top w:val="nil"/>
              <w:left w:val="nil"/>
              <w:bottom w:val="nil"/>
              <w:right w:val="nil"/>
            </w:tcBorders>
          </w:tcPr>
          <w:p w14:paraId="42BB8F7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8168" w:type="dxa"/>
            <w:gridSpan w:val="2"/>
            <w:tcBorders>
              <w:top w:val="nil"/>
              <w:left w:val="nil"/>
              <w:bottom w:val="nil"/>
              <w:right w:val="nil"/>
            </w:tcBorders>
          </w:tcPr>
          <w:p w14:paraId="307BF3AB"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Դեղապատրաստուկի արտադրության գործընթացը</w:t>
            </w:r>
          </w:p>
        </w:tc>
      </w:tr>
      <w:tr w:rsidR="006F76EB" w:rsidRPr="00834D52" w14:paraId="20ED063B" w14:textId="77777777" w:rsidTr="00F71229">
        <w:tc>
          <w:tcPr>
            <w:tcW w:w="1809" w:type="dxa"/>
            <w:tcBorders>
              <w:top w:val="nil"/>
              <w:left w:val="nil"/>
              <w:bottom w:val="nil"/>
              <w:right w:val="nil"/>
            </w:tcBorders>
          </w:tcPr>
          <w:p w14:paraId="0C8489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3.2.Р.3.1.</w:t>
            </w:r>
          </w:p>
        </w:tc>
        <w:tc>
          <w:tcPr>
            <w:tcW w:w="8168" w:type="dxa"/>
            <w:gridSpan w:val="2"/>
            <w:tcBorders>
              <w:top w:val="nil"/>
              <w:left w:val="nil"/>
              <w:bottom w:val="nil"/>
              <w:right w:val="nil"/>
            </w:tcBorders>
          </w:tcPr>
          <w:p w14:paraId="53ACA2C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Արտադրողները</w:t>
            </w:r>
          </w:p>
        </w:tc>
      </w:tr>
      <w:tr w:rsidR="006F76EB" w:rsidRPr="00834D52" w14:paraId="33C6A025" w14:textId="77777777" w:rsidTr="00F71229">
        <w:tc>
          <w:tcPr>
            <w:tcW w:w="1809" w:type="dxa"/>
            <w:tcBorders>
              <w:top w:val="nil"/>
              <w:left w:val="nil"/>
              <w:bottom w:val="nil"/>
              <w:right w:val="nil"/>
            </w:tcBorders>
          </w:tcPr>
          <w:p w14:paraId="4014D4C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3.2.Р.3.2.</w:t>
            </w:r>
          </w:p>
        </w:tc>
        <w:tc>
          <w:tcPr>
            <w:tcW w:w="8168" w:type="dxa"/>
            <w:gridSpan w:val="2"/>
            <w:tcBorders>
              <w:top w:val="nil"/>
              <w:left w:val="nil"/>
              <w:bottom w:val="nil"/>
              <w:right w:val="nil"/>
            </w:tcBorders>
          </w:tcPr>
          <w:p w14:paraId="7A33E43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Բաղադրությունը՝ սերիայի համար (արտադրական դեղագրությունը)</w:t>
            </w:r>
          </w:p>
        </w:tc>
      </w:tr>
      <w:tr w:rsidR="006F76EB" w:rsidRPr="00834D52" w14:paraId="6293E3CC" w14:textId="77777777" w:rsidTr="00F71229">
        <w:tc>
          <w:tcPr>
            <w:tcW w:w="1809" w:type="dxa"/>
            <w:tcBorders>
              <w:top w:val="nil"/>
              <w:left w:val="nil"/>
              <w:bottom w:val="nil"/>
              <w:right w:val="nil"/>
            </w:tcBorders>
          </w:tcPr>
          <w:p w14:paraId="65FA6BA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3.2.Р.3.3.</w:t>
            </w:r>
          </w:p>
        </w:tc>
        <w:tc>
          <w:tcPr>
            <w:tcW w:w="8168" w:type="dxa"/>
            <w:gridSpan w:val="2"/>
            <w:tcBorders>
              <w:top w:val="nil"/>
              <w:left w:val="nil"/>
              <w:bottom w:val="nil"/>
              <w:right w:val="nil"/>
            </w:tcBorders>
          </w:tcPr>
          <w:p w14:paraId="5300D90F"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ու դրա հսկողության նկարագրությունը </w:t>
            </w:r>
          </w:p>
        </w:tc>
      </w:tr>
      <w:tr w:rsidR="006F76EB" w:rsidRPr="00834D52" w14:paraId="667CD6A8" w14:textId="77777777" w:rsidTr="00F71229">
        <w:tc>
          <w:tcPr>
            <w:tcW w:w="1809" w:type="dxa"/>
            <w:tcBorders>
              <w:top w:val="nil"/>
              <w:left w:val="nil"/>
              <w:bottom w:val="nil"/>
              <w:right w:val="nil"/>
            </w:tcBorders>
          </w:tcPr>
          <w:p w14:paraId="5E96F0A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3.2.Р.3.4.</w:t>
            </w:r>
          </w:p>
        </w:tc>
        <w:tc>
          <w:tcPr>
            <w:tcW w:w="8168" w:type="dxa"/>
            <w:gridSpan w:val="2"/>
            <w:tcBorders>
              <w:top w:val="nil"/>
              <w:left w:val="nil"/>
              <w:bottom w:val="nil"/>
              <w:right w:val="nil"/>
            </w:tcBorders>
          </w:tcPr>
          <w:p w14:paraId="5F9B5E48"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Կրիտիկական փուլերի </w:t>
            </w:r>
            <w:r w:rsidR="00C54D75">
              <w:rPr>
                <w:rFonts w:ascii="Sylfaen" w:hAnsi="Sylfaen"/>
                <w:sz w:val="24"/>
                <w:szCs w:val="24"/>
              </w:rPr>
              <w:t>և</w:t>
            </w:r>
            <w:r w:rsidRPr="00834D52">
              <w:rPr>
                <w:rFonts w:ascii="Sylfaen" w:hAnsi="Sylfaen"/>
                <w:sz w:val="24"/>
                <w:szCs w:val="24"/>
              </w:rPr>
              <w:t xml:space="preserve"> միջանկյալ արտադրանքի հսկողությունը</w:t>
            </w:r>
          </w:p>
        </w:tc>
      </w:tr>
      <w:tr w:rsidR="006F76EB" w:rsidRPr="00834D52" w14:paraId="72FA57D8" w14:textId="77777777" w:rsidTr="00F71229">
        <w:tc>
          <w:tcPr>
            <w:tcW w:w="1809" w:type="dxa"/>
            <w:tcBorders>
              <w:top w:val="nil"/>
              <w:left w:val="nil"/>
              <w:bottom w:val="nil"/>
              <w:right w:val="nil"/>
            </w:tcBorders>
          </w:tcPr>
          <w:p w14:paraId="5E43D7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3.2.Р.3.5.</w:t>
            </w:r>
          </w:p>
        </w:tc>
        <w:tc>
          <w:tcPr>
            <w:tcW w:w="8168" w:type="dxa"/>
            <w:gridSpan w:val="2"/>
            <w:tcBorders>
              <w:top w:val="nil"/>
              <w:left w:val="nil"/>
              <w:bottom w:val="nil"/>
              <w:right w:val="nil"/>
            </w:tcBorders>
          </w:tcPr>
          <w:p w14:paraId="6BAD509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Արտադրական գործընթացի վալիդացումը </w:t>
            </w:r>
            <w:r w:rsidR="00C54D75">
              <w:rPr>
                <w:rFonts w:ascii="Sylfaen" w:hAnsi="Sylfaen"/>
                <w:sz w:val="24"/>
                <w:szCs w:val="24"/>
              </w:rPr>
              <w:t>և</w:t>
            </w:r>
            <w:r w:rsidRPr="00834D52">
              <w:rPr>
                <w:rFonts w:ascii="Sylfaen" w:hAnsi="Sylfaen"/>
                <w:sz w:val="24"/>
                <w:szCs w:val="24"/>
              </w:rPr>
              <w:t xml:space="preserve"> (կամ) գնահատումը</w:t>
            </w:r>
          </w:p>
        </w:tc>
      </w:tr>
      <w:tr w:rsidR="006F76EB" w:rsidRPr="00834D52" w14:paraId="66991603" w14:textId="77777777" w:rsidTr="00F71229">
        <w:tc>
          <w:tcPr>
            <w:tcW w:w="1809" w:type="dxa"/>
            <w:tcBorders>
              <w:top w:val="nil"/>
              <w:left w:val="nil"/>
              <w:bottom w:val="nil"/>
              <w:right w:val="nil"/>
            </w:tcBorders>
          </w:tcPr>
          <w:p w14:paraId="0908FE5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w:t>
            </w:r>
          </w:p>
        </w:tc>
        <w:tc>
          <w:tcPr>
            <w:tcW w:w="8168" w:type="dxa"/>
            <w:gridSpan w:val="2"/>
            <w:tcBorders>
              <w:top w:val="nil"/>
              <w:left w:val="nil"/>
              <w:bottom w:val="nil"/>
              <w:right w:val="nil"/>
            </w:tcBorders>
          </w:tcPr>
          <w:p w14:paraId="3911453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Օժանդակ նյութերի որակի հսկողությունը</w:t>
            </w:r>
          </w:p>
        </w:tc>
      </w:tr>
      <w:tr w:rsidR="006F76EB" w:rsidRPr="00834D52" w14:paraId="405274CF" w14:textId="77777777" w:rsidTr="00F71229">
        <w:tc>
          <w:tcPr>
            <w:tcW w:w="1809" w:type="dxa"/>
            <w:tcBorders>
              <w:top w:val="nil"/>
              <w:left w:val="nil"/>
              <w:bottom w:val="nil"/>
              <w:right w:val="nil"/>
            </w:tcBorders>
          </w:tcPr>
          <w:p w14:paraId="19EE52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3.2.Р.4.1.</w:t>
            </w:r>
          </w:p>
        </w:tc>
        <w:tc>
          <w:tcPr>
            <w:tcW w:w="8168" w:type="dxa"/>
            <w:gridSpan w:val="2"/>
            <w:tcBorders>
              <w:top w:val="nil"/>
              <w:left w:val="nil"/>
              <w:bottom w:val="nil"/>
              <w:right w:val="nil"/>
            </w:tcBorders>
          </w:tcPr>
          <w:p w14:paraId="66DCD13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01B43DFD" w14:textId="77777777" w:rsidTr="00F71229">
        <w:tc>
          <w:tcPr>
            <w:tcW w:w="1809" w:type="dxa"/>
            <w:tcBorders>
              <w:top w:val="nil"/>
              <w:left w:val="nil"/>
              <w:bottom w:val="nil"/>
              <w:right w:val="nil"/>
            </w:tcBorders>
          </w:tcPr>
          <w:p w14:paraId="3657F68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3.2.Р.4.2.</w:t>
            </w:r>
          </w:p>
        </w:tc>
        <w:tc>
          <w:tcPr>
            <w:tcW w:w="8168" w:type="dxa"/>
            <w:gridSpan w:val="2"/>
            <w:tcBorders>
              <w:top w:val="nil"/>
              <w:left w:val="nil"/>
              <w:bottom w:val="nil"/>
              <w:right w:val="nil"/>
            </w:tcBorders>
          </w:tcPr>
          <w:p w14:paraId="67995DE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մեթոդիկաները</w:t>
            </w:r>
          </w:p>
        </w:tc>
      </w:tr>
      <w:tr w:rsidR="006F76EB" w:rsidRPr="00834D52" w14:paraId="2F288EF7" w14:textId="77777777" w:rsidTr="00F71229">
        <w:tc>
          <w:tcPr>
            <w:tcW w:w="1809" w:type="dxa"/>
            <w:tcBorders>
              <w:top w:val="nil"/>
              <w:left w:val="nil"/>
              <w:bottom w:val="nil"/>
              <w:right w:val="nil"/>
            </w:tcBorders>
          </w:tcPr>
          <w:p w14:paraId="7ABAC8E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3.2.Р.4.3.</w:t>
            </w:r>
          </w:p>
        </w:tc>
        <w:tc>
          <w:tcPr>
            <w:tcW w:w="8168" w:type="dxa"/>
            <w:gridSpan w:val="2"/>
            <w:tcBorders>
              <w:top w:val="nil"/>
              <w:left w:val="nil"/>
              <w:bottom w:val="nil"/>
              <w:right w:val="nil"/>
            </w:tcBorders>
          </w:tcPr>
          <w:p w14:paraId="6ABB513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35A5B3EE" w14:textId="77777777" w:rsidTr="00F71229">
        <w:tc>
          <w:tcPr>
            <w:tcW w:w="1809" w:type="dxa"/>
            <w:tcBorders>
              <w:top w:val="nil"/>
              <w:left w:val="nil"/>
              <w:bottom w:val="nil"/>
              <w:right w:val="nil"/>
            </w:tcBorders>
          </w:tcPr>
          <w:p w14:paraId="4201729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3.2.Р.4.4.</w:t>
            </w:r>
          </w:p>
        </w:tc>
        <w:tc>
          <w:tcPr>
            <w:tcW w:w="8168" w:type="dxa"/>
            <w:gridSpan w:val="2"/>
            <w:tcBorders>
              <w:top w:val="nil"/>
              <w:left w:val="nil"/>
              <w:bottom w:val="nil"/>
              <w:right w:val="nil"/>
            </w:tcBorders>
          </w:tcPr>
          <w:p w14:paraId="4C961B6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Մասնագրերի հիմնավորումը</w:t>
            </w:r>
          </w:p>
        </w:tc>
      </w:tr>
      <w:tr w:rsidR="006F76EB" w:rsidRPr="00834D52" w14:paraId="7B9DC562" w14:textId="77777777" w:rsidTr="00F71229">
        <w:tc>
          <w:tcPr>
            <w:tcW w:w="1809" w:type="dxa"/>
            <w:tcBorders>
              <w:top w:val="nil"/>
              <w:left w:val="nil"/>
              <w:bottom w:val="nil"/>
              <w:right w:val="nil"/>
            </w:tcBorders>
          </w:tcPr>
          <w:p w14:paraId="30F47AD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3.2.Р.4.5.</w:t>
            </w:r>
          </w:p>
        </w:tc>
        <w:tc>
          <w:tcPr>
            <w:tcW w:w="8168" w:type="dxa"/>
            <w:gridSpan w:val="2"/>
            <w:tcBorders>
              <w:top w:val="nil"/>
              <w:left w:val="nil"/>
              <w:bottom w:val="nil"/>
              <w:right w:val="nil"/>
            </w:tcBorders>
          </w:tcPr>
          <w:p w14:paraId="2E187719"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Մարդկային </w:t>
            </w:r>
            <w:r w:rsidR="00C54D75">
              <w:rPr>
                <w:rFonts w:ascii="Sylfaen" w:hAnsi="Sylfaen"/>
                <w:sz w:val="24"/>
                <w:szCs w:val="24"/>
              </w:rPr>
              <w:t>և</w:t>
            </w:r>
            <w:r w:rsidRPr="00834D52">
              <w:rPr>
                <w:rFonts w:ascii="Sylfaen" w:hAnsi="Sylfaen"/>
                <w:sz w:val="24"/>
                <w:szCs w:val="24"/>
              </w:rPr>
              <w:t xml:space="preserve"> կենդանական ծագման օժանդակ նյութերը</w:t>
            </w:r>
          </w:p>
        </w:tc>
      </w:tr>
      <w:tr w:rsidR="006F76EB" w:rsidRPr="00834D52" w14:paraId="4981F7F3" w14:textId="77777777" w:rsidTr="00F71229">
        <w:tc>
          <w:tcPr>
            <w:tcW w:w="1809" w:type="dxa"/>
            <w:tcBorders>
              <w:top w:val="nil"/>
              <w:left w:val="nil"/>
              <w:bottom w:val="nil"/>
              <w:right w:val="nil"/>
            </w:tcBorders>
          </w:tcPr>
          <w:p w14:paraId="6EAA2F7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3.2.Р.4.6.</w:t>
            </w:r>
          </w:p>
        </w:tc>
        <w:tc>
          <w:tcPr>
            <w:tcW w:w="8168" w:type="dxa"/>
            <w:gridSpan w:val="2"/>
            <w:tcBorders>
              <w:top w:val="nil"/>
              <w:left w:val="nil"/>
              <w:bottom w:val="nil"/>
              <w:right w:val="nil"/>
            </w:tcBorders>
          </w:tcPr>
          <w:p w14:paraId="11ECEE6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619B2C87" w14:textId="77777777" w:rsidTr="00F71229">
        <w:tc>
          <w:tcPr>
            <w:tcW w:w="1809" w:type="dxa"/>
            <w:tcBorders>
              <w:top w:val="nil"/>
              <w:left w:val="nil"/>
              <w:bottom w:val="nil"/>
              <w:right w:val="nil"/>
            </w:tcBorders>
          </w:tcPr>
          <w:p w14:paraId="1A11F0A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w:t>
            </w:r>
          </w:p>
        </w:tc>
        <w:tc>
          <w:tcPr>
            <w:tcW w:w="8168" w:type="dxa"/>
            <w:gridSpan w:val="2"/>
            <w:tcBorders>
              <w:top w:val="nil"/>
              <w:left w:val="nil"/>
              <w:bottom w:val="nil"/>
              <w:right w:val="nil"/>
            </w:tcBorders>
          </w:tcPr>
          <w:p w14:paraId="3D4A2C8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Դեղապատրաստուկի որակի հսկողությունը</w:t>
            </w:r>
          </w:p>
        </w:tc>
      </w:tr>
      <w:tr w:rsidR="006F76EB" w:rsidRPr="00834D52" w14:paraId="26AABAD6" w14:textId="77777777" w:rsidTr="00F71229">
        <w:tc>
          <w:tcPr>
            <w:tcW w:w="1809" w:type="dxa"/>
            <w:tcBorders>
              <w:top w:val="nil"/>
              <w:left w:val="nil"/>
              <w:bottom w:val="nil"/>
              <w:right w:val="nil"/>
            </w:tcBorders>
          </w:tcPr>
          <w:p w14:paraId="1908300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3.2.Р.5.1.</w:t>
            </w:r>
          </w:p>
        </w:tc>
        <w:tc>
          <w:tcPr>
            <w:tcW w:w="8168" w:type="dxa"/>
            <w:gridSpan w:val="2"/>
            <w:tcBorders>
              <w:top w:val="nil"/>
              <w:left w:val="nil"/>
              <w:bottom w:val="nil"/>
              <w:right w:val="nil"/>
            </w:tcBorders>
          </w:tcPr>
          <w:p w14:paraId="6A2849F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Մասնագրերը</w:t>
            </w:r>
          </w:p>
        </w:tc>
      </w:tr>
      <w:tr w:rsidR="006F76EB" w:rsidRPr="00834D52" w14:paraId="78024762" w14:textId="77777777" w:rsidTr="00F71229">
        <w:tc>
          <w:tcPr>
            <w:tcW w:w="1809" w:type="dxa"/>
            <w:tcBorders>
              <w:top w:val="nil"/>
              <w:left w:val="nil"/>
              <w:bottom w:val="nil"/>
              <w:right w:val="nil"/>
            </w:tcBorders>
          </w:tcPr>
          <w:p w14:paraId="7ECE745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3.2.Р.5.2.</w:t>
            </w:r>
          </w:p>
        </w:tc>
        <w:tc>
          <w:tcPr>
            <w:tcW w:w="8168" w:type="dxa"/>
            <w:gridSpan w:val="2"/>
            <w:tcBorders>
              <w:top w:val="nil"/>
              <w:left w:val="nil"/>
              <w:bottom w:val="nil"/>
              <w:right w:val="nil"/>
            </w:tcBorders>
          </w:tcPr>
          <w:p w14:paraId="5152FEB5"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Վերլուծական մեթոդիկաները։ Եվրասիական տնտեսական հանձնաժողովի կողմից հաստատվող հանձնարարականներին համապատասխան նախապատրաստված՝ որակի վերաբերյալ </w:t>
            </w:r>
            <w:r w:rsidRPr="00834D52">
              <w:rPr>
                <w:rFonts w:ascii="Sylfaen" w:hAnsi="Sylfaen"/>
                <w:sz w:val="24"/>
                <w:szCs w:val="24"/>
              </w:rPr>
              <w:lastRenderedPageBreak/>
              <w:t>նորմատիվ փաստաթղթի նախագիծը</w:t>
            </w:r>
            <w:r w:rsidRPr="00834D52">
              <w:rPr>
                <w:rStyle w:val="FootnoteReference"/>
                <w:rFonts w:ascii="Sylfaen" w:hAnsi="Sylfaen"/>
                <w:sz w:val="24"/>
                <w:szCs w:val="24"/>
              </w:rPr>
              <w:footnoteReference w:customMarkFollows="1" w:id="27"/>
              <w:t>***</w:t>
            </w:r>
          </w:p>
        </w:tc>
      </w:tr>
      <w:tr w:rsidR="006F76EB" w:rsidRPr="00834D52" w14:paraId="51358E66" w14:textId="77777777" w:rsidTr="00F71229">
        <w:tc>
          <w:tcPr>
            <w:tcW w:w="1809" w:type="dxa"/>
            <w:tcBorders>
              <w:top w:val="nil"/>
              <w:left w:val="nil"/>
              <w:bottom w:val="nil"/>
              <w:right w:val="nil"/>
            </w:tcBorders>
          </w:tcPr>
          <w:p w14:paraId="0A796E7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3.2.Р.5.3.</w:t>
            </w:r>
          </w:p>
        </w:tc>
        <w:tc>
          <w:tcPr>
            <w:tcW w:w="8168" w:type="dxa"/>
            <w:gridSpan w:val="2"/>
            <w:tcBorders>
              <w:top w:val="nil"/>
              <w:left w:val="nil"/>
              <w:bottom w:val="nil"/>
              <w:right w:val="nil"/>
            </w:tcBorders>
          </w:tcPr>
          <w:p w14:paraId="6F8EB7F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Վերլուծական մեթոդիկաների վալիդացումը</w:t>
            </w:r>
          </w:p>
        </w:tc>
      </w:tr>
      <w:tr w:rsidR="006F76EB" w:rsidRPr="00834D52" w14:paraId="4BEB50AC" w14:textId="77777777" w:rsidTr="00F71229">
        <w:tc>
          <w:tcPr>
            <w:tcW w:w="1809" w:type="dxa"/>
            <w:tcBorders>
              <w:top w:val="nil"/>
              <w:left w:val="nil"/>
              <w:bottom w:val="nil"/>
              <w:right w:val="nil"/>
            </w:tcBorders>
          </w:tcPr>
          <w:p w14:paraId="0EA4B41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3.2.Р.5.4.</w:t>
            </w:r>
          </w:p>
        </w:tc>
        <w:tc>
          <w:tcPr>
            <w:tcW w:w="8168" w:type="dxa"/>
            <w:gridSpan w:val="2"/>
            <w:tcBorders>
              <w:top w:val="nil"/>
              <w:left w:val="nil"/>
              <w:bottom w:val="nil"/>
              <w:right w:val="nil"/>
            </w:tcBorders>
          </w:tcPr>
          <w:p w14:paraId="5F9E0323"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Սերիաների վերլուծության արդյունքները</w:t>
            </w:r>
          </w:p>
        </w:tc>
      </w:tr>
      <w:tr w:rsidR="006F76EB" w:rsidRPr="00834D52" w14:paraId="1AB89300" w14:textId="77777777" w:rsidTr="00F71229">
        <w:tc>
          <w:tcPr>
            <w:tcW w:w="1809" w:type="dxa"/>
            <w:tcBorders>
              <w:top w:val="nil"/>
              <w:left w:val="nil"/>
              <w:bottom w:val="nil"/>
              <w:right w:val="nil"/>
            </w:tcBorders>
          </w:tcPr>
          <w:p w14:paraId="1D82B31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3.2.Р.5.5.</w:t>
            </w:r>
          </w:p>
        </w:tc>
        <w:tc>
          <w:tcPr>
            <w:tcW w:w="8168" w:type="dxa"/>
            <w:gridSpan w:val="2"/>
            <w:tcBorders>
              <w:top w:val="nil"/>
              <w:left w:val="nil"/>
              <w:bottom w:val="nil"/>
              <w:right w:val="nil"/>
            </w:tcBorders>
          </w:tcPr>
          <w:p w14:paraId="3A1D8D0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Խառնուկների բնութագիրը</w:t>
            </w:r>
          </w:p>
        </w:tc>
      </w:tr>
      <w:tr w:rsidR="006F76EB" w:rsidRPr="00834D52" w14:paraId="0B07D163" w14:textId="77777777" w:rsidTr="00F71229">
        <w:tc>
          <w:tcPr>
            <w:tcW w:w="1809" w:type="dxa"/>
            <w:tcBorders>
              <w:top w:val="nil"/>
              <w:left w:val="nil"/>
              <w:bottom w:val="nil"/>
              <w:right w:val="nil"/>
            </w:tcBorders>
          </w:tcPr>
          <w:p w14:paraId="35EC1CB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3.2.Р.5.6.</w:t>
            </w:r>
          </w:p>
        </w:tc>
        <w:tc>
          <w:tcPr>
            <w:tcW w:w="8168" w:type="dxa"/>
            <w:gridSpan w:val="2"/>
            <w:tcBorders>
              <w:top w:val="nil"/>
              <w:left w:val="nil"/>
              <w:bottom w:val="nil"/>
              <w:right w:val="nil"/>
            </w:tcBorders>
          </w:tcPr>
          <w:p w14:paraId="3E16C81D"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Մասնագրերի հիմնավորումները</w:t>
            </w:r>
          </w:p>
        </w:tc>
      </w:tr>
      <w:tr w:rsidR="006F76EB" w:rsidRPr="00834D52" w14:paraId="2149E725" w14:textId="77777777" w:rsidTr="00F71229">
        <w:tc>
          <w:tcPr>
            <w:tcW w:w="1809" w:type="dxa"/>
            <w:tcBorders>
              <w:top w:val="nil"/>
              <w:left w:val="nil"/>
              <w:bottom w:val="nil"/>
              <w:right w:val="nil"/>
            </w:tcBorders>
          </w:tcPr>
          <w:p w14:paraId="45F8761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3.2.Р.6.</w:t>
            </w:r>
          </w:p>
        </w:tc>
        <w:tc>
          <w:tcPr>
            <w:tcW w:w="8168" w:type="dxa"/>
            <w:gridSpan w:val="2"/>
            <w:tcBorders>
              <w:top w:val="nil"/>
              <w:left w:val="nil"/>
              <w:bottom w:val="nil"/>
              <w:right w:val="nil"/>
            </w:tcBorders>
          </w:tcPr>
          <w:p w14:paraId="67D63F5E"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Ստանդարտ նմուշները </w:t>
            </w:r>
            <w:r w:rsidR="00C54D75">
              <w:rPr>
                <w:rFonts w:ascii="Sylfaen" w:hAnsi="Sylfaen"/>
                <w:sz w:val="24"/>
                <w:szCs w:val="24"/>
              </w:rPr>
              <w:t>և</w:t>
            </w:r>
            <w:r w:rsidRPr="00834D52">
              <w:rPr>
                <w:rFonts w:ascii="Sylfaen" w:hAnsi="Sylfaen"/>
                <w:sz w:val="24"/>
                <w:szCs w:val="24"/>
              </w:rPr>
              <w:t xml:space="preserve"> նյութերը</w:t>
            </w:r>
          </w:p>
        </w:tc>
      </w:tr>
      <w:tr w:rsidR="006F76EB" w:rsidRPr="00834D52" w14:paraId="632B4915" w14:textId="77777777" w:rsidTr="00F71229">
        <w:tc>
          <w:tcPr>
            <w:tcW w:w="1809" w:type="dxa"/>
            <w:tcBorders>
              <w:top w:val="nil"/>
              <w:left w:val="nil"/>
              <w:bottom w:val="nil"/>
              <w:right w:val="nil"/>
            </w:tcBorders>
          </w:tcPr>
          <w:p w14:paraId="2B3542C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3.2.Р.7.</w:t>
            </w:r>
          </w:p>
        </w:tc>
        <w:tc>
          <w:tcPr>
            <w:tcW w:w="8168" w:type="dxa"/>
            <w:gridSpan w:val="2"/>
            <w:tcBorders>
              <w:top w:val="nil"/>
              <w:left w:val="nil"/>
              <w:bottom w:val="nil"/>
              <w:right w:val="nil"/>
            </w:tcBorders>
          </w:tcPr>
          <w:p w14:paraId="3550431C"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Փաթեթավորման (խցանափակման) համակարգը</w:t>
            </w:r>
          </w:p>
        </w:tc>
      </w:tr>
      <w:tr w:rsidR="006F76EB" w:rsidRPr="00834D52" w14:paraId="75B51C80" w14:textId="77777777" w:rsidTr="00F71229">
        <w:tc>
          <w:tcPr>
            <w:tcW w:w="1809" w:type="dxa"/>
            <w:tcBorders>
              <w:top w:val="nil"/>
              <w:left w:val="nil"/>
              <w:bottom w:val="nil"/>
              <w:right w:val="nil"/>
            </w:tcBorders>
          </w:tcPr>
          <w:p w14:paraId="0E9FA88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w:t>
            </w:r>
          </w:p>
        </w:tc>
        <w:tc>
          <w:tcPr>
            <w:tcW w:w="8168" w:type="dxa"/>
            <w:gridSpan w:val="2"/>
            <w:tcBorders>
              <w:top w:val="nil"/>
              <w:left w:val="nil"/>
              <w:bottom w:val="nil"/>
              <w:right w:val="nil"/>
            </w:tcBorders>
          </w:tcPr>
          <w:p w14:paraId="1E106310"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Դեղապատրաստուկի կայունությունը</w:t>
            </w:r>
          </w:p>
        </w:tc>
      </w:tr>
      <w:tr w:rsidR="006F76EB" w:rsidRPr="00834D52" w14:paraId="16084DF8" w14:textId="77777777" w:rsidTr="00F71229">
        <w:tc>
          <w:tcPr>
            <w:tcW w:w="1809" w:type="dxa"/>
            <w:tcBorders>
              <w:top w:val="nil"/>
              <w:left w:val="nil"/>
              <w:bottom w:val="nil"/>
              <w:right w:val="nil"/>
            </w:tcBorders>
          </w:tcPr>
          <w:p w14:paraId="4013437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3.2.Р.8.1.</w:t>
            </w:r>
          </w:p>
        </w:tc>
        <w:tc>
          <w:tcPr>
            <w:tcW w:w="8168" w:type="dxa"/>
            <w:gridSpan w:val="2"/>
            <w:tcBorders>
              <w:top w:val="nil"/>
              <w:left w:val="nil"/>
              <w:bottom w:val="nil"/>
              <w:right w:val="nil"/>
            </w:tcBorders>
          </w:tcPr>
          <w:p w14:paraId="3E10653B"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փորձարկումների վերաբերյալ ռեզյումեն </w:t>
            </w:r>
            <w:r w:rsidR="00C54D75">
              <w:rPr>
                <w:rFonts w:ascii="Sylfaen" w:hAnsi="Sylfaen"/>
                <w:sz w:val="24"/>
                <w:szCs w:val="24"/>
              </w:rPr>
              <w:t>և</w:t>
            </w:r>
            <w:r w:rsidRPr="00834D52">
              <w:rPr>
                <w:rFonts w:ascii="Sylfaen" w:hAnsi="Sylfaen"/>
                <w:sz w:val="24"/>
                <w:szCs w:val="24"/>
              </w:rPr>
              <w:t xml:space="preserve"> կայունության վերաբերյալ եզրակացությունը**</w:t>
            </w:r>
          </w:p>
        </w:tc>
      </w:tr>
      <w:tr w:rsidR="006F76EB" w:rsidRPr="00834D52" w14:paraId="1B06F005" w14:textId="77777777" w:rsidTr="00F71229">
        <w:tc>
          <w:tcPr>
            <w:tcW w:w="1809" w:type="dxa"/>
            <w:tcBorders>
              <w:top w:val="nil"/>
              <w:left w:val="nil"/>
              <w:bottom w:val="nil"/>
              <w:right w:val="nil"/>
            </w:tcBorders>
          </w:tcPr>
          <w:p w14:paraId="57A3EC2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3.2.Р.8.2.</w:t>
            </w:r>
          </w:p>
        </w:tc>
        <w:tc>
          <w:tcPr>
            <w:tcW w:w="8168" w:type="dxa"/>
            <w:gridSpan w:val="2"/>
            <w:tcBorders>
              <w:top w:val="nil"/>
              <w:left w:val="nil"/>
              <w:bottom w:val="nil"/>
              <w:right w:val="nil"/>
            </w:tcBorders>
          </w:tcPr>
          <w:p w14:paraId="46A74B77" w14:textId="77777777" w:rsidR="006F76EB" w:rsidRPr="00834D52" w:rsidRDefault="006F76EB" w:rsidP="00607D50">
            <w:pPr>
              <w:spacing w:after="160" w:line="28" w:lineRule="atLeast"/>
              <w:ind w:right="-6"/>
              <w:jc w:val="both"/>
              <w:rPr>
                <w:rFonts w:ascii="Sylfaen" w:eastAsia="Times New Roman" w:hAnsi="Sylfaen" w:cs="Times New Roman"/>
                <w:sz w:val="24"/>
                <w:szCs w:val="24"/>
              </w:rPr>
            </w:pPr>
            <w:r w:rsidRPr="00834D52">
              <w:rPr>
                <w:rFonts w:ascii="Sylfaen" w:hAnsi="Sylfaen"/>
                <w:sz w:val="24"/>
                <w:szCs w:val="24"/>
              </w:rPr>
              <w:t xml:space="preserve">Կայունության հետգրանցումային փորձարկումների ծրագիրը </w:t>
            </w:r>
            <w:r w:rsidR="00C54D75">
              <w:rPr>
                <w:rFonts w:ascii="Sylfaen" w:hAnsi="Sylfaen"/>
                <w:sz w:val="24"/>
                <w:szCs w:val="24"/>
              </w:rPr>
              <w:t>և</w:t>
            </w:r>
            <w:r w:rsidRPr="00834D52">
              <w:rPr>
                <w:rFonts w:ascii="Sylfaen" w:hAnsi="Sylfaen"/>
                <w:sz w:val="24"/>
                <w:szCs w:val="24"/>
              </w:rPr>
              <w:t xml:space="preserve"> կայունության ուսումնասիրությանը վերաբերող պարտավորությունները</w:t>
            </w:r>
          </w:p>
        </w:tc>
      </w:tr>
      <w:tr w:rsidR="006F76EB" w:rsidRPr="00834D52" w14:paraId="2DE4174D" w14:textId="77777777" w:rsidTr="00F71229">
        <w:tc>
          <w:tcPr>
            <w:tcW w:w="1809" w:type="dxa"/>
            <w:tcBorders>
              <w:top w:val="nil"/>
              <w:left w:val="nil"/>
              <w:bottom w:val="nil"/>
              <w:right w:val="nil"/>
            </w:tcBorders>
          </w:tcPr>
          <w:p w14:paraId="7432B6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3.2.Р.8.3.</w:t>
            </w:r>
          </w:p>
        </w:tc>
        <w:tc>
          <w:tcPr>
            <w:tcW w:w="8168" w:type="dxa"/>
            <w:gridSpan w:val="2"/>
            <w:tcBorders>
              <w:top w:val="nil"/>
              <w:left w:val="nil"/>
              <w:bottom w:val="nil"/>
              <w:right w:val="nil"/>
            </w:tcBorders>
          </w:tcPr>
          <w:p w14:paraId="589D842A"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Կայունության փորձարկումների տվյալները</w:t>
            </w:r>
          </w:p>
        </w:tc>
      </w:tr>
      <w:tr w:rsidR="006F76EB" w:rsidRPr="00834D52" w14:paraId="7BB0BC38" w14:textId="77777777" w:rsidTr="00F71229">
        <w:tc>
          <w:tcPr>
            <w:tcW w:w="1809" w:type="dxa"/>
            <w:tcBorders>
              <w:top w:val="nil"/>
              <w:left w:val="nil"/>
              <w:bottom w:val="nil"/>
              <w:right w:val="nil"/>
            </w:tcBorders>
          </w:tcPr>
          <w:p w14:paraId="225EA8D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w:t>
            </w:r>
          </w:p>
        </w:tc>
        <w:tc>
          <w:tcPr>
            <w:tcW w:w="8168" w:type="dxa"/>
            <w:gridSpan w:val="2"/>
            <w:tcBorders>
              <w:top w:val="nil"/>
              <w:left w:val="nil"/>
              <w:bottom w:val="nil"/>
              <w:right w:val="nil"/>
            </w:tcBorders>
          </w:tcPr>
          <w:p w14:paraId="2480C921"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Լրացումները</w:t>
            </w:r>
          </w:p>
        </w:tc>
      </w:tr>
      <w:tr w:rsidR="006F76EB" w:rsidRPr="00834D52" w14:paraId="678BA7D9" w14:textId="77777777" w:rsidTr="00F71229">
        <w:tc>
          <w:tcPr>
            <w:tcW w:w="1809" w:type="dxa"/>
            <w:tcBorders>
              <w:top w:val="nil"/>
              <w:left w:val="nil"/>
              <w:bottom w:val="nil"/>
              <w:right w:val="nil"/>
            </w:tcBorders>
          </w:tcPr>
          <w:p w14:paraId="4631AA4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3.2.А.1.</w:t>
            </w:r>
          </w:p>
        </w:tc>
        <w:tc>
          <w:tcPr>
            <w:tcW w:w="8168" w:type="dxa"/>
            <w:gridSpan w:val="2"/>
            <w:tcBorders>
              <w:top w:val="nil"/>
              <w:left w:val="nil"/>
              <w:bottom w:val="nil"/>
              <w:right w:val="nil"/>
            </w:tcBorders>
          </w:tcPr>
          <w:p w14:paraId="7A5D4777"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 xml:space="preserve">Արտադրական տարածքները </w:t>
            </w:r>
            <w:r w:rsidR="00C54D75">
              <w:rPr>
                <w:rFonts w:ascii="Sylfaen" w:hAnsi="Sylfaen"/>
                <w:sz w:val="24"/>
                <w:szCs w:val="24"/>
              </w:rPr>
              <w:t>և</w:t>
            </w:r>
            <w:r w:rsidRPr="00834D52">
              <w:rPr>
                <w:rFonts w:ascii="Sylfaen" w:hAnsi="Sylfaen"/>
                <w:sz w:val="24"/>
                <w:szCs w:val="24"/>
              </w:rPr>
              <w:t xml:space="preserve"> սարքավորումները</w:t>
            </w:r>
          </w:p>
        </w:tc>
      </w:tr>
      <w:tr w:rsidR="006F76EB" w:rsidRPr="00834D52" w14:paraId="03CAEDC7" w14:textId="77777777" w:rsidTr="00F71229">
        <w:tc>
          <w:tcPr>
            <w:tcW w:w="1809" w:type="dxa"/>
            <w:tcBorders>
              <w:top w:val="nil"/>
              <w:left w:val="nil"/>
              <w:bottom w:val="nil"/>
              <w:right w:val="nil"/>
            </w:tcBorders>
          </w:tcPr>
          <w:p w14:paraId="73B3275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3.2.А.2.</w:t>
            </w:r>
          </w:p>
        </w:tc>
        <w:tc>
          <w:tcPr>
            <w:tcW w:w="8168" w:type="dxa"/>
            <w:gridSpan w:val="2"/>
            <w:tcBorders>
              <w:top w:val="nil"/>
              <w:left w:val="nil"/>
              <w:bottom w:val="nil"/>
              <w:right w:val="nil"/>
            </w:tcBorders>
          </w:tcPr>
          <w:p w14:paraId="3AF929F2" w14:textId="77777777" w:rsidR="006F76EB" w:rsidRPr="00834D52" w:rsidRDefault="006F76EB" w:rsidP="00607D50">
            <w:pPr>
              <w:spacing w:after="160" w:line="28" w:lineRule="atLeast"/>
              <w:ind w:right="-6"/>
              <w:rPr>
                <w:rFonts w:ascii="Sylfaen" w:eastAsia="Times New Roman" w:hAnsi="Sylfaen" w:cs="Times New Roman"/>
                <w:sz w:val="24"/>
                <w:szCs w:val="24"/>
              </w:rPr>
            </w:pPr>
            <w:r w:rsidRPr="00834D52">
              <w:rPr>
                <w:rFonts w:ascii="Sylfaen" w:hAnsi="Sylfaen"/>
                <w:sz w:val="24"/>
                <w:szCs w:val="24"/>
              </w:rPr>
              <w:t>Կողմնակի ագենտների մասով անվտանգության գնահատումը</w:t>
            </w:r>
          </w:p>
        </w:tc>
      </w:tr>
      <w:tr w:rsidR="006F76EB" w:rsidRPr="00834D52" w14:paraId="38E65899" w14:textId="77777777" w:rsidTr="00F71229">
        <w:tc>
          <w:tcPr>
            <w:tcW w:w="1809" w:type="dxa"/>
            <w:tcBorders>
              <w:top w:val="nil"/>
              <w:left w:val="nil"/>
              <w:bottom w:val="nil"/>
              <w:right w:val="nil"/>
            </w:tcBorders>
          </w:tcPr>
          <w:p w14:paraId="1B109C00"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3.2.А.3.</w:t>
            </w:r>
          </w:p>
        </w:tc>
        <w:tc>
          <w:tcPr>
            <w:tcW w:w="8168" w:type="dxa"/>
            <w:gridSpan w:val="2"/>
            <w:tcBorders>
              <w:top w:val="nil"/>
              <w:left w:val="nil"/>
              <w:bottom w:val="nil"/>
              <w:right w:val="nil"/>
            </w:tcBorders>
          </w:tcPr>
          <w:p w14:paraId="673D620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Նոր օժանդակ նյութեր</w:t>
            </w:r>
          </w:p>
        </w:tc>
      </w:tr>
      <w:tr w:rsidR="006F76EB" w:rsidRPr="00834D52" w14:paraId="1875F1FF" w14:textId="77777777" w:rsidTr="00F71229">
        <w:tc>
          <w:tcPr>
            <w:tcW w:w="1809" w:type="dxa"/>
            <w:tcBorders>
              <w:top w:val="nil"/>
              <w:left w:val="nil"/>
              <w:bottom w:val="nil"/>
              <w:right w:val="nil"/>
            </w:tcBorders>
          </w:tcPr>
          <w:p w14:paraId="77E1A5F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3.2.R.</w:t>
            </w:r>
          </w:p>
        </w:tc>
        <w:tc>
          <w:tcPr>
            <w:tcW w:w="8168" w:type="dxa"/>
            <w:gridSpan w:val="2"/>
            <w:tcBorders>
              <w:top w:val="nil"/>
              <w:left w:val="nil"/>
              <w:bottom w:val="nil"/>
              <w:right w:val="nil"/>
            </w:tcBorders>
          </w:tcPr>
          <w:p w14:paraId="26A80FE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Տարածաշրջանային տեղեկատվություն</w:t>
            </w:r>
          </w:p>
        </w:tc>
      </w:tr>
      <w:tr w:rsidR="006F76EB" w:rsidRPr="00834D52" w14:paraId="081D4049" w14:textId="77777777" w:rsidTr="00F71229">
        <w:tc>
          <w:tcPr>
            <w:tcW w:w="1809" w:type="dxa"/>
            <w:tcBorders>
              <w:top w:val="nil"/>
              <w:left w:val="nil"/>
              <w:bottom w:val="single" w:sz="4" w:space="0" w:color="auto"/>
              <w:right w:val="nil"/>
            </w:tcBorders>
          </w:tcPr>
          <w:p w14:paraId="7FD1938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3.3.</w:t>
            </w:r>
          </w:p>
        </w:tc>
        <w:tc>
          <w:tcPr>
            <w:tcW w:w="8168" w:type="dxa"/>
            <w:gridSpan w:val="2"/>
            <w:tcBorders>
              <w:top w:val="nil"/>
              <w:left w:val="nil"/>
              <w:bottom w:val="single" w:sz="4" w:space="0" w:color="auto"/>
              <w:right w:val="nil"/>
            </w:tcBorders>
          </w:tcPr>
          <w:p w14:paraId="2614D43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29C87B1E" w14:textId="77777777" w:rsidTr="00F71229">
        <w:tc>
          <w:tcPr>
            <w:tcW w:w="9977" w:type="dxa"/>
            <w:gridSpan w:val="3"/>
            <w:tcBorders>
              <w:top w:val="single" w:sz="4" w:space="0" w:color="auto"/>
              <w:left w:val="single" w:sz="4" w:space="0" w:color="auto"/>
              <w:bottom w:val="single" w:sz="4" w:space="0" w:color="auto"/>
              <w:right w:val="single" w:sz="4" w:space="0" w:color="auto"/>
            </w:tcBorders>
          </w:tcPr>
          <w:p w14:paraId="6537D3E2"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15FC2A8D" w14:textId="77777777" w:rsidTr="00F71229">
        <w:tc>
          <w:tcPr>
            <w:tcW w:w="1809" w:type="dxa"/>
            <w:tcBorders>
              <w:top w:val="single" w:sz="4" w:space="0" w:color="auto"/>
              <w:left w:val="nil"/>
              <w:bottom w:val="nil"/>
              <w:right w:val="nil"/>
            </w:tcBorders>
          </w:tcPr>
          <w:p w14:paraId="0B27E49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4.1.</w:t>
            </w:r>
          </w:p>
        </w:tc>
        <w:tc>
          <w:tcPr>
            <w:tcW w:w="8168" w:type="dxa"/>
            <w:gridSpan w:val="2"/>
            <w:tcBorders>
              <w:top w:val="single" w:sz="4" w:space="0" w:color="auto"/>
              <w:left w:val="nil"/>
              <w:bottom w:val="nil"/>
              <w:right w:val="nil"/>
            </w:tcBorders>
          </w:tcPr>
          <w:p w14:paraId="14798BFD"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4-րդ մոդուլի բովանդակությունը</w:t>
            </w:r>
          </w:p>
        </w:tc>
      </w:tr>
      <w:tr w:rsidR="006F76EB" w:rsidRPr="00834D52" w14:paraId="333757DC" w14:textId="77777777" w:rsidTr="00F71229">
        <w:tc>
          <w:tcPr>
            <w:tcW w:w="1809" w:type="dxa"/>
            <w:tcBorders>
              <w:top w:val="nil"/>
              <w:left w:val="nil"/>
              <w:bottom w:val="nil"/>
              <w:right w:val="nil"/>
            </w:tcBorders>
          </w:tcPr>
          <w:p w14:paraId="05F91B3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w:t>
            </w:r>
          </w:p>
        </w:tc>
        <w:tc>
          <w:tcPr>
            <w:tcW w:w="8168" w:type="dxa"/>
            <w:gridSpan w:val="2"/>
            <w:tcBorders>
              <w:top w:val="nil"/>
              <w:left w:val="nil"/>
              <w:bottom w:val="nil"/>
              <w:right w:val="nil"/>
            </w:tcBorders>
          </w:tcPr>
          <w:p w14:paraId="40951AF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Հետազոտությունների վերաբերյալ հաշվետվությունները (կիրառելիության դեպքում)</w:t>
            </w:r>
          </w:p>
        </w:tc>
      </w:tr>
      <w:tr w:rsidR="006F76EB" w:rsidRPr="00834D52" w14:paraId="2A431B2F" w14:textId="77777777" w:rsidTr="00F71229">
        <w:tc>
          <w:tcPr>
            <w:tcW w:w="1809" w:type="dxa"/>
            <w:tcBorders>
              <w:top w:val="nil"/>
              <w:left w:val="nil"/>
              <w:bottom w:val="nil"/>
              <w:right w:val="nil"/>
            </w:tcBorders>
          </w:tcPr>
          <w:p w14:paraId="6D32514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w:t>
            </w:r>
          </w:p>
        </w:tc>
        <w:tc>
          <w:tcPr>
            <w:tcW w:w="8168" w:type="dxa"/>
            <w:gridSpan w:val="2"/>
            <w:tcBorders>
              <w:top w:val="nil"/>
              <w:left w:val="nil"/>
              <w:bottom w:val="nil"/>
              <w:right w:val="nil"/>
            </w:tcBorders>
          </w:tcPr>
          <w:p w14:paraId="3E6455FA"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Դեղաբանություն</w:t>
            </w:r>
          </w:p>
        </w:tc>
      </w:tr>
      <w:tr w:rsidR="006F76EB" w:rsidRPr="00834D52" w14:paraId="25263F26" w14:textId="77777777" w:rsidTr="00F71229">
        <w:tc>
          <w:tcPr>
            <w:tcW w:w="1809" w:type="dxa"/>
            <w:tcBorders>
              <w:top w:val="nil"/>
              <w:left w:val="nil"/>
              <w:bottom w:val="nil"/>
              <w:right w:val="nil"/>
            </w:tcBorders>
          </w:tcPr>
          <w:p w14:paraId="6B7698D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4.2.1.1.</w:t>
            </w:r>
          </w:p>
        </w:tc>
        <w:tc>
          <w:tcPr>
            <w:tcW w:w="8168" w:type="dxa"/>
            <w:gridSpan w:val="2"/>
            <w:tcBorders>
              <w:top w:val="nil"/>
              <w:left w:val="nil"/>
              <w:bottom w:val="nil"/>
              <w:right w:val="nil"/>
            </w:tcBorders>
          </w:tcPr>
          <w:p w14:paraId="3FD3385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Առաջնային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484539E" w14:textId="77777777" w:rsidTr="00F71229">
        <w:tc>
          <w:tcPr>
            <w:tcW w:w="1809" w:type="dxa"/>
            <w:tcBorders>
              <w:top w:val="nil"/>
              <w:left w:val="nil"/>
              <w:bottom w:val="nil"/>
              <w:right w:val="nil"/>
            </w:tcBorders>
          </w:tcPr>
          <w:p w14:paraId="475155D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4.2.1.2.</w:t>
            </w:r>
          </w:p>
        </w:tc>
        <w:tc>
          <w:tcPr>
            <w:tcW w:w="8168" w:type="dxa"/>
            <w:gridSpan w:val="2"/>
            <w:tcBorders>
              <w:top w:val="nil"/>
              <w:left w:val="nil"/>
              <w:bottom w:val="nil"/>
              <w:right w:val="nil"/>
            </w:tcBorders>
          </w:tcPr>
          <w:p w14:paraId="16570C6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Երկրորդային </w:t>
            </w:r>
            <w:r w:rsidR="00355C33">
              <w:rPr>
                <w:rFonts w:ascii="Sylfaen" w:hAnsi="Sylfaen"/>
                <w:sz w:val="24"/>
                <w:szCs w:val="24"/>
              </w:rPr>
              <w:t>դեղա</w:t>
            </w:r>
            <w:r w:rsidRPr="00834D52">
              <w:rPr>
                <w:rFonts w:ascii="Sylfaen" w:hAnsi="Sylfaen"/>
                <w:sz w:val="24"/>
                <w:szCs w:val="24"/>
              </w:rPr>
              <w:t>դինամիկա</w:t>
            </w:r>
          </w:p>
        </w:tc>
      </w:tr>
      <w:tr w:rsidR="006F76EB" w:rsidRPr="00834D52" w14:paraId="2DEE0DBA" w14:textId="77777777" w:rsidTr="00F71229">
        <w:tc>
          <w:tcPr>
            <w:tcW w:w="1809" w:type="dxa"/>
            <w:tcBorders>
              <w:top w:val="nil"/>
              <w:left w:val="nil"/>
              <w:bottom w:val="nil"/>
              <w:right w:val="nil"/>
            </w:tcBorders>
          </w:tcPr>
          <w:p w14:paraId="038899B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4.2.1.3.</w:t>
            </w:r>
          </w:p>
        </w:tc>
        <w:tc>
          <w:tcPr>
            <w:tcW w:w="8168" w:type="dxa"/>
            <w:gridSpan w:val="2"/>
            <w:tcBorders>
              <w:top w:val="nil"/>
              <w:left w:val="nil"/>
              <w:bottom w:val="nil"/>
              <w:right w:val="nil"/>
            </w:tcBorders>
          </w:tcPr>
          <w:p w14:paraId="2A7D8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Դեղաբանական անվտանգությունը</w:t>
            </w:r>
          </w:p>
        </w:tc>
      </w:tr>
      <w:tr w:rsidR="006F76EB" w:rsidRPr="00834D52" w14:paraId="6FDC731C" w14:textId="77777777" w:rsidTr="00F71229">
        <w:tc>
          <w:tcPr>
            <w:tcW w:w="1809" w:type="dxa"/>
            <w:tcBorders>
              <w:top w:val="nil"/>
              <w:left w:val="nil"/>
              <w:bottom w:val="nil"/>
              <w:right w:val="nil"/>
            </w:tcBorders>
          </w:tcPr>
          <w:p w14:paraId="2091733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4.2.1.4.</w:t>
            </w:r>
          </w:p>
        </w:tc>
        <w:tc>
          <w:tcPr>
            <w:tcW w:w="8168" w:type="dxa"/>
            <w:gridSpan w:val="2"/>
            <w:tcBorders>
              <w:top w:val="nil"/>
              <w:left w:val="nil"/>
              <w:bottom w:val="nil"/>
              <w:right w:val="nil"/>
            </w:tcBorders>
          </w:tcPr>
          <w:p w14:paraId="06FE9666"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դինամիկ դեղային փոխազդեցություններ</w:t>
            </w:r>
          </w:p>
        </w:tc>
      </w:tr>
      <w:tr w:rsidR="006F76EB" w:rsidRPr="00834D52" w14:paraId="5CCDBC20" w14:textId="77777777" w:rsidTr="00F71229">
        <w:tc>
          <w:tcPr>
            <w:tcW w:w="1809" w:type="dxa"/>
            <w:tcBorders>
              <w:top w:val="nil"/>
              <w:left w:val="nil"/>
              <w:bottom w:val="nil"/>
              <w:right w:val="nil"/>
            </w:tcBorders>
          </w:tcPr>
          <w:p w14:paraId="7738F1E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w:t>
            </w:r>
          </w:p>
        </w:tc>
        <w:tc>
          <w:tcPr>
            <w:tcW w:w="8168" w:type="dxa"/>
            <w:gridSpan w:val="2"/>
            <w:tcBorders>
              <w:top w:val="nil"/>
              <w:left w:val="nil"/>
              <w:bottom w:val="nil"/>
              <w:right w:val="nil"/>
            </w:tcBorders>
          </w:tcPr>
          <w:p w14:paraId="5EA4368E"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tc>
      </w:tr>
      <w:tr w:rsidR="006F76EB" w:rsidRPr="00834D52" w14:paraId="357857CF" w14:textId="77777777" w:rsidTr="00F71229">
        <w:tc>
          <w:tcPr>
            <w:tcW w:w="1809" w:type="dxa"/>
            <w:tcBorders>
              <w:top w:val="nil"/>
              <w:left w:val="nil"/>
              <w:bottom w:val="nil"/>
              <w:right w:val="nil"/>
            </w:tcBorders>
          </w:tcPr>
          <w:p w14:paraId="5BB70FF5"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4.2.2.1.</w:t>
            </w:r>
          </w:p>
        </w:tc>
        <w:tc>
          <w:tcPr>
            <w:tcW w:w="8168" w:type="dxa"/>
            <w:gridSpan w:val="2"/>
            <w:tcBorders>
              <w:top w:val="nil"/>
              <w:left w:val="nil"/>
              <w:bottom w:val="nil"/>
              <w:right w:val="nil"/>
            </w:tcBorders>
          </w:tcPr>
          <w:p w14:paraId="18EC1F4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Վերլուծական մեթոդիկաները </w:t>
            </w:r>
            <w:r w:rsidR="00C54D75">
              <w:rPr>
                <w:rFonts w:ascii="Sylfaen" w:hAnsi="Sylfaen"/>
                <w:sz w:val="24"/>
                <w:szCs w:val="24"/>
              </w:rPr>
              <w:t>և</w:t>
            </w:r>
            <w:r w:rsidRPr="00834D52">
              <w:rPr>
                <w:rFonts w:ascii="Sylfaen" w:hAnsi="Sylfaen"/>
                <w:sz w:val="24"/>
                <w:szCs w:val="24"/>
              </w:rPr>
              <w:t xml:space="preserve"> վալիդացման հաշվետվությունները</w:t>
            </w:r>
          </w:p>
        </w:tc>
      </w:tr>
      <w:tr w:rsidR="006F76EB" w:rsidRPr="00834D52" w14:paraId="0F834319" w14:textId="77777777" w:rsidTr="00F71229">
        <w:tc>
          <w:tcPr>
            <w:tcW w:w="1809" w:type="dxa"/>
            <w:tcBorders>
              <w:top w:val="nil"/>
              <w:left w:val="nil"/>
              <w:bottom w:val="nil"/>
              <w:right w:val="nil"/>
            </w:tcBorders>
          </w:tcPr>
          <w:p w14:paraId="64CD6D73"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4.2.2.2.</w:t>
            </w:r>
          </w:p>
        </w:tc>
        <w:tc>
          <w:tcPr>
            <w:tcW w:w="8168" w:type="dxa"/>
            <w:gridSpan w:val="2"/>
            <w:tcBorders>
              <w:top w:val="nil"/>
              <w:left w:val="nil"/>
              <w:bottom w:val="nil"/>
              <w:right w:val="nil"/>
            </w:tcBorders>
          </w:tcPr>
          <w:p w14:paraId="37ECB90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Կլանումը</w:t>
            </w:r>
          </w:p>
        </w:tc>
      </w:tr>
      <w:tr w:rsidR="006F76EB" w:rsidRPr="00834D52" w14:paraId="0EE55FFC" w14:textId="77777777" w:rsidTr="00F71229">
        <w:tc>
          <w:tcPr>
            <w:tcW w:w="1809" w:type="dxa"/>
            <w:tcBorders>
              <w:top w:val="nil"/>
              <w:left w:val="nil"/>
              <w:bottom w:val="nil"/>
              <w:right w:val="nil"/>
            </w:tcBorders>
          </w:tcPr>
          <w:p w14:paraId="39B1CBB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4.2.2.3.</w:t>
            </w:r>
          </w:p>
        </w:tc>
        <w:tc>
          <w:tcPr>
            <w:tcW w:w="8168" w:type="dxa"/>
            <w:gridSpan w:val="2"/>
            <w:tcBorders>
              <w:top w:val="nil"/>
              <w:left w:val="nil"/>
              <w:bottom w:val="nil"/>
              <w:right w:val="nil"/>
            </w:tcBorders>
          </w:tcPr>
          <w:p w14:paraId="74E1A0DE"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Բաշխումը</w:t>
            </w:r>
          </w:p>
        </w:tc>
      </w:tr>
      <w:tr w:rsidR="006F76EB" w:rsidRPr="00834D52" w14:paraId="354CFA76" w14:textId="77777777" w:rsidTr="00F71229">
        <w:tc>
          <w:tcPr>
            <w:tcW w:w="1809" w:type="dxa"/>
            <w:tcBorders>
              <w:top w:val="nil"/>
              <w:left w:val="nil"/>
              <w:bottom w:val="nil"/>
              <w:right w:val="nil"/>
            </w:tcBorders>
          </w:tcPr>
          <w:p w14:paraId="109FF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4.2.2.4.</w:t>
            </w:r>
          </w:p>
        </w:tc>
        <w:tc>
          <w:tcPr>
            <w:tcW w:w="8168" w:type="dxa"/>
            <w:gridSpan w:val="2"/>
            <w:tcBorders>
              <w:top w:val="nil"/>
              <w:left w:val="nil"/>
              <w:bottom w:val="nil"/>
              <w:right w:val="nil"/>
            </w:tcBorders>
          </w:tcPr>
          <w:p w14:paraId="64308AE2"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Մետաբոլիզմը</w:t>
            </w:r>
          </w:p>
        </w:tc>
      </w:tr>
      <w:tr w:rsidR="006F76EB" w:rsidRPr="00834D52" w14:paraId="6FF4BD4E" w14:textId="77777777" w:rsidTr="00F71229">
        <w:tc>
          <w:tcPr>
            <w:tcW w:w="1809" w:type="dxa"/>
            <w:tcBorders>
              <w:top w:val="nil"/>
              <w:left w:val="nil"/>
              <w:bottom w:val="nil"/>
              <w:right w:val="nil"/>
            </w:tcBorders>
          </w:tcPr>
          <w:p w14:paraId="65314C18"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4.2.2.5.</w:t>
            </w:r>
          </w:p>
        </w:tc>
        <w:tc>
          <w:tcPr>
            <w:tcW w:w="8168" w:type="dxa"/>
            <w:gridSpan w:val="2"/>
            <w:tcBorders>
              <w:top w:val="nil"/>
              <w:left w:val="nil"/>
              <w:bottom w:val="nil"/>
              <w:right w:val="nil"/>
            </w:tcBorders>
          </w:tcPr>
          <w:p w14:paraId="2F411CA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Արտազատում (դուրսբերում)</w:t>
            </w:r>
          </w:p>
        </w:tc>
      </w:tr>
      <w:tr w:rsidR="006F76EB" w:rsidRPr="00834D52" w14:paraId="40CDC3B0" w14:textId="77777777" w:rsidTr="00F71229">
        <w:tc>
          <w:tcPr>
            <w:tcW w:w="1809" w:type="dxa"/>
            <w:tcBorders>
              <w:top w:val="nil"/>
              <w:left w:val="nil"/>
              <w:bottom w:val="nil"/>
              <w:right w:val="nil"/>
            </w:tcBorders>
          </w:tcPr>
          <w:p w14:paraId="1B0F519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4.2.2.6.</w:t>
            </w:r>
          </w:p>
        </w:tc>
        <w:tc>
          <w:tcPr>
            <w:tcW w:w="8168" w:type="dxa"/>
            <w:gridSpan w:val="2"/>
            <w:tcBorders>
              <w:top w:val="nil"/>
              <w:left w:val="nil"/>
              <w:bottom w:val="nil"/>
              <w:right w:val="nil"/>
            </w:tcBorders>
          </w:tcPr>
          <w:p w14:paraId="35BA2297" w14:textId="77777777" w:rsidR="006F76EB" w:rsidRPr="00834D52" w:rsidRDefault="00355C33" w:rsidP="00607D50">
            <w:pPr>
              <w:spacing w:after="160" w:line="28" w:lineRule="atLeast"/>
              <w:ind w:right="-8"/>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 դեղային փոխազդեցությունները</w:t>
            </w:r>
          </w:p>
        </w:tc>
      </w:tr>
      <w:tr w:rsidR="006F76EB" w:rsidRPr="00834D52" w14:paraId="2268550D" w14:textId="77777777" w:rsidTr="00F71229">
        <w:tc>
          <w:tcPr>
            <w:tcW w:w="1809" w:type="dxa"/>
            <w:tcBorders>
              <w:top w:val="nil"/>
              <w:left w:val="nil"/>
              <w:bottom w:val="nil"/>
              <w:right w:val="nil"/>
            </w:tcBorders>
          </w:tcPr>
          <w:p w14:paraId="30D8FF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4.2.2.7.</w:t>
            </w:r>
          </w:p>
        </w:tc>
        <w:tc>
          <w:tcPr>
            <w:tcW w:w="8168" w:type="dxa"/>
            <w:gridSpan w:val="2"/>
            <w:tcBorders>
              <w:top w:val="nil"/>
              <w:left w:val="nil"/>
              <w:bottom w:val="nil"/>
              <w:right w:val="nil"/>
            </w:tcBorders>
          </w:tcPr>
          <w:p w14:paraId="0FD61174"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Այլ </w:t>
            </w:r>
            <w:r w:rsidR="00355C33">
              <w:rPr>
                <w:rFonts w:ascii="Sylfaen" w:hAnsi="Sylfaen"/>
                <w:sz w:val="24"/>
                <w:szCs w:val="24"/>
              </w:rPr>
              <w:t>դեղա</w:t>
            </w:r>
            <w:r w:rsidRPr="00834D52">
              <w:rPr>
                <w:rFonts w:ascii="Sylfaen" w:hAnsi="Sylfaen"/>
                <w:sz w:val="24"/>
                <w:szCs w:val="24"/>
              </w:rPr>
              <w:t>կինետիկ հետազոտություններ</w:t>
            </w:r>
          </w:p>
        </w:tc>
      </w:tr>
      <w:tr w:rsidR="006F76EB" w:rsidRPr="00834D52" w14:paraId="71D10A90" w14:textId="77777777" w:rsidTr="00F71229">
        <w:tc>
          <w:tcPr>
            <w:tcW w:w="1809" w:type="dxa"/>
            <w:tcBorders>
              <w:top w:val="nil"/>
              <w:left w:val="nil"/>
              <w:bottom w:val="nil"/>
              <w:right w:val="nil"/>
            </w:tcBorders>
          </w:tcPr>
          <w:p w14:paraId="1793994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w:t>
            </w:r>
          </w:p>
        </w:tc>
        <w:tc>
          <w:tcPr>
            <w:tcW w:w="8168" w:type="dxa"/>
            <w:gridSpan w:val="2"/>
            <w:tcBorders>
              <w:top w:val="nil"/>
              <w:left w:val="nil"/>
              <w:bottom w:val="nil"/>
              <w:right w:val="nil"/>
            </w:tcBorders>
          </w:tcPr>
          <w:p w14:paraId="146B4209"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Թունաբանություն</w:t>
            </w:r>
          </w:p>
        </w:tc>
      </w:tr>
      <w:tr w:rsidR="006F76EB" w:rsidRPr="00834D52" w14:paraId="082B6F9F" w14:textId="77777777" w:rsidTr="00F71229">
        <w:tc>
          <w:tcPr>
            <w:tcW w:w="1809" w:type="dxa"/>
            <w:tcBorders>
              <w:top w:val="nil"/>
              <w:left w:val="nil"/>
              <w:bottom w:val="nil"/>
              <w:right w:val="nil"/>
            </w:tcBorders>
          </w:tcPr>
          <w:p w14:paraId="7B8F387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4.2.3.1.</w:t>
            </w:r>
          </w:p>
        </w:tc>
        <w:tc>
          <w:tcPr>
            <w:tcW w:w="8168" w:type="dxa"/>
            <w:gridSpan w:val="2"/>
            <w:tcBorders>
              <w:top w:val="nil"/>
              <w:left w:val="nil"/>
              <w:bottom w:val="nil"/>
              <w:right w:val="nil"/>
            </w:tcBorders>
          </w:tcPr>
          <w:p w14:paraId="4075F456"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մեկանգամյա ներմուծման դեպքում</w:t>
            </w:r>
          </w:p>
        </w:tc>
      </w:tr>
      <w:tr w:rsidR="006F76EB" w:rsidRPr="00834D52" w14:paraId="63025058" w14:textId="77777777" w:rsidTr="00F71229">
        <w:tc>
          <w:tcPr>
            <w:tcW w:w="1809" w:type="dxa"/>
            <w:tcBorders>
              <w:top w:val="nil"/>
              <w:left w:val="nil"/>
              <w:bottom w:val="nil"/>
              <w:right w:val="nil"/>
            </w:tcBorders>
          </w:tcPr>
          <w:p w14:paraId="0565DB37"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4.2.3.2.</w:t>
            </w:r>
          </w:p>
        </w:tc>
        <w:tc>
          <w:tcPr>
            <w:tcW w:w="8168" w:type="dxa"/>
            <w:gridSpan w:val="2"/>
            <w:tcBorders>
              <w:top w:val="nil"/>
              <w:left w:val="nil"/>
              <w:bottom w:val="nil"/>
              <w:right w:val="nil"/>
            </w:tcBorders>
          </w:tcPr>
          <w:p w14:paraId="2F97862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Թունավորություն՝ բազմակի ներմուծման դեպքում</w:t>
            </w:r>
          </w:p>
        </w:tc>
      </w:tr>
      <w:tr w:rsidR="006F76EB" w:rsidRPr="00834D52" w14:paraId="28933143" w14:textId="77777777" w:rsidTr="00F71229">
        <w:tc>
          <w:tcPr>
            <w:tcW w:w="1809" w:type="dxa"/>
            <w:tcBorders>
              <w:top w:val="nil"/>
              <w:left w:val="nil"/>
              <w:bottom w:val="nil"/>
              <w:right w:val="nil"/>
            </w:tcBorders>
          </w:tcPr>
          <w:p w14:paraId="6AD1396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4.2.3.3.</w:t>
            </w:r>
          </w:p>
        </w:tc>
        <w:tc>
          <w:tcPr>
            <w:tcW w:w="8168" w:type="dxa"/>
            <w:gridSpan w:val="2"/>
            <w:tcBorders>
              <w:top w:val="nil"/>
              <w:left w:val="nil"/>
              <w:bottom w:val="nil"/>
              <w:right w:val="nil"/>
            </w:tcBorders>
          </w:tcPr>
          <w:p w14:paraId="7794F5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Գենոտոքսիկություն</w:t>
            </w:r>
          </w:p>
        </w:tc>
      </w:tr>
      <w:tr w:rsidR="006F76EB" w:rsidRPr="00834D52" w14:paraId="306F920D" w14:textId="77777777" w:rsidTr="00F71229">
        <w:tc>
          <w:tcPr>
            <w:tcW w:w="1809" w:type="dxa"/>
            <w:tcBorders>
              <w:top w:val="nil"/>
              <w:left w:val="nil"/>
              <w:bottom w:val="nil"/>
              <w:right w:val="nil"/>
            </w:tcBorders>
          </w:tcPr>
          <w:p w14:paraId="31D5AA49"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4.2.3.4.</w:t>
            </w:r>
          </w:p>
        </w:tc>
        <w:tc>
          <w:tcPr>
            <w:tcW w:w="8168" w:type="dxa"/>
            <w:gridSpan w:val="2"/>
            <w:tcBorders>
              <w:top w:val="nil"/>
              <w:left w:val="nil"/>
              <w:bottom w:val="nil"/>
              <w:right w:val="nil"/>
            </w:tcBorders>
          </w:tcPr>
          <w:p w14:paraId="6CF28F47"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Քաղցկեղածնություն</w:t>
            </w:r>
          </w:p>
        </w:tc>
      </w:tr>
      <w:tr w:rsidR="006F76EB" w:rsidRPr="00834D52" w14:paraId="73192316" w14:textId="77777777" w:rsidTr="00F71229">
        <w:tc>
          <w:tcPr>
            <w:tcW w:w="1809" w:type="dxa"/>
            <w:tcBorders>
              <w:top w:val="nil"/>
              <w:left w:val="nil"/>
              <w:bottom w:val="nil"/>
              <w:right w:val="nil"/>
            </w:tcBorders>
          </w:tcPr>
          <w:p w14:paraId="4342CEEB"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4.2.3.5.</w:t>
            </w:r>
          </w:p>
        </w:tc>
        <w:tc>
          <w:tcPr>
            <w:tcW w:w="8168" w:type="dxa"/>
            <w:gridSpan w:val="2"/>
            <w:tcBorders>
              <w:top w:val="nil"/>
              <w:left w:val="nil"/>
              <w:bottom w:val="nil"/>
              <w:right w:val="nil"/>
            </w:tcBorders>
          </w:tcPr>
          <w:p w14:paraId="7508F12C"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Վերարտադրողական </w:t>
            </w:r>
            <w:r w:rsidR="00C54D75">
              <w:rPr>
                <w:rFonts w:ascii="Sylfaen" w:hAnsi="Sylfaen"/>
                <w:sz w:val="24"/>
                <w:szCs w:val="24"/>
              </w:rPr>
              <w:t>և</w:t>
            </w:r>
            <w:r w:rsidRPr="00834D52">
              <w:rPr>
                <w:rFonts w:ascii="Sylfaen" w:hAnsi="Sylfaen"/>
                <w:sz w:val="24"/>
                <w:szCs w:val="24"/>
              </w:rPr>
              <w:t xml:space="preserve"> օնտոգենետիկ թունավորություն՝ պտղաբերությունը </w:t>
            </w:r>
            <w:r w:rsidR="00C54D75">
              <w:rPr>
                <w:rFonts w:ascii="Sylfaen" w:hAnsi="Sylfaen"/>
                <w:sz w:val="24"/>
                <w:szCs w:val="24"/>
              </w:rPr>
              <w:t>և</w:t>
            </w:r>
            <w:r w:rsidRPr="00834D52">
              <w:rPr>
                <w:rFonts w:ascii="Sylfaen" w:hAnsi="Sylfaen"/>
                <w:sz w:val="24"/>
                <w:szCs w:val="24"/>
              </w:rPr>
              <w:t xml:space="preserve"> վաղ սաղմնային զարգացումը, սաղմնապտղային զարգացումը, նախածննդյան </w:t>
            </w:r>
            <w:r w:rsidR="00C54D75">
              <w:rPr>
                <w:rFonts w:ascii="Sylfaen" w:hAnsi="Sylfaen"/>
                <w:sz w:val="24"/>
                <w:szCs w:val="24"/>
              </w:rPr>
              <w:t>և</w:t>
            </w:r>
            <w:r w:rsidRPr="00834D52">
              <w:rPr>
                <w:rFonts w:ascii="Sylfaen" w:hAnsi="Sylfaen"/>
                <w:sz w:val="24"/>
                <w:szCs w:val="24"/>
              </w:rPr>
              <w:t xml:space="preserve"> հետծննդյան զարգացումը, ոչ սեռահասուն սերնդի հետազոտությունները՝ հաջորդող հսկողությամբ </w:t>
            </w:r>
          </w:p>
        </w:tc>
      </w:tr>
      <w:tr w:rsidR="006F76EB" w:rsidRPr="00834D52" w14:paraId="3338F99F" w14:textId="77777777" w:rsidTr="00F71229">
        <w:tc>
          <w:tcPr>
            <w:tcW w:w="1809" w:type="dxa"/>
            <w:tcBorders>
              <w:top w:val="nil"/>
              <w:left w:val="nil"/>
              <w:bottom w:val="nil"/>
              <w:right w:val="nil"/>
            </w:tcBorders>
          </w:tcPr>
          <w:p w14:paraId="2663F7CF"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4.2.3.6.</w:t>
            </w:r>
          </w:p>
        </w:tc>
        <w:tc>
          <w:tcPr>
            <w:tcW w:w="8168" w:type="dxa"/>
            <w:gridSpan w:val="2"/>
            <w:tcBorders>
              <w:top w:val="nil"/>
              <w:left w:val="nil"/>
              <w:bottom w:val="nil"/>
              <w:right w:val="nil"/>
            </w:tcBorders>
          </w:tcPr>
          <w:p w14:paraId="64267A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Տեղային տանելիությունը</w:t>
            </w:r>
          </w:p>
        </w:tc>
      </w:tr>
      <w:tr w:rsidR="006F76EB" w:rsidRPr="00834D52" w14:paraId="4230BFE2" w14:textId="77777777" w:rsidTr="00F71229">
        <w:tc>
          <w:tcPr>
            <w:tcW w:w="1809" w:type="dxa"/>
            <w:tcBorders>
              <w:top w:val="nil"/>
              <w:left w:val="nil"/>
              <w:bottom w:val="nil"/>
              <w:right w:val="nil"/>
            </w:tcBorders>
          </w:tcPr>
          <w:p w14:paraId="2BCD26A6"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4.2.3.7.</w:t>
            </w:r>
          </w:p>
        </w:tc>
        <w:tc>
          <w:tcPr>
            <w:tcW w:w="8168" w:type="dxa"/>
            <w:gridSpan w:val="2"/>
            <w:tcBorders>
              <w:top w:val="nil"/>
              <w:left w:val="nil"/>
              <w:bottom w:val="nil"/>
              <w:right w:val="nil"/>
            </w:tcBorders>
          </w:tcPr>
          <w:p w14:paraId="785078A1" w14:textId="77777777" w:rsidR="006F76EB" w:rsidRPr="00834D52" w:rsidRDefault="006F76EB" w:rsidP="00607D50">
            <w:pPr>
              <w:spacing w:after="160" w:line="28" w:lineRule="atLeast"/>
              <w:ind w:right="-8"/>
              <w:jc w:val="both"/>
              <w:rPr>
                <w:rFonts w:ascii="Sylfaen" w:eastAsia="Times New Roman" w:hAnsi="Sylfaen" w:cs="Times New Roman"/>
                <w:sz w:val="24"/>
                <w:szCs w:val="24"/>
              </w:rPr>
            </w:pPr>
            <w:r w:rsidRPr="00834D52">
              <w:rPr>
                <w:rFonts w:ascii="Sylfaen" w:hAnsi="Sylfaen"/>
                <w:sz w:val="24"/>
                <w:szCs w:val="24"/>
              </w:rPr>
              <w:t xml:space="preserve">Թունաբանության այլ հետազոտություններ՝ հակածնություն, իմունաթունավորություն, ազդեցության մեխանիզմի հետազոտություններ, դեղային կախվածություն, մետաբոլիտներ, խառնուկներ </w:t>
            </w:r>
            <w:r w:rsidR="00C54D75">
              <w:rPr>
                <w:rFonts w:ascii="Sylfaen" w:hAnsi="Sylfaen"/>
                <w:sz w:val="24"/>
                <w:szCs w:val="24"/>
              </w:rPr>
              <w:t>և</w:t>
            </w:r>
            <w:r w:rsidRPr="00834D52">
              <w:rPr>
                <w:rFonts w:ascii="Sylfaen" w:hAnsi="Sylfaen"/>
                <w:sz w:val="24"/>
                <w:szCs w:val="24"/>
              </w:rPr>
              <w:t xml:space="preserve"> այլն</w:t>
            </w:r>
          </w:p>
        </w:tc>
      </w:tr>
      <w:tr w:rsidR="006F76EB" w:rsidRPr="00834D52" w14:paraId="62329C69" w14:textId="77777777" w:rsidTr="00F71229">
        <w:tc>
          <w:tcPr>
            <w:tcW w:w="1809" w:type="dxa"/>
            <w:tcBorders>
              <w:top w:val="nil"/>
              <w:left w:val="nil"/>
              <w:bottom w:val="nil"/>
              <w:right w:val="nil"/>
            </w:tcBorders>
          </w:tcPr>
          <w:p w14:paraId="633E23A1"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4.3.</w:t>
            </w:r>
          </w:p>
        </w:tc>
        <w:tc>
          <w:tcPr>
            <w:tcW w:w="8168" w:type="dxa"/>
            <w:gridSpan w:val="2"/>
            <w:tcBorders>
              <w:top w:val="nil"/>
              <w:left w:val="nil"/>
              <w:bottom w:val="nil"/>
              <w:right w:val="nil"/>
            </w:tcBorders>
          </w:tcPr>
          <w:p w14:paraId="61E9D23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r w:rsidR="006F76EB" w:rsidRPr="00834D52" w14:paraId="1260DB42" w14:textId="77777777" w:rsidTr="00F71229">
        <w:tc>
          <w:tcPr>
            <w:tcW w:w="9977" w:type="dxa"/>
            <w:gridSpan w:val="3"/>
            <w:tcBorders>
              <w:top w:val="nil"/>
              <w:left w:val="nil"/>
              <w:bottom w:val="nil"/>
              <w:right w:val="nil"/>
            </w:tcBorders>
            <w:vAlign w:val="center"/>
          </w:tcPr>
          <w:p w14:paraId="4AA761D4" w14:textId="77777777" w:rsidR="006F76EB" w:rsidRPr="00834D52" w:rsidRDefault="006F76EB" w:rsidP="00607D50">
            <w:pPr>
              <w:spacing w:after="160" w:line="28" w:lineRule="atLeast"/>
              <w:ind w:left="567" w:right="43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3CF31D42" w14:textId="77777777" w:rsidTr="00F71229">
        <w:tc>
          <w:tcPr>
            <w:tcW w:w="1809" w:type="dxa"/>
            <w:tcBorders>
              <w:top w:val="nil"/>
              <w:left w:val="nil"/>
              <w:bottom w:val="nil"/>
              <w:right w:val="nil"/>
            </w:tcBorders>
          </w:tcPr>
          <w:p w14:paraId="28C83344"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5.1.</w:t>
            </w:r>
          </w:p>
        </w:tc>
        <w:tc>
          <w:tcPr>
            <w:tcW w:w="8168" w:type="dxa"/>
            <w:gridSpan w:val="2"/>
            <w:tcBorders>
              <w:top w:val="nil"/>
              <w:left w:val="nil"/>
              <w:bottom w:val="nil"/>
              <w:right w:val="nil"/>
            </w:tcBorders>
          </w:tcPr>
          <w:p w14:paraId="23638BB3"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5-րդ մոդուլի բովանդակությունը</w:t>
            </w:r>
          </w:p>
        </w:tc>
      </w:tr>
      <w:tr w:rsidR="006F76EB" w:rsidRPr="00834D52" w14:paraId="0E0B6F66" w14:textId="77777777" w:rsidTr="00F71229">
        <w:tc>
          <w:tcPr>
            <w:tcW w:w="1809" w:type="dxa"/>
            <w:tcBorders>
              <w:top w:val="nil"/>
              <w:left w:val="nil"/>
              <w:bottom w:val="nil"/>
              <w:right w:val="nil"/>
            </w:tcBorders>
          </w:tcPr>
          <w:p w14:paraId="55B62E8A"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lastRenderedPageBreak/>
              <w:t>5.2.</w:t>
            </w:r>
          </w:p>
        </w:tc>
        <w:tc>
          <w:tcPr>
            <w:tcW w:w="8168" w:type="dxa"/>
            <w:gridSpan w:val="2"/>
            <w:tcBorders>
              <w:top w:val="nil"/>
              <w:left w:val="nil"/>
              <w:bottom w:val="nil"/>
              <w:right w:val="nil"/>
            </w:tcBorders>
          </w:tcPr>
          <w:p w14:paraId="49243B80"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Բոլոր կլինիկական հետազոտությունների (փորձարկումների) ցանկը՝ աղյուսակների տեսքով</w:t>
            </w:r>
          </w:p>
        </w:tc>
      </w:tr>
      <w:tr w:rsidR="006F76EB" w:rsidRPr="00834D52" w14:paraId="24BE52CF" w14:textId="77777777" w:rsidTr="00F71229">
        <w:tc>
          <w:tcPr>
            <w:tcW w:w="1809" w:type="dxa"/>
            <w:tcBorders>
              <w:top w:val="nil"/>
              <w:left w:val="nil"/>
              <w:bottom w:val="nil"/>
              <w:right w:val="nil"/>
            </w:tcBorders>
          </w:tcPr>
          <w:p w14:paraId="67BD63FC"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w:t>
            </w:r>
          </w:p>
        </w:tc>
        <w:tc>
          <w:tcPr>
            <w:tcW w:w="8168" w:type="dxa"/>
            <w:gridSpan w:val="2"/>
            <w:tcBorders>
              <w:top w:val="nil"/>
              <w:left w:val="nil"/>
              <w:bottom w:val="nil"/>
              <w:right w:val="nil"/>
            </w:tcBorders>
          </w:tcPr>
          <w:p w14:paraId="67B1A2C5"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Կլինիկական հետազոտությունների (փորձարկումների) վերաբերյալ հաշվետվությունները</w:t>
            </w:r>
          </w:p>
        </w:tc>
      </w:tr>
      <w:tr w:rsidR="006F76EB" w:rsidRPr="00834D52" w14:paraId="3983CF5F" w14:textId="77777777" w:rsidTr="00F71229">
        <w:tc>
          <w:tcPr>
            <w:tcW w:w="1809" w:type="dxa"/>
            <w:tcBorders>
              <w:top w:val="nil"/>
              <w:left w:val="nil"/>
              <w:bottom w:val="nil"/>
              <w:right w:val="nil"/>
            </w:tcBorders>
          </w:tcPr>
          <w:p w14:paraId="347B909D"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5.3.1.</w:t>
            </w:r>
          </w:p>
        </w:tc>
        <w:tc>
          <w:tcPr>
            <w:tcW w:w="8168" w:type="dxa"/>
            <w:gridSpan w:val="2"/>
            <w:tcBorders>
              <w:top w:val="nil"/>
              <w:left w:val="nil"/>
              <w:bottom w:val="nil"/>
              <w:right w:val="nil"/>
            </w:tcBorders>
          </w:tcPr>
          <w:p w14:paraId="0367A078"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վերաբերյալ հաշվետվությունները </w:t>
            </w:r>
          </w:p>
        </w:tc>
      </w:tr>
      <w:tr w:rsidR="006F76EB" w:rsidRPr="00834D52" w14:paraId="008D97C4" w14:textId="77777777" w:rsidTr="00F71229">
        <w:tc>
          <w:tcPr>
            <w:tcW w:w="1809" w:type="dxa"/>
            <w:tcBorders>
              <w:top w:val="nil"/>
              <w:left w:val="nil"/>
              <w:bottom w:val="nil"/>
              <w:right w:val="nil"/>
            </w:tcBorders>
          </w:tcPr>
          <w:p w14:paraId="10B736B2"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5.3.2.</w:t>
            </w:r>
          </w:p>
        </w:tc>
        <w:tc>
          <w:tcPr>
            <w:tcW w:w="8168" w:type="dxa"/>
            <w:gridSpan w:val="2"/>
            <w:tcBorders>
              <w:top w:val="nil"/>
              <w:left w:val="nil"/>
              <w:bottom w:val="nil"/>
              <w:right w:val="nil"/>
            </w:tcBorders>
          </w:tcPr>
          <w:p w14:paraId="5FBA1391"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կենսանյութերի օգտագործմամբ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3A9DED16" w14:textId="77777777" w:rsidTr="00F71229">
        <w:tc>
          <w:tcPr>
            <w:tcW w:w="1809" w:type="dxa"/>
            <w:tcBorders>
              <w:top w:val="nil"/>
              <w:left w:val="nil"/>
              <w:bottom w:val="nil"/>
              <w:right w:val="nil"/>
            </w:tcBorders>
          </w:tcPr>
          <w:p w14:paraId="5303F7DE" w14:textId="77777777" w:rsidR="006F76EB" w:rsidRPr="00834D52" w:rsidRDefault="006F76EB" w:rsidP="00607D50">
            <w:pPr>
              <w:spacing w:after="160" w:line="28" w:lineRule="atLeast"/>
              <w:ind w:right="-8"/>
              <w:jc w:val="center"/>
              <w:rPr>
                <w:rFonts w:ascii="Sylfaen" w:eastAsia="Times New Roman" w:hAnsi="Sylfaen" w:cs="Times New Roman"/>
                <w:sz w:val="24"/>
                <w:szCs w:val="24"/>
              </w:rPr>
            </w:pPr>
            <w:r w:rsidRPr="00834D52">
              <w:rPr>
                <w:rFonts w:ascii="Sylfaen" w:hAnsi="Sylfaen"/>
                <w:sz w:val="24"/>
                <w:szCs w:val="24"/>
              </w:rPr>
              <w:t>5.3.3.</w:t>
            </w:r>
          </w:p>
        </w:tc>
        <w:tc>
          <w:tcPr>
            <w:tcW w:w="8168" w:type="dxa"/>
            <w:gridSpan w:val="2"/>
            <w:tcBorders>
              <w:top w:val="nil"/>
              <w:left w:val="nil"/>
              <w:bottom w:val="nil"/>
              <w:right w:val="nil"/>
            </w:tcBorders>
          </w:tcPr>
          <w:p w14:paraId="5A48EC4B" w14:textId="77777777" w:rsidR="006F76EB" w:rsidRPr="00834D52" w:rsidRDefault="006F76EB" w:rsidP="00607D50">
            <w:pPr>
              <w:spacing w:after="160" w:line="28" w:lineRule="atLeast"/>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կինետիկ հետազոտությունների վերաբերյալ հաշվետվությունները</w:t>
            </w:r>
          </w:p>
        </w:tc>
      </w:tr>
      <w:tr w:rsidR="006F76EB" w:rsidRPr="00834D52" w14:paraId="43BE4164" w14:textId="77777777" w:rsidTr="00F71229">
        <w:tc>
          <w:tcPr>
            <w:tcW w:w="1809" w:type="dxa"/>
            <w:tcBorders>
              <w:top w:val="nil"/>
              <w:left w:val="nil"/>
              <w:bottom w:val="nil"/>
              <w:right w:val="nil"/>
            </w:tcBorders>
          </w:tcPr>
          <w:p w14:paraId="579D37C9"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8168" w:type="dxa"/>
            <w:gridSpan w:val="2"/>
            <w:tcBorders>
              <w:top w:val="nil"/>
              <w:left w:val="nil"/>
              <w:bottom w:val="nil"/>
              <w:right w:val="nil"/>
            </w:tcBorders>
          </w:tcPr>
          <w:p w14:paraId="45720F35"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Մարդու </w:t>
            </w:r>
            <w:r w:rsidR="00355C33">
              <w:rPr>
                <w:rFonts w:ascii="Sylfaen" w:hAnsi="Sylfaen"/>
                <w:sz w:val="24"/>
                <w:szCs w:val="24"/>
              </w:rPr>
              <w:t>դեղա</w:t>
            </w:r>
            <w:r w:rsidRPr="00834D52">
              <w:rPr>
                <w:rFonts w:ascii="Sylfaen" w:hAnsi="Sylfaen"/>
                <w:sz w:val="24"/>
                <w:szCs w:val="24"/>
              </w:rPr>
              <w:t>դինամիկ հետազոտությունների վերաբերյալ հաշվետվությունները</w:t>
            </w:r>
          </w:p>
        </w:tc>
      </w:tr>
      <w:tr w:rsidR="006F76EB" w:rsidRPr="00834D52" w14:paraId="284CFB11" w14:textId="77777777" w:rsidTr="00F71229">
        <w:tc>
          <w:tcPr>
            <w:tcW w:w="1809" w:type="dxa"/>
            <w:tcBorders>
              <w:top w:val="nil"/>
              <w:left w:val="nil"/>
              <w:bottom w:val="nil"/>
              <w:right w:val="nil"/>
            </w:tcBorders>
          </w:tcPr>
          <w:p w14:paraId="74DF6AB3"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8168" w:type="dxa"/>
            <w:gridSpan w:val="2"/>
            <w:tcBorders>
              <w:top w:val="nil"/>
              <w:left w:val="nil"/>
              <w:bottom w:val="nil"/>
              <w:right w:val="nil"/>
            </w:tcBorders>
          </w:tcPr>
          <w:p w14:paraId="3A0D38E8"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Արդյունավետության </w:t>
            </w:r>
            <w:r w:rsidR="00C54D75">
              <w:rPr>
                <w:rFonts w:ascii="Sylfaen" w:hAnsi="Sylfaen"/>
                <w:sz w:val="24"/>
                <w:szCs w:val="24"/>
              </w:rPr>
              <w:t>և</w:t>
            </w:r>
            <w:r w:rsidRPr="00834D52">
              <w:rPr>
                <w:rFonts w:ascii="Sylfaen" w:hAnsi="Sylfaen"/>
                <w:sz w:val="24"/>
                <w:szCs w:val="24"/>
              </w:rPr>
              <w:t xml:space="preserve"> անվտանգության հետազոտության վերաբերյալ հաշվետվությունները</w:t>
            </w:r>
          </w:p>
        </w:tc>
      </w:tr>
      <w:tr w:rsidR="006F76EB" w:rsidRPr="00834D52" w14:paraId="692FEF96" w14:textId="77777777" w:rsidTr="00F71229">
        <w:tc>
          <w:tcPr>
            <w:tcW w:w="1809" w:type="dxa"/>
            <w:tcBorders>
              <w:top w:val="nil"/>
              <w:left w:val="nil"/>
              <w:bottom w:val="nil"/>
              <w:right w:val="nil"/>
            </w:tcBorders>
          </w:tcPr>
          <w:p w14:paraId="2C488C66"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8168" w:type="dxa"/>
            <w:gridSpan w:val="2"/>
            <w:tcBorders>
              <w:top w:val="nil"/>
              <w:left w:val="nil"/>
              <w:bottom w:val="nil"/>
              <w:right w:val="nil"/>
            </w:tcBorders>
          </w:tcPr>
          <w:p w14:paraId="763EFAFF"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Կիրառության հետգրանցումային փորձի վերաբերյալ հաշվետվությունները</w:t>
            </w:r>
          </w:p>
        </w:tc>
      </w:tr>
      <w:tr w:rsidR="006F76EB" w:rsidRPr="00834D52" w14:paraId="4D519F66" w14:textId="77777777" w:rsidTr="00F71229">
        <w:tc>
          <w:tcPr>
            <w:tcW w:w="1809" w:type="dxa"/>
            <w:tcBorders>
              <w:top w:val="nil"/>
              <w:left w:val="nil"/>
              <w:bottom w:val="nil"/>
              <w:right w:val="nil"/>
            </w:tcBorders>
          </w:tcPr>
          <w:p w14:paraId="6F073D82"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8168" w:type="dxa"/>
            <w:gridSpan w:val="2"/>
            <w:tcBorders>
              <w:top w:val="nil"/>
              <w:left w:val="nil"/>
              <w:bottom w:val="nil"/>
              <w:right w:val="nil"/>
            </w:tcBorders>
          </w:tcPr>
          <w:p w14:paraId="03CF9346"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 xml:space="preserve">Պացիենտների անհատական գրանցման քարտերը </w:t>
            </w:r>
            <w:r w:rsidR="00C54D75">
              <w:rPr>
                <w:rFonts w:ascii="Sylfaen" w:hAnsi="Sylfaen"/>
                <w:sz w:val="24"/>
                <w:szCs w:val="24"/>
              </w:rPr>
              <w:t>և</w:t>
            </w:r>
            <w:r w:rsidRPr="00834D52">
              <w:rPr>
                <w:rFonts w:ascii="Sylfaen" w:hAnsi="Sylfaen"/>
                <w:sz w:val="24"/>
                <w:szCs w:val="24"/>
              </w:rPr>
              <w:t xml:space="preserve"> ցանկերը</w:t>
            </w:r>
          </w:p>
        </w:tc>
      </w:tr>
      <w:tr w:rsidR="006F76EB" w:rsidRPr="00834D52" w14:paraId="7579C768" w14:textId="77777777" w:rsidTr="00F71229">
        <w:tc>
          <w:tcPr>
            <w:tcW w:w="1809" w:type="dxa"/>
            <w:tcBorders>
              <w:top w:val="nil"/>
              <w:left w:val="nil"/>
              <w:bottom w:val="nil"/>
              <w:right w:val="nil"/>
            </w:tcBorders>
          </w:tcPr>
          <w:p w14:paraId="4F5CE405" w14:textId="77777777" w:rsidR="006F76EB" w:rsidRPr="00834D52" w:rsidRDefault="006F76EB" w:rsidP="00A028E3">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8168" w:type="dxa"/>
            <w:gridSpan w:val="2"/>
            <w:tcBorders>
              <w:top w:val="nil"/>
              <w:left w:val="nil"/>
              <w:bottom w:val="nil"/>
              <w:right w:val="nil"/>
            </w:tcBorders>
          </w:tcPr>
          <w:p w14:paraId="39A47719" w14:textId="77777777" w:rsidR="006F76EB" w:rsidRPr="00834D52" w:rsidRDefault="006F76EB" w:rsidP="00A028E3">
            <w:pPr>
              <w:spacing w:after="160" w:line="360" w:lineRule="auto"/>
              <w:ind w:right="-8"/>
              <w:rPr>
                <w:rFonts w:ascii="Sylfaen" w:eastAsia="Times New Roman" w:hAnsi="Sylfaen" w:cs="Times New Roman"/>
                <w:sz w:val="24"/>
                <w:szCs w:val="24"/>
              </w:rPr>
            </w:pPr>
            <w:r w:rsidRPr="00834D52">
              <w:rPr>
                <w:rFonts w:ascii="Sylfaen" w:hAnsi="Sylfaen"/>
                <w:sz w:val="24"/>
                <w:szCs w:val="24"/>
              </w:rPr>
              <w:t>Օգտագործված գրական աղբյուրների պատճենները</w:t>
            </w:r>
          </w:p>
        </w:tc>
      </w:tr>
    </w:tbl>
    <w:p w14:paraId="5BE3CC01" w14:textId="77777777" w:rsidR="006F76EB" w:rsidRPr="00834D52" w:rsidRDefault="006F76EB" w:rsidP="006F76EB">
      <w:pPr>
        <w:spacing w:after="120" w:line="240" w:lineRule="auto"/>
        <w:ind w:right="-8"/>
        <w:rPr>
          <w:rFonts w:ascii="Sylfaen" w:hAnsi="Sylfaen"/>
          <w:sz w:val="24"/>
          <w:szCs w:val="24"/>
        </w:rPr>
      </w:pPr>
    </w:p>
    <w:p w14:paraId="4D161981" w14:textId="77777777" w:rsidR="006F76EB" w:rsidRPr="00834D52" w:rsidRDefault="006F76EB" w:rsidP="006F76EB">
      <w:pPr>
        <w:spacing w:after="120" w:line="240" w:lineRule="auto"/>
        <w:ind w:right="-8" w:firstLine="567"/>
        <w:rPr>
          <w:rFonts w:ascii="Sylfaen" w:eastAsia="Times New Roman" w:hAnsi="Sylfaen" w:cs="Times New Roman"/>
        </w:rPr>
      </w:pPr>
      <w:r w:rsidRPr="00834D52">
        <w:rPr>
          <w:rFonts w:ascii="Sylfaen" w:hAnsi="Sylfaen"/>
        </w:rPr>
        <w:t>Ծանոթագրություն.</w:t>
      </w:r>
    </w:p>
    <w:p w14:paraId="63DD4D37" w14:textId="3C13E6F9" w:rsidR="006F76EB" w:rsidRDefault="006F76EB" w:rsidP="006F76EB">
      <w:pPr>
        <w:spacing w:after="120" w:line="240" w:lineRule="auto"/>
        <w:ind w:right="-8" w:firstLine="567"/>
        <w:jc w:val="both"/>
        <w:rPr>
          <w:rFonts w:ascii="Sylfaen" w:hAnsi="Sylfaen"/>
        </w:rPr>
      </w:pPr>
      <w:r w:rsidRPr="00834D52">
        <w:rPr>
          <w:rFonts w:ascii="Sylfaen" w:hAnsi="Sylfaen"/>
        </w:rPr>
        <w:t xml:space="preserve">Եթե Եվրասիական տնտեսական հանձնաժողովի կողմից հաստատվող՝ բժշկական կիրառության դեղամիջոցների գրանցման </w:t>
      </w:r>
      <w:r w:rsidR="00C54D75">
        <w:rPr>
          <w:rFonts w:ascii="Sylfaen" w:hAnsi="Sylfaen"/>
        </w:rPr>
        <w:t>և</w:t>
      </w:r>
      <w:r w:rsidRPr="00834D52">
        <w:rPr>
          <w:rFonts w:ascii="Sylfaen" w:hAnsi="Sylfaen"/>
        </w:rPr>
        <w:t xml:space="preserve"> փորձաքննության կանոններով այլ բան սահմանված չէ, ապա ներկայացվում են </w:t>
      </w:r>
      <w:r w:rsidR="0056496B">
        <w:rPr>
          <w:rFonts w:ascii="Sylfaen" w:hAnsi="Sylfaen"/>
        </w:rPr>
        <w:t>դիմումատու</w:t>
      </w:r>
      <w:r w:rsidRPr="00834D52">
        <w:rPr>
          <w:rFonts w:ascii="Sylfaen" w:hAnsi="Sylfaen"/>
        </w:rPr>
        <w:t>ի կողմից վավերացված փաստաթղթերը։ Գրանցման դոսյեի փաստաթղթերը ներկայացվում են ռուսերենով կամ ռուսերեն թարգմանությամբ՝ սույն փաստաթղթի երկրորդ մասում ներկայացված ցուցումներին համապատասխան։ Թույլատրվում է</w:t>
      </w:r>
      <w:r w:rsidR="00910A59">
        <w:rPr>
          <w:rFonts w:ascii="Sylfaen" w:hAnsi="Sylfaen"/>
        </w:rPr>
        <w:t xml:space="preserve"> 1-ին մոդուլի 1</w:t>
      </w:r>
      <w:r w:rsidR="00910A59" w:rsidRPr="00910A59">
        <w:rPr>
          <w:rFonts w:ascii="Sylfaen" w:hAnsi="Sylfaen"/>
        </w:rPr>
        <w:t xml:space="preserve">.6.3 </w:t>
      </w:r>
      <w:r w:rsidR="00910A59">
        <w:rPr>
          <w:rFonts w:ascii="Sylfaen" w:hAnsi="Sylfaen"/>
        </w:rPr>
        <w:t>բաժնի</w:t>
      </w:r>
      <w:r w:rsidR="00D9182D">
        <w:rPr>
          <w:rFonts w:ascii="Sylfaen" w:hAnsi="Sylfaen"/>
        </w:rPr>
        <w:t xml:space="preserve"> փաստաթուղթը</w:t>
      </w:r>
      <w:r w:rsidR="00C83269">
        <w:rPr>
          <w:rFonts w:ascii="Sylfaen" w:hAnsi="Sylfaen"/>
        </w:rPr>
        <w:t>, ինչպես նաև</w:t>
      </w:r>
      <w:r w:rsidRPr="00834D52">
        <w:rPr>
          <w:rFonts w:ascii="Sylfaen" w:hAnsi="Sylfaen"/>
        </w:rPr>
        <w:t xml:space="preserve"> 3-5-րդ մոդուլների փաստաթղթերը ներկայացնել անգլերենով՝ 3-րդ մոդուլի հետ</w:t>
      </w:r>
      <w:r w:rsidR="00C54D75">
        <w:rPr>
          <w:rFonts w:ascii="Sylfaen" w:hAnsi="Sylfaen"/>
        </w:rPr>
        <w:t>և</w:t>
      </w:r>
      <w:r w:rsidRPr="00834D52">
        <w:rPr>
          <w:rFonts w:ascii="Sylfaen" w:hAnsi="Sylfaen"/>
        </w:rPr>
        <w:t xml:space="preserve">յալ բաժինների պարտադիր ռուսերեն թարգմանությամբ՝ արտադրական գործընթացի նկարագրությունը </w:t>
      </w:r>
      <w:r w:rsidR="00C54D75">
        <w:rPr>
          <w:rFonts w:ascii="Sylfaen" w:hAnsi="Sylfaen"/>
        </w:rPr>
        <w:t>և</w:t>
      </w:r>
      <w:r w:rsidRPr="00834D52">
        <w:rPr>
          <w:rFonts w:ascii="Sylfaen" w:hAnsi="Sylfaen"/>
        </w:rPr>
        <w:t xml:space="preserve"> դրա հսկողությունը (3.2.S.2.2), արտադրական գործընթացի վալիդացումը </w:t>
      </w:r>
      <w:r w:rsidR="00C54D75">
        <w:rPr>
          <w:rFonts w:ascii="Sylfaen" w:hAnsi="Sylfaen"/>
        </w:rPr>
        <w:t>և</w:t>
      </w:r>
      <w:r w:rsidRPr="00834D52">
        <w:rPr>
          <w:rFonts w:ascii="Sylfaen" w:hAnsi="Sylfaen"/>
        </w:rPr>
        <w:t xml:space="preserve"> (կամ) դրա գնահատումը (3.2.S.2.5), խառնուկները (3.2.S.3.2), վերլուծական մեթոդիկաները (3.2.S.4.2), վերլուծական մեթոդիկաների վալիդացումը (3.2.S.4.3), մասնագրի հիմնավորումը (3.2.S.4.5),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w:t>
      </w:r>
      <w:r w:rsidRPr="00834D52">
        <w:rPr>
          <w:rFonts w:ascii="Sylfaen" w:hAnsi="Sylfaen"/>
        </w:rPr>
        <w:lastRenderedPageBreak/>
        <w:t xml:space="preserve">եզրակացությունը (3.2.S.7.1), դեղապատրաստուկի նկարագրությունը </w:t>
      </w:r>
      <w:r w:rsidR="00C54D75">
        <w:rPr>
          <w:rFonts w:ascii="Sylfaen" w:hAnsi="Sylfaen"/>
        </w:rPr>
        <w:t>և</w:t>
      </w:r>
      <w:r w:rsidRPr="00834D52">
        <w:rPr>
          <w:rFonts w:ascii="Sylfaen" w:hAnsi="Sylfaen"/>
        </w:rPr>
        <w:t xml:space="preserve"> բաղադրությունը (3.2.P.1), դեղաձ</w:t>
      </w:r>
      <w:r w:rsidR="00C54D75">
        <w:rPr>
          <w:rFonts w:ascii="Sylfaen" w:hAnsi="Sylfaen"/>
        </w:rPr>
        <w:t>և</w:t>
      </w:r>
      <w:r w:rsidRPr="00834D52">
        <w:rPr>
          <w:rFonts w:ascii="Sylfaen" w:hAnsi="Sylfaen"/>
        </w:rPr>
        <w:t xml:space="preserve">ի մշակումը (3.2.P.2.2.1), արտադրական ավելցուկները (3.2.P.2.2.2), ֆիզիկաքիմիական </w:t>
      </w:r>
      <w:r w:rsidR="00C54D75">
        <w:rPr>
          <w:rFonts w:ascii="Sylfaen" w:hAnsi="Sylfaen"/>
        </w:rPr>
        <w:t>և</w:t>
      </w:r>
      <w:r w:rsidRPr="00834D52">
        <w:rPr>
          <w:rFonts w:ascii="Sylfaen" w:hAnsi="Sylfaen"/>
        </w:rPr>
        <w:t xml:space="preserve"> կենսաբանական հատկությունները (3.2.P.2.2.3), փաթեթավորման (խցանափակման) համակարգը (3.2.P.2.4), համատեղելիությունը (3.2.P.2.6), արտադրական գործընթացի նկարագրությունը </w:t>
      </w:r>
      <w:r w:rsidR="00C54D75">
        <w:rPr>
          <w:rFonts w:ascii="Sylfaen" w:hAnsi="Sylfaen"/>
        </w:rPr>
        <w:t>և</w:t>
      </w:r>
      <w:r w:rsidRPr="00834D52">
        <w:rPr>
          <w:rFonts w:ascii="Sylfaen" w:hAnsi="Sylfaen"/>
        </w:rPr>
        <w:t xml:space="preserve"> դրա հսկողությունը (3.2.P.3.3), կրիտիկական փուլերի </w:t>
      </w:r>
      <w:r w:rsidR="00C54D75">
        <w:rPr>
          <w:rFonts w:ascii="Sylfaen" w:hAnsi="Sylfaen"/>
        </w:rPr>
        <w:t>և</w:t>
      </w:r>
      <w:r w:rsidRPr="00834D52">
        <w:rPr>
          <w:rFonts w:ascii="Sylfaen" w:hAnsi="Sylfaen"/>
        </w:rPr>
        <w:t xml:space="preserve"> միջանկյալ արտադրանքի հսկողությունը (3.2.P.3.4), արտադրական գործընթացի վալիդացումը </w:t>
      </w:r>
      <w:r w:rsidR="00C54D75">
        <w:rPr>
          <w:rFonts w:ascii="Sylfaen" w:hAnsi="Sylfaen"/>
        </w:rPr>
        <w:t>և</w:t>
      </w:r>
      <w:r w:rsidRPr="00834D52">
        <w:rPr>
          <w:rFonts w:ascii="Sylfaen" w:hAnsi="Sylfaen"/>
        </w:rPr>
        <w:t xml:space="preserve"> (կամ) դրա գնահատումը (3.2.P.3.5), վերլուծական մեթոդիկաների վալիդացումը (3.2.Р.4.3), մասնագրերի հիմնավորումը (3.2.Р.4.4), մարդկային </w:t>
      </w:r>
      <w:r w:rsidR="00C54D75">
        <w:rPr>
          <w:rFonts w:ascii="Sylfaen" w:hAnsi="Sylfaen"/>
        </w:rPr>
        <w:t>և</w:t>
      </w:r>
      <w:r w:rsidRPr="00834D52">
        <w:rPr>
          <w:rFonts w:ascii="Sylfaen" w:hAnsi="Sylfaen"/>
        </w:rPr>
        <w:t xml:space="preserve"> կենդանական ծագման օժանդակ նյութերը (3.2.Р.4.5), նոր օժանդակ նյութերը (3.2.Р.4.6), մասնագրերը (3.2.P.5.1), վերլուծական մեթոդիկաները (3.2.Р.5.2), վերլուծական մեթոդիկաների վալիդացումը (3.2.Р.5.3), խառնուկների բնութագիրը (3.2.Р.5.5), մասնագրերի հիմնավորումը (3.2.Р.5.6), փաթեթավորման (խցանափակման) համակարգը (3.2.Р.7), կայունության փորձարկումների վերաբերյալ ռեզյումեն </w:t>
      </w:r>
      <w:r w:rsidR="00C54D75">
        <w:rPr>
          <w:rFonts w:ascii="Sylfaen" w:hAnsi="Sylfaen"/>
        </w:rPr>
        <w:t>և</w:t>
      </w:r>
      <w:r w:rsidRPr="00834D52">
        <w:rPr>
          <w:rFonts w:ascii="Sylfaen" w:hAnsi="Sylfaen"/>
        </w:rPr>
        <w:t xml:space="preserve"> կայունության վերաբերյալ եզրակացությունը (3.2.Р.8.1), կայունության հետգրանցումային փորձարկումների ծրագիրը </w:t>
      </w:r>
      <w:r w:rsidR="00C54D75">
        <w:rPr>
          <w:rFonts w:ascii="Sylfaen" w:hAnsi="Sylfaen"/>
        </w:rPr>
        <w:t>և</w:t>
      </w:r>
      <w:r w:rsidRPr="00834D52">
        <w:rPr>
          <w:rFonts w:ascii="Sylfaen" w:hAnsi="Sylfaen"/>
        </w:rPr>
        <w:t xml:space="preserve"> կայունության ուսումնասիրությանը վերաբերող պարտավորությունները (3.2.Р.8.2), կողմնակի ագենտների մասով անվտանգության գնահատումը (3.2.А.2), նոր օժանդակ նյութեր (3.2.А.3</w:t>
      </w:r>
      <w:r w:rsidRPr="009A0199">
        <w:rPr>
          <w:rFonts w:ascii="Sylfaen" w:hAnsi="Sylfaen"/>
        </w:rPr>
        <w:t>)</w:t>
      </w:r>
      <w:r w:rsidR="00C648A4">
        <w:rPr>
          <w:rFonts w:ascii="Sylfaen" w:hAnsi="Sylfaen"/>
        </w:rPr>
        <w:t xml:space="preserve">։ Թույլատրվում է </w:t>
      </w:r>
      <w:r w:rsidR="00C648A4">
        <w:rPr>
          <w:rFonts w:ascii="Sylfaen" w:hAnsi="Sylfaen"/>
          <w:sz w:val="24"/>
          <w:szCs w:val="24"/>
        </w:rPr>
        <w:t>դեղազգոնության մասով մաստեր-ֆայլը ներկայացնել անգլերենով՝</w:t>
      </w:r>
      <w:r w:rsidR="00E90FAF" w:rsidRPr="00E90FAF">
        <w:rPr>
          <w:rFonts w:ascii="Sylfaen" w:hAnsi="Sylfaen"/>
        </w:rPr>
        <w:t xml:space="preserve"> </w:t>
      </w:r>
      <w:r w:rsidR="006313BB" w:rsidRPr="009A0199">
        <w:rPr>
          <w:rFonts w:ascii="Sylfaen" w:hAnsi="Sylfaen"/>
        </w:rPr>
        <w:t>գ</w:t>
      </w:r>
      <w:r w:rsidR="00C648A4">
        <w:rPr>
          <w:rFonts w:ascii="Sylfaen" w:hAnsi="Sylfaen"/>
        </w:rPr>
        <w:t xml:space="preserve">րանցման </w:t>
      </w:r>
      <w:r w:rsidR="00C648A4">
        <w:rPr>
          <w:rFonts w:ascii="Sylfaen" w:hAnsi="Sylfaen"/>
          <w:sz w:val="24"/>
          <w:szCs w:val="24"/>
        </w:rPr>
        <w:t xml:space="preserve">հավաստագրի իրավատիրոջ՝ դեղազգոնության համակարգի համառոտ բնութագրի պարտադիր ռուսերեն թարգմանությամբ, </w:t>
      </w:r>
      <w:r w:rsidR="00C648A4">
        <w:rPr>
          <w:rFonts w:ascii="Sylfaen" w:hAnsi="Sylfaen"/>
        </w:rPr>
        <w:t>ռիսկերի կառավարման պլանը ներկայացնել անգլերենով՝ ռեզյումեի պարտադիր ռուսերեն թարգմանությամբ։</w:t>
      </w:r>
    </w:p>
    <w:p w14:paraId="6290A1BE" w14:textId="6964D5FE" w:rsidR="00C924A8" w:rsidRDefault="00C924A8" w:rsidP="006F76EB">
      <w:pPr>
        <w:spacing w:after="120" w:line="240" w:lineRule="auto"/>
        <w:ind w:right="-8" w:firstLine="567"/>
        <w:jc w:val="both"/>
        <w:rPr>
          <w:rFonts w:ascii="Sylfaen" w:hAnsi="Sylfaen"/>
        </w:rPr>
      </w:pPr>
      <w:r w:rsidRPr="00C924A8">
        <w:rPr>
          <w:rFonts w:ascii="Sylfaen" w:hAnsi="Sylfaen"/>
        </w:rPr>
        <w:t>Ընդ որում, չի պահանջվում նշված կանոնների 1751 կետին համապատասխան ներկայացված փաստաթղթերի ռուսերեն թարգմանությունն այն դեպքում, եթե ռուսերենն Եվրասիական տնտեսական միության համապատասխան անդամ պետությունում պետական լեզու չի համարվում</w:t>
      </w:r>
      <w:r>
        <w:rPr>
          <w:rFonts w:ascii="Sylfaen" w:hAnsi="Sylfaen"/>
        </w:rPr>
        <w:t>:</w:t>
      </w:r>
    </w:p>
    <w:p w14:paraId="7432856A" w14:textId="0A53F112" w:rsidR="00C924A8" w:rsidRPr="00CD4709" w:rsidRDefault="00C924A8" w:rsidP="00C924A8">
      <w:pPr>
        <w:rPr>
          <w:b/>
          <w:bCs/>
          <w:i/>
          <w:iCs/>
        </w:rPr>
      </w:pPr>
      <w:r w:rsidRPr="00CD4709">
        <w:rPr>
          <w:b/>
          <w:bCs/>
          <w:i/>
          <w:iCs/>
        </w:rPr>
        <w:t>(</w:t>
      </w:r>
      <w:r>
        <w:rPr>
          <w:b/>
          <w:bCs/>
          <w:i/>
          <w:iCs/>
        </w:rPr>
        <w:t>հավելվածը լրաց. 23.04.21</w:t>
      </w:r>
      <w:r w:rsidRPr="00CD4709">
        <w:rPr>
          <w:b/>
          <w:bCs/>
          <w:i/>
          <w:iCs/>
        </w:rPr>
        <w:t xml:space="preserve"> թիվ</w:t>
      </w:r>
      <w:r>
        <w:rPr>
          <w:b/>
          <w:bCs/>
          <w:i/>
          <w:iCs/>
        </w:rPr>
        <w:t xml:space="preserve"> 34</w:t>
      </w:r>
      <w:r w:rsidRPr="00CD4709">
        <w:rPr>
          <w:b/>
          <w:bCs/>
          <w:i/>
          <w:iCs/>
        </w:rPr>
        <w:t>)</w:t>
      </w:r>
    </w:p>
    <w:p w14:paraId="5C727260" w14:textId="77777777" w:rsidR="00C924A8" w:rsidRPr="007F5A60" w:rsidRDefault="00C924A8" w:rsidP="006F76EB">
      <w:pPr>
        <w:spacing w:after="120" w:line="240" w:lineRule="auto"/>
        <w:ind w:right="-8" w:firstLine="567"/>
        <w:jc w:val="both"/>
        <w:rPr>
          <w:rFonts w:ascii="Sylfaen" w:hAnsi="Sylfaen"/>
        </w:rPr>
      </w:pPr>
    </w:p>
    <w:p w14:paraId="3BE831A3" w14:textId="77777777" w:rsidR="00607D50" w:rsidRPr="007F5A60" w:rsidRDefault="00607D50">
      <w:pPr>
        <w:widowControl/>
        <w:rPr>
          <w:rFonts w:ascii="Sylfaen" w:hAnsi="Sylfaen"/>
        </w:rPr>
      </w:pPr>
      <w:r w:rsidRPr="007F5A60">
        <w:rPr>
          <w:rFonts w:ascii="Sylfaen" w:hAnsi="Sylfaen"/>
        </w:rPr>
        <w:br w:type="page"/>
      </w:r>
    </w:p>
    <w:p w14:paraId="55C52151" w14:textId="77777777" w:rsidR="006F76EB" w:rsidRPr="00834D52" w:rsidRDefault="006F76EB" w:rsidP="008E009C">
      <w:pPr>
        <w:spacing w:after="160" w:line="360" w:lineRule="auto"/>
        <w:ind w:left="567" w:right="437"/>
        <w:jc w:val="center"/>
        <w:rPr>
          <w:rFonts w:ascii="Sylfaen" w:eastAsia="Times New Roman" w:hAnsi="Sylfaen" w:cs="Times New Roman"/>
          <w:sz w:val="24"/>
          <w:szCs w:val="24"/>
        </w:rPr>
      </w:pPr>
      <w:r w:rsidRPr="00834D52">
        <w:rPr>
          <w:rFonts w:ascii="Sylfaen" w:hAnsi="Sylfaen"/>
          <w:sz w:val="24"/>
          <w:szCs w:val="24"/>
        </w:rPr>
        <w:lastRenderedPageBreak/>
        <w:t>II. Դեղապատրաստուկների տարբեր տեսակների համար գրանցման դոսյեի մոդուլներում ներկայացվող փաստաթղթերի օրինակելի ցանկը</w:t>
      </w:r>
    </w:p>
    <w:p w14:paraId="069BF7DF" w14:textId="77777777" w:rsidR="006F76EB" w:rsidRPr="00834D52" w:rsidRDefault="006F76EB" w:rsidP="008E009C">
      <w:pPr>
        <w:spacing w:after="160" w:line="360" w:lineRule="auto"/>
        <w:ind w:right="-8"/>
        <w:rPr>
          <w:rFonts w:ascii="Sylfaen" w:hAnsi="Sylfaen"/>
          <w:sz w:val="24"/>
          <w:szCs w:val="24"/>
        </w:rPr>
      </w:pPr>
    </w:p>
    <w:p w14:paraId="2880D884" w14:textId="77777777" w:rsidR="006F76EB" w:rsidRPr="00834D52" w:rsidRDefault="006F76EB" w:rsidP="008E009C">
      <w:pPr>
        <w:spacing w:after="160" w:line="360" w:lineRule="auto"/>
        <w:ind w:right="-6" w:firstLine="567"/>
        <w:jc w:val="both"/>
        <w:rPr>
          <w:rFonts w:ascii="Sylfaen" w:hAnsi="Sylfaen"/>
          <w:sz w:val="24"/>
          <w:szCs w:val="24"/>
        </w:rPr>
      </w:pPr>
      <w:r w:rsidRPr="00834D52">
        <w:rPr>
          <w:rFonts w:ascii="Sylfaen" w:hAnsi="Sylfaen"/>
          <w:sz w:val="24"/>
          <w:szCs w:val="24"/>
        </w:rPr>
        <w:t xml:space="preserve">Սույն ցանկն օժանդակող է սույն փաստաթղթի I մասի համար </w:t>
      </w:r>
      <w:r w:rsidR="00C54D75">
        <w:rPr>
          <w:rFonts w:ascii="Sylfaen" w:hAnsi="Sylfaen"/>
          <w:sz w:val="24"/>
          <w:szCs w:val="24"/>
        </w:rPr>
        <w:t>և</w:t>
      </w:r>
      <w:r w:rsidRPr="00834D52">
        <w:rPr>
          <w:rFonts w:ascii="Sylfaen" w:hAnsi="Sylfaen"/>
          <w:sz w:val="24"/>
          <w:szCs w:val="24"/>
        </w:rPr>
        <w:t xml:space="preserve"> աղյուսակային ձ</w:t>
      </w:r>
      <w:r w:rsidR="00C54D75">
        <w:rPr>
          <w:rFonts w:ascii="Sylfaen" w:hAnsi="Sylfaen"/>
          <w:sz w:val="24"/>
          <w:szCs w:val="24"/>
        </w:rPr>
        <w:t>և</w:t>
      </w:r>
      <w:r w:rsidRPr="00834D52">
        <w:rPr>
          <w:rFonts w:ascii="Sylfaen" w:hAnsi="Sylfaen"/>
          <w:sz w:val="24"/>
          <w:szCs w:val="24"/>
        </w:rPr>
        <w:t xml:space="preserve">ով ներկայացնում է դեղապատրաստուկի գրանցման դոսյեի օրինակելի լրակազմության </w:t>
      </w:r>
    </w:p>
    <w:p w14:paraId="71FF03C3"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հետազոտությունների անցկացման անհրաժեշտ ծավալով։ վերաբերյալ տեղեկատվություն՝ դեղապատրաստուկների առանձին տեսակների համար։ </w:t>
      </w:r>
    </w:p>
    <w:p w14:paraId="5F403870" w14:textId="77777777" w:rsidR="006F76EB" w:rsidRPr="00834D52" w:rsidRDefault="006F76EB" w:rsidP="008E009C">
      <w:pPr>
        <w:spacing w:after="160" w:line="360"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Գրանցման դոսյեն կազմելիս </w:t>
      </w:r>
      <w:r w:rsidR="00C54D75">
        <w:rPr>
          <w:rFonts w:ascii="Sylfaen" w:hAnsi="Sylfaen"/>
          <w:sz w:val="24"/>
          <w:szCs w:val="24"/>
        </w:rPr>
        <w:t>և</w:t>
      </w:r>
      <w:r w:rsidRPr="00834D52">
        <w:rPr>
          <w:rFonts w:ascii="Sylfaen" w:hAnsi="Sylfaen"/>
          <w:sz w:val="24"/>
          <w:szCs w:val="24"/>
        </w:rPr>
        <w:t xml:space="preserve"> դրա լրակազմության գնահատումն անցկացնելիս հարկավոր է առաջին հերթին ղեկավարվել սույն փաստաթղթի I մասում </w:t>
      </w:r>
      <w:r w:rsidR="00C54D75">
        <w:rPr>
          <w:rFonts w:ascii="Sylfaen" w:hAnsi="Sylfaen"/>
          <w:sz w:val="24"/>
          <w:szCs w:val="24"/>
        </w:rPr>
        <w:t>և</w:t>
      </w:r>
      <w:r w:rsidRPr="00834D52">
        <w:rPr>
          <w:rFonts w:ascii="Sylfaen" w:hAnsi="Sylfaen"/>
          <w:sz w:val="24"/>
          <w:szCs w:val="24"/>
        </w:rPr>
        <w:t xml:space="preserve"> Եվրասիական տնտեսական հանձնաժողովի կողմից հաստատվող՝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թիվ 1 հավելվածում ներկայացված ցուցումներով, ինչպես նա</w:t>
      </w:r>
      <w:r w:rsidR="00C54D75">
        <w:rPr>
          <w:rFonts w:ascii="Sylfaen" w:hAnsi="Sylfaen"/>
          <w:sz w:val="24"/>
          <w:szCs w:val="24"/>
        </w:rPr>
        <w:t>և</w:t>
      </w:r>
      <w:r w:rsidRPr="00834D52">
        <w:rPr>
          <w:rFonts w:ascii="Sylfaen" w:hAnsi="Sylfaen"/>
          <w:sz w:val="24"/>
          <w:szCs w:val="24"/>
        </w:rPr>
        <w:t xml:space="preserve"> դեղապատրաստուկ մշակելիս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կանոններում </w:t>
      </w:r>
      <w:r w:rsidR="00C54D75">
        <w:rPr>
          <w:rFonts w:ascii="Sylfaen" w:hAnsi="Sylfaen"/>
          <w:sz w:val="24"/>
          <w:szCs w:val="24"/>
        </w:rPr>
        <w:t>և</w:t>
      </w:r>
      <w:r w:rsidRPr="00834D52">
        <w:rPr>
          <w:rFonts w:ascii="Sylfaen" w:hAnsi="Sylfaen"/>
          <w:sz w:val="24"/>
          <w:szCs w:val="24"/>
        </w:rPr>
        <w:t xml:space="preserve"> Եվրասիական տնտեսական միության տարածքում կենսաբանական դեղամիջոցների հետազոտությունների անցկացման կանոններում նշված նախակլինիկական </w:t>
      </w:r>
      <w:r w:rsidR="00C54D75">
        <w:rPr>
          <w:rFonts w:ascii="Sylfaen" w:hAnsi="Sylfaen"/>
          <w:sz w:val="24"/>
          <w:szCs w:val="24"/>
        </w:rPr>
        <w:t>և</w:t>
      </w:r>
      <w:r w:rsidRPr="00834D52">
        <w:rPr>
          <w:rFonts w:ascii="Sylfaen" w:hAnsi="Sylfaen"/>
          <w:sz w:val="24"/>
          <w:szCs w:val="24"/>
        </w:rPr>
        <w:t xml:space="preserve"> կլինիկական</w:t>
      </w:r>
    </w:p>
    <w:p w14:paraId="3DC21068" w14:textId="77777777" w:rsidR="006F76EB" w:rsidRPr="00834D52" w:rsidRDefault="006F76EB" w:rsidP="006F76EB">
      <w:pPr>
        <w:spacing w:after="120" w:line="240" w:lineRule="auto"/>
        <w:ind w:right="-8"/>
        <w:jc w:val="both"/>
        <w:rPr>
          <w:rFonts w:ascii="Sylfaen" w:eastAsia="Times New Roman" w:hAnsi="Sylfaen" w:cs="Times New Roman"/>
          <w:sz w:val="24"/>
          <w:szCs w:val="24"/>
        </w:rPr>
        <w:sectPr w:rsidR="006F76EB" w:rsidRPr="00834D52" w:rsidSect="00F71229">
          <w:footerReference w:type="default" r:id="rId11"/>
          <w:pgSz w:w="11920" w:h="16840"/>
          <w:pgMar w:top="1418" w:right="1418" w:bottom="1418" w:left="1418" w:header="738" w:footer="517" w:gutter="0"/>
          <w:pgNumType w:start="1"/>
          <w:cols w:space="720"/>
          <w:titlePg/>
          <w:docGrid w:linePitch="299"/>
        </w:sectPr>
      </w:pPr>
    </w:p>
    <w:tbl>
      <w:tblPr>
        <w:tblW w:w="0" w:type="auto"/>
        <w:jc w:val="center"/>
        <w:tblLayout w:type="fixed"/>
        <w:tblCellMar>
          <w:left w:w="0" w:type="dxa"/>
          <w:right w:w="0" w:type="dxa"/>
        </w:tblCellMar>
        <w:tblLook w:val="01E0" w:firstRow="1" w:lastRow="1" w:firstColumn="1" w:lastColumn="1" w:noHBand="0" w:noVBand="0"/>
      </w:tblPr>
      <w:tblGrid>
        <w:gridCol w:w="1134"/>
        <w:gridCol w:w="1276"/>
        <w:gridCol w:w="1984"/>
        <w:gridCol w:w="1418"/>
        <w:gridCol w:w="1560"/>
        <w:gridCol w:w="1417"/>
        <w:gridCol w:w="1559"/>
        <w:gridCol w:w="1701"/>
        <w:gridCol w:w="1275"/>
        <w:gridCol w:w="1560"/>
      </w:tblGrid>
      <w:tr w:rsidR="006F76EB" w:rsidRPr="00834D52" w14:paraId="2B011372" w14:textId="77777777" w:rsidTr="001A24A9">
        <w:trPr>
          <w:trHeight w:val="405"/>
          <w:tblHeader/>
          <w:jc w:val="center"/>
        </w:trPr>
        <w:tc>
          <w:tcPr>
            <w:tcW w:w="1134" w:type="dxa"/>
            <w:vMerge w:val="restart"/>
            <w:tcBorders>
              <w:top w:val="single" w:sz="4" w:space="0" w:color="auto"/>
              <w:left w:val="single" w:sz="4" w:space="0" w:color="auto"/>
              <w:bottom w:val="single" w:sz="4" w:space="0" w:color="auto"/>
              <w:right w:val="single" w:sz="4" w:space="0" w:color="auto"/>
            </w:tcBorders>
            <w:vAlign w:val="center"/>
          </w:tcPr>
          <w:p w14:paraId="58FC38F3" w14:textId="77777777" w:rsidR="006F76EB" w:rsidRPr="00834D52" w:rsidRDefault="006F76EB" w:rsidP="00F71229">
            <w:pPr>
              <w:spacing w:after="120" w:line="240" w:lineRule="auto"/>
              <w:ind w:right="-20"/>
              <w:jc w:val="center"/>
              <w:rPr>
                <w:rFonts w:ascii="Sylfaen" w:eastAsia="Times New Roman" w:hAnsi="Sylfaen" w:cs="Times New Roman"/>
                <w:sz w:val="24"/>
                <w:szCs w:val="24"/>
              </w:rPr>
            </w:pPr>
            <w:r w:rsidRPr="00834D52">
              <w:rPr>
                <w:rFonts w:ascii="Sylfaen" w:hAnsi="Sylfaen"/>
                <w:sz w:val="24"/>
                <w:szCs w:val="24"/>
              </w:rPr>
              <w:lastRenderedPageBreak/>
              <w:t>Մոդուլի մասի համարը</w:t>
            </w:r>
          </w:p>
        </w:tc>
        <w:tc>
          <w:tcPr>
            <w:tcW w:w="13750" w:type="dxa"/>
            <w:gridSpan w:val="9"/>
            <w:tcBorders>
              <w:top w:val="single" w:sz="4" w:space="0" w:color="auto"/>
              <w:left w:val="single" w:sz="4" w:space="0" w:color="auto"/>
              <w:bottom w:val="single" w:sz="4" w:space="0" w:color="auto"/>
              <w:right w:val="single" w:sz="4" w:space="0" w:color="auto"/>
            </w:tcBorders>
            <w:vAlign w:val="center"/>
          </w:tcPr>
          <w:p w14:paraId="5F21B3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Դեղապատրաստուկ</w:t>
            </w:r>
          </w:p>
        </w:tc>
      </w:tr>
      <w:tr w:rsidR="006F76EB" w:rsidRPr="00834D52" w14:paraId="625745F4" w14:textId="77777777" w:rsidTr="001A24A9">
        <w:trPr>
          <w:trHeight w:val="540"/>
          <w:tblHeader/>
          <w:jc w:val="center"/>
        </w:trPr>
        <w:tc>
          <w:tcPr>
            <w:tcW w:w="1134" w:type="dxa"/>
            <w:vMerge/>
            <w:tcBorders>
              <w:top w:val="single" w:sz="4" w:space="0" w:color="auto"/>
              <w:left w:val="single" w:sz="4" w:space="0" w:color="auto"/>
              <w:bottom w:val="single" w:sz="4" w:space="0" w:color="auto"/>
              <w:right w:val="single" w:sz="4" w:space="0" w:color="auto"/>
            </w:tcBorders>
            <w:vAlign w:val="center"/>
          </w:tcPr>
          <w:p w14:paraId="6353CFA8" w14:textId="77777777" w:rsidR="006F76EB" w:rsidRPr="00834D52" w:rsidRDefault="006F76EB" w:rsidP="00F71229">
            <w:pPr>
              <w:spacing w:after="120" w:line="240" w:lineRule="auto"/>
              <w:ind w:left="208" w:right="-20"/>
              <w:jc w:val="center"/>
              <w:rPr>
                <w:rFonts w:ascii="Sylfaen" w:eastAsia="Times New Roman" w:hAnsi="Sylfae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5258AB" w14:textId="77777777" w:rsidR="006F76EB" w:rsidRPr="00834D52" w:rsidRDefault="006F76EB" w:rsidP="00F71229">
            <w:pPr>
              <w:spacing w:after="120" w:line="240" w:lineRule="auto"/>
              <w:ind w:left="95" w:right="72"/>
              <w:jc w:val="center"/>
              <w:rPr>
                <w:rFonts w:ascii="Sylfaen" w:eastAsia="Times New Roman" w:hAnsi="Sylfaen" w:cs="Times New Roman"/>
                <w:sz w:val="24"/>
                <w:szCs w:val="24"/>
              </w:rPr>
            </w:pPr>
            <w:r w:rsidRPr="00834D52">
              <w:rPr>
                <w:rFonts w:ascii="Sylfaen" w:hAnsi="Sylfaen"/>
                <w:sz w:val="24"/>
                <w:szCs w:val="24"/>
              </w:rPr>
              <w:t>օրիգինալ</w:t>
            </w:r>
          </w:p>
        </w:tc>
        <w:tc>
          <w:tcPr>
            <w:tcW w:w="1984" w:type="dxa"/>
            <w:tcBorders>
              <w:top w:val="single" w:sz="4" w:space="0" w:color="auto"/>
              <w:left w:val="single" w:sz="4" w:space="0" w:color="auto"/>
              <w:bottom w:val="single" w:sz="4" w:space="0" w:color="auto"/>
              <w:right w:val="single" w:sz="4" w:space="0" w:color="auto"/>
            </w:tcBorders>
            <w:vAlign w:val="center"/>
          </w:tcPr>
          <w:p w14:paraId="6F205C87" w14:textId="77777777" w:rsidR="006F76EB" w:rsidRPr="00834D52" w:rsidRDefault="006F76EB" w:rsidP="00F71229">
            <w:pPr>
              <w:spacing w:after="120" w:line="240" w:lineRule="auto"/>
              <w:ind w:left="52" w:right="27"/>
              <w:jc w:val="center"/>
              <w:rPr>
                <w:rFonts w:ascii="Sylfaen" w:eastAsia="Times New Roman" w:hAnsi="Sylfaen" w:cs="Times New Roman"/>
                <w:sz w:val="24"/>
                <w:szCs w:val="24"/>
              </w:rPr>
            </w:pPr>
            <w:r w:rsidRPr="00834D52">
              <w:rPr>
                <w:rFonts w:ascii="Sylfaen" w:hAnsi="Sylfaen"/>
                <w:sz w:val="24"/>
                <w:szCs w:val="24"/>
              </w:rPr>
              <w:t>վերարտադրված</w:t>
            </w:r>
          </w:p>
        </w:tc>
        <w:tc>
          <w:tcPr>
            <w:tcW w:w="1418" w:type="dxa"/>
            <w:tcBorders>
              <w:top w:val="single" w:sz="4" w:space="0" w:color="auto"/>
              <w:left w:val="single" w:sz="4" w:space="0" w:color="auto"/>
              <w:bottom w:val="single" w:sz="4" w:space="0" w:color="auto"/>
              <w:right w:val="single" w:sz="4" w:space="0" w:color="auto"/>
            </w:tcBorders>
            <w:vAlign w:val="center"/>
          </w:tcPr>
          <w:p w14:paraId="478AA10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հիբրիդային</w:t>
            </w:r>
          </w:p>
        </w:tc>
        <w:tc>
          <w:tcPr>
            <w:tcW w:w="1560" w:type="dxa"/>
            <w:tcBorders>
              <w:top w:val="single" w:sz="4" w:space="0" w:color="auto"/>
              <w:left w:val="single" w:sz="4" w:space="0" w:color="auto"/>
              <w:bottom w:val="single" w:sz="4" w:space="0" w:color="auto"/>
              <w:right w:val="single" w:sz="4" w:space="0" w:color="auto"/>
            </w:tcBorders>
            <w:vAlign w:val="center"/>
          </w:tcPr>
          <w:p w14:paraId="2C50584B" w14:textId="77777777" w:rsidR="006F76EB" w:rsidRPr="00834D52" w:rsidRDefault="006F76EB" w:rsidP="00F71229">
            <w:pPr>
              <w:spacing w:after="120" w:line="240" w:lineRule="auto"/>
              <w:ind w:left="28" w:right="3"/>
              <w:jc w:val="center"/>
              <w:rPr>
                <w:rFonts w:ascii="Sylfaen" w:eastAsia="Times New Roman" w:hAnsi="Sylfaen" w:cs="Times New Roman"/>
                <w:sz w:val="24"/>
                <w:szCs w:val="24"/>
              </w:rPr>
            </w:pPr>
            <w:r w:rsidRPr="00834D52">
              <w:rPr>
                <w:rFonts w:ascii="Sylfaen" w:hAnsi="Sylfaen"/>
                <w:sz w:val="24"/>
                <w:szCs w:val="24"/>
              </w:rPr>
              <w:t>կենսաանա</w:t>
            </w:r>
            <w:r w:rsidRPr="00834D52">
              <w:rPr>
                <w:rFonts w:ascii="Sylfaen" w:hAnsi="Sylfaen"/>
                <w:sz w:val="24"/>
                <w:szCs w:val="24"/>
                <w:lang w:val="en-US"/>
              </w:rPr>
              <w:t>-</w:t>
            </w:r>
            <w:r w:rsidRPr="00834D52">
              <w:rPr>
                <w:rFonts w:ascii="Sylfaen" w:hAnsi="Sylfaen"/>
                <w:sz w:val="24"/>
                <w:szCs w:val="24"/>
              </w:rPr>
              <w:t>լոգային</w:t>
            </w:r>
          </w:p>
        </w:tc>
        <w:tc>
          <w:tcPr>
            <w:tcW w:w="1417" w:type="dxa"/>
            <w:tcBorders>
              <w:top w:val="single" w:sz="4" w:space="0" w:color="auto"/>
              <w:left w:val="single" w:sz="4" w:space="0" w:color="auto"/>
              <w:bottom w:val="single" w:sz="4" w:space="0" w:color="auto"/>
              <w:right w:val="single" w:sz="4" w:space="0" w:color="auto"/>
            </w:tcBorders>
            <w:vAlign w:val="center"/>
          </w:tcPr>
          <w:p w14:paraId="21580B6A" w14:textId="77777777" w:rsidR="006F76EB" w:rsidRPr="00834D52" w:rsidRDefault="006F76EB" w:rsidP="00F71229">
            <w:pPr>
              <w:spacing w:after="120" w:line="240" w:lineRule="auto"/>
              <w:ind w:right="51"/>
              <w:jc w:val="center"/>
              <w:rPr>
                <w:rFonts w:ascii="Sylfaen" w:eastAsia="Times New Roman" w:hAnsi="Sylfaen" w:cs="Times New Roman"/>
                <w:sz w:val="24"/>
                <w:szCs w:val="24"/>
              </w:rPr>
            </w:pPr>
            <w:r w:rsidRPr="00834D52">
              <w:rPr>
                <w:rFonts w:ascii="Sylfaen" w:hAnsi="Sylfaen"/>
                <w:sz w:val="24"/>
                <w:szCs w:val="24"/>
              </w:rPr>
              <w:t>պատվաստանյութեր (շիճուկներ)</w:t>
            </w:r>
          </w:p>
        </w:tc>
        <w:tc>
          <w:tcPr>
            <w:tcW w:w="1559" w:type="dxa"/>
            <w:tcBorders>
              <w:top w:val="single" w:sz="4" w:space="0" w:color="auto"/>
              <w:left w:val="single" w:sz="4" w:space="0" w:color="auto"/>
              <w:bottom w:val="single" w:sz="4" w:space="0" w:color="auto"/>
              <w:right w:val="single" w:sz="4" w:space="0" w:color="auto"/>
            </w:tcBorders>
            <w:vAlign w:val="center"/>
          </w:tcPr>
          <w:p w14:paraId="49BAB700"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հոմեոպաթիկ</w:t>
            </w:r>
          </w:p>
        </w:tc>
        <w:tc>
          <w:tcPr>
            <w:tcW w:w="1701" w:type="dxa"/>
            <w:tcBorders>
              <w:top w:val="single" w:sz="4" w:space="0" w:color="auto"/>
              <w:left w:val="single" w:sz="4" w:space="0" w:color="auto"/>
              <w:bottom w:val="single" w:sz="4" w:space="0" w:color="auto"/>
              <w:right w:val="single" w:sz="4" w:space="0" w:color="auto"/>
            </w:tcBorders>
            <w:vAlign w:val="center"/>
          </w:tcPr>
          <w:p w14:paraId="1B0B5E82" w14:textId="77777777" w:rsidR="006F76EB" w:rsidRPr="00834D52" w:rsidRDefault="006F76EB" w:rsidP="00F71229">
            <w:pPr>
              <w:spacing w:after="120" w:line="240" w:lineRule="auto"/>
              <w:ind w:left="64" w:right="43"/>
              <w:jc w:val="center"/>
              <w:rPr>
                <w:rFonts w:ascii="Sylfaen" w:eastAsia="Times New Roman" w:hAnsi="Sylfaen" w:cs="Times New Roman"/>
                <w:sz w:val="24"/>
                <w:szCs w:val="24"/>
              </w:rPr>
            </w:pPr>
            <w:r w:rsidRPr="00834D52">
              <w:rPr>
                <w:rFonts w:ascii="Sylfaen" w:hAnsi="Sylfaen"/>
                <w:sz w:val="24"/>
                <w:szCs w:val="24"/>
              </w:rPr>
              <w:t>Հոմեոպաթիկ (պարզեցված դոսյե)</w:t>
            </w:r>
          </w:p>
        </w:tc>
        <w:tc>
          <w:tcPr>
            <w:tcW w:w="1275" w:type="dxa"/>
            <w:tcBorders>
              <w:top w:val="single" w:sz="4" w:space="0" w:color="auto"/>
              <w:left w:val="single" w:sz="4" w:space="0" w:color="auto"/>
              <w:bottom w:val="single" w:sz="4" w:space="0" w:color="auto"/>
              <w:right w:val="single" w:sz="4" w:space="0" w:color="auto"/>
            </w:tcBorders>
            <w:vAlign w:val="center"/>
          </w:tcPr>
          <w:p w14:paraId="1E355D19" w14:textId="77777777" w:rsidR="006F76EB" w:rsidRPr="00834D52" w:rsidRDefault="006F76EB" w:rsidP="00F71229">
            <w:pPr>
              <w:spacing w:after="120" w:line="240" w:lineRule="auto"/>
              <w:ind w:left="21"/>
              <w:jc w:val="center"/>
              <w:rPr>
                <w:rFonts w:ascii="Sylfaen" w:eastAsia="Times New Roman" w:hAnsi="Sylfaen" w:cs="Times New Roman"/>
                <w:sz w:val="24"/>
                <w:szCs w:val="24"/>
              </w:rPr>
            </w:pPr>
            <w:r w:rsidRPr="00834D52">
              <w:rPr>
                <w:rFonts w:ascii="Sylfaen" w:hAnsi="Sylfaen"/>
                <w:sz w:val="24"/>
                <w:szCs w:val="24"/>
              </w:rPr>
              <w:t>բուսական</w:t>
            </w:r>
          </w:p>
        </w:tc>
        <w:tc>
          <w:tcPr>
            <w:tcW w:w="1560" w:type="dxa"/>
            <w:tcBorders>
              <w:top w:val="single" w:sz="4" w:space="0" w:color="auto"/>
              <w:left w:val="single" w:sz="4" w:space="0" w:color="auto"/>
              <w:bottom w:val="single" w:sz="4" w:space="0" w:color="auto"/>
              <w:right w:val="single" w:sz="4" w:space="0" w:color="auto"/>
            </w:tcBorders>
            <w:vAlign w:val="center"/>
          </w:tcPr>
          <w:p w14:paraId="00414095" w14:textId="77777777" w:rsidR="006F76EB" w:rsidRPr="00834D52" w:rsidRDefault="006F76EB" w:rsidP="00F71229">
            <w:pPr>
              <w:spacing w:after="120" w:line="240" w:lineRule="auto"/>
              <w:jc w:val="center"/>
              <w:rPr>
                <w:rFonts w:ascii="Sylfaen" w:eastAsia="Times New Roman" w:hAnsi="Sylfaen" w:cs="Times New Roman"/>
                <w:sz w:val="24"/>
                <w:szCs w:val="24"/>
              </w:rPr>
            </w:pPr>
            <w:r w:rsidRPr="00834D52">
              <w:rPr>
                <w:rFonts w:ascii="Sylfaen" w:hAnsi="Sylfaen"/>
                <w:sz w:val="24"/>
                <w:szCs w:val="24"/>
              </w:rPr>
              <w:t>բուսական (պարզեցված դոսյե)</w:t>
            </w:r>
          </w:p>
        </w:tc>
      </w:tr>
      <w:tr w:rsidR="006F76EB" w:rsidRPr="00834D52" w14:paraId="75D1295D" w14:textId="77777777" w:rsidTr="001A24A9">
        <w:trPr>
          <w:jc w:val="center"/>
        </w:trPr>
        <w:tc>
          <w:tcPr>
            <w:tcW w:w="14884" w:type="dxa"/>
            <w:gridSpan w:val="10"/>
            <w:tcBorders>
              <w:top w:val="single" w:sz="4" w:space="0" w:color="auto"/>
              <w:left w:val="single" w:sz="4" w:space="0" w:color="auto"/>
              <w:bottom w:val="single" w:sz="4" w:space="0" w:color="auto"/>
              <w:right w:val="single" w:sz="4" w:space="0" w:color="auto"/>
            </w:tcBorders>
            <w:vAlign w:val="center"/>
          </w:tcPr>
          <w:p w14:paraId="492399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1. ՎԱՐՉԱԿԱՆ ՏԵՂԵԿԱՏՎՈՒԹՅՈՒՆ</w:t>
            </w:r>
          </w:p>
        </w:tc>
      </w:tr>
      <w:tr w:rsidR="006F76EB" w:rsidRPr="00834D52" w14:paraId="2C919642" w14:textId="77777777" w:rsidTr="001A24A9">
        <w:trPr>
          <w:jc w:val="center"/>
        </w:trPr>
        <w:tc>
          <w:tcPr>
            <w:tcW w:w="1134" w:type="dxa"/>
            <w:tcBorders>
              <w:top w:val="nil"/>
              <w:left w:val="nil"/>
              <w:bottom w:val="nil"/>
              <w:right w:val="nil"/>
            </w:tcBorders>
            <w:vAlign w:val="center"/>
          </w:tcPr>
          <w:p w14:paraId="742CBC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1.0.</w:t>
            </w:r>
          </w:p>
        </w:tc>
        <w:tc>
          <w:tcPr>
            <w:tcW w:w="1276" w:type="dxa"/>
            <w:tcBorders>
              <w:top w:val="nil"/>
              <w:left w:val="nil"/>
              <w:bottom w:val="nil"/>
              <w:right w:val="nil"/>
            </w:tcBorders>
            <w:vAlign w:val="center"/>
          </w:tcPr>
          <w:p w14:paraId="73420A47"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7913A4E" w14:textId="77777777" w:rsidR="006F76EB" w:rsidRPr="00834D52" w:rsidRDefault="006F76EB" w:rsidP="000B3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76AD8F"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ED1E04"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BA55BD7"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1C11F8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E3180C"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B1E38F6"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7BFC7A"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BFD6637" w14:textId="77777777" w:rsidTr="001A24A9">
        <w:trPr>
          <w:jc w:val="center"/>
        </w:trPr>
        <w:tc>
          <w:tcPr>
            <w:tcW w:w="1134" w:type="dxa"/>
            <w:tcBorders>
              <w:top w:val="nil"/>
              <w:left w:val="nil"/>
              <w:bottom w:val="nil"/>
              <w:right w:val="nil"/>
            </w:tcBorders>
            <w:vAlign w:val="center"/>
          </w:tcPr>
          <w:p w14:paraId="683E35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w:t>
            </w:r>
          </w:p>
        </w:tc>
        <w:tc>
          <w:tcPr>
            <w:tcW w:w="1276" w:type="dxa"/>
            <w:tcBorders>
              <w:top w:val="nil"/>
              <w:left w:val="nil"/>
              <w:bottom w:val="nil"/>
              <w:right w:val="nil"/>
            </w:tcBorders>
            <w:vAlign w:val="center"/>
          </w:tcPr>
          <w:p w14:paraId="35A39CF2" w14:textId="77777777" w:rsidR="006F76EB" w:rsidRPr="00834D52" w:rsidRDefault="006F76EB" w:rsidP="00DF7AD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0C8B9B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F899E77"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D90EDCF" w14:textId="77777777" w:rsidR="006F76EB" w:rsidRPr="00834D52" w:rsidRDefault="006F76EB" w:rsidP="00D774F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BFFE8FB"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399A34D"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81A8AB5"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D47EB09"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B10BBB2" w14:textId="77777777" w:rsidR="006F76EB" w:rsidRPr="00834D52" w:rsidRDefault="006F76EB" w:rsidP="00F734F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D6C0B28" w14:textId="77777777" w:rsidTr="001A24A9">
        <w:trPr>
          <w:jc w:val="center"/>
        </w:trPr>
        <w:tc>
          <w:tcPr>
            <w:tcW w:w="1134" w:type="dxa"/>
            <w:tcBorders>
              <w:top w:val="nil"/>
              <w:left w:val="nil"/>
              <w:bottom w:val="nil"/>
              <w:right w:val="nil"/>
            </w:tcBorders>
            <w:vAlign w:val="center"/>
          </w:tcPr>
          <w:p w14:paraId="234741E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w:t>
            </w:r>
          </w:p>
        </w:tc>
        <w:tc>
          <w:tcPr>
            <w:tcW w:w="1276" w:type="dxa"/>
            <w:tcBorders>
              <w:top w:val="nil"/>
              <w:left w:val="nil"/>
              <w:bottom w:val="nil"/>
              <w:right w:val="nil"/>
            </w:tcBorders>
            <w:vAlign w:val="center"/>
          </w:tcPr>
          <w:p w14:paraId="7FB8AA76"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A7065C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4FC84BC"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67D288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A88327C"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605936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EF5379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061FC1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A10B13B"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7B42CDFF" w14:textId="77777777" w:rsidTr="001A24A9">
        <w:trPr>
          <w:jc w:val="center"/>
        </w:trPr>
        <w:tc>
          <w:tcPr>
            <w:tcW w:w="1134" w:type="dxa"/>
            <w:tcBorders>
              <w:top w:val="nil"/>
              <w:left w:val="nil"/>
              <w:bottom w:val="nil"/>
              <w:right w:val="nil"/>
            </w:tcBorders>
            <w:vAlign w:val="center"/>
          </w:tcPr>
          <w:p w14:paraId="64F4FEE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1.2.1.</w:t>
            </w:r>
          </w:p>
        </w:tc>
        <w:tc>
          <w:tcPr>
            <w:tcW w:w="1276" w:type="dxa"/>
            <w:tcBorders>
              <w:top w:val="nil"/>
              <w:left w:val="nil"/>
              <w:bottom w:val="nil"/>
              <w:right w:val="nil"/>
            </w:tcBorders>
            <w:vAlign w:val="center"/>
          </w:tcPr>
          <w:p w14:paraId="25E4E4F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9310F9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A307D6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47DF4A"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D4DF1E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46D4FC"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26590E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74C116"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3205AA9"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62B13" w14:textId="77777777" w:rsidTr="001A24A9">
        <w:trPr>
          <w:jc w:val="center"/>
        </w:trPr>
        <w:tc>
          <w:tcPr>
            <w:tcW w:w="1134" w:type="dxa"/>
            <w:tcBorders>
              <w:top w:val="nil"/>
              <w:left w:val="nil"/>
              <w:bottom w:val="nil"/>
              <w:right w:val="nil"/>
            </w:tcBorders>
            <w:vAlign w:val="center"/>
          </w:tcPr>
          <w:p w14:paraId="4CE5B0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1.2.2.</w:t>
            </w:r>
          </w:p>
        </w:tc>
        <w:tc>
          <w:tcPr>
            <w:tcW w:w="1276" w:type="dxa"/>
            <w:tcBorders>
              <w:top w:val="nil"/>
              <w:left w:val="nil"/>
              <w:bottom w:val="nil"/>
              <w:right w:val="nil"/>
            </w:tcBorders>
            <w:vAlign w:val="center"/>
          </w:tcPr>
          <w:p w14:paraId="22A5FC22"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C6692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BC33D0"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11C931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042F195"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33AA503"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D95F1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D230BD8"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8A204F" w14:textId="77777777" w:rsidR="006F76EB" w:rsidRPr="00834D52" w:rsidRDefault="006F76EB" w:rsidP="00AC208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280225D" w14:textId="77777777" w:rsidTr="001A24A9">
        <w:trPr>
          <w:jc w:val="center"/>
        </w:trPr>
        <w:tc>
          <w:tcPr>
            <w:tcW w:w="1134" w:type="dxa"/>
            <w:tcBorders>
              <w:top w:val="nil"/>
              <w:left w:val="nil"/>
              <w:bottom w:val="nil"/>
              <w:right w:val="nil"/>
            </w:tcBorders>
            <w:vAlign w:val="center"/>
          </w:tcPr>
          <w:p w14:paraId="01AF50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1.2.3.</w:t>
            </w:r>
          </w:p>
        </w:tc>
        <w:tc>
          <w:tcPr>
            <w:tcW w:w="1276" w:type="dxa"/>
            <w:tcBorders>
              <w:top w:val="nil"/>
              <w:left w:val="nil"/>
              <w:bottom w:val="nil"/>
              <w:right w:val="nil"/>
            </w:tcBorders>
            <w:vAlign w:val="center"/>
          </w:tcPr>
          <w:p w14:paraId="3DAED9E5"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7E9F8E9"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5FF07DD"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3DDA7FE"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8274AB"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CC2A334"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1FBEEFC"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0C255F" w14:textId="77777777" w:rsidR="006F76EB" w:rsidRPr="00834D52" w:rsidRDefault="006F76EB" w:rsidP="00486CE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2026F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500E9EB" w14:textId="77777777" w:rsidTr="001A24A9">
        <w:trPr>
          <w:jc w:val="center"/>
        </w:trPr>
        <w:tc>
          <w:tcPr>
            <w:tcW w:w="1134" w:type="dxa"/>
            <w:tcBorders>
              <w:top w:val="nil"/>
              <w:left w:val="nil"/>
              <w:bottom w:val="nil"/>
              <w:right w:val="nil"/>
            </w:tcBorders>
            <w:vAlign w:val="center"/>
          </w:tcPr>
          <w:p w14:paraId="78B32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1.2.4.</w:t>
            </w:r>
          </w:p>
        </w:tc>
        <w:tc>
          <w:tcPr>
            <w:tcW w:w="1276" w:type="dxa"/>
            <w:tcBorders>
              <w:top w:val="nil"/>
              <w:left w:val="nil"/>
              <w:bottom w:val="nil"/>
              <w:right w:val="nil"/>
            </w:tcBorders>
            <w:vAlign w:val="center"/>
          </w:tcPr>
          <w:p w14:paraId="0BA6F716"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F61CDA7"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061B3E29"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E2C711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9FBD3DA"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7CFB312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B989E2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8F7E5A8"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322D4F"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CD12C35" w14:textId="77777777" w:rsidTr="001A24A9">
        <w:trPr>
          <w:jc w:val="center"/>
        </w:trPr>
        <w:tc>
          <w:tcPr>
            <w:tcW w:w="1134" w:type="dxa"/>
            <w:tcBorders>
              <w:top w:val="nil"/>
              <w:left w:val="nil"/>
              <w:bottom w:val="nil"/>
              <w:right w:val="nil"/>
            </w:tcBorders>
            <w:vAlign w:val="center"/>
          </w:tcPr>
          <w:p w14:paraId="7F1ABB6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1.2.5.</w:t>
            </w:r>
          </w:p>
        </w:tc>
        <w:tc>
          <w:tcPr>
            <w:tcW w:w="1276" w:type="dxa"/>
            <w:tcBorders>
              <w:top w:val="nil"/>
              <w:left w:val="nil"/>
              <w:bottom w:val="nil"/>
              <w:right w:val="nil"/>
            </w:tcBorders>
            <w:vAlign w:val="center"/>
          </w:tcPr>
          <w:p w14:paraId="3F935E5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139805CE"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4A237884"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4DD34122"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3C76A5BF" w14:textId="77777777" w:rsidR="006F76EB" w:rsidRPr="00834D52" w:rsidRDefault="006F76EB" w:rsidP="008048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804804"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2EC1558C"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FBA870"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6799C97"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27926C6" w14:textId="77777777" w:rsidR="006F76EB" w:rsidRPr="00834D52" w:rsidRDefault="00804804"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41B5864E" w14:textId="77777777" w:rsidTr="001A24A9">
        <w:trPr>
          <w:jc w:val="center"/>
        </w:trPr>
        <w:tc>
          <w:tcPr>
            <w:tcW w:w="1134" w:type="dxa"/>
            <w:tcBorders>
              <w:top w:val="nil"/>
              <w:left w:val="nil"/>
              <w:bottom w:val="nil"/>
              <w:right w:val="nil"/>
            </w:tcBorders>
            <w:vAlign w:val="center"/>
          </w:tcPr>
          <w:p w14:paraId="0F99C2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1.2.6.</w:t>
            </w:r>
          </w:p>
        </w:tc>
        <w:tc>
          <w:tcPr>
            <w:tcW w:w="1276" w:type="dxa"/>
            <w:tcBorders>
              <w:top w:val="nil"/>
              <w:left w:val="nil"/>
              <w:bottom w:val="nil"/>
              <w:right w:val="nil"/>
            </w:tcBorders>
            <w:vAlign w:val="center"/>
          </w:tcPr>
          <w:p w14:paraId="18C85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984" w:type="dxa"/>
            <w:tcBorders>
              <w:top w:val="nil"/>
              <w:left w:val="nil"/>
              <w:bottom w:val="nil"/>
              <w:right w:val="nil"/>
            </w:tcBorders>
            <w:vAlign w:val="center"/>
          </w:tcPr>
          <w:p w14:paraId="59AF5B6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8" w:type="dxa"/>
            <w:tcBorders>
              <w:top w:val="nil"/>
              <w:left w:val="nil"/>
              <w:bottom w:val="nil"/>
              <w:right w:val="nil"/>
            </w:tcBorders>
            <w:vAlign w:val="center"/>
          </w:tcPr>
          <w:p w14:paraId="3751C2B3"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60" w:type="dxa"/>
            <w:tcBorders>
              <w:top w:val="nil"/>
              <w:left w:val="nil"/>
              <w:bottom w:val="nil"/>
              <w:right w:val="nil"/>
            </w:tcBorders>
            <w:vAlign w:val="center"/>
          </w:tcPr>
          <w:p w14:paraId="56A72FC8"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417" w:type="dxa"/>
            <w:tcBorders>
              <w:top w:val="nil"/>
              <w:left w:val="nil"/>
              <w:bottom w:val="nil"/>
              <w:right w:val="nil"/>
            </w:tcBorders>
            <w:vAlign w:val="center"/>
          </w:tcPr>
          <w:p w14:paraId="66E0F4EE"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E8176E" w:rsidRPr="00834D52">
              <w:rPr>
                <w:rFonts w:ascii="Sylfaen" w:hAnsi="Sylfaen"/>
                <w:sz w:val="24"/>
                <w:szCs w:val="24"/>
              </w:rPr>
              <w:t>+</w:t>
            </w:r>
            <w:r w:rsidRPr="00834D52">
              <w:rPr>
                <w:rFonts w:ascii="Sylfaen" w:hAnsi="Sylfaen"/>
                <w:sz w:val="24"/>
                <w:szCs w:val="24"/>
              </w:rPr>
              <w:t>)</w:t>
            </w:r>
          </w:p>
        </w:tc>
        <w:tc>
          <w:tcPr>
            <w:tcW w:w="1559" w:type="dxa"/>
            <w:tcBorders>
              <w:top w:val="nil"/>
              <w:left w:val="nil"/>
              <w:bottom w:val="nil"/>
              <w:right w:val="nil"/>
            </w:tcBorders>
            <w:vAlign w:val="center"/>
          </w:tcPr>
          <w:p w14:paraId="5F21302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741B611"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EF278DA"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131265" w14:textId="77777777" w:rsidR="006F76EB" w:rsidRPr="00834D52" w:rsidRDefault="00E8176E" w:rsidP="00F71229">
            <w:pPr>
              <w:spacing w:after="120" w:line="240" w:lineRule="auto"/>
              <w:ind w:right="-8"/>
              <w:jc w:val="center"/>
              <w:rPr>
                <w:rFonts w:ascii="Sylfaen" w:hAnsi="Sylfaen"/>
                <w:sz w:val="24"/>
                <w:szCs w:val="24"/>
              </w:rPr>
            </w:pPr>
            <w:r w:rsidRPr="00834D52">
              <w:rPr>
                <w:rFonts w:ascii="Sylfaen" w:hAnsi="Sylfaen"/>
                <w:sz w:val="24"/>
                <w:szCs w:val="24"/>
              </w:rPr>
              <w:t>-</w:t>
            </w:r>
          </w:p>
        </w:tc>
      </w:tr>
      <w:tr w:rsidR="006F76EB" w:rsidRPr="00834D52" w14:paraId="65918E9D" w14:textId="77777777" w:rsidTr="001A24A9">
        <w:trPr>
          <w:jc w:val="center"/>
        </w:trPr>
        <w:tc>
          <w:tcPr>
            <w:tcW w:w="1134" w:type="dxa"/>
            <w:tcBorders>
              <w:top w:val="nil"/>
              <w:left w:val="nil"/>
              <w:bottom w:val="nil"/>
              <w:right w:val="nil"/>
            </w:tcBorders>
            <w:vAlign w:val="center"/>
          </w:tcPr>
          <w:p w14:paraId="6BEE41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w:t>
            </w:r>
          </w:p>
        </w:tc>
        <w:tc>
          <w:tcPr>
            <w:tcW w:w="1276" w:type="dxa"/>
            <w:tcBorders>
              <w:top w:val="nil"/>
              <w:left w:val="nil"/>
              <w:bottom w:val="nil"/>
              <w:right w:val="nil"/>
            </w:tcBorders>
            <w:vAlign w:val="center"/>
          </w:tcPr>
          <w:p w14:paraId="2E5257FC"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062BCD"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0FCB155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CFF6BF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DDE0B77"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A6AD68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6FB4F473"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12BF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59294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E303C8" w14:textId="77777777" w:rsidTr="001A24A9">
        <w:trPr>
          <w:jc w:val="center"/>
        </w:trPr>
        <w:tc>
          <w:tcPr>
            <w:tcW w:w="1134" w:type="dxa"/>
            <w:tcBorders>
              <w:top w:val="nil"/>
              <w:left w:val="nil"/>
              <w:bottom w:val="nil"/>
              <w:right w:val="nil"/>
            </w:tcBorders>
            <w:vAlign w:val="center"/>
          </w:tcPr>
          <w:p w14:paraId="1C190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1.3.1.</w:t>
            </w:r>
          </w:p>
        </w:tc>
        <w:tc>
          <w:tcPr>
            <w:tcW w:w="1276" w:type="dxa"/>
            <w:tcBorders>
              <w:top w:val="nil"/>
              <w:left w:val="nil"/>
              <w:bottom w:val="nil"/>
              <w:right w:val="nil"/>
            </w:tcBorders>
            <w:vAlign w:val="center"/>
          </w:tcPr>
          <w:p w14:paraId="071F65E4"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949FC9" w14:textId="77777777" w:rsidR="006F76EB" w:rsidRPr="00834D52" w:rsidRDefault="006F76EB" w:rsidP="00E8176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2C2D88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7FAA710"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5E7E4BB"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3EC48E"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F0767A2"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1F88FF"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6D75BA1" w14:textId="77777777" w:rsidR="006F76EB" w:rsidRPr="00834D52" w:rsidRDefault="006F76EB" w:rsidP="00FB543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498D1F" w14:textId="77777777" w:rsidTr="001A24A9">
        <w:trPr>
          <w:jc w:val="center"/>
        </w:trPr>
        <w:tc>
          <w:tcPr>
            <w:tcW w:w="1134" w:type="dxa"/>
            <w:tcBorders>
              <w:top w:val="nil"/>
              <w:left w:val="nil"/>
              <w:bottom w:val="nil"/>
              <w:right w:val="nil"/>
            </w:tcBorders>
            <w:vAlign w:val="center"/>
          </w:tcPr>
          <w:p w14:paraId="7614F6C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1.3.2.</w:t>
            </w:r>
          </w:p>
        </w:tc>
        <w:tc>
          <w:tcPr>
            <w:tcW w:w="1276" w:type="dxa"/>
            <w:tcBorders>
              <w:top w:val="nil"/>
              <w:left w:val="nil"/>
              <w:bottom w:val="nil"/>
              <w:right w:val="nil"/>
            </w:tcBorders>
            <w:vAlign w:val="center"/>
          </w:tcPr>
          <w:p w14:paraId="1D4B47E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12DB4F"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456D8"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C345ABC"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F89B5F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1168C23"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0AF886"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4ED1667"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681529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A501BC5" w14:textId="77777777" w:rsidTr="001A24A9">
        <w:trPr>
          <w:jc w:val="center"/>
        </w:trPr>
        <w:tc>
          <w:tcPr>
            <w:tcW w:w="1134" w:type="dxa"/>
            <w:tcBorders>
              <w:top w:val="nil"/>
              <w:left w:val="nil"/>
              <w:bottom w:val="nil"/>
              <w:right w:val="nil"/>
            </w:tcBorders>
            <w:vAlign w:val="center"/>
          </w:tcPr>
          <w:p w14:paraId="32B7AF2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1.3.3.</w:t>
            </w:r>
          </w:p>
        </w:tc>
        <w:tc>
          <w:tcPr>
            <w:tcW w:w="1276" w:type="dxa"/>
            <w:tcBorders>
              <w:top w:val="nil"/>
              <w:left w:val="nil"/>
              <w:bottom w:val="nil"/>
              <w:right w:val="nil"/>
            </w:tcBorders>
            <w:vAlign w:val="center"/>
          </w:tcPr>
          <w:p w14:paraId="4BC87E82"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5AA124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88CDBFB" w14:textId="77777777" w:rsidR="006F76EB" w:rsidRPr="00834D52" w:rsidRDefault="006F76EB" w:rsidP="0005387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EDFF50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0C7633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C35D06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788EBB1"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AC6AAD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2949CCD"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67015A7" w14:textId="77777777" w:rsidTr="001A24A9">
        <w:trPr>
          <w:jc w:val="center"/>
        </w:trPr>
        <w:tc>
          <w:tcPr>
            <w:tcW w:w="1134" w:type="dxa"/>
            <w:tcBorders>
              <w:top w:val="nil"/>
              <w:left w:val="nil"/>
              <w:bottom w:val="nil"/>
              <w:right w:val="nil"/>
            </w:tcBorders>
            <w:vAlign w:val="center"/>
          </w:tcPr>
          <w:p w14:paraId="2E46305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1.3.4.</w:t>
            </w:r>
          </w:p>
        </w:tc>
        <w:tc>
          <w:tcPr>
            <w:tcW w:w="1276" w:type="dxa"/>
            <w:tcBorders>
              <w:top w:val="nil"/>
              <w:left w:val="nil"/>
              <w:bottom w:val="nil"/>
              <w:right w:val="nil"/>
            </w:tcBorders>
            <w:vAlign w:val="center"/>
          </w:tcPr>
          <w:p w14:paraId="55B9DA17"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5F085B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74588E8"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A1E933"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7C16D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285946B"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99BA3F0"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2ED0A9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ABB81D2" w14:textId="77777777" w:rsidR="006F76EB" w:rsidRPr="00834D52" w:rsidRDefault="006F76EB" w:rsidP="00114AC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2F1C5FD" w14:textId="77777777" w:rsidTr="001A24A9">
        <w:trPr>
          <w:jc w:val="center"/>
        </w:trPr>
        <w:tc>
          <w:tcPr>
            <w:tcW w:w="1134" w:type="dxa"/>
            <w:tcBorders>
              <w:top w:val="nil"/>
              <w:left w:val="nil"/>
              <w:bottom w:val="nil"/>
              <w:right w:val="nil"/>
            </w:tcBorders>
            <w:vAlign w:val="center"/>
          </w:tcPr>
          <w:p w14:paraId="24FB82A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w:t>
            </w:r>
          </w:p>
        </w:tc>
        <w:tc>
          <w:tcPr>
            <w:tcW w:w="1276" w:type="dxa"/>
            <w:tcBorders>
              <w:top w:val="nil"/>
              <w:left w:val="nil"/>
              <w:bottom w:val="nil"/>
              <w:right w:val="nil"/>
            </w:tcBorders>
            <w:vAlign w:val="center"/>
          </w:tcPr>
          <w:p w14:paraId="5FCF47F5"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E086A4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3E3062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770F65F"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3A83DF5"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85D904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8740CE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205E2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FC8BC6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E4617A1" w14:textId="77777777" w:rsidTr="001A24A9">
        <w:trPr>
          <w:jc w:val="center"/>
        </w:trPr>
        <w:tc>
          <w:tcPr>
            <w:tcW w:w="1134" w:type="dxa"/>
            <w:tcBorders>
              <w:top w:val="nil"/>
              <w:left w:val="nil"/>
              <w:bottom w:val="nil"/>
              <w:right w:val="nil"/>
            </w:tcBorders>
            <w:vAlign w:val="center"/>
          </w:tcPr>
          <w:p w14:paraId="704568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1.4.1.</w:t>
            </w:r>
          </w:p>
        </w:tc>
        <w:tc>
          <w:tcPr>
            <w:tcW w:w="1276" w:type="dxa"/>
            <w:tcBorders>
              <w:top w:val="nil"/>
              <w:left w:val="nil"/>
              <w:bottom w:val="nil"/>
              <w:right w:val="nil"/>
            </w:tcBorders>
            <w:vAlign w:val="center"/>
          </w:tcPr>
          <w:p w14:paraId="31CDB906"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C3FDE8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9493948"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927879B"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C89EFF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C6D7F3"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1577899"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BA279A"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78E0441" w14:textId="77777777" w:rsidR="006F76EB" w:rsidRPr="00834D52" w:rsidRDefault="006F76EB" w:rsidP="00D55D9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07CCCE79" w14:textId="77777777" w:rsidTr="001A24A9">
        <w:trPr>
          <w:jc w:val="center"/>
        </w:trPr>
        <w:tc>
          <w:tcPr>
            <w:tcW w:w="1134" w:type="dxa"/>
            <w:tcBorders>
              <w:top w:val="nil"/>
              <w:left w:val="nil"/>
              <w:bottom w:val="nil"/>
              <w:right w:val="nil"/>
            </w:tcBorders>
            <w:vAlign w:val="center"/>
          </w:tcPr>
          <w:p w14:paraId="72054D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1.5.</w:t>
            </w:r>
          </w:p>
        </w:tc>
        <w:tc>
          <w:tcPr>
            <w:tcW w:w="1276" w:type="dxa"/>
            <w:tcBorders>
              <w:top w:val="nil"/>
              <w:left w:val="nil"/>
              <w:bottom w:val="nil"/>
              <w:right w:val="nil"/>
            </w:tcBorders>
            <w:vAlign w:val="center"/>
          </w:tcPr>
          <w:p w14:paraId="5084F64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7E7C8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214C1A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15535E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D018E6D"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FC1A53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2EC22F9"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580664D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856DF9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4480017" w14:textId="77777777" w:rsidTr="001A24A9">
        <w:trPr>
          <w:jc w:val="center"/>
        </w:trPr>
        <w:tc>
          <w:tcPr>
            <w:tcW w:w="1134" w:type="dxa"/>
            <w:tcBorders>
              <w:top w:val="nil"/>
              <w:left w:val="nil"/>
              <w:bottom w:val="nil"/>
              <w:right w:val="nil"/>
            </w:tcBorders>
            <w:vAlign w:val="center"/>
          </w:tcPr>
          <w:p w14:paraId="57199BE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1.5.1.</w:t>
            </w:r>
          </w:p>
        </w:tc>
        <w:tc>
          <w:tcPr>
            <w:tcW w:w="1276" w:type="dxa"/>
            <w:tcBorders>
              <w:top w:val="nil"/>
              <w:left w:val="nil"/>
              <w:bottom w:val="nil"/>
              <w:right w:val="nil"/>
            </w:tcBorders>
            <w:vAlign w:val="center"/>
          </w:tcPr>
          <w:p w14:paraId="0C7F8DC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46E7AA9"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D6472CB"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194C7F0"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C71523"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782961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7C5AB6E"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54E6D15"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BB9B78" w14:textId="77777777" w:rsidR="006F76EB" w:rsidRPr="00834D52" w:rsidRDefault="006F76EB" w:rsidP="00B130D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5BF1584" w14:textId="77777777" w:rsidTr="001A24A9">
        <w:trPr>
          <w:jc w:val="center"/>
        </w:trPr>
        <w:tc>
          <w:tcPr>
            <w:tcW w:w="1134" w:type="dxa"/>
            <w:tcBorders>
              <w:top w:val="nil"/>
              <w:left w:val="nil"/>
              <w:bottom w:val="nil"/>
              <w:right w:val="nil"/>
            </w:tcBorders>
            <w:vAlign w:val="center"/>
          </w:tcPr>
          <w:p w14:paraId="39386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1.5.2.</w:t>
            </w:r>
          </w:p>
        </w:tc>
        <w:tc>
          <w:tcPr>
            <w:tcW w:w="1276" w:type="dxa"/>
            <w:tcBorders>
              <w:top w:val="nil"/>
              <w:left w:val="nil"/>
              <w:bottom w:val="nil"/>
              <w:right w:val="nil"/>
            </w:tcBorders>
            <w:vAlign w:val="center"/>
          </w:tcPr>
          <w:p w14:paraId="43C97E0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3F5B76E"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AB05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79C7224"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7D3BC2C"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0E6CFCF"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1BEFA49" w14:textId="77777777" w:rsidR="006F76EB" w:rsidRPr="00834D52" w:rsidRDefault="0031477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694A44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F6FF963" w14:textId="77777777" w:rsidR="006F76EB" w:rsidRPr="00834D52" w:rsidRDefault="006F76EB" w:rsidP="0031477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CFD646" w14:textId="77777777" w:rsidTr="001A24A9">
        <w:trPr>
          <w:jc w:val="center"/>
        </w:trPr>
        <w:tc>
          <w:tcPr>
            <w:tcW w:w="1134" w:type="dxa"/>
            <w:tcBorders>
              <w:top w:val="nil"/>
              <w:left w:val="nil"/>
              <w:bottom w:val="nil"/>
              <w:right w:val="nil"/>
            </w:tcBorders>
            <w:vAlign w:val="center"/>
          </w:tcPr>
          <w:p w14:paraId="3EA95EE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1.5.3.</w:t>
            </w:r>
          </w:p>
        </w:tc>
        <w:tc>
          <w:tcPr>
            <w:tcW w:w="1276" w:type="dxa"/>
            <w:tcBorders>
              <w:top w:val="nil"/>
              <w:left w:val="nil"/>
              <w:bottom w:val="nil"/>
              <w:right w:val="nil"/>
            </w:tcBorders>
            <w:vAlign w:val="center"/>
          </w:tcPr>
          <w:p w14:paraId="02AA2713"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4A9BA00"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E51716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7B635"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9607E4" w14:textId="77777777" w:rsidR="006F76EB" w:rsidRPr="00834D52" w:rsidRDefault="006F76EB" w:rsidP="00C76C8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2B97A3C"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009349C9" w14:textId="77777777" w:rsidR="006F76EB" w:rsidRPr="00834D52" w:rsidRDefault="00C76C8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D824C68"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c>
          <w:tcPr>
            <w:tcW w:w="1560" w:type="dxa"/>
            <w:tcBorders>
              <w:top w:val="nil"/>
              <w:left w:val="nil"/>
              <w:bottom w:val="nil"/>
              <w:right w:val="nil"/>
            </w:tcBorders>
            <w:vAlign w:val="center"/>
          </w:tcPr>
          <w:p w14:paraId="7ABA07F2" w14:textId="77777777" w:rsidR="006F76EB" w:rsidRPr="00834D52" w:rsidRDefault="00C76C8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rPr>
              <w:t>-</w:t>
            </w:r>
          </w:p>
        </w:tc>
      </w:tr>
      <w:tr w:rsidR="006F76EB" w:rsidRPr="00834D52" w14:paraId="4AF9573F" w14:textId="77777777" w:rsidTr="001A24A9">
        <w:trPr>
          <w:jc w:val="center"/>
        </w:trPr>
        <w:tc>
          <w:tcPr>
            <w:tcW w:w="1134" w:type="dxa"/>
            <w:tcBorders>
              <w:top w:val="nil"/>
              <w:left w:val="nil"/>
              <w:bottom w:val="nil"/>
              <w:right w:val="nil"/>
            </w:tcBorders>
            <w:vAlign w:val="center"/>
          </w:tcPr>
          <w:p w14:paraId="395C0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1.5.4.</w:t>
            </w:r>
          </w:p>
        </w:tc>
        <w:tc>
          <w:tcPr>
            <w:tcW w:w="1276" w:type="dxa"/>
            <w:tcBorders>
              <w:top w:val="nil"/>
              <w:left w:val="nil"/>
              <w:bottom w:val="nil"/>
              <w:right w:val="nil"/>
            </w:tcBorders>
            <w:vAlign w:val="center"/>
          </w:tcPr>
          <w:p w14:paraId="1A9221C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3274162"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404483C"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353F48B"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6D97506"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F6B633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5C8F398" w14:textId="77777777" w:rsidR="006F76EB" w:rsidRPr="00834D52" w:rsidRDefault="005E7C0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935C8D0"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5AF0E" w14:textId="77777777" w:rsidR="006F76EB" w:rsidRPr="00834D52" w:rsidRDefault="006F76EB" w:rsidP="005E7C0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FB250F2" w14:textId="77777777" w:rsidTr="001A24A9">
        <w:trPr>
          <w:jc w:val="center"/>
        </w:trPr>
        <w:tc>
          <w:tcPr>
            <w:tcW w:w="1134" w:type="dxa"/>
            <w:tcBorders>
              <w:top w:val="nil"/>
              <w:left w:val="nil"/>
              <w:bottom w:val="nil"/>
              <w:right w:val="nil"/>
            </w:tcBorders>
            <w:vAlign w:val="center"/>
          </w:tcPr>
          <w:p w14:paraId="5A94D7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1.5.5.</w:t>
            </w:r>
          </w:p>
        </w:tc>
        <w:tc>
          <w:tcPr>
            <w:tcW w:w="1276" w:type="dxa"/>
            <w:tcBorders>
              <w:top w:val="nil"/>
              <w:left w:val="nil"/>
              <w:bottom w:val="nil"/>
              <w:right w:val="nil"/>
            </w:tcBorders>
            <w:vAlign w:val="center"/>
          </w:tcPr>
          <w:p w14:paraId="1B15FB13"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354DD2E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5A0E14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7F02AB5"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3A30C2A"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11679C1"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649BA6E"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81D538"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0DD9539"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30555D2" w14:textId="77777777" w:rsidTr="001A24A9">
        <w:trPr>
          <w:jc w:val="center"/>
        </w:trPr>
        <w:tc>
          <w:tcPr>
            <w:tcW w:w="1134" w:type="dxa"/>
            <w:tcBorders>
              <w:top w:val="nil"/>
              <w:left w:val="nil"/>
              <w:bottom w:val="nil"/>
              <w:right w:val="nil"/>
            </w:tcBorders>
            <w:vAlign w:val="center"/>
          </w:tcPr>
          <w:p w14:paraId="06D8385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1.5.6.</w:t>
            </w:r>
          </w:p>
        </w:tc>
        <w:tc>
          <w:tcPr>
            <w:tcW w:w="1276" w:type="dxa"/>
            <w:tcBorders>
              <w:top w:val="nil"/>
              <w:left w:val="nil"/>
              <w:bottom w:val="nil"/>
              <w:right w:val="nil"/>
            </w:tcBorders>
            <w:vAlign w:val="center"/>
          </w:tcPr>
          <w:p w14:paraId="2FF57004"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5D71534"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7555E3B" w14:textId="77777777" w:rsidR="006F76EB" w:rsidRPr="00834D52" w:rsidRDefault="008F5F1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10CDE78"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5BF5DAF" w14:textId="77777777" w:rsidR="006F76EB" w:rsidRPr="00834D52" w:rsidRDefault="006F76EB" w:rsidP="008F5F1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979F656"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6EC3EE5"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035C88F"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6A5BE8F8" w14:textId="77777777" w:rsidR="006F76EB" w:rsidRPr="00834D52" w:rsidRDefault="00663B3E"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06008436" w14:textId="77777777" w:rsidTr="001A24A9">
        <w:trPr>
          <w:jc w:val="center"/>
        </w:trPr>
        <w:tc>
          <w:tcPr>
            <w:tcW w:w="1134" w:type="dxa"/>
            <w:tcBorders>
              <w:top w:val="nil"/>
              <w:left w:val="nil"/>
              <w:bottom w:val="nil"/>
              <w:right w:val="nil"/>
            </w:tcBorders>
            <w:vAlign w:val="center"/>
          </w:tcPr>
          <w:p w14:paraId="5EBA50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w:t>
            </w:r>
          </w:p>
        </w:tc>
        <w:tc>
          <w:tcPr>
            <w:tcW w:w="1276" w:type="dxa"/>
            <w:tcBorders>
              <w:top w:val="nil"/>
              <w:left w:val="nil"/>
              <w:bottom w:val="nil"/>
              <w:right w:val="nil"/>
            </w:tcBorders>
            <w:vAlign w:val="center"/>
          </w:tcPr>
          <w:p w14:paraId="2CAC381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5F0CA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1838286"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D3344EC"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2E7B6F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E6352D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36EAB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7A4D62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B7A9F9"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0843D446" w14:textId="77777777" w:rsidTr="001A24A9">
        <w:trPr>
          <w:jc w:val="center"/>
        </w:trPr>
        <w:tc>
          <w:tcPr>
            <w:tcW w:w="1134" w:type="dxa"/>
            <w:tcBorders>
              <w:top w:val="nil"/>
              <w:left w:val="nil"/>
              <w:bottom w:val="nil"/>
              <w:right w:val="nil"/>
            </w:tcBorders>
            <w:vAlign w:val="center"/>
          </w:tcPr>
          <w:p w14:paraId="5CDCBB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w:t>
            </w:r>
          </w:p>
        </w:tc>
        <w:tc>
          <w:tcPr>
            <w:tcW w:w="1276" w:type="dxa"/>
            <w:tcBorders>
              <w:top w:val="nil"/>
              <w:left w:val="nil"/>
              <w:bottom w:val="nil"/>
              <w:right w:val="nil"/>
            </w:tcBorders>
            <w:vAlign w:val="center"/>
          </w:tcPr>
          <w:p w14:paraId="1B0EF3BB"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7A90A14"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F45D23"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A5C036"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0CBAFD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1246A0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D042925"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3AB3680"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A569FF9" w14:textId="77777777" w:rsidR="006F76EB" w:rsidRPr="00834D52" w:rsidRDefault="006F76EB" w:rsidP="00A552F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1710BC6" w14:textId="77777777" w:rsidTr="001A24A9">
        <w:trPr>
          <w:jc w:val="center"/>
        </w:trPr>
        <w:tc>
          <w:tcPr>
            <w:tcW w:w="1134" w:type="dxa"/>
            <w:tcBorders>
              <w:top w:val="nil"/>
              <w:left w:val="nil"/>
              <w:bottom w:val="nil"/>
              <w:right w:val="nil"/>
            </w:tcBorders>
            <w:vAlign w:val="center"/>
          </w:tcPr>
          <w:p w14:paraId="2D3339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1.6.2.</w:t>
            </w:r>
          </w:p>
        </w:tc>
        <w:tc>
          <w:tcPr>
            <w:tcW w:w="1276" w:type="dxa"/>
            <w:tcBorders>
              <w:top w:val="nil"/>
              <w:left w:val="nil"/>
              <w:bottom w:val="nil"/>
              <w:right w:val="nil"/>
            </w:tcBorders>
            <w:vAlign w:val="center"/>
          </w:tcPr>
          <w:p w14:paraId="2130D211"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8F79A5C"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DE9A07F"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BF299E"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AC4114"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1497C52"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3350E5"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B34B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B6D76BD" w14:textId="77777777" w:rsidR="006F76EB" w:rsidRPr="00834D52" w:rsidRDefault="006F76EB" w:rsidP="00DE22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FA77E3F" w14:textId="77777777" w:rsidTr="001A24A9">
        <w:trPr>
          <w:jc w:val="center"/>
        </w:trPr>
        <w:tc>
          <w:tcPr>
            <w:tcW w:w="1134" w:type="dxa"/>
            <w:tcBorders>
              <w:top w:val="nil"/>
              <w:left w:val="nil"/>
              <w:bottom w:val="nil"/>
              <w:right w:val="nil"/>
            </w:tcBorders>
            <w:vAlign w:val="center"/>
          </w:tcPr>
          <w:p w14:paraId="08DD7F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1.6.3.</w:t>
            </w:r>
          </w:p>
        </w:tc>
        <w:tc>
          <w:tcPr>
            <w:tcW w:w="1276" w:type="dxa"/>
            <w:tcBorders>
              <w:top w:val="nil"/>
              <w:left w:val="nil"/>
              <w:bottom w:val="nil"/>
              <w:right w:val="nil"/>
            </w:tcBorders>
            <w:vAlign w:val="center"/>
          </w:tcPr>
          <w:p w14:paraId="34835384"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D27C38C"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985AE78"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8831EEA"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45D15E"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67E0599"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BA9A17D"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5A50942"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7610271"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D7C38B5" w14:textId="77777777" w:rsidTr="001A24A9">
        <w:trPr>
          <w:jc w:val="center"/>
        </w:trPr>
        <w:tc>
          <w:tcPr>
            <w:tcW w:w="1134" w:type="dxa"/>
            <w:tcBorders>
              <w:top w:val="nil"/>
              <w:left w:val="nil"/>
              <w:bottom w:val="nil"/>
              <w:right w:val="nil"/>
            </w:tcBorders>
            <w:vAlign w:val="center"/>
          </w:tcPr>
          <w:p w14:paraId="77A2FE8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30B00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8257D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14E9D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009C7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241D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2EA1C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A485B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4D892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383AC77" w14:textId="77777777" w:rsidR="006F76EB" w:rsidRPr="00834D52" w:rsidRDefault="006F76EB" w:rsidP="00B55B10">
            <w:pPr>
              <w:spacing w:after="120" w:line="240" w:lineRule="auto"/>
              <w:ind w:right="-8"/>
              <w:jc w:val="center"/>
              <w:rPr>
                <w:rFonts w:ascii="Sylfaen" w:eastAsia="Times New Roman" w:hAnsi="Sylfaen" w:cs="Times New Roman"/>
                <w:sz w:val="24"/>
                <w:szCs w:val="24"/>
              </w:rPr>
            </w:pPr>
          </w:p>
        </w:tc>
      </w:tr>
      <w:tr w:rsidR="006F76EB" w:rsidRPr="00834D52" w14:paraId="4AF792B2" w14:textId="77777777" w:rsidTr="001A24A9">
        <w:trPr>
          <w:jc w:val="center"/>
        </w:trPr>
        <w:tc>
          <w:tcPr>
            <w:tcW w:w="1134" w:type="dxa"/>
            <w:tcBorders>
              <w:top w:val="nil"/>
              <w:left w:val="nil"/>
              <w:bottom w:val="nil"/>
              <w:right w:val="nil"/>
            </w:tcBorders>
            <w:vAlign w:val="center"/>
          </w:tcPr>
          <w:p w14:paraId="31984BA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1.6.4.</w:t>
            </w:r>
          </w:p>
        </w:tc>
        <w:tc>
          <w:tcPr>
            <w:tcW w:w="1276" w:type="dxa"/>
            <w:tcBorders>
              <w:top w:val="nil"/>
              <w:left w:val="nil"/>
              <w:bottom w:val="nil"/>
              <w:right w:val="nil"/>
            </w:tcBorders>
            <w:vAlign w:val="center"/>
          </w:tcPr>
          <w:p w14:paraId="3A9BF01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5727D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9A0D38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9E09DA5"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90C791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E8F33E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6C669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4DB6AFD"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A4525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94B2589" w14:textId="77777777" w:rsidTr="001A24A9">
        <w:trPr>
          <w:jc w:val="center"/>
        </w:trPr>
        <w:tc>
          <w:tcPr>
            <w:tcW w:w="1134" w:type="dxa"/>
            <w:tcBorders>
              <w:top w:val="nil"/>
              <w:left w:val="nil"/>
              <w:bottom w:val="nil"/>
              <w:right w:val="nil"/>
            </w:tcBorders>
            <w:vAlign w:val="center"/>
          </w:tcPr>
          <w:p w14:paraId="16C38E4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1.6.5.</w:t>
            </w:r>
          </w:p>
        </w:tc>
        <w:tc>
          <w:tcPr>
            <w:tcW w:w="1276" w:type="dxa"/>
            <w:tcBorders>
              <w:top w:val="nil"/>
              <w:left w:val="nil"/>
              <w:bottom w:val="nil"/>
              <w:right w:val="nil"/>
            </w:tcBorders>
            <w:vAlign w:val="center"/>
          </w:tcPr>
          <w:p w14:paraId="67353A6A"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00ED6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4457009"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6E7F1F3"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B39AEE1"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EF698AC"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4BDB6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A2C9486"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B4AA28F" w14:textId="77777777" w:rsidR="006F76EB" w:rsidRPr="00834D52" w:rsidRDefault="006F76EB" w:rsidP="001C13D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032C6F" w14:textId="77777777" w:rsidTr="001A24A9">
        <w:trPr>
          <w:jc w:val="center"/>
        </w:trPr>
        <w:tc>
          <w:tcPr>
            <w:tcW w:w="1134" w:type="dxa"/>
            <w:tcBorders>
              <w:top w:val="nil"/>
              <w:left w:val="nil"/>
              <w:bottom w:val="nil"/>
              <w:right w:val="nil"/>
            </w:tcBorders>
            <w:vAlign w:val="center"/>
          </w:tcPr>
          <w:p w14:paraId="12EBCD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1.6.6.</w:t>
            </w:r>
          </w:p>
        </w:tc>
        <w:tc>
          <w:tcPr>
            <w:tcW w:w="1276" w:type="dxa"/>
            <w:tcBorders>
              <w:top w:val="nil"/>
              <w:left w:val="nil"/>
              <w:bottom w:val="nil"/>
              <w:right w:val="nil"/>
            </w:tcBorders>
            <w:vAlign w:val="center"/>
          </w:tcPr>
          <w:p w14:paraId="7B3AE50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D705EB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AED3B35"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A056613"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C29D0A0"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B356F5B"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FDB8BF"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FA54431"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235C63E" w14:textId="77777777" w:rsidR="006F76EB" w:rsidRPr="00834D52" w:rsidRDefault="006F76EB" w:rsidP="0055203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C82DBA1" w14:textId="77777777" w:rsidTr="001A24A9">
        <w:trPr>
          <w:jc w:val="center"/>
        </w:trPr>
        <w:tc>
          <w:tcPr>
            <w:tcW w:w="1134" w:type="dxa"/>
            <w:tcBorders>
              <w:top w:val="nil"/>
              <w:left w:val="nil"/>
              <w:bottom w:val="nil"/>
              <w:right w:val="nil"/>
            </w:tcBorders>
            <w:vAlign w:val="center"/>
          </w:tcPr>
          <w:p w14:paraId="38CC9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1.6.7.</w:t>
            </w:r>
          </w:p>
        </w:tc>
        <w:tc>
          <w:tcPr>
            <w:tcW w:w="1276" w:type="dxa"/>
            <w:tcBorders>
              <w:top w:val="nil"/>
              <w:left w:val="nil"/>
              <w:bottom w:val="nil"/>
              <w:right w:val="nil"/>
            </w:tcBorders>
            <w:vAlign w:val="center"/>
          </w:tcPr>
          <w:p w14:paraId="1CE792F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AFF05B8"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48B4FD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81D507"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2D627B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6CBD62F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88AFB1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6CEC1D2"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4EE7ECB"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3FEEF6FB" w14:textId="77777777" w:rsidTr="001A24A9">
        <w:trPr>
          <w:jc w:val="center"/>
        </w:trPr>
        <w:tc>
          <w:tcPr>
            <w:tcW w:w="1134" w:type="dxa"/>
            <w:tcBorders>
              <w:top w:val="nil"/>
              <w:left w:val="nil"/>
              <w:bottom w:val="nil"/>
              <w:right w:val="nil"/>
            </w:tcBorders>
            <w:vAlign w:val="center"/>
          </w:tcPr>
          <w:p w14:paraId="53309D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1.6.8.</w:t>
            </w:r>
          </w:p>
        </w:tc>
        <w:tc>
          <w:tcPr>
            <w:tcW w:w="1276" w:type="dxa"/>
            <w:tcBorders>
              <w:top w:val="nil"/>
              <w:left w:val="nil"/>
              <w:bottom w:val="nil"/>
              <w:right w:val="nil"/>
            </w:tcBorders>
            <w:vAlign w:val="center"/>
          </w:tcPr>
          <w:p w14:paraId="0B27A9A0"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323C3"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9FB201"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57C92BF"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716A70A"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131BED" w14:textId="77777777" w:rsidR="006F76EB" w:rsidRPr="00834D52" w:rsidRDefault="006F76EB" w:rsidP="00277AD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7231F26" w14:textId="77777777" w:rsidR="006F76EB" w:rsidRPr="00834D52" w:rsidRDefault="00C9094D" w:rsidP="00F71229">
            <w:pPr>
              <w:spacing w:after="120" w:line="240" w:lineRule="auto"/>
              <w:ind w:right="-8"/>
              <w:jc w:val="center"/>
              <w:rPr>
                <w:rFonts w:ascii="Sylfaen" w:hAnsi="Sylfae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96EDCA8"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D13E96E" w14:textId="77777777" w:rsidR="006F76EB" w:rsidRPr="00834D52" w:rsidRDefault="006F76EB" w:rsidP="00C9094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A5E66AC" w14:textId="77777777" w:rsidTr="001A24A9">
        <w:trPr>
          <w:jc w:val="center"/>
        </w:trPr>
        <w:tc>
          <w:tcPr>
            <w:tcW w:w="1134" w:type="dxa"/>
            <w:tcBorders>
              <w:top w:val="nil"/>
              <w:left w:val="nil"/>
              <w:bottom w:val="nil"/>
              <w:right w:val="nil"/>
            </w:tcBorders>
            <w:vAlign w:val="center"/>
          </w:tcPr>
          <w:p w14:paraId="4D85C2B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1.6.9.</w:t>
            </w:r>
          </w:p>
        </w:tc>
        <w:tc>
          <w:tcPr>
            <w:tcW w:w="1276" w:type="dxa"/>
            <w:tcBorders>
              <w:top w:val="nil"/>
              <w:left w:val="nil"/>
              <w:bottom w:val="nil"/>
              <w:right w:val="nil"/>
            </w:tcBorders>
            <w:vAlign w:val="center"/>
          </w:tcPr>
          <w:p w14:paraId="1F8CB869"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48B4F4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F6CA33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5BF5C90"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94ECE63"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F509025"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0B6AFA8"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B7DC687"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33604AF" w14:textId="77777777" w:rsidR="006F76EB" w:rsidRPr="00834D52" w:rsidRDefault="006F76EB" w:rsidP="008675E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09BD702" w14:textId="77777777" w:rsidTr="001A24A9">
        <w:trPr>
          <w:jc w:val="center"/>
        </w:trPr>
        <w:tc>
          <w:tcPr>
            <w:tcW w:w="1134" w:type="dxa"/>
            <w:tcBorders>
              <w:top w:val="nil"/>
              <w:left w:val="nil"/>
              <w:bottom w:val="nil"/>
              <w:right w:val="nil"/>
            </w:tcBorders>
            <w:vAlign w:val="center"/>
          </w:tcPr>
          <w:p w14:paraId="329597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1.6.10.</w:t>
            </w:r>
          </w:p>
        </w:tc>
        <w:tc>
          <w:tcPr>
            <w:tcW w:w="1276" w:type="dxa"/>
            <w:tcBorders>
              <w:top w:val="nil"/>
              <w:left w:val="nil"/>
              <w:bottom w:val="nil"/>
              <w:right w:val="nil"/>
            </w:tcBorders>
            <w:vAlign w:val="center"/>
          </w:tcPr>
          <w:p w14:paraId="2FE95EE2"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6E9C81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1ACDDFC"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CCF407"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4BA5E2D"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CBBAF94"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074B8255"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76D3A7E1"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0DC5B00" w14:textId="77777777" w:rsidR="006F76EB" w:rsidRPr="00834D52" w:rsidRDefault="008675E2"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33EE5EA" w14:textId="77777777" w:rsidTr="001A24A9">
        <w:trPr>
          <w:jc w:val="center"/>
        </w:trPr>
        <w:tc>
          <w:tcPr>
            <w:tcW w:w="1134" w:type="dxa"/>
            <w:tcBorders>
              <w:top w:val="nil"/>
              <w:left w:val="nil"/>
              <w:bottom w:val="nil"/>
              <w:right w:val="nil"/>
            </w:tcBorders>
            <w:vAlign w:val="center"/>
          </w:tcPr>
          <w:p w14:paraId="4594308F"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117A6B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3632F8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6F23AD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6C0345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56A3D0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581DC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41EEF7C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07A3948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98520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B575D73" w14:textId="77777777" w:rsidTr="001A24A9">
        <w:trPr>
          <w:jc w:val="center"/>
        </w:trPr>
        <w:tc>
          <w:tcPr>
            <w:tcW w:w="1134" w:type="dxa"/>
            <w:tcBorders>
              <w:top w:val="nil"/>
              <w:left w:val="nil"/>
              <w:bottom w:val="nil"/>
              <w:right w:val="nil"/>
            </w:tcBorders>
            <w:vAlign w:val="center"/>
          </w:tcPr>
          <w:p w14:paraId="4F0725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1.6.11.</w:t>
            </w:r>
          </w:p>
        </w:tc>
        <w:tc>
          <w:tcPr>
            <w:tcW w:w="1276" w:type="dxa"/>
            <w:tcBorders>
              <w:top w:val="nil"/>
              <w:left w:val="nil"/>
              <w:bottom w:val="nil"/>
              <w:right w:val="nil"/>
            </w:tcBorders>
            <w:vAlign w:val="center"/>
          </w:tcPr>
          <w:p w14:paraId="602E55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C8A9D5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C33248"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6CAAA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EDABE5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8C550B2"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4B599F4"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5DFDE96"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6AFC21"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13D1ED06" w14:textId="77777777" w:rsidTr="001A24A9">
        <w:trPr>
          <w:jc w:val="center"/>
        </w:trPr>
        <w:tc>
          <w:tcPr>
            <w:tcW w:w="1134" w:type="dxa"/>
            <w:tcBorders>
              <w:top w:val="nil"/>
              <w:left w:val="nil"/>
              <w:bottom w:val="nil"/>
              <w:right w:val="nil"/>
            </w:tcBorders>
            <w:vAlign w:val="center"/>
          </w:tcPr>
          <w:p w14:paraId="01A8C7F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w:t>
            </w:r>
          </w:p>
        </w:tc>
        <w:tc>
          <w:tcPr>
            <w:tcW w:w="1276" w:type="dxa"/>
            <w:tcBorders>
              <w:top w:val="nil"/>
              <w:left w:val="nil"/>
              <w:bottom w:val="nil"/>
              <w:right w:val="nil"/>
            </w:tcBorders>
            <w:vAlign w:val="center"/>
          </w:tcPr>
          <w:p w14:paraId="430D0C20"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669711F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C9872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F7D5A7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70470C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6068660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201FEB0C"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388FB8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92677E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4FE406EB" w14:textId="77777777" w:rsidTr="001A24A9">
        <w:trPr>
          <w:jc w:val="center"/>
        </w:trPr>
        <w:tc>
          <w:tcPr>
            <w:tcW w:w="1134" w:type="dxa"/>
            <w:tcBorders>
              <w:top w:val="nil"/>
              <w:left w:val="nil"/>
              <w:bottom w:val="nil"/>
              <w:right w:val="nil"/>
            </w:tcBorders>
            <w:vAlign w:val="center"/>
          </w:tcPr>
          <w:p w14:paraId="777EC3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1.7.1</w:t>
            </w:r>
          </w:p>
        </w:tc>
        <w:tc>
          <w:tcPr>
            <w:tcW w:w="1276" w:type="dxa"/>
            <w:tcBorders>
              <w:top w:val="nil"/>
              <w:left w:val="nil"/>
              <w:bottom w:val="nil"/>
              <w:right w:val="nil"/>
            </w:tcBorders>
            <w:vAlign w:val="center"/>
          </w:tcPr>
          <w:p w14:paraId="551C8BBC"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329827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7DE60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AEF084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F1DE5FB"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90CCBFD"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AFA81DA"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375452F9"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8FFFEF0" w14:textId="77777777" w:rsidR="006F76EB" w:rsidRPr="00834D52" w:rsidRDefault="006F76EB" w:rsidP="004F60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8CCB6D7" w14:textId="77777777" w:rsidTr="001A24A9">
        <w:trPr>
          <w:jc w:val="center"/>
        </w:trPr>
        <w:tc>
          <w:tcPr>
            <w:tcW w:w="1134" w:type="dxa"/>
            <w:tcBorders>
              <w:top w:val="nil"/>
              <w:left w:val="nil"/>
              <w:bottom w:val="nil"/>
              <w:right w:val="nil"/>
            </w:tcBorders>
            <w:vAlign w:val="center"/>
          </w:tcPr>
          <w:p w14:paraId="79EA35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1.7.2.</w:t>
            </w:r>
          </w:p>
        </w:tc>
        <w:tc>
          <w:tcPr>
            <w:tcW w:w="1276" w:type="dxa"/>
            <w:tcBorders>
              <w:top w:val="nil"/>
              <w:left w:val="nil"/>
              <w:bottom w:val="nil"/>
              <w:right w:val="nil"/>
            </w:tcBorders>
            <w:vAlign w:val="center"/>
          </w:tcPr>
          <w:p w14:paraId="2900DDE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CCB4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A1FCBD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0DB0D62"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E9D371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058AE40"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521AF2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84A612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7D44F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9C41764" w14:textId="77777777" w:rsidTr="001A24A9">
        <w:trPr>
          <w:jc w:val="center"/>
        </w:trPr>
        <w:tc>
          <w:tcPr>
            <w:tcW w:w="1134" w:type="dxa"/>
            <w:tcBorders>
              <w:top w:val="nil"/>
              <w:left w:val="nil"/>
              <w:bottom w:val="nil"/>
              <w:right w:val="nil"/>
            </w:tcBorders>
            <w:vAlign w:val="center"/>
          </w:tcPr>
          <w:p w14:paraId="508F2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1.7.3.</w:t>
            </w:r>
          </w:p>
        </w:tc>
        <w:tc>
          <w:tcPr>
            <w:tcW w:w="1276" w:type="dxa"/>
            <w:tcBorders>
              <w:top w:val="nil"/>
              <w:left w:val="nil"/>
              <w:bottom w:val="nil"/>
              <w:right w:val="nil"/>
            </w:tcBorders>
            <w:vAlign w:val="center"/>
          </w:tcPr>
          <w:p w14:paraId="1E9F9A9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BF95D1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874AF24"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F6FE10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52199BE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B7F6B4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443627"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DDE2D18"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F74AAA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744EDBD3" w14:textId="77777777" w:rsidTr="001A24A9">
        <w:trPr>
          <w:jc w:val="center"/>
        </w:trPr>
        <w:tc>
          <w:tcPr>
            <w:tcW w:w="1134" w:type="dxa"/>
            <w:tcBorders>
              <w:top w:val="nil"/>
              <w:left w:val="nil"/>
              <w:bottom w:val="nil"/>
              <w:right w:val="nil"/>
            </w:tcBorders>
            <w:vAlign w:val="center"/>
          </w:tcPr>
          <w:p w14:paraId="72C25D2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w:t>
            </w:r>
          </w:p>
        </w:tc>
        <w:tc>
          <w:tcPr>
            <w:tcW w:w="1276" w:type="dxa"/>
            <w:tcBorders>
              <w:top w:val="nil"/>
              <w:left w:val="nil"/>
              <w:bottom w:val="nil"/>
              <w:right w:val="nil"/>
            </w:tcBorders>
            <w:vAlign w:val="center"/>
          </w:tcPr>
          <w:p w14:paraId="257C648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029744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15E641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D339FB3"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208276D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815BD4B"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50BC004"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ED1FDC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9023242"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E288DBE" w14:textId="77777777" w:rsidTr="001A24A9">
        <w:trPr>
          <w:jc w:val="center"/>
        </w:trPr>
        <w:tc>
          <w:tcPr>
            <w:tcW w:w="1134" w:type="dxa"/>
            <w:tcBorders>
              <w:top w:val="nil"/>
              <w:left w:val="nil"/>
              <w:bottom w:val="nil"/>
              <w:right w:val="nil"/>
            </w:tcBorders>
            <w:vAlign w:val="center"/>
          </w:tcPr>
          <w:p w14:paraId="1054234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1.8.1.</w:t>
            </w:r>
          </w:p>
        </w:tc>
        <w:tc>
          <w:tcPr>
            <w:tcW w:w="1276" w:type="dxa"/>
            <w:tcBorders>
              <w:top w:val="nil"/>
              <w:left w:val="nil"/>
              <w:bottom w:val="nil"/>
              <w:right w:val="nil"/>
            </w:tcBorders>
            <w:vAlign w:val="center"/>
          </w:tcPr>
          <w:p w14:paraId="06DAAE9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E69A9F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6AAE01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462DCD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FC011AE"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67322AB"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A05C786"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5AC42B81"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2C5ED2C"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61ECB9" w14:textId="77777777" w:rsidTr="001A24A9">
        <w:trPr>
          <w:jc w:val="center"/>
        </w:trPr>
        <w:tc>
          <w:tcPr>
            <w:tcW w:w="1134" w:type="dxa"/>
            <w:tcBorders>
              <w:top w:val="nil"/>
              <w:left w:val="nil"/>
              <w:bottom w:val="nil"/>
              <w:right w:val="nil"/>
            </w:tcBorders>
            <w:vAlign w:val="center"/>
          </w:tcPr>
          <w:p w14:paraId="24D2AD4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1.8.2.</w:t>
            </w:r>
          </w:p>
        </w:tc>
        <w:tc>
          <w:tcPr>
            <w:tcW w:w="1276" w:type="dxa"/>
            <w:tcBorders>
              <w:top w:val="nil"/>
              <w:left w:val="nil"/>
              <w:bottom w:val="nil"/>
              <w:right w:val="nil"/>
            </w:tcBorders>
            <w:vAlign w:val="center"/>
          </w:tcPr>
          <w:p w14:paraId="414E755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9F8E17F"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BEFC33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821EFFA"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900041D"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0AAB283"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F8F2D98"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51089" w14:textId="77777777" w:rsidR="006F76EB" w:rsidRPr="00834D52" w:rsidRDefault="006F76EB" w:rsidP="00261E6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E83C66" w14:textId="77777777" w:rsidR="006F76EB" w:rsidRPr="00834D52" w:rsidRDefault="00261E6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C9F402B" w14:textId="77777777" w:rsidTr="001A24A9">
        <w:trPr>
          <w:jc w:val="center"/>
        </w:trPr>
        <w:tc>
          <w:tcPr>
            <w:tcW w:w="1134" w:type="dxa"/>
            <w:tcBorders>
              <w:top w:val="nil"/>
              <w:left w:val="nil"/>
              <w:bottom w:val="nil"/>
              <w:right w:val="nil"/>
            </w:tcBorders>
            <w:vAlign w:val="center"/>
          </w:tcPr>
          <w:p w14:paraId="41C33C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1.8.3.</w:t>
            </w:r>
          </w:p>
        </w:tc>
        <w:tc>
          <w:tcPr>
            <w:tcW w:w="1276" w:type="dxa"/>
            <w:tcBorders>
              <w:top w:val="nil"/>
              <w:left w:val="nil"/>
              <w:bottom w:val="nil"/>
              <w:right w:val="nil"/>
            </w:tcBorders>
            <w:vAlign w:val="center"/>
          </w:tcPr>
          <w:p w14:paraId="79F930D8"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7D3B831"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04E1507"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E899699"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4F631205"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6B72AA0" w14:textId="77777777" w:rsidR="006F76EB" w:rsidRPr="00834D52" w:rsidRDefault="006F76EB" w:rsidP="00554A7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EB09AD"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2DF0B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1CD50BE" w14:textId="77777777" w:rsidR="006F76EB" w:rsidRPr="00834D52" w:rsidRDefault="00554A7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79CE266" w14:textId="77777777" w:rsidTr="001A24A9">
        <w:trPr>
          <w:jc w:val="center"/>
        </w:trPr>
        <w:tc>
          <w:tcPr>
            <w:tcW w:w="1134" w:type="dxa"/>
            <w:tcBorders>
              <w:top w:val="nil"/>
              <w:left w:val="nil"/>
              <w:bottom w:val="nil"/>
              <w:right w:val="nil"/>
            </w:tcBorders>
            <w:vAlign w:val="center"/>
          </w:tcPr>
          <w:p w14:paraId="646DA5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1.8.4.</w:t>
            </w:r>
          </w:p>
        </w:tc>
        <w:tc>
          <w:tcPr>
            <w:tcW w:w="1276" w:type="dxa"/>
            <w:tcBorders>
              <w:top w:val="nil"/>
              <w:left w:val="nil"/>
              <w:bottom w:val="nil"/>
              <w:right w:val="nil"/>
            </w:tcBorders>
            <w:vAlign w:val="center"/>
          </w:tcPr>
          <w:p w14:paraId="5D7FD20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BA8C40A"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4756C47"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07C7C5ED"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600B851"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4ABBD24"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3B83CD05"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A5D0278" w14:textId="77777777" w:rsidR="006F76EB" w:rsidRPr="00834D52" w:rsidRDefault="006F76EB" w:rsidP="002D12E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34A4A3" w14:textId="77777777" w:rsidR="006F76EB" w:rsidRPr="00834D52" w:rsidRDefault="002D12E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78A079" w14:textId="77777777" w:rsidTr="001A24A9">
        <w:trPr>
          <w:jc w:val="center"/>
        </w:trPr>
        <w:tc>
          <w:tcPr>
            <w:tcW w:w="1134" w:type="dxa"/>
            <w:tcBorders>
              <w:top w:val="nil"/>
              <w:left w:val="nil"/>
              <w:bottom w:val="nil"/>
              <w:right w:val="nil"/>
            </w:tcBorders>
            <w:vAlign w:val="center"/>
          </w:tcPr>
          <w:p w14:paraId="78A62D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w:t>
            </w:r>
          </w:p>
        </w:tc>
        <w:tc>
          <w:tcPr>
            <w:tcW w:w="1276" w:type="dxa"/>
            <w:tcBorders>
              <w:top w:val="nil"/>
              <w:left w:val="nil"/>
              <w:bottom w:val="nil"/>
              <w:right w:val="nil"/>
            </w:tcBorders>
            <w:vAlign w:val="center"/>
          </w:tcPr>
          <w:p w14:paraId="1A1F4A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D6790A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924897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9BB7D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8BD9EA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2D7C6A2D"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901FD58"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C60C6E5"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7BB4CA8"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1BFB563E" w14:textId="77777777" w:rsidTr="001A24A9">
        <w:trPr>
          <w:jc w:val="center"/>
        </w:trPr>
        <w:tc>
          <w:tcPr>
            <w:tcW w:w="1134" w:type="dxa"/>
            <w:tcBorders>
              <w:top w:val="nil"/>
              <w:left w:val="nil"/>
              <w:bottom w:val="nil"/>
              <w:right w:val="nil"/>
            </w:tcBorders>
            <w:vAlign w:val="center"/>
          </w:tcPr>
          <w:p w14:paraId="49B11A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1.9.1.</w:t>
            </w:r>
          </w:p>
        </w:tc>
        <w:tc>
          <w:tcPr>
            <w:tcW w:w="1276" w:type="dxa"/>
            <w:tcBorders>
              <w:top w:val="nil"/>
              <w:left w:val="nil"/>
              <w:bottom w:val="nil"/>
              <w:right w:val="nil"/>
            </w:tcBorders>
            <w:vAlign w:val="center"/>
          </w:tcPr>
          <w:p w14:paraId="2A5ED477"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3099B78"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729E13F2"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5702473"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A331B3B" w14:textId="77777777" w:rsidR="006F76EB" w:rsidRPr="00834D52" w:rsidRDefault="006F76EB" w:rsidP="006D49E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5A87CE8"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BCC74EC"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5DAE54C1"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3F653D9" w14:textId="77777777" w:rsidR="006F76EB" w:rsidRPr="00834D52" w:rsidRDefault="006D49E1"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48DA3283" w14:textId="77777777" w:rsidTr="001A24A9">
        <w:trPr>
          <w:jc w:val="center"/>
        </w:trPr>
        <w:tc>
          <w:tcPr>
            <w:tcW w:w="1134" w:type="dxa"/>
            <w:tcBorders>
              <w:top w:val="nil"/>
              <w:left w:val="nil"/>
              <w:bottom w:val="nil"/>
              <w:right w:val="nil"/>
            </w:tcBorders>
            <w:vAlign w:val="center"/>
          </w:tcPr>
          <w:p w14:paraId="14285B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w:t>
            </w:r>
          </w:p>
        </w:tc>
        <w:tc>
          <w:tcPr>
            <w:tcW w:w="1276" w:type="dxa"/>
            <w:tcBorders>
              <w:top w:val="nil"/>
              <w:left w:val="nil"/>
              <w:bottom w:val="nil"/>
              <w:right w:val="nil"/>
            </w:tcBorders>
            <w:vAlign w:val="center"/>
          </w:tcPr>
          <w:p w14:paraId="6B38A82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7796E79B"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73401B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D70756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5E54FE1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DA53E3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75130E7"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10CDF53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84637DF"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0F3C762" w14:textId="77777777" w:rsidTr="001A24A9">
        <w:trPr>
          <w:jc w:val="center"/>
        </w:trPr>
        <w:tc>
          <w:tcPr>
            <w:tcW w:w="1134" w:type="dxa"/>
            <w:tcBorders>
              <w:top w:val="nil"/>
              <w:left w:val="nil"/>
              <w:bottom w:val="nil"/>
              <w:right w:val="nil"/>
            </w:tcBorders>
            <w:vAlign w:val="center"/>
          </w:tcPr>
          <w:p w14:paraId="75D0B6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1.10.1.</w:t>
            </w:r>
          </w:p>
        </w:tc>
        <w:tc>
          <w:tcPr>
            <w:tcW w:w="1276" w:type="dxa"/>
            <w:tcBorders>
              <w:top w:val="nil"/>
              <w:left w:val="nil"/>
              <w:bottom w:val="nil"/>
              <w:right w:val="nil"/>
            </w:tcBorders>
            <w:vAlign w:val="center"/>
          </w:tcPr>
          <w:p w14:paraId="6305007F"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1F106D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6A045D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DA50E5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7025193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A464B58"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5C5577E"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0EBA6587"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FD59CF9" w14:textId="77777777" w:rsidR="006F76EB" w:rsidRPr="00834D52" w:rsidRDefault="006F76EB" w:rsidP="00BC2E5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8EA837B" w14:textId="77777777" w:rsidTr="001A24A9">
        <w:trPr>
          <w:jc w:val="center"/>
        </w:trPr>
        <w:tc>
          <w:tcPr>
            <w:tcW w:w="1134" w:type="dxa"/>
            <w:tcBorders>
              <w:top w:val="nil"/>
              <w:left w:val="nil"/>
              <w:bottom w:val="nil"/>
              <w:right w:val="nil"/>
            </w:tcBorders>
            <w:vAlign w:val="center"/>
          </w:tcPr>
          <w:p w14:paraId="0334ED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1.10.2.</w:t>
            </w:r>
          </w:p>
        </w:tc>
        <w:tc>
          <w:tcPr>
            <w:tcW w:w="1276" w:type="dxa"/>
            <w:tcBorders>
              <w:top w:val="nil"/>
              <w:left w:val="nil"/>
              <w:bottom w:val="nil"/>
              <w:right w:val="nil"/>
            </w:tcBorders>
            <w:vAlign w:val="center"/>
          </w:tcPr>
          <w:p w14:paraId="20759A4E"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AD72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4B178351"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159F47"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388C535D"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7A66F830"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B4C4EBC"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9756189"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72B7313" w14:textId="77777777" w:rsidR="006F76EB" w:rsidRPr="00834D52" w:rsidRDefault="006F76EB" w:rsidP="00164BD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66831114" w14:textId="77777777" w:rsidTr="001A24A9">
        <w:trPr>
          <w:jc w:val="center"/>
        </w:trPr>
        <w:tc>
          <w:tcPr>
            <w:tcW w:w="1134" w:type="dxa"/>
            <w:tcBorders>
              <w:top w:val="nil"/>
              <w:left w:val="nil"/>
              <w:bottom w:val="nil"/>
              <w:right w:val="nil"/>
            </w:tcBorders>
            <w:vAlign w:val="center"/>
          </w:tcPr>
          <w:p w14:paraId="07C2EEE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1.10.3.</w:t>
            </w:r>
          </w:p>
        </w:tc>
        <w:tc>
          <w:tcPr>
            <w:tcW w:w="1276" w:type="dxa"/>
            <w:tcBorders>
              <w:top w:val="nil"/>
              <w:left w:val="nil"/>
              <w:bottom w:val="nil"/>
              <w:right w:val="nil"/>
            </w:tcBorders>
            <w:vAlign w:val="center"/>
          </w:tcPr>
          <w:p w14:paraId="5C532ED7" w14:textId="77777777" w:rsidR="006F76EB" w:rsidRPr="00834D52" w:rsidRDefault="00164BD9"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7E38C6AB"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32A82C8" w14:textId="77777777" w:rsidR="006F76EB" w:rsidRPr="00834D52" w:rsidRDefault="0077226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E82BD0"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15E5BFC1" w14:textId="77777777" w:rsidR="006F76EB" w:rsidRPr="00834D52" w:rsidRDefault="0077226C" w:rsidP="007722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29FA05E3"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C0A6D5"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4CD439F"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1A8098C" w14:textId="77777777" w:rsidR="006F76EB" w:rsidRPr="00834D52" w:rsidRDefault="00164BD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1AF7603" w14:textId="77777777" w:rsidTr="001A24A9">
        <w:trPr>
          <w:jc w:val="center"/>
        </w:trPr>
        <w:tc>
          <w:tcPr>
            <w:tcW w:w="1134" w:type="dxa"/>
            <w:tcBorders>
              <w:top w:val="nil"/>
              <w:left w:val="nil"/>
              <w:bottom w:val="nil"/>
              <w:right w:val="nil"/>
            </w:tcBorders>
            <w:vAlign w:val="center"/>
          </w:tcPr>
          <w:p w14:paraId="4D33289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1.10.4.</w:t>
            </w:r>
          </w:p>
        </w:tc>
        <w:tc>
          <w:tcPr>
            <w:tcW w:w="1276" w:type="dxa"/>
            <w:tcBorders>
              <w:top w:val="nil"/>
              <w:left w:val="nil"/>
              <w:bottom w:val="nil"/>
              <w:right w:val="nil"/>
            </w:tcBorders>
            <w:vAlign w:val="center"/>
          </w:tcPr>
          <w:p w14:paraId="3EA84FF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A118CC7"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6E528F66"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054257A"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72EA909"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417B7E2"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1CF60503"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52B0880"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EF1EA1E" w14:textId="77777777" w:rsidR="006F76EB" w:rsidRPr="00834D52" w:rsidRDefault="006F76EB" w:rsidP="0080170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53E8452" w14:textId="77777777" w:rsidTr="001A24A9">
        <w:trPr>
          <w:jc w:val="center"/>
        </w:trPr>
        <w:tc>
          <w:tcPr>
            <w:tcW w:w="1134" w:type="dxa"/>
            <w:tcBorders>
              <w:top w:val="nil"/>
              <w:left w:val="nil"/>
              <w:bottom w:val="nil"/>
              <w:right w:val="nil"/>
            </w:tcBorders>
            <w:vAlign w:val="center"/>
          </w:tcPr>
          <w:p w14:paraId="634F27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1.11.</w:t>
            </w:r>
          </w:p>
        </w:tc>
        <w:tc>
          <w:tcPr>
            <w:tcW w:w="1276" w:type="dxa"/>
            <w:tcBorders>
              <w:top w:val="nil"/>
              <w:left w:val="nil"/>
              <w:bottom w:val="nil"/>
              <w:right w:val="nil"/>
            </w:tcBorders>
            <w:vAlign w:val="center"/>
          </w:tcPr>
          <w:p w14:paraId="6EA4C457"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20D1CFD"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C1DF89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4D69B29"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80B59B8"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67DE25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76616FDB"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30D2A9C"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7B28547F" w14:textId="77777777" w:rsidR="006F76EB" w:rsidRPr="00834D52" w:rsidRDefault="006F76EB" w:rsidP="0016642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207B5E2" w14:textId="77777777" w:rsidTr="001A24A9">
        <w:trPr>
          <w:jc w:val="center"/>
        </w:trPr>
        <w:tc>
          <w:tcPr>
            <w:tcW w:w="14884" w:type="dxa"/>
            <w:gridSpan w:val="10"/>
            <w:tcBorders>
              <w:top w:val="nil"/>
              <w:left w:val="nil"/>
              <w:bottom w:val="nil"/>
              <w:right w:val="nil"/>
            </w:tcBorders>
            <w:vAlign w:val="center"/>
          </w:tcPr>
          <w:p w14:paraId="5A67251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2. ԸՆԴՀԱՆՈՒՐ ՏԵԽՆԻԿԱԿԱՆ ՓԱՍՏԱԹՂԹԻ ՌԵԶՅՈՒՄԵ</w:t>
            </w:r>
          </w:p>
        </w:tc>
      </w:tr>
      <w:tr w:rsidR="006F76EB" w:rsidRPr="00834D52" w14:paraId="5A2B32AB" w14:textId="77777777" w:rsidTr="001A24A9">
        <w:trPr>
          <w:jc w:val="center"/>
        </w:trPr>
        <w:tc>
          <w:tcPr>
            <w:tcW w:w="1134" w:type="dxa"/>
            <w:tcBorders>
              <w:top w:val="nil"/>
              <w:left w:val="nil"/>
              <w:bottom w:val="nil"/>
              <w:right w:val="nil"/>
            </w:tcBorders>
            <w:vAlign w:val="center"/>
          </w:tcPr>
          <w:p w14:paraId="3CD96B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2.1.</w:t>
            </w:r>
          </w:p>
        </w:tc>
        <w:tc>
          <w:tcPr>
            <w:tcW w:w="1276" w:type="dxa"/>
            <w:tcBorders>
              <w:top w:val="nil"/>
              <w:left w:val="nil"/>
              <w:bottom w:val="nil"/>
              <w:right w:val="nil"/>
            </w:tcBorders>
            <w:vAlign w:val="center"/>
          </w:tcPr>
          <w:p w14:paraId="7C01DE3D" w14:textId="77777777" w:rsidR="006F76EB" w:rsidRPr="00834D52" w:rsidRDefault="004B2EBC"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EB7CE8E"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1C7C1C4B"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05622B7"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37EAC88"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0DADC662"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5EA0636F"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4A137E41"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68DF50CA" w14:textId="77777777" w:rsidR="006F76EB" w:rsidRPr="00834D52" w:rsidRDefault="004B2EBC" w:rsidP="004B2EB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44B86E42" w14:textId="77777777" w:rsidTr="001A24A9">
        <w:trPr>
          <w:jc w:val="center"/>
        </w:trPr>
        <w:tc>
          <w:tcPr>
            <w:tcW w:w="1134" w:type="dxa"/>
            <w:tcBorders>
              <w:top w:val="nil"/>
              <w:left w:val="nil"/>
              <w:bottom w:val="nil"/>
              <w:right w:val="nil"/>
            </w:tcBorders>
            <w:vAlign w:val="center"/>
          </w:tcPr>
          <w:p w14:paraId="4643A9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2.2.</w:t>
            </w:r>
          </w:p>
        </w:tc>
        <w:tc>
          <w:tcPr>
            <w:tcW w:w="1276" w:type="dxa"/>
            <w:tcBorders>
              <w:top w:val="nil"/>
              <w:left w:val="nil"/>
              <w:bottom w:val="nil"/>
              <w:right w:val="nil"/>
            </w:tcBorders>
            <w:vAlign w:val="center"/>
          </w:tcPr>
          <w:p w14:paraId="2CC7BC9A"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59B190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A1C7E35"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2228E7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2C07BE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4D5EB68B"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458DD9F9"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DEFF96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A3EC280" w14:textId="77777777" w:rsidR="006F76EB" w:rsidRPr="00834D52" w:rsidRDefault="007C5173" w:rsidP="007C517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C75E31D" w14:textId="77777777" w:rsidTr="001A24A9">
        <w:trPr>
          <w:jc w:val="center"/>
        </w:trPr>
        <w:tc>
          <w:tcPr>
            <w:tcW w:w="1134" w:type="dxa"/>
            <w:tcBorders>
              <w:top w:val="nil"/>
              <w:left w:val="nil"/>
              <w:bottom w:val="nil"/>
              <w:right w:val="nil"/>
            </w:tcBorders>
            <w:vAlign w:val="center"/>
          </w:tcPr>
          <w:p w14:paraId="726AB7E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2.3.</w:t>
            </w:r>
          </w:p>
        </w:tc>
        <w:tc>
          <w:tcPr>
            <w:tcW w:w="1276" w:type="dxa"/>
            <w:tcBorders>
              <w:top w:val="nil"/>
              <w:left w:val="nil"/>
              <w:bottom w:val="nil"/>
              <w:right w:val="nil"/>
            </w:tcBorders>
            <w:vAlign w:val="center"/>
          </w:tcPr>
          <w:p w14:paraId="031F437D" w14:textId="77777777" w:rsidR="006F76EB" w:rsidRPr="00834D52" w:rsidRDefault="001F13A5"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616CC908"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256921B6"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4D3EF98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03F711DA"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387483F4"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68F70479"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6773982E"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58A21113" w14:textId="77777777" w:rsidR="006F76EB" w:rsidRPr="00834D52" w:rsidRDefault="001F13A5" w:rsidP="001F13A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2419C04" w14:textId="77777777" w:rsidTr="001A24A9">
        <w:trPr>
          <w:jc w:val="center"/>
        </w:trPr>
        <w:tc>
          <w:tcPr>
            <w:tcW w:w="1134" w:type="dxa"/>
            <w:tcBorders>
              <w:top w:val="nil"/>
              <w:left w:val="nil"/>
              <w:bottom w:val="nil"/>
              <w:right w:val="nil"/>
            </w:tcBorders>
            <w:vAlign w:val="center"/>
          </w:tcPr>
          <w:p w14:paraId="3196A7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2.4.</w:t>
            </w:r>
          </w:p>
        </w:tc>
        <w:tc>
          <w:tcPr>
            <w:tcW w:w="1276" w:type="dxa"/>
            <w:tcBorders>
              <w:top w:val="nil"/>
              <w:left w:val="nil"/>
              <w:bottom w:val="nil"/>
              <w:right w:val="nil"/>
            </w:tcBorders>
            <w:vAlign w:val="center"/>
          </w:tcPr>
          <w:p w14:paraId="7BB31C2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214B237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A9B467E"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1EC429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2FC272A5"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1B4DFBC"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701" w:type="dxa"/>
            <w:tcBorders>
              <w:top w:val="nil"/>
              <w:left w:val="nil"/>
              <w:bottom w:val="nil"/>
              <w:right w:val="nil"/>
            </w:tcBorders>
            <w:vAlign w:val="center"/>
          </w:tcPr>
          <w:p w14:paraId="22F80731"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203898C0"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3648CF33" w14:textId="77777777" w:rsidR="006F76EB" w:rsidRPr="00834D52" w:rsidRDefault="00DE6764" w:rsidP="00DE676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200B18B8" w14:textId="77777777" w:rsidTr="001A24A9">
        <w:trPr>
          <w:jc w:val="center"/>
        </w:trPr>
        <w:tc>
          <w:tcPr>
            <w:tcW w:w="1134" w:type="dxa"/>
            <w:tcBorders>
              <w:top w:val="nil"/>
              <w:left w:val="nil"/>
              <w:bottom w:val="nil"/>
              <w:right w:val="nil"/>
            </w:tcBorders>
            <w:vAlign w:val="center"/>
          </w:tcPr>
          <w:p w14:paraId="4A0AF9A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2.5.</w:t>
            </w:r>
          </w:p>
        </w:tc>
        <w:tc>
          <w:tcPr>
            <w:tcW w:w="1276" w:type="dxa"/>
            <w:tcBorders>
              <w:top w:val="nil"/>
              <w:left w:val="nil"/>
              <w:bottom w:val="nil"/>
              <w:right w:val="nil"/>
            </w:tcBorders>
            <w:vAlign w:val="center"/>
          </w:tcPr>
          <w:p w14:paraId="221952D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08BD8A6"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50032A4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2479B4B2"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7" w:type="dxa"/>
            <w:tcBorders>
              <w:top w:val="nil"/>
              <w:left w:val="nil"/>
              <w:bottom w:val="nil"/>
              <w:right w:val="nil"/>
            </w:tcBorders>
            <w:vAlign w:val="center"/>
          </w:tcPr>
          <w:p w14:paraId="6C15CE67"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1B9C390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430C60">
              <w:rPr>
                <w:rFonts w:ascii="Sylfaen" w:hAnsi="Sylfaen"/>
                <w:sz w:val="24"/>
                <w:szCs w:val="24"/>
              </w:rPr>
              <w:t xml:space="preserve"> </w:t>
            </w:r>
          </w:p>
        </w:tc>
        <w:tc>
          <w:tcPr>
            <w:tcW w:w="1701" w:type="dxa"/>
            <w:tcBorders>
              <w:top w:val="nil"/>
              <w:left w:val="nil"/>
              <w:bottom w:val="nil"/>
              <w:right w:val="nil"/>
            </w:tcBorders>
            <w:vAlign w:val="center"/>
          </w:tcPr>
          <w:p w14:paraId="5344CC3C"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275" w:type="dxa"/>
            <w:tcBorders>
              <w:top w:val="nil"/>
              <w:left w:val="nil"/>
              <w:bottom w:val="nil"/>
              <w:right w:val="nil"/>
            </w:tcBorders>
            <w:vAlign w:val="center"/>
          </w:tcPr>
          <w:p w14:paraId="115BFBF5"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0DD9789" w14:textId="77777777" w:rsidR="006F76EB" w:rsidRPr="00834D52" w:rsidRDefault="00430C60" w:rsidP="00430C60">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r>
      <w:tr w:rsidR="006F76EB" w:rsidRPr="00834D52" w14:paraId="5001D321" w14:textId="77777777" w:rsidTr="001A24A9">
        <w:trPr>
          <w:jc w:val="center"/>
        </w:trPr>
        <w:tc>
          <w:tcPr>
            <w:tcW w:w="1134" w:type="dxa"/>
            <w:tcBorders>
              <w:top w:val="nil"/>
              <w:left w:val="nil"/>
              <w:bottom w:val="nil"/>
              <w:right w:val="nil"/>
            </w:tcBorders>
            <w:vAlign w:val="center"/>
          </w:tcPr>
          <w:p w14:paraId="64C01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w:t>
            </w:r>
          </w:p>
        </w:tc>
        <w:tc>
          <w:tcPr>
            <w:tcW w:w="1276" w:type="dxa"/>
            <w:tcBorders>
              <w:top w:val="nil"/>
              <w:left w:val="nil"/>
              <w:bottom w:val="nil"/>
              <w:right w:val="nil"/>
            </w:tcBorders>
            <w:vAlign w:val="center"/>
          </w:tcPr>
          <w:p w14:paraId="390A2DB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689398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970944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EF6713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6F63297E"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4A3BBC09"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0A9897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30AD4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9A1AC5"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BEE8BED" w14:textId="77777777" w:rsidTr="001A24A9">
        <w:trPr>
          <w:jc w:val="center"/>
        </w:trPr>
        <w:tc>
          <w:tcPr>
            <w:tcW w:w="1134" w:type="dxa"/>
            <w:tcBorders>
              <w:top w:val="nil"/>
              <w:left w:val="nil"/>
              <w:bottom w:val="nil"/>
              <w:right w:val="nil"/>
            </w:tcBorders>
            <w:vAlign w:val="center"/>
          </w:tcPr>
          <w:p w14:paraId="710D71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2.6.1.</w:t>
            </w:r>
          </w:p>
        </w:tc>
        <w:tc>
          <w:tcPr>
            <w:tcW w:w="1276" w:type="dxa"/>
            <w:tcBorders>
              <w:top w:val="nil"/>
              <w:left w:val="nil"/>
              <w:bottom w:val="nil"/>
              <w:right w:val="nil"/>
            </w:tcBorders>
            <w:vAlign w:val="center"/>
          </w:tcPr>
          <w:p w14:paraId="2BC74304"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662C74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6847617"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02B33523"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A3EF5"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41DFC2C"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D5FF32F"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012BB0" w14:textId="77777777" w:rsidR="006F76EB" w:rsidRPr="00834D52" w:rsidRDefault="00087A2B" w:rsidP="00087A2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8F5E211" w14:textId="77777777" w:rsidR="006F76EB" w:rsidRPr="00834D52" w:rsidRDefault="00087A2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7554538" w14:textId="77777777" w:rsidTr="001A24A9">
        <w:trPr>
          <w:jc w:val="center"/>
        </w:trPr>
        <w:tc>
          <w:tcPr>
            <w:tcW w:w="1134" w:type="dxa"/>
            <w:tcBorders>
              <w:top w:val="nil"/>
              <w:left w:val="nil"/>
              <w:bottom w:val="nil"/>
              <w:right w:val="nil"/>
            </w:tcBorders>
            <w:vAlign w:val="center"/>
          </w:tcPr>
          <w:p w14:paraId="397AF69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2.6.2.</w:t>
            </w:r>
          </w:p>
        </w:tc>
        <w:tc>
          <w:tcPr>
            <w:tcW w:w="1276" w:type="dxa"/>
            <w:tcBorders>
              <w:top w:val="nil"/>
              <w:left w:val="nil"/>
              <w:bottom w:val="nil"/>
              <w:right w:val="nil"/>
            </w:tcBorders>
            <w:vAlign w:val="center"/>
          </w:tcPr>
          <w:p w14:paraId="3D51C8B5"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58D8BCB"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2389B87"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70B347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8B8F891"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59" w:type="dxa"/>
            <w:tcBorders>
              <w:top w:val="nil"/>
              <w:left w:val="nil"/>
              <w:bottom w:val="nil"/>
              <w:right w:val="nil"/>
            </w:tcBorders>
            <w:vAlign w:val="center"/>
          </w:tcPr>
          <w:p w14:paraId="5B24937D"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253B00D2"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39B4D08" w14:textId="77777777" w:rsidR="006F76EB" w:rsidRPr="00834D52" w:rsidRDefault="007074F8" w:rsidP="007074F8">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7E71674" w14:textId="77777777" w:rsidR="006F76EB" w:rsidRPr="00834D52" w:rsidRDefault="007074F8"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6A2A94F" w14:textId="77777777" w:rsidTr="001A24A9">
        <w:trPr>
          <w:jc w:val="center"/>
        </w:trPr>
        <w:tc>
          <w:tcPr>
            <w:tcW w:w="1134" w:type="dxa"/>
            <w:tcBorders>
              <w:top w:val="nil"/>
              <w:left w:val="nil"/>
              <w:bottom w:val="nil"/>
              <w:right w:val="nil"/>
            </w:tcBorders>
            <w:vAlign w:val="center"/>
          </w:tcPr>
          <w:p w14:paraId="7D4D50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2.6.3.</w:t>
            </w:r>
          </w:p>
        </w:tc>
        <w:tc>
          <w:tcPr>
            <w:tcW w:w="1276" w:type="dxa"/>
            <w:tcBorders>
              <w:top w:val="nil"/>
              <w:left w:val="nil"/>
              <w:bottom w:val="nil"/>
              <w:right w:val="nil"/>
            </w:tcBorders>
            <w:vAlign w:val="center"/>
          </w:tcPr>
          <w:p w14:paraId="1A146D8D"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CBB73FF"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5E5DB2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BA2943B" w14:textId="77777777" w:rsidR="006F76EB" w:rsidRPr="00834D52" w:rsidRDefault="00995B6C" w:rsidP="00995B6C">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71D8921"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228DD6"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5FA7EBDC"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8103BB4"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1CF3EA2" w14:textId="77777777" w:rsidR="006F76EB" w:rsidRPr="00834D52" w:rsidRDefault="00995B6C"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02F6854" w14:textId="77777777" w:rsidTr="001A24A9">
        <w:trPr>
          <w:jc w:val="center"/>
        </w:trPr>
        <w:tc>
          <w:tcPr>
            <w:tcW w:w="1134" w:type="dxa"/>
            <w:tcBorders>
              <w:top w:val="nil"/>
              <w:left w:val="nil"/>
              <w:bottom w:val="nil"/>
              <w:right w:val="nil"/>
            </w:tcBorders>
            <w:vAlign w:val="center"/>
          </w:tcPr>
          <w:p w14:paraId="59464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2.6.4.</w:t>
            </w:r>
          </w:p>
        </w:tc>
        <w:tc>
          <w:tcPr>
            <w:tcW w:w="1276" w:type="dxa"/>
            <w:tcBorders>
              <w:top w:val="nil"/>
              <w:left w:val="nil"/>
              <w:bottom w:val="nil"/>
              <w:right w:val="nil"/>
            </w:tcBorders>
            <w:vAlign w:val="center"/>
          </w:tcPr>
          <w:p w14:paraId="77499517"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5CE99C06"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9137803"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AEFB8CC" w14:textId="77777777" w:rsidR="006F76EB" w:rsidRPr="00834D52" w:rsidRDefault="00D0538A" w:rsidP="00D0538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9913C4E"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03C36025"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94C1CD1"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77FA72A9"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5E0DBD98" w14:textId="77777777" w:rsidR="006F76EB" w:rsidRPr="00834D52" w:rsidRDefault="00D0538A"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A4608B2" w14:textId="77777777" w:rsidTr="001A24A9">
        <w:trPr>
          <w:jc w:val="center"/>
        </w:trPr>
        <w:tc>
          <w:tcPr>
            <w:tcW w:w="1134" w:type="dxa"/>
            <w:tcBorders>
              <w:top w:val="nil"/>
              <w:left w:val="nil"/>
              <w:bottom w:val="nil"/>
              <w:right w:val="nil"/>
            </w:tcBorders>
            <w:vAlign w:val="center"/>
          </w:tcPr>
          <w:p w14:paraId="45C23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2.6.5.</w:t>
            </w:r>
          </w:p>
        </w:tc>
        <w:tc>
          <w:tcPr>
            <w:tcW w:w="1276" w:type="dxa"/>
            <w:tcBorders>
              <w:top w:val="nil"/>
              <w:left w:val="nil"/>
              <w:bottom w:val="nil"/>
              <w:right w:val="nil"/>
            </w:tcBorders>
            <w:vAlign w:val="center"/>
          </w:tcPr>
          <w:p w14:paraId="47F2E17B"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BC0F7CF"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4EFAF05"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A1A1F18"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727B21D"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8E8C691"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16A62E"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10F21612" w14:textId="77777777" w:rsidR="006F76EB" w:rsidRPr="00834D52" w:rsidRDefault="00753A7B" w:rsidP="00753A7B">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2455E79" w14:textId="77777777" w:rsidR="006F76EB" w:rsidRPr="00834D52" w:rsidRDefault="00753A7B"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8503374" w14:textId="77777777" w:rsidTr="001A24A9">
        <w:trPr>
          <w:jc w:val="center"/>
        </w:trPr>
        <w:tc>
          <w:tcPr>
            <w:tcW w:w="1134" w:type="dxa"/>
            <w:tcBorders>
              <w:top w:val="nil"/>
              <w:left w:val="nil"/>
              <w:bottom w:val="nil"/>
              <w:right w:val="nil"/>
            </w:tcBorders>
            <w:vAlign w:val="center"/>
          </w:tcPr>
          <w:p w14:paraId="5BC86C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2.6.6.</w:t>
            </w:r>
          </w:p>
        </w:tc>
        <w:tc>
          <w:tcPr>
            <w:tcW w:w="1276" w:type="dxa"/>
            <w:tcBorders>
              <w:top w:val="nil"/>
              <w:left w:val="nil"/>
              <w:bottom w:val="nil"/>
              <w:right w:val="nil"/>
            </w:tcBorders>
            <w:vAlign w:val="center"/>
          </w:tcPr>
          <w:p w14:paraId="32E820AD"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E3A50A9"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6E3525A1"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F18136"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6F6A180"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E9E7DC5"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14BD957"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5DDB23A" w14:textId="77777777" w:rsidR="006F76EB" w:rsidRPr="00834D52" w:rsidRDefault="00E60B69" w:rsidP="00E60B6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0B29D1" w14:textId="77777777" w:rsidR="006F76EB" w:rsidRPr="00834D52" w:rsidRDefault="00E60B69"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0EC950E" w14:textId="77777777" w:rsidTr="001A24A9">
        <w:trPr>
          <w:jc w:val="center"/>
        </w:trPr>
        <w:tc>
          <w:tcPr>
            <w:tcW w:w="1134" w:type="dxa"/>
            <w:tcBorders>
              <w:top w:val="nil"/>
              <w:left w:val="nil"/>
              <w:bottom w:val="nil"/>
              <w:right w:val="nil"/>
            </w:tcBorders>
            <w:vAlign w:val="center"/>
          </w:tcPr>
          <w:p w14:paraId="37D2E4F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2.7.</w:t>
            </w:r>
          </w:p>
        </w:tc>
        <w:tc>
          <w:tcPr>
            <w:tcW w:w="1276" w:type="dxa"/>
            <w:tcBorders>
              <w:top w:val="nil"/>
              <w:left w:val="nil"/>
              <w:bottom w:val="nil"/>
              <w:right w:val="nil"/>
            </w:tcBorders>
            <w:vAlign w:val="center"/>
          </w:tcPr>
          <w:p w14:paraId="30A7EE38"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56A9D2E"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61CC87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942BC58"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0404A4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6E0BCA"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1C70C3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C2D6FC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626FE0A"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41D0F35" w14:textId="77777777" w:rsidTr="001A24A9">
        <w:trPr>
          <w:jc w:val="center"/>
        </w:trPr>
        <w:tc>
          <w:tcPr>
            <w:tcW w:w="1134" w:type="dxa"/>
            <w:tcBorders>
              <w:top w:val="nil"/>
              <w:left w:val="nil"/>
              <w:bottom w:val="nil"/>
              <w:right w:val="nil"/>
            </w:tcBorders>
            <w:vAlign w:val="center"/>
          </w:tcPr>
          <w:p w14:paraId="6F1F28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2.7.1.</w:t>
            </w:r>
          </w:p>
        </w:tc>
        <w:tc>
          <w:tcPr>
            <w:tcW w:w="1276" w:type="dxa"/>
            <w:tcBorders>
              <w:top w:val="nil"/>
              <w:left w:val="nil"/>
              <w:bottom w:val="nil"/>
              <w:right w:val="nil"/>
            </w:tcBorders>
            <w:vAlign w:val="center"/>
          </w:tcPr>
          <w:p w14:paraId="19659914"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9AE54ED"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FCFEEF"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7CCF3D0"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CB235F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3BCE63C2"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77D5E76F"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41C84FC" w14:textId="77777777" w:rsidR="006F76EB" w:rsidRPr="00834D52" w:rsidRDefault="00F52A36" w:rsidP="00F52A36">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5269489" w14:textId="77777777" w:rsidR="006F76EB" w:rsidRPr="00834D52" w:rsidRDefault="00F52A36"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8641720" w14:textId="77777777" w:rsidTr="001A24A9">
        <w:trPr>
          <w:jc w:val="center"/>
        </w:trPr>
        <w:tc>
          <w:tcPr>
            <w:tcW w:w="1134" w:type="dxa"/>
            <w:tcBorders>
              <w:top w:val="nil"/>
              <w:left w:val="nil"/>
              <w:bottom w:val="nil"/>
              <w:right w:val="nil"/>
            </w:tcBorders>
            <w:vAlign w:val="center"/>
          </w:tcPr>
          <w:p w14:paraId="09DD2A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2.7.2.</w:t>
            </w:r>
          </w:p>
        </w:tc>
        <w:tc>
          <w:tcPr>
            <w:tcW w:w="1276" w:type="dxa"/>
            <w:tcBorders>
              <w:top w:val="nil"/>
              <w:left w:val="nil"/>
              <w:bottom w:val="nil"/>
              <w:right w:val="nil"/>
            </w:tcBorders>
            <w:vAlign w:val="center"/>
          </w:tcPr>
          <w:p w14:paraId="04A1930E"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5932B05"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39E63BBA"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08E3166"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A0A064B"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559" w:type="dxa"/>
            <w:tcBorders>
              <w:top w:val="nil"/>
              <w:left w:val="nil"/>
              <w:bottom w:val="nil"/>
              <w:right w:val="nil"/>
            </w:tcBorders>
            <w:vAlign w:val="center"/>
          </w:tcPr>
          <w:p w14:paraId="6DA06F31"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3ED6A60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BAD5FA5" w14:textId="77777777" w:rsidR="006F76EB" w:rsidRPr="00834D52" w:rsidRDefault="00B65152" w:rsidP="00B6515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53B20BF" w14:textId="77777777" w:rsidR="006F76EB" w:rsidRPr="00834D52" w:rsidRDefault="00B65152"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705641D9" w14:textId="77777777" w:rsidTr="001A24A9">
        <w:trPr>
          <w:jc w:val="center"/>
        </w:trPr>
        <w:tc>
          <w:tcPr>
            <w:tcW w:w="1134" w:type="dxa"/>
            <w:tcBorders>
              <w:top w:val="nil"/>
              <w:left w:val="nil"/>
              <w:bottom w:val="nil"/>
              <w:right w:val="nil"/>
            </w:tcBorders>
            <w:vAlign w:val="center"/>
          </w:tcPr>
          <w:p w14:paraId="12D81B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2.7.3.</w:t>
            </w:r>
          </w:p>
        </w:tc>
        <w:tc>
          <w:tcPr>
            <w:tcW w:w="1276" w:type="dxa"/>
            <w:tcBorders>
              <w:top w:val="nil"/>
              <w:left w:val="nil"/>
              <w:bottom w:val="nil"/>
              <w:right w:val="nil"/>
            </w:tcBorders>
            <w:vAlign w:val="center"/>
          </w:tcPr>
          <w:p w14:paraId="079E987A"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6A4C440E"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0ADBAEB9"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28CA9652"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7EF59A95"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F383B51"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B486F90"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44ECB8AF" w14:textId="77777777" w:rsidR="006F76EB" w:rsidRPr="00834D52" w:rsidRDefault="00B57243" w:rsidP="00B5724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875F574" w14:textId="77777777" w:rsidR="006F76EB" w:rsidRPr="00834D52" w:rsidRDefault="00B57243"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5F4C46B9" w14:textId="77777777" w:rsidTr="001A24A9">
        <w:trPr>
          <w:jc w:val="center"/>
        </w:trPr>
        <w:tc>
          <w:tcPr>
            <w:tcW w:w="1134" w:type="dxa"/>
            <w:tcBorders>
              <w:top w:val="nil"/>
              <w:left w:val="nil"/>
              <w:bottom w:val="nil"/>
              <w:right w:val="nil"/>
            </w:tcBorders>
            <w:vAlign w:val="center"/>
          </w:tcPr>
          <w:p w14:paraId="3829127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2.7.4.</w:t>
            </w:r>
          </w:p>
        </w:tc>
        <w:tc>
          <w:tcPr>
            <w:tcW w:w="1276" w:type="dxa"/>
            <w:tcBorders>
              <w:top w:val="nil"/>
              <w:left w:val="nil"/>
              <w:bottom w:val="nil"/>
              <w:right w:val="nil"/>
            </w:tcBorders>
            <w:vAlign w:val="center"/>
          </w:tcPr>
          <w:p w14:paraId="1AB59FE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4C4C18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4B422D7E"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44D80A7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F178E2B"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35B5CDE8"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A8FF4C"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056BB0F" w14:textId="77777777" w:rsidR="006F76EB" w:rsidRPr="00834D52" w:rsidRDefault="007413FF" w:rsidP="007413F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A530DFB" w14:textId="77777777" w:rsidR="006F76EB" w:rsidRPr="00834D52" w:rsidRDefault="007413FF"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14B0E9C1" w14:textId="77777777" w:rsidTr="001A24A9">
        <w:trPr>
          <w:jc w:val="center"/>
        </w:trPr>
        <w:tc>
          <w:tcPr>
            <w:tcW w:w="1134" w:type="dxa"/>
            <w:tcBorders>
              <w:top w:val="nil"/>
              <w:left w:val="nil"/>
              <w:bottom w:val="nil"/>
              <w:right w:val="nil"/>
            </w:tcBorders>
            <w:vAlign w:val="center"/>
          </w:tcPr>
          <w:p w14:paraId="0C4220D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2.7.5.</w:t>
            </w:r>
          </w:p>
        </w:tc>
        <w:tc>
          <w:tcPr>
            <w:tcW w:w="1276" w:type="dxa"/>
            <w:tcBorders>
              <w:top w:val="nil"/>
              <w:left w:val="nil"/>
              <w:bottom w:val="nil"/>
              <w:right w:val="nil"/>
            </w:tcBorders>
            <w:vAlign w:val="center"/>
          </w:tcPr>
          <w:p w14:paraId="5FF1C43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9009CF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79176D0"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287B1F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C28D72"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4B9240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DA91E86"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C04FB2E"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6250155" w14:textId="77777777" w:rsidR="006F76EB" w:rsidRPr="00834D52" w:rsidRDefault="000F5045" w:rsidP="000F504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4989AD" w14:textId="77777777" w:rsidTr="001A24A9">
        <w:trPr>
          <w:jc w:val="center"/>
        </w:trPr>
        <w:tc>
          <w:tcPr>
            <w:tcW w:w="1134" w:type="dxa"/>
            <w:tcBorders>
              <w:top w:val="nil"/>
              <w:left w:val="nil"/>
              <w:bottom w:val="nil"/>
              <w:right w:val="nil"/>
            </w:tcBorders>
            <w:vAlign w:val="center"/>
          </w:tcPr>
          <w:p w14:paraId="62045CB7"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C65BCE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60C133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84A6BD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A17F3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3F080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C851C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9ABE80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2F15A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0276B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6072481" w14:textId="77777777" w:rsidTr="001A24A9">
        <w:trPr>
          <w:jc w:val="center"/>
        </w:trPr>
        <w:tc>
          <w:tcPr>
            <w:tcW w:w="1134" w:type="dxa"/>
            <w:tcBorders>
              <w:top w:val="nil"/>
              <w:left w:val="nil"/>
              <w:bottom w:val="nil"/>
              <w:right w:val="nil"/>
            </w:tcBorders>
            <w:vAlign w:val="center"/>
          </w:tcPr>
          <w:p w14:paraId="6733AA7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2.7.6.</w:t>
            </w:r>
          </w:p>
        </w:tc>
        <w:tc>
          <w:tcPr>
            <w:tcW w:w="1276" w:type="dxa"/>
            <w:tcBorders>
              <w:top w:val="nil"/>
              <w:left w:val="nil"/>
              <w:bottom w:val="nil"/>
              <w:right w:val="nil"/>
            </w:tcBorders>
            <w:vAlign w:val="center"/>
          </w:tcPr>
          <w:p w14:paraId="44201B9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CFEADE"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418" w:type="dxa"/>
            <w:tcBorders>
              <w:top w:val="nil"/>
              <w:left w:val="nil"/>
              <w:bottom w:val="nil"/>
              <w:right w:val="nil"/>
            </w:tcBorders>
            <w:vAlign w:val="center"/>
          </w:tcPr>
          <w:p w14:paraId="29720D28"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76F8E73"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DB8A03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EE7B1BB"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399A128C"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6C666DD" w14:textId="77777777" w:rsidR="006F76EB" w:rsidRPr="00834D52" w:rsidRDefault="00EC21ED" w:rsidP="00EC21E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4651C9A" w14:textId="77777777" w:rsidR="006F76EB" w:rsidRPr="00834D52" w:rsidRDefault="00EC21ED"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22BD570F" w14:textId="77777777" w:rsidTr="001A24A9">
        <w:trPr>
          <w:jc w:val="center"/>
        </w:trPr>
        <w:tc>
          <w:tcPr>
            <w:tcW w:w="14884" w:type="dxa"/>
            <w:gridSpan w:val="10"/>
            <w:tcBorders>
              <w:top w:val="nil"/>
              <w:left w:val="nil"/>
              <w:bottom w:val="nil"/>
              <w:right w:val="nil"/>
            </w:tcBorders>
            <w:vAlign w:val="center"/>
          </w:tcPr>
          <w:p w14:paraId="2B1013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ՄՈԴՈՒԼ 3. ՈՐԱԿ</w:t>
            </w:r>
          </w:p>
        </w:tc>
      </w:tr>
      <w:tr w:rsidR="006F76EB" w:rsidRPr="00834D52" w14:paraId="63172856" w14:textId="77777777" w:rsidTr="001A24A9">
        <w:trPr>
          <w:jc w:val="center"/>
        </w:trPr>
        <w:tc>
          <w:tcPr>
            <w:tcW w:w="1134" w:type="dxa"/>
            <w:tcBorders>
              <w:top w:val="nil"/>
              <w:left w:val="nil"/>
              <w:bottom w:val="nil"/>
              <w:right w:val="nil"/>
            </w:tcBorders>
            <w:vAlign w:val="center"/>
          </w:tcPr>
          <w:p w14:paraId="54C1918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3.1.</w:t>
            </w:r>
          </w:p>
        </w:tc>
        <w:tc>
          <w:tcPr>
            <w:tcW w:w="1276" w:type="dxa"/>
            <w:tcBorders>
              <w:top w:val="nil"/>
              <w:left w:val="nil"/>
              <w:bottom w:val="nil"/>
              <w:right w:val="nil"/>
            </w:tcBorders>
            <w:vAlign w:val="center"/>
          </w:tcPr>
          <w:p w14:paraId="20F88890"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99BCFB4"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697C32F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CBBE9E5"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008F0E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20F7BCD"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70D612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275514C6"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60AB039" w14:textId="77777777" w:rsidR="006F76EB" w:rsidRPr="00834D52" w:rsidRDefault="003D5D79" w:rsidP="003D5D7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28AC679" w14:textId="77777777" w:rsidTr="001A24A9">
        <w:trPr>
          <w:jc w:val="center"/>
        </w:trPr>
        <w:tc>
          <w:tcPr>
            <w:tcW w:w="1134" w:type="dxa"/>
            <w:tcBorders>
              <w:top w:val="nil"/>
              <w:left w:val="nil"/>
              <w:bottom w:val="nil"/>
              <w:right w:val="nil"/>
            </w:tcBorders>
            <w:vAlign w:val="center"/>
          </w:tcPr>
          <w:p w14:paraId="0A735C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w:t>
            </w:r>
          </w:p>
        </w:tc>
        <w:tc>
          <w:tcPr>
            <w:tcW w:w="1276" w:type="dxa"/>
            <w:tcBorders>
              <w:top w:val="nil"/>
              <w:left w:val="nil"/>
              <w:bottom w:val="nil"/>
              <w:right w:val="nil"/>
            </w:tcBorders>
            <w:vAlign w:val="center"/>
          </w:tcPr>
          <w:p w14:paraId="06BD3F4F"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326AB4"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1A344D4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385D7D0"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B52EC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1D0C842"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19F73C1"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D287C8A"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53EBAA3" w14:textId="77777777" w:rsidR="006F76EB" w:rsidRPr="00834D52" w:rsidRDefault="00777CF2" w:rsidP="00777CF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272E95C5" w14:textId="77777777" w:rsidTr="001A24A9">
        <w:trPr>
          <w:jc w:val="center"/>
        </w:trPr>
        <w:tc>
          <w:tcPr>
            <w:tcW w:w="1134" w:type="dxa"/>
            <w:tcBorders>
              <w:top w:val="nil"/>
              <w:left w:val="nil"/>
              <w:bottom w:val="nil"/>
              <w:right w:val="nil"/>
            </w:tcBorders>
            <w:vAlign w:val="center"/>
          </w:tcPr>
          <w:p w14:paraId="40ECDF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w:t>
            </w:r>
          </w:p>
        </w:tc>
        <w:tc>
          <w:tcPr>
            <w:tcW w:w="1276" w:type="dxa"/>
            <w:tcBorders>
              <w:top w:val="nil"/>
              <w:left w:val="nil"/>
              <w:bottom w:val="nil"/>
              <w:right w:val="nil"/>
            </w:tcBorders>
            <w:vAlign w:val="center"/>
          </w:tcPr>
          <w:p w14:paraId="5A53B9FB"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5912B696"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DF3819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1C05E2B"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0BE97450"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161FC8A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5C60785E"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BF68A9B"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C30620E"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5C0D5DEE" w14:textId="77777777" w:rsidTr="001A24A9">
        <w:trPr>
          <w:jc w:val="center"/>
        </w:trPr>
        <w:tc>
          <w:tcPr>
            <w:tcW w:w="1134" w:type="dxa"/>
            <w:tcBorders>
              <w:top w:val="nil"/>
              <w:left w:val="nil"/>
              <w:bottom w:val="nil"/>
              <w:right w:val="nil"/>
            </w:tcBorders>
            <w:vAlign w:val="center"/>
          </w:tcPr>
          <w:p w14:paraId="4134628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3.2.S.1.</w:t>
            </w:r>
          </w:p>
        </w:tc>
        <w:tc>
          <w:tcPr>
            <w:tcW w:w="1276" w:type="dxa"/>
            <w:tcBorders>
              <w:top w:val="nil"/>
              <w:left w:val="nil"/>
              <w:bottom w:val="nil"/>
              <w:right w:val="nil"/>
            </w:tcBorders>
            <w:vAlign w:val="center"/>
          </w:tcPr>
          <w:p w14:paraId="11B3FB0F"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0B31C28"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24BFCBB"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82B4F60"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090ED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2F894C5"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570499E"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FC51C91"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7E5F5A4" w14:textId="77777777" w:rsidR="006F76EB" w:rsidRPr="00834D52" w:rsidRDefault="002C36BA" w:rsidP="002C36B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9A14F97" w14:textId="77777777" w:rsidTr="001A24A9">
        <w:trPr>
          <w:jc w:val="center"/>
        </w:trPr>
        <w:tc>
          <w:tcPr>
            <w:tcW w:w="1134" w:type="dxa"/>
            <w:tcBorders>
              <w:top w:val="nil"/>
              <w:left w:val="nil"/>
              <w:bottom w:val="nil"/>
              <w:right w:val="nil"/>
            </w:tcBorders>
            <w:vAlign w:val="center"/>
          </w:tcPr>
          <w:p w14:paraId="07D96D0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B373DF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51500F1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75F6BE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BA42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E9B9EB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24A6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1007E2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97B581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BEF62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178DB6D" w14:textId="77777777" w:rsidTr="001A24A9">
        <w:trPr>
          <w:jc w:val="center"/>
        </w:trPr>
        <w:tc>
          <w:tcPr>
            <w:tcW w:w="1134" w:type="dxa"/>
            <w:tcBorders>
              <w:top w:val="nil"/>
              <w:left w:val="nil"/>
              <w:bottom w:val="nil"/>
              <w:right w:val="nil"/>
            </w:tcBorders>
            <w:vAlign w:val="center"/>
          </w:tcPr>
          <w:p w14:paraId="5C771D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3.2.S.2.</w:t>
            </w:r>
          </w:p>
        </w:tc>
        <w:tc>
          <w:tcPr>
            <w:tcW w:w="1276" w:type="dxa"/>
            <w:tcBorders>
              <w:top w:val="nil"/>
              <w:left w:val="nil"/>
              <w:bottom w:val="nil"/>
              <w:right w:val="nil"/>
            </w:tcBorders>
            <w:vAlign w:val="center"/>
          </w:tcPr>
          <w:p w14:paraId="60C5327E"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082EFA99"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D50658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0528F8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A591871"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70B7E3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EF50127"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83A2FD4"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B4998D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68F2CA1" w14:textId="77777777" w:rsidTr="001A24A9">
        <w:trPr>
          <w:jc w:val="center"/>
        </w:trPr>
        <w:tc>
          <w:tcPr>
            <w:tcW w:w="1134" w:type="dxa"/>
            <w:tcBorders>
              <w:top w:val="nil"/>
              <w:left w:val="nil"/>
              <w:bottom w:val="nil"/>
              <w:right w:val="nil"/>
            </w:tcBorders>
            <w:vAlign w:val="center"/>
          </w:tcPr>
          <w:p w14:paraId="3486B95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3.2.S.3.</w:t>
            </w:r>
          </w:p>
        </w:tc>
        <w:tc>
          <w:tcPr>
            <w:tcW w:w="1276" w:type="dxa"/>
            <w:tcBorders>
              <w:top w:val="nil"/>
              <w:left w:val="nil"/>
              <w:bottom w:val="nil"/>
              <w:right w:val="nil"/>
            </w:tcBorders>
            <w:vAlign w:val="center"/>
          </w:tcPr>
          <w:p w14:paraId="2F812928"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0914A24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7A125FF"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C3BA30A"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6EABD22"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66676A0"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63E1B795"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54CB8B3"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B56A89B" w14:textId="77777777" w:rsidR="006F76EB" w:rsidRPr="00834D52" w:rsidRDefault="00CE405F" w:rsidP="00CE405F">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458F862" w14:textId="77777777" w:rsidTr="001A24A9">
        <w:trPr>
          <w:jc w:val="center"/>
        </w:trPr>
        <w:tc>
          <w:tcPr>
            <w:tcW w:w="1134" w:type="dxa"/>
            <w:tcBorders>
              <w:top w:val="nil"/>
              <w:left w:val="nil"/>
              <w:bottom w:val="nil"/>
              <w:right w:val="nil"/>
            </w:tcBorders>
            <w:vAlign w:val="center"/>
          </w:tcPr>
          <w:p w14:paraId="4DB0130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3.2.S.4.</w:t>
            </w:r>
          </w:p>
        </w:tc>
        <w:tc>
          <w:tcPr>
            <w:tcW w:w="1276" w:type="dxa"/>
            <w:tcBorders>
              <w:top w:val="nil"/>
              <w:left w:val="nil"/>
              <w:bottom w:val="nil"/>
              <w:right w:val="nil"/>
            </w:tcBorders>
            <w:vAlign w:val="center"/>
          </w:tcPr>
          <w:p w14:paraId="76D6B4A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25DD64F4"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976A8E7"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3A6B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143EC9F1"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D5D19B"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0D703D8"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3BB5BD3"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BE65EC" w14:textId="77777777" w:rsidR="006F76EB" w:rsidRPr="00834D52" w:rsidRDefault="00D73647" w:rsidP="00D7364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12F3FBE" w14:textId="77777777" w:rsidTr="001A24A9">
        <w:trPr>
          <w:jc w:val="center"/>
        </w:trPr>
        <w:tc>
          <w:tcPr>
            <w:tcW w:w="1134" w:type="dxa"/>
            <w:tcBorders>
              <w:top w:val="nil"/>
              <w:left w:val="nil"/>
              <w:bottom w:val="nil"/>
              <w:right w:val="nil"/>
            </w:tcBorders>
            <w:vAlign w:val="center"/>
          </w:tcPr>
          <w:p w14:paraId="543DA5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3.2.S.5.</w:t>
            </w:r>
          </w:p>
        </w:tc>
        <w:tc>
          <w:tcPr>
            <w:tcW w:w="1276" w:type="dxa"/>
            <w:tcBorders>
              <w:top w:val="nil"/>
              <w:left w:val="nil"/>
              <w:bottom w:val="nil"/>
              <w:right w:val="nil"/>
            </w:tcBorders>
            <w:vAlign w:val="center"/>
          </w:tcPr>
          <w:p w14:paraId="5C0DF638"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EABB942"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3CEED69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1AA5E5B"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FF28F30"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76C253D"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ADD784B" w14:textId="77777777" w:rsidR="006F76EB" w:rsidRPr="00834D52" w:rsidRDefault="00976DFA"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3D5C94A3"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3BEFE51" w14:textId="77777777" w:rsidR="006F76EB" w:rsidRPr="00834D52" w:rsidRDefault="00976DFA" w:rsidP="00976DF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8A436E5" w14:textId="77777777" w:rsidTr="001A24A9">
        <w:trPr>
          <w:jc w:val="center"/>
        </w:trPr>
        <w:tc>
          <w:tcPr>
            <w:tcW w:w="1134" w:type="dxa"/>
            <w:tcBorders>
              <w:top w:val="nil"/>
              <w:left w:val="nil"/>
              <w:bottom w:val="nil"/>
              <w:right w:val="nil"/>
            </w:tcBorders>
            <w:vAlign w:val="center"/>
          </w:tcPr>
          <w:p w14:paraId="3CAD3F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D68207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EB2D24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D3974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04132A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4049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D5E9B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17C520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96486D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0953F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4C58636" w14:textId="77777777" w:rsidTr="001A24A9">
        <w:trPr>
          <w:jc w:val="center"/>
        </w:trPr>
        <w:tc>
          <w:tcPr>
            <w:tcW w:w="1134" w:type="dxa"/>
            <w:tcBorders>
              <w:top w:val="nil"/>
              <w:left w:val="nil"/>
              <w:bottom w:val="nil"/>
              <w:right w:val="nil"/>
            </w:tcBorders>
            <w:vAlign w:val="center"/>
          </w:tcPr>
          <w:p w14:paraId="2EDAE1D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3.2.S.6.</w:t>
            </w:r>
          </w:p>
        </w:tc>
        <w:tc>
          <w:tcPr>
            <w:tcW w:w="1276" w:type="dxa"/>
            <w:tcBorders>
              <w:top w:val="nil"/>
              <w:left w:val="nil"/>
              <w:bottom w:val="nil"/>
              <w:right w:val="nil"/>
            </w:tcBorders>
            <w:vAlign w:val="center"/>
          </w:tcPr>
          <w:p w14:paraId="1E167EC6"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FE0E62">
              <w:rPr>
                <w:rFonts w:ascii="Sylfaen" w:hAnsi="Sylfaen"/>
                <w:sz w:val="24"/>
                <w:szCs w:val="24"/>
              </w:rPr>
              <w:t xml:space="preserve"> </w:t>
            </w:r>
          </w:p>
        </w:tc>
        <w:tc>
          <w:tcPr>
            <w:tcW w:w="1984" w:type="dxa"/>
            <w:tcBorders>
              <w:top w:val="nil"/>
              <w:left w:val="nil"/>
              <w:bottom w:val="nil"/>
              <w:right w:val="nil"/>
            </w:tcBorders>
            <w:vAlign w:val="center"/>
          </w:tcPr>
          <w:p w14:paraId="600A35F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02C51BE0"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ECB1D5D"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327372"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783B427"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2A330E9"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19980E1F"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9628CEE" w14:textId="77777777" w:rsidR="006F76EB" w:rsidRPr="00834D52" w:rsidRDefault="00FE0E62" w:rsidP="00FE0E62">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A81BD77" w14:textId="77777777" w:rsidTr="001A24A9">
        <w:trPr>
          <w:jc w:val="center"/>
        </w:trPr>
        <w:tc>
          <w:tcPr>
            <w:tcW w:w="1134" w:type="dxa"/>
            <w:tcBorders>
              <w:top w:val="nil"/>
              <w:left w:val="nil"/>
              <w:bottom w:val="nil"/>
              <w:right w:val="nil"/>
            </w:tcBorders>
            <w:vAlign w:val="center"/>
          </w:tcPr>
          <w:p w14:paraId="38BABA48"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6E892EE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D8359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448CE98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CE89E3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3097A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DB5B2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E83E6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7536CD6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273AB5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6B45BBC" w14:textId="77777777" w:rsidTr="001A24A9">
        <w:trPr>
          <w:jc w:val="center"/>
        </w:trPr>
        <w:tc>
          <w:tcPr>
            <w:tcW w:w="1134" w:type="dxa"/>
            <w:tcBorders>
              <w:top w:val="nil"/>
              <w:left w:val="nil"/>
              <w:bottom w:val="nil"/>
              <w:right w:val="nil"/>
            </w:tcBorders>
            <w:vAlign w:val="center"/>
          </w:tcPr>
          <w:p w14:paraId="1E4E5E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3.2.S.7.</w:t>
            </w:r>
          </w:p>
        </w:tc>
        <w:tc>
          <w:tcPr>
            <w:tcW w:w="1276" w:type="dxa"/>
            <w:tcBorders>
              <w:top w:val="nil"/>
              <w:left w:val="nil"/>
              <w:bottom w:val="nil"/>
              <w:right w:val="nil"/>
            </w:tcBorders>
            <w:vAlign w:val="center"/>
          </w:tcPr>
          <w:p w14:paraId="3F84117A"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489F51EE"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31704C9"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451F4705"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BF466E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A1C8ED3"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44A00580"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9FFD8F7"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73350EC" w14:textId="77777777" w:rsidR="006F76EB" w:rsidRPr="00834D52" w:rsidRDefault="002D2ED7" w:rsidP="002D2ED7">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3EBC530" w14:textId="77777777" w:rsidTr="001A24A9">
        <w:trPr>
          <w:jc w:val="center"/>
        </w:trPr>
        <w:tc>
          <w:tcPr>
            <w:tcW w:w="1134" w:type="dxa"/>
            <w:tcBorders>
              <w:top w:val="nil"/>
              <w:left w:val="nil"/>
              <w:bottom w:val="nil"/>
              <w:right w:val="nil"/>
            </w:tcBorders>
            <w:vAlign w:val="center"/>
          </w:tcPr>
          <w:p w14:paraId="502FE1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w:t>
            </w:r>
          </w:p>
        </w:tc>
        <w:tc>
          <w:tcPr>
            <w:tcW w:w="1276" w:type="dxa"/>
            <w:tcBorders>
              <w:top w:val="nil"/>
              <w:left w:val="nil"/>
              <w:bottom w:val="nil"/>
              <w:right w:val="nil"/>
            </w:tcBorders>
            <w:vAlign w:val="center"/>
          </w:tcPr>
          <w:p w14:paraId="57E28AE1"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28F6C004"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D3130F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33079EE"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75C25F26"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CC91DC8"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A885E7F"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C9DE3A3"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032B237"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667B00B8" w14:textId="77777777" w:rsidTr="001A24A9">
        <w:trPr>
          <w:jc w:val="center"/>
        </w:trPr>
        <w:tc>
          <w:tcPr>
            <w:tcW w:w="1134" w:type="dxa"/>
            <w:tcBorders>
              <w:top w:val="nil"/>
              <w:left w:val="nil"/>
              <w:bottom w:val="nil"/>
              <w:right w:val="nil"/>
            </w:tcBorders>
            <w:vAlign w:val="center"/>
          </w:tcPr>
          <w:p w14:paraId="36F8C12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3.2.Р.1.</w:t>
            </w:r>
          </w:p>
        </w:tc>
        <w:tc>
          <w:tcPr>
            <w:tcW w:w="1276" w:type="dxa"/>
            <w:tcBorders>
              <w:top w:val="nil"/>
              <w:left w:val="nil"/>
              <w:bottom w:val="nil"/>
              <w:right w:val="nil"/>
            </w:tcBorders>
            <w:vAlign w:val="center"/>
          </w:tcPr>
          <w:p w14:paraId="001661EA"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5B70DB2"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418" w:type="dxa"/>
            <w:tcBorders>
              <w:top w:val="nil"/>
              <w:left w:val="nil"/>
              <w:bottom w:val="nil"/>
              <w:right w:val="nil"/>
            </w:tcBorders>
            <w:vAlign w:val="center"/>
          </w:tcPr>
          <w:p w14:paraId="0A954EA5"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560" w:type="dxa"/>
            <w:tcBorders>
              <w:top w:val="nil"/>
              <w:left w:val="nil"/>
              <w:bottom w:val="nil"/>
              <w:right w:val="nil"/>
            </w:tcBorders>
            <w:vAlign w:val="center"/>
          </w:tcPr>
          <w:p w14:paraId="1CF6BD2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40C23C68"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76943C11"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D153A9"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C833B10"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17D7EED" w14:textId="77777777" w:rsidR="006F76EB" w:rsidRPr="00834D52" w:rsidRDefault="00B80961" w:rsidP="00B8096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5ECA09FF" w14:textId="77777777" w:rsidTr="001A24A9">
        <w:trPr>
          <w:jc w:val="center"/>
        </w:trPr>
        <w:tc>
          <w:tcPr>
            <w:tcW w:w="1134" w:type="dxa"/>
            <w:tcBorders>
              <w:top w:val="nil"/>
              <w:left w:val="nil"/>
              <w:bottom w:val="nil"/>
              <w:right w:val="nil"/>
            </w:tcBorders>
            <w:vAlign w:val="center"/>
          </w:tcPr>
          <w:p w14:paraId="17D77C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3.2.Р.2.</w:t>
            </w:r>
          </w:p>
        </w:tc>
        <w:tc>
          <w:tcPr>
            <w:tcW w:w="1276" w:type="dxa"/>
            <w:tcBorders>
              <w:top w:val="nil"/>
              <w:left w:val="nil"/>
              <w:bottom w:val="nil"/>
              <w:right w:val="nil"/>
            </w:tcBorders>
            <w:vAlign w:val="center"/>
          </w:tcPr>
          <w:p w14:paraId="40D58BB3"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5D2FFC"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2106CE36"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21A42B"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EA3C217" w14:textId="77777777" w:rsidR="006F76EB" w:rsidRPr="00834D52" w:rsidRDefault="00397A04" w:rsidP="00397A0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B59B63C"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701" w:type="dxa"/>
            <w:tcBorders>
              <w:top w:val="nil"/>
              <w:left w:val="nil"/>
              <w:bottom w:val="nil"/>
              <w:right w:val="nil"/>
            </w:tcBorders>
            <w:vAlign w:val="center"/>
          </w:tcPr>
          <w:p w14:paraId="1BB0F9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6F5BF96B"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c>
          <w:tcPr>
            <w:tcW w:w="1560" w:type="dxa"/>
            <w:tcBorders>
              <w:top w:val="nil"/>
              <w:left w:val="nil"/>
              <w:bottom w:val="nil"/>
              <w:right w:val="nil"/>
            </w:tcBorders>
            <w:vAlign w:val="center"/>
          </w:tcPr>
          <w:p w14:paraId="367C6F63" w14:textId="77777777" w:rsidR="006F76EB" w:rsidRPr="00834D52" w:rsidRDefault="00397A04" w:rsidP="00F71229">
            <w:pPr>
              <w:spacing w:after="120" w:line="240" w:lineRule="auto"/>
              <w:ind w:right="-8"/>
              <w:jc w:val="center"/>
              <w:rPr>
                <w:rFonts w:ascii="Sylfaen" w:hAnsi="Sylfaen"/>
                <w:sz w:val="24"/>
                <w:szCs w:val="24"/>
              </w:rPr>
            </w:pPr>
            <w:r>
              <w:rPr>
                <w:rFonts w:ascii="Sylfaen" w:hAnsi="Sylfaen"/>
                <w:sz w:val="24"/>
                <w:szCs w:val="24"/>
              </w:rPr>
              <w:t>-</w:t>
            </w:r>
          </w:p>
        </w:tc>
      </w:tr>
      <w:tr w:rsidR="006F76EB" w:rsidRPr="00834D52" w14:paraId="6E7A4004" w14:textId="77777777" w:rsidTr="001A24A9">
        <w:trPr>
          <w:jc w:val="center"/>
        </w:trPr>
        <w:tc>
          <w:tcPr>
            <w:tcW w:w="1134" w:type="dxa"/>
            <w:tcBorders>
              <w:top w:val="nil"/>
              <w:left w:val="nil"/>
              <w:bottom w:val="nil"/>
              <w:right w:val="nil"/>
            </w:tcBorders>
            <w:vAlign w:val="center"/>
          </w:tcPr>
          <w:p w14:paraId="07EE5E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3.2.Р.3.</w:t>
            </w:r>
          </w:p>
        </w:tc>
        <w:tc>
          <w:tcPr>
            <w:tcW w:w="1276" w:type="dxa"/>
            <w:tcBorders>
              <w:top w:val="nil"/>
              <w:left w:val="nil"/>
              <w:bottom w:val="nil"/>
              <w:right w:val="nil"/>
            </w:tcBorders>
            <w:vAlign w:val="center"/>
          </w:tcPr>
          <w:p w14:paraId="5E9C8C1E"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6B84D1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723E4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54CCECBC"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54A2BD31"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0240D2ED"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BE88493"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7232B0E7"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DB972EA" w14:textId="77777777" w:rsidR="006F76EB" w:rsidRPr="00834D52" w:rsidRDefault="00AC781D" w:rsidP="00AC781D">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26DD384" w14:textId="77777777" w:rsidTr="001A24A9">
        <w:trPr>
          <w:jc w:val="center"/>
        </w:trPr>
        <w:tc>
          <w:tcPr>
            <w:tcW w:w="1134" w:type="dxa"/>
            <w:tcBorders>
              <w:top w:val="nil"/>
              <w:left w:val="nil"/>
              <w:bottom w:val="nil"/>
              <w:right w:val="nil"/>
            </w:tcBorders>
            <w:vAlign w:val="center"/>
          </w:tcPr>
          <w:p w14:paraId="62F6BE7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3.2.Р.4.</w:t>
            </w:r>
          </w:p>
        </w:tc>
        <w:tc>
          <w:tcPr>
            <w:tcW w:w="1276" w:type="dxa"/>
            <w:tcBorders>
              <w:top w:val="nil"/>
              <w:left w:val="nil"/>
              <w:bottom w:val="nil"/>
              <w:right w:val="nil"/>
            </w:tcBorders>
            <w:vAlign w:val="center"/>
          </w:tcPr>
          <w:p w14:paraId="2EF562A6"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16D6537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Pr="00834D52" w:rsidDel="00210BBE">
              <w:rPr>
                <w:rFonts w:ascii="Sylfaen" w:hAnsi="Sylfaen"/>
                <w:sz w:val="24"/>
                <w:szCs w:val="24"/>
              </w:rPr>
              <w:t xml:space="preserve"> </w:t>
            </w:r>
          </w:p>
        </w:tc>
        <w:tc>
          <w:tcPr>
            <w:tcW w:w="1418" w:type="dxa"/>
            <w:tcBorders>
              <w:top w:val="nil"/>
              <w:left w:val="nil"/>
              <w:bottom w:val="nil"/>
              <w:right w:val="nil"/>
            </w:tcBorders>
            <w:vAlign w:val="center"/>
          </w:tcPr>
          <w:p w14:paraId="374D024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205D35E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2E9F680"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54A25195"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220AD19"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6A9D8E77"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396F6B22" w14:textId="77777777" w:rsidR="006F76EB" w:rsidRPr="00834D52" w:rsidRDefault="00210BBE" w:rsidP="00210BBE">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1623919" w14:textId="77777777" w:rsidTr="001A24A9">
        <w:trPr>
          <w:jc w:val="center"/>
        </w:trPr>
        <w:tc>
          <w:tcPr>
            <w:tcW w:w="1134" w:type="dxa"/>
            <w:tcBorders>
              <w:top w:val="nil"/>
              <w:left w:val="nil"/>
              <w:bottom w:val="nil"/>
              <w:right w:val="nil"/>
            </w:tcBorders>
            <w:vAlign w:val="center"/>
          </w:tcPr>
          <w:p w14:paraId="4A5832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3.2.Р.5.</w:t>
            </w:r>
          </w:p>
        </w:tc>
        <w:tc>
          <w:tcPr>
            <w:tcW w:w="1276" w:type="dxa"/>
            <w:tcBorders>
              <w:top w:val="nil"/>
              <w:left w:val="nil"/>
              <w:bottom w:val="nil"/>
              <w:right w:val="nil"/>
            </w:tcBorders>
            <w:vAlign w:val="center"/>
          </w:tcPr>
          <w:p w14:paraId="3494CBF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p>
        </w:tc>
        <w:tc>
          <w:tcPr>
            <w:tcW w:w="1984" w:type="dxa"/>
            <w:tcBorders>
              <w:top w:val="nil"/>
              <w:left w:val="nil"/>
              <w:bottom w:val="nil"/>
              <w:right w:val="nil"/>
            </w:tcBorders>
            <w:vAlign w:val="center"/>
          </w:tcPr>
          <w:p w14:paraId="4B6166D8"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72B35B6F"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5C7B1E6"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900B91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BC8AC52"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0C87BC41"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4E4DC3D5"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85EA164" w14:textId="77777777" w:rsidR="006F76EB" w:rsidRPr="00834D52" w:rsidRDefault="00212723" w:rsidP="00212723">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0C365EC3" w14:textId="77777777" w:rsidTr="001A24A9">
        <w:trPr>
          <w:jc w:val="center"/>
        </w:trPr>
        <w:tc>
          <w:tcPr>
            <w:tcW w:w="1134" w:type="dxa"/>
            <w:tcBorders>
              <w:top w:val="nil"/>
              <w:left w:val="nil"/>
              <w:bottom w:val="nil"/>
              <w:right w:val="nil"/>
            </w:tcBorders>
            <w:vAlign w:val="center"/>
          </w:tcPr>
          <w:p w14:paraId="303517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3.2.Р.6.</w:t>
            </w:r>
          </w:p>
        </w:tc>
        <w:tc>
          <w:tcPr>
            <w:tcW w:w="1276" w:type="dxa"/>
            <w:tcBorders>
              <w:top w:val="nil"/>
              <w:left w:val="nil"/>
              <w:bottom w:val="nil"/>
              <w:right w:val="nil"/>
            </w:tcBorders>
            <w:vAlign w:val="center"/>
          </w:tcPr>
          <w:p w14:paraId="7FCBA6AF"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42C67861"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304F994"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0E78287"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C872DC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8F37EEF"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30598E1D"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6ADA89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7F2A1361" w14:textId="77777777" w:rsidR="006F76EB" w:rsidRPr="00834D52" w:rsidRDefault="006F76EB" w:rsidP="00F71229">
            <w:pPr>
              <w:spacing w:after="120" w:line="240" w:lineRule="auto"/>
              <w:ind w:right="-8"/>
              <w:jc w:val="center"/>
              <w:rPr>
                <w:rFonts w:ascii="Sylfaen" w:hAnsi="Sylfaen"/>
                <w:sz w:val="24"/>
                <w:szCs w:val="24"/>
              </w:rPr>
            </w:pPr>
          </w:p>
        </w:tc>
      </w:tr>
      <w:tr w:rsidR="006F76EB" w:rsidRPr="00834D52" w14:paraId="262DC8D1" w14:textId="77777777" w:rsidTr="001A24A9">
        <w:trPr>
          <w:jc w:val="center"/>
        </w:trPr>
        <w:tc>
          <w:tcPr>
            <w:tcW w:w="1134" w:type="dxa"/>
            <w:tcBorders>
              <w:top w:val="nil"/>
              <w:left w:val="nil"/>
              <w:bottom w:val="nil"/>
              <w:right w:val="nil"/>
            </w:tcBorders>
            <w:vAlign w:val="center"/>
          </w:tcPr>
          <w:p w14:paraId="1CDE0F5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3.2.Р.7.</w:t>
            </w:r>
          </w:p>
        </w:tc>
        <w:tc>
          <w:tcPr>
            <w:tcW w:w="1276" w:type="dxa"/>
            <w:tcBorders>
              <w:top w:val="nil"/>
              <w:left w:val="nil"/>
              <w:bottom w:val="nil"/>
              <w:right w:val="nil"/>
            </w:tcBorders>
            <w:vAlign w:val="center"/>
          </w:tcPr>
          <w:p w14:paraId="0DFE8446"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78252FD8"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5A957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C7E3312"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6079F1BC"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413B9BFA"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6DBA821"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53CDB974"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6506B37" w14:textId="77777777" w:rsidR="006F76EB" w:rsidRPr="00834D52" w:rsidRDefault="003A6784" w:rsidP="003A6784">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3682BC30" w14:textId="77777777" w:rsidTr="001A24A9">
        <w:trPr>
          <w:jc w:val="center"/>
        </w:trPr>
        <w:tc>
          <w:tcPr>
            <w:tcW w:w="1134" w:type="dxa"/>
            <w:tcBorders>
              <w:top w:val="nil"/>
              <w:left w:val="nil"/>
              <w:bottom w:val="nil"/>
              <w:right w:val="nil"/>
            </w:tcBorders>
            <w:vAlign w:val="center"/>
          </w:tcPr>
          <w:p w14:paraId="457DB7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3.2.Р.8.</w:t>
            </w:r>
          </w:p>
        </w:tc>
        <w:tc>
          <w:tcPr>
            <w:tcW w:w="1276" w:type="dxa"/>
            <w:tcBorders>
              <w:top w:val="nil"/>
              <w:left w:val="nil"/>
              <w:bottom w:val="nil"/>
              <w:right w:val="nil"/>
            </w:tcBorders>
            <w:vAlign w:val="center"/>
          </w:tcPr>
          <w:p w14:paraId="02F068E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5BF4C134"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7A4C195"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6A34BDD"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21A25C3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6CB87847"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7BEB34E0"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275" w:type="dxa"/>
            <w:tcBorders>
              <w:top w:val="nil"/>
              <w:left w:val="nil"/>
              <w:bottom w:val="nil"/>
              <w:right w:val="nil"/>
            </w:tcBorders>
            <w:vAlign w:val="center"/>
          </w:tcPr>
          <w:p w14:paraId="09586399"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EF19F8E" w14:textId="77777777" w:rsidR="006F76EB" w:rsidRPr="00834D52" w:rsidRDefault="00B03D1A" w:rsidP="00B03D1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7F9BA26" w14:textId="77777777" w:rsidTr="001A24A9">
        <w:trPr>
          <w:jc w:val="center"/>
        </w:trPr>
        <w:tc>
          <w:tcPr>
            <w:tcW w:w="1134" w:type="dxa"/>
            <w:tcBorders>
              <w:top w:val="nil"/>
              <w:left w:val="nil"/>
              <w:bottom w:val="nil"/>
              <w:right w:val="nil"/>
            </w:tcBorders>
            <w:vAlign w:val="center"/>
          </w:tcPr>
          <w:p w14:paraId="507A60B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w:t>
            </w:r>
          </w:p>
        </w:tc>
        <w:tc>
          <w:tcPr>
            <w:tcW w:w="1276" w:type="dxa"/>
            <w:tcBorders>
              <w:top w:val="nil"/>
              <w:left w:val="nil"/>
              <w:bottom w:val="nil"/>
              <w:right w:val="nil"/>
            </w:tcBorders>
            <w:vAlign w:val="center"/>
          </w:tcPr>
          <w:p w14:paraId="01DD402D"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1FF39CD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5FD4E189"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04DD382A"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5C04C3F"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2D39CE1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1DA389CB" w14:textId="77777777" w:rsidR="006F76EB" w:rsidRPr="00834D52" w:rsidRDefault="00FF289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5E9F0E3"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1ACAFA87" w14:textId="77777777" w:rsidR="006F76EB" w:rsidRPr="00834D52" w:rsidRDefault="00FF2891" w:rsidP="00FF289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7686E9A6" w14:textId="77777777" w:rsidTr="001A24A9">
        <w:trPr>
          <w:jc w:val="center"/>
        </w:trPr>
        <w:tc>
          <w:tcPr>
            <w:tcW w:w="1134" w:type="dxa"/>
            <w:tcBorders>
              <w:top w:val="nil"/>
              <w:left w:val="nil"/>
              <w:bottom w:val="nil"/>
              <w:right w:val="nil"/>
            </w:tcBorders>
            <w:vAlign w:val="center"/>
          </w:tcPr>
          <w:p w14:paraId="42672AF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AE8BDA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DC124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AE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B2F5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78EF7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87DBD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A09635B"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5355FE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BAC92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5C83DEB" w14:textId="77777777" w:rsidTr="001A24A9">
        <w:trPr>
          <w:jc w:val="center"/>
        </w:trPr>
        <w:tc>
          <w:tcPr>
            <w:tcW w:w="1134" w:type="dxa"/>
            <w:tcBorders>
              <w:top w:val="nil"/>
              <w:left w:val="nil"/>
              <w:bottom w:val="nil"/>
              <w:right w:val="nil"/>
            </w:tcBorders>
            <w:vAlign w:val="center"/>
          </w:tcPr>
          <w:p w14:paraId="30BE88F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3.2.А.1.</w:t>
            </w:r>
          </w:p>
        </w:tc>
        <w:tc>
          <w:tcPr>
            <w:tcW w:w="1276" w:type="dxa"/>
            <w:tcBorders>
              <w:top w:val="nil"/>
              <w:left w:val="nil"/>
              <w:bottom w:val="nil"/>
              <w:right w:val="nil"/>
            </w:tcBorders>
            <w:vAlign w:val="center"/>
          </w:tcPr>
          <w:p w14:paraId="1898D807"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984" w:type="dxa"/>
            <w:tcBorders>
              <w:top w:val="nil"/>
              <w:left w:val="nil"/>
              <w:bottom w:val="nil"/>
              <w:right w:val="nil"/>
            </w:tcBorders>
            <w:vAlign w:val="center"/>
          </w:tcPr>
          <w:p w14:paraId="3AA440C9"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8" w:type="dxa"/>
            <w:tcBorders>
              <w:top w:val="nil"/>
              <w:left w:val="nil"/>
              <w:bottom w:val="nil"/>
              <w:right w:val="nil"/>
            </w:tcBorders>
            <w:vAlign w:val="center"/>
          </w:tcPr>
          <w:p w14:paraId="4A563A5B"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69099F0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417" w:type="dxa"/>
            <w:tcBorders>
              <w:top w:val="nil"/>
              <w:left w:val="nil"/>
              <w:bottom w:val="nil"/>
              <w:right w:val="nil"/>
            </w:tcBorders>
            <w:vAlign w:val="center"/>
          </w:tcPr>
          <w:p w14:paraId="3125E36C"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59" w:type="dxa"/>
            <w:tcBorders>
              <w:top w:val="nil"/>
              <w:left w:val="nil"/>
              <w:bottom w:val="nil"/>
              <w:right w:val="nil"/>
            </w:tcBorders>
            <w:vAlign w:val="center"/>
          </w:tcPr>
          <w:p w14:paraId="15927BF5"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701" w:type="dxa"/>
            <w:tcBorders>
              <w:top w:val="nil"/>
              <w:left w:val="nil"/>
              <w:bottom w:val="nil"/>
              <w:right w:val="nil"/>
            </w:tcBorders>
            <w:vAlign w:val="center"/>
          </w:tcPr>
          <w:p w14:paraId="2FAA11B0" w14:textId="77777777" w:rsidR="006F76EB" w:rsidRPr="00834D52" w:rsidRDefault="003820D1" w:rsidP="00F71229">
            <w:pPr>
              <w:spacing w:after="120" w:line="240" w:lineRule="auto"/>
              <w:ind w:right="-8"/>
              <w:jc w:val="center"/>
              <w:rPr>
                <w:rFonts w:ascii="Sylfaen" w:hAnsi="Sylfaen"/>
                <w:sz w:val="24"/>
                <w:szCs w:val="24"/>
              </w:rPr>
            </w:pPr>
            <w:r>
              <w:rPr>
                <w:rFonts w:ascii="Sylfaen" w:hAnsi="Sylfaen"/>
                <w:sz w:val="24"/>
                <w:szCs w:val="24"/>
              </w:rPr>
              <w:t>-</w:t>
            </w:r>
          </w:p>
        </w:tc>
        <w:tc>
          <w:tcPr>
            <w:tcW w:w="1275" w:type="dxa"/>
            <w:tcBorders>
              <w:top w:val="nil"/>
              <w:left w:val="nil"/>
              <w:bottom w:val="nil"/>
              <w:right w:val="nil"/>
            </w:tcBorders>
            <w:vAlign w:val="center"/>
          </w:tcPr>
          <w:p w14:paraId="2A7562CF"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c>
          <w:tcPr>
            <w:tcW w:w="1560" w:type="dxa"/>
            <w:tcBorders>
              <w:top w:val="nil"/>
              <w:left w:val="nil"/>
              <w:bottom w:val="nil"/>
              <w:right w:val="nil"/>
            </w:tcBorders>
            <w:vAlign w:val="center"/>
          </w:tcPr>
          <w:p w14:paraId="745C58D1" w14:textId="77777777" w:rsidR="006F76EB" w:rsidRPr="00834D52" w:rsidRDefault="003820D1" w:rsidP="003820D1">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 xml:space="preserve">+ </w:t>
            </w:r>
          </w:p>
        </w:tc>
      </w:tr>
      <w:tr w:rsidR="006F76EB" w:rsidRPr="00834D52" w14:paraId="132E82D3" w14:textId="77777777" w:rsidTr="001A24A9">
        <w:trPr>
          <w:trHeight w:val="553"/>
          <w:jc w:val="center"/>
        </w:trPr>
        <w:tc>
          <w:tcPr>
            <w:tcW w:w="1134" w:type="dxa"/>
            <w:tcBorders>
              <w:top w:val="nil"/>
              <w:left w:val="nil"/>
              <w:bottom w:val="nil"/>
              <w:right w:val="nil"/>
            </w:tcBorders>
            <w:vAlign w:val="center"/>
          </w:tcPr>
          <w:p w14:paraId="3DFC1A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B9AB19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89C65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32E2F97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88A37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98BBC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00C356A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0DFEA3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928CD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53CE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A8FFCE9" w14:textId="77777777" w:rsidTr="001A24A9">
        <w:trPr>
          <w:jc w:val="center"/>
        </w:trPr>
        <w:tc>
          <w:tcPr>
            <w:tcW w:w="1134" w:type="dxa"/>
            <w:tcBorders>
              <w:top w:val="nil"/>
              <w:left w:val="nil"/>
              <w:bottom w:val="nil"/>
              <w:right w:val="nil"/>
            </w:tcBorders>
            <w:vAlign w:val="center"/>
          </w:tcPr>
          <w:p w14:paraId="7A5D969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3.2.А.2.</w:t>
            </w:r>
          </w:p>
        </w:tc>
        <w:tc>
          <w:tcPr>
            <w:tcW w:w="1276" w:type="dxa"/>
            <w:tcBorders>
              <w:top w:val="nil"/>
              <w:left w:val="nil"/>
              <w:bottom w:val="nil"/>
              <w:right w:val="nil"/>
            </w:tcBorders>
            <w:vAlign w:val="center"/>
          </w:tcPr>
          <w:p w14:paraId="73680D8D" w14:textId="77777777" w:rsidR="006F76EB" w:rsidRPr="00F26B87" w:rsidRDefault="00F26B87" w:rsidP="00F71229">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79DCD8A0"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286F5C73"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533A7806" w14:textId="77777777" w:rsidR="006F76EB" w:rsidRPr="00834D52" w:rsidRDefault="00F26B87"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51B6CA1" w14:textId="77777777" w:rsidR="006F76EB" w:rsidRPr="00834D52" w:rsidRDefault="00CB05D5" w:rsidP="00CB05D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82305ED" w14:textId="77777777" w:rsidR="006F76EB" w:rsidRPr="00834D52" w:rsidRDefault="006F76EB" w:rsidP="00CB05D5">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CB05D5">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42A719BB" w14:textId="77777777" w:rsidR="006F76EB" w:rsidRPr="00CB05D5" w:rsidRDefault="00CB05D5"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1F930376"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65F88840" w14:textId="77777777" w:rsidR="006F76EB" w:rsidRPr="00834D52" w:rsidRDefault="00C72BDE"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r>
      <w:tr w:rsidR="006F76EB" w:rsidRPr="00834D52" w14:paraId="75F4CAE9" w14:textId="77777777" w:rsidTr="001A24A9">
        <w:trPr>
          <w:jc w:val="center"/>
        </w:trPr>
        <w:tc>
          <w:tcPr>
            <w:tcW w:w="1134" w:type="dxa"/>
            <w:tcBorders>
              <w:top w:val="nil"/>
              <w:left w:val="nil"/>
              <w:bottom w:val="nil"/>
              <w:right w:val="nil"/>
            </w:tcBorders>
            <w:vAlign w:val="center"/>
          </w:tcPr>
          <w:p w14:paraId="50E61B3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3.2.А.3.</w:t>
            </w:r>
          </w:p>
        </w:tc>
        <w:tc>
          <w:tcPr>
            <w:tcW w:w="1276" w:type="dxa"/>
            <w:tcBorders>
              <w:top w:val="nil"/>
              <w:left w:val="nil"/>
              <w:bottom w:val="nil"/>
              <w:right w:val="nil"/>
            </w:tcBorders>
            <w:vAlign w:val="center"/>
          </w:tcPr>
          <w:p w14:paraId="26AEB2AC"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170931F9"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56CEEDDB" w14:textId="77777777" w:rsidR="006F76EB" w:rsidRPr="009F62EE" w:rsidRDefault="009F62EE" w:rsidP="009F62EE">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5B87C093" w14:textId="77777777" w:rsidR="006F76EB" w:rsidRPr="00834D52" w:rsidRDefault="009F62EE" w:rsidP="009F62E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01F3B554" w14:textId="77777777" w:rsidR="006F76EB" w:rsidRPr="00834D52" w:rsidRDefault="009F62E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D7FF688" w14:textId="77777777" w:rsidR="006F76EB" w:rsidRPr="00834D52" w:rsidRDefault="00F9343A"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3121C741" w14:textId="77777777" w:rsidR="006F76EB" w:rsidRPr="00F9343A" w:rsidRDefault="00F9343A"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7E5DF27"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c>
          <w:tcPr>
            <w:tcW w:w="1560" w:type="dxa"/>
            <w:tcBorders>
              <w:top w:val="nil"/>
              <w:left w:val="nil"/>
              <w:bottom w:val="nil"/>
              <w:right w:val="nil"/>
            </w:tcBorders>
            <w:vAlign w:val="center"/>
          </w:tcPr>
          <w:p w14:paraId="48AED381" w14:textId="77777777" w:rsidR="006F76EB" w:rsidRPr="00834D52" w:rsidRDefault="006F76EB" w:rsidP="00F9343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F9343A">
              <w:rPr>
                <w:rFonts w:ascii="Sylfaen" w:hAnsi="Sylfaen"/>
                <w:sz w:val="24"/>
                <w:szCs w:val="24"/>
                <w:lang w:val="ru-RU"/>
              </w:rPr>
              <w:t>+</w:t>
            </w:r>
            <w:r w:rsidRPr="00834D52">
              <w:rPr>
                <w:rFonts w:ascii="Sylfaen" w:hAnsi="Sylfaen"/>
                <w:sz w:val="24"/>
                <w:szCs w:val="24"/>
              </w:rPr>
              <w:t>)</w:t>
            </w:r>
          </w:p>
        </w:tc>
      </w:tr>
      <w:tr w:rsidR="006F76EB" w:rsidRPr="00834D52" w14:paraId="377EF3EA" w14:textId="77777777" w:rsidTr="001A24A9">
        <w:trPr>
          <w:jc w:val="center"/>
        </w:trPr>
        <w:tc>
          <w:tcPr>
            <w:tcW w:w="1134" w:type="dxa"/>
            <w:tcBorders>
              <w:top w:val="nil"/>
              <w:left w:val="nil"/>
              <w:bottom w:val="nil"/>
              <w:right w:val="nil"/>
            </w:tcBorders>
            <w:vAlign w:val="center"/>
          </w:tcPr>
          <w:p w14:paraId="4B193EA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3.2.R.</w:t>
            </w:r>
          </w:p>
        </w:tc>
        <w:tc>
          <w:tcPr>
            <w:tcW w:w="1276" w:type="dxa"/>
            <w:tcBorders>
              <w:top w:val="nil"/>
              <w:left w:val="nil"/>
              <w:bottom w:val="nil"/>
              <w:right w:val="nil"/>
            </w:tcBorders>
            <w:vAlign w:val="center"/>
          </w:tcPr>
          <w:p w14:paraId="2286AB1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35EAAA9"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1C5E14D"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F60FA87"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6677BF52"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1AF39910" w14:textId="77777777" w:rsidR="006F76EB" w:rsidRPr="00834D52" w:rsidRDefault="006F76EB" w:rsidP="00A467DA">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w:t>
            </w:r>
            <w:r w:rsidR="00A467DA">
              <w:rPr>
                <w:rFonts w:ascii="Sylfaen" w:hAnsi="Sylfaen"/>
                <w:sz w:val="24"/>
                <w:szCs w:val="24"/>
                <w:lang w:val="ru-RU"/>
              </w:rPr>
              <w:t>+</w:t>
            </w:r>
            <w:r w:rsidRPr="00834D52">
              <w:rPr>
                <w:rFonts w:ascii="Sylfaen" w:hAnsi="Sylfaen"/>
                <w:sz w:val="24"/>
                <w:szCs w:val="24"/>
              </w:rPr>
              <w:t>)</w:t>
            </w:r>
          </w:p>
        </w:tc>
        <w:tc>
          <w:tcPr>
            <w:tcW w:w="1701" w:type="dxa"/>
            <w:tcBorders>
              <w:top w:val="nil"/>
              <w:left w:val="nil"/>
              <w:bottom w:val="nil"/>
              <w:right w:val="nil"/>
            </w:tcBorders>
            <w:vAlign w:val="center"/>
          </w:tcPr>
          <w:p w14:paraId="0E43C059" w14:textId="77777777" w:rsidR="006F76EB" w:rsidRPr="004E2474" w:rsidRDefault="004E247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836DF63"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C24B6A0" w14:textId="77777777" w:rsidR="006F76EB" w:rsidRPr="00834D52" w:rsidRDefault="004E2474"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r>
      <w:tr w:rsidR="006F76EB" w:rsidRPr="00834D52" w14:paraId="13001354" w14:textId="77777777" w:rsidTr="001A24A9">
        <w:trPr>
          <w:jc w:val="center"/>
        </w:trPr>
        <w:tc>
          <w:tcPr>
            <w:tcW w:w="1134" w:type="dxa"/>
            <w:tcBorders>
              <w:top w:val="nil"/>
              <w:left w:val="nil"/>
              <w:bottom w:val="nil"/>
              <w:right w:val="nil"/>
            </w:tcBorders>
            <w:vAlign w:val="center"/>
          </w:tcPr>
          <w:p w14:paraId="1C601F0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E93A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10612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10819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ED8265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542BD4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C63398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75A3FFB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F95BE0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1EA74B4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27AFA0B7" w14:textId="77777777" w:rsidTr="001A24A9">
        <w:trPr>
          <w:trHeight w:val="747"/>
          <w:jc w:val="center"/>
        </w:trPr>
        <w:tc>
          <w:tcPr>
            <w:tcW w:w="1134" w:type="dxa"/>
            <w:tcBorders>
              <w:top w:val="nil"/>
              <w:left w:val="nil"/>
              <w:bottom w:val="nil"/>
              <w:right w:val="nil"/>
            </w:tcBorders>
            <w:vAlign w:val="center"/>
          </w:tcPr>
          <w:p w14:paraId="04F22E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3.3.</w:t>
            </w:r>
          </w:p>
        </w:tc>
        <w:tc>
          <w:tcPr>
            <w:tcW w:w="1276" w:type="dxa"/>
            <w:tcBorders>
              <w:top w:val="nil"/>
              <w:left w:val="nil"/>
              <w:bottom w:val="nil"/>
              <w:right w:val="nil"/>
            </w:tcBorders>
            <w:vAlign w:val="center"/>
          </w:tcPr>
          <w:p w14:paraId="59FDD591" w14:textId="77777777" w:rsidR="006F76EB" w:rsidRPr="00834D52" w:rsidRDefault="006A55CE" w:rsidP="00F7122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F6F55D"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122FDAE3"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50ECF1BB"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D0286C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54F92CB9"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635AA64"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275" w:type="dxa"/>
            <w:tcBorders>
              <w:top w:val="nil"/>
              <w:left w:val="nil"/>
              <w:bottom w:val="nil"/>
              <w:right w:val="nil"/>
            </w:tcBorders>
            <w:vAlign w:val="center"/>
          </w:tcPr>
          <w:p w14:paraId="03D6C1D5"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60D6B376" w14:textId="77777777" w:rsidR="006F76EB" w:rsidRPr="00834D52" w:rsidRDefault="006A55CE" w:rsidP="006A55C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r>
      <w:tr w:rsidR="006F76EB" w:rsidRPr="00834D52" w14:paraId="2CDBA065" w14:textId="77777777" w:rsidTr="001A24A9">
        <w:trPr>
          <w:jc w:val="center"/>
        </w:trPr>
        <w:tc>
          <w:tcPr>
            <w:tcW w:w="1134" w:type="dxa"/>
            <w:tcBorders>
              <w:top w:val="nil"/>
              <w:left w:val="nil"/>
              <w:bottom w:val="nil"/>
              <w:right w:val="nil"/>
            </w:tcBorders>
            <w:vAlign w:val="center"/>
          </w:tcPr>
          <w:p w14:paraId="17B5671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253FE82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FBA90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3396D3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D203F5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92A83F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1627C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0001A1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9847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0D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64201BD" w14:textId="77777777" w:rsidTr="001A24A9">
        <w:trPr>
          <w:jc w:val="center"/>
        </w:trPr>
        <w:tc>
          <w:tcPr>
            <w:tcW w:w="14884" w:type="dxa"/>
            <w:gridSpan w:val="10"/>
            <w:tcBorders>
              <w:top w:val="nil"/>
              <w:left w:val="nil"/>
              <w:bottom w:val="nil"/>
              <w:right w:val="nil"/>
            </w:tcBorders>
            <w:vAlign w:val="center"/>
          </w:tcPr>
          <w:p w14:paraId="00A50874"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4. ՆԱԽԱԿԼԻՆԻԿԱԿԱՆ (ՈՉ ԿԼԻՆԻԿԱԿԱՆ) ՀԵՏԱԶՈՏՈՒԹՅՈՒՆՆԵՐԻ ՎԵՐԱԲԵՐՅԱԼ ՀԱՇՎԵՏՎՈՒԹՅՈՒՆՆԵՐԸ</w:t>
            </w:r>
          </w:p>
        </w:tc>
      </w:tr>
      <w:tr w:rsidR="006F76EB" w:rsidRPr="00834D52" w14:paraId="6AD6821D" w14:textId="77777777" w:rsidTr="001A24A9">
        <w:trPr>
          <w:jc w:val="center"/>
        </w:trPr>
        <w:tc>
          <w:tcPr>
            <w:tcW w:w="1134" w:type="dxa"/>
            <w:tcBorders>
              <w:top w:val="nil"/>
              <w:left w:val="nil"/>
              <w:bottom w:val="nil"/>
              <w:right w:val="nil"/>
            </w:tcBorders>
            <w:vAlign w:val="center"/>
          </w:tcPr>
          <w:p w14:paraId="3D4980F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4.1.</w:t>
            </w:r>
          </w:p>
        </w:tc>
        <w:tc>
          <w:tcPr>
            <w:tcW w:w="1276" w:type="dxa"/>
            <w:tcBorders>
              <w:top w:val="nil"/>
              <w:left w:val="nil"/>
              <w:bottom w:val="nil"/>
              <w:right w:val="nil"/>
            </w:tcBorders>
            <w:vAlign w:val="center"/>
          </w:tcPr>
          <w:p w14:paraId="47E51F61"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984" w:type="dxa"/>
            <w:tcBorders>
              <w:top w:val="nil"/>
              <w:left w:val="nil"/>
              <w:bottom w:val="nil"/>
              <w:right w:val="nil"/>
            </w:tcBorders>
            <w:vAlign w:val="center"/>
          </w:tcPr>
          <w:p w14:paraId="3BF1A70D"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0A27D42"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4AC1728"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49012CA0"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D19E0D3" w14:textId="77777777" w:rsidR="006F76EB" w:rsidRPr="00834D52" w:rsidRDefault="00DB7012" w:rsidP="00DB70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74D2CB4D"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55CE4235" w14:textId="77777777" w:rsidR="006F76EB" w:rsidRPr="00DB7012" w:rsidRDefault="00DB70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4CEC132" w14:textId="77777777" w:rsidR="006F76EB" w:rsidRPr="00DB7012" w:rsidRDefault="00DB70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53DCEE1B" w14:textId="77777777" w:rsidTr="001A24A9">
        <w:trPr>
          <w:jc w:val="center"/>
        </w:trPr>
        <w:tc>
          <w:tcPr>
            <w:tcW w:w="1134" w:type="dxa"/>
            <w:tcBorders>
              <w:top w:val="nil"/>
              <w:left w:val="nil"/>
              <w:bottom w:val="nil"/>
              <w:right w:val="nil"/>
            </w:tcBorders>
            <w:vAlign w:val="center"/>
          </w:tcPr>
          <w:p w14:paraId="424A826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w:t>
            </w:r>
          </w:p>
        </w:tc>
        <w:tc>
          <w:tcPr>
            <w:tcW w:w="1276" w:type="dxa"/>
            <w:tcBorders>
              <w:top w:val="nil"/>
              <w:left w:val="nil"/>
              <w:bottom w:val="nil"/>
              <w:right w:val="nil"/>
            </w:tcBorders>
            <w:vAlign w:val="center"/>
          </w:tcPr>
          <w:p w14:paraId="3F798A9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34C6FFFA"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156DEF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0CB50FC4"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192A77BF"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D408DF1"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009208D5"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7D69824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3B7F91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03662F1" w14:textId="77777777" w:rsidTr="001A24A9">
        <w:trPr>
          <w:jc w:val="center"/>
        </w:trPr>
        <w:tc>
          <w:tcPr>
            <w:tcW w:w="1134" w:type="dxa"/>
            <w:tcBorders>
              <w:top w:val="nil"/>
              <w:left w:val="nil"/>
              <w:bottom w:val="nil"/>
              <w:right w:val="nil"/>
            </w:tcBorders>
            <w:vAlign w:val="center"/>
          </w:tcPr>
          <w:p w14:paraId="5DA7657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4.2.1.</w:t>
            </w:r>
          </w:p>
        </w:tc>
        <w:tc>
          <w:tcPr>
            <w:tcW w:w="1276" w:type="dxa"/>
            <w:tcBorders>
              <w:top w:val="nil"/>
              <w:left w:val="nil"/>
              <w:bottom w:val="nil"/>
              <w:right w:val="nil"/>
            </w:tcBorders>
            <w:vAlign w:val="center"/>
          </w:tcPr>
          <w:p w14:paraId="79EC5008"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79C73FE2"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BEAC067"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7E420A3"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5C4D25F" w14:textId="77777777" w:rsidR="006F76EB" w:rsidRPr="00834D52" w:rsidRDefault="005D6612" w:rsidP="005D6612">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AC77974"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18B2331"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1D1F6A8" w14:textId="77777777" w:rsidR="006F76EB" w:rsidRPr="005D6612" w:rsidRDefault="005D6612"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EF03537" w14:textId="77777777" w:rsidR="006F76EB" w:rsidRPr="005D6612" w:rsidRDefault="005D6612"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B05B74D" w14:textId="77777777" w:rsidTr="001A24A9">
        <w:trPr>
          <w:jc w:val="center"/>
        </w:trPr>
        <w:tc>
          <w:tcPr>
            <w:tcW w:w="1134" w:type="dxa"/>
            <w:tcBorders>
              <w:top w:val="nil"/>
              <w:left w:val="nil"/>
              <w:bottom w:val="nil"/>
              <w:right w:val="nil"/>
            </w:tcBorders>
            <w:vAlign w:val="center"/>
          </w:tcPr>
          <w:p w14:paraId="117E6795"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958832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3ACB967"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6451616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2112CD7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96028C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909A4D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050B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4697B120"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473014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03164262" w14:textId="77777777" w:rsidTr="001A24A9">
        <w:trPr>
          <w:jc w:val="center"/>
        </w:trPr>
        <w:tc>
          <w:tcPr>
            <w:tcW w:w="1134" w:type="dxa"/>
            <w:tcBorders>
              <w:top w:val="nil"/>
              <w:left w:val="nil"/>
              <w:bottom w:val="nil"/>
              <w:right w:val="nil"/>
            </w:tcBorders>
            <w:vAlign w:val="center"/>
          </w:tcPr>
          <w:p w14:paraId="7555A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4.2.2.</w:t>
            </w:r>
          </w:p>
        </w:tc>
        <w:tc>
          <w:tcPr>
            <w:tcW w:w="1276" w:type="dxa"/>
            <w:tcBorders>
              <w:top w:val="nil"/>
              <w:left w:val="nil"/>
              <w:bottom w:val="nil"/>
              <w:right w:val="nil"/>
            </w:tcBorders>
            <w:vAlign w:val="center"/>
          </w:tcPr>
          <w:p w14:paraId="72F3F812"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480B610"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8D5507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A7CB81B" w14:textId="77777777" w:rsidR="006F76EB" w:rsidRPr="00834D52" w:rsidRDefault="00FD1035" w:rsidP="00FD1035">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DAF933D"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13B0642E"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0FFE417"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3DE4D14" w14:textId="77777777" w:rsidR="006F76EB" w:rsidRPr="00FD1035" w:rsidRDefault="00FD1035"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223FC286" w14:textId="77777777" w:rsidR="006F76EB" w:rsidRPr="00FD1035" w:rsidRDefault="00FD1035"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879422" w14:textId="77777777" w:rsidTr="001A24A9">
        <w:trPr>
          <w:jc w:val="center"/>
        </w:trPr>
        <w:tc>
          <w:tcPr>
            <w:tcW w:w="1134" w:type="dxa"/>
            <w:tcBorders>
              <w:top w:val="nil"/>
              <w:left w:val="nil"/>
              <w:bottom w:val="nil"/>
              <w:right w:val="nil"/>
            </w:tcBorders>
            <w:vAlign w:val="center"/>
          </w:tcPr>
          <w:p w14:paraId="07FD69D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1FD143F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28CDFC"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A730BC9"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3A97E7E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70A84023"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01B179E7"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09E37B6"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20CBFBB7"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C84679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D2CA2FF" w14:textId="77777777" w:rsidTr="001A24A9">
        <w:trPr>
          <w:jc w:val="center"/>
        </w:trPr>
        <w:tc>
          <w:tcPr>
            <w:tcW w:w="1134" w:type="dxa"/>
            <w:tcBorders>
              <w:top w:val="nil"/>
              <w:left w:val="nil"/>
              <w:bottom w:val="nil"/>
              <w:right w:val="nil"/>
            </w:tcBorders>
            <w:vAlign w:val="center"/>
          </w:tcPr>
          <w:p w14:paraId="024A824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lastRenderedPageBreak/>
              <w:t>4.2.3.</w:t>
            </w:r>
          </w:p>
        </w:tc>
        <w:tc>
          <w:tcPr>
            <w:tcW w:w="1276" w:type="dxa"/>
            <w:tcBorders>
              <w:top w:val="nil"/>
              <w:left w:val="nil"/>
              <w:bottom w:val="nil"/>
              <w:right w:val="nil"/>
            </w:tcBorders>
            <w:vAlign w:val="center"/>
          </w:tcPr>
          <w:p w14:paraId="7F74411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9F2201F"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48C70D1E"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74F1928"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084E487"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153FF672"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1DE405D" w14:textId="77777777" w:rsidR="006F76EB" w:rsidRPr="00834D52" w:rsidRDefault="00F81439" w:rsidP="00F8143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6581E87" w14:textId="77777777" w:rsidR="006F76EB" w:rsidRPr="00F81439" w:rsidRDefault="00F81439"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0D980CB8" w14:textId="77777777" w:rsidR="006F76EB" w:rsidRPr="00F81439" w:rsidRDefault="00F81439"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9A35B10" w14:textId="77777777" w:rsidTr="001A24A9">
        <w:trPr>
          <w:jc w:val="center"/>
        </w:trPr>
        <w:tc>
          <w:tcPr>
            <w:tcW w:w="1134" w:type="dxa"/>
            <w:tcBorders>
              <w:top w:val="nil"/>
              <w:left w:val="nil"/>
              <w:bottom w:val="nil"/>
              <w:right w:val="nil"/>
            </w:tcBorders>
            <w:vAlign w:val="center"/>
          </w:tcPr>
          <w:p w14:paraId="5475D44C"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75E424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6214908"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45FB63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836CD1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496643A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733DE07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7D81E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90A76FF"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183D58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3C74B6E" w14:textId="77777777" w:rsidTr="001A24A9">
        <w:trPr>
          <w:jc w:val="center"/>
        </w:trPr>
        <w:tc>
          <w:tcPr>
            <w:tcW w:w="1134" w:type="dxa"/>
            <w:tcBorders>
              <w:top w:val="nil"/>
              <w:left w:val="nil"/>
              <w:bottom w:val="nil"/>
              <w:right w:val="nil"/>
            </w:tcBorders>
            <w:vAlign w:val="center"/>
          </w:tcPr>
          <w:p w14:paraId="5AE91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4.3.</w:t>
            </w:r>
          </w:p>
        </w:tc>
        <w:tc>
          <w:tcPr>
            <w:tcW w:w="1276" w:type="dxa"/>
            <w:tcBorders>
              <w:top w:val="nil"/>
              <w:left w:val="nil"/>
              <w:bottom w:val="nil"/>
              <w:right w:val="nil"/>
            </w:tcBorders>
            <w:vAlign w:val="center"/>
          </w:tcPr>
          <w:p w14:paraId="3C59E07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F04F06C"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5B884C1B"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16DC7EBA"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3F67406"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0CDC479"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30F73BF0" w14:textId="77777777" w:rsidR="006F76EB" w:rsidRPr="00834D52" w:rsidRDefault="00CD4450" w:rsidP="00CD4450">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7C321D5" w14:textId="77777777" w:rsidR="006F76EB" w:rsidRPr="00CD4450" w:rsidRDefault="00CD4450" w:rsidP="00CD4450">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33F5B256" w14:textId="77777777" w:rsidR="006F76EB" w:rsidRPr="00CD4450" w:rsidRDefault="00CD4450"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4994ECA" w14:textId="77777777" w:rsidTr="001A24A9">
        <w:trPr>
          <w:jc w:val="center"/>
        </w:trPr>
        <w:tc>
          <w:tcPr>
            <w:tcW w:w="1134" w:type="dxa"/>
            <w:tcBorders>
              <w:top w:val="nil"/>
              <w:left w:val="nil"/>
              <w:bottom w:val="nil"/>
              <w:right w:val="nil"/>
            </w:tcBorders>
            <w:vAlign w:val="center"/>
          </w:tcPr>
          <w:p w14:paraId="3FA5B2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2AB5BC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12ECEC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2628E49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09D5AF2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65AE07A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0691F6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3BE6D56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2195136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6F171B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D875ACB" w14:textId="77777777" w:rsidTr="001A24A9">
        <w:trPr>
          <w:jc w:val="center"/>
        </w:trPr>
        <w:tc>
          <w:tcPr>
            <w:tcW w:w="14884" w:type="dxa"/>
            <w:gridSpan w:val="10"/>
            <w:tcBorders>
              <w:top w:val="nil"/>
              <w:left w:val="nil"/>
              <w:bottom w:val="nil"/>
              <w:right w:val="nil"/>
            </w:tcBorders>
            <w:vAlign w:val="center"/>
          </w:tcPr>
          <w:p w14:paraId="687076B8" w14:textId="77777777" w:rsidR="006F76EB" w:rsidRPr="00834D52" w:rsidRDefault="006F76EB" w:rsidP="00F71229">
            <w:pPr>
              <w:spacing w:after="120" w:line="240" w:lineRule="auto"/>
              <w:ind w:left="567" w:right="567"/>
              <w:jc w:val="center"/>
              <w:rPr>
                <w:rFonts w:ascii="Sylfaen" w:eastAsia="Times New Roman" w:hAnsi="Sylfaen" w:cs="Times New Roman"/>
                <w:sz w:val="24"/>
                <w:szCs w:val="24"/>
              </w:rPr>
            </w:pPr>
            <w:r w:rsidRPr="00834D52">
              <w:rPr>
                <w:rFonts w:ascii="Sylfaen" w:hAnsi="Sylfaen"/>
                <w:sz w:val="24"/>
                <w:szCs w:val="24"/>
              </w:rPr>
              <w:t>ՄՈԴՈՒԼ 5. ԿԼԻՆԻԿԱԿԱՆ ՀԵՏԱԶՈՏՈՒԹՅՈՒՆՆԵՐԻ ՎԵՐԱԲԵՐՅԱԼ ՀԱՇՎԵՏՎՈՒԹՅՈՒՆՆԵՐԸ</w:t>
            </w:r>
          </w:p>
        </w:tc>
      </w:tr>
      <w:tr w:rsidR="006F76EB" w:rsidRPr="00834D52" w14:paraId="6811F9C3" w14:textId="77777777" w:rsidTr="001A24A9">
        <w:trPr>
          <w:jc w:val="center"/>
        </w:trPr>
        <w:tc>
          <w:tcPr>
            <w:tcW w:w="1134" w:type="dxa"/>
            <w:tcBorders>
              <w:top w:val="nil"/>
              <w:left w:val="nil"/>
              <w:bottom w:val="nil"/>
              <w:right w:val="nil"/>
            </w:tcBorders>
            <w:vAlign w:val="center"/>
          </w:tcPr>
          <w:p w14:paraId="0CB2F17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5.1.</w:t>
            </w:r>
          </w:p>
        </w:tc>
        <w:tc>
          <w:tcPr>
            <w:tcW w:w="1276" w:type="dxa"/>
            <w:tcBorders>
              <w:top w:val="nil"/>
              <w:left w:val="nil"/>
              <w:bottom w:val="nil"/>
              <w:right w:val="nil"/>
            </w:tcBorders>
            <w:vAlign w:val="center"/>
          </w:tcPr>
          <w:p w14:paraId="47E551C5"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37EC49D"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714990E6"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E48CDE7"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A0FE49F"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EC2691A"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5346CCE8" w14:textId="77777777" w:rsidR="006F76EB" w:rsidRPr="00834D52" w:rsidRDefault="00570DEF" w:rsidP="00570DEF">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E2FBE8A"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68ADA14D" w14:textId="77777777" w:rsidR="006F76EB" w:rsidRPr="00570DEF" w:rsidRDefault="00570DEF"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E311565" w14:textId="77777777" w:rsidTr="001A24A9">
        <w:trPr>
          <w:jc w:val="center"/>
        </w:trPr>
        <w:tc>
          <w:tcPr>
            <w:tcW w:w="1134" w:type="dxa"/>
            <w:tcBorders>
              <w:top w:val="nil"/>
              <w:left w:val="nil"/>
              <w:bottom w:val="nil"/>
              <w:right w:val="nil"/>
            </w:tcBorders>
            <w:vAlign w:val="center"/>
          </w:tcPr>
          <w:p w14:paraId="14A7922C"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5.2.</w:t>
            </w:r>
          </w:p>
        </w:tc>
        <w:tc>
          <w:tcPr>
            <w:tcW w:w="1276" w:type="dxa"/>
            <w:tcBorders>
              <w:top w:val="nil"/>
              <w:left w:val="nil"/>
              <w:bottom w:val="nil"/>
              <w:right w:val="nil"/>
            </w:tcBorders>
            <w:vAlign w:val="center"/>
          </w:tcPr>
          <w:p w14:paraId="7B9F5DC6"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2BDD732F"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6998AE75"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2169BD49"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708F59E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46780E11"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06C06970" w14:textId="77777777" w:rsidR="006F76EB" w:rsidRPr="00834D52" w:rsidRDefault="00657B53" w:rsidP="00657B53">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1E999733"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054A4B22" w14:textId="77777777" w:rsidR="006F76EB" w:rsidRPr="00657B53" w:rsidRDefault="00657B53"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522E9BA" w14:textId="77777777" w:rsidTr="001A24A9">
        <w:trPr>
          <w:jc w:val="center"/>
        </w:trPr>
        <w:tc>
          <w:tcPr>
            <w:tcW w:w="1134" w:type="dxa"/>
            <w:tcBorders>
              <w:top w:val="nil"/>
              <w:left w:val="nil"/>
              <w:bottom w:val="nil"/>
              <w:right w:val="nil"/>
            </w:tcBorders>
            <w:vAlign w:val="center"/>
          </w:tcPr>
          <w:p w14:paraId="0C0E867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w:t>
            </w:r>
          </w:p>
        </w:tc>
        <w:tc>
          <w:tcPr>
            <w:tcW w:w="1276" w:type="dxa"/>
            <w:tcBorders>
              <w:top w:val="nil"/>
              <w:left w:val="nil"/>
              <w:bottom w:val="nil"/>
              <w:right w:val="nil"/>
            </w:tcBorders>
            <w:vAlign w:val="center"/>
          </w:tcPr>
          <w:p w14:paraId="2448E3EA" w14:textId="77777777" w:rsidR="006F76EB" w:rsidRPr="00834D52" w:rsidRDefault="006F76EB" w:rsidP="00F71229">
            <w:pPr>
              <w:spacing w:after="120" w:line="240" w:lineRule="auto"/>
              <w:ind w:right="-8"/>
              <w:jc w:val="center"/>
              <w:rPr>
                <w:rFonts w:ascii="Sylfaen" w:hAnsi="Sylfaen"/>
                <w:sz w:val="24"/>
                <w:szCs w:val="24"/>
              </w:rPr>
            </w:pPr>
          </w:p>
        </w:tc>
        <w:tc>
          <w:tcPr>
            <w:tcW w:w="1984" w:type="dxa"/>
            <w:tcBorders>
              <w:top w:val="nil"/>
              <w:left w:val="nil"/>
              <w:bottom w:val="nil"/>
              <w:right w:val="nil"/>
            </w:tcBorders>
            <w:vAlign w:val="center"/>
          </w:tcPr>
          <w:p w14:paraId="1B5C3E55"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3CD010CE"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15218515" w14:textId="77777777" w:rsidR="006F76EB" w:rsidRPr="00834D52" w:rsidRDefault="006F76EB" w:rsidP="00F71229">
            <w:pPr>
              <w:spacing w:after="120" w:line="240" w:lineRule="auto"/>
              <w:ind w:right="-8"/>
              <w:jc w:val="center"/>
              <w:rPr>
                <w:rFonts w:ascii="Sylfaen" w:hAnsi="Sylfaen"/>
                <w:sz w:val="24"/>
                <w:szCs w:val="24"/>
              </w:rPr>
            </w:pPr>
          </w:p>
        </w:tc>
        <w:tc>
          <w:tcPr>
            <w:tcW w:w="1417" w:type="dxa"/>
            <w:tcBorders>
              <w:top w:val="nil"/>
              <w:left w:val="nil"/>
              <w:bottom w:val="nil"/>
              <w:right w:val="nil"/>
            </w:tcBorders>
            <w:vAlign w:val="center"/>
          </w:tcPr>
          <w:p w14:paraId="41FB2CBA"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BEFBAF4"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16E40540"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44AA1D3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D2FFDA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11046E1" w14:textId="77777777" w:rsidTr="001A24A9">
        <w:trPr>
          <w:jc w:val="center"/>
        </w:trPr>
        <w:tc>
          <w:tcPr>
            <w:tcW w:w="1134" w:type="dxa"/>
            <w:tcBorders>
              <w:top w:val="nil"/>
              <w:left w:val="nil"/>
              <w:bottom w:val="nil"/>
              <w:right w:val="nil"/>
            </w:tcBorders>
            <w:vAlign w:val="center"/>
          </w:tcPr>
          <w:p w14:paraId="676D5A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5.3.1.</w:t>
            </w:r>
          </w:p>
        </w:tc>
        <w:tc>
          <w:tcPr>
            <w:tcW w:w="1276" w:type="dxa"/>
            <w:tcBorders>
              <w:top w:val="nil"/>
              <w:left w:val="nil"/>
              <w:bottom w:val="nil"/>
              <w:right w:val="nil"/>
            </w:tcBorders>
            <w:vAlign w:val="center"/>
          </w:tcPr>
          <w:p w14:paraId="692D9AED"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159D7255"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5437E07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EAC5C1F" w14:textId="77777777" w:rsidR="006F76EB" w:rsidRPr="00834D52" w:rsidRDefault="00AE5D44" w:rsidP="00AE5D44">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3557185C"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94E4814" w14:textId="77777777" w:rsidR="006F76EB" w:rsidRPr="00AE5D44" w:rsidRDefault="00AE5D44"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7B300C1E" w14:textId="77777777" w:rsidR="006F76EB" w:rsidRPr="00AE5D44" w:rsidRDefault="00AE5D44" w:rsidP="00AE5D44">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7D4DC777"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BEA2814" w14:textId="77777777" w:rsidR="006F76EB" w:rsidRPr="00AE5D44" w:rsidRDefault="00AE5D44"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2D4A249" w14:textId="77777777" w:rsidTr="001A24A9">
        <w:trPr>
          <w:jc w:val="center"/>
        </w:trPr>
        <w:tc>
          <w:tcPr>
            <w:tcW w:w="1134" w:type="dxa"/>
            <w:tcBorders>
              <w:top w:val="nil"/>
              <w:left w:val="nil"/>
              <w:bottom w:val="nil"/>
              <w:right w:val="nil"/>
            </w:tcBorders>
            <w:vAlign w:val="center"/>
          </w:tcPr>
          <w:p w14:paraId="787C07BE"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941F45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0247923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0EC1DF7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A69FA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19472508"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59645E33"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A7EB0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694626D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34E02F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75439DD2" w14:textId="77777777" w:rsidTr="001A24A9">
        <w:trPr>
          <w:jc w:val="center"/>
        </w:trPr>
        <w:tc>
          <w:tcPr>
            <w:tcW w:w="1134" w:type="dxa"/>
            <w:tcBorders>
              <w:top w:val="nil"/>
              <w:left w:val="nil"/>
              <w:bottom w:val="nil"/>
              <w:right w:val="nil"/>
            </w:tcBorders>
            <w:vAlign w:val="center"/>
          </w:tcPr>
          <w:p w14:paraId="52629B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5.3.2.</w:t>
            </w:r>
          </w:p>
        </w:tc>
        <w:tc>
          <w:tcPr>
            <w:tcW w:w="1276" w:type="dxa"/>
            <w:tcBorders>
              <w:top w:val="nil"/>
              <w:left w:val="nil"/>
              <w:bottom w:val="nil"/>
              <w:right w:val="nil"/>
            </w:tcBorders>
            <w:vAlign w:val="center"/>
          </w:tcPr>
          <w:p w14:paraId="2BE97EDF"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37B50E73"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37F818A9"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43D6DECA"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252DCB98"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68E84262"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3147A456" w14:textId="77777777" w:rsidR="006F76EB" w:rsidRPr="00387B4E" w:rsidRDefault="00387B4E" w:rsidP="00F71229">
            <w:pPr>
              <w:shd w:val="clear" w:color="auto" w:fill="FFFFFF"/>
              <w:spacing w:before="120" w:after="120" w:line="240" w:lineRule="auto"/>
              <w:ind w:right="-8"/>
              <w:jc w:val="center"/>
              <w:outlineLvl w:val="0"/>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4783EF3"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413C399" w14:textId="77777777" w:rsidR="006F76EB" w:rsidRPr="00387B4E" w:rsidRDefault="00387B4E" w:rsidP="00F71229">
            <w:pPr>
              <w:shd w:val="clear" w:color="auto" w:fill="FFFFFF"/>
              <w:spacing w:before="120" w:after="120" w:line="240" w:lineRule="auto"/>
              <w:ind w:right="-8"/>
              <w:jc w:val="center"/>
              <w:outlineLvl w:val="0"/>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24A09F4F" w14:textId="77777777" w:rsidTr="001A24A9">
        <w:trPr>
          <w:jc w:val="center"/>
        </w:trPr>
        <w:tc>
          <w:tcPr>
            <w:tcW w:w="1134" w:type="dxa"/>
            <w:tcBorders>
              <w:top w:val="nil"/>
              <w:left w:val="nil"/>
              <w:bottom w:val="nil"/>
              <w:right w:val="nil"/>
            </w:tcBorders>
            <w:vAlign w:val="center"/>
          </w:tcPr>
          <w:p w14:paraId="3E0A67F1"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30425CB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CEAF1D3"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C4C31B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21B783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2DFCE2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7EF50895" w14:textId="77777777" w:rsidR="006F76EB" w:rsidRPr="00387B4E" w:rsidRDefault="006F76EB" w:rsidP="00F71229">
            <w:pPr>
              <w:spacing w:after="120" w:line="240" w:lineRule="auto"/>
              <w:ind w:right="-8"/>
              <w:jc w:val="center"/>
              <w:rPr>
                <w:rFonts w:ascii="Sylfaen" w:hAnsi="Sylfaen"/>
                <w:sz w:val="24"/>
                <w:szCs w:val="24"/>
                <w:lang w:val="ru-RU"/>
              </w:rPr>
            </w:pPr>
          </w:p>
        </w:tc>
        <w:tc>
          <w:tcPr>
            <w:tcW w:w="1701" w:type="dxa"/>
            <w:tcBorders>
              <w:top w:val="nil"/>
              <w:left w:val="nil"/>
              <w:bottom w:val="nil"/>
              <w:right w:val="nil"/>
            </w:tcBorders>
            <w:vAlign w:val="center"/>
          </w:tcPr>
          <w:p w14:paraId="1957287A"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3FB89CF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86ACF5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D25D95E" w14:textId="77777777" w:rsidTr="001A24A9">
        <w:trPr>
          <w:jc w:val="center"/>
        </w:trPr>
        <w:tc>
          <w:tcPr>
            <w:tcW w:w="1134" w:type="dxa"/>
            <w:tcBorders>
              <w:top w:val="nil"/>
              <w:left w:val="nil"/>
              <w:bottom w:val="nil"/>
              <w:right w:val="nil"/>
            </w:tcBorders>
            <w:vAlign w:val="center"/>
          </w:tcPr>
          <w:p w14:paraId="410C72B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5.3.3.</w:t>
            </w:r>
          </w:p>
        </w:tc>
        <w:tc>
          <w:tcPr>
            <w:tcW w:w="1276" w:type="dxa"/>
            <w:tcBorders>
              <w:top w:val="nil"/>
              <w:left w:val="nil"/>
              <w:bottom w:val="nil"/>
              <w:right w:val="nil"/>
            </w:tcBorders>
            <w:vAlign w:val="center"/>
          </w:tcPr>
          <w:p w14:paraId="1599A83B"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42D7996E"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6425DB10"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1B51E74E"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302363CB"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59" w:type="dxa"/>
            <w:tcBorders>
              <w:top w:val="nil"/>
              <w:left w:val="nil"/>
              <w:bottom w:val="nil"/>
              <w:right w:val="nil"/>
            </w:tcBorders>
            <w:vAlign w:val="center"/>
          </w:tcPr>
          <w:p w14:paraId="58B82F06"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2CF0CF93"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2D57FE70"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C8E5D5"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F50C230" w14:textId="77777777" w:rsidTr="001A24A9">
        <w:trPr>
          <w:jc w:val="center"/>
        </w:trPr>
        <w:tc>
          <w:tcPr>
            <w:tcW w:w="1134" w:type="dxa"/>
            <w:tcBorders>
              <w:top w:val="nil"/>
              <w:left w:val="nil"/>
              <w:bottom w:val="nil"/>
              <w:right w:val="nil"/>
            </w:tcBorders>
            <w:vAlign w:val="center"/>
          </w:tcPr>
          <w:p w14:paraId="6010E5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6" w:type="dxa"/>
            <w:tcBorders>
              <w:top w:val="nil"/>
              <w:left w:val="nil"/>
              <w:bottom w:val="nil"/>
              <w:right w:val="nil"/>
            </w:tcBorders>
            <w:vAlign w:val="center"/>
          </w:tcPr>
          <w:p w14:paraId="034CF70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AAD0C80"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1BC55F4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DE3CF1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78BE7EB" w14:textId="77777777" w:rsidR="006F76EB" w:rsidRPr="00834D52" w:rsidRDefault="006F76EB" w:rsidP="00F71229">
            <w:pPr>
              <w:spacing w:after="120" w:line="240" w:lineRule="auto"/>
              <w:ind w:right="-8"/>
              <w:jc w:val="center"/>
              <w:rPr>
                <w:rFonts w:ascii="Sylfaen" w:hAnsi="Sylfaen"/>
                <w:sz w:val="24"/>
                <w:szCs w:val="24"/>
              </w:rPr>
            </w:pPr>
          </w:p>
        </w:tc>
        <w:tc>
          <w:tcPr>
            <w:tcW w:w="1559" w:type="dxa"/>
            <w:tcBorders>
              <w:top w:val="nil"/>
              <w:left w:val="nil"/>
              <w:bottom w:val="nil"/>
              <w:right w:val="nil"/>
            </w:tcBorders>
            <w:vAlign w:val="center"/>
          </w:tcPr>
          <w:p w14:paraId="3D4CD7F2"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480533E2" w14:textId="77777777" w:rsidR="006F76EB" w:rsidRPr="00834D52" w:rsidRDefault="006F76EB" w:rsidP="00F71229">
            <w:pPr>
              <w:spacing w:after="120" w:line="240" w:lineRule="auto"/>
              <w:ind w:right="-8"/>
              <w:jc w:val="center"/>
              <w:rPr>
                <w:rFonts w:ascii="Sylfaen" w:hAnsi="Sylfaen"/>
                <w:sz w:val="24"/>
                <w:szCs w:val="24"/>
              </w:rPr>
            </w:pPr>
          </w:p>
        </w:tc>
        <w:tc>
          <w:tcPr>
            <w:tcW w:w="1275" w:type="dxa"/>
            <w:tcBorders>
              <w:top w:val="nil"/>
              <w:left w:val="nil"/>
              <w:bottom w:val="nil"/>
              <w:right w:val="nil"/>
            </w:tcBorders>
            <w:vAlign w:val="center"/>
          </w:tcPr>
          <w:p w14:paraId="0AA43E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59F2B68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C52D700" w14:textId="77777777" w:rsidTr="001A24A9">
        <w:trPr>
          <w:jc w:val="center"/>
        </w:trPr>
        <w:tc>
          <w:tcPr>
            <w:tcW w:w="1134" w:type="dxa"/>
            <w:tcBorders>
              <w:top w:val="nil"/>
              <w:left w:val="nil"/>
              <w:bottom w:val="nil"/>
              <w:right w:val="nil"/>
            </w:tcBorders>
            <w:vAlign w:val="center"/>
          </w:tcPr>
          <w:p w14:paraId="68369C4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5.3.4.</w:t>
            </w:r>
          </w:p>
        </w:tc>
        <w:tc>
          <w:tcPr>
            <w:tcW w:w="1276" w:type="dxa"/>
            <w:tcBorders>
              <w:top w:val="nil"/>
              <w:left w:val="nil"/>
              <w:bottom w:val="nil"/>
              <w:right w:val="nil"/>
            </w:tcBorders>
            <w:vAlign w:val="center"/>
          </w:tcPr>
          <w:p w14:paraId="12163EC4"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A72990D"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19667C3D"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0BB8F506"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19C97E2"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7F7B957C" w14:textId="77777777" w:rsidR="006F76EB" w:rsidRPr="00387B4E" w:rsidRDefault="00387B4E"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701" w:type="dxa"/>
            <w:tcBorders>
              <w:top w:val="nil"/>
              <w:left w:val="nil"/>
              <w:bottom w:val="nil"/>
              <w:right w:val="nil"/>
            </w:tcBorders>
            <w:vAlign w:val="center"/>
          </w:tcPr>
          <w:p w14:paraId="4322B4D3" w14:textId="77777777" w:rsidR="006F76EB" w:rsidRPr="00834D52" w:rsidRDefault="00387B4E" w:rsidP="00387B4E">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57FE962"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37290934" w14:textId="77777777" w:rsidR="006F76EB" w:rsidRPr="00387B4E" w:rsidRDefault="00387B4E"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0F18317" w14:textId="77777777" w:rsidTr="001A24A9">
        <w:trPr>
          <w:jc w:val="center"/>
        </w:trPr>
        <w:tc>
          <w:tcPr>
            <w:tcW w:w="1134" w:type="dxa"/>
            <w:tcBorders>
              <w:top w:val="nil"/>
              <w:left w:val="nil"/>
              <w:bottom w:val="nil"/>
              <w:right w:val="nil"/>
            </w:tcBorders>
            <w:vAlign w:val="center"/>
          </w:tcPr>
          <w:p w14:paraId="510EDCF0"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423EB7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7B00918F"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5FDD0B1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E00549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2DBA04C4"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545599DC" w14:textId="77777777" w:rsidR="006F76EB" w:rsidRPr="00834D52" w:rsidRDefault="006F76EB" w:rsidP="00F71229">
            <w:pPr>
              <w:spacing w:after="120" w:line="240" w:lineRule="auto"/>
              <w:ind w:right="-8"/>
              <w:jc w:val="center"/>
              <w:rPr>
                <w:rFonts w:ascii="Sylfaen" w:hAnsi="Sylfaen"/>
                <w:sz w:val="24"/>
                <w:szCs w:val="24"/>
              </w:rPr>
            </w:pPr>
          </w:p>
        </w:tc>
        <w:tc>
          <w:tcPr>
            <w:tcW w:w="1701" w:type="dxa"/>
            <w:tcBorders>
              <w:top w:val="nil"/>
              <w:left w:val="nil"/>
              <w:bottom w:val="nil"/>
              <w:right w:val="nil"/>
            </w:tcBorders>
            <w:vAlign w:val="center"/>
          </w:tcPr>
          <w:p w14:paraId="72FC71C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59A5A58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42CB00F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1236A478" w14:textId="77777777" w:rsidTr="001A24A9">
        <w:trPr>
          <w:jc w:val="center"/>
        </w:trPr>
        <w:tc>
          <w:tcPr>
            <w:tcW w:w="1134" w:type="dxa"/>
            <w:tcBorders>
              <w:top w:val="nil"/>
              <w:left w:val="nil"/>
              <w:bottom w:val="nil"/>
              <w:right w:val="nil"/>
            </w:tcBorders>
            <w:vAlign w:val="center"/>
          </w:tcPr>
          <w:p w14:paraId="4C3EBE0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5.3.5.</w:t>
            </w:r>
          </w:p>
        </w:tc>
        <w:tc>
          <w:tcPr>
            <w:tcW w:w="1276" w:type="dxa"/>
            <w:tcBorders>
              <w:top w:val="nil"/>
              <w:left w:val="nil"/>
              <w:bottom w:val="nil"/>
              <w:right w:val="nil"/>
            </w:tcBorders>
            <w:vAlign w:val="center"/>
          </w:tcPr>
          <w:p w14:paraId="1E0D06F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984" w:type="dxa"/>
            <w:tcBorders>
              <w:top w:val="nil"/>
              <w:left w:val="nil"/>
              <w:bottom w:val="nil"/>
              <w:right w:val="nil"/>
            </w:tcBorders>
            <w:vAlign w:val="center"/>
          </w:tcPr>
          <w:p w14:paraId="74D1BAD3"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418" w:type="dxa"/>
            <w:tcBorders>
              <w:top w:val="nil"/>
              <w:left w:val="nil"/>
              <w:bottom w:val="nil"/>
              <w:right w:val="nil"/>
            </w:tcBorders>
            <w:vAlign w:val="center"/>
          </w:tcPr>
          <w:p w14:paraId="2CF92338" w14:textId="77777777" w:rsidR="006F76EB" w:rsidRPr="00A926FB" w:rsidRDefault="00A926F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CC8EAD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72E62F97"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03BCACDE"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840819C" w14:textId="77777777" w:rsidR="006F76EB" w:rsidRPr="00834D52" w:rsidRDefault="00A926FB" w:rsidP="00A926F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DB92A04"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c>
          <w:tcPr>
            <w:tcW w:w="1560" w:type="dxa"/>
            <w:tcBorders>
              <w:top w:val="nil"/>
              <w:left w:val="nil"/>
              <w:bottom w:val="nil"/>
              <w:right w:val="nil"/>
            </w:tcBorders>
            <w:vAlign w:val="center"/>
          </w:tcPr>
          <w:p w14:paraId="238DCE78" w14:textId="77777777" w:rsidR="006F76EB" w:rsidRPr="00A926FB" w:rsidRDefault="00A926F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0FF68C4F" w14:textId="77777777" w:rsidTr="001A24A9">
        <w:trPr>
          <w:jc w:val="center"/>
        </w:trPr>
        <w:tc>
          <w:tcPr>
            <w:tcW w:w="1134" w:type="dxa"/>
            <w:tcBorders>
              <w:top w:val="nil"/>
              <w:left w:val="nil"/>
              <w:bottom w:val="nil"/>
              <w:right w:val="nil"/>
            </w:tcBorders>
            <w:vAlign w:val="center"/>
          </w:tcPr>
          <w:p w14:paraId="55503F06"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28EA2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34F129E9" w14:textId="77777777" w:rsidR="006F76EB" w:rsidRPr="00834D52" w:rsidRDefault="006F76EB" w:rsidP="00F71229">
            <w:pPr>
              <w:spacing w:after="120" w:line="240" w:lineRule="auto"/>
              <w:ind w:right="-8"/>
              <w:jc w:val="center"/>
              <w:rPr>
                <w:rFonts w:ascii="Sylfaen" w:hAnsi="Sylfaen"/>
                <w:sz w:val="24"/>
                <w:szCs w:val="24"/>
              </w:rPr>
            </w:pPr>
          </w:p>
        </w:tc>
        <w:tc>
          <w:tcPr>
            <w:tcW w:w="1418" w:type="dxa"/>
            <w:tcBorders>
              <w:top w:val="nil"/>
              <w:left w:val="nil"/>
              <w:bottom w:val="nil"/>
              <w:right w:val="nil"/>
            </w:tcBorders>
            <w:vAlign w:val="center"/>
          </w:tcPr>
          <w:p w14:paraId="22E1B002"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4729F77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007A00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2F92A91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286DF04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CA7EFF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71ACDF1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6ACD34C1" w14:textId="77777777" w:rsidTr="001A24A9">
        <w:trPr>
          <w:jc w:val="center"/>
        </w:trPr>
        <w:tc>
          <w:tcPr>
            <w:tcW w:w="1134" w:type="dxa"/>
            <w:tcBorders>
              <w:top w:val="nil"/>
              <w:left w:val="nil"/>
              <w:bottom w:val="nil"/>
              <w:right w:val="nil"/>
            </w:tcBorders>
            <w:vAlign w:val="center"/>
          </w:tcPr>
          <w:p w14:paraId="0071735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5.3.6.</w:t>
            </w:r>
          </w:p>
        </w:tc>
        <w:tc>
          <w:tcPr>
            <w:tcW w:w="1276" w:type="dxa"/>
            <w:tcBorders>
              <w:top w:val="nil"/>
              <w:left w:val="nil"/>
              <w:bottom w:val="nil"/>
              <w:right w:val="nil"/>
            </w:tcBorders>
            <w:vAlign w:val="center"/>
          </w:tcPr>
          <w:p w14:paraId="1B638743"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448CBF6"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07C591AC"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4172217E"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527BA67B"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6CAE9000" w14:textId="77777777" w:rsidR="006F76EB" w:rsidRPr="00834D52" w:rsidRDefault="00ED4AEB" w:rsidP="00ED4AEB">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7FD74F99" w14:textId="77777777" w:rsidR="006F76EB" w:rsidRPr="00ED4AEB" w:rsidRDefault="00ED4AEB" w:rsidP="00ED4AEB">
            <w:pPr>
              <w:spacing w:after="120" w:line="240" w:lineRule="auto"/>
              <w:ind w:right="-8"/>
              <w:jc w:val="center"/>
              <w:rPr>
                <w:rFonts w:ascii="Sylfaen" w:eastAsia="Times New Roman" w:hAnsi="Sylfaen" w:cs="Times New Roman"/>
                <w:sz w:val="24"/>
                <w:szCs w:val="24"/>
                <w:lang w:val="ru-RU"/>
              </w:rPr>
            </w:pPr>
            <w:r>
              <w:rPr>
                <w:rFonts w:ascii="Sylfaen" w:hAnsi="Sylfaen"/>
                <w:sz w:val="24"/>
                <w:szCs w:val="24"/>
                <w:lang w:val="ru-RU"/>
              </w:rPr>
              <w:t>-</w:t>
            </w:r>
          </w:p>
        </w:tc>
        <w:tc>
          <w:tcPr>
            <w:tcW w:w="1275" w:type="dxa"/>
            <w:tcBorders>
              <w:top w:val="nil"/>
              <w:left w:val="nil"/>
              <w:bottom w:val="nil"/>
              <w:right w:val="nil"/>
            </w:tcBorders>
            <w:vAlign w:val="center"/>
          </w:tcPr>
          <w:p w14:paraId="0215ADAD" w14:textId="77777777" w:rsidR="006F76EB" w:rsidRPr="00ED4AEB" w:rsidRDefault="00ED4AEB"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14B47A86" w14:textId="77777777" w:rsidR="006F76EB" w:rsidRPr="00ED4AEB" w:rsidRDefault="00ED4AEB"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401253A6" w14:textId="77777777" w:rsidTr="001A24A9">
        <w:trPr>
          <w:jc w:val="center"/>
        </w:trPr>
        <w:tc>
          <w:tcPr>
            <w:tcW w:w="1134" w:type="dxa"/>
            <w:tcBorders>
              <w:top w:val="nil"/>
              <w:left w:val="nil"/>
              <w:bottom w:val="nil"/>
              <w:right w:val="nil"/>
            </w:tcBorders>
            <w:vAlign w:val="center"/>
          </w:tcPr>
          <w:p w14:paraId="5D6DCB4B"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581CEDC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68DA3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15DB979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4539A1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64BC94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1474E5C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3A10133"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2B7FAEA"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5721A05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52498331" w14:textId="77777777" w:rsidTr="001A24A9">
        <w:trPr>
          <w:jc w:val="center"/>
        </w:trPr>
        <w:tc>
          <w:tcPr>
            <w:tcW w:w="1134" w:type="dxa"/>
            <w:tcBorders>
              <w:top w:val="nil"/>
              <w:left w:val="nil"/>
              <w:bottom w:val="nil"/>
              <w:right w:val="nil"/>
            </w:tcBorders>
            <w:vAlign w:val="center"/>
          </w:tcPr>
          <w:p w14:paraId="1A1FD9C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5.3.7.</w:t>
            </w:r>
          </w:p>
        </w:tc>
        <w:tc>
          <w:tcPr>
            <w:tcW w:w="1276" w:type="dxa"/>
            <w:tcBorders>
              <w:top w:val="nil"/>
              <w:left w:val="nil"/>
              <w:bottom w:val="nil"/>
              <w:right w:val="nil"/>
            </w:tcBorders>
            <w:vAlign w:val="center"/>
          </w:tcPr>
          <w:p w14:paraId="52F366C9"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5EBB1AA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8" w:type="dxa"/>
            <w:tcBorders>
              <w:top w:val="nil"/>
              <w:left w:val="nil"/>
              <w:bottom w:val="nil"/>
              <w:right w:val="nil"/>
            </w:tcBorders>
            <w:vAlign w:val="center"/>
          </w:tcPr>
          <w:p w14:paraId="4AF9D574"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6D7E8EB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417" w:type="dxa"/>
            <w:tcBorders>
              <w:top w:val="nil"/>
              <w:left w:val="nil"/>
              <w:bottom w:val="nil"/>
              <w:right w:val="nil"/>
            </w:tcBorders>
            <w:vAlign w:val="center"/>
          </w:tcPr>
          <w:p w14:paraId="2B36F36E"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59" w:type="dxa"/>
            <w:tcBorders>
              <w:top w:val="nil"/>
              <w:left w:val="nil"/>
              <w:bottom w:val="nil"/>
              <w:right w:val="nil"/>
            </w:tcBorders>
            <w:vAlign w:val="center"/>
          </w:tcPr>
          <w:p w14:paraId="762585B8"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701" w:type="dxa"/>
            <w:tcBorders>
              <w:top w:val="nil"/>
              <w:left w:val="nil"/>
              <w:bottom w:val="nil"/>
              <w:right w:val="nil"/>
            </w:tcBorders>
            <w:vAlign w:val="center"/>
          </w:tcPr>
          <w:p w14:paraId="1887DDF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2F5B9CA8" w14:textId="77777777" w:rsidR="006F76EB" w:rsidRPr="006D5D99" w:rsidRDefault="006D5D99" w:rsidP="00F71229">
            <w:pPr>
              <w:spacing w:after="120" w:line="240" w:lineRule="auto"/>
              <w:ind w:right="-8"/>
              <w:jc w:val="center"/>
              <w:rPr>
                <w:rFonts w:ascii="Sylfaen" w:hAnsi="Sylfaen"/>
                <w:sz w:val="24"/>
                <w:szCs w:val="24"/>
                <w:lang w:val="ru-RU"/>
              </w:rPr>
            </w:pPr>
            <w:r>
              <w:rPr>
                <w:rFonts w:ascii="Sylfaen" w:hAnsi="Sylfaen"/>
                <w:sz w:val="24"/>
                <w:szCs w:val="24"/>
                <w:lang w:val="ru-RU"/>
              </w:rPr>
              <w:t>+</w:t>
            </w:r>
          </w:p>
        </w:tc>
        <w:tc>
          <w:tcPr>
            <w:tcW w:w="1560" w:type="dxa"/>
            <w:tcBorders>
              <w:top w:val="nil"/>
              <w:left w:val="nil"/>
              <w:bottom w:val="nil"/>
              <w:right w:val="nil"/>
            </w:tcBorders>
            <w:vAlign w:val="center"/>
          </w:tcPr>
          <w:p w14:paraId="6895B4E4"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1399E762" w14:textId="77777777" w:rsidTr="001A24A9">
        <w:trPr>
          <w:jc w:val="center"/>
        </w:trPr>
        <w:tc>
          <w:tcPr>
            <w:tcW w:w="1134" w:type="dxa"/>
            <w:tcBorders>
              <w:top w:val="nil"/>
              <w:left w:val="nil"/>
              <w:bottom w:val="nil"/>
              <w:right w:val="nil"/>
            </w:tcBorders>
            <w:vAlign w:val="center"/>
          </w:tcPr>
          <w:p w14:paraId="693ACC02"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0FB1676F"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23D9C6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74A95FED"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0D1F43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3191E7A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456FA73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676EA46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1AA5B878" w14:textId="77777777" w:rsidR="006F76EB" w:rsidRPr="00834D52" w:rsidRDefault="006F76EB" w:rsidP="00F71229">
            <w:pPr>
              <w:spacing w:after="120" w:line="240" w:lineRule="auto"/>
              <w:ind w:right="-8"/>
              <w:jc w:val="center"/>
              <w:rPr>
                <w:rFonts w:ascii="Sylfaen" w:hAnsi="Sylfaen"/>
                <w:sz w:val="24"/>
                <w:szCs w:val="24"/>
              </w:rPr>
            </w:pPr>
          </w:p>
        </w:tc>
        <w:tc>
          <w:tcPr>
            <w:tcW w:w="1560" w:type="dxa"/>
            <w:tcBorders>
              <w:top w:val="nil"/>
              <w:left w:val="nil"/>
              <w:bottom w:val="nil"/>
              <w:right w:val="nil"/>
            </w:tcBorders>
            <w:vAlign w:val="center"/>
          </w:tcPr>
          <w:p w14:paraId="62A29E25"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r w:rsidR="006F76EB" w:rsidRPr="00834D52" w14:paraId="32B6EABC" w14:textId="77777777" w:rsidTr="001A24A9">
        <w:trPr>
          <w:jc w:val="center"/>
        </w:trPr>
        <w:tc>
          <w:tcPr>
            <w:tcW w:w="1134" w:type="dxa"/>
            <w:tcBorders>
              <w:top w:val="nil"/>
              <w:left w:val="nil"/>
              <w:bottom w:val="nil"/>
              <w:right w:val="nil"/>
            </w:tcBorders>
            <w:vAlign w:val="center"/>
          </w:tcPr>
          <w:p w14:paraId="124E4A56"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r w:rsidRPr="00834D52">
              <w:rPr>
                <w:rFonts w:ascii="Sylfaen" w:hAnsi="Sylfaen"/>
                <w:sz w:val="24"/>
                <w:szCs w:val="24"/>
              </w:rPr>
              <w:t>5.4.</w:t>
            </w:r>
          </w:p>
        </w:tc>
        <w:tc>
          <w:tcPr>
            <w:tcW w:w="1276" w:type="dxa"/>
            <w:tcBorders>
              <w:top w:val="nil"/>
              <w:left w:val="nil"/>
              <w:bottom w:val="nil"/>
              <w:right w:val="nil"/>
            </w:tcBorders>
            <w:vAlign w:val="center"/>
          </w:tcPr>
          <w:p w14:paraId="60866D67"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984" w:type="dxa"/>
            <w:tcBorders>
              <w:top w:val="nil"/>
              <w:left w:val="nil"/>
              <w:bottom w:val="nil"/>
              <w:right w:val="nil"/>
            </w:tcBorders>
            <w:vAlign w:val="center"/>
          </w:tcPr>
          <w:p w14:paraId="201FF00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8" w:type="dxa"/>
            <w:tcBorders>
              <w:top w:val="nil"/>
              <w:left w:val="nil"/>
              <w:bottom w:val="nil"/>
              <w:right w:val="nil"/>
            </w:tcBorders>
            <w:vAlign w:val="center"/>
          </w:tcPr>
          <w:p w14:paraId="0448B7D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60" w:type="dxa"/>
            <w:tcBorders>
              <w:top w:val="nil"/>
              <w:left w:val="nil"/>
              <w:bottom w:val="nil"/>
              <w:right w:val="nil"/>
            </w:tcBorders>
            <w:vAlign w:val="center"/>
          </w:tcPr>
          <w:p w14:paraId="74C2089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417" w:type="dxa"/>
            <w:tcBorders>
              <w:top w:val="nil"/>
              <w:left w:val="nil"/>
              <w:bottom w:val="nil"/>
              <w:right w:val="nil"/>
            </w:tcBorders>
            <w:vAlign w:val="center"/>
          </w:tcPr>
          <w:p w14:paraId="52CFDC33"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559" w:type="dxa"/>
            <w:tcBorders>
              <w:top w:val="nil"/>
              <w:left w:val="nil"/>
              <w:bottom w:val="nil"/>
              <w:right w:val="nil"/>
            </w:tcBorders>
            <w:vAlign w:val="center"/>
          </w:tcPr>
          <w:p w14:paraId="0B3F607B"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r w:rsidRPr="00834D52">
              <w:rPr>
                <w:rFonts w:ascii="Sylfaen" w:hAnsi="Sylfaen"/>
                <w:sz w:val="24"/>
                <w:szCs w:val="24"/>
              </w:rPr>
              <w:t xml:space="preserve"> </w:t>
            </w:r>
          </w:p>
        </w:tc>
        <w:tc>
          <w:tcPr>
            <w:tcW w:w="1701" w:type="dxa"/>
            <w:tcBorders>
              <w:top w:val="nil"/>
              <w:left w:val="nil"/>
              <w:bottom w:val="nil"/>
              <w:right w:val="nil"/>
            </w:tcBorders>
            <w:vAlign w:val="center"/>
          </w:tcPr>
          <w:p w14:paraId="1964FAE5"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275" w:type="dxa"/>
            <w:tcBorders>
              <w:top w:val="nil"/>
              <w:left w:val="nil"/>
              <w:bottom w:val="nil"/>
              <w:right w:val="nil"/>
            </w:tcBorders>
            <w:vAlign w:val="center"/>
          </w:tcPr>
          <w:p w14:paraId="51F9DD1C" w14:textId="77777777" w:rsidR="006F76EB" w:rsidRPr="00834D52" w:rsidRDefault="006D5D99" w:rsidP="006D5D99">
            <w:pPr>
              <w:spacing w:after="120" w:line="240" w:lineRule="auto"/>
              <w:ind w:right="-8"/>
              <w:jc w:val="center"/>
              <w:rPr>
                <w:rFonts w:ascii="Sylfaen" w:eastAsia="Times New Roman" w:hAnsi="Sylfaen" w:cs="Times New Roman"/>
                <w:sz w:val="24"/>
                <w:szCs w:val="24"/>
              </w:rPr>
            </w:pPr>
            <w:r>
              <w:rPr>
                <w:rFonts w:ascii="Sylfaen" w:hAnsi="Sylfaen"/>
                <w:sz w:val="24"/>
                <w:szCs w:val="24"/>
                <w:lang w:val="ru-RU"/>
              </w:rPr>
              <w:t>+</w:t>
            </w:r>
          </w:p>
        </w:tc>
        <w:tc>
          <w:tcPr>
            <w:tcW w:w="1560" w:type="dxa"/>
            <w:tcBorders>
              <w:top w:val="nil"/>
              <w:left w:val="nil"/>
              <w:bottom w:val="nil"/>
              <w:right w:val="nil"/>
            </w:tcBorders>
            <w:vAlign w:val="center"/>
          </w:tcPr>
          <w:p w14:paraId="79A464AB" w14:textId="77777777" w:rsidR="006F76EB" w:rsidRPr="006D5D99" w:rsidRDefault="006D5D99" w:rsidP="00F71229">
            <w:pPr>
              <w:spacing w:after="120" w:line="240" w:lineRule="auto"/>
              <w:ind w:right="-8"/>
              <w:jc w:val="center"/>
              <w:rPr>
                <w:rFonts w:ascii="Sylfaen" w:eastAsia="Times New Roman" w:hAnsi="Sylfaen" w:cs="Times New Roman"/>
                <w:sz w:val="24"/>
                <w:szCs w:val="24"/>
                <w:lang w:val="ru-RU"/>
              </w:rPr>
            </w:pPr>
            <w:r>
              <w:rPr>
                <w:rFonts w:ascii="Sylfaen" w:eastAsia="Times New Roman" w:hAnsi="Sylfaen" w:cs="Times New Roman"/>
                <w:sz w:val="24"/>
                <w:szCs w:val="24"/>
                <w:lang w:val="ru-RU"/>
              </w:rPr>
              <w:t>+</w:t>
            </w:r>
          </w:p>
        </w:tc>
      </w:tr>
      <w:tr w:rsidR="006F76EB" w:rsidRPr="00834D52" w14:paraId="6FF979AA" w14:textId="77777777" w:rsidTr="001A24A9">
        <w:trPr>
          <w:jc w:val="center"/>
        </w:trPr>
        <w:tc>
          <w:tcPr>
            <w:tcW w:w="1134" w:type="dxa"/>
            <w:tcBorders>
              <w:top w:val="nil"/>
              <w:left w:val="nil"/>
              <w:bottom w:val="nil"/>
              <w:right w:val="nil"/>
            </w:tcBorders>
            <w:vAlign w:val="center"/>
          </w:tcPr>
          <w:p w14:paraId="2E57F674" w14:textId="77777777" w:rsidR="006F76EB" w:rsidRPr="00834D52" w:rsidRDefault="006F76EB" w:rsidP="00F71229">
            <w:pPr>
              <w:spacing w:after="120" w:line="240" w:lineRule="auto"/>
              <w:ind w:right="-8"/>
              <w:jc w:val="center"/>
              <w:rPr>
                <w:rFonts w:ascii="Sylfaen" w:hAnsi="Sylfaen"/>
                <w:sz w:val="24"/>
                <w:szCs w:val="24"/>
              </w:rPr>
            </w:pPr>
          </w:p>
        </w:tc>
        <w:tc>
          <w:tcPr>
            <w:tcW w:w="1276" w:type="dxa"/>
            <w:tcBorders>
              <w:top w:val="nil"/>
              <w:left w:val="nil"/>
              <w:bottom w:val="nil"/>
              <w:right w:val="nil"/>
            </w:tcBorders>
            <w:vAlign w:val="center"/>
          </w:tcPr>
          <w:p w14:paraId="7F9696E7"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984" w:type="dxa"/>
            <w:tcBorders>
              <w:top w:val="nil"/>
              <w:left w:val="nil"/>
              <w:bottom w:val="nil"/>
              <w:right w:val="nil"/>
            </w:tcBorders>
            <w:vAlign w:val="center"/>
          </w:tcPr>
          <w:p w14:paraId="4F282928"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8" w:type="dxa"/>
            <w:tcBorders>
              <w:top w:val="nil"/>
              <w:left w:val="nil"/>
              <w:bottom w:val="nil"/>
              <w:right w:val="nil"/>
            </w:tcBorders>
            <w:vAlign w:val="center"/>
          </w:tcPr>
          <w:p w14:paraId="52BFCC81"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23155D10"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417" w:type="dxa"/>
            <w:tcBorders>
              <w:top w:val="nil"/>
              <w:left w:val="nil"/>
              <w:bottom w:val="nil"/>
              <w:right w:val="nil"/>
            </w:tcBorders>
            <w:vAlign w:val="center"/>
          </w:tcPr>
          <w:p w14:paraId="059FED62"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59" w:type="dxa"/>
            <w:tcBorders>
              <w:top w:val="nil"/>
              <w:left w:val="nil"/>
              <w:bottom w:val="nil"/>
              <w:right w:val="nil"/>
            </w:tcBorders>
            <w:vAlign w:val="center"/>
          </w:tcPr>
          <w:p w14:paraId="63626F6A"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701" w:type="dxa"/>
            <w:tcBorders>
              <w:top w:val="nil"/>
              <w:left w:val="nil"/>
              <w:bottom w:val="nil"/>
              <w:right w:val="nil"/>
            </w:tcBorders>
            <w:vAlign w:val="center"/>
          </w:tcPr>
          <w:p w14:paraId="525912CB"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275" w:type="dxa"/>
            <w:tcBorders>
              <w:top w:val="nil"/>
              <w:left w:val="nil"/>
              <w:bottom w:val="nil"/>
              <w:right w:val="nil"/>
            </w:tcBorders>
            <w:vAlign w:val="center"/>
          </w:tcPr>
          <w:p w14:paraId="3E32D50E"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c>
          <w:tcPr>
            <w:tcW w:w="1560" w:type="dxa"/>
            <w:tcBorders>
              <w:top w:val="nil"/>
              <w:left w:val="nil"/>
              <w:bottom w:val="nil"/>
              <w:right w:val="nil"/>
            </w:tcBorders>
            <w:vAlign w:val="center"/>
          </w:tcPr>
          <w:p w14:paraId="3F2455B9" w14:textId="77777777" w:rsidR="006F76EB" w:rsidRPr="00834D52" w:rsidRDefault="006F76EB" w:rsidP="00F71229">
            <w:pPr>
              <w:spacing w:after="120" w:line="240" w:lineRule="auto"/>
              <w:ind w:right="-8"/>
              <w:jc w:val="center"/>
              <w:rPr>
                <w:rFonts w:ascii="Sylfaen" w:eastAsia="Times New Roman" w:hAnsi="Sylfaen" w:cs="Times New Roman"/>
                <w:sz w:val="24"/>
                <w:szCs w:val="24"/>
              </w:rPr>
            </w:pPr>
          </w:p>
        </w:tc>
      </w:tr>
    </w:tbl>
    <w:p w14:paraId="50BD5855" w14:textId="77777777" w:rsidR="006F76EB" w:rsidRPr="00834D52" w:rsidRDefault="006F76EB" w:rsidP="006F76EB">
      <w:pPr>
        <w:spacing w:after="120" w:line="240" w:lineRule="auto"/>
        <w:ind w:right="-8"/>
        <w:rPr>
          <w:rFonts w:ascii="Sylfaen" w:hAnsi="Sylfaen"/>
          <w:sz w:val="24"/>
          <w:szCs w:val="24"/>
        </w:rPr>
      </w:pPr>
    </w:p>
    <w:p w14:paraId="0AF28C2D" w14:textId="77777777" w:rsidR="009C4CE7" w:rsidRPr="009C4CE7" w:rsidRDefault="006F76EB" w:rsidP="00450D30">
      <w:pPr>
        <w:spacing w:after="120" w:line="240" w:lineRule="auto"/>
        <w:ind w:right="-8"/>
        <w:jc w:val="both"/>
        <w:rPr>
          <w:rFonts w:ascii="Sylfaen" w:eastAsia="Times New Roman" w:hAnsi="Sylfaen" w:cs="Times New Roman"/>
          <w:lang w:val="en-US"/>
        </w:rPr>
      </w:pPr>
      <w:r w:rsidRPr="00834D52">
        <w:rPr>
          <w:rFonts w:ascii="Sylfaen" w:hAnsi="Sylfaen"/>
        </w:rPr>
        <w:t>Ծանոթագրություն. Օգտագործվող նշանները՝</w:t>
      </w:r>
    </w:p>
    <w:p w14:paraId="15F83EEA" w14:textId="77777777" w:rsidR="006F76EB" w:rsidRPr="00834D52" w:rsidRDefault="00E90FAF" w:rsidP="00450D30">
      <w:pPr>
        <w:spacing w:after="120" w:line="240" w:lineRule="auto"/>
        <w:ind w:right="-8"/>
        <w:jc w:val="both"/>
        <w:rPr>
          <w:rFonts w:ascii="Sylfaen" w:hAnsi="Sylfaen"/>
        </w:rPr>
      </w:pPr>
      <w:r w:rsidRPr="00E90FAF">
        <w:rPr>
          <w:rFonts w:ascii="Sylfaen" w:hAnsi="Sylfaen"/>
          <w:lang w:val="en-US"/>
        </w:rPr>
        <w:t>«</w:t>
      </w:r>
      <w:r w:rsidR="006F76EB" w:rsidRPr="00834D52">
        <w:rPr>
          <w:rFonts w:ascii="Sylfaen" w:hAnsi="Sylfaen"/>
        </w:rPr>
        <w:t>+</w:t>
      </w:r>
      <w:r w:rsidRPr="00E90FAF">
        <w:rPr>
          <w:rFonts w:ascii="Sylfaen" w:hAnsi="Sylfaen"/>
          <w:lang w:val="en-US"/>
        </w:rPr>
        <w:t>»</w:t>
      </w:r>
      <w:r w:rsidR="006F76EB" w:rsidRPr="00834D52">
        <w:rPr>
          <w:rFonts w:ascii="Sylfaen" w:hAnsi="Sylfaen"/>
        </w:rPr>
        <w:t xml:space="preserve">` փաստաթուղթը </w:t>
      </w:r>
      <w:r w:rsidR="009C4CE7">
        <w:rPr>
          <w:rFonts w:ascii="Sylfaen" w:hAnsi="Sylfaen"/>
        </w:rPr>
        <w:t xml:space="preserve">պարտադիր կարգով կամ անհրաժեշտության դեպքում </w:t>
      </w:r>
      <w:r w:rsidR="006F76EB" w:rsidRPr="00834D52">
        <w:rPr>
          <w:rFonts w:ascii="Sylfaen" w:hAnsi="Sylfaen"/>
        </w:rPr>
        <w:t xml:space="preserve">ներկայացվում է </w:t>
      </w:r>
      <w:r w:rsidR="009C4CE7">
        <w:rPr>
          <w:rFonts w:ascii="Sylfaen" w:hAnsi="Sylfaen"/>
        </w:rPr>
        <w:t xml:space="preserve">սույն հավելվածի </w:t>
      </w:r>
      <w:r w:rsidR="009C4CE7">
        <w:rPr>
          <w:rFonts w:ascii="Sylfaen" w:hAnsi="Sylfaen"/>
          <w:lang w:val="en-US"/>
        </w:rPr>
        <w:t xml:space="preserve">I </w:t>
      </w:r>
      <w:r w:rsidR="009C4CE7">
        <w:rPr>
          <w:rFonts w:ascii="Sylfaen" w:hAnsi="Sylfaen"/>
        </w:rPr>
        <w:t>մասում ներկայացված ցուցումներին համապատասխան</w:t>
      </w:r>
      <w:r w:rsidR="006F76EB" w:rsidRPr="00834D52">
        <w:rPr>
          <w:rFonts w:ascii="Sylfaen" w:hAnsi="Sylfaen"/>
        </w:rPr>
        <w:t xml:space="preserve"> </w:t>
      </w:r>
    </w:p>
    <w:p w14:paraId="6F92630F" w14:textId="77777777" w:rsidR="006F76EB" w:rsidRPr="00834D52" w:rsidRDefault="00E90FAF" w:rsidP="00450D30">
      <w:pPr>
        <w:spacing w:after="120" w:line="240" w:lineRule="auto"/>
        <w:ind w:right="-8"/>
        <w:jc w:val="both"/>
        <w:rPr>
          <w:rFonts w:ascii="Sylfaen" w:eastAsia="Times New Roman" w:hAnsi="Sylfaen" w:cs="Times New Roman"/>
        </w:rPr>
      </w:pPr>
      <w:r w:rsidRPr="00E90FAF">
        <w:rPr>
          <w:rFonts w:ascii="Sylfaen" w:hAnsi="Sylfaen"/>
        </w:rPr>
        <w:t>«(+)»</w:t>
      </w:r>
      <w:r w:rsidR="006F76EB" w:rsidRPr="00834D52">
        <w:rPr>
          <w:rFonts w:ascii="Sylfaen" w:hAnsi="Sylfaen"/>
        </w:rPr>
        <w:t>՝</w:t>
      </w:r>
      <w:r w:rsidR="00557AE2" w:rsidRPr="00834D52">
        <w:rPr>
          <w:rFonts w:ascii="Sylfaen" w:hAnsi="Sylfaen"/>
        </w:rPr>
        <w:t>փաստաթուղթը ներկայացվում է առկայության դեպքում</w:t>
      </w:r>
      <w:r w:rsidR="00BA33FD">
        <w:rPr>
          <w:rFonts w:ascii="Sylfaen" w:hAnsi="Sylfaen"/>
        </w:rPr>
        <w:t>,</w:t>
      </w:r>
    </w:p>
    <w:p w14:paraId="5DEF1E4C" w14:textId="091B9B55" w:rsidR="006F76EB" w:rsidRDefault="00E90FAF" w:rsidP="00450D30">
      <w:pPr>
        <w:spacing w:after="120" w:line="240" w:lineRule="auto"/>
        <w:ind w:right="-8"/>
        <w:jc w:val="both"/>
        <w:rPr>
          <w:rFonts w:ascii="Sylfaen" w:hAnsi="Sylfaen"/>
        </w:rPr>
      </w:pPr>
      <w:r w:rsidRPr="00E90FAF">
        <w:rPr>
          <w:rFonts w:ascii="Sylfaen" w:hAnsi="Sylfaen"/>
        </w:rPr>
        <w:t>«</w:t>
      </w:r>
      <w:r w:rsidR="006F76EB" w:rsidRPr="00834D52">
        <w:rPr>
          <w:rFonts w:ascii="Sylfaen" w:hAnsi="Sylfaen"/>
        </w:rPr>
        <w:t>-</w:t>
      </w:r>
      <w:r w:rsidRPr="00E90FAF">
        <w:rPr>
          <w:rFonts w:ascii="Sylfaen" w:hAnsi="Sylfaen"/>
        </w:rPr>
        <w:t>»`</w:t>
      </w:r>
      <w:r w:rsidR="002B4BF8">
        <w:rPr>
          <w:rFonts w:ascii="Sylfaen" w:hAnsi="Sylfaen"/>
        </w:rPr>
        <w:t>փաստաթուղթը չի ներկայացվում</w:t>
      </w:r>
      <w:r w:rsidR="00280E60">
        <w:rPr>
          <w:rFonts w:ascii="Sylfaen" w:hAnsi="Sylfaen"/>
        </w:rPr>
        <w:t>:</w:t>
      </w:r>
    </w:p>
    <w:p w14:paraId="6A3013E8" w14:textId="76920273" w:rsidR="00C43BF0" w:rsidRPr="006F28F9" w:rsidRDefault="00C43BF0" w:rsidP="00C43BF0">
      <w:pPr>
        <w:rPr>
          <w:b/>
          <w:bCs/>
          <w:i/>
          <w:iCs/>
        </w:rPr>
      </w:pPr>
      <w:r w:rsidRPr="00CD4709">
        <w:rPr>
          <w:b/>
          <w:bCs/>
          <w:i/>
          <w:iCs/>
        </w:rPr>
        <w:t>(</w:t>
      </w:r>
      <w:r>
        <w:rPr>
          <w:b/>
          <w:bCs/>
          <w:i/>
          <w:iCs/>
        </w:rPr>
        <w:t xml:space="preserve">հավելվածը </w:t>
      </w:r>
      <w:r w:rsidRPr="00CD4709">
        <w:rPr>
          <w:b/>
          <w:bCs/>
          <w:i/>
          <w:iCs/>
        </w:rPr>
        <w:t>փոփ. 30.01.20 թիվ 9</w:t>
      </w:r>
      <w:r w:rsidR="00AF5497">
        <w:rPr>
          <w:b/>
          <w:bCs/>
          <w:i/>
          <w:iCs/>
        </w:rPr>
        <w:t xml:space="preserve">, </w:t>
      </w:r>
      <w:r w:rsidR="00AF5497">
        <w:rPr>
          <w:b/>
          <w:bCs/>
          <w:i/>
          <w:iCs/>
        </w:rPr>
        <w:t>լրաց 23.04.21 թիվ 34</w:t>
      </w:r>
      <w:r w:rsidRPr="00CD4709">
        <w:rPr>
          <w:b/>
          <w:bCs/>
          <w:i/>
          <w:iCs/>
        </w:rPr>
        <w:t>)</w:t>
      </w:r>
    </w:p>
    <w:p w14:paraId="0322D41D" w14:textId="77777777" w:rsidR="00C43BF0" w:rsidRPr="00834D52" w:rsidRDefault="00C43BF0" w:rsidP="00450D30">
      <w:pPr>
        <w:spacing w:after="120" w:line="240" w:lineRule="auto"/>
        <w:ind w:right="-8"/>
        <w:jc w:val="both"/>
        <w:rPr>
          <w:rFonts w:ascii="Sylfaen" w:eastAsia="Times New Roman" w:hAnsi="Sylfaen" w:cs="Times New Roman"/>
        </w:rPr>
      </w:pPr>
    </w:p>
    <w:p w14:paraId="396A4085" w14:textId="77777777" w:rsidR="006F76EB" w:rsidRPr="00834D52" w:rsidRDefault="006F76EB" w:rsidP="006F76EB">
      <w:pPr>
        <w:spacing w:after="120" w:line="240" w:lineRule="auto"/>
        <w:ind w:right="-8"/>
        <w:rPr>
          <w:rFonts w:ascii="Sylfaen" w:eastAsia="Times New Roman" w:hAnsi="Sylfaen" w:cs="Times New Roman"/>
          <w:sz w:val="24"/>
          <w:szCs w:val="24"/>
        </w:rPr>
      </w:pPr>
    </w:p>
    <w:p w14:paraId="3C3A1245" w14:textId="77777777" w:rsidR="006F76EB" w:rsidRPr="00834D52" w:rsidRDefault="006F76EB" w:rsidP="006F76EB">
      <w:pPr>
        <w:spacing w:after="120" w:line="240" w:lineRule="auto"/>
        <w:ind w:right="-8"/>
        <w:rPr>
          <w:rFonts w:ascii="Sylfaen" w:eastAsia="Times New Roman" w:hAnsi="Sylfaen" w:cs="Times New Roman"/>
          <w:sz w:val="24"/>
          <w:szCs w:val="24"/>
        </w:rPr>
        <w:sectPr w:rsidR="006F76EB" w:rsidRPr="00834D52" w:rsidSect="00F71229">
          <w:headerReference w:type="default" r:id="rId12"/>
          <w:pgSz w:w="16840" w:h="11920" w:orient="landscape"/>
          <w:pgMar w:top="1418" w:right="1418" w:bottom="1418" w:left="1418" w:header="882" w:footer="395" w:gutter="0"/>
          <w:cols w:space="720"/>
        </w:sectPr>
      </w:pPr>
    </w:p>
    <w:p w14:paraId="1ADBC6BF"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lastRenderedPageBreak/>
        <w:t xml:space="preserve">ՀԱՎԵԼՎԱԾ </w:t>
      </w:r>
      <w:r w:rsidR="002C1A53">
        <w:rPr>
          <w:rFonts w:ascii="Sylfaen" w:hAnsi="Sylfaen"/>
          <w:sz w:val="24"/>
          <w:szCs w:val="24"/>
        </w:rPr>
        <w:t xml:space="preserve">ԹԻՎ </w:t>
      </w:r>
      <w:r w:rsidRPr="00834D52">
        <w:rPr>
          <w:rFonts w:ascii="Sylfaen" w:hAnsi="Sylfaen"/>
          <w:sz w:val="24"/>
          <w:szCs w:val="24"/>
        </w:rPr>
        <w:t>5</w:t>
      </w:r>
    </w:p>
    <w:p w14:paraId="7C645384" w14:textId="77777777" w:rsidR="006F76EB" w:rsidRPr="00834D52" w:rsidRDefault="006F76EB" w:rsidP="006F76EB">
      <w:pPr>
        <w:tabs>
          <w:tab w:val="left" w:pos="4395"/>
        </w:tabs>
        <w:spacing w:after="160" w:line="360" w:lineRule="auto"/>
        <w:ind w:left="4395" w:right="-8"/>
        <w:jc w:val="center"/>
        <w:rPr>
          <w:rFonts w:ascii="Sylfaen" w:eastAsia="Times New Roman" w:hAnsi="Sylfaen" w:cs="Times New Roman"/>
          <w:sz w:val="24"/>
          <w:szCs w:val="24"/>
        </w:rPr>
      </w:pPr>
      <w:r w:rsidRPr="00834D52">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w:t>
      </w:r>
    </w:p>
    <w:p w14:paraId="2FE4EFC2" w14:textId="77777777" w:rsidR="006F76EB" w:rsidRPr="00834D52" w:rsidRDefault="006F76EB" w:rsidP="006F76EB">
      <w:pPr>
        <w:spacing w:after="160" w:line="360" w:lineRule="auto"/>
        <w:ind w:right="-8"/>
        <w:rPr>
          <w:rFonts w:ascii="Sylfaen" w:hAnsi="Sylfaen"/>
          <w:sz w:val="24"/>
          <w:szCs w:val="24"/>
        </w:rPr>
      </w:pPr>
    </w:p>
    <w:p w14:paraId="7CCEA23D"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ԿԱՌՈՒՑՎԱԾՔԸ</w:t>
      </w:r>
    </w:p>
    <w:p w14:paraId="1E330A47"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b/>
          <w:sz w:val="24"/>
          <w:szCs w:val="24"/>
        </w:rPr>
        <w:t>բժշկական նշանակության դեղապատրաստուկների գրանցման համար նախատեսված ընդհանուր տեխնիկական փաստաթղթի</w:t>
      </w:r>
    </w:p>
    <w:p w14:paraId="271E130C" w14:textId="77777777" w:rsidR="006F76EB" w:rsidRPr="00834D52" w:rsidRDefault="006F76EB" w:rsidP="006F76EB">
      <w:pPr>
        <w:spacing w:after="160" w:line="360" w:lineRule="auto"/>
        <w:ind w:right="-8"/>
        <w:rPr>
          <w:rFonts w:ascii="Sylfaen" w:hAnsi="Sylfaen"/>
          <w:sz w:val="24"/>
          <w:szCs w:val="24"/>
        </w:rPr>
      </w:pPr>
    </w:p>
    <w:p w14:paraId="47CD7140" w14:textId="77777777" w:rsidR="006F76EB" w:rsidRPr="00834D52" w:rsidRDefault="006F76EB" w:rsidP="006F76EB">
      <w:pPr>
        <w:spacing w:after="160" w:line="360" w:lineRule="auto"/>
        <w:ind w:right="-8"/>
        <w:jc w:val="center"/>
        <w:rPr>
          <w:rFonts w:ascii="Sylfaen" w:eastAsia="Times New Roman" w:hAnsi="Sylfaen" w:cs="Times New Roman"/>
          <w:sz w:val="24"/>
          <w:szCs w:val="24"/>
        </w:rPr>
      </w:pPr>
      <w:r w:rsidRPr="00834D52">
        <w:rPr>
          <w:rFonts w:ascii="Sylfaen" w:hAnsi="Sylfaen"/>
          <w:sz w:val="24"/>
          <w:szCs w:val="24"/>
        </w:rPr>
        <w:t>I. Նպատակը</w:t>
      </w:r>
    </w:p>
    <w:p w14:paraId="2F7E7F70"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փաստաթուղթն անդամ պետությունների լիազորված մարմինների կողմից տրամադրվող գրանցման դոսյեների՝ պատշաճ ձ</w:t>
      </w:r>
      <w:r w:rsidR="00C54D75">
        <w:rPr>
          <w:rFonts w:ascii="Sylfaen" w:hAnsi="Sylfaen"/>
          <w:sz w:val="24"/>
          <w:szCs w:val="24"/>
        </w:rPr>
        <w:t>և</w:t>
      </w:r>
      <w:r w:rsidRPr="00834D52">
        <w:rPr>
          <w:rFonts w:ascii="Sylfaen" w:hAnsi="Sylfaen"/>
          <w:sz w:val="24"/>
          <w:szCs w:val="24"/>
        </w:rPr>
        <w:t>ով կառուցվածքավորված ընդհանուր տեխնիկական փաստաթղթի (այսուհետ՝ ԸՏՓ) ներկայացման՝ Եվրասիական տնտեսական միության անդամ պետությունների (այսուհետ համապատասխանաբար՝ Միություն, անդամ պետություններ) կողմից համաձայնեցված ընդհանուր ձ</w:t>
      </w:r>
      <w:r w:rsidR="00C54D75">
        <w:rPr>
          <w:rFonts w:ascii="Sylfaen" w:hAnsi="Sylfaen"/>
          <w:sz w:val="24"/>
          <w:szCs w:val="24"/>
        </w:rPr>
        <w:t>և</w:t>
      </w:r>
      <w:r w:rsidRPr="00834D52">
        <w:rPr>
          <w:rFonts w:ascii="Sylfaen" w:hAnsi="Sylfaen"/>
          <w:sz w:val="24"/>
          <w:szCs w:val="24"/>
        </w:rPr>
        <w:t>աչափն է։</w:t>
      </w:r>
    </w:p>
    <w:p w14:paraId="22EBC7B4"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Տեխնիկական փաստաթղթերի ընդհանուր ձ</w:t>
      </w:r>
      <w:r w:rsidR="00C54D75">
        <w:rPr>
          <w:rFonts w:ascii="Sylfaen" w:hAnsi="Sylfaen"/>
          <w:sz w:val="24"/>
          <w:szCs w:val="24"/>
        </w:rPr>
        <w:t>և</w:t>
      </w:r>
      <w:r w:rsidRPr="00834D52">
        <w:rPr>
          <w:rFonts w:ascii="Sylfaen" w:hAnsi="Sylfaen"/>
          <w:sz w:val="24"/>
          <w:szCs w:val="24"/>
        </w:rPr>
        <w:t xml:space="preserve">աչափն էապես կրճատում է բժշկական կիրառության դեղապատրաստուկների վերաբերյալ գրանցման դոսյեներ կազմելու վրա ծախսվող ժամանակն ու ռեսուրսները </w:t>
      </w:r>
      <w:r w:rsidR="00C54D75">
        <w:rPr>
          <w:rFonts w:ascii="Sylfaen" w:hAnsi="Sylfaen"/>
          <w:sz w:val="24"/>
          <w:szCs w:val="24"/>
        </w:rPr>
        <w:t>և</w:t>
      </w:r>
      <w:r w:rsidRPr="00834D52">
        <w:rPr>
          <w:rFonts w:ascii="Sylfaen" w:hAnsi="Sylfaen"/>
          <w:sz w:val="24"/>
          <w:szCs w:val="24"/>
        </w:rPr>
        <w:t xml:space="preserve"> դյուրացնում է ընդհանուր տեխնիկական փաստաթղթի ձ</w:t>
      </w:r>
      <w:r w:rsidR="00C54D75">
        <w:rPr>
          <w:rFonts w:ascii="Sylfaen" w:hAnsi="Sylfaen"/>
          <w:sz w:val="24"/>
          <w:szCs w:val="24"/>
        </w:rPr>
        <w:t>և</w:t>
      </w:r>
      <w:r w:rsidRPr="00834D52">
        <w:rPr>
          <w:rFonts w:ascii="Sylfaen" w:hAnsi="Sylfaen"/>
          <w:sz w:val="24"/>
          <w:szCs w:val="24"/>
        </w:rPr>
        <w:t xml:space="preserve">աչափով փաստաթղթերի էլեկտրոնային տարբերակով ներկայացնելը (այսուհետ՝ ԷԸՏՓ)։ </w:t>
      </w:r>
    </w:p>
    <w:p w14:paraId="4A58F9F7" w14:textId="2FEDCD6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Փաստաթղթերի ընդհանուր տարրերն ստանդարտացնելիս պարզեցվում է կարգավորիչ փորձաքննությունը </w:t>
      </w:r>
      <w:r w:rsidR="00C54D75">
        <w:rPr>
          <w:rFonts w:ascii="Sylfaen" w:hAnsi="Sylfaen"/>
          <w:sz w:val="24"/>
          <w:szCs w:val="24"/>
        </w:rPr>
        <w:t>և</w:t>
      </w:r>
      <w:r w:rsidRPr="00834D52">
        <w:rPr>
          <w:rFonts w:ascii="Sylfaen" w:hAnsi="Sylfaen"/>
          <w:sz w:val="24"/>
          <w:szCs w:val="24"/>
        </w:rPr>
        <w:t xml:space="preserve"> </w:t>
      </w:r>
      <w:r w:rsidR="0056496B">
        <w:rPr>
          <w:rFonts w:ascii="Sylfaen" w:hAnsi="Sylfaen"/>
          <w:sz w:val="24"/>
          <w:szCs w:val="24"/>
        </w:rPr>
        <w:t>դիմումատու</w:t>
      </w:r>
      <w:r w:rsidRPr="00834D52">
        <w:rPr>
          <w:rFonts w:ascii="Sylfaen" w:hAnsi="Sylfaen"/>
          <w:sz w:val="24"/>
          <w:szCs w:val="24"/>
        </w:rPr>
        <w:t>ի հետ փոխգործակցությունը։ Բացի այդ, դյուրացվում է անդամ պետությունների լիազորված մարմինների միջ</w:t>
      </w:r>
      <w:r w:rsidR="00C54D75">
        <w:rPr>
          <w:rFonts w:ascii="Sylfaen" w:hAnsi="Sylfaen"/>
          <w:sz w:val="24"/>
          <w:szCs w:val="24"/>
        </w:rPr>
        <w:t>և</w:t>
      </w:r>
      <w:r w:rsidRPr="00834D52">
        <w:rPr>
          <w:rFonts w:ascii="Sylfaen" w:hAnsi="Sylfaen"/>
          <w:sz w:val="24"/>
          <w:szCs w:val="24"/>
        </w:rPr>
        <w:t xml:space="preserve"> կարգավորիչ տեղեկատվության փոխանակումը։</w:t>
      </w:r>
    </w:p>
    <w:p w14:paraId="527A4DB3" w14:textId="77777777" w:rsidR="006F76EB" w:rsidRPr="00834D52" w:rsidRDefault="006F76EB" w:rsidP="006F76EB">
      <w:pPr>
        <w:spacing w:after="160" w:line="360" w:lineRule="auto"/>
        <w:ind w:right="-8"/>
        <w:rPr>
          <w:rFonts w:ascii="Sylfaen" w:hAnsi="Sylfaen"/>
          <w:sz w:val="24"/>
          <w:szCs w:val="24"/>
        </w:rPr>
      </w:pPr>
    </w:p>
    <w:p w14:paraId="3903A51E"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lastRenderedPageBreak/>
        <w:t>II. Կիրառության ոլորտը</w:t>
      </w:r>
    </w:p>
    <w:p w14:paraId="5BE2489D" w14:textId="77777777"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գլխավորապես քննարկվում է նոր դեղապատրաստուկների (ներառյալ՝ կենսատեխնոլոգիական դեղապարաստուկների) վերաբերյալ գրանցման դոսյեների կազմում ներկայացման ենթակա տեղեկությունների կազմակերպումը։</w:t>
      </w:r>
    </w:p>
    <w:p w14:paraId="13088B46" w14:textId="5C4F7E98" w:rsidR="006F76EB" w:rsidRPr="00834D52" w:rsidRDefault="006F76EB" w:rsidP="006F76EB">
      <w:pPr>
        <w:spacing w:after="160" w:line="360" w:lineRule="auto"/>
        <w:ind w:right="-8" w:firstLine="567"/>
        <w:jc w:val="both"/>
        <w:rPr>
          <w:rFonts w:ascii="Sylfaen" w:eastAsia="Times New Roman" w:hAnsi="Sylfaen" w:cs="Times New Roman"/>
          <w:sz w:val="24"/>
          <w:szCs w:val="24"/>
        </w:rPr>
      </w:pPr>
      <w:r w:rsidRPr="00834D52">
        <w:rPr>
          <w:rFonts w:ascii="Sylfaen" w:hAnsi="Sylfaen"/>
          <w:sz w:val="24"/>
          <w:szCs w:val="24"/>
        </w:rPr>
        <w:t>Սույն փաստաթղթում բացակայում են պարզաբանումներ, թե որ հետազոտությունների արդյունքներն է անհրաժեշտ ներկայացնել։ Սույն փաստաթուղթը միայն մատնանշում է ստացված տվյալների ներկայացման համապատասխան ձ</w:t>
      </w:r>
      <w:r w:rsidR="00C54D75">
        <w:rPr>
          <w:rFonts w:ascii="Sylfaen" w:hAnsi="Sylfaen"/>
          <w:sz w:val="24"/>
          <w:szCs w:val="24"/>
        </w:rPr>
        <w:t>և</w:t>
      </w:r>
      <w:r w:rsidRPr="00834D52">
        <w:rPr>
          <w:rFonts w:ascii="Sylfaen" w:hAnsi="Sylfaen"/>
          <w:sz w:val="24"/>
          <w:szCs w:val="24"/>
        </w:rPr>
        <w:t xml:space="preserve">աչափը։ </w:t>
      </w:r>
      <w:r w:rsidR="0056496B">
        <w:rPr>
          <w:rFonts w:ascii="Sylfaen" w:hAnsi="Sylfaen"/>
          <w:sz w:val="24"/>
          <w:szCs w:val="24"/>
        </w:rPr>
        <w:t>Դիմումատու</w:t>
      </w:r>
      <w:r w:rsidRPr="00834D52">
        <w:rPr>
          <w:rFonts w:ascii="Sylfaen" w:hAnsi="Sylfaen"/>
          <w:sz w:val="24"/>
          <w:szCs w:val="24"/>
        </w:rPr>
        <w:t xml:space="preserve">ներն իրավասու չեն փոխելու սույն փաստաթղթում նկարագրված ԸՏՓ-ի սկզբունքային կազմակերպումը։ Սակայն նախակլինիկական </w:t>
      </w:r>
      <w:r w:rsidR="00C54D75">
        <w:rPr>
          <w:rFonts w:ascii="Sylfaen" w:hAnsi="Sylfaen"/>
          <w:sz w:val="24"/>
          <w:szCs w:val="24"/>
        </w:rPr>
        <w:t>և</w:t>
      </w:r>
      <w:r w:rsidRPr="00834D52">
        <w:rPr>
          <w:rFonts w:ascii="Sylfaen" w:hAnsi="Sylfaen"/>
          <w:sz w:val="24"/>
          <w:szCs w:val="24"/>
        </w:rPr>
        <w:t xml:space="preserve"> կլինիկական ռեզյումեներում </w:t>
      </w:r>
      <w:r w:rsidR="0056496B">
        <w:rPr>
          <w:rFonts w:ascii="Sylfaen" w:hAnsi="Sylfaen"/>
          <w:sz w:val="24"/>
          <w:szCs w:val="24"/>
        </w:rPr>
        <w:t>դիմումատու</w:t>
      </w:r>
      <w:r w:rsidRPr="00834D52">
        <w:rPr>
          <w:rFonts w:ascii="Sylfaen" w:hAnsi="Sylfaen"/>
          <w:sz w:val="24"/>
          <w:szCs w:val="24"/>
        </w:rPr>
        <w:t>ներն իրավասու են փոխելու առանձին ձ</w:t>
      </w:r>
      <w:r w:rsidR="00C54D75">
        <w:rPr>
          <w:rFonts w:ascii="Sylfaen" w:hAnsi="Sylfaen"/>
          <w:sz w:val="24"/>
          <w:szCs w:val="24"/>
        </w:rPr>
        <w:t>և</w:t>
      </w:r>
      <w:r w:rsidRPr="00834D52">
        <w:rPr>
          <w:rFonts w:ascii="Sylfaen" w:hAnsi="Sylfaen"/>
          <w:sz w:val="24"/>
          <w:szCs w:val="24"/>
        </w:rPr>
        <w:t xml:space="preserve">աչափեր, եթե այդ է պահանջում արդյունքները հասկանալուն </w:t>
      </w:r>
      <w:r w:rsidR="00C54D75">
        <w:rPr>
          <w:rFonts w:ascii="Sylfaen" w:hAnsi="Sylfaen"/>
          <w:sz w:val="24"/>
          <w:szCs w:val="24"/>
        </w:rPr>
        <w:t>և</w:t>
      </w:r>
      <w:r w:rsidRPr="00834D52">
        <w:rPr>
          <w:rFonts w:ascii="Sylfaen" w:hAnsi="Sylfaen"/>
          <w:sz w:val="24"/>
          <w:szCs w:val="24"/>
        </w:rPr>
        <w:t xml:space="preserve"> գնահատելուն նպաստելու նպատակով տեխնիկական տեղեկությունների օպտիմալ ներկայացումը։</w:t>
      </w:r>
    </w:p>
    <w:p w14:paraId="49D3C6E8" w14:textId="77777777" w:rsidR="006F76EB" w:rsidRPr="00834D52" w:rsidRDefault="006F76EB" w:rsidP="006F76EB">
      <w:pPr>
        <w:spacing w:after="160" w:line="360" w:lineRule="auto"/>
        <w:ind w:right="-8"/>
        <w:rPr>
          <w:rFonts w:ascii="Sylfaen" w:hAnsi="Sylfaen"/>
          <w:sz w:val="24"/>
          <w:szCs w:val="24"/>
        </w:rPr>
      </w:pPr>
    </w:p>
    <w:p w14:paraId="5C82A140" w14:textId="77777777" w:rsidR="006F76EB" w:rsidRPr="00834D52" w:rsidRDefault="006F76EB" w:rsidP="006F76EB">
      <w:pPr>
        <w:spacing w:after="160" w:line="360" w:lineRule="auto"/>
        <w:ind w:left="567" w:right="579"/>
        <w:jc w:val="center"/>
        <w:rPr>
          <w:rFonts w:ascii="Sylfaen" w:eastAsia="Times New Roman" w:hAnsi="Sylfaen" w:cs="Times New Roman"/>
          <w:sz w:val="24"/>
          <w:szCs w:val="24"/>
        </w:rPr>
      </w:pPr>
      <w:r w:rsidRPr="00834D52">
        <w:rPr>
          <w:rFonts w:ascii="Sylfaen" w:hAnsi="Sylfaen"/>
          <w:sz w:val="24"/>
          <w:szCs w:val="24"/>
        </w:rPr>
        <w:t>III. Ընդհանուր սկզբունքները</w:t>
      </w:r>
    </w:p>
    <w:p w14:paraId="1A70EE77"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Հիմնական տվյալների փորձաքննություն անցկացնելիս փորձագետին աջակցություն ցուցաբերելու </w:t>
      </w:r>
      <w:r w:rsidR="00C54D75">
        <w:rPr>
          <w:rFonts w:ascii="Sylfaen" w:hAnsi="Sylfaen"/>
          <w:sz w:val="24"/>
          <w:szCs w:val="24"/>
        </w:rPr>
        <w:t>և</w:t>
      </w:r>
      <w:r w:rsidRPr="00834D52">
        <w:rPr>
          <w:rFonts w:ascii="Sylfaen" w:hAnsi="Sylfaen"/>
          <w:sz w:val="24"/>
          <w:szCs w:val="24"/>
        </w:rPr>
        <w:t xml:space="preserve"> գրանցման դոսյեի բովանդակության մեջ արագ կողմնորոշվելու հարցում նրան օգնելու նպատակով ամբողջ ԸՏՓ-ի կազմման ընթացքում տեղեկությունների ներկայացումը պետք է լինի ոչ երկիմաստ ու թափանցիկ։ Տեքստի </w:t>
      </w:r>
      <w:r w:rsidR="00C54D75">
        <w:rPr>
          <w:rFonts w:ascii="Sylfaen" w:hAnsi="Sylfaen"/>
          <w:sz w:val="24"/>
          <w:szCs w:val="24"/>
        </w:rPr>
        <w:t>և</w:t>
      </w:r>
      <w:r w:rsidRPr="00834D52">
        <w:rPr>
          <w:rFonts w:ascii="Sylfaen" w:hAnsi="Sylfaen"/>
          <w:sz w:val="24"/>
          <w:szCs w:val="24"/>
        </w:rPr>
        <w:t xml:space="preserve"> աղյուսակների եզրագծերը պետք է թույլ տան փաստաթղթի տպագրումը A4 ձ</w:t>
      </w:r>
      <w:r w:rsidR="00C54D75">
        <w:rPr>
          <w:rFonts w:ascii="Sylfaen" w:hAnsi="Sylfaen"/>
          <w:sz w:val="24"/>
          <w:szCs w:val="24"/>
        </w:rPr>
        <w:t>և</w:t>
      </w:r>
      <w:r w:rsidRPr="00834D52">
        <w:rPr>
          <w:rFonts w:ascii="Sylfaen" w:hAnsi="Sylfaen"/>
          <w:sz w:val="24"/>
          <w:szCs w:val="24"/>
        </w:rPr>
        <w:t xml:space="preserve">աչափի թղթի վրա։ Ձախ եզրագիծը պետք է բավականաչափ լայն լինի, որպեսզի չվնասվեն տեղեկությունները՝ դրանք կարակցելիս (օրինակ՝ ձախ եզրագիծը՝ 3 սմ, աջ եզրագիծը՝ 1,5 սմ, վերին </w:t>
      </w:r>
      <w:r w:rsidR="00C54D75">
        <w:rPr>
          <w:rFonts w:ascii="Sylfaen" w:hAnsi="Sylfaen"/>
          <w:sz w:val="24"/>
          <w:szCs w:val="24"/>
        </w:rPr>
        <w:t>և</w:t>
      </w:r>
      <w:r w:rsidRPr="00834D52">
        <w:rPr>
          <w:rFonts w:ascii="Sylfaen" w:hAnsi="Sylfaen"/>
          <w:sz w:val="24"/>
          <w:szCs w:val="24"/>
        </w:rPr>
        <w:t xml:space="preserve"> ստորին եզրագծերը՝ 2 սմ)։ Տեքստի </w:t>
      </w:r>
      <w:r w:rsidR="00C54D75">
        <w:rPr>
          <w:rFonts w:ascii="Sylfaen" w:hAnsi="Sylfaen"/>
          <w:sz w:val="24"/>
          <w:szCs w:val="24"/>
        </w:rPr>
        <w:t>և</w:t>
      </w:r>
      <w:r w:rsidRPr="00834D52">
        <w:rPr>
          <w:rFonts w:ascii="Sylfaen" w:hAnsi="Sylfaen"/>
          <w:sz w:val="24"/>
          <w:szCs w:val="24"/>
        </w:rPr>
        <w:t xml:space="preserve"> աղյուսակների տառատեսակի ոճն ու կեգելը պետք է լինեն բավականաչափ մեծ, որպեսզի ապահովեն ընթեռնելիությունը նույնիսկ պատճենահանումից հետո։ Պատմողական տեքստի համար խորհուրդ է տրվում օգտագործել Times New </w:t>
      </w:r>
      <w:r w:rsidRPr="00834D52">
        <w:rPr>
          <w:rFonts w:ascii="Sylfaen" w:hAnsi="Sylfaen"/>
          <w:sz w:val="24"/>
          <w:szCs w:val="24"/>
        </w:rPr>
        <w:lastRenderedPageBreak/>
        <w:t xml:space="preserve">Roman տառատեսակը, 12 տառաչափը։ Յուրաքանչյուր էջ պետք է համարակալվի պարզաբանող փաստաթղթին համապատասխան (տե՛ս սույն փաստաթղթի հավելվածը)։ Կրճատումները </w:t>
      </w:r>
      <w:r w:rsidR="00C54D75">
        <w:rPr>
          <w:rFonts w:ascii="Sylfaen" w:hAnsi="Sylfaen"/>
          <w:sz w:val="24"/>
          <w:szCs w:val="24"/>
        </w:rPr>
        <w:t>և</w:t>
      </w:r>
      <w:r w:rsidRPr="00834D52">
        <w:rPr>
          <w:rFonts w:ascii="Sylfaen" w:hAnsi="Sylfaen"/>
          <w:sz w:val="24"/>
          <w:szCs w:val="24"/>
        </w:rPr>
        <w:t xml:space="preserve"> հապավումները հարկավոր է վերծանել՝ յուրաքանչյուր մոդուլում դրանք առաջին անգամ հիշատակելիս։ Անհրաժեշտ է հղումները մեջբերել՝ Բժշկական հանդեսների խմբագիրների միջազգային կոմիտեի (այսուհետ՝ ԲՀԽՄԿ)՝ «Կենսաբժշկական հանդեսներում ներառվող բնագիր նյութերի վերաբերյալ միասնական պահանջներ»-ի գործող խմբագրությանը համապատասխան («Կենսաբժշկական հանդեսներում ներառվող բնագիր նյութերի վերաբերյալ միասնական պահանջներ»-ի առաջին խմբագրությունը հաստատվել է Վանկուվերյան խմբի կողմից </w:t>
      </w:r>
      <w:r w:rsidR="00C54D75">
        <w:rPr>
          <w:rFonts w:ascii="Sylfaen" w:hAnsi="Sylfaen"/>
          <w:sz w:val="24"/>
          <w:szCs w:val="24"/>
        </w:rPr>
        <w:t>և</w:t>
      </w:r>
      <w:r w:rsidRPr="00834D52">
        <w:rPr>
          <w:rFonts w:ascii="Sylfaen" w:hAnsi="Sylfaen"/>
          <w:sz w:val="24"/>
          <w:szCs w:val="24"/>
        </w:rPr>
        <w:t xml:space="preserve"> հրատարակվել է 1979 թվականին)։</w:t>
      </w:r>
    </w:p>
    <w:p w14:paraId="79791961" w14:textId="77777777" w:rsidR="006F76EB" w:rsidRPr="00834D52" w:rsidRDefault="006F76EB" w:rsidP="008E1BE5">
      <w:pPr>
        <w:spacing w:after="160" w:line="372" w:lineRule="auto"/>
        <w:ind w:right="-8"/>
        <w:rPr>
          <w:rFonts w:ascii="Sylfaen" w:hAnsi="Sylfaen"/>
          <w:sz w:val="24"/>
          <w:szCs w:val="24"/>
        </w:rPr>
      </w:pPr>
    </w:p>
    <w:p w14:paraId="35CF8963" w14:textId="77777777" w:rsidR="006F76EB" w:rsidRPr="00834D52" w:rsidRDefault="006F76EB" w:rsidP="008E1BE5">
      <w:pPr>
        <w:spacing w:after="160" w:line="372" w:lineRule="auto"/>
        <w:ind w:left="567" w:right="579"/>
        <w:jc w:val="center"/>
        <w:rPr>
          <w:rFonts w:ascii="Sylfaen" w:eastAsia="Times New Roman" w:hAnsi="Sylfaen" w:cs="Times New Roman"/>
          <w:sz w:val="24"/>
          <w:szCs w:val="24"/>
        </w:rPr>
      </w:pPr>
      <w:r w:rsidRPr="00834D52">
        <w:rPr>
          <w:rFonts w:ascii="Sylfaen" w:hAnsi="Sylfaen"/>
          <w:sz w:val="24"/>
          <w:szCs w:val="24"/>
        </w:rPr>
        <w:t>IV. ԸՆԴՀԱՆՈՒՐ ՏԵԽՆԻԿԱԿԱՆ ՓԱՍՏԱԹՂԹԻ ԿԱՌՈՒՑՎԱԾՔԸ</w:t>
      </w:r>
    </w:p>
    <w:p w14:paraId="75D66B36"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ԸՏՓ-ն բաղկացած է 5 մոդուլից։ Առաջին մոդուլը յուրահատուկ է անդամ պետությունների համար։ 2-5-րդ մոդուլները բոլոր տարածաշրջանների համար ընդհանուր են։ Սույն փաստաթղթին համապատասխանությունը պետք է ապահովի այդ 4 մոդուլների ներկայացումը՝ անդամ պետությունների լիազորված մարմինների համար ընդունելի ձ</w:t>
      </w:r>
      <w:r w:rsidR="00C54D75">
        <w:rPr>
          <w:rFonts w:ascii="Sylfaen" w:hAnsi="Sylfaen"/>
          <w:sz w:val="24"/>
          <w:szCs w:val="24"/>
        </w:rPr>
        <w:t>և</w:t>
      </w:r>
      <w:r w:rsidRPr="00834D52">
        <w:rPr>
          <w:rFonts w:ascii="Sylfaen" w:hAnsi="Sylfaen"/>
          <w:sz w:val="24"/>
          <w:szCs w:val="24"/>
        </w:rPr>
        <w:t>աչափով։</w:t>
      </w:r>
    </w:p>
    <w:p w14:paraId="3DDBE510" w14:textId="77777777"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Մոդուլ 1. Նշանակման վերաբերյալ տեղեկությունները </w:t>
      </w:r>
      <w:r w:rsidR="00C54D75">
        <w:rPr>
          <w:rFonts w:ascii="Sylfaen" w:hAnsi="Sylfaen"/>
          <w:sz w:val="24"/>
          <w:szCs w:val="24"/>
        </w:rPr>
        <w:t>և</w:t>
      </w:r>
      <w:r w:rsidRPr="00834D52">
        <w:rPr>
          <w:rFonts w:ascii="Sylfaen" w:hAnsi="Sylfaen"/>
          <w:sz w:val="24"/>
          <w:szCs w:val="24"/>
        </w:rPr>
        <w:t xml:space="preserve"> վարչական տեղեկատվությունը:</w:t>
      </w:r>
    </w:p>
    <w:p w14:paraId="37EF66C3" w14:textId="2DAF52EF" w:rsidR="006F76EB" w:rsidRPr="00834D52" w:rsidRDefault="006F76EB" w:rsidP="008E1BE5">
      <w:pPr>
        <w:spacing w:after="160" w:line="372" w:lineRule="auto"/>
        <w:ind w:right="-8" w:firstLine="567"/>
        <w:jc w:val="both"/>
        <w:rPr>
          <w:rFonts w:ascii="Sylfaen" w:eastAsia="Times New Roman" w:hAnsi="Sylfaen" w:cs="Times New Roman"/>
          <w:sz w:val="24"/>
          <w:szCs w:val="24"/>
        </w:rPr>
      </w:pPr>
      <w:r w:rsidRPr="00834D52">
        <w:rPr>
          <w:rFonts w:ascii="Sylfaen" w:hAnsi="Sylfaen"/>
          <w:sz w:val="24"/>
          <w:szCs w:val="24"/>
        </w:rPr>
        <w:t xml:space="preserve">Տվյալ մոդուլում պետք է ընդգրկվեն անդամ պետությունների համար յուրահատուկ փաստաթղթեր,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 xml:space="preserve">եր կամ անդամ պետություններում կիրառության վերաբերյալ առաջարկվող տեղեկատվություն։ Այս մոդուլի բովանդակությունը </w:t>
      </w:r>
      <w:r w:rsidR="00C54D75">
        <w:rPr>
          <w:rFonts w:ascii="Sylfaen" w:hAnsi="Sylfaen"/>
          <w:sz w:val="24"/>
          <w:szCs w:val="24"/>
        </w:rPr>
        <w:t>և</w:t>
      </w:r>
      <w:r w:rsidRPr="00834D52">
        <w:rPr>
          <w:rFonts w:ascii="Sylfaen" w:hAnsi="Sylfaen"/>
          <w:sz w:val="24"/>
          <w:szCs w:val="24"/>
        </w:rPr>
        <w:t xml:space="preserve"> ձ</w:t>
      </w:r>
      <w:r w:rsidR="00C54D75">
        <w:rPr>
          <w:rFonts w:ascii="Sylfaen" w:hAnsi="Sylfaen"/>
          <w:sz w:val="24"/>
          <w:szCs w:val="24"/>
        </w:rPr>
        <w:t>և</w:t>
      </w:r>
      <w:r w:rsidRPr="00834D52">
        <w:rPr>
          <w:rFonts w:ascii="Sylfaen" w:hAnsi="Sylfaen"/>
          <w:sz w:val="24"/>
          <w:szCs w:val="24"/>
        </w:rPr>
        <w:t xml:space="preserve">աչափը նկարագրված են Բժշկական կիրառության դեղամիջոցների գրանցման </w:t>
      </w:r>
      <w:r w:rsidR="00C54D75">
        <w:rPr>
          <w:rFonts w:ascii="Sylfaen" w:hAnsi="Sylfaen"/>
          <w:sz w:val="24"/>
          <w:szCs w:val="24"/>
        </w:rPr>
        <w:t>և</w:t>
      </w:r>
      <w:r w:rsidRPr="00834D52">
        <w:rPr>
          <w:rFonts w:ascii="Sylfaen" w:hAnsi="Sylfaen"/>
          <w:sz w:val="24"/>
          <w:szCs w:val="24"/>
        </w:rPr>
        <w:t xml:space="preserve"> փորձաքննության կանոնների առաջին հավելվածում (այսուհետ՝ Կանոններ)։</w:t>
      </w:r>
    </w:p>
    <w:p w14:paraId="76461968" w14:textId="77777777" w:rsidR="006F76EB" w:rsidRPr="00834D52" w:rsidRDefault="006F76EB" w:rsidP="008E1BE5">
      <w:pPr>
        <w:tabs>
          <w:tab w:val="left" w:pos="1134"/>
        </w:tabs>
        <w:spacing w:after="160" w:line="372" w:lineRule="auto"/>
        <w:ind w:right="-8" w:firstLine="567"/>
        <w:rPr>
          <w:rFonts w:ascii="Sylfaen" w:eastAsia="Times New Roman" w:hAnsi="Sylfaen" w:cs="Times New Roman"/>
          <w:sz w:val="24"/>
          <w:szCs w:val="24"/>
        </w:rPr>
      </w:pPr>
      <w:r w:rsidRPr="00834D52">
        <w:rPr>
          <w:rFonts w:ascii="Sylfaen" w:hAnsi="Sylfaen"/>
          <w:sz w:val="24"/>
          <w:szCs w:val="24"/>
        </w:rPr>
        <w:lastRenderedPageBreak/>
        <w:t>Մոդուլ 2.</w:t>
      </w:r>
      <w:r w:rsidR="008E1BE5" w:rsidRPr="007F5A60">
        <w:rPr>
          <w:rFonts w:ascii="Sylfaen" w:hAnsi="Sylfaen"/>
          <w:sz w:val="24"/>
          <w:szCs w:val="24"/>
        </w:rPr>
        <w:tab/>
      </w:r>
      <w:r w:rsidRPr="00834D52">
        <w:rPr>
          <w:rFonts w:ascii="Sylfaen" w:hAnsi="Sylfaen"/>
          <w:sz w:val="24"/>
          <w:szCs w:val="24"/>
        </w:rPr>
        <w:t>ԸՏՓ-ի ռեզյումե:</w:t>
      </w:r>
    </w:p>
    <w:p w14:paraId="7A49B16D"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2-րդ մոդուլը պետք է սկսվի դեղապատրաստուկի ընդհանուր ներածությունից՝ ներառյալ դեղաբանական դասը, ազդեցության մեխանիզմը </w:t>
      </w:r>
      <w:r w:rsidR="00C54D75">
        <w:rPr>
          <w:rFonts w:ascii="Sylfaen" w:hAnsi="Sylfaen"/>
          <w:sz w:val="24"/>
          <w:szCs w:val="24"/>
        </w:rPr>
        <w:t>և</w:t>
      </w:r>
      <w:r w:rsidRPr="00834D52">
        <w:rPr>
          <w:rFonts w:ascii="Sylfaen" w:hAnsi="Sylfaen"/>
          <w:sz w:val="24"/>
          <w:szCs w:val="24"/>
        </w:rPr>
        <w:t xml:space="preserve"> ենթադրվող կլինիկական կիրառությունը։ Ներածությունն ընդհանուր առմամբ չպետք է գերազանցի մեկ էջը։</w:t>
      </w:r>
    </w:p>
    <w:p w14:paraId="78288C2B"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2-րդ մոդուլը պետք է պարունակի հետ</w:t>
      </w:r>
      <w:r w:rsidR="00C54D75">
        <w:rPr>
          <w:rFonts w:ascii="Sylfaen" w:hAnsi="Sylfaen"/>
          <w:sz w:val="24"/>
          <w:szCs w:val="24"/>
        </w:rPr>
        <w:t>և</w:t>
      </w:r>
      <w:r w:rsidRPr="00834D52">
        <w:rPr>
          <w:rFonts w:ascii="Sylfaen" w:hAnsi="Sylfaen"/>
          <w:sz w:val="24"/>
          <w:szCs w:val="24"/>
        </w:rPr>
        <w:t>յալ 7 բաժինները նշված կարգով՝</w:t>
      </w:r>
    </w:p>
    <w:p w14:paraId="46964B47"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բովանդակությունը,</w:t>
      </w:r>
    </w:p>
    <w:p w14:paraId="0ED2ADCD"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ԸՏՓ-ի ներածությունը,</w:t>
      </w:r>
    </w:p>
    <w:p w14:paraId="43623E21"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Որակի վերաբերյալ ամփոփիչ ռեզյումեն,</w:t>
      </w:r>
    </w:p>
    <w:p w14:paraId="2AF65BB8"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Նախակլինիկական ամփոփում,</w:t>
      </w:r>
    </w:p>
    <w:p w14:paraId="4829729E"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791EE9E4"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 xml:space="preserve">Նախակլինիկական նկարագրական </w:t>
      </w:r>
      <w:r w:rsidR="00C54D75">
        <w:rPr>
          <w:rFonts w:ascii="Sylfaen" w:hAnsi="Sylfaen"/>
          <w:sz w:val="24"/>
          <w:szCs w:val="24"/>
        </w:rPr>
        <w:t>և</w:t>
      </w:r>
      <w:r w:rsidRPr="00834D52">
        <w:rPr>
          <w:rFonts w:ascii="Sylfaen" w:hAnsi="Sylfaen"/>
          <w:sz w:val="24"/>
          <w:szCs w:val="24"/>
        </w:rPr>
        <w:t xml:space="preserve"> աղյուսակային ռեզյումեներ,</w:t>
      </w:r>
    </w:p>
    <w:p w14:paraId="31FFCF82" w14:textId="77777777" w:rsidR="006F76EB" w:rsidRPr="00834D52" w:rsidRDefault="006F76EB" w:rsidP="008E1BE5">
      <w:pPr>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Կլինիկական ամփոփում։</w:t>
      </w:r>
    </w:p>
    <w:p w14:paraId="3DC8757C" w14:textId="77777777" w:rsidR="006F76EB" w:rsidRPr="007F5A6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Այդ ռեզյումեների նկարագրությունը բերված է Կանոնների թիվ 1 հավելվածում։</w:t>
      </w:r>
    </w:p>
    <w:p w14:paraId="4E4FE5EB"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3.</w:t>
      </w:r>
      <w:r w:rsidR="008E1BE5" w:rsidRPr="007F5A60">
        <w:rPr>
          <w:rFonts w:ascii="Sylfaen" w:hAnsi="Sylfaen"/>
          <w:sz w:val="24"/>
          <w:szCs w:val="24"/>
        </w:rPr>
        <w:tab/>
      </w:r>
      <w:r w:rsidRPr="00834D52">
        <w:rPr>
          <w:rFonts w:ascii="Sylfaen" w:hAnsi="Sylfaen"/>
          <w:sz w:val="24"/>
          <w:szCs w:val="24"/>
        </w:rPr>
        <w:t>Որակ.</w:t>
      </w:r>
    </w:p>
    <w:p w14:paraId="6A345A56"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Որակի վերաբերյալ տեղեկություններն անհրաժեշտ է ներկայացնել կառուցվածքավորված ձ</w:t>
      </w:r>
      <w:r w:rsidR="00C54D75">
        <w:rPr>
          <w:rFonts w:ascii="Sylfaen" w:hAnsi="Sylfaen"/>
          <w:sz w:val="24"/>
          <w:szCs w:val="24"/>
        </w:rPr>
        <w:t>և</w:t>
      </w:r>
      <w:r w:rsidRPr="00834D52">
        <w:rPr>
          <w:rFonts w:ascii="Sylfaen" w:hAnsi="Sylfaen"/>
          <w:sz w:val="24"/>
          <w:szCs w:val="24"/>
        </w:rPr>
        <w:t>աչափով՝ Կանոնների թիվ 1 հավելվածին համապատասխան։</w:t>
      </w:r>
    </w:p>
    <w:p w14:paraId="757A79A5"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t>Մոդուլ 4.</w:t>
      </w:r>
      <w:r w:rsidR="008E1BE5" w:rsidRPr="007F5A60">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76999810"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Նախակլինիկական հետազոտությունների վերաբերյալ հաշվետվություններն անհրաժեշտ է ներկայացնել Կանոնների թիվ 1 հավելվածում նկարագրված կարգով։</w:t>
      </w:r>
    </w:p>
    <w:p w14:paraId="7D6B9804" w14:textId="77777777" w:rsidR="006F76EB" w:rsidRPr="00834D52" w:rsidRDefault="006F76EB" w:rsidP="008E1BE5">
      <w:pPr>
        <w:tabs>
          <w:tab w:val="left" w:pos="1134"/>
        </w:tabs>
        <w:spacing w:after="160" w:line="372" w:lineRule="auto"/>
        <w:ind w:right="-6" w:firstLine="567"/>
        <w:rPr>
          <w:rFonts w:ascii="Sylfaen" w:eastAsia="Times New Roman" w:hAnsi="Sylfaen" w:cs="Times New Roman"/>
          <w:sz w:val="24"/>
          <w:szCs w:val="24"/>
        </w:rPr>
      </w:pPr>
      <w:r w:rsidRPr="00834D52">
        <w:rPr>
          <w:rFonts w:ascii="Sylfaen" w:hAnsi="Sylfaen"/>
          <w:sz w:val="24"/>
          <w:szCs w:val="24"/>
        </w:rPr>
        <w:lastRenderedPageBreak/>
        <w:t>Մոդուլ 5.</w:t>
      </w:r>
      <w:r w:rsidR="008E1BE5" w:rsidRPr="007F5A60">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23B3DB8C" w14:textId="77777777" w:rsidR="006F76EB" w:rsidRPr="00834D52" w:rsidRDefault="006F76EB" w:rsidP="008E1BE5">
      <w:pPr>
        <w:spacing w:after="160" w:line="372" w:lineRule="auto"/>
        <w:ind w:right="-6" w:firstLine="567"/>
        <w:jc w:val="both"/>
        <w:rPr>
          <w:rFonts w:ascii="Sylfaen" w:eastAsia="Times New Roman" w:hAnsi="Sylfaen" w:cs="Times New Roman"/>
          <w:sz w:val="24"/>
          <w:szCs w:val="24"/>
        </w:rPr>
      </w:pPr>
      <w:r w:rsidRPr="00834D52">
        <w:rPr>
          <w:rFonts w:ascii="Sylfaen" w:hAnsi="Sylfaen"/>
          <w:sz w:val="24"/>
          <w:szCs w:val="24"/>
        </w:rPr>
        <w:t xml:space="preserve">Մարդու հետազոտությունների վերաբերյալ հաշվետվությունները </w:t>
      </w:r>
      <w:r w:rsidR="00C54D75">
        <w:rPr>
          <w:rFonts w:ascii="Sylfaen" w:hAnsi="Sylfaen"/>
          <w:sz w:val="24"/>
          <w:szCs w:val="24"/>
        </w:rPr>
        <w:t>և</w:t>
      </w:r>
      <w:r w:rsidRPr="00834D52">
        <w:rPr>
          <w:rFonts w:ascii="Sylfaen" w:hAnsi="Sylfaen"/>
          <w:sz w:val="24"/>
          <w:szCs w:val="24"/>
        </w:rPr>
        <w:t xml:space="preserve"> դրանց հետ կապված տեղեկություններն անհրաժեշտ է ներկայացնել Կանոնների թիվ 1 հավելվածում նկարագրված կարգով։</w:t>
      </w:r>
    </w:p>
    <w:p w14:paraId="45FA5AB5" w14:textId="77777777" w:rsidR="006F76EB" w:rsidRPr="00C44940" w:rsidRDefault="006F76EB" w:rsidP="008E1BE5">
      <w:pPr>
        <w:spacing w:after="160" w:line="372" w:lineRule="auto"/>
        <w:ind w:right="-6" w:firstLine="567"/>
        <w:rPr>
          <w:rFonts w:ascii="Sylfaen" w:hAnsi="Sylfaen"/>
          <w:sz w:val="24"/>
          <w:szCs w:val="24"/>
        </w:rPr>
      </w:pPr>
      <w:r w:rsidRPr="00834D52">
        <w:rPr>
          <w:rFonts w:ascii="Sylfaen" w:hAnsi="Sylfaen"/>
          <w:sz w:val="24"/>
          <w:szCs w:val="24"/>
        </w:rPr>
        <w:t>Այնուհետ</w:t>
      </w:r>
      <w:r w:rsidR="00C54D75">
        <w:rPr>
          <w:rFonts w:ascii="Sylfaen" w:hAnsi="Sylfaen"/>
          <w:sz w:val="24"/>
          <w:szCs w:val="24"/>
        </w:rPr>
        <w:t>և</w:t>
      </w:r>
      <w:r w:rsidRPr="00834D52">
        <w:rPr>
          <w:rFonts w:ascii="Sylfaen" w:hAnsi="Sylfaen"/>
          <w:sz w:val="24"/>
          <w:szCs w:val="24"/>
        </w:rPr>
        <w:t xml:space="preserve"> ներկայացված է ԸՏՓ-ի ընդհանուր կառուցվածքը (էԸՏՓ)։</w:t>
      </w:r>
    </w:p>
    <w:p w14:paraId="3076AB38" w14:textId="77777777" w:rsidR="008E1BE5" w:rsidRDefault="008E1BE5">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53935889" w14:textId="77777777" w:rsidR="006F76EB" w:rsidRPr="006F76EB" w:rsidRDefault="006F76EB" w:rsidP="006F76EB">
      <w:pPr>
        <w:pStyle w:val="Picturecaption0"/>
        <w:shd w:val="clear" w:color="auto" w:fill="auto"/>
        <w:spacing w:after="120" w:line="240" w:lineRule="auto"/>
        <w:jc w:val="center"/>
        <w:rPr>
          <w:rFonts w:ascii="Sylfaen" w:hAnsi="Sylfaen"/>
          <w:sz w:val="24"/>
          <w:szCs w:val="24"/>
          <w:lang w:val="hy-AM"/>
        </w:rPr>
      </w:pPr>
      <w:r w:rsidRPr="006F76EB">
        <w:rPr>
          <w:rFonts w:ascii="Sylfaen" w:hAnsi="Sylfaen"/>
          <w:color w:val="000000"/>
          <w:sz w:val="24"/>
          <w:szCs w:val="24"/>
          <w:lang w:val="hy-AM"/>
        </w:rPr>
        <w:lastRenderedPageBreak/>
        <w:t>V. ԸՏՓ-Ի ԿԱՌՈՒՑՎԱԾՔԻ ՍԽԵՄԱՏԻԿ ՆԵՐԿԱՅԱՑՈՒՄԸ</w:t>
      </w:r>
    </w:p>
    <w:p w14:paraId="56B86DC3" w14:textId="77777777" w:rsidR="006F76EB" w:rsidRPr="00834D52" w:rsidRDefault="006F76EB" w:rsidP="006F76EB">
      <w:pPr>
        <w:spacing w:after="120" w:line="240" w:lineRule="auto"/>
        <w:jc w:val="center"/>
        <w:rPr>
          <w:rFonts w:ascii="Sylfaen" w:hAnsi="Sylfaen"/>
          <w:sz w:val="24"/>
          <w:szCs w:val="24"/>
        </w:rPr>
      </w:pPr>
    </w:p>
    <w:p w14:paraId="7C57C48D" w14:textId="77777777" w:rsidR="006F76EB" w:rsidRPr="00834D52" w:rsidRDefault="00FC294A" w:rsidP="006F76EB">
      <w:pPr>
        <w:rPr>
          <w:rFonts w:ascii="Sylfaen" w:hAnsi="Sylfaen"/>
        </w:rPr>
      </w:pPr>
      <w:r>
        <w:rPr>
          <w:rFonts w:ascii="Sylfaen" w:hAnsi="Sylfaen"/>
          <w:noProof/>
          <w:lang w:val="ru-RU" w:eastAsia="ru-RU"/>
        </w:rPr>
        <w:pict w14:anchorId="0D6CECA3">
          <v:shapetype id="_x0000_t202" coordsize="21600,21600" o:spt="202" path="m,l,21600r21600,l21600,xe">
            <v:stroke joinstyle="miter"/>
            <v:path gradientshapeok="t" o:connecttype="rect"/>
          </v:shapetype>
          <v:shape id="_x0000_s1297" type="#_x0000_t202" style="position:absolute;margin-left:105.95pt;margin-top:358.1pt;width:60.35pt;height:54.3pt;z-index:251794944;mso-width-relative:margin;mso-height-relative:margin">
            <v:textbox style="mso-next-textbox:#_x0000_s1297" inset="0,0,0,0">
              <w:txbxContent>
                <w:p w14:paraId="3700AE0A" w14:textId="77777777" w:rsidR="004A52D9" w:rsidRPr="00DE0CA4" w:rsidRDefault="004A52D9" w:rsidP="006F76EB">
                  <w:pPr>
                    <w:ind w:left="142"/>
                    <w:rPr>
                      <w:rFonts w:ascii="Sylfaen" w:hAnsi="Sylfaen"/>
                      <w:sz w:val="16"/>
                      <w:szCs w:val="16"/>
                    </w:rPr>
                  </w:pPr>
                  <w:r w:rsidRPr="00DE0CA4">
                    <w:rPr>
                      <w:rFonts w:ascii="Sylfaen" w:hAnsi="Sylfaen"/>
                      <w:sz w:val="16"/>
                      <w:szCs w:val="16"/>
                    </w:rPr>
                    <w:t>Մոդուլ 3</w:t>
                  </w:r>
                </w:p>
                <w:p w14:paraId="302182BC" w14:textId="77777777" w:rsidR="004A52D9" w:rsidRPr="00DE0CA4" w:rsidRDefault="004A52D9" w:rsidP="006F76EB">
                  <w:pPr>
                    <w:ind w:left="142"/>
                    <w:rPr>
                      <w:rFonts w:ascii="Sylfaen" w:hAnsi="Sylfaen"/>
                      <w:sz w:val="16"/>
                      <w:szCs w:val="16"/>
                    </w:rPr>
                  </w:pPr>
                  <w:r w:rsidRPr="00DE0CA4">
                    <w:rPr>
                      <w:rFonts w:ascii="Sylfaen" w:hAnsi="Sylfaen"/>
                      <w:sz w:val="16"/>
                      <w:szCs w:val="16"/>
                    </w:rPr>
                    <w:t>Որակ</w:t>
                  </w:r>
                </w:p>
                <w:p w14:paraId="10A13C9E" w14:textId="77777777" w:rsidR="004A52D9" w:rsidRPr="00DE0CA4" w:rsidRDefault="004A52D9" w:rsidP="006F76EB">
                  <w:pPr>
                    <w:ind w:left="142"/>
                    <w:rPr>
                      <w:rFonts w:ascii="Sylfaen" w:hAnsi="Sylfaen"/>
                      <w:sz w:val="16"/>
                      <w:szCs w:val="16"/>
                    </w:rPr>
                  </w:pPr>
                  <w:r w:rsidRPr="00DE0CA4">
                    <w:rPr>
                      <w:rFonts w:ascii="Sylfaen" w:hAnsi="Sylfaen"/>
                      <w:sz w:val="16"/>
                      <w:szCs w:val="16"/>
                    </w:rPr>
                    <w:t>3</w:t>
                  </w:r>
                </w:p>
              </w:txbxContent>
            </v:textbox>
          </v:shape>
        </w:pict>
      </w:r>
      <w:r>
        <w:rPr>
          <w:rFonts w:ascii="Sylfaen" w:hAnsi="Sylfaen"/>
          <w:noProof/>
          <w:lang w:val="ru-RU" w:eastAsia="ru-RU"/>
        </w:rPr>
        <w:pict w14:anchorId="26BEE16A">
          <v:shape id="_x0000_s1299" type="#_x0000_t202" style="position:absolute;margin-left:187.6pt;margin-top:426.4pt;width:72.95pt;height:13.75pt;z-index:251796992;mso-width-relative:margin;mso-height-relative:margin">
            <v:textbox style="mso-next-textbox:#_x0000_s1299" inset="0,0,0,0">
              <w:txbxContent>
                <w:p w14:paraId="3AF94E7E" w14:textId="77777777" w:rsidR="004A52D9" w:rsidRPr="00EB43A1" w:rsidRDefault="004A52D9" w:rsidP="006F76EB">
                  <w:pPr>
                    <w:rPr>
                      <w:rFonts w:ascii="Sylfaen" w:hAnsi="Sylfaen"/>
                      <w:sz w:val="10"/>
                      <w:szCs w:val="10"/>
                    </w:rPr>
                  </w:pPr>
                  <w:r w:rsidRPr="00EB43A1">
                    <w:rPr>
                      <w:rFonts w:ascii="Sylfaen" w:hAnsi="Sylfaen"/>
                      <w:sz w:val="10"/>
                      <w:szCs w:val="10"/>
                    </w:rPr>
                    <w:t>4.1 Բովանդակություն</w:t>
                  </w:r>
                </w:p>
              </w:txbxContent>
            </v:textbox>
          </v:shape>
        </w:pict>
      </w:r>
      <w:r>
        <w:rPr>
          <w:rFonts w:ascii="Sylfaen" w:hAnsi="Sylfaen"/>
          <w:noProof/>
          <w:lang w:val="ru-RU" w:eastAsia="ru-RU"/>
        </w:rPr>
        <w:pict w14:anchorId="03DA5BD4">
          <v:shape id="_x0000_s1293" type="#_x0000_t202" style="position:absolute;margin-left:181pt;margin-top:308.55pt;width:92.95pt;height:49.55pt;z-index:251790848;mso-width-relative:margin;mso-height-relative:margin">
            <v:textbox style="mso-next-textbox:#_x0000_s1293" inset="0,0,0,0">
              <w:txbxContent>
                <w:p w14:paraId="3B2035EE" w14:textId="77777777" w:rsidR="004A52D9" w:rsidRPr="00132FCC" w:rsidRDefault="004A52D9" w:rsidP="006F76EB">
                  <w:pPr>
                    <w:ind w:left="142"/>
                    <w:rPr>
                      <w:sz w:val="16"/>
                      <w:szCs w:val="16"/>
                    </w:rPr>
                  </w:pPr>
                  <w:r w:rsidRPr="00132FCC">
                    <w:rPr>
                      <w:rFonts w:ascii="Sylfaen" w:hAnsi="Sylfaen"/>
                      <w:sz w:val="16"/>
                      <w:szCs w:val="16"/>
                    </w:rPr>
                    <w:t>Նկարագրական եւ աղյուսակային նախակլինիկական ռեզյումեներ</w:t>
                  </w:r>
                  <w:r>
                    <w:rPr>
                      <w:rFonts w:ascii="Sylfaen" w:hAnsi="Sylfaen"/>
                      <w:sz w:val="16"/>
                      <w:szCs w:val="16"/>
                    </w:rPr>
                    <w:t xml:space="preserve"> 2.6</w:t>
                  </w:r>
                </w:p>
              </w:txbxContent>
            </v:textbox>
          </v:shape>
        </w:pict>
      </w:r>
      <w:r>
        <w:rPr>
          <w:rFonts w:ascii="Sylfaen" w:hAnsi="Sylfaen"/>
          <w:noProof/>
          <w:lang w:val="ru-RU" w:eastAsia="ru-RU"/>
        </w:rPr>
        <w:pict w14:anchorId="6B018FF5">
          <v:shape id="_x0000_s1291" type="#_x0000_t202" style="position:absolute;margin-left:112.95pt;margin-top:286.15pt;width:68.05pt;height:55.85pt;z-index:251788800;mso-width-relative:margin;mso-height-relative:margin">
            <v:textbox style="mso-next-textbox:#_x0000_s1291" inset="0,0,0,0">
              <w:txbxContent>
                <w:p w14:paraId="6D0E7467" w14:textId="77777777" w:rsidR="004A52D9" w:rsidRDefault="004A52D9" w:rsidP="006F76EB">
                  <w:pPr>
                    <w:ind w:left="142"/>
                  </w:pPr>
                  <w:r w:rsidRPr="00132FCC">
                    <w:rPr>
                      <w:rFonts w:ascii="Sylfaen" w:hAnsi="Sylfaen"/>
                      <w:sz w:val="16"/>
                      <w:szCs w:val="16"/>
                    </w:rPr>
                    <w:t>Որակի վերաբերյալ</w:t>
                  </w:r>
                  <w:r w:rsidRPr="00B33E97">
                    <w:rPr>
                      <w:rFonts w:ascii="Sylfaen" w:hAnsi="Sylfaen"/>
                      <w:sz w:val="24"/>
                      <w:szCs w:val="24"/>
                    </w:rPr>
                    <w:t xml:space="preserve"> </w:t>
                  </w:r>
                  <w:r w:rsidRPr="00132FCC">
                    <w:rPr>
                      <w:rFonts w:ascii="Sylfaen" w:hAnsi="Sylfaen"/>
                      <w:sz w:val="16"/>
                      <w:szCs w:val="16"/>
                    </w:rPr>
                    <w:t>ամփոփ</w:t>
                  </w:r>
                  <w:r w:rsidRPr="00B33E97">
                    <w:rPr>
                      <w:rFonts w:ascii="Sylfaen" w:hAnsi="Sylfaen"/>
                      <w:sz w:val="24"/>
                      <w:szCs w:val="24"/>
                    </w:rPr>
                    <w:t xml:space="preserve"> </w:t>
                  </w:r>
                  <w:r>
                    <w:rPr>
                      <w:rFonts w:ascii="Sylfaen" w:hAnsi="Sylfaen"/>
                      <w:sz w:val="16"/>
                      <w:szCs w:val="16"/>
                    </w:rPr>
                    <w:t>ռեզյ</w:t>
                  </w:r>
                  <w:r w:rsidRPr="00132FCC">
                    <w:rPr>
                      <w:rFonts w:ascii="Sylfaen" w:hAnsi="Sylfaen"/>
                      <w:sz w:val="16"/>
                      <w:szCs w:val="16"/>
                    </w:rPr>
                    <w:t>ումե</w:t>
                  </w:r>
                  <w:r>
                    <w:rPr>
                      <w:rFonts w:ascii="Sylfaen" w:hAnsi="Sylfaen"/>
                      <w:sz w:val="16"/>
                      <w:szCs w:val="16"/>
                    </w:rPr>
                    <w:t xml:space="preserve"> 2.3</w:t>
                  </w:r>
                </w:p>
              </w:txbxContent>
            </v:textbox>
          </v:shape>
        </w:pict>
      </w:r>
      <w:r>
        <w:rPr>
          <w:rFonts w:ascii="Sylfaen" w:hAnsi="Sylfaen"/>
          <w:noProof/>
          <w:lang w:val="ru-RU" w:eastAsia="ru-RU"/>
        </w:rPr>
        <w:pict w14:anchorId="35FC8FD5">
          <v:shape id="_x0000_s1298" type="#_x0000_t202" style="position:absolute;margin-left:99.1pt;margin-top:412.4pt;width:72.95pt;height:32.7pt;z-index:251795968;mso-width-relative:margin;mso-height-relative:margin">
            <v:textbox style="mso-next-textbox:#_x0000_s1298" inset="0,0,0,0">
              <w:txbxContent>
                <w:p w14:paraId="01AE7204" w14:textId="77777777" w:rsidR="004A52D9" w:rsidRPr="00EB43A1" w:rsidRDefault="004A52D9" w:rsidP="006F76EB">
                  <w:pPr>
                    <w:rPr>
                      <w:rFonts w:ascii="Sylfaen" w:hAnsi="Sylfaen"/>
                      <w:sz w:val="16"/>
                      <w:szCs w:val="16"/>
                    </w:rPr>
                  </w:pPr>
                  <w:r w:rsidRPr="00EB43A1">
                    <w:rPr>
                      <w:rFonts w:ascii="Sylfaen" w:hAnsi="Sylfaen"/>
                      <w:sz w:val="16"/>
                      <w:szCs w:val="16"/>
                    </w:rPr>
                    <w:t>3.1 Բովանդակություն</w:t>
                  </w:r>
                </w:p>
              </w:txbxContent>
            </v:textbox>
          </v:shape>
        </w:pict>
      </w:r>
      <w:r>
        <w:rPr>
          <w:rFonts w:ascii="Sylfaen" w:hAnsi="Sylfaen"/>
          <w:noProof/>
          <w:lang w:eastAsia="zh-TW"/>
        </w:rPr>
        <w:pict w14:anchorId="3526B286">
          <v:shape id="_x0000_s1284" type="#_x0000_t202" style="position:absolute;margin-left:179.6pt;margin-top:83.2pt;width:94.35pt;height:91.55pt;z-index:251781632;mso-width-relative:margin;mso-height-relative:margin">
            <v:textbox style="mso-next-textbox:#_x0000_s1284" inset="0,0,0,0">
              <w:txbxContent>
                <w:p w14:paraId="1448E4CD" w14:textId="77777777" w:rsidR="004A52D9" w:rsidRPr="00DE0CA4" w:rsidRDefault="004A52D9" w:rsidP="006F76EB">
                  <w:pPr>
                    <w:jc w:val="center"/>
                    <w:rPr>
                      <w:rFonts w:ascii="Sylfaen" w:hAnsi="Sylfaen"/>
                      <w:sz w:val="12"/>
                      <w:szCs w:val="12"/>
                    </w:rPr>
                  </w:pPr>
                  <w:r w:rsidRPr="00DE0CA4">
                    <w:rPr>
                      <w:rFonts w:ascii="Sylfaen" w:hAnsi="Sylfaen"/>
                      <w:sz w:val="12"/>
                      <w:szCs w:val="12"/>
                    </w:rPr>
                    <w:t>մոդուլ 1</w:t>
                  </w:r>
                </w:p>
                <w:p w14:paraId="4B7E3AB4" w14:textId="77777777" w:rsidR="004A52D9" w:rsidRPr="00DE0CA4" w:rsidRDefault="004A52D9" w:rsidP="006F76EB">
                  <w:pPr>
                    <w:jc w:val="center"/>
                    <w:rPr>
                      <w:rFonts w:ascii="Sylfaen" w:hAnsi="Sylfaen"/>
                      <w:sz w:val="12"/>
                      <w:szCs w:val="12"/>
                    </w:rPr>
                  </w:pPr>
                  <w:r w:rsidRPr="00DE0CA4">
                    <w:rPr>
                      <w:rFonts w:ascii="Sylfaen" w:hAnsi="Sylfaen"/>
                      <w:sz w:val="12"/>
                      <w:szCs w:val="12"/>
                    </w:rPr>
                    <w:t>տարածաշրջանային վարչական տեղեկատվություն</w:t>
                  </w:r>
                </w:p>
                <w:p w14:paraId="449EE801" w14:textId="77777777" w:rsidR="004A52D9" w:rsidRDefault="004A52D9" w:rsidP="006F76EB">
                  <w:pPr>
                    <w:jc w:val="center"/>
                    <w:rPr>
                      <w:rFonts w:ascii="Sylfaen" w:hAnsi="Sylfaen"/>
                      <w:sz w:val="16"/>
                      <w:szCs w:val="16"/>
                      <w:lang w:val="en-US"/>
                    </w:rPr>
                  </w:pPr>
                  <w:r>
                    <w:rPr>
                      <w:rFonts w:ascii="Sylfaen" w:hAnsi="Sylfaen"/>
                      <w:sz w:val="16"/>
                      <w:szCs w:val="16"/>
                    </w:rPr>
                    <w:t>1</w:t>
                  </w:r>
                </w:p>
                <w:p w14:paraId="1F373553" w14:textId="77777777" w:rsidR="004A52D9" w:rsidRPr="00423E3E" w:rsidRDefault="004A52D9" w:rsidP="006F76EB">
                  <w:pPr>
                    <w:jc w:val="center"/>
                    <w:rPr>
                      <w:rFonts w:ascii="Sylfaen" w:hAnsi="Sylfaen"/>
                      <w:sz w:val="16"/>
                      <w:szCs w:val="16"/>
                    </w:rPr>
                  </w:pPr>
                  <w:r>
                    <w:rPr>
                      <w:rFonts w:ascii="Sylfaen" w:hAnsi="Sylfaen"/>
                      <w:sz w:val="16"/>
                      <w:szCs w:val="16"/>
                    </w:rPr>
                    <w:t>1.1 C-ից T</w:t>
                  </w:r>
                  <w:r w:rsidRPr="008341C7">
                    <w:rPr>
                      <w:rFonts w:ascii="Sylfaen" w:hAnsi="Sylfaen"/>
                      <w:sz w:val="16"/>
                      <w:szCs w:val="16"/>
                    </w:rPr>
                    <w:t>-</w:t>
                  </w:r>
                  <w:r>
                    <w:rPr>
                      <w:rFonts w:ascii="Sylfaen" w:hAnsi="Sylfaen"/>
                      <w:sz w:val="16"/>
                      <w:szCs w:val="16"/>
                    </w:rPr>
                    <w:t>ի տրամադրում</w:t>
                  </w:r>
                </w:p>
              </w:txbxContent>
            </v:textbox>
          </v:shape>
        </w:pict>
      </w:r>
      <w:r>
        <w:rPr>
          <w:rFonts w:ascii="Sylfaen" w:hAnsi="Sylfaen"/>
          <w:noProof/>
          <w:lang w:val="ru-RU" w:eastAsia="ru-RU"/>
        </w:rPr>
        <w:pict w14:anchorId="289B97D9">
          <v:shape id="_x0000_s1300" type="#_x0000_t202" style="position:absolute;margin-left:272.55pt;margin-top:431.1pt;width:72.95pt;height:14pt;z-index:251798016;mso-width-relative:margin;mso-height-relative:margin">
            <v:textbox style="mso-next-textbox:#_x0000_s1300" inset="0,0,0,0">
              <w:txbxContent>
                <w:p w14:paraId="7E066540" w14:textId="77777777" w:rsidR="004A52D9" w:rsidRPr="00EB43A1" w:rsidRDefault="004A52D9" w:rsidP="006F76EB">
                  <w:pPr>
                    <w:rPr>
                      <w:rFonts w:ascii="Sylfaen" w:hAnsi="Sylfaen"/>
                      <w:sz w:val="10"/>
                      <w:szCs w:val="10"/>
                    </w:rPr>
                  </w:pPr>
                  <w:r w:rsidRPr="00EB43A1">
                    <w:rPr>
                      <w:rFonts w:ascii="Sylfaen" w:hAnsi="Sylfaen"/>
                      <w:sz w:val="10"/>
                      <w:szCs w:val="10"/>
                    </w:rPr>
                    <w:t>5.1 Բովանդակություն</w:t>
                  </w:r>
                </w:p>
              </w:txbxContent>
            </v:textbox>
          </v:shape>
        </w:pict>
      </w:r>
      <w:r>
        <w:rPr>
          <w:rFonts w:ascii="Sylfaen" w:hAnsi="Sylfaen"/>
          <w:noProof/>
          <w:lang w:val="ru-RU" w:eastAsia="ru-RU"/>
        </w:rPr>
        <w:pict w14:anchorId="741D1926">
          <v:shape id="_x0000_s1296" type="#_x0000_t202" style="position:absolute;margin-left:278.5pt;margin-top:365.45pt;width:92.95pt;height:60.95pt;z-index:251793920;mso-width-relative:margin;mso-height-relative:margin">
            <v:textbox style="mso-next-textbox:#_x0000_s1296" inset="0,0,0,0">
              <w:txbxContent>
                <w:p w14:paraId="54AF2C2A" w14:textId="77777777" w:rsidR="004A52D9" w:rsidRDefault="004A52D9" w:rsidP="006F76EB">
                  <w:pPr>
                    <w:rPr>
                      <w:rFonts w:ascii="Sylfaen" w:hAnsi="Sylfaen"/>
                    </w:rPr>
                  </w:pPr>
                  <w:r>
                    <w:rPr>
                      <w:rFonts w:ascii="Sylfaen" w:hAnsi="Sylfaen"/>
                    </w:rPr>
                    <w:t>Մոդուլ 5</w:t>
                  </w:r>
                </w:p>
                <w:p w14:paraId="5F3E20B8" w14:textId="77777777" w:rsidR="004A52D9" w:rsidRDefault="004A52D9" w:rsidP="006F76EB">
                  <w:pPr>
                    <w:ind w:left="142"/>
                    <w:rPr>
                      <w:rFonts w:ascii="Sylfaen" w:hAnsi="Sylfaen"/>
                      <w:sz w:val="10"/>
                      <w:szCs w:val="10"/>
                    </w:rPr>
                  </w:pPr>
                  <w:r>
                    <w:rPr>
                      <w:rFonts w:ascii="Sylfaen" w:hAnsi="Sylfaen"/>
                      <w:sz w:val="10"/>
                      <w:szCs w:val="10"/>
                    </w:rPr>
                    <w:t>Կ</w:t>
                  </w:r>
                  <w:r w:rsidRPr="00EB43A1">
                    <w:rPr>
                      <w:rFonts w:ascii="Sylfaen" w:hAnsi="Sylfaen"/>
                      <w:sz w:val="10"/>
                      <w:szCs w:val="10"/>
                    </w:rPr>
                    <w:t>լինիկական հետազոտությունների վերաբերյալ հաշվետվությունները</w:t>
                  </w:r>
                </w:p>
                <w:p w14:paraId="6D7A2E66" w14:textId="77777777" w:rsidR="004A52D9" w:rsidRPr="00EB43A1" w:rsidRDefault="004A52D9" w:rsidP="006F76EB">
                  <w:pPr>
                    <w:rPr>
                      <w:rFonts w:ascii="Sylfaen" w:hAnsi="Sylfaen"/>
                      <w:sz w:val="10"/>
                      <w:szCs w:val="10"/>
                    </w:rPr>
                  </w:pPr>
                  <w:r>
                    <w:rPr>
                      <w:rFonts w:ascii="Sylfaen" w:hAnsi="Sylfaen"/>
                      <w:sz w:val="10"/>
                      <w:szCs w:val="10"/>
                    </w:rPr>
                    <w:t>5</w:t>
                  </w:r>
                </w:p>
                <w:p w14:paraId="0352ED0E" w14:textId="77777777" w:rsidR="004A52D9" w:rsidRPr="00EB43A1" w:rsidRDefault="004A52D9" w:rsidP="006F76EB">
                  <w:pPr>
                    <w:rPr>
                      <w:rFonts w:ascii="Sylfaen" w:hAnsi="Sylfaen"/>
                    </w:rPr>
                  </w:pPr>
                </w:p>
              </w:txbxContent>
            </v:textbox>
          </v:shape>
        </w:pict>
      </w:r>
      <w:r>
        <w:rPr>
          <w:rFonts w:ascii="Sylfaen" w:hAnsi="Sylfaen"/>
          <w:noProof/>
          <w:lang w:val="ru-RU" w:eastAsia="ru-RU"/>
        </w:rPr>
        <w:pict w14:anchorId="1B5AC549">
          <v:shape id="_x0000_s1295" type="#_x0000_t202" style="position:absolute;margin-left:181pt;margin-top:365.45pt;width:92.95pt;height:60.95pt;z-index:251792896;mso-width-relative:margin;mso-height-relative:margin">
            <v:textbox style="mso-next-textbox:#_x0000_s1295" inset="0,0,0,0">
              <w:txbxContent>
                <w:p w14:paraId="47DA2E44" w14:textId="77777777" w:rsidR="004A52D9" w:rsidRPr="00EB43A1" w:rsidRDefault="004A52D9" w:rsidP="006F76EB">
                  <w:pPr>
                    <w:ind w:left="142"/>
                    <w:rPr>
                      <w:rFonts w:ascii="Sylfaen" w:hAnsi="Sylfaen"/>
                      <w:sz w:val="10"/>
                      <w:szCs w:val="10"/>
                    </w:rPr>
                  </w:pPr>
                  <w:r w:rsidRPr="00EB43A1">
                    <w:rPr>
                      <w:rFonts w:ascii="Sylfaen" w:hAnsi="Sylfaen"/>
                      <w:sz w:val="10"/>
                      <w:szCs w:val="10"/>
                    </w:rPr>
                    <w:t>Մոդուլ 4</w:t>
                  </w:r>
                </w:p>
                <w:p w14:paraId="182DBD9F" w14:textId="77777777" w:rsidR="004A52D9" w:rsidRDefault="004A52D9" w:rsidP="006F76EB">
                  <w:pPr>
                    <w:rPr>
                      <w:rFonts w:ascii="Sylfaen" w:hAnsi="Sylfaen"/>
                      <w:sz w:val="10"/>
                      <w:szCs w:val="10"/>
                    </w:rPr>
                  </w:pPr>
                  <w:r w:rsidRPr="00EB43A1">
                    <w:rPr>
                      <w:rFonts w:ascii="Sylfaen" w:hAnsi="Sylfaen"/>
                      <w:sz w:val="10"/>
                      <w:szCs w:val="10"/>
                    </w:rPr>
                    <w:t>Նախակլինիկական հետազոտությունների վերաբերյալ հաշվետվությունները</w:t>
                  </w:r>
                </w:p>
                <w:p w14:paraId="2DD04B37" w14:textId="77777777" w:rsidR="004A52D9" w:rsidRPr="00EB43A1" w:rsidRDefault="004A52D9" w:rsidP="006F76EB">
                  <w:pPr>
                    <w:rPr>
                      <w:rFonts w:ascii="Sylfaen" w:hAnsi="Sylfaen"/>
                      <w:sz w:val="10"/>
                      <w:szCs w:val="10"/>
                    </w:rPr>
                  </w:pPr>
                  <w:r>
                    <w:rPr>
                      <w:rFonts w:ascii="Sylfaen" w:hAnsi="Sylfaen"/>
                      <w:sz w:val="10"/>
                      <w:szCs w:val="10"/>
                    </w:rPr>
                    <w:t>4</w:t>
                  </w:r>
                </w:p>
              </w:txbxContent>
            </v:textbox>
          </v:shape>
        </w:pict>
      </w:r>
      <w:r>
        <w:rPr>
          <w:rFonts w:ascii="Sylfaen" w:hAnsi="Sylfaen"/>
          <w:noProof/>
          <w:lang w:val="ru-RU" w:eastAsia="ru-RU"/>
        </w:rPr>
        <w:pict w14:anchorId="044F4C60">
          <v:shape id="_x0000_s1294" type="#_x0000_t202" style="position:absolute;margin-left:278.5pt;margin-top:308.55pt;width:69.95pt;height:42.1pt;z-index:251791872;mso-width-relative:margin;mso-height-relative:margin">
            <v:textbox style="mso-next-textbox:#_x0000_s1294" inset="0,0,0,0">
              <w:txbxContent>
                <w:p w14:paraId="436F5E68" w14:textId="77777777" w:rsidR="004A52D9" w:rsidRPr="00EB43A1" w:rsidRDefault="004A52D9" w:rsidP="006F76EB">
                  <w:pPr>
                    <w:ind w:left="142"/>
                    <w:rPr>
                      <w:sz w:val="16"/>
                      <w:szCs w:val="16"/>
                    </w:rPr>
                  </w:pPr>
                  <w:r w:rsidRPr="00EB43A1">
                    <w:rPr>
                      <w:rFonts w:ascii="Sylfaen" w:hAnsi="Sylfaen"/>
                      <w:sz w:val="16"/>
                      <w:szCs w:val="16"/>
                    </w:rPr>
                    <w:t>Կլինիկական ռեզյումե 2.7</w:t>
                  </w:r>
                </w:p>
              </w:txbxContent>
            </v:textbox>
          </v:shape>
        </w:pict>
      </w:r>
      <w:r>
        <w:rPr>
          <w:rFonts w:ascii="Sylfaen" w:hAnsi="Sylfaen"/>
          <w:noProof/>
          <w:lang w:val="ru-RU" w:eastAsia="ru-RU"/>
        </w:rPr>
        <w:pict w14:anchorId="7131C3F5">
          <v:shape id="_x0000_s1292" type="#_x0000_t202" style="position:absolute;margin-left:266.5pt;margin-top:267.25pt;width:69.95pt;height:35.7pt;z-index:251789824;mso-width-relative:margin;mso-height-relative:margin">
            <v:textbox style="mso-next-textbox:#_x0000_s1292" inset="0,0,0,0">
              <w:txbxContent>
                <w:p w14:paraId="7B031855" w14:textId="77777777" w:rsidR="004A52D9" w:rsidRPr="00132FCC" w:rsidRDefault="004A52D9" w:rsidP="006F76EB">
                  <w:pPr>
                    <w:ind w:left="142"/>
                  </w:pPr>
                  <w:r>
                    <w:rPr>
                      <w:rFonts w:ascii="Sylfaen" w:hAnsi="Sylfaen"/>
                      <w:sz w:val="16"/>
                      <w:szCs w:val="16"/>
                      <w:lang w:val="ru-RU"/>
                    </w:rPr>
                    <w:t>Կ</w:t>
                  </w:r>
                  <w:r w:rsidRPr="00132FCC">
                    <w:rPr>
                      <w:rFonts w:ascii="Sylfaen" w:hAnsi="Sylfaen"/>
                      <w:sz w:val="16"/>
                      <w:szCs w:val="16"/>
                    </w:rPr>
                    <w:t>լինիկական ամփոփում</w:t>
                  </w:r>
                  <w:r>
                    <w:rPr>
                      <w:rFonts w:ascii="Sylfaen" w:hAnsi="Sylfaen"/>
                      <w:sz w:val="16"/>
                      <w:szCs w:val="16"/>
                    </w:rPr>
                    <w:t xml:space="preserve"> 2.5</w:t>
                  </w:r>
                </w:p>
              </w:txbxContent>
            </v:textbox>
          </v:shape>
        </w:pict>
      </w:r>
      <w:r>
        <w:rPr>
          <w:rFonts w:ascii="Sylfaen" w:hAnsi="Sylfaen"/>
          <w:noProof/>
          <w:lang w:val="ru-RU" w:eastAsia="ru-RU"/>
        </w:rPr>
        <w:pict w14:anchorId="1D3779FA">
          <v:shape id="_x0000_s1290" type="#_x0000_t202" style="position:absolute;margin-left:190.6pt;margin-top:267.25pt;width:69.95pt;height:35.7pt;z-index:251787776;mso-width-relative:margin;mso-height-relative:margin">
            <v:textbox style="mso-next-textbox:#_x0000_s1290" inset="0,0,0,0">
              <w:txbxContent>
                <w:p w14:paraId="0D3885F6" w14:textId="77777777" w:rsidR="004A52D9" w:rsidRPr="00132FCC" w:rsidRDefault="004A52D9" w:rsidP="006F76EB">
                  <w:pPr>
                    <w:ind w:left="142"/>
                  </w:pPr>
                  <w:r w:rsidRPr="00132FCC">
                    <w:rPr>
                      <w:rFonts w:ascii="Sylfaen" w:hAnsi="Sylfaen"/>
                      <w:sz w:val="16"/>
                      <w:szCs w:val="16"/>
                    </w:rPr>
                    <w:t>Նախակլինիկական ամփոփում</w:t>
                  </w:r>
                  <w:r>
                    <w:rPr>
                      <w:rFonts w:ascii="Sylfaen" w:hAnsi="Sylfaen"/>
                      <w:sz w:val="16"/>
                      <w:szCs w:val="16"/>
                    </w:rPr>
                    <w:t xml:space="preserve"> 2.1</w:t>
                  </w:r>
                </w:p>
              </w:txbxContent>
            </v:textbox>
          </v:shape>
        </w:pict>
      </w:r>
      <w:r>
        <w:rPr>
          <w:rFonts w:ascii="Sylfaen" w:hAnsi="Sylfaen"/>
          <w:noProof/>
          <w:lang w:val="ru-RU" w:eastAsia="ru-RU"/>
        </w:rPr>
        <w:pict w14:anchorId="744F3BEA">
          <v:shape id="_x0000_s1289" type="#_x0000_t202" style="position:absolute;margin-left:428.1pt;margin-top:298.15pt;width:53.45pt;height:18.9pt;z-index:251786752;mso-width-relative:margin;mso-height-relative:margin">
            <v:textbox style="mso-next-textbox:#_x0000_s1289" inset="0,0,0,0">
              <w:txbxContent>
                <w:p w14:paraId="2E118DCA" w14:textId="77777777" w:rsidR="004A52D9" w:rsidRDefault="004A52D9" w:rsidP="006F76EB">
                  <w:r>
                    <w:rPr>
                      <w:rFonts w:ascii="Sylfaen" w:hAnsi="Sylfaen"/>
                    </w:rPr>
                    <w:t>ԸՏՓ</w:t>
                  </w:r>
                </w:p>
              </w:txbxContent>
            </v:textbox>
          </v:shape>
        </w:pict>
      </w:r>
      <w:r>
        <w:rPr>
          <w:rFonts w:ascii="Sylfaen" w:hAnsi="Sylfaen"/>
          <w:noProof/>
          <w:lang w:val="ru-RU" w:eastAsia="ru-RU"/>
        </w:rPr>
        <w:pict w14:anchorId="1EBA86E2">
          <v:shape id="_x0000_s1288" type="#_x0000_t202" style="position:absolute;margin-left:0;margin-top:267.25pt;width:69.95pt;height:18.9pt;z-index:251785728;mso-width-relative:margin;mso-height-relative:margin">
            <v:textbox style="mso-next-textbox:#_x0000_s1288" inset="0,0,0,0">
              <w:txbxContent>
                <w:p w14:paraId="317FD3CE" w14:textId="77777777" w:rsidR="004A52D9" w:rsidRPr="00EB43A1" w:rsidRDefault="004A52D9" w:rsidP="006F76EB">
                  <w:pPr>
                    <w:ind w:left="142"/>
                    <w:rPr>
                      <w:rFonts w:ascii="Sylfaen" w:hAnsi="Sylfaen"/>
                    </w:rPr>
                  </w:pPr>
                  <w:r>
                    <w:rPr>
                      <w:rFonts w:ascii="Sylfaen" w:hAnsi="Sylfaen"/>
                    </w:rPr>
                    <w:t>մոդուլ 2</w:t>
                  </w:r>
                </w:p>
              </w:txbxContent>
            </v:textbox>
          </v:shape>
        </w:pict>
      </w:r>
      <w:r>
        <w:rPr>
          <w:rFonts w:ascii="Sylfaen" w:hAnsi="Sylfaen"/>
          <w:noProof/>
          <w:lang w:val="ru-RU" w:eastAsia="ru-RU"/>
        </w:rPr>
        <w:pict w14:anchorId="74D53DC7">
          <v:shape id="_x0000_s1287" type="#_x0000_t202" style="position:absolute;margin-left:181pt;margin-top:229.1pt;width:92.95pt;height:26.15pt;z-index:251784704;mso-width-relative:margin;mso-height-relative:margin">
            <v:textbox style="mso-next-textbox:#_x0000_s1287" inset="0,0,0,0">
              <w:txbxContent>
                <w:p w14:paraId="21063B50" w14:textId="77777777" w:rsidR="004A52D9" w:rsidRPr="00132FCC" w:rsidRDefault="004A52D9" w:rsidP="006F76EB">
                  <w:pPr>
                    <w:ind w:left="142"/>
                    <w:rPr>
                      <w:sz w:val="16"/>
                      <w:szCs w:val="16"/>
                    </w:rPr>
                  </w:pPr>
                  <w:r w:rsidRPr="00132FCC">
                    <w:rPr>
                      <w:rFonts w:ascii="Sylfaen" w:hAnsi="Sylfaen"/>
                      <w:sz w:val="16"/>
                      <w:szCs w:val="16"/>
                    </w:rPr>
                    <w:t>Տեղեկատվությունը ԸՏ</w:t>
                  </w:r>
                  <w:r>
                    <w:rPr>
                      <w:rFonts w:ascii="Sylfaen" w:hAnsi="Sylfaen"/>
                      <w:sz w:val="16"/>
                      <w:szCs w:val="16"/>
                    </w:rPr>
                    <w:t>Փ-ում 2.2</w:t>
                  </w:r>
                </w:p>
              </w:txbxContent>
            </v:textbox>
          </v:shape>
        </w:pict>
      </w:r>
      <w:r>
        <w:rPr>
          <w:rFonts w:ascii="Sylfaen" w:hAnsi="Sylfaen"/>
          <w:noProof/>
          <w:lang w:val="ru-RU" w:eastAsia="ru-RU"/>
        </w:rPr>
        <w:pict w14:anchorId="33AFE58B">
          <v:shape id="_x0000_s1286" type="#_x0000_t202" style="position:absolute;margin-left:181pt;margin-top:188.9pt;width:92.95pt;height:34.6pt;z-index:251783680;mso-width-relative:margin;mso-height-relative:margin">
            <v:textbox style="mso-next-textbox:#_x0000_s1286" inset="0,0,0,0">
              <w:txbxContent>
                <w:p w14:paraId="2E754BB7" w14:textId="77777777" w:rsidR="004A52D9" w:rsidRPr="00132FCC" w:rsidRDefault="004A52D9" w:rsidP="006F76EB">
                  <w:pPr>
                    <w:ind w:left="142"/>
                    <w:jc w:val="center"/>
                    <w:rPr>
                      <w:rFonts w:ascii="Sylfaen" w:hAnsi="Sylfaen"/>
                      <w:sz w:val="16"/>
                      <w:szCs w:val="16"/>
                    </w:rPr>
                  </w:pPr>
                  <w:r w:rsidRPr="00132FCC">
                    <w:rPr>
                      <w:rFonts w:ascii="Sylfaen" w:hAnsi="Sylfaen"/>
                      <w:sz w:val="16"/>
                      <w:szCs w:val="16"/>
                    </w:rPr>
                    <w:t>ԸՏՓ-ի բովանդակությունը</w:t>
                  </w:r>
                  <w:r>
                    <w:rPr>
                      <w:rFonts w:ascii="Sylfaen" w:hAnsi="Sylfaen"/>
                      <w:sz w:val="16"/>
                      <w:szCs w:val="16"/>
                      <w:lang w:val="en-US"/>
                    </w:rPr>
                    <w:t xml:space="preserve"> </w:t>
                  </w:r>
                  <w:r>
                    <w:rPr>
                      <w:rFonts w:ascii="Sylfaen" w:hAnsi="Sylfaen"/>
                      <w:sz w:val="16"/>
                      <w:szCs w:val="16"/>
                    </w:rPr>
                    <w:t>2.1</w:t>
                  </w:r>
                </w:p>
              </w:txbxContent>
            </v:textbox>
          </v:shape>
        </w:pict>
      </w:r>
      <w:r>
        <w:rPr>
          <w:rFonts w:ascii="Sylfaen" w:hAnsi="Sylfaen"/>
          <w:noProof/>
          <w:lang w:val="ru-RU" w:eastAsia="ru-RU"/>
        </w:rPr>
        <w:pict w14:anchorId="7E05CED9">
          <v:shape id="_x0000_s1285" type="#_x0000_t202" style="position:absolute;margin-left:353.85pt;margin-top:106.6pt;width:92.95pt;height:35.55pt;z-index:251782656;mso-width-relative:margin;mso-height-relative:margin">
            <v:textbox style="mso-next-textbox:#_x0000_s1285" inset="0,0,0,0">
              <w:txbxContent>
                <w:p w14:paraId="76231FAC" w14:textId="77777777" w:rsidR="004A52D9" w:rsidRPr="00132FCC" w:rsidRDefault="004A52D9" w:rsidP="006F76EB">
                  <w:pPr>
                    <w:ind w:left="142"/>
                    <w:rPr>
                      <w:rFonts w:ascii="Sylfaen" w:hAnsi="Sylfaen"/>
                    </w:rPr>
                  </w:pPr>
                  <w:r>
                    <w:rPr>
                      <w:rFonts w:ascii="Sylfaen" w:hAnsi="Sylfaen"/>
                    </w:rPr>
                    <w:t>ԸՏՓ-ի մաս չէ</w:t>
                  </w:r>
                </w:p>
              </w:txbxContent>
            </v:textbox>
          </v:shape>
        </w:pict>
      </w:r>
      <w:r w:rsidR="006F76EB" w:rsidRPr="00834D52">
        <w:rPr>
          <w:rFonts w:ascii="Sylfaen" w:hAnsi="Sylfaen"/>
          <w:noProof/>
          <w:lang w:val="en-US" w:eastAsia="en-US" w:bidi="ar-SA"/>
        </w:rPr>
        <w:drawing>
          <wp:inline distT="0" distB="0" distL="0" distR="0" wp14:anchorId="3FDD545E" wp14:editId="28FA659A">
            <wp:extent cx="5943600" cy="6409228"/>
            <wp:effectExtent l="19050" t="0" r="0" b="0"/>
            <wp:docPr id="6" name="Picture 1" descr="C:\Users\mikhail.LOCAL\Desktop\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png"/>
                    <pic:cNvPicPr>
                      <a:picLocks noChangeAspect="1" noChangeArrowheads="1"/>
                    </pic:cNvPicPr>
                  </pic:nvPicPr>
                  <pic:blipFill>
                    <a:blip r:embed="rId13" cstate="print"/>
                    <a:srcRect/>
                    <a:stretch>
                      <a:fillRect/>
                    </a:stretch>
                  </pic:blipFill>
                  <pic:spPr bwMode="auto">
                    <a:xfrm>
                      <a:off x="0" y="0"/>
                      <a:ext cx="5943600" cy="6409228"/>
                    </a:xfrm>
                    <a:prstGeom prst="rect">
                      <a:avLst/>
                    </a:prstGeom>
                    <a:noFill/>
                    <a:ln w="9525">
                      <a:noFill/>
                      <a:miter lim="800000"/>
                      <a:headEnd/>
                      <a:tailEnd/>
                    </a:ln>
                  </pic:spPr>
                </pic:pic>
              </a:graphicData>
            </a:graphic>
          </wp:inline>
        </w:drawing>
      </w:r>
    </w:p>
    <w:p w14:paraId="4E1C58F2" w14:textId="77777777" w:rsidR="006F76EB" w:rsidRPr="00834D52" w:rsidRDefault="006F76EB" w:rsidP="006F76EB">
      <w:pPr>
        <w:widowControl/>
        <w:rPr>
          <w:rFonts w:ascii="Sylfaen" w:hAnsi="Sylfaen"/>
          <w:sz w:val="24"/>
          <w:szCs w:val="24"/>
          <w:lang w:val="en-US"/>
        </w:rPr>
      </w:pPr>
      <w:r w:rsidRPr="00834D52">
        <w:rPr>
          <w:rFonts w:ascii="Sylfaen" w:hAnsi="Sylfaen"/>
          <w:sz w:val="24"/>
          <w:szCs w:val="24"/>
          <w:lang w:val="en-US"/>
        </w:rPr>
        <w:br w:type="page"/>
      </w:r>
    </w:p>
    <w:p w14:paraId="308D2258" w14:textId="77777777" w:rsidR="006F76EB" w:rsidRPr="00834D52" w:rsidRDefault="006F76EB" w:rsidP="002978B0">
      <w:pPr>
        <w:spacing w:after="120" w:line="312" w:lineRule="auto"/>
        <w:ind w:left="567" w:right="579"/>
        <w:jc w:val="center"/>
        <w:rPr>
          <w:rFonts w:ascii="Sylfaen" w:hAnsi="Sylfaen"/>
          <w:sz w:val="24"/>
          <w:szCs w:val="24"/>
          <w:lang w:val="en-US"/>
        </w:rPr>
      </w:pPr>
      <w:r w:rsidRPr="00834D52">
        <w:rPr>
          <w:rFonts w:ascii="Sylfaen" w:hAnsi="Sylfaen"/>
          <w:sz w:val="24"/>
          <w:szCs w:val="24"/>
        </w:rPr>
        <w:lastRenderedPageBreak/>
        <w:t>VI. ԲԺՇԿԱԿԱՆ ԿԻՐԱՌՈՒԹՅԱՆ ԴԵՂԱՊԱՏՐԱՍՏՈՒԿՆԵՐԻ ԳՐԱՆՑՄԱՆ ԸՏՓ-ի ԿԱՌՈՒՑՎԱԾՔԸ</w:t>
      </w:r>
    </w:p>
    <w:p w14:paraId="316B490F" w14:textId="77777777" w:rsidR="006F76EB" w:rsidRPr="00834D52" w:rsidRDefault="006F76EB" w:rsidP="002978B0">
      <w:pPr>
        <w:tabs>
          <w:tab w:val="left" w:pos="1134"/>
        </w:tabs>
        <w:spacing w:after="120" w:line="312" w:lineRule="auto"/>
        <w:ind w:right="-8" w:firstLine="567"/>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1.</w:t>
      </w:r>
      <w:r>
        <w:rPr>
          <w:rFonts w:ascii="Sylfaen" w:hAnsi="Sylfaen"/>
          <w:sz w:val="24"/>
          <w:szCs w:val="24"/>
          <w:lang w:val="en-US"/>
        </w:rPr>
        <w:tab/>
      </w:r>
      <w:r w:rsidRPr="00834D52">
        <w:rPr>
          <w:rFonts w:ascii="Sylfaen" w:hAnsi="Sylfaen"/>
          <w:sz w:val="24"/>
          <w:szCs w:val="24"/>
        </w:rPr>
        <w:t xml:space="preserve">Նշանակման վերաբերյալ տեղեկատվությունը </w:t>
      </w:r>
      <w:r w:rsidR="00C54D75">
        <w:rPr>
          <w:rFonts w:ascii="Sylfaen" w:hAnsi="Sylfaen"/>
          <w:sz w:val="24"/>
          <w:szCs w:val="24"/>
        </w:rPr>
        <w:t>և</w:t>
      </w:r>
      <w:r w:rsidRPr="00834D52">
        <w:rPr>
          <w:rFonts w:ascii="Sylfaen" w:hAnsi="Sylfaen"/>
          <w:sz w:val="24"/>
          <w:szCs w:val="24"/>
        </w:rPr>
        <w:t xml:space="preserve"> վարչական տեղեկությունները </w:t>
      </w:r>
    </w:p>
    <w:p w14:paraId="7BDE9C0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1.1.</w:t>
      </w:r>
      <w:r w:rsidRPr="00834D52">
        <w:rPr>
          <w:rFonts w:ascii="Sylfaen" w:hAnsi="Sylfaen"/>
          <w:sz w:val="24"/>
          <w:szCs w:val="24"/>
        </w:rPr>
        <w:tab/>
        <w:t>Դոսյեի բովանդակությունը, ներառյալ՝ 1-ին մոդուլը</w:t>
      </w:r>
    </w:p>
    <w:p w14:paraId="26151270" w14:textId="31051226"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1.2.</w:t>
      </w:r>
      <w:r w:rsidRPr="00CC275D">
        <w:rPr>
          <w:rFonts w:ascii="Sylfaen" w:hAnsi="Sylfaen"/>
          <w:sz w:val="24"/>
          <w:szCs w:val="24"/>
        </w:rPr>
        <w:tab/>
      </w:r>
      <w:r w:rsidRPr="00834D52">
        <w:rPr>
          <w:rFonts w:ascii="Sylfaen" w:hAnsi="Sylfaen"/>
          <w:sz w:val="24"/>
          <w:szCs w:val="24"/>
        </w:rPr>
        <w:t xml:space="preserve">Յուրաքանչյուր տարածաշրջանի համար յուրահատուկ փաստաթղթերը (օրինակ՝ </w:t>
      </w:r>
      <w:r w:rsidR="009F5829">
        <w:rPr>
          <w:rFonts w:ascii="Sylfaen" w:hAnsi="Sylfaen"/>
          <w:sz w:val="24"/>
          <w:szCs w:val="24"/>
        </w:rPr>
        <w:t>դիմումներ</w:t>
      </w:r>
      <w:r w:rsidRPr="00834D52">
        <w:rPr>
          <w:rFonts w:ascii="Sylfaen" w:hAnsi="Sylfaen"/>
          <w:sz w:val="24"/>
          <w:szCs w:val="24"/>
        </w:rPr>
        <w:t>ի ձ</w:t>
      </w:r>
      <w:r w:rsidR="00C54D75">
        <w:rPr>
          <w:rFonts w:ascii="Sylfaen" w:hAnsi="Sylfaen"/>
          <w:sz w:val="24"/>
          <w:szCs w:val="24"/>
        </w:rPr>
        <w:t>և</w:t>
      </w:r>
      <w:r w:rsidRPr="00834D52">
        <w:rPr>
          <w:rFonts w:ascii="Sylfaen" w:hAnsi="Sylfaen"/>
          <w:sz w:val="24"/>
          <w:szCs w:val="24"/>
        </w:rPr>
        <w:t>երը, պատրաստուկի նշանակման վերաբերյալ տեղեկատվությունը)</w:t>
      </w:r>
    </w:p>
    <w:p w14:paraId="11710E42" w14:textId="77777777" w:rsidR="006F76EB" w:rsidRPr="00834D52" w:rsidRDefault="006F76EB" w:rsidP="002978B0">
      <w:pPr>
        <w:tabs>
          <w:tab w:val="left" w:pos="1134"/>
        </w:tabs>
        <w:spacing w:after="120" w:line="312" w:lineRule="auto"/>
        <w:ind w:right="-8"/>
        <w:jc w:val="both"/>
        <w:rPr>
          <w:rFonts w:ascii="Sylfaen" w:eastAsia="Times New Roman" w:hAnsi="Sylfaen" w:cs="Times New Roman"/>
          <w:sz w:val="24"/>
          <w:szCs w:val="24"/>
        </w:rPr>
      </w:pPr>
      <w:r w:rsidRPr="00834D52">
        <w:rPr>
          <w:rFonts w:ascii="Sylfaen" w:hAnsi="Sylfaen"/>
          <w:sz w:val="24"/>
          <w:szCs w:val="24"/>
        </w:rPr>
        <w:t>Մոդուլ</w:t>
      </w:r>
      <w:r>
        <w:rPr>
          <w:rFonts w:ascii="Sylfaen" w:hAnsi="Sylfaen"/>
          <w:sz w:val="24"/>
          <w:szCs w:val="24"/>
        </w:rPr>
        <w:t xml:space="preserve"> 2.</w:t>
      </w:r>
      <w:r w:rsidRPr="00581D46">
        <w:rPr>
          <w:rFonts w:ascii="Sylfaen" w:hAnsi="Sylfaen"/>
          <w:sz w:val="24"/>
          <w:szCs w:val="24"/>
        </w:rPr>
        <w:tab/>
      </w:r>
      <w:r w:rsidRPr="00834D52">
        <w:rPr>
          <w:rFonts w:ascii="Sylfaen" w:hAnsi="Sylfaen"/>
          <w:sz w:val="24"/>
          <w:szCs w:val="24"/>
        </w:rPr>
        <w:t>ԸՏՓ-ի ռեզյումեն</w:t>
      </w:r>
    </w:p>
    <w:p w14:paraId="393CBCF7"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sidRPr="00834D52">
        <w:rPr>
          <w:rFonts w:ascii="Sylfaen" w:hAnsi="Sylfaen"/>
          <w:sz w:val="24"/>
          <w:szCs w:val="24"/>
        </w:rPr>
        <w:t>2.1.</w:t>
      </w:r>
      <w:r w:rsidRPr="00CC275D">
        <w:rPr>
          <w:rFonts w:ascii="Sylfaen" w:hAnsi="Sylfaen"/>
          <w:sz w:val="24"/>
          <w:szCs w:val="24"/>
        </w:rPr>
        <w:tab/>
      </w:r>
      <w:r w:rsidRPr="00834D52">
        <w:rPr>
          <w:rFonts w:ascii="Sylfaen" w:hAnsi="Sylfaen"/>
          <w:sz w:val="24"/>
          <w:szCs w:val="24"/>
        </w:rPr>
        <w:t>ԸՏՓ-ի ամփոփ բովանդակությունը (2-5-րդ մոդուլներ)</w:t>
      </w:r>
    </w:p>
    <w:p w14:paraId="6A2A120A"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2.2.</w:t>
      </w:r>
      <w:r w:rsidRPr="00CC275D">
        <w:rPr>
          <w:rFonts w:ascii="Sylfaen" w:hAnsi="Sylfaen"/>
          <w:sz w:val="24"/>
          <w:szCs w:val="24"/>
        </w:rPr>
        <w:tab/>
      </w:r>
      <w:r w:rsidRPr="00834D52">
        <w:rPr>
          <w:rFonts w:ascii="Sylfaen" w:hAnsi="Sylfaen"/>
          <w:sz w:val="24"/>
          <w:szCs w:val="24"/>
        </w:rPr>
        <w:t>Ներածություն</w:t>
      </w:r>
    </w:p>
    <w:p w14:paraId="6B030051"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2.3.</w:t>
      </w:r>
      <w:r w:rsidRPr="00CC275D">
        <w:rPr>
          <w:rFonts w:ascii="Sylfaen" w:hAnsi="Sylfaen"/>
          <w:sz w:val="24"/>
          <w:szCs w:val="24"/>
        </w:rPr>
        <w:tab/>
      </w:r>
      <w:r w:rsidRPr="00834D52">
        <w:rPr>
          <w:rFonts w:ascii="Sylfaen" w:hAnsi="Sylfaen"/>
          <w:sz w:val="24"/>
          <w:szCs w:val="24"/>
        </w:rPr>
        <w:t>Որակի վերաբերյալ ամփոփ ռեզյումե</w:t>
      </w:r>
    </w:p>
    <w:p w14:paraId="6D3018D6"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2.4.</w:t>
      </w:r>
      <w:r w:rsidRPr="00CC275D">
        <w:rPr>
          <w:rFonts w:ascii="Sylfaen" w:hAnsi="Sylfaen"/>
          <w:sz w:val="24"/>
          <w:szCs w:val="24"/>
        </w:rPr>
        <w:tab/>
      </w:r>
      <w:r w:rsidRPr="00834D52">
        <w:rPr>
          <w:rFonts w:ascii="Sylfaen" w:hAnsi="Sylfaen"/>
          <w:sz w:val="24"/>
          <w:szCs w:val="24"/>
        </w:rPr>
        <w:t>Նախակլինիկական ամփոփում</w:t>
      </w:r>
    </w:p>
    <w:p w14:paraId="6935BBDB"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2.5.</w:t>
      </w:r>
      <w:r w:rsidRPr="00CC275D">
        <w:rPr>
          <w:rFonts w:ascii="Sylfaen" w:hAnsi="Sylfaen"/>
          <w:sz w:val="24"/>
          <w:szCs w:val="24"/>
        </w:rPr>
        <w:tab/>
      </w:r>
      <w:r w:rsidRPr="00834D52">
        <w:rPr>
          <w:rFonts w:ascii="Sylfaen" w:hAnsi="Sylfaen"/>
          <w:sz w:val="24"/>
          <w:szCs w:val="24"/>
        </w:rPr>
        <w:t>Կլինիկական ամփոփում</w:t>
      </w:r>
    </w:p>
    <w:p w14:paraId="4D74B2F9"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2.6.</w:t>
      </w:r>
      <w:r w:rsidRPr="00581D46">
        <w:rPr>
          <w:rFonts w:ascii="Sylfaen" w:hAnsi="Sylfaen"/>
          <w:sz w:val="24"/>
          <w:szCs w:val="24"/>
        </w:rPr>
        <w:tab/>
      </w:r>
      <w:r w:rsidRPr="00834D52">
        <w:rPr>
          <w:rFonts w:ascii="Sylfaen" w:hAnsi="Sylfaen"/>
          <w:sz w:val="24"/>
          <w:szCs w:val="24"/>
        </w:rPr>
        <w:t xml:space="preserve">Նկարագրական </w:t>
      </w:r>
      <w:r w:rsidR="00C54D75">
        <w:rPr>
          <w:rFonts w:ascii="Sylfaen" w:hAnsi="Sylfaen"/>
          <w:sz w:val="24"/>
          <w:szCs w:val="24"/>
        </w:rPr>
        <w:t>և</w:t>
      </w:r>
      <w:r w:rsidRPr="00834D52">
        <w:rPr>
          <w:rFonts w:ascii="Sylfaen" w:hAnsi="Sylfaen"/>
          <w:sz w:val="24"/>
          <w:szCs w:val="24"/>
        </w:rPr>
        <w:t xml:space="preserve"> աղյուսակային նախակլինիկական ռեզյումեներ</w:t>
      </w:r>
    </w:p>
    <w:p w14:paraId="1102E250"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դեղաբանություն</w:t>
      </w:r>
    </w:p>
    <w:p w14:paraId="36B0C119" w14:textId="77777777" w:rsidR="006F76EB" w:rsidRPr="00834D52" w:rsidRDefault="00355C33" w:rsidP="002978B0">
      <w:pPr>
        <w:tabs>
          <w:tab w:val="left" w:pos="1134"/>
        </w:tabs>
        <w:spacing w:after="120" w:line="312" w:lineRule="auto"/>
        <w:ind w:left="1276" w:right="-8"/>
        <w:jc w:val="both"/>
        <w:rPr>
          <w:rFonts w:ascii="Sylfaen" w:eastAsia="Times New Roman" w:hAnsi="Sylfaen" w:cs="Times New Roman"/>
          <w:sz w:val="24"/>
          <w:szCs w:val="24"/>
        </w:rPr>
      </w:pPr>
      <w:r>
        <w:rPr>
          <w:rFonts w:ascii="Sylfaen" w:hAnsi="Sylfaen"/>
          <w:sz w:val="24"/>
          <w:szCs w:val="24"/>
        </w:rPr>
        <w:t>դեղա</w:t>
      </w:r>
      <w:r w:rsidR="006F76EB" w:rsidRPr="00834D52">
        <w:rPr>
          <w:rFonts w:ascii="Sylfaen" w:hAnsi="Sylfaen"/>
          <w:sz w:val="24"/>
          <w:szCs w:val="24"/>
        </w:rPr>
        <w:t>կինետիկա</w:t>
      </w:r>
    </w:p>
    <w:p w14:paraId="35ECB21A" w14:textId="77777777" w:rsidR="006F76EB" w:rsidRPr="00834D52" w:rsidRDefault="006F76EB" w:rsidP="002978B0">
      <w:pPr>
        <w:tabs>
          <w:tab w:val="left" w:pos="1134"/>
        </w:tabs>
        <w:spacing w:after="120" w:line="312" w:lineRule="auto"/>
        <w:ind w:left="1276" w:right="-8"/>
        <w:jc w:val="both"/>
        <w:rPr>
          <w:rFonts w:ascii="Sylfaen" w:eastAsia="Times New Roman" w:hAnsi="Sylfaen" w:cs="Times New Roman"/>
          <w:sz w:val="24"/>
          <w:szCs w:val="24"/>
        </w:rPr>
      </w:pPr>
      <w:r w:rsidRPr="00834D52">
        <w:rPr>
          <w:rFonts w:ascii="Sylfaen" w:hAnsi="Sylfaen"/>
          <w:sz w:val="24"/>
          <w:szCs w:val="24"/>
        </w:rPr>
        <w:t xml:space="preserve">թունաբանություն </w:t>
      </w:r>
    </w:p>
    <w:p w14:paraId="54795700" w14:textId="77777777" w:rsidR="006F76EB" w:rsidRPr="00834D52" w:rsidRDefault="006F76EB" w:rsidP="002978B0">
      <w:pPr>
        <w:tabs>
          <w:tab w:val="left" w:pos="1134"/>
        </w:tabs>
        <w:spacing w:after="120" w:line="312" w:lineRule="auto"/>
        <w:ind w:left="567" w:right="-8"/>
        <w:jc w:val="both"/>
        <w:rPr>
          <w:rFonts w:ascii="Sylfaen" w:eastAsia="Times New Roman" w:hAnsi="Sylfaen" w:cs="Times New Roman"/>
          <w:sz w:val="24"/>
          <w:szCs w:val="24"/>
        </w:rPr>
      </w:pPr>
      <w:r>
        <w:rPr>
          <w:rFonts w:ascii="Sylfaen" w:hAnsi="Sylfaen"/>
          <w:sz w:val="24"/>
          <w:szCs w:val="24"/>
        </w:rPr>
        <w:t>2.7.</w:t>
      </w:r>
      <w:r w:rsidRPr="00B17274">
        <w:rPr>
          <w:rFonts w:ascii="Sylfaen" w:hAnsi="Sylfaen"/>
          <w:sz w:val="24"/>
          <w:szCs w:val="24"/>
        </w:rPr>
        <w:tab/>
      </w:r>
      <w:r w:rsidRPr="00834D52">
        <w:rPr>
          <w:rFonts w:ascii="Sylfaen" w:hAnsi="Sylfaen"/>
          <w:sz w:val="24"/>
          <w:szCs w:val="24"/>
        </w:rPr>
        <w:t>Կլինիկական ռեզյումե</w:t>
      </w:r>
    </w:p>
    <w:p w14:paraId="4E0B86B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 xml:space="preserve">կենսադեղագործական հետազոտությունների </w:t>
      </w:r>
      <w:r w:rsidR="00C54D75">
        <w:rPr>
          <w:rFonts w:ascii="Sylfaen" w:hAnsi="Sylfaen"/>
          <w:sz w:val="24"/>
          <w:szCs w:val="24"/>
        </w:rPr>
        <w:t>և</w:t>
      </w:r>
      <w:r w:rsidRPr="00834D52">
        <w:rPr>
          <w:rFonts w:ascii="Sylfaen" w:hAnsi="Sylfaen"/>
          <w:sz w:val="24"/>
          <w:szCs w:val="24"/>
        </w:rPr>
        <w:t xml:space="preserve"> համապատասխան վերլուծական մեթոդների ռեզյումեներ</w:t>
      </w:r>
    </w:p>
    <w:p w14:paraId="2B3D2EDF"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դեղաբանության հետազոտությունների ռեզյումե</w:t>
      </w:r>
    </w:p>
    <w:p w14:paraId="653BE08D"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արդյունավետության ռեզյումե</w:t>
      </w:r>
    </w:p>
    <w:p w14:paraId="45225C43" w14:textId="77777777" w:rsidR="006F76EB" w:rsidRPr="00834D52" w:rsidRDefault="006F76EB" w:rsidP="002978B0">
      <w:pPr>
        <w:tabs>
          <w:tab w:val="left" w:pos="1134"/>
        </w:tabs>
        <w:spacing w:after="120" w:line="312" w:lineRule="auto"/>
        <w:ind w:left="1701" w:right="-8"/>
        <w:jc w:val="both"/>
        <w:rPr>
          <w:rFonts w:ascii="Sylfaen" w:eastAsia="Times New Roman" w:hAnsi="Sylfaen" w:cs="Times New Roman"/>
          <w:sz w:val="24"/>
          <w:szCs w:val="24"/>
        </w:rPr>
      </w:pPr>
      <w:r w:rsidRPr="00834D52">
        <w:rPr>
          <w:rFonts w:ascii="Sylfaen" w:hAnsi="Sylfaen"/>
          <w:sz w:val="24"/>
          <w:szCs w:val="24"/>
        </w:rPr>
        <w:t>կլինիկական անվտանգության ռեզյումե</w:t>
      </w:r>
    </w:p>
    <w:p w14:paraId="523A446A" w14:textId="77777777" w:rsidR="006F76EB" w:rsidRPr="007F5A60" w:rsidRDefault="006F76EB" w:rsidP="002978B0">
      <w:pPr>
        <w:tabs>
          <w:tab w:val="left" w:pos="1134"/>
        </w:tabs>
        <w:spacing w:after="120" w:line="312" w:lineRule="auto"/>
        <w:ind w:left="1701" w:right="-8"/>
        <w:jc w:val="both"/>
        <w:rPr>
          <w:rFonts w:ascii="Sylfaen" w:hAnsi="Sylfaen"/>
          <w:sz w:val="24"/>
          <w:szCs w:val="24"/>
        </w:rPr>
      </w:pPr>
      <w:r w:rsidRPr="00834D52">
        <w:rPr>
          <w:rFonts w:ascii="Sylfaen" w:hAnsi="Sylfaen"/>
          <w:sz w:val="24"/>
          <w:szCs w:val="24"/>
        </w:rPr>
        <w:t xml:space="preserve">առանձին հետազոտությունների </w:t>
      </w:r>
      <w:r w:rsidR="00333236">
        <w:rPr>
          <w:rFonts w:ascii="Sylfaen" w:hAnsi="Sylfaen"/>
          <w:sz w:val="24"/>
          <w:szCs w:val="24"/>
        </w:rPr>
        <w:t>ս</w:t>
      </w:r>
      <w:r w:rsidRPr="00834D52">
        <w:rPr>
          <w:rFonts w:ascii="Sylfaen" w:hAnsi="Sylfaen"/>
          <w:sz w:val="24"/>
          <w:szCs w:val="24"/>
        </w:rPr>
        <w:t>ինոփսիսներ</w:t>
      </w:r>
    </w:p>
    <w:p w14:paraId="205F7AB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 3.</w:t>
      </w:r>
      <w:r w:rsidRPr="00581D46">
        <w:rPr>
          <w:rFonts w:ascii="Sylfaen" w:hAnsi="Sylfaen"/>
          <w:sz w:val="24"/>
          <w:szCs w:val="24"/>
        </w:rPr>
        <w:tab/>
      </w:r>
      <w:r w:rsidRPr="00834D52">
        <w:rPr>
          <w:rFonts w:ascii="Sylfaen" w:hAnsi="Sylfaen"/>
          <w:sz w:val="24"/>
          <w:szCs w:val="24"/>
        </w:rPr>
        <w:t>Որակ</w:t>
      </w:r>
    </w:p>
    <w:p w14:paraId="09F28629"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3.1.</w:t>
      </w:r>
      <w:r w:rsidRPr="00581D46">
        <w:rPr>
          <w:rFonts w:ascii="Sylfaen" w:hAnsi="Sylfaen"/>
          <w:sz w:val="24"/>
          <w:szCs w:val="24"/>
        </w:rPr>
        <w:tab/>
      </w:r>
      <w:r w:rsidRPr="00834D52">
        <w:rPr>
          <w:rFonts w:ascii="Sylfaen" w:hAnsi="Sylfaen"/>
          <w:sz w:val="24"/>
          <w:szCs w:val="24"/>
        </w:rPr>
        <w:t>3-րդ մոդուլի բովանդակությունը</w:t>
      </w:r>
    </w:p>
    <w:p w14:paraId="38118CAA"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lastRenderedPageBreak/>
        <w:t>3.2.</w:t>
      </w:r>
      <w:r w:rsidRPr="00581D46">
        <w:rPr>
          <w:rFonts w:ascii="Sylfaen" w:hAnsi="Sylfaen"/>
          <w:sz w:val="24"/>
          <w:szCs w:val="24"/>
        </w:rPr>
        <w:tab/>
      </w:r>
      <w:r w:rsidRPr="00834D52">
        <w:rPr>
          <w:rFonts w:ascii="Sylfaen" w:hAnsi="Sylfaen"/>
          <w:sz w:val="24"/>
          <w:szCs w:val="24"/>
        </w:rPr>
        <w:t>Հիմնական տվյալները</w:t>
      </w:r>
    </w:p>
    <w:p w14:paraId="144E3153" w14:textId="77777777" w:rsidR="006F76EB" w:rsidRPr="007F5A60"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3.3.</w:t>
      </w:r>
      <w:r w:rsidRPr="00581D46">
        <w:rPr>
          <w:rFonts w:ascii="Sylfaen" w:hAnsi="Sylfaen"/>
          <w:sz w:val="24"/>
          <w:szCs w:val="24"/>
        </w:rPr>
        <w:tab/>
      </w:r>
      <w:r w:rsidRPr="00834D52">
        <w:rPr>
          <w:rFonts w:ascii="Sylfaen" w:hAnsi="Sylfaen"/>
          <w:sz w:val="24"/>
          <w:szCs w:val="24"/>
        </w:rPr>
        <w:t>Հղումներ գրականությանը</w:t>
      </w:r>
    </w:p>
    <w:p w14:paraId="16C6EF48" w14:textId="77777777" w:rsidR="0047408B" w:rsidRPr="007F5A60" w:rsidRDefault="0047408B" w:rsidP="002978B0">
      <w:pPr>
        <w:tabs>
          <w:tab w:val="left" w:pos="1134"/>
        </w:tabs>
        <w:spacing w:after="120" w:line="312" w:lineRule="auto"/>
        <w:ind w:left="567" w:right="-8"/>
        <w:jc w:val="both"/>
        <w:rPr>
          <w:rFonts w:ascii="Sylfaen" w:hAnsi="Sylfaen"/>
          <w:sz w:val="24"/>
          <w:szCs w:val="24"/>
        </w:rPr>
      </w:pPr>
    </w:p>
    <w:p w14:paraId="68D6647C" w14:textId="77777777" w:rsidR="006F76EB" w:rsidRPr="0047408B" w:rsidRDefault="006F76EB" w:rsidP="002978B0">
      <w:pPr>
        <w:tabs>
          <w:tab w:val="left" w:pos="1134"/>
        </w:tabs>
        <w:spacing w:after="120" w:line="312" w:lineRule="auto"/>
        <w:ind w:right="-8" w:firstLine="567"/>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4.</w:t>
      </w:r>
      <w:r w:rsidRPr="00581D46">
        <w:rPr>
          <w:rFonts w:ascii="Sylfaen" w:hAnsi="Sylfaen"/>
          <w:sz w:val="24"/>
          <w:szCs w:val="24"/>
        </w:rPr>
        <w:tab/>
      </w:r>
      <w:r w:rsidRPr="00834D52">
        <w:rPr>
          <w:rFonts w:ascii="Sylfaen" w:hAnsi="Sylfaen"/>
          <w:sz w:val="24"/>
          <w:szCs w:val="24"/>
        </w:rPr>
        <w:t>Նախակլինիկական հետազոտությունների վերաբերյալ հաշվետվությունները</w:t>
      </w:r>
    </w:p>
    <w:p w14:paraId="03D9E64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4.1.</w:t>
      </w:r>
      <w:r w:rsidRPr="00581D46">
        <w:rPr>
          <w:rFonts w:ascii="Sylfaen" w:hAnsi="Sylfaen"/>
          <w:sz w:val="24"/>
          <w:szCs w:val="24"/>
        </w:rPr>
        <w:tab/>
      </w:r>
      <w:r w:rsidRPr="00834D52">
        <w:rPr>
          <w:rFonts w:ascii="Sylfaen" w:hAnsi="Sylfaen"/>
          <w:sz w:val="24"/>
          <w:szCs w:val="24"/>
        </w:rPr>
        <w:t>4-րդ մոդուլի բովանդակությունը</w:t>
      </w:r>
    </w:p>
    <w:p w14:paraId="59631318"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4.2</w:t>
      </w:r>
      <w:r>
        <w:rPr>
          <w:rFonts w:ascii="Sylfaen" w:hAnsi="Sylfaen"/>
          <w:sz w:val="24"/>
          <w:szCs w:val="24"/>
        </w:rPr>
        <w:t>.</w:t>
      </w:r>
      <w:r w:rsidRPr="00581D46">
        <w:rPr>
          <w:rFonts w:ascii="Sylfaen" w:hAnsi="Sylfaen"/>
          <w:sz w:val="24"/>
          <w:szCs w:val="24"/>
        </w:rPr>
        <w:tab/>
      </w:r>
      <w:r w:rsidRPr="00834D52">
        <w:rPr>
          <w:rFonts w:ascii="Sylfaen" w:hAnsi="Sylfaen"/>
          <w:sz w:val="24"/>
          <w:szCs w:val="24"/>
        </w:rPr>
        <w:t>Հետազոտությունների վերաբերյալ հաշվետվությունները</w:t>
      </w:r>
    </w:p>
    <w:p w14:paraId="48E0647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4.3.</w:t>
      </w:r>
      <w:r w:rsidRPr="00581D46">
        <w:rPr>
          <w:rFonts w:ascii="Sylfaen" w:hAnsi="Sylfaen"/>
          <w:sz w:val="24"/>
          <w:szCs w:val="24"/>
        </w:rPr>
        <w:tab/>
      </w:r>
      <w:r w:rsidRPr="00834D52">
        <w:rPr>
          <w:rFonts w:ascii="Sylfaen" w:hAnsi="Sylfaen"/>
          <w:sz w:val="24"/>
          <w:szCs w:val="24"/>
        </w:rPr>
        <w:t>Հղումներ գրականությանը</w:t>
      </w:r>
    </w:p>
    <w:p w14:paraId="637C41BD"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Մոդուլ</w:t>
      </w:r>
      <w:r>
        <w:rPr>
          <w:rFonts w:ascii="Sylfaen" w:hAnsi="Sylfaen"/>
          <w:sz w:val="24"/>
          <w:szCs w:val="24"/>
        </w:rPr>
        <w:t xml:space="preserve"> 5.</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30F2D530"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5.1.</w:t>
      </w:r>
      <w:r w:rsidRPr="00581D46">
        <w:rPr>
          <w:rFonts w:ascii="Sylfaen" w:hAnsi="Sylfaen"/>
          <w:sz w:val="24"/>
          <w:szCs w:val="24"/>
        </w:rPr>
        <w:tab/>
      </w:r>
      <w:r w:rsidRPr="00834D52">
        <w:rPr>
          <w:rFonts w:ascii="Sylfaen" w:hAnsi="Sylfaen"/>
          <w:sz w:val="24"/>
          <w:szCs w:val="24"/>
        </w:rPr>
        <w:t>5-րդ մոդուլի բովանդակությունը</w:t>
      </w:r>
    </w:p>
    <w:p w14:paraId="6EE970FF"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sidRPr="00834D52">
        <w:rPr>
          <w:rFonts w:ascii="Sylfaen" w:hAnsi="Sylfaen"/>
          <w:sz w:val="24"/>
          <w:szCs w:val="24"/>
        </w:rPr>
        <w:t>5.2.</w:t>
      </w:r>
      <w:r w:rsidRPr="00581D46">
        <w:rPr>
          <w:rFonts w:ascii="Sylfaen" w:hAnsi="Sylfaen"/>
          <w:sz w:val="24"/>
          <w:szCs w:val="24"/>
        </w:rPr>
        <w:tab/>
      </w:r>
      <w:r w:rsidRPr="00834D52">
        <w:rPr>
          <w:rFonts w:ascii="Sylfaen" w:hAnsi="Sylfaen"/>
          <w:sz w:val="24"/>
          <w:szCs w:val="24"/>
        </w:rPr>
        <w:t>Բոլոր կլինիկական հետազոտությունների աղյուսակային ցանկը</w:t>
      </w:r>
    </w:p>
    <w:p w14:paraId="0CA0C952" w14:textId="77777777" w:rsidR="006F76EB" w:rsidRPr="0047408B"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5.3.</w:t>
      </w:r>
      <w:r w:rsidRPr="00581D46">
        <w:rPr>
          <w:rFonts w:ascii="Sylfaen" w:hAnsi="Sylfaen"/>
          <w:sz w:val="24"/>
          <w:szCs w:val="24"/>
        </w:rPr>
        <w:tab/>
      </w:r>
      <w:r w:rsidRPr="00834D52">
        <w:rPr>
          <w:rFonts w:ascii="Sylfaen" w:hAnsi="Sylfaen"/>
          <w:sz w:val="24"/>
          <w:szCs w:val="24"/>
        </w:rPr>
        <w:t>Կլինիկական հետազոտությունների վերաբերյալ հաշվետվությունները</w:t>
      </w:r>
    </w:p>
    <w:p w14:paraId="0F580ACF" w14:textId="77777777" w:rsidR="006F76EB" w:rsidRPr="00834D52" w:rsidRDefault="006F76EB" w:rsidP="002978B0">
      <w:pPr>
        <w:tabs>
          <w:tab w:val="left" w:pos="1134"/>
        </w:tabs>
        <w:spacing w:after="120" w:line="312" w:lineRule="auto"/>
        <w:ind w:left="567" w:right="-8"/>
        <w:jc w:val="both"/>
        <w:rPr>
          <w:rFonts w:ascii="Sylfaen" w:hAnsi="Sylfaen"/>
          <w:sz w:val="24"/>
          <w:szCs w:val="24"/>
        </w:rPr>
      </w:pPr>
      <w:r>
        <w:rPr>
          <w:rFonts w:ascii="Sylfaen" w:hAnsi="Sylfaen"/>
          <w:sz w:val="24"/>
          <w:szCs w:val="24"/>
        </w:rPr>
        <w:t>5.4.</w:t>
      </w:r>
      <w:r w:rsidRPr="00581D46">
        <w:rPr>
          <w:rFonts w:ascii="Sylfaen" w:hAnsi="Sylfaen"/>
          <w:sz w:val="24"/>
          <w:szCs w:val="24"/>
        </w:rPr>
        <w:tab/>
      </w:r>
      <w:r w:rsidRPr="00834D52">
        <w:rPr>
          <w:rFonts w:ascii="Sylfaen" w:hAnsi="Sylfaen"/>
          <w:sz w:val="24"/>
          <w:szCs w:val="24"/>
        </w:rPr>
        <w:t>Հղումներ գրականությանը</w:t>
      </w:r>
    </w:p>
    <w:p w14:paraId="3FA36DA2" w14:textId="77777777" w:rsidR="008C76E0" w:rsidRPr="00F06D43" w:rsidRDefault="008C76E0">
      <w:pPr>
        <w:widowControl/>
        <w:rPr>
          <w:rFonts w:ascii="Sylfaen" w:hAnsi="Sylfaen"/>
          <w:sz w:val="24"/>
          <w:szCs w:val="24"/>
        </w:rPr>
      </w:pPr>
    </w:p>
    <w:p w14:paraId="7BB1AFCC" w14:textId="77777777" w:rsidR="002978B0" w:rsidRDefault="002978B0">
      <w:pPr>
        <w:widowControl/>
        <w:rPr>
          <w:rFonts w:ascii="Sylfaen" w:hAnsi="Sylfaen"/>
          <w:sz w:val="24"/>
          <w:szCs w:val="24"/>
        </w:rPr>
      </w:pPr>
      <w:r>
        <w:rPr>
          <w:rFonts w:ascii="Sylfaen" w:hAnsi="Sylfaen"/>
          <w:sz w:val="24"/>
          <w:szCs w:val="24"/>
        </w:rPr>
        <w:br w:type="page"/>
      </w:r>
    </w:p>
    <w:p w14:paraId="6AB21E0B"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VII. Պարզաբանում՝ գրանցման դոսյեի փաստաթղթերի տեղակայման</w:t>
      </w:r>
      <w:r w:rsidRPr="008C76E0">
        <w:rPr>
          <w:rFonts w:ascii="Sylfaen" w:hAnsi="Sylfaen"/>
          <w:sz w:val="24"/>
          <w:szCs w:val="24"/>
        </w:rPr>
        <w:t> </w:t>
      </w:r>
      <w:r w:rsidRPr="00BD7577">
        <w:rPr>
          <w:rFonts w:ascii="Sylfaen" w:hAnsi="Sylfaen"/>
          <w:sz w:val="24"/>
          <w:szCs w:val="24"/>
        </w:rPr>
        <w:t>վերաբերյալ</w:t>
      </w:r>
    </w:p>
    <w:p w14:paraId="4E376C6E" w14:textId="77777777" w:rsidR="008C76E0" w:rsidRPr="00BD7577" w:rsidRDefault="008C76E0" w:rsidP="00297352">
      <w:pPr>
        <w:spacing w:after="160" w:line="360" w:lineRule="auto"/>
        <w:rPr>
          <w:rFonts w:ascii="Sylfaen" w:hAnsi="Sylfaen"/>
          <w:sz w:val="24"/>
          <w:szCs w:val="24"/>
        </w:rPr>
      </w:pPr>
    </w:p>
    <w:p w14:paraId="3F478909" w14:textId="77777777" w:rsidR="008C76E0" w:rsidRPr="00BD7577" w:rsidRDefault="008C76E0" w:rsidP="00297352">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Փաստաթղթի սահմանումը</w:t>
      </w:r>
    </w:p>
    <w:p w14:paraId="3660E647"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Փաստաթղթերը թղթային կրիչով ներկայացնելիս` փաստաթուղթ ասելով հասկանում ենք հաջորդականորեն համարակալված </w:t>
      </w:r>
      <w:r w:rsidR="00C54D75">
        <w:rPr>
          <w:rFonts w:ascii="Sylfaen" w:hAnsi="Sylfaen"/>
          <w:sz w:val="24"/>
          <w:szCs w:val="24"/>
        </w:rPr>
        <w:t>և</w:t>
      </w:r>
      <w:r w:rsidRPr="00BD7577">
        <w:rPr>
          <w:rFonts w:ascii="Sylfaen" w:hAnsi="Sylfaen"/>
          <w:sz w:val="24"/>
          <w:szCs w:val="24"/>
        </w:rPr>
        <w:t xml:space="preserve"> մյուս փաստաթղթերից </w:t>
      </w:r>
      <w:r w:rsidRPr="00BD7577">
        <w:rPr>
          <w:rFonts w:ascii="Sylfaen" w:hAnsi="Sylfaen"/>
          <w:spacing w:val="-6"/>
          <w:sz w:val="24"/>
          <w:szCs w:val="24"/>
        </w:rPr>
        <w:t>բաժանիչի միջոցով բաժանված բազմաթիվ էջեր (տե՛ս Կանոնների թիվ 4 հավելվածում «Փաստաթղթերի</w:t>
      </w:r>
      <w:r w:rsidRPr="00BD7577">
        <w:rPr>
          <w:rFonts w:ascii="Sylfaen" w:hAnsi="Sylfaen"/>
          <w:sz w:val="24"/>
          <w:szCs w:val="24"/>
        </w:rPr>
        <w:t xml:space="preserve"> համարակալում </w:t>
      </w:r>
      <w:r w:rsidR="00C54D75">
        <w:rPr>
          <w:rFonts w:ascii="Sylfaen" w:hAnsi="Sylfaen"/>
          <w:sz w:val="24"/>
          <w:szCs w:val="24"/>
        </w:rPr>
        <w:t>և</w:t>
      </w:r>
      <w:r w:rsidRPr="00BD7577">
        <w:rPr>
          <w:rFonts w:ascii="Sylfaen" w:hAnsi="Sylfaen"/>
          <w:sz w:val="24"/>
          <w:szCs w:val="24"/>
        </w:rPr>
        <w:t xml:space="preserve"> բաժանում» բաժինը): Էլեկտրոնային կրիչով ներկայացնելիս փաստաթուղթը կարող է հավասարեցվել ֆայլի: Փաստաթղթերը թղթային </w:t>
      </w:r>
      <w:r w:rsidR="00C54D75">
        <w:rPr>
          <w:rFonts w:ascii="Sylfaen" w:hAnsi="Sylfaen"/>
          <w:sz w:val="24"/>
          <w:szCs w:val="24"/>
        </w:rPr>
        <w:t>և</w:t>
      </w:r>
      <w:r w:rsidRPr="00BD7577">
        <w:rPr>
          <w:rFonts w:ascii="Sylfaen" w:hAnsi="Sylfaen"/>
          <w:sz w:val="24"/>
          <w:szCs w:val="24"/>
        </w:rPr>
        <w:t xml:space="preserve"> (կամ) էլեկտրոնային կրիչով ներկայացնելիս մանրամասնեցումը պետք է միանման լինի, սակայն թղթային դոսյեն էլեկտրոնայինից առաջ վերափոխելիս մանրամասնեցման մեջ կարող են որոշակի փոփոխություններ պահանջվել՝ կապված կենսական պարբերաշրջանի շարունակական կառավարման հետ: Փաստաթղթերն էլեկտրոնային կրիչով ներկայացնելիս նոր ֆայլը պետք է սկսվի այն նույն տեղից, որտեղից թղթային դոսյեում փաստաթղթերը բաժանված են բաժանիչներով: </w:t>
      </w:r>
    </w:p>
    <w:p w14:paraId="3E6EFAA0"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Մեկ կամ մի քանի փաստաթղթերի կամ ֆայլերի տեղին լինելը որոշելիս անհրաժեշտ է հաշվի առնել, որ մոտեցումներից որ</w:t>
      </w:r>
      <w:r w:rsidR="00C54D75">
        <w:rPr>
          <w:rFonts w:ascii="Sylfaen" w:hAnsi="Sylfaen"/>
          <w:sz w:val="24"/>
          <w:szCs w:val="24"/>
        </w:rPr>
        <w:t>և</w:t>
      </w:r>
      <w:r w:rsidRPr="00BD7577">
        <w:rPr>
          <w:rFonts w:ascii="Sylfaen" w:hAnsi="Sylfaen"/>
          <w:sz w:val="24"/>
          <w:szCs w:val="24"/>
        </w:rPr>
        <w:t>է մեկն ընտրելու դեպքում անհրաժեշտ է դրան հետ</w:t>
      </w:r>
      <w:r w:rsidR="00C54D75">
        <w:rPr>
          <w:rFonts w:ascii="Sylfaen" w:hAnsi="Sylfaen"/>
          <w:sz w:val="24"/>
          <w:szCs w:val="24"/>
        </w:rPr>
        <w:t>և</w:t>
      </w:r>
      <w:r w:rsidRPr="00BD7577">
        <w:rPr>
          <w:rFonts w:ascii="Sylfaen" w:hAnsi="Sylfaen"/>
          <w:sz w:val="24"/>
          <w:szCs w:val="24"/>
        </w:rPr>
        <w:t>ել դոսյեի կենսական պարբերաշրջանի տ</w:t>
      </w:r>
      <w:r w:rsidR="00C54D75">
        <w:rPr>
          <w:rFonts w:ascii="Sylfaen" w:hAnsi="Sylfaen"/>
          <w:sz w:val="24"/>
          <w:szCs w:val="24"/>
        </w:rPr>
        <w:t>և</w:t>
      </w:r>
      <w:r w:rsidRPr="00BD7577">
        <w:rPr>
          <w:rFonts w:ascii="Sylfaen" w:hAnsi="Sylfaen"/>
          <w:sz w:val="24"/>
          <w:szCs w:val="24"/>
        </w:rPr>
        <w:t xml:space="preserve">ողության ամբողջ ընթացքում, քանի որ տեղեկությունների փոփոխության դեպքում փաստաթղթերը (ֆայլերը) անհրաժեշտ է ամբողջությամբ փոխարինել: </w:t>
      </w:r>
    </w:p>
    <w:p w14:paraId="429194E1" w14:textId="77777777" w:rsidR="008C76E0" w:rsidRPr="00BD7577" w:rsidRDefault="008C76E0" w:rsidP="00297352">
      <w:pPr>
        <w:spacing w:after="160" w:line="360" w:lineRule="auto"/>
        <w:ind w:right="-1" w:firstLine="567"/>
        <w:jc w:val="both"/>
        <w:rPr>
          <w:rFonts w:ascii="Sylfaen" w:eastAsia="Times New Roman" w:hAnsi="Sylfaen" w:cs="Times New Roman"/>
          <w:sz w:val="24"/>
          <w:szCs w:val="24"/>
        </w:rPr>
      </w:pPr>
      <w:r w:rsidRPr="00BD7577">
        <w:rPr>
          <w:rFonts w:ascii="Sylfaen" w:hAnsi="Sylfaen"/>
          <w:spacing w:val="-4"/>
          <w:sz w:val="24"/>
          <w:szCs w:val="24"/>
        </w:rPr>
        <w:t>Ստոր</w:t>
      </w:r>
      <w:r w:rsidR="00C54D75">
        <w:rPr>
          <w:rFonts w:ascii="Sylfaen" w:hAnsi="Sylfaen"/>
          <w:spacing w:val="-4"/>
          <w:sz w:val="24"/>
          <w:szCs w:val="24"/>
        </w:rPr>
        <w:t>և</w:t>
      </w:r>
      <w:r w:rsidRPr="00BD7577">
        <w:rPr>
          <w:rFonts w:ascii="Sylfaen" w:hAnsi="Sylfaen"/>
          <w:spacing w:val="-4"/>
          <w:sz w:val="24"/>
          <w:szCs w:val="24"/>
        </w:rPr>
        <w:t xml:space="preserve"> ներկայացված աղյուսակները նկարագրում են ԸՏՓ-ի </w:t>
      </w:r>
      <w:r w:rsidR="00C54D75">
        <w:rPr>
          <w:rFonts w:ascii="Sylfaen" w:hAnsi="Sylfaen"/>
          <w:spacing w:val="-4"/>
          <w:sz w:val="24"/>
          <w:szCs w:val="24"/>
        </w:rPr>
        <w:t>և</w:t>
      </w:r>
      <w:r w:rsidRPr="00BD7577">
        <w:rPr>
          <w:rFonts w:ascii="Sylfaen" w:hAnsi="Sylfaen"/>
          <w:spacing w:val="-4"/>
          <w:sz w:val="24"/>
          <w:szCs w:val="24"/>
        </w:rPr>
        <w:t xml:space="preserve"> (կամ) էԸՏՓ-ի ստորակարգության</w:t>
      </w:r>
      <w:r w:rsidRPr="00BD7577">
        <w:rPr>
          <w:rFonts w:ascii="Sylfaen" w:hAnsi="Sylfaen"/>
          <w:sz w:val="24"/>
          <w:szCs w:val="24"/>
        </w:rPr>
        <w:t xml:space="preserve"> այն մակարդակները, որոնց վրա հարկ է տեղադրել փաստաթղթերը (ֆայլերը), ինչպես նա</w:t>
      </w:r>
      <w:r w:rsidR="00C54D75">
        <w:rPr>
          <w:rFonts w:ascii="Sylfaen" w:hAnsi="Sylfaen"/>
          <w:sz w:val="24"/>
          <w:szCs w:val="24"/>
        </w:rPr>
        <w:t>և</w:t>
      </w:r>
      <w:r w:rsidRPr="00BD7577">
        <w:rPr>
          <w:rFonts w:ascii="Sylfaen" w:hAnsi="Sylfaen"/>
          <w:sz w:val="24"/>
          <w:szCs w:val="24"/>
        </w:rPr>
        <w:t xml:space="preserve"> յուրաքանչյուր տեղում մեկ կամ մի քանի փաստաթղթերի անհրաժեշտությունը: Նկարագրվել են ԸՏՓ-ի </w:t>
      </w:r>
      <w:r w:rsidR="00C54D75">
        <w:rPr>
          <w:rFonts w:ascii="Sylfaen" w:hAnsi="Sylfaen"/>
          <w:sz w:val="24"/>
          <w:szCs w:val="24"/>
        </w:rPr>
        <w:t>և</w:t>
      </w:r>
      <w:r w:rsidRPr="00BD7577">
        <w:rPr>
          <w:rFonts w:ascii="Sylfaen" w:hAnsi="Sylfaen"/>
          <w:sz w:val="24"/>
          <w:szCs w:val="24"/>
        </w:rPr>
        <w:t xml:space="preserve"> (կամ) էԸՏՓ-ի բոլոր բաժինները, սակայն ոչ բոլոր բաժինները կարող են կիրառվել առանձին դոսյեների համար:</w:t>
      </w:r>
    </w:p>
    <w:p w14:paraId="660963E3" w14:textId="77777777" w:rsidR="00827A4D" w:rsidRPr="00E15E7D" w:rsidRDefault="00827A4D">
      <w:pPr>
        <w:widowControl/>
        <w:rPr>
          <w:rFonts w:ascii="Sylfaen" w:eastAsia="Times New Roman" w:hAnsi="Sylfaen" w:cs="Times New Roman"/>
          <w:sz w:val="24"/>
          <w:szCs w:val="24"/>
        </w:rPr>
        <w:sectPr w:rsidR="00827A4D" w:rsidRPr="00E15E7D" w:rsidSect="00450D30">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7" w:h="16839" w:code="9"/>
          <w:pgMar w:top="1418" w:right="1418" w:bottom="1418" w:left="1418" w:header="0" w:footer="693" w:gutter="0"/>
          <w:pgNumType w:start="1"/>
          <w:cols w:space="720"/>
          <w:noEndnote/>
          <w:titlePg/>
          <w:docGrid w:linePitch="360"/>
        </w:sectPr>
      </w:pPr>
    </w:p>
    <w:p w14:paraId="1149E7BD" w14:textId="77777777" w:rsidR="00827A4D" w:rsidRPr="00827A4D" w:rsidRDefault="008C76E0" w:rsidP="00827A4D">
      <w:pPr>
        <w:tabs>
          <w:tab w:val="left" w:pos="1134"/>
        </w:tabs>
        <w:ind w:right="39" w:firstLine="567"/>
        <w:jc w:val="both"/>
        <w:rPr>
          <w:rFonts w:ascii="Sylfaen" w:hAnsi="Sylfaen"/>
          <w:sz w:val="24"/>
          <w:szCs w:val="24"/>
          <w:lang w:val="en-US"/>
        </w:rPr>
      </w:pPr>
      <w:r>
        <w:rPr>
          <w:rFonts w:ascii="Sylfaen" w:eastAsia="Times New Roman" w:hAnsi="Sylfaen" w:cs="Times New Roman"/>
          <w:sz w:val="24"/>
          <w:szCs w:val="24"/>
          <w:lang w:val="en-US"/>
        </w:rPr>
        <w:lastRenderedPageBreak/>
        <w:t>2.</w:t>
      </w:r>
      <w:r>
        <w:rPr>
          <w:rFonts w:ascii="Sylfaen" w:eastAsia="Times New Roman" w:hAnsi="Sylfaen" w:cs="Times New Roman"/>
          <w:sz w:val="24"/>
          <w:szCs w:val="24"/>
          <w:lang w:val="en-US"/>
        </w:rPr>
        <w:tab/>
      </w:r>
      <w:r w:rsidRPr="00BD7577">
        <w:rPr>
          <w:rFonts w:ascii="Sylfaen" w:hAnsi="Sylfaen"/>
          <w:sz w:val="24"/>
          <w:szCs w:val="24"/>
        </w:rPr>
        <w:t>Մոդուլ 2</w:t>
      </w:r>
    </w:p>
    <w:tbl>
      <w:tblPr>
        <w:tblW w:w="9571" w:type="dxa"/>
        <w:jc w:val="center"/>
        <w:tblLayout w:type="fixed"/>
        <w:tblCellMar>
          <w:left w:w="0" w:type="dxa"/>
          <w:right w:w="0" w:type="dxa"/>
        </w:tblCellMar>
        <w:tblLook w:val="01E0" w:firstRow="1" w:lastRow="1" w:firstColumn="1" w:lastColumn="1" w:noHBand="0" w:noVBand="0"/>
      </w:tblPr>
      <w:tblGrid>
        <w:gridCol w:w="1351"/>
        <w:gridCol w:w="1752"/>
        <w:gridCol w:w="2453"/>
        <w:gridCol w:w="4015"/>
      </w:tblGrid>
      <w:tr w:rsidR="008C76E0" w:rsidRPr="00BD7577" w14:paraId="71BCCA26" w14:textId="77777777" w:rsidTr="00827A4D">
        <w:trPr>
          <w:jc w:val="center"/>
        </w:trPr>
        <w:tc>
          <w:tcPr>
            <w:tcW w:w="1351" w:type="dxa"/>
            <w:vMerge w:val="restart"/>
            <w:tcBorders>
              <w:top w:val="single" w:sz="4" w:space="0" w:color="000000"/>
              <w:left w:val="single" w:sz="4" w:space="0" w:color="000000"/>
              <w:right w:val="single" w:sz="4" w:space="0" w:color="000000"/>
            </w:tcBorders>
          </w:tcPr>
          <w:p w14:paraId="5B4C033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2</w:t>
            </w:r>
          </w:p>
        </w:tc>
        <w:tc>
          <w:tcPr>
            <w:tcW w:w="1752" w:type="dxa"/>
            <w:tcBorders>
              <w:top w:val="single" w:sz="4" w:space="0" w:color="000000"/>
              <w:left w:val="single" w:sz="4" w:space="0" w:color="000000"/>
              <w:bottom w:val="single" w:sz="4" w:space="0" w:color="000000"/>
              <w:right w:val="single" w:sz="4" w:space="0" w:color="000000"/>
            </w:tcBorders>
          </w:tcPr>
          <w:p w14:paraId="0E235E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2.1</w:t>
            </w:r>
          </w:p>
        </w:tc>
        <w:tc>
          <w:tcPr>
            <w:tcW w:w="6468" w:type="dxa"/>
            <w:gridSpan w:val="2"/>
            <w:tcBorders>
              <w:top w:val="single" w:sz="4" w:space="0" w:color="000000"/>
              <w:left w:val="single" w:sz="4" w:space="0" w:color="000000"/>
              <w:bottom w:val="single" w:sz="4" w:space="0" w:color="000000"/>
              <w:right w:val="single" w:sz="4" w:space="0" w:color="000000"/>
            </w:tcBorders>
          </w:tcPr>
          <w:p w14:paraId="7DE26800" w14:textId="77777777" w:rsidR="008C76E0" w:rsidRPr="00BD7577" w:rsidRDefault="008C76E0" w:rsidP="008C76E0">
            <w:pPr>
              <w:spacing w:after="120" w:line="240" w:lineRule="auto"/>
              <w:rPr>
                <w:rFonts w:ascii="Sylfaen" w:hAnsi="Sylfaen"/>
                <w:sz w:val="24"/>
                <w:szCs w:val="24"/>
              </w:rPr>
            </w:pPr>
          </w:p>
        </w:tc>
      </w:tr>
      <w:tr w:rsidR="008C76E0" w:rsidRPr="00BD7577" w14:paraId="6615DA2C" w14:textId="77777777" w:rsidTr="00827A4D">
        <w:trPr>
          <w:jc w:val="center"/>
        </w:trPr>
        <w:tc>
          <w:tcPr>
            <w:tcW w:w="1351" w:type="dxa"/>
            <w:vMerge/>
            <w:tcBorders>
              <w:left w:val="single" w:sz="4" w:space="0" w:color="000000"/>
              <w:right w:val="single" w:sz="4" w:space="0" w:color="000000"/>
            </w:tcBorders>
          </w:tcPr>
          <w:p w14:paraId="72A40146"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18D1C2C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2.2</w:t>
            </w:r>
          </w:p>
        </w:tc>
        <w:tc>
          <w:tcPr>
            <w:tcW w:w="2453" w:type="dxa"/>
            <w:tcBorders>
              <w:top w:val="single" w:sz="4" w:space="0" w:color="000000"/>
              <w:left w:val="single" w:sz="4" w:space="0" w:color="000000"/>
              <w:bottom w:val="single" w:sz="4" w:space="0" w:color="000000"/>
              <w:right w:val="single" w:sz="4" w:space="0" w:color="000000"/>
            </w:tcBorders>
          </w:tcPr>
          <w:p w14:paraId="422B33B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Ներածություն</w:t>
            </w:r>
          </w:p>
        </w:tc>
        <w:tc>
          <w:tcPr>
            <w:tcW w:w="4015" w:type="dxa"/>
            <w:tcBorders>
              <w:top w:val="single" w:sz="4" w:space="0" w:color="000000"/>
              <w:left w:val="single" w:sz="4" w:space="0" w:color="000000"/>
              <w:bottom w:val="single" w:sz="4" w:space="0" w:color="000000"/>
              <w:right w:val="single" w:sz="4" w:space="0" w:color="000000"/>
            </w:tcBorders>
          </w:tcPr>
          <w:p w14:paraId="0E6C26B6" w14:textId="77777777" w:rsidR="008C76E0" w:rsidRPr="00BD7577" w:rsidRDefault="008C76E0" w:rsidP="008C76E0">
            <w:pPr>
              <w:spacing w:after="120" w:line="240" w:lineRule="auto"/>
              <w:rPr>
                <w:rFonts w:ascii="Sylfaen" w:hAnsi="Sylfaen"/>
                <w:sz w:val="24"/>
                <w:szCs w:val="24"/>
              </w:rPr>
            </w:pPr>
          </w:p>
        </w:tc>
      </w:tr>
      <w:tr w:rsidR="008C76E0" w:rsidRPr="00BD7577" w14:paraId="30C0976A" w14:textId="77777777" w:rsidTr="00827A4D">
        <w:trPr>
          <w:jc w:val="center"/>
        </w:trPr>
        <w:tc>
          <w:tcPr>
            <w:tcW w:w="1351" w:type="dxa"/>
            <w:vMerge/>
            <w:tcBorders>
              <w:left w:val="single" w:sz="4" w:space="0" w:color="000000"/>
              <w:right w:val="single" w:sz="4" w:space="0" w:color="000000"/>
            </w:tcBorders>
          </w:tcPr>
          <w:p w14:paraId="6F5FC3D1"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shd w:val="clear" w:color="auto" w:fill="ECECEC"/>
          </w:tcPr>
          <w:p w14:paraId="47E8101A" w14:textId="77777777" w:rsidR="008C76E0" w:rsidRPr="00827A4D" w:rsidRDefault="008C76E0" w:rsidP="00827A4D">
            <w:pPr>
              <w:spacing w:after="120" w:line="240" w:lineRule="auto"/>
              <w:ind w:left="100" w:right="-20"/>
              <w:rPr>
                <w:rFonts w:ascii="Sylfaen" w:eastAsia="Times New Roman" w:hAnsi="Sylfaen" w:cs="Times New Roman"/>
                <w:sz w:val="24"/>
                <w:szCs w:val="24"/>
                <w:lang w:val="en-US"/>
              </w:rPr>
            </w:pPr>
            <w:r w:rsidRPr="004F6471">
              <w:rPr>
                <w:rFonts w:ascii="Sylfaen" w:hAnsi="Sylfaen"/>
                <w:sz w:val="24"/>
                <w:szCs w:val="24"/>
              </w:rPr>
              <w:t>2.3</w:t>
            </w:r>
            <w:r w:rsidR="00827A4D" w:rsidRPr="004F6471">
              <w:rPr>
                <w:rStyle w:val="FootnoteReference"/>
                <w:rFonts w:ascii="Sylfaen" w:hAnsi="Sylfaen"/>
                <w:sz w:val="24"/>
                <w:szCs w:val="24"/>
              </w:rPr>
              <w:footnoteReference w:id="28"/>
            </w:r>
          </w:p>
        </w:tc>
        <w:tc>
          <w:tcPr>
            <w:tcW w:w="2453" w:type="dxa"/>
            <w:vMerge w:val="restart"/>
            <w:tcBorders>
              <w:top w:val="single" w:sz="4" w:space="0" w:color="000000"/>
              <w:left w:val="single" w:sz="4" w:space="0" w:color="000000"/>
              <w:right w:val="single" w:sz="4" w:space="0" w:color="000000"/>
            </w:tcBorders>
          </w:tcPr>
          <w:p w14:paraId="2CBE93EE"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2.3.S</w:t>
            </w:r>
            <w:r w:rsidR="00827A4D" w:rsidRPr="004F6471">
              <w:rPr>
                <w:rStyle w:val="FootnoteReference"/>
                <w:rFonts w:ascii="Sylfaen" w:hAnsi="Sylfaen"/>
                <w:sz w:val="24"/>
                <w:szCs w:val="24"/>
              </w:rPr>
              <w:footnoteReference w:id="29"/>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263DED2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2.3.S.1</w:t>
            </w:r>
          </w:p>
        </w:tc>
      </w:tr>
      <w:tr w:rsidR="008C76E0" w:rsidRPr="00BD7577" w14:paraId="571556A0" w14:textId="77777777" w:rsidTr="00827A4D">
        <w:trPr>
          <w:jc w:val="center"/>
        </w:trPr>
        <w:tc>
          <w:tcPr>
            <w:tcW w:w="1351" w:type="dxa"/>
            <w:vMerge/>
            <w:tcBorders>
              <w:left w:val="single" w:sz="4" w:space="0" w:color="000000"/>
              <w:right w:val="single" w:sz="4" w:space="0" w:color="000000"/>
            </w:tcBorders>
          </w:tcPr>
          <w:p w14:paraId="677D7C9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421D1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0626BC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ACDDFF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2.3.S.2</w:t>
            </w:r>
          </w:p>
        </w:tc>
      </w:tr>
      <w:tr w:rsidR="008C76E0" w:rsidRPr="00BD7577" w14:paraId="1B5CED6A" w14:textId="77777777" w:rsidTr="00827A4D">
        <w:trPr>
          <w:jc w:val="center"/>
        </w:trPr>
        <w:tc>
          <w:tcPr>
            <w:tcW w:w="1351" w:type="dxa"/>
            <w:vMerge/>
            <w:tcBorders>
              <w:left w:val="single" w:sz="4" w:space="0" w:color="000000"/>
              <w:right w:val="single" w:sz="4" w:space="0" w:color="000000"/>
            </w:tcBorders>
          </w:tcPr>
          <w:p w14:paraId="68A920C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3B5C28C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995E92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1E959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2.3.S.3</w:t>
            </w:r>
          </w:p>
        </w:tc>
      </w:tr>
      <w:tr w:rsidR="008C76E0" w:rsidRPr="00BD7577" w14:paraId="2533E86A" w14:textId="77777777" w:rsidTr="00827A4D">
        <w:trPr>
          <w:jc w:val="center"/>
        </w:trPr>
        <w:tc>
          <w:tcPr>
            <w:tcW w:w="1351" w:type="dxa"/>
            <w:vMerge/>
            <w:tcBorders>
              <w:left w:val="single" w:sz="4" w:space="0" w:color="000000"/>
              <w:right w:val="single" w:sz="4" w:space="0" w:color="000000"/>
            </w:tcBorders>
          </w:tcPr>
          <w:p w14:paraId="570CBA2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E4E17F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4F99E71"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74034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2.3.S.4</w:t>
            </w:r>
          </w:p>
        </w:tc>
      </w:tr>
      <w:tr w:rsidR="008C76E0" w:rsidRPr="00BD7577" w14:paraId="73F7688E" w14:textId="77777777" w:rsidTr="00827A4D">
        <w:trPr>
          <w:jc w:val="center"/>
        </w:trPr>
        <w:tc>
          <w:tcPr>
            <w:tcW w:w="1351" w:type="dxa"/>
            <w:vMerge/>
            <w:tcBorders>
              <w:left w:val="single" w:sz="4" w:space="0" w:color="000000"/>
              <w:right w:val="single" w:sz="4" w:space="0" w:color="000000"/>
            </w:tcBorders>
          </w:tcPr>
          <w:p w14:paraId="5367F55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63CB5DE"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7219F19E"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685730C8"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2.3.S.5</w:t>
            </w:r>
          </w:p>
        </w:tc>
      </w:tr>
      <w:tr w:rsidR="008C76E0" w:rsidRPr="00BD7577" w14:paraId="5F379758" w14:textId="77777777" w:rsidTr="00827A4D">
        <w:trPr>
          <w:jc w:val="center"/>
        </w:trPr>
        <w:tc>
          <w:tcPr>
            <w:tcW w:w="1351" w:type="dxa"/>
            <w:vMerge/>
            <w:tcBorders>
              <w:left w:val="single" w:sz="4" w:space="0" w:color="000000"/>
              <w:right w:val="single" w:sz="4" w:space="0" w:color="000000"/>
            </w:tcBorders>
          </w:tcPr>
          <w:p w14:paraId="7573121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5A8AA632"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1416A6E8"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40DC47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2.3.S.6</w:t>
            </w:r>
          </w:p>
        </w:tc>
      </w:tr>
      <w:tr w:rsidR="008C76E0" w:rsidRPr="00BD7577" w14:paraId="19889F75" w14:textId="77777777" w:rsidTr="00827A4D">
        <w:trPr>
          <w:jc w:val="center"/>
        </w:trPr>
        <w:tc>
          <w:tcPr>
            <w:tcW w:w="1351" w:type="dxa"/>
            <w:vMerge/>
            <w:tcBorders>
              <w:left w:val="single" w:sz="4" w:space="0" w:color="000000"/>
              <w:right w:val="single" w:sz="4" w:space="0" w:color="000000"/>
            </w:tcBorders>
          </w:tcPr>
          <w:p w14:paraId="72B604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4BC654F1"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12B582E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86AF01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2.3.S.7</w:t>
            </w:r>
          </w:p>
        </w:tc>
      </w:tr>
      <w:tr w:rsidR="008C76E0" w:rsidRPr="00BD7577" w14:paraId="6C06C088" w14:textId="77777777" w:rsidTr="00827A4D">
        <w:trPr>
          <w:jc w:val="center"/>
        </w:trPr>
        <w:tc>
          <w:tcPr>
            <w:tcW w:w="1351" w:type="dxa"/>
            <w:vMerge/>
            <w:tcBorders>
              <w:left w:val="single" w:sz="4" w:space="0" w:color="000000"/>
              <w:right w:val="single" w:sz="4" w:space="0" w:color="000000"/>
            </w:tcBorders>
          </w:tcPr>
          <w:p w14:paraId="295A18D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077683E"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7FE6C339" w14:textId="77777777" w:rsidR="008C76E0" w:rsidRPr="00827A4D" w:rsidRDefault="008C76E0" w:rsidP="00827A4D">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2.3.P</w:t>
            </w:r>
            <w:r w:rsidR="0081587C" w:rsidRPr="004F6471">
              <w:rPr>
                <w:rStyle w:val="FootnoteReference"/>
                <w:rFonts w:ascii="Sylfaen" w:hAnsi="Sylfaen"/>
                <w:sz w:val="24"/>
                <w:szCs w:val="24"/>
              </w:rPr>
              <w:footnoteReference w:id="30"/>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2DC647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2.3.P.1</w:t>
            </w:r>
          </w:p>
        </w:tc>
      </w:tr>
      <w:tr w:rsidR="008C76E0" w:rsidRPr="00BD7577" w14:paraId="123D4FE6" w14:textId="77777777" w:rsidTr="00827A4D">
        <w:trPr>
          <w:jc w:val="center"/>
        </w:trPr>
        <w:tc>
          <w:tcPr>
            <w:tcW w:w="1351" w:type="dxa"/>
            <w:vMerge/>
            <w:tcBorders>
              <w:left w:val="single" w:sz="4" w:space="0" w:color="000000"/>
              <w:right w:val="single" w:sz="4" w:space="0" w:color="000000"/>
            </w:tcBorders>
          </w:tcPr>
          <w:p w14:paraId="5A150E0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74C8F13F"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5BDBE6A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E2BD2A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2.3.P.2</w:t>
            </w:r>
          </w:p>
        </w:tc>
      </w:tr>
      <w:tr w:rsidR="008C76E0" w:rsidRPr="00BD7577" w14:paraId="30E431AC" w14:textId="77777777" w:rsidTr="00827A4D">
        <w:trPr>
          <w:jc w:val="center"/>
        </w:trPr>
        <w:tc>
          <w:tcPr>
            <w:tcW w:w="1351" w:type="dxa"/>
            <w:vMerge/>
            <w:tcBorders>
              <w:left w:val="single" w:sz="4" w:space="0" w:color="000000"/>
              <w:right w:val="single" w:sz="4" w:space="0" w:color="000000"/>
            </w:tcBorders>
          </w:tcPr>
          <w:p w14:paraId="552EEE5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47B4E6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97AF553"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D221DF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2.3.P.3</w:t>
            </w:r>
          </w:p>
        </w:tc>
      </w:tr>
      <w:tr w:rsidR="008C76E0" w:rsidRPr="00BD7577" w14:paraId="7B599E38" w14:textId="77777777" w:rsidTr="00827A4D">
        <w:trPr>
          <w:jc w:val="center"/>
        </w:trPr>
        <w:tc>
          <w:tcPr>
            <w:tcW w:w="1351" w:type="dxa"/>
            <w:vMerge/>
            <w:tcBorders>
              <w:left w:val="single" w:sz="4" w:space="0" w:color="000000"/>
              <w:right w:val="single" w:sz="4" w:space="0" w:color="000000"/>
            </w:tcBorders>
          </w:tcPr>
          <w:p w14:paraId="3D525C04"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BA0D8B3"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4A61D4D"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3BED7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2.3.P.4</w:t>
            </w:r>
          </w:p>
        </w:tc>
      </w:tr>
      <w:tr w:rsidR="008C76E0" w:rsidRPr="00BD7577" w14:paraId="640EE394" w14:textId="77777777" w:rsidTr="00827A4D">
        <w:trPr>
          <w:jc w:val="center"/>
        </w:trPr>
        <w:tc>
          <w:tcPr>
            <w:tcW w:w="1351" w:type="dxa"/>
            <w:vMerge/>
            <w:tcBorders>
              <w:left w:val="single" w:sz="4" w:space="0" w:color="000000"/>
              <w:right w:val="single" w:sz="4" w:space="0" w:color="000000"/>
            </w:tcBorders>
          </w:tcPr>
          <w:p w14:paraId="3817BF7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0218C1C0"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0ACD98D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0C6D9C3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2.3.P.5</w:t>
            </w:r>
          </w:p>
        </w:tc>
      </w:tr>
      <w:tr w:rsidR="008C76E0" w:rsidRPr="00BD7577" w14:paraId="524D0869" w14:textId="77777777" w:rsidTr="00827A4D">
        <w:trPr>
          <w:jc w:val="center"/>
        </w:trPr>
        <w:tc>
          <w:tcPr>
            <w:tcW w:w="1351" w:type="dxa"/>
            <w:vMerge/>
            <w:tcBorders>
              <w:left w:val="single" w:sz="4" w:space="0" w:color="000000"/>
              <w:right w:val="single" w:sz="4" w:space="0" w:color="000000"/>
            </w:tcBorders>
          </w:tcPr>
          <w:p w14:paraId="2A3D8E25"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682EB2C"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3784C6A2"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7BC511E9"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2.3.P.6</w:t>
            </w:r>
          </w:p>
        </w:tc>
      </w:tr>
      <w:tr w:rsidR="008C76E0" w:rsidRPr="00BD7577" w14:paraId="3F13658B" w14:textId="77777777" w:rsidTr="00827A4D">
        <w:trPr>
          <w:jc w:val="center"/>
        </w:trPr>
        <w:tc>
          <w:tcPr>
            <w:tcW w:w="1351" w:type="dxa"/>
            <w:vMerge/>
            <w:tcBorders>
              <w:left w:val="single" w:sz="4" w:space="0" w:color="000000"/>
              <w:right w:val="single" w:sz="4" w:space="0" w:color="000000"/>
            </w:tcBorders>
          </w:tcPr>
          <w:p w14:paraId="70488C38"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A3825A6"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47091AF6"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35C180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2.3.P.7</w:t>
            </w:r>
          </w:p>
        </w:tc>
      </w:tr>
      <w:tr w:rsidR="008C76E0" w:rsidRPr="00BD7577" w14:paraId="2C473B21" w14:textId="77777777" w:rsidTr="00827A4D">
        <w:trPr>
          <w:jc w:val="center"/>
        </w:trPr>
        <w:tc>
          <w:tcPr>
            <w:tcW w:w="1351" w:type="dxa"/>
            <w:vMerge/>
            <w:tcBorders>
              <w:left w:val="single" w:sz="4" w:space="0" w:color="000000"/>
              <w:right w:val="single" w:sz="4" w:space="0" w:color="000000"/>
            </w:tcBorders>
          </w:tcPr>
          <w:p w14:paraId="662B4F86"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2696B33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7E659E77"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1B7D2D8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2.3.P.8</w:t>
            </w:r>
          </w:p>
        </w:tc>
      </w:tr>
      <w:tr w:rsidR="008C76E0" w:rsidRPr="00BD7577" w14:paraId="4B5B6C01" w14:textId="77777777" w:rsidTr="00827A4D">
        <w:trPr>
          <w:jc w:val="center"/>
        </w:trPr>
        <w:tc>
          <w:tcPr>
            <w:tcW w:w="1351" w:type="dxa"/>
            <w:vMerge/>
            <w:tcBorders>
              <w:left w:val="single" w:sz="4" w:space="0" w:color="000000"/>
              <w:right w:val="single" w:sz="4" w:space="0" w:color="000000"/>
            </w:tcBorders>
          </w:tcPr>
          <w:p w14:paraId="43B41A3C"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6F5F40F1" w14:textId="77777777" w:rsidR="008C76E0" w:rsidRPr="00BD7577" w:rsidRDefault="008C76E0" w:rsidP="008C76E0">
            <w:pPr>
              <w:spacing w:after="120" w:line="240" w:lineRule="auto"/>
              <w:rPr>
                <w:rFonts w:ascii="Sylfaen" w:hAnsi="Sylfaen"/>
                <w:sz w:val="24"/>
                <w:szCs w:val="24"/>
              </w:rPr>
            </w:pPr>
          </w:p>
        </w:tc>
        <w:tc>
          <w:tcPr>
            <w:tcW w:w="2453" w:type="dxa"/>
            <w:vMerge w:val="restart"/>
            <w:tcBorders>
              <w:top w:val="single" w:sz="4" w:space="0" w:color="000000"/>
              <w:left w:val="single" w:sz="4" w:space="0" w:color="000000"/>
              <w:right w:val="single" w:sz="4" w:space="0" w:color="000000"/>
            </w:tcBorders>
          </w:tcPr>
          <w:p w14:paraId="344B52E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2.3.А</w:t>
            </w: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48B7B9B0"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2.3.А.1</w:t>
            </w:r>
          </w:p>
        </w:tc>
      </w:tr>
      <w:tr w:rsidR="008C76E0" w:rsidRPr="00BD7577" w14:paraId="21D5FBB3" w14:textId="77777777" w:rsidTr="00827A4D">
        <w:trPr>
          <w:jc w:val="center"/>
        </w:trPr>
        <w:tc>
          <w:tcPr>
            <w:tcW w:w="1351" w:type="dxa"/>
            <w:vMerge/>
            <w:tcBorders>
              <w:left w:val="single" w:sz="4" w:space="0" w:color="000000"/>
              <w:right w:val="single" w:sz="4" w:space="0" w:color="000000"/>
            </w:tcBorders>
          </w:tcPr>
          <w:p w14:paraId="0D4B3EC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shd w:val="clear" w:color="auto" w:fill="ECECEC"/>
          </w:tcPr>
          <w:p w14:paraId="1AB3242B"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right w:val="single" w:sz="4" w:space="0" w:color="000000"/>
            </w:tcBorders>
          </w:tcPr>
          <w:p w14:paraId="657F45FC"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5EACAF8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2.3.А.2</w:t>
            </w:r>
          </w:p>
        </w:tc>
      </w:tr>
      <w:tr w:rsidR="008C76E0" w:rsidRPr="00BD7577" w14:paraId="6C06C23A" w14:textId="77777777" w:rsidTr="00827A4D">
        <w:trPr>
          <w:jc w:val="center"/>
        </w:trPr>
        <w:tc>
          <w:tcPr>
            <w:tcW w:w="1351" w:type="dxa"/>
            <w:vMerge/>
            <w:tcBorders>
              <w:left w:val="single" w:sz="4" w:space="0" w:color="000000"/>
              <w:right w:val="single" w:sz="4" w:space="0" w:color="000000"/>
            </w:tcBorders>
          </w:tcPr>
          <w:p w14:paraId="2925C3F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shd w:val="clear" w:color="auto" w:fill="ECECEC"/>
          </w:tcPr>
          <w:p w14:paraId="28DBAE94" w14:textId="77777777" w:rsidR="008C76E0" w:rsidRPr="00BD7577" w:rsidRDefault="008C76E0" w:rsidP="008C76E0">
            <w:pPr>
              <w:spacing w:after="120" w:line="240" w:lineRule="auto"/>
              <w:rPr>
                <w:rFonts w:ascii="Sylfaen" w:hAnsi="Sylfaen"/>
                <w:sz w:val="24"/>
                <w:szCs w:val="24"/>
              </w:rPr>
            </w:pPr>
          </w:p>
        </w:tc>
        <w:tc>
          <w:tcPr>
            <w:tcW w:w="2453" w:type="dxa"/>
            <w:vMerge/>
            <w:tcBorders>
              <w:left w:val="single" w:sz="4" w:space="0" w:color="000000"/>
              <w:bottom w:val="single" w:sz="4" w:space="0" w:color="000000"/>
              <w:right w:val="single" w:sz="4" w:space="0" w:color="000000"/>
            </w:tcBorders>
          </w:tcPr>
          <w:p w14:paraId="0EC5210F"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shd w:val="clear" w:color="auto" w:fill="ECECEC"/>
          </w:tcPr>
          <w:p w14:paraId="3B92064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2.3.А.3</w:t>
            </w:r>
          </w:p>
        </w:tc>
      </w:tr>
      <w:tr w:rsidR="008C76E0" w:rsidRPr="00BD7577" w14:paraId="5B99049F" w14:textId="77777777" w:rsidTr="00827A4D">
        <w:trPr>
          <w:jc w:val="center"/>
        </w:trPr>
        <w:tc>
          <w:tcPr>
            <w:tcW w:w="1351" w:type="dxa"/>
            <w:vMerge/>
            <w:tcBorders>
              <w:left w:val="single" w:sz="4" w:space="0" w:color="000000"/>
              <w:right w:val="single" w:sz="4" w:space="0" w:color="000000"/>
            </w:tcBorders>
          </w:tcPr>
          <w:p w14:paraId="5A562A5F"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36A46FBB"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tcPr>
          <w:p w14:paraId="5D5F1E0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2.3.R</w:t>
            </w:r>
          </w:p>
        </w:tc>
        <w:tc>
          <w:tcPr>
            <w:tcW w:w="4015" w:type="dxa"/>
            <w:tcBorders>
              <w:top w:val="single" w:sz="4" w:space="0" w:color="000000"/>
              <w:left w:val="single" w:sz="4" w:space="0" w:color="000000"/>
              <w:bottom w:val="single" w:sz="4" w:space="0" w:color="000000"/>
              <w:right w:val="single" w:sz="4" w:space="0" w:color="000000"/>
            </w:tcBorders>
          </w:tcPr>
          <w:p w14:paraId="250F6B6D" w14:textId="77777777" w:rsidR="008C76E0" w:rsidRPr="00BD7577" w:rsidRDefault="008C76E0" w:rsidP="008C76E0">
            <w:pPr>
              <w:spacing w:after="120" w:line="240" w:lineRule="auto"/>
              <w:rPr>
                <w:rFonts w:ascii="Sylfaen" w:hAnsi="Sylfaen"/>
                <w:sz w:val="24"/>
                <w:szCs w:val="24"/>
              </w:rPr>
            </w:pPr>
          </w:p>
        </w:tc>
      </w:tr>
      <w:tr w:rsidR="008C76E0" w:rsidRPr="00BD7577" w14:paraId="447455F3" w14:textId="77777777" w:rsidTr="00827A4D">
        <w:trPr>
          <w:jc w:val="center"/>
        </w:trPr>
        <w:tc>
          <w:tcPr>
            <w:tcW w:w="1351" w:type="dxa"/>
            <w:vMerge/>
            <w:tcBorders>
              <w:left w:val="single" w:sz="4" w:space="0" w:color="000000"/>
              <w:right w:val="single" w:sz="4" w:space="0" w:color="000000"/>
            </w:tcBorders>
          </w:tcPr>
          <w:p w14:paraId="1853214E"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4831632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2.4</w:t>
            </w:r>
          </w:p>
        </w:tc>
        <w:tc>
          <w:tcPr>
            <w:tcW w:w="2453" w:type="dxa"/>
            <w:tcBorders>
              <w:top w:val="single" w:sz="4" w:space="0" w:color="000000"/>
              <w:left w:val="single" w:sz="4" w:space="0" w:color="000000"/>
              <w:bottom w:val="single" w:sz="4" w:space="0" w:color="000000"/>
              <w:right w:val="single" w:sz="4" w:space="0" w:color="000000"/>
            </w:tcBorders>
          </w:tcPr>
          <w:p w14:paraId="29B4F93A"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1EC9F2CD" w14:textId="77777777" w:rsidR="008C76E0" w:rsidRPr="00BD7577" w:rsidRDefault="008C76E0" w:rsidP="008C76E0">
            <w:pPr>
              <w:spacing w:after="120" w:line="240" w:lineRule="auto"/>
              <w:rPr>
                <w:rFonts w:ascii="Sylfaen" w:hAnsi="Sylfaen"/>
                <w:sz w:val="24"/>
                <w:szCs w:val="24"/>
              </w:rPr>
            </w:pPr>
          </w:p>
        </w:tc>
      </w:tr>
      <w:tr w:rsidR="008C76E0" w:rsidRPr="00BD7577" w14:paraId="4A57FAF8" w14:textId="77777777" w:rsidTr="00827A4D">
        <w:trPr>
          <w:jc w:val="center"/>
        </w:trPr>
        <w:tc>
          <w:tcPr>
            <w:tcW w:w="1351" w:type="dxa"/>
            <w:vMerge/>
            <w:tcBorders>
              <w:left w:val="single" w:sz="4" w:space="0" w:color="000000"/>
              <w:right w:val="single" w:sz="4" w:space="0" w:color="000000"/>
            </w:tcBorders>
          </w:tcPr>
          <w:p w14:paraId="3E121CF3" w14:textId="77777777" w:rsidR="008C76E0" w:rsidRPr="00BD7577" w:rsidRDefault="008C76E0" w:rsidP="008C76E0">
            <w:pPr>
              <w:spacing w:after="120" w:line="240" w:lineRule="auto"/>
              <w:rPr>
                <w:rFonts w:ascii="Sylfaen" w:hAnsi="Sylfaen"/>
                <w:sz w:val="24"/>
                <w:szCs w:val="24"/>
              </w:rPr>
            </w:pPr>
          </w:p>
        </w:tc>
        <w:tc>
          <w:tcPr>
            <w:tcW w:w="1752" w:type="dxa"/>
            <w:tcBorders>
              <w:top w:val="single" w:sz="4" w:space="0" w:color="000000"/>
              <w:left w:val="single" w:sz="4" w:space="0" w:color="000000"/>
              <w:bottom w:val="single" w:sz="4" w:space="0" w:color="000000"/>
              <w:right w:val="single" w:sz="4" w:space="0" w:color="000000"/>
            </w:tcBorders>
            <w:shd w:val="clear" w:color="auto" w:fill="ECECEC"/>
          </w:tcPr>
          <w:p w14:paraId="57ED6FA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2.5</w:t>
            </w:r>
          </w:p>
        </w:tc>
        <w:tc>
          <w:tcPr>
            <w:tcW w:w="2453" w:type="dxa"/>
            <w:tcBorders>
              <w:top w:val="single" w:sz="4" w:space="0" w:color="000000"/>
              <w:left w:val="single" w:sz="4" w:space="0" w:color="000000"/>
              <w:bottom w:val="single" w:sz="4" w:space="0" w:color="000000"/>
              <w:right w:val="single" w:sz="4" w:space="0" w:color="000000"/>
            </w:tcBorders>
          </w:tcPr>
          <w:p w14:paraId="4AE1C159" w14:textId="77777777" w:rsidR="008C76E0" w:rsidRPr="00BD7577" w:rsidRDefault="008C76E0" w:rsidP="008C76E0">
            <w:pPr>
              <w:spacing w:after="120" w:line="240" w:lineRule="auto"/>
              <w:rPr>
                <w:rFonts w:ascii="Sylfaen" w:hAnsi="Sylfaen"/>
                <w:sz w:val="24"/>
                <w:szCs w:val="24"/>
              </w:rPr>
            </w:pPr>
          </w:p>
        </w:tc>
        <w:tc>
          <w:tcPr>
            <w:tcW w:w="4015" w:type="dxa"/>
            <w:tcBorders>
              <w:top w:val="single" w:sz="4" w:space="0" w:color="000000"/>
              <w:left w:val="single" w:sz="4" w:space="0" w:color="000000"/>
              <w:bottom w:val="single" w:sz="4" w:space="0" w:color="000000"/>
              <w:right w:val="single" w:sz="4" w:space="0" w:color="000000"/>
            </w:tcBorders>
          </w:tcPr>
          <w:p w14:paraId="51C33F15" w14:textId="77777777" w:rsidR="008C76E0" w:rsidRPr="00BD7577" w:rsidRDefault="008C76E0" w:rsidP="008C76E0">
            <w:pPr>
              <w:spacing w:after="120" w:line="240" w:lineRule="auto"/>
              <w:rPr>
                <w:rFonts w:ascii="Sylfaen" w:hAnsi="Sylfaen"/>
                <w:sz w:val="24"/>
                <w:szCs w:val="24"/>
              </w:rPr>
            </w:pPr>
          </w:p>
        </w:tc>
      </w:tr>
      <w:tr w:rsidR="008C76E0" w:rsidRPr="00BD7577" w14:paraId="1B3834A8" w14:textId="77777777" w:rsidTr="00827A4D">
        <w:trPr>
          <w:jc w:val="center"/>
        </w:trPr>
        <w:tc>
          <w:tcPr>
            <w:tcW w:w="1351" w:type="dxa"/>
            <w:vMerge/>
            <w:tcBorders>
              <w:left w:val="single" w:sz="4" w:space="0" w:color="000000"/>
              <w:right w:val="single" w:sz="4" w:space="0" w:color="000000"/>
            </w:tcBorders>
          </w:tcPr>
          <w:p w14:paraId="2C43DCFA"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4281375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2.6</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34DA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2.6.1</w:t>
            </w:r>
          </w:p>
        </w:tc>
        <w:tc>
          <w:tcPr>
            <w:tcW w:w="4015" w:type="dxa"/>
            <w:tcBorders>
              <w:top w:val="single" w:sz="4" w:space="0" w:color="000000"/>
              <w:left w:val="single" w:sz="4" w:space="0" w:color="000000"/>
              <w:bottom w:val="single" w:sz="4" w:space="0" w:color="000000"/>
              <w:right w:val="single" w:sz="4" w:space="0" w:color="000000"/>
            </w:tcBorders>
          </w:tcPr>
          <w:p w14:paraId="70A59453" w14:textId="77777777" w:rsidR="008C76E0" w:rsidRPr="00BD7577" w:rsidRDefault="008C76E0" w:rsidP="008C76E0">
            <w:pPr>
              <w:spacing w:after="120" w:line="240" w:lineRule="auto"/>
              <w:rPr>
                <w:rFonts w:ascii="Sylfaen" w:hAnsi="Sylfaen"/>
                <w:sz w:val="24"/>
                <w:szCs w:val="24"/>
              </w:rPr>
            </w:pPr>
          </w:p>
        </w:tc>
      </w:tr>
      <w:tr w:rsidR="008C76E0" w:rsidRPr="00BD7577" w14:paraId="2FEB243F" w14:textId="77777777" w:rsidTr="00827A4D">
        <w:trPr>
          <w:jc w:val="center"/>
        </w:trPr>
        <w:tc>
          <w:tcPr>
            <w:tcW w:w="1351" w:type="dxa"/>
            <w:vMerge/>
            <w:tcBorders>
              <w:left w:val="single" w:sz="4" w:space="0" w:color="000000"/>
              <w:right w:val="single" w:sz="4" w:space="0" w:color="000000"/>
            </w:tcBorders>
          </w:tcPr>
          <w:p w14:paraId="5648D849"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439E5EC2"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DA6041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2.6.2</w:t>
            </w:r>
          </w:p>
        </w:tc>
        <w:tc>
          <w:tcPr>
            <w:tcW w:w="4015" w:type="dxa"/>
            <w:tcBorders>
              <w:top w:val="single" w:sz="4" w:space="0" w:color="000000"/>
              <w:left w:val="single" w:sz="4" w:space="0" w:color="000000"/>
              <w:bottom w:val="single" w:sz="4" w:space="0" w:color="000000"/>
              <w:right w:val="single" w:sz="4" w:space="0" w:color="000000"/>
            </w:tcBorders>
          </w:tcPr>
          <w:p w14:paraId="54F757AB" w14:textId="77777777" w:rsidR="008C76E0" w:rsidRPr="00BD7577" w:rsidRDefault="008C76E0" w:rsidP="008C76E0">
            <w:pPr>
              <w:spacing w:after="120" w:line="240" w:lineRule="auto"/>
              <w:rPr>
                <w:rFonts w:ascii="Sylfaen" w:hAnsi="Sylfaen"/>
                <w:sz w:val="24"/>
                <w:szCs w:val="24"/>
              </w:rPr>
            </w:pPr>
          </w:p>
        </w:tc>
      </w:tr>
      <w:tr w:rsidR="008C76E0" w:rsidRPr="00BD7577" w14:paraId="325ABF8D" w14:textId="77777777" w:rsidTr="00827A4D">
        <w:trPr>
          <w:jc w:val="center"/>
        </w:trPr>
        <w:tc>
          <w:tcPr>
            <w:tcW w:w="1351" w:type="dxa"/>
            <w:vMerge/>
            <w:tcBorders>
              <w:left w:val="single" w:sz="4" w:space="0" w:color="000000"/>
              <w:right w:val="single" w:sz="4" w:space="0" w:color="000000"/>
            </w:tcBorders>
          </w:tcPr>
          <w:p w14:paraId="6ADA58A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58801B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5DB6BDD8"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2.6.3</w:t>
            </w:r>
          </w:p>
        </w:tc>
        <w:tc>
          <w:tcPr>
            <w:tcW w:w="4015" w:type="dxa"/>
            <w:tcBorders>
              <w:top w:val="single" w:sz="4" w:space="0" w:color="000000"/>
              <w:left w:val="single" w:sz="4" w:space="0" w:color="000000"/>
              <w:bottom w:val="single" w:sz="4" w:space="0" w:color="000000"/>
              <w:right w:val="single" w:sz="4" w:space="0" w:color="000000"/>
            </w:tcBorders>
          </w:tcPr>
          <w:p w14:paraId="469DE4AE" w14:textId="77777777" w:rsidR="008C76E0" w:rsidRPr="00BD7577" w:rsidRDefault="008C76E0" w:rsidP="008C76E0">
            <w:pPr>
              <w:spacing w:after="120" w:line="240" w:lineRule="auto"/>
              <w:rPr>
                <w:rFonts w:ascii="Sylfaen" w:hAnsi="Sylfaen"/>
                <w:sz w:val="24"/>
                <w:szCs w:val="24"/>
              </w:rPr>
            </w:pPr>
          </w:p>
        </w:tc>
      </w:tr>
      <w:tr w:rsidR="008C76E0" w:rsidRPr="00BD7577" w14:paraId="7CFEFFE8" w14:textId="77777777" w:rsidTr="00827A4D">
        <w:trPr>
          <w:jc w:val="center"/>
        </w:trPr>
        <w:tc>
          <w:tcPr>
            <w:tcW w:w="1351" w:type="dxa"/>
            <w:vMerge/>
            <w:tcBorders>
              <w:left w:val="single" w:sz="4" w:space="0" w:color="000000"/>
              <w:right w:val="single" w:sz="4" w:space="0" w:color="000000"/>
            </w:tcBorders>
          </w:tcPr>
          <w:p w14:paraId="5E7363FB"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0BCF73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085E4C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2.6.4</w:t>
            </w:r>
          </w:p>
        </w:tc>
        <w:tc>
          <w:tcPr>
            <w:tcW w:w="4015" w:type="dxa"/>
            <w:tcBorders>
              <w:top w:val="single" w:sz="4" w:space="0" w:color="000000"/>
              <w:left w:val="single" w:sz="4" w:space="0" w:color="000000"/>
              <w:bottom w:val="single" w:sz="4" w:space="0" w:color="000000"/>
              <w:right w:val="single" w:sz="4" w:space="0" w:color="000000"/>
            </w:tcBorders>
          </w:tcPr>
          <w:p w14:paraId="1BA751EF" w14:textId="77777777" w:rsidR="008C76E0" w:rsidRPr="00BD7577" w:rsidRDefault="008C76E0" w:rsidP="008C76E0">
            <w:pPr>
              <w:spacing w:after="120" w:line="240" w:lineRule="auto"/>
              <w:rPr>
                <w:rFonts w:ascii="Sylfaen" w:hAnsi="Sylfaen"/>
                <w:sz w:val="24"/>
                <w:szCs w:val="24"/>
              </w:rPr>
            </w:pPr>
          </w:p>
        </w:tc>
      </w:tr>
      <w:tr w:rsidR="008C76E0" w:rsidRPr="00BD7577" w14:paraId="071D2C54" w14:textId="77777777" w:rsidTr="00827A4D">
        <w:trPr>
          <w:jc w:val="center"/>
        </w:trPr>
        <w:tc>
          <w:tcPr>
            <w:tcW w:w="1351" w:type="dxa"/>
            <w:vMerge/>
            <w:tcBorders>
              <w:left w:val="single" w:sz="4" w:space="0" w:color="000000"/>
              <w:right w:val="single" w:sz="4" w:space="0" w:color="000000"/>
            </w:tcBorders>
          </w:tcPr>
          <w:p w14:paraId="5DAC6F6D"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B3B8416"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54711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2.6.5</w:t>
            </w:r>
          </w:p>
        </w:tc>
        <w:tc>
          <w:tcPr>
            <w:tcW w:w="4015" w:type="dxa"/>
            <w:tcBorders>
              <w:top w:val="single" w:sz="4" w:space="0" w:color="000000"/>
              <w:left w:val="single" w:sz="4" w:space="0" w:color="000000"/>
              <w:bottom w:val="single" w:sz="4" w:space="0" w:color="000000"/>
              <w:right w:val="single" w:sz="4" w:space="0" w:color="000000"/>
            </w:tcBorders>
          </w:tcPr>
          <w:p w14:paraId="4277C068" w14:textId="77777777" w:rsidR="008C76E0" w:rsidRPr="00BD7577" w:rsidRDefault="008C76E0" w:rsidP="008C76E0">
            <w:pPr>
              <w:spacing w:after="120" w:line="240" w:lineRule="auto"/>
              <w:rPr>
                <w:rFonts w:ascii="Sylfaen" w:hAnsi="Sylfaen"/>
                <w:sz w:val="24"/>
                <w:szCs w:val="24"/>
              </w:rPr>
            </w:pPr>
          </w:p>
        </w:tc>
      </w:tr>
      <w:tr w:rsidR="008C76E0" w:rsidRPr="00BD7577" w14:paraId="2DD84F52" w14:textId="77777777" w:rsidTr="00827A4D">
        <w:trPr>
          <w:jc w:val="center"/>
        </w:trPr>
        <w:tc>
          <w:tcPr>
            <w:tcW w:w="1351" w:type="dxa"/>
            <w:vMerge/>
            <w:tcBorders>
              <w:left w:val="single" w:sz="4" w:space="0" w:color="000000"/>
              <w:right w:val="single" w:sz="4" w:space="0" w:color="000000"/>
            </w:tcBorders>
          </w:tcPr>
          <w:p w14:paraId="053A3E21"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266E2087"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69E298C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2.6.6</w:t>
            </w:r>
          </w:p>
        </w:tc>
        <w:tc>
          <w:tcPr>
            <w:tcW w:w="4015" w:type="dxa"/>
            <w:tcBorders>
              <w:top w:val="single" w:sz="4" w:space="0" w:color="000000"/>
              <w:left w:val="single" w:sz="4" w:space="0" w:color="000000"/>
              <w:bottom w:val="single" w:sz="4" w:space="0" w:color="000000"/>
              <w:right w:val="single" w:sz="4" w:space="0" w:color="000000"/>
            </w:tcBorders>
          </w:tcPr>
          <w:p w14:paraId="350C2446" w14:textId="77777777" w:rsidR="008C76E0" w:rsidRPr="00BD7577" w:rsidRDefault="008C76E0" w:rsidP="008C76E0">
            <w:pPr>
              <w:spacing w:after="120" w:line="240" w:lineRule="auto"/>
              <w:rPr>
                <w:rFonts w:ascii="Sylfaen" w:hAnsi="Sylfaen"/>
                <w:sz w:val="24"/>
                <w:szCs w:val="24"/>
              </w:rPr>
            </w:pPr>
          </w:p>
        </w:tc>
      </w:tr>
      <w:tr w:rsidR="008C76E0" w:rsidRPr="00BD7577" w14:paraId="2E6473C8" w14:textId="77777777" w:rsidTr="00827A4D">
        <w:trPr>
          <w:jc w:val="center"/>
        </w:trPr>
        <w:tc>
          <w:tcPr>
            <w:tcW w:w="1351" w:type="dxa"/>
            <w:vMerge/>
            <w:tcBorders>
              <w:left w:val="single" w:sz="4" w:space="0" w:color="000000"/>
              <w:right w:val="single" w:sz="4" w:space="0" w:color="000000"/>
            </w:tcBorders>
          </w:tcPr>
          <w:p w14:paraId="5E67D7F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50D56DD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E360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2.6.7</w:t>
            </w:r>
          </w:p>
        </w:tc>
        <w:tc>
          <w:tcPr>
            <w:tcW w:w="4015" w:type="dxa"/>
            <w:tcBorders>
              <w:top w:val="single" w:sz="4" w:space="0" w:color="000000"/>
              <w:left w:val="single" w:sz="4" w:space="0" w:color="000000"/>
              <w:bottom w:val="single" w:sz="4" w:space="0" w:color="000000"/>
              <w:right w:val="single" w:sz="4" w:space="0" w:color="000000"/>
            </w:tcBorders>
          </w:tcPr>
          <w:p w14:paraId="7BF2D864" w14:textId="77777777" w:rsidR="008C76E0" w:rsidRPr="00BD7577" w:rsidRDefault="008C76E0" w:rsidP="008C76E0">
            <w:pPr>
              <w:spacing w:after="120" w:line="240" w:lineRule="auto"/>
              <w:rPr>
                <w:rFonts w:ascii="Sylfaen" w:hAnsi="Sylfaen"/>
                <w:sz w:val="24"/>
                <w:szCs w:val="24"/>
              </w:rPr>
            </w:pPr>
          </w:p>
        </w:tc>
      </w:tr>
      <w:tr w:rsidR="008C76E0" w:rsidRPr="00BD7577" w14:paraId="0501F15F" w14:textId="77777777" w:rsidTr="00827A4D">
        <w:trPr>
          <w:jc w:val="center"/>
        </w:trPr>
        <w:tc>
          <w:tcPr>
            <w:tcW w:w="1351" w:type="dxa"/>
            <w:vMerge/>
            <w:tcBorders>
              <w:left w:val="single" w:sz="4" w:space="0" w:color="000000"/>
              <w:right w:val="single" w:sz="4" w:space="0" w:color="000000"/>
            </w:tcBorders>
          </w:tcPr>
          <w:p w14:paraId="5EBA9872" w14:textId="77777777" w:rsidR="008C76E0" w:rsidRPr="00BD7577" w:rsidRDefault="008C76E0" w:rsidP="008C76E0">
            <w:pPr>
              <w:spacing w:after="120" w:line="240" w:lineRule="auto"/>
              <w:rPr>
                <w:rFonts w:ascii="Sylfaen" w:hAnsi="Sylfaen"/>
                <w:sz w:val="24"/>
                <w:szCs w:val="24"/>
              </w:rPr>
            </w:pPr>
          </w:p>
        </w:tc>
        <w:tc>
          <w:tcPr>
            <w:tcW w:w="1752" w:type="dxa"/>
            <w:vMerge w:val="restart"/>
            <w:tcBorders>
              <w:top w:val="single" w:sz="4" w:space="0" w:color="000000"/>
              <w:left w:val="single" w:sz="4" w:space="0" w:color="000000"/>
              <w:right w:val="single" w:sz="4" w:space="0" w:color="000000"/>
            </w:tcBorders>
          </w:tcPr>
          <w:p w14:paraId="3777309F"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2.7</w:t>
            </w: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72910A1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2.7.1</w:t>
            </w:r>
          </w:p>
        </w:tc>
        <w:tc>
          <w:tcPr>
            <w:tcW w:w="4015" w:type="dxa"/>
            <w:tcBorders>
              <w:top w:val="single" w:sz="4" w:space="0" w:color="000000"/>
              <w:left w:val="single" w:sz="4" w:space="0" w:color="000000"/>
              <w:bottom w:val="single" w:sz="4" w:space="0" w:color="000000"/>
              <w:right w:val="single" w:sz="4" w:space="0" w:color="000000"/>
            </w:tcBorders>
          </w:tcPr>
          <w:p w14:paraId="413E103E" w14:textId="77777777" w:rsidR="008C76E0" w:rsidRPr="00BD7577" w:rsidRDefault="008C76E0" w:rsidP="008C76E0">
            <w:pPr>
              <w:spacing w:after="120" w:line="240" w:lineRule="auto"/>
              <w:rPr>
                <w:rFonts w:ascii="Sylfaen" w:hAnsi="Sylfaen"/>
                <w:sz w:val="24"/>
                <w:szCs w:val="24"/>
              </w:rPr>
            </w:pPr>
          </w:p>
        </w:tc>
      </w:tr>
      <w:tr w:rsidR="008C76E0" w:rsidRPr="00BD7577" w14:paraId="53DB06D8" w14:textId="77777777" w:rsidTr="00827A4D">
        <w:trPr>
          <w:jc w:val="center"/>
        </w:trPr>
        <w:tc>
          <w:tcPr>
            <w:tcW w:w="1351" w:type="dxa"/>
            <w:vMerge/>
            <w:tcBorders>
              <w:left w:val="single" w:sz="4" w:space="0" w:color="000000"/>
              <w:right w:val="single" w:sz="4" w:space="0" w:color="000000"/>
            </w:tcBorders>
          </w:tcPr>
          <w:p w14:paraId="36956AA2"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1D288745"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36DA214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2.7.2</w:t>
            </w:r>
          </w:p>
        </w:tc>
        <w:tc>
          <w:tcPr>
            <w:tcW w:w="4015" w:type="dxa"/>
            <w:tcBorders>
              <w:top w:val="single" w:sz="4" w:space="0" w:color="000000"/>
              <w:left w:val="single" w:sz="4" w:space="0" w:color="000000"/>
              <w:bottom w:val="single" w:sz="4" w:space="0" w:color="000000"/>
              <w:right w:val="single" w:sz="4" w:space="0" w:color="000000"/>
            </w:tcBorders>
          </w:tcPr>
          <w:p w14:paraId="693C92DD" w14:textId="77777777" w:rsidR="008C76E0" w:rsidRPr="00BD7577" w:rsidRDefault="008C76E0" w:rsidP="008C76E0">
            <w:pPr>
              <w:spacing w:after="120" w:line="240" w:lineRule="auto"/>
              <w:rPr>
                <w:rFonts w:ascii="Sylfaen" w:hAnsi="Sylfaen"/>
                <w:sz w:val="24"/>
                <w:szCs w:val="24"/>
              </w:rPr>
            </w:pPr>
          </w:p>
        </w:tc>
      </w:tr>
      <w:tr w:rsidR="008C76E0" w:rsidRPr="00BD7577" w14:paraId="3796E3BC" w14:textId="77777777" w:rsidTr="00827A4D">
        <w:trPr>
          <w:jc w:val="center"/>
        </w:trPr>
        <w:tc>
          <w:tcPr>
            <w:tcW w:w="1351" w:type="dxa"/>
            <w:vMerge/>
            <w:tcBorders>
              <w:left w:val="single" w:sz="4" w:space="0" w:color="000000"/>
              <w:right w:val="single" w:sz="4" w:space="0" w:color="000000"/>
            </w:tcBorders>
          </w:tcPr>
          <w:p w14:paraId="14A26F27"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368EE7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450300" w14:textId="77777777" w:rsidR="008C76E0" w:rsidRPr="00C72D24" w:rsidRDefault="008C76E0" w:rsidP="00C72D24">
            <w:pPr>
              <w:spacing w:after="120" w:line="240" w:lineRule="auto"/>
              <w:ind w:left="102" w:right="-20"/>
              <w:rPr>
                <w:rFonts w:ascii="Sylfaen" w:eastAsia="Times New Roman" w:hAnsi="Sylfaen" w:cs="Times New Roman"/>
                <w:sz w:val="24"/>
                <w:szCs w:val="24"/>
                <w:lang w:val="en-US"/>
              </w:rPr>
            </w:pPr>
            <w:r w:rsidRPr="004F6471">
              <w:rPr>
                <w:rFonts w:ascii="Sylfaen" w:hAnsi="Sylfaen"/>
                <w:sz w:val="24"/>
                <w:szCs w:val="24"/>
              </w:rPr>
              <w:t>2.7.3</w:t>
            </w:r>
            <w:r w:rsidR="0081587C" w:rsidRPr="004F6471">
              <w:rPr>
                <w:rStyle w:val="FootnoteReference"/>
                <w:rFonts w:ascii="Sylfaen" w:hAnsi="Sylfaen"/>
                <w:sz w:val="24"/>
                <w:szCs w:val="24"/>
              </w:rPr>
              <w:footnoteReference w:id="31"/>
            </w:r>
          </w:p>
        </w:tc>
        <w:tc>
          <w:tcPr>
            <w:tcW w:w="4015" w:type="dxa"/>
            <w:tcBorders>
              <w:top w:val="single" w:sz="4" w:space="0" w:color="000000"/>
              <w:left w:val="single" w:sz="4" w:space="0" w:color="000000"/>
              <w:bottom w:val="single" w:sz="4" w:space="0" w:color="000000"/>
              <w:right w:val="single" w:sz="4" w:space="0" w:color="000000"/>
            </w:tcBorders>
          </w:tcPr>
          <w:p w14:paraId="2990EB12" w14:textId="77777777" w:rsidR="008C76E0" w:rsidRPr="00BD7577" w:rsidRDefault="008C76E0" w:rsidP="008C76E0">
            <w:pPr>
              <w:spacing w:after="120" w:line="240" w:lineRule="auto"/>
              <w:rPr>
                <w:rFonts w:ascii="Sylfaen" w:hAnsi="Sylfaen"/>
                <w:sz w:val="24"/>
                <w:szCs w:val="24"/>
              </w:rPr>
            </w:pPr>
          </w:p>
        </w:tc>
      </w:tr>
      <w:tr w:rsidR="008C76E0" w:rsidRPr="00BD7577" w14:paraId="6D243116" w14:textId="77777777" w:rsidTr="00827A4D">
        <w:trPr>
          <w:jc w:val="center"/>
        </w:trPr>
        <w:tc>
          <w:tcPr>
            <w:tcW w:w="1351" w:type="dxa"/>
            <w:vMerge/>
            <w:tcBorders>
              <w:left w:val="single" w:sz="4" w:space="0" w:color="000000"/>
              <w:right w:val="single" w:sz="4" w:space="0" w:color="000000"/>
            </w:tcBorders>
          </w:tcPr>
          <w:p w14:paraId="32AB871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796AC82F"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108EA7D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2.7.4</w:t>
            </w:r>
          </w:p>
        </w:tc>
        <w:tc>
          <w:tcPr>
            <w:tcW w:w="4015" w:type="dxa"/>
            <w:tcBorders>
              <w:top w:val="single" w:sz="4" w:space="0" w:color="000000"/>
              <w:left w:val="single" w:sz="4" w:space="0" w:color="000000"/>
              <w:bottom w:val="single" w:sz="4" w:space="0" w:color="000000"/>
              <w:right w:val="single" w:sz="4" w:space="0" w:color="000000"/>
            </w:tcBorders>
          </w:tcPr>
          <w:p w14:paraId="4BC8B067" w14:textId="77777777" w:rsidR="008C76E0" w:rsidRPr="00BD7577" w:rsidRDefault="008C76E0" w:rsidP="008C76E0">
            <w:pPr>
              <w:spacing w:after="120" w:line="240" w:lineRule="auto"/>
              <w:rPr>
                <w:rFonts w:ascii="Sylfaen" w:hAnsi="Sylfaen"/>
                <w:sz w:val="24"/>
                <w:szCs w:val="24"/>
              </w:rPr>
            </w:pPr>
          </w:p>
        </w:tc>
      </w:tr>
      <w:tr w:rsidR="008C76E0" w:rsidRPr="00BD7577" w14:paraId="5E8F4281" w14:textId="77777777" w:rsidTr="00827A4D">
        <w:trPr>
          <w:jc w:val="center"/>
        </w:trPr>
        <w:tc>
          <w:tcPr>
            <w:tcW w:w="1351" w:type="dxa"/>
            <w:vMerge/>
            <w:tcBorders>
              <w:left w:val="single" w:sz="4" w:space="0" w:color="000000"/>
              <w:right w:val="single" w:sz="4" w:space="0" w:color="000000"/>
            </w:tcBorders>
          </w:tcPr>
          <w:p w14:paraId="207C18BF"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right w:val="single" w:sz="4" w:space="0" w:color="000000"/>
            </w:tcBorders>
          </w:tcPr>
          <w:p w14:paraId="53CE25B0"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688A3A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2.7.5</w:t>
            </w:r>
          </w:p>
        </w:tc>
        <w:tc>
          <w:tcPr>
            <w:tcW w:w="4015" w:type="dxa"/>
            <w:tcBorders>
              <w:top w:val="single" w:sz="4" w:space="0" w:color="000000"/>
              <w:left w:val="single" w:sz="4" w:space="0" w:color="000000"/>
              <w:bottom w:val="single" w:sz="4" w:space="0" w:color="000000"/>
              <w:right w:val="single" w:sz="4" w:space="0" w:color="000000"/>
            </w:tcBorders>
          </w:tcPr>
          <w:p w14:paraId="62FB5240" w14:textId="77777777" w:rsidR="008C76E0" w:rsidRPr="00BD7577" w:rsidRDefault="008C76E0" w:rsidP="008C76E0">
            <w:pPr>
              <w:spacing w:after="120" w:line="240" w:lineRule="auto"/>
              <w:rPr>
                <w:rFonts w:ascii="Sylfaen" w:hAnsi="Sylfaen"/>
                <w:sz w:val="24"/>
                <w:szCs w:val="24"/>
              </w:rPr>
            </w:pPr>
          </w:p>
        </w:tc>
      </w:tr>
      <w:tr w:rsidR="008C76E0" w:rsidRPr="00BD7577" w14:paraId="1788788A" w14:textId="77777777" w:rsidTr="00827A4D">
        <w:trPr>
          <w:jc w:val="center"/>
        </w:trPr>
        <w:tc>
          <w:tcPr>
            <w:tcW w:w="1351" w:type="dxa"/>
            <w:vMerge/>
            <w:tcBorders>
              <w:left w:val="single" w:sz="4" w:space="0" w:color="000000"/>
              <w:bottom w:val="single" w:sz="4" w:space="0" w:color="000000"/>
              <w:right w:val="single" w:sz="4" w:space="0" w:color="000000"/>
            </w:tcBorders>
          </w:tcPr>
          <w:p w14:paraId="38F7463A" w14:textId="77777777" w:rsidR="008C76E0" w:rsidRPr="00BD7577" w:rsidRDefault="008C76E0" w:rsidP="008C76E0">
            <w:pPr>
              <w:spacing w:after="120" w:line="240" w:lineRule="auto"/>
              <w:rPr>
                <w:rFonts w:ascii="Sylfaen" w:hAnsi="Sylfaen"/>
                <w:sz w:val="24"/>
                <w:szCs w:val="24"/>
              </w:rPr>
            </w:pPr>
          </w:p>
        </w:tc>
        <w:tc>
          <w:tcPr>
            <w:tcW w:w="1752" w:type="dxa"/>
            <w:vMerge/>
            <w:tcBorders>
              <w:left w:val="single" w:sz="4" w:space="0" w:color="000000"/>
              <w:bottom w:val="single" w:sz="4" w:space="0" w:color="000000"/>
              <w:right w:val="single" w:sz="4" w:space="0" w:color="000000"/>
            </w:tcBorders>
          </w:tcPr>
          <w:p w14:paraId="014DE01D" w14:textId="77777777" w:rsidR="008C76E0" w:rsidRPr="00BD7577" w:rsidRDefault="008C76E0" w:rsidP="008C76E0">
            <w:pPr>
              <w:spacing w:after="120" w:line="240" w:lineRule="auto"/>
              <w:rPr>
                <w:rFonts w:ascii="Sylfaen" w:hAnsi="Sylfaen"/>
                <w:sz w:val="24"/>
                <w:szCs w:val="24"/>
              </w:rPr>
            </w:pPr>
          </w:p>
        </w:tc>
        <w:tc>
          <w:tcPr>
            <w:tcW w:w="2453" w:type="dxa"/>
            <w:tcBorders>
              <w:top w:val="single" w:sz="4" w:space="0" w:color="000000"/>
              <w:left w:val="single" w:sz="4" w:space="0" w:color="000000"/>
              <w:bottom w:val="single" w:sz="4" w:space="0" w:color="000000"/>
              <w:right w:val="single" w:sz="4" w:space="0" w:color="000000"/>
            </w:tcBorders>
            <w:shd w:val="clear" w:color="auto" w:fill="ECECEC"/>
          </w:tcPr>
          <w:p w14:paraId="239B5F2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2.7.6</w:t>
            </w:r>
          </w:p>
        </w:tc>
        <w:tc>
          <w:tcPr>
            <w:tcW w:w="4015" w:type="dxa"/>
            <w:tcBorders>
              <w:top w:val="single" w:sz="4" w:space="0" w:color="000000"/>
              <w:left w:val="single" w:sz="4" w:space="0" w:color="000000"/>
              <w:bottom w:val="single" w:sz="4" w:space="0" w:color="000000"/>
              <w:right w:val="single" w:sz="4" w:space="0" w:color="000000"/>
            </w:tcBorders>
          </w:tcPr>
          <w:p w14:paraId="1A9D1702" w14:textId="77777777" w:rsidR="008C76E0" w:rsidRPr="00BD7577" w:rsidRDefault="008C76E0" w:rsidP="008C76E0">
            <w:pPr>
              <w:spacing w:after="120" w:line="240" w:lineRule="auto"/>
              <w:rPr>
                <w:rFonts w:ascii="Sylfaen" w:hAnsi="Sylfaen"/>
                <w:sz w:val="24"/>
                <w:szCs w:val="24"/>
              </w:rPr>
            </w:pPr>
          </w:p>
        </w:tc>
      </w:tr>
    </w:tbl>
    <w:p w14:paraId="698508EE" w14:textId="77777777" w:rsidR="00814E26" w:rsidRDefault="00814E26" w:rsidP="008C76E0">
      <w:pPr>
        <w:ind w:left="567" w:right="566"/>
        <w:jc w:val="center"/>
        <w:rPr>
          <w:rFonts w:ascii="Sylfaen" w:hAnsi="Sylfaen"/>
          <w:sz w:val="24"/>
          <w:szCs w:val="24"/>
          <w:lang w:val="en-US"/>
        </w:rPr>
      </w:pPr>
    </w:p>
    <w:p w14:paraId="2FB47CE6"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489" w:type="dxa"/>
        <w:jc w:val="center"/>
        <w:tblLook w:val="04A0" w:firstRow="1" w:lastRow="0" w:firstColumn="1" w:lastColumn="0" w:noHBand="0" w:noVBand="1"/>
      </w:tblPr>
      <w:tblGrid>
        <w:gridCol w:w="9489"/>
      </w:tblGrid>
      <w:tr w:rsidR="008C76E0" w:rsidRPr="00BD7577" w14:paraId="36D37D0D" w14:textId="77777777" w:rsidTr="008C76E0">
        <w:trPr>
          <w:jc w:val="center"/>
        </w:trPr>
        <w:tc>
          <w:tcPr>
            <w:tcW w:w="9489" w:type="dxa"/>
          </w:tcPr>
          <w:p w14:paraId="3A284B09" w14:textId="77777777" w:rsidR="008C76E0" w:rsidRPr="00BD7577" w:rsidRDefault="008C76E0" w:rsidP="008C76E0">
            <w:pPr>
              <w:spacing w:after="120"/>
              <w:ind w:right="39"/>
              <w:jc w:val="both"/>
              <w:rPr>
                <w:rFonts w:ascii="Sylfaen" w:eastAsia="Times New Roman" w:hAnsi="Sylfaen" w:cs="Times New Roman"/>
                <w:sz w:val="24"/>
                <w:szCs w:val="24"/>
              </w:rPr>
            </w:pPr>
            <w:r w:rsidRPr="00BD7577">
              <w:rPr>
                <w:rFonts w:ascii="Sylfaen" w:hAnsi="Sylfaen"/>
                <w:sz w:val="24"/>
                <w:szCs w:val="24"/>
              </w:rPr>
              <w:t xml:space="preserve">Այս մակարդակում փաստաթղթեր ներկայացնելը չի թույլատրվում: </w:t>
            </w:r>
          </w:p>
        </w:tc>
      </w:tr>
      <w:tr w:rsidR="008C76E0" w:rsidRPr="00BD7577" w14:paraId="102434E6" w14:textId="77777777" w:rsidTr="008C76E0">
        <w:trPr>
          <w:jc w:val="center"/>
        </w:trPr>
        <w:tc>
          <w:tcPr>
            <w:tcW w:w="9489" w:type="dxa"/>
          </w:tcPr>
          <w:p w14:paraId="6A711AF6" w14:textId="77777777" w:rsidR="008C76E0" w:rsidRPr="00BD7577" w:rsidRDefault="008C76E0" w:rsidP="008C76E0">
            <w:pPr>
              <w:spacing w:after="120"/>
              <w:ind w:right="40"/>
              <w:jc w:val="both"/>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փաստաթուղթ:</w:t>
            </w:r>
          </w:p>
        </w:tc>
      </w:tr>
    </w:tbl>
    <w:p w14:paraId="580E13C0" w14:textId="77777777" w:rsidR="00814E26" w:rsidRDefault="00814E26" w:rsidP="008C76E0">
      <w:pPr>
        <w:ind w:right="39"/>
        <w:jc w:val="center"/>
        <w:rPr>
          <w:rFonts w:ascii="Sylfaen" w:eastAsia="Times New Roman" w:hAnsi="Sylfaen" w:cs="Times New Roman"/>
          <w:sz w:val="24"/>
          <w:szCs w:val="24"/>
        </w:rPr>
        <w:sectPr w:rsidR="00814E26" w:rsidSect="00814E26">
          <w:footnotePr>
            <w:numRestart w:val="eachSect"/>
          </w:footnotePr>
          <w:pgSz w:w="11907" w:h="16839" w:code="9"/>
          <w:pgMar w:top="1418" w:right="1418" w:bottom="1418" w:left="1418" w:header="0" w:footer="361" w:gutter="0"/>
          <w:cols w:space="720"/>
          <w:noEndnote/>
          <w:docGrid w:linePitch="360"/>
        </w:sectPr>
      </w:pPr>
    </w:p>
    <w:p w14:paraId="2F188F6F" w14:textId="77777777" w:rsidR="008C76E0" w:rsidRPr="00BD7577" w:rsidRDefault="008C76E0" w:rsidP="008C76E0">
      <w:pPr>
        <w:tabs>
          <w:tab w:val="left" w:pos="1134"/>
        </w:tabs>
        <w:ind w:right="175" w:firstLine="567"/>
        <w:jc w:val="both"/>
        <w:rPr>
          <w:rFonts w:ascii="Sylfaen" w:eastAsia="Times New Roman" w:hAnsi="Sylfaen" w:cs="Times New Roman"/>
          <w:sz w:val="24"/>
          <w:szCs w:val="24"/>
          <w:lang w:val="ru-RU"/>
        </w:rPr>
      </w:pPr>
      <w:r w:rsidRPr="00BD7577">
        <w:rPr>
          <w:rFonts w:ascii="Sylfaen" w:eastAsia="Times New Roman" w:hAnsi="Sylfaen" w:cs="Times New Roman"/>
          <w:sz w:val="24"/>
          <w:szCs w:val="24"/>
        </w:rPr>
        <w:lastRenderedPageBreak/>
        <w:t>3</w:t>
      </w:r>
      <w:r>
        <w:rPr>
          <w:rFonts w:ascii="Sylfaen" w:eastAsia="Times New Roman" w:hAnsi="Sylfaen" w:cs="Times New Roman"/>
          <w:sz w:val="24"/>
          <w:szCs w:val="24"/>
          <w:lang w:val="ru-RU"/>
        </w:rPr>
        <w:t>.</w:t>
      </w:r>
      <w:r>
        <w:rPr>
          <w:rFonts w:ascii="Sylfaen" w:eastAsia="Times New Roman" w:hAnsi="Sylfaen" w:cs="Times New Roman"/>
          <w:sz w:val="24"/>
          <w:szCs w:val="24"/>
          <w:lang w:val="en-US"/>
        </w:rPr>
        <w:tab/>
      </w:r>
      <w:r w:rsidRPr="00BD7577">
        <w:rPr>
          <w:rFonts w:ascii="Sylfaen" w:hAnsi="Sylfaen"/>
          <w:sz w:val="24"/>
          <w:szCs w:val="24"/>
        </w:rPr>
        <w:t>Մոդուլ 3</w:t>
      </w:r>
    </w:p>
    <w:tbl>
      <w:tblPr>
        <w:tblW w:w="0" w:type="auto"/>
        <w:jc w:val="center"/>
        <w:tblLayout w:type="fixed"/>
        <w:tblCellMar>
          <w:left w:w="0" w:type="dxa"/>
          <w:right w:w="0" w:type="dxa"/>
        </w:tblCellMar>
        <w:tblLook w:val="01E0" w:firstRow="1" w:lastRow="1" w:firstColumn="1" w:lastColumn="1" w:noHBand="0" w:noVBand="0"/>
      </w:tblPr>
      <w:tblGrid>
        <w:gridCol w:w="1526"/>
        <w:gridCol w:w="1154"/>
        <w:gridCol w:w="2815"/>
        <w:gridCol w:w="1927"/>
        <w:gridCol w:w="2237"/>
      </w:tblGrid>
      <w:tr w:rsidR="008C76E0" w:rsidRPr="00BD7577" w14:paraId="46043684"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5C4351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Մոդուլ 3</w:t>
            </w:r>
            <w:r w:rsidR="00814E26">
              <w:rPr>
                <w:rStyle w:val="FootnoteReference"/>
                <w:rFonts w:ascii="Sylfaen" w:hAnsi="Sylfaen"/>
                <w:sz w:val="24"/>
                <w:szCs w:val="24"/>
              </w:rPr>
              <w:footnoteReference w:id="32"/>
            </w:r>
          </w:p>
        </w:tc>
        <w:tc>
          <w:tcPr>
            <w:tcW w:w="1154" w:type="dxa"/>
            <w:tcBorders>
              <w:top w:val="single" w:sz="4" w:space="0" w:color="000000"/>
              <w:left w:val="single" w:sz="4" w:space="0" w:color="000000"/>
              <w:bottom w:val="single" w:sz="4" w:space="0" w:color="000000"/>
              <w:right w:val="single" w:sz="4" w:space="0" w:color="000000"/>
            </w:tcBorders>
          </w:tcPr>
          <w:p w14:paraId="1D9183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3.1</w:t>
            </w:r>
          </w:p>
        </w:tc>
        <w:tc>
          <w:tcPr>
            <w:tcW w:w="6979" w:type="dxa"/>
            <w:gridSpan w:val="3"/>
            <w:tcBorders>
              <w:top w:val="single" w:sz="4" w:space="0" w:color="000000"/>
              <w:left w:val="single" w:sz="4" w:space="0" w:color="000000"/>
              <w:bottom w:val="single" w:sz="4" w:space="0" w:color="000000"/>
              <w:right w:val="single" w:sz="4" w:space="0" w:color="000000"/>
            </w:tcBorders>
          </w:tcPr>
          <w:p w14:paraId="726FCC79" w14:textId="77777777" w:rsidR="008C76E0" w:rsidRPr="00BD7577" w:rsidRDefault="008C76E0" w:rsidP="008C76E0">
            <w:pPr>
              <w:spacing w:after="120" w:line="240" w:lineRule="auto"/>
              <w:rPr>
                <w:rFonts w:ascii="Sylfaen" w:hAnsi="Sylfaen"/>
                <w:sz w:val="24"/>
                <w:szCs w:val="24"/>
              </w:rPr>
            </w:pPr>
          </w:p>
        </w:tc>
      </w:tr>
      <w:tr w:rsidR="008C76E0" w:rsidRPr="00BD7577" w14:paraId="2A2D1D67" w14:textId="77777777" w:rsidTr="008C76E0">
        <w:trPr>
          <w:jc w:val="center"/>
        </w:trPr>
        <w:tc>
          <w:tcPr>
            <w:tcW w:w="1526" w:type="dxa"/>
            <w:vMerge/>
            <w:tcBorders>
              <w:left w:val="single" w:sz="4" w:space="0" w:color="000000"/>
              <w:right w:val="single" w:sz="4" w:space="0" w:color="000000"/>
            </w:tcBorders>
            <w:shd w:val="clear" w:color="auto" w:fill="E7E7E7"/>
          </w:tcPr>
          <w:p w14:paraId="2AAC49D6"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2E994F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w:t>
            </w:r>
          </w:p>
        </w:tc>
        <w:tc>
          <w:tcPr>
            <w:tcW w:w="2815" w:type="dxa"/>
            <w:vMerge w:val="restart"/>
            <w:tcBorders>
              <w:top w:val="single" w:sz="4" w:space="0" w:color="000000"/>
              <w:left w:val="single" w:sz="4" w:space="0" w:color="000000"/>
              <w:right w:val="single" w:sz="4" w:space="0" w:color="000000"/>
            </w:tcBorders>
            <w:shd w:val="clear" w:color="auto" w:fill="E7E7E7"/>
          </w:tcPr>
          <w:p w14:paraId="4A7BEF9C"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3.2.S</w:t>
            </w:r>
            <w:r w:rsidRPr="00BD7577">
              <w:rPr>
                <w:rFonts w:ascii="Sylfaen" w:hAnsi="Sylfaen"/>
                <w:sz w:val="24"/>
                <w:szCs w:val="24"/>
              </w:rPr>
              <w:t xml:space="preserve"> </w:t>
            </w:r>
            <w:r w:rsidR="00814E26">
              <w:rPr>
                <w:rStyle w:val="FootnoteReference"/>
                <w:rFonts w:ascii="Sylfaen" w:hAnsi="Sylfaen"/>
                <w:sz w:val="24"/>
                <w:szCs w:val="24"/>
              </w:rPr>
              <w:footnoteReference w:id="33"/>
            </w:r>
          </w:p>
        </w:tc>
        <w:tc>
          <w:tcPr>
            <w:tcW w:w="1927" w:type="dxa"/>
            <w:vMerge w:val="restart"/>
            <w:tcBorders>
              <w:top w:val="single" w:sz="4" w:space="0" w:color="000000"/>
              <w:left w:val="single" w:sz="4" w:space="0" w:color="000000"/>
              <w:right w:val="single" w:sz="4" w:space="0" w:color="000000"/>
            </w:tcBorders>
            <w:shd w:val="clear" w:color="auto" w:fill="E7E7E7"/>
          </w:tcPr>
          <w:p w14:paraId="0FA40DBD"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3.2.S.1</w:t>
            </w:r>
          </w:p>
        </w:tc>
        <w:tc>
          <w:tcPr>
            <w:tcW w:w="2237" w:type="dxa"/>
            <w:tcBorders>
              <w:top w:val="single" w:sz="4" w:space="0" w:color="000000"/>
              <w:left w:val="single" w:sz="4" w:space="0" w:color="000000"/>
              <w:bottom w:val="single" w:sz="4" w:space="0" w:color="000000"/>
              <w:right w:val="single" w:sz="4" w:space="0" w:color="000000"/>
            </w:tcBorders>
          </w:tcPr>
          <w:p w14:paraId="23AFCBE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3.2.S.1.1</w:t>
            </w:r>
          </w:p>
        </w:tc>
      </w:tr>
      <w:tr w:rsidR="008C76E0" w:rsidRPr="00BD7577" w14:paraId="083F7D35" w14:textId="77777777" w:rsidTr="008C76E0">
        <w:trPr>
          <w:jc w:val="center"/>
        </w:trPr>
        <w:tc>
          <w:tcPr>
            <w:tcW w:w="1526" w:type="dxa"/>
            <w:vMerge/>
            <w:tcBorders>
              <w:left w:val="single" w:sz="4" w:space="0" w:color="000000"/>
              <w:right w:val="single" w:sz="4" w:space="0" w:color="000000"/>
            </w:tcBorders>
            <w:shd w:val="clear" w:color="auto" w:fill="E7E7E7"/>
          </w:tcPr>
          <w:p w14:paraId="1FCDC7C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47591C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D65740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8200A8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3FBCE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3.2.S.1.2</w:t>
            </w:r>
          </w:p>
        </w:tc>
      </w:tr>
      <w:tr w:rsidR="008C76E0" w:rsidRPr="00BD7577" w14:paraId="36698479" w14:textId="77777777" w:rsidTr="008C76E0">
        <w:trPr>
          <w:jc w:val="center"/>
        </w:trPr>
        <w:tc>
          <w:tcPr>
            <w:tcW w:w="1526" w:type="dxa"/>
            <w:vMerge/>
            <w:tcBorders>
              <w:left w:val="single" w:sz="4" w:space="0" w:color="000000"/>
              <w:right w:val="single" w:sz="4" w:space="0" w:color="000000"/>
            </w:tcBorders>
            <w:shd w:val="clear" w:color="auto" w:fill="E7E7E7"/>
          </w:tcPr>
          <w:p w14:paraId="06B31B1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02239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08043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3A975C58"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BBE810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3.2.S.1.3</w:t>
            </w:r>
          </w:p>
        </w:tc>
      </w:tr>
      <w:tr w:rsidR="008C76E0" w:rsidRPr="00BD7577" w14:paraId="309A0ADA" w14:textId="77777777" w:rsidTr="008C76E0">
        <w:trPr>
          <w:jc w:val="center"/>
        </w:trPr>
        <w:tc>
          <w:tcPr>
            <w:tcW w:w="1526" w:type="dxa"/>
            <w:vMerge/>
            <w:tcBorders>
              <w:left w:val="single" w:sz="4" w:space="0" w:color="000000"/>
              <w:right w:val="single" w:sz="4" w:space="0" w:color="000000"/>
            </w:tcBorders>
            <w:shd w:val="clear" w:color="auto" w:fill="E7E7E7"/>
          </w:tcPr>
          <w:p w14:paraId="090BEB01"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9433F0F"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3D6F70C"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38D03D9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3.2.S.2</w:t>
            </w:r>
          </w:p>
        </w:tc>
        <w:tc>
          <w:tcPr>
            <w:tcW w:w="2237" w:type="dxa"/>
            <w:tcBorders>
              <w:top w:val="single" w:sz="4" w:space="0" w:color="000000"/>
              <w:left w:val="single" w:sz="4" w:space="0" w:color="000000"/>
              <w:bottom w:val="single" w:sz="4" w:space="0" w:color="000000"/>
              <w:right w:val="single" w:sz="4" w:space="0" w:color="000000"/>
            </w:tcBorders>
          </w:tcPr>
          <w:p w14:paraId="27D850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3.2.S.2.1</w:t>
            </w:r>
          </w:p>
        </w:tc>
      </w:tr>
      <w:tr w:rsidR="008C76E0" w:rsidRPr="00BD7577" w14:paraId="3E778B88" w14:textId="77777777" w:rsidTr="008C76E0">
        <w:trPr>
          <w:jc w:val="center"/>
        </w:trPr>
        <w:tc>
          <w:tcPr>
            <w:tcW w:w="1526" w:type="dxa"/>
            <w:vMerge/>
            <w:tcBorders>
              <w:left w:val="single" w:sz="4" w:space="0" w:color="000000"/>
              <w:right w:val="single" w:sz="4" w:space="0" w:color="000000"/>
            </w:tcBorders>
            <w:shd w:val="clear" w:color="auto" w:fill="E7E7E7"/>
          </w:tcPr>
          <w:p w14:paraId="209F294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FF921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9340A9"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B246CD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F71091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3.2.S.2.2</w:t>
            </w:r>
          </w:p>
        </w:tc>
      </w:tr>
      <w:tr w:rsidR="008C76E0" w:rsidRPr="00BD7577" w14:paraId="30299A2C" w14:textId="77777777" w:rsidTr="008C76E0">
        <w:trPr>
          <w:jc w:val="center"/>
        </w:trPr>
        <w:tc>
          <w:tcPr>
            <w:tcW w:w="1526" w:type="dxa"/>
            <w:vMerge/>
            <w:tcBorders>
              <w:left w:val="single" w:sz="4" w:space="0" w:color="000000"/>
              <w:right w:val="single" w:sz="4" w:space="0" w:color="000000"/>
            </w:tcBorders>
            <w:shd w:val="clear" w:color="auto" w:fill="E7E7E7"/>
          </w:tcPr>
          <w:p w14:paraId="0B30ACC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606BD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F15D70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43E6B2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045446B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3.2.S.2.3</w:t>
            </w:r>
          </w:p>
        </w:tc>
      </w:tr>
      <w:tr w:rsidR="008C76E0" w:rsidRPr="00BD7577" w14:paraId="7DB84E58" w14:textId="77777777" w:rsidTr="008C76E0">
        <w:trPr>
          <w:jc w:val="center"/>
        </w:trPr>
        <w:tc>
          <w:tcPr>
            <w:tcW w:w="1526" w:type="dxa"/>
            <w:vMerge/>
            <w:tcBorders>
              <w:left w:val="single" w:sz="4" w:space="0" w:color="000000"/>
              <w:right w:val="single" w:sz="4" w:space="0" w:color="000000"/>
            </w:tcBorders>
            <w:shd w:val="clear" w:color="auto" w:fill="E7E7E7"/>
          </w:tcPr>
          <w:p w14:paraId="470C4C9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DE34F6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46A7A6F"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E7E7D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2B6E69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3.2.S.2.4</w:t>
            </w:r>
          </w:p>
        </w:tc>
      </w:tr>
      <w:tr w:rsidR="008C76E0" w:rsidRPr="00BD7577" w14:paraId="767998DC" w14:textId="77777777" w:rsidTr="008C76E0">
        <w:trPr>
          <w:jc w:val="center"/>
        </w:trPr>
        <w:tc>
          <w:tcPr>
            <w:tcW w:w="1526" w:type="dxa"/>
            <w:vMerge/>
            <w:tcBorders>
              <w:left w:val="single" w:sz="4" w:space="0" w:color="000000"/>
              <w:right w:val="single" w:sz="4" w:space="0" w:color="000000"/>
            </w:tcBorders>
            <w:shd w:val="clear" w:color="auto" w:fill="E7E7E7"/>
          </w:tcPr>
          <w:p w14:paraId="22A287F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04714A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1EF2EA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FDE293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E00DA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3.2.S.2.5</w:t>
            </w:r>
          </w:p>
        </w:tc>
      </w:tr>
      <w:tr w:rsidR="008C76E0" w:rsidRPr="00BD7577" w14:paraId="00EA36DB" w14:textId="77777777" w:rsidTr="008C76E0">
        <w:trPr>
          <w:jc w:val="center"/>
        </w:trPr>
        <w:tc>
          <w:tcPr>
            <w:tcW w:w="1526" w:type="dxa"/>
            <w:vMerge/>
            <w:tcBorders>
              <w:left w:val="single" w:sz="4" w:space="0" w:color="000000"/>
              <w:right w:val="single" w:sz="4" w:space="0" w:color="000000"/>
            </w:tcBorders>
            <w:shd w:val="clear" w:color="auto" w:fill="E7E7E7"/>
          </w:tcPr>
          <w:p w14:paraId="31EA292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F39B97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48D3DE8"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98CDD4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C129BA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3.2.S.2.6</w:t>
            </w:r>
          </w:p>
        </w:tc>
      </w:tr>
      <w:tr w:rsidR="008C76E0" w:rsidRPr="00BD7577" w14:paraId="280A6224" w14:textId="77777777" w:rsidTr="008C76E0">
        <w:trPr>
          <w:jc w:val="center"/>
        </w:trPr>
        <w:tc>
          <w:tcPr>
            <w:tcW w:w="1526" w:type="dxa"/>
            <w:vMerge/>
            <w:tcBorders>
              <w:left w:val="single" w:sz="4" w:space="0" w:color="000000"/>
              <w:right w:val="single" w:sz="4" w:space="0" w:color="000000"/>
            </w:tcBorders>
            <w:shd w:val="clear" w:color="auto" w:fill="E7E7E7"/>
          </w:tcPr>
          <w:p w14:paraId="344713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5B95D3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33A788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52E142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3.2.S.3</w:t>
            </w:r>
          </w:p>
        </w:tc>
        <w:tc>
          <w:tcPr>
            <w:tcW w:w="2237" w:type="dxa"/>
            <w:tcBorders>
              <w:top w:val="single" w:sz="4" w:space="0" w:color="000000"/>
              <w:left w:val="single" w:sz="4" w:space="0" w:color="000000"/>
              <w:bottom w:val="single" w:sz="4" w:space="0" w:color="000000"/>
              <w:right w:val="single" w:sz="4" w:space="0" w:color="000000"/>
            </w:tcBorders>
          </w:tcPr>
          <w:p w14:paraId="53C7837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3.2.S.3.1</w:t>
            </w:r>
          </w:p>
        </w:tc>
      </w:tr>
      <w:tr w:rsidR="008C76E0" w:rsidRPr="00BD7577" w14:paraId="70A22A24" w14:textId="77777777" w:rsidTr="008C76E0">
        <w:trPr>
          <w:jc w:val="center"/>
        </w:trPr>
        <w:tc>
          <w:tcPr>
            <w:tcW w:w="1526" w:type="dxa"/>
            <w:vMerge/>
            <w:tcBorders>
              <w:left w:val="single" w:sz="4" w:space="0" w:color="000000"/>
              <w:right w:val="single" w:sz="4" w:space="0" w:color="000000"/>
            </w:tcBorders>
            <w:shd w:val="clear" w:color="auto" w:fill="E7E7E7"/>
          </w:tcPr>
          <w:p w14:paraId="3163BB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A21939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528A123"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2BA9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A56024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3.2.S.3.2</w:t>
            </w:r>
          </w:p>
        </w:tc>
      </w:tr>
      <w:tr w:rsidR="008C76E0" w:rsidRPr="00BD7577" w14:paraId="7AB2AA00" w14:textId="77777777" w:rsidTr="008C76E0">
        <w:trPr>
          <w:jc w:val="center"/>
        </w:trPr>
        <w:tc>
          <w:tcPr>
            <w:tcW w:w="1526" w:type="dxa"/>
            <w:vMerge/>
            <w:tcBorders>
              <w:left w:val="single" w:sz="4" w:space="0" w:color="000000"/>
              <w:right w:val="single" w:sz="4" w:space="0" w:color="000000"/>
            </w:tcBorders>
            <w:shd w:val="clear" w:color="auto" w:fill="E7E7E7"/>
          </w:tcPr>
          <w:p w14:paraId="1837AAC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AA060E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5B23D01"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01DB4D5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3.2.S.4</w:t>
            </w:r>
          </w:p>
        </w:tc>
        <w:tc>
          <w:tcPr>
            <w:tcW w:w="2237" w:type="dxa"/>
            <w:tcBorders>
              <w:top w:val="single" w:sz="4" w:space="0" w:color="000000"/>
              <w:left w:val="single" w:sz="4" w:space="0" w:color="000000"/>
              <w:bottom w:val="single" w:sz="4" w:space="0" w:color="000000"/>
              <w:right w:val="single" w:sz="4" w:space="0" w:color="000000"/>
            </w:tcBorders>
          </w:tcPr>
          <w:p w14:paraId="553203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3.2.S.4.1</w:t>
            </w:r>
          </w:p>
        </w:tc>
      </w:tr>
      <w:tr w:rsidR="008C76E0" w:rsidRPr="00BD7577" w14:paraId="5AE34C53" w14:textId="77777777" w:rsidTr="008C76E0">
        <w:trPr>
          <w:jc w:val="center"/>
        </w:trPr>
        <w:tc>
          <w:tcPr>
            <w:tcW w:w="1526" w:type="dxa"/>
            <w:vMerge/>
            <w:tcBorders>
              <w:left w:val="single" w:sz="4" w:space="0" w:color="000000"/>
              <w:right w:val="single" w:sz="4" w:space="0" w:color="000000"/>
            </w:tcBorders>
            <w:shd w:val="clear" w:color="auto" w:fill="E7E7E7"/>
          </w:tcPr>
          <w:p w14:paraId="3330C25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09CD66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BD91F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394B0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A53C61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3.2.S.4.2</w:t>
            </w:r>
          </w:p>
        </w:tc>
      </w:tr>
      <w:tr w:rsidR="008C76E0" w:rsidRPr="00BD7577" w14:paraId="18E3FC82" w14:textId="77777777" w:rsidTr="008C76E0">
        <w:trPr>
          <w:jc w:val="center"/>
        </w:trPr>
        <w:tc>
          <w:tcPr>
            <w:tcW w:w="1526" w:type="dxa"/>
            <w:vMerge/>
            <w:tcBorders>
              <w:left w:val="single" w:sz="4" w:space="0" w:color="000000"/>
              <w:right w:val="single" w:sz="4" w:space="0" w:color="000000"/>
            </w:tcBorders>
            <w:shd w:val="clear" w:color="auto" w:fill="E7E7E7"/>
          </w:tcPr>
          <w:p w14:paraId="5CF4028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81241A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F6E3FA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38C86D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1CCC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3.2.S.4.3</w:t>
            </w:r>
          </w:p>
        </w:tc>
      </w:tr>
      <w:tr w:rsidR="008C76E0" w:rsidRPr="00BD7577" w14:paraId="2216A125" w14:textId="77777777" w:rsidTr="008C76E0">
        <w:trPr>
          <w:jc w:val="center"/>
        </w:trPr>
        <w:tc>
          <w:tcPr>
            <w:tcW w:w="1526" w:type="dxa"/>
            <w:vMerge/>
            <w:tcBorders>
              <w:left w:val="single" w:sz="4" w:space="0" w:color="000000"/>
              <w:right w:val="single" w:sz="4" w:space="0" w:color="000000"/>
            </w:tcBorders>
            <w:shd w:val="clear" w:color="auto" w:fill="E7E7E7"/>
          </w:tcPr>
          <w:p w14:paraId="7D5AD8E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3FC8F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70CBA3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E50A2B4"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67E9B3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3.2.S.4.4</w:t>
            </w:r>
          </w:p>
        </w:tc>
      </w:tr>
      <w:tr w:rsidR="008C76E0" w:rsidRPr="00BD7577" w14:paraId="0B977AB4" w14:textId="77777777" w:rsidTr="008C76E0">
        <w:trPr>
          <w:jc w:val="center"/>
        </w:trPr>
        <w:tc>
          <w:tcPr>
            <w:tcW w:w="1526" w:type="dxa"/>
            <w:vMerge/>
            <w:tcBorders>
              <w:left w:val="single" w:sz="4" w:space="0" w:color="000000"/>
              <w:right w:val="single" w:sz="4" w:space="0" w:color="000000"/>
            </w:tcBorders>
            <w:shd w:val="clear" w:color="auto" w:fill="E7E7E7"/>
          </w:tcPr>
          <w:p w14:paraId="5930D97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212851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B88904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114EF1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B24BDF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3.2.S.4.5</w:t>
            </w:r>
          </w:p>
        </w:tc>
      </w:tr>
      <w:tr w:rsidR="008C76E0" w:rsidRPr="00BD7577" w14:paraId="2E216452" w14:textId="77777777" w:rsidTr="008C76E0">
        <w:trPr>
          <w:jc w:val="center"/>
        </w:trPr>
        <w:tc>
          <w:tcPr>
            <w:tcW w:w="1526" w:type="dxa"/>
            <w:vMerge/>
            <w:tcBorders>
              <w:left w:val="single" w:sz="4" w:space="0" w:color="000000"/>
              <w:right w:val="single" w:sz="4" w:space="0" w:color="000000"/>
            </w:tcBorders>
            <w:shd w:val="clear" w:color="auto" w:fill="E7E7E7"/>
          </w:tcPr>
          <w:p w14:paraId="4D4B0F0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38D4063"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CEBE78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11F51B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3.2.S.5</w:t>
            </w:r>
          </w:p>
        </w:tc>
        <w:tc>
          <w:tcPr>
            <w:tcW w:w="2237" w:type="dxa"/>
            <w:tcBorders>
              <w:top w:val="single" w:sz="4" w:space="0" w:color="000000"/>
              <w:left w:val="single" w:sz="4" w:space="0" w:color="000000"/>
              <w:bottom w:val="single" w:sz="4" w:space="0" w:color="000000"/>
              <w:right w:val="single" w:sz="4" w:space="0" w:color="000000"/>
            </w:tcBorders>
          </w:tcPr>
          <w:p w14:paraId="198F6BA5" w14:textId="77777777" w:rsidR="008C76E0" w:rsidRPr="00BD7577" w:rsidRDefault="008C76E0" w:rsidP="008C76E0">
            <w:pPr>
              <w:spacing w:after="120" w:line="240" w:lineRule="auto"/>
              <w:rPr>
                <w:rFonts w:ascii="Sylfaen" w:hAnsi="Sylfaen"/>
                <w:sz w:val="24"/>
                <w:szCs w:val="24"/>
              </w:rPr>
            </w:pPr>
          </w:p>
        </w:tc>
      </w:tr>
      <w:tr w:rsidR="008C76E0" w:rsidRPr="00BD7577" w14:paraId="119CDFF8" w14:textId="77777777" w:rsidTr="008C76E0">
        <w:trPr>
          <w:jc w:val="center"/>
        </w:trPr>
        <w:tc>
          <w:tcPr>
            <w:tcW w:w="1526" w:type="dxa"/>
            <w:vMerge/>
            <w:tcBorders>
              <w:left w:val="single" w:sz="4" w:space="0" w:color="000000"/>
              <w:right w:val="single" w:sz="4" w:space="0" w:color="000000"/>
            </w:tcBorders>
            <w:shd w:val="clear" w:color="auto" w:fill="E7E7E7"/>
          </w:tcPr>
          <w:p w14:paraId="52126D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7F77F0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CD0425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3C8F1D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3.2.S.6</w:t>
            </w:r>
          </w:p>
        </w:tc>
        <w:tc>
          <w:tcPr>
            <w:tcW w:w="2237" w:type="dxa"/>
            <w:tcBorders>
              <w:top w:val="single" w:sz="4" w:space="0" w:color="000000"/>
              <w:left w:val="single" w:sz="4" w:space="0" w:color="000000"/>
              <w:bottom w:val="single" w:sz="4" w:space="0" w:color="000000"/>
              <w:right w:val="single" w:sz="4" w:space="0" w:color="000000"/>
            </w:tcBorders>
          </w:tcPr>
          <w:p w14:paraId="5975A737" w14:textId="77777777" w:rsidR="008C76E0" w:rsidRPr="00BD7577" w:rsidRDefault="008C76E0" w:rsidP="008C76E0">
            <w:pPr>
              <w:spacing w:after="120" w:line="240" w:lineRule="auto"/>
              <w:rPr>
                <w:rFonts w:ascii="Sylfaen" w:hAnsi="Sylfaen"/>
                <w:sz w:val="24"/>
                <w:szCs w:val="24"/>
              </w:rPr>
            </w:pPr>
          </w:p>
        </w:tc>
      </w:tr>
      <w:tr w:rsidR="008C76E0" w:rsidRPr="00BD7577" w14:paraId="465514BA" w14:textId="77777777" w:rsidTr="008C76E0">
        <w:trPr>
          <w:jc w:val="center"/>
        </w:trPr>
        <w:tc>
          <w:tcPr>
            <w:tcW w:w="1526" w:type="dxa"/>
            <w:vMerge/>
            <w:tcBorders>
              <w:left w:val="single" w:sz="4" w:space="0" w:color="000000"/>
              <w:right w:val="single" w:sz="4" w:space="0" w:color="000000"/>
            </w:tcBorders>
            <w:shd w:val="clear" w:color="auto" w:fill="E7E7E7"/>
          </w:tcPr>
          <w:p w14:paraId="4A48F1A7"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B6B753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47CF895"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19591CC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3.2.S.7</w:t>
            </w:r>
          </w:p>
        </w:tc>
        <w:tc>
          <w:tcPr>
            <w:tcW w:w="2237" w:type="dxa"/>
            <w:tcBorders>
              <w:top w:val="single" w:sz="4" w:space="0" w:color="000000"/>
              <w:left w:val="single" w:sz="4" w:space="0" w:color="000000"/>
              <w:bottom w:val="single" w:sz="4" w:space="0" w:color="000000"/>
              <w:right w:val="single" w:sz="4" w:space="0" w:color="000000"/>
            </w:tcBorders>
          </w:tcPr>
          <w:p w14:paraId="0AB113E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3.2.S.7.1</w:t>
            </w:r>
          </w:p>
        </w:tc>
      </w:tr>
      <w:tr w:rsidR="008C76E0" w:rsidRPr="00BD7577" w14:paraId="35DB5097" w14:textId="77777777" w:rsidTr="008C76E0">
        <w:trPr>
          <w:jc w:val="center"/>
        </w:trPr>
        <w:tc>
          <w:tcPr>
            <w:tcW w:w="1526" w:type="dxa"/>
            <w:vMerge/>
            <w:tcBorders>
              <w:left w:val="single" w:sz="4" w:space="0" w:color="000000"/>
              <w:right w:val="single" w:sz="4" w:space="0" w:color="000000"/>
            </w:tcBorders>
            <w:shd w:val="clear" w:color="auto" w:fill="E7E7E7"/>
          </w:tcPr>
          <w:p w14:paraId="490909E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ACE813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401D0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A7888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2CEF0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3.2.S.7.2</w:t>
            </w:r>
          </w:p>
        </w:tc>
      </w:tr>
      <w:tr w:rsidR="008C76E0" w:rsidRPr="00BD7577" w14:paraId="0EB1BD6C" w14:textId="77777777" w:rsidTr="008C76E0">
        <w:trPr>
          <w:jc w:val="center"/>
        </w:trPr>
        <w:tc>
          <w:tcPr>
            <w:tcW w:w="1526" w:type="dxa"/>
            <w:vMerge/>
            <w:tcBorders>
              <w:left w:val="single" w:sz="4" w:space="0" w:color="000000"/>
              <w:right w:val="single" w:sz="4" w:space="0" w:color="000000"/>
            </w:tcBorders>
            <w:shd w:val="clear" w:color="auto" w:fill="E7E7E7"/>
          </w:tcPr>
          <w:p w14:paraId="39AF71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A9D0C0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5E40D9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68EA1C8A"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7855CD4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3.2.S.7.3</w:t>
            </w:r>
          </w:p>
        </w:tc>
      </w:tr>
      <w:tr w:rsidR="008C76E0" w:rsidRPr="00BD7577" w14:paraId="256EC3ED" w14:textId="77777777" w:rsidTr="008C76E0">
        <w:trPr>
          <w:jc w:val="center"/>
        </w:trPr>
        <w:tc>
          <w:tcPr>
            <w:tcW w:w="1526" w:type="dxa"/>
            <w:vMerge/>
            <w:tcBorders>
              <w:left w:val="single" w:sz="4" w:space="0" w:color="000000"/>
              <w:right w:val="single" w:sz="4" w:space="0" w:color="000000"/>
            </w:tcBorders>
            <w:shd w:val="clear" w:color="auto" w:fill="E7E7E7"/>
          </w:tcPr>
          <w:p w14:paraId="53BC7F6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1712C01"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6DB1C6B3"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w:t>
            </w:r>
            <w:r w:rsidR="00814E26" w:rsidRPr="00814E26">
              <w:rPr>
                <w:rStyle w:val="FootnoteReference"/>
                <w:rFonts w:ascii="Sylfaen" w:hAnsi="Sylfaen"/>
                <w:sz w:val="24"/>
                <w:szCs w:val="24"/>
              </w:rPr>
              <w:footnoteReference w:id="34"/>
            </w:r>
          </w:p>
        </w:tc>
        <w:tc>
          <w:tcPr>
            <w:tcW w:w="1927" w:type="dxa"/>
            <w:tcBorders>
              <w:top w:val="single" w:sz="4" w:space="0" w:color="000000"/>
              <w:left w:val="single" w:sz="4" w:space="0" w:color="000000"/>
              <w:bottom w:val="single" w:sz="4" w:space="0" w:color="000000"/>
              <w:right w:val="single" w:sz="4" w:space="0" w:color="000000"/>
            </w:tcBorders>
          </w:tcPr>
          <w:p w14:paraId="5820C4E7"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3.2.P.1</w:t>
            </w:r>
          </w:p>
        </w:tc>
        <w:tc>
          <w:tcPr>
            <w:tcW w:w="2237" w:type="dxa"/>
            <w:tcBorders>
              <w:top w:val="single" w:sz="4" w:space="0" w:color="000000"/>
              <w:left w:val="single" w:sz="4" w:space="0" w:color="000000"/>
              <w:bottom w:val="single" w:sz="4" w:space="0" w:color="000000"/>
              <w:right w:val="single" w:sz="4" w:space="0" w:color="000000"/>
            </w:tcBorders>
          </w:tcPr>
          <w:p w14:paraId="7C2EAB4E" w14:textId="77777777" w:rsidR="008C76E0" w:rsidRPr="00BD7577" w:rsidRDefault="008C76E0" w:rsidP="008C76E0">
            <w:pPr>
              <w:spacing w:after="120" w:line="240" w:lineRule="auto"/>
              <w:rPr>
                <w:rFonts w:ascii="Sylfaen" w:hAnsi="Sylfaen"/>
                <w:sz w:val="24"/>
                <w:szCs w:val="24"/>
              </w:rPr>
            </w:pPr>
          </w:p>
        </w:tc>
      </w:tr>
      <w:tr w:rsidR="008C76E0" w:rsidRPr="00BD7577" w14:paraId="216714C9" w14:textId="77777777" w:rsidTr="008C76E0">
        <w:trPr>
          <w:jc w:val="center"/>
        </w:trPr>
        <w:tc>
          <w:tcPr>
            <w:tcW w:w="1526" w:type="dxa"/>
            <w:vMerge/>
            <w:tcBorders>
              <w:left w:val="single" w:sz="4" w:space="0" w:color="000000"/>
              <w:right w:val="single" w:sz="4" w:space="0" w:color="000000"/>
            </w:tcBorders>
            <w:shd w:val="clear" w:color="auto" w:fill="E7E7E7"/>
          </w:tcPr>
          <w:p w14:paraId="255F26D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62452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B0489D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tcPr>
          <w:p w14:paraId="6829DE2A"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3.2.P.2</w:t>
            </w:r>
          </w:p>
        </w:tc>
        <w:tc>
          <w:tcPr>
            <w:tcW w:w="2237" w:type="dxa"/>
            <w:tcBorders>
              <w:top w:val="single" w:sz="4" w:space="0" w:color="000000"/>
              <w:left w:val="single" w:sz="4" w:space="0" w:color="000000"/>
              <w:bottom w:val="single" w:sz="4" w:space="0" w:color="000000"/>
              <w:right w:val="single" w:sz="4" w:space="0" w:color="000000"/>
            </w:tcBorders>
          </w:tcPr>
          <w:p w14:paraId="293CED44" w14:textId="77777777" w:rsidR="008C76E0" w:rsidRPr="00814E26" w:rsidRDefault="008C76E0" w:rsidP="00814E26">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3.2.P.2.1</w:t>
            </w:r>
            <w:r w:rsidR="00814E26" w:rsidRPr="00814E26">
              <w:rPr>
                <w:rStyle w:val="FootnoteReference"/>
                <w:rFonts w:ascii="Sylfaen" w:hAnsi="Sylfaen"/>
                <w:sz w:val="24"/>
                <w:szCs w:val="24"/>
              </w:rPr>
              <w:footnoteReference w:id="35"/>
            </w:r>
          </w:p>
        </w:tc>
      </w:tr>
      <w:tr w:rsidR="008C76E0" w:rsidRPr="00BD7577" w14:paraId="40059264" w14:textId="77777777" w:rsidTr="008C76E0">
        <w:trPr>
          <w:jc w:val="center"/>
        </w:trPr>
        <w:tc>
          <w:tcPr>
            <w:tcW w:w="1526" w:type="dxa"/>
            <w:vMerge/>
            <w:tcBorders>
              <w:left w:val="single" w:sz="4" w:space="0" w:color="000000"/>
              <w:right w:val="single" w:sz="4" w:space="0" w:color="000000"/>
            </w:tcBorders>
            <w:shd w:val="clear" w:color="auto" w:fill="E7E7E7"/>
          </w:tcPr>
          <w:p w14:paraId="0A9516A6"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92978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6CCCD5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09EF847D"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4BA741F" w14:textId="77777777" w:rsidR="008C76E0" w:rsidRPr="002239BE" w:rsidRDefault="008C76E0" w:rsidP="002239BE">
            <w:pPr>
              <w:spacing w:after="120" w:line="240" w:lineRule="auto"/>
              <w:ind w:left="102" w:right="-20"/>
              <w:rPr>
                <w:rFonts w:ascii="Sylfaen" w:eastAsia="Times New Roman" w:hAnsi="Sylfaen" w:cs="Times New Roman"/>
                <w:sz w:val="24"/>
                <w:szCs w:val="24"/>
                <w:lang w:val="en-US"/>
              </w:rPr>
            </w:pPr>
            <w:r w:rsidRPr="00814E26">
              <w:rPr>
                <w:rFonts w:ascii="Sylfaen" w:hAnsi="Sylfaen"/>
                <w:sz w:val="24"/>
                <w:szCs w:val="24"/>
              </w:rPr>
              <w:t>3.2.P. 2.2</w:t>
            </w:r>
          </w:p>
        </w:tc>
      </w:tr>
      <w:tr w:rsidR="008C76E0" w:rsidRPr="00BD7577" w14:paraId="3E53B357" w14:textId="77777777" w:rsidTr="008C76E0">
        <w:trPr>
          <w:jc w:val="center"/>
        </w:trPr>
        <w:tc>
          <w:tcPr>
            <w:tcW w:w="1526" w:type="dxa"/>
            <w:vMerge/>
            <w:tcBorders>
              <w:left w:val="single" w:sz="4" w:space="0" w:color="000000"/>
              <w:right w:val="single" w:sz="4" w:space="0" w:color="000000"/>
            </w:tcBorders>
            <w:shd w:val="clear" w:color="auto" w:fill="E7E7E7"/>
          </w:tcPr>
          <w:p w14:paraId="30CDEAF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6BB90A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4A9DD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3B251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AF2C3F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3.2.P.2.3</w:t>
            </w:r>
          </w:p>
        </w:tc>
      </w:tr>
      <w:tr w:rsidR="008C76E0" w:rsidRPr="00BD7577" w14:paraId="33647841" w14:textId="77777777" w:rsidTr="008C76E0">
        <w:trPr>
          <w:jc w:val="center"/>
        </w:trPr>
        <w:tc>
          <w:tcPr>
            <w:tcW w:w="1526" w:type="dxa"/>
            <w:vMerge/>
            <w:tcBorders>
              <w:left w:val="single" w:sz="4" w:space="0" w:color="000000"/>
              <w:right w:val="single" w:sz="4" w:space="0" w:color="000000"/>
            </w:tcBorders>
            <w:shd w:val="clear" w:color="auto" w:fill="E7E7E7"/>
          </w:tcPr>
          <w:p w14:paraId="2C13F2B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4521AD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CDD4A5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407A562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0471E5C"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3.2.P.2.4</w:t>
            </w:r>
          </w:p>
        </w:tc>
      </w:tr>
      <w:tr w:rsidR="008C76E0" w:rsidRPr="00BD7577" w14:paraId="70937CB9" w14:textId="77777777" w:rsidTr="008C76E0">
        <w:trPr>
          <w:jc w:val="center"/>
        </w:trPr>
        <w:tc>
          <w:tcPr>
            <w:tcW w:w="1526" w:type="dxa"/>
            <w:vMerge/>
            <w:tcBorders>
              <w:left w:val="single" w:sz="4" w:space="0" w:color="000000"/>
              <w:right w:val="single" w:sz="4" w:space="0" w:color="000000"/>
            </w:tcBorders>
            <w:shd w:val="clear" w:color="auto" w:fill="E7E7E7"/>
          </w:tcPr>
          <w:p w14:paraId="30661E5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8A7E44C"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BEE23E2"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tcPr>
          <w:p w14:paraId="39E35AA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18E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3.2.P.2.5</w:t>
            </w:r>
          </w:p>
        </w:tc>
      </w:tr>
      <w:tr w:rsidR="008C76E0" w:rsidRPr="00BD7577" w14:paraId="38C45618" w14:textId="77777777" w:rsidTr="008C76E0">
        <w:trPr>
          <w:jc w:val="center"/>
        </w:trPr>
        <w:tc>
          <w:tcPr>
            <w:tcW w:w="1526" w:type="dxa"/>
            <w:vMerge/>
            <w:tcBorders>
              <w:left w:val="single" w:sz="4" w:space="0" w:color="000000"/>
              <w:right w:val="single" w:sz="4" w:space="0" w:color="000000"/>
            </w:tcBorders>
            <w:shd w:val="clear" w:color="auto" w:fill="E7E7E7"/>
          </w:tcPr>
          <w:p w14:paraId="6524C75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F00DB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EF2B25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tcPr>
          <w:p w14:paraId="6FB0ADD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808E8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3.2.P.2.6</w:t>
            </w:r>
          </w:p>
        </w:tc>
      </w:tr>
      <w:tr w:rsidR="008C76E0" w:rsidRPr="00BD7577" w14:paraId="00F61EDD" w14:textId="77777777" w:rsidTr="008C76E0">
        <w:trPr>
          <w:jc w:val="center"/>
        </w:trPr>
        <w:tc>
          <w:tcPr>
            <w:tcW w:w="1526" w:type="dxa"/>
            <w:vMerge/>
            <w:tcBorders>
              <w:left w:val="single" w:sz="4" w:space="0" w:color="000000"/>
              <w:right w:val="single" w:sz="4" w:space="0" w:color="000000"/>
            </w:tcBorders>
            <w:shd w:val="clear" w:color="auto" w:fill="E7E7E7"/>
          </w:tcPr>
          <w:p w14:paraId="5F27B02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9ED0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7A8AEB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D42D561"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3.2.P.3</w:t>
            </w:r>
          </w:p>
        </w:tc>
        <w:tc>
          <w:tcPr>
            <w:tcW w:w="2237" w:type="dxa"/>
            <w:tcBorders>
              <w:top w:val="single" w:sz="4" w:space="0" w:color="000000"/>
              <w:left w:val="single" w:sz="4" w:space="0" w:color="000000"/>
              <w:bottom w:val="single" w:sz="4" w:space="0" w:color="000000"/>
              <w:right w:val="single" w:sz="4" w:space="0" w:color="000000"/>
            </w:tcBorders>
          </w:tcPr>
          <w:p w14:paraId="6800C79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3.2.P.3.1</w:t>
            </w:r>
          </w:p>
        </w:tc>
      </w:tr>
      <w:tr w:rsidR="008C76E0" w:rsidRPr="00BD7577" w14:paraId="2397BDDD" w14:textId="77777777" w:rsidTr="008C76E0">
        <w:trPr>
          <w:jc w:val="center"/>
        </w:trPr>
        <w:tc>
          <w:tcPr>
            <w:tcW w:w="1526" w:type="dxa"/>
            <w:vMerge/>
            <w:tcBorders>
              <w:left w:val="single" w:sz="4" w:space="0" w:color="000000"/>
              <w:right w:val="single" w:sz="4" w:space="0" w:color="000000"/>
            </w:tcBorders>
            <w:shd w:val="clear" w:color="auto" w:fill="E7E7E7"/>
          </w:tcPr>
          <w:p w14:paraId="7D0AB56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DF698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7BE004FB"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C2C0013"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F0BD2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3.2.P.3.2</w:t>
            </w:r>
          </w:p>
        </w:tc>
      </w:tr>
      <w:tr w:rsidR="008C76E0" w:rsidRPr="00BD7577" w14:paraId="2104E064" w14:textId="77777777" w:rsidTr="008C76E0">
        <w:trPr>
          <w:jc w:val="center"/>
        </w:trPr>
        <w:tc>
          <w:tcPr>
            <w:tcW w:w="1526" w:type="dxa"/>
            <w:vMerge/>
            <w:tcBorders>
              <w:left w:val="single" w:sz="4" w:space="0" w:color="000000"/>
              <w:right w:val="single" w:sz="4" w:space="0" w:color="000000"/>
            </w:tcBorders>
            <w:shd w:val="clear" w:color="auto" w:fill="E7E7E7"/>
          </w:tcPr>
          <w:p w14:paraId="0F5B8BB3"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60AFF4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EF06245"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56F6C73C"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4461E4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3.2.P.3.3</w:t>
            </w:r>
          </w:p>
        </w:tc>
      </w:tr>
      <w:tr w:rsidR="008C76E0" w:rsidRPr="00BD7577" w14:paraId="5354243C" w14:textId="77777777" w:rsidTr="008C76E0">
        <w:trPr>
          <w:trHeight w:val="544"/>
          <w:jc w:val="center"/>
        </w:trPr>
        <w:tc>
          <w:tcPr>
            <w:tcW w:w="1526" w:type="dxa"/>
            <w:vMerge/>
            <w:tcBorders>
              <w:left w:val="single" w:sz="4" w:space="0" w:color="000000"/>
              <w:right w:val="single" w:sz="4" w:space="0" w:color="000000"/>
            </w:tcBorders>
            <w:shd w:val="clear" w:color="auto" w:fill="E7E7E7"/>
          </w:tcPr>
          <w:p w14:paraId="53211832"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7AA15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2F55F60"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6A58915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2CC513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3.2.P.3.4</w:t>
            </w:r>
          </w:p>
        </w:tc>
      </w:tr>
      <w:tr w:rsidR="008C76E0" w:rsidRPr="00BD7577" w14:paraId="189D19BC" w14:textId="77777777" w:rsidTr="008C76E0">
        <w:trPr>
          <w:jc w:val="center"/>
        </w:trPr>
        <w:tc>
          <w:tcPr>
            <w:tcW w:w="1526" w:type="dxa"/>
            <w:vMerge/>
            <w:tcBorders>
              <w:left w:val="single" w:sz="4" w:space="0" w:color="000000"/>
              <w:right w:val="single" w:sz="4" w:space="0" w:color="000000"/>
            </w:tcBorders>
            <w:shd w:val="clear" w:color="auto" w:fill="E7E7E7"/>
          </w:tcPr>
          <w:p w14:paraId="5DFF04A9"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B62B2B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46E0E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28D18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1FA410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3.2.P.3.5</w:t>
            </w:r>
          </w:p>
        </w:tc>
      </w:tr>
      <w:tr w:rsidR="008C76E0" w:rsidRPr="00BD7577" w14:paraId="7F942307" w14:textId="77777777" w:rsidTr="008C76E0">
        <w:trPr>
          <w:jc w:val="center"/>
        </w:trPr>
        <w:tc>
          <w:tcPr>
            <w:tcW w:w="1526" w:type="dxa"/>
            <w:vMerge/>
            <w:tcBorders>
              <w:left w:val="single" w:sz="4" w:space="0" w:color="000000"/>
              <w:right w:val="single" w:sz="4" w:space="0" w:color="000000"/>
            </w:tcBorders>
            <w:shd w:val="clear" w:color="auto" w:fill="E7E7E7"/>
          </w:tcPr>
          <w:p w14:paraId="5DF10E9F"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03CAD4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7599E9E"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426C96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3.2.P.4</w:t>
            </w:r>
          </w:p>
        </w:tc>
        <w:tc>
          <w:tcPr>
            <w:tcW w:w="2237" w:type="dxa"/>
            <w:tcBorders>
              <w:top w:val="single" w:sz="4" w:space="0" w:color="000000"/>
              <w:left w:val="single" w:sz="4" w:space="0" w:color="000000"/>
              <w:bottom w:val="single" w:sz="4" w:space="0" w:color="000000"/>
              <w:right w:val="single" w:sz="4" w:space="0" w:color="000000"/>
            </w:tcBorders>
          </w:tcPr>
          <w:p w14:paraId="3F0A0CA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3.2.P.4.1</w:t>
            </w:r>
          </w:p>
        </w:tc>
      </w:tr>
      <w:tr w:rsidR="008C76E0" w:rsidRPr="00BD7577" w14:paraId="32FF5B71" w14:textId="77777777" w:rsidTr="008C76E0">
        <w:trPr>
          <w:jc w:val="center"/>
        </w:trPr>
        <w:tc>
          <w:tcPr>
            <w:tcW w:w="1526" w:type="dxa"/>
            <w:vMerge/>
            <w:tcBorders>
              <w:left w:val="single" w:sz="4" w:space="0" w:color="000000"/>
              <w:right w:val="single" w:sz="4" w:space="0" w:color="000000"/>
            </w:tcBorders>
            <w:shd w:val="clear" w:color="auto" w:fill="E7E7E7"/>
          </w:tcPr>
          <w:p w14:paraId="7110C4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B5D6645"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929350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7CE3AD0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5719F7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3.2.P.4.2</w:t>
            </w:r>
          </w:p>
        </w:tc>
      </w:tr>
      <w:tr w:rsidR="008C76E0" w:rsidRPr="00BD7577" w14:paraId="1C531D5C" w14:textId="77777777" w:rsidTr="008C76E0">
        <w:trPr>
          <w:jc w:val="center"/>
        </w:trPr>
        <w:tc>
          <w:tcPr>
            <w:tcW w:w="1526" w:type="dxa"/>
            <w:vMerge/>
            <w:tcBorders>
              <w:left w:val="single" w:sz="4" w:space="0" w:color="000000"/>
              <w:right w:val="single" w:sz="4" w:space="0" w:color="000000"/>
            </w:tcBorders>
            <w:shd w:val="clear" w:color="auto" w:fill="E7E7E7"/>
          </w:tcPr>
          <w:p w14:paraId="0963D54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55F97C0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17E8B7"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3479BF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D36D9E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3.2.P.4.3</w:t>
            </w:r>
          </w:p>
        </w:tc>
      </w:tr>
      <w:tr w:rsidR="008C76E0" w:rsidRPr="00BD7577" w14:paraId="48ADD533" w14:textId="77777777" w:rsidTr="008C76E0">
        <w:trPr>
          <w:jc w:val="center"/>
        </w:trPr>
        <w:tc>
          <w:tcPr>
            <w:tcW w:w="1526" w:type="dxa"/>
            <w:vMerge/>
            <w:tcBorders>
              <w:left w:val="single" w:sz="4" w:space="0" w:color="000000"/>
              <w:right w:val="single" w:sz="4" w:space="0" w:color="000000"/>
            </w:tcBorders>
            <w:shd w:val="clear" w:color="auto" w:fill="E7E7E7"/>
          </w:tcPr>
          <w:p w14:paraId="3B9A181B"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219B9A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98E7FE4"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ACD2A5E"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DF182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3.2.P.4.4</w:t>
            </w:r>
          </w:p>
        </w:tc>
      </w:tr>
      <w:tr w:rsidR="008C76E0" w:rsidRPr="00BD7577" w14:paraId="4F0C4FB0" w14:textId="77777777" w:rsidTr="008C76E0">
        <w:trPr>
          <w:jc w:val="center"/>
        </w:trPr>
        <w:tc>
          <w:tcPr>
            <w:tcW w:w="1526" w:type="dxa"/>
            <w:vMerge/>
            <w:tcBorders>
              <w:left w:val="single" w:sz="4" w:space="0" w:color="000000"/>
              <w:right w:val="single" w:sz="4" w:space="0" w:color="000000"/>
            </w:tcBorders>
            <w:shd w:val="clear" w:color="auto" w:fill="E7E7E7"/>
          </w:tcPr>
          <w:p w14:paraId="4FD8E13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4E45C796"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6606AAF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28D8DD8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22B684A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3.2.P.4.5</w:t>
            </w:r>
          </w:p>
        </w:tc>
      </w:tr>
      <w:tr w:rsidR="008C76E0" w:rsidRPr="00BD7577" w14:paraId="69706704" w14:textId="77777777" w:rsidTr="008C76E0">
        <w:trPr>
          <w:jc w:val="center"/>
        </w:trPr>
        <w:tc>
          <w:tcPr>
            <w:tcW w:w="1526" w:type="dxa"/>
            <w:vMerge/>
            <w:tcBorders>
              <w:left w:val="single" w:sz="4" w:space="0" w:color="000000"/>
              <w:right w:val="single" w:sz="4" w:space="0" w:color="000000"/>
            </w:tcBorders>
            <w:shd w:val="clear" w:color="auto" w:fill="E7E7E7"/>
          </w:tcPr>
          <w:p w14:paraId="2659FC4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65306531"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CA6FF7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DA42D75"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E70D3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3.2.P.4.6</w:t>
            </w:r>
          </w:p>
        </w:tc>
      </w:tr>
      <w:tr w:rsidR="008C76E0" w:rsidRPr="00BD7577" w14:paraId="11F06219" w14:textId="77777777" w:rsidTr="008C76E0">
        <w:trPr>
          <w:trHeight w:val="508"/>
          <w:jc w:val="center"/>
        </w:trPr>
        <w:tc>
          <w:tcPr>
            <w:tcW w:w="1526" w:type="dxa"/>
            <w:vMerge/>
            <w:tcBorders>
              <w:left w:val="single" w:sz="4" w:space="0" w:color="000000"/>
              <w:right w:val="single" w:sz="4" w:space="0" w:color="000000"/>
            </w:tcBorders>
            <w:shd w:val="clear" w:color="auto" w:fill="E7E7E7"/>
          </w:tcPr>
          <w:p w14:paraId="182CF765"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1BA999"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10460623"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9661EF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3.2.P.5</w:t>
            </w:r>
          </w:p>
        </w:tc>
        <w:tc>
          <w:tcPr>
            <w:tcW w:w="2237" w:type="dxa"/>
            <w:tcBorders>
              <w:top w:val="single" w:sz="4" w:space="0" w:color="000000"/>
              <w:left w:val="single" w:sz="4" w:space="0" w:color="000000"/>
              <w:bottom w:val="single" w:sz="4" w:space="0" w:color="000000"/>
              <w:right w:val="single" w:sz="4" w:space="0" w:color="000000"/>
            </w:tcBorders>
          </w:tcPr>
          <w:p w14:paraId="0DBFCB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3.2.P.5.1</w:t>
            </w:r>
          </w:p>
        </w:tc>
      </w:tr>
      <w:tr w:rsidR="008C76E0" w:rsidRPr="00BD7577" w14:paraId="7CA8FE79" w14:textId="77777777" w:rsidTr="008C76E0">
        <w:trPr>
          <w:jc w:val="center"/>
        </w:trPr>
        <w:tc>
          <w:tcPr>
            <w:tcW w:w="1526" w:type="dxa"/>
            <w:vMerge/>
            <w:tcBorders>
              <w:left w:val="single" w:sz="4" w:space="0" w:color="000000"/>
              <w:right w:val="single" w:sz="4" w:space="0" w:color="000000"/>
            </w:tcBorders>
            <w:shd w:val="clear" w:color="auto" w:fill="E7E7E7"/>
          </w:tcPr>
          <w:p w14:paraId="4DF0215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03AD7C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3C758FDE"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051CFA9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3C521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3.2.P.5.2</w:t>
            </w:r>
          </w:p>
        </w:tc>
      </w:tr>
      <w:tr w:rsidR="008C76E0" w:rsidRPr="00BD7577" w14:paraId="550C8CD7" w14:textId="77777777" w:rsidTr="008C76E0">
        <w:trPr>
          <w:trHeight w:val="465"/>
          <w:jc w:val="center"/>
        </w:trPr>
        <w:tc>
          <w:tcPr>
            <w:tcW w:w="1526" w:type="dxa"/>
            <w:vMerge/>
            <w:tcBorders>
              <w:left w:val="single" w:sz="4" w:space="0" w:color="000000"/>
              <w:right w:val="single" w:sz="4" w:space="0" w:color="000000"/>
            </w:tcBorders>
            <w:shd w:val="clear" w:color="auto" w:fill="E7E7E7"/>
          </w:tcPr>
          <w:p w14:paraId="7A375CF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8F771FD"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07DCB82D"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399251D7"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D5A87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3.2.P.5.3</w:t>
            </w:r>
          </w:p>
        </w:tc>
      </w:tr>
      <w:tr w:rsidR="008C76E0" w:rsidRPr="00BD7577" w14:paraId="7784467D" w14:textId="77777777" w:rsidTr="008C76E0">
        <w:trPr>
          <w:trHeight w:val="531"/>
          <w:jc w:val="center"/>
        </w:trPr>
        <w:tc>
          <w:tcPr>
            <w:tcW w:w="1526" w:type="dxa"/>
            <w:vMerge/>
            <w:tcBorders>
              <w:left w:val="single" w:sz="4" w:space="0" w:color="000000"/>
              <w:bottom w:val="single" w:sz="4" w:space="0" w:color="000000"/>
              <w:right w:val="single" w:sz="4" w:space="0" w:color="000000"/>
            </w:tcBorders>
            <w:shd w:val="clear" w:color="auto" w:fill="E7E7E7"/>
          </w:tcPr>
          <w:p w14:paraId="5D840A6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2D907D72"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1B293856"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1762FE6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4BC59F7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3.2.P.5.4</w:t>
            </w:r>
          </w:p>
        </w:tc>
      </w:tr>
      <w:tr w:rsidR="008C76E0" w:rsidRPr="00BD7577" w14:paraId="4D1E9942"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28911F93"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62750F1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3FD194AA"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66412262"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BD107A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3.2.P.5.5</w:t>
            </w:r>
          </w:p>
        </w:tc>
      </w:tr>
      <w:tr w:rsidR="008C76E0" w:rsidRPr="00BD7577" w14:paraId="60BC3984" w14:textId="77777777" w:rsidTr="008C76E0">
        <w:trPr>
          <w:jc w:val="center"/>
        </w:trPr>
        <w:tc>
          <w:tcPr>
            <w:tcW w:w="1526" w:type="dxa"/>
            <w:vMerge/>
            <w:tcBorders>
              <w:left w:val="single" w:sz="4" w:space="0" w:color="000000"/>
              <w:right w:val="single" w:sz="4" w:space="0" w:color="000000"/>
            </w:tcBorders>
            <w:shd w:val="clear" w:color="auto" w:fill="E7E7E7"/>
          </w:tcPr>
          <w:p w14:paraId="29EA56DD"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1E13269E"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5FBD3611"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78D00CA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6081704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3.2.P.5.6</w:t>
            </w:r>
          </w:p>
        </w:tc>
      </w:tr>
      <w:tr w:rsidR="008C76E0" w:rsidRPr="00BD7577" w14:paraId="3A74A5D8" w14:textId="77777777" w:rsidTr="008C76E0">
        <w:trPr>
          <w:jc w:val="center"/>
        </w:trPr>
        <w:tc>
          <w:tcPr>
            <w:tcW w:w="1526" w:type="dxa"/>
            <w:vMerge/>
            <w:tcBorders>
              <w:left w:val="single" w:sz="4" w:space="0" w:color="000000"/>
              <w:right w:val="single" w:sz="4" w:space="0" w:color="000000"/>
            </w:tcBorders>
            <w:shd w:val="clear" w:color="auto" w:fill="E7E7E7"/>
          </w:tcPr>
          <w:p w14:paraId="2FF756D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3ECC5B4A"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0D6FB27"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26DD5C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3.2.P.6</w:t>
            </w:r>
          </w:p>
        </w:tc>
        <w:tc>
          <w:tcPr>
            <w:tcW w:w="2237" w:type="dxa"/>
            <w:tcBorders>
              <w:top w:val="single" w:sz="4" w:space="0" w:color="000000"/>
              <w:left w:val="single" w:sz="4" w:space="0" w:color="000000"/>
              <w:bottom w:val="single" w:sz="4" w:space="0" w:color="000000"/>
              <w:right w:val="single" w:sz="4" w:space="0" w:color="000000"/>
            </w:tcBorders>
          </w:tcPr>
          <w:p w14:paraId="1AAEAECD" w14:textId="77777777" w:rsidR="008C76E0" w:rsidRPr="00BD7577" w:rsidRDefault="008C76E0" w:rsidP="008C76E0">
            <w:pPr>
              <w:spacing w:after="120" w:line="240" w:lineRule="auto"/>
              <w:rPr>
                <w:rFonts w:ascii="Sylfaen" w:hAnsi="Sylfaen"/>
                <w:sz w:val="24"/>
                <w:szCs w:val="24"/>
              </w:rPr>
            </w:pPr>
          </w:p>
        </w:tc>
      </w:tr>
      <w:tr w:rsidR="008C76E0" w:rsidRPr="00BD7577" w14:paraId="6C425101" w14:textId="77777777" w:rsidTr="008C76E0">
        <w:trPr>
          <w:jc w:val="center"/>
        </w:trPr>
        <w:tc>
          <w:tcPr>
            <w:tcW w:w="1526" w:type="dxa"/>
            <w:vMerge/>
            <w:tcBorders>
              <w:left w:val="single" w:sz="4" w:space="0" w:color="000000"/>
              <w:bottom w:val="single" w:sz="4" w:space="0" w:color="000000"/>
              <w:right w:val="single" w:sz="4" w:space="0" w:color="000000"/>
            </w:tcBorders>
            <w:shd w:val="clear" w:color="auto" w:fill="E7E7E7"/>
          </w:tcPr>
          <w:p w14:paraId="280B323A"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50929DFB"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3C387E4"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1F410A46"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3.2.P.7</w:t>
            </w:r>
          </w:p>
        </w:tc>
        <w:tc>
          <w:tcPr>
            <w:tcW w:w="2237" w:type="dxa"/>
            <w:tcBorders>
              <w:top w:val="single" w:sz="4" w:space="0" w:color="000000"/>
              <w:left w:val="single" w:sz="4" w:space="0" w:color="000000"/>
              <w:bottom w:val="single" w:sz="4" w:space="0" w:color="000000"/>
              <w:right w:val="single" w:sz="4" w:space="0" w:color="000000"/>
            </w:tcBorders>
          </w:tcPr>
          <w:p w14:paraId="1D33EE1B" w14:textId="77777777" w:rsidR="008C76E0" w:rsidRPr="00BD7577" w:rsidRDefault="008C76E0" w:rsidP="008C76E0">
            <w:pPr>
              <w:spacing w:after="120" w:line="240" w:lineRule="auto"/>
              <w:rPr>
                <w:rFonts w:ascii="Sylfaen" w:hAnsi="Sylfaen"/>
                <w:sz w:val="24"/>
                <w:szCs w:val="24"/>
              </w:rPr>
            </w:pPr>
          </w:p>
        </w:tc>
      </w:tr>
      <w:tr w:rsidR="008C76E0" w:rsidRPr="00BD7577" w14:paraId="48804586" w14:textId="77777777" w:rsidTr="008C76E0">
        <w:trPr>
          <w:jc w:val="center"/>
        </w:trPr>
        <w:tc>
          <w:tcPr>
            <w:tcW w:w="1526" w:type="dxa"/>
            <w:vMerge w:val="restart"/>
            <w:tcBorders>
              <w:top w:val="single" w:sz="4" w:space="0" w:color="000000"/>
              <w:left w:val="single" w:sz="4" w:space="0" w:color="000000"/>
              <w:right w:val="single" w:sz="4" w:space="0" w:color="000000"/>
            </w:tcBorders>
            <w:shd w:val="clear" w:color="auto" w:fill="E7E7E7"/>
          </w:tcPr>
          <w:p w14:paraId="472A9357"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single" w:sz="4" w:space="0" w:color="000000"/>
              <w:left w:val="single" w:sz="4" w:space="0" w:color="000000"/>
              <w:right w:val="single" w:sz="4" w:space="0" w:color="000000"/>
            </w:tcBorders>
            <w:shd w:val="clear" w:color="auto" w:fill="E7E7E7"/>
          </w:tcPr>
          <w:p w14:paraId="476353BC"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4890390D" w14:textId="77777777" w:rsidR="008C76E0" w:rsidRPr="00BD7577" w:rsidRDefault="008C76E0" w:rsidP="008C76E0">
            <w:pPr>
              <w:spacing w:after="120" w:line="240" w:lineRule="auto"/>
              <w:rPr>
                <w:rFonts w:ascii="Sylfaen" w:hAnsi="Sylfaen"/>
                <w:sz w:val="24"/>
                <w:szCs w:val="24"/>
              </w:rPr>
            </w:pPr>
          </w:p>
        </w:tc>
        <w:tc>
          <w:tcPr>
            <w:tcW w:w="1927" w:type="dxa"/>
            <w:vMerge w:val="restart"/>
            <w:tcBorders>
              <w:top w:val="single" w:sz="4" w:space="0" w:color="000000"/>
              <w:left w:val="single" w:sz="4" w:space="0" w:color="000000"/>
              <w:right w:val="single" w:sz="4" w:space="0" w:color="000000"/>
            </w:tcBorders>
            <w:shd w:val="clear" w:color="auto" w:fill="E7E7E7"/>
          </w:tcPr>
          <w:p w14:paraId="5FE974D2"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3.2.P.8</w:t>
            </w:r>
          </w:p>
        </w:tc>
        <w:tc>
          <w:tcPr>
            <w:tcW w:w="2237" w:type="dxa"/>
            <w:tcBorders>
              <w:top w:val="single" w:sz="4" w:space="0" w:color="000000"/>
              <w:left w:val="single" w:sz="4" w:space="0" w:color="000000"/>
              <w:bottom w:val="single" w:sz="4" w:space="0" w:color="000000"/>
              <w:right w:val="single" w:sz="4" w:space="0" w:color="000000"/>
            </w:tcBorders>
          </w:tcPr>
          <w:p w14:paraId="1A3398F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3.2.P.8.1</w:t>
            </w:r>
          </w:p>
        </w:tc>
      </w:tr>
      <w:tr w:rsidR="008C76E0" w:rsidRPr="00BD7577" w14:paraId="0428E074" w14:textId="77777777" w:rsidTr="008C76E0">
        <w:trPr>
          <w:trHeight w:val="608"/>
          <w:jc w:val="center"/>
        </w:trPr>
        <w:tc>
          <w:tcPr>
            <w:tcW w:w="1526" w:type="dxa"/>
            <w:vMerge/>
            <w:tcBorders>
              <w:left w:val="single" w:sz="4" w:space="0" w:color="000000"/>
              <w:right w:val="single" w:sz="4" w:space="0" w:color="000000"/>
            </w:tcBorders>
            <w:shd w:val="clear" w:color="auto" w:fill="E7E7E7"/>
          </w:tcPr>
          <w:p w14:paraId="7BF800F0"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4490087"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2FA6394C"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right w:val="single" w:sz="4" w:space="0" w:color="000000"/>
            </w:tcBorders>
            <w:shd w:val="clear" w:color="auto" w:fill="E7E7E7"/>
          </w:tcPr>
          <w:p w14:paraId="16F0F500"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4F3B30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3.2.P.8.2</w:t>
            </w:r>
          </w:p>
        </w:tc>
      </w:tr>
      <w:tr w:rsidR="008C76E0" w:rsidRPr="00BD7577" w14:paraId="1B75CBE1"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2F3776BE"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nil"/>
              <w:right w:val="single" w:sz="4" w:space="0" w:color="000000"/>
            </w:tcBorders>
            <w:shd w:val="clear" w:color="auto" w:fill="E7E7E7"/>
          </w:tcPr>
          <w:p w14:paraId="7DD31E20"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2737C04A" w14:textId="77777777" w:rsidR="008C76E0" w:rsidRPr="00BD7577" w:rsidRDefault="008C76E0" w:rsidP="008C76E0">
            <w:pPr>
              <w:spacing w:after="120" w:line="240" w:lineRule="auto"/>
              <w:rPr>
                <w:rFonts w:ascii="Sylfaen" w:hAnsi="Sylfaen"/>
                <w:sz w:val="24"/>
                <w:szCs w:val="24"/>
              </w:rPr>
            </w:pPr>
          </w:p>
        </w:tc>
        <w:tc>
          <w:tcPr>
            <w:tcW w:w="1927" w:type="dxa"/>
            <w:vMerge/>
            <w:tcBorders>
              <w:left w:val="single" w:sz="4" w:space="0" w:color="000000"/>
              <w:bottom w:val="single" w:sz="4" w:space="0" w:color="000000"/>
              <w:right w:val="single" w:sz="4" w:space="0" w:color="000000"/>
            </w:tcBorders>
            <w:shd w:val="clear" w:color="auto" w:fill="E7E7E7"/>
          </w:tcPr>
          <w:p w14:paraId="20D8AABB"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331A853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3.2.P.8.3</w:t>
            </w:r>
          </w:p>
        </w:tc>
      </w:tr>
      <w:tr w:rsidR="008C76E0" w:rsidRPr="00BD7577" w14:paraId="25B730F3" w14:textId="77777777" w:rsidTr="008C76E0">
        <w:trPr>
          <w:trHeight w:val="515"/>
          <w:jc w:val="center"/>
        </w:trPr>
        <w:tc>
          <w:tcPr>
            <w:tcW w:w="1526" w:type="dxa"/>
            <w:vMerge w:val="restart"/>
            <w:tcBorders>
              <w:top w:val="nil"/>
              <w:left w:val="single" w:sz="4" w:space="0" w:color="000000"/>
              <w:right w:val="single" w:sz="4" w:space="0" w:color="000000"/>
            </w:tcBorders>
            <w:shd w:val="clear" w:color="auto" w:fill="E7E7E7"/>
          </w:tcPr>
          <w:p w14:paraId="111B26FF" w14:textId="77777777" w:rsidR="008C76E0" w:rsidRPr="00BD7577" w:rsidRDefault="008C76E0" w:rsidP="008C76E0">
            <w:pPr>
              <w:spacing w:after="120" w:line="240" w:lineRule="auto"/>
              <w:rPr>
                <w:rFonts w:ascii="Sylfaen" w:hAnsi="Sylfaen"/>
                <w:sz w:val="24"/>
                <w:szCs w:val="24"/>
              </w:rPr>
            </w:pPr>
          </w:p>
        </w:tc>
        <w:tc>
          <w:tcPr>
            <w:tcW w:w="1154" w:type="dxa"/>
            <w:vMerge w:val="restart"/>
            <w:tcBorders>
              <w:top w:val="nil"/>
              <w:left w:val="single" w:sz="4" w:space="0" w:color="000000"/>
              <w:right w:val="single" w:sz="4" w:space="0" w:color="000000"/>
            </w:tcBorders>
            <w:shd w:val="clear" w:color="auto" w:fill="E7E7E7"/>
          </w:tcPr>
          <w:p w14:paraId="59B3B736" w14:textId="77777777" w:rsidR="008C76E0" w:rsidRPr="00BD7577" w:rsidRDefault="008C76E0" w:rsidP="008C76E0">
            <w:pPr>
              <w:spacing w:after="120" w:line="240" w:lineRule="auto"/>
              <w:rPr>
                <w:rFonts w:ascii="Sylfaen" w:hAnsi="Sylfaen"/>
                <w:sz w:val="24"/>
                <w:szCs w:val="24"/>
              </w:rPr>
            </w:pPr>
          </w:p>
        </w:tc>
        <w:tc>
          <w:tcPr>
            <w:tcW w:w="2815" w:type="dxa"/>
            <w:vMerge w:val="restart"/>
            <w:tcBorders>
              <w:top w:val="single" w:sz="4" w:space="0" w:color="000000"/>
              <w:left w:val="single" w:sz="4" w:space="0" w:color="000000"/>
              <w:right w:val="single" w:sz="4" w:space="0" w:color="000000"/>
            </w:tcBorders>
            <w:shd w:val="clear" w:color="auto" w:fill="E7E7E7"/>
          </w:tcPr>
          <w:p w14:paraId="5E8883C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3.2.A</w:t>
            </w:r>
          </w:p>
        </w:tc>
        <w:tc>
          <w:tcPr>
            <w:tcW w:w="1927" w:type="dxa"/>
            <w:tcBorders>
              <w:top w:val="single" w:sz="4" w:space="0" w:color="000000"/>
              <w:left w:val="single" w:sz="4" w:space="0" w:color="000000"/>
              <w:bottom w:val="single" w:sz="4" w:space="0" w:color="000000"/>
              <w:right w:val="single" w:sz="4" w:space="0" w:color="000000"/>
            </w:tcBorders>
          </w:tcPr>
          <w:p w14:paraId="36338DF5"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3.2.A.1</w:t>
            </w:r>
          </w:p>
        </w:tc>
        <w:tc>
          <w:tcPr>
            <w:tcW w:w="2237" w:type="dxa"/>
            <w:tcBorders>
              <w:top w:val="single" w:sz="4" w:space="0" w:color="000000"/>
              <w:left w:val="single" w:sz="4" w:space="0" w:color="000000"/>
              <w:bottom w:val="single" w:sz="4" w:space="0" w:color="000000"/>
              <w:right w:val="single" w:sz="4" w:space="0" w:color="000000"/>
            </w:tcBorders>
          </w:tcPr>
          <w:p w14:paraId="72D9B9BB" w14:textId="77777777" w:rsidR="008C76E0" w:rsidRPr="00BD7577" w:rsidRDefault="008C76E0" w:rsidP="008C76E0">
            <w:pPr>
              <w:spacing w:after="120" w:line="240" w:lineRule="auto"/>
              <w:rPr>
                <w:rFonts w:ascii="Sylfaen" w:hAnsi="Sylfaen"/>
                <w:sz w:val="24"/>
                <w:szCs w:val="24"/>
              </w:rPr>
            </w:pPr>
          </w:p>
        </w:tc>
      </w:tr>
      <w:tr w:rsidR="008C76E0" w:rsidRPr="00BD7577" w14:paraId="323276DC" w14:textId="77777777" w:rsidTr="008C76E0">
        <w:trPr>
          <w:jc w:val="center"/>
        </w:trPr>
        <w:tc>
          <w:tcPr>
            <w:tcW w:w="1526" w:type="dxa"/>
            <w:vMerge/>
            <w:tcBorders>
              <w:left w:val="single" w:sz="4" w:space="0" w:color="000000"/>
              <w:right w:val="single" w:sz="4" w:space="0" w:color="000000"/>
            </w:tcBorders>
            <w:shd w:val="clear" w:color="auto" w:fill="E7E7E7"/>
          </w:tcPr>
          <w:p w14:paraId="7FDD910C"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212711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right w:val="single" w:sz="4" w:space="0" w:color="000000"/>
            </w:tcBorders>
            <w:shd w:val="clear" w:color="auto" w:fill="E7E7E7"/>
          </w:tcPr>
          <w:p w14:paraId="488989B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5F76511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3.2.A.2</w:t>
            </w:r>
          </w:p>
        </w:tc>
        <w:tc>
          <w:tcPr>
            <w:tcW w:w="2237" w:type="dxa"/>
            <w:tcBorders>
              <w:top w:val="single" w:sz="4" w:space="0" w:color="000000"/>
              <w:left w:val="single" w:sz="4" w:space="0" w:color="000000"/>
              <w:bottom w:val="single" w:sz="4" w:space="0" w:color="000000"/>
              <w:right w:val="single" w:sz="4" w:space="0" w:color="000000"/>
            </w:tcBorders>
          </w:tcPr>
          <w:p w14:paraId="59126827" w14:textId="77777777" w:rsidR="008C76E0" w:rsidRPr="00BD7577" w:rsidRDefault="008C76E0" w:rsidP="008C76E0">
            <w:pPr>
              <w:spacing w:after="120" w:line="240" w:lineRule="auto"/>
              <w:rPr>
                <w:rFonts w:ascii="Sylfaen" w:hAnsi="Sylfaen"/>
                <w:sz w:val="24"/>
                <w:szCs w:val="24"/>
              </w:rPr>
            </w:pPr>
          </w:p>
        </w:tc>
      </w:tr>
      <w:tr w:rsidR="008C76E0" w:rsidRPr="00BD7577" w14:paraId="3C11DFBC" w14:textId="77777777" w:rsidTr="008C76E0">
        <w:trPr>
          <w:trHeight w:val="670"/>
          <w:jc w:val="center"/>
        </w:trPr>
        <w:tc>
          <w:tcPr>
            <w:tcW w:w="1526" w:type="dxa"/>
            <w:vMerge/>
            <w:tcBorders>
              <w:left w:val="single" w:sz="4" w:space="0" w:color="000000"/>
              <w:right w:val="single" w:sz="4" w:space="0" w:color="000000"/>
            </w:tcBorders>
            <w:shd w:val="clear" w:color="auto" w:fill="E7E7E7"/>
          </w:tcPr>
          <w:p w14:paraId="5506B5D4"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right w:val="single" w:sz="4" w:space="0" w:color="000000"/>
            </w:tcBorders>
            <w:shd w:val="clear" w:color="auto" w:fill="E7E7E7"/>
          </w:tcPr>
          <w:p w14:paraId="7D7A7308" w14:textId="77777777" w:rsidR="008C76E0" w:rsidRPr="00BD7577" w:rsidRDefault="008C76E0" w:rsidP="008C76E0">
            <w:pPr>
              <w:spacing w:after="120" w:line="240" w:lineRule="auto"/>
              <w:rPr>
                <w:rFonts w:ascii="Sylfaen" w:hAnsi="Sylfaen"/>
                <w:sz w:val="24"/>
                <w:szCs w:val="24"/>
              </w:rPr>
            </w:pPr>
          </w:p>
        </w:tc>
        <w:tc>
          <w:tcPr>
            <w:tcW w:w="2815" w:type="dxa"/>
            <w:vMerge/>
            <w:tcBorders>
              <w:left w:val="single" w:sz="4" w:space="0" w:color="000000"/>
              <w:bottom w:val="single" w:sz="4" w:space="0" w:color="000000"/>
              <w:right w:val="single" w:sz="4" w:space="0" w:color="000000"/>
            </w:tcBorders>
            <w:shd w:val="clear" w:color="auto" w:fill="E7E7E7"/>
          </w:tcPr>
          <w:p w14:paraId="5D9C051F" w14:textId="77777777" w:rsidR="008C76E0" w:rsidRPr="00BD7577" w:rsidRDefault="008C76E0" w:rsidP="008C76E0">
            <w:pPr>
              <w:spacing w:after="120" w:line="240" w:lineRule="auto"/>
              <w:rPr>
                <w:rFonts w:ascii="Sylfaen" w:hAnsi="Sylfaen"/>
                <w:sz w:val="24"/>
                <w:szCs w:val="24"/>
              </w:rPr>
            </w:pPr>
          </w:p>
        </w:tc>
        <w:tc>
          <w:tcPr>
            <w:tcW w:w="1927" w:type="dxa"/>
            <w:tcBorders>
              <w:top w:val="single" w:sz="4" w:space="0" w:color="000000"/>
              <w:left w:val="single" w:sz="4" w:space="0" w:color="000000"/>
              <w:bottom w:val="single" w:sz="4" w:space="0" w:color="000000"/>
              <w:right w:val="single" w:sz="4" w:space="0" w:color="000000"/>
            </w:tcBorders>
          </w:tcPr>
          <w:p w14:paraId="457D62FC"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3.2.A.3</w:t>
            </w:r>
          </w:p>
        </w:tc>
        <w:tc>
          <w:tcPr>
            <w:tcW w:w="2237" w:type="dxa"/>
            <w:tcBorders>
              <w:top w:val="single" w:sz="4" w:space="0" w:color="000000"/>
              <w:left w:val="single" w:sz="4" w:space="0" w:color="000000"/>
              <w:bottom w:val="single" w:sz="4" w:space="0" w:color="000000"/>
              <w:right w:val="single" w:sz="4" w:space="0" w:color="000000"/>
            </w:tcBorders>
          </w:tcPr>
          <w:p w14:paraId="764B2686" w14:textId="77777777" w:rsidR="008C76E0" w:rsidRPr="00BD7577" w:rsidRDefault="008C76E0" w:rsidP="008C76E0">
            <w:pPr>
              <w:spacing w:after="120" w:line="240" w:lineRule="auto"/>
              <w:rPr>
                <w:rFonts w:ascii="Sylfaen" w:hAnsi="Sylfaen"/>
                <w:sz w:val="24"/>
                <w:szCs w:val="24"/>
              </w:rPr>
            </w:pPr>
          </w:p>
        </w:tc>
      </w:tr>
      <w:tr w:rsidR="008C76E0" w:rsidRPr="00BD7577" w14:paraId="20584C7B" w14:textId="77777777" w:rsidTr="008C76E0">
        <w:trPr>
          <w:jc w:val="center"/>
        </w:trPr>
        <w:tc>
          <w:tcPr>
            <w:tcW w:w="1526" w:type="dxa"/>
            <w:vMerge/>
            <w:tcBorders>
              <w:left w:val="single" w:sz="4" w:space="0" w:color="000000"/>
              <w:bottom w:val="nil"/>
              <w:right w:val="single" w:sz="4" w:space="0" w:color="000000"/>
            </w:tcBorders>
            <w:shd w:val="clear" w:color="auto" w:fill="E7E7E7"/>
          </w:tcPr>
          <w:p w14:paraId="14C10F48" w14:textId="77777777" w:rsidR="008C76E0" w:rsidRPr="00BD7577" w:rsidRDefault="008C76E0" w:rsidP="008C76E0">
            <w:pPr>
              <w:spacing w:after="120" w:line="240" w:lineRule="auto"/>
              <w:rPr>
                <w:rFonts w:ascii="Sylfaen" w:hAnsi="Sylfaen"/>
                <w:sz w:val="24"/>
                <w:szCs w:val="24"/>
              </w:rPr>
            </w:pPr>
          </w:p>
        </w:tc>
        <w:tc>
          <w:tcPr>
            <w:tcW w:w="1154" w:type="dxa"/>
            <w:vMerge/>
            <w:tcBorders>
              <w:left w:val="single" w:sz="4" w:space="0" w:color="000000"/>
              <w:bottom w:val="single" w:sz="4" w:space="0" w:color="000000"/>
              <w:right w:val="single" w:sz="4" w:space="0" w:color="000000"/>
            </w:tcBorders>
            <w:shd w:val="clear" w:color="auto" w:fill="E7E7E7"/>
          </w:tcPr>
          <w:p w14:paraId="4D740AC8" w14:textId="77777777" w:rsidR="008C76E0" w:rsidRPr="00BD7577" w:rsidRDefault="008C76E0" w:rsidP="008C76E0">
            <w:pPr>
              <w:spacing w:after="120" w:line="240" w:lineRule="auto"/>
              <w:rPr>
                <w:rFonts w:ascii="Sylfaen" w:hAnsi="Sylfaen"/>
                <w:sz w:val="24"/>
                <w:szCs w:val="24"/>
              </w:rPr>
            </w:pPr>
          </w:p>
        </w:tc>
        <w:tc>
          <w:tcPr>
            <w:tcW w:w="2815" w:type="dxa"/>
            <w:tcBorders>
              <w:top w:val="single" w:sz="4" w:space="0" w:color="000000"/>
              <w:left w:val="single" w:sz="4" w:space="0" w:color="000000"/>
              <w:bottom w:val="single" w:sz="4" w:space="0" w:color="000000"/>
              <w:right w:val="single" w:sz="4" w:space="0" w:color="000000"/>
            </w:tcBorders>
            <w:shd w:val="clear" w:color="auto" w:fill="E7E7E7"/>
          </w:tcPr>
          <w:p w14:paraId="77CE7B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3.2.R</w:t>
            </w:r>
          </w:p>
        </w:tc>
        <w:tc>
          <w:tcPr>
            <w:tcW w:w="1927" w:type="dxa"/>
            <w:tcBorders>
              <w:top w:val="single" w:sz="4" w:space="0" w:color="000000"/>
              <w:left w:val="single" w:sz="4" w:space="0" w:color="000000"/>
              <w:bottom w:val="single" w:sz="4" w:space="0" w:color="000000"/>
              <w:right w:val="single" w:sz="4" w:space="0" w:color="000000"/>
            </w:tcBorders>
          </w:tcPr>
          <w:p w14:paraId="476071E9"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59FED5AE" w14:textId="77777777" w:rsidR="008C76E0" w:rsidRPr="00BD7577" w:rsidRDefault="008C76E0" w:rsidP="008C76E0">
            <w:pPr>
              <w:spacing w:after="120" w:line="240" w:lineRule="auto"/>
              <w:rPr>
                <w:rFonts w:ascii="Sylfaen" w:hAnsi="Sylfaen"/>
                <w:sz w:val="24"/>
                <w:szCs w:val="24"/>
              </w:rPr>
            </w:pPr>
          </w:p>
        </w:tc>
      </w:tr>
      <w:tr w:rsidR="008C76E0" w:rsidRPr="00BD7577" w14:paraId="63EA7445" w14:textId="77777777" w:rsidTr="008C76E0">
        <w:trPr>
          <w:jc w:val="center"/>
        </w:trPr>
        <w:tc>
          <w:tcPr>
            <w:tcW w:w="1526" w:type="dxa"/>
            <w:tcBorders>
              <w:top w:val="nil"/>
              <w:left w:val="single" w:sz="4" w:space="0" w:color="000000"/>
              <w:bottom w:val="single" w:sz="4" w:space="0" w:color="000000"/>
              <w:right w:val="single" w:sz="4" w:space="0" w:color="000000"/>
            </w:tcBorders>
            <w:shd w:val="clear" w:color="auto" w:fill="E7E7E7"/>
          </w:tcPr>
          <w:p w14:paraId="767ABD1B" w14:textId="77777777" w:rsidR="008C76E0" w:rsidRPr="00BD7577" w:rsidRDefault="008C76E0" w:rsidP="008C76E0">
            <w:pPr>
              <w:spacing w:after="120" w:line="240" w:lineRule="auto"/>
              <w:rPr>
                <w:rFonts w:ascii="Sylfaen" w:hAnsi="Sylfaen"/>
                <w:sz w:val="24"/>
                <w:szCs w:val="24"/>
              </w:rPr>
            </w:pPr>
          </w:p>
        </w:tc>
        <w:tc>
          <w:tcPr>
            <w:tcW w:w="1154" w:type="dxa"/>
            <w:tcBorders>
              <w:top w:val="single" w:sz="4" w:space="0" w:color="000000"/>
              <w:left w:val="single" w:sz="4" w:space="0" w:color="000000"/>
              <w:bottom w:val="single" w:sz="4" w:space="0" w:color="000000"/>
              <w:right w:val="single" w:sz="4" w:space="0" w:color="000000"/>
            </w:tcBorders>
            <w:shd w:val="clear" w:color="auto" w:fill="E7E7E7"/>
          </w:tcPr>
          <w:p w14:paraId="5DB5BE6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3.3</w:t>
            </w:r>
          </w:p>
        </w:tc>
        <w:tc>
          <w:tcPr>
            <w:tcW w:w="2815" w:type="dxa"/>
            <w:tcBorders>
              <w:top w:val="single" w:sz="4" w:space="0" w:color="000000"/>
              <w:left w:val="single" w:sz="4" w:space="0" w:color="000000"/>
              <w:bottom w:val="single" w:sz="4" w:space="0" w:color="000000"/>
              <w:right w:val="single" w:sz="4" w:space="0" w:color="000000"/>
            </w:tcBorders>
          </w:tcPr>
          <w:p w14:paraId="20555599" w14:textId="77777777" w:rsidR="008C76E0" w:rsidRPr="00814E26" w:rsidRDefault="008C76E0" w:rsidP="00814E26">
            <w:pPr>
              <w:spacing w:after="120" w:line="240" w:lineRule="auto"/>
              <w:ind w:left="102" w:right="35"/>
              <w:rPr>
                <w:rFonts w:ascii="Sylfaen" w:eastAsia="Times New Roman" w:hAnsi="Sylfaen" w:cs="Times New Roman"/>
                <w:sz w:val="24"/>
                <w:szCs w:val="24"/>
              </w:rPr>
            </w:pPr>
            <w:r w:rsidRPr="00BD7577">
              <w:rPr>
                <w:rFonts w:ascii="Sylfaen" w:hAnsi="Sylfaen"/>
                <w:sz w:val="24"/>
                <w:szCs w:val="24"/>
              </w:rPr>
              <w:t xml:space="preserve">Մեկական ֆայլ՝ յուրաքանչյուր աղբյուրի </w:t>
            </w:r>
            <w:r w:rsidRPr="00C72D24">
              <w:rPr>
                <w:rFonts w:ascii="Sylfaen" w:hAnsi="Sylfaen"/>
                <w:sz w:val="24"/>
                <w:szCs w:val="24"/>
                <w:highlight w:val="yellow"/>
              </w:rPr>
              <w:t>համար</w:t>
            </w:r>
            <w:r w:rsidR="00814E26">
              <w:rPr>
                <w:rStyle w:val="FootnoteReference"/>
                <w:rFonts w:ascii="Sylfaen" w:hAnsi="Sylfaen"/>
                <w:sz w:val="24"/>
                <w:szCs w:val="24"/>
                <w:highlight w:val="yellow"/>
              </w:rPr>
              <w:footnoteReference w:id="36"/>
            </w:r>
          </w:p>
        </w:tc>
        <w:tc>
          <w:tcPr>
            <w:tcW w:w="1927" w:type="dxa"/>
            <w:tcBorders>
              <w:top w:val="single" w:sz="4" w:space="0" w:color="000000"/>
              <w:left w:val="single" w:sz="4" w:space="0" w:color="000000"/>
              <w:bottom w:val="single" w:sz="4" w:space="0" w:color="000000"/>
              <w:right w:val="single" w:sz="4" w:space="0" w:color="000000"/>
            </w:tcBorders>
          </w:tcPr>
          <w:p w14:paraId="04C19791" w14:textId="77777777" w:rsidR="008C76E0" w:rsidRPr="00BD7577" w:rsidRDefault="008C76E0" w:rsidP="008C76E0">
            <w:pPr>
              <w:spacing w:after="120" w:line="240" w:lineRule="auto"/>
              <w:rPr>
                <w:rFonts w:ascii="Sylfaen" w:hAnsi="Sylfaen"/>
                <w:sz w:val="24"/>
                <w:szCs w:val="24"/>
              </w:rPr>
            </w:pPr>
          </w:p>
        </w:tc>
        <w:tc>
          <w:tcPr>
            <w:tcW w:w="2237" w:type="dxa"/>
            <w:tcBorders>
              <w:top w:val="single" w:sz="4" w:space="0" w:color="000000"/>
              <w:left w:val="single" w:sz="4" w:space="0" w:color="000000"/>
              <w:bottom w:val="single" w:sz="4" w:space="0" w:color="000000"/>
              <w:right w:val="single" w:sz="4" w:space="0" w:color="000000"/>
            </w:tcBorders>
          </w:tcPr>
          <w:p w14:paraId="11E04602" w14:textId="77777777" w:rsidR="008C76E0" w:rsidRPr="00BD7577" w:rsidRDefault="008C76E0" w:rsidP="008C76E0">
            <w:pPr>
              <w:spacing w:after="120" w:line="240" w:lineRule="auto"/>
              <w:rPr>
                <w:rFonts w:ascii="Sylfaen" w:hAnsi="Sylfaen"/>
                <w:sz w:val="24"/>
                <w:szCs w:val="24"/>
              </w:rPr>
            </w:pPr>
          </w:p>
        </w:tc>
      </w:tr>
    </w:tbl>
    <w:p w14:paraId="347B6817" w14:textId="77777777" w:rsidR="008C76E0" w:rsidRPr="00BD7577" w:rsidRDefault="008C76E0" w:rsidP="008C76E0">
      <w:pPr>
        <w:rPr>
          <w:rFonts w:ascii="Sylfaen" w:hAnsi="Sylfaen"/>
          <w:sz w:val="24"/>
          <w:szCs w:val="24"/>
        </w:rPr>
      </w:pPr>
    </w:p>
    <w:p w14:paraId="7D54F8D8" w14:textId="77777777" w:rsidR="008C76E0" w:rsidRPr="00BD7577" w:rsidRDefault="008C76E0" w:rsidP="00297352">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E73581D" w14:textId="77777777" w:rsidTr="008C76E0">
        <w:trPr>
          <w:jc w:val="center"/>
        </w:trPr>
        <w:tc>
          <w:tcPr>
            <w:tcW w:w="9552" w:type="dxa"/>
          </w:tcPr>
          <w:p w14:paraId="3FDB630A"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781D41B9" w14:textId="77777777" w:rsidTr="008C76E0">
        <w:trPr>
          <w:jc w:val="center"/>
        </w:trPr>
        <w:tc>
          <w:tcPr>
            <w:tcW w:w="9552" w:type="dxa"/>
          </w:tcPr>
          <w:p w14:paraId="0A083671" w14:textId="77777777" w:rsidR="008C76E0" w:rsidRPr="00BD7577" w:rsidRDefault="008C76E0" w:rsidP="008C76E0">
            <w:pPr>
              <w:spacing w:after="120"/>
              <w:ind w:right="40"/>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 Այդ մակարդակում թույլատրվում է ներկայացնել մեկ կամ մի քանի փաստաթղթեր:</w:t>
            </w:r>
          </w:p>
        </w:tc>
      </w:tr>
    </w:tbl>
    <w:p w14:paraId="156F4AA6" w14:textId="77777777" w:rsidR="00A8592B" w:rsidRDefault="00A8592B" w:rsidP="008C76E0">
      <w:pPr>
        <w:ind w:right="255"/>
        <w:jc w:val="both"/>
        <w:rPr>
          <w:rFonts w:ascii="Sylfaen" w:eastAsia="Times New Roman" w:hAnsi="Sylfaen" w:cs="Times New Roman"/>
          <w:sz w:val="24"/>
          <w:szCs w:val="24"/>
        </w:rPr>
        <w:sectPr w:rsidR="00A8592B" w:rsidSect="00814E26">
          <w:footnotePr>
            <w:numRestart w:val="eachSect"/>
          </w:footnotePr>
          <w:pgSz w:w="11907" w:h="16839" w:code="9"/>
          <w:pgMar w:top="1418" w:right="1418" w:bottom="1418" w:left="1418" w:header="0" w:footer="361" w:gutter="0"/>
          <w:cols w:space="720"/>
          <w:noEndnote/>
          <w:docGrid w:linePitch="360"/>
        </w:sectPr>
      </w:pPr>
    </w:p>
    <w:p w14:paraId="698F8045" w14:textId="77777777" w:rsidR="008C76E0" w:rsidRPr="00BD7577" w:rsidRDefault="008C76E0" w:rsidP="008C76E0">
      <w:pPr>
        <w:tabs>
          <w:tab w:val="left" w:pos="1134"/>
        </w:tabs>
        <w:ind w:right="-20" w:firstLine="567"/>
        <w:jc w:val="both"/>
        <w:rPr>
          <w:rFonts w:ascii="Sylfaen" w:eastAsia="Times New Roman" w:hAnsi="Sylfaen" w:cs="Times New Roman"/>
          <w:sz w:val="24"/>
          <w:szCs w:val="24"/>
        </w:rPr>
      </w:pPr>
      <w:r w:rsidRPr="00BD7577">
        <w:rPr>
          <w:rFonts w:ascii="Sylfaen" w:hAnsi="Sylfaen"/>
          <w:sz w:val="24"/>
          <w:szCs w:val="24"/>
        </w:rPr>
        <w:lastRenderedPageBreak/>
        <w:t>4</w:t>
      </w:r>
      <w:r>
        <w:rPr>
          <w:rFonts w:ascii="Sylfaen" w:hAnsi="Sylfaen"/>
          <w:sz w:val="24"/>
          <w:szCs w:val="24"/>
          <w:lang w:val="ru-RU"/>
        </w:rPr>
        <w:t>.</w:t>
      </w:r>
      <w:r>
        <w:rPr>
          <w:rFonts w:ascii="Sylfaen" w:hAnsi="Sylfaen"/>
          <w:sz w:val="24"/>
          <w:szCs w:val="24"/>
          <w:lang w:val="en-US"/>
        </w:rPr>
        <w:tab/>
      </w:r>
      <w:r w:rsidRPr="00BD7577">
        <w:rPr>
          <w:rFonts w:ascii="Sylfaen" w:hAnsi="Sylfaen"/>
          <w:sz w:val="24"/>
          <w:szCs w:val="24"/>
        </w:rPr>
        <w:t>Մոդուլ 4</w:t>
      </w:r>
    </w:p>
    <w:tbl>
      <w:tblPr>
        <w:tblOverlap w:val="never"/>
        <w:tblW w:w="9799" w:type="dxa"/>
        <w:jc w:val="center"/>
        <w:tblLayout w:type="fixed"/>
        <w:tblCellMar>
          <w:left w:w="10" w:type="dxa"/>
          <w:right w:w="10" w:type="dxa"/>
        </w:tblCellMar>
        <w:tblLook w:val="04A0" w:firstRow="1" w:lastRow="0" w:firstColumn="1" w:lastColumn="0" w:noHBand="0" w:noVBand="1"/>
      </w:tblPr>
      <w:tblGrid>
        <w:gridCol w:w="1215"/>
        <w:gridCol w:w="532"/>
        <w:gridCol w:w="2052"/>
        <w:gridCol w:w="902"/>
        <w:gridCol w:w="2520"/>
        <w:gridCol w:w="2578"/>
      </w:tblGrid>
      <w:tr w:rsidR="008C76E0" w:rsidRPr="00BD7577" w14:paraId="3B92A4E5" w14:textId="77777777" w:rsidTr="00A8592B">
        <w:trPr>
          <w:jc w:val="center"/>
        </w:trPr>
        <w:tc>
          <w:tcPr>
            <w:tcW w:w="1215" w:type="dxa"/>
            <w:vMerge w:val="restart"/>
            <w:tcBorders>
              <w:top w:val="single" w:sz="4" w:space="0" w:color="auto"/>
              <w:left w:val="single" w:sz="4" w:space="0" w:color="auto"/>
            </w:tcBorders>
            <w:shd w:val="clear" w:color="auto" w:fill="FFFFFF"/>
          </w:tcPr>
          <w:p w14:paraId="4138B9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Մոդուլ 4</w:t>
            </w:r>
          </w:p>
        </w:tc>
        <w:tc>
          <w:tcPr>
            <w:tcW w:w="8584" w:type="dxa"/>
            <w:gridSpan w:val="5"/>
            <w:tcBorders>
              <w:top w:val="single" w:sz="4" w:space="0" w:color="auto"/>
              <w:left w:val="single" w:sz="4" w:space="0" w:color="auto"/>
              <w:right w:val="single" w:sz="4" w:space="0" w:color="auto"/>
            </w:tcBorders>
            <w:shd w:val="clear" w:color="auto" w:fill="FFFFFF"/>
            <w:vAlign w:val="bottom"/>
          </w:tcPr>
          <w:p w14:paraId="3826979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4.1</w:t>
            </w:r>
          </w:p>
        </w:tc>
      </w:tr>
      <w:tr w:rsidR="008C76E0" w:rsidRPr="00BD7577" w14:paraId="70E569E3" w14:textId="77777777" w:rsidTr="00A8592B">
        <w:trPr>
          <w:jc w:val="center"/>
        </w:trPr>
        <w:tc>
          <w:tcPr>
            <w:tcW w:w="1215" w:type="dxa"/>
            <w:vMerge/>
            <w:tcBorders>
              <w:left w:val="single" w:sz="4" w:space="0" w:color="auto"/>
            </w:tcBorders>
            <w:shd w:val="clear" w:color="auto" w:fill="FFFFFF"/>
          </w:tcPr>
          <w:p w14:paraId="03CCB6A4"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top w:val="single" w:sz="4" w:space="0" w:color="auto"/>
              <w:left w:val="single" w:sz="4" w:space="0" w:color="auto"/>
            </w:tcBorders>
            <w:shd w:val="clear" w:color="auto" w:fill="FFFFFF"/>
          </w:tcPr>
          <w:p w14:paraId="5F877610"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Pr>
                <w:rStyle w:val="Bodytext411pt"/>
                <w:rFonts w:ascii="Sylfaen" w:hAnsi="Sylfaen"/>
                <w:sz w:val="24"/>
                <w:szCs w:val="24"/>
              </w:rPr>
              <w:t>4.2</w:t>
            </w:r>
            <w:r>
              <w:rPr>
                <w:rStyle w:val="Bodytext411pt"/>
                <w:rFonts w:ascii="Sylfaen" w:hAnsi="Sylfaen"/>
                <w:sz w:val="24"/>
                <w:szCs w:val="24"/>
                <w:lang w:val="en-US"/>
              </w:rPr>
              <w:tab/>
            </w:r>
            <w:r w:rsidRPr="00BD7577">
              <w:rPr>
                <w:rStyle w:val="Bodytext411pt"/>
                <w:rFonts w:ascii="Sylfaen" w:hAnsi="Sylfaen"/>
                <w:sz w:val="24"/>
                <w:szCs w:val="24"/>
              </w:rPr>
              <w:t>4.2.1</w:t>
            </w:r>
          </w:p>
        </w:tc>
        <w:tc>
          <w:tcPr>
            <w:tcW w:w="902" w:type="dxa"/>
            <w:tcBorders>
              <w:top w:val="single" w:sz="4" w:space="0" w:color="auto"/>
              <w:left w:val="single" w:sz="4" w:space="0" w:color="auto"/>
            </w:tcBorders>
            <w:shd w:val="clear" w:color="auto" w:fill="FFFFFF"/>
            <w:vAlign w:val="bottom"/>
          </w:tcPr>
          <w:p w14:paraId="6AC91E6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4.2.1.1</w:t>
            </w:r>
          </w:p>
        </w:tc>
        <w:tc>
          <w:tcPr>
            <w:tcW w:w="2520" w:type="dxa"/>
            <w:tcBorders>
              <w:top w:val="single" w:sz="4" w:space="0" w:color="auto"/>
              <w:left w:val="single" w:sz="4" w:space="0" w:color="auto"/>
            </w:tcBorders>
            <w:shd w:val="clear" w:color="auto" w:fill="FFFFFF"/>
          </w:tcPr>
          <w:p w14:paraId="40A0200C" w14:textId="77777777" w:rsidR="008C76E0" w:rsidRPr="00BD7577" w:rsidRDefault="008C76E0" w:rsidP="00EC6304">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7"/>
            </w:r>
            <w:r w:rsidRPr="00BD7577">
              <w:rPr>
                <w:rFonts w:ascii="Sylfaen" w:hAnsi="Sylfaen"/>
                <w:sz w:val="24"/>
                <w:szCs w:val="24"/>
              </w:rPr>
              <w:t xml:space="preserve"> </w:t>
            </w:r>
          </w:p>
        </w:tc>
        <w:tc>
          <w:tcPr>
            <w:tcW w:w="2578" w:type="dxa"/>
            <w:tcBorders>
              <w:top w:val="single" w:sz="4" w:space="0" w:color="auto"/>
              <w:left w:val="single" w:sz="4" w:space="0" w:color="auto"/>
              <w:right w:val="single" w:sz="4" w:space="0" w:color="auto"/>
            </w:tcBorders>
            <w:shd w:val="clear" w:color="auto" w:fill="FFFFFF"/>
          </w:tcPr>
          <w:p w14:paraId="59FA42E6" w14:textId="77777777" w:rsidR="008C76E0" w:rsidRPr="00BD7577" w:rsidRDefault="008C76E0" w:rsidP="008C76E0">
            <w:pPr>
              <w:spacing w:after="120" w:line="240" w:lineRule="auto"/>
              <w:rPr>
                <w:rFonts w:ascii="Sylfaen" w:hAnsi="Sylfaen"/>
                <w:sz w:val="24"/>
                <w:szCs w:val="24"/>
              </w:rPr>
            </w:pPr>
          </w:p>
        </w:tc>
      </w:tr>
      <w:tr w:rsidR="008C76E0" w:rsidRPr="00BD7577" w14:paraId="5B90CB57" w14:textId="77777777" w:rsidTr="00A8592B">
        <w:trPr>
          <w:jc w:val="center"/>
        </w:trPr>
        <w:tc>
          <w:tcPr>
            <w:tcW w:w="1215" w:type="dxa"/>
            <w:vMerge/>
            <w:tcBorders>
              <w:left w:val="single" w:sz="4" w:space="0" w:color="auto"/>
            </w:tcBorders>
            <w:shd w:val="clear" w:color="auto" w:fill="FFFFFF"/>
          </w:tcPr>
          <w:p w14:paraId="2C1C1EB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DD3A9C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C23FEF8"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4.2.1.2</w:t>
            </w:r>
          </w:p>
        </w:tc>
        <w:tc>
          <w:tcPr>
            <w:tcW w:w="2520" w:type="dxa"/>
            <w:tcBorders>
              <w:top w:val="single" w:sz="4" w:space="0" w:color="auto"/>
              <w:left w:val="single" w:sz="4" w:space="0" w:color="auto"/>
            </w:tcBorders>
            <w:shd w:val="clear" w:color="auto" w:fill="FFFFFF"/>
          </w:tcPr>
          <w:p w14:paraId="1BF950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6879CA2" w14:textId="77777777" w:rsidR="008C76E0" w:rsidRPr="00BD7577" w:rsidRDefault="008C76E0" w:rsidP="008C76E0">
            <w:pPr>
              <w:spacing w:after="120" w:line="240" w:lineRule="auto"/>
              <w:rPr>
                <w:rFonts w:ascii="Sylfaen" w:hAnsi="Sylfaen"/>
                <w:sz w:val="24"/>
                <w:szCs w:val="24"/>
              </w:rPr>
            </w:pPr>
          </w:p>
        </w:tc>
      </w:tr>
      <w:tr w:rsidR="008C76E0" w:rsidRPr="00BD7577" w14:paraId="7FC652BF" w14:textId="77777777" w:rsidTr="00A8592B">
        <w:trPr>
          <w:jc w:val="center"/>
        </w:trPr>
        <w:tc>
          <w:tcPr>
            <w:tcW w:w="1215" w:type="dxa"/>
            <w:vMerge/>
            <w:tcBorders>
              <w:left w:val="single" w:sz="4" w:space="0" w:color="auto"/>
            </w:tcBorders>
            <w:shd w:val="clear" w:color="auto" w:fill="FFFFFF"/>
          </w:tcPr>
          <w:p w14:paraId="5CD5B64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DBF7ED1"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0670DF6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4.2.1.3</w:t>
            </w:r>
          </w:p>
        </w:tc>
        <w:tc>
          <w:tcPr>
            <w:tcW w:w="2520" w:type="dxa"/>
            <w:tcBorders>
              <w:top w:val="single" w:sz="4" w:space="0" w:color="auto"/>
              <w:left w:val="single" w:sz="4" w:space="0" w:color="auto"/>
            </w:tcBorders>
            <w:shd w:val="clear" w:color="auto" w:fill="FFFFFF"/>
          </w:tcPr>
          <w:p w14:paraId="33377D9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2D8BC8D" w14:textId="77777777" w:rsidR="008C76E0" w:rsidRPr="00BD7577" w:rsidRDefault="008C76E0" w:rsidP="008C76E0">
            <w:pPr>
              <w:spacing w:after="120" w:line="240" w:lineRule="auto"/>
              <w:rPr>
                <w:rFonts w:ascii="Sylfaen" w:hAnsi="Sylfaen"/>
                <w:sz w:val="24"/>
                <w:szCs w:val="24"/>
              </w:rPr>
            </w:pPr>
          </w:p>
        </w:tc>
      </w:tr>
      <w:tr w:rsidR="008C76E0" w:rsidRPr="00BD7577" w14:paraId="0157FFF0" w14:textId="77777777" w:rsidTr="00A8592B">
        <w:trPr>
          <w:jc w:val="center"/>
        </w:trPr>
        <w:tc>
          <w:tcPr>
            <w:tcW w:w="1215" w:type="dxa"/>
            <w:vMerge/>
            <w:tcBorders>
              <w:left w:val="single" w:sz="4" w:space="0" w:color="auto"/>
            </w:tcBorders>
            <w:shd w:val="clear" w:color="auto" w:fill="FFFFFF"/>
          </w:tcPr>
          <w:p w14:paraId="76616E62"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12D48F54"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7F8B4860"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D649A4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4.2.1.4</w:t>
            </w:r>
          </w:p>
        </w:tc>
        <w:tc>
          <w:tcPr>
            <w:tcW w:w="2520" w:type="dxa"/>
            <w:tcBorders>
              <w:top w:val="single" w:sz="4" w:space="0" w:color="auto"/>
              <w:left w:val="single" w:sz="4" w:space="0" w:color="auto"/>
            </w:tcBorders>
            <w:shd w:val="clear" w:color="auto" w:fill="FFFFFF"/>
          </w:tcPr>
          <w:p w14:paraId="377FD5D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E3B3B20" w14:textId="77777777" w:rsidR="008C76E0" w:rsidRPr="00BD7577" w:rsidRDefault="008C76E0" w:rsidP="008C76E0">
            <w:pPr>
              <w:spacing w:after="120" w:line="240" w:lineRule="auto"/>
              <w:rPr>
                <w:rFonts w:ascii="Sylfaen" w:hAnsi="Sylfaen"/>
                <w:sz w:val="24"/>
                <w:szCs w:val="24"/>
              </w:rPr>
            </w:pPr>
          </w:p>
        </w:tc>
      </w:tr>
      <w:tr w:rsidR="008C76E0" w:rsidRPr="00BD7577" w14:paraId="534ACA7B" w14:textId="77777777" w:rsidTr="00A8592B">
        <w:trPr>
          <w:jc w:val="center"/>
        </w:trPr>
        <w:tc>
          <w:tcPr>
            <w:tcW w:w="1215" w:type="dxa"/>
            <w:vMerge/>
            <w:tcBorders>
              <w:left w:val="single" w:sz="4" w:space="0" w:color="auto"/>
            </w:tcBorders>
            <w:shd w:val="clear" w:color="auto" w:fill="FFFFFF"/>
          </w:tcPr>
          <w:p w14:paraId="28024E57"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B84234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1749CD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w:t>
            </w:r>
          </w:p>
        </w:tc>
        <w:tc>
          <w:tcPr>
            <w:tcW w:w="902" w:type="dxa"/>
            <w:tcBorders>
              <w:top w:val="single" w:sz="4" w:space="0" w:color="auto"/>
              <w:left w:val="single" w:sz="4" w:space="0" w:color="auto"/>
            </w:tcBorders>
            <w:shd w:val="clear" w:color="auto" w:fill="FFFFFF"/>
            <w:vAlign w:val="bottom"/>
          </w:tcPr>
          <w:p w14:paraId="056B9DE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4.2.2.1</w:t>
            </w:r>
          </w:p>
        </w:tc>
        <w:tc>
          <w:tcPr>
            <w:tcW w:w="2520" w:type="dxa"/>
            <w:tcBorders>
              <w:top w:val="single" w:sz="4" w:space="0" w:color="auto"/>
              <w:left w:val="single" w:sz="4" w:space="0" w:color="auto"/>
            </w:tcBorders>
            <w:shd w:val="clear" w:color="auto" w:fill="FFFFFF"/>
          </w:tcPr>
          <w:p w14:paraId="0C969CF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0910599E" w14:textId="77777777" w:rsidR="008C76E0" w:rsidRPr="00BD7577" w:rsidRDefault="008C76E0" w:rsidP="008C76E0">
            <w:pPr>
              <w:spacing w:after="120" w:line="240" w:lineRule="auto"/>
              <w:rPr>
                <w:rFonts w:ascii="Sylfaen" w:hAnsi="Sylfaen"/>
                <w:sz w:val="24"/>
                <w:szCs w:val="24"/>
              </w:rPr>
            </w:pPr>
          </w:p>
        </w:tc>
      </w:tr>
      <w:tr w:rsidR="008C76E0" w:rsidRPr="00BD7577" w14:paraId="24D59FA4" w14:textId="77777777" w:rsidTr="00A8592B">
        <w:trPr>
          <w:jc w:val="center"/>
        </w:trPr>
        <w:tc>
          <w:tcPr>
            <w:tcW w:w="1215" w:type="dxa"/>
            <w:vMerge/>
            <w:tcBorders>
              <w:left w:val="single" w:sz="4" w:space="0" w:color="auto"/>
            </w:tcBorders>
            <w:shd w:val="clear" w:color="auto" w:fill="FFFFFF"/>
          </w:tcPr>
          <w:p w14:paraId="7746A07B"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6B8779AE"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4753F0B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4.2.2.2</w:t>
            </w:r>
          </w:p>
        </w:tc>
        <w:tc>
          <w:tcPr>
            <w:tcW w:w="2520" w:type="dxa"/>
            <w:tcBorders>
              <w:top w:val="single" w:sz="4" w:space="0" w:color="auto"/>
              <w:left w:val="single" w:sz="4" w:space="0" w:color="auto"/>
            </w:tcBorders>
            <w:shd w:val="clear" w:color="auto" w:fill="FFFFFF"/>
          </w:tcPr>
          <w:p w14:paraId="7A47451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B339486" w14:textId="77777777" w:rsidR="008C76E0" w:rsidRPr="00BD7577" w:rsidRDefault="008C76E0" w:rsidP="008C76E0">
            <w:pPr>
              <w:spacing w:after="120" w:line="240" w:lineRule="auto"/>
              <w:rPr>
                <w:rFonts w:ascii="Sylfaen" w:hAnsi="Sylfaen"/>
                <w:sz w:val="24"/>
                <w:szCs w:val="24"/>
              </w:rPr>
            </w:pPr>
          </w:p>
        </w:tc>
      </w:tr>
      <w:tr w:rsidR="008C76E0" w:rsidRPr="00BD7577" w14:paraId="7869604F" w14:textId="77777777" w:rsidTr="00A8592B">
        <w:trPr>
          <w:jc w:val="center"/>
        </w:trPr>
        <w:tc>
          <w:tcPr>
            <w:tcW w:w="1215" w:type="dxa"/>
            <w:vMerge/>
            <w:tcBorders>
              <w:left w:val="single" w:sz="4" w:space="0" w:color="auto"/>
            </w:tcBorders>
            <w:shd w:val="clear" w:color="auto" w:fill="FFFFFF"/>
          </w:tcPr>
          <w:p w14:paraId="325A0A9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354ABDA"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251AD1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4.2.2.3</w:t>
            </w:r>
          </w:p>
        </w:tc>
        <w:tc>
          <w:tcPr>
            <w:tcW w:w="2520" w:type="dxa"/>
            <w:tcBorders>
              <w:top w:val="single" w:sz="4" w:space="0" w:color="auto"/>
              <w:left w:val="single" w:sz="4" w:space="0" w:color="auto"/>
            </w:tcBorders>
            <w:shd w:val="clear" w:color="auto" w:fill="FFFFFF"/>
          </w:tcPr>
          <w:p w14:paraId="326A8F4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3D0809B6" w14:textId="77777777" w:rsidR="008C76E0" w:rsidRPr="00BD7577" w:rsidRDefault="008C76E0" w:rsidP="008C76E0">
            <w:pPr>
              <w:spacing w:after="120" w:line="240" w:lineRule="auto"/>
              <w:rPr>
                <w:rFonts w:ascii="Sylfaen" w:hAnsi="Sylfaen"/>
                <w:sz w:val="24"/>
                <w:szCs w:val="24"/>
              </w:rPr>
            </w:pPr>
          </w:p>
        </w:tc>
      </w:tr>
      <w:tr w:rsidR="008C76E0" w:rsidRPr="00BD7577" w14:paraId="73B97A89" w14:textId="77777777" w:rsidTr="00A8592B">
        <w:trPr>
          <w:jc w:val="center"/>
        </w:trPr>
        <w:tc>
          <w:tcPr>
            <w:tcW w:w="1215" w:type="dxa"/>
            <w:vMerge/>
            <w:tcBorders>
              <w:left w:val="single" w:sz="4" w:space="0" w:color="auto"/>
            </w:tcBorders>
            <w:shd w:val="clear" w:color="auto" w:fill="FFFFFF"/>
          </w:tcPr>
          <w:p w14:paraId="7DA0A4B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6DB0D0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C8F2F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4.2.2.4</w:t>
            </w:r>
          </w:p>
        </w:tc>
        <w:tc>
          <w:tcPr>
            <w:tcW w:w="2520" w:type="dxa"/>
            <w:tcBorders>
              <w:top w:val="single" w:sz="4" w:space="0" w:color="auto"/>
              <w:left w:val="single" w:sz="4" w:space="0" w:color="auto"/>
            </w:tcBorders>
            <w:shd w:val="clear" w:color="auto" w:fill="FFFFFF"/>
          </w:tcPr>
          <w:p w14:paraId="4C2D04B6"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761A8DA9" w14:textId="77777777" w:rsidR="008C76E0" w:rsidRPr="00BD7577" w:rsidRDefault="008C76E0" w:rsidP="008C76E0">
            <w:pPr>
              <w:spacing w:after="120" w:line="240" w:lineRule="auto"/>
              <w:rPr>
                <w:rFonts w:ascii="Sylfaen" w:hAnsi="Sylfaen"/>
                <w:sz w:val="24"/>
                <w:szCs w:val="24"/>
              </w:rPr>
            </w:pPr>
          </w:p>
        </w:tc>
      </w:tr>
      <w:tr w:rsidR="008C76E0" w:rsidRPr="00BD7577" w14:paraId="6B8F8B24" w14:textId="77777777" w:rsidTr="00A8592B">
        <w:trPr>
          <w:jc w:val="center"/>
        </w:trPr>
        <w:tc>
          <w:tcPr>
            <w:tcW w:w="1215" w:type="dxa"/>
            <w:vMerge/>
            <w:tcBorders>
              <w:left w:val="single" w:sz="4" w:space="0" w:color="auto"/>
            </w:tcBorders>
            <w:shd w:val="clear" w:color="auto" w:fill="FFFFFF"/>
          </w:tcPr>
          <w:p w14:paraId="2D9EDA9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33F62B"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5E77B55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4.2.2.5</w:t>
            </w:r>
          </w:p>
        </w:tc>
        <w:tc>
          <w:tcPr>
            <w:tcW w:w="2520" w:type="dxa"/>
            <w:tcBorders>
              <w:top w:val="single" w:sz="4" w:space="0" w:color="auto"/>
              <w:left w:val="single" w:sz="4" w:space="0" w:color="auto"/>
            </w:tcBorders>
            <w:shd w:val="clear" w:color="auto" w:fill="FFFFFF"/>
          </w:tcPr>
          <w:p w14:paraId="3175F0F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4AA7D24" w14:textId="77777777" w:rsidR="008C76E0" w:rsidRPr="00BD7577" w:rsidRDefault="008C76E0" w:rsidP="008C76E0">
            <w:pPr>
              <w:spacing w:after="120" w:line="240" w:lineRule="auto"/>
              <w:rPr>
                <w:rFonts w:ascii="Sylfaen" w:hAnsi="Sylfaen"/>
                <w:sz w:val="24"/>
                <w:szCs w:val="24"/>
              </w:rPr>
            </w:pPr>
          </w:p>
        </w:tc>
      </w:tr>
      <w:tr w:rsidR="008C76E0" w:rsidRPr="00BD7577" w14:paraId="57CE21D3" w14:textId="77777777" w:rsidTr="00A8592B">
        <w:trPr>
          <w:jc w:val="center"/>
        </w:trPr>
        <w:tc>
          <w:tcPr>
            <w:tcW w:w="1215" w:type="dxa"/>
            <w:vMerge/>
            <w:tcBorders>
              <w:left w:val="single" w:sz="4" w:space="0" w:color="auto"/>
            </w:tcBorders>
            <w:shd w:val="clear" w:color="auto" w:fill="FFFFFF"/>
          </w:tcPr>
          <w:p w14:paraId="7CD9E5B3"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E4E0D85"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23698D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4.2.2.6</w:t>
            </w:r>
          </w:p>
        </w:tc>
        <w:tc>
          <w:tcPr>
            <w:tcW w:w="2520" w:type="dxa"/>
            <w:tcBorders>
              <w:top w:val="single" w:sz="4" w:space="0" w:color="auto"/>
              <w:left w:val="single" w:sz="4" w:space="0" w:color="auto"/>
            </w:tcBorders>
            <w:shd w:val="clear" w:color="auto" w:fill="FFFFFF"/>
          </w:tcPr>
          <w:p w14:paraId="23589883"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18DFABCA" w14:textId="77777777" w:rsidR="008C76E0" w:rsidRPr="00BD7577" w:rsidRDefault="008C76E0" w:rsidP="008C76E0">
            <w:pPr>
              <w:spacing w:after="120" w:line="240" w:lineRule="auto"/>
              <w:rPr>
                <w:rFonts w:ascii="Sylfaen" w:hAnsi="Sylfaen"/>
                <w:sz w:val="24"/>
                <w:szCs w:val="24"/>
              </w:rPr>
            </w:pPr>
          </w:p>
        </w:tc>
      </w:tr>
      <w:tr w:rsidR="008C76E0" w:rsidRPr="00BD7577" w14:paraId="5059DD3A" w14:textId="77777777" w:rsidTr="00A8592B">
        <w:trPr>
          <w:jc w:val="center"/>
        </w:trPr>
        <w:tc>
          <w:tcPr>
            <w:tcW w:w="1215" w:type="dxa"/>
            <w:vMerge/>
            <w:tcBorders>
              <w:left w:val="single" w:sz="4" w:space="0" w:color="auto"/>
            </w:tcBorders>
            <w:shd w:val="clear" w:color="auto" w:fill="FFFFFF"/>
          </w:tcPr>
          <w:p w14:paraId="19F47365" w14:textId="77777777" w:rsidR="008C76E0" w:rsidRPr="00BD7577" w:rsidRDefault="008C76E0" w:rsidP="008C76E0">
            <w:pPr>
              <w:spacing w:after="120" w:line="240" w:lineRule="auto"/>
              <w:rPr>
                <w:rFonts w:ascii="Sylfaen" w:hAnsi="Sylfaen"/>
                <w:sz w:val="24"/>
                <w:szCs w:val="24"/>
              </w:rPr>
            </w:pPr>
          </w:p>
        </w:tc>
        <w:tc>
          <w:tcPr>
            <w:tcW w:w="532" w:type="dxa"/>
            <w:vMerge w:val="restart"/>
            <w:tcBorders>
              <w:left w:val="single" w:sz="4" w:space="0" w:color="auto"/>
            </w:tcBorders>
            <w:shd w:val="clear" w:color="auto" w:fill="FFFFFF"/>
          </w:tcPr>
          <w:p w14:paraId="51FBB811" w14:textId="77777777" w:rsidR="008C76E0" w:rsidRPr="00BD7577" w:rsidRDefault="008C76E0" w:rsidP="008C76E0">
            <w:pPr>
              <w:spacing w:after="120" w:line="240" w:lineRule="auto"/>
              <w:rPr>
                <w:rFonts w:ascii="Sylfaen" w:hAnsi="Sylfaen"/>
                <w:sz w:val="24"/>
                <w:szCs w:val="24"/>
              </w:rPr>
            </w:pPr>
          </w:p>
        </w:tc>
        <w:tc>
          <w:tcPr>
            <w:tcW w:w="2052" w:type="dxa"/>
            <w:shd w:val="clear" w:color="auto" w:fill="FFFFFF"/>
          </w:tcPr>
          <w:p w14:paraId="40D13DDD"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363F31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4.2.2.7</w:t>
            </w:r>
          </w:p>
        </w:tc>
        <w:tc>
          <w:tcPr>
            <w:tcW w:w="2520" w:type="dxa"/>
            <w:tcBorders>
              <w:top w:val="single" w:sz="4" w:space="0" w:color="auto"/>
              <w:left w:val="single" w:sz="4" w:space="0" w:color="auto"/>
            </w:tcBorders>
            <w:shd w:val="clear" w:color="auto" w:fill="FFFFFF"/>
          </w:tcPr>
          <w:p w14:paraId="31565E3C"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969F146" w14:textId="77777777" w:rsidR="008C76E0" w:rsidRPr="00BD7577" w:rsidRDefault="008C76E0" w:rsidP="008C76E0">
            <w:pPr>
              <w:spacing w:after="120" w:line="240" w:lineRule="auto"/>
              <w:rPr>
                <w:rFonts w:ascii="Sylfaen" w:hAnsi="Sylfaen"/>
                <w:sz w:val="24"/>
                <w:szCs w:val="24"/>
              </w:rPr>
            </w:pPr>
          </w:p>
        </w:tc>
      </w:tr>
      <w:tr w:rsidR="008C76E0" w:rsidRPr="00BD7577" w14:paraId="551853B3" w14:textId="77777777" w:rsidTr="00A8592B">
        <w:trPr>
          <w:jc w:val="center"/>
        </w:trPr>
        <w:tc>
          <w:tcPr>
            <w:tcW w:w="1215" w:type="dxa"/>
            <w:vMerge/>
            <w:tcBorders>
              <w:left w:val="single" w:sz="4" w:space="0" w:color="auto"/>
            </w:tcBorders>
            <w:shd w:val="clear" w:color="auto" w:fill="FFFFFF"/>
          </w:tcPr>
          <w:p w14:paraId="2288C8E6" w14:textId="77777777" w:rsidR="008C76E0" w:rsidRPr="00BD7577" w:rsidRDefault="008C76E0" w:rsidP="008C76E0">
            <w:pPr>
              <w:spacing w:after="120" w:line="240" w:lineRule="auto"/>
              <w:rPr>
                <w:rFonts w:ascii="Sylfaen" w:hAnsi="Sylfaen"/>
                <w:sz w:val="24"/>
                <w:szCs w:val="24"/>
              </w:rPr>
            </w:pPr>
          </w:p>
        </w:tc>
        <w:tc>
          <w:tcPr>
            <w:tcW w:w="532" w:type="dxa"/>
            <w:vMerge/>
            <w:tcBorders>
              <w:left w:val="single" w:sz="4" w:space="0" w:color="auto"/>
            </w:tcBorders>
            <w:shd w:val="clear" w:color="auto" w:fill="FFFFFF"/>
          </w:tcPr>
          <w:p w14:paraId="748FD653" w14:textId="77777777" w:rsidR="008C76E0" w:rsidRPr="00BD7577" w:rsidRDefault="008C76E0" w:rsidP="008C76E0">
            <w:pPr>
              <w:spacing w:after="120" w:line="240" w:lineRule="auto"/>
              <w:rPr>
                <w:rFonts w:ascii="Sylfaen" w:hAnsi="Sylfaen"/>
                <w:sz w:val="24"/>
                <w:szCs w:val="24"/>
              </w:rPr>
            </w:pPr>
          </w:p>
        </w:tc>
        <w:tc>
          <w:tcPr>
            <w:tcW w:w="2052" w:type="dxa"/>
            <w:tcBorders>
              <w:top w:val="single" w:sz="4" w:space="0" w:color="auto"/>
            </w:tcBorders>
            <w:shd w:val="clear" w:color="auto" w:fill="FFFFFF"/>
            <w:vAlign w:val="bottom"/>
          </w:tcPr>
          <w:p w14:paraId="4D1E25E3"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w:t>
            </w:r>
          </w:p>
        </w:tc>
        <w:tc>
          <w:tcPr>
            <w:tcW w:w="902" w:type="dxa"/>
            <w:tcBorders>
              <w:top w:val="single" w:sz="4" w:space="0" w:color="auto"/>
              <w:left w:val="single" w:sz="4" w:space="0" w:color="auto"/>
            </w:tcBorders>
            <w:shd w:val="clear" w:color="auto" w:fill="FFFFFF"/>
            <w:vAlign w:val="bottom"/>
          </w:tcPr>
          <w:p w14:paraId="18A0597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4.2.3.1</w:t>
            </w:r>
          </w:p>
        </w:tc>
        <w:tc>
          <w:tcPr>
            <w:tcW w:w="2520" w:type="dxa"/>
            <w:tcBorders>
              <w:top w:val="single" w:sz="4" w:space="0" w:color="auto"/>
              <w:left w:val="single" w:sz="4" w:space="0" w:color="auto"/>
            </w:tcBorders>
            <w:shd w:val="clear" w:color="auto" w:fill="FFFFFF"/>
          </w:tcPr>
          <w:p w14:paraId="5A9623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4CD9A83F" w14:textId="77777777" w:rsidR="008C76E0" w:rsidRPr="00BD7577" w:rsidRDefault="008C76E0" w:rsidP="008C76E0">
            <w:pPr>
              <w:spacing w:after="120" w:line="240" w:lineRule="auto"/>
              <w:rPr>
                <w:rFonts w:ascii="Sylfaen" w:hAnsi="Sylfaen"/>
                <w:sz w:val="24"/>
                <w:szCs w:val="24"/>
              </w:rPr>
            </w:pPr>
          </w:p>
        </w:tc>
      </w:tr>
      <w:tr w:rsidR="008C76E0" w:rsidRPr="00BD7577" w14:paraId="3119FE6B" w14:textId="77777777" w:rsidTr="00A8592B">
        <w:trPr>
          <w:jc w:val="center"/>
        </w:trPr>
        <w:tc>
          <w:tcPr>
            <w:tcW w:w="1215" w:type="dxa"/>
            <w:vMerge/>
            <w:tcBorders>
              <w:left w:val="single" w:sz="4" w:space="0" w:color="auto"/>
            </w:tcBorders>
            <w:shd w:val="clear" w:color="auto" w:fill="FFFFFF"/>
          </w:tcPr>
          <w:p w14:paraId="214FD990" w14:textId="77777777" w:rsidR="008C76E0" w:rsidRPr="00BD7577" w:rsidRDefault="008C76E0" w:rsidP="008C76E0">
            <w:pPr>
              <w:spacing w:after="120" w:line="240" w:lineRule="auto"/>
              <w:rPr>
                <w:rFonts w:ascii="Sylfaen" w:hAnsi="Sylfaen"/>
                <w:sz w:val="24"/>
                <w:szCs w:val="24"/>
              </w:rPr>
            </w:pPr>
          </w:p>
        </w:tc>
        <w:tc>
          <w:tcPr>
            <w:tcW w:w="2584" w:type="dxa"/>
            <w:gridSpan w:val="2"/>
            <w:vMerge w:val="restart"/>
            <w:tcBorders>
              <w:left w:val="single" w:sz="4" w:space="0" w:color="auto"/>
            </w:tcBorders>
            <w:shd w:val="clear" w:color="auto" w:fill="FFFFFF"/>
          </w:tcPr>
          <w:p w14:paraId="0F5A337F"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12763BD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4.2.3.2</w:t>
            </w:r>
          </w:p>
        </w:tc>
        <w:tc>
          <w:tcPr>
            <w:tcW w:w="2520" w:type="dxa"/>
            <w:tcBorders>
              <w:top w:val="single" w:sz="4" w:space="0" w:color="auto"/>
              <w:left w:val="single" w:sz="4" w:space="0" w:color="auto"/>
            </w:tcBorders>
            <w:shd w:val="clear" w:color="auto" w:fill="FFFFFF"/>
          </w:tcPr>
          <w:p w14:paraId="5CE39E5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233E88FC" w14:textId="77777777" w:rsidR="008C76E0" w:rsidRPr="00BD7577" w:rsidRDefault="008C76E0" w:rsidP="008C76E0">
            <w:pPr>
              <w:spacing w:after="120" w:line="240" w:lineRule="auto"/>
              <w:rPr>
                <w:rFonts w:ascii="Sylfaen" w:hAnsi="Sylfaen"/>
                <w:sz w:val="24"/>
                <w:szCs w:val="24"/>
              </w:rPr>
            </w:pPr>
          </w:p>
        </w:tc>
      </w:tr>
      <w:tr w:rsidR="008C76E0" w:rsidRPr="00BD7577" w14:paraId="03E9B186" w14:textId="77777777" w:rsidTr="00A8592B">
        <w:trPr>
          <w:jc w:val="center"/>
        </w:trPr>
        <w:tc>
          <w:tcPr>
            <w:tcW w:w="1215" w:type="dxa"/>
            <w:vMerge/>
            <w:tcBorders>
              <w:left w:val="single" w:sz="4" w:space="0" w:color="auto"/>
            </w:tcBorders>
            <w:shd w:val="clear" w:color="auto" w:fill="FFFFFF"/>
          </w:tcPr>
          <w:p w14:paraId="4D4224AA"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8566C5"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01C48BA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w:t>
            </w:r>
          </w:p>
        </w:tc>
        <w:tc>
          <w:tcPr>
            <w:tcW w:w="2520" w:type="dxa"/>
            <w:tcBorders>
              <w:top w:val="single" w:sz="4" w:space="0" w:color="auto"/>
              <w:left w:val="single" w:sz="4" w:space="0" w:color="auto"/>
            </w:tcBorders>
            <w:shd w:val="clear" w:color="auto" w:fill="FFFFFF"/>
            <w:vAlign w:val="bottom"/>
          </w:tcPr>
          <w:p w14:paraId="6C2F4C4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4.2.3.3.1</w:t>
            </w:r>
          </w:p>
        </w:tc>
        <w:tc>
          <w:tcPr>
            <w:tcW w:w="2578" w:type="dxa"/>
            <w:tcBorders>
              <w:top w:val="single" w:sz="4" w:space="0" w:color="auto"/>
              <w:left w:val="single" w:sz="4" w:space="0" w:color="auto"/>
              <w:right w:val="single" w:sz="4" w:space="0" w:color="auto"/>
            </w:tcBorders>
            <w:shd w:val="clear" w:color="auto" w:fill="FFFFFF"/>
          </w:tcPr>
          <w:p w14:paraId="6D8E373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054F2B2" w14:textId="77777777" w:rsidTr="00A8592B">
        <w:trPr>
          <w:jc w:val="center"/>
        </w:trPr>
        <w:tc>
          <w:tcPr>
            <w:tcW w:w="1215" w:type="dxa"/>
            <w:vMerge/>
            <w:tcBorders>
              <w:left w:val="single" w:sz="4" w:space="0" w:color="auto"/>
            </w:tcBorders>
            <w:shd w:val="clear" w:color="auto" w:fill="FFFFFF"/>
          </w:tcPr>
          <w:p w14:paraId="374C0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9FA520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32AA10E"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7151F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4.2.3.3.2</w:t>
            </w:r>
          </w:p>
        </w:tc>
        <w:tc>
          <w:tcPr>
            <w:tcW w:w="2578" w:type="dxa"/>
            <w:tcBorders>
              <w:top w:val="single" w:sz="4" w:space="0" w:color="auto"/>
              <w:left w:val="single" w:sz="4" w:space="0" w:color="auto"/>
              <w:right w:val="single" w:sz="4" w:space="0" w:color="auto"/>
            </w:tcBorders>
            <w:shd w:val="clear" w:color="auto" w:fill="FFFFFF"/>
          </w:tcPr>
          <w:p w14:paraId="4761DC80"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C101157" w14:textId="77777777" w:rsidTr="00A8592B">
        <w:trPr>
          <w:jc w:val="center"/>
        </w:trPr>
        <w:tc>
          <w:tcPr>
            <w:tcW w:w="1215" w:type="dxa"/>
            <w:vMerge/>
            <w:tcBorders>
              <w:left w:val="single" w:sz="4" w:space="0" w:color="auto"/>
            </w:tcBorders>
            <w:shd w:val="clear" w:color="auto" w:fill="FFFFFF"/>
          </w:tcPr>
          <w:p w14:paraId="25EF4220"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6C88696"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35E014D7"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w:t>
            </w:r>
          </w:p>
        </w:tc>
        <w:tc>
          <w:tcPr>
            <w:tcW w:w="2520" w:type="dxa"/>
            <w:tcBorders>
              <w:top w:val="single" w:sz="4" w:space="0" w:color="auto"/>
              <w:left w:val="single" w:sz="4" w:space="0" w:color="auto"/>
            </w:tcBorders>
            <w:shd w:val="clear" w:color="auto" w:fill="FFFFFF"/>
            <w:vAlign w:val="bottom"/>
          </w:tcPr>
          <w:p w14:paraId="708C489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4.2.3.4.1</w:t>
            </w:r>
          </w:p>
        </w:tc>
        <w:tc>
          <w:tcPr>
            <w:tcW w:w="2578" w:type="dxa"/>
            <w:tcBorders>
              <w:top w:val="single" w:sz="4" w:space="0" w:color="auto"/>
              <w:left w:val="single" w:sz="4" w:space="0" w:color="auto"/>
              <w:right w:val="single" w:sz="4" w:space="0" w:color="auto"/>
            </w:tcBorders>
            <w:shd w:val="clear" w:color="auto" w:fill="FFFFFF"/>
          </w:tcPr>
          <w:p w14:paraId="50CA4D9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A9CE858" w14:textId="77777777" w:rsidTr="00A8592B">
        <w:trPr>
          <w:jc w:val="center"/>
        </w:trPr>
        <w:tc>
          <w:tcPr>
            <w:tcW w:w="1215" w:type="dxa"/>
            <w:vMerge/>
            <w:tcBorders>
              <w:left w:val="single" w:sz="4" w:space="0" w:color="auto"/>
            </w:tcBorders>
            <w:shd w:val="clear" w:color="auto" w:fill="FFFFFF"/>
          </w:tcPr>
          <w:p w14:paraId="0F76353D"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4E517BD"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CC787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7635452A"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4.2.3.4.2</w:t>
            </w:r>
          </w:p>
        </w:tc>
        <w:tc>
          <w:tcPr>
            <w:tcW w:w="2578" w:type="dxa"/>
            <w:tcBorders>
              <w:top w:val="single" w:sz="4" w:space="0" w:color="auto"/>
              <w:left w:val="single" w:sz="4" w:space="0" w:color="auto"/>
              <w:right w:val="single" w:sz="4" w:space="0" w:color="auto"/>
            </w:tcBorders>
            <w:shd w:val="clear" w:color="auto" w:fill="FFFFFF"/>
          </w:tcPr>
          <w:p w14:paraId="74AB4C59"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B099F6B" w14:textId="77777777" w:rsidTr="00A8592B">
        <w:trPr>
          <w:jc w:val="center"/>
        </w:trPr>
        <w:tc>
          <w:tcPr>
            <w:tcW w:w="1215" w:type="dxa"/>
            <w:vMerge/>
            <w:tcBorders>
              <w:left w:val="single" w:sz="4" w:space="0" w:color="auto"/>
            </w:tcBorders>
            <w:shd w:val="clear" w:color="auto" w:fill="FFFFFF"/>
          </w:tcPr>
          <w:p w14:paraId="208A551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5EFBE2E"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095FCE9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B8555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4.2.3.4.3</w:t>
            </w:r>
          </w:p>
        </w:tc>
        <w:tc>
          <w:tcPr>
            <w:tcW w:w="2578" w:type="dxa"/>
            <w:tcBorders>
              <w:top w:val="single" w:sz="4" w:space="0" w:color="auto"/>
              <w:left w:val="single" w:sz="4" w:space="0" w:color="auto"/>
              <w:right w:val="single" w:sz="4" w:space="0" w:color="auto"/>
            </w:tcBorders>
            <w:shd w:val="clear" w:color="auto" w:fill="FFFFFF"/>
          </w:tcPr>
          <w:p w14:paraId="053345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CCDF307" w14:textId="77777777" w:rsidTr="00A8592B">
        <w:trPr>
          <w:jc w:val="center"/>
        </w:trPr>
        <w:tc>
          <w:tcPr>
            <w:tcW w:w="1215" w:type="dxa"/>
            <w:vMerge/>
            <w:tcBorders>
              <w:left w:val="single" w:sz="4" w:space="0" w:color="auto"/>
            </w:tcBorders>
            <w:shd w:val="clear" w:color="auto" w:fill="FFFFFF"/>
          </w:tcPr>
          <w:p w14:paraId="5B358C75"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305A5460"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463A19F"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w:t>
            </w:r>
          </w:p>
        </w:tc>
        <w:tc>
          <w:tcPr>
            <w:tcW w:w="2520" w:type="dxa"/>
            <w:tcBorders>
              <w:top w:val="single" w:sz="4" w:space="0" w:color="auto"/>
              <w:left w:val="single" w:sz="4" w:space="0" w:color="auto"/>
            </w:tcBorders>
            <w:shd w:val="clear" w:color="auto" w:fill="FFFFFF"/>
            <w:vAlign w:val="bottom"/>
          </w:tcPr>
          <w:p w14:paraId="4D3C13D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4.2.3.5.1</w:t>
            </w:r>
          </w:p>
        </w:tc>
        <w:tc>
          <w:tcPr>
            <w:tcW w:w="2578" w:type="dxa"/>
            <w:tcBorders>
              <w:top w:val="single" w:sz="4" w:space="0" w:color="auto"/>
              <w:left w:val="single" w:sz="4" w:space="0" w:color="auto"/>
              <w:right w:val="single" w:sz="4" w:space="0" w:color="auto"/>
            </w:tcBorders>
            <w:shd w:val="clear" w:color="auto" w:fill="FFFFFF"/>
          </w:tcPr>
          <w:p w14:paraId="14D14EEF"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C0C9CBC" w14:textId="77777777" w:rsidTr="00A8592B">
        <w:trPr>
          <w:jc w:val="center"/>
        </w:trPr>
        <w:tc>
          <w:tcPr>
            <w:tcW w:w="1215" w:type="dxa"/>
            <w:vMerge/>
            <w:tcBorders>
              <w:left w:val="single" w:sz="4" w:space="0" w:color="auto"/>
            </w:tcBorders>
            <w:shd w:val="clear" w:color="auto" w:fill="FFFFFF"/>
          </w:tcPr>
          <w:p w14:paraId="43F122F8"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14D74C4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2950A0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tcPr>
          <w:p w14:paraId="4AAE225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4.2.3.5.2</w:t>
            </w:r>
          </w:p>
        </w:tc>
        <w:tc>
          <w:tcPr>
            <w:tcW w:w="2578" w:type="dxa"/>
            <w:tcBorders>
              <w:top w:val="single" w:sz="4" w:space="0" w:color="auto"/>
              <w:left w:val="single" w:sz="4" w:space="0" w:color="auto"/>
              <w:right w:val="single" w:sz="4" w:space="0" w:color="auto"/>
            </w:tcBorders>
            <w:shd w:val="clear" w:color="auto" w:fill="FFFFFF"/>
          </w:tcPr>
          <w:p w14:paraId="1567D96B"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2B4A16A" w14:textId="77777777" w:rsidTr="00A8592B">
        <w:trPr>
          <w:jc w:val="center"/>
        </w:trPr>
        <w:tc>
          <w:tcPr>
            <w:tcW w:w="1215" w:type="dxa"/>
            <w:vMerge/>
            <w:tcBorders>
              <w:left w:val="single" w:sz="4" w:space="0" w:color="auto"/>
            </w:tcBorders>
            <w:shd w:val="clear" w:color="auto" w:fill="FFFFFF"/>
          </w:tcPr>
          <w:p w14:paraId="1AE5C15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374021"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11A439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431A77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4.2.3.5.3</w:t>
            </w:r>
          </w:p>
        </w:tc>
        <w:tc>
          <w:tcPr>
            <w:tcW w:w="2578" w:type="dxa"/>
            <w:tcBorders>
              <w:top w:val="single" w:sz="4" w:space="0" w:color="auto"/>
              <w:left w:val="single" w:sz="4" w:space="0" w:color="auto"/>
              <w:right w:val="single" w:sz="4" w:space="0" w:color="auto"/>
            </w:tcBorders>
            <w:shd w:val="clear" w:color="auto" w:fill="FFFFFF"/>
          </w:tcPr>
          <w:p w14:paraId="5FF19A2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9188705" w14:textId="77777777" w:rsidTr="00A8592B">
        <w:trPr>
          <w:jc w:val="center"/>
        </w:trPr>
        <w:tc>
          <w:tcPr>
            <w:tcW w:w="1215" w:type="dxa"/>
            <w:vMerge/>
            <w:tcBorders>
              <w:left w:val="single" w:sz="4" w:space="0" w:color="auto"/>
            </w:tcBorders>
            <w:shd w:val="clear" w:color="auto" w:fill="FFFFFF"/>
          </w:tcPr>
          <w:p w14:paraId="76A13D04"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2AEB6A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3A28D7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2E1A1C2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4.2.3.5.4</w:t>
            </w:r>
          </w:p>
        </w:tc>
        <w:tc>
          <w:tcPr>
            <w:tcW w:w="2578" w:type="dxa"/>
            <w:tcBorders>
              <w:top w:val="single" w:sz="4" w:space="0" w:color="auto"/>
              <w:left w:val="single" w:sz="4" w:space="0" w:color="auto"/>
              <w:right w:val="single" w:sz="4" w:space="0" w:color="auto"/>
            </w:tcBorders>
            <w:shd w:val="clear" w:color="auto" w:fill="FFFFFF"/>
          </w:tcPr>
          <w:p w14:paraId="3AB69254"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89AC53C" w14:textId="77777777" w:rsidTr="00A8592B">
        <w:trPr>
          <w:jc w:val="center"/>
        </w:trPr>
        <w:tc>
          <w:tcPr>
            <w:tcW w:w="1215" w:type="dxa"/>
            <w:vMerge/>
            <w:tcBorders>
              <w:left w:val="single" w:sz="4" w:space="0" w:color="auto"/>
            </w:tcBorders>
            <w:shd w:val="clear" w:color="auto" w:fill="FFFFFF"/>
          </w:tcPr>
          <w:p w14:paraId="0D0090E1"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9C2B4D8" w14:textId="77777777" w:rsidR="008C76E0" w:rsidRPr="00BD7577" w:rsidRDefault="008C76E0" w:rsidP="008C76E0">
            <w:pPr>
              <w:spacing w:after="120" w:line="240" w:lineRule="auto"/>
              <w:rPr>
                <w:rFonts w:ascii="Sylfaen" w:hAnsi="Sylfaen"/>
                <w:sz w:val="24"/>
                <w:szCs w:val="24"/>
              </w:rPr>
            </w:pPr>
          </w:p>
        </w:tc>
        <w:tc>
          <w:tcPr>
            <w:tcW w:w="902" w:type="dxa"/>
            <w:tcBorders>
              <w:top w:val="single" w:sz="4" w:space="0" w:color="auto"/>
              <w:left w:val="single" w:sz="4" w:space="0" w:color="auto"/>
            </w:tcBorders>
            <w:shd w:val="clear" w:color="auto" w:fill="FFFFFF"/>
            <w:vAlign w:val="bottom"/>
          </w:tcPr>
          <w:p w14:paraId="6DA0A9A4"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4.2.3.6</w:t>
            </w:r>
          </w:p>
        </w:tc>
        <w:tc>
          <w:tcPr>
            <w:tcW w:w="2520" w:type="dxa"/>
            <w:tcBorders>
              <w:top w:val="single" w:sz="4" w:space="0" w:color="auto"/>
              <w:left w:val="single" w:sz="4" w:space="0" w:color="auto"/>
            </w:tcBorders>
            <w:shd w:val="clear" w:color="auto" w:fill="FFFFFF"/>
          </w:tcPr>
          <w:p w14:paraId="4798FD5A"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578" w:type="dxa"/>
            <w:tcBorders>
              <w:top w:val="single" w:sz="4" w:space="0" w:color="auto"/>
              <w:left w:val="single" w:sz="4" w:space="0" w:color="auto"/>
              <w:right w:val="single" w:sz="4" w:space="0" w:color="auto"/>
            </w:tcBorders>
            <w:shd w:val="clear" w:color="auto" w:fill="FFFFFF"/>
          </w:tcPr>
          <w:p w14:paraId="533C3A70" w14:textId="77777777" w:rsidR="008C76E0" w:rsidRPr="00BD7577" w:rsidRDefault="008C76E0" w:rsidP="008C76E0">
            <w:pPr>
              <w:spacing w:after="120" w:line="240" w:lineRule="auto"/>
              <w:rPr>
                <w:rFonts w:ascii="Sylfaen" w:hAnsi="Sylfaen"/>
                <w:sz w:val="24"/>
                <w:szCs w:val="24"/>
              </w:rPr>
            </w:pPr>
          </w:p>
        </w:tc>
      </w:tr>
      <w:tr w:rsidR="008C76E0" w:rsidRPr="00BD7577" w14:paraId="791925C3" w14:textId="77777777" w:rsidTr="00A8592B">
        <w:trPr>
          <w:jc w:val="center"/>
        </w:trPr>
        <w:tc>
          <w:tcPr>
            <w:tcW w:w="1215" w:type="dxa"/>
            <w:vMerge/>
            <w:tcBorders>
              <w:left w:val="single" w:sz="4" w:space="0" w:color="auto"/>
            </w:tcBorders>
            <w:shd w:val="clear" w:color="auto" w:fill="FFFFFF"/>
          </w:tcPr>
          <w:p w14:paraId="748D73DF"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1A3337C" w14:textId="77777777" w:rsidR="008C76E0" w:rsidRPr="00BD7577" w:rsidRDefault="008C76E0" w:rsidP="008C76E0">
            <w:pPr>
              <w:spacing w:after="120" w:line="240" w:lineRule="auto"/>
              <w:rPr>
                <w:rFonts w:ascii="Sylfaen" w:hAnsi="Sylfaen"/>
                <w:sz w:val="24"/>
                <w:szCs w:val="24"/>
              </w:rPr>
            </w:pPr>
          </w:p>
        </w:tc>
        <w:tc>
          <w:tcPr>
            <w:tcW w:w="902" w:type="dxa"/>
            <w:vMerge w:val="restart"/>
            <w:tcBorders>
              <w:top w:val="single" w:sz="4" w:space="0" w:color="auto"/>
              <w:left w:val="single" w:sz="4" w:space="0" w:color="auto"/>
            </w:tcBorders>
            <w:shd w:val="clear" w:color="auto" w:fill="FFFFFF"/>
          </w:tcPr>
          <w:p w14:paraId="1CFB1775"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w:t>
            </w:r>
          </w:p>
        </w:tc>
        <w:tc>
          <w:tcPr>
            <w:tcW w:w="2520" w:type="dxa"/>
            <w:tcBorders>
              <w:top w:val="single" w:sz="4" w:space="0" w:color="auto"/>
              <w:left w:val="single" w:sz="4" w:space="0" w:color="auto"/>
            </w:tcBorders>
            <w:shd w:val="clear" w:color="auto" w:fill="FFFFFF"/>
            <w:vAlign w:val="bottom"/>
          </w:tcPr>
          <w:p w14:paraId="67BF9D46"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4.2.3.7.1</w:t>
            </w:r>
          </w:p>
        </w:tc>
        <w:tc>
          <w:tcPr>
            <w:tcW w:w="2578" w:type="dxa"/>
            <w:tcBorders>
              <w:top w:val="single" w:sz="4" w:space="0" w:color="auto"/>
              <w:left w:val="single" w:sz="4" w:space="0" w:color="auto"/>
              <w:right w:val="single" w:sz="4" w:space="0" w:color="auto"/>
            </w:tcBorders>
            <w:shd w:val="clear" w:color="auto" w:fill="FFFFFF"/>
          </w:tcPr>
          <w:p w14:paraId="3D0161F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37BB15" w14:textId="77777777" w:rsidTr="00A8592B">
        <w:trPr>
          <w:jc w:val="center"/>
        </w:trPr>
        <w:tc>
          <w:tcPr>
            <w:tcW w:w="1215" w:type="dxa"/>
            <w:vMerge/>
            <w:tcBorders>
              <w:left w:val="single" w:sz="4" w:space="0" w:color="auto"/>
            </w:tcBorders>
            <w:shd w:val="clear" w:color="auto" w:fill="FFFFFF"/>
          </w:tcPr>
          <w:p w14:paraId="54CA978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B24399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37C3038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4F6AC3E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4.2.3.7.2</w:t>
            </w:r>
          </w:p>
        </w:tc>
        <w:tc>
          <w:tcPr>
            <w:tcW w:w="2578" w:type="dxa"/>
            <w:tcBorders>
              <w:top w:val="single" w:sz="4" w:space="0" w:color="auto"/>
              <w:left w:val="single" w:sz="4" w:space="0" w:color="auto"/>
              <w:right w:val="single" w:sz="4" w:space="0" w:color="auto"/>
            </w:tcBorders>
            <w:shd w:val="clear" w:color="auto" w:fill="FFFFFF"/>
          </w:tcPr>
          <w:p w14:paraId="4DE98247"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8A86E5F" w14:textId="77777777" w:rsidTr="00A8592B">
        <w:trPr>
          <w:jc w:val="center"/>
        </w:trPr>
        <w:tc>
          <w:tcPr>
            <w:tcW w:w="1215" w:type="dxa"/>
            <w:vMerge/>
            <w:tcBorders>
              <w:left w:val="single" w:sz="4" w:space="0" w:color="auto"/>
            </w:tcBorders>
            <w:shd w:val="clear" w:color="auto" w:fill="FFFFFF"/>
          </w:tcPr>
          <w:p w14:paraId="7F10CD92"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42AB5C0A"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2F6CB2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10DCFACE"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4.2.3.7.3</w:t>
            </w:r>
          </w:p>
        </w:tc>
        <w:tc>
          <w:tcPr>
            <w:tcW w:w="2578" w:type="dxa"/>
            <w:tcBorders>
              <w:top w:val="single" w:sz="4" w:space="0" w:color="auto"/>
              <w:left w:val="single" w:sz="4" w:space="0" w:color="auto"/>
              <w:right w:val="single" w:sz="4" w:space="0" w:color="auto"/>
            </w:tcBorders>
            <w:shd w:val="clear" w:color="auto" w:fill="FFFFFF"/>
          </w:tcPr>
          <w:p w14:paraId="088E5D92"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3104CE4" w14:textId="77777777" w:rsidTr="00A8592B">
        <w:trPr>
          <w:jc w:val="center"/>
        </w:trPr>
        <w:tc>
          <w:tcPr>
            <w:tcW w:w="1215" w:type="dxa"/>
            <w:vMerge/>
            <w:tcBorders>
              <w:left w:val="single" w:sz="4" w:space="0" w:color="auto"/>
            </w:tcBorders>
            <w:shd w:val="clear" w:color="auto" w:fill="FFFFFF"/>
          </w:tcPr>
          <w:p w14:paraId="509F2587"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046F7EEB"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4464ACCD"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5460D7C"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4.2.3.7.4</w:t>
            </w:r>
          </w:p>
        </w:tc>
        <w:tc>
          <w:tcPr>
            <w:tcW w:w="2578" w:type="dxa"/>
            <w:tcBorders>
              <w:top w:val="single" w:sz="4" w:space="0" w:color="auto"/>
              <w:left w:val="single" w:sz="4" w:space="0" w:color="auto"/>
              <w:right w:val="single" w:sz="4" w:space="0" w:color="auto"/>
            </w:tcBorders>
            <w:shd w:val="clear" w:color="auto" w:fill="FFFFFF"/>
          </w:tcPr>
          <w:p w14:paraId="4B80462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90524B3" w14:textId="77777777" w:rsidTr="00A8592B">
        <w:trPr>
          <w:jc w:val="center"/>
        </w:trPr>
        <w:tc>
          <w:tcPr>
            <w:tcW w:w="1215" w:type="dxa"/>
            <w:vMerge/>
            <w:tcBorders>
              <w:left w:val="single" w:sz="4" w:space="0" w:color="auto"/>
            </w:tcBorders>
            <w:shd w:val="clear" w:color="auto" w:fill="FFFFFF"/>
          </w:tcPr>
          <w:p w14:paraId="736290EE"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275EECF4"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7FB5151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60F72C5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4.2.3.7.5</w:t>
            </w:r>
          </w:p>
        </w:tc>
        <w:tc>
          <w:tcPr>
            <w:tcW w:w="2578" w:type="dxa"/>
            <w:tcBorders>
              <w:top w:val="single" w:sz="4" w:space="0" w:color="auto"/>
              <w:left w:val="single" w:sz="4" w:space="0" w:color="auto"/>
              <w:right w:val="single" w:sz="4" w:space="0" w:color="auto"/>
            </w:tcBorders>
            <w:shd w:val="clear" w:color="auto" w:fill="FFFFFF"/>
          </w:tcPr>
          <w:p w14:paraId="056D9BF8"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4289C2E" w14:textId="77777777" w:rsidTr="00A8592B">
        <w:trPr>
          <w:jc w:val="center"/>
        </w:trPr>
        <w:tc>
          <w:tcPr>
            <w:tcW w:w="1215" w:type="dxa"/>
            <w:vMerge/>
            <w:tcBorders>
              <w:left w:val="single" w:sz="4" w:space="0" w:color="auto"/>
            </w:tcBorders>
            <w:shd w:val="clear" w:color="auto" w:fill="FFFFFF"/>
          </w:tcPr>
          <w:p w14:paraId="355DDC4B"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6CD8E6FC"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5822452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35C41A39"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4.2.3.7.6</w:t>
            </w:r>
          </w:p>
        </w:tc>
        <w:tc>
          <w:tcPr>
            <w:tcW w:w="2578" w:type="dxa"/>
            <w:tcBorders>
              <w:top w:val="single" w:sz="4" w:space="0" w:color="auto"/>
              <w:left w:val="single" w:sz="4" w:space="0" w:color="auto"/>
              <w:right w:val="single" w:sz="4" w:space="0" w:color="auto"/>
            </w:tcBorders>
            <w:shd w:val="clear" w:color="auto" w:fill="FFFFFF"/>
          </w:tcPr>
          <w:p w14:paraId="3F2EDEDD"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755C924" w14:textId="77777777" w:rsidTr="00A8592B">
        <w:trPr>
          <w:jc w:val="center"/>
        </w:trPr>
        <w:tc>
          <w:tcPr>
            <w:tcW w:w="1215" w:type="dxa"/>
            <w:vMerge/>
            <w:tcBorders>
              <w:left w:val="single" w:sz="4" w:space="0" w:color="auto"/>
            </w:tcBorders>
            <w:shd w:val="clear" w:color="auto" w:fill="FFFFFF"/>
          </w:tcPr>
          <w:p w14:paraId="24FC46A9" w14:textId="77777777" w:rsidR="008C76E0" w:rsidRPr="00BD7577" w:rsidRDefault="008C76E0" w:rsidP="008C76E0">
            <w:pPr>
              <w:spacing w:after="120" w:line="240" w:lineRule="auto"/>
              <w:rPr>
                <w:rFonts w:ascii="Sylfaen" w:hAnsi="Sylfaen"/>
                <w:sz w:val="24"/>
                <w:szCs w:val="24"/>
              </w:rPr>
            </w:pPr>
          </w:p>
        </w:tc>
        <w:tc>
          <w:tcPr>
            <w:tcW w:w="2584" w:type="dxa"/>
            <w:gridSpan w:val="2"/>
            <w:vMerge/>
            <w:tcBorders>
              <w:left w:val="single" w:sz="4" w:space="0" w:color="auto"/>
            </w:tcBorders>
            <w:shd w:val="clear" w:color="auto" w:fill="FFFFFF"/>
          </w:tcPr>
          <w:p w14:paraId="7D2F92D7" w14:textId="77777777" w:rsidR="008C76E0" w:rsidRPr="00BD7577" w:rsidRDefault="008C76E0" w:rsidP="008C76E0">
            <w:pPr>
              <w:spacing w:after="120" w:line="240" w:lineRule="auto"/>
              <w:rPr>
                <w:rFonts w:ascii="Sylfaen" w:hAnsi="Sylfaen"/>
                <w:sz w:val="24"/>
                <w:szCs w:val="24"/>
              </w:rPr>
            </w:pPr>
          </w:p>
        </w:tc>
        <w:tc>
          <w:tcPr>
            <w:tcW w:w="902" w:type="dxa"/>
            <w:vMerge/>
            <w:tcBorders>
              <w:left w:val="single" w:sz="4" w:space="0" w:color="auto"/>
            </w:tcBorders>
            <w:shd w:val="clear" w:color="auto" w:fill="FFFFFF"/>
          </w:tcPr>
          <w:p w14:paraId="25212CF5"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tcBorders>
            <w:shd w:val="clear" w:color="auto" w:fill="FFFFFF"/>
            <w:vAlign w:val="bottom"/>
          </w:tcPr>
          <w:p w14:paraId="04C66762"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4.2.3.7.7</w:t>
            </w:r>
          </w:p>
        </w:tc>
        <w:tc>
          <w:tcPr>
            <w:tcW w:w="2578" w:type="dxa"/>
            <w:tcBorders>
              <w:top w:val="single" w:sz="4" w:space="0" w:color="auto"/>
              <w:left w:val="single" w:sz="4" w:space="0" w:color="auto"/>
              <w:right w:val="single" w:sz="4" w:space="0" w:color="auto"/>
            </w:tcBorders>
            <w:shd w:val="clear" w:color="auto" w:fill="FFFFFF"/>
          </w:tcPr>
          <w:p w14:paraId="4A78CCCE" w14:textId="77777777" w:rsidR="008C76E0" w:rsidRPr="00BD7577" w:rsidRDefault="008C76E0" w:rsidP="008C76E0">
            <w:pPr>
              <w:spacing w:after="120" w:line="240" w:lineRule="auto"/>
              <w:rPr>
                <w:rFonts w:ascii="Sylfaen" w:hAnsi="Sylfae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4ADFC84" w14:textId="77777777" w:rsidTr="00A8592B">
        <w:trPr>
          <w:jc w:val="center"/>
        </w:trPr>
        <w:tc>
          <w:tcPr>
            <w:tcW w:w="1215" w:type="dxa"/>
            <w:vMerge/>
            <w:tcBorders>
              <w:left w:val="single" w:sz="4" w:space="0" w:color="auto"/>
              <w:bottom w:val="single" w:sz="4" w:space="0" w:color="auto"/>
            </w:tcBorders>
            <w:shd w:val="clear" w:color="auto" w:fill="FFFFFF"/>
          </w:tcPr>
          <w:p w14:paraId="5112166F" w14:textId="77777777" w:rsidR="008C76E0" w:rsidRPr="00BD7577" w:rsidRDefault="008C76E0" w:rsidP="008C76E0">
            <w:pPr>
              <w:spacing w:after="120" w:line="240" w:lineRule="auto"/>
              <w:rPr>
                <w:rFonts w:ascii="Sylfaen" w:hAnsi="Sylfaen"/>
                <w:sz w:val="24"/>
                <w:szCs w:val="24"/>
              </w:rPr>
            </w:pPr>
          </w:p>
        </w:tc>
        <w:tc>
          <w:tcPr>
            <w:tcW w:w="532" w:type="dxa"/>
            <w:tcBorders>
              <w:top w:val="single" w:sz="4" w:space="0" w:color="auto"/>
              <w:left w:val="single" w:sz="4" w:space="0" w:color="auto"/>
              <w:bottom w:val="single" w:sz="4" w:space="0" w:color="auto"/>
            </w:tcBorders>
            <w:shd w:val="clear" w:color="auto" w:fill="FFFFFF"/>
          </w:tcPr>
          <w:p w14:paraId="3DF38E8B" w14:textId="77777777" w:rsidR="008C76E0" w:rsidRPr="00BD7577" w:rsidRDefault="008C76E0" w:rsidP="008C76E0">
            <w:pPr>
              <w:pStyle w:val="Bodytext40"/>
              <w:shd w:val="clear" w:color="auto" w:fill="auto"/>
              <w:spacing w:before="0" w:after="120" w:line="240" w:lineRule="auto"/>
              <w:jc w:val="left"/>
              <w:rPr>
                <w:rFonts w:ascii="Sylfaen" w:hAnsi="Sylfaen"/>
                <w:sz w:val="24"/>
                <w:szCs w:val="24"/>
              </w:rPr>
            </w:pPr>
            <w:r w:rsidRPr="00BD7577">
              <w:rPr>
                <w:rStyle w:val="Bodytext411pt"/>
                <w:rFonts w:ascii="Sylfaen" w:hAnsi="Sylfaen"/>
                <w:sz w:val="24"/>
                <w:szCs w:val="24"/>
              </w:rPr>
              <w:t>4.3</w:t>
            </w:r>
          </w:p>
        </w:tc>
        <w:tc>
          <w:tcPr>
            <w:tcW w:w="2052" w:type="dxa"/>
            <w:tcBorders>
              <w:top w:val="single" w:sz="4" w:space="0" w:color="auto"/>
              <w:left w:val="single" w:sz="4" w:space="0" w:color="auto"/>
              <w:bottom w:val="single" w:sz="4" w:space="0" w:color="auto"/>
            </w:tcBorders>
            <w:shd w:val="clear" w:color="auto" w:fill="FFFFFF"/>
          </w:tcPr>
          <w:p w14:paraId="43B04BC1" w14:textId="77777777" w:rsidR="008C76E0" w:rsidRPr="00903D92" w:rsidRDefault="008C76E0" w:rsidP="008C76E0">
            <w:pPr>
              <w:spacing w:after="120" w:line="240" w:lineRule="auto"/>
              <w:ind w:left="132" w:right="123"/>
              <w:jc w:val="both"/>
              <w:rPr>
                <w:rFonts w:ascii="Sylfaen" w:hAnsi="Sylfaen"/>
                <w:sz w:val="24"/>
                <w:szCs w:val="24"/>
                <w:lang w:val="en-US"/>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38"/>
            </w:r>
          </w:p>
        </w:tc>
        <w:tc>
          <w:tcPr>
            <w:tcW w:w="902" w:type="dxa"/>
            <w:tcBorders>
              <w:top w:val="single" w:sz="4" w:space="0" w:color="auto"/>
              <w:left w:val="single" w:sz="4" w:space="0" w:color="auto"/>
              <w:bottom w:val="single" w:sz="4" w:space="0" w:color="auto"/>
            </w:tcBorders>
            <w:shd w:val="clear" w:color="auto" w:fill="FFFFFF"/>
          </w:tcPr>
          <w:p w14:paraId="5D56FC1C"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auto"/>
              <w:left w:val="single" w:sz="4" w:space="0" w:color="auto"/>
              <w:bottom w:val="single" w:sz="4" w:space="0" w:color="auto"/>
            </w:tcBorders>
            <w:shd w:val="clear" w:color="auto" w:fill="FFFFFF"/>
          </w:tcPr>
          <w:p w14:paraId="6D12A592" w14:textId="77777777" w:rsidR="008C76E0" w:rsidRPr="00BD7577" w:rsidRDefault="008C76E0" w:rsidP="008C76E0">
            <w:pPr>
              <w:spacing w:after="120" w:line="240" w:lineRule="auto"/>
              <w:rPr>
                <w:rFonts w:ascii="Sylfaen" w:hAnsi="Sylfaen"/>
                <w:sz w:val="24"/>
                <w:szCs w:val="24"/>
              </w:rPr>
            </w:pPr>
          </w:p>
        </w:tc>
        <w:tc>
          <w:tcPr>
            <w:tcW w:w="2578" w:type="dxa"/>
            <w:tcBorders>
              <w:top w:val="single" w:sz="4" w:space="0" w:color="auto"/>
              <w:left w:val="single" w:sz="4" w:space="0" w:color="auto"/>
              <w:bottom w:val="single" w:sz="4" w:space="0" w:color="auto"/>
              <w:right w:val="single" w:sz="4" w:space="0" w:color="auto"/>
            </w:tcBorders>
            <w:shd w:val="clear" w:color="auto" w:fill="FFFFFF"/>
          </w:tcPr>
          <w:p w14:paraId="7F66C55A" w14:textId="77777777" w:rsidR="008C76E0" w:rsidRPr="00BD7577" w:rsidRDefault="008C76E0" w:rsidP="008C76E0">
            <w:pPr>
              <w:spacing w:after="120" w:line="240" w:lineRule="auto"/>
              <w:rPr>
                <w:rFonts w:ascii="Sylfaen" w:hAnsi="Sylfaen"/>
                <w:sz w:val="24"/>
                <w:szCs w:val="24"/>
              </w:rPr>
            </w:pPr>
          </w:p>
        </w:tc>
      </w:tr>
    </w:tbl>
    <w:p w14:paraId="41BD204E" w14:textId="77777777" w:rsidR="008C76E0" w:rsidRPr="00BD7577" w:rsidRDefault="008C76E0" w:rsidP="008C76E0">
      <w:pPr>
        <w:rPr>
          <w:rFonts w:ascii="Sylfaen" w:hAnsi="Sylfaen"/>
          <w:sz w:val="24"/>
          <w:szCs w:val="24"/>
        </w:rPr>
      </w:pPr>
    </w:p>
    <w:p w14:paraId="0F8D2DB3" w14:textId="77777777" w:rsidR="008C76E0" w:rsidRPr="00BD7577" w:rsidRDefault="008C76E0" w:rsidP="008C76E0">
      <w:pPr>
        <w:ind w:left="567" w:right="566"/>
        <w:jc w:val="center"/>
        <w:rPr>
          <w:rFonts w:ascii="Sylfaen" w:eastAsia="Times New Roman" w:hAnsi="Sylfaen" w:cs="Times New Roman"/>
          <w:sz w:val="24"/>
          <w:szCs w:val="24"/>
        </w:rPr>
      </w:pPr>
      <w:r w:rsidRPr="00BD7577">
        <w:rPr>
          <w:rFonts w:ascii="Sylfaen" w:hAnsi="Sylfaen"/>
          <w:sz w:val="24"/>
          <w:szCs w:val="24"/>
        </w:rPr>
        <w:t>Պայմանական նշագրերը</w:t>
      </w:r>
    </w:p>
    <w:tbl>
      <w:tblPr>
        <w:tblStyle w:val="TableGrid"/>
        <w:tblW w:w="9552" w:type="dxa"/>
        <w:jc w:val="center"/>
        <w:tblLook w:val="04A0" w:firstRow="1" w:lastRow="0" w:firstColumn="1" w:lastColumn="0" w:noHBand="0" w:noVBand="1"/>
      </w:tblPr>
      <w:tblGrid>
        <w:gridCol w:w="9552"/>
      </w:tblGrid>
      <w:tr w:rsidR="008C76E0" w:rsidRPr="00BD7577" w14:paraId="5B4E5411" w14:textId="77777777" w:rsidTr="008C76E0">
        <w:trPr>
          <w:jc w:val="center"/>
        </w:trPr>
        <w:tc>
          <w:tcPr>
            <w:tcW w:w="9552" w:type="dxa"/>
          </w:tcPr>
          <w:p w14:paraId="361EEBF1" w14:textId="77777777" w:rsidR="008C76E0" w:rsidRPr="00BD7577" w:rsidRDefault="008C76E0" w:rsidP="008C76E0">
            <w:pPr>
              <w:spacing w:after="120"/>
              <w:ind w:left="-9"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6A3362C7" w14:textId="77777777" w:rsidTr="008C76E0">
        <w:trPr>
          <w:jc w:val="center"/>
        </w:trPr>
        <w:tc>
          <w:tcPr>
            <w:tcW w:w="9552" w:type="dxa"/>
          </w:tcPr>
          <w:p w14:paraId="66FBF002"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Բովանդակությունը պահանջվում է միայն ԸՏՓ-ի թղթային տարբերակի համար, ԷԸՏՓ-ում այն նախատեսված չէ:</w:t>
            </w:r>
          </w:p>
        </w:tc>
      </w:tr>
      <w:tr w:rsidR="008C76E0" w:rsidRPr="00BD7577" w14:paraId="4110FDE6" w14:textId="77777777" w:rsidTr="008C76E0">
        <w:trPr>
          <w:jc w:val="center"/>
        </w:trPr>
        <w:tc>
          <w:tcPr>
            <w:tcW w:w="9552" w:type="dxa"/>
          </w:tcPr>
          <w:p w14:paraId="50615544" w14:textId="77777777" w:rsidR="008C76E0" w:rsidRPr="00BD7577" w:rsidRDefault="008C76E0" w:rsidP="008C76E0">
            <w:pPr>
              <w:spacing w:after="120"/>
              <w:ind w:left="-9" w:right="-11"/>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3E9457C" w14:textId="77777777" w:rsidR="00903D92" w:rsidRDefault="00903D92" w:rsidP="008C76E0">
      <w:pPr>
        <w:ind w:left="102" w:right="-20"/>
        <w:rPr>
          <w:rFonts w:ascii="Sylfaen" w:eastAsia="Times New Roman" w:hAnsi="Sylfaen" w:cs="Times New Roman"/>
          <w:sz w:val="24"/>
          <w:szCs w:val="24"/>
        </w:rPr>
        <w:sectPr w:rsidR="00903D92" w:rsidSect="00A8592B">
          <w:footnotePr>
            <w:numRestart w:val="eachSect"/>
          </w:footnotePr>
          <w:pgSz w:w="11907" w:h="16839" w:code="9"/>
          <w:pgMar w:top="1418" w:right="1418" w:bottom="1418" w:left="1418" w:header="0" w:footer="361" w:gutter="0"/>
          <w:cols w:space="720"/>
          <w:noEndnote/>
          <w:docGrid w:linePitch="360"/>
        </w:sectPr>
      </w:pPr>
    </w:p>
    <w:p w14:paraId="671B7339" w14:textId="77777777" w:rsidR="008C76E0" w:rsidRPr="00BD7577" w:rsidRDefault="008C76E0" w:rsidP="008C76E0">
      <w:pPr>
        <w:tabs>
          <w:tab w:val="left" w:pos="1134"/>
        </w:tabs>
        <w:ind w:right="-20" w:firstLine="567"/>
        <w:jc w:val="both"/>
        <w:rPr>
          <w:rFonts w:ascii="Sylfaen" w:eastAsia="Times New Roman" w:hAnsi="Sylfaen" w:cs="Times New Roman"/>
          <w:sz w:val="24"/>
          <w:szCs w:val="24"/>
          <w:lang w:val="en-US"/>
        </w:rPr>
      </w:pPr>
      <w:r w:rsidRPr="00BD7577">
        <w:rPr>
          <w:rFonts w:ascii="Sylfaen" w:eastAsia="Times New Roman" w:hAnsi="Sylfaen" w:cs="Times New Roman"/>
          <w:sz w:val="24"/>
          <w:szCs w:val="24"/>
          <w:lang w:val="ru-RU"/>
        </w:rPr>
        <w:lastRenderedPageBreak/>
        <w:t>5</w:t>
      </w:r>
      <w:r>
        <w:rPr>
          <w:rFonts w:ascii="Sylfaen" w:eastAsia="Times New Roman" w:hAnsi="Sylfaen" w:cs="Times New Roman"/>
          <w:sz w:val="24"/>
          <w:szCs w:val="24"/>
          <w:lang w:val="en-US"/>
        </w:rPr>
        <w:t>.</w:t>
      </w:r>
      <w:r>
        <w:rPr>
          <w:rFonts w:ascii="Sylfaen" w:eastAsia="Times New Roman" w:hAnsi="Sylfaen" w:cs="Times New Roman"/>
          <w:sz w:val="24"/>
          <w:szCs w:val="24"/>
          <w:lang w:val="en-US"/>
        </w:rPr>
        <w:tab/>
      </w:r>
      <w:r w:rsidRPr="00BD7577">
        <w:rPr>
          <w:rFonts w:ascii="Sylfaen" w:hAnsi="Sylfaen"/>
          <w:sz w:val="24"/>
          <w:szCs w:val="24"/>
        </w:rPr>
        <w:t>Մոդուլ 5</w:t>
      </w:r>
    </w:p>
    <w:tbl>
      <w:tblPr>
        <w:tblW w:w="0" w:type="auto"/>
        <w:jc w:val="center"/>
        <w:tblLayout w:type="fixed"/>
        <w:tblCellMar>
          <w:left w:w="0" w:type="dxa"/>
          <w:right w:w="0" w:type="dxa"/>
        </w:tblCellMar>
        <w:tblLook w:val="01E0" w:firstRow="1" w:lastRow="1" w:firstColumn="1" w:lastColumn="1" w:noHBand="0" w:noVBand="0"/>
      </w:tblPr>
      <w:tblGrid>
        <w:gridCol w:w="1200"/>
        <w:gridCol w:w="720"/>
        <w:gridCol w:w="2441"/>
        <w:gridCol w:w="2520"/>
        <w:gridCol w:w="2700"/>
      </w:tblGrid>
      <w:tr w:rsidR="008C76E0" w:rsidRPr="00BD7577" w14:paraId="33EDDEAA" w14:textId="77777777" w:rsidTr="008C76E0">
        <w:trPr>
          <w:jc w:val="center"/>
        </w:trPr>
        <w:tc>
          <w:tcPr>
            <w:tcW w:w="1200" w:type="dxa"/>
            <w:vMerge w:val="restart"/>
            <w:tcBorders>
              <w:top w:val="single" w:sz="4" w:space="0" w:color="000000"/>
              <w:left w:val="single" w:sz="4" w:space="0" w:color="000000"/>
              <w:right w:val="single" w:sz="4" w:space="0" w:color="000000"/>
            </w:tcBorders>
            <w:shd w:val="clear" w:color="auto" w:fill="E7E7E7"/>
          </w:tcPr>
          <w:p w14:paraId="23202EFF"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Մոդուլ 5</w:t>
            </w:r>
          </w:p>
        </w:tc>
        <w:tc>
          <w:tcPr>
            <w:tcW w:w="720" w:type="dxa"/>
            <w:tcBorders>
              <w:top w:val="single" w:sz="4" w:space="0" w:color="000000"/>
              <w:left w:val="single" w:sz="4" w:space="0" w:color="000000"/>
              <w:bottom w:val="single" w:sz="4" w:space="0" w:color="000000"/>
              <w:right w:val="single" w:sz="4" w:space="0" w:color="000000"/>
            </w:tcBorders>
          </w:tcPr>
          <w:p w14:paraId="24B7A59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5.1</w:t>
            </w:r>
          </w:p>
        </w:tc>
        <w:tc>
          <w:tcPr>
            <w:tcW w:w="7661" w:type="dxa"/>
            <w:gridSpan w:val="3"/>
            <w:tcBorders>
              <w:top w:val="single" w:sz="4" w:space="0" w:color="000000"/>
              <w:left w:val="single" w:sz="4" w:space="0" w:color="000000"/>
              <w:bottom w:val="single" w:sz="4" w:space="0" w:color="000000"/>
              <w:right w:val="single" w:sz="4" w:space="0" w:color="000000"/>
            </w:tcBorders>
          </w:tcPr>
          <w:p w14:paraId="345820C4" w14:textId="77777777" w:rsidR="008C76E0" w:rsidRPr="00BD7577" w:rsidRDefault="008C76E0" w:rsidP="008C76E0">
            <w:pPr>
              <w:spacing w:after="120" w:line="240" w:lineRule="auto"/>
              <w:rPr>
                <w:rFonts w:ascii="Sylfaen" w:hAnsi="Sylfaen"/>
                <w:sz w:val="24"/>
                <w:szCs w:val="24"/>
              </w:rPr>
            </w:pPr>
          </w:p>
        </w:tc>
      </w:tr>
      <w:tr w:rsidR="008C76E0" w:rsidRPr="00BD7577" w14:paraId="143175E8" w14:textId="77777777" w:rsidTr="008C76E0">
        <w:trPr>
          <w:jc w:val="center"/>
        </w:trPr>
        <w:tc>
          <w:tcPr>
            <w:tcW w:w="1200" w:type="dxa"/>
            <w:vMerge/>
            <w:tcBorders>
              <w:left w:val="single" w:sz="4" w:space="0" w:color="000000"/>
              <w:right w:val="single" w:sz="4" w:space="0" w:color="000000"/>
            </w:tcBorders>
            <w:shd w:val="clear" w:color="auto" w:fill="E7E7E7"/>
          </w:tcPr>
          <w:p w14:paraId="4783E2F8"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9A71B5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5.2</w:t>
            </w:r>
          </w:p>
        </w:tc>
        <w:tc>
          <w:tcPr>
            <w:tcW w:w="2441" w:type="dxa"/>
            <w:tcBorders>
              <w:top w:val="single" w:sz="4" w:space="0" w:color="000000"/>
              <w:left w:val="single" w:sz="4" w:space="0" w:color="000000"/>
              <w:bottom w:val="single" w:sz="4" w:space="0" w:color="000000"/>
              <w:right w:val="single" w:sz="4" w:space="0" w:color="000000"/>
            </w:tcBorders>
          </w:tcPr>
          <w:p w14:paraId="0ACF9007"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14:paraId="57D5065A"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2261922C" w14:textId="77777777" w:rsidR="008C76E0" w:rsidRPr="00BD7577" w:rsidRDefault="008C76E0" w:rsidP="008C76E0">
            <w:pPr>
              <w:spacing w:after="120" w:line="240" w:lineRule="auto"/>
              <w:rPr>
                <w:rFonts w:ascii="Sylfaen" w:hAnsi="Sylfaen"/>
                <w:sz w:val="24"/>
                <w:szCs w:val="24"/>
              </w:rPr>
            </w:pPr>
          </w:p>
        </w:tc>
      </w:tr>
      <w:tr w:rsidR="008C76E0" w:rsidRPr="00BD7577" w14:paraId="567B43A6" w14:textId="77777777" w:rsidTr="008C76E0">
        <w:trPr>
          <w:jc w:val="center"/>
        </w:trPr>
        <w:tc>
          <w:tcPr>
            <w:tcW w:w="1200" w:type="dxa"/>
            <w:vMerge/>
            <w:tcBorders>
              <w:left w:val="single" w:sz="4" w:space="0" w:color="000000"/>
              <w:right w:val="single" w:sz="4" w:space="0" w:color="000000"/>
            </w:tcBorders>
            <w:shd w:val="clear" w:color="auto" w:fill="E7E7E7"/>
          </w:tcPr>
          <w:p w14:paraId="4885098A" w14:textId="77777777" w:rsidR="008C76E0" w:rsidRPr="00BD7577" w:rsidRDefault="008C76E0" w:rsidP="008C76E0">
            <w:pPr>
              <w:spacing w:after="120" w:line="240" w:lineRule="auto"/>
              <w:rPr>
                <w:rFonts w:ascii="Sylfaen" w:hAnsi="Sylfaen"/>
                <w:sz w:val="24"/>
                <w:szCs w:val="24"/>
              </w:rPr>
            </w:pPr>
          </w:p>
        </w:tc>
        <w:tc>
          <w:tcPr>
            <w:tcW w:w="720" w:type="dxa"/>
            <w:vMerge w:val="restart"/>
            <w:tcBorders>
              <w:top w:val="single" w:sz="4" w:space="0" w:color="000000"/>
              <w:left w:val="single" w:sz="4" w:space="0" w:color="000000"/>
              <w:right w:val="single" w:sz="4" w:space="0" w:color="000000"/>
            </w:tcBorders>
            <w:shd w:val="clear" w:color="auto" w:fill="E7E7E7"/>
          </w:tcPr>
          <w:p w14:paraId="32CBDF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w:t>
            </w:r>
          </w:p>
        </w:tc>
        <w:tc>
          <w:tcPr>
            <w:tcW w:w="2441" w:type="dxa"/>
            <w:vMerge w:val="restart"/>
            <w:tcBorders>
              <w:top w:val="single" w:sz="4" w:space="0" w:color="000000"/>
              <w:left w:val="single" w:sz="4" w:space="0" w:color="000000"/>
              <w:right w:val="single" w:sz="4" w:space="0" w:color="000000"/>
            </w:tcBorders>
            <w:shd w:val="clear" w:color="auto" w:fill="E7E7E7"/>
          </w:tcPr>
          <w:p w14:paraId="523DBEB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5C9D4D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5.3.1.1</w:t>
            </w:r>
          </w:p>
        </w:tc>
        <w:tc>
          <w:tcPr>
            <w:tcW w:w="2700" w:type="dxa"/>
            <w:tcBorders>
              <w:top w:val="single" w:sz="4" w:space="0" w:color="000000"/>
              <w:left w:val="single" w:sz="4" w:space="0" w:color="000000"/>
              <w:bottom w:val="single" w:sz="4" w:space="0" w:color="000000"/>
              <w:right w:val="single" w:sz="4" w:space="0" w:color="000000"/>
            </w:tcBorders>
          </w:tcPr>
          <w:p w14:paraId="4AF5E5BC" w14:textId="77777777" w:rsidR="008C76E0" w:rsidRPr="00903D92"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Հետազոտություններ</w:t>
            </w:r>
            <w:r w:rsidRPr="00BD7577">
              <w:rPr>
                <w:rStyle w:val="FootnoteReference"/>
                <w:rFonts w:ascii="Sylfaen" w:hAnsi="Sylfaen"/>
                <w:sz w:val="24"/>
                <w:szCs w:val="24"/>
              </w:rPr>
              <w:footnoteReference w:id="39"/>
            </w:r>
            <w:r w:rsidRPr="00BD7577">
              <w:rPr>
                <w:rFonts w:ascii="Sylfaen" w:hAnsi="Sylfaen"/>
                <w:sz w:val="24"/>
                <w:szCs w:val="24"/>
                <w:lang w:val="en-US"/>
              </w:rPr>
              <w:t xml:space="preserve"> </w:t>
            </w:r>
          </w:p>
        </w:tc>
      </w:tr>
      <w:tr w:rsidR="008C76E0" w:rsidRPr="00BD7577" w14:paraId="7CA69E58" w14:textId="77777777" w:rsidTr="008C76E0">
        <w:trPr>
          <w:jc w:val="center"/>
        </w:trPr>
        <w:tc>
          <w:tcPr>
            <w:tcW w:w="1200" w:type="dxa"/>
            <w:vMerge/>
            <w:tcBorders>
              <w:left w:val="single" w:sz="4" w:space="0" w:color="000000"/>
              <w:right w:val="single" w:sz="4" w:space="0" w:color="000000"/>
            </w:tcBorders>
            <w:shd w:val="clear" w:color="auto" w:fill="E7E7E7"/>
          </w:tcPr>
          <w:p w14:paraId="51DF15C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653C218"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49F9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EE7E5F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5.3.1.2</w:t>
            </w:r>
          </w:p>
        </w:tc>
        <w:tc>
          <w:tcPr>
            <w:tcW w:w="2700" w:type="dxa"/>
            <w:tcBorders>
              <w:top w:val="single" w:sz="4" w:space="0" w:color="000000"/>
              <w:left w:val="single" w:sz="4" w:space="0" w:color="000000"/>
              <w:bottom w:val="single" w:sz="4" w:space="0" w:color="000000"/>
              <w:right w:val="single" w:sz="4" w:space="0" w:color="000000"/>
            </w:tcBorders>
          </w:tcPr>
          <w:p w14:paraId="016E39A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6D6325" w14:textId="77777777" w:rsidTr="008C76E0">
        <w:trPr>
          <w:jc w:val="center"/>
        </w:trPr>
        <w:tc>
          <w:tcPr>
            <w:tcW w:w="1200" w:type="dxa"/>
            <w:vMerge/>
            <w:tcBorders>
              <w:left w:val="single" w:sz="4" w:space="0" w:color="000000"/>
              <w:right w:val="single" w:sz="4" w:space="0" w:color="000000"/>
            </w:tcBorders>
            <w:shd w:val="clear" w:color="auto" w:fill="E7E7E7"/>
          </w:tcPr>
          <w:p w14:paraId="1F159EA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B73C49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43495B26"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03AA48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5.3.1.3</w:t>
            </w:r>
          </w:p>
        </w:tc>
        <w:tc>
          <w:tcPr>
            <w:tcW w:w="2700" w:type="dxa"/>
            <w:tcBorders>
              <w:top w:val="single" w:sz="4" w:space="0" w:color="000000"/>
              <w:left w:val="single" w:sz="4" w:space="0" w:color="000000"/>
              <w:bottom w:val="single" w:sz="4" w:space="0" w:color="000000"/>
              <w:right w:val="single" w:sz="4" w:space="0" w:color="000000"/>
            </w:tcBorders>
          </w:tcPr>
          <w:p w14:paraId="14C6EC8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9CE3BD1" w14:textId="77777777" w:rsidTr="008C76E0">
        <w:trPr>
          <w:jc w:val="center"/>
        </w:trPr>
        <w:tc>
          <w:tcPr>
            <w:tcW w:w="1200" w:type="dxa"/>
            <w:vMerge/>
            <w:tcBorders>
              <w:left w:val="single" w:sz="4" w:space="0" w:color="000000"/>
              <w:right w:val="single" w:sz="4" w:space="0" w:color="000000"/>
            </w:tcBorders>
            <w:shd w:val="clear" w:color="auto" w:fill="E7E7E7"/>
          </w:tcPr>
          <w:p w14:paraId="3581435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B00D2E5"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29A76BD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6DFF57D"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5.3.1.4</w:t>
            </w:r>
          </w:p>
        </w:tc>
        <w:tc>
          <w:tcPr>
            <w:tcW w:w="2700" w:type="dxa"/>
            <w:tcBorders>
              <w:top w:val="single" w:sz="4" w:space="0" w:color="000000"/>
              <w:left w:val="single" w:sz="4" w:space="0" w:color="000000"/>
              <w:bottom w:val="single" w:sz="4" w:space="0" w:color="000000"/>
              <w:right w:val="single" w:sz="4" w:space="0" w:color="000000"/>
            </w:tcBorders>
          </w:tcPr>
          <w:p w14:paraId="28D9779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4D1BFB1B" w14:textId="77777777" w:rsidTr="008C76E0">
        <w:trPr>
          <w:jc w:val="center"/>
        </w:trPr>
        <w:tc>
          <w:tcPr>
            <w:tcW w:w="1200" w:type="dxa"/>
            <w:vMerge/>
            <w:tcBorders>
              <w:left w:val="single" w:sz="4" w:space="0" w:color="000000"/>
              <w:right w:val="single" w:sz="4" w:space="0" w:color="000000"/>
            </w:tcBorders>
            <w:shd w:val="clear" w:color="auto" w:fill="E7E7E7"/>
          </w:tcPr>
          <w:p w14:paraId="37D997D8"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1A307E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673A30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D42298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5.3.2.1</w:t>
            </w:r>
          </w:p>
        </w:tc>
        <w:tc>
          <w:tcPr>
            <w:tcW w:w="2700" w:type="dxa"/>
            <w:tcBorders>
              <w:top w:val="single" w:sz="4" w:space="0" w:color="000000"/>
              <w:left w:val="single" w:sz="4" w:space="0" w:color="000000"/>
              <w:bottom w:val="single" w:sz="4" w:space="0" w:color="000000"/>
              <w:right w:val="single" w:sz="4" w:space="0" w:color="000000"/>
            </w:tcBorders>
          </w:tcPr>
          <w:p w14:paraId="5E3FB5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483A2D" w14:textId="77777777" w:rsidTr="008C76E0">
        <w:trPr>
          <w:jc w:val="center"/>
        </w:trPr>
        <w:tc>
          <w:tcPr>
            <w:tcW w:w="1200" w:type="dxa"/>
            <w:vMerge/>
            <w:tcBorders>
              <w:left w:val="single" w:sz="4" w:space="0" w:color="000000"/>
              <w:right w:val="single" w:sz="4" w:space="0" w:color="000000"/>
            </w:tcBorders>
            <w:shd w:val="clear" w:color="auto" w:fill="E7E7E7"/>
          </w:tcPr>
          <w:p w14:paraId="457D1F5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6C29037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7C777792"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E331FD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5.3.2.2</w:t>
            </w:r>
          </w:p>
        </w:tc>
        <w:tc>
          <w:tcPr>
            <w:tcW w:w="2700" w:type="dxa"/>
            <w:tcBorders>
              <w:top w:val="single" w:sz="4" w:space="0" w:color="000000"/>
              <w:left w:val="single" w:sz="4" w:space="0" w:color="000000"/>
              <w:bottom w:val="single" w:sz="4" w:space="0" w:color="000000"/>
              <w:right w:val="single" w:sz="4" w:space="0" w:color="000000"/>
            </w:tcBorders>
          </w:tcPr>
          <w:p w14:paraId="5A59421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DC5D6C9" w14:textId="77777777" w:rsidTr="008C76E0">
        <w:trPr>
          <w:jc w:val="center"/>
        </w:trPr>
        <w:tc>
          <w:tcPr>
            <w:tcW w:w="1200" w:type="dxa"/>
            <w:vMerge/>
            <w:tcBorders>
              <w:left w:val="single" w:sz="4" w:space="0" w:color="000000"/>
              <w:right w:val="single" w:sz="4" w:space="0" w:color="000000"/>
            </w:tcBorders>
            <w:shd w:val="clear" w:color="auto" w:fill="E7E7E7"/>
          </w:tcPr>
          <w:p w14:paraId="46ECAC6F"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0A001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55C0549"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64374A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5.3.2.3</w:t>
            </w:r>
          </w:p>
        </w:tc>
        <w:tc>
          <w:tcPr>
            <w:tcW w:w="2700" w:type="dxa"/>
            <w:tcBorders>
              <w:top w:val="single" w:sz="4" w:space="0" w:color="000000"/>
              <w:left w:val="single" w:sz="4" w:space="0" w:color="000000"/>
              <w:bottom w:val="single" w:sz="4" w:space="0" w:color="000000"/>
              <w:right w:val="single" w:sz="4" w:space="0" w:color="000000"/>
            </w:tcBorders>
          </w:tcPr>
          <w:p w14:paraId="64DDD87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E2A8A58" w14:textId="77777777" w:rsidTr="008C76E0">
        <w:trPr>
          <w:jc w:val="center"/>
        </w:trPr>
        <w:tc>
          <w:tcPr>
            <w:tcW w:w="1200" w:type="dxa"/>
            <w:vMerge/>
            <w:tcBorders>
              <w:left w:val="single" w:sz="4" w:space="0" w:color="000000"/>
              <w:right w:val="single" w:sz="4" w:space="0" w:color="000000"/>
            </w:tcBorders>
            <w:shd w:val="clear" w:color="auto" w:fill="E7E7E7"/>
          </w:tcPr>
          <w:p w14:paraId="19CDA9C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01F5DE3B"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505B28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436DA6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5.3.3.1</w:t>
            </w:r>
          </w:p>
        </w:tc>
        <w:tc>
          <w:tcPr>
            <w:tcW w:w="2700" w:type="dxa"/>
            <w:tcBorders>
              <w:top w:val="single" w:sz="4" w:space="0" w:color="000000"/>
              <w:left w:val="single" w:sz="4" w:space="0" w:color="000000"/>
              <w:bottom w:val="single" w:sz="4" w:space="0" w:color="000000"/>
              <w:right w:val="single" w:sz="4" w:space="0" w:color="000000"/>
            </w:tcBorders>
          </w:tcPr>
          <w:p w14:paraId="5765F9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7F49B562" w14:textId="77777777" w:rsidTr="008C76E0">
        <w:trPr>
          <w:jc w:val="center"/>
        </w:trPr>
        <w:tc>
          <w:tcPr>
            <w:tcW w:w="1200" w:type="dxa"/>
            <w:vMerge/>
            <w:tcBorders>
              <w:left w:val="single" w:sz="4" w:space="0" w:color="000000"/>
              <w:right w:val="single" w:sz="4" w:space="0" w:color="000000"/>
            </w:tcBorders>
            <w:shd w:val="clear" w:color="auto" w:fill="E7E7E7"/>
          </w:tcPr>
          <w:p w14:paraId="410A45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20B0A3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C947451"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263F1D1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5.3.3.2</w:t>
            </w:r>
          </w:p>
        </w:tc>
        <w:tc>
          <w:tcPr>
            <w:tcW w:w="2700" w:type="dxa"/>
            <w:tcBorders>
              <w:top w:val="single" w:sz="4" w:space="0" w:color="000000"/>
              <w:left w:val="single" w:sz="4" w:space="0" w:color="000000"/>
              <w:bottom w:val="single" w:sz="4" w:space="0" w:color="000000"/>
              <w:right w:val="single" w:sz="4" w:space="0" w:color="000000"/>
            </w:tcBorders>
          </w:tcPr>
          <w:p w14:paraId="5E4B069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4AE9F4C" w14:textId="77777777" w:rsidTr="008C76E0">
        <w:trPr>
          <w:jc w:val="center"/>
        </w:trPr>
        <w:tc>
          <w:tcPr>
            <w:tcW w:w="1200" w:type="dxa"/>
            <w:vMerge/>
            <w:tcBorders>
              <w:left w:val="single" w:sz="4" w:space="0" w:color="000000"/>
              <w:right w:val="single" w:sz="4" w:space="0" w:color="000000"/>
            </w:tcBorders>
            <w:shd w:val="clear" w:color="auto" w:fill="E7E7E7"/>
          </w:tcPr>
          <w:p w14:paraId="49C07693"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791B68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2C150E33"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3ECE7F6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5.3.3.3</w:t>
            </w:r>
          </w:p>
        </w:tc>
        <w:tc>
          <w:tcPr>
            <w:tcW w:w="2700" w:type="dxa"/>
            <w:tcBorders>
              <w:top w:val="single" w:sz="4" w:space="0" w:color="000000"/>
              <w:left w:val="single" w:sz="4" w:space="0" w:color="000000"/>
              <w:bottom w:val="single" w:sz="4" w:space="0" w:color="000000"/>
              <w:right w:val="single" w:sz="4" w:space="0" w:color="000000"/>
            </w:tcBorders>
          </w:tcPr>
          <w:p w14:paraId="12F9D00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0C380C27" w14:textId="77777777" w:rsidTr="008C76E0">
        <w:trPr>
          <w:jc w:val="center"/>
        </w:trPr>
        <w:tc>
          <w:tcPr>
            <w:tcW w:w="1200" w:type="dxa"/>
            <w:vMerge/>
            <w:tcBorders>
              <w:left w:val="single" w:sz="4" w:space="0" w:color="000000"/>
              <w:right w:val="single" w:sz="4" w:space="0" w:color="000000"/>
            </w:tcBorders>
            <w:shd w:val="clear" w:color="auto" w:fill="E7E7E7"/>
          </w:tcPr>
          <w:p w14:paraId="0A21D8AA"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F81B21F"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3D9B2A3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04AFBA2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5.3.3.4</w:t>
            </w:r>
          </w:p>
        </w:tc>
        <w:tc>
          <w:tcPr>
            <w:tcW w:w="2700" w:type="dxa"/>
            <w:tcBorders>
              <w:top w:val="single" w:sz="4" w:space="0" w:color="000000"/>
              <w:left w:val="single" w:sz="4" w:space="0" w:color="000000"/>
              <w:bottom w:val="single" w:sz="4" w:space="0" w:color="000000"/>
              <w:right w:val="single" w:sz="4" w:space="0" w:color="000000"/>
            </w:tcBorders>
          </w:tcPr>
          <w:p w14:paraId="648638A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5EC7D180" w14:textId="77777777" w:rsidTr="008C76E0">
        <w:trPr>
          <w:jc w:val="center"/>
        </w:trPr>
        <w:tc>
          <w:tcPr>
            <w:tcW w:w="1200" w:type="dxa"/>
            <w:vMerge/>
            <w:tcBorders>
              <w:left w:val="single" w:sz="4" w:space="0" w:color="000000"/>
              <w:right w:val="single" w:sz="4" w:space="0" w:color="000000"/>
            </w:tcBorders>
            <w:shd w:val="clear" w:color="auto" w:fill="E7E7E7"/>
          </w:tcPr>
          <w:p w14:paraId="5D36F17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FDA05AD"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0A186E1B"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6644B46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5.3.3.5</w:t>
            </w:r>
          </w:p>
        </w:tc>
        <w:tc>
          <w:tcPr>
            <w:tcW w:w="2700" w:type="dxa"/>
            <w:tcBorders>
              <w:top w:val="single" w:sz="4" w:space="0" w:color="000000"/>
              <w:left w:val="single" w:sz="4" w:space="0" w:color="000000"/>
              <w:bottom w:val="single" w:sz="4" w:space="0" w:color="000000"/>
              <w:right w:val="single" w:sz="4" w:space="0" w:color="000000"/>
            </w:tcBorders>
          </w:tcPr>
          <w:p w14:paraId="74C904BE"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 +</w:t>
            </w:r>
          </w:p>
        </w:tc>
      </w:tr>
      <w:tr w:rsidR="008C76E0" w:rsidRPr="00BD7577" w14:paraId="39A2DCAB" w14:textId="77777777" w:rsidTr="008C76E0">
        <w:trPr>
          <w:jc w:val="center"/>
        </w:trPr>
        <w:tc>
          <w:tcPr>
            <w:tcW w:w="1200" w:type="dxa"/>
            <w:vMerge/>
            <w:tcBorders>
              <w:left w:val="single" w:sz="4" w:space="0" w:color="000000"/>
              <w:right w:val="single" w:sz="4" w:space="0" w:color="000000"/>
            </w:tcBorders>
            <w:shd w:val="clear" w:color="auto" w:fill="E7E7E7"/>
          </w:tcPr>
          <w:p w14:paraId="32BD0BAB"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575BE"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4A32AC9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5145AB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5.3.4.1</w:t>
            </w:r>
          </w:p>
        </w:tc>
        <w:tc>
          <w:tcPr>
            <w:tcW w:w="2700" w:type="dxa"/>
            <w:tcBorders>
              <w:top w:val="single" w:sz="4" w:space="0" w:color="000000"/>
              <w:left w:val="single" w:sz="4" w:space="0" w:color="000000"/>
              <w:bottom w:val="single" w:sz="4" w:space="0" w:color="000000"/>
              <w:right w:val="single" w:sz="4" w:space="0" w:color="000000"/>
            </w:tcBorders>
          </w:tcPr>
          <w:p w14:paraId="48E94FB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137678" w14:textId="77777777" w:rsidTr="008C76E0">
        <w:trPr>
          <w:jc w:val="center"/>
        </w:trPr>
        <w:tc>
          <w:tcPr>
            <w:tcW w:w="1200" w:type="dxa"/>
            <w:vMerge/>
            <w:tcBorders>
              <w:left w:val="single" w:sz="4" w:space="0" w:color="000000"/>
              <w:right w:val="single" w:sz="4" w:space="0" w:color="000000"/>
            </w:tcBorders>
            <w:shd w:val="clear" w:color="auto" w:fill="E7E7E7"/>
          </w:tcPr>
          <w:p w14:paraId="37F85BC5"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4DE571A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7644F7E4"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4EE6CD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5.3.4.2</w:t>
            </w:r>
          </w:p>
        </w:tc>
        <w:tc>
          <w:tcPr>
            <w:tcW w:w="2700" w:type="dxa"/>
            <w:tcBorders>
              <w:top w:val="single" w:sz="4" w:space="0" w:color="000000"/>
              <w:left w:val="single" w:sz="4" w:space="0" w:color="000000"/>
              <w:bottom w:val="single" w:sz="4" w:space="0" w:color="000000"/>
              <w:right w:val="single" w:sz="4" w:space="0" w:color="000000"/>
            </w:tcBorders>
          </w:tcPr>
          <w:p w14:paraId="07731C5B"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12EA55C3" w14:textId="77777777" w:rsidTr="008C76E0">
        <w:trPr>
          <w:jc w:val="center"/>
        </w:trPr>
        <w:tc>
          <w:tcPr>
            <w:tcW w:w="1200" w:type="dxa"/>
            <w:vMerge/>
            <w:tcBorders>
              <w:left w:val="single" w:sz="4" w:space="0" w:color="000000"/>
              <w:right w:val="single" w:sz="4" w:space="0" w:color="000000"/>
            </w:tcBorders>
            <w:shd w:val="clear" w:color="auto" w:fill="E7E7E7"/>
          </w:tcPr>
          <w:p w14:paraId="13B4C844"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1973970C" w14:textId="77777777" w:rsidR="008C76E0" w:rsidRPr="00BD7577" w:rsidRDefault="008C76E0" w:rsidP="008C76E0">
            <w:pPr>
              <w:spacing w:after="120" w:line="240" w:lineRule="auto"/>
              <w:rPr>
                <w:rFonts w:ascii="Sylfaen" w:hAnsi="Sylfaen"/>
                <w:sz w:val="24"/>
                <w:szCs w:val="24"/>
              </w:rPr>
            </w:pPr>
          </w:p>
        </w:tc>
        <w:tc>
          <w:tcPr>
            <w:tcW w:w="2441" w:type="dxa"/>
            <w:vMerge w:val="restart"/>
            <w:tcBorders>
              <w:top w:val="single" w:sz="4" w:space="0" w:color="000000"/>
              <w:left w:val="single" w:sz="4" w:space="0" w:color="000000"/>
              <w:right w:val="single" w:sz="4" w:space="0" w:color="000000"/>
            </w:tcBorders>
            <w:shd w:val="clear" w:color="auto" w:fill="E7E7E7"/>
          </w:tcPr>
          <w:p w14:paraId="02765FA2" w14:textId="77777777" w:rsidR="008C76E0" w:rsidRPr="00BD7577" w:rsidRDefault="008C76E0" w:rsidP="008C76E0">
            <w:pPr>
              <w:spacing w:after="120" w:line="240" w:lineRule="auto"/>
              <w:ind w:left="102" w:right="-20"/>
              <w:rPr>
                <w:rFonts w:ascii="Sylfaen" w:eastAsia="Times New Roman" w:hAnsi="Sylfaen" w:cs="Times New Roman"/>
                <w:sz w:val="24"/>
                <w:szCs w:val="24"/>
                <w:lang w:val="en-US"/>
              </w:rPr>
            </w:pPr>
            <w:r w:rsidRPr="00BD7577">
              <w:rPr>
                <w:rFonts w:ascii="Sylfaen" w:hAnsi="Sylfaen"/>
                <w:sz w:val="24"/>
                <w:szCs w:val="24"/>
              </w:rPr>
              <w:t>5.3.5</w:t>
            </w:r>
            <w:r w:rsidRPr="00BD7577">
              <w:rPr>
                <w:rStyle w:val="FootnoteReference"/>
                <w:rFonts w:ascii="Sylfaen" w:hAnsi="Sylfaen"/>
                <w:sz w:val="24"/>
                <w:szCs w:val="24"/>
              </w:rPr>
              <w:footnoteReference w:id="40"/>
            </w:r>
            <w:r w:rsidRPr="00BD7577">
              <w:rPr>
                <w:rFonts w:ascii="Sylfaen" w:hAnsi="Sylfaen"/>
                <w:sz w:val="24"/>
                <w:szCs w:val="24"/>
                <w:lang w:val="en-US"/>
              </w:rPr>
              <w:t xml:space="preserve"> </w:t>
            </w: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123F8D2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5.3.5.1</w:t>
            </w:r>
          </w:p>
        </w:tc>
        <w:tc>
          <w:tcPr>
            <w:tcW w:w="2700" w:type="dxa"/>
            <w:tcBorders>
              <w:top w:val="single" w:sz="4" w:space="0" w:color="000000"/>
              <w:left w:val="single" w:sz="4" w:space="0" w:color="000000"/>
              <w:bottom w:val="single" w:sz="4" w:space="0" w:color="000000"/>
              <w:right w:val="single" w:sz="4" w:space="0" w:color="000000"/>
            </w:tcBorders>
          </w:tcPr>
          <w:p w14:paraId="2B1655E7"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665F4D29" w14:textId="77777777" w:rsidTr="008C76E0">
        <w:trPr>
          <w:jc w:val="center"/>
        </w:trPr>
        <w:tc>
          <w:tcPr>
            <w:tcW w:w="1200" w:type="dxa"/>
            <w:vMerge/>
            <w:tcBorders>
              <w:left w:val="single" w:sz="4" w:space="0" w:color="000000"/>
              <w:right w:val="single" w:sz="4" w:space="0" w:color="000000"/>
            </w:tcBorders>
            <w:shd w:val="clear" w:color="auto" w:fill="E7E7E7"/>
          </w:tcPr>
          <w:p w14:paraId="42E8E15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B18EB90"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611FF48"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7B7B2C51"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5.3.5.2</w:t>
            </w:r>
          </w:p>
        </w:tc>
        <w:tc>
          <w:tcPr>
            <w:tcW w:w="2700" w:type="dxa"/>
            <w:tcBorders>
              <w:top w:val="single" w:sz="4" w:space="0" w:color="000000"/>
              <w:left w:val="single" w:sz="4" w:space="0" w:color="000000"/>
              <w:bottom w:val="single" w:sz="4" w:space="0" w:color="000000"/>
              <w:right w:val="single" w:sz="4" w:space="0" w:color="000000"/>
            </w:tcBorders>
          </w:tcPr>
          <w:p w14:paraId="3F602459"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30AD3D2C" w14:textId="77777777" w:rsidTr="008C76E0">
        <w:trPr>
          <w:jc w:val="center"/>
        </w:trPr>
        <w:tc>
          <w:tcPr>
            <w:tcW w:w="1200" w:type="dxa"/>
            <w:vMerge/>
            <w:tcBorders>
              <w:left w:val="single" w:sz="4" w:space="0" w:color="000000"/>
              <w:right w:val="single" w:sz="4" w:space="0" w:color="000000"/>
            </w:tcBorders>
            <w:shd w:val="clear" w:color="auto" w:fill="E7E7E7"/>
          </w:tcPr>
          <w:p w14:paraId="71200E22"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5CB324C"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right w:val="single" w:sz="4" w:space="0" w:color="000000"/>
            </w:tcBorders>
            <w:shd w:val="clear" w:color="auto" w:fill="E7E7E7"/>
          </w:tcPr>
          <w:p w14:paraId="0F5588DF"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707ED8"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5.3.5.3</w:t>
            </w:r>
          </w:p>
        </w:tc>
        <w:tc>
          <w:tcPr>
            <w:tcW w:w="2700" w:type="dxa"/>
            <w:tcBorders>
              <w:top w:val="single" w:sz="4" w:space="0" w:color="000000"/>
              <w:left w:val="single" w:sz="4" w:space="0" w:color="000000"/>
              <w:bottom w:val="single" w:sz="4" w:space="0" w:color="000000"/>
              <w:right w:val="single" w:sz="4" w:space="0" w:color="000000"/>
            </w:tcBorders>
          </w:tcPr>
          <w:p w14:paraId="79BF0845"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1C2A19F" w14:textId="77777777" w:rsidTr="008C76E0">
        <w:trPr>
          <w:jc w:val="center"/>
        </w:trPr>
        <w:tc>
          <w:tcPr>
            <w:tcW w:w="1200" w:type="dxa"/>
            <w:vMerge/>
            <w:tcBorders>
              <w:left w:val="single" w:sz="4" w:space="0" w:color="000000"/>
              <w:right w:val="single" w:sz="4" w:space="0" w:color="000000"/>
            </w:tcBorders>
            <w:shd w:val="clear" w:color="auto" w:fill="E7E7E7"/>
          </w:tcPr>
          <w:p w14:paraId="01108F70"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735B75FB" w14:textId="77777777" w:rsidR="008C76E0" w:rsidRPr="00BD7577" w:rsidRDefault="008C76E0" w:rsidP="008C76E0">
            <w:pPr>
              <w:spacing w:after="120" w:line="240" w:lineRule="auto"/>
              <w:rPr>
                <w:rFonts w:ascii="Sylfaen" w:hAnsi="Sylfaen"/>
                <w:sz w:val="24"/>
                <w:szCs w:val="24"/>
              </w:rPr>
            </w:pPr>
          </w:p>
        </w:tc>
        <w:tc>
          <w:tcPr>
            <w:tcW w:w="2441" w:type="dxa"/>
            <w:vMerge/>
            <w:tcBorders>
              <w:left w:val="single" w:sz="4" w:space="0" w:color="000000"/>
              <w:bottom w:val="single" w:sz="4" w:space="0" w:color="000000"/>
              <w:right w:val="single" w:sz="4" w:space="0" w:color="000000"/>
            </w:tcBorders>
            <w:shd w:val="clear" w:color="auto" w:fill="E7E7E7"/>
          </w:tcPr>
          <w:p w14:paraId="16CA042A" w14:textId="77777777" w:rsidR="008C76E0" w:rsidRPr="00BD7577" w:rsidRDefault="008C76E0" w:rsidP="008C76E0">
            <w:pPr>
              <w:spacing w:after="120" w:line="240" w:lineRule="auto"/>
              <w:rPr>
                <w:rFonts w:ascii="Sylfaen" w:hAnsi="Sylfae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E7E7E7"/>
          </w:tcPr>
          <w:p w14:paraId="5F0E8683"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5.3.5.4</w:t>
            </w:r>
          </w:p>
        </w:tc>
        <w:tc>
          <w:tcPr>
            <w:tcW w:w="2700" w:type="dxa"/>
            <w:tcBorders>
              <w:top w:val="single" w:sz="4" w:space="0" w:color="000000"/>
              <w:left w:val="single" w:sz="4" w:space="0" w:color="000000"/>
              <w:bottom w:val="single" w:sz="4" w:space="0" w:color="000000"/>
              <w:right w:val="single" w:sz="4" w:space="0" w:color="000000"/>
            </w:tcBorders>
          </w:tcPr>
          <w:p w14:paraId="4B4B45D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r>
      <w:tr w:rsidR="008C76E0" w:rsidRPr="00BD7577" w14:paraId="2E188749" w14:textId="77777777" w:rsidTr="008C76E0">
        <w:trPr>
          <w:jc w:val="center"/>
        </w:trPr>
        <w:tc>
          <w:tcPr>
            <w:tcW w:w="1200" w:type="dxa"/>
            <w:vMerge/>
            <w:tcBorders>
              <w:left w:val="single" w:sz="4" w:space="0" w:color="000000"/>
              <w:right w:val="single" w:sz="4" w:space="0" w:color="000000"/>
            </w:tcBorders>
            <w:shd w:val="clear" w:color="auto" w:fill="E7E7E7"/>
          </w:tcPr>
          <w:p w14:paraId="42BF0EC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right w:val="single" w:sz="4" w:space="0" w:color="000000"/>
            </w:tcBorders>
            <w:shd w:val="clear" w:color="auto" w:fill="E7E7E7"/>
          </w:tcPr>
          <w:p w14:paraId="36A7B799"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tcPr>
          <w:p w14:paraId="5B3B3C5A"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5.3.6</w:t>
            </w:r>
          </w:p>
        </w:tc>
        <w:tc>
          <w:tcPr>
            <w:tcW w:w="2520" w:type="dxa"/>
            <w:tcBorders>
              <w:top w:val="single" w:sz="4" w:space="0" w:color="000000"/>
              <w:left w:val="single" w:sz="4" w:space="0" w:color="000000"/>
              <w:bottom w:val="single" w:sz="4" w:space="0" w:color="000000"/>
              <w:right w:val="single" w:sz="4" w:space="0" w:color="000000"/>
            </w:tcBorders>
          </w:tcPr>
          <w:p w14:paraId="0A872563"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7DB1EE86" w14:textId="77777777" w:rsidR="008C76E0" w:rsidRPr="00BD7577" w:rsidRDefault="008C76E0" w:rsidP="008C76E0">
            <w:pPr>
              <w:spacing w:after="120" w:line="240" w:lineRule="auto"/>
              <w:rPr>
                <w:rFonts w:ascii="Sylfaen" w:hAnsi="Sylfaen"/>
                <w:sz w:val="24"/>
                <w:szCs w:val="24"/>
              </w:rPr>
            </w:pPr>
          </w:p>
        </w:tc>
      </w:tr>
      <w:tr w:rsidR="008C76E0" w:rsidRPr="00BD7577" w14:paraId="194CE06E" w14:textId="77777777" w:rsidTr="008C76E0">
        <w:trPr>
          <w:jc w:val="center"/>
        </w:trPr>
        <w:tc>
          <w:tcPr>
            <w:tcW w:w="1200" w:type="dxa"/>
            <w:vMerge/>
            <w:tcBorders>
              <w:left w:val="single" w:sz="4" w:space="0" w:color="000000"/>
              <w:right w:val="single" w:sz="4" w:space="0" w:color="000000"/>
            </w:tcBorders>
            <w:shd w:val="clear" w:color="auto" w:fill="E7E7E7"/>
          </w:tcPr>
          <w:p w14:paraId="7E0AD80D" w14:textId="77777777" w:rsidR="008C76E0" w:rsidRPr="00BD7577" w:rsidRDefault="008C76E0" w:rsidP="008C76E0">
            <w:pPr>
              <w:spacing w:after="120" w:line="240" w:lineRule="auto"/>
              <w:rPr>
                <w:rFonts w:ascii="Sylfaen" w:hAnsi="Sylfaen"/>
                <w:sz w:val="24"/>
                <w:szCs w:val="24"/>
              </w:rPr>
            </w:pPr>
          </w:p>
        </w:tc>
        <w:tc>
          <w:tcPr>
            <w:tcW w:w="720" w:type="dxa"/>
            <w:vMerge/>
            <w:tcBorders>
              <w:left w:val="single" w:sz="4" w:space="0" w:color="000000"/>
              <w:bottom w:val="single" w:sz="4" w:space="0" w:color="000000"/>
              <w:right w:val="single" w:sz="4" w:space="0" w:color="000000"/>
            </w:tcBorders>
            <w:shd w:val="clear" w:color="auto" w:fill="E7E7E7"/>
          </w:tcPr>
          <w:p w14:paraId="010F7771" w14:textId="77777777" w:rsidR="008C76E0" w:rsidRPr="00BD7577" w:rsidRDefault="008C76E0" w:rsidP="008C76E0">
            <w:pPr>
              <w:spacing w:after="120" w:line="240" w:lineRule="auto"/>
              <w:rPr>
                <w:rFonts w:ascii="Sylfaen" w:hAnsi="Sylfaen"/>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E7E7E7"/>
          </w:tcPr>
          <w:p w14:paraId="4965E252"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5.3.7</w:t>
            </w:r>
          </w:p>
        </w:tc>
        <w:tc>
          <w:tcPr>
            <w:tcW w:w="2520" w:type="dxa"/>
            <w:tcBorders>
              <w:top w:val="single" w:sz="4" w:space="0" w:color="000000"/>
              <w:left w:val="single" w:sz="4" w:space="0" w:color="000000"/>
              <w:bottom w:val="single" w:sz="4" w:space="0" w:color="000000"/>
              <w:right w:val="single" w:sz="4" w:space="0" w:color="000000"/>
            </w:tcBorders>
          </w:tcPr>
          <w:p w14:paraId="64A84D70"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Հետազոտություններ</w:t>
            </w:r>
            <w:r w:rsidRPr="00BD7577">
              <w:rPr>
                <w:rFonts w:ascii="Sylfaen" w:hAnsi="Sylfaen"/>
                <w:sz w:val="24"/>
                <w:szCs w:val="24"/>
                <w:vertAlign w:val="superscript"/>
              </w:rPr>
              <w:t>1</w:t>
            </w:r>
          </w:p>
        </w:tc>
        <w:tc>
          <w:tcPr>
            <w:tcW w:w="2700" w:type="dxa"/>
            <w:tcBorders>
              <w:top w:val="single" w:sz="4" w:space="0" w:color="000000"/>
              <w:left w:val="single" w:sz="4" w:space="0" w:color="000000"/>
              <w:bottom w:val="single" w:sz="4" w:space="0" w:color="000000"/>
              <w:right w:val="single" w:sz="4" w:space="0" w:color="000000"/>
            </w:tcBorders>
          </w:tcPr>
          <w:p w14:paraId="27AFAB57" w14:textId="77777777" w:rsidR="008C76E0" w:rsidRPr="00BD7577" w:rsidRDefault="008C76E0" w:rsidP="008C76E0">
            <w:pPr>
              <w:spacing w:after="120" w:line="240" w:lineRule="auto"/>
              <w:rPr>
                <w:rFonts w:ascii="Sylfaen" w:hAnsi="Sylfaen"/>
                <w:sz w:val="24"/>
                <w:szCs w:val="24"/>
              </w:rPr>
            </w:pPr>
          </w:p>
        </w:tc>
      </w:tr>
      <w:tr w:rsidR="008C76E0" w:rsidRPr="00BD7577" w14:paraId="0CC22AB9" w14:textId="77777777" w:rsidTr="008C76E0">
        <w:trPr>
          <w:jc w:val="center"/>
        </w:trPr>
        <w:tc>
          <w:tcPr>
            <w:tcW w:w="1200" w:type="dxa"/>
            <w:vMerge/>
            <w:tcBorders>
              <w:left w:val="single" w:sz="4" w:space="0" w:color="000000"/>
              <w:bottom w:val="single" w:sz="4" w:space="0" w:color="000000"/>
              <w:right w:val="single" w:sz="4" w:space="0" w:color="000000"/>
            </w:tcBorders>
            <w:shd w:val="clear" w:color="auto" w:fill="E7E7E7"/>
          </w:tcPr>
          <w:p w14:paraId="354A9BCD" w14:textId="77777777" w:rsidR="008C76E0" w:rsidRPr="00BD7577" w:rsidRDefault="008C76E0" w:rsidP="008C76E0">
            <w:pPr>
              <w:spacing w:after="120" w:line="240" w:lineRule="auto"/>
              <w:rPr>
                <w:rFonts w:ascii="Sylfaen" w:hAnsi="Sylfae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E7E7E7"/>
          </w:tcPr>
          <w:p w14:paraId="0A47D806"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5.4</w:t>
            </w:r>
          </w:p>
        </w:tc>
        <w:tc>
          <w:tcPr>
            <w:tcW w:w="2441" w:type="dxa"/>
            <w:tcBorders>
              <w:top w:val="single" w:sz="4" w:space="0" w:color="000000"/>
              <w:left w:val="single" w:sz="4" w:space="0" w:color="000000"/>
              <w:bottom w:val="single" w:sz="4" w:space="0" w:color="000000"/>
              <w:right w:val="single" w:sz="4" w:space="0" w:color="000000"/>
            </w:tcBorders>
          </w:tcPr>
          <w:p w14:paraId="01371BC6" w14:textId="77777777" w:rsidR="008C76E0" w:rsidRPr="00903D92" w:rsidRDefault="008C76E0" w:rsidP="008C76E0">
            <w:pPr>
              <w:spacing w:after="120" w:line="240" w:lineRule="auto"/>
              <w:ind w:left="102" w:right="37"/>
              <w:rPr>
                <w:rFonts w:ascii="Sylfaen" w:eastAsia="Times New Roman" w:hAnsi="Sylfaen" w:cs="Times New Roman"/>
                <w:sz w:val="24"/>
                <w:szCs w:val="24"/>
              </w:rPr>
            </w:pPr>
            <w:r w:rsidRPr="00BD7577">
              <w:rPr>
                <w:rFonts w:ascii="Sylfaen" w:hAnsi="Sylfaen"/>
                <w:sz w:val="24"/>
                <w:szCs w:val="24"/>
              </w:rPr>
              <w:t>Մեկական ֆայլ՝ յուրաքանչյուր աղբյուրի համար</w:t>
            </w:r>
            <w:r w:rsidRPr="00BD7577">
              <w:rPr>
                <w:rStyle w:val="FootnoteReference"/>
                <w:rFonts w:ascii="Sylfaen" w:hAnsi="Sylfaen"/>
                <w:sz w:val="24"/>
                <w:szCs w:val="24"/>
              </w:rPr>
              <w:footnoteReference w:id="41"/>
            </w:r>
            <w:r w:rsidRPr="00BD7577">
              <w:rPr>
                <w:rFonts w:ascii="Sylfaen" w:hAnsi="Sylfaen"/>
                <w:sz w:val="24"/>
                <w:szCs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14:paraId="3A313A3F" w14:textId="77777777" w:rsidR="008C76E0" w:rsidRPr="00BD7577" w:rsidRDefault="008C76E0" w:rsidP="008C76E0">
            <w:pPr>
              <w:spacing w:after="120" w:line="240" w:lineRule="auto"/>
              <w:rPr>
                <w:rFonts w:ascii="Sylfaen" w:hAnsi="Sylfae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14:paraId="0D944906" w14:textId="77777777" w:rsidR="008C76E0" w:rsidRPr="00BD7577" w:rsidRDefault="008C76E0" w:rsidP="008C76E0">
            <w:pPr>
              <w:spacing w:after="120" w:line="240" w:lineRule="auto"/>
              <w:rPr>
                <w:rFonts w:ascii="Sylfaen" w:hAnsi="Sylfaen"/>
                <w:sz w:val="24"/>
                <w:szCs w:val="24"/>
              </w:rPr>
            </w:pPr>
          </w:p>
        </w:tc>
      </w:tr>
    </w:tbl>
    <w:p w14:paraId="0FEDAFE3"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Պայմանական նշագրերը</w:t>
      </w:r>
    </w:p>
    <w:tbl>
      <w:tblPr>
        <w:tblStyle w:val="TableGrid"/>
        <w:tblW w:w="9640" w:type="dxa"/>
        <w:tblLook w:val="04A0" w:firstRow="1" w:lastRow="0" w:firstColumn="1" w:lastColumn="0" w:noHBand="0" w:noVBand="1"/>
      </w:tblPr>
      <w:tblGrid>
        <w:gridCol w:w="9640"/>
      </w:tblGrid>
      <w:tr w:rsidR="008C76E0" w:rsidRPr="00BD7577" w14:paraId="75618586" w14:textId="77777777" w:rsidTr="008C76E0">
        <w:tc>
          <w:tcPr>
            <w:tcW w:w="9640" w:type="dxa"/>
          </w:tcPr>
          <w:p w14:paraId="2C813F2E"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Այս մակարդակում փաստաթղթեր ներկայացնելը չի թույլատրվում:</w:t>
            </w:r>
          </w:p>
        </w:tc>
      </w:tr>
      <w:tr w:rsidR="008C76E0" w:rsidRPr="00BD7577" w14:paraId="4215CA79" w14:textId="77777777" w:rsidTr="008C76E0">
        <w:tc>
          <w:tcPr>
            <w:tcW w:w="9640" w:type="dxa"/>
          </w:tcPr>
          <w:p w14:paraId="394C6043" w14:textId="77777777" w:rsidR="008C76E0" w:rsidRPr="00BD7577" w:rsidRDefault="008C76E0" w:rsidP="008C76E0">
            <w:pPr>
              <w:spacing w:after="120"/>
              <w:ind w:right="68"/>
              <w:rPr>
                <w:rFonts w:ascii="Sylfaen" w:eastAsia="Times New Roman" w:hAnsi="Sylfaen" w:cs="Times New Roman"/>
                <w:sz w:val="24"/>
                <w:szCs w:val="24"/>
              </w:rPr>
            </w:pPr>
            <w:r w:rsidRPr="00BD7577">
              <w:rPr>
                <w:rFonts w:ascii="Sylfaen" w:hAnsi="Sylfaen"/>
                <w:sz w:val="24"/>
                <w:szCs w:val="24"/>
              </w:rPr>
              <w:t xml:space="preserve">Վերնագիրը պահանջվում է միայն թղթային կրիչով ԸՏՓ-ի համար, էԸՏՓ-ի համար այդ տարրը պետք չէ: </w:t>
            </w:r>
          </w:p>
        </w:tc>
      </w:tr>
      <w:tr w:rsidR="008C76E0" w:rsidRPr="00BD7577" w14:paraId="3E2E49CF" w14:textId="77777777" w:rsidTr="008C76E0">
        <w:tc>
          <w:tcPr>
            <w:tcW w:w="9640" w:type="dxa"/>
          </w:tcPr>
          <w:p w14:paraId="59055F85"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փաստաթուղթ:</w:t>
            </w:r>
          </w:p>
        </w:tc>
      </w:tr>
      <w:tr w:rsidR="008C76E0" w:rsidRPr="00BD7577" w14:paraId="6F8EA53F" w14:textId="77777777" w:rsidTr="008C76E0">
        <w:tc>
          <w:tcPr>
            <w:tcW w:w="9640" w:type="dxa"/>
          </w:tcPr>
          <w:p w14:paraId="10D25189" w14:textId="77777777" w:rsidR="008C76E0" w:rsidRPr="00BD7577" w:rsidRDefault="008C76E0" w:rsidP="008C76E0">
            <w:pPr>
              <w:spacing w:after="120"/>
              <w:ind w:right="-20"/>
              <w:rPr>
                <w:rFonts w:ascii="Sylfaen" w:eastAsia="Times New Roman" w:hAnsi="Sylfaen" w:cs="Times New Roman"/>
                <w:sz w:val="24"/>
                <w:szCs w:val="24"/>
              </w:rPr>
            </w:pPr>
            <w:r w:rsidRPr="00BD7577">
              <w:rPr>
                <w:rFonts w:ascii="Sylfaen" w:hAnsi="Sylfaen"/>
                <w:sz w:val="24"/>
                <w:szCs w:val="24"/>
              </w:rPr>
              <w:t>Այդ մակարդակում թույլատրվում է ներկայացնել մեկ կամ մի քանի փաստաթղթեր:</w:t>
            </w:r>
          </w:p>
        </w:tc>
      </w:tr>
    </w:tbl>
    <w:p w14:paraId="4E664FBB" w14:textId="77777777" w:rsidR="008C76E0" w:rsidRPr="00BD7577" w:rsidRDefault="008C76E0" w:rsidP="008C76E0">
      <w:pPr>
        <w:rPr>
          <w:rFonts w:ascii="Sylfaen" w:eastAsia="Times New Roman" w:hAnsi="Sylfaen" w:cs="Times New Roman"/>
          <w:sz w:val="24"/>
          <w:szCs w:val="24"/>
        </w:rPr>
      </w:pPr>
    </w:p>
    <w:p w14:paraId="460D9DDD" w14:textId="77777777" w:rsidR="008C76E0" w:rsidRPr="00421BB4" w:rsidRDefault="008C76E0" w:rsidP="00591274">
      <w:pPr>
        <w:spacing w:after="160" w:line="360" w:lineRule="auto"/>
        <w:ind w:left="567" w:right="566"/>
        <w:jc w:val="center"/>
        <w:rPr>
          <w:rFonts w:ascii="Sylfaen" w:hAnsi="Sylfaen"/>
          <w:sz w:val="24"/>
          <w:szCs w:val="24"/>
        </w:rPr>
      </w:pPr>
      <w:r w:rsidRPr="00BD7577">
        <w:rPr>
          <w:rFonts w:ascii="Sylfaen" w:hAnsi="Sylfaen"/>
          <w:sz w:val="24"/>
          <w:szCs w:val="24"/>
        </w:rPr>
        <w:t>VIII. Փաստաթղթի համարակալումն ու բաժանումը</w:t>
      </w:r>
    </w:p>
    <w:p w14:paraId="136DF477" w14:textId="77777777" w:rsidR="008C76E0" w:rsidRPr="00421BB4" w:rsidRDefault="008C76E0" w:rsidP="00591274">
      <w:pPr>
        <w:spacing w:after="160" w:line="360" w:lineRule="auto"/>
        <w:ind w:left="567" w:right="566"/>
        <w:jc w:val="center"/>
        <w:rPr>
          <w:rFonts w:ascii="Sylfaen" w:eastAsia="Times New Roman" w:hAnsi="Sylfaen" w:cs="Times New Roman"/>
          <w:sz w:val="24"/>
          <w:szCs w:val="24"/>
        </w:rPr>
      </w:pPr>
    </w:p>
    <w:p w14:paraId="7C483026" w14:textId="77777777" w:rsidR="008C76E0" w:rsidRPr="00BD7577" w:rsidRDefault="008C76E0" w:rsidP="0059127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1. Ընդհանուր պահանջներ</w:t>
      </w:r>
    </w:p>
    <w:p w14:paraId="786C2779" w14:textId="0BF6F2DA" w:rsidR="008C76E0" w:rsidRPr="00BD7577" w:rsidRDefault="008C76E0" w:rsidP="00591274">
      <w:pPr>
        <w:spacing w:after="160" w:line="360" w:lineRule="auto"/>
        <w:ind w:right="-57" w:firstLine="567"/>
        <w:jc w:val="both"/>
        <w:rPr>
          <w:rFonts w:ascii="Sylfaen" w:eastAsia="Times New Roman" w:hAnsi="Sylfaen" w:cs="Times New Roman"/>
          <w:sz w:val="24"/>
          <w:szCs w:val="24"/>
        </w:rPr>
      </w:pPr>
      <w:r w:rsidRPr="00BD7577">
        <w:rPr>
          <w:rFonts w:ascii="Sylfaen" w:hAnsi="Sylfaen"/>
          <w:sz w:val="24"/>
          <w:szCs w:val="24"/>
        </w:rPr>
        <w:t xml:space="preserve">Յուրաքանչյուր փաստաթուղթ հարկ է համարակալել (սկսած առաջին էջից)՝ բացառությամբ գրական աղբյուրներին արված առանձին հղումների, որոնց համար բավարար է գրանցամատյանում էջերի փաստացի համարակալումը: </w:t>
      </w:r>
      <w:r w:rsidR="0056496B">
        <w:rPr>
          <w:rFonts w:ascii="Sylfaen" w:hAnsi="Sylfaen"/>
          <w:spacing w:val="-4"/>
          <w:sz w:val="24"/>
          <w:szCs w:val="24"/>
        </w:rPr>
        <w:t>Դիմումատու</w:t>
      </w:r>
      <w:r w:rsidRPr="00E957FF">
        <w:rPr>
          <w:rFonts w:ascii="Sylfaen" w:hAnsi="Sylfaen"/>
          <w:spacing w:val="-4"/>
          <w:sz w:val="24"/>
          <w:szCs w:val="24"/>
        </w:rPr>
        <w:t>ները պարտավոր չեն հետ</w:t>
      </w:r>
      <w:r w:rsidR="00C54D75">
        <w:rPr>
          <w:rFonts w:ascii="Sylfaen" w:hAnsi="Sylfaen"/>
          <w:spacing w:val="-4"/>
          <w:sz w:val="24"/>
          <w:szCs w:val="24"/>
        </w:rPr>
        <w:t>և</w:t>
      </w:r>
      <w:r w:rsidRPr="00E957FF">
        <w:rPr>
          <w:rFonts w:ascii="Sylfaen" w:hAnsi="Sylfaen"/>
          <w:spacing w:val="-4"/>
          <w:sz w:val="24"/>
          <w:szCs w:val="24"/>
        </w:rPr>
        <w:t>յալ տեսքով նշելու էջերի համարները՝ «n-ից 1», որտեղ</w:t>
      </w:r>
      <w:r w:rsidRPr="00BD7577">
        <w:rPr>
          <w:rFonts w:ascii="Sylfaen" w:hAnsi="Sylfaen"/>
          <w:sz w:val="24"/>
          <w:szCs w:val="24"/>
        </w:rPr>
        <w:t xml:space="preserve"> n-ը էջերի ընդհանուր քանակն է:</w:t>
      </w:r>
    </w:p>
    <w:p w14:paraId="68334EF5"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Բացի դրանից, փաստաթղթի բոլոր էջերը պետք է ներառեն եզակի վերին կամ ստորին էջախորագիրը, որում համառոտ արտացոլված է փաստաթղթի բովանդակությունը: Փաստաթուղթը թղթային կրիչով ներկայացնելիս բաժանիչի վրա հարկ է նշել այն նույն նույնականացուցիչը, որը նախորդում է փաստաթղթին՝ դոսյեում դրա գտնելը դյուրացնելու համար: Թույլատրվում է օգտագործել բաժնի ամբողջական համարի </w:t>
      </w:r>
      <w:r w:rsidR="00C54D75">
        <w:rPr>
          <w:rFonts w:ascii="Sylfaen" w:hAnsi="Sylfaen"/>
          <w:sz w:val="24"/>
          <w:szCs w:val="24"/>
        </w:rPr>
        <w:t>և</w:t>
      </w:r>
      <w:r w:rsidRPr="00BD7577">
        <w:rPr>
          <w:rFonts w:ascii="Sylfaen" w:hAnsi="Sylfaen"/>
          <w:sz w:val="24"/>
          <w:szCs w:val="24"/>
        </w:rPr>
        <w:t xml:space="preserve"> փաստաթղթի անվանման հապավումը:</w:t>
      </w:r>
    </w:p>
    <w:p w14:paraId="1368EC8A"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Եթե բաժինը պարունակում է մի քանի փաստաթուղթ, ապա այդ բաժնի համար թույլատրվում է նախատեսել առանձին բովանդակություն (դրանում պարունակվող փաստաթղթերի ժամանակագրությունն ու անվանումները նշելու նպատակով), օրինակ՝</w:t>
      </w:r>
    </w:p>
    <w:p w14:paraId="3B473450"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lastRenderedPageBreak/>
        <w:t>բաժանիչը «3.2.S.4.2. Անալիտիկ մեթոդիկաներ»-ով.</w:t>
      </w:r>
    </w:p>
    <w:p w14:paraId="35AEB429" w14:textId="77777777" w:rsidR="008C76E0" w:rsidRPr="00E957FF" w:rsidRDefault="008C76E0" w:rsidP="00591274">
      <w:pPr>
        <w:spacing w:after="160" w:line="360" w:lineRule="auto"/>
        <w:ind w:right="-1" w:firstLine="567"/>
        <w:jc w:val="both"/>
        <w:rPr>
          <w:rFonts w:ascii="Sylfaen" w:hAnsi="Sylfaen"/>
          <w:spacing w:val="-6"/>
          <w:sz w:val="24"/>
          <w:szCs w:val="24"/>
        </w:rPr>
      </w:pPr>
      <w:r w:rsidRPr="00E957FF">
        <w:rPr>
          <w:rFonts w:ascii="Sylfaen" w:hAnsi="Sylfaen"/>
          <w:spacing w:val="-6"/>
          <w:sz w:val="24"/>
          <w:szCs w:val="24"/>
        </w:rPr>
        <w:t>բովանդակությունը՝ A մեթոդիկայի, B մեթոդիկայի, C մեթոդիկայի անվանումը.</w:t>
      </w:r>
    </w:p>
    <w:p w14:paraId="0A424D3C"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բաժանիչը «3.2.S.4.2. «Մեթոդիկա A»-ով.</w:t>
      </w:r>
    </w:p>
    <w:p w14:paraId="2C999D16"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մեթոդիկա A (այսինքն՝ 1-n էջերի փաստաթուղթ). </w:t>
      </w:r>
    </w:p>
    <w:p w14:paraId="1C2C27DE" w14:textId="77777777" w:rsidR="008C76E0" w:rsidRPr="00BD7577" w:rsidRDefault="008C76E0" w:rsidP="00591274">
      <w:pPr>
        <w:spacing w:after="160" w:line="360" w:lineRule="auto"/>
        <w:ind w:right="-1" w:firstLine="567"/>
        <w:jc w:val="both"/>
        <w:rPr>
          <w:rFonts w:ascii="Sylfaen" w:hAnsi="Sylfaen"/>
          <w:sz w:val="24"/>
          <w:szCs w:val="24"/>
        </w:rPr>
      </w:pPr>
      <w:r w:rsidRPr="00BD7577">
        <w:rPr>
          <w:rFonts w:ascii="Sylfaen" w:hAnsi="Sylfaen"/>
          <w:sz w:val="24"/>
          <w:szCs w:val="24"/>
        </w:rPr>
        <w:t xml:space="preserve">բաժանիչը «3.2.S.4.2. «Մեթոդիկա B»-ով. </w:t>
      </w:r>
    </w:p>
    <w:p w14:paraId="65021F13"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մեթոդիկա B (այսինքն՝ 1-n էջերի փաստաթուղթ). </w:t>
      </w:r>
    </w:p>
    <w:p w14:paraId="1D6F1B48" w14:textId="77777777" w:rsidR="008C76E0" w:rsidRPr="00BD7577" w:rsidRDefault="008C76E0" w:rsidP="00591274">
      <w:pPr>
        <w:spacing w:after="160" w:line="360" w:lineRule="auto"/>
        <w:ind w:firstLine="567"/>
        <w:jc w:val="both"/>
        <w:rPr>
          <w:rFonts w:ascii="Sylfaen" w:hAnsi="Sylfaen"/>
          <w:sz w:val="24"/>
          <w:szCs w:val="24"/>
        </w:rPr>
      </w:pPr>
      <w:r w:rsidRPr="00BD7577">
        <w:rPr>
          <w:rFonts w:ascii="Sylfaen" w:hAnsi="Sylfaen"/>
          <w:sz w:val="24"/>
          <w:szCs w:val="24"/>
        </w:rPr>
        <w:t xml:space="preserve">բաժանիչը «3.2.S.4.2. «Մեթոդիկա C»-ով. </w:t>
      </w:r>
    </w:p>
    <w:p w14:paraId="4A766AE7"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մեթոդիկա C (այսինքն՝ 1-n էջերի փաստաթուղթ): </w:t>
      </w:r>
    </w:p>
    <w:p w14:paraId="3BF00047" w14:textId="77777777" w:rsidR="008C76E0" w:rsidRPr="00421BB4" w:rsidRDefault="008C76E0" w:rsidP="00591274">
      <w:pPr>
        <w:spacing w:after="160" w:line="360" w:lineRule="auto"/>
        <w:ind w:firstLine="567"/>
        <w:jc w:val="both"/>
        <w:rPr>
          <w:rFonts w:ascii="Sylfaen" w:eastAsia="Times New Roman" w:hAnsi="Sylfaen" w:cs="Times New Roman"/>
          <w:spacing w:val="6"/>
          <w:sz w:val="24"/>
          <w:szCs w:val="24"/>
        </w:rPr>
      </w:pPr>
      <w:r w:rsidRPr="00421BB4">
        <w:rPr>
          <w:rFonts w:ascii="Sylfaen" w:hAnsi="Sylfaen"/>
          <w:spacing w:val="6"/>
          <w:sz w:val="24"/>
          <w:szCs w:val="24"/>
        </w:rPr>
        <w:t>Եթե բաժինը պարունակում է միայն մեկ փաստաթուղթ (օրինակ՝ «3.2.S.1.1. Անվանացանկ»), փաստաթղթին պետք է նախորդի միայն «3.2.S.1.1. Անվանացանկ» բաժանիչը:</w:t>
      </w:r>
    </w:p>
    <w:p w14:paraId="01476DE7" w14:textId="77777777" w:rsidR="008C76E0" w:rsidRPr="00BD7577" w:rsidRDefault="008C76E0" w:rsidP="00591274">
      <w:pPr>
        <w:spacing w:after="160" w:line="360" w:lineRule="auto"/>
        <w:rPr>
          <w:rFonts w:ascii="Sylfaen" w:eastAsia="Times New Roman" w:hAnsi="Sylfaen" w:cs="Times New Roman"/>
          <w:sz w:val="24"/>
          <w:szCs w:val="24"/>
        </w:rPr>
      </w:pPr>
    </w:p>
    <w:p w14:paraId="2C4FDCAF" w14:textId="77777777" w:rsidR="008C76E0" w:rsidRPr="00BD7577" w:rsidRDefault="008C76E0" w:rsidP="00591274">
      <w:pPr>
        <w:spacing w:after="160" w:line="360" w:lineRule="auto"/>
        <w:ind w:left="567" w:right="567"/>
        <w:jc w:val="center"/>
        <w:rPr>
          <w:rFonts w:ascii="Sylfaen" w:eastAsia="Times New Roman" w:hAnsi="Sylfaen" w:cs="Times New Roman"/>
          <w:sz w:val="24"/>
          <w:szCs w:val="24"/>
        </w:rPr>
      </w:pPr>
      <w:r w:rsidRPr="00BD7577">
        <w:rPr>
          <w:rFonts w:ascii="Sylfaen" w:hAnsi="Sylfaen"/>
          <w:sz w:val="24"/>
          <w:szCs w:val="24"/>
        </w:rPr>
        <w:t>2. Փաստաթղթում բաժինների համարակալումը</w:t>
      </w:r>
    </w:p>
    <w:p w14:paraId="0ED1EE09" w14:textId="7B1AF508" w:rsidR="008C76E0" w:rsidRPr="00BD7577" w:rsidRDefault="008C76E0" w:rsidP="00591274">
      <w:pPr>
        <w:spacing w:after="160" w:line="360" w:lineRule="auto"/>
        <w:ind w:right="-59" w:firstLine="567"/>
        <w:jc w:val="both"/>
        <w:rPr>
          <w:rFonts w:ascii="Sylfaen" w:eastAsia="Times New Roman" w:hAnsi="Sylfaen" w:cs="Times New Roman"/>
          <w:sz w:val="24"/>
          <w:szCs w:val="24"/>
        </w:rPr>
      </w:pPr>
      <w:r w:rsidRPr="00BD7577">
        <w:rPr>
          <w:rFonts w:ascii="Sylfaen" w:hAnsi="Sylfaen"/>
          <w:sz w:val="24"/>
          <w:szCs w:val="24"/>
        </w:rPr>
        <w:t xml:space="preserve">Փաստաթղթում 5-րդ, 6-րդ </w:t>
      </w:r>
      <w:r w:rsidR="00C54D75">
        <w:rPr>
          <w:rFonts w:ascii="Sylfaen" w:hAnsi="Sylfaen"/>
          <w:sz w:val="24"/>
          <w:szCs w:val="24"/>
        </w:rPr>
        <w:t>և</w:t>
      </w:r>
      <w:r w:rsidRPr="00BD7577">
        <w:rPr>
          <w:rFonts w:ascii="Sylfaen" w:hAnsi="Sylfaen"/>
          <w:sz w:val="24"/>
          <w:szCs w:val="24"/>
        </w:rPr>
        <w:t xml:space="preserve"> այլ մակարդակների ենթավերնագրերից խուսափելու համար (օրինակ՝ 2.6.6.3.2.1)՝ </w:t>
      </w:r>
      <w:r w:rsidR="0056496B">
        <w:rPr>
          <w:rFonts w:ascii="Sylfaen" w:hAnsi="Sylfaen"/>
          <w:sz w:val="24"/>
          <w:szCs w:val="24"/>
        </w:rPr>
        <w:t>դիմումատու</w:t>
      </w:r>
      <w:r w:rsidRPr="00BD7577">
        <w:rPr>
          <w:rFonts w:ascii="Sylfaen" w:hAnsi="Sylfaen"/>
          <w:sz w:val="24"/>
          <w:szCs w:val="24"/>
        </w:rPr>
        <w:t xml:space="preserve">ն կարող է օգտվել կրճատ համարից: Այդ դեպքում փաստաթղթի վերին կամ ստորին էջախորագրում </w:t>
      </w:r>
      <w:r w:rsidRPr="00415952">
        <w:rPr>
          <w:rFonts w:ascii="Sylfaen" w:hAnsi="Sylfaen"/>
          <w:sz w:val="24"/>
          <w:szCs w:val="24"/>
        </w:rPr>
        <w:t xml:space="preserve">անհրաժեշտ է նշել փաստաթղթի համարը </w:t>
      </w:r>
      <w:r w:rsidR="00C54D75">
        <w:rPr>
          <w:rFonts w:ascii="Sylfaen" w:hAnsi="Sylfaen"/>
          <w:sz w:val="24"/>
          <w:szCs w:val="24"/>
        </w:rPr>
        <w:t>և</w:t>
      </w:r>
      <w:r w:rsidRPr="00415952">
        <w:rPr>
          <w:rFonts w:ascii="Sylfaen" w:hAnsi="Sylfaen"/>
          <w:sz w:val="24"/>
          <w:szCs w:val="24"/>
        </w:rPr>
        <w:t xml:space="preserve"> անվանումը (օրինակ՝ 2.6.6. Նկարագրական ռեզյումե՝ թունաբանության</w:t>
      </w:r>
      <w:r w:rsidRPr="00BD7577">
        <w:rPr>
          <w:rFonts w:ascii="Sylfaen" w:hAnsi="Sylfaen"/>
          <w:sz w:val="24"/>
          <w:szCs w:val="24"/>
        </w:rPr>
        <w:t xml:space="preserve"> վերաբերյալ)՝ փաստաթղթի մեջ բաժնի համարի հետագա նշմամբ (օրինակ՝ 1, 1.1, 2, 3, 3.1, 3.2 </w:t>
      </w:r>
      <w:r w:rsidR="00C54D75">
        <w:rPr>
          <w:rFonts w:ascii="Sylfaen" w:hAnsi="Sylfaen"/>
          <w:sz w:val="24"/>
          <w:szCs w:val="24"/>
        </w:rPr>
        <w:t>և</w:t>
      </w:r>
      <w:r w:rsidRPr="00BD7577">
        <w:rPr>
          <w:rFonts w:ascii="Sylfaen" w:hAnsi="Sylfaen"/>
          <w:sz w:val="24"/>
          <w:szCs w:val="24"/>
        </w:rPr>
        <w:t xml:space="preserve"> այլն): Նա</w:t>
      </w:r>
      <w:r w:rsidR="00C54D75">
        <w:rPr>
          <w:rFonts w:ascii="Sylfaen" w:hAnsi="Sylfaen"/>
          <w:sz w:val="24"/>
          <w:szCs w:val="24"/>
        </w:rPr>
        <w:t>և</w:t>
      </w:r>
      <w:r w:rsidRPr="00BD7577">
        <w:rPr>
          <w:rFonts w:ascii="Sylfaen" w:hAnsi="Sylfaen"/>
          <w:sz w:val="24"/>
          <w:szCs w:val="24"/>
        </w:rPr>
        <w:t xml:space="preserve"> թույլատրելի է ամբողջական համարի օգտագործումը (օրինակ՝ 2.6.6.3.2.1):</w:t>
      </w:r>
    </w:p>
    <w:p w14:paraId="26A580B0" w14:textId="77777777" w:rsidR="00591274" w:rsidRDefault="00591274">
      <w:pPr>
        <w:widowControl/>
        <w:rPr>
          <w:rFonts w:ascii="Sylfaen" w:hAnsi="Sylfaen"/>
          <w:sz w:val="24"/>
          <w:szCs w:val="24"/>
        </w:rPr>
      </w:pPr>
      <w:r>
        <w:rPr>
          <w:rFonts w:ascii="Sylfaen" w:hAnsi="Sylfaen"/>
          <w:sz w:val="24"/>
          <w:szCs w:val="24"/>
        </w:rPr>
        <w:br w:type="page"/>
      </w:r>
    </w:p>
    <w:p w14:paraId="36469E9E" w14:textId="77777777" w:rsidR="008C76E0" w:rsidRPr="00BD7577" w:rsidRDefault="008C76E0" w:rsidP="00591274">
      <w:pPr>
        <w:spacing w:after="160" w:line="384"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3. Բովանդակության ձ</w:t>
      </w:r>
      <w:r w:rsidR="00C54D75">
        <w:rPr>
          <w:rFonts w:ascii="Sylfaen" w:hAnsi="Sylfaen"/>
          <w:sz w:val="24"/>
          <w:szCs w:val="24"/>
        </w:rPr>
        <w:t>և</w:t>
      </w:r>
      <w:r w:rsidRPr="00BD7577">
        <w:rPr>
          <w:rFonts w:ascii="Sylfaen" w:hAnsi="Sylfaen"/>
          <w:sz w:val="24"/>
          <w:szCs w:val="24"/>
        </w:rPr>
        <w:t>աչափումը</w:t>
      </w:r>
    </w:p>
    <w:p w14:paraId="4E3FD7D8" w14:textId="77777777" w:rsidR="008C76E0" w:rsidRPr="00BD7577" w:rsidRDefault="008C76E0" w:rsidP="00591274">
      <w:pPr>
        <w:tabs>
          <w:tab w:val="left" w:pos="1134"/>
        </w:tabs>
        <w:spacing w:after="160" w:line="374" w:lineRule="auto"/>
        <w:ind w:right="-59" w:firstLine="567"/>
        <w:jc w:val="both"/>
        <w:rPr>
          <w:rFonts w:ascii="Sylfaen" w:hAnsi="Sylfaen"/>
          <w:sz w:val="24"/>
          <w:szCs w:val="24"/>
        </w:rPr>
      </w:pPr>
      <w:r w:rsidRPr="00BD7577">
        <w:rPr>
          <w:rFonts w:ascii="Sylfaen" w:hAnsi="Sylfaen"/>
          <w:sz w:val="24"/>
          <w:szCs w:val="24"/>
        </w:rPr>
        <w:t>3.1.</w:t>
      </w:r>
      <w:r w:rsidRPr="00BD7577">
        <w:rPr>
          <w:rFonts w:ascii="Sylfaen" w:hAnsi="Sylfaen"/>
          <w:sz w:val="24"/>
          <w:szCs w:val="24"/>
        </w:rPr>
        <w:tab/>
        <w:t>Մոդուլ 2.</w:t>
      </w:r>
    </w:p>
    <w:p w14:paraId="024863B9" w14:textId="77777777" w:rsidR="008C76E0" w:rsidRPr="00BD7577" w:rsidRDefault="008C76E0" w:rsidP="00591274">
      <w:pPr>
        <w:spacing w:after="160" w:line="374" w:lineRule="auto"/>
        <w:ind w:right="-59" w:firstLine="567"/>
        <w:jc w:val="both"/>
        <w:rPr>
          <w:rFonts w:ascii="Sylfaen" w:eastAsia="Times New Roman" w:hAnsi="Sylfaen" w:cs="Times New Roman"/>
          <w:sz w:val="24"/>
          <w:szCs w:val="24"/>
        </w:rPr>
      </w:pPr>
      <w:r w:rsidRPr="00BD7577">
        <w:rPr>
          <w:rFonts w:ascii="Sylfaen" w:hAnsi="Sylfaen"/>
          <w:sz w:val="24"/>
          <w:szCs w:val="24"/>
        </w:rPr>
        <w:t>ԸՏՓ-ի 2.1 բաժնի բովանդակությունն անհրաժեշտ է մանրամասնեցնել մինչ</w:t>
      </w:r>
      <w:r w:rsidR="00C54D75">
        <w:rPr>
          <w:rFonts w:ascii="Sylfaen" w:hAnsi="Sylfaen"/>
          <w:sz w:val="24"/>
          <w:szCs w:val="24"/>
        </w:rPr>
        <w:t>և</w:t>
      </w:r>
      <w:r w:rsidRPr="00BD7577">
        <w:rPr>
          <w:rFonts w:ascii="Sylfaen" w:hAnsi="Sylfaen"/>
          <w:sz w:val="24"/>
          <w:szCs w:val="24"/>
        </w:rPr>
        <w:t xml:space="preserve"> 3-րդ (օրինակ՝ 2.3.S) կամ 4-րդ (օրինակ՝ 2.3.S.1) մակարդակը՝ կախված այն հանգամանքից, թե որակի ամփոփիչ ռեզյումեի մեջ որ փաստաթուղթն է ներառված (տե՛ս 2-րդ մոդուլում փաստաթղթի սահմանումը): </w:t>
      </w:r>
    </w:p>
    <w:p w14:paraId="2E26530D"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Մոդուլ 3.</w:t>
      </w:r>
    </w:p>
    <w:p w14:paraId="0F4CDEF6"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 xml:space="preserve">ԸՏՓ-ի 3.1-րդ բաժնի բովանդակությունը պետք է ներառի վերին կարգի բաժինների համարները, բաժինների՝ դրանց համապատասխանող վերնագրերը </w:t>
      </w:r>
      <w:r w:rsidR="00C54D75">
        <w:rPr>
          <w:rFonts w:ascii="Sylfaen" w:hAnsi="Sylfaen"/>
          <w:sz w:val="24"/>
          <w:szCs w:val="24"/>
        </w:rPr>
        <w:t>և</w:t>
      </w:r>
      <w:r w:rsidRPr="00BD7577">
        <w:rPr>
          <w:rFonts w:ascii="Sylfaen" w:hAnsi="Sylfaen"/>
          <w:sz w:val="24"/>
          <w:szCs w:val="24"/>
        </w:rPr>
        <w:t xml:space="preserve"> հատորի համարը՝ դոսյեում դրանց հերթականության կարգով: Այդ բովանդակությունը կօգտագործվի 3-րդ մոդուլի բովանդակությունը նշելու համար՝ Կանոնների թիվ 1 հավելվածին համապատասխան: Այն պետք է մանրամասնեցնել մինչ</w:t>
      </w:r>
      <w:r w:rsidR="00C54D75">
        <w:rPr>
          <w:rFonts w:ascii="Sylfaen" w:hAnsi="Sylfaen"/>
          <w:sz w:val="24"/>
          <w:szCs w:val="24"/>
        </w:rPr>
        <w:t>և</w:t>
      </w:r>
      <w:r w:rsidRPr="00BD7577">
        <w:rPr>
          <w:rFonts w:ascii="Sylfaen" w:hAnsi="Sylfaen"/>
          <w:sz w:val="24"/>
          <w:szCs w:val="24"/>
        </w:rPr>
        <w:t xml:space="preserve"> 5-րդ մակարդակը (օրինակ՝ 3.2.P.2.1): Հարկ է նշել, որ սույն կանոնների թիվ</w:t>
      </w:r>
      <w:r w:rsidRPr="00415952">
        <w:rPr>
          <w:rFonts w:ascii="Sylfaen" w:hAnsi="Sylfaen"/>
          <w:sz w:val="24"/>
          <w:szCs w:val="24"/>
        </w:rPr>
        <w:t> </w:t>
      </w:r>
      <w:r w:rsidRPr="00BD7577">
        <w:rPr>
          <w:rFonts w:ascii="Sylfaen" w:hAnsi="Sylfaen"/>
          <w:sz w:val="24"/>
          <w:szCs w:val="24"/>
        </w:rPr>
        <w:t>1 հավելվածով նախատեսվում են այդ մակարդակից ավելի ցած գտնվող լրացուցիչ ենթաբաժիններ ու ենթավերնագրեր (օրինակ՝ 3.2.P.2), այդ պատճառով այս ձ</w:t>
      </w:r>
      <w:r w:rsidR="00C54D75">
        <w:rPr>
          <w:rFonts w:ascii="Sylfaen" w:hAnsi="Sylfaen"/>
          <w:sz w:val="24"/>
          <w:szCs w:val="24"/>
        </w:rPr>
        <w:t>և</w:t>
      </w:r>
      <w:r w:rsidRPr="00BD7577">
        <w:rPr>
          <w:rFonts w:ascii="Sylfaen" w:hAnsi="Sylfaen"/>
          <w:sz w:val="24"/>
          <w:szCs w:val="24"/>
        </w:rPr>
        <w:t>աչափը պետք է օգտագործել ամբողջ դոսյեում՝ նույնիսկ չնայած այն բանի, որ այն ներառված չէ 3.1-րդ բաժնում՝ «Բովանդակություն»։ «Փաստաթղթի համարակալում ու բաժանում» բաժնում նկարագրված ստորին մակարդակի բովանդակությունը պետք չէ ներառել 3.1 «Բովանդակություն» բաժնում:</w:t>
      </w:r>
    </w:p>
    <w:p w14:paraId="1312478E" w14:textId="6366F878" w:rsidR="008C76E0" w:rsidRPr="00BD7577" w:rsidRDefault="0056496B" w:rsidP="00591274">
      <w:pPr>
        <w:spacing w:after="160" w:line="336" w:lineRule="auto"/>
        <w:ind w:firstLine="567"/>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 xml:space="preserve">ի հայեցողությամբ, ժամանակագրությունն ու համարակալումը նշելու նպատակով, Կանոնների թիվ 1 հավելվածում նշվածներից բացի, բազմաթիվ փաստաթղթեր պարունակող առանձին բաժնի համար կարելի է բովանդակություն կազմել: Այն հարկ է ներկայացնել միայն փաստաթղթի շրջանակներում </w:t>
      </w:r>
      <w:r w:rsidR="00C54D75">
        <w:rPr>
          <w:rFonts w:ascii="Sylfaen" w:hAnsi="Sylfaen"/>
          <w:sz w:val="24"/>
          <w:szCs w:val="24"/>
        </w:rPr>
        <w:t>և</w:t>
      </w:r>
      <w:r w:rsidR="008C76E0" w:rsidRPr="00BD7577">
        <w:rPr>
          <w:rFonts w:ascii="Sylfaen" w:hAnsi="Sylfaen"/>
          <w:sz w:val="24"/>
          <w:szCs w:val="24"/>
        </w:rPr>
        <w:t xml:space="preserve"> ոչ</w:t>
      </w:r>
      <w:r w:rsidR="008C76E0" w:rsidRPr="00421BB4">
        <w:rPr>
          <w:rFonts w:ascii="Sylfaen" w:hAnsi="Sylfaen"/>
          <w:sz w:val="24"/>
          <w:szCs w:val="24"/>
        </w:rPr>
        <w:t> </w:t>
      </w:r>
      <w:r w:rsidR="008C76E0" w:rsidRPr="00BD7577">
        <w:rPr>
          <w:rFonts w:ascii="Sylfaen" w:hAnsi="Sylfaen"/>
          <w:sz w:val="24"/>
          <w:szCs w:val="24"/>
        </w:rPr>
        <w:t xml:space="preserve">որպես առանձին փաստաթուղթ կամ նոր ենթավերնագիր: Այդ դեպքում այդպիսի փաստաթղթի համար կարելի է նախատեսել առանձին բովանդակություն՝ դրանում պարունակվող ենթաբաժինների ժամանակագրությունն ու անվանումը նշելու համար: Այս փաստաթղթերը </w:t>
      </w:r>
      <w:r w:rsidR="00C54D75">
        <w:rPr>
          <w:rFonts w:ascii="Sylfaen" w:hAnsi="Sylfaen"/>
          <w:sz w:val="24"/>
          <w:szCs w:val="24"/>
        </w:rPr>
        <w:t>և</w:t>
      </w:r>
      <w:r w:rsidR="008C76E0" w:rsidRPr="00BD7577">
        <w:rPr>
          <w:rFonts w:ascii="Sylfaen" w:hAnsi="Sylfaen"/>
          <w:sz w:val="24"/>
          <w:szCs w:val="24"/>
        </w:rPr>
        <w:t xml:space="preserve"> ենթաբաժինները պետք չէ ներառել 3.1</w:t>
      </w:r>
      <w:r w:rsidR="008C76E0" w:rsidRPr="00415952">
        <w:rPr>
          <w:rFonts w:ascii="Sylfaen" w:hAnsi="Sylfaen"/>
          <w:sz w:val="24"/>
          <w:szCs w:val="24"/>
        </w:rPr>
        <w:t> </w:t>
      </w:r>
      <w:r w:rsidR="008C76E0" w:rsidRPr="00BD7577">
        <w:rPr>
          <w:rFonts w:ascii="Sylfaen" w:hAnsi="Sylfaen"/>
          <w:sz w:val="24"/>
          <w:szCs w:val="24"/>
        </w:rPr>
        <w:t>«Բովանդակություն» բաժնում :</w:t>
      </w:r>
    </w:p>
    <w:p w14:paraId="3F4FD14D" w14:textId="77777777" w:rsidR="008C76E0" w:rsidRPr="00BD7577" w:rsidRDefault="008C76E0" w:rsidP="00591274">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lastRenderedPageBreak/>
        <w:t>Այս ձ</w:t>
      </w:r>
      <w:r w:rsidR="00C54D75">
        <w:rPr>
          <w:rFonts w:ascii="Sylfaen" w:hAnsi="Sylfaen"/>
          <w:sz w:val="24"/>
          <w:szCs w:val="24"/>
        </w:rPr>
        <w:t>և</w:t>
      </w:r>
      <w:r w:rsidRPr="00BD7577">
        <w:rPr>
          <w:rFonts w:ascii="Sylfaen" w:hAnsi="Sylfaen"/>
          <w:sz w:val="24"/>
          <w:szCs w:val="24"/>
        </w:rPr>
        <w:t>աչափի մեջ պետք չէ ներառել լրացուցիչ ներդիրներ կամ հավելվածներ, այնուամենայնիվ, դրանք առանձին փաստաթղթի տեսքով թույլատրելի են մի քանի փաստաթղթերի ներկայացնելը ենթադրող բաժնում: Այդ դեպքում պետք է հղում կատարել առդրվող կամ կցվող փաստաթղթի համապատասխան բաժնին: Միայն մեկ փաստաթղթից բաղկացած բաժնում լրացուցիչ տեղեկություններ առդնելու կամ կցելու ցանկության դեպքում այդ տեղեկությունները հարկ է ներառել այդ փաստաթղթում:</w:t>
      </w:r>
    </w:p>
    <w:p w14:paraId="741D5215"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Բովանդակության մուտքերի բոլոր անվանումները պետք է համապատասխանեն վերնագրերի անվանումներին </w:t>
      </w:r>
      <w:r w:rsidR="00C54D75">
        <w:rPr>
          <w:rFonts w:ascii="Sylfaen" w:hAnsi="Sylfaen"/>
          <w:sz w:val="24"/>
          <w:szCs w:val="24"/>
        </w:rPr>
        <w:t>և</w:t>
      </w:r>
      <w:r w:rsidRPr="00BD7577">
        <w:rPr>
          <w:rFonts w:ascii="Sylfaen" w:hAnsi="Sylfaen"/>
          <w:sz w:val="24"/>
          <w:szCs w:val="24"/>
        </w:rPr>
        <w:t xml:space="preserve"> բաժինների համարներին՝ </w:t>
      </w:r>
      <w:r w:rsidRPr="00415952">
        <w:rPr>
          <w:rFonts w:ascii="Sylfaen" w:hAnsi="Sylfaen"/>
          <w:spacing w:val="-4"/>
          <w:sz w:val="24"/>
          <w:szCs w:val="24"/>
        </w:rPr>
        <w:t>համաձայն Կանոնների թիվ 1 հավելվածի կամ բաժանիչների նույնականացուցիչների (միայն դոսյեն թղթային կրիչով ներկայացնելու դեպքում</w:t>
      </w:r>
      <w:r w:rsidRPr="00BD7577">
        <w:rPr>
          <w:rFonts w:ascii="Sylfaen" w:hAnsi="Sylfaen"/>
          <w:sz w:val="24"/>
          <w:szCs w:val="24"/>
        </w:rPr>
        <w:t>), գերադասելի է դրանց ամբողջական անվանումներով, որոնք պետք է թույլատրեն հեշտությամբ նույնականացնել ցանկացած կրճատ անվանում, որը կարող է օգտագործվել համապատասխան բաժանիչում: Բովանդակության մեջ պետք չէ նշել էջերի համարները:</w:t>
      </w:r>
    </w:p>
    <w:p w14:paraId="23E2EB0A"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Գրականության աղբյուրներին հղումները բովանդակության մեջ պետք է վերաբերեն միայն այս բաժնին:</w:t>
      </w:r>
    </w:p>
    <w:p w14:paraId="535F9867" w14:textId="77777777" w:rsidR="008C76E0" w:rsidRPr="00BD7577" w:rsidRDefault="008C76E0" w:rsidP="00591274">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3.3.</w:t>
      </w:r>
      <w:r w:rsidRPr="00BD7577">
        <w:rPr>
          <w:rFonts w:ascii="Sylfaen" w:hAnsi="Sylfaen"/>
          <w:sz w:val="24"/>
          <w:szCs w:val="24"/>
        </w:rPr>
        <w:tab/>
        <w:t>Մոդուլ 4</w:t>
      </w:r>
    </w:p>
    <w:p w14:paraId="156682FC" w14:textId="77777777" w:rsidR="008C76E0" w:rsidRPr="00BD7577" w:rsidRDefault="008C76E0" w:rsidP="00591274">
      <w:pPr>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Դոսյեի բոլոր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w:t>
      </w:r>
      <w:r w:rsidRPr="00415952">
        <w:rPr>
          <w:rFonts w:ascii="Sylfaen" w:hAnsi="Sylfaen"/>
          <w:spacing w:val="-6"/>
          <w:sz w:val="24"/>
          <w:szCs w:val="24"/>
        </w:rPr>
        <w:t xml:space="preserve">օրինակ՝ 4.2.3.5.1. «Պտղաբերությունը </w:t>
      </w:r>
      <w:r w:rsidR="00C54D75">
        <w:rPr>
          <w:rFonts w:ascii="Sylfaen" w:hAnsi="Sylfaen"/>
          <w:spacing w:val="-6"/>
          <w:sz w:val="24"/>
          <w:szCs w:val="24"/>
        </w:rPr>
        <w:t>և</w:t>
      </w:r>
      <w:r w:rsidRPr="00415952">
        <w:rPr>
          <w:rFonts w:ascii="Sylfaen" w:hAnsi="Sylfaen"/>
          <w:spacing w:val="-6"/>
          <w:sz w:val="24"/>
          <w:szCs w:val="24"/>
        </w:rPr>
        <w:t xml:space="preserve"> վաղ սաղմնային զարգացումը»)՝ 4-րդ մոդուլի բովանդակությունը</w:t>
      </w:r>
      <w:r w:rsidRPr="00BD7577">
        <w:rPr>
          <w:rFonts w:ascii="Sylfaen" w:hAnsi="Sylfaen"/>
          <w:sz w:val="24"/>
          <w:szCs w:val="24"/>
        </w:rPr>
        <w:t xml:space="preserve">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հետազոտության մասին հաշվետվության մակարդակը: Այդ կերպ բովանդակության մեջ անհրաժեշտ է արտացոլել հետազոտության մասին յուրաքանչյուր հաշվետվություն: Հետազոտության մասին հաշվետվության բաժինները թույլատրվում է նշել դոսյեի 4-րդ մոդուլի բովանդակության մեջ կամ միայն հետազոտության մասին առանձին հաշվետվության բովանդակության մեջ:</w:t>
      </w:r>
    </w:p>
    <w:p w14:paraId="18BBAFAD" w14:textId="77777777" w:rsidR="008C76E0" w:rsidRPr="00BD7577" w:rsidRDefault="008C76E0" w:rsidP="00591274">
      <w:pPr>
        <w:spacing w:after="160" w:line="360" w:lineRule="auto"/>
        <w:ind w:right="-59" w:firstLine="567"/>
        <w:jc w:val="both"/>
        <w:rPr>
          <w:rFonts w:ascii="Sylfaen" w:hAnsi="Sylfaen"/>
          <w:sz w:val="24"/>
          <w:szCs w:val="24"/>
        </w:rPr>
      </w:pPr>
      <w:r w:rsidRPr="00BD7577">
        <w:rPr>
          <w:rFonts w:ascii="Sylfaen" w:hAnsi="Sylfaen"/>
          <w:sz w:val="24"/>
          <w:szCs w:val="24"/>
        </w:rPr>
        <w:t>4-րդ մոդուլի բովանդակության իլյուստրացիան:</w:t>
      </w:r>
    </w:p>
    <w:p w14:paraId="734F472D" w14:textId="77777777" w:rsidR="008C76E0" w:rsidRPr="00BD7577" w:rsidRDefault="008C76E0" w:rsidP="00591274">
      <w:pPr>
        <w:tabs>
          <w:tab w:val="left" w:pos="1701"/>
        </w:tabs>
        <w:spacing w:after="160" w:line="360" w:lineRule="auto"/>
        <w:ind w:right="-59" w:firstLine="567"/>
        <w:jc w:val="both"/>
        <w:rPr>
          <w:rFonts w:ascii="Sylfaen" w:hAnsi="Sylfaen"/>
          <w:sz w:val="24"/>
          <w:szCs w:val="24"/>
        </w:rPr>
      </w:pPr>
      <w:r w:rsidRPr="00BD7577">
        <w:rPr>
          <w:rFonts w:ascii="Sylfaen" w:hAnsi="Sylfaen"/>
          <w:sz w:val="24"/>
          <w:szCs w:val="24"/>
        </w:rPr>
        <w:lastRenderedPageBreak/>
        <w:t>4.2.3.2.</w:t>
      </w:r>
      <w:r w:rsidRPr="00BD7577">
        <w:rPr>
          <w:rFonts w:ascii="Sylfaen" w:hAnsi="Sylfaen"/>
          <w:sz w:val="24"/>
          <w:szCs w:val="24"/>
        </w:rPr>
        <w:tab/>
        <w:t>Թունավորությունը բազմակի ներարկման դեպքում:</w:t>
      </w:r>
    </w:p>
    <w:p w14:paraId="436A868E"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aa-aaa՝ թունավորության 30-օրյա հետազոտություն՝ առնետներին C պատրաստուկի բազմակի ներարկման դեպքում:</w:t>
      </w:r>
    </w:p>
    <w:p w14:paraId="68B8BD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bb-bbb՝ թունավորության 6-ամսյա հետազոտություն՝ առնետներին C պատրաստուկի բազմակի ներարկման դեպքում:</w:t>
      </w:r>
    </w:p>
    <w:p w14:paraId="123CF9D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cc-ccc՝ թունավորության 30-օրյա հետազոտություն՝ շներին C պատրաստուկի բազմակի ներարկման դեպքում:</w:t>
      </w:r>
    </w:p>
    <w:p w14:paraId="4848F522"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dd-ddd՝ թունավորության 6-ամսյա հետազոտություն՝ շներին C պատրաստուկի բազմակի ներարկման դեպքում:</w:t>
      </w:r>
    </w:p>
    <w:p w14:paraId="31F0FF41"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4.2.3.3.</w:t>
      </w:r>
      <w:r w:rsidRPr="00BD7577">
        <w:rPr>
          <w:rFonts w:ascii="Sylfaen" w:hAnsi="Sylfaen"/>
          <w:sz w:val="24"/>
          <w:szCs w:val="24"/>
        </w:rPr>
        <w:tab/>
        <w:t>Գենոտոքսիկությունը։</w:t>
      </w:r>
    </w:p>
    <w:p w14:paraId="057D3BA8" w14:textId="77777777" w:rsidR="008C76E0" w:rsidRPr="00BD7577" w:rsidRDefault="008C76E0" w:rsidP="00591274">
      <w:pPr>
        <w:tabs>
          <w:tab w:val="left" w:pos="1701"/>
        </w:tabs>
        <w:spacing w:after="160" w:line="336" w:lineRule="auto"/>
        <w:ind w:right="-1" w:firstLine="567"/>
        <w:jc w:val="both"/>
        <w:rPr>
          <w:rFonts w:ascii="Sylfaen" w:hAnsi="Sylfaen"/>
          <w:sz w:val="24"/>
          <w:szCs w:val="24"/>
        </w:rPr>
      </w:pPr>
      <w:r w:rsidRPr="00BD7577">
        <w:rPr>
          <w:rFonts w:ascii="Sylfaen" w:hAnsi="Sylfaen"/>
          <w:sz w:val="24"/>
          <w:szCs w:val="24"/>
        </w:rPr>
        <w:t>4.2.3.3.1.</w:t>
      </w:r>
      <w:r w:rsidRPr="00BD7577">
        <w:rPr>
          <w:rFonts w:ascii="Sylfaen" w:hAnsi="Sylfaen"/>
          <w:sz w:val="24"/>
          <w:szCs w:val="24"/>
        </w:rPr>
        <w:tab/>
        <w:t>In vitro:</w:t>
      </w:r>
    </w:p>
    <w:p w14:paraId="306643BF" w14:textId="77777777" w:rsidR="008C76E0" w:rsidRPr="00BD7577" w:rsidRDefault="008C76E0" w:rsidP="00591274">
      <w:pPr>
        <w:tabs>
          <w:tab w:val="left" w:pos="1701"/>
        </w:tabs>
        <w:spacing w:after="160" w:line="336"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Հետազոտություն ee-eee՝ Էյմսի թեստը C պատրաստուկով </w:t>
      </w:r>
      <w:r w:rsidR="00C54D75">
        <w:rPr>
          <w:rFonts w:ascii="Sylfaen" w:hAnsi="Sylfaen"/>
          <w:sz w:val="24"/>
          <w:szCs w:val="24"/>
        </w:rPr>
        <w:t>և</w:t>
      </w:r>
      <w:r w:rsidRPr="00BD7577">
        <w:rPr>
          <w:rFonts w:ascii="Sylfaen" w:hAnsi="Sylfaen"/>
          <w:sz w:val="24"/>
          <w:szCs w:val="24"/>
        </w:rPr>
        <w:t xml:space="preserve"> այլն:</w:t>
      </w:r>
    </w:p>
    <w:p w14:paraId="5E41B433" w14:textId="77777777" w:rsidR="008C76E0" w:rsidRPr="00BD7577" w:rsidRDefault="008C76E0" w:rsidP="00591274">
      <w:pPr>
        <w:tabs>
          <w:tab w:val="left" w:pos="1134"/>
        </w:tabs>
        <w:spacing w:after="160" w:line="336" w:lineRule="auto"/>
        <w:ind w:right="-59" w:firstLine="567"/>
        <w:jc w:val="both"/>
        <w:rPr>
          <w:rFonts w:ascii="Sylfaen" w:hAnsi="Sylfaen"/>
          <w:sz w:val="24"/>
          <w:szCs w:val="24"/>
        </w:rPr>
      </w:pPr>
      <w:r w:rsidRPr="00BD7577">
        <w:rPr>
          <w:rFonts w:ascii="Sylfaen" w:hAnsi="Sylfaen"/>
          <w:sz w:val="24"/>
          <w:szCs w:val="24"/>
        </w:rPr>
        <w:t>3.4.</w:t>
      </w:r>
      <w:r w:rsidRPr="00BD7577">
        <w:rPr>
          <w:rFonts w:ascii="Sylfaen" w:hAnsi="Sylfaen"/>
          <w:sz w:val="24"/>
          <w:szCs w:val="24"/>
        </w:rPr>
        <w:tab/>
        <w:t>Մոդուլ 5.</w:t>
      </w:r>
    </w:p>
    <w:p w14:paraId="19AB031D" w14:textId="77777777" w:rsidR="008C76E0" w:rsidRPr="00BD7577" w:rsidRDefault="008C76E0" w:rsidP="00591274">
      <w:pPr>
        <w:spacing w:after="160" w:line="336" w:lineRule="auto"/>
        <w:ind w:firstLine="567"/>
        <w:jc w:val="both"/>
        <w:rPr>
          <w:rFonts w:ascii="Sylfaen" w:eastAsia="Times New Roman" w:hAnsi="Sylfaen" w:cs="Times New Roman"/>
          <w:sz w:val="24"/>
          <w:szCs w:val="24"/>
        </w:rPr>
      </w:pPr>
      <w:r w:rsidRPr="00BD7577">
        <w:rPr>
          <w:rFonts w:ascii="Sylfaen" w:hAnsi="Sylfaen"/>
          <w:sz w:val="24"/>
          <w:szCs w:val="24"/>
        </w:rPr>
        <w:t>Դոսյեի կար</w:t>
      </w:r>
      <w:r w:rsidR="00C54D75">
        <w:rPr>
          <w:rFonts w:ascii="Sylfaen" w:hAnsi="Sylfaen"/>
          <w:sz w:val="24"/>
          <w:szCs w:val="24"/>
        </w:rPr>
        <w:t>և</w:t>
      </w:r>
      <w:r w:rsidRPr="00BD7577">
        <w:rPr>
          <w:rFonts w:ascii="Sylfaen" w:hAnsi="Sylfaen"/>
          <w:sz w:val="24"/>
          <w:szCs w:val="24"/>
        </w:rPr>
        <w:t>որ բաղադրիչները նույնականացնելու նպատակով (օրինակ՝</w:t>
      </w:r>
      <w:r w:rsidRPr="00E41A3B">
        <w:rPr>
          <w:rFonts w:ascii="Sylfaen" w:hAnsi="Sylfaen"/>
          <w:sz w:val="24"/>
          <w:szCs w:val="24"/>
        </w:rPr>
        <w:t> </w:t>
      </w:r>
      <w:r w:rsidRPr="00BD7577">
        <w:rPr>
          <w:rFonts w:ascii="Sylfaen" w:hAnsi="Sylfaen"/>
          <w:sz w:val="24"/>
          <w:szCs w:val="24"/>
        </w:rPr>
        <w:t>5.3.5.1.1. «Պլացեբո-վերահսկվող հետազոտություն») 5-րդ մոդուլի բովանդակությունը պետք է ներառի Կանոնների թիվ 1 հավելվածում թվարկված բոլոր թվային տարրերը, այն անհրաժեշտ է մանրամասնեցնել առնվազն մինչ</w:t>
      </w:r>
      <w:r w:rsidR="00C54D75">
        <w:rPr>
          <w:rFonts w:ascii="Sylfaen" w:hAnsi="Sylfaen"/>
          <w:sz w:val="24"/>
          <w:szCs w:val="24"/>
        </w:rPr>
        <w:t>և</w:t>
      </w:r>
      <w:r w:rsidRPr="00BD7577">
        <w:rPr>
          <w:rFonts w:ascii="Sylfaen" w:hAnsi="Sylfaen"/>
          <w:sz w:val="24"/>
          <w:szCs w:val="24"/>
        </w:rPr>
        <w:t xml:space="preserve"> կլինիկական հետազոտության մասին հաշվետվության մակարդակը: Այդ կերպ, բովանդակության մեջ անհրաժեշտ է արտացոլել կլինիկական հետազոտության </w:t>
      </w:r>
      <w:r w:rsidRPr="003676C2">
        <w:rPr>
          <w:rFonts w:ascii="Sylfaen" w:hAnsi="Sylfaen"/>
          <w:sz w:val="24"/>
          <w:szCs w:val="24"/>
        </w:rPr>
        <w:t xml:space="preserve">մասին յուրաքանչյուր հաշվետվություն: Կլինիկական հետազոտության մասին հաշվետվության բաժինները թույլատրվում է ներառել (տե՛ս Եվրասիական </w:t>
      </w:r>
      <w:r w:rsidRPr="003676C2">
        <w:rPr>
          <w:rFonts w:ascii="Sylfaen" w:hAnsi="Sylfaen"/>
          <w:spacing w:val="6"/>
          <w:sz w:val="24"/>
          <w:szCs w:val="24"/>
        </w:rPr>
        <w:t>տնտեսական միության պատշաճ կլինիկական գործելակերպի Կանոնների թիվ 1 հավելվածը) 5-րդ մոդուլի</w:t>
      </w:r>
      <w:r w:rsidRPr="00BD7577">
        <w:rPr>
          <w:rFonts w:ascii="Sylfaen" w:hAnsi="Sylfaen"/>
          <w:sz w:val="24"/>
          <w:szCs w:val="24"/>
        </w:rPr>
        <w:t xml:space="preserve"> բովանդակության մեջ կամ միայն կլինիկական հետազոտության մասին առանձին հաշվետվության բովանդակության մեջ:</w:t>
      </w:r>
    </w:p>
    <w:p w14:paraId="50A3294E" w14:textId="77777777" w:rsidR="008C76E0" w:rsidRPr="00BD7577" w:rsidRDefault="008C76E0" w:rsidP="00591274">
      <w:pPr>
        <w:spacing w:after="160" w:line="336" w:lineRule="auto"/>
        <w:ind w:firstLine="567"/>
        <w:jc w:val="both"/>
        <w:rPr>
          <w:rFonts w:ascii="Sylfaen" w:hAnsi="Sylfaen"/>
          <w:sz w:val="24"/>
          <w:szCs w:val="24"/>
        </w:rPr>
      </w:pPr>
      <w:r w:rsidRPr="00BD7577">
        <w:rPr>
          <w:rFonts w:ascii="Sylfaen" w:hAnsi="Sylfaen"/>
          <w:sz w:val="24"/>
          <w:szCs w:val="24"/>
        </w:rPr>
        <w:t>5-րդ մոդուլի բովանդակության մասի իլյուստրացիան:</w:t>
      </w:r>
    </w:p>
    <w:p w14:paraId="1E7470E7" w14:textId="77777777"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Z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741C000B" w14:textId="77E42419" w:rsidR="008C76E0" w:rsidRPr="00BD7577" w:rsidRDefault="008C76E0" w:rsidP="00591274">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lastRenderedPageBreak/>
        <w:t>5.3.5.1</w:t>
      </w:r>
      <w:r w:rsidRPr="00BD7577">
        <w:rPr>
          <w:rFonts w:ascii="Sylfaen" w:hAnsi="Sylfaen"/>
          <w:sz w:val="24"/>
          <w:szCs w:val="24"/>
        </w:rPr>
        <w:tab/>
        <w:t xml:space="preserve">Z ցուցում՝ վերահսկվող կլինիկական հետազոտությունների մասին հաշվետվություններ, որոնք վերաբերում են </w:t>
      </w:r>
      <w:r w:rsidR="001A5F1A">
        <w:rPr>
          <w:rFonts w:ascii="Sylfaen" w:hAnsi="Sylfaen"/>
          <w:sz w:val="24"/>
          <w:szCs w:val="24"/>
        </w:rPr>
        <w:t>հայտագրված</w:t>
      </w:r>
      <w:r w:rsidRPr="00BD7577">
        <w:rPr>
          <w:rFonts w:ascii="Sylfaen" w:hAnsi="Sylfaen"/>
          <w:sz w:val="24"/>
          <w:szCs w:val="24"/>
        </w:rPr>
        <w:t xml:space="preserve"> կիրառման ցուցմանը։</w:t>
      </w:r>
    </w:p>
    <w:p w14:paraId="713A93B0"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5.3.5.1.1</w:t>
      </w:r>
      <w:r w:rsidRPr="00BD7577">
        <w:rPr>
          <w:rFonts w:ascii="Sylfaen" w:hAnsi="Sylfaen"/>
          <w:sz w:val="24"/>
          <w:szCs w:val="24"/>
        </w:rPr>
        <w:tab/>
        <w:t xml:space="preserve">Z ցուցում — պլացեբո-վերահսկվող հետազոտություններ: Հետազոտություն xx-xxx՝ A պատրաստուկի կրկնակի կույր, պլացեբո-վերահսկվող հետազոտություն՝ Z ցուցման դեպքում: </w:t>
      </w:r>
    </w:p>
    <w:p w14:paraId="6F40C424"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Հետազոտություն yy-yyy՝ կրկնակի կույր:</w:t>
      </w:r>
    </w:p>
    <w:p w14:paraId="22B18700" w14:textId="77777777" w:rsidR="008C76E0" w:rsidRPr="00BD7577" w:rsidRDefault="008C76E0" w:rsidP="0059127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5.3.5.1.2</w:t>
      </w:r>
      <w:r w:rsidRPr="00BD7577">
        <w:rPr>
          <w:rFonts w:ascii="Sylfaen" w:hAnsi="Sylfaen"/>
          <w:sz w:val="24"/>
          <w:szCs w:val="24"/>
        </w:rPr>
        <w:tab/>
        <w:t xml:space="preserve">Z ցուցում՝ հետազոտություններ՝ ակտիվ հսկողությամբ: Հետազոտություն zz-zzz՝ A պատրաստուկի կրկնակի կույր, ակտիվ-վերահսկվող հետազոտություն՝ C պատրաստուկի համեմատությամբ՝ Z ցուցման դեպքում: </w:t>
      </w:r>
    </w:p>
    <w:p w14:paraId="0F94D076" w14:textId="77777777" w:rsidR="008C76E0" w:rsidRPr="00BD7577" w:rsidRDefault="008C76E0" w:rsidP="00591274">
      <w:pPr>
        <w:tabs>
          <w:tab w:val="left" w:pos="1701"/>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5.3.5</w:t>
      </w:r>
      <w:r w:rsidRPr="00BD7577">
        <w:rPr>
          <w:rFonts w:ascii="Sylfaen" w:hAnsi="Sylfaen"/>
          <w:sz w:val="24"/>
          <w:szCs w:val="24"/>
        </w:rPr>
        <w:tab/>
        <w:t xml:space="preserve">Q ցուցում՝ հաշվետվություններ՝ հետազոտության արդյունավետության </w:t>
      </w:r>
      <w:r w:rsidR="00C54D75">
        <w:rPr>
          <w:rFonts w:ascii="Sylfaen" w:hAnsi="Sylfaen"/>
          <w:sz w:val="24"/>
          <w:szCs w:val="24"/>
        </w:rPr>
        <w:t>և</w:t>
      </w:r>
      <w:r w:rsidRPr="00BD7577">
        <w:rPr>
          <w:rFonts w:ascii="Sylfaen" w:hAnsi="Sylfaen"/>
          <w:sz w:val="24"/>
          <w:szCs w:val="24"/>
        </w:rPr>
        <w:t xml:space="preserve"> անվտանգության մասին:</w:t>
      </w:r>
    </w:p>
    <w:p w14:paraId="5B0E00F4" w14:textId="58751243" w:rsidR="008C76E0" w:rsidRPr="003676C2" w:rsidRDefault="008C76E0" w:rsidP="00591274">
      <w:pPr>
        <w:pBdr>
          <w:bottom w:val="single" w:sz="12" w:space="1" w:color="auto"/>
        </w:pBdr>
        <w:tabs>
          <w:tab w:val="left" w:pos="1701"/>
        </w:tabs>
        <w:spacing w:after="160" w:line="360" w:lineRule="auto"/>
        <w:ind w:right="-1" w:firstLine="567"/>
        <w:jc w:val="both"/>
        <w:rPr>
          <w:rFonts w:ascii="Sylfaen" w:hAnsi="Sylfaen"/>
          <w:spacing w:val="6"/>
          <w:sz w:val="24"/>
          <w:szCs w:val="24"/>
        </w:rPr>
      </w:pPr>
      <w:r w:rsidRPr="003676C2">
        <w:rPr>
          <w:rFonts w:ascii="Sylfaen" w:hAnsi="Sylfaen"/>
          <w:spacing w:val="6"/>
          <w:sz w:val="24"/>
          <w:szCs w:val="24"/>
        </w:rPr>
        <w:t>5.3.5.1</w:t>
      </w:r>
      <w:r w:rsidRPr="003676C2">
        <w:rPr>
          <w:rFonts w:ascii="Sylfaen" w:hAnsi="Sylfaen"/>
          <w:spacing w:val="6"/>
          <w:sz w:val="24"/>
          <w:szCs w:val="24"/>
        </w:rPr>
        <w:tab/>
        <w:t xml:space="preserve">Q ցուցում՝ վերահսկվող կլինիկական հետազոտությունների մասին հաշվետվություններ, որոնք վերաբերում են </w:t>
      </w:r>
      <w:r w:rsidR="001A5F1A">
        <w:rPr>
          <w:rFonts w:ascii="Sylfaen" w:hAnsi="Sylfaen"/>
          <w:spacing w:val="6"/>
          <w:sz w:val="24"/>
          <w:szCs w:val="24"/>
        </w:rPr>
        <w:t>հայտագրված</w:t>
      </w:r>
      <w:r w:rsidRPr="003676C2">
        <w:rPr>
          <w:rFonts w:ascii="Sylfaen" w:hAnsi="Sylfaen"/>
          <w:spacing w:val="6"/>
          <w:sz w:val="24"/>
          <w:szCs w:val="24"/>
        </w:rPr>
        <w:t xml:space="preserve"> կիրառման ցուցմանը </w:t>
      </w:r>
      <w:r w:rsidR="00C54D75">
        <w:rPr>
          <w:rFonts w:ascii="Sylfaen" w:hAnsi="Sylfaen"/>
          <w:spacing w:val="6"/>
          <w:sz w:val="24"/>
          <w:szCs w:val="24"/>
        </w:rPr>
        <w:t>և</w:t>
      </w:r>
      <w:r w:rsidRPr="003676C2">
        <w:rPr>
          <w:rFonts w:ascii="Sylfaen" w:hAnsi="Sylfaen"/>
          <w:spacing w:val="6"/>
          <w:sz w:val="24"/>
          <w:szCs w:val="24"/>
        </w:rPr>
        <w:t xml:space="preserve"> այլն:</w:t>
      </w:r>
    </w:p>
    <w:p w14:paraId="48184C05" w14:textId="77777777" w:rsidR="00C43BF0" w:rsidRPr="006F28F9" w:rsidRDefault="00C43BF0" w:rsidP="00C43BF0">
      <w:pPr>
        <w:rPr>
          <w:b/>
          <w:bCs/>
          <w:i/>
          <w:iCs/>
        </w:rPr>
      </w:pPr>
      <w:r w:rsidRPr="00CD4709">
        <w:rPr>
          <w:b/>
          <w:bCs/>
          <w:i/>
          <w:iCs/>
        </w:rPr>
        <w:t>(</w:t>
      </w:r>
      <w:r>
        <w:rPr>
          <w:b/>
          <w:bCs/>
          <w:i/>
          <w:iCs/>
        </w:rPr>
        <w:t xml:space="preserve">հավելվածը </w:t>
      </w:r>
      <w:r w:rsidRPr="00CD4709">
        <w:rPr>
          <w:b/>
          <w:bCs/>
          <w:i/>
          <w:iCs/>
        </w:rPr>
        <w:t>փոփ. 30.01.20 թիվ 9)</w:t>
      </w:r>
    </w:p>
    <w:p w14:paraId="133735D1" w14:textId="77777777" w:rsidR="00C43BF0" w:rsidRPr="00E06907" w:rsidRDefault="00C43BF0" w:rsidP="008C76E0">
      <w:pPr>
        <w:tabs>
          <w:tab w:val="left" w:pos="1701"/>
        </w:tabs>
        <w:ind w:right="-1" w:firstLine="567"/>
        <w:jc w:val="center"/>
        <w:rPr>
          <w:rFonts w:ascii="Sylfaen" w:eastAsia="Times New Roman" w:hAnsi="Sylfaen" w:cs="Times New Roman"/>
          <w:sz w:val="24"/>
          <w:szCs w:val="24"/>
        </w:rPr>
      </w:pPr>
    </w:p>
    <w:p w14:paraId="26FD74A6"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pPr>
    </w:p>
    <w:p w14:paraId="6470CEDB" w14:textId="77777777" w:rsidR="008C76E0" w:rsidRPr="00E06907" w:rsidRDefault="008C76E0" w:rsidP="008C76E0">
      <w:pPr>
        <w:tabs>
          <w:tab w:val="left" w:pos="1701"/>
        </w:tabs>
        <w:ind w:right="-1" w:firstLine="567"/>
        <w:jc w:val="both"/>
        <w:rPr>
          <w:rFonts w:ascii="Sylfaen" w:eastAsia="Times New Roman" w:hAnsi="Sylfaen" w:cs="Times New Roman"/>
          <w:sz w:val="24"/>
          <w:szCs w:val="24"/>
        </w:rPr>
        <w:sectPr w:rsidR="008C76E0" w:rsidRPr="00E06907" w:rsidSect="00903D92">
          <w:footnotePr>
            <w:numRestart w:val="eachSect"/>
          </w:footnotePr>
          <w:pgSz w:w="11907" w:h="16839" w:code="9"/>
          <w:pgMar w:top="1418" w:right="1418" w:bottom="1418" w:left="1418" w:header="0" w:footer="361" w:gutter="0"/>
          <w:cols w:space="720"/>
          <w:noEndnote/>
          <w:docGrid w:linePitch="360"/>
        </w:sectPr>
      </w:pPr>
    </w:p>
    <w:p w14:paraId="56BC9D7F" w14:textId="77777777" w:rsidR="008C76E0" w:rsidRPr="00421BB4" w:rsidRDefault="008C76E0" w:rsidP="00486B34">
      <w:pPr>
        <w:spacing w:after="160" w:line="360" w:lineRule="auto"/>
        <w:ind w:left="4536" w:right="-7"/>
        <w:jc w:val="center"/>
        <w:rPr>
          <w:rFonts w:ascii="Sylfaen" w:hAnsi="Sylfaen"/>
          <w:sz w:val="24"/>
          <w:szCs w:val="24"/>
        </w:rPr>
      </w:pPr>
      <w:r w:rsidRPr="00BD7577">
        <w:rPr>
          <w:rFonts w:ascii="Sylfaen" w:hAnsi="Sylfaen"/>
          <w:sz w:val="24"/>
          <w:szCs w:val="24"/>
        </w:rPr>
        <w:lastRenderedPageBreak/>
        <w:t>ՀԱՎԵԼՎԱԾ ԹԻՎ 6</w:t>
      </w:r>
      <w:r w:rsidRPr="00E06907">
        <w:rPr>
          <w:rFonts w:ascii="Sylfaen" w:hAnsi="Sylfaen"/>
          <w:sz w:val="24"/>
          <w:szCs w:val="24"/>
        </w:rPr>
        <w:t xml:space="preserve"> </w:t>
      </w:r>
    </w:p>
    <w:p w14:paraId="1CF2E73B" w14:textId="77777777" w:rsidR="008C76E0" w:rsidRPr="00BD7577" w:rsidRDefault="008C76E0" w:rsidP="00486B34">
      <w:pPr>
        <w:spacing w:after="160" w:line="360" w:lineRule="auto"/>
        <w:ind w:left="4536" w:right="-7"/>
        <w:jc w:val="center"/>
        <w:rPr>
          <w:rFonts w:ascii="Sylfaen" w:eastAsia="Times New Roman" w:hAnsi="Sylfaen" w:cs="Times New Roman"/>
          <w:sz w:val="24"/>
          <w:szCs w:val="24"/>
        </w:rPr>
      </w:pPr>
      <w:r w:rsidRPr="00BD7577">
        <w:rPr>
          <w:rFonts w:ascii="Sylfaen" w:hAnsi="Sylfaen"/>
          <w:sz w:val="24"/>
          <w:szCs w:val="24"/>
        </w:rP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2D9D90F6" w14:textId="77777777" w:rsidR="008C76E0" w:rsidRPr="00BD7577" w:rsidRDefault="008C76E0" w:rsidP="00486B34">
      <w:pPr>
        <w:spacing w:after="160" w:line="360" w:lineRule="auto"/>
        <w:ind w:left="4536" w:right="-7"/>
        <w:rPr>
          <w:rFonts w:ascii="Sylfaen" w:hAnsi="Sylfaen"/>
          <w:sz w:val="24"/>
          <w:szCs w:val="24"/>
        </w:rPr>
      </w:pPr>
    </w:p>
    <w:p w14:paraId="10CEEEA2" w14:textId="77777777" w:rsidR="008C76E0" w:rsidRPr="00E06907" w:rsidRDefault="008C76E0" w:rsidP="00486B34">
      <w:pPr>
        <w:spacing w:after="160" w:line="360" w:lineRule="auto"/>
        <w:ind w:left="567" w:right="566"/>
        <w:jc w:val="center"/>
        <w:rPr>
          <w:rFonts w:ascii="Sylfaen" w:hAnsi="Sylfaen"/>
          <w:b/>
          <w:sz w:val="24"/>
          <w:szCs w:val="24"/>
        </w:rPr>
      </w:pPr>
      <w:r w:rsidRPr="00E06907">
        <w:rPr>
          <w:rFonts w:ascii="Sylfaen" w:hAnsi="Sylfaen"/>
          <w:b/>
          <w:sz w:val="24"/>
          <w:szCs w:val="24"/>
        </w:rPr>
        <w:t>ՁԵՎ</w:t>
      </w:r>
    </w:p>
    <w:p w14:paraId="6DA57858" w14:textId="77777777" w:rsidR="008C76E0" w:rsidRPr="00BD7577" w:rsidRDefault="008C76E0" w:rsidP="00486B34">
      <w:pPr>
        <w:spacing w:after="160" w:line="360" w:lineRule="auto"/>
        <w:ind w:left="567" w:right="566"/>
        <w:jc w:val="center"/>
        <w:rPr>
          <w:rFonts w:ascii="Sylfaen" w:hAnsi="Sylfaen"/>
          <w:b/>
          <w:sz w:val="24"/>
          <w:szCs w:val="24"/>
        </w:rPr>
      </w:pPr>
      <w:r w:rsidRPr="00BD7577">
        <w:rPr>
          <w:rFonts w:ascii="Sylfaen" w:hAnsi="Sylfaen"/>
          <w:b/>
          <w:sz w:val="24"/>
          <w:szCs w:val="24"/>
        </w:rPr>
        <w:t>նախակլինիկական (ոչ կլինիկական) հետազոտությունների արդյունքների գնահատման վերաբերյալ փորձագիտական</w:t>
      </w:r>
      <w:r w:rsidRPr="00E06907">
        <w:rPr>
          <w:rFonts w:ascii="Sylfaen" w:hAnsi="Sylfaen"/>
          <w:b/>
          <w:sz w:val="24"/>
          <w:szCs w:val="24"/>
        </w:rPr>
        <w:t> </w:t>
      </w:r>
      <w:r w:rsidRPr="00BD7577">
        <w:rPr>
          <w:rFonts w:ascii="Sylfaen" w:hAnsi="Sylfaen"/>
          <w:b/>
          <w:sz w:val="24"/>
          <w:szCs w:val="24"/>
        </w:rPr>
        <w:t>հաշվետվության</w:t>
      </w:r>
    </w:p>
    <w:p w14:paraId="0006AA5B" w14:textId="77777777" w:rsidR="008C76E0" w:rsidRPr="00BD7577" w:rsidRDefault="008C76E0" w:rsidP="00486B34">
      <w:pPr>
        <w:spacing w:after="160" w:line="360" w:lineRule="auto"/>
        <w:ind w:left="567" w:right="566"/>
        <w:jc w:val="center"/>
        <w:rPr>
          <w:rFonts w:ascii="Sylfaen" w:eastAsia="Times New Roman" w:hAnsi="Sylfaen" w:cs="Times New Roman"/>
          <w:bCs/>
          <w:sz w:val="24"/>
          <w:szCs w:val="24"/>
        </w:rPr>
      </w:pPr>
    </w:p>
    <w:p w14:paraId="1AC20535" w14:textId="77777777" w:rsidR="008C76E0" w:rsidRPr="00BD7577" w:rsidRDefault="008C76E0" w:rsidP="00486B34">
      <w:pPr>
        <w:spacing w:after="160" w:line="360" w:lineRule="auto"/>
        <w:ind w:right="566"/>
        <w:jc w:val="right"/>
        <w:rPr>
          <w:rFonts w:ascii="Sylfaen" w:eastAsia="Times New Roman" w:hAnsi="Sylfaen" w:cs="Times New Roma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204E72D0" w14:textId="77777777" w:rsidR="008C76E0" w:rsidRPr="00BD7577" w:rsidRDefault="008C76E0" w:rsidP="00486B34">
      <w:pPr>
        <w:spacing w:after="160" w:line="360" w:lineRule="auto"/>
        <w:ind w:left="3361" w:right="36" w:firstLine="5198"/>
        <w:rPr>
          <w:rFonts w:ascii="Sylfaen" w:eastAsia="Times New Roman" w:hAnsi="Sylfaen" w:cs="Times New Roman"/>
          <w:sz w:val="24"/>
          <w:szCs w:val="24"/>
        </w:rPr>
      </w:pPr>
    </w:p>
    <w:p w14:paraId="7C974B48" w14:textId="77777777" w:rsidR="008C76E0" w:rsidRPr="00BD7577" w:rsidRDefault="008C76E0" w:rsidP="00486B34">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t>ՓՈՐՁԱԳԻՏԱԿԱՆ ՀԱՇՎԵՏՎՈՒԹՅՈՒՆ</w:t>
      </w:r>
    </w:p>
    <w:p w14:paraId="5330126D" w14:textId="77777777" w:rsidR="008C76E0" w:rsidRPr="00BD7577" w:rsidRDefault="008C76E0" w:rsidP="00486B34">
      <w:pPr>
        <w:spacing w:after="160" w:line="360" w:lineRule="auto"/>
        <w:ind w:left="567" w:right="566"/>
        <w:jc w:val="center"/>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w:t>
      </w:r>
    </w:p>
    <w:p w14:paraId="763FB071" w14:textId="77777777" w:rsidR="008C76E0" w:rsidRPr="00BD7577" w:rsidRDefault="008C76E0" w:rsidP="00486B34">
      <w:pPr>
        <w:spacing w:after="160" w:line="360" w:lineRule="auto"/>
        <w:ind w:left="374" w:right="244"/>
        <w:jc w:val="center"/>
        <w:rPr>
          <w:rFonts w:ascii="Sylfaen" w:hAnsi="Sylfaen"/>
          <w:sz w:val="24"/>
          <w:szCs w:val="24"/>
          <w:lang w:val="en-US"/>
        </w:rPr>
      </w:pPr>
      <w:r w:rsidRPr="00BD7577">
        <w:rPr>
          <w:rFonts w:ascii="Sylfaen" w:hAnsi="Sylfaen"/>
          <w:sz w:val="24"/>
          <w:szCs w:val="24"/>
          <w:lang w:val="en-US"/>
        </w:rPr>
        <w:t>__________________________________________________________________</w:t>
      </w:r>
    </w:p>
    <w:p w14:paraId="0460DEE2" w14:textId="77777777" w:rsidR="008C76E0" w:rsidRDefault="008C76E0" w:rsidP="008C76E0">
      <w:pPr>
        <w:spacing w:after="0" w:line="240" w:lineRule="auto"/>
        <w:ind w:right="-23"/>
        <w:jc w:val="center"/>
        <w:rPr>
          <w:rFonts w:ascii="Sylfaen" w:hAnsi="Sylfaen"/>
          <w:sz w:val="24"/>
          <w:szCs w:val="24"/>
          <w:lang w:val="en-US"/>
        </w:rPr>
      </w:pPr>
      <w:r w:rsidRPr="00BD7577">
        <w:rPr>
          <w:rFonts w:ascii="Sylfaen" w:hAnsi="Sylfaen"/>
          <w:sz w:val="24"/>
          <w:szCs w:val="24"/>
        </w:rPr>
        <w:t>(</w:t>
      </w:r>
      <w:r w:rsidRPr="00E06907">
        <w:rPr>
          <w:rFonts w:ascii="Sylfaen" w:hAnsi="Sylfaen"/>
          <w:sz w:val="20"/>
          <w:szCs w:val="20"/>
        </w:rPr>
        <w:t>դեղապատրաստուկի անվանումը, դեղաձ</w:t>
      </w:r>
      <w:r w:rsidR="00C54D75">
        <w:rPr>
          <w:rFonts w:ascii="Sylfaen" w:hAnsi="Sylfaen"/>
          <w:sz w:val="20"/>
          <w:szCs w:val="20"/>
        </w:rPr>
        <w:t>և</w:t>
      </w:r>
      <w:r w:rsidRPr="00E06907">
        <w:rPr>
          <w:rFonts w:ascii="Sylfaen" w:hAnsi="Sylfaen"/>
          <w:sz w:val="20"/>
          <w:szCs w:val="20"/>
        </w:rPr>
        <w:t>ը, դոզաները</w:t>
      </w:r>
      <w:r w:rsidRPr="00BD7577">
        <w:rPr>
          <w:rFonts w:ascii="Sylfaen" w:hAnsi="Sylfaen"/>
          <w:sz w:val="24"/>
          <w:szCs w:val="24"/>
        </w:rPr>
        <w:t>)</w:t>
      </w:r>
    </w:p>
    <w:p w14:paraId="13533316" w14:textId="77777777" w:rsidR="008C76E0" w:rsidRPr="00E06907" w:rsidRDefault="008C76E0" w:rsidP="008C76E0">
      <w:pPr>
        <w:spacing w:after="0" w:line="240" w:lineRule="auto"/>
        <w:ind w:right="-23"/>
        <w:jc w:val="center"/>
        <w:rPr>
          <w:rFonts w:ascii="Sylfaen" w:hAnsi="Sylfaen"/>
          <w:sz w:val="24"/>
          <w:szCs w:val="24"/>
          <w:lang w:val="en-US"/>
        </w:rPr>
      </w:pPr>
    </w:p>
    <w:tbl>
      <w:tblPr>
        <w:tblW w:w="0" w:type="auto"/>
        <w:jc w:val="center"/>
        <w:tblLayout w:type="fixed"/>
        <w:tblCellMar>
          <w:left w:w="0" w:type="dxa"/>
          <w:right w:w="0" w:type="dxa"/>
        </w:tblCellMar>
        <w:tblLook w:val="01E0" w:firstRow="1" w:lastRow="1" w:firstColumn="1" w:lastColumn="1" w:noHBand="0" w:noVBand="0"/>
      </w:tblPr>
      <w:tblGrid>
        <w:gridCol w:w="4786"/>
        <w:gridCol w:w="4678"/>
      </w:tblGrid>
      <w:tr w:rsidR="008C76E0" w:rsidRPr="00BD7577" w14:paraId="3352256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9DB8232" w14:textId="77777777" w:rsidR="008C76E0" w:rsidRPr="00BD7577" w:rsidRDefault="008C76E0" w:rsidP="008C76E0">
            <w:pPr>
              <w:spacing w:after="120" w:line="240" w:lineRule="auto"/>
              <w:ind w:left="102" w:right="-23"/>
              <w:rPr>
                <w:rFonts w:ascii="Sylfaen" w:eastAsia="Times New Roman" w:hAnsi="Sylfaen" w:cs="Times New Roman"/>
                <w:sz w:val="24"/>
                <w:szCs w:val="24"/>
              </w:rPr>
            </w:pPr>
            <w:r w:rsidRPr="00BD7577">
              <w:rPr>
                <w:rFonts w:ascii="Sylfaen" w:hAnsi="Sylfaen"/>
                <w:sz w:val="24"/>
                <w:szCs w:val="24"/>
              </w:rPr>
              <w:t>Փորձագետ՝</w:t>
            </w:r>
          </w:p>
        </w:tc>
        <w:tc>
          <w:tcPr>
            <w:tcW w:w="4678" w:type="dxa"/>
            <w:tcBorders>
              <w:top w:val="single" w:sz="4" w:space="0" w:color="000000"/>
              <w:left w:val="single" w:sz="4" w:space="0" w:color="000000"/>
              <w:bottom w:val="single" w:sz="4" w:space="0" w:color="000000"/>
              <w:right w:val="single" w:sz="4" w:space="0" w:color="000000"/>
            </w:tcBorders>
          </w:tcPr>
          <w:p w14:paraId="751EA2A2" w14:textId="77777777" w:rsidR="008C76E0" w:rsidRPr="00BD7577" w:rsidRDefault="008C76E0" w:rsidP="008C76E0">
            <w:pPr>
              <w:spacing w:after="120" w:line="240" w:lineRule="auto"/>
              <w:rPr>
                <w:rFonts w:ascii="Sylfaen" w:hAnsi="Sylfaen"/>
                <w:sz w:val="24"/>
                <w:szCs w:val="24"/>
              </w:rPr>
            </w:pPr>
          </w:p>
        </w:tc>
      </w:tr>
      <w:tr w:rsidR="008C76E0" w:rsidRPr="00BD7577" w14:paraId="14B56687"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7171A054"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Ընթացակարգի սկիզբը՝</w:t>
            </w:r>
          </w:p>
        </w:tc>
        <w:tc>
          <w:tcPr>
            <w:tcW w:w="4678" w:type="dxa"/>
            <w:tcBorders>
              <w:top w:val="single" w:sz="4" w:space="0" w:color="000000"/>
              <w:left w:val="single" w:sz="4" w:space="0" w:color="000000"/>
              <w:bottom w:val="single" w:sz="4" w:space="0" w:color="000000"/>
              <w:right w:val="single" w:sz="4" w:space="0" w:color="000000"/>
            </w:tcBorders>
          </w:tcPr>
          <w:p w14:paraId="2F20B466" w14:textId="77777777" w:rsidR="008C76E0" w:rsidRPr="00BD7577" w:rsidRDefault="008C76E0" w:rsidP="008C76E0">
            <w:pPr>
              <w:spacing w:after="120" w:line="240" w:lineRule="auto"/>
              <w:rPr>
                <w:rFonts w:ascii="Sylfaen" w:hAnsi="Sylfaen"/>
                <w:sz w:val="24"/>
                <w:szCs w:val="24"/>
              </w:rPr>
            </w:pPr>
          </w:p>
        </w:tc>
      </w:tr>
      <w:tr w:rsidR="008C76E0" w:rsidRPr="00BD7577" w14:paraId="69136E7A"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0E2B08BC" w14:textId="77777777" w:rsidR="008C76E0" w:rsidRPr="00BD7577" w:rsidRDefault="008C76E0" w:rsidP="008C76E0">
            <w:pPr>
              <w:spacing w:after="120" w:line="240" w:lineRule="auto"/>
              <w:ind w:left="102" w:right="-20"/>
              <w:rPr>
                <w:rFonts w:ascii="Sylfaen" w:eastAsia="Times New Roman" w:hAnsi="Sylfaen" w:cs="Times New Roman"/>
                <w:sz w:val="24"/>
                <w:szCs w:val="24"/>
              </w:rPr>
            </w:pPr>
            <w:r w:rsidRPr="00BD7577">
              <w:rPr>
                <w:rFonts w:ascii="Sylfaen" w:hAnsi="Sylfaen"/>
                <w:sz w:val="24"/>
                <w:szCs w:val="24"/>
              </w:rPr>
              <w:t>Սույն հաշվետվության ամսաթիվը՝</w:t>
            </w:r>
          </w:p>
        </w:tc>
        <w:tc>
          <w:tcPr>
            <w:tcW w:w="4678" w:type="dxa"/>
            <w:tcBorders>
              <w:top w:val="single" w:sz="4" w:space="0" w:color="000000"/>
              <w:left w:val="single" w:sz="4" w:space="0" w:color="000000"/>
              <w:bottom w:val="single" w:sz="4" w:space="0" w:color="000000"/>
              <w:right w:val="single" w:sz="4" w:space="0" w:color="000000"/>
            </w:tcBorders>
          </w:tcPr>
          <w:p w14:paraId="23FAD6E9" w14:textId="77777777" w:rsidR="008C76E0" w:rsidRPr="00BD7577" w:rsidRDefault="008C76E0" w:rsidP="008C76E0">
            <w:pPr>
              <w:spacing w:after="120" w:line="240" w:lineRule="auto"/>
              <w:rPr>
                <w:rFonts w:ascii="Sylfaen" w:hAnsi="Sylfaen"/>
                <w:sz w:val="24"/>
                <w:szCs w:val="24"/>
              </w:rPr>
            </w:pPr>
          </w:p>
        </w:tc>
      </w:tr>
      <w:tr w:rsidR="008C76E0" w:rsidRPr="00BD7577" w14:paraId="0D1C01E3" w14:textId="77777777" w:rsidTr="008C76E0">
        <w:trPr>
          <w:jc w:val="center"/>
        </w:trPr>
        <w:tc>
          <w:tcPr>
            <w:tcW w:w="4786" w:type="dxa"/>
            <w:tcBorders>
              <w:top w:val="single" w:sz="4" w:space="0" w:color="000000"/>
              <w:left w:val="single" w:sz="4" w:space="0" w:color="000000"/>
              <w:bottom w:val="single" w:sz="4" w:space="0" w:color="000000"/>
              <w:right w:val="single" w:sz="4" w:space="0" w:color="000000"/>
            </w:tcBorders>
          </w:tcPr>
          <w:p w14:paraId="29822340" w14:textId="77777777" w:rsidR="008C76E0" w:rsidRPr="00BD7577" w:rsidRDefault="008C76E0" w:rsidP="008C76E0">
            <w:pPr>
              <w:spacing w:after="120" w:line="240" w:lineRule="auto"/>
              <w:ind w:left="102" w:right="53"/>
              <w:rPr>
                <w:rFonts w:ascii="Sylfaen" w:eastAsia="Times New Roman" w:hAnsi="Sylfaen" w:cs="Times New Roman"/>
                <w:sz w:val="24"/>
                <w:szCs w:val="24"/>
              </w:rPr>
            </w:pPr>
            <w:r w:rsidRPr="00BD7577">
              <w:rPr>
                <w:rFonts w:ascii="Sylfaen" w:hAnsi="Sylfaen"/>
                <w:sz w:val="24"/>
                <w:szCs w:val="24"/>
              </w:rPr>
              <w:t>Մեկնաբանությունների համար վերջնաժամկետը՝</w:t>
            </w:r>
          </w:p>
        </w:tc>
        <w:tc>
          <w:tcPr>
            <w:tcW w:w="4678" w:type="dxa"/>
            <w:tcBorders>
              <w:top w:val="single" w:sz="4" w:space="0" w:color="000000"/>
              <w:left w:val="single" w:sz="4" w:space="0" w:color="000000"/>
              <w:bottom w:val="single" w:sz="4" w:space="0" w:color="000000"/>
              <w:right w:val="single" w:sz="4" w:space="0" w:color="000000"/>
            </w:tcBorders>
          </w:tcPr>
          <w:p w14:paraId="008F1B6E" w14:textId="77777777" w:rsidR="008C76E0" w:rsidRPr="00BD7577" w:rsidRDefault="008C76E0" w:rsidP="008C76E0">
            <w:pPr>
              <w:spacing w:after="120" w:line="240" w:lineRule="auto"/>
              <w:rPr>
                <w:rFonts w:ascii="Sylfaen" w:hAnsi="Sylfaen"/>
                <w:sz w:val="24"/>
                <w:szCs w:val="24"/>
              </w:rPr>
            </w:pPr>
          </w:p>
        </w:tc>
      </w:tr>
    </w:tbl>
    <w:p w14:paraId="06811A6A"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21DF1549" w14:textId="77777777" w:rsidR="008C76E0" w:rsidRPr="00BD7577" w:rsidRDefault="008C76E0" w:rsidP="00486B34">
      <w:pPr>
        <w:spacing w:after="160" w:line="360" w:lineRule="auto"/>
        <w:jc w:val="both"/>
        <w:rPr>
          <w:rFonts w:ascii="Sylfaen" w:hAnsi="Sylfaen"/>
          <w:sz w:val="24"/>
          <w:szCs w:val="24"/>
        </w:rPr>
      </w:pPr>
      <w:r w:rsidRPr="00BD7577">
        <w:rPr>
          <w:rFonts w:ascii="Sylfaen" w:hAnsi="Sylfaen"/>
          <w:sz w:val="24"/>
          <w:szCs w:val="24"/>
        </w:rPr>
        <w:lastRenderedPageBreak/>
        <w:t>ՎԱՐՉԱԿԱՆ ՏԵՂԵԿԱՏՎՈՒԹՅՈՒՆ</w:t>
      </w:r>
    </w:p>
    <w:tbl>
      <w:tblPr>
        <w:tblW w:w="9746" w:type="dxa"/>
        <w:jc w:val="center"/>
        <w:tblLayout w:type="fixed"/>
        <w:tblCellMar>
          <w:left w:w="0" w:type="dxa"/>
          <w:right w:w="0" w:type="dxa"/>
        </w:tblCellMar>
        <w:tblLook w:val="01E0" w:firstRow="1" w:lastRow="1" w:firstColumn="1" w:lastColumn="1" w:noHBand="0" w:noVBand="0"/>
      </w:tblPr>
      <w:tblGrid>
        <w:gridCol w:w="5434"/>
        <w:gridCol w:w="4312"/>
      </w:tblGrid>
      <w:tr w:rsidR="008C76E0" w:rsidRPr="00BD7577" w14:paraId="2BE2DF84" w14:textId="77777777" w:rsidTr="008C76E0">
        <w:trPr>
          <w:jc w:val="center"/>
        </w:trPr>
        <w:tc>
          <w:tcPr>
            <w:tcW w:w="5434" w:type="dxa"/>
            <w:tcBorders>
              <w:top w:val="single" w:sz="4" w:space="0" w:color="000000"/>
              <w:left w:val="single" w:sz="4" w:space="0" w:color="000000"/>
              <w:bottom w:val="single" w:sz="6" w:space="0" w:color="000000"/>
              <w:right w:val="single" w:sz="6" w:space="0" w:color="000000"/>
            </w:tcBorders>
          </w:tcPr>
          <w:p w14:paraId="06405944" w14:textId="59CB8A89"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Գրանցման համար </w:t>
            </w:r>
            <w:r w:rsidR="0056496B">
              <w:rPr>
                <w:rFonts w:ascii="Sylfaen" w:hAnsi="Sylfaen"/>
                <w:sz w:val="24"/>
                <w:szCs w:val="24"/>
              </w:rPr>
              <w:t>դիմում</w:t>
            </w:r>
            <w:r w:rsidRPr="00BD7577">
              <w:rPr>
                <w:rFonts w:ascii="Sylfaen" w:hAnsi="Sylfaen"/>
                <w:sz w:val="24"/>
                <w:szCs w:val="24"/>
              </w:rPr>
              <w:t>ի նույնականացման համարը՝</w:t>
            </w:r>
          </w:p>
        </w:tc>
        <w:tc>
          <w:tcPr>
            <w:tcW w:w="4312" w:type="dxa"/>
            <w:tcBorders>
              <w:top w:val="single" w:sz="4" w:space="0" w:color="000000"/>
              <w:left w:val="single" w:sz="6" w:space="0" w:color="000000"/>
              <w:bottom w:val="single" w:sz="6" w:space="0" w:color="000000"/>
              <w:right w:val="single" w:sz="4" w:space="0" w:color="000000"/>
            </w:tcBorders>
          </w:tcPr>
          <w:p w14:paraId="6DAD4953" w14:textId="77777777" w:rsidR="008C76E0" w:rsidRPr="00BD7577" w:rsidRDefault="008C76E0" w:rsidP="008C76E0">
            <w:pPr>
              <w:spacing w:after="120" w:line="240" w:lineRule="auto"/>
              <w:rPr>
                <w:rFonts w:ascii="Sylfaen" w:hAnsi="Sylfaen"/>
                <w:sz w:val="24"/>
                <w:szCs w:val="24"/>
              </w:rPr>
            </w:pPr>
          </w:p>
        </w:tc>
      </w:tr>
      <w:tr w:rsidR="008C76E0" w:rsidRPr="00BD7577" w14:paraId="350A003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9A58B78" w14:textId="77777777" w:rsidR="008C76E0" w:rsidRPr="00BD7577" w:rsidRDefault="008C76E0" w:rsidP="008C76E0">
            <w:pPr>
              <w:spacing w:after="120" w:line="240" w:lineRule="auto"/>
              <w:ind w:left="102" w:right="27"/>
              <w:jc w:val="both"/>
              <w:rPr>
                <w:rFonts w:ascii="Sylfaen" w:eastAsia="Times New Roman" w:hAnsi="Sylfaen" w:cs="Times New Roman"/>
                <w:sz w:val="24"/>
                <w:szCs w:val="24"/>
              </w:rPr>
            </w:pPr>
            <w:r w:rsidRPr="00BD7577">
              <w:rPr>
                <w:rFonts w:ascii="Sylfaen" w:hAnsi="Sylfaen"/>
                <w:sz w:val="24"/>
                <w:szCs w:val="24"/>
              </w:rPr>
              <w:t>Դեղամիջոցի առ</w:t>
            </w:r>
            <w:r w:rsidR="00C54D75">
              <w:rPr>
                <w:rFonts w:ascii="Sylfaen" w:hAnsi="Sylfaen"/>
                <w:sz w:val="24"/>
                <w:szCs w:val="24"/>
              </w:rPr>
              <w:t>և</w:t>
            </w:r>
            <w:r w:rsidRPr="00BD7577">
              <w:rPr>
                <w:rFonts w:ascii="Sylfaen" w:hAnsi="Sylfaen"/>
                <w:sz w:val="24"/>
                <w:szCs w:val="24"/>
              </w:rPr>
              <w:t>տրային անվանումը՝</w:t>
            </w:r>
          </w:p>
        </w:tc>
        <w:tc>
          <w:tcPr>
            <w:tcW w:w="4312" w:type="dxa"/>
            <w:tcBorders>
              <w:top w:val="single" w:sz="6" w:space="0" w:color="000000"/>
              <w:left w:val="single" w:sz="6" w:space="0" w:color="000000"/>
              <w:bottom w:val="single" w:sz="6" w:space="0" w:color="000000"/>
              <w:right w:val="single" w:sz="4" w:space="0" w:color="000000"/>
            </w:tcBorders>
          </w:tcPr>
          <w:p w14:paraId="1EE43D22" w14:textId="77777777" w:rsidR="008C76E0" w:rsidRPr="00BD7577" w:rsidRDefault="008C76E0" w:rsidP="008C76E0">
            <w:pPr>
              <w:spacing w:after="120" w:line="240" w:lineRule="auto"/>
              <w:rPr>
                <w:rFonts w:ascii="Sylfaen" w:hAnsi="Sylfaen"/>
                <w:sz w:val="24"/>
                <w:szCs w:val="24"/>
              </w:rPr>
            </w:pPr>
          </w:p>
        </w:tc>
      </w:tr>
      <w:tr w:rsidR="008C76E0" w:rsidRPr="00BD7577" w14:paraId="56B0428F"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5BB72707" w14:textId="77777777" w:rsidR="008C76E0" w:rsidRPr="00BD7577" w:rsidRDefault="008C76E0" w:rsidP="008C76E0">
            <w:pPr>
              <w:spacing w:after="120" w:line="240" w:lineRule="auto"/>
              <w:ind w:left="102" w:right="24"/>
              <w:jc w:val="both"/>
              <w:rPr>
                <w:rFonts w:ascii="Sylfaen" w:eastAsia="Times New Roman" w:hAnsi="Sylfaen" w:cs="Times New Roman"/>
                <w:sz w:val="24"/>
                <w:szCs w:val="24"/>
              </w:rPr>
            </w:pPr>
            <w:r w:rsidRPr="00BD7577">
              <w:rPr>
                <w:rFonts w:ascii="Sylfaen" w:hAnsi="Sylfaen"/>
                <w:sz w:val="24"/>
                <w:szCs w:val="24"/>
              </w:rPr>
              <w:t>Միջազգային չարտոնագրված անվանումը (ՄՉԱ) կամ ազդող նյութի (նյութերի) համընդհանուր անվանումը՝</w:t>
            </w:r>
          </w:p>
        </w:tc>
        <w:tc>
          <w:tcPr>
            <w:tcW w:w="4312" w:type="dxa"/>
            <w:tcBorders>
              <w:top w:val="single" w:sz="6" w:space="0" w:color="000000"/>
              <w:left w:val="single" w:sz="6" w:space="0" w:color="000000"/>
              <w:bottom w:val="single" w:sz="6" w:space="0" w:color="000000"/>
              <w:right w:val="single" w:sz="4" w:space="0" w:color="000000"/>
            </w:tcBorders>
          </w:tcPr>
          <w:p w14:paraId="1C612AB6" w14:textId="77777777" w:rsidR="008C76E0" w:rsidRPr="00BD7577" w:rsidRDefault="008C76E0" w:rsidP="008C76E0">
            <w:pPr>
              <w:spacing w:after="120" w:line="240" w:lineRule="auto"/>
              <w:rPr>
                <w:rFonts w:ascii="Sylfaen" w:hAnsi="Sylfaen"/>
                <w:sz w:val="24"/>
                <w:szCs w:val="24"/>
              </w:rPr>
            </w:pPr>
          </w:p>
        </w:tc>
      </w:tr>
      <w:tr w:rsidR="008C76E0" w:rsidRPr="00BD7577" w14:paraId="272E486E"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2F65BDD" w14:textId="27297016" w:rsidR="008C76E0" w:rsidRPr="00BD7577" w:rsidRDefault="0056496B" w:rsidP="008C76E0">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8C76E0" w:rsidRPr="00BD7577">
              <w:rPr>
                <w:rFonts w:ascii="Sylfaen" w:hAnsi="Sylfaen"/>
                <w:sz w:val="24"/>
                <w:szCs w:val="24"/>
              </w:rPr>
              <w:t>ն՝</w:t>
            </w:r>
          </w:p>
        </w:tc>
        <w:tc>
          <w:tcPr>
            <w:tcW w:w="4312" w:type="dxa"/>
            <w:tcBorders>
              <w:top w:val="single" w:sz="6" w:space="0" w:color="000000"/>
              <w:left w:val="single" w:sz="6" w:space="0" w:color="000000"/>
              <w:bottom w:val="single" w:sz="6" w:space="0" w:color="000000"/>
              <w:right w:val="single" w:sz="4" w:space="0" w:color="000000"/>
            </w:tcBorders>
          </w:tcPr>
          <w:p w14:paraId="002F070E" w14:textId="77777777" w:rsidR="008C76E0" w:rsidRPr="00BD7577" w:rsidRDefault="008C76E0" w:rsidP="008C76E0">
            <w:pPr>
              <w:spacing w:after="120" w:line="240" w:lineRule="auto"/>
              <w:rPr>
                <w:rFonts w:ascii="Sylfaen" w:hAnsi="Sylfaen"/>
                <w:sz w:val="24"/>
                <w:szCs w:val="24"/>
              </w:rPr>
            </w:pPr>
          </w:p>
        </w:tc>
      </w:tr>
      <w:tr w:rsidR="008C76E0" w:rsidRPr="00BD7577" w14:paraId="221E0FA0"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359D5B1C" w14:textId="2CD599D1"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 xml:space="preserve">Կիրառման </w:t>
            </w:r>
            <w:r w:rsidR="001A5F1A">
              <w:rPr>
                <w:rFonts w:ascii="Sylfaen" w:hAnsi="Sylfaen"/>
                <w:sz w:val="24"/>
                <w:szCs w:val="24"/>
              </w:rPr>
              <w:t>հայտագրված</w:t>
            </w:r>
            <w:r w:rsidRPr="00BD7577">
              <w:rPr>
                <w:rFonts w:ascii="Sylfaen" w:hAnsi="Sylfaen"/>
                <w:sz w:val="24"/>
                <w:szCs w:val="24"/>
              </w:rPr>
              <w:t xml:space="preserve"> ցուցումները՝</w:t>
            </w:r>
          </w:p>
        </w:tc>
        <w:tc>
          <w:tcPr>
            <w:tcW w:w="4312" w:type="dxa"/>
            <w:tcBorders>
              <w:top w:val="single" w:sz="6" w:space="0" w:color="000000"/>
              <w:left w:val="single" w:sz="6" w:space="0" w:color="000000"/>
              <w:bottom w:val="single" w:sz="6" w:space="0" w:color="000000"/>
              <w:right w:val="single" w:sz="4" w:space="0" w:color="000000"/>
            </w:tcBorders>
          </w:tcPr>
          <w:p w14:paraId="70BD1D68" w14:textId="77777777" w:rsidR="008C76E0" w:rsidRPr="00BD7577" w:rsidRDefault="008C76E0" w:rsidP="008C76E0">
            <w:pPr>
              <w:spacing w:after="120" w:line="240" w:lineRule="auto"/>
              <w:rPr>
                <w:rFonts w:ascii="Sylfaen" w:hAnsi="Sylfaen"/>
                <w:sz w:val="24"/>
                <w:szCs w:val="24"/>
              </w:rPr>
            </w:pPr>
          </w:p>
        </w:tc>
      </w:tr>
      <w:tr w:rsidR="008C76E0" w:rsidRPr="00BD7577" w14:paraId="1B1D50E3"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764A35E1"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Դեղաթերապ</w:t>
            </w:r>
            <w:r w:rsidR="00C54D75">
              <w:rPr>
                <w:rFonts w:ascii="Sylfaen" w:hAnsi="Sylfaen"/>
                <w:sz w:val="24"/>
                <w:szCs w:val="24"/>
              </w:rPr>
              <w:t>և</w:t>
            </w:r>
            <w:r w:rsidRPr="00BD7577">
              <w:rPr>
                <w:rFonts w:ascii="Sylfaen" w:hAnsi="Sylfaen"/>
                <w:sz w:val="24"/>
                <w:szCs w:val="24"/>
              </w:rPr>
              <w:t>տիկ խումբը (ԱԲՔ ծածկագիր)՝</w:t>
            </w:r>
          </w:p>
        </w:tc>
        <w:tc>
          <w:tcPr>
            <w:tcW w:w="4312" w:type="dxa"/>
            <w:tcBorders>
              <w:top w:val="single" w:sz="6" w:space="0" w:color="000000"/>
              <w:left w:val="single" w:sz="6" w:space="0" w:color="000000"/>
              <w:bottom w:val="single" w:sz="6" w:space="0" w:color="000000"/>
              <w:right w:val="single" w:sz="4" w:space="0" w:color="000000"/>
            </w:tcBorders>
          </w:tcPr>
          <w:p w14:paraId="1801E0E4" w14:textId="77777777" w:rsidR="008C76E0" w:rsidRPr="00BD7577" w:rsidRDefault="008C76E0" w:rsidP="008C76E0">
            <w:pPr>
              <w:spacing w:after="120" w:line="240" w:lineRule="auto"/>
              <w:rPr>
                <w:rFonts w:ascii="Sylfaen" w:hAnsi="Sylfaen"/>
                <w:sz w:val="24"/>
                <w:szCs w:val="24"/>
              </w:rPr>
            </w:pPr>
          </w:p>
        </w:tc>
      </w:tr>
      <w:tr w:rsidR="008C76E0" w:rsidRPr="00BD7577" w14:paraId="6AA41568" w14:textId="77777777" w:rsidTr="008C76E0">
        <w:trPr>
          <w:jc w:val="center"/>
        </w:trPr>
        <w:tc>
          <w:tcPr>
            <w:tcW w:w="5434" w:type="dxa"/>
            <w:tcBorders>
              <w:top w:val="single" w:sz="6" w:space="0" w:color="000000"/>
              <w:left w:val="single" w:sz="4" w:space="0" w:color="000000"/>
              <w:bottom w:val="single" w:sz="6" w:space="0" w:color="000000"/>
              <w:right w:val="single" w:sz="6" w:space="0" w:color="000000"/>
            </w:tcBorders>
          </w:tcPr>
          <w:p w14:paraId="4EB4E7EF" w14:textId="77777777" w:rsidR="008C76E0" w:rsidRPr="00BD7577" w:rsidRDefault="008C76E0" w:rsidP="008C76E0">
            <w:pPr>
              <w:spacing w:after="120" w:line="240" w:lineRule="auto"/>
              <w:ind w:left="102" w:right="-20"/>
              <w:jc w:val="both"/>
              <w:rPr>
                <w:rFonts w:ascii="Sylfaen" w:eastAsia="Times New Roman" w:hAnsi="Sylfaen" w:cs="Times New Roman"/>
                <w:sz w:val="24"/>
                <w:szCs w:val="24"/>
              </w:rPr>
            </w:pPr>
            <w:r w:rsidRPr="00BD7577">
              <w:rPr>
                <w:rFonts w:ascii="Sylfaen" w:hAnsi="Sylfaen"/>
                <w:sz w:val="24"/>
                <w:szCs w:val="24"/>
              </w:rPr>
              <w:t>Դեղաձ</w:t>
            </w:r>
            <w:r w:rsidR="00C54D75">
              <w:rPr>
                <w:rFonts w:ascii="Sylfaen" w:hAnsi="Sylfaen"/>
                <w:sz w:val="24"/>
                <w:szCs w:val="24"/>
              </w:rPr>
              <w:t>և</w:t>
            </w:r>
            <w:r w:rsidRPr="00BD7577">
              <w:rPr>
                <w:rFonts w:ascii="Sylfaen" w:hAnsi="Sylfaen"/>
                <w:sz w:val="24"/>
                <w:szCs w:val="24"/>
              </w:rPr>
              <w:t xml:space="preserve">ը </w:t>
            </w:r>
            <w:r w:rsidR="00C54D75">
              <w:rPr>
                <w:rFonts w:ascii="Sylfaen" w:hAnsi="Sylfaen"/>
                <w:sz w:val="24"/>
                <w:szCs w:val="24"/>
              </w:rPr>
              <w:t>և</w:t>
            </w:r>
            <w:r w:rsidRPr="00BD7577">
              <w:rPr>
                <w:rFonts w:ascii="Sylfaen" w:hAnsi="Sylfaen"/>
                <w:sz w:val="24"/>
                <w:szCs w:val="24"/>
              </w:rPr>
              <w:t xml:space="preserve"> դոզան (դոզաները)՝</w:t>
            </w:r>
          </w:p>
        </w:tc>
        <w:tc>
          <w:tcPr>
            <w:tcW w:w="4312" w:type="dxa"/>
            <w:tcBorders>
              <w:top w:val="single" w:sz="6" w:space="0" w:color="000000"/>
              <w:left w:val="single" w:sz="6" w:space="0" w:color="000000"/>
              <w:bottom w:val="single" w:sz="6" w:space="0" w:color="000000"/>
              <w:right w:val="single" w:sz="4" w:space="0" w:color="000000"/>
            </w:tcBorders>
          </w:tcPr>
          <w:p w14:paraId="0D32A301" w14:textId="77777777" w:rsidR="008C76E0" w:rsidRPr="00BD7577" w:rsidRDefault="008C76E0" w:rsidP="008C76E0">
            <w:pPr>
              <w:spacing w:after="120" w:line="240" w:lineRule="auto"/>
              <w:rPr>
                <w:rFonts w:ascii="Sylfaen" w:hAnsi="Sylfaen"/>
                <w:sz w:val="24"/>
                <w:szCs w:val="24"/>
              </w:rPr>
            </w:pPr>
          </w:p>
        </w:tc>
      </w:tr>
      <w:tr w:rsidR="008C76E0" w:rsidRPr="00BD7577" w14:paraId="4CAF061E" w14:textId="77777777" w:rsidTr="008C76E0">
        <w:trPr>
          <w:jc w:val="center"/>
        </w:trPr>
        <w:tc>
          <w:tcPr>
            <w:tcW w:w="5434" w:type="dxa"/>
            <w:tcBorders>
              <w:top w:val="single" w:sz="6" w:space="0" w:color="000000"/>
              <w:left w:val="single" w:sz="4" w:space="0" w:color="000000"/>
              <w:bottom w:val="single" w:sz="4" w:space="0" w:color="000000"/>
              <w:right w:val="single" w:sz="6" w:space="0" w:color="000000"/>
            </w:tcBorders>
          </w:tcPr>
          <w:p w14:paraId="33D631E4" w14:textId="77777777" w:rsidR="008C76E0" w:rsidRPr="00BD7577" w:rsidRDefault="008C76E0" w:rsidP="008C76E0">
            <w:pPr>
              <w:spacing w:after="120" w:line="240" w:lineRule="auto"/>
              <w:ind w:left="102" w:right="28"/>
              <w:jc w:val="both"/>
              <w:rPr>
                <w:rFonts w:ascii="Sylfaen" w:eastAsia="Times New Roman" w:hAnsi="Sylfaen" w:cs="Times New Roman"/>
                <w:sz w:val="24"/>
                <w:szCs w:val="24"/>
              </w:rPr>
            </w:pPr>
            <w:r w:rsidRPr="00BD7577">
              <w:rPr>
                <w:rFonts w:ascii="Sylfaen" w:hAnsi="Sylfaen"/>
                <w:sz w:val="24"/>
                <w:szCs w:val="24"/>
              </w:rPr>
              <w:t xml:space="preserve">Զեկուցողի փորձագետների անունները (ներքին փորձագետ </w:t>
            </w:r>
            <w:r w:rsidR="00C54D75">
              <w:rPr>
                <w:rFonts w:ascii="Sylfaen" w:hAnsi="Sylfaen"/>
                <w:sz w:val="24"/>
                <w:szCs w:val="24"/>
              </w:rPr>
              <w:t>և</w:t>
            </w:r>
            <w:r w:rsidRPr="00BD7577">
              <w:rPr>
                <w:rFonts w:ascii="Sylfaen" w:hAnsi="Sylfaen"/>
                <w:sz w:val="24"/>
                <w:szCs w:val="24"/>
              </w:rPr>
              <w:t xml:space="preserve"> անկախ փորձագետ)՝</w:t>
            </w:r>
          </w:p>
        </w:tc>
        <w:tc>
          <w:tcPr>
            <w:tcW w:w="4312" w:type="dxa"/>
            <w:tcBorders>
              <w:top w:val="single" w:sz="6" w:space="0" w:color="000000"/>
              <w:left w:val="single" w:sz="6" w:space="0" w:color="000000"/>
              <w:bottom w:val="single" w:sz="4" w:space="0" w:color="000000"/>
              <w:right w:val="single" w:sz="4" w:space="0" w:color="000000"/>
            </w:tcBorders>
          </w:tcPr>
          <w:p w14:paraId="3B44BC0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Որակ՝</w:t>
            </w:r>
          </w:p>
          <w:p w14:paraId="56EDA42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Ա.Ա.Հ.՝</w:t>
            </w:r>
          </w:p>
          <w:p w14:paraId="75BFE0B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5D1D6157"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4B2C26BD" w14:textId="77777777" w:rsidR="008C76E0" w:rsidRPr="00BD7577" w:rsidRDefault="008C76E0" w:rsidP="008C76E0">
            <w:pPr>
              <w:spacing w:after="120" w:line="240" w:lineRule="auto"/>
              <w:rPr>
                <w:rFonts w:ascii="Sylfaen" w:hAnsi="Sylfaen"/>
                <w:sz w:val="24"/>
                <w:szCs w:val="24"/>
              </w:rPr>
            </w:pPr>
          </w:p>
          <w:p w14:paraId="77D6FC38" w14:textId="77777777" w:rsidR="008C76E0" w:rsidRPr="00BD7577" w:rsidRDefault="008C76E0" w:rsidP="008C76E0">
            <w:pPr>
              <w:spacing w:after="120" w:line="240" w:lineRule="auto"/>
              <w:ind w:left="100" w:right="1611"/>
              <w:rPr>
                <w:rFonts w:ascii="Sylfaen" w:eastAsia="Times New Roman" w:hAnsi="Sylfaen" w:cs="Times New Roman"/>
                <w:sz w:val="24"/>
                <w:szCs w:val="24"/>
              </w:rPr>
            </w:pPr>
            <w:r w:rsidRPr="00BD7577">
              <w:rPr>
                <w:rFonts w:ascii="Sylfaen" w:hAnsi="Sylfaen"/>
                <w:sz w:val="24"/>
                <w:szCs w:val="24"/>
              </w:rPr>
              <w:t>Նախակլինիկական՝ Ա.Ա.Հ.՝</w:t>
            </w:r>
          </w:p>
          <w:p w14:paraId="0D96EF33"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72633EEE" w14:textId="77777777" w:rsidR="008C76E0" w:rsidRPr="00BD7577" w:rsidRDefault="008C76E0" w:rsidP="008C76E0">
            <w:pPr>
              <w:spacing w:after="120" w:line="240" w:lineRule="auto"/>
              <w:ind w:left="100" w:right="-20"/>
              <w:rPr>
                <w:rFonts w:ascii="Sylfaen" w:hAnsi="Sylfaen"/>
                <w:sz w:val="24"/>
                <w:szCs w:val="24"/>
              </w:rPr>
            </w:pPr>
            <w:r w:rsidRPr="00BD7577">
              <w:rPr>
                <w:rFonts w:ascii="Sylfaen" w:hAnsi="Sylfaen"/>
                <w:sz w:val="24"/>
                <w:szCs w:val="24"/>
              </w:rPr>
              <w:t>Էլեկտրոնային փոստի հասցե՝</w:t>
            </w:r>
          </w:p>
          <w:p w14:paraId="647234A2" w14:textId="77777777" w:rsidR="008C76E0" w:rsidRPr="00BD7577" w:rsidRDefault="008C76E0" w:rsidP="008C76E0">
            <w:pPr>
              <w:spacing w:after="120" w:line="240" w:lineRule="auto"/>
              <w:rPr>
                <w:rFonts w:ascii="Sylfaen" w:hAnsi="Sylfaen"/>
                <w:sz w:val="24"/>
                <w:szCs w:val="24"/>
              </w:rPr>
            </w:pPr>
          </w:p>
          <w:p w14:paraId="0C5A1494" w14:textId="77777777" w:rsidR="008C76E0" w:rsidRPr="00BD7577" w:rsidRDefault="008C76E0" w:rsidP="008C76E0">
            <w:pPr>
              <w:spacing w:after="120" w:line="240" w:lineRule="auto"/>
              <w:ind w:left="100" w:right="2412"/>
              <w:rPr>
                <w:rFonts w:ascii="Sylfaen" w:eastAsia="Times New Roman" w:hAnsi="Sylfaen" w:cs="Times New Roman"/>
                <w:sz w:val="24"/>
                <w:szCs w:val="24"/>
              </w:rPr>
            </w:pPr>
            <w:r w:rsidRPr="00BD7577">
              <w:rPr>
                <w:rFonts w:ascii="Sylfaen" w:hAnsi="Sylfaen"/>
                <w:sz w:val="24"/>
                <w:szCs w:val="24"/>
              </w:rPr>
              <w:t>Կլինիկական՝ Ա.Ա.Հ.՝</w:t>
            </w:r>
          </w:p>
          <w:p w14:paraId="76D4308D"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Հեռախոս (ֆաքս)՝</w:t>
            </w:r>
          </w:p>
          <w:p w14:paraId="455799AB" w14:textId="77777777" w:rsidR="008C76E0" w:rsidRPr="00BD7577" w:rsidRDefault="008C76E0" w:rsidP="008C76E0">
            <w:pPr>
              <w:spacing w:after="120" w:line="240" w:lineRule="auto"/>
              <w:ind w:left="100" w:right="-20"/>
              <w:rPr>
                <w:rFonts w:ascii="Sylfaen" w:eastAsia="Times New Roman" w:hAnsi="Sylfaen" w:cs="Times New Roman"/>
                <w:sz w:val="24"/>
                <w:szCs w:val="24"/>
              </w:rPr>
            </w:pPr>
            <w:r w:rsidRPr="00BD7577">
              <w:rPr>
                <w:rFonts w:ascii="Sylfaen" w:hAnsi="Sylfaen"/>
                <w:sz w:val="24"/>
                <w:szCs w:val="24"/>
              </w:rPr>
              <w:t>Էլեկտրոնային փոստի հասցե՝</w:t>
            </w:r>
          </w:p>
        </w:tc>
      </w:tr>
    </w:tbl>
    <w:p w14:paraId="718A944C" w14:textId="77777777" w:rsidR="008C76E0" w:rsidRDefault="008C76E0" w:rsidP="008C76E0">
      <w:pPr>
        <w:ind w:right="-20"/>
        <w:jc w:val="both"/>
        <w:rPr>
          <w:rFonts w:ascii="Sylfaen" w:hAnsi="Sylfaen"/>
          <w:sz w:val="24"/>
          <w:szCs w:val="24"/>
          <w:lang w:val="en-US"/>
        </w:rPr>
      </w:pPr>
    </w:p>
    <w:p w14:paraId="6C681AEC" w14:textId="77777777" w:rsidR="008C76E0" w:rsidRPr="00BD7577" w:rsidRDefault="008C76E0" w:rsidP="00486B34">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Հապավումների ցանկ։</w:t>
      </w:r>
    </w:p>
    <w:p w14:paraId="70DDBE8D"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05E419F1" w14:textId="77777777" w:rsidR="008C76E0" w:rsidRPr="00BD7577" w:rsidRDefault="008C76E0" w:rsidP="001C3278">
      <w:pPr>
        <w:spacing w:after="160" w:line="360" w:lineRule="auto"/>
        <w:ind w:left="567" w:right="566"/>
        <w:jc w:val="center"/>
        <w:rPr>
          <w:rFonts w:ascii="Sylfaen" w:eastAsia="Times New Roman" w:hAnsi="Sylfaen" w:cs="Times New Roman"/>
          <w:sz w:val="24"/>
          <w:szCs w:val="24"/>
        </w:rPr>
      </w:pPr>
      <w:r w:rsidRPr="00BD7577">
        <w:rPr>
          <w:rFonts w:ascii="Sylfaen" w:hAnsi="Sylfaen"/>
          <w:sz w:val="24"/>
          <w:szCs w:val="24"/>
        </w:rPr>
        <w:lastRenderedPageBreak/>
        <w:t>ՆԱԽԱԿԼԻՆԻԿԱԿԱՆ (ՈՉ ԿԼԻՆԻԿԱԿԱՆ) ԱՍՊԵԿՏՆԵՐԻ ՓՈՐՁԱՔՆՆՈՒԹՅՈՒՆԸ</w:t>
      </w:r>
    </w:p>
    <w:p w14:paraId="1AC3E9A0"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68E66601" w14:textId="673A30ED"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69E42E1F"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լաբորատոր գործելակերպի ասպեկտները:</w:t>
      </w:r>
    </w:p>
    <w:p w14:paraId="71CA3B78" w14:textId="77777777" w:rsidR="008C76E0" w:rsidRPr="00BD7577" w:rsidRDefault="008C76E0" w:rsidP="001C3278">
      <w:pPr>
        <w:tabs>
          <w:tab w:val="left" w:pos="1134"/>
        </w:tabs>
        <w:spacing w:after="160" w:line="360" w:lineRule="auto"/>
        <w:ind w:right="-20"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Դեղաբանություն (2.6.2 </w:t>
      </w:r>
      <w:r w:rsidR="00C54D75">
        <w:rPr>
          <w:rFonts w:ascii="Sylfaen" w:hAnsi="Sylfaen"/>
          <w:sz w:val="24"/>
          <w:szCs w:val="24"/>
        </w:rPr>
        <w:t>և</w:t>
      </w:r>
      <w:r w:rsidRPr="00BD7577">
        <w:rPr>
          <w:rFonts w:ascii="Sylfaen" w:hAnsi="Sylfaen"/>
          <w:sz w:val="24"/>
          <w:szCs w:val="24"/>
        </w:rPr>
        <w:t xml:space="preserve"> 4.2.1 մոդուլներ): </w:t>
      </w:r>
    </w:p>
    <w:p w14:paraId="76584D1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Համառոտ նկարագրություն:</w:t>
      </w:r>
    </w:p>
    <w:tbl>
      <w:tblPr>
        <w:tblStyle w:val="TableGrid"/>
        <w:tblW w:w="9292" w:type="dxa"/>
        <w:jc w:val="center"/>
        <w:tblLook w:val="04A0" w:firstRow="1" w:lastRow="0" w:firstColumn="1" w:lastColumn="0" w:noHBand="0" w:noVBand="1"/>
      </w:tblPr>
      <w:tblGrid>
        <w:gridCol w:w="9292"/>
      </w:tblGrid>
      <w:tr w:rsidR="008C76E0" w:rsidRPr="00BD7577" w14:paraId="1D64164B" w14:textId="77777777" w:rsidTr="008C76E0">
        <w:trPr>
          <w:jc w:val="center"/>
        </w:trPr>
        <w:tc>
          <w:tcPr>
            <w:tcW w:w="9292" w:type="dxa"/>
          </w:tcPr>
          <w:p w14:paraId="34939912" w14:textId="77777777" w:rsidR="008C76E0" w:rsidRPr="00BD7577" w:rsidRDefault="008C76E0" w:rsidP="008C76E0">
            <w:pPr>
              <w:spacing w:after="160" w:line="360" w:lineRule="auto"/>
              <w:ind w:right="-23" w:firstLine="6"/>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23B7EB0D" w14:textId="77777777" w:rsidR="008C76E0" w:rsidRPr="00BD7577" w:rsidRDefault="008C76E0" w:rsidP="001C3278">
      <w:pPr>
        <w:spacing w:after="160" w:line="360" w:lineRule="auto"/>
        <w:ind w:firstLine="567"/>
        <w:jc w:val="both"/>
        <w:rPr>
          <w:rFonts w:ascii="Sylfaen" w:hAnsi="Sylfaen"/>
          <w:sz w:val="24"/>
          <w:szCs w:val="24"/>
          <w:lang w:val="en-US"/>
        </w:rPr>
      </w:pPr>
      <w:r w:rsidRPr="00BD7577">
        <w:rPr>
          <w:rFonts w:ascii="Sylfaen" w:hAnsi="Sylfaen"/>
          <w:sz w:val="24"/>
          <w:szCs w:val="24"/>
        </w:rPr>
        <w:t>Ֆիզիկաքիմիական հատկությունները։</w:t>
      </w:r>
    </w:p>
    <w:p w14:paraId="61C12737" w14:textId="77777777" w:rsidR="008C76E0" w:rsidRPr="00BD7577" w:rsidRDefault="008C76E0" w:rsidP="001C3278">
      <w:pPr>
        <w:spacing w:after="160" w:line="360" w:lineRule="auto"/>
        <w:ind w:right="-1" w:firstLine="567"/>
        <w:jc w:val="both"/>
        <w:rPr>
          <w:rFonts w:ascii="Sylfaen" w:hAnsi="Sylfaen"/>
          <w:sz w:val="24"/>
          <w:szCs w:val="24"/>
          <w:lang w:val="en-US"/>
        </w:rPr>
      </w:pPr>
      <w:r w:rsidRPr="00BD7577">
        <w:rPr>
          <w:rFonts w:ascii="Sylfaen" w:hAnsi="Sylfaen"/>
          <w:sz w:val="24"/>
          <w:szCs w:val="24"/>
        </w:rPr>
        <w:t>Ազդող նյութի կառուցվածքը</w:t>
      </w:r>
    </w:p>
    <w:p w14:paraId="4A0A4C7C"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(տեղադրել կառուցվածքը)</w:t>
      </w:r>
    </w:p>
    <w:p w14:paraId="0825134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Ռադիոակտիվ նշման դիրքը</w:t>
      </w:r>
    </w:p>
    <w:p w14:paraId="116169A8"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(տե՛ս կառուցվածքը)</w:t>
      </w:r>
    </w:p>
    <w:p w14:paraId="611F03DB"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Իզոմերիա</w:t>
      </w:r>
    </w:p>
    <w:p w14:paraId="7DE3E0BD"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Հարաբերական մոլեկուլյար զանգվածը</w:t>
      </w:r>
    </w:p>
    <w:p w14:paraId="2A31C05A"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Լուծելիությունը ջրում</w:t>
      </w:r>
    </w:p>
    <w:p w14:paraId="51AD02C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Իոնիզացման հաստատունի ցուցանիշը (ցՀ)</w:t>
      </w:r>
    </w:p>
    <w:p w14:paraId="754F7995"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Տեղաբաշխման գործակիցը</w:t>
      </w:r>
    </w:p>
    <w:p w14:paraId="04F8304F"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Լուծելիությունն օրգանական լուծիչներում</w:t>
      </w:r>
    </w:p>
    <w:p w14:paraId="4061FED2"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Կայունությունը</w:t>
      </w:r>
    </w:p>
    <w:p w14:paraId="0A799A01" w14:textId="77777777" w:rsidR="008C76E0" w:rsidRPr="00BD7577" w:rsidRDefault="008C76E0" w:rsidP="001C3278">
      <w:pPr>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 xml:space="preserve">Ենթադրյալ քիրալությունը </w:t>
      </w:r>
      <w:r w:rsidR="00C54D75">
        <w:rPr>
          <w:rFonts w:ascii="Sylfaen" w:hAnsi="Sylfaen"/>
          <w:sz w:val="24"/>
          <w:szCs w:val="24"/>
        </w:rPr>
        <w:t>և</w:t>
      </w:r>
      <w:r w:rsidRPr="00BD7577">
        <w:rPr>
          <w:rFonts w:ascii="Sylfaen" w:hAnsi="Sylfaen"/>
          <w:sz w:val="24"/>
          <w:szCs w:val="24"/>
        </w:rPr>
        <w:t xml:space="preserve"> դրա էֆեկտները </w:t>
      </w:r>
    </w:p>
    <w:p w14:paraId="7615D86D" w14:textId="77777777" w:rsidR="008C76E0" w:rsidRPr="00BD7577" w:rsidRDefault="008C76E0" w:rsidP="001C3278">
      <w:pPr>
        <w:spacing w:after="160" w:line="360" w:lineRule="auto"/>
        <w:rPr>
          <w:rFonts w:ascii="Sylfaen" w:hAnsi="Sylfae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4B0DD177" w14:textId="77777777" w:rsidTr="008C76E0">
        <w:trPr>
          <w:jc w:val="center"/>
        </w:trPr>
        <w:tc>
          <w:tcPr>
            <w:tcW w:w="9674" w:type="dxa"/>
          </w:tcPr>
          <w:p w14:paraId="3F1CB30D"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lastRenderedPageBreak/>
              <w:t>Փորձագետի մեկնաբանությունը</w:t>
            </w:r>
          </w:p>
        </w:tc>
      </w:tr>
    </w:tbl>
    <w:p w14:paraId="6C29909A" w14:textId="77777777" w:rsidR="008C76E0" w:rsidRPr="00BD7577" w:rsidRDefault="008C76E0" w:rsidP="001C3278">
      <w:pPr>
        <w:tabs>
          <w:tab w:val="left" w:pos="1134"/>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2.1.</w:t>
      </w:r>
      <w:r w:rsidRPr="00BD7577">
        <w:rPr>
          <w:rFonts w:ascii="Sylfaen" w:hAnsi="Sylfaen"/>
          <w:sz w:val="24"/>
          <w:szCs w:val="24"/>
        </w:rPr>
        <w:tab/>
        <w:t>Առաջնային դեղադինամիկան:</w:t>
      </w:r>
    </w:p>
    <w:p w14:paraId="119D6400" w14:textId="77777777" w:rsidR="008C76E0" w:rsidRPr="00BD7577" w:rsidRDefault="008C76E0" w:rsidP="001C3278">
      <w:pPr>
        <w:spacing w:after="160" w:line="360" w:lineRule="auto"/>
        <w:ind w:left="102" w:right="-20"/>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772848CC" w14:textId="77777777" w:rsidTr="008C76E0">
        <w:trPr>
          <w:jc w:val="center"/>
        </w:trPr>
        <w:tc>
          <w:tcPr>
            <w:tcW w:w="9674" w:type="dxa"/>
          </w:tcPr>
          <w:p w14:paraId="5E1217C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F7DA9D3" w14:textId="77777777" w:rsidR="008C76E0" w:rsidRPr="00BD7577" w:rsidRDefault="008C76E0" w:rsidP="001C3278">
      <w:pPr>
        <w:tabs>
          <w:tab w:val="left" w:pos="567"/>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2.2.</w:t>
      </w:r>
      <w:r w:rsidRPr="00BD7577">
        <w:rPr>
          <w:rFonts w:ascii="Sylfaen" w:hAnsi="Sylfaen"/>
          <w:sz w:val="24"/>
          <w:szCs w:val="24"/>
        </w:rPr>
        <w:tab/>
        <w:t xml:space="preserve">Երկրորդային դեղադինամիկան: </w:t>
      </w:r>
    </w:p>
    <w:p w14:paraId="72E8FD42" w14:textId="77777777" w:rsidR="008C76E0" w:rsidRPr="00BD7577" w:rsidRDefault="008C76E0" w:rsidP="001C3278">
      <w:pPr>
        <w:spacing w:after="160" w:line="360" w:lineRule="auto"/>
        <w:ind w:right="-7" w:firstLine="567"/>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9287"/>
      </w:tblGrid>
      <w:tr w:rsidR="008C76E0" w:rsidRPr="00BD7577" w14:paraId="55D1DC98" w14:textId="77777777" w:rsidTr="008C76E0">
        <w:trPr>
          <w:jc w:val="center"/>
        </w:trPr>
        <w:tc>
          <w:tcPr>
            <w:tcW w:w="9674" w:type="dxa"/>
          </w:tcPr>
          <w:p w14:paraId="6F48C59C"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6F0894D9"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sidRPr="00BD7577">
        <w:rPr>
          <w:rFonts w:ascii="Sylfaen" w:hAnsi="Sylfaen"/>
          <w:sz w:val="24"/>
          <w:szCs w:val="24"/>
        </w:rPr>
        <w:t>2.3.</w:t>
      </w:r>
      <w:r w:rsidRPr="00BD7577">
        <w:rPr>
          <w:rFonts w:ascii="Sylfaen" w:hAnsi="Sylfaen"/>
          <w:sz w:val="24"/>
          <w:szCs w:val="24"/>
        </w:rPr>
        <w:tab/>
        <w:t>Դեղաբանական անվտանգությունը:</w:t>
      </w:r>
    </w:p>
    <w:p w14:paraId="37433CAC"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7DEF09B8" w14:textId="77777777" w:rsidTr="008C76E0">
        <w:tc>
          <w:tcPr>
            <w:tcW w:w="9674" w:type="dxa"/>
          </w:tcPr>
          <w:p w14:paraId="297B656F"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5654D31A" w14:textId="77777777" w:rsidR="008C76E0" w:rsidRPr="00BD7577" w:rsidRDefault="008C76E0" w:rsidP="001C3278">
      <w:pPr>
        <w:tabs>
          <w:tab w:val="left" w:pos="567"/>
        </w:tabs>
        <w:spacing w:after="160" w:line="360" w:lineRule="auto"/>
        <w:ind w:right="-1" w:firstLine="567"/>
        <w:jc w:val="both"/>
        <w:rPr>
          <w:rFonts w:ascii="Sylfaen" w:eastAsia="Times New Roman" w:hAnsi="Sylfaen" w:cs="Times New Roman"/>
          <w:sz w:val="24"/>
          <w:szCs w:val="24"/>
        </w:rPr>
      </w:pPr>
      <w:r>
        <w:rPr>
          <w:rFonts w:ascii="Sylfaen" w:hAnsi="Sylfaen"/>
          <w:sz w:val="24"/>
          <w:szCs w:val="24"/>
        </w:rPr>
        <w:t>2.4.</w:t>
      </w:r>
      <w:r>
        <w:rPr>
          <w:rFonts w:ascii="Sylfaen" w:hAnsi="Sylfaen"/>
          <w:sz w:val="24"/>
          <w:szCs w:val="24"/>
        </w:rPr>
        <w:tab/>
      </w:r>
      <w:r w:rsidRPr="00BD7577">
        <w:rPr>
          <w:rFonts w:ascii="Sylfaen" w:hAnsi="Sylfaen"/>
          <w:sz w:val="24"/>
          <w:szCs w:val="24"/>
        </w:rPr>
        <w:t>Դեղադինամիկ դեղային փոխազդեցությունները:</w:t>
      </w:r>
    </w:p>
    <w:p w14:paraId="0F335EA5" w14:textId="77777777" w:rsidR="008C76E0" w:rsidRPr="00BD7577" w:rsidRDefault="008C76E0" w:rsidP="001C3278">
      <w:pPr>
        <w:spacing w:after="160" w:line="360" w:lineRule="auto"/>
        <w:ind w:firstLine="567"/>
        <w:rPr>
          <w:rFonts w:ascii="Sylfaen" w:hAnsi="Sylfaen"/>
          <w:sz w:val="24"/>
          <w:szCs w:val="24"/>
        </w:rPr>
      </w:pPr>
    </w:p>
    <w:tbl>
      <w:tblPr>
        <w:tblStyle w:val="TableGrid"/>
        <w:tblW w:w="0" w:type="auto"/>
        <w:tblLook w:val="04A0" w:firstRow="1" w:lastRow="0" w:firstColumn="1" w:lastColumn="0" w:noHBand="0" w:noVBand="1"/>
      </w:tblPr>
      <w:tblGrid>
        <w:gridCol w:w="9287"/>
      </w:tblGrid>
      <w:tr w:rsidR="008C76E0" w:rsidRPr="00BD7577" w14:paraId="051C9059" w14:textId="77777777" w:rsidTr="008C76E0">
        <w:tc>
          <w:tcPr>
            <w:tcW w:w="9674" w:type="dxa"/>
          </w:tcPr>
          <w:p w14:paraId="40C29D62" w14:textId="77777777" w:rsidR="008C76E0" w:rsidRPr="00BD7577" w:rsidRDefault="008C76E0" w:rsidP="001C3278">
            <w:pPr>
              <w:spacing w:after="160" w:line="360" w:lineRule="auto"/>
              <w:ind w:right="-23"/>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tc>
      </w:tr>
    </w:tbl>
    <w:p w14:paraId="33DA4E58" w14:textId="77777777" w:rsidR="008C76E0" w:rsidRPr="00BD7577" w:rsidRDefault="008C76E0" w:rsidP="001C3278">
      <w:pPr>
        <w:tabs>
          <w:tab w:val="left" w:pos="567"/>
        </w:tabs>
        <w:spacing w:after="160" w:line="360" w:lineRule="auto"/>
        <w:ind w:right="-1" w:firstLine="567"/>
        <w:jc w:val="both"/>
        <w:rPr>
          <w:rFonts w:ascii="Sylfaen" w:hAnsi="Sylfaen"/>
          <w:sz w:val="24"/>
          <w:szCs w:val="24"/>
        </w:rPr>
      </w:pPr>
      <w:r>
        <w:rPr>
          <w:rFonts w:ascii="Sylfaen" w:hAnsi="Sylfaen"/>
          <w:sz w:val="24"/>
          <w:szCs w:val="24"/>
        </w:rPr>
        <w:t>2.5.</w:t>
      </w:r>
      <w:r w:rsidRPr="00BD7577">
        <w:rPr>
          <w:rFonts w:ascii="Sylfaen" w:hAnsi="Sylfaen"/>
          <w:sz w:val="24"/>
          <w:szCs w:val="24"/>
        </w:rPr>
        <w:tab/>
        <w:t>Դեղաբանության գծով փորձագետի ընդհանուր եզրակացությունը:</w:t>
      </w:r>
    </w:p>
    <w:p w14:paraId="58FC5FA8" w14:textId="77777777" w:rsidR="008C76E0" w:rsidRPr="00BD7577" w:rsidRDefault="008C76E0" w:rsidP="001C3278">
      <w:pPr>
        <w:tabs>
          <w:tab w:val="left" w:pos="1134"/>
        </w:tabs>
        <w:spacing w:after="160" w:line="360" w:lineRule="auto"/>
        <w:ind w:right="-1" w:firstLine="567"/>
        <w:rPr>
          <w:rFonts w:ascii="Sylfaen" w:hAnsi="Sylfaen"/>
          <w:sz w:val="24"/>
          <w:szCs w:val="24"/>
        </w:rPr>
      </w:pPr>
    </w:p>
    <w:p w14:paraId="64EE9A21" w14:textId="77777777" w:rsidR="008C76E0" w:rsidRPr="00BD7577" w:rsidRDefault="008C76E0" w:rsidP="001C3278">
      <w:p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Sylfaen" w:eastAsia="Times New Roman" w:hAnsi="Sylfaen" w:cs="Times New Roman"/>
          <w:sz w:val="24"/>
          <w:szCs w:val="24"/>
        </w:rPr>
      </w:pPr>
      <w:r w:rsidRPr="00BD7577">
        <w:rPr>
          <w:rFonts w:ascii="Sylfaen" w:hAnsi="Sylfaen"/>
          <w:sz w:val="24"/>
          <w:szCs w:val="24"/>
        </w:rPr>
        <w:t>Փորձագետի մեկնաբանությունը</w:t>
      </w:r>
    </w:p>
    <w:p w14:paraId="309BC59F" w14:textId="77777777" w:rsidR="008C76E0" w:rsidRPr="00BD7577" w:rsidRDefault="008C76E0" w:rsidP="001C3278">
      <w:pPr>
        <w:spacing w:after="160" w:line="360" w:lineRule="auto"/>
        <w:rPr>
          <w:rFonts w:ascii="Sylfaen" w:eastAsia="Times New Roman" w:hAnsi="Sylfaen" w:cs="Times New Roman"/>
          <w:sz w:val="24"/>
          <w:szCs w:val="24"/>
        </w:rPr>
      </w:pPr>
    </w:p>
    <w:p w14:paraId="62F9323C" w14:textId="77777777" w:rsidR="008C76E0" w:rsidRPr="00BD7577" w:rsidRDefault="008C76E0" w:rsidP="001C3278">
      <w:pPr>
        <w:spacing w:after="160" w:line="360" w:lineRule="auto"/>
        <w:rPr>
          <w:rFonts w:ascii="Sylfaen" w:hAnsi="Sylfaen"/>
          <w:sz w:val="24"/>
          <w:szCs w:val="24"/>
        </w:rPr>
        <w:sectPr w:rsidR="008C76E0" w:rsidRPr="00BD7577" w:rsidSect="00591274">
          <w:pgSz w:w="11907" w:h="16839" w:code="9"/>
          <w:pgMar w:top="1418" w:right="1418" w:bottom="1418" w:left="1418" w:header="0" w:footer="6" w:gutter="0"/>
          <w:cols w:space="720"/>
          <w:noEndnote/>
          <w:docGrid w:linePitch="360"/>
        </w:sectPr>
      </w:pPr>
    </w:p>
    <w:p w14:paraId="0D0920F6" w14:textId="77777777" w:rsidR="008C76E0" w:rsidRPr="00BD7577" w:rsidRDefault="008C76E0" w:rsidP="001C3278">
      <w:pPr>
        <w:pStyle w:val="Bodytext180"/>
        <w:shd w:val="clear" w:color="auto" w:fill="auto"/>
        <w:tabs>
          <w:tab w:val="left" w:pos="1134"/>
        </w:tabs>
        <w:spacing w:before="0" w:after="160" w:line="360" w:lineRule="auto"/>
        <w:ind w:firstLine="567"/>
        <w:jc w:val="both"/>
        <w:rPr>
          <w:rStyle w:val="Bodytext295pt"/>
          <w:rFonts w:ascii="Sylfaen" w:hAnsi="Sylfaen"/>
          <w:i/>
          <w:spacing w:val="0"/>
          <w:sz w:val="24"/>
          <w:szCs w:val="24"/>
        </w:rPr>
      </w:pPr>
      <w:r>
        <w:rPr>
          <w:rStyle w:val="Bodytext295pt"/>
          <w:rFonts w:ascii="Sylfaen" w:hAnsi="Sylfaen"/>
          <w:spacing w:val="0"/>
          <w:sz w:val="24"/>
          <w:szCs w:val="24"/>
        </w:rPr>
        <w:lastRenderedPageBreak/>
        <w:t>3.</w:t>
      </w:r>
      <w:r w:rsidRPr="00BD7577">
        <w:rPr>
          <w:rStyle w:val="Bodytext295pt"/>
          <w:rFonts w:ascii="Sylfaen" w:hAnsi="Sylfaen"/>
          <w:spacing w:val="0"/>
          <w:sz w:val="24"/>
          <w:szCs w:val="24"/>
        </w:rPr>
        <w:tab/>
        <w:t xml:space="preserve">Դեղակինետիկա (2.6.4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4.2.2 մոդուլներ):</w:t>
      </w:r>
    </w:p>
    <w:p w14:paraId="324225D4" w14:textId="77777777" w:rsidR="008C76E0" w:rsidRPr="00BD7577" w:rsidRDefault="008C76E0" w:rsidP="001C3278">
      <w:pPr>
        <w:pStyle w:val="Bodytext180"/>
        <w:shd w:val="clear" w:color="auto" w:fill="auto"/>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Դեղակինետիկ հետազոտությունները:</w:t>
      </w: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0095908B" w14:textId="77777777" w:rsidTr="008C76E0">
        <w:tc>
          <w:tcPr>
            <w:tcW w:w="14817" w:type="dxa"/>
            <w:tcBorders>
              <w:top w:val="single" w:sz="4" w:space="0" w:color="auto"/>
              <w:left w:val="single" w:sz="4" w:space="0" w:color="auto"/>
              <w:right w:val="single" w:sz="4" w:space="0" w:color="auto"/>
            </w:tcBorders>
            <w:shd w:val="clear" w:color="auto" w:fill="FFFFFF"/>
          </w:tcPr>
          <w:p w14:paraId="2EB21327" w14:textId="77777777" w:rsidR="008C76E0" w:rsidRPr="00BD7577" w:rsidRDefault="008C76E0" w:rsidP="001C3278">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մեկնաբանությունները</w:t>
            </w:r>
          </w:p>
        </w:tc>
      </w:tr>
      <w:tr w:rsidR="008C76E0" w:rsidRPr="00BD7577" w14:paraId="42A96BCD" w14:textId="77777777" w:rsidTr="008C76E0">
        <w:tc>
          <w:tcPr>
            <w:tcW w:w="14817" w:type="dxa"/>
            <w:tcBorders>
              <w:top w:val="single" w:sz="4" w:space="0" w:color="auto"/>
            </w:tcBorders>
            <w:shd w:val="clear" w:color="auto" w:fill="FFFFFF"/>
          </w:tcPr>
          <w:p w14:paraId="04D6E204"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Pr>
                <w:rStyle w:val="Bodytext295pt"/>
                <w:rFonts w:ascii="Sylfaen" w:hAnsi="Sylfaen"/>
                <w:spacing w:val="0"/>
                <w:sz w:val="24"/>
                <w:szCs w:val="24"/>
              </w:rPr>
              <w:t>3.1.</w:t>
            </w:r>
            <w:r w:rsidRPr="00BD7577">
              <w:rPr>
                <w:rStyle w:val="Bodytext295pt"/>
                <w:rFonts w:ascii="Sylfaen" w:hAnsi="Sylfaen"/>
                <w:spacing w:val="0"/>
                <w:sz w:val="24"/>
                <w:szCs w:val="24"/>
              </w:rPr>
              <w:tab/>
              <w:t>Հետազոտության մեթոդները:</w:t>
            </w:r>
          </w:p>
        </w:tc>
      </w:tr>
    </w:tbl>
    <w:p w14:paraId="78996D38" w14:textId="77777777" w:rsidR="008C76E0" w:rsidRPr="00BD7577" w:rsidRDefault="008C76E0" w:rsidP="001C3278">
      <w:pPr>
        <w:spacing w:after="160" w:line="360" w:lineRule="auto"/>
        <w:rPr>
          <w:rFonts w:ascii="Sylfaen" w:hAnsi="Sylfaen"/>
          <w:sz w:val="24"/>
          <w:szCs w:val="24"/>
        </w:rPr>
      </w:pPr>
    </w:p>
    <w:tbl>
      <w:tblPr>
        <w:tblOverlap w:val="never"/>
        <w:tblW w:w="14817" w:type="dxa"/>
        <w:tblLayout w:type="fixed"/>
        <w:tblCellMar>
          <w:left w:w="10" w:type="dxa"/>
          <w:right w:w="10" w:type="dxa"/>
        </w:tblCellMar>
        <w:tblLook w:val="04A0" w:firstRow="1" w:lastRow="0" w:firstColumn="1" w:lastColumn="0" w:noHBand="0" w:noVBand="1"/>
      </w:tblPr>
      <w:tblGrid>
        <w:gridCol w:w="14817"/>
      </w:tblGrid>
      <w:tr w:rsidR="008C76E0" w:rsidRPr="00BD7577" w14:paraId="68C588FC" w14:textId="77777777" w:rsidTr="008C76E0">
        <w:tc>
          <w:tcPr>
            <w:tcW w:w="14817" w:type="dxa"/>
            <w:tcBorders>
              <w:top w:val="single" w:sz="4" w:space="0" w:color="auto"/>
              <w:left w:val="single" w:sz="4" w:space="0" w:color="auto"/>
              <w:right w:val="single" w:sz="4" w:space="0" w:color="auto"/>
            </w:tcBorders>
            <w:shd w:val="clear" w:color="auto" w:fill="FFFFFF"/>
          </w:tcPr>
          <w:p w14:paraId="310004D1"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90F302" w14:textId="77777777" w:rsidTr="008C76E0">
        <w:tc>
          <w:tcPr>
            <w:tcW w:w="14817" w:type="dxa"/>
            <w:tcBorders>
              <w:top w:val="single" w:sz="4" w:space="0" w:color="auto"/>
            </w:tcBorders>
            <w:shd w:val="clear" w:color="auto" w:fill="FFFFFF"/>
            <w:vAlign w:val="bottom"/>
          </w:tcPr>
          <w:p w14:paraId="7D251B30" w14:textId="77777777" w:rsidR="008C76E0" w:rsidRPr="00BD7577" w:rsidRDefault="008C76E0" w:rsidP="001C3278">
            <w:pPr>
              <w:pStyle w:val="Bodytext180"/>
              <w:shd w:val="clear" w:color="auto" w:fill="auto"/>
              <w:tabs>
                <w:tab w:val="left" w:pos="1134"/>
              </w:tabs>
              <w:spacing w:before="0" w:after="160" w:line="360" w:lineRule="auto"/>
              <w:ind w:firstLine="567"/>
              <w:jc w:val="both"/>
              <w:rPr>
                <w:rFonts w:ascii="Sylfaen" w:hAnsi="Sylfaen"/>
                <w:b w:val="0"/>
                <w:sz w:val="24"/>
                <w:szCs w:val="24"/>
              </w:rPr>
            </w:pPr>
            <w:r w:rsidRPr="00BD7577">
              <w:rPr>
                <w:rStyle w:val="Bodytext295pt"/>
                <w:rFonts w:ascii="Sylfaen" w:hAnsi="Sylfaen"/>
                <w:spacing w:val="0"/>
                <w:sz w:val="24"/>
                <w:szCs w:val="24"/>
              </w:rPr>
              <w:t>3.2.</w:t>
            </w:r>
            <w:r w:rsidRPr="00BD7577">
              <w:rPr>
                <w:rStyle w:val="Bodytext295pt"/>
                <w:rFonts w:ascii="Sylfaen" w:hAnsi="Sylfaen"/>
                <w:spacing w:val="0"/>
                <w:sz w:val="24"/>
                <w:szCs w:val="24"/>
              </w:rPr>
              <w:tab/>
              <w:t>Կլանումը:</w:t>
            </w:r>
          </w:p>
        </w:tc>
      </w:tr>
    </w:tbl>
    <w:p w14:paraId="3AC73CDD" w14:textId="77777777" w:rsidR="008C76E0" w:rsidRPr="00BD7577" w:rsidRDefault="008C76E0" w:rsidP="008C76E0">
      <w:pPr>
        <w:rPr>
          <w:rStyle w:val="Bodytext295pt"/>
          <w:rFonts w:ascii="Sylfaen" w:eastAsia="MS Mincho" w:hAnsi="Sylfaen"/>
          <w:b w:val="0"/>
          <w:i/>
          <w:spacing w:val="0"/>
          <w:sz w:val="24"/>
          <w:szCs w:val="24"/>
          <w:lang w:val="en-US"/>
        </w:rPr>
      </w:pPr>
    </w:p>
    <w:p w14:paraId="0876B96A" w14:textId="77777777" w:rsidR="008C76E0" w:rsidRPr="001D10C9" w:rsidRDefault="008C76E0" w:rsidP="008C76E0">
      <w:pPr>
        <w:jc w:val="center"/>
        <w:rPr>
          <w:rFonts w:ascii="Sylfaen" w:hAnsi="Sylfaen"/>
          <w:sz w:val="24"/>
          <w:szCs w:val="24"/>
        </w:rPr>
      </w:pPr>
      <w:r w:rsidRPr="001D10C9">
        <w:rPr>
          <w:rStyle w:val="Bodytext295pt"/>
          <w:rFonts w:ascii="Sylfaen" w:eastAsia="MS Mincho" w:hAnsi="Sylfaen"/>
          <w:b w:val="0"/>
          <w:spacing w:val="0"/>
          <w:sz w:val="24"/>
          <w:szCs w:val="24"/>
        </w:rPr>
        <w:t>Աղյուսակների օրինակելի նմուշներ՝ կլանման վերաբերյալ տվյալները մուտքագրելու համար</w:t>
      </w:r>
      <w:r w:rsidRPr="001D10C9">
        <w:rPr>
          <w:rStyle w:val="Bodytext295pt"/>
          <w:rFonts w:ascii="Sylfaen" w:eastAsia="MS Mincho" w:hAnsi="Sylfaen"/>
          <w:spacing w:val="0"/>
          <w:sz w:val="24"/>
          <w:szCs w:val="24"/>
        </w:rPr>
        <w:t>՝</w:t>
      </w:r>
    </w:p>
    <w:tbl>
      <w:tblPr>
        <w:tblOverlap w:val="never"/>
        <w:tblW w:w="14675" w:type="dxa"/>
        <w:tblLayout w:type="fixed"/>
        <w:tblCellMar>
          <w:left w:w="10" w:type="dxa"/>
          <w:right w:w="10" w:type="dxa"/>
        </w:tblCellMar>
        <w:tblLook w:val="04A0" w:firstRow="1" w:lastRow="0" w:firstColumn="1" w:lastColumn="0" w:noHBand="0" w:noVBand="1"/>
      </w:tblPr>
      <w:tblGrid>
        <w:gridCol w:w="2419"/>
        <w:gridCol w:w="1560"/>
        <w:gridCol w:w="749"/>
        <w:gridCol w:w="1134"/>
        <w:gridCol w:w="1701"/>
        <w:gridCol w:w="1985"/>
        <w:gridCol w:w="1235"/>
        <w:gridCol w:w="1134"/>
        <w:gridCol w:w="1558"/>
        <w:gridCol w:w="1200"/>
      </w:tblGrid>
      <w:tr w:rsidR="008C76E0" w:rsidRPr="00BD7577" w14:paraId="5B6D5FC1" w14:textId="77777777" w:rsidTr="008C76E0">
        <w:tc>
          <w:tcPr>
            <w:tcW w:w="2419" w:type="dxa"/>
            <w:tcBorders>
              <w:top w:val="single" w:sz="4" w:space="0" w:color="auto"/>
              <w:left w:val="single" w:sz="4" w:space="0" w:color="auto"/>
            </w:tcBorders>
            <w:shd w:val="clear" w:color="auto" w:fill="FFFFFF"/>
          </w:tcPr>
          <w:p w14:paraId="4DB3C3CA"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1560" w:type="dxa"/>
            <w:tcBorders>
              <w:top w:val="single" w:sz="4" w:space="0" w:color="auto"/>
              <w:left w:val="single" w:sz="4" w:space="0" w:color="auto"/>
            </w:tcBorders>
            <w:shd w:val="clear" w:color="auto" w:fill="FFFFFF"/>
          </w:tcPr>
          <w:p w14:paraId="046B03A3"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Տեսակները</w:t>
            </w:r>
          </w:p>
        </w:tc>
        <w:tc>
          <w:tcPr>
            <w:tcW w:w="749" w:type="dxa"/>
            <w:tcBorders>
              <w:top w:val="single" w:sz="4" w:space="0" w:color="auto"/>
              <w:left w:val="single" w:sz="4" w:space="0" w:color="auto"/>
            </w:tcBorders>
            <w:shd w:val="clear" w:color="auto" w:fill="FFFFFF"/>
          </w:tcPr>
          <w:p w14:paraId="1877433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25AFF0F"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67F7A70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22CED94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74728C06"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134" w:type="dxa"/>
            <w:tcBorders>
              <w:top w:val="single" w:sz="4" w:space="0" w:color="auto"/>
            </w:tcBorders>
            <w:shd w:val="clear" w:color="auto" w:fill="FFFFFF"/>
          </w:tcPr>
          <w:p w14:paraId="6972BF7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t</w:t>
            </w:r>
            <w:r w:rsidRPr="00BD7577">
              <w:rPr>
                <w:rStyle w:val="Bodytext1811pt"/>
                <w:rFonts w:ascii="Sylfaen" w:hAnsi="Sylfaen"/>
                <w:sz w:val="24"/>
                <w:szCs w:val="24"/>
                <w:vertAlign w:val="subscript"/>
              </w:rPr>
              <w:t>max</w:t>
            </w:r>
          </w:p>
        </w:tc>
        <w:tc>
          <w:tcPr>
            <w:tcW w:w="1558" w:type="dxa"/>
            <w:tcBorders>
              <w:top w:val="single" w:sz="4" w:space="0" w:color="auto"/>
            </w:tcBorders>
            <w:shd w:val="clear" w:color="auto" w:fill="FFFFFF"/>
          </w:tcPr>
          <w:p w14:paraId="7227E05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AUC</w:t>
            </w:r>
          </w:p>
        </w:tc>
        <w:tc>
          <w:tcPr>
            <w:tcW w:w="1200" w:type="dxa"/>
            <w:tcBorders>
              <w:top w:val="single" w:sz="4" w:space="0" w:color="auto"/>
              <w:right w:val="single" w:sz="4" w:space="0" w:color="auto"/>
            </w:tcBorders>
            <w:shd w:val="clear" w:color="auto" w:fill="FFFFFF"/>
          </w:tcPr>
          <w:p w14:paraId="7ED56414"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7F976816" w14:textId="77777777" w:rsidTr="008C76E0">
        <w:tc>
          <w:tcPr>
            <w:tcW w:w="14675" w:type="dxa"/>
            <w:gridSpan w:val="10"/>
            <w:tcBorders>
              <w:top w:val="single" w:sz="4" w:space="0" w:color="auto"/>
            </w:tcBorders>
            <w:shd w:val="clear" w:color="auto" w:fill="FFFFFF"/>
            <w:vAlign w:val="bottom"/>
          </w:tcPr>
          <w:p w14:paraId="0DFF5F2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18F1640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r>
      <w:tr w:rsidR="008C76E0" w:rsidRPr="00BD7577" w14:paraId="66920F1F" w14:textId="77777777" w:rsidTr="008C76E0">
        <w:tc>
          <w:tcPr>
            <w:tcW w:w="14675" w:type="dxa"/>
            <w:gridSpan w:val="10"/>
            <w:tcBorders>
              <w:top w:val="single" w:sz="4" w:space="0" w:color="auto"/>
            </w:tcBorders>
            <w:shd w:val="clear" w:color="auto" w:fill="FFFFFF"/>
          </w:tcPr>
          <w:p w14:paraId="6E810462"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0A941791" w14:textId="77777777" w:rsidTr="008C76E0">
        <w:tc>
          <w:tcPr>
            <w:tcW w:w="2419" w:type="dxa"/>
            <w:tcBorders>
              <w:top w:val="single" w:sz="4" w:space="0" w:color="auto"/>
              <w:left w:val="single" w:sz="4" w:space="0" w:color="auto"/>
            </w:tcBorders>
            <w:shd w:val="clear" w:color="auto" w:fill="FFFFFF"/>
          </w:tcPr>
          <w:p w14:paraId="0C5B0B4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 xml:space="preserve">Հետազոտության նույնականացման </w:t>
            </w:r>
            <w:r w:rsidRPr="00BD7577">
              <w:rPr>
                <w:rStyle w:val="Bodytext1811pt"/>
                <w:rFonts w:ascii="Sylfaen" w:hAnsi="Sylfaen"/>
                <w:sz w:val="24"/>
                <w:szCs w:val="24"/>
              </w:rPr>
              <w:lastRenderedPageBreak/>
              <w:t>համարը</w:t>
            </w:r>
          </w:p>
        </w:tc>
        <w:tc>
          <w:tcPr>
            <w:tcW w:w="1560" w:type="dxa"/>
            <w:tcBorders>
              <w:top w:val="single" w:sz="4" w:space="0" w:color="auto"/>
              <w:left w:val="single" w:sz="4" w:space="0" w:color="auto"/>
            </w:tcBorders>
            <w:shd w:val="clear" w:color="auto" w:fill="FFFFFF"/>
          </w:tcPr>
          <w:p w14:paraId="1BCC75AB"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749" w:type="dxa"/>
            <w:tcBorders>
              <w:top w:val="single" w:sz="4" w:space="0" w:color="auto"/>
              <w:left w:val="single" w:sz="4" w:space="0" w:color="auto"/>
            </w:tcBorders>
            <w:shd w:val="clear" w:color="auto" w:fill="FFFFFF"/>
          </w:tcPr>
          <w:p w14:paraId="0DCAD08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N</w:t>
            </w:r>
          </w:p>
        </w:tc>
        <w:tc>
          <w:tcPr>
            <w:tcW w:w="1134" w:type="dxa"/>
            <w:tcBorders>
              <w:top w:val="single" w:sz="4" w:space="0" w:color="auto"/>
              <w:left w:val="single" w:sz="4" w:space="0" w:color="auto"/>
            </w:tcBorders>
            <w:shd w:val="clear" w:color="auto" w:fill="FFFFFF"/>
          </w:tcPr>
          <w:p w14:paraId="38AF8A3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701" w:type="dxa"/>
            <w:tcBorders>
              <w:top w:val="single" w:sz="4" w:space="0" w:color="auto"/>
              <w:left w:val="single" w:sz="4" w:space="0" w:color="auto"/>
            </w:tcBorders>
            <w:shd w:val="clear" w:color="auto" w:fill="FFFFFF"/>
          </w:tcPr>
          <w:p w14:paraId="415717E8"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Ներմուծման ուղին</w:t>
            </w:r>
          </w:p>
        </w:tc>
        <w:tc>
          <w:tcPr>
            <w:tcW w:w="1985" w:type="dxa"/>
            <w:tcBorders>
              <w:top w:val="single" w:sz="4" w:space="0" w:color="auto"/>
              <w:left w:val="single" w:sz="4" w:space="0" w:color="auto"/>
            </w:tcBorders>
            <w:shd w:val="clear" w:color="auto" w:fill="FFFFFF"/>
          </w:tcPr>
          <w:p w14:paraId="453CFFA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35" w:type="dxa"/>
            <w:tcBorders>
              <w:top w:val="single" w:sz="4" w:space="0" w:color="auto"/>
              <w:left w:val="single" w:sz="4" w:space="0" w:color="auto"/>
            </w:tcBorders>
            <w:shd w:val="clear" w:color="auto" w:fill="FFFFFF"/>
          </w:tcPr>
          <w:p w14:paraId="502800AE"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lang w:val="en-US"/>
              </w:rPr>
              <w:t>t</w:t>
            </w:r>
            <w:r w:rsidRPr="00BD7577">
              <w:rPr>
                <w:rStyle w:val="Bodytext1811pt"/>
                <w:rFonts w:ascii="Sylfaen" w:hAnsi="Sylfaen"/>
                <w:sz w:val="24"/>
                <w:szCs w:val="24"/>
              </w:rPr>
              <w:t>½, el</w:t>
            </w:r>
          </w:p>
        </w:tc>
        <w:tc>
          <w:tcPr>
            <w:tcW w:w="1134" w:type="dxa"/>
            <w:tcBorders>
              <w:top w:val="single" w:sz="4" w:space="0" w:color="auto"/>
              <w:left w:val="single" w:sz="4" w:space="0" w:color="auto"/>
            </w:tcBorders>
            <w:shd w:val="clear" w:color="auto" w:fill="FFFFFF"/>
          </w:tcPr>
          <w:p w14:paraId="29AF05B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V</w:t>
            </w:r>
            <w:r w:rsidRPr="00BD7577">
              <w:rPr>
                <w:rStyle w:val="Bodytext1811pt"/>
                <w:rFonts w:ascii="Sylfaen" w:hAnsi="Sylfaen"/>
                <w:sz w:val="24"/>
                <w:szCs w:val="24"/>
                <w:vertAlign w:val="subscript"/>
              </w:rPr>
              <w:t>d</w:t>
            </w:r>
          </w:p>
        </w:tc>
        <w:tc>
          <w:tcPr>
            <w:tcW w:w="1558" w:type="dxa"/>
            <w:tcBorders>
              <w:top w:val="single" w:sz="4" w:space="0" w:color="auto"/>
              <w:left w:val="single" w:sz="4" w:space="0" w:color="auto"/>
            </w:tcBorders>
            <w:shd w:val="clear" w:color="auto" w:fill="FFFFFF"/>
          </w:tcPr>
          <w:p w14:paraId="3A7A92D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Cl</w:t>
            </w:r>
            <w:r w:rsidRPr="00BD7577">
              <w:rPr>
                <w:rStyle w:val="Bodytext1811pt"/>
                <w:rFonts w:ascii="Sylfaen" w:hAnsi="Sylfaen"/>
                <w:sz w:val="24"/>
                <w:szCs w:val="24"/>
                <w:vertAlign w:val="subscript"/>
              </w:rPr>
              <w:t>t</w:t>
            </w:r>
          </w:p>
        </w:tc>
        <w:tc>
          <w:tcPr>
            <w:tcW w:w="1200" w:type="dxa"/>
            <w:tcBorders>
              <w:top w:val="single" w:sz="4" w:space="0" w:color="auto"/>
              <w:left w:val="single" w:sz="4" w:space="0" w:color="auto"/>
              <w:right w:val="single" w:sz="4" w:space="0" w:color="auto"/>
            </w:tcBorders>
            <w:shd w:val="clear" w:color="auto" w:fill="FFFFFF"/>
          </w:tcPr>
          <w:p w14:paraId="0B605B1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F (%)</w:t>
            </w:r>
          </w:p>
        </w:tc>
      </w:tr>
      <w:tr w:rsidR="008C76E0" w:rsidRPr="00BD7577" w14:paraId="5C5CE4A3" w14:textId="77777777" w:rsidTr="008C76E0">
        <w:tc>
          <w:tcPr>
            <w:tcW w:w="10783" w:type="dxa"/>
            <w:gridSpan w:val="7"/>
            <w:tcBorders>
              <w:top w:val="single" w:sz="4" w:space="0" w:color="auto"/>
            </w:tcBorders>
            <w:shd w:val="clear" w:color="auto" w:fill="FFFFFF"/>
          </w:tcPr>
          <w:p w14:paraId="6E58D9B5"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A</w:t>
            </w:r>
          </w:p>
          <w:p w14:paraId="61A4F24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1811pt"/>
                <w:rFonts w:ascii="Sylfaen" w:hAnsi="Sylfaen"/>
                <w:sz w:val="24"/>
                <w:szCs w:val="24"/>
              </w:rPr>
              <w:t>B</w:t>
            </w:r>
          </w:p>
        </w:tc>
        <w:tc>
          <w:tcPr>
            <w:tcW w:w="1134" w:type="dxa"/>
            <w:tcBorders>
              <w:top w:val="single" w:sz="4" w:space="0" w:color="auto"/>
            </w:tcBorders>
            <w:shd w:val="clear" w:color="auto" w:fill="FFFFFF"/>
          </w:tcPr>
          <w:p w14:paraId="0FEEB169"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tcBorders>
            <w:shd w:val="clear" w:color="auto" w:fill="FFFFFF"/>
          </w:tcPr>
          <w:p w14:paraId="5318BE0B"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tcBorders>
            <w:shd w:val="clear" w:color="auto" w:fill="FFFFFF"/>
          </w:tcPr>
          <w:p w14:paraId="773F8EF9"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9843AFC" w14:textId="77777777" w:rsidTr="008C76E0">
        <w:tc>
          <w:tcPr>
            <w:tcW w:w="10783" w:type="dxa"/>
            <w:gridSpan w:val="7"/>
            <w:tcBorders>
              <w:top w:val="single" w:sz="4" w:space="0" w:color="auto"/>
              <w:bottom w:val="single" w:sz="4" w:space="0" w:color="auto"/>
            </w:tcBorders>
            <w:shd w:val="clear" w:color="auto" w:fill="FFFFFF"/>
            <w:vAlign w:val="bottom"/>
          </w:tcPr>
          <w:p w14:paraId="72BC168E" w14:textId="77777777" w:rsidR="008C76E0" w:rsidRPr="00BD7577" w:rsidRDefault="008C76E0" w:rsidP="008C76E0">
            <w:pPr>
              <w:pStyle w:val="Bodytext180"/>
              <w:shd w:val="clear" w:color="auto" w:fill="auto"/>
              <w:tabs>
                <w:tab w:val="left" w:pos="2977"/>
              </w:tabs>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 xml:space="preserve">Ծանոթագրություններ ա) </w:t>
            </w:r>
          </w:p>
          <w:p w14:paraId="34BA4185" w14:textId="77777777" w:rsidR="008C76E0" w:rsidRPr="00BD7577" w:rsidRDefault="008C76E0" w:rsidP="008C76E0">
            <w:pPr>
              <w:pStyle w:val="Bodytext180"/>
              <w:shd w:val="clear" w:color="auto" w:fill="auto"/>
              <w:spacing w:before="0" w:after="120" w:line="240" w:lineRule="auto"/>
              <w:ind w:left="142" w:right="8070" w:firstLine="0"/>
              <w:jc w:val="right"/>
              <w:rPr>
                <w:rFonts w:ascii="Sylfaen" w:hAnsi="Sylfaen"/>
                <w:b w:val="0"/>
                <w:sz w:val="24"/>
                <w:szCs w:val="24"/>
              </w:rPr>
            </w:pPr>
            <w:r w:rsidRPr="00BD7577">
              <w:rPr>
                <w:rStyle w:val="Bodytext1811pt"/>
                <w:rFonts w:ascii="Sylfaen" w:hAnsi="Sylfaen"/>
                <w:sz w:val="24"/>
                <w:szCs w:val="24"/>
              </w:rPr>
              <w:t>բ)</w:t>
            </w:r>
          </w:p>
        </w:tc>
        <w:tc>
          <w:tcPr>
            <w:tcW w:w="1134" w:type="dxa"/>
            <w:tcBorders>
              <w:top w:val="single" w:sz="4" w:space="0" w:color="auto"/>
              <w:bottom w:val="single" w:sz="4" w:space="0" w:color="auto"/>
            </w:tcBorders>
            <w:shd w:val="clear" w:color="auto" w:fill="FFFFFF"/>
          </w:tcPr>
          <w:p w14:paraId="68704F93" w14:textId="77777777" w:rsidR="008C76E0" w:rsidRPr="00BD7577" w:rsidRDefault="008C76E0" w:rsidP="008C76E0">
            <w:pPr>
              <w:spacing w:after="120" w:line="240" w:lineRule="auto"/>
              <w:ind w:left="142"/>
              <w:rPr>
                <w:rFonts w:ascii="Sylfaen" w:hAnsi="Sylfaen"/>
                <w:sz w:val="24"/>
                <w:szCs w:val="24"/>
              </w:rPr>
            </w:pPr>
          </w:p>
        </w:tc>
        <w:tc>
          <w:tcPr>
            <w:tcW w:w="1558" w:type="dxa"/>
            <w:tcBorders>
              <w:top w:val="single" w:sz="4" w:space="0" w:color="auto"/>
              <w:bottom w:val="single" w:sz="4" w:space="0" w:color="auto"/>
            </w:tcBorders>
            <w:shd w:val="clear" w:color="auto" w:fill="FFFFFF"/>
          </w:tcPr>
          <w:p w14:paraId="37A9A673" w14:textId="77777777" w:rsidR="008C76E0" w:rsidRPr="00BD7577" w:rsidRDefault="008C76E0" w:rsidP="008C76E0">
            <w:pPr>
              <w:spacing w:after="120" w:line="240" w:lineRule="auto"/>
              <w:ind w:left="142"/>
              <w:rPr>
                <w:rFonts w:ascii="Sylfaen" w:hAnsi="Sylfaen"/>
                <w:sz w:val="24"/>
                <w:szCs w:val="24"/>
              </w:rPr>
            </w:pPr>
          </w:p>
        </w:tc>
        <w:tc>
          <w:tcPr>
            <w:tcW w:w="1200" w:type="dxa"/>
            <w:tcBorders>
              <w:top w:val="single" w:sz="4" w:space="0" w:color="auto"/>
              <w:bottom w:val="single" w:sz="4" w:space="0" w:color="auto"/>
            </w:tcBorders>
            <w:shd w:val="clear" w:color="auto" w:fill="FFFFFF"/>
          </w:tcPr>
          <w:p w14:paraId="026360C6" w14:textId="77777777" w:rsidR="008C76E0" w:rsidRPr="00BD7577" w:rsidRDefault="008C76E0" w:rsidP="008C76E0">
            <w:pPr>
              <w:spacing w:after="120" w:line="240" w:lineRule="auto"/>
              <w:ind w:left="142"/>
              <w:rPr>
                <w:rFonts w:ascii="Sylfaen" w:hAnsi="Sylfaen"/>
                <w:sz w:val="24"/>
                <w:szCs w:val="24"/>
              </w:rPr>
            </w:pPr>
          </w:p>
        </w:tc>
      </w:tr>
    </w:tbl>
    <w:p w14:paraId="20D7B216" w14:textId="77777777" w:rsidR="008C76E0" w:rsidRPr="00BD7577" w:rsidRDefault="008C76E0" w:rsidP="008C76E0">
      <w:pPr>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2ADFB4F7"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0DD7CCFD" w14:textId="77777777" w:rsidR="008C76E0" w:rsidRPr="00BD7577" w:rsidRDefault="008C76E0" w:rsidP="008C76E0">
            <w:pPr>
              <w:pStyle w:val="Bodytext180"/>
              <w:shd w:val="clear" w:color="auto" w:fill="auto"/>
              <w:tabs>
                <w:tab w:val="left" w:pos="1134"/>
              </w:tabs>
              <w:spacing w:before="0" w:after="160" w:line="360" w:lineRule="auto"/>
              <w:ind w:firstLine="0"/>
              <w:rPr>
                <w:rFonts w:ascii="Sylfaen" w:hAnsi="Sylfaen"/>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0FDCB0F" w14:textId="77777777" w:rsidTr="008C76E0">
        <w:trPr>
          <w:cantSplit/>
        </w:trPr>
        <w:tc>
          <w:tcPr>
            <w:tcW w:w="14691" w:type="dxa"/>
            <w:tcBorders>
              <w:top w:val="single" w:sz="4" w:space="0" w:color="auto"/>
            </w:tcBorders>
            <w:shd w:val="clear" w:color="auto" w:fill="FFFFFF"/>
          </w:tcPr>
          <w:p w14:paraId="632E4444"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Բաշխումը:</w:t>
            </w:r>
          </w:p>
        </w:tc>
      </w:tr>
    </w:tbl>
    <w:p w14:paraId="2363B693"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4F57E9AE"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435FDAC1"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9D0337" w14:textId="77777777" w:rsidTr="008C76E0">
        <w:trPr>
          <w:cantSplit/>
        </w:trPr>
        <w:tc>
          <w:tcPr>
            <w:tcW w:w="14691" w:type="dxa"/>
            <w:tcBorders>
              <w:top w:val="single" w:sz="4" w:space="0" w:color="auto"/>
            </w:tcBorders>
            <w:shd w:val="clear" w:color="auto" w:fill="FFFFFF"/>
          </w:tcPr>
          <w:p w14:paraId="7AAC85FC"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Նյութափոխանակություն:</w:t>
            </w:r>
          </w:p>
        </w:tc>
      </w:tr>
    </w:tbl>
    <w:p w14:paraId="6D9139C2" w14:textId="77777777" w:rsidR="008C76E0" w:rsidRPr="00BD7577" w:rsidRDefault="008C76E0" w:rsidP="008C76E0">
      <w:pPr>
        <w:tabs>
          <w:tab w:val="left" w:pos="1134"/>
        </w:tabs>
        <w:ind w:firstLine="567"/>
        <w:rPr>
          <w:rFonts w:ascii="Sylfaen" w:hAnsi="Sylfaen"/>
          <w:sz w:val="24"/>
          <w:szCs w:val="24"/>
        </w:rPr>
      </w:pPr>
    </w:p>
    <w:tbl>
      <w:tblPr>
        <w:tblOverlap w:val="never"/>
        <w:tblW w:w="14691" w:type="dxa"/>
        <w:tblLayout w:type="fixed"/>
        <w:tblCellMar>
          <w:left w:w="10" w:type="dxa"/>
          <w:right w:w="10" w:type="dxa"/>
        </w:tblCellMar>
        <w:tblLook w:val="04A0" w:firstRow="1" w:lastRow="0" w:firstColumn="1" w:lastColumn="0" w:noHBand="0" w:noVBand="1"/>
      </w:tblPr>
      <w:tblGrid>
        <w:gridCol w:w="14691"/>
      </w:tblGrid>
      <w:tr w:rsidR="008C76E0" w:rsidRPr="00BD7577" w14:paraId="7939BDCA" w14:textId="77777777" w:rsidTr="008C76E0">
        <w:trPr>
          <w:cantSplit/>
        </w:trPr>
        <w:tc>
          <w:tcPr>
            <w:tcW w:w="14691" w:type="dxa"/>
            <w:tcBorders>
              <w:top w:val="single" w:sz="4" w:space="0" w:color="auto"/>
              <w:left w:val="single" w:sz="4" w:space="0" w:color="auto"/>
              <w:right w:val="single" w:sz="4" w:space="0" w:color="auto"/>
            </w:tcBorders>
            <w:shd w:val="clear" w:color="auto" w:fill="FFFFFF"/>
          </w:tcPr>
          <w:p w14:paraId="7761AD14" w14:textId="77777777" w:rsidR="008C76E0" w:rsidRPr="00BD7577" w:rsidRDefault="008C76E0" w:rsidP="008C76E0">
            <w:pPr>
              <w:pStyle w:val="Bodytext180"/>
              <w:shd w:val="clear" w:color="auto" w:fill="auto"/>
              <w:tabs>
                <w:tab w:val="left" w:pos="1134"/>
              </w:tabs>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8AFB9F6" w14:textId="77777777" w:rsidTr="008C76E0">
        <w:trPr>
          <w:cantSplit/>
        </w:trPr>
        <w:tc>
          <w:tcPr>
            <w:tcW w:w="14691" w:type="dxa"/>
            <w:tcBorders>
              <w:top w:val="single" w:sz="4" w:space="0" w:color="auto"/>
            </w:tcBorders>
            <w:shd w:val="clear" w:color="auto" w:fill="FFFFFF"/>
            <w:vAlign w:val="center"/>
          </w:tcPr>
          <w:p w14:paraId="3732F362" w14:textId="77777777" w:rsidR="008C76E0" w:rsidRPr="00BD7577" w:rsidRDefault="008C76E0" w:rsidP="008C76E0">
            <w:pPr>
              <w:pStyle w:val="Bodytext180"/>
              <w:shd w:val="clear" w:color="auto" w:fill="auto"/>
              <w:tabs>
                <w:tab w:val="left" w:pos="1134"/>
                <w:tab w:val="left" w:pos="161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3.5.</w:t>
            </w:r>
            <w:r w:rsidRPr="00BD7577">
              <w:rPr>
                <w:rStyle w:val="Bodytext295pt"/>
                <w:rFonts w:ascii="Sylfaen" w:hAnsi="Sylfaen"/>
                <w:spacing w:val="0"/>
                <w:sz w:val="24"/>
                <w:szCs w:val="24"/>
              </w:rPr>
              <w:tab/>
              <w:t>Դուրսբերում:</w:t>
            </w:r>
          </w:p>
        </w:tc>
      </w:tr>
    </w:tbl>
    <w:p w14:paraId="487DF785" w14:textId="77777777" w:rsidR="008C76E0" w:rsidRPr="00BD7577" w:rsidRDefault="008C76E0" w:rsidP="008C76E0">
      <w:pPr>
        <w:rPr>
          <w:rFonts w:ascii="Sylfaen" w:hAnsi="Sylfaen"/>
          <w:sz w:val="24"/>
          <w:szCs w:val="24"/>
        </w:rPr>
      </w:pPr>
    </w:p>
    <w:tbl>
      <w:tblPr>
        <w:tblOverlap w:val="never"/>
        <w:tblW w:w="15092" w:type="dxa"/>
        <w:tblLayout w:type="fixed"/>
        <w:tblCellMar>
          <w:left w:w="10" w:type="dxa"/>
          <w:right w:w="10" w:type="dxa"/>
        </w:tblCellMar>
        <w:tblLook w:val="04A0" w:firstRow="1" w:lastRow="0" w:firstColumn="1" w:lastColumn="0" w:noHBand="0" w:noVBand="1"/>
      </w:tblPr>
      <w:tblGrid>
        <w:gridCol w:w="1901"/>
        <w:gridCol w:w="1262"/>
        <w:gridCol w:w="1382"/>
        <w:gridCol w:w="1258"/>
        <w:gridCol w:w="1944"/>
        <w:gridCol w:w="1262"/>
        <w:gridCol w:w="1238"/>
        <w:gridCol w:w="1262"/>
        <w:gridCol w:w="1742"/>
        <w:gridCol w:w="1360"/>
        <w:gridCol w:w="481"/>
      </w:tblGrid>
      <w:tr w:rsidR="008C76E0" w:rsidRPr="00BD7577" w14:paraId="4F91712F" w14:textId="77777777" w:rsidTr="008C76E0">
        <w:trPr>
          <w:cantSplit/>
        </w:trPr>
        <w:tc>
          <w:tcPr>
            <w:tcW w:w="1901" w:type="dxa"/>
            <w:tcBorders>
              <w:top w:val="single" w:sz="4" w:space="0" w:color="auto"/>
              <w:left w:val="single" w:sz="4" w:space="0" w:color="auto"/>
            </w:tcBorders>
            <w:shd w:val="clear" w:color="auto" w:fill="FFFFFF"/>
          </w:tcPr>
          <w:p w14:paraId="238D8B66"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lastRenderedPageBreak/>
              <w:t>Տեսակները</w:t>
            </w:r>
          </w:p>
        </w:tc>
        <w:tc>
          <w:tcPr>
            <w:tcW w:w="1262" w:type="dxa"/>
            <w:tcBorders>
              <w:top w:val="single" w:sz="4" w:space="0" w:color="auto"/>
              <w:left w:val="single" w:sz="4" w:space="0" w:color="auto"/>
            </w:tcBorders>
            <w:shd w:val="clear" w:color="auto" w:fill="FFFFFF"/>
          </w:tcPr>
          <w:p w14:paraId="082998FB"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N</w:t>
            </w:r>
          </w:p>
        </w:tc>
        <w:tc>
          <w:tcPr>
            <w:tcW w:w="1382" w:type="dxa"/>
            <w:tcBorders>
              <w:top w:val="single" w:sz="4" w:space="0" w:color="auto"/>
              <w:left w:val="single" w:sz="4" w:space="0" w:color="auto"/>
            </w:tcBorders>
            <w:shd w:val="clear" w:color="auto" w:fill="FFFFFF"/>
          </w:tcPr>
          <w:p w14:paraId="3EDE8F41"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Դոզա (մգ/կգ)</w:t>
            </w:r>
          </w:p>
        </w:tc>
        <w:tc>
          <w:tcPr>
            <w:tcW w:w="1258" w:type="dxa"/>
            <w:tcBorders>
              <w:top w:val="single" w:sz="4" w:space="0" w:color="auto"/>
              <w:left w:val="single" w:sz="4" w:space="0" w:color="auto"/>
            </w:tcBorders>
            <w:shd w:val="clear" w:color="auto" w:fill="FFFFFF"/>
          </w:tcPr>
          <w:p w14:paraId="7B2A81A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Ուղին</w:t>
            </w:r>
          </w:p>
        </w:tc>
        <w:tc>
          <w:tcPr>
            <w:tcW w:w="1944" w:type="dxa"/>
            <w:tcBorders>
              <w:top w:val="single" w:sz="4" w:space="0" w:color="auto"/>
              <w:left w:val="single" w:sz="4" w:space="0" w:color="auto"/>
            </w:tcBorders>
            <w:shd w:val="clear" w:color="auto" w:fill="FFFFFF"/>
          </w:tcPr>
          <w:p w14:paraId="28BE04F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Վերլուծության եղանակը</w:t>
            </w:r>
          </w:p>
        </w:tc>
        <w:tc>
          <w:tcPr>
            <w:tcW w:w="1262" w:type="dxa"/>
            <w:tcBorders>
              <w:top w:val="single" w:sz="4" w:space="0" w:color="auto"/>
              <w:left w:val="single" w:sz="4" w:space="0" w:color="auto"/>
            </w:tcBorders>
            <w:shd w:val="clear" w:color="auto" w:fill="FFFFFF"/>
          </w:tcPr>
          <w:p w14:paraId="1CD080D2"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Մեզ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38" w:type="dxa"/>
            <w:tcBorders>
              <w:top w:val="single" w:sz="4" w:space="0" w:color="auto"/>
              <w:left w:val="single" w:sz="4" w:space="0" w:color="auto"/>
            </w:tcBorders>
            <w:shd w:val="clear" w:color="auto" w:fill="FFFFFF"/>
          </w:tcPr>
          <w:p w14:paraId="05EAC804"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Կեղտ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262" w:type="dxa"/>
            <w:tcBorders>
              <w:top w:val="single" w:sz="4" w:space="0" w:color="auto"/>
              <w:left w:val="single" w:sz="4" w:space="0" w:color="auto"/>
            </w:tcBorders>
            <w:shd w:val="clear" w:color="auto" w:fill="FFFFFF"/>
          </w:tcPr>
          <w:p w14:paraId="1B07FF1F"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 xml:space="preserve">Լեղի </w:t>
            </w:r>
            <w:r>
              <w:rPr>
                <w:rStyle w:val="Bodytext1811pt"/>
                <w:rFonts w:ascii="Sylfaen" w:hAnsi="Sylfaen"/>
                <w:sz w:val="24"/>
                <w:szCs w:val="24"/>
                <w:lang w:val="en-US"/>
              </w:rPr>
              <w:br/>
            </w:r>
            <w:r w:rsidRPr="00BD7577">
              <w:rPr>
                <w:rStyle w:val="Bodytext1811pt"/>
                <w:rFonts w:ascii="Sylfaen" w:hAnsi="Sylfaen"/>
                <w:sz w:val="24"/>
                <w:szCs w:val="24"/>
              </w:rPr>
              <w:t>(% դոզա)</w:t>
            </w:r>
          </w:p>
        </w:tc>
        <w:tc>
          <w:tcPr>
            <w:tcW w:w="1742" w:type="dxa"/>
            <w:tcBorders>
              <w:top w:val="single" w:sz="4" w:space="0" w:color="auto"/>
              <w:left w:val="single" w:sz="4" w:space="0" w:color="auto"/>
            </w:tcBorders>
            <w:shd w:val="clear" w:color="auto" w:fill="FFFFFF"/>
          </w:tcPr>
          <w:p w14:paraId="1CD30E8C"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Անփոփոխ ԴՄ (% դոզա)</w:t>
            </w:r>
          </w:p>
        </w:tc>
        <w:tc>
          <w:tcPr>
            <w:tcW w:w="1360" w:type="dxa"/>
            <w:tcBorders>
              <w:top w:val="single" w:sz="4" w:space="0" w:color="auto"/>
              <w:left w:val="single" w:sz="4" w:space="0" w:color="auto"/>
            </w:tcBorders>
            <w:shd w:val="clear" w:color="auto" w:fill="FFFFFF"/>
          </w:tcPr>
          <w:p w14:paraId="67E1D2DE" w14:textId="77777777" w:rsidR="008C76E0" w:rsidRPr="00BD7577" w:rsidRDefault="008C76E0" w:rsidP="008C76E0">
            <w:pPr>
              <w:pStyle w:val="Bodytext180"/>
              <w:shd w:val="clear" w:color="auto" w:fill="auto"/>
              <w:spacing w:before="0" w:after="160" w:line="360" w:lineRule="auto"/>
              <w:ind w:left="142" w:firstLine="0"/>
              <w:rPr>
                <w:rFonts w:ascii="Sylfaen" w:hAnsi="Sylfaen"/>
                <w:b w:val="0"/>
                <w:sz w:val="24"/>
                <w:szCs w:val="24"/>
              </w:rPr>
            </w:pPr>
            <w:r w:rsidRPr="00BD7577">
              <w:rPr>
                <w:rStyle w:val="Bodytext1811pt"/>
                <w:rFonts w:ascii="Sylfaen" w:hAnsi="Sylfaen"/>
                <w:sz w:val="24"/>
                <w:szCs w:val="24"/>
              </w:rPr>
              <w:t>Ժամանակ (ժամ)</w:t>
            </w:r>
          </w:p>
        </w:tc>
        <w:tc>
          <w:tcPr>
            <w:tcW w:w="481" w:type="dxa"/>
            <w:tcBorders>
              <w:left w:val="single" w:sz="4" w:space="0" w:color="auto"/>
            </w:tcBorders>
            <w:shd w:val="clear" w:color="auto" w:fill="FFFFFF"/>
          </w:tcPr>
          <w:p w14:paraId="5D638FD3" w14:textId="77777777" w:rsidR="008C76E0" w:rsidRPr="00BD7577" w:rsidRDefault="008C76E0" w:rsidP="008C76E0">
            <w:pPr>
              <w:rPr>
                <w:rFonts w:ascii="Sylfaen" w:hAnsi="Sylfaen"/>
                <w:sz w:val="24"/>
                <w:szCs w:val="24"/>
              </w:rPr>
            </w:pPr>
          </w:p>
        </w:tc>
      </w:tr>
      <w:tr w:rsidR="008C76E0" w:rsidRPr="00BD7577" w14:paraId="7D2473DB" w14:textId="77777777" w:rsidTr="008C76E0">
        <w:trPr>
          <w:cantSplit/>
        </w:trPr>
        <w:tc>
          <w:tcPr>
            <w:tcW w:w="3163" w:type="dxa"/>
            <w:gridSpan w:val="2"/>
            <w:tcBorders>
              <w:top w:val="single" w:sz="4" w:space="0" w:color="auto"/>
            </w:tcBorders>
            <w:shd w:val="clear" w:color="auto" w:fill="FFFFFF"/>
          </w:tcPr>
          <w:p w14:paraId="19B0089F"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1147687F"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7B809478"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0ECCB29D"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5DECDD9E"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2FED3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38" w:type="dxa"/>
            <w:tcBorders>
              <w:top w:val="single" w:sz="4" w:space="0" w:color="auto"/>
            </w:tcBorders>
            <w:shd w:val="clear" w:color="auto" w:fill="FFFFFF"/>
          </w:tcPr>
          <w:p w14:paraId="64F7A0C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0AE0378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262" w:type="dxa"/>
            <w:tcBorders>
              <w:top w:val="single" w:sz="4" w:space="0" w:color="auto"/>
            </w:tcBorders>
            <w:shd w:val="clear" w:color="auto" w:fill="FFFFFF"/>
          </w:tcPr>
          <w:p w14:paraId="56BE2CB3"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58C5AA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742" w:type="dxa"/>
            <w:tcBorders>
              <w:top w:val="single" w:sz="4" w:space="0" w:color="auto"/>
            </w:tcBorders>
            <w:shd w:val="clear" w:color="auto" w:fill="FFFFFF"/>
          </w:tcPr>
          <w:p w14:paraId="3239BAD4"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6BC1343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1360" w:type="dxa"/>
            <w:tcBorders>
              <w:top w:val="single" w:sz="4" w:space="0" w:color="auto"/>
            </w:tcBorders>
            <w:shd w:val="clear" w:color="auto" w:fill="FFFFFF"/>
          </w:tcPr>
          <w:p w14:paraId="6DFD6D69" w14:textId="77777777" w:rsidR="008C76E0" w:rsidRPr="00BD7577" w:rsidRDefault="008C76E0" w:rsidP="008C76E0">
            <w:pPr>
              <w:pStyle w:val="Bodytext180"/>
              <w:shd w:val="clear" w:color="auto" w:fill="auto"/>
              <w:spacing w:before="0" w:after="160" w:line="360"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w:t>
            </w:r>
          </w:p>
          <w:p w14:paraId="2E5B34F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w:t>
            </w:r>
          </w:p>
        </w:tc>
        <w:tc>
          <w:tcPr>
            <w:tcW w:w="481" w:type="dxa"/>
            <w:shd w:val="clear" w:color="auto" w:fill="FFFFFF"/>
          </w:tcPr>
          <w:p w14:paraId="7C0C40F2" w14:textId="77777777" w:rsidR="008C76E0" w:rsidRPr="00BD7577" w:rsidRDefault="008C76E0" w:rsidP="008C76E0">
            <w:pPr>
              <w:rPr>
                <w:rFonts w:ascii="Sylfaen" w:hAnsi="Sylfaen"/>
                <w:sz w:val="24"/>
                <w:szCs w:val="24"/>
              </w:rPr>
            </w:pPr>
          </w:p>
        </w:tc>
      </w:tr>
      <w:tr w:rsidR="008C76E0" w:rsidRPr="00BD7577" w14:paraId="26F97C20" w14:textId="77777777" w:rsidTr="008C76E0">
        <w:trPr>
          <w:cantSplit/>
        </w:trPr>
        <w:tc>
          <w:tcPr>
            <w:tcW w:w="3163" w:type="dxa"/>
            <w:gridSpan w:val="2"/>
            <w:tcBorders>
              <w:top w:val="single" w:sz="4" w:space="0" w:color="auto"/>
            </w:tcBorders>
            <w:shd w:val="clear" w:color="auto" w:fill="FFFFFF"/>
          </w:tcPr>
          <w:p w14:paraId="7A7D80C8" w14:textId="77777777" w:rsidR="008C76E0" w:rsidRPr="00BD7577" w:rsidRDefault="008C76E0" w:rsidP="008C76E0">
            <w:pPr>
              <w:rPr>
                <w:rFonts w:ascii="Sylfaen" w:hAnsi="Sylfaen"/>
                <w:sz w:val="24"/>
                <w:szCs w:val="24"/>
              </w:rPr>
            </w:pPr>
          </w:p>
        </w:tc>
        <w:tc>
          <w:tcPr>
            <w:tcW w:w="1382" w:type="dxa"/>
            <w:tcBorders>
              <w:top w:val="single" w:sz="4" w:space="0" w:color="auto"/>
            </w:tcBorders>
            <w:shd w:val="clear" w:color="auto" w:fill="FFFFFF"/>
          </w:tcPr>
          <w:p w14:paraId="3BC26BF9" w14:textId="77777777" w:rsidR="008C76E0" w:rsidRPr="00BD7577" w:rsidRDefault="008C76E0" w:rsidP="008C76E0">
            <w:pPr>
              <w:rPr>
                <w:rFonts w:ascii="Sylfaen" w:hAnsi="Sylfaen"/>
                <w:sz w:val="24"/>
                <w:szCs w:val="24"/>
              </w:rPr>
            </w:pPr>
          </w:p>
        </w:tc>
        <w:tc>
          <w:tcPr>
            <w:tcW w:w="1258" w:type="dxa"/>
            <w:tcBorders>
              <w:top w:val="single" w:sz="4" w:space="0" w:color="auto"/>
            </w:tcBorders>
            <w:shd w:val="clear" w:color="auto" w:fill="FFFFFF"/>
          </w:tcPr>
          <w:p w14:paraId="2CB4F7EA" w14:textId="77777777" w:rsidR="008C76E0" w:rsidRPr="00BD7577" w:rsidRDefault="008C76E0" w:rsidP="008C76E0">
            <w:pPr>
              <w:rPr>
                <w:rFonts w:ascii="Sylfaen" w:hAnsi="Sylfaen"/>
                <w:sz w:val="24"/>
                <w:szCs w:val="24"/>
              </w:rPr>
            </w:pPr>
          </w:p>
        </w:tc>
        <w:tc>
          <w:tcPr>
            <w:tcW w:w="1944" w:type="dxa"/>
            <w:tcBorders>
              <w:top w:val="single" w:sz="4" w:space="0" w:color="auto"/>
            </w:tcBorders>
            <w:shd w:val="clear" w:color="auto" w:fill="FFFFFF"/>
          </w:tcPr>
          <w:p w14:paraId="35979849"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13B9FEEA" w14:textId="77777777" w:rsidR="008C76E0" w:rsidRPr="00BD7577" w:rsidRDefault="008C76E0" w:rsidP="008C76E0">
            <w:pPr>
              <w:rPr>
                <w:rFonts w:ascii="Sylfaen" w:hAnsi="Sylfaen"/>
                <w:sz w:val="24"/>
                <w:szCs w:val="24"/>
              </w:rPr>
            </w:pPr>
          </w:p>
        </w:tc>
        <w:tc>
          <w:tcPr>
            <w:tcW w:w="1238" w:type="dxa"/>
            <w:tcBorders>
              <w:top w:val="single" w:sz="4" w:space="0" w:color="auto"/>
            </w:tcBorders>
            <w:shd w:val="clear" w:color="auto" w:fill="FFFFFF"/>
          </w:tcPr>
          <w:p w14:paraId="61751B0A" w14:textId="77777777" w:rsidR="008C76E0" w:rsidRPr="00BD7577" w:rsidRDefault="008C76E0" w:rsidP="008C76E0">
            <w:pPr>
              <w:rPr>
                <w:rFonts w:ascii="Sylfaen" w:hAnsi="Sylfaen"/>
                <w:sz w:val="24"/>
                <w:szCs w:val="24"/>
              </w:rPr>
            </w:pPr>
          </w:p>
        </w:tc>
        <w:tc>
          <w:tcPr>
            <w:tcW w:w="1262" w:type="dxa"/>
            <w:tcBorders>
              <w:top w:val="single" w:sz="4" w:space="0" w:color="auto"/>
            </w:tcBorders>
            <w:shd w:val="clear" w:color="auto" w:fill="FFFFFF"/>
          </w:tcPr>
          <w:p w14:paraId="649B4C23" w14:textId="77777777" w:rsidR="008C76E0" w:rsidRPr="00BD7577" w:rsidRDefault="008C76E0" w:rsidP="008C76E0">
            <w:pPr>
              <w:rPr>
                <w:rFonts w:ascii="Sylfaen" w:hAnsi="Sylfaen"/>
                <w:sz w:val="24"/>
                <w:szCs w:val="24"/>
              </w:rPr>
            </w:pPr>
          </w:p>
        </w:tc>
        <w:tc>
          <w:tcPr>
            <w:tcW w:w="1742" w:type="dxa"/>
            <w:tcBorders>
              <w:top w:val="single" w:sz="4" w:space="0" w:color="auto"/>
            </w:tcBorders>
            <w:shd w:val="clear" w:color="auto" w:fill="FFFFFF"/>
          </w:tcPr>
          <w:p w14:paraId="34C4BE12" w14:textId="77777777" w:rsidR="008C76E0" w:rsidRPr="00BD7577" w:rsidRDefault="008C76E0" w:rsidP="008C76E0">
            <w:pPr>
              <w:rPr>
                <w:rFonts w:ascii="Sylfaen" w:hAnsi="Sylfaen"/>
                <w:sz w:val="24"/>
                <w:szCs w:val="24"/>
              </w:rPr>
            </w:pPr>
          </w:p>
        </w:tc>
        <w:tc>
          <w:tcPr>
            <w:tcW w:w="1360" w:type="dxa"/>
            <w:tcBorders>
              <w:top w:val="single" w:sz="4" w:space="0" w:color="auto"/>
            </w:tcBorders>
            <w:shd w:val="clear" w:color="auto" w:fill="FFFFFF"/>
          </w:tcPr>
          <w:p w14:paraId="7ABC8CD5" w14:textId="77777777" w:rsidR="008C76E0" w:rsidRPr="00BD7577" w:rsidRDefault="008C76E0" w:rsidP="008C76E0">
            <w:pPr>
              <w:rPr>
                <w:rFonts w:ascii="Sylfaen" w:hAnsi="Sylfaen"/>
                <w:sz w:val="24"/>
                <w:szCs w:val="24"/>
              </w:rPr>
            </w:pPr>
          </w:p>
        </w:tc>
        <w:tc>
          <w:tcPr>
            <w:tcW w:w="481" w:type="dxa"/>
            <w:shd w:val="clear" w:color="auto" w:fill="FFFFFF"/>
          </w:tcPr>
          <w:p w14:paraId="2E73AE7B" w14:textId="77777777" w:rsidR="008C76E0" w:rsidRPr="00BD7577" w:rsidRDefault="008C76E0" w:rsidP="008C76E0">
            <w:pPr>
              <w:rPr>
                <w:rFonts w:ascii="Sylfaen" w:hAnsi="Sylfaen"/>
                <w:sz w:val="24"/>
                <w:szCs w:val="24"/>
              </w:rPr>
            </w:pPr>
          </w:p>
        </w:tc>
      </w:tr>
    </w:tbl>
    <w:p w14:paraId="4C1BB07D"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ACD5DBB" w14:textId="77777777" w:rsidTr="008C76E0">
        <w:tc>
          <w:tcPr>
            <w:tcW w:w="14693" w:type="dxa"/>
            <w:tcBorders>
              <w:top w:val="single" w:sz="4" w:space="0" w:color="auto"/>
              <w:left w:val="single" w:sz="4" w:space="0" w:color="auto"/>
              <w:bottom w:val="single" w:sz="4" w:space="0" w:color="auto"/>
              <w:right w:val="single" w:sz="4" w:space="0" w:color="auto"/>
            </w:tcBorders>
            <w:shd w:val="clear" w:color="auto" w:fill="FFFFFF"/>
          </w:tcPr>
          <w:p w14:paraId="5D4E9595" w14:textId="77777777" w:rsidR="008C76E0" w:rsidRPr="00BD7577" w:rsidRDefault="008C76E0" w:rsidP="008C76E0">
            <w:pPr>
              <w:pStyle w:val="Bodytext180"/>
              <w:shd w:val="clear" w:color="auto" w:fill="auto"/>
              <w:spacing w:before="0" w:after="160" w:line="336" w:lineRule="auto"/>
              <w:ind w:firstLine="0"/>
              <w:rPr>
                <w:rStyle w:val="Bodytext295pt"/>
                <w:rFonts w:ascii="Sylfaen" w:hAnsi="Sylfaen"/>
                <w:i/>
                <w:spacing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38C220E" w14:textId="77777777" w:rsidTr="008C76E0">
        <w:tc>
          <w:tcPr>
            <w:tcW w:w="14693" w:type="dxa"/>
            <w:shd w:val="clear" w:color="auto" w:fill="FFFFFF"/>
          </w:tcPr>
          <w:p w14:paraId="2391984A" w14:textId="77777777" w:rsidR="008C76E0" w:rsidRPr="00BD7577" w:rsidRDefault="008C76E0" w:rsidP="008C76E0">
            <w:pPr>
              <w:pStyle w:val="Bodytext180"/>
              <w:shd w:val="clear" w:color="auto" w:fill="auto"/>
              <w:tabs>
                <w:tab w:val="left" w:pos="1134"/>
              </w:tabs>
              <w:spacing w:before="0" w:after="160" w:line="336" w:lineRule="auto"/>
              <w:ind w:firstLine="567"/>
              <w:rPr>
                <w:rFonts w:ascii="Sylfaen" w:hAnsi="Sylfaen"/>
                <w:b w:val="0"/>
                <w:sz w:val="24"/>
                <w:szCs w:val="24"/>
              </w:rPr>
            </w:pPr>
            <w:r>
              <w:rPr>
                <w:rStyle w:val="Bodytext295pt"/>
                <w:rFonts w:ascii="Sylfaen" w:hAnsi="Sylfaen"/>
                <w:spacing w:val="0"/>
                <w:sz w:val="24"/>
                <w:szCs w:val="24"/>
              </w:rPr>
              <w:t>3.6.</w:t>
            </w:r>
            <w:r w:rsidRPr="00BD7577">
              <w:rPr>
                <w:rStyle w:val="Bodytext295pt"/>
                <w:rFonts w:ascii="Sylfaen" w:hAnsi="Sylfaen"/>
                <w:spacing w:val="0"/>
                <w:sz w:val="24"/>
                <w:szCs w:val="24"/>
              </w:rPr>
              <w:tab/>
              <w:t>Դեղակինետիկ դեղային փոխազդեցությունները:</w:t>
            </w:r>
          </w:p>
        </w:tc>
      </w:tr>
    </w:tbl>
    <w:p w14:paraId="52033E63" w14:textId="77777777" w:rsidR="008C76E0" w:rsidRPr="00BD7577" w:rsidRDefault="008C76E0" w:rsidP="008C76E0">
      <w:pPr>
        <w:spacing w:line="336" w:lineRule="auto"/>
        <w:rPr>
          <w:rFonts w:ascii="Sylfaen" w:hAnsi="Sylfaen"/>
          <w:sz w:val="24"/>
          <w:szCs w:val="24"/>
          <w:lang w:val="en-US"/>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1EADAD2B" w14:textId="77777777" w:rsidTr="008C76E0">
        <w:tc>
          <w:tcPr>
            <w:tcW w:w="14693" w:type="dxa"/>
            <w:tcBorders>
              <w:top w:val="single" w:sz="4" w:space="0" w:color="auto"/>
              <w:left w:val="single" w:sz="4" w:space="0" w:color="auto"/>
              <w:right w:val="single" w:sz="4" w:space="0" w:color="auto"/>
            </w:tcBorders>
            <w:shd w:val="clear" w:color="auto" w:fill="FFFFFF"/>
          </w:tcPr>
          <w:p w14:paraId="617D4AD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F36419A" w14:textId="77777777" w:rsidTr="008C76E0">
        <w:tc>
          <w:tcPr>
            <w:tcW w:w="14693" w:type="dxa"/>
            <w:tcBorders>
              <w:top w:val="single" w:sz="4" w:space="0" w:color="auto"/>
            </w:tcBorders>
            <w:shd w:val="clear" w:color="auto" w:fill="FFFFFF"/>
          </w:tcPr>
          <w:p w14:paraId="07D91CE5" w14:textId="77777777" w:rsidR="008C76E0" w:rsidRPr="00BD7577" w:rsidRDefault="008C76E0" w:rsidP="008C76E0">
            <w:pPr>
              <w:pStyle w:val="Bodytext180"/>
              <w:shd w:val="clear" w:color="auto" w:fill="auto"/>
              <w:tabs>
                <w:tab w:val="left" w:pos="1155"/>
              </w:tabs>
              <w:spacing w:before="0" w:after="160" w:line="336" w:lineRule="auto"/>
              <w:ind w:firstLine="567"/>
              <w:rPr>
                <w:rFonts w:ascii="Sylfaen" w:hAnsi="Sylfaen"/>
                <w:b w:val="0"/>
                <w:sz w:val="24"/>
                <w:szCs w:val="24"/>
              </w:rPr>
            </w:pPr>
            <w:r w:rsidRPr="00BD7577">
              <w:rPr>
                <w:rStyle w:val="Bodytext295pt"/>
                <w:rFonts w:ascii="Sylfaen" w:hAnsi="Sylfaen"/>
                <w:spacing w:val="0"/>
                <w:sz w:val="24"/>
                <w:szCs w:val="24"/>
              </w:rPr>
              <w:t>3.7.</w:t>
            </w:r>
            <w:r w:rsidRPr="00BD7577">
              <w:rPr>
                <w:rStyle w:val="Bodytext295pt"/>
                <w:rFonts w:ascii="Sylfaen" w:hAnsi="Sylfaen"/>
                <w:spacing w:val="0"/>
                <w:sz w:val="24"/>
                <w:szCs w:val="24"/>
              </w:rPr>
              <w:tab/>
              <w:t>Այլ դեղակինետիկ հետազոտություններ:</w:t>
            </w:r>
          </w:p>
        </w:tc>
      </w:tr>
    </w:tbl>
    <w:p w14:paraId="4F7F8491" w14:textId="77777777" w:rsidR="008C76E0" w:rsidRPr="00BD7577" w:rsidRDefault="008C76E0" w:rsidP="008C76E0">
      <w:pPr>
        <w:spacing w:line="336" w:lineRule="auto"/>
        <w:rPr>
          <w:rFonts w:ascii="Sylfaen" w:hAnsi="Sylfaen"/>
          <w:sz w:val="24"/>
          <w:szCs w:val="24"/>
        </w:rPr>
      </w:pPr>
    </w:p>
    <w:tbl>
      <w:tblPr>
        <w:tblOverlap w:val="never"/>
        <w:tblW w:w="14693" w:type="dxa"/>
        <w:tblLayout w:type="fixed"/>
        <w:tblCellMar>
          <w:left w:w="10" w:type="dxa"/>
          <w:right w:w="10" w:type="dxa"/>
        </w:tblCellMar>
        <w:tblLook w:val="04A0" w:firstRow="1" w:lastRow="0" w:firstColumn="1" w:lastColumn="0" w:noHBand="0" w:noVBand="1"/>
      </w:tblPr>
      <w:tblGrid>
        <w:gridCol w:w="14693"/>
      </w:tblGrid>
      <w:tr w:rsidR="008C76E0" w:rsidRPr="00BD7577" w14:paraId="229194C4" w14:textId="77777777" w:rsidTr="008C76E0">
        <w:tc>
          <w:tcPr>
            <w:tcW w:w="14693" w:type="dxa"/>
            <w:tcBorders>
              <w:top w:val="single" w:sz="4" w:space="0" w:color="auto"/>
              <w:left w:val="single" w:sz="4" w:space="0" w:color="auto"/>
              <w:right w:val="single" w:sz="4" w:space="0" w:color="auto"/>
            </w:tcBorders>
            <w:shd w:val="clear" w:color="auto" w:fill="FFFFFF"/>
          </w:tcPr>
          <w:p w14:paraId="6A0D7D6C"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7C5A82B" w14:textId="77777777" w:rsidTr="008C76E0">
        <w:tc>
          <w:tcPr>
            <w:tcW w:w="14693" w:type="dxa"/>
            <w:tcBorders>
              <w:top w:val="single" w:sz="4" w:space="0" w:color="auto"/>
            </w:tcBorders>
            <w:shd w:val="clear" w:color="auto" w:fill="FFFFFF"/>
            <w:vAlign w:val="bottom"/>
          </w:tcPr>
          <w:p w14:paraId="4604F8B2" w14:textId="77777777" w:rsidR="008C76E0" w:rsidRPr="008C76E0" w:rsidRDefault="008C76E0" w:rsidP="008C76E0">
            <w:pPr>
              <w:pStyle w:val="Bodytext180"/>
              <w:shd w:val="clear" w:color="auto" w:fill="auto"/>
              <w:tabs>
                <w:tab w:val="left" w:pos="1611"/>
              </w:tabs>
              <w:spacing w:before="0" w:after="160" w:line="336"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3.8. </w:t>
            </w:r>
            <w:r w:rsidRPr="00BD7577">
              <w:rPr>
                <w:rStyle w:val="Bodytext295pt"/>
                <w:rFonts w:ascii="Sylfaen" w:hAnsi="Sylfaen"/>
                <w:spacing w:val="0"/>
                <w:sz w:val="24"/>
                <w:szCs w:val="24"/>
              </w:rPr>
              <w:tab/>
              <w:t>Դեղակինետիկայի գծով փորձագետի ընդհանուր եզրակացությունը:</w:t>
            </w:r>
          </w:p>
        </w:tc>
      </w:tr>
    </w:tbl>
    <w:p w14:paraId="04D15BDB" w14:textId="77777777" w:rsidR="008C76E0" w:rsidRPr="00BD7577" w:rsidRDefault="008C76E0" w:rsidP="008C76E0">
      <w:pPr>
        <w:rPr>
          <w:rFonts w:ascii="Sylfaen" w:hAnsi="Sylfaen"/>
          <w:sz w:val="24"/>
          <w:szCs w:val="24"/>
        </w:rPr>
      </w:pPr>
    </w:p>
    <w:p w14:paraId="6EBD990D" w14:textId="77777777" w:rsidR="008C76E0" w:rsidRPr="00BD7577" w:rsidRDefault="008C76E0" w:rsidP="008C76E0">
      <w:pPr>
        <w:rPr>
          <w:rFonts w:ascii="Sylfaen" w:hAnsi="Sylfaen"/>
          <w:sz w:val="24"/>
          <w:szCs w:val="24"/>
        </w:rPr>
        <w:sectPr w:rsidR="008C76E0" w:rsidRPr="00BD7577" w:rsidSect="001C3278">
          <w:headerReference w:type="even" r:id="rId20"/>
          <w:headerReference w:type="default" r:id="rId21"/>
          <w:pgSz w:w="16839" w:h="11907" w:orient="landscape" w:code="9"/>
          <w:pgMar w:top="1418" w:right="1418" w:bottom="1418" w:left="1418" w:header="0" w:footer="564" w:gutter="0"/>
          <w:cols w:space="720"/>
          <w:noEndnote/>
          <w:docGrid w:linePitch="360"/>
        </w:sectPr>
      </w:pPr>
    </w:p>
    <w:tbl>
      <w:tblPr>
        <w:tblOverlap w:val="never"/>
        <w:tblW w:w="10626" w:type="dxa"/>
        <w:jc w:val="center"/>
        <w:tblLayout w:type="fixed"/>
        <w:tblCellMar>
          <w:left w:w="10" w:type="dxa"/>
          <w:right w:w="10" w:type="dxa"/>
        </w:tblCellMar>
        <w:tblLook w:val="04A0" w:firstRow="1" w:lastRow="0" w:firstColumn="1" w:lastColumn="0" w:noHBand="0" w:noVBand="1"/>
      </w:tblPr>
      <w:tblGrid>
        <w:gridCol w:w="2222"/>
        <w:gridCol w:w="1631"/>
        <w:gridCol w:w="7"/>
        <w:gridCol w:w="397"/>
        <w:gridCol w:w="1126"/>
        <w:gridCol w:w="392"/>
        <w:gridCol w:w="1476"/>
        <w:gridCol w:w="245"/>
        <w:gridCol w:w="1335"/>
        <w:gridCol w:w="241"/>
        <w:gridCol w:w="1554"/>
      </w:tblGrid>
      <w:tr w:rsidR="008C76E0" w:rsidRPr="00BD7577" w14:paraId="57AB7087" w14:textId="77777777" w:rsidTr="008C76E0">
        <w:trPr>
          <w:jc w:val="center"/>
        </w:trPr>
        <w:tc>
          <w:tcPr>
            <w:tcW w:w="10626" w:type="dxa"/>
            <w:gridSpan w:val="11"/>
            <w:shd w:val="clear" w:color="auto" w:fill="FFFFFF"/>
          </w:tcPr>
          <w:p w14:paraId="7AA58646" w14:textId="77777777" w:rsidR="008C76E0" w:rsidRPr="00BD7577" w:rsidRDefault="008C76E0" w:rsidP="001C3278">
            <w:pPr>
              <w:pStyle w:val="Bodytext180"/>
              <w:shd w:val="clear" w:color="auto" w:fill="auto"/>
              <w:tabs>
                <w:tab w:val="left" w:pos="107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lastRenderedPageBreak/>
              <w:t>4.</w:t>
            </w:r>
            <w:r w:rsidRPr="00BD7577">
              <w:rPr>
                <w:rStyle w:val="Bodytext295pt"/>
                <w:rFonts w:ascii="Sylfaen" w:hAnsi="Sylfaen"/>
                <w:spacing w:val="0"/>
                <w:sz w:val="24"/>
                <w:szCs w:val="24"/>
              </w:rPr>
              <w:tab/>
              <w:t xml:space="preserve">Թունաբանություն (2.6.6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4.3.3 մոդուլներ):</w:t>
            </w:r>
          </w:p>
          <w:p w14:paraId="3B1D23B1" w14:textId="77777777" w:rsidR="008C76E0" w:rsidRPr="008C76E0" w:rsidRDefault="008C76E0" w:rsidP="001C3278">
            <w:pPr>
              <w:pStyle w:val="Bodytext180"/>
              <w:shd w:val="clear" w:color="auto" w:fill="auto"/>
              <w:tabs>
                <w:tab w:val="left" w:pos="1073"/>
              </w:tabs>
              <w:spacing w:before="0" w:after="160" w:line="360" w:lineRule="auto"/>
              <w:ind w:firstLine="567"/>
              <w:rPr>
                <w:rFonts w:ascii="Sylfaen" w:hAnsi="Sylfaen"/>
                <w:sz w:val="24"/>
                <w:szCs w:val="24"/>
                <w:lang w:val="hy-AM"/>
              </w:rPr>
            </w:pPr>
            <w:r>
              <w:rPr>
                <w:rStyle w:val="Bodytext295pt"/>
                <w:rFonts w:ascii="Sylfaen" w:hAnsi="Sylfaen"/>
                <w:spacing w:val="0"/>
                <w:sz w:val="24"/>
                <w:szCs w:val="24"/>
              </w:rPr>
              <w:t>4.1.</w:t>
            </w:r>
            <w:r w:rsidRPr="00BD7577">
              <w:rPr>
                <w:rStyle w:val="Bodytext295pt"/>
                <w:rFonts w:ascii="Sylfaen" w:hAnsi="Sylfaen"/>
                <w:spacing w:val="0"/>
                <w:sz w:val="24"/>
                <w:szCs w:val="24"/>
              </w:rPr>
              <w:tab/>
              <w:t>Թո</w:t>
            </w:r>
            <w:r w:rsidRPr="00BD7577">
              <w:rPr>
                <w:rStyle w:val="Bodytext295pt"/>
                <w:rFonts w:ascii="Sylfaen" w:eastAsia="MS Mincho" w:hAnsi="Sylfaen"/>
                <w:spacing w:val="0"/>
                <w:sz w:val="24"/>
                <w:szCs w:val="24"/>
              </w:rPr>
              <w:t>ւնավորությունը՝ մեկանգամյա ներարկման դեպքում:</w:t>
            </w:r>
          </w:p>
          <w:p w14:paraId="67EF054E"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Մեկանգամյա ներարկման դեպքում թունավորության հետազոտության համար աղյուսակի օրինակ՝</w:t>
            </w:r>
          </w:p>
        </w:tc>
      </w:tr>
      <w:tr w:rsidR="008C76E0" w:rsidRPr="00BD7577" w14:paraId="361E6BA9" w14:textId="77777777" w:rsidTr="008C76E0">
        <w:trPr>
          <w:jc w:val="center"/>
        </w:trPr>
        <w:tc>
          <w:tcPr>
            <w:tcW w:w="2222" w:type="dxa"/>
            <w:tcBorders>
              <w:top w:val="single" w:sz="4" w:space="0" w:color="auto"/>
              <w:left w:val="single" w:sz="4" w:space="0" w:color="auto"/>
            </w:tcBorders>
            <w:shd w:val="clear" w:color="auto" w:fill="FFFFFF"/>
          </w:tcPr>
          <w:p w14:paraId="6708DA29"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59A63F0B"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59CD7544"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3056" w:type="dxa"/>
            <w:gridSpan w:val="3"/>
            <w:tcBorders>
              <w:top w:val="single" w:sz="4" w:space="0" w:color="auto"/>
              <w:left w:val="single" w:sz="4" w:space="0" w:color="auto"/>
            </w:tcBorders>
            <w:shd w:val="clear" w:color="auto" w:fill="FFFFFF"/>
          </w:tcPr>
          <w:p w14:paraId="3A189D9A" w14:textId="77777777" w:rsidR="008C76E0" w:rsidRPr="00BD7577" w:rsidRDefault="008C76E0" w:rsidP="001C3278">
            <w:pPr>
              <w:pStyle w:val="Bodytext180"/>
              <w:shd w:val="clear" w:color="auto" w:fill="auto"/>
              <w:spacing w:before="0" w:after="160" w:line="360" w:lineRule="auto"/>
              <w:ind w:left="85" w:right="37" w:firstLine="0"/>
              <w:rPr>
                <w:rFonts w:ascii="Sylfaen" w:hAnsi="Sylfaen"/>
                <w:b w:val="0"/>
                <w:sz w:val="24"/>
                <w:szCs w:val="24"/>
              </w:rPr>
            </w:pPr>
            <w:r w:rsidRPr="00BD7577">
              <w:rPr>
                <w:rStyle w:val="Bodytext1811pt"/>
                <w:rFonts w:ascii="Sylfaen" w:hAnsi="Sylfaen"/>
                <w:sz w:val="24"/>
                <w:szCs w:val="24"/>
              </w:rPr>
              <w:t>Հաշվարկված մահացու դոզան (դիտարկվող առավելագույն ոչ մահացու դոզան)</w:t>
            </w:r>
          </w:p>
        </w:tc>
        <w:tc>
          <w:tcPr>
            <w:tcW w:w="1795" w:type="dxa"/>
            <w:gridSpan w:val="2"/>
            <w:tcBorders>
              <w:top w:val="single" w:sz="4" w:space="0" w:color="auto"/>
              <w:left w:val="single" w:sz="4" w:space="0" w:color="auto"/>
            </w:tcBorders>
            <w:shd w:val="clear" w:color="auto" w:fill="FFFFFF"/>
          </w:tcPr>
          <w:p w14:paraId="5D62E600" w14:textId="77777777" w:rsidR="008C76E0" w:rsidRPr="00BD7577" w:rsidRDefault="008C76E0" w:rsidP="001C3278">
            <w:pPr>
              <w:pStyle w:val="Bodytext180"/>
              <w:shd w:val="clear" w:color="auto" w:fill="auto"/>
              <w:spacing w:before="0" w:after="160" w:line="360" w:lineRule="auto"/>
              <w:ind w:left="85" w:right="37" w:firstLine="0"/>
              <w:jc w:val="both"/>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6ACDE81B" w14:textId="77777777" w:rsidTr="008C76E0">
        <w:trPr>
          <w:jc w:val="center"/>
        </w:trPr>
        <w:tc>
          <w:tcPr>
            <w:tcW w:w="10626" w:type="dxa"/>
            <w:gridSpan w:val="11"/>
            <w:tcBorders>
              <w:top w:val="single" w:sz="4" w:space="0" w:color="auto"/>
            </w:tcBorders>
            <w:shd w:val="clear" w:color="auto" w:fill="FFFFFF"/>
          </w:tcPr>
          <w:p w14:paraId="48150E2E" w14:textId="77777777" w:rsidR="008C76E0" w:rsidRPr="00BD7577" w:rsidRDefault="008C76E0" w:rsidP="001C3278">
            <w:pPr>
              <w:spacing w:after="160" w:line="360" w:lineRule="auto"/>
              <w:rPr>
                <w:rFonts w:ascii="Sylfaen" w:hAnsi="Sylfaen"/>
                <w:sz w:val="24"/>
                <w:szCs w:val="24"/>
              </w:rPr>
            </w:pPr>
          </w:p>
        </w:tc>
      </w:tr>
      <w:tr w:rsidR="008C76E0" w:rsidRPr="00BD7577" w14:paraId="6B597E1E" w14:textId="77777777" w:rsidTr="008C76E0">
        <w:trPr>
          <w:jc w:val="center"/>
        </w:trPr>
        <w:tc>
          <w:tcPr>
            <w:tcW w:w="10626" w:type="dxa"/>
            <w:gridSpan w:val="11"/>
            <w:tcBorders>
              <w:top w:val="single" w:sz="4" w:space="0" w:color="auto"/>
            </w:tcBorders>
            <w:shd w:val="clear" w:color="auto" w:fill="FFFFFF"/>
          </w:tcPr>
          <w:p w14:paraId="784E3523" w14:textId="77777777" w:rsidR="008C76E0" w:rsidRPr="00BD7577" w:rsidRDefault="008C76E0" w:rsidP="001C3278">
            <w:pPr>
              <w:spacing w:after="160" w:line="360" w:lineRule="auto"/>
              <w:rPr>
                <w:rFonts w:ascii="Sylfaen" w:hAnsi="Sylfaen"/>
                <w:sz w:val="24"/>
                <w:szCs w:val="24"/>
              </w:rPr>
            </w:pPr>
          </w:p>
        </w:tc>
      </w:tr>
      <w:tr w:rsidR="008C76E0" w:rsidRPr="00BD7577" w14:paraId="63486DF4" w14:textId="77777777" w:rsidTr="008C76E0">
        <w:trPr>
          <w:jc w:val="center"/>
        </w:trPr>
        <w:tc>
          <w:tcPr>
            <w:tcW w:w="10626" w:type="dxa"/>
            <w:gridSpan w:val="11"/>
            <w:tcBorders>
              <w:top w:val="single" w:sz="4" w:space="0" w:color="auto"/>
              <w:left w:val="single" w:sz="4" w:space="0" w:color="auto"/>
            </w:tcBorders>
            <w:shd w:val="clear" w:color="auto" w:fill="FFFFFF"/>
          </w:tcPr>
          <w:p w14:paraId="63482F38" w14:textId="77777777" w:rsidR="008C76E0" w:rsidRPr="00BD7577" w:rsidRDefault="008C76E0" w:rsidP="001C3278">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638D774" w14:textId="77777777" w:rsidTr="008C76E0">
        <w:trPr>
          <w:jc w:val="center"/>
        </w:trPr>
        <w:tc>
          <w:tcPr>
            <w:tcW w:w="10626" w:type="dxa"/>
            <w:gridSpan w:val="11"/>
            <w:tcBorders>
              <w:top w:val="single" w:sz="4" w:space="0" w:color="auto"/>
            </w:tcBorders>
            <w:shd w:val="clear" w:color="auto" w:fill="FFFFFF"/>
            <w:vAlign w:val="bottom"/>
          </w:tcPr>
          <w:p w14:paraId="6CAF1815" w14:textId="77777777" w:rsidR="008C76E0" w:rsidRPr="008C76E0" w:rsidRDefault="008C76E0" w:rsidP="001C3278">
            <w:pPr>
              <w:pStyle w:val="Bodytext180"/>
              <w:shd w:val="clear" w:color="auto" w:fill="auto"/>
              <w:tabs>
                <w:tab w:val="left" w:pos="1194"/>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4.2.</w:t>
            </w:r>
            <w:r w:rsidRPr="00BD7577">
              <w:rPr>
                <w:rStyle w:val="Bodytext295pt"/>
                <w:rFonts w:ascii="Sylfaen" w:hAnsi="Sylfaen"/>
                <w:spacing w:val="0"/>
                <w:sz w:val="24"/>
                <w:szCs w:val="24"/>
              </w:rPr>
              <w:tab/>
              <w:t>Թունավորությունը բազմակի ներարկման դեպքում:</w:t>
            </w:r>
          </w:p>
          <w:p w14:paraId="143BD3CB" w14:textId="77777777" w:rsidR="008C76E0" w:rsidRPr="008C76E0" w:rsidRDefault="008C76E0" w:rsidP="001C3278">
            <w:pPr>
              <w:pStyle w:val="Bodytext180"/>
              <w:shd w:val="clear" w:color="auto" w:fill="auto"/>
              <w:spacing w:before="0" w:after="160" w:line="360" w:lineRule="auto"/>
              <w:ind w:left="3341" w:right="260" w:firstLine="0"/>
              <w:jc w:val="right"/>
              <w:rPr>
                <w:rFonts w:ascii="Sylfaen" w:hAnsi="Sylfaen"/>
                <w:b w:val="0"/>
                <w:sz w:val="24"/>
                <w:szCs w:val="24"/>
                <w:lang w:val="hy-AM"/>
              </w:rPr>
            </w:pPr>
            <w:r w:rsidRPr="00BD7577">
              <w:rPr>
                <w:rStyle w:val="Bodytext295pt"/>
                <w:rFonts w:ascii="Sylfaen" w:hAnsi="Sylfaen"/>
                <w:spacing w:val="0"/>
                <w:sz w:val="24"/>
                <w:szCs w:val="24"/>
              </w:rPr>
              <w:t>Բազմակի ներարկման դեպքում թունավորության հետազոտության համար աղյուսակի օրինակ՝</w:t>
            </w:r>
          </w:p>
        </w:tc>
      </w:tr>
      <w:tr w:rsidR="008C76E0" w:rsidRPr="00BD7577" w14:paraId="1F596366" w14:textId="77777777" w:rsidTr="008C76E0">
        <w:trPr>
          <w:jc w:val="center"/>
        </w:trPr>
        <w:tc>
          <w:tcPr>
            <w:tcW w:w="2222" w:type="dxa"/>
            <w:tcBorders>
              <w:top w:val="single" w:sz="4" w:space="0" w:color="auto"/>
              <w:left w:val="single" w:sz="4" w:space="0" w:color="auto"/>
            </w:tcBorders>
            <w:shd w:val="clear" w:color="auto" w:fill="FFFFFF"/>
          </w:tcPr>
          <w:p w14:paraId="5DAE6CA2"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035" w:type="dxa"/>
            <w:gridSpan w:val="3"/>
            <w:tcBorders>
              <w:top w:val="single" w:sz="4" w:space="0" w:color="auto"/>
              <w:left w:val="single" w:sz="4" w:space="0" w:color="auto"/>
            </w:tcBorders>
            <w:shd w:val="clear" w:color="auto" w:fill="FFFFFF"/>
          </w:tcPr>
          <w:p w14:paraId="078A677C"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Տեսակները/սեռը/քանակը/խումբը</w:t>
            </w:r>
          </w:p>
        </w:tc>
        <w:tc>
          <w:tcPr>
            <w:tcW w:w="1518" w:type="dxa"/>
            <w:gridSpan w:val="2"/>
            <w:tcBorders>
              <w:top w:val="single" w:sz="4" w:space="0" w:color="auto"/>
              <w:left w:val="single" w:sz="4" w:space="0" w:color="auto"/>
            </w:tcBorders>
            <w:shd w:val="clear" w:color="auto" w:fill="FFFFFF"/>
          </w:tcPr>
          <w:p w14:paraId="63B0B159"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1721" w:type="dxa"/>
            <w:gridSpan w:val="2"/>
            <w:tcBorders>
              <w:top w:val="single" w:sz="4" w:space="0" w:color="auto"/>
            </w:tcBorders>
            <w:shd w:val="clear" w:color="auto" w:fill="FFFFFF"/>
          </w:tcPr>
          <w:p w14:paraId="0C90911B"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Տ</w:t>
            </w:r>
            <w:r w:rsidR="00C54D75">
              <w:rPr>
                <w:rStyle w:val="Bodytext1811pt"/>
                <w:rFonts w:ascii="Sylfaen" w:hAnsi="Sylfaen"/>
                <w:sz w:val="24"/>
                <w:szCs w:val="24"/>
              </w:rPr>
              <w:t>և</w:t>
            </w:r>
            <w:r w:rsidRPr="00BD7577">
              <w:rPr>
                <w:rStyle w:val="Bodytext1811pt"/>
                <w:rFonts w:ascii="Sylfaen" w:hAnsi="Sylfaen"/>
                <w:sz w:val="24"/>
                <w:szCs w:val="24"/>
              </w:rPr>
              <w:t>ողությունը</w:t>
            </w:r>
          </w:p>
        </w:tc>
        <w:tc>
          <w:tcPr>
            <w:tcW w:w="1335" w:type="dxa"/>
            <w:tcBorders>
              <w:top w:val="single" w:sz="4" w:space="0" w:color="auto"/>
              <w:left w:val="single" w:sz="4" w:space="0" w:color="auto"/>
            </w:tcBorders>
            <w:shd w:val="clear" w:color="auto" w:fill="FFFFFF"/>
          </w:tcPr>
          <w:p w14:paraId="211B7042" w14:textId="77777777" w:rsidR="008C76E0" w:rsidRPr="00BD7577" w:rsidRDefault="008C76E0" w:rsidP="001C3278">
            <w:pPr>
              <w:pStyle w:val="Bodytext180"/>
              <w:shd w:val="clear" w:color="auto" w:fill="auto"/>
              <w:spacing w:before="0" w:after="160" w:line="360" w:lineRule="auto"/>
              <w:ind w:left="85" w:right="-10" w:firstLine="0"/>
              <w:rPr>
                <w:rFonts w:ascii="Sylfaen" w:hAnsi="Sylfaen"/>
                <w:b w:val="0"/>
                <w:sz w:val="24"/>
                <w:szCs w:val="24"/>
              </w:rPr>
            </w:pPr>
            <w:r w:rsidRPr="00BD7577">
              <w:rPr>
                <w:rStyle w:val="Bodytext1811pt"/>
                <w:rFonts w:ascii="Sylfaen" w:hAnsi="Sylfaen"/>
                <w:sz w:val="24"/>
                <w:szCs w:val="24"/>
              </w:rPr>
              <w:t>NOEL/ NOAEL (մգ/կգ/օր)</w:t>
            </w:r>
          </w:p>
        </w:tc>
        <w:tc>
          <w:tcPr>
            <w:tcW w:w="1795" w:type="dxa"/>
            <w:gridSpan w:val="2"/>
            <w:tcBorders>
              <w:top w:val="single" w:sz="4" w:space="0" w:color="auto"/>
              <w:right w:val="single" w:sz="4" w:space="0" w:color="auto"/>
            </w:tcBorders>
            <w:shd w:val="clear" w:color="auto" w:fill="FFFFFF"/>
          </w:tcPr>
          <w:p w14:paraId="34AE5757" w14:textId="77777777" w:rsidR="008C76E0" w:rsidRPr="00BD7577" w:rsidRDefault="008C76E0" w:rsidP="001C3278">
            <w:pPr>
              <w:pStyle w:val="Bodytext180"/>
              <w:shd w:val="clear" w:color="auto" w:fill="auto"/>
              <w:spacing w:before="0" w:after="160" w:line="360" w:lineRule="auto"/>
              <w:ind w:left="85" w:right="-63"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1535ABDB" w14:textId="77777777" w:rsidTr="008C76E0">
        <w:trPr>
          <w:jc w:val="center"/>
        </w:trPr>
        <w:tc>
          <w:tcPr>
            <w:tcW w:w="10626" w:type="dxa"/>
            <w:gridSpan w:val="11"/>
            <w:tcBorders>
              <w:top w:val="single" w:sz="4" w:space="0" w:color="auto"/>
            </w:tcBorders>
            <w:shd w:val="clear" w:color="auto" w:fill="FFFFFF"/>
          </w:tcPr>
          <w:p w14:paraId="4346FBC6" w14:textId="77777777" w:rsidR="008C76E0" w:rsidRPr="00BD7577" w:rsidRDefault="008C76E0" w:rsidP="001C3278">
            <w:pPr>
              <w:spacing w:after="160" w:line="360" w:lineRule="auto"/>
              <w:rPr>
                <w:rFonts w:ascii="Sylfaen" w:hAnsi="Sylfaen"/>
                <w:sz w:val="24"/>
                <w:szCs w:val="24"/>
              </w:rPr>
            </w:pPr>
          </w:p>
        </w:tc>
      </w:tr>
      <w:tr w:rsidR="008C76E0" w:rsidRPr="00BD7577" w14:paraId="18B4B390" w14:textId="77777777" w:rsidTr="008C76E0">
        <w:trPr>
          <w:jc w:val="center"/>
        </w:trPr>
        <w:tc>
          <w:tcPr>
            <w:tcW w:w="10626" w:type="dxa"/>
            <w:gridSpan w:val="11"/>
            <w:tcBorders>
              <w:top w:val="single" w:sz="4" w:space="0" w:color="auto"/>
            </w:tcBorders>
            <w:shd w:val="clear" w:color="auto" w:fill="FFFFFF"/>
          </w:tcPr>
          <w:p w14:paraId="470EAAA1" w14:textId="77777777" w:rsidR="008C76E0" w:rsidRPr="00BD7577" w:rsidRDefault="008C76E0" w:rsidP="001C3278">
            <w:pPr>
              <w:spacing w:after="160" w:line="360" w:lineRule="auto"/>
              <w:rPr>
                <w:rFonts w:ascii="Sylfaen" w:hAnsi="Sylfaen"/>
                <w:sz w:val="24"/>
                <w:szCs w:val="24"/>
              </w:rPr>
            </w:pPr>
          </w:p>
        </w:tc>
      </w:tr>
      <w:tr w:rsidR="008C76E0" w:rsidRPr="00BD7577" w14:paraId="6B44099E" w14:textId="77777777" w:rsidTr="008C76E0">
        <w:trPr>
          <w:jc w:val="center"/>
        </w:trPr>
        <w:tc>
          <w:tcPr>
            <w:tcW w:w="10626" w:type="dxa"/>
            <w:gridSpan w:val="11"/>
            <w:tcBorders>
              <w:top w:val="single" w:sz="4" w:space="0" w:color="auto"/>
              <w:left w:val="single" w:sz="4" w:space="0" w:color="auto"/>
            </w:tcBorders>
            <w:shd w:val="clear" w:color="auto" w:fill="FFFFFF"/>
          </w:tcPr>
          <w:p w14:paraId="67596351" w14:textId="77777777" w:rsidR="008C76E0" w:rsidRPr="00BD7577" w:rsidRDefault="008C76E0" w:rsidP="001C3278">
            <w:pPr>
              <w:pStyle w:val="Bodytext180"/>
              <w:shd w:val="clear" w:color="auto" w:fill="auto"/>
              <w:spacing w:before="0" w:after="160" w:line="360" w:lineRule="auto"/>
              <w:ind w:right="5749"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3EC4444" w14:textId="77777777" w:rsidTr="008C76E0">
        <w:trPr>
          <w:jc w:val="center"/>
        </w:trPr>
        <w:tc>
          <w:tcPr>
            <w:tcW w:w="10626" w:type="dxa"/>
            <w:gridSpan w:val="11"/>
            <w:tcBorders>
              <w:top w:val="single" w:sz="4" w:space="0" w:color="auto"/>
            </w:tcBorders>
            <w:shd w:val="clear" w:color="auto" w:fill="FFFFFF"/>
            <w:vAlign w:val="center"/>
          </w:tcPr>
          <w:p w14:paraId="2C31E185" w14:textId="77777777" w:rsidR="008C76E0" w:rsidRPr="008C76E0" w:rsidRDefault="008C76E0" w:rsidP="001C3278">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Տոքսիկոկինետիկա:</w:t>
            </w:r>
          </w:p>
          <w:p w14:paraId="10A56D2E" w14:textId="77777777" w:rsidR="008C76E0" w:rsidRPr="00DD61E4" w:rsidRDefault="008C76E0" w:rsidP="001C3278">
            <w:pPr>
              <w:pStyle w:val="Bodytext180"/>
              <w:shd w:val="clear" w:color="auto" w:fill="auto"/>
              <w:spacing w:before="0" w:after="160" w:line="360" w:lineRule="auto"/>
              <w:ind w:left="4615" w:right="261" w:firstLine="0"/>
              <w:jc w:val="right"/>
              <w:rPr>
                <w:rStyle w:val="Bodytext295pt"/>
                <w:rFonts w:ascii="Sylfaen" w:hAnsi="Sylfaen"/>
                <w:spacing w:val="0"/>
                <w:sz w:val="24"/>
                <w:szCs w:val="24"/>
              </w:rPr>
            </w:pPr>
            <w:r w:rsidRPr="00BD7577">
              <w:rPr>
                <w:rStyle w:val="Bodytext295pt"/>
                <w:rFonts w:ascii="Sylfaen" w:hAnsi="Sylfaen"/>
                <w:spacing w:val="0"/>
                <w:sz w:val="24"/>
                <w:szCs w:val="24"/>
              </w:rPr>
              <w:t>Տոքսիկոկինետիկ հետազոտությունների տվյալներով աղյուսակի օրինակ:</w:t>
            </w:r>
          </w:p>
          <w:p w14:paraId="355A4A97" w14:textId="77777777" w:rsidR="008C76E0" w:rsidRPr="008C76E0" w:rsidRDefault="008C76E0" w:rsidP="001C3278">
            <w:pPr>
              <w:pStyle w:val="Bodytext180"/>
              <w:shd w:val="clear" w:color="auto" w:fill="auto"/>
              <w:spacing w:before="0" w:after="160" w:line="360" w:lineRule="auto"/>
              <w:ind w:left="4617" w:right="260" w:firstLine="0"/>
              <w:jc w:val="right"/>
              <w:rPr>
                <w:rFonts w:ascii="Sylfaen" w:hAnsi="Sylfaen"/>
                <w:b w:val="0"/>
                <w:sz w:val="24"/>
                <w:szCs w:val="24"/>
                <w:lang w:val="hy-AM"/>
              </w:rPr>
            </w:pPr>
          </w:p>
        </w:tc>
      </w:tr>
      <w:tr w:rsidR="008C76E0" w:rsidRPr="00BD7577" w14:paraId="3A2EF269" w14:textId="77777777" w:rsidTr="008C76E0">
        <w:trPr>
          <w:jc w:val="center"/>
        </w:trPr>
        <w:tc>
          <w:tcPr>
            <w:tcW w:w="2222" w:type="dxa"/>
            <w:tcBorders>
              <w:top w:val="single" w:sz="4" w:space="0" w:color="auto"/>
              <w:left w:val="single" w:sz="4" w:space="0" w:color="auto"/>
              <w:bottom w:val="single" w:sz="4" w:space="0" w:color="auto"/>
            </w:tcBorders>
            <w:shd w:val="clear" w:color="auto" w:fill="FFFFFF"/>
          </w:tcPr>
          <w:p w14:paraId="7A03D47E"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lastRenderedPageBreak/>
              <w:t>Հետազոտության նույնականացման համարը</w:t>
            </w:r>
          </w:p>
        </w:tc>
        <w:tc>
          <w:tcPr>
            <w:tcW w:w="1638" w:type="dxa"/>
            <w:gridSpan w:val="2"/>
            <w:tcBorders>
              <w:top w:val="single" w:sz="4" w:space="0" w:color="auto"/>
              <w:left w:val="single" w:sz="4" w:space="0" w:color="auto"/>
              <w:bottom w:val="single" w:sz="4" w:space="0" w:color="auto"/>
            </w:tcBorders>
            <w:shd w:val="clear" w:color="auto" w:fill="FFFFFF"/>
          </w:tcPr>
          <w:p w14:paraId="7FFBE646"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Օրական դոզա (хх/хх)</w:t>
            </w:r>
          </w:p>
        </w:tc>
        <w:tc>
          <w:tcPr>
            <w:tcW w:w="3391" w:type="dxa"/>
            <w:gridSpan w:val="4"/>
            <w:tcBorders>
              <w:top w:val="single" w:sz="4" w:space="0" w:color="auto"/>
              <w:left w:val="single" w:sz="4" w:space="0" w:color="auto"/>
              <w:bottom w:val="single" w:sz="4" w:space="0" w:color="auto"/>
            </w:tcBorders>
            <w:shd w:val="clear" w:color="auto" w:fill="FFFFFF"/>
          </w:tcPr>
          <w:p w14:paraId="7DBDF90C"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3375" w:type="dxa"/>
            <w:gridSpan w:val="4"/>
            <w:tcBorders>
              <w:top w:val="single" w:sz="4" w:space="0" w:color="auto"/>
              <w:left w:val="single" w:sz="4" w:space="0" w:color="auto"/>
              <w:bottom w:val="single" w:sz="4" w:space="0" w:color="auto"/>
            </w:tcBorders>
            <w:shd w:val="clear" w:color="auto" w:fill="FFFFFF"/>
          </w:tcPr>
          <w:p w14:paraId="7C0837AB" w14:textId="77777777" w:rsidR="008C76E0" w:rsidRPr="00BD7577" w:rsidRDefault="008C76E0" w:rsidP="001C3278">
            <w:pPr>
              <w:pStyle w:val="Bodytext180"/>
              <w:shd w:val="clear" w:color="auto" w:fill="auto"/>
              <w:spacing w:before="0" w:after="160" w:line="360" w:lineRule="auto"/>
              <w:ind w:left="85" w:right="75" w:firstLine="0"/>
              <w:rPr>
                <w:rStyle w:val="Bodytext1811pt"/>
                <w:rFonts w:ascii="Sylfaen" w:hAnsi="Sylfaen"/>
                <w:sz w:val="24"/>
                <w:szCs w:val="24"/>
              </w:rPr>
            </w:pPr>
            <w:r w:rsidRPr="00BD7577">
              <w:rPr>
                <w:rStyle w:val="Bodytext1811pt"/>
                <w:rFonts w:ascii="Sylfaen" w:hAnsi="Sylfaen"/>
                <w:sz w:val="24"/>
                <w:szCs w:val="24"/>
              </w:rPr>
              <w:t xml:space="preserve">Կենդանիներ՝ Մարդ </w:t>
            </w:r>
          </w:p>
          <w:p w14:paraId="624C942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XXX</w:t>
            </w:r>
          </w:p>
          <w:p w14:paraId="2EDB9D51" w14:textId="77777777" w:rsidR="008C76E0" w:rsidRPr="00BD7577" w:rsidRDefault="008C76E0" w:rsidP="001C3278">
            <w:pPr>
              <w:pStyle w:val="Bodytext180"/>
              <w:shd w:val="clear" w:color="auto" w:fill="auto"/>
              <w:spacing w:before="0" w:after="160" w:line="360" w:lineRule="auto"/>
              <w:ind w:left="85" w:right="75" w:firstLine="0"/>
              <w:rPr>
                <w:rFonts w:ascii="Sylfaen" w:hAnsi="Sylfaen"/>
                <w:b w:val="0"/>
                <w:sz w:val="24"/>
                <w:szCs w:val="24"/>
              </w:rPr>
            </w:pPr>
            <w:r w:rsidRPr="00BD7577">
              <w:rPr>
                <w:rStyle w:val="Bodytext1811pt"/>
                <w:rFonts w:ascii="Sylfaen" w:hAnsi="Sylfaen"/>
                <w:sz w:val="24"/>
                <w:szCs w:val="24"/>
              </w:rPr>
              <w:t>Կրկնակի էկսպոզիցիա</w:t>
            </w:r>
          </w:p>
        </w:tc>
      </w:tr>
      <w:tr w:rsidR="008C76E0" w:rsidRPr="00BD7577" w14:paraId="185AFC08" w14:textId="77777777" w:rsidTr="008C76E0">
        <w:trPr>
          <w:jc w:val="center"/>
        </w:trPr>
        <w:tc>
          <w:tcPr>
            <w:tcW w:w="3853" w:type="dxa"/>
            <w:gridSpan w:val="2"/>
            <w:tcBorders>
              <w:top w:val="single" w:sz="4" w:space="0" w:color="auto"/>
              <w:bottom w:val="single" w:sz="4" w:space="0" w:color="auto"/>
            </w:tcBorders>
            <w:shd w:val="clear" w:color="auto" w:fill="FFFFFF"/>
          </w:tcPr>
          <w:p w14:paraId="361672A6" w14:textId="77777777" w:rsidR="008C76E0" w:rsidRPr="00BD7577" w:rsidRDefault="008C76E0" w:rsidP="001C3278">
            <w:pPr>
              <w:spacing w:after="160" w:line="360" w:lineRule="auto"/>
              <w:rPr>
                <w:rFonts w:ascii="Sylfaen" w:hAnsi="Sylfaen"/>
                <w:sz w:val="24"/>
                <w:szCs w:val="24"/>
              </w:rPr>
            </w:pPr>
          </w:p>
        </w:tc>
        <w:tc>
          <w:tcPr>
            <w:tcW w:w="1530" w:type="dxa"/>
            <w:gridSpan w:val="3"/>
            <w:tcBorders>
              <w:top w:val="single" w:sz="4" w:space="0" w:color="auto"/>
              <w:bottom w:val="single" w:sz="4" w:space="0" w:color="auto"/>
            </w:tcBorders>
            <w:shd w:val="clear" w:color="auto" w:fill="FFFFFF"/>
          </w:tcPr>
          <w:p w14:paraId="16390F3E"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868" w:type="dxa"/>
            <w:gridSpan w:val="2"/>
            <w:tcBorders>
              <w:top w:val="single" w:sz="4" w:space="0" w:color="auto"/>
              <w:bottom w:val="single" w:sz="4" w:space="0" w:color="auto"/>
            </w:tcBorders>
            <w:shd w:val="clear" w:color="auto" w:fill="FFFFFF"/>
          </w:tcPr>
          <w:p w14:paraId="260A7532"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c>
          <w:tcPr>
            <w:tcW w:w="1821" w:type="dxa"/>
            <w:gridSpan w:val="3"/>
            <w:tcBorders>
              <w:top w:val="single" w:sz="4" w:space="0" w:color="auto"/>
              <w:bottom w:val="single" w:sz="4" w:space="0" w:color="auto"/>
            </w:tcBorders>
            <w:shd w:val="clear" w:color="auto" w:fill="FFFFFF"/>
          </w:tcPr>
          <w:p w14:paraId="7A3ED76D"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554" w:type="dxa"/>
            <w:tcBorders>
              <w:top w:val="single" w:sz="4" w:space="0" w:color="auto"/>
              <w:bottom w:val="single" w:sz="4" w:space="0" w:color="auto"/>
            </w:tcBorders>
            <w:shd w:val="clear" w:color="auto" w:fill="FFFFFF"/>
          </w:tcPr>
          <w:p w14:paraId="57DB6FC0" w14:textId="77777777" w:rsidR="008C76E0" w:rsidRPr="00BD7577" w:rsidRDefault="008C76E0" w:rsidP="001C3278">
            <w:pPr>
              <w:spacing w:after="160" w:line="360" w:lineRule="auto"/>
              <w:rPr>
                <w:rFonts w:ascii="Sylfaen" w:hAnsi="Sylfaen" w:cs="Times New Roman"/>
                <w:sz w:val="24"/>
                <w:szCs w:val="24"/>
              </w:rPr>
            </w:pPr>
            <w:r w:rsidRPr="00BD7577">
              <w:rPr>
                <w:rFonts w:ascii="Times New Roman" w:hAnsi="Times New Roman" w:cs="Times New Roman"/>
                <w:sz w:val="24"/>
                <w:szCs w:val="24"/>
              </w:rPr>
              <w:t>♀</w:t>
            </w:r>
          </w:p>
        </w:tc>
      </w:tr>
    </w:tbl>
    <w:p w14:paraId="75838C3B" w14:textId="77777777" w:rsidR="008C76E0" w:rsidRPr="00BD7577" w:rsidRDefault="008C76E0" w:rsidP="008C76E0">
      <w:pPr>
        <w:rPr>
          <w:rFonts w:ascii="Sylfaen" w:hAnsi="Sylfaen"/>
          <w:sz w:val="24"/>
          <w:szCs w:val="24"/>
        </w:rPr>
      </w:pPr>
    </w:p>
    <w:tbl>
      <w:tblPr>
        <w:tblOverlap w:val="never"/>
        <w:tblW w:w="9810" w:type="dxa"/>
        <w:jc w:val="center"/>
        <w:tblLayout w:type="fixed"/>
        <w:tblCellMar>
          <w:left w:w="10" w:type="dxa"/>
          <w:right w:w="10" w:type="dxa"/>
        </w:tblCellMar>
        <w:tblLook w:val="04A0" w:firstRow="1" w:lastRow="0" w:firstColumn="1" w:lastColumn="0" w:noHBand="0" w:noVBand="1"/>
      </w:tblPr>
      <w:tblGrid>
        <w:gridCol w:w="9810"/>
      </w:tblGrid>
      <w:tr w:rsidR="008C76E0" w:rsidRPr="00BD7577" w14:paraId="037E6A2D" w14:textId="77777777" w:rsidTr="008C76E0">
        <w:trPr>
          <w:jc w:val="center"/>
        </w:trPr>
        <w:tc>
          <w:tcPr>
            <w:tcW w:w="9810" w:type="dxa"/>
            <w:tcBorders>
              <w:top w:val="single" w:sz="4" w:space="0" w:color="auto"/>
            </w:tcBorders>
            <w:shd w:val="clear" w:color="auto" w:fill="FFFFFF"/>
          </w:tcPr>
          <w:p w14:paraId="52A79EA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1811pt"/>
                <w:rFonts w:ascii="Sylfaen" w:hAnsi="Sylfaen"/>
                <w:sz w:val="24"/>
                <w:szCs w:val="24"/>
              </w:rPr>
              <w:t>Ծանոթագրություն՝* Համեմատության համար ցանկալի է օգտագործել պատրաստուկի չկապակցված մասի համար AUC արժեքները:</w:t>
            </w:r>
          </w:p>
        </w:tc>
      </w:tr>
    </w:tbl>
    <w:p w14:paraId="23BBFD57" w14:textId="77777777" w:rsidR="008C76E0" w:rsidRPr="00E15E7D" w:rsidRDefault="008C76E0" w:rsidP="008C76E0">
      <w:pPr>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4219"/>
        <w:gridCol w:w="1142"/>
        <w:gridCol w:w="1128"/>
        <w:gridCol w:w="868"/>
        <w:gridCol w:w="764"/>
        <w:gridCol w:w="1488"/>
      </w:tblGrid>
      <w:tr w:rsidR="008C76E0" w:rsidRPr="00BD7577" w14:paraId="65C54CA7" w14:textId="77777777" w:rsidTr="008C76E0">
        <w:trPr>
          <w:jc w:val="center"/>
        </w:trPr>
        <w:tc>
          <w:tcPr>
            <w:tcW w:w="9609" w:type="dxa"/>
            <w:gridSpan w:val="6"/>
            <w:tcBorders>
              <w:top w:val="single" w:sz="4" w:space="0" w:color="auto"/>
              <w:left w:val="single" w:sz="4" w:space="0" w:color="auto"/>
              <w:right w:val="single" w:sz="4" w:space="0" w:color="auto"/>
            </w:tcBorders>
            <w:shd w:val="clear" w:color="auto" w:fill="FFFFFF"/>
          </w:tcPr>
          <w:p w14:paraId="7DF2C6E5"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051B14" w14:textId="77777777" w:rsidTr="008C76E0">
        <w:trPr>
          <w:jc w:val="center"/>
        </w:trPr>
        <w:tc>
          <w:tcPr>
            <w:tcW w:w="4219" w:type="dxa"/>
            <w:tcBorders>
              <w:top w:val="single" w:sz="4" w:space="0" w:color="auto"/>
            </w:tcBorders>
            <w:shd w:val="clear" w:color="auto" w:fill="FFFFFF"/>
            <w:vAlign w:val="center"/>
          </w:tcPr>
          <w:p w14:paraId="5D1AA07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Միջտեսակային համեմատություն:</w:t>
            </w:r>
          </w:p>
        </w:tc>
        <w:tc>
          <w:tcPr>
            <w:tcW w:w="1142" w:type="dxa"/>
            <w:tcBorders>
              <w:top w:val="single" w:sz="4" w:space="0" w:color="auto"/>
            </w:tcBorders>
            <w:shd w:val="clear" w:color="auto" w:fill="FFFFFF"/>
          </w:tcPr>
          <w:p w14:paraId="618B1AD2" w14:textId="77777777" w:rsidR="008C76E0" w:rsidRPr="00BD7577" w:rsidRDefault="008C76E0" w:rsidP="008C76E0">
            <w:pPr>
              <w:rPr>
                <w:rFonts w:ascii="Sylfaen" w:hAnsi="Sylfaen"/>
                <w:sz w:val="24"/>
                <w:szCs w:val="24"/>
              </w:rPr>
            </w:pPr>
          </w:p>
        </w:tc>
        <w:tc>
          <w:tcPr>
            <w:tcW w:w="1128" w:type="dxa"/>
            <w:tcBorders>
              <w:top w:val="single" w:sz="4" w:space="0" w:color="auto"/>
            </w:tcBorders>
            <w:shd w:val="clear" w:color="auto" w:fill="FFFFFF"/>
          </w:tcPr>
          <w:p w14:paraId="3090D477" w14:textId="77777777" w:rsidR="008C76E0" w:rsidRPr="00BD7577" w:rsidRDefault="008C76E0" w:rsidP="008C76E0">
            <w:pPr>
              <w:rPr>
                <w:rFonts w:ascii="Sylfaen" w:hAnsi="Sylfaen"/>
                <w:sz w:val="24"/>
                <w:szCs w:val="24"/>
              </w:rPr>
            </w:pPr>
          </w:p>
        </w:tc>
        <w:tc>
          <w:tcPr>
            <w:tcW w:w="868" w:type="dxa"/>
            <w:tcBorders>
              <w:top w:val="single" w:sz="4" w:space="0" w:color="auto"/>
            </w:tcBorders>
            <w:shd w:val="clear" w:color="auto" w:fill="FFFFFF"/>
          </w:tcPr>
          <w:p w14:paraId="3F339B78" w14:textId="77777777" w:rsidR="008C76E0" w:rsidRPr="00BD7577" w:rsidRDefault="008C76E0" w:rsidP="008C76E0">
            <w:pPr>
              <w:rPr>
                <w:rFonts w:ascii="Sylfaen" w:hAnsi="Sylfaen"/>
                <w:sz w:val="24"/>
                <w:szCs w:val="24"/>
              </w:rPr>
            </w:pPr>
          </w:p>
        </w:tc>
        <w:tc>
          <w:tcPr>
            <w:tcW w:w="764" w:type="dxa"/>
            <w:tcBorders>
              <w:top w:val="single" w:sz="4" w:space="0" w:color="auto"/>
            </w:tcBorders>
            <w:shd w:val="clear" w:color="auto" w:fill="FFFFFF"/>
          </w:tcPr>
          <w:p w14:paraId="39E013F3" w14:textId="77777777" w:rsidR="008C76E0" w:rsidRPr="00BD7577" w:rsidRDefault="008C76E0" w:rsidP="008C76E0">
            <w:pPr>
              <w:rPr>
                <w:rFonts w:ascii="Sylfaen" w:hAnsi="Sylfaen"/>
                <w:sz w:val="24"/>
                <w:szCs w:val="24"/>
              </w:rPr>
            </w:pPr>
          </w:p>
        </w:tc>
        <w:tc>
          <w:tcPr>
            <w:tcW w:w="1488" w:type="dxa"/>
            <w:tcBorders>
              <w:top w:val="single" w:sz="4" w:space="0" w:color="auto"/>
            </w:tcBorders>
            <w:shd w:val="clear" w:color="auto" w:fill="FFFFFF"/>
          </w:tcPr>
          <w:p w14:paraId="646A2472" w14:textId="77777777" w:rsidR="008C76E0" w:rsidRPr="00BD7577" w:rsidRDefault="008C76E0" w:rsidP="008C76E0">
            <w:pPr>
              <w:rPr>
                <w:rFonts w:ascii="Sylfaen" w:hAnsi="Sylfaen"/>
                <w:sz w:val="24"/>
                <w:szCs w:val="24"/>
              </w:rPr>
            </w:pPr>
          </w:p>
        </w:tc>
      </w:tr>
    </w:tbl>
    <w:p w14:paraId="79ECBD28" w14:textId="77777777" w:rsidR="008C76E0" w:rsidRPr="00BD7577" w:rsidRDefault="008C76E0" w:rsidP="008C76E0">
      <w:pPr>
        <w:rPr>
          <w:rFonts w:ascii="Sylfaen" w:hAnsi="Sylfaen"/>
          <w:sz w:val="24"/>
          <w:szCs w:val="24"/>
        </w:rPr>
      </w:pPr>
    </w:p>
    <w:tbl>
      <w:tblPr>
        <w:tblOverlap w:val="never"/>
        <w:tblW w:w="9765" w:type="dxa"/>
        <w:jc w:val="center"/>
        <w:tblLayout w:type="fixed"/>
        <w:tblCellMar>
          <w:left w:w="10" w:type="dxa"/>
          <w:right w:w="10" w:type="dxa"/>
        </w:tblCellMar>
        <w:tblLook w:val="04A0" w:firstRow="1" w:lastRow="0" w:firstColumn="1" w:lastColumn="0" w:noHBand="0" w:noVBand="1"/>
      </w:tblPr>
      <w:tblGrid>
        <w:gridCol w:w="2254"/>
        <w:gridCol w:w="2121"/>
        <w:gridCol w:w="1142"/>
        <w:gridCol w:w="1128"/>
        <w:gridCol w:w="868"/>
        <w:gridCol w:w="764"/>
        <w:gridCol w:w="780"/>
        <w:gridCol w:w="708"/>
      </w:tblGrid>
      <w:tr w:rsidR="008C76E0" w:rsidRPr="00BD7577" w14:paraId="472FB46D" w14:textId="77777777" w:rsidTr="008C76E0">
        <w:trPr>
          <w:jc w:val="center"/>
        </w:trPr>
        <w:tc>
          <w:tcPr>
            <w:tcW w:w="9765" w:type="dxa"/>
            <w:gridSpan w:val="8"/>
            <w:shd w:val="clear" w:color="auto" w:fill="FFFFFF"/>
            <w:vAlign w:val="center"/>
          </w:tcPr>
          <w:p w14:paraId="0A21A125" w14:textId="77777777" w:rsidR="008C76E0" w:rsidRPr="008C76E0" w:rsidRDefault="008C76E0" w:rsidP="008C76E0">
            <w:pPr>
              <w:pStyle w:val="Bodytext180"/>
              <w:shd w:val="clear" w:color="auto" w:fill="auto"/>
              <w:spacing w:before="0" w:after="120" w:line="240" w:lineRule="auto"/>
              <w:ind w:left="2244" w:right="160" w:firstLine="0"/>
              <w:jc w:val="right"/>
              <w:rPr>
                <w:rFonts w:ascii="Sylfaen" w:hAnsi="Sylfaen"/>
                <w:b w:val="0"/>
                <w:sz w:val="24"/>
                <w:szCs w:val="24"/>
                <w:lang w:val="hy-AM"/>
              </w:rPr>
            </w:pPr>
            <w:r w:rsidRPr="00BD7577">
              <w:rPr>
                <w:rStyle w:val="Bodytext295pt"/>
                <w:rFonts w:ascii="Sylfaen" w:hAnsi="Sylfaen"/>
                <w:spacing w:val="0"/>
                <w:sz w:val="24"/>
                <w:szCs w:val="24"/>
              </w:rPr>
              <w:t>Կենդանիների վրա հետազոտություններում էքսպոզիցիան կլինիկական հետազոտություններում էքսպոզիցիայի հետ համեմատելու համար աղյուսակի օրինակ՝</w:t>
            </w:r>
          </w:p>
        </w:tc>
      </w:tr>
      <w:tr w:rsidR="008C76E0" w:rsidRPr="00BD7577" w14:paraId="392742C0" w14:textId="77777777" w:rsidTr="008C76E0">
        <w:trPr>
          <w:jc w:val="center"/>
        </w:trPr>
        <w:tc>
          <w:tcPr>
            <w:tcW w:w="2254" w:type="dxa"/>
            <w:tcBorders>
              <w:top w:val="single" w:sz="4" w:space="0" w:color="auto"/>
              <w:left w:val="single" w:sz="4" w:space="0" w:color="auto"/>
            </w:tcBorders>
            <w:shd w:val="clear" w:color="auto" w:fill="FFFFFF"/>
            <w:vAlign w:val="bottom"/>
          </w:tcPr>
          <w:p w14:paraId="0C2984F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Հետազոտության նույնականացման համարը</w:t>
            </w:r>
          </w:p>
        </w:tc>
        <w:tc>
          <w:tcPr>
            <w:tcW w:w="2121" w:type="dxa"/>
            <w:tcBorders>
              <w:top w:val="single" w:sz="4" w:space="0" w:color="auto"/>
              <w:left w:val="single" w:sz="4" w:space="0" w:color="auto"/>
            </w:tcBorders>
            <w:shd w:val="clear" w:color="auto" w:fill="FFFFFF"/>
          </w:tcPr>
          <w:p w14:paraId="2FDF3A5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Օրական դոզա (хх/хх)</w:t>
            </w:r>
          </w:p>
        </w:tc>
        <w:tc>
          <w:tcPr>
            <w:tcW w:w="2270" w:type="dxa"/>
            <w:gridSpan w:val="2"/>
            <w:tcBorders>
              <w:top w:val="single" w:sz="4" w:space="0" w:color="auto"/>
              <w:left w:val="single" w:sz="4" w:space="0" w:color="auto"/>
            </w:tcBorders>
            <w:shd w:val="clear" w:color="auto" w:fill="FFFFFF"/>
          </w:tcPr>
          <w:p w14:paraId="21CD2AEA"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AUC-ը կենդանիների մոտ (նգ×մլ/ժ)</w:t>
            </w:r>
          </w:p>
        </w:tc>
        <w:tc>
          <w:tcPr>
            <w:tcW w:w="1632" w:type="dxa"/>
            <w:gridSpan w:val="2"/>
            <w:tcBorders>
              <w:top w:val="single" w:sz="4" w:space="0" w:color="auto"/>
              <w:left w:val="single" w:sz="4" w:space="0" w:color="auto"/>
            </w:tcBorders>
            <w:shd w:val="clear" w:color="auto" w:fill="FFFFFF"/>
          </w:tcPr>
          <w:p w14:paraId="56F425A7"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C</w:t>
            </w:r>
            <w:r w:rsidRPr="00BD7577">
              <w:rPr>
                <w:rStyle w:val="Bodytext1811pt"/>
                <w:rFonts w:ascii="Sylfaen" w:hAnsi="Sylfaen"/>
                <w:sz w:val="24"/>
                <w:szCs w:val="24"/>
                <w:vertAlign w:val="subscript"/>
              </w:rPr>
              <w:t>max</w:t>
            </w:r>
          </w:p>
        </w:tc>
        <w:tc>
          <w:tcPr>
            <w:tcW w:w="1488" w:type="dxa"/>
            <w:gridSpan w:val="2"/>
            <w:tcBorders>
              <w:top w:val="single" w:sz="4" w:space="0" w:color="auto"/>
              <w:left w:val="single" w:sz="4" w:space="0" w:color="auto"/>
            </w:tcBorders>
            <w:shd w:val="clear" w:color="auto" w:fill="FFFFFF"/>
          </w:tcPr>
          <w:p w14:paraId="6F555EEB" w14:textId="77777777" w:rsidR="008C76E0" w:rsidRPr="00BD7577" w:rsidRDefault="008C76E0" w:rsidP="008C76E0">
            <w:pPr>
              <w:spacing w:after="120" w:line="240" w:lineRule="auto"/>
              <w:ind w:left="117"/>
              <w:rPr>
                <w:rFonts w:ascii="Sylfaen" w:hAnsi="Sylfaen" w:cs="Times New Roman"/>
                <w:sz w:val="24"/>
                <w:szCs w:val="24"/>
              </w:rPr>
            </w:pPr>
            <w:r w:rsidRPr="00BD7577">
              <w:rPr>
                <w:rFonts w:ascii="Sylfaen" w:hAnsi="Sylfaen"/>
                <w:sz w:val="24"/>
                <w:szCs w:val="24"/>
              </w:rPr>
              <w:t>t</w:t>
            </w:r>
            <w:r w:rsidRPr="00BD7577">
              <w:rPr>
                <w:rFonts w:ascii="Sylfaen" w:hAnsi="Sylfaen"/>
                <w:sz w:val="24"/>
                <w:szCs w:val="24"/>
                <w:vertAlign w:val="subscript"/>
              </w:rPr>
              <w:t>½</w:t>
            </w:r>
          </w:p>
        </w:tc>
      </w:tr>
      <w:tr w:rsidR="008C76E0" w:rsidRPr="00BD7577" w14:paraId="5774410E" w14:textId="77777777" w:rsidTr="008C76E0">
        <w:trPr>
          <w:jc w:val="center"/>
        </w:trPr>
        <w:tc>
          <w:tcPr>
            <w:tcW w:w="2254" w:type="dxa"/>
            <w:tcBorders>
              <w:top w:val="single" w:sz="4" w:space="0" w:color="auto"/>
            </w:tcBorders>
            <w:shd w:val="clear" w:color="auto" w:fill="FFFFFF"/>
          </w:tcPr>
          <w:p w14:paraId="32389073" w14:textId="77777777" w:rsidR="008C76E0" w:rsidRPr="00BD7577" w:rsidRDefault="008C76E0" w:rsidP="008C76E0">
            <w:pPr>
              <w:spacing w:after="120" w:line="240" w:lineRule="auto"/>
              <w:rPr>
                <w:rFonts w:ascii="Sylfaen" w:hAnsi="Sylfaen"/>
                <w:sz w:val="24"/>
                <w:szCs w:val="24"/>
              </w:rPr>
            </w:pPr>
          </w:p>
        </w:tc>
        <w:tc>
          <w:tcPr>
            <w:tcW w:w="2121" w:type="dxa"/>
            <w:tcBorders>
              <w:top w:val="single" w:sz="4" w:space="0" w:color="auto"/>
            </w:tcBorders>
            <w:shd w:val="clear" w:color="auto" w:fill="FFFFFF"/>
          </w:tcPr>
          <w:p w14:paraId="3F0A574E" w14:textId="77777777" w:rsidR="008C76E0" w:rsidRPr="00BD7577" w:rsidRDefault="008C76E0" w:rsidP="008C76E0">
            <w:pPr>
              <w:spacing w:after="120" w:line="240" w:lineRule="auto"/>
              <w:rPr>
                <w:rFonts w:ascii="Sylfaen" w:hAnsi="Sylfaen"/>
                <w:sz w:val="24"/>
                <w:szCs w:val="24"/>
              </w:rPr>
            </w:pPr>
          </w:p>
        </w:tc>
        <w:tc>
          <w:tcPr>
            <w:tcW w:w="1142" w:type="dxa"/>
            <w:tcBorders>
              <w:top w:val="single" w:sz="4" w:space="0" w:color="auto"/>
            </w:tcBorders>
            <w:shd w:val="clear" w:color="auto" w:fill="FFFFFF"/>
          </w:tcPr>
          <w:p w14:paraId="0AC428C6"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1128" w:type="dxa"/>
            <w:tcBorders>
              <w:top w:val="single" w:sz="4" w:space="0" w:color="auto"/>
            </w:tcBorders>
            <w:shd w:val="clear" w:color="auto" w:fill="FFFFFF"/>
          </w:tcPr>
          <w:p w14:paraId="225CFAD0"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868" w:type="dxa"/>
            <w:tcBorders>
              <w:top w:val="single" w:sz="4" w:space="0" w:color="auto"/>
            </w:tcBorders>
            <w:shd w:val="clear" w:color="auto" w:fill="FFFFFF"/>
          </w:tcPr>
          <w:p w14:paraId="640ED0F5"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64" w:type="dxa"/>
            <w:tcBorders>
              <w:top w:val="single" w:sz="4" w:space="0" w:color="auto"/>
            </w:tcBorders>
            <w:shd w:val="clear" w:color="auto" w:fill="FFFFFF"/>
          </w:tcPr>
          <w:p w14:paraId="2773273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c>
          <w:tcPr>
            <w:tcW w:w="780" w:type="dxa"/>
            <w:tcBorders>
              <w:top w:val="single" w:sz="4" w:space="0" w:color="auto"/>
            </w:tcBorders>
            <w:shd w:val="clear" w:color="auto" w:fill="FFFFFF"/>
          </w:tcPr>
          <w:p w14:paraId="07B42527"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eastAsia="TimesNewRomanPSMT" w:hAnsi="Times New Roman" w:cs="Times New Roman"/>
                <w:sz w:val="24"/>
                <w:szCs w:val="24"/>
                <w:lang w:val="en-US" w:bidi="ar-SA"/>
              </w:rPr>
              <w:t>♂</w:t>
            </w:r>
          </w:p>
        </w:tc>
        <w:tc>
          <w:tcPr>
            <w:tcW w:w="708" w:type="dxa"/>
            <w:tcBorders>
              <w:top w:val="single" w:sz="4" w:space="0" w:color="auto"/>
              <w:left w:val="nil"/>
            </w:tcBorders>
            <w:shd w:val="clear" w:color="auto" w:fill="FFFFFF"/>
          </w:tcPr>
          <w:p w14:paraId="2501F72D" w14:textId="77777777" w:rsidR="008C76E0" w:rsidRPr="00BD7577" w:rsidRDefault="008C76E0" w:rsidP="008C76E0">
            <w:pPr>
              <w:spacing w:after="120" w:line="240" w:lineRule="auto"/>
              <w:rPr>
                <w:rFonts w:ascii="Sylfaen" w:hAnsi="Sylfaen" w:cs="Times New Roman"/>
                <w:sz w:val="24"/>
                <w:szCs w:val="24"/>
              </w:rPr>
            </w:pPr>
            <w:r w:rsidRPr="00BD7577">
              <w:rPr>
                <w:rFonts w:ascii="Times New Roman" w:hAnsi="Times New Roman" w:cs="Times New Roman"/>
                <w:sz w:val="24"/>
                <w:szCs w:val="24"/>
              </w:rPr>
              <w:t>♀</w:t>
            </w:r>
          </w:p>
        </w:tc>
      </w:tr>
      <w:tr w:rsidR="008C76E0" w:rsidRPr="00BD7577" w14:paraId="23D43406" w14:textId="77777777" w:rsidTr="008C76E0">
        <w:trPr>
          <w:jc w:val="center"/>
        </w:trPr>
        <w:tc>
          <w:tcPr>
            <w:tcW w:w="9765" w:type="dxa"/>
            <w:gridSpan w:val="8"/>
            <w:tcBorders>
              <w:top w:val="single" w:sz="4" w:space="0" w:color="auto"/>
            </w:tcBorders>
            <w:shd w:val="clear" w:color="auto" w:fill="FFFFFF"/>
          </w:tcPr>
          <w:p w14:paraId="21F08969" w14:textId="77777777" w:rsidR="008C76E0" w:rsidRPr="00BD7577" w:rsidRDefault="008C76E0" w:rsidP="008C76E0">
            <w:pPr>
              <w:spacing w:after="120" w:line="240" w:lineRule="auto"/>
              <w:rPr>
                <w:rFonts w:ascii="Sylfaen" w:hAnsi="Sylfaen"/>
                <w:sz w:val="24"/>
                <w:szCs w:val="24"/>
              </w:rPr>
            </w:pPr>
          </w:p>
        </w:tc>
      </w:tr>
      <w:tr w:rsidR="008C76E0" w:rsidRPr="00BD7577" w14:paraId="0DB8F197" w14:textId="77777777" w:rsidTr="008C76E0">
        <w:trPr>
          <w:jc w:val="center"/>
        </w:trPr>
        <w:tc>
          <w:tcPr>
            <w:tcW w:w="9765" w:type="dxa"/>
            <w:gridSpan w:val="8"/>
            <w:tcBorders>
              <w:top w:val="single" w:sz="4" w:space="0" w:color="auto"/>
              <w:left w:val="single" w:sz="4" w:space="0" w:color="auto"/>
              <w:right w:val="single" w:sz="4" w:space="0" w:color="auto"/>
            </w:tcBorders>
            <w:shd w:val="clear" w:color="auto" w:fill="FFFFFF"/>
          </w:tcPr>
          <w:p w14:paraId="1EDC8A78"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818828E" w14:textId="77777777" w:rsidTr="008C76E0">
        <w:trPr>
          <w:jc w:val="center"/>
        </w:trPr>
        <w:tc>
          <w:tcPr>
            <w:tcW w:w="9765" w:type="dxa"/>
            <w:gridSpan w:val="8"/>
            <w:tcBorders>
              <w:top w:val="single" w:sz="4" w:space="0" w:color="auto"/>
            </w:tcBorders>
            <w:shd w:val="clear" w:color="auto" w:fill="FFFFFF"/>
            <w:vAlign w:val="center"/>
          </w:tcPr>
          <w:p w14:paraId="0B18F916" w14:textId="77777777" w:rsidR="008C76E0" w:rsidRPr="00BD7577" w:rsidRDefault="008C76E0" w:rsidP="008C76E0">
            <w:pPr>
              <w:pStyle w:val="Bodytext180"/>
              <w:shd w:val="clear" w:color="auto" w:fill="auto"/>
              <w:tabs>
                <w:tab w:val="left" w:pos="1188"/>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4.3.</w:t>
            </w:r>
            <w:r w:rsidRPr="00BD7577">
              <w:rPr>
                <w:rStyle w:val="Bodytext295pt"/>
                <w:rFonts w:ascii="Sylfaen" w:hAnsi="Sylfaen"/>
                <w:spacing w:val="0"/>
                <w:sz w:val="24"/>
                <w:szCs w:val="24"/>
              </w:rPr>
              <w:tab/>
              <w:t>Գենոտոքսիկ ազդեցությունը։</w:t>
            </w:r>
          </w:p>
        </w:tc>
      </w:tr>
    </w:tbl>
    <w:p w14:paraId="3F5558F4" w14:textId="77777777" w:rsidR="008C76E0" w:rsidRPr="00BD7577" w:rsidRDefault="008C76E0" w:rsidP="008C76E0">
      <w:pPr>
        <w:rPr>
          <w:rFonts w:ascii="Sylfaen" w:hAnsi="Sylfaen"/>
          <w:sz w:val="24"/>
          <w:szCs w:val="24"/>
        </w:rPr>
      </w:pPr>
    </w:p>
    <w:tbl>
      <w:tblPr>
        <w:tblOverlap w:val="never"/>
        <w:tblW w:w="10712" w:type="dxa"/>
        <w:jc w:val="center"/>
        <w:tblLayout w:type="fixed"/>
        <w:tblCellMar>
          <w:left w:w="10" w:type="dxa"/>
          <w:right w:w="10" w:type="dxa"/>
        </w:tblCellMar>
        <w:tblLook w:val="04A0" w:firstRow="1" w:lastRow="0" w:firstColumn="1" w:lastColumn="0" w:noHBand="0" w:noVBand="1"/>
      </w:tblPr>
      <w:tblGrid>
        <w:gridCol w:w="2098"/>
        <w:gridCol w:w="654"/>
        <w:gridCol w:w="3232"/>
        <w:gridCol w:w="1128"/>
        <w:gridCol w:w="1569"/>
        <w:gridCol w:w="764"/>
        <w:gridCol w:w="1267"/>
      </w:tblGrid>
      <w:tr w:rsidR="008C76E0" w:rsidRPr="00BD7577" w14:paraId="4C45D60A" w14:textId="77777777" w:rsidTr="008C76E0">
        <w:trPr>
          <w:jc w:val="center"/>
        </w:trPr>
        <w:tc>
          <w:tcPr>
            <w:tcW w:w="2098" w:type="dxa"/>
            <w:shd w:val="clear" w:color="auto" w:fill="FFFFFF"/>
          </w:tcPr>
          <w:p w14:paraId="48425A89" w14:textId="77777777" w:rsidR="008C76E0" w:rsidRPr="00BD7577" w:rsidRDefault="008C76E0" w:rsidP="008C76E0">
            <w:pPr>
              <w:spacing w:after="120" w:line="240" w:lineRule="auto"/>
              <w:rPr>
                <w:rFonts w:ascii="Sylfaen" w:hAnsi="Sylfaen"/>
                <w:sz w:val="24"/>
                <w:szCs w:val="24"/>
              </w:rPr>
            </w:pPr>
          </w:p>
        </w:tc>
        <w:tc>
          <w:tcPr>
            <w:tcW w:w="8614" w:type="dxa"/>
            <w:gridSpan w:val="6"/>
            <w:shd w:val="clear" w:color="auto" w:fill="FFFFFF"/>
            <w:vAlign w:val="bottom"/>
          </w:tcPr>
          <w:p w14:paraId="3498281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295pt"/>
                <w:rFonts w:ascii="Sylfaen" w:hAnsi="Sylfaen"/>
                <w:spacing w:val="0"/>
                <w:sz w:val="24"/>
                <w:szCs w:val="24"/>
              </w:rPr>
              <w:t>Գենոտոքսիկ հետազոտությունների ակնարկի աղյուսակի օրինակ՝</w:t>
            </w:r>
          </w:p>
        </w:tc>
      </w:tr>
      <w:tr w:rsidR="008C76E0" w:rsidRPr="00BD7577" w14:paraId="1FC89CA6" w14:textId="77777777" w:rsidTr="008C76E0">
        <w:trPr>
          <w:jc w:val="center"/>
        </w:trPr>
        <w:tc>
          <w:tcPr>
            <w:tcW w:w="2752" w:type="dxa"/>
            <w:gridSpan w:val="2"/>
            <w:tcBorders>
              <w:top w:val="single" w:sz="4" w:space="0" w:color="auto"/>
              <w:left w:val="single" w:sz="4" w:space="0" w:color="auto"/>
            </w:tcBorders>
            <w:shd w:val="clear" w:color="auto" w:fill="FFFFFF"/>
          </w:tcPr>
          <w:p w14:paraId="2E310A83" w14:textId="77777777" w:rsidR="008C76E0" w:rsidRPr="008C76E0" w:rsidRDefault="008C76E0" w:rsidP="008C76E0">
            <w:pPr>
              <w:pStyle w:val="Bodytext180"/>
              <w:shd w:val="clear" w:color="auto" w:fill="auto"/>
              <w:spacing w:before="0" w:after="120" w:line="240" w:lineRule="auto"/>
              <w:ind w:left="117" w:firstLine="0"/>
              <w:rPr>
                <w:rFonts w:ascii="Sylfaen" w:hAnsi="Sylfaen"/>
                <w:b w:val="0"/>
                <w:sz w:val="24"/>
                <w:szCs w:val="24"/>
                <w:lang w:val="hy-AM"/>
              </w:rPr>
            </w:pPr>
            <w:r w:rsidRPr="00BD7577">
              <w:rPr>
                <w:rStyle w:val="Bodytext1811pt"/>
                <w:rFonts w:ascii="Sylfaen" w:hAnsi="Sylfaen"/>
                <w:sz w:val="24"/>
                <w:szCs w:val="24"/>
              </w:rPr>
              <w:t xml:space="preserve">Հետազոտության տեսակը/ նույնականացման համարը/պատշաճ լաբորատոր </w:t>
            </w:r>
            <w:r w:rsidRPr="00BD7577">
              <w:rPr>
                <w:rStyle w:val="Bodytext1811pt"/>
                <w:rFonts w:ascii="Sylfaen" w:hAnsi="Sylfaen"/>
                <w:sz w:val="24"/>
                <w:szCs w:val="24"/>
              </w:rPr>
              <w:lastRenderedPageBreak/>
              <w:t xml:space="preserve">գործելակերպին համապատասխա-նությունը </w:t>
            </w:r>
          </w:p>
        </w:tc>
        <w:tc>
          <w:tcPr>
            <w:tcW w:w="3232" w:type="dxa"/>
            <w:tcBorders>
              <w:top w:val="single" w:sz="4" w:space="0" w:color="auto"/>
              <w:left w:val="single" w:sz="4" w:space="0" w:color="auto"/>
            </w:tcBorders>
            <w:shd w:val="clear" w:color="auto" w:fill="FFFFFF"/>
          </w:tcPr>
          <w:p w14:paraId="2A6D0501"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lastRenderedPageBreak/>
              <w:t>Վերլուծության համակարգ</w:t>
            </w:r>
          </w:p>
        </w:tc>
        <w:tc>
          <w:tcPr>
            <w:tcW w:w="2697" w:type="dxa"/>
            <w:gridSpan w:val="2"/>
            <w:tcBorders>
              <w:top w:val="single" w:sz="4" w:space="0" w:color="auto"/>
              <w:left w:val="single" w:sz="4" w:space="0" w:color="auto"/>
            </w:tcBorders>
            <w:shd w:val="clear" w:color="auto" w:fill="FFFFFF"/>
          </w:tcPr>
          <w:p w14:paraId="3365C0CB"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Pr>
                <w:rStyle w:val="Bodytext1811pt"/>
                <w:rFonts w:ascii="Sylfaen" w:hAnsi="Sylfaen"/>
                <w:sz w:val="24"/>
                <w:szCs w:val="24"/>
              </w:rPr>
              <w:t>Կոնցենտրացիաները/ կոնցենտրացիա</w:t>
            </w:r>
            <w:r w:rsidRPr="00BD7577">
              <w:rPr>
                <w:rStyle w:val="Bodytext1811pt"/>
                <w:rFonts w:ascii="Sylfaen" w:hAnsi="Sylfaen"/>
                <w:sz w:val="24"/>
                <w:szCs w:val="24"/>
              </w:rPr>
              <w:t xml:space="preserve">ների ընդգրկույթը/ նյութափոխանա-կության համակարգը </w:t>
            </w:r>
          </w:p>
        </w:tc>
        <w:tc>
          <w:tcPr>
            <w:tcW w:w="2031" w:type="dxa"/>
            <w:gridSpan w:val="2"/>
            <w:tcBorders>
              <w:top w:val="single" w:sz="4" w:space="0" w:color="auto"/>
              <w:left w:val="single" w:sz="4" w:space="0" w:color="auto"/>
              <w:right w:val="single" w:sz="4" w:space="0" w:color="auto"/>
            </w:tcBorders>
            <w:shd w:val="clear" w:color="auto" w:fill="FFFFFF"/>
          </w:tcPr>
          <w:p w14:paraId="61A205E2" w14:textId="77777777" w:rsidR="008C76E0" w:rsidRPr="00BD7577" w:rsidRDefault="008C76E0" w:rsidP="008C76E0">
            <w:pPr>
              <w:pStyle w:val="Bodytext180"/>
              <w:shd w:val="clear" w:color="auto" w:fill="auto"/>
              <w:spacing w:before="0" w:after="120" w:line="240" w:lineRule="auto"/>
              <w:ind w:left="117" w:firstLine="0"/>
              <w:rPr>
                <w:rFonts w:ascii="Sylfaen" w:hAnsi="Sylfaen"/>
                <w:b w:val="0"/>
                <w:sz w:val="24"/>
                <w:szCs w:val="24"/>
              </w:rPr>
            </w:pPr>
            <w:r w:rsidRPr="00BD7577">
              <w:rPr>
                <w:rStyle w:val="Bodytext1811pt"/>
                <w:rFonts w:ascii="Sylfaen" w:hAnsi="Sylfaen"/>
                <w:sz w:val="24"/>
                <w:szCs w:val="24"/>
              </w:rPr>
              <w:t>Արդյունքներ՝ դրական/ բացասական/ ոչ միանշանակ</w:t>
            </w:r>
          </w:p>
        </w:tc>
      </w:tr>
      <w:tr w:rsidR="008C76E0" w:rsidRPr="00BD7577" w14:paraId="65717F11" w14:textId="77777777" w:rsidTr="008C76E0">
        <w:trPr>
          <w:jc w:val="center"/>
        </w:trPr>
        <w:tc>
          <w:tcPr>
            <w:tcW w:w="2098" w:type="dxa"/>
            <w:tcBorders>
              <w:top w:val="single" w:sz="4" w:space="0" w:color="auto"/>
            </w:tcBorders>
            <w:shd w:val="clear" w:color="auto" w:fill="FFFFFF"/>
          </w:tcPr>
          <w:p w14:paraId="6E2E5535"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մանրէներում</w:t>
            </w:r>
          </w:p>
        </w:tc>
        <w:tc>
          <w:tcPr>
            <w:tcW w:w="654" w:type="dxa"/>
            <w:tcBorders>
              <w:top w:val="single" w:sz="4" w:space="0" w:color="auto"/>
            </w:tcBorders>
            <w:shd w:val="clear" w:color="auto" w:fill="FFFFFF"/>
          </w:tcPr>
          <w:p w14:paraId="0287C858" w14:textId="77777777" w:rsidR="008C76E0" w:rsidRPr="00BD7577" w:rsidRDefault="008C76E0" w:rsidP="008C76E0">
            <w:pPr>
              <w:spacing w:after="120" w:line="240" w:lineRule="auto"/>
              <w:ind w:left="162"/>
              <w:rPr>
                <w:rFonts w:ascii="Sylfaen" w:hAnsi="Sylfaen"/>
                <w:sz w:val="24"/>
                <w:szCs w:val="24"/>
              </w:rPr>
            </w:pPr>
          </w:p>
        </w:tc>
        <w:tc>
          <w:tcPr>
            <w:tcW w:w="3232" w:type="dxa"/>
            <w:tcBorders>
              <w:top w:val="single" w:sz="4" w:space="0" w:color="auto"/>
            </w:tcBorders>
            <w:shd w:val="clear" w:color="auto" w:fill="FFFFFF"/>
          </w:tcPr>
          <w:p w14:paraId="2E1D95A3"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սալմոնելայի շտամները</w:t>
            </w:r>
          </w:p>
        </w:tc>
        <w:tc>
          <w:tcPr>
            <w:tcW w:w="1128" w:type="dxa"/>
            <w:tcBorders>
              <w:top w:val="single" w:sz="4" w:space="0" w:color="auto"/>
            </w:tcBorders>
            <w:shd w:val="clear" w:color="auto" w:fill="FFFFFF"/>
            <w:vAlign w:val="center"/>
          </w:tcPr>
          <w:p w14:paraId="40025480"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S9</w:t>
            </w:r>
          </w:p>
        </w:tc>
        <w:tc>
          <w:tcPr>
            <w:tcW w:w="1569" w:type="dxa"/>
            <w:tcBorders>
              <w:top w:val="single" w:sz="4" w:space="0" w:color="auto"/>
            </w:tcBorders>
            <w:shd w:val="clear" w:color="auto" w:fill="FFFFFF"/>
          </w:tcPr>
          <w:p w14:paraId="34708B84" w14:textId="77777777" w:rsidR="008C76E0" w:rsidRPr="00BD7577" w:rsidRDefault="008C76E0" w:rsidP="008C76E0">
            <w:pPr>
              <w:spacing w:after="120" w:line="240" w:lineRule="auto"/>
              <w:ind w:left="162"/>
              <w:rPr>
                <w:rFonts w:ascii="Sylfaen" w:hAnsi="Sylfaen"/>
                <w:sz w:val="24"/>
                <w:szCs w:val="24"/>
              </w:rPr>
            </w:pPr>
          </w:p>
        </w:tc>
        <w:tc>
          <w:tcPr>
            <w:tcW w:w="764" w:type="dxa"/>
            <w:tcBorders>
              <w:top w:val="single" w:sz="4" w:space="0" w:color="auto"/>
            </w:tcBorders>
            <w:shd w:val="clear" w:color="auto" w:fill="FFFFFF"/>
          </w:tcPr>
          <w:p w14:paraId="5CA518B3" w14:textId="77777777" w:rsidR="008C76E0" w:rsidRPr="00BD7577" w:rsidRDefault="008C76E0" w:rsidP="008C76E0">
            <w:pPr>
              <w:spacing w:after="120" w:line="240" w:lineRule="auto"/>
              <w:ind w:left="162"/>
              <w:rPr>
                <w:rFonts w:ascii="Sylfaen" w:hAnsi="Sylfaen"/>
                <w:sz w:val="24"/>
                <w:szCs w:val="24"/>
              </w:rPr>
            </w:pPr>
          </w:p>
        </w:tc>
        <w:tc>
          <w:tcPr>
            <w:tcW w:w="1267" w:type="dxa"/>
            <w:tcBorders>
              <w:top w:val="single" w:sz="4" w:space="0" w:color="auto"/>
            </w:tcBorders>
            <w:shd w:val="clear" w:color="auto" w:fill="FFFFFF"/>
          </w:tcPr>
          <w:p w14:paraId="44B16B63"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39E912D" w14:textId="77777777" w:rsidTr="008C76E0">
        <w:trPr>
          <w:trHeight w:val="1140"/>
          <w:jc w:val="center"/>
        </w:trPr>
        <w:tc>
          <w:tcPr>
            <w:tcW w:w="2098" w:type="dxa"/>
            <w:shd w:val="clear" w:color="auto" w:fill="FFFFFF"/>
          </w:tcPr>
          <w:p w14:paraId="4E24A1AA" w14:textId="77777777" w:rsidR="008C76E0" w:rsidRPr="00BD7577" w:rsidRDefault="008C76E0" w:rsidP="008C76E0">
            <w:pPr>
              <w:pStyle w:val="Bodytext180"/>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Գենային մուտացիաները կաթնասունների բջիջներում</w:t>
            </w:r>
          </w:p>
        </w:tc>
        <w:tc>
          <w:tcPr>
            <w:tcW w:w="654" w:type="dxa"/>
            <w:shd w:val="clear" w:color="auto" w:fill="FFFFFF"/>
          </w:tcPr>
          <w:p w14:paraId="6E5AE593"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30262B0B" w14:textId="77777777" w:rsidR="008C76E0" w:rsidRPr="008C76E0" w:rsidRDefault="008C76E0" w:rsidP="008C76E0">
            <w:pPr>
              <w:pStyle w:val="Bodytext180"/>
              <w:shd w:val="clear" w:color="auto" w:fill="auto"/>
              <w:spacing w:before="0" w:after="120" w:line="240" w:lineRule="auto"/>
              <w:ind w:left="162" w:firstLine="0"/>
              <w:rPr>
                <w:rFonts w:ascii="Sylfaen" w:hAnsi="Sylfaen"/>
                <w:b w:val="0"/>
                <w:sz w:val="24"/>
                <w:szCs w:val="24"/>
                <w:lang w:val="hy-AM"/>
              </w:rPr>
            </w:pPr>
            <w:r w:rsidRPr="00BD7577">
              <w:rPr>
                <w:rStyle w:val="Bodytext1811pt"/>
                <w:rFonts w:ascii="Sylfaen" w:hAnsi="Sylfaen"/>
                <w:sz w:val="24"/>
                <w:szCs w:val="24"/>
              </w:rPr>
              <w:t xml:space="preserve">չինական գերմանամկան ձվաբջիջներ (CHO-բջիջներ), HGPRT-լոկուս, մարդու լիմֆոցիտներ </w:t>
            </w:r>
          </w:p>
        </w:tc>
        <w:tc>
          <w:tcPr>
            <w:tcW w:w="1128" w:type="dxa"/>
            <w:shd w:val="clear" w:color="auto" w:fill="FFFFFF"/>
            <w:vAlign w:val="center"/>
          </w:tcPr>
          <w:p w14:paraId="434E1B8A" w14:textId="77777777" w:rsidR="008C76E0" w:rsidRPr="00BD7577" w:rsidRDefault="008C76E0" w:rsidP="008C76E0">
            <w:pPr>
              <w:pStyle w:val="Bodytext180"/>
              <w:shd w:val="clear" w:color="auto" w:fill="auto"/>
              <w:spacing w:before="0" w:after="120" w:line="240" w:lineRule="auto"/>
              <w:ind w:left="162" w:firstLine="0"/>
              <w:rPr>
                <w:rFonts w:ascii="Sylfaen" w:hAnsi="Sylfaen"/>
                <w:b w:val="0"/>
                <w:sz w:val="24"/>
                <w:szCs w:val="24"/>
              </w:rPr>
            </w:pPr>
            <w:r w:rsidRPr="00BD7577">
              <w:rPr>
                <w:rStyle w:val="Bodytext1811pt"/>
                <w:rFonts w:ascii="Sylfaen" w:hAnsi="Sylfaen"/>
                <w:sz w:val="24"/>
                <w:szCs w:val="24"/>
              </w:rPr>
              <w:t xml:space="preserve">+/- S9 </w:t>
            </w:r>
          </w:p>
        </w:tc>
        <w:tc>
          <w:tcPr>
            <w:tcW w:w="1569" w:type="dxa"/>
            <w:shd w:val="clear" w:color="auto" w:fill="FFFFFF"/>
          </w:tcPr>
          <w:p w14:paraId="26834F1B"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167E8DB6"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100F3CDD"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32BCB607" w14:textId="77777777" w:rsidTr="008C76E0">
        <w:trPr>
          <w:trHeight w:val="1320"/>
          <w:jc w:val="center"/>
        </w:trPr>
        <w:tc>
          <w:tcPr>
            <w:tcW w:w="2098" w:type="dxa"/>
            <w:shd w:val="clear" w:color="auto" w:fill="FFFFFF"/>
          </w:tcPr>
          <w:p w14:paraId="6534293D"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xml:space="preserve">in vivo քրոմոսոմային աբերացիաներ </w:t>
            </w:r>
          </w:p>
        </w:tc>
        <w:tc>
          <w:tcPr>
            <w:tcW w:w="654" w:type="dxa"/>
            <w:shd w:val="clear" w:color="auto" w:fill="FFFFFF"/>
          </w:tcPr>
          <w:p w14:paraId="1D1EE45A" w14:textId="77777777" w:rsidR="008C76E0" w:rsidRPr="00BD7577" w:rsidRDefault="008C76E0" w:rsidP="008C76E0">
            <w:pPr>
              <w:spacing w:after="120" w:line="240" w:lineRule="auto"/>
              <w:ind w:left="162"/>
              <w:rPr>
                <w:rFonts w:ascii="Sylfaen" w:hAnsi="Sylfaen"/>
                <w:sz w:val="24"/>
                <w:szCs w:val="24"/>
              </w:rPr>
            </w:pPr>
          </w:p>
        </w:tc>
        <w:tc>
          <w:tcPr>
            <w:tcW w:w="3232" w:type="dxa"/>
            <w:shd w:val="clear" w:color="auto" w:fill="FFFFFF"/>
          </w:tcPr>
          <w:p w14:paraId="452B065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մկներ, միկրոմիջուկային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ստուգանիշ ոսկրածուծում</w:t>
            </w:r>
          </w:p>
        </w:tc>
        <w:tc>
          <w:tcPr>
            <w:tcW w:w="1128" w:type="dxa"/>
            <w:shd w:val="clear" w:color="auto" w:fill="FFFFFF"/>
            <w:vAlign w:val="center"/>
          </w:tcPr>
          <w:p w14:paraId="1E9F39E8" w14:textId="77777777" w:rsidR="008C76E0" w:rsidRPr="00BD7577" w:rsidRDefault="008C76E0" w:rsidP="008C76E0">
            <w:pPr>
              <w:pStyle w:val="Bodytext180"/>
              <w:spacing w:before="0" w:after="120" w:line="240" w:lineRule="auto"/>
              <w:ind w:left="162" w:firstLine="0"/>
              <w:rPr>
                <w:rStyle w:val="Bodytext1811pt"/>
                <w:rFonts w:ascii="Sylfaen" w:hAnsi="Sylfaen"/>
                <w:sz w:val="24"/>
                <w:szCs w:val="24"/>
              </w:rPr>
            </w:pPr>
            <w:r w:rsidRPr="00BD7577">
              <w:rPr>
                <w:rStyle w:val="Bodytext1811pt"/>
                <w:rFonts w:ascii="Sylfaen" w:hAnsi="Sylfaen"/>
                <w:sz w:val="24"/>
                <w:szCs w:val="24"/>
              </w:rPr>
              <w:t>+/- S9</w:t>
            </w:r>
          </w:p>
        </w:tc>
        <w:tc>
          <w:tcPr>
            <w:tcW w:w="1569" w:type="dxa"/>
            <w:shd w:val="clear" w:color="auto" w:fill="FFFFFF"/>
          </w:tcPr>
          <w:p w14:paraId="5D7D4E40" w14:textId="77777777" w:rsidR="008C76E0" w:rsidRPr="00BD7577" w:rsidRDefault="008C76E0" w:rsidP="008C76E0">
            <w:pPr>
              <w:spacing w:after="120" w:line="240" w:lineRule="auto"/>
              <w:ind w:left="162"/>
              <w:rPr>
                <w:rFonts w:ascii="Sylfaen" w:hAnsi="Sylfaen"/>
                <w:sz w:val="24"/>
                <w:szCs w:val="24"/>
              </w:rPr>
            </w:pPr>
          </w:p>
        </w:tc>
        <w:tc>
          <w:tcPr>
            <w:tcW w:w="764" w:type="dxa"/>
            <w:shd w:val="clear" w:color="auto" w:fill="FFFFFF"/>
          </w:tcPr>
          <w:p w14:paraId="2B2FC657" w14:textId="77777777" w:rsidR="008C76E0" w:rsidRPr="00BD7577" w:rsidRDefault="008C76E0" w:rsidP="008C76E0">
            <w:pPr>
              <w:spacing w:after="120" w:line="240" w:lineRule="auto"/>
              <w:ind w:left="162"/>
              <w:rPr>
                <w:rFonts w:ascii="Sylfaen" w:hAnsi="Sylfaen"/>
                <w:sz w:val="24"/>
                <w:szCs w:val="24"/>
              </w:rPr>
            </w:pPr>
          </w:p>
        </w:tc>
        <w:tc>
          <w:tcPr>
            <w:tcW w:w="1267" w:type="dxa"/>
            <w:shd w:val="clear" w:color="auto" w:fill="FFFFFF"/>
          </w:tcPr>
          <w:p w14:paraId="62D8D052"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6F87AFC8" w14:textId="77777777" w:rsidTr="008C76E0">
        <w:trPr>
          <w:jc w:val="center"/>
        </w:trPr>
        <w:tc>
          <w:tcPr>
            <w:tcW w:w="10712" w:type="dxa"/>
            <w:gridSpan w:val="7"/>
            <w:tcBorders>
              <w:top w:val="single" w:sz="4" w:space="0" w:color="auto"/>
            </w:tcBorders>
            <w:shd w:val="clear" w:color="auto" w:fill="FFFFFF"/>
          </w:tcPr>
          <w:p w14:paraId="0C9FF506" w14:textId="77777777" w:rsidR="008C76E0" w:rsidRPr="00BD7577" w:rsidRDefault="008C76E0" w:rsidP="008C76E0">
            <w:pPr>
              <w:spacing w:after="120" w:line="240" w:lineRule="auto"/>
              <w:ind w:left="162"/>
              <w:rPr>
                <w:rFonts w:ascii="Sylfaen" w:hAnsi="Sylfaen"/>
                <w:sz w:val="24"/>
                <w:szCs w:val="24"/>
              </w:rPr>
            </w:pPr>
          </w:p>
        </w:tc>
      </w:tr>
      <w:tr w:rsidR="008C76E0" w:rsidRPr="00BD7577" w14:paraId="2963A7F3" w14:textId="77777777" w:rsidTr="008C76E0">
        <w:trPr>
          <w:jc w:val="center"/>
        </w:trPr>
        <w:tc>
          <w:tcPr>
            <w:tcW w:w="10712" w:type="dxa"/>
            <w:gridSpan w:val="7"/>
            <w:tcBorders>
              <w:top w:val="single" w:sz="4" w:space="0" w:color="auto"/>
              <w:left w:val="single" w:sz="4" w:space="0" w:color="auto"/>
              <w:bottom w:val="single" w:sz="4" w:space="0" w:color="auto"/>
              <w:right w:val="single" w:sz="4" w:space="0" w:color="auto"/>
            </w:tcBorders>
            <w:shd w:val="clear" w:color="auto" w:fill="FFFFFF"/>
          </w:tcPr>
          <w:p w14:paraId="436F8C3C" w14:textId="77777777" w:rsidR="008C76E0" w:rsidRPr="00BD7577" w:rsidRDefault="008C76E0" w:rsidP="008C76E0">
            <w:pPr>
              <w:pStyle w:val="Bodytext180"/>
              <w:shd w:val="clear" w:color="auto" w:fill="auto"/>
              <w:spacing w:before="0" w:after="160" w:line="360" w:lineRule="auto"/>
              <w:ind w:left="164"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6F2EDA0F" w14:textId="77777777" w:rsidR="008C76E0" w:rsidRPr="00BD7577" w:rsidRDefault="008C76E0" w:rsidP="008C76E0">
      <w:pPr>
        <w:rPr>
          <w:rFonts w:ascii="Sylfaen" w:hAnsi="Sylfaen"/>
          <w:sz w:val="24"/>
          <w:szCs w:val="24"/>
        </w:rPr>
      </w:pPr>
    </w:p>
    <w:tbl>
      <w:tblPr>
        <w:tblOverlap w:val="never"/>
        <w:tblW w:w="11048" w:type="dxa"/>
        <w:jc w:val="center"/>
        <w:tblLayout w:type="fixed"/>
        <w:tblCellMar>
          <w:left w:w="10" w:type="dxa"/>
          <w:right w:w="10" w:type="dxa"/>
        </w:tblCellMar>
        <w:tblLook w:val="04A0" w:firstRow="1" w:lastRow="0" w:firstColumn="1" w:lastColumn="0" w:noHBand="0" w:noVBand="1"/>
      </w:tblPr>
      <w:tblGrid>
        <w:gridCol w:w="3231"/>
        <w:gridCol w:w="1860"/>
        <w:gridCol w:w="2127"/>
        <w:gridCol w:w="1848"/>
        <w:gridCol w:w="1982"/>
      </w:tblGrid>
      <w:tr w:rsidR="008C76E0" w:rsidRPr="00BD7577" w14:paraId="32577B44" w14:textId="77777777" w:rsidTr="008C76E0">
        <w:trPr>
          <w:jc w:val="center"/>
        </w:trPr>
        <w:tc>
          <w:tcPr>
            <w:tcW w:w="11048" w:type="dxa"/>
            <w:gridSpan w:val="5"/>
            <w:shd w:val="clear" w:color="auto" w:fill="FFFFFF"/>
          </w:tcPr>
          <w:p w14:paraId="737067E8" w14:textId="77777777" w:rsidR="008C76E0" w:rsidRPr="00BD7577" w:rsidRDefault="008C76E0" w:rsidP="008C76E0">
            <w:pPr>
              <w:pStyle w:val="Bodytext180"/>
              <w:shd w:val="clear" w:color="auto" w:fill="auto"/>
              <w:tabs>
                <w:tab w:val="left" w:pos="1121"/>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4.4.</w:t>
            </w:r>
            <w:r w:rsidRPr="00BD7577">
              <w:rPr>
                <w:rStyle w:val="Bodytext295pt"/>
                <w:rFonts w:ascii="Sylfaen" w:hAnsi="Sylfaen"/>
                <w:spacing w:val="0"/>
                <w:sz w:val="24"/>
                <w:szCs w:val="24"/>
              </w:rPr>
              <w:tab/>
              <w:t>Քաղցկեղածնությունը։</w:t>
            </w:r>
          </w:p>
          <w:p w14:paraId="3A4F363A" w14:textId="77777777" w:rsidR="008C76E0" w:rsidRPr="008C76E0"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4.4.1.</w:t>
            </w:r>
            <w:r w:rsidRPr="00BD7577">
              <w:rPr>
                <w:rStyle w:val="Bodytext295pt"/>
                <w:rFonts w:ascii="Sylfaen" w:hAnsi="Sylfaen"/>
                <w:spacing w:val="0"/>
                <w:sz w:val="24"/>
                <w:szCs w:val="24"/>
              </w:rPr>
              <w:tab/>
              <w:t>Երկարաժամկետ հետազոտություններ:</w:t>
            </w:r>
          </w:p>
          <w:p w14:paraId="0BE02E28" w14:textId="77777777" w:rsidR="008C76E0" w:rsidRPr="008C76E0" w:rsidRDefault="008C76E0" w:rsidP="008C76E0">
            <w:pPr>
              <w:pStyle w:val="Bodytext180"/>
              <w:shd w:val="clear" w:color="auto" w:fill="auto"/>
              <w:spacing w:before="0" w:after="160" w:line="360" w:lineRule="auto"/>
              <w:ind w:left="3114" w:right="160" w:firstLine="0"/>
              <w:jc w:val="right"/>
              <w:rPr>
                <w:rFonts w:ascii="Sylfaen" w:hAnsi="Sylfaen"/>
                <w:b w:val="0"/>
                <w:sz w:val="24"/>
                <w:szCs w:val="24"/>
                <w:lang w:val="hy-AM"/>
              </w:rPr>
            </w:pPr>
            <w:r w:rsidRPr="00BD7577">
              <w:rPr>
                <w:rStyle w:val="Bodytext295pt"/>
                <w:rFonts w:ascii="Sylfaen" w:hAnsi="Sylfaen"/>
                <w:spacing w:val="0"/>
                <w:sz w:val="24"/>
                <w:szCs w:val="24"/>
              </w:rPr>
              <w:t xml:space="preserve">Քաղցկեղածին ազդեցության մասով անցկացված հետազոտության նկարագրությամբ աղյուսակի օրինակ՝ </w:t>
            </w:r>
          </w:p>
        </w:tc>
      </w:tr>
      <w:tr w:rsidR="008C76E0" w:rsidRPr="00BD7577" w14:paraId="4BBCB823" w14:textId="77777777" w:rsidTr="008C76E0">
        <w:trPr>
          <w:jc w:val="center"/>
        </w:trPr>
        <w:tc>
          <w:tcPr>
            <w:tcW w:w="3231" w:type="dxa"/>
            <w:tcBorders>
              <w:top w:val="single" w:sz="4" w:space="0" w:color="auto"/>
            </w:tcBorders>
            <w:shd w:val="clear" w:color="auto" w:fill="FFFFFF"/>
          </w:tcPr>
          <w:p w14:paraId="6120A529" w14:textId="77777777" w:rsidR="008C76E0" w:rsidRPr="008C76E0" w:rsidRDefault="008C76E0" w:rsidP="008C76E0">
            <w:pPr>
              <w:pStyle w:val="Bodytext180"/>
              <w:shd w:val="clear" w:color="auto" w:fill="auto"/>
              <w:spacing w:before="0" w:after="160" w:line="360" w:lineRule="auto"/>
              <w:ind w:left="119" w:firstLine="0"/>
              <w:rPr>
                <w:rFonts w:ascii="Sylfaen" w:hAnsi="Sylfaen"/>
                <w:b w:val="0"/>
                <w:sz w:val="24"/>
                <w:szCs w:val="24"/>
                <w:lang w:val="hy-AM"/>
              </w:rPr>
            </w:pPr>
            <w:r w:rsidRPr="00BD7577">
              <w:rPr>
                <w:rStyle w:val="Bodytext1811pt"/>
                <w:rFonts w:ascii="Sylfaen" w:hAnsi="Sylfaen"/>
                <w:sz w:val="24"/>
                <w:szCs w:val="24"/>
              </w:rPr>
              <w:t>Ն</w:t>
            </w:r>
            <w:r>
              <w:rPr>
                <w:rStyle w:val="Bodytext1811pt"/>
                <w:rFonts w:ascii="Sylfaen" w:hAnsi="Sylfaen"/>
                <w:sz w:val="24"/>
                <w:szCs w:val="24"/>
              </w:rPr>
              <w:t>ույնականացման համարը/ համապատաս</w:t>
            </w:r>
            <w:r w:rsidRPr="00BD7577">
              <w:rPr>
                <w:rStyle w:val="Bodytext1811pt"/>
                <w:rFonts w:ascii="Sylfaen" w:hAnsi="Sylfaen"/>
                <w:sz w:val="24"/>
                <w:szCs w:val="24"/>
              </w:rPr>
              <w:t xml:space="preserve">խանությունը պատշաճ լաբորատոր գործելակերպին </w:t>
            </w:r>
          </w:p>
        </w:tc>
        <w:tc>
          <w:tcPr>
            <w:tcW w:w="1860" w:type="dxa"/>
            <w:tcBorders>
              <w:top w:val="single" w:sz="4" w:space="0" w:color="auto"/>
              <w:left w:val="single" w:sz="4" w:space="0" w:color="auto"/>
            </w:tcBorders>
            <w:shd w:val="clear" w:color="auto" w:fill="FFFFFF"/>
          </w:tcPr>
          <w:p w14:paraId="3C6CFE58"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Դոզան/</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ներարկման ուղին</w:t>
            </w:r>
          </w:p>
        </w:tc>
        <w:tc>
          <w:tcPr>
            <w:tcW w:w="2127" w:type="dxa"/>
            <w:tcBorders>
              <w:top w:val="single" w:sz="4" w:space="0" w:color="auto"/>
              <w:left w:val="single" w:sz="4" w:space="0" w:color="auto"/>
            </w:tcBorders>
            <w:shd w:val="clear" w:color="auto" w:fill="FFFFFF"/>
          </w:tcPr>
          <w:p w14:paraId="3C6657C0"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Ներգործությունը (AUC)</w:t>
            </w:r>
          </w:p>
        </w:tc>
        <w:tc>
          <w:tcPr>
            <w:tcW w:w="1848" w:type="dxa"/>
            <w:tcBorders>
              <w:top w:val="single" w:sz="4" w:space="0" w:color="auto"/>
              <w:left w:val="single" w:sz="4" w:space="0" w:color="auto"/>
            </w:tcBorders>
            <w:shd w:val="clear" w:color="auto" w:fill="FFFFFF"/>
          </w:tcPr>
          <w:p w14:paraId="3D413C2A"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Տեսակները/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կենդանիների թիվը</w:t>
            </w:r>
          </w:p>
        </w:tc>
        <w:tc>
          <w:tcPr>
            <w:tcW w:w="1982" w:type="dxa"/>
            <w:tcBorders>
              <w:top w:val="single" w:sz="4" w:space="0" w:color="auto"/>
              <w:left w:val="single" w:sz="4" w:space="0" w:color="auto"/>
              <w:right w:val="single" w:sz="4" w:space="0" w:color="auto"/>
            </w:tcBorders>
            <w:shd w:val="clear" w:color="auto" w:fill="FFFFFF"/>
          </w:tcPr>
          <w:p w14:paraId="0AADE1D1" w14:textId="77777777" w:rsidR="008C76E0" w:rsidRPr="00BD7577" w:rsidRDefault="008C76E0" w:rsidP="008C76E0">
            <w:pPr>
              <w:pStyle w:val="Bodytext180"/>
              <w:shd w:val="clear" w:color="auto" w:fill="auto"/>
              <w:spacing w:before="0" w:after="160" w:line="360" w:lineRule="auto"/>
              <w:ind w:left="119" w:firstLine="0"/>
              <w:rPr>
                <w:rFonts w:ascii="Sylfaen" w:hAnsi="Sylfaen"/>
                <w:b w:val="0"/>
                <w:sz w:val="24"/>
                <w:szCs w:val="24"/>
              </w:rPr>
            </w:pPr>
            <w:r w:rsidRPr="00BD7577">
              <w:rPr>
                <w:rStyle w:val="Bodytext1811pt"/>
                <w:rFonts w:ascii="Sylfaen" w:hAnsi="Sylfaen"/>
                <w:sz w:val="24"/>
                <w:szCs w:val="24"/>
              </w:rPr>
              <w:t>Հիմնական արդյունքները</w:t>
            </w:r>
          </w:p>
        </w:tc>
      </w:tr>
      <w:tr w:rsidR="008C76E0" w:rsidRPr="00BD7577" w14:paraId="32B98FBA" w14:textId="77777777" w:rsidTr="008C76E0">
        <w:trPr>
          <w:jc w:val="center"/>
        </w:trPr>
        <w:tc>
          <w:tcPr>
            <w:tcW w:w="11048" w:type="dxa"/>
            <w:gridSpan w:val="5"/>
            <w:tcBorders>
              <w:top w:val="single" w:sz="4" w:space="0" w:color="auto"/>
            </w:tcBorders>
            <w:shd w:val="clear" w:color="auto" w:fill="FFFFFF"/>
          </w:tcPr>
          <w:p w14:paraId="21F0ECCF" w14:textId="77777777" w:rsidR="008C76E0" w:rsidRPr="00BD7577" w:rsidRDefault="008C76E0" w:rsidP="008C76E0">
            <w:pPr>
              <w:rPr>
                <w:rFonts w:ascii="Sylfaen" w:hAnsi="Sylfaen"/>
                <w:sz w:val="24"/>
                <w:szCs w:val="24"/>
              </w:rPr>
            </w:pPr>
          </w:p>
        </w:tc>
      </w:tr>
      <w:tr w:rsidR="008C76E0" w:rsidRPr="00BD7577" w14:paraId="249DDF25" w14:textId="77777777" w:rsidTr="008C76E0">
        <w:trPr>
          <w:jc w:val="center"/>
        </w:trPr>
        <w:tc>
          <w:tcPr>
            <w:tcW w:w="3231" w:type="dxa"/>
            <w:tcBorders>
              <w:top w:val="single" w:sz="4" w:space="0" w:color="auto"/>
            </w:tcBorders>
            <w:shd w:val="clear" w:color="auto" w:fill="FFFFFF"/>
          </w:tcPr>
          <w:p w14:paraId="13CB93D6"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3F3343D" w14:textId="77777777" w:rsidR="008C76E0" w:rsidRPr="00BD7577" w:rsidRDefault="008C76E0" w:rsidP="008C76E0">
            <w:pPr>
              <w:rPr>
                <w:rFonts w:ascii="Sylfaen" w:hAnsi="Sylfaen"/>
                <w:sz w:val="24"/>
                <w:szCs w:val="24"/>
              </w:rPr>
            </w:pPr>
          </w:p>
        </w:tc>
        <w:tc>
          <w:tcPr>
            <w:tcW w:w="5957" w:type="dxa"/>
            <w:gridSpan w:val="3"/>
            <w:tcBorders>
              <w:top w:val="single" w:sz="4" w:space="0" w:color="auto"/>
            </w:tcBorders>
            <w:shd w:val="clear" w:color="auto" w:fill="FFFFFF"/>
            <w:vAlign w:val="bottom"/>
          </w:tcPr>
          <w:p w14:paraId="2427C42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295pt"/>
                <w:rFonts w:ascii="Sylfaen" w:hAnsi="Sylfaen"/>
                <w:spacing w:val="0"/>
                <w:sz w:val="24"/>
                <w:szCs w:val="24"/>
              </w:rPr>
              <w:t>«ХХ հետազոտության» ընթացքում ուռուցքների զարգացման մասին տվյալներով աղյուսակի օրինակ՝</w:t>
            </w:r>
          </w:p>
        </w:tc>
      </w:tr>
      <w:tr w:rsidR="008C76E0" w:rsidRPr="00BD7577" w14:paraId="2B155CC6" w14:textId="77777777" w:rsidTr="008C76E0">
        <w:trPr>
          <w:jc w:val="center"/>
        </w:trPr>
        <w:tc>
          <w:tcPr>
            <w:tcW w:w="3231" w:type="dxa"/>
            <w:shd w:val="clear" w:color="auto" w:fill="FFFFFF"/>
          </w:tcPr>
          <w:p w14:paraId="57865E64" w14:textId="77777777" w:rsidR="008C76E0" w:rsidRPr="00BD7577" w:rsidRDefault="008C76E0" w:rsidP="008C76E0">
            <w:pPr>
              <w:rPr>
                <w:rFonts w:ascii="Sylfaen" w:hAnsi="Sylfaen"/>
                <w:sz w:val="24"/>
                <w:szCs w:val="24"/>
              </w:rPr>
            </w:pPr>
          </w:p>
        </w:tc>
        <w:tc>
          <w:tcPr>
            <w:tcW w:w="1860" w:type="dxa"/>
            <w:shd w:val="clear" w:color="auto" w:fill="FFFFFF"/>
          </w:tcPr>
          <w:p w14:paraId="58DFF4E6" w14:textId="77777777" w:rsidR="008C76E0" w:rsidRPr="00BD7577" w:rsidRDefault="008C76E0" w:rsidP="008C76E0">
            <w:pPr>
              <w:rPr>
                <w:rFonts w:ascii="Sylfaen" w:hAnsi="Sylfaen"/>
                <w:sz w:val="24"/>
                <w:szCs w:val="24"/>
              </w:rPr>
            </w:pPr>
          </w:p>
        </w:tc>
        <w:tc>
          <w:tcPr>
            <w:tcW w:w="2127" w:type="dxa"/>
            <w:shd w:val="clear" w:color="auto" w:fill="FFFFFF"/>
          </w:tcPr>
          <w:p w14:paraId="22C2FBD7" w14:textId="77777777" w:rsidR="008C76E0" w:rsidRPr="00BD7577" w:rsidRDefault="008C76E0" w:rsidP="008C76E0">
            <w:pPr>
              <w:rPr>
                <w:rFonts w:ascii="Sylfaen" w:hAnsi="Sylfaen"/>
                <w:sz w:val="24"/>
                <w:szCs w:val="24"/>
              </w:rPr>
            </w:pPr>
          </w:p>
        </w:tc>
        <w:tc>
          <w:tcPr>
            <w:tcW w:w="3830" w:type="dxa"/>
            <w:gridSpan w:val="2"/>
            <w:shd w:val="clear" w:color="auto" w:fill="FFFFFF"/>
          </w:tcPr>
          <w:p w14:paraId="2D442A3E"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p>
        </w:tc>
      </w:tr>
      <w:tr w:rsidR="008C76E0" w:rsidRPr="00BD7577" w14:paraId="0752D3C3" w14:textId="77777777" w:rsidTr="008C76E0">
        <w:trPr>
          <w:jc w:val="center"/>
        </w:trPr>
        <w:tc>
          <w:tcPr>
            <w:tcW w:w="3231" w:type="dxa"/>
            <w:tcBorders>
              <w:top w:val="single" w:sz="4" w:space="0" w:color="auto"/>
              <w:left w:val="single" w:sz="4" w:space="0" w:color="auto"/>
            </w:tcBorders>
            <w:shd w:val="clear" w:color="auto" w:fill="FFFFFF"/>
          </w:tcPr>
          <w:p w14:paraId="6D94E002"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lastRenderedPageBreak/>
              <w:t>Ուռուցքների մասին տվյալներ</w:t>
            </w:r>
          </w:p>
        </w:tc>
        <w:tc>
          <w:tcPr>
            <w:tcW w:w="1860" w:type="dxa"/>
            <w:tcBorders>
              <w:top w:val="single" w:sz="4" w:space="0" w:color="auto"/>
              <w:left w:val="single" w:sz="4" w:space="0" w:color="auto"/>
            </w:tcBorders>
            <w:shd w:val="clear" w:color="auto" w:fill="FFFFFF"/>
          </w:tcPr>
          <w:p w14:paraId="0362A2E4" w14:textId="77777777" w:rsidR="008C76E0" w:rsidRPr="00BD7577" w:rsidRDefault="008C76E0" w:rsidP="008C76E0">
            <w:pPr>
              <w:pStyle w:val="Bodytext180"/>
              <w:shd w:val="clear" w:color="auto" w:fill="auto"/>
              <w:spacing w:before="0" w:after="160" w:line="360" w:lineRule="auto"/>
              <w:ind w:left="119" w:right="-10" w:firstLine="0"/>
              <w:jc w:val="center"/>
              <w:rPr>
                <w:rFonts w:ascii="Sylfaen" w:hAnsi="Sylfaen"/>
                <w:b w:val="0"/>
                <w:sz w:val="24"/>
                <w:szCs w:val="24"/>
              </w:rPr>
            </w:pPr>
            <w:r w:rsidRPr="00BD7577">
              <w:rPr>
                <w:rStyle w:val="Bodytext1811pt"/>
                <w:rFonts w:ascii="Sylfaen" w:hAnsi="Sylfaen"/>
                <w:sz w:val="24"/>
                <w:szCs w:val="24"/>
              </w:rPr>
              <w:t>Հսկողություն</w:t>
            </w:r>
          </w:p>
        </w:tc>
        <w:tc>
          <w:tcPr>
            <w:tcW w:w="2127" w:type="dxa"/>
            <w:tcBorders>
              <w:top w:val="single" w:sz="4" w:space="0" w:color="auto"/>
              <w:left w:val="single" w:sz="4" w:space="0" w:color="auto"/>
            </w:tcBorders>
            <w:shd w:val="clear" w:color="auto" w:fill="FFFFFF"/>
          </w:tcPr>
          <w:p w14:paraId="7A0FC989"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Ցածր դոզա</w:t>
            </w:r>
          </w:p>
        </w:tc>
        <w:tc>
          <w:tcPr>
            <w:tcW w:w="1848" w:type="dxa"/>
            <w:tcBorders>
              <w:top w:val="single" w:sz="4" w:space="0" w:color="auto"/>
              <w:left w:val="single" w:sz="4" w:space="0" w:color="auto"/>
            </w:tcBorders>
            <w:shd w:val="clear" w:color="auto" w:fill="FFFFFF"/>
          </w:tcPr>
          <w:p w14:paraId="4AB37C43"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Միջին դոզա</w:t>
            </w:r>
          </w:p>
        </w:tc>
        <w:tc>
          <w:tcPr>
            <w:tcW w:w="1982" w:type="dxa"/>
            <w:tcBorders>
              <w:top w:val="single" w:sz="4" w:space="0" w:color="auto"/>
              <w:left w:val="single" w:sz="4" w:space="0" w:color="auto"/>
              <w:right w:val="single" w:sz="4" w:space="0" w:color="auto"/>
            </w:tcBorders>
            <w:shd w:val="clear" w:color="auto" w:fill="FFFFFF"/>
          </w:tcPr>
          <w:p w14:paraId="62B2FAF7" w14:textId="77777777" w:rsidR="008C76E0" w:rsidRPr="00BD7577" w:rsidRDefault="008C76E0" w:rsidP="008C76E0">
            <w:pPr>
              <w:pStyle w:val="Bodytext180"/>
              <w:shd w:val="clear" w:color="auto" w:fill="auto"/>
              <w:spacing w:before="0" w:after="160" w:line="360" w:lineRule="auto"/>
              <w:ind w:left="119" w:right="69" w:firstLine="0"/>
              <w:jc w:val="center"/>
              <w:rPr>
                <w:rFonts w:ascii="Sylfaen" w:hAnsi="Sylfaen"/>
                <w:b w:val="0"/>
                <w:sz w:val="24"/>
                <w:szCs w:val="24"/>
              </w:rPr>
            </w:pPr>
            <w:r w:rsidRPr="00BD7577">
              <w:rPr>
                <w:rStyle w:val="Bodytext1811pt"/>
                <w:rFonts w:ascii="Sylfaen" w:hAnsi="Sylfaen"/>
                <w:sz w:val="24"/>
                <w:szCs w:val="24"/>
              </w:rPr>
              <w:t>Բարձր դոզա</w:t>
            </w:r>
          </w:p>
        </w:tc>
      </w:tr>
      <w:tr w:rsidR="008C76E0" w:rsidRPr="00BD7577" w14:paraId="588D581B" w14:textId="77777777" w:rsidTr="008C76E0">
        <w:trPr>
          <w:jc w:val="center"/>
        </w:trPr>
        <w:tc>
          <w:tcPr>
            <w:tcW w:w="3231" w:type="dxa"/>
            <w:tcBorders>
              <w:top w:val="single" w:sz="4" w:space="0" w:color="auto"/>
            </w:tcBorders>
            <w:shd w:val="clear" w:color="auto" w:fill="FFFFFF"/>
          </w:tcPr>
          <w:p w14:paraId="0F92A740" w14:textId="77777777" w:rsidR="008C76E0" w:rsidRPr="00BD7577" w:rsidRDefault="008C76E0" w:rsidP="008C76E0">
            <w:pPr>
              <w:rPr>
                <w:rFonts w:ascii="Sylfaen" w:hAnsi="Sylfaen"/>
                <w:sz w:val="24"/>
                <w:szCs w:val="24"/>
              </w:rPr>
            </w:pPr>
          </w:p>
        </w:tc>
        <w:tc>
          <w:tcPr>
            <w:tcW w:w="1860" w:type="dxa"/>
            <w:tcBorders>
              <w:top w:val="single" w:sz="4" w:space="0" w:color="auto"/>
            </w:tcBorders>
            <w:shd w:val="clear" w:color="auto" w:fill="FFFFFF"/>
          </w:tcPr>
          <w:p w14:paraId="0826F9B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Արուներ</w:t>
            </w:r>
          </w:p>
        </w:tc>
        <w:tc>
          <w:tcPr>
            <w:tcW w:w="2127" w:type="dxa"/>
            <w:tcBorders>
              <w:top w:val="single" w:sz="4" w:space="0" w:color="auto"/>
            </w:tcBorders>
            <w:shd w:val="clear" w:color="auto" w:fill="FFFFFF"/>
          </w:tcPr>
          <w:p w14:paraId="5A460B63"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tcBorders>
              <w:top w:val="single" w:sz="4" w:space="0" w:color="auto"/>
            </w:tcBorders>
            <w:shd w:val="clear" w:color="auto" w:fill="FFFFFF"/>
          </w:tcPr>
          <w:p w14:paraId="4C2FBA1E"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tcBorders>
              <w:top w:val="single" w:sz="4" w:space="0" w:color="auto"/>
            </w:tcBorders>
            <w:shd w:val="clear" w:color="auto" w:fill="FFFFFF"/>
          </w:tcPr>
          <w:p w14:paraId="5E03F2FA" w14:textId="77777777" w:rsidR="008C76E0" w:rsidRPr="00BD7577" w:rsidRDefault="008C76E0" w:rsidP="008C76E0">
            <w:pPr>
              <w:rPr>
                <w:rFonts w:ascii="Sylfaen" w:hAnsi="Sylfaen"/>
                <w:sz w:val="24"/>
                <w:szCs w:val="24"/>
              </w:rPr>
            </w:pPr>
          </w:p>
        </w:tc>
      </w:tr>
      <w:tr w:rsidR="008C76E0" w:rsidRPr="00BD7577" w14:paraId="18357958" w14:textId="77777777" w:rsidTr="008C76E0">
        <w:trPr>
          <w:jc w:val="center"/>
        </w:trPr>
        <w:tc>
          <w:tcPr>
            <w:tcW w:w="3231" w:type="dxa"/>
            <w:shd w:val="clear" w:color="auto" w:fill="FFFFFF"/>
          </w:tcPr>
          <w:p w14:paraId="4179E43E" w14:textId="77777777" w:rsidR="008C76E0" w:rsidRPr="00BD7577" w:rsidRDefault="008C76E0" w:rsidP="008C76E0">
            <w:pPr>
              <w:rPr>
                <w:rFonts w:ascii="Sylfaen" w:hAnsi="Sylfaen"/>
                <w:sz w:val="24"/>
                <w:szCs w:val="24"/>
              </w:rPr>
            </w:pPr>
          </w:p>
        </w:tc>
        <w:tc>
          <w:tcPr>
            <w:tcW w:w="1860" w:type="dxa"/>
            <w:shd w:val="clear" w:color="auto" w:fill="FFFFFF"/>
          </w:tcPr>
          <w:p w14:paraId="7C35EF9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Էգեր</w:t>
            </w:r>
          </w:p>
        </w:tc>
        <w:tc>
          <w:tcPr>
            <w:tcW w:w="2127" w:type="dxa"/>
            <w:shd w:val="clear" w:color="auto" w:fill="FFFFFF"/>
          </w:tcPr>
          <w:p w14:paraId="3C358897" w14:textId="77777777" w:rsidR="008C76E0" w:rsidRPr="00BD7577" w:rsidRDefault="008C76E0" w:rsidP="008C76E0">
            <w:pPr>
              <w:pStyle w:val="Bodytext180"/>
              <w:shd w:val="clear" w:color="auto" w:fill="auto"/>
              <w:spacing w:before="0" w:after="160" w:line="360" w:lineRule="auto"/>
              <w:ind w:left="940" w:firstLine="0"/>
              <w:rPr>
                <w:rFonts w:ascii="Sylfaen" w:hAnsi="Sylfaen"/>
                <w:b w:val="0"/>
                <w:sz w:val="24"/>
                <w:szCs w:val="24"/>
              </w:rPr>
            </w:pPr>
          </w:p>
        </w:tc>
        <w:tc>
          <w:tcPr>
            <w:tcW w:w="1848" w:type="dxa"/>
            <w:shd w:val="clear" w:color="auto" w:fill="FFFFFF"/>
          </w:tcPr>
          <w:p w14:paraId="6CC5D1C2" w14:textId="77777777" w:rsidR="008C76E0" w:rsidRPr="00B15797" w:rsidRDefault="008C76E0" w:rsidP="008C76E0">
            <w:pPr>
              <w:pStyle w:val="Bodytext180"/>
              <w:spacing w:before="0" w:after="160" w:line="360" w:lineRule="auto"/>
              <w:ind w:firstLine="0"/>
              <w:jc w:val="center"/>
              <w:rPr>
                <w:rFonts w:ascii="Sylfaen" w:hAnsi="Sylfaen"/>
                <w:b w:val="0"/>
                <w:sz w:val="24"/>
                <w:szCs w:val="24"/>
              </w:rPr>
            </w:pPr>
          </w:p>
        </w:tc>
        <w:tc>
          <w:tcPr>
            <w:tcW w:w="1982" w:type="dxa"/>
            <w:shd w:val="clear" w:color="auto" w:fill="FFFFFF"/>
          </w:tcPr>
          <w:p w14:paraId="7C0CF58F" w14:textId="77777777" w:rsidR="008C76E0" w:rsidRPr="00BD7577" w:rsidRDefault="008C76E0" w:rsidP="008C76E0">
            <w:pPr>
              <w:rPr>
                <w:rFonts w:ascii="Sylfaen" w:hAnsi="Sylfaen"/>
                <w:sz w:val="24"/>
                <w:szCs w:val="24"/>
              </w:rPr>
            </w:pPr>
          </w:p>
        </w:tc>
      </w:tr>
      <w:tr w:rsidR="008C76E0" w:rsidRPr="00BD7577" w14:paraId="115CBE80" w14:textId="77777777" w:rsidTr="008C76E0">
        <w:trPr>
          <w:jc w:val="center"/>
        </w:trPr>
        <w:tc>
          <w:tcPr>
            <w:tcW w:w="11048" w:type="dxa"/>
            <w:gridSpan w:val="5"/>
            <w:tcBorders>
              <w:top w:val="single" w:sz="4" w:space="0" w:color="auto"/>
            </w:tcBorders>
            <w:shd w:val="clear" w:color="auto" w:fill="FFFFFF"/>
          </w:tcPr>
          <w:p w14:paraId="567CEB53" w14:textId="77777777" w:rsidR="008C76E0" w:rsidRPr="00BD7577" w:rsidRDefault="008C76E0" w:rsidP="008C76E0">
            <w:pPr>
              <w:rPr>
                <w:rFonts w:ascii="Sylfaen" w:hAnsi="Sylfaen"/>
                <w:sz w:val="24"/>
                <w:szCs w:val="24"/>
              </w:rPr>
            </w:pPr>
          </w:p>
        </w:tc>
      </w:tr>
    </w:tbl>
    <w:p w14:paraId="2E04E4D5"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4EAE2C1"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CCB78ED" w14:textId="77777777" w:rsidR="008C76E0" w:rsidRPr="00BD7577" w:rsidRDefault="008C76E0" w:rsidP="008C76E0">
            <w:pPr>
              <w:pStyle w:val="Bodytext180"/>
              <w:shd w:val="clear" w:color="auto" w:fill="auto"/>
              <w:spacing w:before="0" w:after="160" w:line="360" w:lineRule="auto"/>
              <w:ind w:left="-5"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187F275" w14:textId="77777777" w:rsidTr="008C76E0">
        <w:trPr>
          <w:jc w:val="center"/>
        </w:trPr>
        <w:tc>
          <w:tcPr>
            <w:tcW w:w="9648" w:type="dxa"/>
            <w:tcBorders>
              <w:top w:val="single" w:sz="4" w:space="0" w:color="auto"/>
            </w:tcBorders>
            <w:shd w:val="clear" w:color="auto" w:fill="FFFFFF"/>
          </w:tcPr>
          <w:p w14:paraId="7209EAF7"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4.4.2.</w:t>
            </w:r>
            <w:r w:rsidRPr="00BD7577">
              <w:rPr>
                <w:rStyle w:val="Bodytext295pt"/>
                <w:rFonts w:ascii="Sylfaen" w:hAnsi="Sylfaen"/>
                <w:spacing w:val="0"/>
                <w:sz w:val="24"/>
                <w:szCs w:val="24"/>
              </w:rPr>
              <w:tab/>
              <w:t xml:space="preserve">Կարճաժամկետ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միջնաժամկետ հետազոտություններ:</w:t>
            </w:r>
          </w:p>
        </w:tc>
      </w:tr>
    </w:tbl>
    <w:p w14:paraId="576D1532"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4F3A11E7" w14:textId="77777777" w:rsidTr="008C76E0">
        <w:trPr>
          <w:jc w:val="center"/>
        </w:trPr>
        <w:tc>
          <w:tcPr>
            <w:tcW w:w="9648" w:type="dxa"/>
            <w:tcBorders>
              <w:top w:val="single" w:sz="4" w:space="0" w:color="auto"/>
              <w:left w:val="single" w:sz="4" w:space="0" w:color="auto"/>
              <w:right w:val="single" w:sz="4" w:space="0" w:color="auto"/>
            </w:tcBorders>
            <w:shd w:val="clear" w:color="auto" w:fill="FFFFFF"/>
          </w:tcPr>
          <w:p w14:paraId="0ED2FCD4"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AF1243B" w14:textId="77777777" w:rsidTr="008C76E0">
        <w:trPr>
          <w:jc w:val="center"/>
        </w:trPr>
        <w:tc>
          <w:tcPr>
            <w:tcW w:w="9648" w:type="dxa"/>
            <w:tcBorders>
              <w:top w:val="single" w:sz="4" w:space="0" w:color="auto"/>
            </w:tcBorders>
            <w:shd w:val="clear" w:color="auto" w:fill="FFFFFF"/>
          </w:tcPr>
          <w:p w14:paraId="01CDB04D" w14:textId="77777777" w:rsidR="008C76E0" w:rsidRPr="00BD7577" w:rsidRDefault="008C76E0" w:rsidP="008C76E0">
            <w:pPr>
              <w:pStyle w:val="Bodytext180"/>
              <w:shd w:val="clear" w:color="auto" w:fill="auto"/>
              <w:tabs>
                <w:tab w:val="left" w:pos="1697"/>
              </w:tabs>
              <w:spacing w:before="0" w:after="160" w:line="360" w:lineRule="auto"/>
              <w:ind w:firstLine="567"/>
              <w:rPr>
                <w:rFonts w:ascii="Sylfaen" w:hAnsi="Sylfaen"/>
                <w:b w:val="0"/>
                <w:sz w:val="24"/>
                <w:szCs w:val="24"/>
              </w:rPr>
            </w:pPr>
            <w:r>
              <w:rPr>
                <w:rStyle w:val="Bodytext295pt"/>
                <w:rFonts w:ascii="Sylfaen" w:hAnsi="Sylfaen"/>
                <w:spacing w:val="0"/>
                <w:sz w:val="24"/>
                <w:szCs w:val="24"/>
              </w:rPr>
              <w:t>4.4.3.</w:t>
            </w:r>
            <w:r w:rsidRPr="00BD7577">
              <w:rPr>
                <w:rStyle w:val="Bodytext295pt"/>
                <w:rFonts w:ascii="Sylfaen" w:hAnsi="Sylfaen"/>
                <w:spacing w:val="0"/>
                <w:sz w:val="24"/>
                <w:szCs w:val="24"/>
              </w:rPr>
              <w:tab/>
              <w:t>Այլ հետազոտություններ:</w:t>
            </w:r>
          </w:p>
        </w:tc>
      </w:tr>
    </w:tbl>
    <w:p w14:paraId="2007D65C" w14:textId="77777777" w:rsidR="008C76E0" w:rsidRPr="00BD7577" w:rsidRDefault="008C76E0" w:rsidP="008C76E0">
      <w:pPr>
        <w:rPr>
          <w:rFonts w:ascii="Sylfaen" w:hAnsi="Sylfaen"/>
          <w:sz w:val="24"/>
          <w:szCs w:val="24"/>
        </w:rPr>
      </w:pPr>
    </w:p>
    <w:tbl>
      <w:tblPr>
        <w:tblOverlap w:val="never"/>
        <w:tblW w:w="9648" w:type="dxa"/>
        <w:jc w:val="center"/>
        <w:tblLayout w:type="fixed"/>
        <w:tblCellMar>
          <w:left w:w="10" w:type="dxa"/>
          <w:right w:w="10" w:type="dxa"/>
        </w:tblCellMar>
        <w:tblLook w:val="04A0" w:firstRow="1" w:lastRow="0" w:firstColumn="1" w:lastColumn="0" w:noHBand="0" w:noVBand="1"/>
      </w:tblPr>
      <w:tblGrid>
        <w:gridCol w:w="9648"/>
      </w:tblGrid>
      <w:tr w:rsidR="008C76E0" w:rsidRPr="00BD7577" w14:paraId="7FF5E633" w14:textId="77777777" w:rsidTr="008C76E0">
        <w:trPr>
          <w:jc w:val="center"/>
        </w:trPr>
        <w:tc>
          <w:tcPr>
            <w:tcW w:w="9648" w:type="dxa"/>
            <w:tcBorders>
              <w:top w:val="single" w:sz="4" w:space="0" w:color="auto"/>
              <w:left w:val="single" w:sz="4" w:space="0" w:color="auto"/>
              <w:bottom w:val="single" w:sz="4" w:space="0" w:color="auto"/>
              <w:right w:val="single" w:sz="4" w:space="0" w:color="auto"/>
            </w:tcBorders>
            <w:shd w:val="clear" w:color="auto" w:fill="FFFFFF"/>
          </w:tcPr>
          <w:p w14:paraId="67B7599E" w14:textId="77777777" w:rsidR="008C76E0" w:rsidRPr="00BD7577" w:rsidRDefault="008C76E0" w:rsidP="008C76E0">
            <w:pPr>
              <w:pStyle w:val="Bodytext180"/>
              <w:shd w:val="clear" w:color="auto" w:fill="auto"/>
              <w:spacing w:before="0" w:after="160" w:line="360" w:lineRule="auto"/>
              <w:ind w:left="16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178D30A2"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2115"/>
        <w:gridCol w:w="1418"/>
        <w:gridCol w:w="1536"/>
        <w:gridCol w:w="1440"/>
        <w:gridCol w:w="1701"/>
        <w:gridCol w:w="1370"/>
      </w:tblGrid>
      <w:tr w:rsidR="008C76E0" w:rsidRPr="00BD7577" w14:paraId="419FF577" w14:textId="77777777" w:rsidTr="008C76E0">
        <w:trPr>
          <w:jc w:val="center"/>
        </w:trPr>
        <w:tc>
          <w:tcPr>
            <w:tcW w:w="9580" w:type="dxa"/>
            <w:gridSpan w:val="6"/>
            <w:shd w:val="clear" w:color="auto" w:fill="FFFFFF"/>
          </w:tcPr>
          <w:p w14:paraId="1E8F854E" w14:textId="77777777" w:rsidR="008C76E0" w:rsidRPr="008C76E0" w:rsidRDefault="008C76E0" w:rsidP="008C76E0">
            <w:pPr>
              <w:pStyle w:val="Bodytext180"/>
              <w:shd w:val="clear" w:color="auto" w:fill="auto"/>
              <w:tabs>
                <w:tab w:val="left" w:pos="1160"/>
              </w:tabs>
              <w:spacing w:before="0" w:after="160" w:line="360" w:lineRule="auto"/>
              <w:ind w:firstLine="529"/>
              <w:rPr>
                <w:rFonts w:ascii="Sylfaen" w:hAnsi="Sylfaen"/>
                <w:b w:val="0"/>
                <w:sz w:val="24"/>
                <w:szCs w:val="24"/>
                <w:lang w:val="hy-AM"/>
              </w:rPr>
            </w:pPr>
            <w:r>
              <w:rPr>
                <w:rStyle w:val="Bodytext295pt"/>
                <w:rFonts w:ascii="Sylfaen" w:hAnsi="Sylfaen"/>
                <w:spacing w:val="0"/>
                <w:sz w:val="24"/>
                <w:szCs w:val="24"/>
              </w:rPr>
              <w:t>4.5.</w:t>
            </w:r>
            <w:r w:rsidRPr="00BD7577">
              <w:rPr>
                <w:rStyle w:val="Bodytext295pt"/>
                <w:rFonts w:ascii="Sylfaen" w:hAnsi="Sylfaen"/>
                <w:spacing w:val="0"/>
                <w:sz w:val="24"/>
                <w:szCs w:val="24"/>
              </w:rPr>
              <w:tab/>
              <w:t xml:space="preserve">Վերարտադրողական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օնտոգենետիկ թունավորությունը:</w:t>
            </w:r>
          </w:p>
          <w:p w14:paraId="02F9BBA2" w14:textId="77777777" w:rsidR="008C76E0" w:rsidRPr="008C76E0" w:rsidRDefault="008C76E0" w:rsidP="008C76E0">
            <w:pPr>
              <w:pStyle w:val="Bodytext180"/>
              <w:shd w:val="clear" w:color="auto" w:fill="auto"/>
              <w:spacing w:before="0" w:after="160" w:line="360" w:lineRule="auto"/>
              <w:ind w:right="140" w:firstLine="0"/>
              <w:jc w:val="right"/>
              <w:rPr>
                <w:rFonts w:ascii="Sylfaen" w:hAnsi="Sylfaen"/>
                <w:b w:val="0"/>
                <w:sz w:val="24"/>
                <w:szCs w:val="24"/>
                <w:lang w:val="hy-AM"/>
              </w:rPr>
            </w:pPr>
            <w:r w:rsidRPr="00BD7577">
              <w:rPr>
                <w:rStyle w:val="Bodytext295pt"/>
                <w:rFonts w:ascii="Sylfaen" w:hAnsi="Sylfaen"/>
                <w:spacing w:val="0"/>
                <w:sz w:val="24"/>
                <w:szCs w:val="24"/>
              </w:rPr>
              <w:t>Անցկացված հետազոտությունների մասին տվյալներով աղյուսակի օրինակ՝</w:t>
            </w:r>
          </w:p>
        </w:tc>
      </w:tr>
      <w:tr w:rsidR="008C76E0" w:rsidRPr="00BD7577" w14:paraId="08E93753" w14:textId="77777777" w:rsidTr="008C76E0">
        <w:trPr>
          <w:jc w:val="center"/>
        </w:trPr>
        <w:tc>
          <w:tcPr>
            <w:tcW w:w="2115" w:type="dxa"/>
            <w:tcBorders>
              <w:top w:val="single" w:sz="4" w:space="0" w:color="auto"/>
              <w:left w:val="single" w:sz="4" w:space="0" w:color="auto"/>
            </w:tcBorders>
            <w:shd w:val="clear" w:color="auto" w:fill="FFFFFF"/>
          </w:tcPr>
          <w:p w14:paraId="3098B83E"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Հետազոտության տեսակը/ Նույնականացման համարը/Պատշաճ լաբորատոր գործելակերպին համապատասխա-նությունը</w:t>
            </w:r>
          </w:p>
        </w:tc>
        <w:tc>
          <w:tcPr>
            <w:tcW w:w="1418" w:type="dxa"/>
            <w:tcBorders>
              <w:top w:val="single" w:sz="4" w:space="0" w:color="auto"/>
              <w:left w:val="single" w:sz="4" w:space="0" w:color="auto"/>
            </w:tcBorders>
            <w:shd w:val="clear" w:color="auto" w:fill="FFFFFF"/>
          </w:tcPr>
          <w:p w14:paraId="6DE0DD1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Տեսակները. էգերի քանակը/</w:t>
            </w:r>
            <w:r w:rsidRPr="00BD7577">
              <w:rPr>
                <w:rStyle w:val="Bodytext1811pt"/>
                <w:rFonts w:ascii="Sylfaen" w:hAnsi="Sylfaen"/>
                <w:sz w:val="24"/>
                <w:szCs w:val="24"/>
                <w:lang w:val="en-US"/>
              </w:rPr>
              <w:t xml:space="preserve"> </w:t>
            </w:r>
            <w:r w:rsidRPr="00BD7577">
              <w:rPr>
                <w:rStyle w:val="Bodytext1811pt"/>
                <w:rFonts w:ascii="Sylfaen" w:hAnsi="Sylfaen"/>
                <w:sz w:val="24"/>
                <w:szCs w:val="24"/>
              </w:rPr>
              <w:t>խումբը</w:t>
            </w:r>
          </w:p>
        </w:tc>
        <w:tc>
          <w:tcPr>
            <w:tcW w:w="1536" w:type="dxa"/>
            <w:tcBorders>
              <w:top w:val="single" w:sz="4" w:space="0" w:color="auto"/>
              <w:left w:val="single" w:sz="4" w:space="0" w:color="auto"/>
            </w:tcBorders>
            <w:shd w:val="clear" w:color="auto" w:fill="FFFFFF"/>
          </w:tcPr>
          <w:p w14:paraId="668FA36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Ներմուծման ուղին </w:t>
            </w:r>
            <w:r w:rsidR="00C54D75">
              <w:rPr>
                <w:rStyle w:val="Bodytext1811pt"/>
                <w:rFonts w:ascii="Sylfaen" w:hAnsi="Sylfaen"/>
                <w:sz w:val="24"/>
                <w:szCs w:val="24"/>
              </w:rPr>
              <w:t>և</w:t>
            </w:r>
            <w:r w:rsidRPr="00BD7577">
              <w:rPr>
                <w:rStyle w:val="Bodytext1811pt"/>
                <w:rFonts w:ascii="Sylfaen" w:hAnsi="Sylfaen"/>
                <w:sz w:val="24"/>
                <w:szCs w:val="24"/>
              </w:rPr>
              <w:t xml:space="preserve"> դոզան</w:t>
            </w:r>
          </w:p>
        </w:tc>
        <w:tc>
          <w:tcPr>
            <w:tcW w:w="1440" w:type="dxa"/>
            <w:tcBorders>
              <w:top w:val="single" w:sz="4" w:space="0" w:color="auto"/>
              <w:left w:val="single" w:sz="4" w:space="0" w:color="auto"/>
            </w:tcBorders>
            <w:shd w:val="clear" w:color="auto" w:fill="FFFFFF"/>
          </w:tcPr>
          <w:p w14:paraId="2F7BDE9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Դոզաների ներմուծման</w:t>
            </w:r>
            <w:r w:rsidRPr="00BD7577">
              <w:rPr>
                <w:rStyle w:val="Bodytext295pt"/>
                <w:rFonts w:ascii="Sylfaen" w:hAnsi="Sylfaen"/>
                <w:spacing w:val="0"/>
                <w:sz w:val="24"/>
                <w:szCs w:val="24"/>
              </w:rPr>
              <w:t xml:space="preserve"> ժամանակահատվածը</w:t>
            </w:r>
          </w:p>
        </w:tc>
        <w:tc>
          <w:tcPr>
            <w:tcW w:w="1701" w:type="dxa"/>
            <w:tcBorders>
              <w:top w:val="single" w:sz="4" w:space="0" w:color="auto"/>
              <w:left w:val="single" w:sz="4" w:space="0" w:color="auto"/>
            </w:tcBorders>
            <w:shd w:val="clear" w:color="auto" w:fill="FFFFFF"/>
          </w:tcPr>
          <w:p w14:paraId="3E160CB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Հիմնական արդյունքները</w:t>
            </w:r>
          </w:p>
        </w:tc>
        <w:tc>
          <w:tcPr>
            <w:tcW w:w="1370" w:type="dxa"/>
            <w:tcBorders>
              <w:top w:val="single" w:sz="4" w:space="0" w:color="auto"/>
              <w:left w:val="single" w:sz="4" w:space="0" w:color="auto"/>
              <w:bottom w:val="single" w:sz="4" w:space="0" w:color="auto"/>
              <w:right w:val="single" w:sz="4" w:space="0" w:color="auto"/>
            </w:tcBorders>
            <w:shd w:val="clear" w:color="auto" w:fill="FFFFFF"/>
          </w:tcPr>
          <w:p w14:paraId="6EF35AA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NOAEL (մգ/կգ) </w:t>
            </w:r>
            <w:r w:rsidR="00C54D75">
              <w:rPr>
                <w:rStyle w:val="Bodytext1811pt"/>
                <w:rFonts w:ascii="Sylfaen" w:hAnsi="Sylfaen"/>
                <w:sz w:val="24"/>
                <w:szCs w:val="24"/>
              </w:rPr>
              <w:t>և</w:t>
            </w:r>
            <w:r w:rsidRPr="00BD7577">
              <w:rPr>
                <w:rStyle w:val="Bodytext1811pt"/>
                <w:rFonts w:ascii="Sylfaen" w:hAnsi="Sylfaen"/>
                <w:sz w:val="24"/>
                <w:szCs w:val="24"/>
              </w:rPr>
              <w:t xml:space="preserve"> AUC</w:t>
            </w:r>
          </w:p>
        </w:tc>
      </w:tr>
      <w:tr w:rsidR="008C76E0" w:rsidRPr="00BD7577" w14:paraId="00F5A130" w14:textId="77777777" w:rsidTr="008C76E0">
        <w:trPr>
          <w:trHeight w:val="919"/>
          <w:jc w:val="center"/>
        </w:trPr>
        <w:tc>
          <w:tcPr>
            <w:tcW w:w="8210" w:type="dxa"/>
            <w:gridSpan w:val="5"/>
            <w:vMerge w:val="restart"/>
            <w:tcBorders>
              <w:top w:val="single" w:sz="4" w:space="0" w:color="auto"/>
            </w:tcBorders>
            <w:shd w:val="clear" w:color="auto" w:fill="FFFFFF"/>
            <w:vAlign w:val="bottom"/>
          </w:tcPr>
          <w:p w14:paraId="75FC146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lastRenderedPageBreak/>
              <w:t>Արուների պտղաբերությունը Էգերի պտղաբերությունը</w:t>
            </w:r>
          </w:p>
          <w:p w14:paraId="62A8E9BF" w14:textId="77777777" w:rsidR="008C76E0" w:rsidRPr="008C76E0" w:rsidRDefault="008C76E0" w:rsidP="008C76E0">
            <w:pPr>
              <w:pStyle w:val="Bodytext180"/>
              <w:shd w:val="clear" w:color="auto" w:fill="auto"/>
              <w:spacing w:before="0" w:after="160" w:line="360" w:lineRule="auto"/>
              <w:ind w:firstLine="0"/>
              <w:rPr>
                <w:rFonts w:ascii="Sylfaen" w:hAnsi="Sylfaen"/>
                <w:b w:val="0"/>
                <w:sz w:val="24"/>
                <w:szCs w:val="24"/>
                <w:lang w:val="hy-AM"/>
              </w:rPr>
            </w:pPr>
            <w:r w:rsidRPr="00BD7577">
              <w:rPr>
                <w:rStyle w:val="Bodytext1811pt"/>
                <w:rFonts w:ascii="Sylfaen" w:hAnsi="Sylfaen"/>
                <w:sz w:val="24"/>
                <w:szCs w:val="24"/>
              </w:rPr>
              <w:t xml:space="preserve">Էմբրիոֆետալային զարգացում </w:t>
            </w:r>
          </w:p>
          <w:p w14:paraId="051C354F"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1811pt"/>
                <w:rFonts w:ascii="Sylfaen" w:hAnsi="Sylfaen"/>
                <w:sz w:val="24"/>
                <w:szCs w:val="24"/>
              </w:rPr>
              <w:t xml:space="preserve">Նախածննդյան </w:t>
            </w:r>
            <w:r w:rsidR="00C54D75">
              <w:rPr>
                <w:rStyle w:val="Bodytext1811pt"/>
                <w:rFonts w:ascii="Sylfaen" w:hAnsi="Sylfaen"/>
                <w:sz w:val="24"/>
                <w:szCs w:val="24"/>
              </w:rPr>
              <w:t>և</w:t>
            </w:r>
            <w:r w:rsidRPr="00BD7577">
              <w:rPr>
                <w:rStyle w:val="Bodytext1811pt"/>
                <w:rFonts w:ascii="Sylfaen" w:hAnsi="Sylfaen"/>
                <w:sz w:val="24"/>
                <w:szCs w:val="24"/>
              </w:rPr>
              <w:t xml:space="preserve"> հետծննդյան </w:t>
            </w:r>
          </w:p>
        </w:tc>
        <w:tc>
          <w:tcPr>
            <w:tcW w:w="1370" w:type="dxa"/>
            <w:tcBorders>
              <w:top w:val="single" w:sz="4" w:space="0" w:color="auto"/>
            </w:tcBorders>
            <w:shd w:val="clear" w:color="auto" w:fill="FFFFFF"/>
            <w:vAlign w:val="bottom"/>
          </w:tcPr>
          <w:p w14:paraId="2635C0E9" w14:textId="77777777" w:rsidR="008C76E0" w:rsidRPr="00BD7577" w:rsidRDefault="008C76E0" w:rsidP="008C76E0">
            <w:pPr>
              <w:rPr>
                <w:rStyle w:val="Bodytext1811pt"/>
                <w:rFonts w:ascii="Sylfaen" w:eastAsia="MS Mincho" w:hAnsi="Sylfaen"/>
                <w:b w:val="0"/>
                <w:bCs w:val="0"/>
                <w:sz w:val="24"/>
                <w:szCs w:val="24"/>
                <w:vertAlign w:val="subscript"/>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0</w:t>
            </w:r>
          </w:p>
          <w:p w14:paraId="773680BC" w14:textId="77777777" w:rsidR="008C76E0" w:rsidRPr="00BD7577" w:rsidRDefault="008C76E0" w:rsidP="008C76E0">
            <w:pPr>
              <w:rPr>
                <w:rFonts w:ascii="Sylfaen" w:hAnsi="Sylfaen"/>
                <w:sz w:val="24"/>
                <w:szCs w:val="24"/>
              </w:rPr>
            </w:pPr>
            <w:r w:rsidRPr="00BD7577">
              <w:rPr>
                <w:rStyle w:val="Bodytext1811pt"/>
                <w:rFonts w:ascii="Sylfaen" w:eastAsia="MS Mincho" w:hAnsi="Sylfaen"/>
                <w:sz w:val="24"/>
                <w:szCs w:val="24"/>
              </w:rPr>
              <w:t>F</w:t>
            </w:r>
            <w:r w:rsidRPr="00BD7577">
              <w:rPr>
                <w:rStyle w:val="Bodytext1811pt"/>
                <w:rFonts w:ascii="Sylfaen" w:eastAsia="MS Mincho" w:hAnsi="Sylfaen"/>
                <w:sz w:val="24"/>
                <w:szCs w:val="24"/>
                <w:vertAlign w:val="subscript"/>
              </w:rPr>
              <w:t>1</w:t>
            </w:r>
          </w:p>
        </w:tc>
      </w:tr>
      <w:tr w:rsidR="008C76E0" w:rsidRPr="00BD7577" w14:paraId="053A56F3" w14:textId="77777777" w:rsidTr="008C76E0">
        <w:trPr>
          <w:trHeight w:val="450"/>
          <w:jc w:val="center"/>
        </w:trPr>
        <w:tc>
          <w:tcPr>
            <w:tcW w:w="8210" w:type="dxa"/>
            <w:gridSpan w:val="5"/>
            <w:vMerge/>
            <w:shd w:val="clear" w:color="auto" w:fill="FFFFFF"/>
            <w:vAlign w:val="bottom"/>
          </w:tcPr>
          <w:p w14:paraId="6A356FB3" w14:textId="77777777" w:rsidR="008C76E0" w:rsidRPr="00BD7577" w:rsidRDefault="008C76E0" w:rsidP="008C76E0">
            <w:pPr>
              <w:pStyle w:val="Bodytext180"/>
              <w:shd w:val="clear" w:color="auto" w:fill="auto"/>
              <w:spacing w:before="0" w:after="160" w:line="360" w:lineRule="auto"/>
              <w:ind w:firstLine="0"/>
              <w:rPr>
                <w:rStyle w:val="Bodytext1811pt"/>
                <w:rFonts w:ascii="Sylfaen" w:hAnsi="Sylfaen"/>
                <w:sz w:val="24"/>
                <w:szCs w:val="24"/>
              </w:rPr>
            </w:pPr>
          </w:p>
        </w:tc>
        <w:tc>
          <w:tcPr>
            <w:tcW w:w="1370" w:type="dxa"/>
            <w:shd w:val="clear" w:color="auto" w:fill="FFFFFF"/>
            <w:vAlign w:val="bottom"/>
          </w:tcPr>
          <w:p w14:paraId="1F0B07E3" w14:textId="77777777" w:rsidR="008C76E0" w:rsidRPr="00BD7577" w:rsidRDefault="008C76E0" w:rsidP="008C76E0">
            <w:pPr>
              <w:rPr>
                <w:rStyle w:val="Bodytext1811pt"/>
                <w:rFonts w:ascii="Sylfaen" w:eastAsia="MS Mincho" w:hAnsi="Sylfaen"/>
                <w:b w:val="0"/>
                <w:bCs w:val="0"/>
                <w:sz w:val="24"/>
                <w:szCs w:val="24"/>
              </w:rPr>
            </w:pPr>
          </w:p>
        </w:tc>
      </w:tr>
      <w:tr w:rsidR="008C76E0" w:rsidRPr="00BD7577" w14:paraId="1E3E79E8" w14:textId="77777777" w:rsidTr="008C76E0">
        <w:trPr>
          <w:jc w:val="center"/>
        </w:trPr>
        <w:tc>
          <w:tcPr>
            <w:tcW w:w="9580" w:type="dxa"/>
            <w:gridSpan w:val="6"/>
            <w:tcBorders>
              <w:top w:val="single" w:sz="4" w:space="0" w:color="auto"/>
            </w:tcBorders>
            <w:shd w:val="clear" w:color="auto" w:fill="FFFFFF"/>
          </w:tcPr>
          <w:p w14:paraId="2A2666B2" w14:textId="77777777" w:rsidR="008C76E0" w:rsidRPr="00BD7577" w:rsidRDefault="008C76E0" w:rsidP="008C76E0">
            <w:pPr>
              <w:rPr>
                <w:rFonts w:ascii="Sylfaen" w:hAnsi="Sylfaen"/>
                <w:sz w:val="24"/>
                <w:szCs w:val="24"/>
              </w:rPr>
            </w:pPr>
          </w:p>
        </w:tc>
      </w:tr>
      <w:tr w:rsidR="008C76E0" w:rsidRPr="00BD7577" w14:paraId="2E348BFA" w14:textId="77777777" w:rsidTr="008C76E0">
        <w:trPr>
          <w:jc w:val="center"/>
        </w:trPr>
        <w:tc>
          <w:tcPr>
            <w:tcW w:w="9580" w:type="dxa"/>
            <w:gridSpan w:val="6"/>
            <w:tcBorders>
              <w:top w:val="single" w:sz="4" w:space="0" w:color="auto"/>
              <w:left w:val="single" w:sz="4" w:space="0" w:color="auto"/>
              <w:right w:val="single" w:sz="4" w:space="0" w:color="auto"/>
            </w:tcBorders>
            <w:shd w:val="clear" w:color="auto" w:fill="FFFFFF"/>
          </w:tcPr>
          <w:p w14:paraId="5DD77872"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C0CB06" w14:textId="77777777" w:rsidTr="008C76E0">
        <w:trPr>
          <w:jc w:val="center"/>
        </w:trPr>
        <w:tc>
          <w:tcPr>
            <w:tcW w:w="9580" w:type="dxa"/>
            <w:gridSpan w:val="6"/>
            <w:tcBorders>
              <w:top w:val="single" w:sz="4" w:space="0" w:color="auto"/>
              <w:bottom w:val="single" w:sz="4" w:space="0" w:color="auto"/>
            </w:tcBorders>
            <w:shd w:val="clear" w:color="auto" w:fill="FFFFFF"/>
          </w:tcPr>
          <w:p w14:paraId="30EAB224" w14:textId="77777777" w:rsidR="008C76E0" w:rsidRPr="008C76E0" w:rsidRDefault="008C76E0" w:rsidP="008C76E0">
            <w:pPr>
              <w:pStyle w:val="Bodytext180"/>
              <w:shd w:val="clear" w:color="auto" w:fill="auto"/>
              <w:tabs>
                <w:tab w:val="left" w:pos="1663"/>
              </w:tabs>
              <w:spacing w:before="0" w:after="160" w:line="360" w:lineRule="auto"/>
              <w:ind w:firstLine="567"/>
              <w:jc w:val="both"/>
              <w:rPr>
                <w:rFonts w:ascii="Sylfaen" w:hAnsi="Sylfaen"/>
                <w:b w:val="0"/>
                <w:sz w:val="24"/>
                <w:szCs w:val="24"/>
                <w:lang w:val="hy-AM"/>
              </w:rPr>
            </w:pPr>
            <w:r>
              <w:rPr>
                <w:rStyle w:val="Bodytext295pt"/>
                <w:rFonts w:ascii="Sylfaen" w:hAnsi="Sylfaen"/>
                <w:spacing w:val="0"/>
                <w:sz w:val="24"/>
                <w:szCs w:val="24"/>
              </w:rPr>
              <w:t>4.5.1.</w:t>
            </w:r>
            <w:r w:rsidRPr="00DD61E4">
              <w:rPr>
                <w:rStyle w:val="Bodytext295pt"/>
                <w:rFonts w:ascii="Sylfaen" w:hAnsi="Sylfaen"/>
                <w:spacing w:val="0"/>
                <w:sz w:val="24"/>
                <w:szCs w:val="24"/>
              </w:rPr>
              <w:tab/>
            </w:r>
            <w:r w:rsidRPr="00BD7577">
              <w:rPr>
                <w:rStyle w:val="Bodytext295pt"/>
                <w:rFonts w:ascii="Sylfaen" w:hAnsi="Sylfaen"/>
                <w:spacing w:val="0"/>
                <w:sz w:val="24"/>
                <w:szCs w:val="24"/>
              </w:rPr>
              <w:t xml:space="preserve">Պտղաբերությունը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վաղ սաղմնային զարգացումը:</w:t>
            </w:r>
          </w:p>
        </w:tc>
      </w:tr>
      <w:tr w:rsidR="008C76E0" w:rsidRPr="00BD7577" w14:paraId="3DD6E203" w14:textId="77777777" w:rsidTr="008C76E0">
        <w:trPr>
          <w:jc w:val="center"/>
        </w:trPr>
        <w:tc>
          <w:tcPr>
            <w:tcW w:w="9580" w:type="dxa"/>
            <w:gridSpan w:val="6"/>
            <w:tcBorders>
              <w:top w:val="single" w:sz="4" w:space="0" w:color="auto"/>
            </w:tcBorders>
            <w:shd w:val="clear" w:color="auto" w:fill="FFFFFF"/>
          </w:tcPr>
          <w:p w14:paraId="1D3964A5" w14:textId="77777777" w:rsidR="008C76E0" w:rsidRDefault="008C76E0" w:rsidP="008C76E0">
            <w:pPr>
              <w:pStyle w:val="Bodytext180"/>
              <w:shd w:val="clear" w:color="auto" w:fill="auto"/>
              <w:tabs>
                <w:tab w:val="left" w:pos="1663"/>
              </w:tabs>
              <w:spacing w:before="0" w:after="160" w:line="360" w:lineRule="auto"/>
              <w:ind w:firstLine="567"/>
              <w:rPr>
                <w:rStyle w:val="Bodytext295pt"/>
                <w:rFonts w:ascii="Sylfaen" w:hAnsi="Sylfaen"/>
                <w:spacing w:val="0"/>
                <w:sz w:val="24"/>
                <w:szCs w:val="24"/>
              </w:rPr>
            </w:pPr>
          </w:p>
        </w:tc>
      </w:tr>
    </w:tbl>
    <w:p w14:paraId="77A95F48"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5C57E2E4"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37B95753"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B5495D" w14:textId="77777777" w:rsidTr="008C76E0">
        <w:trPr>
          <w:jc w:val="center"/>
        </w:trPr>
        <w:tc>
          <w:tcPr>
            <w:tcW w:w="9580" w:type="dxa"/>
            <w:tcBorders>
              <w:top w:val="single" w:sz="4" w:space="0" w:color="auto"/>
            </w:tcBorders>
            <w:shd w:val="clear" w:color="auto" w:fill="FFFFFF"/>
          </w:tcPr>
          <w:p w14:paraId="32A83991" w14:textId="77777777" w:rsidR="008C76E0" w:rsidRPr="00BD7577" w:rsidRDefault="008C76E0" w:rsidP="008C76E0">
            <w:pPr>
              <w:pStyle w:val="Bodytext180"/>
              <w:shd w:val="clear" w:color="auto" w:fill="auto"/>
              <w:tabs>
                <w:tab w:val="left" w:pos="1663"/>
              </w:tabs>
              <w:spacing w:before="0" w:after="160" w:line="360" w:lineRule="auto"/>
              <w:ind w:firstLine="567"/>
              <w:rPr>
                <w:rFonts w:ascii="Sylfaen" w:hAnsi="Sylfaen"/>
                <w:b w:val="0"/>
                <w:sz w:val="24"/>
                <w:szCs w:val="24"/>
              </w:rPr>
            </w:pPr>
            <w:r>
              <w:rPr>
                <w:rStyle w:val="Bodytext295pt"/>
                <w:rFonts w:ascii="Sylfaen" w:hAnsi="Sylfaen"/>
                <w:spacing w:val="0"/>
                <w:sz w:val="24"/>
                <w:szCs w:val="24"/>
              </w:rPr>
              <w:t>4.5.2.</w:t>
            </w:r>
            <w:r w:rsidRPr="00BD7577">
              <w:rPr>
                <w:rStyle w:val="Bodytext295pt"/>
                <w:rFonts w:ascii="Sylfaen" w:hAnsi="Sylfaen"/>
                <w:spacing w:val="0"/>
                <w:sz w:val="24"/>
                <w:szCs w:val="24"/>
              </w:rPr>
              <w:tab/>
              <w:t>Էմբրիոֆետալային զարգացումը:</w:t>
            </w:r>
          </w:p>
        </w:tc>
      </w:tr>
    </w:tbl>
    <w:p w14:paraId="17CC5EE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1E5A2AC6"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1660E5BC"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4196E66" w14:textId="77777777" w:rsidTr="008C76E0">
        <w:trPr>
          <w:jc w:val="center"/>
        </w:trPr>
        <w:tc>
          <w:tcPr>
            <w:tcW w:w="9580" w:type="dxa"/>
            <w:tcBorders>
              <w:top w:val="single" w:sz="4" w:space="0" w:color="auto"/>
            </w:tcBorders>
            <w:shd w:val="clear" w:color="auto" w:fill="FFFFFF"/>
          </w:tcPr>
          <w:p w14:paraId="0427C0BB" w14:textId="77777777" w:rsidR="008C76E0" w:rsidRPr="008C76E0" w:rsidRDefault="008C76E0" w:rsidP="008C76E0">
            <w:pPr>
              <w:pStyle w:val="Bodytext180"/>
              <w:shd w:val="clear" w:color="auto" w:fill="auto"/>
              <w:tabs>
                <w:tab w:val="left" w:pos="1611"/>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4.5.3.</w:t>
            </w:r>
            <w:r w:rsidRPr="00BD7577">
              <w:rPr>
                <w:rStyle w:val="Bodytext295pt"/>
                <w:rFonts w:ascii="Sylfaen" w:hAnsi="Sylfaen"/>
                <w:spacing w:val="0"/>
                <w:sz w:val="24"/>
                <w:szCs w:val="24"/>
              </w:rPr>
              <w:tab/>
              <w:t xml:space="preserve">Նախածննդյան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հետծննդյան զարգացումը՝ ներառյալ մայրական ֆունկցիան:</w:t>
            </w:r>
          </w:p>
        </w:tc>
      </w:tr>
    </w:tbl>
    <w:p w14:paraId="5EACF5D3"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80"/>
      </w:tblGrid>
      <w:tr w:rsidR="008C76E0" w:rsidRPr="00BD7577" w14:paraId="6A3F94D8" w14:textId="77777777" w:rsidTr="008C76E0">
        <w:trPr>
          <w:jc w:val="center"/>
        </w:trPr>
        <w:tc>
          <w:tcPr>
            <w:tcW w:w="9580" w:type="dxa"/>
            <w:tcBorders>
              <w:top w:val="single" w:sz="4" w:space="0" w:color="auto"/>
              <w:left w:val="single" w:sz="4" w:space="0" w:color="auto"/>
              <w:right w:val="single" w:sz="4" w:space="0" w:color="auto"/>
            </w:tcBorders>
            <w:shd w:val="clear" w:color="auto" w:fill="FFFFFF"/>
          </w:tcPr>
          <w:p w14:paraId="2C5F976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9C00BF6" w14:textId="77777777" w:rsidTr="008C76E0">
        <w:trPr>
          <w:jc w:val="center"/>
        </w:trPr>
        <w:tc>
          <w:tcPr>
            <w:tcW w:w="9580" w:type="dxa"/>
            <w:tcBorders>
              <w:top w:val="single" w:sz="4" w:space="0" w:color="auto"/>
            </w:tcBorders>
            <w:shd w:val="clear" w:color="auto" w:fill="FFFFFF"/>
          </w:tcPr>
          <w:p w14:paraId="243E012E" w14:textId="77777777" w:rsidR="008C76E0" w:rsidRPr="008C76E0" w:rsidRDefault="008C76E0" w:rsidP="008C76E0">
            <w:pPr>
              <w:pStyle w:val="Bodytext180"/>
              <w:shd w:val="clear" w:color="auto" w:fill="auto"/>
              <w:tabs>
                <w:tab w:val="left" w:pos="1663"/>
              </w:tabs>
              <w:spacing w:before="0" w:after="160" w:line="360" w:lineRule="auto"/>
              <w:ind w:right="101" w:firstLine="567"/>
              <w:jc w:val="both"/>
              <w:rPr>
                <w:rFonts w:ascii="Sylfaen" w:hAnsi="Sylfaen"/>
                <w:b w:val="0"/>
                <w:sz w:val="24"/>
                <w:szCs w:val="24"/>
                <w:lang w:val="hy-AM"/>
              </w:rPr>
            </w:pPr>
            <w:r>
              <w:rPr>
                <w:rStyle w:val="Bodytext295pt"/>
                <w:rFonts w:ascii="Sylfaen" w:hAnsi="Sylfaen"/>
                <w:spacing w:val="0"/>
                <w:sz w:val="24"/>
                <w:szCs w:val="24"/>
              </w:rPr>
              <w:t>4.5.4.</w:t>
            </w:r>
            <w:r w:rsidRPr="00BD7577">
              <w:rPr>
                <w:rStyle w:val="Bodytext295pt"/>
                <w:rFonts w:ascii="Sylfaen" w:hAnsi="Sylfaen"/>
                <w:spacing w:val="0"/>
                <w:sz w:val="24"/>
                <w:szCs w:val="24"/>
              </w:rPr>
              <w:tab/>
              <w:t xml:space="preserve">Հետազոտություններ, որոնցում պատրաստուկը ներարկվում է ոչ սեռահասուն առանձնյակներին,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անցկացվում է դրա զարգացման հետագա գնահատում: </w:t>
            </w:r>
          </w:p>
        </w:tc>
      </w:tr>
    </w:tbl>
    <w:p w14:paraId="5797DCCB" w14:textId="77777777" w:rsidR="008C76E0" w:rsidRPr="00BD7577" w:rsidRDefault="008C76E0" w:rsidP="008C76E0">
      <w:pPr>
        <w:rPr>
          <w:rFonts w:ascii="Sylfaen" w:hAnsi="Sylfaen"/>
          <w:sz w:val="24"/>
          <w:szCs w:val="24"/>
        </w:rPr>
      </w:pPr>
    </w:p>
    <w:tbl>
      <w:tblPr>
        <w:tblOverlap w:val="never"/>
        <w:tblW w:w="9580" w:type="dxa"/>
        <w:jc w:val="center"/>
        <w:tblLayout w:type="fixed"/>
        <w:tblCellMar>
          <w:left w:w="10" w:type="dxa"/>
          <w:right w:w="10" w:type="dxa"/>
        </w:tblCellMar>
        <w:tblLook w:val="04A0" w:firstRow="1" w:lastRow="0" w:firstColumn="1" w:lastColumn="0" w:noHBand="0" w:noVBand="1"/>
      </w:tblPr>
      <w:tblGrid>
        <w:gridCol w:w="9566"/>
        <w:gridCol w:w="14"/>
      </w:tblGrid>
      <w:tr w:rsidR="008C76E0" w:rsidRPr="00BD7577" w14:paraId="3B3E5EFE" w14:textId="77777777" w:rsidTr="008C76E0">
        <w:trPr>
          <w:jc w:val="center"/>
        </w:trPr>
        <w:tc>
          <w:tcPr>
            <w:tcW w:w="958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FE3E78"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Փորձագետի մեկնաբանությունը</w:t>
            </w:r>
          </w:p>
          <w:p w14:paraId="6FAF82EB" w14:textId="77777777" w:rsidR="008C76E0" w:rsidRPr="008C76E0" w:rsidRDefault="008C76E0" w:rsidP="008C76E0">
            <w:pPr>
              <w:pStyle w:val="Bodytext180"/>
              <w:shd w:val="clear" w:color="auto" w:fill="auto"/>
              <w:spacing w:before="0" w:after="160" w:line="360" w:lineRule="auto"/>
              <w:ind w:firstLine="0"/>
              <w:jc w:val="both"/>
              <w:rPr>
                <w:rFonts w:ascii="Sylfaen" w:hAnsi="Sylfaen"/>
                <w:b w:val="0"/>
                <w:sz w:val="24"/>
                <w:szCs w:val="24"/>
                <w:lang w:val="hy-AM"/>
              </w:rPr>
            </w:pPr>
            <w:r w:rsidRPr="00BD7577">
              <w:rPr>
                <w:rStyle w:val="Bodytext295pt"/>
                <w:rFonts w:ascii="Sylfaen" w:hAnsi="Sylfaen"/>
                <w:spacing w:val="0"/>
                <w:sz w:val="24"/>
                <w:szCs w:val="24"/>
              </w:rPr>
              <w:t>Վերարտադրողական թունավորության վերաբերյալ եզրակացությունները:</w:t>
            </w:r>
          </w:p>
        </w:tc>
      </w:tr>
      <w:tr w:rsidR="008C76E0" w:rsidRPr="00BD7577" w14:paraId="3B2E8B47" w14:textId="77777777" w:rsidTr="008C76E0">
        <w:trPr>
          <w:gridAfter w:val="1"/>
          <w:wAfter w:w="14" w:type="dxa"/>
          <w:jc w:val="center"/>
        </w:trPr>
        <w:tc>
          <w:tcPr>
            <w:tcW w:w="9566" w:type="dxa"/>
            <w:shd w:val="clear" w:color="auto" w:fill="FFFFFF"/>
          </w:tcPr>
          <w:p w14:paraId="62CF0638" w14:textId="77777777" w:rsidR="008C76E0" w:rsidRPr="00BD7577" w:rsidRDefault="008C76E0" w:rsidP="008C76E0">
            <w:pPr>
              <w:pStyle w:val="Bodytext180"/>
              <w:shd w:val="clear" w:color="auto" w:fill="auto"/>
              <w:tabs>
                <w:tab w:val="left" w:pos="113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Տեղային տանելիությունը։</w:t>
            </w:r>
          </w:p>
        </w:tc>
      </w:tr>
    </w:tbl>
    <w:p w14:paraId="03A20314"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7A0D14AA"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5CD96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383F6A3" w14:textId="77777777" w:rsidTr="008C76E0">
        <w:trPr>
          <w:jc w:val="center"/>
        </w:trPr>
        <w:tc>
          <w:tcPr>
            <w:tcW w:w="9566" w:type="dxa"/>
            <w:tcBorders>
              <w:top w:val="single" w:sz="4" w:space="0" w:color="auto"/>
            </w:tcBorders>
            <w:shd w:val="clear" w:color="auto" w:fill="FFFFFF"/>
          </w:tcPr>
          <w:p w14:paraId="62DEAC46" w14:textId="77777777" w:rsidR="008C76E0" w:rsidRPr="00BD7577" w:rsidRDefault="008C76E0" w:rsidP="008C76E0">
            <w:pPr>
              <w:pStyle w:val="Bodytext180"/>
              <w:shd w:val="clear" w:color="auto" w:fill="auto"/>
              <w:tabs>
                <w:tab w:val="left" w:pos="1089"/>
              </w:tabs>
              <w:spacing w:before="0" w:after="160" w:line="360" w:lineRule="auto"/>
              <w:ind w:firstLine="567"/>
              <w:rPr>
                <w:rFonts w:ascii="Sylfaen" w:hAnsi="Sylfaen"/>
                <w:b w:val="0"/>
                <w:sz w:val="24"/>
                <w:szCs w:val="24"/>
              </w:rPr>
            </w:pPr>
            <w:r>
              <w:rPr>
                <w:rStyle w:val="Bodytext295pt"/>
                <w:rFonts w:ascii="Sylfaen" w:hAnsi="Sylfaen"/>
                <w:spacing w:val="0"/>
                <w:sz w:val="24"/>
                <w:szCs w:val="24"/>
              </w:rPr>
              <w:t>4.7.</w:t>
            </w:r>
            <w:r w:rsidRPr="00BD7577">
              <w:rPr>
                <w:rStyle w:val="Bodytext295pt"/>
                <w:rFonts w:ascii="Sylfaen" w:hAnsi="Sylfaen"/>
                <w:spacing w:val="0"/>
                <w:sz w:val="24"/>
                <w:szCs w:val="24"/>
              </w:rPr>
              <w:tab/>
              <w:t>Թունավորության այլ հետազոտություններ:</w:t>
            </w:r>
          </w:p>
        </w:tc>
      </w:tr>
    </w:tbl>
    <w:p w14:paraId="489992B2"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6123A8"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69D9B7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FE93B9" w14:textId="77777777" w:rsidTr="008C76E0">
        <w:trPr>
          <w:jc w:val="center"/>
        </w:trPr>
        <w:tc>
          <w:tcPr>
            <w:tcW w:w="9566" w:type="dxa"/>
            <w:tcBorders>
              <w:top w:val="single" w:sz="4" w:space="0" w:color="auto"/>
            </w:tcBorders>
            <w:shd w:val="clear" w:color="auto" w:fill="FFFFFF"/>
          </w:tcPr>
          <w:p w14:paraId="54A1A33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4.7.1.</w:t>
            </w:r>
            <w:r w:rsidRPr="00BD7577">
              <w:rPr>
                <w:rStyle w:val="Bodytext295pt"/>
                <w:rFonts w:ascii="Sylfaen" w:hAnsi="Sylfaen"/>
                <w:spacing w:val="0"/>
                <w:sz w:val="24"/>
                <w:szCs w:val="24"/>
              </w:rPr>
              <w:tab/>
              <w:t>Հակածնությունը:</w:t>
            </w:r>
          </w:p>
        </w:tc>
      </w:tr>
    </w:tbl>
    <w:p w14:paraId="5C7602E3"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7798B65"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3659A0C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E38C0A" w14:textId="77777777" w:rsidTr="008C76E0">
        <w:trPr>
          <w:jc w:val="center"/>
        </w:trPr>
        <w:tc>
          <w:tcPr>
            <w:tcW w:w="9566" w:type="dxa"/>
            <w:tcBorders>
              <w:top w:val="single" w:sz="4" w:space="0" w:color="auto"/>
            </w:tcBorders>
            <w:shd w:val="clear" w:color="auto" w:fill="FFFFFF"/>
          </w:tcPr>
          <w:p w14:paraId="7CE575C2"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4.7.2.</w:t>
            </w:r>
            <w:r>
              <w:rPr>
                <w:rStyle w:val="Bodytext295pt"/>
                <w:rFonts w:ascii="Sylfaen" w:hAnsi="Sylfaen"/>
                <w:spacing w:val="0"/>
                <w:sz w:val="24"/>
                <w:szCs w:val="24"/>
                <w:lang w:val="en-US"/>
              </w:rPr>
              <w:tab/>
            </w:r>
            <w:r w:rsidRPr="00BD7577">
              <w:rPr>
                <w:rStyle w:val="Bodytext295pt"/>
                <w:rFonts w:ascii="Sylfaen" w:hAnsi="Sylfaen"/>
                <w:spacing w:val="0"/>
                <w:sz w:val="24"/>
                <w:szCs w:val="24"/>
              </w:rPr>
              <w:t>Իմունոտոքսիկություն:</w:t>
            </w:r>
          </w:p>
        </w:tc>
      </w:tr>
      <w:tr w:rsidR="008C76E0" w:rsidRPr="00BD7577" w14:paraId="4251A584"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798019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F816251" w14:textId="77777777" w:rsidTr="008C76E0">
        <w:trPr>
          <w:jc w:val="center"/>
        </w:trPr>
        <w:tc>
          <w:tcPr>
            <w:tcW w:w="9566" w:type="dxa"/>
            <w:tcBorders>
              <w:top w:val="single" w:sz="4" w:space="0" w:color="auto"/>
            </w:tcBorders>
            <w:shd w:val="clear" w:color="auto" w:fill="FFFFFF"/>
          </w:tcPr>
          <w:p w14:paraId="51478335"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4.7.3.</w:t>
            </w:r>
            <w:r w:rsidRPr="00BD7577">
              <w:rPr>
                <w:rStyle w:val="Bodytext295pt"/>
                <w:rFonts w:ascii="Sylfaen" w:hAnsi="Sylfaen"/>
                <w:spacing w:val="0"/>
                <w:sz w:val="24"/>
                <w:szCs w:val="24"/>
              </w:rPr>
              <w:tab/>
              <w:t>Կախվածություն:</w:t>
            </w:r>
          </w:p>
        </w:tc>
      </w:tr>
    </w:tbl>
    <w:p w14:paraId="61A5A400" w14:textId="77777777" w:rsidR="008C76E0" w:rsidRDefault="008C76E0" w:rsidP="008C76E0">
      <w:pPr>
        <w:rPr>
          <w:rFonts w:ascii="Sylfaen" w:hAnsi="Sylfaen"/>
          <w:sz w:val="24"/>
          <w:szCs w:val="24"/>
          <w:lang w:val="en-US"/>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2C03D6AE"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2A91876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9B02DF1" w14:textId="77777777" w:rsidTr="008C76E0">
        <w:trPr>
          <w:jc w:val="center"/>
        </w:trPr>
        <w:tc>
          <w:tcPr>
            <w:tcW w:w="9566" w:type="dxa"/>
            <w:tcBorders>
              <w:top w:val="single" w:sz="4" w:space="0" w:color="auto"/>
            </w:tcBorders>
            <w:shd w:val="clear" w:color="auto" w:fill="FFFFFF"/>
          </w:tcPr>
          <w:p w14:paraId="2A4F9266"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4.7.4.</w:t>
            </w:r>
            <w:r w:rsidRPr="00BD7577">
              <w:rPr>
                <w:rStyle w:val="Bodytext295pt"/>
                <w:rFonts w:ascii="Sylfaen" w:hAnsi="Sylfaen"/>
                <w:spacing w:val="0"/>
                <w:sz w:val="24"/>
                <w:szCs w:val="24"/>
              </w:rPr>
              <w:tab/>
              <w:t>Մետաբոլիտներ:</w:t>
            </w:r>
          </w:p>
        </w:tc>
      </w:tr>
    </w:tbl>
    <w:p w14:paraId="06DF5D0E" w14:textId="77777777" w:rsidR="008C76E0" w:rsidRPr="00BD7577" w:rsidRDefault="008C76E0" w:rsidP="008C76E0">
      <w:pPr>
        <w:rPr>
          <w:rFonts w:ascii="Sylfaen" w:hAnsi="Sylfaen"/>
          <w:sz w:val="24"/>
          <w:szCs w:val="24"/>
        </w:rPr>
      </w:pPr>
    </w:p>
    <w:tbl>
      <w:tblPr>
        <w:tblOverlap w:val="never"/>
        <w:tblW w:w="9566" w:type="dxa"/>
        <w:jc w:val="center"/>
        <w:tblLayout w:type="fixed"/>
        <w:tblCellMar>
          <w:left w:w="10" w:type="dxa"/>
          <w:right w:w="10" w:type="dxa"/>
        </w:tblCellMar>
        <w:tblLook w:val="04A0" w:firstRow="1" w:lastRow="0" w:firstColumn="1" w:lastColumn="0" w:noHBand="0" w:noVBand="1"/>
      </w:tblPr>
      <w:tblGrid>
        <w:gridCol w:w="9566"/>
      </w:tblGrid>
      <w:tr w:rsidR="008C76E0" w:rsidRPr="00BD7577" w14:paraId="549C66E9" w14:textId="77777777" w:rsidTr="008C76E0">
        <w:trPr>
          <w:jc w:val="center"/>
        </w:trPr>
        <w:tc>
          <w:tcPr>
            <w:tcW w:w="9566" w:type="dxa"/>
            <w:tcBorders>
              <w:top w:val="single" w:sz="4" w:space="0" w:color="auto"/>
              <w:left w:val="single" w:sz="4" w:space="0" w:color="auto"/>
              <w:right w:val="single" w:sz="4" w:space="0" w:color="auto"/>
            </w:tcBorders>
            <w:shd w:val="clear" w:color="auto" w:fill="FFFFFF"/>
          </w:tcPr>
          <w:p w14:paraId="4201A8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4AB59B4" w14:textId="77777777" w:rsidTr="008C76E0">
        <w:trPr>
          <w:jc w:val="center"/>
        </w:trPr>
        <w:tc>
          <w:tcPr>
            <w:tcW w:w="9566" w:type="dxa"/>
            <w:tcBorders>
              <w:top w:val="single" w:sz="4" w:space="0" w:color="auto"/>
            </w:tcBorders>
            <w:shd w:val="clear" w:color="auto" w:fill="FFFFFF"/>
          </w:tcPr>
          <w:p w14:paraId="0F24DFD3" w14:textId="77777777" w:rsidR="008C76E0" w:rsidRPr="00BD7577" w:rsidRDefault="008C76E0" w:rsidP="008C76E0">
            <w:pPr>
              <w:pStyle w:val="Bodytext180"/>
              <w:shd w:val="clear" w:color="auto" w:fill="auto"/>
              <w:tabs>
                <w:tab w:val="left" w:pos="1656"/>
              </w:tabs>
              <w:spacing w:before="0" w:after="160" w:line="360" w:lineRule="auto"/>
              <w:ind w:firstLine="567"/>
              <w:rPr>
                <w:rFonts w:ascii="Sylfaen" w:hAnsi="Sylfaen"/>
                <w:b w:val="0"/>
                <w:sz w:val="24"/>
                <w:szCs w:val="24"/>
              </w:rPr>
            </w:pPr>
            <w:r>
              <w:rPr>
                <w:rStyle w:val="Bodytext295pt"/>
                <w:rFonts w:ascii="Sylfaen" w:hAnsi="Sylfaen"/>
                <w:spacing w:val="0"/>
                <w:sz w:val="24"/>
                <w:szCs w:val="24"/>
              </w:rPr>
              <w:t>4.7.5.</w:t>
            </w:r>
            <w:r w:rsidRPr="00BD7577">
              <w:rPr>
                <w:rStyle w:val="Bodytext295pt"/>
                <w:rFonts w:ascii="Sylfaen" w:hAnsi="Sylfaen"/>
                <w:spacing w:val="0"/>
                <w:sz w:val="24"/>
                <w:szCs w:val="24"/>
              </w:rPr>
              <w:tab/>
              <w:t>Խառնուկների հետազոտություններ:</w:t>
            </w:r>
          </w:p>
        </w:tc>
      </w:tr>
    </w:tbl>
    <w:p w14:paraId="0C9CFCC6"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9566"/>
        <w:gridCol w:w="49"/>
      </w:tblGrid>
      <w:tr w:rsidR="008C76E0" w:rsidRPr="00BD7577" w14:paraId="1769C99E" w14:textId="77777777" w:rsidTr="008C76E0">
        <w:trPr>
          <w:gridAfter w:val="1"/>
          <w:wAfter w:w="49" w:type="dxa"/>
          <w:jc w:val="center"/>
        </w:trPr>
        <w:tc>
          <w:tcPr>
            <w:tcW w:w="9566" w:type="dxa"/>
            <w:tcBorders>
              <w:top w:val="single" w:sz="4" w:space="0" w:color="auto"/>
              <w:left w:val="single" w:sz="4" w:space="0" w:color="auto"/>
              <w:bottom w:val="single" w:sz="4" w:space="0" w:color="auto"/>
              <w:right w:val="single" w:sz="4" w:space="0" w:color="auto"/>
            </w:tcBorders>
            <w:shd w:val="clear" w:color="auto" w:fill="FFFFFF"/>
          </w:tcPr>
          <w:p w14:paraId="7D99FC1C"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04CD1B8" w14:textId="77777777" w:rsidTr="008C76E0">
        <w:trPr>
          <w:trHeight w:val="616"/>
          <w:jc w:val="center"/>
        </w:trPr>
        <w:tc>
          <w:tcPr>
            <w:tcW w:w="9615" w:type="dxa"/>
            <w:gridSpan w:val="2"/>
            <w:shd w:val="clear" w:color="auto" w:fill="FFFFFF"/>
          </w:tcPr>
          <w:p w14:paraId="50686739" w14:textId="77777777" w:rsidR="008C76E0" w:rsidRPr="00BD7577" w:rsidRDefault="008C76E0" w:rsidP="008C76E0">
            <w:pPr>
              <w:pStyle w:val="Bodytext180"/>
              <w:shd w:val="clear" w:color="auto" w:fill="auto"/>
              <w:tabs>
                <w:tab w:val="left" w:pos="1680"/>
              </w:tabs>
              <w:spacing w:before="0" w:after="160" w:line="360" w:lineRule="auto"/>
              <w:ind w:firstLine="567"/>
              <w:rPr>
                <w:rFonts w:ascii="Sylfaen" w:hAnsi="Sylfaen"/>
                <w:b w:val="0"/>
                <w:sz w:val="24"/>
                <w:szCs w:val="24"/>
              </w:rPr>
            </w:pPr>
            <w:r>
              <w:rPr>
                <w:rStyle w:val="Bodytext295pt"/>
                <w:rFonts w:ascii="Sylfaen" w:hAnsi="Sylfaen"/>
                <w:spacing w:val="0"/>
                <w:sz w:val="24"/>
                <w:szCs w:val="24"/>
              </w:rPr>
              <w:t>4.7.6.</w:t>
            </w:r>
            <w:r w:rsidRPr="00BD7577">
              <w:rPr>
                <w:rStyle w:val="Bodytext295pt"/>
                <w:rFonts w:ascii="Sylfaen" w:hAnsi="Sylfaen"/>
                <w:spacing w:val="0"/>
                <w:sz w:val="24"/>
                <w:szCs w:val="24"/>
              </w:rPr>
              <w:tab/>
              <w:t>Այլ հետազոտություններ:</w:t>
            </w:r>
          </w:p>
        </w:tc>
      </w:tr>
    </w:tbl>
    <w:p w14:paraId="2E165BC8" w14:textId="77777777" w:rsidR="008C76E0" w:rsidRPr="00BD7577" w:rsidRDefault="008C76E0" w:rsidP="008C76E0">
      <w:pPr>
        <w:rPr>
          <w:rFonts w:ascii="Sylfaen" w:hAnsi="Sylfaen"/>
          <w:sz w:val="24"/>
          <w:szCs w:val="24"/>
        </w:rPr>
      </w:pPr>
    </w:p>
    <w:tbl>
      <w:tblPr>
        <w:tblOverlap w:val="never"/>
        <w:tblW w:w="9615" w:type="dxa"/>
        <w:jc w:val="center"/>
        <w:tblLayout w:type="fixed"/>
        <w:tblCellMar>
          <w:left w:w="10" w:type="dxa"/>
          <w:right w:w="10" w:type="dxa"/>
        </w:tblCellMar>
        <w:tblLook w:val="04A0" w:firstRow="1" w:lastRow="0" w:firstColumn="1" w:lastColumn="0" w:noHBand="0" w:noVBand="1"/>
      </w:tblPr>
      <w:tblGrid>
        <w:gridCol w:w="8242"/>
        <w:gridCol w:w="1373"/>
      </w:tblGrid>
      <w:tr w:rsidR="008C76E0" w:rsidRPr="00BD7577" w14:paraId="69DBBF36" w14:textId="77777777" w:rsidTr="008C76E0">
        <w:trPr>
          <w:jc w:val="center"/>
        </w:trPr>
        <w:tc>
          <w:tcPr>
            <w:tcW w:w="9615" w:type="dxa"/>
            <w:gridSpan w:val="2"/>
            <w:tcBorders>
              <w:top w:val="single" w:sz="4" w:space="0" w:color="auto"/>
              <w:left w:val="single" w:sz="4" w:space="0" w:color="auto"/>
              <w:right w:val="single" w:sz="4" w:space="0" w:color="auto"/>
            </w:tcBorders>
            <w:shd w:val="clear" w:color="auto" w:fill="FFFFFF"/>
          </w:tcPr>
          <w:p w14:paraId="2ACBDCA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DA07DE6" w14:textId="77777777" w:rsidTr="008C76E0">
        <w:trPr>
          <w:jc w:val="center"/>
        </w:trPr>
        <w:tc>
          <w:tcPr>
            <w:tcW w:w="9615" w:type="dxa"/>
            <w:gridSpan w:val="2"/>
            <w:tcBorders>
              <w:top w:val="single" w:sz="4" w:space="0" w:color="auto"/>
            </w:tcBorders>
            <w:shd w:val="clear" w:color="auto" w:fill="FFFFFF"/>
            <w:vAlign w:val="center"/>
          </w:tcPr>
          <w:p w14:paraId="2E4379B2" w14:textId="77777777" w:rsidR="008C76E0" w:rsidRPr="00BD7577"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r>
              <w:rPr>
                <w:rStyle w:val="Bodytext295pt"/>
                <w:rFonts w:ascii="Sylfaen" w:hAnsi="Sylfaen"/>
                <w:spacing w:val="0"/>
                <w:sz w:val="24"/>
                <w:szCs w:val="24"/>
              </w:rPr>
              <w:lastRenderedPageBreak/>
              <w:t>4.8.</w:t>
            </w:r>
            <w:r w:rsidRPr="00BD7577">
              <w:rPr>
                <w:rStyle w:val="Bodytext295pt"/>
                <w:rFonts w:ascii="Sylfaen" w:hAnsi="Sylfaen"/>
                <w:spacing w:val="0"/>
                <w:sz w:val="24"/>
                <w:szCs w:val="24"/>
              </w:rPr>
              <w:tab/>
              <w:t>Գնահատման գծով փորձագետի՝թունաբանության վերաբերյալ ընդհանուր եզրակացությունը:</w:t>
            </w:r>
          </w:p>
        </w:tc>
      </w:tr>
      <w:tr w:rsidR="008C76E0" w:rsidRPr="00BD7577" w14:paraId="570FFECF" w14:textId="77777777" w:rsidTr="008C76E0">
        <w:trPr>
          <w:jc w:val="center"/>
        </w:trPr>
        <w:tc>
          <w:tcPr>
            <w:tcW w:w="9615" w:type="dxa"/>
            <w:gridSpan w:val="2"/>
            <w:shd w:val="clear" w:color="auto" w:fill="FFFFFF"/>
            <w:vAlign w:val="center"/>
          </w:tcPr>
          <w:p w14:paraId="410AD166" w14:textId="77777777" w:rsidR="008C76E0" w:rsidRPr="00BD7577" w:rsidRDefault="008C76E0" w:rsidP="008C76E0">
            <w:pPr>
              <w:pStyle w:val="Bodytext180"/>
              <w:shd w:val="clear" w:color="auto" w:fill="auto"/>
              <w:tabs>
                <w:tab w:val="left" w:pos="1113"/>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5.</w:t>
            </w:r>
            <w:r w:rsidRPr="00BD7577">
              <w:rPr>
                <w:rStyle w:val="Bodytext295pt"/>
                <w:rFonts w:ascii="Sylfaen" w:hAnsi="Sylfaen"/>
                <w:spacing w:val="0"/>
                <w:sz w:val="24"/>
                <w:szCs w:val="24"/>
              </w:rPr>
              <w:tab/>
              <w:t>Գրականության ցանկը:</w:t>
            </w:r>
          </w:p>
        </w:tc>
      </w:tr>
      <w:tr w:rsidR="008C76E0" w:rsidRPr="00BD7577" w14:paraId="7BB004D7" w14:textId="77777777" w:rsidTr="008C76E0">
        <w:trPr>
          <w:jc w:val="center"/>
        </w:trPr>
        <w:tc>
          <w:tcPr>
            <w:tcW w:w="9615" w:type="dxa"/>
            <w:gridSpan w:val="2"/>
            <w:shd w:val="clear" w:color="auto" w:fill="FFFFFF"/>
            <w:vAlign w:val="center"/>
          </w:tcPr>
          <w:p w14:paraId="1BAF335A"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spacing w:val="0"/>
                <w:sz w:val="24"/>
                <w:szCs w:val="24"/>
              </w:rPr>
            </w:pPr>
            <w:r w:rsidRPr="00BD7577">
              <w:rPr>
                <w:rStyle w:val="Bodytext295pt"/>
                <w:rFonts w:ascii="Sylfaen" w:hAnsi="Sylfaen"/>
                <w:spacing w:val="0"/>
                <w:sz w:val="24"/>
                <w:szCs w:val="24"/>
              </w:rPr>
              <w:t>6.</w:t>
            </w:r>
            <w:r w:rsidRPr="00BD7577">
              <w:rPr>
                <w:rStyle w:val="Bodytext295pt"/>
                <w:rFonts w:ascii="Sylfaen" w:hAnsi="Sylfaen"/>
                <w:spacing w:val="0"/>
                <w:sz w:val="24"/>
                <w:szCs w:val="24"/>
              </w:rPr>
              <w:tab/>
              <w:t>Փորձագետի կողմից անցկացված փորձագիտության շրջանակներում բերված դիտողությունների ցանկը:</w:t>
            </w:r>
          </w:p>
          <w:p w14:paraId="2B51C99B" w14:textId="77777777" w:rsidR="008C76E0" w:rsidRPr="00B96454" w:rsidRDefault="008C76E0" w:rsidP="008C76E0">
            <w:pPr>
              <w:pStyle w:val="Bodytext180"/>
              <w:shd w:val="clear" w:color="auto" w:fill="auto"/>
              <w:tabs>
                <w:tab w:val="left" w:pos="1113"/>
              </w:tabs>
              <w:spacing w:before="0" w:after="160" w:line="360" w:lineRule="auto"/>
              <w:ind w:right="119" w:firstLine="567"/>
              <w:jc w:val="both"/>
              <w:rPr>
                <w:rStyle w:val="Bodytext295pt"/>
                <w:rFonts w:ascii="Sylfaen" w:hAnsi="Sylfaen"/>
                <w:b/>
                <w:spacing w:val="0"/>
                <w:sz w:val="24"/>
                <w:szCs w:val="24"/>
              </w:rPr>
            </w:pPr>
          </w:p>
        </w:tc>
      </w:tr>
      <w:tr w:rsidR="008C76E0" w:rsidRPr="00BD7577" w14:paraId="3A79416A"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2AB69B87" w14:textId="77777777" w:rsidR="008C76E0" w:rsidRPr="00BD7577" w:rsidRDefault="008C76E0" w:rsidP="008C76E0">
            <w:pPr>
              <w:pStyle w:val="Bodytext180"/>
              <w:shd w:val="clear" w:color="auto" w:fill="auto"/>
              <w:spacing w:before="0" w:after="160" w:line="360" w:lineRule="auto"/>
              <w:ind w:left="220" w:firstLine="0"/>
              <w:rPr>
                <w:rFonts w:ascii="Sylfaen" w:hAnsi="Sylfaen"/>
                <w:b w:val="0"/>
                <w:sz w:val="24"/>
                <w:szCs w:val="24"/>
              </w:rPr>
            </w:pPr>
            <w:r w:rsidRPr="00BD7577">
              <w:rPr>
                <w:rStyle w:val="Bodytext295pt"/>
                <w:rFonts w:ascii="Sylfaen" w:hAnsi="Sylfaen"/>
                <w:spacing w:val="0"/>
                <w:sz w:val="24"/>
                <w:szCs w:val="24"/>
              </w:rPr>
              <w:t>ԿՐԻՏԻԿԱԿԱՆ ԴԻՏՈՂՈՒԹՅՈՒՆՆԵՐ</w:t>
            </w:r>
          </w:p>
        </w:tc>
      </w:tr>
      <w:tr w:rsidR="008C76E0" w:rsidRPr="00BD7577" w14:paraId="4EBAA1BE" w14:textId="77777777" w:rsidTr="008C76E0">
        <w:trPr>
          <w:jc w:val="center"/>
        </w:trPr>
        <w:tc>
          <w:tcPr>
            <w:tcW w:w="8242" w:type="dxa"/>
            <w:tcBorders>
              <w:top w:val="single" w:sz="4" w:space="0" w:color="auto"/>
            </w:tcBorders>
            <w:shd w:val="clear" w:color="auto" w:fill="FFFFFF"/>
            <w:vAlign w:val="center"/>
          </w:tcPr>
          <w:p w14:paraId="58CF6243"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26F98D9E" w14:textId="77777777" w:rsidR="008C76E0" w:rsidRPr="00BD7577" w:rsidRDefault="008C76E0" w:rsidP="008C76E0">
            <w:pPr>
              <w:rPr>
                <w:rFonts w:ascii="Sylfaen" w:hAnsi="Sylfaen"/>
                <w:sz w:val="24"/>
                <w:szCs w:val="24"/>
              </w:rPr>
            </w:pPr>
          </w:p>
        </w:tc>
      </w:tr>
      <w:tr w:rsidR="008C76E0" w:rsidRPr="00BD7577" w14:paraId="55F62244" w14:textId="77777777" w:rsidTr="008C76E0">
        <w:trPr>
          <w:jc w:val="center"/>
        </w:trPr>
        <w:tc>
          <w:tcPr>
            <w:tcW w:w="8242" w:type="dxa"/>
            <w:shd w:val="clear" w:color="auto" w:fill="FFFFFF"/>
            <w:vAlign w:val="center"/>
          </w:tcPr>
          <w:p w14:paraId="68DBCA77"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52F32C45" w14:textId="77777777" w:rsidR="008C76E0" w:rsidRPr="00BD7577" w:rsidRDefault="008C76E0" w:rsidP="008C76E0">
            <w:pPr>
              <w:rPr>
                <w:rFonts w:ascii="Sylfaen" w:hAnsi="Sylfaen"/>
                <w:sz w:val="24"/>
                <w:szCs w:val="24"/>
              </w:rPr>
            </w:pPr>
          </w:p>
        </w:tc>
      </w:tr>
      <w:tr w:rsidR="008C76E0" w:rsidRPr="00BD7577" w14:paraId="65F4DF56" w14:textId="77777777" w:rsidTr="008C76E0">
        <w:trPr>
          <w:jc w:val="center"/>
        </w:trPr>
        <w:tc>
          <w:tcPr>
            <w:tcW w:w="8242" w:type="dxa"/>
            <w:shd w:val="clear" w:color="auto" w:fill="FFFFFF"/>
            <w:vAlign w:val="center"/>
          </w:tcPr>
          <w:p w14:paraId="5E8D6451"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714E5A8E" w14:textId="77777777" w:rsidR="008C76E0" w:rsidRPr="00BD7577" w:rsidRDefault="008C76E0" w:rsidP="008C76E0">
            <w:pPr>
              <w:rPr>
                <w:rFonts w:ascii="Sylfaen" w:hAnsi="Sylfaen"/>
                <w:sz w:val="24"/>
                <w:szCs w:val="24"/>
              </w:rPr>
            </w:pPr>
          </w:p>
        </w:tc>
      </w:tr>
      <w:tr w:rsidR="008C76E0" w:rsidRPr="00BD7577" w14:paraId="003A8AD1"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E28D9DA"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ԱՅԼ ԴԻՏՈՂՈՒԹՅՈՒՆՆԵՐ</w:t>
            </w:r>
          </w:p>
        </w:tc>
      </w:tr>
      <w:tr w:rsidR="008C76E0" w:rsidRPr="00BD7577" w14:paraId="4EAFDBF2" w14:textId="77777777" w:rsidTr="008C76E0">
        <w:trPr>
          <w:jc w:val="center"/>
        </w:trPr>
        <w:tc>
          <w:tcPr>
            <w:tcW w:w="8242" w:type="dxa"/>
            <w:tcBorders>
              <w:top w:val="single" w:sz="4" w:space="0" w:color="auto"/>
            </w:tcBorders>
            <w:shd w:val="clear" w:color="auto" w:fill="FFFFFF"/>
            <w:vAlign w:val="center"/>
          </w:tcPr>
          <w:p w14:paraId="60EC28E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Դեղաբանություն:</w:t>
            </w:r>
          </w:p>
        </w:tc>
        <w:tc>
          <w:tcPr>
            <w:tcW w:w="1373" w:type="dxa"/>
            <w:tcBorders>
              <w:top w:val="single" w:sz="4" w:space="0" w:color="auto"/>
            </w:tcBorders>
            <w:shd w:val="clear" w:color="auto" w:fill="FFFFFF"/>
          </w:tcPr>
          <w:p w14:paraId="5EE9E981" w14:textId="77777777" w:rsidR="008C76E0" w:rsidRPr="00BD7577" w:rsidRDefault="008C76E0" w:rsidP="008C76E0">
            <w:pPr>
              <w:rPr>
                <w:rFonts w:ascii="Sylfaen" w:hAnsi="Sylfaen"/>
                <w:sz w:val="24"/>
                <w:szCs w:val="24"/>
              </w:rPr>
            </w:pPr>
          </w:p>
        </w:tc>
      </w:tr>
      <w:tr w:rsidR="008C76E0" w:rsidRPr="00BD7577" w14:paraId="1527746C" w14:textId="77777777" w:rsidTr="008C76E0">
        <w:trPr>
          <w:jc w:val="center"/>
        </w:trPr>
        <w:tc>
          <w:tcPr>
            <w:tcW w:w="8242" w:type="dxa"/>
            <w:shd w:val="clear" w:color="auto" w:fill="FFFFFF"/>
            <w:vAlign w:val="center"/>
          </w:tcPr>
          <w:p w14:paraId="4B95A3D6"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Դեղակինետիկա։</w:t>
            </w:r>
          </w:p>
        </w:tc>
        <w:tc>
          <w:tcPr>
            <w:tcW w:w="1373" w:type="dxa"/>
            <w:shd w:val="clear" w:color="auto" w:fill="FFFFFF"/>
          </w:tcPr>
          <w:p w14:paraId="46BB292D" w14:textId="77777777" w:rsidR="008C76E0" w:rsidRPr="00BD7577" w:rsidRDefault="008C76E0" w:rsidP="008C76E0">
            <w:pPr>
              <w:rPr>
                <w:rFonts w:ascii="Sylfaen" w:hAnsi="Sylfaen"/>
                <w:sz w:val="24"/>
                <w:szCs w:val="24"/>
              </w:rPr>
            </w:pPr>
          </w:p>
        </w:tc>
      </w:tr>
      <w:tr w:rsidR="008C76E0" w:rsidRPr="00BD7577" w14:paraId="066F85D1" w14:textId="77777777" w:rsidTr="008C76E0">
        <w:trPr>
          <w:jc w:val="center"/>
        </w:trPr>
        <w:tc>
          <w:tcPr>
            <w:tcW w:w="8242" w:type="dxa"/>
            <w:shd w:val="clear" w:color="auto" w:fill="FFFFFF"/>
            <w:vAlign w:val="center"/>
          </w:tcPr>
          <w:p w14:paraId="25AA1B3E" w14:textId="77777777" w:rsidR="008C76E0" w:rsidRPr="00BD7577" w:rsidRDefault="008C76E0" w:rsidP="008C76E0">
            <w:pPr>
              <w:pStyle w:val="Bodytext180"/>
              <w:shd w:val="clear" w:color="auto" w:fill="auto"/>
              <w:spacing w:before="0" w:after="160" w:line="360" w:lineRule="auto"/>
              <w:ind w:left="120" w:firstLine="0"/>
              <w:rPr>
                <w:rFonts w:ascii="Sylfaen" w:hAnsi="Sylfaen"/>
                <w:b w:val="0"/>
                <w:sz w:val="24"/>
                <w:szCs w:val="24"/>
              </w:rPr>
            </w:pPr>
            <w:r w:rsidRPr="00BD7577">
              <w:rPr>
                <w:rStyle w:val="Bodytext295pt"/>
                <w:rFonts w:ascii="Sylfaen" w:hAnsi="Sylfaen"/>
                <w:spacing w:val="0"/>
                <w:sz w:val="24"/>
                <w:szCs w:val="24"/>
              </w:rPr>
              <w:t>Թունաբանություն:</w:t>
            </w:r>
          </w:p>
        </w:tc>
        <w:tc>
          <w:tcPr>
            <w:tcW w:w="1373" w:type="dxa"/>
            <w:shd w:val="clear" w:color="auto" w:fill="FFFFFF"/>
          </w:tcPr>
          <w:p w14:paraId="09E3E25B" w14:textId="77777777" w:rsidR="008C76E0" w:rsidRPr="00BD7577" w:rsidRDefault="008C76E0" w:rsidP="008C76E0">
            <w:pPr>
              <w:rPr>
                <w:rFonts w:ascii="Sylfaen" w:hAnsi="Sylfaen"/>
                <w:sz w:val="24"/>
                <w:szCs w:val="24"/>
              </w:rPr>
            </w:pPr>
          </w:p>
        </w:tc>
      </w:tr>
      <w:tr w:rsidR="008C76E0" w:rsidRPr="00BD7577" w14:paraId="22BD8664" w14:textId="77777777" w:rsidTr="008C76E0">
        <w:trPr>
          <w:jc w:val="center"/>
        </w:trPr>
        <w:tc>
          <w:tcPr>
            <w:tcW w:w="9615" w:type="dxa"/>
            <w:gridSpan w:val="2"/>
            <w:tcBorders>
              <w:top w:val="single" w:sz="4" w:space="0" w:color="auto"/>
              <w:right w:val="single" w:sz="4" w:space="0" w:color="auto"/>
            </w:tcBorders>
            <w:shd w:val="clear" w:color="auto" w:fill="FFFFFF"/>
            <w:vAlign w:val="center"/>
          </w:tcPr>
          <w:p w14:paraId="7F6D64B6" w14:textId="77777777" w:rsidR="008C76E0" w:rsidRPr="00BD7577" w:rsidRDefault="008C76E0" w:rsidP="008C76E0">
            <w:pPr>
              <w:pStyle w:val="Bodytext180"/>
              <w:shd w:val="clear" w:color="auto" w:fill="auto"/>
              <w:spacing w:before="0" w:after="160" w:line="360" w:lineRule="auto"/>
              <w:ind w:left="240" w:firstLine="0"/>
              <w:rPr>
                <w:rFonts w:ascii="Sylfaen" w:hAnsi="Sylfaen"/>
                <w:b w:val="0"/>
                <w:sz w:val="24"/>
                <w:szCs w:val="24"/>
              </w:rPr>
            </w:pPr>
            <w:r w:rsidRPr="00BD7577">
              <w:rPr>
                <w:rFonts w:ascii="Sylfaen" w:hAnsi="Sylfaen"/>
                <w:b w:val="0"/>
                <w:sz w:val="24"/>
                <w:szCs w:val="24"/>
              </w:rPr>
              <w:t>ՀԱՆՁՆԱՐԱՐԱԿԱՆՆԵՐ</w:t>
            </w:r>
          </w:p>
        </w:tc>
      </w:tr>
      <w:tr w:rsidR="008C76E0" w:rsidRPr="00BD7577" w14:paraId="3FA81A36" w14:textId="77777777" w:rsidTr="008C76E0">
        <w:trPr>
          <w:jc w:val="center"/>
        </w:trPr>
        <w:tc>
          <w:tcPr>
            <w:tcW w:w="9615" w:type="dxa"/>
            <w:gridSpan w:val="2"/>
            <w:tcBorders>
              <w:top w:val="single" w:sz="4" w:space="0" w:color="auto"/>
            </w:tcBorders>
            <w:shd w:val="clear" w:color="auto" w:fill="FFFFFF"/>
            <w:vAlign w:val="bottom"/>
          </w:tcPr>
          <w:p w14:paraId="603E03BE" w14:textId="77777777" w:rsidR="00C43BF0" w:rsidRDefault="008C76E0" w:rsidP="008C76E0">
            <w:pPr>
              <w:pStyle w:val="Bodytext180"/>
              <w:shd w:val="clear" w:color="auto" w:fill="auto"/>
              <w:tabs>
                <w:tab w:val="left" w:pos="1117"/>
              </w:tabs>
              <w:spacing w:before="0" w:after="160" w:line="360" w:lineRule="auto"/>
              <w:ind w:firstLine="546"/>
              <w:jc w:val="both"/>
              <w:rPr>
                <w:rStyle w:val="Bodytext295pt"/>
                <w:rFonts w:ascii="Sylfaen" w:hAnsi="Sylfaen"/>
                <w:spacing w:val="0"/>
                <w:sz w:val="24"/>
                <w:szCs w:val="24"/>
              </w:rPr>
            </w:pPr>
            <w:r>
              <w:rPr>
                <w:rStyle w:val="Bodytext295pt"/>
                <w:rFonts w:ascii="Sylfaen" w:hAnsi="Sylfaen"/>
                <w:spacing w:val="0"/>
                <w:sz w:val="24"/>
                <w:szCs w:val="24"/>
              </w:rPr>
              <w:t>7.</w:t>
            </w:r>
            <w:r w:rsidRPr="00BD7577">
              <w:rPr>
                <w:rStyle w:val="Bodytext295pt"/>
                <w:rFonts w:ascii="Sylfaen" w:hAnsi="Sylfaen"/>
                <w:spacing w:val="0"/>
                <w:sz w:val="24"/>
                <w:szCs w:val="24"/>
              </w:rPr>
              <w:tab/>
              <w:t xml:space="preserve">Փորձագետի կողմից առաջարկվող պայմանները, որոնց կատարումն անհրաժեշտ է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 xml:space="preserve">ի կողմից գրանցման հավաստագիրը ստանալուց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ընդհանուր բնութագիրը, բժշկական կիրառման ցուցումները (ներդիր թերթիկը)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դեղապատրաստուկի փաթեթվածքի դիզայնը հաստատելուց հետո:</w:t>
            </w:r>
          </w:p>
          <w:p w14:paraId="46228AFB"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5BD96FEF" w14:textId="11861771" w:rsidR="008C76E0" w:rsidRPr="008C76E0" w:rsidRDefault="008C76E0" w:rsidP="008C76E0">
            <w:pPr>
              <w:pStyle w:val="Bodytext180"/>
              <w:shd w:val="clear" w:color="auto" w:fill="auto"/>
              <w:tabs>
                <w:tab w:val="left" w:pos="1117"/>
              </w:tabs>
              <w:spacing w:before="0" w:after="160" w:line="360" w:lineRule="auto"/>
              <w:ind w:firstLine="546"/>
              <w:jc w:val="both"/>
              <w:rPr>
                <w:rFonts w:ascii="Sylfaen" w:hAnsi="Sylfaen"/>
                <w:b w:val="0"/>
                <w:sz w:val="24"/>
                <w:szCs w:val="24"/>
                <w:lang w:val="hy-AM"/>
              </w:rPr>
            </w:pPr>
            <w:r w:rsidRPr="00BD7577">
              <w:rPr>
                <w:rStyle w:val="Bodytext295pt"/>
                <w:rFonts w:ascii="Sylfaen" w:hAnsi="Sylfaen"/>
                <w:spacing w:val="0"/>
                <w:sz w:val="24"/>
                <w:szCs w:val="24"/>
              </w:rPr>
              <w:t xml:space="preserve"> </w:t>
            </w:r>
          </w:p>
        </w:tc>
      </w:tr>
    </w:tbl>
    <w:p w14:paraId="2F026328" w14:textId="77777777" w:rsidR="008C76E0" w:rsidRDefault="008C76E0" w:rsidP="008C76E0">
      <w:pPr>
        <w:ind w:left="4395" w:right="-1"/>
        <w:jc w:val="center"/>
        <w:rPr>
          <w:rFonts w:ascii="Sylfaen" w:hAnsi="Sylfaen"/>
          <w:sz w:val="24"/>
          <w:szCs w:val="24"/>
        </w:rPr>
        <w:sectPr w:rsidR="008C76E0" w:rsidSect="00903D92">
          <w:type w:val="continuous"/>
          <w:pgSz w:w="11907" w:h="16839" w:code="9"/>
          <w:pgMar w:top="1418" w:right="1418" w:bottom="1418" w:left="1418" w:header="0" w:footer="6" w:gutter="0"/>
          <w:cols w:space="720"/>
          <w:noEndnote/>
          <w:docGrid w:linePitch="360"/>
        </w:sectPr>
      </w:pPr>
    </w:p>
    <w:p w14:paraId="09A2D1B2" w14:textId="77777777" w:rsidR="00591274" w:rsidRDefault="00591274" w:rsidP="008C76E0">
      <w:pPr>
        <w:ind w:left="4395" w:right="-1"/>
        <w:jc w:val="center"/>
        <w:rPr>
          <w:rFonts w:ascii="Sylfaen" w:hAnsi="Sylfaen"/>
          <w:sz w:val="24"/>
          <w:szCs w:val="24"/>
        </w:rPr>
        <w:sectPr w:rsidR="00591274" w:rsidSect="00903D92">
          <w:type w:val="continuous"/>
          <w:pgSz w:w="11907" w:h="16839" w:code="9"/>
          <w:pgMar w:top="1418" w:right="1418" w:bottom="1418" w:left="1418" w:header="0" w:footer="6" w:gutter="0"/>
          <w:cols w:space="720"/>
          <w:noEndnote/>
          <w:docGrid w:linePitch="360"/>
        </w:sectPr>
      </w:pPr>
    </w:p>
    <w:p w14:paraId="46535D2D" w14:textId="77777777" w:rsidR="008C76E0" w:rsidRPr="00BD7577" w:rsidRDefault="008C76E0" w:rsidP="001C3278">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7</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072A5414" w14:textId="77777777" w:rsidR="008C76E0" w:rsidRPr="00BD7577" w:rsidRDefault="008C76E0" w:rsidP="001C3278">
      <w:pPr>
        <w:spacing w:after="160" w:line="360" w:lineRule="auto"/>
        <w:ind w:left="5103" w:right="260"/>
        <w:rPr>
          <w:rFonts w:ascii="Sylfaen" w:hAnsi="Sylfaen"/>
          <w:sz w:val="24"/>
          <w:szCs w:val="24"/>
        </w:rPr>
      </w:pPr>
    </w:p>
    <w:p w14:paraId="7DE836BD" w14:textId="77777777" w:rsidR="008C76E0" w:rsidRPr="008C76E0" w:rsidRDefault="008C76E0" w:rsidP="001C3278">
      <w:pPr>
        <w:pStyle w:val="Heading120"/>
        <w:shd w:val="clear" w:color="auto" w:fill="auto"/>
        <w:spacing w:before="0" w:after="160" w:line="360" w:lineRule="auto"/>
        <w:ind w:left="40"/>
        <w:outlineLvl w:val="9"/>
        <w:rPr>
          <w:rFonts w:ascii="Sylfaen" w:hAnsi="Sylfaen"/>
          <w:b w:val="0"/>
          <w:sz w:val="24"/>
          <w:szCs w:val="24"/>
          <w:lang w:val="hy-AM"/>
        </w:rPr>
      </w:pPr>
      <w:r w:rsidRPr="001F38CC">
        <w:rPr>
          <w:rStyle w:val="Heading12Spacing1pt"/>
          <w:rFonts w:ascii="Sylfaen" w:hAnsi="Sylfaen"/>
          <w:b/>
          <w:spacing w:val="0"/>
          <w:sz w:val="24"/>
          <w:szCs w:val="24"/>
        </w:rPr>
        <w:t>ՁԵՎ</w:t>
      </w:r>
    </w:p>
    <w:p w14:paraId="5088E8B2" w14:textId="77777777" w:rsidR="008C76E0" w:rsidRPr="008C76E0" w:rsidRDefault="008C76E0" w:rsidP="001C3278">
      <w:pPr>
        <w:pStyle w:val="Bodytext130"/>
        <w:shd w:val="clear" w:color="auto" w:fill="auto"/>
        <w:spacing w:after="160" w:line="360" w:lineRule="auto"/>
        <w:ind w:left="40"/>
        <w:rPr>
          <w:rFonts w:ascii="Sylfaen" w:hAnsi="Sylfaen"/>
          <w:sz w:val="24"/>
          <w:szCs w:val="24"/>
          <w:lang w:val="hy-AM"/>
        </w:rPr>
      </w:pPr>
      <w:r w:rsidRPr="008C76E0">
        <w:rPr>
          <w:rFonts w:ascii="Sylfaen" w:hAnsi="Sylfaen"/>
          <w:sz w:val="24"/>
          <w:szCs w:val="24"/>
          <w:lang w:val="hy-AM"/>
        </w:rPr>
        <w:t>կլինիկական հետազոտությունների գնահատման գծով փորձագետի հաշվետվության</w:t>
      </w:r>
    </w:p>
    <w:p w14:paraId="2F53CE34" w14:textId="77777777" w:rsidR="008C76E0" w:rsidRPr="00BD7577" w:rsidRDefault="008C76E0" w:rsidP="001C3278">
      <w:pPr>
        <w:spacing w:after="160" w:line="360" w:lineRule="auto"/>
        <w:ind w:right="160"/>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D1A7D0E" w14:textId="77777777" w:rsidR="008C76E0" w:rsidRPr="00BD7577"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ՀԱՇՎԵՏՎՈՒԹՅՈՒՆ</w:t>
      </w:r>
    </w:p>
    <w:p w14:paraId="3C3C4599" w14:textId="77777777" w:rsidR="008C76E0" w:rsidRPr="00DD61E4" w:rsidRDefault="008C76E0" w:rsidP="001C3278">
      <w:pPr>
        <w:spacing w:after="160" w:line="360" w:lineRule="auto"/>
        <w:ind w:left="40"/>
        <w:jc w:val="center"/>
        <w:rPr>
          <w:rFonts w:ascii="Sylfaen" w:hAnsi="Sylfaen"/>
          <w:sz w:val="24"/>
          <w:szCs w:val="24"/>
        </w:rPr>
      </w:pPr>
      <w:r w:rsidRPr="00BD7577">
        <w:rPr>
          <w:rFonts w:ascii="Sylfaen" w:hAnsi="Sylfaen"/>
          <w:sz w:val="24"/>
          <w:szCs w:val="24"/>
        </w:rPr>
        <w:t>կլինիկական հետազոտությունների գնահատման գծով փորձագետի</w:t>
      </w:r>
    </w:p>
    <w:p w14:paraId="6F46CB4E" w14:textId="77777777" w:rsidR="008C76E0" w:rsidRPr="00DD61E4" w:rsidRDefault="008C76E0" w:rsidP="001C3278">
      <w:pPr>
        <w:spacing w:after="160" w:line="360" w:lineRule="auto"/>
        <w:ind w:left="40"/>
        <w:jc w:val="center"/>
        <w:rPr>
          <w:rFonts w:ascii="Sylfaen" w:hAnsi="Sylfaen"/>
          <w:sz w:val="24"/>
          <w:szCs w:val="24"/>
        </w:rPr>
      </w:pPr>
    </w:p>
    <w:p w14:paraId="09F26F8B" w14:textId="77777777" w:rsidR="008C76E0" w:rsidRPr="00BD7577" w:rsidRDefault="008C76E0" w:rsidP="001C3278">
      <w:pPr>
        <w:spacing w:after="160" w:line="360" w:lineRule="auto"/>
        <w:ind w:left="40"/>
        <w:rPr>
          <w:rFonts w:ascii="Sylfaen" w:hAnsi="Sylfaen"/>
          <w:sz w:val="24"/>
          <w:szCs w:val="24"/>
        </w:rPr>
      </w:pPr>
      <w:r w:rsidRPr="00BD7577">
        <w:rPr>
          <w:rFonts w:ascii="Sylfaen" w:hAnsi="Sylfaen"/>
          <w:sz w:val="24"/>
          <w:szCs w:val="24"/>
        </w:rPr>
        <w:t>Վարչական տեղեկատվություն</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357"/>
        <w:gridCol w:w="4829"/>
      </w:tblGrid>
      <w:tr w:rsidR="008C76E0" w:rsidRPr="00BD7577" w14:paraId="4411A330" w14:textId="77777777" w:rsidTr="008C76E0">
        <w:trPr>
          <w:jc w:val="center"/>
        </w:trPr>
        <w:tc>
          <w:tcPr>
            <w:tcW w:w="5357" w:type="dxa"/>
            <w:tcBorders>
              <w:top w:val="single" w:sz="4" w:space="0" w:color="auto"/>
              <w:left w:val="single" w:sz="4" w:space="0" w:color="auto"/>
            </w:tcBorders>
            <w:shd w:val="clear" w:color="auto" w:fill="FFFFFF"/>
          </w:tcPr>
          <w:p w14:paraId="34ADD2E1"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Դեղամիջոցի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w:t>
            </w:r>
          </w:p>
        </w:tc>
        <w:tc>
          <w:tcPr>
            <w:tcW w:w="4829" w:type="dxa"/>
            <w:tcBorders>
              <w:top w:val="single" w:sz="4" w:space="0" w:color="auto"/>
              <w:left w:val="single" w:sz="4" w:space="0" w:color="auto"/>
              <w:right w:val="single" w:sz="4" w:space="0" w:color="auto"/>
            </w:tcBorders>
            <w:shd w:val="clear" w:color="auto" w:fill="FFFFFF"/>
          </w:tcPr>
          <w:p w14:paraId="0B7FE219" w14:textId="77777777" w:rsidR="008C76E0" w:rsidRPr="00BD7577" w:rsidRDefault="008C76E0" w:rsidP="008C76E0">
            <w:pPr>
              <w:spacing w:after="120" w:line="240" w:lineRule="auto"/>
              <w:rPr>
                <w:rFonts w:ascii="Sylfaen" w:hAnsi="Sylfaen"/>
                <w:sz w:val="24"/>
                <w:szCs w:val="24"/>
              </w:rPr>
            </w:pPr>
          </w:p>
        </w:tc>
      </w:tr>
      <w:tr w:rsidR="008C76E0" w:rsidRPr="00BD7577" w14:paraId="52384FB4" w14:textId="77777777" w:rsidTr="008C76E0">
        <w:trPr>
          <w:jc w:val="center"/>
        </w:trPr>
        <w:tc>
          <w:tcPr>
            <w:tcW w:w="5357" w:type="dxa"/>
            <w:tcBorders>
              <w:top w:val="single" w:sz="4" w:space="0" w:color="auto"/>
              <w:left w:val="single" w:sz="4" w:space="0" w:color="auto"/>
            </w:tcBorders>
            <w:shd w:val="clear" w:color="auto" w:fill="FFFFFF"/>
          </w:tcPr>
          <w:p w14:paraId="73AE3490" w14:textId="77777777" w:rsidR="008C76E0" w:rsidRPr="008C76E0" w:rsidRDefault="008C76E0" w:rsidP="008C76E0">
            <w:pPr>
              <w:pStyle w:val="Bodytext180"/>
              <w:shd w:val="clear" w:color="auto" w:fill="auto"/>
              <w:spacing w:before="0" w:after="120" w:line="240" w:lineRule="auto"/>
              <w:ind w:left="122" w:right="111" w:firstLine="0"/>
              <w:rPr>
                <w:rFonts w:ascii="Sylfaen" w:hAnsi="Sylfaen"/>
                <w:b w:val="0"/>
                <w:sz w:val="24"/>
                <w:szCs w:val="24"/>
                <w:lang w:val="hy-AM"/>
              </w:rPr>
            </w:pPr>
            <w:r w:rsidRPr="00BD7577">
              <w:rPr>
                <w:rStyle w:val="Bodytext1811pt"/>
                <w:rFonts w:ascii="Sylfaen" w:hAnsi="Sylfaen"/>
                <w:sz w:val="24"/>
                <w:szCs w:val="24"/>
              </w:rPr>
              <w:t>Միջազգային չարտոնագրված անվանումը (ՄՉԱ) կամ ազդող նյութի (նյութերի) ընդհանուր անվանումը՝</w:t>
            </w:r>
          </w:p>
        </w:tc>
        <w:tc>
          <w:tcPr>
            <w:tcW w:w="4829" w:type="dxa"/>
            <w:tcBorders>
              <w:top w:val="single" w:sz="4" w:space="0" w:color="auto"/>
              <w:left w:val="single" w:sz="4" w:space="0" w:color="auto"/>
              <w:right w:val="single" w:sz="4" w:space="0" w:color="auto"/>
            </w:tcBorders>
            <w:shd w:val="clear" w:color="auto" w:fill="FFFFFF"/>
          </w:tcPr>
          <w:p w14:paraId="7D236721" w14:textId="77777777" w:rsidR="008C76E0" w:rsidRPr="00BD7577" w:rsidRDefault="008C76E0" w:rsidP="008C76E0">
            <w:pPr>
              <w:spacing w:after="120" w:line="240" w:lineRule="auto"/>
              <w:rPr>
                <w:rFonts w:ascii="Sylfaen" w:hAnsi="Sylfaen"/>
                <w:sz w:val="24"/>
                <w:szCs w:val="24"/>
              </w:rPr>
            </w:pPr>
          </w:p>
        </w:tc>
      </w:tr>
      <w:tr w:rsidR="008C76E0" w:rsidRPr="00BD7577" w14:paraId="32165AF3" w14:textId="77777777" w:rsidTr="008C76E0">
        <w:trPr>
          <w:jc w:val="center"/>
        </w:trPr>
        <w:tc>
          <w:tcPr>
            <w:tcW w:w="5357" w:type="dxa"/>
            <w:tcBorders>
              <w:top w:val="single" w:sz="4" w:space="0" w:color="auto"/>
              <w:left w:val="single" w:sz="4" w:space="0" w:color="auto"/>
            </w:tcBorders>
            <w:shd w:val="clear" w:color="auto" w:fill="FFFFFF"/>
          </w:tcPr>
          <w:p w14:paraId="555689D3" w14:textId="7D9CAC93" w:rsidR="008C76E0" w:rsidRPr="00BD7577" w:rsidRDefault="0056496B" w:rsidP="008C76E0">
            <w:pPr>
              <w:pStyle w:val="Bodytext180"/>
              <w:shd w:val="clear" w:color="auto" w:fill="auto"/>
              <w:spacing w:before="0" w:after="120" w:line="240" w:lineRule="auto"/>
              <w:ind w:left="122" w:firstLine="0"/>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829" w:type="dxa"/>
            <w:tcBorders>
              <w:top w:val="single" w:sz="4" w:space="0" w:color="auto"/>
              <w:left w:val="single" w:sz="4" w:space="0" w:color="auto"/>
              <w:right w:val="single" w:sz="4" w:space="0" w:color="auto"/>
            </w:tcBorders>
            <w:shd w:val="clear" w:color="auto" w:fill="FFFFFF"/>
          </w:tcPr>
          <w:p w14:paraId="73F250E5" w14:textId="77777777" w:rsidR="008C76E0" w:rsidRPr="00BD7577" w:rsidRDefault="008C76E0" w:rsidP="008C76E0">
            <w:pPr>
              <w:spacing w:after="120" w:line="240" w:lineRule="auto"/>
              <w:rPr>
                <w:rFonts w:ascii="Sylfaen" w:hAnsi="Sylfaen"/>
                <w:sz w:val="24"/>
                <w:szCs w:val="24"/>
              </w:rPr>
            </w:pPr>
          </w:p>
        </w:tc>
      </w:tr>
      <w:tr w:rsidR="008C76E0" w:rsidRPr="00BD7577" w14:paraId="21968307" w14:textId="77777777" w:rsidTr="008C76E0">
        <w:trPr>
          <w:jc w:val="center"/>
        </w:trPr>
        <w:tc>
          <w:tcPr>
            <w:tcW w:w="5357" w:type="dxa"/>
            <w:tcBorders>
              <w:top w:val="single" w:sz="4" w:space="0" w:color="auto"/>
              <w:left w:val="single" w:sz="4" w:space="0" w:color="auto"/>
            </w:tcBorders>
            <w:shd w:val="clear" w:color="auto" w:fill="FFFFFF"/>
          </w:tcPr>
          <w:p w14:paraId="1EABFC90" w14:textId="152DD1C8"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 xml:space="preserve">Կիրառման </w:t>
            </w:r>
            <w:r w:rsidR="001A5F1A">
              <w:rPr>
                <w:rStyle w:val="Bodytext1811pt"/>
                <w:rFonts w:ascii="Sylfaen" w:hAnsi="Sylfaen"/>
                <w:sz w:val="24"/>
                <w:szCs w:val="24"/>
              </w:rPr>
              <w:t>հայտագրված</w:t>
            </w:r>
            <w:r w:rsidRPr="00BD7577">
              <w:rPr>
                <w:rStyle w:val="Bodytext1811pt"/>
                <w:rFonts w:ascii="Sylfaen" w:hAnsi="Sylfaen"/>
                <w:sz w:val="24"/>
                <w:szCs w:val="24"/>
              </w:rPr>
              <w:t xml:space="preserve"> ցուցումները՝</w:t>
            </w:r>
          </w:p>
        </w:tc>
        <w:tc>
          <w:tcPr>
            <w:tcW w:w="4829" w:type="dxa"/>
            <w:tcBorders>
              <w:top w:val="single" w:sz="4" w:space="0" w:color="auto"/>
              <w:left w:val="single" w:sz="4" w:space="0" w:color="auto"/>
              <w:right w:val="single" w:sz="4" w:space="0" w:color="auto"/>
            </w:tcBorders>
            <w:shd w:val="clear" w:color="auto" w:fill="FFFFFF"/>
          </w:tcPr>
          <w:p w14:paraId="4704E373" w14:textId="77777777" w:rsidR="008C76E0" w:rsidRPr="00BD7577" w:rsidRDefault="008C76E0" w:rsidP="008C76E0">
            <w:pPr>
              <w:spacing w:after="120" w:line="240" w:lineRule="auto"/>
              <w:rPr>
                <w:rFonts w:ascii="Sylfaen" w:hAnsi="Sylfaen"/>
                <w:sz w:val="24"/>
                <w:szCs w:val="24"/>
              </w:rPr>
            </w:pPr>
          </w:p>
        </w:tc>
      </w:tr>
      <w:tr w:rsidR="008C76E0" w:rsidRPr="00BD7577" w14:paraId="440B50BB" w14:textId="77777777" w:rsidTr="008C76E0">
        <w:trPr>
          <w:jc w:val="center"/>
        </w:trPr>
        <w:tc>
          <w:tcPr>
            <w:tcW w:w="5357" w:type="dxa"/>
            <w:tcBorders>
              <w:top w:val="single" w:sz="4" w:space="0" w:color="auto"/>
              <w:left w:val="single" w:sz="4" w:space="0" w:color="auto"/>
            </w:tcBorders>
            <w:shd w:val="clear" w:color="auto" w:fill="FFFFFF"/>
          </w:tcPr>
          <w:p w14:paraId="262D6BA0"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Դեղաթերապ</w:t>
            </w:r>
            <w:r w:rsidR="00C54D75">
              <w:rPr>
                <w:rStyle w:val="Bodytext1811pt"/>
                <w:rFonts w:ascii="Sylfaen" w:hAnsi="Sylfaen"/>
                <w:sz w:val="24"/>
                <w:szCs w:val="24"/>
              </w:rPr>
              <w:t>և</w:t>
            </w:r>
            <w:r w:rsidRPr="00BD7577">
              <w:rPr>
                <w:rStyle w:val="Bodytext1811pt"/>
                <w:rFonts w:ascii="Sylfaen" w:hAnsi="Sylfaen"/>
                <w:sz w:val="24"/>
                <w:szCs w:val="24"/>
              </w:rPr>
              <w:t>տիկ խումբը (ԱԲՔ ծածկագիրը)՝</w:t>
            </w:r>
          </w:p>
        </w:tc>
        <w:tc>
          <w:tcPr>
            <w:tcW w:w="4829" w:type="dxa"/>
            <w:tcBorders>
              <w:top w:val="single" w:sz="4" w:space="0" w:color="auto"/>
              <w:left w:val="single" w:sz="4" w:space="0" w:color="auto"/>
              <w:right w:val="single" w:sz="4" w:space="0" w:color="auto"/>
            </w:tcBorders>
            <w:shd w:val="clear" w:color="auto" w:fill="FFFFFF"/>
          </w:tcPr>
          <w:p w14:paraId="3786A8ED" w14:textId="77777777" w:rsidR="008C76E0" w:rsidRPr="00BD7577" w:rsidRDefault="008C76E0" w:rsidP="008C76E0">
            <w:pPr>
              <w:spacing w:after="120" w:line="240" w:lineRule="auto"/>
              <w:rPr>
                <w:rFonts w:ascii="Sylfaen" w:hAnsi="Sylfaen"/>
                <w:sz w:val="24"/>
                <w:szCs w:val="24"/>
              </w:rPr>
            </w:pPr>
          </w:p>
        </w:tc>
      </w:tr>
      <w:tr w:rsidR="008C76E0" w:rsidRPr="00BD7577" w14:paraId="317D0FE8" w14:textId="77777777" w:rsidTr="008C76E0">
        <w:trPr>
          <w:jc w:val="center"/>
        </w:trPr>
        <w:tc>
          <w:tcPr>
            <w:tcW w:w="5357" w:type="dxa"/>
            <w:tcBorders>
              <w:top w:val="single" w:sz="4" w:space="0" w:color="auto"/>
              <w:left w:val="single" w:sz="4" w:space="0" w:color="auto"/>
            </w:tcBorders>
            <w:shd w:val="clear" w:color="auto" w:fill="FFFFFF"/>
          </w:tcPr>
          <w:p w14:paraId="0124FE76"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Դեղաձ</w:t>
            </w:r>
            <w:r w:rsidR="00C54D75">
              <w:rPr>
                <w:rStyle w:val="Bodytext1811pt"/>
                <w:rFonts w:ascii="Sylfaen" w:hAnsi="Sylfaen"/>
                <w:sz w:val="24"/>
                <w:szCs w:val="24"/>
              </w:rPr>
              <w:t>և</w:t>
            </w:r>
            <w:r w:rsidRPr="00BD7577">
              <w:rPr>
                <w:rStyle w:val="Bodytext1811pt"/>
                <w:rFonts w:ascii="Sylfaen" w:hAnsi="Sylfaen"/>
                <w:sz w:val="24"/>
                <w:szCs w:val="24"/>
              </w:rPr>
              <w:t>ը (դեղաձ</w:t>
            </w:r>
            <w:r w:rsidR="00C54D75">
              <w:rPr>
                <w:rStyle w:val="Bodytext1811pt"/>
                <w:rFonts w:ascii="Sylfaen" w:hAnsi="Sylfaen"/>
                <w:sz w:val="24"/>
                <w:szCs w:val="24"/>
              </w:rPr>
              <w:t>և</w:t>
            </w:r>
            <w:r w:rsidRPr="00BD7577">
              <w:rPr>
                <w:rStyle w:val="Bodytext1811pt"/>
                <w:rFonts w:ascii="Sylfaen" w:hAnsi="Sylfaen"/>
                <w:sz w:val="24"/>
                <w:szCs w:val="24"/>
              </w:rPr>
              <w:t xml:space="preserve">երը) </w:t>
            </w:r>
            <w:r w:rsidR="00C54D75">
              <w:rPr>
                <w:rStyle w:val="Bodytext1811pt"/>
                <w:rFonts w:ascii="Sylfaen" w:hAnsi="Sylfaen"/>
                <w:sz w:val="24"/>
                <w:szCs w:val="24"/>
              </w:rPr>
              <w:t>և</w:t>
            </w:r>
            <w:r w:rsidRPr="00BD7577">
              <w:rPr>
                <w:rStyle w:val="Bodytext1811pt"/>
                <w:rFonts w:ascii="Sylfaen" w:hAnsi="Sylfaen"/>
                <w:sz w:val="24"/>
                <w:szCs w:val="24"/>
              </w:rPr>
              <w:t xml:space="preserve"> դոզավորումը (դոզավորումները)՝</w:t>
            </w:r>
          </w:p>
        </w:tc>
        <w:tc>
          <w:tcPr>
            <w:tcW w:w="4829" w:type="dxa"/>
            <w:tcBorders>
              <w:top w:val="single" w:sz="4" w:space="0" w:color="auto"/>
              <w:left w:val="single" w:sz="4" w:space="0" w:color="auto"/>
              <w:right w:val="single" w:sz="4" w:space="0" w:color="auto"/>
            </w:tcBorders>
            <w:shd w:val="clear" w:color="auto" w:fill="FFFFFF"/>
          </w:tcPr>
          <w:p w14:paraId="0342B742" w14:textId="77777777" w:rsidR="008C76E0" w:rsidRPr="00BD7577" w:rsidRDefault="008C76E0" w:rsidP="008C76E0">
            <w:pPr>
              <w:spacing w:after="120" w:line="240" w:lineRule="auto"/>
              <w:rPr>
                <w:rFonts w:ascii="Sylfaen" w:hAnsi="Sylfaen"/>
                <w:sz w:val="24"/>
                <w:szCs w:val="24"/>
              </w:rPr>
            </w:pPr>
          </w:p>
        </w:tc>
      </w:tr>
      <w:tr w:rsidR="008C76E0" w:rsidRPr="00BD7577" w14:paraId="6DE79C45" w14:textId="77777777" w:rsidTr="008C76E0">
        <w:trPr>
          <w:jc w:val="center"/>
        </w:trPr>
        <w:tc>
          <w:tcPr>
            <w:tcW w:w="5357" w:type="dxa"/>
            <w:tcBorders>
              <w:top w:val="single" w:sz="4" w:space="0" w:color="auto"/>
              <w:left w:val="single" w:sz="4" w:space="0" w:color="auto"/>
            </w:tcBorders>
            <w:shd w:val="clear" w:color="auto" w:fill="FFFFFF"/>
          </w:tcPr>
          <w:p w14:paraId="25D80DB6" w14:textId="77777777" w:rsidR="008C76E0" w:rsidRPr="00BD7577" w:rsidRDefault="008C76E0" w:rsidP="008C76E0">
            <w:pPr>
              <w:pStyle w:val="Bodytext180"/>
              <w:shd w:val="clear" w:color="auto" w:fill="auto"/>
              <w:spacing w:before="0" w:after="120" w:line="240" w:lineRule="auto"/>
              <w:ind w:left="122" w:firstLine="0"/>
              <w:rPr>
                <w:rFonts w:ascii="Sylfaen" w:hAnsi="Sylfaen"/>
                <w:b w:val="0"/>
                <w:sz w:val="24"/>
                <w:szCs w:val="24"/>
              </w:rPr>
            </w:pPr>
            <w:r w:rsidRPr="00BD7577">
              <w:rPr>
                <w:rStyle w:val="Bodytext1811pt"/>
                <w:rFonts w:ascii="Sylfaen" w:hAnsi="Sylfaen"/>
                <w:sz w:val="24"/>
                <w:szCs w:val="24"/>
              </w:rPr>
              <w:t>Փորձագետների կոնտակտային անձի տվյալները՝</w:t>
            </w:r>
          </w:p>
        </w:tc>
        <w:tc>
          <w:tcPr>
            <w:tcW w:w="4829" w:type="dxa"/>
            <w:tcBorders>
              <w:top w:val="single" w:sz="4" w:space="0" w:color="auto"/>
              <w:left w:val="single" w:sz="4" w:space="0" w:color="auto"/>
              <w:right w:val="single" w:sz="4" w:space="0" w:color="auto"/>
            </w:tcBorders>
            <w:shd w:val="clear" w:color="auto" w:fill="FFFFFF"/>
          </w:tcPr>
          <w:p w14:paraId="6C92C2D0"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Ա.Ա.Հ.՝</w:t>
            </w:r>
          </w:p>
          <w:p w14:paraId="554896E4"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CD18BA8"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5E227FFE" w14:textId="77777777" w:rsidTr="008C76E0">
        <w:trPr>
          <w:jc w:val="center"/>
        </w:trPr>
        <w:tc>
          <w:tcPr>
            <w:tcW w:w="5357" w:type="dxa"/>
            <w:tcBorders>
              <w:top w:val="single" w:sz="4" w:space="0" w:color="auto"/>
              <w:left w:val="single" w:sz="4" w:space="0" w:color="auto"/>
            </w:tcBorders>
            <w:shd w:val="clear" w:color="auto" w:fill="FFFFFF"/>
          </w:tcPr>
          <w:p w14:paraId="6963070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right w:val="single" w:sz="4" w:space="0" w:color="auto"/>
            </w:tcBorders>
            <w:shd w:val="clear" w:color="auto" w:fill="FFFFFF"/>
            <w:vAlign w:val="bottom"/>
          </w:tcPr>
          <w:p w14:paraId="1710F95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013A9D75"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0B747FA"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52511DA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lastRenderedPageBreak/>
              <w:t>էլ. փոստ՝</w:t>
            </w:r>
          </w:p>
          <w:p w14:paraId="0CEC9C0B"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6C2B00D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48CB8CA6"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43DF88A8"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718A7264"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67534C9A"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01AEADE7"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2552375C"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07CEAAB"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950D43" w14:textId="77777777" w:rsidR="008C76E0" w:rsidRPr="008C76E0" w:rsidRDefault="008C76E0" w:rsidP="008C76E0">
            <w:pPr>
              <w:pStyle w:val="Bodytext180"/>
              <w:shd w:val="clear" w:color="auto" w:fill="auto"/>
              <w:spacing w:before="0" w:after="120" w:line="240" w:lineRule="auto"/>
              <w:ind w:left="122" w:firstLine="0"/>
              <w:rPr>
                <w:rFonts w:ascii="Sylfaen" w:hAnsi="Sylfaen"/>
                <w:b w:val="0"/>
                <w:sz w:val="24"/>
                <w:szCs w:val="24"/>
                <w:lang w:val="hy-AM"/>
              </w:rPr>
            </w:pPr>
            <w:r w:rsidRPr="00BD7577">
              <w:rPr>
                <w:rStyle w:val="Bodytext1811pt"/>
                <w:rFonts w:ascii="Sylfaen" w:hAnsi="Sylfaen"/>
                <w:sz w:val="24"/>
                <w:szCs w:val="24"/>
              </w:rPr>
              <w:lastRenderedPageBreak/>
              <w:t xml:space="preserve">Փորձագետների տվյալները (ներքին </w:t>
            </w:r>
            <w:r w:rsidR="00C54D75">
              <w:rPr>
                <w:rStyle w:val="Bodytext1811pt"/>
                <w:rFonts w:ascii="Sylfaen" w:hAnsi="Sylfaen"/>
                <w:sz w:val="24"/>
                <w:szCs w:val="24"/>
              </w:rPr>
              <w:t>և</w:t>
            </w:r>
            <w:r w:rsidRPr="00BD7577">
              <w:rPr>
                <w:rStyle w:val="Bodytext1811pt"/>
                <w:rFonts w:ascii="Sylfaen" w:hAnsi="Sylfaen"/>
                <w:sz w:val="24"/>
                <w:szCs w:val="24"/>
              </w:rPr>
              <w:t xml:space="preserve"> անկախ)՝</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2D2AA2F3"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Որակ՝</w:t>
            </w:r>
          </w:p>
          <w:p w14:paraId="57BA156C"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18D4C59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5AC5D1D"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1DC7FCD8" w14:textId="77777777" w:rsidTr="008C76E0">
        <w:trPr>
          <w:jc w:val="center"/>
        </w:trPr>
        <w:tc>
          <w:tcPr>
            <w:tcW w:w="5357" w:type="dxa"/>
            <w:tcBorders>
              <w:top w:val="single" w:sz="4" w:space="0" w:color="auto"/>
              <w:left w:val="single" w:sz="4" w:space="0" w:color="auto"/>
            </w:tcBorders>
            <w:shd w:val="clear" w:color="auto" w:fill="FFFFFF"/>
          </w:tcPr>
          <w:p w14:paraId="43436063" w14:textId="77777777" w:rsidR="008C76E0" w:rsidRPr="00BD7577" w:rsidRDefault="008C76E0" w:rsidP="008C76E0">
            <w:pPr>
              <w:spacing w:after="120" w:line="240" w:lineRule="auto"/>
              <w:ind w:left="122"/>
              <w:rPr>
                <w:rFonts w:ascii="Sylfaen" w:hAnsi="Sylfaen"/>
                <w:sz w:val="24"/>
                <w:szCs w:val="24"/>
              </w:rPr>
            </w:pPr>
          </w:p>
        </w:tc>
        <w:tc>
          <w:tcPr>
            <w:tcW w:w="4829" w:type="dxa"/>
            <w:tcBorders>
              <w:top w:val="single" w:sz="4" w:space="0" w:color="auto"/>
              <w:left w:val="single" w:sz="4" w:space="0" w:color="auto"/>
              <w:right w:val="single" w:sz="4" w:space="0" w:color="auto"/>
            </w:tcBorders>
            <w:shd w:val="clear" w:color="auto" w:fill="FFFFFF"/>
            <w:vAlign w:val="bottom"/>
          </w:tcPr>
          <w:p w14:paraId="0AD58DA2"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Նախակլինիկական՝ </w:t>
            </w:r>
          </w:p>
          <w:p w14:paraId="3DA74742"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55658CC9"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33D6E4B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էլ. փոստ՝</w:t>
            </w:r>
          </w:p>
          <w:p w14:paraId="5612322D"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Կլինիկական՝</w:t>
            </w:r>
          </w:p>
          <w:p w14:paraId="131BCA6F" w14:textId="77777777" w:rsidR="008C76E0" w:rsidRPr="008C76E0" w:rsidRDefault="008C76E0" w:rsidP="008C76E0">
            <w:pPr>
              <w:pStyle w:val="Bodytext180"/>
              <w:shd w:val="clear" w:color="auto" w:fill="auto"/>
              <w:spacing w:before="0" w:after="120" w:line="240" w:lineRule="auto"/>
              <w:ind w:left="153" w:firstLine="0"/>
              <w:rPr>
                <w:rFonts w:ascii="Sylfaen" w:hAnsi="Sylfaen"/>
                <w:b w:val="0"/>
                <w:sz w:val="24"/>
                <w:szCs w:val="24"/>
                <w:lang w:val="hy-AM"/>
              </w:rPr>
            </w:pPr>
            <w:r w:rsidRPr="00BD7577">
              <w:rPr>
                <w:rStyle w:val="Bodytext1811pt"/>
                <w:rFonts w:ascii="Sylfaen" w:hAnsi="Sylfaen"/>
                <w:sz w:val="24"/>
                <w:szCs w:val="24"/>
              </w:rPr>
              <w:t>Ա.Ա.Հ.՝</w:t>
            </w:r>
          </w:p>
          <w:p w14:paraId="2C31AEE3" w14:textId="77777777" w:rsidR="008C76E0" w:rsidRPr="00BD7577" w:rsidRDefault="008C76E0" w:rsidP="008C76E0">
            <w:pPr>
              <w:pStyle w:val="Bodytext180"/>
              <w:shd w:val="clear" w:color="auto" w:fill="auto"/>
              <w:spacing w:before="0" w:after="120" w:line="240" w:lineRule="auto"/>
              <w:ind w:left="153" w:firstLine="0"/>
              <w:rPr>
                <w:rStyle w:val="Bodytext1811pt"/>
                <w:rFonts w:ascii="Sylfaen" w:hAnsi="Sylfaen"/>
                <w:sz w:val="24"/>
                <w:szCs w:val="24"/>
              </w:rPr>
            </w:pPr>
            <w:r w:rsidRPr="00BD7577">
              <w:rPr>
                <w:rStyle w:val="Bodytext1811pt"/>
                <w:rFonts w:ascii="Sylfaen" w:hAnsi="Sylfaen"/>
                <w:sz w:val="24"/>
                <w:szCs w:val="24"/>
              </w:rPr>
              <w:t xml:space="preserve">Հեռախոս (ֆաքս)՝ </w:t>
            </w:r>
          </w:p>
          <w:p w14:paraId="090EF48A" w14:textId="77777777" w:rsidR="008C76E0" w:rsidRPr="00BD7577" w:rsidRDefault="008C76E0" w:rsidP="008C76E0">
            <w:pPr>
              <w:pStyle w:val="Bodytext180"/>
              <w:shd w:val="clear" w:color="auto" w:fill="auto"/>
              <w:spacing w:before="0" w:after="120" w:line="240" w:lineRule="auto"/>
              <w:ind w:left="153" w:firstLine="0"/>
              <w:rPr>
                <w:rFonts w:ascii="Sylfaen" w:hAnsi="Sylfaen"/>
                <w:b w:val="0"/>
                <w:sz w:val="24"/>
                <w:szCs w:val="24"/>
              </w:rPr>
            </w:pPr>
            <w:r w:rsidRPr="00BD7577">
              <w:rPr>
                <w:rStyle w:val="Bodytext1811pt"/>
                <w:rFonts w:ascii="Sylfaen" w:hAnsi="Sylfaen"/>
                <w:sz w:val="24"/>
                <w:szCs w:val="24"/>
              </w:rPr>
              <w:t>էլ. փոստ՝</w:t>
            </w:r>
          </w:p>
        </w:tc>
      </w:tr>
      <w:tr w:rsidR="008C76E0" w:rsidRPr="00BD7577" w14:paraId="393ABB27" w14:textId="77777777" w:rsidTr="008C76E0">
        <w:trPr>
          <w:jc w:val="center"/>
        </w:trPr>
        <w:tc>
          <w:tcPr>
            <w:tcW w:w="10186" w:type="dxa"/>
            <w:gridSpan w:val="2"/>
            <w:tcBorders>
              <w:top w:val="single" w:sz="4" w:space="0" w:color="auto"/>
            </w:tcBorders>
            <w:shd w:val="clear" w:color="auto" w:fill="FFFFFF"/>
            <w:vAlign w:val="center"/>
          </w:tcPr>
          <w:p w14:paraId="1C3BB27A" w14:textId="77777777" w:rsidR="008C76E0" w:rsidRPr="001F38CC" w:rsidRDefault="008C76E0" w:rsidP="008C76E0">
            <w:pPr>
              <w:spacing w:after="120" w:line="240" w:lineRule="auto"/>
              <w:rPr>
                <w:rFonts w:ascii="Sylfaen" w:hAnsi="Sylfaen"/>
                <w:b/>
                <w:sz w:val="24"/>
                <w:szCs w:val="24"/>
              </w:rPr>
            </w:pPr>
            <w:r w:rsidRPr="001F38CC">
              <w:rPr>
                <w:rStyle w:val="Bodytext295pt"/>
                <w:rFonts w:ascii="Sylfaen" w:eastAsia="MS Mincho" w:hAnsi="Sylfaen"/>
                <w:b w:val="0"/>
                <w:spacing w:val="0"/>
                <w:sz w:val="24"/>
                <w:szCs w:val="24"/>
              </w:rPr>
              <w:t>Հապավումների ցանկ՝</w:t>
            </w:r>
          </w:p>
        </w:tc>
      </w:tr>
      <w:tr w:rsidR="008C76E0" w:rsidRPr="00BD7577" w14:paraId="04E038E3" w14:textId="77777777" w:rsidTr="008C76E0">
        <w:trPr>
          <w:jc w:val="center"/>
        </w:trPr>
        <w:tc>
          <w:tcPr>
            <w:tcW w:w="10186" w:type="dxa"/>
            <w:gridSpan w:val="2"/>
            <w:tcBorders>
              <w:top w:val="single" w:sz="4" w:space="0" w:color="auto"/>
            </w:tcBorders>
            <w:shd w:val="clear" w:color="auto" w:fill="FFFFFF"/>
          </w:tcPr>
          <w:p w14:paraId="1D2A8FED" w14:textId="77777777" w:rsidR="008C76E0" w:rsidRPr="00BD7577" w:rsidRDefault="008C76E0" w:rsidP="008C76E0">
            <w:pPr>
              <w:spacing w:after="120" w:line="240" w:lineRule="auto"/>
              <w:rPr>
                <w:rFonts w:ascii="Sylfaen" w:hAnsi="Sylfaen"/>
                <w:sz w:val="24"/>
                <w:szCs w:val="24"/>
              </w:rPr>
            </w:pPr>
          </w:p>
        </w:tc>
      </w:tr>
      <w:tr w:rsidR="008C76E0" w:rsidRPr="00BD7577" w14:paraId="127A8269" w14:textId="77777777" w:rsidTr="008C76E0">
        <w:trPr>
          <w:jc w:val="center"/>
        </w:trPr>
        <w:tc>
          <w:tcPr>
            <w:tcW w:w="10186" w:type="dxa"/>
            <w:gridSpan w:val="2"/>
            <w:tcBorders>
              <w:top w:val="single" w:sz="4" w:space="0" w:color="auto"/>
              <w:bottom w:val="single" w:sz="4" w:space="0" w:color="auto"/>
            </w:tcBorders>
            <w:shd w:val="clear" w:color="auto" w:fill="FFFFFF"/>
          </w:tcPr>
          <w:p w14:paraId="28F32260" w14:textId="77777777" w:rsidR="008C76E0" w:rsidRPr="00BD7577" w:rsidRDefault="008C76E0" w:rsidP="008C76E0">
            <w:pPr>
              <w:spacing w:after="120" w:line="240" w:lineRule="auto"/>
              <w:rPr>
                <w:rFonts w:ascii="Sylfaen" w:hAnsi="Sylfaen"/>
                <w:sz w:val="24"/>
                <w:szCs w:val="24"/>
              </w:rPr>
            </w:pPr>
          </w:p>
        </w:tc>
      </w:tr>
    </w:tbl>
    <w:p w14:paraId="00E9BF34" w14:textId="77777777" w:rsidR="008C76E0" w:rsidRPr="00BD7577" w:rsidRDefault="008C76E0" w:rsidP="008C76E0">
      <w:pPr>
        <w:rPr>
          <w:rFonts w:ascii="Sylfaen" w:hAnsi="Sylfaen"/>
          <w:sz w:val="24"/>
          <w:szCs w:val="24"/>
        </w:rPr>
      </w:pPr>
    </w:p>
    <w:p w14:paraId="2258E531" w14:textId="77777777" w:rsidR="008C76E0" w:rsidRPr="00BD7577" w:rsidRDefault="008C76E0" w:rsidP="008C76E0">
      <w:pPr>
        <w:rPr>
          <w:rFonts w:ascii="Sylfaen" w:hAnsi="Sylfaen"/>
          <w:sz w:val="24"/>
          <w:szCs w:val="24"/>
          <w:lang w:val="en-US"/>
        </w:rPr>
      </w:pPr>
      <w:r w:rsidRPr="00BD7577">
        <w:rPr>
          <w:rFonts w:ascii="Sylfaen" w:hAnsi="Sylfaen"/>
          <w:sz w:val="24"/>
          <w:szCs w:val="24"/>
        </w:rPr>
        <w:t>Կլինիկական գնահատում 1։</w:t>
      </w:r>
    </w:p>
    <w:p w14:paraId="475D3E3A" w14:textId="77777777" w:rsidR="008C76E0" w:rsidRDefault="008C76E0" w:rsidP="008C76E0">
      <w:pPr>
        <w:widowControl/>
        <w:rPr>
          <w:rFonts w:ascii="Sylfaen" w:hAnsi="Sylfaen"/>
          <w:sz w:val="24"/>
          <w:szCs w:val="24"/>
          <w:lang w:val="en-US"/>
        </w:rPr>
      </w:pPr>
      <w:r>
        <w:rPr>
          <w:rFonts w:ascii="Sylfaen" w:hAnsi="Sylfaen"/>
          <w:sz w:val="24"/>
          <w:szCs w:val="24"/>
          <w:lang w:val="en-US"/>
        </w:rPr>
        <w:br w:type="page"/>
      </w:r>
    </w:p>
    <w:p w14:paraId="5F29099A" w14:textId="77777777" w:rsidR="008C76E0" w:rsidRPr="00BD7577"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Ներածություն</w:t>
      </w:r>
    </w:p>
    <w:p w14:paraId="446248E3" w14:textId="5EE5A5E5"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 ասպեկտները՝</w:t>
      </w:r>
    </w:p>
    <w:p w14:paraId="0993148B"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նորմատիվ-իրավական ընթացակարգի տեսակը.</w:t>
      </w:r>
    </w:p>
    <w:p w14:paraId="6A87D76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գրանցման ընթացակարգի համար հատուկ հիմնավորումների կիրառման հնարավորությունը.</w:t>
      </w:r>
    </w:p>
    <w:p w14:paraId="7860AD57"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կենսահամանմանակ հայեցակարգի կիրառումը.</w:t>
      </w:r>
    </w:p>
    <w:p w14:paraId="2FE6D1A7" w14:textId="77777777" w:rsidR="008C76E0" w:rsidRPr="00324D9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համապատասխանությունը դեղապատրաստուկների մշակման ձեռնարկներին (գիտական խորհրդատվության առկայությունը</w:t>
      </w:r>
      <w:r>
        <w:rPr>
          <w:rFonts w:ascii="Sylfaen" w:hAnsi="Sylfaen"/>
          <w:sz w:val="24"/>
          <w:szCs w:val="24"/>
        </w:rPr>
        <w:t>).</w:t>
      </w:r>
    </w:p>
    <w:p w14:paraId="4505AEA3" w14:textId="77777777" w:rsidR="008C76E0" w:rsidRPr="00DD61E4"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մանկաբուժական հետազոտությունների նշանակալիությունը</w:t>
      </w:r>
      <w:r>
        <w:rPr>
          <w:rFonts w:ascii="Sylfaen" w:hAnsi="Sylfaen"/>
          <w:sz w:val="24"/>
          <w:szCs w:val="24"/>
        </w:rPr>
        <w:t>:</w:t>
      </w:r>
    </w:p>
    <w:p w14:paraId="06097B2F"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Պատշաճ կլինիկական գործելակերպի (GCP) սկզբունքների պահպանումը:</w:t>
      </w:r>
    </w:p>
    <w:p w14:paraId="34C776FE"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1.3.</w:t>
      </w:r>
      <w:r w:rsidRPr="00BD7577">
        <w:rPr>
          <w:rFonts w:ascii="Sylfaen" w:hAnsi="Sylfaen"/>
          <w:sz w:val="24"/>
          <w:szCs w:val="24"/>
        </w:rPr>
        <w:tab/>
        <w:t>Օրֆանային դեղապատրաստուկների դասին պատկանելիության վերաբերյալ տվյալներ:</w:t>
      </w:r>
    </w:p>
    <w:p w14:paraId="632CBB99" w14:textId="77777777" w:rsidR="008C76E0" w:rsidRPr="00BD7577" w:rsidRDefault="008C76E0" w:rsidP="001C3278">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 xml:space="preserve">Առողջապահության ոլորտում լիազորված մարմինների եզրակացությանը համապատասխան (00/00/00-ի եզրակացությունը)՝ հիվանդության դեպքերի հաճախությունը (նշել հիվանդաբանության անվանումը) Եվրասիական տնտեսական միության անդամ պետությունների տարածքներում 10000 մարդու հաշվարկով կազմում է (XX) (տվյալները բացակայում են): </w:t>
      </w:r>
    </w:p>
    <w:p w14:paraId="4625C7CE" w14:textId="77777777" w:rsidR="008C76E0" w:rsidRPr="00BD7577" w:rsidRDefault="008C76E0" w:rsidP="001C3278">
      <w:pPr>
        <w:pStyle w:val="Bodytext180"/>
        <w:spacing w:before="0" w:after="160" w:line="360" w:lineRule="auto"/>
        <w:ind w:left="-35" w:firstLine="0"/>
        <w:jc w:val="center"/>
        <w:rPr>
          <w:rStyle w:val="Bodytext295pt"/>
          <w:rFonts w:ascii="Sylfaen" w:hAnsi="Sylfaen"/>
          <w:spacing w:val="0"/>
          <w:sz w:val="24"/>
          <w:szCs w:val="24"/>
        </w:rPr>
      </w:pPr>
    </w:p>
    <w:p w14:paraId="326F00E7" w14:textId="77777777" w:rsidR="008C76E0" w:rsidRPr="00BD7577" w:rsidRDefault="008C76E0" w:rsidP="001C3278">
      <w:pPr>
        <w:pStyle w:val="Bodytext180"/>
        <w:spacing w:before="0" w:after="160" w:line="360" w:lineRule="auto"/>
        <w:ind w:left="-35" w:firstLine="0"/>
        <w:jc w:val="center"/>
        <w:rPr>
          <w:rStyle w:val="Bodytext295pt"/>
          <w:rFonts w:ascii="Sylfaen" w:hAnsi="Sylfaen"/>
          <w:i/>
          <w:spacing w:val="0"/>
          <w:sz w:val="24"/>
          <w:szCs w:val="24"/>
        </w:rPr>
      </w:pPr>
      <w:r w:rsidRPr="00BD7577">
        <w:rPr>
          <w:rStyle w:val="Bodytext295pt"/>
          <w:rFonts w:ascii="Sylfaen" w:hAnsi="Sylfaen"/>
          <w:spacing w:val="0"/>
          <w:sz w:val="24"/>
          <w:szCs w:val="24"/>
        </w:rPr>
        <w:t>2. Կլինիկական դեղաբանություն</w:t>
      </w:r>
    </w:p>
    <w:p w14:paraId="67827A4D"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w:t>
      </w:r>
      <w:r w:rsidRPr="00BD7577">
        <w:rPr>
          <w:rStyle w:val="Bodytext295pt"/>
          <w:rFonts w:ascii="Sylfaen" w:hAnsi="Sylfaen"/>
          <w:spacing w:val="0"/>
          <w:sz w:val="24"/>
          <w:szCs w:val="24"/>
        </w:rPr>
        <w:tab/>
        <w:t>Դեղակինետիկա։</w:t>
      </w:r>
    </w:p>
    <w:p w14:paraId="139ADAC1"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2.1.1.</w:t>
      </w:r>
      <w:r w:rsidRPr="00BD7577">
        <w:rPr>
          <w:rStyle w:val="Bodytext295pt"/>
          <w:rFonts w:ascii="Sylfaen" w:hAnsi="Sylfaen"/>
          <w:spacing w:val="0"/>
          <w:sz w:val="24"/>
          <w:szCs w:val="24"/>
        </w:rPr>
        <w:tab/>
        <w:t>Ներածություն:</w:t>
      </w:r>
    </w:p>
    <w:p w14:paraId="36C6DE7A" w14:textId="77777777" w:rsidR="008C76E0" w:rsidRPr="008C76E0" w:rsidRDefault="008C76E0" w:rsidP="001C3278">
      <w:pPr>
        <w:pStyle w:val="Bodytext180"/>
        <w:shd w:val="clear" w:color="auto" w:fill="auto"/>
        <w:tabs>
          <w:tab w:val="left" w:pos="1701"/>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2.1.2.</w:t>
      </w:r>
      <w:r w:rsidRPr="00BD7577">
        <w:rPr>
          <w:rStyle w:val="Bodytext295pt"/>
          <w:rFonts w:ascii="Sylfaen" w:hAnsi="Sylfaen"/>
          <w:spacing w:val="0"/>
          <w:sz w:val="24"/>
          <w:szCs w:val="24"/>
        </w:rPr>
        <w:tab/>
        <w:t>Մեթոդները:</w:t>
      </w:r>
    </w:p>
    <w:p w14:paraId="0651C949" w14:textId="77777777" w:rsidR="008C76E0" w:rsidRPr="00BD7577" w:rsidRDefault="008C76E0" w:rsidP="001C3278">
      <w:pPr>
        <w:pStyle w:val="Bodytext180"/>
        <w:shd w:val="clear" w:color="auto" w:fill="auto"/>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Անալիտիկ մեթոդներն ու մեթոդիկաները</w:t>
      </w:r>
    </w:p>
    <w:tbl>
      <w:tblPr>
        <w:tblOverlap w:val="never"/>
        <w:tblW w:w="10285" w:type="dxa"/>
        <w:jc w:val="center"/>
        <w:tblLayout w:type="fixed"/>
        <w:tblCellMar>
          <w:left w:w="10" w:type="dxa"/>
          <w:right w:w="10" w:type="dxa"/>
        </w:tblCellMar>
        <w:tblLook w:val="04A0" w:firstRow="1" w:lastRow="0" w:firstColumn="1" w:lastColumn="0" w:noHBand="0" w:noVBand="1"/>
      </w:tblPr>
      <w:tblGrid>
        <w:gridCol w:w="2531"/>
        <w:gridCol w:w="1573"/>
        <w:gridCol w:w="970"/>
        <w:gridCol w:w="1050"/>
        <w:gridCol w:w="1492"/>
        <w:gridCol w:w="528"/>
        <w:gridCol w:w="2141"/>
      </w:tblGrid>
      <w:tr w:rsidR="008C76E0" w:rsidRPr="00BD7577" w14:paraId="46882E6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AA3BCA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05ADD5B6" w14:textId="77777777" w:rsidTr="008C76E0">
        <w:trPr>
          <w:jc w:val="center"/>
        </w:trPr>
        <w:tc>
          <w:tcPr>
            <w:tcW w:w="10285" w:type="dxa"/>
            <w:gridSpan w:val="7"/>
            <w:tcBorders>
              <w:top w:val="single" w:sz="4" w:space="0" w:color="auto"/>
            </w:tcBorders>
            <w:shd w:val="clear" w:color="auto" w:fill="FFFFFF"/>
            <w:vAlign w:val="bottom"/>
          </w:tcPr>
          <w:p w14:paraId="7169DF71"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Դեղակինետիկ տվյալների վերլուծությունը</w:t>
            </w:r>
          </w:p>
        </w:tc>
      </w:tr>
      <w:tr w:rsidR="008C76E0" w:rsidRPr="00BD7577" w14:paraId="1BFAE64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8EC4AB4"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9AD1552" w14:textId="77777777" w:rsidTr="008C76E0">
        <w:trPr>
          <w:jc w:val="center"/>
        </w:trPr>
        <w:tc>
          <w:tcPr>
            <w:tcW w:w="10285" w:type="dxa"/>
            <w:gridSpan w:val="7"/>
            <w:tcBorders>
              <w:top w:val="single" w:sz="4" w:space="0" w:color="auto"/>
            </w:tcBorders>
            <w:shd w:val="clear" w:color="auto" w:fill="FFFFFF"/>
            <w:vAlign w:val="center"/>
          </w:tcPr>
          <w:p w14:paraId="0362358D" w14:textId="77777777" w:rsidR="008C76E0" w:rsidRPr="00BD7577" w:rsidRDefault="008C76E0" w:rsidP="008C76E0">
            <w:pPr>
              <w:pStyle w:val="Bodytext180"/>
              <w:shd w:val="clear" w:color="auto" w:fill="auto"/>
              <w:spacing w:before="0" w:after="160" w:line="360" w:lineRule="auto"/>
              <w:ind w:left="536" w:firstLine="0"/>
              <w:rPr>
                <w:rFonts w:ascii="Sylfaen" w:hAnsi="Sylfaen"/>
                <w:b w:val="0"/>
                <w:sz w:val="24"/>
                <w:szCs w:val="24"/>
              </w:rPr>
            </w:pPr>
            <w:r w:rsidRPr="00BD7577">
              <w:rPr>
                <w:rStyle w:val="Bodytext295pt"/>
                <w:rFonts w:ascii="Sylfaen" w:hAnsi="Sylfaen"/>
                <w:spacing w:val="0"/>
                <w:sz w:val="24"/>
                <w:szCs w:val="24"/>
              </w:rPr>
              <w:t>Վիճակագրական վերլուծությունը</w:t>
            </w:r>
          </w:p>
        </w:tc>
      </w:tr>
      <w:tr w:rsidR="008C76E0" w:rsidRPr="00BD7577" w14:paraId="1FECABF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017E65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119D5FD" w14:textId="77777777" w:rsidTr="008C76E0">
        <w:trPr>
          <w:jc w:val="center"/>
        </w:trPr>
        <w:tc>
          <w:tcPr>
            <w:tcW w:w="10285" w:type="dxa"/>
            <w:gridSpan w:val="7"/>
            <w:tcBorders>
              <w:top w:val="single" w:sz="4" w:space="0" w:color="auto"/>
            </w:tcBorders>
            <w:shd w:val="clear" w:color="auto" w:fill="FFFFFF"/>
            <w:vAlign w:val="center"/>
          </w:tcPr>
          <w:p w14:paraId="558DEF15"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2.1.3.</w:t>
            </w:r>
            <w:r w:rsidRPr="00BD7577">
              <w:rPr>
                <w:rStyle w:val="Bodytext295pt"/>
                <w:rFonts w:ascii="Sylfaen" w:hAnsi="Sylfaen"/>
                <w:spacing w:val="0"/>
                <w:sz w:val="24"/>
                <w:szCs w:val="24"/>
              </w:rPr>
              <w:tab/>
              <w:t>Կլանումը: Կենսամատչելիությունը</w:t>
            </w:r>
          </w:p>
        </w:tc>
      </w:tr>
      <w:tr w:rsidR="008C76E0" w:rsidRPr="00BD7577" w14:paraId="21F2D5F5"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7333131"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C9EF503" w14:textId="77777777" w:rsidTr="008C76E0">
        <w:trPr>
          <w:jc w:val="center"/>
        </w:trPr>
        <w:tc>
          <w:tcPr>
            <w:tcW w:w="10285" w:type="dxa"/>
            <w:gridSpan w:val="7"/>
            <w:tcBorders>
              <w:top w:val="single" w:sz="4" w:space="0" w:color="auto"/>
            </w:tcBorders>
            <w:shd w:val="clear" w:color="auto" w:fill="FFFFFF"/>
            <w:vAlign w:val="center"/>
          </w:tcPr>
          <w:p w14:paraId="7C06D17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Կենսահամարժեքությունը</w:t>
            </w:r>
          </w:p>
        </w:tc>
      </w:tr>
      <w:tr w:rsidR="008C76E0" w:rsidRPr="00BD7577" w14:paraId="13871C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92A36D9"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C3C32CC" w14:textId="77777777" w:rsidTr="008C76E0">
        <w:trPr>
          <w:jc w:val="center"/>
        </w:trPr>
        <w:tc>
          <w:tcPr>
            <w:tcW w:w="10285" w:type="dxa"/>
            <w:gridSpan w:val="7"/>
            <w:tcBorders>
              <w:top w:val="single" w:sz="4" w:space="0" w:color="auto"/>
            </w:tcBorders>
            <w:shd w:val="clear" w:color="auto" w:fill="FFFFFF"/>
            <w:vAlign w:val="center"/>
          </w:tcPr>
          <w:p w14:paraId="416F0C6B"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Սննդի ազդեցությունը</w:t>
            </w:r>
          </w:p>
        </w:tc>
      </w:tr>
      <w:tr w:rsidR="008C76E0" w:rsidRPr="00BD7577" w14:paraId="157C632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C75925B"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98F79D" w14:textId="77777777" w:rsidTr="008C76E0">
        <w:trPr>
          <w:jc w:val="center"/>
        </w:trPr>
        <w:tc>
          <w:tcPr>
            <w:tcW w:w="10285" w:type="dxa"/>
            <w:gridSpan w:val="7"/>
            <w:tcBorders>
              <w:top w:val="single" w:sz="4" w:space="0" w:color="auto"/>
            </w:tcBorders>
            <w:shd w:val="clear" w:color="auto" w:fill="FFFFFF"/>
            <w:vAlign w:val="bottom"/>
          </w:tcPr>
          <w:p w14:paraId="5FF4D4EA" w14:textId="77777777" w:rsidR="008C76E0" w:rsidRPr="00BD7577"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rPr>
            </w:pPr>
            <w:r>
              <w:rPr>
                <w:rStyle w:val="Bodytext295pt"/>
                <w:rFonts w:ascii="Sylfaen" w:hAnsi="Sylfaen"/>
                <w:spacing w:val="0"/>
                <w:sz w:val="24"/>
                <w:szCs w:val="24"/>
              </w:rPr>
              <w:t>2.1.4.</w:t>
            </w:r>
            <w:r>
              <w:rPr>
                <w:rStyle w:val="Bodytext295pt"/>
                <w:rFonts w:ascii="Sylfaen" w:hAnsi="Sylfaen"/>
                <w:spacing w:val="0"/>
                <w:sz w:val="24"/>
                <w:szCs w:val="24"/>
              </w:rPr>
              <w:tab/>
            </w:r>
            <w:r w:rsidRPr="00BD7577">
              <w:rPr>
                <w:rStyle w:val="Bodytext295pt"/>
                <w:rFonts w:ascii="Sylfaen" w:hAnsi="Sylfaen"/>
                <w:spacing w:val="0"/>
                <w:sz w:val="24"/>
                <w:szCs w:val="24"/>
              </w:rPr>
              <w:t>Բաշխումը:</w:t>
            </w:r>
          </w:p>
        </w:tc>
      </w:tr>
      <w:tr w:rsidR="008C76E0" w:rsidRPr="00BD7577" w14:paraId="4B53AF7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D601D5F" w14:textId="77777777" w:rsidR="008C76E0" w:rsidRPr="00BD7577" w:rsidRDefault="008C76E0" w:rsidP="008C76E0">
            <w:pPr>
              <w:pStyle w:val="Bodytext180"/>
              <w:shd w:val="clear" w:color="auto" w:fill="auto"/>
              <w:spacing w:before="0" w:after="160" w:line="360" w:lineRule="auto"/>
              <w:ind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79303F3" w14:textId="77777777" w:rsidTr="008C76E0">
        <w:trPr>
          <w:jc w:val="center"/>
        </w:trPr>
        <w:tc>
          <w:tcPr>
            <w:tcW w:w="10285" w:type="dxa"/>
            <w:gridSpan w:val="7"/>
            <w:tcBorders>
              <w:top w:val="single" w:sz="4" w:space="0" w:color="auto"/>
            </w:tcBorders>
            <w:shd w:val="clear" w:color="auto" w:fill="FFFFFF"/>
            <w:vAlign w:val="bottom"/>
          </w:tcPr>
          <w:p w14:paraId="647F158F" w14:textId="77777777" w:rsidR="008C76E0" w:rsidRPr="00BD7577" w:rsidRDefault="008C76E0" w:rsidP="008C76E0">
            <w:pPr>
              <w:pStyle w:val="Bodytext180"/>
              <w:shd w:val="clear" w:color="auto" w:fill="auto"/>
              <w:tabs>
                <w:tab w:val="left" w:pos="1707"/>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2.1.5.</w:t>
            </w:r>
            <w:r w:rsidRPr="00BD7577">
              <w:rPr>
                <w:rStyle w:val="Bodytext295pt"/>
                <w:rFonts w:ascii="Sylfaen" w:hAnsi="Sylfaen"/>
                <w:spacing w:val="0"/>
                <w:sz w:val="24"/>
                <w:szCs w:val="24"/>
              </w:rPr>
              <w:tab/>
              <w:t>Վերացումը:</w:t>
            </w:r>
          </w:p>
          <w:p w14:paraId="7A6B0B07" w14:textId="77777777" w:rsidR="008C76E0" w:rsidRPr="00BD7577" w:rsidRDefault="008C76E0" w:rsidP="008C76E0">
            <w:pPr>
              <w:pStyle w:val="Bodytext180"/>
              <w:shd w:val="clear" w:color="auto" w:fill="auto"/>
              <w:tabs>
                <w:tab w:val="left" w:pos="1611"/>
              </w:tabs>
              <w:spacing w:before="0" w:after="160" w:line="360" w:lineRule="auto"/>
              <w:ind w:firstLine="536"/>
              <w:rPr>
                <w:rFonts w:ascii="Sylfaen" w:hAnsi="Sylfaen"/>
                <w:b w:val="0"/>
                <w:sz w:val="24"/>
                <w:szCs w:val="24"/>
              </w:rPr>
            </w:pPr>
            <w:r w:rsidRPr="00BD7577">
              <w:rPr>
                <w:rStyle w:val="Bodytext295pt"/>
                <w:rFonts w:ascii="Sylfaen" w:hAnsi="Sylfaen"/>
                <w:spacing w:val="0"/>
                <w:sz w:val="24"/>
                <w:szCs w:val="24"/>
              </w:rPr>
              <w:t>Դուրսբերումը:</w:t>
            </w:r>
          </w:p>
        </w:tc>
      </w:tr>
      <w:tr w:rsidR="008C76E0" w:rsidRPr="00BD7577" w14:paraId="79DDA427"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5E0B7D9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8B5FA7F" w14:textId="77777777" w:rsidTr="008C76E0">
        <w:trPr>
          <w:jc w:val="center"/>
        </w:trPr>
        <w:tc>
          <w:tcPr>
            <w:tcW w:w="10285" w:type="dxa"/>
            <w:gridSpan w:val="7"/>
            <w:tcBorders>
              <w:top w:val="single" w:sz="4" w:space="0" w:color="auto"/>
            </w:tcBorders>
            <w:shd w:val="clear" w:color="auto" w:fill="FFFFFF"/>
            <w:vAlign w:val="center"/>
          </w:tcPr>
          <w:p w14:paraId="46EF6301"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Նյութափոխանակությունը</w:t>
            </w:r>
          </w:p>
        </w:tc>
      </w:tr>
      <w:tr w:rsidR="008C76E0" w:rsidRPr="00BD7577" w14:paraId="4C1B3BE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857D1E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7E1063" w14:textId="77777777" w:rsidTr="008C76E0">
        <w:trPr>
          <w:jc w:val="center"/>
        </w:trPr>
        <w:tc>
          <w:tcPr>
            <w:tcW w:w="10285" w:type="dxa"/>
            <w:gridSpan w:val="7"/>
            <w:tcBorders>
              <w:top w:val="single" w:sz="4" w:space="0" w:color="auto"/>
            </w:tcBorders>
            <w:shd w:val="clear" w:color="auto" w:fill="FFFFFF"/>
            <w:vAlign w:val="bottom"/>
          </w:tcPr>
          <w:p w14:paraId="4BD5788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Փոխադարձ փոխարկում</w:t>
            </w:r>
          </w:p>
        </w:tc>
      </w:tr>
      <w:tr w:rsidR="008C76E0" w:rsidRPr="00BD7577" w14:paraId="4407731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A4780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1A9B3B" w14:textId="77777777" w:rsidTr="008C76E0">
        <w:trPr>
          <w:jc w:val="center"/>
        </w:trPr>
        <w:tc>
          <w:tcPr>
            <w:tcW w:w="10285" w:type="dxa"/>
            <w:gridSpan w:val="7"/>
            <w:tcBorders>
              <w:top w:val="single" w:sz="4" w:space="0" w:color="auto"/>
            </w:tcBorders>
            <w:shd w:val="clear" w:color="auto" w:fill="FFFFFF"/>
            <w:vAlign w:val="bottom"/>
          </w:tcPr>
          <w:p w14:paraId="6CD83949"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Մետաբոլիտների դեղակինետիկան</w:t>
            </w:r>
          </w:p>
        </w:tc>
      </w:tr>
      <w:tr w:rsidR="008C76E0" w:rsidRPr="00BD7577" w14:paraId="38A2374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DC20E1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5BB99246" w14:textId="77777777" w:rsidTr="008C76E0">
        <w:trPr>
          <w:jc w:val="center"/>
        </w:trPr>
        <w:tc>
          <w:tcPr>
            <w:tcW w:w="10285" w:type="dxa"/>
            <w:gridSpan w:val="7"/>
            <w:tcBorders>
              <w:top w:val="single" w:sz="4" w:space="0" w:color="auto"/>
            </w:tcBorders>
            <w:shd w:val="clear" w:color="auto" w:fill="FFFFFF"/>
            <w:vAlign w:val="bottom"/>
          </w:tcPr>
          <w:p w14:paraId="42308DB8"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Հնարավոր գենետիկական պոլիմորֆիզմի հետ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անքները</w:t>
            </w:r>
          </w:p>
        </w:tc>
      </w:tr>
      <w:tr w:rsidR="008C76E0" w:rsidRPr="00BD7577" w14:paraId="613DB4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2D7DB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539D6BD" w14:textId="77777777" w:rsidTr="008C76E0">
        <w:trPr>
          <w:jc w:val="center"/>
        </w:trPr>
        <w:tc>
          <w:tcPr>
            <w:tcW w:w="10285" w:type="dxa"/>
            <w:gridSpan w:val="7"/>
            <w:tcBorders>
              <w:top w:val="single" w:sz="4" w:space="0" w:color="auto"/>
            </w:tcBorders>
            <w:shd w:val="clear" w:color="auto" w:fill="FFFFFF"/>
            <w:vAlign w:val="bottom"/>
          </w:tcPr>
          <w:p w14:paraId="17460BA7" w14:textId="77777777" w:rsidR="008C76E0" w:rsidRPr="008C76E0" w:rsidRDefault="008C76E0" w:rsidP="008C76E0">
            <w:pPr>
              <w:pStyle w:val="Bodytext180"/>
              <w:shd w:val="clear" w:color="auto" w:fill="auto"/>
              <w:tabs>
                <w:tab w:val="left" w:pos="1722"/>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2.1.6.</w:t>
            </w:r>
            <w:r w:rsidRPr="00BD7577">
              <w:rPr>
                <w:rStyle w:val="Bodytext295pt"/>
                <w:rFonts w:ascii="Sylfaen" w:hAnsi="Sylfaen"/>
                <w:spacing w:val="0"/>
                <w:sz w:val="24"/>
                <w:szCs w:val="24"/>
              </w:rPr>
              <w:tab/>
              <w:t xml:space="preserve">Դոզաների համամասնությունը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ժամանակավոր կախվածությունը: Դոզաների համամասնությունը</w:t>
            </w:r>
          </w:p>
        </w:tc>
      </w:tr>
      <w:tr w:rsidR="008C76E0" w:rsidRPr="00BD7577" w14:paraId="00179ED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6EFFF0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585118C" w14:textId="77777777" w:rsidTr="008C76E0">
        <w:trPr>
          <w:jc w:val="center"/>
        </w:trPr>
        <w:tc>
          <w:tcPr>
            <w:tcW w:w="10285" w:type="dxa"/>
            <w:gridSpan w:val="7"/>
            <w:tcBorders>
              <w:top w:val="single" w:sz="4" w:space="0" w:color="auto"/>
            </w:tcBorders>
            <w:shd w:val="clear" w:color="auto" w:fill="FFFFFF"/>
            <w:vAlign w:val="bottom"/>
          </w:tcPr>
          <w:p w14:paraId="2534614A"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Ժամանակավոր կախվածությունը</w:t>
            </w:r>
          </w:p>
        </w:tc>
      </w:tr>
      <w:tr w:rsidR="008C76E0" w:rsidRPr="00BD7577" w14:paraId="22CDA9B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CFF2225"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F18C3E5" w14:textId="77777777" w:rsidTr="008C76E0">
        <w:trPr>
          <w:jc w:val="center"/>
        </w:trPr>
        <w:tc>
          <w:tcPr>
            <w:tcW w:w="10285" w:type="dxa"/>
            <w:gridSpan w:val="7"/>
            <w:tcBorders>
              <w:top w:val="single" w:sz="4" w:space="0" w:color="auto"/>
            </w:tcBorders>
            <w:shd w:val="clear" w:color="auto" w:fill="FFFFFF"/>
            <w:vAlign w:val="bottom"/>
          </w:tcPr>
          <w:p w14:paraId="46F42413"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2.1.7.</w:t>
            </w:r>
            <w:r w:rsidRPr="00BD7577">
              <w:rPr>
                <w:rStyle w:val="Bodytext295pt"/>
                <w:rFonts w:ascii="Sylfaen" w:hAnsi="Sylfaen"/>
                <w:spacing w:val="0"/>
                <w:sz w:val="24"/>
                <w:szCs w:val="24"/>
              </w:rPr>
              <w:tab/>
              <w:t xml:space="preserve">Ներանհատական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միջանհատական փոփոխականությունը: </w:t>
            </w:r>
          </w:p>
        </w:tc>
      </w:tr>
      <w:tr w:rsidR="008C76E0" w:rsidRPr="00BD7577" w14:paraId="2A512636"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41FFD9D"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66509CC" w14:textId="77777777" w:rsidTr="008C76E0">
        <w:trPr>
          <w:jc w:val="center"/>
        </w:trPr>
        <w:tc>
          <w:tcPr>
            <w:tcW w:w="10285" w:type="dxa"/>
            <w:gridSpan w:val="7"/>
            <w:tcBorders>
              <w:top w:val="single" w:sz="4" w:space="0" w:color="auto"/>
            </w:tcBorders>
            <w:shd w:val="clear" w:color="auto" w:fill="FFFFFF"/>
            <w:vAlign w:val="bottom"/>
          </w:tcPr>
          <w:p w14:paraId="0633A59C"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Pr>
                <w:rStyle w:val="Bodytext295pt"/>
                <w:rFonts w:ascii="Sylfaen" w:hAnsi="Sylfaen"/>
                <w:spacing w:val="0"/>
                <w:sz w:val="24"/>
                <w:szCs w:val="24"/>
              </w:rPr>
              <w:t>2.1.8.</w:t>
            </w:r>
            <w:r w:rsidRPr="00BD7577">
              <w:rPr>
                <w:rStyle w:val="Bodytext295pt"/>
                <w:rFonts w:ascii="Sylfaen" w:hAnsi="Sylfaen"/>
                <w:spacing w:val="0"/>
                <w:sz w:val="24"/>
                <w:szCs w:val="24"/>
              </w:rPr>
              <w:tab/>
              <w:t>Նպատակային պոպուլյացիայի մոտ դեղակինետիկան:</w:t>
            </w:r>
          </w:p>
        </w:tc>
      </w:tr>
      <w:tr w:rsidR="008C76E0" w:rsidRPr="00BD7577" w14:paraId="3A5A4AEE"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6D358C75" w14:textId="77777777" w:rsidR="008C76E0" w:rsidRPr="00BD7577"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096D578" w14:textId="77777777" w:rsidTr="008C76E0">
        <w:trPr>
          <w:jc w:val="center"/>
        </w:trPr>
        <w:tc>
          <w:tcPr>
            <w:tcW w:w="10285" w:type="dxa"/>
            <w:gridSpan w:val="7"/>
            <w:tcBorders>
              <w:top w:val="single" w:sz="4" w:space="0" w:color="auto"/>
            </w:tcBorders>
            <w:shd w:val="clear" w:color="auto" w:fill="FFFFFF"/>
            <w:vAlign w:val="bottom"/>
          </w:tcPr>
          <w:p w14:paraId="34F971FD" w14:textId="77777777" w:rsidR="008C76E0" w:rsidRPr="008C76E0" w:rsidRDefault="008C76E0" w:rsidP="008C76E0">
            <w:pPr>
              <w:pStyle w:val="Bodytext180"/>
              <w:shd w:val="clear" w:color="auto" w:fill="auto"/>
              <w:tabs>
                <w:tab w:val="left" w:pos="1670"/>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2.1.9.</w:t>
            </w:r>
            <w:r w:rsidRPr="00BD7577">
              <w:rPr>
                <w:rStyle w:val="Bodytext295pt"/>
                <w:rFonts w:ascii="Sylfaen" w:hAnsi="Sylfaen"/>
                <w:spacing w:val="0"/>
                <w:sz w:val="24"/>
                <w:szCs w:val="24"/>
              </w:rPr>
              <w:tab/>
              <w:t>Բնակչության հատուկ խմբերը: Երիկամների ֆունկցիայի խանգարումը</w:t>
            </w:r>
          </w:p>
        </w:tc>
      </w:tr>
      <w:tr w:rsidR="008C76E0" w:rsidRPr="00BD7577" w14:paraId="26F042BD"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tcPr>
          <w:p w14:paraId="15883F4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306FBB2" w14:textId="77777777" w:rsidTr="008C76E0">
        <w:trPr>
          <w:jc w:val="center"/>
        </w:trPr>
        <w:tc>
          <w:tcPr>
            <w:tcW w:w="10285" w:type="dxa"/>
            <w:gridSpan w:val="7"/>
            <w:shd w:val="clear" w:color="auto" w:fill="FFFFFF"/>
          </w:tcPr>
          <w:p w14:paraId="6A3D0C1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Լյարդի ֆունկցիայի խանգարումը</w:t>
            </w:r>
          </w:p>
        </w:tc>
      </w:tr>
      <w:tr w:rsidR="008C76E0" w:rsidRPr="00BD7577" w14:paraId="6204B4B9"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vAlign w:val="bottom"/>
          </w:tcPr>
          <w:p w14:paraId="7DF2ADD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A29A70" w14:textId="77777777" w:rsidTr="008C76E0">
        <w:trPr>
          <w:jc w:val="center"/>
        </w:trPr>
        <w:tc>
          <w:tcPr>
            <w:tcW w:w="10285" w:type="dxa"/>
            <w:gridSpan w:val="7"/>
            <w:tcBorders>
              <w:top w:val="single" w:sz="4" w:space="0" w:color="auto"/>
            </w:tcBorders>
            <w:shd w:val="clear" w:color="auto" w:fill="FFFFFF"/>
            <w:vAlign w:val="center"/>
          </w:tcPr>
          <w:p w14:paraId="69961B4F"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Սեռը</w:t>
            </w:r>
          </w:p>
        </w:tc>
      </w:tr>
      <w:tr w:rsidR="008C76E0" w:rsidRPr="00BD7577" w14:paraId="7A4810F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0B9460"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61CF9E9" w14:textId="77777777" w:rsidTr="008C76E0">
        <w:trPr>
          <w:jc w:val="center"/>
        </w:trPr>
        <w:tc>
          <w:tcPr>
            <w:tcW w:w="10285" w:type="dxa"/>
            <w:gridSpan w:val="7"/>
            <w:tcBorders>
              <w:top w:val="single" w:sz="4" w:space="0" w:color="auto"/>
            </w:tcBorders>
            <w:shd w:val="clear" w:color="auto" w:fill="FFFFFF"/>
            <w:vAlign w:val="center"/>
          </w:tcPr>
          <w:p w14:paraId="39C00217"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Ռասան</w:t>
            </w:r>
          </w:p>
        </w:tc>
      </w:tr>
      <w:tr w:rsidR="008C76E0" w:rsidRPr="00BD7577" w14:paraId="14637E1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0AC130B"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BBD62E0" w14:textId="77777777" w:rsidTr="008C76E0">
        <w:trPr>
          <w:jc w:val="center"/>
        </w:trPr>
        <w:tc>
          <w:tcPr>
            <w:tcW w:w="10285" w:type="dxa"/>
            <w:gridSpan w:val="7"/>
            <w:tcBorders>
              <w:top w:val="single" w:sz="4" w:space="0" w:color="auto"/>
            </w:tcBorders>
            <w:shd w:val="clear" w:color="auto" w:fill="FFFFFF"/>
            <w:vAlign w:val="center"/>
          </w:tcPr>
          <w:p w14:paraId="47E80966"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Քաշը</w:t>
            </w:r>
          </w:p>
        </w:tc>
      </w:tr>
      <w:tr w:rsidR="008C76E0" w:rsidRPr="00BD7577" w14:paraId="23AC7A0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B86F68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5CAE5EF" w14:textId="77777777" w:rsidTr="008C76E0">
        <w:trPr>
          <w:jc w:val="center"/>
        </w:trPr>
        <w:tc>
          <w:tcPr>
            <w:tcW w:w="10285" w:type="dxa"/>
            <w:gridSpan w:val="7"/>
            <w:tcBorders>
              <w:top w:val="single" w:sz="4" w:space="0" w:color="auto"/>
            </w:tcBorders>
            <w:shd w:val="clear" w:color="auto" w:fill="FFFFFF"/>
            <w:vAlign w:val="center"/>
          </w:tcPr>
          <w:p w14:paraId="2AD12D7D"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lastRenderedPageBreak/>
              <w:t>Տարեցները</w:t>
            </w:r>
          </w:p>
        </w:tc>
      </w:tr>
      <w:tr w:rsidR="008C76E0" w:rsidRPr="00BD7577" w14:paraId="7C5A83A3" w14:textId="77777777" w:rsidTr="008C76E0">
        <w:trPr>
          <w:jc w:val="center"/>
        </w:trPr>
        <w:tc>
          <w:tcPr>
            <w:tcW w:w="4104" w:type="dxa"/>
            <w:gridSpan w:val="2"/>
            <w:tcBorders>
              <w:top w:val="single" w:sz="4" w:space="0" w:color="auto"/>
              <w:left w:val="single" w:sz="4" w:space="0" w:color="auto"/>
            </w:tcBorders>
            <w:shd w:val="clear" w:color="auto" w:fill="FFFFFF"/>
          </w:tcPr>
          <w:p w14:paraId="43E3CD47"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1546F343"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5DEF1C57"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391F2EFD" w14:textId="77777777" w:rsidR="008C76E0" w:rsidRPr="00BD7577" w:rsidRDefault="008C76E0" w:rsidP="008C76E0">
            <w:pPr>
              <w:rPr>
                <w:rFonts w:ascii="Sylfaen" w:hAnsi="Sylfaen"/>
                <w:sz w:val="24"/>
                <w:szCs w:val="24"/>
              </w:rPr>
            </w:pPr>
          </w:p>
        </w:tc>
      </w:tr>
      <w:tr w:rsidR="008C76E0" w:rsidRPr="00BD7577" w14:paraId="4A5ACBE3" w14:textId="77777777" w:rsidTr="008C76E0">
        <w:trPr>
          <w:jc w:val="center"/>
        </w:trPr>
        <w:tc>
          <w:tcPr>
            <w:tcW w:w="4104" w:type="dxa"/>
            <w:gridSpan w:val="2"/>
            <w:tcBorders>
              <w:top w:val="single" w:sz="4" w:space="0" w:color="auto"/>
              <w:left w:val="single" w:sz="4" w:space="0" w:color="auto"/>
            </w:tcBorders>
            <w:shd w:val="clear" w:color="auto" w:fill="FFFFFF"/>
          </w:tcPr>
          <w:p w14:paraId="3778FB5A"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374F7E58"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7FAEB6DA"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6CA9D4EF" w14:textId="77777777" w:rsidR="008C76E0" w:rsidRPr="00BD7577" w:rsidRDefault="008C76E0" w:rsidP="008C76E0">
            <w:pPr>
              <w:rPr>
                <w:rFonts w:ascii="Sylfaen" w:hAnsi="Sylfaen"/>
                <w:sz w:val="24"/>
                <w:szCs w:val="24"/>
              </w:rPr>
            </w:pPr>
          </w:p>
        </w:tc>
      </w:tr>
      <w:tr w:rsidR="008C76E0" w:rsidRPr="00BD7577" w14:paraId="7F8B4544" w14:textId="77777777" w:rsidTr="008C76E0">
        <w:trPr>
          <w:jc w:val="center"/>
        </w:trPr>
        <w:tc>
          <w:tcPr>
            <w:tcW w:w="4104" w:type="dxa"/>
            <w:gridSpan w:val="2"/>
            <w:tcBorders>
              <w:top w:val="single" w:sz="4" w:space="0" w:color="auto"/>
              <w:left w:val="single" w:sz="4" w:space="0" w:color="auto"/>
            </w:tcBorders>
            <w:shd w:val="clear" w:color="auto" w:fill="FFFFFF"/>
          </w:tcPr>
          <w:p w14:paraId="184C8F12"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4C196394" w14:textId="77777777" w:rsidR="008C76E0" w:rsidRPr="00BD7577" w:rsidRDefault="008C76E0" w:rsidP="008C76E0">
            <w:pPr>
              <w:rPr>
                <w:rFonts w:ascii="Sylfaen" w:hAnsi="Sylfaen"/>
                <w:sz w:val="24"/>
                <w:szCs w:val="24"/>
              </w:rPr>
            </w:pPr>
          </w:p>
        </w:tc>
        <w:tc>
          <w:tcPr>
            <w:tcW w:w="2020" w:type="dxa"/>
            <w:gridSpan w:val="2"/>
            <w:tcBorders>
              <w:top w:val="single" w:sz="4" w:space="0" w:color="auto"/>
              <w:left w:val="single" w:sz="4" w:space="0" w:color="auto"/>
            </w:tcBorders>
            <w:shd w:val="clear" w:color="auto" w:fill="FFFFFF"/>
          </w:tcPr>
          <w:p w14:paraId="050E0DE5" w14:textId="77777777" w:rsidR="008C76E0" w:rsidRPr="00BD7577" w:rsidRDefault="008C76E0" w:rsidP="008C76E0">
            <w:pPr>
              <w:rPr>
                <w:rFonts w:ascii="Sylfaen" w:hAnsi="Sylfaen"/>
                <w:sz w:val="24"/>
                <w:szCs w:val="24"/>
              </w:rPr>
            </w:pPr>
          </w:p>
        </w:tc>
        <w:tc>
          <w:tcPr>
            <w:tcW w:w="2141" w:type="dxa"/>
            <w:tcBorders>
              <w:top w:val="single" w:sz="4" w:space="0" w:color="auto"/>
              <w:left w:val="single" w:sz="4" w:space="0" w:color="auto"/>
            </w:tcBorders>
            <w:shd w:val="clear" w:color="auto" w:fill="FFFFFF"/>
          </w:tcPr>
          <w:p w14:paraId="0737B79A" w14:textId="77777777" w:rsidR="008C76E0" w:rsidRPr="00BD7577" w:rsidRDefault="008C76E0" w:rsidP="008C76E0">
            <w:pPr>
              <w:rPr>
                <w:rFonts w:ascii="Sylfaen" w:hAnsi="Sylfaen"/>
                <w:sz w:val="24"/>
                <w:szCs w:val="24"/>
              </w:rPr>
            </w:pPr>
          </w:p>
        </w:tc>
      </w:tr>
      <w:tr w:rsidR="008C76E0" w:rsidRPr="00BD7577" w14:paraId="533D2784" w14:textId="77777777" w:rsidTr="008C76E0">
        <w:trPr>
          <w:jc w:val="center"/>
        </w:trPr>
        <w:tc>
          <w:tcPr>
            <w:tcW w:w="10285" w:type="dxa"/>
            <w:gridSpan w:val="7"/>
            <w:tcBorders>
              <w:top w:val="single" w:sz="4" w:space="0" w:color="auto"/>
            </w:tcBorders>
            <w:shd w:val="clear" w:color="auto" w:fill="FFFFFF"/>
          </w:tcPr>
          <w:p w14:paraId="1CED35FF" w14:textId="77777777" w:rsidR="008C76E0" w:rsidRPr="00BD7577" w:rsidRDefault="008C76E0" w:rsidP="008C76E0">
            <w:pPr>
              <w:rPr>
                <w:rFonts w:ascii="Sylfaen" w:hAnsi="Sylfaen"/>
                <w:sz w:val="24"/>
                <w:szCs w:val="24"/>
              </w:rPr>
            </w:pPr>
          </w:p>
        </w:tc>
      </w:tr>
      <w:tr w:rsidR="008C76E0" w:rsidRPr="00BD7577" w14:paraId="5E76093B" w14:textId="77777777" w:rsidTr="008C76E0">
        <w:trPr>
          <w:jc w:val="center"/>
        </w:trPr>
        <w:tc>
          <w:tcPr>
            <w:tcW w:w="2531" w:type="dxa"/>
            <w:tcBorders>
              <w:top w:val="single" w:sz="4" w:space="0" w:color="auto"/>
              <w:left w:val="single" w:sz="4" w:space="0" w:color="auto"/>
            </w:tcBorders>
            <w:shd w:val="clear" w:color="auto" w:fill="FFFFFF"/>
            <w:vAlign w:val="center"/>
          </w:tcPr>
          <w:p w14:paraId="6C21CF6A" w14:textId="77777777" w:rsidR="008C76E0" w:rsidRPr="00BD7577" w:rsidRDefault="008C76E0" w:rsidP="008C76E0">
            <w:pPr>
              <w:rPr>
                <w:rFonts w:ascii="Sylfaen" w:hAnsi="Sylfaen"/>
                <w:sz w:val="24"/>
                <w:szCs w:val="24"/>
              </w:rPr>
            </w:pPr>
          </w:p>
        </w:tc>
        <w:tc>
          <w:tcPr>
            <w:tcW w:w="2543" w:type="dxa"/>
            <w:gridSpan w:val="2"/>
            <w:tcBorders>
              <w:top w:val="single" w:sz="4" w:space="0" w:color="auto"/>
              <w:left w:val="single" w:sz="4" w:space="0" w:color="auto"/>
            </w:tcBorders>
            <w:shd w:val="clear" w:color="auto" w:fill="FFFFFF"/>
            <w:vAlign w:val="center"/>
          </w:tcPr>
          <w:p w14:paraId="681EF4E4"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65-74 տարիքային խումբ (տարեց պացիենտների քանակը (ընդհանուր քանակը))</w:t>
            </w:r>
          </w:p>
        </w:tc>
        <w:tc>
          <w:tcPr>
            <w:tcW w:w="2542" w:type="dxa"/>
            <w:gridSpan w:val="2"/>
            <w:tcBorders>
              <w:top w:val="single" w:sz="4" w:space="0" w:color="auto"/>
              <w:left w:val="single" w:sz="4" w:space="0" w:color="auto"/>
            </w:tcBorders>
            <w:shd w:val="clear" w:color="auto" w:fill="FFFFFF"/>
            <w:vAlign w:val="center"/>
          </w:tcPr>
          <w:p w14:paraId="06A5B183"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75-84 տարիքային խումբ (տարեց պացիենտների քանակը (ընդհանուր քանակը))</w:t>
            </w:r>
          </w:p>
        </w:tc>
        <w:tc>
          <w:tcPr>
            <w:tcW w:w="2669" w:type="dxa"/>
            <w:gridSpan w:val="2"/>
            <w:tcBorders>
              <w:top w:val="single" w:sz="4" w:space="0" w:color="auto"/>
              <w:left w:val="single" w:sz="4" w:space="0" w:color="auto"/>
            </w:tcBorders>
            <w:shd w:val="clear" w:color="auto" w:fill="FFFFFF"/>
          </w:tcPr>
          <w:p w14:paraId="1D97AA89" w14:textId="77777777" w:rsidR="008C76E0" w:rsidRPr="008C76E0" w:rsidRDefault="008C76E0" w:rsidP="008C76E0">
            <w:pPr>
              <w:pStyle w:val="Bodytext180"/>
              <w:shd w:val="clear" w:color="auto" w:fill="auto"/>
              <w:spacing w:before="0" w:after="160" w:line="360" w:lineRule="auto"/>
              <w:ind w:left="112" w:firstLine="0"/>
              <w:rPr>
                <w:rFonts w:ascii="Sylfaen" w:hAnsi="Sylfaen"/>
                <w:b w:val="0"/>
                <w:sz w:val="24"/>
                <w:szCs w:val="24"/>
                <w:lang w:val="hy-AM"/>
              </w:rPr>
            </w:pPr>
            <w:r w:rsidRPr="00BD7577">
              <w:rPr>
                <w:rStyle w:val="Bodytext295pt"/>
                <w:rFonts w:ascii="Sylfaen" w:hAnsi="Sylfaen"/>
                <w:spacing w:val="0"/>
                <w:sz w:val="24"/>
                <w:szCs w:val="24"/>
              </w:rPr>
              <w:t>85+ տարիքային խումբ (տարեց պացիենտների քանակը (ընդհանուր քանակը))</w:t>
            </w:r>
          </w:p>
        </w:tc>
      </w:tr>
      <w:tr w:rsidR="008C76E0" w:rsidRPr="00BD7577" w14:paraId="4493E740" w14:textId="77777777" w:rsidTr="008C76E0">
        <w:trPr>
          <w:jc w:val="center"/>
        </w:trPr>
        <w:tc>
          <w:tcPr>
            <w:tcW w:w="2531" w:type="dxa"/>
            <w:tcBorders>
              <w:top w:val="single" w:sz="4" w:space="0" w:color="auto"/>
              <w:left w:val="single" w:sz="4" w:space="0" w:color="auto"/>
            </w:tcBorders>
            <w:shd w:val="clear" w:color="auto" w:fill="FFFFFF"/>
            <w:vAlign w:val="bottom"/>
          </w:tcPr>
          <w:p w14:paraId="714D16DD"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Դեղակինետիկ հետազոտություններ</w:t>
            </w:r>
          </w:p>
        </w:tc>
        <w:tc>
          <w:tcPr>
            <w:tcW w:w="2543" w:type="dxa"/>
            <w:gridSpan w:val="2"/>
            <w:tcBorders>
              <w:top w:val="single" w:sz="4" w:space="0" w:color="auto"/>
              <w:left w:val="single" w:sz="4" w:space="0" w:color="auto"/>
            </w:tcBorders>
            <w:shd w:val="clear" w:color="auto" w:fill="FFFFFF"/>
          </w:tcPr>
          <w:p w14:paraId="357314D9" w14:textId="77777777" w:rsidR="008C76E0" w:rsidRPr="00BD7577" w:rsidRDefault="008C76E0" w:rsidP="008C76E0">
            <w:pPr>
              <w:ind w:left="110"/>
              <w:rPr>
                <w:rFonts w:ascii="Sylfaen" w:hAnsi="Sylfaen"/>
                <w:sz w:val="24"/>
                <w:szCs w:val="24"/>
              </w:rPr>
            </w:pPr>
          </w:p>
        </w:tc>
        <w:tc>
          <w:tcPr>
            <w:tcW w:w="2542" w:type="dxa"/>
            <w:gridSpan w:val="2"/>
            <w:tcBorders>
              <w:top w:val="single" w:sz="4" w:space="0" w:color="auto"/>
              <w:left w:val="single" w:sz="4" w:space="0" w:color="auto"/>
            </w:tcBorders>
            <w:shd w:val="clear" w:color="auto" w:fill="FFFFFF"/>
          </w:tcPr>
          <w:p w14:paraId="1AF3865A" w14:textId="77777777" w:rsidR="008C76E0" w:rsidRPr="00BD7577" w:rsidRDefault="008C76E0" w:rsidP="008C76E0">
            <w:pPr>
              <w:ind w:left="110"/>
              <w:rPr>
                <w:rFonts w:ascii="Sylfaen" w:hAnsi="Sylfaen"/>
                <w:sz w:val="24"/>
                <w:szCs w:val="24"/>
              </w:rPr>
            </w:pPr>
          </w:p>
        </w:tc>
        <w:tc>
          <w:tcPr>
            <w:tcW w:w="2669" w:type="dxa"/>
            <w:gridSpan w:val="2"/>
            <w:tcBorders>
              <w:top w:val="single" w:sz="4" w:space="0" w:color="auto"/>
              <w:left w:val="single" w:sz="4" w:space="0" w:color="auto"/>
            </w:tcBorders>
            <w:shd w:val="clear" w:color="auto" w:fill="FFFFFF"/>
          </w:tcPr>
          <w:p w14:paraId="0B75E30C" w14:textId="77777777" w:rsidR="008C76E0" w:rsidRPr="00BD7577" w:rsidRDefault="008C76E0" w:rsidP="008C76E0">
            <w:pPr>
              <w:ind w:left="110"/>
              <w:rPr>
                <w:rFonts w:ascii="Sylfaen" w:hAnsi="Sylfaen"/>
                <w:sz w:val="24"/>
                <w:szCs w:val="24"/>
              </w:rPr>
            </w:pPr>
          </w:p>
        </w:tc>
      </w:tr>
      <w:tr w:rsidR="008C76E0" w:rsidRPr="00BD7577" w14:paraId="29B14FA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91B5C50"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84D088" w14:textId="77777777" w:rsidTr="008C76E0">
        <w:trPr>
          <w:jc w:val="center"/>
        </w:trPr>
        <w:tc>
          <w:tcPr>
            <w:tcW w:w="10285" w:type="dxa"/>
            <w:gridSpan w:val="7"/>
            <w:tcBorders>
              <w:top w:val="single" w:sz="4" w:space="0" w:color="auto"/>
            </w:tcBorders>
            <w:shd w:val="clear" w:color="auto" w:fill="FFFFFF"/>
            <w:vAlign w:val="bottom"/>
          </w:tcPr>
          <w:p w14:paraId="124913AF"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Երեխաներ</w:t>
            </w:r>
          </w:p>
        </w:tc>
      </w:tr>
      <w:tr w:rsidR="008C76E0" w:rsidRPr="00BD7577" w14:paraId="5E72333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3A40AE79" w14:textId="77777777" w:rsidR="008C76E0" w:rsidRPr="00BD7577" w:rsidRDefault="008C76E0" w:rsidP="008C76E0">
            <w:pPr>
              <w:pStyle w:val="Bodytext180"/>
              <w:shd w:val="clear" w:color="auto" w:fill="auto"/>
              <w:spacing w:before="0" w:after="160" w:line="360" w:lineRule="auto"/>
              <w:ind w:left="110"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B080641" w14:textId="77777777" w:rsidTr="008C76E0">
        <w:trPr>
          <w:jc w:val="center"/>
        </w:trPr>
        <w:tc>
          <w:tcPr>
            <w:tcW w:w="10285" w:type="dxa"/>
            <w:gridSpan w:val="7"/>
            <w:tcBorders>
              <w:top w:val="single" w:sz="4" w:space="0" w:color="auto"/>
            </w:tcBorders>
            <w:shd w:val="clear" w:color="auto" w:fill="FFFFFF"/>
          </w:tcPr>
          <w:p w14:paraId="5E23CE5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 xml:space="preserve">Բնակչության հատուկ խմբերի մոտ դեղակինետիկայի գծով փորձագետի ընդհանուր դիտողությունները </w:t>
            </w:r>
          </w:p>
          <w:p w14:paraId="1EAF1DF8" w14:textId="77777777" w:rsidR="008C76E0" w:rsidRPr="00BD7577" w:rsidRDefault="008C76E0" w:rsidP="008C76E0">
            <w:pPr>
              <w:pStyle w:val="Bodytext180"/>
              <w:shd w:val="clear" w:color="auto" w:fill="auto"/>
              <w:tabs>
                <w:tab w:val="left" w:pos="1662"/>
              </w:tabs>
              <w:spacing w:before="0" w:after="160" w:line="360" w:lineRule="auto"/>
              <w:ind w:firstLine="567"/>
              <w:rPr>
                <w:rStyle w:val="Bodytext295pt"/>
                <w:rFonts w:ascii="Sylfaen" w:hAnsi="Sylfaen"/>
                <w:b/>
                <w:spacing w:val="0"/>
                <w:sz w:val="24"/>
                <w:szCs w:val="24"/>
              </w:rPr>
            </w:pPr>
            <w:r>
              <w:rPr>
                <w:rStyle w:val="Bodytext295pt"/>
                <w:rFonts w:ascii="Sylfaen" w:hAnsi="Sylfaen"/>
                <w:spacing w:val="0"/>
                <w:sz w:val="24"/>
                <w:szCs w:val="24"/>
              </w:rPr>
              <w:t>2.1.10.</w:t>
            </w:r>
            <w:r w:rsidRPr="00BD7577">
              <w:rPr>
                <w:rStyle w:val="Bodytext295pt"/>
                <w:rFonts w:ascii="Sylfaen" w:hAnsi="Sylfaen"/>
                <w:spacing w:val="0"/>
                <w:sz w:val="24"/>
                <w:szCs w:val="24"/>
              </w:rPr>
              <w:tab/>
              <w:t>Փոխազդեցությունը:</w:t>
            </w:r>
          </w:p>
          <w:p w14:paraId="3F1D8870" w14:textId="77777777" w:rsidR="008C76E0" w:rsidRPr="00BD7577" w:rsidRDefault="008C76E0" w:rsidP="008C76E0">
            <w:pPr>
              <w:pStyle w:val="Bodytext180"/>
              <w:shd w:val="clear" w:color="auto" w:fill="auto"/>
              <w:tabs>
                <w:tab w:val="left" w:pos="1611"/>
              </w:tabs>
              <w:spacing w:before="0" w:after="160" w:line="360" w:lineRule="auto"/>
              <w:ind w:left="962" w:firstLine="708"/>
              <w:rPr>
                <w:rFonts w:ascii="Sylfaen" w:hAnsi="Sylfaen"/>
                <w:b w:val="0"/>
                <w:sz w:val="24"/>
                <w:szCs w:val="24"/>
              </w:rPr>
            </w:pPr>
            <w:r w:rsidRPr="00BD7577">
              <w:rPr>
                <w:rStyle w:val="Bodytext295pt"/>
                <w:rFonts w:ascii="Sylfaen" w:hAnsi="Sylfaen"/>
                <w:spacing w:val="0"/>
                <w:sz w:val="24"/>
                <w:szCs w:val="24"/>
              </w:rPr>
              <w:t>In vitro</w:t>
            </w:r>
          </w:p>
        </w:tc>
      </w:tr>
      <w:tr w:rsidR="008C76E0" w:rsidRPr="00BD7577" w14:paraId="3EF5E82D"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DE4D61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F7ADC5" w14:textId="77777777" w:rsidTr="008C76E0">
        <w:trPr>
          <w:jc w:val="center"/>
        </w:trPr>
        <w:tc>
          <w:tcPr>
            <w:tcW w:w="10285" w:type="dxa"/>
            <w:gridSpan w:val="7"/>
            <w:tcBorders>
              <w:top w:val="single" w:sz="4" w:space="0" w:color="auto"/>
            </w:tcBorders>
            <w:shd w:val="clear" w:color="auto" w:fill="FFFFFF"/>
            <w:vAlign w:val="center"/>
          </w:tcPr>
          <w:p w14:paraId="7AD8EC8C" w14:textId="77777777" w:rsidR="008C76E0" w:rsidRPr="00BD7577"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rPr>
            </w:pPr>
            <w:r w:rsidRPr="00BD7577">
              <w:rPr>
                <w:rStyle w:val="Bodytext295pt"/>
                <w:rFonts w:ascii="Sylfaen" w:hAnsi="Sylfaen"/>
                <w:spacing w:val="0"/>
                <w:sz w:val="24"/>
                <w:szCs w:val="24"/>
              </w:rPr>
              <w:t>In vivo</w:t>
            </w:r>
          </w:p>
        </w:tc>
      </w:tr>
      <w:tr w:rsidR="008C76E0" w:rsidRPr="00BD7577" w14:paraId="5351ADF0" w14:textId="77777777" w:rsidTr="008C76E0">
        <w:trPr>
          <w:jc w:val="center"/>
        </w:trPr>
        <w:tc>
          <w:tcPr>
            <w:tcW w:w="10285"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2ED2429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8E29B1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F8ABF87" w14:textId="77777777" w:rsidR="008C76E0" w:rsidRPr="00BD7577" w:rsidRDefault="008C76E0" w:rsidP="008C76E0">
            <w:pPr>
              <w:rPr>
                <w:rFonts w:ascii="Sylfaen" w:hAnsi="Sylfaen"/>
                <w:sz w:val="24"/>
                <w:szCs w:val="24"/>
              </w:rPr>
            </w:pPr>
          </w:p>
        </w:tc>
      </w:tr>
      <w:tr w:rsidR="008C76E0" w:rsidRPr="00BD7577" w14:paraId="53E9CC34" w14:textId="77777777" w:rsidTr="008C76E0">
        <w:trPr>
          <w:jc w:val="center"/>
        </w:trPr>
        <w:tc>
          <w:tcPr>
            <w:tcW w:w="10285" w:type="dxa"/>
            <w:gridSpan w:val="7"/>
            <w:tcBorders>
              <w:top w:val="single" w:sz="4" w:space="0" w:color="auto"/>
            </w:tcBorders>
            <w:shd w:val="clear" w:color="auto" w:fill="FFFFFF"/>
            <w:vAlign w:val="center"/>
          </w:tcPr>
          <w:p w14:paraId="7864EE10" w14:textId="77777777" w:rsidR="008C76E0" w:rsidRPr="00BD7577" w:rsidRDefault="008C76E0" w:rsidP="008C76E0">
            <w:pPr>
              <w:pStyle w:val="Bodytext180"/>
              <w:shd w:val="clear" w:color="auto" w:fill="auto"/>
              <w:tabs>
                <w:tab w:val="left" w:pos="1611"/>
              </w:tabs>
              <w:spacing w:before="0" w:after="160" w:line="360" w:lineRule="auto"/>
              <w:ind w:firstLine="1670"/>
              <w:rPr>
                <w:rStyle w:val="Bodytext295pt"/>
                <w:rFonts w:ascii="Sylfaen" w:hAnsi="Sylfaen"/>
                <w:i/>
                <w:spacing w:val="0"/>
                <w:sz w:val="24"/>
                <w:szCs w:val="24"/>
              </w:rPr>
            </w:pPr>
            <w:r w:rsidRPr="00BD7577">
              <w:rPr>
                <w:rStyle w:val="Bodytext295pt"/>
                <w:rFonts w:ascii="Sylfaen" w:hAnsi="Sylfaen"/>
                <w:spacing w:val="0"/>
                <w:sz w:val="24"/>
                <w:szCs w:val="24"/>
              </w:rPr>
              <w:lastRenderedPageBreak/>
              <w:t xml:space="preserve">Փոխազդեցությունների մասով փորձագետի ընդհանուր դիտողությունները </w:t>
            </w:r>
          </w:p>
          <w:p w14:paraId="530DCFCD" w14:textId="77777777" w:rsidR="008C76E0" w:rsidRPr="008C76E0" w:rsidRDefault="008C76E0" w:rsidP="008C76E0">
            <w:pPr>
              <w:pStyle w:val="Bodytext180"/>
              <w:shd w:val="clear" w:color="auto" w:fill="auto"/>
              <w:tabs>
                <w:tab w:val="left" w:pos="1611"/>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2.1.11.</w:t>
            </w:r>
            <w:r w:rsidRPr="00BD7577">
              <w:rPr>
                <w:rStyle w:val="Bodytext295pt"/>
                <w:rFonts w:ascii="Sylfaen" w:hAnsi="Sylfaen"/>
                <w:spacing w:val="0"/>
                <w:sz w:val="24"/>
                <w:szCs w:val="24"/>
              </w:rPr>
              <w:tab/>
              <w:t>Անվտանգության գնահատման համար նշանակալի ներգործությունը:</w:t>
            </w:r>
          </w:p>
        </w:tc>
      </w:tr>
      <w:tr w:rsidR="008C76E0" w:rsidRPr="00BD7577" w14:paraId="370A96A1"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B4BD3D6"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1A331E5" w14:textId="77777777" w:rsidTr="008C76E0">
        <w:trPr>
          <w:jc w:val="center"/>
        </w:trPr>
        <w:tc>
          <w:tcPr>
            <w:tcW w:w="10285" w:type="dxa"/>
            <w:gridSpan w:val="7"/>
            <w:tcBorders>
              <w:top w:val="single" w:sz="4" w:space="0" w:color="auto"/>
            </w:tcBorders>
            <w:shd w:val="clear" w:color="auto" w:fill="FFFFFF"/>
            <w:vAlign w:val="center"/>
          </w:tcPr>
          <w:p w14:paraId="2C4168D2" w14:textId="77777777" w:rsidR="008C76E0" w:rsidRPr="008C2532"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2.1.12.</w:t>
            </w:r>
            <w:r w:rsidRPr="00BD7577">
              <w:rPr>
                <w:rStyle w:val="Bodytext295pt"/>
                <w:rFonts w:ascii="Sylfaen" w:hAnsi="Sylfaen"/>
                <w:spacing w:val="0"/>
                <w:sz w:val="24"/>
                <w:szCs w:val="24"/>
              </w:rPr>
              <w:tab/>
              <w:t>Դեղակինետիկայի գծով փորձագետի ընդհանուր եզրակացությունը:</w:t>
            </w:r>
          </w:p>
          <w:p w14:paraId="645EFAF5" w14:textId="77777777" w:rsidR="008C76E0" w:rsidRPr="00BD7577" w:rsidRDefault="008C76E0" w:rsidP="008C76E0">
            <w:pPr>
              <w:pStyle w:val="Bodytext180"/>
              <w:shd w:val="clear" w:color="auto" w:fill="auto"/>
              <w:tabs>
                <w:tab w:val="left" w:pos="1164"/>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w:t>
            </w:r>
            <w:r w:rsidRPr="00BD7577">
              <w:rPr>
                <w:rStyle w:val="Bodytext295pt"/>
                <w:rFonts w:ascii="Sylfaen" w:hAnsi="Sylfaen"/>
                <w:spacing w:val="0"/>
                <w:sz w:val="24"/>
                <w:szCs w:val="24"/>
              </w:rPr>
              <w:tab/>
              <w:t>Դեղադինամիկա:</w:t>
            </w:r>
          </w:p>
          <w:p w14:paraId="2ACE6B76" w14:textId="77777777" w:rsidR="008C76E0" w:rsidRPr="00BD7577" w:rsidRDefault="008C76E0" w:rsidP="008C76E0">
            <w:pPr>
              <w:pStyle w:val="Bodytext180"/>
              <w:shd w:val="clear" w:color="auto" w:fill="auto"/>
              <w:tabs>
                <w:tab w:val="left" w:pos="1731"/>
              </w:tabs>
              <w:spacing w:before="0" w:after="160" w:line="360" w:lineRule="auto"/>
              <w:ind w:firstLine="567"/>
              <w:rPr>
                <w:rStyle w:val="Bodytext295pt"/>
                <w:rFonts w:ascii="Sylfaen" w:hAnsi="Sylfaen"/>
                <w:i/>
                <w:spacing w:val="0"/>
                <w:sz w:val="24"/>
                <w:szCs w:val="24"/>
              </w:rPr>
            </w:pPr>
            <w:r>
              <w:rPr>
                <w:rStyle w:val="Bodytext295pt"/>
                <w:rFonts w:ascii="Sylfaen" w:hAnsi="Sylfaen"/>
                <w:spacing w:val="0"/>
                <w:sz w:val="24"/>
                <w:szCs w:val="24"/>
              </w:rPr>
              <w:t>2.2.1.</w:t>
            </w:r>
            <w:r w:rsidRPr="00BD7577">
              <w:rPr>
                <w:rStyle w:val="Bodytext295pt"/>
                <w:rFonts w:ascii="Sylfaen" w:hAnsi="Sylfaen"/>
                <w:spacing w:val="0"/>
                <w:sz w:val="24"/>
                <w:szCs w:val="24"/>
              </w:rPr>
              <w:tab/>
              <w:t>Ներածություն:</w:t>
            </w:r>
          </w:p>
          <w:p w14:paraId="4BFD5B45"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2.2.2.</w:t>
            </w:r>
            <w:r w:rsidRPr="00BD7577">
              <w:rPr>
                <w:rStyle w:val="Bodytext295pt"/>
                <w:rFonts w:ascii="Sylfaen" w:hAnsi="Sylfaen"/>
                <w:spacing w:val="0"/>
                <w:sz w:val="24"/>
                <w:szCs w:val="24"/>
              </w:rPr>
              <w:tab/>
              <w:t>Ազդեցության մեխանիզմը:</w:t>
            </w:r>
          </w:p>
        </w:tc>
      </w:tr>
      <w:tr w:rsidR="008C76E0" w:rsidRPr="00BD7577" w14:paraId="1DD8A87A"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CBDF122"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EDA40D8" w14:textId="77777777" w:rsidTr="008C76E0">
        <w:trPr>
          <w:jc w:val="center"/>
        </w:trPr>
        <w:tc>
          <w:tcPr>
            <w:tcW w:w="10285" w:type="dxa"/>
            <w:gridSpan w:val="7"/>
            <w:tcBorders>
              <w:top w:val="single" w:sz="4" w:space="0" w:color="auto"/>
            </w:tcBorders>
            <w:shd w:val="clear" w:color="auto" w:fill="FFFFFF"/>
            <w:vAlign w:val="bottom"/>
          </w:tcPr>
          <w:p w14:paraId="1BC4255E" w14:textId="77777777" w:rsidR="008C76E0" w:rsidRPr="00BD7577" w:rsidRDefault="008C76E0" w:rsidP="008C76E0">
            <w:pPr>
              <w:pStyle w:val="Bodytext180"/>
              <w:shd w:val="clear" w:color="auto" w:fill="auto"/>
              <w:tabs>
                <w:tab w:val="left" w:pos="1692"/>
              </w:tabs>
              <w:spacing w:before="0" w:after="160" w:line="360" w:lineRule="auto"/>
              <w:ind w:firstLine="567"/>
              <w:rPr>
                <w:rFonts w:ascii="Sylfaen" w:hAnsi="Sylfaen"/>
                <w:b w:val="0"/>
                <w:sz w:val="24"/>
                <w:szCs w:val="24"/>
              </w:rPr>
            </w:pPr>
            <w:r>
              <w:rPr>
                <w:rStyle w:val="Bodytext295pt"/>
                <w:rFonts w:ascii="Sylfaen" w:hAnsi="Sylfaen"/>
                <w:spacing w:val="0"/>
                <w:sz w:val="24"/>
                <w:szCs w:val="24"/>
              </w:rPr>
              <w:t>2.2.3.</w:t>
            </w:r>
            <w:r w:rsidRPr="00BD7577">
              <w:rPr>
                <w:rStyle w:val="Bodytext295pt"/>
                <w:rFonts w:ascii="Sylfaen" w:hAnsi="Sylfaen"/>
                <w:spacing w:val="0"/>
                <w:sz w:val="24"/>
                <w:szCs w:val="24"/>
              </w:rPr>
              <w:tab/>
              <w:t>Առաջնային դեղաբանություն:</w:t>
            </w:r>
          </w:p>
        </w:tc>
      </w:tr>
      <w:tr w:rsidR="008C76E0" w:rsidRPr="00BD7577" w14:paraId="7AA9096C"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25F67311"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83A5F07" w14:textId="77777777" w:rsidTr="008C76E0">
        <w:trPr>
          <w:jc w:val="center"/>
        </w:trPr>
        <w:tc>
          <w:tcPr>
            <w:tcW w:w="10285" w:type="dxa"/>
            <w:gridSpan w:val="7"/>
            <w:tcBorders>
              <w:top w:val="single" w:sz="4" w:space="0" w:color="auto"/>
            </w:tcBorders>
            <w:shd w:val="clear" w:color="auto" w:fill="FFFFFF"/>
            <w:vAlign w:val="bottom"/>
          </w:tcPr>
          <w:p w14:paraId="41DB618E" w14:textId="77777777" w:rsidR="008C76E0" w:rsidRPr="00BD7577" w:rsidRDefault="008C76E0" w:rsidP="008C76E0">
            <w:pPr>
              <w:pStyle w:val="Bodytext180"/>
              <w:shd w:val="clear" w:color="auto" w:fill="auto"/>
              <w:tabs>
                <w:tab w:val="left" w:pos="1731"/>
              </w:tabs>
              <w:spacing w:before="0" w:after="160" w:line="360" w:lineRule="auto"/>
              <w:ind w:firstLine="567"/>
              <w:rPr>
                <w:rFonts w:ascii="Sylfaen" w:hAnsi="Sylfaen"/>
                <w:b w:val="0"/>
                <w:sz w:val="24"/>
                <w:szCs w:val="24"/>
              </w:rPr>
            </w:pPr>
            <w:r>
              <w:rPr>
                <w:rStyle w:val="Bodytext295pt"/>
                <w:rFonts w:ascii="Sylfaen" w:hAnsi="Sylfaen"/>
                <w:spacing w:val="0"/>
                <w:sz w:val="24"/>
                <w:szCs w:val="24"/>
              </w:rPr>
              <w:t>2.2.4.</w:t>
            </w:r>
            <w:r w:rsidRPr="00BD7577">
              <w:rPr>
                <w:rStyle w:val="Bodytext295pt"/>
                <w:rFonts w:ascii="Sylfaen" w:hAnsi="Sylfaen"/>
                <w:spacing w:val="0"/>
                <w:sz w:val="24"/>
                <w:szCs w:val="24"/>
              </w:rPr>
              <w:tab/>
              <w:t>Երկրորդային դեղաբանություն:</w:t>
            </w:r>
          </w:p>
        </w:tc>
      </w:tr>
      <w:tr w:rsidR="008C76E0" w:rsidRPr="00BD7577" w14:paraId="79E57894"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125C4C3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51FFBA3" w14:textId="77777777" w:rsidTr="008C76E0">
        <w:trPr>
          <w:jc w:val="center"/>
        </w:trPr>
        <w:tc>
          <w:tcPr>
            <w:tcW w:w="10285" w:type="dxa"/>
            <w:gridSpan w:val="7"/>
            <w:tcBorders>
              <w:top w:val="single" w:sz="4" w:space="0" w:color="auto"/>
            </w:tcBorders>
            <w:shd w:val="clear" w:color="auto" w:fill="FFFFFF"/>
            <w:vAlign w:val="bottom"/>
          </w:tcPr>
          <w:p w14:paraId="734FBD59" w14:textId="77777777" w:rsidR="008C76E0" w:rsidRPr="008C76E0" w:rsidRDefault="008C76E0" w:rsidP="008C76E0">
            <w:pPr>
              <w:pStyle w:val="Bodytext180"/>
              <w:shd w:val="clear" w:color="auto" w:fill="auto"/>
              <w:tabs>
                <w:tab w:val="left" w:pos="170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2.2.5.</w:t>
            </w:r>
            <w:r w:rsidRPr="00BD7577">
              <w:rPr>
                <w:rStyle w:val="Bodytext295pt"/>
                <w:rFonts w:ascii="Sylfaen" w:hAnsi="Sylfaen"/>
                <w:spacing w:val="0"/>
                <w:sz w:val="24"/>
                <w:szCs w:val="24"/>
              </w:rPr>
              <w:tab/>
              <w:t xml:space="preserve">Պլազմայում կոնցենտրացիայի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էֆեկտի միջ</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փոխկապակցվածությունը:</w:t>
            </w:r>
          </w:p>
        </w:tc>
      </w:tr>
      <w:tr w:rsidR="008C76E0" w:rsidRPr="00BD7577" w14:paraId="3988B1FF"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4705833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7849D90" w14:textId="77777777" w:rsidTr="008C76E0">
        <w:trPr>
          <w:jc w:val="center"/>
        </w:trPr>
        <w:tc>
          <w:tcPr>
            <w:tcW w:w="10285" w:type="dxa"/>
            <w:gridSpan w:val="7"/>
            <w:tcBorders>
              <w:top w:val="single" w:sz="4" w:space="0" w:color="auto"/>
            </w:tcBorders>
            <w:shd w:val="clear" w:color="auto" w:fill="FFFFFF"/>
            <w:vAlign w:val="bottom"/>
          </w:tcPr>
          <w:p w14:paraId="4C21609F"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2.2.6.</w:t>
            </w:r>
            <w:r w:rsidRPr="00BD7577">
              <w:rPr>
                <w:rStyle w:val="Bodytext295pt"/>
                <w:rFonts w:ascii="Sylfaen" w:hAnsi="Sylfaen"/>
                <w:spacing w:val="0"/>
                <w:sz w:val="24"/>
                <w:szCs w:val="24"/>
              </w:rPr>
              <w:tab/>
              <w:t>Դեղադինամիկ փոխազդեցությունն այլ դեղամիջոցների կամ բաղադրամասերի հետ:</w:t>
            </w:r>
          </w:p>
        </w:tc>
      </w:tr>
      <w:tr w:rsidR="008C76E0" w:rsidRPr="00BD7577" w14:paraId="31EE8780"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759D6311"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C9DD0C3" w14:textId="77777777" w:rsidTr="008C76E0">
        <w:trPr>
          <w:jc w:val="center"/>
        </w:trPr>
        <w:tc>
          <w:tcPr>
            <w:tcW w:w="10285" w:type="dxa"/>
            <w:gridSpan w:val="7"/>
            <w:tcBorders>
              <w:top w:val="single" w:sz="4" w:space="0" w:color="auto"/>
            </w:tcBorders>
            <w:shd w:val="clear" w:color="auto" w:fill="FFFFFF"/>
            <w:vAlign w:val="bottom"/>
          </w:tcPr>
          <w:p w14:paraId="26D10AF3" w14:textId="77777777" w:rsidR="008C76E0" w:rsidRPr="00BD7577"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rPr>
            </w:pPr>
            <w:r>
              <w:rPr>
                <w:rStyle w:val="Bodytext295pt"/>
                <w:rFonts w:ascii="Sylfaen" w:hAnsi="Sylfaen"/>
                <w:spacing w:val="0"/>
                <w:sz w:val="24"/>
                <w:szCs w:val="24"/>
              </w:rPr>
              <w:t>2.2.7.</w:t>
            </w:r>
            <w:r w:rsidRPr="00BD7577">
              <w:rPr>
                <w:rStyle w:val="Bodytext295pt"/>
                <w:rFonts w:ascii="Sylfaen" w:hAnsi="Sylfaen"/>
                <w:spacing w:val="0"/>
                <w:sz w:val="24"/>
                <w:szCs w:val="24"/>
              </w:rPr>
              <w:tab/>
              <w:t>Գենետիկ տարբերությունները դեղադինամիկ պատասխանում:</w:t>
            </w:r>
          </w:p>
        </w:tc>
      </w:tr>
      <w:tr w:rsidR="008C76E0" w:rsidRPr="00BD7577" w14:paraId="02B07D98" w14:textId="77777777" w:rsidTr="008C76E0">
        <w:trPr>
          <w:jc w:val="center"/>
        </w:trPr>
        <w:tc>
          <w:tcPr>
            <w:tcW w:w="10285" w:type="dxa"/>
            <w:gridSpan w:val="7"/>
            <w:tcBorders>
              <w:top w:val="single" w:sz="4" w:space="0" w:color="auto"/>
              <w:left w:val="single" w:sz="4" w:space="0" w:color="auto"/>
              <w:right w:val="single" w:sz="4" w:space="0" w:color="auto"/>
            </w:tcBorders>
            <w:shd w:val="clear" w:color="auto" w:fill="FFFFFF"/>
          </w:tcPr>
          <w:p w14:paraId="0D5EA36E" w14:textId="77777777" w:rsidR="008C76E0" w:rsidRPr="00BD7577" w:rsidRDefault="008C76E0" w:rsidP="008C76E0">
            <w:pPr>
              <w:pStyle w:val="Bodytext180"/>
              <w:shd w:val="clear" w:color="auto" w:fill="auto"/>
              <w:tabs>
                <w:tab w:val="left" w:pos="1677"/>
              </w:tabs>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6837B07" w14:textId="77777777" w:rsidTr="008C76E0">
        <w:trPr>
          <w:jc w:val="center"/>
        </w:trPr>
        <w:tc>
          <w:tcPr>
            <w:tcW w:w="10285" w:type="dxa"/>
            <w:gridSpan w:val="7"/>
            <w:tcBorders>
              <w:top w:val="single" w:sz="4" w:space="0" w:color="auto"/>
              <w:bottom w:val="single" w:sz="4" w:space="0" w:color="auto"/>
            </w:tcBorders>
            <w:shd w:val="clear" w:color="auto" w:fill="FFFFFF"/>
          </w:tcPr>
          <w:p w14:paraId="47CEE066" w14:textId="77777777" w:rsidR="008C76E0" w:rsidRPr="008C76E0" w:rsidRDefault="008C76E0" w:rsidP="008C76E0">
            <w:pPr>
              <w:pStyle w:val="Bodytext180"/>
              <w:shd w:val="clear" w:color="auto" w:fill="auto"/>
              <w:tabs>
                <w:tab w:val="left" w:pos="1677"/>
              </w:tabs>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2.2.8.</w:t>
            </w:r>
            <w:r w:rsidRPr="00BD7577">
              <w:rPr>
                <w:rStyle w:val="Bodytext295pt"/>
                <w:rFonts w:ascii="Sylfaen" w:hAnsi="Sylfaen"/>
                <w:spacing w:val="0"/>
                <w:sz w:val="24"/>
                <w:szCs w:val="24"/>
              </w:rPr>
              <w:tab/>
              <w:t>Դեղադինամիկայի գծով փորձագետի ընդհանուր եզրակացությունը:</w:t>
            </w:r>
          </w:p>
        </w:tc>
      </w:tr>
    </w:tbl>
    <w:p w14:paraId="5D13A172" w14:textId="77777777" w:rsidR="008C76E0" w:rsidRDefault="008C76E0" w:rsidP="008C76E0">
      <w:pPr>
        <w:jc w:val="center"/>
        <w:rPr>
          <w:rFonts w:ascii="Sylfaen" w:hAnsi="Sylfaen"/>
          <w:sz w:val="24"/>
          <w:szCs w:val="24"/>
        </w:rPr>
        <w:sectPr w:rsidR="008C76E0" w:rsidSect="00591274">
          <w:pgSz w:w="11907" w:h="16839" w:code="9"/>
          <w:pgMar w:top="1418" w:right="1418" w:bottom="1418" w:left="1418" w:header="0" w:footer="6" w:gutter="0"/>
          <w:cols w:space="720"/>
          <w:noEndnote/>
          <w:docGrid w:linePitch="360"/>
        </w:sectPr>
      </w:pPr>
    </w:p>
    <w:p w14:paraId="55256D73" w14:textId="77777777" w:rsidR="008C76E0" w:rsidRPr="00DD61E4" w:rsidRDefault="008C76E0" w:rsidP="001C3278">
      <w:pPr>
        <w:spacing w:after="160" w:line="360" w:lineRule="auto"/>
        <w:jc w:val="center"/>
        <w:rPr>
          <w:rFonts w:ascii="Sylfaen" w:hAnsi="Sylfaen"/>
          <w:sz w:val="24"/>
          <w:szCs w:val="24"/>
        </w:rPr>
      </w:pPr>
      <w:r w:rsidRPr="00BD7577">
        <w:rPr>
          <w:rFonts w:ascii="Sylfaen" w:hAnsi="Sylfaen"/>
          <w:sz w:val="24"/>
          <w:szCs w:val="24"/>
        </w:rPr>
        <w:lastRenderedPageBreak/>
        <w:t>3. Կլինիկական արդյունավետությունը</w:t>
      </w:r>
    </w:p>
    <w:p w14:paraId="17E4C938" w14:textId="77777777" w:rsidR="008C76E0" w:rsidRPr="008C76E0" w:rsidRDefault="008C76E0" w:rsidP="001C3278">
      <w:pPr>
        <w:pStyle w:val="Bodytext180"/>
        <w:shd w:val="clear" w:color="auto" w:fill="auto"/>
        <w:tabs>
          <w:tab w:val="left" w:pos="1134"/>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3.1.</w:t>
      </w:r>
      <w:r w:rsidRPr="008C76E0">
        <w:rPr>
          <w:rFonts w:ascii="Sylfaen" w:hAnsi="Sylfaen"/>
          <w:b w:val="0"/>
          <w:sz w:val="24"/>
          <w:szCs w:val="24"/>
          <w:lang w:val="hy-AM"/>
        </w:rPr>
        <w:tab/>
        <w:t>Ներածություն:</w:t>
      </w:r>
    </w:p>
    <w:p w14:paraId="3F082729" w14:textId="77777777" w:rsidR="008C76E0" w:rsidRPr="00BD7577" w:rsidRDefault="008C76E0" w:rsidP="001C3278">
      <w:pPr>
        <w:spacing w:after="160" w:line="360" w:lineRule="auto"/>
        <w:ind w:firstLine="567"/>
        <w:rPr>
          <w:rFonts w:ascii="Sylfaen" w:hAnsi="Sylfaen"/>
          <w:sz w:val="24"/>
          <w:szCs w:val="24"/>
        </w:rPr>
      </w:pPr>
      <w:r w:rsidRPr="00BD7577">
        <w:rPr>
          <w:rFonts w:ascii="Sylfaen" w:hAnsi="Sylfaen"/>
          <w:sz w:val="24"/>
          <w:szCs w:val="24"/>
        </w:rPr>
        <w:t>Հետազոտության մանրամասների մասին տեղեկատվության ներկայացման համար աղյուսակի օրինակ</w:t>
      </w:r>
    </w:p>
    <w:tbl>
      <w:tblPr>
        <w:tblOverlap w:val="never"/>
        <w:tblW w:w="16148" w:type="dxa"/>
        <w:jc w:val="center"/>
        <w:tblLayout w:type="fixed"/>
        <w:tblCellMar>
          <w:left w:w="10" w:type="dxa"/>
          <w:right w:w="10" w:type="dxa"/>
        </w:tblCellMar>
        <w:tblLook w:val="04A0" w:firstRow="1" w:lastRow="0" w:firstColumn="1" w:lastColumn="0" w:noHBand="0" w:noVBand="1"/>
      </w:tblPr>
      <w:tblGrid>
        <w:gridCol w:w="1976"/>
        <w:gridCol w:w="1650"/>
        <w:gridCol w:w="1118"/>
        <w:gridCol w:w="1618"/>
        <w:gridCol w:w="1888"/>
        <w:gridCol w:w="1997"/>
        <w:gridCol w:w="1581"/>
        <w:gridCol w:w="1263"/>
        <w:gridCol w:w="1639"/>
        <w:gridCol w:w="1418"/>
      </w:tblGrid>
      <w:tr w:rsidR="008C76E0" w:rsidRPr="008C2532" w14:paraId="7971C97B" w14:textId="77777777" w:rsidTr="008C76E0">
        <w:trPr>
          <w:jc w:val="center"/>
        </w:trPr>
        <w:tc>
          <w:tcPr>
            <w:tcW w:w="1976" w:type="dxa"/>
            <w:tcBorders>
              <w:top w:val="single" w:sz="4" w:space="0" w:color="auto"/>
              <w:left w:val="single" w:sz="4" w:space="0" w:color="auto"/>
            </w:tcBorders>
            <w:shd w:val="clear" w:color="auto" w:fill="FFFFFF"/>
          </w:tcPr>
          <w:p w14:paraId="36D3241D"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նույնականացման</w:t>
            </w:r>
            <w:r w:rsidRPr="008C2532">
              <w:rPr>
                <w:rFonts w:ascii="Sylfaen" w:hAnsi="Sylfaen"/>
                <w:b w:val="0"/>
                <w:sz w:val="22"/>
                <w:szCs w:val="22"/>
              </w:rPr>
              <w:t xml:space="preserve"> </w:t>
            </w:r>
            <w:r w:rsidRPr="008C2532">
              <w:rPr>
                <w:rStyle w:val="Bodytext1811pt"/>
                <w:rFonts w:ascii="Sylfaen" w:hAnsi="Sylfaen"/>
              </w:rPr>
              <w:t>համարը</w:t>
            </w:r>
          </w:p>
        </w:tc>
        <w:tc>
          <w:tcPr>
            <w:tcW w:w="1650" w:type="dxa"/>
            <w:tcBorders>
              <w:top w:val="single" w:sz="4" w:space="0" w:color="auto"/>
              <w:left w:val="single" w:sz="4" w:space="0" w:color="auto"/>
            </w:tcBorders>
            <w:shd w:val="clear" w:color="auto" w:fill="FFFFFF"/>
          </w:tcPr>
          <w:p w14:paraId="5D1D4CAB"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Հետազոտական կենտրոնների համարները (դրանց տեղակայման</w:t>
            </w:r>
            <w:r w:rsidRPr="008C2532">
              <w:rPr>
                <w:rFonts w:ascii="Sylfaen" w:hAnsi="Sylfaen"/>
                <w:b w:val="0"/>
                <w:sz w:val="22"/>
                <w:szCs w:val="22"/>
              </w:rPr>
              <w:t xml:space="preserve"> </w:t>
            </w:r>
            <w:r w:rsidRPr="008C2532">
              <w:rPr>
                <w:rStyle w:val="Bodytext1811pt"/>
                <w:rFonts w:ascii="Sylfaen" w:hAnsi="Sylfaen"/>
              </w:rPr>
              <w:t>վայրերը)</w:t>
            </w:r>
          </w:p>
        </w:tc>
        <w:tc>
          <w:tcPr>
            <w:tcW w:w="1118" w:type="dxa"/>
            <w:tcBorders>
              <w:top w:val="single" w:sz="4" w:space="0" w:color="auto"/>
              <w:left w:val="single" w:sz="4" w:space="0" w:color="auto"/>
            </w:tcBorders>
            <w:shd w:val="clear" w:color="auto" w:fill="FFFFFF"/>
          </w:tcPr>
          <w:p w14:paraId="481317AF"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Դիզայնը</w:t>
            </w:r>
          </w:p>
        </w:tc>
        <w:tc>
          <w:tcPr>
            <w:tcW w:w="1618" w:type="dxa"/>
            <w:tcBorders>
              <w:top w:val="single" w:sz="4" w:space="0" w:color="auto"/>
              <w:left w:val="single" w:sz="4" w:space="0" w:color="auto"/>
            </w:tcBorders>
            <w:shd w:val="clear" w:color="auto" w:fill="FFFFFF"/>
          </w:tcPr>
          <w:p w14:paraId="1F806D1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Հետազոտվող</w:t>
            </w:r>
            <w:r w:rsidRPr="008C2532">
              <w:rPr>
                <w:rFonts w:ascii="Sylfaen" w:hAnsi="Sylfaen"/>
                <w:b w:val="0"/>
                <w:sz w:val="22"/>
                <w:szCs w:val="22"/>
              </w:rPr>
              <w:t xml:space="preserve"> </w:t>
            </w:r>
            <w:r w:rsidRPr="008C2532">
              <w:rPr>
                <w:rStyle w:val="Bodytext1811pt"/>
                <w:rFonts w:ascii="Sylfaen" w:hAnsi="Sylfaen"/>
              </w:rPr>
              <w:t>դոզան</w:t>
            </w:r>
          </w:p>
        </w:tc>
        <w:tc>
          <w:tcPr>
            <w:tcW w:w="1888" w:type="dxa"/>
            <w:tcBorders>
              <w:top w:val="single" w:sz="4" w:space="0" w:color="auto"/>
              <w:left w:val="single" w:sz="4" w:space="0" w:color="auto"/>
            </w:tcBorders>
            <w:shd w:val="clear" w:color="auto" w:fill="FFFFFF"/>
          </w:tcPr>
          <w:p w14:paraId="1CE4EC8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Հետազոտության</w:t>
            </w:r>
            <w:r w:rsidRPr="008C2532">
              <w:rPr>
                <w:rFonts w:ascii="Sylfaen" w:hAnsi="Sylfaen"/>
                <w:b w:val="0"/>
                <w:sz w:val="22"/>
                <w:szCs w:val="22"/>
              </w:rPr>
              <w:t xml:space="preserve"> </w:t>
            </w:r>
            <w:r w:rsidRPr="008C2532">
              <w:rPr>
                <w:rStyle w:val="Bodytext1811pt"/>
                <w:rFonts w:ascii="Sylfaen" w:hAnsi="Sylfaen"/>
              </w:rPr>
              <w:t>նպատակը</w:t>
            </w:r>
          </w:p>
        </w:tc>
        <w:tc>
          <w:tcPr>
            <w:tcW w:w="1997" w:type="dxa"/>
            <w:tcBorders>
              <w:top w:val="single" w:sz="4" w:space="0" w:color="auto"/>
              <w:left w:val="single" w:sz="4" w:space="0" w:color="auto"/>
            </w:tcBorders>
            <w:shd w:val="clear" w:color="auto" w:fill="FFFFFF"/>
          </w:tcPr>
          <w:p w14:paraId="15520E12"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 xml:space="preserve">Պացիենտներն </w:t>
            </w:r>
            <w:r>
              <w:rPr>
                <w:rStyle w:val="Bodytext1811pt"/>
                <w:rFonts w:ascii="Sylfaen" w:hAnsi="Sylfaen"/>
              </w:rPr>
              <w:t>ըստ խմբերի (ներառված (հետազոտու</w:t>
            </w:r>
            <w:r w:rsidRPr="008C2532">
              <w:rPr>
                <w:rStyle w:val="Bodytext1811pt"/>
                <w:rFonts w:ascii="Sylfaen" w:hAnsi="Sylfaen"/>
              </w:rPr>
              <w:t>թյունն ավարտած))</w:t>
            </w:r>
          </w:p>
        </w:tc>
        <w:tc>
          <w:tcPr>
            <w:tcW w:w="1581" w:type="dxa"/>
            <w:tcBorders>
              <w:top w:val="single" w:sz="4" w:space="0" w:color="auto"/>
              <w:left w:val="single" w:sz="4" w:space="0" w:color="auto"/>
            </w:tcBorders>
            <w:shd w:val="clear" w:color="auto" w:fill="FFFFFF"/>
          </w:tcPr>
          <w:p w14:paraId="07F29006"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Տ</w:t>
            </w:r>
            <w:r w:rsidR="00C54D75">
              <w:rPr>
                <w:rStyle w:val="Bodytext1811pt"/>
                <w:rFonts w:ascii="Sylfaen" w:hAnsi="Sylfaen"/>
              </w:rPr>
              <w:t>և</w:t>
            </w:r>
            <w:r w:rsidRPr="008C2532">
              <w:rPr>
                <w:rStyle w:val="Bodytext1811pt"/>
                <w:rFonts w:ascii="Sylfaen" w:hAnsi="Sylfaen"/>
              </w:rPr>
              <w:t>ողությունը</w:t>
            </w:r>
          </w:p>
        </w:tc>
        <w:tc>
          <w:tcPr>
            <w:tcW w:w="1263" w:type="dxa"/>
            <w:tcBorders>
              <w:top w:val="single" w:sz="4" w:space="0" w:color="auto"/>
              <w:left w:val="single" w:sz="4" w:space="0" w:color="auto"/>
            </w:tcBorders>
            <w:shd w:val="clear" w:color="auto" w:fill="FFFFFF"/>
          </w:tcPr>
          <w:p w14:paraId="7F8BF497"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Սեռը</w:t>
            </w:r>
            <w:r w:rsidRPr="008C2532">
              <w:rPr>
                <w:rFonts w:ascii="Sylfaen" w:hAnsi="Sylfaen"/>
                <w:b w:val="0"/>
                <w:sz w:val="22"/>
                <w:szCs w:val="22"/>
              </w:rPr>
              <w:t xml:space="preserve"> </w:t>
            </w:r>
            <w:r w:rsidRPr="008C2532">
              <w:rPr>
                <w:rStyle w:val="Bodytext1811pt"/>
                <w:rFonts w:ascii="Sylfaen" w:hAnsi="Sylfaen"/>
              </w:rPr>
              <w:t>(արական կամ իգական),</w:t>
            </w:r>
            <w:r w:rsidRPr="008C2532">
              <w:rPr>
                <w:rFonts w:ascii="Sylfaen" w:hAnsi="Sylfaen"/>
                <w:b w:val="0"/>
                <w:sz w:val="22"/>
                <w:szCs w:val="22"/>
              </w:rPr>
              <w:t xml:space="preserve"> </w:t>
            </w:r>
            <w:r w:rsidRPr="008C2532">
              <w:rPr>
                <w:rStyle w:val="Bodytext1811pt"/>
                <w:rFonts w:ascii="Sylfaen" w:hAnsi="Sylfaen"/>
              </w:rPr>
              <w:t>տարիքի</w:t>
            </w:r>
            <w:r w:rsidRPr="008C2532">
              <w:rPr>
                <w:rFonts w:ascii="Sylfaen" w:hAnsi="Sylfaen"/>
                <w:b w:val="0"/>
                <w:sz w:val="22"/>
                <w:szCs w:val="22"/>
              </w:rPr>
              <w:t xml:space="preserve"> </w:t>
            </w:r>
            <w:r w:rsidRPr="008C2532">
              <w:rPr>
                <w:rStyle w:val="Bodytext1811pt"/>
                <w:rFonts w:ascii="Sylfaen" w:hAnsi="Sylfaen"/>
              </w:rPr>
              <w:t>մեդիանան (միջին թիվը)</w:t>
            </w:r>
          </w:p>
        </w:tc>
        <w:tc>
          <w:tcPr>
            <w:tcW w:w="1639" w:type="dxa"/>
            <w:tcBorders>
              <w:top w:val="single" w:sz="4" w:space="0" w:color="auto"/>
              <w:left w:val="single" w:sz="4" w:space="0" w:color="auto"/>
            </w:tcBorders>
            <w:shd w:val="clear" w:color="auto" w:fill="FFFFFF"/>
          </w:tcPr>
          <w:p w14:paraId="373350D3"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Pr>
                <w:rStyle w:val="Bodytext1811pt"/>
                <w:rFonts w:ascii="Sylfaen" w:hAnsi="Sylfaen"/>
              </w:rPr>
              <w:t>Ախտորո</w:t>
            </w:r>
            <w:r w:rsidRPr="008C2532">
              <w:rPr>
                <w:rStyle w:val="Bodytext1811pt"/>
                <w:rFonts w:ascii="Sylfaen" w:hAnsi="Sylfaen"/>
              </w:rPr>
              <w:t>շումը,</w:t>
            </w:r>
            <w:r w:rsidRPr="008C2532">
              <w:rPr>
                <w:rFonts w:ascii="Sylfaen" w:hAnsi="Sylfaen"/>
                <w:b w:val="0"/>
                <w:sz w:val="22"/>
                <w:szCs w:val="22"/>
              </w:rPr>
              <w:t xml:space="preserve"> </w:t>
            </w:r>
            <w:r w:rsidRPr="008C2532">
              <w:rPr>
                <w:rStyle w:val="Bodytext1811pt"/>
                <w:rFonts w:ascii="Sylfaen" w:hAnsi="Sylfaen"/>
              </w:rPr>
              <w:t>ներառման</w:t>
            </w:r>
            <w:r w:rsidRPr="008C2532">
              <w:rPr>
                <w:rFonts w:ascii="Sylfaen" w:hAnsi="Sylfaen"/>
                <w:b w:val="0"/>
                <w:sz w:val="22"/>
                <w:szCs w:val="22"/>
              </w:rPr>
              <w:t xml:space="preserve"> </w:t>
            </w:r>
            <w:r>
              <w:rPr>
                <w:rStyle w:val="Bodytext1811pt"/>
                <w:rFonts w:ascii="Sylfaen" w:hAnsi="Sylfaen"/>
              </w:rPr>
              <w:t>չափորոշիչ</w:t>
            </w:r>
            <w:r w:rsidRPr="008C2532">
              <w:rPr>
                <w:rStyle w:val="Bodytext1811pt"/>
                <w:rFonts w:ascii="Sylfaen" w:hAnsi="Sylfaen"/>
              </w:rPr>
              <w:t>ները</w:t>
            </w:r>
          </w:p>
        </w:tc>
        <w:tc>
          <w:tcPr>
            <w:tcW w:w="1418" w:type="dxa"/>
            <w:tcBorders>
              <w:top w:val="single" w:sz="4" w:space="0" w:color="auto"/>
              <w:left w:val="single" w:sz="4" w:space="0" w:color="auto"/>
              <w:right w:val="single" w:sz="4" w:space="0" w:color="auto"/>
            </w:tcBorders>
            <w:shd w:val="clear" w:color="auto" w:fill="FFFFFF"/>
          </w:tcPr>
          <w:p w14:paraId="46B06DD1" w14:textId="77777777" w:rsidR="008C76E0" w:rsidRPr="008C2532" w:rsidRDefault="008C76E0" w:rsidP="008C76E0">
            <w:pPr>
              <w:pStyle w:val="Bodytext180"/>
              <w:shd w:val="clear" w:color="auto" w:fill="auto"/>
              <w:spacing w:before="0" w:after="160" w:line="360" w:lineRule="auto"/>
              <w:ind w:left="-14" w:firstLine="0"/>
              <w:jc w:val="center"/>
              <w:rPr>
                <w:rFonts w:ascii="Sylfaen" w:hAnsi="Sylfaen"/>
                <w:b w:val="0"/>
                <w:sz w:val="22"/>
                <w:szCs w:val="22"/>
              </w:rPr>
            </w:pPr>
            <w:r w:rsidRPr="008C2532">
              <w:rPr>
                <w:rStyle w:val="Bodytext1811pt"/>
                <w:rFonts w:ascii="Sylfaen" w:hAnsi="Sylfaen"/>
              </w:rPr>
              <w:t>Առաջնային,</w:t>
            </w:r>
            <w:r w:rsidRPr="008C2532">
              <w:rPr>
                <w:rFonts w:ascii="Sylfaen" w:hAnsi="Sylfaen"/>
                <w:b w:val="0"/>
                <w:sz w:val="22"/>
                <w:szCs w:val="22"/>
              </w:rPr>
              <w:t xml:space="preserve"> </w:t>
            </w:r>
            <w:r w:rsidRPr="008C2532">
              <w:rPr>
                <w:rStyle w:val="Bodytext1811pt"/>
                <w:rFonts w:ascii="Sylfaen" w:hAnsi="Sylfaen"/>
              </w:rPr>
              <w:t>վերջնական</w:t>
            </w:r>
            <w:r w:rsidRPr="008C2532">
              <w:rPr>
                <w:rFonts w:ascii="Sylfaen" w:hAnsi="Sylfaen"/>
                <w:b w:val="0"/>
                <w:sz w:val="22"/>
                <w:szCs w:val="22"/>
              </w:rPr>
              <w:t xml:space="preserve"> </w:t>
            </w:r>
            <w:r w:rsidRPr="008C2532">
              <w:rPr>
                <w:rStyle w:val="Bodytext1811pt"/>
                <w:rFonts w:ascii="Sylfaen" w:hAnsi="Sylfaen"/>
              </w:rPr>
              <w:t>կետերը</w:t>
            </w:r>
          </w:p>
        </w:tc>
      </w:tr>
      <w:tr w:rsidR="008C76E0" w:rsidRPr="008C2532" w14:paraId="47F80ED8" w14:textId="77777777" w:rsidTr="008C76E0">
        <w:trPr>
          <w:jc w:val="center"/>
        </w:trPr>
        <w:tc>
          <w:tcPr>
            <w:tcW w:w="1976" w:type="dxa"/>
            <w:tcBorders>
              <w:top w:val="single" w:sz="4" w:space="0" w:color="auto"/>
              <w:left w:val="single" w:sz="4" w:space="0" w:color="auto"/>
            </w:tcBorders>
            <w:shd w:val="clear" w:color="auto" w:fill="FFFFFF"/>
          </w:tcPr>
          <w:p w14:paraId="1D4B7CBB" w14:textId="77777777" w:rsidR="008C76E0" w:rsidRPr="008C2532" w:rsidRDefault="008C76E0" w:rsidP="008C76E0">
            <w:pPr>
              <w:rPr>
                <w:rFonts w:ascii="Sylfaen" w:hAnsi="Sylfaen"/>
              </w:rPr>
            </w:pPr>
          </w:p>
        </w:tc>
        <w:tc>
          <w:tcPr>
            <w:tcW w:w="1650" w:type="dxa"/>
            <w:tcBorders>
              <w:top w:val="single" w:sz="4" w:space="0" w:color="auto"/>
              <w:left w:val="single" w:sz="4" w:space="0" w:color="auto"/>
            </w:tcBorders>
            <w:shd w:val="clear" w:color="auto" w:fill="FFFFFF"/>
          </w:tcPr>
          <w:p w14:paraId="73FCCDF3" w14:textId="77777777" w:rsidR="008C76E0" w:rsidRPr="008C2532" w:rsidRDefault="008C76E0" w:rsidP="008C76E0">
            <w:pPr>
              <w:rPr>
                <w:rFonts w:ascii="Sylfaen" w:hAnsi="Sylfaen"/>
              </w:rPr>
            </w:pPr>
          </w:p>
        </w:tc>
        <w:tc>
          <w:tcPr>
            <w:tcW w:w="1118" w:type="dxa"/>
            <w:tcBorders>
              <w:top w:val="single" w:sz="4" w:space="0" w:color="auto"/>
              <w:left w:val="single" w:sz="4" w:space="0" w:color="auto"/>
            </w:tcBorders>
            <w:shd w:val="clear" w:color="auto" w:fill="FFFFFF"/>
          </w:tcPr>
          <w:p w14:paraId="4475D013" w14:textId="77777777" w:rsidR="008C76E0" w:rsidRPr="008C2532" w:rsidRDefault="008C76E0" w:rsidP="008C76E0">
            <w:pPr>
              <w:rPr>
                <w:rFonts w:ascii="Sylfaen" w:hAnsi="Sylfaen"/>
              </w:rPr>
            </w:pPr>
          </w:p>
        </w:tc>
        <w:tc>
          <w:tcPr>
            <w:tcW w:w="1618" w:type="dxa"/>
            <w:tcBorders>
              <w:top w:val="single" w:sz="4" w:space="0" w:color="auto"/>
              <w:left w:val="single" w:sz="4" w:space="0" w:color="auto"/>
            </w:tcBorders>
            <w:shd w:val="clear" w:color="auto" w:fill="FFFFFF"/>
          </w:tcPr>
          <w:p w14:paraId="76BC38D9" w14:textId="77777777" w:rsidR="008C76E0" w:rsidRPr="008C2532" w:rsidRDefault="008C76E0" w:rsidP="008C76E0">
            <w:pPr>
              <w:rPr>
                <w:rFonts w:ascii="Sylfaen" w:hAnsi="Sylfaen"/>
              </w:rPr>
            </w:pPr>
          </w:p>
        </w:tc>
        <w:tc>
          <w:tcPr>
            <w:tcW w:w="1888" w:type="dxa"/>
            <w:tcBorders>
              <w:top w:val="single" w:sz="4" w:space="0" w:color="auto"/>
              <w:left w:val="single" w:sz="4" w:space="0" w:color="auto"/>
            </w:tcBorders>
            <w:shd w:val="clear" w:color="auto" w:fill="FFFFFF"/>
          </w:tcPr>
          <w:p w14:paraId="2DDDD5C5" w14:textId="77777777" w:rsidR="008C76E0" w:rsidRPr="008C2532" w:rsidRDefault="008C76E0" w:rsidP="008C76E0">
            <w:pPr>
              <w:rPr>
                <w:rFonts w:ascii="Sylfaen" w:hAnsi="Sylfaen"/>
              </w:rPr>
            </w:pPr>
          </w:p>
        </w:tc>
        <w:tc>
          <w:tcPr>
            <w:tcW w:w="1997" w:type="dxa"/>
            <w:tcBorders>
              <w:top w:val="single" w:sz="4" w:space="0" w:color="auto"/>
              <w:left w:val="single" w:sz="4" w:space="0" w:color="auto"/>
            </w:tcBorders>
            <w:shd w:val="clear" w:color="auto" w:fill="FFFFFF"/>
          </w:tcPr>
          <w:p w14:paraId="325EA0A3" w14:textId="77777777" w:rsidR="008C76E0" w:rsidRPr="008C2532" w:rsidRDefault="008C76E0" w:rsidP="008C76E0">
            <w:pPr>
              <w:rPr>
                <w:rFonts w:ascii="Sylfaen" w:hAnsi="Sylfaen"/>
              </w:rPr>
            </w:pPr>
          </w:p>
        </w:tc>
        <w:tc>
          <w:tcPr>
            <w:tcW w:w="1581" w:type="dxa"/>
            <w:tcBorders>
              <w:top w:val="single" w:sz="4" w:space="0" w:color="auto"/>
              <w:left w:val="single" w:sz="4" w:space="0" w:color="auto"/>
            </w:tcBorders>
            <w:shd w:val="clear" w:color="auto" w:fill="FFFFFF"/>
          </w:tcPr>
          <w:p w14:paraId="73455E49" w14:textId="77777777" w:rsidR="008C76E0" w:rsidRPr="008C2532" w:rsidRDefault="008C76E0" w:rsidP="008C76E0">
            <w:pPr>
              <w:rPr>
                <w:rFonts w:ascii="Sylfaen" w:hAnsi="Sylfaen"/>
              </w:rPr>
            </w:pPr>
          </w:p>
        </w:tc>
        <w:tc>
          <w:tcPr>
            <w:tcW w:w="1263" w:type="dxa"/>
            <w:tcBorders>
              <w:top w:val="single" w:sz="4" w:space="0" w:color="auto"/>
              <w:left w:val="single" w:sz="4" w:space="0" w:color="auto"/>
            </w:tcBorders>
            <w:shd w:val="clear" w:color="auto" w:fill="FFFFFF"/>
          </w:tcPr>
          <w:p w14:paraId="473F04E4" w14:textId="77777777" w:rsidR="008C76E0" w:rsidRPr="008C2532" w:rsidRDefault="008C76E0" w:rsidP="008C76E0">
            <w:pPr>
              <w:rPr>
                <w:rFonts w:ascii="Sylfaen" w:hAnsi="Sylfaen"/>
              </w:rPr>
            </w:pPr>
          </w:p>
        </w:tc>
        <w:tc>
          <w:tcPr>
            <w:tcW w:w="1639" w:type="dxa"/>
            <w:tcBorders>
              <w:top w:val="single" w:sz="4" w:space="0" w:color="auto"/>
              <w:left w:val="single" w:sz="4" w:space="0" w:color="auto"/>
            </w:tcBorders>
            <w:shd w:val="clear" w:color="auto" w:fill="FFFFFF"/>
          </w:tcPr>
          <w:p w14:paraId="57AB67BB" w14:textId="77777777" w:rsidR="008C76E0" w:rsidRPr="008C2532" w:rsidRDefault="008C76E0" w:rsidP="008C76E0">
            <w:pPr>
              <w:rPr>
                <w:rFonts w:ascii="Sylfaen" w:hAnsi="Sylfaen"/>
              </w:rPr>
            </w:pPr>
          </w:p>
        </w:tc>
        <w:tc>
          <w:tcPr>
            <w:tcW w:w="1418" w:type="dxa"/>
            <w:tcBorders>
              <w:top w:val="single" w:sz="4" w:space="0" w:color="auto"/>
              <w:left w:val="single" w:sz="4" w:space="0" w:color="auto"/>
              <w:right w:val="single" w:sz="4" w:space="0" w:color="auto"/>
            </w:tcBorders>
            <w:shd w:val="clear" w:color="auto" w:fill="FFFFFF"/>
          </w:tcPr>
          <w:p w14:paraId="65B76705" w14:textId="77777777" w:rsidR="008C76E0" w:rsidRPr="008C2532" w:rsidRDefault="008C76E0" w:rsidP="008C76E0">
            <w:pPr>
              <w:rPr>
                <w:rFonts w:ascii="Sylfaen" w:hAnsi="Sylfaen"/>
              </w:rPr>
            </w:pPr>
          </w:p>
        </w:tc>
      </w:tr>
      <w:tr w:rsidR="008C76E0" w:rsidRPr="008C2532" w14:paraId="4BFB6AEF" w14:textId="77777777" w:rsidTr="008C76E0">
        <w:trPr>
          <w:jc w:val="center"/>
        </w:trPr>
        <w:tc>
          <w:tcPr>
            <w:tcW w:w="1976" w:type="dxa"/>
            <w:tcBorders>
              <w:top w:val="single" w:sz="4" w:space="0" w:color="auto"/>
              <w:left w:val="single" w:sz="4" w:space="0" w:color="auto"/>
              <w:bottom w:val="single" w:sz="4" w:space="0" w:color="auto"/>
            </w:tcBorders>
            <w:shd w:val="clear" w:color="auto" w:fill="FFFFFF"/>
          </w:tcPr>
          <w:p w14:paraId="125E611E" w14:textId="77777777" w:rsidR="008C76E0" w:rsidRPr="008C2532" w:rsidRDefault="008C76E0" w:rsidP="008C76E0">
            <w:pPr>
              <w:rPr>
                <w:rFonts w:ascii="Sylfaen" w:hAnsi="Sylfaen"/>
              </w:rPr>
            </w:pPr>
          </w:p>
        </w:tc>
        <w:tc>
          <w:tcPr>
            <w:tcW w:w="1650" w:type="dxa"/>
            <w:tcBorders>
              <w:top w:val="single" w:sz="4" w:space="0" w:color="auto"/>
              <w:left w:val="single" w:sz="4" w:space="0" w:color="auto"/>
              <w:bottom w:val="single" w:sz="4" w:space="0" w:color="auto"/>
            </w:tcBorders>
            <w:shd w:val="clear" w:color="auto" w:fill="FFFFFF"/>
          </w:tcPr>
          <w:p w14:paraId="49C07DE9" w14:textId="77777777" w:rsidR="008C76E0" w:rsidRPr="008C2532" w:rsidRDefault="008C76E0" w:rsidP="008C76E0">
            <w:pPr>
              <w:rPr>
                <w:rFonts w:ascii="Sylfaen" w:hAnsi="Sylfaen"/>
              </w:rPr>
            </w:pPr>
          </w:p>
        </w:tc>
        <w:tc>
          <w:tcPr>
            <w:tcW w:w="1118" w:type="dxa"/>
            <w:tcBorders>
              <w:top w:val="single" w:sz="4" w:space="0" w:color="auto"/>
              <w:left w:val="single" w:sz="4" w:space="0" w:color="auto"/>
              <w:bottom w:val="single" w:sz="4" w:space="0" w:color="auto"/>
            </w:tcBorders>
            <w:shd w:val="clear" w:color="auto" w:fill="FFFFFF"/>
          </w:tcPr>
          <w:p w14:paraId="78AB2E74" w14:textId="77777777" w:rsidR="008C76E0" w:rsidRPr="008C2532" w:rsidRDefault="008C76E0" w:rsidP="008C76E0">
            <w:pPr>
              <w:rPr>
                <w:rFonts w:ascii="Sylfaen" w:hAnsi="Sylfaen"/>
              </w:rPr>
            </w:pPr>
          </w:p>
        </w:tc>
        <w:tc>
          <w:tcPr>
            <w:tcW w:w="1618" w:type="dxa"/>
            <w:tcBorders>
              <w:top w:val="single" w:sz="4" w:space="0" w:color="auto"/>
              <w:left w:val="single" w:sz="4" w:space="0" w:color="auto"/>
              <w:bottom w:val="single" w:sz="4" w:space="0" w:color="auto"/>
            </w:tcBorders>
            <w:shd w:val="clear" w:color="auto" w:fill="FFFFFF"/>
          </w:tcPr>
          <w:p w14:paraId="5A221E09" w14:textId="77777777" w:rsidR="008C76E0" w:rsidRPr="008C2532" w:rsidRDefault="008C76E0" w:rsidP="008C76E0">
            <w:pPr>
              <w:rPr>
                <w:rFonts w:ascii="Sylfaen" w:hAnsi="Sylfaen"/>
              </w:rPr>
            </w:pPr>
          </w:p>
        </w:tc>
        <w:tc>
          <w:tcPr>
            <w:tcW w:w="1888" w:type="dxa"/>
            <w:tcBorders>
              <w:top w:val="single" w:sz="4" w:space="0" w:color="auto"/>
              <w:left w:val="single" w:sz="4" w:space="0" w:color="auto"/>
              <w:bottom w:val="single" w:sz="4" w:space="0" w:color="auto"/>
            </w:tcBorders>
            <w:shd w:val="clear" w:color="auto" w:fill="FFFFFF"/>
          </w:tcPr>
          <w:p w14:paraId="69E72FE2" w14:textId="77777777" w:rsidR="008C76E0" w:rsidRPr="008C2532" w:rsidRDefault="008C76E0" w:rsidP="008C76E0">
            <w:pPr>
              <w:rPr>
                <w:rFonts w:ascii="Sylfaen" w:hAnsi="Sylfaen"/>
              </w:rPr>
            </w:pPr>
          </w:p>
        </w:tc>
        <w:tc>
          <w:tcPr>
            <w:tcW w:w="1997" w:type="dxa"/>
            <w:tcBorders>
              <w:top w:val="single" w:sz="4" w:space="0" w:color="auto"/>
              <w:left w:val="single" w:sz="4" w:space="0" w:color="auto"/>
              <w:bottom w:val="single" w:sz="4" w:space="0" w:color="auto"/>
            </w:tcBorders>
            <w:shd w:val="clear" w:color="auto" w:fill="FFFFFF"/>
          </w:tcPr>
          <w:p w14:paraId="6524F187" w14:textId="77777777" w:rsidR="008C76E0" w:rsidRPr="008C2532" w:rsidRDefault="008C76E0" w:rsidP="008C76E0">
            <w:pPr>
              <w:rPr>
                <w:rFonts w:ascii="Sylfaen" w:hAnsi="Sylfaen"/>
              </w:rPr>
            </w:pPr>
          </w:p>
        </w:tc>
        <w:tc>
          <w:tcPr>
            <w:tcW w:w="1581" w:type="dxa"/>
            <w:tcBorders>
              <w:top w:val="single" w:sz="4" w:space="0" w:color="auto"/>
              <w:left w:val="single" w:sz="4" w:space="0" w:color="auto"/>
              <w:bottom w:val="single" w:sz="4" w:space="0" w:color="auto"/>
            </w:tcBorders>
            <w:shd w:val="clear" w:color="auto" w:fill="FFFFFF"/>
          </w:tcPr>
          <w:p w14:paraId="5552AE9E" w14:textId="77777777" w:rsidR="008C76E0" w:rsidRPr="008C2532" w:rsidRDefault="008C76E0" w:rsidP="008C76E0">
            <w:pPr>
              <w:rPr>
                <w:rFonts w:ascii="Sylfaen" w:hAnsi="Sylfaen"/>
              </w:rPr>
            </w:pPr>
          </w:p>
        </w:tc>
        <w:tc>
          <w:tcPr>
            <w:tcW w:w="1263" w:type="dxa"/>
            <w:tcBorders>
              <w:top w:val="single" w:sz="4" w:space="0" w:color="auto"/>
              <w:left w:val="single" w:sz="4" w:space="0" w:color="auto"/>
              <w:bottom w:val="single" w:sz="4" w:space="0" w:color="auto"/>
            </w:tcBorders>
            <w:shd w:val="clear" w:color="auto" w:fill="FFFFFF"/>
          </w:tcPr>
          <w:p w14:paraId="6001D6C9" w14:textId="77777777" w:rsidR="008C76E0" w:rsidRPr="008C2532" w:rsidRDefault="008C76E0" w:rsidP="008C76E0">
            <w:pPr>
              <w:rPr>
                <w:rFonts w:ascii="Sylfaen" w:hAnsi="Sylfaen"/>
              </w:rPr>
            </w:pPr>
          </w:p>
        </w:tc>
        <w:tc>
          <w:tcPr>
            <w:tcW w:w="1639" w:type="dxa"/>
            <w:tcBorders>
              <w:top w:val="single" w:sz="4" w:space="0" w:color="auto"/>
              <w:left w:val="single" w:sz="4" w:space="0" w:color="auto"/>
              <w:bottom w:val="single" w:sz="4" w:space="0" w:color="auto"/>
            </w:tcBorders>
            <w:shd w:val="clear" w:color="auto" w:fill="FFFFFF"/>
          </w:tcPr>
          <w:p w14:paraId="4199D2BB" w14:textId="77777777" w:rsidR="008C76E0" w:rsidRPr="008C2532" w:rsidRDefault="008C76E0" w:rsidP="008C76E0">
            <w:pPr>
              <w:rPr>
                <w:rFonts w:ascii="Sylfaen" w:hAnsi="Sylfae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536377C" w14:textId="77777777" w:rsidR="008C76E0" w:rsidRPr="008C2532" w:rsidRDefault="008C76E0" w:rsidP="008C76E0">
            <w:pPr>
              <w:rPr>
                <w:rFonts w:ascii="Sylfaen" w:hAnsi="Sylfaen"/>
              </w:rPr>
            </w:pPr>
          </w:p>
        </w:tc>
      </w:tr>
    </w:tbl>
    <w:p w14:paraId="07423954" w14:textId="77777777" w:rsidR="008C76E0" w:rsidRDefault="008C76E0" w:rsidP="008C76E0">
      <w:pPr>
        <w:rPr>
          <w:rFonts w:ascii="Sylfaen" w:hAnsi="Sylfaen"/>
          <w:sz w:val="24"/>
          <w:szCs w:val="24"/>
          <w:lang w:val="en-US"/>
        </w:rPr>
      </w:pPr>
    </w:p>
    <w:p w14:paraId="129E1194" w14:textId="77777777" w:rsidR="008C76E0" w:rsidRDefault="008C76E0" w:rsidP="008C76E0">
      <w:pPr>
        <w:rPr>
          <w:rFonts w:ascii="Sylfaen" w:hAnsi="Sylfaen"/>
          <w:sz w:val="24"/>
          <w:szCs w:val="24"/>
          <w:lang w:val="en-US"/>
        </w:rPr>
        <w:sectPr w:rsidR="008C76E0" w:rsidSect="00903D92">
          <w:type w:val="continuous"/>
          <w:pgSz w:w="16839" w:h="11907" w:orient="landscape" w:code="9"/>
          <w:pgMar w:top="1418" w:right="1418" w:bottom="1418" w:left="1418" w:header="709" w:footer="709" w:gutter="0"/>
          <w:pgNumType w:start="1"/>
          <w:cols w:space="708"/>
          <w:titlePg/>
          <w:docGrid w:linePitch="360"/>
        </w:sectPr>
      </w:pPr>
    </w:p>
    <w:tbl>
      <w:tblPr>
        <w:tblOverlap w:val="never"/>
        <w:tblW w:w="9547" w:type="dxa"/>
        <w:jc w:val="center"/>
        <w:tblLayout w:type="fixed"/>
        <w:tblCellMar>
          <w:left w:w="10" w:type="dxa"/>
          <w:right w:w="10" w:type="dxa"/>
        </w:tblCellMar>
        <w:tblLook w:val="04A0" w:firstRow="1" w:lastRow="0" w:firstColumn="1" w:lastColumn="0" w:noHBand="0" w:noVBand="1"/>
      </w:tblPr>
      <w:tblGrid>
        <w:gridCol w:w="9547"/>
      </w:tblGrid>
      <w:tr w:rsidR="008C76E0" w:rsidRPr="00BD7577" w14:paraId="22DBDD31" w14:textId="77777777" w:rsidTr="008C76E0">
        <w:trPr>
          <w:jc w:val="center"/>
        </w:trPr>
        <w:tc>
          <w:tcPr>
            <w:tcW w:w="9547" w:type="dxa"/>
            <w:shd w:val="clear" w:color="auto" w:fill="FFFFFF"/>
          </w:tcPr>
          <w:p w14:paraId="551507DF"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lastRenderedPageBreak/>
              <w:t>3.2.</w:t>
            </w:r>
            <w:r w:rsidRPr="00BD7577">
              <w:rPr>
                <w:rStyle w:val="Bodytext295pt"/>
                <w:rFonts w:ascii="Sylfaen" w:hAnsi="Sylfaen"/>
                <w:spacing w:val="0"/>
                <w:sz w:val="24"/>
                <w:szCs w:val="24"/>
              </w:rPr>
              <w:tab/>
              <w:t xml:space="preserve">Դոզա-արդյունք կախվածության հետազոտությունները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հիմնական կլինիկական հետազոտությունները: </w:t>
            </w:r>
          </w:p>
        </w:tc>
      </w:tr>
      <w:tr w:rsidR="008C76E0" w:rsidRPr="00BD7577" w14:paraId="7F7A519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7C158D8"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A7F7581" w14:textId="77777777" w:rsidTr="008C76E0">
        <w:trPr>
          <w:jc w:val="center"/>
        </w:trPr>
        <w:tc>
          <w:tcPr>
            <w:tcW w:w="9547" w:type="dxa"/>
            <w:tcBorders>
              <w:top w:val="single" w:sz="4" w:space="0" w:color="auto"/>
            </w:tcBorders>
            <w:shd w:val="clear" w:color="auto" w:fill="FFFFFF"/>
            <w:vAlign w:val="bottom"/>
          </w:tcPr>
          <w:p w14:paraId="12985EF4"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3.3.</w:t>
            </w:r>
            <w:r w:rsidRPr="00BD7577">
              <w:rPr>
                <w:rStyle w:val="Bodytext295pt"/>
                <w:rFonts w:ascii="Sylfaen" w:hAnsi="Sylfaen"/>
                <w:spacing w:val="0"/>
                <w:sz w:val="24"/>
                <w:szCs w:val="24"/>
              </w:rPr>
              <w:tab/>
              <w:t xml:space="preserve">Դոզա-արդյունք կախվածության հետազոտությունը (հետազոտությունները): </w:t>
            </w:r>
          </w:p>
        </w:tc>
      </w:tr>
      <w:tr w:rsidR="008C76E0" w:rsidRPr="00BD7577" w14:paraId="5167E3F5"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6CBBEE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4D8B70F" w14:textId="77777777" w:rsidTr="008C76E0">
        <w:trPr>
          <w:jc w:val="center"/>
        </w:trPr>
        <w:tc>
          <w:tcPr>
            <w:tcW w:w="9547" w:type="dxa"/>
            <w:tcBorders>
              <w:top w:val="single" w:sz="4" w:space="0" w:color="auto"/>
            </w:tcBorders>
            <w:shd w:val="clear" w:color="auto" w:fill="FFFFFF"/>
            <w:vAlign w:val="bottom"/>
          </w:tcPr>
          <w:p w14:paraId="19A11CC0" w14:textId="77777777" w:rsidR="008C76E0" w:rsidRPr="00BD7577" w:rsidRDefault="008C76E0" w:rsidP="008C76E0">
            <w:pPr>
              <w:pStyle w:val="Bodytext180"/>
              <w:shd w:val="clear" w:color="auto" w:fill="auto"/>
              <w:tabs>
                <w:tab w:val="left" w:pos="1079"/>
              </w:tabs>
              <w:spacing w:before="0" w:after="160" w:line="336" w:lineRule="auto"/>
              <w:ind w:firstLine="567"/>
              <w:rPr>
                <w:rStyle w:val="Bodytext295pt"/>
                <w:rFonts w:ascii="Sylfaen" w:hAnsi="Sylfaen"/>
                <w:i/>
                <w:spacing w:val="0"/>
                <w:sz w:val="24"/>
                <w:szCs w:val="24"/>
              </w:rPr>
            </w:pPr>
            <w:r>
              <w:rPr>
                <w:rStyle w:val="Bodytext295pt"/>
                <w:rFonts w:ascii="Sylfaen" w:hAnsi="Sylfaen"/>
                <w:spacing w:val="0"/>
                <w:sz w:val="24"/>
                <w:szCs w:val="24"/>
              </w:rPr>
              <w:t>3.4.</w:t>
            </w:r>
            <w:r w:rsidRPr="00BD7577">
              <w:rPr>
                <w:rStyle w:val="Bodytext295pt"/>
                <w:rFonts w:ascii="Sylfaen" w:hAnsi="Sylfaen"/>
                <w:spacing w:val="0"/>
                <w:sz w:val="24"/>
                <w:szCs w:val="24"/>
              </w:rPr>
              <w:tab/>
              <w:t>Հիմնական հետազոտությունը (հիմնական հետազոտությունները):</w:t>
            </w:r>
          </w:p>
        </w:tc>
      </w:tr>
      <w:tr w:rsidR="008C76E0" w:rsidRPr="00BD7577" w14:paraId="53A68B64"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8F394F7"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9C1B76E" w14:textId="77777777" w:rsidTr="008C76E0">
        <w:trPr>
          <w:jc w:val="center"/>
        </w:trPr>
        <w:tc>
          <w:tcPr>
            <w:tcW w:w="9547" w:type="dxa"/>
            <w:tcBorders>
              <w:top w:val="single" w:sz="4" w:space="0" w:color="auto"/>
            </w:tcBorders>
            <w:shd w:val="clear" w:color="auto" w:fill="FFFFFF"/>
            <w:vAlign w:val="center"/>
          </w:tcPr>
          <w:p w14:paraId="373E55F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Մեթոդները</w:t>
            </w:r>
          </w:p>
          <w:p w14:paraId="6D75C2DE"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Հետազոտության մասնակիցները</w:t>
            </w:r>
          </w:p>
        </w:tc>
      </w:tr>
      <w:tr w:rsidR="008C76E0" w:rsidRPr="00BD7577" w14:paraId="5A4564DC"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77A6EFAB"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35D4AE4" w14:textId="77777777" w:rsidTr="008C76E0">
        <w:trPr>
          <w:jc w:val="center"/>
        </w:trPr>
        <w:tc>
          <w:tcPr>
            <w:tcW w:w="9547" w:type="dxa"/>
            <w:tcBorders>
              <w:top w:val="single" w:sz="4" w:space="0" w:color="auto"/>
            </w:tcBorders>
            <w:shd w:val="clear" w:color="auto" w:fill="FFFFFF"/>
            <w:vAlign w:val="center"/>
          </w:tcPr>
          <w:p w14:paraId="333B41EF"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Բուժման տեսակները</w:t>
            </w:r>
          </w:p>
        </w:tc>
      </w:tr>
      <w:tr w:rsidR="008C76E0" w:rsidRPr="00BD7577" w14:paraId="27A41CA7"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2D0EB0DF"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95635B" w14:textId="77777777" w:rsidTr="008C76E0">
        <w:trPr>
          <w:jc w:val="center"/>
        </w:trPr>
        <w:tc>
          <w:tcPr>
            <w:tcW w:w="9547" w:type="dxa"/>
            <w:tcBorders>
              <w:top w:val="single" w:sz="4" w:space="0" w:color="auto"/>
            </w:tcBorders>
            <w:shd w:val="clear" w:color="auto" w:fill="FFFFFF"/>
            <w:vAlign w:val="bottom"/>
          </w:tcPr>
          <w:p w14:paraId="5DEBEAA3"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Նպատակները</w:t>
            </w:r>
          </w:p>
        </w:tc>
      </w:tr>
      <w:tr w:rsidR="008C76E0" w:rsidRPr="00BD7577" w14:paraId="29F76E7E"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0411625E"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7E0DFA5" w14:textId="77777777" w:rsidTr="008C76E0">
        <w:trPr>
          <w:jc w:val="center"/>
        </w:trPr>
        <w:tc>
          <w:tcPr>
            <w:tcW w:w="9547" w:type="dxa"/>
            <w:tcBorders>
              <w:top w:val="single" w:sz="4" w:space="0" w:color="auto"/>
            </w:tcBorders>
            <w:shd w:val="clear" w:color="auto" w:fill="FFFFFF"/>
            <w:vAlign w:val="bottom"/>
          </w:tcPr>
          <w:p w14:paraId="1456900C"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 (վերջնակետեր)</w:t>
            </w:r>
          </w:p>
        </w:tc>
      </w:tr>
      <w:tr w:rsidR="008C76E0" w:rsidRPr="00BD7577" w14:paraId="717C00D3"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68F09B20"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CE9958" w14:textId="77777777" w:rsidTr="008C76E0">
        <w:trPr>
          <w:jc w:val="center"/>
        </w:trPr>
        <w:tc>
          <w:tcPr>
            <w:tcW w:w="9547" w:type="dxa"/>
            <w:tcBorders>
              <w:top w:val="single" w:sz="4" w:space="0" w:color="auto"/>
            </w:tcBorders>
            <w:shd w:val="clear" w:color="auto" w:fill="FFFFFF"/>
            <w:vAlign w:val="bottom"/>
          </w:tcPr>
          <w:p w14:paraId="3D389590"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Ընտրանքի ծավալը</w:t>
            </w:r>
          </w:p>
        </w:tc>
      </w:tr>
      <w:tr w:rsidR="008C76E0" w:rsidRPr="00BD7577" w14:paraId="4C33FEA0"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16DD8B41"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86248B9" w14:textId="77777777" w:rsidTr="008C76E0">
        <w:trPr>
          <w:jc w:val="center"/>
        </w:trPr>
        <w:tc>
          <w:tcPr>
            <w:tcW w:w="9547" w:type="dxa"/>
            <w:tcBorders>
              <w:top w:val="single" w:sz="4" w:space="0" w:color="auto"/>
            </w:tcBorders>
            <w:shd w:val="clear" w:color="auto" w:fill="FFFFFF"/>
            <w:vAlign w:val="center"/>
          </w:tcPr>
          <w:p w14:paraId="01BC1AF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Ռանդոմիզացում (պատահականության սկզբունքով բաշխում)</w:t>
            </w:r>
          </w:p>
        </w:tc>
      </w:tr>
      <w:tr w:rsidR="008C76E0" w:rsidRPr="00BD7577" w14:paraId="7897DF0F"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5D8CAB63"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415C4F7" w14:textId="77777777" w:rsidTr="008C76E0">
        <w:trPr>
          <w:jc w:val="center"/>
        </w:trPr>
        <w:tc>
          <w:tcPr>
            <w:tcW w:w="9547" w:type="dxa"/>
            <w:tcBorders>
              <w:top w:val="single" w:sz="4" w:space="0" w:color="auto"/>
            </w:tcBorders>
            <w:shd w:val="clear" w:color="auto" w:fill="FFFFFF"/>
            <w:vAlign w:val="center"/>
          </w:tcPr>
          <w:p w14:paraId="75554A71"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Կույր մեթոդ (քողարկում)</w:t>
            </w:r>
          </w:p>
        </w:tc>
      </w:tr>
      <w:tr w:rsidR="008C76E0" w:rsidRPr="00BD7577" w14:paraId="45D8DFB6" w14:textId="77777777" w:rsidTr="008C76E0">
        <w:trPr>
          <w:jc w:val="center"/>
        </w:trPr>
        <w:tc>
          <w:tcPr>
            <w:tcW w:w="9547" w:type="dxa"/>
            <w:tcBorders>
              <w:top w:val="single" w:sz="4" w:space="0" w:color="auto"/>
              <w:left w:val="single" w:sz="4" w:space="0" w:color="auto"/>
              <w:right w:val="single" w:sz="4" w:space="0" w:color="auto"/>
            </w:tcBorders>
            <w:shd w:val="clear" w:color="auto" w:fill="FFFFFF"/>
          </w:tcPr>
          <w:p w14:paraId="32321192" w14:textId="77777777" w:rsidR="008C76E0" w:rsidRPr="00BD7577" w:rsidRDefault="008C76E0" w:rsidP="008C76E0">
            <w:pPr>
              <w:pStyle w:val="Bodytext180"/>
              <w:shd w:val="clear" w:color="auto" w:fill="auto"/>
              <w:spacing w:before="0" w:after="160" w:line="336"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237A374" w14:textId="77777777" w:rsidTr="008C76E0">
        <w:trPr>
          <w:jc w:val="center"/>
        </w:trPr>
        <w:tc>
          <w:tcPr>
            <w:tcW w:w="9547" w:type="dxa"/>
            <w:tcBorders>
              <w:top w:val="single" w:sz="4" w:space="0" w:color="auto"/>
            </w:tcBorders>
            <w:shd w:val="clear" w:color="auto" w:fill="FFFFFF"/>
            <w:vAlign w:val="bottom"/>
          </w:tcPr>
          <w:p w14:paraId="2C0B2282" w14:textId="77777777" w:rsidR="008C76E0" w:rsidRPr="00BD7577" w:rsidRDefault="008C76E0" w:rsidP="008C76E0">
            <w:pPr>
              <w:pStyle w:val="Bodytext180"/>
              <w:shd w:val="clear" w:color="auto" w:fill="auto"/>
              <w:tabs>
                <w:tab w:val="left" w:pos="1611"/>
              </w:tabs>
              <w:spacing w:before="0" w:after="160" w:line="336"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Վիճակագրական մեթոդներ</w:t>
            </w:r>
          </w:p>
        </w:tc>
      </w:tr>
    </w:tbl>
    <w:p w14:paraId="6B8664E4"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lastRenderedPageBreak/>
        <w:t>Արդյունքները</w:t>
      </w:r>
    </w:p>
    <w:p w14:paraId="1DD9712C"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Մասնակիցների բաշխման սխեման (պետք է օգտագործել տվյալ ձ</w:t>
      </w:r>
      <w:r w:rsidR="00C54D75">
        <w:rPr>
          <w:rFonts w:ascii="Sylfaen" w:hAnsi="Sylfaen"/>
          <w:sz w:val="24"/>
          <w:szCs w:val="24"/>
        </w:rPr>
        <w:t>և</w:t>
      </w:r>
      <w:r w:rsidRPr="00BD7577">
        <w:rPr>
          <w:rFonts w:ascii="Sylfaen" w:hAnsi="Sylfaen"/>
          <w:sz w:val="24"/>
          <w:szCs w:val="24"/>
        </w:rPr>
        <w:t>աչափը, թույլատրվում է, ըստ անհրաժեշտության, դրանում փոփոխությունների կատարումը)</w:t>
      </w:r>
    </w:p>
    <w:p w14:paraId="39D75FA7" w14:textId="77777777" w:rsidR="008C76E0" w:rsidRPr="00BD7577" w:rsidRDefault="00FC294A" w:rsidP="008C76E0">
      <w:pPr>
        <w:ind w:left="-426"/>
        <w:jc w:val="center"/>
        <w:rPr>
          <w:rFonts w:ascii="Sylfaen" w:hAnsi="Sylfaen"/>
          <w:sz w:val="24"/>
          <w:szCs w:val="24"/>
          <w:lang w:val="en-US"/>
        </w:rPr>
      </w:pPr>
      <w:r>
        <w:rPr>
          <w:rFonts w:ascii="Sylfaen" w:hAnsi="Sylfaen"/>
          <w:sz w:val="24"/>
          <w:szCs w:val="24"/>
        </w:rPr>
      </w:r>
      <w:r>
        <w:rPr>
          <w:rFonts w:ascii="Sylfaen" w:hAnsi="Sylfaen"/>
          <w:sz w:val="24"/>
          <w:szCs w:val="24"/>
        </w:rPr>
        <w:pict w14:anchorId="300EFC83">
          <v:group id="_x0000_s1302" style="width:509.5pt;height:569.2pt;mso-position-horizontal-relative:char;mso-position-vertical-relative:line" coordorigin="643,1573" coordsize="10190,11384">
            <v:roundrect id="_x0000_s1303" style="position:absolute;left:4564;top:1684;width:2725;height:1063" arcsize="10923f">
              <v:textbox style="mso-next-textbox:#_x0000_s1303" inset=".1mm,.1mm,.1mm,.1mm">
                <w:txbxContent>
                  <w:p w14:paraId="075FD5FC" w14:textId="77777777" w:rsidR="004A52D9" w:rsidRPr="0076243B" w:rsidRDefault="004A52D9" w:rsidP="008C76E0">
                    <w:pPr>
                      <w:spacing w:after="120" w:line="240" w:lineRule="auto"/>
                      <w:rPr>
                        <w:rFonts w:ascii="Sylfaen" w:hAnsi="Sylfaen"/>
                        <w:sz w:val="18"/>
                        <w:szCs w:val="18"/>
                      </w:rPr>
                    </w:pPr>
                    <w:r w:rsidRPr="0076243B">
                      <w:rPr>
                        <w:rFonts w:ascii="Sylfaen" w:hAnsi="Sylfaen"/>
                        <w:sz w:val="18"/>
                        <w:szCs w:val="18"/>
                      </w:rPr>
                      <w:t>Պահանջներին համապատասխանության մասով սքրինինգ են անցել (n=….)</w:t>
                    </w:r>
                  </w:p>
                  <w:p w14:paraId="02A0DE65" w14:textId="77777777" w:rsidR="004A52D9" w:rsidRPr="00AE11C0" w:rsidRDefault="004A52D9" w:rsidP="008C76E0">
                    <w:pPr>
                      <w:rPr>
                        <w:rFonts w:ascii="Sylfaen" w:hAnsi="Sylfaen"/>
                      </w:rPr>
                    </w:pPr>
                  </w:p>
                </w:txbxContent>
              </v:textbox>
            </v:roundrect>
            <v:roundrect id="_x0000_s1304" style="position:absolute;left:8086;top:1573;width:2747;height:1373" arcsize="10923f">
              <v:textbox style="mso-next-textbox:#_x0000_s1304" inset=".1mm,.1mm,.1mm,.1mm">
                <w:txbxContent>
                  <w:p w14:paraId="0D75C04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Բացառվել են որպես պահանջներին չհամապատասխանող (n=….)</w:t>
                    </w:r>
                  </w:p>
                  <w:p w14:paraId="795EDC07" w14:textId="77777777" w:rsidR="004A52D9" w:rsidRPr="00DD61E4" w:rsidRDefault="004A52D9" w:rsidP="008C76E0">
                    <w:pPr>
                      <w:spacing w:after="0" w:line="240" w:lineRule="auto"/>
                      <w:rPr>
                        <w:rFonts w:ascii="Sylfaen" w:hAnsi="Sylfaen"/>
                        <w:sz w:val="16"/>
                        <w:szCs w:val="16"/>
                      </w:rPr>
                    </w:pPr>
                    <w:r w:rsidRPr="0076243B">
                      <w:rPr>
                        <w:rFonts w:ascii="Sylfaen" w:hAnsi="Sylfaen"/>
                        <w:sz w:val="16"/>
                        <w:szCs w:val="16"/>
                      </w:rPr>
                      <w:t>Հրաժարվել են մասնակցությունից (n=….)</w:t>
                    </w:r>
                  </w:p>
                  <w:p w14:paraId="472BF021" w14:textId="77777777" w:rsidR="004A52D9" w:rsidRPr="0076243B" w:rsidRDefault="004A52D9" w:rsidP="008C76E0">
                    <w:pPr>
                      <w:spacing w:after="120" w:line="240" w:lineRule="auto"/>
                      <w:rPr>
                        <w:sz w:val="16"/>
                        <w:szCs w:val="16"/>
                      </w:rPr>
                    </w:pPr>
                    <w:r w:rsidRPr="0076243B">
                      <w:rPr>
                        <w:rFonts w:ascii="Sylfaen" w:hAnsi="Sylfaen"/>
                        <w:sz w:val="16"/>
                        <w:szCs w:val="16"/>
                      </w:rPr>
                      <w:t>Այլ պատճառներ</w:t>
                    </w:r>
                    <w:r>
                      <w:rPr>
                        <w:rFonts w:ascii="Sylfaen" w:hAnsi="Sylfaen"/>
                        <w:sz w:val="16"/>
                        <w:szCs w:val="16"/>
                      </w:rPr>
                      <w:t xml:space="preserve"> </w:t>
                    </w:r>
                    <w:r w:rsidRPr="0076243B">
                      <w:rPr>
                        <w:rFonts w:ascii="Sylfaen" w:hAnsi="Sylfaen"/>
                        <w:sz w:val="16"/>
                        <w:szCs w:val="16"/>
                      </w:rPr>
                      <w:t>(n=….)</w:t>
                    </w:r>
                  </w:p>
                </w:txbxContent>
              </v:textbox>
            </v:roundrect>
            <v:roundrect id="_x0000_s1305" style="position:absolute;left:4564;top:3522;width:2725;height:465" arcsize="10923f">
              <v:textbox style="mso-next-textbox:#_x0000_s1305" inset=".1mm,.1mm,.1mm,.1mm">
                <w:txbxContent>
                  <w:p w14:paraId="75DF4C69"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Պատահական բաշխման են ենթարկվել</w:t>
                    </w:r>
                    <w:r>
                      <w:rPr>
                        <w:rFonts w:ascii="Sylfaen" w:hAnsi="Sylfaen"/>
                        <w:sz w:val="16"/>
                        <w:szCs w:val="16"/>
                      </w:rPr>
                      <w:t xml:space="preserve"> </w:t>
                    </w:r>
                    <w:r w:rsidRPr="0076243B">
                      <w:rPr>
                        <w:rFonts w:ascii="Sylfaen" w:hAnsi="Sylfaen"/>
                        <w:sz w:val="16"/>
                        <w:szCs w:val="16"/>
                      </w:rPr>
                      <w:t>(n=….)</w:t>
                    </w:r>
                  </w:p>
                  <w:p w14:paraId="1283482A" w14:textId="77777777" w:rsidR="004A52D9" w:rsidRPr="00117D49" w:rsidRDefault="004A52D9" w:rsidP="008C76E0"/>
                </w:txbxContent>
              </v:textbox>
            </v:roundrect>
            <v:roundrect id="_x0000_s1306" style="position:absolute;left:2703;top:7665;width:3102;height:1218" arcsize="10923f">
              <v:textbox style="mso-next-textbox:#_x0000_s1306" inset=".1mm,.1mm,.1mm,.1mm">
                <w:txbxContent>
                  <w:p w14:paraId="732F273D"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Չեն անցել հետագա հսկողության փուլ</w:t>
                    </w:r>
                    <w:r>
                      <w:rPr>
                        <w:rFonts w:ascii="Sylfaen" w:hAnsi="Sylfaen"/>
                        <w:sz w:val="16"/>
                        <w:szCs w:val="16"/>
                      </w:rPr>
                      <w:t xml:space="preserve"> </w:t>
                    </w:r>
                    <w:r w:rsidRPr="0076243B">
                      <w:rPr>
                        <w:rFonts w:ascii="Sylfaen" w:hAnsi="Sylfaen"/>
                        <w:sz w:val="16"/>
                        <w:szCs w:val="16"/>
                      </w:rPr>
                      <w:t>(n=….) [նշել պատճառը]</w:t>
                    </w:r>
                  </w:p>
                  <w:p w14:paraId="73013B6E"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 xml:space="preserve">Բուժումը դադարեցված է </w:t>
                    </w:r>
                  </w:p>
                  <w:p w14:paraId="1151D6F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BAF5EED" w14:textId="77777777" w:rsidR="004A52D9" w:rsidRPr="000B2695" w:rsidRDefault="004A52D9" w:rsidP="008C76E0"/>
                </w:txbxContent>
              </v:textbox>
            </v:roundrect>
            <v:shapetype id="_x0000_t32" coordsize="21600,21600" o:spt="32" o:oned="t" path="m,l21600,21600e" filled="f">
              <v:path arrowok="t" fillok="f" o:connecttype="none"/>
              <o:lock v:ext="edit" shapetype="t"/>
            </v:shapetype>
            <v:shape id="_x0000_s1307" type="#_x0000_t32" style="position:absolute;left:7289;top:2282;width:797;height:0" o:connectortype="straight">
              <v:stroke endarrow="block"/>
            </v:shape>
            <v:shape id="_x0000_s1308" type="#_x0000_t32" style="position:absolute;left:4209;top:6890;width:0;height:775" o:connectortype="straight">
              <v:stroke endarrow="block"/>
            </v:shape>
            <v:shape id="_x0000_s1309" type="#_x0000_t32" style="position:absolute;left:4209;top:8883;width:0;height:775" o:connectortype="straight">
              <v:stroke endarrow="block"/>
            </v:shape>
            <v:shape id="_x0000_s1310" type="#_x0000_t32" style="position:absolute;left:7577;top:6890;width:0;height:775" o:connectortype="straight">
              <v:stroke endarrow="block"/>
            </v:shape>
            <v:shape id="_x0000_s1311" type="#_x0000_t32" style="position:absolute;left:5982;top:2747;width:0;height:775" o:connectortype="straight">
              <v:stroke endarrow="block"/>
            </v:shape>
            <v:roundrect id="_x0000_s1312" style="position:absolute;left:5982;top:5672;width:3102;height:1218" arcsize="10923f">
              <v:textbox style="mso-next-textbox:#_x0000_s1312" inset=".1mm,.1mm,.1mm,.1mm">
                <w:txbxContent>
                  <w:p w14:paraId="6BE7769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 արձանագրության</w:t>
                    </w:r>
                    <w:r>
                      <w:rPr>
                        <w:rFonts w:ascii="Sylfaen" w:hAnsi="Sylfaen"/>
                        <w:sz w:val="16"/>
                        <w:szCs w:val="16"/>
                      </w:rPr>
                      <w:t xml:space="preserve"> </w:t>
                    </w:r>
                    <w:r w:rsidRPr="0076243B">
                      <w:rPr>
                        <w:rFonts w:ascii="Sylfaen" w:hAnsi="Sylfaen"/>
                        <w:sz w:val="16"/>
                        <w:szCs w:val="16"/>
                      </w:rPr>
                      <w:t>(n=….)</w:t>
                    </w:r>
                  </w:p>
                  <w:p w14:paraId="29BC5C90"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A37C9AB"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0940784C" w14:textId="77777777" w:rsidR="004A52D9" w:rsidRPr="000B2695" w:rsidRDefault="004A52D9" w:rsidP="008C76E0"/>
                </w:txbxContent>
              </v:textbox>
            </v:roundrect>
            <v:roundrect id="_x0000_s1313" style="position:absolute;left:2703;top:5672;width:3102;height:1218" arcsize="10923f">
              <v:textbox style="mso-next-textbox:#_x0000_s1313" inset=".1mm,.1mm,.1mm,.1mm">
                <w:txbxContent>
                  <w:p w14:paraId="684309C0"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Ներառվել են բուժման խմբում</w:t>
                    </w:r>
                    <w:r>
                      <w:rPr>
                        <w:rFonts w:ascii="Sylfaen" w:hAnsi="Sylfaen"/>
                        <w:sz w:val="16"/>
                        <w:szCs w:val="16"/>
                      </w:rPr>
                      <w:t xml:space="preserve"> </w:t>
                    </w:r>
                    <w:r w:rsidRPr="0076243B">
                      <w:rPr>
                        <w:rFonts w:ascii="Sylfaen" w:hAnsi="Sylfaen"/>
                        <w:sz w:val="16"/>
                        <w:szCs w:val="16"/>
                      </w:rPr>
                      <w:t>(n=….) Բուժում են ստացել ըստ</w:t>
                    </w:r>
                    <w:r>
                      <w:rPr>
                        <w:rFonts w:ascii="Sylfaen" w:hAnsi="Sylfaen"/>
                      </w:rPr>
                      <w:t xml:space="preserve"> </w:t>
                    </w:r>
                    <w:r w:rsidRPr="0076243B">
                      <w:rPr>
                        <w:rFonts w:ascii="Sylfaen" w:hAnsi="Sylfaen"/>
                        <w:sz w:val="16"/>
                        <w:szCs w:val="16"/>
                      </w:rPr>
                      <w:t>արձանագրության</w:t>
                    </w:r>
                    <w:r>
                      <w:rPr>
                        <w:rFonts w:ascii="Sylfaen" w:hAnsi="Sylfaen"/>
                        <w:sz w:val="16"/>
                        <w:szCs w:val="16"/>
                      </w:rPr>
                      <w:t xml:space="preserve"> </w:t>
                    </w:r>
                    <w:r w:rsidRPr="0076243B">
                      <w:rPr>
                        <w:rFonts w:ascii="Sylfaen" w:hAnsi="Sylfaen"/>
                        <w:sz w:val="16"/>
                        <w:szCs w:val="16"/>
                      </w:rPr>
                      <w:t>(n=….)</w:t>
                    </w:r>
                  </w:p>
                  <w:p w14:paraId="6EDA045B" w14:textId="77777777" w:rsidR="004A52D9" w:rsidRPr="0076243B" w:rsidRDefault="004A52D9" w:rsidP="008C76E0">
                    <w:pPr>
                      <w:rPr>
                        <w:rFonts w:ascii="Sylfaen" w:hAnsi="Sylfaen"/>
                        <w:sz w:val="16"/>
                        <w:szCs w:val="16"/>
                      </w:rPr>
                    </w:pPr>
                    <w:r w:rsidRPr="0076243B">
                      <w:rPr>
                        <w:rFonts w:ascii="Sylfaen" w:hAnsi="Sylfaen"/>
                        <w:sz w:val="16"/>
                        <w:szCs w:val="16"/>
                      </w:rPr>
                      <w:t>Բուժում չեն ստացել</w:t>
                    </w:r>
                    <w:r>
                      <w:rPr>
                        <w:rFonts w:ascii="Sylfaen" w:hAnsi="Sylfaen"/>
                        <w:sz w:val="16"/>
                        <w:szCs w:val="16"/>
                      </w:rPr>
                      <w:t xml:space="preserve"> </w:t>
                    </w:r>
                    <w:r w:rsidRPr="0076243B">
                      <w:rPr>
                        <w:rFonts w:ascii="Sylfaen" w:hAnsi="Sylfaen"/>
                        <w:sz w:val="16"/>
                        <w:szCs w:val="16"/>
                      </w:rPr>
                      <w:t>(n=….)</w:t>
                    </w:r>
                  </w:p>
                  <w:p w14:paraId="3CE60FB2" w14:textId="77777777" w:rsidR="004A52D9" w:rsidRDefault="004A52D9" w:rsidP="008C76E0">
                    <w:pPr>
                      <w:rPr>
                        <w:rFonts w:ascii="Sylfaen" w:hAnsi="Sylfaen"/>
                      </w:rPr>
                    </w:pPr>
                    <w:r w:rsidRPr="00152FB4">
                      <w:rPr>
                        <w:rFonts w:ascii="Sylfaen" w:hAnsi="Sylfaen"/>
                      </w:rPr>
                      <w:t>(</w:t>
                    </w:r>
                    <w:r>
                      <w:rPr>
                        <w:rFonts w:ascii="Sylfaen" w:hAnsi="Sylfaen"/>
                      </w:rPr>
                      <w:t>նշել պատճառը</w:t>
                    </w:r>
                    <w:r w:rsidRPr="00152FB4">
                      <w:rPr>
                        <w:rFonts w:ascii="Sylfaen" w:hAnsi="Sylfaen"/>
                      </w:rPr>
                      <w:t>)</w:t>
                    </w:r>
                  </w:p>
                  <w:p w14:paraId="60F4E439" w14:textId="77777777" w:rsidR="004A52D9" w:rsidRDefault="004A52D9" w:rsidP="008C76E0">
                    <w:pPr>
                      <w:rPr>
                        <w:rFonts w:ascii="Sylfaen" w:hAnsi="Sylfaen"/>
                      </w:rPr>
                    </w:pPr>
                  </w:p>
                  <w:p w14:paraId="2DE44044" w14:textId="77777777" w:rsidR="004A52D9" w:rsidRPr="00F45251" w:rsidRDefault="004A52D9" w:rsidP="008C76E0"/>
                </w:txbxContent>
              </v:textbox>
            </v:roundrect>
            <v:roundrect id="_x0000_s1314" style="position:absolute;left:5982;top:7665;width:3102;height:1218" arcsize="10923f">
              <v:textbox style="mso-next-textbox:#_x0000_s1314" inset=".1mm,.1mm,.1mm,.1mm">
                <w:txbxContent>
                  <w:p w14:paraId="268CE98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Չեն անցել հետագա հսկողության փուլ (n=….) [նշել պատճառը]</w:t>
                    </w:r>
                  </w:p>
                  <w:p w14:paraId="06E7FB39"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 xml:space="preserve">Բուժումը դադարեցված է </w:t>
                    </w:r>
                  </w:p>
                  <w:p w14:paraId="0C9D7401" w14:textId="77777777" w:rsidR="004A52D9" w:rsidRPr="003415E8" w:rsidRDefault="004A52D9" w:rsidP="00591274">
                    <w:pPr>
                      <w:spacing w:after="0" w:line="240" w:lineRule="auto"/>
                      <w:rPr>
                        <w:rFonts w:ascii="Sylfaen" w:hAnsi="Sylfaen"/>
                        <w:sz w:val="16"/>
                        <w:szCs w:val="16"/>
                      </w:rPr>
                    </w:pPr>
                    <w:r w:rsidRPr="003415E8">
                      <w:rPr>
                        <w:rFonts w:ascii="Sylfaen" w:hAnsi="Sylfaen"/>
                        <w:sz w:val="16"/>
                        <w:szCs w:val="16"/>
                      </w:rPr>
                      <w:t>(նշել պատճառները)</w:t>
                    </w:r>
                  </w:p>
                  <w:p w14:paraId="0F7809FB" w14:textId="77777777" w:rsidR="004A52D9" w:rsidRPr="000B2695" w:rsidRDefault="004A52D9" w:rsidP="008C76E0"/>
                </w:txbxContent>
              </v:textbox>
            </v:roundrect>
            <v:shape id="_x0000_s1315" type="#_x0000_t32" style="position:absolute;left:7577;top:8883;width:0;height:775" o:connectortype="straight">
              <v:stroke endarrow="block"/>
            </v:shape>
            <v:roundrect id="_x0000_s1316" style="position:absolute;left:2703;top:9658;width:3102;height:1218" arcsize="10923f">
              <v:textbox style="mso-next-textbox:#_x0000_s1316" inset=".1mm,.1mm,.1mm,.1mm">
                <w:txbxContent>
                  <w:p w14:paraId="706A97F8"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 են</w:t>
                    </w:r>
                    <w:r>
                      <w:rPr>
                        <w:rFonts w:ascii="Sylfaen" w:hAnsi="Sylfaen"/>
                        <w:sz w:val="16"/>
                        <w:szCs w:val="16"/>
                      </w:rPr>
                      <w:t xml:space="preserve"> </w:t>
                    </w:r>
                    <w:r w:rsidRPr="0076243B">
                      <w:rPr>
                        <w:rFonts w:ascii="Sylfaen" w:hAnsi="Sylfaen"/>
                        <w:sz w:val="16"/>
                        <w:szCs w:val="16"/>
                      </w:rPr>
                      <w:t>(n=….)</w:t>
                    </w:r>
                  </w:p>
                  <w:p w14:paraId="4454E9A6"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(նշել պատճառները)</w:t>
                    </w:r>
                  </w:p>
                  <w:p w14:paraId="08945628" w14:textId="77777777" w:rsidR="004A52D9" w:rsidRDefault="004A52D9" w:rsidP="008C76E0"/>
                </w:txbxContent>
              </v:textbox>
            </v:roundrect>
            <v:roundrect id="_x0000_s1317" style="position:absolute;left:5982;top:9658;width:3102;height:1218" arcsize="10923f">
              <v:textbox style="mso-next-textbox:#_x0000_s1317" inset=".1mm,.1mm,.1mm,.1mm">
                <w:txbxContent>
                  <w:p w14:paraId="212AEF0C"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Վերլուծության են ենթարկվել</w:t>
                    </w:r>
                    <w:r>
                      <w:rPr>
                        <w:rFonts w:ascii="Sylfaen" w:hAnsi="Sylfaen"/>
                        <w:sz w:val="16"/>
                        <w:szCs w:val="16"/>
                      </w:rPr>
                      <w:t xml:space="preserve"> </w:t>
                    </w:r>
                    <w:r w:rsidRPr="0076243B">
                      <w:rPr>
                        <w:rFonts w:ascii="Sylfaen" w:hAnsi="Sylfaen"/>
                        <w:sz w:val="16"/>
                        <w:szCs w:val="16"/>
                      </w:rPr>
                      <w:t>(n=….) Վերլուծությունից բացառվել</w:t>
                    </w:r>
                    <w:r>
                      <w:rPr>
                        <w:rFonts w:ascii="Sylfaen" w:hAnsi="Sylfaen"/>
                      </w:rPr>
                      <w:t xml:space="preserve"> են </w:t>
                    </w:r>
                    <w:r w:rsidRPr="0076243B">
                      <w:rPr>
                        <w:rFonts w:ascii="Sylfaen" w:hAnsi="Sylfaen"/>
                        <w:sz w:val="16"/>
                        <w:szCs w:val="16"/>
                      </w:rPr>
                      <w:t>(n=….)</w:t>
                    </w:r>
                  </w:p>
                  <w:p w14:paraId="072166FF" w14:textId="77777777" w:rsidR="004A52D9" w:rsidRPr="0076243B" w:rsidRDefault="004A52D9" w:rsidP="008C76E0">
                    <w:pPr>
                      <w:spacing w:after="0" w:line="240" w:lineRule="auto"/>
                      <w:rPr>
                        <w:rFonts w:ascii="Sylfaen" w:hAnsi="Sylfaen"/>
                        <w:sz w:val="16"/>
                        <w:szCs w:val="16"/>
                      </w:rPr>
                    </w:pPr>
                    <w:r w:rsidRPr="0076243B">
                      <w:rPr>
                        <w:rFonts w:ascii="Sylfaen" w:hAnsi="Sylfaen"/>
                        <w:sz w:val="16"/>
                        <w:szCs w:val="16"/>
                      </w:rPr>
                      <w:t>(նշել պատճառները)</w:t>
                    </w:r>
                  </w:p>
                  <w:p w14:paraId="2778EAA1" w14:textId="77777777" w:rsidR="004A52D9" w:rsidRDefault="004A52D9" w:rsidP="008C76E0"/>
                </w:txbxContent>
              </v:textbox>
            </v:roundre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18" type="#_x0000_t19" style="position:absolute;left:4453;top:3324;width:3279;height:3279;rotation:-45"/>
            <v:shape id="_x0000_s1319" type="#_x0000_t32" style="position:absolute;left:3810;top:4962;width:0;height:710" o:connectortype="straight">
              <v:stroke endarrow="block"/>
            </v:shape>
            <v:shape id="_x0000_s1320" type="#_x0000_t32" style="position:absolute;left:8396;top:4962;width:0;height:710" o:connectortype="straight">
              <v:stroke endarrow="block"/>
            </v:shape>
            <v:rect id="_x0000_s1321" style="position:absolute;left:277;top:1939;width:1373;height:642;rotation:-90">
              <v:textbox style="layout-flow:vertical;mso-layout-flow-alt:bottom-to-top;mso-next-textbox:#_x0000_s1321" inset=".1mm,.1mm,.1mm,.1mm">
                <w:txbxContent>
                  <w:p w14:paraId="481D5053" w14:textId="77777777" w:rsidR="004A52D9" w:rsidRPr="0076243B" w:rsidRDefault="004A52D9" w:rsidP="008C76E0">
                    <w:pPr>
                      <w:spacing w:after="120" w:line="240" w:lineRule="auto"/>
                      <w:rPr>
                        <w:rFonts w:ascii="Sylfaen" w:hAnsi="Sylfaen"/>
                        <w:sz w:val="16"/>
                        <w:szCs w:val="16"/>
                      </w:rPr>
                    </w:pPr>
                    <w:r w:rsidRPr="0076243B">
                      <w:rPr>
                        <w:rFonts w:ascii="Sylfaen" w:hAnsi="Sylfaen"/>
                        <w:sz w:val="16"/>
                        <w:szCs w:val="16"/>
                      </w:rPr>
                      <w:t>Հավաքում</w:t>
                    </w:r>
                  </w:p>
                  <w:p w14:paraId="279F57AC" w14:textId="77777777" w:rsidR="004A52D9" w:rsidRDefault="004A52D9" w:rsidP="008C76E0"/>
                </w:txbxContent>
              </v:textbox>
            </v:rect>
            <v:rect id="_x0000_s1322" style="position:absolute;left:-199;top:5428;width:2503;height:819;rotation:-90">
              <v:textbox style="layout-flow:vertical;mso-layout-flow-alt:bottom-to-top;mso-next-textbox:#_x0000_s1322" inset=".1mm,.1mm,.1mm,.1mm">
                <w:txbxContent>
                  <w:p w14:paraId="575DE8B1" w14:textId="77777777" w:rsidR="004A52D9" w:rsidRPr="0076243B" w:rsidRDefault="004A52D9" w:rsidP="008C76E0">
                    <w:pPr>
                      <w:rPr>
                        <w:rFonts w:ascii="Sylfaen" w:hAnsi="Sylfaen"/>
                        <w:sz w:val="16"/>
                        <w:szCs w:val="16"/>
                      </w:rPr>
                    </w:pPr>
                    <w:r w:rsidRPr="0076243B">
                      <w:rPr>
                        <w:rFonts w:ascii="Sylfaen" w:hAnsi="Sylfaen"/>
                        <w:sz w:val="16"/>
                        <w:szCs w:val="16"/>
                      </w:rPr>
                      <w:t>Բաշխում</w:t>
                    </w:r>
                  </w:p>
                  <w:p w14:paraId="48B4B746" w14:textId="77777777" w:rsidR="004A52D9" w:rsidRDefault="004A52D9" w:rsidP="008C76E0"/>
                </w:txbxContent>
              </v:textbox>
            </v:rect>
            <v:rect id="_x0000_s1323" style="position:absolute;left:-288;top:8397;width:2503;height:642;rotation:-90">
              <v:textbox style="layout-flow:vertical;mso-layout-flow-alt:bottom-to-top;mso-next-textbox:#_x0000_s1323" inset=".1mm,.1mm,.1mm,.1mm">
                <w:txbxContent>
                  <w:p w14:paraId="763AB30D" w14:textId="77777777" w:rsidR="004A52D9" w:rsidRPr="0076243B" w:rsidRDefault="004A52D9" w:rsidP="008C76E0">
                    <w:pPr>
                      <w:rPr>
                        <w:rFonts w:ascii="Sylfaen" w:hAnsi="Sylfaen"/>
                        <w:sz w:val="16"/>
                        <w:szCs w:val="16"/>
                      </w:rPr>
                    </w:pPr>
                    <w:r w:rsidRPr="0076243B">
                      <w:rPr>
                        <w:rFonts w:ascii="Sylfaen" w:hAnsi="Sylfaen"/>
                        <w:sz w:val="16"/>
                        <w:szCs w:val="16"/>
                      </w:rPr>
                      <w:t>Հետագա հսկողություն</w:t>
                    </w:r>
                  </w:p>
                  <w:p w14:paraId="44F3ED43" w14:textId="77777777" w:rsidR="004A52D9" w:rsidRDefault="004A52D9" w:rsidP="008C76E0"/>
                </w:txbxContent>
              </v:textbox>
            </v:rect>
            <v:rect id="_x0000_s1324" style="position:absolute;left:-288;top:11385;width:2503;height:642;rotation:-90">
              <v:textbox style="layout-flow:vertical;mso-layout-flow-alt:bottom-to-top;mso-next-textbox:#_x0000_s1324" inset=".1mm,.1mm,.1mm,.1mm">
                <w:txbxContent>
                  <w:p w14:paraId="6544992C" w14:textId="77777777" w:rsidR="004A52D9" w:rsidRPr="0076243B" w:rsidRDefault="004A52D9" w:rsidP="008C76E0">
                    <w:pPr>
                      <w:rPr>
                        <w:rFonts w:ascii="Sylfaen" w:hAnsi="Sylfaen"/>
                        <w:sz w:val="16"/>
                        <w:szCs w:val="16"/>
                      </w:rPr>
                    </w:pPr>
                    <w:r w:rsidRPr="0076243B">
                      <w:rPr>
                        <w:rFonts w:ascii="Sylfaen" w:hAnsi="Sylfaen"/>
                        <w:sz w:val="16"/>
                        <w:szCs w:val="16"/>
                      </w:rPr>
                      <w:t>Վերլուծություն</w:t>
                    </w:r>
                  </w:p>
                  <w:p w14:paraId="13B526BF" w14:textId="77777777" w:rsidR="004A52D9" w:rsidRDefault="004A52D9" w:rsidP="008C76E0"/>
                </w:txbxContent>
              </v:textbox>
            </v:rect>
            <w10:anchorlock/>
          </v:group>
        </w:pict>
      </w:r>
      <w:r w:rsidR="008C76E0" w:rsidRPr="00BD7577">
        <w:rPr>
          <w:rFonts w:ascii="Sylfaen" w:hAnsi="Sylfaen"/>
          <w:sz w:val="24"/>
          <w:szCs w:val="24"/>
          <w:lang w:val="en-US"/>
        </w:rPr>
        <w:br w:type="page"/>
      </w:r>
    </w:p>
    <w:tbl>
      <w:tblPr>
        <w:tblOverlap w:val="never"/>
        <w:tblW w:w="9528" w:type="dxa"/>
        <w:jc w:val="center"/>
        <w:tblLayout w:type="fixed"/>
        <w:tblCellMar>
          <w:left w:w="10" w:type="dxa"/>
          <w:right w:w="10" w:type="dxa"/>
        </w:tblCellMar>
        <w:tblLook w:val="04A0" w:firstRow="1" w:lastRow="0" w:firstColumn="1" w:lastColumn="0" w:noHBand="0" w:noVBand="1"/>
      </w:tblPr>
      <w:tblGrid>
        <w:gridCol w:w="9528"/>
      </w:tblGrid>
      <w:tr w:rsidR="008C76E0" w:rsidRPr="00BD7577" w14:paraId="64A9D506" w14:textId="77777777" w:rsidTr="008C76E0">
        <w:trPr>
          <w:jc w:val="center"/>
        </w:trPr>
        <w:tc>
          <w:tcPr>
            <w:tcW w:w="9528" w:type="dxa"/>
            <w:shd w:val="clear" w:color="auto" w:fill="FFFFFF"/>
          </w:tcPr>
          <w:p w14:paraId="167D6C20"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lastRenderedPageBreak/>
              <w:t>Հետազոտության մեջ մասնակցության համար հավաքագրումը</w:t>
            </w:r>
          </w:p>
        </w:tc>
      </w:tr>
      <w:tr w:rsidR="008C76E0" w:rsidRPr="00BD7577" w14:paraId="53CBC47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25E395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ED09A98" w14:textId="77777777" w:rsidTr="008C76E0">
        <w:trPr>
          <w:jc w:val="center"/>
        </w:trPr>
        <w:tc>
          <w:tcPr>
            <w:tcW w:w="9528" w:type="dxa"/>
            <w:tcBorders>
              <w:top w:val="single" w:sz="4" w:space="0" w:color="auto"/>
            </w:tcBorders>
            <w:shd w:val="clear" w:color="auto" w:fill="FFFFFF"/>
            <w:vAlign w:val="bottom"/>
          </w:tcPr>
          <w:p w14:paraId="4B3C9944"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Հետազոտության անցկացումը</w:t>
            </w:r>
          </w:p>
        </w:tc>
      </w:tr>
      <w:tr w:rsidR="008C76E0" w:rsidRPr="00BD7577" w14:paraId="2EF9233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53C7B1B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23FF5D4" w14:textId="77777777" w:rsidTr="008C76E0">
        <w:trPr>
          <w:jc w:val="center"/>
        </w:trPr>
        <w:tc>
          <w:tcPr>
            <w:tcW w:w="9528" w:type="dxa"/>
            <w:tcBorders>
              <w:top w:val="single" w:sz="4" w:space="0" w:color="auto"/>
            </w:tcBorders>
            <w:shd w:val="clear" w:color="auto" w:fill="FFFFFF"/>
            <w:vAlign w:val="center"/>
          </w:tcPr>
          <w:p w14:paraId="26C943EF"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Ելակետային տվյալներ</w:t>
            </w:r>
          </w:p>
        </w:tc>
      </w:tr>
      <w:tr w:rsidR="008C76E0" w:rsidRPr="00BD7577" w14:paraId="6BB102A0"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3AC67CDD"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A3C2456" w14:textId="77777777" w:rsidTr="008C76E0">
        <w:trPr>
          <w:jc w:val="center"/>
        </w:trPr>
        <w:tc>
          <w:tcPr>
            <w:tcW w:w="9528" w:type="dxa"/>
            <w:tcBorders>
              <w:top w:val="single" w:sz="4" w:space="0" w:color="auto"/>
            </w:tcBorders>
            <w:shd w:val="clear" w:color="auto" w:fill="FFFFFF"/>
            <w:vAlign w:val="bottom"/>
          </w:tcPr>
          <w:p w14:paraId="00BE93E3"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Վերլուծված ընտրանք</w:t>
            </w:r>
          </w:p>
        </w:tc>
      </w:tr>
      <w:tr w:rsidR="008C76E0" w:rsidRPr="00BD7577" w14:paraId="307D98BA"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604ACBE9"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6F3092C" w14:textId="77777777" w:rsidTr="008C76E0">
        <w:trPr>
          <w:jc w:val="center"/>
        </w:trPr>
        <w:tc>
          <w:tcPr>
            <w:tcW w:w="9528" w:type="dxa"/>
            <w:tcBorders>
              <w:top w:val="single" w:sz="4" w:space="0" w:color="auto"/>
            </w:tcBorders>
            <w:shd w:val="clear" w:color="auto" w:fill="FFFFFF"/>
          </w:tcPr>
          <w:p w14:paraId="5D58E917"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Ելքերն ու դրանց գնահատումը</w:t>
            </w:r>
          </w:p>
        </w:tc>
      </w:tr>
      <w:tr w:rsidR="008C76E0" w:rsidRPr="00BD7577" w14:paraId="1CF83425" w14:textId="77777777" w:rsidTr="008C76E0">
        <w:trPr>
          <w:jc w:val="center"/>
        </w:trPr>
        <w:tc>
          <w:tcPr>
            <w:tcW w:w="9528" w:type="dxa"/>
            <w:tcBorders>
              <w:top w:val="single" w:sz="4" w:space="0" w:color="auto"/>
              <w:left w:val="single" w:sz="4" w:space="0" w:color="auto"/>
              <w:right w:val="single" w:sz="4" w:space="0" w:color="auto"/>
            </w:tcBorders>
            <w:shd w:val="clear" w:color="auto" w:fill="FFFFFF"/>
          </w:tcPr>
          <w:p w14:paraId="24B3B374"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4038C98" w14:textId="77777777" w:rsidTr="008C76E0">
        <w:trPr>
          <w:jc w:val="center"/>
        </w:trPr>
        <w:tc>
          <w:tcPr>
            <w:tcW w:w="9528" w:type="dxa"/>
            <w:tcBorders>
              <w:top w:val="single" w:sz="4" w:space="0" w:color="auto"/>
              <w:bottom w:val="single" w:sz="4" w:space="0" w:color="auto"/>
            </w:tcBorders>
            <w:shd w:val="clear" w:color="auto" w:fill="FFFFFF"/>
            <w:vAlign w:val="bottom"/>
          </w:tcPr>
          <w:p w14:paraId="78F54275" w14:textId="77777777" w:rsidR="008C76E0" w:rsidRPr="00BD7577" w:rsidRDefault="008C76E0" w:rsidP="008C76E0">
            <w:pPr>
              <w:pStyle w:val="Bodytext180"/>
              <w:shd w:val="clear" w:color="auto" w:fill="auto"/>
              <w:tabs>
                <w:tab w:val="left" w:pos="1611"/>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Լրացուցիչ վերլուծություններ</w:t>
            </w:r>
          </w:p>
        </w:tc>
      </w:tr>
      <w:tr w:rsidR="008C76E0" w:rsidRPr="00BD7577" w14:paraId="6E72477F" w14:textId="77777777" w:rsidTr="008C76E0">
        <w:trPr>
          <w:trHeight w:val="479"/>
          <w:jc w:val="center"/>
        </w:trPr>
        <w:tc>
          <w:tcPr>
            <w:tcW w:w="9528" w:type="dxa"/>
            <w:tcBorders>
              <w:top w:val="single" w:sz="4" w:space="0" w:color="auto"/>
              <w:left w:val="single" w:sz="4" w:space="0" w:color="auto"/>
              <w:bottom w:val="single" w:sz="4" w:space="0" w:color="auto"/>
              <w:right w:val="single" w:sz="4" w:space="0" w:color="auto"/>
            </w:tcBorders>
            <w:shd w:val="clear" w:color="auto" w:fill="FFFFFF"/>
          </w:tcPr>
          <w:p w14:paraId="47359A6E"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bl>
    <w:p w14:paraId="312DD5AA" w14:textId="77777777" w:rsidR="008C76E0" w:rsidRPr="00BD7577" w:rsidRDefault="008C76E0" w:rsidP="008C76E0">
      <w:pPr>
        <w:ind w:left="567"/>
        <w:rPr>
          <w:rStyle w:val="Bodytext295pt"/>
          <w:rFonts w:ascii="Sylfaen" w:eastAsia="MS Mincho" w:hAnsi="Sylfaen"/>
          <w:spacing w:val="0"/>
          <w:sz w:val="24"/>
          <w:szCs w:val="24"/>
          <w:lang w:val="en-US"/>
        </w:rPr>
      </w:pPr>
    </w:p>
    <w:p w14:paraId="466A9E6B" w14:textId="77777777" w:rsidR="008C76E0" w:rsidRPr="003129E6" w:rsidRDefault="008C76E0" w:rsidP="00305C5C">
      <w:pPr>
        <w:spacing w:after="160" w:line="360" w:lineRule="auto"/>
        <w:ind w:left="567"/>
        <w:rPr>
          <w:rFonts w:ascii="Sylfaen" w:hAnsi="Sylfaen"/>
          <w:b/>
          <w:sz w:val="24"/>
          <w:szCs w:val="24"/>
        </w:rPr>
      </w:pPr>
      <w:r w:rsidRPr="003129E6">
        <w:rPr>
          <w:rStyle w:val="Bodytext295pt"/>
          <w:rFonts w:ascii="Sylfaen" w:eastAsia="MS Mincho" w:hAnsi="Sylfaen"/>
          <w:b w:val="0"/>
          <w:spacing w:val="0"/>
          <w:sz w:val="24"/>
          <w:szCs w:val="24"/>
        </w:rPr>
        <w:t>Արդյունավետության հիմնական արդյունքների համառոտ ակնարկը</w:t>
      </w:r>
    </w:p>
    <w:p w14:paraId="034C498A" w14:textId="28389C7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աղյուսակներում հավաքված են արդյունավետության հիմնական հետազոտությունների արդյունքները, որոնցով հաստատվում է սույն </w:t>
      </w:r>
      <w:r w:rsidR="0056496B">
        <w:rPr>
          <w:rFonts w:ascii="Sylfaen" w:hAnsi="Sylfaen"/>
          <w:sz w:val="24"/>
          <w:szCs w:val="24"/>
        </w:rPr>
        <w:t>դիմում</w:t>
      </w:r>
      <w:r w:rsidRPr="00BD7577">
        <w:rPr>
          <w:rFonts w:ascii="Sylfaen" w:hAnsi="Sylfaen"/>
          <w:sz w:val="24"/>
          <w:szCs w:val="24"/>
        </w:rPr>
        <w:t>ի համապատասխանությունը: Սույն ամփոփ տեղեկատվությունը հարկ է դիտարկել կլինիկական արդյունավետությանն առնչվող մեկնաբանությունների, ինչպես նա</w:t>
      </w:r>
      <w:r w:rsidR="00C54D75">
        <w:rPr>
          <w:rFonts w:ascii="Sylfaen" w:hAnsi="Sylfaen"/>
          <w:sz w:val="24"/>
          <w:szCs w:val="24"/>
        </w:rPr>
        <w:t>և</w:t>
      </w:r>
      <w:r w:rsidRPr="00BD7577">
        <w:rPr>
          <w:rFonts w:ascii="Sylfaen" w:hAnsi="Sylfaen"/>
          <w:sz w:val="24"/>
          <w:szCs w:val="24"/>
        </w:rPr>
        <w:t xml:space="preserve"> «ռիսկ-օգուտ» հարաբերակցության ակնարկի հետ համադրության մեջ (տե՛ս</w:t>
      </w:r>
      <w:r w:rsidRPr="003129E6">
        <w:rPr>
          <w:rFonts w:ascii="Sylfaen" w:hAnsi="Sylfaen"/>
          <w:sz w:val="24"/>
          <w:szCs w:val="24"/>
        </w:rPr>
        <w:t> </w:t>
      </w:r>
      <w:r w:rsidRPr="00BD7577">
        <w:rPr>
          <w:rFonts w:ascii="Sylfaen" w:hAnsi="Sylfaen"/>
          <w:sz w:val="24"/>
          <w:szCs w:val="24"/>
        </w:rPr>
        <w:t>հետ</w:t>
      </w:r>
      <w:r w:rsidR="00C54D75">
        <w:rPr>
          <w:rFonts w:ascii="Sylfaen" w:hAnsi="Sylfaen"/>
          <w:sz w:val="24"/>
          <w:szCs w:val="24"/>
        </w:rPr>
        <w:t>և</w:t>
      </w:r>
      <w:r w:rsidRPr="00BD7577">
        <w:rPr>
          <w:rFonts w:ascii="Sylfaen" w:hAnsi="Sylfaen"/>
          <w:sz w:val="24"/>
          <w:szCs w:val="24"/>
        </w:rPr>
        <w:t xml:space="preserve">յալ բաժինները): </w:t>
      </w:r>
    </w:p>
    <w:p w14:paraId="20ADDE5E" w14:textId="77777777" w:rsidR="008C76E0" w:rsidRDefault="008C76E0" w:rsidP="00305C5C">
      <w:pPr>
        <w:widowControl/>
        <w:spacing w:after="160" w:line="360" w:lineRule="auto"/>
        <w:rPr>
          <w:rFonts w:ascii="Sylfaen" w:hAnsi="Sylfaen"/>
          <w:sz w:val="24"/>
          <w:szCs w:val="24"/>
        </w:rPr>
      </w:pPr>
      <w:r>
        <w:rPr>
          <w:rFonts w:ascii="Sylfaen" w:hAnsi="Sylfaen"/>
          <w:sz w:val="24"/>
          <w:szCs w:val="24"/>
        </w:rPr>
        <w:br w:type="page"/>
      </w:r>
    </w:p>
    <w:p w14:paraId="49388E92" w14:textId="77777777" w:rsidR="008C76E0" w:rsidRPr="003129E6" w:rsidRDefault="008C76E0" w:rsidP="00305C5C">
      <w:pPr>
        <w:spacing w:after="160" w:line="360" w:lineRule="auto"/>
        <w:jc w:val="center"/>
        <w:rPr>
          <w:rFonts w:ascii="Sylfaen" w:hAnsi="Sylfaen"/>
          <w:b/>
          <w:sz w:val="24"/>
          <w:szCs w:val="24"/>
        </w:rPr>
      </w:pPr>
      <w:r w:rsidRPr="003129E6">
        <w:rPr>
          <w:rFonts w:ascii="Sylfaen" w:hAnsi="Sylfaen"/>
          <w:b/>
          <w:sz w:val="24"/>
          <w:szCs w:val="24"/>
        </w:rPr>
        <w:lastRenderedPageBreak/>
        <w:t>Հետազոտության հիմնական արդյունքների մասին համառոտ տեղեկատվություն (արդյունավետության հետազոտություն)</w:t>
      </w:r>
    </w:p>
    <w:tbl>
      <w:tblPr>
        <w:tblOverlap w:val="never"/>
        <w:tblW w:w="11345" w:type="dxa"/>
        <w:jc w:val="center"/>
        <w:tblLayout w:type="fixed"/>
        <w:tblCellMar>
          <w:left w:w="10" w:type="dxa"/>
          <w:right w:w="10" w:type="dxa"/>
        </w:tblCellMar>
        <w:tblLook w:val="04A0" w:firstRow="1" w:lastRow="0" w:firstColumn="1" w:lastColumn="0" w:noHBand="0" w:noVBand="1"/>
      </w:tblPr>
      <w:tblGrid>
        <w:gridCol w:w="3263"/>
        <w:gridCol w:w="124"/>
        <w:gridCol w:w="1952"/>
        <w:gridCol w:w="427"/>
        <w:gridCol w:w="388"/>
        <w:gridCol w:w="1287"/>
        <w:gridCol w:w="422"/>
        <w:gridCol w:w="621"/>
        <w:gridCol w:w="310"/>
        <w:gridCol w:w="912"/>
        <w:gridCol w:w="1639"/>
      </w:tblGrid>
      <w:tr w:rsidR="008C76E0" w:rsidRPr="00F72577" w14:paraId="50F89EA4"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19C2606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Անվանումը (ինչպես նշված է հետազոտության անցկացման մասին հաշվետվության մեջ)</w:t>
            </w:r>
          </w:p>
        </w:tc>
      </w:tr>
      <w:tr w:rsidR="008C76E0" w:rsidRPr="00F72577" w14:paraId="0E470AD0" w14:textId="77777777" w:rsidTr="008C76E0">
        <w:trPr>
          <w:jc w:val="center"/>
        </w:trPr>
        <w:tc>
          <w:tcPr>
            <w:tcW w:w="3263" w:type="dxa"/>
            <w:tcBorders>
              <w:top w:val="single" w:sz="4" w:space="0" w:color="auto"/>
              <w:left w:val="single" w:sz="4" w:space="0" w:color="auto"/>
            </w:tcBorders>
            <w:shd w:val="clear" w:color="auto" w:fill="FFFFFF"/>
          </w:tcPr>
          <w:p w14:paraId="6CEAC9E6"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նույնականացման համարը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065071F9"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Ծածկագիրը</w:t>
            </w:r>
          </w:p>
          <w:p w14:paraId="573102D8"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բոլոր ծածկագրերի ցանկը, որոնք սկսվում են արձանագրության համարից, որին հետ</w:t>
            </w:r>
            <w:r w:rsidR="00C54D75">
              <w:rPr>
                <w:rStyle w:val="Bodytext1811pt"/>
                <w:rFonts w:ascii="Sylfaen" w:hAnsi="Sylfaen"/>
                <w:sz w:val="24"/>
                <w:szCs w:val="24"/>
              </w:rPr>
              <w:t>և</w:t>
            </w:r>
            <w:r w:rsidRPr="00F72577">
              <w:rPr>
                <w:rStyle w:val="Bodytext1811pt"/>
                <w:rFonts w:ascii="Sylfaen" w:hAnsi="Sylfaen"/>
                <w:sz w:val="24"/>
                <w:szCs w:val="24"/>
              </w:rPr>
              <w:t xml:space="preserve">ում է (առկայության դեպքում) կլինիկական հետազոտությունների Եվրոպական տվյալների բազայի համարը, ռանդոմիզացված կլինիկական հետազոտության միջազգային ստանդարտ համարը, </w:t>
            </w:r>
            <w:r w:rsidR="00C54D75">
              <w:rPr>
                <w:rStyle w:val="Bodytext1811pt"/>
                <w:rFonts w:ascii="Sylfaen" w:hAnsi="Sylfaen"/>
                <w:sz w:val="24"/>
                <w:szCs w:val="24"/>
              </w:rPr>
              <w:t>և</w:t>
            </w:r>
            <w:r w:rsidRPr="00F72577">
              <w:rPr>
                <w:rStyle w:val="Bodytext1811pt"/>
                <w:rFonts w:ascii="Sylfaen" w:hAnsi="Sylfaen"/>
                <w:sz w:val="24"/>
                <w:szCs w:val="24"/>
              </w:rPr>
              <w:t xml:space="preserve"> այլ ծածկագրեր՝ հրապարակումների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հղում կատարելու համար </w:t>
            </w:r>
          </w:p>
        </w:tc>
      </w:tr>
      <w:tr w:rsidR="008C76E0" w:rsidRPr="00F72577" w14:paraId="249103DC" w14:textId="77777777" w:rsidTr="008C76E0">
        <w:trPr>
          <w:jc w:val="center"/>
        </w:trPr>
        <w:tc>
          <w:tcPr>
            <w:tcW w:w="3263" w:type="dxa"/>
            <w:vMerge w:val="restart"/>
            <w:tcBorders>
              <w:top w:val="single" w:sz="4" w:space="0" w:color="auto"/>
              <w:left w:val="single" w:sz="4" w:space="0" w:color="auto"/>
            </w:tcBorders>
            <w:shd w:val="clear" w:color="auto" w:fill="FFFFFF"/>
          </w:tcPr>
          <w:p w14:paraId="5676881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Հետազոտության դիզայնը</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1C4F6227"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2C75217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նկարագրեք հետազոտության դիզայնի առանցքային տարրերը (խաչաձ</w:t>
            </w:r>
            <w:r w:rsidR="00C54D75">
              <w:rPr>
                <w:rStyle w:val="Bodytext1811pt"/>
                <w:rFonts w:ascii="Sylfaen" w:hAnsi="Sylfaen"/>
                <w:sz w:val="24"/>
                <w:szCs w:val="24"/>
              </w:rPr>
              <w:t>և</w:t>
            </w:r>
            <w:r w:rsidRPr="00F72577">
              <w:rPr>
                <w:rStyle w:val="Bodytext1811pt"/>
                <w:rFonts w:ascii="Sylfaen" w:hAnsi="Sylfaen"/>
                <w:sz w:val="24"/>
                <w:szCs w:val="24"/>
              </w:rPr>
              <w:t xml:space="preserve">, զուգահեռ, գործոնային, դոզայի ավելացում նախատեսող, ֆիքսված դոզայի էֆեկտի վերլուծությամբ), ներառյալ՝ ռանդոմիզացմամբ, «կուրացմամբ», բաշխման քողարկմամբ, միակենտրոն </w:t>
            </w:r>
            <w:r w:rsidR="00C54D75">
              <w:rPr>
                <w:rStyle w:val="Bodytext1811pt"/>
                <w:rFonts w:ascii="Sylfaen" w:hAnsi="Sylfaen"/>
                <w:sz w:val="24"/>
                <w:szCs w:val="24"/>
              </w:rPr>
              <w:t>և</w:t>
            </w:r>
            <w:r w:rsidRPr="00F72577">
              <w:rPr>
                <w:rStyle w:val="Bodytext1811pt"/>
                <w:rFonts w:ascii="Sylfaen" w:hAnsi="Sylfaen"/>
                <w:sz w:val="24"/>
                <w:szCs w:val="24"/>
              </w:rPr>
              <w:t xml:space="preserve"> բազմակենտրոն հետազոտությունները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w:t>
            </w:r>
          </w:p>
        </w:tc>
      </w:tr>
      <w:tr w:rsidR="008C76E0" w:rsidRPr="00F72577" w14:paraId="78856483" w14:textId="77777777" w:rsidTr="008C76E0">
        <w:trPr>
          <w:jc w:val="center"/>
        </w:trPr>
        <w:tc>
          <w:tcPr>
            <w:tcW w:w="3263" w:type="dxa"/>
            <w:vMerge/>
            <w:tcBorders>
              <w:left w:val="single" w:sz="4" w:space="0" w:color="auto"/>
            </w:tcBorders>
            <w:shd w:val="clear" w:color="auto" w:fill="FFFFFF"/>
          </w:tcPr>
          <w:p w14:paraId="6A4DC28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vAlign w:val="center"/>
          </w:tcPr>
          <w:p w14:paraId="442D5478"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հիմնական էտապի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A0E50BE" w14:textId="77777777" w:rsidR="008C76E0" w:rsidRPr="008C76E0" w:rsidRDefault="008C76E0" w:rsidP="008C76E0">
            <w:pPr>
              <w:pStyle w:val="Bodytext180"/>
              <w:shd w:val="clear" w:color="auto" w:fill="auto"/>
              <w:spacing w:before="0" w:after="120" w:line="240" w:lineRule="auto"/>
              <w:ind w:left="140" w:right="195" w:firstLine="0"/>
              <w:rPr>
                <w:rFonts w:ascii="Sylfaen" w:hAnsi="Sylfaen"/>
                <w:b w:val="0"/>
                <w:sz w:val="24"/>
                <w:szCs w:val="24"/>
                <w:lang w:val="hy-AM"/>
              </w:rPr>
            </w:pPr>
            <w:r w:rsidRPr="00F72577">
              <w:rPr>
                <w:rStyle w:val="Bodytext1811pt"/>
                <w:rFonts w:ascii="Sylfaen" w:hAnsi="Sylfaen"/>
                <w:sz w:val="24"/>
                <w:szCs w:val="24"/>
              </w:rPr>
              <w:t>նախապատրաստական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23C5800" w14:textId="77777777" w:rsidR="008C76E0" w:rsidRPr="00F72577" w:rsidRDefault="008C76E0" w:rsidP="008C76E0">
            <w:pPr>
              <w:pStyle w:val="Bodytext180"/>
              <w:shd w:val="clear" w:color="auto" w:fill="auto"/>
              <w:spacing w:before="0" w:after="120" w:line="240" w:lineRule="auto"/>
              <w:ind w:left="140" w:right="195" w:firstLine="0"/>
              <w:rPr>
                <w:rFonts w:ascii="Sylfaen" w:hAnsi="Sylfaen"/>
                <w:b w:val="0"/>
                <w:sz w:val="24"/>
                <w:szCs w:val="24"/>
              </w:rPr>
            </w:pPr>
            <w:r w:rsidRPr="00F72577">
              <w:rPr>
                <w:rStyle w:val="Bodytext1811pt"/>
                <w:rFonts w:ascii="Sylfaen" w:hAnsi="Sylfaen"/>
                <w:sz w:val="24"/>
                <w:szCs w:val="24"/>
              </w:rPr>
              <w:t>լրացուցիչ բուժման փուլի 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tc>
        <w:tc>
          <w:tcPr>
            <w:tcW w:w="3904" w:type="dxa"/>
            <w:gridSpan w:val="5"/>
            <w:tcBorders>
              <w:top w:val="single" w:sz="4" w:space="0" w:color="auto"/>
              <w:right w:val="single" w:sz="4" w:space="0" w:color="auto"/>
            </w:tcBorders>
            <w:shd w:val="clear" w:color="auto" w:fill="FFFFFF"/>
          </w:tcPr>
          <w:p w14:paraId="5008BCB5"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w:t>
            </w:r>
          </w:p>
          <w:p w14:paraId="7A3C5B3E" w14:textId="77777777" w:rsidR="008C76E0" w:rsidRPr="00F72577" w:rsidRDefault="008C76E0" w:rsidP="008C76E0">
            <w:pPr>
              <w:pStyle w:val="Bodytext180"/>
              <w:shd w:val="clear" w:color="auto" w:fill="auto"/>
              <w:spacing w:before="0" w:after="120" w:line="240" w:lineRule="auto"/>
              <w:ind w:left="68" w:right="86" w:firstLine="0"/>
              <w:rPr>
                <w:rFonts w:ascii="Sylfaen" w:hAnsi="Sylfaen"/>
                <w:b w:val="0"/>
                <w:sz w:val="24"/>
                <w:szCs w:val="24"/>
              </w:rPr>
            </w:pPr>
            <w:r w:rsidRPr="00F72577">
              <w:rPr>
                <w:rStyle w:val="Bodytext1811pt"/>
                <w:rFonts w:ascii="Sylfaen" w:hAnsi="Sylfaen"/>
                <w:sz w:val="24"/>
                <w:szCs w:val="24"/>
              </w:rPr>
              <w:t>ժամանակը կիրառելի չէ ժամանակը կիրառելի չէ</w:t>
            </w:r>
          </w:p>
        </w:tc>
      </w:tr>
      <w:tr w:rsidR="008C76E0" w:rsidRPr="00F72577" w14:paraId="2A151BEE" w14:textId="77777777" w:rsidTr="008C76E0">
        <w:trPr>
          <w:jc w:val="center"/>
        </w:trPr>
        <w:tc>
          <w:tcPr>
            <w:tcW w:w="3263" w:type="dxa"/>
            <w:tcBorders>
              <w:top w:val="single" w:sz="4" w:space="0" w:color="auto"/>
              <w:left w:val="single" w:sz="4" w:space="0" w:color="auto"/>
            </w:tcBorders>
            <w:shd w:val="clear" w:color="auto" w:fill="FFFFFF"/>
          </w:tcPr>
          <w:p w14:paraId="306DF3B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Վարկած</w:t>
            </w:r>
          </w:p>
        </w:tc>
        <w:tc>
          <w:tcPr>
            <w:tcW w:w="8082" w:type="dxa"/>
            <w:gridSpan w:val="10"/>
            <w:tcBorders>
              <w:top w:val="single" w:sz="4" w:space="0" w:color="auto"/>
              <w:left w:val="single" w:sz="4" w:space="0" w:color="auto"/>
              <w:right w:val="single" w:sz="4" w:space="0" w:color="auto"/>
            </w:tcBorders>
            <w:shd w:val="clear" w:color="auto" w:fill="FFFFFF"/>
          </w:tcPr>
          <w:p w14:paraId="052AC21E"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առավելությունների առկայությունը </w:t>
            </w:r>
          </w:p>
          <w:p w14:paraId="5465B331"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 xml:space="preserve">համանմանությունը </w:t>
            </w:r>
          </w:p>
          <w:p w14:paraId="5C9844C7" w14:textId="77777777" w:rsidR="008C76E0" w:rsidRPr="00F72577" w:rsidRDefault="008C76E0" w:rsidP="008C76E0">
            <w:pPr>
              <w:pStyle w:val="Bodytext180"/>
              <w:shd w:val="clear" w:color="auto" w:fill="auto"/>
              <w:spacing w:before="0" w:after="120" w:line="240" w:lineRule="auto"/>
              <w:ind w:left="140" w:firstLine="0"/>
              <w:rPr>
                <w:rStyle w:val="Bodytext1811pt"/>
                <w:rFonts w:ascii="Sylfaen" w:hAnsi="Sylfaen"/>
                <w:sz w:val="24"/>
                <w:szCs w:val="24"/>
              </w:rPr>
            </w:pPr>
            <w:r w:rsidRPr="00F72577">
              <w:rPr>
                <w:rStyle w:val="Bodytext1811pt"/>
                <w:rFonts w:ascii="Sylfaen" w:hAnsi="Sylfaen"/>
                <w:sz w:val="24"/>
                <w:szCs w:val="24"/>
              </w:rPr>
              <w:t>ոչ պակաս արդյունավետությունը</w:t>
            </w:r>
          </w:p>
          <w:p w14:paraId="5893684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ամփոփիչ՝ նշել</w:t>
            </w:r>
          </w:p>
        </w:tc>
      </w:tr>
      <w:tr w:rsidR="008C76E0" w:rsidRPr="00F72577" w14:paraId="115E2ED1" w14:textId="77777777" w:rsidTr="008C76E0">
        <w:trPr>
          <w:jc w:val="center"/>
        </w:trPr>
        <w:tc>
          <w:tcPr>
            <w:tcW w:w="3263" w:type="dxa"/>
            <w:vMerge w:val="restart"/>
            <w:tcBorders>
              <w:top w:val="single" w:sz="4" w:space="0" w:color="auto"/>
              <w:left w:val="single" w:sz="4" w:space="0" w:color="auto"/>
            </w:tcBorders>
            <w:shd w:val="clear" w:color="auto" w:fill="FFFFFF"/>
          </w:tcPr>
          <w:p w14:paraId="06DD37A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Բուժման խմբերը (ավելացրե՛ք բուժման խմբերի նկարագրության համար անհրաժեշտ քանակությամբ տողեր)</w:t>
            </w:r>
          </w:p>
        </w:tc>
        <w:tc>
          <w:tcPr>
            <w:tcW w:w="4178" w:type="dxa"/>
            <w:gridSpan w:val="5"/>
            <w:tcBorders>
              <w:top w:val="single" w:sz="4" w:space="0" w:color="auto"/>
              <w:left w:val="single" w:sz="4" w:space="0" w:color="auto"/>
            </w:tcBorders>
            <w:shd w:val="clear" w:color="auto" w:fill="FFFFFF"/>
          </w:tcPr>
          <w:p w14:paraId="6FACD25D"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խմբի ծածկագրված նշագիրը (արդյունքների նկարագրությամբ նշե՛ք հապավումը՝ բաժնի աղյուսակում հետագա օգտագործման համար) </w:t>
            </w:r>
          </w:p>
        </w:tc>
        <w:tc>
          <w:tcPr>
            <w:tcW w:w="3904" w:type="dxa"/>
            <w:gridSpan w:val="5"/>
            <w:tcBorders>
              <w:top w:val="single" w:sz="4" w:space="0" w:color="auto"/>
              <w:left w:val="single" w:sz="4" w:space="0" w:color="auto"/>
              <w:right w:val="single" w:sz="4" w:space="0" w:color="auto"/>
            </w:tcBorders>
            <w:shd w:val="clear" w:color="auto" w:fill="FFFFFF"/>
          </w:tcPr>
          <w:p w14:paraId="540F2BAD"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բուժումը</w:t>
            </w:r>
          </w:p>
          <w:p w14:paraId="650B694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01D2DC68" w14:textId="77777777" w:rsidR="008C76E0" w:rsidRPr="008C76E0" w:rsidRDefault="008C76E0" w:rsidP="008C76E0">
            <w:pPr>
              <w:pStyle w:val="Bodytext180"/>
              <w:shd w:val="clear" w:color="auto" w:fill="auto"/>
              <w:spacing w:before="0" w:after="120" w:line="240" w:lineRule="auto"/>
              <w:ind w:left="96" w:right="66" w:firstLine="0"/>
              <w:rPr>
                <w:rFonts w:ascii="Sylfaen" w:hAnsi="Sylfaen"/>
                <w:b w:val="0"/>
                <w:sz w:val="24"/>
                <w:szCs w:val="24"/>
                <w:lang w:val="hy-AM"/>
              </w:rPr>
            </w:pPr>
            <w:r w:rsidRPr="00F72577">
              <w:rPr>
                <w:rStyle w:val="Bodytext1811pt"/>
                <w:rFonts w:ascii="Sylfaen" w:hAnsi="Sylfaen"/>
                <w:sz w:val="24"/>
                <w:szCs w:val="24"/>
              </w:rPr>
              <w:t>ռանդոմիզացված սուբյեկտների քանակը</w:t>
            </w:r>
          </w:p>
        </w:tc>
      </w:tr>
      <w:tr w:rsidR="008C76E0" w:rsidRPr="00F72577" w14:paraId="46B08CE4" w14:textId="77777777" w:rsidTr="008C76E0">
        <w:trPr>
          <w:jc w:val="center"/>
        </w:trPr>
        <w:tc>
          <w:tcPr>
            <w:tcW w:w="3263" w:type="dxa"/>
            <w:vMerge/>
            <w:tcBorders>
              <w:left w:val="single" w:sz="4" w:space="0" w:color="auto"/>
            </w:tcBorders>
            <w:shd w:val="clear" w:color="auto" w:fill="FFFFFF"/>
          </w:tcPr>
          <w:p w14:paraId="6536C1C5"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00B49C1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2BD55CC0"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3353FA48"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37B57AE7" w14:textId="77777777" w:rsidR="008C76E0"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lang w:val="en-US"/>
              </w:rPr>
            </w:pPr>
            <w:r w:rsidRPr="00F72577">
              <w:rPr>
                <w:rStyle w:val="Bodytext1811pt"/>
                <w:rFonts w:ascii="Sylfaen" w:hAnsi="Sylfaen"/>
                <w:sz w:val="24"/>
                <w:szCs w:val="24"/>
              </w:rPr>
              <w:t>ռանդոմիզացված սուբյեկտների քանակը</w:t>
            </w:r>
          </w:p>
          <w:p w14:paraId="4838D0D6" w14:textId="77777777" w:rsidR="008C76E0" w:rsidRPr="00C73AC5"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7F3254DD" w14:textId="77777777" w:rsidTr="008C76E0">
        <w:trPr>
          <w:jc w:val="center"/>
        </w:trPr>
        <w:tc>
          <w:tcPr>
            <w:tcW w:w="3263" w:type="dxa"/>
            <w:vMerge/>
            <w:tcBorders>
              <w:left w:val="single" w:sz="4" w:space="0" w:color="auto"/>
            </w:tcBorders>
            <w:shd w:val="clear" w:color="auto" w:fill="FFFFFF"/>
          </w:tcPr>
          <w:p w14:paraId="7E19D6EC" w14:textId="77777777" w:rsidR="008C76E0" w:rsidRPr="00F72577" w:rsidRDefault="008C76E0" w:rsidP="008C76E0">
            <w:pPr>
              <w:spacing w:after="120" w:line="240" w:lineRule="auto"/>
              <w:rPr>
                <w:rFonts w:ascii="Sylfaen" w:hAnsi="Sylfaen"/>
                <w:sz w:val="24"/>
                <w:szCs w:val="24"/>
              </w:rPr>
            </w:pPr>
          </w:p>
        </w:tc>
        <w:tc>
          <w:tcPr>
            <w:tcW w:w="4178" w:type="dxa"/>
            <w:gridSpan w:val="5"/>
            <w:tcBorders>
              <w:top w:val="single" w:sz="4" w:space="0" w:color="auto"/>
              <w:left w:val="single" w:sz="4" w:space="0" w:color="auto"/>
            </w:tcBorders>
            <w:shd w:val="clear" w:color="auto" w:fill="FFFFFF"/>
          </w:tcPr>
          <w:p w14:paraId="4057229B"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խմբի ծածկագրված նշագիրը</w:t>
            </w:r>
          </w:p>
        </w:tc>
        <w:tc>
          <w:tcPr>
            <w:tcW w:w="3904" w:type="dxa"/>
            <w:gridSpan w:val="5"/>
            <w:tcBorders>
              <w:top w:val="single" w:sz="4" w:space="0" w:color="auto"/>
              <w:left w:val="single" w:sz="4" w:space="0" w:color="auto"/>
              <w:right w:val="single" w:sz="4" w:space="0" w:color="auto"/>
            </w:tcBorders>
            <w:shd w:val="clear" w:color="auto" w:fill="FFFFFF"/>
          </w:tcPr>
          <w:p w14:paraId="69D76C5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բուժումը</w:t>
            </w:r>
          </w:p>
          <w:p w14:paraId="08647C96"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տ</w:t>
            </w:r>
            <w:r w:rsidR="00C54D75">
              <w:rPr>
                <w:rStyle w:val="Bodytext1811pt"/>
                <w:rFonts w:ascii="Sylfaen" w:hAnsi="Sylfaen"/>
                <w:sz w:val="24"/>
                <w:szCs w:val="24"/>
              </w:rPr>
              <w:t>և</w:t>
            </w:r>
            <w:r w:rsidRPr="00F72577">
              <w:rPr>
                <w:rStyle w:val="Bodytext1811pt"/>
                <w:rFonts w:ascii="Sylfaen" w:hAnsi="Sylfaen"/>
                <w:sz w:val="24"/>
                <w:szCs w:val="24"/>
              </w:rPr>
              <w:t>ողությունը</w:t>
            </w:r>
          </w:p>
          <w:p w14:paraId="120C2956" w14:textId="77777777" w:rsidR="008C76E0" w:rsidRPr="00F72577" w:rsidRDefault="008C76E0" w:rsidP="008C76E0">
            <w:pPr>
              <w:pStyle w:val="Bodytext180"/>
              <w:shd w:val="clear" w:color="auto" w:fill="auto"/>
              <w:spacing w:before="0" w:after="120" w:line="240" w:lineRule="auto"/>
              <w:ind w:left="96" w:right="66" w:firstLine="0"/>
              <w:rPr>
                <w:rStyle w:val="Bodytext1811pt"/>
                <w:rFonts w:ascii="Sylfaen" w:hAnsi="Sylfaen"/>
                <w:sz w:val="24"/>
                <w:szCs w:val="24"/>
              </w:rPr>
            </w:pPr>
            <w:r w:rsidRPr="00F72577">
              <w:rPr>
                <w:rStyle w:val="Bodytext1811pt"/>
                <w:rFonts w:ascii="Sylfaen" w:hAnsi="Sylfaen"/>
                <w:sz w:val="24"/>
                <w:szCs w:val="24"/>
              </w:rPr>
              <w:t>ռանդոմիզացված սուբյեկտների քանակը՝</w:t>
            </w:r>
          </w:p>
          <w:p w14:paraId="779A8D79"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p>
        </w:tc>
      </w:tr>
      <w:tr w:rsidR="008C76E0" w:rsidRPr="00F72577" w14:paraId="4129C065" w14:textId="77777777" w:rsidTr="008C76E0">
        <w:trPr>
          <w:jc w:val="center"/>
        </w:trPr>
        <w:tc>
          <w:tcPr>
            <w:tcW w:w="3263" w:type="dxa"/>
            <w:tcBorders>
              <w:top w:val="single" w:sz="4" w:space="0" w:color="auto"/>
              <w:left w:val="single" w:sz="4" w:space="0" w:color="auto"/>
              <w:bottom w:val="single" w:sz="4" w:space="0" w:color="auto"/>
            </w:tcBorders>
            <w:shd w:val="clear" w:color="auto" w:fill="FFFFFF"/>
          </w:tcPr>
          <w:p w14:paraId="48EE9081"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Կլինիկական հետազոտության կետերը (ավելացրե՛ք կետերի նկարագրության համար անհրաժեշտ քանակով տողեր </w:t>
            </w:r>
          </w:p>
        </w:tc>
        <w:tc>
          <w:tcPr>
            <w:tcW w:w="2076" w:type="dxa"/>
            <w:gridSpan w:val="2"/>
            <w:tcBorders>
              <w:top w:val="single" w:sz="4" w:space="0" w:color="auto"/>
              <w:left w:val="single" w:sz="4" w:space="0" w:color="auto"/>
            </w:tcBorders>
            <w:shd w:val="clear" w:color="auto" w:fill="FFFFFF"/>
          </w:tcPr>
          <w:p w14:paraId="032A8633"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համակցված</w:t>
            </w:r>
          </w:p>
        </w:tc>
        <w:tc>
          <w:tcPr>
            <w:tcW w:w="2102" w:type="dxa"/>
            <w:gridSpan w:val="3"/>
            <w:tcBorders>
              <w:top w:val="single" w:sz="4" w:space="0" w:color="auto"/>
              <w:left w:val="single" w:sz="4" w:space="0" w:color="auto"/>
            </w:tcBorders>
            <w:shd w:val="clear" w:color="auto" w:fill="FFFFFF"/>
          </w:tcPr>
          <w:p w14:paraId="116B0422"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 </w:t>
            </w:r>
            <w:r w:rsidRPr="00F72577">
              <w:rPr>
                <w:rStyle w:val="Bodytext1811pt"/>
                <w:rFonts w:ascii="Sylfaen" w:hAnsi="Sylfaen"/>
                <w:sz w:val="24"/>
                <w:szCs w:val="24"/>
              </w:rPr>
              <w:t>(նշե՛ք</w:t>
            </w:r>
            <w:r w:rsidRPr="00F72577">
              <w:rPr>
                <w:rFonts w:ascii="Sylfaen" w:hAnsi="Sylfaen"/>
                <w:b w:val="0"/>
                <w:sz w:val="24"/>
                <w:szCs w:val="24"/>
              </w:rPr>
              <w:t xml:space="preserve"> </w:t>
            </w:r>
            <w:r w:rsidRPr="00F72577">
              <w:rPr>
                <w:rStyle w:val="Bodytext1811pt"/>
                <w:rFonts w:ascii="Sylfaen" w:hAnsi="Sylfaen"/>
                <w:sz w:val="24"/>
                <w:szCs w:val="24"/>
              </w:rPr>
              <w:t>հապավումը՝</w:t>
            </w:r>
            <w:r w:rsidRPr="00F72577">
              <w:rPr>
                <w:rFonts w:ascii="Sylfaen" w:hAnsi="Sylfaen"/>
                <w:b w:val="0"/>
                <w:sz w:val="24"/>
                <w:szCs w:val="24"/>
              </w:rPr>
              <w:t xml:space="preserve"> </w:t>
            </w:r>
            <w:r w:rsidRPr="00F72577">
              <w:rPr>
                <w:rStyle w:val="Bodytext1811pt"/>
                <w:rFonts w:ascii="Sylfaen" w:hAnsi="Sylfaen"/>
                <w:sz w:val="24"/>
                <w:szCs w:val="24"/>
              </w:rPr>
              <w:t>հետագա օգտագործման</w:t>
            </w:r>
            <w:r w:rsidRPr="00F72577">
              <w:rPr>
                <w:rFonts w:ascii="Sylfaen" w:hAnsi="Sylfaen"/>
                <w:b w:val="0"/>
                <w:sz w:val="24"/>
                <w:szCs w:val="24"/>
              </w:rPr>
              <w:t xml:space="preserve"> </w:t>
            </w:r>
            <w:r w:rsidRPr="00F72577">
              <w:rPr>
                <w:rStyle w:val="Bodytext1811pt"/>
                <w:rFonts w:ascii="Sylfaen" w:hAnsi="Sylfaen"/>
                <w:sz w:val="24"/>
                <w:szCs w:val="24"/>
              </w:rPr>
              <w:t>համար</w:t>
            </w:r>
          </w:p>
        </w:tc>
        <w:tc>
          <w:tcPr>
            <w:tcW w:w="3904" w:type="dxa"/>
            <w:gridSpan w:val="5"/>
            <w:tcBorders>
              <w:top w:val="single" w:sz="4" w:space="0" w:color="auto"/>
              <w:left w:val="single" w:sz="4" w:space="0" w:color="auto"/>
              <w:right w:val="single" w:sz="4" w:space="0" w:color="auto"/>
            </w:tcBorders>
            <w:shd w:val="clear" w:color="auto" w:fill="FFFFFF"/>
          </w:tcPr>
          <w:p w14:paraId="518A4945"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կլինիկական հետազոտության կամայական տեքստը (բերե՛ք համառոտ նկարագրությունը).</w:t>
            </w:r>
          </w:p>
        </w:tc>
      </w:tr>
      <w:tr w:rsidR="008C76E0" w:rsidRPr="00F72577" w14:paraId="6472BD94" w14:textId="77777777" w:rsidTr="008C76E0">
        <w:trPr>
          <w:jc w:val="center"/>
        </w:trPr>
        <w:tc>
          <w:tcPr>
            <w:tcW w:w="3263" w:type="dxa"/>
            <w:vMerge w:val="restart"/>
            <w:tcBorders>
              <w:top w:val="single" w:sz="4" w:space="0" w:color="auto"/>
              <w:left w:val="single" w:sz="4" w:space="0" w:color="auto"/>
            </w:tcBorders>
            <w:shd w:val="clear" w:color="auto" w:fill="FFFFFF"/>
            <w:vAlign w:val="center"/>
          </w:tcPr>
          <w:p w14:paraId="79C6C4D8"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որպես երկրորդական կլինիկական կետեր նշե՛ք արդյունքների նկարագրությամբ բաժնում նշված առավել ակտուալ կետերը) </w:t>
            </w:r>
          </w:p>
        </w:tc>
        <w:tc>
          <w:tcPr>
            <w:tcW w:w="2076" w:type="dxa"/>
            <w:gridSpan w:val="2"/>
            <w:tcBorders>
              <w:top w:val="single" w:sz="4" w:space="0" w:color="auto"/>
              <w:left w:val="single" w:sz="4" w:space="0" w:color="auto"/>
            </w:tcBorders>
            <w:shd w:val="clear" w:color="auto" w:fill="FFFFFF"/>
            <w:vAlign w:val="bottom"/>
          </w:tcPr>
          <w:p w14:paraId="597A90B9" w14:textId="77777777" w:rsidR="008C76E0" w:rsidRPr="00F72577" w:rsidRDefault="008C76E0" w:rsidP="008C76E0">
            <w:pPr>
              <w:pStyle w:val="Bodytext180"/>
              <w:shd w:val="clear" w:color="auto" w:fill="auto"/>
              <w:spacing w:before="0" w:after="120" w:line="240" w:lineRule="auto"/>
              <w:ind w:left="81" w:firstLine="0"/>
              <w:rPr>
                <w:rFonts w:ascii="Sylfaen" w:hAnsi="Sylfaen"/>
                <w:b w:val="0"/>
                <w:sz w:val="24"/>
                <w:szCs w:val="24"/>
              </w:rPr>
            </w:pPr>
            <w:r w:rsidRPr="00F72577">
              <w:rPr>
                <w:rStyle w:val="Bodytext1811pt"/>
                <w:rFonts w:ascii="Sylfaen" w:hAnsi="Sylfaen"/>
                <w:sz w:val="24"/>
                <w:szCs w:val="24"/>
              </w:rPr>
              <w:t xml:space="preserve">կլինիկական </w:t>
            </w:r>
            <w:r w:rsidRPr="00F72577">
              <w:rPr>
                <w:rFonts w:ascii="Sylfaen" w:hAnsi="Sylfaen" w:cs="Sylfaen"/>
                <w:b w:val="0"/>
                <w:sz w:val="24"/>
                <w:szCs w:val="24"/>
              </w:rPr>
              <w:t xml:space="preserve">հետազոտության </w:t>
            </w:r>
            <w:r w:rsidRPr="00F72577">
              <w:rPr>
                <w:rStyle w:val="Bodytext1811pt"/>
                <w:rFonts w:ascii="Sylfaen" w:hAnsi="Sylfaen"/>
                <w:sz w:val="24"/>
                <w:szCs w:val="24"/>
              </w:rPr>
              <w:t>առաջնային կետը</w:t>
            </w:r>
          </w:p>
        </w:tc>
        <w:tc>
          <w:tcPr>
            <w:tcW w:w="2102" w:type="dxa"/>
            <w:gridSpan w:val="3"/>
            <w:tcBorders>
              <w:top w:val="single" w:sz="4" w:space="0" w:color="auto"/>
              <w:left w:val="single" w:sz="4" w:space="0" w:color="auto"/>
            </w:tcBorders>
            <w:shd w:val="clear" w:color="auto" w:fill="FFFFFF"/>
            <w:vAlign w:val="bottom"/>
          </w:tcPr>
          <w:p w14:paraId="4E0EE59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արդյունքների նկարագրությամբ բաժնի աղյուսակում)</w:t>
            </w:r>
          </w:p>
        </w:tc>
        <w:tc>
          <w:tcPr>
            <w:tcW w:w="3904" w:type="dxa"/>
            <w:gridSpan w:val="5"/>
            <w:tcBorders>
              <w:top w:val="single" w:sz="4" w:space="0" w:color="auto"/>
              <w:left w:val="single" w:sz="4" w:space="0" w:color="auto"/>
              <w:right w:val="single" w:sz="4" w:space="0" w:color="auto"/>
            </w:tcBorders>
            <w:shd w:val="clear" w:color="auto" w:fill="FFFFFF"/>
          </w:tcPr>
          <w:p w14:paraId="2C8AD0A3" w14:textId="77777777" w:rsidR="008C76E0" w:rsidRPr="00F72577" w:rsidRDefault="008C76E0" w:rsidP="008C76E0">
            <w:pPr>
              <w:spacing w:after="120" w:line="240" w:lineRule="auto"/>
              <w:ind w:left="96" w:right="66"/>
              <w:rPr>
                <w:rFonts w:ascii="Sylfaen" w:hAnsi="Sylfaen"/>
                <w:sz w:val="24"/>
                <w:szCs w:val="24"/>
              </w:rPr>
            </w:pPr>
          </w:p>
        </w:tc>
      </w:tr>
      <w:tr w:rsidR="008C76E0" w:rsidRPr="00F72577" w14:paraId="434E78C7" w14:textId="77777777" w:rsidTr="008C76E0">
        <w:trPr>
          <w:jc w:val="center"/>
        </w:trPr>
        <w:tc>
          <w:tcPr>
            <w:tcW w:w="3263" w:type="dxa"/>
            <w:vMerge/>
            <w:tcBorders>
              <w:left w:val="single" w:sz="4" w:space="0" w:color="auto"/>
            </w:tcBorders>
            <w:shd w:val="clear" w:color="auto" w:fill="FFFFFF"/>
            <w:vAlign w:val="center"/>
          </w:tcPr>
          <w:p w14:paraId="20DFB1BB"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40B21A0A"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կլինիկական</w:t>
            </w:r>
            <w:r w:rsidRPr="00F72577">
              <w:rPr>
                <w:rStyle w:val="Bodytext1811pt"/>
                <w:rFonts w:ascii="Sylfaen" w:hAnsi="Sylfaen"/>
                <w:sz w:val="24"/>
                <w:szCs w:val="24"/>
              </w:rPr>
              <w:t xml:space="preserve"> հետազոտության կետը</w:t>
            </w:r>
          </w:p>
        </w:tc>
        <w:tc>
          <w:tcPr>
            <w:tcW w:w="2102" w:type="dxa"/>
            <w:gridSpan w:val="3"/>
            <w:tcBorders>
              <w:top w:val="single" w:sz="4" w:space="0" w:color="auto"/>
              <w:left w:val="single" w:sz="4" w:space="0" w:color="auto"/>
            </w:tcBorders>
            <w:shd w:val="clear" w:color="auto" w:fill="FFFFFF"/>
          </w:tcPr>
          <w:p w14:paraId="0B9DD9F0"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41BE79AB"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FD937E" w14:textId="77777777" w:rsidTr="008C76E0">
        <w:trPr>
          <w:jc w:val="center"/>
        </w:trPr>
        <w:tc>
          <w:tcPr>
            <w:tcW w:w="3263" w:type="dxa"/>
            <w:tcBorders>
              <w:top w:val="single" w:sz="4" w:space="0" w:color="auto"/>
              <w:left w:val="single" w:sz="4" w:space="0" w:color="auto"/>
            </w:tcBorders>
            <w:shd w:val="clear" w:color="auto" w:fill="FFFFFF"/>
          </w:tcPr>
          <w:p w14:paraId="347C3419" w14:textId="77777777" w:rsidR="008C76E0" w:rsidRPr="00F72577" w:rsidRDefault="008C76E0" w:rsidP="008C76E0">
            <w:pPr>
              <w:spacing w:after="120" w:line="240" w:lineRule="auto"/>
              <w:rPr>
                <w:rFonts w:ascii="Sylfaen" w:hAnsi="Sylfaen"/>
                <w:sz w:val="24"/>
                <w:szCs w:val="24"/>
              </w:rPr>
            </w:pPr>
          </w:p>
        </w:tc>
        <w:tc>
          <w:tcPr>
            <w:tcW w:w="2076" w:type="dxa"/>
            <w:gridSpan w:val="2"/>
            <w:tcBorders>
              <w:top w:val="single" w:sz="4" w:space="0" w:color="auto"/>
              <w:left w:val="single" w:sz="4" w:space="0" w:color="auto"/>
            </w:tcBorders>
            <w:shd w:val="clear" w:color="auto" w:fill="FFFFFF"/>
            <w:vAlign w:val="bottom"/>
          </w:tcPr>
          <w:p w14:paraId="1BE779B4" w14:textId="77777777" w:rsidR="008C76E0" w:rsidRPr="008C76E0" w:rsidRDefault="008C76E0" w:rsidP="008C76E0">
            <w:pPr>
              <w:pStyle w:val="Bodytext180"/>
              <w:shd w:val="clear" w:color="auto" w:fill="auto"/>
              <w:spacing w:before="0" w:after="120" w:line="240" w:lineRule="auto"/>
              <w:ind w:left="81" w:firstLine="0"/>
              <w:rPr>
                <w:rFonts w:ascii="Sylfaen" w:hAnsi="Sylfaen"/>
                <w:b w:val="0"/>
                <w:sz w:val="24"/>
                <w:szCs w:val="24"/>
                <w:lang w:val="hy-AM"/>
              </w:rPr>
            </w:pP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նշե՛ք </w:t>
            </w:r>
            <w:r w:rsidRPr="008C76E0">
              <w:rPr>
                <w:rFonts w:ascii="Sylfaen" w:hAnsi="Sylfaen"/>
                <w:b w:val="0"/>
                <w:sz w:val="24"/>
                <w:szCs w:val="24"/>
                <w:lang w:val="hy-AM"/>
              </w:rPr>
              <w:t xml:space="preserve">կլինիկական </w:t>
            </w:r>
            <w:r w:rsidRPr="00F72577">
              <w:rPr>
                <w:rStyle w:val="Bodytext1811pt"/>
                <w:rFonts w:ascii="Sylfaen" w:hAnsi="Sylfaen"/>
                <w:sz w:val="24"/>
                <w:szCs w:val="24"/>
              </w:rPr>
              <w:t>հետազոտության կետը</w:t>
            </w:r>
          </w:p>
        </w:tc>
        <w:tc>
          <w:tcPr>
            <w:tcW w:w="2102" w:type="dxa"/>
            <w:gridSpan w:val="3"/>
            <w:tcBorders>
              <w:top w:val="single" w:sz="4" w:space="0" w:color="auto"/>
              <w:left w:val="single" w:sz="4" w:space="0" w:color="auto"/>
            </w:tcBorders>
            <w:shd w:val="clear" w:color="auto" w:fill="FFFFFF"/>
          </w:tcPr>
          <w:p w14:paraId="1A34A0F8" w14:textId="77777777" w:rsidR="008C76E0" w:rsidRPr="00F72577" w:rsidRDefault="008C76E0" w:rsidP="008C76E0">
            <w:pPr>
              <w:pStyle w:val="Bodytext180"/>
              <w:shd w:val="clear" w:color="auto" w:fill="auto"/>
              <w:spacing w:before="0" w:after="120" w:line="240" w:lineRule="auto"/>
              <w:ind w:left="93" w:firstLine="0"/>
              <w:rPr>
                <w:rFonts w:ascii="Sylfaen" w:hAnsi="Sylfaen"/>
                <w:b w:val="0"/>
                <w:sz w:val="24"/>
                <w:szCs w:val="24"/>
              </w:rPr>
            </w:pPr>
            <w:r w:rsidRPr="00F72577">
              <w:rPr>
                <w:rStyle w:val="Bodytext1811pt"/>
                <w:rFonts w:ascii="Sylfaen" w:hAnsi="Sylfaen"/>
                <w:sz w:val="24"/>
                <w:szCs w:val="24"/>
              </w:rPr>
              <w:t>պայմանական</w:t>
            </w:r>
            <w:r w:rsidRPr="00F72577">
              <w:rPr>
                <w:rFonts w:ascii="Sylfaen" w:hAnsi="Sylfaen"/>
                <w:b w:val="0"/>
                <w:sz w:val="24"/>
                <w:szCs w:val="24"/>
              </w:rPr>
              <w:t xml:space="preserve"> </w:t>
            </w:r>
            <w:r w:rsidRPr="00F72577">
              <w:rPr>
                <w:rStyle w:val="Bodytext1811pt"/>
                <w:rFonts w:ascii="Sylfaen" w:hAnsi="Sylfaen"/>
                <w:sz w:val="24"/>
                <w:szCs w:val="24"/>
              </w:rPr>
              <w:t>նշագիրը</w:t>
            </w:r>
          </w:p>
        </w:tc>
        <w:tc>
          <w:tcPr>
            <w:tcW w:w="3904" w:type="dxa"/>
            <w:gridSpan w:val="5"/>
            <w:tcBorders>
              <w:top w:val="single" w:sz="4" w:space="0" w:color="auto"/>
              <w:left w:val="single" w:sz="4" w:space="0" w:color="auto"/>
              <w:right w:val="single" w:sz="4" w:space="0" w:color="auto"/>
            </w:tcBorders>
            <w:shd w:val="clear" w:color="auto" w:fill="FFFFFF"/>
          </w:tcPr>
          <w:p w14:paraId="701014DF" w14:textId="77777777" w:rsidR="008C76E0" w:rsidRPr="00F72577" w:rsidRDefault="008C76E0" w:rsidP="008C76E0">
            <w:pPr>
              <w:pStyle w:val="Bodytext180"/>
              <w:shd w:val="clear" w:color="auto" w:fill="auto"/>
              <w:spacing w:before="0" w:after="120" w:line="240" w:lineRule="auto"/>
              <w:ind w:left="96" w:right="66" w:firstLine="0"/>
              <w:rPr>
                <w:rFonts w:ascii="Sylfaen" w:hAnsi="Sylfaen"/>
                <w:b w:val="0"/>
                <w:sz w:val="24"/>
                <w:szCs w:val="24"/>
              </w:rPr>
            </w:pPr>
            <w:r w:rsidRPr="00F72577">
              <w:rPr>
                <w:rStyle w:val="Bodytext1811pt"/>
                <w:rFonts w:ascii="Sylfaen" w:hAnsi="Sylfaen"/>
                <w:sz w:val="24"/>
                <w:szCs w:val="24"/>
              </w:rPr>
              <w:t>կամայական տեքստը (բերե՛ք համառոտ նկարագրությունը)</w:t>
            </w:r>
          </w:p>
        </w:tc>
      </w:tr>
      <w:tr w:rsidR="008C76E0" w:rsidRPr="00F72577" w14:paraId="33541E8B" w14:textId="77777777" w:rsidTr="008C76E0">
        <w:trPr>
          <w:jc w:val="center"/>
        </w:trPr>
        <w:tc>
          <w:tcPr>
            <w:tcW w:w="3263" w:type="dxa"/>
            <w:tcBorders>
              <w:top w:val="single" w:sz="4" w:space="0" w:color="auto"/>
              <w:left w:val="single" w:sz="4" w:space="0" w:color="auto"/>
            </w:tcBorders>
            <w:shd w:val="clear" w:color="auto" w:fill="FFFFFF"/>
            <w:vAlign w:val="bottom"/>
          </w:tcPr>
          <w:p w14:paraId="22101294"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Տվյալների բազայի փակումը</w:t>
            </w:r>
          </w:p>
        </w:tc>
        <w:tc>
          <w:tcPr>
            <w:tcW w:w="8082" w:type="dxa"/>
            <w:gridSpan w:val="10"/>
            <w:tcBorders>
              <w:top w:val="single" w:sz="4" w:space="0" w:color="auto"/>
              <w:left w:val="single" w:sz="4" w:space="0" w:color="auto"/>
              <w:right w:val="single" w:sz="4" w:space="0" w:color="auto"/>
            </w:tcBorders>
            <w:shd w:val="clear" w:color="auto" w:fill="FFFFFF"/>
          </w:tcPr>
          <w:p w14:paraId="5DA58E62" w14:textId="77777777" w:rsidR="008C76E0" w:rsidRPr="00F72577" w:rsidRDefault="008C76E0" w:rsidP="008C76E0">
            <w:pPr>
              <w:pStyle w:val="Bodytext180"/>
              <w:shd w:val="clear" w:color="auto" w:fill="auto"/>
              <w:spacing w:before="0" w:after="120" w:line="240" w:lineRule="auto"/>
              <w:ind w:left="116" w:firstLine="0"/>
              <w:rPr>
                <w:rFonts w:ascii="Sylfaen" w:hAnsi="Sylfaen"/>
                <w:b w:val="0"/>
                <w:sz w:val="24"/>
                <w:szCs w:val="24"/>
              </w:rPr>
            </w:pPr>
            <w:r w:rsidRPr="00F72577">
              <w:rPr>
                <w:rStyle w:val="Bodytext1811pt"/>
                <w:rFonts w:ascii="Sylfaen" w:hAnsi="Sylfaen"/>
                <w:sz w:val="24"/>
                <w:szCs w:val="24"/>
              </w:rPr>
              <w:t>ամսաթիվը</w:t>
            </w:r>
          </w:p>
        </w:tc>
      </w:tr>
      <w:tr w:rsidR="008C76E0" w:rsidRPr="00F72577" w14:paraId="3D19B2E9"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vAlign w:val="bottom"/>
          </w:tcPr>
          <w:p w14:paraId="3D248546"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Վերլուծությունները </w:t>
            </w:r>
            <w:r w:rsidR="00C54D75">
              <w:rPr>
                <w:rStyle w:val="Bodytext1811pt"/>
                <w:rFonts w:ascii="Sylfaen" w:hAnsi="Sylfaen"/>
                <w:sz w:val="24"/>
                <w:szCs w:val="24"/>
              </w:rPr>
              <w:t>և</w:t>
            </w:r>
            <w:r w:rsidRPr="00F72577">
              <w:rPr>
                <w:rStyle w:val="Bodytext1811pt"/>
                <w:rFonts w:ascii="Sylfaen" w:hAnsi="Sylfaen"/>
                <w:sz w:val="24"/>
                <w:szCs w:val="24"/>
              </w:rPr>
              <w:t xml:space="preserve"> արդյունքները (յուրաքանչյուր վերլուծության մասով ներկայացրե՛ք առանձին արդյունքը, որը հետազոտության մասին հաշվետվության մեջ ներառման համար ակտուալ է համարվել, ցանկացած դեպքում անհրաժեշտ է տվյալներ ներկայացնել նախօրոք որոշված առաջնային վերլուծության վերաբերյալ)</w:t>
            </w:r>
          </w:p>
        </w:tc>
      </w:tr>
      <w:tr w:rsidR="008C76E0" w:rsidRPr="00F72577" w14:paraId="5456E9BD" w14:textId="77777777" w:rsidTr="008C76E0">
        <w:trPr>
          <w:jc w:val="center"/>
        </w:trPr>
        <w:tc>
          <w:tcPr>
            <w:tcW w:w="3263" w:type="dxa"/>
            <w:tcBorders>
              <w:top w:val="single" w:sz="4" w:space="0" w:color="auto"/>
              <w:left w:val="single" w:sz="4" w:space="0" w:color="auto"/>
            </w:tcBorders>
            <w:shd w:val="clear" w:color="auto" w:fill="FFFFFF"/>
            <w:vAlign w:val="bottom"/>
          </w:tcPr>
          <w:p w14:paraId="1DF15E60"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4FBE5886" w14:textId="77777777" w:rsidR="008C76E0" w:rsidRPr="00F72577" w:rsidRDefault="008C76E0" w:rsidP="008C76E0">
            <w:pPr>
              <w:pStyle w:val="Bodytext180"/>
              <w:shd w:val="clear" w:color="auto" w:fill="auto"/>
              <w:spacing w:before="0" w:after="120" w:line="240" w:lineRule="auto"/>
              <w:ind w:left="127" w:firstLine="0"/>
              <w:rPr>
                <w:rFonts w:ascii="Sylfaen" w:hAnsi="Sylfaen"/>
                <w:b w:val="0"/>
                <w:sz w:val="24"/>
                <w:szCs w:val="24"/>
              </w:rPr>
            </w:pPr>
            <w:r w:rsidRPr="00F72577">
              <w:rPr>
                <w:rStyle w:val="Bodytext1811pt"/>
                <w:rFonts w:ascii="Sylfaen" w:hAnsi="Sylfaen"/>
                <w:sz w:val="24"/>
                <w:szCs w:val="24"/>
              </w:rPr>
              <w:t>առաջնային վերլուծությունը</w:t>
            </w:r>
          </w:p>
        </w:tc>
      </w:tr>
      <w:tr w:rsidR="008C76E0" w:rsidRPr="00F72577" w14:paraId="1A2A3126" w14:textId="77777777" w:rsidTr="008C76E0">
        <w:trPr>
          <w:jc w:val="center"/>
        </w:trPr>
        <w:tc>
          <w:tcPr>
            <w:tcW w:w="3263" w:type="dxa"/>
            <w:tcBorders>
              <w:top w:val="single" w:sz="4" w:space="0" w:color="auto"/>
              <w:left w:val="single" w:sz="4" w:space="0" w:color="auto"/>
            </w:tcBorders>
            <w:shd w:val="clear" w:color="auto" w:fill="FFFFFF"/>
          </w:tcPr>
          <w:p w14:paraId="2551E86E" w14:textId="77777777" w:rsidR="008C76E0" w:rsidRPr="00F72577" w:rsidRDefault="008C76E0" w:rsidP="008C76E0">
            <w:pPr>
              <w:pStyle w:val="Bodytext180"/>
              <w:shd w:val="clear" w:color="auto" w:fill="auto"/>
              <w:spacing w:before="0" w:after="120" w:line="240" w:lineRule="auto"/>
              <w:ind w:left="87" w:right="53" w:firstLine="0"/>
              <w:rPr>
                <w:rStyle w:val="Bodytext1811pt"/>
                <w:rFonts w:ascii="Sylfaen" w:hAnsi="Sylfaen"/>
                <w:sz w:val="24"/>
                <w:szCs w:val="24"/>
              </w:rPr>
            </w:pPr>
            <w:r w:rsidRPr="00F72577">
              <w:rPr>
                <w:rStyle w:val="Bodytext1811pt"/>
                <w:rFonts w:ascii="Sylfaen" w:hAnsi="Sylfaen"/>
                <w:sz w:val="24"/>
                <w:szCs w:val="24"/>
              </w:rPr>
              <w:t>վերլուծման ենթարկվող</w:t>
            </w:r>
            <w:r w:rsidRPr="00F72577">
              <w:rPr>
                <w:rStyle w:val="Bodytext295pt"/>
                <w:rFonts w:ascii="Sylfaen" w:hAnsi="Sylfaen"/>
                <w:spacing w:val="0"/>
                <w:sz w:val="24"/>
                <w:szCs w:val="24"/>
              </w:rPr>
              <w:t xml:space="preserve">սուբյեկտների խումբը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ժամանակային կետերի </w:t>
            </w:r>
            <w:r w:rsidRPr="00F72577">
              <w:rPr>
                <w:rStyle w:val="Bodytext1811pt"/>
                <w:rFonts w:ascii="Sylfaen" w:hAnsi="Sylfaen"/>
                <w:sz w:val="24"/>
                <w:szCs w:val="24"/>
              </w:rPr>
              <w:t>նկարագրությունը</w:t>
            </w:r>
          </w:p>
          <w:p w14:paraId="524E8599"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p>
        </w:tc>
        <w:tc>
          <w:tcPr>
            <w:tcW w:w="8082" w:type="dxa"/>
            <w:gridSpan w:val="10"/>
            <w:tcBorders>
              <w:top w:val="single" w:sz="4" w:space="0" w:color="auto"/>
              <w:left w:val="single" w:sz="4" w:space="0" w:color="auto"/>
              <w:right w:val="single" w:sz="4" w:space="0" w:color="auto"/>
            </w:tcBorders>
            <w:shd w:val="clear" w:color="auto" w:fill="FFFFFF"/>
          </w:tcPr>
          <w:p w14:paraId="29681CEB" w14:textId="77777777" w:rsidR="008C76E0" w:rsidRPr="008C76E0" w:rsidRDefault="008C76E0" w:rsidP="008C76E0">
            <w:pPr>
              <w:pStyle w:val="Bodytext180"/>
              <w:shd w:val="clear" w:color="auto" w:fill="auto"/>
              <w:spacing w:before="0" w:after="120" w:line="240" w:lineRule="auto"/>
              <w:ind w:left="87" w:right="53" w:firstLine="0"/>
              <w:rPr>
                <w:rFonts w:ascii="Sylfaen" w:hAnsi="Sylfaen"/>
                <w:b w:val="0"/>
                <w:sz w:val="24"/>
                <w:szCs w:val="24"/>
                <w:lang w:val="hy-AM"/>
              </w:rPr>
            </w:pPr>
            <w:r w:rsidRPr="00F72577">
              <w:rPr>
                <w:rStyle w:val="Bodytext1811pt"/>
                <w:rFonts w:ascii="Sylfaen" w:hAnsi="Sylfaen"/>
                <w:sz w:val="24"/>
                <w:szCs w:val="24"/>
              </w:rPr>
              <w:t xml:space="preserve">ընտրանքային համակցություն բուժումը սկսած պացիենտները, հետազոտության մեջ արձանագրությանը համապատասխան մասնակցությունն ավարտած պացիենտները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 նշե՛լ</w:t>
            </w:r>
            <w:r w:rsidRPr="008C76E0">
              <w:rPr>
                <w:rFonts w:ascii="Sylfaen" w:hAnsi="Sylfaen"/>
                <w:b w:val="0"/>
                <w:sz w:val="24"/>
                <w:szCs w:val="24"/>
                <w:lang w:val="hy-AM"/>
              </w:rPr>
              <w:t xml:space="preserve"> </w:t>
            </w:r>
            <w:r w:rsidRPr="00F72577">
              <w:rPr>
                <w:rStyle w:val="Bodytext1811pt"/>
                <w:rFonts w:ascii="Sylfaen" w:hAnsi="Sylfaen"/>
                <w:sz w:val="24"/>
                <w:szCs w:val="24"/>
              </w:rPr>
              <w:t>(կարո է պահանջվել բնակչության խմբի համառոտ նկարագրության ներառումը) ժամանակային կետը</w:t>
            </w:r>
          </w:p>
        </w:tc>
      </w:tr>
      <w:tr w:rsidR="008C76E0" w:rsidRPr="00F72577" w14:paraId="66F6738A" w14:textId="77777777" w:rsidTr="008C76E0">
        <w:trPr>
          <w:jc w:val="center"/>
        </w:trPr>
        <w:tc>
          <w:tcPr>
            <w:tcW w:w="3263" w:type="dxa"/>
            <w:vMerge w:val="restart"/>
            <w:tcBorders>
              <w:top w:val="single" w:sz="4" w:space="0" w:color="auto"/>
              <w:left w:val="single" w:sz="4" w:space="0" w:color="auto"/>
            </w:tcBorders>
            <w:shd w:val="clear" w:color="auto" w:fill="FFFFFF"/>
          </w:tcPr>
          <w:p w14:paraId="5FAC471C" w14:textId="77777777" w:rsidR="008C76E0" w:rsidRPr="008C76E0" w:rsidRDefault="008C76E0" w:rsidP="008C76E0">
            <w:pPr>
              <w:pStyle w:val="Bodytext180"/>
              <w:shd w:val="clear" w:color="auto" w:fill="auto"/>
              <w:spacing w:before="0" w:after="120" w:line="240" w:lineRule="auto"/>
              <w:ind w:left="87" w:firstLine="0"/>
              <w:rPr>
                <w:rFonts w:ascii="Sylfaen" w:hAnsi="Sylfaen"/>
                <w:b w:val="0"/>
                <w:sz w:val="24"/>
                <w:szCs w:val="24"/>
                <w:lang w:val="hy-AM"/>
              </w:rPr>
            </w:pPr>
            <w:r w:rsidRPr="00F72577">
              <w:rPr>
                <w:rStyle w:val="Bodytext1811pt"/>
                <w:rFonts w:ascii="Sylfaen" w:hAnsi="Sylfaen"/>
                <w:sz w:val="24"/>
                <w:szCs w:val="24"/>
              </w:rPr>
              <w:lastRenderedPageBreak/>
              <w:t xml:space="preserve">Նկարագրական վիճակագրություն </w:t>
            </w:r>
            <w:r w:rsidR="00C54D75">
              <w:rPr>
                <w:rStyle w:val="Bodytext1811pt"/>
                <w:rFonts w:ascii="Sylfaen" w:hAnsi="Sylfaen"/>
                <w:sz w:val="24"/>
                <w:szCs w:val="24"/>
              </w:rPr>
              <w:t>և</w:t>
            </w:r>
            <w:r w:rsidRPr="00F72577">
              <w:rPr>
                <w:rStyle w:val="Bodytext1811pt"/>
                <w:rFonts w:ascii="Sylfaen" w:hAnsi="Sylfaen"/>
                <w:sz w:val="24"/>
                <w:szCs w:val="24"/>
              </w:rPr>
              <w:t xml:space="preserve"> գնահատման վարիատիվու-թյունը</w:t>
            </w:r>
          </w:p>
        </w:tc>
        <w:tc>
          <w:tcPr>
            <w:tcW w:w="2503" w:type="dxa"/>
            <w:gridSpan w:val="3"/>
            <w:tcBorders>
              <w:top w:val="single" w:sz="4" w:space="0" w:color="auto"/>
              <w:left w:val="single" w:sz="4" w:space="0" w:color="auto"/>
            </w:tcBorders>
            <w:shd w:val="clear" w:color="auto" w:fill="FFFFFF"/>
          </w:tcPr>
          <w:p w14:paraId="6F30E1D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բուժման խումբը</w:t>
            </w:r>
          </w:p>
        </w:tc>
        <w:tc>
          <w:tcPr>
            <w:tcW w:w="2097" w:type="dxa"/>
            <w:gridSpan w:val="3"/>
            <w:tcBorders>
              <w:top w:val="single" w:sz="4" w:space="0" w:color="auto"/>
              <w:left w:val="single" w:sz="4" w:space="0" w:color="auto"/>
            </w:tcBorders>
            <w:shd w:val="clear" w:color="auto" w:fill="FFFFFF"/>
            <w:vAlign w:val="bottom"/>
          </w:tcPr>
          <w:p w14:paraId="41562D02"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843" w:type="dxa"/>
            <w:gridSpan w:val="3"/>
            <w:tcBorders>
              <w:top w:val="single" w:sz="4" w:space="0" w:color="auto"/>
              <w:left w:val="single" w:sz="4" w:space="0" w:color="auto"/>
            </w:tcBorders>
            <w:shd w:val="clear" w:color="auto" w:fill="FFFFFF"/>
            <w:vAlign w:val="bottom"/>
          </w:tcPr>
          <w:p w14:paraId="22098F74" w14:textId="77777777" w:rsidR="008C76E0" w:rsidRPr="00F72577" w:rsidRDefault="008C76E0" w:rsidP="008C76E0">
            <w:pPr>
              <w:pStyle w:val="Bodytext180"/>
              <w:shd w:val="clear" w:color="auto" w:fill="auto"/>
              <w:spacing w:before="0" w:after="120" w:line="240" w:lineRule="auto"/>
              <w:ind w:left="71" w:right="90"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c>
          <w:tcPr>
            <w:tcW w:w="1639" w:type="dxa"/>
            <w:tcBorders>
              <w:top w:val="single" w:sz="4" w:space="0" w:color="auto"/>
              <w:left w:val="single" w:sz="4" w:space="0" w:color="auto"/>
              <w:right w:val="single" w:sz="4" w:space="0" w:color="auto"/>
            </w:tcBorders>
            <w:shd w:val="clear" w:color="auto" w:fill="FFFFFF"/>
            <w:vAlign w:val="bottom"/>
          </w:tcPr>
          <w:p w14:paraId="63D113EE"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խմբի</w:t>
            </w:r>
            <w:r w:rsidRPr="00F72577">
              <w:rPr>
                <w:rFonts w:ascii="Sylfaen" w:hAnsi="Sylfaen"/>
                <w:b w:val="0"/>
                <w:sz w:val="24"/>
                <w:szCs w:val="24"/>
              </w:rPr>
              <w:t xml:space="preserve"> </w:t>
            </w:r>
            <w:r w:rsidRPr="00F72577">
              <w:rPr>
                <w:rStyle w:val="Bodytext1811pt"/>
                <w:rFonts w:ascii="Sylfaen" w:hAnsi="Sylfaen"/>
                <w:sz w:val="24"/>
                <w:szCs w:val="24"/>
              </w:rPr>
              <w:t>ծածկագրված</w:t>
            </w:r>
            <w:r w:rsidRPr="00F72577">
              <w:rPr>
                <w:rFonts w:ascii="Sylfaen" w:hAnsi="Sylfaen"/>
                <w:b w:val="0"/>
                <w:sz w:val="24"/>
                <w:szCs w:val="24"/>
              </w:rPr>
              <w:t xml:space="preserve"> </w:t>
            </w:r>
            <w:r w:rsidRPr="00F72577">
              <w:rPr>
                <w:rStyle w:val="Bodytext1811pt"/>
                <w:rFonts w:ascii="Sylfaen" w:hAnsi="Sylfaen"/>
                <w:sz w:val="24"/>
                <w:szCs w:val="24"/>
              </w:rPr>
              <w:t>նշագիր</w:t>
            </w:r>
            <w:r w:rsidRPr="00F72577">
              <w:rPr>
                <w:rFonts w:ascii="Sylfaen" w:hAnsi="Sylfaen"/>
                <w:b w:val="0"/>
                <w:sz w:val="24"/>
                <w:szCs w:val="24"/>
              </w:rPr>
              <w:t xml:space="preserve">ը </w:t>
            </w:r>
            <w:r w:rsidRPr="00F72577">
              <w:rPr>
                <w:rStyle w:val="Bodytext1811pt"/>
                <w:rFonts w:ascii="Sylfaen" w:hAnsi="Sylfaen"/>
                <w:sz w:val="24"/>
                <w:szCs w:val="24"/>
              </w:rPr>
              <w:t>(համաձայն</w:t>
            </w:r>
            <w:r w:rsidRPr="00F72577">
              <w:rPr>
                <w:rFonts w:ascii="Sylfaen" w:hAnsi="Sylfaen"/>
                <w:b w:val="0"/>
                <w:sz w:val="24"/>
                <w:szCs w:val="24"/>
              </w:rPr>
              <w:t xml:space="preserve"> </w:t>
            </w:r>
            <w:r w:rsidRPr="00F72577">
              <w:rPr>
                <w:rStyle w:val="Bodytext1811pt"/>
                <w:rFonts w:ascii="Sylfaen" w:hAnsi="Sylfaen"/>
                <w:sz w:val="24"/>
                <w:szCs w:val="24"/>
              </w:rPr>
              <w:t>վերը</w:t>
            </w:r>
            <w:r w:rsidRPr="00F72577">
              <w:rPr>
                <w:rFonts w:ascii="Sylfaen" w:hAnsi="Sylfaen"/>
                <w:b w:val="0"/>
                <w:sz w:val="24"/>
                <w:szCs w:val="24"/>
              </w:rPr>
              <w:t xml:space="preserve"> </w:t>
            </w:r>
            <w:r w:rsidRPr="00F72577">
              <w:rPr>
                <w:rStyle w:val="Bodytext1811pt"/>
                <w:rFonts w:ascii="Sylfaen" w:hAnsi="Sylfaen"/>
                <w:sz w:val="24"/>
                <w:szCs w:val="24"/>
              </w:rPr>
              <w:t>բերվ</w:t>
            </w:r>
            <w:r w:rsidRPr="00F72577">
              <w:rPr>
                <w:rFonts w:ascii="Sylfaen" w:hAnsi="Sylfaen"/>
                <w:b w:val="0"/>
                <w:sz w:val="24"/>
                <w:szCs w:val="24"/>
              </w:rPr>
              <w:t>ա</w:t>
            </w:r>
            <w:r w:rsidRPr="00F72577">
              <w:rPr>
                <w:rStyle w:val="Bodytext1811pt"/>
                <w:rFonts w:ascii="Sylfaen" w:hAnsi="Sylfaen"/>
                <w:sz w:val="24"/>
                <w:szCs w:val="24"/>
              </w:rPr>
              <w:t>ծ տերմինաբա-նության)</w:t>
            </w:r>
          </w:p>
        </w:tc>
      </w:tr>
      <w:tr w:rsidR="008C76E0" w:rsidRPr="00F72577" w14:paraId="6EFDA3C1" w14:textId="77777777" w:rsidTr="008C76E0">
        <w:trPr>
          <w:jc w:val="center"/>
        </w:trPr>
        <w:tc>
          <w:tcPr>
            <w:tcW w:w="3263" w:type="dxa"/>
            <w:vMerge/>
            <w:tcBorders>
              <w:left w:val="single" w:sz="4" w:space="0" w:color="auto"/>
            </w:tcBorders>
            <w:shd w:val="clear" w:color="auto" w:fill="FFFFFF"/>
          </w:tcPr>
          <w:p w14:paraId="17BB6C6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C3B254F" w14:textId="77777777" w:rsidR="008C76E0" w:rsidRPr="00F72577" w:rsidRDefault="008C76E0" w:rsidP="008C76E0">
            <w:pPr>
              <w:pStyle w:val="Bodytext180"/>
              <w:shd w:val="clear" w:color="auto" w:fill="auto"/>
              <w:spacing w:before="0" w:after="120" w:line="240" w:lineRule="auto"/>
              <w:ind w:left="69" w:right="50" w:firstLine="0"/>
              <w:rPr>
                <w:rFonts w:ascii="Sylfaen" w:hAnsi="Sylfaen"/>
                <w:b w:val="0"/>
                <w:sz w:val="24"/>
                <w:szCs w:val="24"/>
              </w:rPr>
            </w:pPr>
            <w:r w:rsidRPr="00F72577">
              <w:rPr>
                <w:rStyle w:val="Bodytext1811pt"/>
                <w:rFonts w:ascii="Sylfaen" w:hAnsi="Sylfaen"/>
                <w:sz w:val="24"/>
                <w:szCs w:val="24"/>
              </w:rPr>
              <w:t>սուբյեկտների քանակը</w:t>
            </w:r>
          </w:p>
        </w:tc>
        <w:tc>
          <w:tcPr>
            <w:tcW w:w="2097" w:type="dxa"/>
            <w:gridSpan w:val="3"/>
            <w:tcBorders>
              <w:top w:val="single" w:sz="4" w:space="0" w:color="auto"/>
              <w:left w:val="single" w:sz="4" w:space="0" w:color="auto"/>
            </w:tcBorders>
            <w:shd w:val="clear" w:color="auto" w:fill="FFFFFF"/>
            <w:vAlign w:val="bottom"/>
          </w:tcPr>
          <w:p w14:paraId="5412F268"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843" w:type="dxa"/>
            <w:gridSpan w:val="3"/>
            <w:tcBorders>
              <w:top w:val="single" w:sz="4" w:space="0" w:color="auto"/>
              <w:left w:val="single" w:sz="4" w:space="0" w:color="auto"/>
            </w:tcBorders>
            <w:shd w:val="clear" w:color="auto" w:fill="FFFFFF"/>
            <w:vAlign w:val="bottom"/>
          </w:tcPr>
          <w:p w14:paraId="75EA6E26"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c>
          <w:tcPr>
            <w:tcW w:w="1639" w:type="dxa"/>
            <w:tcBorders>
              <w:top w:val="single" w:sz="4" w:space="0" w:color="auto"/>
              <w:left w:val="single" w:sz="4" w:space="0" w:color="auto"/>
              <w:right w:val="single" w:sz="4" w:space="0" w:color="auto"/>
            </w:tcBorders>
            <w:shd w:val="clear" w:color="auto" w:fill="FFFFFF"/>
            <w:vAlign w:val="bottom"/>
          </w:tcPr>
          <w:p w14:paraId="3D909700" w14:textId="77777777" w:rsidR="008C76E0" w:rsidRPr="00F72577" w:rsidRDefault="008C76E0" w:rsidP="008C76E0">
            <w:pPr>
              <w:pStyle w:val="Bodytext180"/>
              <w:shd w:val="clear" w:color="auto" w:fill="auto"/>
              <w:spacing w:before="0" w:after="120" w:line="240" w:lineRule="auto"/>
              <w:ind w:left="71" w:firstLine="0"/>
              <w:rPr>
                <w:rFonts w:ascii="Sylfaen" w:hAnsi="Sylfaen"/>
                <w:b w:val="0"/>
                <w:sz w:val="24"/>
                <w:szCs w:val="24"/>
              </w:rPr>
            </w:pPr>
            <w:r w:rsidRPr="00F72577">
              <w:rPr>
                <w:rStyle w:val="Bodytext1811pt"/>
                <w:rFonts w:ascii="Sylfaen" w:hAnsi="Sylfaen"/>
                <w:sz w:val="24"/>
                <w:szCs w:val="24"/>
              </w:rPr>
              <w:t>n</w:t>
            </w:r>
          </w:p>
        </w:tc>
      </w:tr>
      <w:tr w:rsidR="008C76E0" w:rsidRPr="00F72577" w14:paraId="5C01ECC3" w14:textId="77777777" w:rsidTr="008C76E0">
        <w:trPr>
          <w:jc w:val="center"/>
        </w:trPr>
        <w:tc>
          <w:tcPr>
            <w:tcW w:w="3263" w:type="dxa"/>
            <w:vMerge/>
            <w:tcBorders>
              <w:left w:val="single" w:sz="4" w:space="0" w:color="auto"/>
            </w:tcBorders>
            <w:shd w:val="clear" w:color="auto" w:fill="FFFFFF"/>
          </w:tcPr>
          <w:p w14:paraId="13800B4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323CF5C3"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Կլինիկական հետազոտության կետը (պայմանական նշագիրը, ինչպես նշված է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վիճակագրությունը (օրինակ՝ ընտրանքի միջին, մեդիանային արժեքները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7AD0D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74E476D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7BB14DC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38FC0906" w14:textId="77777777" w:rsidTr="008C76E0">
        <w:trPr>
          <w:jc w:val="center"/>
        </w:trPr>
        <w:tc>
          <w:tcPr>
            <w:tcW w:w="3263" w:type="dxa"/>
            <w:vMerge/>
            <w:tcBorders>
              <w:left w:val="single" w:sz="4" w:space="0" w:color="auto"/>
            </w:tcBorders>
            <w:shd w:val="clear" w:color="auto" w:fill="FFFFFF"/>
          </w:tcPr>
          <w:p w14:paraId="50E4DF76"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775D9DE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վարիացիաների վիճակագրությունը (օրինակ՝ստանդարտ շեղում,</w:t>
            </w:r>
          </w:p>
        </w:tc>
        <w:tc>
          <w:tcPr>
            <w:tcW w:w="2097" w:type="dxa"/>
            <w:gridSpan w:val="3"/>
            <w:tcBorders>
              <w:top w:val="single" w:sz="4" w:space="0" w:color="auto"/>
              <w:left w:val="single" w:sz="4" w:space="0" w:color="auto"/>
            </w:tcBorders>
            <w:shd w:val="clear" w:color="auto" w:fill="FFFFFF"/>
          </w:tcPr>
          <w:p w14:paraId="5D7FF10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104D627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3C85F48"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45A341A9" w14:textId="77777777" w:rsidTr="008C76E0">
        <w:trPr>
          <w:jc w:val="center"/>
        </w:trPr>
        <w:tc>
          <w:tcPr>
            <w:tcW w:w="3263" w:type="dxa"/>
            <w:vMerge w:val="restart"/>
            <w:tcBorders>
              <w:left w:val="single" w:sz="4" w:space="0" w:color="auto"/>
            </w:tcBorders>
            <w:shd w:val="clear" w:color="auto" w:fill="FFFFFF"/>
          </w:tcPr>
          <w:p w14:paraId="37F30A0A"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01D4F9D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 xml:space="preserve">վստահելի միջակայք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097" w:type="dxa"/>
            <w:gridSpan w:val="3"/>
            <w:tcBorders>
              <w:top w:val="single" w:sz="4" w:space="0" w:color="auto"/>
              <w:left w:val="single" w:sz="4" w:space="0" w:color="auto"/>
            </w:tcBorders>
            <w:shd w:val="clear" w:color="auto" w:fill="FFFFFF"/>
          </w:tcPr>
          <w:p w14:paraId="6280E579" w14:textId="77777777" w:rsidR="008C76E0" w:rsidRPr="00F72577" w:rsidRDefault="008C76E0" w:rsidP="008C76E0">
            <w:pPr>
              <w:spacing w:after="120" w:line="240" w:lineRule="auto"/>
              <w:ind w:left="41" w:right="41"/>
              <w:rPr>
                <w:rFonts w:ascii="Sylfaen" w:hAnsi="Sylfaen"/>
                <w:sz w:val="24"/>
                <w:szCs w:val="24"/>
              </w:rPr>
            </w:pPr>
          </w:p>
        </w:tc>
        <w:tc>
          <w:tcPr>
            <w:tcW w:w="1843" w:type="dxa"/>
            <w:gridSpan w:val="3"/>
            <w:tcBorders>
              <w:top w:val="single" w:sz="4" w:space="0" w:color="auto"/>
              <w:left w:val="single" w:sz="4" w:space="0" w:color="auto"/>
            </w:tcBorders>
            <w:shd w:val="clear" w:color="auto" w:fill="FFFFFF"/>
          </w:tcPr>
          <w:p w14:paraId="05F03A4A" w14:textId="77777777" w:rsidR="008C76E0" w:rsidRPr="00F72577" w:rsidRDefault="008C76E0" w:rsidP="008C76E0">
            <w:pPr>
              <w:spacing w:after="120" w:line="240" w:lineRule="auto"/>
              <w:ind w:left="41" w:right="41"/>
              <w:rPr>
                <w:rFonts w:ascii="Sylfaen" w:hAnsi="Sylfaen"/>
                <w:sz w:val="24"/>
                <w:szCs w:val="24"/>
              </w:rPr>
            </w:pPr>
          </w:p>
        </w:tc>
        <w:tc>
          <w:tcPr>
            <w:tcW w:w="1639" w:type="dxa"/>
            <w:tcBorders>
              <w:top w:val="single" w:sz="4" w:space="0" w:color="auto"/>
              <w:left w:val="single" w:sz="4" w:space="0" w:color="auto"/>
              <w:right w:val="single" w:sz="4" w:space="0" w:color="auto"/>
            </w:tcBorders>
            <w:shd w:val="clear" w:color="auto" w:fill="FFFFFF"/>
          </w:tcPr>
          <w:p w14:paraId="6BF8DF81" w14:textId="77777777" w:rsidR="008C76E0" w:rsidRPr="00F72577" w:rsidRDefault="008C76E0" w:rsidP="008C76E0">
            <w:pPr>
              <w:spacing w:after="120" w:line="240" w:lineRule="auto"/>
              <w:ind w:left="41" w:right="41"/>
              <w:rPr>
                <w:rFonts w:ascii="Sylfaen" w:hAnsi="Sylfaen"/>
                <w:sz w:val="24"/>
                <w:szCs w:val="24"/>
              </w:rPr>
            </w:pPr>
          </w:p>
        </w:tc>
      </w:tr>
      <w:tr w:rsidR="008C76E0" w:rsidRPr="00F72577" w14:paraId="3BED03B9" w14:textId="77777777" w:rsidTr="008C76E0">
        <w:trPr>
          <w:jc w:val="center"/>
        </w:trPr>
        <w:tc>
          <w:tcPr>
            <w:tcW w:w="3263" w:type="dxa"/>
            <w:vMerge/>
            <w:tcBorders>
              <w:left w:val="single" w:sz="4" w:space="0" w:color="auto"/>
            </w:tcBorders>
            <w:shd w:val="clear" w:color="auto" w:fill="FFFFFF"/>
          </w:tcPr>
          <w:p w14:paraId="231ADC85"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588A91E9"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կլինիկական հետազոտության կետը</w:t>
            </w:r>
            <w:r w:rsidRPr="00F72577">
              <w:rPr>
                <w:rFonts w:ascii="Sylfaen" w:hAnsi="Sylfaen"/>
                <w:b w:val="0"/>
                <w:sz w:val="24"/>
                <w:szCs w:val="24"/>
              </w:rPr>
              <w:t xml:space="preserve"> </w:t>
            </w:r>
            <w:r w:rsidRPr="00F72577">
              <w:rPr>
                <w:rStyle w:val="Bodytext1811pt"/>
                <w:rFonts w:ascii="Sylfaen" w:hAnsi="Sylfaen"/>
                <w:sz w:val="24"/>
                <w:szCs w:val="24"/>
              </w:rPr>
              <w:t>(վիճակագրություն)</w:t>
            </w:r>
          </w:p>
        </w:tc>
        <w:tc>
          <w:tcPr>
            <w:tcW w:w="2097" w:type="dxa"/>
            <w:gridSpan w:val="3"/>
            <w:tcBorders>
              <w:top w:val="single" w:sz="4" w:space="0" w:color="auto"/>
              <w:left w:val="single" w:sz="4" w:space="0" w:color="auto"/>
            </w:tcBorders>
            <w:shd w:val="clear" w:color="auto" w:fill="FFFFFF"/>
          </w:tcPr>
          <w:p w14:paraId="570C8F4E"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tcPr>
          <w:p w14:paraId="17E28040"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tcPr>
          <w:p w14:paraId="675ED3B7"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6B9F436F" w14:textId="77777777" w:rsidTr="008C76E0">
        <w:trPr>
          <w:jc w:val="center"/>
        </w:trPr>
        <w:tc>
          <w:tcPr>
            <w:tcW w:w="3263" w:type="dxa"/>
            <w:vMerge/>
            <w:tcBorders>
              <w:left w:val="single" w:sz="4" w:space="0" w:color="auto"/>
            </w:tcBorders>
            <w:shd w:val="clear" w:color="auto" w:fill="FFFFFF"/>
          </w:tcPr>
          <w:p w14:paraId="0EB4ADCC"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447C19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097" w:type="dxa"/>
            <w:gridSpan w:val="3"/>
            <w:tcBorders>
              <w:top w:val="single" w:sz="4" w:space="0" w:color="auto"/>
              <w:left w:val="single" w:sz="4" w:space="0" w:color="auto"/>
            </w:tcBorders>
            <w:shd w:val="clear" w:color="auto" w:fill="FFFFFF"/>
          </w:tcPr>
          <w:p w14:paraId="67ED9AD4"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215997FA"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052806F3"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6BD7A430" w14:textId="77777777" w:rsidTr="008C76E0">
        <w:trPr>
          <w:jc w:val="center"/>
        </w:trPr>
        <w:tc>
          <w:tcPr>
            <w:tcW w:w="3263" w:type="dxa"/>
            <w:vMerge/>
            <w:tcBorders>
              <w:left w:val="single" w:sz="4" w:space="0" w:color="auto"/>
            </w:tcBorders>
            <w:shd w:val="clear" w:color="auto" w:fill="FFFFFF"/>
          </w:tcPr>
          <w:p w14:paraId="57EAEB24"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6A4B9A9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նշեք կլինիկական հետազոտության կետը</w:t>
            </w:r>
          </w:p>
        </w:tc>
        <w:tc>
          <w:tcPr>
            <w:tcW w:w="2097" w:type="dxa"/>
            <w:gridSpan w:val="3"/>
            <w:tcBorders>
              <w:top w:val="single" w:sz="4" w:space="0" w:color="auto"/>
              <w:left w:val="single" w:sz="4" w:space="0" w:color="auto"/>
            </w:tcBorders>
            <w:shd w:val="clear" w:color="auto" w:fill="FFFFFF"/>
            <w:vAlign w:val="bottom"/>
          </w:tcPr>
          <w:p w14:paraId="717797BB"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843" w:type="dxa"/>
            <w:gridSpan w:val="3"/>
            <w:tcBorders>
              <w:top w:val="single" w:sz="4" w:space="0" w:color="auto"/>
              <w:left w:val="single" w:sz="4" w:space="0" w:color="auto"/>
            </w:tcBorders>
            <w:shd w:val="clear" w:color="auto" w:fill="FFFFFF"/>
            <w:vAlign w:val="bottom"/>
          </w:tcPr>
          <w:p w14:paraId="1404D633"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c>
          <w:tcPr>
            <w:tcW w:w="1639" w:type="dxa"/>
            <w:tcBorders>
              <w:top w:val="single" w:sz="4" w:space="0" w:color="auto"/>
              <w:left w:val="single" w:sz="4" w:space="0" w:color="auto"/>
              <w:right w:val="single" w:sz="4" w:space="0" w:color="auto"/>
            </w:tcBorders>
            <w:shd w:val="clear" w:color="auto" w:fill="FFFFFF"/>
            <w:vAlign w:val="bottom"/>
          </w:tcPr>
          <w:p w14:paraId="189A2059"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կետային</w:t>
            </w:r>
            <w:r w:rsidRPr="00F72577">
              <w:rPr>
                <w:rFonts w:ascii="Sylfaen" w:hAnsi="Sylfaen"/>
                <w:b w:val="0"/>
                <w:sz w:val="24"/>
                <w:szCs w:val="24"/>
              </w:rPr>
              <w:t xml:space="preserve"> </w:t>
            </w:r>
            <w:r w:rsidRPr="00F72577">
              <w:rPr>
                <w:rStyle w:val="Bodytext1811pt"/>
                <w:rFonts w:ascii="Sylfaen" w:hAnsi="Sylfaen"/>
                <w:sz w:val="24"/>
                <w:szCs w:val="24"/>
              </w:rPr>
              <w:t>գնահատում</w:t>
            </w:r>
          </w:p>
        </w:tc>
      </w:tr>
      <w:tr w:rsidR="008C76E0" w:rsidRPr="00F72577" w14:paraId="11F25940" w14:textId="77777777" w:rsidTr="008C76E0">
        <w:trPr>
          <w:jc w:val="center"/>
        </w:trPr>
        <w:tc>
          <w:tcPr>
            <w:tcW w:w="3263" w:type="dxa"/>
            <w:vMerge/>
            <w:tcBorders>
              <w:left w:val="single" w:sz="4" w:space="0" w:color="auto"/>
            </w:tcBorders>
            <w:shd w:val="clear" w:color="auto" w:fill="FFFFFF"/>
          </w:tcPr>
          <w:p w14:paraId="4AC2A592"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vAlign w:val="bottom"/>
          </w:tcPr>
          <w:p w14:paraId="2856ADA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վիճակագրություն վարիացիաների վիճակագրություն</w:t>
            </w:r>
          </w:p>
        </w:tc>
        <w:tc>
          <w:tcPr>
            <w:tcW w:w="2097" w:type="dxa"/>
            <w:gridSpan w:val="3"/>
            <w:tcBorders>
              <w:top w:val="single" w:sz="4" w:space="0" w:color="auto"/>
              <w:left w:val="single" w:sz="4" w:space="0" w:color="auto"/>
            </w:tcBorders>
            <w:shd w:val="clear" w:color="auto" w:fill="FFFFFF"/>
          </w:tcPr>
          <w:p w14:paraId="2051A54F"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843" w:type="dxa"/>
            <w:gridSpan w:val="3"/>
            <w:tcBorders>
              <w:top w:val="single" w:sz="4" w:space="0" w:color="auto"/>
              <w:left w:val="single" w:sz="4" w:space="0" w:color="auto"/>
            </w:tcBorders>
            <w:shd w:val="clear" w:color="auto" w:fill="FFFFFF"/>
          </w:tcPr>
          <w:p w14:paraId="773F8AE8" w14:textId="77777777" w:rsidR="008C76E0" w:rsidRPr="00F72577" w:rsidRDefault="008C76E0" w:rsidP="008C76E0">
            <w:pPr>
              <w:pStyle w:val="Bodytext180"/>
              <w:shd w:val="clear" w:color="auto" w:fill="auto"/>
              <w:spacing w:before="0" w:after="120" w:line="240" w:lineRule="auto"/>
              <w:ind w:left="41" w:right="41"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c>
          <w:tcPr>
            <w:tcW w:w="1639" w:type="dxa"/>
            <w:tcBorders>
              <w:top w:val="single" w:sz="4" w:space="0" w:color="auto"/>
              <w:left w:val="single" w:sz="4" w:space="0" w:color="auto"/>
              <w:right w:val="single" w:sz="4" w:space="0" w:color="auto"/>
            </w:tcBorders>
            <w:shd w:val="clear" w:color="auto" w:fill="FFFFFF"/>
          </w:tcPr>
          <w:p w14:paraId="5BC0E3DC" w14:textId="77777777" w:rsidR="008C76E0" w:rsidRPr="00F72577" w:rsidRDefault="008C76E0" w:rsidP="008C76E0">
            <w:pPr>
              <w:pStyle w:val="Bodytext180"/>
              <w:shd w:val="clear" w:color="auto" w:fill="auto"/>
              <w:spacing w:before="0" w:after="120" w:line="240" w:lineRule="auto"/>
              <w:ind w:left="-36" w:right="-46" w:firstLine="0"/>
              <w:rPr>
                <w:rFonts w:ascii="Sylfaen" w:hAnsi="Sylfaen"/>
                <w:b w:val="0"/>
                <w:sz w:val="24"/>
                <w:szCs w:val="24"/>
              </w:rPr>
            </w:pPr>
            <w:r w:rsidRPr="00F72577">
              <w:rPr>
                <w:rStyle w:val="Bodytext1811pt"/>
                <w:rFonts w:ascii="Sylfaen" w:hAnsi="Sylfaen"/>
                <w:sz w:val="24"/>
                <w:szCs w:val="24"/>
              </w:rPr>
              <w:t>Վարիատիվու</w:t>
            </w:r>
            <w:r w:rsidRPr="00F72577">
              <w:rPr>
                <w:rStyle w:val="Bodytext1811pt"/>
                <w:rFonts w:ascii="Sylfaen" w:hAnsi="Sylfaen"/>
                <w:sz w:val="24"/>
                <w:szCs w:val="24"/>
                <w:lang w:val="en-US"/>
              </w:rPr>
              <w:t>-</w:t>
            </w:r>
            <w:r w:rsidRPr="00F72577">
              <w:rPr>
                <w:rStyle w:val="Bodytext1811pt"/>
                <w:rFonts w:ascii="Sylfaen" w:hAnsi="Sylfaen"/>
                <w:sz w:val="24"/>
                <w:szCs w:val="24"/>
              </w:rPr>
              <w:t>թյուն</w:t>
            </w:r>
          </w:p>
        </w:tc>
      </w:tr>
      <w:tr w:rsidR="008C76E0" w:rsidRPr="00F72577" w14:paraId="17840507" w14:textId="77777777" w:rsidTr="008C76E0">
        <w:trPr>
          <w:jc w:val="center"/>
        </w:trPr>
        <w:tc>
          <w:tcPr>
            <w:tcW w:w="3263" w:type="dxa"/>
            <w:vMerge w:val="restart"/>
            <w:tcBorders>
              <w:top w:val="single" w:sz="4" w:space="0" w:color="auto"/>
              <w:left w:val="single" w:sz="4" w:space="0" w:color="auto"/>
            </w:tcBorders>
            <w:shd w:val="clear" w:color="auto" w:fill="FFFFFF"/>
          </w:tcPr>
          <w:p w14:paraId="19569610" w14:textId="77777777" w:rsidR="008C76E0" w:rsidRPr="008C76E0" w:rsidRDefault="008C76E0" w:rsidP="008C76E0">
            <w:pPr>
              <w:pStyle w:val="Bodytext180"/>
              <w:shd w:val="clear" w:color="auto" w:fill="auto"/>
              <w:spacing w:before="0" w:after="120" w:line="240" w:lineRule="auto"/>
              <w:ind w:left="140" w:firstLine="0"/>
              <w:rPr>
                <w:rFonts w:ascii="Sylfaen" w:hAnsi="Sylfaen"/>
                <w:b w:val="0"/>
                <w:sz w:val="24"/>
                <w:szCs w:val="24"/>
                <w:lang w:val="hy-AM"/>
              </w:rPr>
            </w:pPr>
            <w:r w:rsidRPr="00F72577">
              <w:rPr>
                <w:rStyle w:val="Bodytext1811pt"/>
                <w:rFonts w:ascii="Sylfaen" w:hAnsi="Sylfaen"/>
                <w:sz w:val="24"/>
                <w:szCs w:val="24"/>
              </w:rPr>
              <w:t xml:space="preserve">Էֆեկտի գնահատումը համեմատության ժամանակ (ավելացրե՛ք փաստացի կատարված </w:t>
            </w:r>
            <w:r w:rsidRPr="00F72577">
              <w:rPr>
                <w:rStyle w:val="Bodytext1811pt"/>
                <w:rFonts w:ascii="Sylfaen" w:hAnsi="Sylfaen"/>
                <w:sz w:val="24"/>
                <w:szCs w:val="24"/>
              </w:rPr>
              <w:lastRenderedPageBreak/>
              <w:t xml:space="preserve">վիճակագրական վերլուծության նկարագրության համար անհրաժեշտ քանակով տողեր) </w:t>
            </w:r>
          </w:p>
        </w:tc>
        <w:tc>
          <w:tcPr>
            <w:tcW w:w="2503" w:type="dxa"/>
            <w:gridSpan w:val="3"/>
            <w:vMerge w:val="restart"/>
            <w:tcBorders>
              <w:top w:val="single" w:sz="4" w:space="0" w:color="auto"/>
              <w:left w:val="single" w:sz="4" w:space="0" w:color="auto"/>
            </w:tcBorders>
            <w:shd w:val="clear" w:color="auto" w:fill="FFFFFF"/>
          </w:tcPr>
          <w:p w14:paraId="29C7A4E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lastRenderedPageBreak/>
              <w:t>կլինիկական հետազոտության 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կետը</w:t>
            </w:r>
          </w:p>
        </w:tc>
        <w:tc>
          <w:tcPr>
            <w:tcW w:w="2718" w:type="dxa"/>
            <w:gridSpan w:val="4"/>
            <w:tcBorders>
              <w:top w:val="single" w:sz="4" w:space="0" w:color="auto"/>
              <w:left w:val="single" w:sz="4" w:space="0" w:color="auto"/>
            </w:tcBorders>
            <w:shd w:val="clear" w:color="auto" w:fill="FFFFFF"/>
          </w:tcPr>
          <w:p w14:paraId="6B0EEC0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36814014"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 (համաձայն վերը բերված տերմինաբանության)</w:t>
            </w:r>
          </w:p>
        </w:tc>
      </w:tr>
      <w:tr w:rsidR="008C76E0" w:rsidRPr="00F72577" w14:paraId="4562FC13" w14:textId="77777777" w:rsidTr="008C76E0">
        <w:trPr>
          <w:jc w:val="center"/>
        </w:trPr>
        <w:tc>
          <w:tcPr>
            <w:tcW w:w="3263" w:type="dxa"/>
            <w:vMerge/>
            <w:tcBorders>
              <w:left w:val="single" w:sz="4" w:space="0" w:color="auto"/>
            </w:tcBorders>
            <w:shd w:val="clear" w:color="auto" w:fill="FFFFFF"/>
          </w:tcPr>
          <w:p w14:paraId="3EC19524"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3576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0BBDAC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նշանակալիության չափանիշը (օրինակ՝ խմբերի միջ</w:t>
            </w:r>
            <w:r w:rsidR="00C54D75">
              <w:rPr>
                <w:rStyle w:val="Bodytext1811pt"/>
                <w:rFonts w:ascii="Sylfaen" w:hAnsi="Sylfaen"/>
                <w:sz w:val="24"/>
                <w:szCs w:val="24"/>
              </w:rPr>
              <w:t>և</w:t>
            </w:r>
            <w:r w:rsidRPr="00F72577">
              <w:rPr>
                <w:rStyle w:val="Bodytext1811pt"/>
                <w:rFonts w:ascii="Sylfaen" w:hAnsi="Sylfaen"/>
                <w:sz w:val="24"/>
                <w:szCs w:val="24"/>
              </w:rPr>
              <w:t xml:space="preserve"> տարբերությունը) </w:t>
            </w:r>
          </w:p>
        </w:tc>
        <w:tc>
          <w:tcPr>
            <w:tcW w:w="2861" w:type="dxa"/>
            <w:gridSpan w:val="3"/>
            <w:tcBorders>
              <w:top w:val="single" w:sz="4" w:space="0" w:color="auto"/>
              <w:left w:val="single" w:sz="4" w:space="0" w:color="auto"/>
              <w:right w:val="single" w:sz="4" w:space="0" w:color="auto"/>
            </w:tcBorders>
            <w:shd w:val="clear" w:color="auto" w:fill="FFFFFF"/>
          </w:tcPr>
          <w:p w14:paraId="41C533DA"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08C58DF0" w14:textId="77777777" w:rsidTr="008C76E0">
        <w:trPr>
          <w:jc w:val="center"/>
        </w:trPr>
        <w:tc>
          <w:tcPr>
            <w:tcW w:w="3263" w:type="dxa"/>
            <w:vMerge/>
            <w:tcBorders>
              <w:left w:val="single" w:sz="4" w:space="0" w:color="auto"/>
            </w:tcBorders>
            <w:shd w:val="clear" w:color="auto" w:fill="FFFFFF"/>
          </w:tcPr>
          <w:p w14:paraId="016D4DF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59545671"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13850DD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վարիացիաների վիճակագրությունը (օրինակ՝ վստահելի միջակայքը </w:t>
            </w:r>
            <w:r w:rsidR="00C54D75">
              <w:rPr>
                <w:rStyle w:val="Bodytext1811pt"/>
                <w:rFonts w:ascii="Sylfaen" w:hAnsi="Sylfaen"/>
                <w:sz w:val="24"/>
                <w:szCs w:val="24"/>
              </w:rPr>
              <w:t>և</w:t>
            </w:r>
            <w:r w:rsidRPr="00F72577">
              <w:rPr>
                <w:rStyle w:val="Bodytext1811pt"/>
                <w:rFonts w:ascii="Sylfaen" w:hAnsi="Sylfaen"/>
                <w:sz w:val="24"/>
                <w:szCs w:val="24"/>
              </w:rPr>
              <w:t xml:space="preserve"> այլն)</w:t>
            </w:r>
          </w:p>
        </w:tc>
        <w:tc>
          <w:tcPr>
            <w:tcW w:w="2861" w:type="dxa"/>
            <w:gridSpan w:val="3"/>
            <w:tcBorders>
              <w:top w:val="single" w:sz="4" w:space="0" w:color="auto"/>
              <w:left w:val="single" w:sz="4" w:space="0" w:color="auto"/>
              <w:right w:val="single" w:sz="4" w:space="0" w:color="auto"/>
            </w:tcBorders>
            <w:shd w:val="clear" w:color="auto" w:fill="FFFFFF"/>
          </w:tcPr>
          <w:p w14:paraId="727189E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վարիատիվությունը</w:t>
            </w:r>
          </w:p>
        </w:tc>
      </w:tr>
      <w:tr w:rsidR="008C76E0" w:rsidRPr="00F72577" w14:paraId="51B39AF5" w14:textId="77777777" w:rsidTr="008C76E0">
        <w:trPr>
          <w:jc w:val="center"/>
        </w:trPr>
        <w:tc>
          <w:tcPr>
            <w:tcW w:w="3263" w:type="dxa"/>
            <w:vMerge/>
            <w:tcBorders>
              <w:left w:val="single" w:sz="4" w:space="0" w:color="auto"/>
            </w:tcBorders>
            <w:shd w:val="clear" w:color="auto" w:fill="FFFFFF"/>
          </w:tcPr>
          <w:p w14:paraId="1DE2EA42"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541B70D"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651835BA"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 xml:space="preserve">P արժեքը (նշե՛ք օգտագործված վիճակագրական մեթոդը, օրինակ՝ ANOVA) </w:t>
            </w:r>
          </w:p>
        </w:tc>
        <w:tc>
          <w:tcPr>
            <w:tcW w:w="2861" w:type="dxa"/>
            <w:gridSpan w:val="3"/>
            <w:tcBorders>
              <w:top w:val="single" w:sz="4" w:space="0" w:color="auto"/>
              <w:left w:val="single" w:sz="4" w:space="0" w:color="auto"/>
              <w:right w:val="single" w:sz="4" w:space="0" w:color="auto"/>
            </w:tcBorders>
            <w:shd w:val="clear" w:color="auto" w:fill="FFFFFF"/>
          </w:tcPr>
          <w:p w14:paraId="6CD20FC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15A1438B" w14:textId="77777777" w:rsidTr="008C76E0">
        <w:trPr>
          <w:jc w:val="center"/>
        </w:trPr>
        <w:tc>
          <w:tcPr>
            <w:tcW w:w="3263" w:type="dxa"/>
            <w:vMerge/>
            <w:tcBorders>
              <w:left w:val="single" w:sz="4" w:space="0" w:color="auto"/>
            </w:tcBorders>
            <w:shd w:val="clear" w:color="auto" w:fill="FFFFFF"/>
          </w:tcPr>
          <w:p w14:paraId="724C913A"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7E6C514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 կլինի</w:t>
            </w:r>
            <w:r w:rsidRPr="008C76E0">
              <w:rPr>
                <w:rFonts w:ascii="Sylfaen" w:hAnsi="Sylfaen"/>
                <w:b w:val="0"/>
                <w:sz w:val="24"/>
                <w:szCs w:val="24"/>
                <w:lang w:val="hy-AM"/>
              </w:rPr>
              <w:t>կ</w:t>
            </w:r>
            <w:r w:rsidRPr="00F72577">
              <w:rPr>
                <w:rStyle w:val="Bodytext1811pt"/>
                <w:rFonts w:ascii="Sylfaen" w:hAnsi="Sylfaen"/>
                <w:sz w:val="24"/>
                <w:szCs w:val="24"/>
              </w:rPr>
              <w:t>ական</w:t>
            </w:r>
            <w:r w:rsidRPr="008C76E0">
              <w:rPr>
                <w:rFonts w:ascii="Sylfaen" w:hAnsi="Sylfaen"/>
                <w:b w:val="0"/>
                <w:sz w:val="24"/>
                <w:szCs w:val="24"/>
                <w:lang w:val="hy-AM"/>
              </w:rPr>
              <w:t xml:space="preserve"> </w:t>
            </w:r>
            <w:r w:rsidRPr="00F72577">
              <w:rPr>
                <w:rStyle w:val="Bodytext1811pt"/>
                <w:rFonts w:ascii="Sylfaen" w:hAnsi="Sylfaen"/>
                <w:sz w:val="24"/>
                <w:szCs w:val="24"/>
              </w:rPr>
              <w:t xml:space="preserve">հետազոտության </w:t>
            </w:r>
            <w:r w:rsidRPr="008C76E0">
              <w:rPr>
                <w:rFonts w:ascii="Sylfaen" w:hAnsi="Sylfaen"/>
                <w:b w:val="0"/>
                <w:sz w:val="24"/>
                <w:szCs w:val="24"/>
                <w:lang w:val="hy-AM"/>
              </w:rPr>
              <w:t>կետը</w:t>
            </w:r>
          </w:p>
        </w:tc>
        <w:tc>
          <w:tcPr>
            <w:tcW w:w="2718" w:type="dxa"/>
            <w:gridSpan w:val="4"/>
            <w:tcBorders>
              <w:top w:val="single" w:sz="4" w:space="0" w:color="auto"/>
              <w:left w:val="single" w:sz="4" w:space="0" w:color="auto"/>
            </w:tcBorders>
            <w:shd w:val="clear" w:color="auto" w:fill="FFFFFF"/>
            <w:vAlign w:val="center"/>
          </w:tcPr>
          <w:p w14:paraId="1C782BA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492E7091"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A82CD4C" w14:textId="77777777" w:rsidTr="008C76E0">
        <w:trPr>
          <w:jc w:val="center"/>
        </w:trPr>
        <w:tc>
          <w:tcPr>
            <w:tcW w:w="3263" w:type="dxa"/>
            <w:vMerge/>
            <w:tcBorders>
              <w:left w:val="single" w:sz="4" w:space="0" w:color="auto"/>
            </w:tcBorders>
            <w:shd w:val="clear" w:color="auto" w:fill="FFFFFF"/>
          </w:tcPr>
          <w:p w14:paraId="66A8EF4E"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9F16BE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3DC69F8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նշանակալիության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7E36ABF"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կետային գնահատումը</w:t>
            </w:r>
          </w:p>
        </w:tc>
      </w:tr>
      <w:tr w:rsidR="008C76E0" w:rsidRPr="00F72577" w14:paraId="57ADCBEC" w14:textId="77777777" w:rsidTr="008C76E0">
        <w:trPr>
          <w:jc w:val="center"/>
        </w:trPr>
        <w:tc>
          <w:tcPr>
            <w:tcW w:w="3263" w:type="dxa"/>
            <w:vMerge/>
            <w:tcBorders>
              <w:left w:val="single" w:sz="4" w:space="0" w:color="auto"/>
            </w:tcBorders>
            <w:shd w:val="clear" w:color="auto" w:fill="FFFFFF"/>
          </w:tcPr>
          <w:p w14:paraId="470AA105"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7DD0106F"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213677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w:t>
            </w:r>
          </w:p>
        </w:tc>
        <w:tc>
          <w:tcPr>
            <w:tcW w:w="2861" w:type="dxa"/>
            <w:gridSpan w:val="3"/>
            <w:tcBorders>
              <w:top w:val="single" w:sz="4" w:space="0" w:color="auto"/>
              <w:left w:val="single" w:sz="4" w:space="0" w:color="auto"/>
              <w:right w:val="single" w:sz="4" w:space="0" w:color="auto"/>
            </w:tcBorders>
            <w:shd w:val="clear" w:color="auto" w:fill="FFFFFF"/>
          </w:tcPr>
          <w:p w14:paraId="2D7409EE"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վարիատիվություն</w:t>
            </w:r>
          </w:p>
        </w:tc>
      </w:tr>
      <w:tr w:rsidR="008C76E0" w:rsidRPr="00F72577" w14:paraId="6E650303" w14:textId="77777777" w:rsidTr="008C76E0">
        <w:trPr>
          <w:jc w:val="center"/>
        </w:trPr>
        <w:tc>
          <w:tcPr>
            <w:tcW w:w="3263" w:type="dxa"/>
            <w:vMerge w:val="restart"/>
            <w:tcBorders>
              <w:top w:val="single" w:sz="4" w:space="0" w:color="auto"/>
              <w:left w:val="single" w:sz="4" w:space="0" w:color="auto"/>
            </w:tcBorders>
            <w:shd w:val="clear" w:color="auto" w:fill="FFFFFF"/>
          </w:tcPr>
          <w:p w14:paraId="4174FC1E" w14:textId="77777777" w:rsidR="008C76E0" w:rsidRPr="00F72577" w:rsidRDefault="008C76E0" w:rsidP="008C76E0">
            <w:pPr>
              <w:spacing w:after="120" w:line="240" w:lineRule="auto"/>
              <w:rPr>
                <w:rFonts w:ascii="Sylfaen" w:hAnsi="Sylfaen"/>
                <w:sz w:val="24"/>
                <w:szCs w:val="24"/>
              </w:rPr>
            </w:pPr>
          </w:p>
        </w:tc>
        <w:tc>
          <w:tcPr>
            <w:tcW w:w="2503" w:type="dxa"/>
            <w:gridSpan w:val="3"/>
            <w:tcBorders>
              <w:top w:val="single" w:sz="4" w:space="0" w:color="auto"/>
              <w:left w:val="single" w:sz="4" w:space="0" w:color="auto"/>
            </w:tcBorders>
            <w:shd w:val="clear" w:color="auto" w:fill="FFFFFF"/>
          </w:tcPr>
          <w:p w14:paraId="3FF8ED81"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նշե՛ք կլինիկական հետազոտության կետը՝ օգտվելով վեր</w:t>
            </w:r>
            <w:r w:rsidR="00C54D75">
              <w:rPr>
                <w:rStyle w:val="Bodytext1811pt"/>
                <w:rFonts w:ascii="Sylfaen" w:hAnsi="Sylfaen"/>
                <w:sz w:val="24"/>
                <w:szCs w:val="24"/>
              </w:rPr>
              <w:t>և</w:t>
            </w:r>
            <w:r w:rsidRPr="00F72577">
              <w:rPr>
                <w:rStyle w:val="Bodytext1811pt"/>
                <w:rFonts w:ascii="Sylfaen" w:hAnsi="Sylfaen"/>
                <w:sz w:val="24"/>
                <w:szCs w:val="24"/>
              </w:rPr>
              <w:t xml:space="preserve">ում՝ «Կլինիկական հետազոտության </w:t>
            </w:r>
            <w:r w:rsidR="00C54D75">
              <w:rPr>
                <w:rStyle w:val="Bodytext1811pt"/>
                <w:rFonts w:ascii="Sylfaen" w:hAnsi="Sylfaen"/>
                <w:sz w:val="24"/>
                <w:szCs w:val="24"/>
              </w:rPr>
              <w:t>և</w:t>
            </w:r>
            <w:r w:rsidRPr="00F72577">
              <w:rPr>
                <w:rStyle w:val="Bodytext1811pt"/>
                <w:rFonts w:ascii="Sylfaen" w:hAnsi="Sylfaen"/>
                <w:sz w:val="24"/>
                <w:szCs w:val="24"/>
              </w:rPr>
              <w:t xml:space="preserve"> սահմանման կետերը» բաժնում նշված տերմինաբանութ-յունից</w:t>
            </w:r>
          </w:p>
        </w:tc>
        <w:tc>
          <w:tcPr>
            <w:tcW w:w="2718" w:type="dxa"/>
            <w:gridSpan w:val="4"/>
            <w:tcBorders>
              <w:top w:val="single" w:sz="4" w:space="0" w:color="auto"/>
              <w:left w:val="single" w:sz="4" w:space="0" w:color="auto"/>
            </w:tcBorders>
            <w:shd w:val="clear" w:color="auto" w:fill="FFFFFF"/>
          </w:tcPr>
          <w:p w14:paraId="4BBC493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1151137B"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35C1DD60" w14:textId="77777777" w:rsidTr="008C76E0">
        <w:trPr>
          <w:jc w:val="center"/>
        </w:trPr>
        <w:tc>
          <w:tcPr>
            <w:tcW w:w="3263" w:type="dxa"/>
            <w:vMerge/>
            <w:tcBorders>
              <w:left w:val="single" w:sz="4" w:space="0" w:color="auto"/>
            </w:tcBorders>
            <w:shd w:val="clear" w:color="auto" w:fill="FFFFFF"/>
          </w:tcPr>
          <w:p w14:paraId="3431862C" w14:textId="77777777" w:rsidR="008C76E0" w:rsidRPr="00F72577" w:rsidRDefault="008C76E0" w:rsidP="008C76E0">
            <w:pPr>
              <w:spacing w:after="120" w:line="240" w:lineRule="auto"/>
              <w:rPr>
                <w:rFonts w:ascii="Sylfaen" w:hAnsi="Sylfaen"/>
                <w:sz w:val="24"/>
                <w:szCs w:val="24"/>
              </w:rPr>
            </w:pPr>
          </w:p>
        </w:tc>
        <w:tc>
          <w:tcPr>
            <w:tcW w:w="2503" w:type="dxa"/>
            <w:gridSpan w:val="3"/>
            <w:vMerge w:val="restart"/>
            <w:tcBorders>
              <w:top w:val="single" w:sz="4" w:space="0" w:color="auto"/>
              <w:left w:val="single" w:sz="4" w:space="0" w:color="auto"/>
            </w:tcBorders>
            <w:shd w:val="clear" w:color="auto" w:fill="FFFFFF"/>
          </w:tcPr>
          <w:p w14:paraId="6AF5180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համակցված</w:t>
            </w:r>
            <w:r w:rsidRPr="008C76E0">
              <w:rPr>
                <w:rFonts w:ascii="Sylfaen" w:hAnsi="Sylfaen"/>
                <w:b w:val="0"/>
                <w:sz w:val="24"/>
                <w:szCs w:val="24"/>
                <w:lang w:val="hy-AM"/>
              </w:rPr>
              <w:t xml:space="preserve"> </w:t>
            </w:r>
            <w:r w:rsidRPr="00F72577">
              <w:rPr>
                <w:rStyle w:val="Bodytext1811pt"/>
                <w:rFonts w:ascii="Sylfaen" w:hAnsi="Sylfaen"/>
                <w:sz w:val="24"/>
                <w:szCs w:val="24"/>
              </w:rPr>
              <w:t>առաջնային</w:t>
            </w:r>
            <w:r w:rsidRPr="008C76E0">
              <w:rPr>
                <w:rFonts w:ascii="Sylfaen" w:hAnsi="Sylfaen"/>
                <w:b w:val="0"/>
                <w:sz w:val="24"/>
                <w:szCs w:val="24"/>
                <w:lang w:val="hy-AM"/>
              </w:rPr>
              <w:t xml:space="preserve"> </w:t>
            </w:r>
            <w:r w:rsidRPr="00F72577">
              <w:rPr>
                <w:rStyle w:val="Bodytext1811pt"/>
                <w:rFonts w:ascii="Sylfaen" w:hAnsi="Sylfaen"/>
                <w:sz w:val="24"/>
                <w:szCs w:val="24"/>
              </w:rPr>
              <w:t>երկրորդային</w:t>
            </w:r>
            <w:r w:rsidRPr="008C76E0">
              <w:rPr>
                <w:rFonts w:ascii="Sylfaen" w:hAnsi="Sylfaen"/>
                <w:b w:val="0"/>
                <w:sz w:val="24"/>
                <w:szCs w:val="24"/>
                <w:lang w:val="hy-AM"/>
              </w:rPr>
              <w:t xml:space="preserve"> </w:t>
            </w:r>
            <w:r w:rsidRPr="00F72577">
              <w:rPr>
                <w:rStyle w:val="Bodytext1811pt"/>
                <w:rFonts w:ascii="Sylfaen" w:hAnsi="Sylfaen"/>
                <w:sz w:val="24"/>
                <w:szCs w:val="24"/>
              </w:rPr>
              <w:t>այլ՝</w:t>
            </w:r>
            <w:r w:rsidRPr="008C76E0">
              <w:rPr>
                <w:rFonts w:ascii="Sylfaen" w:hAnsi="Sylfaen"/>
                <w:b w:val="0"/>
                <w:sz w:val="24"/>
                <w:szCs w:val="24"/>
                <w:lang w:val="hy-AM"/>
              </w:rPr>
              <w:t xml:space="preserve"> </w:t>
            </w:r>
            <w:r w:rsidRPr="00F72577">
              <w:rPr>
                <w:rStyle w:val="Bodytext1811pt"/>
                <w:rFonts w:ascii="Sylfaen" w:hAnsi="Sylfaen"/>
                <w:sz w:val="24"/>
                <w:szCs w:val="24"/>
              </w:rPr>
              <w:t>նշեք</w:t>
            </w:r>
          </w:p>
        </w:tc>
        <w:tc>
          <w:tcPr>
            <w:tcW w:w="2718" w:type="dxa"/>
            <w:gridSpan w:val="4"/>
            <w:tcBorders>
              <w:top w:val="single" w:sz="4" w:space="0" w:color="auto"/>
              <w:left w:val="single" w:sz="4" w:space="0" w:color="auto"/>
            </w:tcBorders>
            <w:shd w:val="clear" w:color="auto" w:fill="FFFFFF"/>
            <w:vAlign w:val="center"/>
          </w:tcPr>
          <w:p w14:paraId="57A7C0C6"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համեմատության խմբերը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599B4C1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խմբի ծածկագրված նշագիրը</w:t>
            </w:r>
          </w:p>
        </w:tc>
      </w:tr>
      <w:tr w:rsidR="008C76E0" w:rsidRPr="00F72577" w14:paraId="32D4F576" w14:textId="77777777" w:rsidTr="008C76E0">
        <w:trPr>
          <w:jc w:val="center"/>
        </w:trPr>
        <w:tc>
          <w:tcPr>
            <w:tcW w:w="3263" w:type="dxa"/>
            <w:vMerge/>
            <w:tcBorders>
              <w:left w:val="single" w:sz="4" w:space="0" w:color="auto"/>
            </w:tcBorders>
            <w:shd w:val="clear" w:color="auto" w:fill="FFFFFF"/>
          </w:tcPr>
          <w:p w14:paraId="6956845D"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3720D17B"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vAlign w:val="bottom"/>
          </w:tcPr>
          <w:p w14:paraId="0111328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c>
          <w:tcPr>
            <w:tcW w:w="2861" w:type="dxa"/>
            <w:gridSpan w:val="3"/>
            <w:tcBorders>
              <w:top w:val="single" w:sz="4" w:space="0" w:color="auto"/>
              <w:left w:val="single" w:sz="4" w:space="0" w:color="auto"/>
              <w:right w:val="single" w:sz="4" w:space="0" w:color="auto"/>
            </w:tcBorders>
            <w:shd w:val="clear" w:color="auto" w:fill="FFFFFF"/>
            <w:vAlign w:val="bottom"/>
          </w:tcPr>
          <w:p w14:paraId="0BCC2C87"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նշանակելիության չափանիշը</w:t>
            </w:r>
          </w:p>
        </w:tc>
      </w:tr>
      <w:tr w:rsidR="008C76E0" w:rsidRPr="00F72577" w14:paraId="37DA99AE" w14:textId="77777777" w:rsidTr="008C76E0">
        <w:trPr>
          <w:jc w:val="center"/>
        </w:trPr>
        <w:tc>
          <w:tcPr>
            <w:tcW w:w="3263" w:type="dxa"/>
            <w:vMerge/>
            <w:tcBorders>
              <w:left w:val="single" w:sz="4" w:space="0" w:color="auto"/>
            </w:tcBorders>
            <w:shd w:val="clear" w:color="auto" w:fill="FFFFFF"/>
          </w:tcPr>
          <w:p w14:paraId="2ED97A9C"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6841807C"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33EAF405"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c>
          <w:tcPr>
            <w:tcW w:w="2861" w:type="dxa"/>
            <w:gridSpan w:val="3"/>
            <w:tcBorders>
              <w:top w:val="single" w:sz="4" w:space="0" w:color="auto"/>
              <w:left w:val="single" w:sz="4" w:space="0" w:color="auto"/>
              <w:right w:val="single" w:sz="4" w:space="0" w:color="auto"/>
            </w:tcBorders>
            <w:shd w:val="clear" w:color="auto" w:fill="FFFFFF"/>
          </w:tcPr>
          <w:p w14:paraId="57A0333D"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վարիացիաների վիճակագրությունը</w:t>
            </w:r>
          </w:p>
        </w:tc>
      </w:tr>
      <w:tr w:rsidR="008C76E0" w:rsidRPr="00F72577" w14:paraId="00953830" w14:textId="77777777" w:rsidTr="008C76E0">
        <w:trPr>
          <w:jc w:val="center"/>
        </w:trPr>
        <w:tc>
          <w:tcPr>
            <w:tcW w:w="3263" w:type="dxa"/>
            <w:vMerge/>
            <w:tcBorders>
              <w:left w:val="single" w:sz="4" w:space="0" w:color="auto"/>
            </w:tcBorders>
            <w:shd w:val="clear" w:color="auto" w:fill="FFFFFF"/>
          </w:tcPr>
          <w:p w14:paraId="58467EFA" w14:textId="77777777" w:rsidR="008C76E0" w:rsidRPr="00F72577" w:rsidRDefault="008C76E0" w:rsidP="008C76E0">
            <w:pPr>
              <w:spacing w:after="120" w:line="240" w:lineRule="auto"/>
              <w:rPr>
                <w:rFonts w:ascii="Sylfaen" w:hAnsi="Sylfaen"/>
                <w:sz w:val="24"/>
                <w:szCs w:val="24"/>
              </w:rPr>
            </w:pPr>
          </w:p>
        </w:tc>
        <w:tc>
          <w:tcPr>
            <w:tcW w:w="2503" w:type="dxa"/>
            <w:gridSpan w:val="3"/>
            <w:vMerge/>
            <w:tcBorders>
              <w:left w:val="single" w:sz="4" w:space="0" w:color="auto"/>
            </w:tcBorders>
            <w:shd w:val="clear" w:color="auto" w:fill="FFFFFF"/>
          </w:tcPr>
          <w:p w14:paraId="238223B3" w14:textId="77777777" w:rsidR="008C76E0" w:rsidRPr="00F72577" w:rsidRDefault="008C76E0" w:rsidP="008C76E0">
            <w:pPr>
              <w:spacing w:after="120" w:line="240" w:lineRule="auto"/>
              <w:rPr>
                <w:rFonts w:ascii="Sylfaen" w:hAnsi="Sylfaen"/>
                <w:sz w:val="24"/>
                <w:szCs w:val="24"/>
              </w:rPr>
            </w:pPr>
          </w:p>
        </w:tc>
        <w:tc>
          <w:tcPr>
            <w:tcW w:w="2718" w:type="dxa"/>
            <w:gridSpan w:val="4"/>
            <w:tcBorders>
              <w:top w:val="single" w:sz="4" w:space="0" w:color="auto"/>
              <w:left w:val="single" w:sz="4" w:space="0" w:color="auto"/>
            </w:tcBorders>
            <w:shd w:val="clear" w:color="auto" w:fill="FFFFFF"/>
          </w:tcPr>
          <w:p w14:paraId="52A04C90"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c>
          <w:tcPr>
            <w:tcW w:w="2861" w:type="dxa"/>
            <w:gridSpan w:val="3"/>
            <w:tcBorders>
              <w:top w:val="single" w:sz="4" w:space="0" w:color="auto"/>
              <w:left w:val="single" w:sz="4" w:space="0" w:color="auto"/>
              <w:right w:val="single" w:sz="4" w:space="0" w:color="auto"/>
            </w:tcBorders>
            <w:shd w:val="clear" w:color="auto" w:fill="FFFFFF"/>
          </w:tcPr>
          <w:p w14:paraId="6AA6158A" w14:textId="77777777" w:rsidR="008C76E0" w:rsidRPr="00C73AC5"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P արժեքը</w:t>
            </w:r>
          </w:p>
        </w:tc>
      </w:tr>
      <w:tr w:rsidR="008C76E0" w:rsidRPr="00F72577" w14:paraId="547C64F9" w14:textId="77777777" w:rsidTr="008C76E0">
        <w:trPr>
          <w:jc w:val="center"/>
        </w:trPr>
        <w:tc>
          <w:tcPr>
            <w:tcW w:w="3263" w:type="dxa"/>
            <w:tcBorders>
              <w:top w:val="single" w:sz="4" w:space="0" w:color="auto"/>
            </w:tcBorders>
            <w:shd w:val="clear" w:color="auto" w:fill="FFFFFF"/>
          </w:tcPr>
          <w:p w14:paraId="77992FDF" w14:textId="77777777" w:rsidR="008C76E0" w:rsidRPr="00F72577" w:rsidRDefault="008C76E0" w:rsidP="008C76E0">
            <w:pPr>
              <w:spacing w:after="120" w:line="240" w:lineRule="auto"/>
              <w:rPr>
                <w:rFonts w:ascii="Sylfaen" w:hAnsi="Sylfaen"/>
                <w:sz w:val="24"/>
                <w:szCs w:val="24"/>
              </w:rPr>
            </w:pPr>
          </w:p>
        </w:tc>
        <w:tc>
          <w:tcPr>
            <w:tcW w:w="8082" w:type="dxa"/>
            <w:gridSpan w:val="10"/>
            <w:tcBorders>
              <w:top w:val="single" w:sz="4" w:space="0" w:color="auto"/>
              <w:left w:val="single" w:sz="4" w:space="0" w:color="auto"/>
              <w:right w:val="single" w:sz="4" w:space="0" w:color="auto"/>
            </w:tcBorders>
            <w:shd w:val="clear" w:color="auto" w:fill="FFFFFF"/>
            <w:vAlign w:val="center"/>
          </w:tcPr>
          <w:p w14:paraId="4ACE852F" w14:textId="77777777" w:rsidR="008C76E0" w:rsidRDefault="008C76E0" w:rsidP="008C76E0">
            <w:pPr>
              <w:pStyle w:val="Bodytext180"/>
              <w:shd w:val="clear" w:color="auto" w:fill="auto"/>
              <w:spacing w:before="0" w:after="120" w:line="240" w:lineRule="auto"/>
              <w:ind w:left="140" w:firstLine="0"/>
              <w:rPr>
                <w:rStyle w:val="Bodytext1811pt"/>
                <w:rFonts w:ascii="Sylfaen" w:hAnsi="Sylfaen"/>
                <w:sz w:val="24"/>
                <w:szCs w:val="24"/>
                <w:lang w:val="en-US"/>
              </w:rPr>
            </w:pPr>
            <w:r w:rsidRPr="00F72577">
              <w:rPr>
                <w:rStyle w:val="Bodytext1811pt"/>
                <w:rFonts w:ascii="Sylfaen" w:hAnsi="Sylfaen"/>
                <w:sz w:val="24"/>
                <w:szCs w:val="24"/>
              </w:rPr>
              <w:t>կլինիկական հետազոտության կետը</w:t>
            </w:r>
          </w:p>
          <w:p w14:paraId="6FD83529" w14:textId="77777777" w:rsidR="008C76E0" w:rsidRPr="0020662E" w:rsidRDefault="008C76E0" w:rsidP="008C76E0">
            <w:pPr>
              <w:pStyle w:val="Bodytext180"/>
              <w:shd w:val="clear" w:color="auto" w:fill="auto"/>
              <w:spacing w:before="0" w:after="120" w:line="240" w:lineRule="auto"/>
              <w:ind w:left="140" w:firstLine="0"/>
              <w:rPr>
                <w:rFonts w:ascii="Sylfaen" w:hAnsi="Sylfaen"/>
                <w:b w:val="0"/>
                <w:sz w:val="24"/>
                <w:szCs w:val="24"/>
              </w:rPr>
            </w:pPr>
          </w:p>
        </w:tc>
      </w:tr>
      <w:tr w:rsidR="008C76E0" w:rsidRPr="00F72577" w14:paraId="6B2B1992" w14:textId="77777777" w:rsidTr="008C76E0">
        <w:trPr>
          <w:jc w:val="center"/>
        </w:trPr>
        <w:tc>
          <w:tcPr>
            <w:tcW w:w="3263" w:type="dxa"/>
            <w:tcBorders>
              <w:top w:val="single" w:sz="4" w:space="0" w:color="auto"/>
            </w:tcBorders>
            <w:shd w:val="clear" w:color="auto" w:fill="FFFFFF"/>
          </w:tcPr>
          <w:p w14:paraId="433A80B2"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lastRenderedPageBreak/>
              <w:t>Ծանոթագրություններ</w:t>
            </w:r>
          </w:p>
        </w:tc>
        <w:tc>
          <w:tcPr>
            <w:tcW w:w="8082" w:type="dxa"/>
            <w:gridSpan w:val="10"/>
            <w:tcBorders>
              <w:top w:val="single" w:sz="4" w:space="0" w:color="auto"/>
              <w:left w:val="single" w:sz="4" w:space="0" w:color="auto"/>
              <w:right w:val="single" w:sz="4" w:space="0" w:color="auto"/>
            </w:tcBorders>
            <w:shd w:val="clear" w:color="auto" w:fill="FFFFFF"/>
            <w:vAlign w:val="bottom"/>
          </w:tcPr>
          <w:p w14:paraId="3667F725"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կամայական տեքստը</w:t>
            </w:r>
          </w:p>
          <w:p w14:paraId="4D810F0C"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(ի թիվս այլոց դիտարկե՛ք հետ</w:t>
            </w:r>
            <w:r w:rsidR="00C54D75">
              <w:rPr>
                <w:rStyle w:val="Bodytext1811pt"/>
                <w:rFonts w:ascii="Sylfaen" w:hAnsi="Sylfaen"/>
                <w:sz w:val="24"/>
                <w:szCs w:val="24"/>
              </w:rPr>
              <w:t>և</w:t>
            </w:r>
            <w:r w:rsidRPr="00F72577">
              <w:rPr>
                <w:rStyle w:val="Bodytext1811pt"/>
                <w:rFonts w:ascii="Sylfaen" w:hAnsi="Sylfaen"/>
                <w:sz w:val="24"/>
                <w:szCs w:val="24"/>
              </w:rPr>
              <w:t>յալ տեղեկատվությունը՝ հետազոտությունից դուրս գալու պատճառները վերլուծության խիստ կար</w:t>
            </w:r>
            <w:r w:rsidR="00C54D75">
              <w:rPr>
                <w:rStyle w:val="Bodytext1811pt"/>
                <w:rFonts w:ascii="Sylfaen" w:hAnsi="Sylfaen"/>
                <w:sz w:val="24"/>
                <w:szCs w:val="24"/>
              </w:rPr>
              <w:t>և</w:t>
            </w:r>
            <w:r w:rsidRPr="00F72577">
              <w:rPr>
                <w:rStyle w:val="Bodytext1811pt"/>
                <w:rFonts w:ascii="Sylfaen" w:hAnsi="Sylfaen"/>
                <w:sz w:val="24"/>
                <w:szCs w:val="24"/>
              </w:rPr>
              <w:t>որ արդյունքները)</w:t>
            </w:r>
          </w:p>
        </w:tc>
      </w:tr>
      <w:tr w:rsidR="008C76E0" w:rsidRPr="00F72577" w14:paraId="533E028E" w14:textId="77777777" w:rsidTr="008C76E0">
        <w:trPr>
          <w:jc w:val="center"/>
        </w:trPr>
        <w:tc>
          <w:tcPr>
            <w:tcW w:w="3263" w:type="dxa"/>
            <w:tcBorders>
              <w:top w:val="single" w:sz="4" w:space="0" w:color="auto"/>
            </w:tcBorders>
            <w:shd w:val="clear" w:color="auto" w:fill="FFFFFF"/>
          </w:tcPr>
          <w:p w14:paraId="6F80EA8D" w14:textId="77777777" w:rsidR="008C76E0" w:rsidRPr="00F72577" w:rsidRDefault="008C76E0" w:rsidP="008C76E0">
            <w:pPr>
              <w:pStyle w:val="Bodytext180"/>
              <w:shd w:val="clear" w:color="auto" w:fill="auto"/>
              <w:spacing w:before="0" w:after="120" w:line="240" w:lineRule="auto"/>
              <w:ind w:left="99" w:firstLine="0"/>
              <w:rPr>
                <w:rFonts w:ascii="Sylfaen" w:hAnsi="Sylfaen"/>
                <w:b w:val="0"/>
                <w:sz w:val="24"/>
                <w:szCs w:val="24"/>
              </w:rPr>
            </w:pPr>
            <w:r w:rsidRPr="00F72577">
              <w:rPr>
                <w:rStyle w:val="Bodytext1811pt"/>
                <w:rFonts w:ascii="Sylfaen" w:hAnsi="Sylfaen"/>
                <w:sz w:val="24"/>
                <w:szCs w:val="24"/>
              </w:rPr>
              <w:t>Վերլուծության նկարագրությունը</w:t>
            </w:r>
          </w:p>
        </w:tc>
        <w:tc>
          <w:tcPr>
            <w:tcW w:w="8082" w:type="dxa"/>
            <w:gridSpan w:val="10"/>
            <w:tcBorders>
              <w:top w:val="single" w:sz="4" w:space="0" w:color="auto"/>
              <w:left w:val="single" w:sz="4" w:space="0" w:color="auto"/>
              <w:right w:val="single" w:sz="4" w:space="0" w:color="auto"/>
            </w:tcBorders>
            <w:shd w:val="clear" w:color="auto" w:fill="FFFFFF"/>
          </w:tcPr>
          <w:p w14:paraId="3FB30E72" w14:textId="77777777" w:rsidR="008C76E0" w:rsidRPr="00F72577" w:rsidRDefault="008C76E0" w:rsidP="008C76E0">
            <w:pPr>
              <w:pStyle w:val="Bodytext180"/>
              <w:shd w:val="clear" w:color="auto" w:fill="auto"/>
              <w:spacing w:before="0" w:after="120" w:line="240" w:lineRule="auto"/>
              <w:ind w:left="140" w:firstLine="0"/>
              <w:rPr>
                <w:rFonts w:ascii="Sylfaen" w:hAnsi="Sylfaen"/>
                <w:b w:val="0"/>
                <w:sz w:val="24"/>
                <w:szCs w:val="24"/>
              </w:rPr>
            </w:pPr>
            <w:r w:rsidRPr="00F72577">
              <w:rPr>
                <w:rStyle w:val="Bodytext1811pt"/>
                <w:rFonts w:ascii="Sylfaen" w:hAnsi="Sylfaen"/>
                <w:sz w:val="24"/>
                <w:szCs w:val="24"/>
              </w:rPr>
              <w:t>լրացուցիչ վերլուծությունը համակցված առաջնային վերլուծություն այլը նշե՛լ (նա</w:t>
            </w:r>
            <w:r w:rsidR="00C54D75">
              <w:rPr>
                <w:rStyle w:val="Bodytext1811pt"/>
                <w:rFonts w:ascii="Sylfaen" w:hAnsi="Sylfaen"/>
                <w:sz w:val="24"/>
                <w:szCs w:val="24"/>
              </w:rPr>
              <w:t>և</w:t>
            </w:r>
            <w:r w:rsidRPr="00F72577">
              <w:rPr>
                <w:rStyle w:val="Bodytext1811pt"/>
                <w:rFonts w:ascii="Sylfaen" w:hAnsi="Sylfaen"/>
                <w:sz w:val="24"/>
                <w:szCs w:val="24"/>
              </w:rPr>
              <w:t xml:space="preserve"> նշե՛լ, եթե վերլուծության անցկացումը ծրագրված է եղել)</w:t>
            </w:r>
          </w:p>
        </w:tc>
      </w:tr>
      <w:tr w:rsidR="008C76E0" w:rsidRPr="00F72577" w14:paraId="5455D692" w14:textId="77777777" w:rsidTr="008C76E0">
        <w:trPr>
          <w:jc w:val="center"/>
        </w:trPr>
        <w:tc>
          <w:tcPr>
            <w:tcW w:w="3263" w:type="dxa"/>
            <w:tcBorders>
              <w:top w:val="single" w:sz="4" w:space="0" w:color="auto"/>
            </w:tcBorders>
            <w:shd w:val="clear" w:color="auto" w:fill="FFFFFF"/>
            <w:vAlign w:val="bottom"/>
          </w:tcPr>
          <w:p w14:paraId="0CF4E4F2" w14:textId="77777777" w:rsidR="008C76E0" w:rsidRPr="008C76E0" w:rsidRDefault="008C76E0" w:rsidP="008C76E0">
            <w:pPr>
              <w:pStyle w:val="Bodytext180"/>
              <w:shd w:val="clear" w:color="auto" w:fill="auto"/>
              <w:spacing w:before="0" w:after="120" w:line="240" w:lineRule="auto"/>
              <w:ind w:left="99" w:firstLine="0"/>
              <w:rPr>
                <w:rFonts w:ascii="Sylfaen" w:hAnsi="Sylfaen"/>
                <w:b w:val="0"/>
                <w:sz w:val="24"/>
                <w:szCs w:val="24"/>
                <w:lang w:val="hy-AM"/>
              </w:rPr>
            </w:pPr>
            <w:r w:rsidRPr="00F72577">
              <w:rPr>
                <w:rStyle w:val="Bodytext1811pt"/>
                <w:rFonts w:ascii="Sylfaen" w:hAnsi="Sylfaen"/>
                <w:sz w:val="24"/>
                <w:szCs w:val="24"/>
              </w:rPr>
              <w:t>նշված բաժինները կրկնե՛ք յուրաքանչյուր ակտուալ վերլուծության առնչությամբ</w:t>
            </w:r>
          </w:p>
        </w:tc>
        <w:tc>
          <w:tcPr>
            <w:tcW w:w="8082" w:type="dxa"/>
            <w:gridSpan w:val="10"/>
            <w:tcBorders>
              <w:top w:val="single" w:sz="4" w:space="0" w:color="auto"/>
              <w:left w:val="single" w:sz="4" w:space="0" w:color="auto"/>
              <w:right w:val="single" w:sz="4" w:space="0" w:color="auto"/>
            </w:tcBorders>
            <w:shd w:val="clear" w:color="auto" w:fill="FFFFFF"/>
          </w:tcPr>
          <w:p w14:paraId="29FFC5D9" w14:textId="77777777" w:rsidR="008C76E0" w:rsidRPr="00F72577" w:rsidRDefault="008C76E0" w:rsidP="008C76E0">
            <w:pPr>
              <w:spacing w:after="120" w:line="240" w:lineRule="auto"/>
              <w:rPr>
                <w:rFonts w:ascii="Sylfaen" w:hAnsi="Sylfaen"/>
                <w:sz w:val="24"/>
                <w:szCs w:val="24"/>
              </w:rPr>
            </w:pPr>
          </w:p>
        </w:tc>
      </w:tr>
      <w:tr w:rsidR="008C76E0" w:rsidRPr="00F72577" w14:paraId="5E6F258C" w14:textId="77777777" w:rsidTr="008C76E0">
        <w:trPr>
          <w:jc w:val="center"/>
        </w:trPr>
        <w:tc>
          <w:tcPr>
            <w:tcW w:w="11345" w:type="dxa"/>
            <w:gridSpan w:val="11"/>
            <w:tcBorders>
              <w:top w:val="single" w:sz="4" w:space="0" w:color="auto"/>
            </w:tcBorders>
            <w:shd w:val="clear" w:color="auto" w:fill="FFFFFF"/>
            <w:vAlign w:val="bottom"/>
          </w:tcPr>
          <w:p w14:paraId="7C15767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F72577">
              <w:rPr>
                <w:rStyle w:val="Bodytext295pt"/>
                <w:rFonts w:ascii="Sylfaen" w:hAnsi="Sylfaen"/>
                <w:spacing w:val="0"/>
                <w:sz w:val="24"/>
                <w:szCs w:val="24"/>
              </w:rPr>
              <w:t>3.5. Կլինիկական հետազոտությունները բնակչության հատուկ խմբերի մոտ։</w:t>
            </w:r>
          </w:p>
        </w:tc>
      </w:tr>
      <w:tr w:rsidR="008C76E0" w:rsidRPr="00F72577" w14:paraId="7FB15003" w14:textId="77777777" w:rsidTr="008C76E0">
        <w:trPr>
          <w:jc w:val="center"/>
        </w:trPr>
        <w:tc>
          <w:tcPr>
            <w:tcW w:w="3387" w:type="dxa"/>
            <w:gridSpan w:val="2"/>
            <w:tcBorders>
              <w:top w:val="single" w:sz="4" w:space="0" w:color="auto"/>
              <w:left w:val="single" w:sz="4" w:space="0" w:color="auto"/>
            </w:tcBorders>
            <w:shd w:val="clear" w:color="auto" w:fill="FFFFFF"/>
          </w:tcPr>
          <w:p w14:paraId="6900562E" w14:textId="77777777" w:rsidR="008C76E0" w:rsidRPr="00F72577" w:rsidRDefault="008C76E0" w:rsidP="008C76E0">
            <w:pPr>
              <w:spacing w:after="120" w:line="240" w:lineRule="auto"/>
              <w:rPr>
                <w:rFonts w:ascii="Sylfaen" w:hAnsi="Sylfaen"/>
                <w:sz w:val="24"/>
                <w:szCs w:val="24"/>
              </w:rPr>
            </w:pPr>
          </w:p>
        </w:tc>
        <w:tc>
          <w:tcPr>
            <w:tcW w:w="2767" w:type="dxa"/>
            <w:gridSpan w:val="3"/>
            <w:tcBorders>
              <w:top w:val="single" w:sz="4" w:space="0" w:color="auto"/>
              <w:left w:val="single" w:sz="4" w:space="0" w:color="auto"/>
            </w:tcBorders>
            <w:shd w:val="clear" w:color="auto" w:fill="FFFFFF"/>
            <w:vAlign w:val="bottom"/>
          </w:tcPr>
          <w:p w14:paraId="4CF7193F"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65-74 տարիքային խումբ (տարեց պացիենտների քանակը (ընդհանուր քանակը))</w:t>
            </w:r>
          </w:p>
        </w:tc>
        <w:tc>
          <w:tcPr>
            <w:tcW w:w="2640" w:type="dxa"/>
            <w:gridSpan w:val="4"/>
            <w:tcBorders>
              <w:top w:val="single" w:sz="4" w:space="0" w:color="auto"/>
              <w:left w:val="single" w:sz="4" w:space="0" w:color="auto"/>
            </w:tcBorders>
            <w:shd w:val="clear" w:color="auto" w:fill="FFFFFF"/>
            <w:vAlign w:val="bottom"/>
          </w:tcPr>
          <w:p w14:paraId="3E906D5D"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75-84 տարիքային խումբ (տարեց պացիենտների քանակը (ընդհանուր քանակը))</w:t>
            </w:r>
          </w:p>
        </w:tc>
        <w:tc>
          <w:tcPr>
            <w:tcW w:w="2551" w:type="dxa"/>
            <w:gridSpan w:val="2"/>
            <w:tcBorders>
              <w:top w:val="single" w:sz="4" w:space="0" w:color="auto"/>
              <w:left w:val="single" w:sz="4" w:space="0" w:color="auto"/>
              <w:right w:val="single" w:sz="4" w:space="0" w:color="auto"/>
            </w:tcBorders>
            <w:shd w:val="clear" w:color="auto" w:fill="FFFFFF"/>
          </w:tcPr>
          <w:p w14:paraId="45C05CB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F72577">
              <w:rPr>
                <w:rStyle w:val="Bodytext1811pt"/>
                <w:rFonts w:ascii="Sylfaen" w:hAnsi="Sylfaen"/>
                <w:sz w:val="24"/>
                <w:szCs w:val="24"/>
              </w:rPr>
              <w:t>85+ տարիքային խումբ (տարեց պացիենտների քանակը (ընդհանուր քանակը))</w:t>
            </w:r>
          </w:p>
        </w:tc>
      </w:tr>
      <w:tr w:rsidR="008C76E0" w:rsidRPr="00F72577" w14:paraId="140FFE14"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50576F23"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Վերահսկվող հետազոտություններ</w:t>
            </w:r>
          </w:p>
        </w:tc>
        <w:tc>
          <w:tcPr>
            <w:tcW w:w="2767" w:type="dxa"/>
            <w:gridSpan w:val="3"/>
            <w:tcBorders>
              <w:top w:val="single" w:sz="4" w:space="0" w:color="auto"/>
              <w:left w:val="single" w:sz="4" w:space="0" w:color="auto"/>
            </w:tcBorders>
            <w:shd w:val="clear" w:color="auto" w:fill="FFFFFF"/>
          </w:tcPr>
          <w:p w14:paraId="454F68DB"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12767CEB"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66A2F14D" w14:textId="77777777" w:rsidR="008C76E0" w:rsidRPr="00F72577" w:rsidRDefault="008C76E0" w:rsidP="008C76E0">
            <w:pPr>
              <w:spacing w:after="120" w:line="240" w:lineRule="auto"/>
              <w:rPr>
                <w:rFonts w:ascii="Sylfaen" w:hAnsi="Sylfaen"/>
                <w:sz w:val="24"/>
                <w:szCs w:val="24"/>
              </w:rPr>
            </w:pPr>
          </w:p>
        </w:tc>
      </w:tr>
      <w:tr w:rsidR="008C76E0" w:rsidRPr="00F72577" w14:paraId="310AE802" w14:textId="77777777" w:rsidTr="008C76E0">
        <w:trPr>
          <w:jc w:val="center"/>
        </w:trPr>
        <w:tc>
          <w:tcPr>
            <w:tcW w:w="3387" w:type="dxa"/>
            <w:gridSpan w:val="2"/>
            <w:tcBorders>
              <w:top w:val="single" w:sz="4" w:space="0" w:color="auto"/>
              <w:left w:val="single" w:sz="4" w:space="0" w:color="auto"/>
            </w:tcBorders>
            <w:shd w:val="clear" w:color="auto" w:fill="FFFFFF"/>
            <w:vAlign w:val="bottom"/>
          </w:tcPr>
          <w:p w14:paraId="4492F658" w14:textId="77777777" w:rsidR="008C76E0" w:rsidRPr="00F72577" w:rsidRDefault="008C76E0" w:rsidP="008C76E0">
            <w:pPr>
              <w:pStyle w:val="Bodytext180"/>
              <w:shd w:val="clear" w:color="auto" w:fill="auto"/>
              <w:spacing w:before="0" w:after="120" w:line="240" w:lineRule="auto"/>
              <w:ind w:firstLine="0"/>
              <w:rPr>
                <w:rFonts w:ascii="Sylfaen" w:hAnsi="Sylfaen"/>
                <w:b w:val="0"/>
                <w:sz w:val="24"/>
                <w:szCs w:val="24"/>
              </w:rPr>
            </w:pPr>
            <w:r w:rsidRPr="00F72577">
              <w:rPr>
                <w:rStyle w:val="Bodytext1811pt"/>
                <w:rFonts w:ascii="Sylfaen" w:hAnsi="Sylfaen"/>
                <w:sz w:val="24"/>
                <w:szCs w:val="24"/>
              </w:rPr>
              <w:t>Չվերահսկվող հետազոտություններ</w:t>
            </w:r>
          </w:p>
        </w:tc>
        <w:tc>
          <w:tcPr>
            <w:tcW w:w="2767" w:type="dxa"/>
            <w:gridSpan w:val="3"/>
            <w:tcBorders>
              <w:top w:val="single" w:sz="4" w:space="0" w:color="auto"/>
              <w:left w:val="single" w:sz="4" w:space="0" w:color="auto"/>
            </w:tcBorders>
            <w:shd w:val="clear" w:color="auto" w:fill="FFFFFF"/>
          </w:tcPr>
          <w:p w14:paraId="550166D5" w14:textId="77777777" w:rsidR="008C76E0" w:rsidRPr="00F72577" w:rsidRDefault="008C76E0" w:rsidP="008C76E0">
            <w:pPr>
              <w:spacing w:after="120" w:line="240" w:lineRule="auto"/>
              <w:rPr>
                <w:rFonts w:ascii="Sylfaen" w:hAnsi="Sylfaen"/>
                <w:sz w:val="24"/>
                <w:szCs w:val="24"/>
              </w:rPr>
            </w:pPr>
          </w:p>
        </w:tc>
        <w:tc>
          <w:tcPr>
            <w:tcW w:w="2640" w:type="dxa"/>
            <w:gridSpan w:val="4"/>
            <w:tcBorders>
              <w:top w:val="single" w:sz="4" w:space="0" w:color="auto"/>
              <w:left w:val="single" w:sz="4" w:space="0" w:color="auto"/>
            </w:tcBorders>
            <w:shd w:val="clear" w:color="auto" w:fill="FFFFFF"/>
          </w:tcPr>
          <w:p w14:paraId="31D2E38E" w14:textId="77777777" w:rsidR="008C76E0" w:rsidRPr="00F72577" w:rsidRDefault="008C76E0" w:rsidP="008C76E0">
            <w:pPr>
              <w:spacing w:after="120" w:line="240" w:lineRule="auto"/>
              <w:rPr>
                <w:rFonts w:ascii="Sylfaen" w:hAnsi="Sylfaen"/>
                <w:sz w:val="24"/>
                <w:szCs w:val="24"/>
              </w:rPr>
            </w:pPr>
          </w:p>
        </w:tc>
        <w:tc>
          <w:tcPr>
            <w:tcW w:w="2551" w:type="dxa"/>
            <w:gridSpan w:val="2"/>
            <w:tcBorders>
              <w:top w:val="single" w:sz="4" w:space="0" w:color="auto"/>
              <w:left w:val="single" w:sz="4" w:space="0" w:color="auto"/>
              <w:right w:val="single" w:sz="4" w:space="0" w:color="auto"/>
            </w:tcBorders>
            <w:shd w:val="clear" w:color="auto" w:fill="FFFFFF"/>
          </w:tcPr>
          <w:p w14:paraId="027080D4" w14:textId="77777777" w:rsidR="008C76E0" w:rsidRPr="00F72577" w:rsidRDefault="008C76E0" w:rsidP="008C76E0">
            <w:pPr>
              <w:spacing w:after="120" w:line="240" w:lineRule="auto"/>
              <w:rPr>
                <w:rFonts w:ascii="Sylfaen" w:hAnsi="Sylfaen"/>
                <w:sz w:val="24"/>
                <w:szCs w:val="24"/>
              </w:rPr>
            </w:pPr>
          </w:p>
        </w:tc>
      </w:tr>
      <w:tr w:rsidR="008C76E0" w:rsidRPr="00F72577" w14:paraId="0865C4DD" w14:textId="77777777" w:rsidTr="008C76E0">
        <w:trPr>
          <w:jc w:val="center"/>
        </w:trPr>
        <w:tc>
          <w:tcPr>
            <w:tcW w:w="11345" w:type="dxa"/>
            <w:gridSpan w:val="11"/>
            <w:tcBorders>
              <w:top w:val="single" w:sz="4" w:space="0" w:color="auto"/>
            </w:tcBorders>
            <w:shd w:val="clear" w:color="auto" w:fill="FFFFFF"/>
          </w:tcPr>
          <w:p w14:paraId="0A7367E7" w14:textId="77777777" w:rsidR="008C76E0" w:rsidRPr="00F72577" w:rsidRDefault="008C76E0" w:rsidP="008C76E0">
            <w:pPr>
              <w:spacing w:after="120" w:line="240" w:lineRule="auto"/>
              <w:rPr>
                <w:rFonts w:ascii="Sylfaen" w:hAnsi="Sylfaen"/>
                <w:sz w:val="24"/>
                <w:szCs w:val="24"/>
              </w:rPr>
            </w:pPr>
          </w:p>
        </w:tc>
      </w:tr>
      <w:tr w:rsidR="008C76E0" w:rsidRPr="00F72577" w14:paraId="3F3BC6D2"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433E11C0" w14:textId="77777777" w:rsidR="008C76E0" w:rsidRPr="00F72577" w:rsidRDefault="008C76E0" w:rsidP="008C76E0">
            <w:pPr>
              <w:pStyle w:val="Bodytext180"/>
              <w:shd w:val="clear" w:color="auto" w:fill="auto"/>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E4ED0DB" w14:textId="77777777" w:rsidTr="008C76E0">
        <w:trPr>
          <w:jc w:val="center"/>
        </w:trPr>
        <w:tc>
          <w:tcPr>
            <w:tcW w:w="11345" w:type="dxa"/>
            <w:gridSpan w:val="11"/>
            <w:tcBorders>
              <w:top w:val="single" w:sz="4" w:space="0" w:color="auto"/>
            </w:tcBorders>
            <w:shd w:val="clear" w:color="auto" w:fill="FFFFFF"/>
            <w:vAlign w:val="center"/>
          </w:tcPr>
          <w:p w14:paraId="7347387C"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3.6.</w:t>
            </w:r>
            <w:r w:rsidRPr="00F72577">
              <w:rPr>
                <w:rStyle w:val="Bodytext295pt"/>
                <w:rFonts w:ascii="Sylfaen" w:hAnsi="Sylfaen"/>
                <w:spacing w:val="0"/>
                <w:sz w:val="24"/>
                <w:szCs w:val="24"/>
              </w:rPr>
              <w:tab/>
              <w:t xml:space="preserve">Փորձարկումների անցկացման շրջանակներում կատարվող վերլուծություն (ամփոփ վերլուծություն </w:t>
            </w:r>
            <w:r w:rsidR="00C54D75">
              <w:rPr>
                <w:rStyle w:val="Bodytext295pt"/>
                <w:rFonts w:ascii="Sylfaen" w:hAnsi="Sylfaen"/>
                <w:spacing w:val="0"/>
                <w:sz w:val="24"/>
                <w:szCs w:val="24"/>
              </w:rPr>
              <w:t>և</w:t>
            </w:r>
            <w:r w:rsidRPr="00F72577">
              <w:rPr>
                <w:rStyle w:val="Bodytext295pt"/>
                <w:rFonts w:ascii="Sylfaen" w:hAnsi="Sylfaen"/>
                <w:spacing w:val="0"/>
                <w:sz w:val="24"/>
                <w:szCs w:val="24"/>
              </w:rPr>
              <w:t xml:space="preserve"> մետա-վերլուծություն)։</w:t>
            </w:r>
          </w:p>
        </w:tc>
      </w:tr>
      <w:tr w:rsidR="008C76E0" w:rsidRPr="00F72577" w14:paraId="57764F90"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00AF12F1"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0819F291" w14:textId="77777777" w:rsidTr="008C76E0">
        <w:trPr>
          <w:jc w:val="center"/>
        </w:trPr>
        <w:tc>
          <w:tcPr>
            <w:tcW w:w="11345" w:type="dxa"/>
            <w:gridSpan w:val="11"/>
            <w:tcBorders>
              <w:top w:val="single" w:sz="4" w:space="0" w:color="auto"/>
            </w:tcBorders>
            <w:shd w:val="clear" w:color="auto" w:fill="FFFFFF"/>
            <w:vAlign w:val="bottom"/>
          </w:tcPr>
          <w:p w14:paraId="70D72100"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3.7.</w:t>
            </w:r>
            <w:r w:rsidRPr="00F72577">
              <w:rPr>
                <w:rStyle w:val="Bodytext295pt"/>
                <w:rFonts w:ascii="Sylfaen" w:hAnsi="Sylfaen"/>
                <w:spacing w:val="0"/>
                <w:sz w:val="24"/>
                <w:szCs w:val="24"/>
              </w:rPr>
              <w:tab/>
              <w:t xml:space="preserve">Լրացուցիչ հետազոտություններ: </w:t>
            </w:r>
          </w:p>
        </w:tc>
      </w:tr>
      <w:tr w:rsidR="008C76E0" w:rsidRPr="00F72577" w14:paraId="24EBE21A" w14:textId="77777777" w:rsidTr="008C76E0">
        <w:trPr>
          <w:jc w:val="center"/>
        </w:trPr>
        <w:tc>
          <w:tcPr>
            <w:tcW w:w="11345" w:type="dxa"/>
            <w:gridSpan w:val="11"/>
            <w:tcBorders>
              <w:top w:val="single" w:sz="4" w:space="0" w:color="auto"/>
              <w:left w:val="single" w:sz="4" w:space="0" w:color="auto"/>
              <w:right w:val="single" w:sz="4" w:space="0" w:color="auto"/>
            </w:tcBorders>
            <w:shd w:val="clear" w:color="auto" w:fill="FFFFFF"/>
          </w:tcPr>
          <w:p w14:paraId="667B5800" w14:textId="77777777" w:rsidR="008C76E0" w:rsidRPr="00F72577" w:rsidRDefault="008C76E0" w:rsidP="008C76E0">
            <w:pPr>
              <w:pStyle w:val="Bodytext180"/>
              <w:shd w:val="clear" w:color="auto" w:fill="auto"/>
              <w:tabs>
                <w:tab w:val="left" w:pos="1091"/>
              </w:tabs>
              <w:spacing w:before="0" w:after="160" w:line="360" w:lineRule="auto"/>
              <w:ind w:firstLine="0"/>
              <w:rPr>
                <w:rFonts w:ascii="Sylfaen" w:hAnsi="Sylfaen"/>
                <w:b w:val="0"/>
                <w:sz w:val="24"/>
                <w:szCs w:val="24"/>
              </w:rPr>
            </w:pPr>
            <w:r w:rsidRPr="00F72577">
              <w:rPr>
                <w:rStyle w:val="Bodytext295pt"/>
                <w:rFonts w:ascii="Sylfaen" w:hAnsi="Sylfaen"/>
                <w:spacing w:val="0"/>
                <w:sz w:val="24"/>
                <w:szCs w:val="24"/>
              </w:rPr>
              <w:t>Փորձագետի մեկնաբանությունը</w:t>
            </w:r>
          </w:p>
        </w:tc>
      </w:tr>
      <w:tr w:rsidR="008C76E0" w:rsidRPr="00F72577" w14:paraId="1E9D48CD" w14:textId="77777777" w:rsidTr="008C76E0">
        <w:trPr>
          <w:jc w:val="center"/>
        </w:trPr>
        <w:tc>
          <w:tcPr>
            <w:tcW w:w="11345" w:type="dxa"/>
            <w:gridSpan w:val="11"/>
            <w:tcBorders>
              <w:top w:val="single" w:sz="4" w:space="0" w:color="auto"/>
            </w:tcBorders>
            <w:shd w:val="clear" w:color="auto" w:fill="FFFFFF"/>
            <w:vAlign w:val="bottom"/>
          </w:tcPr>
          <w:p w14:paraId="084DBAB8"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Pr>
                <w:rStyle w:val="Bodytext295pt"/>
                <w:rFonts w:ascii="Sylfaen" w:hAnsi="Sylfaen"/>
                <w:spacing w:val="0"/>
                <w:sz w:val="24"/>
                <w:szCs w:val="24"/>
              </w:rPr>
              <w:t>3.8.</w:t>
            </w:r>
            <w:r w:rsidRPr="00F72577">
              <w:rPr>
                <w:rStyle w:val="Bodytext295pt"/>
                <w:rFonts w:ascii="Sylfaen" w:hAnsi="Sylfaen"/>
                <w:spacing w:val="0"/>
                <w:sz w:val="24"/>
                <w:szCs w:val="24"/>
              </w:rPr>
              <w:tab/>
              <w:t>Կլինիկական արդյունավետության գնահատման գծով փորձագետի ընդհանուր եզրակացությունը:</w:t>
            </w:r>
          </w:p>
          <w:p w14:paraId="2900CBF5" w14:textId="77777777" w:rsidR="008C76E0" w:rsidRPr="00F72577" w:rsidRDefault="008C76E0" w:rsidP="008C76E0">
            <w:pPr>
              <w:pStyle w:val="Bodytext180"/>
              <w:shd w:val="clear" w:color="auto" w:fill="auto"/>
              <w:tabs>
                <w:tab w:val="left" w:pos="1091"/>
              </w:tabs>
              <w:spacing w:before="0" w:after="160" w:line="360" w:lineRule="auto"/>
              <w:ind w:firstLine="523"/>
              <w:rPr>
                <w:rStyle w:val="Bodytext295pt"/>
                <w:rFonts w:ascii="Sylfaen" w:hAnsi="Sylfaen"/>
                <w:b/>
                <w:spacing w:val="0"/>
                <w:sz w:val="24"/>
                <w:szCs w:val="24"/>
              </w:rPr>
            </w:pPr>
            <w:r w:rsidRPr="00F72577">
              <w:rPr>
                <w:rStyle w:val="Bodytext295pt"/>
                <w:rFonts w:ascii="Sylfaen" w:hAnsi="Sylfaen"/>
                <w:spacing w:val="0"/>
                <w:sz w:val="24"/>
                <w:szCs w:val="24"/>
              </w:rPr>
              <w:t xml:space="preserve">Կլինիկական արդյունավետության վերաբերյալ եզրակացությունները </w:t>
            </w:r>
          </w:p>
        </w:tc>
      </w:tr>
    </w:tbl>
    <w:p w14:paraId="12FEAF4D" w14:textId="77777777" w:rsidR="008C76E0" w:rsidRDefault="008C76E0" w:rsidP="008C76E0">
      <w:pPr>
        <w:rPr>
          <w:rFonts w:ascii="Sylfaen" w:hAnsi="Sylfaen"/>
          <w:sz w:val="24"/>
          <w:szCs w:val="24"/>
        </w:rPr>
      </w:pPr>
    </w:p>
    <w:p w14:paraId="4F97D3BF" w14:textId="77777777" w:rsidR="008C76E0" w:rsidRDefault="008C76E0" w:rsidP="008C76E0">
      <w:pPr>
        <w:widowControl/>
        <w:rPr>
          <w:rFonts w:ascii="Sylfaen" w:hAnsi="Sylfaen"/>
          <w:sz w:val="24"/>
          <w:szCs w:val="24"/>
        </w:rPr>
      </w:pPr>
      <w:r>
        <w:rPr>
          <w:rFonts w:ascii="Sylfaen" w:hAnsi="Sylfaen"/>
          <w:sz w:val="24"/>
          <w:szCs w:val="24"/>
        </w:rPr>
        <w:br w:type="page"/>
      </w:r>
    </w:p>
    <w:p w14:paraId="0EA317C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Բովանդակային պլանն ու կլինիկական հետազոտությունների անցկացումը </w:t>
      </w:r>
    </w:p>
    <w:p w14:paraId="21D3515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Արդյունավետության տվյալներն ու լրացուցիչ վերլուծությունները </w:t>
      </w:r>
    </w:p>
    <w:p w14:paraId="42E4EEC5"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Կլինիկական արդյունավետության վերաբերյալ եզրակացությունները</w:t>
      </w:r>
    </w:p>
    <w:p w14:paraId="63A8C5D2" w14:textId="77777777" w:rsidR="008C76E0" w:rsidRPr="00BD7577" w:rsidRDefault="008C76E0" w:rsidP="008C76E0">
      <w:pPr>
        <w:ind w:left="567" w:right="566"/>
        <w:rPr>
          <w:rFonts w:ascii="Sylfaen" w:hAnsi="Sylfaen"/>
          <w:sz w:val="24"/>
          <w:szCs w:val="24"/>
        </w:rPr>
      </w:pPr>
    </w:p>
    <w:p w14:paraId="5CB9E35A"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4. Կլինիկական անվտանգությունը</w:t>
      </w:r>
    </w:p>
    <w:p w14:paraId="6253DA45" w14:textId="77777777" w:rsidR="008C76E0" w:rsidRPr="00BD7577" w:rsidRDefault="008C76E0" w:rsidP="008C76E0">
      <w:pPr>
        <w:pStyle w:val="Bodytext180"/>
        <w:shd w:val="clear" w:color="auto" w:fill="auto"/>
        <w:tabs>
          <w:tab w:val="left" w:pos="1134"/>
        </w:tabs>
        <w:spacing w:before="0" w:after="160" w:line="360" w:lineRule="auto"/>
        <w:ind w:firstLine="567"/>
        <w:rPr>
          <w:rFonts w:ascii="Sylfaen" w:hAnsi="Sylfaen"/>
          <w:b w:val="0"/>
          <w:sz w:val="24"/>
          <w:szCs w:val="24"/>
        </w:rPr>
      </w:pPr>
      <w:r w:rsidRPr="00BD7577">
        <w:rPr>
          <w:rFonts w:ascii="Sylfaen" w:hAnsi="Sylfaen"/>
          <w:b w:val="0"/>
          <w:sz w:val="24"/>
          <w:szCs w:val="24"/>
        </w:rPr>
        <w:t>4.1.</w:t>
      </w:r>
      <w:r w:rsidRPr="00BD7577">
        <w:rPr>
          <w:rFonts w:ascii="Sylfaen" w:hAnsi="Sylfaen"/>
          <w:sz w:val="24"/>
          <w:szCs w:val="24"/>
        </w:rPr>
        <w:tab/>
      </w:r>
      <w:r w:rsidRPr="00BD7577">
        <w:rPr>
          <w:rStyle w:val="Bodytext295pt"/>
          <w:rFonts w:ascii="Sylfaen" w:hAnsi="Sylfaen"/>
          <w:spacing w:val="0"/>
          <w:sz w:val="24"/>
          <w:szCs w:val="24"/>
        </w:rPr>
        <w:t>Ներածություն</w:t>
      </w:r>
      <w:r w:rsidRPr="00BD7577">
        <w:rPr>
          <w:rFonts w:ascii="Sylfaen" w:hAnsi="Sylfaen"/>
          <w:b w:val="0"/>
          <w:sz w:val="24"/>
          <w:szCs w:val="24"/>
        </w:rPr>
        <w:t>:</w:t>
      </w:r>
    </w:p>
    <w:tbl>
      <w:tblPr>
        <w:tblOverlap w:val="never"/>
        <w:tblW w:w="10279" w:type="dxa"/>
        <w:tblLayout w:type="fixed"/>
        <w:tblCellMar>
          <w:left w:w="10" w:type="dxa"/>
          <w:right w:w="10" w:type="dxa"/>
        </w:tblCellMar>
        <w:tblLook w:val="04A0" w:firstRow="1" w:lastRow="0" w:firstColumn="1" w:lastColumn="0" w:noHBand="0" w:noVBand="1"/>
      </w:tblPr>
      <w:tblGrid>
        <w:gridCol w:w="2704"/>
        <w:gridCol w:w="1559"/>
        <w:gridCol w:w="283"/>
        <w:gridCol w:w="1074"/>
        <w:gridCol w:w="14"/>
        <w:gridCol w:w="628"/>
        <w:gridCol w:w="852"/>
        <w:gridCol w:w="1224"/>
        <w:gridCol w:w="274"/>
        <w:gridCol w:w="1667"/>
      </w:tblGrid>
      <w:tr w:rsidR="008C76E0" w:rsidRPr="00BD7577" w14:paraId="295863DB" w14:textId="77777777" w:rsidTr="008C76E0">
        <w:tc>
          <w:tcPr>
            <w:tcW w:w="10279" w:type="dxa"/>
            <w:gridSpan w:val="10"/>
            <w:tcBorders>
              <w:top w:val="single" w:sz="4" w:space="0" w:color="auto"/>
            </w:tcBorders>
            <w:shd w:val="clear" w:color="auto" w:fill="FFFFFF"/>
          </w:tcPr>
          <w:p w14:paraId="45E97C7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52E03F46" w14:textId="77777777" w:rsidTr="008C76E0">
        <w:tc>
          <w:tcPr>
            <w:tcW w:w="10279" w:type="dxa"/>
            <w:gridSpan w:val="10"/>
            <w:tcBorders>
              <w:top w:val="single" w:sz="4" w:space="0" w:color="auto"/>
            </w:tcBorders>
            <w:shd w:val="clear" w:color="auto" w:fill="FFFFFF"/>
            <w:vAlign w:val="bottom"/>
          </w:tcPr>
          <w:p w14:paraId="3EFB89BF"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b/>
                <w:spacing w:val="0"/>
                <w:sz w:val="24"/>
                <w:szCs w:val="24"/>
              </w:rPr>
            </w:pPr>
            <w:r>
              <w:rPr>
                <w:rStyle w:val="Bodytext295pt"/>
                <w:rFonts w:ascii="Sylfaen" w:hAnsi="Sylfaen"/>
                <w:spacing w:val="0"/>
                <w:sz w:val="24"/>
                <w:szCs w:val="24"/>
              </w:rPr>
              <w:t>4.2.</w:t>
            </w:r>
            <w:r w:rsidRPr="00BD7577">
              <w:rPr>
                <w:rStyle w:val="Bodytext295pt"/>
                <w:rFonts w:ascii="Sylfaen" w:hAnsi="Sylfaen"/>
                <w:spacing w:val="0"/>
                <w:sz w:val="24"/>
                <w:szCs w:val="24"/>
              </w:rPr>
              <w:tab/>
              <w:t>Պացիենտի վրա դեղանյութի ազդեցությունը:</w:t>
            </w:r>
          </w:p>
        </w:tc>
      </w:tr>
      <w:tr w:rsidR="008C76E0" w:rsidRPr="00BD7577" w14:paraId="552625A5" w14:textId="77777777" w:rsidTr="008C76E0">
        <w:trPr>
          <w:trHeight w:val="1268"/>
        </w:trPr>
        <w:tc>
          <w:tcPr>
            <w:tcW w:w="10279" w:type="dxa"/>
            <w:gridSpan w:val="10"/>
            <w:shd w:val="clear" w:color="auto" w:fill="FFFFFF"/>
          </w:tcPr>
          <w:p w14:paraId="7FE846EE" w14:textId="77777777" w:rsidR="008C76E0" w:rsidRPr="008C76E0" w:rsidRDefault="008C76E0" w:rsidP="008C76E0">
            <w:pPr>
              <w:pStyle w:val="Bodytext180"/>
              <w:shd w:val="clear" w:color="auto" w:fill="auto"/>
              <w:spacing w:before="0" w:after="120" w:line="240" w:lineRule="auto"/>
              <w:ind w:firstLine="567"/>
              <w:rPr>
                <w:rFonts w:ascii="Sylfaen" w:hAnsi="Sylfaen"/>
                <w:b w:val="0"/>
                <w:sz w:val="24"/>
                <w:szCs w:val="24"/>
                <w:lang w:val="hy-AM"/>
              </w:rPr>
            </w:pPr>
            <w:r w:rsidRPr="00BD7577">
              <w:rPr>
                <w:rStyle w:val="Bodytext295pt"/>
                <w:rFonts w:ascii="Sylfaen" w:hAnsi="Sylfaen"/>
                <w:spacing w:val="0"/>
                <w:sz w:val="24"/>
                <w:szCs w:val="24"/>
              </w:rPr>
              <w:t>Աղյուսակի նմուշ՝ պացիենտի վրա դեղանյութի ազդեցությունը</w:t>
            </w:r>
          </w:p>
          <w:p w14:paraId="0CF604E3" w14:textId="77777777" w:rsidR="008C76E0" w:rsidRPr="00BD7577" w:rsidRDefault="008C76E0" w:rsidP="008C76E0">
            <w:pPr>
              <w:pStyle w:val="Bodytext180"/>
              <w:spacing w:before="0" w:after="120" w:line="240" w:lineRule="auto"/>
              <w:ind w:firstLine="567"/>
              <w:rPr>
                <w:rFonts w:ascii="Sylfaen" w:hAnsi="Sylfaen"/>
                <w:b w:val="0"/>
                <w:sz w:val="24"/>
                <w:szCs w:val="24"/>
              </w:rPr>
            </w:pPr>
            <w:r w:rsidRPr="00BD7577">
              <w:rPr>
                <w:rStyle w:val="Bodytext295pt"/>
                <w:rFonts w:ascii="Sylfaen" w:hAnsi="Sylfaen"/>
                <w:spacing w:val="0"/>
                <w:sz w:val="24"/>
                <w:szCs w:val="24"/>
              </w:rPr>
              <w:t>(թույլատրելի մակարդակը)</w:t>
            </w:r>
          </w:p>
        </w:tc>
      </w:tr>
      <w:tr w:rsidR="008C76E0" w:rsidRPr="00BD7577" w14:paraId="7DA715CE" w14:textId="77777777" w:rsidTr="008C76E0">
        <w:tc>
          <w:tcPr>
            <w:tcW w:w="2704" w:type="dxa"/>
            <w:shd w:val="clear" w:color="auto" w:fill="FFFFFF"/>
          </w:tcPr>
          <w:p w14:paraId="337F1916"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p>
        </w:tc>
        <w:tc>
          <w:tcPr>
            <w:tcW w:w="1842" w:type="dxa"/>
            <w:gridSpan w:val="2"/>
            <w:shd w:val="clear" w:color="auto" w:fill="FFFFFF"/>
          </w:tcPr>
          <w:p w14:paraId="2DF23B48" w14:textId="77777777" w:rsidR="008C76E0" w:rsidRPr="00BD7577" w:rsidRDefault="008C76E0" w:rsidP="008C76E0">
            <w:pPr>
              <w:pStyle w:val="Bodytext180"/>
              <w:shd w:val="clear" w:color="auto" w:fill="auto"/>
              <w:spacing w:before="0" w:after="120" w:line="240" w:lineRule="auto"/>
              <w:ind w:left="50" w:firstLine="0"/>
              <w:rPr>
                <w:rFonts w:ascii="Sylfaen" w:hAnsi="Sylfaen"/>
                <w:b w:val="0"/>
                <w:sz w:val="24"/>
                <w:szCs w:val="24"/>
              </w:rPr>
            </w:pPr>
            <w:r w:rsidRPr="00BD7577">
              <w:rPr>
                <w:rStyle w:val="Bodytext1811pt"/>
                <w:rFonts w:ascii="Sylfaen" w:hAnsi="Sylfaen"/>
                <w:sz w:val="24"/>
                <w:szCs w:val="24"/>
              </w:rPr>
              <w:t>Ներառված պացիենտները</w:t>
            </w:r>
          </w:p>
        </w:tc>
        <w:tc>
          <w:tcPr>
            <w:tcW w:w="1716" w:type="dxa"/>
            <w:gridSpan w:val="3"/>
            <w:shd w:val="clear" w:color="auto" w:fill="FFFFFF"/>
          </w:tcPr>
          <w:p w14:paraId="40D90E4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Բուժում ստացած պացիենտները</w:t>
            </w:r>
          </w:p>
        </w:tc>
        <w:tc>
          <w:tcPr>
            <w:tcW w:w="2076" w:type="dxa"/>
            <w:gridSpan w:val="2"/>
            <w:shd w:val="clear" w:color="auto" w:fill="FFFFFF"/>
            <w:vAlign w:val="bottom"/>
          </w:tcPr>
          <w:p w14:paraId="62057A74" w14:textId="77777777" w:rsidR="008C76E0" w:rsidRPr="00BD7577" w:rsidRDefault="008C76E0" w:rsidP="008C76E0">
            <w:pPr>
              <w:pStyle w:val="Bodytext180"/>
              <w:shd w:val="clear" w:color="auto" w:fill="auto"/>
              <w:spacing w:before="0" w:after="120" w:line="240" w:lineRule="auto"/>
              <w:ind w:left="180" w:firstLine="0"/>
              <w:rPr>
                <w:rFonts w:ascii="Sylfaen" w:hAnsi="Sylfaen"/>
                <w:b w:val="0"/>
                <w:sz w:val="24"/>
                <w:szCs w:val="24"/>
              </w:rPr>
            </w:pPr>
            <w:r w:rsidRPr="00BD7577">
              <w:rPr>
                <w:rStyle w:val="Bodytext1811pt"/>
                <w:rFonts w:ascii="Sylfaen" w:hAnsi="Sylfaen"/>
                <w:sz w:val="24"/>
                <w:szCs w:val="24"/>
              </w:rPr>
              <w:t>Պացիենտները՝ դոզաների առաջարկվող ընդգրկույթի ներգործությամբ</w:t>
            </w:r>
          </w:p>
        </w:tc>
        <w:tc>
          <w:tcPr>
            <w:tcW w:w="1941" w:type="dxa"/>
            <w:gridSpan w:val="2"/>
            <w:shd w:val="clear" w:color="auto" w:fill="FFFFFF"/>
            <w:vAlign w:val="bottom"/>
          </w:tcPr>
          <w:p w14:paraId="0737AAF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Պացիենտները՝ անվտանգության մասին երկարաժամկետ* տվյալներով</w:t>
            </w:r>
          </w:p>
        </w:tc>
      </w:tr>
      <w:tr w:rsidR="008C76E0" w:rsidRPr="00BD7577" w14:paraId="3F81B13D" w14:textId="77777777" w:rsidTr="008C76E0">
        <w:tc>
          <w:tcPr>
            <w:tcW w:w="2704" w:type="dxa"/>
            <w:tcBorders>
              <w:top w:val="single" w:sz="4" w:space="0" w:color="auto"/>
            </w:tcBorders>
            <w:shd w:val="clear" w:color="auto" w:fill="FFFFFF"/>
          </w:tcPr>
          <w:p w14:paraId="0DFC69A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Պլացեբո-վերահսկվող հետազոտությունները</w:t>
            </w:r>
          </w:p>
        </w:tc>
        <w:tc>
          <w:tcPr>
            <w:tcW w:w="1842" w:type="dxa"/>
            <w:gridSpan w:val="2"/>
            <w:tcBorders>
              <w:top w:val="single" w:sz="4" w:space="0" w:color="auto"/>
            </w:tcBorders>
            <w:shd w:val="clear" w:color="auto" w:fill="FFFFFF"/>
          </w:tcPr>
          <w:p w14:paraId="276D57FA" w14:textId="77777777" w:rsidR="008C76E0" w:rsidRPr="00BD7577" w:rsidRDefault="008C76E0" w:rsidP="008C76E0">
            <w:pPr>
              <w:spacing w:after="120" w:line="240" w:lineRule="auto"/>
              <w:rPr>
                <w:rFonts w:ascii="Sylfaen" w:hAnsi="Sylfaen"/>
                <w:sz w:val="24"/>
                <w:szCs w:val="24"/>
              </w:rPr>
            </w:pPr>
          </w:p>
        </w:tc>
        <w:tc>
          <w:tcPr>
            <w:tcW w:w="1716" w:type="dxa"/>
            <w:gridSpan w:val="3"/>
            <w:tcBorders>
              <w:top w:val="single" w:sz="4" w:space="0" w:color="auto"/>
            </w:tcBorders>
            <w:shd w:val="clear" w:color="auto" w:fill="FFFFFF"/>
          </w:tcPr>
          <w:p w14:paraId="28D4C96B" w14:textId="77777777" w:rsidR="008C76E0" w:rsidRPr="00BD7577" w:rsidRDefault="008C76E0" w:rsidP="008C76E0">
            <w:pPr>
              <w:spacing w:after="120" w:line="240" w:lineRule="auto"/>
              <w:rPr>
                <w:rFonts w:ascii="Sylfaen" w:hAnsi="Sylfaen"/>
                <w:sz w:val="24"/>
                <w:szCs w:val="24"/>
              </w:rPr>
            </w:pPr>
          </w:p>
        </w:tc>
        <w:tc>
          <w:tcPr>
            <w:tcW w:w="2076" w:type="dxa"/>
            <w:gridSpan w:val="2"/>
            <w:tcBorders>
              <w:top w:val="single" w:sz="4" w:space="0" w:color="auto"/>
            </w:tcBorders>
            <w:shd w:val="clear" w:color="auto" w:fill="FFFFFF"/>
          </w:tcPr>
          <w:p w14:paraId="063FDF2C" w14:textId="77777777" w:rsidR="008C76E0" w:rsidRPr="00BD7577" w:rsidRDefault="008C76E0" w:rsidP="008C76E0">
            <w:pPr>
              <w:spacing w:after="120" w:line="240" w:lineRule="auto"/>
              <w:rPr>
                <w:rFonts w:ascii="Sylfaen" w:hAnsi="Sylfaen"/>
                <w:sz w:val="24"/>
                <w:szCs w:val="24"/>
              </w:rPr>
            </w:pPr>
          </w:p>
        </w:tc>
        <w:tc>
          <w:tcPr>
            <w:tcW w:w="1941" w:type="dxa"/>
            <w:gridSpan w:val="2"/>
            <w:tcBorders>
              <w:top w:val="single" w:sz="4" w:space="0" w:color="auto"/>
            </w:tcBorders>
            <w:shd w:val="clear" w:color="auto" w:fill="FFFFFF"/>
          </w:tcPr>
          <w:p w14:paraId="5B615188" w14:textId="77777777" w:rsidR="008C76E0" w:rsidRPr="00BD7577" w:rsidRDefault="008C76E0" w:rsidP="008C76E0">
            <w:pPr>
              <w:spacing w:after="120" w:line="240" w:lineRule="auto"/>
              <w:rPr>
                <w:rFonts w:ascii="Sylfaen" w:hAnsi="Sylfaen"/>
                <w:sz w:val="24"/>
                <w:szCs w:val="24"/>
              </w:rPr>
            </w:pPr>
          </w:p>
        </w:tc>
      </w:tr>
      <w:tr w:rsidR="008C76E0" w:rsidRPr="00BD7577" w14:paraId="09F10924" w14:textId="77777777" w:rsidTr="008C76E0">
        <w:tc>
          <w:tcPr>
            <w:tcW w:w="2704" w:type="dxa"/>
            <w:shd w:val="clear" w:color="auto" w:fill="FFFFFF"/>
            <w:vAlign w:val="center"/>
          </w:tcPr>
          <w:p w14:paraId="6D793B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Ակտիվ հսկողությամբ հետազոտությունները</w:t>
            </w:r>
          </w:p>
        </w:tc>
        <w:tc>
          <w:tcPr>
            <w:tcW w:w="1842" w:type="dxa"/>
            <w:gridSpan w:val="2"/>
            <w:shd w:val="clear" w:color="auto" w:fill="FFFFFF"/>
          </w:tcPr>
          <w:p w14:paraId="5EDACC37"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0AD9553E"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EA7D74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17FAC1FF" w14:textId="77777777" w:rsidR="008C76E0" w:rsidRPr="00BD7577" w:rsidRDefault="008C76E0" w:rsidP="008C76E0">
            <w:pPr>
              <w:spacing w:after="120" w:line="240" w:lineRule="auto"/>
              <w:rPr>
                <w:rFonts w:ascii="Sylfaen" w:hAnsi="Sylfaen"/>
                <w:sz w:val="24"/>
                <w:szCs w:val="24"/>
              </w:rPr>
            </w:pPr>
          </w:p>
        </w:tc>
      </w:tr>
      <w:tr w:rsidR="008C76E0" w:rsidRPr="00BD7577" w14:paraId="43658E40" w14:textId="77777777" w:rsidTr="008C76E0">
        <w:tc>
          <w:tcPr>
            <w:tcW w:w="2704" w:type="dxa"/>
            <w:shd w:val="clear" w:color="auto" w:fill="FFFFFF"/>
            <w:vAlign w:val="center"/>
          </w:tcPr>
          <w:p w14:paraId="7EF851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Բաց հետազոտությունները</w:t>
            </w:r>
          </w:p>
        </w:tc>
        <w:tc>
          <w:tcPr>
            <w:tcW w:w="1842" w:type="dxa"/>
            <w:gridSpan w:val="2"/>
            <w:shd w:val="clear" w:color="auto" w:fill="FFFFFF"/>
          </w:tcPr>
          <w:p w14:paraId="1763B6B2"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7647CA4"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150E7F57"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837E553" w14:textId="77777777" w:rsidR="008C76E0" w:rsidRPr="00BD7577" w:rsidRDefault="008C76E0" w:rsidP="008C76E0">
            <w:pPr>
              <w:spacing w:after="120" w:line="240" w:lineRule="auto"/>
              <w:rPr>
                <w:rFonts w:ascii="Sylfaen" w:hAnsi="Sylfaen"/>
                <w:sz w:val="24"/>
                <w:szCs w:val="24"/>
              </w:rPr>
            </w:pPr>
          </w:p>
        </w:tc>
      </w:tr>
      <w:tr w:rsidR="008C76E0" w:rsidRPr="00BD7577" w14:paraId="127552C0" w14:textId="77777777" w:rsidTr="008C76E0">
        <w:tc>
          <w:tcPr>
            <w:tcW w:w="2704" w:type="dxa"/>
            <w:shd w:val="clear" w:color="auto" w:fill="FFFFFF"/>
            <w:vAlign w:val="center"/>
          </w:tcPr>
          <w:p w14:paraId="2A0EF2B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Հետմարքեթինգային հետազոտությունները </w:t>
            </w:r>
          </w:p>
        </w:tc>
        <w:tc>
          <w:tcPr>
            <w:tcW w:w="1842" w:type="dxa"/>
            <w:gridSpan w:val="2"/>
            <w:shd w:val="clear" w:color="auto" w:fill="FFFFFF"/>
          </w:tcPr>
          <w:p w14:paraId="1A81F235" w14:textId="77777777" w:rsidR="008C76E0" w:rsidRPr="00BD7577" w:rsidRDefault="008C76E0" w:rsidP="008C76E0">
            <w:pPr>
              <w:spacing w:after="120" w:line="240" w:lineRule="auto"/>
              <w:rPr>
                <w:rFonts w:ascii="Sylfaen" w:hAnsi="Sylfaen"/>
                <w:sz w:val="24"/>
                <w:szCs w:val="24"/>
                <w:lang w:val="en-US"/>
              </w:rPr>
            </w:pPr>
          </w:p>
        </w:tc>
        <w:tc>
          <w:tcPr>
            <w:tcW w:w="1716" w:type="dxa"/>
            <w:gridSpan w:val="3"/>
            <w:shd w:val="clear" w:color="auto" w:fill="FFFFFF"/>
          </w:tcPr>
          <w:p w14:paraId="063596AD" w14:textId="77777777" w:rsidR="008C76E0" w:rsidRPr="00BD7577" w:rsidRDefault="008C76E0" w:rsidP="008C76E0">
            <w:pPr>
              <w:spacing w:after="120" w:line="240" w:lineRule="auto"/>
              <w:rPr>
                <w:rFonts w:ascii="Sylfaen" w:hAnsi="Sylfaen"/>
                <w:sz w:val="24"/>
                <w:szCs w:val="24"/>
                <w:lang w:val="en-US"/>
              </w:rPr>
            </w:pPr>
          </w:p>
        </w:tc>
        <w:tc>
          <w:tcPr>
            <w:tcW w:w="2076" w:type="dxa"/>
            <w:gridSpan w:val="2"/>
            <w:shd w:val="clear" w:color="auto" w:fill="FFFFFF"/>
          </w:tcPr>
          <w:p w14:paraId="50E21FE5"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0DEE851D" w14:textId="77777777" w:rsidR="008C76E0" w:rsidRPr="00BD7577" w:rsidRDefault="008C76E0" w:rsidP="008C76E0">
            <w:pPr>
              <w:spacing w:after="120" w:line="240" w:lineRule="auto"/>
              <w:rPr>
                <w:rFonts w:ascii="Sylfaen" w:hAnsi="Sylfaen"/>
                <w:sz w:val="24"/>
                <w:szCs w:val="24"/>
              </w:rPr>
            </w:pPr>
          </w:p>
        </w:tc>
      </w:tr>
      <w:tr w:rsidR="008C76E0" w:rsidRPr="00BD7577" w14:paraId="2D55781F" w14:textId="77777777" w:rsidTr="008C76E0">
        <w:tc>
          <w:tcPr>
            <w:tcW w:w="2704" w:type="dxa"/>
            <w:shd w:val="clear" w:color="auto" w:fill="FFFFFF"/>
            <w:vAlign w:val="center"/>
          </w:tcPr>
          <w:p w14:paraId="39F43F7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Կարեկցանքի նկատառումներից բխող կիրառում</w:t>
            </w:r>
          </w:p>
        </w:tc>
        <w:tc>
          <w:tcPr>
            <w:tcW w:w="1842" w:type="dxa"/>
            <w:gridSpan w:val="2"/>
            <w:shd w:val="clear" w:color="auto" w:fill="FFFFFF"/>
          </w:tcPr>
          <w:p w14:paraId="6A342035" w14:textId="77777777" w:rsidR="008C76E0" w:rsidRPr="00BD7577" w:rsidRDefault="008C76E0" w:rsidP="008C76E0">
            <w:pPr>
              <w:spacing w:after="120" w:line="240" w:lineRule="auto"/>
              <w:rPr>
                <w:rFonts w:ascii="Sylfaen" w:hAnsi="Sylfaen"/>
                <w:sz w:val="24"/>
                <w:szCs w:val="24"/>
              </w:rPr>
            </w:pPr>
          </w:p>
        </w:tc>
        <w:tc>
          <w:tcPr>
            <w:tcW w:w="1716" w:type="dxa"/>
            <w:gridSpan w:val="3"/>
            <w:shd w:val="clear" w:color="auto" w:fill="FFFFFF"/>
          </w:tcPr>
          <w:p w14:paraId="6CC478E1" w14:textId="77777777" w:rsidR="008C76E0" w:rsidRPr="00BD7577" w:rsidRDefault="008C76E0" w:rsidP="008C76E0">
            <w:pPr>
              <w:spacing w:after="120" w:line="240" w:lineRule="auto"/>
              <w:rPr>
                <w:rFonts w:ascii="Sylfaen" w:hAnsi="Sylfaen"/>
                <w:sz w:val="24"/>
                <w:szCs w:val="24"/>
              </w:rPr>
            </w:pPr>
          </w:p>
        </w:tc>
        <w:tc>
          <w:tcPr>
            <w:tcW w:w="2076" w:type="dxa"/>
            <w:gridSpan w:val="2"/>
            <w:shd w:val="clear" w:color="auto" w:fill="FFFFFF"/>
          </w:tcPr>
          <w:p w14:paraId="485E3198" w14:textId="77777777" w:rsidR="008C76E0" w:rsidRPr="00BD7577" w:rsidRDefault="008C76E0" w:rsidP="008C76E0">
            <w:pPr>
              <w:spacing w:after="120" w:line="240" w:lineRule="auto"/>
              <w:rPr>
                <w:rFonts w:ascii="Sylfaen" w:hAnsi="Sylfaen"/>
                <w:sz w:val="24"/>
                <w:szCs w:val="24"/>
              </w:rPr>
            </w:pPr>
          </w:p>
        </w:tc>
        <w:tc>
          <w:tcPr>
            <w:tcW w:w="1941" w:type="dxa"/>
            <w:gridSpan w:val="2"/>
            <w:shd w:val="clear" w:color="auto" w:fill="FFFFFF"/>
          </w:tcPr>
          <w:p w14:paraId="60A176BF" w14:textId="77777777" w:rsidR="008C76E0" w:rsidRPr="00BD7577" w:rsidRDefault="008C76E0" w:rsidP="008C76E0">
            <w:pPr>
              <w:spacing w:after="120" w:line="240" w:lineRule="auto"/>
              <w:rPr>
                <w:rFonts w:ascii="Sylfaen" w:hAnsi="Sylfaen"/>
                <w:sz w:val="24"/>
                <w:szCs w:val="24"/>
              </w:rPr>
            </w:pPr>
          </w:p>
        </w:tc>
      </w:tr>
      <w:tr w:rsidR="008C76E0" w:rsidRPr="00BD7577" w14:paraId="4041716A" w14:textId="77777777" w:rsidTr="008C76E0">
        <w:tc>
          <w:tcPr>
            <w:tcW w:w="10279" w:type="dxa"/>
            <w:gridSpan w:val="10"/>
            <w:tcBorders>
              <w:top w:val="single" w:sz="4" w:space="0" w:color="auto"/>
              <w:bottom w:val="single" w:sz="4" w:space="0" w:color="auto"/>
            </w:tcBorders>
            <w:shd w:val="clear" w:color="auto" w:fill="FFFFFF"/>
          </w:tcPr>
          <w:p w14:paraId="42EE04F8"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Նշումը վերաբերում է 6 կամ 12 ամիս ժամանակահատվածի ընթացքում անընդհատ կամ ընդհատվող ներգործության տվյալներին:</w:t>
            </w:r>
          </w:p>
        </w:tc>
      </w:tr>
      <w:tr w:rsidR="008C76E0" w:rsidRPr="00BD7577" w14:paraId="4B2A2E0A" w14:textId="77777777" w:rsidTr="008C76E0">
        <w:tc>
          <w:tcPr>
            <w:tcW w:w="10279" w:type="dxa"/>
            <w:gridSpan w:val="10"/>
            <w:tcBorders>
              <w:top w:val="single" w:sz="4" w:space="0" w:color="auto"/>
              <w:left w:val="single" w:sz="4" w:space="0" w:color="auto"/>
              <w:bottom w:val="single" w:sz="4" w:space="0" w:color="auto"/>
              <w:right w:val="single" w:sz="4" w:space="0" w:color="auto"/>
            </w:tcBorders>
            <w:shd w:val="clear" w:color="auto" w:fill="FFFFFF"/>
          </w:tcPr>
          <w:p w14:paraId="29A8C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09BF30B8" w14:textId="77777777" w:rsidTr="008C76E0">
        <w:tc>
          <w:tcPr>
            <w:tcW w:w="10279" w:type="dxa"/>
            <w:gridSpan w:val="10"/>
            <w:tcBorders>
              <w:top w:val="single" w:sz="4" w:space="0" w:color="auto"/>
            </w:tcBorders>
            <w:shd w:val="clear" w:color="auto" w:fill="FFFFFF"/>
            <w:vAlign w:val="center"/>
          </w:tcPr>
          <w:p w14:paraId="2C3509A1"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4.3.</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ույթները:</w:t>
            </w:r>
          </w:p>
        </w:tc>
      </w:tr>
      <w:tr w:rsidR="008C76E0" w:rsidRPr="00BD7577" w14:paraId="12C7A127" w14:textId="77777777" w:rsidTr="008C76E0">
        <w:tc>
          <w:tcPr>
            <w:tcW w:w="10279" w:type="dxa"/>
            <w:gridSpan w:val="10"/>
            <w:tcBorders>
              <w:top w:val="single" w:sz="4" w:space="0" w:color="auto"/>
              <w:bottom w:val="single" w:sz="4" w:space="0" w:color="auto"/>
            </w:tcBorders>
            <w:shd w:val="clear" w:color="auto" w:fill="FFFFFF"/>
          </w:tcPr>
          <w:p w14:paraId="06BCC469"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EDC152" w14:textId="77777777" w:rsidTr="008C76E0">
        <w:tc>
          <w:tcPr>
            <w:tcW w:w="10279" w:type="dxa"/>
            <w:gridSpan w:val="10"/>
            <w:shd w:val="clear" w:color="auto" w:fill="FFFFFF"/>
          </w:tcPr>
          <w:p w14:paraId="0F7E00B4" w14:textId="77777777" w:rsidR="008C76E0" w:rsidRPr="00BD7577" w:rsidRDefault="008C76E0" w:rsidP="008C76E0">
            <w:pPr>
              <w:pStyle w:val="Bodytext180"/>
              <w:shd w:val="clear" w:color="auto" w:fill="auto"/>
              <w:tabs>
                <w:tab w:val="left" w:pos="1102"/>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4.4.</w:t>
            </w:r>
            <w:r w:rsidRPr="00BD7577">
              <w:rPr>
                <w:rStyle w:val="Bodytext295pt"/>
                <w:rFonts w:ascii="Sylfaen" w:hAnsi="Sylfaen"/>
                <w:spacing w:val="0"/>
                <w:sz w:val="24"/>
                <w:szCs w:val="24"/>
              </w:rPr>
              <w:tab/>
              <w:t>Լուրջ 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ույթներն ու մահացու ելքը:</w:t>
            </w:r>
          </w:p>
        </w:tc>
      </w:tr>
      <w:tr w:rsidR="008C76E0" w:rsidRPr="00BD7577" w14:paraId="18CA1968"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0F1E4F05" w14:textId="77777777" w:rsidR="008C76E0" w:rsidRPr="00BD7577" w:rsidRDefault="008C76E0" w:rsidP="008C76E0">
            <w:pPr>
              <w:pStyle w:val="Bodytext180"/>
              <w:shd w:val="clear" w:color="auto" w:fill="auto"/>
              <w:spacing w:before="0" w:after="120" w:line="240" w:lineRule="auto"/>
              <w:ind w:firstLine="53"/>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7C77D790" w14:textId="77777777" w:rsidTr="008C76E0">
        <w:tc>
          <w:tcPr>
            <w:tcW w:w="10279" w:type="dxa"/>
            <w:gridSpan w:val="10"/>
            <w:tcBorders>
              <w:top w:val="single" w:sz="4" w:space="0" w:color="auto"/>
            </w:tcBorders>
            <w:shd w:val="clear" w:color="auto" w:fill="FFFFFF"/>
            <w:vAlign w:val="bottom"/>
          </w:tcPr>
          <w:p w14:paraId="1C3D732A" w14:textId="77777777" w:rsidR="008C76E0" w:rsidRPr="00BD7577" w:rsidRDefault="008C76E0" w:rsidP="008C76E0">
            <w:pPr>
              <w:pStyle w:val="Bodytext180"/>
              <w:shd w:val="clear" w:color="auto" w:fill="auto"/>
              <w:tabs>
                <w:tab w:val="left" w:pos="1134"/>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4.5.</w:t>
            </w:r>
            <w:r w:rsidRPr="00BD7577">
              <w:rPr>
                <w:rStyle w:val="Bodytext295pt"/>
                <w:rFonts w:ascii="Sylfaen" w:hAnsi="Sylfaen"/>
                <w:spacing w:val="0"/>
                <w:sz w:val="24"/>
                <w:szCs w:val="24"/>
              </w:rPr>
              <w:tab/>
              <w:t>Լաբորատոր հետազոտությունների տվյալները:</w:t>
            </w:r>
          </w:p>
        </w:tc>
      </w:tr>
      <w:tr w:rsidR="008C76E0" w:rsidRPr="00BD7577" w14:paraId="35950B76"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C95B0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4DB39B01" w14:textId="77777777" w:rsidTr="008C76E0">
        <w:tc>
          <w:tcPr>
            <w:tcW w:w="10279" w:type="dxa"/>
            <w:gridSpan w:val="10"/>
            <w:tcBorders>
              <w:top w:val="single" w:sz="4" w:space="0" w:color="auto"/>
            </w:tcBorders>
            <w:shd w:val="clear" w:color="auto" w:fill="FFFFFF"/>
            <w:vAlign w:val="center"/>
          </w:tcPr>
          <w:p w14:paraId="31E58888" w14:textId="77777777" w:rsidR="008C76E0" w:rsidRPr="00BD7577" w:rsidRDefault="008C76E0" w:rsidP="008C76E0">
            <w:pPr>
              <w:pStyle w:val="Bodytext180"/>
              <w:shd w:val="clear" w:color="auto" w:fill="auto"/>
              <w:tabs>
                <w:tab w:val="left" w:pos="1087"/>
              </w:tabs>
              <w:spacing w:before="0" w:after="120" w:line="24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4.6.</w:t>
            </w:r>
            <w:r w:rsidRPr="00BD7577">
              <w:rPr>
                <w:rStyle w:val="Bodytext295pt"/>
                <w:rFonts w:ascii="Sylfaen" w:hAnsi="Sylfaen"/>
                <w:spacing w:val="0"/>
                <w:sz w:val="24"/>
                <w:szCs w:val="24"/>
              </w:rPr>
              <w:tab/>
              <w:t>Բնակչության հատուկ խմբերի մոտ պատրաստուկի կիրառման անվտանգությունը:</w:t>
            </w:r>
          </w:p>
        </w:tc>
      </w:tr>
      <w:tr w:rsidR="008C76E0" w:rsidRPr="00BD7577" w14:paraId="5B1DE8AF" w14:textId="77777777" w:rsidTr="008C76E0">
        <w:tc>
          <w:tcPr>
            <w:tcW w:w="4263" w:type="dxa"/>
            <w:gridSpan w:val="2"/>
            <w:tcBorders>
              <w:top w:val="single" w:sz="4" w:space="0" w:color="auto"/>
              <w:left w:val="single" w:sz="4" w:space="0" w:color="auto"/>
            </w:tcBorders>
            <w:shd w:val="clear" w:color="auto" w:fill="FFFFFF"/>
          </w:tcPr>
          <w:p w14:paraId="7E4E47C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MedDRA բառարանի տերմինները</w:t>
            </w:r>
          </w:p>
        </w:tc>
        <w:tc>
          <w:tcPr>
            <w:tcW w:w="1371" w:type="dxa"/>
            <w:gridSpan w:val="3"/>
            <w:tcBorders>
              <w:top w:val="single" w:sz="4" w:space="0" w:color="auto"/>
              <w:left w:val="single" w:sz="4" w:space="0" w:color="auto"/>
            </w:tcBorders>
            <w:shd w:val="clear" w:color="auto" w:fill="FFFFFF"/>
            <w:vAlign w:val="bottom"/>
          </w:tcPr>
          <w:p w14:paraId="1C24BC5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մինչ</w:t>
            </w:r>
            <w:r w:rsidR="00C54D75">
              <w:rPr>
                <w:rStyle w:val="Bodytext1811pt"/>
                <w:rFonts w:ascii="Sylfaen" w:hAnsi="Sylfaen"/>
                <w:sz w:val="24"/>
                <w:szCs w:val="24"/>
              </w:rPr>
              <w:t>և</w:t>
            </w:r>
            <w:r w:rsidRPr="00BD7577">
              <w:rPr>
                <w:rStyle w:val="Bodytext1811pt"/>
                <w:rFonts w:ascii="Sylfaen" w:hAnsi="Sylfaen"/>
                <w:sz w:val="24"/>
                <w:szCs w:val="24"/>
              </w:rPr>
              <w:t xml:space="preserve"> 65 տարիքային խումբ, քանակ (տոկոս) </w:t>
            </w:r>
          </w:p>
        </w:tc>
        <w:tc>
          <w:tcPr>
            <w:tcW w:w="1480" w:type="dxa"/>
            <w:gridSpan w:val="2"/>
            <w:tcBorders>
              <w:top w:val="single" w:sz="4" w:space="0" w:color="auto"/>
              <w:left w:val="single" w:sz="4" w:space="0" w:color="auto"/>
            </w:tcBorders>
            <w:shd w:val="clear" w:color="auto" w:fill="FFFFFF"/>
            <w:vAlign w:val="bottom"/>
          </w:tcPr>
          <w:p w14:paraId="485B2D9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65-74 տարիքային խումբ, քանակ (տոկոս)</w:t>
            </w:r>
          </w:p>
        </w:tc>
        <w:tc>
          <w:tcPr>
            <w:tcW w:w="1498" w:type="dxa"/>
            <w:gridSpan w:val="2"/>
            <w:tcBorders>
              <w:top w:val="single" w:sz="4" w:space="0" w:color="auto"/>
              <w:left w:val="single" w:sz="4" w:space="0" w:color="auto"/>
            </w:tcBorders>
            <w:shd w:val="clear" w:color="auto" w:fill="FFFFFF"/>
            <w:vAlign w:val="bottom"/>
          </w:tcPr>
          <w:p w14:paraId="6CF1436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75-84 տարիքային խումբ, քանակ (տոկոս)</w:t>
            </w:r>
          </w:p>
        </w:tc>
        <w:tc>
          <w:tcPr>
            <w:tcW w:w="1667" w:type="dxa"/>
            <w:tcBorders>
              <w:top w:val="single" w:sz="4" w:space="0" w:color="auto"/>
              <w:left w:val="single" w:sz="4" w:space="0" w:color="auto"/>
              <w:right w:val="single" w:sz="4" w:space="0" w:color="auto"/>
            </w:tcBorders>
            <w:shd w:val="clear" w:color="auto" w:fill="FFFFFF"/>
          </w:tcPr>
          <w:p w14:paraId="7EB4048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85+ տարիքային խումբ, քանակ (տոկոս)</w:t>
            </w:r>
          </w:p>
        </w:tc>
      </w:tr>
      <w:tr w:rsidR="008C76E0" w:rsidRPr="00BD7577" w14:paraId="61CFE8E2" w14:textId="77777777" w:rsidTr="008C76E0">
        <w:tc>
          <w:tcPr>
            <w:tcW w:w="4263" w:type="dxa"/>
            <w:gridSpan w:val="2"/>
            <w:tcBorders>
              <w:top w:val="single" w:sz="4" w:space="0" w:color="auto"/>
              <w:left w:val="single" w:sz="4" w:space="0" w:color="auto"/>
            </w:tcBorders>
            <w:shd w:val="clear" w:color="auto" w:fill="FFFFFF"/>
          </w:tcPr>
          <w:p w14:paraId="25746C5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ույթների ընդհանուր քանակը</w:t>
            </w:r>
          </w:p>
        </w:tc>
        <w:tc>
          <w:tcPr>
            <w:tcW w:w="1371" w:type="dxa"/>
            <w:gridSpan w:val="3"/>
            <w:tcBorders>
              <w:top w:val="single" w:sz="4" w:space="0" w:color="auto"/>
              <w:left w:val="single" w:sz="4" w:space="0" w:color="auto"/>
            </w:tcBorders>
            <w:shd w:val="clear" w:color="auto" w:fill="FFFFFF"/>
          </w:tcPr>
          <w:p w14:paraId="7E6D65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5ED106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29AA29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15B977F" w14:textId="77777777" w:rsidR="008C76E0" w:rsidRPr="00BD7577" w:rsidRDefault="008C76E0" w:rsidP="008C76E0">
            <w:pPr>
              <w:spacing w:after="120" w:line="240" w:lineRule="auto"/>
              <w:rPr>
                <w:rFonts w:ascii="Sylfaen" w:hAnsi="Sylfaen"/>
                <w:sz w:val="24"/>
                <w:szCs w:val="24"/>
              </w:rPr>
            </w:pPr>
          </w:p>
        </w:tc>
      </w:tr>
      <w:tr w:rsidR="008C76E0" w:rsidRPr="00BD7577" w14:paraId="2344E4D4" w14:textId="77777777" w:rsidTr="008C76E0">
        <w:tc>
          <w:tcPr>
            <w:tcW w:w="4263" w:type="dxa"/>
            <w:gridSpan w:val="2"/>
            <w:tcBorders>
              <w:top w:val="single" w:sz="4" w:space="0" w:color="auto"/>
              <w:left w:val="single" w:sz="4" w:space="0" w:color="auto"/>
            </w:tcBorders>
            <w:shd w:val="clear" w:color="auto" w:fill="FFFFFF"/>
            <w:vAlign w:val="bottom"/>
          </w:tcPr>
          <w:p w14:paraId="002608C9"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Լուրջ 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ույթները (ընդհանուր քանակը)</w:t>
            </w:r>
          </w:p>
        </w:tc>
        <w:tc>
          <w:tcPr>
            <w:tcW w:w="1371" w:type="dxa"/>
            <w:gridSpan w:val="3"/>
            <w:tcBorders>
              <w:top w:val="single" w:sz="4" w:space="0" w:color="auto"/>
              <w:left w:val="single" w:sz="4" w:space="0" w:color="auto"/>
            </w:tcBorders>
            <w:shd w:val="clear" w:color="auto" w:fill="FFFFFF"/>
          </w:tcPr>
          <w:p w14:paraId="4E2BC2F6"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FE33D3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BAF899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83F6650" w14:textId="77777777" w:rsidR="008C76E0" w:rsidRPr="00BD7577" w:rsidRDefault="008C76E0" w:rsidP="008C76E0">
            <w:pPr>
              <w:spacing w:after="120" w:line="240" w:lineRule="auto"/>
              <w:rPr>
                <w:rFonts w:ascii="Sylfaen" w:hAnsi="Sylfaen"/>
                <w:sz w:val="24"/>
                <w:szCs w:val="24"/>
              </w:rPr>
            </w:pPr>
          </w:p>
        </w:tc>
      </w:tr>
      <w:tr w:rsidR="008C76E0" w:rsidRPr="00BD7577" w14:paraId="1C7752A7" w14:textId="77777777" w:rsidTr="008C76E0">
        <w:tc>
          <w:tcPr>
            <w:tcW w:w="4263" w:type="dxa"/>
            <w:gridSpan w:val="2"/>
            <w:tcBorders>
              <w:top w:val="single" w:sz="4" w:space="0" w:color="auto"/>
              <w:left w:val="single" w:sz="4" w:space="0" w:color="auto"/>
            </w:tcBorders>
            <w:shd w:val="clear" w:color="auto" w:fill="FFFFFF"/>
            <w:vAlign w:val="bottom"/>
          </w:tcPr>
          <w:p w14:paraId="250B63B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մահացու</w:t>
            </w:r>
          </w:p>
        </w:tc>
        <w:tc>
          <w:tcPr>
            <w:tcW w:w="1371" w:type="dxa"/>
            <w:gridSpan w:val="3"/>
            <w:tcBorders>
              <w:top w:val="single" w:sz="4" w:space="0" w:color="auto"/>
              <w:left w:val="single" w:sz="4" w:space="0" w:color="auto"/>
            </w:tcBorders>
            <w:shd w:val="clear" w:color="auto" w:fill="FFFFFF"/>
          </w:tcPr>
          <w:p w14:paraId="40FD675B"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472DBE8"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556B48EB"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FD93FF5" w14:textId="77777777" w:rsidR="008C76E0" w:rsidRPr="00BD7577" w:rsidRDefault="008C76E0" w:rsidP="008C76E0">
            <w:pPr>
              <w:spacing w:after="120" w:line="240" w:lineRule="auto"/>
              <w:rPr>
                <w:rFonts w:ascii="Sylfaen" w:hAnsi="Sylfaen"/>
                <w:sz w:val="24"/>
                <w:szCs w:val="24"/>
              </w:rPr>
            </w:pPr>
          </w:p>
        </w:tc>
      </w:tr>
      <w:tr w:rsidR="008C76E0" w:rsidRPr="00BD7577" w14:paraId="53EC53EA" w14:textId="77777777" w:rsidTr="008C76E0">
        <w:tc>
          <w:tcPr>
            <w:tcW w:w="4263" w:type="dxa"/>
            <w:gridSpan w:val="2"/>
            <w:tcBorders>
              <w:top w:val="single" w:sz="4" w:space="0" w:color="auto"/>
              <w:left w:val="single" w:sz="4" w:space="0" w:color="auto"/>
            </w:tcBorders>
            <w:shd w:val="clear" w:color="auto" w:fill="FFFFFF"/>
            <w:vAlign w:val="bottom"/>
          </w:tcPr>
          <w:p w14:paraId="28AA906F"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հոսպիտալացում (հոսպիտալացման ժամկետի երկարաձգում)</w:t>
            </w:r>
          </w:p>
        </w:tc>
        <w:tc>
          <w:tcPr>
            <w:tcW w:w="1371" w:type="dxa"/>
            <w:gridSpan w:val="3"/>
            <w:tcBorders>
              <w:top w:val="single" w:sz="4" w:space="0" w:color="auto"/>
              <w:left w:val="single" w:sz="4" w:space="0" w:color="auto"/>
            </w:tcBorders>
            <w:shd w:val="clear" w:color="auto" w:fill="FFFFFF"/>
          </w:tcPr>
          <w:p w14:paraId="3273BBE8"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1CFC74F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C211994"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CDF0C6C" w14:textId="77777777" w:rsidR="008C76E0" w:rsidRPr="00BD7577" w:rsidRDefault="008C76E0" w:rsidP="008C76E0">
            <w:pPr>
              <w:spacing w:after="120" w:line="240" w:lineRule="auto"/>
              <w:rPr>
                <w:rFonts w:ascii="Sylfaen" w:hAnsi="Sylfaen"/>
                <w:sz w:val="24"/>
                <w:szCs w:val="24"/>
              </w:rPr>
            </w:pPr>
          </w:p>
        </w:tc>
      </w:tr>
      <w:tr w:rsidR="008C76E0" w:rsidRPr="00BD7577" w14:paraId="7D5773BA" w14:textId="77777777" w:rsidTr="008C76E0">
        <w:tc>
          <w:tcPr>
            <w:tcW w:w="4263" w:type="dxa"/>
            <w:gridSpan w:val="2"/>
            <w:tcBorders>
              <w:top w:val="single" w:sz="4" w:space="0" w:color="auto"/>
              <w:left w:val="single" w:sz="4" w:space="0" w:color="auto"/>
            </w:tcBorders>
            <w:shd w:val="clear" w:color="auto" w:fill="FFFFFF"/>
            <w:vAlign w:val="bottom"/>
          </w:tcPr>
          <w:p w14:paraId="2C5C193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կյանքի համար վտանգ</w:t>
            </w:r>
          </w:p>
        </w:tc>
        <w:tc>
          <w:tcPr>
            <w:tcW w:w="1371" w:type="dxa"/>
            <w:gridSpan w:val="3"/>
            <w:tcBorders>
              <w:top w:val="single" w:sz="4" w:space="0" w:color="auto"/>
              <w:left w:val="single" w:sz="4" w:space="0" w:color="auto"/>
            </w:tcBorders>
            <w:shd w:val="clear" w:color="auto" w:fill="FFFFFF"/>
          </w:tcPr>
          <w:p w14:paraId="643F36D4"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274E8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6FCD0B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BDFA204" w14:textId="77777777" w:rsidR="008C76E0" w:rsidRPr="00BD7577" w:rsidRDefault="008C76E0" w:rsidP="008C76E0">
            <w:pPr>
              <w:spacing w:after="120" w:line="240" w:lineRule="auto"/>
              <w:rPr>
                <w:rFonts w:ascii="Sylfaen" w:hAnsi="Sylfaen"/>
                <w:sz w:val="24"/>
                <w:szCs w:val="24"/>
              </w:rPr>
            </w:pPr>
          </w:p>
        </w:tc>
      </w:tr>
      <w:tr w:rsidR="008C76E0" w:rsidRPr="00BD7577" w14:paraId="6F536B2C" w14:textId="77777777" w:rsidTr="008C76E0">
        <w:tc>
          <w:tcPr>
            <w:tcW w:w="4263" w:type="dxa"/>
            <w:gridSpan w:val="2"/>
            <w:tcBorders>
              <w:top w:val="single" w:sz="4" w:space="0" w:color="auto"/>
              <w:left w:val="single" w:sz="4" w:space="0" w:color="auto"/>
            </w:tcBorders>
            <w:shd w:val="clear" w:color="auto" w:fill="FFFFFF"/>
            <w:vAlign w:val="bottom"/>
          </w:tcPr>
          <w:p w14:paraId="1EFFA59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հաշմանդամություն (անաշխատունակություն)</w:t>
            </w:r>
          </w:p>
        </w:tc>
        <w:tc>
          <w:tcPr>
            <w:tcW w:w="1371" w:type="dxa"/>
            <w:gridSpan w:val="3"/>
            <w:tcBorders>
              <w:top w:val="single" w:sz="4" w:space="0" w:color="auto"/>
              <w:left w:val="single" w:sz="4" w:space="0" w:color="auto"/>
            </w:tcBorders>
            <w:shd w:val="clear" w:color="auto" w:fill="FFFFFF"/>
          </w:tcPr>
          <w:p w14:paraId="507FCDB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204EDF4"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229941E"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023FAA5" w14:textId="77777777" w:rsidR="008C76E0" w:rsidRPr="00BD7577" w:rsidRDefault="008C76E0" w:rsidP="008C76E0">
            <w:pPr>
              <w:spacing w:after="120" w:line="240" w:lineRule="auto"/>
              <w:rPr>
                <w:rFonts w:ascii="Sylfaen" w:hAnsi="Sylfaen"/>
                <w:sz w:val="24"/>
                <w:szCs w:val="24"/>
              </w:rPr>
            </w:pPr>
          </w:p>
        </w:tc>
      </w:tr>
      <w:tr w:rsidR="008C76E0" w:rsidRPr="00BD7577" w14:paraId="3CF682D7" w14:textId="77777777" w:rsidTr="008C76E0">
        <w:tc>
          <w:tcPr>
            <w:tcW w:w="4263" w:type="dxa"/>
            <w:gridSpan w:val="2"/>
            <w:tcBorders>
              <w:top w:val="single" w:sz="4" w:space="0" w:color="auto"/>
              <w:left w:val="single" w:sz="4" w:space="0" w:color="auto"/>
            </w:tcBorders>
            <w:shd w:val="clear" w:color="auto" w:fill="FFFFFF"/>
            <w:vAlign w:val="bottom"/>
          </w:tcPr>
          <w:p w14:paraId="6E43720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այլ (բժշկական տեսանկյունից կար</w:t>
            </w:r>
            <w:r w:rsidR="00C54D75">
              <w:rPr>
                <w:rStyle w:val="Bodytext1811pt"/>
                <w:rFonts w:ascii="Sylfaen" w:hAnsi="Sylfaen"/>
                <w:sz w:val="24"/>
                <w:szCs w:val="24"/>
              </w:rPr>
              <w:t>և</w:t>
            </w:r>
            <w:r w:rsidRPr="00BD7577">
              <w:rPr>
                <w:rStyle w:val="Bodytext1811pt"/>
                <w:rFonts w:ascii="Sylfaen" w:hAnsi="Sylfaen"/>
                <w:sz w:val="24"/>
                <w:szCs w:val="24"/>
              </w:rPr>
              <w:t>որ)</w:t>
            </w:r>
          </w:p>
        </w:tc>
        <w:tc>
          <w:tcPr>
            <w:tcW w:w="1371" w:type="dxa"/>
            <w:gridSpan w:val="3"/>
            <w:tcBorders>
              <w:top w:val="single" w:sz="4" w:space="0" w:color="auto"/>
              <w:left w:val="single" w:sz="4" w:space="0" w:color="auto"/>
            </w:tcBorders>
            <w:shd w:val="clear" w:color="auto" w:fill="FFFFFF"/>
          </w:tcPr>
          <w:p w14:paraId="2C79E72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5BA6C6E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82A253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73E1EAB8" w14:textId="77777777" w:rsidR="008C76E0" w:rsidRPr="00BD7577" w:rsidRDefault="008C76E0" w:rsidP="008C76E0">
            <w:pPr>
              <w:spacing w:after="120" w:line="240" w:lineRule="auto"/>
              <w:rPr>
                <w:rFonts w:ascii="Sylfaen" w:hAnsi="Sylfaen"/>
                <w:sz w:val="24"/>
                <w:szCs w:val="24"/>
              </w:rPr>
            </w:pPr>
          </w:p>
        </w:tc>
      </w:tr>
      <w:tr w:rsidR="008C76E0" w:rsidRPr="00BD7577" w14:paraId="2700490E" w14:textId="77777777" w:rsidTr="008C76E0">
        <w:tc>
          <w:tcPr>
            <w:tcW w:w="4263" w:type="dxa"/>
            <w:gridSpan w:val="2"/>
            <w:tcBorders>
              <w:top w:val="single" w:sz="4" w:space="0" w:color="auto"/>
              <w:left w:val="single" w:sz="4" w:space="0" w:color="auto"/>
            </w:tcBorders>
            <w:shd w:val="clear" w:color="auto" w:fill="FFFFFF"/>
            <w:vAlign w:val="bottom"/>
          </w:tcPr>
          <w:p w14:paraId="58063E75"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Անցանկալի եր</w:t>
            </w:r>
            <w:r w:rsidR="00C54D75">
              <w:rPr>
                <w:rStyle w:val="Bodytext1811pt"/>
                <w:rFonts w:ascii="Sylfaen" w:hAnsi="Sylfaen"/>
                <w:sz w:val="24"/>
                <w:szCs w:val="24"/>
              </w:rPr>
              <w:t>և</w:t>
            </w:r>
            <w:r w:rsidRPr="00BD7577">
              <w:rPr>
                <w:rStyle w:val="Bodytext1811pt"/>
                <w:rFonts w:ascii="Sylfaen" w:hAnsi="Sylfaen"/>
                <w:sz w:val="24"/>
                <w:szCs w:val="24"/>
              </w:rPr>
              <w:t>ույթ, որը հանգեցրել է հետազոտությունից դուրս գալուն</w:t>
            </w:r>
          </w:p>
        </w:tc>
        <w:tc>
          <w:tcPr>
            <w:tcW w:w="1371" w:type="dxa"/>
            <w:gridSpan w:val="3"/>
            <w:tcBorders>
              <w:top w:val="single" w:sz="4" w:space="0" w:color="auto"/>
              <w:left w:val="single" w:sz="4" w:space="0" w:color="auto"/>
            </w:tcBorders>
            <w:shd w:val="clear" w:color="auto" w:fill="FFFFFF"/>
          </w:tcPr>
          <w:p w14:paraId="0296EBDE"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2E3638F"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186F62D5"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42F55EE" w14:textId="77777777" w:rsidR="008C76E0" w:rsidRPr="00BD7577" w:rsidRDefault="008C76E0" w:rsidP="008C76E0">
            <w:pPr>
              <w:spacing w:after="120" w:line="240" w:lineRule="auto"/>
              <w:rPr>
                <w:rFonts w:ascii="Sylfaen" w:hAnsi="Sylfaen"/>
                <w:sz w:val="24"/>
                <w:szCs w:val="24"/>
              </w:rPr>
            </w:pPr>
          </w:p>
        </w:tc>
      </w:tr>
      <w:tr w:rsidR="008C76E0" w:rsidRPr="00BD7577" w14:paraId="76E3EC6C" w14:textId="77777777" w:rsidTr="008C76E0">
        <w:tc>
          <w:tcPr>
            <w:tcW w:w="4263" w:type="dxa"/>
            <w:gridSpan w:val="2"/>
            <w:tcBorders>
              <w:top w:val="single" w:sz="4" w:space="0" w:color="auto"/>
              <w:left w:val="single" w:sz="4" w:space="0" w:color="auto"/>
            </w:tcBorders>
            <w:shd w:val="clear" w:color="auto" w:fill="FFFFFF"/>
            <w:vAlign w:val="bottom"/>
          </w:tcPr>
          <w:p w14:paraId="50FF5D6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Հոգեկան խանգարումներ</w:t>
            </w:r>
          </w:p>
        </w:tc>
        <w:tc>
          <w:tcPr>
            <w:tcW w:w="1371" w:type="dxa"/>
            <w:gridSpan w:val="3"/>
            <w:tcBorders>
              <w:top w:val="single" w:sz="4" w:space="0" w:color="auto"/>
              <w:left w:val="single" w:sz="4" w:space="0" w:color="auto"/>
            </w:tcBorders>
            <w:shd w:val="clear" w:color="auto" w:fill="FFFFFF"/>
          </w:tcPr>
          <w:p w14:paraId="6FAEFE8C"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276841A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5ABD386"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BDEA170" w14:textId="77777777" w:rsidR="008C76E0" w:rsidRPr="00BD7577" w:rsidRDefault="008C76E0" w:rsidP="008C76E0">
            <w:pPr>
              <w:spacing w:after="120" w:line="240" w:lineRule="auto"/>
              <w:rPr>
                <w:rFonts w:ascii="Sylfaen" w:hAnsi="Sylfaen"/>
                <w:sz w:val="24"/>
                <w:szCs w:val="24"/>
              </w:rPr>
            </w:pPr>
          </w:p>
        </w:tc>
      </w:tr>
      <w:tr w:rsidR="008C76E0" w:rsidRPr="00BD7577" w14:paraId="0E1FB6E0" w14:textId="77777777" w:rsidTr="008C76E0">
        <w:tc>
          <w:tcPr>
            <w:tcW w:w="4263" w:type="dxa"/>
            <w:gridSpan w:val="2"/>
            <w:tcBorders>
              <w:top w:val="single" w:sz="4" w:space="0" w:color="auto"/>
              <w:left w:val="single" w:sz="4" w:space="0" w:color="auto"/>
            </w:tcBorders>
            <w:shd w:val="clear" w:color="auto" w:fill="FFFFFF"/>
          </w:tcPr>
          <w:p w14:paraId="20F1E7EB"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Նյարդային համակարգի խանգարումներ</w:t>
            </w:r>
          </w:p>
        </w:tc>
        <w:tc>
          <w:tcPr>
            <w:tcW w:w="1371" w:type="dxa"/>
            <w:gridSpan w:val="3"/>
            <w:tcBorders>
              <w:top w:val="single" w:sz="4" w:space="0" w:color="auto"/>
              <w:left w:val="single" w:sz="4" w:space="0" w:color="auto"/>
            </w:tcBorders>
            <w:shd w:val="clear" w:color="auto" w:fill="FFFFFF"/>
          </w:tcPr>
          <w:p w14:paraId="7B5ADF6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683AA6F3"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2D239B6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4A0DCA89" w14:textId="77777777" w:rsidR="008C76E0" w:rsidRPr="00BD7577" w:rsidRDefault="008C76E0" w:rsidP="008C76E0">
            <w:pPr>
              <w:spacing w:after="120" w:line="240" w:lineRule="auto"/>
              <w:rPr>
                <w:rFonts w:ascii="Sylfaen" w:hAnsi="Sylfaen"/>
                <w:sz w:val="24"/>
                <w:szCs w:val="24"/>
              </w:rPr>
            </w:pPr>
          </w:p>
        </w:tc>
      </w:tr>
      <w:tr w:rsidR="008C76E0" w:rsidRPr="00BD7577" w14:paraId="136C986E" w14:textId="77777777" w:rsidTr="008C76E0">
        <w:tc>
          <w:tcPr>
            <w:tcW w:w="4263" w:type="dxa"/>
            <w:gridSpan w:val="2"/>
            <w:tcBorders>
              <w:top w:val="single" w:sz="4" w:space="0" w:color="auto"/>
              <w:left w:val="single" w:sz="4" w:space="0" w:color="auto"/>
            </w:tcBorders>
            <w:shd w:val="clear" w:color="auto" w:fill="FFFFFF"/>
            <w:vAlign w:val="bottom"/>
          </w:tcPr>
          <w:p w14:paraId="71B75F5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Դժբախտ պատահարներ </w:t>
            </w:r>
            <w:r w:rsidR="00C54D75">
              <w:rPr>
                <w:rStyle w:val="Bodytext1811pt"/>
                <w:rFonts w:ascii="Sylfaen" w:hAnsi="Sylfaen"/>
                <w:sz w:val="24"/>
                <w:szCs w:val="24"/>
              </w:rPr>
              <w:t>և</w:t>
            </w:r>
            <w:r w:rsidRPr="00BD7577">
              <w:rPr>
                <w:rStyle w:val="Bodytext1811pt"/>
                <w:rFonts w:ascii="Sylfaen" w:hAnsi="Sylfaen"/>
                <w:sz w:val="24"/>
                <w:szCs w:val="24"/>
              </w:rPr>
              <w:t xml:space="preserve"> վնասվածքներ </w:t>
            </w:r>
          </w:p>
        </w:tc>
        <w:tc>
          <w:tcPr>
            <w:tcW w:w="1371" w:type="dxa"/>
            <w:gridSpan w:val="3"/>
            <w:tcBorders>
              <w:top w:val="single" w:sz="4" w:space="0" w:color="auto"/>
              <w:left w:val="single" w:sz="4" w:space="0" w:color="auto"/>
            </w:tcBorders>
            <w:shd w:val="clear" w:color="auto" w:fill="FFFFFF"/>
          </w:tcPr>
          <w:p w14:paraId="22D0FCF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684AB40"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AAAA03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2ED09839" w14:textId="77777777" w:rsidR="008C76E0" w:rsidRPr="00BD7577" w:rsidRDefault="008C76E0" w:rsidP="008C76E0">
            <w:pPr>
              <w:spacing w:after="120" w:line="240" w:lineRule="auto"/>
              <w:rPr>
                <w:rFonts w:ascii="Sylfaen" w:hAnsi="Sylfaen"/>
                <w:sz w:val="24"/>
                <w:szCs w:val="24"/>
              </w:rPr>
            </w:pPr>
          </w:p>
        </w:tc>
      </w:tr>
      <w:tr w:rsidR="008C76E0" w:rsidRPr="00BD7577" w14:paraId="43E6C96C" w14:textId="77777777" w:rsidTr="008C76E0">
        <w:tc>
          <w:tcPr>
            <w:tcW w:w="4263" w:type="dxa"/>
            <w:gridSpan w:val="2"/>
            <w:tcBorders>
              <w:top w:val="single" w:sz="4" w:space="0" w:color="auto"/>
              <w:left w:val="single" w:sz="4" w:space="0" w:color="auto"/>
            </w:tcBorders>
            <w:shd w:val="clear" w:color="auto" w:fill="FFFFFF"/>
            <w:vAlign w:val="bottom"/>
          </w:tcPr>
          <w:p w14:paraId="48205FA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Սրտի խանգարումներ</w:t>
            </w:r>
          </w:p>
        </w:tc>
        <w:tc>
          <w:tcPr>
            <w:tcW w:w="1371" w:type="dxa"/>
            <w:gridSpan w:val="3"/>
            <w:tcBorders>
              <w:top w:val="single" w:sz="4" w:space="0" w:color="auto"/>
              <w:left w:val="single" w:sz="4" w:space="0" w:color="auto"/>
            </w:tcBorders>
            <w:shd w:val="clear" w:color="auto" w:fill="FFFFFF"/>
          </w:tcPr>
          <w:p w14:paraId="1D0212D0"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73986F2E"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39EE2BB3"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10F52C4" w14:textId="77777777" w:rsidR="008C76E0" w:rsidRPr="00BD7577" w:rsidRDefault="008C76E0" w:rsidP="008C76E0">
            <w:pPr>
              <w:spacing w:after="120" w:line="240" w:lineRule="auto"/>
              <w:rPr>
                <w:rFonts w:ascii="Sylfaen" w:hAnsi="Sylfaen"/>
                <w:sz w:val="24"/>
                <w:szCs w:val="24"/>
              </w:rPr>
            </w:pPr>
          </w:p>
        </w:tc>
      </w:tr>
      <w:tr w:rsidR="008C76E0" w:rsidRPr="00BD7577" w14:paraId="155DC527" w14:textId="77777777" w:rsidTr="008C76E0">
        <w:tc>
          <w:tcPr>
            <w:tcW w:w="4263" w:type="dxa"/>
            <w:gridSpan w:val="2"/>
            <w:tcBorders>
              <w:top w:val="single" w:sz="4" w:space="0" w:color="auto"/>
              <w:left w:val="single" w:sz="4" w:space="0" w:color="auto"/>
            </w:tcBorders>
            <w:shd w:val="clear" w:color="auto" w:fill="FFFFFF"/>
            <w:vAlign w:val="bottom"/>
          </w:tcPr>
          <w:p w14:paraId="07CA122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Անոթային խանգարումներ</w:t>
            </w:r>
          </w:p>
        </w:tc>
        <w:tc>
          <w:tcPr>
            <w:tcW w:w="1371" w:type="dxa"/>
            <w:gridSpan w:val="3"/>
            <w:tcBorders>
              <w:top w:val="single" w:sz="4" w:space="0" w:color="auto"/>
              <w:left w:val="single" w:sz="4" w:space="0" w:color="auto"/>
            </w:tcBorders>
            <w:shd w:val="clear" w:color="auto" w:fill="FFFFFF"/>
          </w:tcPr>
          <w:p w14:paraId="6E26050D"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39CC3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FF58E31"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A5CCE29" w14:textId="77777777" w:rsidR="008C76E0" w:rsidRPr="00BD7577" w:rsidRDefault="008C76E0" w:rsidP="008C76E0">
            <w:pPr>
              <w:spacing w:after="120" w:line="240" w:lineRule="auto"/>
              <w:rPr>
                <w:rFonts w:ascii="Sylfaen" w:hAnsi="Sylfaen"/>
                <w:sz w:val="24"/>
                <w:szCs w:val="24"/>
              </w:rPr>
            </w:pPr>
          </w:p>
        </w:tc>
      </w:tr>
      <w:tr w:rsidR="008C76E0" w:rsidRPr="00BD7577" w14:paraId="53A56E7A" w14:textId="77777777" w:rsidTr="008C76E0">
        <w:tc>
          <w:tcPr>
            <w:tcW w:w="4263" w:type="dxa"/>
            <w:gridSpan w:val="2"/>
            <w:tcBorders>
              <w:top w:val="single" w:sz="4" w:space="0" w:color="auto"/>
              <w:left w:val="single" w:sz="4" w:space="0" w:color="auto"/>
            </w:tcBorders>
            <w:shd w:val="clear" w:color="auto" w:fill="FFFFFF"/>
            <w:vAlign w:val="bottom"/>
          </w:tcPr>
          <w:p w14:paraId="49611CD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Ուղեղի արյան շրջանառության խանգարումներ</w:t>
            </w:r>
          </w:p>
        </w:tc>
        <w:tc>
          <w:tcPr>
            <w:tcW w:w="1371" w:type="dxa"/>
            <w:gridSpan w:val="3"/>
            <w:tcBorders>
              <w:top w:val="single" w:sz="4" w:space="0" w:color="auto"/>
              <w:left w:val="single" w:sz="4" w:space="0" w:color="auto"/>
            </w:tcBorders>
            <w:shd w:val="clear" w:color="auto" w:fill="FFFFFF"/>
          </w:tcPr>
          <w:p w14:paraId="2D9D573A"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828191A"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557A36F"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259A84" w14:textId="77777777" w:rsidR="008C76E0" w:rsidRPr="00BD7577" w:rsidRDefault="008C76E0" w:rsidP="008C76E0">
            <w:pPr>
              <w:spacing w:after="120" w:line="240" w:lineRule="auto"/>
              <w:rPr>
                <w:rFonts w:ascii="Sylfaen" w:hAnsi="Sylfaen"/>
                <w:sz w:val="24"/>
                <w:szCs w:val="24"/>
              </w:rPr>
            </w:pPr>
          </w:p>
        </w:tc>
      </w:tr>
      <w:tr w:rsidR="008C76E0" w:rsidRPr="00BD7577" w14:paraId="59B96DEE" w14:textId="77777777" w:rsidTr="008C76E0">
        <w:tc>
          <w:tcPr>
            <w:tcW w:w="4263" w:type="dxa"/>
            <w:gridSpan w:val="2"/>
            <w:tcBorders>
              <w:top w:val="single" w:sz="4" w:space="0" w:color="auto"/>
              <w:left w:val="single" w:sz="4" w:space="0" w:color="auto"/>
            </w:tcBorders>
            <w:shd w:val="clear" w:color="auto" w:fill="FFFFFF"/>
          </w:tcPr>
          <w:p w14:paraId="0C8C24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 xml:space="preserve">Վարակիչ </w:t>
            </w:r>
            <w:r w:rsidR="00C54D75">
              <w:rPr>
                <w:rStyle w:val="Bodytext1811pt"/>
                <w:rFonts w:ascii="Sylfaen" w:hAnsi="Sylfaen"/>
                <w:sz w:val="24"/>
                <w:szCs w:val="24"/>
              </w:rPr>
              <w:t>և</w:t>
            </w:r>
            <w:r w:rsidRPr="00BD7577">
              <w:rPr>
                <w:rStyle w:val="Bodytext1811pt"/>
                <w:rFonts w:ascii="Sylfaen" w:hAnsi="Sylfaen"/>
                <w:sz w:val="24"/>
                <w:szCs w:val="24"/>
              </w:rPr>
              <w:t xml:space="preserve"> մակաբուծային հիվանդություններ</w:t>
            </w:r>
          </w:p>
        </w:tc>
        <w:tc>
          <w:tcPr>
            <w:tcW w:w="1371" w:type="dxa"/>
            <w:gridSpan w:val="3"/>
            <w:tcBorders>
              <w:top w:val="single" w:sz="4" w:space="0" w:color="auto"/>
              <w:left w:val="single" w:sz="4" w:space="0" w:color="auto"/>
            </w:tcBorders>
            <w:shd w:val="clear" w:color="auto" w:fill="FFFFFF"/>
          </w:tcPr>
          <w:p w14:paraId="776D78B5"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3DBCB196"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0AF5AED2"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0E407447" w14:textId="77777777" w:rsidR="008C76E0" w:rsidRPr="00BD7577" w:rsidRDefault="008C76E0" w:rsidP="008C76E0">
            <w:pPr>
              <w:spacing w:after="120" w:line="240" w:lineRule="auto"/>
              <w:rPr>
                <w:rFonts w:ascii="Sylfaen" w:hAnsi="Sylfaen"/>
                <w:sz w:val="24"/>
                <w:szCs w:val="24"/>
              </w:rPr>
            </w:pPr>
          </w:p>
        </w:tc>
      </w:tr>
      <w:tr w:rsidR="008C76E0" w:rsidRPr="00BD7577" w14:paraId="1583867E" w14:textId="77777777" w:rsidTr="008C76E0">
        <w:tc>
          <w:tcPr>
            <w:tcW w:w="4263" w:type="dxa"/>
            <w:gridSpan w:val="2"/>
            <w:tcBorders>
              <w:top w:val="single" w:sz="4" w:space="0" w:color="auto"/>
              <w:left w:val="single" w:sz="4" w:space="0" w:color="auto"/>
            </w:tcBorders>
            <w:shd w:val="clear" w:color="auto" w:fill="FFFFFF"/>
            <w:vAlign w:val="bottom"/>
          </w:tcPr>
          <w:p w14:paraId="39BB2EC2"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Հակախոլիներգիկ ախտանիշ</w:t>
            </w:r>
          </w:p>
        </w:tc>
        <w:tc>
          <w:tcPr>
            <w:tcW w:w="1371" w:type="dxa"/>
            <w:gridSpan w:val="3"/>
            <w:tcBorders>
              <w:top w:val="single" w:sz="4" w:space="0" w:color="auto"/>
              <w:left w:val="single" w:sz="4" w:space="0" w:color="auto"/>
            </w:tcBorders>
            <w:shd w:val="clear" w:color="auto" w:fill="FFFFFF"/>
          </w:tcPr>
          <w:p w14:paraId="5CFDA68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09E9C7DC"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68A4F55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1B653A8A" w14:textId="77777777" w:rsidR="008C76E0" w:rsidRPr="00BD7577" w:rsidRDefault="008C76E0" w:rsidP="008C76E0">
            <w:pPr>
              <w:spacing w:after="120" w:line="240" w:lineRule="auto"/>
              <w:rPr>
                <w:rFonts w:ascii="Sylfaen" w:hAnsi="Sylfaen"/>
                <w:sz w:val="24"/>
                <w:szCs w:val="24"/>
              </w:rPr>
            </w:pPr>
          </w:p>
        </w:tc>
      </w:tr>
      <w:tr w:rsidR="008C76E0" w:rsidRPr="00BD7577" w14:paraId="1F5D89AF" w14:textId="77777777" w:rsidTr="008C76E0">
        <w:tc>
          <w:tcPr>
            <w:tcW w:w="4263" w:type="dxa"/>
            <w:gridSpan w:val="2"/>
            <w:tcBorders>
              <w:top w:val="single" w:sz="4" w:space="0" w:color="auto"/>
              <w:left w:val="single" w:sz="4" w:space="0" w:color="auto"/>
            </w:tcBorders>
            <w:shd w:val="clear" w:color="auto" w:fill="FFFFFF"/>
          </w:tcPr>
          <w:p w14:paraId="71CB58C0"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lastRenderedPageBreak/>
              <w:t xml:space="preserve">Կյանքի որակի անկում </w:t>
            </w:r>
          </w:p>
        </w:tc>
        <w:tc>
          <w:tcPr>
            <w:tcW w:w="1371" w:type="dxa"/>
            <w:gridSpan w:val="3"/>
            <w:tcBorders>
              <w:top w:val="single" w:sz="4" w:space="0" w:color="auto"/>
              <w:left w:val="single" w:sz="4" w:space="0" w:color="auto"/>
            </w:tcBorders>
            <w:shd w:val="clear" w:color="auto" w:fill="FFFFFF"/>
          </w:tcPr>
          <w:p w14:paraId="2118BACF"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tcBorders>
            <w:shd w:val="clear" w:color="auto" w:fill="FFFFFF"/>
          </w:tcPr>
          <w:p w14:paraId="4CC350D2"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7C0055E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33ECD2BE" w14:textId="77777777" w:rsidR="008C76E0" w:rsidRPr="00BD7577" w:rsidRDefault="008C76E0" w:rsidP="008C76E0">
            <w:pPr>
              <w:spacing w:after="120" w:line="240" w:lineRule="auto"/>
              <w:rPr>
                <w:rFonts w:ascii="Sylfaen" w:hAnsi="Sylfaen"/>
                <w:sz w:val="24"/>
                <w:szCs w:val="24"/>
              </w:rPr>
            </w:pPr>
          </w:p>
        </w:tc>
      </w:tr>
      <w:tr w:rsidR="008C76E0" w:rsidRPr="00BD7577" w14:paraId="517EA228" w14:textId="77777777" w:rsidTr="008C76E0">
        <w:tc>
          <w:tcPr>
            <w:tcW w:w="4263" w:type="dxa"/>
            <w:gridSpan w:val="2"/>
            <w:tcBorders>
              <w:top w:val="single" w:sz="4" w:space="0" w:color="auto"/>
              <w:left w:val="single" w:sz="4" w:space="0" w:color="auto"/>
              <w:bottom w:val="single" w:sz="4" w:space="0" w:color="auto"/>
            </w:tcBorders>
            <w:shd w:val="clear" w:color="auto" w:fill="FFFFFF"/>
            <w:vAlign w:val="bottom"/>
          </w:tcPr>
          <w:p w14:paraId="6277BD10"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 xml:space="preserve">Գումարային՝ օրտոստատիկ հիպոտենզիա, անկում, աչքերի մթագնում, ուշագնացություններ, գլխապտույտ, ատակսիա, կոտրվածքներ </w:t>
            </w:r>
          </w:p>
        </w:tc>
        <w:tc>
          <w:tcPr>
            <w:tcW w:w="1371" w:type="dxa"/>
            <w:gridSpan w:val="3"/>
            <w:tcBorders>
              <w:top w:val="single" w:sz="4" w:space="0" w:color="auto"/>
              <w:left w:val="single" w:sz="4" w:space="0" w:color="auto"/>
              <w:bottom w:val="single" w:sz="4" w:space="0" w:color="auto"/>
            </w:tcBorders>
            <w:shd w:val="clear" w:color="auto" w:fill="FFFFFF"/>
          </w:tcPr>
          <w:p w14:paraId="269CFB63" w14:textId="77777777" w:rsidR="008C76E0" w:rsidRPr="00BD7577" w:rsidRDefault="008C76E0" w:rsidP="008C76E0">
            <w:pPr>
              <w:spacing w:after="120" w:line="240" w:lineRule="auto"/>
              <w:rPr>
                <w:rFonts w:ascii="Sylfaen" w:hAnsi="Sylfaen"/>
                <w:sz w:val="24"/>
                <w:szCs w:val="24"/>
              </w:rPr>
            </w:pPr>
          </w:p>
        </w:tc>
        <w:tc>
          <w:tcPr>
            <w:tcW w:w="1480" w:type="dxa"/>
            <w:gridSpan w:val="2"/>
            <w:tcBorders>
              <w:top w:val="single" w:sz="4" w:space="0" w:color="auto"/>
              <w:left w:val="single" w:sz="4" w:space="0" w:color="auto"/>
              <w:bottom w:val="single" w:sz="4" w:space="0" w:color="auto"/>
            </w:tcBorders>
            <w:shd w:val="clear" w:color="auto" w:fill="FFFFFF"/>
          </w:tcPr>
          <w:p w14:paraId="6F64C001"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bottom w:val="single" w:sz="4" w:space="0" w:color="auto"/>
            </w:tcBorders>
            <w:shd w:val="clear" w:color="auto" w:fill="FFFFFF"/>
          </w:tcPr>
          <w:p w14:paraId="0726EBAA"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tcPr>
          <w:p w14:paraId="7B2B91A0" w14:textId="77777777" w:rsidR="008C76E0" w:rsidRPr="00BD7577" w:rsidRDefault="008C76E0" w:rsidP="008C76E0">
            <w:pPr>
              <w:spacing w:after="120" w:line="240" w:lineRule="auto"/>
              <w:rPr>
                <w:rFonts w:ascii="Sylfaen" w:hAnsi="Sylfaen"/>
                <w:sz w:val="24"/>
                <w:szCs w:val="24"/>
              </w:rPr>
            </w:pPr>
          </w:p>
        </w:tc>
      </w:tr>
      <w:tr w:rsidR="008C76E0" w:rsidRPr="00BD7577" w14:paraId="0A6F570B" w14:textId="77777777" w:rsidTr="008C76E0">
        <w:tc>
          <w:tcPr>
            <w:tcW w:w="4263" w:type="dxa"/>
            <w:gridSpan w:val="2"/>
            <w:tcBorders>
              <w:top w:val="single" w:sz="4" w:space="0" w:color="auto"/>
              <w:left w:val="single" w:sz="4" w:space="0" w:color="auto"/>
            </w:tcBorders>
            <w:shd w:val="clear" w:color="auto" w:fill="FFFFFF"/>
            <w:vAlign w:val="bottom"/>
          </w:tcPr>
          <w:p w14:paraId="021FBC44"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Ավելի հաճախ տարեց պացիենտների մոտ առաջացող այլ անցանկալի եր</w:t>
            </w:r>
            <w:r w:rsidR="00C54D75">
              <w:rPr>
                <w:rStyle w:val="Bodytext1811pt"/>
                <w:rFonts w:ascii="Sylfaen" w:hAnsi="Sylfaen"/>
                <w:sz w:val="24"/>
                <w:szCs w:val="24"/>
              </w:rPr>
              <w:t>և</w:t>
            </w:r>
            <w:r w:rsidRPr="00BD7577">
              <w:rPr>
                <w:rStyle w:val="Bodytext1811pt"/>
                <w:rFonts w:ascii="Sylfaen" w:hAnsi="Sylfaen"/>
                <w:sz w:val="24"/>
                <w:szCs w:val="24"/>
              </w:rPr>
              <w:t xml:space="preserve">ույթներ </w:t>
            </w:r>
          </w:p>
        </w:tc>
        <w:tc>
          <w:tcPr>
            <w:tcW w:w="1357" w:type="dxa"/>
            <w:gridSpan w:val="2"/>
            <w:tcBorders>
              <w:top w:val="single" w:sz="4" w:space="0" w:color="auto"/>
              <w:left w:val="single" w:sz="4" w:space="0" w:color="auto"/>
            </w:tcBorders>
            <w:shd w:val="clear" w:color="auto" w:fill="FFFFFF"/>
          </w:tcPr>
          <w:p w14:paraId="1686271E" w14:textId="77777777" w:rsidR="008C76E0" w:rsidRPr="00BD7577" w:rsidRDefault="008C76E0" w:rsidP="008C76E0">
            <w:pPr>
              <w:spacing w:after="120" w:line="240" w:lineRule="auto"/>
              <w:rPr>
                <w:rFonts w:ascii="Sylfaen" w:hAnsi="Sylfaen"/>
                <w:sz w:val="24"/>
                <w:szCs w:val="24"/>
              </w:rPr>
            </w:pPr>
          </w:p>
        </w:tc>
        <w:tc>
          <w:tcPr>
            <w:tcW w:w="1494" w:type="dxa"/>
            <w:gridSpan w:val="3"/>
            <w:tcBorders>
              <w:top w:val="single" w:sz="4" w:space="0" w:color="auto"/>
              <w:left w:val="single" w:sz="4" w:space="0" w:color="auto"/>
            </w:tcBorders>
            <w:shd w:val="clear" w:color="auto" w:fill="FFFFFF"/>
          </w:tcPr>
          <w:p w14:paraId="33975609" w14:textId="77777777" w:rsidR="008C76E0" w:rsidRPr="00BD7577" w:rsidRDefault="008C76E0" w:rsidP="008C76E0">
            <w:pPr>
              <w:spacing w:after="120" w:line="240" w:lineRule="auto"/>
              <w:rPr>
                <w:rFonts w:ascii="Sylfaen" w:hAnsi="Sylfaen"/>
                <w:sz w:val="24"/>
                <w:szCs w:val="24"/>
              </w:rPr>
            </w:pPr>
          </w:p>
        </w:tc>
        <w:tc>
          <w:tcPr>
            <w:tcW w:w="1498" w:type="dxa"/>
            <w:gridSpan w:val="2"/>
            <w:tcBorders>
              <w:top w:val="single" w:sz="4" w:space="0" w:color="auto"/>
              <w:left w:val="single" w:sz="4" w:space="0" w:color="auto"/>
            </w:tcBorders>
            <w:shd w:val="clear" w:color="auto" w:fill="FFFFFF"/>
          </w:tcPr>
          <w:p w14:paraId="4FCC6139" w14:textId="77777777" w:rsidR="008C76E0" w:rsidRPr="00BD7577" w:rsidRDefault="008C76E0" w:rsidP="008C76E0">
            <w:pPr>
              <w:spacing w:after="120" w:line="240" w:lineRule="auto"/>
              <w:rPr>
                <w:rFonts w:ascii="Sylfaen" w:hAnsi="Sylfaen"/>
                <w:sz w:val="24"/>
                <w:szCs w:val="24"/>
              </w:rPr>
            </w:pPr>
          </w:p>
        </w:tc>
        <w:tc>
          <w:tcPr>
            <w:tcW w:w="1667" w:type="dxa"/>
            <w:tcBorders>
              <w:top w:val="single" w:sz="4" w:space="0" w:color="auto"/>
              <w:left w:val="single" w:sz="4" w:space="0" w:color="auto"/>
              <w:right w:val="single" w:sz="4" w:space="0" w:color="auto"/>
            </w:tcBorders>
            <w:shd w:val="clear" w:color="auto" w:fill="FFFFFF"/>
          </w:tcPr>
          <w:p w14:paraId="6EBAAC42" w14:textId="77777777" w:rsidR="008C76E0" w:rsidRPr="00BD7577" w:rsidRDefault="008C76E0" w:rsidP="008C76E0">
            <w:pPr>
              <w:spacing w:after="120" w:line="240" w:lineRule="auto"/>
              <w:rPr>
                <w:rFonts w:ascii="Sylfaen" w:hAnsi="Sylfaen"/>
                <w:sz w:val="24"/>
                <w:szCs w:val="24"/>
              </w:rPr>
            </w:pPr>
          </w:p>
        </w:tc>
      </w:tr>
      <w:tr w:rsidR="008C76E0" w:rsidRPr="00BD7577" w14:paraId="5C0F7033" w14:textId="77777777" w:rsidTr="008C76E0">
        <w:tc>
          <w:tcPr>
            <w:tcW w:w="10279" w:type="dxa"/>
            <w:gridSpan w:val="10"/>
            <w:tcBorders>
              <w:top w:val="single" w:sz="4" w:space="0" w:color="auto"/>
            </w:tcBorders>
            <w:shd w:val="clear" w:color="auto" w:fill="FFFFFF"/>
          </w:tcPr>
          <w:p w14:paraId="6C6AE63C" w14:textId="77777777" w:rsidR="008C76E0" w:rsidRPr="00BD7577" w:rsidRDefault="008C76E0" w:rsidP="008C76E0">
            <w:pPr>
              <w:spacing w:after="120" w:line="240" w:lineRule="auto"/>
              <w:rPr>
                <w:rFonts w:ascii="Sylfaen" w:hAnsi="Sylfaen"/>
                <w:sz w:val="24"/>
                <w:szCs w:val="24"/>
              </w:rPr>
            </w:pPr>
          </w:p>
        </w:tc>
      </w:tr>
      <w:tr w:rsidR="008C76E0" w:rsidRPr="00BD7577" w14:paraId="3C5A0370"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57503DA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6F417CCC" w14:textId="77777777" w:rsidTr="008C76E0">
        <w:tc>
          <w:tcPr>
            <w:tcW w:w="10279" w:type="dxa"/>
            <w:gridSpan w:val="10"/>
            <w:tcBorders>
              <w:top w:val="single" w:sz="4" w:space="0" w:color="auto"/>
            </w:tcBorders>
            <w:shd w:val="clear" w:color="auto" w:fill="FFFFFF"/>
            <w:vAlign w:val="bottom"/>
          </w:tcPr>
          <w:p w14:paraId="6442BC5F" w14:textId="77777777" w:rsidR="008C76E0" w:rsidRPr="00BD7577" w:rsidRDefault="008C76E0" w:rsidP="008C76E0">
            <w:pPr>
              <w:pStyle w:val="Bodytext180"/>
              <w:shd w:val="clear" w:color="auto" w:fill="auto"/>
              <w:tabs>
                <w:tab w:val="left" w:pos="111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4.7.</w:t>
            </w:r>
            <w:r w:rsidRPr="00BD7577">
              <w:rPr>
                <w:rStyle w:val="Bodytext295pt"/>
                <w:rFonts w:ascii="Sylfaen" w:hAnsi="Sylfaen"/>
                <w:spacing w:val="0"/>
                <w:sz w:val="24"/>
                <w:szCs w:val="24"/>
              </w:rPr>
              <w:tab/>
              <w:t>Իմունաբանական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w:t>
            </w:r>
          </w:p>
        </w:tc>
      </w:tr>
      <w:tr w:rsidR="008C76E0" w:rsidRPr="00BD7577" w14:paraId="28053B05"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3E5D9AB7"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D973352" w14:textId="77777777" w:rsidTr="008C76E0">
        <w:tc>
          <w:tcPr>
            <w:tcW w:w="10279" w:type="dxa"/>
            <w:gridSpan w:val="10"/>
            <w:tcBorders>
              <w:top w:val="single" w:sz="4" w:space="0" w:color="auto"/>
            </w:tcBorders>
            <w:shd w:val="clear" w:color="auto" w:fill="FFFFFF"/>
            <w:vAlign w:val="bottom"/>
          </w:tcPr>
          <w:p w14:paraId="6BB5EECE" w14:textId="77777777" w:rsidR="008C76E0" w:rsidRPr="00BD7577" w:rsidRDefault="008C76E0" w:rsidP="008C76E0">
            <w:pPr>
              <w:pStyle w:val="Bodytext180"/>
              <w:shd w:val="clear" w:color="auto" w:fill="auto"/>
              <w:tabs>
                <w:tab w:val="left" w:pos="1132"/>
              </w:tabs>
              <w:spacing w:before="0" w:after="160" w:line="360" w:lineRule="auto"/>
              <w:ind w:left="-89" w:firstLine="710"/>
              <w:rPr>
                <w:rStyle w:val="Bodytext295pt"/>
                <w:rFonts w:ascii="Sylfaen" w:hAnsi="Sylfaen"/>
                <w:i/>
                <w:spacing w:val="0"/>
                <w:sz w:val="24"/>
                <w:szCs w:val="24"/>
              </w:rPr>
            </w:pPr>
            <w:r w:rsidRPr="00BD7577">
              <w:rPr>
                <w:rStyle w:val="Bodytext295pt"/>
                <w:rFonts w:ascii="Sylfaen" w:hAnsi="Sylfaen"/>
                <w:spacing w:val="0"/>
                <w:sz w:val="24"/>
                <w:szCs w:val="24"/>
              </w:rPr>
              <w:t>4.8.</w:t>
            </w:r>
            <w:r w:rsidRPr="00BD7577">
              <w:rPr>
                <w:rStyle w:val="Bodytext295pt"/>
                <w:rFonts w:ascii="Sylfaen" w:hAnsi="Sylfaen"/>
                <w:spacing w:val="0"/>
                <w:sz w:val="24"/>
                <w:szCs w:val="24"/>
              </w:rPr>
              <w:tab/>
              <w:t xml:space="preserve">Անվտանգությունը դեղային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 փոխազդեցությունների ժամանակ:</w:t>
            </w:r>
          </w:p>
        </w:tc>
      </w:tr>
      <w:tr w:rsidR="008C76E0" w:rsidRPr="00BD7577" w14:paraId="382170CC"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C98AC9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3EE97E04" w14:textId="77777777" w:rsidTr="008C76E0">
        <w:tc>
          <w:tcPr>
            <w:tcW w:w="10279" w:type="dxa"/>
            <w:gridSpan w:val="10"/>
            <w:tcBorders>
              <w:top w:val="single" w:sz="4" w:space="0" w:color="auto"/>
            </w:tcBorders>
            <w:shd w:val="clear" w:color="auto" w:fill="FFFFFF"/>
            <w:vAlign w:val="center"/>
          </w:tcPr>
          <w:p w14:paraId="75F12370" w14:textId="77777777" w:rsidR="008C76E0" w:rsidRPr="00BD7577" w:rsidRDefault="008C76E0" w:rsidP="008C76E0">
            <w:pPr>
              <w:pStyle w:val="Bodytext180"/>
              <w:shd w:val="clear" w:color="auto" w:fill="auto"/>
              <w:tabs>
                <w:tab w:val="left" w:pos="114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4.9.</w:t>
            </w:r>
            <w:r w:rsidRPr="00BD7577">
              <w:rPr>
                <w:rStyle w:val="Bodytext295pt"/>
                <w:rFonts w:ascii="Sylfaen" w:hAnsi="Sylfaen"/>
                <w:spacing w:val="0"/>
                <w:sz w:val="24"/>
                <w:szCs w:val="24"/>
              </w:rPr>
              <w:tab/>
              <w:t>Անցանկալի եր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ույթների պատճառով հետազոտությունից դուրս գալը:</w:t>
            </w:r>
          </w:p>
        </w:tc>
      </w:tr>
      <w:tr w:rsidR="008C76E0" w:rsidRPr="00BD7577" w14:paraId="38D6B35D"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1E9442E3"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1ECE0C05" w14:textId="77777777" w:rsidTr="008C76E0">
        <w:tc>
          <w:tcPr>
            <w:tcW w:w="10279" w:type="dxa"/>
            <w:gridSpan w:val="10"/>
            <w:tcBorders>
              <w:top w:val="single" w:sz="4" w:space="0" w:color="auto"/>
            </w:tcBorders>
            <w:shd w:val="clear" w:color="auto" w:fill="FFFFFF"/>
            <w:vAlign w:val="bottom"/>
          </w:tcPr>
          <w:p w14:paraId="1FABD9C5"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4.10.</w:t>
            </w:r>
            <w:r w:rsidRPr="00BD7577">
              <w:rPr>
                <w:rStyle w:val="Bodytext295pt"/>
                <w:rFonts w:ascii="Sylfaen" w:hAnsi="Sylfaen"/>
                <w:spacing w:val="0"/>
                <w:sz w:val="24"/>
                <w:szCs w:val="24"/>
              </w:rPr>
              <w:tab/>
              <w:t>Հետազոտություններ՝ պատրաստուկը շուկա դուրս բերելուց հետո:</w:t>
            </w:r>
          </w:p>
        </w:tc>
      </w:tr>
      <w:tr w:rsidR="008C76E0" w:rsidRPr="00BD7577" w14:paraId="35C38777" w14:textId="77777777" w:rsidTr="008C76E0">
        <w:tc>
          <w:tcPr>
            <w:tcW w:w="10279" w:type="dxa"/>
            <w:gridSpan w:val="10"/>
            <w:tcBorders>
              <w:top w:val="single" w:sz="4" w:space="0" w:color="auto"/>
              <w:left w:val="single" w:sz="4" w:space="0" w:color="auto"/>
              <w:right w:val="single" w:sz="4" w:space="0" w:color="auto"/>
            </w:tcBorders>
            <w:shd w:val="clear" w:color="auto" w:fill="FFFFFF"/>
          </w:tcPr>
          <w:p w14:paraId="61AFF128" w14:textId="77777777" w:rsidR="008C76E0" w:rsidRPr="00BD7577" w:rsidRDefault="008C76E0" w:rsidP="008C76E0">
            <w:pPr>
              <w:pStyle w:val="Bodytext180"/>
              <w:shd w:val="clear" w:color="auto" w:fill="auto"/>
              <w:spacing w:before="0" w:after="160" w:line="360" w:lineRule="auto"/>
              <w:ind w:firstLine="0"/>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2DE21327" w14:textId="77777777" w:rsidTr="008C76E0">
        <w:tc>
          <w:tcPr>
            <w:tcW w:w="10279" w:type="dxa"/>
            <w:gridSpan w:val="10"/>
            <w:tcBorders>
              <w:top w:val="single" w:sz="4" w:space="0" w:color="auto"/>
            </w:tcBorders>
            <w:shd w:val="clear" w:color="auto" w:fill="FFFFFF"/>
            <w:vAlign w:val="bottom"/>
          </w:tcPr>
          <w:p w14:paraId="2930A458" w14:textId="77777777" w:rsidR="008C76E0" w:rsidRPr="00BD7577" w:rsidRDefault="008C76E0" w:rsidP="008C76E0">
            <w:pPr>
              <w:pStyle w:val="Bodytext180"/>
              <w:shd w:val="clear" w:color="auto" w:fill="auto"/>
              <w:tabs>
                <w:tab w:val="left" w:pos="1701"/>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4.11.</w:t>
            </w:r>
            <w:r w:rsidRPr="00BD7577">
              <w:rPr>
                <w:rStyle w:val="Bodytext295pt"/>
                <w:rFonts w:ascii="Sylfaen" w:hAnsi="Sylfaen"/>
                <w:spacing w:val="0"/>
                <w:sz w:val="24"/>
                <w:szCs w:val="24"/>
              </w:rPr>
              <w:tab/>
              <w:t>Կլինիկական անվտանգության գնահատման գծով փորձագետի ընդհանուր եզրակացությունը։</w:t>
            </w:r>
          </w:p>
          <w:p w14:paraId="4A1D7BB7"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կլինիկական արդյունավետության վերաբերյալ եզրակացությունները </w:t>
            </w:r>
          </w:p>
          <w:p w14:paraId="681FFAB6" w14:textId="77777777" w:rsidR="008C76E0" w:rsidRPr="00BD7577" w:rsidRDefault="008C76E0" w:rsidP="008C76E0">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կլինիկական անվտանգության վերաբերյալ եզրակացությունները</w:t>
            </w:r>
          </w:p>
        </w:tc>
      </w:tr>
    </w:tbl>
    <w:p w14:paraId="55057C62" w14:textId="77777777" w:rsidR="008C76E0" w:rsidRDefault="008C76E0" w:rsidP="008C76E0">
      <w:pPr>
        <w:ind w:right="-1"/>
        <w:rPr>
          <w:rFonts w:ascii="Sylfaen" w:hAnsi="Sylfaen"/>
          <w:sz w:val="24"/>
          <w:szCs w:val="24"/>
        </w:rPr>
      </w:pPr>
    </w:p>
    <w:p w14:paraId="4E81A4CD" w14:textId="77777777" w:rsidR="008C76E0" w:rsidRDefault="008C76E0" w:rsidP="008C76E0">
      <w:pPr>
        <w:widowControl/>
        <w:rPr>
          <w:rFonts w:ascii="Sylfaen" w:hAnsi="Sylfaen"/>
          <w:sz w:val="24"/>
          <w:szCs w:val="24"/>
        </w:rPr>
      </w:pPr>
      <w:r>
        <w:rPr>
          <w:rFonts w:ascii="Sylfaen" w:hAnsi="Sylfaen"/>
          <w:sz w:val="24"/>
          <w:szCs w:val="24"/>
        </w:rPr>
        <w:br w:type="page"/>
      </w:r>
    </w:p>
    <w:p w14:paraId="5E9C2736" w14:textId="77777777" w:rsidR="008C76E0" w:rsidRPr="00BD7577" w:rsidRDefault="008C76E0" w:rsidP="00305C5C">
      <w:pPr>
        <w:spacing w:after="160" w:line="360" w:lineRule="auto"/>
        <w:ind w:left="567" w:right="-1"/>
        <w:jc w:val="center"/>
        <w:rPr>
          <w:rFonts w:ascii="Sylfaen" w:hAnsi="Sylfaen"/>
          <w:sz w:val="24"/>
          <w:szCs w:val="24"/>
        </w:rPr>
      </w:pPr>
      <w:r w:rsidRPr="00BD7577">
        <w:rPr>
          <w:rFonts w:ascii="Sylfaen" w:hAnsi="Sylfaen"/>
          <w:sz w:val="24"/>
          <w:szCs w:val="24"/>
        </w:rPr>
        <w:lastRenderedPageBreak/>
        <w:t>5. Դեղազգոնությունը</w:t>
      </w:r>
    </w:p>
    <w:p w14:paraId="27991B2F" w14:textId="77777777" w:rsidR="008C76E0" w:rsidRPr="00BD7577" w:rsidRDefault="008C76E0" w:rsidP="00305C5C">
      <w:pPr>
        <w:tabs>
          <w:tab w:val="left" w:pos="1134"/>
        </w:tabs>
        <w:spacing w:after="160" w:line="360" w:lineRule="auto"/>
        <w:ind w:right="-1" w:firstLine="567"/>
        <w:rPr>
          <w:rFonts w:ascii="Sylfaen" w:hAnsi="Sylfaen"/>
          <w:sz w:val="24"/>
          <w:szCs w:val="24"/>
        </w:rPr>
      </w:pPr>
      <w:r w:rsidRPr="00BD7577">
        <w:rPr>
          <w:rFonts w:ascii="Sylfaen" w:hAnsi="Sylfaen"/>
          <w:sz w:val="24"/>
          <w:szCs w:val="24"/>
        </w:rPr>
        <w:t>5.1.</w:t>
      </w:r>
      <w:r w:rsidRPr="00DD61E4">
        <w:rPr>
          <w:rFonts w:ascii="Sylfaen" w:hAnsi="Sylfaen"/>
          <w:sz w:val="24"/>
          <w:szCs w:val="24"/>
        </w:rPr>
        <w:tab/>
      </w:r>
      <w:r w:rsidRPr="00BD7577">
        <w:rPr>
          <w:rFonts w:ascii="Sylfaen" w:hAnsi="Sylfaen"/>
          <w:sz w:val="24"/>
          <w:szCs w:val="24"/>
        </w:rPr>
        <w:t>Դեղազգոնության համակարգը:</w:t>
      </w:r>
    </w:p>
    <w:p w14:paraId="37B4A860" w14:textId="3F504979" w:rsidR="008C76E0" w:rsidRPr="00BD7577" w:rsidRDefault="0056496B" w:rsidP="00305C5C">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ն </w:t>
      </w:r>
      <w:r w:rsidR="008C76E0" w:rsidRPr="009B12B2">
        <w:rPr>
          <w:rFonts w:ascii="Sylfaen" w:hAnsi="Sylfaen"/>
          <w:spacing w:val="-4"/>
          <w:sz w:val="24"/>
          <w:szCs w:val="24"/>
        </w:rPr>
        <w:t xml:space="preserve">ներկայացրեց փաստաթղթեր, որոնցում շարադրված է դեղազգոնության համակարգի մանրամասն նկարագրությունը: Դեղազգոնության համար </w:t>
      </w:r>
      <w:r>
        <w:rPr>
          <w:rFonts w:ascii="Sylfaen" w:hAnsi="Sylfaen"/>
          <w:spacing w:val="-4"/>
          <w:sz w:val="24"/>
          <w:szCs w:val="24"/>
        </w:rPr>
        <w:t>դիմում</w:t>
      </w:r>
      <w:r w:rsidR="008C76E0" w:rsidRPr="009B12B2">
        <w:rPr>
          <w:rFonts w:ascii="Sylfaen" w:hAnsi="Sylfaen"/>
          <w:spacing w:val="-4"/>
          <w:sz w:val="24"/>
          <w:szCs w:val="24"/>
        </w:rPr>
        <w:t xml:space="preserve">ը ստորագրված է </w:t>
      </w:r>
      <w:r>
        <w:rPr>
          <w:rFonts w:ascii="Sylfaen" w:hAnsi="Sylfaen"/>
          <w:spacing w:val="-4"/>
          <w:sz w:val="24"/>
          <w:szCs w:val="24"/>
        </w:rPr>
        <w:t>դիմումատու</w:t>
      </w:r>
      <w:r w:rsidR="008C76E0" w:rsidRPr="009B12B2">
        <w:rPr>
          <w:rFonts w:ascii="Sylfaen" w:hAnsi="Sylfaen"/>
          <w:spacing w:val="-4"/>
          <w:sz w:val="24"/>
          <w:szCs w:val="24"/>
        </w:rPr>
        <w:t xml:space="preserve">ի </w:t>
      </w:r>
      <w:r w:rsidR="00C54D75">
        <w:rPr>
          <w:rFonts w:ascii="Sylfaen" w:hAnsi="Sylfaen"/>
          <w:spacing w:val="-4"/>
          <w:sz w:val="24"/>
          <w:szCs w:val="24"/>
        </w:rPr>
        <w:t>և</w:t>
      </w:r>
      <w:r w:rsidR="008C76E0" w:rsidRPr="009B12B2">
        <w:rPr>
          <w:rFonts w:ascii="Sylfaen" w:hAnsi="Sylfaen"/>
          <w:spacing w:val="-4"/>
          <w:sz w:val="24"/>
          <w:szCs w:val="24"/>
        </w:rPr>
        <w:t xml:space="preserve"> լիազորված անձի կողմից, ընդ որում, դրանում նշված է, որ </w:t>
      </w:r>
      <w:r>
        <w:rPr>
          <w:rFonts w:ascii="Sylfaen" w:hAnsi="Sylfaen"/>
          <w:spacing w:val="-4"/>
          <w:sz w:val="24"/>
          <w:szCs w:val="24"/>
        </w:rPr>
        <w:t>դիմումատու</w:t>
      </w:r>
      <w:r w:rsidR="008C76E0" w:rsidRPr="009B12B2">
        <w:rPr>
          <w:rFonts w:ascii="Sylfaen" w:hAnsi="Sylfaen"/>
          <w:spacing w:val="-4"/>
          <w:sz w:val="24"/>
          <w:szCs w:val="24"/>
        </w:rPr>
        <w:t xml:space="preserve">ին տրամադրվում են դեղազգոնության համար պատասխանատու լիազորված անձի ծառայությունները, </w:t>
      </w:r>
      <w:r w:rsidR="00C54D75">
        <w:rPr>
          <w:rFonts w:ascii="Sylfaen" w:hAnsi="Sylfaen"/>
          <w:spacing w:val="-4"/>
          <w:sz w:val="24"/>
          <w:szCs w:val="24"/>
        </w:rPr>
        <w:t>և</w:t>
      </w:r>
      <w:r w:rsidR="008C76E0" w:rsidRPr="009B12B2">
        <w:rPr>
          <w:rFonts w:ascii="Sylfaen" w:hAnsi="Sylfaen"/>
          <w:spacing w:val="-4"/>
          <w:sz w:val="24"/>
          <w:szCs w:val="24"/>
        </w:rPr>
        <w:t xml:space="preserve"> տրամադրվել են անհրաժեշտ միջոցներ՝ Եվրասիական տնտեսական</w:t>
      </w:r>
      <w:r w:rsidR="008C76E0" w:rsidRPr="00BD7577">
        <w:rPr>
          <w:rFonts w:ascii="Sylfaen" w:hAnsi="Sylfaen"/>
          <w:sz w:val="24"/>
          <w:szCs w:val="24"/>
        </w:rPr>
        <w:t xml:space="preserve"> միությունում կամ երրորդ երկրում առաջացող ցանկացած անցանկալի ռեակցիայի մասին ծանուցելու համար: </w:t>
      </w:r>
    </w:p>
    <w:p w14:paraId="28AC3D99" w14:textId="67E74516"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 xml:space="preserve">ի կողմից, բավարարում է պահանջները </w:t>
      </w:r>
      <w:r w:rsidR="00C54D75">
        <w:rPr>
          <w:rFonts w:ascii="Sylfaen" w:hAnsi="Sylfaen"/>
          <w:sz w:val="24"/>
          <w:szCs w:val="24"/>
        </w:rPr>
        <w:t>և</w:t>
      </w:r>
      <w:r w:rsidRPr="00BD7577">
        <w:rPr>
          <w:rFonts w:ascii="Sylfaen" w:hAnsi="Sylfaen"/>
          <w:sz w:val="24"/>
          <w:szCs w:val="24"/>
        </w:rPr>
        <w:t xml:space="preserve"> համապատասխան ապացույց է ներկայացնում առ այն, որ </w:t>
      </w:r>
      <w:r w:rsidR="0056496B">
        <w:rPr>
          <w:rFonts w:ascii="Sylfaen" w:hAnsi="Sylfaen"/>
          <w:sz w:val="24"/>
          <w:szCs w:val="24"/>
        </w:rPr>
        <w:t>դիմումատու</w:t>
      </w:r>
      <w:r w:rsidRPr="00BD7577">
        <w:rPr>
          <w:rFonts w:ascii="Sylfaen" w:hAnsi="Sylfaen"/>
          <w:sz w:val="24"/>
          <w:szCs w:val="24"/>
        </w:rPr>
        <w:t xml:space="preserve">ին տրամադրվում են դեղազգոնության համար պատասխանատու լիազորված անձի ծառայություններ, </w:t>
      </w:r>
      <w:r w:rsidR="00C54D75">
        <w:rPr>
          <w:rFonts w:ascii="Sylfaen" w:hAnsi="Sylfaen"/>
          <w:sz w:val="24"/>
          <w:szCs w:val="24"/>
        </w:rPr>
        <w:t>և</w:t>
      </w:r>
      <w:r w:rsidRPr="00BD7577">
        <w:rPr>
          <w:rFonts w:ascii="Sylfaen" w:hAnsi="Sylfaen"/>
          <w:sz w:val="24"/>
          <w:szCs w:val="24"/>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w:t>
      </w:r>
    </w:p>
    <w:p w14:paraId="72C3DE6F" w14:textId="270ACD24"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BD7577">
        <w:rPr>
          <w:rFonts w:ascii="Sylfaen" w:hAnsi="Sylfaen"/>
          <w:sz w:val="24"/>
          <w:szCs w:val="24"/>
        </w:rPr>
        <w:t>ի կողմից, ունի հետ</w:t>
      </w:r>
      <w:r w:rsidR="00C54D75">
        <w:rPr>
          <w:rFonts w:ascii="Sylfaen" w:hAnsi="Sylfaen"/>
          <w:sz w:val="24"/>
          <w:szCs w:val="24"/>
        </w:rPr>
        <w:t>և</w:t>
      </w:r>
      <w:r w:rsidRPr="00BD7577">
        <w:rPr>
          <w:rFonts w:ascii="Sylfaen" w:hAnsi="Sylfaen"/>
          <w:sz w:val="24"/>
          <w:szCs w:val="24"/>
        </w:rPr>
        <w:t>յալ թերությունները՝ «թերությունների ցանկը»:</w:t>
      </w:r>
    </w:p>
    <w:p w14:paraId="5F394FF1" w14:textId="5F51EBFB" w:rsidR="008C76E0" w:rsidRPr="007106A3"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BD7577">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BD7577">
        <w:rPr>
          <w:rFonts w:ascii="Sylfaen" w:hAnsi="Sylfaen"/>
          <w:sz w:val="24"/>
          <w:szCs w:val="24"/>
        </w:rPr>
        <w:t xml:space="preserve">ն պետք է ներկայացնի համոզիչ տվյալներ առ այն, որ դեղազգոնության համակարգն ընդունվել </w:t>
      </w:r>
      <w:r w:rsidR="00C54D75">
        <w:rPr>
          <w:rFonts w:ascii="Sylfaen" w:hAnsi="Sylfaen"/>
          <w:sz w:val="24"/>
          <w:szCs w:val="24"/>
        </w:rPr>
        <w:t>և</w:t>
      </w:r>
      <w:r w:rsidRPr="00BD7577">
        <w:rPr>
          <w:rFonts w:ascii="Sylfaen" w:hAnsi="Sylfaen"/>
          <w:sz w:val="24"/>
          <w:szCs w:val="24"/>
        </w:rPr>
        <w:t xml:space="preserve"> գործում է:</w:t>
      </w:r>
    </w:p>
    <w:p w14:paraId="34BCC810" w14:textId="77777777" w:rsidR="008C76E0" w:rsidRPr="007106A3" w:rsidRDefault="008C76E0" w:rsidP="00305C5C">
      <w:pPr>
        <w:spacing w:after="160" w:line="360" w:lineRule="auto"/>
        <w:ind w:firstLine="567"/>
        <w:jc w:val="both"/>
        <w:rPr>
          <w:rFonts w:ascii="Sylfaen" w:hAnsi="Sylfaen"/>
          <w:sz w:val="24"/>
          <w:szCs w:val="24"/>
        </w:rPr>
      </w:pP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3149F618" w14:textId="77777777" w:rsidTr="008C76E0">
        <w:tc>
          <w:tcPr>
            <w:tcW w:w="9566" w:type="dxa"/>
            <w:tcBorders>
              <w:top w:val="single" w:sz="4" w:space="0" w:color="auto"/>
              <w:left w:val="single" w:sz="4" w:space="0" w:color="auto"/>
              <w:right w:val="single" w:sz="4" w:space="0" w:color="auto"/>
            </w:tcBorders>
            <w:shd w:val="clear" w:color="auto" w:fill="FFFFFF"/>
          </w:tcPr>
          <w:p w14:paraId="4953DCC9" w14:textId="77777777" w:rsidR="008C76E0" w:rsidRPr="00BD7577" w:rsidRDefault="008C76E0" w:rsidP="00305C5C">
            <w:pPr>
              <w:pStyle w:val="Bodytext180"/>
              <w:shd w:val="clear" w:color="auto" w:fill="auto"/>
              <w:spacing w:before="0" w:after="160" w:line="360" w:lineRule="auto"/>
              <w:ind w:left="96" w:firstLine="0"/>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6C1090C" w14:textId="77777777" w:rsidTr="008C76E0">
        <w:tc>
          <w:tcPr>
            <w:tcW w:w="9566" w:type="dxa"/>
            <w:tcBorders>
              <w:top w:val="single" w:sz="4" w:space="0" w:color="auto"/>
              <w:bottom w:val="single" w:sz="4" w:space="0" w:color="auto"/>
            </w:tcBorders>
            <w:shd w:val="clear" w:color="auto" w:fill="FFFFFF"/>
          </w:tcPr>
          <w:p w14:paraId="7D72BFD8" w14:textId="77777777" w:rsidR="008C76E0" w:rsidRPr="00BD7577" w:rsidRDefault="008C76E0" w:rsidP="00305C5C">
            <w:pPr>
              <w:pStyle w:val="Bodytext180"/>
              <w:shd w:val="clear" w:color="auto" w:fill="auto"/>
              <w:tabs>
                <w:tab w:val="left" w:pos="1089"/>
              </w:tabs>
              <w:spacing w:before="0" w:after="160" w:line="360" w:lineRule="auto"/>
              <w:ind w:firstLine="567"/>
              <w:rPr>
                <w:rStyle w:val="Bodytext295pt"/>
                <w:rFonts w:ascii="Sylfaen" w:hAnsi="Sylfaen"/>
                <w:b/>
                <w:spacing w:val="0"/>
                <w:sz w:val="24"/>
                <w:szCs w:val="24"/>
              </w:rPr>
            </w:pPr>
            <w:r w:rsidRPr="00BD7577">
              <w:rPr>
                <w:rStyle w:val="Bodytext295pt"/>
                <w:rFonts w:ascii="Sylfaen" w:hAnsi="Sylfaen"/>
                <w:spacing w:val="0"/>
                <w:sz w:val="24"/>
                <w:szCs w:val="24"/>
              </w:rPr>
              <w:t>5.2.</w:t>
            </w:r>
            <w:r w:rsidRPr="00BD7577">
              <w:rPr>
                <w:rStyle w:val="Bodytext295pt"/>
                <w:rFonts w:ascii="Sylfaen" w:hAnsi="Sylfaen"/>
                <w:spacing w:val="0"/>
                <w:sz w:val="24"/>
                <w:szCs w:val="24"/>
              </w:rPr>
              <w:tab/>
              <w:t>Ռիսկերի կառավարման պլանը:</w:t>
            </w:r>
          </w:p>
          <w:p w14:paraId="3636CC76" w14:textId="77777777" w:rsidR="008C76E0" w:rsidRPr="00BD7577" w:rsidRDefault="008C76E0" w:rsidP="00305C5C">
            <w:pPr>
              <w:pStyle w:val="Bodytext180"/>
              <w:shd w:val="clear" w:color="auto" w:fill="auto"/>
              <w:tabs>
                <w:tab w:val="left" w:pos="1897"/>
              </w:tabs>
              <w:spacing w:before="0" w:after="160" w:line="360" w:lineRule="auto"/>
              <w:ind w:firstLine="567"/>
              <w:rPr>
                <w:rStyle w:val="Bodytext295pt"/>
                <w:rFonts w:ascii="Sylfaen" w:hAnsi="Sylfaen"/>
                <w:i/>
                <w:spacing w:val="0"/>
                <w:sz w:val="24"/>
                <w:szCs w:val="24"/>
              </w:rPr>
            </w:pPr>
            <w:r w:rsidRPr="00BD7577">
              <w:rPr>
                <w:rStyle w:val="Bodytext295pt"/>
                <w:rFonts w:ascii="Sylfaen" w:hAnsi="Sylfaen"/>
                <w:spacing w:val="0"/>
                <w:sz w:val="24"/>
                <w:szCs w:val="24"/>
              </w:rPr>
              <w:t xml:space="preserve">Դեղազգոնության ոլորտում փորձագետի կողմից քննարկման համար հարցեր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(կամ) դիտողություններ՝ ռիսկերի կառավարման պլանը գնահատելու ժամանակ՝ </w:t>
            </w:r>
          </w:p>
          <w:p w14:paraId="6F4EA29B" w14:textId="77777777" w:rsidR="008C76E0" w:rsidRPr="00BD7577" w:rsidRDefault="008C76E0" w:rsidP="00305C5C">
            <w:pPr>
              <w:pStyle w:val="Bodytext180"/>
              <w:shd w:val="clear" w:color="auto" w:fill="auto"/>
              <w:tabs>
                <w:tab w:val="left" w:pos="1897"/>
              </w:tabs>
              <w:spacing w:before="0" w:after="160" w:line="360" w:lineRule="auto"/>
              <w:ind w:firstLine="0"/>
              <w:rPr>
                <w:rStyle w:val="Bodytext295pt"/>
                <w:rFonts w:ascii="Sylfaen" w:hAnsi="Sylfaen"/>
                <w:b/>
                <w:spacing w:val="0"/>
                <w:sz w:val="24"/>
                <w:szCs w:val="24"/>
              </w:rPr>
            </w:pPr>
          </w:p>
        </w:tc>
      </w:tr>
      <w:tr w:rsidR="008C76E0" w:rsidRPr="00BD7577" w14:paraId="543FD533" w14:textId="77777777" w:rsidTr="008C76E0">
        <w:tc>
          <w:tcPr>
            <w:tcW w:w="9566" w:type="dxa"/>
            <w:tcBorders>
              <w:top w:val="single" w:sz="4" w:space="0" w:color="auto"/>
              <w:bottom w:val="single" w:sz="4" w:space="0" w:color="auto"/>
            </w:tcBorders>
            <w:shd w:val="clear" w:color="auto" w:fill="FFFFFF"/>
          </w:tcPr>
          <w:p w14:paraId="2684EB33" w14:textId="77777777" w:rsidR="008C76E0" w:rsidRPr="00BD7577" w:rsidRDefault="008C76E0" w:rsidP="00305C5C">
            <w:pPr>
              <w:spacing w:after="160" w:line="360" w:lineRule="auto"/>
              <w:rPr>
                <w:rFonts w:ascii="Sylfaen" w:hAnsi="Sylfaen"/>
                <w:sz w:val="24"/>
                <w:szCs w:val="24"/>
              </w:rPr>
            </w:pPr>
          </w:p>
        </w:tc>
      </w:tr>
    </w:tbl>
    <w:p w14:paraId="2FE2DEEB" w14:textId="77777777" w:rsidR="008C76E0" w:rsidRPr="00BD7577" w:rsidRDefault="008C76E0" w:rsidP="00305C5C">
      <w:pPr>
        <w:spacing w:after="160" w:line="360" w:lineRule="auto"/>
        <w:rPr>
          <w:rFonts w:ascii="Sylfaen" w:hAnsi="Sylfaen"/>
          <w:sz w:val="24"/>
          <w:szCs w:val="24"/>
        </w:rPr>
      </w:pPr>
    </w:p>
    <w:p w14:paraId="2D8EAB99" w14:textId="77777777" w:rsidR="008C76E0" w:rsidRPr="00BD7577" w:rsidRDefault="008C76E0" w:rsidP="00305C5C">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6. Գրականության ցանկը՝</w:t>
      </w:r>
    </w:p>
    <w:tbl>
      <w:tblPr>
        <w:tblOverlap w:val="never"/>
        <w:tblW w:w="9566" w:type="dxa"/>
        <w:tblLayout w:type="fixed"/>
        <w:tblCellMar>
          <w:left w:w="10" w:type="dxa"/>
          <w:right w:w="10" w:type="dxa"/>
        </w:tblCellMar>
        <w:tblLook w:val="04A0" w:firstRow="1" w:lastRow="0" w:firstColumn="1" w:lastColumn="0" w:noHBand="0" w:noVBand="1"/>
      </w:tblPr>
      <w:tblGrid>
        <w:gridCol w:w="9566"/>
      </w:tblGrid>
      <w:tr w:rsidR="008C76E0" w:rsidRPr="00BD7577" w14:paraId="72CD2737" w14:textId="77777777" w:rsidTr="008C76E0">
        <w:tc>
          <w:tcPr>
            <w:tcW w:w="9566" w:type="dxa"/>
            <w:tcBorders>
              <w:top w:val="single" w:sz="4" w:space="0" w:color="auto"/>
            </w:tcBorders>
            <w:shd w:val="clear" w:color="auto" w:fill="FFFFFF"/>
          </w:tcPr>
          <w:p w14:paraId="5559D855" w14:textId="77777777" w:rsidR="008C76E0" w:rsidRPr="00BD7577" w:rsidRDefault="008C76E0" w:rsidP="00305C5C">
            <w:pPr>
              <w:spacing w:after="160" w:line="360" w:lineRule="auto"/>
              <w:rPr>
                <w:rFonts w:ascii="Sylfaen" w:hAnsi="Sylfaen"/>
                <w:sz w:val="24"/>
                <w:szCs w:val="24"/>
              </w:rPr>
            </w:pPr>
          </w:p>
        </w:tc>
      </w:tr>
      <w:tr w:rsidR="008C76E0" w:rsidRPr="00BD7577" w14:paraId="4BEC35AA" w14:textId="77777777" w:rsidTr="008C76E0">
        <w:tc>
          <w:tcPr>
            <w:tcW w:w="9566" w:type="dxa"/>
            <w:tcBorders>
              <w:top w:val="single" w:sz="4" w:space="0" w:color="auto"/>
              <w:bottom w:val="single" w:sz="4" w:space="0" w:color="auto"/>
            </w:tcBorders>
            <w:shd w:val="clear" w:color="auto" w:fill="FFFFFF"/>
          </w:tcPr>
          <w:p w14:paraId="4366703A" w14:textId="77777777" w:rsidR="008C76E0" w:rsidRPr="00BD7577" w:rsidRDefault="008C76E0" w:rsidP="00305C5C">
            <w:pPr>
              <w:spacing w:after="160" w:line="360" w:lineRule="auto"/>
              <w:rPr>
                <w:rFonts w:ascii="Sylfaen" w:hAnsi="Sylfaen"/>
                <w:sz w:val="24"/>
                <w:szCs w:val="24"/>
              </w:rPr>
            </w:pPr>
          </w:p>
        </w:tc>
      </w:tr>
      <w:tr w:rsidR="008C76E0" w:rsidRPr="00BD7577" w14:paraId="3362DE78" w14:textId="77777777" w:rsidTr="008C76E0">
        <w:tc>
          <w:tcPr>
            <w:tcW w:w="9566" w:type="dxa"/>
            <w:tcBorders>
              <w:top w:val="single" w:sz="4" w:space="0" w:color="auto"/>
              <w:bottom w:val="single" w:sz="4" w:space="0" w:color="auto"/>
            </w:tcBorders>
            <w:shd w:val="clear" w:color="auto" w:fill="FFFFFF"/>
          </w:tcPr>
          <w:p w14:paraId="3FD3975F" w14:textId="77777777" w:rsidR="008C76E0" w:rsidRPr="00BD7577" w:rsidRDefault="008C76E0" w:rsidP="00305C5C">
            <w:pPr>
              <w:spacing w:after="160" w:line="360" w:lineRule="auto"/>
              <w:rPr>
                <w:rFonts w:ascii="Sylfaen" w:hAnsi="Sylfaen"/>
                <w:sz w:val="24"/>
                <w:szCs w:val="24"/>
              </w:rPr>
            </w:pPr>
          </w:p>
        </w:tc>
      </w:tr>
    </w:tbl>
    <w:p w14:paraId="72FD7BF4" w14:textId="77777777" w:rsidR="008C76E0" w:rsidRPr="00BD7577" w:rsidRDefault="008C76E0" w:rsidP="00305C5C">
      <w:pPr>
        <w:spacing w:after="160" w:line="360" w:lineRule="auto"/>
        <w:jc w:val="center"/>
        <w:rPr>
          <w:rFonts w:ascii="Sylfaen" w:hAnsi="Sylfaen"/>
          <w:sz w:val="24"/>
          <w:szCs w:val="24"/>
        </w:rPr>
      </w:pPr>
    </w:p>
    <w:p w14:paraId="01894218" w14:textId="77777777" w:rsidR="008C76E0" w:rsidRPr="00BD7577" w:rsidRDefault="008C76E0" w:rsidP="00305C5C">
      <w:pPr>
        <w:tabs>
          <w:tab w:val="left" w:pos="1134"/>
        </w:tabs>
        <w:spacing w:after="160" w:line="360" w:lineRule="auto"/>
        <w:ind w:firstLine="567"/>
        <w:jc w:val="center"/>
        <w:rPr>
          <w:rFonts w:ascii="Sylfaen" w:hAnsi="Sylfaen"/>
          <w:sz w:val="24"/>
          <w:szCs w:val="24"/>
        </w:rPr>
      </w:pPr>
      <w:r>
        <w:rPr>
          <w:rFonts w:ascii="Sylfaen" w:hAnsi="Sylfaen"/>
          <w:sz w:val="24"/>
          <w:szCs w:val="24"/>
        </w:rPr>
        <w:t>7.</w:t>
      </w:r>
      <w:r w:rsidRPr="00653582">
        <w:rPr>
          <w:rFonts w:ascii="Sylfaen" w:hAnsi="Sylfaen"/>
          <w:sz w:val="24"/>
          <w:szCs w:val="24"/>
        </w:rPr>
        <w:t xml:space="preserve"> </w:t>
      </w:r>
      <w:r w:rsidRPr="00BD7577">
        <w:rPr>
          <w:rFonts w:ascii="Sylfaen" w:hAnsi="Sylfaen"/>
          <w:sz w:val="24"/>
          <w:szCs w:val="24"/>
        </w:rPr>
        <w:t>Փորձագետի կողմից առաջադրվող հարցերի ցանկը</w:t>
      </w:r>
    </w:p>
    <w:p w14:paraId="09B94F57" w14:textId="77777777" w:rsidR="008C76E0" w:rsidRPr="00BD7577" w:rsidRDefault="008C76E0" w:rsidP="00305C5C">
      <w:pPr>
        <w:tabs>
          <w:tab w:val="left" w:pos="1134"/>
        </w:tabs>
        <w:spacing w:after="160" w:line="360" w:lineRule="auto"/>
        <w:ind w:left="1134" w:hanging="567"/>
        <w:rPr>
          <w:rFonts w:ascii="Sylfaen" w:hAnsi="Sylfaen"/>
          <w:sz w:val="24"/>
          <w:szCs w:val="24"/>
        </w:rPr>
      </w:pPr>
      <w:r w:rsidRPr="00BD7577">
        <w:rPr>
          <w:rFonts w:ascii="Sylfaen" w:hAnsi="Sylfaen"/>
          <w:sz w:val="24"/>
          <w:szCs w:val="24"/>
        </w:rPr>
        <w:t>Կլինիկական ասպեկտները՝</w:t>
      </w:r>
    </w:p>
    <w:p w14:paraId="25256E10" w14:textId="77777777" w:rsidR="008C76E0" w:rsidRPr="00BD7577" w:rsidRDefault="008C76E0" w:rsidP="00305C5C">
      <w:pPr>
        <w:tabs>
          <w:tab w:val="left" w:pos="1134"/>
        </w:tabs>
        <w:spacing w:after="160" w:line="360" w:lineRule="auto"/>
        <w:ind w:right="1982" w:firstLine="567"/>
        <w:rPr>
          <w:rFonts w:ascii="Sylfaen" w:hAnsi="Sylfaen"/>
          <w:sz w:val="24"/>
          <w:szCs w:val="24"/>
        </w:rPr>
      </w:pPr>
      <w:r w:rsidRPr="00BD7577">
        <w:rPr>
          <w:rFonts w:ascii="Sylfaen" w:hAnsi="Sylfaen"/>
          <w:sz w:val="24"/>
          <w:szCs w:val="24"/>
        </w:rPr>
        <w:t>ա)</w:t>
      </w:r>
      <w:r w:rsidRPr="00BD7577">
        <w:rPr>
          <w:rFonts w:ascii="Sylfaen" w:hAnsi="Sylfaen"/>
          <w:sz w:val="24"/>
          <w:szCs w:val="24"/>
        </w:rPr>
        <w:tab/>
        <w:t>հիմնական դիտողությունները՝</w:t>
      </w:r>
    </w:p>
    <w:p w14:paraId="27FC164C"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դեղակինետիկա.</w:t>
      </w:r>
    </w:p>
    <w:p w14:paraId="0CF01F7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դեղադինամիկա.</w:t>
      </w:r>
    </w:p>
    <w:p w14:paraId="72F3DCC0"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արդյունավետություն.</w:t>
      </w:r>
    </w:p>
    <w:p w14:paraId="1068A302"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անվտանգություն.</w:t>
      </w:r>
    </w:p>
    <w:p w14:paraId="19423927"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դեղազգոնության համակարգ.</w:t>
      </w:r>
    </w:p>
    <w:p w14:paraId="1C975434" w14:textId="77777777" w:rsidR="008C76E0" w:rsidRPr="00BD7577" w:rsidRDefault="008C76E0" w:rsidP="00305C5C">
      <w:pPr>
        <w:spacing w:after="160" w:line="360" w:lineRule="auto"/>
        <w:ind w:left="1134" w:right="1982"/>
        <w:rPr>
          <w:rFonts w:ascii="Sylfaen" w:hAnsi="Sylfaen"/>
          <w:sz w:val="24"/>
          <w:szCs w:val="24"/>
        </w:rPr>
      </w:pPr>
      <w:r w:rsidRPr="00BD7577">
        <w:rPr>
          <w:rFonts w:ascii="Sylfaen" w:hAnsi="Sylfaen"/>
          <w:sz w:val="24"/>
          <w:szCs w:val="24"/>
        </w:rPr>
        <w:t>ռիսկի կառավարման պլան.</w:t>
      </w:r>
    </w:p>
    <w:p w14:paraId="748609DB" w14:textId="77777777" w:rsidR="008C76E0" w:rsidRPr="00BD7577" w:rsidRDefault="008C76E0" w:rsidP="00305C5C">
      <w:pPr>
        <w:tabs>
          <w:tab w:val="left" w:pos="1134"/>
        </w:tabs>
        <w:spacing w:after="160" w:line="360" w:lineRule="auto"/>
        <w:ind w:left="1134" w:right="1273" w:hanging="567"/>
        <w:rPr>
          <w:rFonts w:ascii="Sylfaen" w:hAnsi="Sylfaen"/>
          <w:sz w:val="24"/>
          <w:szCs w:val="24"/>
        </w:rPr>
      </w:pPr>
      <w:r w:rsidRPr="00BD7577">
        <w:rPr>
          <w:rFonts w:ascii="Sylfaen" w:hAnsi="Sylfaen"/>
          <w:sz w:val="24"/>
          <w:szCs w:val="24"/>
        </w:rPr>
        <w:t>բ)</w:t>
      </w:r>
      <w:r w:rsidRPr="00BD7577">
        <w:rPr>
          <w:rFonts w:ascii="Sylfaen" w:hAnsi="Sylfaen"/>
          <w:sz w:val="24"/>
          <w:szCs w:val="24"/>
        </w:rPr>
        <w:tab/>
        <w:t>այլ դիտողություններ՝</w:t>
      </w:r>
    </w:p>
    <w:p w14:paraId="553514E3"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lastRenderedPageBreak/>
        <w:t>դեղակինետիկա.</w:t>
      </w:r>
    </w:p>
    <w:p w14:paraId="706F2B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դեղադինամիկա.</w:t>
      </w:r>
    </w:p>
    <w:p w14:paraId="73F3CB74"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արդյունավետություն.</w:t>
      </w:r>
    </w:p>
    <w:p w14:paraId="6AD10445" w14:textId="77777777" w:rsidR="008C76E0" w:rsidRPr="00BD7577" w:rsidRDefault="008C76E0" w:rsidP="00305C5C">
      <w:pPr>
        <w:tabs>
          <w:tab w:val="left" w:pos="993"/>
          <w:tab w:val="left" w:pos="1134"/>
        </w:tabs>
        <w:spacing w:after="160" w:line="360" w:lineRule="auto"/>
        <w:ind w:left="1134" w:right="1276"/>
        <w:rPr>
          <w:rFonts w:ascii="Sylfaen" w:hAnsi="Sylfaen"/>
          <w:sz w:val="24"/>
          <w:szCs w:val="24"/>
        </w:rPr>
      </w:pPr>
      <w:r w:rsidRPr="00BD7577">
        <w:rPr>
          <w:rFonts w:ascii="Sylfaen" w:hAnsi="Sylfaen"/>
          <w:sz w:val="24"/>
          <w:szCs w:val="24"/>
        </w:rPr>
        <w:t>անվտանգություն.</w:t>
      </w:r>
    </w:p>
    <w:p w14:paraId="6F9DB0E4" w14:textId="77777777" w:rsidR="008C76E0" w:rsidRPr="00BD7577" w:rsidRDefault="008C76E0" w:rsidP="00305C5C">
      <w:pPr>
        <w:spacing w:after="160" w:line="360" w:lineRule="auto"/>
        <w:ind w:left="1134" w:right="1276"/>
        <w:rPr>
          <w:rFonts w:ascii="Sylfaen" w:hAnsi="Sylfaen"/>
          <w:sz w:val="24"/>
          <w:szCs w:val="24"/>
        </w:rPr>
      </w:pPr>
      <w:r w:rsidRPr="00BD7577">
        <w:rPr>
          <w:rFonts w:ascii="Sylfaen" w:hAnsi="Sylfaen"/>
          <w:sz w:val="24"/>
          <w:szCs w:val="24"/>
        </w:rPr>
        <w:t>դեղազգոնության համակարգ.</w:t>
      </w:r>
    </w:p>
    <w:p w14:paraId="0F981557" w14:textId="77777777" w:rsidR="008C76E0" w:rsidRPr="00BD7577" w:rsidRDefault="008C76E0" w:rsidP="00305C5C">
      <w:pPr>
        <w:spacing w:after="160" w:line="360" w:lineRule="auto"/>
        <w:ind w:left="1134" w:right="1273"/>
        <w:rPr>
          <w:rFonts w:ascii="Sylfaen" w:hAnsi="Sylfaen"/>
          <w:sz w:val="24"/>
          <w:szCs w:val="24"/>
        </w:rPr>
      </w:pPr>
      <w:r w:rsidRPr="00BD7577">
        <w:rPr>
          <w:rFonts w:ascii="Sylfaen" w:hAnsi="Sylfaen"/>
          <w:sz w:val="24"/>
          <w:szCs w:val="24"/>
        </w:rPr>
        <w:t>ռիսկի կառավարման պլան.</w:t>
      </w:r>
    </w:p>
    <w:p w14:paraId="58775D7B" w14:textId="77777777" w:rsidR="008C76E0" w:rsidRPr="00BD7577" w:rsidRDefault="008C76E0" w:rsidP="00305C5C">
      <w:pPr>
        <w:tabs>
          <w:tab w:val="left" w:pos="1134"/>
        </w:tabs>
        <w:spacing w:after="160" w:line="360" w:lineRule="auto"/>
        <w:ind w:left="1134" w:hanging="567"/>
        <w:jc w:val="both"/>
        <w:rPr>
          <w:rFonts w:ascii="Sylfaen" w:hAnsi="Sylfaen"/>
          <w:sz w:val="24"/>
          <w:szCs w:val="24"/>
          <w:lang w:val="en-US"/>
        </w:rPr>
      </w:pPr>
      <w:r w:rsidRPr="00BD7577">
        <w:rPr>
          <w:rFonts w:ascii="Sylfaen" w:hAnsi="Sylfaen"/>
          <w:sz w:val="24"/>
          <w:szCs w:val="24"/>
        </w:rPr>
        <w:t>գ</w:t>
      </w:r>
      <w:r>
        <w:rPr>
          <w:rFonts w:ascii="Sylfaen" w:hAnsi="Sylfaen"/>
          <w:sz w:val="24"/>
          <w:szCs w:val="24"/>
        </w:rPr>
        <w:t>)</w:t>
      </w:r>
      <w:r w:rsidRPr="00BD7577">
        <w:rPr>
          <w:rFonts w:ascii="Sylfaen" w:hAnsi="Sylfaen"/>
          <w:sz w:val="24"/>
          <w:szCs w:val="24"/>
        </w:rPr>
        <w:tab/>
        <w:t>հանձնարարականներ՝</w:t>
      </w:r>
    </w:p>
    <w:tbl>
      <w:tblPr>
        <w:tblOverlap w:val="never"/>
        <w:tblW w:w="8751" w:type="dxa"/>
        <w:jc w:val="center"/>
        <w:tblLayout w:type="fixed"/>
        <w:tblCellMar>
          <w:left w:w="10" w:type="dxa"/>
          <w:right w:w="10" w:type="dxa"/>
        </w:tblCellMar>
        <w:tblLook w:val="04A0" w:firstRow="1" w:lastRow="0" w:firstColumn="1" w:lastColumn="0" w:noHBand="0" w:noVBand="1"/>
      </w:tblPr>
      <w:tblGrid>
        <w:gridCol w:w="8751"/>
      </w:tblGrid>
      <w:tr w:rsidR="008C76E0" w:rsidRPr="00BD7577" w14:paraId="147A9D3D" w14:textId="77777777" w:rsidTr="008C76E0">
        <w:trPr>
          <w:jc w:val="center"/>
        </w:trPr>
        <w:tc>
          <w:tcPr>
            <w:tcW w:w="8751" w:type="dxa"/>
            <w:tcBorders>
              <w:top w:val="single" w:sz="4" w:space="0" w:color="auto"/>
            </w:tcBorders>
            <w:shd w:val="clear" w:color="auto" w:fill="FFFFFF"/>
          </w:tcPr>
          <w:p w14:paraId="764A1E55" w14:textId="77777777" w:rsidR="008C76E0" w:rsidRPr="00BD7577" w:rsidRDefault="008C76E0" w:rsidP="00305C5C">
            <w:pPr>
              <w:spacing w:after="160" w:line="360" w:lineRule="auto"/>
              <w:rPr>
                <w:rFonts w:ascii="Sylfaen" w:hAnsi="Sylfaen"/>
                <w:sz w:val="24"/>
                <w:szCs w:val="24"/>
              </w:rPr>
            </w:pPr>
          </w:p>
        </w:tc>
      </w:tr>
      <w:tr w:rsidR="008C76E0" w:rsidRPr="00BD7577" w14:paraId="70BEB5C2" w14:textId="77777777" w:rsidTr="008C76E0">
        <w:trPr>
          <w:jc w:val="center"/>
        </w:trPr>
        <w:tc>
          <w:tcPr>
            <w:tcW w:w="8751" w:type="dxa"/>
            <w:tcBorders>
              <w:top w:val="single" w:sz="4" w:space="0" w:color="auto"/>
              <w:bottom w:val="single" w:sz="4" w:space="0" w:color="auto"/>
            </w:tcBorders>
            <w:shd w:val="clear" w:color="auto" w:fill="FFFFFF"/>
          </w:tcPr>
          <w:p w14:paraId="3EEEF877" w14:textId="77777777" w:rsidR="008C76E0" w:rsidRPr="00BD7577" w:rsidRDefault="008C76E0" w:rsidP="00305C5C">
            <w:pPr>
              <w:spacing w:after="160" w:line="360" w:lineRule="auto"/>
              <w:rPr>
                <w:rFonts w:ascii="Sylfaen" w:hAnsi="Sylfaen"/>
                <w:sz w:val="24"/>
                <w:szCs w:val="24"/>
              </w:rPr>
            </w:pPr>
          </w:p>
        </w:tc>
      </w:tr>
    </w:tbl>
    <w:p w14:paraId="5F4FCD15" w14:textId="77777777" w:rsidR="008C76E0" w:rsidRPr="00BD7577" w:rsidRDefault="008C76E0" w:rsidP="00305C5C">
      <w:pPr>
        <w:spacing w:after="160" w:line="360" w:lineRule="auto"/>
        <w:ind w:left="820"/>
        <w:jc w:val="both"/>
        <w:rPr>
          <w:rFonts w:ascii="Sylfaen" w:hAnsi="Sylfaen"/>
          <w:sz w:val="24"/>
          <w:szCs w:val="24"/>
          <w:lang w:val="en-US"/>
        </w:rPr>
      </w:pPr>
    </w:p>
    <w:p w14:paraId="137B9757" w14:textId="23DA1374"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t xml:space="preserve">8. Փորձագետի կողմից առաջարկվող պայմանները, որոնց կատարումն անհրաժեշտ է </w:t>
      </w:r>
      <w:r w:rsidR="0056496B">
        <w:rPr>
          <w:rFonts w:ascii="Sylfaen" w:hAnsi="Sylfaen"/>
          <w:sz w:val="24"/>
          <w:szCs w:val="24"/>
        </w:rPr>
        <w:t>դիմումատու</w:t>
      </w:r>
      <w:r w:rsidRPr="00BD7577">
        <w:rPr>
          <w:rFonts w:ascii="Sylfaen" w:hAnsi="Sylfaen"/>
          <w:sz w:val="24"/>
          <w:szCs w:val="24"/>
        </w:rPr>
        <w:t xml:space="preserve">ի կողմից գրանցման հավաստագիրն ստանալուց </w:t>
      </w:r>
      <w:r w:rsidR="00C54D75">
        <w:rPr>
          <w:rFonts w:ascii="Sylfaen" w:hAnsi="Sylfaen"/>
          <w:sz w:val="24"/>
          <w:szCs w:val="24"/>
        </w:rPr>
        <w:t>և</w:t>
      </w:r>
      <w:r w:rsidRPr="00BD7577">
        <w:rPr>
          <w:rFonts w:ascii="Sylfaen" w:hAnsi="Sylfaen"/>
          <w:sz w:val="24"/>
          <w:szCs w:val="24"/>
        </w:rPr>
        <w:t xml:space="preserve"> դեղապատրաստուկի ընդհանուր բնութագիրը հաստատելուց հետո</w:t>
      </w:r>
    </w:p>
    <w:p w14:paraId="0769AFFD" w14:textId="41D16FA7" w:rsidR="008C76E0" w:rsidRPr="00BD7577" w:rsidRDefault="0056496B" w:rsidP="00305C5C">
      <w:pPr>
        <w:widowControl/>
        <w:autoSpaceDE w:val="0"/>
        <w:autoSpaceDN w:val="0"/>
        <w:adjustRightInd w:val="0"/>
        <w:spacing w:after="160" w:line="360" w:lineRule="auto"/>
        <w:rPr>
          <w:rFonts w:ascii="Sylfaen" w:hAnsi="Sylfaen" w:cs="Times New Roman"/>
          <w:sz w:val="24"/>
          <w:szCs w:val="24"/>
        </w:rPr>
      </w:pPr>
      <w:r>
        <w:rPr>
          <w:rFonts w:ascii="Sylfaen" w:hAnsi="Sylfaen"/>
          <w:sz w:val="24"/>
          <w:szCs w:val="24"/>
        </w:rPr>
        <w:t>Դիմումատու</w:t>
      </w:r>
      <w:r w:rsidR="008C76E0" w:rsidRPr="00BD7577">
        <w:rPr>
          <w:rFonts w:ascii="Sylfaen" w:hAnsi="Sylfaen"/>
          <w:sz w:val="24"/>
          <w:szCs w:val="24"/>
        </w:rPr>
        <w:t>ին տրամադրվող խորհրդատվությունը՝</w:t>
      </w:r>
    </w:p>
    <w:tbl>
      <w:tblPr>
        <w:tblOverlap w:val="never"/>
        <w:tblW w:w="9132" w:type="dxa"/>
        <w:jc w:val="center"/>
        <w:tblLayout w:type="fixed"/>
        <w:tblCellMar>
          <w:left w:w="10" w:type="dxa"/>
          <w:right w:w="10" w:type="dxa"/>
        </w:tblCellMar>
        <w:tblLook w:val="04A0" w:firstRow="1" w:lastRow="0" w:firstColumn="1" w:lastColumn="0" w:noHBand="0" w:noVBand="1"/>
      </w:tblPr>
      <w:tblGrid>
        <w:gridCol w:w="9132"/>
      </w:tblGrid>
      <w:tr w:rsidR="008C76E0" w:rsidRPr="00BD7577" w14:paraId="676D697B" w14:textId="77777777" w:rsidTr="008C76E0">
        <w:trPr>
          <w:jc w:val="center"/>
        </w:trPr>
        <w:tc>
          <w:tcPr>
            <w:tcW w:w="9132" w:type="dxa"/>
            <w:tcBorders>
              <w:top w:val="single" w:sz="4" w:space="0" w:color="auto"/>
            </w:tcBorders>
            <w:shd w:val="clear" w:color="auto" w:fill="FFFFFF"/>
          </w:tcPr>
          <w:p w14:paraId="7C91260B" w14:textId="77777777" w:rsidR="008C76E0" w:rsidRPr="00BD7577" w:rsidRDefault="008C76E0" w:rsidP="00305C5C">
            <w:pPr>
              <w:spacing w:after="160" w:line="360" w:lineRule="auto"/>
              <w:rPr>
                <w:rFonts w:ascii="Sylfaen" w:hAnsi="Sylfaen"/>
                <w:sz w:val="24"/>
                <w:szCs w:val="24"/>
              </w:rPr>
            </w:pPr>
          </w:p>
        </w:tc>
      </w:tr>
      <w:tr w:rsidR="008C76E0" w:rsidRPr="00BD7577" w14:paraId="7146498D" w14:textId="77777777" w:rsidTr="008C76E0">
        <w:trPr>
          <w:jc w:val="center"/>
        </w:trPr>
        <w:tc>
          <w:tcPr>
            <w:tcW w:w="9132" w:type="dxa"/>
            <w:tcBorders>
              <w:top w:val="single" w:sz="4" w:space="0" w:color="auto"/>
              <w:bottom w:val="single" w:sz="4" w:space="0" w:color="auto"/>
            </w:tcBorders>
            <w:shd w:val="clear" w:color="auto" w:fill="FFFFFF"/>
          </w:tcPr>
          <w:p w14:paraId="6B748CB1" w14:textId="77777777" w:rsidR="008C76E0" w:rsidRPr="00BD7577" w:rsidRDefault="008C76E0" w:rsidP="00305C5C">
            <w:pPr>
              <w:spacing w:after="160" w:line="360" w:lineRule="auto"/>
              <w:rPr>
                <w:rFonts w:ascii="Sylfaen" w:hAnsi="Sylfaen"/>
                <w:sz w:val="24"/>
                <w:szCs w:val="24"/>
              </w:rPr>
            </w:pPr>
          </w:p>
        </w:tc>
      </w:tr>
    </w:tbl>
    <w:p w14:paraId="30808BC0" w14:textId="77777777" w:rsidR="008C76E0" w:rsidRDefault="008C76E0" w:rsidP="00C43BF0">
      <w:pPr>
        <w:spacing w:after="160" w:line="360" w:lineRule="auto"/>
        <w:rPr>
          <w:rFonts w:ascii="Sylfaen" w:hAnsi="Sylfaen"/>
          <w:sz w:val="24"/>
          <w:szCs w:val="24"/>
        </w:rPr>
        <w:sectPr w:rsidR="008C76E0" w:rsidSect="00903D92">
          <w:type w:val="continuous"/>
          <w:pgSz w:w="11907" w:h="16839" w:code="9"/>
          <w:pgMar w:top="1418" w:right="1418" w:bottom="1418" w:left="1418" w:header="709" w:footer="709" w:gutter="0"/>
          <w:pgNumType w:start="1"/>
          <w:cols w:space="708"/>
          <w:titlePg/>
          <w:docGrid w:linePitch="360"/>
        </w:sectPr>
      </w:pPr>
    </w:p>
    <w:p w14:paraId="335B1BAF" w14:textId="77777777" w:rsidR="00F40135" w:rsidRDefault="00F40135" w:rsidP="00C43BF0">
      <w:pPr>
        <w:spacing w:after="160" w:line="360" w:lineRule="auto"/>
        <w:rPr>
          <w:rFonts w:ascii="Sylfaen" w:hAnsi="Sylfaen"/>
          <w:sz w:val="24"/>
          <w:szCs w:val="24"/>
        </w:rPr>
      </w:pPr>
    </w:p>
    <w:p w14:paraId="4941D9B9" w14:textId="77777777" w:rsidR="00C43BF0" w:rsidRPr="00CD4709" w:rsidRDefault="00C43BF0" w:rsidP="00C43BF0">
      <w:pPr>
        <w:rPr>
          <w:b/>
          <w:bCs/>
          <w:i/>
          <w:iCs/>
          <w:lang w:val="en-US"/>
        </w:rPr>
      </w:pPr>
      <w:r w:rsidRPr="00CD4709">
        <w:rPr>
          <w:b/>
          <w:bCs/>
          <w:i/>
          <w:iCs/>
        </w:rPr>
        <w:t>(</w:t>
      </w:r>
      <w:r>
        <w:rPr>
          <w:b/>
          <w:bCs/>
          <w:i/>
          <w:iCs/>
        </w:rPr>
        <w:t xml:space="preserve">հավելվածը </w:t>
      </w:r>
      <w:r w:rsidRPr="00CD4709">
        <w:rPr>
          <w:b/>
          <w:bCs/>
          <w:i/>
          <w:iCs/>
        </w:rPr>
        <w:t>փոփ. 30.01.20 թիվ 9)</w:t>
      </w:r>
    </w:p>
    <w:p w14:paraId="4E7E2362" w14:textId="426EE52F" w:rsidR="00C43BF0" w:rsidRDefault="00C43BF0" w:rsidP="00305C5C">
      <w:pPr>
        <w:spacing w:after="160" w:line="360" w:lineRule="auto"/>
        <w:ind w:left="4395"/>
        <w:jc w:val="center"/>
        <w:rPr>
          <w:rFonts w:ascii="Sylfaen" w:hAnsi="Sylfaen"/>
          <w:sz w:val="24"/>
          <w:szCs w:val="24"/>
        </w:rPr>
        <w:sectPr w:rsidR="00C43BF0" w:rsidSect="00903D92">
          <w:type w:val="continuous"/>
          <w:pgSz w:w="11907" w:h="16839" w:code="9"/>
          <w:pgMar w:top="1418" w:right="1418" w:bottom="1418" w:left="1418" w:header="709" w:footer="709" w:gutter="0"/>
          <w:pgNumType w:start="1"/>
          <w:cols w:space="708"/>
          <w:titlePg/>
          <w:docGrid w:linePitch="360"/>
        </w:sectPr>
      </w:pPr>
    </w:p>
    <w:p w14:paraId="58205040" w14:textId="77777777" w:rsidR="008C76E0" w:rsidRPr="00BD7577" w:rsidRDefault="008C76E0" w:rsidP="00305C5C">
      <w:pPr>
        <w:spacing w:after="160" w:line="360" w:lineRule="auto"/>
        <w:ind w:left="4395"/>
        <w:jc w:val="center"/>
        <w:rPr>
          <w:rFonts w:ascii="Sylfaen" w:hAnsi="Sylfaen"/>
          <w:sz w:val="24"/>
          <w:szCs w:val="24"/>
        </w:rPr>
      </w:pPr>
      <w:r w:rsidRPr="00BD7577">
        <w:rPr>
          <w:rFonts w:ascii="Sylfaen" w:hAnsi="Sylfaen"/>
          <w:sz w:val="24"/>
          <w:szCs w:val="24"/>
        </w:rPr>
        <w:lastRenderedPageBreak/>
        <w:t>ՀԱՎԵԼՎԱԾ ԹԻՎ 8</w:t>
      </w:r>
      <w:r w:rsidRPr="00BD7577">
        <w:rPr>
          <w:rFonts w:ascii="Sylfaen" w:hAnsi="Sylfaen"/>
          <w:sz w:val="24"/>
          <w:szCs w:val="24"/>
        </w:rPr>
        <w:br/>
        <w:t xml:space="preserve">Բժշկական կիրառության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AB3856F" w14:textId="77777777" w:rsidR="008C76E0" w:rsidRPr="00653582" w:rsidRDefault="008C76E0" w:rsidP="00305C5C">
      <w:pPr>
        <w:spacing w:after="160" w:line="360" w:lineRule="auto"/>
        <w:ind w:left="5103" w:right="200"/>
        <w:rPr>
          <w:rFonts w:ascii="Sylfaen" w:hAnsi="Sylfaen"/>
          <w:b/>
          <w:sz w:val="24"/>
          <w:szCs w:val="24"/>
        </w:rPr>
      </w:pPr>
    </w:p>
    <w:p w14:paraId="0412D988" w14:textId="77777777" w:rsidR="008C76E0" w:rsidRPr="008C76E0" w:rsidRDefault="008C76E0" w:rsidP="00305C5C">
      <w:pPr>
        <w:pStyle w:val="Heading120"/>
        <w:shd w:val="clear" w:color="auto" w:fill="auto"/>
        <w:spacing w:before="0" w:after="160" w:line="360" w:lineRule="auto"/>
        <w:ind w:left="567" w:right="565"/>
        <w:outlineLvl w:val="9"/>
        <w:rPr>
          <w:rFonts w:ascii="Sylfaen" w:hAnsi="Sylfaen"/>
          <w:b w:val="0"/>
          <w:sz w:val="24"/>
          <w:szCs w:val="24"/>
          <w:lang w:val="hy-AM"/>
        </w:rPr>
      </w:pPr>
      <w:bookmarkStart w:id="1" w:name="bookmark2"/>
      <w:r w:rsidRPr="00653582">
        <w:rPr>
          <w:rStyle w:val="Heading12Spacing1pt"/>
          <w:rFonts w:ascii="Sylfaen" w:hAnsi="Sylfaen"/>
          <w:b/>
          <w:spacing w:val="0"/>
          <w:sz w:val="24"/>
          <w:szCs w:val="24"/>
        </w:rPr>
        <w:t>ՁԵՎ</w:t>
      </w:r>
      <w:bookmarkEnd w:id="1"/>
    </w:p>
    <w:p w14:paraId="622FE097"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դեղապատրաստուկի որակի ասպեկտների կրիտիկական գնահատման մասին փորձագիտական հաշվետվության</w:t>
      </w:r>
    </w:p>
    <w:p w14:paraId="61C7E4CF" w14:textId="77777777" w:rsidR="008C76E0" w:rsidRPr="008C76E0" w:rsidRDefault="008C76E0" w:rsidP="00305C5C">
      <w:pPr>
        <w:pStyle w:val="Bodytext130"/>
        <w:shd w:val="clear" w:color="auto" w:fill="auto"/>
        <w:spacing w:after="160" w:line="360" w:lineRule="auto"/>
        <w:ind w:left="567" w:right="565"/>
        <w:rPr>
          <w:rFonts w:ascii="Sylfaen" w:hAnsi="Sylfaen"/>
          <w:sz w:val="24"/>
          <w:szCs w:val="24"/>
          <w:lang w:val="hy-AM"/>
        </w:rPr>
      </w:pPr>
    </w:p>
    <w:p w14:paraId="4CA1BEE0" w14:textId="77777777" w:rsidR="008C76E0" w:rsidRPr="00BD7577" w:rsidRDefault="008C76E0" w:rsidP="00305C5C">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ցուցումները՝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742483DE" w14:textId="77777777" w:rsidR="008C76E0" w:rsidRPr="00DD61E4" w:rsidRDefault="008C76E0" w:rsidP="00305C5C">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ը)</w:t>
      </w:r>
    </w:p>
    <w:p w14:paraId="37E3DC73" w14:textId="77777777" w:rsidR="008C76E0" w:rsidRPr="00BD7577" w:rsidRDefault="008C76E0" w:rsidP="00305C5C">
      <w:pPr>
        <w:spacing w:after="160" w:line="360" w:lineRule="auto"/>
        <w:ind w:right="80"/>
        <w:jc w:val="center"/>
        <w:rPr>
          <w:rFonts w:ascii="Sylfaen" w:hAnsi="Sylfaen"/>
          <w:sz w:val="24"/>
          <w:szCs w:val="24"/>
        </w:rPr>
      </w:pPr>
      <w:r w:rsidRPr="00BD7577">
        <w:rPr>
          <w:rFonts w:ascii="Sylfaen" w:hAnsi="Sylfaen"/>
          <w:sz w:val="24"/>
          <w:szCs w:val="24"/>
        </w:rPr>
        <w:t>ՓՈՐՁԱԳԻՏԱԿԱՆ ՀԱՇՎԵՏՎՈՒԹՅՈՒՆ</w:t>
      </w:r>
    </w:p>
    <w:p w14:paraId="3B8D0AE8" w14:textId="77777777" w:rsidR="008C76E0" w:rsidRPr="00BD7577" w:rsidRDefault="008C76E0" w:rsidP="00305C5C">
      <w:pPr>
        <w:spacing w:after="160" w:line="360" w:lineRule="auto"/>
        <w:ind w:left="1134" w:right="1132"/>
        <w:jc w:val="center"/>
        <w:rPr>
          <w:rFonts w:ascii="Sylfaen" w:hAnsi="Sylfaen"/>
          <w:sz w:val="24"/>
          <w:szCs w:val="24"/>
        </w:rPr>
      </w:pPr>
      <w:r w:rsidRPr="00BD7577">
        <w:rPr>
          <w:rFonts w:ascii="Sylfaen" w:hAnsi="Sylfaen"/>
          <w:sz w:val="24"/>
          <w:szCs w:val="24"/>
        </w:rPr>
        <w:t>Դեղապատրաստուկի որակի ասպեկտների կրիտիկական գնահատման մասին</w:t>
      </w:r>
    </w:p>
    <w:p w14:paraId="2CE84C09" w14:textId="77777777" w:rsidR="008C76E0" w:rsidRPr="00BD7577" w:rsidRDefault="008C76E0" w:rsidP="008C76E0">
      <w:pPr>
        <w:widowControl/>
        <w:autoSpaceDE w:val="0"/>
        <w:autoSpaceDN w:val="0"/>
        <w:adjustRightInd w:val="0"/>
        <w:spacing w:after="120" w:line="240" w:lineRule="auto"/>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6B9C25E" w14:textId="77777777" w:rsidR="008C76E0" w:rsidRPr="008C76E0" w:rsidRDefault="008C76E0" w:rsidP="008C76E0">
      <w:pPr>
        <w:pStyle w:val="Bodytext40"/>
        <w:shd w:val="clear" w:color="auto" w:fill="auto"/>
        <w:spacing w:before="0" w:after="120" w:line="240" w:lineRule="auto"/>
        <w:ind w:right="80"/>
        <w:rPr>
          <w:rFonts w:ascii="Sylfaen" w:hAnsi="Sylfaen"/>
          <w:b w:val="0"/>
          <w:sz w:val="20"/>
          <w:szCs w:val="20"/>
          <w:lang w:val="hy-AM"/>
        </w:rPr>
      </w:pPr>
      <w:r w:rsidRPr="008C76E0">
        <w:rPr>
          <w:rFonts w:ascii="Sylfaen" w:hAnsi="Sylfaen"/>
          <w:b w:val="0"/>
          <w:sz w:val="20"/>
          <w:szCs w:val="20"/>
          <w:lang w:val="hy-AM"/>
        </w:rPr>
        <w:t>(դեղապատրաստուկի անունը, դրա դեղաձ</w:t>
      </w:r>
      <w:r w:rsidR="00C54D75">
        <w:rPr>
          <w:rFonts w:ascii="Sylfaen" w:hAnsi="Sylfaen"/>
          <w:b w:val="0"/>
          <w:sz w:val="20"/>
          <w:szCs w:val="20"/>
          <w:lang w:val="hy-AM"/>
        </w:rPr>
        <w:t>և</w:t>
      </w:r>
      <w:r w:rsidRPr="008C76E0">
        <w:rPr>
          <w:rFonts w:ascii="Sylfaen" w:hAnsi="Sylfaen"/>
          <w:b w:val="0"/>
          <w:sz w:val="20"/>
          <w:szCs w:val="20"/>
          <w:lang w:val="hy-AM"/>
        </w:rPr>
        <w:t>ը, դոզաները)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95"/>
        <w:gridCol w:w="4685"/>
      </w:tblGrid>
      <w:tr w:rsidR="008C76E0" w:rsidRPr="00BD7577" w14:paraId="5502E4C0" w14:textId="77777777" w:rsidTr="008C76E0">
        <w:trPr>
          <w:jc w:val="center"/>
        </w:trPr>
        <w:tc>
          <w:tcPr>
            <w:tcW w:w="4795" w:type="dxa"/>
            <w:tcBorders>
              <w:top w:val="single" w:sz="4" w:space="0" w:color="auto"/>
              <w:left w:val="single" w:sz="4" w:space="0" w:color="auto"/>
            </w:tcBorders>
            <w:shd w:val="clear" w:color="auto" w:fill="FFFFFF"/>
          </w:tcPr>
          <w:p w14:paraId="7F628CD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Փորձագետ՝</w:t>
            </w:r>
          </w:p>
        </w:tc>
        <w:tc>
          <w:tcPr>
            <w:tcW w:w="4685" w:type="dxa"/>
            <w:tcBorders>
              <w:top w:val="single" w:sz="4" w:space="0" w:color="auto"/>
              <w:left w:val="single" w:sz="4" w:space="0" w:color="auto"/>
              <w:right w:val="single" w:sz="4" w:space="0" w:color="auto"/>
            </w:tcBorders>
            <w:shd w:val="clear" w:color="auto" w:fill="FFFFFF"/>
          </w:tcPr>
          <w:p w14:paraId="02C18473" w14:textId="77777777" w:rsidR="008C76E0" w:rsidRPr="00BD7577" w:rsidRDefault="008C76E0" w:rsidP="008C76E0">
            <w:pPr>
              <w:spacing w:after="120" w:line="240" w:lineRule="auto"/>
              <w:rPr>
                <w:rFonts w:ascii="Sylfaen" w:hAnsi="Sylfaen"/>
                <w:sz w:val="24"/>
                <w:szCs w:val="24"/>
              </w:rPr>
            </w:pPr>
          </w:p>
        </w:tc>
      </w:tr>
      <w:tr w:rsidR="008C76E0" w:rsidRPr="00BD7577" w14:paraId="60C23038" w14:textId="77777777" w:rsidTr="008C76E0">
        <w:trPr>
          <w:jc w:val="center"/>
        </w:trPr>
        <w:tc>
          <w:tcPr>
            <w:tcW w:w="4795" w:type="dxa"/>
            <w:tcBorders>
              <w:top w:val="single" w:sz="4" w:space="0" w:color="auto"/>
              <w:left w:val="single" w:sz="4" w:space="0" w:color="auto"/>
            </w:tcBorders>
            <w:shd w:val="clear" w:color="auto" w:fill="FFFFFF"/>
          </w:tcPr>
          <w:p w14:paraId="6B0E83B3"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Ընթացակարգի սկիզբը՝</w:t>
            </w:r>
          </w:p>
        </w:tc>
        <w:tc>
          <w:tcPr>
            <w:tcW w:w="4685" w:type="dxa"/>
            <w:tcBorders>
              <w:top w:val="single" w:sz="4" w:space="0" w:color="auto"/>
              <w:left w:val="single" w:sz="4" w:space="0" w:color="auto"/>
              <w:right w:val="single" w:sz="4" w:space="0" w:color="auto"/>
            </w:tcBorders>
            <w:shd w:val="clear" w:color="auto" w:fill="FFFFFF"/>
          </w:tcPr>
          <w:p w14:paraId="26DF54BA" w14:textId="77777777" w:rsidR="008C76E0" w:rsidRPr="00BD7577" w:rsidRDefault="008C76E0" w:rsidP="008C76E0">
            <w:pPr>
              <w:spacing w:after="120" w:line="240" w:lineRule="auto"/>
              <w:rPr>
                <w:rFonts w:ascii="Sylfaen" w:hAnsi="Sylfaen"/>
                <w:sz w:val="24"/>
                <w:szCs w:val="24"/>
              </w:rPr>
            </w:pPr>
          </w:p>
        </w:tc>
      </w:tr>
      <w:tr w:rsidR="008C76E0" w:rsidRPr="00BD7577" w14:paraId="3F0652F7" w14:textId="77777777" w:rsidTr="008C76E0">
        <w:trPr>
          <w:jc w:val="center"/>
        </w:trPr>
        <w:tc>
          <w:tcPr>
            <w:tcW w:w="4795" w:type="dxa"/>
            <w:tcBorders>
              <w:top w:val="single" w:sz="4" w:space="0" w:color="auto"/>
              <w:left w:val="single" w:sz="4" w:space="0" w:color="auto"/>
            </w:tcBorders>
            <w:shd w:val="clear" w:color="auto" w:fill="FFFFFF"/>
          </w:tcPr>
          <w:p w14:paraId="14C0CD95"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Սույն հաշվետվության ամսաթիվը՝</w:t>
            </w:r>
          </w:p>
        </w:tc>
        <w:tc>
          <w:tcPr>
            <w:tcW w:w="4685" w:type="dxa"/>
            <w:tcBorders>
              <w:top w:val="single" w:sz="4" w:space="0" w:color="auto"/>
              <w:left w:val="single" w:sz="4" w:space="0" w:color="auto"/>
              <w:right w:val="single" w:sz="4" w:space="0" w:color="auto"/>
            </w:tcBorders>
            <w:shd w:val="clear" w:color="auto" w:fill="FFFFFF"/>
          </w:tcPr>
          <w:p w14:paraId="439B7C8F" w14:textId="77777777" w:rsidR="008C76E0" w:rsidRPr="00BD7577" w:rsidRDefault="008C76E0" w:rsidP="008C76E0">
            <w:pPr>
              <w:spacing w:after="120" w:line="240" w:lineRule="auto"/>
              <w:rPr>
                <w:rFonts w:ascii="Sylfaen" w:hAnsi="Sylfaen"/>
                <w:sz w:val="24"/>
                <w:szCs w:val="24"/>
              </w:rPr>
            </w:pPr>
          </w:p>
        </w:tc>
      </w:tr>
      <w:tr w:rsidR="008C76E0" w:rsidRPr="00BD7577" w14:paraId="65F93C76" w14:textId="77777777" w:rsidTr="008C76E0">
        <w:trPr>
          <w:jc w:val="center"/>
        </w:trPr>
        <w:tc>
          <w:tcPr>
            <w:tcW w:w="4795" w:type="dxa"/>
            <w:tcBorders>
              <w:top w:val="single" w:sz="4" w:space="0" w:color="auto"/>
              <w:left w:val="single" w:sz="4" w:space="0" w:color="auto"/>
              <w:bottom w:val="single" w:sz="4" w:space="0" w:color="auto"/>
            </w:tcBorders>
            <w:shd w:val="clear" w:color="auto" w:fill="FFFFFF"/>
          </w:tcPr>
          <w:p w14:paraId="70A99F7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Մեկնաբանությունների համար վերջնաժամկետը՝</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3657EBAE" w14:textId="77777777" w:rsidR="008C76E0" w:rsidRPr="00BD7577" w:rsidRDefault="008C76E0" w:rsidP="008C76E0">
            <w:pPr>
              <w:spacing w:after="120" w:line="240" w:lineRule="auto"/>
              <w:rPr>
                <w:rFonts w:ascii="Sylfaen" w:hAnsi="Sylfaen"/>
                <w:sz w:val="24"/>
                <w:szCs w:val="24"/>
              </w:rPr>
            </w:pPr>
          </w:p>
        </w:tc>
      </w:tr>
    </w:tbl>
    <w:p w14:paraId="25917B4C" w14:textId="77777777" w:rsidR="008C76E0" w:rsidRPr="00BD7577" w:rsidRDefault="008C76E0" w:rsidP="008C76E0">
      <w:pPr>
        <w:rPr>
          <w:rFonts w:ascii="Sylfaen" w:hAnsi="Sylfaen"/>
          <w:sz w:val="24"/>
          <w:szCs w:val="24"/>
        </w:rPr>
      </w:pPr>
      <w:r w:rsidRPr="00BD7577">
        <w:rPr>
          <w:rFonts w:ascii="Sylfaen" w:hAnsi="Sylfaen"/>
          <w:sz w:val="24"/>
          <w:szCs w:val="24"/>
        </w:rPr>
        <w:br w:type="page"/>
      </w:r>
    </w:p>
    <w:p w14:paraId="5933D2D2" w14:textId="77777777" w:rsidR="008C76E0" w:rsidRPr="00BD7577" w:rsidRDefault="008C76E0" w:rsidP="008C76E0">
      <w:pPr>
        <w:rPr>
          <w:rFonts w:ascii="Sylfaen" w:hAnsi="Sylfaen"/>
          <w:sz w:val="24"/>
          <w:szCs w:val="24"/>
        </w:rPr>
      </w:pPr>
      <w:r w:rsidRPr="00BD7577">
        <w:rPr>
          <w:rFonts w:ascii="Sylfaen" w:hAnsi="Sylfaen"/>
          <w:sz w:val="24"/>
          <w:szCs w:val="24"/>
        </w:rPr>
        <w:lastRenderedPageBreak/>
        <w:t>ՀԱՊԱՎՈՒՄՆԵՐԻ ՑԱՆԿԸ</w:t>
      </w:r>
    </w:p>
    <w:p w14:paraId="342BB5A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BE5A390"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3C08C81"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CDAE56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49EED7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008DAA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0EB90C2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C1381E4"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36AE63D"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70F86E7"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9B73678"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74B15875"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29B698D" w14:textId="77777777" w:rsidR="008C76E0" w:rsidRPr="00BD7577" w:rsidRDefault="008C76E0" w:rsidP="00305C5C">
      <w:pPr>
        <w:spacing w:after="160" w:line="360" w:lineRule="auto"/>
        <w:ind w:left="567" w:right="565"/>
        <w:jc w:val="center"/>
        <w:rPr>
          <w:rFonts w:ascii="Sylfaen" w:hAnsi="Sylfaen"/>
          <w:sz w:val="24"/>
          <w:szCs w:val="24"/>
        </w:rPr>
      </w:pPr>
      <w:r w:rsidRPr="00BD7577">
        <w:rPr>
          <w:rFonts w:ascii="Sylfaen" w:hAnsi="Sylfaen"/>
          <w:sz w:val="24"/>
          <w:szCs w:val="24"/>
        </w:rPr>
        <w:lastRenderedPageBreak/>
        <w:t>I. ԿՐԻՏԻԿԱԿԱՆ ԳՆԱՀԱՏՈՒՄՆ ՈՒ ՈՐԱԿԻ ՓՈՐՁԱՔՆՆՈՒԹՅՈՒՆԸ</w:t>
      </w:r>
    </w:p>
    <w:p w14:paraId="2F2D398A" w14:textId="77777777" w:rsidR="008C76E0" w:rsidRPr="00BD7577" w:rsidRDefault="008C76E0" w:rsidP="00305C5C">
      <w:pPr>
        <w:spacing w:after="160" w:line="360" w:lineRule="auto"/>
        <w:jc w:val="center"/>
        <w:rPr>
          <w:rFonts w:ascii="Sylfaen" w:hAnsi="Sylfaen"/>
          <w:sz w:val="24"/>
          <w:szCs w:val="24"/>
        </w:rPr>
      </w:pPr>
      <w:r w:rsidRPr="00BD7577">
        <w:rPr>
          <w:rFonts w:ascii="Sylfaen" w:hAnsi="Sylfaen"/>
          <w:sz w:val="24"/>
          <w:szCs w:val="24"/>
        </w:rPr>
        <w:t>1. Դեղագործական արտադրության տեսչական ստուգման անցկացման հարցումը՝ նախքան գրանցման հավաստագիր տալը</w:t>
      </w:r>
    </w:p>
    <w:p w14:paraId="75052B83" w14:textId="77777777" w:rsidR="008C76E0" w:rsidRPr="00BD7577" w:rsidRDefault="008C76E0" w:rsidP="00305C5C">
      <w:pPr>
        <w:widowControl/>
        <w:autoSpaceDE w:val="0"/>
        <w:autoSpaceDN w:val="0"/>
        <w:adjustRightInd w:val="0"/>
        <w:spacing w:after="160" w:line="360" w:lineRule="auto"/>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62632C43"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11A5E0E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3B2D517" w14:textId="77777777" w:rsidR="008C76E0" w:rsidRPr="00BD7577" w:rsidRDefault="008C76E0" w:rsidP="008C76E0">
      <w:pPr>
        <w:jc w:val="center"/>
        <w:rPr>
          <w:rFonts w:ascii="Sylfaen" w:hAnsi="Sylfaen"/>
          <w:sz w:val="24"/>
          <w:szCs w:val="24"/>
        </w:rPr>
      </w:pPr>
      <w:r w:rsidRPr="00BD7577">
        <w:rPr>
          <w:rFonts w:ascii="Sylfaen" w:hAnsi="Sylfaen"/>
          <w:sz w:val="24"/>
          <w:szCs w:val="24"/>
        </w:rPr>
        <w:t>2. Ներածություն</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8"/>
        <w:gridCol w:w="2280"/>
      </w:tblGrid>
      <w:tr w:rsidR="008C76E0" w:rsidRPr="00BD7577" w14:paraId="74FB3FF1" w14:textId="77777777" w:rsidTr="008C76E0">
        <w:trPr>
          <w:jc w:val="center"/>
        </w:trPr>
        <w:tc>
          <w:tcPr>
            <w:tcW w:w="7248" w:type="dxa"/>
            <w:tcBorders>
              <w:top w:val="single" w:sz="4" w:space="0" w:color="auto"/>
              <w:left w:val="single" w:sz="4" w:space="0" w:color="auto"/>
            </w:tcBorders>
            <w:shd w:val="clear" w:color="auto" w:fill="FFFFFF"/>
          </w:tcPr>
          <w:p w14:paraId="1EA5A9E6"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Անվանումը՝</w:t>
            </w:r>
          </w:p>
        </w:tc>
        <w:tc>
          <w:tcPr>
            <w:tcW w:w="2280" w:type="dxa"/>
            <w:tcBorders>
              <w:top w:val="single" w:sz="4" w:space="0" w:color="auto"/>
              <w:left w:val="single" w:sz="4" w:space="0" w:color="auto"/>
              <w:right w:val="single" w:sz="4" w:space="0" w:color="auto"/>
            </w:tcBorders>
            <w:shd w:val="clear" w:color="auto" w:fill="FFFFFF"/>
          </w:tcPr>
          <w:p w14:paraId="5473AE86" w14:textId="77777777" w:rsidR="008C76E0" w:rsidRPr="00BD7577" w:rsidRDefault="008C76E0" w:rsidP="008C76E0">
            <w:pPr>
              <w:spacing w:after="120" w:line="240" w:lineRule="auto"/>
              <w:rPr>
                <w:rFonts w:ascii="Sylfaen" w:hAnsi="Sylfaen"/>
                <w:sz w:val="24"/>
                <w:szCs w:val="24"/>
              </w:rPr>
            </w:pPr>
          </w:p>
        </w:tc>
      </w:tr>
      <w:tr w:rsidR="008C76E0" w:rsidRPr="00BD7577" w14:paraId="60568469" w14:textId="77777777" w:rsidTr="008C76E0">
        <w:trPr>
          <w:jc w:val="center"/>
        </w:trPr>
        <w:tc>
          <w:tcPr>
            <w:tcW w:w="7248" w:type="dxa"/>
            <w:tcBorders>
              <w:top w:val="single" w:sz="4" w:space="0" w:color="auto"/>
              <w:left w:val="single" w:sz="4" w:space="0" w:color="auto"/>
            </w:tcBorders>
            <w:shd w:val="clear" w:color="auto" w:fill="FFFFFF"/>
            <w:vAlign w:val="bottom"/>
          </w:tcPr>
          <w:p w14:paraId="65D0E4A7"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դոզան (կոնցենտրացիան)՝</w:t>
            </w:r>
          </w:p>
        </w:tc>
        <w:tc>
          <w:tcPr>
            <w:tcW w:w="2280" w:type="dxa"/>
            <w:tcBorders>
              <w:top w:val="single" w:sz="4" w:space="0" w:color="auto"/>
              <w:left w:val="single" w:sz="4" w:space="0" w:color="auto"/>
              <w:right w:val="single" w:sz="4" w:space="0" w:color="auto"/>
            </w:tcBorders>
            <w:shd w:val="clear" w:color="auto" w:fill="FFFFFF"/>
          </w:tcPr>
          <w:p w14:paraId="19E0CE49" w14:textId="77777777" w:rsidR="008C76E0" w:rsidRPr="00BD7577" w:rsidRDefault="008C76E0" w:rsidP="008C76E0">
            <w:pPr>
              <w:spacing w:after="120" w:line="240" w:lineRule="auto"/>
              <w:rPr>
                <w:rFonts w:ascii="Sylfaen" w:hAnsi="Sylfaen"/>
                <w:sz w:val="24"/>
                <w:szCs w:val="24"/>
              </w:rPr>
            </w:pPr>
          </w:p>
        </w:tc>
      </w:tr>
      <w:tr w:rsidR="008C76E0" w:rsidRPr="00BD7577" w14:paraId="12C961C5" w14:textId="77777777" w:rsidTr="008C76E0">
        <w:trPr>
          <w:jc w:val="center"/>
        </w:trPr>
        <w:tc>
          <w:tcPr>
            <w:tcW w:w="7248" w:type="dxa"/>
            <w:tcBorders>
              <w:top w:val="single" w:sz="4" w:space="0" w:color="auto"/>
              <w:left w:val="single" w:sz="4" w:space="0" w:color="auto"/>
            </w:tcBorders>
            <w:shd w:val="clear" w:color="auto" w:fill="FFFFFF"/>
            <w:vAlign w:val="bottom"/>
          </w:tcPr>
          <w:p w14:paraId="72228B5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Գրանցման ընթացակարգը՝</w:t>
            </w:r>
          </w:p>
        </w:tc>
        <w:tc>
          <w:tcPr>
            <w:tcW w:w="2280" w:type="dxa"/>
            <w:tcBorders>
              <w:top w:val="single" w:sz="4" w:space="0" w:color="auto"/>
              <w:left w:val="single" w:sz="4" w:space="0" w:color="auto"/>
              <w:right w:val="single" w:sz="4" w:space="0" w:color="auto"/>
            </w:tcBorders>
            <w:shd w:val="clear" w:color="auto" w:fill="FFFFFF"/>
          </w:tcPr>
          <w:p w14:paraId="324817E4" w14:textId="77777777" w:rsidR="008C76E0" w:rsidRPr="00BD7577" w:rsidRDefault="008C76E0" w:rsidP="008C76E0">
            <w:pPr>
              <w:spacing w:after="120" w:line="240" w:lineRule="auto"/>
              <w:rPr>
                <w:rFonts w:ascii="Sylfaen" w:hAnsi="Sylfaen"/>
                <w:sz w:val="24"/>
                <w:szCs w:val="24"/>
              </w:rPr>
            </w:pPr>
          </w:p>
        </w:tc>
      </w:tr>
      <w:tr w:rsidR="008C76E0" w:rsidRPr="00BD7577" w14:paraId="4123779E" w14:textId="77777777" w:rsidTr="008C76E0">
        <w:trPr>
          <w:jc w:val="center"/>
        </w:trPr>
        <w:tc>
          <w:tcPr>
            <w:tcW w:w="7248" w:type="dxa"/>
            <w:tcBorders>
              <w:top w:val="single" w:sz="4" w:space="0" w:color="auto"/>
              <w:left w:val="single" w:sz="4" w:space="0" w:color="auto"/>
            </w:tcBorders>
            <w:shd w:val="clear" w:color="auto" w:fill="FFFFFF"/>
            <w:vAlign w:val="bottom"/>
          </w:tcPr>
          <w:p w14:paraId="52B8712C"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դասը կամ ցուցումը՝</w:t>
            </w:r>
          </w:p>
        </w:tc>
        <w:tc>
          <w:tcPr>
            <w:tcW w:w="2280" w:type="dxa"/>
            <w:tcBorders>
              <w:top w:val="single" w:sz="4" w:space="0" w:color="auto"/>
              <w:left w:val="single" w:sz="4" w:space="0" w:color="auto"/>
              <w:right w:val="single" w:sz="4" w:space="0" w:color="auto"/>
            </w:tcBorders>
            <w:shd w:val="clear" w:color="auto" w:fill="FFFFFF"/>
          </w:tcPr>
          <w:p w14:paraId="08DA7E14" w14:textId="77777777" w:rsidR="008C76E0" w:rsidRPr="00BD7577" w:rsidRDefault="008C76E0" w:rsidP="008C76E0">
            <w:pPr>
              <w:spacing w:after="120" w:line="240" w:lineRule="auto"/>
              <w:rPr>
                <w:rFonts w:ascii="Sylfaen" w:hAnsi="Sylfaen"/>
                <w:sz w:val="24"/>
                <w:szCs w:val="24"/>
              </w:rPr>
            </w:pPr>
          </w:p>
        </w:tc>
      </w:tr>
      <w:tr w:rsidR="008C76E0" w:rsidRPr="00BD7577" w14:paraId="0D545446" w14:textId="77777777" w:rsidTr="008C76E0">
        <w:trPr>
          <w:jc w:val="center"/>
        </w:trPr>
        <w:tc>
          <w:tcPr>
            <w:tcW w:w="7248" w:type="dxa"/>
            <w:tcBorders>
              <w:top w:val="single" w:sz="4" w:space="0" w:color="auto"/>
              <w:left w:val="single" w:sz="4" w:space="0" w:color="auto"/>
              <w:bottom w:val="single" w:sz="4" w:space="0" w:color="auto"/>
            </w:tcBorders>
            <w:shd w:val="clear" w:color="auto" w:fill="FFFFFF"/>
            <w:vAlign w:val="bottom"/>
          </w:tcPr>
          <w:p w14:paraId="08B0C4A4" w14:textId="77777777" w:rsidR="008C76E0" w:rsidRPr="00BD7577" w:rsidRDefault="008C76E0" w:rsidP="008C76E0">
            <w:pPr>
              <w:pStyle w:val="Bodytext180"/>
              <w:shd w:val="clear" w:color="auto" w:fill="auto"/>
              <w:spacing w:before="0" w:after="120" w:line="240" w:lineRule="auto"/>
              <w:ind w:left="77" w:firstLine="0"/>
              <w:rPr>
                <w:rFonts w:ascii="Sylfaen" w:hAnsi="Sylfaen"/>
                <w:b w:val="0"/>
                <w:sz w:val="24"/>
                <w:szCs w:val="24"/>
              </w:rPr>
            </w:pPr>
            <w:r w:rsidRPr="00BD7577">
              <w:rPr>
                <w:rStyle w:val="Bodytext295pt"/>
                <w:rFonts w:ascii="Sylfaen" w:hAnsi="Sylfaen"/>
                <w:spacing w:val="0"/>
                <w:sz w:val="24"/>
                <w:szCs w:val="24"/>
              </w:rPr>
              <w:t>Դոզաների ենթադրյալ ընդգրկույթը՝</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00746BB3" w14:textId="77777777" w:rsidR="008C76E0" w:rsidRPr="00BD7577" w:rsidRDefault="008C76E0" w:rsidP="008C76E0">
            <w:pPr>
              <w:spacing w:after="120" w:line="240" w:lineRule="auto"/>
              <w:rPr>
                <w:rFonts w:ascii="Sylfaen" w:hAnsi="Sylfaen"/>
                <w:sz w:val="24"/>
                <w:szCs w:val="24"/>
              </w:rPr>
            </w:pPr>
          </w:p>
        </w:tc>
      </w:tr>
    </w:tbl>
    <w:p w14:paraId="7731B547" w14:textId="77777777" w:rsidR="008C76E0" w:rsidRPr="00BD7577" w:rsidRDefault="008C76E0" w:rsidP="008C76E0">
      <w:pPr>
        <w:rPr>
          <w:rFonts w:ascii="Sylfaen" w:hAnsi="Sylfaen"/>
          <w:sz w:val="24"/>
          <w:szCs w:val="24"/>
        </w:rPr>
      </w:pPr>
    </w:p>
    <w:p w14:paraId="490464CF" w14:textId="77777777" w:rsidR="008C76E0" w:rsidRPr="00BD7577" w:rsidRDefault="008C76E0" w:rsidP="008C76E0">
      <w:pPr>
        <w:ind w:left="1701" w:right="1699"/>
        <w:jc w:val="center"/>
        <w:rPr>
          <w:rFonts w:ascii="Sylfaen" w:hAnsi="Sylfaen"/>
          <w:sz w:val="24"/>
          <w:szCs w:val="24"/>
        </w:rPr>
      </w:pPr>
      <w:r w:rsidRPr="00BD7577">
        <w:rPr>
          <w:rFonts w:ascii="Sylfaen" w:hAnsi="Sylfaen"/>
          <w:sz w:val="24"/>
          <w:szCs w:val="24"/>
        </w:rPr>
        <w:t>3. Ակտիվ դեղագործական բաղադրամաս</w:t>
      </w:r>
      <w:r w:rsidRPr="00BD7577">
        <w:rPr>
          <w:rFonts w:ascii="Sylfaen" w:hAnsi="Sylfaen"/>
          <w:sz w:val="24"/>
          <w:szCs w:val="24"/>
        </w:rPr>
        <w:br/>
        <w:t>(ԱԴՍ, մոդուլ 3.2.S)</w:t>
      </w:r>
    </w:p>
    <w:p w14:paraId="489C2CBE"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2A6D632B"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p w14:paraId="418242E9" w14:textId="77777777" w:rsidR="008C76E0" w:rsidRPr="00BD7577" w:rsidRDefault="008C76E0" w:rsidP="008C76E0">
      <w:pPr>
        <w:widowControl/>
        <w:autoSpaceDE w:val="0"/>
        <w:autoSpaceDN w:val="0"/>
        <w:adjustRightInd w:val="0"/>
        <w:jc w:val="both"/>
        <w:rPr>
          <w:rFonts w:ascii="Sylfaen" w:hAnsi="Sylfaen" w:cs="Times New Roman"/>
          <w:sz w:val="24"/>
          <w:szCs w:val="24"/>
        </w:rPr>
      </w:pPr>
      <w:r w:rsidRPr="00BD7577">
        <w:rPr>
          <w:rFonts w:ascii="Sylfaen" w:hAnsi="Sylfaen"/>
          <w:sz w:val="24"/>
          <w:szCs w:val="24"/>
        </w:rPr>
        <w:t>___________________________________________________________________________</w:t>
      </w:r>
    </w:p>
    <w:tbl>
      <w:tblPr>
        <w:tblStyle w:val="TableGrid"/>
        <w:tblW w:w="9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8"/>
      </w:tblGrid>
      <w:tr w:rsidR="008C76E0" w:rsidRPr="00BD7577" w14:paraId="503A1048" w14:textId="77777777" w:rsidTr="008C76E0">
        <w:trPr>
          <w:jc w:val="center"/>
        </w:trPr>
        <w:tc>
          <w:tcPr>
            <w:tcW w:w="2835" w:type="dxa"/>
          </w:tcPr>
          <w:p w14:paraId="3D4DB9C3" w14:textId="77777777" w:rsidR="008C76E0" w:rsidRPr="00BD7577" w:rsidRDefault="008C76E0" w:rsidP="008C76E0">
            <w:pPr>
              <w:spacing w:after="160" w:line="360" w:lineRule="auto"/>
              <w:ind w:right="-108"/>
              <w:rPr>
                <w:rFonts w:ascii="Sylfaen" w:hAnsi="Sylfaen"/>
                <w:sz w:val="24"/>
                <w:szCs w:val="24"/>
              </w:rPr>
            </w:pPr>
            <w:r w:rsidRPr="00BD7577">
              <w:rPr>
                <w:rFonts w:ascii="Sylfaen" w:hAnsi="Sylfaen"/>
                <w:sz w:val="24"/>
                <w:szCs w:val="24"/>
              </w:rPr>
              <w:t>Ծանոթագրություններ՝</w:t>
            </w:r>
          </w:p>
        </w:tc>
        <w:tc>
          <w:tcPr>
            <w:tcW w:w="6378" w:type="dxa"/>
          </w:tcPr>
          <w:p w14:paraId="69DC54DD"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Հարկ է նշել, թե արդյոք ներկայացվել են Եվրոպական դեղագրքի մենագրությանը (այսուհետ՝ СЕР) համապատասխանության Հավաստագիրը կամ Ակտիվ դեղագործական բաղադրամասի դոսյեն (այսուհետ ԱԴԲԴ) կամ ակտիվ դեղագործական բաղադրամասի մասին ամբողջական տեղեկատվությունը:</w:t>
            </w:r>
          </w:p>
          <w:p w14:paraId="44B0991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 xml:space="preserve">Ակտիվ դեղագործական բաղադրամասի մաստեր-ֆայլը (այսուհետ ԱԴԲՄՖ) օգտագործելիս հարկ է նշել, </w:t>
            </w:r>
            <w:r w:rsidRPr="00BD7577">
              <w:rPr>
                <w:rFonts w:ascii="Sylfaen" w:hAnsi="Sylfaen"/>
                <w:sz w:val="24"/>
                <w:szCs w:val="24"/>
              </w:rPr>
              <w:lastRenderedPageBreak/>
              <w:t xml:space="preserve">որ դրա գնահատումը ներկայացվում է ԱԴԲՄՖ-ի կրիտիկական գնահատման առանձին հաշվետվության մեջ՝ փաստաթղթի փակ մասին առնչվող գաղտնի հավելվածով: </w:t>
            </w:r>
          </w:p>
          <w:p w14:paraId="45EF173F"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Դոսյեում մի քանի ԱԴԲՄՖ-ների վերաբերյալ տեղեկությունների առկայության դեպքում յուրաքանչյուր ԱԴԲՄՖ-ի համար ներկայացվում է առանձին հաշվետվություն:</w:t>
            </w:r>
          </w:p>
          <w:p w14:paraId="005BB5B1" w14:textId="7777777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Դիտարկվող դեղապատրաստուկի վերաբերյալ անհրաժեշտ է ներկայացնել տեղեկություններ՝ գաղտնի տեղեկատվության հասանելիության վերաբերյալ:</w:t>
            </w:r>
          </w:p>
          <w:p w14:paraId="5955E6B2" w14:textId="35C2140F"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անհրաժեշտ է լրացնել միայն հաշվետվության «Ակտիվ դեղագործական բաղադրամասի որակի հսկողություն» 3.4-րդ </w:t>
            </w:r>
            <w:r w:rsidR="00C54D75">
              <w:rPr>
                <w:rFonts w:ascii="Sylfaen" w:hAnsi="Sylfaen"/>
                <w:sz w:val="24"/>
                <w:szCs w:val="24"/>
              </w:rPr>
              <w:t>և</w:t>
            </w:r>
            <w:r w:rsidRPr="00BD7577">
              <w:rPr>
                <w:rFonts w:ascii="Sylfaen" w:hAnsi="Sylfaen"/>
                <w:sz w:val="24"/>
                <w:szCs w:val="24"/>
              </w:rPr>
              <w:t xml:space="preserve"> «Ստանդարտ նմուշներ կամ նյութեր» 3.5-րդ բաժինները, որոնք կապված են դեղապատրաստուկի արտադրության հետ, եթե </w:t>
            </w:r>
            <w:r w:rsidR="0056496B">
              <w:rPr>
                <w:rFonts w:ascii="Sylfaen" w:hAnsi="Sylfaen"/>
                <w:sz w:val="24"/>
                <w:szCs w:val="24"/>
              </w:rPr>
              <w:t>դիմումատու</w:t>
            </w:r>
            <w:r w:rsidRPr="00BD7577">
              <w:rPr>
                <w:rFonts w:ascii="Sylfaen" w:hAnsi="Sylfaen"/>
                <w:sz w:val="24"/>
                <w:szCs w:val="24"/>
              </w:rPr>
              <w:t>ն չի տրամադրել լրացուցիչ տվյալներ՝ մասնավորապես գերհսկողության առավել տ</w:t>
            </w:r>
            <w:r w:rsidR="00C54D75">
              <w:rPr>
                <w:rFonts w:ascii="Sylfaen" w:hAnsi="Sylfaen"/>
                <w:sz w:val="24"/>
                <w:szCs w:val="24"/>
              </w:rPr>
              <w:t>և</w:t>
            </w:r>
            <w:r w:rsidRPr="00BD7577">
              <w:rPr>
                <w:rFonts w:ascii="Sylfaen" w:hAnsi="Sylfaen"/>
                <w:sz w:val="24"/>
                <w:szCs w:val="24"/>
              </w:rPr>
              <w:t xml:space="preserve">ական ժամանակահատվածի հաստատման համար կայունության մասին տվյալներ` 3.2.S.7 բաժնին համապատասխան: </w:t>
            </w:r>
          </w:p>
          <w:p w14:paraId="4F8018A0" w14:textId="17B4AE74" w:rsidR="008C76E0" w:rsidRPr="00BD7577" w:rsidRDefault="008C76E0" w:rsidP="008C76E0">
            <w:pPr>
              <w:tabs>
                <w:tab w:val="left" w:pos="459"/>
              </w:tabs>
              <w:spacing w:after="160" w:line="336" w:lineRule="auto"/>
              <w:jc w:val="both"/>
              <w:rPr>
                <w:rFonts w:ascii="Sylfaen" w:hAnsi="Sylfaen"/>
                <w:sz w:val="24"/>
                <w:szCs w:val="24"/>
              </w:rPr>
            </w:pPr>
            <w:r w:rsidRPr="00BD7577">
              <w:rPr>
                <w:rFonts w:ascii="Sylfaen" w:hAnsi="Sylfaen"/>
                <w:sz w:val="24"/>
                <w:szCs w:val="24"/>
              </w:rPr>
              <w:t>6.</w:t>
            </w:r>
            <w:r w:rsidRPr="00BD7577">
              <w:rPr>
                <w:rFonts w:ascii="Sylfaen" w:hAnsi="Sylfaen"/>
                <w:sz w:val="24"/>
                <w:szCs w:val="24"/>
              </w:rPr>
              <w:tab/>
              <w:t xml:space="preserve">ԱԴԲՄՖ հաշվետվությունների փակ մասի վերաբերյալ հարցերը չեն ուղարկվում </w:t>
            </w:r>
            <w:r w:rsidR="0056496B">
              <w:rPr>
                <w:rFonts w:ascii="Sylfaen" w:hAnsi="Sylfaen"/>
                <w:sz w:val="24"/>
                <w:szCs w:val="24"/>
              </w:rPr>
              <w:t>դիմումատու</w:t>
            </w:r>
            <w:r w:rsidRPr="00BD7577">
              <w:rPr>
                <w:rFonts w:ascii="Sylfaen" w:hAnsi="Sylfaen"/>
                <w:sz w:val="24"/>
                <w:szCs w:val="24"/>
              </w:rPr>
              <w:t>ին, այլ բացառապես ուղարկվում են ակտիվ դեղագործական բաղադրամասի համապատասխան արտադրողին (ԱԴԲՄՖ-ի սեփականատիրոջը):</w:t>
            </w:r>
          </w:p>
          <w:p w14:paraId="003D91D0" w14:textId="41E422A7"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7.</w:t>
            </w:r>
            <w:r w:rsidRPr="00BD7577">
              <w:rPr>
                <w:rFonts w:ascii="Sylfaen" w:hAnsi="Sylfaen"/>
                <w:sz w:val="24"/>
                <w:szCs w:val="24"/>
              </w:rPr>
              <w:tab/>
              <w:t xml:space="preserve">СЕР-ը </w:t>
            </w:r>
            <w:r w:rsidR="00C54D75">
              <w:rPr>
                <w:rFonts w:ascii="Sylfaen" w:hAnsi="Sylfaen"/>
                <w:sz w:val="24"/>
                <w:szCs w:val="24"/>
              </w:rPr>
              <w:t>և</w:t>
            </w:r>
            <w:r w:rsidRPr="00BD7577">
              <w:rPr>
                <w:rFonts w:ascii="Sylfaen" w:hAnsi="Sylfaen"/>
                <w:sz w:val="24"/>
                <w:szCs w:val="24"/>
              </w:rPr>
              <w:t xml:space="preserve"> ԱԴԲՄՖ-ն օգտագործելիս հարկ է ճշգրտել աղբյուրը (</w:t>
            </w:r>
            <w:r w:rsidR="0056496B">
              <w:rPr>
                <w:rFonts w:ascii="Sylfaen" w:hAnsi="Sylfaen"/>
                <w:sz w:val="24"/>
                <w:szCs w:val="24"/>
              </w:rPr>
              <w:t>դիմումատու</w:t>
            </w:r>
            <w:r w:rsidRPr="00BD7577">
              <w:rPr>
                <w:rFonts w:ascii="Sylfaen" w:hAnsi="Sylfaen"/>
                <w:sz w:val="24"/>
                <w:szCs w:val="24"/>
              </w:rPr>
              <w:t xml:space="preserve">ն, ԱԴՍՄՖ-ի սեփականատերը </w:t>
            </w:r>
            <w:r w:rsidRPr="00BD7577">
              <w:rPr>
                <w:rFonts w:ascii="Sylfaen" w:hAnsi="Sylfaen"/>
                <w:sz w:val="24"/>
                <w:szCs w:val="24"/>
              </w:rPr>
              <w:lastRenderedPageBreak/>
              <w:t xml:space="preserve">կամ СЕР-ի տերը) </w:t>
            </w:r>
            <w:r w:rsidR="00C54D75">
              <w:rPr>
                <w:rFonts w:ascii="Sylfaen" w:hAnsi="Sylfaen"/>
                <w:sz w:val="24"/>
                <w:szCs w:val="24"/>
              </w:rPr>
              <w:t>և</w:t>
            </w:r>
            <w:r w:rsidRPr="00BD7577">
              <w:rPr>
                <w:rFonts w:ascii="Sylfaen" w:hAnsi="Sylfaen"/>
                <w:sz w:val="24"/>
                <w:szCs w:val="24"/>
              </w:rPr>
              <w:t xml:space="preserve"> կրիտիկական գնահատման մասին հաշվետվություն կազմելու համար՝ տեղեկությունների մանրամասնեցման մակարդակը: </w:t>
            </w:r>
          </w:p>
          <w:p w14:paraId="550F8A50" w14:textId="582E6671" w:rsidR="008C76E0" w:rsidRPr="00BD7577" w:rsidRDefault="008C76E0" w:rsidP="008C76E0">
            <w:pPr>
              <w:tabs>
                <w:tab w:val="left" w:pos="459"/>
              </w:tabs>
              <w:spacing w:after="160" w:line="360" w:lineRule="auto"/>
              <w:ind w:right="-1"/>
              <w:jc w:val="both"/>
              <w:rPr>
                <w:rFonts w:ascii="Sylfaen" w:hAnsi="Sylfaen"/>
                <w:sz w:val="24"/>
                <w:szCs w:val="24"/>
              </w:rPr>
            </w:pPr>
            <w:r w:rsidRPr="00BD7577">
              <w:rPr>
                <w:rFonts w:ascii="Sylfaen" w:hAnsi="Sylfaen"/>
                <w:sz w:val="24"/>
                <w:szCs w:val="24"/>
              </w:rPr>
              <w:t>8.</w:t>
            </w:r>
            <w:r w:rsidRPr="00BD7577">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BD7577">
              <w:rPr>
                <w:rFonts w:ascii="Sylfaen" w:hAnsi="Sylfaen"/>
                <w:sz w:val="24"/>
                <w:szCs w:val="24"/>
              </w:rPr>
              <w:t xml:space="preserve"> արտացոլի </w:t>
            </w:r>
            <w:r w:rsidR="0056496B">
              <w:rPr>
                <w:rFonts w:ascii="Sylfaen" w:hAnsi="Sylfaen"/>
                <w:sz w:val="24"/>
                <w:szCs w:val="24"/>
              </w:rPr>
              <w:t>դիմումատու</w:t>
            </w:r>
            <w:r w:rsidRPr="00BD7577">
              <w:rPr>
                <w:rFonts w:ascii="Sylfaen" w:hAnsi="Sylfaen"/>
                <w:sz w:val="24"/>
                <w:szCs w:val="24"/>
              </w:rPr>
              <w:t xml:space="preserve">ի կողմից ներկայացված լրացուցիչ տեղեկատվությունը, որը ներառված չէ ԱԴԲՄՖ-ի տիրոջ կողմից ներկայացվող փաստաթղթի բաց մասում: Եթե </w:t>
            </w:r>
            <w:r w:rsidR="0056496B">
              <w:rPr>
                <w:rFonts w:ascii="Sylfaen" w:hAnsi="Sylfaen"/>
                <w:sz w:val="24"/>
                <w:szCs w:val="24"/>
              </w:rPr>
              <w:t>դիմումատու</w:t>
            </w:r>
            <w:r w:rsidRPr="00BD7577">
              <w:rPr>
                <w:rFonts w:ascii="Sylfaen" w:hAnsi="Sylfaen"/>
                <w:sz w:val="24"/>
                <w:szCs w:val="24"/>
              </w:rPr>
              <w:t xml:space="preserve">ն ներկայացնում է ակտիվ դեղագործական բաղադրամասի մասին ամբողջական տեղեկատվություն, հաշվետվության մեջ պետք է ներառվի այդ տեղեկատվության գնահատումը: </w:t>
            </w:r>
          </w:p>
        </w:tc>
      </w:tr>
    </w:tbl>
    <w:p w14:paraId="5E8F6DA0" w14:textId="77777777" w:rsidR="008C76E0" w:rsidRPr="00BD7577" w:rsidRDefault="008C76E0" w:rsidP="008C76E0">
      <w:pPr>
        <w:spacing w:line="384" w:lineRule="auto"/>
        <w:rPr>
          <w:rFonts w:ascii="Sylfaen" w:hAnsi="Sylfaen"/>
          <w:sz w:val="24"/>
          <w:szCs w:val="24"/>
        </w:rPr>
      </w:pPr>
    </w:p>
    <w:p w14:paraId="3F6D7A4D" w14:textId="77777777" w:rsidR="008C76E0" w:rsidRPr="00BD7577" w:rsidRDefault="008C76E0" w:rsidP="008C76E0">
      <w:pPr>
        <w:tabs>
          <w:tab w:val="left" w:pos="567"/>
        </w:tabs>
        <w:spacing w:line="384" w:lineRule="auto"/>
        <w:ind w:left="567" w:right="566"/>
        <w:jc w:val="center"/>
        <w:rPr>
          <w:rFonts w:ascii="Sylfaen" w:hAnsi="Sylfaen"/>
          <w:sz w:val="24"/>
          <w:szCs w:val="24"/>
        </w:rPr>
      </w:pPr>
      <w:r w:rsidRPr="00BD7577">
        <w:rPr>
          <w:rFonts w:ascii="Sylfaen" w:hAnsi="Sylfaen"/>
          <w:sz w:val="24"/>
          <w:szCs w:val="24"/>
        </w:rPr>
        <w:t xml:space="preserve">3.1. Ընդհանուր տեղեկատվություն՝ ելանյութերի </w:t>
      </w:r>
      <w:r w:rsidR="00C54D75">
        <w:rPr>
          <w:rFonts w:ascii="Sylfaen" w:hAnsi="Sylfaen"/>
          <w:sz w:val="24"/>
          <w:szCs w:val="24"/>
        </w:rPr>
        <w:t>և</w:t>
      </w:r>
      <w:r w:rsidRPr="00BD7577">
        <w:rPr>
          <w:rFonts w:ascii="Sylfaen" w:hAnsi="Sylfaen"/>
          <w:sz w:val="24"/>
          <w:szCs w:val="24"/>
        </w:rPr>
        <w:t xml:space="preserve"> հումքի մասին </w:t>
      </w:r>
      <w:r w:rsidRPr="00BD7577">
        <w:rPr>
          <w:rFonts w:ascii="Sylfaen" w:hAnsi="Sylfaen"/>
          <w:sz w:val="24"/>
          <w:szCs w:val="24"/>
        </w:rPr>
        <w:br/>
        <w:t>(մոդուլ 3.2.S.1):</w:t>
      </w:r>
    </w:p>
    <w:p w14:paraId="65F9BA61" w14:textId="77777777" w:rsidR="008C76E0" w:rsidRPr="00BD7577" w:rsidRDefault="008C76E0" w:rsidP="008C76E0">
      <w:pPr>
        <w:spacing w:line="384" w:lineRule="auto"/>
        <w:ind w:firstLine="567"/>
        <w:jc w:val="both"/>
        <w:rPr>
          <w:rFonts w:ascii="Sylfaen" w:hAnsi="Sylfaen"/>
          <w:sz w:val="24"/>
          <w:szCs w:val="24"/>
        </w:rPr>
      </w:pPr>
      <w:r w:rsidRPr="00BD7577">
        <w:rPr>
          <w:rFonts w:ascii="Sylfaen" w:hAnsi="Sylfaen"/>
          <w:sz w:val="24"/>
          <w:szCs w:val="24"/>
        </w:rPr>
        <w:t>Տեղեկատվություն՝ ԱԴԲ-ի անվանման մասին (մոդուլ S.1.1)</w:t>
      </w:r>
    </w:p>
    <w:tbl>
      <w:tblPr>
        <w:tblOverlap w:val="never"/>
        <w:tblW w:w="9569" w:type="dxa"/>
        <w:tblLayout w:type="fixed"/>
        <w:tblCellMar>
          <w:left w:w="10" w:type="dxa"/>
          <w:right w:w="10" w:type="dxa"/>
        </w:tblCellMar>
        <w:tblLook w:val="04A0" w:firstRow="1" w:lastRow="0" w:firstColumn="1" w:lastColumn="0" w:noHBand="0" w:noVBand="1"/>
      </w:tblPr>
      <w:tblGrid>
        <w:gridCol w:w="6531"/>
        <w:gridCol w:w="3038"/>
      </w:tblGrid>
      <w:tr w:rsidR="008C76E0" w:rsidRPr="00BD7577" w14:paraId="4DB76508" w14:textId="77777777" w:rsidTr="008C76E0">
        <w:tc>
          <w:tcPr>
            <w:tcW w:w="6531" w:type="dxa"/>
            <w:tcBorders>
              <w:top w:val="single" w:sz="4" w:space="0" w:color="auto"/>
              <w:left w:val="single" w:sz="4" w:space="0" w:color="auto"/>
            </w:tcBorders>
            <w:shd w:val="clear" w:color="auto" w:fill="FFFFFF"/>
          </w:tcPr>
          <w:p w14:paraId="3870165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Միջազգային չարտոնագրված անվանումը (ՄՉԱ)՝</w:t>
            </w:r>
          </w:p>
        </w:tc>
        <w:tc>
          <w:tcPr>
            <w:tcW w:w="3038" w:type="dxa"/>
            <w:tcBorders>
              <w:top w:val="single" w:sz="4" w:space="0" w:color="auto"/>
              <w:left w:val="single" w:sz="4" w:space="0" w:color="auto"/>
              <w:right w:val="single" w:sz="4" w:space="0" w:color="auto"/>
            </w:tcBorders>
            <w:shd w:val="clear" w:color="auto" w:fill="FFFFFF"/>
          </w:tcPr>
          <w:p w14:paraId="3F161884" w14:textId="77777777" w:rsidR="008C76E0" w:rsidRPr="00BD7577" w:rsidRDefault="008C76E0" w:rsidP="008C76E0">
            <w:pPr>
              <w:spacing w:after="120" w:line="288" w:lineRule="auto"/>
              <w:rPr>
                <w:rFonts w:ascii="Sylfaen" w:hAnsi="Sylfaen"/>
                <w:sz w:val="24"/>
                <w:szCs w:val="24"/>
              </w:rPr>
            </w:pPr>
          </w:p>
        </w:tc>
      </w:tr>
      <w:tr w:rsidR="008C76E0" w:rsidRPr="00BD7577" w14:paraId="0DF092FC" w14:textId="77777777" w:rsidTr="008C76E0">
        <w:tc>
          <w:tcPr>
            <w:tcW w:w="6531" w:type="dxa"/>
            <w:tcBorders>
              <w:top w:val="single" w:sz="4" w:space="0" w:color="auto"/>
              <w:left w:val="single" w:sz="4" w:space="0" w:color="auto"/>
            </w:tcBorders>
            <w:shd w:val="clear" w:color="auto" w:fill="FFFFFF"/>
          </w:tcPr>
          <w:p w14:paraId="0FABBF06"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Քիմիական անվանումը՝</w:t>
            </w:r>
          </w:p>
        </w:tc>
        <w:tc>
          <w:tcPr>
            <w:tcW w:w="3038" w:type="dxa"/>
            <w:tcBorders>
              <w:top w:val="single" w:sz="4" w:space="0" w:color="auto"/>
              <w:left w:val="single" w:sz="4" w:space="0" w:color="auto"/>
              <w:right w:val="single" w:sz="4" w:space="0" w:color="auto"/>
            </w:tcBorders>
            <w:shd w:val="clear" w:color="auto" w:fill="FFFFFF"/>
          </w:tcPr>
          <w:p w14:paraId="4ACBF7DC" w14:textId="77777777" w:rsidR="008C76E0" w:rsidRPr="00BD7577" w:rsidRDefault="008C76E0" w:rsidP="008C76E0">
            <w:pPr>
              <w:spacing w:after="120" w:line="288" w:lineRule="auto"/>
              <w:rPr>
                <w:rFonts w:ascii="Sylfaen" w:hAnsi="Sylfaen"/>
                <w:sz w:val="24"/>
                <w:szCs w:val="24"/>
              </w:rPr>
            </w:pPr>
          </w:p>
        </w:tc>
      </w:tr>
      <w:tr w:rsidR="008C76E0" w:rsidRPr="00BD7577" w14:paraId="444F543D" w14:textId="77777777" w:rsidTr="008C76E0">
        <w:tc>
          <w:tcPr>
            <w:tcW w:w="6531" w:type="dxa"/>
            <w:tcBorders>
              <w:top w:val="single" w:sz="4" w:space="0" w:color="auto"/>
              <w:left w:val="single" w:sz="4" w:space="0" w:color="auto"/>
            </w:tcBorders>
            <w:shd w:val="clear" w:color="auto" w:fill="FFFFFF"/>
          </w:tcPr>
          <w:p w14:paraId="61437BC7"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Այլ անվանում (եթե կիրառելի է)՝</w:t>
            </w:r>
          </w:p>
        </w:tc>
        <w:tc>
          <w:tcPr>
            <w:tcW w:w="3038" w:type="dxa"/>
            <w:tcBorders>
              <w:top w:val="single" w:sz="4" w:space="0" w:color="auto"/>
              <w:left w:val="single" w:sz="4" w:space="0" w:color="auto"/>
              <w:right w:val="single" w:sz="4" w:space="0" w:color="auto"/>
            </w:tcBorders>
            <w:shd w:val="clear" w:color="auto" w:fill="FFFFFF"/>
          </w:tcPr>
          <w:p w14:paraId="74F05DE7" w14:textId="77777777" w:rsidR="008C76E0" w:rsidRPr="00BD7577" w:rsidRDefault="008C76E0" w:rsidP="008C76E0">
            <w:pPr>
              <w:spacing w:after="120" w:line="288" w:lineRule="auto"/>
              <w:rPr>
                <w:rFonts w:ascii="Sylfaen" w:hAnsi="Sylfaen"/>
                <w:sz w:val="24"/>
                <w:szCs w:val="24"/>
              </w:rPr>
            </w:pPr>
          </w:p>
        </w:tc>
      </w:tr>
      <w:tr w:rsidR="008C76E0" w:rsidRPr="00BD7577" w14:paraId="55FEEE00" w14:textId="77777777" w:rsidTr="008C76E0">
        <w:tc>
          <w:tcPr>
            <w:tcW w:w="6531" w:type="dxa"/>
            <w:tcBorders>
              <w:top w:val="single" w:sz="4" w:space="0" w:color="auto"/>
              <w:left w:val="single" w:sz="4" w:space="0" w:color="auto"/>
            </w:tcBorders>
            <w:shd w:val="clear" w:color="auto" w:fill="FFFFFF"/>
          </w:tcPr>
          <w:p w14:paraId="325F829A"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Անվանումն ըստ IUPAC անվանացանկի՝</w:t>
            </w:r>
          </w:p>
        </w:tc>
        <w:tc>
          <w:tcPr>
            <w:tcW w:w="3038" w:type="dxa"/>
            <w:tcBorders>
              <w:top w:val="single" w:sz="4" w:space="0" w:color="auto"/>
              <w:left w:val="single" w:sz="4" w:space="0" w:color="auto"/>
              <w:right w:val="single" w:sz="4" w:space="0" w:color="auto"/>
            </w:tcBorders>
            <w:shd w:val="clear" w:color="auto" w:fill="FFFFFF"/>
          </w:tcPr>
          <w:p w14:paraId="15220AA4" w14:textId="77777777" w:rsidR="008C76E0" w:rsidRPr="00BD7577" w:rsidRDefault="008C76E0" w:rsidP="008C76E0">
            <w:pPr>
              <w:spacing w:after="120" w:line="288" w:lineRule="auto"/>
              <w:rPr>
                <w:rFonts w:ascii="Sylfaen" w:hAnsi="Sylfaen"/>
                <w:sz w:val="24"/>
                <w:szCs w:val="24"/>
              </w:rPr>
            </w:pPr>
          </w:p>
        </w:tc>
      </w:tr>
      <w:tr w:rsidR="008C76E0" w:rsidRPr="00BD7577" w14:paraId="42716642" w14:textId="77777777" w:rsidTr="008C76E0">
        <w:tc>
          <w:tcPr>
            <w:tcW w:w="6531" w:type="dxa"/>
            <w:tcBorders>
              <w:top w:val="single" w:sz="4" w:space="0" w:color="auto"/>
              <w:left w:val="single" w:sz="4" w:space="0" w:color="auto"/>
            </w:tcBorders>
            <w:shd w:val="clear" w:color="auto" w:fill="FFFFFF"/>
          </w:tcPr>
          <w:p w14:paraId="2FFD4739"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CAS համարը՝</w:t>
            </w:r>
          </w:p>
        </w:tc>
        <w:tc>
          <w:tcPr>
            <w:tcW w:w="3038" w:type="dxa"/>
            <w:tcBorders>
              <w:top w:val="single" w:sz="4" w:space="0" w:color="auto"/>
              <w:left w:val="single" w:sz="4" w:space="0" w:color="auto"/>
              <w:right w:val="single" w:sz="4" w:space="0" w:color="auto"/>
            </w:tcBorders>
            <w:shd w:val="clear" w:color="auto" w:fill="FFFFFF"/>
          </w:tcPr>
          <w:p w14:paraId="22A22BA7" w14:textId="77777777" w:rsidR="008C76E0" w:rsidRPr="00BD7577" w:rsidRDefault="008C76E0" w:rsidP="008C76E0">
            <w:pPr>
              <w:spacing w:after="120" w:line="288" w:lineRule="auto"/>
              <w:rPr>
                <w:rFonts w:ascii="Sylfaen" w:hAnsi="Sylfaen"/>
                <w:sz w:val="24"/>
                <w:szCs w:val="24"/>
              </w:rPr>
            </w:pPr>
          </w:p>
        </w:tc>
      </w:tr>
      <w:tr w:rsidR="008C76E0" w:rsidRPr="00BD7577" w14:paraId="26B2B4CF" w14:textId="77777777" w:rsidTr="008C76E0">
        <w:tc>
          <w:tcPr>
            <w:tcW w:w="6531" w:type="dxa"/>
            <w:tcBorders>
              <w:top w:val="single" w:sz="4" w:space="0" w:color="auto"/>
              <w:left w:val="single" w:sz="4" w:space="0" w:color="auto"/>
            </w:tcBorders>
            <w:shd w:val="clear" w:color="auto" w:fill="FFFFFF"/>
          </w:tcPr>
          <w:p w14:paraId="136CBB7C"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Լաբորատոր ծածկագիրը՝</w:t>
            </w:r>
          </w:p>
        </w:tc>
        <w:tc>
          <w:tcPr>
            <w:tcW w:w="3038" w:type="dxa"/>
            <w:tcBorders>
              <w:top w:val="single" w:sz="4" w:space="0" w:color="auto"/>
              <w:left w:val="single" w:sz="4" w:space="0" w:color="auto"/>
              <w:right w:val="single" w:sz="4" w:space="0" w:color="auto"/>
            </w:tcBorders>
            <w:shd w:val="clear" w:color="auto" w:fill="FFFFFF"/>
          </w:tcPr>
          <w:p w14:paraId="4D613ECA" w14:textId="77777777" w:rsidR="008C76E0" w:rsidRPr="00BD7577" w:rsidRDefault="008C76E0" w:rsidP="008C76E0">
            <w:pPr>
              <w:spacing w:after="120" w:line="288" w:lineRule="auto"/>
              <w:rPr>
                <w:rFonts w:ascii="Sylfaen" w:hAnsi="Sylfaen"/>
                <w:sz w:val="24"/>
                <w:szCs w:val="24"/>
              </w:rPr>
            </w:pPr>
          </w:p>
        </w:tc>
      </w:tr>
      <w:tr w:rsidR="008C76E0" w:rsidRPr="00BD7577" w14:paraId="30BB27E4" w14:textId="77777777" w:rsidTr="008C76E0">
        <w:tc>
          <w:tcPr>
            <w:tcW w:w="6531" w:type="dxa"/>
            <w:tcBorders>
              <w:top w:val="single" w:sz="4" w:space="0" w:color="auto"/>
              <w:left w:val="single" w:sz="4" w:space="0" w:color="auto"/>
            </w:tcBorders>
            <w:shd w:val="clear" w:color="auto" w:fill="FFFFFF"/>
          </w:tcPr>
          <w:p w14:paraId="30CF327B"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Մոլեկուլային բանաձ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ը՝</w:t>
            </w:r>
          </w:p>
        </w:tc>
        <w:tc>
          <w:tcPr>
            <w:tcW w:w="3038" w:type="dxa"/>
            <w:tcBorders>
              <w:top w:val="single" w:sz="4" w:space="0" w:color="auto"/>
              <w:left w:val="single" w:sz="4" w:space="0" w:color="auto"/>
              <w:right w:val="single" w:sz="4" w:space="0" w:color="auto"/>
            </w:tcBorders>
            <w:shd w:val="clear" w:color="auto" w:fill="FFFFFF"/>
          </w:tcPr>
          <w:p w14:paraId="17D064E3" w14:textId="77777777" w:rsidR="008C76E0" w:rsidRPr="00BD7577" w:rsidRDefault="008C76E0" w:rsidP="008C76E0">
            <w:pPr>
              <w:spacing w:after="120" w:line="288" w:lineRule="auto"/>
              <w:rPr>
                <w:rFonts w:ascii="Sylfaen" w:hAnsi="Sylfaen"/>
                <w:sz w:val="24"/>
                <w:szCs w:val="24"/>
              </w:rPr>
            </w:pPr>
          </w:p>
        </w:tc>
      </w:tr>
      <w:tr w:rsidR="008C76E0" w:rsidRPr="00BD7577" w14:paraId="5CFC9AF0" w14:textId="77777777" w:rsidTr="008C76E0">
        <w:tc>
          <w:tcPr>
            <w:tcW w:w="6531" w:type="dxa"/>
            <w:tcBorders>
              <w:top w:val="single" w:sz="4" w:space="0" w:color="auto"/>
              <w:left w:val="single" w:sz="4" w:space="0" w:color="auto"/>
            </w:tcBorders>
            <w:shd w:val="clear" w:color="auto" w:fill="FFFFFF"/>
          </w:tcPr>
          <w:p w14:paraId="16F61DFD" w14:textId="77777777" w:rsidR="008C76E0" w:rsidRPr="00BD7577" w:rsidRDefault="008C76E0" w:rsidP="008C76E0">
            <w:pPr>
              <w:pStyle w:val="Bodytext180"/>
              <w:shd w:val="clear" w:color="auto" w:fill="auto"/>
              <w:spacing w:before="0" w:after="120" w:line="288" w:lineRule="auto"/>
              <w:ind w:left="142" w:firstLine="0"/>
              <w:rPr>
                <w:rFonts w:ascii="Sylfaen" w:hAnsi="Sylfaen"/>
                <w:b w:val="0"/>
                <w:sz w:val="24"/>
                <w:szCs w:val="24"/>
              </w:rPr>
            </w:pPr>
            <w:r w:rsidRPr="00BD7577">
              <w:rPr>
                <w:rStyle w:val="Bodytext295pt"/>
                <w:rFonts w:ascii="Sylfaen" w:hAnsi="Sylfaen"/>
                <w:spacing w:val="0"/>
                <w:sz w:val="24"/>
                <w:szCs w:val="24"/>
              </w:rPr>
              <w:t>Հարաբերական մոլեկուլային զանգվածը՝</w:t>
            </w:r>
          </w:p>
        </w:tc>
        <w:tc>
          <w:tcPr>
            <w:tcW w:w="3038" w:type="dxa"/>
            <w:tcBorders>
              <w:top w:val="single" w:sz="4" w:space="0" w:color="auto"/>
              <w:left w:val="single" w:sz="4" w:space="0" w:color="auto"/>
              <w:right w:val="single" w:sz="4" w:space="0" w:color="auto"/>
            </w:tcBorders>
            <w:shd w:val="clear" w:color="auto" w:fill="FFFFFF"/>
          </w:tcPr>
          <w:p w14:paraId="7AE92350" w14:textId="77777777" w:rsidR="008C76E0" w:rsidRPr="00BD7577" w:rsidRDefault="008C76E0" w:rsidP="008C76E0">
            <w:pPr>
              <w:spacing w:after="120" w:line="288" w:lineRule="auto"/>
              <w:rPr>
                <w:rFonts w:ascii="Sylfaen" w:hAnsi="Sylfaen"/>
                <w:sz w:val="24"/>
                <w:szCs w:val="24"/>
              </w:rPr>
            </w:pPr>
          </w:p>
        </w:tc>
      </w:tr>
      <w:tr w:rsidR="008C76E0" w:rsidRPr="00BD7577" w14:paraId="231B5B18" w14:textId="77777777" w:rsidTr="008C76E0">
        <w:tc>
          <w:tcPr>
            <w:tcW w:w="9569" w:type="dxa"/>
            <w:gridSpan w:val="2"/>
            <w:tcBorders>
              <w:top w:val="single" w:sz="4" w:space="0" w:color="auto"/>
            </w:tcBorders>
            <w:shd w:val="clear" w:color="auto" w:fill="FFFFFF"/>
            <w:vAlign w:val="center"/>
          </w:tcPr>
          <w:p w14:paraId="61D0D229" w14:textId="77777777" w:rsidR="008C76E0" w:rsidRPr="008C76E0" w:rsidRDefault="008C76E0" w:rsidP="008C76E0">
            <w:pPr>
              <w:pStyle w:val="Bodytext180"/>
              <w:shd w:val="clear" w:color="auto" w:fill="auto"/>
              <w:spacing w:before="0" w:after="120" w:line="240" w:lineRule="auto"/>
              <w:ind w:left="142" w:firstLine="568"/>
              <w:rPr>
                <w:rFonts w:ascii="Sylfaen" w:hAnsi="Sylfaen"/>
                <w:b w:val="0"/>
                <w:sz w:val="24"/>
                <w:szCs w:val="24"/>
                <w:lang w:val="hy-AM"/>
              </w:rPr>
            </w:pPr>
            <w:r w:rsidRPr="00BD7577">
              <w:rPr>
                <w:rStyle w:val="Bodytext295pt"/>
                <w:rFonts w:ascii="Sylfaen" w:hAnsi="Sylfaen"/>
                <w:spacing w:val="0"/>
                <w:sz w:val="24"/>
                <w:szCs w:val="24"/>
              </w:rPr>
              <w:t>ԱԴԲ-ի կառուցվածքը (մոդուլ S.1.2)</w:t>
            </w:r>
          </w:p>
        </w:tc>
      </w:tr>
      <w:tr w:rsidR="008C76E0" w:rsidRPr="00BD7577" w14:paraId="049ACBB3" w14:textId="77777777" w:rsidTr="008C76E0">
        <w:tc>
          <w:tcPr>
            <w:tcW w:w="9569" w:type="dxa"/>
            <w:gridSpan w:val="2"/>
            <w:tcBorders>
              <w:top w:val="single" w:sz="4" w:space="0" w:color="auto"/>
            </w:tcBorders>
            <w:shd w:val="clear" w:color="auto" w:fill="FFFFFF"/>
          </w:tcPr>
          <w:p w14:paraId="6B826648" w14:textId="77777777" w:rsidR="008C76E0" w:rsidRPr="00BD7577" w:rsidRDefault="008C76E0" w:rsidP="008C76E0">
            <w:pPr>
              <w:spacing w:after="120" w:line="240" w:lineRule="auto"/>
              <w:ind w:left="142"/>
              <w:rPr>
                <w:rFonts w:ascii="Sylfaen" w:hAnsi="Sylfaen"/>
                <w:sz w:val="24"/>
                <w:szCs w:val="24"/>
              </w:rPr>
            </w:pPr>
          </w:p>
        </w:tc>
      </w:tr>
      <w:tr w:rsidR="008C76E0" w:rsidRPr="00BD7577" w14:paraId="31523154" w14:textId="77777777" w:rsidTr="008C76E0">
        <w:tc>
          <w:tcPr>
            <w:tcW w:w="9569" w:type="dxa"/>
            <w:gridSpan w:val="2"/>
            <w:tcBorders>
              <w:top w:val="single" w:sz="4" w:space="0" w:color="auto"/>
            </w:tcBorders>
            <w:shd w:val="clear" w:color="auto" w:fill="FFFFFF"/>
            <w:vAlign w:val="bottom"/>
          </w:tcPr>
          <w:p w14:paraId="4185491A" w14:textId="77777777" w:rsidR="008C76E0" w:rsidRPr="008C76E0" w:rsidRDefault="008C76E0" w:rsidP="008C76E0">
            <w:pPr>
              <w:pStyle w:val="Bodytext180"/>
              <w:shd w:val="clear" w:color="auto" w:fill="auto"/>
              <w:spacing w:before="0" w:after="120" w:line="240" w:lineRule="auto"/>
              <w:ind w:left="142" w:firstLine="567"/>
              <w:rPr>
                <w:rFonts w:ascii="Sylfaen" w:hAnsi="Sylfaen"/>
                <w:b w:val="0"/>
                <w:sz w:val="24"/>
                <w:szCs w:val="24"/>
                <w:lang w:val="hy-AM"/>
              </w:rPr>
            </w:pPr>
            <w:r w:rsidRPr="00BD7577">
              <w:rPr>
                <w:rStyle w:val="Bodytext295pt"/>
                <w:rFonts w:ascii="Sylfaen" w:hAnsi="Sylfaen"/>
                <w:spacing w:val="0"/>
                <w:sz w:val="24"/>
                <w:szCs w:val="24"/>
              </w:rPr>
              <w:lastRenderedPageBreak/>
              <w:t>ԱԴԲ-ի ընդհանուր հատկությունները (մոդուլ S.1.3)</w:t>
            </w:r>
          </w:p>
        </w:tc>
      </w:tr>
      <w:tr w:rsidR="008C76E0" w:rsidRPr="00BD7577" w14:paraId="03E155BB" w14:textId="77777777" w:rsidTr="008C76E0">
        <w:tc>
          <w:tcPr>
            <w:tcW w:w="6531" w:type="dxa"/>
            <w:tcBorders>
              <w:top w:val="single" w:sz="4" w:space="0" w:color="auto"/>
              <w:left w:val="single" w:sz="4" w:space="0" w:color="auto"/>
            </w:tcBorders>
            <w:shd w:val="clear" w:color="auto" w:fill="FFFFFF"/>
            <w:vAlign w:val="bottom"/>
          </w:tcPr>
          <w:p w14:paraId="393B36E9"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Ֆիզիկական բնութագրերը՝</w:t>
            </w:r>
          </w:p>
        </w:tc>
        <w:tc>
          <w:tcPr>
            <w:tcW w:w="3038" w:type="dxa"/>
            <w:tcBorders>
              <w:top w:val="single" w:sz="4" w:space="0" w:color="auto"/>
              <w:left w:val="single" w:sz="4" w:space="0" w:color="auto"/>
              <w:right w:val="single" w:sz="4" w:space="0" w:color="auto"/>
            </w:tcBorders>
            <w:shd w:val="clear" w:color="auto" w:fill="FFFFFF"/>
          </w:tcPr>
          <w:p w14:paraId="2FB668DB" w14:textId="77777777" w:rsidR="008C76E0" w:rsidRPr="00BD7577" w:rsidRDefault="008C76E0" w:rsidP="008C76E0">
            <w:pPr>
              <w:spacing w:after="120" w:line="240" w:lineRule="auto"/>
              <w:rPr>
                <w:rFonts w:ascii="Sylfaen" w:hAnsi="Sylfaen"/>
                <w:sz w:val="24"/>
                <w:szCs w:val="24"/>
              </w:rPr>
            </w:pPr>
          </w:p>
        </w:tc>
      </w:tr>
      <w:tr w:rsidR="008C76E0" w:rsidRPr="00BD7577" w14:paraId="56C21C5F" w14:textId="77777777" w:rsidTr="008C76E0">
        <w:tc>
          <w:tcPr>
            <w:tcW w:w="6531" w:type="dxa"/>
            <w:tcBorders>
              <w:top w:val="single" w:sz="4" w:space="0" w:color="auto"/>
              <w:left w:val="single" w:sz="4" w:space="0" w:color="auto"/>
            </w:tcBorders>
            <w:shd w:val="clear" w:color="auto" w:fill="FFFFFF"/>
          </w:tcPr>
          <w:p w14:paraId="76A294F0"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Լուծելիությունը՝</w:t>
            </w:r>
          </w:p>
        </w:tc>
        <w:tc>
          <w:tcPr>
            <w:tcW w:w="3038" w:type="dxa"/>
            <w:tcBorders>
              <w:top w:val="single" w:sz="4" w:space="0" w:color="auto"/>
              <w:left w:val="single" w:sz="4" w:space="0" w:color="auto"/>
              <w:right w:val="single" w:sz="4" w:space="0" w:color="auto"/>
            </w:tcBorders>
            <w:shd w:val="clear" w:color="auto" w:fill="FFFFFF"/>
          </w:tcPr>
          <w:p w14:paraId="5638A942" w14:textId="77777777" w:rsidR="008C76E0" w:rsidRPr="00BD7577" w:rsidRDefault="008C76E0" w:rsidP="008C76E0">
            <w:pPr>
              <w:spacing w:after="120" w:line="240" w:lineRule="auto"/>
              <w:rPr>
                <w:rFonts w:ascii="Sylfaen" w:hAnsi="Sylfaen"/>
                <w:sz w:val="24"/>
                <w:szCs w:val="24"/>
              </w:rPr>
            </w:pPr>
          </w:p>
        </w:tc>
      </w:tr>
      <w:tr w:rsidR="008C76E0" w:rsidRPr="00BD7577" w14:paraId="15CB4052" w14:textId="77777777" w:rsidTr="008C76E0">
        <w:tc>
          <w:tcPr>
            <w:tcW w:w="6531" w:type="dxa"/>
            <w:tcBorders>
              <w:top w:val="single" w:sz="4" w:space="0" w:color="auto"/>
              <w:left w:val="single" w:sz="4" w:space="0" w:color="auto"/>
            </w:tcBorders>
            <w:shd w:val="clear" w:color="auto" w:fill="FFFFFF"/>
          </w:tcPr>
          <w:p w14:paraId="6FC748B8"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рКа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4B3D9D60" w14:textId="77777777" w:rsidR="008C76E0" w:rsidRPr="00BD7577" w:rsidRDefault="008C76E0" w:rsidP="008C76E0">
            <w:pPr>
              <w:spacing w:after="120" w:line="240" w:lineRule="auto"/>
              <w:rPr>
                <w:rFonts w:ascii="Sylfaen" w:hAnsi="Sylfaen"/>
                <w:sz w:val="24"/>
                <w:szCs w:val="24"/>
              </w:rPr>
            </w:pPr>
          </w:p>
        </w:tc>
      </w:tr>
      <w:tr w:rsidR="008C76E0" w:rsidRPr="00BD7577" w14:paraId="2DFB0194" w14:textId="77777777" w:rsidTr="008C76E0">
        <w:tc>
          <w:tcPr>
            <w:tcW w:w="6531" w:type="dxa"/>
            <w:tcBorders>
              <w:top w:val="single" w:sz="4" w:space="0" w:color="auto"/>
              <w:left w:val="single" w:sz="4" w:space="0" w:color="auto"/>
            </w:tcBorders>
            <w:shd w:val="clear" w:color="auto" w:fill="FFFFFF"/>
          </w:tcPr>
          <w:p w14:paraId="316F5877"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рН լուծույթի արժեքը (եթե հնարավոր է)՝</w:t>
            </w:r>
          </w:p>
        </w:tc>
        <w:tc>
          <w:tcPr>
            <w:tcW w:w="3038" w:type="dxa"/>
            <w:tcBorders>
              <w:top w:val="single" w:sz="4" w:space="0" w:color="auto"/>
              <w:left w:val="single" w:sz="4" w:space="0" w:color="auto"/>
              <w:right w:val="single" w:sz="4" w:space="0" w:color="auto"/>
            </w:tcBorders>
            <w:shd w:val="clear" w:color="auto" w:fill="FFFFFF"/>
          </w:tcPr>
          <w:p w14:paraId="17A19C6F" w14:textId="77777777" w:rsidR="008C76E0" w:rsidRPr="00BD7577" w:rsidRDefault="008C76E0" w:rsidP="008C76E0">
            <w:pPr>
              <w:spacing w:after="120" w:line="240" w:lineRule="auto"/>
              <w:rPr>
                <w:rFonts w:ascii="Sylfaen" w:hAnsi="Sylfaen"/>
                <w:sz w:val="24"/>
                <w:szCs w:val="24"/>
              </w:rPr>
            </w:pPr>
          </w:p>
        </w:tc>
      </w:tr>
      <w:tr w:rsidR="008C76E0" w:rsidRPr="00BD7577" w14:paraId="638E7BFE" w14:textId="77777777" w:rsidTr="008C76E0">
        <w:tc>
          <w:tcPr>
            <w:tcW w:w="6531" w:type="dxa"/>
            <w:tcBorders>
              <w:top w:val="single" w:sz="4" w:space="0" w:color="auto"/>
              <w:left w:val="single" w:sz="4" w:space="0" w:color="auto"/>
            </w:tcBorders>
            <w:shd w:val="clear" w:color="auto" w:fill="FFFFFF"/>
          </w:tcPr>
          <w:p w14:paraId="11784789" w14:textId="77777777" w:rsidR="008C76E0" w:rsidRPr="008C76E0" w:rsidRDefault="008C76E0" w:rsidP="008C76E0">
            <w:pPr>
              <w:pStyle w:val="Bodytext180"/>
              <w:shd w:val="clear" w:color="auto" w:fill="auto"/>
              <w:spacing w:before="0" w:after="120" w:line="240" w:lineRule="auto"/>
              <w:ind w:left="142" w:firstLine="0"/>
              <w:rPr>
                <w:rFonts w:ascii="Sylfaen" w:hAnsi="Sylfaen"/>
                <w:b w:val="0"/>
                <w:sz w:val="24"/>
                <w:szCs w:val="24"/>
                <w:lang w:val="hy-AM"/>
              </w:rPr>
            </w:pPr>
            <w:r w:rsidRPr="00BD7577">
              <w:rPr>
                <w:rStyle w:val="Bodytext295pt"/>
                <w:rFonts w:ascii="Sylfaen" w:hAnsi="Sylfaen"/>
                <w:spacing w:val="0"/>
                <w:sz w:val="24"/>
                <w:szCs w:val="24"/>
              </w:rPr>
              <w:t>Հալման ջերմաստիճանը (պինդ նյութերի դեպքում)</w:t>
            </w:r>
          </w:p>
        </w:tc>
        <w:tc>
          <w:tcPr>
            <w:tcW w:w="3038" w:type="dxa"/>
            <w:tcBorders>
              <w:top w:val="single" w:sz="4" w:space="0" w:color="auto"/>
              <w:left w:val="single" w:sz="4" w:space="0" w:color="auto"/>
              <w:right w:val="single" w:sz="4" w:space="0" w:color="auto"/>
            </w:tcBorders>
            <w:shd w:val="clear" w:color="auto" w:fill="FFFFFF"/>
          </w:tcPr>
          <w:p w14:paraId="4E5D1229" w14:textId="77777777" w:rsidR="008C76E0" w:rsidRPr="00BD7577" w:rsidRDefault="008C76E0" w:rsidP="008C76E0">
            <w:pPr>
              <w:spacing w:after="120" w:line="240" w:lineRule="auto"/>
              <w:rPr>
                <w:rFonts w:ascii="Sylfaen" w:hAnsi="Sylfaen"/>
                <w:sz w:val="24"/>
                <w:szCs w:val="24"/>
              </w:rPr>
            </w:pPr>
          </w:p>
        </w:tc>
      </w:tr>
      <w:tr w:rsidR="008C76E0" w:rsidRPr="00BD7577" w14:paraId="750F84E0" w14:textId="77777777" w:rsidTr="008C76E0">
        <w:tc>
          <w:tcPr>
            <w:tcW w:w="6531" w:type="dxa"/>
            <w:tcBorders>
              <w:top w:val="single" w:sz="4" w:space="0" w:color="auto"/>
              <w:left w:val="single" w:sz="4" w:space="0" w:color="auto"/>
            </w:tcBorders>
            <w:shd w:val="clear" w:color="auto" w:fill="FFFFFF"/>
          </w:tcPr>
          <w:p w14:paraId="6C37BBF4"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Տեղաբաշխման գործակիցը՝</w:t>
            </w:r>
          </w:p>
        </w:tc>
        <w:tc>
          <w:tcPr>
            <w:tcW w:w="3038" w:type="dxa"/>
            <w:tcBorders>
              <w:top w:val="single" w:sz="4" w:space="0" w:color="auto"/>
              <w:left w:val="single" w:sz="4" w:space="0" w:color="auto"/>
              <w:right w:val="single" w:sz="4" w:space="0" w:color="auto"/>
            </w:tcBorders>
            <w:shd w:val="clear" w:color="auto" w:fill="FFFFFF"/>
          </w:tcPr>
          <w:p w14:paraId="31326312" w14:textId="77777777" w:rsidR="008C76E0" w:rsidRPr="00BD7577" w:rsidRDefault="008C76E0" w:rsidP="008C76E0">
            <w:pPr>
              <w:spacing w:after="120" w:line="240" w:lineRule="auto"/>
              <w:rPr>
                <w:rFonts w:ascii="Sylfaen" w:hAnsi="Sylfaen"/>
                <w:sz w:val="24"/>
                <w:szCs w:val="24"/>
              </w:rPr>
            </w:pPr>
          </w:p>
        </w:tc>
      </w:tr>
      <w:tr w:rsidR="008C76E0" w:rsidRPr="00BD7577" w14:paraId="550D985E" w14:textId="77777777" w:rsidTr="008C76E0">
        <w:tc>
          <w:tcPr>
            <w:tcW w:w="6531" w:type="dxa"/>
            <w:tcBorders>
              <w:top w:val="single" w:sz="4" w:space="0" w:color="auto"/>
              <w:left w:val="single" w:sz="4" w:space="0" w:color="auto"/>
            </w:tcBorders>
            <w:shd w:val="clear" w:color="auto" w:fill="FFFFFF"/>
          </w:tcPr>
          <w:p w14:paraId="6F696F52"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Հիգրոսկոպիկությունը՝</w:t>
            </w:r>
          </w:p>
        </w:tc>
        <w:tc>
          <w:tcPr>
            <w:tcW w:w="3038" w:type="dxa"/>
            <w:tcBorders>
              <w:top w:val="single" w:sz="4" w:space="0" w:color="auto"/>
              <w:left w:val="single" w:sz="4" w:space="0" w:color="auto"/>
              <w:right w:val="single" w:sz="4" w:space="0" w:color="auto"/>
            </w:tcBorders>
            <w:shd w:val="clear" w:color="auto" w:fill="FFFFFF"/>
          </w:tcPr>
          <w:p w14:paraId="3AE096FF" w14:textId="77777777" w:rsidR="008C76E0" w:rsidRPr="00BD7577" w:rsidRDefault="008C76E0" w:rsidP="008C76E0">
            <w:pPr>
              <w:spacing w:after="120" w:line="240" w:lineRule="auto"/>
              <w:rPr>
                <w:rFonts w:ascii="Sylfaen" w:hAnsi="Sylfaen"/>
                <w:sz w:val="24"/>
                <w:szCs w:val="24"/>
              </w:rPr>
            </w:pPr>
          </w:p>
        </w:tc>
      </w:tr>
      <w:tr w:rsidR="008C76E0" w:rsidRPr="00BD7577" w14:paraId="70A7AEBF" w14:textId="77777777" w:rsidTr="008C76E0">
        <w:tc>
          <w:tcPr>
            <w:tcW w:w="6531" w:type="dxa"/>
            <w:tcBorders>
              <w:top w:val="single" w:sz="4" w:space="0" w:color="auto"/>
              <w:left w:val="single" w:sz="4" w:space="0" w:color="auto"/>
            </w:tcBorders>
            <w:shd w:val="clear" w:color="auto" w:fill="FFFFFF"/>
          </w:tcPr>
          <w:p w14:paraId="059B1EED"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Տարածական քիմիան՝</w:t>
            </w:r>
          </w:p>
        </w:tc>
        <w:tc>
          <w:tcPr>
            <w:tcW w:w="3038" w:type="dxa"/>
            <w:tcBorders>
              <w:top w:val="single" w:sz="4" w:space="0" w:color="auto"/>
              <w:left w:val="single" w:sz="4" w:space="0" w:color="auto"/>
              <w:right w:val="single" w:sz="4" w:space="0" w:color="auto"/>
            </w:tcBorders>
            <w:shd w:val="clear" w:color="auto" w:fill="FFFFFF"/>
          </w:tcPr>
          <w:p w14:paraId="2AFE163B" w14:textId="77777777" w:rsidR="008C76E0" w:rsidRPr="00BD7577" w:rsidRDefault="008C76E0" w:rsidP="008C76E0">
            <w:pPr>
              <w:spacing w:after="120" w:line="240" w:lineRule="auto"/>
              <w:rPr>
                <w:rFonts w:ascii="Sylfaen" w:hAnsi="Sylfaen"/>
                <w:sz w:val="24"/>
                <w:szCs w:val="24"/>
              </w:rPr>
            </w:pPr>
          </w:p>
        </w:tc>
      </w:tr>
      <w:tr w:rsidR="008C76E0" w:rsidRPr="00BD7577" w14:paraId="3201067F" w14:textId="77777777" w:rsidTr="008C76E0">
        <w:tc>
          <w:tcPr>
            <w:tcW w:w="6531" w:type="dxa"/>
            <w:tcBorders>
              <w:top w:val="single" w:sz="4" w:space="0" w:color="auto"/>
              <w:left w:val="single" w:sz="4" w:space="0" w:color="auto"/>
            </w:tcBorders>
            <w:shd w:val="clear" w:color="auto" w:fill="FFFFFF"/>
          </w:tcPr>
          <w:p w14:paraId="6BE7C301" w14:textId="77777777" w:rsidR="008C76E0" w:rsidRPr="00BD7577" w:rsidRDefault="008C76E0" w:rsidP="008C76E0">
            <w:pPr>
              <w:pStyle w:val="Bodytext180"/>
              <w:shd w:val="clear" w:color="auto" w:fill="auto"/>
              <w:spacing w:before="0" w:after="120" w:line="240" w:lineRule="auto"/>
              <w:ind w:left="142" w:firstLine="0"/>
              <w:rPr>
                <w:rFonts w:ascii="Sylfaen" w:hAnsi="Sylfaen"/>
                <w:b w:val="0"/>
                <w:sz w:val="24"/>
                <w:szCs w:val="24"/>
              </w:rPr>
            </w:pPr>
            <w:r w:rsidRPr="00BD7577">
              <w:rPr>
                <w:rStyle w:val="Bodytext295pt"/>
                <w:rFonts w:ascii="Sylfaen" w:hAnsi="Sylfaen"/>
                <w:spacing w:val="0"/>
                <w:sz w:val="24"/>
                <w:szCs w:val="24"/>
              </w:rPr>
              <w:t>Պոլիմորֆիզմը՝</w:t>
            </w:r>
          </w:p>
        </w:tc>
        <w:tc>
          <w:tcPr>
            <w:tcW w:w="3038" w:type="dxa"/>
            <w:tcBorders>
              <w:top w:val="single" w:sz="4" w:space="0" w:color="auto"/>
              <w:left w:val="single" w:sz="4" w:space="0" w:color="auto"/>
              <w:right w:val="single" w:sz="4" w:space="0" w:color="auto"/>
            </w:tcBorders>
            <w:shd w:val="clear" w:color="auto" w:fill="FFFFFF"/>
          </w:tcPr>
          <w:p w14:paraId="3530F3AD" w14:textId="77777777" w:rsidR="008C76E0" w:rsidRPr="00BD7577" w:rsidRDefault="008C76E0" w:rsidP="008C76E0">
            <w:pPr>
              <w:spacing w:after="120" w:line="240" w:lineRule="auto"/>
              <w:rPr>
                <w:rFonts w:ascii="Sylfaen" w:hAnsi="Sylfaen"/>
                <w:sz w:val="24"/>
                <w:szCs w:val="24"/>
              </w:rPr>
            </w:pPr>
          </w:p>
        </w:tc>
      </w:tr>
      <w:tr w:rsidR="008C76E0" w:rsidRPr="00BD7577" w14:paraId="6E55ECA5" w14:textId="77777777" w:rsidTr="008C76E0">
        <w:tc>
          <w:tcPr>
            <w:tcW w:w="6531" w:type="dxa"/>
            <w:tcBorders>
              <w:top w:val="single" w:sz="4" w:space="0" w:color="auto"/>
              <w:left w:val="single" w:sz="4" w:space="0" w:color="auto"/>
              <w:bottom w:val="single" w:sz="4" w:space="0" w:color="auto"/>
            </w:tcBorders>
            <w:shd w:val="clear" w:color="auto" w:fill="FFFFFF"/>
          </w:tcPr>
          <w:p w14:paraId="6C62F706" w14:textId="77777777" w:rsidR="008C76E0" w:rsidRPr="008C76E0" w:rsidRDefault="008C76E0" w:rsidP="008C76E0">
            <w:pPr>
              <w:pStyle w:val="Bodytext180"/>
              <w:shd w:val="clear" w:color="auto" w:fill="auto"/>
              <w:spacing w:before="0" w:after="120" w:line="288" w:lineRule="auto"/>
              <w:ind w:left="142" w:firstLine="0"/>
              <w:rPr>
                <w:rFonts w:ascii="Sylfaen" w:hAnsi="Sylfaen"/>
                <w:b w:val="0"/>
                <w:sz w:val="24"/>
                <w:szCs w:val="24"/>
                <w:lang w:val="hy-AM"/>
              </w:rPr>
            </w:pPr>
            <w:r w:rsidRPr="00BD7577">
              <w:rPr>
                <w:rStyle w:val="Bodytext295pt"/>
                <w:rFonts w:ascii="Sylfaen" w:hAnsi="Sylfaen"/>
                <w:spacing w:val="0"/>
                <w:sz w:val="24"/>
                <w:szCs w:val="24"/>
              </w:rPr>
              <w:t>Բյուրեղայնության աստիճանը (պինդ նյութերի դեպքում)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AB868F" w14:textId="77777777" w:rsidR="008C76E0" w:rsidRPr="00BD7577" w:rsidRDefault="008C76E0" w:rsidP="008C76E0">
            <w:pPr>
              <w:spacing w:after="120" w:line="288" w:lineRule="auto"/>
              <w:rPr>
                <w:rFonts w:ascii="Sylfaen" w:hAnsi="Sylfaen"/>
                <w:sz w:val="24"/>
                <w:szCs w:val="24"/>
              </w:rPr>
            </w:pPr>
          </w:p>
        </w:tc>
      </w:tr>
    </w:tbl>
    <w:p w14:paraId="716467D4" w14:textId="77777777" w:rsidR="008C76E0" w:rsidRPr="00BD7577" w:rsidRDefault="008C76E0" w:rsidP="008C76E0">
      <w:pPr>
        <w:rPr>
          <w:rFonts w:ascii="Sylfaen" w:hAnsi="Sylfaen"/>
          <w:sz w:val="24"/>
          <w:szCs w:val="24"/>
        </w:rPr>
      </w:pPr>
    </w:p>
    <w:tbl>
      <w:tblPr>
        <w:tblOverlap w:val="never"/>
        <w:tblW w:w="9621" w:type="dxa"/>
        <w:jc w:val="center"/>
        <w:tblLayout w:type="fixed"/>
        <w:tblCellMar>
          <w:left w:w="10" w:type="dxa"/>
          <w:right w:w="10" w:type="dxa"/>
        </w:tblCellMar>
        <w:tblLook w:val="04A0" w:firstRow="1" w:lastRow="0" w:firstColumn="1" w:lastColumn="0" w:noHBand="0" w:noVBand="1"/>
      </w:tblPr>
      <w:tblGrid>
        <w:gridCol w:w="9621"/>
      </w:tblGrid>
      <w:tr w:rsidR="008C76E0" w:rsidRPr="00BD7577" w14:paraId="21009FE3" w14:textId="77777777" w:rsidTr="008C76E0">
        <w:trPr>
          <w:jc w:val="center"/>
        </w:trPr>
        <w:tc>
          <w:tcPr>
            <w:tcW w:w="9621" w:type="dxa"/>
            <w:tcBorders>
              <w:top w:val="single" w:sz="4" w:space="0" w:color="auto"/>
              <w:left w:val="single" w:sz="4" w:space="0" w:color="auto"/>
              <w:right w:val="single" w:sz="4" w:space="0" w:color="auto"/>
            </w:tcBorders>
            <w:shd w:val="clear" w:color="auto" w:fill="FFFFFF"/>
            <w:vAlign w:val="bottom"/>
          </w:tcPr>
          <w:p w14:paraId="33F033D1" w14:textId="77777777" w:rsidR="008C76E0" w:rsidRPr="00BD7577" w:rsidRDefault="008C76E0" w:rsidP="008C76E0">
            <w:pPr>
              <w:pStyle w:val="Bodytext180"/>
              <w:shd w:val="clear" w:color="auto" w:fill="auto"/>
              <w:spacing w:before="0" w:after="160" w:line="336" w:lineRule="auto"/>
              <w:ind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A476051" w14:textId="77777777" w:rsidTr="008C76E0">
        <w:trPr>
          <w:jc w:val="center"/>
        </w:trPr>
        <w:tc>
          <w:tcPr>
            <w:tcW w:w="9621" w:type="dxa"/>
            <w:tcBorders>
              <w:top w:val="single" w:sz="4" w:space="0" w:color="auto"/>
              <w:left w:val="single" w:sz="4" w:space="0" w:color="auto"/>
              <w:right w:val="single" w:sz="4" w:space="0" w:color="auto"/>
            </w:tcBorders>
            <w:shd w:val="clear" w:color="auto" w:fill="FFFFFF"/>
          </w:tcPr>
          <w:p w14:paraId="30027B77" w14:textId="77777777" w:rsidR="008C76E0" w:rsidRPr="00BD7577" w:rsidRDefault="008C76E0" w:rsidP="008C76E0">
            <w:pPr>
              <w:spacing w:line="336" w:lineRule="auto"/>
              <w:ind w:right="-1"/>
              <w:jc w:val="both"/>
              <w:rPr>
                <w:rFonts w:ascii="Sylfaen" w:hAnsi="Sylfaen"/>
                <w:sz w:val="24"/>
                <w:szCs w:val="24"/>
                <w:highlight w:val="yellow"/>
              </w:rPr>
            </w:pPr>
          </w:p>
        </w:tc>
      </w:tr>
      <w:tr w:rsidR="008C76E0" w:rsidRPr="00BD7577" w14:paraId="6DFF1BB9" w14:textId="77777777" w:rsidTr="008C76E0">
        <w:trPr>
          <w:jc w:val="center"/>
        </w:trPr>
        <w:tc>
          <w:tcPr>
            <w:tcW w:w="9621" w:type="dxa"/>
            <w:tcBorders>
              <w:top w:val="single" w:sz="4" w:space="0" w:color="auto"/>
              <w:left w:val="single" w:sz="4" w:space="0" w:color="auto"/>
              <w:bottom w:val="single" w:sz="4" w:space="0" w:color="auto"/>
              <w:right w:val="single" w:sz="4" w:space="0" w:color="auto"/>
            </w:tcBorders>
            <w:shd w:val="clear" w:color="auto" w:fill="FFFFFF"/>
          </w:tcPr>
          <w:p w14:paraId="4F46E655" w14:textId="77777777" w:rsidR="008C76E0" w:rsidRPr="00BD7577" w:rsidRDefault="008C76E0" w:rsidP="008C76E0">
            <w:pPr>
              <w:spacing w:line="336" w:lineRule="auto"/>
              <w:ind w:right="-1"/>
              <w:jc w:val="both"/>
              <w:rPr>
                <w:rFonts w:ascii="Sylfaen" w:hAnsi="Sylfaen"/>
                <w:sz w:val="24"/>
                <w:szCs w:val="24"/>
              </w:rPr>
            </w:pPr>
          </w:p>
        </w:tc>
      </w:tr>
    </w:tbl>
    <w:p w14:paraId="6ED78808" w14:textId="77777777" w:rsidR="008C76E0" w:rsidRPr="00BD7577" w:rsidRDefault="008C76E0" w:rsidP="008C76E0">
      <w:pPr>
        <w:widowControl/>
        <w:rPr>
          <w:rFonts w:ascii="Sylfaen" w:hAnsi="Sylfaen"/>
          <w:sz w:val="24"/>
          <w:szCs w:val="24"/>
          <w:lang w:val="en-US"/>
        </w:rPr>
      </w:pPr>
    </w:p>
    <w:p w14:paraId="5D8A969D" w14:textId="77777777" w:rsidR="008C76E0" w:rsidRPr="00BD7577" w:rsidRDefault="008C76E0" w:rsidP="00E93A30">
      <w:pPr>
        <w:spacing w:after="160" w:line="360" w:lineRule="auto"/>
        <w:ind w:firstLine="567"/>
        <w:jc w:val="center"/>
        <w:rPr>
          <w:rFonts w:ascii="Sylfaen" w:hAnsi="Sylfaen"/>
          <w:sz w:val="24"/>
          <w:szCs w:val="24"/>
        </w:rPr>
      </w:pPr>
      <w:r w:rsidRPr="00BD7577">
        <w:rPr>
          <w:rFonts w:ascii="Sylfaen" w:hAnsi="Sylfaen"/>
          <w:sz w:val="24"/>
          <w:szCs w:val="24"/>
        </w:rPr>
        <w:t>3.2. ԱԴԲ-ի արտադրության գործընթացը (մոդուլ 3.2.S.2)</w:t>
      </w:r>
    </w:p>
    <w:p w14:paraId="28C0DAAE"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3.2.1.</w:t>
      </w:r>
      <w:r w:rsidRPr="00BD7577">
        <w:rPr>
          <w:rFonts w:ascii="Sylfaen" w:hAnsi="Sylfaen"/>
          <w:sz w:val="24"/>
          <w:szCs w:val="24"/>
        </w:rPr>
        <w:tab/>
        <w:t>Արտադրողները (բաժին S.2.1)։</w:t>
      </w:r>
    </w:p>
    <w:p w14:paraId="0992104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387C0DF"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FF0A9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4746E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3.2.2.</w:t>
      </w:r>
      <w:r w:rsidRPr="00BD7577">
        <w:rPr>
          <w:rFonts w:ascii="Sylfaen" w:hAnsi="Sylfaen"/>
          <w:sz w:val="24"/>
          <w:szCs w:val="24"/>
        </w:rPr>
        <w:tab/>
        <w:t>Համապատասխանությունը Եվրասիական տնտեսական հանձնաժողովի (այսուհետ՝ Հանձնաժողով) կողմից հաստատված՝ Եվրասիական տնտեսական միության պատշաճ արտադրական գործունեության կանոններին (GMP)։</w:t>
      </w:r>
    </w:p>
    <w:p w14:paraId="4178279F" w14:textId="77777777" w:rsidR="008C76E0" w:rsidRPr="00BD7577" w:rsidRDefault="008C76E0" w:rsidP="008C76E0">
      <w:pPr>
        <w:spacing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94C37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B1BC21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F1AAA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S.2.2)։</w:t>
      </w:r>
    </w:p>
    <w:p w14:paraId="5C2B6D6D"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11DC5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FDFF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67FA3BA"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3.2.4.</w:t>
      </w:r>
      <w:r w:rsidRPr="00BD7577">
        <w:rPr>
          <w:rFonts w:ascii="Sylfaen" w:hAnsi="Sylfaen"/>
          <w:sz w:val="24"/>
          <w:szCs w:val="24"/>
        </w:rPr>
        <w:tab/>
        <w:t>Ելանյութերի որակի հսկողությունը (բաժին S.2.3)։</w:t>
      </w:r>
    </w:p>
    <w:p w14:paraId="49B8FBB9"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9DCA49"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6649CE"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2A4445"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3.2.5.</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S.2.4)։</w:t>
      </w:r>
    </w:p>
    <w:p w14:paraId="3B89DC24"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CF1916"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0229D2"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0B4C68"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3.2.6.</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S.2.5)։</w:t>
      </w:r>
    </w:p>
    <w:p w14:paraId="007F19F0"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12ABBC"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25310D6"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7B98FF0" w14:textId="77777777" w:rsidR="008C76E0" w:rsidRPr="00BD7577" w:rsidRDefault="008C76E0" w:rsidP="00E93A30">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3.2.7.</w:t>
      </w:r>
      <w:r w:rsidRPr="00BD7577">
        <w:rPr>
          <w:rFonts w:ascii="Sylfaen" w:hAnsi="Sylfaen"/>
          <w:sz w:val="24"/>
          <w:szCs w:val="24"/>
        </w:rPr>
        <w:tab/>
        <w:t>Արտադրական գործընթացի մշակումը (բաժին S.2.6)։</w:t>
      </w:r>
    </w:p>
    <w:p w14:paraId="44D3B022"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18E48E"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3E04CF7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8CA01E5"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5996C9D6"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3CB4FF9B"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48B757ED"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5D400194"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06BEB55A" w14:textId="77777777" w:rsidR="008C76E0" w:rsidRPr="00BD7577" w:rsidRDefault="008C76E0" w:rsidP="00E93A30">
            <w:pPr>
              <w:spacing w:after="160" w:line="360" w:lineRule="auto"/>
              <w:ind w:right="-1"/>
              <w:jc w:val="both"/>
              <w:rPr>
                <w:rFonts w:ascii="Sylfaen" w:hAnsi="Sylfaen"/>
                <w:sz w:val="24"/>
                <w:szCs w:val="24"/>
              </w:rPr>
            </w:pPr>
          </w:p>
        </w:tc>
      </w:tr>
    </w:tbl>
    <w:p w14:paraId="7B897A55" w14:textId="77777777" w:rsidR="008C76E0" w:rsidRPr="00BD7577" w:rsidRDefault="008C76E0" w:rsidP="00E93A30">
      <w:pPr>
        <w:tabs>
          <w:tab w:val="left" w:pos="1134"/>
        </w:tabs>
        <w:spacing w:after="160" w:line="360" w:lineRule="auto"/>
        <w:ind w:firstLine="567"/>
        <w:rPr>
          <w:rFonts w:ascii="Sylfaen" w:hAnsi="Sylfaen"/>
          <w:sz w:val="24"/>
          <w:szCs w:val="24"/>
        </w:rPr>
      </w:pPr>
      <w:r w:rsidRPr="00BD7577">
        <w:rPr>
          <w:rFonts w:ascii="Sylfaen" w:hAnsi="Sylfaen"/>
          <w:sz w:val="24"/>
          <w:szCs w:val="24"/>
        </w:rPr>
        <w:t>3.3.</w:t>
      </w:r>
      <w:r w:rsidRPr="009A5C8C">
        <w:rPr>
          <w:rFonts w:ascii="Sylfaen" w:hAnsi="Sylfaen"/>
          <w:sz w:val="24"/>
          <w:szCs w:val="24"/>
        </w:rPr>
        <w:tab/>
      </w:r>
      <w:r w:rsidRPr="00BD7577">
        <w:rPr>
          <w:rFonts w:ascii="Sylfaen" w:hAnsi="Sylfaen"/>
          <w:sz w:val="24"/>
          <w:szCs w:val="24"/>
        </w:rPr>
        <w:t>ԱԴԲ-ի բնութագրերի նկարագրությունը (մոդուլ 3.2.S.3)</w:t>
      </w:r>
    </w:p>
    <w:p w14:paraId="6426FA79" w14:textId="77777777" w:rsidR="008C76E0" w:rsidRPr="008C76E0" w:rsidRDefault="008C76E0" w:rsidP="00E93A30">
      <w:pPr>
        <w:pStyle w:val="Bodytext180"/>
        <w:shd w:val="clear" w:color="auto" w:fill="auto"/>
        <w:tabs>
          <w:tab w:val="left" w:pos="1701"/>
          <w:tab w:val="right" w:pos="9071"/>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3.3.1.</w:t>
      </w:r>
      <w:r w:rsidRPr="008C76E0">
        <w:rPr>
          <w:rFonts w:ascii="Sylfaen" w:hAnsi="Sylfaen"/>
          <w:b w:val="0"/>
          <w:sz w:val="24"/>
          <w:szCs w:val="24"/>
          <w:lang w:val="hy-AM"/>
        </w:rPr>
        <w:tab/>
        <w:t xml:space="preserve">Կառուցվածքի </w:t>
      </w:r>
      <w:r w:rsidR="00C54D75">
        <w:rPr>
          <w:rFonts w:ascii="Sylfaen" w:hAnsi="Sylfaen"/>
          <w:b w:val="0"/>
          <w:sz w:val="24"/>
          <w:szCs w:val="24"/>
          <w:lang w:val="hy-AM"/>
        </w:rPr>
        <w:t>և</w:t>
      </w:r>
      <w:r w:rsidRPr="008C76E0">
        <w:rPr>
          <w:rFonts w:ascii="Sylfaen" w:hAnsi="Sylfaen"/>
          <w:b w:val="0"/>
          <w:sz w:val="24"/>
          <w:szCs w:val="24"/>
          <w:lang w:val="hy-AM"/>
        </w:rPr>
        <w:t xml:space="preserve"> այլ բնութագրերի հաստատումը (բաժին S.3.1)։</w:t>
      </w:r>
    </w:p>
    <w:p w14:paraId="4663EDD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A9256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0DC740" w14:textId="77777777" w:rsidR="008C76E0" w:rsidRPr="00BD7577" w:rsidRDefault="008C76E0" w:rsidP="00E93A30">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A1B75F" w14:textId="77777777" w:rsidR="008C76E0" w:rsidRPr="00BD7577" w:rsidRDefault="008C76E0" w:rsidP="00E93A30">
      <w:pPr>
        <w:pStyle w:val="Headerorfooter0"/>
        <w:shd w:val="clear" w:color="auto" w:fill="auto"/>
        <w:tabs>
          <w:tab w:val="left" w:pos="1701"/>
        </w:tabs>
        <w:spacing w:after="160" w:line="360" w:lineRule="auto"/>
        <w:ind w:firstLine="567"/>
        <w:jc w:val="both"/>
        <w:rPr>
          <w:rFonts w:ascii="Sylfaen" w:hAnsi="Sylfaen"/>
          <w:sz w:val="24"/>
          <w:szCs w:val="24"/>
        </w:rPr>
      </w:pPr>
      <w:r w:rsidRPr="00BD7577">
        <w:rPr>
          <w:rFonts w:ascii="Sylfaen" w:hAnsi="Sylfaen"/>
          <w:sz w:val="24"/>
          <w:szCs w:val="24"/>
        </w:rPr>
        <w:t>3.3.2.</w:t>
      </w:r>
      <w:r w:rsidRPr="00BD7577">
        <w:rPr>
          <w:rFonts w:ascii="Sylfaen" w:hAnsi="Sylfaen"/>
          <w:sz w:val="24"/>
          <w:szCs w:val="24"/>
        </w:rPr>
        <w:tab/>
        <w:t>Խառնուկները (բաժին S.3.2)։</w:t>
      </w:r>
    </w:p>
    <w:p w14:paraId="14048F2E" w14:textId="77777777" w:rsidR="008C76E0" w:rsidRPr="00BD7577" w:rsidRDefault="008C76E0" w:rsidP="00E93A30">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DF59F1F" w14:textId="77777777" w:rsidR="008C76E0" w:rsidRPr="00BD7577" w:rsidRDefault="008C76E0" w:rsidP="00E93A30">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E61FB6" w14:textId="77777777" w:rsidR="008C76E0" w:rsidRPr="00BD7577" w:rsidRDefault="008C76E0" w:rsidP="00E93A30">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5691C979"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715B4C7A" w14:textId="77777777" w:rsidR="008C76E0" w:rsidRPr="00BD7577" w:rsidRDefault="008C76E0" w:rsidP="00E93A3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0CC554D"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1EB0930" w14:textId="77777777" w:rsidR="008C76E0" w:rsidRPr="00BD7577" w:rsidRDefault="008C76E0" w:rsidP="00E93A30">
            <w:pPr>
              <w:spacing w:after="160" w:line="360" w:lineRule="auto"/>
              <w:ind w:right="-1"/>
              <w:jc w:val="both"/>
              <w:rPr>
                <w:rFonts w:ascii="Sylfaen" w:hAnsi="Sylfaen"/>
                <w:sz w:val="24"/>
                <w:szCs w:val="24"/>
                <w:highlight w:val="yellow"/>
              </w:rPr>
            </w:pPr>
          </w:p>
        </w:tc>
      </w:tr>
      <w:tr w:rsidR="008C76E0" w:rsidRPr="00BD7577" w14:paraId="11EAB64C"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59F11CCC" w14:textId="77777777" w:rsidR="008C76E0" w:rsidRPr="00BD7577" w:rsidRDefault="008C76E0" w:rsidP="00E93A30">
            <w:pPr>
              <w:spacing w:after="160" w:line="360" w:lineRule="auto"/>
              <w:ind w:right="-1"/>
              <w:jc w:val="both"/>
              <w:rPr>
                <w:rFonts w:ascii="Sylfaen" w:hAnsi="Sylfaen"/>
                <w:sz w:val="24"/>
                <w:szCs w:val="24"/>
              </w:rPr>
            </w:pPr>
          </w:p>
        </w:tc>
      </w:tr>
    </w:tbl>
    <w:p w14:paraId="74604292" w14:textId="77777777" w:rsidR="008C76E0" w:rsidRPr="00BF082F" w:rsidRDefault="008C76E0" w:rsidP="00E93A30">
      <w:pPr>
        <w:tabs>
          <w:tab w:val="left" w:pos="1134"/>
        </w:tabs>
        <w:spacing w:after="160" w:line="360" w:lineRule="auto"/>
        <w:ind w:firstLine="567"/>
        <w:rPr>
          <w:rFonts w:ascii="Sylfaen" w:hAnsi="Sylfaen"/>
          <w:spacing w:val="4"/>
          <w:sz w:val="24"/>
          <w:szCs w:val="24"/>
        </w:rPr>
      </w:pPr>
      <w:r w:rsidRPr="00BD7577">
        <w:rPr>
          <w:rFonts w:ascii="Sylfaen" w:hAnsi="Sylfaen"/>
          <w:sz w:val="24"/>
          <w:szCs w:val="24"/>
        </w:rPr>
        <w:t>3.4.</w:t>
      </w:r>
      <w:r w:rsidRPr="009A5C8C">
        <w:rPr>
          <w:rFonts w:ascii="Sylfaen" w:hAnsi="Sylfaen"/>
          <w:sz w:val="24"/>
          <w:szCs w:val="24"/>
        </w:rPr>
        <w:tab/>
      </w:r>
      <w:r w:rsidRPr="00BF082F">
        <w:rPr>
          <w:rFonts w:ascii="Sylfaen" w:hAnsi="Sylfaen"/>
          <w:spacing w:val="4"/>
          <w:sz w:val="24"/>
          <w:szCs w:val="24"/>
        </w:rPr>
        <w:t>Ակտիվ դեղագործական բաղադրամասի որակի հսկողությունը (մոդուլ 3.2.S.4)</w:t>
      </w:r>
    </w:p>
    <w:p w14:paraId="2BE6C763" w14:textId="77777777" w:rsidR="008C76E0" w:rsidRPr="00BD7577" w:rsidRDefault="008C76E0" w:rsidP="00E93A30">
      <w:pPr>
        <w:tabs>
          <w:tab w:val="left" w:pos="1701"/>
        </w:tabs>
        <w:spacing w:after="160" w:line="360" w:lineRule="auto"/>
        <w:ind w:firstLine="567"/>
        <w:jc w:val="both"/>
        <w:rPr>
          <w:rFonts w:ascii="Sylfaen" w:eastAsia="Times New Roman" w:hAnsi="Sylfaen" w:cs="Times New Roman"/>
          <w:sz w:val="24"/>
          <w:szCs w:val="24"/>
        </w:rPr>
      </w:pPr>
      <w:r w:rsidRPr="00BD7577">
        <w:rPr>
          <w:rFonts w:ascii="Sylfaen" w:hAnsi="Sylfaen"/>
          <w:sz w:val="24"/>
          <w:szCs w:val="24"/>
        </w:rPr>
        <w:t>3.4.1.</w:t>
      </w:r>
      <w:r w:rsidRPr="00BD7577">
        <w:rPr>
          <w:rFonts w:ascii="Sylfaen" w:hAnsi="Sylfaen"/>
          <w:sz w:val="24"/>
          <w:szCs w:val="24"/>
        </w:rPr>
        <w:tab/>
        <w:t>Մասնագիրը (բաժին S.4.1)։</w:t>
      </w:r>
      <w:r w:rsidRPr="00BD7577">
        <w:rPr>
          <w:rFonts w:ascii="Sylfaen" w:hAnsi="Sylfaen"/>
          <w:sz w:val="24"/>
          <w:szCs w:val="24"/>
        </w:rPr>
        <w:br w:type="page"/>
      </w:r>
    </w:p>
    <w:p w14:paraId="4F7BED9E" w14:textId="77777777" w:rsidR="008C76E0" w:rsidRPr="00BD7577" w:rsidRDefault="008C76E0" w:rsidP="00E93A30">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S.4-1</w:t>
      </w:r>
    </w:p>
    <w:p w14:paraId="60579944" w14:textId="77777777" w:rsidR="008C76E0" w:rsidRPr="00BD7577" w:rsidRDefault="008C76E0" w:rsidP="00E93A30">
      <w:pPr>
        <w:spacing w:after="160" w:line="360" w:lineRule="auto"/>
        <w:rPr>
          <w:rFonts w:ascii="Sylfaen" w:hAnsi="Sylfaen"/>
          <w:sz w:val="24"/>
          <w:szCs w:val="24"/>
        </w:rPr>
      </w:pPr>
      <w:r w:rsidRPr="00BD7577">
        <w:rPr>
          <w:rFonts w:ascii="Sylfaen" w:hAnsi="Sylfaen"/>
          <w:sz w:val="24"/>
          <w:szCs w:val="24"/>
        </w:rPr>
        <w:t>Մասնագիրը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26"/>
        <w:gridCol w:w="2410"/>
        <w:gridCol w:w="4373"/>
      </w:tblGrid>
      <w:tr w:rsidR="008C76E0" w:rsidRPr="00BD7577" w14:paraId="7F086E2E" w14:textId="77777777" w:rsidTr="008C76E0">
        <w:trPr>
          <w:jc w:val="center"/>
        </w:trPr>
        <w:tc>
          <w:tcPr>
            <w:tcW w:w="2226" w:type="dxa"/>
            <w:tcBorders>
              <w:top w:val="single" w:sz="4" w:space="0" w:color="auto"/>
              <w:left w:val="single" w:sz="4" w:space="0" w:color="auto"/>
            </w:tcBorders>
            <w:shd w:val="clear" w:color="auto" w:fill="FFFFFF"/>
            <w:vAlign w:val="bottom"/>
          </w:tcPr>
          <w:p w14:paraId="1B9FC1DD"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Որակի ցուցանիշները</w:t>
            </w:r>
          </w:p>
        </w:tc>
        <w:tc>
          <w:tcPr>
            <w:tcW w:w="2410" w:type="dxa"/>
            <w:tcBorders>
              <w:top w:val="single" w:sz="4" w:space="0" w:color="auto"/>
              <w:left w:val="single" w:sz="4" w:space="0" w:color="auto"/>
            </w:tcBorders>
            <w:shd w:val="clear" w:color="auto" w:fill="FFFFFF"/>
            <w:vAlign w:val="bottom"/>
          </w:tcPr>
          <w:p w14:paraId="5ADCED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Փորձարկման մեթոդը</w:t>
            </w:r>
          </w:p>
        </w:tc>
        <w:tc>
          <w:tcPr>
            <w:tcW w:w="4373" w:type="dxa"/>
            <w:tcBorders>
              <w:top w:val="single" w:sz="4" w:space="0" w:color="auto"/>
              <w:left w:val="single" w:sz="4" w:space="0" w:color="auto"/>
              <w:right w:val="single" w:sz="4" w:space="0" w:color="auto"/>
            </w:tcBorders>
            <w:shd w:val="clear" w:color="auto" w:fill="FFFFFF"/>
          </w:tcPr>
          <w:p w14:paraId="68A0E1EF" w14:textId="77777777" w:rsidR="008C76E0" w:rsidRPr="00BD7577"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BD7577">
              <w:rPr>
                <w:rStyle w:val="Bodytext295pt"/>
                <w:rFonts w:ascii="Sylfaen" w:hAnsi="Sylfaen"/>
                <w:spacing w:val="0"/>
                <w:sz w:val="24"/>
                <w:szCs w:val="24"/>
              </w:rPr>
              <w:t>Թույլատրելի նորմերը</w:t>
            </w:r>
          </w:p>
        </w:tc>
      </w:tr>
      <w:tr w:rsidR="008C76E0" w:rsidRPr="00BD7577" w14:paraId="2115FD05" w14:textId="77777777" w:rsidTr="008C76E0">
        <w:trPr>
          <w:jc w:val="center"/>
        </w:trPr>
        <w:tc>
          <w:tcPr>
            <w:tcW w:w="2226" w:type="dxa"/>
            <w:tcBorders>
              <w:top w:val="single" w:sz="4" w:space="0" w:color="auto"/>
              <w:left w:val="single" w:sz="4" w:space="0" w:color="auto"/>
            </w:tcBorders>
            <w:shd w:val="clear" w:color="auto" w:fill="FFFFFF"/>
          </w:tcPr>
          <w:p w14:paraId="0177CB2F"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BBA6FE9"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6A64336E" w14:textId="77777777" w:rsidR="008C76E0" w:rsidRPr="00BD7577" w:rsidRDefault="008C76E0" w:rsidP="008C76E0">
            <w:pPr>
              <w:rPr>
                <w:rFonts w:ascii="Sylfaen" w:hAnsi="Sylfaen"/>
                <w:sz w:val="24"/>
                <w:szCs w:val="24"/>
              </w:rPr>
            </w:pPr>
          </w:p>
        </w:tc>
      </w:tr>
      <w:tr w:rsidR="008C76E0" w:rsidRPr="00BD7577" w14:paraId="494DCDE1" w14:textId="77777777" w:rsidTr="008C76E0">
        <w:trPr>
          <w:jc w:val="center"/>
        </w:trPr>
        <w:tc>
          <w:tcPr>
            <w:tcW w:w="2226" w:type="dxa"/>
            <w:tcBorders>
              <w:top w:val="single" w:sz="4" w:space="0" w:color="auto"/>
              <w:left w:val="single" w:sz="4" w:space="0" w:color="auto"/>
            </w:tcBorders>
            <w:shd w:val="clear" w:color="auto" w:fill="FFFFFF"/>
          </w:tcPr>
          <w:p w14:paraId="63987E88"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6C3B1FD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33406ACB" w14:textId="77777777" w:rsidR="008C76E0" w:rsidRPr="00BD7577" w:rsidRDefault="008C76E0" w:rsidP="008C76E0">
            <w:pPr>
              <w:rPr>
                <w:rFonts w:ascii="Sylfaen" w:hAnsi="Sylfaen"/>
                <w:sz w:val="24"/>
                <w:szCs w:val="24"/>
              </w:rPr>
            </w:pPr>
          </w:p>
        </w:tc>
      </w:tr>
      <w:tr w:rsidR="008C76E0" w:rsidRPr="00BD7577" w14:paraId="3EA84528" w14:textId="77777777" w:rsidTr="008C76E0">
        <w:trPr>
          <w:jc w:val="center"/>
        </w:trPr>
        <w:tc>
          <w:tcPr>
            <w:tcW w:w="2226" w:type="dxa"/>
            <w:tcBorders>
              <w:top w:val="single" w:sz="4" w:space="0" w:color="auto"/>
              <w:left w:val="single" w:sz="4" w:space="0" w:color="auto"/>
            </w:tcBorders>
            <w:shd w:val="clear" w:color="auto" w:fill="FFFFFF"/>
          </w:tcPr>
          <w:p w14:paraId="48E00C4D"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5644BE76"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264BA290" w14:textId="77777777" w:rsidR="008C76E0" w:rsidRPr="00BD7577" w:rsidRDefault="008C76E0" w:rsidP="008C76E0">
            <w:pPr>
              <w:rPr>
                <w:rFonts w:ascii="Sylfaen" w:hAnsi="Sylfaen"/>
                <w:sz w:val="24"/>
                <w:szCs w:val="24"/>
              </w:rPr>
            </w:pPr>
          </w:p>
        </w:tc>
      </w:tr>
      <w:tr w:rsidR="008C76E0" w:rsidRPr="00BD7577" w14:paraId="33FD40C7" w14:textId="77777777" w:rsidTr="008C76E0">
        <w:trPr>
          <w:jc w:val="center"/>
        </w:trPr>
        <w:tc>
          <w:tcPr>
            <w:tcW w:w="2226" w:type="dxa"/>
            <w:tcBorders>
              <w:top w:val="single" w:sz="4" w:space="0" w:color="auto"/>
              <w:left w:val="single" w:sz="4" w:space="0" w:color="auto"/>
            </w:tcBorders>
            <w:shd w:val="clear" w:color="auto" w:fill="FFFFFF"/>
          </w:tcPr>
          <w:p w14:paraId="5871D703"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tcBorders>
            <w:shd w:val="clear" w:color="auto" w:fill="FFFFFF"/>
          </w:tcPr>
          <w:p w14:paraId="225272DF"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right w:val="single" w:sz="4" w:space="0" w:color="auto"/>
            </w:tcBorders>
            <w:shd w:val="clear" w:color="auto" w:fill="FFFFFF"/>
          </w:tcPr>
          <w:p w14:paraId="500D9440" w14:textId="77777777" w:rsidR="008C76E0" w:rsidRPr="00BD7577" w:rsidRDefault="008C76E0" w:rsidP="008C76E0">
            <w:pPr>
              <w:rPr>
                <w:rFonts w:ascii="Sylfaen" w:hAnsi="Sylfaen"/>
                <w:sz w:val="24"/>
                <w:szCs w:val="24"/>
              </w:rPr>
            </w:pPr>
          </w:p>
        </w:tc>
      </w:tr>
      <w:tr w:rsidR="008C76E0" w:rsidRPr="00BD7577" w14:paraId="52CC250A" w14:textId="77777777" w:rsidTr="008C76E0">
        <w:trPr>
          <w:jc w:val="center"/>
        </w:trPr>
        <w:tc>
          <w:tcPr>
            <w:tcW w:w="2226" w:type="dxa"/>
            <w:tcBorders>
              <w:top w:val="single" w:sz="4" w:space="0" w:color="auto"/>
              <w:left w:val="single" w:sz="4" w:space="0" w:color="auto"/>
              <w:bottom w:val="single" w:sz="4" w:space="0" w:color="auto"/>
            </w:tcBorders>
            <w:shd w:val="clear" w:color="auto" w:fill="FFFFFF"/>
          </w:tcPr>
          <w:p w14:paraId="15AAF0DB" w14:textId="77777777" w:rsidR="008C76E0" w:rsidRPr="00BD7577" w:rsidRDefault="008C76E0" w:rsidP="008C76E0">
            <w:pPr>
              <w:rPr>
                <w:rFonts w:ascii="Sylfaen" w:hAnsi="Sylfaen"/>
                <w:sz w:val="24"/>
                <w:szCs w:val="24"/>
              </w:rPr>
            </w:pPr>
          </w:p>
        </w:tc>
        <w:tc>
          <w:tcPr>
            <w:tcW w:w="2410" w:type="dxa"/>
            <w:tcBorders>
              <w:top w:val="single" w:sz="4" w:space="0" w:color="auto"/>
              <w:left w:val="single" w:sz="4" w:space="0" w:color="auto"/>
              <w:bottom w:val="single" w:sz="4" w:space="0" w:color="auto"/>
            </w:tcBorders>
            <w:shd w:val="clear" w:color="auto" w:fill="FFFFFF"/>
          </w:tcPr>
          <w:p w14:paraId="59E6BDE0" w14:textId="77777777" w:rsidR="008C76E0" w:rsidRPr="00BD7577" w:rsidRDefault="008C76E0" w:rsidP="008C76E0">
            <w:pPr>
              <w:rPr>
                <w:rFonts w:ascii="Sylfaen" w:hAnsi="Sylfaen"/>
                <w:sz w:val="24"/>
                <w:szCs w:val="24"/>
              </w:rPr>
            </w:pPr>
          </w:p>
        </w:tc>
        <w:tc>
          <w:tcPr>
            <w:tcW w:w="4373" w:type="dxa"/>
            <w:tcBorders>
              <w:top w:val="single" w:sz="4" w:space="0" w:color="auto"/>
              <w:left w:val="single" w:sz="4" w:space="0" w:color="auto"/>
              <w:bottom w:val="single" w:sz="4" w:space="0" w:color="auto"/>
              <w:right w:val="single" w:sz="4" w:space="0" w:color="auto"/>
            </w:tcBorders>
            <w:shd w:val="clear" w:color="auto" w:fill="FFFFFF"/>
          </w:tcPr>
          <w:p w14:paraId="040F1CAF" w14:textId="77777777" w:rsidR="008C76E0" w:rsidRPr="00BD7577" w:rsidRDefault="008C76E0" w:rsidP="008C76E0">
            <w:pPr>
              <w:rPr>
                <w:rFonts w:ascii="Sylfaen" w:hAnsi="Sylfaen"/>
                <w:sz w:val="24"/>
                <w:szCs w:val="24"/>
              </w:rPr>
            </w:pPr>
          </w:p>
        </w:tc>
      </w:tr>
    </w:tbl>
    <w:p w14:paraId="7CB5C4B3"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3.4.2.</w:t>
      </w:r>
      <w:r w:rsidRPr="00BD7577">
        <w:rPr>
          <w:rFonts w:ascii="Sylfaen" w:hAnsi="Sylfaen"/>
          <w:sz w:val="24"/>
          <w:szCs w:val="24"/>
        </w:rPr>
        <w:tab/>
        <w:t>Վերլուծական մեթոդիկաները (բաժին S.4.2)։</w:t>
      </w:r>
    </w:p>
    <w:p w14:paraId="6447FF96"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25015F"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BB27838"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BAECF5"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3.4.3.</w:t>
      </w:r>
      <w:r w:rsidRPr="00BD7577">
        <w:rPr>
          <w:rFonts w:ascii="Sylfaen" w:hAnsi="Sylfaen"/>
          <w:sz w:val="24"/>
          <w:szCs w:val="24"/>
        </w:rPr>
        <w:tab/>
        <w:t>Վերլուծական մեթոդիկաների վալիդացումը (բաժին S.4.3)։</w:t>
      </w:r>
    </w:p>
    <w:p w14:paraId="6621736E" w14:textId="77777777" w:rsidR="008C76E0" w:rsidRPr="00BD7577" w:rsidRDefault="008C76E0" w:rsidP="00DE713C">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C56298A" w14:textId="77777777" w:rsidR="008C76E0" w:rsidRPr="00BD7577" w:rsidRDefault="008C76E0" w:rsidP="00DE713C">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4602A" w14:textId="77777777" w:rsidR="008C76E0" w:rsidRPr="00BD7577" w:rsidRDefault="008C76E0" w:rsidP="00DE713C">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69D43E" w14:textId="77777777" w:rsidR="008C76E0" w:rsidRDefault="008C76E0" w:rsidP="008C76E0">
      <w:pPr>
        <w:widowControl/>
        <w:rPr>
          <w:rFonts w:ascii="Sylfaen" w:hAnsi="Sylfaen"/>
          <w:sz w:val="24"/>
          <w:szCs w:val="24"/>
        </w:rPr>
      </w:pPr>
      <w:r>
        <w:rPr>
          <w:rFonts w:ascii="Sylfaen" w:hAnsi="Sylfaen"/>
          <w:sz w:val="24"/>
          <w:szCs w:val="24"/>
        </w:rPr>
        <w:br w:type="page"/>
      </w:r>
    </w:p>
    <w:p w14:paraId="04003614" w14:textId="77777777" w:rsidR="008C76E0" w:rsidRPr="00BD7577" w:rsidRDefault="008C76E0" w:rsidP="00DE713C">
      <w:pPr>
        <w:spacing w:after="160" w:line="360" w:lineRule="auto"/>
        <w:ind w:right="240"/>
        <w:jc w:val="right"/>
        <w:rPr>
          <w:rFonts w:ascii="Sylfaen" w:hAnsi="Sylfaen"/>
          <w:sz w:val="24"/>
          <w:szCs w:val="24"/>
        </w:rPr>
      </w:pPr>
      <w:r w:rsidRPr="00BD7577">
        <w:rPr>
          <w:rFonts w:ascii="Sylfaen" w:hAnsi="Sylfaen"/>
          <w:sz w:val="24"/>
          <w:szCs w:val="24"/>
        </w:rPr>
        <w:lastRenderedPageBreak/>
        <w:t>Աղյուսակ S.4-2</w:t>
      </w:r>
    </w:p>
    <w:p w14:paraId="17275D55" w14:textId="77777777" w:rsidR="008C76E0" w:rsidRPr="00BD7577" w:rsidRDefault="008C76E0" w:rsidP="00DE713C">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BD7577">
        <w:rPr>
          <w:rFonts w:ascii="Sylfaen" w:hAnsi="Sylfaen"/>
          <w:sz w:val="24"/>
          <w:szCs w:val="24"/>
        </w:rPr>
        <w:br/>
        <w:t>համառոտ ամփոփումը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33"/>
        <w:gridCol w:w="917"/>
        <w:gridCol w:w="926"/>
        <w:gridCol w:w="917"/>
        <w:gridCol w:w="936"/>
      </w:tblGrid>
      <w:tr w:rsidR="008C76E0" w:rsidRPr="00BD7577" w14:paraId="1FB4E161" w14:textId="77777777" w:rsidTr="008C76E0">
        <w:trPr>
          <w:jc w:val="center"/>
        </w:trPr>
        <w:tc>
          <w:tcPr>
            <w:tcW w:w="5933" w:type="dxa"/>
            <w:tcBorders>
              <w:top w:val="single" w:sz="4" w:space="0" w:color="auto"/>
              <w:left w:val="single" w:sz="4" w:space="0" w:color="auto"/>
            </w:tcBorders>
            <w:shd w:val="clear" w:color="auto" w:fill="FFFFFF"/>
          </w:tcPr>
          <w:p w14:paraId="5C3444F8" w14:textId="77777777" w:rsidR="008C76E0" w:rsidRPr="00BD7577" w:rsidRDefault="008C76E0" w:rsidP="008C76E0">
            <w:pPr>
              <w:spacing w:after="120" w:line="240" w:lineRule="auto"/>
              <w:rPr>
                <w:rFonts w:ascii="Sylfaen" w:hAnsi="Sylfaen"/>
                <w:sz w:val="24"/>
                <w:szCs w:val="24"/>
              </w:rPr>
            </w:pPr>
          </w:p>
        </w:tc>
        <w:tc>
          <w:tcPr>
            <w:tcW w:w="3696" w:type="dxa"/>
            <w:gridSpan w:val="4"/>
            <w:tcBorders>
              <w:top w:val="single" w:sz="4" w:space="0" w:color="auto"/>
              <w:left w:val="single" w:sz="4" w:space="0" w:color="auto"/>
              <w:right w:val="single" w:sz="4" w:space="0" w:color="auto"/>
            </w:tcBorders>
            <w:shd w:val="clear" w:color="auto" w:fill="FFFFFF"/>
            <w:vAlign w:val="bottom"/>
          </w:tcPr>
          <w:p w14:paraId="5C46B5AF"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7C26D57" w14:textId="77777777" w:rsidTr="008C76E0">
        <w:trPr>
          <w:jc w:val="center"/>
        </w:trPr>
        <w:tc>
          <w:tcPr>
            <w:tcW w:w="5933" w:type="dxa"/>
            <w:tcBorders>
              <w:top w:val="single" w:sz="4" w:space="0" w:color="auto"/>
              <w:left w:val="single" w:sz="4" w:space="0" w:color="auto"/>
            </w:tcBorders>
            <w:shd w:val="clear" w:color="auto" w:fill="FFFFFF"/>
          </w:tcPr>
          <w:p w14:paraId="793701CE"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E4D252F"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009864E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163A9D0"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7767DBD" w14:textId="77777777" w:rsidR="008C76E0" w:rsidRPr="00BD7577" w:rsidRDefault="008C76E0" w:rsidP="008C76E0">
            <w:pPr>
              <w:spacing w:after="120" w:line="240" w:lineRule="auto"/>
              <w:rPr>
                <w:rFonts w:ascii="Sylfaen" w:hAnsi="Sylfaen"/>
                <w:sz w:val="24"/>
                <w:szCs w:val="24"/>
              </w:rPr>
            </w:pPr>
          </w:p>
        </w:tc>
      </w:tr>
      <w:tr w:rsidR="008C76E0" w:rsidRPr="00BD7577" w14:paraId="2F594F1C" w14:textId="77777777" w:rsidTr="008C76E0">
        <w:trPr>
          <w:jc w:val="center"/>
        </w:trPr>
        <w:tc>
          <w:tcPr>
            <w:tcW w:w="5933" w:type="dxa"/>
            <w:tcBorders>
              <w:top w:val="single" w:sz="4" w:space="0" w:color="auto"/>
              <w:left w:val="single" w:sz="4" w:space="0" w:color="auto"/>
            </w:tcBorders>
            <w:shd w:val="clear" w:color="auto" w:fill="FFFFFF"/>
          </w:tcPr>
          <w:p w14:paraId="38E9667E"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Ճշտությունը</w:t>
            </w:r>
          </w:p>
        </w:tc>
        <w:tc>
          <w:tcPr>
            <w:tcW w:w="917" w:type="dxa"/>
            <w:tcBorders>
              <w:top w:val="single" w:sz="4" w:space="0" w:color="auto"/>
              <w:left w:val="single" w:sz="4" w:space="0" w:color="auto"/>
            </w:tcBorders>
            <w:shd w:val="clear" w:color="auto" w:fill="FFFFFF"/>
          </w:tcPr>
          <w:p w14:paraId="6D0DB8FA"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27E3A6B"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F93EE6A"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92E46A6" w14:textId="77777777" w:rsidR="008C76E0" w:rsidRPr="00BD7577" w:rsidRDefault="008C76E0" w:rsidP="008C76E0">
            <w:pPr>
              <w:spacing w:after="120" w:line="240" w:lineRule="auto"/>
              <w:rPr>
                <w:rFonts w:ascii="Sylfaen" w:hAnsi="Sylfaen"/>
                <w:sz w:val="24"/>
                <w:szCs w:val="24"/>
              </w:rPr>
            </w:pPr>
          </w:p>
        </w:tc>
      </w:tr>
      <w:tr w:rsidR="008C76E0" w:rsidRPr="00BD7577" w14:paraId="1742E022" w14:textId="77777777" w:rsidTr="008C76E0">
        <w:trPr>
          <w:jc w:val="center"/>
        </w:trPr>
        <w:tc>
          <w:tcPr>
            <w:tcW w:w="5933" w:type="dxa"/>
            <w:tcBorders>
              <w:top w:val="single" w:sz="4" w:space="0" w:color="auto"/>
              <w:left w:val="single" w:sz="4" w:space="0" w:color="auto"/>
            </w:tcBorders>
            <w:shd w:val="clear" w:color="auto" w:fill="FFFFFF"/>
          </w:tcPr>
          <w:p w14:paraId="103CA1DE"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BD7577">
              <w:rPr>
                <w:rStyle w:val="Bodytext1811pt"/>
                <w:rFonts w:ascii="Sylfaen" w:hAnsi="Sylfaen"/>
                <w:sz w:val="24"/>
                <w:szCs w:val="24"/>
              </w:rPr>
              <w:t>Վերարտադրելիությունը՝ կրկնելիությունը (զուգամիտությունը), միջլաբորատոր վերարտադրելիությունը (առկայության դեպքում)</w:t>
            </w:r>
          </w:p>
        </w:tc>
        <w:tc>
          <w:tcPr>
            <w:tcW w:w="917" w:type="dxa"/>
            <w:tcBorders>
              <w:top w:val="single" w:sz="4" w:space="0" w:color="auto"/>
              <w:left w:val="single" w:sz="4" w:space="0" w:color="auto"/>
            </w:tcBorders>
            <w:shd w:val="clear" w:color="auto" w:fill="FFFFFF"/>
          </w:tcPr>
          <w:p w14:paraId="011A7A13"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FC9D5C2"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D1A6FC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A3F3E38" w14:textId="77777777" w:rsidR="008C76E0" w:rsidRPr="00BD7577" w:rsidRDefault="008C76E0" w:rsidP="008C76E0">
            <w:pPr>
              <w:spacing w:after="120" w:line="240" w:lineRule="auto"/>
              <w:rPr>
                <w:rFonts w:ascii="Sylfaen" w:hAnsi="Sylfaen"/>
                <w:sz w:val="24"/>
                <w:szCs w:val="24"/>
              </w:rPr>
            </w:pPr>
          </w:p>
        </w:tc>
      </w:tr>
      <w:tr w:rsidR="008C76E0" w:rsidRPr="00BD7577" w14:paraId="6CFDFADA" w14:textId="77777777" w:rsidTr="008C76E0">
        <w:trPr>
          <w:jc w:val="center"/>
        </w:trPr>
        <w:tc>
          <w:tcPr>
            <w:tcW w:w="5933" w:type="dxa"/>
            <w:tcBorders>
              <w:top w:val="single" w:sz="4" w:space="0" w:color="auto"/>
              <w:left w:val="single" w:sz="4" w:space="0" w:color="auto"/>
            </w:tcBorders>
            <w:shd w:val="clear" w:color="auto" w:fill="FFFFFF"/>
          </w:tcPr>
          <w:p w14:paraId="7B9D4081"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Սպեցիֆիկությունը</w:t>
            </w:r>
          </w:p>
        </w:tc>
        <w:tc>
          <w:tcPr>
            <w:tcW w:w="917" w:type="dxa"/>
            <w:tcBorders>
              <w:top w:val="single" w:sz="4" w:space="0" w:color="auto"/>
              <w:left w:val="single" w:sz="4" w:space="0" w:color="auto"/>
            </w:tcBorders>
            <w:shd w:val="clear" w:color="auto" w:fill="FFFFFF"/>
          </w:tcPr>
          <w:p w14:paraId="5AC091F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28ADA44D"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2884EE7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0EBC6867" w14:textId="77777777" w:rsidR="008C76E0" w:rsidRPr="00BD7577" w:rsidRDefault="008C76E0" w:rsidP="008C76E0">
            <w:pPr>
              <w:spacing w:after="120" w:line="240" w:lineRule="auto"/>
              <w:rPr>
                <w:rFonts w:ascii="Sylfaen" w:hAnsi="Sylfaen"/>
                <w:sz w:val="24"/>
                <w:szCs w:val="24"/>
              </w:rPr>
            </w:pPr>
          </w:p>
        </w:tc>
      </w:tr>
      <w:tr w:rsidR="008C76E0" w:rsidRPr="00BD7577" w14:paraId="1359A0D3" w14:textId="77777777" w:rsidTr="008C76E0">
        <w:trPr>
          <w:jc w:val="center"/>
        </w:trPr>
        <w:tc>
          <w:tcPr>
            <w:tcW w:w="5933" w:type="dxa"/>
            <w:tcBorders>
              <w:top w:val="single" w:sz="4" w:space="0" w:color="auto"/>
              <w:left w:val="single" w:sz="4" w:space="0" w:color="auto"/>
            </w:tcBorders>
            <w:shd w:val="clear" w:color="auto" w:fill="FFFFFF"/>
          </w:tcPr>
          <w:p w14:paraId="668D6951" w14:textId="7F891BB4" w:rsidR="008C76E0" w:rsidRPr="00BD7577" w:rsidRDefault="0056496B" w:rsidP="008C76E0">
            <w:pPr>
              <w:pStyle w:val="Bodytext180"/>
              <w:shd w:val="clear" w:color="auto" w:fill="auto"/>
              <w:spacing w:before="0" w:after="120" w:line="240" w:lineRule="auto"/>
              <w:ind w:firstLine="0"/>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917" w:type="dxa"/>
            <w:tcBorders>
              <w:top w:val="single" w:sz="4" w:space="0" w:color="auto"/>
              <w:left w:val="single" w:sz="4" w:space="0" w:color="auto"/>
            </w:tcBorders>
            <w:shd w:val="clear" w:color="auto" w:fill="FFFFFF"/>
          </w:tcPr>
          <w:p w14:paraId="5A0E2676"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BE6552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7E5CD223"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49F6925C" w14:textId="77777777" w:rsidR="008C76E0" w:rsidRPr="00BD7577" w:rsidRDefault="008C76E0" w:rsidP="008C76E0">
            <w:pPr>
              <w:spacing w:after="120" w:line="240" w:lineRule="auto"/>
              <w:rPr>
                <w:rFonts w:ascii="Sylfaen" w:hAnsi="Sylfaen"/>
                <w:sz w:val="24"/>
                <w:szCs w:val="24"/>
              </w:rPr>
            </w:pPr>
          </w:p>
        </w:tc>
      </w:tr>
      <w:tr w:rsidR="008C76E0" w:rsidRPr="00BD7577" w14:paraId="08021A5B" w14:textId="77777777" w:rsidTr="008C76E0">
        <w:trPr>
          <w:jc w:val="center"/>
        </w:trPr>
        <w:tc>
          <w:tcPr>
            <w:tcW w:w="5933" w:type="dxa"/>
            <w:tcBorders>
              <w:top w:val="single" w:sz="4" w:space="0" w:color="auto"/>
              <w:left w:val="single" w:sz="4" w:space="0" w:color="auto"/>
            </w:tcBorders>
            <w:shd w:val="clear" w:color="auto" w:fill="FFFFFF"/>
          </w:tcPr>
          <w:p w14:paraId="707B8A7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917" w:type="dxa"/>
            <w:tcBorders>
              <w:top w:val="single" w:sz="4" w:space="0" w:color="auto"/>
              <w:left w:val="single" w:sz="4" w:space="0" w:color="auto"/>
            </w:tcBorders>
            <w:shd w:val="clear" w:color="auto" w:fill="FFFFFF"/>
          </w:tcPr>
          <w:p w14:paraId="4E7C63A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1506F454"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46D7F004"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51F9774" w14:textId="77777777" w:rsidR="008C76E0" w:rsidRPr="00BD7577" w:rsidRDefault="008C76E0" w:rsidP="008C76E0">
            <w:pPr>
              <w:spacing w:after="120" w:line="240" w:lineRule="auto"/>
              <w:rPr>
                <w:rFonts w:ascii="Sylfaen" w:hAnsi="Sylfaen"/>
                <w:sz w:val="24"/>
                <w:szCs w:val="24"/>
              </w:rPr>
            </w:pPr>
          </w:p>
        </w:tc>
      </w:tr>
      <w:tr w:rsidR="008C76E0" w:rsidRPr="00BD7577" w14:paraId="3DBFFDB5" w14:textId="77777777" w:rsidTr="008C76E0">
        <w:trPr>
          <w:jc w:val="center"/>
        </w:trPr>
        <w:tc>
          <w:tcPr>
            <w:tcW w:w="5933" w:type="dxa"/>
            <w:tcBorders>
              <w:top w:val="single" w:sz="4" w:space="0" w:color="auto"/>
              <w:left w:val="single" w:sz="4" w:space="0" w:color="auto"/>
            </w:tcBorders>
            <w:shd w:val="clear" w:color="auto" w:fill="FFFFFF"/>
          </w:tcPr>
          <w:p w14:paraId="53B9C709"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Գծայնությունը</w:t>
            </w:r>
          </w:p>
        </w:tc>
        <w:tc>
          <w:tcPr>
            <w:tcW w:w="917" w:type="dxa"/>
            <w:tcBorders>
              <w:top w:val="single" w:sz="4" w:space="0" w:color="auto"/>
              <w:left w:val="single" w:sz="4" w:space="0" w:color="auto"/>
            </w:tcBorders>
            <w:shd w:val="clear" w:color="auto" w:fill="FFFFFF"/>
          </w:tcPr>
          <w:p w14:paraId="19158408"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6976DFA0"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06DEA39"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63BF522A" w14:textId="77777777" w:rsidR="008C76E0" w:rsidRPr="00BD7577" w:rsidRDefault="008C76E0" w:rsidP="008C76E0">
            <w:pPr>
              <w:spacing w:after="120" w:line="240" w:lineRule="auto"/>
              <w:rPr>
                <w:rFonts w:ascii="Sylfaen" w:hAnsi="Sylfaen"/>
                <w:sz w:val="24"/>
                <w:szCs w:val="24"/>
              </w:rPr>
            </w:pPr>
          </w:p>
        </w:tc>
      </w:tr>
      <w:tr w:rsidR="008C76E0" w:rsidRPr="00BD7577" w14:paraId="0AA10FCF" w14:textId="77777777" w:rsidTr="008C76E0">
        <w:trPr>
          <w:jc w:val="center"/>
        </w:trPr>
        <w:tc>
          <w:tcPr>
            <w:tcW w:w="5933" w:type="dxa"/>
            <w:tcBorders>
              <w:top w:val="single" w:sz="4" w:space="0" w:color="auto"/>
              <w:left w:val="single" w:sz="4" w:space="0" w:color="auto"/>
            </w:tcBorders>
            <w:shd w:val="clear" w:color="auto" w:fill="FFFFFF"/>
          </w:tcPr>
          <w:p w14:paraId="0974EA8A"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917" w:type="dxa"/>
            <w:tcBorders>
              <w:top w:val="single" w:sz="4" w:space="0" w:color="auto"/>
              <w:left w:val="single" w:sz="4" w:space="0" w:color="auto"/>
            </w:tcBorders>
            <w:shd w:val="clear" w:color="auto" w:fill="FFFFFF"/>
          </w:tcPr>
          <w:p w14:paraId="6556652E"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3E7486A1"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75D9E11"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7D85A1E7" w14:textId="77777777" w:rsidR="008C76E0" w:rsidRPr="00BD7577" w:rsidRDefault="008C76E0" w:rsidP="008C76E0">
            <w:pPr>
              <w:spacing w:after="120" w:line="240" w:lineRule="auto"/>
              <w:rPr>
                <w:rFonts w:ascii="Sylfaen" w:hAnsi="Sylfaen"/>
                <w:sz w:val="24"/>
                <w:szCs w:val="24"/>
              </w:rPr>
            </w:pPr>
          </w:p>
        </w:tc>
      </w:tr>
      <w:tr w:rsidR="008C76E0" w:rsidRPr="00BD7577" w14:paraId="3BBBF0D7" w14:textId="77777777" w:rsidTr="008C76E0">
        <w:trPr>
          <w:jc w:val="center"/>
        </w:trPr>
        <w:tc>
          <w:tcPr>
            <w:tcW w:w="5933" w:type="dxa"/>
            <w:tcBorders>
              <w:top w:val="single" w:sz="4" w:space="0" w:color="auto"/>
              <w:left w:val="single" w:sz="4" w:space="0" w:color="auto"/>
            </w:tcBorders>
            <w:shd w:val="clear" w:color="auto" w:fill="FFFFFF"/>
          </w:tcPr>
          <w:p w14:paraId="5FE83976"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917" w:type="dxa"/>
            <w:tcBorders>
              <w:top w:val="single" w:sz="4" w:space="0" w:color="auto"/>
              <w:left w:val="single" w:sz="4" w:space="0" w:color="auto"/>
            </w:tcBorders>
            <w:shd w:val="clear" w:color="auto" w:fill="FFFFFF"/>
          </w:tcPr>
          <w:p w14:paraId="6AF145B9"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tcBorders>
            <w:shd w:val="clear" w:color="auto" w:fill="FFFFFF"/>
          </w:tcPr>
          <w:p w14:paraId="450CAC97"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tcBorders>
            <w:shd w:val="clear" w:color="auto" w:fill="FFFFFF"/>
          </w:tcPr>
          <w:p w14:paraId="1245E35E"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right w:val="single" w:sz="4" w:space="0" w:color="auto"/>
            </w:tcBorders>
            <w:shd w:val="clear" w:color="auto" w:fill="FFFFFF"/>
          </w:tcPr>
          <w:p w14:paraId="1E303DB4" w14:textId="77777777" w:rsidR="008C76E0" w:rsidRPr="00BD7577" w:rsidRDefault="008C76E0" w:rsidP="008C76E0">
            <w:pPr>
              <w:spacing w:after="120" w:line="240" w:lineRule="auto"/>
              <w:rPr>
                <w:rFonts w:ascii="Sylfaen" w:hAnsi="Sylfaen"/>
                <w:sz w:val="24"/>
                <w:szCs w:val="24"/>
              </w:rPr>
            </w:pPr>
          </w:p>
        </w:tc>
      </w:tr>
      <w:tr w:rsidR="008C76E0" w:rsidRPr="00BD7577" w14:paraId="38738288" w14:textId="77777777" w:rsidTr="008C76E0">
        <w:trPr>
          <w:jc w:val="center"/>
        </w:trPr>
        <w:tc>
          <w:tcPr>
            <w:tcW w:w="5933" w:type="dxa"/>
            <w:tcBorders>
              <w:top w:val="single" w:sz="4" w:space="0" w:color="auto"/>
              <w:left w:val="single" w:sz="4" w:space="0" w:color="auto"/>
              <w:bottom w:val="single" w:sz="4" w:space="0" w:color="auto"/>
            </w:tcBorders>
            <w:shd w:val="clear" w:color="auto" w:fill="FFFFFF"/>
          </w:tcPr>
          <w:p w14:paraId="341348C4" w14:textId="77777777" w:rsidR="008C76E0" w:rsidRPr="00BD7577" w:rsidRDefault="008C76E0" w:rsidP="008C76E0">
            <w:pPr>
              <w:pStyle w:val="Bodytext180"/>
              <w:shd w:val="clear" w:color="auto" w:fill="auto"/>
              <w:spacing w:before="0" w:after="120" w:line="240" w:lineRule="auto"/>
              <w:ind w:firstLine="0"/>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917" w:type="dxa"/>
            <w:tcBorders>
              <w:top w:val="single" w:sz="4" w:space="0" w:color="auto"/>
              <w:left w:val="single" w:sz="4" w:space="0" w:color="auto"/>
              <w:bottom w:val="single" w:sz="4" w:space="0" w:color="auto"/>
            </w:tcBorders>
            <w:shd w:val="clear" w:color="auto" w:fill="FFFFFF"/>
          </w:tcPr>
          <w:p w14:paraId="62DB46D1" w14:textId="77777777" w:rsidR="008C76E0" w:rsidRPr="00BD7577" w:rsidRDefault="008C76E0" w:rsidP="008C76E0">
            <w:pPr>
              <w:spacing w:after="120" w:line="240" w:lineRule="auto"/>
              <w:rPr>
                <w:rFonts w:ascii="Sylfaen" w:hAnsi="Sylfaen"/>
                <w:sz w:val="24"/>
                <w:szCs w:val="24"/>
              </w:rPr>
            </w:pPr>
          </w:p>
        </w:tc>
        <w:tc>
          <w:tcPr>
            <w:tcW w:w="926" w:type="dxa"/>
            <w:tcBorders>
              <w:top w:val="single" w:sz="4" w:space="0" w:color="auto"/>
              <w:left w:val="single" w:sz="4" w:space="0" w:color="auto"/>
              <w:bottom w:val="single" w:sz="4" w:space="0" w:color="auto"/>
            </w:tcBorders>
            <w:shd w:val="clear" w:color="auto" w:fill="FFFFFF"/>
          </w:tcPr>
          <w:p w14:paraId="1138A1EF" w14:textId="77777777" w:rsidR="008C76E0" w:rsidRPr="00BD7577" w:rsidRDefault="008C76E0" w:rsidP="008C76E0">
            <w:pPr>
              <w:spacing w:after="120" w:line="240" w:lineRule="auto"/>
              <w:rPr>
                <w:rFonts w:ascii="Sylfaen" w:hAnsi="Sylfaen"/>
                <w:sz w:val="24"/>
                <w:szCs w:val="24"/>
              </w:rPr>
            </w:pPr>
          </w:p>
        </w:tc>
        <w:tc>
          <w:tcPr>
            <w:tcW w:w="917" w:type="dxa"/>
            <w:tcBorders>
              <w:top w:val="single" w:sz="4" w:space="0" w:color="auto"/>
              <w:left w:val="single" w:sz="4" w:space="0" w:color="auto"/>
              <w:bottom w:val="single" w:sz="4" w:space="0" w:color="auto"/>
            </w:tcBorders>
            <w:shd w:val="clear" w:color="auto" w:fill="FFFFFF"/>
          </w:tcPr>
          <w:p w14:paraId="44A917C7" w14:textId="77777777" w:rsidR="008C76E0" w:rsidRPr="00BD7577" w:rsidRDefault="008C76E0" w:rsidP="008C76E0">
            <w:pPr>
              <w:spacing w:after="120" w:line="240" w:lineRule="auto"/>
              <w:rPr>
                <w:rFonts w:ascii="Sylfaen" w:hAnsi="Sylfaen"/>
                <w:sz w:val="24"/>
                <w:szCs w:val="24"/>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14:paraId="260211D9" w14:textId="77777777" w:rsidR="008C76E0" w:rsidRPr="00BD7577" w:rsidRDefault="008C76E0" w:rsidP="008C76E0">
            <w:pPr>
              <w:spacing w:after="120" w:line="240" w:lineRule="auto"/>
              <w:rPr>
                <w:rFonts w:ascii="Sylfaen" w:hAnsi="Sylfaen"/>
                <w:sz w:val="24"/>
                <w:szCs w:val="24"/>
              </w:rPr>
            </w:pPr>
          </w:p>
        </w:tc>
      </w:tr>
    </w:tbl>
    <w:p w14:paraId="426366EF" w14:textId="77777777" w:rsidR="008C76E0" w:rsidRPr="00BD7577" w:rsidRDefault="008C76E0" w:rsidP="00DE713C">
      <w:pPr>
        <w:spacing w:after="160" w:line="360" w:lineRule="auto"/>
        <w:ind w:left="2977" w:right="180" w:hanging="2277"/>
        <w:jc w:val="both"/>
        <w:rPr>
          <w:rFonts w:ascii="Sylfaen" w:hAnsi="Sylfaen"/>
          <w:sz w:val="24"/>
          <w:szCs w:val="24"/>
        </w:rPr>
      </w:pPr>
      <w:r w:rsidRPr="00BD7577">
        <w:rPr>
          <w:rFonts w:ascii="Sylfaen" w:hAnsi="Sylfaen"/>
          <w:sz w:val="24"/>
          <w:szCs w:val="24"/>
        </w:rPr>
        <w:t>Ծանոթագրություն: «+» նշանը ցույց է տալիս, որ պարամետրի որոշումն իրականցվել է պահանջներին համապատասխան, «մինուս» նշանը՝ պարամետրը չի որոշվել, «?» նշանը՝ հարցերի առկայությունը նախքան պարամետրի ընդունելիության գնահատումը։</w:t>
      </w:r>
    </w:p>
    <w:p w14:paraId="7A70BC42" w14:textId="77777777" w:rsidR="008C76E0" w:rsidRPr="00BD7577" w:rsidRDefault="008C76E0" w:rsidP="00DE713C">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3.4.4.</w:t>
      </w:r>
      <w:r w:rsidRPr="00BD7577">
        <w:rPr>
          <w:rFonts w:ascii="Sylfaen" w:hAnsi="Sylfaen"/>
          <w:sz w:val="24"/>
          <w:szCs w:val="24"/>
        </w:rPr>
        <w:tab/>
        <w:t>Սերիաների անալիզները (սերիաների անալիզի արդյունքները) (բաժին S.4.4)։</w:t>
      </w:r>
    </w:p>
    <w:p w14:paraId="51F31D39"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4E74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18706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9CAD21"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3.4.5.</w:t>
      </w:r>
      <w:r w:rsidRPr="00BD7577">
        <w:rPr>
          <w:rFonts w:ascii="Sylfaen" w:hAnsi="Sylfaen"/>
          <w:sz w:val="24"/>
          <w:szCs w:val="24"/>
        </w:rPr>
        <w:tab/>
        <w:t>Մասնագրի հիմնավորումը (բաժին S.4.5)։</w:t>
      </w:r>
    </w:p>
    <w:p w14:paraId="46AAAE0B"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CE3BAC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67815BE0"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0DBDA62A"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68AE9CAE"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85B3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3F9C62C3"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8C5B6F7"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3D553457" w14:textId="77777777" w:rsidR="008C76E0" w:rsidRPr="00BD7577" w:rsidRDefault="008C76E0" w:rsidP="00D72CF4">
            <w:pPr>
              <w:spacing w:after="160" w:line="360" w:lineRule="auto"/>
              <w:ind w:right="-1"/>
              <w:jc w:val="both"/>
              <w:rPr>
                <w:rFonts w:ascii="Sylfaen" w:hAnsi="Sylfaen"/>
                <w:sz w:val="24"/>
                <w:szCs w:val="24"/>
              </w:rPr>
            </w:pPr>
          </w:p>
        </w:tc>
      </w:tr>
    </w:tbl>
    <w:p w14:paraId="2408CE8A" w14:textId="77777777" w:rsidR="008C76E0" w:rsidRPr="00BD7577" w:rsidRDefault="008C76E0" w:rsidP="00D72CF4">
      <w:pPr>
        <w:spacing w:after="160" w:line="360" w:lineRule="auto"/>
        <w:ind w:left="567" w:right="566"/>
        <w:jc w:val="center"/>
        <w:rPr>
          <w:rFonts w:ascii="Sylfaen" w:hAnsi="Sylfaen"/>
          <w:sz w:val="24"/>
          <w:szCs w:val="24"/>
          <w:lang w:val="en-US"/>
        </w:rPr>
      </w:pPr>
    </w:p>
    <w:p w14:paraId="00E84F71" w14:textId="77777777" w:rsidR="008C76E0" w:rsidRPr="00BD7577" w:rsidRDefault="008C76E0" w:rsidP="00D72CF4">
      <w:pPr>
        <w:spacing w:after="160" w:line="360" w:lineRule="auto"/>
        <w:ind w:left="567" w:right="566"/>
        <w:jc w:val="center"/>
        <w:rPr>
          <w:rFonts w:ascii="Sylfaen" w:hAnsi="Sylfaen"/>
          <w:sz w:val="24"/>
          <w:szCs w:val="24"/>
        </w:rPr>
      </w:pPr>
      <w:r w:rsidRPr="00BD7577">
        <w:rPr>
          <w:rFonts w:ascii="Sylfaen" w:hAnsi="Sylfaen"/>
          <w:sz w:val="24"/>
          <w:szCs w:val="24"/>
        </w:rPr>
        <w:t>3.5. Ստանդարտ նմուշները կամ նյութերը (մոդուլ 3.2.S.5)</w:t>
      </w:r>
    </w:p>
    <w:p w14:paraId="6B3C4437"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11EB98"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487DDBF" w14:textId="77777777" w:rsidR="008C76E0" w:rsidRPr="00BD7577" w:rsidRDefault="008C76E0" w:rsidP="00D72CF4">
      <w:pPr>
        <w:spacing w:after="160" w:line="360"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9268"/>
      </w:tblGrid>
      <w:tr w:rsidR="008C76E0" w:rsidRPr="00BD7577" w14:paraId="58DF50B8" w14:textId="77777777" w:rsidTr="008C76E0">
        <w:trPr>
          <w:jc w:val="center"/>
        </w:trPr>
        <w:tc>
          <w:tcPr>
            <w:tcW w:w="9268" w:type="dxa"/>
            <w:tcBorders>
              <w:top w:val="single" w:sz="4" w:space="0" w:color="auto"/>
              <w:left w:val="single" w:sz="4" w:space="0" w:color="auto"/>
              <w:right w:val="single" w:sz="4" w:space="0" w:color="auto"/>
            </w:tcBorders>
            <w:shd w:val="clear" w:color="auto" w:fill="FFFFFF"/>
            <w:vAlign w:val="bottom"/>
          </w:tcPr>
          <w:p w14:paraId="6B528C5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51ADEFEE" w14:textId="77777777" w:rsidTr="008C76E0">
        <w:trPr>
          <w:jc w:val="center"/>
        </w:trPr>
        <w:tc>
          <w:tcPr>
            <w:tcW w:w="9268" w:type="dxa"/>
            <w:tcBorders>
              <w:top w:val="single" w:sz="4" w:space="0" w:color="auto"/>
              <w:left w:val="single" w:sz="4" w:space="0" w:color="auto"/>
              <w:right w:val="single" w:sz="4" w:space="0" w:color="auto"/>
            </w:tcBorders>
            <w:shd w:val="clear" w:color="auto" w:fill="FFFFFF"/>
          </w:tcPr>
          <w:p w14:paraId="0A289377"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0D3CA0AA" w14:textId="77777777" w:rsidTr="008C76E0">
        <w:trPr>
          <w:jc w:val="center"/>
        </w:trPr>
        <w:tc>
          <w:tcPr>
            <w:tcW w:w="9268" w:type="dxa"/>
            <w:tcBorders>
              <w:top w:val="single" w:sz="4" w:space="0" w:color="auto"/>
              <w:left w:val="single" w:sz="4" w:space="0" w:color="auto"/>
              <w:bottom w:val="single" w:sz="4" w:space="0" w:color="auto"/>
              <w:right w:val="single" w:sz="4" w:space="0" w:color="auto"/>
            </w:tcBorders>
            <w:shd w:val="clear" w:color="auto" w:fill="FFFFFF"/>
          </w:tcPr>
          <w:p w14:paraId="18DA640A" w14:textId="77777777" w:rsidR="008C76E0" w:rsidRPr="00BD7577" w:rsidRDefault="008C76E0" w:rsidP="00D72CF4">
            <w:pPr>
              <w:spacing w:after="160" w:line="360" w:lineRule="auto"/>
              <w:ind w:right="-1"/>
              <w:jc w:val="both"/>
              <w:rPr>
                <w:rFonts w:ascii="Sylfaen" w:hAnsi="Sylfaen"/>
                <w:sz w:val="24"/>
                <w:szCs w:val="24"/>
              </w:rPr>
            </w:pPr>
          </w:p>
        </w:tc>
      </w:tr>
    </w:tbl>
    <w:p w14:paraId="69EC42BE" w14:textId="77777777" w:rsidR="008C76E0" w:rsidRPr="00BD7577" w:rsidRDefault="008C76E0" w:rsidP="00D72CF4">
      <w:pPr>
        <w:spacing w:after="160" w:line="360" w:lineRule="auto"/>
        <w:rPr>
          <w:rFonts w:ascii="Sylfaen" w:eastAsia="Times New Roman" w:hAnsi="Sylfaen" w:cs="Times New Roman"/>
          <w:sz w:val="24"/>
          <w:szCs w:val="24"/>
          <w:lang w:val="en-US"/>
        </w:rPr>
      </w:pPr>
    </w:p>
    <w:p w14:paraId="27C95A93"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3.6.</w:t>
      </w:r>
      <w:r w:rsidRPr="00BD7577">
        <w:rPr>
          <w:rFonts w:ascii="Sylfaen" w:hAnsi="Sylfaen"/>
          <w:sz w:val="24"/>
          <w:szCs w:val="24"/>
          <w:lang w:val="en-US"/>
        </w:rPr>
        <w:t xml:space="preserve"> </w:t>
      </w:r>
      <w:r w:rsidRPr="00BD7577">
        <w:rPr>
          <w:rFonts w:ascii="Sylfaen" w:hAnsi="Sylfaen"/>
          <w:sz w:val="24"/>
          <w:szCs w:val="24"/>
        </w:rPr>
        <w:t>Փաթեթավորման (խցանափակման) համակարգը (մոդուլ 3.2.S.6)</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1"/>
      </w:tblGrid>
      <w:tr w:rsidR="008C76E0" w:rsidRPr="00BD7577" w14:paraId="2ED9C163"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72A4944A"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B2EEA7" w14:textId="77777777" w:rsidTr="008C76E0">
        <w:trPr>
          <w:jc w:val="center"/>
        </w:trPr>
        <w:tc>
          <w:tcPr>
            <w:tcW w:w="9581" w:type="dxa"/>
            <w:tcBorders>
              <w:top w:val="single" w:sz="4" w:space="0" w:color="auto"/>
              <w:left w:val="single" w:sz="4" w:space="0" w:color="auto"/>
              <w:right w:val="single" w:sz="4" w:space="0" w:color="auto"/>
            </w:tcBorders>
            <w:shd w:val="clear" w:color="auto" w:fill="FFFFFF"/>
          </w:tcPr>
          <w:p w14:paraId="72DCB905" w14:textId="77777777" w:rsidR="008C76E0" w:rsidRPr="00BD7577" w:rsidRDefault="008C76E0" w:rsidP="00D72CF4">
            <w:pPr>
              <w:spacing w:after="160" w:line="360" w:lineRule="auto"/>
              <w:ind w:right="-1"/>
              <w:jc w:val="both"/>
              <w:rPr>
                <w:rFonts w:ascii="Sylfaen" w:hAnsi="Sylfaen"/>
                <w:sz w:val="24"/>
                <w:szCs w:val="24"/>
                <w:highlight w:val="yellow"/>
              </w:rPr>
            </w:pPr>
          </w:p>
        </w:tc>
      </w:tr>
      <w:tr w:rsidR="008C76E0" w:rsidRPr="00BD7577" w14:paraId="239B35D6" w14:textId="77777777" w:rsidTr="008C76E0">
        <w:trPr>
          <w:jc w:val="center"/>
        </w:trPr>
        <w:tc>
          <w:tcPr>
            <w:tcW w:w="9581" w:type="dxa"/>
            <w:tcBorders>
              <w:top w:val="single" w:sz="4" w:space="0" w:color="auto"/>
              <w:left w:val="single" w:sz="4" w:space="0" w:color="auto"/>
              <w:bottom w:val="single" w:sz="4" w:space="0" w:color="auto"/>
              <w:right w:val="single" w:sz="4" w:space="0" w:color="auto"/>
            </w:tcBorders>
            <w:shd w:val="clear" w:color="auto" w:fill="FFFFFF"/>
          </w:tcPr>
          <w:p w14:paraId="237A3DA2" w14:textId="77777777" w:rsidR="008C76E0" w:rsidRPr="00BD7577" w:rsidRDefault="008C76E0" w:rsidP="00D72CF4">
            <w:pPr>
              <w:spacing w:after="160" w:line="360" w:lineRule="auto"/>
              <w:ind w:right="-1"/>
              <w:jc w:val="both"/>
              <w:rPr>
                <w:rFonts w:ascii="Sylfaen" w:hAnsi="Sylfaen"/>
                <w:sz w:val="24"/>
                <w:szCs w:val="24"/>
              </w:rPr>
            </w:pPr>
          </w:p>
        </w:tc>
      </w:tr>
    </w:tbl>
    <w:p w14:paraId="146D1F3F" w14:textId="77777777" w:rsidR="008C76E0" w:rsidRPr="00BD7577" w:rsidRDefault="008C76E0" w:rsidP="00D72CF4">
      <w:pPr>
        <w:tabs>
          <w:tab w:val="left" w:pos="1418"/>
        </w:tabs>
        <w:spacing w:after="160" w:line="360" w:lineRule="auto"/>
        <w:ind w:firstLine="567"/>
        <w:rPr>
          <w:rFonts w:ascii="Sylfaen" w:hAnsi="Sylfaen"/>
          <w:sz w:val="24"/>
          <w:szCs w:val="24"/>
        </w:rPr>
      </w:pPr>
    </w:p>
    <w:p w14:paraId="395478D2"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3.7. Կայունությունը (մոդուլ 3.2.S.7)</w:t>
      </w:r>
    </w:p>
    <w:p w14:paraId="78ABEE52" w14:textId="77777777" w:rsidR="008C76E0" w:rsidRPr="00BD7577" w:rsidRDefault="008C76E0" w:rsidP="00D72CF4">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3.7.1.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S.7.1)։ </w:t>
      </w:r>
    </w:p>
    <w:p w14:paraId="76E2BE6A"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73AFE7CF"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CE16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C408B09" w14:textId="77777777" w:rsidR="008C76E0" w:rsidRPr="00BD7577" w:rsidRDefault="008C76E0" w:rsidP="00D72CF4">
      <w:pPr>
        <w:tabs>
          <w:tab w:val="left" w:pos="1418"/>
        </w:tabs>
        <w:spacing w:after="160" w:line="360" w:lineRule="auto"/>
        <w:ind w:firstLine="567"/>
        <w:rPr>
          <w:rFonts w:ascii="Sylfaen" w:hAnsi="Sylfaen"/>
          <w:sz w:val="24"/>
          <w:szCs w:val="24"/>
        </w:rPr>
      </w:pPr>
    </w:p>
    <w:p w14:paraId="23227E7C" w14:textId="77777777" w:rsidR="00770E2B" w:rsidRDefault="00770E2B" w:rsidP="00D72CF4">
      <w:pPr>
        <w:widowControl/>
        <w:spacing w:after="160" w:line="360" w:lineRule="auto"/>
        <w:rPr>
          <w:rFonts w:ascii="Sylfaen" w:hAnsi="Sylfaen"/>
          <w:sz w:val="24"/>
          <w:szCs w:val="24"/>
        </w:rPr>
      </w:pPr>
      <w:r>
        <w:rPr>
          <w:rFonts w:ascii="Sylfaen" w:hAnsi="Sylfaen"/>
          <w:sz w:val="24"/>
          <w:szCs w:val="24"/>
        </w:rPr>
        <w:br w:type="page"/>
      </w:r>
    </w:p>
    <w:p w14:paraId="7D5B26F2"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Աղյուսակ S. 7-1</w:t>
      </w:r>
    </w:p>
    <w:p w14:paraId="2CF21231" w14:textId="77777777" w:rsidR="008C76E0" w:rsidRPr="00BD7577" w:rsidRDefault="008C76E0" w:rsidP="008C76E0">
      <w:pPr>
        <w:ind w:right="-1"/>
        <w:rPr>
          <w:rFonts w:ascii="Sylfaen" w:hAnsi="Sylfaen"/>
          <w:sz w:val="24"/>
          <w:szCs w:val="24"/>
        </w:rPr>
      </w:pPr>
      <w:r w:rsidRPr="00BD7577">
        <w:rPr>
          <w:rFonts w:ascii="Sylfaen" w:hAnsi="Sylfaen"/>
          <w:sz w:val="24"/>
          <w:szCs w:val="24"/>
        </w:rPr>
        <w:t>Կայունության փորձարկումները</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2669"/>
        <w:gridCol w:w="1454"/>
        <w:gridCol w:w="3836"/>
        <w:gridCol w:w="2242"/>
      </w:tblGrid>
      <w:tr w:rsidR="008C76E0" w:rsidRPr="00BD7577" w14:paraId="758F05AE" w14:textId="77777777" w:rsidTr="008C76E0">
        <w:trPr>
          <w:jc w:val="center"/>
        </w:trPr>
        <w:tc>
          <w:tcPr>
            <w:tcW w:w="2669" w:type="dxa"/>
            <w:tcBorders>
              <w:top w:val="single" w:sz="4" w:space="0" w:color="auto"/>
              <w:left w:val="single" w:sz="4" w:space="0" w:color="auto"/>
            </w:tcBorders>
            <w:shd w:val="clear" w:color="auto" w:fill="FFFFFF"/>
          </w:tcPr>
          <w:p w14:paraId="5DB0BA71" w14:textId="77777777" w:rsidR="008C76E0" w:rsidRPr="008C76E0" w:rsidRDefault="008C76E0" w:rsidP="008C76E0">
            <w:pPr>
              <w:pStyle w:val="Bodytext180"/>
              <w:shd w:val="clear" w:color="auto" w:fill="auto"/>
              <w:spacing w:before="0" w:after="160" w:line="36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5FED5651"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295pt"/>
                <w:rFonts w:ascii="Sylfaen" w:hAnsi="Sylfaen"/>
                <w:spacing w:val="0"/>
                <w:sz w:val="24"/>
                <w:szCs w:val="24"/>
              </w:rPr>
              <w:t>n</w:t>
            </w:r>
            <w:r w:rsidRPr="00BD7577">
              <w:rPr>
                <w:rStyle w:val="Bodytext1811pt"/>
                <w:rFonts w:ascii="Sylfaen" w:hAnsi="Sylfaen"/>
                <w:sz w:val="24"/>
                <w:szCs w:val="24"/>
              </w:rPr>
              <w:t xml:space="preserve"> սերիաներ х ամիսներ</w:t>
            </w:r>
          </w:p>
        </w:tc>
        <w:tc>
          <w:tcPr>
            <w:tcW w:w="3836" w:type="dxa"/>
            <w:tcBorders>
              <w:top w:val="single" w:sz="4" w:space="0" w:color="auto"/>
              <w:left w:val="single" w:sz="4" w:space="0" w:color="auto"/>
            </w:tcBorders>
            <w:shd w:val="clear" w:color="auto" w:fill="FFFFFF"/>
          </w:tcPr>
          <w:p w14:paraId="2F155664"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242" w:type="dxa"/>
            <w:tcBorders>
              <w:top w:val="single" w:sz="4" w:space="0" w:color="auto"/>
              <w:left w:val="single" w:sz="4" w:space="0" w:color="auto"/>
              <w:right w:val="single" w:sz="4" w:space="0" w:color="auto"/>
            </w:tcBorders>
            <w:shd w:val="clear" w:color="auto" w:fill="FFFFFF"/>
          </w:tcPr>
          <w:p w14:paraId="60A0028F" w14:textId="77777777" w:rsidR="008C76E0" w:rsidRPr="00BD7577"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BD7577">
              <w:rPr>
                <w:rStyle w:val="Bodytext1811pt"/>
                <w:rFonts w:ascii="Sylfaen" w:hAnsi="Sylfaen"/>
                <w:sz w:val="24"/>
                <w:szCs w:val="24"/>
              </w:rPr>
              <w:t>Փաթեթվածքը</w:t>
            </w:r>
          </w:p>
        </w:tc>
      </w:tr>
      <w:tr w:rsidR="008C76E0" w:rsidRPr="00BD7577" w14:paraId="74BB2CA0" w14:textId="77777777" w:rsidTr="008C76E0">
        <w:trPr>
          <w:jc w:val="center"/>
        </w:trPr>
        <w:tc>
          <w:tcPr>
            <w:tcW w:w="2669" w:type="dxa"/>
            <w:tcBorders>
              <w:top w:val="single" w:sz="4" w:space="0" w:color="auto"/>
              <w:left w:val="single" w:sz="4" w:space="0" w:color="auto"/>
            </w:tcBorders>
            <w:shd w:val="clear" w:color="auto" w:fill="FFFFFF"/>
          </w:tcPr>
          <w:p w14:paraId="0AD9ED55"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25°C / ՀԽ 60 %</w:t>
            </w:r>
          </w:p>
        </w:tc>
        <w:tc>
          <w:tcPr>
            <w:tcW w:w="1454" w:type="dxa"/>
            <w:tcBorders>
              <w:top w:val="single" w:sz="4" w:space="0" w:color="auto"/>
              <w:left w:val="single" w:sz="4" w:space="0" w:color="auto"/>
            </w:tcBorders>
            <w:shd w:val="clear" w:color="auto" w:fill="FFFFFF"/>
          </w:tcPr>
          <w:p w14:paraId="657298F0"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78621ED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242" w:type="dxa"/>
            <w:tcBorders>
              <w:top w:val="single" w:sz="4" w:space="0" w:color="auto"/>
              <w:left w:val="single" w:sz="4" w:space="0" w:color="auto"/>
              <w:right w:val="single" w:sz="4" w:space="0" w:color="auto"/>
            </w:tcBorders>
            <w:shd w:val="clear" w:color="auto" w:fill="FFFFFF"/>
          </w:tcPr>
          <w:p w14:paraId="67459D94" w14:textId="77777777" w:rsidR="008C76E0" w:rsidRPr="008C76E0" w:rsidRDefault="008C76E0" w:rsidP="008C76E0">
            <w:pPr>
              <w:pStyle w:val="Bodytext180"/>
              <w:shd w:val="clear" w:color="auto" w:fill="auto"/>
              <w:spacing w:before="0" w:after="160" w:line="360" w:lineRule="auto"/>
              <w:ind w:left="185" w:right="-1"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387BE783" w14:textId="77777777" w:rsidTr="008C76E0">
        <w:trPr>
          <w:jc w:val="center"/>
        </w:trPr>
        <w:tc>
          <w:tcPr>
            <w:tcW w:w="2669" w:type="dxa"/>
            <w:tcBorders>
              <w:top w:val="single" w:sz="4" w:space="0" w:color="auto"/>
              <w:left w:val="single" w:sz="4" w:space="0" w:color="auto"/>
            </w:tcBorders>
            <w:shd w:val="clear" w:color="auto" w:fill="FFFFFF"/>
          </w:tcPr>
          <w:p w14:paraId="4BABEB9D" w14:textId="77777777" w:rsidR="008C76E0" w:rsidRPr="00BD7577" w:rsidRDefault="008C76E0" w:rsidP="008C76E0">
            <w:pPr>
              <w:pStyle w:val="Bodytext180"/>
              <w:shd w:val="clear" w:color="auto" w:fill="auto"/>
              <w:spacing w:before="0" w:after="160" w:line="360" w:lineRule="auto"/>
              <w:ind w:left="129" w:right="-1" w:firstLine="0"/>
              <w:rPr>
                <w:rFonts w:ascii="Sylfaen" w:hAnsi="Sylfaen"/>
                <w:b w:val="0"/>
                <w:sz w:val="24"/>
                <w:szCs w:val="24"/>
              </w:rPr>
            </w:pPr>
            <w:r w:rsidRPr="00BD7577">
              <w:rPr>
                <w:rStyle w:val="Bodytext1811pt"/>
                <w:rFonts w:ascii="Sylfaen" w:hAnsi="Sylfaen"/>
                <w:sz w:val="24"/>
                <w:szCs w:val="24"/>
              </w:rPr>
              <w:t>40°C / ՀԽ 75 %</w:t>
            </w:r>
          </w:p>
        </w:tc>
        <w:tc>
          <w:tcPr>
            <w:tcW w:w="1454" w:type="dxa"/>
            <w:tcBorders>
              <w:top w:val="single" w:sz="4" w:space="0" w:color="auto"/>
              <w:left w:val="single" w:sz="4" w:space="0" w:color="auto"/>
            </w:tcBorders>
            <w:shd w:val="clear" w:color="auto" w:fill="FFFFFF"/>
          </w:tcPr>
          <w:p w14:paraId="1D7AB8AF"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tcBorders>
            <w:shd w:val="clear" w:color="auto" w:fill="FFFFFF"/>
          </w:tcPr>
          <w:p w14:paraId="080BD277"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right w:val="single" w:sz="4" w:space="0" w:color="auto"/>
            </w:tcBorders>
            <w:shd w:val="clear" w:color="auto" w:fill="FFFFFF"/>
          </w:tcPr>
          <w:p w14:paraId="4895DE3F" w14:textId="77777777" w:rsidR="008C76E0" w:rsidRPr="00BD7577" w:rsidRDefault="008C76E0" w:rsidP="008C76E0">
            <w:pPr>
              <w:ind w:right="-1"/>
              <w:rPr>
                <w:rFonts w:ascii="Sylfaen" w:hAnsi="Sylfaen"/>
                <w:sz w:val="24"/>
                <w:szCs w:val="24"/>
              </w:rPr>
            </w:pPr>
          </w:p>
        </w:tc>
      </w:tr>
      <w:tr w:rsidR="008C76E0" w:rsidRPr="00BD7577" w14:paraId="3C2F2394" w14:textId="77777777" w:rsidTr="008C76E0">
        <w:trPr>
          <w:jc w:val="center"/>
        </w:trPr>
        <w:tc>
          <w:tcPr>
            <w:tcW w:w="2669" w:type="dxa"/>
            <w:tcBorders>
              <w:top w:val="single" w:sz="4" w:space="0" w:color="auto"/>
              <w:left w:val="single" w:sz="4" w:space="0" w:color="auto"/>
              <w:bottom w:val="single" w:sz="4" w:space="0" w:color="auto"/>
            </w:tcBorders>
            <w:shd w:val="clear" w:color="auto" w:fill="FFFFFF"/>
          </w:tcPr>
          <w:p w14:paraId="046D5127" w14:textId="77777777" w:rsidR="008C76E0" w:rsidRPr="00BD7577" w:rsidRDefault="008C76E0" w:rsidP="008C76E0">
            <w:pPr>
              <w:ind w:left="129"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70CF005C" w14:textId="77777777" w:rsidR="008C76E0" w:rsidRPr="00BD7577" w:rsidRDefault="008C76E0" w:rsidP="008C76E0">
            <w:pPr>
              <w:ind w:right="-1"/>
              <w:rPr>
                <w:rFonts w:ascii="Sylfaen" w:hAnsi="Sylfaen"/>
                <w:sz w:val="24"/>
                <w:szCs w:val="24"/>
              </w:rPr>
            </w:pPr>
          </w:p>
        </w:tc>
        <w:tc>
          <w:tcPr>
            <w:tcW w:w="3836" w:type="dxa"/>
            <w:tcBorders>
              <w:top w:val="single" w:sz="4" w:space="0" w:color="auto"/>
              <w:left w:val="single" w:sz="4" w:space="0" w:color="auto"/>
              <w:bottom w:val="single" w:sz="4" w:space="0" w:color="auto"/>
            </w:tcBorders>
            <w:shd w:val="clear" w:color="auto" w:fill="FFFFFF"/>
          </w:tcPr>
          <w:p w14:paraId="504DB64B" w14:textId="77777777" w:rsidR="008C76E0" w:rsidRPr="00BD7577" w:rsidRDefault="008C76E0" w:rsidP="008C76E0">
            <w:pPr>
              <w:ind w:right="-1"/>
              <w:rPr>
                <w:rFonts w:ascii="Sylfaen" w:hAnsi="Sylfaen"/>
                <w:sz w:val="24"/>
                <w:szCs w:val="24"/>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14:paraId="5057323D" w14:textId="77777777" w:rsidR="008C76E0" w:rsidRPr="00BD7577" w:rsidRDefault="008C76E0" w:rsidP="008C76E0">
            <w:pPr>
              <w:ind w:right="-1"/>
              <w:rPr>
                <w:rFonts w:ascii="Sylfaen" w:hAnsi="Sylfaen"/>
                <w:sz w:val="24"/>
                <w:szCs w:val="24"/>
              </w:rPr>
            </w:pPr>
          </w:p>
        </w:tc>
      </w:tr>
    </w:tbl>
    <w:p w14:paraId="7774C14D"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 (բաժին S.7.2):</w:t>
      </w:r>
    </w:p>
    <w:p w14:paraId="55288D53"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FC287C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4E013AB"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5F654F" w14:textId="77777777" w:rsidR="008C76E0" w:rsidRPr="00BD7577" w:rsidRDefault="008C76E0" w:rsidP="00D72CF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3.7.3.</w:t>
      </w:r>
      <w:r w:rsidRPr="00BD7577">
        <w:rPr>
          <w:rFonts w:ascii="Sylfaen" w:hAnsi="Sylfaen"/>
          <w:sz w:val="24"/>
          <w:szCs w:val="24"/>
        </w:rPr>
        <w:tab/>
        <w:t xml:space="preserve">Կայունության վերաբերյալ փորձարկումների տվյալները </w:t>
      </w:r>
      <w:r w:rsidRPr="00A84E19">
        <w:rPr>
          <w:rFonts w:ascii="Sylfaen" w:hAnsi="Sylfaen"/>
          <w:sz w:val="24"/>
          <w:szCs w:val="24"/>
        </w:rPr>
        <w:br/>
      </w:r>
      <w:r w:rsidRPr="00BD7577">
        <w:rPr>
          <w:rFonts w:ascii="Sylfaen" w:hAnsi="Sylfaen"/>
          <w:sz w:val="24"/>
          <w:szCs w:val="24"/>
        </w:rPr>
        <w:t>(բաժին S.7.3):</w:t>
      </w:r>
    </w:p>
    <w:p w14:paraId="4DBE478A" w14:textId="77777777" w:rsidR="008C76E0" w:rsidRPr="00BD7577" w:rsidRDefault="008C76E0" w:rsidP="00D72CF4">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Կայունության փորձարկման այն տվյալները, որոնց վրա հիմնվում է S.7.1 բաժնի համառոտ ամփոփումն ու եզրակացությունը, ներառվում են դոսյեում։</w:t>
      </w:r>
    </w:p>
    <w:p w14:paraId="17CB49AF"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D67C2A"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663CEF"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96FC92C"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1C3C8966" w14:textId="77777777" w:rsidR="008C76E0" w:rsidRPr="00BD7577" w:rsidRDefault="008C76E0" w:rsidP="00D72CF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0CFB1982"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308582E3" w14:textId="77777777" w:rsidR="008C76E0" w:rsidRPr="00BD7577" w:rsidRDefault="008C76E0" w:rsidP="008C76E0">
            <w:pPr>
              <w:ind w:right="-1"/>
              <w:jc w:val="both"/>
              <w:rPr>
                <w:rFonts w:ascii="Sylfaen" w:hAnsi="Sylfaen"/>
                <w:sz w:val="24"/>
                <w:szCs w:val="24"/>
                <w:highlight w:val="yellow"/>
              </w:rPr>
            </w:pPr>
          </w:p>
        </w:tc>
      </w:tr>
      <w:tr w:rsidR="008C76E0" w:rsidRPr="00BD7577" w14:paraId="7484D65D"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180E37F1" w14:textId="77777777" w:rsidR="008C76E0" w:rsidRPr="00BD7577" w:rsidRDefault="008C76E0" w:rsidP="008C76E0">
            <w:pPr>
              <w:ind w:right="-1"/>
              <w:jc w:val="both"/>
              <w:rPr>
                <w:rFonts w:ascii="Sylfaen" w:hAnsi="Sylfaen"/>
                <w:sz w:val="24"/>
                <w:szCs w:val="24"/>
              </w:rPr>
            </w:pPr>
          </w:p>
        </w:tc>
      </w:tr>
    </w:tbl>
    <w:p w14:paraId="2720A85F" w14:textId="77777777" w:rsidR="008C76E0" w:rsidRPr="00BD7577" w:rsidRDefault="008C76E0" w:rsidP="00D72CF4">
      <w:pPr>
        <w:tabs>
          <w:tab w:val="left" w:pos="1418"/>
        </w:tabs>
        <w:spacing w:after="160" w:line="360" w:lineRule="auto"/>
        <w:ind w:left="567" w:right="566"/>
        <w:jc w:val="center"/>
        <w:rPr>
          <w:rFonts w:ascii="Sylfaen" w:hAnsi="Sylfaen"/>
          <w:sz w:val="24"/>
          <w:szCs w:val="24"/>
        </w:rPr>
      </w:pPr>
      <w:r w:rsidRPr="00BD7577">
        <w:rPr>
          <w:rFonts w:ascii="Sylfaen" w:hAnsi="Sylfaen"/>
          <w:sz w:val="24"/>
          <w:szCs w:val="24"/>
        </w:rPr>
        <w:t>4.</w:t>
      </w:r>
      <w:r w:rsidRPr="00BD7577">
        <w:rPr>
          <w:rFonts w:ascii="Sylfaen" w:hAnsi="Sylfaen"/>
          <w:sz w:val="24"/>
          <w:szCs w:val="24"/>
          <w:lang w:val="en-US"/>
        </w:rPr>
        <w:t xml:space="preserve"> </w:t>
      </w:r>
      <w:r w:rsidRPr="00BD7577">
        <w:rPr>
          <w:rFonts w:ascii="Sylfaen" w:hAnsi="Sylfaen"/>
          <w:sz w:val="24"/>
          <w:szCs w:val="24"/>
        </w:rPr>
        <w:t>Դեղապատրաստուկը (մոդուլ 3.2.P)</w:t>
      </w:r>
    </w:p>
    <w:p w14:paraId="2AE7FE48" w14:textId="77777777" w:rsidR="008C76E0" w:rsidRPr="00BD7577" w:rsidRDefault="008C76E0" w:rsidP="00D72CF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12EBB9"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E9CA55"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40C93" w14:textId="77777777" w:rsidR="008C76E0" w:rsidRPr="00BD7577" w:rsidRDefault="008C76E0" w:rsidP="004C0BC5">
      <w:pPr>
        <w:widowControl/>
        <w:spacing w:after="160" w:line="336" w:lineRule="auto"/>
        <w:jc w:val="both"/>
        <w:rPr>
          <w:rFonts w:ascii="Sylfaen" w:eastAsia="Times New Roman" w:hAnsi="Sylfaen" w:cs="Times New Roman"/>
          <w:sz w:val="24"/>
          <w:szCs w:val="24"/>
        </w:rPr>
      </w:pPr>
    </w:p>
    <w:p w14:paraId="5F633A3E" w14:textId="77777777" w:rsidR="008C76E0" w:rsidRPr="00BD7577" w:rsidRDefault="008C76E0" w:rsidP="004C0BC5">
      <w:pPr>
        <w:tabs>
          <w:tab w:val="left" w:pos="1418"/>
        </w:tabs>
        <w:spacing w:after="160" w:line="336" w:lineRule="auto"/>
        <w:ind w:left="567" w:right="566"/>
        <w:jc w:val="center"/>
        <w:rPr>
          <w:rFonts w:ascii="Sylfaen" w:hAnsi="Sylfaen"/>
          <w:sz w:val="24"/>
          <w:szCs w:val="24"/>
        </w:rPr>
      </w:pPr>
      <w:r w:rsidRPr="00BD7577">
        <w:rPr>
          <w:rFonts w:ascii="Sylfaen" w:hAnsi="Sylfaen"/>
          <w:sz w:val="24"/>
          <w:szCs w:val="24"/>
        </w:rPr>
        <w:t xml:space="preserve">4.1. Դեղապատրաստուկի նկարագրությունը </w:t>
      </w:r>
      <w:r w:rsidR="00C54D75">
        <w:rPr>
          <w:rFonts w:ascii="Sylfaen" w:hAnsi="Sylfaen"/>
          <w:sz w:val="24"/>
          <w:szCs w:val="24"/>
        </w:rPr>
        <w:t>և</w:t>
      </w:r>
      <w:r w:rsidRPr="00BD7577">
        <w:rPr>
          <w:rFonts w:ascii="Sylfaen" w:hAnsi="Sylfaen"/>
          <w:sz w:val="24"/>
          <w:szCs w:val="24"/>
        </w:rPr>
        <w:t xml:space="preserve"> բաղադրությունը </w:t>
      </w:r>
      <w:r w:rsidRPr="00BD7577">
        <w:rPr>
          <w:rFonts w:ascii="Sylfaen" w:hAnsi="Sylfaen"/>
          <w:sz w:val="24"/>
          <w:szCs w:val="24"/>
        </w:rPr>
        <w:br/>
        <w:t>(մոդուլ 3.2.P.1)</w:t>
      </w:r>
    </w:p>
    <w:p w14:paraId="7CBE4A5D" w14:textId="77777777" w:rsidR="008C76E0" w:rsidRPr="00BD7577" w:rsidRDefault="008C76E0" w:rsidP="004C0BC5">
      <w:pPr>
        <w:spacing w:after="160"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B37DCEE" w14:textId="77777777" w:rsidR="008C76E0" w:rsidRPr="00BD7577" w:rsidRDefault="008C76E0" w:rsidP="00D72CF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92355C7" w14:textId="77777777" w:rsidR="008C76E0" w:rsidRPr="00BD7577" w:rsidRDefault="008C76E0" w:rsidP="00D72CF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9E796C" w14:textId="77777777" w:rsidR="008C76E0" w:rsidRPr="00BD7577" w:rsidRDefault="008C76E0" w:rsidP="004C0BC5">
      <w:pPr>
        <w:tabs>
          <w:tab w:val="left" w:pos="1418"/>
        </w:tabs>
        <w:spacing w:after="160" w:line="336" w:lineRule="auto"/>
        <w:ind w:right="-1" w:firstLine="567"/>
        <w:jc w:val="both"/>
        <w:rPr>
          <w:rFonts w:ascii="Sylfaen" w:hAnsi="Sylfaen"/>
          <w:sz w:val="24"/>
          <w:szCs w:val="24"/>
        </w:rPr>
      </w:pPr>
      <w:r w:rsidRPr="00BD7577">
        <w:rPr>
          <w:rFonts w:ascii="Sylfaen" w:hAnsi="Sylfaen"/>
          <w:sz w:val="24"/>
          <w:szCs w:val="24"/>
        </w:rPr>
        <w:t>&lt;Դեղապատրաստուկի անվանումը&gt; բաղադրությունը ներկայացված է P.1-1 աղյուսակում։</w:t>
      </w:r>
    </w:p>
    <w:p w14:paraId="09A5250A" w14:textId="77777777" w:rsidR="008C76E0" w:rsidRPr="00E15E7D" w:rsidRDefault="008C76E0" w:rsidP="004C0BC5">
      <w:pPr>
        <w:widowControl/>
        <w:spacing w:after="160" w:line="336" w:lineRule="auto"/>
        <w:rPr>
          <w:rFonts w:ascii="Sylfaen" w:hAnsi="Sylfaen"/>
          <w:sz w:val="24"/>
          <w:szCs w:val="24"/>
        </w:rPr>
      </w:pPr>
    </w:p>
    <w:p w14:paraId="1F8AAD67"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r w:rsidRPr="00BD7577">
        <w:rPr>
          <w:rFonts w:ascii="Sylfaen" w:hAnsi="Sylfaen"/>
          <w:sz w:val="24"/>
          <w:szCs w:val="24"/>
        </w:rPr>
        <w:t>Աղյուսակ P.1-1</w:t>
      </w:r>
    </w:p>
    <w:p w14:paraId="262B07CF" w14:textId="77777777" w:rsidR="008C76E0" w:rsidRPr="00DD61E4" w:rsidRDefault="008C76E0" w:rsidP="004C0BC5">
      <w:pPr>
        <w:tabs>
          <w:tab w:val="left" w:pos="1418"/>
        </w:tabs>
        <w:spacing w:after="160" w:line="336" w:lineRule="auto"/>
        <w:ind w:right="-1" w:firstLine="567"/>
        <w:jc w:val="right"/>
        <w:rPr>
          <w:rFonts w:ascii="Sylfaen" w:hAnsi="Sylfaen"/>
          <w:sz w:val="24"/>
          <w:szCs w:val="24"/>
        </w:rPr>
      </w:pPr>
    </w:p>
    <w:p w14:paraId="5BD75D4D" w14:textId="77777777" w:rsidR="008C76E0" w:rsidRPr="00BD7577" w:rsidRDefault="008C76E0" w:rsidP="004C0BC5">
      <w:pPr>
        <w:spacing w:after="160" w:line="336" w:lineRule="auto"/>
        <w:ind w:right="-1"/>
        <w:jc w:val="center"/>
        <w:rPr>
          <w:rFonts w:ascii="Sylfaen" w:hAnsi="Sylfaen"/>
          <w:sz w:val="24"/>
          <w:szCs w:val="24"/>
        </w:rPr>
      </w:pPr>
      <w:r w:rsidRPr="00BD7577">
        <w:rPr>
          <w:rFonts w:ascii="Sylfaen" w:hAnsi="Sylfaen"/>
          <w:sz w:val="24"/>
          <w:szCs w:val="24"/>
        </w:rPr>
        <w:t xml:space="preserve">&lt;Դեղապատրաստուկի անվանումը&gt; </w:t>
      </w:r>
      <w:r w:rsidRPr="00DD61E4">
        <w:rPr>
          <w:rFonts w:ascii="Sylfaen" w:hAnsi="Sylfaen"/>
          <w:sz w:val="24"/>
          <w:szCs w:val="24"/>
        </w:rPr>
        <w:br/>
      </w:r>
      <w:r w:rsidRPr="00BD7577">
        <w:rPr>
          <w:rFonts w:ascii="Sylfaen" w:hAnsi="Sylfaen"/>
          <w:sz w:val="24"/>
          <w:szCs w:val="24"/>
        </w:rPr>
        <w:t>ամբողջական բաղադրությունը</w:t>
      </w:r>
    </w:p>
    <w:tbl>
      <w:tblPr>
        <w:tblOverlap w:val="never"/>
        <w:tblW w:w="9596" w:type="dxa"/>
        <w:jc w:val="center"/>
        <w:tblLayout w:type="fixed"/>
        <w:tblCellMar>
          <w:left w:w="10" w:type="dxa"/>
          <w:right w:w="10" w:type="dxa"/>
        </w:tblCellMar>
        <w:tblLook w:val="04A0" w:firstRow="1" w:lastRow="0" w:firstColumn="1" w:lastColumn="0" w:noHBand="0" w:noVBand="1"/>
      </w:tblPr>
      <w:tblGrid>
        <w:gridCol w:w="1714"/>
        <w:gridCol w:w="994"/>
        <w:gridCol w:w="2270"/>
        <w:gridCol w:w="2266"/>
        <w:gridCol w:w="2352"/>
      </w:tblGrid>
      <w:tr w:rsidR="008C76E0" w:rsidRPr="00BD7577" w14:paraId="00BB392C" w14:textId="77777777" w:rsidTr="008C76E0">
        <w:trPr>
          <w:jc w:val="center"/>
        </w:trPr>
        <w:tc>
          <w:tcPr>
            <w:tcW w:w="1714" w:type="dxa"/>
            <w:tcBorders>
              <w:top w:val="single" w:sz="4" w:space="0" w:color="auto"/>
              <w:left w:val="single" w:sz="4" w:space="0" w:color="auto"/>
            </w:tcBorders>
            <w:shd w:val="clear" w:color="auto" w:fill="FFFFFF"/>
          </w:tcPr>
          <w:p w14:paraId="7023294A" w14:textId="77777777" w:rsidR="008C76E0" w:rsidRPr="00BD7577" w:rsidRDefault="008C76E0" w:rsidP="008C76E0">
            <w:pPr>
              <w:pStyle w:val="Bodytext180"/>
              <w:shd w:val="clear" w:color="auto" w:fill="auto"/>
              <w:spacing w:before="0" w:after="120" w:line="240" w:lineRule="auto"/>
              <w:ind w:left="145" w:right="57" w:firstLine="0"/>
              <w:jc w:val="center"/>
              <w:rPr>
                <w:rFonts w:ascii="Sylfaen" w:hAnsi="Sylfaen"/>
                <w:b w:val="0"/>
                <w:sz w:val="24"/>
                <w:szCs w:val="24"/>
              </w:rPr>
            </w:pPr>
            <w:r w:rsidRPr="00BD7577">
              <w:rPr>
                <w:rStyle w:val="Bodytext1811pt"/>
                <w:rFonts w:ascii="Sylfaen" w:hAnsi="Sylfaen"/>
                <w:sz w:val="24"/>
                <w:szCs w:val="24"/>
              </w:rPr>
              <w:t>Բաղադրիչը</w:t>
            </w:r>
          </w:p>
        </w:tc>
        <w:tc>
          <w:tcPr>
            <w:tcW w:w="994" w:type="dxa"/>
            <w:tcBorders>
              <w:top w:val="single" w:sz="4" w:space="0" w:color="auto"/>
              <w:left w:val="single" w:sz="4" w:space="0" w:color="auto"/>
            </w:tcBorders>
            <w:shd w:val="clear" w:color="auto" w:fill="FFFFFF"/>
          </w:tcPr>
          <w:p w14:paraId="0FF3DF5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Հղում ՆՓ-ին</w:t>
            </w:r>
          </w:p>
        </w:tc>
        <w:tc>
          <w:tcPr>
            <w:tcW w:w="2270" w:type="dxa"/>
            <w:tcBorders>
              <w:top w:val="single" w:sz="4" w:space="0" w:color="auto"/>
              <w:left w:val="single" w:sz="4" w:space="0" w:color="auto"/>
            </w:tcBorders>
            <w:shd w:val="clear" w:color="auto" w:fill="FFFFFF"/>
            <w:vAlign w:val="bottom"/>
          </w:tcPr>
          <w:p w14:paraId="19CADB67"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266" w:type="dxa"/>
            <w:tcBorders>
              <w:top w:val="single" w:sz="4" w:space="0" w:color="auto"/>
              <w:left w:val="single" w:sz="4" w:space="0" w:color="auto"/>
            </w:tcBorders>
            <w:shd w:val="clear" w:color="auto" w:fill="FFFFFF"/>
            <w:vAlign w:val="bottom"/>
          </w:tcPr>
          <w:p w14:paraId="164FC202"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&lt;Անվանումը&gt; Քանակը (&lt;անվանումը&gt;)</w:t>
            </w:r>
          </w:p>
        </w:tc>
        <w:tc>
          <w:tcPr>
            <w:tcW w:w="2352" w:type="dxa"/>
            <w:tcBorders>
              <w:top w:val="single" w:sz="4" w:space="0" w:color="auto"/>
              <w:left w:val="single" w:sz="4" w:space="0" w:color="auto"/>
              <w:right w:val="single" w:sz="4" w:space="0" w:color="auto"/>
            </w:tcBorders>
            <w:shd w:val="clear" w:color="auto" w:fill="FFFFFF"/>
          </w:tcPr>
          <w:p w14:paraId="0CD27410" w14:textId="77777777" w:rsidR="008C76E0" w:rsidRPr="00BD7577" w:rsidRDefault="008C76E0" w:rsidP="008C76E0">
            <w:pPr>
              <w:pStyle w:val="Bodytext180"/>
              <w:shd w:val="clear" w:color="auto" w:fill="auto"/>
              <w:spacing w:before="0" w:after="120" w:line="240" w:lineRule="auto"/>
              <w:ind w:left="97" w:right="169" w:firstLine="0"/>
              <w:jc w:val="center"/>
              <w:rPr>
                <w:rFonts w:ascii="Sylfaen" w:hAnsi="Sylfaen"/>
                <w:b w:val="0"/>
                <w:sz w:val="24"/>
                <w:szCs w:val="24"/>
              </w:rPr>
            </w:pPr>
            <w:r w:rsidRPr="00BD7577">
              <w:rPr>
                <w:rStyle w:val="Bodytext1811pt"/>
                <w:rFonts w:ascii="Sylfaen" w:hAnsi="Sylfaen"/>
                <w:sz w:val="24"/>
                <w:szCs w:val="24"/>
              </w:rPr>
              <w:t>Գործառույթը</w:t>
            </w:r>
          </w:p>
        </w:tc>
      </w:tr>
      <w:tr w:rsidR="008C76E0" w:rsidRPr="00BD7577" w14:paraId="7825832A" w14:textId="77777777" w:rsidTr="008C76E0">
        <w:trPr>
          <w:jc w:val="center"/>
        </w:trPr>
        <w:tc>
          <w:tcPr>
            <w:tcW w:w="1714" w:type="dxa"/>
            <w:tcBorders>
              <w:top w:val="single" w:sz="4" w:space="0" w:color="auto"/>
              <w:left w:val="single" w:sz="4" w:space="0" w:color="auto"/>
            </w:tcBorders>
            <w:shd w:val="clear" w:color="auto" w:fill="FFFFFF"/>
          </w:tcPr>
          <w:p w14:paraId="298CF8AB"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202C8DFE"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68500E65"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624514F7"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vAlign w:val="bottom"/>
          </w:tcPr>
          <w:p w14:paraId="0F4228D7" w14:textId="77777777" w:rsidR="008C76E0" w:rsidRPr="00BD7577" w:rsidRDefault="008C76E0" w:rsidP="008C76E0">
            <w:pPr>
              <w:pStyle w:val="Bodytext180"/>
              <w:shd w:val="clear" w:color="auto" w:fill="auto"/>
              <w:spacing w:before="0" w:after="120" w:line="240" w:lineRule="auto"/>
              <w:ind w:left="97" w:right="109" w:firstLine="0"/>
              <w:jc w:val="both"/>
              <w:rPr>
                <w:rFonts w:ascii="Sylfaen" w:hAnsi="Sylfaen"/>
                <w:b w:val="0"/>
                <w:sz w:val="24"/>
                <w:szCs w:val="24"/>
              </w:rPr>
            </w:pPr>
            <w:r w:rsidRPr="00BD7577">
              <w:rPr>
                <w:rStyle w:val="Bodytext1811pt"/>
                <w:rFonts w:ascii="Sylfaen" w:hAnsi="Sylfaen"/>
                <w:sz w:val="24"/>
                <w:szCs w:val="24"/>
              </w:rPr>
              <w:t>ակտիվ նյութը</w:t>
            </w:r>
          </w:p>
        </w:tc>
      </w:tr>
      <w:tr w:rsidR="008C76E0" w:rsidRPr="00BD7577" w14:paraId="2BEB30AA" w14:textId="77777777" w:rsidTr="008C76E0">
        <w:trPr>
          <w:jc w:val="center"/>
        </w:trPr>
        <w:tc>
          <w:tcPr>
            <w:tcW w:w="1714" w:type="dxa"/>
            <w:tcBorders>
              <w:top w:val="single" w:sz="4" w:space="0" w:color="auto"/>
              <w:left w:val="single" w:sz="4" w:space="0" w:color="auto"/>
            </w:tcBorders>
            <w:shd w:val="clear" w:color="auto" w:fill="FFFFFF"/>
          </w:tcPr>
          <w:p w14:paraId="5225D1E6"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0FF2574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5F0ACF6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3CC46EE0"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56DE5EE4"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71147F80" w14:textId="77777777" w:rsidTr="008C76E0">
        <w:trPr>
          <w:jc w:val="center"/>
        </w:trPr>
        <w:tc>
          <w:tcPr>
            <w:tcW w:w="1714" w:type="dxa"/>
            <w:tcBorders>
              <w:top w:val="single" w:sz="4" w:space="0" w:color="auto"/>
              <w:left w:val="single" w:sz="4" w:space="0" w:color="auto"/>
            </w:tcBorders>
            <w:shd w:val="clear" w:color="auto" w:fill="FFFFFF"/>
          </w:tcPr>
          <w:p w14:paraId="78B6A972"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tcBorders>
            <w:shd w:val="clear" w:color="auto" w:fill="FFFFFF"/>
          </w:tcPr>
          <w:p w14:paraId="128F6364"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tcBorders>
            <w:shd w:val="clear" w:color="auto" w:fill="FFFFFF"/>
          </w:tcPr>
          <w:p w14:paraId="21E4B93D"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tcBorders>
            <w:shd w:val="clear" w:color="auto" w:fill="FFFFFF"/>
          </w:tcPr>
          <w:p w14:paraId="5EA31EB1"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right w:val="single" w:sz="4" w:space="0" w:color="auto"/>
            </w:tcBorders>
            <w:shd w:val="clear" w:color="auto" w:fill="FFFFFF"/>
          </w:tcPr>
          <w:p w14:paraId="32DD5BB8" w14:textId="77777777" w:rsidR="008C76E0" w:rsidRPr="00BD7577" w:rsidRDefault="008C76E0" w:rsidP="008C76E0">
            <w:pPr>
              <w:spacing w:after="120" w:line="240" w:lineRule="auto"/>
              <w:ind w:right="-1"/>
              <w:jc w:val="both"/>
              <w:rPr>
                <w:rFonts w:ascii="Sylfaen" w:hAnsi="Sylfaen"/>
                <w:sz w:val="24"/>
                <w:szCs w:val="24"/>
              </w:rPr>
            </w:pPr>
          </w:p>
        </w:tc>
      </w:tr>
      <w:tr w:rsidR="008C76E0" w:rsidRPr="00BD7577" w14:paraId="1CFF6B96" w14:textId="77777777" w:rsidTr="008C76E0">
        <w:trPr>
          <w:jc w:val="center"/>
        </w:trPr>
        <w:tc>
          <w:tcPr>
            <w:tcW w:w="1714" w:type="dxa"/>
            <w:tcBorders>
              <w:top w:val="single" w:sz="4" w:space="0" w:color="auto"/>
              <w:left w:val="single" w:sz="4" w:space="0" w:color="auto"/>
              <w:bottom w:val="single" w:sz="4" w:space="0" w:color="auto"/>
            </w:tcBorders>
            <w:shd w:val="clear" w:color="auto" w:fill="FFFFFF"/>
          </w:tcPr>
          <w:p w14:paraId="3A6C53A7" w14:textId="77777777" w:rsidR="008C76E0" w:rsidRPr="00BD7577" w:rsidRDefault="008C76E0" w:rsidP="008C76E0">
            <w:pPr>
              <w:spacing w:after="120" w:line="240" w:lineRule="auto"/>
              <w:ind w:left="145" w:right="57"/>
              <w:jc w:val="both"/>
              <w:rPr>
                <w:rFonts w:ascii="Sylfaen" w:hAnsi="Sylfaen"/>
                <w:sz w:val="24"/>
                <w:szCs w:val="24"/>
              </w:rPr>
            </w:pPr>
          </w:p>
        </w:tc>
        <w:tc>
          <w:tcPr>
            <w:tcW w:w="994" w:type="dxa"/>
            <w:tcBorders>
              <w:top w:val="single" w:sz="4" w:space="0" w:color="auto"/>
              <w:left w:val="single" w:sz="4" w:space="0" w:color="auto"/>
              <w:bottom w:val="single" w:sz="4" w:space="0" w:color="auto"/>
            </w:tcBorders>
            <w:shd w:val="clear" w:color="auto" w:fill="FFFFFF"/>
          </w:tcPr>
          <w:p w14:paraId="68D1F4C6" w14:textId="77777777" w:rsidR="008C76E0" w:rsidRPr="00BD7577" w:rsidRDefault="008C76E0" w:rsidP="008C76E0">
            <w:pPr>
              <w:spacing w:after="120" w:line="240" w:lineRule="auto"/>
              <w:ind w:right="-1"/>
              <w:jc w:val="both"/>
              <w:rPr>
                <w:rFonts w:ascii="Sylfaen" w:hAnsi="Sylfaen"/>
                <w:sz w:val="24"/>
                <w:szCs w:val="24"/>
              </w:rPr>
            </w:pPr>
          </w:p>
        </w:tc>
        <w:tc>
          <w:tcPr>
            <w:tcW w:w="2270" w:type="dxa"/>
            <w:tcBorders>
              <w:top w:val="single" w:sz="4" w:space="0" w:color="auto"/>
              <w:left w:val="single" w:sz="4" w:space="0" w:color="auto"/>
              <w:bottom w:val="single" w:sz="4" w:space="0" w:color="auto"/>
            </w:tcBorders>
            <w:shd w:val="clear" w:color="auto" w:fill="FFFFFF"/>
          </w:tcPr>
          <w:p w14:paraId="59A8383B" w14:textId="77777777" w:rsidR="008C76E0" w:rsidRPr="00BD7577" w:rsidRDefault="008C76E0" w:rsidP="008C76E0">
            <w:pPr>
              <w:spacing w:after="120" w:line="240" w:lineRule="auto"/>
              <w:ind w:right="-1"/>
              <w:jc w:val="both"/>
              <w:rPr>
                <w:rFonts w:ascii="Sylfaen" w:hAnsi="Sylfaen"/>
                <w:sz w:val="24"/>
                <w:szCs w:val="24"/>
              </w:rPr>
            </w:pPr>
          </w:p>
        </w:tc>
        <w:tc>
          <w:tcPr>
            <w:tcW w:w="2266" w:type="dxa"/>
            <w:tcBorders>
              <w:top w:val="single" w:sz="4" w:space="0" w:color="auto"/>
              <w:left w:val="single" w:sz="4" w:space="0" w:color="auto"/>
              <w:bottom w:val="single" w:sz="4" w:space="0" w:color="auto"/>
            </w:tcBorders>
            <w:shd w:val="clear" w:color="auto" w:fill="FFFFFF"/>
          </w:tcPr>
          <w:p w14:paraId="25820348" w14:textId="77777777" w:rsidR="008C76E0" w:rsidRPr="00BD7577" w:rsidRDefault="008C76E0" w:rsidP="008C76E0">
            <w:pPr>
              <w:spacing w:after="120" w:line="240" w:lineRule="auto"/>
              <w:ind w:right="-1"/>
              <w:jc w:val="both"/>
              <w:rPr>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7C49E74" w14:textId="77777777" w:rsidR="008C76E0" w:rsidRPr="00BD7577" w:rsidRDefault="008C76E0" w:rsidP="008C76E0">
            <w:pPr>
              <w:spacing w:after="120" w:line="240" w:lineRule="auto"/>
              <w:ind w:right="-1"/>
              <w:jc w:val="both"/>
              <w:rPr>
                <w:rFonts w:ascii="Sylfaen" w:hAnsi="Sylfaen"/>
                <w:sz w:val="24"/>
                <w:szCs w:val="24"/>
              </w:rPr>
            </w:pPr>
          </w:p>
        </w:tc>
      </w:tr>
    </w:tbl>
    <w:p w14:paraId="0DCF09C0" w14:textId="67682A12" w:rsidR="008C76E0" w:rsidRPr="008C76E0" w:rsidRDefault="008C76E0" w:rsidP="008C76E0">
      <w:pPr>
        <w:pStyle w:val="Tablecaption30"/>
        <w:shd w:val="clear" w:color="auto" w:fill="auto"/>
        <w:spacing w:after="160" w:line="360" w:lineRule="auto"/>
        <w:ind w:left="2268" w:right="-1" w:hanging="2268"/>
        <w:jc w:val="both"/>
        <w:rPr>
          <w:rFonts w:ascii="Sylfaen" w:hAnsi="Sylfaen"/>
          <w:sz w:val="24"/>
          <w:szCs w:val="24"/>
          <w:lang w:val="hy-AM"/>
        </w:rPr>
      </w:pPr>
      <w:r w:rsidRPr="008C76E0">
        <w:rPr>
          <w:rFonts w:ascii="Sylfaen" w:hAnsi="Sylfaen"/>
          <w:sz w:val="24"/>
          <w:szCs w:val="24"/>
          <w:lang w:val="hy-AM"/>
        </w:rPr>
        <w:lastRenderedPageBreak/>
        <w:t xml:space="preserve">Ծանոթագրություն: Դոզավորման սանդղակի գրանցման ժամանակ «&lt;Անվանում&gt; Քանակ (&lt;անվանում&gt;)» սյունակների թիվը համապատասխանում է գրանցման համար </w:t>
      </w:r>
      <w:r w:rsidR="0056496B">
        <w:rPr>
          <w:rFonts w:ascii="Sylfaen" w:hAnsi="Sylfaen"/>
          <w:sz w:val="24"/>
          <w:szCs w:val="24"/>
          <w:lang w:val="hy-AM"/>
        </w:rPr>
        <w:t>դիմում</w:t>
      </w:r>
      <w:r w:rsidRPr="008C76E0">
        <w:rPr>
          <w:rFonts w:ascii="Sylfaen" w:hAnsi="Sylfaen"/>
          <w:sz w:val="24"/>
          <w:szCs w:val="24"/>
          <w:lang w:val="hy-AM"/>
        </w:rPr>
        <w:t>ագրվող դոզավորումների թվին։</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092D0A4C"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5AB5BD53" w14:textId="77777777" w:rsidR="008C76E0" w:rsidRPr="00BD7577" w:rsidRDefault="008C76E0" w:rsidP="008C76E0">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291804C"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1FF0C3BA" w14:textId="77777777" w:rsidR="008C76E0" w:rsidRPr="00BD7577" w:rsidRDefault="008C76E0" w:rsidP="008C76E0">
            <w:pPr>
              <w:ind w:right="-1"/>
              <w:jc w:val="both"/>
              <w:rPr>
                <w:rFonts w:ascii="Sylfaen" w:hAnsi="Sylfaen"/>
                <w:sz w:val="24"/>
                <w:szCs w:val="24"/>
                <w:highlight w:val="yellow"/>
              </w:rPr>
            </w:pPr>
          </w:p>
        </w:tc>
      </w:tr>
      <w:tr w:rsidR="008C76E0" w:rsidRPr="00BD7577" w14:paraId="6FF085E5"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52F3D99F" w14:textId="77777777" w:rsidR="008C76E0" w:rsidRPr="00BD7577" w:rsidRDefault="008C76E0" w:rsidP="008C76E0">
            <w:pPr>
              <w:ind w:right="-1"/>
              <w:jc w:val="both"/>
              <w:rPr>
                <w:rFonts w:ascii="Sylfaen" w:hAnsi="Sylfaen"/>
                <w:sz w:val="24"/>
                <w:szCs w:val="24"/>
              </w:rPr>
            </w:pPr>
          </w:p>
        </w:tc>
      </w:tr>
    </w:tbl>
    <w:p w14:paraId="794D99EC" w14:textId="77777777" w:rsidR="008C76E0" w:rsidRPr="00BD7577" w:rsidRDefault="008C76E0" w:rsidP="008C76E0">
      <w:pPr>
        <w:ind w:left="2268" w:right="-1" w:hanging="2268"/>
        <w:jc w:val="both"/>
        <w:rPr>
          <w:rFonts w:ascii="Sylfaen" w:hAnsi="Sylfaen"/>
          <w:sz w:val="24"/>
          <w:szCs w:val="24"/>
        </w:rPr>
      </w:pPr>
    </w:p>
    <w:p w14:paraId="3116FD2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4.2. Դեղագործական մշակումը (մոդուլ 3.2.Р.2)</w:t>
      </w:r>
    </w:p>
    <w:p w14:paraId="59F9A15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w:t>
      </w:r>
      <w:r w:rsidRPr="00BD7577">
        <w:rPr>
          <w:rFonts w:ascii="Sylfaen" w:hAnsi="Sylfaen"/>
          <w:sz w:val="24"/>
          <w:szCs w:val="24"/>
        </w:rPr>
        <w:tab/>
        <w:t>Դեղապատրաստուկի բաղադրիչները (բաժին Р.2.1).</w:t>
      </w:r>
    </w:p>
    <w:p w14:paraId="58AF9C50"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0C7F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8DEF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177FD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4.2.2.</w:t>
      </w:r>
      <w:r w:rsidRPr="00BD7577">
        <w:rPr>
          <w:rFonts w:ascii="Sylfaen" w:hAnsi="Sylfaen"/>
          <w:sz w:val="24"/>
          <w:szCs w:val="24"/>
        </w:rPr>
        <w:tab/>
        <w:t>Ակտիվ դեղագործական բաղադրամասը (բաժին Р.2.1.1)</w:t>
      </w:r>
    </w:p>
    <w:p w14:paraId="3E901999"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932C8C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4DCEC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02FA5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4.2.3.</w:t>
      </w:r>
      <w:r w:rsidRPr="00BD7577">
        <w:rPr>
          <w:rFonts w:ascii="Sylfaen" w:hAnsi="Sylfaen"/>
          <w:sz w:val="24"/>
          <w:szCs w:val="24"/>
        </w:rPr>
        <w:tab/>
        <w:t>Օժանդակ նյութերը (բաժին Р.2.1.2)։</w:t>
      </w:r>
    </w:p>
    <w:p w14:paraId="0D49D4A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4702C10"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7533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20AAA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4.2.4.</w:t>
      </w:r>
      <w:r w:rsidRPr="00BD7577">
        <w:rPr>
          <w:rFonts w:ascii="Sylfaen" w:hAnsi="Sylfaen"/>
          <w:sz w:val="24"/>
          <w:szCs w:val="24"/>
        </w:rPr>
        <w:tab/>
        <w:t>Դեղապատրաստուկը (բաժին P.2.2)։</w:t>
      </w:r>
    </w:p>
    <w:p w14:paraId="7B3F3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02226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3EF597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48B22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4.2.5.</w:t>
      </w:r>
      <w:r w:rsidRPr="00BD7577">
        <w:rPr>
          <w:rFonts w:ascii="Sylfaen" w:hAnsi="Sylfaen"/>
          <w:sz w:val="24"/>
          <w:szCs w:val="24"/>
        </w:rPr>
        <w:tab/>
        <w:t>Դեղաձ</w:t>
      </w:r>
      <w:r w:rsidR="00C54D75">
        <w:rPr>
          <w:rFonts w:ascii="Sylfaen" w:hAnsi="Sylfaen"/>
          <w:sz w:val="24"/>
          <w:szCs w:val="24"/>
        </w:rPr>
        <w:t>և</w:t>
      </w:r>
      <w:r w:rsidRPr="00BD7577">
        <w:rPr>
          <w:rFonts w:ascii="Sylfaen" w:hAnsi="Sylfaen"/>
          <w:sz w:val="24"/>
          <w:szCs w:val="24"/>
        </w:rPr>
        <w:t>ի մշակումը (բաժին P.2.2.1)։</w:t>
      </w:r>
    </w:p>
    <w:p w14:paraId="0FE66BC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1E905"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1526F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5852D93" w14:textId="77777777" w:rsidR="008C76E0" w:rsidRPr="00BD7577" w:rsidRDefault="008C76E0" w:rsidP="00D002A4">
      <w:pPr>
        <w:spacing w:after="160" w:line="360" w:lineRule="auto"/>
        <w:ind w:right="-1" w:firstLine="567"/>
        <w:jc w:val="both"/>
        <w:rPr>
          <w:rFonts w:ascii="Sylfaen" w:hAnsi="Sylfaen"/>
          <w:sz w:val="24"/>
          <w:szCs w:val="24"/>
        </w:rPr>
      </w:pPr>
      <w:r w:rsidRPr="00BD7577">
        <w:rPr>
          <w:rFonts w:ascii="Sylfaen" w:hAnsi="Sylfaen"/>
          <w:sz w:val="24"/>
          <w:szCs w:val="24"/>
        </w:rPr>
        <w:t>Կենսահամարժեքության հետազոտությունն ու ռեֆերենտ պատրաստուկը կամ դեղաձ</w:t>
      </w:r>
      <w:r w:rsidR="00C54D75">
        <w:rPr>
          <w:rFonts w:ascii="Sylfaen" w:hAnsi="Sylfaen"/>
          <w:sz w:val="24"/>
          <w:szCs w:val="24"/>
        </w:rPr>
        <w:t>և</w:t>
      </w:r>
      <w:r w:rsidRPr="00BD7577">
        <w:rPr>
          <w:rFonts w:ascii="Sylfaen" w:hAnsi="Sylfaen"/>
          <w:sz w:val="24"/>
          <w:szCs w:val="24"/>
        </w:rPr>
        <w:t>ի կլինիկական մշակումը</w:t>
      </w:r>
    </w:p>
    <w:p w14:paraId="61321154"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4.2.6.</w:t>
      </w:r>
      <w:r w:rsidRPr="00BD7577">
        <w:rPr>
          <w:rFonts w:ascii="Sylfaen" w:hAnsi="Sylfaen"/>
          <w:sz w:val="24"/>
          <w:szCs w:val="24"/>
        </w:rPr>
        <w:tab/>
        <w:t>Արտադրական ավելցուկները (բաժին P.2.2.2)։</w:t>
      </w:r>
    </w:p>
    <w:p w14:paraId="58CFB4C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358354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FFC019"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975D8"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4.2.7.</w:t>
      </w:r>
      <w:r w:rsidRPr="00BD7577">
        <w:rPr>
          <w:rFonts w:ascii="Sylfaen" w:hAnsi="Sylfaen"/>
          <w:sz w:val="24"/>
          <w:szCs w:val="24"/>
        </w:rPr>
        <w:tab/>
        <w:t xml:space="preserve">Ֆիզիկաքիմիական </w:t>
      </w:r>
      <w:r w:rsidR="00C54D75">
        <w:rPr>
          <w:rFonts w:ascii="Sylfaen" w:hAnsi="Sylfaen"/>
          <w:sz w:val="24"/>
          <w:szCs w:val="24"/>
        </w:rPr>
        <w:t>և</w:t>
      </w:r>
      <w:r w:rsidRPr="00BD7577">
        <w:rPr>
          <w:rFonts w:ascii="Sylfaen" w:hAnsi="Sylfaen"/>
          <w:sz w:val="24"/>
          <w:szCs w:val="24"/>
        </w:rPr>
        <w:t xml:space="preserve"> կենսաբանական հատկությունները (բաժին P.2.2.3)։</w:t>
      </w:r>
    </w:p>
    <w:p w14:paraId="25AAB57D"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10143F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99467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197C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4.2.8.</w:t>
      </w:r>
      <w:r w:rsidRPr="00BD7577">
        <w:rPr>
          <w:rFonts w:ascii="Sylfaen" w:hAnsi="Sylfaen"/>
          <w:sz w:val="24"/>
          <w:szCs w:val="24"/>
        </w:rPr>
        <w:tab/>
        <w:t>Արտադրական գործընթացի մշակումը (բաժին P.2.3)։</w:t>
      </w:r>
    </w:p>
    <w:p w14:paraId="7899795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232E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4F80928"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842EAD"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4.2.9.</w:t>
      </w:r>
      <w:r w:rsidRPr="00BD7577">
        <w:rPr>
          <w:rFonts w:ascii="Sylfaen" w:hAnsi="Sylfaen"/>
          <w:sz w:val="24"/>
          <w:szCs w:val="24"/>
        </w:rPr>
        <w:tab/>
        <w:t>Փաթեթավորման (խցանափակման) համակարգը (բաժին P.2.4)։</w:t>
      </w:r>
    </w:p>
    <w:p w14:paraId="3BFF994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A94C4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E0452B"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CA426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4.2.10.</w:t>
      </w:r>
      <w:r w:rsidRPr="00BD7577">
        <w:rPr>
          <w:rFonts w:ascii="Sylfaen" w:hAnsi="Sylfaen"/>
          <w:sz w:val="24"/>
          <w:szCs w:val="24"/>
        </w:rPr>
        <w:tab/>
        <w:t>Միկրոկենսաբանական բնութագրերը (բաժին P.2.5)։</w:t>
      </w:r>
    </w:p>
    <w:p w14:paraId="3C61998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74C51BA"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E7F31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655467"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4.2.11.</w:t>
      </w:r>
      <w:r w:rsidRPr="00BD7577">
        <w:rPr>
          <w:rFonts w:ascii="Sylfaen" w:hAnsi="Sylfaen"/>
          <w:sz w:val="24"/>
          <w:szCs w:val="24"/>
        </w:rPr>
        <w:tab/>
        <w:t>Համատեղելիությունը (բաժին P.2.6)։</w:t>
      </w:r>
    </w:p>
    <w:p w14:paraId="1063E33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31068C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FA1AA"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325" w:type="dxa"/>
        <w:jc w:val="center"/>
        <w:tblLayout w:type="fixed"/>
        <w:tblCellMar>
          <w:left w:w="10" w:type="dxa"/>
          <w:right w:w="10" w:type="dxa"/>
        </w:tblCellMar>
        <w:tblLook w:val="04A0" w:firstRow="1" w:lastRow="0" w:firstColumn="1" w:lastColumn="0" w:noHBand="0" w:noVBand="1"/>
      </w:tblPr>
      <w:tblGrid>
        <w:gridCol w:w="9325"/>
      </w:tblGrid>
      <w:tr w:rsidR="008C76E0" w:rsidRPr="00BD7577" w14:paraId="38BAEEB2" w14:textId="77777777" w:rsidTr="008C76E0">
        <w:trPr>
          <w:jc w:val="center"/>
        </w:trPr>
        <w:tc>
          <w:tcPr>
            <w:tcW w:w="9325" w:type="dxa"/>
            <w:tcBorders>
              <w:top w:val="single" w:sz="4" w:space="0" w:color="auto"/>
              <w:left w:val="single" w:sz="4" w:space="0" w:color="auto"/>
              <w:right w:val="single" w:sz="4" w:space="0" w:color="auto"/>
            </w:tcBorders>
            <w:shd w:val="clear" w:color="auto" w:fill="FFFFFF"/>
            <w:vAlign w:val="bottom"/>
          </w:tcPr>
          <w:p w14:paraId="2C39994D"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7661A0F2" w14:textId="77777777" w:rsidTr="008C76E0">
        <w:trPr>
          <w:jc w:val="center"/>
        </w:trPr>
        <w:tc>
          <w:tcPr>
            <w:tcW w:w="9325" w:type="dxa"/>
            <w:tcBorders>
              <w:top w:val="single" w:sz="4" w:space="0" w:color="auto"/>
              <w:left w:val="single" w:sz="4" w:space="0" w:color="auto"/>
              <w:right w:val="single" w:sz="4" w:space="0" w:color="auto"/>
            </w:tcBorders>
            <w:shd w:val="clear" w:color="auto" w:fill="FFFFFF"/>
          </w:tcPr>
          <w:p w14:paraId="766406B1"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2E494D83" w14:textId="77777777" w:rsidTr="008C76E0">
        <w:trPr>
          <w:jc w:val="center"/>
        </w:trPr>
        <w:tc>
          <w:tcPr>
            <w:tcW w:w="9325" w:type="dxa"/>
            <w:tcBorders>
              <w:top w:val="single" w:sz="4" w:space="0" w:color="auto"/>
              <w:left w:val="single" w:sz="4" w:space="0" w:color="auto"/>
              <w:bottom w:val="single" w:sz="4" w:space="0" w:color="auto"/>
              <w:right w:val="single" w:sz="4" w:space="0" w:color="auto"/>
            </w:tcBorders>
            <w:shd w:val="clear" w:color="auto" w:fill="FFFFFF"/>
          </w:tcPr>
          <w:p w14:paraId="1A684C71" w14:textId="77777777" w:rsidR="008C76E0" w:rsidRPr="00BD7577" w:rsidRDefault="008C76E0" w:rsidP="00D002A4">
            <w:pPr>
              <w:spacing w:after="160" w:line="360" w:lineRule="auto"/>
              <w:ind w:right="-1"/>
              <w:jc w:val="both"/>
              <w:rPr>
                <w:rFonts w:ascii="Sylfaen" w:hAnsi="Sylfaen"/>
                <w:sz w:val="24"/>
                <w:szCs w:val="24"/>
              </w:rPr>
            </w:pPr>
          </w:p>
        </w:tc>
      </w:tr>
    </w:tbl>
    <w:p w14:paraId="4D2F78D9" w14:textId="77777777" w:rsidR="008C76E0" w:rsidRDefault="008C76E0" w:rsidP="00D002A4">
      <w:pPr>
        <w:spacing w:after="160" w:line="360" w:lineRule="auto"/>
        <w:ind w:left="567" w:right="566"/>
        <w:jc w:val="center"/>
        <w:rPr>
          <w:rFonts w:ascii="Sylfaen" w:hAnsi="Sylfaen"/>
          <w:sz w:val="24"/>
          <w:szCs w:val="24"/>
          <w:lang w:val="en-US"/>
        </w:rPr>
      </w:pPr>
    </w:p>
    <w:p w14:paraId="313C0A01"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t>4.3. Դեղապատրաստուկի արտադրության գործընթացը (մոդուլ 3.2.P.3)</w:t>
      </w:r>
    </w:p>
    <w:p w14:paraId="675894C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4.3.1.</w:t>
      </w:r>
      <w:r w:rsidRPr="00BD7577">
        <w:rPr>
          <w:rFonts w:ascii="Sylfaen" w:hAnsi="Sylfaen"/>
          <w:sz w:val="24"/>
          <w:szCs w:val="24"/>
        </w:rPr>
        <w:tab/>
        <w:t>Արտադրողները (բաժին P.3.1)։</w:t>
      </w:r>
    </w:p>
    <w:p w14:paraId="4C50EDB6"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7BC414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20F25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FD101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4.3.2.</w:t>
      </w:r>
      <w:r w:rsidRPr="00BD7577">
        <w:rPr>
          <w:rFonts w:ascii="Sylfaen" w:hAnsi="Sylfaen"/>
          <w:sz w:val="24"/>
          <w:szCs w:val="24"/>
        </w:rPr>
        <w:tab/>
        <w:t>Սերիայի բաղադրությունը (արտադրական դեղագրությունը) (բաժին P.3.2):</w:t>
      </w:r>
    </w:p>
    <w:p w14:paraId="755F86E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C6C3A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204D9E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C9B922"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4.3.3.</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(բաժին Р.3.3)։</w:t>
      </w:r>
    </w:p>
    <w:p w14:paraId="41D0229F"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8CCFC5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FA440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02B31"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 (բաժին Р.3.4)։</w:t>
      </w:r>
    </w:p>
    <w:p w14:paraId="1D55B33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BC8481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1E29C"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DF4F1F" w14:textId="77777777" w:rsidR="00887430" w:rsidRPr="00E15E7D" w:rsidRDefault="00887430" w:rsidP="00D002A4">
      <w:pPr>
        <w:tabs>
          <w:tab w:val="left" w:pos="1701"/>
        </w:tabs>
        <w:spacing w:after="160" w:line="360" w:lineRule="auto"/>
        <w:ind w:right="-1" w:firstLine="567"/>
        <w:jc w:val="both"/>
        <w:rPr>
          <w:rFonts w:ascii="Sylfaen" w:hAnsi="Sylfaen"/>
          <w:sz w:val="24"/>
          <w:szCs w:val="24"/>
        </w:rPr>
      </w:pPr>
    </w:p>
    <w:p w14:paraId="33EB009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4.3.5.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 (բաժին Р.3.5)։</w:t>
      </w:r>
    </w:p>
    <w:p w14:paraId="5981D69A"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12AB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4C7015"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5E85ADEB"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4774950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1837D15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496DE6B0"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1BCC4521"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3067DE6A" w14:textId="77777777" w:rsidR="008C76E0" w:rsidRPr="00BD7577" w:rsidRDefault="008C76E0" w:rsidP="00D002A4">
            <w:pPr>
              <w:spacing w:after="160" w:line="360" w:lineRule="auto"/>
              <w:ind w:right="-1"/>
              <w:jc w:val="both"/>
              <w:rPr>
                <w:rFonts w:ascii="Sylfaen" w:hAnsi="Sylfaen"/>
                <w:sz w:val="24"/>
                <w:szCs w:val="24"/>
              </w:rPr>
            </w:pPr>
          </w:p>
        </w:tc>
      </w:tr>
    </w:tbl>
    <w:p w14:paraId="0684B472" w14:textId="77777777" w:rsidR="004C0BC5" w:rsidRDefault="004C0BC5" w:rsidP="00D002A4">
      <w:pPr>
        <w:spacing w:after="160" w:line="360" w:lineRule="auto"/>
        <w:ind w:right="-1" w:firstLine="567"/>
        <w:jc w:val="both"/>
        <w:rPr>
          <w:rFonts w:ascii="Sylfaen" w:hAnsi="Sylfaen"/>
          <w:sz w:val="24"/>
          <w:szCs w:val="24"/>
          <w:lang w:val="en-US"/>
        </w:rPr>
      </w:pPr>
    </w:p>
    <w:p w14:paraId="2C0B2865" w14:textId="77777777" w:rsidR="004C0BC5" w:rsidRDefault="004C0BC5">
      <w:pPr>
        <w:widowControl/>
        <w:rPr>
          <w:rFonts w:ascii="Sylfaen" w:hAnsi="Sylfaen"/>
          <w:sz w:val="24"/>
          <w:szCs w:val="24"/>
          <w:lang w:val="en-US"/>
        </w:rPr>
      </w:pPr>
      <w:r>
        <w:rPr>
          <w:rFonts w:ascii="Sylfaen" w:hAnsi="Sylfaen"/>
          <w:sz w:val="24"/>
          <w:szCs w:val="24"/>
          <w:lang w:val="en-US"/>
        </w:rPr>
        <w:br w:type="page"/>
      </w:r>
    </w:p>
    <w:p w14:paraId="43198042" w14:textId="77777777" w:rsidR="008C76E0" w:rsidRPr="00BD7577" w:rsidRDefault="008C76E0" w:rsidP="00D002A4">
      <w:pPr>
        <w:spacing w:after="160" w:line="360" w:lineRule="auto"/>
        <w:ind w:left="567" w:right="566"/>
        <w:jc w:val="center"/>
        <w:rPr>
          <w:rFonts w:ascii="Sylfaen" w:hAnsi="Sylfaen"/>
          <w:sz w:val="24"/>
          <w:szCs w:val="24"/>
        </w:rPr>
      </w:pPr>
      <w:r w:rsidRPr="00BD7577">
        <w:rPr>
          <w:rFonts w:ascii="Sylfaen" w:hAnsi="Sylfaen"/>
          <w:sz w:val="24"/>
          <w:szCs w:val="24"/>
        </w:rPr>
        <w:lastRenderedPageBreak/>
        <w:t>4.4. Օժանդակ նյութերի որակի հսկողությունը (մոդուլ 3.2.Р.4)</w:t>
      </w:r>
    </w:p>
    <w:p w14:paraId="445A4E73"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4.4.1.</w:t>
      </w:r>
      <w:r w:rsidRPr="00BD7577">
        <w:rPr>
          <w:rFonts w:ascii="Sylfaen" w:hAnsi="Sylfaen"/>
          <w:sz w:val="24"/>
          <w:szCs w:val="24"/>
        </w:rPr>
        <w:tab/>
        <w:t>Մասնագիրը (բաժին Р.4.1)։</w:t>
      </w:r>
    </w:p>
    <w:p w14:paraId="57806FE3"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55136B2"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AC45B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FAA165"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4.4.2.</w:t>
      </w:r>
      <w:r w:rsidRPr="00BD7577">
        <w:rPr>
          <w:rFonts w:ascii="Sylfaen" w:hAnsi="Sylfaen"/>
          <w:sz w:val="24"/>
          <w:szCs w:val="24"/>
        </w:rPr>
        <w:tab/>
        <w:t>Վերլուծական մեթոդիկաները (բաժին Р.4.2)։</w:t>
      </w:r>
    </w:p>
    <w:p w14:paraId="480E7077"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CFD57B9"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1B53E2"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96DF2BA"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4.4.3.</w:t>
      </w:r>
      <w:r w:rsidRPr="00BD7577">
        <w:rPr>
          <w:rFonts w:ascii="Sylfaen" w:hAnsi="Sylfaen"/>
          <w:sz w:val="24"/>
          <w:szCs w:val="24"/>
        </w:rPr>
        <w:tab/>
        <w:t>Վերլուծական մեթոդիկաների վալիդացումը (բաժինР.4.3)։</w:t>
      </w:r>
    </w:p>
    <w:p w14:paraId="5A057314"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E1CB83C"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ED493D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3861D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4.4.4.</w:t>
      </w:r>
      <w:r w:rsidRPr="00BD7577">
        <w:rPr>
          <w:rFonts w:ascii="Sylfaen" w:hAnsi="Sylfaen"/>
          <w:sz w:val="24"/>
          <w:szCs w:val="24"/>
        </w:rPr>
        <w:tab/>
        <w:t>Մասնագրերի հիմնավորումը (բաժին Р.4.4)։</w:t>
      </w:r>
    </w:p>
    <w:p w14:paraId="2A0F556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94CC68F"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29E1"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0D54C9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4.4.5.</w:t>
      </w:r>
      <w:r w:rsidRPr="00BD7577">
        <w:rPr>
          <w:rFonts w:ascii="Sylfaen" w:hAnsi="Sylfaen"/>
          <w:sz w:val="24"/>
          <w:szCs w:val="24"/>
        </w:rPr>
        <w:tab/>
        <w:t xml:space="preserve">Մարդկային </w:t>
      </w:r>
      <w:r w:rsidR="00C54D75">
        <w:rPr>
          <w:rFonts w:ascii="Sylfaen" w:hAnsi="Sylfaen"/>
          <w:sz w:val="24"/>
          <w:szCs w:val="24"/>
        </w:rPr>
        <w:t>և</w:t>
      </w:r>
      <w:r w:rsidRPr="00BD7577">
        <w:rPr>
          <w:rFonts w:ascii="Sylfaen" w:hAnsi="Sylfaen"/>
          <w:sz w:val="24"/>
          <w:szCs w:val="24"/>
        </w:rPr>
        <w:t xml:space="preserve"> կենդանական ծագման օժանդակ նյութերը </w:t>
      </w:r>
      <w:r w:rsidRPr="00A30AAA">
        <w:rPr>
          <w:rFonts w:ascii="Sylfaen" w:hAnsi="Sylfaen"/>
          <w:sz w:val="24"/>
          <w:szCs w:val="24"/>
        </w:rPr>
        <w:br/>
      </w:r>
      <w:r w:rsidRPr="00BD7577">
        <w:rPr>
          <w:rFonts w:ascii="Sylfaen" w:hAnsi="Sylfaen"/>
          <w:sz w:val="24"/>
          <w:szCs w:val="24"/>
        </w:rPr>
        <w:t>(բաժին Р.4.5)։</w:t>
      </w:r>
    </w:p>
    <w:p w14:paraId="71E925D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5E53C6"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C0874D"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61393E6"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4.4.6.</w:t>
      </w:r>
      <w:r w:rsidRPr="00BD7577">
        <w:rPr>
          <w:rFonts w:ascii="Sylfaen" w:hAnsi="Sylfaen"/>
          <w:sz w:val="24"/>
          <w:szCs w:val="24"/>
        </w:rPr>
        <w:tab/>
        <w:t>Նոր օժանդակ նյութերը (բաժին Р.4.6)։</w:t>
      </w:r>
    </w:p>
    <w:p w14:paraId="681DD35E"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429DE1"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FADB0"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97" w:type="dxa"/>
        <w:jc w:val="center"/>
        <w:tblLayout w:type="fixed"/>
        <w:tblCellMar>
          <w:left w:w="10" w:type="dxa"/>
          <w:right w:w="10" w:type="dxa"/>
        </w:tblCellMar>
        <w:tblLook w:val="04A0" w:firstRow="1" w:lastRow="0" w:firstColumn="1" w:lastColumn="0" w:noHBand="0" w:noVBand="1"/>
      </w:tblPr>
      <w:tblGrid>
        <w:gridCol w:w="9197"/>
      </w:tblGrid>
      <w:tr w:rsidR="008C76E0" w:rsidRPr="00BD7577" w14:paraId="2263A933" w14:textId="77777777" w:rsidTr="008C76E0">
        <w:trPr>
          <w:jc w:val="center"/>
        </w:trPr>
        <w:tc>
          <w:tcPr>
            <w:tcW w:w="9197" w:type="dxa"/>
            <w:tcBorders>
              <w:top w:val="single" w:sz="4" w:space="0" w:color="auto"/>
              <w:left w:val="single" w:sz="4" w:space="0" w:color="auto"/>
              <w:right w:val="single" w:sz="4" w:space="0" w:color="auto"/>
            </w:tcBorders>
            <w:shd w:val="clear" w:color="auto" w:fill="FFFFFF"/>
            <w:vAlign w:val="bottom"/>
          </w:tcPr>
          <w:p w14:paraId="5FA6F075" w14:textId="77777777" w:rsidR="008C76E0" w:rsidRPr="00BD7577" w:rsidRDefault="008C76E0" w:rsidP="00D002A4">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2299949F" w14:textId="77777777" w:rsidTr="008C76E0">
        <w:trPr>
          <w:jc w:val="center"/>
        </w:trPr>
        <w:tc>
          <w:tcPr>
            <w:tcW w:w="9197" w:type="dxa"/>
            <w:tcBorders>
              <w:top w:val="single" w:sz="4" w:space="0" w:color="auto"/>
              <w:left w:val="single" w:sz="4" w:space="0" w:color="auto"/>
              <w:right w:val="single" w:sz="4" w:space="0" w:color="auto"/>
            </w:tcBorders>
            <w:shd w:val="clear" w:color="auto" w:fill="FFFFFF"/>
          </w:tcPr>
          <w:p w14:paraId="645EC432" w14:textId="77777777" w:rsidR="008C76E0" w:rsidRPr="00BD7577" w:rsidRDefault="008C76E0" w:rsidP="00D002A4">
            <w:pPr>
              <w:spacing w:after="160" w:line="360" w:lineRule="auto"/>
              <w:ind w:right="-1"/>
              <w:jc w:val="both"/>
              <w:rPr>
                <w:rFonts w:ascii="Sylfaen" w:hAnsi="Sylfaen"/>
                <w:sz w:val="24"/>
                <w:szCs w:val="24"/>
                <w:highlight w:val="yellow"/>
              </w:rPr>
            </w:pPr>
          </w:p>
        </w:tc>
      </w:tr>
      <w:tr w:rsidR="008C76E0" w:rsidRPr="00BD7577" w14:paraId="6020C815" w14:textId="77777777" w:rsidTr="008C76E0">
        <w:trPr>
          <w:jc w:val="center"/>
        </w:trPr>
        <w:tc>
          <w:tcPr>
            <w:tcW w:w="9197" w:type="dxa"/>
            <w:tcBorders>
              <w:top w:val="single" w:sz="4" w:space="0" w:color="auto"/>
              <w:left w:val="single" w:sz="4" w:space="0" w:color="auto"/>
              <w:bottom w:val="single" w:sz="4" w:space="0" w:color="auto"/>
              <w:right w:val="single" w:sz="4" w:space="0" w:color="auto"/>
            </w:tcBorders>
            <w:shd w:val="clear" w:color="auto" w:fill="FFFFFF"/>
          </w:tcPr>
          <w:p w14:paraId="78E76529" w14:textId="77777777" w:rsidR="008C76E0" w:rsidRPr="00BD7577" w:rsidRDefault="008C76E0" w:rsidP="00D002A4">
            <w:pPr>
              <w:spacing w:after="160" w:line="360" w:lineRule="auto"/>
              <w:ind w:right="-1"/>
              <w:jc w:val="both"/>
              <w:rPr>
                <w:rFonts w:ascii="Sylfaen" w:hAnsi="Sylfaen"/>
                <w:sz w:val="24"/>
                <w:szCs w:val="24"/>
              </w:rPr>
            </w:pPr>
          </w:p>
        </w:tc>
      </w:tr>
    </w:tbl>
    <w:p w14:paraId="64A8C6F0" w14:textId="77777777" w:rsidR="008C76E0" w:rsidRDefault="008C76E0" w:rsidP="00D002A4">
      <w:pPr>
        <w:tabs>
          <w:tab w:val="left" w:pos="1418"/>
        </w:tabs>
        <w:spacing w:after="160" w:line="360" w:lineRule="auto"/>
        <w:ind w:right="-1" w:firstLine="567"/>
        <w:jc w:val="both"/>
        <w:rPr>
          <w:rFonts w:ascii="Sylfaen" w:hAnsi="Sylfaen"/>
          <w:sz w:val="24"/>
          <w:szCs w:val="24"/>
          <w:lang w:val="en-US"/>
        </w:rPr>
      </w:pPr>
    </w:p>
    <w:p w14:paraId="39E4C1F3" w14:textId="77777777" w:rsidR="008C76E0" w:rsidRPr="00BD7577" w:rsidRDefault="008C76E0" w:rsidP="00D002A4">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4.5. Դեղապատրաստուկի որակի հսկողությունը (մոդուլ 3.2.P.5 )</w:t>
      </w:r>
    </w:p>
    <w:p w14:paraId="17F15C2D" w14:textId="77777777" w:rsidR="008C76E0" w:rsidRPr="00DD61E4"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4.5.1.</w:t>
      </w:r>
      <w:r w:rsidRPr="00BD7577">
        <w:rPr>
          <w:rFonts w:ascii="Sylfaen" w:hAnsi="Sylfaen"/>
          <w:sz w:val="24"/>
          <w:szCs w:val="24"/>
        </w:rPr>
        <w:tab/>
        <w:t xml:space="preserve">Մասնագրերը (բաժին P.5.1)։ </w:t>
      </w:r>
    </w:p>
    <w:p w14:paraId="2169D61C" w14:textId="77777777" w:rsidR="008C76E0" w:rsidRPr="00E15E7D" w:rsidRDefault="008C76E0" w:rsidP="00D002A4">
      <w:pPr>
        <w:widowControl/>
        <w:spacing w:after="160" w:line="360" w:lineRule="auto"/>
        <w:rPr>
          <w:rFonts w:ascii="Sylfaen" w:hAnsi="Sylfaen"/>
          <w:sz w:val="24"/>
          <w:szCs w:val="24"/>
        </w:rPr>
      </w:pPr>
    </w:p>
    <w:p w14:paraId="7447A6A4" w14:textId="77777777" w:rsidR="008C76E0" w:rsidRPr="00BD7577" w:rsidRDefault="008C76E0" w:rsidP="00D002A4">
      <w:pPr>
        <w:spacing w:after="160" w:line="360" w:lineRule="auto"/>
        <w:ind w:right="-1"/>
        <w:jc w:val="right"/>
        <w:rPr>
          <w:rFonts w:ascii="Sylfaen" w:hAnsi="Sylfaen"/>
          <w:sz w:val="24"/>
          <w:szCs w:val="24"/>
        </w:rPr>
      </w:pPr>
      <w:r w:rsidRPr="00BD7577">
        <w:rPr>
          <w:rFonts w:ascii="Sylfaen" w:hAnsi="Sylfaen"/>
          <w:sz w:val="24"/>
          <w:szCs w:val="24"/>
        </w:rPr>
        <w:t>Աղյուսակ P. 5-1</w:t>
      </w:r>
    </w:p>
    <w:p w14:paraId="7BD0E3CD" w14:textId="77777777" w:rsidR="008C76E0" w:rsidRPr="00BD7577" w:rsidRDefault="008C76E0" w:rsidP="008C76E0">
      <w:pPr>
        <w:ind w:right="-1"/>
        <w:jc w:val="right"/>
        <w:rPr>
          <w:rFonts w:ascii="Sylfaen" w:hAnsi="Sylfaen"/>
          <w:sz w:val="24"/>
          <w:szCs w:val="24"/>
        </w:rPr>
      </w:pPr>
    </w:p>
    <w:p w14:paraId="17C023FD"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 xml:space="preserve">Բացթողման </w:t>
      </w:r>
      <w:r w:rsidR="00C54D75">
        <w:rPr>
          <w:rFonts w:ascii="Sylfaen" w:hAnsi="Sylfaen"/>
          <w:sz w:val="24"/>
          <w:szCs w:val="24"/>
        </w:rPr>
        <w:t>և</w:t>
      </w:r>
      <w:r w:rsidRPr="00BD7577">
        <w:rPr>
          <w:rFonts w:ascii="Sylfaen" w:hAnsi="Sylfaen"/>
          <w:sz w:val="24"/>
          <w:szCs w:val="24"/>
        </w:rPr>
        <w:t xml:space="preserve"> պահպանման ժամկետը լրանալու մասնագրերը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0"/>
        <w:gridCol w:w="2549"/>
        <w:gridCol w:w="4195"/>
      </w:tblGrid>
      <w:tr w:rsidR="008C76E0" w:rsidRPr="00BD7577" w14:paraId="54D2E893" w14:textId="77777777" w:rsidTr="008C76E0">
        <w:trPr>
          <w:jc w:val="center"/>
        </w:trPr>
        <w:tc>
          <w:tcPr>
            <w:tcW w:w="2770" w:type="dxa"/>
            <w:tcBorders>
              <w:top w:val="single" w:sz="4" w:space="0" w:color="auto"/>
              <w:left w:val="single" w:sz="4" w:space="0" w:color="auto"/>
            </w:tcBorders>
            <w:shd w:val="clear" w:color="auto" w:fill="FFFFFF"/>
            <w:vAlign w:val="bottom"/>
          </w:tcPr>
          <w:p w14:paraId="413165C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Որակի ցուցանիշը</w:t>
            </w:r>
          </w:p>
        </w:tc>
        <w:tc>
          <w:tcPr>
            <w:tcW w:w="2549" w:type="dxa"/>
            <w:tcBorders>
              <w:top w:val="single" w:sz="4" w:space="0" w:color="auto"/>
              <w:left w:val="single" w:sz="4" w:space="0" w:color="auto"/>
            </w:tcBorders>
            <w:shd w:val="clear" w:color="auto" w:fill="FFFFFF"/>
            <w:vAlign w:val="bottom"/>
          </w:tcPr>
          <w:p w14:paraId="1F1A0DA3"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Փորձարկման մեթոդը</w:t>
            </w:r>
          </w:p>
        </w:tc>
        <w:tc>
          <w:tcPr>
            <w:tcW w:w="4195" w:type="dxa"/>
            <w:tcBorders>
              <w:top w:val="single" w:sz="4" w:space="0" w:color="auto"/>
              <w:left w:val="single" w:sz="4" w:space="0" w:color="auto"/>
              <w:right w:val="single" w:sz="4" w:space="0" w:color="auto"/>
            </w:tcBorders>
            <w:shd w:val="clear" w:color="auto" w:fill="FFFFFF"/>
            <w:vAlign w:val="bottom"/>
          </w:tcPr>
          <w:p w14:paraId="4589DC3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Թույլատրելի նորմերը</w:t>
            </w:r>
          </w:p>
        </w:tc>
      </w:tr>
      <w:tr w:rsidR="008C76E0" w:rsidRPr="00BD7577" w14:paraId="7EBB5CAF" w14:textId="77777777" w:rsidTr="008C76E0">
        <w:trPr>
          <w:jc w:val="center"/>
        </w:trPr>
        <w:tc>
          <w:tcPr>
            <w:tcW w:w="2770" w:type="dxa"/>
            <w:tcBorders>
              <w:top w:val="single" w:sz="4" w:space="0" w:color="auto"/>
              <w:left w:val="single" w:sz="4" w:space="0" w:color="auto"/>
            </w:tcBorders>
            <w:shd w:val="clear" w:color="auto" w:fill="FFFFFF"/>
          </w:tcPr>
          <w:p w14:paraId="3A313621"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0CF66AF4"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6471D9B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5842A07" w14:textId="77777777" w:rsidTr="008C76E0">
        <w:trPr>
          <w:jc w:val="center"/>
        </w:trPr>
        <w:tc>
          <w:tcPr>
            <w:tcW w:w="2770" w:type="dxa"/>
            <w:tcBorders>
              <w:top w:val="single" w:sz="4" w:space="0" w:color="auto"/>
              <w:left w:val="single" w:sz="4" w:space="0" w:color="auto"/>
            </w:tcBorders>
            <w:shd w:val="clear" w:color="auto" w:fill="FFFFFF"/>
          </w:tcPr>
          <w:p w14:paraId="74DF9FC8"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42019F63"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34C69D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05862906" w14:textId="77777777" w:rsidTr="008C76E0">
        <w:trPr>
          <w:jc w:val="center"/>
        </w:trPr>
        <w:tc>
          <w:tcPr>
            <w:tcW w:w="2770" w:type="dxa"/>
            <w:tcBorders>
              <w:top w:val="single" w:sz="4" w:space="0" w:color="auto"/>
              <w:left w:val="single" w:sz="4" w:space="0" w:color="auto"/>
            </w:tcBorders>
            <w:shd w:val="clear" w:color="auto" w:fill="FFFFFF"/>
          </w:tcPr>
          <w:p w14:paraId="2A4D23BD"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C60D14A"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5949F69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D8FB194" w14:textId="77777777" w:rsidTr="008C76E0">
        <w:trPr>
          <w:jc w:val="center"/>
        </w:trPr>
        <w:tc>
          <w:tcPr>
            <w:tcW w:w="2770" w:type="dxa"/>
            <w:tcBorders>
              <w:top w:val="single" w:sz="4" w:space="0" w:color="auto"/>
              <w:left w:val="single" w:sz="4" w:space="0" w:color="auto"/>
            </w:tcBorders>
            <w:shd w:val="clear" w:color="auto" w:fill="FFFFFF"/>
          </w:tcPr>
          <w:p w14:paraId="06E06BB4"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tcBorders>
            <w:shd w:val="clear" w:color="auto" w:fill="FFFFFF"/>
          </w:tcPr>
          <w:p w14:paraId="6A90856C"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right w:val="single" w:sz="4" w:space="0" w:color="auto"/>
            </w:tcBorders>
            <w:shd w:val="clear" w:color="auto" w:fill="FFFFFF"/>
          </w:tcPr>
          <w:p w14:paraId="455B6071" w14:textId="77777777" w:rsidR="008C76E0" w:rsidRPr="00BD7577" w:rsidRDefault="008C76E0" w:rsidP="008C76E0">
            <w:pPr>
              <w:spacing w:after="120" w:line="240" w:lineRule="auto"/>
              <w:jc w:val="both"/>
              <w:rPr>
                <w:rFonts w:ascii="Sylfaen" w:hAnsi="Sylfaen"/>
                <w:sz w:val="24"/>
                <w:szCs w:val="24"/>
              </w:rPr>
            </w:pPr>
          </w:p>
        </w:tc>
      </w:tr>
      <w:tr w:rsidR="008C76E0" w:rsidRPr="00BD7577" w14:paraId="3EF56383" w14:textId="77777777" w:rsidTr="008C76E0">
        <w:trPr>
          <w:jc w:val="center"/>
        </w:trPr>
        <w:tc>
          <w:tcPr>
            <w:tcW w:w="2770" w:type="dxa"/>
            <w:tcBorders>
              <w:top w:val="single" w:sz="4" w:space="0" w:color="auto"/>
              <w:left w:val="single" w:sz="4" w:space="0" w:color="auto"/>
              <w:bottom w:val="single" w:sz="4" w:space="0" w:color="auto"/>
            </w:tcBorders>
            <w:shd w:val="clear" w:color="auto" w:fill="FFFFFF"/>
          </w:tcPr>
          <w:p w14:paraId="6C9C757F" w14:textId="77777777" w:rsidR="008C76E0" w:rsidRPr="00BD7577" w:rsidRDefault="008C76E0" w:rsidP="008C76E0">
            <w:pPr>
              <w:spacing w:after="120" w:line="240" w:lineRule="auto"/>
              <w:jc w:val="both"/>
              <w:rPr>
                <w:rFonts w:ascii="Sylfaen" w:hAnsi="Sylfaen"/>
                <w:sz w:val="24"/>
                <w:szCs w:val="24"/>
              </w:rPr>
            </w:pPr>
          </w:p>
        </w:tc>
        <w:tc>
          <w:tcPr>
            <w:tcW w:w="2549" w:type="dxa"/>
            <w:tcBorders>
              <w:top w:val="single" w:sz="4" w:space="0" w:color="auto"/>
              <w:left w:val="single" w:sz="4" w:space="0" w:color="auto"/>
              <w:bottom w:val="single" w:sz="4" w:space="0" w:color="auto"/>
            </w:tcBorders>
            <w:shd w:val="clear" w:color="auto" w:fill="FFFFFF"/>
          </w:tcPr>
          <w:p w14:paraId="49547735" w14:textId="77777777" w:rsidR="008C76E0" w:rsidRPr="00BD7577" w:rsidRDefault="008C76E0" w:rsidP="008C76E0">
            <w:pPr>
              <w:spacing w:after="120" w:line="240" w:lineRule="auto"/>
              <w:jc w:val="both"/>
              <w:rPr>
                <w:rFonts w:ascii="Sylfaen" w:hAnsi="Sylfaen"/>
                <w:sz w:val="24"/>
                <w:szCs w:val="24"/>
              </w:rPr>
            </w:pPr>
          </w:p>
        </w:tc>
        <w:tc>
          <w:tcPr>
            <w:tcW w:w="4195" w:type="dxa"/>
            <w:tcBorders>
              <w:top w:val="single" w:sz="4" w:space="0" w:color="auto"/>
              <w:left w:val="single" w:sz="4" w:space="0" w:color="auto"/>
              <w:bottom w:val="single" w:sz="4" w:space="0" w:color="auto"/>
              <w:right w:val="single" w:sz="4" w:space="0" w:color="auto"/>
            </w:tcBorders>
            <w:shd w:val="clear" w:color="auto" w:fill="FFFFFF"/>
          </w:tcPr>
          <w:p w14:paraId="486DFFA6" w14:textId="77777777" w:rsidR="008C76E0" w:rsidRPr="00BD7577" w:rsidRDefault="008C76E0" w:rsidP="008C76E0">
            <w:pPr>
              <w:spacing w:after="120" w:line="240" w:lineRule="auto"/>
              <w:jc w:val="both"/>
              <w:rPr>
                <w:rFonts w:ascii="Sylfaen" w:hAnsi="Sylfaen"/>
                <w:sz w:val="24"/>
                <w:szCs w:val="24"/>
              </w:rPr>
            </w:pPr>
          </w:p>
        </w:tc>
      </w:tr>
    </w:tbl>
    <w:p w14:paraId="66F77B1E"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4.5.2.</w:t>
      </w:r>
      <w:r w:rsidRPr="00BD7577">
        <w:rPr>
          <w:rFonts w:ascii="Sylfaen" w:hAnsi="Sylfaen"/>
          <w:sz w:val="24"/>
          <w:szCs w:val="24"/>
        </w:rPr>
        <w:tab/>
        <w:t>Վերլուծական մեթոդիկաները (բաժին P.5.2)։</w:t>
      </w:r>
    </w:p>
    <w:p w14:paraId="3F3B28A2"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B92968E"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A6BF46"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04934F" w14:textId="77777777" w:rsidR="008C76E0" w:rsidRPr="00BD7577" w:rsidRDefault="008C76E0" w:rsidP="00D002A4">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lastRenderedPageBreak/>
        <w:t>4.5.3.</w:t>
      </w:r>
      <w:r w:rsidRPr="00BD7577">
        <w:rPr>
          <w:rFonts w:ascii="Sylfaen" w:hAnsi="Sylfaen"/>
          <w:sz w:val="24"/>
          <w:szCs w:val="24"/>
        </w:rPr>
        <w:tab/>
        <w:t>Վերլուծական մեթոդիկաների վալիդացումը (բաժին P.5.3)։</w:t>
      </w:r>
    </w:p>
    <w:p w14:paraId="6B93FDFC" w14:textId="77777777" w:rsidR="008C76E0" w:rsidRPr="00BD7577" w:rsidRDefault="008C76E0" w:rsidP="00D002A4">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83A6E8" w14:textId="77777777" w:rsidR="008C76E0" w:rsidRPr="00BD7577" w:rsidRDefault="008C76E0" w:rsidP="00D002A4">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A6DD97" w14:textId="77777777" w:rsidR="008C76E0" w:rsidRPr="00BD7577" w:rsidRDefault="008C76E0" w:rsidP="00D002A4">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8F8C06" w14:textId="77777777" w:rsidR="008C76E0" w:rsidRPr="00E15E7D" w:rsidRDefault="008C76E0" w:rsidP="00D002A4">
      <w:pPr>
        <w:widowControl/>
        <w:spacing w:after="160" w:line="360" w:lineRule="auto"/>
        <w:rPr>
          <w:rFonts w:ascii="Sylfaen" w:eastAsia="Times New Roman" w:hAnsi="Sylfaen" w:cs="Times New Roman"/>
          <w:sz w:val="24"/>
          <w:szCs w:val="24"/>
        </w:rPr>
      </w:pPr>
    </w:p>
    <w:p w14:paraId="49FB956D"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P. 5-2</w:t>
      </w:r>
    </w:p>
    <w:p w14:paraId="53A0545F" w14:textId="77777777" w:rsidR="008C76E0" w:rsidRPr="00BD7577" w:rsidRDefault="008C76E0" w:rsidP="00D23305">
      <w:pPr>
        <w:spacing w:after="160" w:line="360" w:lineRule="auto"/>
        <w:ind w:right="-1"/>
        <w:jc w:val="right"/>
        <w:rPr>
          <w:rFonts w:ascii="Sylfaen" w:hAnsi="Sylfaen"/>
          <w:sz w:val="24"/>
          <w:szCs w:val="24"/>
        </w:rPr>
      </w:pPr>
    </w:p>
    <w:p w14:paraId="48D1938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Վերլուծական մեթոդիկաների վալիդացման պարամետրերի </w:t>
      </w:r>
      <w:r w:rsidRPr="00A30AAA">
        <w:rPr>
          <w:rFonts w:ascii="Sylfaen" w:hAnsi="Sylfaen"/>
          <w:sz w:val="24"/>
          <w:szCs w:val="24"/>
        </w:rPr>
        <w:br/>
      </w:r>
      <w:r w:rsidRPr="00BD7577">
        <w:rPr>
          <w:rFonts w:ascii="Sylfaen" w:hAnsi="Sylfaen"/>
          <w:sz w:val="24"/>
          <w:szCs w:val="24"/>
        </w:rPr>
        <w:t>համառոտ ամփոփումը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5357"/>
        <w:gridCol w:w="1056"/>
        <w:gridCol w:w="1056"/>
        <w:gridCol w:w="1056"/>
        <w:gridCol w:w="1061"/>
      </w:tblGrid>
      <w:tr w:rsidR="008C76E0" w:rsidRPr="00BD7577" w14:paraId="46E90CE8" w14:textId="77777777" w:rsidTr="008C76E0">
        <w:trPr>
          <w:jc w:val="center"/>
        </w:trPr>
        <w:tc>
          <w:tcPr>
            <w:tcW w:w="5357" w:type="dxa"/>
            <w:vMerge w:val="restart"/>
            <w:tcBorders>
              <w:top w:val="single" w:sz="4" w:space="0" w:color="auto"/>
              <w:left w:val="single" w:sz="4" w:space="0" w:color="auto"/>
            </w:tcBorders>
            <w:shd w:val="clear" w:color="auto" w:fill="FFFFFF"/>
          </w:tcPr>
          <w:p w14:paraId="2B15AC23" w14:textId="77777777" w:rsidR="008C76E0" w:rsidRPr="00BD7577" w:rsidRDefault="008C76E0" w:rsidP="008C76E0">
            <w:pPr>
              <w:spacing w:after="120" w:line="240" w:lineRule="auto"/>
              <w:jc w:val="both"/>
              <w:rPr>
                <w:rFonts w:ascii="Sylfaen" w:hAnsi="Sylfaen"/>
                <w:sz w:val="24"/>
                <w:szCs w:val="24"/>
              </w:rPr>
            </w:pPr>
          </w:p>
        </w:tc>
        <w:tc>
          <w:tcPr>
            <w:tcW w:w="4224" w:type="dxa"/>
            <w:gridSpan w:val="4"/>
            <w:tcBorders>
              <w:top w:val="single" w:sz="4" w:space="0" w:color="auto"/>
              <w:left w:val="single" w:sz="4" w:space="0" w:color="auto"/>
              <w:right w:val="single" w:sz="4" w:space="0" w:color="auto"/>
            </w:tcBorders>
            <w:shd w:val="clear" w:color="auto" w:fill="FFFFFF"/>
            <w:vAlign w:val="bottom"/>
          </w:tcPr>
          <w:p w14:paraId="79798B7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28BEB658" w14:textId="77777777" w:rsidTr="008C76E0">
        <w:trPr>
          <w:jc w:val="center"/>
        </w:trPr>
        <w:tc>
          <w:tcPr>
            <w:tcW w:w="5357" w:type="dxa"/>
            <w:vMerge/>
            <w:tcBorders>
              <w:left w:val="single" w:sz="4" w:space="0" w:color="auto"/>
            </w:tcBorders>
            <w:shd w:val="clear" w:color="auto" w:fill="FFFFFF"/>
          </w:tcPr>
          <w:p w14:paraId="75A0F9A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B9709B6"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2C5C56DF"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D7D74FD"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00FDEEC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F35FA53" w14:textId="77777777" w:rsidTr="008C76E0">
        <w:trPr>
          <w:jc w:val="center"/>
        </w:trPr>
        <w:tc>
          <w:tcPr>
            <w:tcW w:w="5357" w:type="dxa"/>
            <w:tcBorders>
              <w:top w:val="single" w:sz="4" w:space="0" w:color="auto"/>
              <w:left w:val="single" w:sz="4" w:space="0" w:color="auto"/>
            </w:tcBorders>
            <w:shd w:val="clear" w:color="auto" w:fill="FFFFFF"/>
          </w:tcPr>
          <w:p w14:paraId="3766043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Ճշտությունը</w:t>
            </w:r>
          </w:p>
        </w:tc>
        <w:tc>
          <w:tcPr>
            <w:tcW w:w="1056" w:type="dxa"/>
            <w:tcBorders>
              <w:top w:val="single" w:sz="4" w:space="0" w:color="auto"/>
              <w:left w:val="single" w:sz="4" w:space="0" w:color="auto"/>
            </w:tcBorders>
            <w:shd w:val="clear" w:color="auto" w:fill="FFFFFF"/>
          </w:tcPr>
          <w:p w14:paraId="5FBCAA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63F16385"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E83D87B"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6314C77D"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2DE7AE6" w14:textId="77777777" w:rsidTr="008C76E0">
        <w:trPr>
          <w:jc w:val="center"/>
        </w:trPr>
        <w:tc>
          <w:tcPr>
            <w:tcW w:w="5357" w:type="dxa"/>
            <w:tcBorders>
              <w:top w:val="single" w:sz="4" w:space="0" w:color="auto"/>
              <w:left w:val="single" w:sz="4" w:space="0" w:color="auto"/>
            </w:tcBorders>
            <w:shd w:val="clear" w:color="auto" w:fill="FFFFFF"/>
          </w:tcPr>
          <w:p w14:paraId="44D11BEB"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Վերարտադրելիությունը՝</w:t>
            </w:r>
          </w:p>
          <w:p w14:paraId="2528D114"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կրկնելիությունը (զուգամիտությունը), միջլաբորատոր վերարտադրելիությունը</w:t>
            </w:r>
          </w:p>
        </w:tc>
        <w:tc>
          <w:tcPr>
            <w:tcW w:w="1056" w:type="dxa"/>
            <w:tcBorders>
              <w:top w:val="single" w:sz="4" w:space="0" w:color="auto"/>
              <w:left w:val="single" w:sz="4" w:space="0" w:color="auto"/>
            </w:tcBorders>
            <w:shd w:val="clear" w:color="auto" w:fill="FFFFFF"/>
          </w:tcPr>
          <w:p w14:paraId="29E9A36A"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032EE75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tcBorders>
            <w:shd w:val="clear" w:color="auto" w:fill="FFFFFF"/>
          </w:tcPr>
          <w:p w14:paraId="396E83B2"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right w:val="single" w:sz="4" w:space="0" w:color="auto"/>
            </w:tcBorders>
            <w:shd w:val="clear" w:color="auto" w:fill="FFFFFF"/>
          </w:tcPr>
          <w:p w14:paraId="5FBF243F"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8EA09B2"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6C1DA6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Սպեցիֆիկությունը</w:t>
            </w:r>
          </w:p>
        </w:tc>
        <w:tc>
          <w:tcPr>
            <w:tcW w:w="1056" w:type="dxa"/>
            <w:tcBorders>
              <w:top w:val="single" w:sz="4" w:space="0" w:color="auto"/>
              <w:left w:val="single" w:sz="4" w:space="0" w:color="auto"/>
              <w:bottom w:val="single" w:sz="4" w:space="0" w:color="auto"/>
            </w:tcBorders>
            <w:shd w:val="clear" w:color="auto" w:fill="FFFFFF"/>
          </w:tcPr>
          <w:p w14:paraId="488DC5C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1EA318D" w14:textId="77777777" w:rsidR="008C76E0" w:rsidRPr="00BD7577" w:rsidRDefault="008C76E0" w:rsidP="008C76E0">
            <w:pPr>
              <w:spacing w:after="120" w:line="240" w:lineRule="auto"/>
              <w:jc w:val="center"/>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107BAD2A"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FFFFFF"/>
          </w:tcPr>
          <w:p w14:paraId="73AEEDE9"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D22B08B" w14:textId="77777777" w:rsidTr="008C76E0">
        <w:trPr>
          <w:jc w:val="center"/>
        </w:trPr>
        <w:tc>
          <w:tcPr>
            <w:tcW w:w="5357" w:type="dxa"/>
            <w:vMerge w:val="restart"/>
            <w:tcBorders>
              <w:top w:val="single" w:sz="4" w:space="0" w:color="auto"/>
              <w:left w:val="single" w:sz="4" w:space="0" w:color="auto"/>
            </w:tcBorders>
            <w:shd w:val="clear" w:color="auto" w:fill="FFFFFF"/>
          </w:tcPr>
          <w:p w14:paraId="6582A37D" w14:textId="77777777" w:rsidR="008C76E0" w:rsidRPr="00BD7577" w:rsidRDefault="008C76E0" w:rsidP="008C76E0">
            <w:pPr>
              <w:spacing w:after="120" w:line="240" w:lineRule="auto"/>
              <w:ind w:left="106"/>
              <w:jc w:val="both"/>
              <w:rPr>
                <w:rFonts w:ascii="Sylfaen" w:hAnsi="Sylfaen"/>
                <w:sz w:val="24"/>
                <w:szCs w:val="24"/>
              </w:rPr>
            </w:pPr>
          </w:p>
        </w:tc>
        <w:tc>
          <w:tcPr>
            <w:tcW w:w="4229" w:type="dxa"/>
            <w:gridSpan w:val="4"/>
            <w:tcBorders>
              <w:top w:val="single" w:sz="4" w:space="0" w:color="auto"/>
              <w:left w:val="single" w:sz="4" w:space="0" w:color="auto"/>
              <w:right w:val="single" w:sz="4" w:space="0" w:color="auto"/>
            </w:tcBorders>
            <w:shd w:val="clear" w:color="auto" w:fill="FFFFFF"/>
            <w:vAlign w:val="bottom"/>
          </w:tcPr>
          <w:p w14:paraId="5FC6EA98"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Վերլուծական մեթոդիկան</w:t>
            </w:r>
          </w:p>
        </w:tc>
      </w:tr>
      <w:tr w:rsidR="008C76E0" w:rsidRPr="00BD7577" w14:paraId="3B57CF20" w14:textId="77777777" w:rsidTr="008C76E0">
        <w:trPr>
          <w:jc w:val="center"/>
        </w:trPr>
        <w:tc>
          <w:tcPr>
            <w:tcW w:w="5357" w:type="dxa"/>
            <w:vMerge/>
            <w:tcBorders>
              <w:left w:val="single" w:sz="4" w:space="0" w:color="auto"/>
            </w:tcBorders>
            <w:shd w:val="clear" w:color="auto" w:fill="FFFFFF"/>
          </w:tcPr>
          <w:p w14:paraId="66DBB0D7" w14:textId="77777777" w:rsidR="008C76E0" w:rsidRPr="00BD7577" w:rsidRDefault="008C76E0" w:rsidP="008C76E0">
            <w:pPr>
              <w:spacing w:after="120" w:line="240" w:lineRule="auto"/>
              <w:ind w:left="106"/>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151C1B2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249472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03AB926"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7DD9987" w14:textId="77777777" w:rsidR="008C76E0" w:rsidRPr="00BD7577" w:rsidRDefault="008C76E0" w:rsidP="008C76E0">
            <w:pPr>
              <w:spacing w:after="120" w:line="240" w:lineRule="auto"/>
              <w:jc w:val="both"/>
              <w:rPr>
                <w:rFonts w:ascii="Sylfaen" w:hAnsi="Sylfaen"/>
                <w:sz w:val="24"/>
                <w:szCs w:val="24"/>
              </w:rPr>
            </w:pPr>
          </w:p>
        </w:tc>
      </w:tr>
      <w:tr w:rsidR="008C76E0" w:rsidRPr="00BD7577" w14:paraId="4BCF7A1E" w14:textId="77777777" w:rsidTr="008C76E0">
        <w:trPr>
          <w:jc w:val="center"/>
        </w:trPr>
        <w:tc>
          <w:tcPr>
            <w:tcW w:w="5357" w:type="dxa"/>
            <w:tcBorders>
              <w:top w:val="single" w:sz="4" w:space="0" w:color="auto"/>
              <w:left w:val="single" w:sz="4" w:space="0" w:color="auto"/>
            </w:tcBorders>
            <w:shd w:val="clear" w:color="auto" w:fill="FFFFFF"/>
          </w:tcPr>
          <w:p w14:paraId="32B1C2E3" w14:textId="2FDDA82C"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w:t>
            </w:r>
            <w:r w:rsidR="008C76E0" w:rsidRPr="00BD7577">
              <w:rPr>
                <w:rStyle w:val="Bodytext1811pt"/>
                <w:rFonts w:ascii="Sylfaen" w:hAnsi="Sylfaen"/>
                <w:sz w:val="24"/>
                <w:szCs w:val="24"/>
              </w:rPr>
              <w:t>նաբերման սահմանը</w:t>
            </w:r>
          </w:p>
        </w:tc>
        <w:tc>
          <w:tcPr>
            <w:tcW w:w="1056" w:type="dxa"/>
            <w:tcBorders>
              <w:top w:val="single" w:sz="4" w:space="0" w:color="auto"/>
              <w:left w:val="single" w:sz="4" w:space="0" w:color="auto"/>
            </w:tcBorders>
            <w:shd w:val="clear" w:color="auto" w:fill="FFFFFF"/>
          </w:tcPr>
          <w:p w14:paraId="688E4425"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34D93CCC"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CFE3388"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0F0B9E95"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C33062D" w14:textId="77777777" w:rsidTr="008C76E0">
        <w:trPr>
          <w:jc w:val="center"/>
        </w:trPr>
        <w:tc>
          <w:tcPr>
            <w:tcW w:w="5357" w:type="dxa"/>
            <w:tcBorders>
              <w:top w:val="single" w:sz="4" w:space="0" w:color="auto"/>
              <w:left w:val="single" w:sz="4" w:space="0" w:color="auto"/>
            </w:tcBorders>
            <w:shd w:val="clear" w:color="auto" w:fill="FFFFFF"/>
          </w:tcPr>
          <w:p w14:paraId="718CAF6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Քանակական որոշման ստորին սահմանը</w:t>
            </w:r>
          </w:p>
        </w:tc>
        <w:tc>
          <w:tcPr>
            <w:tcW w:w="1056" w:type="dxa"/>
            <w:tcBorders>
              <w:top w:val="single" w:sz="4" w:space="0" w:color="auto"/>
              <w:left w:val="single" w:sz="4" w:space="0" w:color="auto"/>
            </w:tcBorders>
            <w:shd w:val="clear" w:color="auto" w:fill="FFFFFF"/>
          </w:tcPr>
          <w:p w14:paraId="3D311E50"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064C97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592A5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75F1E6E0"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1E2E957" w14:textId="77777777" w:rsidTr="008C76E0">
        <w:trPr>
          <w:jc w:val="center"/>
        </w:trPr>
        <w:tc>
          <w:tcPr>
            <w:tcW w:w="5357" w:type="dxa"/>
            <w:tcBorders>
              <w:top w:val="single" w:sz="4" w:space="0" w:color="auto"/>
              <w:left w:val="single" w:sz="4" w:space="0" w:color="auto"/>
            </w:tcBorders>
            <w:shd w:val="clear" w:color="auto" w:fill="FFFFFF"/>
          </w:tcPr>
          <w:p w14:paraId="2C80CE4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Գծայնությունը</w:t>
            </w:r>
          </w:p>
        </w:tc>
        <w:tc>
          <w:tcPr>
            <w:tcW w:w="1056" w:type="dxa"/>
            <w:tcBorders>
              <w:top w:val="single" w:sz="4" w:space="0" w:color="auto"/>
              <w:left w:val="single" w:sz="4" w:space="0" w:color="auto"/>
            </w:tcBorders>
            <w:shd w:val="clear" w:color="auto" w:fill="FFFFFF"/>
          </w:tcPr>
          <w:p w14:paraId="6476632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2CC644C1"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4D487070"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F0E47B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1C0FDC5E" w14:textId="77777777" w:rsidTr="008C76E0">
        <w:trPr>
          <w:jc w:val="center"/>
        </w:trPr>
        <w:tc>
          <w:tcPr>
            <w:tcW w:w="5357" w:type="dxa"/>
            <w:tcBorders>
              <w:top w:val="single" w:sz="4" w:space="0" w:color="auto"/>
              <w:left w:val="single" w:sz="4" w:space="0" w:color="auto"/>
            </w:tcBorders>
            <w:shd w:val="clear" w:color="auto" w:fill="FFFFFF"/>
          </w:tcPr>
          <w:p w14:paraId="491E73C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Որոշվող պարունակությունների տիրույթը</w:t>
            </w:r>
          </w:p>
        </w:tc>
        <w:tc>
          <w:tcPr>
            <w:tcW w:w="1056" w:type="dxa"/>
            <w:tcBorders>
              <w:top w:val="single" w:sz="4" w:space="0" w:color="auto"/>
              <w:left w:val="single" w:sz="4" w:space="0" w:color="auto"/>
            </w:tcBorders>
            <w:shd w:val="clear" w:color="auto" w:fill="FFFFFF"/>
          </w:tcPr>
          <w:p w14:paraId="304BF2C8"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6CADAE8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5E0E7DDD"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6CFF5FEC" w14:textId="77777777" w:rsidR="008C76E0" w:rsidRPr="00BD7577" w:rsidRDefault="008C76E0" w:rsidP="008C76E0">
            <w:pPr>
              <w:spacing w:after="120" w:line="240" w:lineRule="auto"/>
              <w:jc w:val="both"/>
              <w:rPr>
                <w:rFonts w:ascii="Sylfaen" w:hAnsi="Sylfaen"/>
                <w:sz w:val="24"/>
                <w:szCs w:val="24"/>
              </w:rPr>
            </w:pPr>
          </w:p>
        </w:tc>
      </w:tr>
      <w:tr w:rsidR="008C76E0" w:rsidRPr="00BD7577" w14:paraId="29ADBC27" w14:textId="77777777" w:rsidTr="008C76E0">
        <w:trPr>
          <w:jc w:val="center"/>
        </w:trPr>
        <w:tc>
          <w:tcPr>
            <w:tcW w:w="5357" w:type="dxa"/>
            <w:tcBorders>
              <w:top w:val="single" w:sz="4" w:space="0" w:color="auto"/>
              <w:left w:val="single" w:sz="4" w:space="0" w:color="auto"/>
            </w:tcBorders>
            <w:shd w:val="clear" w:color="auto" w:fill="FFFFFF"/>
          </w:tcPr>
          <w:p w14:paraId="2785D0E6"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Հաստատունությունը (դիմացկունությունը)</w:t>
            </w:r>
          </w:p>
        </w:tc>
        <w:tc>
          <w:tcPr>
            <w:tcW w:w="1056" w:type="dxa"/>
            <w:tcBorders>
              <w:top w:val="single" w:sz="4" w:space="0" w:color="auto"/>
              <w:left w:val="single" w:sz="4" w:space="0" w:color="auto"/>
            </w:tcBorders>
            <w:shd w:val="clear" w:color="auto" w:fill="FFFFFF"/>
          </w:tcPr>
          <w:p w14:paraId="53ABDDB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0365D7B4"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tcBorders>
            <w:shd w:val="clear" w:color="auto" w:fill="FFFFFF"/>
          </w:tcPr>
          <w:p w14:paraId="7510D187"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right w:val="single" w:sz="4" w:space="0" w:color="auto"/>
            </w:tcBorders>
            <w:shd w:val="clear" w:color="auto" w:fill="FFFFFF"/>
          </w:tcPr>
          <w:p w14:paraId="214330A4" w14:textId="77777777" w:rsidR="008C76E0" w:rsidRPr="00BD7577" w:rsidRDefault="008C76E0" w:rsidP="008C76E0">
            <w:pPr>
              <w:spacing w:after="120" w:line="240" w:lineRule="auto"/>
              <w:jc w:val="both"/>
              <w:rPr>
                <w:rFonts w:ascii="Sylfaen" w:hAnsi="Sylfaen"/>
                <w:sz w:val="24"/>
                <w:szCs w:val="24"/>
              </w:rPr>
            </w:pPr>
          </w:p>
        </w:tc>
      </w:tr>
      <w:tr w:rsidR="008C76E0" w:rsidRPr="00BD7577" w14:paraId="564E531D" w14:textId="77777777" w:rsidTr="008C76E0">
        <w:trPr>
          <w:jc w:val="center"/>
        </w:trPr>
        <w:tc>
          <w:tcPr>
            <w:tcW w:w="5357" w:type="dxa"/>
            <w:tcBorders>
              <w:top w:val="single" w:sz="4" w:space="0" w:color="auto"/>
              <w:left w:val="single" w:sz="4" w:space="0" w:color="auto"/>
              <w:bottom w:val="single" w:sz="4" w:space="0" w:color="auto"/>
            </w:tcBorders>
            <w:shd w:val="clear" w:color="auto" w:fill="FFFFFF"/>
          </w:tcPr>
          <w:p w14:paraId="0917DCF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Լուծույթի կայունությունը</w:t>
            </w:r>
          </w:p>
        </w:tc>
        <w:tc>
          <w:tcPr>
            <w:tcW w:w="1056" w:type="dxa"/>
            <w:tcBorders>
              <w:top w:val="single" w:sz="4" w:space="0" w:color="auto"/>
              <w:left w:val="single" w:sz="4" w:space="0" w:color="auto"/>
              <w:bottom w:val="single" w:sz="4" w:space="0" w:color="auto"/>
            </w:tcBorders>
            <w:shd w:val="clear" w:color="auto" w:fill="FFFFFF"/>
          </w:tcPr>
          <w:p w14:paraId="7384BD6E"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46640CA9" w14:textId="77777777" w:rsidR="008C76E0" w:rsidRPr="00BD7577" w:rsidRDefault="008C76E0" w:rsidP="008C76E0">
            <w:pPr>
              <w:spacing w:after="120" w:line="240" w:lineRule="auto"/>
              <w:jc w:val="both"/>
              <w:rPr>
                <w:rFonts w:ascii="Sylfaen" w:hAnsi="Sylfaen"/>
                <w:sz w:val="24"/>
                <w:szCs w:val="24"/>
              </w:rPr>
            </w:pPr>
          </w:p>
        </w:tc>
        <w:tc>
          <w:tcPr>
            <w:tcW w:w="1056" w:type="dxa"/>
            <w:tcBorders>
              <w:top w:val="single" w:sz="4" w:space="0" w:color="auto"/>
              <w:left w:val="single" w:sz="4" w:space="0" w:color="auto"/>
              <w:bottom w:val="single" w:sz="4" w:space="0" w:color="auto"/>
            </w:tcBorders>
            <w:shd w:val="clear" w:color="auto" w:fill="FFFFFF"/>
          </w:tcPr>
          <w:p w14:paraId="07469839" w14:textId="77777777" w:rsidR="008C76E0" w:rsidRPr="00BD7577" w:rsidRDefault="008C76E0" w:rsidP="008C76E0">
            <w:pPr>
              <w:spacing w:after="120" w:line="240" w:lineRule="auto"/>
              <w:jc w:val="both"/>
              <w:rPr>
                <w:rFonts w:ascii="Sylfaen" w:hAnsi="Sylfaen"/>
                <w:sz w:val="24"/>
                <w:szCs w:val="24"/>
              </w:rPr>
            </w:pP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3A4A7A9B" w14:textId="77777777" w:rsidR="008C76E0" w:rsidRPr="00BD7577" w:rsidRDefault="008C76E0" w:rsidP="008C76E0">
            <w:pPr>
              <w:spacing w:after="120" w:line="240" w:lineRule="auto"/>
              <w:jc w:val="both"/>
              <w:rPr>
                <w:rFonts w:ascii="Sylfaen" w:hAnsi="Sylfaen"/>
                <w:sz w:val="24"/>
                <w:szCs w:val="24"/>
              </w:rPr>
            </w:pPr>
          </w:p>
        </w:tc>
      </w:tr>
    </w:tbl>
    <w:p w14:paraId="15D77254" w14:textId="77777777" w:rsidR="00887430" w:rsidRDefault="00887430" w:rsidP="008C76E0">
      <w:pPr>
        <w:ind w:left="2268" w:right="-1" w:hanging="2268"/>
        <w:jc w:val="both"/>
        <w:rPr>
          <w:rFonts w:ascii="Sylfaen" w:hAnsi="Sylfaen"/>
          <w:sz w:val="24"/>
          <w:szCs w:val="24"/>
          <w:lang w:val="en-US"/>
        </w:rPr>
      </w:pPr>
    </w:p>
    <w:p w14:paraId="0549BE7C" w14:textId="77777777" w:rsidR="008C76E0" w:rsidRPr="00BD7577" w:rsidRDefault="008C76E0" w:rsidP="00D23305">
      <w:pPr>
        <w:spacing w:after="160" w:line="360" w:lineRule="auto"/>
        <w:ind w:left="2268" w:hanging="2268"/>
        <w:jc w:val="both"/>
        <w:rPr>
          <w:rFonts w:ascii="Sylfaen" w:hAnsi="Sylfaen"/>
          <w:sz w:val="24"/>
          <w:szCs w:val="24"/>
        </w:rPr>
      </w:pPr>
      <w:r w:rsidRPr="00BD7577">
        <w:rPr>
          <w:rFonts w:ascii="Sylfaen" w:hAnsi="Sylfaen"/>
          <w:sz w:val="24"/>
          <w:szCs w:val="24"/>
        </w:rPr>
        <w:t xml:space="preserve">Ծանոթագրություն: «+» նշանը ցույց է տալիս, որ պարամետրի որոշումն իրականցվել է պահանջներին համապատասխան, «մինուս» նշանը՝ պարամետրի որոշում չի իրականացվել, «?» նշանը՝ </w:t>
      </w:r>
      <w:r w:rsidRPr="00BD7577">
        <w:rPr>
          <w:rFonts w:ascii="Sylfaen" w:hAnsi="Sylfaen"/>
          <w:sz w:val="24"/>
          <w:szCs w:val="24"/>
        </w:rPr>
        <w:lastRenderedPageBreak/>
        <w:t>հարցերի առկայությունը նախքան պարամետրի ընդունելիության գնահատումը։</w:t>
      </w:r>
    </w:p>
    <w:p w14:paraId="791D56D6" w14:textId="77777777" w:rsidR="008C76E0" w:rsidRPr="00BD7577" w:rsidRDefault="008C76E0" w:rsidP="00D23305">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4.5.4.</w:t>
      </w:r>
      <w:r w:rsidRPr="00BD7577">
        <w:rPr>
          <w:rFonts w:ascii="Sylfaen" w:hAnsi="Sylfaen"/>
          <w:sz w:val="24"/>
          <w:szCs w:val="24"/>
        </w:rPr>
        <w:tab/>
        <w:t>Սերիաների անալիզի արդյունքները (բաժին Р.5.4)։</w:t>
      </w:r>
    </w:p>
    <w:p w14:paraId="75994DF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520C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A41AA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9FFFD1"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4.5.5.</w:t>
      </w:r>
      <w:r w:rsidRPr="00BD7577">
        <w:rPr>
          <w:rFonts w:ascii="Sylfaen" w:hAnsi="Sylfaen"/>
          <w:sz w:val="24"/>
          <w:szCs w:val="24"/>
        </w:rPr>
        <w:tab/>
        <w:t>Խառնուկների բնութագիրը (բաժին Р.5.5)։</w:t>
      </w:r>
    </w:p>
    <w:p w14:paraId="3E25CBC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B070C0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660D2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12DD52"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4.5.6.</w:t>
      </w:r>
      <w:r w:rsidRPr="00BD7577">
        <w:rPr>
          <w:rFonts w:ascii="Sylfaen" w:hAnsi="Sylfaen"/>
          <w:sz w:val="24"/>
          <w:szCs w:val="24"/>
        </w:rPr>
        <w:tab/>
        <w:t>Մասնագրերի հիմնավորումը (բաժին Р.5.6)։</w:t>
      </w:r>
    </w:p>
    <w:p w14:paraId="24C151F5" w14:textId="77777777" w:rsidR="008C76E0" w:rsidRPr="00BD7577" w:rsidRDefault="008C76E0" w:rsidP="00D23305">
      <w:pPr>
        <w:tabs>
          <w:tab w:val="left" w:pos="1418"/>
        </w:tabs>
        <w:spacing w:after="160" w:line="360" w:lineRule="auto"/>
        <w:ind w:right="-1" w:firstLine="567"/>
        <w:jc w:val="both"/>
        <w:rPr>
          <w:rFonts w:ascii="Sylfaen" w:hAnsi="Sylfaen"/>
          <w:sz w:val="24"/>
          <w:szCs w:val="24"/>
          <w:highlight w:val="yellow"/>
        </w:rPr>
      </w:pPr>
    </w:p>
    <w:p w14:paraId="2771DC3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lang w:bidi="ar-SA"/>
        </w:rPr>
        <w:t xml:space="preserve">4.6. </w:t>
      </w:r>
      <w:r w:rsidRPr="00BD7577">
        <w:rPr>
          <w:rFonts w:ascii="Sylfaen" w:hAnsi="Sylfaen" w:cs="TimesNewRomanPSMT"/>
          <w:sz w:val="24"/>
          <w:szCs w:val="24"/>
          <w:lang w:bidi="ar-SA"/>
        </w:rPr>
        <w:t xml:space="preserve">Ստանդարտ նմուշներ </w:t>
      </w:r>
      <w:r w:rsidR="00C54D75">
        <w:rPr>
          <w:rFonts w:ascii="Sylfaen" w:hAnsi="Sylfaen" w:cs="TimesNewRomanPSMT"/>
          <w:sz w:val="24"/>
          <w:szCs w:val="24"/>
          <w:lang w:bidi="ar-SA"/>
        </w:rPr>
        <w:t>և</w:t>
      </w:r>
      <w:r w:rsidRPr="00BD7577">
        <w:rPr>
          <w:rFonts w:ascii="Sylfaen" w:hAnsi="Sylfaen" w:cs="TimesNewRomanPSMT"/>
          <w:sz w:val="24"/>
          <w:szCs w:val="24"/>
          <w:lang w:bidi="ar-SA"/>
        </w:rPr>
        <w:t xml:space="preserve"> նյութեր </w:t>
      </w:r>
      <w:r w:rsidRPr="00BD7577">
        <w:rPr>
          <w:rFonts w:ascii="Sylfaen" w:hAnsi="Sylfaen"/>
          <w:sz w:val="24"/>
          <w:szCs w:val="24"/>
          <w:lang w:bidi="ar-SA"/>
        </w:rPr>
        <w:t>(</w:t>
      </w:r>
      <w:r w:rsidRPr="00BD7577">
        <w:rPr>
          <w:rFonts w:ascii="Sylfaen" w:hAnsi="Sylfaen" w:cs="TimesNewRomanPSMT"/>
          <w:sz w:val="24"/>
          <w:szCs w:val="24"/>
          <w:lang w:bidi="ar-SA"/>
        </w:rPr>
        <w:t xml:space="preserve">մոդուլ </w:t>
      </w:r>
      <w:r w:rsidRPr="00BD7577">
        <w:rPr>
          <w:rFonts w:ascii="Sylfaen" w:hAnsi="Sylfaen"/>
          <w:sz w:val="24"/>
          <w:szCs w:val="24"/>
          <w:lang w:bidi="ar-SA"/>
        </w:rPr>
        <w:t>3.2.P.6)</w:t>
      </w: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9659A90"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56197335"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t>Փորձագետի մեկնաբանությունը</w:t>
            </w:r>
          </w:p>
        </w:tc>
      </w:tr>
      <w:tr w:rsidR="008C76E0" w:rsidRPr="00BD7577" w14:paraId="786CB75C"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39E745C7"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46074D10"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DC33CFA" w14:textId="77777777" w:rsidR="008C76E0" w:rsidRPr="00BD7577" w:rsidRDefault="008C76E0" w:rsidP="00D23305">
            <w:pPr>
              <w:spacing w:after="160" w:line="360" w:lineRule="auto"/>
              <w:ind w:right="-1"/>
              <w:jc w:val="both"/>
              <w:rPr>
                <w:rFonts w:ascii="Sylfaen" w:hAnsi="Sylfaen"/>
                <w:sz w:val="24"/>
                <w:szCs w:val="24"/>
              </w:rPr>
            </w:pPr>
          </w:p>
        </w:tc>
      </w:tr>
    </w:tbl>
    <w:p w14:paraId="21243D99"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p>
    <w:p w14:paraId="065BE7CF" w14:textId="77777777" w:rsidR="008C76E0" w:rsidRPr="00BD7577" w:rsidRDefault="008C76E0" w:rsidP="00D23305">
      <w:pPr>
        <w:pStyle w:val="Tablecaption30"/>
        <w:shd w:val="clear" w:color="auto" w:fill="auto"/>
        <w:spacing w:after="160" w:line="360" w:lineRule="auto"/>
        <w:ind w:left="567" w:right="566"/>
        <w:jc w:val="center"/>
        <w:rPr>
          <w:rFonts w:ascii="Sylfaen" w:hAnsi="Sylfaen"/>
          <w:sz w:val="24"/>
          <w:szCs w:val="24"/>
        </w:rPr>
      </w:pPr>
      <w:r w:rsidRPr="00BD7577">
        <w:rPr>
          <w:rFonts w:ascii="Sylfaen" w:hAnsi="Sylfaen"/>
          <w:sz w:val="24"/>
          <w:szCs w:val="24"/>
        </w:rPr>
        <w:t>4.7. Փաթեթավորման (խցանափակման) համակարգը (մոդուլ 3.2.Р.7)</w:t>
      </w:r>
    </w:p>
    <w:p w14:paraId="0ED89FC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7767C3F"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89466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5E4B70" w14:textId="77777777" w:rsidR="008C76E0" w:rsidRPr="00BD7577" w:rsidRDefault="008C76E0" w:rsidP="00D23305">
      <w:pPr>
        <w:pStyle w:val="Tablecaption30"/>
        <w:shd w:val="clear" w:color="auto" w:fill="auto"/>
        <w:spacing w:after="160" w:line="360" w:lineRule="auto"/>
        <w:ind w:left="567" w:right="566"/>
        <w:jc w:val="both"/>
        <w:rPr>
          <w:rFonts w:ascii="Sylfaen" w:hAnsi="Sylfaen"/>
          <w:sz w:val="24"/>
          <w:szCs w:val="24"/>
        </w:rPr>
      </w:pPr>
    </w:p>
    <w:tbl>
      <w:tblPr>
        <w:tblOverlap w:val="never"/>
        <w:tblW w:w="9590" w:type="dxa"/>
        <w:jc w:val="center"/>
        <w:tblLayout w:type="fixed"/>
        <w:tblCellMar>
          <w:left w:w="10" w:type="dxa"/>
          <w:right w:w="10" w:type="dxa"/>
        </w:tblCellMar>
        <w:tblLook w:val="04A0" w:firstRow="1" w:lastRow="0" w:firstColumn="1" w:lastColumn="0" w:noHBand="0" w:noVBand="1"/>
      </w:tblPr>
      <w:tblGrid>
        <w:gridCol w:w="9590"/>
      </w:tblGrid>
      <w:tr w:rsidR="008C76E0" w:rsidRPr="00BD7577" w14:paraId="2BEEF108" w14:textId="77777777" w:rsidTr="008C76E0">
        <w:trPr>
          <w:jc w:val="center"/>
        </w:trPr>
        <w:tc>
          <w:tcPr>
            <w:tcW w:w="9590" w:type="dxa"/>
            <w:tcBorders>
              <w:top w:val="single" w:sz="4" w:space="0" w:color="auto"/>
              <w:left w:val="single" w:sz="4" w:space="0" w:color="auto"/>
              <w:right w:val="single" w:sz="4" w:space="0" w:color="auto"/>
            </w:tcBorders>
            <w:shd w:val="clear" w:color="auto" w:fill="FFFFFF"/>
            <w:vAlign w:val="bottom"/>
          </w:tcPr>
          <w:p w14:paraId="1480CAC0"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295pt"/>
                <w:rFonts w:ascii="Sylfaen" w:hAnsi="Sylfaen"/>
                <w:spacing w:val="0"/>
                <w:sz w:val="24"/>
                <w:szCs w:val="24"/>
              </w:rPr>
              <w:lastRenderedPageBreak/>
              <w:t>Փորձագետի մեկնաբանությունը</w:t>
            </w:r>
          </w:p>
        </w:tc>
      </w:tr>
      <w:tr w:rsidR="008C76E0" w:rsidRPr="00BD7577" w14:paraId="3888DD99" w14:textId="77777777" w:rsidTr="008C76E0">
        <w:trPr>
          <w:jc w:val="center"/>
        </w:trPr>
        <w:tc>
          <w:tcPr>
            <w:tcW w:w="9590" w:type="dxa"/>
            <w:tcBorders>
              <w:top w:val="single" w:sz="4" w:space="0" w:color="auto"/>
              <w:left w:val="single" w:sz="4" w:space="0" w:color="auto"/>
              <w:right w:val="single" w:sz="4" w:space="0" w:color="auto"/>
            </w:tcBorders>
            <w:shd w:val="clear" w:color="auto" w:fill="FFFFFF"/>
          </w:tcPr>
          <w:p w14:paraId="08A18C1D" w14:textId="77777777" w:rsidR="008C76E0" w:rsidRPr="00BD7577" w:rsidRDefault="008C76E0" w:rsidP="00D23305">
            <w:pPr>
              <w:spacing w:after="160" w:line="360" w:lineRule="auto"/>
              <w:ind w:right="-1"/>
              <w:jc w:val="both"/>
              <w:rPr>
                <w:rFonts w:ascii="Sylfaen" w:hAnsi="Sylfaen"/>
                <w:sz w:val="24"/>
                <w:szCs w:val="24"/>
              </w:rPr>
            </w:pPr>
          </w:p>
        </w:tc>
      </w:tr>
      <w:tr w:rsidR="008C76E0" w:rsidRPr="00BD7577" w14:paraId="159E6F6E" w14:textId="77777777" w:rsidTr="008C76E0">
        <w:trPr>
          <w:jc w:val="center"/>
        </w:trPr>
        <w:tc>
          <w:tcPr>
            <w:tcW w:w="9590" w:type="dxa"/>
            <w:tcBorders>
              <w:top w:val="single" w:sz="4" w:space="0" w:color="auto"/>
              <w:left w:val="single" w:sz="4" w:space="0" w:color="auto"/>
              <w:bottom w:val="single" w:sz="4" w:space="0" w:color="auto"/>
              <w:right w:val="single" w:sz="4" w:space="0" w:color="auto"/>
            </w:tcBorders>
            <w:shd w:val="clear" w:color="auto" w:fill="FFFFFF"/>
          </w:tcPr>
          <w:p w14:paraId="75A9FEBC" w14:textId="77777777" w:rsidR="008C76E0" w:rsidRPr="00BD7577" w:rsidRDefault="008C76E0" w:rsidP="00D23305">
            <w:pPr>
              <w:spacing w:after="160" w:line="360" w:lineRule="auto"/>
              <w:ind w:right="-1"/>
              <w:jc w:val="both"/>
              <w:rPr>
                <w:rFonts w:ascii="Sylfaen" w:hAnsi="Sylfaen"/>
                <w:sz w:val="24"/>
                <w:szCs w:val="24"/>
              </w:rPr>
            </w:pPr>
          </w:p>
        </w:tc>
      </w:tr>
    </w:tbl>
    <w:p w14:paraId="7A258F9F" w14:textId="77777777" w:rsidR="008C76E0" w:rsidRDefault="008C76E0" w:rsidP="00D23305">
      <w:pPr>
        <w:spacing w:after="160" w:line="360" w:lineRule="auto"/>
        <w:ind w:right="-1"/>
        <w:jc w:val="both"/>
        <w:rPr>
          <w:rFonts w:ascii="Sylfaen" w:hAnsi="Sylfaen"/>
          <w:sz w:val="24"/>
          <w:szCs w:val="24"/>
          <w:lang w:val="en-US"/>
        </w:rPr>
      </w:pPr>
    </w:p>
    <w:p w14:paraId="0E03BD9A" w14:textId="77777777" w:rsidR="008C76E0" w:rsidRPr="00BD7577" w:rsidRDefault="008C76E0" w:rsidP="00D23305">
      <w:pPr>
        <w:spacing w:after="160" w:line="360" w:lineRule="auto"/>
        <w:ind w:right="-1" w:firstLine="567"/>
        <w:jc w:val="center"/>
        <w:rPr>
          <w:rFonts w:ascii="Sylfaen" w:hAnsi="Sylfaen"/>
          <w:sz w:val="24"/>
          <w:szCs w:val="24"/>
        </w:rPr>
      </w:pPr>
      <w:r w:rsidRPr="00BD7577">
        <w:rPr>
          <w:rFonts w:ascii="Sylfaen" w:hAnsi="Sylfaen"/>
          <w:sz w:val="24"/>
          <w:szCs w:val="24"/>
        </w:rPr>
        <w:t>4.8. Կայունությունը (մոդուլ 3.2.Р.8)</w:t>
      </w:r>
    </w:p>
    <w:p w14:paraId="408D73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 (բաժին՝ Р.8.1)։</w:t>
      </w:r>
    </w:p>
    <w:p w14:paraId="0D9D2B3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8FC0D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E696A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2D8F1B" w14:textId="77777777" w:rsidR="008C76E0" w:rsidRPr="00BD7577" w:rsidRDefault="008C76E0" w:rsidP="00D23305">
      <w:pPr>
        <w:widowControl/>
        <w:spacing w:after="160" w:line="360" w:lineRule="auto"/>
        <w:jc w:val="both"/>
        <w:rPr>
          <w:rFonts w:ascii="Sylfaen" w:eastAsia="Times New Roman" w:hAnsi="Sylfaen" w:cs="Times New Roman"/>
          <w:sz w:val="24"/>
          <w:szCs w:val="24"/>
        </w:rPr>
      </w:pPr>
    </w:p>
    <w:p w14:paraId="45D7D8DF"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Աղյուսակ Р. 8-1</w:t>
      </w:r>
    </w:p>
    <w:p w14:paraId="04A7C998" w14:textId="77777777" w:rsidR="008C76E0" w:rsidRPr="00BD7577" w:rsidRDefault="008C76E0" w:rsidP="00D23305">
      <w:pPr>
        <w:spacing w:after="160" w:line="360" w:lineRule="auto"/>
        <w:ind w:right="-1"/>
        <w:rPr>
          <w:rFonts w:ascii="Sylfaen" w:hAnsi="Sylfaen"/>
          <w:sz w:val="24"/>
          <w:szCs w:val="24"/>
        </w:rPr>
      </w:pPr>
      <w:r w:rsidRPr="00BD7577">
        <w:rPr>
          <w:rFonts w:ascii="Sylfaen" w:hAnsi="Sylfaen"/>
          <w:sz w:val="24"/>
          <w:szCs w:val="24"/>
        </w:rPr>
        <w:t>Կայունության հիմնական փորձարկումները</w:t>
      </w:r>
    </w:p>
    <w:tbl>
      <w:tblPr>
        <w:tblOverlap w:val="never"/>
        <w:tblW w:w="10963" w:type="dxa"/>
        <w:jc w:val="center"/>
        <w:tblLayout w:type="fixed"/>
        <w:tblCellMar>
          <w:left w:w="10" w:type="dxa"/>
          <w:right w:w="10" w:type="dxa"/>
        </w:tblCellMar>
        <w:tblLook w:val="04A0" w:firstRow="1" w:lastRow="0" w:firstColumn="1" w:lastColumn="0" w:noHBand="0" w:noVBand="1"/>
      </w:tblPr>
      <w:tblGrid>
        <w:gridCol w:w="2807"/>
        <w:gridCol w:w="1454"/>
        <w:gridCol w:w="3801"/>
        <w:gridCol w:w="2901"/>
      </w:tblGrid>
      <w:tr w:rsidR="008C76E0" w:rsidRPr="00BD7577" w14:paraId="256A50EC" w14:textId="77777777" w:rsidTr="008C76E0">
        <w:trPr>
          <w:jc w:val="center"/>
        </w:trPr>
        <w:tc>
          <w:tcPr>
            <w:tcW w:w="2807" w:type="dxa"/>
            <w:tcBorders>
              <w:top w:val="single" w:sz="4" w:space="0" w:color="auto"/>
              <w:left w:val="single" w:sz="4" w:space="0" w:color="auto"/>
            </w:tcBorders>
            <w:shd w:val="clear" w:color="auto" w:fill="FFFFFF"/>
          </w:tcPr>
          <w:p w14:paraId="33ED72E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4"/>
                <w:szCs w:val="24"/>
                <w:lang w:val="hy-AM"/>
              </w:rPr>
            </w:pPr>
            <w:r w:rsidRPr="00BD7577">
              <w:rPr>
                <w:rStyle w:val="Bodytext1811pt"/>
                <w:rFonts w:ascii="Sylfaen" w:hAnsi="Sylfaen"/>
                <w:sz w:val="24"/>
                <w:szCs w:val="24"/>
              </w:rPr>
              <w:t>Ջերմաստիճանը, °C, հարաբերական խոնավությունը (ՀԽ), %</w:t>
            </w:r>
          </w:p>
        </w:tc>
        <w:tc>
          <w:tcPr>
            <w:tcW w:w="1454" w:type="dxa"/>
            <w:tcBorders>
              <w:top w:val="single" w:sz="4" w:space="0" w:color="auto"/>
              <w:left w:val="single" w:sz="4" w:space="0" w:color="auto"/>
            </w:tcBorders>
            <w:shd w:val="clear" w:color="auto" w:fill="FFFFFF"/>
          </w:tcPr>
          <w:p w14:paraId="375D17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295pt"/>
                <w:rFonts w:ascii="Sylfaen" w:hAnsi="Sylfaen"/>
                <w:spacing w:val="0"/>
                <w:sz w:val="24"/>
                <w:szCs w:val="24"/>
              </w:rPr>
              <w:t>п</w:t>
            </w:r>
            <w:r w:rsidRPr="00BD7577">
              <w:rPr>
                <w:rStyle w:val="Bodytext1811pt"/>
                <w:rFonts w:ascii="Sylfaen" w:hAnsi="Sylfaen"/>
                <w:sz w:val="24"/>
                <w:szCs w:val="24"/>
              </w:rPr>
              <w:t xml:space="preserve"> սերիաներ х ամիսներ</w:t>
            </w:r>
          </w:p>
        </w:tc>
        <w:tc>
          <w:tcPr>
            <w:tcW w:w="3801" w:type="dxa"/>
            <w:tcBorders>
              <w:top w:val="single" w:sz="4" w:space="0" w:color="auto"/>
              <w:left w:val="single" w:sz="4" w:space="0" w:color="auto"/>
            </w:tcBorders>
            <w:shd w:val="clear" w:color="auto" w:fill="FFFFFF"/>
          </w:tcPr>
          <w:p w14:paraId="09597E55" w14:textId="77777777" w:rsidR="008C76E0" w:rsidRPr="00BD7577" w:rsidRDefault="008C76E0" w:rsidP="008C76E0">
            <w:pPr>
              <w:pStyle w:val="Bodytext180"/>
              <w:shd w:val="clear" w:color="auto" w:fill="auto"/>
              <w:spacing w:before="0" w:after="120" w:line="240" w:lineRule="auto"/>
              <w:ind w:left="27" w:right="-1" w:firstLine="0"/>
              <w:jc w:val="center"/>
              <w:rPr>
                <w:rFonts w:ascii="Sylfaen" w:hAnsi="Sylfaen"/>
                <w:b w:val="0"/>
                <w:sz w:val="24"/>
                <w:szCs w:val="24"/>
              </w:rPr>
            </w:pPr>
            <w:r w:rsidRPr="00BD7577">
              <w:rPr>
                <w:rStyle w:val="Bodytext1811pt"/>
                <w:rFonts w:ascii="Sylfaen" w:hAnsi="Sylfaen"/>
                <w:sz w:val="24"/>
                <w:szCs w:val="24"/>
              </w:rPr>
              <w:t>Սերիայի չափը</w:t>
            </w:r>
          </w:p>
        </w:tc>
        <w:tc>
          <w:tcPr>
            <w:tcW w:w="2901" w:type="dxa"/>
            <w:tcBorders>
              <w:top w:val="single" w:sz="4" w:space="0" w:color="auto"/>
              <w:left w:val="single" w:sz="4" w:space="0" w:color="auto"/>
              <w:right w:val="single" w:sz="4" w:space="0" w:color="auto"/>
            </w:tcBorders>
            <w:shd w:val="clear" w:color="auto" w:fill="FFFFFF"/>
          </w:tcPr>
          <w:p w14:paraId="49503767" w14:textId="77777777" w:rsidR="008C76E0" w:rsidRPr="00BD7577" w:rsidRDefault="008C76E0" w:rsidP="008C76E0">
            <w:pPr>
              <w:pStyle w:val="Bodytext180"/>
              <w:shd w:val="clear" w:color="auto" w:fill="auto"/>
              <w:spacing w:before="0" w:after="120" w:line="240" w:lineRule="auto"/>
              <w:ind w:left="31" w:right="65" w:firstLine="0"/>
              <w:jc w:val="center"/>
              <w:rPr>
                <w:rFonts w:ascii="Sylfaen" w:hAnsi="Sylfaen"/>
                <w:b w:val="0"/>
                <w:sz w:val="24"/>
                <w:szCs w:val="24"/>
              </w:rPr>
            </w:pPr>
            <w:r w:rsidRPr="00BD7577">
              <w:rPr>
                <w:rStyle w:val="Bodytext1811pt"/>
                <w:rFonts w:ascii="Sylfaen" w:hAnsi="Sylfaen"/>
                <w:sz w:val="24"/>
                <w:szCs w:val="24"/>
              </w:rPr>
              <w:t>Փաթեթավորումը</w:t>
            </w:r>
          </w:p>
        </w:tc>
      </w:tr>
      <w:tr w:rsidR="008C76E0" w:rsidRPr="00BD7577" w14:paraId="59C89D13" w14:textId="77777777" w:rsidTr="008C76E0">
        <w:trPr>
          <w:jc w:val="center"/>
        </w:trPr>
        <w:tc>
          <w:tcPr>
            <w:tcW w:w="2807" w:type="dxa"/>
            <w:tcBorders>
              <w:top w:val="single" w:sz="4" w:space="0" w:color="auto"/>
              <w:left w:val="single" w:sz="4" w:space="0" w:color="auto"/>
            </w:tcBorders>
            <w:shd w:val="clear" w:color="auto" w:fill="FFFFFF"/>
          </w:tcPr>
          <w:p w14:paraId="7AAF33CA" w14:textId="77777777" w:rsidR="008C76E0" w:rsidRPr="00BD7577" w:rsidRDefault="008C76E0" w:rsidP="0074785B">
            <w:pPr>
              <w:pStyle w:val="Bodytext180"/>
              <w:shd w:val="clear" w:color="auto" w:fill="auto"/>
              <w:spacing w:before="0" w:after="120" w:line="240" w:lineRule="auto"/>
              <w:ind w:left="121" w:right="-1" w:firstLine="0"/>
              <w:rPr>
                <w:rFonts w:ascii="Sylfaen" w:hAnsi="Sylfaen"/>
                <w:b w:val="0"/>
                <w:sz w:val="24"/>
                <w:szCs w:val="24"/>
              </w:rPr>
            </w:pPr>
            <w:r w:rsidRPr="00BD7577">
              <w:rPr>
                <w:rStyle w:val="Bodytext1811pt"/>
                <w:rFonts w:ascii="Sylfaen" w:hAnsi="Sylfaen"/>
                <w:sz w:val="24"/>
                <w:szCs w:val="24"/>
              </w:rPr>
              <w:t>25°С/ՀԽ 60 %</w:t>
            </w:r>
          </w:p>
        </w:tc>
        <w:tc>
          <w:tcPr>
            <w:tcW w:w="1454" w:type="dxa"/>
            <w:tcBorders>
              <w:top w:val="single" w:sz="4" w:space="0" w:color="auto"/>
              <w:left w:val="single" w:sz="4" w:space="0" w:color="auto"/>
            </w:tcBorders>
            <w:shd w:val="clear" w:color="auto" w:fill="FFFFFF"/>
          </w:tcPr>
          <w:p w14:paraId="2E62C638"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1E5B134F" w14:textId="77777777" w:rsidR="008C76E0" w:rsidRPr="008C76E0" w:rsidRDefault="008C76E0" w:rsidP="008C76E0">
            <w:pPr>
              <w:pStyle w:val="Bodytext180"/>
              <w:shd w:val="clear" w:color="auto" w:fill="auto"/>
              <w:spacing w:before="0" w:after="120" w:line="240" w:lineRule="auto"/>
              <w:ind w:left="27" w:right="-1" w:firstLine="0"/>
              <w:rPr>
                <w:rFonts w:ascii="Sylfaen" w:hAnsi="Sylfaen"/>
                <w:b w:val="0"/>
                <w:sz w:val="24"/>
                <w:szCs w:val="24"/>
                <w:lang w:val="hy-AM"/>
              </w:rPr>
            </w:pPr>
            <w:r w:rsidRPr="00BD7577">
              <w:rPr>
                <w:rStyle w:val="Bodytext1811pt"/>
                <w:rFonts w:ascii="Sylfaen" w:hAnsi="Sylfaen"/>
                <w:sz w:val="24"/>
                <w:szCs w:val="24"/>
              </w:rPr>
              <w:t>արդյունաբերական մասշտաբը կամ փորձարարաարդյունաբերական մասշտաբը</w:t>
            </w:r>
          </w:p>
        </w:tc>
        <w:tc>
          <w:tcPr>
            <w:tcW w:w="2901" w:type="dxa"/>
            <w:tcBorders>
              <w:top w:val="single" w:sz="4" w:space="0" w:color="auto"/>
              <w:left w:val="single" w:sz="4" w:space="0" w:color="auto"/>
              <w:right w:val="single" w:sz="4" w:space="0" w:color="auto"/>
            </w:tcBorders>
            <w:shd w:val="clear" w:color="auto" w:fill="FFFFFF"/>
          </w:tcPr>
          <w:p w14:paraId="270083AF" w14:textId="77777777" w:rsidR="008C76E0" w:rsidRPr="008C76E0" w:rsidRDefault="008C76E0" w:rsidP="008C76E0">
            <w:pPr>
              <w:pStyle w:val="Bodytext180"/>
              <w:shd w:val="clear" w:color="auto" w:fill="auto"/>
              <w:spacing w:before="0" w:after="120" w:line="240" w:lineRule="auto"/>
              <w:ind w:left="31" w:right="65" w:firstLine="0"/>
              <w:rPr>
                <w:rFonts w:ascii="Sylfaen" w:hAnsi="Sylfaen"/>
                <w:b w:val="0"/>
                <w:sz w:val="24"/>
                <w:szCs w:val="24"/>
                <w:lang w:val="hy-AM"/>
              </w:rPr>
            </w:pPr>
            <w:r w:rsidRPr="00BD7577">
              <w:rPr>
                <w:rStyle w:val="Bodytext1811pt"/>
                <w:rFonts w:ascii="Sylfaen" w:hAnsi="Sylfaen"/>
                <w:sz w:val="24"/>
                <w:szCs w:val="24"/>
              </w:rPr>
              <w:t>նախատեսված է իրացման համար, թե՝ ոչ</w:t>
            </w:r>
          </w:p>
        </w:tc>
      </w:tr>
      <w:tr w:rsidR="008C76E0" w:rsidRPr="00BD7577" w14:paraId="42606905" w14:textId="77777777" w:rsidTr="008C76E0">
        <w:trPr>
          <w:jc w:val="center"/>
        </w:trPr>
        <w:tc>
          <w:tcPr>
            <w:tcW w:w="2807" w:type="dxa"/>
            <w:tcBorders>
              <w:top w:val="single" w:sz="4" w:space="0" w:color="auto"/>
              <w:left w:val="single" w:sz="4" w:space="0" w:color="auto"/>
            </w:tcBorders>
            <w:shd w:val="clear" w:color="auto" w:fill="FFFFFF"/>
          </w:tcPr>
          <w:p w14:paraId="003ECD34" w14:textId="77777777" w:rsidR="008C76E0" w:rsidRPr="00BD7577" w:rsidRDefault="0074785B" w:rsidP="0074785B">
            <w:pPr>
              <w:pStyle w:val="Bodytext180"/>
              <w:shd w:val="clear" w:color="auto" w:fill="auto"/>
              <w:spacing w:before="0" w:after="120" w:line="240" w:lineRule="auto"/>
              <w:ind w:left="121" w:right="-1" w:firstLine="0"/>
              <w:rPr>
                <w:rFonts w:ascii="Sylfaen" w:hAnsi="Sylfaen"/>
                <w:b w:val="0"/>
                <w:sz w:val="24"/>
                <w:szCs w:val="24"/>
              </w:rPr>
            </w:pPr>
            <w:r>
              <w:rPr>
                <w:rStyle w:val="Bodytext1811pt"/>
                <w:rFonts w:ascii="Sylfaen" w:hAnsi="Sylfaen"/>
                <w:sz w:val="24"/>
                <w:szCs w:val="24"/>
              </w:rPr>
              <w:t>40°</w:t>
            </w:r>
            <w:r w:rsidR="008C76E0" w:rsidRPr="00BD7577">
              <w:rPr>
                <w:rStyle w:val="Bodytext1811pt"/>
                <w:rFonts w:ascii="Sylfaen" w:hAnsi="Sylfaen"/>
                <w:sz w:val="24"/>
                <w:szCs w:val="24"/>
              </w:rPr>
              <w:t>/</w:t>
            </w:r>
            <w:r>
              <w:rPr>
                <w:rStyle w:val="Bodytext1811pt"/>
                <w:rFonts w:ascii="Sylfaen" w:hAnsi="Sylfaen"/>
                <w:sz w:val="24"/>
                <w:szCs w:val="24"/>
                <w:lang w:val="en-US"/>
              </w:rPr>
              <w:t xml:space="preserve"> </w:t>
            </w:r>
            <w:r w:rsidR="008C76E0" w:rsidRPr="00BD7577">
              <w:rPr>
                <w:rStyle w:val="Bodytext1811pt"/>
                <w:rFonts w:ascii="Sylfaen" w:hAnsi="Sylfaen"/>
                <w:sz w:val="24"/>
                <w:szCs w:val="24"/>
              </w:rPr>
              <w:t>ՀԽ 75 %</w:t>
            </w:r>
          </w:p>
        </w:tc>
        <w:tc>
          <w:tcPr>
            <w:tcW w:w="1454" w:type="dxa"/>
            <w:tcBorders>
              <w:top w:val="single" w:sz="4" w:space="0" w:color="auto"/>
              <w:left w:val="single" w:sz="4" w:space="0" w:color="auto"/>
            </w:tcBorders>
            <w:shd w:val="clear" w:color="auto" w:fill="FFFFFF"/>
          </w:tcPr>
          <w:p w14:paraId="0452FB91"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tcBorders>
            <w:shd w:val="clear" w:color="auto" w:fill="FFFFFF"/>
          </w:tcPr>
          <w:p w14:paraId="7E899B93"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right w:val="single" w:sz="4" w:space="0" w:color="auto"/>
            </w:tcBorders>
            <w:shd w:val="clear" w:color="auto" w:fill="FFFFFF"/>
          </w:tcPr>
          <w:p w14:paraId="002263EF" w14:textId="77777777" w:rsidR="008C76E0" w:rsidRPr="00BD7577" w:rsidRDefault="008C76E0" w:rsidP="008C76E0">
            <w:pPr>
              <w:spacing w:after="120" w:line="240" w:lineRule="auto"/>
              <w:ind w:left="31" w:right="65"/>
              <w:rPr>
                <w:rFonts w:ascii="Sylfaen" w:hAnsi="Sylfaen"/>
                <w:sz w:val="24"/>
                <w:szCs w:val="24"/>
              </w:rPr>
            </w:pPr>
          </w:p>
        </w:tc>
      </w:tr>
      <w:tr w:rsidR="008C76E0" w:rsidRPr="00BD7577" w14:paraId="7E55090C" w14:textId="77777777" w:rsidTr="008C76E0">
        <w:trPr>
          <w:jc w:val="center"/>
        </w:trPr>
        <w:tc>
          <w:tcPr>
            <w:tcW w:w="2807" w:type="dxa"/>
            <w:tcBorders>
              <w:top w:val="single" w:sz="4" w:space="0" w:color="auto"/>
              <w:left w:val="single" w:sz="4" w:space="0" w:color="auto"/>
              <w:bottom w:val="single" w:sz="4" w:space="0" w:color="auto"/>
            </w:tcBorders>
            <w:shd w:val="clear" w:color="auto" w:fill="FFFFFF"/>
          </w:tcPr>
          <w:p w14:paraId="07A9AA35" w14:textId="77777777" w:rsidR="008C76E0" w:rsidRPr="00BD7577" w:rsidRDefault="008C76E0" w:rsidP="008C76E0">
            <w:pPr>
              <w:spacing w:after="120" w:line="240" w:lineRule="auto"/>
              <w:ind w:right="-1"/>
              <w:rPr>
                <w:rFonts w:ascii="Sylfaen" w:hAnsi="Sylfaen"/>
                <w:sz w:val="24"/>
                <w:szCs w:val="24"/>
              </w:rPr>
            </w:pPr>
          </w:p>
        </w:tc>
        <w:tc>
          <w:tcPr>
            <w:tcW w:w="1454" w:type="dxa"/>
            <w:tcBorders>
              <w:top w:val="single" w:sz="4" w:space="0" w:color="auto"/>
              <w:left w:val="single" w:sz="4" w:space="0" w:color="auto"/>
              <w:bottom w:val="single" w:sz="4" w:space="0" w:color="auto"/>
            </w:tcBorders>
            <w:shd w:val="clear" w:color="auto" w:fill="FFFFFF"/>
          </w:tcPr>
          <w:p w14:paraId="12F35666" w14:textId="77777777" w:rsidR="008C76E0" w:rsidRPr="00BD7577" w:rsidRDefault="008C76E0" w:rsidP="008C76E0">
            <w:pPr>
              <w:spacing w:after="120" w:line="240" w:lineRule="auto"/>
              <w:ind w:right="-1"/>
              <w:rPr>
                <w:rFonts w:ascii="Sylfaen" w:hAnsi="Sylfaen"/>
                <w:sz w:val="24"/>
                <w:szCs w:val="24"/>
              </w:rPr>
            </w:pPr>
          </w:p>
        </w:tc>
        <w:tc>
          <w:tcPr>
            <w:tcW w:w="3801" w:type="dxa"/>
            <w:tcBorders>
              <w:top w:val="single" w:sz="4" w:space="0" w:color="auto"/>
              <w:left w:val="single" w:sz="4" w:space="0" w:color="auto"/>
              <w:bottom w:val="single" w:sz="4" w:space="0" w:color="auto"/>
            </w:tcBorders>
            <w:shd w:val="clear" w:color="auto" w:fill="FFFFFF"/>
          </w:tcPr>
          <w:p w14:paraId="1C4641CD" w14:textId="77777777" w:rsidR="008C76E0" w:rsidRPr="00BD7577" w:rsidRDefault="008C76E0" w:rsidP="008C76E0">
            <w:pPr>
              <w:spacing w:after="120" w:line="240" w:lineRule="auto"/>
              <w:ind w:left="27" w:right="-1"/>
              <w:rPr>
                <w:rFonts w:ascii="Sylfaen" w:hAnsi="Sylfaen"/>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FFFFFF"/>
          </w:tcPr>
          <w:p w14:paraId="4E571888" w14:textId="77777777" w:rsidR="008C76E0" w:rsidRPr="00BD7577" w:rsidRDefault="008C76E0" w:rsidP="008C76E0">
            <w:pPr>
              <w:spacing w:after="120" w:line="240" w:lineRule="auto"/>
              <w:ind w:left="31" w:right="65"/>
              <w:rPr>
                <w:rFonts w:ascii="Sylfaen" w:hAnsi="Sylfaen"/>
                <w:sz w:val="24"/>
                <w:szCs w:val="24"/>
              </w:rPr>
            </w:pPr>
          </w:p>
        </w:tc>
      </w:tr>
    </w:tbl>
    <w:p w14:paraId="1F4903ED" w14:textId="77777777" w:rsidR="008C76E0" w:rsidRPr="00BD7577" w:rsidRDefault="008C76E0" w:rsidP="008C76E0">
      <w:pPr>
        <w:ind w:right="-1"/>
        <w:jc w:val="both"/>
        <w:rPr>
          <w:rFonts w:ascii="Sylfaen" w:hAnsi="Sylfaen"/>
          <w:sz w:val="24"/>
          <w:szCs w:val="24"/>
        </w:rPr>
      </w:pPr>
    </w:p>
    <w:p w14:paraId="4F286A99"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 ուսումնասիրությանը վերաբերող պարտավորությունները </w:t>
      </w:r>
      <w:r w:rsidRPr="00C06C9D">
        <w:rPr>
          <w:rFonts w:ascii="Sylfaen" w:hAnsi="Sylfaen"/>
          <w:sz w:val="24"/>
          <w:szCs w:val="24"/>
        </w:rPr>
        <w:br/>
      </w:r>
      <w:r w:rsidRPr="00BD7577">
        <w:rPr>
          <w:rFonts w:ascii="Sylfaen" w:hAnsi="Sylfaen"/>
          <w:sz w:val="24"/>
          <w:szCs w:val="24"/>
        </w:rPr>
        <w:t>(բաժին P.8.2)։</w:t>
      </w:r>
    </w:p>
    <w:p w14:paraId="5C8E3EB4"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808786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7FFC84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AB43DB8" w14:textId="7777777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4.8.3.</w:t>
      </w:r>
      <w:r w:rsidRPr="00BD7577">
        <w:rPr>
          <w:rFonts w:ascii="Sylfaen" w:hAnsi="Sylfaen"/>
          <w:sz w:val="24"/>
          <w:szCs w:val="24"/>
        </w:rPr>
        <w:tab/>
        <w:t>Կայունության փորձարկումների տվյալները (բաժին P.8.3)։</w:t>
      </w:r>
    </w:p>
    <w:p w14:paraId="3FB0661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49DE5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E49DB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E82EF69" w14:textId="77777777" w:rsidR="008C76E0" w:rsidRPr="00BD7577" w:rsidRDefault="008C76E0" w:rsidP="00D23305">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Կայունության փորձարկումների այն տվյալները, որոնց վրա հիմնվում է P.8.1 բաժնի համառոտ ամփոփումը </w:t>
      </w:r>
      <w:r w:rsidR="00C54D75">
        <w:rPr>
          <w:rFonts w:ascii="Sylfaen" w:hAnsi="Sylfaen"/>
          <w:sz w:val="24"/>
          <w:szCs w:val="24"/>
        </w:rPr>
        <w:t>և</w:t>
      </w:r>
      <w:r w:rsidRPr="00BD7577">
        <w:rPr>
          <w:rFonts w:ascii="Sylfaen" w:hAnsi="Sylfaen"/>
          <w:sz w:val="24"/>
          <w:szCs w:val="24"/>
        </w:rPr>
        <w:t xml:space="preserve"> եզրակացությունը, ներառվում են դոսյեում։</w:t>
      </w:r>
    </w:p>
    <w:p w14:paraId="30277400" w14:textId="36A1EE03"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4.8.4.</w:t>
      </w:r>
      <w:r w:rsidRPr="00BD7577">
        <w:rPr>
          <w:rFonts w:ascii="Sylfaen" w:hAnsi="Sylfaen"/>
          <w:sz w:val="24"/>
          <w:szCs w:val="24"/>
        </w:rPr>
        <w:tab/>
        <w:t xml:space="preserve">Դեղապատրաստուկի պիտանիության </w:t>
      </w:r>
      <w:r w:rsidR="001A5F1A">
        <w:rPr>
          <w:rFonts w:ascii="Sylfaen" w:hAnsi="Sylfaen"/>
          <w:sz w:val="24"/>
          <w:szCs w:val="24"/>
        </w:rPr>
        <w:t>հայտագրված</w:t>
      </w:r>
      <w:r w:rsidRPr="00BD7577">
        <w:rPr>
          <w:rFonts w:ascii="Sylfaen" w:hAnsi="Sylfaen"/>
          <w:sz w:val="24"/>
          <w:szCs w:val="24"/>
        </w:rPr>
        <w:t xml:space="preserve">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հաստատման վերաբերյալ ռեզյումեն</w:t>
      </w:r>
    </w:p>
    <w:p w14:paraId="7499EA5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C0946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A0A0A43"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tbl>
      <w:tblPr>
        <w:tblOverlap w:val="never"/>
        <w:tblW w:w="9183" w:type="dxa"/>
        <w:jc w:val="center"/>
        <w:tblLayout w:type="fixed"/>
        <w:tblCellMar>
          <w:left w:w="10" w:type="dxa"/>
          <w:right w:w="10" w:type="dxa"/>
        </w:tblCellMar>
        <w:tblLook w:val="04A0" w:firstRow="1" w:lastRow="0" w:firstColumn="1" w:lastColumn="0" w:noHBand="0" w:noVBand="1"/>
      </w:tblPr>
      <w:tblGrid>
        <w:gridCol w:w="9183"/>
      </w:tblGrid>
      <w:tr w:rsidR="008C76E0" w:rsidRPr="00BD7577" w14:paraId="36C02412" w14:textId="77777777" w:rsidTr="008C76E0">
        <w:trPr>
          <w:jc w:val="center"/>
        </w:trPr>
        <w:tc>
          <w:tcPr>
            <w:tcW w:w="9183" w:type="dxa"/>
            <w:tcBorders>
              <w:top w:val="single" w:sz="4" w:space="0" w:color="auto"/>
              <w:left w:val="single" w:sz="4" w:space="0" w:color="auto"/>
              <w:right w:val="single" w:sz="4" w:space="0" w:color="auto"/>
            </w:tcBorders>
            <w:shd w:val="clear" w:color="auto" w:fill="FFFFFF"/>
            <w:vAlign w:val="bottom"/>
          </w:tcPr>
          <w:p w14:paraId="5E3873D2" w14:textId="77777777" w:rsidR="008C76E0" w:rsidRPr="00BD7577" w:rsidRDefault="008C76E0" w:rsidP="00D23305">
            <w:pPr>
              <w:pStyle w:val="Bodytext180"/>
              <w:shd w:val="clear" w:color="auto" w:fill="auto"/>
              <w:spacing w:before="0" w:after="160" w:line="360" w:lineRule="auto"/>
              <w:ind w:right="-1" w:firstLine="0"/>
              <w:jc w:val="both"/>
              <w:rPr>
                <w:rFonts w:ascii="Sylfaen" w:hAnsi="Sylfaen"/>
                <w:b w:val="0"/>
                <w:sz w:val="24"/>
                <w:szCs w:val="24"/>
                <w:highlight w:val="yellow"/>
              </w:rPr>
            </w:pPr>
            <w:r w:rsidRPr="00BD7577">
              <w:rPr>
                <w:rStyle w:val="Bodytext295pt"/>
                <w:rFonts w:ascii="Sylfaen" w:hAnsi="Sylfaen"/>
                <w:spacing w:val="0"/>
                <w:sz w:val="24"/>
                <w:szCs w:val="24"/>
              </w:rPr>
              <w:t>Փորձագետի մեկնաբանությունը</w:t>
            </w:r>
          </w:p>
        </w:tc>
      </w:tr>
      <w:tr w:rsidR="008C76E0" w:rsidRPr="00BD7577" w14:paraId="6DFD08D1" w14:textId="77777777" w:rsidTr="008C76E0">
        <w:trPr>
          <w:jc w:val="center"/>
        </w:trPr>
        <w:tc>
          <w:tcPr>
            <w:tcW w:w="9183" w:type="dxa"/>
            <w:tcBorders>
              <w:top w:val="single" w:sz="4" w:space="0" w:color="auto"/>
              <w:left w:val="single" w:sz="4" w:space="0" w:color="auto"/>
              <w:right w:val="single" w:sz="4" w:space="0" w:color="auto"/>
            </w:tcBorders>
            <w:shd w:val="clear" w:color="auto" w:fill="FFFFFF"/>
          </w:tcPr>
          <w:p w14:paraId="043485C8" w14:textId="77777777" w:rsidR="008C76E0" w:rsidRPr="00BD7577" w:rsidRDefault="008C76E0" w:rsidP="00D23305">
            <w:pPr>
              <w:spacing w:after="160" w:line="360" w:lineRule="auto"/>
              <w:ind w:right="-1"/>
              <w:jc w:val="both"/>
              <w:rPr>
                <w:rFonts w:ascii="Sylfaen" w:hAnsi="Sylfaen"/>
                <w:sz w:val="24"/>
                <w:szCs w:val="24"/>
                <w:highlight w:val="yellow"/>
              </w:rPr>
            </w:pPr>
          </w:p>
        </w:tc>
      </w:tr>
      <w:tr w:rsidR="008C76E0" w:rsidRPr="00BD7577" w14:paraId="319FEDAA" w14:textId="77777777" w:rsidTr="008C76E0">
        <w:trPr>
          <w:jc w:val="center"/>
        </w:trPr>
        <w:tc>
          <w:tcPr>
            <w:tcW w:w="9183" w:type="dxa"/>
            <w:tcBorders>
              <w:top w:val="single" w:sz="4" w:space="0" w:color="auto"/>
              <w:left w:val="single" w:sz="4" w:space="0" w:color="auto"/>
              <w:bottom w:val="single" w:sz="4" w:space="0" w:color="auto"/>
              <w:right w:val="single" w:sz="4" w:space="0" w:color="auto"/>
            </w:tcBorders>
            <w:shd w:val="clear" w:color="auto" w:fill="FFFFFF"/>
          </w:tcPr>
          <w:p w14:paraId="1F483EDA" w14:textId="77777777" w:rsidR="008C76E0" w:rsidRPr="00BD7577" w:rsidRDefault="008C76E0" w:rsidP="00D23305">
            <w:pPr>
              <w:spacing w:after="160" w:line="360" w:lineRule="auto"/>
              <w:ind w:right="-1"/>
              <w:jc w:val="both"/>
              <w:rPr>
                <w:rFonts w:ascii="Sylfaen" w:hAnsi="Sylfaen"/>
                <w:sz w:val="24"/>
                <w:szCs w:val="24"/>
              </w:rPr>
            </w:pPr>
          </w:p>
        </w:tc>
      </w:tr>
    </w:tbl>
    <w:p w14:paraId="5F6D5CA3" w14:textId="77777777" w:rsidR="008C76E0" w:rsidRPr="00BD7577" w:rsidRDefault="008C76E0" w:rsidP="00D23305">
      <w:pPr>
        <w:spacing w:after="160" w:line="360" w:lineRule="auto"/>
        <w:ind w:right="-1" w:firstLine="567"/>
        <w:jc w:val="both"/>
        <w:rPr>
          <w:rFonts w:ascii="Sylfaen" w:hAnsi="Sylfaen"/>
          <w:sz w:val="24"/>
          <w:szCs w:val="24"/>
          <w:lang w:val="en-US"/>
        </w:rPr>
      </w:pPr>
    </w:p>
    <w:p w14:paraId="0187B6C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 Լրացումները (մոդուլ 3.2.A)</w:t>
      </w:r>
    </w:p>
    <w:p w14:paraId="4E7CAB4A" w14:textId="77777777" w:rsidR="008C76E0" w:rsidRPr="00BD7577" w:rsidRDefault="008C76E0" w:rsidP="00D23305">
      <w:pPr>
        <w:spacing w:after="160" w:line="360" w:lineRule="auto"/>
        <w:ind w:right="-1"/>
        <w:jc w:val="center"/>
        <w:rPr>
          <w:rFonts w:ascii="Sylfaen" w:hAnsi="Sylfaen"/>
          <w:sz w:val="24"/>
          <w:szCs w:val="24"/>
          <w:lang w:val="en-US"/>
        </w:rPr>
      </w:pPr>
      <w:r w:rsidRPr="00BD7577">
        <w:rPr>
          <w:rFonts w:ascii="Sylfaen" w:hAnsi="Sylfaen"/>
          <w:sz w:val="24"/>
          <w:szCs w:val="24"/>
        </w:rPr>
        <w:t xml:space="preserve">5.1. Արտադրական տարածքները </w:t>
      </w:r>
      <w:r w:rsidR="00C54D75">
        <w:rPr>
          <w:rFonts w:ascii="Sylfaen" w:hAnsi="Sylfaen"/>
          <w:sz w:val="24"/>
          <w:szCs w:val="24"/>
        </w:rPr>
        <w:t>և</w:t>
      </w:r>
      <w:r w:rsidRPr="00BD7577">
        <w:rPr>
          <w:rFonts w:ascii="Sylfaen" w:hAnsi="Sylfaen"/>
          <w:sz w:val="24"/>
          <w:szCs w:val="24"/>
        </w:rPr>
        <w:t xml:space="preserve"> սարքավորումները</w:t>
      </w:r>
    </w:p>
    <w:p w14:paraId="1FC4276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328607A"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09FBC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D0D5B8F" w14:textId="77777777" w:rsidR="008C76E0" w:rsidRDefault="008C76E0" w:rsidP="00D23305">
      <w:pPr>
        <w:spacing w:after="160" w:line="360" w:lineRule="auto"/>
        <w:ind w:right="-1"/>
        <w:jc w:val="center"/>
        <w:rPr>
          <w:rFonts w:ascii="Sylfaen" w:hAnsi="Sylfaen"/>
          <w:sz w:val="24"/>
          <w:szCs w:val="24"/>
          <w:lang w:val="en-US"/>
        </w:rPr>
      </w:pPr>
    </w:p>
    <w:p w14:paraId="447E5B6F"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lastRenderedPageBreak/>
        <w:t>5.2. Կողմնակի ագենտների մասով անվտանգության գնահատումը</w:t>
      </w:r>
    </w:p>
    <w:p w14:paraId="3E868D09"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ADD78B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C2A1E"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98987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5.3. Նոր օժանդակ նյութերը</w:t>
      </w:r>
    </w:p>
    <w:p w14:paraId="5E1EDA3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0A62B8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E1833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7370EE" w14:textId="77777777" w:rsidR="008C76E0" w:rsidRDefault="008C76E0" w:rsidP="00D23305">
      <w:pPr>
        <w:spacing w:after="160" w:line="360" w:lineRule="auto"/>
        <w:ind w:right="-1"/>
        <w:jc w:val="center"/>
        <w:rPr>
          <w:rFonts w:ascii="Sylfaen" w:hAnsi="Sylfaen"/>
          <w:sz w:val="24"/>
          <w:szCs w:val="24"/>
          <w:lang w:val="en-US"/>
        </w:rPr>
      </w:pPr>
    </w:p>
    <w:p w14:paraId="1EC02AC9"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 Տարածաշրջանային տեղեկատվությունը</w:t>
      </w:r>
    </w:p>
    <w:p w14:paraId="4D363012"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2DEEE3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659F5B"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E9F24B3" w14:textId="77777777" w:rsidR="008C76E0" w:rsidRDefault="008C76E0" w:rsidP="00D23305">
      <w:pPr>
        <w:spacing w:after="160" w:line="360" w:lineRule="auto"/>
        <w:ind w:left="567" w:right="566"/>
        <w:jc w:val="center"/>
        <w:rPr>
          <w:rFonts w:ascii="Sylfaen" w:hAnsi="Sylfaen"/>
          <w:sz w:val="24"/>
          <w:szCs w:val="24"/>
          <w:lang w:val="en-US"/>
        </w:rPr>
      </w:pPr>
    </w:p>
    <w:p w14:paraId="2A4FBB2C"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6.1. Դեղային արտադրատեսակի արտադրության գործընթացի վալիդացման սխեման</w:t>
      </w:r>
    </w:p>
    <w:p w14:paraId="4FCC6026"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E91717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CBBA0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0A25E6" w14:textId="77777777" w:rsidR="008C76E0" w:rsidRPr="00DD61E4" w:rsidRDefault="008C76E0" w:rsidP="00D23305">
      <w:pPr>
        <w:spacing w:after="160" w:line="360" w:lineRule="auto"/>
        <w:ind w:right="-1"/>
        <w:jc w:val="center"/>
        <w:rPr>
          <w:rFonts w:ascii="Sylfaen" w:hAnsi="Sylfaen"/>
          <w:sz w:val="24"/>
          <w:szCs w:val="24"/>
        </w:rPr>
      </w:pPr>
    </w:p>
    <w:p w14:paraId="115CADA4"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6.2. Բժշկական ապրանքներին առնչվող հարցերը</w:t>
      </w:r>
    </w:p>
    <w:p w14:paraId="2B7E323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582B7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888276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5C9CF1"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6.3. ՏՍԷ-ի փոխանցման ռիսկին առնչվող հարցերը</w:t>
      </w:r>
    </w:p>
    <w:p w14:paraId="7DFDB36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8D92954"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E132EF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FE97F3" w14:textId="77777777" w:rsidR="008C76E0" w:rsidRPr="00DD61E4" w:rsidRDefault="008C76E0" w:rsidP="00D23305">
      <w:pPr>
        <w:spacing w:after="160" w:line="360" w:lineRule="auto"/>
        <w:ind w:left="567" w:right="566"/>
        <w:jc w:val="center"/>
        <w:rPr>
          <w:rFonts w:ascii="Sylfaen" w:hAnsi="Sylfaen"/>
          <w:sz w:val="24"/>
          <w:szCs w:val="24"/>
        </w:rPr>
      </w:pPr>
    </w:p>
    <w:p w14:paraId="1217F84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7. Դեղապատրաստուկի ընդհանուր բնութագրի, բժշկական կիրառման հրահանգի (ներդիր թերթիկի) </w:t>
      </w:r>
      <w:r w:rsidR="00C54D75">
        <w:rPr>
          <w:rFonts w:ascii="Sylfaen" w:hAnsi="Sylfaen"/>
          <w:sz w:val="24"/>
          <w:szCs w:val="24"/>
        </w:rPr>
        <w:t>և</w:t>
      </w:r>
      <w:r w:rsidRPr="00BD7577">
        <w:rPr>
          <w:rFonts w:ascii="Sylfaen" w:hAnsi="Sylfaen"/>
          <w:sz w:val="24"/>
          <w:szCs w:val="24"/>
        </w:rPr>
        <w:t xml:space="preserve"> դեղապատրաստուկի փաթեթվածքի դիզայնի վերաբերյալ փորձագետի դիտողությունները</w:t>
      </w:r>
    </w:p>
    <w:p w14:paraId="3C9D96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4A5DE1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44FE27"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6FF0C" w14:textId="77777777" w:rsidR="008C76E0" w:rsidRPr="00DD61E4" w:rsidRDefault="008C76E0" w:rsidP="00D23305">
      <w:pPr>
        <w:spacing w:after="160" w:line="360" w:lineRule="auto"/>
        <w:ind w:left="567" w:right="566"/>
        <w:jc w:val="center"/>
        <w:rPr>
          <w:rFonts w:ascii="Sylfaen" w:hAnsi="Sylfaen"/>
          <w:sz w:val="24"/>
          <w:szCs w:val="24"/>
        </w:rPr>
      </w:pPr>
    </w:p>
    <w:p w14:paraId="1A036A3F"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8. Փորձագետի ընդհանուր եզրահանգումները՝ որակի վերաբերյալ</w:t>
      </w:r>
    </w:p>
    <w:p w14:paraId="100FA22B"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CD16B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0ECAB04"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2699810" w14:textId="77777777" w:rsidR="008C76E0" w:rsidRPr="00DD61E4" w:rsidRDefault="008C76E0" w:rsidP="00D23305">
      <w:pPr>
        <w:spacing w:after="160" w:line="360" w:lineRule="auto"/>
        <w:ind w:left="567" w:right="566"/>
        <w:jc w:val="center"/>
        <w:rPr>
          <w:rFonts w:ascii="Sylfaen" w:hAnsi="Sylfaen"/>
          <w:sz w:val="24"/>
          <w:szCs w:val="24"/>
        </w:rPr>
      </w:pPr>
    </w:p>
    <w:p w14:paraId="47FB6EF6"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 Անցկացված փորձաքննության շրջանակներում փորձագետի կողմից առաջադրված դիտողությունների ցանկը</w:t>
      </w:r>
    </w:p>
    <w:p w14:paraId="13DCA25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24CCEAE"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7A1B25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143983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9.1. Որակի ասպեկտները</w:t>
      </w:r>
    </w:p>
    <w:p w14:paraId="19340D77"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F555A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AE33786"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D60817" w14:textId="77777777" w:rsidR="008C76E0" w:rsidRPr="00DD61E4" w:rsidRDefault="008C76E0" w:rsidP="00D23305">
      <w:pPr>
        <w:spacing w:after="160" w:line="360" w:lineRule="auto"/>
        <w:ind w:left="567" w:right="566"/>
        <w:jc w:val="center"/>
        <w:rPr>
          <w:rFonts w:ascii="Sylfaen" w:hAnsi="Sylfaen"/>
          <w:sz w:val="24"/>
          <w:szCs w:val="24"/>
        </w:rPr>
      </w:pPr>
    </w:p>
    <w:p w14:paraId="1301304D"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9.2. Կրիտիկական դիտողությունները</w:t>
      </w:r>
    </w:p>
    <w:p w14:paraId="2FA6BA90"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4FEFD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7B00608"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44A55" w14:textId="7B805710"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4F046828"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71CB918"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F5C38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65A1A62" w14:textId="03E69457"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9.2.2</w:t>
      </w:r>
      <w:r w:rsidRPr="00BD7577">
        <w:rPr>
          <w:rFonts w:ascii="Sylfaen" w:hAnsi="Sylfaen"/>
          <w:sz w:val="24"/>
          <w:szCs w:val="24"/>
        </w:rPr>
        <w:tab/>
        <w:t>Ակտիվ դեղագործական բաղադրամասը (</w:t>
      </w:r>
      <w:r w:rsidR="0056496B">
        <w:rPr>
          <w:rFonts w:ascii="Sylfaen" w:hAnsi="Sylfaen"/>
          <w:sz w:val="24"/>
          <w:szCs w:val="24"/>
        </w:rPr>
        <w:t>դիմում</w:t>
      </w:r>
      <w:r w:rsidRPr="00BD7577">
        <w:rPr>
          <w:rFonts w:ascii="Sylfaen" w:hAnsi="Sylfaen"/>
          <w:sz w:val="24"/>
          <w:szCs w:val="24"/>
        </w:rPr>
        <w:t>ի՝ ԱԴԲՄՖ-ի իրավատիրոջ կողմից տրամադրվող մասը)։</w:t>
      </w:r>
    </w:p>
    <w:p w14:paraId="69B2F85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1EF1507"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06701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06947F" w14:textId="77777777" w:rsidR="008C76E0" w:rsidRPr="00BD7577" w:rsidRDefault="008C76E0" w:rsidP="00D23305">
      <w:pPr>
        <w:spacing w:after="160" w:line="360" w:lineRule="auto"/>
        <w:ind w:left="2268" w:right="-1" w:hanging="2268"/>
        <w:jc w:val="both"/>
        <w:rPr>
          <w:rFonts w:ascii="Sylfaen" w:hAnsi="Sylfaen"/>
          <w:sz w:val="24"/>
          <w:szCs w:val="24"/>
        </w:rPr>
      </w:pPr>
      <w:r w:rsidRPr="00BD7577">
        <w:rPr>
          <w:rFonts w:ascii="Sylfaen" w:hAnsi="Sylfaen"/>
          <w:sz w:val="24"/>
          <w:szCs w:val="24"/>
        </w:rPr>
        <w:t xml:space="preserve">Ծանոթագրություն: ԱԴԲՄՖ-ն օգտագործելիս բնակչության առողջության համար հավանական լուրջ ռիսկի դեպքում, որն արտացոլվում է դրա փակ մասում, հարկ է նշել՝ </w:t>
      </w:r>
      <w:r w:rsidRPr="00BD7577">
        <w:rPr>
          <w:rStyle w:val="Bodytext295pt"/>
          <w:rFonts w:ascii="Sylfaen" w:eastAsiaTheme="minorHAnsi" w:hAnsi="Sylfaen"/>
          <w:b w:val="0"/>
          <w:spacing w:val="0"/>
          <w:sz w:val="24"/>
          <w:szCs w:val="24"/>
        </w:rPr>
        <w:t>&lt;</w:t>
      </w:r>
      <w:r w:rsidRPr="00BD7577">
        <w:rPr>
          <w:rFonts w:ascii="Sylfaen" w:hAnsi="Sylfaen"/>
          <w:sz w:val="24"/>
          <w:szCs w:val="24"/>
        </w:rPr>
        <w:t xml:space="preserve">բնակչության առողջության </w:t>
      </w:r>
      <w:r w:rsidRPr="00BD7577">
        <w:rPr>
          <w:rFonts w:ascii="Sylfaen" w:hAnsi="Sylfaen"/>
          <w:sz w:val="24"/>
          <w:szCs w:val="24"/>
        </w:rPr>
        <w:lastRenderedPageBreak/>
        <w:t>համար ԱԴԲՄՖ-ի փակ մասում ներկայացված հավանական լուրջ ռիսկի հարցի հետ կապված՝ հարկ է անդրադառնալ ԱԴԲՄՖ-ի կրիտիկական գնահատման վերաբերյալ առանձին փորձագիտական հաշվետվությանը&gt;։</w:t>
      </w:r>
    </w:p>
    <w:p w14:paraId="1D7B8ED3" w14:textId="77777777" w:rsidR="008C76E0" w:rsidRPr="00BD7577" w:rsidRDefault="008C76E0" w:rsidP="00D23305">
      <w:pPr>
        <w:tabs>
          <w:tab w:val="left" w:pos="1701"/>
        </w:tabs>
        <w:spacing w:after="160" w:line="360" w:lineRule="auto"/>
        <w:ind w:left="1701" w:right="-1" w:hanging="1134"/>
        <w:jc w:val="both"/>
        <w:rPr>
          <w:rFonts w:ascii="Sylfaen" w:hAnsi="Sylfaen"/>
          <w:sz w:val="24"/>
          <w:szCs w:val="24"/>
        </w:rPr>
      </w:pPr>
      <w:r w:rsidRPr="00BD7577">
        <w:rPr>
          <w:rFonts w:ascii="Sylfaen" w:hAnsi="Sylfaen"/>
          <w:sz w:val="24"/>
          <w:szCs w:val="24"/>
        </w:rPr>
        <w:t>9.2.3.</w:t>
      </w:r>
      <w:r w:rsidRPr="00BD7577">
        <w:rPr>
          <w:rFonts w:ascii="Sylfaen" w:hAnsi="Sylfaen"/>
          <w:sz w:val="24"/>
          <w:szCs w:val="24"/>
        </w:rPr>
        <w:tab/>
        <w:t>Դեղապատրաստուկը։</w:t>
      </w:r>
    </w:p>
    <w:p w14:paraId="2823017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1FB9FF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33FAD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E2A70C8"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9.3. Այլ դիտողություններ</w:t>
      </w:r>
    </w:p>
    <w:p w14:paraId="5D35735C" w14:textId="573965AF" w:rsidR="008C76E0" w:rsidRPr="00BD7577" w:rsidRDefault="008C76E0" w:rsidP="00D23305">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9.3.1.</w:t>
      </w:r>
      <w:r w:rsidRPr="00BD7577">
        <w:rPr>
          <w:rFonts w:ascii="Sylfaen" w:hAnsi="Sylfaen"/>
          <w:sz w:val="24"/>
          <w:szCs w:val="24"/>
        </w:rPr>
        <w:tab/>
        <w:t xml:space="preserve">Ակտիվ դեղագործական բաղադրամասը (դասվում է միայն </w:t>
      </w:r>
      <w:r w:rsidR="0056496B">
        <w:rPr>
          <w:rFonts w:ascii="Sylfaen" w:hAnsi="Sylfaen"/>
          <w:sz w:val="24"/>
          <w:szCs w:val="24"/>
        </w:rPr>
        <w:t>դիմումատու</w:t>
      </w:r>
      <w:r w:rsidRPr="00BD7577">
        <w:rPr>
          <w:rFonts w:ascii="Sylfaen" w:hAnsi="Sylfaen"/>
          <w:sz w:val="24"/>
          <w:szCs w:val="24"/>
        </w:rPr>
        <w:t>ի կողմից տրամադրվող լրացուցիչ տվյալների շարքին):</w:t>
      </w:r>
    </w:p>
    <w:p w14:paraId="66976DEE"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A6137A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A1B71F"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FB00D7" w14:textId="77777777" w:rsidR="008C76E0" w:rsidRPr="008C76E0" w:rsidRDefault="008C76E0" w:rsidP="00D23305">
      <w:pPr>
        <w:pStyle w:val="Bodytext70"/>
        <w:shd w:val="clear" w:color="auto" w:fill="auto"/>
        <w:spacing w:before="0" w:after="160" w:line="360" w:lineRule="auto"/>
        <w:ind w:left="2268" w:right="-1" w:hanging="2268"/>
        <w:rPr>
          <w:rFonts w:ascii="Sylfaen" w:hAnsi="Sylfaen"/>
          <w:b w:val="0"/>
          <w:i w:val="0"/>
          <w:sz w:val="24"/>
          <w:szCs w:val="24"/>
          <w:lang w:val="hy-AM"/>
        </w:rPr>
      </w:pPr>
      <w:r w:rsidRPr="00BD7577">
        <w:rPr>
          <w:rStyle w:val="Bodytext295pt"/>
          <w:rFonts w:ascii="Sylfaen" w:hAnsi="Sylfaen"/>
          <w:i w:val="0"/>
          <w:spacing w:val="0"/>
          <w:sz w:val="24"/>
          <w:szCs w:val="24"/>
        </w:rPr>
        <w:t xml:space="preserve">Ծանոթագրություն: Կիրառելիության դեպքում հարկ է նշել՝ </w:t>
      </w:r>
      <w:r w:rsidRPr="008C76E0">
        <w:rPr>
          <w:rFonts w:ascii="Sylfaen" w:hAnsi="Sylfaen"/>
          <w:b w:val="0"/>
          <w:sz w:val="24"/>
          <w:szCs w:val="24"/>
          <w:lang w:val="hy-AM"/>
        </w:rPr>
        <w:t>&lt;ԱԴԲՄՖ-ի փակ մասին վերաբերող այլ դիտողությունների հետ կապված՝ հարկ է անդրադառնալ ԱԴԲՄՖ-ի կրիտիկական գնահատման վերաբերյալ առանձին փորձագիտական հաշվետվությանը&gt;:</w:t>
      </w:r>
    </w:p>
    <w:p w14:paraId="445C3D7A" w14:textId="77777777" w:rsidR="008C76E0" w:rsidRPr="00BD7577" w:rsidRDefault="008C76E0" w:rsidP="00D23305">
      <w:pPr>
        <w:tabs>
          <w:tab w:val="left" w:pos="1701"/>
        </w:tabs>
        <w:spacing w:after="160" w:line="360" w:lineRule="auto"/>
        <w:ind w:right="-1" w:firstLine="567"/>
        <w:rPr>
          <w:rFonts w:ascii="Sylfaen" w:hAnsi="Sylfaen"/>
          <w:sz w:val="24"/>
          <w:szCs w:val="24"/>
        </w:rPr>
      </w:pPr>
      <w:r w:rsidRPr="00BD7577">
        <w:rPr>
          <w:rFonts w:ascii="Sylfaen" w:hAnsi="Sylfaen"/>
          <w:sz w:val="24"/>
          <w:szCs w:val="24"/>
        </w:rPr>
        <w:t>9.3.2.</w:t>
      </w:r>
      <w:r w:rsidRPr="00BD7577">
        <w:rPr>
          <w:rFonts w:ascii="Sylfaen" w:hAnsi="Sylfaen"/>
          <w:sz w:val="24"/>
          <w:szCs w:val="24"/>
        </w:rPr>
        <w:tab/>
        <w:t>Դեղապատրաստուկը։</w:t>
      </w:r>
    </w:p>
    <w:p w14:paraId="21AF57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BAA05B"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8A6AB22"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001CA7" w14:textId="77777777" w:rsidR="00D23305" w:rsidRDefault="00D23305">
      <w:pPr>
        <w:widowControl/>
        <w:rPr>
          <w:rFonts w:ascii="Sylfaen" w:hAnsi="Sylfaen"/>
          <w:sz w:val="24"/>
          <w:szCs w:val="24"/>
        </w:rPr>
      </w:pPr>
      <w:r>
        <w:rPr>
          <w:rFonts w:ascii="Sylfaen" w:hAnsi="Sylfaen"/>
          <w:sz w:val="24"/>
          <w:szCs w:val="24"/>
        </w:rPr>
        <w:br w:type="page"/>
      </w:r>
    </w:p>
    <w:p w14:paraId="385822B0" w14:textId="77777777"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lastRenderedPageBreak/>
        <w:t>9.4. Հանձնարարականներ</w:t>
      </w:r>
    </w:p>
    <w:p w14:paraId="283782B2" w14:textId="77777777" w:rsidR="008C76E0" w:rsidRPr="00BD7577" w:rsidRDefault="008C76E0" w:rsidP="00D23305">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49DA873"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54300C"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C4285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F4C14E6"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CABB75"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8653BF"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C476A8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ACD9F79"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D6BA445"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89D791"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1F89C1"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8F46DCF" w14:textId="77777777" w:rsidR="008C76E0" w:rsidRPr="00DD61E4" w:rsidRDefault="008C76E0" w:rsidP="00D23305">
      <w:pPr>
        <w:widowControl/>
        <w:spacing w:after="160" w:line="360" w:lineRule="auto"/>
        <w:rPr>
          <w:rFonts w:ascii="Sylfaen" w:eastAsia="Times New Roman" w:hAnsi="Sylfaen" w:cs="Times New Roman"/>
          <w:sz w:val="24"/>
          <w:szCs w:val="24"/>
        </w:rPr>
      </w:pPr>
    </w:p>
    <w:p w14:paraId="7425569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10. Լրացում 1 (անհրաժեշտության դեպքում)</w:t>
      </w:r>
    </w:p>
    <w:p w14:paraId="5778E2FC" w14:textId="77777777" w:rsidR="008C76E0" w:rsidRPr="00BD7577" w:rsidRDefault="008C76E0" w:rsidP="00D23305">
      <w:pPr>
        <w:spacing w:after="160" w:line="360" w:lineRule="auto"/>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53A8B37D"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ՓՈՐՁԱԳԻՏԱԿԱՆ ՀԱՇՎԵՏՎՈՒԹՅՈՒՆ</w:t>
      </w:r>
    </w:p>
    <w:p w14:paraId="09FAA95E" w14:textId="77777777" w:rsidR="008C76E0" w:rsidRPr="00BD7577" w:rsidRDefault="008C76E0" w:rsidP="00D23305">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կրիտիկական գնահատման վերաբերյալ</w:t>
      </w:r>
    </w:p>
    <w:p w14:paraId="70401E4A" w14:textId="77777777" w:rsidR="008C76E0" w:rsidRPr="00BD7577" w:rsidRDefault="008C76E0" w:rsidP="00D23305">
      <w:pPr>
        <w:spacing w:after="160" w:line="360" w:lineRule="auto"/>
        <w:ind w:right="-1"/>
        <w:rPr>
          <w:rFonts w:ascii="Sylfaen" w:hAnsi="Sylfaen"/>
          <w:sz w:val="24"/>
          <w:szCs w:val="24"/>
        </w:rPr>
      </w:pPr>
    </w:p>
    <w:p w14:paraId="66D6DDFD"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բաղադրամասը}</w:t>
      </w:r>
    </w:p>
    <w:p w14:paraId="5C0F1C55"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{Ակտիվ դեղագործական բաղադրամաս արտադրողը}</w:t>
      </w:r>
    </w:p>
    <w:p w14:paraId="4ABED886" w14:textId="77777777" w:rsidR="008C76E0" w:rsidRPr="00BD7577" w:rsidRDefault="008C76E0" w:rsidP="00D23305">
      <w:pPr>
        <w:pStyle w:val="Bodytext70"/>
        <w:shd w:val="clear" w:color="auto" w:fill="auto"/>
        <w:spacing w:before="0" w:after="160" w:line="360" w:lineRule="auto"/>
        <w:ind w:right="-1" w:firstLine="567"/>
        <w:rPr>
          <w:rStyle w:val="Bodytext295pt"/>
          <w:rFonts w:ascii="Sylfaen" w:hAnsi="Sylfaen"/>
          <w:spacing w:val="0"/>
          <w:sz w:val="24"/>
          <w:szCs w:val="24"/>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168558E2" w14:textId="7F905C56" w:rsidR="008C76E0" w:rsidRPr="008C76E0" w:rsidRDefault="008C76E0" w:rsidP="00D23305">
      <w:pPr>
        <w:pStyle w:val="Tablecaption40"/>
        <w:shd w:val="clear" w:color="auto" w:fill="auto"/>
        <w:spacing w:after="160" w:line="360" w:lineRule="auto"/>
        <w:ind w:right="-1" w:firstLine="567"/>
        <w:jc w:val="both"/>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14AFA587" w14:textId="77777777" w:rsidR="008C76E0" w:rsidRPr="008C76E0" w:rsidRDefault="008C76E0" w:rsidP="00D23305">
      <w:pPr>
        <w:pStyle w:val="Bodytext70"/>
        <w:shd w:val="clear" w:color="auto" w:fill="auto"/>
        <w:spacing w:before="0" w:after="160" w:line="360" w:lineRule="auto"/>
        <w:ind w:right="-1" w:firstLine="567"/>
        <w:rPr>
          <w:rFonts w:ascii="Sylfaen" w:hAnsi="Sylfaen"/>
          <w:b w:val="0"/>
          <w:sz w:val="24"/>
          <w:szCs w:val="24"/>
          <w:lang w:val="hy-AM"/>
        </w:rPr>
      </w:pPr>
    </w:p>
    <w:p w14:paraId="316DF433" w14:textId="77777777" w:rsidR="008C76E0" w:rsidRPr="00BD7577" w:rsidRDefault="008C76E0" w:rsidP="00D23305">
      <w:pPr>
        <w:tabs>
          <w:tab w:val="left" w:pos="1701"/>
        </w:tabs>
        <w:spacing w:after="160" w:line="360" w:lineRule="auto"/>
        <w:ind w:firstLine="567"/>
        <w:jc w:val="center"/>
        <w:rPr>
          <w:rFonts w:ascii="Sylfaen" w:hAnsi="Sylfaen"/>
          <w:sz w:val="24"/>
          <w:szCs w:val="24"/>
        </w:rPr>
      </w:pPr>
      <w:r w:rsidRPr="00BD7577">
        <w:rPr>
          <w:rFonts w:ascii="Sylfaen" w:hAnsi="Sylfaen"/>
          <w:sz w:val="24"/>
          <w:szCs w:val="24"/>
        </w:rPr>
        <w:t>10.1.</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10609" w:type="dxa"/>
        <w:jc w:val="center"/>
        <w:tblLayout w:type="fixed"/>
        <w:tblCellMar>
          <w:left w:w="10" w:type="dxa"/>
          <w:right w:w="10" w:type="dxa"/>
        </w:tblCellMar>
        <w:tblLook w:val="04A0" w:firstRow="1" w:lastRow="0" w:firstColumn="1" w:lastColumn="0" w:noHBand="0" w:noVBand="1"/>
      </w:tblPr>
      <w:tblGrid>
        <w:gridCol w:w="6102"/>
        <w:gridCol w:w="4507"/>
      </w:tblGrid>
      <w:tr w:rsidR="008C76E0" w:rsidRPr="00BD7577" w14:paraId="28D7F92A" w14:textId="77777777" w:rsidTr="008C76E0">
        <w:trPr>
          <w:jc w:val="center"/>
        </w:trPr>
        <w:tc>
          <w:tcPr>
            <w:tcW w:w="6102" w:type="dxa"/>
            <w:tcBorders>
              <w:top w:val="single" w:sz="4" w:space="0" w:color="auto"/>
              <w:left w:val="single" w:sz="4" w:space="0" w:color="auto"/>
            </w:tcBorders>
            <w:shd w:val="clear" w:color="auto" w:fill="FFFFFF"/>
          </w:tcPr>
          <w:p w14:paraId="623E1F4B"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7" w:type="dxa"/>
            <w:tcBorders>
              <w:top w:val="single" w:sz="4" w:space="0" w:color="auto"/>
              <w:left w:val="single" w:sz="4" w:space="0" w:color="auto"/>
              <w:right w:val="single" w:sz="4" w:space="0" w:color="auto"/>
            </w:tcBorders>
            <w:shd w:val="clear" w:color="auto" w:fill="FFFFFF"/>
          </w:tcPr>
          <w:p w14:paraId="04436720" w14:textId="77777777" w:rsidR="008C76E0" w:rsidRPr="00BD7577" w:rsidRDefault="008C76E0" w:rsidP="008C76E0">
            <w:pPr>
              <w:spacing w:after="120" w:line="240" w:lineRule="auto"/>
              <w:ind w:left="186" w:right="-1"/>
              <w:jc w:val="both"/>
              <w:rPr>
                <w:rFonts w:ascii="Sylfaen" w:hAnsi="Sylfaen"/>
                <w:sz w:val="24"/>
                <w:szCs w:val="24"/>
              </w:rPr>
            </w:pPr>
          </w:p>
        </w:tc>
      </w:tr>
      <w:tr w:rsidR="008C76E0" w:rsidRPr="00BD7577" w14:paraId="13A216DE" w14:textId="77777777" w:rsidTr="008C76E0">
        <w:trPr>
          <w:jc w:val="center"/>
        </w:trPr>
        <w:tc>
          <w:tcPr>
            <w:tcW w:w="6102" w:type="dxa"/>
            <w:tcBorders>
              <w:top w:val="single" w:sz="4" w:space="0" w:color="auto"/>
              <w:left w:val="single" w:sz="4" w:space="0" w:color="auto"/>
            </w:tcBorders>
            <w:shd w:val="clear" w:color="auto" w:fill="FFFFFF"/>
          </w:tcPr>
          <w:p w14:paraId="007E7F2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7" w:type="dxa"/>
            <w:tcBorders>
              <w:top w:val="single" w:sz="4" w:space="0" w:color="auto"/>
              <w:left w:val="single" w:sz="4" w:space="0" w:color="auto"/>
              <w:right w:val="single" w:sz="4" w:space="0" w:color="auto"/>
            </w:tcBorders>
            <w:shd w:val="clear" w:color="auto" w:fill="FFFFFF"/>
          </w:tcPr>
          <w:p w14:paraId="0FDFB150"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31236216" w14:textId="77777777" w:rsidTr="008C76E0">
        <w:trPr>
          <w:jc w:val="center"/>
        </w:trPr>
        <w:tc>
          <w:tcPr>
            <w:tcW w:w="6102" w:type="dxa"/>
            <w:tcBorders>
              <w:top w:val="single" w:sz="4" w:space="0" w:color="auto"/>
              <w:left w:val="single" w:sz="4" w:space="0" w:color="auto"/>
            </w:tcBorders>
            <w:shd w:val="clear" w:color="auto" w:fill="FFFFFF"/>
          </w:tcPr>
          <w:p w14:paraId="4C540898"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7" w:type="dxa"/>
            <w:tcBorders>
              <w:top w:val="single" w:sz="4" w:space="0" w:color="auto"/>
              <w:left w:val="single" w:sz="4" w:space="0" w:color="auto"/>
              <w:right w:val="single" w:sz="4" w:space="0" w:color="auto"/>
            </w:tcBorders>
            <w:shd w:val="clear" w:color="auto" w:fill="FFFFFF"/>
          </w:tcPr>
          <w:p w14:paraId="4EDA8B6B" w14:textId="77777777" w:rsidR="008C76E0" w:rsidRPr="00BD7577" w:rsidRDefault="008C76E0" w:rsidP="008C76E0">
            <w:pPr>
              <w:spacing w:after="120" w:line="240" w:lineRule="auto"/>
              <w:ind w:left="186" w:right="119"/>
              <w:rPr>
                <w:rFonts w:ascii="Sylfaen" w:hAnsi="Sylfaen"/>
                <w:sz w:val="24"/>
                <w:szCs w:val="24"/>
              </w:rPr>
            </w:pPr>
          </w:p>
        </w:tc>
      </w:tr>
      <w:tr w:rsidR="008C76E0" w:rsidRPr="00BD7577" w14:paraId="454CBBF3" w14:textId="77777777" w:rsidTr="008C76E0">
        <w:trPr>
          <w:jc w:val="center"/>
        </w:trPr>
        <w:tc>
          <w:tcPr>
            <w:tcW w:w="6102" w:type="dxa"/>
            <w:tcBorders>
              <w:top w:val="single" w:sz="4" w:space="0" w:color="auto"/>
              <w:left w:val="single" w:sz="4" w:space="0" w:color="auto"/>
            </w:tcBorders>
            <w:shd w:val="clear" w:color="auto" w:fill="FFFFFF"/>
          </w:tcPr>
          <w:p w14:paraId="3576B425"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 xml:space="preserve">Ակտիվ դեղագործական բաղադրամասն արտադրողի արտադրական հարթակների անվանումներն ու հասցեները </w:t>
            </w:r>
          </w:p>
        </w:tc>
        <w:tc>
          <w:tcPr>
            <w:tcW w:w="4507" w:type="dxa"/>
            <w:tcBorders>
              <w:top w:val="single" w:sz="4" w:space="0" w:color="auto"/>
              <w:left w:val="single" w:sz="4" w:space="0" w:color="auto"/>
              <w:right w:val="single" w:sz="4" w:space="0" w:color="auto"/>
            </w:tcBorders>
            <w:shd w:val="clear" w:color="auto" w:fill="FFFFFF"/>
          </w:tcPr>
          <w:p w14:paraId="25E9B43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1B3E52C"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3D6B8321" w14:textId="77777777" w:rsidR="008C76E0" w:rsidRPr="00BD7577" w:rsidRDefault="008C76E0" w:rsidP="008C76E0">
            <w:pPr>
              <w:pStyle w:val="Bodytext180"/>
              <w:shd w:val="clear" w:color="auto" w:fill="auto"/>
              <w:spacing w:before="0" w:after="120" w:line="240" w:lineRule="auto"/>
              <w:ind w:left="186"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0926107"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6AA133CA"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BF6DD8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2BD344E0" w14:textId="77777777" w:rsidR="008C76E0" w:rsidRPr="008C76E0" w:rsidRDefault="008C76E0" w:rsidP="008C76E0">
            <w:pPr>
              <w:pStyle w:val="Bodytext180"/>
              <w:shd w:val="clear" w:color="auto" w:fill="auto"/>
              <w:spacing w:before="0" w:after="120" w:line="240" w:lineRule="auto"/>
              <w:ind w:left="87"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30618EB" w14:textId="77777777" w:rsidR="008C76E0" w:rsidRPr="008C76E0" w:rsidRDefault="008C76E0" w:rsidP="008C76E0">
            <w:pPr>
              <w:pStyle w:val="Bodytext180"/>
              <w:shd w:val="clear" w:color="auto" w:fill="auto"/>
              <w:spacing w:before="0" w:after="120" w:line="240" w:lineRule="auto"/>
              <w:ind w:left="186"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r w:rsidR="008C76E0" w:rsidRPr="00BD7577" w14:paraId="6C7F2079" w14:textId="77777777" w:rsidTr="008C76E0">
        <w:trPr>
          <w:jc w:val="center"/>
        </w:trPr>
        <w:tc>
          <w:tcPr>
            <w:tcW w:w="6102" w:type="dxa"/>
            <w:tcBorders>
              <w:top w:val="single" w:sz="4" w:space="0" w:color="auto"/>
              <w:left w:val="single" w:sz="4" w:space="0" w:color="auto"/>
            </w:tcBorders>
            <w:shd w:val="clear" w:color="auto" w:fill="FFFFFF"/>
          </w:tcPr>
          <w:p w14:paraId="489CEB3E"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Առավելագույն օրական դեղաչափը</w:t>
            </w:r>
          </w:p>
        </w:tc>
        <w:tc>
          <w:tcPr>
            <w:tcW w:w="4507" w:type="dxa"/>
            <w:tcBorders>
              <w:top w:val="single" w:sz="4" w:space="0" w:color="auto"/>
              <w:left w:val="single" w:sz="4" w:space="0" w:color="auto"/>
              <w:right w:val="single" w:sz="4" w:space="0" w:color="auto"/>
            </w:tcBorders>
            <w:shd w:val="clear" w:color="auto" w:fill="FFFFFF"/>
          </w:tcPr>
          <w:p w14:paraId="46F97EB8"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 xml:space="preserve">(օրինակ՝ &lt; 1 գ, &lt; 10 գ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այլն)</w:t>
            </w:r>
          </w:p>
        </w:tc>
      </w:tr>
      <w:tr w:rsidR="008C76E0" w:rsidRPr="00BD7577" w14:paraId="2D11AF9E" w14:textId="77777777" w:rsidTr="008C76E0">
        <w:trPr>
          <w:jc w:val="center"/>
        </w:trPr>
        <w:tc>
          <w:tcPr>
            <w:tcW w:w="6102" w:type="dxa"/>
            <w:tcBorders>
              <w:top w:val="single" w:sz="4" w:space="0" w:color="auto"/>
              <w:left w:val="single" w:sz="4" w:space="0" w:color="auto"/>
            </w:tcBorders>
            <w:shd w:val="clear" w:color="auto" w:fill="FFFFFF"/>
          </w:tcPr>
          <w:p w14:paraId="640DB4AC"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Ներմուծման ուղիները</w:t>
            </w:r>
          </w:p>
        </w:tc>
        <w:tc>
          <w:tcPr>
            <w:tcW w:w="4507" w:type="dxa"/>
            <w:tcBorders>
              <w:top w:val="single" w:sz="4" w:space="0" w:color="auto"/>
              <w:left w:val="single" w:sz="4" w:space="0" w:color="auto"/>
              <w:right w:val="single" w:sz="4" w:space="0" w:color="auto"/>
            </w:tcBorders>
            <w:shd w:val="clear" w:color="auto" w:fill="FFFFFF"/>
          </w:tcPr>
          <w:p w14:paraId="7CD907EB" w14:textId="77777777" w:rsidR="008C76E0" w:rsidRPr="00BD7577" w:rsidRDefault="008C76E0" w:rsidP="008C76E0">
            <w:pPr>
              <w:spacing w:after="120" w:line="240" w:lineRule="auto"/>
              <w:ind w:left="186" w:right="-1"/>
              <w:rPr>
                <w:rFonts w:ascii="Sylfaen" w:hAnsi="Sylfaen"/>
                <w:sz w:val="24"/>
                <w:szCs w:val="24"/>
              </w:rPr>
            </w:pPr>
          </w:p>
        </w:tc>
      </w:tr>
      <w:tr w:rsidR="008C76E0" w:rsidRPr="00BD7577" w14:paraId="74D370F3" w14:textId="77777777" w:rsidTr="008C76E0">
        <w:trPr>
          <w:jc w:val="center"/>
        </w:trPr>
        <w:tc>
          <w:tcPr>
            <w:tcW w:w="6102" w:type="dxa"/>
            <w:tcBorders>
              <w:top w:val="single" w:sz="4" w:space="0" w:color="auto"/>
              <w:left w:val="single" w:sz="4" w:space="0" w:color="auto"/>
              <w:bottom w:val="single" w:sz="4" w:space="0" w:color="auto"/>
            </w:tcBorders>
            <w:shd w:val="clear" w:color="auto" w:fill="FFFFFF"/>
          </w:tcPr>
          <w:p w14:paraId="1A8B13F2" w14:textId="77777777" w:rsidR="008C76E0" w:rsidRPr="00BD7577" w:rsidRDefault="008C76E0" w:rsidP="008C76E0">
            <w:pPr>
              <w:pStyle w:val="Bodytext180"/>
              <w:shd w:val="clear" w:color="auto" w:fill="auto"/>
              <w:spacing w:before="0" w:after="120" w:line="240" w:lineRule="auto"/>
              <w:ind w:left="87" w:right="-1" w:firstLine="0"/>
              <w:rPr>
                <w:rFonts w:ascii="Sylfaen" w:hAnsi="Sylfaen"/>
                <w:b w:val="0"/>
                <w:sz w:val="24"/>
                <w:szCs w:val="24"/>
              </w:rPr>
            </w:pPr>
            <w:r w:rsidRPr="00BD7577">
              <w:rPr>
                <w:rStyle w:val="Bodytext295pt"/>
                <w:rFonts w:ascii="Sylfaen" w:hAnsi="Sylfaen"/>
                <w:spacing w:val="0"/>
                <w:sz w:val="24"/>
                <w:szCs w:val="24"/>
              </w:rPr>
              <w:t>Թիրախային խմբերը</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14:paraId="6488F2B2" w14:textId="77777777" w:rsidR="008C76E0" w:rsidRPr="00BD7577" w:rsidRDefault="008C76E0" w:rsidP="008C76E0">
            <w:pPr>
              <w:pStyle w:val="Bodytext180"/>
              <w:shd w:val="clear" w:color="auto" w:fill="auto"/>
              <w:spacing w:before="0" w:after="120" w:line="240" w:lineRule="auto"/>
              <w:ind w:left="186" w:right="-1" w:firstLine="0"/>
              <w:rPr>
                <w:rFonts w:ascii="Sylfaen" w:hAnsi="Sylfaen"/>
                <w:b w:val="0"/>
                <w:sz w:val="24"/>
                <w:szCs w:val="24"/>
              </w:rPr>
            </w:pPr>
            <w:r w:rsidRPr="00BD7577">
              <w:rPr>
                <w:rStyle w:val="Bodytext295pt"/>
                <w:rFonts w:ascii="Sylfaen" w:hAnsi="Sylfaen"/>
                <w:spacing w:val="0"/>
                <w:sz w:val="24"/>
                <w:szCs w:val="24"/>
              </w:rPr>
              <w:t>Նորածիններ, մանուկներ, երեխաներ, մեծահասակներ</w:t>
            </w:r>
          </w:p>
        </w:tc>
      </w:tr>
    </w:tbl>
    <w:p w14:paraId="6EA115C2" w14:textId="77777777" w:rsidR="008C76E0" w:rsidRPr="00BD7577" w:rsidRDefault="008C76E0" w:rsidP="008C76E0">
      <w:pPr>
        <w:tabs>
          <w:tab w:val="left" w:pos="3119"/>
        </w:tabs>
        <w:ind w:left="2693" w:right="-1" w:hanging="2694"/>
        <w:jc w:val="both"/>
        <w:rPr>
          <w:rFonts w:ascii="Sylfaen" w:hAnsi="Sylfaen"/>
          <w:sz w:val="24"/>
          <w:szCs w:val="24"/>
        </w:rPr>
      </w:pPr>
    </w:p>
    <w:p w14:paraId="34CC9A81" w14:textId="77777777" w:rsidR="008C76E0" w:rsidRPr="00BD7577" w:rsidRDefault="008C76E0" w:rsidP="0074785B">
      <w:pPr>
        <w:tabs>
          <w:tab w:val="left" w:pos="3119"/>
        </w:tabs>
        <w:spacing w:after="160" w:line="360" w:lineRule="auto"/>
        <w:ind w:left="2693" w:right="-1" w:hanging="2694"/>
        <w:jc w:val="both"/>
        <w:rPr>
          <w:rFonts w:ascii="Sylfaen" w:hAnsi="Sylfaen"/>
          <w:sz w:val="24"/>
          <w:szCs w:val="24"/>
        </w:rPr>
      </w:pPr>
      <w:r w:rsidRPr="00BD7577">
        <w:rPr>
          <w:rFonts w:ascii="Sylfaen" w:hAnsi="Sylfaen"/>
          <w:sz w:val="24"/>
          <w:szCs w:val="24"/>
        </w:rPr>
        <w:t>Ծանոթագրություններ: 1.</w:t>
      </w:r>
      <w:r w:rsidRPr="00BD7577">
        <w:rPr>
          <w:rFonts w:ascii="Sylfaen" w:hAnsi="Sylfaen"/>
          <w:sz w:val="24"/>
          <w:szCs w:val="24"/>
        </w:rPr>
        <w:tab/>
        <w:t>Հաշվետվության կառուցվածքը պետք է արտացոլի Մոդուլ 3.2.S-ի համապատասխան մասերը։</w:t>
      </w:r>
    </w:p>
    <w:p w14:paraId="2850176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Ակտիվ դեղագործական բաղադրամասի յուրաքանչյուր մաստեր-ֆայլի (ԱԴԲՄՖ) համար կազմվում է առանձին փորձագիտական հաշվետվություն:</w:t>
      </w:r>
    </w:p>
    <w:p w14:paraId="239EFB1A" w14:textId="77777777" w:rsidR="008C76E0" w:rsidRPr="00BD7577" w:rsidRDefault="008C76E0" w:rsidP="0074785B">
      <w:pPr>
        <w:tabs>
          <w:tab w:val="left" w:pos="3119"/>
        </w:tabs>
        <w:spacing w:after="160" w:line="360" w:lineRule="auto"/>
        <w:ind w:left="2693" w:right="-1"/>
        <w:jc w:val="both"/>
        <w:rPr>
          <w:rFonts w:ascii="Sylfaen" w:hAnsi="Sylfaen"/>
          <w:sz w:val="24"/>
          <w:szCs w:val="24"/>
        </w:rPr>
      </w:pPr>
      <w:r w:rsidRPr="00BD7577">
        <w:rPr>
          <w:rFonts w:ascii="Sylfaen" w:hAnsi="Sylfaen"/>
          <w:sz w:val="24"/>
          <w:szCs w:val="24"/>
        </w:rPr>
        <w:lastRenderedPageBreak/>
        <w:t>3.</w:t>
      </w:r>
      <w:r w:rsidRPr="00BD7577">
        <w:rPr>
          <w:rFonts w:ascii="Sylfaen" w:hAnsi="Sylfaen"/>
          <w:sz w:val="24"/>
          <w:szCs w:val="24"/>
        </w:rPr>
        <w:tab/>
        <w:t>Տվյալ հաշվետվությունը չի ուղարկվում գրանցման հավաստագրի իրավատիրոջը, այլ միայն ԱԴԲ-ի համապատասխան արտադրողին/ԱԴԲՄՖ-ի իրավատիրոջը։</w:t>
      </w:r>
    </w:p>
    <w:p w14:paraId="2513D3C3" w14:textId="77777777" w:rsidR="008C76E0" w:rsidRPr="00BD7577" w:rsidRDefault="008C76E0" w:rsidP="0074785B">
      <w:pPr>
        <w:tabs>
          <w:tab w:val="left" w:pos="3119"/>
        </w:tabs>
        <w:spacing w:after="160" w:line="360" w:lineRule="auto"/>
        <w:ind w:left="2693"/>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Կոնկրետ դեղապատրաստուկների վերաբերյալ հասանելիության թույլտվությունները նկարագրվում են ուսումնասիրվող դեղապատրաստուկի որակի ասպեկտների կրիտիկական գնահատման վերաբերյալ փորձագիտական հաշվետվության մեջ։</w:t>
      </w:r>
    </w:p>
    <w:p w14:paraId="04AFA5FA" w14:textId="77777777" w:rsidR="008C76E0" w:rsidRPr="00BD7577" w:rsidRDefault="008C76E0" w:rsidP="0074785B">
      <w:pPr>
        <w:tabs>
          <w:tab w:val="left" w:pos="3119"/>
        </w:tabs>
        <w:spacing w:after="160" w:line="360" w:lineRule="auto"/>
        <w:ind w:left="2693"/>
        <w:jc w:val="both"/>
        <w:rPr>
          <w:rFonts w:ascii="Sylfaen" w:hAnsi="Sylfaen"/>
          <w:sz w:val="24"/>
          <w:szCs w:val="24"/>
        </w:rPr>
      </w:pPr>
    </w:p>
    <w:p w14:paraId="617F1BE5" w14:textId="29061669" w:rsidR="008C76E0" w:rsidRPr="00BD7577" w:rsidRDefault="008C76E0" w:rsidP="0074785B">
      <w:pPr>
        <w:tabs>
          <w:tab w:val="left" w:pos="1701"/>
        </w:tabs>
        <w:spacing w:after="160" w:line="360" w:lineRule="auto"/>
        <w:ind w:right="565" w:firstLine="567"/>
        <w:jc w:val="center"/>
        <w:rPr>
          <w:rFonts w:ascii="Sylfaen" w:hAnsi="Sylfaen"/>
          <w:sz w:val="24"/>
          <w:szCs w:val="24"/>
        </w:rPr>
      </w:pPr>
      <w:r>
        <w:rPr>
          <w:rFonts w:ascii="Sylfaen" w:hAnsi="Sylfaen"/>
          <w:sz w:val="24"/>
          <w:szCs w:val="24"/>
        </w:rPr>
        <w:t>10.2.</w:t>
      </w:r>
      <w:r w:rsidRPr="00C06C9D">
        <w:rPr>
          <w:rFonts w:ascii="Sylfaen" w:hAnsi="Sylfaen"/>
          <w:sz w:val="24"/>
          <w:szCs w:val="24"/>
        </w:rPr>
        <w:t xml:space="preserve"> </w:t>
      </w:r>
      <w:r w:rsidRPr="00BD7577">
        <w:rPr>
          <w:rFonts w:ascii="Sylfaen" w:hAnsi="Sylfaen"/>
          <w:sz w:val="24"/>
          <w:szCs w:val="24"/>
        </w:rPr>
        <w:t xml:space="preserve">ԱԴԲՄՖ-ի՝ </w:t>
      </w:r>
      <w:r w:rsidR="0056496B">
        <w:rPr>
          <w:rFonts w:ascii="Sylfaen" w:hAnsi="Sylfaen"/>
          <w:sz w:val="24"/>
          <w:szCs w:val="24"/>
        </w:rPr>
        <w:t>դիմումատու</w:t>
      </w:r>
      <w:r w:rsidRPr="00BD7577">
        <w:rPr>
          <w:rFonts w:ascii="Sylfaen" w:hAnsi="Sylfaen"/>
          <w:sz w:val="24"/>
          <w:szCs w:val="24"/>
        </w:rPr>
        <w:t xml:space="preserve">ին հասանելի մասին վերաբերող փորձագիտական հաշվետվությունը </w:t>
      </w:r>
      <w:r w:rsidR="00C54D75">
        <w:rPr>
          <w:rFonts w:ascii="Sylfaen" w:hAnsi="Sylfaen"/>
          <w:sz w:val="24"/>
          <w:szCs w:val="24"/>
        </w:rPr>
        <w:t>և</w:t>
      </w:r>
      <w:r w:rsidRPr="00BD7577">
        <w:rPr>
          <w:rFonts w:ascii="Sylfaen" w:hAnsi="Sylfaen"/>
          <w:sz w:val="24"/>
          <w:szCs w:val="24"/>
        </w:rPr>
        <w:t xml:space="preserve"> հարցերը</w:t>
      </w:r>
    </w:p>
    <w:p w14:paraId="645E033F" w14:textId="77777777" w:rsidR="008C76E0" w:rsidRPr="00BD7577" w:rsidRDefault="008C76E0" w:rsidP="00D91652">
      <w:pPr>
        <w:spacing w:after="160" w:line="336" w:lineRule="auto"/>
        <w:ind w:firstLine="567"/>
        <w:jc w:val="both"/>
        <w:rPr>
          <w:rFonts w:ascii="Sylfaen" w:hAnsi="Sylfaen"/>
          <w:sz w:val="24"/>
          <w:szCs w:val="24"/>
        </w:rPr>
      </w:pPr>
      <w:r w:rsidRPr="00BD7577">
        <w:rPr>
          <w:rFonts w:ascii="Sylfaen" w:hAnsi="Sylfaen"/>
          <w:sz w:val="24"/>
          <w:szCs w:val="24"/>
        </w:rPr>
        <w:t>Սույն հաշվետվությունը վերաբերում է բացառապես ԱԴԲՄՖ-ին։ Այնուամենայնիվ, այն անհրաժեշտ է միշտ դիտարկել այն դեղապատրաստուկի գրանցման դոսյեի կրիտիկական գնահատման վերաբերյալ փորձագիտական հաշվետվության (փորձագիտական հաշվետվությունների) հետ միասին, որին դա (դրանք) վերաբերում է (վերաբերում են)։</w:t>
      </w:r>
    </w:p>
    <w:p w14:paraId="05AF66AD" w14:textId="77777777" w:rsidR="008C76E0" w:rsidRPr="00BD7577" w:rsidRDefault="008C76E0" w:rsidP="00D91652">
      <w:pPr>
        <w:spacing w:after="160" w:line="336" w:lineRule="auto"/>
        <w:ind w:right="-1" w:firstLine="567"/>
        <w:jc w:val="both"/>
        <w:rPr>
          <w:rFonts w:ascii="Sylfaen" w:hAnsi="Sylfaen"/>
          <w:sz w:val="24"/>
          <w:szCs w:val="24"/>
        </w:rPr>
      </w:pPr>
      <w:r w:rsidRPr="00C06C9D">
        <w:rPr>
          <w:rFonts w:ascii="Sylfaen" w:hAnsi="Sylfaen"/>
          <w:spacing w:val="-4"/>
          <w:sz w:val="24"/>
          <w:szCs w:val="24"/>
        </w:rPr>
        <w:t>ԱԴԲՄՖ-ն ընդհանուր տեխնիկական փաստաթղթի ձ</w:t>
      </w:r>
      <w:r w:rsidR="00C54D75">
        <w:rPr>
          <w:rFonts w:ascii="Sylfaen" w:hAnsi="Sylfaen"/>
          <w:spacing w:val="-4"/>
          <w:sz w:val="24"/>
          <w:szCs w:val="24"/>
        </w:rPr>
        <w:t>և</w:t>
      </w:r>
      <w:r w:rsidRPr="00C06C9D">
        <w:rPr>
          <w:rFonts w:ascii="Sylfaen" w:hAnsi="Sylfaen"/>
          <w:spacing w:val="-4"/>
          <w:sz w:val="24"/>
          <w:szCs w:val="24"/>
        </w:rPr>
        <w:t>աչափով տրամադրվել է (ԱԴԲՄՖ-ի իրավատիրոջ</w:t>
      </w:r>
      <w:r w:rsidRPr="00BD7577">
        <w:rPr>
          <w:rFonts w:ascii="Sylfaen" w:hAnsi="Sylfaen"/>
          <w:sz w:val="24"/>
          <w:szCs w:val="24"/>
        </w:rPr>
        <w:t xml:space="preserve"> կողմից) (ԱԴԲ) հետ</w:t>
      </w:r>
      <w:r w:rsidR="00C54D75">
        <w:rPr>
          <w:rFonts w:ascii="Sylfaen" w:hAnsi="Sylfaen"/>
          <w:sz w:val="24"/>
          <w:szCs w:val="24"/>
        </w:rPr>
        <w:t>և</w:t>
      </w:r>
      <w:r w:rsidRPr="00BD7577">
        <w:rPr>
          <w:rFonts w:ascii="Sylfaen" w:hAnsi="Sylfaen"/>
          <w:sz w:val="24"/>
          <w:szCs w:val="24"/>
        </w:rPr>
        <w:t>յալի համար՝</w:t>
      </w:r>
    </w:p>
    <w:p w14:paraId="3502A5B5" w14:textId="4DEC3C6C"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w:t>
      </w:r>
    </w:p>
    <w:p w14:paraId="419BE6B2" w14:textId="77777777" w:rsidR="008C76E0" w:rsidRPr="008C76E0" w:rsidRDefault="008C76E0" w:rsidP="00D91652">
      <w:pPr>
        <w:pStyle w:val="Bodytext70"/>
        <w:shd w:val="clear" w:color="auto" w:fill="auto"/>
        <w:spacing w:before="0" w:after="160" w:line="336" w:lineRule="auto"/>
        <w:ind w:right="-1"/>
        <w:jc w:val="center"/>
        <w:rPr>
          <w:rFonts w:ascii="Sylfaen" w:hAnsi="Sylfaen"/>
          <w:b w:val="0"/>
          <w:sz w:val="24"/>
          <w:szCs w:val="24"/>
          <w:lang w:val="hy-AM"/>
        </w:rPr>
      </w:pPr>
      <w:r w:rsidRPr="008C76E0">
        <w:rPr>
          <w:rFonts w:ascii="Sylfaen" w:hAnsi="Sylfaen"/>
          <w:b w:val="0"/>
          <w:sz w:val="24"/>
          <w:szCs w:val="24"/>
          <w:lang w:val="hy-AM"/>
        </w:rPr>
        <w:t>{Փակ մասի տարբերակի համարը}</w:t>
      </w:r>
    </w:p>
    <w:p w14:paraId="14EE219E" w14:textId="77777777" w:rsidR="008C76E0" w:rsidRPr="00E15E7D" w:rsidRDefault="008C76E0" w:rsidP="0074785B">
      <w:pPr>
        <w:widowControl/>
        <w:spacing w:after="160" w:line="360" w:lineRule="auto"/>
        <w:rPr>
          <w:rFonts w:ascii="Sylfaen" w:eastAsia="Times New Roman" w:hAnsi="Sylfaen" w:cs="Times New Roman"/>
          <w:sz w:val="24"/>
          <w:szCs w:val="24"/>
        </w:rPr>
      </w:pPr>
    </w:p>
    <w:p w14:paraId="0E8C73E8" w14:textId="77777777" w:rsidR="008C76E0" w:rsidRPr="00BD7577" w:rsidRDefault="008C76E0" w:rsidP="0074785B">
      <w:pPr>
        <w:tabs>
          <w:tab w:val="left" w:pos="1276"/>
        </w:tabs>
        <w:spacing w:after="160" w:line="360" w:lineRule="auto"/>
        <w:ind w:right="-1" w:firstLine="567"/>
        <w:jc w:val="center"/>
        <w:rPr>
          <w:rFonts w:ascii="Sylfaen" w:hAnsi="Sylfaen"/>
          <w:sz w:val="24"/>
          <w:szCs w:val="24"/>
        </w:rPr>
      </w:pPr>
      <w:r>
        <w:rPr>
          <w:rFonts w:ascii="Sylfaen" w:hAnsi="Sylfaen"/>
          <w:sz w:val="24"/>
          <w:szCs w:val="24"/>
        </w:rPr>
        <w:t>S.1</w:t>
      </w:r>
      <w:r w:rsidRPr="007106A3">
        <w:rPr>
          <w:rFonts w:ascii="Sylfaen" w:hAnsi="Sylfaen"/>
          <w:sz w:val="24"/>
          <w:szCs w:val="24"/>
        </w:rPr>
        <w:t xml:space="preserve"> </w:t>
      </w:r>
      <w:r w:rsidRPr="00BD7577">
        <w:rPr>
          <w:rFonts w:ascii="Sylfaen" w:hAnsi="Sylfaen"/>
          <w:sz w:val="24"/>
          <w:szCs w:val="24"/>
        </w:rPr>
        <w:t>Ընդհանուր տեղեկատվություն։</w:t>
      </w:r>
    </w:p>
    <w:p w14:paraId="3D474607"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72563D9A" w14:textId="77777777" w:rsidR="008C76E0" w:rsidRPr="00BD7577" w:rsidRDefault="008C76E0" w:rsidP="0074785B">
      <w:pPr>
        <w:spacing w:after="160" w:line="360"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1862C96"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696935" w14:textId="77777777" w:rsidR="008C76E0" w:rsidRPr="00DD61E4" w:rsidRDefault="008C76E0" w:rsidP="00D23305">
      <w:pPr>
        <w:tabs>
          <w:tab w:val="left" w:pos="1134"/>
        </w:tabs>
        <w:spacing w:after="160" w:line="384" w:lineRule="auto"/>
        <w:ind w:right="-1" w:firstLine="567"/>
        <w:jc w:val="center"/>
        <w:rPr>
          <w:rFonts w:ascii="Sylfaen" w:hAnsi="Sylfaen"/>
          <w:sz w:val="24"/>
          <w:szCs w:val="24"/>
        </w:rPr>
      </w:pPr>
      <w:r>
        <w:rPr>
          <w:rFonts w:ascii="Sylfaen" w:hAnsi="Sylfaen"/>
          <w:sz w:val="24"/>
          <w:szCs w:val="24"/>
        </w:rPr>
        <w:lastRenderedPageBreak/>
        <w:t>S.2</w:t>
      </w:r>
      <w:r w:rsidRPr="007106A3">
        <w:rPr>
          <w:rFonts w:ascii="Sylfaen" w:hAnsi="Sylfaen"/>
          <w:sz w:val="24"/>
          <w:szCs w:val="24"/>
        </w:rPr>
        <w:t xml:space="preserve"> </w:t>
      </w:r>
      <w:r w:rsidRPr="00BD7577">
        <w:rPr>
          <w:rFonts w:ascii="Sylfaen" w:hAnsi="Sylfaen"/>
          <w:sz w:val="24"/>
          <w:szCs w:val="24"/>
        </w:rPr>
        <w:t>Արտադրությունը։</w:t>
      </w:r>
    </w:p>
    <w:p w14:paraId="3DF5F3B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Արտադրողը (ԱԴԲ-ն արտադրողի անվանումն ու հասցեն)։</w:t>
      </w:r>
    </w:p>
    <w:p w14:paraId="1F92942F"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554BA278"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A4B5CD"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6DF5C01"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(համառոտ ամփոփումը)։</w:t>
      </w:r>
    </w:p>
    <w:p w14:paraId="31D966BC"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7C470200"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B24B3AF" w14:textId="77777777" w:rsidR="008C76E0" w:rsidRPr="00BD7577" w:rsidRDefault="008C76E0" w:rsidP="0074785B">
      <w:pPr>
        <w:spacing w:after="160" w:line="360"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0E19D0" w14:textId="77777777" w:rsidR="008C76E0" w:rsidRPr="007106A3" w:rsidRDefault="008C76E0" w:rsidP="00D23305">
      <w:pPr>
        <w:tabs>
          <w:tab w:val="left" w:pos="1134"/>
        </w:tabs>
        <w:spacing w:after="160" w:line="384" w:lineRule="auto"/>
        <w:ind w:right="-1" w:firstLine="567"/>
        <w:jc w:val="center"/>
        <w:rPr>
          <w:rFonts w:ascii="Sylfaen" w:hAnsi="Sylfaen"/>
          <w:sz w:val="24"/>
          <w:szCs w:val="24"/>
        </w:rPr>
      </w:pPr>
    </w:p>
    <w:p w14:paraId="6A012736"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S.3.</w:t>
      </w:r>
      <w:r w:rsidRPr="00BD7577">
        <w:rPr>
          <w:rFonts w:ascii="Sylfaen" w:hAnsi="Sylfaen"/>
          <w:sz w:val="24"/>
          <w:szCs w:val="24"/>
        </w:rPr>
        <w:tab/>
        <w:t>Բնութագրերի նկարագրությունը։</w:t>
      </w:r>
    </w:p>
    <w:p w14:paraId="494A3CFA"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40120E0C"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B1CA4A"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2AA29E3"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S.3.1.</w:t>
      </w:r>
      <w:r w:rsidRPr="00BD7577">
        <w:rPr>
          <w:rFonts w:ascii="Sylfaen" w:hAnsi="Sylfaen"/>
          <w:sz w:val="24"/>
          <w:szCs w:val="24"/>
        </w:rPr>
        <w:tab/>
        <w:t xml:space="preserve">Կառուցվածքի </w:t>
      </w:r>
      <w:r w:rsidR="00C54D75">
        <w:rPr>
          <w:rFonts w:ascii="Sylfaen" w:hAnsi="Sylfaen"/>
          <w:sz w:val="24"/>
          <w:szCs w:val="24"/>
        </w:rPr>
        <w:t>և</w:t>
      </w:r>
      <w:r w:rsidRPr="00BD7577">
        <w:rPr>
          <w:rFonts w:ascii="Sylfaen" w:hAnsi="Sylfaen"/>
          <w:sz w:val="24"/>
          <w:szCs w:val="24"/>
        </w:rPr>
        <w:t xml:space="preserve"> այլ բնութագրերի հաստատումը։ </w:t>
      </w:r>
    </w:p>
    <w:p w14:paraId="4515BB5D" w14:textId="77777777" w:rsidR="008C76E0" w:rsidRPr="00BD7577" w:rsidRDefault="008C76E0" w:rsidP="00D23305">
      <w:pPr>
        <w:spacing w:after="160" w:line="384" w:lineRule="auto"/>
        <w:rPr>
          <w:rFonts w:ascii="Sylfaen" w:hAnsi="Sylfaen"/>
          <w:sz w:val="24"/>
          <w:szCs w:val="24"/>
        </w:rPr>
      </w:pPr>
      <w:r w:rsidRPr="00BD7577">
        <w:rPr>
          <w:rFonts w:ascii="Sylfaen" w:hAnsi="Sylfaen"/>
          <w:sz w:val="24"/>
          <w:szCs w:val="24"/>
        </w:rPr>
        <w:t>___________________________________________________________________________</w:t>
      </w:r>
    </w:p>
    <w:p w14:paraId="6DC1A6B7" w14:textId="77777777" w:rsidR="008C76E0" w:rsidRPr="00BD7577" w:rsidRDefault="008C76E0" w:rsidP="00D23305">
      <w:pPr>
        <w:spacing w:after="160" w:line="384" w:lineRule="auto"/>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25A2B5" w14:textId="77777777" w:rsidR="008C76E0" w:rsidRPr="00BD7577" w:rsidRDefault="008C76E0" w:rsidP="00D23305">
      <w:pPr>
        <w:spacing w:after="160" w:line="384" w:lineRule="auto"/>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3DFC6B4"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Խառնուկները։</w:t>
      </w:r>
    </w:p>
    <w:p w14:paraId="6AD6D622" w14:textId="77777777" w:rsidR="008C76E0" w:rsidRPr="00BD7577" w:rsidRDefault="008C76E0" w:rsidP="0074785B">
      <w:pPr>
        <w:spacing w:after="160" w:line="360" w:lineRule="auto"/>
        <w:rPr>
          <w:rFonts w:ascii="Sylfaen" w:hAnsi="Sylfaen"/>
          <w:sz w:val="24"/>
          <w:szCs w:val="24"/>
        </w:rPr>
      </w:pPr>
      <w:r w:rsidRPr="00BD7577">
        <w:rPr>
          <w:rFonts w:ascii="Sylfaen" w:hAnsi="Sylfaen"/>
          <w:sz w:val="24"/>
          <w:szCs w:val="24"/>
        </w:rPr>
        <w:t>___________________________________________________________________________</w:t>
      </w:r>
    </w:p>
    <w:p w14:paraId="4EE1C22C"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45E2FA82"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FB135FA"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3C708F1D" w14:textId="77777777" w:rsidR="008C76E0" w:rsidRPr="00BD7577" w:rsidRDefault="008C76E0" w:rsidP="00D23305">
      <w:pPr>
        <w:tabs>
          <w:tab w:val="left" w:pos="1134"/>
        </w:tabs>
        <w:spacing w:after="160" w:line="384" w:lineRule="auto"/>
        <w:ind w:right="-1" w:firstLine="567"/>
        <w:jc w:val="center"/>
        <w:rPr>
          <w:rFonts w:ascii="Sylfaen" w:hAnsi="Sylfaen"/>
          <w:sz w:val="24"/>
          <w:szCs w:val="24"/>
        </w:rPr>
      </w:pPr>
      <w:r w:rsidRPr="00BD7577">
        <w:rPr>
          <w:rFonts w:ascii="Sylfaen" w:hAnsi="Sylfaen"/>
          <w:sz w:val="24"/>
          <w:szCs w:val="24"/>
        </w:rPr>
        <w:t>S.4.</w:t>
      </w:r>
      <w:r w:rsidRPr="00BD7577">
        <w:rPr>
          <w:rFonts w:ascii="Sylfaen" w:hAnsi="Sylfaen"/>
          <w:sz w:val="24"/>
          <w:szCs w:val="24"/>
        </w:rPr>
        <w:tab/>
        <w:t>Որակի հսկողությունը։</w:t>
      </w:r>
    </w:p>
    <w:p w14:paraId="452F1677"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A7D9F49"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0547503"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199E20"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S.4.1.</w:t>
      </w:r>
      <w:r w:rsidRPr="00BD7577">
        <w:rPr>
          <w:rFonts w:ascii="Sylfaen" w:hAnsi="Sylfaen"/>
          <w:sz w:val="24"/>
          <w:szCs w:val="24"/>
        </w:rPr>
        <w:tab/>
        <w:t>Մասնագիրը։</w:t>
      </w:r>
    </w:p>
    <w:p w14:paraId="48D407A5"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9361AE3"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BB2370D" w14:textId="77777777" w:rsidR="008C76E0" w:rsidRPr="00BD7577" w:rsidRDefault="008C76E0" w:rsidP="00D23305">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F6DD96" w14:textId="77777777" w:rsidR="008C76E0" w:rsidRPr="00BD7577" w:rsidRDefault="008C76E0" w:rsidP="00D23305">
      <w:pPr>
        <w:tabs>
          <w:tab w:val="left" w:pos="1701"/>
        </w:tabs>
        <w:spacing w:after="160" w:line="384" w:lineRule="auto"/>
        <w:ind w:right="-1" w:firstLine="567"/>
        <w:jc w:val="both"/>
        <w:rPr>
          <w:rFonts w:ascii="Sylfaen" w:hAnsi="Sylfaen"/>
          <w:sz w:val="24"/>
          <w:szCs w:val="24"/>
        </w:rPr>
      </w:pPr>
      <w:r w:rsidRPr="00BD7577">
        <w:rPr>
          <w:rFonts w:ascii="Sylfaen" w:hAnsi="Sylfaen"/>
          <w:sz w:val="24"/>
          <w:szCs w:val="24"/>
        </w:rPr>
        <w:t>S.4.2.</w:t>
      </w:r>
      <w:r w:rsidRPr="00BD7577">
        <w:rPr>
          <w:rFonts w:ascii="Sylfaen" w:hAnsi="Sylfaen"/>
          <w:sz w:val="24"/>
          <w:szCs w:val="24"/>
        </w:rPr>
        <w:tab/>
        <w:t>Վերլուծական մեթոդիկաները։</w:t>
      </w:r>
    </w:p>
    <w:p w14:paraId="5F9FCB09" w14:textId="77777777" w:rsidR="008C76E0" w:rsidRPr="00BD7577" w:rsidRDefault="008C76E0" w:rsidP="00D23305">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D08BD" w14:textId="77777777" w:rsidR="008C76E0" w:rsidRPr="00BD7577" w:rsidRDefault="008C76E0" w:rsidP="00D23305">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506C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A623BD6"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S.4.3.</w:t>
      </w:r>
      <w:r w:rsidRPr="00BD7577">
        <w:rPr>
          <w:rFonts w:ascii="Sylfaen" w:hAnsi="Sylfaen"/>
          <w:sz w:val="24"/>
          <w:szCs w:val="24"/>
        </w:rPr>
        <w:tab/>
        <w:t xml:space="preserve">Վերլուծական մեթոդիկաների վալիդացումը։ </w:t>
      </w:r>
    </w:p>
    <w:p w14:paraId="059E7363"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BD4CFF"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F96A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841BA1"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S.4.4.</w:t>
      </w:r>
      <w:r w:rsidRPr="00BD7577">
        <w:rPr>
          <w:rFonts w:ascii="Sylfaen" w:hAnsi="Sylfaen"/>
          <w:sz w:val="24"/>
          <w:szCs w:val="24"/>
        </w:rPr>
        <w:tab/>
        <w:t>Սերիաների անալիզները։</w:t>
      </w:r>
    </w:p>
    <w:p w14:paraId="1424AC7C"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w:t>
      </w:r>
      <w:r w:rsidRPr="00DD61E4">
        <w:rPr>
          <w:rFonts w:ascii="Sylfaen" w:hAnsi="Sylfaen"/>
          <w:sz w:val="24"/>
          <w:szCs w:val="24"/>
        </w:rPr>
        <w:t>_____</w:t>
      </w:r>
      <w:r w:rsidRPr="00BD7577">
        <w:rPr>
          <w:rFonts w:ascii="Sylfaen" w:hAnsi="Sylfaen"/>
          <w:sz w:val="24"/>
          <w:szCs w:val="24"/>
        </w:rPr>
        <w:t>__</w:t>
      </w:r>
    </w:p>
    <w:p w14:paraId="5DF9BEF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w:t>
      </w:r>
    </w:p>
    <w:p w14:paraId="512063E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w:t>
      </w:r>
    </w:p>
    <w:p w14:paraId="62A62C2D"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Մասնագրի հիմնավորումը։</w:t>
      </w:r>
    </w:p>
    <w:p w14:paraId="1BF9933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09168CA"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DF5FB"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828DE8"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98AAA2A"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S.5.</w:t>
      </w:r>
      <w:r w:rsidRPr="007106A3">
        <w:rPr>
          <w:rFonts w:ascii="Sylfaen" w:hAnsi="Sylfaen"/>
          <w:sz w:val="24"/>
          <w:szCs w:val="24"/>
        </w:rPr>
        <w:t xml:space="preserve"> </w:t>
      </w:r>
      <w:r w:rsidRPr="00BD7577">
        <w:rPr>
          <w:rFonts w:ascii="Sylfaen" w:hAnsi="Sylfaen"/>
          <w:sz w:val="24"/>
          <w:szCs w:val="24"/>
        </w:rPr>
        <w:t>Ստանդարտ նմուշները կամ նյութերը։</w:t>
      </w:r>
    </w:p>
    <w:p w14:paraId="47AEDF87"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C228D2"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5A4AD8C"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9A2A29C" w14:textId="77777777" w:rsidR="008C76E0" w:rsidRPr="007106A3" w:rsidRDefault="008C76E0" w:rsidP="0074785B">
      <w:pPr>
        <w:tabs>
          <w:tab w:val="left" w:pos="1134"/>
        </w:tabs>
        <w:spacing w:after="160" w:line="360" w:lineRule="auto"/>
        <w:ind w:right="-1" w:firstLine="567"/>
        <w:jc w:val="both"/>
        <w:rPr>
          <w:rFonts w:ascii="Sylfaen" w:hAnsi="Sylfaen"/>
          <w:sz w:val="24"/>
          <w:szCs w:val="24"/>
        </w:rPr>
      </w:pPr>
    </w:p>
    <w:p w14:paraId="2F4510D7"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S.6.</w:t>
      </w:r>
      <w:r w:rsidRPr="007106A3">
        <w:rPr>
          <w:rFonts w:ascii="Sylfaen" w:hAnsi="Sylfaen"/>
          <w:sz w:val="24"/>
          <w:szCs w:val="24"/>
        </w:rPr>
        <w:t xml:space="preserve"> </w:t>
      </w:r>
      <w:r w:rsidRPr="00BD7577">
        <w:rPr>
          <w:rFonts w:ascii="Sylfaen" w:hAnsi="Sylfaen"/>
          <w:sz w:val="24"/>
          <w:szCs w:val="24"/>
        </w:rPr>
        <w:t>Փաթեթավորման (խցանափակման) համակարգը։</w:t>
      </w:r>
    </w:p>
    <w:p w14:paraId="07A3DD9A"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4791A16"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4EAA03A"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118991" w14:textId="77777777" w:rsidR="008C76E0" w:rsidRPr="007106A3" w:rsidRDefault="008C76E0" w:rsidP="0074785B">
      <w:pPr>
        <w:tabs>
          <w:tab w:val="left" w:pos="1134"/>
        </w:tabs>
        <w:spacing w:after="160" w:line="360" w:lineRule="auto"/>
        <w:ind w:right="-1" w:firstLine="567"/>
        <w:jc w:val="center"/>
        <w:rPr>
          <w:rFonts w:ascii="Sylfaen" w:hAnsi="Sylfaen"/>
          <w:sz w:val="24"/>
          <w:szCs w:val="24"/>
        </w:rPr>
      </w:pPr>
    </w:p>
    <w:p w14:paraId="33D757DE" w14:textId="77777777" w:rsidR="008C76E0" w:rsidRPr="00BD7577" w:rsidRDefault="008C76E0" w:rsidP="0074785B">
      <w:pPr>
        <w:tabs>
          <w:tab w:val="left" w:pos="1134"/>
        </w:tabs>
        <w:spacing w:after="160" w:line="360" w:lineRule="auto"/>
        <w:ind w:right="-1" w:firstLine="567"/>
        <w:jc w:val="center"/>
        <w:rPr>
          <w:rFonts w:ascii="Sylfaen" w:hAnsi="Sylfaen"/>
          <w:sz w:val="24"/>
          <w:szCs w:val="24"/>
        </w:rPr>
      </w:pPr>
      <w:r>
        <w:rPr>
          <w:rFonts w:ascii="Sylfaen" w:hAnsi="Sylfaen"/>
          <w:sz w:val="24"/>
          <w:szCs w:val="24"/>
        </w:rPr>
        <w:t>S.7.</w:t>
      </w:r>
      <w:r w:rsidRPr="007106A3">
        <w:rPr>
          <w:rFonts w:ascii="Sylfaen" w:hAnsi="Sylfaen"/>
          <w:sz w:val="24"/>
          <w:szCs w:val="24"/>
        </w:rPr>
        <w:t xml:space="preserve"> </w:t>
      </w:r>
      <w:r w:rsidRPr="00BD7577">
        <w:rPr>
          <w:rFonts w:ascii="Sylfaen" w:hAnsi="Sylfaen"/>
          <w:sz w:val="24"/>
          <w:szCs w:val="24"/>
        </w:rPr>
        <w:t>Կայունությունը։</w:t>
      </w:r>
    </w:p>
    <w:p w14:paraId="6752B178"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A6F2FEB"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8E36B8"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8D5FD58"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S.7.1.</w:t>
      </w:r>
      <w:r w:rsidRPr="00BD7577">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BD7577">
        <w:rPr>
          <w:rFonts w:ascii="Sylfaen" w:hAnsi="Sylfaen"/>
          <w:sz w:val="24"/>
          <w:szCs w:val="24"/>
        </w:rPr>
        <w:t xml:space="preserve"> կայունության վերաբերյալ եզրակացությունը։</w:t>
      </w:r>
    </w:p>
    <w:p w14:paraId="24650445"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lastRenderedPageBreak/>
        <w:t>___________________________________________________________________________</w:t>
      </w:r>
    </w:p>
    <w:p w14:paraId="526182BD"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E164E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E9B0E3" w14:textId="77777777" w:rsidR="008C76E0" w:rsidRPr="00BD7577" w:rsidRDefault="008C76E0" w:rsidP="0074785B">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S.7.2.</w:t>
      </w:r>
      <w:r w:rsidRPr="00BD7577">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BD7577">
        <w:rPr>
          <w:rFonts w:ascii="Sylfaen" w:hAnsi="Sylfaen"/>
          <w:sz w:val="24"/>
          <w:szCs w:val="24"/>
        </w:rPr>
        <w:t xml:space="preserve"> կայունությանը վերաբերող պարտավորությունները։</w:t>
      </w:r>
    </w:p>
    <w:p w14:paraId="2633D7AD" w14:textId="77777777" w:rsidR="008C76E0" w:rsidRPr="00BD7577" w:rsidRDefault="008C76E0" w:rsidP="0074785B">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DE5BED9" w14:textId="77777777" w:rsidR="008C76E0" w:rsidRPr="00BD7577" w:rsidRDefault="008C76E0" w:rsidP="0074785B">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1D74ABE" w14:textId="77777777" w:rsidR="008C76E0" w:rsidRPr="00BD7577" w:rsidRDefault="008C76E0" w:rsidP="0074785B">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B5B58E8" w14:textId="77777777" w:rsidR="008C76E0" w:rsidRPr="00BD7577" w:rsidRDefault="008C76E0" w:rsidP="0074785B">
      <w:pPr>
        <w:widowControl/>
        <w:tabs>
          <w:tab w:val="left" w:pos="1701"/>
        </w:tabs>
        <w:spacing w:after="160" w:line="360" w:lineRule="auto"/>
        <w:ind w:firstLine="567"/>
        <w:rPr>
          <w:rFonts w:ascii="Sylfaen" w:hAnsi="Sylfaen"/>
          <w:sz w:val="24"/>
          <w:szCs w:val="24"/>
        </w:rPr>
      </w:pPr>
      <w:r>
        <w:rPr>
          <w:rFonts w:ascii="Sylfaen" w:hAnsi="Sylfaen" w:cs="Times New Roman"/>
          <w:sz w:val="24"/>
          <w:szCs w:val="24"/>
          <w:lang w:bidi="ar-SA"/>
        </w:rPr>
        <w:t>S.7.3</w:t>
      </w:r>
      <w:r w:rsidRPr="00C8249C">
        <w:rPr>
          <w:rFonts w:ascii="Sylfaen" w:hAnsi="Sylfaen" w:cs="Times New Roman"/>
          <w:sz w:val="24"/>
          <w:szCs w:val="24"/>
          <w:lang w:bidi="ar-SA"/>
        </w:rPr>
        <w:tab/>
      </w:r>
      <w:r w:rsidRPr="00BD7577">
        <w:rPr>
          <w:rFonts w:ascii="Sylfaen" w:hAnsi="Sylfaen" w:cs="Times New Roman"/>
          <w:sz w:val="24"/>
          <w:szCs w:val="24"/>
          <w:lang w:bidi="ar-SA"/>
        </w:rPr>
        <w:t>Կայունության մասին փորձարկումների տվյալներ</w:t>
      </w:r>
    </w:p>
    <w:p w14:paraId="1A6E75C1" w14:textId="77777777" w:rsidR="008C76E0" w:rsidRPr="00E15E7D" w:rsidRDefault="008C76E0" w:rsidP="00D23305">
      <w:pPr>
        <w:widowControl/>
        <w:spacing w:after="160" w:line="360" w:lineRule="auto"/>
        <w:rPr>
          <w:rFonts w:ascii="Sylfaen" w:hAnsi="Sylfaen"/>
          <w:sz w:val="24"/>
          <w:szCs w:val="24"/>
        </w:rPr>
      </w:pPr>
    </w:p>
    <w:p w14:paraId="1AA82CCE" w14:textId="1D34FD09"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40CB9D73"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640A9C"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F7E79A"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77CCC1F" w14:textId="77777777" w:rsidR="008C76E0" w:rsidRPr="007106A3" w:rsidRDefault="008C76E0" w:rsidP="00D23305">
      <w:pPr>
        <w:widowControl/>
        <w:spacing w:after="160" w:line="360" w:lineRule="auto"/>
        <w:rPr>
          <w:rFonts w:ascii="Sylfaen" w:hAnsi="Sylfaen"/>
          <w:sz w:val="24"/>
          <w:szCs w:val="24"/>
        </w:rPr>
      </w:pPr>
    </w:p>
    <w:p w14:paraId="19AF9E8D" w14:textId="5843D178" w:rsidR="008C76E0" w:rsidRPr="00BD7577" w:rsidRDefault="008C76E0" w:rsidP="00D23305">
      <w:pPr>
        <w:spacing w:after="160" w:line="360" w:lineRule="auto"/>
        <w:ind w:left="567" w:right="566"/>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0162402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448D42" w14:textId="77777777" w:rsidR="008C76E0" w:rsidRPr="00BD7577" w:rsidRDefault="008C76E0" w:rsidP="00D23305">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DEBFC70" w14:textId="77777777" w:rsidR="008C76E0" w:rsidRPr="00BD7577" w:rsidRDefault="008C76E0" w:rsidP="00D23305">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1402366" w14:textId="77777777" w:rsidR="008C76E0" w:rsidRPr="00BD7577" w:rsidRDefault="008C76E0" w:rsidP="00D23305">
      <w:pPr>
        <w:spacing w:after="160" w:line="360"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49AE5EC" w14:textId="77777777" w:rsidR="008C76E0" w:rsidRPr="00BD7577" w:rsidRDefault="008C76E0" w:rsidP="00D23305">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735311"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1446A632"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56278AB"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DBC3447"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82E60E3"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64796D1"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71AC2A" w14:textId="77777777" w:rsidR="008C76E0" w:rsidRPr="00E15E7D" w:rsidRDefault="008C76E0" w:rsidP="00240DA3">
      <w:pPr>
        <w:widowControl/>
        <w:spacing w:after="160" w:line="240" w:lineRule="auto"/>
        <w:rPr>
          <w:rFonts w:ascii="Sylfaen" w:hAnsi="Sylfaen"/>
          <w:sz w:val="24"/>
          <w:szCs w:val="24"/>
        </w:rPr>
      </w:pPr>
    </w:p>
    <w:p w14:paraId="7AE691BC" w14:textId="77777777"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ՊԱՏԱՍԽԱՆՆԵՐԻ ԳՆԱՀԱՏՈՒՄԸ</w:t>
      </w:r>
    </w:p>
    <w:p w14:paraId="7A71C843" w14:textId="5602336D" w:rsidR="008C76E0" w:rsidRPr="00BD7577" w:rsidRDefault="0056496B" w:rsidP="00240DA3">
      <w:pPr>
        <w:spacing w:after="160" w:line="240" w:lineRule="auto"/>
        <w:ind w:left="567" w:right="566"/>
        <w:jc w:val="center"/>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ԱԴԲՄՖ-ի մասին վերաբերող դիտողությունների </w:t>
      </w:r>
      <w:r w:rsidR="008C76E0" w:rsidRPr="00BD7577">
        <w:rPr>
          <w:rFonts w:ascii="Sylfaen" w:hAnsi="Sylfaen"/>
          <w:sz w:val="24"/>
          <w:szCs w:val="24"/>
        </w:rPr>
        <w:br/>
        <w:t>ցանկին տրված</w:t>
      </w:r>
    </w:p>
    <w:p w14:paraId="7A1CB2FD"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Կրիտիկական դիտողություններ՝</w:t>
      </w:r>
    </w:p>
    <w:p w14:paraId="3A0B8F78" w14:textId="77777777" w:rsidR="008C76E0" w:rsidRPr="00DD61E4" w:rsidRDefault="008C76E0" w:rsidP="00240DA3">
      <w:pPr>
        <w:spacing w:after="160" w:line="240" w:lineRule="auto"/>
        <w:ind w:right="-1" w:firstLine="567"/>
        <w:rPr>
          <w:rFonts w:ascii="Sylfaen" w:hAnsi="Sylfaen"/>
          <w:sz w:val="24"/>
          <w:szCs w:val="24"/>
        </w:rPr>
      </w:pPr>
      <w:r w:rsidRPr="00BD7577">
        <w:rPr>
          <w:rFonts w:ascii="Sylfaen" w:hAnsi="Sylfaen"/>
          <w:sz w:val="24"/>
          <w:szCs w:val="24"/>
        </w:rPr>
        <w:t xml:space="preserve">Հարցը </w:t>
      </w:r>
      <w:r w:rsidRPr="00DD61E4">
        <w:rPr>
          <w:rFonts w:ascii="Sylfaen" w:hAnsi="Sylfaen"/>
          <w:sz w:val="24"/>
          <w:szCs w:val="24"/>
        </w:rPr>
        <w:t>______________________________________________________________________________________________________________________________________________________</w:t>
      </w:r>
    </w:p>
    <w:p w14:paraId="688BB64C" w14:textId="00F2974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52DD7B4B"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CFC57D"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ED80CB2" w14:textId="4ABF7FB2"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պատասխանի գնահատումը </w:t>
      </w:r>
    </w:p>
    <w:p w14:paraId="216C0306"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BCC86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06125B5"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19F0681F"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6D73F29"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A9ECFD3"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3997B9E1"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Հարցը </w:t>
      </w:r>
    </w:p>
    <w:p w14:paraId="0CC2B9B1"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55A83AF"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C7A95E3" w14:textId="2AFBAED4"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 xml:space="preserve">ի հարցի ռեզյումեն </w:t>
      </w:r>
    </w:p>
    <w:p w14:paraId="25D4D99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1AD460E"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65881D" w14:textId="75F7E021" w:rsidR="008C76E0" w:rsidRPr="00BD7577" w:rsidRDefault="0056496B" w:rsidP="00240DA3">
      <w:pPr>
        <w:spacing w:after="160" w:line="240" w:lineRule="auto"/>
        <w:ind w:right="-1" w:firstLine="567"/>
        <w:jc w:val="both"/>
        <w:rPr>
          <w:rFonts w:ascii="Sylfaen" w:hAnsi="Sylfaen"/>
          <w:sz w:val="24"/>
          <w:szCs w:val="24"/>
        </w:rPr>
      </w:pPr>
      <w:r>
        <w:rPr>
          <w:rFonts w:ascii="Sylfaen" w:hAnsi="Sylfaen"/>
          <w:sz w:val="24"/>
          <w:szCs w:val="24"/>
        </w:rPr>
        <w:lastRenderedPageBreak/>
        <w:t>Դիմումատու</w:t>
      </w:r>
      <w:r w:rsidR="008C76E0" w:rsidRPr="00BD7577">
        <w:rPr>
          <w:rFonts w:ascii="Sylfaen" w:hAnsi="Sylfaen"/>
          <w:sz w:val="24"/>
          <w:szCs w:val="24"/>
        </w:rPr>
        <w:t xml:space="preserve">ի պատասխանի գնահատումը </w:t>
      </w:r>
    </w:p>
    <w:p w14:paraId="15239249"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0AFB48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FACF60F" w14:textId="77777777" w:rsidR="008C76E0" w:rsidRPr="00BD7577" w:rsidRDefault="008C76E0" w:rsidP="00240DA3">
      <w:pPr>
        <w:spacing w:after="160" w:line="240" w:lineRule="auto"/>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6968699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5A71B38"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6CC25FC" w14:textId="77777777" w:rsidR="008C76E0" w:rsidRPr="007106A3" w:rsidRDefault="008C76E0" w:rsidP="00240DA3">
      <w:pPr>
        <w:widowControl/>
        <w:spacing w:after="160" w:line="240" w:lineRule="auto"/>
        <w:rPr>
          <w:rFonts w:ascii="Sylfaen" w:hAnsi="Sylfaen"/>
          <w:sz w:val="24"/>
          <w:szCs w:val="24"/>
        </w:rPr>
      </w:pPr>
    </w:p>
    <w:p w14:paraId="70DA0AF0" w14:textId="5BF9A2BC" w:rsidR="008C76E0" w:rsidRPr="00BD7577" w:rsidRDefault="008C76E0" w:rsidP="00240DA3">
      <w:pPr>
        <w:spacing w:after="160" w:line="240" w:lineRule="auto"/>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ԱԴԲՄՖ-ի մասի վերաբերյալ</w:t>
      </w:r>
    </w:p>
    <w:p w14:paraId="77E28395"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7DEE8A2"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D8F7248"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200F6C"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FFC5EDA"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FCFA903"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C93AD6E"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87150E4"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392574"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15E98D3" w14:textId="77777777" w:rsidR="008C76E0" w:rsidRPr="00BD7577" w:rsidRDefault="008C76E0" w:rsidP="00240DA3">
      <w:pPr>
        <w:spacing w:after="160" w:line="24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519ADA6" w14:textId="77777777" w:rsidR="008C76E0" w:rsidRPr="00BD7577" w:rsidRDefault="008C76E0" w:rsidP="00240DA3">
      <w:pPr>
        <w:spacing w:after="160" w:line="24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7685D" w14:textId="77777777" w:rsidR="008C76E0" w:rsidRPr="00BD7577" w:rsidRDefault="008C76E0" w:rsidP="00240DA3">
      <w:pPr>
        <w:spacing w:after="160" w:line="24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3DB6DF6" w14:textId="77777777" w:rsidR="008C76E0" w:rsidRPr="007106A3" w:rsidRDefault="008C76E0" w:rsidP="00240DA3">
      <w:pPr>
        <w:spacing w:after="160" w:line="240" w:lineRule="auto"/>
        <w:ind w:right="-1"/>
        <w:jc w:val="both"/>
        <w:rPr>
          <w:rFonts w:ascii="Sylfaen" w:hAnsi="Sylfaen"/>
          <w:sz w:val="24"/>
          <w:szCs w:val="24"/>
        </w:rPr>
      </w:pPr>
    </w:p>
    <w:p w14:paraId="3416365B" w14:textId="72A542CE" w:rsidR="008C76E0" w:rsidRPr="00BD7577" w:rsidRDefault="008C76E0" w:rsidP="00240DA3">
      <w:pPr>
        <w:spacing w:after="160" w:line="360" w:lineRule="auto"/>
        <w:ind w:left="567" w:right="567"/>
        <w:jc w:val="center"/>
        <w:rPr>
          <w:rFonts w:ascii="Sylfaen" w:hAnsi="Sylfaen"/>
          <w:sz w:val="24"/>
          <w:szCs w:val="24"/>
        </w:rPr>
      </w:pPr>
      <w:r>
        <w:rPr>
          <w:rFonts w:ascii="Sylfaen" w:hAnsi="Sylfaen"/>
          <w:sz w:val="24"/>
          <w:szCs w:val="24"/>
        </w:rPr>
        <w:t>10.3.</w:t>
      </w:r>
      <w:r w:rsidRPr="003D47D6">
        <w:rPr>
          <w:rFonts w:ascii="Sylfaen" w:hAnsi="Sylfaen"/>
          <w:sz w:val="24"/>
          <w:szCs w:val="24"/>
        </w:rPr>
        <w:t xml:space="preserve"> </w:t>
      </w:r>
      <w:r w:rsidRPr="00BD7577">
        <w:rPr>
          <w:rFonts w:ascii="Sylfaen" w:hAnsi="Sylfaen"/>
          <w:sz w:val="24"/>
          <w:szCs w:val="24"/>
        </w:rPr>
        <w:t xml:space="preserve">Փորձագիտական հաշվետվությունը </w:t>
      </w:r>
      <w:r w:rsidR="00C54D75">
        <w:rPr>
          <w:rFonts w:ascii="Sylfaen" w:hAnsi="Sylfaen"/>
          <w:sz w:val="24"/>
          <w:szCs w:val="24"/>
        </w:rPr>
        <w:t>և</w:t>
      </w:r>
      <w:r w:rsidRPr="00BD7577">
        <w:rPr>
          <w:rFonts w:ascii="Sylfaen" w:hAnsi="Sylfaen"/>
          <w:sz w:val="24"/>
          <w:szCs w:val="24"/>
        </w:rPr>
        <w:t xml:space="preserve"> ԱԴԲՄՖ-ի՝ </w:t>
      </w:r>
      <w:r w:rsidRPr="00BD7577">
        <w:rPr>
          <w:rFonts w:ascii="Sylfaen" w:hAnsi="Sylfaen"/>
          <w:sz w:val="24"/>
          <w:szCs w:val="24"/>
        </w:rPr>
        <w:br/>
      </w:r>
      <w:r w:rsidR="0056496B">
        <w:rPr>
          <w:rFonts w:ascii="Sylfaen" w:hAnsi="Sylfaen"/>
          <w:sz w:val="24"/>
          <w:szCs w:val="24"/>
        </w:rPr>
        <w:t>դիմումատու</w:t>
      </w:r>
      <w:r w:rsidRPr="00BD7577">
        <w:rPr>
          <w:rFonts w:ascii="Sylfaen" w:hAnsi="Sylfaen"/>
          <w:sz w:val="24"/>
          <w:szCs w:val="24"/>
        </w:rPr>
        <w:t>ի համար փակ մասին վերաբերող հարցերը</w:t>
      </w:r>
    </w:p>
    <w:p w14:paraId="53301F8B" w14:textId="77777777" w:rsidR="008C76E0" w:rsidRPr="00BD7577" w:rsidRDefault="008C76E0" w:rsidP="008C76E0">
      <w:pPr>
        <w:spacing w:line="336" w:lineRule="auto"/>
        <w:ind w:left="567" w:right="567"/>
        <w:jc w:val="center"/>
        <w:rPr>
          <w:rFonts w:ascii="Sylfaen" w:hAnsi="Sylfaen"/>
          <w:sz w:val="24"/>
          <w:szCs w:val="24"/>
        </w:rPr>
      </w:pPr>
    </w:p>
    <w:p w14:paraId="7836F335" w14:textId="77777777"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ԳԱՂՏՆԻ Է</w:t>
      </w:r>
    </w:p>
    <w:p w14:paraId="6F1D1EAE" w14:textId="3EE6D9B9" w:rsidR="008C76E0" w:rsidRPr="00BD7577" w:rsidRDefault="008C76E0" w:rsidP="00060EF9">
      <w:pPr>
        <w:spacing w:after="160" w:line="360" w:lineRule="auto"/>
        <w:ind w:left="567" w:right="567"/>
        <w:jc w:val="center"/>
        <w:rPr>
          <w:rFonts w:ascii="Sylfaen" w:hAnsi="Sylfaen"/>
          <w:sz w:val="24"/>
          <w:szCs w:val="24"/>
        </w:rPr>
      </w:pPr>
      <w:r w:rsidRPr="00BD7577">
        <w:rPr>
          <w:rFonts w:ascii="Sylfaen" w:hAnsi="Sylfaen"/>
          <w:sz w:val="24"/>
          <w:szCs w:val="24"/>
        </w:rPr>
        <w:t xml:space="preserve">ՉԻ ԹՈՒՅԼԱՏՐՎՈՒՄ ԵԶՐԱԿԱՑՈՒԹՅԱՆ ՍՈՒՅՆ ԲԱԺԻՆԸ ՓՈԽԱՆՑԵԼ </w:t>
      </w:r>
      <w:r w:rsidR="0056496B">
        <w:rPr>
          <w:rFonts w:ascii="Sylfaen" w:hAnsi="Sylfaen"/>
          <w:sz w:val="24"/>
          <w:szCs w:val="24"/>
        </w:rPr>
        <w:t>Դիմումատու</w:t>
      </w:r>
      <w:r w:rsidRPr="00BD7577">
        <w:rPr>
          <w:rFonts w:ascii="Sylfaen" w:hAnsi="Sylfaen"/>
          <w:sz w:val="24"/>
          <w:szCs w:val="24"/>
        </w:rPr>
        <w:t>ԻՆ</w:t>
      </w:r>
    </w:p>
    <w:p w14:paraId="4B2EDEBD" w14:textId="77777777" w:rsidR="008C76E0" w:rsidRPr="008C76E0" w:rsidRDefault="008C76E0" w:rsidP="00060EF9">
      <w:pPr>
        <w:pStyle w:val="Bodytext70"/>
        <w:shd w:val="clear" w:color="auto" w:fill="auto"/>
        <w:spacing w:before="0" w:after="160" w:line="360" w:lineRule="auto"/>
        <w:ind w:left="567" w:right="567"/>
        <w:jc w:val="center"/>
        <w:rPr>
          <w:rFonts w:ascii="Sylfaen" w:hAnsi="Sylfaen"/>
          <w:b w:val="0"/>
          <w:sz w:val="24"/>
          <w:szCs w:val="24"/>
          <w:lang w:val="hy-AM"/>
        </w:rPr>
      </w:pPr>
      <w:r w:rsidRPr="008C76E0">
        <w:rPr>
          <w:rFonts w:ascii="Sylfaen" w:hAnsi="Sylfaen"/>
          <w:b w:val="0"/>
          <w:sz w:val="24"/>
          <w:szCs w:val="24"/>
          <w:lang w:val="hy-AM"/>
        </w:rPr>
        <w:lastRenderedPageBreak/>
        <w:t>{Գրանցման համարը}</w:t>
      </w:r>
      <w:r w:rsidRPr="00BD7577">
        <w:rPr>
          <w:rStyle w:val="Bodytext295pt"/>
          <w:rFonts w:ascii="Sylfaen" w:hAnsi="Sylfaen"/>
          <w:spacing w:val="0"/>
          <w:sz w:val="24"/>
          <w:szCs w:val="24"/>
        </w:rPr>
        <w:t xml:space="preserve"> (առկայության դեպքում)</w:t>
      </w:r>
    </w:p>
    <w:p w14:paraId="6023D74B" w14:textId="39216E5E" w:rsidR="008C76E0" w:rsidRPr="008C76E0" w:rsidRDefault="008C76E0" w:rsidP="00060EF9">
      <w:pPr>
        <w:pStyle w:val="Bodytext70"/>
        <w:shd w:val="clear" w:color="auto" w:fill="auto"/>
        <w:spacing w:before="0" w:after="160" w:line="360" w:lineRule="auto"/>
        <w:ind w:left="567" w:right="566"/>
        <w:jc w:val="center"/>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ի մասի տարբերակի համարը, ամսաթիվը, ծառայողական մասի տարբերակի համարը) ամսաթիվը}</w:t>
      </w:r>
    </w:p>
    <w:p w14:paraId="5A0741E5" w14:textId="77777777" w:rsidR="008C76E0" w:rsidRPr="00BD7577" w:rsidRDefault="008C76E0" w:rsidP="00060EF9">
      <w:pPr>
        <w:spacing w:after="160" w:line="360" w:lineRule="auto"/>
        <w:ind w:right="-1"/>
        <w:jc w:val="center"/>
        <w:rPr>
          <w:rFonts w:ascii="Sylfaen" w:hAnsi="Sylfaen"/>
          <w:sz w:val="24"/>
          <w:szCs w:val="24"/>
        </w:rPr>
      </w:pPr>
      <w:r w:rsidRPr="00BD7577">
        <w:rPr>
          <w:rFonts w:ascii="Sylfaen" w:hAnsi="Sylfaen"/>
          <w:sz w:val="24"/>
          <w:szCs w:val="24"/>
        </w:rPr>
        <w:t>10.4.</w:t>
      </w:r>
      <w:r>
        <w:rPr>
          <w:rFonts w:ascii="Sylfaen" w:hAnsi="Sylfaen"/>
          <w:sz w:val="24"/>
          <w:szCs w:val="24"/>
          <w:lang w:val="en-US"/>
        </w:rPr>
        <w:t xml:space="preserve"> </w:t>
      </w:r>
      <w:r w:rsidRPr="00BD7577">
        <w:rPr>
          <w:rFonts w:ascii="Sylfaen" w:hAnsi="Sylfaen"/>
          <w:sz w:val="24"/>
          <w:szCs w:val="24"/>
        </w:rPr>
        <w:t>Վարչական տեղեկատվությունը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45"/>
        <w:gridCol w:w="4502"/>
      </w:tblGrid>
      <w:tr w:rsidR="008C76E0" w:rsidRPr="00BD7577" w14:paraId="3F7A80D0" w14:textId="77777777" w:rsidTr="008C76E0">
        <w:trPr>
          <w:jc w:val="center"/>
        </w:trPr>
        <w:tc>
          <w:tcPr>
            <w:tcW w:w="5045" w:type="dxa"/>
            <w:tcBorders>
              <w:top w:val="single" w:sz="4" w:space="0" w:color="auto"/>
              <w:left w:val="single" w:sz="4" w:space="0" w:color="auto"/>
            </w:tcBorders>
            <w:shd w:val="clear" w:color="auto" w:fill="FFFFFF"/>
            <w:vAlign w:val="bottom"/>
          </w:tcPr>
          <w:p w14:paraId="6377CC60" w14:textId="77777777" w:rsidR="008C76E0" w:rsidRPr="00BD7577" w:rsidRDefault="008C76E0" w:rsidP="008C76E0">
            <w:pPr>
              <w:pStyle w:val="Bodytext180"/>
              <w:shd w:val="clear" w:color="auto" w:fill="auto"/>
              <w:spacing w:before="0" w:after="120" w:line="240" w:lineRule="auto"/>
              <w:ind w:left="85" w:right="119" w:firstLine="0"/>
              <w:jc w:val="both"/>
              <w:rPr>
                <w:rFonts w:ascii="Sylfaen" w:hAnsi="Sylfaen"/>
                <w:b w:val="0"/>
                <w:sz w:val="24"/>
                <w:szCs w:val="24"/>
              </w:rPr>
            </w:pPr>
            <w:r w:rsidRPr="00BD7577">
              <w:rPr>
                <w:rStyle w:val="Bodytext295pt"/>
                <w:rFonts w:ascii="Sylfaen" w:hAnsi="Sylfaen"/>
                <w:spacing w:val="0"/>
                <w:sz w:val="24"/>
                <w:szCs w:val="24"/>
              </w:rPr>
              <w:t>Նույնականացման համարը՝</w:t>
            </w:r>
          </w:p>
        </w:tc>
        <w:tc>
          <w:tcPr>
            <w:tcW w:w="4502" w:type="dxa"/>
            <w:tcBorders>
              <w:top w:val="single" w:sz="4" w:space="0" w:color="auto"/>
              <w:left w:val="single" w:sz="4" w:space="0" w:color="auto"/>
              <w:right w:val="single" w:sz="4" w:space="0" w:color="auto"/>
            </w:tcBorders>
            <w:shd w:val="clear" w:color="auto" w:fill="FFFFFF"/>
          </w:tcPr>
          <w:p w14:paraId="05E86515"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EC12CFC" w14:textId="77777777" w:rsidTr="008C76E0">
        <w:trPr>
          <w:jc w:val="center"/>
        </w:trPr>
        <w:tc>
          <w:tcPr>
            <w:tcW w:w="5045" w:type="dxa"/>
            <w:tcBorders>
              <w:top w:val="single" w:sz="4" w:space="0" w:color="auto"/>
              <w:left w:val="single" w:sz="4" w:space="0" w:color="auto"/>
            </w:tcBorders>
            <w:shd w:val="clear" w:color="auto" w:fill="FFFFFF"/>
            <w:vAlign w:val="bottom"/>
          </w:tcPr>
          <w:p w14:paraId="59AC8F84"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(ակտիվ դեղագործական բաղադրամասերի) միջազգային չարտոնագրված անվանումը (ՄՉԱ)(համընդհանուր անվանումը)</w:t>
            </w:r>
          </w:p>
        </w:tc>
        <w:tc>
          <w:tcPr>
            <w:tcW w:w="4502" w:type="dxa"/>
            <w:tcBorders>
              <w:top w:val="single" w:sz="4" w:space="0" w:color="auto"/>
              <w:left w:val="single" w:sz="4" w:space="0" w:color="auto"/>
              <w:right w:val="single" w:sz="4" w:space="0" w:color="auto"/>
            </w:tcBorders>
            <w:shd w:val="clear" w:color="auto" w:fill="FFFFFF"/>
          </w:tcPr>
          <w:p w14:paraId="4C0AA0A1"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14FA61BC" w14:textId="77777777" w:rsidTr="008C76E0">
        <w:trPr>
          <w:jc w:val="center"/>
        </w:trPr>
        <w:tc>
          <w:tcPr>
            <w:tcW w:w="5045" w:type="dxa"/>
            <w:tcBorders>
              <w:top w:val="single" w:sz="4" w:space="0" w:color="auto"/>
              <w:left w:val="single" w:sz="4" w:space="0" w:color="auto"/>
            </w:tcBorders>
            <w:shd w:val="clear" w:color="auto" w:fill="FFFFFF"/>
            <w:vAlign w:val="bottom"/>
          </w:tcPr>
          <w:p w14:paraId="63E799FC"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ներքին ծածկագիրը (եթե կիրառվում է)՝</w:t>
            </w:r>
          </w:p>
        </w:tc>
        <w:tc>
          <w:tcPr>
            <w:tcW w:w="4502" w:type="dxa"/>
            <w:tcBorders>
              <w:top w:val="single" w:sz="4" w:space="0" w:color="auto"/>
              <w:left w:val="single" w:sz="4" w:space="0" w:color="auto"/>
              <w:right w:val="single" w:sz="4" w:space="0" w:color="auto"/>
            </w:tcBorders>
            <w:shd w:val="clear" w:color="auto" w:fill="FFFFFF"/>
          </w:tcPr>
          <w:p w14:paraId="470B3B9A" w14:textId="77777777" w:rsidR="008C76E0" w:rsidRPr="00BD7577" w:rsidRDefault="008C76E0" w:rsidP="008C76E0">
            <w:pPr>
              <w:spacing w:after="120" w:line="240" w:lineRule="auto"/>
              <w:ind w:left="85" w:right="119"/>
              <w:jc w:val="both"/>
              <w:rPr>
                <w:rFonts w:ascii="Sylfaen" w:hAnsi="Sylfaen"/>
                <w:sz w:val="24"/>
                <w:szCs w:val="24"/>
              </w:rPr>
            </w:pPr>
          </w:p>
        </w:tc>
      </w:tr>
      <w:tr w:rsidR="008C76E0" w:rsidRPr="00BD7577" w14:paraId="44A665D2" w14:textId="77777777" w:rsidTr="008C76E0">
        <w:trPr>
          <w:jc w:val="center"/>
        </w:trPr>
        <w:tc>
          <w:tcPr>
            <w:tcW w:w="5045" w:type="dxa"/>
            <w:tcBorders>
              <w:top w:val="single" w:sz="4" w:space="0" w:color="auto"/>
              <w:left w:val="single" w:sz="4" w:space="0" w:color="auto"/>
            </w:tcBorders>
            <w:shd w:val="clear" w:color="auto" w:fill="FFFFFF"/>
          </w:tcPr>
          <w:p w14:paraId="64841427" w14:textId="77777777" w:rsidR="008C76E0" w:rsidRPr="008C76E0" w:rsidRDefault="008C76E0" w:rsidP="008C76E0">
            <w:pPr>
              <w:pStyle w:val="Bodytext180"/>
              <w:shd w:val="clear" w:color="auto" w:fill="auto"/>
              <w:spacing w:before="0" w:after="120" w:line="240" w:lineRule="auto"/>
              <w:ind w:left="85" w:right="11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բաղադրամասն արտադրողի արտադրական հարթակների անվանումներն ու հասցեները</w:t>
            </w:r>
          </w:p>
        </w:tc>
        <w:tc>
          <w:tcPr>
            <w:tcW w:w="4502" w:type="dxa"/>
            <w:tcBorders>
              <w:top w:val="single" w:sz="4" w:space="0" w:color="auto"/>
              <w:left w:val="single" w:sz="4" w:space="0" w:color="auto"/>
              <w:right w:val="single" w:sz="4" w:space="0" w:color="auto"/>
            </w:tcBorders>
            <w:shd w:val="clear" w:color="auto" w:fill="FFFFFF"/>
            <w:vAlign w:val="bottom"/>
          </w:tcPr>
          <w:p w14:paraId="3A06187A"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անվանումը՝</w:t>
            </w:r>
          </w:p>
          <w:p w14:paraId="16E5C0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հասցեն՝</w:t>
            </w:r>
          </w:p>
          <w:p w14:paraId="07267427" w14:textId="77777777" w:rsidR="008C76E0" w:rsidRPr="00BD7577" w:rsidRDefault="008C76E0" w:rsidP="008C76E0">
            <w:pPr>
              <w:pStyle w:val="Bodytext180"/>
              <w:shd w:val="clear" w:color="auto" w:fill="auto"/>
              <w:spacing w:before="0" w:after="120" w:line="240" w:lineRule="auto"/>
              <w:ind w:left="85" w:right="119" w:firstLine="0"/>
              <w:rPr>
                <w:rStyle w:val="Bodytext295pt"/>
                <w:rFonts w:ascii="Sylfaen" w:hAnsi="Sylfaen"/>
                <w:spacing w:val="0"/>
                <w:sz w:val="24"/>
                <w:szCs w:val="24"/>
              </w:rPr>
            </w:pPr>
            <w:r w:rsidRPr="00BD7577">
              <w:rPr>
                <w:rStyle w:val="Bodytext295pt"/>
                <w:rFonts w:ascii="Sylfaen" w:hAnsi="Sylfaen"/>
                <w:spacing w:val="0"/>
                <w:sz w:val="24"/>
                <w:szCs w:val="24"/>
              </w:rPr>
              <w:t xml:space="preserve">կոնտակտային անձը՝ հեռախոսահամարը՝ </w:t>
            </w:r>
          </w:p>
          <w:p w14:paraId="6942B6E9"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ֆաքսի համարը՝</w:t>
            </w:r>
          </w:p>
          <w:p w14:paraId="3F6FF212"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էլեկտրոնային փոստի հասցեն՝</w:t>
            </w:r>
          </w:p>
        </w:tc>
      </w:tr>
      <w:tr w:rsidR="008C76E0" w:rsidRPr="00BD7577" w14:paraId="7EFB16AE" w14:textId="77777777" w:rsidTr="008C76E0">
        <w:trPr>
          <w:jc w:val="center"/>
        </w:trPr>
        <w:tc>
          <w:tcPr>
            <w:tcW w:w="5045" w:type="dxa"/>
            <w:tcBorders>
              <w:top w:val="single" w:sz="4" w:space="0" w:color="auto"/>
              <w:left w:val="single" w:sz="4" w:space="0" w:color="auto"/>
              <w:bottom w:val="single" w:sz="4" w:space="0" w:color="auto"/>
            </w:tcBorders>
            <w:shd w:val="clear" w:color="auto" w:fill="FFFFFF"/>
            <w:vAlign w:val="bottom"/>
          </w:tcPr>
          <w:p w14:paraId="3E9CF57E"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մաստեր-ֆայլի գնահատման վերաբերյալ փորձագիտական հաշվետվության ամսաթիվը</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bottom"/>
          </w:tcPr>
          <w:p w14:paraId="2682B233" w14:textId="77777777" w:rsidR="008C76E0" w:rsidRPr="008C76E0" w:rsidRDefault="008C76E0" w:rsidP="008C76E0">
            <w:pPr>
              <w:pStyle w:val="Bodytext180"/>
              <w:shd w:val="clear" w:color="auto" w:fill="auto"/>
              <w:spacing w:before="0" w:after="120" w:line="240" w:lineRule="auto"/>
              <w:ind w:left="85" w:right="119" w:firstLine="0"/>
              <w:rPr>
                <w:rFonts w:ascii="Sylfaen" w:hAnsi="Sylfaen"/>
                <w:b w:val="0"/>
                <w:sz w:val="24"/>
                <w:szCs w:val="24"/>
                <w:lang w:val="hy-AM"/>
              </w:rPr>
            </w:pPr>
            <w:r w:rsidRPr="00BD7577">
              <w:rPr>
                <w:rStyle w:val="Bodytext295pt"/>
                <w:rFonts w:ascii="Sylfaen" w:hAnsi="Sylfaen"/>
                <w:spacing w:val="0"/>
                <w:sz w:val="24"/>
                <w:szCs w:val="24"/>
              </w:rPr>
              <w:t xml:space="preserve">Գրանցման ընթացակարգը (գրանցումը, փոփոխությունների կատարումը)՝ </w:t>
            </w:r>
          </w:p>
        </w:tc>
      </w:tr>
    </w:tbl>
    <w:p w14:paraId="01A20E58" w14:textId="77777777" w:rsidR="008C76E0" w:rsidRPr="00BD7577" w:rsidRDefault="008C76E0" w:rsidP="002A49BF">
      <w:pPr>
        <w:spacing w:after="160" w:line="360" w:lineRule="auto"/>
        <w:ind w:left="2268" w:right="-1" w:hanging="2268"/>
        <w:jc w:val="both"/>
        <w:rPr>
          <w:rFonts w:ascii="Sylfaen" w:hAnsi="Sylfaen"/>
          <w:sz w:val="24"/>
          <w:szCs w:val="24"/>
        </w:rPr>
      </w:pPr>
      <w:r w:rsidRPr="00BD7577">
        <w:rPr>
          <w:rFonts w:ascii="Sylfaen" w:hAnsi="Sylfaen"/>
          <w:sz w:val="24"/>
          <w:szCs w:val="24"/>
        </w:rPr>
        <w:t>Ծանոթագրություն: Հաշվետվության կառուցվածքը պետք է արտացոլի 3.2.S մոդուլի համապատասխան մասերը։</w:t>
      </w:r>
    </w:p>
    <w:p w14:paraId="410D06A2" w14:textId="77777777" w:rsidR="002A49BF" w:rsidRPr="00E15E7D" w:rsidRDefault="002A49BF" w:rsidP="002A49BF">
      <w:pPr>
        <w:spacing w:after="160" w:line="360" w:lineRule="auto"/>
        <w:jc w:val="center"/>
        <w:rPr>
          <w:rFonts w:ascii="Sylfaen" w:hAnsi="Sylfaen"/>
          <w:sz w:val="24"/>
          <w:szCs w:val="24"/>
        </w:rPr>
      </w:pPr>
    </w:p>
    <w:p w14:paraId="2BC44554" w14:textId="77777777" w:rsidR="008C76E0" w:rsidRPr="00BD7577" w:rsidRDefault="008C76E0" w:rsidP="002A49BF">
      <w:pPr>
        <w:spacing w:after="160" w:line="360" w:lineRule="auto"/>
        <w:jc w:val="center"/>
        <w:rPr>
          <w:rFonts w:ascii="Sylfaen" w:hAnsi="Sylfaen"/>
          <w:sz w:val="24"/>
          <w:szCs w:val="24"/>
        </w:rPr>
      </w:pPr>
      <w:r w:rsidRPr="00BD7577">
        <w:rPr>
          <w:rFonts w:ascii="Sylfaen" w:hAnsi="Sylfaen"/>
          <w:sz w:val="24"/>
          <w:szCs w:val="24"/>
        </w:rPr>
        <w:t>S.2. Արտադրությունը</w:t>
      </w:r>
    </w:p>
    <w:p w14:paraId="23A4699B"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S.2.1.</w:t>
      </w:r>
      <w:r w:rsidRPr="00BD7577">
        <w:rPr>
          <w:rFonts w:ascii="Sylfaen" w:hAnsi="Sylfaen"/>
          <w:sz w:val="24"/>
          <w:szCs w:val="24"/>
        </w:rPr>
        <w:tab/>
        <w:t xml:space="preserve">ԱԴԲ-ն արտադրողը (յուրաքանչյուր կողմի, ներառյալ՝ արտադրական շղթայում ներգրավված կապալային կազմակերպությունների անվանումը, հասցեն </w:t>
      </w:r>
      <w:r w:rsidR="00C54D75">
        <w:rPr>
          <w:rFonts w:ascii="Sylfaen" w:hAnsi="Sylfaen"/>
          <w:sz w:val="24"/>
          <w:szCs w:val="24"/>
        </w:rPr>
        <w:t>և</w:t>
      </w:r>
      <w:r w:rsidRPr="00BD7577">
        <w:rPr>
          <w:rFonts w:ascii="Sylfaen" w:hAnsi="Sylfaen"/>
          <w:sz w:val="24"/>
          <w:szCs w:val="24"/>
        </w:rPr>
        <w:t xml:space="preserve"> պատասխանատվությունը)։</w:t>
      </w:r>
    </w:p>
    <w:p w14:paraId="75741AB9"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22CFD"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59F48A1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62D706"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S.2.2.</w:t>
      </w:r>
      <w:r w:rsidRPr="00BD7577">
        <w:rPr>
          <w:rFonts w:ascii="Sylfaen" w:hAnsi="Sylfaen"/>
          <w:sz w:val="24"/>
          <w:szCs w:val="24"/>
        </w:rPr>
        <w:tab/>
        <w:t xml:space="preserve">Արտադրական գործընթացի </w:t>
      </w:r>
      <w:r w:rsidR="00C54D75">
        <w:rPr>
          <w:rFonts w:ascii="Sylfaen" w:hAnsi="Sylfaen"/>
          <w:sz w:val="24"/>
          <w:szCs w:val="24"/>
        </w:rPr>
        <w:t>և</w:t>
      </w:r>
      <w:r w:rsidRPr="00BD7577">
        <w:rPr>
          <w:rFonts w:ascii="Sylfaen" w:hAnsi="Sylfaen"/>
          <w:sz w:val="24"/>
          <w:szCs w:val="24"/>
        </w:rPr>
        <w:t xml:space="preserve"> դրա հսկողության նկարագրությունը (մանրամասն տեղեկատվություն)։</w:t>
      </w:r>
    </w:p>
    <w:p w14:paraId="0BDFC7E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3052178"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E1BAAF"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386FD"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S.2.3.</w:t>
      </w:r>
      <w:r w:rsidRPr="00BD7577">
        <w:rPr>
          <w:rFonts w:ascii="Sylfaen" w:hAnsi="Sylfaen"/>
          <w:sz w:val="24"/>
          <w:szCs w:val="24"/>
        </w:rPr>
        <w:tab/>
        <w:t>Ելանյութերի որակի հսկողությունը։</w:t>
      </w:r>
    </w:p>
    <w:p w14:paraId="241E99B0"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4FABF7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291145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2C6706C"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S.2.4.</w:t>
      </w:r>
      <w:r w:rsidRPr="00BD7577">
        <w:rPr>
          <w:rFonts w:ascii="Sylfaen" w:hAnsi="Sylfaen"/>
          <w:sz w:val="24"/>
          <w:szCs w:val="24"/>
        </w:rPr>
        <w:tab/>
        <w:t xml:space="preserve">Կրիտիկական փուլերի </w:t>
      </w:r>
      <w:r w:rsidR="00C54D75">
        <w:rPr>
          <w:rFonts w:ascii="Sylfaen" w:hAnsi="Sylfaen"/>
          <w:sz w:val="24"/>
          <w:szCs w:val="24"/>
        </w:rPr>
        <w:t>և</w:t>
      </w:r>
      <w:r w:rsidRPr="00BD7577">
        <w:rPr>
          <w:rFonts w:ascii="Sylfaen" w:hAnsi="Sylfaen"/>
          <w:sz w:val="24"/>
          <w:szCs w:val="24"/>
        </w:rPr>
        <w:t xml:space="preserve"> միջանկյալ արտադրանքի հսկողությունը։</w:t>
      </w:r>
    </w:p>
    <w:p w14:paraId="41D3D41F"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7D90E2"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A2C3652"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2CCA5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S.2.5.</w:t>
      </w:r>
      <w:r w:rsidRPr="00BD7577">
        <w:rPr>
          <w:rFonts w:ascii="Sylfaen" w:hAnsi="Sylfaen"/>
          <w:sz w:val="24"/>
          <w:szCs w:val="24"/>
        </w:rPr>
        <w:tab/>
        <w:t xml:space="preserve">Արտադրական գործընթացի վալիդացումը </w:t>
      </w:r>
      <w:r w:rsidR="00C54D75">
        <w:rPr>
          <w:rFonts w:ascii="Sylfaen" w:hAnsi="Sylfaen"/>
          <w:sz w:val="24"/>
          <w:szCs w:val="24"/>
        </w:rPr>
        <w:t>և</w:t>
      </w:r>
      <w:r w:rsidRPr="00BD7577">
        <w:rPr>
          <w:rFonts w:ascii="Sylfaen" w:hAnsi="Sylfaen"/>
          <w:sz w:val="24"/>
          <w:szCs w:val="24"/>
        </w:rPr>
        <w:t xml:space="preserve"> (կամ) գնահատումը։</w:t>
      </w:r>
    </w:p>
    <w:p w14:paraId="5A5A8028"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CF36C99"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9A2345"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47C0F2" w14:textId="77777777" w:rsidR="008C76E0" w:rsidRPr="00BD7577" w:rsidRDefault="008C76E0" w:rsidP="002A49BF">
      <w:pPr>
        <w:pStyle w:val="CommentText"/>
        <w:tabs>
          <w:tab w:val="left" w:pos="1701"/>
        </w:tabs>
        <w:spacing w:after="160" w:line="360" w:lineRule="auto"/>
        <w:ind w:firstLine="567"/>
        <w:rPr>
          <w:rFonts w:ascii="Sylfaen" w:hAnsi="Sylfaen"/>
          <w:sz w:val="24"/>
          <w:szCs w:val="24"/>
        </w:rPr>
      </w:pPr>
      <w:r>
        <w:rPr>
          <w:rFonts w:ascii="Sylfaen" w:hAnsi="Sylfaen"/>
          <w:sz w:val="24"/>
          <w:szCs w:val="24"/>
        </w:rPr>
        <w:t>S.2.6.</w:t>
      </w:r>
      <w:r w:rsidRPr="007106A3">
        <w:rPr>
          <w:rFonts w:ascii="Sylfaen" w:hAnsi="Sylfaen"/>
          <w:sz w:val="24"/>
          <w:szCs w:val="24"/>
        </w:rPr>
        <w:tab/>
      </w:r>
      <w:r w:rsidRPr="00BD7577">
        <w:rPr>
          <w:rFonts w:ascii="Sylfaen" w:hAnsi="Sylfaen"/>
          <w:sz w:val="24"/>
          <w:szCs w:val="24"/>
        </w:rPr>
        <w:t>Արտադրական գործընթացի մշակումը</w:t>
      </w:r>
    </w:p>
    <w:p w14:paraId="08C1C435"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C90DE64"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B055D8"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lastRenderedPageBreak/>
        <w:t>___________________________________________________________________________</w:t>
      </w:r>
    </w:p>
    <w:p w14:paraId="03DA0172" w14:textId="77777777" w:rsidR="008C76E0" w:rsidRPr="007106A3" w:rsidRDefault="008C76E0" w:rsidP="002A49BF">
      <w:pPr>
        <w:spacing w:after="160" w:line="360" w:lineRule="auto"/>
        <w:ind w:right="-1"/>
        <w:jc w:val="center"/>
        <w:rPr>
          <w:rFonts w:ascii="Sylfaen" w:hAnsi="Sylfaen"/>
          <w:sz w:val="24"/>
          <w:szCs w:val="24"/>
        </w:rPr>
      </w:pPr>
    </w:p>
    <w:p w14:paraId="5D76368F"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S.3. Բնութագրերի նկարագրությունը</w:t>
      </w:r>
    </w:p>
    <w:p w14:paraId="1B1800BA"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2E0A99B"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D73E1A"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F765E62"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S.3.2.</w:t>
      </w:r>
      <w:r w:rsidRPr="00BD7577">
        <w:rPr>
          <w:rFonts w:ascii="Sylfaen" w:hAnsi="Sylfaen"/>
          <w:sz w:val="24"/>
          <w:szCs w:val="24"/>
        </w:rPr>
        <w:tab/>
        <w:t xml:space="preserve">Խառնուկները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7B0FDEF1"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E8C1CE"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5FD839"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F6DB1E" w14:textId="77777777" w:rsidR="008C76E0" w:rsidRPr="00BD7577" w:rsidRDefault="008C76E0" w:rsidP="002A49BF">
      <w:pPr>
        <w:spacing w:after="160" w:line="360" w:lineRule="auto"/>
        <w:ind w:right="-1" w:firstLine="567"/>
        <w:jc w:val="both"/>
        <w:rPr>
          <w:rFonts w:ascii="Sylfaen" w:hAnsi="Sylfaen"/>
          <w:sz w:val="24"/>
          <w:szCs w:val="24"/>
        </w:rPr>
      </w:pPr>
    </w:p>
    <w:p w14:paraId="02411AFE" w14:textId="77777777" w:rsidR="008C76E0" w:rsidRPr="00BD7577" w:rsidRDefault="008C76E0" w:rsidP="002A49BF">
      <w:pPr>
        <w:spacing w:after="160" w:line="360" w:lineRule="auto"/>
        <w:ind w:right="-1"/>
        <w:jc w:val="center"/>
        <w:rPr>
          <w:rFonts w:ascii="Sylfaen" w:hAnsi="Sylfaen"/>
          <w:sz w:val="24"/>
          <w:szCs w:val="24"/>
        </w:rPr>
      </w:pPr>
      <w:r w:rsidRPr="00BD7577">
        <w:rPr>
          <w:rFonts w:ascii="Sylfaen" w:hAnsi="Sylfaen"/>
          <w:sz w:val="24"/>
          <w:szCs w:val="24"/>
        </w:rPr>
        <w:t>S.4. Ակտիվ դեղագործական բաղադրիչի հսկողությունը</w:t>
      </w:r>
    </w:p>
    <w:p w14:paraId="16B536F3" w14:textId="77777777" w:rsidR="008C76E0" w:rsidRPr="00BD7577" w:rsidRDefault="008C76E0" w:rsidP="002A49BF">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S.4.5.</w:t>
      </w:r>
      <w:r w:rsidRPr="00BD7577">
        <w:rPr>
          <w:rFonts w:ascii="Sylfaen" w:hAnsi="Sylfaen"/>
          <w:sz w:val="24"/>
          <w:szCs w:val="24"/>
        </w:rPr>
        <w:tab/>
        <w:t xml:space="preserve">Մասնագրի հիմնավորումը (Եվրասիական տնտեսական հանձնաժողովի կողմից հաստատված՝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թիվ 10 հավելվածին համապատասխան (եթե կիրառելի է))։</w:t>
      </w:r>
    </w:p>
    <w:p w14:paraId="4109D65B" w14:textId="77777777" w:rsidR="008C76E0" w:rsidRPr="00BD7577" w:rsidRDefault="008C76E0" w:rsidP="002A49BF">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317135E1" w14:textId="77777777" w:rsidR="008C76E0" w:rsidRPr="00BD7577" w:rsidRDefault="008C76E0" w:rsidP="002A49BF">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F2CC3E4" w14:textId="77777777" w:rsidR="008C76E0" w:rsidRPr="00BD7577" w:rsidRDefault="008C76E0" w:rsidP="002A49BF">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63E2C9" w14:textId="77777777" w:rsidR="008C76E0" w:rsidRPr="00E15E7D" w:rsidRDefault="008C76E0" w:rsidP="008C76E0">
      <w:pPr>
        <w:widowControl/>
        <w:spacing w:line="336" w:lineRule="auto"/>
        <w:rPr>
          <w:rFonts w:ascii="Sylfaen" w:hAnsi="Sylfaen"/>
          <w:sz w:val="24"/>
          <w:szCs w:val="24"/>
        </w:rPr>
      </w:pPr>
    </w:p>
    <w:p w14:paraId="3A001482" w14:textId="77777777" w:rsidR="00D91652" w:rsidRPr="00E15E7D" w:rsidRDefault="00D91652" w:rsidP="008C76E0">
      <w:pPr>
        <w:widowControl/>
        <w:spacing w:line="336" w:lineRule="auto"/>
        <w:rPr>
          <w:rFonts w:ascii="Sylfaen" w:hAnsi="Sylfaen"/>
          <w:sz w:val="24"/>
          <w:szCs w:val="24"/>
        </w:rPr>
      </w:pPr>
    </w:p>
    <w:p w14:paraId="301F90C0" w14:textId="77777777" w:rsidR="008C76E0" w:rsidRPr="00BD7577" w:rsidRDefault="008C76E0" w:rsidP="008C76E0">
      <w:pPr>
        <w:spacing w:line="336" w:lineRule="auto"/>
        <w:ind w:left="567" w:right="566"/>
        <w:jc w:val="center"/>
        <w:rPr>
          <w:rFonts w:ascii="Sylfaen" w:hAnsi="Sylfaen"/>
          <w:sz w:val="24"/>
          <w:szCs w:val="24"/>
        </w:rPr>
      </w:pPr>
      <w:r w:rsidRPr="00BD7577">
        <w:rPr>
          <w:rFonts w:ascii="Sylfaen" w:hAnsi="Sylfaen"/>
          <w:sz w:val="24"/>
          <w:szCs w:val="24"/>
        </w:rPr>
        <w:lastRenderedPageBreak/>
        <w:t xml:space="preserve">ԸՆԴՀԱՆՈՒՐ ԵԶՐԱԿԱՑՈՒԹՅՈՒՆԸ՝ </w:t>
      </w:r>
      <w:r w:rsidRPr="00BD7577">
        <w:rPr>
          <w:rFonts w:ascii="Sylfaen" w:hAnsi="Sylfaen"/>
          <w:sz w:val="24"/>
          <w:szCs w:val="24"/>
        </w:rPr>
        <w:br/>
        <w:t>ԱԴԲՄՖ-ի փակ մասի վերաբերյալ</w:t>
      </w:r>
    </w:p>
    <w:p w14:paraId="4600E134"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2ACC5E5C"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D4CBA6C"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398BA9F" w14:textId="77777777" w:rsidR="008C76E0" w:rsidRPr="00DD61E4" w:rsidRDefault="008C76E0" w:rsidP="008C76E0">
      <w:pPr>
        <w:spacing w:line="336" w:lineRule="auto"/>
        <w:ind w:right="-1"/>
        <w:jc w:val="center"/>
        <w:rPr>
          <w:rFonts w:ascii="Sylfaen" w:hAnsi="Sylfaen"/>
          <w:sz w:val="24"/>
          <w:szCs w:val="24"/>
        </w:rPr>
      </w:pPr>
    </w:p>
    <w:p w14:paraId="153C2322" w14:textId="77777777" w:rsidR="008C76E0" w:rsidRPr="00BD7577" w:rsidRDefault="008C76E0" w:rsidP="008C76E0">
      <w:pPr>
        <w:spacing w:line="336" w:lineRule="auto"/>
        <w:ind w:right="-1"/>
        <w:jc w:val="center"/>
        <w:rPr>
          <w:rFonts w:ascii="Sylfaen" w:hAnsi="Sylfaen"/>
          <w:sz w:val="24"/>
          <w:szCs w:val="24"/>
        </w:rPr>
      </w:pPr>
      <w:r w:rsidRPr="00BD7577">
        <w:rPr>
          <w:rFonts w:ascii="Sylfaen" w:hAnsi="Sylfaen"/>
          <w:sz w:val="24"/>
          <w:szCs w:val="24"/>
        </w:rPr>
        <w:t xml:space="preserve">ԴԻՏՈՂՈՒԹՅՈՒՆՆԵՐԻ ՑԱՆԿԸ՝ </w:t>
      </w:r>
      <w:r w:rsidRPr="00BD7577">
        <w:rPr>
          <w:rFonts w:ascii="Sylfaen" w:hAnsi="Sylfaen"/>
          <w:sz w:val="24"/>
          <w:szCs w:val="24"/>
        </w:rPr>
        <w:br/>
        <w:t>ԱԴԲՄՖ-ի փակ մասի վերաբերյալ</w:t>
      </w:r>
    </w:p>
    <w:p w14:paraId="3F1C79C3"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780056" w14:textId="77777777" w:rsidR="008C76E0" w:rsidRPr="00BD7577" w:rsidRDefault="008C76E0" w:rsidP="008C76E0">
      <w:pPr>
        <w:spacing w:line="336"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B1BC8F" w14:textId="77777777" w:rsidR="008C76E0" w:rsidRPr="00BD7577" w:rsidRDefault="008C76E0" w:rsidP="008C76E0">
      <w:pPr>
        <w:spacing w:line="336"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D9B8136" w14:textId="77777777" w:rsidR="008C76E0" w:rsidRPr="00BD7577" w:rsidRDefault="008C76E0" w:rsidP="008C76E0">
      <w:pPr>
        <w:spacing w:line="336" w:lineRule="auto"/>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21B89E21" w14:textId="77777777" w:rsidR="008C76E0" w:rsidRPr="00BD7577" w:rsidRDefault="008C76E0" w:rsidP="008C76E0">
      <w:pPr>
        <w:spacing w:line="336"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2972397"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B3D3C43"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3D991A" w14:textId="77777777" w:rsidR="008C76E0" w:rsidRPr="00BD7577" w:rsidRDefault="008C76E0" w:rsidP="008C76E0">
      <w:pPr>
        <w:spacing w:line="377"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51274E37" w14:textId="77777777" w:rsidR="008C76E0" w:rsidRPr="00BD7577" w:rsidRDefault="008C76E0" w:rsidP="008C76E0">
      <w:pPr>
        <w:spacing w:line="377"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BF070AA" w14:textId="77777777" w:rsidR="008C76E0" w:rsidRPr="00BD7577" w:rsidRDefault="008C76E0" w:rsidP="008C76E0">
      <w:pPr>
        <w:spacing w:line="377"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1F1E0D" w14:textId="77777777" w:rsidR="008C76E0" w:rsidRPr="00BD7577" w:rsidRDefault="008C76E0" w:rsidP="008C76E0">
      <w:pPr>
        <w:spacing w:line="377"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D08899" w14:textId="77777777" w:rsidR="00D91652" w:rsidRDefault="00D91652">
      <w:pPr>
        <w:widowControl/>
        <w:rPr>
          <w:rFonts w:ascii="Sylfaen" w:hAnsi="Sylfaen"/>
          <w:sz w:val="24"/>
          <w:szCs w:val="24"/>
        </w:rPr>
      </w:pPr>
      <w:r>
        <w:rPr>
          <w:rFonts w:ascii="Sylfaen" w:hAnsi="Sylfaen"/>
          <w:sz w:val="24"/>
          <w:szCs w:val="24"/>
        </w:rPr>
        <w:br w:type="page"/>
      </w:r>
    </w:p>
    <w:p w14:paraId="21155869"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lastRenderedPageBreak/>
        <w:t>ՊԱՏԱՍԽԱՆՆԵՐԻ ԳՆԱՀԱՏՈՒՄԸ</w:t>
      </w:r>
    </w:p>
    <w:p w14:paraId="4AED843E"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ԱԴԲՄՖ-ի փակ մասի վերաբերյալ դիտողությունների ցանկին տրվող</w:t>
      </w:r>
    </w:p>
    <w:p w14:paraId="14F71F09"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Կրիտիկական դիտողությունները՝</w:t>
      </w:r>
    </w:p>
    <w:p w14:paraId="676E4DF2"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0DB127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0383F7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8E77D7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13C511C7"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A47C714"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EACFE30"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4DA072EB"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F65886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2E81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342BF50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563F75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714B0BA"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Այլ դիտողություններ՝</w:t>
      </w:r>
    </w:p>
    <w:p w14:paraId="2FCCAD88"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Հարցը </w:t>
      </w:r>
    </w:p>
    <w:p w14:paraId="5A2A0BB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A0FD54E"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76CDCD"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ռեզյումեն </w:t>
      </w:r>
    </w:p>
    <w:p w14:paraId="24C221B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6944737"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17CEBBC"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ԱԴԲՄՖ-ի իրավատիրոջ պատասխանի գնահատումը </w:t>
      </w:r>
    </w:p>
    <w:p w14:paraId="706C74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BC0E6C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6101D6"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lastRenderedPageBreak/>
        <w:t xml:space="preserve">Ընդհանուր ռեզյումեն </w:t>
      </w:r>
      <w:r w:rsidR="00C54D75">
        <w:rPr>
          <w:rFonts w:ascii="Sylfaen" w:hAnsi="Sylfaen"/>
          <w:sz w:val="24"/>
          <w:szCs w:val="24"/>
        </w:rPr>
        <w:t>և</w:t>
      </w:r>
      <w:r w:rsidRPr="00BD7577">
        <w:rPr>
          <w:rFonts w:ascii="Sylfaen" w:hAnsi="Sylfaen"/>
          <w:sz w:val="24"/>
          <w:szCs w:val="24"/>
        </w:rPr>
        <w:t xml:space="preserve"> եզրակացությունը </w:t>
      </w:r>
    </w:p>
    <w:p w14:paraId="5E90170D"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8D1434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F0F3822" w14:textId="77777777" w:rsidR="008C76E0" w:rsidRPr="00DD61E4" w:rsidRDefault="008C76E0" w:rsidP="008C76E0">
      <w:pPr>
        <w:ind w:right="-1" w:firstLine="567"/>
        <w:jc w:val="both"/>
        <w:rPr>
          <w:rFonts w:ascii="Sylfaen" w:hAnsi="Sylfaen"/>
          <w:sz w:val="24"/>
          <w:szCs w:val="24"/>
        </w:rPr>
      </w:pPr>
    </w:p>
    <w:p w14:paraId="35E970C8" w14:textId="77777777" w:rsidR="008C76E0" w:rsidRPr="00DD61E4" w:rsidRDefault="008C76E0" w:rsidP="008C76E0">
      <w:pPr>
        <w:ind w:right="-1" w:firstLine="567"/>
        <w:jc w:val="both"/>
        <w:rPr>
          <w:rFonts w:ascii="Sylfaen" w:hAnsi="Sylfaen"/>
          <w:sz w:val="24"/>
          <w:szCs w:val="24"/>
        </w:rPr>
      </w:pPr>
    </w:p>
    <w:p w14:paraId="57986905" w14:textId="77777777" w:rsidR="008C76E0" w:rsidRPr="00DD61E4" w:rsidRDefault="008C76E0" w:rsidP="008C76E0">
      <w:pPr>
        <w:ind w:right="-1" w:firstLine="567"/>
        <w:jc w:val="both"/>
        <w:rPr>
          <w:rFonts w:ascii="Sylfaen" w:hAnsi="Sylfaen"/>
          <w:sz w:val="24"/>
          <w:szCs w:val="24"/>
        </w:rPr>
      </w:pPr>
    </w:p>
    <w:p w14:paraId="0D01BFC8" w14:textId="77777777" w:rsidR="008C76E0" w:rsidRPr="00DD61E4" w:rsidRDefault="008C76E0" w:rsidP="008C76E0">
      <w:pPr>
        <w:ind w:right="-1" w:firstLine="567"/>
        <w:jc w:val="both"/>
        <w:rPr>
          <w:rFonts w:ascii="Sylfaen" w:hAnsi="Sylfaen"/>
          <w:sz w:val="24"/>
          <w:szCs w:val="24"/>
        </w:rPr>
      </w:pPr>
    </w:p>
    <w:p w14:paraId="172722C4" w14:textId="77777777" w:rsidR="008C76E0" w:rsidRPr="00DD61E4" w:rsidRDefault="008C76E0" w:rsidP="008C76E0">
      <w:pPr>
        <w:ind w:right="-1" w:firstLine="567"/>
        <w:jc w:val="both"/>
        <w:rPr>
          <w:rFonts w:ascii="Sylfaen" w:hAnsi="Sylfaen"/>
          <w:sz w:val="24"/>
          <w:szCs w:val="24"/>
        </w:rPr>
      </w:pPr>
    </w:p>
    <w:p w14:paraId="536D7B24" w14:textId="77777777" w:rsidR="008C76E0" w:rsidRPr="00DD61E4" w:rsidRDefault="008C76E0" w:rsidP="008C76E0">
      <w:pPr>
        <w:ind w:right="-1" w:firstLine="567"/>
        <w:jc w:val="both"/>
        <w:rPr>
          <w:rFonts w:ascii="Sylfaen" w:hAnsi="Sylfaen"/>
          <w:sz w:val="24"/>
          <w:szCs w:val="24"/>
        </w:rPr>
      </w:pPr>
    </w:p>
    <w:p w14:paraId="2A19E7ED" w14:textId="77777777" w:rsidR="008C76E0" w:rsidRPr="00DD61E4" w:rsidRDefault="008C76E0" w:rsidP="008C76E0">
      <w:pPr>
        <w:ind w:right="-1" w:firstLine="567"/>
        <w:jc w:val="both"/>
        <w:rPr>
          <w:rFonts w:ascii="Sylfaen" w:hAnsi="Sylfaen"/>
          <w:sz w:val="24"/>
          <w:szCs w:val="24"/>
        </w:rPr>
      </w:pPr>
    </w:p>
    <w:p w14:paraId="3EE32C64" w14:textId="77777777" w:rsidR="008C76E0" w:rsidRPr="00E15E7D" w:rsidRDefault="008C76E0" w:rsidP="008C76E0">
      <w:pPr>
        <w:ind w:right="-1" w:firstLine="567"/>
        <w:jc w:val="both"/>
        <w:rPr>
          <w:rFonts w:ascii="Sylfaen" w:hAnsi="Sylfaen"/>
          <w:sz w:val="24"/>
          <w:szCs w:val="24"/>
        </w:rPr>
      </w:pPr>
    </w:p>
    <w:p w14:paraId="2C2AC222" w14:textId="77777777" w:rsidR="002A49BF" w:rsidRPr="00E15E7D" w:rsidRDefault="002A49BF" w:rsidP="008C76E0">
      <w:pPr>
        <w:ind w:right="-1" w:firstLine="567"/>
        <w:jc w:val="both"/>
        <w:rPr>
          <w:rFonts w:ascii="Sylfaen" w:hAnsi="Sylfaen"/>
          <w:sz w:val="24"/>
          <w:szCs w:val="24"/>
        </w:rPr>
      </w:pPr>
    </w:p>
    <w:p w14:paraId="7F6668F7" w14:textId="77777777" w:rsidR="002A49BF" w:rsidRPr="00E15E7D" w:rsidRDefault="002A49BF" w:rsidP="008C76E0">
      <w:pPr>
        <w:ind w:right="-1" w:firstLine="567"/>
        <w:jc w:val="both"/>
        <w:rPr>
          <w:rFonts w:ascii="Sylfaen" w:hAnsi="Sylfaen"/>
          <w:sz w:val="24"/>
          <w:szCs w:val="24"/>
        </w:rPr>
      </w:pPr>
    </w:p>
    <w:p w14:paraId="16D5CB09" w14:textId="77777777" w:rsidR="002A49BF" w:rsidRPr="00E15E7D" w:rsidRDefault="002A49BF" w:rsidP="008C76E0">
      <w:pPr>
        <w:ind w:right="-1" w:firstLine="567"/>
        <w:jc w:val="both"/>
        <w:rPr>
          <w:rFonts w:ascii="Sylfaen" w:hAnsi="Sylfaen"/>
          <w:sz w:val="24"/>
          <w:szCs w:val="24"/>
        </w:rPr>
      </w:pPr>
    </w:p>
    <w:p w14:paraId="22DAE320" w14:textId="77777777" w:rsidR="002A49BF" w:rsidRPr="00E15E7D" w:rsidRDefault="002A49BF" w:rsidP="008C76E0">
      <w:pPr>
        <w:ind w:right="-1" w:firstLine="567"/>
        <w:jc w:val="both"/>
        <w:rPr>
          <w:rFonts w:ascii="Sylfaen" w:hAnsi="Sylfaen"/>
          <w:sz w:val="24"/>
          <w:szCs w:val="24"/>
        </w:rPr>
      </w:pPr>
    </w:p>
    <w:p w14:paraId="424807B6" w14:textId="77777777" w:rsidR="002A49BF" w:rsidRPr="00E15E7D" w:rsidRDefault="002A49BF" w:rsidP="008C76E0">
      <w:pPr>
        <w:ind w:right="-1" w:firstLine="567"/>
        <w:jc w:val="both"/>
        <w:rPr>
          <w:rFonts w:ascii="Sylfaen" w:hAnsi="Sylfaen"/>
          <w:sz w:val="24"/>
          <w:szCs w:val="24"/>
        </w:rPr>
      </w:pPr>
    </w:p>
    <w:p w14:paraId="605C96B9" w14:textId="77777777" w:rsidR="002A49BF" w:rsidRPr="00E15E7D" w:rsidRDefault="002A49BF" w:rsidP="008C76E0">
      <w:pPr>
        <w:ind w:right="-1" w:firstLine="567"/>
        <w:jc w:val="both"/>
        <w:rPr>
          <w:rFonts w:ascii="Sylfaen" w:hAnsi="Sylfaen"/>
          <w:sz w:val="24"/>
          <w:szCs w:val="24"/>
        </w:rPr>
      </w:pPr>
    </w:p>
    <w:p w14:paraId="5B0F2D98" w14:textId="77777777" w:rsidR="008C76E0" w:rsidRPr="00DD61E4" w:rsidRDefault="008C76E0" w:rsidP="008C76E0">
      <w:pPr>
        <w:ind w:right="-1" w:firstLine="567"/>
        <w:jc w:val="both"/>
        <w:rPr>
          <w:rFonts w:ascii="Sylfaen" w:hAnsi="Sylfaen"/>
          <w:sz w:val="24"/>
          <w:szCs w:val="24"/>
        </w:rPr>
      </w:pPr>
    </w:p>
    <w:p w14:paraId="7054F9C1" w14:textId="77777777" w:rsidR="008C76E0" w:rsidRPr="00DD61E4" w:rsidRDefault="008C76E0" w:rsidP="008C76E0">
      <w:pPr>
        <w:ind w:right="-1" w:firstLine="567"/>
        <w:jc w:val="both"/>
        <w:rPr>
          <w:rFonts w:ascii="Sylfaen" w:hAnsi="Sylfaen"/>
          <w:sz w:val="24"/>
          <w:szCs w:val="24"/>
        </w:rPr>
      </w:pPr>
    </w:p>
    <w:p w14:paraId="06FE63A4" w14:textId="77777777" w:rsidR="008C76E0" w:rsidRPr="00BD7577" w:rsidRDefault="008C76E0" w:rsidP="008C76E0">
      <w:pPr>
        <w:ind w:left="567" w:right="566"/>
        <w:jc w:val="center"/>
        <w:rPr>
          <w:rFonts w:ascii="Sylfaen" w:hAnsi="Sylfaen"/>
          <w:sz w:val="24"/>
          <w:szCs w:val="24"/>
        </w:rPr>
      </w:pPr>
      <w:r w:rsidRPr="00BD7577">
        <w:rPr>
          <w:rFonts w:ascii="Sylfaen" w:hAnsi="Sylfaen"/>
          <w:sz w:val="24"/>
          <w:szCs w:val="24"/>
        </w:rPr>
        <w:t xml:space="preserve">ԸՆԴՀԱՆՈՒՐ ԵԶՐԱԿԱՑՈՒԹՅՈՒՆԸ՝ </w:t>
      </w:r>
      <w:r w:rsidRPr="00BD7577">
        <w:rPr>
          <w:rFonts w:ascii="Sylfaen" w:hAnsi="Sylfaen"/>
          <w:sz w:val="24"/>
          <w:szCs w:val="24"/>
        </w:rPr>
        <w:br/>
        <w:t>ԱԴԲՄՖ-ի փակ մասի վերաբերյալ</w:t>
      </w:r>
    </w:p>
    <w:p w14:paraId="68414E3C"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2C6354D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9B9F43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DDC0DAB" w14:textId="77777777" w:rsidR="002A49BF" w:rsidRDefault="002A49BF">
      <w:pPr>
        <w:widowControl/>
        <w:rPr>
          <w:rFonts w:ascii="Sylfaen" w:hAnsi="Sylfaen"/>
          <w:sz w:val="24"/>
          <w:szCs w:val="24"/>
        </w:rPr>
      </w:pPr>
      <w:r>
        <w:rPr>
          <w:rFonts w:ascii="Sylfaen" w:hAnsi="Sylfaen"/>
          <w:sz w:val="24"/>
          <w:szCs w:val="24"/>
        </w:rPr>
        <w:br w:type="page"/>
      </w:r>
    </w:p>
    <w:p w14:paraId="2E0551D5"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lastRenderedPageBreak/>
        <w:t>11. Լրացում 2</w:t>
      </w:r>
    </w:p>
    <w:p w14:paraId="1D2123D6" w14:textId="77777777" w:rsidR="008C76E0" w:rsidRPr="00BD7577" w:rsidRDefault="008C76E0" w:rsidP="00780BC1">
      <w:pPr>
        <w:spacing w:after="160" w:line="360" w:lineRule="auto"/>
        <w:ind w:left="567" w:right="566"/>
        <w:jc w:val="center"/>
        <w:rPr>
          <w:rFonts w:ascii="Sylfaen" w:hAnsi="Sylfaen"/>
          <w:sz w:val="24"/>
          <w:szCs w:val="24"/>
        </w:rPr>
      </w:pPr>
      <w:r w:rsidRPr="00BD7577">
        <w:rPr>
          <w:rFonts w:ascii="Sylfaen" w:hAnsi="Sylfaen"/>
          <w:sz w:val="24"/>
          <w:szCs w:val="24"/>
        </w:rPr>
        <w:t xml:space="preserve">Դիզայնի ոլորտը </w:t>
      </w:r>
      <w:r w:rsidR="00C54D75">
        <w:rPr>
          <w:rFonts w:ascii="Sylfaen" w:hAnsi="Sylfaen"/>
          <w:sz w:val="24"/>
          <w:szCs w:val="24"/>
        </w:rPr>
        <w:t>և</w:t>
      </w:r>
      <w:r w:rsidRPr="00BD7577">
        <w:rPr>
          <w:rFonts w:ascii="Sylfaen" w:hAnsi="Sylfaen"/>
          <w:sz w:val="24"/>
          <w:szCs w:val="24"/>
        </w:rPr>
        <w:t xml:space="preserve"> փոփոխությունների կառավարման արձանագրությունները (եթե կիրառելի է)</w:t>
      </w:r>
    </w:p>
    <w:p w14:paraId="1B6878D9" w14:textId="02A6515B" w:rsidR="008C76E0" w:rsidRPr="00BD7577"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տվյալ բաժնում հարկ է համառոտ ընդհանրացնել տվյալ դեղապատրաստուկի՝ գրանցման դոսյեում համաձայնեցված </w:t>
      </w:r>
      <w:r w:rsidR="00C54D75">
        <w:rPr>
          <w:rFonts w:ascii="Sylfaen" w:hAnsi="Sylfaen"/>
          <w:sz w:val="24"/>
          <w:szCs w:val="24"/>
        </w:rPr>
        <w:t>և</w:t>
      </w:r>
      <w:r w:rsidRPr="00BD7577">
        <w:rPr>
          <w:rFonts w:ascii="Sylfaen" w:hAnsi="Sylfaen"/>
          <w:sz w:val="24"/>
          <w:szCs w:val="24"/>
        </w:rPr>
        <w:t xml:space="preserve"> հետգրանցումային էտապում դրանց ճկուն կառավարումը ապահովելու համար անհրաժեշտ դեղաձ</w:t>
      </w:r>
      <w:r w:rsidR="00C54D75">
        <w:rPr>
          <w:rFonts w:ascii="Sylfaen" w:hAnsi="Sylfaen"/>
          <w:sz w:val="24"/>
          <w:szCs w:val="24"/>
        </w:rPr>
        <w:t>և</w:t>
      </w:r>
      <w:r w:rsidRPr="00BD7577">
        <w:rPr>
          <w:rFonts w:ascii="Sylfaen" w:hAnsi="Sylfaen"/>
          <w:sz w:val="24"/>
          <w:szCs w:val="24"/>
        </w:rPr>
        <w:t xml:space="preserve">ի մշակման </w:t>
      </w:r>
      <w:r w:rsidR="00C54D75">
        <w:rPr>
          <w:rFonts w:ascii="Sylfaen" w:hAnsi="Sylfaen"/>
          <w:sz w:val="24"/>
          <w:szCs w:val="24"/>
        </w:rPr>
        <w:t>և</w:t>
      </w:r>
      <w:r w:rsidRPr="00BD7577">
        <w:rPr>
          <w:rFonts w:ascii="Sylfaen" w:hAnsi="Sylfaen"/>
          <w:sz w:val="24"/>
          <w:szCs w:val="24"/>
        </w:rPr>
        <w:t xml:space="preserve"> նախագծման, դրա որակի, անվտանգության </w:t>
      </w:r>
      <w:r w:rsidR="00C54D75">
        <w:rPr>
          <w:rFonts w:ascii="Sylfaen" w:hAnsi="Sylfaen"/>
          <w:sz w:val="24"/>
          <w:szCs w:val="24"/>
        </w:rPr>
        <w:t>և</w:t>
      </w:r>
      <w:r w:rsidRPr="00BD7577">
        <w:rPr>
          <w:rFonts w:ascii="Sylfaen" w:hAnsi="Sylfaen"/>
          <w:sz w:val="24"/>
          <w:szCs w:val="24"/>
        </w:rPr>
        <w:t xml:space="preserve"> արդյունավետության բոլոր ասպեկտները։ Հետագայում լրացումը կարող է օգտագործվել փորձագետների </w:t>
      </w:r>
      <w:r w:rsidR="00C54D75">
        <w:rPr>
          <w:rFonts w:ascii="Sylfaen" w:hAnsi="Sylfaen"/>
          <w:sz w:val="24"/>
          <w:szCs w:val="24"/>
        </w:rPr>
        <w:t>և</w:t>
      </w:r>
      <w:r w:rsidRPr="00BD7577">
        <w:rPr>
          <w:rFonts w:ascii="Sylfaen" w:hAnsi="Sylfaen"/>
          <w:sz w:val="24"/>
          <w:szCs w:val="24"/>
        </w:rPr>
        <w:t xml:space="preserve"> դեղագործական տեսուչների կողմից՝ որպես փոփոխություններ կատարելու հետգրանցումային </w:t>
      </w:r>
      <w:r w:rsidR="009F5829">
        <w:rPr>
          <w:rFonts w:ascii="Sylfaen" w:hAnsi="Sylfaen"/>
          <w:sz w:val="24"/>
          <w:szCs w:val="24"/>
        </w:rPr>
        <w:t>դիմումներ</w:t>
      </w:r>
      <w:r w:rsidRPr="00BD7577">
        <w:rPr>
          <w:rFonts w:ascii="Sylfaen" w:hAnsi="Sylfaen"/>
          <w:sz w:val="24"/>
          <w:szCs w:val="24"/>
        </w:rPr>
        <w:t>ի գնահատման հիմք։</w:t>
      </w:r>
    </w:p>
    <w:p w14:paraId="11F0E7D7" w14:textId="77777777" w:rsidR="008C76E0" w:rsidRPr="00BD7577" w:rsidRDefault="008C76E0" w:rsidP="00780BC1">
      <w:pPr>
        <w:spacing w:after="160" w:line="360" w:lineRule="auto"/>
        <w:ind w:right="-1"/>
        <w:rPr>
          <w:rFonts w:ascii="Sylfaen" w:hAnsi="Sylfaen"/>
          <w:sz w:val="24"/>
          <w:szCs w:val="24"/>
        </w:rPr>
      </w:pPr>
    </w:p>
    <w:p w14:paraId="61FACFC3" w14:textId="77777777" w:rsidR="008C76E0" w:rsidRPr="00BD7577" w:rsidRDefault="008C76E0" w:rsidP="00780BC1">
      <w:pPr>
        <w:spacing w:after="160" w:line="360" w:lineRule="auto"/>
        <w:ind w:right="-1"/>
        <w:jc w:val="center"/>
        <w:rPr>
          <w:rFonts w:ascii="Sylfaen" w:hAnsi="Sylfaen"/>
          <w:sz w:val="24"/>
          <w:szCs w:val="24"/>
        </w:rPr>
      </w:pPr>
      <w:r w:rsidRPr="00BD7577">
        <w:rPr>
          <w:rFonts w:ascii="Sylfaen" w:hAnsi="Sylfaen"/>
          <w:sz w:val="24"/>
          <w:szCs w:val="24"/>
        </w:rPr>
        <w:t>1. Ակտիվ դեղագործական բաղադրամասը</w:t>
      </w:r>
    </w:p>
    <w:p w14:paraId="6E014F91"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t>ԱԴԲ-ի դիզայնի ոլորտը։</w:t>
      </w:r>
    </w:p>
    <w:p w14:paraId="435664D0"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Դիզայնի ոլորտը (բնութագրերն ու դրանց փոփոխությունների համապատասխան տիրույթները) հարկ է ներկայացնել աղյուսակների ձ</w:t>
      </w:r>
      <w:r w:rsidR="00C54D75">
        <w:rPr>
          <w:rFonts w:ascii="Sylfaen" w:hAnsi="Sylfaen"/>
          <w:sz w:val="24"/>
          <w:szCs w:val="24"/>
        </w:rPr>
        <w:t>և</w:t>
      </w:r>
      <w:r w:rsidRPr="00BD7577">
        <w:rPr>
          <w:rFonts w:ascii="Sylfaen" w:hAnsi="Sylfaen"/>
          <w:sz w:val="24"/>
          <w:szCs w:val="24"/>
        </w:rPr>
        <w:t>աչափով։</w:t>
      </w:r>
    </w:p>
    <w:p w14:paraId="64665235"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1.2.</w:t>
      </w:r>
      <w:r w:rsidRPr="00BD7577">
        <w:rPr>
          <w:rFonts w:ascii="Sylfaen" w:hAnsi="Sylfaen"/>
          <w:sz w:val="24"/>
          <w:szCs w:val="24"/>
        </w:rPr>
        <w:tab/>
        <w:t>ԱԴԲ-ի փոփոխությունների կառավարման արձանագրությունները։</w:t>
      </w:r>
    </w:p>
    <w:p w14:paraId="446CA281"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Հարկ է նկարագրել համաձայնեցված արձանագրության մեջ ներառված փոփոխությունները, ինչպես նա</w:t>
      </w:r>
      <w:r w:rsidR="00C54D75">
        <w:rPr>
          <w:rFonts w:ascii="Sylfaen" w:hAnsi="Sylfaen"/>
          <w:sz w:val="24"/>
          <w:szCs w:val="24"/>
        </w:rPr>
        <w:t>և</w:t>
      </w:r>
      <w:r w:rsidRPr="00BD7577">
        <w:rPr>
          <w:rFonts w:ascii="Sylfaen" w:hAnsi="Sylfaen"/>
          <w:sz w:val="24"/>
          <w:szCs w:val="24"/>
        </w:rPr>
        <w:t xml:space="preserve"> շեղումների համաձայնեցված սահմանների կատեգորիաները՝ փոփոխությունների ներդրման վերաբերյալ հաշվետվությունների համար։</w:t>
      </w:r>
    </w:p>
    <w:p w14:paraId="16A3143E" w14:textId="77777777" w:rsidR="008C76E0" w:rsidRPr="00BD7577" w:rsidRDefault="008C76E0" w:rsidP="00780BC1">
      <w:pPr>
        <w:spacing w:after="160" w:line="360" w:lineRule="auto"/>
        <w:rPr>
          <w:rFonts w:ascii="Sylfaen" w:hAnsi="Sylfaen"/>
          <w:sz w:val="24"/>
          <w:szCs w:val="24"/>
        </w:rPr>
      </w:pPr>
    </w:p>
    <w:p w14:paraId="094C5F26"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Դեղապատրաստուկը</w:t>
      </w:r>
    </w:p>
    <w:p w14:paraId="51EAF95D"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2.1.</w:t>
      </w:r>
      <w:r w:rsidRPr="00BD7577">
        <w:rPr>
          <w:rFonts w:ascii="Sylfaen" w:hAnsi="Sylfaen"/>
          <w:sz w:val="24"/>
          <w:szCs w:val="24"/>
        </w:rPr>
        <w:tab/>
        <w:t>Դեղապատրաստուկի դիզայնի ոլորտը:</w:t>
      </w:r>
    </w:p>
    <w:p w14:paraId="3E6D4658"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Աղյուսակների ձ</w:t>
      </w:r>
      <w:r w:rsidR="00C54D75">
        <w:rPr>
          <w:rFonts w:ascii="Sylfaen" w:hAnsi="Sylfaen"/>
          <w:sz w:val="24"/>
          <w:szCs w:val="24"/>
        </w:rPr>
        <w:t>և</w:t>
      </w:r>
      <w:r w:rsidRPr="00BD7577">
        <w:rPr>
          <w:rFonts w:ascii="Sylfaen" w:hAnsi="Sylfaen"/>
          <w:sz w:val="24"/>
          <w:szCs w:val="24"/>
        </w:rPr>
        <w:t>աչափով դիզայնի ոլորտները (բնութագրերն ու դրանց փոփոխությունների համապատասխան տիրույթները) ներկայացնելը։</w:t>
      </w:r>
    </w:p>
    <w:p w14:paraId="0130647B" w14:textId="77777777" w:rsidR="008C76E0" w:rsidRPr="00BD7577" w:rsidRDefault="008C76E0" w:rsidP="00780BC1">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2.2.</w:t>
      </w:r>
      <w:r w:rsidRPr="00BD7577">
        <w:rPr>
          <w:rFonts w:ascii="Sylfaen" w:hAnsi="Sylfaen"/>
          <w:sz w:val="24"/>
          <w:szCs w:val="24"/>
        </w:rPr>
        <w:tab/>
        <w:t>Դեղաապատրաստուկի մասով փոփոխությունների կառավարման արձանագրությունները։</w:t>
      </w:r>
    </w:p>
    <w:p w14:paraId="388B733D" w14:textId="0871BA31" w:rsidR="008C76E0" w:rsidRDefault="008C76E0" w:rsidP="00780BC1">
      <w:pPr>
        <w:spacing w:after="160" w:line="360" w:lineRule="auto"/>
        <w:ind w:right="-1" w:firstLine="567"/>
        <w:jc w:val="both"/>
        <w:rPr>
          <w:rFonts w:ascii="Sylfaen" w:hAnsi="Sylfaen"/>
          <w:sz w:val="24"/>
          <w:szCs w:val="24"/>
        </w:rPr>
      </w:pPr>
      <w:r w:rsidRPr="00BD7577">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BD7577">
        <w:rPr>
          <w:rFonts w:ascii="Sylfaen" w:hAnsi="Sylfaen"/>
          <w:sz w:val="24"/>
          <w:szCs w:val="24"/>
        </w:rPr>
        <w:t xml:space="preserve"> համաձայնեցված վարիացիաների կատեգորիաները՝ փոփոխությունների ներդրման վերաբերյալ հաշվետվությունների համար։</w:t>
      </w:r>
    </w:p>
    <w:p w14:paraId="4A170D86"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0E00A718" w14:textId="77777777" w:rsidR="003B4F5C" w:rsidRPr="00BD7577" w:rsidRDefault="003B4F5C" w:rsidP="00780BC1">
      <w:pPr>
        <w:spacing w:after="160" w:line="360" w:lineRule="auto"/>
        <w:ind w:right="-1" w:firstLine="567"/>
        <w:jc w:val="both"/>
        <w:rPr>
          <w:rFonts w:ascii="Sylfaen" w:hAnsi="Sylfaen"/>
          <w:sz w:val="24"/>
          <w:szCs w:val="24"/>
        </w:rPr>
      </w:pPr>
    </w:p>
    <w:p w14:paraId="58D0B99C" w14:textId="77777777" w:rsidR="00D91652" w:rsidRPr="00E15E7D" w:rsidRDefault="00D91652" w:rsidP="008C76E0">
      <w:pPr>
        <w:rPr>
          <w:rFonts w:ascii="Sylfaen" w:eastAsia="Times New Roman" w:hAnsi="Sylfaen" w:cs="Times New Roman"/>
          <w:sz w:val="24"/>
          <w:szCs w:val="24"/>
        </w:rPr>
      </w:pPr>
    </w:p>
    <w:p w14:paraId="5A6D81CB" w14:textId="77777777" w:rsidR="00D91652" w:rsidRPr="00E15E7D" w:rsidRDefault="00D91652" w:rsidP="008C76E0">
      <w:pPr>
        <w:rPr>
          <w:rFonts w:ascii="Sylfaen" w:eastAsia="Times New Roman" w:hAnsi="Sylfaen" w:cs="Times New Roman"/>
          <w:sz w:val="24"/>
          <w:szCs w:val="24"/>
        </w:rPr>
        <w:sectPr w:rsidR="00D91652" w:rsidRPr="00E15E7D" w:rsidSect="00D91652">
          <w:pgSz w:w="11907" w:h="16839" w:code="9"/>
          <w:pgMar w:top="1418" w:right="1418" w:bottom="1418" w:left="1418" w:header="709" w:footer="709" w:gutter="0"/>
          <w:pgNumType w:start="1"/>
          <w:cols w:space="708"/>
          <w:titlePg/>
          <w:docGrid w:linePitch="360"/>
        </w:sectPr>
      </w:pPr>
    </w:p>
    <w:p w14:paraId="361926B5"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lastRenderedPageBreak/>
        <w:t>ՀԱՎԵԼՎԱԾ ԹԻՎ 9</w:t>
      </w:r>
    </w:p>
    <w:p w14:paraId="7DEEBF0C" w14:textId="77777777" w:rsidR="008C76E0" w:rsidRPr="00BD7577" w:rsidRDefault="008C76E0" w:rsidP="00780BC1">
      <w:pPr>
        <w:spacing w:after="160" w:line="360" w:lineRule="auto"/>
        <w:ind w:left="4536"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4B2432A2" w14:textId="77777777" w:rsidR="008C76E0" w:rsidRPr="00BD7577" w:rsidRDefault="008C76E0" w:rsidP="00780BC1">
      <w:pPr>
        <w:spacing w:after="160" w:line="360" w:lineRule="auto"/>
        <w:ind w:right="-1"/>
        <w:jc w:val="center"/>
        <w:rPr>
          <w:rFonts w:ascii="Sylfaen" w:hAnsi="Sylfaen"/>
          <w:sz w:val="24"/>
          <w:szCs w:val="24"/>
        </w:rPr>
      </w:pPr>
    </w:p>
    <w:p w14:paraId="46B753AF"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b w:val="0"/>
          <w:sz w:val="24"/>
          <w:szCs w:val="24"/>
          <w:lang w:val="hy-AM"/>
        </w:rPr>
      </w:pPr>
      <w:bookmarkStart w:id="2" w:name="bookmark3"/>
      <w:r w:rsidRPr="00FE7941">
        <w:rPr>
          <w:rStyle w:val="Heading12Spacing1pt"/>
          <w:rFonts w:ascii="Sylfaen" w:hAnsi="Sylfaen"/>
          <w:b/>
          <w:spacing w:val="0"/>
          <w:sz w:val="24"/>
          <w:szCs w:val="24"/>
        </w:rPr>
        <w:t>ՁԵՎ</w:t>
      </w:r>
      <w:bookmarkEnd w:id="2"/>
    </w:p>
    <w:p w14:paraId="02122A75" w14:textId="77777777" w:rsidR="008C76E0" w:rsidRPr="008C76E0" w:rsidRDefault="008C76E0" w:rsidP="00780BC1">
      <w:pPr>
        <w:pStyle w:val="Heading120"/>
        <w:shd w:val="clear" w:color="auto" w:fill="auto"/>
        <w:spacing w:before="0" w:after="160" w:line="360" w:lineRule="auto"/>
        <w:ind w:left="567" w:right="566"/>
        <w:outlineLvl w:val="9"/>
        <w:rPr>
          <w:rFonts w:ascii="Sylfaen" w:hAnsi="Sylfaen"/>
          <w:sz w:val="24"/>
          <w:szCs w:val="24"/>
          <w:lang w:val="hy-AM"/>
        </w:rPr>
      </w:pPr>
      <w:bookmarkStart w:id="3" w:name="bookmark4"/>
      <w:r w:rsidRPr="008C76E0">
        <w:rPr>
          <w:rFonts w:ascii="Sylfaen" w:hAnsi="Sylfaen"/>
          <w:sz w:val="24"/>
          <w:szCs w:val="24"/>
          <w:lang w:val="hy-AM"/>
        </w:rPr>
        <w:t>նոր ակտիվ դեղագործական բաղադրամասի կարգավիճակ տալու վերաբերյալ փորձագիտական հաշվետվության</w:t>
      </w:r>
      <w:bookmarkEnd w:id="3"/>
    </w:p>
    <w:p w14:paraId="0DF381BB" w14:textId="77777777" w:rsidR="008C76E0" w:rsidRPr="008C76E0" w:rsidRDefault="008C76E0" w:rsidP="00780BC1">
      <w:pPr>
        <w:pStyle w:val="Heading120"/>
        <w:shd w:val="clear" w:color="auto" w:fill="auto"/>
        <w:spacing w:before="0" w:after="160" w:line="360" w:lineRule="auto"/>
        <w:outlineLvl w:val="9"/>
        <w:rPr>
          <w:rFonts w:ascii="Sylfaen" w:hAnsi="Sylfaen"/>
          <w:sz w:val="24"/>
          <w:szCs w:val="24"/>
          <w:lang w:val="hy-AM"/>
        </w:rPr>
      </w:pPr>
    </w:p>
    <w:p w14:paraId="51C49164"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Լրացման վերաբերյալ ցուցումներ՝ տեքստի պատրաստի ձ</w:t>
      </w:r>
      <w:r w:rsidR="00C54D75">
        <w:rPr>
          <w:rFonts w:ascii="Sylfaen" w:hAnsi="Sylfaen"/>
          <w:sz w:val="24"/>
          <w:szCs w:val="24"/>
        </w:rPr>
        <w:t>և</w:t>
      </w:r>
      <w:r w:rsidRPr="00BD7577">
        <w:rPr>
          <w:rFonts w:ascii="Sylfaen" w:hAnsi="Sylfaen"/>
          <w:sz w:val="24"/>
          <w:szCs w:val="24"/>
        </w:rPr>
        <w:t>անմուշներն օգտագործելիս դրանք սույն ձ</w:t>
      </w:r>
      <w:r w:rsidR="00C54D75">
        <w:rPr>
          <w:rFonts w:ascii="Sylfaen" w:hAnsi="Sylfaen"/>
          <w:sz w:val="24"/>
          <w:szCs w:val="24"/>
        </w:rPr>
        <w:t>և</w:t>
      </w:r>
      <w:r w:rsidRPr="00BD7577">
        <w:rPr>
          <w:rFonts w:ascii="Sylfaen" w:hAnsi="Sylfaen"/>
          <w:sz w:val="24"/>
          <w:szCs w:val="24"/>
        </w:rPr>
        <w:t xml:space="preserve">ում առանձնացված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 ըստ նշված հատկության (պարամետրի) ներմուծելու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 եթե ձ</w:t>
      </w:r>
      <w:r w:rsidR="00C54D75">
        <w:rPr>
          <w:rFonts w:ascii="Sylfaen" w:hAnsi="Sylfaen"/>
          <w:sz w:val="24"/>
          <w:szCs w:val="24"/>
        </w:rPr>
        <w:t>և</w:t>
      </w:r>
      <w:r w:rsidRPr="00BD7577">
        <w:rPr>
          <w:rFonts w:ascii="Sylfaen" w:hAnsi="Sylfaen"/>
          <w:sz w:val="24"/>
          <w:szCs w:val="24"/>
        </w:rPr>
        <w:t>ի մեջ առաջարկվում է տեքստի պատրաստի հատվածների մի քանի տարբերակների ընտրություն, ապա ընտրության պայմանները ներկայացվում են քառակուսի փակագծերում [ ]՝ սովորական տառատեսակով։</w:t>
      </w:r>
    </w:p>
    <w:p w14:paraId="7D0A8B7B" w14:textId="77777777" w:rsidR="008C76E0" w:rsidRPr="00BD7577" w:rsidRDefault="008C76E0" w:rsidP="00780BC1">
      <w:pPr>
        <w:spacing w:after="160" w:line="360" w:lineRule="auto"/>
        <w:rPr>
          <w:rFonts w:ascii="Sylfaen" w:eastAsia="Times New Roman" w:hAnsi="Sylfaen" w:cs="Times New Roman"/>
          <w:sz w:val="24"/>
          <w:szCs w:val="24"/>
        </w:rPr>
      </w:pPr>
      <w:r w:rsidRPr="00BD7577">
        <w:rPr>
          <w:rFonts w:ascii="Sylfaen" w:hAnsi="Sylfaen"/>
          <w:sz w:val="24"/>
          <w:szCs w:val="24"/>
        </w:rPr>
        <w:br w:type="page"/>
      </w:r>
    </w:p>
    <w:p w14:paraId="1895EBF1"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(ձ</w:t>
      </w:r>
      <w:r w:rsidR="00C54D75">
        <w:rPr>
          <w:rFonts w:ascii="Sylfaen" w:hAnsi="Sylfaen"/>
          <w:sz w:val="24"/>
          <w:szCs w:val="24"/>
        </w:rPr>
        <w:t>և</w:t>
      </w:r>
      <w:r w:rsidRPr="00BD7577">
        <w:rPr>
          <w:rFonts w:ascii="Sylfaen" w:hAnsi="Sylfaen"/>
          <w:sz w:val="24"/>
          <w:szCs w:val="24"/>
        </w:rPr>
        <w:t>)</w:t>
      </w:r>
    </w:p>
    <w:p w14:paraId="4A893293"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ՓՈՐՁԱԳԻՏԱԿԱՆ ՀԱՇՎԵՏՎՈՒԹՅՈՒՆ</w:t>
      </w:r>
    </w:p>
    <w:p w14:paraId="0C6609D2" w14:textId="77777777" w:rsidR="008C76E0" w:rsidRPr="008C76E0" w:rsidRDefault="008C76E0" w:rsidP="00780BC1">
      <w:pPr>
        <w:pStyle w:val="Bodytext40"/>
        <w:shd w:val="clear" w:color="auto" w:fill="auto"/>
        <w:spacing w:before="0" w:after="160" w:line="360" w:lineRule="auto"/>
        <w:ind w:left="1701"/>
        <w:jc w:val="left"/>
        <w:rPr>
          <w:rFonts w:ascii="Sylfaen" w:hAnsi="Sylfaen"/>
          <w:b w:val="0"/>
          <w:sz w:val="24"/>
          <w:szCs w:val="24"/>
          <w:lang w:val="hy-AM"/>
        </w:rPr>
      </w:pPr>
      <w:r w:rsidRPr="008C76E0">
        <w:rPr>
          <w:rFonts w:ascii="Sylfaen" w:hAnsi="Sylfaen"/>
          <w:b w:val="0"/>
          <w:sz w:val="24"/>
          <w:szCs w:val="24"/>
          <w:lang w:val="hy-AM"/>
        </w:rPr>
        <w:t>բաղադրության մեջ մտնող ___________________________________</w:t>
      </w:r>
    </w:p>
    <w:p w14:paraId="41937DA7" w14:textId="77777777" w:rsidR="008C76E0" w:rsidRPr="008C76E0" w:rsidRDefault="008C76E0" w:rsidP="00780BC1">
      <w:pPr>
        <w:pStyle w:val="Bodytext40"/>
        <w:shd w:val="clear" w:color="auto" w:fill="auto"/>
        <w:spacing w:before="0" w:after="160" w:line="360" w:lineRule="auto"/>
        <w:ind w:left="4253"/>
        <w:rPr>
          <w:rFonts w:ascii="Sylfaen" w:hAnsi="Sylfaen"/>
          <w:b w:val="0"/>
          <w:sz w:val="24"/>
          <w:szCs w:val="24"/>
          <w:lang w:val="hy-AM"/>
        </w:rPr>
      </w:pPr>
      <w:r w:rsidRPr="008C76E0">
        <w:rPr>
          <w:rFonts w:ascii="Sylfaen" w:hAnsi="Sylfaen"/>
          <w:b w:val="0"/>
          <w:sz w:val="24"/>
          <w:szCs w:val="24"/>
          <w:lang w:val="hy-AM"/>
        </w:rPr>
        <w:t>(դեղապատրաստուկի անվանումը)</w:t>
      </w:r>
    </w:p>
    <w:p w14:paraId="52484AA1"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նոր ակտիվ դեղագործական բաղադրամասի ՆԱԴԲ) —————————————</w:t>
      </w:r>
    </w:p>
    <w:p w14:paraId="3A63EFF6" w14:textId="77777777" w:rsidR="008C76E0" w:rsidRPr="00BD7577" w:rsidRDefault="008C76E0" w:rsidP="00780BC1">
      <w:pPr>
        <w:spacing w:after="160" w:line="360" w:lineRule="auto"/>
        <w:ind w:left="5670"/>
        <w:rPr>
          <w:rFonts w:ascii="Sylfaen" w:hAnsi="Sylfaen"/>
          <w:sz w:val="24"/>
          <w:szCs w:val="24"/>
        </w:rPr>
      </w:pPr>
      <w:r w:rsidRPr="00BD7577">
        <w:rPr>
          <w:rFonts w:ascii="Sylfaen" w:hAnsi="Sylfaen"/>
          <w:sz w:val="24"/>
          <w:szCs w:val="24"/>
        </w:rPr>
        <w:t>(ակտիվ դեղագործական բաղադրամասի անվանումը)</w:t>
      </w:r>
    </w:p>
    <w:p w14:paraId="26F9724E" w14:textId="77777777" w:rsidR="008C76E0" w:rsidRPr="008C76E0" w:rsidRDefault="008C76E0" w:rsidP="00780BC1">
      <w:pPr>
        <w:pStyle w:val="Bodytext4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կարգավիճակ տալու մասին</w:t>
      </w:r>
    </w:p>
    <w:p w14:paraId="4AA2EE2E" w14:textId="77777777" w:rsidR="008C76E0" w:rsidRPr="008C76E0" w:rsidRDefault="008C76E0" w:rsidP="008C76E0">
      <w:pPr>
        <w:pStyle w:val="Bodytext40"/>
        <w:shd w:val="clear" w:color="auto" w:fill="auto"/>
        <w:spacing w:before="0" w:after="160" w:line="360" w:lineRule="auto"/>
        <w:ind w:right="-1"/>
        <w:rPr>
          <w:rFonts w:ascii="Sylfaen" w:hAnsi="Sylfaen"/>
          <w:sz w:val="24"/>
          <w:szCs w:val="24"/>
          <w:lang w:val="hy-AM"/>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5330"/>
        <w:gridCol w:w="4300"/>
      </w:tblGrid>
      <w:tr w:rsidR="008C76E0" w:rsidRPr="00BD7577" w14:paraId="6F5D1841" w14:textId="77777777" w:rsidTr="008C76E0">
        <w:trPr>
          <w:jc w:val="center"/>
        </w:trPr>
        <w:tc>
          <w:tcPr>
            <w:tcW w:w="5330" w:type="dxa"/>
            <w:tcBorders>
              <w:top w:val="single" w:sz="4" w:space="0" w:color="auto"/>
              <w:left w:val="single" w:sz="4" w:space="0" w:color="auto"/>
            </w:tcBorders>
            <w:shd w:val="clear" w:color="auto" w:fill="FFFFFF"/>
          </w:tcPr>
          <w:p w14:paraId="67983E5D"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Փորձագետը՝</w:t>
            </w:r>
          </w:p>
        </w:tc>
        <w:tc>
          <w:tcPr>
            <w:tcW w:w="4299" w:type="dxa"/>
            <w:tcBorders>
              <w:top w:val="single" w:sz="4" w:space="0" w:color="auto"/>
              <w:right w:val="single" w:sz="4" w:space="0" w:color="auto"/>
            </w:tcBorders>
            <w:shd w:val="clear" w:color="auto" w:fill="FFFFFF"/>
          </w:tcPr>
          <w:p w14:paraId="569D65F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1D094428" w14:textId="77777777" w:rsidTr="008C76E0">
        <w:trPr>
          <w:jc w:val="center"/>
        </w:trPr>
        <w:tc>
          <w:tcPr>
            <w:tcW w:w="5330" w:type="dxa"/>
            <w:tcBorders>
              <w:top w:val="single" w:sz="4" w:space="0" w:color="auto"/>
              <w:left w:val="single" w:sz="4" w:space="0" w:color="auto"/>
            </w:tcBorders>
            <w:shd w:val="clear" w:color="auto" w:fill="FFFFFF"/>
          </w:tcPr>
          <w:p w14:paraId="617874EA"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Ընթացակարգի սկիզբը՝</w:t>
            </w:r>
          </w:p>
        </w:tc>
        <w:tc>
          <w:tcPr>
            <w:tcW w:w="4299" w:type="dxa"/>
            <w:tcBorders>
              <w:top w:val="single" w:sz="4" w:space="0" w:color="auto"/>
              <w:right w:val="single" w:sz="4" w:space="0" w:color="auto"/>
            </w:tcBorders>
            <w:shd w:val="clear" w:color="auto" w:fill="FFFFFF"/>
          </w:tcPr>
          <w:p w14:paraId="652A263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4A37FC" w14:textId="77777777" w:rsidTr="008C76E0">
        <w:trPr>
          <w:jc w:val="center"/>
        </w:trPr>
        <w:tc>
          <w:tcPr>
            <w:tcW w:w="5330" w:type="dxa"/>
            <w:tcBorders>
              <w:top w:val="single" w:sz="4" w:space="0" w:color="auto"/>
              <w:left w:val="single" w:sz="4" w:space="0" w:color="auto"/>
            </w:tcBorders>
            <w:shd w:val="clear" w:color="auto" w:fill="FFFFFF"/>
          </w:tcPr>
          <w:p w14:paraId="0788782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Սույն հաշվետվության ամսաթիվը՝</w:t>
            </w:r>
          </w:p>
        </w:tc>
        <w:tc>
          <w:tcPr>
            <w:tcW w:w="4299" w:type="dxa"/>
            <w:tcBorders>
              <w:top w:val="single" w:sz="4" w:space="0" w:color="auto"/>
              <w:right w:val="single" w:sz="4" w:space="0" w:color="auto"/>
            </w:tcBorders>
            <w:shd w:val="clear" w:color="auto" w:fill="FFFFFF"/>
          </w:tcPr>
          <w:p w14:paraId="1975CD1B"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9931C37" w14:textId="77777777" w:rsidTr="008C76E0">
        <w:trPr>
          <w:jc w:val="center"/>
        </w:trPr>
        <w:tc>
          <w:tcPr>
            <w:tcW w:w="5330" w:type="dxa"/>
            <w:tcBorders>
              <w:top w:val="single" w:sz="4" w:space="0" w:color="auto"/>
              <w:left w:val="single" w:sz="4" w:space="0" w:color="auto"/>
            </w:tcBorders>
            <w:shd w:val="clear" w:color="auto" w:fill="FFFFFF"/>
          </w:tcPr>
          <w:p w14:paraId="55529AB5"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299" w:type="dxa"/>
            <w:tcBorders>
              <w:top w:val="single" w:sz="4" w:space="0" w:color="auto"/>
              <w:right w:val="single" w:sz="4" w:space="0" w:color="auto"/>
            </w:tcBorders>
            <w:shd w:val="clear" w:color="auto" w:fill="FFFFFF"/>
          </w:tcPr>
          <w:p w14:paraId="5D05FB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76CA0F6" w14:textId="77777777" w:rsidTr="008C76E0">
        <w:trPr>
          <w:jc w:val="center"/>
        </w:trPr>
        <w:tc>
          <w:tcPr>
            <w:tcW w:w="9629" w:type="dxa"/>
            <w:gridSpan w:val="2"/>
            <w:tcBorders>
              <w:top w:val="single" w:sz="4" w:space="0" w:color="auto"/>
            </w:tcBorders>
            <w:shd w:val="clear" w:color="auto" w:fill="FFFFFF"/>
            <w:vAlign w:val="center"/>
          </w:tcPr>
          <w:p w14:paraId="2BAE43D2" w14:textId="77777777" w:rsidR="008C76E0" w:rsidRPr="00BD7577" w:rsidRDefault="008C76E0" w:rsidP="008C76E0">
            <w:pPr>
              <w:pStyle w:val="Bodytext180"/>
              <w:shd w:val="clear" w:color="auto" w:fill="auto"/>
              <w:spacing w:before="0" w:after="120" w:line="240" w:lineRule="auto"/>
              <w:ind w:left="130" w:right="79" w:firstLine="0"/>
              <w:jc w:val="center"/>
              <w:rPr>
                <w:rFonts w:ascii="Sylfaen" w:hAnsi="Sylfaen"/>
                <w:b w:val="0"/>
                <w:sz w:val="24"/>
                <w:szCs w:val="24"/>
              </w:rPr>
            </w:pPr>
            <w:r w:rsidRPr="00BD7577">
              <w:rPr>
                <w:rStyle w:val="Bodytext295pt"/>
                <w:rFonts w:ascii="Sylfaen" w:hAnsi="Sylfaen"/>
                <w:spacing w:val="0"/>
                <w:sz w:val="24"/>
                <w:szCs w:val="24"/>
              </w:rPr>
              <w:t>Վարչական տեղեկատվությունը</w:t>
            </w:r>
          </w:p>
        </w:tc>
      </w:tr>
      <w:tr w:rsidR="008C76E0" w:rsidRPr="00BD7577" w14:paraId="7A232B24" w14:textId="77777777" w:rsidTr="008C76E0">
        <w:trPr>
          <w:jc w:val="center"/>
        </w:trPr>
        <w:tc>
          <w:tcPr>
            <w:tcW w:w="5330" w:type="dxa"/>
            <w:tcBorders>
              <w:top w:val="single" w:sz="4" w:space="0" w:color="auto"/>
              <w:left w:val="single" w:sz="4" w:space="0" w:color="auto"/>
            </w:tcBorders>
            <w:shd w:val="clear" w:color="auto" w:fill="FFFFFF"/>
            <w:vAlign w:val="bottom"/>
          </w:tcPr>
          <w:p w14:paraId="7D67D6C1" w14:textId="63064BF1"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299" w:type="dxa"/>
            <w:tcBorders>
              <w:top w:val="single" w:sz="4" w:space="0" w:color="auto"/>
              <w:left w:val="single" w:sz="4" w:space="0" w:color="auto"/>
              <w:right w:val="single" w:sz="4" w:space="0" w:color="auto"/>
            </w:tcBorders>
            <w:shd w:val="clear" w:color="auto" w:fill="FFFFFF"/>
          </w:tcPr>
          <w:p w14:paraId="13A69EB4"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12F4B60" w14:textId="77777777" w:rsidTr="008C76E0">
        <w:trPr>
          <w:jc w:val="center"/>
        </w:trPr>
        <w:tc>
          <w:tcPr>
            <w:tcW w:w="5330" w:type="dxa"/>
            <w:tcBorders>
              <w:top w:val="single" w:sz="4" w:space="0" w:color="auto"/>
              <w:left w:val="single" w:sz="4" w:space="0" w:color="auto"/>
            </w:tcBorders>
            <w:shd w:val="clear" w:color="auto" w:fill="FFFFFF"/>
            <w:vAlign w:val="bottom"/>
          </w:tcPr>
          <w:p w14:paraId="323AF66B"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299" w:type="dxa"/>
            <w:tcBorders>
              <w:top w:val="single" w:sz="4" w:space="0" w:color="auto"/>
              <w:left w:val="single" w:sz="4" w:space="0" w:color="auto"/>
              <w:right w:val="single" w:sz="4" w:space="0" w:color="auto"/>
            </w:tcBorders>
            <w:shd w:val="clear" w:color="auto" w:fill="FFFFFF"/>
          </w:tcPr>
          <w:p w14:paraId="1B0C47E8"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216F20B6" w14:textId="77777777" w:rsidTr="008C76E0">
        <w:trPr>
          <w:jc w:val="center"/>
        </w:trPr>
        <w:tc>
          <w:tcPr>
            <w:tcW w:w="5330" w:type="dxa"/>
            <w:tcBorders>
              <w:top w:val="single" w:sz="4" w:space="0" w:color="auto"/>
              <w:left w:val="single" w:sz="4" w:space="0" w:color="auto"/>
            </w:tcBorders>
            <w:shd w:val="clear" w:color="auto" w:fill="FFFFFF"/>
            <w:vAlign w:val="bottom"/>
          </w:tcPr>
          <w:p w14:paraId="4E6B6F46"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Ակտիվ դեղագործական բաղադրամասը</w:t>
            </w:r>
          </w:p>
        </w:tc>
        <w:tc>
          <w:tcPr>
            <w:tcW w:w="4299" w:type="dxa"/>
            <w:tcBorders>
              <w:top w:val="single" w:sz="4" w:space="0" w:color="auto"/>
              <w:left w:val="single" w:sz="4" w:space="0" w:color="auto"/>
              <w:right w:val="single" w:sz="4" w:space="0" w:color="auto"/>
            </w:tcBorders>
            <w:shd w:val="clear" w:color="auto" w:fill="FFFFFF"/>
          </w:tcPr>
          <w:p w14:paraId="0A98C2A0"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00CA7EF5" w14:textId="77777777" w:rsidTr="008C76E0">
        <w:trPr>
          <w:jc w:val="center"/>
        </w:trPr>
        <w:tc>
          <w:tcPr>
            <w:tcW w:w="5330" w:type="dxa"/>
            <w:tcBorders>
              <w:top w:val="single" w:sz="4" w:space="0" w:color="auto"/>
              <w:left w:val="single" w:sz="4" w:space="0" w:color="auto"/>
            </w:tcBorders>
            <w:shd w:val="clear" w:color="auto" w:fill="FFFFFF"/>
            <w:vAlign w:val="bottom"/>
          </w:tcPr>
          <w:p w14:paraId="3F469C84"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Ակտիվ դեղագործական բաղադրամասի միջազգային չարտոնագրված անվանումը (ՄՉԱ) կամ համընդհանուր անվանումը</w:t>
            </w:r>
          </w:p>
        </w:tc>
        <w:tc>
          <w:tcPr>
            <w:tcW w:w="4299" w:type="dxa"/>
            <w:tcBorders>
              <w:top w:val="single" w:sz="4" w:space="0" w:color="auto"/>
              <w:left w:val="single" w:sz="4" w:space="0" w:color="auto"/>
              <w:right w:val="single" w:sz="4" w:space="0" w:color="auto"/>
            </w:tcBorders>
            <w:shd w:val="clear" w:color="auto" w:fill="FFFFFF"/>
          </w:tcPr>
          <w:p w14:paraId="12EF48DA"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F68039D" w14:textId="77777777" w:rsidTr="008C76E0">
        <w:trPr>
          <w:jc w:val="center"/>
        </w:trPr>
        <w:tc>
          <w:tcPr>
            <w:tcW w:w="5330" w:type="dxa"/>
            <w:tcBorders>
              <w:top w:val="single" w:sz="4" w:space="0" w:color="auto"/>
              <w:left w:val="single" w:sz="4" w:space="0" w:color="auto"/>
            </w:tcBorders>
            <w:shd w:val="clear" w:color="auto" w:fill="FFFFFF"/>
            <w:vAlign w:val="bottom"/>
          </w:tcPr>
          <w:p w14:paraId="73753379" w14:textId="0B10F8F2" w:rsidR="008C76E0" w:rsidRPr="00BD7577" w:rsidRDefault="0056496B" w:rsidP="008C76E0">
            <w:pPr>
              <w:pStyle w:val="Bodytext180"/>
              <w:shd w:val="clear" w:color="auto" w:fill="auto"/>
              <w:spacing w:before="0" w:after="120" w:line="240" w:lineRule="auto"/>
              <w:ind w:left="130" w:right="79" w:firstLine="0"/>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299" w:type="dxa"/>
            <w:tcBorders>
              <w:top w:val="single" w:sz="4" w:space="0" w:color="auto"/>
              <w:left w:val="single" w:sz="4" w:space="0" w:color="auto"/>
              <w:right w:val="single" w:sz="4" w:space="0" w:color="auto"/>
            </w:tcBorders>
            <w:shd w:val="clear" w:color="auto" w:fill="FFFFFF"/>
          </w:tcPr>
          <w:p w14:paraId="7244AB2E"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39374840" w14:textId="77777777" w:rsidTr="008C76E0">
        <w:trPr>
          <w:jc w:val="center"/>
        </w:trPr>
        <w:tc>
          <w:tcPr>
            <w:tcW w:w="5330" w:type="dxa"/>
            <w:tcBorders>
              <w:top w:val="single" w:sz="4" w:space="0" w:color="auto"/>
              <w:left w:val="single" w:sz="4" w:space="0" w:color="auto"/>
            </w:tcBorders>
            <w:shd w:val="clear" w:color="auto" w:fill="FFFFFF"/>
            <w:vAlign w:val="bottom"/>
          </w:tcPr>
          <w:p w14:paraId="645F7A45" w14:textId="67FC861C"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299" w:type="dxa"/>
            <w:tcBorders>
              <w:top w:val="single" w:sz="4" w:space="0" w:color="auto"/>
              <w:left w:val="single" w:sz="4" w:space="0" w:color="auto"/>
              <w:right w:val="single" w:sz="4" w:space="0" w:color="auto"/>
            </w:tcBorders>
            <w:shd w:val="clear" w:color="auto" w:fill="FFFFFF"/>
          </w:tcPr>
          <w:p w14:paraId="3DE299E9"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4CCECC63" w14:textId="77777777" w:rsidTr="008C76E0">
        <w:trPr>
          <w:jc w:val="center"/>
        </w:trPr>
        <w:tc>
          <w:tcPr>
            <w:tcW w:w="5330" w:type="dxa"/>
            <w:tcBorders>
              <w:top w:val="single" w:sz="4" w:space="0" w:color="auto"/>
              <w:left w:val="single" w:sz="4" w:space="0" w:color="auto"/>
            </w:tcBorders>
            <w:shd w:val="clear" w:color="auto" w:fill="FFFFFF"/>
            <w:vAlign w:val="bottom"/>
          </w:tcPr>
          <w:p w14:paraId="18DB9977"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299" w:type="dxa"/>
            <w:tcBorders>
              <w:top w:val="single" w:sz="4" w:space="0" w:color="auto"/>
              <w:left w:val="single" w:sz="4" w:space="0" w:color="auto"/>
              <w:right w:val="single" w:sz="4" w:space="0" w:color="auto"/>
            </w:tcBorders>
            <w:shd w:val="clear" w:color="auto" w:fill="FFFFFF"/>
          </w:tcPr>
          <w:p w14:paraId="3B9B386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73B6E1D4" w14:textId="77777777" w:rsidTr="008C76E0">
        <w:trPr>
          <w:jc w:val="center"/>
        </w:trPr>
        <w:tc>
          <w:tcPr>
            <w:tcW w:w="5330" w:type="dxa"/>
            <w:tcBorders>
              <w:top w:val="single" w:sz="4" w:space="0" w:color="auto"/>
              <w:left w:val="single" w:sz="4" w:space="0" w:color="auto"/>
            </w:tcBorders>
            <w:shd w:val="clear" w:color="auto" w:fill="FFFFFF"/>
            <w:vAlign w:val="bottom"/>
          </w:tcPr>
          <w:p w14:paraId="3483C210" w14:textId="77777777" w:rsidR="008C76E0" w:rsidRPr="00BD7577" w:rsidRDefault="008C76E0" w:rsidP="008C76E0">
            <w:pPr>
              <w:pStyle w:val="Bodytext180"/>
              <w:shd w:val="clear" w:color="auto" w:fill="auto"/>
              <w:spacing w:before="0" w:after="120" w:line="240" w:lineRule="auto"/>
              <w:ind w:left="130" w:right="79" w:firstLine="0"/>
              <w:jc w:val="both"/>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դեղաչափերը</w:t>
            </w:r>
          </w:p>
        </w:tc>
        <w:tc>
          <w:tcPr>
            <w:tcW w:w="4299" w:type="dxa"/>
            <w:tcBorders>
              <w:top w:val="single" w:sz="4" w:space="0" w:color="auto"/>
              <w:left w:val="single" w:sz="4" w:space="0" w:color="auto"/>
              <w:right w:val="single" w:sz="4" w:space="0" w:color="auto"/>
            </w:tcBorders>
            <w:shd w:val="clear" w:color="auto" w:fill="FFFFFF"/>
          </w:tcPr>
          <w:p w14:paraId="3DB8C052" w14:textId="77777777" w:rsidR="008C76E0" w:rsidRPr="00BD7577" w:rsidRDefault="008C76E0" w:rsidP="008C76E0">
            <w:pPr>
              <w:spacing w:after="120" w:line="240" w:lineRule="auto"/>
              <w:ind w:left="130" w:right="79"/>
              <w:jc w:val="both"/>
              <w:rPr>
                <w:rFonts w:ascii="Sylfaen" w:hAnsi="Sylfaen"/>
                <w:sz w:val="24"/>
                <w:szCs w:val="24"/>
              </w:rPr>
            </w:pPr>
          </w:p>
        </w:tc>
      </w:tr>
      <w:tr w:rsidR="008C76E0" w:rsidRPr="00BD7577" w14:paraId="538CB9D7"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4A026C43"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 xml:space="preserve">Փորձագետների տվյալները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299" w:type="dxa"/>
            <w:tcBorders>
              <w:top w:val="single" w:sz="4" w:space="0" w:color="auto"/>
              <w:left w:val="single" w:sz="4" w:space="0" w:color="auto"/>
              <w:bottom w:val="single" w:sz="4" w:space="0" w:color="auto"/>
              <w:right w:val="single" w:sz="4" w:space="0" w:color="auto"/>
            </w:tcBorders>
            <w:shd w:val="clear" w:color="auto" w:fill="FFFFFF"/>
            <w:vAlign w:val="bottom"/>
          </w:tcPr>
          <w:p w14:paraId="5A00360F"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3-րդ մոդուլի փորձագետ՝ </w:t>
            </w:r>
          </w:p>
          <w:p w14:paraId="5526B09E"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48528F11"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224747B5"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lastRenderedPageBreak/>
              <w:t xml:space="preserve">4-րդ մոդուլի փորձագետ՝ </w:t>
            </w:r>
          </w:p>
          <w:p w14:paraId="2396BE0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6903D84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295C4A5" w14:textId="77777777" w:rsidTr="008C76E0">
        <w:trPr>
          <w:jc w:val="center"/>
        </w:trPr>
        <w:tc>
          <w:tcPr>
            <w:tcW w:w="5330" w:type="dxa"/>
            <w:tcBorders>
              <w:top w:val="single" w:sz="4" w:space="0" w:color="auto"/>
              <w:left w:val="single" w:sz="4" w:space="0" w:color="auto"/>
              <w:bottom w:val="single" w:sz="4" w:space="0" w:color="auto"/>
            </w:tcBorders>
            <w:shd w:val="clear" w:color="auto" w:fill="FFFFFF"/>
          </w:tcPr>
          <w:p w14:paraId="58C240B9" w14:textId="77777777" w:rsidR="008C76E0" w:rsidRPr="00BD7577" w:rsidRDefault="008C76E0" w:rsidP="008C76E0">
            <w:pPr>
              <w:spacing w:after="120" w:line="240" w:lineRule="auto"/>
              <w:ind w:left="130" w:right="79"/>
              <w:jc w:val="both"/>
              <w:rPr>
                <w:rFonts w:ascii="Sylfaen" w:hAnsi="Sylfaen"/>
                <w:sz w:val="24"/>
                <w:szCs w:val="24"/>
              </w:rPr>
            </w:pPr>
          </w:p>
        </w:tc>
        <w:tc>
          <w:tcPr>
            <w:tcW w:w="4300" w:type="dxa"/>
            <w:tcBorders>
              <w:top w:val="single" w:sz="4" w:space="0" w:color="auto"/>
              <w:left w:val="single" w:sz="4" w:space="0" w:color="auto"/>
              <w:bottom w:val="single" w:sz="4" w:space="0" w:color="auto"/>
              <w:right w:val="single" w:sz="4" w:space="0" w:color="auto"/>
            </w:tcBorders>
            <w:shd w:val="clear" w:color="auto" w:fill="FFFFFF"/>
            <w:vAlign w:val="bottom"/>
          </w:tcPr>
          <w:p w14:paraId="2F39EE52" w14:textId="77777777" w:rsidR="008C76E0" w:rsidRPr="00BD7577" w:rsidRDefault="008C76E0" w:rsidP="008C76E0">
            <w:pPr>
              <w:pStyle w:val="Bodytext180"/>
              <w:shd w:val="clear" w:color="auto" w:fill="auto"/>
              <w:spacing w:before="0" w:after="120" w:line="240" w:lineRule="auto"/>
              <w:ind w:left="130" w:right="79" w:firstLine="0"/>
              <w:jc w:val="both"/>
              <w:rPr>
                <w:rStyle w:val="Bodytext295pt"/>
                <w:rFonts w:ascii="Sylfaen" w:hAnsi="Sylfaen"/>
                <w:spacing w:val="0"/>
                <w:sz w:val="24"/>
                <w:szCs w:val="24"/>
              </w:rPr>
            </w:pPr>
            <w:r w:rsidRPr="00BD7577">
              <w:rPr>
                <w:rStyle w:val="Bodytext295pt"/>
                <w:rFonts w:ascii="Sylfaen" w:hAnsi="Sylfaen"/>
                <w:spacing w:val="0"/>
                <w:sz w:val="24"/>
                <w:szCs w:val="24"/>
              </w:rPr>
              <w:t xml:space="preserve">5-րդ մոդուլի փորձագետ՝ </w:t>
            </w:r>
          </w:p>
          <w:p w14:paraId="5C7895F5"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Ա.Ա.Հ.-ն՝</w:t>
            </w:r>
          </w:p>
          <w:p w14:paraId="191DAD80" w14:textId="77777777" w:rsidR="008C76E0" w:rsidRPr="008C76E0" w:rsidRDefault="008C76E0" w:rsidP="008C76E0">
            <w:pPr>
              <w:pStyle w:val="Bodytext180"/>
              <w:shd w:val="clear" w:color="auto" w:fill="auto"/>
              <w:spacing w:before="0" w:after="120" w:line="240" w:lineRule="auto"/>
              <w:ind w:left="130" w:right="79" w:firstLine="0"/>
              <w:jc w:val="both"/>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bl>
    <w:p w14:paraId="66A5A9CF" w14:textId="77777777" w:rsidR="008C76E0" w:rsidRPr="00BD7577" w:rsidRDefault="008C76E0" w:rsidP="008C76E0">
      <w:pPr>
        <w:ind w:right="-1"/>
        <w:rPr>
          <w:rFonts w:ascii="Sylfaen" w:hAnsi="Sylfaen"/>
          <w:sz w:val="24"/>
          <w:szCs w:val="24"/>
        </w:rPr>
      </w:pPr>
    </w:p>
    <w:p w14:paraId="7C70490E"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1. Հանձնարարական</w:t>
      </w:r>
    </w:p>
    <w:p w14:paraId="7AAF9CA3"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փորձագետը գտնում է, որ </w:t>
      </w:r>
      <w:r w:rsidRPr="007106A3">
        <w:rPr>
          <w:rFonts w:ascii="Sylfaen" w:hAnsi="Sylfaen"/>
          <w:i/>
          <w:sz w:val="24"/>
          <w:szCs w:val="24"/>
        </w:rPr>
        <w:t>&lt;Դեղապատրաստուկի անվանումը&gt;</w:t>
      </w:r>
      <w:r w:rsidRPr="00BD7577">
        <w:rPr>
          <w:rFonts w:ascii="Sylfaen" w:hAnsi="Sylfaen"/>
          <w:sz w:val="24"/>
          <w:szCs w:val="24"/>
        </w:rPr>
        <w:t xml:space="preserve"> դեղապատրաստուկի բաղադրության մեջ մտնող ակտիվ դեղագործական բաղադրամասը (ազդող նյութը)՝</w:t>
      </w:r>
      <w:r w:rsidRPr="00BD7577">
        <w:rPr>
          <w:rStyle w:val="Bodytext295pt"/>
          <w:rFonts w:ascii="Sylfaen" w:eastAsiaTheme="minorHAnsi" w:hAnsi="Sylfaen"/>
          <w:b w:val="0"/>
          <w:spacing w:val="0"/>
          <w:sz w:val="24"/>
          <w:szCs w:val="24"/>
        </w:rPr>
        <w:t xml:space="preserve"> </w:t>
      </w:r>
      <w:r w:rsidRPr="007106A3">
        <w:rPr>
          <w:rStyle w:val="Bodytext295pt"/>
          <w:rFonts w:ascii="Sylfaen" w:eastAsiaTheme="minorHAnsi" w:hAnsi="Sylfaen"/>
          <w:b w:val="0"/>
          <w:i/>
          <w:spacing w:val="0"/>
          <w:sz w:val="24"/>
          <w:szCs w:val="24"/>
        </w:rPr>
        <w:t>&lt;Ակտիվ դեղագործական բաղադրամասի անվանումը&gt;,</w:t>
      </w:r>
    </w:p>
    <w:p w14:paraId="3E19117A" w14:textId="6185706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&lt;ակտիվ դեղագործական բաղադրամաս&gt;,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տարբերվում է նախկինում գրանցված բաղադրամասից&gt;.</w:t>
      </w:r>
    </w:p>
    <w:p w14:paraId="62C03D53" w14:textId="295AC140"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&lt;կարող է որակվել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համալիրի, ածանցյալի, աղի {ՄՉԱ (աղ)}հետ համեմատած, որը նախկինում Միությունում գրանցված էր որպես {գրանցված դեղապատրաստուկի անվանումը}, &lt;պայմանով, որ Դիտողությունների ցանկում մանրամասն շարադրված դիտողություններին տրվել են բավարարող պատասխաններ&gt;.</w:t>
      </w:r>
    </w:p>
    <w:p w14:paraId="03FD885A" w14:textId="3D23AC64" w:rsidR="008C76E0" w:rsidRPr="008C76E0" w:rsidRDefault="008C76E0" w:rsidP="00780BC1">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&lt;չի որակվում որպես նոր &lt;ինքնուրույն&gt; ակտիվ դեղագործական բաղադրամաս՝ &lt;</w:t>
      </w:r>
      <w:r w:rsidR="005F6A31">
        <w:rPr>
          <w:rFonts w:ascii="Sylfaen" w:hAnsi="Sylfaen"/>
          <w:b w:val="0"/>
          <w:sz w:val="24"/>
          <w:szCs w:val="24"/>
          <w:lang w:val="hy-AM"/>
        </w:rPr>
        <w:t>հայտնի</w:t>
      </w:r>
      <w:r w:rsidRPr="008C76E0">
        <w:rPr>
          <w:rFonts w:ascii="Sylfaen" w:hAnsi="Sylfaen"/>
          <w:b w:val="0"/>
          <w:sz w:val="24"/>
          <w:szCs w:val="24"/>
          <w:lang w:val="hy-AM"/>
        </w:rPr>
        <w:t xml:space="preserve"> &lt;գրանցված իզոմերի (իզոմերների խառնուրդի, </w:t>
      </w:r>
      <w:r w:rsidRPr="008C76E0">
        <w:rPr>
          <w:rFonts w:ascii="Sylfaen" w:hAnsi="Sylfaen"/>
          <w:b w:val="0"/>
          <w:sz w:val="24"/>
          <w:szCs w:val="24"/>
          <w:lang w:val="hy-AM"/>
        </w:rPr>
        <w:lastRenderedPageBreak/>
        <w:t xml:space="preserve">համալիրի, ածանցյալի, աղի {ՄՉԱ (աղ)} հետ համեմատած, որը նախկինում Միությունում գրանցվել է որպես {գրանցված դեղապատրաստուկի անվանումը}, քանի որ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այն հատկություններով զգալիորեն չի տարբերվում նախկինում գրանցված բաղադրամասից&gt;: Ակտիվ դեղագործական բաղադրամասի՝ որպես նոր ակտիվ դեղագործական բաղադրամաս որակմանը խոչընդոտող դիտողությունները մանրամասն շարադրված են Դիտողությունների ցանկում&gt;:</w:t>
      </w:r>
    </w:p>
    <w:p w14:paraId="30648717" w14:textId="77777777" w:rsidR="008C76E0" w:rsidRPr="00BD7577" w:rsidRDefault="008C76E0" w:rsidP="00780BC1">
      <w:pPr>
        <w:spacing w:after="160" w:line="360" w:lineRule="auto"/>
        <w:rPr>
          <w:rFonts w:ascii="Sylfaen" w:hAnsi="Sylfaen"/>
          <w:sz w:val="24"/>
          <w:szCs w:val="24"/>
        </w:rPr>
      </w:pPr>
    </w:p>
    <w:p w14:paraId="1B9F3F2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 Ամփոփ ռեզյումե</w:t>
      </w:r>
    </w:p>
    <w:p w14:paraId="47463459" w14:textId="77777777" w:rsidR="008C76E0" w:rsidRPr="00BD7577" w:rsidRDefault="008C76E0" w:rsidP="00780BC1">
      <w:pPr>
        <w:spacing w:after="160" w:line="360" w:lineRule="auto"/>
        <w:jc w:val="center"/>
        <w:rPr>
          <w:rFonts w:ascii="Sylfaen" w:hAnsi="Sylfaen"/>
          <w:sz w:val="24"/>
          <w:szCs w:val="24"/>
        </w:rPr>
      </w:pPr>
    </w:p>
    <w:p w14:paraId="6B53263A"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2.1. Խնդրի ձ</w:t>
      </w:r>
      <w:r w:rsidR="00C54D75">
        <w:rPr>
          <w:rFonts w:ascii="Sylfaen" w:hAnsi="Sylfaen"/>
          <w:sz w:val="24"/>
          <w:szCs w:val="24"/>
        </w:rPr>
        <w:t>և</w:t>
      </w:r>
      <w:r w:rsidRPr="00BD7577">
        <w:rPr>
          <w:rFonts w:ascii="Sylfaen" w:hAnsi="Sylfaen"/>
          <w:sz w:val="24"/>
          <w:szCs w:val="24"/>
        </w:rPr>
        <w:t>ակերպումը</w:t>
      </w:r>
    </w:p>
    <w:p w14:paraId="6FEE6E7C" w14:textId="602F0C70"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Գրանցման </w:t>
      </w:r>
      <w:r w:rsidR="0056496B">
        <w:rPr>
          <w:rFonts w:ascii="Sylfaen" w:hAnsi="Sylfaen"/>
          <w:sz w:val="24"/>
          <w:szCs w:val="24"/>
        </w:rPr>
        <w:t>դիմում</w:t>
      </w:r>
      <w:r w:rsidRPr="00BD7577">
        <w:rPr>
          <w:rFonts w:ascii="Sylfaen" w:hAnsi="Sylfaen"/>
          <w:sz w:val="24"/>
          <w:szCs w:val="24"/>
        </w:rPr>
        <w:t xml:space="preserve">ը ընդունվել է քննության՝ Եվրասիական տնտեսական միության շրջանակներում Դեղապատրաստուկների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կանոններին համապատասխան, </w:t>
      </w:r>
      <w:r w:rsidR="00C54D75">
        <w:rPr>
          <w:rFonts w:ascii="Sylfaen" w:hAnsi="Sylfaen"/>
          <w:sz w:val="24"/>
          <w:szCs w:val="24"/>
        </w:rPr>
        <w:t>և</w:t>
      </w:r>
      <w:r w:rsidRPr="00BD7577">
        <w:rPr>
          <w:rFonts w:ascii="Sylfaen" w:hAnsi="Sylfaen"/>
          <w:sz w:val="24"/>
          <w:szCs w:val="24"/>
        </w:rPr>
        <w:t xml:space="preserve"> ներառում է ակտիվ դեղագործական բաղադրամասը &lt;ակտիվ դեղագործական բաղադրամասի անվանումը&gt; նոր ակտիվ դեղագործական բաղադրամաս համարելու պատճառների հիմնավորումը </w:t>
      </w:r>
      <w:r w:rsidR="00C54D75">
        <w:rPr>
          <w:rFonts w:ascii="Sylfaen" w:hAnsi="Sylfaen"/>
          <w:sz w:val="24"/>
          <w:szCs w:val="24"/>
        </w:rPr>
        <w:t>և</w:t>
      </w:r>
      <w:r w:rsidRPr="00BD7577">
        <w:rPr>
          <w:rFonts w:ascii="Sylfaen" w:hAnsi="Sylfaen"/>
          <w:sz w:val="24"/>
          <w:szCs w:val="24"/>
        </w:rPr>
        <w:t xml:space="preserve"> վերլուծությունը։</w:t>
      </w:r>
    </w:p>
    <w:p w14:paraId="29118F26" w14:textId="1662FAF6" w:rsidR="008C76E0" w:rsidRPr="008C76E0" w:rsidRDefault="0056496B" w:rsidP="00780BC1">
      <w:pPr>
        <w:pStyle w:val="Bodytext70"/>
        <w:shd w:val="clear" w:color="auto" w:fill="auto"/>
        <w:spacing w:before="0" w:after="160" w:line="360" w:lineRule="auto"/>
        <w:ind w:firstLine="567"/>
        <w:rPr>
          <w:rFonts w:ascii="Sylfaen" w:hAnsi="Sylfaen"/>
          <w:b w:val="0"/>
          <w:sz w:val="24"/>
          <w:szCs w:val="24"/>
          <w:lang w:val="hy-AM"/>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 հարցում է կատարել վերոնշյալ դեղապատրաստուկի մեջ պարունակվող ակտիվ դեղագործական բաղադրամասը &lt;</w:t>
      </w:r>
      <w:r w:rsidR="008C76E0" w:rsidRPr="008C76E0">
        <w:rPr>
          <w:rFonts w:ascii="Sylfaen" w:hAnsi="Sylfaen"/>
          <w:b w:val="0"/>
          <w:sz w:val="24"/>
          <w:szCs w:val="24"/>
          <w:lang w:val="hy-AM"/>
        </w:rPr>
        <w:t>ակտիվ դեղագործական բաղադրամասի անվանումը</w:t>
      </w:r>
      <w:r w:rsidR="008C76E0" w:rsidRPr="00BD7577">
        <w:rPr>
          <w:rStyle w:val="Bodytext295pt"/>
          <w:rFonts w:ascii="Sylfaen" w:hAnsi="Sylfaen"/>
          <w:spacing w:val="0"/>
          <w:sz w:val="24"/>
          <w:szCs w:val="24"/>
        </w:rPr>
        <w:t>&gt;</w:t>
      </w:r>
      <w:r w:rsidR="008C76E0" w:rsidRPr="008C76E0">
        <w:rPr>
          <w:rFonts w:ascii="Sylfaen" w:hAnsi="Sylfaen"/>
          <w:b w:val="0"/>
          <w:sz w:val="24"/>
          <w:szCs w:val="24"/>
          <w:lang w:val="hy-AM"/>
        </w:rPr>
        <w:t>&lt;ինքնուրույն&gt;</w:t>
      </w:r>
      <w:r w:rsidR="008C76E0" w:rsidRPr="00BD7577">
        <w:rPr>
          <w:rStyle w:val="Bodytext295pt"/>
          <w:rFonts w:ascii="Sylfaen" w:hAnsi="Sylfaen"/>
          <w:spacing w:val="0"/>
          <w:sz w:val="24"/>
          <w:szCs w:val="24"/>
        </w:rPr>
        <w:t xml:space="preserve"> նոր ակտիվ դեղագործական բաղադրամաս համարելու վերաբերյալ՝ </w:t>
      </w:r>
      <w:r w:rsidR="008C76E0" w:rsidRPr="008C76E0">
        <w:rPr>
          <w:rFonts w:ascii="Sylfaen" w:hAnsi="Sylfaen"/>
          <w:b w:val="0"/>
          <w:sz w:val="24"/>
          <w:szCs w:val="24"/>
          <w:lang w:val="hy-AM"/>
        </w:rPr>
        <w:t>&lt;</w:t>
      </w:r>
      <w:r w:rsidR="005F6A31">
        <w:rPr>
          <w:rFonts w:ascii="Sylfaen" w:hAnsi="Sylfaen"/>
          <w:b w:val="0"/>
          <w:sz w:val="24"/>
          <w:szCs w:val="24"/>
          <w:lang w:val="hy-AM"/>
        </w:rPr>
        <w:t>հայտնի</w:t>
      </w:r>
      <w:r w:rsidR="008C76E0" w:rsidRPr="008C76E0">
        <w:rPr>
          <w:rFonts w:ascii="Sylfaen" w:hAnsi="Sylfaen"/>
          <w:b w:val="0"/>
          <w:sz w:val="24"/>
          <w:szCs w:val="24"/>
          <w:lang w:val="hy-AM"/>
        </w:rPr>
        <w:t xml:space="preserve"> &lt;գրանցված իզոմերի (իզոմերների խառնուրդի, համալիրի, ածանցյալի, աղի {ՄՉԱ (աղ)} հետ համեմատած, որը նախկինում Միությունում գրանցվել է որպես {գրանցված դեղապատրաստուկի անվանումը}, </w:t>
      </w:r>
      <w:r w:rsidR="00C54D75">
        <w:rPr>
          <w:rFonts w:ascii="Sylfaen" w:hAnsi="Sylfaen"/>
          <w:b w:val="0"/>
          <w:sz w:val="24"/>
          <w:szCs w:val="24"/>
          <w:lang w:val="hy-AM"/>
        </w:rPr>
        <w:t>և</w:t>
      </w:r>
      <w:r w:rsidR="008C76E0" w:rsidRPr="008C76E0">
        <w:rPr>
          <w:rFonts w:ascii="Sylfaen" w:hAnsi="Sylfaen"/>
          <w:b w:val="0"/>
          <w:sz w:val="24"/>
          <w:szCs w:val="24"/>
          <w:lang w:val="hy-AM"/>
        </w:rPr>
        <w:t xml:space="preserve"> </w:t>
      </w:r>
      <w:r w:rsidR="00745ADC">
        <w:rPr>
          <w:rFonts w:ascii="Sylfaen" w:hAnsi="Sylfaen"/>
          <w:b w:val="0"/>
          <w:sz w:val="24"/>
          <w:szCs w:val="24"/>
          <w:lang w:val="hy-AM"/>
        </w:rPr>
        <w:t>հայտնել</w:t>
      </w:r>
      <w:r w:rsidR="008C76E0" w:rsidRPr="008C76E0">
        <w:rPr>
          <w:rFonts w:ascii="Sylfaen" w:hAnsi="Sylfaen"/>
          <w:b w:val="0"/>
          <w:sz w:val="24"/>
          <w:szCs w:val="24"/>
          <w:lang w:val="hy-AM"/>
        </w:rPr>
        <w:t xml:space="preserve"> է, որ անվտանգության </w:t>
      </w:r>
      <w:r w:rsidR="00C54D75">
        <w:rPr>
          <w:rFonts w:ascii="Sylfaen" w:hAnsi="Sylfaen"/>
          <w:b w:val="0"/>
          <w:sz w:val="24"/>
          <w:szCs w:val="24"/>
          <w:lang w:val="hy-AM"/>
        </w:rPr>
        <w:t>և</w:t>
      </w:r>
      <w:r w:rsidR="008C76E0" w:rsidRPr="008C76E0">
        <w:rPr>
          <w:rFonts w:ascii="Sylfaen" w:hAnsi="Sylfaen"/>
          <w:b w:val="0"/>
          <w:sz w:val="24"/>
          <w:szCs w:val="24"/>
          <w:lang w:val="hy-AM"/>
        </w:rPr>
        <w:t xml:space="preserve"> արդյունավետության տեսանկյունից &lt;ակտիվ դեղագործական բաղադրամասը&gt; հատկություններով զգալիորեն տարբերվում է նախկինում գրանցված բաղադրամասից&gt;:</w:t>
      </w:r>
    </w:p>
    <w:p w14:paraId="21AD6146" w14:textId="77777777" w:rsidR="008C76E0" w:rsidRPr="00BD7577" w:rsidRDefault="008C76E0" w:rsidP="00780BC1">
      <w:pPr>
        <w:spacing w:after="160" w:line="384" w:lineRule="auto"/>
        <w:jc w:val="center"/>
        <w:rPr>
          <w:rFonts w:ascii="Sylfaen" w:hAnsi="Sylfaen"/>
          <w:sz w:val="24"/>
          <w:szCs w:val="24"/>
        </w:rPr>
      </w:pPr>
      <w:r w:rsidRPr="00BD7577">
        <w:rPr>
          <w:rFonts w:ascii="Sylfaen" w:hAnsi="Sylfaen"/>
          <w:sz w:val="24"/>
          <w:szCs w:val="24"/>
        </w:rPr>
        <w:lastRenderedPageBreak/>
        <w:t>3. Փորձագիտական գիտական գնահատումը</w:t>
      </w:r>
    </w:p>
    <w:p w14:paraId="13798450" w14:textId="77777777" w:rsidR="008C76E0" w:rsidRPr="00BD7577" w:rsidRDefault="008C76E0" w:rsidP="00780BC1">
      <w:pPr>
        <w:tabs>
          <w:tab w:val="left" w:pos="1134"/>
        </w:tabs>
        <w:spacing w:after="160" w:line="384" w:lineRule="auto"/>
        <w:ind w:firstLine="567"/>
        <w:rPr>
          <w:rFonts w:ascii="Sylfaen" w:hAnsi="Sylfaen"/>
          <w:sz w:val="24"/>
          <w:szCs w:val="24"/>
        </w:rPr>
      </w:pPr>
      <w:r w:rsidRPr="00BD7577">
        <w:rPr>
          <w:rFonts w:ascii="Sylfaen" w:hAnsi="Sylfaen"/>
          <w:sz w:val="24"/>
          <w:szCs w:val="24"/>
        </w:rPr>
        <w:t>3.1.</w:t>
      </w:r>
      <w:r w:rsidRPr="00BD7577">
        <w:rPr>
          <w:rFonts w:ascii="Sylfaen" w:hAnsi="Sylfaen"/>
          <w:sz w:val="24"/>
          <w:szCs w:val="24"/>
        </w:rPr>
        <w:tab/>
        <w:t>Որակի ասպեկտները</w:t>
      </w:r>
    </w:p>
    <w:p w14:paraId="37D5A849"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1AA5CD57"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5C34DC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08AEC70"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Որակի ասպեկտների վերաբերյալ վերլուծությունը</w:t>
      </w:r>
    </w:p>
    <w:p w14:paraId="3C9D39D0"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6BFB21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31FC17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44D08F4" w14:textId="77777777" w:rsidR="008C76E0" w:rsidRPr="00BD7577" w:rsidRDefault="008C76E0" w:rsidP="00780BC1">
      <w:pPr>
        <w:tabs>
          <w:tab w:val="left" w:pos="7665"/>
        </w:tabs>
        <w:spacing w:after="160" w:line="384" w:lineRule="auto"/>
        <w:ind w:firstLine="567"/>
        <w:jc w:val="both"/>
        <w:rPr>
          <w:rFonts w:ascii="Sylfaen" w:hAnsi="Sylfaen"/>
          <w:sz w:val="24"/>
          <w:szCs w:val="24"/>
        </w:rPr>
      </w:pPr>
      <w:r w:rsidRPr="00BD7577">
        <w:rPr>
          <w:rFonts w:ascii="Sylfaen" w:hAnsi="Sylfaen"/>
          <w:sz w:val="24"/>
          <w:szCs w:val="24"/>
        </w:rPr>
        <w:t xml:space="preserve">Որակի ասպեկտների վերաբերյալ եզրակացությունները </w:t>
      </w:r>
    </w:p>
    <w:p w14:paraId="7A5D70F9"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DC3F5B8"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1B67807"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027527A" w14:textId="77777777"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Նախակլինիկական ասպեկտները</w:t>
      </w:r>
    </w:p>
    <w:p w14:paraId="1F93D31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0514BDE5"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C5ACB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57EEC7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t>Նախակլինիկական ասպեկտների վերաբերյալ վերլուծությունը</w:t>
      </w:r>
    </w:p>
    <w:p w14:paraId="3142C68F" w14:textId="77777777" w:rsidR="008C76E0" w:rsidRPr="00BD7577" w:rsidRDefault="008C76E0" w:rsidP="00780BC1">
      <w:pPr>
        <w:spacing w:after="160" w:line="384"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9C8254D" w14:textId="77777777" w:rsidR="008C76E0" w:rsidRPr="00BD7577" w:rsidRDefault="008C76E0" w:rsidP="00780BC1">
      <w:pPr>
        <w:spacing w:after="160" w:line="384"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3E4BF482" w14:textId="77777777" w:rsidR="008C76E0" w:rsidRPr="00BD7577" w:rsidRDefault="008C76E0" w:rsidP="00780BC1">
      <w:pPr>
        <w:spacing w:after="160" w:line="384"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2EFEA89" w14:textId="77777777" w:rsidR="008C76E0" w:rsidRPr="00BD7577" w:rsidRDefault="008C76E0" w:rsidP="00780BC1">
      <w:pPr>
        <w:spacing w:after="160" w:line="384" w:lineRule="auto"/>
        <w:ind w:firstLine="567"/>
        <w:jc w:val="both"/>
        <w:rPr>
          <w:rFonts w:ascii="Sylfaen" w:hAnsi="Sylfaen"/>
          <w:sz w:val="24"/>
          <w:szCs w:val="24"/>
        </w:rPr>
      </w:pPr>
      <w:r w:rsidRPr="00BD7577">
        <w:rPr>
          <w:rFonts w:ascii="Sylfaen" w:hAnsi="Sylfaen"/>
          <w:sz w:val="24"/>
          <w:szCs w:val="24"/>
        </w:rPr>
        <w:lastRenderedPageBreak/>
        <w:t>Նախակլինիկական ասպեկտների վերաբերյալ եզրակացությունը</w:t>
      </w:r>
    </w:p>
    <w:p w14:paraId="49052BF0" w14:textId="77777777" w:rsidR="008C76E0" w:rsidRPr="00BD7577" w:rsidRDefault="008C76E0" w:rsidP="00780BC1">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6673696F" w14:textId="77777777" w:rsidR="008C76E0" w:rsidRPr="00BD7577" w:rsidRDefault="008C76E0" w:rsidP="00780BC1">
      <w:pPr>
        <w:spacing w:after="160" w:line="360" w:lineRule="auto"/>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4A0B098" w14:textId="77777777" w:rsidR="008C76E0" w:rsidRPr="00BD7577" w:rsidRDefault="008C76E0" w:rsidP="00780BC1">
      <w:pPr>
        <w:spacing w:after="160" w:line="360" w:lineRule="auto"/>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3A3BF4A" w14:textId="77777777" w:rsidR="008C76E0" w:rsidRPr="00BD7577" w:rsidRDefault="008C76E0" w:rsidP="00780BC1">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3.2.</w:t>
      </w:r>
      <w:r w:rsidRPr="00BD7577">
        <w:rPr>
          <w:rFonts w:ascii="Sylfaen" w:hAnsi="Sylfaen"/>
          <w:sz w:val="24"/>
          <w:szCs w:val="24"/>
        </w:rPr>
        <w:tab/>
        <w:t>Կլինիկական ասպեկտները</w:t>
      </w:r>
    </w:p>
    <w:p w14:paraId="4BEE4E54"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03FBB3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77FD15FF"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341D79D"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վերլուծությունը</w:t>
      </w:r>
    </w:p>
    <w:p w14:paraId="4FF9852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3276820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7667A32"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16A801F" w14:textId="77777777" w:rsidR="008C76E0" w:rsidRPr="00BD7577" w:rsidRDefault="008C76E0" w:rsidP="008C76E0">
      <w:pPr>
        <w:ind w:firstLine="567"/>
        <w:jc w:val="both"/>
        <w:rPr>
          <w:rFonts w:ascii="Sylfaen" w:hAnsi="Sylfaen"/>
          <w:sz w:val="24"/>
          <w:szCs w:val="24"/>
        </w:rPr>
      </w:pPr>
      <w:r w:rsidRPr="00BD7577">
        <w:rPr>
          <w:rFonts w:ascii="Sylfaen" w:hAnsi="Sylfaen"/>
          <w:sz w:val="24"/>
          <w:szCs w:val="24"/>
        </w:rPr>
        <w:t>Կլինիկական ասպեկտների վերաբերյալ եզրակացությունը</w:t>
      </w:r>
    </w:p>
    <w:p w14:paraId="6DC1E25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2148BC8"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9433FD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3F3E555" w14:textId="77777777" w:rsidR="008C76E0" w:rsidRPr="00BD7577" w:rsidRDefault="008C76E0" w:rsidP="008C76E0">
      <w:pPr>
        <w:jc w:val="center"/>
        <w:rPr>
          <w:rFonts w:ascii="Sylfaen" w:hAnsi="Sylfaen"/>
          <w:sz w:val="24"/>
          <w:szCs w:val="24"/>
        </w:rPr>
      </w:pPr>
    </w:p>
    <w:p w14:paraId="0EB1AE65" w14:textId="77777777" w:rsidR="008C76E0" w:rsidRPr="00BD7577" w:rsidRDefault="008C76E0" w:rsidP="00780BC1">
      <w:pPr>
        <w:spacing w:after="160" w:line="360" w:lineRule="auto"/>
        <w:jc w:val="center"/>
        <w:rPr>
          <w:rFonts w:ascii="Sylfaen" w:hAnsi="Sylfaen"/>
          <w:sz w:val="24"/>
          <w:szCs w:val="24"/>
        </w:rPr>
      </w:pPr>
      <w:r w:rsidRPr="00BD7577">
        <w:rPr>
          <w:rFonts w:ascii="Sylfaen" w:hAnsi="Sylfaen"/>
          <w:sz w:val="24"/>
          <w:szCs w:val="24"/>
        </w:rPr>
        <w:t>4. Ընդհանուր եզրակացությունը</w:t>
      </w:r>
    </w:p>
    <w:p w14:paraId="517C1B3A" w14:textId="7B200751" w:rsidR="008C76E0" w:rsidRPr="00BD7577" w:rsidRDefault="008C76E0" w:rsidP="00780BC1">
      <w:pPr>
        <w:spacing w:after="160" w:line="360" w:lineRule="auto"/>
        <w:ind w:firstLine="567"/>
        <w:jc w:val="both"/>
        <w:rPr>
          <w:rFonts w:ascii="Sylfaen" w:hAnsi="Sylfaen"/>
          <w:sz w:val="24"/>
          <w:szCs w:val="24"/>
        </w:rPr>
      </w:pPr>
      <w:r w:rsidRPr="00BD7577">
        <w:rPr>
          <w:rFonts w:ascii="Sylfaen" w:hAnsi="Sylfaen"/>
          <w:sz w:val="24"/>
          <w:szCs w:val="24"/>
        </w:rPr>
        <w:t xml:space="preserve">[Եթե արվել է եզրակացություն, որ </w:t>
      </w:r>
      <w:r w:rsidR="0056496B">
        <w:rPr>
          <w:rFonts w:ascii="Sylfaen" w:hAnsi="Sylfaen"/>
          <w:sz w:val="24"/>
          <w:szCs w:val="24"/>
        </w:rPr>
        <w:t>դիմումատու</w:t>
      </w:r>
      <w:r w:rsidRPr="00BD7577">
        <w:rPr>
          <w:rFonts w:ascii="Sylfaen" w:hAnsi="Sylfaen"/>
          <w:sz w:val="24"/>
          <w:szCs w:val="24"/>
        </w:rPr>
        <w:t>ն պետք է ներկայացնի լրացուցիչ տեղեկություններ, ապա պետք է նշել հետ</w:t>
      </w:r>
      <w:r w:rsidR="00C54D75">
        <w:rPr>
          <w:rFonts w:ascii="Sylfaen" w:hAnsi="Sylfaen"/>
          <w:sz w:val="24"/>
          <w:szCs w:val="24"/>
        </w:rPr>
        <w:t>և</w:t>
      </w:r>
      <w:r w:rsidRPr="00BD7577">
        <w:rPr>
          <w:rFonts w:ascii="Sylfaen" w:hAnsi="Sylfaen"/>
          <w:sz w:val="24"/>
          <w:szCs w:val="24"/>
        </w:rPr>
        <w:t>յալը]</w:t>
      </w:r>
    </w:p>
    <w:p w14:paraId="212D654D" w14:textId="358A6DB0" w:rsidR="008C76E0" w:rsidRPr="00BD7577" w:rsidRDefault="008C76E0" w:rsidP="00780BC1">
      <w:pPr>
        <w:pStyle w:val="Bodytext70"/>
        <w:shd w:val="clear" w:color="auto" w:fill="auto"/>
        <w:spacing w:before="0" w:after="160" w:line="360" w:lineRule="auto"/>
        <w:ind w:firstLine="567"/>
        <w:rPr>
          <w:rStyle w:val="Bodytext295pt"/>
          <w:rFonts w:ascii="Sylfaen" w:hAnsi="Sylfaen"/>
          <w:spacing w:val="0"/>
          <w:sz w:val="24"/>
          <w:szCs w:val="24"/>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տրամադրի լրացուցիչ հաստատում առ այն, որ &lt;ակտիվ դեղագործական բաղադրամասի անվանումը&gt; պետք է որակվի որպես նոր ակտիվ դեղագործական բաղադրամաս։ </w:t>
      </w:r>
      <w:r w:rsidRPr="008C76E0">
        <w:rPr>
          <w:rFonts w:ascii="Sylfaen" w:hAnsi="Sylfaen"/>
          <w:b w:val="0"/>
          <w:sz w:val="24"/>
          <w:szCs w:val="24"/>
          <w:lang w:val="hy-AM"/>
        </w:rPr>
        <w:lastRenderedPageBreak/>
        <w:t>Դիտողությունների ցանկում շարադրված դիտողություններին անհրաժեշտ է տալ բավարարող պատասխաններ</w:t>
      </w:r>
      <w:r w:rsidRPr="00BD7577">
        <w:rPr>
          <w:rStyle w:val="Bodytext295pt"/>
          <w:rFonts w:ascii="Sylfaen" w:hAnsi="Sylfaen"/>
          <w:spacing w:val="0"/>
          <w:sz w:val="24"/>
          <w:szCs w:val="24"/>
        </w:rPr>
        <w:t>&gt;:</w:t>
      </w:r>
    </w:p>
    <w:p w14:paraId="6593FDA8" w14:textId="02DB02D6" w:rsidR="008C76E0" w:rsidRPr="008C76E0" w:rsidRDefault="008C76E0" w:rsidP="00780BC1">
      <w:pPr>
        <w:pStyle w:val="Bodytext70"/>
        <w:shd w:val="clear" w:color="auto" w:fill="auto"/>
        <w:tabs>
          <w:tab w:val="left" w:pos="1530"/>
        </w:tabs>
        <w:spacing w:before="0" w:after="160" w:line="360" w:lineRule="auto"/>
        <w:ind w:firstLine="567"/>
        <w:rPr>
          <w:rFonts w:ascii="Sylfaen" w:hAnsi="Sylfaen"/>
          <w:b w:val="0"/>
          <w:i w:val="0"/>
          <w:sz w:val="24"/>
          <w:szCs w:val="24"/>
          <w:lang w:val="hy-AM"/>
        </w:rPr>
      </w:pPr>
      <w:r w:rsidRPr="008C76E0">
        <w:rPr>
          <w:rFonts w:ascii="Sylfaen" w:hAnsi="Sylfaen"/>
          <w:b w:val="0"/>
          <w:i w:val="0"/>
          <w:sz w:val="24"/>
          <w:szCs w:val="24"/>
          <w:lang w:val="hy-AM"/>
        </w:rPr>
        <w:t xml:space="preserve">[Եթե արված եզրակացությունը չի ենթադրում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 xml:space="preserve">ի կողմից լրացուցիչ տեղեկությունների ներկայացում, </w:t>
      </w:r>
      <w:r w:rsidR="00C54D75">
        <w:rPr>
          <w:rFonts w:ascii="Sylfaen" w:hAnsi="Sylfaen"/>
          <w:b w:val="0"/>
          <w:i w:val="0"/>
          <w:sz w:val="24"/>
          <w:szCs w:val="24"/>
          <w:lang w:val="hy-AM"/>
        </w:rPr>
        <w:t>և</w:t>
      </w:r>
      <w:r w:rsidRPr="008C76E0">
        <w:rPr>
          <w:rFonts w:ascii="Sylfaen" w:hAnsi="Sylfaen"/>
          <w:b w:val="0"/>
          <w:i w:val="0"/>
          <w:sz w:val="24"/>
          <w:szCs w:val="24"/>
          <w:lang w:val="hy-AM"/>
        </w:rPr>
        <w:t xml:space="preserve"> </w:t>
      </w:r>
      <w:r w:rsidR="0056496B">
        <w:rPr>
          <w:rFonts w:ascii="Sylfaen" w:hAnsi="Sylfaen"/>
          <w:b w:val="0"/>
          <w:i w:val="0"/>
          <w:sz w:val="24"/>
          <w:szCs w:val="24"/>
          <w:lang w:val="hy-AM"/>
        </w:rPr>
        <w:t>դիմումատու</w:t>
      </w:r>
      <w:r w:rsidRPr="008C76E0">
        <w:rPr>
          <w:rFonts w:ascii="Sylfaen" w:hAnsi="Sylfaen"/>
          <w:b w:val="0"/>
          <w:i w:val="0"/>
          <w:sz w:val="24"/>
          <w:szCs w:val="24"/>
          <w:lang w:val="hy-AM"/>
        </w:rPr>
        <w:t>ն հաստատում է, որ միացությունը ինքնուրույն նոր ակտիվ դեղագործական բաղադրամաս է, ապա պետք է նշել հետ</w:t>
      </w:r>
      <w:r w:rsidR="00C54D75">
        <w:rPr>
          <w:rFonts w:ascii="Sylfaen" w:hAnsi="Sylfaen"/>
          <w:b w:val="0"/>
          <w:i w:val="0"/>
          <w:sz w:val="24"/>
          <w:szCs w:val="24"/>
          <w:lang w:val="hy-AM"/>
        </w:rPr>
        <w:t>և</w:t>
      </w:r>
      <w:r w:rsidRPr="008C76E0">
        <w:rPr>
          <w:rFonts w:ascii="Sylfaen" w:hAnsi="Sylfaen"/>
          <w:b w:val="0"/>
          <w:i w:val="0"/>
          <w:sz w:val="24"/>
          <w:szCs w:val="24"/>
          <w:lang w:val="hy-AM"/>
        </w:rPr>
        <w:t>յալը].</w:t>
      </w:r>
    </w:p>
    <w:p w14:paraId="79770931" w14:textId="77777777"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&lt;ակտիվ դեղագործական բաղադրամասի անվանումը&gt; &lt;չի&gt; որակվում որպես նոր ակտիվ դեղագործական բաղադրամաս&gt;:</w:t>
      </w:r>
    </w:p>
    <w:p w14:paraId="66A8A3F8" w14:textId="4462F42E" w:rsidR="008C76E0" w:rsidRPr="00BD7577" w:rsidRDefault="008C76E0" w:rsidP="00780BC1">
      <w:pPr>
        <w:spacing w:after="160" w:line="360" w:lineRule="auto"/>
        <w:ind w:firstLine="709"/>
        <w:jc w:val="both"/>
        <w:rPr>
          <w:rFonts w:ascii="Sylfaen" w:hAnsi="Sylfaen"/>
          <w:sz w:val="24"/>
          <w:szCs w:val="24"/>
        </w:rPr>
      </w:pPr>
      <w:r w:rsidRPr="00BD7577">
        <w:rPr>
          <w:rFonts w:ascii="Sylfaen" w:hAnsi="Sylfaen"/>
          <w:sz w:val="24"/>
          <w:szCs w:val="24"/>
        </w:rPr>
        <w:t xml:space="preserve">[Եթե արված եզրակացությունը չի ենթադրում </w:t>
      </w:r>
      <w:r w:rsidR="0056496B">
        <w:rPr>
          <w:rFonts w:ascii="Sylfaen" w:hAnsi="Sylfaen"/>
          <w:sz w:val="24"/>
          <w:szCs w:val="24"/>
        </w:rPr>
        <w:t>դիմումատու</w:t>
      </w:r>
      <w:r w:rsidRPr="00BD7577">
        <w:rPr>
          <w:rFonts w:ascii="Sylfaen" w:hAnsi="Sylfaen"/>
          <w:sz w:val="24"/>
          <w:szCs w:val="24"/>
        </w:rPr>
        <w:t xml:space="preserve">ի կողմից լրացուցիչ տեղեկությունների ներկայացում,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ն հաստատում է, որ միացությունը նոր ակտիվ դեղագործական բաղադրամաս է նախկինում Եվրասիական տնտեսական միությունում գրանցված դեղապատրաստուկի քիմիական նյութի </w:t>
      </w:r>
      <w:r w:rsidR="00F350A1">
        <w:rPr>
          <w:rFonts w:ascii="Sylfaen" w:hAnsi="Sylfaen"/>
          <w:sz w:val="24"/>
          <w:szCs w:val="24"/>
        </w:rPr>
        <w:t>հայտ</w:t>
      </w:r>
      <w:r w:rsidRPr="00BD7577">
        <w:rPr>
          <w:rFonts w:ascii="Sylfaen" w:hAnsi="Sylfaen"/>
          <w:sz w:val="24"/>
          <w:szCs w:val="24"/>
        </w:rPr>
        <w:t>նի իզոմերի (իզոմերների խառնուրդի, համալիրի, ածանցյալի, աղի) հետ համեմատած, ապա պետք է նշել հետ</w:t>
      </w:r>
      <w:r w:rsidR="00C54D75">
        <w:rPr>
          <w:rFonts w:ascii="Sylfaen" w:hAnsi="Sylfaen"/>
          <w:sz w:val="24"/>
          <w:szCs w:val="24"/>
        </w:rPr>
        <w:t>և</w:t>
      </w:r>
      <w:r w:rsidRPr="00BD7577">
        <w:rPr>
          <w:rFonts w:ascii="Sylfaen" w:hAnsi="Sylfaen"/>
          <w:sz w:val="24"/>
          <w:szCs w:val="24"/>
        </w:rPr>
        <w:t>յալը].</w:t>
      </w:r>
    </w:p>
    <w:p w14:paraId="6EA75501" w14:textId="03C54796" w:rsidR="008C76E0" w:rsidRPr="008C76E0" w:rsidRDefault="008C76E0" w:rsidP="00780BC1">
      <w:pPr>
        <w:pStyle w:val="Bodytext70"/>
        <w:shd w:val="clear" w:color="auto" w:fill="auto"/>
        <w:spacing w:before="0" w:after="160" w:line="360" w:lineRule="auto"/>
        <w:ind w:firstLine="709"/>
        <w:rPr>
          <w:rFonts w:ascii="Sylfaen" w:hAnsi="Sylfaen"/>
          <w:b w:val="0"/>
          <w:sz w:val="24"/>
          <w:szCs w:val="24"/>
          <w:lang w:val="hy-AM"/>
        </w:rPr>
      </w:pPr>
      <w:r w:rsidRPr="008C76E0">
        <w:rPr>
          <w:rFonts w:ascii="Sylfaen" w:hAnsi="Sylfaen"/>
          <w:b w:val="0"/>
          <w:sz w:val="24"/>
          <w:szCs w:val="24"/>
          <w:lang w:val="hy-AM"/>
        </w:rPr>
        <w:t xml:space="preserve">&lt;Ակտիվ դեղագործական բաղադրամասի որակի, նախակլինիկական </w:t>
      </w:r>
      <w:r w:rsidR="00C54D75">
        <w:rPr>
          <w:rFonts w:ascii="Sylfaen" w:hAnsi="Sylfaen"/>
          <w:b w:val="0"/>
          <w:sz w:val="24"/>
          <w:szCs w:val="24"/>
          <w:lang w:val="hy-AM"/>
        </w:rPr>
        <w:t>և</w:t>
      </w:r>
      <w:r w:rsidRPr="008C76E0">
        <w:rPr>
          <w:rFonts w:ascii="Sylfaen" w:hAnsi="Sylfaen"/>
          <w:b w:val="0"/>
          <w:sz w:val="24"/>
          <w:szCs w:val="24"/>
          <w:lang w:val="hy-AM"/>
        </w:rPr>
        <w:t xml:space="preserve"> կլինիկական հատկությունների վերաբերյալ տվյալների ամփոփման հիման վրա փորձագետը գտնում է, որ &lt;իզոմերը (իզոմերների խառնուրդը, համալիրը, ածանցյալը, աղը)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ՄՉԱ-ն (աղ)}՝ </w:t>
      </w:r>
      <w:r w:rsidR="005F6A31">
        <w:rPr>
          <w:rFonts w:ascii="Sylfaen" w:hAnsi="Sylfaen"/>
          <w:b w:val="0"/>
          <w:sz w:val="24"/>
          <w:szCs w:val="24"/>
          <w:lang w:val="hy-AM"/>
        </w:rPr>
        <w:t>հայտնի</w:t>
      </w:r>
      <w:r w:rsidRPr="008C76E0">
        <w:rPr>
          <w:rFonts w:ascii="Sylfaen" w:hAnsi="Sylfaen"/>
          <w:b w:val="0"/>
          <w:sz w:val="24"/>
          <w:szCs w:val="24"/>
          <w:lang w:val="hy-AM"/>
        </w:rPr>
        <w:t xml:space="preserve"> &lt;իզոմերի (իզոմերների խառնուրդի, համալիրի, ածանցյալի, աղի) {հավանության արժանացած ՄՉԱ (աղ)} հետ համեմատած &lt;չի&gt; որակվում որպես նոր ակտիվ դեղագործական բաղադրամաս,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տեսանկյունից հատկություններով &lt;տարբերվում&gt; է, զգալիորեն չի տարբերվում &gt; նախկինում գրանցված բաղադրամասից&gt;:</w:t>
      </w:r>
    </w:p>
    <w:p w14:paraId="2475077E" w14:textId="77777777" w:rsidR="00780BC1" w:rsidRDefault="00780BC1">
      <w:pPr>
        <w:widowControl/>
        <w:rPr>
          <w:rFonts w:ascii="Sylfaen" w:eastAsia="Times New Roman" w:hAnsi="Sylfaen" w:cs="Times New Roman"/>
          <w:bCs/>
          <w:iCs/>
          <w:sz w:val="24"/>
          <w:szCs w:val="24"/>
        </w:rPr>
      </w:pPr>
      <w:r>
        <w:rPr>
          <w:rFonts w:ascii="Sylfaen" w:eastAsia="Times New Roman" w:hAnsi="Sylfaen" w:cs="Times New Roman"/>
          <w:bCs/>
          <w:iCs/>
          <w:sz w:val="24"/>
          <w:szCs w:val="24"/>
        </w:rPr>
        <w:br w:type="page"/>
      </w:r>
    </w:p>
    <w:p w14:paraId="38AD37A1" w14:textId="77777777" w:rsidR="008C76E0" w:rsidRPr="008C76E0" w:rsidRDefault="008C76E0" w:rsidP="00780BC1">
      <w:pPr>
        <w:pStyle w:val="Bodytext70"/>
        <w:shd w:val="clear" w:color="auto" w:fill="auto"/>
        <w:tabs>
          <w:tab w:val="left" w:pos="1134"/>
        </w:tabs>
        <w:spacing w:before="0" w:after="160" w:line="360" w:lineRule="auto"/>
        <w:ind w:right="566" w:firstLine="567"/>
        <w:jc w:val="center"/>
        <w:rPr>
          <w:rFonts w:ascii="Sylfaen" w:hAnsi="Sylfaen"/>
          <w:b w:val="0"/>
          <w:i w:val="0"/>
          <w:sz w:val="24"/>
          <w:szCs w:val="24"/>
          <w:lang w:val="hy-AM"/>
        </w:rPr>
      </w:pPr>
      <w:r w:rsidRPr="008C76E0">
        <w:rPr>
          <w:rFonts w:ascii="Sylfaen" w:hAnsi="Sylfaen"/>
          <w:b w:val="0"/>
          <w:i w:val="0"/>
          <w:sz w:val="24"/>
          <w:szCs w:val="24"/>
          <w:lang w:val="hy-AM"/>
        </w:rPr>
        <w:lastRenderedPageBreak/>
        <w:t>5. Դիտողությունների ցանկը</w:t>
      </w:r>
    </w:p>
    <w:p w14:paraId="683BE092"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C232D02"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C829C1D"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9ABDE13"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61735B1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1795EB0"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483252AA"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D9A1D99"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2C6E4841"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DD6BF01"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526A5796"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4AF079B"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59C3B7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44693C30"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436D1F6"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62179A6"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1D44A063" w14:textId="77777777" w:rsidR="008C76E0" w:rsidRPr="00BD7577" w:rsidRDefault="008C76E0" w:rsidP="008C76E0">
      <w:pPr>
        <w:jc w:val="both"/>
        <w:rPr>
          <w:rStyle w:val="Bodytext295pt"/>
          <w:rFonts w:ascii="Sylfaen" w:eastAsia="MS Mincho" w:hAnsi="Sylfaen"/>
          <w:spacing w:val="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6CC9A997" w14:textId="77777777" w:rsidR="008C76E0" w:rsidRPr="00BD7577" w:rsidRDefault="008C76E0" w:rsidP="008C76E0">
      <w:pPr>
        <w:jc w:val="both"/>
        <w:rPr>
          <w:rFonts w:ascii="Sylfaen" w:eastAsia="Times New Roman" w:hAnsi="Sylfaen" w:cs="Times New Roman"/>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0F7BE578" w14:textId="77777777" w:rsidR="008C76E0" w:rsidRPr="00BD7577" w:rsidRDefault="008C76E0" w:rsidP="008C76E0">
      <w:pPr>
        <w:jc w:val="both"/>
        <w:rPr>
          <w:rFonts w:ascii="Sylfaen" w:hAnsi="Sylfaen"/>
          <w:sz w:val="24"/>
          <w:szCs w:val="24"/>
        </w:rPr>
      </w:pPr>
      <w:r w:rsidRPr="00BD7577">
        <w:rPr>
          <w:rFonts w:ascii="Sylfaen" w:hAnsi="Sylfaen"/>
          <w:sz w:val="24"/>
          <w:szCs w:val="24"/>
        </w:rPr>
        <w:t>___________________________________________________________________________</w:t>
      </w:r>
    </w:p>
    <w:p w14:paraId="023A6690" w14:textId="2C7A79A1" w:rsidR="00780BC1" w:rsidRPr="003B4F5C" w:rsidRDefault="008C76E0" w:rsidP="003B4F5C">
      <w:pPr>
        <w:jc w:val="both"/>
        <w:rPr>
          <w:rFonts w:ascii="Sylfaen" w:eastAsia="MS Mincho" w:hAnsi="Sylfaen" w:cs="Times New Roman"/>
          <w:b/>
          <w:bCs/>
          <w:color w:val="000000"/>
          <w:sz w:val="24"/>
          <w:szCs w:val="24"/>
        </w:rPr>
      </w:pPr>
      <w:r w:rsidRPr="00BD7577">
        <w:rPr>
          <w:rStyle w:val="Bodytext295pt"/>
          <w:rFonts w:ascii="Sylfaen" w:eastAsia="MS Mincho" w:hAnsi="Sylfaen"/>
          <w:spacing w:val="0"/>
          <w:sz w:val="24"/>
          <w:szCs w:val="24"/>
        </w:rPr>
        <w:t>___________________________________________________________________________</w:t>
      </w:r>
    </w:p>
    <w:p w14:paraId="157D4515" w14:textId="77777777" w:rsidR="003B4F5C" w:rsidRPr="006F28F9" w:rsidRDefault="003B4F5C" w:rsidP="003B4F5C">
      <w:pPr>
        <w:rPr>
          <w:b/>
          <w:bCs/>
          <w:i/>
          <w:iCs/>
        </w:rPr>
      </w:pPr>
      <w:r w:rsidRPr="00CD4709">
        <w:rPr>
          <w:b/>
          <w:bCs/>
          <w:i/>
          <w:iCs/>
        </w:rPr>
        <w:t>(</w:t>
      </w:r>
      <w:r>
        <w:rPr>
          <w:b/>
          <w:bCs/>
          <w:i/>
          <w:iCs/>
        </w:rPr>
        <w:t xml:space="preserve">հավելվածը </w:t>
      </w:r>
      <w:r w:rsidRPr="00CD4709">
        <w:rPr>
          <w:b/>
          <w:bCs/>
          <w:i/>
          <w:iCs/>
        </w:rPr>
        <w:t>փոփ. 30.01.20 թիվ 9)</w:t>
      </w:r>
    </w:p>
    <w:p w14:paraId="2005C9B1" w14:textId="3E1D39AD" w:rsidR="003B4F5C" w:rsidRDefault="003B4F5C" w:rsidP="008C76E0">
      <w:pPr>
        <w:pStyle w:val="Bodytext70"/>
        <w:shd w:val="clear" w:color="auto" w:fill="auto"/>
        <w:spacing w:before="0" w:after="160" w:line="336" w:lineRule="auto"/>
        <w:ind w:left="4536"/>
        <w:jc w:val="center"/>
        <w:rPr>
          <w:rFonts w:ascii="Sylfaen" w:hAnsi="Sylfaen"/>
          <w:b w:val="0"/>
          <w:i w:val="0"/>
          <w:sz w:val="24"/>
          <w:szCs w:val="24"/>
          <w:lang w:val="hy-AM"/>
        </w:rPr>
        <w:sectPr w:rsidR="003B4F5C" w:rsidSect="00D91652">
          <w:pgSz w:w="11907" w:h="16839" w:code="9"/>
          <w:pgMar w:top="1418" w:right="1418" w:bottom="1418" w:left="1418" w:header="709" w:footer="709" w:gutter="0"/>
          <w:pgNumType w:start="1"/>
          <w:cols w:space="708"/>
          <w:titlePg/>
          <w:docGrid w:linePitch="360"/>
        </w:sectPr>
      </w:pPr>
    </w:p>
    <w:p w14:paraId="19175482" w14:textId="77777777" w:rsidR="008C76E0" w:rsidRPr="008C76E0" w:rsidRDefault="008C76E0" w:rsidP="00007454">
      <w:pPr>
        <w:pStyle w:val="Bodytext70"/>
        <w:shd w:val="clear" w:color="auto" w:fill="auto"/>
        <w:spacing w:before="0" w:after="160" w:line="360" w:lineRule="auto"/>
        <w:ind w:left="4536"/>
        <w:jc w:val="center"/>
        <w:rPr>
          <w:rFonts w:ascii="Sylfaen" w:hAnsi="Sylfaen"/>
          <w:b w:val="0"/>
          <w:i w:val="0"/>
          <w:sz w:val="24"/>
          <w:szCs w:val="24"/>
          <w:lang w:val="hy-AM"/>
        </w:rPr>
      </w:pPr>
      <w:r w:rsidRPr="008C76E0">
        <w:rPr>
          <w:rFonts w:ascii="Sylfaen" w:hAnsi="Sylfaen"/>
          <w:b w:val="0"/>
          <w:i w:val="0"/>
          <w:sz w:val="24"/>
          <w:szCs w:val="24"/>
          <w:lang w:val="hy-AM"/>
        </w:rPr>
        <w:lastRenderedPageBreak/>
        <w:t>ՀԱՎԵԼՎԱԾ ԹԻՎ 10</w:t>
      </w:r>
    </w:p>
    <w:p w14:paraId="2F11C476" w14:textId="77777777" w:rsidR="008C76E0" w:rsidRPr="0093525B" w:rsidRDefault="008C76E0" w:rsidP="00007454">
      <w:pPr>
        <w:spacing w:after="160" w:line="360" w:lineRule="auto"/>
        <w:ind w:left="4536"/>
        <w:jc w:val="center"/>
        <w:rPr>
          <w:rFonts w:ascii="Sylfaen" w:hAnsi="Sylfaen"/>
          <w:sz w:val="24"/>
          <w:szCs w:val="24"/>
        </w:rPr>
      </w:pPr>
      <w:r w:rsidRPr="0093525B">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93525B">
        <w:rPr>
          <w:rFonts w:ascii="Sylfaen" w:hAnsi="Sylfaen"/>
          <w:sz w:val="24"/>
          <w:szCs w:val="24"/>
        </w:rPr>
        <w:t xml:space="preserve"> փորձաքննության կանոնների</w:t>
      </w:r>
    </w:p>
    <w:p w14:paraId="57AAB669" w14:textId="77777777" w:rsidR="008C76E0" w:rsidRPr="0093525B" w:rsidRDefault="008C76E0" w:rsidP="00007454">
      <w:pPr>
        <w:spacing w:after="160" w:line="360" w:lineRule="auto"/>
        <w:jc w:val="center"/>
        <w:rPr>
          <w:rFonts w:ascii="Sylfaen" w:hAnsi="Sylfaen"/>
          <w:sz w:val="24"/>
          <w:szCs w:val="24"/>
        </w:rPr>
      </w:pPr>
    </w:p>
    <w:p w14:paraId="4B24C84A" w14:textId="77777777" w:rsidR="008C76E0" w:rsidRPr="00E15E7D" w:rsidRDefault="008C76E0" w:rsidP="00007454">
      <w:pPr>
        <w:pStyle w:val="Bodytext130"/>
        <w:shd w:val="clear" w:color="auto" w:fill="auto"/>
        <w:spacing w:after="160" w:line="360" w:lineRule="auto"/>
        <w:ind w:left="567" w:right="566"/>
        <w:rPr>
          <w:lang w:val="hy-AM"/>
        </w:rPr>
      </w:pPr>
      <w:r w:rsidRPr="0093525B">
        <w:rPr>
          <w:rStyle w:val="Bodytext295pt"/>
          <w:rFonts w:ascii="Sylfaen" w:hAnsi="Sylfaen"/>
          <w:b/>
          <w:spacing w:val="0"/>
          <w:sz w:val="24"/>
          <w:szCs w:val="24"/>
        </w:rPr>
        <w:t>ԸՆԹԱՑԱԿԱՐԳԸ</w:t>
      </w:r>
    </w:p>
    <w:p w14:paraId="5D24992C"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 xml:space="preserve">ակտիվ դեղագործական բաղադրամասի </w:t>
      </w:r>
      <w:r w:rsidRPr="008C76E0">
        <w:rPr>
          <w:rFonts w:ascii="Sylfaen" w:hAnsi="Sylfaen"/>
          <w:sz w:val="24"/>
          <w:szCs w:val="24"/>
          <w:lang w:val="hy-AM"/>
        </w:rPr>
        <w:br/>
        <w:t>մաստեր-ֆայլի հետ աշխատանքի</w:t>
      </w:r>
    </w:p>
    <w:p w14:paraId="6015021A" w14:textId="77777777" w:rsidR="008C76E0" w:rsidRPr="008C76E0" w:rsidRDefault="008C76E0" w:rsidP="00007454">
      <w:pPr>
        <w:pStyle w:val="Bodytext130"/>
        <w:shd w:val="clear" w:color="auto" w:fill="auto"/>
        <w:spacing w:after="160" w:line="360" w:lineRule="auto"/>
        <w:ind w:left="567" w:right="566"/>
        <w:rPr>
          <w:rFonts w:ascii="Sylfaen" w:hAnsi="Sylfaen"/>
          <w:sz w:val="24"/>
          <w:szCs w:val="24"/>
          <w:lang w:val="hy-AM"/>
        </w:rPr>
      </w:pPr>
    </w:p>
    <w:p w14:paraId="20FE8679"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I. Ներածություն</w:t>
      </w:r>
    </w:p>
    <w:p w14:paraId="5F79A06E" w14:textId="4877745B"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(այսուհետ՝ ԱԴԲՄՖ) ընթացակարգի հիմնական նպատակը ակտիվ դեղագործական բաղադրամաս արտադրողի (այսուհետ՝ ԱԴԲԱ) արժեքավոր գաղտնի մտավոր սեփականության կամ «նոու-հաու»-ի պաշտպանությունն է՝ մի</w:t>
      </w:r>
      <w:r w:rsidR="00C54D75">
        <w:rPr>
          <w:rFonts w:ascii="Sylfaen" w:hAnsi="Sylfaen"/>
          <w:sz w:val="24"/>
          <w:szCs w:val="24"/>
        </w:rPr>
        <w:t>և</w:t>
      </w:r>
      <w:r w:rsidRPr="00BD7577">
        <w:rPr>
          <w:rFonts w:ascii="Sylfaen" w:hAnsi="Sylfaen"/>
          <w:sz w:val="24"/>
          <w:szCs w:val="24"/>
        </w:rPr>
        <w:t xml:space="preserve">նույն ժամանակ </w:t>
      </w:r>
      <w:r w:rsidR="0056496B">
        <w:rPr>
          <w:rFonts w:ascii="Sylfaen" w:hAnsi="Sylfaen"/>
          <w:sz w:val="24"/>
          <w:szCs w:val="24"/>
        </w:rPr>
        <w:t>դիմումատու</w:t>
      </w:r>
      <w:r w:rsidRPr="00BD7577">
        <w:rPr>
          <w:rFonts w:ascii="Sylfaen" w:hAnsi="Sylfaen"/>
          <w:sz w:val="24"/>
          <w:szCs w:val="24"/>
        </w:rPr>
        <w:t>ին կամ գրանցման հավաստագրի (ԳՀ) իրավատիրոջը թույլ տալով ստանձնել դեղապատրաստուկի, ինչպես նա</w:t>
      </w:r>
      <w:r w:rsidR="00C54D75">
        <w:rPr>
          <w:rFonts w:ascii="Sylfaen" w:hAnsi="Sylfaen"/>
          <w:sz w:val="24"/>
          <w:szCs w:val="24"/>
        </w:rPr>
        <w:t>և</w:t>
      </w:r>
      <w:r w:rsidRPr="00BD7577">
        <w:rPr>
          <w:rFonts w:ascii="Sylfaen" w:hAnsi="Sylfaen"/>
          <w:sz w:val="24"/>
          <w:szCs w:val="24"/>
        </w:rPr>
        <w:t xml:space="preserve"> ակտիվ դեղագործական բաղադրամասի որակի </w:t>
      </w:r>
      <w:r w:rsidR="00C54D75">
        <w:rPr>
          <w:rFonts w:ascii="Sylfaen" w:hAnsi="Sylfaen"/>
          <w:sz w:val="24"/>
          <w:szCs w:val="24"/>
        </w:rPr>
        <w:t>և</w:t>
      </w:r>
      <w:r w:rsidRPr="00BD7577">
        <w:rPr>
          <w:rFonts w:ascii="Sylfaen" w:hAnsi="Sylfaen"/>
          <w:sz w:val="24"/>
          <w:szCs w:val="24"/>
        </w:rPr>
        <w:t xml:space="preserve"> որակի հսկողության համար ամբողջ պատասխանատվությունը։ Այս ընթացակարգի շնորհիվ Եվրասիական տնտեսական միության անդամ պետությունների (այսուհետ համապատասխանաբար՝ Միություն, անդամ պետություն) լիազորված մարմիններն ունեն լիարժեք հասանելիություն այն տեղեկություններին, որոնք անհրաժեշտ են ակտիվ դեղագործական բաղադրամասի՝ դեղապատրաստուկի բաղադրության մեջ կիրառվելու պիտանիության փորձաքննության համար։</w:t>
      </w:r>
    </w:p>
    <w:p w14:paraId="580C78F2" w14:textId="77777777" w:rsidR="008C76E0" w:rsidRPr="00BD7577" w:rsidRDefault="008C76E0" w:rsidP="00DB2544">
      <w:pPr>
        <w:spacing w:after="160" w:line="336" w:lineRule="auto"/>
        <w:jc w:val="both"/>
        <w:rPr>
          <w:rFonts w:ascii="Sylfaen" w:hAnsi="Sylfaen"/>
          <w:sz w:val="24"/>
          <w:szCs w:val="24"/>
        </w:rPr>
      </w:pPr>
    </w:p>
    <w:p w14:paraId="7188C5B6" w14:textId="77777777" w:rsidR="008C76E0" w:rsidRPr="00BD7577" w:rsidRDefault="008C76E0" w:rsidP="00DB2544">
      <w:pPr>
        <w:spacing w:after="160" w:line="336" w:lineRule="auto"/>
        <w:jc w:val="center"/>
        <w:rPr>
          <w:rFonts w:ascii="Sylfaen" w:hAnsi="Sylfaen"/>
          <w:sz w:val="24"/>
          <w:szCs w:val="24"/>
        </w:rPr>
      </w:pPr>
      <w:r w:rsidRPr="00BD7577">
        <w:rPr>
          <w:rFonts w:ascii="Sylfaen" w:hAnsi="Sylfaen"/>
          <w:sz w:val="24"/>
          <w:szCs w:val="24"/>
        </w:rPr>
        <w:t>II. Կիրառման ոլորտը</w:t>
      </w:r>
    </w:p>
    <w:p w14:paraId="2715C33E" w14:textId="022645F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հավելվածը նախատեսված է աջակցելու </w:t>
      </w:r>
      <w:r w:rsidR="0056496B">
        <w:rPr>
          <w:rFonts w:ascii="Sylfaen" w:hAnsi="Sylfaen"/>
          <w:sz w:val="24"/>
          <w:szCs w:val="24"/>
        </w:rPr>
        <w:t>դիմումատու</w:t>
      </w:r>
      <w:r w:rsidRPr="00BD7577">
        <w:rPr>
          <w:rFonts w:ascii="Sylfaen" w:hAnsi="Sylfaen"/>
          <w:sz w:val="24"/>
          <w:szCs w:val="24"/>
        </w:rPr>
        <w:t xml:space="preserve">ներին (ԳՀ-ի իրավատերերին) դեղապատրաստուկի գրանցման դոսյեի ակտիվ դեղագործական </w:t>
      </w:r>
      <w:r w:rsidRPr="00BD7577">
        <w:rPr>
          <w:rFonts w:ascii="Sylfaen" w:hAnsi="Sylfaen"/>
          <w:sz w:val="24"/>
          <w:szCs w:val="24"/>
        </w:rPr>
        <w:lastRenderedPageBreak/>
        <w:t>բաղադրամասի վերաբերյալ բաժինը կամ գրանցված դեղապատրաստուկի գրանցման դոսյեում փոփոխություններ կատարելու վերաբերյալ դոսյեն (փոփոխության դոսյեն) կազմելիս (բաժին 3.2.S)։ Այն նա</w:t>
      </w:r>
      <w:r w:rsidR="00C54D75">
        <w:rPr>
          <w:rFonts w:ascii="Sylfaen" w:hAnsi="Sylfaen"/>
          <w:sz w:val="24"/>
          <w:szCs w:val="24"/>
        </w:rPr>
        <w:t>և</w:t>
      </w:r>
      <w:r w:rsidRPr="00BD7577">
        <w:rPr>
          <w:rFonts w:ascii="Sylfaen" w:hAnsi="Sylfaen"/>
          <w:sz w:val="24"/>
          <w:szCs w:val="24"/>
        </w:rPr>
        <w:t xml:space="preserve"> ուղղված է աջակցելու ԱԴԲՄՖ-ի իրավատերերին ԱԴԲՄՖ-ն կազմելիս։</w:t>
      </w:r>
    </w:p>
    <w:p w14:paraId="08EFD933" w14:textId="77777777" w:rsidR="008C76E0" w:rsidRPr="00BD7577" w:rsidRDefault="008C76E0" w:rsidP="00007454">
      <w:pPr>
        <w:spacing w:after="160" w:line="360" w:lineRule="auto"/>
        <w:ind w:right="-1"/>
        <w:jc w:val="both"/>
        <w:rPr>
          <w:rFonts w:ascii="Sylfaen" w:hAnsi="Sylfaen"/>
          <w:sz w:val="24"/>
          <w:szCs w:val="24"/>
        </w:rPr>
      </w:pPr>
    </w:p>
    <w:p w14:paraId="746C2B6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III. Ակտիվ դեղագործական բաղադրամասի </w:t>
      </w:r>
      <w:r w:rsidRPr="00BD7577">
        <w:rPr>
          <w:rFonts w:ascii="Sylfaen" w:hAnsi="Sylfaen"/>
          <w:sz w:val="24"/>
          <w:szCs w:val="24"/>
        </w:rPr>
        <w:br/>
        <w:t>մաստեր-ֆայլի բովանդակությունը</w:t>
      </w:r>
    </w:p>
    <w:p w14:paraId="74CAF3C0"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ԱԴԲՄՖ-ն պետք է պարունակի գրանցման դոսյեի 3-րդ մոդուլի տարբեր վերնագրերով նշված մանրամասն գիտական տեղեկություններ՝ ընդհանուր տեխնիկական փաստաթղթի ձ</w:t>
      </w:r>
      <w:r w:rsidR="00C54D75">
        <w:rPr>
          <w:rFonts w:ascii="Sylfaen" w:hAnsi="Sylfaen"/>
          <w:sz w:val="24"/>
          <w:szCs w:val="24"/>
        </w:rPr>
        <w:t>և</w:t>
      </w:r>
      <w:r w:rsidRPr="00BD7577">
        <w:rPr>
          <w:rFonts w:ascii="Sylfaen" w:hAnsi="Sylfaen"/>
          <w:sz w:val="24"/>
          <w:szCs w:val="24"/>
        </w:rPr>
        <w:t>աչափով (աղյուսակ 1)։</w:t>
      </w:r>
    </w:p>
    <w:p w14:paraId="28F5F008" w14:textId="1696737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գիտական տեղեկություններն անհրաժեշտ է ֆիզիկապես բաժանել երկու մասի, մասնավորապես՝ </w:t>
      </w:r>
      <w:r w:rsidR="0056496B">
        <w:rPr>
          <w:rFonts w:ascii="Sylfaen" w:hAnsi="Sylfaen"/>
          <w:sz w:val="24"/>
          <w:szCs w:val="24"/>
        </w:rPr>
        <w:t>դիմումատու</w:t>
      </w:r>
      <w:r w:rsidRPr="00BD7577">
        <w:rPr>
          <w:rFonts w:ascii="Sylfaen" w:hAnsi="Sylfaen"/>
          <w:sz w:val="24"/>
          <w:szCs w:val="24"/>
        </w:rPr>
        <w:t xml:space="preserve">ի մաս (այսուհետ՝ ՀՄ) </w:t>
      </w:r>
      <w:r w:rsidR="00C54D75">
        <w:rPr>
          <w:rFonts w:ascii="Sylfaen" w:hAnsi="Sylfaen"/>
          <w:sz w:val="24"/>
          <w:szCs w:val="24"/>
        </w:rPr>
        <w:t>և</w:t>
      </w:r>
      <w:r w:rsidRPr="00BD7577">
        <w:rPr>
          <w:rFonts w:ascii="Sylfaen" w:hAnsi="Sylfaen"/>
          <w:sz w:val="24"/>
          <w:szCs w:val="24"/>
        </w:rPr>
        <w:t xml:space="preserve"> փակ մաս (այսուհետ՝ ՓՄ)։ ՀՄ-ն պարունակում է տեղեկություններ, որոնք ԱԴԲՄՖ-ի իրավատերը </w:t>
      </w:r>
      <w:r w:rsidR="0056496B">
        <w:rPr>
          <w:rFonts w:ascii="Sylfaen" w:hAnsi="Sylfaen"/>
          <w:sz w:val="24"/>
          <w:szCs w:val="24"/>
        </w:rPr>
        <w:t>դիմումատու</w:t>
      </w:r>
      <w:r w:rsidRPr="00BD7577">
        <w:rPr>
          <w:rFonts w:ascii="Sylfaen" w:hAnsi="Sylfaen"/>
          <w:sz w:val="24"/>
          <w:szCs w:val="24"/>
        </w:rPr>
        <w:t xml:space="preserve">ի (ԳՀ իրավատիրոջ) համար գաղտնի չի համարում, մինչդեռ ՓՄ-ն պարունակում է տեղեկություններ, որոնք ԱԴԲՄՖ-ի իրավատերը համարում է գաղտնի (սույն հավելվածի թիվ 1 լրացում)։ Հարկ է նշել, որ ՀՄ-ն, այնուամենայնիվ, գաղտնի փաստաթուղթ է, </w:t>
      </w:r>
      <w:r w:rsidR="00C54D75">
        <w:rPr>
          <w:rFonts w:ascii="Sylfaen" w:hAnsi="Sylfaen"/>
          <w:sz w:val="24"/>
          <w:szCs w:val="24"/>
        </w:rPr>
        <w:t>և</w:t>
      </w:r>
      <w:r w:rsidRPr="00BD7577">
        <w:rPr>
          <w:rFonts w:ascii="Sylfaen" w:hAnsi="Sylfaen"/>
          <w:sz w:val="24"/>
          <w:szCs w:val="24"/>
        </w:rPr>
        <w:t xml:space="preserve"> այն, առանց ԱԴԲՄՖ-ի իրավատիրոջ գրավոր համաձայնության, երրորդ անձանց փոխանցել չի կարելի։ Բոլոր դեպքերում ՀՄ-ն պետք է պարունակի բավարար տեղեկություններ, որպեսզի </w:t>
      </w:r>
      <w:r w:rsidR="0056496B">
        <w:rPr>
          <w:rFonts w:ascii="Sylfaen" w:hAnsi="Sylfaen"/>
          <w:sz w:val="24"/>
          <w:szCs w:val="24"/>
        </w:rPr>
        <w:t>դիմումատու</w:t>
      </w:r>
      <w:r w:rsidRPr="00BD7577">
        <w:rPr>
          <w:rFonts w:ascii="Sylfaen" w:hAnsi="Sylfaen"/>
          <w:sz w:val="24"/>
          <w:szCs w:val="24"/>
        </w:rPr>
        <w:t>ն (ԳՀ-ի իրավատերը) կարողանա ստանձնել ակտիվ դեղագործական բաղադրամասի մասնագրի պիտանիության գնահատման ամբողջ պատասխանատվությունը, հսկի այդ ակտիվ դեղագործական բաղադրամասի որակը՝ այն որոշակի դեղապատրաստուկի արտադրության մեջ օգտագործելու նպատակով։</w:t>
      </w:r>
    </w:p>
    <w:p w14:paraId="7E06304E" w14:textId="1E05AFEC"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ՓՄ-ն կարող է պարունակել մնացած տեղեկությունները, ինչպիսիք են արտադրության առանձին փուլերի </w:t>
      </w:r>
      <w:r w:rsidR="00C54D75">
        <w:rPr>
          <w:rFonts w:ascii="Sylfaen" w:hAnsi="Sylfaen"/>
          <w:sz w:val="24"/>
          <w:szCs w:val="24"/>
        </w:rPr>
        <w:t>և</w:t>
      </w:r>
      <w:r w:rsidRPr="00BD7577">
        <w:rPr>
          <w:rFonts w:ascii="Sylfaen" w:hAnsi="Sylfaen"/>
          <w:sz w:val="24"/>
          <w:szCs w:val="24"/>
        </w:rPr>
        <w:t xml:space="preserve"> ակտիվ դեղագործական բաղադրամասի արտադրության ընթացքում որակի հսկողության մասին մանրամասն տեղեկությունները (ռեակցիաների ընթացքի պայմանները, ջերմաստիճանը, </w:t>
      </w:r>
      <w:r w:rsidRPr="00BD7577">
        <w:rPr>
          <w:rFonts w:ascii="Sylfaen" w:hAnsi="Sylfaen"/>
          <w:sz w:val="24"/>
          <w:szCs w:val="24"/>
        </w:rPr>
        <w:lastRenderedPageBreak/>
        <w:t xml:space="preserve">արտադրության կրիտիկական փուլերի տվյալների վալիդացումն ու գնահատումը)։ Անդամ պետությունների լիազորված մարմիններն իրավունք ունեն չհամաձայնելու այն բանի հետ, որ ԱԴԲՄՖ-ի որոշակի տեղեկություններ չեն փոխանցվել </w:t>
      </w:r>
      <w:r w:rsidR="0056496B">
        <w:rPr>
          <w:rFonts w:ascii="Sylfaen" w:hAnsi="Sylfaen"/>
          <w:sz w:val="24"/>
          <w:szCs w:val="24"/>
        </w:rPr>
        <w:t>դիմումատու</w:t>
      </w:r>
      <w:r w:rsidRPr="00BD7577">
        <w:rPr>
          <w:rFonts w:ascii="Sylfaen" w:hAnsi="Sylfaen"/>
          <w:sz w:val="24"/>
          <w:szCs w:val="24"/>
        </w:rPr>
        <w:t>ին (ԳՀ-ի իրավատիրոջը)։ Այդպիսի դեպքերում անդամ պետության լիազորված մարմիններն իրավունք ունեն ՀՄ-ի ուղղումներ պահանջելու։</w:t>
      </w:r>
    </w:p>
    <w:p w14:paraId="4E781287" w14:textId="77777777" w:rsidR="008C76E0" w:rsidRPr="00BD7577" w:rsidRDefault="008C76E0" w:rsidP="00007454">
      <w:pPr>
        <w:spacing w:after="160" w:line="360" w:lineRule="auto"/>
        <w:ind w:right="-1" w:firstLine="567"/>
        <w:jc w:val="both"/>
        <w:rPr>
          <w:rFonts w:ascii="Sylfaen" w:hAnsi="Sylfaen"/>
          <w:sz w:val="24"/>
          <w:szCs w:val="24"/>
        </w:rPr>
      </w:pPr>
      <w:r w:rsidRPr="002F33A8">
        <w:rPr>
          <w:rFonts w:ascii="Sylfaen" w:hAnsi="Sylfaen"/>
          <w:spacing w:val="-4"/>
          <w:sz w:val="24"/>
          <w:szCs w:val="24"/>
        </w:rPr>
        <w:t xml:space="preserve">Ի լրումն ՀՄ-ի </w:t>
      </w:r>
      <w:r w:rsidR="00C54D75">
        <w:rPr>
          <w:rFonts w:ascii="Sylfaen" w:hAnsi="Sylfaen"/>
          <w:spacing w:val="-4"/>
          <w:sz w:val="24"/>
          <w:szCs w:val="24"/>
        </w:rPr>
        <w:t>և</w:t>
      </w:r>
      <w:r w:rsidRPr="002F33A8">
        <w:rPr>
          <w:rFonts w:ascii="Sylfaen" w:hAnsi="Sylfaen"/>
          <w:spacing w:val="-4"/>
          <w:sz w:val="24"/>
          <w:szCs w:val="24"/>
        </w:rPr>
        <w:t xml:space="preserve"> ՓՄ-ի՝ ԱԴԲՄՖ-ն պետք է ունենա բովանդակություն, որակի վերաբերյալ առանձին ընդհանուր ռեզյումեներ՝ ՀՄ-ի </w:t>
      </w:r>
      <w:r w:rsidR="00C54D75">
        <w:rPr>
          <w:rFonts w:ascii="Sylfaen" w:hAnsi="Sylfaen"/>
          <w:spacing w:val="-4"/>
          <w:sz w:val="24"/>
          <w:szCs w:val="24"/>
        </w:rPr>
        <w:t>և</w:t>
      </w:r>
      <w:r w:rsidRPr="002F33A8">
        <w:rPr>
          <w:rFonts w:ascii="Sylfaen" w:hAnsi="Sylfaen"/>
          <w:spacing w:val="-4"/>
          <w:sz w:val="24"/>
          <w:szCs w:val="24"/>
        </w:rPr>
        <w:t xml:space="preserve"> ՓՄ-ի համար։ ՀՄ-ի </w:t>
      </w:r>
      <w:r w:rsidR="00C54D75">
        <w:rPr>
          <w:rFonts w:ascii="Sylfaen" w:hAnsi="Sylfaen"/>
          <w:spacing w:val="-4"/>
          <w:sz w:val="24"/>
          <w:szCs w:val="24"/>
        </w:rPr>
        <w:t>և</w:t>
      </w:r>
      <w:r w:rsidRPr="002F33A8">
        <w:rPr>
          <w:rFonts w:ascii="Sylfaen" w:hAnsi="Sylfaen"/>
          <w:spacing w:val="-4"/>
          <w:sz w:val="24"/>
          <w:szCs w:val="24"/>
        </w:rPr>
        <w:t xml:space="preserve"> ՓՄ-ի յուրաքանչյուր տարբերակ</w:t>
      </w:r>
      <w:r w:rsidRPr="00BD7577">
        <w:rPr>
          <w:rFonts w:ascii="Sylfaen" w:hAnsi="Sylfaen"/>
          <w:sz w:val="24"/>
          <w:szCs w:val="24"/>
        </w:rPr>
        <w:t xml:space="preserve"> պետք է ունենա տարբերակների եզակի </w:t>
      </w:r>
      <w:r w:rsidR="00C54D75">
        <w:rPr>
          <w:rFonts w:ascii="Sylfaen" w:hAnsi="Sylfaen"/>
          <w:sz w:val="24"/>
          <w:szCs w:val="24"/>
        </w:rPr>
        <w:t>և</w:t>
      </w:r>
      <w:r w:rsidRPr="00BD7577">
        <w:rPr>
          <w:rFonts w:ascii="Sylfaen" w:hAnsi="Sylfaen"/>
          <w:sz w:val="24"/>
          <w:szCs w:val="24"/>
        </w:rPr>
        <w:t xml:space="preserve"> անկախ հսկիչ համարներ։</w:t>
      </w:r>
    </w:p>
    <w:p w14:paraId="6F6B97FC" w14:textId="77777777" w:rsidR="008C76E0" w:rsidRPr="00BD7577" w:rsidRDefault="008C76E0" w:rsidP="00007454">
      <w:pPr>
        <w:spacing w:after="160" w:line="360" w:lineRule="auto"/>
        <w:ind w:right="-1" w:firstLine="567"/>
        <w:jc w:val="center"/>
        <w:rPr>
          <w:rFonts w:ascii="Sylfaen" w:hAnsi="Sylfaen"/>
          <w:sz w:val="24"/>
          <w:szCs w:val="24"/>
        </w:rPr>
      </w:pPr>
    </w:p>
    <w:p w14:paraId="0DB2A1AD"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 xml:space="preserve">IV. Ակտիվ դեղագործական բաղադրամասի մաստեր-ֆայլի </w:t>
      </w:r>
      <w:r w:rsidRPr="00BD7577">
        <w:rPr>
          <w:rFonts w:ascii="Sylfaen" w:hAnsi="Sylfaen"/>
          <w:sz w:val="24"/>
          <w:szCs w:val="24"/>
        </w:rPr>
        <w:br/>
        <w:t>ընթացակարգի օգտագործումը</w:t>
      </w:r>
    </w:p>
    <w:p w14:paraId="18F11888"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 xml:space="preserve">ԱԴԲՄՖ-ն թույլատրվում է ներկայացնել միայն որպես Միությունում դեղապատրաստուկի գրանցման կամ Միությունում գրանցված դեղապատրաստուկի գրանցման դոսյեում փոփոխություններ կատարելու հիմնավորում։ Ակտիվ դեղագործական բաղադրամասի որակի </w:t>
      </w:r>
      <w:r w:rsidR="00C54D75">
        <w:rPr>
          <w:rFonts w:ascii="Sylfaen" w:hAnsi="Sylfaen"/>
          <w:spacing w:val="-4"/>
          <w:sz w:val="24"/>
          <w:szCs w:val="24"/>
        </w:rPr>
        <w:t>և</w:t>
      </w:r>
      <w:r w:rsidRPr="002F33A8">
        <w:rPr>
          <w:rFonts w:ascii="Sylfaen" w:hAnsi="Sylfaen"/>
          <w:spacing w:val="-4"/>
          <w:sz w:val="24"/>
          <w:szCs w:val="24"/>
        </w:rPr>
        <w:t xml:space="preserve"> դա դեղապատրաստուկի բաղադրության մեջ օգտագործելու միջ</w:t>
      </w:r>
      <w:r w:rsidR="00C54D75">
        <w:rPr>
          <w:rFonts w:ascii="Sylfaen" w:hAnsi="Sylfaen"/>
          <w:spacing w:val="-4"/>
          <w:sz w:val="24"/>
          <w:szCs w:val="24"/>
        </w:rPr>
        <w:t>և</w:t>
      </w:r>
      <w:r w:rsidRPr="002F33A8">
        <w:rPr>
          <w:rFonts w:ascii="Sylfaen" w:hAnsi="Sylfaen"/>
          <w:spacing w:val="-4"/>
          <w:sz w:val="24"/>
          <w:szCs w:val="24"/>
        </w:rPr>
        <w:t xml:space="preserve"> կապն անհրաժեշտ է հիմնավորել գրանցման դոսյեում կամ փոփոխության դոսյեում։</w:t>
      </w:r>
    </w:p>
    <w:p w14:paraId="7446D319" w14:textId="485AC7A9" w:rsidR="008C76E0" w:rsidRPr="00BD7577" w:rsidRDefault="008C76E0" w:rsidP="00007454">
      <w:pPr>
        <w:spacing w:after="160" w:line="360" w:lineRule="auto"/>
        <w:ind w:right="-1" w:firstLine="567"/>
        <w:jc w:val="both"/>
        <w:rPr>
          <w:rFonts w:ascii="Sylfaen" w:hAnsi="Sylfaen"/>
          <w:sz w:val="24"/>
          <w:szCs w:val="24"/>
        </w:rPr>
      </w:pPr>
      <w:r w:rsidRPr="00324652">
        <w:rPr>
          <w:rFonts w:ascii="Sylfaen" w:hAnsi="Sylfaen"/>
          <w:sz w:val="24"/>
          <w:szCs w:val="24"/>
        </w:rPr>
        <w:t>Թե</w:t>
      </w:r>
      <w:r w:rsidR="00C54D75">
        <w:rPr>
          <w:rFonts w:ascii="Sylfaen" w:hAnsi="Sylfaen"/>
          <w:sz w:val="24"/>
          <w:szCs w:val="24"/>
        </w:rPr>
        <w:t>և</w:t>
      </w:r>
      <w:r w:rsidRPr="00324652">
        <w:rPr>
          <w:rFonts w:ascii="Sylfaen" w:hAnsi="Sylfaen"/>
          <w:sz w:val="24"/>
          <w:szCs w:val="24"/>
        </w:rPr>
        <w:t xml:space="preserve"> ԱԴԲՄՖ-ի ընթացակարգը մշակվել է ԱԴԲԱ-ի մտավոր սեփականությունը պաշտպանելու նպատակով, այն նա</w:t>
      </w:r>
      <w:r w:rsidR="00C54D75">
        <w:rPr>
          <w:rFonts w:ascii="Sylfaen" w:hAnsi="Sylfaen"/>
          <w:sz w:val="24"/>
          <w:szCs w:val="24"/>
        </w:rPr>
        <w:t>և</w:t>
      </w:r>
      <w:r w:rsidRPr="00324652">
        <w:rPr>
          <w:rFonts w:ascii="Sylfaen" w:hAnsi="Sylfaen"/>
          <w:sz w:val="24"/>
          <w:szCs w:val="24"/>
        </w:rPr>
        <w:t xml:space="preserve"> թույլատրվում է օգտագործել </w:t>
      </w:r>
      <w:r w:rsidR="0056496B">
        <w:rPr>
          <w:rFonts w:ascii="Sylfaen" w:hAnsi="Sylfaen"/>
          <w:sz w:val="24"/>
          <w:szCs w:val="24"/>
        </w:rPr>
        <w:t>դիմումատու</w:t>
      </w:r>
      <w:r w:rsidRPr="00324652">
        <w:rPr>
          <w:rFonts w:ascii="Sylfaen" w:hAnsi="Sylfaen"/>
          <w:sz w:val="24"/>
          <w:szCs w:val="24"/>
        </w:rPr>
        <w:t xml:space="preserve">ի (ԳՀ-ի իրավատիրոջ) </w:t>
      </w:r>
      <w:r w:rsidR="00C54D75">
        <w:rPr>
          <w:rFonts w:ascii="Sylfaen" w:hAnsi="Sylfaen"/>
          <w:sz w:val="24"/>
          <w:szCs w:val="24"/>
        </w:rPr>
        <w:t>և</w:t>
      </w:r>
      <w:r w:rsidRPr="00324652">
        <w:rPr>
          <w:rFonts w:ascii="Sylfaen" w:hAnsi="Sylfaen"/>
          <w:sz w:val="24"/>
          <w:szCs w:val="24"/>
        </w:rPr>
        <w:t xml:space="preserve"> ԱԴԲԱ-ի միջ</w:t>
      </w:r>
      <w:r w:rsidR="00C54D75">
        <w:rPr>
          <w:rFonts w:ascii="Sylfaen" w:hAnsi="Sylfaen"/>
          <w:sz w:val="24"/>
          <w:szCs w:val="24"/>
        </w:rPr>
        <w:t>և</w:t>
      </w:r>
      <w:r w:rsidRPr="00324652">
        <w:rPr>
          <w:rFonts w:ascii="Sylfaen" w:hAnsi="Sylfaen"/>
          <w:sz w:val="24"/>
          <w:szCs w:val="24"/>
        </w:rPr>
        <w:t xml:space="preserve"> գաղտնիության </w:t>
      </w:r>
      <w:r w:rsidRPr="00324652">
        <w:rPr>
          <w:rFonts w:ascii="Sylfaen" w:hAnsi="Sylfaen"/>
          <w:spacing w:val="-4"/>
          <w:sz w:val="24"/>
          <w:szCs w:val="24"/>
        </w:rPr>
        <w:t xml:space="preserve">բացակայության դեպքում (օրինակ՝ երբ </w:t>
      </w:r>
      <w:r w:rsidR="0056496B">
        <w:rPr>
          <w:rFonts w:ascii="Sylfaen" w:hAnsi="Sylfaen"/>
          <w:spacing w:val="-4"/>
          <w:sz w:val="24"/>
          <w:szCs w:val="24"/>
        </w:rPr>
        <w:t>դիմումատու</w:t>
      </w:r>
      <w:r w:rsidRPr="00324652">
        <w:rPr>
          <w:rFonts w:ascii="Sylfaen" w:hAnsi="Sylfaen"/>
          <w:spacing w:val="-4"/>
          <w:sz w:val="24"/>
          <w:szCs w:val="24"/>
        </w:rPr>
        <w:t>ն (ԳՀ-ի իրավատերը) ինքնուրույն սինթեզում է ակտիվ դեղագործական բաղադրամասը): ԱԴԲԱ-ն պետք է լինի ԱԴԲՄՖ-ի իրավատերը</w:t>
      </w:r>
      <w:r w:rsidRPr="00BD7577">
        <w:rPr>
          <w:rFonts w:ascii="Sylfaen" w:hAnsi="Sylfaen"/>
          <w:sz w:val="24"/>
          <w:szCs w:val="24"/>
        </w:rPr>
        <w:t>։</w:t>
      </w:r>
    </w:p>
    <w:p w14:paraId="5C1D610A" w14:textId="45670336"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ԱԴԲՄՖ-ի ընթացակարգն օգտագործվում է հետ</w:t>
      </w:r>
      <w:r w:rsidR="00C54D75">
        <w:rPr>
          <w:rFonts w:ascii="Sylfaen" w:hAnsi="Sylfaen"/>
          <w:sz w:val="24"/>
          <w:szCs w:val="24"/>
        </w:rPr>
        <w:t>և</w:t>
      </w:r>
      <w:r w:rsidRPr="00BD7577">
        <w:rPr>
          <w:rFonts w:ascii="Sylfaen" w:hAnsi="Sylfaen"/>
          <w:sz w:val="24"/>
          <w:szCs w:val="24"/>
        </w:rPr>
        <w:t xml:space="preserve">յալ ակտիվ դեղագործական բաղադրամասերի դեպքում, ներառյալ՝ դեղաբուսական հումքը (բուսական </w:t>
      </w:r>
      <w:r w:rsidRPr="00BD7577">
        <w:rPr>
          <w:rFonts w:ascii="Sylfaen" w:hAnsi="Sylfaen"/>
          <w:sz w:val="24"/>
          <w:szCs w:val="24"/>
        </w:rPr>
        <w:lastRenderedPageBreak/>
        <w:t xml:space="preserve">դեղագործական բաղադրամասերը)՝ նոր ակտիվ դեղագործական բաղադրամասերը. </w:t>
      </w:r>
      <w:r w:rsidR="005F6A31">
        <w:rPr>
          <w:rFonts w:ascii="Sylfaen" w:hAnsi="Sylfaen"/>
          <w:sz w:val="24"/>
          <w:szCs w:val="24"/>
        </w:rPr>
        <w:t>հայտնի</w:t>
      </w:r>
      <w:r w:rsidRPr="00BD7577">
        <w:rPr>
          <w:rFonts w:ascii="Sylfaen" w:hAnsi="Sylfaen"/>
          <w:sz w:val="24"/>
          <w:szCs w:val="24"/>
        </w:rPr>
        <w:t xml:space="preserve"> ակտիվ դեղագործական բաղադրամասեր, որոնք ներառված չեն Միության դեղագրքում կամ անդամ պետության դեղագրքում,</w:t>
      </w:r>
    </w:p>
    <w:p w14:paraId="6E209951"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դեղագրքային ակտիվ դեղագործական բաղադրամասեր, որոնք ներառված են Միության դեղագրքում կամ անդամ պետության դեղագրքում։</w:t>
      </w:r>
    </w:p>
    <w:p w14:paraId="73A6ACB6" w14:textId="77777777"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ընթացակարգը չի թույլատրվում օգտագործել կենսաբանական ակտիվ դեղագործական բաղադրամասերի դեպքում (սույն հավելվածի թիվ 5 լրացում)։</w:t>
      </w:r>
    </w:p>
    <w:p w14:paraId="5C3CBEB9" w14:textId="70EA3AEC" w:rsidR="008C76E0" w:rsidRPr="002F33A8" w:rsidRDefault="008C76E0" w:rsidP="00007454">
      <w:pPr>
        <w:spacing w:after="160" w:line="360" w:lineRule="auto"/>
        <w:ind w:right="-1" w:firstLine="567"/>
        <w:jc w:val="both"/>
        <w:rPr>
          <w:rFonts w:ascii="Sylfaen" w:hAnsi="Sylfaen"/>
          <w:spacing w:val="-4"/>
          <w:sz w:val="24"/>
          <w:szCs w:val="24"/>
        </w:rPr>
      </w:pPr>
      <w:r w:rsidRPr="002F33A8">
        <w:rPr>
          <w:rFonts w:ascii="Sylfaen" w:hAnsi="Sylfaen"/>
          <w:spacing w:val="4"/>
          <w:sz w:val="24"/>
          <w:szCs w:val="24"/>
        </w:rPr>
        <w:t>ԱԴԲՄՖ-ի իրավատերը կարող է ունենալ ԱԴԲՄՖ, ինչպես նա</w:t>
      </w:r>
      <w:r w:rsidR="00C54D75">
        <w:rPr>
          <w:rFonts w:ascii="Sylfaen" w:hAnsi="Sylfaen"/>
          <w:spacing w:val="4"/>
          <w:sz w:val="24"/>
          <w:szCs w:val="24"/>
        </w:rPr>
        <w:t>և</w:t>
      </w:r>
      <w:r w:rsidRPr="002F33A8">
        <w:rPr>
          <w:rFonts w:ascii="Sylfaen" w:hAnsi="Sylfaen"/>
          <w:spacing w:val="4"/>
          <w:sz w:val="24"/>
          <w:szCs w:val="24"/>
        </w:rPr>
        <w:t xml:space="preserve"> առանձին ակտիվ դեղագործական բաղադրամասի համար տրված СЕР սերտիֆիկատ։ Այնուամենայնիվ, ընդհանուր առմամբ անթույլատրելի է, որ </w:t>
      </w:r>
      <w:r w:rsidR="0056496B">
        <w:rPr>
          <w:rFonts w:ascii="Sylfaen" w:hAnsi="Sylfaen"/>
          <w:spacing w:val="4"/>
          <w:sz w:val="24"/>
          <w:szCs w:val="24"/>
        </w:rPr>
        <w:t>դիմումատու</w:t>
      </w:r>
      <w:r w:rsidRPr="002F33A8">
        <w:rPr>
          <w:rFonts w:ascii="Sylfaen" w:hAnsi="Sylfaen"/>
          <w:spacing w:val="4"/>
          <w:sz w:val="24"/>
          <w:szCs w:val="24"/>
        </w:rPr>
        <w:t xml:space="preserve">ն </w:t>
      </w:r>
      <w:r w:rsidRPr="002F33A8">
        <w:rPr>
          <w:rFonts w:ascii="Sylfaen" w:hAnsi="Sylfaen"/>
          <w:spacing w:val="4"/>
          <w:sz w:val="24"/>
          <w:szCs w:val="24"/>
        </w:rPr>
        <w:br/>
        <w:t xml:space="preserve">(ԳՀ-ի իրավատերը) </w:t>
      </w:r>
      <w:r w:rsidRPr="002F33A8">
        <w:rPr>
          <w:rFonts w:ascii="Sylfaen" w:hAnsi="Sylfaen"/>
          <w:spacing w:val="-4"/>
          <w:sz w:val="24"/>
          <w:szCs w:val="24"/>
        </w:rPr>
        <w:t>մեկ գրանցման դոսյեի (փոփոխության դոսյեի) մի</w:t>
      </w:r>
      <w:r w:rsidR="00C54D75">
        <w:rPr>
          <w:rFonts w:ascii="Sylfaen" w:hAnsi="Sylfaen"/>
          <w:spacing w:val="-4"/>
          <w:sz w:val="24"/>
          <w:szCs w:val="24"/>
        </w:rPr>
        <w:t>և</w:t>
      </w:r>
      <w:r w:rsidRPr="002F33A8">
        <w:rPr>
          <w:rFonts w:ascii="Sylfaen" w:hAnsi="Sylfaen"/>
          <w:spacing w:val="-4"/>
          <w:sz w:val="24"/>
          <w:szCs w:val="24"/>
        </w:rPr>
        <w:t xml:space="preserve">նույն ակտիվ դեղագործական բաղադրամասի դեպքում հղում կատարի </w:t>
      </w:r>
      <w:r w:rsidR="00C54D75">
        <w:rPr>
          <w:rFonts w:ascii="Sylfaen" w:hAnsi="Sylfaen"/>
          <w:spacing w:val="-4"/>
          <w:sz w:val="24"/>
          <w:szCs w:val="24"/>
        </w:rPr>
        <w:t>և</w:t>
      </w:r>
      <w:r w:rsidRPr="002F33A8">
        <w:rPr>
          <w:rFonts w:ascii="Sylfaen" w:hAnsi="Sylfaen"/>
          <w:spacing w:val="-4"/>
          <w:sz w:val="24"/>
          <w:szCs w:val="24"/>
        </w:rPr>
        <w:t xml:space="preserve">՛ ԱԴԲՄՖ-ին, </w:t>
      </w:r>
      <w:r w:rsidR="00C54D75">
        <w:rPr>
          <w:rFonts w:ascii="Sylfaen" w:hAnsi="Sylfaen"/>
          <w:spacing w:val="-4"/>
          <w:sz w:val="24"/>
          <w:szCs w:val="24"/>
        </w:rPr>
        <w:t>և</w:t>
      </w:r>
      <w:r w:rsidRPr="002F33A8">
        <w:rPr>
          <w:rFonts w:ascii="Sylfaen" w:hAnsi="Sylfaen"/>
          <w:spacing w:val="-4"/>
          <w:sz w:val="24"/>
          <w:szCs w:val="24"/>
        </w:rPr>
        <w:t>՛ СЕР-ին։ Եթե СЕР-ը պարունակում է ոչ բավարար տեղեկություններ (օրինակ՝ կայունության վերաբերյալ), ապա անդամ պետությունների լիազորված մարմիններն իրավունք ունեն պահանջելու դոսյեի մեջ լրացուցիչ տեղեկությունների ներառում։ Այդ դեպքում թույլատրվում է հղում կատարել ինչպես ԱԴԲՄՖ-ին, այնպես էլ СЕР-ին։</w:t>
      </w:r>
    </w:p>
    <w:p w14:paraId="216D9BB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անդամ պետությունների լիազորված մարմիններին պետք է թույլտվություն տա ԱԴԲՄՖ-ի տվյալների փորձաքննության համար՝ կոնկրետ գրանցման դոսյեի (փոփոխության դոսյե) հետ փոխկապակցվածությամբ՝ «Հասանելիության թույլտվության» ձ</w:t>
      </w:r>
      <w:r w:rsidR="00C54D75">
        <w:rPr>
          <w:rFonts w:ascii="Sylfaen" w:hAnsi="Sylfaen"/>
          <w:sz w:val="24"/>
          <w:szCs w:val="24"/>
        </w:rPr>
        <w:t>և</w:t>
      </w:r>
      <w:r w:rsidRPr="00BD7577">
        <w:rPr>
          <w:rFonts w:ascii="Sylfaen" w:hAnsi="Sylfaen"/>
          <w:sz w:val="24"/>
          <w:szCs w:val="24"/>
        </w:rPr>
        <w:t>ով (սույն հավելվածի թիվ 2 լրացում)։</w:t>
      </w:r>
    </w:p>
    <w:p w14:paraId="04FCAE61" w14:textId="01CED898"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իրավատերը </w:t>
      </w:r>
      <w:r w:rsidR="0056496B">
        <w:rPr>
          <w:rFonts w:ascii="Sylfaen" w:hAnsi="Sylfaen"/>
          <w:sz w:val="24"/>
          <w:szCs w:val="24"/>
        </w:rPr>
        <w:t>դիմումատու</w:t>
      </w:r>
      <w:r w:rsidRPr="00BD7577">
        <w:rPr>
          <w:rFonts w:ascii="Sylfaen" w:hAnsi="Sylfaen"/>
          <w:sz w:val="24"/>
          <w:szCs w:val="24"/>
        </w:rPr>
        <w:t>ին (ԳՀ-ի իրավատիրոջը) պետք է տրամադրի հետ</w:t>
      </w:r>
      <w:r w:rsidR="00C54D75">
        <w:rPr>
          <w:rFonts w:ascii="Sylfaen" w:hAnsi="Sylfaen"/>
          <w:sz w:val="24"/>
          <w:szCs w:val="24"/>
        </w:rPr>
        <w:t>և</w:t>
      </w:r>
      <w:r w:rsidRPr="00BD7577">
        <w:rPr>
          <w:rFonts w:ascii="Sylfaen" w:hAnsi="Sylfaen"/>
          <w:sz w:val="24"/>
          <w:szCs w:val="24"/>
        </w:rPr>
        <w:t>յալ փաստաթղթերը՝</w:t>
      </w:r>
    </w:p>
    <w:p w14:paraId="6CBA775B"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ՀՄ-ի վերջին տարբերակի պատճենը (</w:t>
      </w:r>
      <w:r w:rsidR="00C54D75">
        <w:rPr>
          <w:rFonts w:ascii="Sylfaen" w:hAnsi="Sylfaen"/>
          <w:sz w:val="24"/>
          <w:szCs w:val="24"/>
        </w:rPr>
        <w:t>և</w:t>
      </w:r>
      <w:r w:rsidRPr="00BD7577">
        <w:rPr>
          <w:rFonts w:ascii="Sylfaen" w:hAnsi="Sylfaen"/>
          <w:sz w:val="24"/>
          <w:szCs w:val="24"/>
        </w:rPr>
        <w:t>, եթե կիրառելի է, անդամ պետության լիազորված մարմնի՝ ՀՄ-ում տվյալների ոչ բավարար լինելու մասին ծանուցումը, եթե դրանք դեռ</w:t>
      </w:r>
      <w:r w:rsidR="00C54D75">
        <w:rPr>
          <w:rFonts w:ascii="Sylfaen" w:hAnsi="Sylfaen"/>
          <w:sz w:val="24"/>
          <w:szCs w:val="24"/>
        </w:rPr>
        <w:t>և</w:t>
      </w:r>
      <w:r w:rsidRPr="00BD7577">
        <w:rPr>
          <w:rFonts w:ascii="Sylfaen" w:hAnsi="Sylfaen"/>
          <w:sz w:val="24"/>
          <w:szCs w:val="24"/>
        </w:rPr>
        <w:t>ս չեն ներառվել ՀՄ-ում),</w:t>
      </w:r>
    </w:p>
    <w:p w14:paraId="4881E022"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ՀՄ-ի վերջին տարբերակի մասով որակի ընդհանուր ռեզյումեի պատճենը, </w:t>
      </w:r>
      <w:r w:rsidRPr="00BD7577">
        <w:rPr>
          <w:rFonts w:ascii="Sylfaen" w:hAnsi="Sylfaen"/>
          <w:sz w:val="24"/>
          <w:szCs w:val="24"/>
        </w:rPr>
        <w:lastRenderedPageBreak/>
        <w:t>հասանելիության թույլտվության պատճենը, եթե դիտարկվող դեղապատրաստուկի դեպքում այդպիսի թույլտվություն նախկինում չի փոխանցվել։</w:t>
      </w:r>
    </w:p>
    <w:p w14:paraId="39805EC7"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Բացի այդ, պարտադիր պահանջ է ԱԴԲՄՖ-ի իրավատիրոջ կողմից գրանցման (գրանցման դոսյեում փոփոխություններ կատարելու) ընթացակարգում ներգրավված անդամ պետությունների բոլոր լիազորված մարմիններ ներկայացնել՝</w:t>
      </w:r>
    </w:p>
    <w:p w14:paraId="0CC0DDC0"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ԱԴԲՄՖ-ն (</w:t>
      </w:r>
      <w:r w:rsidR="00C54D75">
        <w:rPr>
          <w:rFonts w:ascii="Sylfaen" w:hAnsi="Sylfaen"/>
          <w:sz w:val="24"/>
          <w:szCs w:val="24"/>
        </w:rPr>
        <w:t>և</w:t>
      </w:r>
      <w:r w:rsidRPr="00BD7577">
        <w:rPr>
          <w:rFonts w:ascii="Sylfaen" w:hAnsi="Sylfaen"/>
          <w:sz w:val="24"/>
          <w:szCs w:val="24"/>
        </w:rPr>
        <w:t>, եթե կիրառելի է, տվյալների ոչ բավարար լինելու մասին անդամ պետության լիազորված մարմնի ծանուցումներին տրված պատասխանները, եթե դրանք դեռ</w:t>
      </w:r>
      <w:r w:rsidR="00C54D75">
        <w:rPr>
          <w:rFonts w:ascii="Sylfaen" w:hAnsi="Sylfaen"/>
          <w:sz w:val="24"/>
          <w:szCs w:val="24"/>
        </w:rPr>
        <w:t>և</w:t>
      </w:r>
      <w:r w:rsidRPr="00BD7577">
        <w:rPr>
          <w:rFonts w:ascii="Sylfaen" w:hAnsi="Sylfaen"/>
          <w:sz w:val="24"/>
          <w:szCs w:val="24"/>
        </w:rPr>
        <w:t xml:space="preserve">ս չեն ներառվել ԱԴԲՄՖ-ում) ուղեգիր-նամակի </w:t>
      </w:r>
      <w:r w:rsidR="00C54D75">
        <w:rPr>
          <w:rFonts w:ascii="Sylfaen" w:hAnsi="Sylfaen"/>
          <w:sz w:val="24"/>
          <w:szCs w:val="24"/>
        </w:rPr>
        <w:t>և</w:t>
      </w:r>
      <w:r w:rsidRPr="00BD7577">
        <w:rPr>
          <w:rFonts w:ascii="Sylfaen" w:hAnsi="Sylfaen"/>
          <w:sz w:val="24"/>
          <w:szCs w:val="24"/>
        </w:rPr>
        <w:t xml:space="preserve"> վարչական տվյալների հետ միասին (սույն հավելվածի թիվ 3 լրացում)։ Այս պահանջը տարածվում է նա</w:t>
      </w:r>
      <w:r w:rsidR="00C54D75">
        <w:rPr>
          <w:rFonts w:ascii="Sylfaen" w:hAnsi="Sylfaen"/>
          <w:sz w:val="24"/>
          <w:szCs w:val="24"/>
        </w:rPr>
        <w:t>և</w:t>
      </w:r>
      <w:r w:rsidRPr="00BD7577">
        <w:rPr>
          <w:rFonts w:ascii="Sylfaen" w:hAnsi="Sylfaen"/>
          <w:sz w:val="24"/>
          <w:szCs w:val="24"/>
        </w:rPr>
        <w:t xml:space="preserve"> ԱԴԲՄՖ-ի իրավատիրոջ՝ անդամ պետության լիազորված մարմնի՝ տվյալների ոչ բավարար լինելու մասին ծանուցումներին տրված պատասխանների վրա,</w:t>
      </w:r>
    </w:p>
    <w:p w14:paraId="5E07BFFA"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հասանելիության թույլտվությունը, եթե դիտարկվող դեղապատրաստուկի դեպքում այդպիսի թույլտվություն նախկինում չի ներկայացվել։</w:t>
      </w:r>
    </w:p>
    <w:p w14:paraId="6A5CC09F" w14:textId="7777777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ԱԴԲՄՖ-ն պետք է անդամ պետության լիազորված մարմին ներկայացնի մեկ անգամ։ ԱԴԲՄՖ-ի իրավատերը պետք է համաժամանակեցնի համապատասխան փաստաթղթերն անդամ պետության լիազորված մարմին ներկայացնելը գրանցման դոսյեն (փոփոխության դոսյեն) ներկայացնելու հետ՝ փաստաթղթերը պետք է տեղ հասնեն համապատասխան գրանցման դոսյեն (փոփոխության դոսյեն) ներկայացնելուց հետո մեկ ամսից ոչ շուտ կամ ուշ։</w:t>
      </w:r>
    </w:p>
    <w:p w14:paraId="035675B2" w14:textId="5FAB3AE7"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ԱԴԲՄՖ-ի ընթացակարգն օգտագործելիս </w:t>
      </w:r>
      <w:r w:rsidR="0056496B">
        <w:rPr>
          <w:rFonts w:ascii="Sylfaen" w:hAnsi="Sylfaen"/>
          <w:sz w:val="24"/>
          <w:szCs w:val="24"/>
        </w:rPr>
        <w:t>դիմումատու</w:t>
      </w:r>
      <w:r w:rsidRPr="00BD7577">
        <w:rPr>
          <w:rFonts w:ascii="Sylfaen" w:hAnsi="Sylfaen"/>
          <w:sz w:val="24"/>
          <w:szCs w:val="24"/>
        </w:rPr>
        <w:t>ն (ԳՀ-ի իրավատերը) պետք է ռեֆերենտ</w:t>
      </w:r>
      <w:r w:rsidRPr="00BD7577" w:rsidDel="004F2F4D">
        <w:rPr>
          <w:rFonts w:ascii="Sylfaen" w:hAnsi="Sylfaen"/>
          <w:sz w:val="24"/>
          <w:szCs w:val="24"/>
        </w:rPr>
        <w:t xml:space="preserve"> </w:t>
      </w:r>
      <w:r w:rsidRPr="00BD7577">
        <w:rPr>
          <w:rFonts w:ascii="Sylfaen" w:hAnsi="Sylfaen"/>
          <w:sz w:val="24"/>
          <w:szCs w:val="24"/>
        </w:rPr>
        <w:t>պետության լիազորված մարմին ներկայացնի գրանցման դոսյեն կամ փոփոխության դոսյեն հասանելիության թույլտվության հետ միասին, եթե դիտարկվող դեղապատրաստուկի մասով այն նախկինում չի ներկայացվել հենց ԳՀ-ի իրավատիրոջ (</w:t>
      </w:r>
      <w:r w:rsidR="0056496B">
        <w:rPr>
          <w:rFonts w:ascii="Sylfaen" w:hAnsi="Sylfaen"/>
          <w:sz w:val="24"/>
          <w:szCs w:val="24"/>
        </w:rPr>
        <w:t>դիմումատու</w:t>
      </w:r>
      <w:r w:rsidRPr="00BD7577">
        <w:rPr>
          <w:rFonts w:ascii="Sylfaen" w:hAnsi="Sylfaen"/>
          <w:sz w:val="24"/>
          <w:szCs w:val="24"/>
        </w:rPr>
        <w:t>ի) կամ ԱԴԲՄՖ-ի իրավատիրոջ կողմից։</w:t>
      </w:r>
    </w:p>
    <w:p w14:paraId="26EDF0A7" w14:textId="77777777" w:rsidR="008C76E0" w:rsidRPr="00BD7577" w:rsidRDefault="008C76E0" w:rsidP="00007454">
      <w:pPr>
        <w:tabs>
          <w:tab w:val="left" w:pos="3261"/>
        </w:tabs>
        <w:spacing w:after="160" w:line="360" w:lineRule="auto"/>
        <w:ind w:firstLine="567"/>
        <w:jc w:val="both"/>
        <w:rPr>
          <w:rFonts w:ascii="Sylfaen" w:hAnsi="Sylfaen"/>
          <w:sz w:val="24"/>
          <w:szCs w:val="24"/>
        </w:rPr>
      </w:pPr>
      <w:r w:rsidRPr="00BD7577">
        <w:rPr>
          <w:rFonts w:ascii="Sylfaen" w:hAnsi="Sylfaen"/>
          <w:sz w:val="24"/>
          <w:szCs w:val="24"/>
        </w:rPr>
        <w:lastRenderedPageBreak/>
        <w:t>Եթե մի</w:t>
      </w:r>
      <w:r w:rsidR="00C54D75">
        <w:rPr>
          <w:rFonts w:ascii="Sylfaen" w:hAnsi="Sylfaen"/>
          <w:sz w:val="24"/>
          <w:szCs w:val="24"/>
        </w:rPr>
        <w:t>և</w:t>
      </w:r>
      <w:r w:rsidRPr="00BD7577">
        <w:rPr>
          <w:rFonts w:ascii="Sylfaen" w:hAnsi="Sylfaen"/>
          <w:sz w:val="24"/>
          <w:szCs w:val="24"/>
        </w:rPr>
        <w:t xml:space="preserve">նույն ակտիվ դեղագործական բաղադրամասն օգտագործվում է տարբեր դեղապատրաստուկների համար մի քանի դոսյեներում մեկ կամ ավելի անդամ պետություններում, ապա ԱԴԲՄՖ-ի իրավատերն անդամ պետության յուրաքանչյուր լիազորված մարմին պետք է ներկայացնի նույնական փաստաթղթեր։ Հետագայում անդամ պետությունների լիազորված մարմիններն իրավունք ունեն պահանջելու, որ մեկ գրանցման դոսյեի մասով կատարված ԱԴԲՄՖ-ի ցանկացած թարմացում կիրառվի մնացած դոսյեների մասով։ ԱԴԲՄՖ-ի իրավատիրոջ պարտականությունն է ԳՀ-ի շահագրգիռ իրավատերերին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մարմիններին ծանուցել ՀՄ-ում </w:t>
      </w:r>
      <w:r w:rsidR="00C54D75">
        <w:rPr>
          <w:rFonts w:ascii="Sylfaen" w:hAnsi="Sylfaen"/>
          <w:sz w:val="24"/>
          <w:szCs w:val="24"/>
        </w:rPr>
        <w:t>և</w:t>
      </w:r>
      <w:r w:rsidRPr="00BD7577">
        <w:rPr>
          <w:rFonts w:ascii="Sylfaen" w:hAnsi="Sylfaen"/>
          <w:sz w:val="24"/>
          <w:szCs w:val="24"/>
        </w:rPr>
        <w:t xml:space="preserve"> (կամ) ՓՄ-ում կատարված ցանկացած փոփոխության մասին, որպեսզի ԳՀ-ի իրավատերերը կարողանան համապատասխան ձ</w:t>
      </w:r>
      <w:r w:rsidR="00C54D75">
        <w:rPr>
          <w:rFonts w:ascii="Sylfaen" w:hAnsi="Sylfaen"/>
          <w:sz w:val="24"/>
          <w:szCs w:val="24"/>
        </w:rPr>
        <w:t>և</w:t>
      </w:r>
      <w:r w:rsidRPr="00BD7577">
        <w:rPr>
          <w:rFonts w:ascii="Sylfaen" w:hAnsi="Sylfaen"/>
          <w:sz w:val="24"/>
          <w:szCs w:val="24"/>
        </w:rPr>
        <w:t>ով թարմացնել դեղապատրաստուկների շոշափված բոլոր գրանցման դոսյեները։</w:t>
      </w:r>
    </w:p>
    <w:p w14:paraId="1135F8FC" w14:textId="77777777" w:rsidR="008C76E0" w:rsidRPr="00BD7577" w:rsidRDefault="008C76E0" w:rsidP="00007454">
      <w:pPr>
        <w:tabs>
          <w:tab w:val="left" w:pos="3261"/>
        </w:tabs>
        <w:spacing w:after="160" w:line="360" w:lineRule="auto"/>
        <w:ind w:firstLine="567"/>
        <w:jc w:val="center"/>
        <w:rPr>
          <w:rFonts w:ascii="Sylfaen" w:hAnsi="Sylfaen"/>
          <w:sz w:val="24"/>
          <w:szCs w:val="24"/>
        </w:rPr>
      </w:pPr>
    </w:p>
    <w:p w14:paraId="5E9D8581"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t>V. Գրանցման դոսյեի բովանդակությունը՝ ակտիվ դեղագործական բաղադրամասի մաստեր-ֆայլի ընթացակարգն օգտագործելիս</w:t>
      </w:r>
    </w:p>
    <w:p w14:paraId="5C179B46" w14:textId="5648D2A5" w:rsidR="008C76E0" w:rsidRPr="00BD7577" w:rsidRDefault="0056496B" w:rsidP="00007454">
      <w:pPr>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BD7577">
        <w:rPr>
          <w:rFonts w:ascii="Sylfaen" w:hAnsi="Sylfaen"/>
          <w:sz w:val="24"/>
          <w:szCs w:val="24"/>
        </w:rPr>
        <w:t>ն (ԳՀ-ի իրավատերը) պատասխանատու է ակտիվ դեղագործական բաղադրամասի փաստացի արտադրության մասին բոլոր անհրաժեշտ տեղեկություններին իր հասանելիության առկայությունն ապահովելու համար։</w:t>
      </w:r>
    </w:p>
    <w:p w14:paraId="10ACBE79" w14:textId="70136B11"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Գրանցման դոսյեում միանշանակ անհրաժեշտ է ներկայացնել ակտիվ դեղագործական բաղադրամասի որակի հսկողության համար </w:t>
      </w:r>
      <w:r w:rsidR="0056496B">
        <w:rPr>
          <w:rFonts w:ascii="Sylfaen" w:hAnsi="Sylfaen"/>
          <w:sz w:val="24"/>
          <w:szCs w:val="24"/>
        </w:rPr>
        <w:t>դիմումատու</w:t>
      </w:r>
      <w:r w:rsidRPr="00BD7577">
        <w:rPr>
          <w:rFonts w:ascii="Sylfaen" w:hAnsi="Sylfaen"/>
          <w:sz w:val="24"/>
          <w:szCs w:val="24"/>
        </w:rPr>
        <w:t>ի (ԳՀ-ի իրավատիրոջ) կողմից օգտագործվող մասնագիրը (ԸՏՓ-ի ձ</w:t>
      </w:r>
      <w:r w:rsidR="00C54D75">
        <w:rPr>
          <w:rFonts w:ascii="Sylfaen" w:hAnsi="Sylfaen"/>
          <w:sz w:val="24"/>
          <w:szCs w:val="24"/>
        </w:rPr>
        <w:t>և</w:t>
      </w:r>
      <w:r w:rsidRPr="00BD7577">
        <w:rPr>
          <w:rFonts w:ascii="Sylfaen" w:hAnsi="Sylfaen"/>
          <w:sz w:val="24"/>
          <w:szCs w:val="24"/>
        </w:rPr>
        <w:t xml:space="preserve">աչափի բաժին 3.2.S.4.1 կամ 3.2.S.4.2)։ </w:t>
      </w:r>
      <w:r w:rsidR="0056496B">
        <w:rPr>
          <w:rFonts w:ascii="Sylfaen" w:hAnsi="Sylfaen"/>
          <w:sz w:val="24"/>
          <w:szCs w:val="24"/>
        </w:rPr>
        <w:t>Դիմում</w:t>
      </w:r>
      <w:r w:rsidRPr="00BD7577">
        <w:rPr>
          <w:rFonts w:ascii="Sylfaen" w:hAnsi="Sylfaen"/>
          <w:sz w:val="24"/>
          <w:szCs w:val="24"/>
        </w:rPr>
        <w:t>ատուն (ԳՀ-ի իրավատերը) պետք է գրանցման դոսյեում ներառի ՀՄ-ի պատճենը (ԸՏՓ-ի ձ</w:t>
      </w:r>
      <w:r w:rsidR="00C54D75">
        <w:rPr>
          <w:rFonts w:ascii="Sylfaen" w:hAnsi="Sylfaen"/>
          <w:sz w:val="24"/>
          <w:szCs w:val="24"/>
        </w:rPr>
        <w:t>և</w:t>
      </w:r>
      <w:r w:rsidRPr="00BD7577">
        <w:rPr>
          <w:rFonts w:ascii="Sylfaen" w:hAnsi="Sylfaen"/>
          <w:sz w:val="24"/>
          <w:szCs w:val="24"/>
        </w:rPr>
        <w:t xml:space="preserve">աչափի բաժին 3.2.S)։ Գրանցման դոսյեի ՀՄ-ի տարբերակը պետք է լինի ավելի թարմ </w:t>
      </w:r>
      <w:r w:rsidR="00C54D75">
        <w:rPr>
          <w:rFonts w:ascii="Sylfaen" w:hAnsi="Sylfaen"/>
          <w:sz w:val="24"/>
          <w:szCs w:val="24"/>
        </w:rPr>
        <w:t>և</w:t>
      </w:r>
      <w:r w:rsidRPr="00BD7577">
        <w:rPr>
          <w:rFonts w:ascii="Sylfaen" w:hAnsi="Sylfaen"/>
          <w:sz w:val="24"/>
          <w:szCs w:val="24"/>
        </w:rPr>
        <w:t xml:space="preserve"> ԱԴԲՄՖ-ի իրավատիրոջ կողմից անդամ պետության լիազորված մարմին որպես ԱԴԲՄՖ-ի մաս ներկայացված ՀՄ-ին նույնական։ </w:t>
      </w:r>
      <w:r w:rsidR="0056496B">
        <w:rPr>
          <w:rFonts w:ascii="Sylfaen" w:hAnsi="Sylfaen"/>
          <w:sz w:val="24"/>
          <w:szCs w:val="24"/>
        </w:rPr>
        <w:t>Դիմումատու</w:t>
      </w:r>
      <w:r w:rsidRPr="00BD7577">
        <w:rPr>
          <w:rFonts w:ascii="Sylfaen" w:hAnsi="Sylfaen"/>
          <w:sz w:val="24"/>
          <w:szCs w:val="24"/>
        </w:rPr>
        <w:t xml:space="preserve">ն (ԳՀ-ի իրավատերը) պետք է բոլոր անհրաժեշտ տեղեկությունները ՀՄ-ից տեղափոխի գրանցման դոսյեի՝ որակի </w:t>
      </w:r>
      <w:r w:rsidRPr="00BD7577">
        <w:rPr>
          <w:rFonts w:ascii="Sylfaen" w:hAnsi="Sylfaen"/>
          <w:sz w:val="24"/>
          <w:szCs w:val="24"/>
        </w:rPr>
        <w:lastRenderedPageBreak/>
        <w:t>ընդհանուր ռեզյումե (մոդուլ 2.3)։ Գրանցման դոսյեի որակի ընդհանուր ռեզյումեում անհրաժեշտ է լուսաբանել ԱԴԲՄՖ-ի այն բաժինները, որոնք սպեցիֆիկ են դիտարկվող դեղապատրաստուկի համար։</w:t>
      </w:r>
    </w:p>
    <w:p w14:paraId="4E13ECF7" w14:textId="60EAC320"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Մեկ մատակարարի դեպքում </w:t>
      </w:r>
      <w:r w:rsidR="00C54D75">
        <w:rPr>
          <w:rFonts w:ascii="Sylfaen" w:hAnsi="Sylfaen"/>
          <w:sz w:val="24"/>
          <w:szCs w:val="24"/>
        </w:rPr>
        <w:t>և</w:t>
      </w:r>
      <w:r w:rsidRPr="00BD7577">
        <w:rPr>
          <w:rFonts w:ascii="Sylfaen" w:hAnsi="Sylfaen"/>
          <w:sz w:val="24"/>
          <w:szCs w:val="24"/>
        </w:rPr>
        <w:t xml:space="preserve"> ԱԴԲՄՖ-ի կամ СЕР-ի ընթացակարգն օգտագործելիս </w:t>
      </w:r>
      <w:r w:rsidR="0056496B">
        <w:rPr>
          <w:rFonts w:ascii="Sylfaen" w:hAnsi="Sylfaen"/>
          <w:sz w:val="24"/>
          <w:szCs w:val="24"/>
        </w:rPr>
        <w:t>դիմումատու</w:t>
      </w:r>
      <w:r w:rsidRPr="00BD7577">
        <w:rPr>
          <w:rFonts w:ascii="Sylfaen" w:hAnsi="Sylfaen"/>
          <w:sz w:val="24"/>
          <w:szCs w:val="24"/>
        </w:rPr>
        <w:t xml:space="preserve">ի (ԳՀ-ի իրավատիրոջ) կողմից գրանցման դոսյեում ներառվող՝ ակտիվ դեղագործական բաղադրամասի մասնագիրը պետք է սկզբունքորեն նույնական լինի ԱԴԲՄՖ-ի կամ СЕР-ի իրավատիրոջ մասնագրին։ Սակայն </w:t>
      </w:r>
      <w:r w:rsidR="0056496B">
        <w:rPr>
          <w:rFonts w:ascii="Sylfaen" w:hAnsi="Sylfaen"/>
          <w:sz w:val="24"/>
          <w:szCs w:val="24"/>
        </w:rPr>
        <w:t>դիմումատու</w:t>
      </w:r>
      <w:r w:rsidRPr="00BD7577">
        <w:rPr>
          <w:rFonts w:ascii="Sylfaen" w:hAnsi="Sylfaen"/>
          <w:sz w:val="24"/>
          <w:szCs w:val="24"/>
        </w:rPr>
        <w:t xml:space="preserve">ն (ԳՀ-ի իրավատերը) պարտավոր չէ համաձայնել մասնագրի ավելորդ փորձարկումներին, մասնագրի չհիմնավորված խիստ շրջանակներին </w:t>
      </w:r>
      <w:r w:rsidR="00C54D75">
        <w:rPr>
          <w:rFonts w:ascii="Sylfaen" w:hAnsi="Sylfaen"/>
          <w:sz w:val="24"/>
          <w:szCs w:val="24"/>
        </w:rPr>
        <w:t>և</w:t>
      </w:r>
      <w:r w:rsidRPr="00BD7577">
        <w:rPr>
          <w:rFonts w:ascii="Sylfaen" w:hAnsi="Sylfaen"/>
          <w:sz w:val="24"/>
          <w:szCs w:val="24"/>
        </w:rPr>
        <w:t xml:space="preserve"> հնացած վերլուծական մեթոդիկաներին։</w:t>
      </w:r>
    </w:p>
    <w:p w14:paraId="6D76A4BB" w14:textId="588C8675"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(ԳՀ-ի իրավատերը) օգտագործում է ԱԴԲՄՖ-ում նկարագրված վերլուծական մեթոդիկայից տարբեր մեթոդիկա, ապա երկու մեթոդիկաներն էլ անհրաժեշտ է վալիդացնել։ Մասնագրի տեխնիկական փորձարկումները, որոնք էական են դեղապատրաստուկի համար, բայց որոնք սովորաբար ԱԴԲՄՖ-ի մասնագրի մաս չեն կազմում (օրինակ՝ մասնիկների չափը), պետք է </w:t>
      </w:r>
      <w:r w:rsidR="0056496B">
        <w:rPr>
          <w:rFonts w:ascii="Sylfaen" w:hAnsi="Sylfaen"/>
          <w:sz w:val="24"/>
          <w:szCs w:val="24"/>
        </w:rPr>
        <w:t>դիմումատու</w:t>
      </w:r>
      <w:r w:rsidRPr="00BD7577">
        <w:rPr>
          <w:rFonts w:ascii="Sylfaen" w:hAnsi="Sylfaen"/>
          <w:sz w:val="24"/>
          <w:szCs w:val="24"/>
        </w:rPr>
        <w:t>ի (ԳՀ-ի իրավատիրոջ) մասնագրի մաս կազմեն։</w:t>
      </w:r>
    </w:p>
    <w:p w14:paraId="7B9A9470" w14:textId="3B84BD01" w:rsidR="008C76E0" w:rsidRPr="00BD7577" w:rsidRDefault="008C76E0" w:rsidP="00007454">
      <w:pPr>
        <w:spacing w:after="160" w:line="360" w:lineRule="auto"/>
        <w:ind w:firstLine="567"/>
        <w:jc w:val="both"/>
        <w:rPr>
          <w:rFonts w:ascii="Sylfaen" w:hAnsi="Sylfaen"/>
          <w:sz w:val="24"/>
          <w:szCs w:val="24"/>
        </w:rPr>
      </w:pPr>
      <w:r w:rsidRPr="00BD7577">
        <w:rPr>
          <w:rFonts w:ascii="Sylfaen" w:hAnsi="Sylfaen"/>
          <w:sz w:val="24"/>
          <w:szCs w:val="24"/>
        </w:rPr>
        <w:t xml:space="preserve">Մի քանի մատակարարի առկայության դեպքում </w:t>
      </w:r>
      <w:r w:rsidR="0056496B">
        <w:rPr>
          <w:rFonts w:ascii="Sylfaen" w:hAnsi="Sylfaen"/>
          <w:sz w:val="24"/>
          <w:szCs w:val="24"/>
        </w:rPr>
        <w:t>դիմումատու</w:t>
      </w:r>
      <w:r w:rsidRPr="00BD7577">
        <w:rPr>
          <w:rFonts w:ascii="Sylfaen" w:hAnsi="Sylfaen"/>
          <w:sz w:val="24"/>
          <w:szCs w:val="24"/>
        </w:rPr>
        <w:t>ն (ԳՀ-ի իրավատերը) պետք է իր տրամադրության տակ ունենա միասնական ընդհանրացված մասնագիր, որը նույնական է յուրաքանչյուր մատակարարի համար։ Մասնագրում թույլատրվում է որակի մի</w:t>
      </w:r>
      <w:r w:rsidR="00C54D75">
        <w:rPr>
          <w:rFonts w:ascii="Sylfaen" w:hAnsi="Sylfaen"/>
          <w:sz w:val="24"/>
          <w:szCs w:val="24"/>
        </w:rPr>
        <w:t>և</w:t>
      </w:r>
      <w:r w:rsidRPr="00BD7577">
        <w:rPr>
          <w:rFonts w:ascii="Sylfaen" w:hAnsi="Sylfaen"/>
          <w:sz w:val="24"/>
          <w:szCs w:val="24"/>
        </w:rPr>
        <w:t xml:space="preserve">նույն ցուցանիշի համար նշել ընդունելիության </w:t>
      </w:r>
      <w:r w:rsidR="00C54D75">
        <w:rPr>
          <w:rFonts w:ascii="Sylfaen" w:hAnsi="Sylfaen"/>
          <w:sz w:val="24"/>
          <w:szCs w:val="24"/>
        </w:rPr>
        <w:t>և</w:t>
      </w:r>
      <w:r w:rsidRPr="00BD7577">
        <w:rPr>
          <w:rFonts w:ascii="Sylfaen" w:hAnsi="Sylfaen"/>
          <w:sz w:val="24"/>
          <w:szCs w:val="24"/>
        </w:rPr>
        <w:t xml:space="preserve"> (կամ) վերլուծական մեթոդիկայի մեկից ավելի չափանիշներ՝ «եթե ստուգվում է» նշումով (օրինակ՝ մնացորդային լուծիչների դեպքում)։</w:t>
      </w:r>
    </w:p>
    <w:p w14:paraId="743D8C4A" w14:textId="77777777" w:rsidR="008C76E0" w:rsidRPr="00905F38" w:rsidRDefault="008C76E0" w:rsidP="00007454">
      <w:pPr>
        <w:spacing w:after="160" w:line="360" w:lineRule="auto"/>
        <w:ind w:right="-1" w:firstLine="567"/>
        <w:jc w:val="both"/>
        <w:rPr>
          <w:rFonts w:ascii="Sylfaen" w:hAnsi="Sylfaen"/>
          <w:sz w:val="24"/>
          <w:szCs w:val="24"/>
        </w:rPr>
      </w:pPr>
    </w:p>
    <w:p w14:paraId="783BD99B" w14:textId="77777777" w:rsidR="008C76E0" w:rsidRDefault="008C76E0" w:rsidP="00007454">
      <w:pPr>
        <w:widowControl/>
        <w:spacing w:after="160" w:line="360" w:lineRule="auto"/>
        <w:rPr>
          <w:rFonts w:ascii="Sylfaen" w:hAnsi="Sylfaen"/>
          <w:sz w:val="24"/>
          <w:szCs w:val="24"/>
        </w:rPr>
      </w:pPr>
      <w:r>
        <w:rPr>
          <w:rFonts w:ascii="Sylfaen" w:hAnsi="Sylfaen"/>
          <w:sz w:val="24"/>
          <w:szCs w:val="24"/>
        </w:rPr>
        <w:br w:type="page"/>
      </w:r>
    </w:p>
    <w:p w14:paraId="2B1810B6" w14:textId="77777777" w:rsidR="008C76E0" w:rsidRPr="00BD7577" w:rsidRDefault="008C76E0" w:rsidP="00007454">
      <w:pPr>
        <w:spacing w:after="160" w:line="360" w:lineRule="auto"/>
        <w:ind w:left="567" w:right="566"/>
        <w:jc w:val="center"/>
        <w:rPr>
          <w:rFonts w:ascii="Sylfaen" w:hAnsi="Sylfaen"/>
          <w:sz w:val="24"/>
          <w:szCs w:val="24"/>
        </w:rPr>
      </w:pPr>
      <w:r w:rsidRPr="00BD7577">
        <w:rPr>
          <w:rFonts w:ascii="Sylfaen" w:hAnsi="Sylfaen"/>
          <w:sz w:val="24"/>
          <w:szCs w:val="24"/>
        </w:rPr>
        <w:lastRenderedPageBreak/>
        <w:t xml:space="preserve">VI. Ակտիվ դեղագործական բաղադրամասի մաստեր-ֆայլի </w:t>
      </w:r>
      <w:r w:rsidRPr="00BD7577">
        <w:rPr>
          <w:rFonts w:ascii="Sylfaen" w:hAnsi="Sylfaen"/>
          <w:sz w:val="24"/>
          <w:szCs w:val="24"/>
        </w:rPr>
        <w:br/>
        <w:t>փոփոխումն ու թարմացումը</w:t>
      </w:r>
    </w:p>
    <w:p w14:paraId="5545E44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Դեղապատրաստուկների դեպքում ԱԴԲՄՖ-ի իրավատերերը պետք է ապահովեն իրենց ԱԴԲՄՖ-երի մշտական թարմացումը՝ փաստացի սինթեզման (արտադրության գործընթացի) մասով։ Որակի հսկողության մեթոդները պետք է համապատասխանեն գործող կարգավորիչ </w:t>
      </w:r>
      <w:r w:rsidR="00C54D75">
        <w:rPr>
          <w:rFonts w:ascii="Sylfaen" w:hAnsi="Sylfaen"/>
          <w:sz w:val="24"/>
          <w:szCs w:val="24"/>
        </w:rPr>
        <w:t>և</w:t>
      </w:r>
      <w:r w:rsidRPr="00BD7577">
        <w:rPr>
          <w:rFonts w:ascii="Sylfaen" w:hAnsi="Sylfaen"/>
          <w:sz w:val="24"/>
          <w:szCs w:val="24"/>
        </w:rPr>
        <w:t xml:space="preserve"> գիտական պահանջներին։</w:t>
      </w:r>
    </w:p>
    <w:p w14:paraId="7552EFD9" w14:textId="1C18CFD9" w:rsidR="008C76E0" w:rsidRPr="00BD7577" w:rsidRDefault="008C76E0" w:rsidP="00007454">
      <w:pPr>
        <w:spacing w:after="160" w:line="360" w:lineRule="auto"/>
        <w:ind w:right="-1" w:firstLine="567"/>
        <w:jc w:val="both"/>
        <w:rPr>
          <w:rFonts w:ascii="Sylfaen" w:hAnsi="Sylfaen"/>
          <w:sz w:val="24"/>
          <w:szCs w:val="24"/>
        </w:rPr>
      </w:pPr>
      <w:r w:rsidRPr="0063669A">
        <w:rPr>
          <w:rFonts w:ascii="Sylfaen" w:hAnsi="Sylfaen"/>
          <w:spacing w:val="-4"/>
          <w:sz w:val="24"/>
          <w:szCs w:val="24"/>
        </w:rPr>
        <w:t xml:space="preserve">ԱԴԲՄՖ-ի իրավատերերն իրավունք չունեն փոփոխելու իրենց ԱԴԲՄՖ-երի բովանդակությունը (օրինակ՝ արտադրության գործընթացը կամ մասնագիրը)՝ առանց յուրաքանչյուր </w:t>
      </w:r>
      <w:r w:rsidR="0056496B">
        <w:rPr>
          <w:rFonts w:ascii="Sylfaen" w:hAnsi="Sylfaen"/>
          <w:spacing w:val="-4"/>
          <w:sz w:val="24"/>
          <w:szCs w:val="24"/>
        </w:rPr>
        <w:t>դիմումատու</w:t>
      </w:r>
      <w:r w:rsidRPr="0063669A">
        <w:rPr>
          <w:rFonts w:ascii="Sylfaen" w:hAnsi="Sylfaen"/>
          <w:spacing w:val="-4"/>
          <w:sz w:val="24"/>
          <w:szCs w:val="24"/>
        </w:rPr>
        <w:t xml:space="preserve">ի (ԳՀ-ի իրավատիրոջը) </w:t>
      </w:r>
      <w:r w:rsidR="00C54D75">
        <w:rPr>
          <w:rFonts w:ascii="Sylfaen" w:hAnsi="Sylfaen"/>
          <w:spacing w:val="-4"/>
          <w:sz w:val="24"/>
          <w:szCs w:val="24"/>
        </w:rPr>
        <w:t>և</w:t>
      </w:r>
      <w:r w:rsidRPr="0063669A">
        <w:rPr>
          <w:rFonts w:ascii="Sylfaen" w:hAnsi="Sylfaen"/>
          <w:spacing w:val="-4"/>
          <w:sz w:val="24"/>
          <w:szCs w:val="24"/>
        </w:rPr>
        <w:t xml:space="preserve"> անդամ պետության յուրաքանչյուր լիազորված մարմնի ծանուցելու։ Այս պարտավորությունն ուժի մեջ է այնքան ժամանակ,</w:t>
      </w:r>
      <w:r w:rsidRPr="00BD7577">
        <w:rPr>
          <w:rFonts w:ascii="Sylfaen" w:hAnsi="Sylfaen"/>
          <w:sz w:val="24"/>
          <w:szCs w:val="24"/>
        </w:rPr>
        <w:t xml:space="preserve"> քանի դեռ ԱԴԲՄՖ-ի իրավատերը հետ չի կանչել հասանելիության թույլտվությունը (սույն հավելվածի թիվ 4 լրացում)։ ԱԴԲՄՖ-ի իրավատերերը պետք է բոլոր շահագրգիռ կողմերին տրամադրեն թարմացված ԱԴԲՄՖ-ն՝ նշելով տարբերակի ուղղված համարը։</w:t>
      </w:r>
    </w:p>
    <w:p w14:paraId="09C84E4C"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ԳՀ-ի իրավատերը պետք է անդամ պետության համապատասխան լիազորված մարմնին տեղեկացնի ԱԴԲՄՖ-ի յուրաքանչյուր փոփոխության մասին՝ փոփոխությունների կատարման համապատասխան ընթացակարգի միջոցով։ Անհրաժեշտ է ներկայացնել ուղեգիր-նամակ (սույն հավելվածի թիվ 3 լրացում)։</w:t>
      </w:r>
    </w:p>
    <w:p w14:paraId="647073D4" w14:textId="77777777"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Եթե ԱԴԲՄՖ-ի բովանդակությունն ընթացակարգային պատճառներով (այսինքն՝ գլխավորապես ընթացքի մեջ գտնվող փոխադարձ ճանաչման ընթացակարգերի հետ</w:t>
      </w:r>
      <w:r w:rsidR="00C54D75">
        <w:rPr>
          <w:rFonts w:ascii="Sylfaen" w:hAnsi="Sylfaen"/>
          <w:sz w:val="24"/>
          <w:szCs w:val="24"/>
        </w:rPr>
        <w:t>և</w:t>
      </w:r>
      <w:r w:rsidRPr="00BD7577">
        <w:rPr>
          <w:rFonts w:ascii="Sylfaen" w:hAnsi="Sylfaen"/>
          <w:sz w:val="24"/>
          <w:szCs w:val="24"/>
        </w:rPr>
        <w:t xml:space="preserve">անքով) անհնար է փոփոխել որոշակի ժամակահատվածի ընթացքում, ապա ԱԴԲՄՖ-ի իրավատերն ամեն դեպքում պետք է ԳՀ-ի իրավատիրոջը </w:t>
      </w:r>
      <w:r w:rsidR="00C54D75">
        <w:rPr>
          <w:rFonts w:ascii="Sylfaen" w:hAnsi="Sylfaen"/>
          <w:sz w:val="24"/>
          <w:szCs w:val="24"/>
        </w:rPr>
        <w:t>և</w:t>
      </w:r>
      <w:r w:rsidRPr="00BD7577">
        <w:rPr>
          <w:rFonts w:ascii="Sylfaen" w:hAnsi="Sylfaen"/>
          <w:sz w:val="24"/>
          <w:szCs w:val="24"/>
        </w:rPr>
        <w:t xml:space="preserve"> անդամ պետությունների լիազորված մարմիններ ներկայացնի վերոնշյալ տվյալները՝ մատնանշելով դրանք </w:t>
      </w:r>
      <w:r w:rsidR="00C54D75">
        <w:rPr>
          <w:rFonts w:ascii="Sylfaen" w:hAnsi="Sylfaen"/>
          <w:sz w:val="24"/>
          <w:szCs w:val="24"/>
        </w:rPr>
        <w:t>և</w:t>
      </w:r>
      <w:r w:rsidRPr="00BD7577">
        <w:rPr>
          <w:rFonts w:ascii="Sylfaen" w:hAnsi="Sylfaen"/>
          <w:sz w:val="24"/>
          <w:szCs w:val="24"/>
        </w:rPr>
        <w:t xml:space="preserve"> փոփոխություններ իրականացնելու համար ավելի ուշ ժամկետ պահանջելով։</w:t>
      </w:r>
    </w:p>
    <w:p w14:paraId="49186B06" w14:textId="50207FDB"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Դեղապատրաստուկի գրանցումը հաստատելիս ԳՀ-ի իրավատերերը պետք է </w:t>
      </w:r>
      <w:r w:rsidR="0085119E">
        <w:rPr>
          <w:rFonts w:ascii="Sylfaen" w:hAnsi="Sylfaen"/>
          <w:sz w:val="24"/>
          <w:szCs w:val="24"/>
        </w:rPr>
        <w:t>հայտարարագր</w:t>
      </w:r>
      <w:r w:rsidRPr="00BD7577">
        <w:rPr>
          <w:rFonts w:ascii="Sylfaen" w:hAnsi="Sylfaen"/>
          <w:sz w:val="24"/>
          <w:szCs w:val="24"/>
        </w:rPr>
        <w:t xml:space="preserve">են, որ դեղապատրաստուկի որակը՝ արտադրության </w:t>
      </w:r>
      <w:r w:rsidR="00C54D75">
        <w:rPr>
          <w:rFonts w:ascii="Sylfaen" w:hAnsi="Sylfaen"/>
          <w:sz w:val="24"/>
          <w:szCs w:val="24"/>
        </w:rPr>
        <w:t>և</w:t>
      </w:r>
      <w:r w:rsidRPr="00BD7577">
        <w:rPr>
          <w:rFonts w:ascii="Sylfaen" w:hAnsi="Sylfaen"/>
          <w:sz w:val="24"/>
          <w:szCs w:val="24"/>
        </w:rPr>
        <w:t xml:space="preserve"> հսկողության մեթոդների մասով, ենթարկվել է կանոնավոր թարմացման՝ </w:t>
      </w:r>
      <w:r w:rsidRPr="00BD7577">
        <w:rPr>
          <w:rFonts w:ascii="Sylfaen" w:hAnsi="Sylfaen"/>
          <w:sz w:val="24"/>
          <w:szCs w:val="24"/>
        </w:rPr>
        <w:lastRenderedPageBreak/>
        <w:t xml:space="preserve">տեխնիկական </w:t>
      </w:r>
      <w:r w:rsidR="00C54D75">
        <w:rPr>
          <w:rFonts w:ascii="Sylfaen" w:hAnsi="Sylfaen"/>
          <w:sz w:val="24"/>
          <w:szCs w:val="24"/>
        </w:rPr>
        <w:t>և</w:t>
      </w:r>
      <w:r w:rsidRPr="00BD7577">
        <w:rPr>
          <w:rFonts w:ascii="Sylfaen" w:hAnsi="Sylfaen"/>
          <w:sz w:val="24"/>
          <w:szCs w:val="24"/>
        </w:rPr>
        <w:t xml:space="preserve"> գիտական առաջընթացը հաշվի առնելու նպատակով փոփոխություններ կատարելու ընթացակարգի միջոցով, </w:t>
      </w:r>
      <w:r w:rsidR="00C54D75">
        <w:rPr>
          <w:rFonts w:ascii="Sylfaen" w:hAnsi="Sylfaen"/>
          <w:sz w:val="24"/>
          <w:szCs w:val="24"/>
        </w:rPr>
        <w:t>և</w:t>
      </w:r>
      <w:r w:rsidRPr="00BD7577">
        <w:rPr>
          <w:rFonts w:ascii="Sylfaen" w:hAnsi="Sylfaen"/>
          <w:sz w:val="24"/>
          <w:szCs w:val="24"/>
        </w:rPr>
        <w:t xml:space="preserve"> որ դեղապատրաստուկը համապատասխանում է Միության՝ դեղամիջոցների որակը կանոնակարգող գործող փաստաթղթերին։ Նրանք նա</w:t>
      </w:r>
      <w:r w:rsidR="00C54D75">
        <w:rPr>
          <w:rFonts w:ascii="Sylfaen" w:hAnsi="Sylfaen"/>
          <w:sz w:val="24"/>
          <w:szCs w:val="24"/>
        </w:rPr>
        <w:t>և</w:t>
      </w:r>
      <w:r w:rsidRPr="00BD7577">
        <w:rPr>
          <w:rFonts w:ascii="Sylfaen" w:hAnsi="Sylfaen"/>
          <w:sz w:val="24"/>
          <w:szCs w:val="24"/>
        </w:rPr>
        <w:t xml:space="preserve"> պետք է </w:t>
      </w:r>
      <w:r w:rsidR="0085119E">
        <w:rPr>
          <w:rFonts w:ascii="Sylfaen" w:hAnsi="Sylfaen"/>
          <w:sz w:val="24"/>
          <w:szCs w:val="24"/>
        </w:rPr>
        <w:t>հայտարարագր</w:t>
      </w:r>
      <w:r w:rsidRPr="00BD7577">
        <w:rPr>
          <w:rFonts w:ascii="Sylfaen" w:hAnsi="Sylfaen"/>
          <w:sz w:val="24"/>
          <w:szCs w:val="24"/>
        </w:rPr>
        <w:t>են, որ դեղապատրաստուկի վերաբերյալ ոչ մի տվյալ, բացառությամբ անդամ պետության լիազորված մարմնի կողմից թույլատրված տվյալների, չի փոփոխվել։</w:t>
      </w:r>
    </w:p>
    <w:p w14:paraId="48CEAB4F" w14:textId="6D66EDAD" w:rsidR="008C76E0" w:rsidRPr="00BD7577" w:rsidRDefault="008C76E0" w:rsidP="00007454">
      <w:pPr>
        <w:spacing w:after="160" w:line="360" w:lineRule="auto"/>
        <w:ind w:right="-1" w:firstLine="567"/>
        <w:jc w:val="both"/>
        <w:rPr>
          <w:rFonts w:ascii="Sylfaen" w:hAnsi="Sylfaen"/>
          <w:sz w:val="24"/>
          <w:szCs w:val="24"/>
        </w:rPr>
      </w:pPr>
      <w:r w:rsidRPr="00BD7577">
        <w:rPr>
          <w:rFonts w:ascii="Sylfaen" w:hAnsi="Sylfaen"/>
          <w:sz w:val="24"/>
          <w:szCs w:val="24"/>
        </w:rPr>
        <w:t xml:space="preserve">Այս առնչությամբ ԳՀ-ի իրավատերերը պետք է ԱԴԲՄՖ-ի իրենց իրավատերերի հետ համեմատեն վերոնշյալ </w:t>
      </w:r>
      <w:r w:rsidR="0085119E">
        <w:rPr>
          <w:rFonts w:ascii="Sylfaen" w:hAnsi="Sylfaen"/>
          <w:sz w:val="24"/>
          <w:szCs w:val="24"/>
        </w:rPr>
        <w:t>հայտարարագր</w:t>
      </w:r>
      <w:r w:rsidRPr="00BD7577">
        <w:rPr>
          <w:rFonts w:ascii="Sylfaen" w:hAnsi="Sylfaen"/>
          <w:sz w:val="24"/>
          <w:szCs w:val="24"/>
        </w:rPr>
        <w:t xml:space="preserve">ի ճշտությունը՝ ակտիվ դեղագործական բաղադրամասի վերաբերյալ տվյալների հետ կապված։ Եթե ԳՀ-ի իրավատերը </w:t>
      </w:r>
      <w:r w:rsidR="00C54D75">
        <w:rPr>
          <w:rFonts w:ascii="Sylfaen" w:hAnsi="Sylfaen"/>
          <w:sz w:val="24"/>
          <w:szCs w:val="24"/>
        </w:rPr>
        <w:t>և</w:t>
      </w:r>
      <w:r w:rsidRPr="00BD7577">
        <w:rPr>
          <w:rFonts w:ascii="Sylfaen" w:hAnsi="Sylfaen"/>
          <w:sz w:val="24"/>
          <w:szCs w:val="24"/>
        </w:rPr>
        <w:t xml:space="preserve"> անդամ պետության լիազորված մարմինը չեն ծանուցվել փոփոխությունների մասին, ապա անհրաժեշտ է առանց հապաղելու սկսել գրանցված դեղապատրաստուկի գրանցման դոսյեում փոփոխություններ կատարելու համապատասխան ընթացակարգը։</w:t>
      </w:r>
    </w:p>
    <w:p w14:paraId="3B8EBF48" w14:textId="77777777" w:rsidR="008C76E0" w:rsidRPr="00BD7577" w:rsidRDefault="008C76E0" w:rsidP="00007454">
      <w:pPr>
        <w:spacing w:after="160" w:line="360" w:lineRule="auto"/>
        <w:rPr>
          <w:rFonts w:ascii="Sylfaen" w:eastAsia="Times New Roman" w:hAnsi="Sylfaen" w:cs="Times New Roman"/>
          <w:sz w:val="24"/>
          <w:szCs w:val="24"/>
        </w:rPr>
      </w:pPr>
    </w:p>
    <w:p w14:paraId="6E4CEEDE" w14:textId="77777777" w:rsidR="008C76E0" w:rsidRPr="00BD7577" w:rsidRDefault="008C76E0" w:rsidP="00007454">
      <w:pPr>
        <w:spacing w:after="160" w:line="360" w:lineRule="auto"/>
        <w:ind w:right="-1"/>
        <w:jc w:val="right"/>
        <w:rPr>
          <w:rFonts w:ascii="Sylfaen" w:hAnsi="Sylfaen"/>
          <w:sz w:val="24"/>
          <w:szCs w:val="24"/>
        </w:rPr>
      </w:pPr>
      <w:r w:rsidRPr="00BD7577">
        <w:rPr>
          <w:rFonts w:ascii="Sylfaen" w:hAnsi="Sylfaen"/>
          <w:sz w:val="24"/>
          <w:szCs w:val="24"/>
        </w:rPr>
        <w:t xml:space="preserve">Լրացում թիվ 1 </w:t>
      </w:r>
    </w:p>
    <w:p w14:paraId="18749FF4" w14:textId="77777777" w:rsidR="008C76E0" w:rsidRPr="00BD7577" w:rsidRDefault="008C76E0" w:rsidP="00007454">
      <w:pPr>
        <w:spacing w:after="160" w:line="360" w:lineRule="auto"/>
        <w:ind w:right="-1"/>
        <w:rPr>
          <w:rFonts w:ascii="Sylfaen" w:hAnsi="Sylfaen"/>
          <w:sz w:val="24"/>
          <w:szCs w:val="24"/>
        </w:rPr>
      </w:pPr>
      <w:r w:rsidRPr="00BD7577">
        <w:rPr>
          <w:rFonts w:ascii="Sylfaen" w:hAnsi="Sylfaen"/>
          <w:sz w:val="24"/>
          <w:szCs w:val="24"/>
        </w:rPr>
        <w:t>ԱԴԲՄՖ-ի բովանդակության ամփոփումը</w:t>
      </w:r>
    </w:p>
    <w:p w14:paraId="4D291D4B" w14:textId="77777777" w:rsidR="008C76E0" w:rsidRPr="00BD7577" w:rsidRDefault="008C76E0" w:rsidP="00007454">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t>Աղյուսակ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5352"/>
        <w:gridCol w:w="1416"/>
        <w:gridCol w:w="1368"/>
      </w:tblGrid>
      <w:tr w:rsidR="008C76E0" w:rsidRPr="00BD7577" w14:paraId="1832F02A" w14:textId="77777777" w:rsidTr="008C76E0">
        <w:trPr>
          <w:jc w:val="center"/>
        </w:trPr>
        <w:tc>
          <w:tcPr>
            <w:tcW w:w="1382" w:type="dxa"/>
            <w:tcBorders>
              <w:top w:val="single" w:sz="4" w:space="0" w:color="auto"/>
              <w:left w:val="single" w:sz="4" w:space="0" w:color="auto"/>
            </w:tcBorders>
            <w:shd w:val="clear" w:color="auto" w:fill="FFFFFF"/>
            <w:vAlign w:val="bottom"/>
          </w:tcPr>
          <w:p w14:paraId="3D55B54A" w14:textId="77777777" w:rsidR="008C76E0" w:rsidRPr="00BD7577" w:rsidRDefault="008C76E0" w:rsidP="008C76E0">
            <w:pPr>
              <w:pStyle w:val="Bodytext180"/>
              <w:shd w:val="clear" w:color="auto" w:fill="auto"/>
              <w:spacing w:before="0" w:after="120" w:line="240" w:lineRule="auto"/>
              <w:ind w:left="72" w:right="-1"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352" w:type="dxa"/>
            <w:tcBorders>
              <w:top w:val="single" w:sz="4" w:space="0" w:color="auto"/>
              <w:left w:val="single" w:sz="4" w:space="0" w:color="auto"/>
            </w:tcBorders>
            <w:shd w:val="clear" w:color="auto" w:fill="FFFFFF"/>
            <w:vAlign w:val="center"/>
          </w:tcPr>
          <w:p w14:paraId="1C18B911" w14:textId="77777777" w:rsidR="008C76E0" w:rsidRPr="00BD7577" w:rsidRDefault="008C76E0" w:rsidP="008C76E0">
            <w:pPr>
              <w:pStyle w:val="Bodytext180"/>
              <w:shd w:val="clear" w:color="auto" w:fill="auto"/>
              <w:spacing w:before="0" w:after="120" w:line="240" w:lineRule="auto"/>
              <w:ind w:left="108" w:right="121"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w:t>
            </w:r>
          </w:p>
        </w:tc>
        <w:tc>
          <w:tcPr>
            <w:tcW w:w="1416" w:type="dxa"/>
            <w:tcBorders>
              <w:top w:val="single" w:sz="4" w:space="0" w:color="auto"/>
              <w:left w:val="single" w:sz="4" w:space="0" w:color="auto"/>
            </w:tcBorders>
            <w:shd w:val="clear" w:color="auto" w:fill="FFFFFF"/>
          </w:tcPr>
          <w:p w14:paraId="7B808B34" w14:textId="03B5F545" w:rsidR="008C76E0" w:rsidRPr="00BD7577" w:rsidRDefault="0056496B" w:rsidP="008C76E0">
            <w:pPr>
              <w:pStyle w:val="Bodytext180"/>
              <w:shd w:val="clear" w:color="auto" w:fill="auto"/>
              <w:spacing w:before="0" w:after="120" w:line="240" w:lineRule="auto"/>
              <w:ind w:right="-1"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368" w:type="dxa"/>
            <w:tcBorders>
              <w:top w:val="single" w:sz="4" w:space="0" w:color="auto"/>
              <w:left w:val="single" w:sz="4" w:space="0" w:color="auto"/>
              <w:right w:val="single" w:sz="4" w:space="0" w:color="auto"/>
            </w:tcBorders>
            <w:shd w:val="clear" w:color="auto" w:fill="FFFFFF"/>
          </w:tcPr>
          <w:p w14:paraId="0D69356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2A1726A1" w14:textId="77777777" w:rsidTr="008C76E0">
        <w:trPr>
          <w:jc w:val="center"/>
        </w:trPr>
        <w:tc>
          <w:tcPr>
            <w:tcW w:w="1382" w:type="dxa"/>
            <w:tcBorders>
              <w:top w:val="single" w:sz="4" w:space="0" w:color="auto"/>
            </w:tcBorders>
            <w:shd w:val="clear" w:color="auto" w:fill="FFFFFF"/>
          </w:tcPr>
          <w:p w14:paraId="753427C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w:t>
            </w:r>
          </w:p>
        </w:tc>
        <w:tc>
          <w:tcPr>
            <w:tcW w:w="5352" w:type="dxa"/>
            <w:tcBorders>
              <w:top w:val="single" w:sz="4" w:space="0" w:color="auto"/>
            </w:tcBorders>
            <w:shd w:val="clear" w:color="auto" w:fill="FFFFFF"/>
          </w:tcPr>
          <w:p w14:paraId="6CE65FF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416" w:type="dxa"/>
            <w:tcBorders>
              <w:top w:val="single" w:sz="4" w:space="0" w:color="auto"/>
            </w:tcBorders>
            <w:shd w:val="clear" w:color="auto" w:fill="FFFFFF"/>
          </w:tcPr>
          <w:p w14:paraId="5CFD92B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tcBorders>
              <w:top w:val="single" w:sz="4" w:space="0" w:color="auto"/>
            </w:tcBorders>
            <w:shd w:val="clear" w:color="auto" w:fill="FFFFFF"/>
          </w:tcPr>
          <w:p w14:paraId="06F2C25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EBACB36" w14:textId="77777777" w:rsidTr="008C76E0">
        <w:trPr>
          <w:jc w:val="center"/>
        </w:trPr>
        <w:tc>
          <w:tcPr>
            <w:tcW w:w="1382" w:type="dxa"/>
            <w:shd w:val="clear" w:color="auto" w:fill="FFFFFF"/>
            <w:vAlign w:val="center"/>
          </w:tcPr>
          <w:p w14:paraId="5531B4D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3.2.S.1.1</w:t>
            </w:r>
          </w:p>
        </w:tc>
        <w:tc>
          <w:tcPr>
            <w:tcW w:w="5352" w:type="dxa"/>
            <w:shd w:val="clear" w:color="auto" w:fill="FFFFFF"/>
            <w:vAlign w:val="center"/>
          </w:tcPr>
          <w:p w14:paraId="6EF3B1CF"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Անվանացանկը</w:t>
            </w:r>
          </w:p>
        </w:tc>
        <w:tc>
          <w:tcPr>
            <w:tcW w:w="1416" w:type="dxa"/>
            <w:shd w:val="clear" w:color="auto" w:fill="FFFFFF"/>
          </w:tcPr>
          <w:p w14:paraId="15F94F4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862509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4D6FA1B" w14:textId="77777777" w:rsidTr="008C76E0">
        <w:trPr>
          <w:jc w:val="center"/>
        </w:trPr>
        <w:tc>
          <w:tcPr>
            <w:tcW w:w="1382" w:type="dxa"/>
            <w:shd w:val="clear" w:color="auto" w:fill="FFFFFF"/>
            <w:vAlign w:val="center"/>
          </w:tcPr>
          <w:p w14:paraId="2F1290F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3.2.S.1.2</w:t>
            </w:r>
          </w:p>
        </w:tc>
        <w:tc>
          <w:tcPr>
            <w:tcW w:w="5352" w:type="dxa"/>
            <w:shd w:val="clear" w:color="auto" w:fill="FFFFFF"/>
            <w:vAlign w:val="center"/>
          </w:tcPr>
          <w:p w14:paraId="7651007D"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Կառուցվածքը</w:t>
            </w:r>
          </w:p>
        </w:tc>
        <w:tc>
          <w:tcPr>
            <w:tcW w:w="1416" w:type="dxa"/>
            <w:shd w:val="clear" w:color="auto" w:fill="FFFFFF"/>
          </w:tcPr>
          <w:p w14:paraId="1C8CBFA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5EA180C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4D9D840" w14:textId="77777777" w:rsidTr="008C76E0">
        <w:trPr>
          <w:jc w:val="center"/>
        </w:trPr>
        <w:tc>
          <w:tcPr>
            <w:tcW w:w="1382" w:type="dxa"/>
            <w:shd w:val="clear" w:color="auto" w:fill="FFFFFF"/>
            <w:vAlign w:val="center"/>
          </w:tcPr>
          <w:p w14:paraId="7645E281"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3.2.S.1.3</w:t>
            </w:r>
          </w:p>
        </w:tc>
        <w:tc>
          <w:tcPr>
            <w:tcW w:w="5352" w:type="dxa"/>
            <w:shd w:val="clear" w:color="auto" w:fill="FFFFFF"/>
            <w:vAlign w:val="center"/>
          </w:tcPr>
          <w:p w14:paraId="720F63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416" w:type="dxa"/>
            <w:shd w:val="clear" w:color="auto" w:fill="FFFFFF"/>
          </w:tcPr>
          <w:p w14:paraId="5358C59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0FA1FFAA"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773C3B0" w14:textId="77777777" w:rsidTr="008C76E0">
        <w:trPr>
          <w:jc w:val="center"/>
        </w:trPr>
        <w:tc>
          <w:tcPr>
            <w:tcW w:w="1382" w:type="dxa"/>
            <w:shd w:val="clear" w:color="auto" w:fill="FFFFFF"/>
            <w:vAlign w:val="center"/>
          </w:tcPr>
          <w:p w14:paraId="4449F1A2"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w:t>
            </w:r>
          </w:p>
        </w:tc>
        <w:tc>
          <w:tcPr>
            <w:tcW w:w="5352" w:type="dxa"/>
            <w:shd w:val="clear" w:color="auto" w:fill="FFFFFF"/>
            <w:vAlign w:val="center"/>
          </w:tcPr>
          <w:p w14:paraId="63C79A4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Արտադրությունը</w:t>
            </w:r>
          </w:p>
        </w:tc>
        <w:tc>
          <w:tcPr>
            <w:tcW w:w="1416" w:type="dxa"/>
            <w:shd w:val="clear" w:color="auto" w:fill="FFFFFF"/>
          </w:tcPr>
          <w:p w14:paraId="7B76B27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c>
          <w:tcPr>
            <w:tcW w:w="1368" w:type="dxa"/>
            <w:shd w:val="clear" w:color="auto" w:fill="FFFFFF"/>
          </w:tcPr>
          <w:p w14:paraId="13A9782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t>x</w:t>
            </w:r>
          </w:p>
        </w:tc>
      </w:tr>
      <w:tr w:rsidR="008C76E0" w:rsidRPr="00BD7577" w14:paraId="48E6BD39" w14:textId="77777777" w:rsidTr="008C76E0">
        <w:trPr>
          <w:jc w:val="center"/>
        </w:trPr>
        <w:tc>
          <w:tcPr>
            <w:tcW w:w="1382" w:type="dxa"/>
            <w:shd w:val="clear" w:color="auto" w:fill="FFFFFF"/>
          </w:tcPr>
          <w:p w14:paraId="5F272E5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3.2.S.2.1</w:t>
            </w:r>
          </w:p>
        </w:tc>
        <w:tc>
          <w:tcPr>
            <w:tcW w:w="5352" w:type="dxa"/>
            <w:shd w:val="clear" w:color="auto" w:fill="FFFFFF"/>
            <w:vAlign w:val="bottom"/>
          </w:tcPr>
          <w:p w14:paraId="7D2AE0E1" w14:textId="77777777" w:rsidR="008C76E0" w:rsidRPr="00DD61E4" w:rsidRDefault="008C76E0" w:rsidP="008C76E0">
            <w:pPr>
              <w:pStyle w:val="Bodytext180"/>
              <w:shd w:val="clear" w:color="auto" w:fill="auto"/>
              <w:spacing w:before="0" w:after="120" w:line="240" w:lineRule="auto"/>
              <w:ind w:left="108" w:right="121" w:firstLine="0"/>
              <w:rPr>
                <w:rStyle w:val="Bodytext1811pt"/>
                <w:rFonts w:ascii="Sylfaen" w:hAnsi="Sylfaen"/>
                <w:sz w:val="24"/>
                <w:szCs w:val="24"/>
              </w:rPr>
            </w:pPr>
            <w:r w:rsidRPr="00BD7577">
              <w:rPr>
                <w:rStyle w:val="Bodytext1811pt"/>
                <w:rFonts w:ascii="Sylfaen" w:hAnsi="Sylfaen"/>
                <w:sz w:val="24"/>
                <w:szCs w:val="24"/>
              </w:rPr>
              <w:t xml:space="preserve">Արտադրողները (ներառյալ՝ ակտիվ դեղագործական բաղադրամասի արտադրության մեջ ներգրավված բոլոր ընկերությունները, այդ թվում՝ որակի հսկողության (ներարտադրական </w:t>
            </w:r>
            <w:r w:rsidRPr="00BD7577">
              <w:rPr>
                <w:rStyle w:val="Bodytext1811pt"/>
                <w:rFonts w:ascii="Sylfaen" w:hAnsi="Sylfaen"/>
                <w:sz w:val="24"/>
                <w:szCs w:val="24"/>
              </w:rPr>
              <w:lastRenderedPageBreak/>
              <w:t xml:space="preserve">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հարթակները)</w:t>
            </w:r>
          </w:p>
          <w:p w14:paraId="710206EE" w14:textId="77777777" w:rsidR="008C76E0" w:rsidRPr="00DD61E4" w:rsidRDefault="008C76E0" w:rsidP="008C76E0">
            <w:pPr>
              <w:pStyle w:val="Bodytext180"/>
              <w:shd w:val="clear" w:color="auto" w:fill="auto"/>
              <w:spacing w:before="0" w:after="120" w:line="240" w:lineRule="auto"/>
              <w:ind w:left="108" w:right="121" w:firstLine="0"/>
              <w:rPr>
                <w:rFonts w:ascii="Sylfaen" w:hAnsi="Sylfaen"/>
                <w:b w:val="0"/>
                <w:sz w:val="24"/>
                <w:szCs w:val="24"/>
              </w:rPr>
            </w:pPr>
          </w:p>
        </w:tc>
        <w:tc>
          <w:tcPr>
            <w:tcW w:w="1416" w:type="dxa"/>
            <w:shd w:val="clear" w:color="auto" w:fill="FFFFFF"/>
          </w:tcPr>
          <w:p w14:paraId="75D0C7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lang w:val="en-US"/>
              </w:rPr>
              <w:lastRenderedPageBreak/>
              <w:t>x</w:t>
            </w:r>
          </w:p>
        </w:tc>
        <w:tc>
          <w:tcPr>
            <w:tcW w:w="1368" w:type="dxa"/>
            <w:shd w:val="clear" w:color="auto" w:fill="FFFFFF"/>
          </w:tcPr>
          <w:p w14:paraId="658560F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F7369F1" w14:textId="77777777" w:rsidTr="008C76E0">
        <w:trPr>
          <w:jc w:val="center"/>
        </w:trPr>
        <w:tc>
          <w:tcPr>
            <w:tcW w:w="1382" w:type="dxa"/>
            <w:shd w:val="clear" w:color="auto" w:fill="FFFFFF"/>
          </w:tcPr>
          <w:p w14:paraId="56F6227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3.2.S.2.2</w:t>
            </w:r>
          </w:p>
        </w:tc>
        <w:tc>
          <w:tcPr>
            <w:tcW w:w="5352" w:type="dxa"/>
            <w:shd w:val="clear" w:color="auto" w:fill="FFFFFF"/>
            <w:vAlign w:val="center"/>
          </w:tcPr>
          <w:p w14:paraId="3B94817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tc>
        <w:tc>
          <w:tcPr>
            <w:tcW w:w="1416" w:type="dxa"/>
            <w:shd w:val="clear" w:color="auto" w:fill="FFFFFF"/>
          </w:tcPr>
          <w:p w14:paraId="4B36F34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1</w:t>
            </w:r>
          </w:p>
        </w:tc>
        <w:tc>
          <w:tcPr>
            <w:tcW w:w="1368" w:type="dxa"/>
            <w:shd w:val="clear" w:color="auto" w:fill="FFFFFF"/>
          </w:tcPr>
          <w:p w14:paraId="162047E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2</w:t>
            </w:r>
          </w:p>
        </w:tc>
      </w:tr>
      <w:tr w:rsidR="008C76E0" w:rsidRPr="00BD7577" w14:paraId="3E2A3AE1" w14:textId="77777777" w:rsidTr="008C76E0">
        <w:trPr>
          <w:jc w:val="center"/>
        </w:trPr>
        <w:tc>
          <w:tcPr>
            <w:tcW w:w="1382" w:type="dxa"/>
            <w:shd w:val="clear" w:color="auto" w:fill="FFFFFF"/>
            <w:vAlign w:val="center"/>
          </w:tcPr>
          <w:p w14:paraId="39B43A8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3.2.S.2.3</w:t>
            </w:r>
          </w:p>
        </w:tc>
        <w:tc>
          <w:tcPr>
            <w:tcW w:w="5352" w:type="dxa"/>
            <w:shd w:val="clear" w:color="auto" w:fill="FFFFFF"/>
            <w:vAlign w:val="center"/>
          </w:tcPr>
          <w:p w14:paraId="52358616"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416" w:type="dxa"/>
            <w:shd w:val="clear" w:color="auto" w:fill="FFFFFF"/>
          </w:tcPr>
          <w:p w14:paraId="6A65D34E"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5F6844F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ABB8E6A" w14:textId="77777777" w:rsidTr="008C76E0">
        <w:trPr>
          <w:jc w:val="center"/>
        </w:trPr>
        <w:tc>
          <w:tcPr>
            <w:tcW w:w="1382" w:type="dxa"/>
            <w:shd w:val="clear" w:color="auto" w:fill="FFFFFF"/>
          </w:tcPr>
          <w:p w14:paraId="75219557"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3.2.S.2.4</w:t>
            </w:r>
          </w:p>
        </w:tc>
        <w:tc>
          <w:tcPr>
            <w:tcW w:w="5352" w:type="dxa"/>
            <w:shd w:val="clear" w:color="auto" w:fill="FFFFFF"/>
          </w:tcPr>
          <w:p w14:paraId="246B0F0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416" w:type="dxa"/>
            <w:shd w:val="clear" w:color="auto" w:fill="FFFFFF"/>
          </w:tcPr>
          <w:p w14:paraId="3A2BA8DA"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3</w:t>
            </w:r>
          </w:p>
        </w:tc>
        <w:tc>
          <w:tcPr>
            <w:tcW w:w="1368" w:type="dxa"/>
            <w:shd w:val="clear" w:color="auto" w:fill="FFFFFF"/>
          </w:tcPr>
          <w:p w14:paraId="37F986F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4</w:t>
            </w:r>
          </w:p>
        </w:tc>
      </w:tr>
      <w:tr w:rsidR="008C76E0" w:rsidRPr="00BD7577" w14:paraId="65E5519D" w14:textId="77777777" w:rsidTr="008C76E0">
        <w:trPr>
          <w:jc w:val="center"/>
        </w:trPr>
        <w:tc>
          <w:tcPr>
            <w:tcW w:w="1382" w:type="dxa"/>
            <w:shd w:val="clear" w:color="auto" w:fill="FFFFFF"/>
            <w:vAlign w:val="center"/>
          </w:tcPr>
          <w:p w14:paraId="08536CC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3.2.S.2.5</w:t>
            </w:r>
          </w:p>
        </w:tc>
        <w:tc>
          <w:tcPr>
            <w:tcW w:w="5352" w:type="dxa"/>
            <w:shd w:val="clear" w:color="auto" w:fill="FFFFFF"/>
            <w:vAlign w:val="center"/>
          </w:tcPr>
          <w:p w14:paraId="0381A45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գնահատումը</w:t>
            </w:r>
          </w:p>
        </w:tc>
        <w:tc>
          <w:tcPr>
            <w:tcW w:w="1416" w:type="dxa"/>
            <w:shd w:val="clear" w:color="auto" w:fill="FFFFFF"/>
          </w:tcPr>
          <w:p w14:paraId="1F8AED29"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2FB8F6E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475A55F4" w14:textId="77777777" w:rsidTr="008C76E0">
        <w:trPr>
          <w:jc w:val="center"/>
        </w:trPr>
        <w:tc>
          <w:tcPr>
            <w:tcW w:w="1382" w:type="dxa"/>
            <w:shd w:val="clear" w:color="auto" w:fill="FFFFFF"/>
            <w:vAlign w:val="center"/>
          </w:tcPr>
          <w:p w14:paraId="2978CF6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3.2.S.2.6</w:t>
            </w:r>
          </w:p>
        </w:tc>
        <w:tc>
          <w:tcPr>
            <w:tcW w:w="5352" w:type="dxa"/>
            <w:shd w:val="clear" w:color="auto" w:fill="FFFFFF"/>
            <w:vAlign w:val="center"/>
          </w:tcPr>
          <w:p w14:paraId="1AB8597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Արտադրական գործընթացի մշակումը</w:t>
            </w:r>
          </w:p>
        </w:tc>
        <w:tc>
          <w:tcPr>
            <w:tcW w:w="1416" w:type="dxa"/>
            <w:shd w:val="clear" w:color="auto" w:fill="FFFFFF"/>
          </w:tcPr>
          <w:p w14:paraId="2D4CD790" w14:textId="77777777" w:rsidR="008C76E0" w:rsidRPr="00BD7577" w:rsidRDefault="008C76E0" w:rsidP="008C76E0">
            <w:pPr>
              <w:spacing w:after="120" w:line="240" w:lineRule="auto"/>
              <w:ind w:right="-1"/>
              <w:jc w:val="center"/>
              <w:rPr>
                <w:rFonts w:ascii="Sylfaen" w:hAnsi="Sylfaen"/>
                <w:sz w:val="24"/>
                <w:szCs w:val="24"/>
              </w:rPr>
            </w:pPr>
          </w:p>
        </w:tc>
        <w:tc>
          <w:tcPr>
            <w:tcW w:w="1368" w:type="dxa"/>
            <w:shd w:val="clear" w:color="auto" w:fill="FFFFFF"/>
          </w:tcPr>
          <w:p w14:paraId="77F68507"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r>
      <w:tr w:rsidR="008C76E0" w:rsidRPr="00BD7577" w14:paraId="79545F94" w14:textId="77777777" w:rsidTr="008C76E0">
        <w:trPr>
          <w:jc w:val="center"/>
        </w:trPr>
        <w:tc>
          <w:tcPr>
            <w:tcW w:w="1382" w:type="dxa"/>
            <w:shd w:val="clear" w:color="auto" w:fill="FFFFFF"/>
            <w:vAlign w:val="center"/>
          </w:tcPr>
          <w:p w14:paraId="6FA0479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w:t>
            </w:r>
          </w:p>
        </w:tc>
        <w:tc>
          <w:tcPr>
            <w:tcW w:w="5352" w:type="dxa"/>
            <w:shd w:val="clear" w:color="auto" w:fill="FFFFFF"/>
            <w:vAlign w:val="center"/>
          </w:tcPr>
          <w:p w14:paraId="72E70614"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416" w:type="dxa"/>
            <w:shd w:val="clear" w:color="auto" w:fill="FFFFFF"/>
          </w:tcPr>
          <w:p w14:paraId="23E11D4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E2D4247"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5981937" w14:textId="77777777" w:rsidTr="008C76E0">
        <w:trPr>
          <w:jc w:val="center"/>
        </w:trPr>
        <w:tc>
          <w:tcPr>
            <w:tcW w:w="1382" w:type="dxa"/>
            <w:shd w:val="clear" w:color="auto" w:fill="FFFFFF"/>
            <w:vAlign w:val="center"/>
          </w:tcPr>
          <w:p w14:paraId="34E39D0A"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3.2.S.3.1</w:t>
            </w:r>
          </w:p>
        </w:tc>
        <w:tc>
          <w:tcPr>
            <w:tcW w:w="5352" w:type="dxa"/>
            <w:shd w:val="clear" w:color="auto" w:fill="FFFFFF"/>
            <w:vAlign w:val="center"/>
          </w:tcPr>
          <w:p w14:paraId="1B0C4E3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բնութագրերի սահմանումը</w:t>
            </w:r>
          </w:p>
        </w:tc>
        <w:tc>
          <w:tcPr>
            <w:tcW w:w="1416" w:type="dxa"/>
            <w:shd w:val="clear" w:color="auto" w:fill="FFFFFF"/>
          </w:tcPr>
          <w:p w14:paraId="4222708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E44846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5016D1C" w14:textId="77777777" w:rsidTr="008C76E0">
        <w:trPr>
          <w:jc w:val="center"/>
        </w:trPr>
        <w:tc>
          <w:tcPr>
            <w:tcW w:w="1382" w:type="dxa"/>
            <w:shd w:val="clear" w:color="auto" w:fill="FFFFFF"/>
          </w:tcPr>
          <w:p w14:paraId="170C3CDB"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3.2.S.3.2</w:t>
            </w:r>
          </w:p>
        </w:tc>
        <w:tc>
          <w:tcPr>
            <w:tcW w:w="5352" w:type="dxa"/>
            <w:shd w:val="clear" w:color="auto" w:fill="FFFFFF"/>
          </w:tcPr>
          <w:p w14:paraId="4B876A49"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Խառնուկները</w:t>
            </w:r>
          </w:p>
        </w:tc>
        <w:tc>
          <w:tcPr>
            <w:tcW w:w="1416" w:type="dxa"/>
            <w:shd w:val="clear" w:color="auto" w:fill="FFFFFF"/>
          </w:tcPr>
          <w:p w14:paraId="25054C5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574F371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5</w:t>
            </w:r>
          </w:p>
        </w:tc>
      </w:tr>
      <w:tr w:rsidR="008C76E0" w:rsidRPr="00BD7577" w14:paraId="5E363ED8" w14:textId="77777777" w:rsidTr="008C76E0">
        <w:trPr>
          <w:jc w:val="center"/>
        </w:trPr>
        <w:tc>
          <w:tcPr>
            <w:tcW w:w="1382" w:type="dxa"/>
            <w:shd w:val="clear" w:color="auto" w:fill="FFFFFF"/>
            <w:vAlign w:val="center"/>
          </w:tcPr>
          <w:p w14:paraId="72C39965"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w:t>
            </w:r>
          </w:p>
        </w:tc>
        <w:tc>
          <w:tcPr>
            <w:tcW w:w="5352" w:type="dxa"/>
            <w:shd w:val="clear" w:color="auto" w:fill="FFFFFF"/>
            <w:vAlign w:val="center"/>
          </w:tcPr>
          <w:p w14:paraId="54E0A9C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416" w:type="dxa"/>
            <w:shd w:val="clear" w:color="auto" w:fill="FFFFFF"/>
          </w:tcPr>
          <w:p w14:paraId="49DF364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3311D1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B014E30" w14:textId="77777777" w:rsidTr="008C76E0">
        <w:trPr>
          <w:jc w:val="center"/>
        </w:trPr>
        <w:tc>
          <w:tcPr>
            <w:tcW w:w="1382" w:type="dxa"/>
            <w:shd w:val="clear" w:color="auto" w:fill="FFFFFF"/>
            <w:vAlign w:val="center"/>
          </w:tcPr>
          <w:p w14:paraId="6215BA7C"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3.2.S.4.1</w:t>
            </w:r>
          </w:p>
        </w:tc>
        <w:tc>
          <w:tcPr>
            <w:tcW w:w="5352" w:type="dxa"/>
            <w:shd w:val="clear" w:color="auto" w:fill="FFFFFF"/>
            <w:vAlign w:val="center"/>
          </w:tcPr>
          <w:p w14:paraId="76A014F7"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Մասնագիրը</w:t>
            </w:r>
          </w:p>
        </w:tc>
        <w:tc>
          <w:tcPr>
            <w:tcW w:w="1416" w:type="dxa"/>
            <w:shd w:val="clear" w:color="auto" w:fill="FFFFFF"/>
          </w:tcPr>
          <w:p w14:paraId="7651337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2430B0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A053A85" w14:textId="77777777" w:rsidTr="008C76E0">
        <w:trPr>
          <w:jc w:val="center"/>
        </w:trPr>
        <w:tc>
          <w:tcPr>
            <w:tcW w:w="1382" w:type="dxa"/>
            <w:shd w:val="clear" w:color="auto" w:fill="FFFFFF"/>
            <w:vAlign w:val="center"/>
          </w:tcPr>
          <w:p w14:paraId="7C218790"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3.2.S.4.2</w:t>
            </w:r>
          </w:p>
        </w:tc>
        <w:tc>
          <w:tcPr>
            <w:tcW w:w="5352" w:type="dxa"/>
            <w:shd w:val="clear" w:color="auto" w:fill="FFFFFF"/>
            <w:vAlign w:val="center"/>
          </w:tcPr>
          <w:p w14:paraId="2D5A9088"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416" w:type="dxa"/>
            <w:shd w:val="clear" w:color="auto" w:fill="FFFFFF"/>
          </w:tcPr>
          <w:p w14:paraId="0667769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A3C654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E009BE0" w14:textId="77777777" w:rsidTr="008C76E0">
        <w:trPr>
          <w:jc w:val="center"/>
        </w:trPr>
        <w:tc>
          <w:tcPr>
            <w:tcW w:w="1382" w:type="dxa"/>
            <w:shd w:val="clear" w:color="auto" w:fill="FFFFFF"/>
            <w:vAlign w:val="center"/>
          </w:tcPr>
          <w:p w14:paraId="05A2B3DF"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3.2.S.4.3</w:t>
            </w:r>
          </w:p>
        </w:tc>
        <w:tc>
          <w:tcPr>
            <w:tcW w:w="5352" w:type="dxa"/>
            <w:shd w:val="clear" w:color="auto" w:fill="FFFFFF"/>
            <w:vAlign w:val="center"/>
          </w:tcPr>
          <w:p w14:paraId="4DDB244A"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416" w:type="dxa"/>
            <w:shd w:val="clear" w:color="auto" w:fill="FFFFFF"/>
          </w:tcPr>
          <w:p w14:paraId="6B0C002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466EA6C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A8BC1A5" w14:textId="77777777" w:rsidTr="008C76E0">
        <w:trPr>
          <w:jc w:val="center"/>
        </w:trPr>
        <w:tc>
          <w:tcPr>
            <w:tcW w:w="1382" w:type="dxa"/>
            <w:shd w:val="clear" w:color="auto" w:fill="FFFFFF"/>
            <w:vAlign w:val="center"/>
          </w:tcPr>
          <w:p w14:paraId="18689EB8"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3.2.S.4.4</w:t>
            </w:r>
          </w:p>
        </w:tc>
        <w:tc>
          <w:tcPr>
            <w:tcW w:w="5352" w:type="dxa"/>
            <w:shd w:val="clear" w:color="auto" w:fill="FFFFFF"/>
            <w:vAlign w:val="center"/>
          </w:tcPr>
          <w:p w14:paraId="009DB11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416" w:type="dxa"/>
            <w:shd w:val="clear" w:color="auto" w:fill="FFFFFF"/>
          </w:tcPr>
          <w:p w14:paraId="3CA08F2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76A1DC4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139B1D" w14:textId="77777777" w:rsidTr="008C76E0">
        <w:trPr>
          <w:jc w:val="center"/>
        </w:trPr>
        <w:tc>
          <w:tcPr>
            <w:tcW w:w="1382" w:type="dxa"/>
            <w:shd w:val="clear" w:color="auto" w:fill="FFFFFF"/>
            <w:vAlign w:val="center"/>
          </w:tcPr>
          <w:p w14:paraId="1E909F8D"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3.2.S.4.5</w:t>
            </w:r>
          </w:p>
        </w:tc>
        <w:tc>
          <w:tcPr>
            <w:tcW w:w="5352" w:type="dxa"/>
            <w:shd w:val="clear" w:color="auto" w:fill="FFFFFF"/>
            <w:vAlign w:val="center"/>
          </w:tcPr>
          <w:p w14:paraId="2D459813"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416" w:type="dxa"/>
            <w:shd w:val="clear" w:color="auto" w:fill="FFFFFF"/>
          </w:tcPr>
          <w:p w14:paraId="61E7DF0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764E0D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6</w:t>
            </w:r>
          </w:p>
        </w:tc>
      </w:tr>
      <w:tr w:rsidR="008C76E0" w:rsidRPr="00BD7577" w14:paraId="02D9B111" w14:textId="77777777" w:rsidTr="008C76E0">
        <w:trPr>
          <w:jc w:val="center"/>
        </w:trPr>
        <w:tc>
          <w:tcPr>
            <w:tcW w:w="1382" w:type="dxa"/>
            <w:shd w:val="clear" w:color="auto" w:fill="FFFFFF"/>
            <w:vAlign w:val="center"/>
          </w:tcPr>
          <w:p w14:paraId="4F3261AE"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3.2.S.5</w:t>
            </w:r>
          </w:p>
        </w:tc>
        <w:tc>
          <w:tcPr>
            <w:tcW w:w="5352" w:type="dxa"/>
            <w:shd w:val="clear" w:color="auto" w:fill="FFFFFF"/>
            <w:vAlign w:val="center"/>
          </w:tcPr>
          <w:p w14:paraId="5ADA2840"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416" w:type="dxa"/>
            <w:shd w:val="clear" w:color="auto" w:fill="FFFFFF"/>
          </w:tcPr>
          <w:p w14:paraId="7E47097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06443CB5"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60E2CC" w14:textId="77777777" w:rsidTr="008C76E0">
        <w:trPr>
          <w:jc w:val="center"/>
        </w:trPr>
        <w:tc>
          <w:tcPr>
            <w:tcW w:w="1382" w:type="dxa"/>
            <w:shd w:val="clear" w:color="auto" w:fill="FFFFFF"/>
          </w:tcPr>
          <w:p w14:paraId="746A8D5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3.2.S.6</w:t>
            </w:r>
          </w:p>
        </w:tc>
        <w:tc>
          <w:tcPr>
            <w:tcW w:w="5352" w:type="dxa"/>
            <w:shd w:val="clear" w:color="auto" w:fill="FFFFFF"/>
          </w:tcPr>
          <w:p w14:paraId="36BC932E"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416" w:type="dxa"/>
            <w:shd w:val="clear" w:color="auto" w:fill="FFFFFF"/>
          </w:tcPr>
          <w:p w14:paraId="7B671703"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3CEABCF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79BB9E4" w14:textId="77777777" w:rsidTr="008C76E0">
        <w:trPr>
          <w:jc w:val="center"/>
        </w:trPr>
        <w:tc>
          <w:tcPr>
            <w:tcW w:w="1382" w:type="dxa"/>
            <w:shd w:val="clear" w:color="auto" w:fill="FFFFFF"/>
            <w:vAlign w:val="center"/>
          </w:tcPr>
          <w:p w14:paraId="63E95804"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Style w:val="Bodytext1811pt"/>
                <w:rFonts w:ascii="Sylfaen" w:hAnsi="Sylfaen"/>
                <w:sz w:val="24"/>
                <w:szCs w:val="24"/>
              </w:rPr>
              <w:t>3.2.S.7</w:t>
            </w:r>
          </w:p>
        </w:tc>
        <w:tc>
          <w:tcPr>
            <w:tcW w:w="5352" w:type="dxa"/>
            <w:shd w:val="clear" w:color="auto" w:fill="FFFFFF"/>
            <w:vAlign w:val="center"/>
          </w:tcPr>
          <w:p w14:paraId="09E27C3B" w14:textId="77777777" w:rsidR="008C76E0" w:rsidRPr="00BD7577" w:rsidRDefault="008C76E0" w:rsidP="008C76E0">
            <w:pPr>
              <w:pStyle w:val="Bodytext180"/>
              <w:shd w:val="clear" w:color="auto" w:fill="auto"/>
              <w:spacing w:before="0" w:after="120" w:line="240" w:lineRule="auto"/>
              <w:ind w:left="108" w:right="121" w:firstLine="0"/>
              <w:rPr>
                <w:rFonts w:ascii="Sylfaen" w:hAnsi="Sylfaen"/>
                <w:b w:val="0"/>
                <w:sz w:val="24"/>
                <w:szCs w:val="24"/>
              </w:rPr>
            </w:pPr>
            <w:r w:rsidRPr="00BD7577">
              <w:rPr>
                <w:rStyle w:val="Bodytext1811pt"/>
                <w:rFonts w:ascii="Sylfaen" w:hAnsi="Sylfaen"/>
                <w:sz w:val="24"/>
                <w:szCs w:val="24"/>
              </w:rPr>
              <w:t>Կայունությունը</w:t>
            </w:r>
          </w:p>
        </w:tc>
        <w:tc>
          <w:tcPr>
            <w:tcW w:w="1416" w:type="dxa"/>
            <w:shd w:val="clear" w:color="auto" w:fill="FFFFFF"/>
          </w:tcPr>
          <w:p w14:paraId="50C490B1"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368" w:type="dxa"/>
            <w:shd w:val="clear" w:color="auto" w:fill="FFFFFF"/>
          </w:tcPr>
          <w:p w14:paraId="1FEFA50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40D64E8" w14:textId="77777777" w:rsidTr="008C76E0">
        <w:trPr>
          <w:jc w:val="center"/>
        </w:trPr>
        <w:tc>
          <w:tcPr>
            <w:tcW w:w="1382" w:type="dxa"/>
            <w:shd w:val="clear" w:color="auto" w:fill="FFFFFF"/>
            <w:vAlign w:val="center"/>
          </w:tcPr>
          <w:p w14:paraId="3C373552"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.7.1</w:t>
            </w:r>
          </w:p>
        </w:tc>
        <w:tc>
          <w:tcPr>
            <w:tcW w:w="5352" w:type="dxa"/>
            <w:shd w:val="clear" w:color="auto" w:fill="FFFFFF"/>
            <w:vAlign w:val="center"/>
          </w:tcPr>
          <w:p w14:paraId="2D056E4C"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վերաբերյալ ռեզյումեն </w:t>
            </w:r>
            <w:r w:rsidR="00C54D75">
              <w:rPr>
                <w:rFonts w:ascii="Sylfaen" w:hAnsi="Sylfaen"/>
                <w:b w:val="0"/>
                <w:sz w:val="24"/>
                <w:szCs w:val="24"/>
                <w:lang w:val="hy-AM"/>
              </w:rPr>
              <w:t>և</w:t>
            </w:r>
            <w:r w:rsidRPr="008C76E0">
              <w:rPr>
                <w:rFonts w:ascii="Sylfaen" w:hAnsi="Sylfaen"/>
                <w:b w:val="0"/>
                <w:sz w:val="24"/>
                <w:szCs w:val="24"/>
                <w:lang w:val="hy-AM"/>
              </w:rPr>
              <w:t xml:space="preserve"> եզրակացությունը </w:t>
            </w:r>
          </w:p>
        </w:tc>
        <w:tc>
          <w:tcPr>
            <w:tcW w:w="1416" w:type="dxa"/>
            <w:shd w:val="clear" w:color="auto" w:fill="FFFFFF"/>
          </w:tcPr>
          <w:p w14:paraId="4465157A"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shd w:val="clear" w:color="auto" w:fill="FFFFFF"/>
          </w:tcPr>
          <w:p w14:paraId="74F5C82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3C0891F" w14:textId="77777777" w:rsidTr="008C76E0">
        <w:trPr>
          <w:jc w:val="center"/>
        </w:trPr>
        <w:tc>
          <w:tcPr>
            <w:tcW w:w="1382" w:type="dxa"/>
            <w:shd w:val="clear" w:color="auto" w:fill="FFFFFF"/>
            <w:vAlign w:val="center"/>
          </w:tcPr>
          <w:p w14:paraId="60E4C3D0" w14:textId="77777777" w:rsidR="008C76E0" w:rsidRPr="00BD7577" w:rsidRDefault="008C76E0" w:rsidP="008C76E0">
            <w:pPr>
              <w:pStyle w:val="Bodytext180"/>
              <w:shd w:val="clear" w:color="auto" w:fill="auto"/>
              <w:spacing w:before="0" w:after="120" w:line="240" w:lineRule="auto"/>
              <w:ind w:left="72" w:right="-1" w:firstLine="0"/>
              <w:jc w:val="both"/>
              <w:rPr>
                <w:rStyle w:val="Bodytext1811pt"/>
                <w:rFonts w:ascii="Sylfaen" w:hAnsi="Sylfaen"/>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.7.2</w:t>
            </w:r>
          </w:p>
        </w:tc>
        <w:tc>
          <w:tcPr>
            <w:tcW w:w="5352" w:type="dxa"/>
            <w:shd w:val="clear" w:color="auto" w:fill="FFFFFF"/>
            <w:vAlign w:val="center"/>
          </w:tcPr>
          <w:p w14:paraId="4338F0DB" w14:textId="77777777" w:rsidR="008C76E0" w:rsidRPr="00BD7577" w:rsidRDefault="008C76E0" w:rsidP="008C76E0">
            <w:pPr>
              <w:pStyle w:val="Tableofcontents120"/>
              <w:shd w:val="clear" w:color="auto" w:fill="auto"/>
              <w:spacing w:after="120" w:line="240" w:lineRule="auto"/>
              <w:ind w:left="108" w:right="121" w:firstLine="0"/>
              <w:jc w:val="left"/>
              <w:rPr>
                <w:rStyle w:val="Bodytext1811pt"/>
                <w:rFonts w:ascii="Sylfaen" w:hAnsi="Sylfaen"/>
                <w:sz w:val="24"/>
                <w:szCs w:val="24"/>
              </w:rPr>
            </w:pPr>
            <w:r w:rsidRPr="008C76E0">
              <w:rPr>
                <w:rFonts w:ascii="Sylfaen" w:hAnsi="Sylfaen"/>
                <w:b w:val="0"/>
                <w:sz w:val="24"/>
                <w:szCs w:val="24"/>
                <w:lang w:val="hy-AM"/>
              </w:rPr>
              <w:t xml:space="preserve">Կայունության հետգրանցումային արձանագրությունը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կայունության մասով պարտավորությունը</w:t>
            </w:r>
          </w:p>
        </w:tc>
        <w:tc>
          <w:tcPr>
            <w:tcW w:w="1416" w:type="dxa"/>
            <w:shd w:val="clear" w:color="auto" w:fill="FFFFFF"/>
          </w:tcPr>
          <w:p w14:paraId="7A7CE9C8" w14:textId="77777777" w:rsidR="008C76E0" w:rsidRPr="00BD7577" w:rsidRDefault="008C76E0" w:rsidP="008C76E0">
            <w:pPr>
              <w:pStyle w:val="Bodytext180"/>
              <w:shd w:val="clear" w:color="auto" w:fill="auto"/>
              <w:spacing w:before="0" w:after="120" w:line="240" w:lineRule="auto"/>
              <w:ind w:right="-1" w:firstLine="0"/>
              <w:jc w:val="center"/>
              <w:rPr>
                <w:rStyle w:val="Bodytext18BookmanOldStyle"/>
                <w:rFonts w:ascii="Sylfaen" w:hAnsi="Sylfaen"/>
                <w:sz w:val="24"/>
                <w:szCs w:val="24"/>
              </w:rPr>
            </w:pPr>
            <w:r w:rsidRPr="00BD7577">
              <w:rPr>
                <w:rStyle w:val="Bodytext18BookmanOldStyle"/>
                <w:rFonts w:ascii="Sylfaen" w:hAnsi="Sylfaen"/>
                <w:sz w:val="24"/>
                <w:szCs w:val="24"/>
              </w:rPr>
              <w:t>x</w:t>
            </w:r>
          </w:p>
        </w:tc>
        <w:tc>
          <w:tcPr>
            <w:tcW w:w="1368" w:type="dxa"/>
            <w:shd w:val="clear" w:color="auto" w:fill="FFFFFF"/>
          </w:tcPr>
          <w:p w14:paraId="252190E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370DDD2" w14:textId="77777777" w:rsidTr="008C76E0">
        <w:trPr>
          <w:jc w:val="center"/>
        </w:trPr>
        <w:tc>
          <w:tcPr>
            <w:tcW w:w="1382" w:type="dxa"/>
            <w:tcBorders>
              <w:bottom w:val="single" w:sz="4" w:space="0" w:color="auto"/>
            </w:tcBorders>
            <w:shd w:val="clear" w:color="auto" w:fill="FFFFFF"/>
            <w:vAlign w:val="center"/>
          </w:tcPr>
          <w:p w14:paraId="5C591B43" w14:textId="77777777" w:rsidR="008C76E0" w:rsidRPr="00BD7577" w:rsidRDefault="008C76E0" w:rsidP="008C76E0">
            <w:pPr>
              <w:pStyle w:val="Bodytext180"/>
              <w:shd w:val="clear" w:color="auto" w:fill="auto"/>
              <w:spacing w:before="0" w:after="120" w:line="240" w:lineRule="auto"/>
              <w:ind w:left="72" w:right="-1" w:firstLine="0"/>
              <w:jc w:val="both"/>
              <w:rPr>
                <w:rFonts w:ascii="Sylfaen" w:hAnsi="Sylfaen"/>
                <w:b w:val="0"/>
                <w:sz w:val="24"/>
                <w:szCs w:val="24"/>
              </w:rPr>
            </w:pPr>
            <w:r w:rsidRPr="00BD7577">
              <w:rPr>
                <w:rFonts w:ascii="Sylfaen" w:hAnsi="Sylfaen"/>
                <w:b w:val="0"/>
                <w:sz w:val="24"/>
                <w:szCs w:val="24"/>
              </w:rPr>
              <w:t>3.2.</w:t>
            </w:r>
            <w:r w:rsidRPr="00BD7577">
              <w:rPr>
                <w:rStyle w:val="Bodytext1811pt"/>
                <w:rFonts w:ascii="Sylfaen" w:hAnsi="Sylfaen"/>
                <w:sz w:val="24"/>
                <w:szCs w:val="24"/>
              </w:rPr>
              <w:t xml:space="preserve"> S</w:t>
            </w:r>
            <w:r w:rsidRPr="00BD7577">
              <w:rPr>
                <w:rFonts w:ascii="Sylfaen" w:hAnsi="Sylfaen"/>
                <w:b w:val="0"/>
                <w:sz w:val="24"/>
                <w:szCs w:val="24"/>
              </w:rPr>
              <w:t>.7.3</w:t>
            </w:r>
          </w:p>
        </w:tc>
        <w:tc>
          <w:tcPr>
            <w:tcW w:w="5352" w:type="dxa"/>
            <w:tcBorders>
              <w:bottom w:val="single" w:sz="4" w:space="0" w:color="auto"/>
            </w:tcBorders>
            <w:shd w:val="clear" w:color="auto" w:fill="FFFFFF"/>
            <w:vAlign w:val="center"/>
          </w:tcPr>
          <w:p w14:paraId="6177D199" w14:textId="77777777" w:rsidR="008C76E0" w:rsidRPr="00BD7577" w:rsidRDefault="008C76E0" w:rsidP="008C76E0">
            <w:pPr>
              <w:pStyle w:val="Tableofcontents120"/>
              <w:shd w:val="clear" w:color="auto" w:fill="auto"/>
              <w:spacing w:after="120" w:line="240" w:lineRule="auto"/>
              <w:ind w:left="108" w:right="121" w:firstLine="0"/>
              <w:jc w:val="left"/>
              <w:rPr>
                <w:rFonts w:ascii="Sylfaen" w:hAnsi="Sylfaen"/>
                <w:b w:val="0"/>
                <w:sz w:val="24"/>
                <w:szCs w:val="24"/>
              </w:rPr>
            </w:pPr>
            <w:r w:rsidRPr="00BD7577">
              <w:rPr>
                <w:rFonts w:ascii="Sylfaen" w:hAnsi="Sylfaen"/>
                <w:b w:val="0"/>
                <w:sz w:val="24"/>
                <w:szCs w:val="24"/>
              </w:rPr>
              <w:t>Կայունության վերաբերյալ տվյալները</w:t>
            </w:r>
          </w:p>
        </w:tc>
        <w:tc>
          <w:tcPr>
            <w:tcW w:w="1416" w:type="dxa"/>
            <w:tcBorders>
              <w:bottom w:val="single" w:sz="4" w:space="0" w:color="auto"/>
            </w:tcBorders>
            <w:shd w:val="clear" w:color="auto" w:fill="FFFFFF"/>
          </w:tcPr>
          <w:p w14:paraId="4CB0C8E0" w14:textId="77777777" w:rsidR="008C76E0" w:rsidRPr="00BD7577" w:rsidRDefault="008C76E0" w:rsidP="008C76E0">
            <w:pPr>
              <w:pStyle w:val="Tableofcontents120"/>
              <w:shd w:val="clear" w:color="auto" w:fill="auto"/>
              <w:spacing w:after="120" w:line="240" w:lineRule="auto"/>
              <w:ind w:right="-1" w:firstLine="0"/>
              <w:jc w:val="center"/>
              <w:rPr>
                <w:rStyle w:val="Bodytext18BookmanOldStyle"/>
                <w:rFonts w:ascii="Sylfaen" w:hAnsi="Sylfaen"/>
                <w:sz w:val="24"/>
                <w:szCs w:val="24"/>
              </w:rPr>
            </w:pPr>
            <w:r w:rsidRPr="00BD7577">
              <w:rPr>
                <w:rFonts w:ascii="Sylfaen" w:hAnsi="Sylfaen"/>
                <w:b w:val="0"/>
                <w:sz w:val="24"/>
                <w:szCs w:val="24"/>
              </w:rPr>
              <w:t>х</w:t>
            </w:r>
          </w:p>
        </w:tc>
        <w:tc>
          <w:tcPr>
            <w:tcW w:w="1368" w:type="dxa"/>
            <w:tcBorders>
              <w:bottom w:val="single" w:sz="4" w:space="0" w:color="auto"/>
            </w:tcBorders>
            <w:shd w:val="clear" w:color="auto" w:fill="FFFFFF"/>
          </w:tcPr>
          <w:p w14:paraId="3517219A" w14:textId="77777777" w:rsidR="008C76E0" w:rsidRPr="00BD7577" w:rsidRDefault="008C76E0" w:rsidP="008C76E0">
            <w:pPr>
              <w:spacing w:after="120" w:line="240" w:lineRule="auto"/>
              <w:ind w:right="-1"/>
              <w:jc w:val="center"/>
              <w:rPr>
                <w:rFonts w:ascii="Sylfaen" w:hAnsi="Sylfaen"/>
                <w:sz w:val="24"/>
                <w:szCs w:val="24"/>
              </w:rPr>
            </w:pPr>
          </w:p>
        </w:tc>
      </w:tr>
    </w:tbl>
    <w:p w14:paraId="2BFAA911" w14:textId="77777777" w:rsidR="008C76E0" w:rsidRPr="00BD7577" w:rsidRDefault="008C76E0" w:rsidP="008C76E0">
      <w:pPr>
        <w:pStyle w:val="Tableofcontents120"/>
        <w:shd w:val="clear" w:color="auto" w:fill="auto"/>
        <w:spacing w:after="160" w:line="360" w:lineRule="auto"/>
        <w:ind w:right="-1" w:firstLine="0"/>
        <w:rPr>
          <w:rFonts w:ascii="Sylfaen" w:hAnsi="Sylfaen"/>
          <w:b w:val="0"/>
          <w:sz w:val="24"/>
          <w:szCs w:val="24"/>
        </w:rPr>
      </w:pPr>
    </w:p>
    <w:p w14:paraId="4A34BA9B" w14:textId="6875A845"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lastRenderedPageBreak/>
        <w:t>1.</w:t>
      </w:r>
      <w:r w:rsidRPr="00BD7577">
        <w:rPr>
          <w:rFonts w:ascii="Sylfaen" w:hAnsi="Sylfaen"/>
          <w:b w:val="0"/>
          <w:sz w:val="24"/>
          <w:szCs w:val="24"/>
        </w:rPr>
        <w:tab/>
        <w:t xml:space="preserve">Եթե փակ հատվածը պարունակում է մանրամասն տեղեկություններ, ապա բլոկ-սխեման </w:t>
      </w:r>
      <w:r w:rsidR="00C54D75">
        <w:rPr>
          <w:rFonts w:ascii="Sylfaen" w:hAnsi="Sylfaen"/>
          <w:b w:val="0"/>
          <w:sz w:val="24"/>
          <w:szCs w:val="24"/>
        </w:rPr>
        <w:t>և</w:t>
      </w:r>
      <w:r w:rsidRPr="00BD7577">
        <w:rPr>
          <w:rFonts w:ascii="Sylfaen" w:hAnsi="Sylfaen"/>
          <w:b w:val="0"/>
          <w:sz w:val="24"/>
          <w:szCs w:val="24"/>
        </w:rPr>
        <w:t xml:space="preserve"> համառոտ նկարագրությունը համարվում են բավարար։ Այնուամենայնիվ, </w:t>
      </w:r>
      <w:r w:rsidR="0056496B">
        <w:rPr>
          <w:rFonts w:ascii="Sylfaen" w:hAnsi="Sylfaen"/>
          <w:b w:val="0"/>
          <w:sz w:val="24"/>
          <w:szCs w:val="24"/>
        </w:rPr>
        <w:t>դիմումատու</w:t>
      </w:r>
      <w:r w:rsidRPr="00BD7577">
        <w:rPr>
          <w:rFonts w:ascii="Sylfaen" w:hAnsi="Sylfaen"/>
          <w:b w:val="0"/>
          <w:sz w:val="24"/>
          <w:szCs w:val="24"/>
        </w:rPr>
        <w:t>ի մասում կարող են պահանջվել մանրէազերծման գործընթացի վերաբերյալ վալիդացման ամբողջական տվյալները (դեղապատրաստուկի հետագա մանրէազերծման բացակայության դեպքում)։</w:t>
      </w:r>
    </w:p>
    <w:p w14:paraId="63E7A67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2.</w:t>
      </w:r>
      <w:r w:rsidRPr="00BD7577">
        <w:rPr>
          <w:rFonts w:ascii="Sylfaen" w:hAnsi="Sylfaen"/>
          <w:b w:val="0"/>
          <w:sz w:val="24"/>
          <w:szCs w:val="24"/>
        </w:rPr>
        <w:tab/>
        <w:t>Մանրամասն տեղեկությունները։</w:t>
      </w:r>
    </w:p>
    <w:p w14:paraId="48E950F6" w14:textId="206C4831"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3.</w:t>
      </w:r>
      <w:r w:rsidRPr="00BD7577">
        <w:rPr>
          <w:rFonts w:ascii="Sylfaen" w:hAnsi="Sylfaen"/>
          <w:b w:val="0"/>
          <w:sz w:val="24"/>
          <w:szCs w:val="24"/>
        </w:rPr>
        <w:tab/>
        <w:t>Այնքանով, որքանով այդ տեղեկություններն անհրաժեշտ են նա</w:t>
      </w:r>
      <w:r w:rsidR="00C54D75">
        <w:rPr>
          <w:rFonts w:ascii="Sylfaen" w:hAnsi="Sylfaen"/>
          <w:b w:val="0"/>
          <w:sz w:val="24"/>
          <w:szCs w:val="24"/>
        </w:rPr>
        <w:t>և</w:t>
      </w:r>
      <w:r w:rsidRPr="00BD7577">
        <w:rPr>
          <w:rFonts w:ascii="Sylfaen" w:hAnsi="Sylfaen"/>
          <w:b w:val="0"/>
          <w:sz w:val="24"/>
          <w:szCs w:val="24"/>
        </w:rPr>
        <w:t xml:space="preserve">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39D3B646" w14:textId="0CC01358"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4.</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այդ տեղեկություններն անհրաժեշտ չեն </w:t>
      </w:r>
      <w:r w:rsidR="0056496B">
        <w:rPr>
          <w:rFonts w:ascii="Sylfaen" w:hAnsi="Sylfaen"/>
          <w:b w:val="0"/>
          <w:sz w:val="24"/>
          <w:szCs w:val="24"/>
        </w:rPr>
        <w:t>դիմումատու</w:t>
      </w:r>
      <w:r w:rsidRPr="00BD7577">
        <w:rPr>
          <w:rFonts w:ascii="Sylfaen" w:hAnsi="Sylfaen"/>
          <w:b w:val="0"/>
          <w:sz w:val="24"/>
          <w:szCs w:val="24"/>
        </w:rPr>
        <w:t>ին (ԳՀ-ի իրավատիրոջը):</w:t>
      </w:r>
    </w:p>
    <w:p w14:paraId="0A046B28"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5.</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w:t>
      </w:r>
      <w:r w:rsidR="00C54D75">
        <w:rPr>
          <w:rFonts w:ascii="Sylfaen" w:hAnsi="Sylfaen"/>
          <w:b w:val="0"/>
          <w:sz w:val="24"/>
          <w:szCs w:val="24"/>
        </w:rPr>
        <w:t>և</w:t>
      </w:r>
      <w:r w:rsidRPr="00BD7577">
        <w:rPr>
          <w:rFonts w:ascii="Sylfaen" w:hAnsi="Sylfaen"/>
          <w:b w:val="0"/>
          <w:sz w:val="24"/>
          <w:szCs w:val="24"/>
        </w:rPr>
        <w:t xml:space="preserve"> այնքանով, որքանով ԱԴԲՄՖ-ի իրավատերը բավականաչափ հիմնավորում է, որ բացակայում է ակտիվ դեղագործական բաղադրամասի մեջ այդ խառնուկները հսկելու անհրաժեշտությունը։</w:t>
      </w:r>
    </w:p>
    <w:p w14:paraId="668F9B32" w14:textId="77777777" w:rsidR="008C76E0" w:rsidRPr="00BD7577" w:rsidRDefault="008C76E0" w:rsidP="008C76E0">
      <w:pPr>
        <w:pStyle w:val="Bodytext80"/>
        <w:shd w:val="clear" w:color="auto" w:fill="auto"/>
        <w:tabs>
          <w:tab w:val="left" w:pos="1134"/>
        </w:tabs>
        <w:spacing w:before="0" w:after="160" w:line="360" w:lineRule="auto"/>
        <w:ind w:left="1134" w:hanging="567"/>
        <w:jc w:val="both"/>
        <w:rPr>
          <w:rFonts w:ascii="Sylfaen" w:hAnsi="Sylfaen"/>
          <w:b w:val="0"/>
          <w:sz w:val="24"/>
          <w:szCs w:val="24"/>
        </w:rPr>
      </w:pPr>
      <w:r w:rsidRPr="00BD7577">
        <w:rPr>
          <w:rFonts w:ascii="Sylfaen" w:hAnsi="Sylfaen"/>
          <w:b w:val="0"/>
          <w:sz w:val="24"/>
          <w:szCs w:val="24"/>
        </w:rPr>
        <w:t>6.</w:t>
      </w:r>
      <w:r w:rsidRPr="00BD7577">
        <w:rPr>
          <w:rFonts w:ascii="Sylfaen" w:hAnsi="Sylfaen"/>
          <w:b w:val="0"/>
          <w:sz w:val="24"/>
          <w:szCs w:val="24"/>
        </w:rPr>
        <w:tab/>
        <w:t xml:space="preserve">Այնքանով, որքանով այդ տեղեկությունները վերաբերում են արտադրության գործընթացի մանրամասն նկարագրությանը, նյութերի որակի հսկողությանը </w:t>
      </w:r>
      <w:r w:rsidR="00C54D75">
        <w:rPr>
          <w:rFonts w:ascii="Sylfaen" w:hAnsi="Sylfaen"/>
          <w:b w:val="0"/>
          <w:sz w:val="24"/>
          <w:szCs w:val="24"/>
        </w:rPr>
        <w:t>և</w:t>
      </w:r>
      <w:r w:rsidRPr="00BD7577">
        <w:rPr>
          <w:rFonts w:ascii="Sylfaen" w:hAnsi="Sylfaen"/>
          <w:b w:val="0"/>
          <w:sz w:val="24"/>
          <w:szCs w:val="24"/>
        </w:rPr>
        <w:t xml:space="preserve"> արտադրության գործընթացի վալիդացմանը։</w:t>
      </w:r>
    </w:p>
    <w:p w14:paraId="2E41B9D0"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2A822293" w14:textId="77777777" w:rsidR="008C76E0" w:rsidRPr="00BD7577" w:rsidRDefault="008C76E0" w:rsidP="008C76E0">
      <w:pPr>
        <w:pStyle w:val="Tablecaption30"/>
        <w:shd w:val="clear" w:color="auto" w:fill="auto"/>
        <w:spacing w:after="160" w:line="360" w:lineRule="auto"/>
        <w:ind w:right="-1"/>
        <w:jc w:val="right"/>
        <w:rPr>
          <w:rFonts w:ascii="Sylfaen" w:hAnsi="Sylfaen"/>
          <w:sz w:val="24"/>
          <w:szCs w:val="24"/>
        </w:rPr>
      </w:pPr>
      <w:r w:rsidRPr="00BD7577">
        <w:rPr>
          <w:rFonts w:ascii="Sylfaen" w:hAnsi="Sylfaen"/>
          <w:sz w:val="24"/>
          <w:szCs w:val="24"/>
        </w:rPr>
        <w:lastRenderedPageBreak/>
        <w:t>Աղյուսակ 2</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424"/>
        <w:gridCol w:w="6"/>
        <w:gridCol w:w="5453"/>
        <w:gridCol w:w="1608"/>
        <w:gridCol w:w="1435"/>
        <w:gridCol w:w="7"/>
      </w:tblGrid>
      <w:tr w:rsidR="008C76E0" w:rsidRPr="00BD7577" w14:paraId="44D04DDA" w14:textId="77777777" w:rsidTr="008C76E0">
        <w:trPr>
          <w:gridAfter w:val="1"/>
          <w:wAfter w:w="7" w:type="dxa"/>
          <w:trHeight w:val="273"/>
          <w:jc w:val="center"/>
        </w:trPr>
        <w:tc>
          <w:tcPr>
            <w:tcW w:w="1430" w:type="dxa"/>
            <w:gridSpan w:val="2"/>
            <w:tcBorders>
              <w:top w:val="single" w:sz="4" w:space="0" w:color="auto"/>
              <w:left w:val="single" w:sz="4" w:space="0" w:color="auto"/>
            </w:tcBorders>
            <w:shd w:val="clear" w:color="auto" w:fill="FFFFFF"/>
          </w:tcPr>
          <w:p w14:paraId="5D753C37" w14:textId="77777777" w:rsidR="008C76E0" w:rsidRPr="00BD7577" w:rsidRDefault="008C76E0" w:rsidP="008C76E0">
            <w:pPr>
              <w:pStyle w:val="Bodytext180"/>
              <w:shd w:val="clear" w:color="auto" w:fill="auto"/>
              <w:spacing w:before="0" w:after="120" w:line="240" w:lineRule="auto"/>
              <w:ind w:left="83" w:firstLine="0"/>
              <w:jc w:val="center"/>
              <w:rPr>
                <w:rFonts w:ascii="Sylfaen" w:hAnsi="Sylfaen"/>
                <w:b w:val="0"/>
                <w:sz w:val="24"/>
                <w:szCs w:val="24"/>
              </w:rPr>
            </w:pPr>
            <w:r w:rsidRPr="00BD7577">
              <w:rPr>
                <w:rStyle w:val="Bodytext1811pt"/>
                <w:rFonts w:ascii="Sylfaen" w:hAnsi="Sylfaen"/>
                <w:sz w:val="24"/>
                <w:szCs w:val="24"/>
              </w:rPr>
              <w:t>Դոսյեի մոդուլի մաս</w:t>
            </w:r>
          </w:p>
        </w:tc>
        <w:tc>
          <w:tcPr>
            <w:tcW w:w="5453" w:type="dxa"/>
            <w:tcBorders>
              <w:top w:val="single" w:sz="4" w:space="0" w:color="auto"/>
              <w:left w:val="single" w:sz="4" w:space="0" w:color="auto"/>
            </w:tcBorders>
            <w:shd w:val="clear" w:color="auto" w:fill="FFFFFF"/>
          </w:tcPr>
          <w:p w14:paraId="7593E983" w14:textId="77777777" w:rsidR="008C76E0" w:rsidRPr="00BD7577" w:rsidRDefault="008C76E0" w:rsidP="008C76E0">
            <w:pPr>
              <w:pStyle w:val="Bodytext180"/>
              <w:shd w:val="clear" w:color="auto" w:fill="auto"/>
              <w:spacing w:before="0" w:after="120" w:line="240" w:lineRule="auto"/>
              <w:ind w:left="77" w:firstLine="0"/>
              <w:jc w:val="center"/>
              <w:rPr>
                <w:rFonts w:ascii="Sylfaen" w:hAnsi="Sylfaen"/>
                <w:b w:val="0"/>
                <w:sz w:val="24"/>
                <w:szCs w:val="24"/>
              </w:rPr>
            </w:pPr>
            <w:r w:rsidRPr="00BD7577">
              <w:rPr>
                <w:rStyle w:val="Bodytext1811pt"/>
                <w:rFonts w:ascii="Sylfaen" w:hAnsi="Sylfaen"/>
                <w:sz w:val="24"/>
                <w:szCs w:val="24"/>
              </w:rPr>
              <w:t>ԸՏՓ-ի ձ</w:t>
            </w:r>
            <w:r w:rsidR="00C54D75">
              <w:rPr>
                <w:rStyle w:val="Bodytext1811pt"/>
                <w:rFonts w:ascii="Sylfaen" w:hAnsi="Sylfaen"/>
                <w:sz w:val="24"/>
                <w:szCs w:val="24"/>
              </w:rPr>
              <w:t>և</w:t>
            </w:r>
            <w:r w:rsidRPr="00BD7577">
              <w:rPr>
                <w:rStyle w:val="Bodytext1811pt"/>
                <w:rFonts w:ascii="Sylfaen" w:hAnsi="Sylfaen"/>
                <w:sz w:val="24"/>
                <w:szCs w:val="24"/>
              </w:rPr>
              <w:t>աչափ բուսական հումք (բուսական դեղագործական բաղադրամասեր)</w:t>
            </w:r>
          </w:p>
        </w:tc>
        <w:tc>
          <w:tcPr>
            <w:tcW w:w="1608" w:type="dxa"/>
            <w:tcBorders>
              <w:top w:val="single" w:sz="4" w:space="0" w:color="auto"/>
              <w:left w:val="single" w:sz="4" w:space="0" w:color="auto"/>
            </w:tcBorders>
            <w:shd w:val="clear" w:color="auto" w:fill="FFFFFF"/>
          </w:tcPr>
          <w:p w14:paraId="46723722" w14:textId="48105477" w:rsidR="008C76E0" w:rsidRPr="00BD7577" w:rsidRDefault="0056496B" w:rsidP="008C76E0">
            <w:pPr>
              <w:pStyle w:val="Bodytext180"/>
              <w:shd w:val="clear" w:color="auto" w:fill="auto"/>
              <w:spacing w:before="0" w:after="120" w:line="240" w:lineRule="auto"/>
              <w:ind w:firstLine="0"/>
              <w:jc w:val="center"/>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w:t>
            </w:r>
          </w:p>
        </w:tc>
        <w:tc>
          <w:tcPr>
            <w:tcW w:w="1435" w:type="dxa"/>
            <w:tcBorders>
              <w:top w:val="single" w:sz="4" w:space="0" w:color="auto"/>
              <w:left w:val="single" w:sz="4" w:space="0" w:color="auto"/>
              <w:right w:val="single" w:sz="4" w:space="0" w:color="auto"/>
            </w:tcBorders>
            <w:shd w:val="clear" w:color="auto" w:fill="FFFFFF"/>
          </w:tcPr>
          <w:p w14:paraId="26B9E69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Փակ մաս</w:t>
            </w:r>
          </w:p>
        </w:tc>
      </w:tr>
      <w:tr w:rsidR="008C76E0" w:rsidRPr="00BD7577" w14:paraId="7C060B70" w14:textId="77777777" w:rsidTr="008C76E0">
        <w:trPr>
          <w:gridAfter w:val="1"/>
          <w:wAfter w:w="7" w:type="dxa"/>
          <w:jc w:val="center"/>
        </w:trPr>
        <w:tc>
          <w:tcPr>
            <w:tcW w:w="1430" w:type="dxa"/>
            <w:gridSpan w:val="2"/>
            <w:tcBorders>
              <w:top w:val="single" w:sz="4" w:space="0" w:color="auto"/>
            </w:tcBorders>
            <w:shd w:val="clear" w:color="auto" w:fill="FFFFFF"/>
          </w:tcPr>
          <w:p w14:paraId="06478E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w:t>
            </w:r>
          </w:p>
        </w:tc>
        <w:tc>
          <w:tcPr>
            <w:tcW w:w="5453" w:type="dxa"/>
            <w:tcBorders>
              <w:top w:val="single" w:sz="4" w:space="0" w:color="auto"/>
            </w:tcBorders>
            <w:shd w:val="clear" w:color="auto" w:fill="FFFFFF"/>
          </w:tcPr>
          <w:p w14:paraId="024493B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տեղեկությունները</w:t>
            </w:r>
          </w:p>
        </w:tc>
        <w:tc>
          <w:tcPr>
            <w:tcW w:w="1608" w:type="dxa"/>
            <w:tcBorders>
              <w:top w:val="single" w:sz="4" w:space="0" w:color="auto"/>
            </w:tcBorders>
            <w:shd w:val="clear" w:color="auto" w:fill="FFFFFF"/>
          </w:tcPr>
          <w:p w14:paraId="1BE3A2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tcBorders>
              <w:top w:val="single" w:sz="4" w:space="0" w:color="auto"/>
            </w:tcBorders>
            <w:shd w:val="clear" w:color="auto" w:fill="FFFFFF"/>
          </w:tcPr>
          <w:p w14:paraId="06D3879B"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C0D1FC1" w14:textId="77777777" w:rsidTr="008C76E0">
        <w:trPr>
          <w:gridAfter w:val="1"/>
          <w:wAfter w:w="7" w:type="dxa"/>
          <w:jc w:val="center"/>
        </w:trPr>
        <w:tc>
          <w:tcPr>
            <w:tcW w:w="1430" w:type="dxa"/>
            <w:gridSpan w:val="2"/>
            <w:shd w:val="clear" w:color="auto" w:fill="FFFFFF"/>
          </w:tcPr>
          <w:p w14:paraId="0EF1C87E"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3.2.С.1.1</w:t>
            </w:r>
          </w:p>
        </w:tc>
        <w:tc>
          <w:tcPr>
            <w:tcW w:w="5453" w:type="dxa"/>
            <w:vMerge w:val="restart"/>
            <w:shd w:val="clear" w:color="auto" w:fill="FFFFFF"/>
            <w:vAlign w:val="bottom"/>
          </w:tcPr>
          <w:p w14:paraId="6CA546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Անվանացանկը</w:t>
            </w:r>
          </w:p>
          <w:p w14:paraId="1B9001E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w:t>
            </w:r>
            <w:r w:rsidRPr="00BD7577">
              <w:rPr>
                <w:rStyle w:val="Bodytext1811pt"/>
                <w:rFonts w:ascii="Sylfaen" w:hAnsi="Sylfaen"/>
                <w:sz w:val="24"/>
                <w:szCs w:val="24"/>
              </w:rPr>
              <w:tab/>
              <w:t xml:space="preserve">Դեղաբուսական հումքի մանրացման միջոցով ստացված բուսական ծագման դեղագործական բաղադրամասը՝ 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 մորֆոլոգիական խումբը</w:t>
            </w:r>
          </w:p>
          <w:p w14:paraId="7EA52EB6"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դեղաբուսական հումքի անվանումը լատիներենով</w:t>
            </w:r>
          </w:p>
          <w:p w14:paraId="21FE06B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այլ անվանումներ (այլ դեղագրքերում նկարագրված հոմանիշներ)</w:t>
            </w:r>
          </w:p>
          <w:p w14:paraId="295535A3"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ծագման աղբյուրը (վայրի կամ մշակովի)</w:t>
            </w:r>
          </w:p>
          <w:p w14:paraId="44F771CD" w14:textId="77777777" w:rsidR="008C76E0" w:rsidRPr="00BD7577" w:rsidRDefault="008C76E0" w:rsidP="008C76E0">
            <w:pPr>
              <w:pStyle w:val="Bodytext180"/>
              <w:shd w:val="clear" w:color="auto" w:fill="auto"/>
              <w:tabs>
                <w:tab w:val="left" w:pos="498"/>
              </w:tabs>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w:t>
            </w:r>
            <w:r w:rsidRPr="00BD7577">
              <w:rPr>
                <w:rStyle w:val="Bodytext1811pt"/>
                <w:rFonts w:ascii="Sylfaen" w:hAnsi="Sylfaen"/>
                <w:sz w:val="24"/>
                <w:szCs w:val="24"/>
              </w:rPr>
              <w:tab/>
              <w:t xml:space="preserve">Տարբեր միջոցներով (լուծամզում </w:t>
            </w:r>
            <w:r w:rsidR="00C54D75">
              <w:rPr>
                <w:rStyle w:val="Bodytext1811pt"/>
                <w:rFonts w:ascii="Sylfaen" w:hAnsi="Sylfaen"/>
                <w:sz w:val="24"/>
                <w:szCs w:val="24"/>
              </w:rPr>
              <w:t>և</w:t>
            </w:r>
            <w:r w:rsidRPr="00BD7577">
              <w:rPr>
                <w:rStyle w:val="Bodytext1811pt"/>
                <w:rFonts w:ascii="Sylfaen" w:hAnsi="Sylfaen"/>
                <w:sz w:val="24"/>
                <w:szCs w:val="24"/>
              </w:rPr>
              <w:t xml:space="preserve"> այլն) դեղաբուսական հումքի մշակումից հետո ստացված բուսական ծագման դեղագործական բաղադրամաս</w:t>
            </w:r>
          </w:p>
          <w:p w14:paraId="63D5992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բույսի բինոմինալ (երկանվանական) գիտական անվանումը (ցեղատեսակը, տեսակը, ենթատեսակը </w:t>
            </w:r>
            <w:r w:rsidR="00C54D75">
              <w:rPr>
                <w:rStyle w:val="Bodytext1811pt"/>
                <w:rFonts w:ascii="Sylfaen" w:hAnsi="Sylfaen"/>
                <w:sz w:val="24"/>
                <w:szCs w:val="24"/>
              </w:rPr>
              <w:t>և</w:t>
            </w:r>
            <w:r w:rsidRPr="00BD7577">
              <w:rPr>
                <w:rStyle w:val="Bodytext1811pt"/>
                <w:rFonts w:ascii="Sylfaen" w:hAnsi="Sylfaen"/>
                <w:sz w:val="24"/>
                <w:szCs w:val="24"/>
              </w:rPr>
              <w:t xml:space="preserve"> հեղինակը) </w:t>
            </w:r>
            <w:r w:rsidR="00C54D75">
              <w:rPr>
                <w:rStyle w:val="Bodytext1811pt"/>
                <w:rFonts w:ascii="Sylfaen" w:hAnsi="Sylfaen"/>
                <w:sz w:val="24"/>
                <w:szCs w:val="24"/>
              </w:rPr>
              <w:t>և</w:t>
            </w:r>
            <w:r w:rsidRPr="00BD7577">
              <w:rPr>
                <w:rStyle w:val="Bodytext1811pt"/>
                <w:rFonts w:ascii="Sylfaen" w:hAnsi="Sylfaen"/>
                <w:sz w:val="24"/>
                <w:szCs w:val="24"/>
              </w:rPr>
              <w:t xml:space="preserve"> քեմոտիպը (առկայության դեպքում)</w:t>
            </w:r>
          </w:p>
          <w:p w14:paraId="1461DC5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բույսերի մասերը</w:t>
            </w:r>
          </w:p>
          <w:p w14:paraId="094EC7A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բաղադրամասի անվանումը</w:t>
            </w:r>
          </w:p>
          <w:p w14:paraId="2E4E278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ծագման դեղագործական բաղադրամասում դեղաբուսական հումքի մասնաբաժինը</w:t>
            </w:r>
          </w:p>
          <w:p w14:paraId="074F92C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լուծամզվածքային լուծիչները</w:t>
            </w:r>
          </w:p>
          <w:p w14:paraId="12BDC3BE" w14:textId="77777777" w:rsidR="008C76E0" w:rsidRPr="00BD7577" w:rsidRDefault="008C76E0" w:rsidP="008C76E0">
            <w:pPr>
              <w:pStyle w:val="Bodytext180"/>
              <w:shd w:val="clear" w:color="auto" w:fill="auto"/>
              <w:spacing w:before="0" w:after="120" w:line="240" w:lineRule="auto"/>
              <w:ind w:left="77" w:right="-1" w:firstLine="0"/>
              <w:rPr>
                <w:rStyle w:val="Bodytext1811pt"/>
                <w:rFonts w:ascii="Sylfaen" w:hAnsi="Sylfaen"/>
                <w:sz w:val="24"/>
                <w:szCs w:val="24"/>
              </w:rPr>
            </w:pPr>
            <w:r w:rsidRPr="00BD7577">
              <w:rPr>
                <w:rStyle w:val="Bodytext1811pt"/>
                <w:rFonts w:ascii="Sylfaen" w:hAnsi="Sylfaen"/>
                <w:sz w:val="24"/>
                <w:szCs w:val="24"/>
              </w:rPr>
              <w:t>այլ անվանումներ (այլ դեղագրքերում նկարագրված հոմանիշներ)</w:t>
            </w:r>
          </w:p>
          <w:p w14:paraId="150B0A65"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ծագման աղբյուրը (վայրի կամ մշակովի)</w:t>
            </w:r>
          </w:p>
        </w:tc>
        <w:tc>
          <w:tcPr>
            <w:tcW w:w="1608" w:type="dxa"/>
            <w:shd w:val="clear" w:color="auto" w:fill="FFFFFF"/>
          </w:tcPr>
          <w:p w14:paraId="639A8B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BookmanOldStyle"/>
                <w:rFonts w:ascii="Sylfaen" w:hAnsi="Sylfaen"/>
                <w:sz w:val="24"/>
                <w:szCs w:val="24"/>
              </w:rPr>
              <w:t>x</w:t>
            </w:r>
          </w:p>
        </w:tc>
        <w:tc>
          <w:tcPr>
            <w:tcW w:w="1435" w:type="dxa"/>
            <w:shd w:val="clear" w:color="auto" w:fill="FFFFFF"/>
          </w:tcPr>
          <w:p w14:paraId="3ADDDA5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711ADD86" w14:textId="77777777" w:rsidTr="008C76E0">
        <w:trPr>
          <w:gridAfter w:val="1"/>
          <w:wAfter w:w="7" w:type="dxa"/>
          <w:jc w:val="center"/>
        </w:trPr>
        <w:tc>
          <w:tcPr>
            <w:tcW w:w="1430" w:type="dxa"/>
            <w:gridSpan w:val="2"/>
            <w:shd w:val="clear" w:color="auto" w:fill="FFFFFF"/>
          </w:tcPr>
          <w:p w14:paraId="4E881025" w14:textId="77777777" w:rsidR="008C76E0" w:rsidRPr="00BD7577" w:rsidRDefault="008C76E0" w:rsidP="008C76E0">
            <w:pPr>
              <w:spacing w:after="120" w:line="240" w:lineRule="auto"/>
              <w:ind w:left="83" w:right="-1"/>
              <w:jc w:val="both"/>
              <w:rPr>
                <w:rFonts w:ascii="Sylfaen" w:hAnsi="Sylfaen"/>
                <w:sz w:val="24"/>
                <w:szCs w:val="24"/>
              </w:rPr>
            </w:pPr>
          </w:p>
        </w:tc>
        <w:tc>
          <w:tcPr>
            <w:tcW w:w="5453" w:type="dxa"/>
            <w:vMerge/>
            <w:shd w:val="clear" w:color="auto" w:fill="FFFFFF"/>
          </w:tcPr>
          <w:p w14:paraId="54E03D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p>
        </w:tc>
        <w:tc>
          <w:tcPr>
            <w:tcW w:w="1608" w:type="dxa"/>
            <w:shd w:val="clear" w:color="auto" w:fill="FFFFFF"/>
          </w:tcPr>
          <w:p w14:paraId="39B64DD4"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1D485B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35947EB" w14:textId="77777777" w:rsidTr="008C76E0">
        <w:trPr>
          <w:gridAfter w:val="1"/>
          <w:wAfter w:w="7" w:type="dxa"/>
          <w:jc w:val="center"/>
        </w:trPr>
        <w:tc>
          <w:tcPr>
            <w:tcW w:w="1430" w:type="dxa"/>
            <w:gridSpan w:val="2"/>
            <w:shd w:val="clear" w:color="auto" w:fill="FFFFFF"/>
          </w:tcPr>
          <w:p w14:paraId="2EB15D4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lastRenderedPageBreak/>
              <w:t>3.2.C.1.2</w:t>
            </w:r>
          </w:p>
        </w:tc>
        <w:tc>
          <w:tcPr>
            <w:tcW w:w="5453" w:type="dxa"/>
            <w:shd w:val="clear" w:color="auto" w:fill="FFFFFF"/>
          </w:tcPr>
          <w:p w14:paraId="655479E2"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Կառուցվածքը</w:t>
            </w:r>
          </w:p>
          <w:p w14:paraId="74D4AE1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Ֆիզիկական վիճակը</w:t>
            </w:r>
          </w:p>
          <w:p w14:paraId="1E268949" w14:textId="56F6F266" w:rsidR="008C76E0" w:rsidRPr="00BD7577" w:rsidRDefault="005F6A31" w:rsidP="008C76E0">
            <w:pPr>
              <w:pStyle w:val="Bodytext180"/>
              <w:shd w:val="clear" w:color="auto" w:fill="auto"/>
              <w:spacing w:before="0" w:after="120" w:line="240" w:lineRule="auto"/>
              <w:ind w:left="77" w:right="-1" w:firstLine="0"/>
              <w:rPr>
                <w:rFonts w:ascii="Sylfaen" w:hAnsi="Sylfaen"/>
                <w:b w:val="0"/>
                <w:sz w:val="24"/>
                <w:szCs w:val="24"/>
              </w:rPr>
            </w:pPr>
            <w:r>
              <w:rPr>
                <w:rStyle w:val="Bodytext1811pt"/>
                <w:rFonts w:ascii="Sylfaen" w:hAnsi="Sylfaen"/>
                <w:sz w:val="24"/>
                <w:szCs w:val="24"/>
              </w:rPr>
              <w:t>Հայտնի</w:t>
            </w:r>
            <w:r w:rsidR="008C76E0" w:rsidRPr="00BD7577">
              <w:rPr>
                <w:rStyle w:val="Bodytext1811pt"/>
                <w:rFonts w:ascii="Sylfaen" w:hAnsi="Sylfaen"/>
                <w:sz w:val="24"/>
                <w:szCs w:val="24"/>
              </w:rPr>
              <w:t xml:space="preserve"> թերապ</w:t>
            </w:r>
            <w:r w:rsidR="00C54D75">
              <w:rPr>
                <w:rStyle w:val="Bodytext1811pt"/>
                <w:rFonts w:ascii="Sylfaen" w:hAnsi="Sylfaen"/>
                <w:sz w:val="24"/>
                <w:szCs w:val="24"/>
              </w:rPr>
              <w:t>և</w:t>
            </w:r>
            <w:r w:rsidR="008C76E0" w:rsidRPr="00BD7577">
              <w:rPr>
                <w:rStyle w:val="Bodytext1811pt"/>
                <w:rFonts w:ascii="Sylfaen" w:hAnsi="Sylfaen"/>
                <w:sz w:val="24"/>
                <w:szCs w:val="24"/>
              </w:rPr>
              <w:t>տիկ ակտիվությամբ բաղադրիչների կամ մարկերների նկարագրությունը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ը, հարաբերական մոլեկուլային զանգվածը, կառուցվածքային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ներառյալ՝ հարաբերական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բացարձակ տարածական քիմիան, մոլեկուլային բանաձ</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ը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հարաբերական մոլեկուլային զանգվածը) </w:t>
            </w:r>
          </w:p>
          <w:p w14:paraId="476D778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Մյուս բաղադրիչները</w:t>
            </w:r>
          </w:p>
        </w:tc>
        <w:tc>
          <w:tcPr>
            <w:tcW w:w="1608" w:type="dxa"/>
            <w:shd w:val="clear" w:color="auto" w:fill="FFFFFF"/>
          </w:tcPr>
          <w:p w14:paraId="4D8F773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13DD7EE1"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5F091E0" w14:textId="77777777" w:rsidTr="008C76E0">
        <w:trPr>
          <w:gridAfter w:val="1"/>
          <w:wAfter w:w="7" w:type="dxa"/>
          <w:jc w:val="center"/>
        </w:trPr>
        <w:tc>
          <w:tcPr>
            <w:tcW w:w="1430" w:type="dxa"/>
            <w:gridSpan w:val="2"/>
            <w:shd w:val="clear" w:color="auto" w:fill="FFFFFF"/>
            <w:vAlign w:val="center"/>
          </w:tcPr>
          <w:p w14:paraId="0328D57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3.2.C.1.3</w:t>
            </w:r>
          </w:p>
        </w:tc>
        <w:tc>
          <w:tcPr>
            <w:tcW w:w="5453" w:type="dxa"/>
            <w:shd w:val="clear" w:color="auto" w:fill="FFFFFF"/>
            <w:vAlign w:val="bottom"/>
          </w:tcPr>
          <w:p w14:paraId="509220E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Ընդհանուր հատկությունները</w:t>
            </w:r>
          </w:p>
        </w:tc>
        <w:tc>
          <w:tcPr>
            <w:tcW w:w="1608" w:type="dxa"/>
            <w:shd w:val="clear" w:color="auto" w:fill="FFFFFF"/>
            <w:vAlign w:val="center"/>
          </w:tcPr>
          <w:p w14:paraId="1106171E"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31B19D69"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F477546" w14:textId="77777777" w:rsidTr="008C76E0">
        <w:trPr>
          <w:gridAfter w:val="1"/>
          <w:wAfter w:w="7" w:type="dxa"/>
          <w:jc w:val="center"/>
        </w:trPr>
        <w:tc>
          <w:tcPr>
            <w:tcW w:w="1430" w:type="dxa"/>
            <w:gridSpan w:val="2"/>
            <w:shd w:val="clear" w:color="auto" w:fill="FFFFFF"/>
          </w:tcPr>
          <w:p w14:paraId="7918F1D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w:t>
            </w:r>
          </w:p>
        </w:tc>
        <w:tc>
          <w:tcPr>
            <w:tcW w:w="5453" w:type="dxa"/>
            <w:shd w:val="clear" w:color="auto" w:fill="FFFFFF"/>
            <w:vAlign w:val="bottom"/>
          </w:tcPr>
          <w:p w14:paraId="4D0309DE"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Արտադրողները՝</w:t>
            </w:r>
          </w:p>
          <w:p w14:paraId="089E633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արտադրության (հավաքման)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p w14:paraId="3F5004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դեղագործական բաղադրամասեր (անհրաժեշտ է ներկայացնել յուրաքանչյուր արտադրողի, ներառյալ՝ ենթակապալառուների,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բաղադրամասի արտադրության </w:t>
            </w:r>
            <w:r w:rsidR="00C54D75">
              <w:rPr>
                <w:rStyle w:val="Bodytext1811pt"/>
                <w:rFonts w:ascii="Sylfaen" w:hAnsi="Sylfaen"/>
                <w:sz w:val="24"/>
                <w:szCs w:val="24"/>
              </w:rPr>
              <w:t>և</w:t>
            </w:r>
            <w:r w:rsidRPr="00BD7577">
              <w:rPr>
                <w:rStyle w:val="Bodytext1811pt"/>
                <w:rFonts w:ascii="Sylfaen" w:hAnsi="Sylfaen"/>
                <w:sz w:val="24"/>
                <w:szCs w:val="24"/>
              </w:rPr>
              <w:t xml:space="preserve"> հսկողության մեջ ներգրավված առաջարկվող յուրաքանչյուր արտադրական հարթակի անվանումը, հասցեն </w:t>
            </w:r>
            <w:r w:rsidR="00C54D75">
              <w:rPr>
                <w:rStyle w:val="Bodytext1811pt"/>
                <w:rFonts w:ascii="Sylfaen" w:hAnsi="Sylfaen"/>
                <w:sz w:val="24"/>
                <w:szCs w:val="24"/>
              </w:rPr>
              <w:t>և</w:t>
            </w:r>
            <w:r w:rsidRPr="00BD7577">
              <w:rPr>
                <w:rStyle w:val="Bodytext1811pt"/>
                <w:rFonts w:ascii="Sylfaen" w:hAnsi="Sylfaen"/>
                <w:sz w:val="24"/>
                <w:szCs w:val="24"/>
              </w:rPr>
              <w:t xml:space="preserve"> պատասխանատվությունը)</w:t>
            </w:r>
          </w:p>
        </w:tc>
        <w:tc>
          <w:tcPr>
            <w:tcW w:w="1608" w:type="dxa"/>
            <w:shd w:val="clear" w:color="auto" w:fill="FFFFFF"/>
          </w:tcPr>
          <w:p w14:paraId="7BCD4B7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DD4943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0FD6626" w14:textId="77777777" w:rsidTr="008C76E0">
        <w:trPr>
          <w:gridAfter w:val="1"/>
          <w:wAfter w:w="7" w:type="dxa"/>
          <w:jc w:val="center"/>
        </w:trPr>
        <w:tc>
          <w:tcPr>
            <w:tcW w:w="1430" w:type="dxa"/>
            <w:gridSpan w:val="2"/>
            <w:shd w:val="clear" w:color="auto" w:fill="FFFFFF"/>
          </w:tcPr>
          <w:p w14:paraId="636AD01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3.2.C.2.2</w:t>
            </w:r>
          </w:p>
        </w:tc>
        <w:tc>
          <w:tcPr>
            <w:tcW w:w="5453" w:type="dxa"/>
            <w:shd w:val="clear" w:color="auto" w:fill="FFFFFF"/>
          </w:tcPr>
          <w:p w14:paraId="13BE4ED6"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Արտադրության գործընթացի </w:t>
            </w:r>
            <w:r w:rsidR="00C54D75">
              <w:rPr>
                <w:rStyle w:val="Bodytext1811pt"/>
                <w:rFonts w:ascii="Sylfaen" w:hAnsi="Sylfaen"/>
                <w:sz w:val="24"/>
                <w:szCs w:val="24"/>
              </w:rPr>
              <w:t>և</w:t>
            </w:r>
            <w:r w:rsidRPr="00BD7577">
              <w:rPr>
                <w:rStyle w:val="Bodytext1811pt"/>
                <w:rFonts w:ascii="Sylfaen" w:hAnsi="Sylfaen"/>
                <w:sz w:val="24"/>
                <w:szCs w:val="24"/>
              </w:rPr>
              <w:t xml:space="preserve"> դրա հսկողության նկարագրությունը՝</w:t>
            </w:r>
          </w:p>
          <w:p w14:paraId="06E335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բուսական հումք (անհրաժեշտ է ներկայացնել բույսերի արտադրությունն ու հավաքումը պատշաճ կերպով նկարագրող տեղեկություններ), ներառյալ՝ դեղաբույսի աշխարհագրական ծագումը</w:t>
            </w:r>
          </w:p>
          <w:p w14:paraId="559A36D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աճեցման, հավաքման, չորացման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պահպանման պայմանները, սերիայի չափը</w:t>
            </w:r>
          </w:p>
        </w:tc>
        <w:tc>
          <w:tcPr>
            <w:tcW w:w="1608" w:type="dxa"/>
            <w:shd w:val="clear" w:color="auto" w:fill="FFFFFF"/>
          </w:tcPr>
          <w:p w14:paraId="1836EED0"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բլոկ-սխեման</w:t>
            </w:r>
          </w:p>
        </w:tc>
        <w:tc>
          <w:tcPr>
            <w:tcW w:w="1435" w:type="dxa"/>
            <w:shd w:val="clear" w:color="auto" w:fill="FFFFFF"/>
          </w:tcPr>
          <w:p w14:paraId="0E745C1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մանրամասն տեղեկությունները</w:t>
            </w:r>
          </w:p>
        </w:tc>
      </w:tr>
      <w:tr w:rsidR="008C76E0" w:rsidRPr="00BD7577" w14:paraId="1C6A2C4D" w14:textId="77777777" w:rsidTr="008C76E0">
        <w:trPr>
          <w:gridAfter w:val="1"/>
          <w:wAfter w:w="7" w:type="dxa"/>
          <w:jc w:val="center"/>
        </w:trPr>
        <w:tc>
          <w:tcPr>
            <w:tcW w:w="1424" w:type="dxa"/>
            <w:shd w:val="clear" w:color="auto" w:fill="FFFFFF"/>
          </w:tcPr>
          <w:p w14:paraId="34449573" w14:textId="77777777" w:rsidR="008C76E0" w:rsidRPr="00BD7577" w:rsidRDefault="008C76E0" w:rsidP="008C76E0">
            <w:pPr>
              <w:spacing w:after="120" w:line="240" w:lineRule="auto"/>
              <w:ind w:left="83" w:right="-1"/>
              <w:jc w:val="both"/>
              <w:rPr>
                <w:rFonts w:ascii="Sylfaen" w:hAnsi="Sylfaen"/>
                <w:sz w:val="24"/>
                <w:szCs w:val="24"/>
              </w:rPr>
            </w:pPr>
          </w:p>
        </w:tc>
        <w:tc>
          <w:tcPr>
            <w:tcW w:w="5459" w:type="dxa"/>
            <w:gridSpan w:val="2"/>
            <w:shd w:val="clear" w:color="auto" w:fill="FFFFFF"/>
          </w:tcPr>
          <w:p w14:paraId="462627DB"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 xml:space="preserve">բուսական դեղագործական բաղադրամասեր (անհրաժեշտ է ներկայացնել բուսական </w:t>
            </w:r>
            <w:r w:rsidRPr="00BD7577">
              <w:rPr>
                <w:rStyle w:val="Bodytext1811pt"/>
                <w:rFonts w:ascii="Sylfaen" w:hAnsi="Sylfaen"/>
                <w:sz w:val="24"/>
                <w:szCs w:val="24"/>
              </w:rPr>
              <w:lastRenderedPageBreak/>
              <w:t>դեղագործական բաղադրամասի արտադրության գործընթացը պատշաճ կերպով նկարագրել թույլ տվող տեղեկություններ), ներառյալ՝</w:t>
            </w:r>
          </w:p>
          <w:p w14:paraId="40D3D68C"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մշակման նկարագրությունը (այդ թվում՝ բլոկ-սխեման)</w:t>
            </w:r>
          </w:p>
          <w:p w14:paraId="19DA9878"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լուծիչները, ռեակտիվները</w:t>
            </w:r>
          </w:p>
          <w:p w14:paraId="721804BD"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մաքրման փուլերը</w:t>
            </w:r>
          </w:p>
          <w:p w14:paraId="1E7ABC00" w14:textId="77777777" w:rsidR="008C76E0" w:rsidRPr="008C76E0" w:rsidRDefault="008C76E0" w:rsidP="008C76E0">
            <w:pPr>
              <w:pStyle w:val="Bodytext180"/>
              <w:shd w:val="clear" w:color="auto" w:fill="auto"/>
              <w:spacing w:before="0" w:after="120" w:line="240" w:lineRule="auto"/>
              <w:ind w:left="77" w:right="-1" w:firstLine="0"/>
              <w:rPr>
                <w:rFonts w:ascii="Sylfaen" w:hAnsi="Sylfaen"/>
                <w:b w:val="0"/>
                <w:sz w:val="24"/>
                <w:szCs w:val="24"/>
                <w:lang w:val="hy-AM"/>
              </w:rPr>
            </w:pPr>
            <w:r w:rsidRPr="00BD7577">
              <w:rPr>
                <w:rStyle w:val="Bodytext1811pt"/>
                <w:rFonts w:ascii="Sylfaen" w:hAnsi="Sylfaen"/>
                <w:sz w:val="24"/>
                <w:szCs w:val="24"/>
              </w:rPr>
              <w:t>սերիայի չափի ստանդարտացումը</w:t>
            </w:r>
          </w:p>
        </w:tc>
        <w:tc>
          <w:tcPr>
            <w:tcW w:w="1608" w:type="dxa"/>
            <w:shd w:val="clear" w:color="auto" w:fill="FFFFFF"/>
          </w:tcPr>
          <w:p w14:paraId="658B10DB"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23129EF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0627E92" w14:textId="77777777" w:rsidTr="008C76E0">
        <w:trPr>
          <w:gridAfter w:val="1"/>
          <w:wAfter w:w="7" w:type="dxa"/>
          <w:jc w:val="center"/>
        </w:trPr>
        <w:tc>
          <w:tcPr>
            <w:tcW w:w="1424" w:type="dxa"/>
            <w:shd w:val="clear" w:color="auto" w:fill="FFFFFF"/>
            <w:vAlign w:val="bottom"/>
          </w:tcPr>
          <w:p w14:paraId="3032380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3.2.C.2.3</w:t>
            </w:r>
          </w:p>
        </w:tc>
        <w:tc>
          <w:tcPr>
            <w:tcW w:w="5459" w:type="dxa"/>
            <w:gridSpan w:val="2"/>
            <w:shd w:val="clear" w:color="auto" w:fill="FFFFFF"/>
            <w:vAlign w:val="bottom"/>
          </w:tcPr>
          <w:p w14:paraId="119C24E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Նյութերի հսկողությունը</w:t>
            </w:r>
          </w:p>
        </w:tc>
        <w:tc>
          <w:tcPr>
            <w:tcW w:w="1608" w:type="dxa"/>
            <w:shd w:val="clear" w:color="auto" w:fill="FFFFFF"/>
          </w:tcPr>
          <w:p w14:paraId="2E40B33F"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vAlign w:val="bottom"/>
          </w:tcPr>
          <w:p w14:paraId="03293EF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D25AB0B" w14:textId="77777777" w:rsidTr="008C76E0">
        <w:trPr>
          <w:gridAfter w:val="1"/>
          <w:wAfter w:w="7" w:type="dxa"/>
          <w:jc w:val="center"/>
        </w:trPr>
        <w:tc>
          <w:tcPr>
            <w:tcW w:w="1424" w:type="dxa"/>
            <w:shd w:val="clear" w:color="auto" w:fill="FFFFFF"/>
          </w:tcPr>
          <w:p w14:paraId="3D9EA140"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3.2.C.2.4</w:t>
            </w:r>
          </w:p>
        </w:tc>
        <w:tc>
          <w:tcPr>
            <w:tcW w:w="5459" w:type="dxa"/>
            <w:gridSpan w:val="2"/>
            <w:shd w:val="clear" w:color="auto" w:fill="FFFFFF"/>
          </w:tcPr>
          <w:p w14:paraId="099CE88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Կրիտիկական փուլերի </w:t>
            </w:r>
            <w:r w:rsidR="00C54D75">
              <w:rPr>
                <w:rStyle w:val="Bodytext1811pt"/>
                <w:rFonts w:ascii="Sylfaen" w:hAnsi="Sylfaen"/>
                <w:sz w:val="24"/>
                <w:szCs w:val="24"/>
              </w:rPr>
              <w:t>և</w:t>
            </w:r>
            <w:r w:rsidRPr="00BD7577">
              <w:rPr>
                <w:rStyle w:val="Bodytext1811pt"/>
                <w:rFonts w:ascii="Sylfaen" w:hAnsi="Sylfaen"/>
                <w:sz w:val="24"/>
                <w:szCs w:val="24"/>
              </w:rPr>
              <w:t xml:space="preserve"> միջանկյալ արտադրանքների հսկողությունը</w:t>
            </w:r>
          </w:p>
        </w:tc>
        <w:tc>
          <w:tcPr>
            <w:tcW w:w="1608" w:type="dxa"/>
            <w:shd w:val="clear" w:color="auto" w:fill="FFFFFF"/>
            <w:vAlign w:val="bottom"/>
          </w:tcPr>
          <w:p w14:paraId="63920398" w14:textId="548EADFB"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եթե այն էական է նա</w:t>
            </w:r>
            <w:r w:rsidR="00C54D75">
              <w:rPr>
                <w:rStyle w:val="Bodytext1811pt"/>
                <w:rFonts w:ascii="Sylfaen" w:hAnsi="Sylfaen"/>
                <w:sz w:val="24"/>
                <w:szCs w:val="24"/>
              </w:rPr>
              <w:t>և</w:t>
            </w:r>
            <w:r w:rsidRPr="00BD7577">
              <w:rPr>
                <w:rStyle w:val="Bodytext1811pt"/>
                <w:rFonts w:ascii="Sylfaen" w:hAnsi="Sylfaen"/>
                <w:sz w:val="24"/>
                <w:szCs w:val="24"/>
              </w:rPr>
              <w:t xml:space="preserve"> ԳՀ-ի իրավատիրոջ (</w:t>
            </w:r>
            <w:r w:rsidR="0056496B">
              <w:rPr>
                <w:rStyle w:val="Bodytext1811pt"/>
                <w:rFonts w:ascii="Sylfaen" w:hAnsi="Sylfaen"/>
                <w:sz w:val="24"/>
                <w:szCs w:val="24"/>
              </w:rPr>
              <w:t>դիմումատու</w:t>
            </w:r>
            <w:r w:rsidRPr="00BD7577">
              <w:rPr>
                <w:rStyle w:val="Bodytext1811pt"/>
                <w:rFonts w:ascii="Sylfaen" w:hAnsi="Sylfaen"/>
                <w:sz w:val="24"/>
                <w:szCs w:val="24"/>
              </w:rPr>
              <w:t>ի) համար</w:t>
            </w:r>
          </w:p>
        </w:tc>
        <w:tc>
          <w:tcPr>
            <w:tcW w:w="1435" w:type="dxa"/>
            <w:shd w:val="clear" w:color="auto" w:fill="FFFFFF"/>
          </w:tcPr>
          <w:p w14:paraId="73A0DC0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77527ADD" w14:textId="77777777" w:rsidTr="008C76E0">
        <w:trPr>
          <w:gridAfter w:val="1"/>
          <w:wAfter w:w="7" w:type="dxa"/>
          <w:jc w:val="center"/>
        </w:trPr>
        <w:tc>
          <w:tcPr>
            <w:tcW w:w="1424" w:type="dxa"/>
            <w:shd w:val="clear" w:color="auto" w:fill="FFFFFF"/>
          </w:tcPr>
          <w:p w14:paraId="291FAF5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3.2.C.2.5</w:t>
            </w:r>
          </w:p>
        </w:tc>
        <w:tc>
          <w:tcPr>
            <w:tcW w:w="5459" w:type="dxa"/>
            <w:gridSpan w:val="2"/>
            <w:shd w:val="clear" w:color="auto" w:fill="FFFFFF"/>
          </w:tcPr>
          <w:p w14:paraId="3F95AD0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Գործընթացի վալիդացումը </w:t>
            </w:r>
            <w:r w:rsidR="00C54D75">
              <w:rPr>
                <w:rStyle w:val="Bodytext1811pt"/>
                <w:rFonts w:ascii="Sylfaen" w:hAnsi="Sylfaen"/>
                <w:sz w:val="24"/>
                <w:szCs w:val="24"/>
              </w:rPr>
              <w:t>և</w:t>
            </w:r>
            <w:r w:rsidRPr="00BD7577">
              <w:rPr>
                <w:rStyle w:val="Bodytext1811pt"/>
                <w:rFonts w:ascii="Sylfaen" w:hAnsi="Sylfaen"/>
                <w:sz w:val="24"/>
                <w:szCs w:val="24"/>
              </w:rPr>
              <w:t xml:space="preserve"> (կամ) վերլուծությունը</w:t>
            </w:r>
          </w:p>
        </w:tc>
        <w:tc>
          <w:tcPr>
            <w:tcW w:w="1608" w:type="dxa"/>
            <w:shd w:val="clear" w:color="auto" w:fill="FFFFFF"/>
          </w:tcPr>
          <w:p w14:paraId="6C1C20B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0E1FDC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56819C97" w14:textId="77777777" w:rsidTr="008C76E0">
        <w:trPr>
          <w:gridAfter w:val="1"/>
          <w:wAfter w:w="7" w:type="dxa"/>
          <w:jc w:val="center"/>
        </w:trPr>
        <w:tc>
          <w:tcPr>
            <w:tcW w:w="1424" w:type="dxa"/>
            <w:shd w:val="clear" w:color="auto" w:fill="FFFFFF"/>
          </w:tcPr>
          <w:p w14:paraId="32405FC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3.2.C.2.6</w:t>
            </w:r>
          </w:p>
        </w:tc>
        <w:tc>
          <w:tcPr>
            <w:tcW w:w="5459" w:type="dxa"/>
            <w:gridSpan w:val="2"/>
            <w:shd w:val="clear" w:color="auto" w:fill="FFFFFF"/>
            <w:vAlign w:val="bottom"/>
          </w:tcPr>
          <w:p w14:paraId="6AA739EB"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Արտադրական գործընթացի մշակումը՝ անհրաժեշտ է ներկայացնել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մշակման վերաբերյալ համառոտ ռեզյումե (եթե կիրառելի է)՝ հաշվի առնելով ներմուծման </w:t>
            </w:r>
            <w:r w:rsidR="00C54D75">
              <w:rPr>
                <w:rStyle w:val="Bodytext1811pt"/>
                <w:rFonts w:ascii="Sylfaen" w:hAnsi="Sylfaen"/>
                <w:sz w:val="24"/>
                <w:szCs w:val="24"/>
              </w:rPr>
              <w:t>և</w:t>
            </w:r>
            <w:r w:rsidRPr="00BD7577">
              <w:rPr>
                <w:rStyle w:val="Bodytext1811pt"/>
                <w:rFonts w:ascii="Sylfaen" w:hAnsi="Sylfaen"/>
                <w:sz w:val="24"/>
                <w:szCs w:val="24"/>
              </w:rPr>
              <w:t xml:space="preserve"> կիրառման առաջարկվող եղանակը</w:t>
            </w:r>
          </w:p>
          <w:p w14:paraId="2C65EA6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անհրաժեշտ է վերլուծել օգտագործված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բուսաքիմիական կազմության համեմատման արդյունքները՝ հաշվի առնելով մատենագիտական տվյալները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հումքի </w:t>
            </w:r>
            <w:r w:rsidR="00C54D75">
              <w:rPr>
                <w:rStyle w:val="Bodytext1811pt"/>
                <w:rFonts w:ascii="Sylfaen" w:hAnsi="Sylfaen"/>
                <w:sz w:val="24"/>
                <w:szCs w:val="24"/>
              </w:rPr>
              <w:t>և</w:t>
            </w:r>
            <w:r w:rsidRPr="00BD7577">
              <w:rPr>
                <w:rStyle w:val="Bodytext1811pt"/>
                <w:rFonts w:ascii="Sylfaen" w:hAnsi="Sylfaen"/>
                <w:sz w:val="24"/>
                <w:szCs w:val="24"/>
              </w:rPr>
              <w:t xml:space="preserve"> բուսական դեղագործական բաղադրամասերի՝ С.1 բաժնում ներկայացված նկարագրությունները</w:t>
            </w:r>
          </w:p>
        </w:tc>
        <w:tc>
          <w:tcPr>
            <w:tcW w:w="1608" w:type="dxa"/>
            <w:shd w:val="clear" w:color="auto" w:fill="FFFFFF"/>
          </w:tcPr>
          <w:p w14:paraId="5CDE38D3" w14:textId="77777777" w:rsidR="008C76E0" w:rsidRPr="00BD7577" w:rsidRDefault="008C76E0" w:rsidP="008C76E0">
            <w:pPr>
              <w:spacing w:after="120" w:line="240" w:lineRule="auto"/>
              <w:ind w:right="-1"/>
              <w:jc w:val="center"/>
              <w:rPr>
                <w:rFonts w:ascii="Sylfaen" w:hAnsi="Sylfaen"/>
                <w:sz w:val="24"/>
                <w:szCs w:val="24"/>
              </w:rPr>
            </w:pPr>
          </w:p>
        </w:tc>
        <w:tc>
          <w:tcPr>
            <w:tcW w:w="1435" w:type="dxa"/>
            <w:shd w:val="clear" w:color="auto" w:fill="FFFFFF"/>
          </w:tcPr>
          <w:p w14:paraId="5436D47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23558CD0" w14:textId="77777777" w:rsidTr="008C76E0">
        <w:trPr>
          <w:gridAfter w:val="1"/>
          <w:wAfter w:w="7" w:type="dxa"/>
          <w:jc w:val="center"/>
        </w:trPr>
        <w:tc>
          <w:tcPr>
            <w:tcW w:w="1424" w:type="dxa"/>
            <w:shd w:val="clear" w:color="auto" w:fill="FFFFFF"/>
          </w:tcPr>
          <w:p w14:paraId="45613202"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w:t>
            </w:r>
          </w:p>
        </w:tc>
        <w:tc>
          <w:tcPr>
            <w:tcW w:w="5459" w:type="dxa"/>
            <w:gridSpan w:val="2"/>
            <w:shd w:val="clear" w:color="auto" w:fill="FFFFFF"/>
          </w:tcPr>
          <w:p w14:paraId="3CC858CF"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Հատկությունների նկարագրությունը</w:t>
            </w:r>
          </w:p>
        </w:tc>
        <w:tc>
          <w:tcPr>
            <w:tcW w:w="1608" w:type="dxa"/>
            <w:shd w:val="clear" w:color="auto" w:fill="FFFFFF"/>
          </w:tcPr>
          <w:p w14:paraId="6D03CE1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46075BB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F83A4BA" w14:textId="77777777" w:rsidTr="008C76E0">
        <w:trPr>
          <w:gridAfter w:val="1"/>
          <w:wAfter w:w="7" w:type="dxa"/>
          <w:jc w:val="center"/>
        </w:trPr>
        <w:tc>
          <w:tcPr>
            <w:tcW w:w="1424" w:type="dxa"/>
            <w:shd w:val="clear" w:color="auto" w:fill="FFFFFF"/>
          </w:tcPr>
          <w:p w14:paraId="2407D68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3.2.C.3.1</w:t>
            </w:r>
          </w:p>
        </w:tc>
        <w:tc>
          <w:tcPr>
            <w:tcW w:w="5459" w:type="dxa"/>
            <w:gridSpan w:val="2"/>
            <w:shd w:val="clear" w:color="auto" w:fill="FFFFFF"/>
            <w:vAlign w:val="bottom"/>
          </w:tcPr>
          <w:p w14:paraId="5BBE30D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Կառուցվածքի </w:t>
            </w:r>
            <w:r w:rsidR="00C54D75">
              <w:rPr>
                <w:rStyle w:val="Bodytext1811pt"/>
                <w:rFonts w:ascii="Sylfaen" w:hAnsi="Sylfaen"/>
                <w:sz w:val="24"/>
                <w:szCs w:val="24"/>
              </w:rPr>
              <w:t>և</w:t>
            </w:r>
            <w:r w:rsidRPr="00BD7577">
              <w:rPr>
                <w:rStyle w:val="Bodytext1811pt"/>
                <w:rFonts w:ascii="Sylfaen" w:hAnsi="Sylfaen"/>
                <w:sz w:val="24"/>
                <w:szCs w:val="24"/>
              </w:rPr>
              <w:t xml:space="preserve"> այլ հատկությունների նկարագրությունը</w:t>
            </w:r>
          </w:p>
          <w:p w14:paraId="2A64979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հումքը (անհրաժեշտ է ներկայացնել տեղեկություններ՝ բուսաբանական, մակրոսկոպիկ, միկրոսկոպիկ, բուսաքիմիական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w:t>
            </w:r>
            <w:r w:rsidRPr="00BD7577">
              <w:rPr>
                <w:rStyle w:val="Bodytext1811pt"/>
                <w:rFonts w:ascii="Sylfaen" w:hAnsi="Sylfaen"/>
                <w:sz w:val="24"/>
                <w:szCs w:val="24"/>
              </w:rPr>
              <w:lastRenderedPageBreak/>
              <w:t>հատկությունների վերաբերյալ (եթե պահանջվում է))</w:t>
            </w:r>
          </w:p>
          <w:p w14:paraId="7018AD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բուսական դեղագործական բաղադրամասերը (անհրաժեշտ է ներկայացնել տեղեկություններ՝ բուսաքիմիական </w:t>
            </w:r>
            <w:r w:rsidR="00C54D75">
              <w:rPr>
                <w:rStyle w:val="Bodytext1811pt"/>
                <w:rFonts w:ascii="Sylfaen" w:hAnsi="Sylfaen"/>
                <w:sz w:val="24"/>
                <w:szCs w:val="24"/>
              </w:rPr>
              <w:t>և</w:t>
            </w:r>
            <w:r w:rsidRPr="00BD7577">
              <w:rPr>
                <w:rStyle w:val="Bodytext1811pt"/>
                <w:rFonts w:ascii="Sylfaen" w:hAnsi="Sylfaen"/>
                <w:sz w:val="24"/>
                <w:szCs w:val="24"/>
              </w:rPr>
              <w:t xml:space="preserve"> ֆիզիկաքիմիական հատկությունների </w:t>
            </w:r>
            <w:r w:rsidR="00C54D75">
              <w:rPr>
                <w:rStyle w:val="Bodytext1811pt"/>
                <w:rFonts w:ascii="Sylfaen" w:hAnsi="Sylfaen"/>
                <w:sz w:val="24"/>
                <w:szCs w:val="24"/>
              </w:rPr>
              <w:t>և</w:t>
            </w:r>
            <w:r w:rsidRPr="00BD7577">
              <w:rPr>
                <w:rStyle w:val="Bodytext1811pt"/>
                <w:rFonts w:ascii="Sylfaen" w:hAnsi="Sylfaen"/>
                <w:sz w:val="24"/>
                <w:szCs w:val="24"/>
              </w:rPr>
              <w:t xml:space="preserve"> կենսաբանական ակտիվության վերաբերյալ (եթե պահանջվում է))</w:t>
            </w:r>
          </w:p>
        </w:tc>
        <w:tc>
          <w:tcPr>
            <w:tcW w:w="1608" w:type="dxa"/>
            <w:shd w:val="clear" w:color="auto" w:fill="FFFFFF"/>
          </w:tcPr>
          <w:p w14:paraId="7DB9C84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lastRenderedPageBreak/>
              <w:t>x</w:t>
            </w:r>
          </w:p>
        </w:tc>
        <w:tc>
          <w:tcPr>
            <w:tcW w:w="1435" w:type="dxa"/>
            <w:shd w:val="clear" w:color="auto" w:fill="FFFFFF"/>
          </w:tcPr>
          <w:p w14:paraId="5B456013"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4F11073" w14:textId="77777777" w:rsidTr="008C76E0">
        <w:trPr>
          <w:gridAfter w:val="1"/>
          <w:wAfter w:w="7" w:type="dxa"/>
          <w:jc w:val="center"/>
        </w:trPr>
        <w:tc>
          <w:tcPr>
            <w:tcW w:w="1424" w:type="dxa"/>
            <w:shd w:val="clear" w:color="auto" w:fill="FFFFFF"/>
            <w:vAlign w:val="bottom"/>
          </w:tcPr>
          <w:p w14:paraId="485335A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3.2.C.3.2</w:t>
            </w:r>
          </w:p>
        </w:tc>
        <w:tc>
          <w:tcPr>
            <w:tcW w:w="5459" w:type="dxa"/>
            <w:gridSpan w:val="2"/>
            <w:shd w:val="clear" w:color="auto" w:fill="FFFFFF"/>
            <w:vAlign w:val="bottom"/>
          </w:tcPr>
          <w:p w14:paraId="3B3E4FD0"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Խառնուկները</w:t>
            </w:r>
          </w:p>
        </w:tc>
        <w:tc>
          <w:tcPr>
            <w:tcW w:w="1608" w:type="dxa"/>
            <w:shd w:val="clear" w:color="auto" w:fill="FFFFFF"/>
            <w:vAlign w:val="bottom"/>
          </w:tcPr>
          <w:p w14:paraId="6088B9F9"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35" w:type="dxa"/>
            <w:shd w:val="clear" w:color="auto" w:fill="FFFFFF"/>
          </w:tcPr>
          <w:p w14:paraId="7853765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E19F4FA" w14:textId="77777777" w:rsidTr="008C76E0">
        <w:trPr>
          <w:jc w:val="center"/>
        </w:trPr>
        <w:tc>
          <w:tcPr>
            <w:tcW w:w="1424" w:type="dxa"/>
            <w:shd w:val="clear" w:color="auto" w:fill="FFFFFF"/>
          </w:tcPr>
          <w:p w14:paraId="1F10E20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w:t>
            </w:r>
          </w:p>
        </w:tc>
        <w:tc>
          <w:tcPr>
            <w:tcW w:w="5459" w:type="dxa"/>
            <w:gridSpan w:val="2"/>
            <w:shd w:val="clear" w:color="auto" w:fill="FFFFFF"/>
          </w:tcPr>
          <w:p w14:paraId="65BBB647"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Դեղագործական բաղադրամասի որակի հսկողությունը</w:t>
            </w:r>
          </w:p>
        </w:tc>
        <w:tc>
          <w:tcPr>
            <w:tcW w:w="1608" w:type="dxa"/>
            <w:shd w:val="clear" w:color="auto" w:fill="FFFFFF"/>
          </w:tcPr>
          <w:p w14:paraId="6D4CA12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2FD01DF4"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AC7EC01" w14:textId="77777777" w:rsidTr="008C76E0">
        <w:trPr>
          <w:jc w:val="center"/>
        </w:trPr>
        <w:tc>
          <w:tcPr>
            <w:tcW w:w="1424" w:type="dxa"/>
            <w:shd w:val="clear" w:color="auto" w:fill="FFFFFF"/>
            <w:vAlign w:val="center"/>
          </w:tcPr>
          <w:p w14:paraId="24D804C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3.2.C.4.1</w:t>
            </w:r>
          </w:p>
        </w:tc>
        <w:tc>
          <w:tcPr>
            <w:tcW w:w="5459" w:type="dxa"/>
            <w:gridSpan w:val="2"/>
            <w:shd w:val="clear" w:color="auto" w:fill="FFFFFF"/>
            <w:vAlign w:val="center"/>
          </w:tcPr>
          <w:p w14:paraId="0E3BCD4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Մասնագիրը</w:t>
            </w:r>
          </w:p>
        </w:tc>
        <w:tc>
          <w:tcPr>
            <w:tcW w:w="1608" w:type="dxa"/>
            <w:shd w:val="clear" w:color="auto" w:fill="FFFFFF"/>
            <w:vAlign w:val="center"/>
          </w:tcPr>
          <w:p w14:paraId="273E590F"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1DEB66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8BD2DB0" w14:textId="77777777" w:rsidTr="008C76E0">
        <w:trPr>
          <w:jc w:val="center"/>
        </w:trPr>
        <w:tc>
          <w:tcPr>
            <w:tcW w:w="1424" w:type="dxa"/>
            <w:shd w:val="clear" w:color="auto" w:fill="FFFFFF"/>
            <w:vAlign w:val="center"/>
          </w:tcPr>
          <w:p w14:paraId="12B5C25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3.2.C.4.2</w:t>
            </w:r>
          </w:p>
        </w:tc>
        <w:tc>
          <w:tcPr>
            <w:tcW w:w="5459" w:type="dxa"/>
            <w:gridSpan w:val="2"/>
            <w:shd w:val="clear" w:color="auto" w:fill="FFFFFF"/>
            <w:vAlign w:val="center"/>
          </w:tcPr>
          <w:p w14:paraId="61ED9E08"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մեթոդիկաները</w:t>
            </w:r>
          </w:p>
        </w:tc>
        <w:tc>
          <w:tcPr>
            <w:tcW w:w="1608" w:type="dxa"/>
            <w:shd w:val="clear" w:color="auto" w:fill="FFFFFF"/>
            <w:vAlign w:val="center"/>
          </w:tcPr>
          <w:p w14:paraId="73D4809B"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A56A322"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554742B9" w14:textId="77777777" w:rsidTr="008C76E0">
        <w:trPr>
          <w:jc w:val="center"/>
        </w:trPr>
        <w:tc>
          <w:tcPr>
            <w:tcW w:w="1424" w:type="dxa"/>
            <w:shd w:val="clear" w:color="auto" w:fill="FFFFFF"/>
            <w:vAlign w:val="center"/>
          </w:tcPr>
          <w:p w14:paraId="7C8E86B6"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3.2.C.4.3</w:t>
            </w:r>
          </w:p>
        </w:tc>
        <w:tc>
          <w:tcPr>
            <w:tcW w:w="5459" w:type="dxa"/>
            <w:gridSpan w:val="2"/>
            <w:shd w:val="clear" w:color="auto" w:fill="FFFFFF"/>
            <w:vAlign w:val="center"/>
          </w:tcPr>
          <w:p w14:paraId="02D2E2CA"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Վերլուծական մեթոդիկաների վալիդացումը</w:t>
            </w:r>
          </w:p>
        </w:tc>
        <w:tc>
          <w:tcPr>
            <w:tcW w:w="1608" w:type="dxa"/>
            <w:shd w:val="clear" w:color="auto" w:fill="FFFFFF"/>
            <w:vAlign w:val="center"/>
          </w:tcPr>
          <w:p w14:paraId="6F531D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62AB00B6"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328BBB69" w14:textId="77777777" w:rsidTr="008C76E0">
        <w:trPr>
          <w:jc w:val="center"/>
        </w:trPr>
        <w:tc>
          <w:tcPr>
            <w:tcW w:w="1424" w:type="dxa"/>
            <w:shd w:val="clear" w:color="auto" w:fill="FFFFFF"/>
            <w:vAlign w:val="bottom"/>
          </w:tcPr>
          <w:p w14:paraId="29D78FAC"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3.2.C.4.4</w:t>
            </w:r>
          </w:p>
        </w:tc>
        <w:tc>
          <w:tcPr>
            <w:tcW w:w="5459" w:type="dxa"/>
            <w:gridSpan w:val="2"/>
            <w:shd w:val="clear" w:color="auto" w:fill="FFFFFF"/>
            <w:vAlign w:val="bottom"/>
          </w:tcPr>
          <w:p w14:paraId="4DAF728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Սերիաների անալիզը</w:t>
            </w:r>
          </w:p>
        </w:tc>
        <w:tc>
          <w:tcPr>
            <w:tcW w:w="1608" w:type="dxa"/>
            <w:shd w:val="clear" w:color="auto" w:fill="FFFFFF"/>
            <w:vAlign w:val="bottom"/>
          </w:tcPr>
          <w:p w14:paraId="5EC8A178"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1E753EE"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03AE482E" w14:textId="77777777" w:rsidTr="008C76E0">
        <w:trPr>
          <w:jc w:val="center"/>
        </w:trPr>
        <w:tc>
          <w:tcPr>
            <w:tcW w:w="1424" w:type="dxa"/>
            <w:shd w:val="clear" w:color="auto" w:fill="FFFFFF"/>
            <w:vAlign w:val="center"/>
          </w:tcPr>
          <w:p w14:paraId="35A17ED7"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3.2.C.4.5</w:t>
            </w:r>
          </w:p>
        </w:tc>
        <w:tc>
          <w:tcPr>
            <w:tcW w:w="5459" w:type="dxa"/>
            <w:gridSpan w:val="2"/>
            <w:shd w:val="clear" w:color="auto" w:fill="FFFFFF"/>
            <w:vAlign w:val="center"/>
          </w:tcPr>
          <w:p w14:paraId="0F8BD3D4"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Մասնագրի հիմնավորումը</w:t>
            </w:r>
          </w:p>
        </w:tc>
        <w:tc>
          <w:tcPr>
            <w:tcW w:w="1608" w:type="dxa"/>
            <w:shd w:val="clear" w:color="auto" w:fill="FFFFFF"/>
            <w:vAlign w:val="center"/>
          </w:tcPr>
          <w:p w14:paraId="024A17B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vAlign w:val="center"/>
          </w:tcPr>
          <w:p w14:paraId="6F7C03E5"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r>
      <w:tr w:rsidR="008C76E0" w:rsidRPr="00BD7577" w14:paraId="4B40AB05" w14:textId="77777777" w:rsidTr="008C76E0">
        <w:trPr>
          <w:jc w:val="center"/>
        </w:trPr>
        <w:tc>
          <w:tcPr>
            <w:tcW w:w="1424" w:type="dxa"/>
            <w:shd w:val="clear" w:color="auto" w:fill="FFFFFF"/>
            <w:vAlign w:val="center"/>
          </w:tcPr>
          <w:p w14:paraId="5013CAFA"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3.2.C.5</w:t>
            </w:r>
          </w:p>
        </w:tc>
        <w:tc>
          <w:tcPr>
            <w:tcW w:w="5459" w:type="dxa"/>
            <w:gridSpan w:val="2"/>
            <w:shd w:val="clear" w:color="auto" w:fill="FFFFFF"/>
            <w:vAlign w:val="center"/>
          </w:tcPr>
          <w:p w14:paraId="225EB07D"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Ստանդարտ նմուշները </w:t>
            </w:r>
            <w:r w:rsidR="00C54D75">
              <w:rPr>
                <w:rStyle w:val="Bodytext1811pt"/>
                <w:rFonts w:ascii="Sylfaen" w:hAnsi="Sylfaen"/>
                <w:sz w:val="24"/>
                <w:szCs w:val="24"/>
              </w:rPr>
              <w:t>և</w:t>
            </w:r>
            <w:r w:rsidRPr="00BD7577">
              <w:rPr>
                <w:rStyle w:val="Bodytext1811pt"/>
                <w:rFonts w:ascii="Sylfaen" w:hAnsi="Sylfaen"/>
                <w:sz w:val="24"/>
                <w:szCs w:val="24"/>
              </w:rPr>
              <w:t xml:space="preserve"> նյութերը</w:t>
            </w:r>
          </w:p>
        </w:tc>
        <w:tc>
          <w:tcPr>
            <w:tcW w:w="1608" w:type="dxa"/>
            <w:shd w:val="clear" w:color="auto" w:fill="FFFFFF"/>
            <w:vAlign w:val="center"/>
          </w:tcPr>
          <w:p w14:paraId="25A572D2"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573299BC"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4392B093" w14:textId="77777777" w:rsidTr="008C76E0">
        <w:trPr>
          <w:jc w:val="center"/>
        </w:trPr>
        <w:tc>
          <w:tcPr>
            <w:tcW w:w="1424" w:type="dxa"/>
            <w:shd w:val="clear" w:color="auto" w:fill="FFFFFF"/>
            <w:vAlign w:val="center"/>
          </w:tcPr>
          <w:p w14:paraId="0AEDC3F9"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3.2.C.6</w:t>
            </w:r>
          </w:p>
        </w:tc>
        <w:tc>
          <w:tcPr>
            <w:tcW w:w="5459" w:type="dxa"/>
            <w:gridSpan w:val="2"/>
            <w:shd w:val="clear" w:color="auto" w:fill="FFFFFF"/>
            <w:vAlign w:val="center"/>
          </w:tcPr>
          <w:p w14:paraId="5E83E32C"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Փաթեթավորման-խցանափակման համակարգը</w:t>
            </w:r>
          </w:p>
        </w:tc>
        <w:tc>
          <w:tcPr>
            <w:tcW w:w="1608" w:type="dxa"/>
            <w:shd w:val="clear" w:color="auto" w:fill="FFFFFF"/>
            <w:vAlign w:val="center"/>
          </w:tcPr>
          <w:p w14:paraId="04AF064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990658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5B2DA7F" w14:textId="77777777" w:rsidTr="008C76E0">
        <w:trPr>
          <w:jc w:val="center"/>
        </w:trPr>
        <w:tc>
          <w:tcPr>
            <w:tcW w:w="1424" w:type="dxa"/>
            <w:shd w:val="clear" w:color="auto" w:fill="FFFFFF"/>
            <w:vAlign w:val="center"/>
          </w:tcPr>
          <w:p w14:paraId="6D8CBF68"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w:t>
            </w:r>
          </w:p>
        </w:tc>
        <w:tc>
          <w:tcPr>
            <w:tcW w:w="5459" w:type="dxa"/>
            <w:gridSpan w:val="2"/>
            <w:shd w:val="clear" w:color="auto" w:fill="FFFFFF"/>
            <w:vAlign w:val="center"/>
          </w:tcPr>
          <w:p w14:paraId="4B97E7F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Կայունությունը</w:t>
            </w:r>
          </w:p>
        </w:tc>
        <w:tc>
          <w:tcPr>
            <w:tcW w:w="1608" w:type="dxa"/>
            <w:shd w:val="clear" w:color="auto" w:fill="FFFFFF"/>
            <w:vAlign w:val="center"/>
          </w:tcPr>
          <w:p w14:paraId="1DAB2A94"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4A8D318D"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2BF4F68B" w14:textId="77777777" w:rsidTr="008C76E0">
        <w:trPr>
          <w:jc w:val="center"/>
        </w:trPr>
        <w:tc>
          <w:tcPr>
            <w:tcW w:w="1424" w:type="dxa"/>
            <w:shd w:val="clear" w:color="auto" w:fill="FFFFFF"/>
            <w:vAlign w:val="center"/>
          </w:tcPr>
          <w:p w14:paraId="5974FFAB"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3.2.C.7.1</w:t>
            </w:r>
          </w:p>
        </w:tc>
        <w:tc>
          <w:tcPr>
            <w:tcW w:w="5459" w:type="dxa"/>
            <w:gridSpan w:val="2"/>
            <w:shd w:val="clear" w:color="auto" w:fill="FFFFFF"/>
            <w:vAlign w:val="center"/>
          </w:tcPr>
          <w:p w14:paraId="78813289"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վերաբերյալ ռեզյումեն </w:t>
            </w:r>
            <w:r w:rsidR="00C54D75">
              <w:rPr>
                <w:rStyle w:val="Bodytext1811pt"/>
                <w:rFonts w:ascii="Sylfaen" w:hAnsi="Sylfaen"/>
                <w:sz w:val="24"/>
                <w:szCs w:val="24"/>
              </w:rPr>
              <w:t>և</w:t>
            </w:r>
            <w:r w:rsidRPr="00BD7577">
              <w:rPr>
                <w:rStyle w:val="Bodytext1811pt"/>
                <w:rFonts w:ascii="Sylfaen" w:hAnsi="Sylfaen"/>
                <w:sz w:val="24"/>
                <w:szCs w:val="24"/>
              </w:rPr>
              <w:t xml:space="preserve"> եզրակացությունը</w:t>
            </w:r>
          </w:p>
        </w:tc>
        <w:tc>
          <w:tcPr>
            <w:tcW w:w="1608" w:type="dxa"/>
            <w:shd w:val="clear" w:color="auto" w:fill="FFFFFF"/>
            <w:vAlign w:val="center"/>
          </w:tcPr>
          <w:p w14:paraId="0F7CB5CC"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3E5708AF"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61DF915E" w14:textId="77777777" w:rsidTr="008C76E0">
        <w:trPr>
          <w:jc w:val="center"/>
        </w:trPr>
        <w:tc>
          <w:tcPr>
            <w:tcW w:w="1424" w:type="dxa"/>
            <w:shd w:val="clear" w:color="auto" w:fill="FFFFFF"/>
            <w:vAlign w:val="center"/>
          </w:tcPr>
          <w:p w14:paraId="6FA30B95"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3.2.C.7.2</w:t>
            </w:r>
          </w:p>
        </w:tc>
        <w:tc>
          <w:tcPr>
            <w:tcW w:w="5459" w:type="dxa"/>
            <w:gridSpan w:val="2"/>
            <w:shd w:val="clear" w:color="auto" w:fill="FFFFFF"/>
            <w:vAlign w:val="bottom"/>
          </w:tcPr>
          <w:p w14:paraId="5D005235"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 xml:space="preserve">Կայունության հետգրանցումային արձանագրությունը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կայունության մասով պարտավորությունը</w:t>
            </w:r>
          </w:p>
        </w:tc>
        <w:tc>
          <w:tcPr>
            <w:tcW w:w="1608" w:type="dxa"/>
            <w:shd w:val="clear" w:color="auto" w:fill="FFFFFF"/>
            <w:vAlign w:val="center"/>
          </w:tcPr>
          <w:p w14:paraId="705E977D"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77E68740" w14:textId="77777777" w:rsidR="008C76E0" w:rsidRPr="00BD7577" w:rsidRDefault="008C76E0" w:rsidP="008C76E0">
            <w:pPr>
              <w:spacing w:after="120" w:line="240" w:lineRule="auto"/>
              <w:ind w:right="-1"/>
              <w:jc w:val="center"/>
              <w:rPr>
                <w:rFonts w:ascii="Sylfaen" w:hAnsi="Sylfaen"/>
                <w:sz w:val="24"/>
                <w:szCs w:val="24"/>
              </w:rPr>
            </w:pPr>
          </w:p>
        </w:tc>
      </w:tr>
      <w:tr w:rsidR="008C76E0" w:rsidRPr="00BD7577" w14:paraId="1F17CB19" w14:textId="77777777" w:rsidTr="008C76E0">
        <w:trPr>
          <w:jc w:val="center"/>
        </w:trPr>
        <w:tc>
          <w:tcPr>
            <w:tcW w:w="1424" w:type="dxa"/>
            <w:shd w:val="clear" w:color="auto" w:fill="FFFFFF"/>
            <w:vAlign w:val="bottom"/>
          </w:tcPr>
          <w:p w14:paraId="58D8AB5F" w14:textId="77777777" w:rsidR="008C76E0" w:rsidRPr="00BD7577" w:rsidRDefault="008C76E0" w:rsidP="008C76E0">
            <w:pPr>
              <w:pStyle w:val="Bodytext180"/>
              <w:shd w:val="clear" w:color="auto" w:fill="auto"/>
              <w:spacing w:before="0" w:after="120" w:line="240" w:lineRule="auto"/>
              <w:ind w:left="83" w:right="-1" w:firstLine="0"/>
              <w:jc w:val="both"/>
              <w:rPr>
                <w:rFonts w:ascii="Sylfaen" w:hAnsi="Sylfaen"/>
                <w:b w:val="0"/>
                <w:sz w:val="24"/>
                <w:szCs w:val="24"/>
              </w:rPr>
            </w:pPr>
            <w:r w:rsidRPr="00BD7577">
              <w:rPr>
                <w:rStyle w:val="Bodytext1811pt"/>
                <w:rFonts w:ascii="Sylfaen" w:hAnsi="Sylfaen"/>
                <w:sz w:val="24"/>
                <w:szCs w:val="24"/>
              </w:rPr>
              <w:t>3.2.C.7.3</w:t>
            </w:r>
          </w:p>
        </w:tc>
        <w:tc>
          <w:tcPr>
            <w:tcW w:w="5459" w:type="dxa"/>
            <w:gridSpan w:val="2"/>
            <w:shd w:val="clear" w:color="auto" w:fill="FFFFFF"/>
            <w:vAlign w:val="bottom"/>
          </w:tcPr>
          <w:p w14:paraId="0B334EC1" w14:textId="77777777" w:rsidR="008C76E0" w:rsidRPr="00BD7577" w:rsidRDefault="008C76E0" w:rsidP="008C76E0">
            <w:pPr>
              <w:pStyle w:val="Bodytext180"/>
              <w:shd w:val="clear" w:color="auto" w:fill="auto"/>
              <w:spacing w:before="0" w:after="120" w:line="240" w:lineRule="auto"/>
              <w:ind w:left="77" w:right="-1" w:firstLine="0"/>
              <w:rPr>
                <w:rFonts w:ascii="Sylfaen" w:hAnsi="Sylfaen"/>
                <w:b w:val="0"/>
                <w:sz w:val="24"/>
                <w:szCs w:val="24"/>
              </w:rPr>
            </w:pPr>
            <w:r w:rsidRPr="00BD7577">
              <w:rPr>
                <w:rStyle w:val="Bodytext1811pt"/>
                <w:rFonts w:ascii="Sylfaen" w:hAnsi="Sylfaen"/>
                <w:sz w:val="24"/>
                <w:szCs w:val="24"/>
              </w:rPr>
              <w:t>Կայունության վերաբերյալ տվյալները</w:t>
            </w:r>
          </w:p>
        </w:tc>
        <w:tc>
          <w:tcPr>
            <w:tcW w:w="1608" w:type="dxa"/>
            <w:shd w:val="clear" w:color="auto" w:fill="FFFFFF"/>
            <w:vAlign w:val="bottom"/>
          </w:tcPr>
          <w:p w14:paraId="4A610386" w14:textId="77777777" w:rsidR="008C76E0" w:rsidRPr="00BD7577"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BD7577">
              <w:rPr>
                <w:rStyle w:val="Bodytext1811pt"/>
                <w:rFonts w:ascii="Sylfaen" w:hAnsi="Sylfaen"/>
                <w:sz w:val="24"/>
                <w:szCs w:val="24"/>
              </w:rPr>
              <w:t>x</w:t>
            </w:r>
          </w:p>
        </w:tc>
        <w:tc>
          <w:tcPr>
            <w:tcW w:w="1442" w:type="dxa"/>
            <w:gridSpan w:val="2"/>
            <w:shd w:val="clear" w:color="auto" w:fill="FFFFFF"/>
          </w:tcPr>
          <w:p w14:paraId="06D11B7A" w14:textId="77777777" w:rsidR="008C76E0" w:rsidRPr="00BD7577" w:rsidRDefault="008C76E0" w:rsidP="008C76E0">
            <w:pPr>
              <w:spacing w:after="120" w:line="240" w:lineRule="auto"/>
              <w:ind w:right="-1"/>
              <w:jc w:val="center"/>
              <w:rPr>
                <w:rFonts w:ascii="Sylfaen" w:hAnsi="Sylfaen"/>
                <w:sz w:val="24"/>
                <w:szCs w:val="24"/>
              </w:rPr>
            </w:pPr>
          </w:p>
        </w:tc>
      </w:tr>
    </w:tbl>
    <w:p w14:paraId="6ED74543" w14:textId="77777777" w:rsidR="008C76E0" w:rsidRPr="00BD7577" w:rsidRDefault="008C76E0" w:rsidP="008C76E0">
      <w:pPr>
        <w:ind w:right="-1"/>
        <w:jc w:val="both"/>
        <w:rPr>
          <w:rStyle w:val="Bodytext2Spacing2pt"/>
          <w:rFonts w:ascii="Sylfaen" w:eastAsia="MS Mincho" w:hAnsi="Sylfaen"/>
          <w:spacing w:val="0"/>
          <w:sz w:val="24"/>
          <w:szCs w:val="24"/>
        </w:rPr>
      </w:pPr>
      <w:r w:rsidRPr="00BD7577">
        <w:rPr>
          <w:rFonts w:ascii="Sylfaen" w:hAnsi="Sylfaen"/>
          <w:sz w:val="24"/>
          <w:szCs w:val="24"/>
        </w:rPr>
        <w:br w:type="page"/>
      </w:r>
    </w:p>
    <w:p w14:paraId="53890A9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lastRenderedPageBreak/>
        <w:t>Լրացում թիվ 2</w:t>
      </w:r>
    </w:p>
    <w:p w14:paraId="4B68D278" w14:textId="77777777" w:rsidR="008C76E0" w:rsidRPr="00BD7577" w:rsidRDefault="008C76E0" w:rsidP="008C76E0">
      <w:pPr>
        <w:ind w:right="-1"/>
        <w:jc w:val="right"/>
        <w:rPr>
          <w:rFonts w:ascii="Sylfaen" w:hAnsi="Sylfaen"/>
          <w:sz w:val="24"/>
          <w:szCs w:val="24"/>
        </w:rPr>
      </w:pPr>
    </w:p>
    <w:p w14:paraId="0F5F3098" w14:textId="77777777" w:rsidR="008C76E0" w:rsidRPr="00007454" w:rsidRDefault="008C76E0" w:rsidP="008C76E0">
      <w:pPr>
        <w:ind w:left="567" w:right="566"/>
        <w:jc w:val="center"/>
        <w:rPr>
          <w:rFonts w:ascii="Sylfaen" w:hAnsi="Sylfaen"/>
          <w:b/>
          <w:sz w:val="24"/>
          <w:szCs w:val="24"/>
        </w:rPr>
      </w:pPr>
      <w:r w:rsidRPr="00007454">
        <w:rPr>
          <w:rStyle w:val="Bodytext2Spacing2pt"/>
          <w:rFonts w:ascii="Sylfaen" w:eastAsiaTheme="minorHAnsi" w:hAnsi="Sylfaen"/>
          <w:b/>
          <w:spacing w:val="0"/>
          <w:sz w:val="24"/>
          <w:szCs w:val="24"/>
        </w:rPr>
        <w:t>ՁԵՎ</w:t>
      </w:r>
    </w:p>
    <w:p w14:paraId="51D7F961" w14:textId="77777777" w:rsidR="008C76E0" w:rsidRPr="008C76E0" w:rsidRDefault="008C76E0" w:rsidP="008C76E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թույլտվության</w:t>
      </w:r>
    </w:p>
    <w:p w14:paraId="6586E6FC" w14:textId="77777777" w:rsidR="008C76E0" w:rsidRPr="00BD7577" w:rsidRDefault="008C76E0" w:rsidP="008C76E0">
      <w:pPr>
        <w:ind w:right="-1"/>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3584F35" w14:textId="77777777" w:rsidR="008C76E0" w:rsidRPr="00BD7577" w:rsidRDefault="008C76E0" w:rsidP="008C76E0">
      <w:pPr>
        <w:ind w:right="-1"/>
        <w:jc w:val="right"/>
        <w:rPr>
          <w:rFonts w:ascii="Sylfaen" w:hAnsi="Sylfaen"/>
          <w:sz w:val="24"/>
          <w:szCs w:val="24"/>
        </w:rPr>
      </w:pPr>
    </w:p>
    <w:p w14:paraId="6DE348D1"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ՖԻՐՄԱՅԻՆ ՁԵՎԱԹՈՒՂԹ</w:t>
      </w:r>
    </w:p>
    <w:p w14:paraId="436D6C57"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7E22D88" w14:textId="77777777" w:rsidR="008C76E0" w:rsidRPr="00BD7577" w:rsidRDefault="008C76E0" w:rsidP="008C76E0">
      <w:pPr>
        <w:ind w:right="-1"/>
        <w:jc w:val="center"/>
        <w:rPr>
          <w:rFonts w:ascii="Sylfaen" w:hAnsi="Sylfaen"/>
          <w:sz w:val="24"/>
          <w:szCs w:val="24"/>
        </w:rPr>
      </w:pPr>
    </w:p>
    <w:p w14:paraId="1AF991C6"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735A2AD3"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{Ամսաթիվը}</w:t>
      </w:r>
    </w:p>
    <w:p w14:paraId="6529CEF2"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Ակտիվ դեղագործական բաղադրամասի մաստեր-ֆայլի համարը՝</w:t>
      </w:r>
    </w:p>
    <w:p w14:paraId="0FF50224" w14:textId="77777777" w:rsidR="008C76E0" w:rsidRPr="00BD7577" w:rsidRDefault="008C76E0" w:rsidP="008C76E0">
      <w:pPr>
        <w:ind w:right="-1"/>
        <w:jc w:val="center"/>
        <w:rPr>
          <w:rFonts w:ascii="Sylfaen" w:hAnsi="Sylfaen"/>
          <w:sz w:val="24"/>
          <w:szCs w:val="24"/>
        </w:rPr>
      </w:pPr>
      <w:r w:rsidRPr="00BD7577">
        <w:rPr>
          <w:rFonts w:ascii="Sylfaen" w:hAnsi="Sylfaen"/>
          <w:sz w:val="24"/>
          <w:szCs w:val="24"/>
        </w:rPr>
        <w:t>{ԱԴԲՄՖ-ի ծածկագրային համարը}</w:t>
      </w:r>
    </w:p>
    <w:p w14:paraId="455FEBF4" w14:textId="77777777" w:rsidR="008C76E0" w:rsidRPr="00BD7577" w:rsidRDefault="008C76E0" w:rsidP="008C76E0">
      <w:pPr>
        <w:ind w:right="-1"/>
        <w:rPr>
          <w:rFonts w:ascii="Sylfaen" w:hAnsi="Sylfaen"/>
          <w:sz w:val="24"/>
          <w:szCs w:val="24"/>
        </w:rPr>
      </w:pPr>
    </w:p>
    <w:p w14:paraId="0BEBD76B"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71B3ED4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1EA37D1D" w14:textId="77777777" w:rsidR="008C76E0" w:rsidRPr="002F33A8" w:rsidRDefault="008C76E0" w:rsidP="00066EC8">
      <w:pPr>
        <w:spacing w:after="160" w:line="360" w:lineRule="auto"/>
        <w:ind w:firstLine="567"/>
        <w:jc w:val="both"/>
        <w:rPr>
          <w:rFonts w:ascii="Sylfaen" w:hAnsi="Sylfaen"/>
          <w:spacing w:val="-4"/>
          <w:sz w:val="24"/>
          <w:szCs w:val="24"/>
        </w:rPr>
      </w:pPr>
      <w:r w:rsidRPr="002F33A8">
        <w:rPr>
          <w:rFonts w:ascii="Sylfaen" w:hAnsi="Sylfaen"/>
          <w:spacing w:val="-4"/>
          <w:sz w:val="24"/>
          <w:szCs w:val="24"/>
        </w:rPr>
        <w:t>Ակտիվ դեղագործական բաղադրամասի ներքին ծածկագիրը (եթե կիրառելի է)՝</w:t>
      </w:r>
    </w:p>
    <w:p w14:paraId="010388CC" w14:textId="7777777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իրավատերը՝ </w:t>
      </w:r>
      <w:r w:rsidRPr="002F33A8">
        <w:rPr>
          <w:rStyle w:val="Bodytext295pt"/>
          <w:rFonts w:ascii="Sylfaen" w:eastAsiaTheme="minorHAnsi" w:hAnsi="Sylfaen"/>
          <w:b w:val="0"/>
          <w:spacing w:val="0"/>
          <w:sz w:val="24"/>
          <w:szCs w:val="24"/>
        </w:rPr>
        <w:t>{անվանումն ու հասցեն</w:t>
      </w:r>
      <w:r w:rsidRPr="0063669A">
        <w:rPr>
          <w:rFonts w:ascii="Sylfaen" w:hAnsi="Sylfaen"/>
          <w:sz w:val="24"/>
          <w:szCs w:val="24"/>
        </w:rPr>
        <w:t>}</w:t>
      </w:r>
    </w:p>
    <w:p w14:paraId="7FA3A39E" w14:textId="4AE218C7" w:rsidR="008C76E0" w:rsidRPr="00BD7577" w:rsidRDefault="008C76E0" w:rsidP="00066EC8">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թույլտվություն է տալիս {անդամ պետության լիազորված մարմնի անվանումը} հղում կատարել ակտիվ դեղագործական բաղադրամասի </w:t>
      </w:r>
      <w:r w:rsidRPr="00BD7577">
        <w:rPr>
          <w:rFonts w:ascii="Sylfaen" w:hAnsi="Sylfaen"/>
          <w:sz w:val="24"/>
          <w:szCs w:val="24"/>
        </w:rPr>
        <w:lastRenderedPageBreak/>
        <w:t xml:space="preserve">վերոնշյալ մաստեր-ֆայլին </w:t>
      </w:r>
      <w:r w:rsidR="00C54D75">
        <w:rPr>
          <w:rFonts w:ascii="Sylfaen" w:hAnsi="Sylfaen"/>
          <w:sz w:val="24"/>
          <w:szCs w:val="24"/>
        </w:rPr>
        <w:t>և</w:t>
      </w:r>
      <w:r w:rsidRPr="00BD7577">
        <w:rPr>
          <w:rFonts w:ascii="Sylfaen" w:hAnsi="Sylfaen"/>
          <w:sz w:val="24"/>
          <w:szCs w:val="24"/>
        </w:rPr>
        <w:t xml:space="preserve"> կատարել դրա փորձաքննություն՝ որպես հետագա գրանցման դոսյեների կամ Միությունում գրանցված դեղապատրաստուկի գրանցման դոսյեում փոփոխություններ կատարելու դոսյեի հիմնավորում (ներառել նոր ԱԴԲՄՖ-ն նոր ԱԴԲԱ-ից), որը ներկայացվել է </w:t>
      </w:r>
      <w:r w:rsidRPr="002F33A8">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2F33A8">
        <w:rPr>
          <w:rStyle w:val="Bodytext295pt"/>
          <w:rFonts w:ascii="Sylfaen" w:eastAsiaTheme="minorHAnsi" w:hAnsi="Sylfaen"/>
          <w:b w:val="0"/>
          <w:spacing w:val="0"/>
          <w:sz w:val="24"/>
          <w:szCs w:val="24"/>
        </w:rPr>
        <w:t>ի) անվանումը} կողմից</w:t>
      </w:r>
      <w:r w:rsidRPr="002F33A8">
        <w:rPr>
          <w:rFonts w:ascii="Sylfaen" w:hAnsi="Sylfaen"/>
          <w:b/>
          <w:sz w:val="24"/>
          <w:szCs w:val="24"/>
        </w:rPr>
        <w:t xml:space="preserve"> </w:t>
      </w:r>
      <w:r w:rsidRPr="002F33A8">
        <w:rPr>
          <w:rStyle w:val="Bodytext295pt"/>
          <w:rFonts w:ascii="Sylfaen" w:eastAsiaTheme="minorHAnsi" w:hAnsi="Sylfaen"/>
          <w:b w:val="0"/>
          <w:spacing w:val="0"/>
          <w:sz w:val="24"/>
          <w:szCs w:val="24"/>
        </w:rPr>
        <w:t xml:space="preserve">{ներկայացնելու պլանավորվող </w:t>
      </w:r>
      <w:r w:rsidRPr="00BD7577">
        <w:rPr>
          <w:rFonts w:ascii="Sylfaen" w:hAnsi="Sylfaen"/>
          <w:sz w:val="24"/>
          <w:szCs w:val="24"/>
        </w:rPr>
        <w:t>ամսաթիվը</w:t>
      </w:r>
      <w:r w:rsidRPr="0063669A">
        <w:rPr>
          <w:rStyle w:val="Bodytext7NotItalic"/>
          <w:rFonts w:ascii="Sylfaen" w:eastAsiaTheme="minorHAnsi" w:hAnsi="Sylfaen"/>
          <w:b w:val="0"/>
          <w:sz w:val="24"/>
          <w:szCs w:val="24"/>
        </w:rPr>
        <w:t>}՝</w:t>
      </w:r>
    </w:p>
    <w:p w14:paraId="43C8D65E" w14:textId="4755069F"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դեղապատրաստուկի անվանումը (եթե ներկայացնելու պահին դեղապատրաստուկի առ</w:t>
      </w:r>
      <w:r w:rsidR="00C54D75">
        <w:rPr>
          <w:rFonts w:ascii="Sylfaen" w:hAnsi="Sylfaen" w:cs="Sylfaen"/>
          <w:b w:val="0"/>
          <w:sz w:val="24"/>
          <w:szCs w:val="24"/>
          <w:lang w:val="hy-AM"/>
        </w:rPr>
        <w:t>և</w:t>
      </w:r>
      <w:r w:rsidRPr="008C76E0">
        <w:rPr>
          <w:rFonts w:ascii="Sylfaen" w:hAnsi="Sylfaen"/>
          <w:b w:val="0"/>
          <w:sz w:val="24"/>
          <w:szCs w:val="24"/>
          <w:lang w:val="hy-AM"/>
        </w:rPr>
        <w:t xml:space="preserve">տրային անվանումը համաձայնեցված չէ, ապա հարկ է նշել «ՄՉԱ-ն </w:t>
      </w:r>
      <w:r w:rsidRPr="00BD7577">
        <w:rPr>
          <w:rStyle w:val="Bodytext295pt"/>
          <w:rFonts w:ascii="Sylfaen" w:hAnsi="Sylfaen"/>
          <w:spacing w:val="0"/>
          <w:sz w:val="24"/>
          <w:szCs w:val="24"/>
        </w:rPr>
        <w:t xml:space="preserve">+ </w:t>
      </w:r>
      <w:r w:rsidRPr="008C76E0">
        <w:rPr>
          <w:rFonts w:ascii="Sylfaen" w:hAnsi="Sylfaen"/>
          <w:b w:val="0"/>
          <w:sz w:val="24"/>
          <w:szCs w:val="24"/>
          <w:lang w:val="hy-AM"/>
        </w:rPr>
        <w:t xml:space="preserve">գրանցման հավաստագրի իրավատիրոջ անվանումը») </w:t>
      </w:r>
      <w:r w:rsidR="00C54D75">
        <w:rPr>
          <w:rFonts w:ascii="Sylfaen" w:hAnsi="Sylfaen"/>
          <w:b w:val="0"/>
          <w:sz w:val="24"/>
          <w:szCs w:val="24"/>
          <w:lang w:val="hy-AM"/>
        </w:rPr>
        <w:t>և</w:t>
      </w:r>
      <w:r w:rsidRPr="008C76E0">
        <w:rPr>
          <w:rFonts w:ascii="Sylfaen" w:hAnsi="Sylfaen"/>
          <w:b w:val="0"/>
          <w:sz w:val="24"/>
          <w:szCs w:val="24"/>
          <w:lang w:val="hy-AM"/>
        </w:rPr>
        <w:t xml:space="preserve"> գրանցման հավաստագրի համարը (եթե </w:t>
      </w:r>
      <w:r w:rsidR="005F6A31">
        <w:rPr>
          <w:rFonts w:ascii="Sylfaen" w:hAnsi="Sylfaen"/>
          <w:b w:val="0"/>
          <w:sz w:val="24"/>
          <w:szCs w:val="24"/>
          <w:lang w:val="hy-AM"/>
        </w:rPr>
        <w:t>հայտնի</w:t>
      </w:r>
      <w:r w:rsidRPr="008C76E0">
        <w:rPr>
          <w:rFonts w:ascii="Sylfaen" w:hAnsi="Sylfaen"/>
          <w:b w:val="0"/>
          <w:sz w:val="24"/>
          <w:szCs w:val="24"/>
          <w:lang w:val="hy-AM"/>
        </w:rPr>
        <w:t xml:space="preserve"> է)</w:t>
      </w:r>
      <w:r w:rsidRPr="008C76E0">
        <w:rPr>
          <w:rStyle w:val="Bodytext7NotItalic"/>
          <w:rFonts w:ascii="Sylfaen" w:hAnsi="Sylfaen"/>
          <w:sz w:val="24"/>
          <w:szCs w:val="24"/>
          <w:lang w:val="hy-AM"/>
        </w:rPr>
        <w:t>}</w:t>
      </w:r>
    </w:p>
    <w:p w14:paraId="0AD49DCE" w14:textId="6DB090FC"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կամ գրանցման հավաստագրի իրավատիրոջ անվանումը </w:t>
      </w:r>
      <w:r w:rsidRPr="008C76E0">
        <w:rPr>
          <w:rStyle w:val="Bodytext7NotItalic"/>
          <w:rFonts w:ascii="Sylfaen" w:hAnsi="Sylfaen"/>
          <w:sz w:val="24"/>
          <w:szCs w:val="24"/>
          <w:lang w:val="hy-AM"/>
        </w:rPr>
        <w:t>}</w:t>
      </w:r>
    </w:p>
    <w:p w14:paraId="19B6B085" w14:textId="6F8BDDC6"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պարտավորվում է ապահովել սերիաների որակի մշտականությունը </w:t>
      </w:r>
      <w:r w:rsidR="00C54D75">
        <w:rPr>
          <w:rFonts w:ascii="Sylfaen" w:hAnsi="Sylfaen"/>
          <w:sz w:val="24"/>
          <w:szCs w:val="24"/>
        </w:rPr>
        <w:t>և</w:t>
      </w:r>
      <w:r w:rsidRPr="00BD7577">
        <w:rPr>
          <w:rFonts w:ascii="Sylfaen" w:hAnsi="Sylfaen"/>
          <w:sz w:val="24"/>
          <w:szCs w:val="24"/>
        </w:rPr>
        <w:t xml:space="preserve"> ծանուցել </w:t>
      </w:r>
      <w:r w:rsidRPr="005A1ED7">
        <w:rPr>
          <w:rStyle w:val="Bodytext295pt"/>
          <w:rFonts w:ascii="Sylfaen" w:eastAsiaTheme="minorHAnsi" w:hAnsi="Sylfaen"/>
          <w:b w:val="0"/>
          <w:spacing w:val="0"/>
          <w:sz w:val="24"/>
          <w:szCs w:val="24"/>
        </w:rPr>
        <w:t>{գրանցման հավաստագրի իրավատիրոջ (</w:t>
      </w:r>
      <w:r w:rsidR="0056496B">
        <w:rPr>
          <w:rStyle w:val="Bodytext295pt"/>
          <w:rFonts w:ascii="Sylfaen" w:eastAsiaTheme="minorHAnsi" w:hAnsi="Sylfaen"/>
          <w:b w:val="0"/>
          <w:spacing w:val="0"/>
          <w:sz w:val="24"/>
          <w:szCs w:val="24"/>
        </w:rPr>
        <w:t>դիմումատու</w:t>
      </w:r>
      <w:r w:rsidRPr="005A1ED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անդամ պետության լիազորված մարմնին ակտիվ դեղագործական բաղադրամասի մաստեր-ֆայլի ցանկացած փոփոխության մասին։</w:t>
      </w:r>
    </w:p>
    <w:p w14:paraId="109E9923"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 xml:space="preserve">Ակտիվ դեղագործական բաղադրամասի մաստեր-ֆայլի վերոնշյալ իրավատերը սույնով ծանուցվում </w:t>
      </w:r>
      <w:r w:rsidR="00C54D75">
        <w:rPr>
          <w:rFonts w:ascii="Sylfaen" w:hAnsi="Sylfaen"/>
          <w:sz w:val="24"/>
          <w:szCs w:val="24"/>
        </w:rPr>
        <w:t>և</w:t>
      </w:r>
      <w:r w:rsidRPr="00BD7577">
        <w:rPr>
          <w:rFonts w:ascii="Sylfaen" w:hAnsi="Sylfaen"/>
          <w:sz w:val="24"/>
          <w:szCs w:val="24"/>
        </w:rPr>
        <w:t xml:space="preserve"> ընդունում է, որ անդամ պետությունների լիազորված մարմինները կարող են փոխանակվել ակտիվ դեղագործական բաղադրամասի վերոնշյալ մաստեր-ֆայլի մասով փորձագիտական հաշվետվություններով։</w:t>
      </w:r>
    </w:p>
    <w:p w14:paraId="2F659DBF" w14:textId="77777777" w:rsidR="008C76E0" w:rsidRPr="00BD7577" w:rsidRDefault="008C76E0" w:rsidP="008C76E0">
      <w:pPr>
        <w:ind w:right="-1"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68616D8B"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8C76E0">
        <w:rPr>
          <w:rStyle w:val="Bodytext7NotItalic"/>
          <w:rFonts w:ascii="Sylfaen" w:hAnsi="Sylfaen"/>
          <w:sz w:val="24"/>
          <w:szCs w:val="24"/>
          <w:lang w:val="hy-AM"/>
        </w:rPr>
        <w:t>}</w:t>
      </w:r>
    </w:p>
    <w:p w14:paraId="7CB4606F" w14:textId="77777777" w:rsidR="008C76E0" w:rsidRPr="008C76E0" w:rsidRDefault="008C76E0" w:rsidP="008C76E0">
      <w:pPr>
        <w:pStyle w:val="Bodytext70"/>
        <w:shd w:val="clear" w:color="auto" w:fill="auto"/>
        <w:spacing w:before="0" w:after="160" w:line="360" w:lineRule="auto"/>
        <w:ind w:right="-1" w:firstLine="567"/>
        <w:rPr>
          <w:rStyle w:val="Bodytext7NotItalic"/>
          <w:rFonts w:ascii="Sylfaen" w:eastAsia="MS Mincho"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8C76E0">
        <w:rPr>
          <w:rStyle w:val="Bodytext7NotItalic"/>
          <w:rFonts w:ascii="Sylfaen" w:hAnsi="Sylfaen"/>
          <w:sz w:val="24"/>
          <w:szCs w:val="24"/>
          <w:lang w:val="hy-AM"/>
        </w:rPr>
        <w:t>}</w:t>
      </w:r>
    </w:p>
    <w:p w14:paraId="2EE47497" w14:textId="77777777" w:rsidR="008C76E0" w:rsidRDefault="008C76E0" w:rsidP="008C76E0">
      <w:pPr>
        <w:widowControl/>
        <w:rPr>
          <w:rFonts w:ascii="Sylfaen" w:eastAsia="Times New Roman" w:hAnsi="Sylfaen" w:cs="Times New Roman"/>
          <w:sz w:val="24"/>
          <w:szCs w:val="24"/>
        </w:rPr>
      </w:pPr>
      <w:r>
        <w:rPr>
          <w:rFonts w:ascii="Sylfaen" w:hAnsi="Sylfaen"/>
          <w:sz w:val="24"/>
          <w:szCs w:val="24"/>
        </w:rPr>
        <w:br w:type="page"/>
      </w:r>
    </w:p>
    <w:p w14:paraId="0D599ED9" w14:textId="77777777" w:rsidR="008C76E0" w:rsidRPr="008C76E0" w:rsidRDefault="008C76E0" w:rsidP="00207FF6">
      <w:pPr>
        <w:pStyle w:val="Headerorfooter0"/>
        <w:shd w:val="clear" w:color="auto" w:fill="auto"/>
        <w:spacing w:after="160" w:line="360" w:lineRule="auto"/>
        <w:ind w:right="-1"/>
        <w:jc w:val="right"/>
        <w:rPr>
          <w:rFonts w:ascii="Sylfaen" w:hAnsi="Sylfaen"/>
          <w:sz w:val="24"/>
          <w:szCs w:val="24"/>
          <w:lang w:val="hy-AM"/>
        </w:rPr>
      </w:pPr>
      <w:r w:rsidRPr="008C76E0">
        <w:rPr>
          <w:rFonts w:ascii="Sylfaen" w:hAnsi="Sylfaen"/>
          <w:sz w:val="24"/>
          <w:szCs w:val="24"/>
          <w:lang w:val="hy-AM"/>
        </w:rPr>
        <w:lastRenderedPageBreak/>
        <w:t xml:space="preserve">Լրացում թիվ 3 </w:t>
      </w:r>
    </w:p>
    <w:p w14:paraId="422FA414" w14:textId="77777777" w:rsidR="008C76E0" w:rsidRPr="00066EC8" w:rsidRDefault="008C76E0" w:rsidP="00207FF6">
      <w:pPr>
        <w:spacing w:after="160" w:line="360" w:lineRule="auto"/>
        <w:jc w:val="center"/>
        <w:rPr>
          <w:rFonts w:ascii="Sylfaen" w:hAnsi="Sylfaen"/>
          <w:b/>
          <w:sz w:val="24"/>
          <w:szCs w:val="24"/>
        </w:rPr>
      </w:pPr>
      <w:r w:rsidRPr="00066EC8">
        <w:rPr>
          <w:rStyle w:val="Bodytext2Spacing2pt"/>
          <w:rFonts w:ascii="Sylfaen" w:eastAsiaTheme="minorHAnsi" w:hAnsi="Sylfaen"/>
          <w:b/>
          <w:spacing w:val="0"/>
          <w:sz w:val="24"/>
          <w:szCs w:val="24"/>
        </w:rPr>
        <w:t>ՁԵՎ</w:t>
      </w:r>
    </w:p>
    <w:p w14:paraId="38B6646A" w14:textId="77777777" w:rsidR="008C76E0" w:rsidRPr="008C76E0" w:rsidRDefault="008C76E0" w:rsidP="00207FF6">
      <w:pPr>
        <w:pStyle w:val="Bodytext130"/>
        <w:shd w:val="clear" w:color="auto" w:fill="auto"/>
        <w:spacing w:after="160" w:line="360" w:lineRule="auto"/>
        <w:ind w:left="567" w:right="565"/>
        <w:rPr>
          <w:rStyle w:val="Heading13Bold"/>
          <w:rFonts w:ascii="Sylfaen" w:eastAsia="MS Mincho" w:hAnsi="Sylfaen"/>
          <w:b w:val="0"/>
          <w:sz w:val="24"/>
          <w:szCs w:val="24"/>
          <w:lang w:val="hy-AM"/>
        </w:rPr>
      </w:pPr>
      <w:r w:rsidRPr="008C76E0">
        <w:rPr>
          <w:rFonts w:ascii="Sylfaen" w:hAnsi="Sylfaen"/>
          <w:sz w:val="24"/>
          <w:szCs w:val="24"/>
          <w:lang w:val="hy-AM"/>
        </w:rPr>
        <w:t xml:space="preserve">ակտիվ դեղագործական բաղադրամասի մաստեր-ֆայլի (ԱԴԲՄՖ) մասով փաստաթղթերի վերաբերյալ վարչական տվյալներ ուղարկելու </w:t>
      </w:r>
      <w:r w:rsidRPr="008C76E0">
        <w:rPr>
          <w:rFonts w:ascii="Sylfaen" w:hAnsi="Sylfaen"/>
          <w:sz w:val="24"/>
          <w:szCs w:val="24"/>
          <w:lang w:val="hy-AM"/>
        </w:rPr>
        <w:br/>
        <w:t>մասին նամակի</w:t>
      </w:r>
      <w:bookmarkStart w:id="4" w:name="bookmark5"/>
      <w:bookmarkEnd w:id="4"/>
    </w:p>
    <w:p w14:paraId="4837057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01DA2AC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Ենթակա է ԱԴԲՄՖ-ի, յուրաքանչյուր գրանցման դոսյեի (փոփոխությունների դոսյեի) հետ միաժամանակ ներկայացնելու՝ որպես մեկ միասնական փաստաթուղթ։</w:t>
      </w:r>
    </w:p>
    <w:p w14:paraId="29A71D9C"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0B27A7F1"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ՖԻՐՄԱՅԻՆ ՁԵՎԱԹՈՒՂԹ</w:t>
      </w:r>
    </w:p>
    <w:p w14:paraId="0B6290DC"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F5C0643" w14:textId="77777777" w:rsidR="008C76E0" w:rsidRPr="00BD7577" w:rsidRDefault="008C76E0" w:rsidP="00207FF6">
      <w:pPr>
        <w:spacing w:after="160" w:line="360" w:lineRule="auto"/>
        <w:jc w:val="right"/>
        <w:rPr>
          <w:rFonts w:ascii="Sylfaen" w:hAnsi="Sylfaen"/>
          <w:sz w:val="24"/>
          <w:szCs w:val="24"/>
        </w:rPr>
      </w:pPr>
    </w:p>
    <w:p w14:paraId="686916F9"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BD7577">
        <w:rPr>
          <w:rStyle w:val="Bodytext295pt"/>
          <w:rFonts w:ascii="Sylfaen" w:hAnsi="Sylfaen"/>
          <w:spacing w:val="0"/>
          <w:sz w:val="24"/>
          <w:szCs w:val="24"/>
        </w:rPr>
        <w:t>Ումից՝ {</w:t>
      </w:r>
      <w:r w:rsidRPr="008C76E0">
        <w:rPr>
          <w:rFonts w:ascii="Sylfaen" w:hAnsi="Sylfaen"/>
          <w:b w:val="0"/>
          <w:sz w:val="24"/>
          <w:szCs w:val="24"/>
          <w:lang w:val="hy-AM"/>
        </w:rPr>
        <w:t>ԱԴԲՄՖ-ի իրավատիրոջ անվանումը</w:t>
      </w:r>
      <w:r w:rsidRPr="00BD7577">
        <w:rPr>
          <w:rStyle w:val="Bodytext295pt"/>
          <w:rFonts w:ascii="Sylfaen" w:hAnsi="Sylfaen"/>
          <w:spacing w:val="0"/>
          <w:sz w:val="24"/>
          <w:szCs w:val="24"/>
        </w:rPr>
        <w:t>}</w:t>
      </w:r>
    </w:p>
    <w:p w14:paraId="22A3381C" w14:textId="77777777" w:rsidR="008C76E0" w:rsidRPr="00BD7577" w:rsidRDefault="008C76E0" w:rsidP="00207FF6">
      <w:pPr>
        <w:pStyle w:val="Bodytext70"/>
        <w:shd w:val="clear" w:color="auto" w:fill="auto"/>
        <w:spacing w:before="0" w:after="160" w:line="360" w:lineRule="auto"/>
        <w:jc w:val="right"/>
        <w:rPr>
          <w:rStyle w:val="Bodytext295pt"/>
          <w:rFonts w:ascii="Sylfaen" w:hAnsi="Sylfaen"/>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հասցեն</w:t>
      </w:r>
      <w:r w:rsidRPr="00BD7577">
        <w:rPr>
          <w:rStyle w:val="Bodytext295pt"/>
          <w:rFonts w:ascii="Sylfaen" w:hAnsi="Sylfaen"/>
          <w:spacing w:val="0"/>
          <w:sz w:val="24"/>
          <w:szCs w:val="24"/>
        </w:rPr>
        <w:t>}</w:t>
      </w:r>
    </w:p>
    <w:p w14:paraId="6AAC41FE"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ԱԴԲՄՖ-ի իրավատիրոջ երկիրը</w:t>
      </w:r>
      <w:r w:rsidRPr="008C76E0">
        <w:rPr>
          <w:rStyle w:val="Bodytext7NotItalic"/>
          <w:rFonts w:ascii="Sylfaen" w:hAnsi="Sylfaen"/>
          <w:sz w:val="24"/>
          <w:szCs w:val="24"/>
          <w:lang w:val="hy-AM"/>
        </w:rPr>
        <w:t>}</w:t>
      </w:r>
    </w:p>
    <w:p w14:paraId="6D6C9379" w14:textId="77777777" w:rsidR="008C76E0" w:rsidRPr="008C76E0" w:rsidRDefault="008C76E0" w:rsidP="00207FF6">
      <w:pPr>
        <w:pStyle w:val="Bodytext70"/>
        <w:shd w:val="clear" w:color="auto" w:fill="auto"/>
        <w:spacing w:before="0" w:after="160" w:line="360" w:lineRule="auto"/>
        <w:jc w:val="right"/>
        <w:rPr>
          <w:rFonts w:ascii="Sylfaen" w:hAnsi="Sylfaen"/>
          <w:b w:val="0"/>
          <w:sz w:val="24"/>
          <w:szCs w:val="24"/>
          <w:lang w:val="hy-AM"/>
        </w:rPr>
      </w:pPr>
      <w:r w:rsidRPr="00BD7577">
        <w:rPr>
          <w:rStyle w:val="Bodytext295pt"/>
          <w:rFonts w:ascii="Sylfaen" w:hAnsi="Sylfaen"/>
          <w:spacing w:val="0"/>
          <w:sz w:val="24"/>
          <w:szCs w:val="24"/>
        </w:rPr>
        <w:t xml:space="preserve">Ում՝ </w:t>
      </w:r>
      <w:r w:rsidRPr="008C76E0">
        <w:rPr>
          <w:rStyle w:val="Bodytext7NotItalic"/>
          <w:rFonts w:ascii="Sylfaen" w:hAnsi="Sylfaen"/>
          <w:sz w:val="24"/>
          <w:szCs w:val="24"/>
          <w:lang w:val="hy-AM"/>
        </w:rPr>
        <w:t>{</w:t>
      </w:r>
      <w:r w:rsidRPr="008C76E0">
        <w:rPr>
          <w:rFonts w:ascii="Sylfaen" w:hAnsi="Sylfaen"/>
          <w:b w:val="0"/>
          <w:sz w:val="24"/>
          <w:szCs w:val="24"/>
          <w:lang w:val="hy-AM"/>
        </w:rPr>
        <w:t>անդամ պետության լիազորված մարմնի անվանումն ու հասցեն</w:t>
      </w:r>
      <w:r w:rsidRPr="00BD7577">
        <w:rPr>
          <w:rStyle w:val="Bodytext295pt"/>
          <w:rFonts w:ascii="Sylfaen" w:hAnsi="Sylfaen"/>
          <w:spacing w:val="0"/>
          <w:sz w:val="24"/>
          <w:szCs w:val="24"/>
        </w:rPr>
        <w:t>}</w:t>
      </w:r>
    </w:p>
    <w:p w14:paraId="79627FDD" w14:textId="77777777" w:rsidR="008C76E0" w:rsidRPr="008C76E0" w:rsidRDefault="008C76E0" w:rsidP="00207FF6">
      <w:pPr>
        <w:pStyle w:val="Bodytext70"/>
        <w:shd w:val="clear" w:color="auto" w:fill="auto"/>
        <w:spacing w:before="0" w:after="160" w:line="360" w:lineRule="auto"/>
        <w:jc w:val="right"/>
        <w:rPr>
          <w:rStyle w:val="Bodytext7NotItalic"/>
          <w:rFonts w:ascii="Sylfaen" w:hAnsi="Sylfaen"/>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ամսաթիվը</w:t>
      </w:r>
      <w:r w:rsidRPr="008C76E0">
        <w:rPr>
          <w:rStyle w:val="Bodytext7NotItalic"/>
          <w:rFonts w:ascii="Sylfaen" w:hAnsi="Sylfaen"/>
          <w:sz w:val="24"/>
          <w:szCs w:val="24"/>
          <w:lang w:val="hy-AM"/>
        </w:rPr>
        <w:t>} {</w:t>
      </w:r>
      <w:r w:rsidRPr="008C76E0">
        <w:rPr>
          <w:rFonts w:ascii="Sylfaen" w:hAnsi="Sylfaen"/>
          <w:b w:val="0"/>
          <w:sz w:val="24"/>
          <w:szCs w:val="24"/>
          <w:lang w:val="hy-AM"/>
        </w:rPr>
        <w:t>ելից համարը</w:t>
      </w:r>
      <w:r w:rsidRPr="008C76E0">
        <w:rPr>
          <w:rStyle w:val="Bodytext7NotItalic"/>
          <w:rFonts w:ascii="Sylfaen" w:hAnsi="Sylfaen"/>
          <w:sz w:val="24"/>
          <w:szCs w:val="24"/>
          <w:lang w:val="hy-AM"/>
        </w:rPr>
        <w:t>}</w:t>
      </w:r>
    </w:p>
    <w:p w14:paraId="52D04BAD" w14:textId="77777777" w:rsidR="008C76E0" w:rsidRPr="005A1ED7" w:rsidRDefault="008C76E0" w:rsidP="00207FF6">
      <w:pPr>
        <w:spacing w:after="160" w:line="360" w:lineRule="auto"/>
        <w:ind w:left="1418" w:hanging="1418"/>
        <w:jc w:val="both"/>
        <w:rPr>
          <w:rStyle w:val="Bodytext7NotItalic"/>
          <w:rFonts w:ascii="Sylfaen" w:eastAsiaTheme="minorHAnsi" w:hAnsi="Sylfaen"/>
          <w:b w:val="0"/>
          <w:bCs w:val="0"/>
          <w:sz w:val="24"/>
          <w:szCs w:val="24"/>
        </w:rPr>
      </w:pPr>
      <w:r w:rsidRPr="00BD7577">
        <w:rPr>
          <w:rFonts w:ascii="Sylfaen" w:hAnsi="Sylfaen"/>
          <w:sz w:val="24"/>
          <w:szCs w:val="24"/>
        </w:rPr>
        <w:t>Առարկան՝</w:t>
      </w:r>
      <w:r w:rsidRPr="00224B3B">
        <w:rPr>
          <w:rFonts w:ascii="Sylfaen" w:hAnsi="Sylfaen"/>
          <w:sz w:val="24"/>
          <w:szCs w:val="24"/>
        </w:rPr>
        <w:tab/>
      </w:r>
      <w:r w:rsidRPr="005A1ED7">
        <w:rPr>
          <w:rStyle w:val="Bodytext7NotItalic"/>
          <w:rFonts w:ascii="Sylfaen" w:eastAsiaTheme="minorHAnsi" w:hAnsi="Sylfaen"/>
          <w:b w:val="0"/>
          <w:sz w:val="24"/>
          <w:szCs w:val="24"/>
        </w:rPr>
        <w:t>{</w:t>
      </w:r>
      <w:r w:rsidRPr="005A1ED7">
        <w:rPr>
          <w:rFonts w:ascii="Sylfaen" w:hAnsi="Sylfaen"/>
          <w:sz w:val="24"/>
          <w:szCs w:val="24"/>
        </w:rPr>
        <w:t>ակ</w:t>
      </w:r>
      <w:r w:rsidRPr="00BD7577">
        <w:rPr>
          <w:rFonts w:ascii="Sylfaen" w:hAnsi="Sylfaen"/>
          <w:sz w:val="24"/>
          <w:szCs w:val="24"/>
        </w:rPr>
        <w:t>տիվ դեղագործական բաղադրամասի անվանումը</w:t>
      </w:r>
      <w:r w:rsidRPr="005A1ED7">
        <w:rPr>
          <w:rStyle w:val="Bodytext7NotItalic"/>
          <w:rFonts w:ascii="Sylfaen" w:eastAsiaTheme="minorHAnsi" w:hAnsi="Sylfaen"/>
          <w:b w:val="0"/>
          <w:sz w:val="24"/>
          <w:szCs w:val="24"/>
        </w:rPr>
        <w:t xml:space="preserve">} համար ԱԴԲՄՖ-ի վերաբերյալ փաստաթղթեր նեկայացնելը </w:t>
      </w:r>
    </w:p>
    <w:p w14:paraId="1BF41892" w14:textId="77777777" w:rsidR="008C76E0" w:rsidRPr="005A1ED7" w:rsidRDefault="008C76E0" w:rsidP="00207FF6">
      <w:pPr>
        <w:spacing w:after="160" w:line="360" w:lineRule="auto"/>
        <w:ind w:left="1418"/>
        <w:jc w:val="both"/>
        <w:rPr>
          <w:rFonts w:ascii="Sylfaen" w:hAnsi="Sylfaen"/>
          <w:b/>
          <w:sz w:val="24"/>
          <w:szCs w:val="24"/>
        </w:rPr>
      </w:pPr>
      <w:r w:rsidRPr="005A1ED7">
        <w:rPr>
          <w:rStyle w:val="Bodytext7NotItalic"/>
          <w:rFonts w:ascii="Sylfaen" w:eastAsiaTheme="minorHAnsi" w:hAnsi="Sylfaen"/>
          <w:b w:val="0"/>
          <w:i w:val="0"/>
          <w:sz w:val="24"/>
          <w:szCs w:val="24"/>
        </w:rPr>
        <w:t>{</w:t>
      </w:r>
      <w:r w:rsidRPr="005A1ED7">
        <w:rPr>
          <w:rStyle w:val="Bodytext295pt"/>
          <w:rFonts w:ascii="Sylfaen" w:eastAsiaTheme="minorHAnsi" w:hAnsi="Sylfaen"/>
          <w:b w:val="0"/>
          <w:spacing w:val="0"/>
          <w:sz w:val="24"/>
          <w:szCs w:val="24"/>
        </w:rPr>
        <w:t>ԱԴԲՄՖ-ի ծածկագրային համարը}</w:t>
      </w:r>
    </w:p>
    <w:p w14:paraId="7E5F62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2C403083" w14:textId="77777777" w:rsidR="008C76E0" w:rsidRPr="00BD7577" w:rsidRDefault="008C76E0" w:rsidP="00207FF6">
      <w:pPr>
        <w:spacing w:after="160" w:line="360" w:lineRule="auto"/>
        <w:jc w:val="center"/>
        <w:rPr>
          <w:rFonts w:ascii="Sylfaen" w:hAnsi="Sylfaen"/>
          <w:sz w:val="24"/>
          <w:szCs w:val="24"/>
        </w:rPr>
      </w:pPr>
      <w:r w:rsidRPr="00746E86">
        <w:rPr>
          <w:rFonts w:ascii="Sylfaen" w:hAnsi="Sylfaen"/>
          <w:sz w:val="24"/>
          <w:szCs w:val="24"/>
        </w:rPr>
        <w:lastRenderedPageBreak/>
        <w:t>Հարգելի ...</w:t>
      </w:r>
    </w:p>
    <w:p w14:paraId="3591CB3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սույն մաստեր-ֆայլը ներկայացվում է հետ</w:t>
      </w:r>
      <w:r w:rsidR="00C54D75">
        <w:rPr>
          <w:rFonts w:ascii="Sylfaen" w:hAnsi="Sylfaen"/>
          <w:spacing w:val="-4"/>
          <w:sz w:val="24"/>
          <w:szCs w:val="24"/>
        </w:rPr>
        <w:t>և</w:t>
      </w:r>
      <w:r w:rsidRPr="00BA15D2">
        <w:rPr>
          <w:rFonts w:ascii="Sylfaen" w:hAnsi="Sylfaen"/>
          <w:spacing w:val="-4"/>
          <w:sz w:val="24"/>
          <w:szCs w:val="24"/>
        </w:rPr>
        <w:t>յալ դեղապատրաստուկի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9"/>
        <w:gridCol w:w="5122"/>
      </w:tblGrid>
      <w:tr w:rsidR="008C76E0" w:rsidRPr="00BD7577" w14:paraId="073AFA93" w14:textId="77777777" w:rsidTr="008C76E0">
        <w:trPr>
          <w:jc w:val="center"/>
        </w:trPr>
        <w:tc>
          <w:tcPr>
            <w:tcW w:w="4219" w:type="dxa"/>
            <w:tcBorders>
              <w:top w:val="single" w:sz="4" w:space="0" w:color="auto"/>
              <w:left w:val="single" w:sz="4" w:space="0" w:color="auto"/>
              <w:bottom w:val="single" w:sz="4" w:space="0" w:color="auto"/>
            </w:tcBorders>
            <w:shd w:val="clear" w:color="auto" w:fill="FFFFFF"/>
          </w:tcPr>
          <w:p w14:paraId="352DA43E"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3302BF42" w14:textId="77777777"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p w14:paraId="0B700D90" w14:textId="2CD297E9" w:rsidR="008C76E0" w:rsidRPr="008C76E0" w:rsidRDefault="008C76E0" w:rsidP="008C76E0">
            <w:pPr>
              <w:pStyle w:val="Bodytext180"/>
              <w:shd w:val="clear" w:color="auto" w:fill="auto"/>
              <w:spacing w:before="0" w:after="120" w:line="240" w:lineRule="auto"/>
              <w:ind w:left="125" w:right="-1" w:firstLine="0"/>
              <w:rPr>
                <w:rFonts w:ascii="Sylfaen" w:hAnsi="Sylfaen"/>
                <w:b w:val="0"/>
                <w:sz w:val="24"/>
                <w:szCs w:val="24"/>
                <w:lang w:val="hy-AM"/>
              </w:rPr>
            </w:pPr>
            <w:r w:rsidRPr="00BD7577">
              <w:rPr>
                <w:rStyle w:val="Bodytext1811pt"/>
                <w:rFonts w:ascii="Sylfaen" w:hAnsi="Sylfaen"/>
                <w:sz w:val="24"/>
                <w:szCs w:val="24"/>
              </w:rPr>
              <w:t xml:space="preserve">Գրանցման դոսյեն կամ փոփոխության դոսյեն ներկայացնելու (ենթադրյալ) ամսաթիվը (եթե </w:t>
            </w:r>
            <w:r w:rsidR="005F6A31">
              <w:rPr>
                <w:rStyle w:val="Bodytext1811pt"/>
                <w:rFonts w:ascii="Sylfaen" w:hAnsi="Sylfaen"/>
                <w:sz w:val="24"/>
                <w:szCs w:val="24"/>
              </w:rPr>
              <w:t>հայտնի</w:t>
            </w:r>
            <w:r w:rsidRPr="00BD7577">
              <w:rPr>
                <w:rStyle w:val="Bodytext1811pt"/>
                <w:rFonts w:ascii="Sylfaen" w:hAnsi="Sylfaen"/>
                <w:sz w:val="24"/>
                <w:szCs w:val="24"/>
              </w:rPr>
              <w:t xml:space="preserve"> է)</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14:paraId="64C504D5" w14:textId="77777777" w:rsidR="008C76E0" w:rsidRPr="008C76E0" w:rsidRDefault="008C76E0" w:rsidP="008C76E0">
            <w:pPr>
              <w:pStyle w:val="Bodytext180"/>
              <w:shd w:val="clear" w:color="auto" w:fill="auto"/>
              <w:spacing w:before="0" w:after="120" w:line="240" w:lineRule="auto"/>
              <w:ind w:left="159" w:right="124" w:firstLine="0"/>
              <w:rPr>
                <w:rFonts w:ascii="Sylfaen" w:hAnsi="Sylfaen"/>
                <w:b w:val="0"/>
                <w:sz w:val="24"/>
                <w:szCs w:val="24"/>
                <w:lang w:val="hy-AM"/>
              </w:rPr>
            </w:pPr>
            <w:r w:rsidRPr="005B58E6">
              <w:rPr>
                <w:rStyle w:val="Bodytext295pt"/>
                <w:rFonts w:ascii="Sylfaen" w:hAnsi="Sylfaen"/>
                <w:i/>
                <w:spacing w:val="0"/>
                <w:sz w:val="24"/>
                <w:szCs w:val="24"/>
              </w:rPr>
              <w:t xml:space="preserve">{դեղապատրաստուկի անվանումը </w:t>
            </w:r>
            <w:r w:rsidRPr="005B58E6">
              <w:rPr>
                <w:rStyle w:val="Bodytext1811pt"/>
                <w:rFonts w:ascii="Sylfaen" w:hAnsi="Sylfaen"/>
                <w:i/>
                <w:sz w:val="24"/>
                <w:szCs w:val="24"/>
              </w:rPr>
              <w:t>}</w:t>
            </w:r>
            <w:r w:rsidRPr="00BD7577">
              <w:rPr>
                <w:rStyle w:val="Bodytext1811pt"/>
                <w:rFonts w:ascii="Sylfaen" w:hAnsi="Sylfaen"/>
                <w:sz w:val="24"/>
                <w:szCs w:val="24"/>
              </w:rPr>
              <w:t xml:space="preserve"> </w:t>
            </w:r>
            <w:r w:rsidRPr="005B58E6">
              <w:rPr>
                <w:rStyle w:val="Bodytext1811pt"/>
                <w:rFonts w:ascii="Sylfaen" w:hAnsi="Sylfaen"/>
                <w:sz w:val="24"/>
                <w:szCs w:val="24"/>
              </w:rPr>
              <w:br/>
            </w:r>
            <w:r w:rsidRPr="00BD7577">
              <w:rPr>
                <w:rStyle w:val="Bodytext1811pt"/>
                <w:rFonts w:ascii="Sylfaen" w:hAnsi="Sylfaen"/>
                <w:sz w:val="24"/>
                <w:szCs w:val="24"/>
              </w:rPr>
              <w:t>(Եթե ներկայացնելու պահին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75575011" w14:textId="77777777" w:rsidR="008C76E0" w:rsidRPr="005B58E6" w:rsidRDefault="008C76E0" w:rsidP="008C76E0">
            <w:pPr>
              <w:pStyle w:val="Bodytext180"/>
              <w:shd w:val="clear" w:color="auto" w:fill="auto"/>
              <w:spacing w:before="0" w:after="120" w:line="240" w:lineRule="auto"/>
              <w:ind w:left="159" w:right="124" w:firstLine="0"/>
              <w:jc w:val="both"/>
              <w:rPr>
                <w:rFonts w:ascii="Sylfaen" w:hAnsi="Sylfaen"/>
                <w:b w:val="0"/>
                <w:i/>
                <w:sz w:val="24"/>
                <w:szCs w:val="24"/>
              </w:rPr>
            </w:pPr>
            <w:r w:rsidRPr="005B58E6">
              <w:rPr>
                <w:rStyle w:val="Bodytext295pt"/>
                <w:rFonts w:ascii="Sylfaen" w:hAnsi="Sylfaen"/>
                <w:i/>
                <w:spacing w:val="0"/>
                <w:sz w:val="24"/>
                <w:szCs w:val="24"/>
              </w:rPr>
              <w:t>{ընթացակարգի ծածկագիրը</w:t>
            </w:r>
            <w:r w:rsidRPr="005B58E6">
              <w:rPr>
                <w:rStyle w:val="Bodytext1811pt"/>
                <w:rFonts w:ascii="Sylfaen" w:hAnsi="Sylfaen"/>
                <w:i/>
                <w:sz w:val="24"/>
                <w:szCs w:val="24"/>
              </w:rPr>
              <w:t>}</w:t>
            </w:r>
          </w:p>
          <w:p w14:paraId="31A7A393" w14:textId="77777777" w:rsidR="008C76E0" w:rsidRPr="00BD7577" w:rsidRDefault="008C76E0" w:rsidP="008C76E0">
            <w:pPr>
              <w:pStyle w:val="Bodytext180"/>
              <w:shd w:val="clear" w:color="auto" w:fill="auto"/>
              <w:spacing w:before="0" w:after="120" w:line="240" w:lineRule="auto"/>
              <w:ind w:left="159" w:right="124" w:firstLine="0"/>
              <w:jc w:val="both"/>
              <w:rPr>
                <w:rFonts w:ascii="Sylfaen" w:hAnsi="Sylfaen"/>
                <w:b w:val="0"/>
                <w:sz w:val="24"/>
                <w:szCs w:val="24"/>
              </w:rPr>
            </w:pPr>
            <w:r w:rsidRPr="005B58E6">
              <w:rPr>
                <w:rStyle w:val="Bodytext295pt"/>
                <w:rFonts w:ascii="Sylfaen" w:hAnsi="Sylfaen"/>
                <w:i/>
                <w:spacing w:val="0"/>
                <w:sz w:val="24"/>
                <w:szCs w:val="24"/>
              </w:rPr>
              <w:t>{Ամսաթիվը}</w:t>
            </w:r>
          </w:p>
        </w:tc>
      </w:tr>
    </w:tbl>
    <w:p w14:paraId="7CAB8768" w14:textId="77777777" w:rsidR="008C76E0" w:rsidRPr="00BD7577" w:rsidRDefault="008C76E0" w:rsidP="008C76E0">
      <w:pPr>
        <w:ind w:right="-1"/>
        <w:jc w:val="both"/>
        <w:rPr>
          <w:rFonts w:ascii="Sylfaen" w:hAnsi="Sylfaen"/>
          <w:sz w:val="24"/>
          <w:szCs w:val="24"/>
        </w:rPr>
      </w:pPr>
    </w:p>
    <w:p w14:paraId="5B768ED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Ակտիվ դեղագործական բաղադրամասի մաստեր-ֆայլի (ԱԴԲՄՖ) մասով փաստաթղթերի վերաբերյալ վարչական տվյալները</w:t>
      </w:r>
    </w:p>
    <w:p w14:paraId="6E5314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Սույն ուղեգիր-նամակը հարկ է օգտագործել փորձարկման ենթակա ակտիվ դեղագործական նյութի մաստեր-ֆայլի դեպքում՝ դեղապատրաստուկի գրանցման դոսյեի կամ փոփոխության մասով դոսյեի հետ համատեղ։ Անհրաժեշտ է լրացնել բոլոր տեղեկատվական դաշտերը։</w:t>
      </w:r>
    </w:p>
    <w:tbl>
      <w:tblPr>
        <w:tblOverlap w:val="never"/>
        <w:tblW w:w="9958" w:type="dxa"/>
        <w:jc w:val="center"/>
        <w:tblLayout w:type="fixed"/>
        <w:tblCellMar>
          <w:left w:w="10" w:type="dxa"/>
          <w:right w:w="10" w:type="dxa"/>
        </w:tblCellMar>
        <w:tblLook w:val="04A0" w:firstRow="1" w:lastRow="0" w:firstColumn="1" w:lastColumn="0" w:noHBand="0" w:noVBand="1"/>
      </w:tblPr>
      <w:tblGrid>
        <w:gridCol w:w="2073"/>
        <w:gridCol w:w="341"/>
        <w:gridCol w:w="1969"/>
        <w:gridCol w:w="150"/>
        <w:gridCol w:w="5425"/>
      </w:tblGrid>
      <w:tr w:rsidR="008C76E0" w:rsidRPr="00BD7577" w14:paraId="25A5A650" w14:textId="77777777" w:rsidTr="008C76E0">
        <w:trPr>
          <w:jc w:val="center"/>
        </w:trPr>
        <w:tc>
          <w:tcPr>
            <w:tcW w:w="4383" w:type="dxa"/>
            <w:gridSpan w:val="3"/>
            <w:tcBorders>
              <w:top w:val="single" w:sz="4" w:space="0" w:color="auto"/>
              <w:left w:val="single" w:sz="4" w:space="0" w:color="auto"/>
            </w:tcBorders>
            <w:shd w:val="clear" w:color="auto" w:fill="FFFFFF"/>
          </w:tcPr>
          <w:p w14:paraId="0449C511" w14:textId="77777777" w:rsidR="008C76E0" w:rsidRPr="008C76E0" w:rsidRDefault="008C76E0" w:rsidP="008C76E0">
            <w:pPr>
              <w:pStyle w:val="Bodytext180"/>
              <w:shd w:val="clear" w:color="auto" w:fill="auto"/>
              <w:spacing w:before="0" w:after="120" w:line="288" w:lineRule="auto"/>
              <w:ind w:left="120" w:firstLine="0"/>
              <w:rPr>
                <w:rFonts w:ascii="Sylfaen" w:hAnsi="Sylfaen"/>
                <w:b w:val="0"/>
                <w:sz w:val="24"/>
                <w:szCs w:val="24"/>
                <w:lang w:val="hy-AM"/>
              </w:rPr>
            </w:pPr>
            <w:r w:rsidRPr="00BD7577">
              <w:rPr>
                <w:rStyle w:val="Bodytext1811pt"/>
                <w:rFonts w:ascii="Sylfaen" w:hAnsi="Sylfaen"/>
                <w:sz w:val="24"/>
                <w:szCs w:val="24"/>
              </w:rPr>
              <w:t>Սույն փաստաթղթերը ուղարկվում են նա</w:t>
            </w:r>
            <w:r w:rsidR="00C54D75">
              <w:rPr>
                <w:rStyle w:val="Bodytext1811pt"/>
                <w:rFonts w:ascii="Sylfaen" w:hAnsi="Sylfaen"/>
                <w:sz w:val="24"/>
                <w:szCs w:val="24"/>
              </w:rPr>
              <w:t>և</w:t>
            </w:r>
            <w:r w:rsidRPr="00BD7577">
              <w:rPr>
                <w:rStyle w:val="Bodytext1811pt"/>
                <w:rFonts w:ascii="Sylfaen" w:hAnsi="Sylfaen"/>
                <w:sz w:val="24"/>
                <w:szCs w:val="24"/>
              </w:rPr>
              <w:t>՝</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D19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ընթացակարգին մասնակցող բոլոր անդամ պետություններին</w:t>
            </w:r>
          </w:p>
          <w:p w14:paraId="03B3D958"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8C76E0">
              <w:rPr>
                <w:rFonts w:ascii="Sylfaen" w:hAnsi="Sylfaen"/>
                <w:b w:val="0"/>
                <w:sz w:val="24"/>
                <w:szCs w:val="24"/>
                <w:lang w:val="hy-AM"/>
              </w:rPr>
              <w:t xml:space="preserve">□ </w:t>
            </w:r>
            <w:r w:rsidRPr="00BD7577">
              <w:rPr>
                <w:rStyle w:val="Bodytext1811pt"/>
                <w:rFonts w:ascii="Sylfaen" w:hAnsi="Sylfaen"/>
                <w:sz w:val="24"/>
                <w:szCs w:val="24"/>
              </w:rPr>
              <w:t>բացառապես {ռեֆերենտ պետությանը}</w:t>
            </w:r>
          </w:p>
        </w:tc>
      </w:tr>
      <w:tr w:rsidR="008C76E0" w:rsidRPr="00BD7577" w14:paraId="3D0A2A79" w14:textId="77777777" w:rsidTr="008C76E0">
        <w:trPr>
          <w:jc w:val="center"/>
        </w:trPr>
        <w:tc>
          <w:tcPr>
            <w:tcW w:w="4383" w:type="dxa"/>
            <w:gridSpan w:val="3"/>
            <w:tcBorders>
              <w:top w:val="single" w:sz="4" w:space="0" w:color="auto"/>
              <w:left w:val="single" w:sz="4" w:space="0" w:color="auto"/>
            </w:tcBorders>
            <w:shd w:val="clear" w:color="auto" w:fill="FFFFFF"/>
          </w:tcPr>
          <w:p w14:paraId="5EEA1E62" w14:textId="77777777" w:rsidR="008C76E0" w:rsidRPr="00BD7577" w:rsidRDefault="008C76E0" w:rsidP="008C76E0">
            <w:pPr>
              <w:pStyle w:val="Bodytext180"/>
              <w:shd w:val="clear" w:color="auto" w:fill="auto"/>
              <w:spacing w:before="0" w:after="120" w:line="288" w:lineRule="auto"/>
              <w:ind w:left="120" w:right="147" w:firstLine="0"/>
              <w:rPr>
                <w:rFonts w:ascii="Sylfaen" w:hAnsi="Sylfaen"/>
                <w:b w:val="0"/>
                <w:sz w:val="24"/>
                <w:szCs w:val="24"/>
              </w:rPr>
            </w:pPr>
            <w:r w:rsidRPr="00BD7577">
              <w:rPr>
                <w:rStyle w:val="Bodytext1811pt"/>
                <w:rFonts w:ascii="Sylfaen" w:hAnsi="Sylfaen"/>
                <w:sz w:val="24"/>
                <w:szCs w:val="24"/>
              </w:rPr>
              <w:t>ԱԴԲՄՖ-ի ծածկագրային համարը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569C6ED7"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295pt"/>
                <w:rFonts w:ascii="Sylfaen" w:hAnsi="Sylfaen"/>
                <w:spacing w:val="0"/>
                <w:sz w:val="24"/>
                <w:szCs w:val="24"/>
              </w:rPr>
              <w:t>{ԱԴԲՄՖ-ի ծածկագրային համարը}</w:t>
            </w:r>
          </w:p>
          <w:p w14:paraId="4A5514C2" w14:textId="77777777" w:rsidR="008C76E0" w:rsidRPr="00BD7577" w:rsidRDefault="008C76E0" w:rsidP="008C76E0">
            <w:pPr>
              <w:pStyle w:val="Bodytext180"/>
              <w:shd w:val="clear" w:color="auto" w:fill="auto"/>
              <w:spacing w:before="0" w:after="120" w:line="288" w:lineRule="auto"/>
              <w:ind w:left="116" w:right="49" w:firstLine="0"/>
              <w:rPr>
                <w:rFonts w:ascii="Sylfaen" w:hAnsi="Sylfaen"/>
                <w:b w:val="0"/>
                <w:sz w:val="24"/>
                <w:szCs w:val="24"/>
              </w:rPr>
            </w:pPr>
            <w:r w:rsidRPr="00BD7577">
              <w:rPr>
                <w:rStyle w:val="Bodytext1811pt"/>
                <w:rFonts w:ascii="Sylfaen" w:hAnsi="Sylfaen"/>
                <w:sz w:val="24"/>
                <w:szCs w:val="24"/>
              </w:rPr>
              <w:t>Հետ</w:t>
            </w:r>
            <w:r w:rsidR="00C54D75">
              <w:rPr>
                <w:rStyle w:val="Bodytext1811pt"/>
                <w:rFonts w:ascii="Sylfaen" w:hAnsi="Sylfaen"/>
                <w:sz w:val="24"/>
                <w:szCs w:val="24"/>
              </w:rPr>
              <w:t>և</w:t>
            </w:r>
            <w:r w:rsidRPr="00BD7577">
              <w:rPr>
                <w:rStyle w:val="Bodytext1811pt"/>
                <w:rFonts w:ascii="Sylfaen" w:hAnsi="Sylfaen"/>
                <w:sz w:val="24"/>
                <w:szCs w:val="24"/>
              </w:rPr>
              <w:t>յալ ձ</w:t>
            </w:r>
            <w:r w:rsidR="00C54D75">
              <w:rPr>
                <w:rStyle w:val="Bodytext1811pt"/>
                <w:rFonts w:ascii="Sylfaen" w:hAnsi="Sylfaen"/>
                <w:sz w:val="24"/>
                <w:szCs w:val="24"/>
              </w:rPr>
              <w:t>և</w:t>
            </w:r>
            <w:r w:rsidRPr="00BD7577">
              <w:rPr>
                <w:rStyle w:val="Bodytext1811pt"/>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tc>
      </w:tr>
      <w:tr w:rsidR="008C76E0" w:rsidRPr="00BD7577" w14:paraId="0ED6041D" w14:textId="77777777" w:rsidTr="008C76E0">
        <w:trPr>
          <w:jc w:val="center"/>
        </w:trPr>
        <w:tc>
          <w:tcPr>
            <w:tcW w:w="4383" w:type="dxa"/>
            <w:gridSpan w:val="3"/>
            <w:tcBorders>
              <w:top w:val="single" w:sz="4" w:space="0" w:color="auto"/>
              <w:left w:val="single" w:sz="4" w:space="0" w:color="auto"/>
            </w:tcBorders>
            <w:shd w:val="clear" w:color="auto" w:fill="FFFFFF"/>
          </w:tcPr>
          <w:p w14:paraId="4A0C2F2F"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r w:rsidRPr="00BD7577">
              <w:rPr>
                <w:rStyle w:val="Bodytext1811pt"/>
                <w:rFonts w:ascii="Sylfaen" w:hAnsi="Sylfaen"/>
                <w:sz w:val="24"/>
                <w:szCs w:val="24"/>
              </w:rPr>
              <w:t>ԱԴԲՄՖ-ի իրավատիրոջ տարբերակը (փաստաթղթերի սույն ներկայացման մեջ ներառված)</w:t>
            </w:r>
          </w:p>
          <w:p w14:paraId="507B0600" w14:textId="77777777" w:rsidR="008C76E0" w:rsidRPr="008C76E0" w:rsidRDefault="008C76E0" w:rsidP="008C76E0">
            <w:pPr>
              <w:pStyle w:val="Bodytext180"/>
              <w:shd w:val="clear" w:color="auto" w:fill="auto"/>
              <w:spacing w:before="0" w:after="120" w:line="288" w:lineRule="auto"/>
              <w:ind w:left="120" w:right="147" w:firstLine="0"/>
              <w:rPr>
                <w:rFonts w:ascii="Sylfaen" w:hAnsi="Sylfaen"/>
                <w:b w:val="0"/>
                <w:sz w:val="24"/>
                <w:szCs w:val="24"/>
                <w:lang w:val="hy-AM"/>
              </w:rPr>
            </w:pPr>
          </w:p>
        </w:tc>
        <w:tc>
          <w:tcPr>
            <w:tcW w:w="5575" w:type="dxa"/>
            <w:gridSpan w:val="2"/>
            <w:tcBorders>
              <w:top w:val="single" w:sz="4" w:space="0" w:color="auto"/>
              <w:left w:val="single" w:sz="4" w:space="0" w:color="auto"/>
              <w:right w:val="single" w:sz="4" w:space="0" w:color="auto"/>
            </w:tcBorders>
            <w:shd w:val="clear" w:color="auto" w:fill="FFFFFF"/>
            <w:vAlign w:val="bottom"/>
          </w:tcPr>
          <w:p w14:paraId="1AA2055E" w14:textId="05EC2F85" w:rsidR="008C76E0" w:rsidRPr="008C76E0" w:rsidRDefault="0056496B" w:rsidP="008C76E0">
            <w:pPr>
              <w:pStyle w:val="Bodytext180"/>
              <w:shd w:val="clear" w:color="auto" w:fill="auto"/>
              <w:spacing w:before="0" w:after="120" w:line="288" w:lineRule="auto"/>
              <w:ind w:left="116" w:right="49" w:firstLine="0"/>
              <w:rPr>
                <w:rFonts w:ascii="Sylfaen" w:hAnsi="Sylfaen"/>
                <w:b w:val="0"/>
                <w:sz w:val="24"/>
                <w:szCs w:val="24"/>
                <w:lang w:val="hy-AM"/>
              </w:rPr>
            </w:pPr>
            <w:r>
              <w:rPr>
                <w:rStyle w:val="Bodytext1811pt"/>
                <w:rFonts w:ascii="Sylfaen" w:hAnsi="Sylfaen"/>
                <w:sz w:val="24"/>
                <w:szCs w:val="24"/>
              </w:rPr>
              <w:t>դիմումատու</w:t>
            </w:r>
            <w:r w:rsidR="008C76E0" w:rsidRPr="00BD7577">
              <w:rPr>
                <w:rStyle w:val="Bodytext1811pt"/>
                <w:rFonts w:ascii="Sylfaen" w:hAnsi="Sylfaen"/>
                <w:sz w:val="24"/>
                <w:szCs w:val="24"/>
              </w:rPr>
              <w:t>ի մասը՝</w:t>
            </w:r>
          </w:p>
          <w:p w14:paraId="54B4B90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տարբերակը [տարբերակի համարը]/ամսաթիվը (օր-ամիս-տարի) փակ մասը՝</w:t>
            </w:r>
          </w:p>
          <w:p w14:paraId="342BC94B" w14:textId="77777777" w:rsidR="008C76E0" w:rsidRPr="008C76E0" w:rsidRDefault="008C76E0" w:rsidP="008C76E0">
            <w:pPr>
              <w:pStyle w:val="Bodytext180"/>
              <w:shd w:val="clear" w:color="auto" w:fill="auto"/>
              <w:spacing w:before="0" w:after="120" w:line="288"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տարբերակը [տարբերակի համարը]/ամսաթիվը </w:t>
            </w:r>
            <w:r w:rsidRPr="00BD7577">
              <w:rPr>
                <w:rStyle w:val="Bodytext1811pt"/>
                <w:rFonts w:ascii="Sylfaen" w:hAnsi="Sylfaen"/>
                <w:sz w:val="24"/>
                <w:szCs w:val="24"/>
              </w:rPr>
              <w:lastRenderedPageBreak/>
              <w:t>(օր-ամիս-տարի)</w:t>
            </w:r>
          </w:p>
        </w:tc>
      </w:tr>
      <w:tr w:rsidR="008C76E0" w:rsidRPr="00BD7577" w14:paraId="750AB724"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368730C"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lastRenderedPageBreak/>
              <w:t>Դեղագործական բաղադրամասի անվանումը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19127B23"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{ՄՉԱ-ն, համընդհանուր անվանումը}</w:t>
            </w:r>
            <w:r w:rsidRPr="005B58E6">
              <w:rPr>
                <w:rStyle w:val="Bodytext1811pt"/>
                <w:rFonts w:ascii="Sylfaen" w:hAnsi="Sylfaen"/>
                <w:i/>
                <w:sz w:val="24"/>
                <w:szCs w:val="24"/>
              </w:rPr>
              <w:t xml:space="preserve"> </w:t>
            </w:r>
            <w:r w:rsidRPr="005B58E6">
              <w:rPr>
                <w:rStyle w:val="Bodytext1811pt"/>
                <w:rFonts w:ascii="Sylfaen" w:hAnsi="Sylfaen"/>
                <w:sz w:val="24"/>
                <w:szCs w:val="24"/>
              </w:rPr>
              <w:t>(+ աղ (ջրի պարունակությունը), եթե կիրառելի է)</w:t>
            </w:r>
          </w:p>
        </w:tc>
      </w:tr>
      <w:tr w:rsidR="008C76E0" w:rsidRPr="00BD7577" w14:paraId="5B0E54D6"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3720E095" w14:textId="77777777" w:rsidR="008C76E0" w:rsidRPr="008C76E0" w:rsidRDefault="008C76E0" w:rsidP="008C76E0">
            <w:pPr>
              <w:pStyle w:val="Bodytext180"/>
              <w:shd w:val="clear" w:color="auto" w:fill="auto"/>
              <w:spacing w:before="0" w:after="120" w:line="240" w:lineRule="auto"/>
              <w:ind w:left="120" w:firstLine="0"/>
              <w:rPr>
                <w:rFonts w:ascii="Sylfaen" w:hAnsi="Sylfaen"/>
                <w:b w:val="0"/>
                <w:sz w:val="24"/>
                <w:szCs w:val="24"/>
                <w:lang w:val="hy-AM"/>
              </w:rPr>
            </w:pPr>
            <w:r w:rsidRPr="00BD7577">
              <w:rPr>
                <w:rStyle w:val="Bodytext1811pt"/>
                <w:rFonts w:ascii="Sylfaen" w:hAnsi="Sylfaen"/>
                <w:sz w:val="24"/>
                <w:szCs w:val="24"/>
              </w:rPr>
              <w:t>Ակտիվ դեղագործական բաղադրամասն արտադրողի ԱԴԲ-ի ներքին ծածկագիրը (եթե կիրառելի է)՝</w:t>
            </w:r>
          </w:p>
        </w:tc>
        <w:tc>
          <w:tcPr>
            <w:tcW w:w="5575" w:type="dxa"/>
            <w:gridSpan w:val="2"/>
            <w:tcBorders>
              <w:top w:val="single" w:sz="4" w:space="0" w:color="auto"/>
              <w:left w:val="single" w:sz="4" w:space="0" w:color="auto"/>
              <w:right w:val="single" w:sz="4" w:space="0" w:color="auto"/>
            </w:tcBorders>
            <w:shd w:val="clear" w:color="auto" w:fill="FFFFFF"/>
          </w:tcPr>
          <w:p w14:paraId="03547B64"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{ԱԴԲ-ի ներքին ծածկագիրը}</w:t>
            </w:r>
          </w:p>
        </w:tc>
      </w:tr>
      <w:tr w:rsidR="008C76E0" w:rsidRPr="00BD7577" w14:paraId="1CD5AF3D" w14:textId="77777777" w:rsidTr="008C76E0">
        <w:trPr>
          <w:jc w:val="center"/>
        </w:trPr>
        <w:tc>
          <w:tcPr>
            <w:tcW w:w="4383" w:type="dxa"/>
            <w:gridSpan w:val="3"/>
            <w:tcBorders>
              <w:top w:val="single" w:sz="4" w:space="0" w:color="auto"/>
              <w:left w:val="single" w:sz="4" w:space="0" w:color="auto"/>
              <w:bottom w:val="single" w:sz="4" w:space="0" w:color="auto"/>
            </w:tcBorders>
            <w:shd w:val="clear" w:color="auto" w:fill="FFFFFF"/>
            <w:vAlign w:val="bottom"/>
          </w:tcPr>
          <w:p w14:paraId="4FD987B6"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Լրացուցիչ տեղեկությունները (եթե կիրառելի է, օրինակ՝ սինթեզի տարատեսակ եղանակները, դասը)</w:t>
            </w:r>
          </w:p>
          <w:p w14:paraId="67382629"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(Կիրառելի է, եթե ԱԴԲՄՖ-ի իրավատերը մի</w:t>
            </w:r>
            <w:r w:rsidR="00C54D75">
              <w:rPr>
                <w:rStyle w:val="Bodytext1811pt"/>
                <w:rFonts w:ascii="Sylfaen" w:hAnsi="Sylfaen"/>
                <w:sz w:val="24"/>
                <w:szCs w:val="24"/>
              </w:rPr>
              <w:t>և</w:t>
            </w:r>
            <w:r w:rsidRPr="00BD7577">
              <w:rPr>
                <w:rStyle w:val="Bodytext1811pt"/>
                <w:rFonts w:ascii="Sylfaen" w:hAnsi="Sylfaen"/>
                <w:sz w:val="24"/>
                <w:szCs w:val="24"/>
              </w:rPr>
              <w:t>նույն ակտիվ դեղագործական բաղադրամասի</w:t>
            </w:r>
          </w:p>
        </w:tc>
        <w:tc>
          <w:tcPr>
            <w:tcW w:w="5575" w:type="dxa"/>
            <w:gridSpan w:val="2"/>
            <w:tcBorders>
              <w:top w:val="single" w:sz="4" w:space="0" w:color="auto"/>
              <w:left w:val="single" w:sz="4" w:space="0" w:color="auto"/>
              <w:bottom w:val="single" w:sz="4" w:space="0" w:color="auto"/>
              <w:right w:val="single" w:sz="4" w:space="0" w:color="auto"/>
            </w:tcBorders>
            <w:shd w:val="clear" w:color="auto" w:fill="FFFFFF"/>
          </w:tcPr>
          <w:p w14:paraId="701CD2F3"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682355B3" w14:textId="77777777" w:rsidTr="008C76E0">
        <w:trPr>
          <w:jc w:val="center"/>
        </w:trPr>
        <w:tc>
          <w:tcPr>
            <w:tcW w:w="4383" w:type="dxa"/>
            <w:gridSpan w:val="3"/>
            <w:tcBorders>
              <w:top w:val="single" w:sz="4" w:space="0" w:color="auto"/>
              <w:left w:val="single" w:sz="4" w:space="0" w:color="auto"/>
            </w:tcBorders>
            <w:shd w:val="clear" w:color="auto" w:fill="FFFFFF"/>
            <w:vAlign w:val="bottom"/>
          </w:tcPr>
          <w:p w14:paraId="4CB06D7C"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հետ կապված իր տրամադրության տակ ունի մի քանի ԱԴԲՄՖ-ներ)</w:t>
            </w:r>
          </w:p>
        </w:tc>
        <w:tc>
          <w:tcPr>
            <w:tcW w:w="5575" w:type="dxa"/>
            <w:gridSpan w:val="2"/>
            <w:tcBorders>
              <w:top w:val="single" w:sz="4" w:space="0" w:color="auto"/>
              <w:left w:val="single" w:sz="4" w:space="0" w:color="auto"/>
              <w:right w:val="single" w:sz="4" w:space="0" w:color="auto"/>
            </w:tcBorders>
            <w:shd w:val="clear" w:color="auto" w:fill="FFFFFF"/>
          </w:tcPr>
          <w:p w14:paraId="2764FBF9"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2102EACC" w14:textId="77777777" w:rsidTr="008C76E0">
        <w:trPr>
          <w:jc w:val="center"/>
        </w:trPr>
        <w:tc>
          <w:tcPr>
            <w:tcW w:w="9958" w:type="dxa"/>
            <w:gridSpan w:val="5"/>
            <w:tcBorders>
              <w:top w:val="single" w:sz="4" w:space="0" w:color="auto"/>
            </w:tcBorders>
            <w:shd w:val="clear" w:color="auto" w:fill="FFFFFF"/>
          </w:tcPr>
          <w:p w14:paraId="2E9B907E"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0673B7F8" w14:textId="77777777" w:rsidTr="008C76E0">
        <w:trPr>
          <w:jc w:val="center"/>
        </w:trPr>
        <w:tc>
          <w:tcPr>
            <w:tcW w:w="4383" w:type="dxa"/>
            <w:gridSpan w:val="3"/>
            <w:tcBorders>
              <w:top w:val="single" w:sz="4" w:space="0" w:color="auto"/>
              <w:left w:val="single" w:sz="4" w:space="0" w:color="auto"/>
            </w:tcBorders>
            <w:shd w:val="clear" w:color="auto" w:fill="FFFFFF"/>
          </w:tcPr>
          <w:p w14:paraId="07F6505B"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ԱԴԲՄՖ-ի իրավատերը</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0F756809"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անվանումը}</w:t>
            </w:r>
          </w:p>
          <w:p w14:paraId="2624E4DB"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{ԱԴԲՄՖ-ի իրավատիրոջ լրիվ իրավաբանական հասցեն}</w:t>
            </w:r>
          </w:p>
          <w:p w14:paraId="706C7940" w14:textId="77777777" w:rsidR="008C76E0" w:rsidRPr="005B58E6" w:rsidRDefault="008C76E0" w:rsidP="008C76E0">
            <w:pPr>
              <w:pStyle w:val="Bodytext180"/>
              <w:shd w:val="clear" w:color="auto" w:fill="auto"/>
              <w:spacing w:before="0" w:after="120" w:line="240" w:lineRule="auto"/>
              <w:ind w:left="116" w:right="49" w:firstLine="0"/>
              <w:rPr>
                <w:rFonts w:ascii="Sylfaen" w:hAnsi="Sylfaen"/>
                <w:b w:val="0"/>
                <w:i/>
                <w:sz w:val="24"/>
                <w:szCs w:val="24"/>
              </w:rPr>
            </w:pPr>
            <w:r w:rsidRPr="005B58E6">
              <w:rPr>
                <w:rStyle w:val="Bodytext295pt"/>
                <w:rFonts w:ascii="Sylfaen" w:hAnsi="Sylfaen"/>
                <w:i/>
                <w:spacing w:val="0"/>
                <w:sz w:val="24"/>
                <w:szCs w:val="24"/>
              </w:rPr>
              <w:t>{երկիրը}</w:t>
            </w:r>
          </w:p>
          <w:p w14:paraId="0C748856"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6D9EF6E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292DFBED" w14:textId="77777777" w:rsidTr="008C76E0">
        <w:trPr>
          <w:jc w:val="center"/>
        </w:trPr>
        <w:tc>
          <w:tcPr>
            <w:tcW w:w="4383" w:type="dxa"/>
            <w:gridSpan w:val="3"/>
            <w:tcBorders>
              <w:top w:val="single" w:sz="4" w:space="0" w:color="auto"/>
              <w:left w:val="single" w:sz="4" w:space="0" w:color="auto"/>
            </w:tcBorders>
            <w:shd w:val="clear" w:color="auto" w:fill="FFFFFF"/>
          </w:tcPr>
          <w:p w14:paraId="20655EDE" w14:textId="77777777" w:rsidR="008C76E0" w:rsidRPr="008C76E0" w:rsidRDefault="008C76E0" w:rsidP="008C76E0">
            <w:pPr>
              <w:pStyle w:val="Bodytext180"/>
              <w:shd w:val="clear" w:color="auto" w:fill="auto"/>
              <w:spacing w:before="0" w:after="120" w:line="240" w:lineRule="auto"/>
              <w:ind w:left="120" w:right="147" w:firstLine="0"/>
              <w:rPr>
                <w:rFonts w:ascii="Sylfaen" w:hAnsi="Sylfaen"/>
                <w:b w:val="0"/>
                <w:sz w:val="24"/>
                <w:szCs w:val="24"/>
                <w:lang w:val="hy-AM"/>
              </w:rPr>
            </w:pPr>
            <w:r w:rsidRPr="00BD7577">
              <w:rPr>
                <w:rStyle w:val="Bodytext1811pt"/>
                <w:rFonts w:ascii="Sylfaen" w:hAnsi="Sylfaen"/>
                <w:sz w:val="24"/>
                <w:szCs w:val="24"/>
              </w:rPr>
              <w:t xml:space="preserve">Ակտիվ դեղագործական բաղադրամաս արտադրողը Արտադրական հարթակները (Դեղագործական բաղադրամասի արտադրության մեջ ներգրավված բոլոր ընկերությունները, այդ թվում՝ որակի հսկողության (ներարտադրական փորձարկումների) հարթակները, միջանկյալ արտադրանքներ արտադրողները, մանրացման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մանրէազերծման հարթակներն անհրաժեշտ է թվել առանձին սյունակներում):</w:t>
            </w:r>
          </w:p>
        </w:tc>
        <w:tc>
          <w:tcPr>
            <w:tcW w:w="5575" w:type="dxa"/>
            <w:gridSpan w:val="2"/>
            <w:tcBorders>
              <w:top w:val="single" w:sz="4" w:space="0" w:color="auto"/>
              <w:left w:val="single" w:sz="4" w:space="0" w:color="auto"/>
              <w:right w:val="single" w:sz="4" w:space="0" w:color="auto"/>
            </w:tcBorders>
            <w:shd w:val="clear" w:color="auto" w:fill="FFFFFF"/>
            <w:vAlign w:val="bottom"/>
          </w:tcPr>
          <w:p w14:paraId="6BF51FD8"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{արտադրական հարթակների հասցեները}</w:t>
            </w:r>
          </w:p>
          <w:p w14:paraId="35D3A05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{երկիրը}</w:t>
            </w:r>
          </w:p>
          <w:p w14:paraId="12BA5790"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{ՏՀՈւՀ-ի համարը}</w:t>
            </w:r>
          </w:p>
          <w:p w14:paraId="11BDE6C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Բոլոր հարթակների համար անհրաժեշտ է ներկայացնել տվյալների համարակալման ունիվերսալ համակարգ (ՏՀՈւՀ), եթե դրանք գրանցված են։ ՏՀՈւՀ-ը մշակվել է Dun &amp; Bradstreet-ի (D&amp;B) կողմից. այն մեկ տնտեսավարող սուբյեկտին տալիս է եզակի թվային նույնացուցիչ։ Այն օգտագործվում է Միության սահմաններից դուրս գտնվող արտադրական հարթակների նույնականացումն արագացնելու համար</w:t>
            </w:r>
          </w:p>
          <w:p w14:paraId="3D4A8A33" w14:textId="77777777" w:rsidR="008C76E0" w:rsidRPr="008C76E0" w:rsidRDefault="008C76E0" w:rsidP="008C76E0">
            <w:pPr>
              <w:pStyle w:val="Bodytext180"/>
              <w:shd w:val="clear" w:color="auto" w:fill="auto"/>
              <w:spacing w:before="0" w:after="120" w:line="240" w:lineRule="auto"/>
              <w:ind w:left="116" w:right="49" w:firstLine="0"/>
              <w:rPr>
                <w:rFonts w:ascii="Sylfaen" w:hAnsi="Sylfaen"/>
                <w:b w:val="0"/>
                <w:i/>
                <w:sz w:val="24"/>
                <w:szCs w:val="24"/>
                <w:lang w:val="hy-AM"/>
              </w:rPr>
            </w:pPr>
            <w:r w:rsidRPr="005B58E6">
              <w:rPr>
                <w:rStyle w:val="Bodytext295pt"/>
                <w:rFonts w:ascii="Sylfaen" w:hAnsi="Sylfaen"/>
                <w:i/>
                <w:spacing w:val="0"/>
                <w:sz w:val="24"/>
                <w:szCs w:val="24"/>
              </w:rPr>
              <w:t>{հարթակի GPS (WGS 84) կոորդինատները}</w:t>
            </w:r>
          </w:p>
          <w:p w14:paraId="6FA4ABAE" w14:textId="01DA75BE" w:rsidR="008C76E0" w:rsidRPr="008C76E0" w:rsidRDefault="008C76E0" w:rsidP="008C76E0">
            <w:pPr>
              <w:pStyle w:val="Bodytext180"/>
              <w:shd w:val="clear" w:color="auto" w:fill="auto"/>
              <w:spacing w:before="0" w:after="120" w:line="240" w:lineRule="auto"/>
              <w:ind w:left="116" w:right="49" w:firstLine="0"/>
              <w:rPr>
                <w:rFonts w:ascii="Sylfaen" w:hAnsi="Sylfaen"/>
                <w:b w:val="0"/>
                <w:sz w:val="24"/>
                <w:szCs w:val="24"/>
                <w:lang w:val="hy-AM"/>
              </w:rPr>
            </w:pPr>
            <w:r w:rsidRPr="00BD7577">
              <w:rPr>
                <w:rStyle w:val="Bodytext1811pt"/>
                <w:rFonts w:ascii="Sylfaen" w:hAnsi="Sylfaen"/>
                <w:sz w:val="24"/>
                <w:szCs w:val="24"/>
              </w:rPr>
              <w:t xml:space="preserve">Լայնությունը (Հ կամ Հ) ու երկայնությունը </w:t>
            </w:r>
            <w:r w:rsidRPr="00746E86">
              <w:rPr>
                <w:rStyle w:val="Bodytext1811pt"/>
                <w:rFonts w:ascii="Sylfaen" w:hAnsi="Sylfaen"/>
                <w:sz w:val="24"/>
                <w:szCs w:val="24"/>
              </w:rPr>
              <w:br/>
            </w:r>
            <w:r w:rsidRPr="00BD7577">
              <w:rPr>
                <w:rStyle w:val="Bodytext1811pt"/>
                <w:rFonts w:ascii="Sylfaen" w:hAnsi="Sylfaen"/>
                <w:sz w:val="24"/>
                <w:szCs w:val="24"/>
              </w:rPr>
              <w:lastRenderedPageBreak/>
              <w:t xml:space="preserve">(Ա կամ Ա) </w:t>
            </w:r>
            <w:r w:rsidR="0085119E">
              <w:rPr>
                <w:rStyle w:val="Bodytext1811pt"/>
                <w:rFonts w:ascii="Sylfaen" w:hAnsi="Sylfaen"/>
                <w:sz w:val="24"/>
                <w:szCs w:val="24"/>
              </w:rPr>
              <w:t>արտահայտվ</w:t>
            </w:r>
            <w:r w:rsidRPr="00BD7577">
              <w:rPr>
                <w:rStyle w:val="Bodytext1811pt"/>
                <w:rFonts w:ascii="Sylfaen" w:hAnsi="Sylfaen"/>
                <w:sz w:val="24"/>
                <w:szCs w:val="24"/>
              </w:rPr>
              <w:t>ում են աստիճաններով, րոպեներով, վայրկյաններով՝ ստորակետից հետո մինչ</w:t>
            </w:r>
            <w:r w:rsidR="00C54D75">
              <w:rPr>
                <w:rStyle w:val="Bodytext1811pt"/>
                <w:rFonts w:ascii="Sylfaen" w:hAnsi="Sylfaen"/>
                <w:sz w:val="24"/>
                <w:szCs w:val="24"/>
              </w:rPr>
              <w:t>և</w:t>
            </w:r>
            <w:r w:rsidRPr="00BD7577">
              <w:rPr>
                <w:rStyle w:val="Bodytext1811pt"/>
                <w:rFonts w:ascii="Sylfaen" w:hAnsi="Sylfaen"/>
                <w:sz w:val="24"/>
                <w:szCs w:val="24"/>
              </w:rPr>
              <w:t xml:space="preserve"> 1 նշանով (որպես այլընտրանք՝ այն թույլատրվում է նշել աստիճաններով՝ ստորակետից հետո առնվազն հինգ նշանով կամ աստիճաններով </w:t>
            </w:r>
            <w:r w:rsidR="00C54D75">
              <w:rPr>
                <w:rStyle w:val="Bodytext1811pt"/>
                <w:rFonts w:ascii="Sylfaen" w:hAnsi="Sylfaen"/>
                <w:sz w:val="24"/>
                <w:szCs w:val="24"/>
              </w:rPr>
              <w:t>և</w:t>
            </w:r>
            <w:r w:rsidRPr="00BD7577">
              <w:rPr>
                <w:rStyle w:val="Bodytext1811pt"/>
                <w:rFonts w:ascii="Sylfaen" w:hAnsi="Sylfaen"/>
                <w:sz w:val="24"/>
                <w:szCs w:val="24"/>
              </w:rPr>
              <w:t xml:space="preserve"> րոպեներով՝ ստորակետից հետո առնվազն երեք նշանով)։ Եթե գլխավոր մուտքը չէ, ապա հարկ է նշել տեղակայումը։</w:t>
            </w:r>
          </w:p>
          <w:p w14:paraId="1B5B144B" w14:textId="77777777" w:rsidR="008C76E0" w:rsidRPr="00BD7577" w:rsidRDefault="008C76E0" w:rsidP="008C76E0">
            <w:pPr>
              <w:pStyle w:val="Bodytext180"/>
              <w:shd w:val="clear" w:color="auto" w:fill="auto"/>
              <w:spacing w:before="0" w:after="120" w:line="240" w:lineRule="auto"/>
              <w:ind w:left="116" w:right="49" w:firstLine="0"/>
              <w:rPr>
                <w:rStyle w:val="Bodytext1811pt"/>
                <w:rFonts w:ascii="Sylfaen" w:hAnsi="Sylfaen"/>
                <w:sz w:val="24"/>
                <w:szCs w:val="24"/>
              </w:rPr>
            </w:pPr>
            <w:r w:rsidRPr="00BD7577">
              <w:rPr>
                <w:rStyle w:val="Bodytext1811pt"/>
                <w:rFonts w:ascii="Sylfaen" w:hAnsi="Sylfaen"/>
                <w:sz w:val="24"/>
                <w:szCs w:val="24"/>
              </w:rPr>
              <w:t xml:space="preserve">Կոնտակտային անձի Ա.Ա.Հ.-ն՝ հեռախոսահամարը՝ </w:t>
            </w:r>
          </w:p>
          <w:p w14:paraId="1026523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էլեկտրոնային փոստի հասցեն՝</w:t>
            </w:r>
          </w:p>
        </w:tc>
      </w:tr>
      <w:tr w:rsidR="008C76E0" w:rsidRPr="00BD7577" w14:paraId="340B3B1B" w14:textId="77777777" w:rsidTr="008C76E0">
        <w:trPr>
          <w:jc w:val="center"/>
        </w:trPr>
        <w:tc>
          <w:tcPr>
            <w:tcW w:w="9958" w:type="dxa"/>
            <w:gridSpan w:val="5"/>
            <w:tcBorders>
              <w:top w:val="single" w:sz="4" w:space="0" w:color="auto"/>
            </w:tcBorders>
            <w:shd w:val="clear" w:color="auto" w:fill="FFFFFF"/>
          </w:tcPr>
          <w:p w14:paraId="6426800C"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73876C6B" w14:textId="77777777" w:rsidTr="008C76E0">
        <w:trPr>
          <w:jc w:val="center"/>
        </w:trPr>
        <w:tc>
          <w:tcPr>
            <w:tcW w:w="2073" w:type="dxa"/>
            <w:tcBorders>
              <w:top w:val="single" w:sz="4" w:space="0" w:color="auto"/>
              <w:left w:val="single" w:sz="4" w:space="0" w:color="auto"/>
              <w:bottom w:val="single" w:sz="4" w:space="0" w:color="auto"/>
            </w:tcBorders>
            <w:shd w:val="clear" w:color="auto" w:fill="FFFFFF"/>
          </w:tcPr>
          <w:p w14:paraId="2DE7401E"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7885" w:type="dxa"/>
            <w:gridSpan w:val="4"/>
            <w:tcBorders>
              <w:top w:val="single" w:sz="4" w:space="0" w:color="auto"/>
              <w:bottom w:val="single" w:sz="4" w:space="0" w:color="auto"/>
              <w:right w:val="single" w:sz="4" w:space="0" w:color="auto"/>
            </w:tcBorders>
            <w:shd w:val="clear" w:color="auto" w:fill="FFFFFF"/>
            <w:vAlign w:val="bottom"/>
          </w:tcPr>
          <w:p w14:paraId="1B93996A"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փաստաթղթերի նոր ներկայացում</w:t>
            </w:r>
          </w:p>
          <w:p w14:paraId="08713B2C"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թարմացում</w:t>
            </w:r>
          </w:p>
          <w:p w14:paraId="7AF7BB48" w14:textId="61666011"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 xml:space="preserve">տվյալների ոչ բավարար լինելու վերաբերյալ ծանուցմանը տրված պատասխան (ինչպես </w:t>
            </w:r>
            <w:r w:rsidR="0056496B">
              <w:rPr>
                <w:rStyle w:val="Bodytext1811pt"/>
                <w:rFonts w:ascii="Sylfaen" w:hAnsi="Sylfaen"/>
                <w:sz w:val="24"/>
                <w:szCs w:val="24"/>
              </w:rPr>
              <w:t>դիմումատու</w:t>
            </w:r>
            <w:r w:rsidRPr="00BD7577">
              <w:rPr>
                <w:rStyle w:val="Bodytext1811pt"/>
                <w:rFonts w:ascii="Sylfaen" w:hAnsi="Sylfaen"/>
                <w:sz w:val="24"/>
                <w:szCs w:val="24"/>
              </w:rPr>
              <w:t>ի մասը, այնպես էլ փակ մասը, եթե կիրառելի է)</w:t>
            </w:r>
          </w:p>
          <w:p w14:paraId="0CD8B11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բացառապես վարչական փոփոխություններ (բոլոր դեպքերում արտադրական հարթակը չի փոխվում)</w:t>
            </w:r>
          </w:p>
          <w:p w14:paraId="700F9E64"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փոփոխություն</w:t>
            </w:r>
          </w:p>
          <w:p w14:paraId="223C6202"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ԱԴԲՄՖ-ի իրավատիրոջ անվանման (հասցեի) փոփոխություն</w:t>
            </w:r>
          </w:p>
          <w:p w14:paraId="0188ADFD" w14:textId="77777777" w:rsidR="008C76E0" w:rsidRPr="00BD7577" w:rsidRDefault="008C76E0" w:rsidP="008C76E0">
            <w:pPr>
              <w:pStyle w:val="Bodytext180"/>
              <w:shd w:val="clear" w:color="auto" w:fill="auto"/>
              <w:spacing w:before="0" w:after="120" w:line="240" w:lineRule="auto"/>
              <w:ind w:left="771"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դեղագործական բաղադրամասն արտադրողի անվանման (հասցեի) փոփոխություն</w:t>
            </w:r>
          </w:p>
        </w:tc>
      </w:tr>
      <w:tr w:rsidR="008C76E0" w:rsidRPr="00BD7577" w14:paraId="0B800380" w14:textId="77777777" w:rsidTr="008C76E0">
        <w:trPr>
          <w:jc w:val="center"/>
        </w:trPr>
        <w:tc>
          <w:tcPr>
            <w:tcW w:w="4533" w:type="dxa"/>
            <w:gridSpan w:val="4"/>
            <w:tcBorders>
              <w:top w:val="single" w:sz="4" w:space="0" w:color="auto"/>
              <w:left w:val="single" w:sz="4" w:space="0" w:color="auto"/>
            </w:tcBorders>
            <w:shd w:val="clear" w:color="auto" w:fill="FFFFFF"/>
          </w:tcPr>
          <w:p w14:paraId="2D5736D7"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Փաստաթղթեր ներկայացնելու տեսակը</w:t>
            </w:r>
          </w:p>
        </w:tc>
        <w:tc>
          <w:tcPr>
            <w:tcW w:w="5425" w:type="dxa"/>
            <w:tcBorders>
              <w:top w:val="single" w:sz="4" w:space="0" w:color="auto"/>
              <w:left w:val="single" w:sz="4" w:space="0" w:color="auto"/>
              <w:right w:val="single" w:sz="4" w:space="0" w:color="auto"/>
            </w:tcBorders>
            <w:shd w:val="clear" w:color="auto" w:fill="FFFFFF"/>
            <w:vAlign w:val="bottom"/>
          </w:tcPr>
          <w:p w14:paraId="05DF9FC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փաստաթղթերը թղթային տարբերակով ներկայացնելը</w:t>
            </w:r>
          </w:p>
          <w:p w14:paraId="6F00C48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Fonts w:ascii="Sylfaen" w:hAnsi="Sylfaen"/>
                <w:b w:val="0"/>
                <w:sz w:val="24"/>
                <w:szCs w:val="24"/>
              </w:rPr>
              <w:t xml:space="preserve">□ </w:t>
            </w:r>
            <w:r w:rsidRPr="00BD7577">
              <w:rPr>
                <w:rStyle w:val="Bodytext1811pt"/>
                <w:rFonts w:ascii="Sylfaen" w:hAnsi="Sylfaen"/>
                <w:sz w:val="24"/>
                <w:szCs w:val="24"/>
              </w:rPr>
              <w:t>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 (էլեկտրոնային ձ</w:t>
            </w:r>
            <w:r w:rsidR="00C54D75">
              <w:rPr>
                <w:rStyle w:val="Bodytext1811pt"/>
                <w:rFonts w:ascii="Sylfaen" w:hAnsi="Sylfaen"/>
                <w:sz w:val="24"/>
                <w:szCs w:val="24"/>
              </w:rPr>
              <w:t>և</w:t>
            </w:r>
            <w:r w:rsidRPr="00BD7577">
              <w:rPr>
                <w:rStyle w:val="Bodytext1811pt"/>
                <w:rFonts w:ascii="Sylfaen" w:hAnsi="Sylfaen"/>
                <w:sz w:val="24"/>
                <w:szCs w:val="24"/>
              </w:rPr>
              <w:t>աչափով ներկայացնելու դեպքում թղթային տարբերակներ չեն ընդունվում)</w:t>
            </w:r>
          </w:p>
        </w:tc>
      </w:tr>
      <w:tr w:rsidR="008C76E0" w:rsidRPr="00BD7577" w14:paraId="7321862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49130F9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c>
          <w:tcPr>
            <w:tcW w:w="5425" w:type="dxa"/>
            <w:tcBorders>
              <w:top w:val="single" w:sz="4" w:space="0" w:color="auto"/>
              <w:left w:val="single" w:sz="4" w:space="0" w:color="auto"/>
              <w:right w:val="single" w:sz="4" w:space="0" w:color="auto"/>
            </w:tcBorders>
            <w:shd w:val="clear" w:color="auto" w:fill="FFFFFF"/>
            <w:vAlign w:val="bottom"/>
          </w:tcPr>
          <w:p w14:paraId="7B4A796F"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թղթային տարբերակի հատորների թիվը</w:t>
            </w:r>
          </w:p>
        </w:tc>
      </w:tr>
      <w:tr w:rsidR="008C76E0" w:rsidRPr="00BD7577" w14:paraId="7D9C43F4" w14:textId="77777777" w:rsidTr="008C76E0">
        <w:trPr>
          <w:jc w:val="center"/>
        </w:trPr>
        <w:tc>
          <w:tcPr>
            <w:tcW w:w="4533" w:type="dxa"/>
            <w:gridSpan w:val="4"/>
            <w:tcBorders>
              <w:top w:val="single" w:sz="4" w:space="0" w:color="auto"/>
              <w:left w:val="single" w:sz="4" w:space="0" w:color="auto"/>
            </w:tcBorders>
            <w:shd w:val="clear" w:color="auto" w:fill="FFFFFF"/>
            <w:vAlign w:val="bottom"/>
          </w:tcPr>
          <w:p w14:paraId="682405CB"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c>
          <w:tcPr>
            <w:tcW w:w="5425" w:type="dxa"/>
            <w:tcBorders>
              <w:top w:val="single" w:sz="4" w:space="0" w:color="auto"/>
              <w:left w:val="single" w:sz="4" w:space="0" w:color="auto"/>
              <w:right w:val="single" w:sz="4" w:space="0" w:color="auto"/>
            </w:tcBorders>
            <w:shd w:val="clear" w:color="auto" w:fill="FFFFFF"/>
            <w:vAlign w:val="bottom"/>
          </w:tcPr>
          <w:p w14:paraId="48FF1A2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{Համարը}</w:t>
            </w:r>
          </w:p>
        </w:tc>
      </w:tr>
      <w:tr w:rsidR="008C76E0" w:rsidRPr="00BD7577" w14:paraId="50BEE656" w14:textId="77777777" w:rsidTr="008C76E0">
        <w:trPr>
          <w:jc w:val="center"/>
        </w:trPr>
        <w:tc>
          <w:tcPr>
            <w:tcW w:w="9958" w:type="dxa"/>
            <w:gridSpan w:val="5"/>
            <w:tcBorders>
              <w:top w:val="single" w:sz="4" w:space="0" w:color="auto"/>
            </w:tcBorders>
            <w:shd w:val="clear" w:color="auto" w:fill="FFFFFF"/>
          </w:tcPr>
          <w:p w14:paraId="6EE7E166" w14:textId="77777777" w:rsidR="008C76E0" w:rsidRPr="00BD7577" w:rsidRDefault="008C76E0" w:rsidP="008C76E0">
            <w:pPr>
              <w:spacing w:after="120" w:line="240" w:lineRule="auto"/>
              <w:ind w:left="116" w:right="49"/>
              <w:rPr>
                <w:rFonts w:ascii="Sylfaen" w:hAnsi="Sylfaen"/>
                <w:sz w:val="24"/>
                <w:szCs w:val="24"/>
              </w:rPr>
            </w:pPr>
          </w:p>
        </w:tc>
      </w:tr>
      <w:tr w:rsidR="008C76E0" w:rsidRPr="00BD7577" w14:paraId="3D29F4BE" w14:textId="77777777" w:rsidTr="008C76E0">
        <w:trPr>
          <w:jc w:val="center"/>
        </w:trPr>
        <w:tc>
          <w:tcPr>
            <w:tcW w:w="2414" w:type="dxa"/>
            <w:gridSpan w:val="2"/>
            <w:tcBorders>
              <w:top w:val="single" w:sz="4" w:space="0" w:color="auto"/>
              <w:left w:val="single" w:sz="4" w:space="0" w:color="auto"/>
              <w:bottom w:val="single" w:sz="4" w:space="0" w:color="auto"/>
            </w:tcBorders>
            <w:shd w:val="clear" w:color="auto" w:fill="FFFFFF"/>
          </w:tcPr>
          <w:p w14:paraId="46975AD1" w14:textId="77777777" w:rsidR="008C76E0" w:rsidRPr="00BD7577" w:rsidRDefault="008C76E0" w:rsidP="008C76E0">
            <w:pPr>
              <w:pStyle w:val="Bodytext180"/>
              <w:shd w:val="clear" w:color="auto" w:fill="auto"/>
              <w:spacing w:before="0" w:after="120" w:line="240" w:lineRule="auto"/>
              <w:ind w:left="120" w:right="147" w:firstLine="0"/>
              <w:rPr>
                <w:rFonts w:ascii="Sylfaen" w:hAnsi="Sylfaen"/>
                <w:b w:val="0"/>
                <w:sz w:val="24"/>
                <w:szCs w:val="24"/>
              </w:rPr>
            </w:pPr>
            <w:r w:rsidRPr="00BD7577">
              <w:rPr>
                <w:rStyle w:val="Bodytext1811pt"/>
                <w:rFonts w:ascii="Sylfaen" w:hAnsi="Sylfaen"/>
                <w:sz w:val="24"/>
                <w:szCs w:val="24"/>
              </w:rPr>
              <w:t>Ներկայացված փաստաթղթերը</w:t>
            </w:r>
          </w:p>
        </w:tc>
        <w:tc>
          <w:tcPr>
            <w:tcW w:w="7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83DB25"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հասանելիության թույլտվությունը (սույն հավելվածի թիվ 2 լրացմանը համապատասխան)</w:t>
            </w:r>
          </w:p>
          <w:p w14:paraId="587ADE6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փորձագետի ռեզյումեի պատճենը</w:t>
            </w:r>
          </w:p>
          <w:p w14:paraId="7CB2E596"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որակի ընդհանուր ռեզյումեն</w:t>
            </w:r>
          </w:p>
          <w:p w14:paraId="761EB954"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lastRenderedPageBreak/>
              <w:t>փոփոխությունների աղյուսակը (ԱԴԲՄՖ-ի՝ Միության միասնական ռեեստրում կատարված թարմացումը ներկայացնելիս)</w:t>
            </w:r>
          </w:p>
          <w:p w14:paraId="13B8C5E0"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ակտիվ դեղագործական բաղադրամասի վերաբերյալ ԱԴԲՄՖ-ի իրավատիրոջ կողմից առաջարկվող մասնագրի պատճենը</w:t>
            </w:r>
          </w:p>
          <w:p w14:paraId="328BEDAE" w14:textId="77777777" w:rsidR="008C76E0" w:rsidRPr="00BD7577" w:rsidRDefault="008C76E0" w:rsidP="008C76E0">
            <w:pPr>
              <w:pStyle w:val="Bodytext180"/>
              <w:shd w:val="clear" w:color="auto" w:fill="auto"/>
              <w:spacing w:before="0" w:after="120" w:line="240" w:lineRule="auto"/>
              <w:ind w:left="116" w:right="49" w:firstLine="0"/>
              <w:rPr>
                <w:rFonts w:ascii="Sylfaen" w:hAnsi="Sylfaen"/>
                <w:b w:val="0"/>
                <w:sz w:val="24"/>
                <w:szCs w:val="24"/>
              </w:rPr>
            </w:pPr>
            <w:r w:rsidRPr="00BD7577">
              <w:rPr>
                <w:rStyle w:val="Bodytext1811pt"/>
                <w:rFonts w:ascii="Sylfaen" w:hAnsi="Sylfaen"/>
                <w:sz w:val="24"/>
                <w:szCs w:val="24"/>
              </w:rPr>
              <w:t>ԱԴԲՄՖ-ում տվյալների ոչ բավարար լինելու վերաբերյալ անդամ պետության լիազորված մարմնի կողմից ուղարկված ծանուցագրի պատճենը (միայն պատասխան փաստաթղթեր ներկայացնելիս)</w:t>
            </w:r>
          </w:p>
        </w:tc>
      </w:tr>
    </w:tbl>
    <w:p w14:paraId="0D9EF046" w14:textId="77777777" w:rsidR="008C76E0" w:rsidRPr="00BD7577" w:rsidRDefault="008C76E0" w:rsidP="008C76E0">
      <w:pPr>
        <w:ind w:right="-1"/>
        <w:jc w:val="both"/>
        <w:rPr>
          <w:rFonts w:ascii="Sylfaen" w:hAnsi="Sylfaen"/>
          <w:sz w:val="24"/>
          <w:szCs w:val="24"/>
        </w:rPr>
      </w:pPr>
    </w:p>
    <w:p w14:paraId="25745957"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t>ԱԴԲՄՖ-ի տարատեսակ տարբերակների միջ</w:t>
      </w:r>
      <w:r w:rsidR="00C54D75">
        <w:rPr>
          <w:rFonts w:ascii="Sylfaen" w:hAnsi="Sylfaen"/>
          <w:sz w:val="24"/>
          <w:szCs w:val="24"/>
        </w:rPr>
        <w:t>և</w:t>
      </w:r>
      <w:r w:rsidRPr="00BD7577">
        <w:rPr>
          <w:rFonts w:ascii="Sylfaen" w:hAnsi="Sylfaen"/>
          <w:sz w:val="24"/>
          <w:szCs w:val="24"/>
        </w:rPr>
        <w:t xml:space="preserve"> </w:t>
      </w:r>
      <w:r w:rsidRPr="00BA15D2">
        <w:rPr>
          <w:rFonts w:ascii="Sylfaen" w:hAnsi="Sylfaen"/>
          <w:sz w:val="24"/>
          <w:szCs w:val="24"/>
        </w:rPr>
        <w:br/>
      </w:r>
      <w:r w:rsidRPr="00BD7577">
        <w:rPr>
          <w:rFonts w:ascii="Sylfaen" w:hAnsi="Sylfaen"/>
          <w:sz w:val="24"/>
          <w:szCs w:val="24"/>
        </w:rPr>
        <w:t>փոփոխությունների աղյուսակը</w:t>
      </w:r>
    </w:p>
    <w:p w14:paraId="7B942303"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Տվյալ բաժինը լրացվում է միայն նախկինում ներկայացված ԱԴԲՄՖ-ն թարմացնելու դեպքում։</w:t>
      </w:r>
    </w:p>
    <w:p w14:paraId="7D102412"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Փոփոխությունների աղյուսակը հարկ է ներառել որպես հիմնական ուղեգիր-նամակին կից առանձին փաստաթուղթ։ ԱԴԲՄՖ-ի իրավատերը պետք է օգտագործի աղյուսակների հետ</w:t>
      </w:r>
      <w:r w:rsidR="00C54D75">
        <w:rPr>
          <w:rFonts w:ascii="Sylfaen" w:hAnsi="Sylfaen"/>
          <w:sz w:val="24"/>
          <w:szCs w:val="24"/>
        </w:rPr>
        <w:t>և</w:t>
      </w:r>
      <w:r w:rsidRPr="00BD7577">
        <w:rPr>
          <w:rFonts w:ascii="Sylfaen" w:hAnsi="Sylfaen"/>
          <w:sz w:val="24"/>
          <w:szCs w:val="24"/>
        </w:rPr>
        <w:t>յալ օրինակելի ձ</w:t>
      </w:r>
      <w:r w:rsidR="00C54D75">
        <w:rPr>
          <w:rFonts w:ascii="Sylfaen" w:hAnsi="Sylfaen"/>
          <w:sz w:val="24"/>
          <w:szCs w:val="24"/>
        </w:rPr>
        <w:t>և</w:t>
      </w:r>
      <w:r w:rsidRPr="00BD7577">
        <w:rPr>
          <w:rFonts w:ascii="Sylfaen" w:hAnsi="Sylfaen"/>
          <w:sz w:val="24"/>
          <w:szCs w:val="24"/>
        </w:rPr>
        <w:t>անմուշները։ Եթե</w:t>
      </w:r>
      <w:r w:rsidRPr="00BA15D2">
        <w:rPr>
          <w:rFonts w:ascii="Sylfaen" w:hAnsi="Sylfaen"/>
          <w:sz w:val="24"/>
          <w:szCs w:val="24"/>
        </w:rPr>
        <w:t> </w:t>
      </w:r>
      <w:r w:rsidRPr="00BD7577">
        <w:rPr>
          <w:rFonts w:ascii="Sylfaen" w:hAnsi="Sylfaen"/>
          <w:sz w:val="24"/>
          <w:szCs w:val="24"/>
        </w:rPr>
        <w:t>փոփոխությունները նախկինում հավանության են արժանացել անդամ պետության այլ լիազորված մարմնի կողմից, ապա ԱԴԲՄՖ-ի իրավատերը պետք է աղյուսակը ծանոթագրի ընթացակարգի համարով։</w:t>
      </w:r>
    </w:p>
    <w:p w14:paraId="6F44BBA6" w14:textId="77777777" w:rsidR="008C76E0" w:rsidRPr="00BD7577" w:rsidRDefault="008C76E0" w:rsidP="00207FF6">
      <w:pPr>
        <w:spacing w:after="160" w:line="360" w:lineRule="auto"/>
        <w:ind w:right="-1" w:firstLine="567"/>
        <w:jc w:val="both"/>
        <w:rPr>
          <w:rFonts w:ascii="Sylfaen" w:hAnsi="Sylfaen"/>
          <w:sz w:val="24"/>
          <w:szCs w:val="24"/>
        </w:rPr>
      </w:pPr>
      <w:r w:rsidRPr="00BD7577">
        <w:rPr>
          <w:rFonts w:ascii="Sylfaen" w:hAnsi="Sylfaen"/>
          <w:sz w:val="24"/>
          <w:szCs w:val="24"/>
        </w:rPr>
        <w:t>Փոփոխությունների աղյուսակի օրինակելի ձ</w:t>
      </w:r>
      <w:r w:rsidR="00C54D75">
        <w:rPr>
          <w:rFonts w:ascii="Sylfaen" w:hAnsi="Sylfaen"/>
          <w:sz w:val="24"/>
          <w:szCs w:val="24"/>
        </w:rPr>
        <w:t>և</w:t>
      </w:r>
      <w:r w:rsidRPr="00BD7577">
        <w:rPr>
          <w:rFonts w:ascii="Sylfaen" w:hAnsi="Sylfaen"/>
          <w:sz w:val="24"/>
          <w:szCs w:val="24"/>
        </w:rPr>
        <w:t>աչափ</w:t>
      </w:r>
    </w:p>
    <w:tbl>
      <w:tblPr>
        <w:tblOverlap w:val="never"/>
        <w:tblW w:w="9915" w:type="dxa"/>
        <w:jc w:val="center"/>
        <w:tblLayout w:type="fixed"/>
        <w:tblCellMar>
          <w:left w:w="10" w:type="dxa"/>
          <w:right w:w="10" w:type="dxa"/>
        </w:tblCellMar>
        <w:tblLook w:val="04A0" w:firstRow="1" w:lastRow="0" w:firstColumn="1" w:lastColumn="0" w:noHBand="0" w:noVBand="1"/>
      </w:tblPr>
      <w:tblGrid>
        <w:gridCol w:w="1742"/>
        <w:gridCol w:w="4075"/>
        <w:gridCol w:w="4098"/>
      </w:tblGrid>
      <w:tr w:rsidR="008C76E0" w:rsidRPr="00BD7577" w14:paraId="369E862F" w14:textId="77777777" w:rsidTr="008C76E0">
        <w:trPr>
          <w:jc w:val="center"/>
        </w:trPr>
        <w:tc>
          <w:tcPr>
            <w:tcW w:w="9915" w:type="dxa"/>
            <w:gridSpan w:val="3"/>
            <w:tcBorders>
              <w:top w:val="single" w:sz="4" w:space="0" w:color="auto"/>
              <w:left w:val="single" w:sz="4" w:space="0" w:color="auto"/>
              <w:right w:val="single" w:sz="4" w:space="0" w:color="auto"/>
            </w:tcBorders>
            <w:shd w:val="clear" w:color="auto" w:fill="FFFFFF"/>
            <w:vAlign w:val="bottom"/>
          </w:tcPr>
          <w:p w14:paraId="3ADFCBE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ՓՈՓՈԽՈՒԹՅՈՒՆՆԵՐԻ ԱՂՅՈՒՍԱԿ</w:t>
            </w:r>
          </w:p>
        </w:tc>
      </w:tr>
      <w:tr w:rsidR="008C76E0" w:rsidRPr="00BD7577" w14:paraId="3AC5B416" w14:textId="77777777" w:rsidTr="008C76E0">
        <w:trPr>
          <w:jc w:val="center"/>
        </w:trPr>
        <w:tc>
          <w:tcPr>
            <w:tcW w:w="1742" w:type="dxa"/>
            <w:tcBorders>
              <w:top w:val="single" w:sz="4" w:space="0" w:color="auto"/>
              <w:left w:val="single" w:sz="4" w:space="0" w:color="auto"/>
            </w:tcBorders>
            <w:shd w:val="clear" w:color="auto" w:fill="FFFFFF"/>
          </w:tcPr>
          <w:p w14:paraId="7A8E790F"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46C7394C"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ԱՅԺՄ</w:t>
            </w:r>
          </w:p>
        </w:tc>
        <w:tc>
          <w:tcPr>
            <w:tcW w:w="4098" w:type="dxa"/>
            <w:tcBorders>
              <w:top w:val="single" w:sz="4" w:space="0" w:color="auto"/>
              <w:left w:val="single" w:sz="4" w:space="0" w:color="auto"/>
              <w:right w:val="single" w:sz="4" w:space="0" w:color="auto"/>
            </w:tcBorders>
            <w:shd w:val="clear" w:color="auto" w:fill="FFFFFF"/>
            <w:vAlign w:val="bottom"/>
          </w:tcPr>
          <w:p w14:paraId="63EDF4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ԱՌԱՋԱՐԿՎՈՒՄ Է</w:t>
            </w:r>
          </w:p>
        </w:tc>
      </w:tr>
      <w:tr w:rsidR="008C76E0" w:rsidRPr="00BD7577" w14:paraId="763EA909" w14:textId="77777777" w:rsidTr="008C76E0">
        <w:trPr>
          <w:jc w:val="center"/>
        </w:trPr>
        <w:tc>
          <w:tcPr>
            <w:tcW w:w="1742" w:type="dxa"/>
            <w:tcBorders>
              <w:top w:val="single" w:sz="4" w:space="0" w:color="auto"/>
              <w:left w:val="single" w:sz="4" w:space="0" w:color="auto"/>
            </w:tcBorders>
            <w:shd w:val="clear" w:color="auto" w:fill="FFFFFF"/>
          </w:tcPr>
          <w:p w14:paraId="4D9A9153"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tcBorders>
            <w:shd w:val="clear" w:color="auto" w:fill="FFFFFF"/>
            <w:vAlign w:val="bottom"/>
          </w:tcPr>
          <w:p w14:paraId="3DC5F51E"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c>
          <w:tcPr>
            <w:tcW w:w="4098" w:type="dxa"/>
            <w:tcBorders>
              <w:top w:val="single" w:sz="4" w:space="0" w:color="auto"/>
              <w:left w:val="single" w:sz="4" w:space="0" w:color="auto"/>
              <w:right w:val="single" w:sz="4" w:space="0" w:color="auto"/>
            </w:tcBorders>
            <w:shd w:val="clear" w:color="auto" w:fill="FFFFFF"/>
            <w:vAlign w:val="bottom"/>
          </w:tcPr>
          <w:p w14:paraId="6E59632D"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ԱԴԲՄՖ-ի իրավատիրոջ ՓՄ-ի </w:t>
            </w:r>
            <w:r w:rsidR="00C54D75">
              <w:rPr>
                <w:rStyle w:val="Bodytext1811pt"/>
                <w:rFonts w:ascii="Sylfaen" w:hAnsi="Sylfaen"/>
                <w:sz w:val="24"/>
                <w:szCs w:val="24"/>
              </w:rPr>
              <w:t>և</w:t>
            </w:r>
            <w:r w:rsidRPr="00BD7577">
              <w:rPr>
                <w:rStyle w:val="Bodytext1811pt"/>
                <w:rFonts w:ascii="Sylfaen" w:hAnsi="Sylfaen"/>
                <w:sz w:val="24"/>
                <w:szCs w:val="24"/>
              </w:rPr>
              <w:t xml:space="preserve"> (կամ) ՀՄ-ի տարբերակի համարը [տարբերակի համարը]/ամսաթիվը (օր-ամիս-տարի)</w:t>
            </w:r>
          </w:p>
        </w:tc>
      </w:tr>
      <w:tr w:rsidR="008C76E0" w:rsidRPr="00BD7577" w14:paraId="300C2D15" w14:textId="77777777" w:rsidTr="008C76E0">
        <w:trPr>
          <w:jc w:val="center"/>
        </w:trPr>
        <w:tc>
          <w:tcPr>
            <w:tcW w:w="1742" w:type="dxa"/>
            <w:tcBorders>
              <w:top w:val="single" w:sz="4" w:space="0" w:color="auto"/>
              <w:left w:val="single" w:sz="4" w:space="0" w:color="auto"/>
            </w:tcBorders>
            <w:shd w:val="clear" w:color="auto" w:fill="FFFFFF"/>
            <w:vAlign w:val="bottom"/>
          </w:tcPr>
          <w:p w14:paraId="5CE7A97E"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ԸՏՓ-ի բաժինը</w:t>
            </w:r>
          </w:p>
        </w:tc>
        <w:tc>
          <w:tcPr>
            <w:tcW w:w="4075" w:type="dxa"/>
            <w:tcBorders>
              <w:top w:val="single" w:sz="4" w:space="0" w:color="auto"/>
              <w:left w:val="single" w:sz="4" w:space="0" w:color="auto"/>
            </w:tcBorders>
            <w:shd w:val="clear" w:color="auto" w:fill="FFFFFF"/>
            <w:vAlign w:val="bottom"/>
          </w:tcPr>
          <w:p w14:paraId="3E5E1DEA"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Ընթացիկ իրավիճակը</w:t>
            </w:r>
          </w:p>
        </w:tc>
        <w:tc>
          <w:tcPr>
            <w:tcW w:w="4098" w:type="dxa"/>
            <w:tcBorders>
              <w:top w:val="single" w:sz="4" w:space="0" w:color="auto"/>
              <w:left w:val="single" w:sz="4" w:space="0" w:color="auto"/>
              <w:right w:val="single" w:sz="4" w:space="0" w:color="auto"/>
            </w:tcBorders>
            <w:shd w:val="clear" w:color="auto" w:fill="FFFFFF"/>
            <w:vAlign w:val="bottom"/>
          </w:tcPr>
          <w:p w14:paraId="3BAE7D5D"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Փոփոխության նկարագրությունը</w:t>
            </w:r>
          </w:p>
        </w:tc>
      </w:tr>
      <w:tr w:rsidR="008C76E0" w:rsidRPr="00BD7577" w14:paraId="7C29C204" w14:textId="77777777" w:rsidTr="008C76E0">
        <w:trPr>
          <w:jc w:val="center"/>
        </w:trPr>
        <w:tc>
          <w:tcPr>
            <w:tcW w:w="1742" w:type="dxa"/>
            <w:tcBorders>
              <w:top w:val="single" w:sz="4" w:space="0" w:color="auto"/>
              <w:left w:val="single" w:sz="4" w:space="0" w:color="auto"/>
              <w:bottom w:val="single" w:sz="4" w:space="0" w:color="auto"/>
            </w:tcBorders>
            <w:shd w:val="clear" w:color="auto" w:fill="FFFFFF"/>
          </w:tcPr>
          <w:p w14:paraId="5E2A3F5E" w14:textId="77777777" w:rsidR="008C76E0" w:rsidRPr="00BD7577" w:rsidRDefault="008C76E0" w:rsidP="008C76E0">
            <w:pPr>
              <w:spacing w:after="120" w:line="240" w:lineRule="auto"/>
              <w:jc w:val="center"/>
              <w:rPr>
                <w:rFonts w:ascii="Sylfaen" w:hAnsi="Sylfaen"/>
                <w:sz w:val="24"/>
                <w:szCs w:val="24"/>
              </w:rPr>
            </w:pPr>
          </w:p>
        </w:tc>
        <w:tc>
          <w:tcPr>
            <w:tcW w:w="4075" w:type="dxa"/>
            <w:tcBorders>
              <w:top w:val="single" w:sz="4" w:space="0" w:color="auto"/>
              <w:left w:val="single" w:sz="4" w:space="0" w:color="auto"/>
              <w:bottom w:val="single" w:sz="4" w:space="0" w:color="auto"/>
            </w:tcBorders>
            <w:shd w:val="clear" w:color="auto" w:fill="FFFFFF"/>
          </w:tcPr>
          <w:p w14:paraId="15CDD098" w14:textId="77777777" w:rsidR="008C76E0" w:rsidRPr="00BD7577" w:rsidRDefault="008C76E0" w:rsidP="008C76E0">
            <w:pPr>
              <w:spacing w:after="120" w:line="240" w:lineRule="auto"/>
              <w:jc w:val="center"/>
              <w:rPr>
                <w:rFonts w:ascii="Sylfaen" w:hAnsi="Sylfaen"/>
                <w:sz w:val="24"/>
                <w:szCs w:val="24"/>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3C809B9" w14:textId="77777777" w:rsidR="008C76E0" w:rsidRPr="00BD7577" w:rsidRDefault="008C76E0" w:rsidP="008C76E0">
            <w:pPr>
              <w:spacing w:after="120" w:line="240" w:lineRule="auto"/>
              <w:jc w:val="center"/>
              <w:rPr>
                <w:rFonts w:ascii="Sylfaen" w:hAnsi="Sylfaen"/>
                <w:sz w:val="24"/>
                <w:szCs w:val="24"/>
              </w:rPr>
            </w:pPr>
          </w:p>
        </w:tc>
      </w:tr>
    </w:tbl>
    <w:p w14:paraId="6904FC0D" w14:textId="77777777" w:rsidR="00207FF6" w:rsidRDefault="00207FF6" w:rsidP="008C76E0">
      <w:pPr>
        <w:ind w:left="567" w:right="566"/>
        <w:jc w:val="center"/>
        <w:rPr>
          <w:rFonts w:ascii="Sylfaen" w:hAnsi="Sylfaen"/>
          <w:sz w:val="24"/>
          <w:szCs w:val="24"/>
          <w:lang w:val="en-US"/>
        </w:rPr>
      </w:pPr>
    </w:p>
    <w:p w14:paraId="7F466E70" w14:textId="77777777" w:rsidR="00207FF6" w:rsidRDefault="00207FF6">
      <w:pPr>
        <w:widowControl/>
        <w:rPr>
          <w:rFonts w:ascii="Sylfaen" w:hAnsi="Sylfaen"/>
          <w:sz w:val="24"/>
          <w:szCs w:val="24"/>
          <w:lang w:val="en-US"/>
        </w:rPr>
      </w:pPr>
      <w:r>
        <w:rPr>
          <w:rFonts w:ascii="Sylfaen" w:hAnsi="Sylfaen"/>
          <w:sz w:val="24"/>
          <w:szCs w:val="24"/>
          <w:lang w:val="en-US"/>
        </w:rPr>
        <w:br w:type="page"/>
      </w:r>
    </w:p>
    <w:p w14:paraId="4C07B839" w14:textId="77777777" w:rsidR="008C76E0" w:rsidRPr="00BD7577" w:rsidRDefault="008C76E0" w:rsidP="00207FF6">
      <w:pPr>
        <w:spacing w:after="160" w:line="360" w:lineRule="auto"/>
        <w:ind w:left="567" w:right="566"/>
        <w:jc w:val="center"/>
        <w:rPr>
          <w:rFonts w:ascii="Sylfaen" w:hAnsi="Sylfaen"/>
          <w:sz w:val="24"/>
          <w:szCs w:val="24"/>
        </w:rPr>
      </w:pPr>
      <w:r w:rsidRPr="00BD7577">
        <w:rPr>
          <w:rFonts w:ascii="Sylfaen" w:hAnsi="Sylfaen"/>
          <w:sz w:val="24"/>
          <w:szCs w:val="24"/>
        </w:rPr>
        <w:lastRenderedPageBreak/>
        <w:t>Վարչական տեղեկություններ՝ այլ գրանցման դոսյեների վերաբերյալ</w:t>
      </w:r>
      <w:r w:rsidRPr="00626427">
        <w:rPr>
          <w:rFonts w:ascii="Sylfaen" w:hAnsi="Sylfaen"/>
          <w:sz w:val="24"/>
          <w:szCs w:val="24"/>
        </w:rPr>
        <w:t xml:space="preserve"> </w:t>
      </w:r>
      <w:r w:rsidRPr="00BD7577">
        <w:rPr>
          <w:rFonts w:ascii="Sylfaen" w:hAnsi="Sylfaen"/>
          <w:sz w:val="24"/>
          <w:szCs w:val="24"/>
        </w:rPr>
        <w:t xml:space="preserve">Նույն ԱԴԲՄՖ-ին հղում կատարող գրանցման այլ դոսյեներ </w:t>
      </w:r>
      <w:r w:rsidRPr="00BD7577">
        <w:rPr>
          <w:rFonts w:ascii="Sylfaen" w:hAnsi="Sylfaen"/>
          <w:sz w:val="24"/>
          <w:szCs w:val="24"/>
        </w:rPr>
        <w:br/>
        <w:t>(անկախ դրանց կարգավիճակից)</w:t>
      </w:r>
    </w:p>
    <w:tbl>
      <w:tblPr>
        <w:tblOverlap w:val="never"/>
        <w:tblW w:w="9498" w:type="dxa"/>
        <w:jc w:val="center"/>
        <w:tblLayout w:type="fixed"/>
        <w:tblCellMar>
          <w:left w:w="10" w:type="dxa"/>
          <w:right w:w="10" w:type="dxa"/>
        </w:tblCellMar>
        <w:tblLook w:val="04A0" w:firstRow="1" w:lastRow="0" w:firstColumn="1" w:lastColumn="0" w:noHBand="0" w:noVBand="1"/>
      </w:tblPr>
      <w:tblGrid>
        <w:gridCol w:w="8213"/>
        <w:gridCol w:w="1285"/>
      </w:tblGrid>
      <w:tr w:rsidR="008C76E0" w:rsidRPr="00BD7577" w14:paraId="1C6707CA" w14:textId="77777777" w:rsidTr="008C76E0">
        <w:trPr>
          <w:jc w:val="center"/>
        </w:trPr>
        <w:tc>
          <w:tcPr>
            <w:tcW w:w="8213" w:type="dxa"/>
            <w:vMerge w:val="restart"/>
            <w:tcBorders>
              <w:top w:val="single" w:sz="4" w:space="0" w:color="auto"/>
              <w:left w:val="single" w:sz="4" w:space="0" w:color="auto"/>
            </w:tcBorders>
            <w:shd w:val="clear" w:color="auto" w:fill="FFFFFF"/>
          </w:tcPr>
          <w:p w14:paraId="5F332E29" w14:textId="77777777" w:rsidR="008C76E0" w:rsidRPr="008C76E0" w:rsidRDefault="008C76E0" w:rsidP="00207FF6">
            <w:pPr>
              <w:pStyle w:val="Bodytext180"/>
              <w:shd w:val="clear" w:color="auto" w:fill="auto"/>
              <w:spacing w:before="0" w:after="160" w:line="360" w:lineRule="auto"/>
              <w:ind w:left="130" w:right="125" w:firstLine="0"/>
              <w:jc w:val="both"/>
              <w:rPr>
                <w:rFonts w:ascii="Sylfaen" w:hAnsi="Sylfaen"/>
                <w:b w:val="0"/>
                <w:sz w:val="24"/>
                <w:szCs w:val="24"/>
                <w:lang w:val="hy-AM"/>
              </w:rPr>
            </w:pPr>
            <w:r w:rsidRPr="00BD7577">
              <w:rPr>
                <w:rStyle w:val="Bodytext1811pt"/>
                <w:rFonts w:ascii="Sylfaen" w:hAnsi="Sylfaen"/>
                <w:sz w:val="24"/>
                <w:szCs w:val="24"/>
              </w:rPr>
              <w:t>ԱԴԲՄՖ-ն նախկինում ներկայացվել է անդամ պետության լիազորված մարմին</w:t>
            </w:r>
          </w:p>
        </w:tc>
        <w:tc>
          <w:tcPr>
            <w:tcW w:w="1285" w:type="dxa"/>
            <w:tcBorders>
              <w:top w:val="single" w:sz="4" w:space="0" w:color="auto"/>
              <w:left w:val="single" w:sz="4" w:space="0" w:color="auto"/>
              <w:right w:val="single" w:sz="4" w:space="0" w:color="auto"/>
            </w:tcBorders>
            <w:shd w:val="clear" w:color="auto" w:fill="FFFFFF"/>
            <w:vAlign w:val="bottom"/>
          </w:tcPr>
          <w:p w14:paraId="497EB15D"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Այո-□</w:t>
            </w:r>
          </w:p>
        </w:tc>
      </w:tr>
      <w:tr w:rsidR="008C76E0" w:rsidRPr="00BD7577" w14:paraId="06B7A495" w14:textId="77777777" w:rsidTr="008C76E0">
        <w:trPr>
          <w:jc w:val="center"/>
        </w:trPr>
        <w:tc>
          <w:tcPr>
            <w:tcW w:w="8213" w:type="dxa"/>
            <w:vMerge/>
            <w:tcBorders>
              <w:left w:val="single" w:sz="4" w:space="0" w:color="auto"/>
              <w:bottom w:val="single" w:sz="4" w:space="0" w:color="auto"/>
            </w:tcBorders>
            <w:shd w:val="clear" w:color="auto" w:fill="FFFFFF"/>
          </w:tcPr>
          <w:p w14:paraId="37A2A367" w14:textId="77777777" w:rsidR="008C76E0" w:rsidRPr="00BD7577" w:rsidRDefault="008C76E0" w:rsidP="00207FF6">
            <w:pPr>
              <w:spacing w:after="160" w:line="360" w:lineRule="auto"/>
              <w:ind w:right="-1"/>
              <w:jc w:val="both"/>
              <w:rPr>
                <w:rFonts w:ascii="Sylfaen" w:hAnsi="Sylfaen"/>
                <w:sz w:val="24"/>
                <w:szCs w:val="24"/>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bottom"/>
          </w:tcPr>
          <w:p w14:paraId="75638A25" w14:textId="77777777" w:rsidR="008C76E0" w:rsidRPr="00BD7577" w:rsidRDefault="008C76E0" w:rsidP="00207FF6">
            <w:pPr>
              <w:pStyle w:val="Bodytext180"/>
              <w:shd w:val="clear" w:color="auto" w:fill="auto"/>
              <w:spacing w:before="0" w:after="160" w:line="360" w:lineRule="auto"/>
              <w:ind w:right="-1" w:firstLine="0"/>
              <w:jc w:val="both"/>
              <w:rPr>
                <w:rFonts w:ascii="Sylfaen" w:hAnsi="Sylfaen"/>
                <w:b w:val="0"/>
                <w:sz w:val="24"/>
                <w:szCs w:val="24"/>
              </w:rPr>
            </w:pPr>
            <w:r w:rsidRPr="00BD7577">
              <w:rPr>
                <w:rStyle w:val="Bodytext1811pt"/>
                <w:rFonts w:ascii="Sylfaen" w:hAnsi="Sylfaen"/>
                <w:sz w:val="24"/>
                <w:szCs w:val="24"/>
              </w:rPr>
              <w:t>Ոչ-□</w:t>
            </w:r>
          </w:p>
        </w:tc>
      </w:tr>
    </w:tbl>
    <w:p w14:paraId="4E319469"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Եթե այո, ապա հարկ է ներկայացնել ԱԴԲՄՖ-ի մեջ ներառված տվյալներին համապատասխան արտադրված ակտիվ դեղագործական բաղադրամաս պարունակող բժշկական կիրառման դեղապատրաստուկների ցանկը։ Անհրաժեշտության դեպքում հարկ է օգտագործել լրացուցիչ թերթիկներ։ Անհրաժեշտ է ներառել ներկայացված 5 ամենաթարմ դեղապատրաստուկները կամ վերջին 2 տարվա ընթացքում ներկայացված բոլոր դեղապատրաստուկները՝ կախված այն բանից, թե որն է ավելի շատ։</w:t>
      </w:r>
    </w:p>
    <w:tbl>
      <w:tblPr>
        <w:tblOverlap w:val="never"/>
        <w:tblW w:w="9501" w:type="dxa"/>
        <w:jc w:val="center"/>
        <w:tblLayout w:type="fixed"/>
        <w:tblCellMar>
          <w:left w:w="10" w:type="dxa"/>
          <w:right w:w="10" w:type="dxa"/>
        </w:tblCellMar>
        <w:tblLook w:val="04A0" w:firstRow="1" w:lastRow="0" w:firstColumn="1" w:lastColumn="0" w:noHBand="0" w:noVBand="1"/>
      </w:tblPr>
      <w:tblGrid>
        <w:gridCol w:w="3686"/>
        <w:gridCol w:w="2309"/>
        <w:gridCol w:w="3506"/>
      </w:tblGrid>
      <w:tr w:rsidR="008C76E0" w:rsidRPr="00BD7577" w14:paraId="38FEF1D1" w14:textId="77777777" w:rsidTr="008C76E0">
        <w:trPr>
          <w:jc w:val="center"/>
        </w:trPr>
        <w:tc>
          <w:tcPr>
            <w:tcW w:w="3686" w:type="dxa"/>
            <w:tcBorders>
              <w:top w:val="single" w:sz="4" w:space="0" w:color="auto"/>
              <w:left w:val="single" w:sz="4" w:space="0" w:color="auto"/>
            </w:tcBorders>
            <w:shd w:val="clear" w:color="auto" w:fill="FFFFFF"/>
          </w:tcPr>
          <w:p w14:paraId="5F176765"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Գրանցման ընթացակարգի ծածկագրային համարը</w:t>
            </w:r>
          </w:p>
        </w:tc>
        <w:tc>
          <w:tcPr>
            <w:tcW w:w="2309" w:type="dxa"/>
            <w:tcBorders>
              <w:top w:val="single" w:sz="4" w:space="0" w:color="auto"/>
              <w:left w:val="single" w:sz="4" w:space="0" w:color="auto"/>
            </w:tcBorders>
            <w:shd w:val="clear" w:color="auto" w:fill="FFFFFF"/>
          </w:tcPr>
          <w:p w14:paraId="1FE67312"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ԱԴԲՄՖ-ի համարը</w:t>
            </w:r>
          </w:p>
        </w:tc>
        <w:tc>
          <w:tcPr>
            <w:tcW w:w="3506" w:type="dxa"/>
            <w:tcBorders>
              <w:top w:val="single" w:sz="4" w:space="0" w:color="auto"/>
              <w:left w:val="single" w:sz="4" w:space="0" w:color="auto"/>
              <w:right w:val="single" w:sz="4" w:space="0" w:color="auto"/>
            </w:tcBorders>
            <w:shd w:val="clear" w:color="auto" w:fill="FFFFFF"/>
          </w:tcPr>
          <w:p w14:paraId="66D94A29" w14:textId="77777777" w:rsidR="008C76E0" w:rsidRPr="00BD7577"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BD7577">
              <w:rPr>
                <w:rStyle w:val="Bodytext1811pt"/>
                <w:rFonts w:ascii="Sylfaen" w:hAnsi="Sylfaen"/>
                <w:sz w:val="24"/>
                <w:szCs w:val="24"/>
              </w:rPr>
              <w:t xml:space="preserve">ԱԴԲՄՖ-ի իրավատիրոջ տարբերակի համարը </w:t>
            </w:r>
            <w:r w:rsidRPr="009721C8">
              <w:rPr>
                <w:rStyle w:val="Bodytext1811pt"/>
                <w:rFonts w:ascii="Sylfaen" w:hAnsi="Sylfaen"/>
                <w:sz w:val="24"/>
                <w:szCs w:val="24"/>
              </w:rPr>
              <w:br/>
            </w:r>
            <w:r w:rsidRPr="00BD7577">
              <w:rPr>
                <w:rStyle w:val="Bodytext1811pt"/>
                <w:rFonts w:ascii="Sylfaen" w:hAnsi="Sylfaen"/>
                <w:sz w:val="24"/>
                <w:szCs w:val="24"/>
              </w:rPr>
              <w:t xml:space="preserve">(ՓՄ-ն </w:t>
            </w:r>
            <w:r w:rsidR="00C54D75">
              <w:rPr>
                <w:rStyle w:val="Bodytext1811pt"/>
                <w:rFonts w:ascii="Sylfaen" w:hAnsi="Sylfaen"/>
                <w:sz w:val="24"/>
                <w:szCs w:val="24"/>
              </w:rPr>
              <w:t>և</w:t>
            </w:r>
            <w:r w:rsidRPr="00BD7577">
              <w:rPr>
                <w:rStyle w:val="Bodytext1811pt"/>
                <w:rFonts w:ascii="Sylfaen" w:hAnsi="Sylfaen"/>
                <w:sz w:val="24"/>
                <w:szCs w:val="24"/>
              </w:rPr>
              <w:t xml:space="preserve"> ՀՄ-ն)/ամսաթիվը</w:t>
            </w:r>
          </w:p>
        </w:tc>
      </w:tr>
      <w:tr w:rsidR="008C76E0" w:rsidRPr="00BD7577" w14:paraId="31953C50" w14:textId="77777777" w:rsidTr="008C76E0">
        <w:trPr>
          <w:jc w:val="center"/>
        </w:trPr>
        <w:tc>
          <w:tcPr>
            <w:tcW w:w="3686" w:type="dxa"/>
            <w:tcBorders>
              <w:top w:val="single" w:sz="4" w:space="0" w:color="auto"/>
              <w:left w:val="single" w:sz="4" w:space="0" w:color="auto"/>
            </w:tcBorders>
            <w:shd w:val="clear" w:color="auto" w:fill="FFFFFF"/>
          </w:tcPr>
          <w:p w14:paraId="278FC07C"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tcBorders>
            <w:shd w:val="clear" w:color="auto" w:fill="FFFFFF"/>
          </w:tcPr>
          <w:p w14:paraId="50D81B8E"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right w:val="single" w:sz="4" w:space="0" w:color="auto"/>
            </w:tcBorders>
            <w:shd w:val="clear" w:color="auto" w:fill="FFFFFF"/>
          </w:tcPr>
          <w:p w14:paraId="0DA5ED82" w14:textId="77777777" w:rsidR="008C76E0" w:rsidRPr="00BD7577" w:rsidRDefault="008C76E0" w:rsidP="008C76E0">
            <w:pPr>
              <w:spacing w:after="120" w:line="240" w:lineRule="auto"/>
              <w:jc w:val="both"/>
              <w:rPr>
                <w:rFonts w:ascii="Sylfaen" w:hAnsi="Sylfaen"/>
                <w:sz w:val="24"/>
                <w:szCs w:val="24"/>
              </w:rPr>
            </w:pPr>
          </w:p>
        </w:tc>
      </w:tr>
      <w:tr w:rsidR="008C76E0" w:rsidRPr="00BD7577" w14:paraId="6C0D6490" w14:textId="77777777" w:rsidTr="008C76E0">
        <w:trPr>
          <w:jc w:val="center"/>
        </w:trPr>
        <w:tc>
          <w:tcPr>
            <w:tcW w:w="3686" w:type="dxa"/>
            <w:tcBorders>
              <w:top w:val="single" w:sz="4" w:space="0" w:color="auto"/>
              <w:left w:val="single" w:sz="4" w:space="0" w:color="auto"/>
              <w:bottom w:val="single" w:sz="4" w:space="0" w:color="auto"/>
            </w:tcBorders>
            <w:shd w:val="clear" w:color="auto" w:fill="FFFFFF"/>
          </w:tcPr>
          <w:p w14:paraId="4537A9B8" w14:textId="77777777" w:rsidR="008C76E0" w:rsidRPr="00BD7577" w:rsidRDefault="008C76E0" w:rsidP="008C76E0">
            <w:pPr>
              <w:spacing w:after="120" w:line="240" w:lineRule="auto"/>
              <w:jc w:val="both"/>
              <w:rPr>
                <w:rFonts w:ascii="Sylfaen" w:hAnsi="Sylfaen"/>
                <w:sz w:val="24"/>
                <w:szCs w:val="24"/>
              </w:rPr>
            </w:pPr>
          </w:p>
        </w:tc>
        <w:tc>
          <w:tcPr>
            <w:tcW w:w="2309" w:type="dxa"/>
            <w:tcBorders>
              <w:top w:val="single" w:sz="4" w:space="0" w:color="auto"/>
              <w:left w:val="single" w:sz="4" w:space="0" w:color="auto"/>
              <w:bottom w:val="single" w:sz="4" w:space="0" w:color="auto"/>
            </w:tcBorders>
            <w:shd w:val="clear" w:color="auto" w:fill="FFFFFF"/>
          </w:tcPr>
          <w:p w14:paraId="0376DDD3" w14:textId="77777777" w:rsidR="008C76E0" w:rsidRPr="00BD7577" w:rsidRDefault="008C76E0" w:rsidP="008C76E0">
            <w:pPr>
              <w:spacing w:after="120" w:line="240" w:lineRule="auto"/>
              <w:jc w:val="both"/>
              <w:rPr>
                <w:rFonts w:ascii="Sylfaen" w:hAnsi="Sylfaen"/>
                <w:sz w:val="24"/>
                <w:szCs w:val="24"/>
              </w:rPr>
            </w:pPr>
          </w:p>
        </w:tc>
        <w:tc>
          <w:tcPr>
            <w:tcW w:w="3506" w:type="dxa"/>
            <w:tcBorders>
              <w:top w:val="single" w:sz="4" w:space="0" w:color="auto"/>
              <w:left w:val="single" w:sz="4" w:space="0" w:color="auto"/>
              <w:bottom w:val="single" w:sz="4" w:space="0" w:color="auto"/>
              <w:right w:val="single" w:sz="4" w:space="0" w:color="auto"/>
            </w:tcBorders>
            <w:shd w:val="clear" w:color="auto" w:fill="FFFFFF"/>
          </w:tcPr>
          <w:p w14:paraId="0228A34D" w14:textId="77777777" w:rsidR="008C76E0" w:rsidRPr="00BD7577" w:rsidRDefault="008C76E0" w:rsidP="008C76E0">
            <w:pPr>
              <w:spacing w:after="120" w:line="240" w:lineRule="auto"/>
              <w:jc w:val="both"/>
              <w:rPr>
                <w:rFonts w:ascii="Sylfaen" w:hAnsi="Sylfaen"/>
                <w:sz w:val="24"/>
                <w:szCs w:val="24"/>
              </w:rPr>
            </w:pPr>
          </w:p>
        </w:tc>
      </w:tr>
    </w:tbl>
    <w:p w14:paraId="58D7CCDE" w14:textId="77777777" w:rsidR="008C76E0" w:rsidRPr="00BD7577" w:rsidRDefault="008C76E0" w:rsidP="008C76E0">
      <w:pPr>
        <w:ind w:right="-1"/>
        <w:jc w:val="both"/>
        <w:rPr>
          <w:rFonts w:ascii="Sylfaen" w:hAnsi="Sylfaen"/>
          <w:sz w:val="24"/>
          <w:szCs w:val="24"/>
        </w:rPr>
      </w:pPr>
    </w:p>
    <w:p w14:paraId="69DB486C"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ԱԴԲՄՖ-ի իրավատերն ավելի շատ տեղեկություններ ներկայացնելու իրավունք ունի։ Անդամ պետությունների լիազորված մարմինները տվյալ ԱԴԲՄՖ-ում շոշափված այլ դեղապատրաստուկների մասին տեղեկություններ պահանջելու իրավունք ունեն։</w:t>
      </w:r>
    </w:p>
    <w:p w14:paraId="1C764708" w14:textId="77777777" w:rsidR="008C76E0" w:rsidRPr="008C76E0" w:rsidRDefault="008C76E0" w:rsidP="00207FF6">
      <w:pPr>
        <w:pStyle w:val="Bodytext140"/>
        <w:shd w:val="clear" w:color="auto" w:fill="auto"/>
        <w:spacing w:before="0" w:after="160" w:line="360" w:lineRule="auto"/>
        <w:ind w:firstLine="567"/>
        <w:jc w:val="both"/>
        <w:rPr>
          <w:rFonts w:ascii="Sylfaen" w:hAnsi="Sylfaen"/>
          <w:sz w:val="24"/>
          <w:szCs w:val="24"/>
          <w:lang w:val="hy-AM"/>
        </w:rPr>
      </w:pPr>
      <w:r w:rsidRPr="008C76E0">
        <w:rPr>
          <w:rStyle w:val="Bodytext14NotItalic"/>
          <w:rFonts w:ascii="Sylfaen" w:hAnsi="Sylfaen"/>
          <w:i/>
          <w:sz w:val="24"/>
          <w:szCs w:val="24"/>
          <w:lang w:val="hy-AM"/>
        </w:rPr>
        <w:t>{</w:t>
      </w:r>
      <w:r w:rsidRPr="008C76E0">
        <w:rPr>
          <w:rFonts w:ascii="Sylfaen" w:hAnsi="Sylfaen"/>
          <w:sz w:val="24"/>
          <w:szCs w:val="24"/>
          <w:lang w:val="hy-AM"/>
        </w:rPr>
        <w:t>Լիազորված կոնտակտային անձի ստորագրությունը</w:t>
      </w:r>
      <w:r w:rsidRPr="009721C8">
        <w:rPr>
          <w:rStyle w:val="Bodytext295pt"/>
          <w:rFonts w:ascii="Sylfaen" w:hAnsi="Sylfaen"/>
          <w:b w:val="0"/>
          <w:spacing w:val="0"/>
          <w:sz w:val="24"/>
          <w:szCs w:val="24"/>
        </w:rPr>
        <w:t>}</w:t>
      </w:r>
    </w:p>
    <w:p w14:paraId="008FB1B0" w14:textId="77777777" w:rsidR="008C76E0" w:rsidRPr="009721C8" w:rsidRDefault="008C76E0" w:rsidP="00207FF6">
      <w:pPr>
        <w:pStyle w:val="Bodytext140"/>
        <w:shd w:val="clear" w:color="auto" w:fill="auto"/>
        <w:spacing w:before="0" w:after="160" w:line="360" w:lineRule="auto"/>
        <w:ind w:firstLine="567"/>
        <w:jc w:val="both"/>
        <w:rPr>
          <w:rStyle w:val="Bodytext295pt"/>
          <w:rFonts w:ascii="Sylfaen" w:hAnsi="Sylfaen"/>
          <w:b w:val="0"/>
          <w:spacing w:val="0"/>
          <w:sz w:val="24"/>
          <w:szCs w:val="24"/>
        </w:rPr>
      </w:pPr>
      <w:r w:rsidRPr="008C76E0">
        <w:rPr>
          <w:rStyle w:val="Bodytext14NotItalic"/>
          <w:rFonts w:ascii="Sylfaen" w:hAnsi="Sylfaen"/>
          <w:i/>
          <w:sz w:val="24"/>
          <w:szCs w:val="24"/>
          <w:lang w:val="hy-AM"/>
        </w:rPr>
        <w:t>{</w:t>
      </w:r>
      <w:r w:rsidRPr="008C76E0">
        <w:rPr>
          <w:rFonts w:ascii="Sylfaen" w:hAnsi="Sylfaen"/>
          <w:sz w:val="24"/>
          <w:szCs w:val="24"/>
          <w:lang w:val="hy-AM"/>
        </w:rPr>
        <w:t xml:space="preserve">Անունը, հասցեն </w:t>
      </w:r>
      <w:r w:rsidR="00C54D75">
        <w:rPr>
          <w:rFonts w:ascii="Sylfaen" w:hAnsi="Sylfaen"/>
          <w:sz w:val="24"/>
          <w:szCs w:val="24"/>
          <w:lang w:val="hy-AM"/>
        </w:rPr>
        <w:t>և</w:t>
      </w:r>
      <w:r w:rsidRPr="008C76E0">
        <w:rPr>
          <w:rFonts w:ascii="Sylfaen" w:hAnsi="Sylfaen"/>
          <w:sz w:val="24"/>
          <w:szCs w:val="24"/>
          <w:lang w:val="hy-AM"/>
        </w:rPr>
        <w:t xml:space="preserve"> պաշտոնը ընկերությունում</w:t>
      </w:r>
      <w:r w:rsidRPr="009721C8">
        <w:rPr>
          <w:rStyle w:val="Bodytext295pt"/>
          <w:rFonts w:ascii="Sylfaen" w:hAnsi="Sylfaen"/>
          <w:b w:val="0"/>
          <w:spacing w:val="0"/>
          <w:sz w:val="24"/>
          <w:szCs w:val="24"/>
        </w:rPr>
        <w:t>}</w:t>
      </w:r>
    </w:p>
    <w:p w14:paraId="23A04DC2" w14:textId="77777777" w:rsidR="008C76E0" w:rsidRPr="00BD7577" w:rsidRDefault="008C76E0" w:rsidP="008C76E0">
      <w:pPr>
        <w:ind w:right="-1"/>
        <w:jc w:val="both"/>
        <w:rPr>
          <w:rStyle w:val="Bodytext295pt"/>
          <w:rFonts w:ascii="Sylfaen" w:eastAsia="MS Mincho" w:hAnsi="Sylfaen"/>
          <w:b w:val="0"/>
          <w:i/>
          <w:iCs/>
          <w:spacing w:val="0"/>
          <w:sz w:val="24"/>
          <w:szCs w:val="24"/>
        </w:rPr>
      </w:pPr>
      <w:r w:rsidRPr="00BD7577">
        <w:rPr>
          <w:rFonts w:ascii="Sylfaen" w:hAnsi="Sylfaen"/>
          <w:sz w:val="24"/>
          <w:szCs w:val="24"/>
        </w:rPr>
        <w:br w:type="page"/>
      </w:r>
    </w:p>
    <w:p w14:paraId="57D3D462" w14:textId="77777777" w:rsidR="008C76E0" w:rsidRPr="00E84087" w:rsidRDefault="008C76E0" w:rsidP="00207FF6">
      <w:pPr>
        <w:pStyle w:val="Heading120"/>
        <w:shd w:val="clear" w:color="auto" w:fill="auto"/>
        <w:spacing w:before="0" w:after="160" w:line="360" w:lineRule="auto"/>
        <w:jc w:val="right"/>
        <w:outlineLvl w:val="9"/>
        <w:rPr>
          <w:rStyle w:val="Heading12Spacing2pt"/>
          <w:rFonts w:ascii="Sylfaen" w:hAnsi="Sylfaen"/>
          <w:spacing w:val="0"/>
          <w:sz w:val="24"/>
          <w:szCs w:val="24"/>
        </w:rPr>
      </w:pPr>
      <w:bookmarkStart w:id="5" w:name="bookmark6"/>
      <w:r w:rsidRPr="008C76E0">
        <w:rPr>
          <w:rFonts w:ascii="Sylfaen" w:hAnsi="Sylfaen"/>
          <w:b w:val="0"/>
          <w:sz w:val="24"/>
          <w:szCs w:val="24"/>
          <w:lang w:val="hy-AM"/>
        </w:rPr>
        <w:lastRenderedPageBreak/>
        <w:t xml:space="preserve">Լրացում թիվ 4 </w:t>
      </w:r>
    </w:p>
    <w:p w14:paraId="74878ED3" w14:textId="77777777" w:rsidR="008C76E0" w:rsidRPr="00207FF6" w:rsidRDefault="008C76E0" w:rsidP="00207FF6">
      <w:pPr>
        <w:pStyle w:val="Heading120"/>
        <w:shd w:val="clear" w:color="auto" w:fill="auto"/>
        <w:spacing w:before="0" w:after="160" w:line="360" w:lineRule="auto"/>
        <w:ind w:left="567" w:right="566"/>
        <w:outlineLvl w:val="9"/>
        <w:rPr>
          <w:rFonts w:ascii="Sylfaen" w:hAnsi="Sylfaen"/>
          <w:b w:val="0"/>
          <w:sz w:val="24"/>
          <w:szCs w:val="24"/>
          <w:lang w:val="hy-AM"/>
        </w:rPr>
      </w:pPr>
      <w:r w:rsidRPr="00207FF6">
        <w:rPr>
          <w:rStyle w:val="Heading12Spacing2pt"/>
          <w:rFonts w:ascii="Sylfaen" w:hAnsi="Sylfaen"/>
          <w:b/>
          <w:spacing w:val="0"/>
          <w:sz w:val="24"/>
          <w:szCs w:val="24"/>
        </w:rPr>
        <w:t>ՁԵՎ</w:t>
      </w:r>
      <w:bookmarkEnd w:id="5"/>
    </w:p>
    <w:p w14:paraId="0F7F274C" w14:textId="77777777" w:rsidR="008C76E0" w:rsidRPr="008C76E0" w:rsidRDefault="008C76E0" w:rsidP="00207FF6">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ակտիվ դեղագործական բաղադրամասի մաստեր-ֆայլի փակ մասի հասանելիության թույլտվությունը հետ կանչելու</w:t>
      </w:r>
    </w:p>
    <w:p w14:paraId="1C133ECA" w14:textId="77777777" w:rsidR="008C76E0" w:rsidRPr="00E84087" w:rsidRDefault="008C76E0" w:rsidP="00207FF6">
      <w:pPr>
        <w:spacing w:after="160" w:line="360" w:lineRule="auto"/>
        <w:ind w:right="-1"/>
        <w:jc w:val="right"/>
        <w:rPr>
          <w:rFonts w:ascii="Sylfaen" w:hAnsi="Sylfaen"/>
          <w:sz w:val="24"/>
          <w:szCs w:val="24"/>
        </w:rPr>
      </w:pPr>
      <w:r w:rsidRPr="00E84087">
        <w:rPr>
          <w:rFonts w:ascii="Sylfaen" w:hAnsi="Sylfaen"/>
          <w:sz w:val="24"/>
          <w:szCs w:val="24"/>
        </w:rPr>
        <w:t>(ձ</w:t>
      </w:r>
      <w:r w:rsidR="00C54D75">
        <w:rPr>
          <w:rFonts w:ascii="Sylfaen" w:hAnsi="Sylfaen"/>
          <w:sz w:val="24"/>
          <w:szCs w:val="24"/>
        </w:rPr>
        <w:t>և</w:t>
      </w:r>
      <w:r w:rsidRPr="00E84087">
        <w:rPr>
          <w:rFonts w:ascii="Sylfaen" w:hAnsi="Sylfaen"/>
          <w:sz w:val="24"/>
          <w:szCs w:val="24"/>
        </w:rPr>
        <w:t>)</w:t>
      </w:r>
    </w:p>
    <w:p w14:paraId="295C9D5B" w14:textId="77777777" w:rsidR="008C76E0" w:rsidRPr="00BD7577" w:rsidRDefault="008C76E0" w:rsidP="00207FF6">
      <w:pPr>
        <w:spacing w:after="160" w:line="360" w:lineRule="auto"/>
        <w:ind w:right="-1"/>
        <w:jc w:val="center"/>
        <w:rPr>
          <w:rFonts w:ascii="Sylfaen" w:hAnsi="Sylfaen"/>
          <w:sz w:val="24"/>
          <w:szCs w:val="24"/>
        </w:rPr>
      </w:pPr>
      <w:r w:rsidRPr="00E84087">
        <w:rPr>
          <w:rFonts w:ascii="Sylfaen" w:hAnsi="Sylfaen"/>
          <w:sz w:val="24"/>
          <w:szCs w:val="24"/>
        </w:rPr>
        <w:t>ՖԻՐՄԱՅԻՆ ՁԵՎԱԹՈՒՂԹ</w:t>
      </w:r>
    </w:p>
    <w:p w14:paraId="610D7AF5"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բաղադրամասի մաստեր-ֆայլի իրավատիրոջ</w:t>
      </w:r>
    </w:p>
    <w:p w14:paraId="5D32ED1B" w14:textId="77777777" w:rsidR="008C76E0" w:rsidRPr="00BD7577" w:rsidRDefault="008C76E0" w:rsidP="00207FF6">
      <w:pPr>
        <w:spacing w:after="160" w:line="360" w:lineRule="auto"/>
        <w:ind w:right="-1"/>
        <w:jc w:val="center"/>
        <w:rPr>
          <w:rFonts w:ascii="Sylfaen" w:hAnsi="Sylfaen"/>
          <w:sz w:val="24"/>
          <w:szCs w:val="24"/>
        </w:rPr>
      </w:pPr>
    </w:p>
    <w:p w14:paraId="05BF186D"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{Անդամ պետության լիազորված մարմնի հասցեն}</w:t>
      </w:r>
    </w:p>
    <w:p w14:paraId="0F18CB7E"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{Ամսաթիվը}</w:t>
      </w:r>
    </w:p>
    <w:p w14:paraId="45435599"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Ակտիվ դեղագործական նյութի մաստեր-ֆայլի համարը՝</w:t>
      </w:r>
    </w:p>
    <w:p w14:paraId="4337AA98" w14:textId="77777777" w:rsidR="008C76E0" w:rsidRPr="00BD7577" w:rsidRDefault="008C76E0" w:rsidP="00207FF6">
      <w:pPr>
        <w:spacing w:after="160" w:line="360" w:lineRule="auto"/>
        <w:ind w:right="-1"/>
        <w:jc w:val="center"/>
        <w:rPr>
          <w:rFonts w:ascii="Sylfaen" w:hAnsi="Sylfaen"/>
          <w:sz w:val="24"/>
          <w:szCs w:val="24"/>
        </w:rPr>
      </w:pPr>
      <w:r w:rsidRPr="00BD7577">
        <w:rPr>
          <w:rFonts w:ascii="Sylfaen" w:hAnsi="Sylfaen"/>
          <w:sz w:val="24"/>
          <w:szCs w:val="24"/>
        </w:rPr>
        <w:t>{ԱԴԲՄՖ-ի ծածկագրային համարը}</w:t>
      </w:r>
    </w:p>
    <w:p w14:paraId="49986528" w14:textId="77777777" w:rsidR="008C76E0" w:rsidRPr="00BD7577" w:rsidRDefault="008C76E0" w:rsidP="00207FF6">
      <w:pPr>
        <w:spacing w:after="160" w:line="360" w:lineRule="auto"/>
        <w:ind w:right="-1"/>
        <w:rPr>
          <w:rFonts w:ascii="Sylfaen" w:hAnsi="Sylfaen"/>
          <w:sz w:val="24"/>
          <w:szCs w:val="24"/>
        </w:rPr>
      </w:pPr>
    </w:p>
    <w:p w14:paraId="766D847F"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Նշվում է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աչափով՝ ԵԱՏՄ/ԱԴԲՄՖ/ХХХХХ կամ YY/ԱԴԲՄՖ/ХХХХХ, որտեղ ХХХХХ-ը թվային նշումն է, YY-ը՝ անդամ պետության երկնիշ լատինատառ ծածկագիրը։</w:t>
      </w:r>
    </w:p>
    <w:p w14:paraId="6280FB97"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անվանումը՝</w:t>
      </w:r>
    </w:p>
    <w:p w14:paraId="0940A8A6" w14:textId="77777777" w:rsidR="008C76E0" w:rsidRPr="00BA15D2" w:rsidRDefault="008C76E0" w:rsidP="00207FF6">
      <w:pPr>
        <w:spacing w:after="160" w:line="360" w:lineRule="auto"/>
        <w:ind w:firstLine="567"/>
        <w:jc w:val="both"/>
        <w:rPr>
          <w:rFonts w:ascii="Sylfaen" w:hAnsi="Sylfaen"/>
          <w:spacing w:val="-4"/>
          <w:sz w:val="24"/>
          <w:szCs w:val="24"/>
        </w:rPr>
      </w:pPr>
      <w:r w:rsidRPr="00BA15D2">
        <w:rPr>
          <w:rFonts w:ascii="Sylfaen" w:hAnsi="Sylfaen"/>
          <w:spacing w:val="-4"/>
          <w:sz w:val="24"/>
          <w:szCs w:val="24"/>
        </w:rPr>
        <w:t>Ակտիվ դեղագործական բաղադրամասի ներքին ծածկագիրը (եթե կիրառելի է)՝</w:t>
      </w:r>
    </w:p>
    <w:p w14:paraId="1092A526" w14:textId="77777777" w:rsidR="008C76E0" w:rsidRPr="00626427" w:rsidRDefault="008C76E0" w:rsidP="00207FF6">
      <w:pPr>
        <w:spacing w:after="160" w:line="360" w:lineRule="auto"/>
        <w:ind w:firstLine="567"/>
        <w:jc w:val="both"/>
        <w:rPr>
          <w:rFonts w:ascii="Sylfaen" w:hAnsi="Sylfaen"/>
          <w:b/>
          <w:sz w:val="24"/>
          <w:szCs w:val="24"/>
        </w:rPr>
      </w:pPr>
      <w:r w:rsidRPr="00BD7577">
        <w:rPr>
          <w:rFonts w:ascii="Sylfaen" w:hAnsi="Sylfaen"/>
          <w:sz w:val="24"/>
          <w:szCs w:val="24"/>
        </w:rPr>
        <w:t xml:space="preserve">Ակտիվ դեղագործական բաղադրամասի մաստեր-ֆայլի իրավատերը՝ </w:t>
      </w:r>
      <w:r w:rsidRPr="00626427">
        <w:rPr>
          <w:rStyle w:val="Bodytext295pt"/>
          <w:rFonts w:ascii="Sylfaen" w:eastAsiaTheme="minorHAnsi" w:hAnsi="Sylfaen"/>
          <w:b w:val="0"/>
          <w:spacing w:val="0"/>
          <w:sz w:val="24"/>
          <w:szCs w:val="24"/>
        </w:rPr>
        <w:t>{անվանումն ու հասցեն}։</w:t>
      </w:r>
    </w:p>
    <w:p w14:paraId="64D66929" w14:textId="52F1781C"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ծանուցում է {</w:t>
      </w:r>
      <w:r w:rsidRPr="00626427">
        <w:rPr>
          <w:rStyle w:val="Bodytext295pt"/>
          <w:rFonts w:ascii="Sylfaen" w:eastAsiaTheme="minorHAnsi" w:hAnsi="Sylfaen"/>
          <w:b w:val="0"/>
          <w:spacing w:val="0"/>
          <w:sz w:val="24"/>
          <w:szCs w:val="24"/>
        </w:rPr>
        <w:t>անդամ պետության լիազորված մարմնի անվանումը</w:t>
      </w:r>
      <w:r w:rsidRPr="00BD7577">
        <w:rPr>
          <w:rFonts w:ascii="Sylfaen" w:hAnsi="Sylfaen"/>
          <w:sz w:val="24"/>
          <w:szCs w:val="24"/>
        </w:rPr>
        <w:t>}, որ ինքն այլ</w:t>
      </w:r>
      <w:r w:rsidR="00C54D75">
        <w:rPr>
          <w:rFonts w:ascii="Sylfaen" w:hAnsi="Sylfaen"/>
          <w:sz w:val="24"/>
          <w:szCs w:val="24"/>
        </w:rPr>
        <w:t>և</w:t>
      </w:r>
      <w:r w:rsidRPr="00BD7577">
        <w:rPr>
          <w:rFonts w:ascii="Sylfaen" w:hAnsi="Sylfaen"/>
          <w:sz w:val="24"/>
          <w:szCs w:val="24"/>
        </w:rPr>
        <w:t xml:space="preserve">ս չի ցանկանում, որ ակտիվ դեղագործական բաղադրամասի վերոնշյալ մաստեր-ֆայլն օգտագործվի որպես </w:t>
      </w:r>
      <w:r w:rsidRPr="00626427">
        <w:rPr>
          <w:rStyle w:val="Bodytext295pt"/>
          <w:rFonts w:ascii="Sylfaen" w:eastAsiaTheme="minorHAnsi" w:hAnsi="Sylfaen"/>
          <w:b w:val="0"/>
          <w:spacing w:val="0"/>
          <w:sz w:val="24"/>
          <w:szCs w:val="24"/>
        </w:rPr>
        <w:t xml:space="preserve">{գրանցման </w:t>
      </w:r>
      <w:r w:rsidRPr="00626427">
        <w:rPr>
          <w:rStyle w:val="Bodytext295pt"/>
          <w:rFonts w:ascii="Sylfaen" w:eastAsiaTheme="minorHAnsi" w:hAnsi="Sylfaen"/>
          <w:b w:val="0"/>
          <w:spacing w:val="0"/>
          <w:sz w:val="24"/>
          <w:szCs w:val="24"/>
        </w:rPr>
        <w:lastRenderedPageBreak/>
        <w:t>հավաստագրի իրավատիրոջ (</w:t>
      </w:r>
      <w:r w:rsidR="0056496B">
        <w:rPr>
          <w:rStyle w:val="Bodytext295pt"/>
          <w:rFonts w:ascii="Sylfaen" w:eastAsiaTheme="minorHAnsi" w:hAnsi="Sylfaen"/>
          <w:b w:val="0"/>
          <w:spacing w:val="0"/>
          <w:sz w:val="24"/>
          <w:szCs w:val="24"/>
        </w:rPr>
        <w:t>դիմումատու</w:t>
      </w:r>
      <w:r w:rsidRPr="00626427">
        <w:rPr>
          <w:rStyle w:val="Bodytext295pt"/>
          <w:rFonts w:ascii="Sylfaen" w:eastAsiaTheme="minorHAnsi" w:hAnsi="Sylfaen"/>
          <w:b w:val="0"/>
          <w:spacing w:val="0"/>
          <w:sz w:val="24"/>
          <w:szCs w:val="24"/>
        </w:rPr>
        <w:t>ի) անվանումը}</w:t>
      </w:r>
      <w:r w:rsidRPr="00BD7577">
        <w:rPr>
          <w:rFonts w:ascii="Sylfaen" w:hAnsi="Sylfaen"/>
          <w:sz w:val="24"/>
          <w:szCs w:val="24"/>
        </w:rPr>
        <w:t xml:space="preserve"> պատկանող հաջորդ գրանցման դոսյեի հիմնավորում (ընդ որում, գրանցման հավաստագրերի տարբեր տիրապետողների (</w:t>
      </w:r>
      <w:r w:rsidR="0056496B">
        <w:rPr>
          <w:rFonts w:ascii="Sylfaen" w:hAnsi="Sylfaen"/>
          <w:sz w:val="24"/>
          <w:szCs w:val="24"/>
        </w:rPr>
        <w:t>դիմումատու</w:t>
      </w:r>
      <w:r w:rsidRPr="00BD7577">
        <w:rPr>
          <w:rFonts w:ascii="Sylfaen" w:hAnsi="Sylfaen"/>
          <w:sz w:val="24"/>
          <w:szCs w:val="24"/>
        </w:rPr>
        <w:t>ների) համար անհրաժեշտ է ներկայացնել թույլտվության առանձին հետկանչեր):</w:t>
      </w:r>
    </w:p>
    <w:tbl>
      <w:tblPr>
        <w:tblOverlap w:val="neve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250"/>
        <w:gridCol w:w="6082"/>
      </w:tblGrid>
      <w:tr w:rsidR="008C76E0" w:rsidRPr="00BD7577" w14:paraId="06B3FC13" w14:textId="77777777" w:rsidTr="008C76E0">
        <w:trPr>
          <w:trHeight w:val="2898"/>
          <w:jc w:val="center"/>
        </w:trPr>
        <w:tc>
          <w:tcPr>
            <w:tcW w:w="3250" w:type="dxa"/>
            <w:shd w:val="clear" w:color="auto" w:fill="FFFFFF"/>
          </w:tcPr>
          <w:p w14:paraId="108D393E"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Դեղապատրաստուկը</w:t>
            </w:r>
          </w:p>
          <w:p w14:paraId="14D9AFDB" w14:textId="77777777" w:rsidR="008C76E0" w:rsidRPr="008C76E0" w:rsidRDefault="008C76E0" w:rsidP="008C76E0">
            <w:pPr>
              <w:pStyle w:val="Bodytext180"/>
              <w:shd w:val="clear" w:color="auto" w:fill="auto"/>
              <w:spacing w:before="0" w:after="120" w:line="240" w:lineRule="auto"/>
              <w:ind w:left="121" w:right="-1" w:firstLine="0"/>
              <w:rPr>
                <w:rFonts w:ascii="Sylfaen" w:hAnsi="Sylfaen"/>
                <w:b w:val="0"/>
                <w:sz w:val="24"/>
                <w:szCs w:val="24"/>
                <w:lang w:val="hy-AM"/>
              </w:rPr>
            </w:pPr>
            <w:r w:rsidRPr="00BD7577">
              <w:rPr>
                <w:rStyle w:val="Bodytext1811pt"/>
                <w:rFonts w:ascii="Sylfaen" w:hAnsi="Sylfaen"/>
                <w:sz w:val="24"/>
                <w:szCs w:val="24"/>
              </w:rPr>
              <w:t>Ընթացակարգին տրված համարը (եթե կիրառելի է)</w:t>
            </w:r>
          </w:p>
        </w:tc>
        <w:tc>
          <w:tcPr>
            <w:tcW w:w="6082" w:type="dxa"/>
            <w:shd w:val="clear" w:color="auto" w:fill="FFFFFF"/>
          </w:tcPr>
          <w:p w14:paraId="7E3C1E1A"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{դեղապատրաստուկի անվանումը}</w:t>
            </w:r>
          </w:p>
          <w:p w14:paraId="635BB877" w14:textId="77777777" w:rsidR="008C76E0" w:rsidRPr="00BD7577" w:rsidRDefault="008C76E0" w:rsidP="008C76E0">
            <w:pPr>
              <w:pStyle w:val="Bodytext180"/>
              <w:shd w:val="clear" w:color="auto" w:fill="auto"/>
              <w:spacing w:before="0" w:after="120" w:line="240" w:lineRule="auto"/>
              <w:ind w:left="131" w:right="119" w:firstLine="0"/>
              <w:rPr>
                <w:rStyle w:val="Bodytext1811pt"/>
                <w:rFonts w:ascii="Sylfaen" w:hAnsi="Sylfaen"/>
                <w:sz w:val="24"/>
                <w:szCs w:val="24"/>
              </w:rPr>
            </w:pPr>
            <w:r w:rsidRPr="00BD7577">
              <w:rPr>
                <w:rStyle w:val="Bodytext1811pt"/>
                <w:rFonts w:ascii="Sylfaen" w:hAnsi="Sylfaen"/>
                <w:sz w:val="24"/>
                <w:szCs w:val="24"/>
              </w:rPr>
              <w:t>եթե ներկայացման պահին դեղապատրաստուկը գրանցված չէ, կամ դեղապատրաստուկի առ</w:t>
            </w:r>
            <w:r w:rsidR="00C54D75">
              <w:rPr>
                <w:rStyle w:val="Bodytext1811pt"/>
                <w:rFonts w:ascii="Sylfaen" w:hAnsi="Sylfaen"/>
                <w:sz w:val="24"/>
                <w:szCs w:val="24"/>
              </w:rPr>
              <w:t>և</w:t>
            </w:r>
            <w:r w:rsidRPr="00BD7577">
              <w:rPr>
                <w:rStyle w:val="Bodytext1811pt"/>
                <w:rFonts w:ascii="Sylfaen" w:hAnsi="Sylfaen"/>
                <w:sz w:val="24"/>
                <w:szCs w:val="24"/>
              </w:rPr>
              <w:t>տրային անվանումը համաձայնեցված չէ, ապա հարկ է նշել «ՄՉԱ-ն + գրանցման հավաստագրի իրավատիրոջ անվանումը»</w:t>
            </w:r>
          </w:p>
          <w:p w14:paraId="50C09228" w14:textId="77777777" w:rsidR="008C76E0" w:rsidRPr="008C76E0" w:rsidRDefault="008C76E0" w:rsidP="008C76E0">
            <w:pPr>
              <w:pStyle w:val="Bodytext180"/>
              <w:shd w:val="clear" w:color="auto" w:fill="auto"/>
              <w:spacing w:before="0" w:after="120" w:line="240" w:lineRule="auto"/>
              <w:ind w:left="131" w:right="119" w:firstLine="0"/>
              <w:rPr>
                <w:rFonts w:ascii="Sylfaen" w:hAnsi="Sylfaen"/>
                <w:b w:val="0"/>
                <w:i/>
                <w:sz w:val="24"/>
                <w:szCs w:val="24"/>
                <w:lang w:val="hy-AM"/>
              </w:rPr>
            </w:pPr>
            <w:r w:rsidRPr="009721C8">
              <w:rPr>
                <w:rStyle w:val="Bodytext295pt"/>
                <w:rFonts w:ascii="Sylfaen" w:hAnsi="Sylfaen"/>
                <w:i/>
                <w:spacing w:val="0"/>
                <w:sz w:val="24"/>
                <w:szCs w:val="24"/>
              </w:rPr>
              <w:t>{գրանցման հավաստագրի համարը կամ գրանցման ընթացակարգի ծածկագիրը}</w:t>
            </w:r>
          </w:p>
        </w:tc>
      </w:tr>
    </w:tbl>
    <w:p w14:paraId="41DA1BD3" w14:textId="77777777" w:rsidR="008C76E0" w:rsidRPr="00BD7577" w:rsidRDefault="008C76E0" w:rsidP="008C76E0">
      <w:pPr>
        <w:ind w:right="-1"/>
        <w:jc w:val="both"/>
        <w:rPr>
          <w:rFonts w:ascii="Sylfaen" w:hAnsi="Sylfaen"/>
          <w:sz w:val="24"/>
          <w:szCs w:val="24"/>
        </w:rPr>
      </w:pPr>
    </w:p>
    <w:p w14:paraId="676A4CF6" w14:textId="68B99048"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վերոնշյալ իրավատերը սույնով հաստատում է, որ մատակարարման մասով իրենց պայմանագրի պայմաններին համապատասխան ինքը [գրանցման հավաստագրի իրավատիրոջ (</w:t>
      </w:r>
      <w:r w:rsidR="0056496B">
        <w:rPr>
          <w:rFonts w:ascii="Sylfaen" w:hAnsi="Sylfaen"/>
          <w:sz w:val="24"/>
          <w:szCs w:val="24"/>
        </w:rPr>
        <w:t>դիմումատու</w:t>
      </w:r>
      <w:r w:rsidRPr="00BD7577">
        <w:rPr>
          <w:rFonts w:ascii="Sylfaen" w:hAnsi="Sylfaen"/>
          <w:sz w:val="24"/>
          <w:szCs w:val="24"/>
        </w:rPr>
        <w:t>ի) անվանումը] նախկինում ծանուցել է իր որոշման մասին։</w:t>
      </w:r>
    </w:p>
    <w:p w14:paraId="74175500"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վերոնշյալ մաստեր-ֆայլին համապատասխան արտադրված ակտիվ դեղագործական բաղադրամասը [մատակարարման պայմանագրի դադարեցման ամսաթվից] հետո այլ</w:t>
      </w:r>
      <w:r w:rsidR="00C54D75">
        <w:rPr>
          <w:rFonts w:ascii="Sylfaen" w:hAnsi="Sylfaen"/>
          <w:sz w:val="24"/>
          <w:szCs w:val="24"/>
        </w:rPr>
        <w:t>և</w:t>
      </w:r>
      <w:r w:rsidRPr="00BD7577">
        <w:rPr>
          <w:rFonts w:ascii="Sylfaen" w:hAnsi="Sylfaen"/>
          <w:sz w:val="24"/>
          <w:szCs w:val="24"/>
        </w:rPr>
        <w:t>ս չի մատակարարվելու,</w:t>
      </w:r>
    </w:p>
    <w:p w14:paraId="3E24E6D3" w14:textId="77777777" w:rsidR="008C76E0" w:rsidRPr="00BD7577" w:rsidRDefault="008C76E0" w:rsidP="00207FF6">
      <w:pPr>
        <w:tabs>
          <w:tab w:val="left" w:pos="1134"/>
        </w:tabs>
        <w:spacing w:after="160" w:line="360" w:lineRule="auto"/>
        <w:ind w:firstLine="567"/>
        <w:jc w:val="both"/>
        <w:rPr>
          <w:rFonts w:ascii="Sylfaen" w:hAnsi="Sylfaen"/>
          <w:sz w:val="24"/>
          <w:szCs w:val="24"/>
        </w:rPr>
      </w:pPr>
      <w:r>
        <w:rPr>
          <w:rFonts w:ascii="Sylfaen" w:hAnsi="Sylfaen"/>
          <w:sz w:val="24"/>
          <w:szCs w:val="24"/>
        </w:rPr>
        <w:t>□</w:t>
      </w:r>
      <w:r w:rsidRPr="009721C8">
        <w:rPr>
          <w:rFonts w:ascii="Sylfaen" w:hAnsi="Sylfaen"/>
          <w:sz w:val="24"/>
          <w:szCs w:val="24"/>
        </w:rPr>
        <w:tab/>
      </w:r>
      <w:r w:rsidRPr="00BD7577">
        <w:rPr>
          <w:rFonts w:ascii="Sylfaen" w:hAnsi="Sylfaen"/>
          <w:sz w:val="24"/>
          <w:szCs w:val="24"/>
        </w:rPr>
        <w:t>Ակտիվ դեղագործական բաղադրամասի մաստեր-ֆայլի փոխարինում համապատասխանության սերտիֆիկատով, [№ СЕР]։ Համապատասխանության սերտիֆիկատի պատճենը կցված է սույն նամակին:</w:t>
      </w:r>
    </w:p>
    <w:p w14:paraId="28B7F004"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իրավատիրոջ ստորագրությունը</w:t>
      </w:r>
    </w:p>
    <w:p w14:paraId="337F883E" w14:textId="77777777" w:rsidR="008C76E0" w:rsidRPr="008C76E0" w:rsidRDefault="008C76E0" w:rsidP="00207FF6">
      <w:pPr>
        <w:pStyle w:val="Bodytext70"/>
        <w:shd w:val="clear" w:color="auto" w:fill="auto"/>
        <w:spacing w:before="0" w:after="160" w:line="360" w:lineRule="auto"/>
        <w:ind w:firstLine="567"/>
        <w:rPr>
          <w:rFonts w:ascii="Sylfaen" w:hAnsi="Sylfaen"/>
          <w:b w:val="0"/>
          <w:sz w:val="24"/>
          <w:szCs w:val="24"/>
          <w:lang w:val="hy-AM"/>
        </w:rPr>
      </w:pPr>
      <w:r w:rsidRPr="008C76E0">
        <w:rPr>
          <w:rStyle w:val="Bodytext7NotItalic"/>
          <w:rFonts w:ascii="Sylfaen" w:hAnsi="Sylfaen"/>
          <w:sz w:val="24"/>
          <w:szCs w:val="24"/>
          <w:lang w:val="hy-AM"/>
        </w:rPr>
        <w:t>{</w:t>
      </w:r>
      <w:r w:rsidRPr="008C76E0">
        <w:rPr>
          <w:rFonts w:ascii="Sylfaen" w:hAnsi="Sylfaen"/>
          <w:b w:val="0"/>
          <w:sz w:val="24"/>
          <w:szCs w:val="24"/>
          <w:lang w:val="hy-AM"/>
        </w:rPr>
        <w:t>Անունն ու պաշտոնը</w:t>
      </w:r>
      <w:r w:rsidRPr="00BD7577">
        <w:rPr>
          <w:rStyle w:val="Bodytext295pt"/>
          <w:rFonts w:ascii="Sylfaen" w:hAnsi="Sylfaen"/>
          <w:spacing w:val="0"/>
          <w:sz w:val="24"/>
          <w:szCs w:val="24"/>
        </w:rPr>
        <w:t>}</w:t>
      </w:r>
    </w:p>
    <w:p w14:paraId="3E9A949B" w14:textId="77777777" w:rsidR="008C76E0" w:rsidRPr="00BD7577" w:rsidRDefault="008C76E0" w:rsidP="00207FF6">
      <w:pPr>
        <w:pStyle w:val="Bodytext70"/>
        <w:shd w:val="clear" w:color="auto" w:fill="auto"/>
        <w:spacing w:before="0" w:after="160" w:line="360" w:lineRule="auto"/>
        <w:ind w:firstLine="567"/>
        <w:rPr>
          <w:rStyle w:val="Bodytext295pt"/>
          <w:rFonts w:ascii="Sylfaen" w:eastAsia="MS Mincho" w:hAnsi="Sylfaen"/>
          <w:b/>
          <w:bCs/>
          <w:i w:val="0"/>
          <w:iCs w:val="0"/>
          <w:spacing w:val="0"/>
          <w:sz w:val="24"/>
          <w:szCs w:val="24"/>
        </w:rPr>
      </w:pPr>
      <w:r w:rsidRPr="008C76E0">
        <w:rPr>
          <w:rStyle w:val="Bodytext7NotItalic"/>
          <w:rFonts w:ascii="Sylfaen" w:hAnsi="Sylfaen"/>
          <w:sz w:val="24"/>
          <w:szCs w:val="24"/>
          <w:lang w:val="hy-AM"/>
        </w:rPr>
        <w:t>{</w:t>
      </w:r>
      <w:r w:rsidRPr="008C76E0">
        <w:rPr>
          <w:rFonts w:ascii="Sylfaen" w:hAnsi="Sylfaen"/>
          <w:b w:val="0"/>
          <w:sz w:val="24"/>
          <w:szCs w:val="24"/>
          <w:lang w:val="hy-AM"/>
        </w:rPr>
        <w:t>Ստորագրությունը</w:t>
      </w:r>
      <w:r w:rsidRPr="00BD7577">
        <w:rPr>
          <w:rStyle w:val="Bodytext295pt"/>
          <w:rFonts w:ascii="Sylfaen" w:hAnsi="Sylfaen"/>
          <w:spacing w:val="0"/>
          <w:sz w:val="24"/>
          <w:szCs w:val="24"/>
        </w:rPr>
        <w:t>}</w:t>
      </w:r>
      <w:r w:rsidRPr="008C76E0">
        <w:rPr>
          <w:rFonts w:ascii="Sylfaen" w:hAnsi="Sylfaen"/>
          <w:sz w:val="24"/>
          <w:szCs w:val="24"/>
          <w:lang w:val="hy-AM"/>
        </w:rPr>
        <w:br w:type="page"/>
      </w:r>
    </w:p>
    <w:p w14:paraId="4B43CF3B" w14:textId="77777777" w:rsidR="008C76E0" w:rsidRPr="00E15E7D" w:rsidRDefault="008C76E0" w:rsidP="00207FF6">
      <w:pPr>
        <w:pStyle w:val="Bodytext70"/>
        <w:shd w:val="clear" w:color="auto" w:fill="auto"/>
        <w:spacing w:before="0" w:after="160" w:line="360" w:lineRule="auto"/>
        <w:ind w:right="-1"/>
        <w:jc w:val="right"/>
        <w:rPr>
          <w:rFonts w:ascii="Sylfaen" w:hAnsi="Sylfaen"/>
          <w:b w:val="0"/>
          <w:i w:val="0"/>
          <w:sz w:val="24"/>
          <w:szCs w:val="24"/>
          <w:lang w:val="hy-AM"/>
        </w:rPr>
      </w:pPr>
      <w:r w:rsidRPr="008C76E0">
        <w:rPr>
          <w:rFonts w:ascii="Sylfaen" w:hAnsi="Sylfaen"/>
          <w:b w:val="0"/>
          <w:i w:val="0"/>
          <w:sz w:val="24"/>
          <w:szCs w:val="24"/>
          <w:lang w:val="hy-AM"/>
        </w:rPr>
        <w:lastRenderedPageBreak/>
        <w:t>Լրացում թիվ 5</w:t>
      </w:r>
    </w:p>
    <w:p w14:paraId="0371EADF" w14:textId="77777777" w:rsidR="00207FF6" w:rsidRPr="00E15E7D" w:rsidRDefault="00207FF6" w:rsidP="00207FF6">
      <w:pPr>
        <w:pStyle w:val="Bodytext70"/>
        <w:shd w:val="clear" w:color="auto" w:fill="auto"/>
        <w:spacing w:before="0" w:after="160" w:line="360" w:lineRule="auto"/>
        <w:ind w:right="-1"/>
        <w:jc w:val="right"/>
        <w:rPr>
          <w:rFonts w:ascii="Sylfaen" w:hAnsi="Sylfaen"/>
          <w:b w:val="0"/>
          <w:i w:val="0"/>
          <w:sz w:val="24"/>
          <w:szCs w:val="24"/>
          <w:lang w:val="hy-AM"/>
        </w:rPr>
      </w:pPr>
    </w:p>
    <w:p w14:paraId="444C17B9" w14:textId="77777777" w:rsidR="008C76E0" w:rsidRPr="008C76E0" w:rsidRDefault="008C76E0" w:rsidP="00207FF6">
      <w:pPr>
        <w:pStyle w:val="Bodytext70"/>
        <w:shd w:val="clear" w:color="auto" w:fill="auto"/>
        <w:spacing w:before="0" w:after="160" w:line="360" w:lineRule="auto"/>
        <w:ind w:left="567" w:right="566"/>
        <w:jc w:val="center"/>
        <w:rPr>
          <w:rFonts w:ascii="Sylfaen" w:hAnsi="Sylfaen"/>
          <w:i w:val="0"/>
          <w:sz w:val="24"/>
          <w:szCs w:val="24"/>
          <w:lang w:val="hy-AM"/>
        </w:rPr>
      </w:pPr>
      <w:r w:rsidRPr="008C76E0">
        <w:rPr>
          <w:rFonts w:ascii="Sylfaen" w:hAnsi="Sylfaen"/>
          <w:i w:val="0"/>
          <w:sz w:val="24"/>
          <w:szCs w:val="24"/>
          <w:lang w:val="hy-AM"/>
        </w:rPr>
        <w:t>Ակտիվ դեղագործական բաղադրամասի մաստեր-ֆայլի (ԱԴԲՄՖ) հայեցակարգի ոչ կիրառելի լինելը</w:t>
      </w:r>
    </w:p>
    <w:p w14:paraId="3636DC37" w14:textId="77777777" w:rsidR="008C76E0" w:rsidRPr="008C76E0" w:rsidRDefault="008C76E0" w:rsidP="00207FF6">
      <w:pPr>
        <w:pStyle w:val="Bodytext70"/>
        <w:shd w:val="clear" w:color="auto" w:fill="auto"/>
        <w:spacing w:before="0" w:after="160" w:line="360" w:lineRule="auto"/>
        <w:ind w:right="-1"/>
        <w:jc w:val="center"/>
        <w:rPr>
          <w:rFonts w:ascii="Sylfaen" w:hAnsi="Sylfaen"/>
          <w:i w:val="0"/>
          <w:sz w:val="24"/>
          <w:szCs w:val="24"/>
          <w:lang w:val="hy-AM"/>
        </w:rPr>
      </w:pPr>
    </w:p>
    <w:p w14:paraId="71AAF2CF" w14:textId="77777777" w:rsidR="008C76E0" w:rsidRPr="00BD7577" w:rsidRDefault="008C76E0" w:rsidP="00207FF6">
      <w:pPr>
        <w:numPr>
          <w:ilvl w:val="0"/>
          <w:numId w:val="4"/>
        </w:numPr>
        <w:tabs>
          <w:tab w:val="left" w:pos="1134"/>
        </w:tabs>
        <w:spacing w:after="160" w:line="360" w:lineRule="auto"/>
        <w:ind w:left="0" w:right="-1" w:firstLine="567"/>
        <w:jc w:val="both"/>
        <w:rPr>
          <w:rFonts w:ascii="Sylfaen" w:hAnsi="Sylfaen"/>
          <w:sz w:val="24"/>
          <w:szCs w:val="24"/>
        </w:rPr>
      </w:pPr>
      <w:r w:rsidRPr="00BD7577">
        <w:rPr>
          <w:rFonts w:ascii="Sylfaen" w:hAnsi="Sylfaen"/>
          <w:sz w:val="24"/>
          <w:szCs w:val="24"/>
        </w:rPr>
        <w:t>Ակտիվ դեղագործական նյութի մաստեր-ֆայլի (ԱԴԲՄՖ) հայեցակարգի ոչ կիրառելի լինելը կենսաբանական ակտիվ դեղագործական նյութերի դեպքում։</w:t>
      </w:r>
    </w:p>
    <w:p w14:paraId="4631DE51" w14:textId="2016D720"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ԳՀ-ի իրավատերերին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ներին խորհուրդ չի տրվում կիրառել ակտիվ դեղագործական բաղադրամասերի մաստեր-ֆայլերի (ԱԴԲՄՖ) հայեցակարգը կենսաբանական դեղապատրաստուկների դեպքում։</w:t>
      </w:r>
    </w:p>
    <w:p w14:paraId="022AB1A8"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Կենսաբանական դեղագործական բաղադրամասերի բնութագրերի սահմանումն ու որակի հաստատումը պահանջում է ոչ միայն ֆիզիկաքիմիական </w:t>
      </w:r>
      <w:r w:rsidR="00C54D75">
        <w:rPr>
          <w:rFonts w:ascii="Sylfaen" w:hAnsi="Sylfaen"/>
          <w:sz w:val="24"/>
          <w:szCs w:val="24"/>
        </w:rPr>
        <w:t>և</w:t>
      </w:r>
      <w:r w:rsidRPr="00BD7577">
        <w:rPr>
          <w:rFonts w:ascii="Sylfaen" w:hAnsi="Sylfaen"/>
          <w:sz w:val="24"/>
          <w:szCs w:val="24"/>
        </w:rPr>
        <w:t xml:space="preserve"> կենսաբանական փորձարկումների համակցության օգտագործում, այլ</w:t>
      </w:r>
      <w:r w:rsidR="00C54D75">
        <w:rPr>
          <w:rFonts w:ascii="Sylfaen" w:hAnsi="Sylfaen"/>
          <w:sz w:val="24"/>
          <w:szCs w:val="24"/>
        </w:rPr>
        <w:t>և</w:t>
      </w:r>
      <w:r w:rsidRPr="00BD7577">
        <w:rPr>
          <w:rFonts w:ascii="Sylfaen" w:hAnsi="Sylfaen"/>
          <w:sz w:val="24"/>
          <w:szCs w:val="24"/>
        </w:rPr>
        <w:t xml:space="preserve"> արտադրության գործընթացի խորը իմացություն </w:t>
      </w:r>
      <w:r w:rsidR="00C54D75">
        <w:rPr>
          <w:rFonts w:ascii="Sylfaen" w:hAnsi="Sylfaen"/>
          <w:sz w:val="24"/>
          <w:szCs w:val="24"/>
        </w:rPr>
        <w:t>և</w:t>
      </w:r>
      <w:r w:rsidRPr="00BD7577">
        <w:rPr>
          <w:rFonts w:ascii="Sylfaen" w:hAnsi="Sylfaen"/>
          <w:sz w:val="24"/>
          <w:szCs w:val="24"/>
        </w:rPr>
        <w:t xml:space="preserve"> վերջինիս հսկողություն։</w:t>
      </w:r>
    </w:p>
    <w:p w14:paraId="3AEE208C" w14:textId="061CCD80"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Այս առնչությամբ կենսաբանական դեղապատրաստուկի ԳՀ-ի իրավատերը (</w:t>
      </w:r>
      <w:r w:rsidR="0056496B">
        <w:rPr>
          <w:rFonts w:ascii="Sylfaen" w:hAnsi="Sylfaen"/>
          <w:sz w:val="24"/>
          <w:szCs w:val="24"/>
        </w:rPr>
        <w:t>դիմումատու</w:t>
      </w:r>
      <w:r w:rsidRPr="00BD7577">
        <w:rPr>
          <w:rFonts w:ascii="Sylfaen" w:hAnsi="Sylfaen"/>
          <w:sz w:val="24"/>
          <w:szCs w:val="24"/>
        </w:rPr>
        <w:t xml:space="preserve">ն) կարող է չհամապատասխանել «դեղապատրաստուկի համար պատասխանատվությունն իր վրա վերցնելու» պահանջին՝ առանց ակտիվ դեղագործական բաղադրամասի որակի մասին այդ տվյալների լրիվ </w:t>
      </w:r>
      <w:r w:rsidR="00C54D75">
        <w:rPr>
          <w:rFonts w:ascii="Sylfaen" w:hAnsi="Sylfaen"/>
          <w:sz w:val="24"/>
          <w:szCs w:val="24"/>
        </w:rPr>
        <w:t>և</w:t>
      </w:r>
      <w:r w:rsidRPr="00BD7577">
        <w:rPr>
          <w:rFonts w:ascii="Sylfaen" w:hAnsi="Sylfaen"/>
          <w:sz w:val="24"/>
          <w:szCs w:val="24"/>
        </w:rPr>
        <w:t xml:space="preserve"> թափանցիկ հասանելիության առկայության։ ԱԴԲՄՖ-ի օգտագործումը կխոչընդոտի այդպիսի հասանելիությանը, </w:t>
      </w:r>
      <w:r w:rsidR="00C54D75">
        <w:rPr>
          <w:rFonts w:ascii="Sylfaen" w:hAnsi="Sylfaen"/>
          <w:sz w:val="24"/>
          <w:szCs w:val="24"/>
        </w:rPr>
        <w:t>և</w:t>
      </w:r>
      <w:r w:rsidRPr="00BD7577">
        <w:rPr>
          <w:rFonts w:ascii="Sylfaen" w:hAnsi="Sylfaen"/>
          <w:sz w:val="24"/>
          <w:szCs w:val="24"/>
        </w:rPr>
        <w:t xml:space="preserve"> այդ պատճառով այն չի թույլատրվում կենսաբանական ակտիվ դեղագործական բաղադրամասերի դեպքում։</w:t>
      </w:r>
    </w:p>
    <w:p w14:paraId="5C635C46" w14:textId="77777777" w:rsidR="008C76E0" w:rsidRPr="00BD7577" w:rsidRDefault="008C76E0" w:rsidP="00207FF6">
      <w:pPr>
        <w:tabs>
          <w:tab w:val="left" w:pos="993"/>
        </w:tabs>
        <w:spacing w:after="160" w:line="360" w:lineRule="auto"/>
        <w:ind w:firstLine="567"/>
        <w:jc w:val="both"/>
        <w:rPr>
          <w:rFonts w:ascii="Sylfaen" w:hAnsi="Sylfaen"/>
          <w:sz w:val="24"/>
          <w:szCs w:val="24"/>
        </w:rPr>
      </w:pPr>
      <w:r w:rsidRPr="00BD7577">
        <w:rPr>
          <w:rFonts w:ascii="Sylfaen" w:hAnsi="Sylfaen"/>
          <w:sz w:val="24"/>
          <w:szCs w:val="24"/>
        </w:rPr>
        <w:t>Բացի այդ, որոշակի դեղապատրաստուկների, ինչպիսիք են պատվաստանյութերը կամ բջջային թերապիայի համար նախատեսված դեղապատրաստուկները, բաղադրության մեջ մտնող ակտիվ դեղագործական նյութերը չեն տեղավորվում «լավ ուսումնասիրված» ակտիվ դեղագործական բաղադրամասի հայեցակարգի մեջ։</w:t>
      </w:r>
    </w:p>
    <w:p w14:paraId="6AD7C9DC" w14:textId="77777777" w:rsidR="008C76E0" w:rsidRPr="00BD7577" w:rsidRDefault="008C76E0" w:rsidP="00207FF6">
      <w:pPr>
        <w:numPr>
          <w:ilvl w:val="0"/>
          <w:numId w:val="4"/>
        </w:numPr>
        <w:tabs>
          <w:tab w:val="left" w:pos="1134"/>
        </w:tabs>
        <w:spacing w:after="160" w:line="360" w:lineRule="auto"/>
        <w:ind w:left="0" w:firstLine="567"/>
        <w:jc w:val="both"/>
        <w:rPr>
          <w:rFonts w:ascii="Sylfaen" w:hAnsi="Sylfaen"/>
          <w:sz w:val="24"/>
          <w:szCs w:val="24"/>
        </w:rPr>
      </w:pPr>
      <w:r w:rsidRPr="00BD7577">
        <w:rPr>
          <w:rFonts w:ascii="Sylfaen" w:hAnsi="Sylfaen"/>
          <w:sz w:val="24"/>
          <w:szCs w:val="24"/>
        </w:rPr>
        <w:lastRenderedPageBreak/>
        <w:t xml:space="preserve">Ակտիվ պատվաստանյութային հակածնի մաստեր-ֆայլի (ՊՀՄՖ) </w:t>
      </w:r>
      <w:r w:rsidR="00C54D75">
        <w:rPr>
          <w:rFonts w:ascii="Sylfaen" w:hAnsi="Sylfaen"/>
          <w:sz w:val="24"/>
          <w:szCs w:val="24"/>
        </w:rPr>
        <w:t>և</w:t>
      </w:r>
      <w:r w:rsidRPr="00BD7577">
        <w:rPr>
          <w:rFonts w:ascii="Sylfaen" w:hAnsi="Sylfaen"/>
          <w:sz w:val="24"/>
          <w:szCs w:val="24"/>
        </w:rPr>
        <w:t xml:space="preserve"> պլազմայի մաստեր-ֆայլի (ՊՄՖ) բաց </w:t>
      </w:r>
      <w:r w:rsidR="00C54D75">
        <w:rPr>
          <w:rFonts w:ascii="Sylfaen" w:hAnsi="Sylfaen"/>
          <w:sz w:val="24"/>
          <w:szCs w:val="24"/>
        </w:rPr>
        <w:t>և</w:t>
      </w:r>
      <w:r w:rsidRPr="00BD7577">
        <w:rPr>
          <w:rFonts w:ascii="Sylfaen" w:hAnsi="Sylfaen"/>
          <w:sz w:val="24"/>
          <w:szCs w:val="24"/>
        </w:rPr>
        <w:t xml:space="preserve"> փակ մասերի նկատմամբ ԱԴԲՄՖ-ի հայեցակարգի ոչ կիրառելի լինելը </w:t>
      </w:r>
    </w:p>
    <w:p w14:paraId="7367F45B" w14:textId="77777777"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 xml:space="preserve">Պատվաստանյութային հակածնի մաստեր-ֆայլում (ՊՀՄՖ) </w:t>
      </w:r>
      <w:r w:rsidR="00C54D75">
        <w:rPr>
          <w:rFonts w:ascii="Sylfaen" w:hAnsi="Sylfaen"/>
          <w:sz w:val="24"/>
          <w:szCs w:val="24"/>
        </w:rPr>
        <w:t>և</w:t>
      </w:r>
      <w:r w:rsidRPr="00BD7577">
        <w:rPr>
          <w:rFonts w:ascii="Sylfaen" w:hAnsi="Sylfaen"/>
          <w:sz w:val="24"/>
          <w:szCs w:val="24"/>
        </w:rPr>
        <w:t xml:space="preserve"> պլազմայի մաստեր-ֆայլում (ՊՄՖ) բաց (փակ) մասերի օգտագործումն օրենսդրությամբ չի ամրագրվում։ Բաց (ոչ գաղտնի) </w:t>
      </w:r>
      <w:r w:rsidR="00C54D75">
        <w:rPr>
          <w:rFonts w:ascii="Sylfaen" w:hAnsi="Sylfaen"/>
          <w:sz w:val="24"/>
          <w:szCs w:val="24"/>
        </w:rPr>
        <w:t>և</w:t>
      </w:r>
      <w:r w:rsidRPr="00BD7577">
        <w:rPr>
          <w:rFonts w:ascii="Sylfaen" w:hAnsi="Sylfaen"/>
          <w:sz w:val="24"/>
          <w:szCs w:val="24"/>
        </w:rPr>
        <w:t xml:space="preserve"> փակ (գաղտնի) մասերի հայեցակարգը բնորոշ է ակտիվ դեղագործական բաղադրամասի մաստեր-ֆայլին։</w:t>
      </w:r>
    </w:p>
    <w:p w14:paraId="76163593" w14:textId="36D1FB96"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ՊՀՄՖ-ի մասով օրենսդրությամբ նշվում է, որ ՊՀՄՖ-ի իրավատերը չի կարող տարբերվել դիտարկվող դեղապատրաստուկի ԳՀ-ի իրավատիրոջից (</w:t>
      </w:r>
      <w:r w:rsidR="0056496B">
        <w:rPr>
          <w:rFonts w:ascii="Sylfaen" w:hAnsi="Sylfaen"/>
          <w:sz w:val="24"/>
          <w:szCs w:val="24"/>
        </w:rPr>
        <w:t>դիմումատու</w:t>
      </w:r>
      <w:r w:rsidRPr="00BD7577">
        <w:rPr>
          <w:rFonts w:ascii="Sylfaen" w:hAnsi="Sylfaen"/>
          <w:sz w:val="24"/>
          <w:szCs w:val="24"/>
        </w:rPr>
        <w:t>ից), այդ պատճառով բացակայում են համակարգի «բաց (փակ)» մասերի օգտագործման հիմքերը։</w:t>
      </w:r>
    </w:p>
    <w:p w14:paraId="4D12459B" w14:textId="0D983D18" w:rsidR="008C76E0" w:rsidRPr="00BD7577" w:rsidRDefault="008C76E0" w:rsidP="00207FF6">
      <w:pPr>
        <w:tabs>
          <w:tab w:val="left" w:pos="993"/>
        </w:tabs>
        <w:spacing w:after="160" w:line="360" w:lineRule="auto"/>
        <w:ind w:right="-1" w:firstLine="567"/>
        <w:jc w:val="both"/>
        <w:rPr>
          <w:rFonts w:ascii="Sylfaen" w:hAnsi="Sylfaen"/>
          <w:sz w:val="24"/>
          <w:szCs w:val="24"/>
        </w:rPr>
      </w:pPr>
      <w:r w:rsidRPr="00BD7577">
        <w:rPr>
          <w:rFonts w:ascii="Sylfaen" w:hAnsi="Sylfaen"/>
          <w:sz w:val="24"/>
          <w:szCs w:val="24"/>
        </w:rPr>
        <w:t>ՊՄՖ-ի մասով օրենսդրությամբ նշվում է, որ եթե ԳՀ-ի իրավատերը (</w:t>
      </w:r>
      <w:r w:rsidR="0056496B">
        <w:rPr>
          <w:rFonts w:ascii="Sylfaen" w:hAnsi="Sylfaen"/>
          <w:sz w:val="24"/>
          <w:szCs w:val="24"/>
        </w:rPr>
        <w:t>դիմումատու</w:t>
      </w:r>
      <w:r w:rsidRPr="00BD7577">
        <w:rPr>
          <w:rFonts w:ascii="Sylfaen" w:hAnsi="Sylfaen"/>
          <w:sz w:val="24"/>
          <w:szCs w:val="24"/>
        </w:rPr>
        <w:t>ն) տարբերվում է ՊՄՖ-ի իրավատիրոջից, ապա անհրաժեշտ է ՊՄՖ-ն հանձնել ԳՀ-ի իրավատիրոջը (</w:t>
      </w:r>
      <w:r w:rsidR="0056496B">
        <w:rPr>
          <w:rFonts w:ascii="Sylfaen" w:hAnsi="Sylfaen"/>
          <w:sz w:val="24"/>
          <w:szCs w:val="24"/>
        </w:rPr>
        <w:t>դիմումատու</w:t>
      </w:r>
      <w:r w:rsidRPr="00BD7577">
        <w:rPr>
          <w:rFonts w:ascii="Sylfaen" w:hAnsi="Sylfaen"/>
          <w:sz w:val="24"/>
          <w:szCs w:val="24"/>
        </w:rPr>
        <w:t>ին)՝ այն անդամ պետության լիազորված մարմին ներկայացնելու համար։</w:t>
      </w:r>
    </w:p>
    <w:p w14:paraId="5105393A" w14:textId="77777777" w:rsidR="008C76E0" w:rsidRPr="00BD7577" w:rsidRDefault="008C76E0" w:rsidP="008C76E0">
      <w:pPr>
        <w:rPr>
          <w:rFonts w:ascii="Sylfaen" w:eastAsia="Times New Roman" w:hAnsi="Sylfaen" w:cs="Times New Roman"/>
          <w:sz w:val="24"/>
          <w:szCs w:val="24"/>
        </w:rPr>
      </w:pPr>
      <w:r w:rsidRPr="00BD7577">
        <w:rPr>
          <w:rFonts w:ascii="Sylfaen" w:hAnsi="Sylfaen"/>
          <w:sz w:val="24"/>
          <w:szCs w:val="24"/>
        </w:rPr>
        <w:br w:type="page"/>
      </w:r>
    </w:p>
    <w:p w14:paraId="507151D1" w14:textId="77777777" w:rsidR="008C76E0" w:rsidRPr="00BD7577" w:rsidRDefault="008C76E0" w:rsidP="008C76E0">
      <w:pPr>
        <w:ind w:firstLine="567"/>
        <w:jc w:val="right"/>
        <w:rPr>
          <w:rFonts w:ascii="Sylfaen" w:hAnsi="Sylfaen"/>
          <w:sz w:val="24"/>
          <w:szCs w:val="24"/>
        </w:rPr>
      </w:pPr>
      <w:r w:rsidRPr="00BD7577">
        <w:rPr>
          <w:rFonts w:ascii="Sylfaen" w:hAnsi="Sylfaen"/>
          <w:sz w:val="24"/>
          <w:szCs w:val="24"/>
        </w:rPr>
        <w:lastRenderedPageBreak/>
        <w:t>Լրացում թիվ 6</w:t>
      </w:r>
    </w:p>
    <w:p w14:paraId="265CA069" w14:textId="77777777" w:rsidR="008C76E0" w:rsidRPr="00BD7577" w:rsidRDefault="008C76E0" w:rsidP="008C76E0">
      <w:pPr>
        <w:ind w:firstLine="567"/>
        <w:jc w:val="right"/>
        <w:rPr>
          <w:rFonts w:ascii="Sylfaen" w:hAnsi="Sylfaen"/>
          <w:sz w:val="24"/>
          <w:szCs w:val="24"/>
        </w:rPr>
      </w:pPr>
    </w:p>
    <w:p w14:paraId="4A829BAF"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t>Սահմանումները</w:t>
      </w:r>
    </w:p>
    <w:p w14:paraId="0F9B639E"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Սույն հավելվածի նպատակներով օգտագործվում են հետ</w:t>
      </w:r>
      <w:r w:rsidR="00C54D75">
        <w:rPr>
          <w:rFonts w:ascii="Sylfaen" w:hAnsi="Sylfaen"/>
          <w:sz w:val="24"/>
          <w:szCs w:val="24"/>
        </w:rPr>
        <w:t>և</w:t>
      </w:r>
      <w:r w:rsidRPr="00BD7577">
        <w:rPr>
          <w:rFonts w:ascii="Sylfaen" w:hAnsi="Sylfaen"/>
          <w:sz w:val="24"/>
          <w:szCs w:val="24"/>
        </w:rPr>
        <w:t xml:space="preserve">յալ հասկացությունները </w:t>
      </w:r>
      <w:r w:rsidR="00C54D75">
        <w:rPr>
          <w:rFonts w:ascii="Sylfaen" w:hAnsi="Sylfaen"/>
          <w:sz w:val="24"/>
          <w:szCs w:val="24"/>
        </w:rPr>
        <w:t>և</w:t>
      </w:r>
      <w:r w:rsidRPr="00BD7577">
        <w:rPr>
          <w:rFonts w:ascii="Sylfaen" w:hAnsi="Sylfaen"/>
          <w:sz w:val="24"/>
          <w:szCs w:val="24"/>
        </w:rPr>
        <w:t xml:space="preserve"> դրանց սահմանումները՝</w:t>
      </w:r>
    </w:p>
    <w:p w14:paraId="57494C1C"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«ակտիվ դեղագործական բաղադրամաս արտադրող»՝ ակտիվ դեղագործական բաղադրամասի արտադրության շղթայի մեջ մտնող կողմը, ներառյալ՝ դիստրիբյուտորները, վերափաթեթավորողները </w:t>
      </w:r>
      <w:r w:rsidR="00C54D75">
        <w:rPr>
          <w:rFonts w:ascii="Sylfaen" w:hAnsi="Sylfaen"/>
          <w:sz w:val="24"/>
          <w:szCs w:val="24"/>
        </w:rPr>
        <w:t>և</w:t>
      </w:r>
      <w:r w:rsidRPr="00BD7577">
        <w:rPr>
          <w:rFonts w:ascii="Sylfaen" w:hAnsi="Sylfaen"/>
          <w:sz w:val="24"/>
          <w:szCs w:val="24"/>
        </w:rPr>
        <w:t xml:space="preserve"> վերամակնշողները,</w:t>
      </w:r>
    </w:p>
    <w:p w14:paraId="31F9B25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բաղադրամասի մաստեր-ֆայլի իրավատեր»՝ ակտիվ դեղագործական բաղադրամասի մաստեր-ֆայլի համար միանձնյա պատասխանատվություն կրող ընկերությունը,</w:t>
      </w:r>
    </w:p>
    <w:p w14:paraId="533BFAEA"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«արտադրության շղթա»՝ արտադրության փուլերի հաջորդականությունը, որը ներկայացված է ակտիվ դեղագործական բաղադրամասի արտադրության </w:t>
      </w:r>
      <w:r w:rsidR="00C54D75">
        <w:rPr>
          <w:rFonts w:ascii="Sylfaen" w:hAnsi="Sylfaen"/>
          <w:sz w:val="24"/>
          <w:szCs w:val="24"/>
        </w:rPr>
        <w:t>և</w:t>
      </w:r>
      <w:r w:rsidRPr="00BD7577">
        <w:rPr>
          <w:rFonts w:ascii="Sylfaen" w:hAnsi="Sylfaen"/>
          <w:sz w:val="24"/>
          <w:szCs w:val="24"/>
        </w:rPr>
        <w:t xml:space="preserve"> բաշխման եղանակն առաջին ելանյութերից մինչ</w:t>
      </w:r>
      <w:r w:rsidR="00C54D75">
        <w:rPr>
          <w:rFonts w:ascii="Sylfaen" w:hAnsi="Sylfaen"/>
          <w:sz w:val="24"/>
          <w:szCs w:val="24"/>
        </w:rPr>
        <w:t>և</w:t>
      </w:r>
      <w:r w:rsidRPr="00BD7577">
        <w:rPr>
          <w:rFonts w:ascii="Sylfaen" w:hAnsi="Sylfaen"/>
          <w:sz w:val="24"/>
          <w:szCs w:val="24"/>
        </w:rPr>
        <w:t xml:space="preserve"> պատրաստի ակտիվ դեղագործական բաղադրամասը բացատրող բլոկ-սխեմայի կամ պատմողական տեքստի տեսքով,</w:t>
      </w:r>
    </w:p>
    <w:p w14:paraId="0A415EBE" w14:textId="3F96E7E7" w:rsidR="004B393A" w:rsidRDefault="008C76E0" w:rsidP="00364CB4">
      <w:pPr>
        <w:spacing w:after="160" w:line="360" w:lineRule="auto"/>
        <w:ind w:firstLine="567"/>
        <w:jc w:val="both"/>
        <w:rPr>
          <w:rFonts w:ascii="Sylfaen" w:hAnsi="Sylfaen"/>
          <w:sz w:val="24"/>
          <w:szCs w:val="24"/>
        </w:rPr>
      </w:pPr>
      <w:r w:rsidRPr="00BD7577">
        <w:rPr>
          <w:rFonts w:ascii="Sylfaen" w:hAnsi="Sylfaen"/>
          <w:sz w:val="24"/>
          <w:szCs w:val="24"/>
        </w:rPr>
        <w:t>«նոր դեղագործական բաղադրամաս»՝ ազդող նյութ, որը նախկինում չի գրանցվել անդամ պետությունում (</w:t>
      </w:r>
      <w:r w:rsidR="005F6A31">
        <w:rPr>
          <w:rFonts w:ascii="Sylfaen" w:hAnsi="Sylfaen"/>
          <w:sz w:val="24"/>
          <w:szCs w:val="24"/>
        </w:rPr>
        <w:t>հայտնի</w:t>
      </w:r>
      <w:r w:rsidRPr="00BD7577">
        <w:rPr>
          <w:rFonts w:ascii="Sylfaen" w:hAnsi="Sylfaen"/>
          <w:sz w:val="24"/>
          <w:szCs w:val="24"/>
        </w:rPr>
        <w:t xml:space="preserve"> է նա</w:t>
      </w:r>
      <w:r w:rsidR="00C54D75">
        <w:rPr>
          <w:rFonts w:ascii="Sylfaen" w:hAnsi="Sylfaen"/>
          <w:sz w:val="24"/>
          <w:szCs w:val="24"/>
        </w:rPr>
        <w:t>և</w:t>
      </w:r>
      <w:r w:rsidRPr="00BD7577">
        <w:rPr>
          <w:rFonts w:ascii="Sylfaen" w:hAnsi="Sylfaen"/>
          <w:sz w:val="24"/>
          <w:szCs w:val="24"/>
        </w:rPr>
        <w:t xml:space="preserve"> նոր մոլեկուլային կառուցվածք կամ նոր քիմիական նյութ անվամբ), որը կարող է իրենից ներկայացնել համալիր, նախկինում գրանցված ակտիվ դեղագործական բաղադրամասի սովորական եթեր կամ աղ, որը վերջինից տարբերվում է անվտանգության </w:t>
      </w:r>
      <w:r w:rsidR="00C54D75">
        <w:rPr>
          <w:rFonts w:ascii="Sylfaen" w:hAnsi="Sylfaen"/>
          <w:sz w:val="24"/>
          <w:szCs w:val="24"/>
        </w:rPr>
        <w:t>և</w:t>
      </w:r>
      <w:r w:rsidRPr="00BD7577">
        <w:rPr>
          <w:rFonts w:ascii="Sylfaen" w:hAnsi="Sylfaen"/>
          <w:sz w:val="24"/>
          <w:szCs w:val="24"/>
        </w:rPr>
        <w:t xml:space="preserve"> արդյունավետության տեսանկյունից։</w:t>
      </w:r>
    </w:p>
    <w:p w14:paraId="08DC6084"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40EC17A4" w14:textId="4CA25270" w:rsidR="00364CB4" w:rsidRDefault="00364CB4" w:rsidP="00207FF6">
      <w:pPr>
        <w:spacing w:after="160" w:line="360" w:lineRule="auto"/>
        <w:ind w:left="4536"/>
        <w:jc w:val="center"/>
        <w:rPr>
          <w:rFonts w:ascii="Sylfaen" w:hAnsi="Sylfaen"/>
          <w:sz w:val="24"/>
          <w:szCs w:val="24"/>
        </w:rPr>
        <w:sectPr w:rsidR="00364CB4" w:rsidSect="00207FF6">
          <w:pgSz w:w="11907" w:h="16839" w:code="9"/>
          <w:pgMar w:top="1418" w:right="1418" w:bottom="1418" w:left="1418" w:header="709" w:footer="709" w:gutter="0"/>
          <w:pgNumType w:start="1"/>
          <w:cols w:space="708"/>
          <w:titlePg/>
          <w:docGrid w:linePitch="360"/>
        </w:sectPr>
      </w:pPr>
    </w:p>
    <w:p w14:paraId="3C53C712"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lastRenderedPageBreak/>
        <w:t>ՀԱՎԵԼՎԱԾ ԹԻՎ 11</w:t>
      </w:r>
    </w:p>
    <w:p w14:paraId="7508C4DE" w14:textId="77777777" w:rsidR="008C76E0" w:rsidRPr="00BD7577" w:rsidRDefault="008C76E0" w:rsidP="00207FF6">
      <w:pPr>
        <w:spacing w:after="160" w:line="360" w:lineRule="auto"/>
        <w:ind w:left="4536"/>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6C7575DA" w14:textId="77777777" w:rsidR="008C76E0" w:rsidRPr="00BD7577" w:rsidRDefault="008C76E0" w:rsidP="00207FF6">
      <w:pPr>
        <w:spacing w:after="160" w:line="360" w:lineRule="auto"/>
        <w:ind w:left="5103"/>
        <w:jc w:val="center"/>
        <w:rPr>
          <w:rFonts w:ascii="Sylfaen" w:hAnsi="Sylfaen"/>
          <w:sz w:val="24"/>
          <w:szCs w:val="24"/>
        </w:rPr>
      </w:pPr>
    </w:p>
    <w:p w14:paraId="71371A1D" w14:textId="77777777" w:rsidR="008C76E0" w:rsidRPr="00207FF6" w:rsidRDefault="008C76E0" w:rsidP="00207FF6">
      <w:pPr>
        <w:spacing w:after="160" w:line="360" w:lineRule="auto"/>
        <w:jc w:val="center"/>
        <w:rPr>
          <w:rFonts w:ascii="Sylfaen" w:hAnsi="Sylfaen"/>
          <w:b/>
          <w:sz w:val="24"/>
          <w:szCs w:val="24"/>
        </w:rPr>
      </w:pPr>
      <w:r w:rsidRPr="00207FF6">
        <w:rPr>
          <w:rStyle w:val="Bodytext2Spacing2pt"/>
          <w:rFonts w:ascii="Sylfaen" w:eastAsiaTheme="minorHAnsi" w:hAnsi="Sylfaen"/>
          <w:b/>
          <w:spacing w:val="0"/>
          <w:sz w:val="24"/>
          <w:szCs w:val="24"/>
        </w:rPr>
        <w:t>ՁԵՎ</w:t>
      </w:r>
    </w:p>
    <w:p w14:paraId="69F1B65B"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նախնական ամփոփ հաշվետվության</w:t>
      </w:r>
    </w:p>
    <w:p w14:paraId="78EDA995" w14:textId="77777777" w:rsidR="008C76E0" w:rsidRPr="008C76E0" w:rsidRDefault="008C76E0" w:rsidP="00207FF6">
      <w:pPr>
        <w:pStyle w:val="Bodytext130"/>
        <w:shd w:val="clear" w:color="auto" w:fill="auto"/>
        <w:spacing w:after="160" w:line="360" w:lineRule="auto"/>
        <w:rPr>
          <w:rFonts w:ascii="Sylfaen" w:hAnsi="Sylfaen"/>
          <w:sz w:val="24"/>
          <w:szCs w:val="24"/>
          <w:lang w:val="hy-AM"/>
        </w:rPr>
      </w:pPr>
    </w:p>
    <w:p w14:paraId="508FA1E1" w14:textId="77777777" w:rsidR="008C76E0" w:rsidRPr="00BD7577" w:rsidRDefault="008C76E0" w:rsidP="00207FF6">
      <w:pPr>
        <w:spacing w:after="160" w:line="360" w:lineRule="auto"/>
        <w:ind w:firstLine="567"/>
        <w:jc w:val="both"/>
        <w:rPr>
          <w:rFonts w:ascii="Sylfaen" w:hAnsi="Sylfaen"/>
          <w:sz w:val="24"/>
          <w:szCs w:val="24"/>
        </w:rPr>
      </w:pPr>
      <w:r w:rsidRPr="00BD7577">
        <w:rPr>
          <w:rFonts w:ascii="Sylfaen" w:hAnsi="Sylfaen"/>
          <w:sz w:val="24"/>
          <w:szCs w:val="24"/>
        </w:rPr>
        <w:t>Լրացնելու ցուցումներ. տեքստի պատրաստի ձ</w:t>
      </w:r>
      <w:r w:rsidR="00C54D75">
        <w:rPr>
          <w:rFonts w:ascii="Sylfaen" w:hAnsi="Sylfaen"/>
          <w:sz w:val="24"/>
          <w:szCs w:val="24"/>
        </w:rPr>
        <w:t>և</w:t>
      </w:r>
      <w:r w:rsidRPr="00BD7577">
        <w:rPr>
          <w:rFonts w:ascii="Sylfaen" w:hAnsi="Sylfaen"/>
          <w:sz w:val="24"/>
          <w:szCs w:val="24"/>
        </w:rPr>
        <w:t>անմուշներ օգտագործելիս դրանք սույն ձ</w:t>
      </w:r>
      <w:r w:rsidR="00C54D75">
        <w:rPr>
          <w:rFonts w:ascii="Sylfaen" w:hAnsi="Sylfaen"/>
          <w:sz w:val="24"/>
          <w:szCs w:val="24"/>
        </w:rPr>
        <w:t>և</w:t>
      </w:r>
      <w:r w:rsidRPr="00BD7577">
        <w:rPr>
          <w:rFonts w:ascii="Sylfaen" w:hAnsi="Sylfaen"/>
          <w:sz w:val="24"/>
          <w:szCs w:val="24"/>
        </w:rPr>
        <w:t xml:space="preserve">ում ընդգծված են &lt; &gt; նշաններով </w:t>
      </w:r>
      <w:r w:rsidR="00C54D75">
        <w:rPr>
          <w:rFonts w:ascii="Sylfaen" w:hAnsi="Sylfaen"/>
          <w:sz w:val="24"/>
          <w:szCs w:val="24"/>
        </w:rPr>
        <w:t>և</w:t>
      </w:r>
      <w:r w:rsidRPr="00BD7577">
        <w:rPr>
          <w:rFonts w:ascii="Sylfaen" w:hAnsi="Sylfaen"/>
          <w:sz w:val="24"/>
          <w:szCs w:val="24"/>
        </w:rPr>
        <w:t xml:space="preserve"> շեղատառով. տեքստի ձ</w:t>
      </w:r>
      <w:r w:rsidR="00C54D75">
        <w:rPr>
          <w:rFonts w:ascii="Sylfaen" w:hAnsi="Sylfaen"/>
          <w:sz w:val="24"/>
          <w:szCs w:val="24"/>
        </w:rPr>
        <w:t>և</w:t>
      </w:r>
      <w:r w:rsidRPr="00BD7577">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ներկայացված են ձ</w:t>
      </w:r>
      <w:r w:rsidR="00C54D75">
        <w:rPr>
          <w:rFonts w:ascii="Sylfaen" w:hAnsi="Sylfaen"/>
          <w:sz w:val="24"/>
          <w:szCs w:val="24"/>
        </w:rPr>
        <w:t>և</w:t>
      </w:r>
      <w:r w:rsidRPr="00BD7577">
        <w:rPr>
          <w:rFonts w:ascii="Sylfaen" w:hAnsi="Sylfaen"/>
          <w:sz w:val="24"/>
          <w:szCs w:val="24"/>
        </w:rPr>
        <w:t>ավոր փակագծերի մեջ { }՝ նշելով այն հատկությունը (պարամետրը), որն անհրաժեշտ է ներմուծել շեղատառով։</w:t>
      </w:r>
    </w:p>
    <w:p w14:paraId="31420C2E" w14:textId="77777777" w:rsidR="008C76E0" w:rsidRPr="00BD7577" w:rsidRDefault="008C76E0" w:rsidP="00207FF6">
      <w:pPr>
        <w:spacing w:after="160" w:line="360" w:lineRule="auto"/>
        <w:ind w:firstLine="567"/>
        <w:jc w:val="both"/>
        <w:rPr>
          <w:rFonts w:ascii="Sylfaen" w:hAnsi="Sylfaen"/>
          <w:sz w:val="24"/>
          <w:szCs w:val="24"/>
        </w:rPr>
      </w:pPr>
    </w:p>
    <w:p w14:paraId="4DDA1993" w14:textId="77777777" w:rsidR="008C76E0" w:rsidRPr="00BD7577" w:rsidRDefault="008C76E0" w:rsidP="00207FF6">
      <w:pPr>
        <w:spacing w:after="160" w:line="360" w:lineRule="auto"/>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43140693" w14:textId="77777777" w:rsidR="008C76E0" w:rsidRPr="00BD7577" w:rsidRDefault="008C76E0" w:rsidP="00207FF6">
      <w:pPr>
        <w:spacing w:after="160" w:line="360" w:lineRule="auto"/>
        <w:jc w:val="right"/>
        <w:rPr>
          <w:rFonts w:ascii="Sylfaen" w:hAnsi="Sylfaen"/>
          <w:sz w:val="24"/>
          <w:szCs w:val="24"/>
        </w:rPr>
      </w:pPr>
    </w:p>
    <w:p w14:paraId="724D1E00"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ՆԱԽՆԱԿԱՆ ԱՄՓՈՓ ՀԱՇՎԵՏՎՈՒԹՅՈՒՆ</w:t>
      </w:r>
    </w:p>
    <w:p w14:paraId="1384D5B9" w14:textId="77777777" w:rsidR="008C76E0" w:rsidRPr="00BD7577" w:rsidRDefault="008C76E0" w:rsidP="00207FF6">
      <w:pPr>
        <w:spacing w:after="160" w:line="360" w:lineRule="auto"/>
        <w:jc w:val="center"/>
        <w:rPr>
          <w:rFonts w:ascii="Sylfaen" w:hAnsi="Sylfaen"/>
          <w:sz w:val="24"/>
          <w:szCs w:val="24"/>
        </w:rPr>
      </w:pPr>
      <w:r w:rsidRPr="00BD7577">
        <w:rPr>
          <w:rFonts w:ascii="Sylfaen" w:hAnsi="Sylfaen"/>
          <w:sz w:val="24"/>
          <w:szCs w:val="24"/>
        </w:rPr>
        <w:t>դեղապատրաստուկի կրիտիկական գնահատման վերաբերյալ</w:t>
      </w:r>
    </w:p>
    <w:p w14:paraId="6A07C716" w14:textId="77777777" w:rsidR="008C76E0" w:rsidRPr="00BD7577" w:rsidRDefault="008C76E0" w:rsidP="00207FF6">
      <w:pPr>
        <w:spacing w:after="160" w:line="360" w:lineRule="auto"/>
        <w:jc w:val="center"/>
        <w:rPr>
          <w:rFonts w:ascii="Sylfaen" w:hAnsi="Sylfaen"/>
          <w:sz w:val="24"/>
          <w:szCs w:val="24"/>
        </w:rPr>
      </w:pPr>
    </w:p>
    <w:p w14:paraId="476D8FA0"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&lt;Առ</w:t>
      </w:r>
      <w:r w:rsidR="00C54D75">
        <w:rPr>
          <w:rFonts w:ascii="Sylfaen" w:hAnsi="Sylfaen"/>
          <w:b w:val="0"/>
          <w:sz w:val="24"/>
          <w:szCs w:val="24"/>
          <w:lang w:val="hy-AM"/>
        </w:rPr>
        <w:t>և</w:t>
      </w:r>
      <w:r w:rsidRPr="008C76E0">
        <w:rPr>
          <w:rFonts w:ascii="Sylfaen" w:hAnsi="Sylfaen"/>
          <w:b w:val="0"/>
          <w:sz w:val="24"/>
          <w:szCs w:val="24"/>
          <w:lang w:val="hy-AM"/>
        </w:rPr>
        <w:t>տրային անվանումը&gt;</w:t>
      </w:r>
    </w:p>
    <w:p w14:paraId="512BD7E6" w14:textId="77777777" w:rsidR="008C76E0" w:rsidRPr="008C76E0" w:rsidRDefault="008C76E0" w:rsidP="00207FF6">
      <w:pPr>
        <w:pStyle w:val="Bodytext7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&lt;(Ազդող նյութը (նյութերը))&gt;</w:t>
      </w:r>
    </w:p>
    <w:p w14:paraId="1A06662D" w14:textId="6F013A88" w:rsidR="008C76E0" w:rsidRDefault="0056496B" w:rsidP="00207FF6">
      <w:pPr>
        <w:spacing w:after="160" w:line="360" w:lineRule="auto"/>
        <w:jc w:val="both"/>
        <w:rPr>
          <w:rFonts w:ascii="Sylfaen" w:hAnsi="Sylfaen"/>
          <w:sz w:val="24"/>
          <w:szCs w:val="24"/>
          <w:lang w:val="en-US"/>
        </w:rPr>
      </w:pPr>
      <w:r>
        <w:rPr>
          <w:rFonts w:ascii="Sylfaen" w:hAnsi="Sylfaen"/>
          <w:sz w:val="24"/>
          <w:szCs w:val="24"/>
        </w:rPr>
        <w:t>Դիմումատու</w:t>
      </w:r>
      <w:r w:rsidR="008C76E0" w:rsidRPr="00BD7577">
        <w:rPr>
          <w:rFonts w:ascii="Sylfaen" w:hAnsi="Sylfaen"/>
          <w:sz w:val="24"/>
          <w:szCs w:val="24"/>
        </w:rPr>
        <w:t>ն՝</w:t>
      </w:r>
    </w:p>
    <w:p w14:paraId="028A9B1A" w14:textId="77777777" w:rsidR="008C76E0" w:rsidRPr="00EF7B76" w:rsidRDefault="008C76E0" w:rsidP="008C76E0">
      <w:pPr>
        <w:jc w:val="both"/>
        <w:rPr>
          <w:rFonts w:ascii="Sylfaen" w:hAnsi="Sylfaen"/>
          <w:sz w:val="24"/>
          <w:szCs w:val="24"/>
          <w:lang w:val="en-US"/>
        </w:rPr>
      </w:pPr>
    </w:p>
    <w:tbl>
      <w:tblPr>
        <w:tblOverlap w:val="never"/>
        <w:tblW w:w="9715" w:type="dxa"/>
        <w:tblLayout w:type="fixed"/>
        <w:tblCellMar>
          <w:left w:w="10" w:type="dxa"/>
          <w:right w:w="10" w:type="dxa"/>
        </w:tblCellMar>
        <w:tblLook w:val="04A0" w:firstRow="1" w:lastRow="0" w:firstColumn="1" w:lastColumn="0" w:noHBand="0" w:noVBand="1"/>
      </w:tblPr>
      <w:tblGrid>
        <w:gridCol w:w="10"/>
        <w:gridCol w:w="5159"/>
        <w:gridCol w:w="4546"/>
      </w:tblGrid>
      <w:tr w:rsidR="008C76E0" w:rsidRPr="00BD7577" w14:paraId="0629B389" w14:textId="77777777" w:rsidTr="008C76E0">
        <w:trPr>
          <w:gridBefore w:val="1"/>
          <w:wBefore w:w="10" w:type="dxa"/>
        </w:trPr>
        <w:tc>
          <w:tcPr>
            <w:tcW w:w="5159" w:type="dxa"/>
            <w:tcBorders>
              <w:top w:val="single" w:sz="4" w:space="0" w:color="auto"/>
              <w:left w:val="single" w:sz="4" w:space="0" w:color="auto"/>
            </w:tcBorders>
            <w:shd w:val="clear" w:color="auto" w:fill="FFFFFF"/>
          </w:tcPr>
          <w:p w14:paraId="1A6CE441"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lastRenderedPageBreak/>
              <w:t>Ընթացակարգի սկիզբը՝</w:t>
            </w:r>
          </w:p>
        </w:tc>
        <w:tc>
          <w:tcPr>
            <w:tcW w:w="4542" w:type="dxa"/>
            <w:tcBorders>
              <w:top w:val="single" w:sz="4" w:space="0" w:color="auto"/>
              <w:left w:val="single" w:sz="4" w:space="0" w:color="auto"/>
              <w:right w:val="single" w:sz="4" w:space="0" w:color="auto"/>
            </w:tcBorders>
            <w:shd w:val="clear" w:color="auto" w:fill="FFFFFF"/>
          </w:tcPr>
          <w:p w14:paraId="5E7D40BE"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75D95A52" w14:textId="77777777" w:rsidTr="008C76E0">
        <w:trPr>
          <w:gridBefore w:val="1"/>
          <w:wBefore w:w="10" w:type="dxa"/>
        </w:trPr>
        <w:tc>
          <w:tcPr>
            <w:tcW w:w="5159" w:type="dxa"/>
            <w:tcBorders>
              <w:top w:val="single" w:sz="4" w:space="0" w:color="auto"/>
              <w:left w:val="single" w:sz="4" w:space="0" w:color="auto"/>
            </w:tcBorders>
            <w:shd w:val="clear" w:color="auto" w:fill="FFFFFF"/>
            <w:vAlign w:val="bottom"/>
          </w:tcPr>
          <w:p w14:paraId="08D94193"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Սույն հաշվետվությունը պատրաստելու ամսաթիվը՝</w:t>
            </w:r>
          </w:p>
        </w:tc>
        <w:tc>
          <w:tcPr>
            <w:tcW w:w="4542" w:type="dxa"/>
            <w:tcBorders>
              <w:top w:val="single" w:sz="4" w:space="0" w:color="auto"/>
              <w:left w:val="single" w:sz="4" w:space="0" w:color="auto"/>
              <w:right w:val="single" w:sz="4" w:space="0" w:color="auto"/>
            </w:tcBorders>
            <w:shd w:val="clear" w:color="auto" w:fill="FFFFFF"/>
          </w:tcPr>
          <w:p w14:paraId="11B55DBA"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1561130B" w14:textId="77777777" w:rsidTr="008C76E0">
        <w:trPr>
          <w:gridBefore w:val="1"/>
          <w:wBefore w:w="10" w:type="dxa"/>
        </w:trPr>
        <w:tc>
          <w:tcPr>
            <w:tcW w:w="5159" w:type="dxa"/>
            <w:tcBorders>
              <w:top w:val="single" w:sz="4" w:space="0" w:color="auto"/>
              <w:left w:val="single" w:sz="4" w:space="0" w:color="auto"/>
              <w:bottom w:val="single" w:sz="4" w:space="0" w:color="auto"/>
            </w:tcBorders>
            <w:shd w:val="clear" w:color="auto" w:fill="FFFFFF"/>
            <w:vAlign w:val="bottom"/>
          </w:tcPr>
          <w:p w14:paraId="2E6AED02" w14:textId="77777777" w:rsidR="008C76E0" w:rsidRPr="00BD7577" w:rsidRDefault="008C76E0" w:rsidP="008C76E0">
            <w:pPr>
              <w:pStyle w:val="Bodytext180"/>
              <w:shd w:val="clear" w:color="auto" w:fill="auto"/>
              <w:spacing w:before="0" w:after="120" w:line="240" w:lineRule="auto"/>
              <w:ind w:left="55" w:right="150" w:firstLine="0"/>
              <w:jc w:val="both"/>
              <w:rPr>
                <w:rFonts w:ascii="Sylfaen" w:hAnsi="Sylfaen"/>
                <w:b w:val="0"/>
                <w:sz w:val="24"/>
                <w:szCs w:val="24"/>
              </w:rPr>
            </w:pPr>
            <w:r w:rsidRPr="00BD7577">
              <w:rPr>
                <w:rStyle w:val="Bodytext295pt"/>
                <w:rFonts w:ascii="Sylfaen" w:hAnsi="Sylfaen"/>
                <w:spacing w:val="0"/>
                <w:sz w:val="24"/>
                <w:szCs w:val="24"/>
              </w:rPr>
              <w:t>Մեկնաբանությունների վերջնաժամկետը՝</w:t>
            </w:r>
          </w:p>
        </w:tc>
        <w:tc>
          <w:tcPr>
            <w:tcW w:w="4542" w:type="dxa"/>
            <w:tcBorders>
              <w:top w:val="single" w:sz="4" w:space="0" w:color="auto"/>
              <w:left w:val="single" w:sz="4" w:space="0" w:color="auto"/>
              <w:bottom w:val="single" w:sz="4" w:space="0" w:color="auto"/>
              <w:right w:val="single" w:sz="4" w:space="0" w:color="auto"/>
            </w:tcBorders>
            <w:shd w:val="clear" w:color="auto" w:fill="FFFFFF"/>
          </w:tcPr>
          <w:p w14:paraId="57132AE2" w14:textId="77777777" w:rsidR="008C76E0" w:rsidRPr="00BD7577" w:rsidRDefault="008C76E0" w:rsidP="008C76E0">
            <w:pPr>
              <w:spacing w:after="120" w:line="240" w:lineRule="auto"/>
              <w:ind w:left="114" w:right="-1"/>
              <w:jc w:val="both"/>
              <w:rPr>
                <w:rFonts w:ascii="Sylfaen" w:hAnsi="Sylfaen"/>
                <w:sz w:val="24"/>
                <w:szCs w:val="24"/>
              </w:rPr>
            </w:pPr>
          </w:p>
        </w:tc>
      </w:tr>
      <w:tr w:rsidR="008C76E0" w:rsidRPr="00BD7577" w14:paraId="35734978" w14:textId="77777777" w:rsidTr="008C76E0">
        <w:tc>
          <w:tcPr>
            <w:tcW w:w="9709" w:type="dxa"/>
            <w:gridSpan w:val="3"/>
            <w:shd w:val="clear" w:color="auto" w:fill="FFFFFF"/>
            <w:vAlign w:val="center"/>
          </w:tcPr>
          <w:p w14:paraId="482458E6" w14:textId="77777777" w:rsidR="008C76E0" w:rsidRPr="00BD7577" w:rsidRDefault="008C76E0" w:rsidP="008C76E0">
            <w:pPr>
              <w:pStyle w:val="Bodytext180"/>
              <w:shd w:val="clear" w:color="auto" w:fill="auto"/>
              <w:spacing w:before="0" w:after="120" w:line="240" w:lineRule="auto"/>
              <w:ind w:left="55" w:right="150" w:firstLine="0"/>
              <w:jc w:val="center"/>
              <w:rPr>
                <w:rFonts w:ascii="Sylfaen" w:hAnsi="Sylfaen"/>
                <w:b w:val="0"/>
                <w:sz w:val="24"/>
                <w:szCs w:val="24"/>
              </w:rPr>
            </w:pPr>
            <w:r w:rsidRPr="00BD7577">
              <w:rPr>
                <w:rStyle w:val="Bodytext295pt"/>
                <w:rFonts w:ascii="Sylfaen" w:hAnsi="Sylfaen"/>
                <w:spacing w:val="0"/>
                <w:sz w:val="24"/>
                <w:szCs w:val="24"/>
              </w:rPr>
              <w:t>I.Վարչական տեղեկատվությունը</w:t>
            </w:r>
          </w:p>
        </w:tc>
      </w:tr>
      <w:tr w:rsidR="008C76E0" w:rsidRPr="00BD7577" w14:paraId="304FE2C7" w14:textId="77777777" w:rsidTr="008C76E0">
        <w:tc>
          <w:tcPr>
            <w:tcW w:w="5169" w:type="dxa"/>
            <w:gridSpan w:val="2"/>
            <w:tcBorders>
              <w:top w:val="single" w:sz="4" w:space="0" w:color="auto"/>
              <w:left w:val="single" w:sz="4" w:space="0" w:color="auto"/>
            </w:tcBorders>
            <w:shd w:val="clear" w:color="auto" w:fill="FFFFFF"/>
            <w:vAlign w:val="bottom"/>
          </w:tcPr>
          <w:p w14:paraId="22D6593C" w14:textId="1D594D7F"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Գրանցման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նույնականացման համարը՝</w:t>
            </w:r>
          </w:p>
        </w:tc>
        <w:tc>
          <w:tcPr>
            <w:tcW w:w="4546" w:type="dxa"/>
            <w:tcBorders>
              <w:top w:val="single" w:sz="4" w:space="0" w:color="auto"/>
              <w:left w:val="single" w:sz="4" w:space="0" w:color="auto"/>
              <w:right w:val="single" w:sz="4" w:space="0" w:color="auto"/>
            </w:tcBorders>
            <w:shd w:val="clear" w:color="auto" w:fill="FFFFFF"/>
          </w:tcPr>
          <w:p w14:paraId="142A2811"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28450344" w14:textId="77777777" w:rsidTr="008C76E0">
        <w:tc>
          <w:tcPr>
            <w:tcW w:w="5169" w:type="dxa"/>
            <w:gridSpan w:val="2"/>
            <w:tcBorders>
              <w:top w:val="single" w:sz="4" w:space="0" w:color="auto"/>
              <w:left w:val="single" w:sz="4" w:space="0" w:color="auto"/>
            </w:tcBorders>
            <w:shd w:val="clear" w:color="auto" w:fill="FFFFFF"/>
            <w:vAlign w:val="bottom"/>
          </w:tcPr>
          <w:p w14:paraId="03BBB487"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Դեղամիջոցի առ</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տրային անվանումը՝</w:t>
            </w:r>
          </w:p>
        </w:tc>
        <w:tc>
          <w:tcPr>
            <w:tcW w:w="4546" w:type="dxa"/>
            <w:tcBorders>
              <w:top w:val="single" w:sz="4" w:space="0" w:color="auto"/>
              <w:left w:val="single" w:sz="4" w:space="0" w:color="auto"/>
              <w:right w:val="single" w:sz="4" w:space="0" w:color="auto"/>
            </w:tcBorders>
            <w:shd w:val="clear" w:color="auto" w:fill="FFFFFF"/>
          </w:tcPr>
          <w:p w14:paraId="5309566A"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EEFEF79" w14:textId="77777777" w:rsidTr="008C76E0">
        <w:tc>
          <w:tcPr>
            <w:tcW w:w="5169" w:type="dxa"/>
            <w:gridSpan w:val="2"/>
            <w:tcBorders>
              <w:top w:val="single" w:sz="4" w:space="0" w:color="auto"/>
              <w:left w:val="single" w:sz="4" w:space="0" w:color="auto"/>
            </w:tcBorders>
            <w:shd w:val="clear" w:color="auto" w:fill="FFFFFF"/>
            <w:vAlign w:val="bottom"/>
          </w:tcPr>
          <w:p w14:paraId="7A9B0A9C"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Միջազգային չարտոնագրված անվանումը՝(ՄՉԱ) կամ ազդող նյութի (նյութերի) համընդհանուր անվանումը՝</w:t>
            </w:r>
          </w:p>
        </w:tc>
        <w:tc>
          <w:tcPr>
            <w:tcW w:w="4546" w:type="dxa"/>
            <w:tcBorders>
              <w:top w:val="single" w:sz="4" w:space="0" w:color="auto"/>
              <w:left w:val="single" w:sz="4" w:space="0" w:color="auto"/>
              <w:right w:val="single" w:sz="4" w:space="0" w:color="auto"/>
            </w:tcBorders>
            <w:shd w:val="clear" w:color="auto" w:fill="FFFFFF"/>
          </w:tcPr>
          <w:p w14:paraId="28F30ABE"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58DA1D51" w14:textId="77777777" w:rsidTr="008C76E0">
        <w:tc>
          <w:tcPr>
            <w:tcW w:w="5169" w:type="dxa"/>
            <w:gridSpan w:val="2"/>
            <w:tcBorders>
              <w:top w:val="single" w:sz="4" w:space="0" w:color="auto"/>
              <w:left w:val="single" w:sz="4" w:space="0" w:color="auto"/>
            </w:tcBorders>
            <w:shd w:val="clear" w:color="auto" w:fill="FFFFFF"/>
            <w:vAlign w:val="bottom"/>
          </w:tcPr>
          <w:p w14:paraId="25C29D45" w14:textId="40B51685" w:rsidR="008C76E0" w:rsidRPr="00BD7577" w:rsidRDefault="0056496B" w:rsidP="008C76E0">
            <w:pPr>
              <w:pStyle w:val="Bodytext180"/>
              <w:shd w:val="clear" w:color="auto" w:fill="auto"/>
              <w:spacing w:before="0" w:after="120" w:line="240" w:lineRule="auto"/>
              <w:ind w:left="55" w:right="150" w:firstLine="0"/>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ն՝</w:t>
            </w:r>
          </w:p>
        </w:tc>
        <w:tc>
          <w:tcPr>
            <w:tcW w:w="4546" w:type="dxa"/>
            <w:tcBorders>
              <w:top w:val="single" w:sz="4" w:space="0" w:color="auto"/>
              <w:left w:val="single" w:sz="4" w:space="0" w:color="auto"/>
              <w:right w:val="single" w:sz="4" w:space="0" w:color="auto"/>
            </w:tcBorders>
            <w:shd w:val="clear" w:color="auto" w:fill="FFFFFF"/>
          </w:tcPr>
          <w:p w14:paraId="36182F44"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4D3076B5" w14:textId="77777777" w:rsidTr="008C76E0">
        <w:tc>
          <w:tcPr>
            <w:tcW w:w="5169" w:type="dxa"/>
            <w:gridSpan w:val="2"/>
            <w:tcBorders>
              <w:top w:val="single" w:sz="4" w:space="0" w:color="auto"/>
              <w:left w:val="single" w:sz="4" w:space="0" w:color="auto"/>
            </w:tcBorders>
            <w:shd w:val="clear" w:color="auto" w:fill="FFFFFF"/>
            <w:vAlign w:val="bottom"/>
          </w:tcPr>
          <w:p w14:paraId="42A38F8E" w14:textId="0B139EE5"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 xml:space="preserve">Կիրառման </w:t>
            </w:r>
            <w:r w:rsidR="001A5F1A">
              <w:rPr>
                <w:rStyle w:val="Bodytext295pt"/>
                <w:rFonts w:ascii="Sylfaen" w:hAnsi="Sylfaen"/>
                <w:spacing w:val="0"/>
                <w:sz w:val="24"/>
                <w:szCs w:val="24"/>
              </w:rPr>
              <w:t>հայտագրված</w:t>
            </w:r>
            <w:r w:rsidRPr="00BD7577">
              <w:rPr>
                <w:rStyle w:val="Bodytext295pt"/>
                <w:rFonts w:ascii="Sylfaen" w:hAnsi="Sylfaen"/>
                <w:spacing w:val="0"/>
                <w:sz w:val="24"/>
                <w:szCs w:val="24"/>
              </w:rPr>
              <w:t xml:space="preserve"> ցուցումները՝</w:t>
            </w:r>
          </w:p>
        </w:tc>
        <w:tc>
          <w:tcPr>
            <w:tcW w:w="4546" w:type="dxa"/>
            <w:tcBorders>
              <w:top w:val="single" w:sz="4" w:space="0" w:color="auto"/>
              <w:left w:val="single" w:sz="4" w:space="0" w:color="auto"/>
              <w:right w:val="single" w:sz="4" w:space="0" w:color="auto"/>
            </w:tcBorders>
            <w:shd w:val="clear" w:color="auto" w:fill="FFFFFF"/>
          </w:tcPr>
          <w:p w14:paraId="17C72057"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3D199A5B" w14:textId="77777777" w:rsidTr="008C76E0">
        <w:tc>
          <w:tcPr>
            <w:tcW w:w="5169" w:type="dxa"/>
            <w:gridSpan w:val="2"/>
            <w:tcBorders>
              <w:top w:val="single" w:sz="4" w:space="0" w:color="auto"/>
              <w:left w:val="single" w:sz="4" w:space="0" w:color="auto"/>
            </w:tcBorders>
            <w:shd w:val="clear" w:color="auto" w:fill="FFFFFF"/>
            <w:vAlign w:val="bottom"/>
          </w:tcPr>
          <w:p w14:paraId="5746D412"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(ԱԲՔ-ծածկագիրը)՝</w:t>
            </w:r>
          </w:p>
        </w:tc>
        <w:tc>
          <w:tcPr>
            <w:tcW w:w="4546" w:type="dxa"/>
            <w:tcBorders>
              <w:top w:val="single" w:sz="4" w:space="0" w:color="auto"/>
              <w:left w:val="single" w:sz="4" w:space="0" w:color="auto"/>
              <w:right w:val="single" w:sz="4" w:space="0" w:color="auto"/>
            </w:tcBorders>
            <w:shd w:val="clear" w:color="auto" w:fill="FFFFFF"/>
          </w:tcPr>
          <w:p w14:paraId="534299F8"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06CEE420" w14:textId="77777777" w:rsidTr="008C76E0">
        <w:tc>
          <w:tcPr>
            <w:tcW w:w="5169" w:type="dxa"/>
            <w:gridSpan w:val="2"/>
            <w:tcBorders>
              <w:top w:val="single" w:sz="4" w:space="0" w:color="auto"/>
              <w:left w:val="single" w:sz="4" w:space="0" w:color="auto"/>
            </w:tcBorders>
            <w:shd w:val="clear" w:color="auto" w:fill="FFFFFF"/>
            <w:vAlign w:val="bottom"/>
          </w:tcPr>
          <w:p w14:paraId="1A43780B"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Դեղաձ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ը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դեղաչափը (դեղաչափերը)՝</w:t>
            </w:r>
          </w:p>
        </w:tc>
        <w:tc>
          <w:tcPr>
            <w:tcW w:w="4546" w:type="dxa"/>
            <w:tcBorders>
              <w:top w:val="single" w:sz="4" w:space="0" w:color="auto"/>
              <w:left w:val="single" w:sz="4" w:space="0" w:color="auto"/>
              <w:right w:val="single" w:sz="4" w:space="0" w:color="auto"/>
            </w:tcBorders>
            <w:shd w:val="clear" w:color="auto" w:fill="FFFFFF"/>
          </w:tcPr>
          <w:p w14:paraId="2960EF73" w14:textId="77777777" w:rsidR="008C76E0" w:rsidRPr="00BD7577" w:rsidRDefault="008C76E0" w:rsidP="008C76E0">
            <w:pPr>
              <w:spacing w:after="120" w:line="240" w:lineRule="auto"/>
              <w:ind w:left="55" w:right="150"/>
              <w:rPr>
                <w:rFonts w:ascii="Sylfaen" w:hAnsi="Sylfaen"/>
                <w:sz w:val="24"/>
                <w:szCs w:val="24"/>
              </w:rPr>
            </w:pPr>
          </w:p>
        </w:tc>
      </w:tr>
      <w:tr w:rsidR="008C76E0" w:rsidRPr="00BD7577" w14:paraId="18E4D421" w14:textId="77777777" w:rsidTr="008C76E0">
        <w:tc>
          <w:tcPr>
            <w:tcW w:w="5169" w:type="dxa"/>
            <w:gridSpan w:val="2"/>
            <w:tcBorders>
              <w:top w:val="single" w:sz="4" w:space="0" w:color="auto"/>
              <w:left w:val="single" w:sz="4" w:space="0" w:color="auto"/>
              <w:bottom w:val="single" w:sz="4" w:space="0" w:color="auto"/>
            </w:tcBorders>
            <w:shd w:val="clear" w:color="auto" w:fill="FFFFFF"/>
          </w:tcPr>
          <w:p w14:paraId="4A124ED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Զեկուցողի փորձագետների անունները (ներքին փորձագետ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անկախ փորձագետ)՝</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B67057D"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3-րդ մոդուլի փորձագետ՝ Ա.Ա.Հ.-ն՝</w:t>
            </w:r>
          </w:p>
          <w:p w14:paraId="7A4A6A84"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13E54F8E"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4-րդ մոդուլի փորձագետ՝ Ա.Ա.Հ.-ն՝</w:t>
            </w:r>
          </w:p>
          <w:p w14:paraId="5F29A8F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p w14:paraId="5C43F647"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5-րդ մոդուլի փորձագետ՝ Ա.Ա.Հ.-ն՝</w:t>
            </w:r>
          </w:p>
          <w:p w14:paraId="364BE6DF" w14:textId="77777777"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հեռախոսահամարը (ֆաքսը)՝ էլեկտրոնային փոստի հասցեն՝</w:t>
            </w:r>
          </w:p>
        </w:tc>
      </w:tr>
      <w:tr w:rsidR="008C76E0" w:rsidRPr="00BD7577" w14:paraId="2CE875F3" w14:textId="77777777" w:rsidTr="008C76E0">
        <w:tc>
          <w:tcPr>
            <w:tcW w:w="5169" w:type="dxa"/>
            <w:gridSpan w:val="2"/>
            <w:tcBorders>
              <w:top w:val="single" w:sz="4" w:space="0" w:color="auto"/>
              <w:left w:val="single" w:sz="4" w:space="0" w:color="auto"/>
              <w:bottom w:val="single" w:sz="4" w:space="0" w:color="auto"/>
            </w:tcBorders>
            <w:shd w:val="clear" w:color="auto" w:fill="FFFFFF"/>
            <w:vAlign w:val="bottom"/>
          </w:tcPr>
          <w:p w14:paraId="1DAAA4AC" w14:textId="306D66F4" w:rsidR="008C76E0" w:rsidRPr="008C76E0" w:rsidRDefault="008C76E0" w:rsidP="008C76E0">
            <w:pPr>
              <w:pStyle w:val="Bodytext180"/>
              <w:shd w:val="clear" w:color="auto" w:fill="auto"/>
              <w:spacing w:before="0" w:after="120" w:line="240" w:lineRule="auto"/>
              <w:ind w:left="55" w:right="150" w:firstLine="0"/>
              <w:rPr>
                <w:rFonts w:ascii="Sylfaen" w:hAnsi="Sylfaen"/>
                <w:b w:val="0"/>
                <w:sz w:val="24"/>
                <w:szCs w:val="24"/>
                <w:lang w:val="hy-AM"/>
              </w:rPr>
            </w:pPr>
            <w:r w:rsidRPr="00BD7577">
              <w:rPr>
                <w:rStyle w:val="Bodytext295pt"/>
                <w:rFonts w:ascii="Sylfaen" w:hAnsi="Sylfaen"/>
                <w:spacing w:val="0"/>
                <w:sz w:val="24"/>
                <w:szCs w:val="24"/>
              </w:rPr>
              <w:t xml:space="preserve">&lt;Միության Դեղամիջոցների գրանցման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փորձաքննության կանոններին համապատասխան՝ ես՝ փորձագետս, սույնով </w:t>
            </w:r>
            <w:r w:rsidR="00745ADC">
              <w:rPr>
                <w:rStyle w:val="Bodytext295pt"/>
                <w:rFonts w:ascii="Sylfaen" w:hAnsi="Sylfaen"/>
                <w:spacing w:val="0"/>
                <w:sz w:val="24"/>
                <w:szCs w:val="24"/>
              </w:rPr>
              <w:t>հայտա</w:t>
            </w:r>
            <w:r w:rsidRPr="00BD7577">
              <w:rPr>
                <w:rStyle w:val="Bodytext295pt"/>
                <w:rFonts w:ascii="Sylfaen" w:hAnsi="Sylfaen"/>
                <w:spacing w:val="0"/>
                <w:sz w:val="24"/>
                <w:szCs w:val="24"/>
              </w:rPr>
              <w:t>րարում եմ, որ ավարտել եմ իմ փորձագիտական հաշվետվությունն ավելի շուտ, քան 80 օրվա ընթացքում&gt;</w:t>
            </w:r>
          </w:p>
        </w:tc>
        <w:tc>
          <w:tcPr>
            <w:tcW w:w="4546" w:type="dxa"/>
            <w:tcBorders>
              <w:top w:val="single" w:sz="4" w:space="0" w:color="auto"/>
              <w:left w:val="single" w:sz="4" w:space="0" w:color="auto"/>
              <w:bottom w:val="single" w:sz="4" w:space="0" w:color="auto"/>
              <w:right w:val="single" w:sz="4" w:space="0" w:color="auto"/>
            </w:tcBorders>
            <w:shd w:val="clear" w:color="auto" w:fill="FFFFFF"/>
          </w:tcPr>
          <w:p w14:paraId="367C142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ամսաթիվը</w:t>
            </w:r>
          </w:p>
          <w:p w14:paraId="511EFD4E" w14:textId="77777777" w:rsidR="008C76E0" w:rsidRPr="00BD7577" w:rsidRDefault="008C76E0" w:rsidP="008C76E0">
            <w:pPr>
              <w:pStyle w:val="Bodytext180"/>
              <w:shd w:val="clear" w:color="auto" w:fill="auto"/>
              <w:spacing w:before="0" w:after="120" w:line="240" w:lineRule="auto"/>
              <w:ind w:left="55" w:right="150" w:firstLine="0"/>
              <w:rPr>
                <w:rFonts w:ascii="Sylfaen" w:hAnsi="Sylfaen"/>
                <w:b w:val="0"/>
                <w:sz w:val="24"/>
                <w:szCs w:val="24"/>
              </w:rPr>
            </w:pPr>
            <w:r w:rsidRPr="00BD7577">
              <w:rPr>
                <w:rStyle w:val="Bodytext295pt"/>
                <w:rFonts w:ascii="Sylfaen" w:hAnsi="Sylfaen"/>
                <w:spacing w:val="0"/>
                <w:sz w:val="24"/>
                <w:szCs w:val="24"/>
              </w:rPr>
              <w:t>ստորագրությունը</w:t>
            </w:r>
          </w:p>
        </w:tc>
      </w:tr>
    </w:tbl>
    <w:p w14:paraId="6D01B23B" w14:textId="77777777" w:rsidR="008C76E0" w:rsidRPr="00BD7577" w:rsidRDefault="008C76E0" w:rsidP="008C76E0">
      <w:pPr>
        <w:spacing w:line="312" w:lineRule="auto"/>
        <w:ind w:firstLine="567"/>
        <w:jc w:val="both"/>
        <w:rPr>
          <w:rStyle w:val="Bodytext295pt"/>
          <w:rFonts w:ascii="Sylfaen" w:eastAsia="MS Mincho" w:hAnsi="Sylfaen"/>
          <w:b w:val="0"/>
          <w:spacing w:val="0"/>
          <w:sz w:val="24"/>
          <w:szCs w:val="24"/>
          <w:lang w:val="en-US"/>
        </w:rPr>
      </w:pPr>
      <w:r w:rsidRPr="00BD7577">
        <w:rPr>
          <w:rStyle w:val="Bodytext295pt"/>
          <w:rFonts w:ascii="Sylfaen" w:eastAsia="MS Mincho" w:hAnsi="Sylfaen"/>
          <w:b w:val="0"/>
          <w:spacing w:val="0"/>
          <w:sz w:val="24"/>
          <w:szCs w:val="24"/>
        </w:rPr>
        <w:t>Հապավումների ցանկը</w:t>
      </w:r>
    </w:p>
    <w:p w14:paraId="751F8228" w14:textId="77777777" w:rsidR="008C76E0" w:rsidRDefault="008C76E0" w:rsidP="008C76E0">
      <w:pPr>
        <w:spacing w:line="312" w:lineRule="auto"/>
        <w:jc w:val="both"/>
        <w:rPr>
          <w:rStyle w:val="Bodytext295pt"/>
          <w:rFonts w:ascii="Sylfaen" w:eastAsia="MS Mincho" w:hAnsi="Sylfaen"/>
          <w:spacing w:val="0"/>
          <w:sz w:val="24"/>
          <w:szCs w:val="24"/>
          <w:lang w:val="en-US"/>
        </w:rPr>
      </w:pPr>
      <w:r w:rsidRPr="00BD7577">
        <w:rPr>
          <w:rStyle w:val="Bodytext295pt"/>
          <w:rFonts w:ascii="Sylfaen" w:eastAsia="MS Mincho" w:hAnsi="Sylfaen"/>
          <w:spacing w:val="0"/>
          <w:sz w:val="24"/>
          <w:szCs w:val="24"/>
          <w:lang w:val="en-US"/>
        </w:rPr>
        <w:t>______________________________________________________________________________________________________________________________________________________</w:t>
      </w:r>
    </w:p>
    <w:p w14:paraId="54D13B21" w14:textId="77777777" w:rsidR="008C76E0" w:rsidRPr="00BD7577" w:rsidRDefault="008C76E0" w:rsidP="004B393A">
      <w:pPr>
        <w:pStyle w:val="Headerorfooter0"/>
        <w:shd w:val="clear" w:color="auto" w:fill="auto"/>
        <w:spacing w:after="160" w:line="360" w:lineRule="auto"/>
        <w:ind w:right="-1"/>
        <w:jc w:val="center"/>
        <w:rPr>
          <w:rFonts w:ascii="Sylfaen" w:hAnsi="Sylfaen"/>
          <w:sz w:val="24"/>
          <w:szCs w:val="24"/>
        </w:rPr>
      </w:pPr>
      <w:r w:rsidRPr="00BD7577">
        <w:rPr>
          <w:rFonts w:ascii="Sylfaen" w:hAnsi="Sylfaen"/>
          <w:sz w:val="24"/>
          <w:szCs w:val="24"/>
        </w:rPr>
        <w:lastRenderedPageBreak/>
        <w:t>I. Հանձնարարական</w:t>
      </w:r>
    </w:p>
    <w:p w14:paraId="79D651E7" w14:textId="09388D42" w:rsidR="008C76E0" w:rsidRPr="00BD7577" w:rsidRDefault="008C76E0" w:rsidP="004B393A">
      <w:pPr>
        <w:pStyle w:val="Bodytext70"/>
        <w:shd w:val="clear" w:color="auto" w:fill="auto"/>
        <w:tabs>
          <w:tab w:val="left" w:pos="3402"/>
        </w:tabs>
        <w:spacing w:before="0" w:after="160" w:line="360" w:lineRule="auto"/>
        <w:ind w:firstLine="567"/>
        <w:rPr>
          <w:rFonts w:ascii="Sylfaen" w:hAnsi="Sylfaen"/>
          <w:b w:val="0"/>
          <w:sz w:val="24"/>
          <w:szCs w:val="24"/>
        </w:rPr>
      </w:pPr>
      <w:r w:rsidRPr="00EF7B76">
        <w:rPr>
          <w:rStyle w:val="Bodytext295pt"/>
          <w:rFonts w:ascii="Sylfaen" w:hAnsi="Sylfaen"/>
          <w:i w:val="0"/>
          <w:spacing w:val="-4"/>
          <w:sz w:val="24"/>
          <w:szCs w:val="24"/>
        </w:rPr>
        <w:t xml:space="preserve">Փորձագետները որակի, անվտանգության </w:t>
      </w:r>
      <w:r w:rsidR="00C54D75">
        <w:rPr>
          <w:rStyle w:val="Bodytext295pt"/>
          <w:rFonts w:ascii="Sylfaen" w:hAnsi="Sylfaen"/>
          <w:i w:val="0"/>
          <w:spacing w:val="-4"/>
          <w:sz w:val="24"/>
          <w:szCs w:val="24"/>
        </w:rPr>
        <w:t>և</w:t>
      </w:r>
      <w:r w:rsidRPr="00EF7B76">
        <w:rPr>
          <w:rStyle w:val="Bodytext295pt"/>
          <w:rFonts w:ascii="Sylfaen" w:hAnsi="Sylfaen"/>
          <w:i w:val="0"/>
          <w:spacing w:val="-4"/>
          <w:sz w:val="24"/>
          <w:szCs w:val="24"/>
        </w:rPr>
        <w:t xml:space="preserve"> արդյունավետության մասով գրանցման դոսյեի մոդուլների տվյալների փորձագիտական ամփոփման հիման վրա կարծում են, որ</w:t>
      </w:r>
      <w:r w:rsidRPr="00EF7B76">
        <w:rPr>
          <w:rStyle w:val="Bodytext295pt"/>
          <w:rFonts w:ascii="Sylfaen" w:hAnsi="Sylfaen"/>
          <w:spacing w:val="-4"/>
          <w:sz w:val="24"/>
          <w:szCs w:val="24"/>
        </w:rPr>
        <w:t xml:space="preserve"> &lt;</w:t>
      </w:r>
      <w:r w:rsidR="001A5F1A">
        <w:rPr>
          <w:rStyle w:val="Bodytext295pt"/>
          <w:rFonts w:ascii="Sylfaen" w:hAnsi="Sylfaen"/>
          <w:spacing w:val="-4"/>
          <w:sz w:val="24"/>
          <w:szCs w:val="24"/>
        </w:rPr>
        <w:t>հայտագրված</w:t>
      </w:r>
      <w:r w:rsidRPr="00EF7B76">
        <w:rPr>
          <w:rStyle w:val="Bodytext295pt"/>
          <w:rFonts w:ascii="Sylfaen" w:hAnsi="Sylfaen"/>
          <w:spacing w:val="-4"/>
          <w:sz w:val="24"/>
          <w:szCs w:val="24"/>
        </w:rPr>
        <w:t xml:space="preserve"> ցուցումները&gt; բուժման ժամանակ &lt;դեղապատրաստուկի անվանումը&gt; գրանցման </w:t>
      </w:r>
      <w:r w:rsidR="0056496B">
        <w:rPr>
          <w:rStyle w:val="Bodytext295pt"/>
          <w:rFonts w:ascii="Sylfaen" w:hAnsi="Sylfaen"/>
          <w:spacing w:val="-4"/>
          <w:sz w:val="24"/>
          <w:szCs w:val="24"/>
        </w:rPr>
        <w:t>դիմում</w:t>
      </w:r>
      <w:r w:rsidRPr="00EF7B76">
        <w:rPr>
          <w:rStyle w:val="Bodytext295pt"/>
          <w:rFonts w:ascii="Sylfaen" w:hAnsi="Sylfaen"/>
          <w:spacing w:val="-4"/>
          <w:sz w:val="24"/>
          <w:szCs w:val="24"/>
        </w:rPr>
        <w:t xml:space="preserve">ը </w:t>
      </w:r>
      <w:r w:rsidRPr="00EF7B76">
        <w:rPr>
          <w:rFonts w:ascii="Sylfaen" w:hAnsi="Sylfaen"/>
          <w:b w:val="0"/>
          <w:spacing w:val="-4"/>
          <w:sz w:val="24"/>
          <w:szCs w:val="24"/>
        </w:rPr>
        <w:t>&lt;կարող է հավանության արժանանալ՝ պայմանով, որ այլ դիտողությունների նախնական ցանկին (Բաժին V) տրվել են բավարարող պատասխաններ&gt;, &lt;արժանի չէ հավանության, քանի որ սահմանվել են կրիտիկական</w:t>
      </w:r>
      <w:r w:rsidRPr="00BD7577">
        <w:rPr>
          <w:rFonts w:ascii="Sylfaen" w:hAnsi="Sylfaen"/>
          <w:b w:val="0"/>
          <w:sz w:val="24"/>
          <w:szCs w:val="24"/>
        </w:rPr>
        <w:t xml:space="preserve"> դիտողություններ, որոնք ներկայումս գրանցման հավաստագիրն առաջարկելու հնարավորություն չեն ընձեռում&gt;։ Այդ հիմնական առարկությունների վերաբերյալ մանրամասն տեղեկատվությունը ներկայացված է հարցերի նախնական ցանկում (Բաժին V)։</w:t>
      </w:r>
    </w:p>
    <w:p w14:paraId="2E1100DB" w14:textId="77777777" w:rsidR="008C76E0" w:rsidRPr="00BD7577" w:rsidRDefault="008C76E0" w:rsidP="004B393A">
      <w:pPr>
        <w:pStyle w:val="Bodytext70"/>
        <w:shd w:val="clear" w:color="auto" w:fill="auto"/>
        <w:spacing w:before="0" w:after="160" w:line="360" w:lineRule="auto"/>
        <w:ind w:firstLine="567"/>
        <w:rPr>
          <w:rFonts w:ascii="Sylfaen" w:hAnsi="Sylfaen"/>
          <w:b w:val="0"/>
          <w:sz w:val="24"/>
          <w:szCs w:val="24"/>
        </w:rPr>
      </w:pPr>
      <w:r w:rsidRPr="00BD7577">
        <w:rPr>
          <w:rFonts w:ascii="Sylfaen" w:hAnsi="Sylfaen"/>
          <w:b w:val="0"/>
          <w:sz w:val="24"/>
          <w:szCs w:val="24"/>
        </w:rPr>
        <w:t>&lt;Քննադատական դիտողությունները, որոնք գրանցման հավաստագրի տրման առաջարկություն անելու հնարավորություններ չեն տալիս, վերաբերում են հետ</w:t>
      </w:r>
      <w:r w:rsidR="00C54D75">
        <w:rPr>
          <w:rFonts w:ascii="Sylfaen" w:hAnsi="Sylfaen"/>
          <w:b w:val="0"/>
          <w:sz w:val="24"/>
          <w:szCs w:val="24"/>
        </w:rPr>
        <w:t>և</w:t>
      </w:r>
      <w:r w:rsidRPr="00BD7577">
        <w:rPr>
          <w:rFonts w:ascii="Sylfaen" w:hAnsi="Sylfaen"/>
          <w:b w:val="0"/>
          <w:sz w:val="24"/>
          <w:szCs w:val="24"/>
        </w:rPr>
        <w:t>յալ հիմնական թերություններին՝ &lt;հակիրճ թվարկել եզրակացության VI բաժնի թերությունները&gt;&gt;:</w:t>
      </w:r>
    </w:p>
    <w:p w14:paraId="5D5AA7CD" w14:textId="77777777" w:rsidR="008C76E0" w:rsidRPr="00BD7577" w:rsidRDefault="008C76E0" w:rsidP="004B393A">
      <w:pPr>
        <w:pStyle w:val="Bodytext70"/>
        <w:shd w:val="clear" w:color="auto" w:fill="auto"/>
        <w:spacing w:before="0" w:after="160" w:line="360" w:lineRule="auto"/>
        <w:ind w:right="-1" w:firstLine="567"/>
        <w:rPr>
          <w:rFonts w:ascii="Sylfaen" w:hAnsi="Sylfaen"/>
          <w:b w:val="0"/>
          <w:sz w:val="24"/>
          <w:szCs w:val="24"/>
        </w:rPr>
      </w:pPr>
    </w:p>
    <w:p w14:paraId="79E43FEE"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 xml:space="preserve">Լրացուցիչ փորձագետների կողմից քննարկման համար </w:t>
      </w:r>
      <w:r w:rsidRPr="00BD7577">
        <w:rPr>
          <w:rFonts w:ascii="Sylfaen" w:hAnsi="Sylfaen"/>
          <w:sz w:val="24"/>
          <w:szCs w:val="24"/>
        </w:rPr>
        <w:br/>
        <w:t>նախատեսված հարցեր</w:t>
      </w:r>
    </w:p>
    <w:tbl>
      <w:tblPr>
        <w:tblOverlap w:val="never"/>
        <w:tblW w:w="9055" w:type="dxa"/>
        <w:jc w:val="center"/>
        <w:tblLayout w:type="fixed"/>
        <w:tblCellMar>
          <w:left w:w="10" w:type="dxa"/>
          <w:right w:w="10" w:type="dxa"/>
        </w:tblCellMar>
        <w:tblLook w:val="04A0" w:firstRow="1" w:lastRow="0" w:firstColumn="1" w:lastColumn="0" w:noHBand="0" w:noVBand="1"/>
      </w:tblPr>
      <w:tblGrid>
        <w:gridCol w:w="9055"/>
      </w:tblGrid>
      <w:tr w:rsidR="008C76E0" w:rsidRPr="00BD7577" w14:paraId="6D9D3AEF" w14:textId="77777777" w:rsidTr="008C76E0">
        <w:trPr>
          <w:jc w:val="center"/>
        </w:trPr>
        <w:tc>
          <w:tcPr>
            <w:tcW w:w="9055" w:type="dxa"/>
            <w:tcBorders>
              <w:top w:val="single" w:sz="4" w:space="0" w:color="auto"/>
              <w:left w:val="single" w:sz="4" w:space="0" w:color="auto"/>
              <w:right w:val="single" w:sz="4" w:space="0" w:color="auto"/>
            </w:tcBorders>
            <w:shd w:val="clear" w:color="auto" w:fill="FFFFFF"/>
            <w:vAlign w:val="bottom"/>
          </w:tcPr>
          <w:p w14:paraId="4475933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Ներկայացնել հարցերի ցանկը</w:t>
            </w:r>
          </w:p>
        </w:tc>
      </w:tr>
      <w:tr w:rsidR="008C76E0" w:rsidRPr="00BD7577" w14:paraId="209968D1" w14:textId="77777777" w:rsidTr="008C76E0">
        <w:trPr>
          <w:jc w:val="center"/>
        </w:trPr>
        <w:tc>
          <w:tcPr>
            <w:tcW w:w="9055" w:type="dxa"/>
            <w:tcBorders>
              <w:top w:val="single" w:sz="4" w:space="0" w:color="auto"/>
              <w:left w:val="single" w:sz="4" w:space="0" w:color="auto"/>
              <w:right w:val="single" w:sz="4" w:space="0" w:color="auto"/>
            </w:tcBorders>
            <w:shd w:val="clear" w:color="auto" w:fill="FFFFFF"/>
          </w:tcPr>
          <w:p w14:paraId="43EAC521" w14:textId="77777777" w:rsidR="008C76E0" w:rsidRPr="00BD7577" w:rsidRDefault="008C76E0" w:rsidP="008C76E0">
            <w:pPr>
              <w:ind w:right="-1" w:firstLine="567"/>
              <w:jc w:val="both"/>
              <w:rPr>
                <w:rFonts w:ascii="Sylfaen" w:hAnsi="Sylfaen"/>
                <w:sz w:val="24"/>
                <w:szCs w:val="24"/>
              </w:rPr>
            </w:pPr>
          </w:p>
        </w:tc>
      </w:tr>
      <w:tr w:rsidR="008C76E0" w:rsidRPr="00BD7577" w14:paraId="79F521D4" w14:textId="77777777" w:rsidTr="008C76E0">
        <w:trPr>
          <w:jc w:val="center"/>
        </w:trPr>
        <w:tc>
          <w:tcPr>
            <w:tcW w:w="9055" w:type="dxa"/>
            <w:tcBorders>
              <w:top w:val="single" w:sz="4" w:space="0" w:color="auto"/>
              <w:left w:val="single" w:sz="4" w:space="0" w:color="auto"/>
              <w:bottom w:val="single" w:sz="4" w:space="0" w:color="auto"/>
              <w:right w:val="single" w:sz="4" w:space="0" w:color="auto"/>
            </w:tcBorders>
            <w:shd w:val="clear" w:color="auto" w:fill="FFFFFF"/>
          </w:tcPr>
          <w:p w14:paraId="3856EDFF" w14:textId="77777777" w:rsidR="008C76E0" w:rsidRPr="00BD7577" w:rsidRDefault="008C76E0" w:rsidP="008C76E0">
            <w:pPr>
              <w:ind w:right="-1" w:firstLine="567"/>
              <w:jc w:val="both"/>
              <w:rPr>
                <w:rFonts w:ascii="Sylfaen" w:hAnsi="Sylfaen"/>
                <w:sz w:val="24"/>
                <w:szCs w:val="24"/>
              </w:rPr>
            </w:pPr>
          </w:p>
        </w:tc>
      </w:tr>
    </w:tbl>
    <w:p w14:paraId="4C1FCC2F" w14:textId="77777777" w:rsidR="008C76E0" w:rsidRPr="00BD7577" w:rsidRDefault="008C76E0" w:rsidP="00DB2544">
      <w:pPr>
        <w:spacing w:after="160" w:line="336" w:lineRule="auto"/>
        <w:ind w:firstLine="567"/>
        <w:jc w:val="both"/>
        <w:rPr>
          <w:rFonts w:ascii="Sylfaen" w:hAnsi="Sylfaen"/>
          <w:sz w:val="24"/>
          <w:szCs w:val="24"/>
          <w:lang w:val="en-US"/>
        </w:rPr>
      </w:pPr>
    </w:p>
    <w:p w14:paraId="7AE8FED0" w14:textId="77777777" w:rsidR="008C76E0" w:rsidRPr="00BD7577" w:rsidRDefault="008C76E0" w:rsidP="00DB2544">
      <w:pPr>
        <w:spacing w:after="160" w:line="336" w:lineRule="auto"/>
        <w:ind w:firstLine="567"/>
        <w:jc w:val="center"/>
        <w:rPr>
          <w:rFonts w:ascii="Sylfaen" w:hAnsi="Sylfaen"/>
          <w:sz w:val="24"/>
          <w:szCs w:val="24"/>
        </w:rPr>
      </w:pPr>
      <w:r w:rsidRPr="00BD7577">
        <w:rPr>
          <w:rFonts w:ascii="Sylfaen" w:hAnsi="Sylfaen"/>
          <w:sz w:val="24"/>
          <w:szCs w:val="24"/>
        </w:rPr>
        <w:t>Տեսչական ստուգում անցկացնելու հարցումներ</w:t>
      </w:r>
    </w:p>
    <w:p w14:paraId="5784664D" w14:textId="77777777" w:rsidR="008C76E0" w:rsidRPr="00BD7577" w:rsidRDefault="008C76E0" w:rsidP="00DB2544">
      <w:pPr>
        <w:spacing w:after="160" w:line="336" w:lineRule="auto"/>
        <w:ind w:firstLine="567"/>
        <w:jc w:val="both"/>
        <w:rPr>
          <w:rFonts w:ascii="Sylfaen" w:hAnsi="Sylfaen"/>
          <w:sz w:val="24"/>
          <w:szCs w:val="24"/>
        </w:rPr>
      </w:pPr>
      <w:r w:rsidRPr="00BD7577">
        <w:rPr>
          <w:rFonts w:ascii="Sylfaen" w:hAnsi="Sylfaen"/>
          <w:sz w:val="24"/>
          <w:szCs w:val="24"/>
        </w:rPr>
        <w:t xml:space="preserve">Եվրասիական տնտեսական հանձնաժողովի կողմից հաստատվող՝ Եվրասիական տնտեսական միության պատշաճ արտադրական գործունեության կանոնների (GMP) պահանջներին համապատասխանության տեսչական ստուգում (տեսչական ստուգումներ): </w:t>
      </w:r>
    </w:p>
    <w:p w14:paraId="0D5571D1" w14:textId="77777777" w:rsidR="008C76E0" w:rsidRPr="00BD7577" w:rsidRDefault="008C76E0" w:rsidP="004B393A">
      <w:pPr>
        <w:spacing w:after="160" w:line="360" w:lineRule="auto"/>
        <w:ind w:right="-1" w:firstLine="567"/>
        <w:jc w:val="both"/>
        <w:rPr>
          <w:rFonts w:ascii="Sylfaen" w:hAnsi="Sylfaen"/>
          <w:b/>
          <w:i/>
          <w:sz w:val="24"/>
          <w:szCs w:val="24"/>
        </w:rPr>
      </w:pPr>
      <w:r w:rsidRPr="00BD7577">
        <w:rPr>
          <w:rStyle w:val="Bodytext295pt"/>
          <w:rFonts w:ascii="Sylfaen" w:eastAsiaTheme="minorHAnsi" w:hAnsi="Sylfaen"/>
          <w:b w:val="0"/>
          <w:i/>
          <w:spacing w:val="0"/>
          <w:sz w:val="24"/>
          <w:szCs w:val="24"/>
        </w:rPr>
        <w:lastRenderedPageBreak/>
        <w:t>[GMP-ի պլանային տեսչական ստուգումների համար]</w:t>
      </w:r>
    </w:p>
    <w:p w14:paraId="21FC0A3D" w14:textId="51DBAEBB"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կապված հարթակի համապատասխանության հերթական սերտիֆիկատի գործողության ժամկետը լրանալու հետ: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5D21792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[GMP-ի նախաձեռնվող տեսչական ստուգումների համար]</w:t>
      </w:r>
    </w:p>
    <w:p w14:paraId="6832F4A9" w14:textId="4F855052"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&lt;GMP-ի տեսչական ստուգման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արտադրական հարթակների համար՝ հաստատելու GMP-ին համապատասխանության դրանց կարգավիճակը՝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Այս տեսչական ստուգումների արդյունքները պահանջվում են </w:t>
      </w:r>
      <w:r w:rsidR="0056496B">
        <w:rPr>
          <w:rFonts w:ascii="Sylfaen" w:hAnsi="Sylfaen"/>
          <w:b w:val="0"/>
          <w:sz w:val="24"/>
          <w:szCs w:val="24"/>
          <w:lang w:val="hy-AM"/>
        </w:rPr>
        <w:t>դիմում</w:t>
      </w:r>
      <w:r w:rsidRPr="008C76E0">
        <w:rPr>
          <w:rFonts w:ascii="Sylfaen" w:hAnsi="Sylfaen"/>
          <w:b w:val="0"/>
          <w:sz w:val="24"/>
          <w:szCs w:val="24"/>
          <w:lang w:val="hy-AM"/>
        </w:rPr>
        <w:t xml:space="preserve">ի քննարկումն ավարտին հասցնելու համար </w:t>
      </w:r>
      <w:r w:rsidR="00C54D75">
        <w:rPr>
          <w:rFonts w:ascii="Sylfaen" w:hAnsi="Sylfaen"/>
          <w:b w:val="0"/>
          <w:sz w:val="24"/>
          <w:szCs w:val="24"/>
          <w:lang w:val="hy-AM"/>
        </w:rPr>
        <w:t>և</w:t>
      </w:r>
      <w:r w:rsidRPr="008C76E0">
        <w:rPr>
          <w:rFonts w:ascii="Sylfaen" w:hAnsi="Sylfaen"/>
          <w:b w:val="0"/>
          <w:sz w:val="24"/>
          <w:szCs w:val="24"/>
          <w:lang w:val="hy-AM"/>
        </w:rPr>
        <w:t xml:space="preserve"> անհրաժեշտ կլինեն 181-րդ օրը&gt;:</w:t>
      </w:r>
    </w:p>
    <w:p w14:paraId="05E0E984"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(GCP) կանոնների պահանջներին համապատասխանության տեսչական ստուգում (տեսչական ստուգումներ):</w:t>
      </w:r>
    </w:p>
    <w:p w14:paraId="206B1292"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&lt;GCP-ի տեսչական ստուգման վերաբերյալ հարցումն արվել է հետ</w:t>
      </w:r>
      <w:r w:rsidR="00C54D75">
        <w:rPr>
          <w:rFonts w:ascii="Sylfaen" w:hAnsi="Sylfaen"/>
          <w:b w:val="0"/>
          <w:sz w:val="24"/>
          <w:szCs w:val="24"/>
          <w:lang w:val="hy-AM"/>
        </w:rPr>
        <w:t>և</w:t>
      </w:r>
      <w:r w:rsidRPr="008C76E0">
        <w:rPr>
          <w:rFonts w:ascii="Sylfaen" w:hAnsi="Sylfaen"/>
          <w:b w:val="0"/>
          <w:sz w:val="24"/>
          <w:szCs w:val="24"/>
          <w:lang w:val="hy-AM"/>
        </w:rPr>
        <w:t xml:space="preserve">յալ կլինիկական հետազոտությունների համար՝ &lt;նշել հետազոտությունների համարները&gt;՝ համաձայն տեսչական ստուգում նշանակելու չափանիշների, որոնք շարադրված են Եվրասիական տնտեսական միության կողմից հաստատվող՝ Բժշկական կիրառման դեղամիջոցների գրանցման </w:t>
      </w:r>
      <w:r w:rsidR="00C54D75">
        <w:rPr>
          <w:rFonts w:ascii="Sylfaen" w:hAnsi="Sylfaen"/>
          <w:b w:val="0"/>
          <w:sz w:val="24"/>
          <w:szCs w:val="24"/>
          <w:lang w:val="hy-AM"/>
        </w:rPr>
        <w:t>և</w:t>
      </w:r>
      <w:r w:rsidRPr="008C76E0">
        <w:rPr>
          <w:rFonts w:ascii="Sylfaen" w:hAnsi="Sylfaen"/>
          <w:b w:val="0"/>
          <w:sz w:val="24"/>
          <w:szCs w:val="24"/>
          <w:lang w:val="hy-AM"/>
        </w:rPr>
        <w:t xml:space="preserve"> փորձաքննության կանոններում։ Սույն տեսչական ստուգման արդյունքն ու դրա հիման վրա ստացված տվյալների վերաբերյալ դրական պատասխանները դիտողությունների ցանկի պատասխանների մի մասն են կազմում </w:t>
      </w:r>
      <w:r w:rsidR="00C54D75">
        <w:rPr>
          <w:rFonts w:ascii="Sylfaen" w:hAnsi="Sylfaen"/>
          <w:b w:val="0"/>
          <w:sz w:val="24"/>
          <w:szCs w:val="24"/>
          <w:lang w:val="hy-AM"/>
        </w:rPr>
        <w:t>և</w:t>
      </w:r>
      <w:r w:rsidRPr="008C76E0">
        <w:rPr>
          <w:rFonts w:ascii="Sylfaen" w:hAnsi="Sylfaen"/>
          <w:b w:val="0"/>
          <w:sz w:val="24"/>
          <w:szCs w:val="24"/>
          <w:lang w:val="hy-AM"/>
        </w:rPr>
        <w:t xml:space="preserve"> կներկայացվեն 121-րդ օրը&gt;:</w:t>
      </w:r>
    </w:p>
    <w:p w14:paraId="46B4258F" w14:textId="77777777"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lastRenderedPageBreak/>
        <w:t>&lt;Նոր ակտիվ նյութի կարգավիճակը&gt;</w:t>
      </w:r>
    </w:p>
    <w:p w14:paraId="0811B37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Տվյալների ամփոփման հիման վրա՝ փորձագետները կարծում են, որ </w:t>
      </w:r>
      <w:r w:rsidRPr="007D546A">
        <w:rPr>
          <w:rStyle w:val="Bodytext295pt"/>
          <w:rFonts w:ascii="Sylfaen" w:eastAsiaTheme="minorHAnsi" w:hAnsi="Sylfaen"/>
          <w:b w:val="0"/>
          <w:spacing w:val="0"/>
          <w:sz w:val="24"/>
          <w:szCs w:val="24"/>
        </w:rPr>
        <w:t>&lt;նշել ակտիվ նյութի անվանումը&gt; ակտիվ նյութը,</w:t>
      </w:r>
      <w:r w:rsidRPr="00BD7577">
        <w:rPr>
          <w:rFonts w:ascii="Sylfaen" w:hAnsi="Sylfaen"/>
          <w:sz w:val="24"/>
          <w:szCs w:val="24"/>
        </w:rPr>
        <w:t xml:space="preserve"> որը պարունակվում է &lt;նշել դեղապատրաստուկի անվանումը&gt; դեղապատրաստուկի մեջ՝ </w:t>
      </w:r>
    </w:p>
    <w:p w14:paraId="2A1ED83D" w14:textId="79555FCD" w:rsidR="008C76E0" w:rsidRPr="008C76E0" w:rsidRDefault="008C76E0" w:rsidP="004B393A">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&lt;ենթակա է պահանջներին համապատասխանության ստուգման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տարբերվում է ավելի վաղ գրանցված նյութից&gt;.</w:t>
      </w:r>
    </w:p>
    <w:p w14:paraId="7C5A673C" w14:textId="23A5AC0B"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&lt;կարող է որակավորվել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պայմանով, որ դիտողությունների Ցանկում բերված դիտողություններին տրվել են բավարարող պատասխաններ&gt;.</w:t>
      </w:r>
    </w:p>
    <w:p w14:paraId="33376926" w14:textId="36ABBA4E" w:rsidR="008C76E0" w:rsidRPr="008C76E0" w:rsidRDefault="008C76E0" w:rsidP="004B393A">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&lt;չի որակավորվում որպես նոր ակտիվ նյութ &lt;ինքնին&gt; &lt;&lt;նշել հաստատված իզոմերի (իզոմերների խառնուրդի, կոմպլեքսի, ածանցյալի, աղի) անվանումը&gt; </w:t>
      </w:r>
      <w:r w:rsidR="005F6A31">
        <w:rPr>
          <w:rFonts w:ascii="Sylfaen" w:hAnsi="Sylfaen"/>
          <w:b w:val="0"/>
          <w:sz w:val="24"/>
          <w:szCs w:val="24"/>
          <w:lang w:val="hy-AM"/>
        </w:rPr>
        <w:t>հայտնի</w:t>
      </w:r>
      <w:r w:rsidRPr="008C76E0">
        <w:rPr>
          <w:rFonts w:ascii="Sylfaen" w:hAnsi="Sylfaen"/>
          <w:b w:val="0"/>
          <w:sz w:val="24"/>
          <w:szCs w:val="24"/>
          <w:lang w:val="hy-AM"/>
        </w:rPr>
        <w:t xml:space="preserve"> նյութի հետ համեմատությամբ, որն ավելի վաղ Միությունում գրացված է եղել որպես դեղապատրաստուկ, քանի որ այն անվտանգության </w:t>
      </w:r>
      <w:r w:rsidR="00C54D75">
        <w:rPr>
          <w:rFonts w:ascii="Sylfaen" w:hAnsi="Sylfaen"/>
          <w:b w:val="0"/>
          <w:sz w:val="24"/>
          <w:szCs w:val="24"/>
          <w:lang w:val="hy-AM"/>
        </w:rPr>
        <w:t>և</w:t>
      </w:r>
      <w:r w:rsidRPr="008C76E0">
        <w:rPr>
          <w:rFonts w:ascii="Sylfaen" w:hAnsi="Sylfaen"/>
          <w:b w:val="0"/>
          <w:sz w:val="24"/>
          <w:szCs w:val="24"/>
          <w:lang w:val="hy-AM"/>
        </w:rPr>
        <w:t xml:space="preserve"> արդյունավետության առումով իր հատկություններով էապես չի տարբերվում ավելի վաղ գրանցված նյութից&gt;:</w:t>
      </w:r>
    </w:p>
    <w:p w14:paraId="6FC9B67C" w14:textId="77777777" w:rsidR="008C76E0" w:rsidRPr="00BD7577" w:rsidRDefault="008C76E0" w:rsidP="004B393A">
      <w:pPr>
        <w:spacing w:after="160" w:line="360" w:lineRule="auto"/>
        <w:ind w:right="-1" w:firstLine="567"/>
        <w:jc w:val="both"/>
        <w:rPr>
          <w:rFonts w:ascii="Sylfaen" w:eastAsia="Times New Roman" w:hAnsi="Sylfaen" w:cs="Times New Roman"/>
          <w:bCs/>
          <w:i/>
          <w:iCs/>
          <w:sz w:val="24"/>
          <w:szCs w:val="24"/>
        </w:rPr>
      </w:pPr>
    </w:p>
    <w:p w14:paraId="286AB187" w14:textId="77777777" w:rsidR="008C76E0" w:rsidRPr="008C76E0" w:rsidRDefault="008C76E0" w:rsidP="004B393A">
      <w:pPr>
        <w:pStyle w:val="Bodytext70"/>
        <w:shd w:val="clear" w:color="auto" w:fill="auto"/>
        <w:spacing w:before="0" w:after="160" w:line="360" w:lineRule="auto"/>
        <w:ind w:right="-1" w:firstLine="567"/>
        <w:jc w:val="center"/>
        <w:rPr>
          <w:rFonts w:ascii="Sylfaen" w:hAnsi="Sylfaen" w:cs="TimesNewRomanPSMT"/>
          <w:b w:val="0"/>
          <w:i w:val="0"/>
          <w:sz w:val="24"/>
          <w:szCs w:val="24"/>
          <w:lang w:val="hy-AM"/>
        </w:rPr>
      </w:pPr>
      <w:r w:rsidRPr="008C76E0">
        <w:rPr>
          <w:rFonts w:ascii="Sylfaen" w:hAnsi="Sylfaen"/>
          <w:b w:val="0"/>
          <w:i w:val="0"/>
          <w:sz w:val="24"/>
          <w:szCs w:val="24"/>
          <w:lang w:val="hy-AM"/>
        </w:rPr>
        <w:t>II. Ամփոփիչ ռեզյումե</w:t>
      </w:r>
    </w:p>
    <w:p w14:paraId="202952E6" w14:textId="77777777" w:rsidR="008C76E0" w:rsidRPr="008C76E0" w:rsidRDefault="008C76E0" w:rsidP="004B393A">
      <w:pPr>
        <w:pStyle w:val="Bodytext70"/>
        <w:shd w:val="clear" w:color="auto" w:fill="auto"/>
        <w:tabs>
          <w:tab w:val="left" w:pos="1134"/>
        </w:tabs>
        <w:spacing w:before="0" w:after="160" w:line="360" w:lineRule="auto"/>
        <w:ind w:right="-1" w:firstLine="567"/>
        <w:rPr>
          <w:rFonts w:ascii="Sylfaen" w:hAnsi="Sylfaen"/>
          <w:b w:val="0"/>
          <w:i w:val="0"/>
          <w:sz w:val="24"/>
          <w:szCs w:val="24"/>
          <w:lang w:val="hy-AM"/>
        </w:rPr>
      </w:pPr>
      <w:r w:rsidRPr="008C76E0">
        <w:rPr>
          <w:rFonts w:ascii="Sylfaen" w:hAnsi="Sylfaen"/>
          <w:b w:val="0"/>
          <w:i w:val="0"/>
          <w:sz w:val="24"/>
          <w:szCs w:val="24"/>
          <w:lang w:val="hy-AM"/>
        </w:rPr>
        <w:t>1.</w:t>
      </w:r>
      <w:r w:rsidRPr="008C76E0">
        <w:rPr>
          <w:rFonts w:ascii="Sylfaen" w:hAnsi="Sylfaen"/>
          <w:b w:val="0"/>
          <w:i w:val="0"/>
          <w:sz w:val="24"/>
          <w:szCs w:val="24"/>
          <w:lang w:val="hy-AM"/>
        </w:rPr>
        <w:tab/>
        <w:t>Ներածություն:</w:t>
      </w:r>
    </w:p>
    <w:p w14:paraId="6C5E06A3"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Դեղապատարստուկի հակիրճ նկարագրությունը:</w:t>
      </w:r>
    </w:p>
    <w:p w14:paraId="6E31872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 xml:space="preserve">Դեղապատրաստուկի մշակման ծրագրի գնահատումը, </w:t>
      </w:r>
      <w:r w:rsidRPr="00BD7577">
        <w:rPr>
          <w:rFonts w:ascii="Sylfaen" w:hAnsi="Sylfaen"/>
          <w:sz w:val="24"/>
          <w:szCs w:val="24"/>
        </w:rPr>
        <w:lastRenderedPageBreak/>
        <w:t>դեղապատրաստուկների մշակման վերաբերյալ ձեռնարկներին համապատասխանությունը, գիտական խորհրդատվության առկայությունը:</w:t>
      </w:r>
    </w:p>
    <w:p w14:paraId="7D1C0C88"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Ընդհանուր մեկնաբանություններ՝ GMP-ի, GLP-ի, GCP-ի սկզբունքերի պահպանման վերաբերյալ:</w:t>
      </w:r>
    </w:p>
    <w:p w14:paraId="3819C45A" w14:textId="483F668D"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տիպը </w:t>
      </w:r>
      <w:r w:rsidR="00C54D75">
        <w:rPr>
          <w:rFonts w:ascii="Sylfaen" w:hAnsi="Sylfaen"/>
          <w:sz w:val="24"/>
          <w:szCs w:val="24"/>
        </w:rPr>
        <w:t>և</w:t>
      </w:r>
      <w:r w:rsidRPr="00BD7577">
        <w:rPr>
          <w:rFonts w:ascii="Sylfaen" w:hAnsi="Sylfaen"/>
          <w:sz w:val="24"/>
          <w:szCs w:val="24"/>
        </w:rPr>
        <w:t xml:space="preserve"> այլ մեկնաբանություններ՝ քննարկման ներկայացված դոսյեի վերաբերյալ՝</w:t>
      </w:r>
    </w:p>
    <w:p w14:paraId="4F8E8FC7"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գրանցման նորմատիվ իրավական ընթացակարգի տեսակը. գրանցման ընթացակարգի համար հատուկ հիմքերի կիրառման հնարավորությունը.</w:t>
      </w:r>
    </w:p>
    <w:p w14:paraId="2B2EB2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կենսանմանակ հասկացության կիրառումը.</w:t>
      </w:r>
    </w:p>
    <w:p w14:paraId="397E6BC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մանկաբուժական հետազոտությունների նշանակությունը:</w:t>
      </w:r>
    </w:p>
    <w:p w14:paraId="41F9E678" w14:textId="77777777" w:rsidR="008C76E0" w:rsidRPr="00BD7577" w:rsidRDefault="008C76E0" w:rsidP="004B393A">
      <w:pPr>
        <w:tabs>
          <w:tab w:val="left" w:pos="1418"/>
        </w:tabs>
        <w:spacing w:after="160" w:line="360" w:lineRule="auto"/>
        <w:ind w:firstLine="567"/>
        <w:jc w:val="both"/>
        <w:rPr>
          <w:rFonts w:ascii="Sylfaen" w:hAnsi="Sylfaen"/>
          <w:sz w:val="24"/>
          <w:szCs w:val="24"/>
        </w:rPr>
      </w:pPr>
    </w:p>
    <w:p w14:paraId="2B0B6B60" w14:textId="77777777" w:rsidR="008C76E0" w:rsidRPr="00DF60A0" w:rsidRDefault="008C76E0" w:rsidP="004B393A">
      <w:pPr>
        <w:tabs>
          <w:tab w:val="left" w:pos="1418"/>
        </w:tabs>
        <w:spacing w:after="160" w:line="360" w:lineRule="auto"/>
        <w:ind w:right="-1" w:firstLine="567"/>
        <w:jc w:val="center"/>
        <w:rPr>
          <w:rFonts w:ascii="Sylfaen" w:hAnsi="Sylfaen"/>
          <w:sz w:val="24"/>
          <w:szCs w:val="24"/>
        </w:rPr>
      </w:pPr>
      <w:r w:rsidRPr="00DF60A0">
        <w:rPr>
          <w:rFonts w:ascii="Sylfaen" w:hAnsi="Sylfaen"/>
          <w:sz w:val="24"/>
          <w:szCs w:val="24"/>
        </w:rPr>
        <w:t xml:space="preserve">III. Գիտական ակնարկ </w:t>
      </w:r>
      <w:r w:rsidR="00C54D75">
        <w:rPr>
          <w:rFonts w:ascii="Sylfaen" w:hAnsi="Sylfaen"/>
          <w:sz w:val="24"/>
          <w:szCs w:val="24"/>
        </w:rPr>
        <w:t>և</w:t>
      </w:r>
      <w:r w:rsidRPr="00DF60A0">
        <w:rPr>
          <w:rFonts w:ascii="Sylfaen" w:hAnsi="Sylfaen"/>
          <w:sz w:val="24"/>
          <w:szCs w:val="24"/>
        </w:rPr>
        <w:t xml:space="preserve"> քննարկում</w:t>
      </w:r>
    </w:p>
    <w:p w14:paraId="70231D49"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1.1.</w:t>
      </w:r>
      <w:r w:rsidRPr="00DF60A0">
        <w:rPr>
          <w:rFonts w:ascii="Sylfaen" w:hAnsi="Sylfaen"/>
          <w:sz w:val="24"/>
          <w:szCs w:val="24"/>
        </w:rPr>
        <w:tab/>
        <w:t>Ներածություն:</w:t>
      </w:r>
    </w:p>
    <w:p w14:paraId="0E276A71"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1.2.</w:t>
      </w:r>
      <w:r w:rsidRPr="00DF60A0">
        <w:rPr>
          <w:rFonts w:ascii="Sylfaen" w:hAnsi="Sylfaen"/>
          <w:sz w:val="24"/>
          <w:szCs w:val="24"/>
        </w:rPr>
        <w:tab/>
        <w:t>Որակի ասպեկտները:</w:t>
      </w:r>
    </w:p>
    <w:p w14:paraId="192B1A57"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1.3.</w:t>
      </w:r>
      <w:r w:rsidRPr="00DF60A0">
        <w:rPr>
          <w:rFonts w:ascii="Sylfaen" w:hAnsi="Sylfaen"/>
          <w:sz w:val="24"/>
          <w:szCs w:val="24"/>
        </w:rPr>
        <w:tab/>
        <w:t>Որակի վերաբերյալ ընդհանուր հարցերը:</w:t>
      </w:r>
    </w:p>
    <w:p w14:paraId="259E324E" w14:textId="77777777" w:rsidR="008C76E0" w:rsidRPr="00DF60A0" w:rsidRDefault="008C76E0" w:rsidP="004B393A">
      <w:pPr>
        <w:tabs>
          <w:tab w:val="left" w:pos="1418"/>
        </w:tabs>
        <w:spacing w:after="160" w:line="360" w:lineRule="auto"/>
        <w:ind w:right="-1" w:firstLine="567"/>
        <w:jc w:val="both"/>
        <w:rPr>
          <w:rFonts w:ascii="Sylfaen" w:hAnsi="Sylfaen"/>
          <w:sz w:val="24"/>
          <w:szCs w:val="24"/>
        </w:rPr>
      </w:pPr>
      <w:r w:rsidRPr="00DF60A0">
        <w:rPr>
          <w:rFonts w:ascii="Sylfaen" w:hAnsi="Sylfaen"/>
          <w:sz w:val="24"/>
          <w:szCs w:val="24"/>
        </w:rPr>
        <w:t>1.4.</w:t>
      </w:r>
      <w:r w:rsidRPr="00DF60A0">
        <w:rPr>
          <w:rFonts w:ascii="Sylfaen" w:hAnsi="Sylfaen"/>
          <w:sz w:val="24"/>
          <w:szCs w:val="24"/>
        </w:rPr>
        <w:tab/>
        <w:t>Ակտիվ դեղագործական բաղադրամասը (ԱԴԲ-ն):</w:t>
      </w:r>
    </w:p>
    <w:p w14:paraId="40FCA4BD" w14:textId="77777777" w:rsidR="008C76E0" w:rsidRPr="00DF60A0"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1.4.1.</w:t>
      </w:r>
      <w:r w:rsidRPr="00DF60A0">
        <w:rPr>
          <w:rFonts w:ascii="Sylfaen" w:hAnsi="Sylfaen"/>
          <w:sz w:val="24"/>
          <w:szCs w:val="24"/>
        </w:rPr>
        <w:tab/>
        <w:t>Ընդհանուր տեղեկատվություն:</w:t>
      </w:r>
    </w:p>
    <w:p w14:paraId="3748CEA9"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DF60A0">
        <w:rPr>
          <w:rFonts w:ascii="Sylfaen" w:hAnsi="Sylfaen"/>
          <w:sz w:val="24"/>
          <w:szCs w:val="24"/>
        </w:rPr>
        <w:t>1.4.2.</w:t>
      </w:r>
      <w:r w:rsidRPr="00DF60A0">
        <w:rPr>
          <w:rFonts w:ascii="Sylfaen" w:hAnsi="Sylfaen"/>
          <w:sz w:val="24"/>
          <w:szCs w:val="24"/>
        </w:rPr>
        <w:tab/>
        <w:t>Արտադրությունը, հատկությունների</w:t>
      </w:r>
      <w:r w:rsidRPr="00BD7577">
        <w:rPr>
          <w:rFonts w:ascii="Sylfaen" w:hAnsi="Sylfaen"/>
          <w:sz w:val="24"/>
          <w:szCs w:val="24"/>
        </w:rPr>
        <w:t xml:space="preserve"> նկարագրությունն ու հսկողության գործընթացը:</w:t>
      </w:r>
    </w:p>
    <w:p w14:paraId="7F2D07BA"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1.4.3.</w:t>
      </w:r>
      <w:r w:rsidRPr="00BD7577">
        <w:rPr>
          <w:rFonts w:ascii="Sylfaen" w:hAnsi="Sylfaen"/>
          <w:sz w:val="24"/>
          <w:szCs w:val="24"/>
        </w:rPr>
        <w:tab/>
        <w:t>Մասնագիրը։</w:t>
      </w:r>
    </w:p>
    <w:p w14:paraId="7D8E5EB5"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 xml:space="preserve">1.4.4. </w:t>
      </w:r>
      <w:r w:rsidRPr="00BD7577">
        <w:rPr>
          <w:rFonts w:ascii="Sylfaen" w:hAnsi="Sylfaen"/>
          <w:sz w:val="24"/>
          <w:szCs w:val="24"/>
        </w:rPr>
        <w:tab/>
        <w:t>Կայունությունը։</w:t>
      </w:r>
    </w:p>
    <w:p w14:paraId="59D43492" w14:textId="77777777" w:rsidR="008C76E0" w:rsidRPr="00BD7577" w:rsidRDefault="008C76E0" w:rsidP="004B393A">
      <w:pPr>
        <w:tabs>
          <w:tab w:val="left" w:pos="1418"/>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1.4.5.</w:t>
      </w:r>
      <w:r w:rsidRPr="00BD7577">
        <w:rPr>
          <w:rFonts w:ascii="Sylfaen" w:hAnsi="Sylfaen"/>
          <w:sz w:val="24"/>
          <w:szCs w:val="24"/>
        </w:rPr>
        <w:tab/>
        <w:t xml:space="preserve">Համադրելիության հետազոտությունները՝ ԱԴԲ-ի համար: </w:t>
      </w:r>
    </w:p>
    <w:p w14:paraId="3CF1B7C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w:t>
      </w:r>
      <w:r w:rsidRPr="00BD7577">
        <w:rPr>
          <w:rFonts w:ascii="Sylfaen" w:hAnsi="Sylfaen"/>
          <w:sz w:val="24"/>
          <w:szCs w:val="24"/>
        </w:rPr>
        <w:tab/>
        <w:t>Դեղապատրաստուկը:</w:t>
      </w:r>
    </w:p>
    <w:p w14:paraId="2023447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1.5.1.</w:t>
      </w:r>
      <w:r w:rsidRPr="00BD7577">
        <w:rPr>
          <w:rFonts w:ascii="Sylfaen" w:hAnsi="Sylfaen"/>
          <w:sz w:val="24"/>
          <w:szCs w:val="24"/>
        </w:rPr>
        <w:tab/>
        <w:t xml:space="preserve">Դեղապատրաստուկի նկարագրությունը </w:t>
      </w:r>
      <w:r w:rsidR="00C54D75">
        <w:rPr>
          <w:rFonts w:ascii="Sylfaen" w:hAnsi="Sylfaen"/>
          <w:sz w:val="24"/>
          <w:szCs w:val="24"/>
        </w:rPr>
        <w:t>և</w:t>
      </w:r>
      <w:r w:rsidRPr="00BD7577">
        <w:rPr>
          <w:rFonts w:ascii="Sylfaen" w:hAnsi="Sylfaen"/>
          <w:sz w:val="24"/>
          <w:szCs w:val="24"/>
        </w:rPr>
        <w:t xml:space="preserve"> դեղագործական մշակումը:</w:t>
      </w:r>
    </w:p>
    <w:p w14:paraId="0406BC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1.5.2.</w:t>
      </w:r>
      <w:r w:rsidRPr="00BD7577">
        <w:rPr>
          <w:rFonts w:ascii="Sylfaen" w:hAnsi="Sylfaen"/>
          <w:sz w:val="24"/>
          <w:szCs w:val="24"/>
        </w:rPr>
        <w:tab/>
        <w:t>Դեղապատրաստուկի արտադրությունն ու հսկողության գործընթացը:</w:t>
      </w:r>
    </w:p>
    <w:p w14:paraId="1170215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1.5.3.</w:t>
      </w:r>
      <w:r w:rsidRPr="00BD7577">
        <w:rPr>
          <w:rFonts w:ascii="Sylfaen" w:hAnsi="Sylfaen"/>
          <w:sz w:val="24"/>
          <w:szCs w:val="24"/>
        </w:rPr>
        <w:tab/>
        <w:t>Դեղապատրաստուկի մասնագիրը:</w:t>
      </w:r>
    </w:p>
    <w:p w14:paraId="15BAD9E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1.5.4.</w:t>
      </w:r>
      <w:r w:rsidRPr="00BD7577">
        <w:rPr>
          <w:rFonts w:ascii="Sylfaen" w:hAnsi="Sylfaen"/>
          <w:sz w:val="24"/>
          <w:szCs w:val="24"/>
        </w:rPr>
        <w:tab/>
        <w:t xml:space="preserve">Դեղապատրաստուկի պիտանիության ժամկետի </w:t>
      </w:r>
      <w:r w:rsidR="00C54D75">
        <w:rPr>
          <w:rFonts w:ascii="Sylfaen" w:hAnsi="Sylfaen"/>
          <w:sz w:val="24"/>
          <w:szCs w:val="24"/>
        </w:rPr>
        <w:t>և</w:t>
      </w:r>
      <w:r w:rsidRPr="00BD7577">
        <w:rPr>
          <w:rFonts w:ascii="Sylfaen" w:hAnsi="Sylfaen"/>
          <w:sz w:val="24"/>
          <w:szCs w:val="24"/>
        </w:rPr>
        <w:t xml:space="preserve"> պահպանման պայմանների հաստատումը՝ կայունության վերաբերյալ հետազոտությունների տվյալներով:</w:t>
      </w:r>
    </w:p>
    <w:p w14:paraId="3C460C3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1.5.5.</w:t>
      </w:r>
      <w:r w:rsidRPr="00BD7577">
        <w:rPr>
          <w:rFonts w:ascii="Sylfaen" w:hAnsi="Sylfaen"/>
          <w:sz w:val="24"/>
          <w:szCs w:val="24"/>
        </w:rPr>
        <w:tab/>
        <w:t xml:space="preserve">Համադրելիության հետազոտությունները՝ դեղապատրաստուկի համար: </w:t>
      </w:r>
    </w:p>
    <w:p w14:paraId="66508F7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1.5.6.</w:t>
      </w:r>
      <w:r w:rsidRPr="00BD7577">
        <w:rPr>
          <w:rFonts w:ascii="Sylfaen" w:hAnsi="Sylfaen"/>
          <w:sz w:val="24"/>
          <w:szCs w:val="24"/>
        </w:rPr>
        <w:tab/>
        <w:t>Ներմուծված վարակիչ ագենտները:</w:t>
      </w:r>
    </w:p>
    <w:p w14:paraId="3B9DE75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1.5.7.</w:t>
      </w:r>
      <w:r w:rsidRPr="00BD7577">
        <w:rPr>
          <w:rFonts w:ascii="Sylfaen" w:hAnsi="Sylfaen"/>
          <w:sz w:val="24"/>
          <w:szCs w:val="24"/>
        </w:rPr>
        <w:tab/>
        <w:t>ԳՄՕ:</w:t>
      </w:r>
    </w:p>
    <w:p w14:paraId="33C08C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1.6.</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քննարկումը:</w:t>
      </w:r>
    </w:p>
    <w:p w14:paraId="7CE6AE5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1.7.</w:t>
      </w:r>
      <w:r w:rsidRPr="00BD7577">
        <w:rPr>
          <w:rFonts w:ascii="Sylfaen" w:hAnsi="Sylfaen"/>
          <w:sz w:val="24"/>
          <w:szCs w:val="24"/>
        </w:rPr>
        <w:tab/>
        <w:t xml:space="preserve">Քիմիական, դեղագործական </w:t>
      </w:r>
      <w:r w:rsidR="00C54D75">
        <w:rPr>
          <w:rFonts w:ascii="Sylfaen" w:hAnsi="Sylfaen"/>
          <w:sz w:val="24"/>
          <w:szCs w:val="24"/>
        </w:rPr>
        <w:t>և</w:t>
      </w:r>
      <w:r w:rsidRPr="00BD7577">
        <w:rPr>
          <w:rFonts w:ascii="Sylfaen" w:hAnsi="Sylfaen"/>
          <w:sz w:val="24"/>
          <w:szCs w:val="24"/>
        </w:rPr>
        <w:t xml:space="preserve"> կենսաբանական ասպեկտների վերաբերյալ եզրակացությունը:</w:t>
      </w:r>
    </w:p>
    <w:p w14:paraId="38BC762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1.8.</w:t>
      </w:r>
      <w:r w:rsidRPr="00BD7577">
        <w:rPr>
          <w:rFonts w:ascii="Sylfaen" w:hAnsi="Sylfaen"/>
          <w:sz w:val="24"/>
          <w:szCs w:val="24"/>
        </w:rPr>
        <w:tab/>
        <w:t>Նախակլինիկական ասպեկտները:</w:t>
      </w:r>
    </w:p>
    <w:p w14:paraId="310DE248"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1.9.</w:t>
      </w:r>
      <w:r w:rsidRPr="00BD7577">
        <w:rPr>
          <w:rFonts w:ascii="Sylfaen" w:hAnsi="Sylfaen"/>
          <w:sz w:val="24"/>
          <w:szCs w:val="24"/>
        </w:rPr>
        <w:tab/>
        <w:t>Դեղաբանություն:</w:t>
      </w:r>
    </w:p>
    <w:p w14:paraId="7CAEA065"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1.10.</w:t>
      </w:r>
      <w:r w:rsidRPr="00BD7577">
        <w:rPr>
          <w:rFonts w:ascii="Sylfaen" w:hAnsi="Sylfaen"/>
          <w:sz w:val="24"/>
          <w:szCs w:val="24"/>
        </w:rPr>
        <w:tab/>
        <w:t>Դեղակինետիկա:</w:t>
      </w:r>
    </w:p>
    <w:p w14:paraId="524C446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1.11.</w:t>
      </w:r>
      <w:r w:rsidRPr="00BD7577">
        <w:rPr>
          <w:rFonts w:ascii="Sylfaen" w:hAnsi="Sylfaen"/>
          <w:sz w:val="24"/>
          <w:szCs w:val="24"/>
        </w:rPr>
        <w:tab/>
        <w:t>Թունաբանություն:</w:t>
      </w:r>
    </w:p>
    <w:p w14:paraId="52E89A5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1.12.</w:t>
      </w:r>
      <w:r w:rsidRPr="00BD7577">
        <w:rPr>
          <w:rFonts w:ascii="Sylfaen" w:hAnsi="Sylfaen"/>
          <w:sz w:val="24"/>
          <w:szCs w:val="24"/>
        </w:rPr>
        <w:tab/>
        <w:t>Նախակլինիկական ասպեկտների շուրջ քննարկումը:</w:t>
      </w:r>
    </w:p>
    <w:p w14:paraId="4076495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1.13.</w:t>
      </w:r>
      <w:r w:rsidRPr="00BD7577">
        <w:rPr>
          <w:rFonts w:ascii="Sylfaen" w:hAnsi="Sylfaen"/>
          <w:sz w:val="24"/>
          <w:szCs w:val="24"/>
        </w:rPr>
        <w:tab/>
        <w:t>Նախակլինիկական ասպեկտների մասով եզրակացությունը:</w:t>
      </w:r>
    </w:p>
    <w:p w14:paraId="14E92006"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1.14.</w:t>
      </w:r>
      <w:r w:rsidRPr="00BD7577">
        <w:rPr>
          <w:rFonts w:ascii="Sylfaen" w:hAnsi="Sylfaen"/>
          <w:sz w:val="24"/>
          <w:szCs w:val="24"/>
        </w:rPr>
        <w:tab/>
        <w:t>Կլինիկական ասպեկտները:</w:t>
      </w:r>
    </w:p>
    <w:p w14:paraId="4E7E323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Կլինիկական հետազոտությունների ամփոփումը՝ աղյուսակի տեսքով:</w:t>
      </w:r>
    </w:p>
    <w:p w14:paraId="5A5A2081"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1.15.</w:t>
      </w:r>
      <w:r w:rsidRPr="00BD7577">
        <w:rPr>
          <w:rFonts w:ascii="Sylfaen" w:hAnsi="Sylfaen"/>
          <w:sz w:val="24"/>
          <w:szCs w:val="24"/>
        </w:rPr>
        <w:tab/>
        <w:t>Դեղակինետիկա:</w:t>
      </w:r>
    </w:p>
    <w:p w14:paraId="4E9DE69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1.16.</w:t>
      </w:r>
      <w:r w:rsidRPr="00BD7577">
        <w:rPr>
          <w:rFonts w:ascii="Sylfaen" w:hAnsi="Sylfaen"/>
          <w:sz w:val="24"/>
          <w:szCs w:val="24"/>
        </w:rPr>
        <w:tab/>
        <w:t>Դեղադինամիկա:</w:t>
      </w:r>
    </w:p>
    <w:p w14:paraId="1AA497C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1.17.</w:t>
      </w:r>
      <w:r w:rsidRPr="00BD7577">
        <w:rPr>
          <w:rFonts w:ascii="Sylfaen" w:hAnsi="Sylfaen"/>
          <w:sz w:val="24"/>
          <w:szCs w:val="24"/>
        </w:rPr>
        <w:tab/>
        <w:t>Կլինիկական դեղաբանության շուրջ քննարկումը:</w:t>
      </w:r>
    </w:p>
    <w:p w14:paraId="3760AF5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1.18.</w:t>
      </w:r>
      <w:r w:rsidRPr="00BD7577">
        <w:rPr>
          <w:rFonts w:ascii="Sylfaen" w:hAnsi="Sylfaen"/>
          <w:sz w:val="24"/>
          <w:szCs w:val="24"/>
        </w:rPr>
        <w:tab/>
        <w:t>Կլինիկական դեղաբանության մասով եզրակացությունը:</w:t>
      </w:r>
    </w:p>
    <w:p w14:paraId="1332D5CD"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1.19.</w:t>
      </w:r>
      <w:r w:rsidRPr="00BD7577">
        <w:rPr>
          <w:rFonts w:ascii="Sylfaen" w:hAnsi="Sylfaen"/>
          <w:sz w:val="24"/>
          <w:szCs w:val="24"/>
        </w:rPr>
        <w:tab/>
        <w:t>Կլինիկական արդյունավետությունը՝</w:t>
      </w:r>
    </w:p>
    <w:p w14:paraId="2040DA5D"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Դեղաչափ-էֆեկտ կախվածության հետազոտություններն ու հիմնական կլինիկական հետազոտությունները:</w:t>
      </w:r>
    </w:p>
    <w:p w14:paraId="7305E0C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Արդյունավետության հիմնական արդյունքների համառոտ տեսությունը:</w:t>
      </w:r>
    </w:p>
    <w:p w14:paraId="438DE918" w14:textId="26D7D8CB"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Հաջորդ աղյուսակներում հակիրճ շարադրվում են հիմնական հետազոտությունների արդյունավետության արդյունքները, որոնք հիմք են հանդիսանում ներկայացված </w:t>
      </w:r>
      <w:r w:rsidR="0056496B">
        <w:rPr>
          <w:rFonts w:ascii="Sylfaen" w:hAnsi="Sylfaen"/>
          <w:sz w:val="24"/>
          <w:szCs w:val="24"/>
        </w:rPr>
        <w:t>դիմում</w:t>
      </w:r>
      <w:r w:rsidRPr="00BD7577">
        <w:rPr>
          <w:rFonts w:ascii="Sylfaen" w:hAnsi="Sylfaen"/>
          <w:sz w:val="24"/>
          <w:szCs w:val="24"/>
        </w:rPr>
        <w:t>ի համար: Այս ընդհանրացված արդյունքներն անհրաժեշտ է վերլուծել կլինիկական արդյունավետության քննարկման, ինչպես նա</w:t>
      </w:r>
      <w:r w:rsidR="00C54D75">
        <w:rPr>
          <w:rFonts w:ascii="Sylfaen" w:hAnsi="Sylfaen"/>
          <w:sz w:val="24"/>
          <w:szCs w:val="24"/>
        </w:rPr>
        <w:t>և</w:t>
      </w:r>
      <w:r w:rsidRPr="00BD7577">
        <w:rPr>
          <w:rFonts w:ascii="Sylfaen" w:hAnsi="Sylfaen"/>
          <w:sz w:val="24"/>
          <w:szCs w:val="24"/>
        </w:rPr>
        <w:t xml:space="preserve"> օգուտ-ռիսկ գնահատման հետ մեկտեղ (տե՛ս վերջին բաժինները):</w:t>
      </w:r>
    </w:p>
    <w:p w14:paraId="363428A4" w14:textId="77777777" w:rsidR="008C76E0" w:rsidRPr="00BD7577" w:rsidRDefault="008C76E0" w:rsidP="004B393A">
      <w:pPr>
        <w:spacing w:after="160" w:line="360" w:lineRule="auto"/>
        <w:ind w:firstLine="567"/>
        <w:jc w:val="both"/>
        <w:rPr>
          <w:rFonts w:ascii="Sylfaen" w:hAnsi="Sylfaen"/>
          <w:sz w:val="24"/>
          <w:szCs w:val="24"/>
        </w:rPr>
      </w:pPr>
    </w:p>
    <w:p w14:paraId="0A07FD23"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Աղյուսակ {համար}:</w:t>
      </w:r>
    </w:p>
    <w:p w14:paraId="6F86EE38" w14:textId="77777777" w:rsidR="008C76E0" w:rsidRPr="00BD7577" w:rsidRDefault="008C76E0" w:rsidP="004B393A">
      <w:pPr>
        <w:spacing w:after="160" w:line="360" w:lineRule="auto"/>
        <w:ind w:left="567" w:right="567"/>
        <w:jc w:val="center"/>
        <w:rPr>
          <w:rFonts w:ascii="Sylfaen" w:hAnsi="Sylfaen"/>
          <w:sz w:val="24"/>
          <w:szCs w:val="24"/>
        </w:rPr>
      </w:pPr>
      <w:r w:rsidRPr="00BD7577">
        <w:rPr>
          <w:rFonts w:ascii="Sylfaen" w:hAnsi="Sylfaen"/>
          <w:sz w:val="24"/>
          <w:szCs w:val="24"/>
        </w:rPr>
        <w:t xml:space="preserve">Դեղապատրաստուկի արդյունավետության &lt;հետազոտություն&gt; հետազոտության հիմնական արդյունքների մասին </w:t>
      </w:r>
      <w:r w:rsidRPr="00BD7577">
        <w:rPr>
          <w:rFonts w:ascii="Sylfaen" w:hAnsi="Sylfaen"/>
          <w:sz w:val="24"/>
          <w:szCs w:val="24"/>
        </w:rPr>
        <w:br/>
        <w:t>համառոտ տեղեկատվություն</w:t>
      </w:r>
    </w:p>
    <w:tbl>
      <w:tblPr>
        <w:tblOverlap w:val="never"/>
        <w:tblW w:w="11163" w:type="dxa"/>
        <w:jc w:val="center"/>
        <w:tblLayout w:type="fixed"/>
        <w:tblCellMar>
          <w:left w:w="10" w:type="dxa"/>
          <w:right w:w="10" w:type="dxa"/>
        </w:tblCellMar>
        <w:tblLook w:val="04A0" w:firstRow="1" w:lastRow="0" w:firstColumn="1" w:lastColumn="0" w:noHBand="0" w:noVBand="1"/>
      </w:tblPr>
      <w:tblGrid>
        <w:gridCol w:w="2128"/>
        <w:gridCol w:w="87"/>
        <w:gridCol w:w="2330"/>
        <w:gridCol w:w="2247"/>
        <w:gridCol w:w="647"/>
        <w:gridCol w:w="1548"/>
        <w:gridCol w:w="2176"/>
      </w:tblGrid>
      <w:tr w:rsidR="008C76E0" w:rsidRPr="00DF2860" w14:paraId="5EF5E393"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266DD7A0" w14:textId="77777777" w:rsidR="008C76E0" w:rsidRPr="008C76E0" w:rsidRDefault="008C76E0" w:rsidP="008C76E0">
            <w:pPr>
              <w:pStyle w:val="Bodytext180"/>
              <w:shd w:val="clear" w:color="auto" w:fill="auto"/>
              <w:spacing w:before="0" w:after="120" w:line="240" w:lineRule="auto"/>
              <w:ind w:left="129" w:right="-1" w:firstLine="0"/>
              <w:jc w:val="center"/>
              <w:rPr>
                <w:rFonts w:ascii="Sylfaen" w:hAnsi="Sylfaen"/>
                <w:b w:val="0"/>
                <w:sz w:val="20"/>
                <w:szCs w:val="20"/>
                <w:lang w:val="hy-AM"/>
              </w:rPr>
            </w:pPr>
            <w:r w:rsidRPr="00DF2860">
              <w:rPr>
                <w:rStyle w:val="Bodytext1811pt"/>
                <w:rFonts w:ascii="Sylfaen" w:hAnsi="Sylfaen"/>
                <w:sz w:val="20"/>
                <w:szCs w:val="20"/>
              </w:rPr>
              <w:t>Անունը {ինչպես նշված է հետազոտություն անցկացնելու մասին հաշվետվության մեջ}</w:t>
            </w:r>
          </w:p>
        </w:tc>
      </w:tr>
      <w:tr w:rsidR="008C76E0" w:rsidRPr="00DF2860" w14:paraId="2D21E744" w14:textId="77777777" w:rsidTr="008C76E0">
        <w:trPr>
          <w:jc w:val="center"/>
        </w:trPr>
        <w:tc>
          <w:tcPr>
            <w:tcW w:w="2128" w:type="dxa"/>
            <w:tcBorders>
              <w:top w:val="single" w:sz="4" w:space="0" w:color="auto"/>
              <w:left w:val="single" w:sz="4" w:space="0" w:color="auto"/>
            </w:tcBorders>
            <w:shd w:val="clear" w:color="auto" w:fill="FFFFFF"/>
          </w:tcPr>
          <w:p w14:paraId="1A285F10"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նույնականացման համարը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19D3A86E" w14:textId="77777777" w:rsidR="008C76E0" w:rsidRPr="00DF2860"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&lt;ծածկագիր&gt;</w:t>
            </w:r>
          </w:p>
          <w:p w14:paraId="67F13F9A" w14:textId="77777777" w:rsidR="008C76E0" w:rsidRPr="00905F38" w:rsidRDefault="008C76E0" w:rsidP="008C76E0">
            <w:pPr>
              <w:pStyle w:val="Bodytext180"/>
              <w:shd w:val="clear" w:color="auto" w:fill="auto"/>
              <w:spacing w:before="0" w:after="120" w:line="240" w:lineRule="auto"/>
              <w:ind w:left="88" w:right="35" w:firstLine="0"/>
              <w:jc w:val="center"/>
              <w:rPr>
                <w:rFonts w:ascii="Sylfaen" w:hAnsi="Sylfaen"/>
                <w:b w:val="0"/>
                <w:i/>
                <w:sz w:val="20"/>
                <w:szCs w:val="20"/>
              </w:rPr>
            </w:pPr>
            <w:r w:rsidRPr="00DF2860">
              <w:rPr>
                <w:rStyle w:val="Bodytext295pt"/>
                <w:rFonts w:ascii="Sylfaen" w:hAnsi="Sylfaen"/>
                <w:i/>
                <w:spacing w:val="0"/>
                <w:sz w:val="20"/>
                <w:szCs w:val="20"/>
              </w:rPr>
              <w:t>{բոլոր այն ծածկագրերի ցանկը, որոնք սկսվում են արձանագրության համարից, որոնց հետ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ում են (առկայության դեպքում) կլինիկական հետազոտությունների Եվրոպական տվյալների բազայի համարը, պատահականորեն բաշխված կլինիկական հետազոտության միջազգային ստանդարտ համարը,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 ծածկագրեր՝ հրատարակությանը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հղում կատարելու համար}</w:t>
            </w:r>
          </w:p>
        </w:tc>
      </w:tr>
      <w:tr w:rsidR="008C76E0" w:rsidRPr="00DF2860" w14:paraId="2E0D047F" w14:textId="77777777" w:rsidTr="008C76E0">
        <w:trPr>
          <w:jc w:val="center"/>
        </w:trPr>
        <w:tc>
          <w:tcPr>
            <w:tcW w:w="2128" w:type="dxa"/>
            <w:vMerge w:val="restart"/>
            <w:tcBorders>
              <w:top w:val="single" w:sz="4" w:space="0" w:color="auto"/>
              <w:left w:val="single" w:sz="4" w:space="0" w:color="auto"/>
            </w:tcBorders>
            <w:shd w:val="clear" w:color="auto" w:fill="FFFFFF"/>
          </w:tcPr>
          <w:p w14:paraId="08B1D9E6"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Հետազոտության դիզայնը</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2A00F6E4"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w:t>
            </w:r>
          </w:p>
          <w:p w14:paraId="020C545C" w14:textId="77777777" w:rsidR="008C76E0" w:rsidRPr="00DF2860" w:rsidRDefault="008C76E0" w:rsidP="008C76E0">
            <w:pPr>
              <w:pStyle w:val="Bodytext180"/>
              <w:shd w:val="clear" w:color="auto" w:fill="auto"/>
              <w:spacing w:before="0" w:after="120" w:line="240" w:lineRule="auto"/>
              <w:ind w:left="114" w:right="35" w:firstLine="0"/>
              <w:jc w:val="center"/>
              <w:rPr>
                <w:rFonts w:ascii="Sylfaen" w:hAnsi="Sylfaen"/>
                <w:b w:val="0"/>
                <w:i/>
                <w:sz w:val="20"/>
                <w:szCs w:val="20"/>
              </w:rPr>
            </w:pPr>
            <w:r w:rsidRPr="00DF2860">
              <w:rPr>
                <w:rStyle w:val="Bodytext295pt"/>
                <w:rFonts w:ascii="Sylfaen" w:hAnsi="Sylfaen"/>
                <w:i/>
                <w:spacing w:val="0"/>
                <w:sz w:val="20"/>
                <w:szCs w:val="20"/>
              </w:rPr>
              <w:t>{նկարագրեք հետազոտության բովանդակային պլանի առանցքային տարրերը (խաչաձ</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զուգահեռ, գործոնային, դեղաչափի ավելացում նախատեսող, ֆիքսված դեղաչափի էֆեկտի վերլուծությամբ), այդ թվում՝ պատահական բաշխմամբ, «կույր», բաշխման քողարկմամբ հետազոտությունները, միա- (բազմա-) կենտրոն հետազոտություններ </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 xml:space="preserve"> այլն}</w:t>
            </w:r>
          </w:p>
        </w:tc>
      </w:tr>
      <w:tr w:rsidR="008C76E0" w:rsidRPr="00DF2860" w14:paraId="56273310" w14:textId="77777777" w:rsidTr="008C76E0">
        <w:trPr>
          <w:jc w:val="center"/>
        </w:trPr>
        <w:tc>
          <w:tcPr>
            <w:tcW w:w="2128" w:type="dxa"/>
            <w:vMerge/>
            <w:tcBorders>
              <w:left w:val="single" w:sz="4" w:space="0" w:color="auto"/>
            </w:tcBorders>
            <w:shd w:val="clear" w:color="auto" w:fill="FFFFFF"/>
          </w:tcPr>
          <w:p w14:paraId="44724305"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vAlign w:val="bottom"/>
          </w:tcPr>
          <w:p w14:paraId="6E820136" w14:textId="77777777" w:rsidR="008C76E0" w:rsidRPr="00DF2860" w:rsidRDefault="008C76E0" w:rsidP="008C76E0">
            <w:pPr>
              <w:pStyle w:val="Bodytext180"/>
              <w:shd w:val="clear" w:color="auto" w:fill="auto"/>
              <w:spacing w:before="0" w:after="120" w:line="240" w:lineRule="auto"/>
              <w:ind w:left="130" w:right="28" w:firstLine="0"/>
              <w:jc w:val="center"/>
              <w:rPr>
                <w:rStyle w:val="Bodytext1811pt"/>
                <w:rFonts w:ascii="Sylfaen" w:hAnsi="Sylfaen"/>
                <w:sz w:val="20"/>
                <w:szCs w:val="20"/>
              </w:rPr>
            </w:pPr>
            <w:r w:rsidRPr="00DF2860">
              <w:rPr>
                <w:rStyle w:val="Bodytext1811pt"/>
                <w:rFonts w:ascii="Sylfaen" w:hAnsi="Sylfaen"/>
                <w:sz w:val="20"/>
                <w:szCs w:val="20"/>
              </w:rPr>
              <w:t>Հիմնական էտապի տ</w:t>
            </w:r>
            <w:r w:rsidR="00C54D75">
              <w:rPr>
                <w:rStyle w:val="Bodytext1811pt"/>
                <w:rFonts w:ascii="Sylfaen" w:hAnsi="Sylfaen"/>
                <w:sz w:val="20"/>
                <w:szCs w:val="20"/>
              </w:rPr>
              <w:t>և</w:t>
            </w:r>
            <w:r w:rsidRPr="00DF2860">
              <w:rPr>
                <w:rStyle w:val="Bodytext1811pt"/>
                <w:rFonts w:ascii="Sylfaen" w:hAnsi="Sylfaen"/>
                <w:sz w:val="20"/>
                <w:szCs w:val="20"/>
              </w:rPr>
              <w:t>ողությունը՝ Նախապատրաստական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p w14:paraId="0C757220" w14:textId="77777777" w:rsidR="008C76E0" w:rsidRPr="00DF2860" w:rsidRDefault="008C76E0" w:rsidP="008C76E0">
            <w:pPr>
              <w:pStyle w:val="Bodytext180"/>
              <w:shd w:val="clear" w:color="auto" w:fill="auto"/>
              <w:spacing w:before="0" w:after="120" w:line="240" w:lineRule="auto"/>
              <w:ind w:left="130" w:right="28" w:firstLine="0"/>
              <w:jc w:val="center"/>
              <w:rPr>
                <w:rFonts w:ascii="Sylfaen" w:hAnsi="Sylfaen"/>
                <w:b w:val="0"/>
                <w:sz w:val="20"/>
                <w:szCs w:val="20"/>
              </w:rPr>
            </w:pPr>
            <w:r w:rsidRPr="00DF2860">
              <w:rPr>
                <w:rStyle w:val="Bodytext1811pt"/>
                <w:rFonts w:ascii="Sylfaen" w:hAnsi="Sylfaen"/>
                <w:sz w:val="20"/>
                <w:szCs w:val="20"/>
              </w:rPr>
              <w:t>Լրացուցիչ բուժման փուլի տ</w:t>
            </w:r>
            <w:r w:rsidR="00C54D75">
              <w:rPr>
                <w:rStyle w:val="Bodytext1811pt"/>
                <w:rFonts w:ascii="Sylfaen" w:hAnsi="Sylfaen"/>
                <w:sz w:val="20"/>
                <w:szCs w:val="20"/>
              </w:rPr>
              <w:t>և</w:t>
            </w:r>
            <w:r w:rsidRPr="00DF2860">
              <w:rPr>
                <w:rStyle w:val="Bodytext1811pt"/>
                <w:rFonts w:ascii="Sylfaen" w:hAnsi="Sylfaen"/>
                <w:sz w:val="20"/>
                <w:szCs w:val="20"/>
              </w:rPr>
              <w:t>ողությունը՝</w:t>
            </w:r>
          </w:p>
        </w:tc>
        <w:tc>
          <w:tcPr>
            <w:tcW w:w="4371" w:type="dxa"/>
            <w:gridSpan w:val="3"/>
            <w:tcBorders>
              <w:top w:val="single" w:sz="4" w:space="0" w:color="auto"/>
              <w:left w:val="single" w:sz="4" w:space="0" w:color="auto"/>
              <w:right w:val="single" w:sz="4" w:space="0" w:color="auto"/>
            </w:tcBorders>
            <w:shd w:val="clear" w:color="auto" w:fill="FFFFFF"/>
          </w:tcPr>
          <w:p w14:paraId="10A7F2B2"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&lt;ժամը&gt;</w:t>
            </w:r>
          </w:p>
          <w:p w14:paraId="16164B91" w14:textId="77777777" w:rsidR="008C76E0" w:rsidRPr="00DF2860" w:rsidRDefault="008C76E0" w:rsidP="008C76E0">
            <w:pPr>
              <w:pStyle w:val="Bodytext180"/>
              <w:shd w:val="clear" w:color="auto" w:fill="auto"/>
              <w:spacing w:before="0" w:after="120" w:line="240" w:lineRule="auto"/>
              <w:ind w:right="-1" w:firstLine="0"/>
              <w:jc w:val="center"/>
              <w:rPr>
                <w:rStyle w:val="Bodytext295pt"/>
                <w:rFonts w:ascii="Sylfaen" w:hAnsi="Sylfaen"/>
                <w:i/>
                <w:spacing w:val="0"/>
                <w:sz w:val="20"/>
                <w:szCs w:val="20"/>
              </w:rPr>
            </w:pPr>
            <w:r w:rsidRPr="00DF2860">
              <w:rPr>
                <w:rStyle w:val="Bodytext295pt"/>
                <w:rFonts w:ascii="Sylfaen" w:hAnsi="Sylfaen"/>
                <w:i/>
                <w:spacing w:val="0"/>
                <w:sz w:val="20"/>
                <w:szCs w:val="20"/>
              </w:rPr>
              <w:t>&lt;ժամանակը&gt; կիրառելի չէ&gt;</w:t>
            </w:r>
          </w:p>
          <w:p w14:paraId="705DB64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i/>
                <w:spacing w:val="0"/>
                <w:sz w:val="20"/>
                <w:szCs w:val="20"/>
              </w:rPr>
              <w:t>&lt;ժամանակը&gt; կիրառելի չէ&gt;</w:t>
            </w:r>
          </w:p>
        </w:tc>
      </w:tr>
      <w:tr w:rsidR="008C76E0" w:rsidRPr="00DF2860" w14:paraId="167FFF8F" w14:textId="77777777" w:rsidTr="008C76E0">
        <w:trPr>
          <w:jc w:val="center"/>
        </w:trPr>
        <w:tc>
          <w:tcPr>
            <w:tcW w:w="2128" w:type="dxa"/>
            <w:tcBorders>
              <w:top w:val="single" w:sz="4" w:space="0" w:color="auto"/>
              <w:left w:val="single" w:sz="4" w:space="0" w:color="auto"/>
            </w:tcBorders>
            <w:shd w:val="clear" w:color="auto" w:fill="FFFFFF"/>
          </w:tcPr>
          <w:p w14:paraId="38DEC228"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Վարկած</w:t>
            </w:r>
          </w:p>
        </w:tc>
        <w:tc>
          <w:tcPr>
            <w:tcW w:w="9035" w:type="dxa"/>
            <w:gridSpan w:val="6"/>
            <w:tcBorders>
              <w:top w:val="single" w:sz="4" w:space="0" w:color="auto"/>
              <w:left w:val="single" w:sz="4" w:space="0" w:color="auto"/>
              <w:right w:val="single" w:sz="4" w:space="0" w:color="auto"/>
            </w:tcBorders>
            <w:shd w:val="clear" w:color="auto" w:fill="FFFFFF"/>
            <w:vAlign w:val="bottom"/>
          </w:tcPr>
          <w:p w14:paraId="54CB4E19" w14:textId="77777777" w:rsidR="008C76E0" w:rsidRPr="00DF2860" w:rsidRDefault="008C76E0" w:rsidP="008C76E0">
            <w:pPr>
              <w:pStyle w:val="Bodytext180"/>
              <w:shd w:val="clear" w:color="auto" w:fill="auto"/>
              <w:spacing w:before="0" w:after="120" w:line="240" w:lineRule="auto"/>
              <w:ind w:left="46" w:right="35" w:firstLine="18"/>
              <w:jc w:val="center"/>
              <w:rPr>
                <w:rFonts w:ascii="Sylfaen" w:hAnsi="Sylfaen"/>
                <w:b w:val="0"/>
                <w:i/>
                <w:sz w:val="20"/>
                <w:szCs w:val="20"/>
              </w:rPr>
            </w:pPr>
            <w:r w:rsidRPr="00DF2860">
              <w:rPr>
                <w:rStyle w:val="Bodytext295pt"/>
                <w:rFonts w:ascii="Sylfaen" w:hAnsi="Sylfaen"/>
                <w:i/>
                <w:spacing w:val="0"/>
                <w:sz w:val="20"/>
                <w:szCs w:val="20"/>
              </w:rPr>
              <w:t>&lt;Առավելությունների առկայությունը&gt; &lt;Համանմանությունը&gt; &lt;Ոչ պակաս արդյունավետությունը&gt; &lt;Ամփոփիչը՝ նշել&gt;</w:t>
            </w:r>
          </w:p>
        </w:tc>
      </w:tr>
      <w:tr w:rsidR="008C76E0" w:rsidRPr="00DF2860" w14:paraId="3E5D3A76" w14:textId="77777777" w:rsidTr="008C76E0">
        <w:trPr>
          <w:jc w:val="center"/>
        </w:trPr>
        <w:tc>
          <w:tcPr>
            <w:tcW w:w="2128" w:type="dxa"/>
            <w:vMerge w:val="restart"/>
            <w:tcBorders>
              <w:top w:val="single" w:sz="4" w:space="0" w:color="auto"/>
              <w:left w:val="single" w:sz="4" w:space="0" w:color="auto"/>
            </w:tcBorders>
            <w:shd w:val="clear" w:color="auto" w:fill="FFFFFF"/>
          </w:tcPr>
          <w:p w14:paraId="477BC8B2"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Բուժման խմբերը </w:t>
            </w:r>
            <w:r w:rsidRPr="00DF2860">
              <w:rPr>
                <w:rStyle w:val="Bodytext295pt"/>
                <w:rFonts w:ascii="Sylfaen" w:hAnsi="Sylfaen"/>
                <w:spacing w:val="0"/>
                <w:sz w:val="20"/>
                <w:szCs w:val="20"/>
              </w:rPr>
              <w:t>{ավելացրեք բուժման խմբերի նկարագրության համար անհրաժեշտ քանակությամբ տողեր}</w:t>
            </w:r>
          </w:p>
        </w:tc>
        <w:tc>
          <w:tcPr>
            <w:tcW w:w="4664" w:type="dxa"/>
            <w:gridSpan w:val="3"/>
            <w:tcBorders>
              <w:top w:val="single" w:sz="4" w:space="0" w:color="auto"/>
              <w:left w:val="single" w:sz="4" w:space="0" w:color="auto"/>
            </w:tcBorders>
            <w:shd w:val="clear" w:color="auto" w:fill="FFFFFF"/>
            <w:vAlign w:val="bottom"/>
          </w:tcPr>
          <w:p w14:paraId="72CF33E5"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&lt;խմբի ծածկագրված նշագիրը&gt;</w:t>
            </w:r>
          </w:p>
          <w:p w14:paraId="1206D33A" w14:textId="77777777" w:rsidR="008C76E0" w:rsidRPr="008C76E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lang w:val="hy-AM"/>
              </w:rPr>
            </w:pPr>
            <w:r w:rsidRPr="00DF2860">
              <w:rPr>
                <w:rStyle w:val="Bodytext295pt"/>
                <w:rFonts w:ascii="Sylfaen" w:hAnsi="Sylfaen"/>
                <w:i/>
                <w:spacing w:val="0"/>
                <w:sz w:val="20"/>
                <w:szCs w:val="20"/>
              </w:rPr>
              <w:t>{նշեք հապավումը՝արդյունքների 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2AE21570"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4AFDF544" w14:textId="77777777" w:rsidTr="008C76E0">
        <w:trPr>
          <w:jc w:val="center"/>
        </w:trPr>
        <w:tc>
          <w:tcPr>
            <w:tcW w:w="2128" w:type="dxa"/>
            <w:vMerge/>
            <w:tcBorders>
              <w:left w:val="single" w:sz="4" w:space="0" w:color="auto"/>
            </w:tcBorders>
            <w:shd w:val="clear" w:color="auto" w:fill="FFFFFF"/>
          </w:tcPr>
          <w:p w14:paraId="1998935E"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D5A301A" w14:textId="77777777" w:rsidR="008C76E0" w:rsidRPr="00DF2860" w:rsidRDefault="008C76E0" w:rsidP="008C76E0">
            <w:pPr>
              <w:pStyle w:val="Bodytext180"/>
              <w:shd w:val="clear" w:color="auto" w:fill="auto"/>
              <w:spacing w:before="0" w:after="120" w:line="240" w:lineRule="auto"/>
              <w:ind w:left="46" w:right="37"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tcPr>
          <w:p w14:paraId="57F41CB3"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26B286CB" w14:textId="77777777" w:rsidTr="008C76E0">
        <w:trPr>
          <w:jc w:val="center"/>
        </w:trPr>
        <w:tc>
          <w:tcPr>
            <w:tcW w:w="2128" w:type="dxa"/>
            <w:vMerge w:val="restart"/>
            <w:tcBorders>
              <w:top w:val="single" w:sz="4" w:space="0" w:color="auto"/>
              <w:left w:val="single" w:sz="4" w:space="0" w:color="auto"/>
            </w:tcBorders>
            <w:shd w:val="clear" w:color="auto" w:fill="FFFFFF"/>
          </w:tcPr>
          <w:p w14:paraId="0BB6FD4F"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6207DBE"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p>
        </w:tc>
        <w:tc>
          <w:tcPr>
            <w:tcW w:w="4371" w:type="dxa"/>
            <w:gridSpan w:val="3"/>
            <w:tcBorders>
              <w:top w:val="single" w:sz="4" w:space="0" w:color="auto"/>
              <w:left w:val="single" w:sz="4" w:space="0" w:color="auto"/>
              <w:right w:val="single" w:sz="4" w:space="0" w:color="auto"/>
            </w:tcBorders>
            <w:shd w:val="clear" w:color="auto" w:fill="FFFFFF"/>
            <w:vAlign w:val="bottom"/>
          </w:tcPr>
          <w:p w14:paraId="2784A4C9"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sz w:val="20"/>
                <w:szCs w:val="20"/>
              </w:rPr>
            </w:pPr>
          </w:p>
        </w:tc>
      </w:tr>
      <w:tr w:rsidR="008C76E0" w:rsidRPr="00DF2860" w14:paraId="1F61AD6C" w14:textId="77777777" w:rsidTr="008C76E0">
        <w:trPr>
          <w:jc w:val="center"/>
        </w:trPr>
        <w:tc>
          <w:tcPr>
            <w:tcW w:w="2128" w:type="dxa"/>
            <w:vMerge/>
            <w:tcBorders>
              <w:left w:val="single" w:sz="4" w:space="0" w:color="auto"/>
            </w:tcBorders>
            <w:shd w:val="clear" w:color="auto" w:fill="FFFFFF"/>
          </w:tcPr>
          <w:p w14:paraId="29E9D012" w14:textId="77777777" w:rsidR="008C76E0" w:rsidRPr="00DF2860" w:rsidRDefault="008C76E0" w:rsidP="008C76E0">
            <w:pPr>
              <w:spacing w:after="120" w:line="240" w:lineRule="auto"/>
              <w:ind w:left="10" w:right="-1"/>
              <w:jc w:val="center"/>
              <w:rPr>
                <w:rFonts w:ascii="Sylfaen" w:hAnsi="Sylfaen"/>
                <w:sz w:val="20"/>
                <w:szCs w:val="20"/>
              </w:rPr>
            </w:pPr>
          </w:p>
        </w:tc>
        <w:tc>
          <w:tcPr>
            <w:tcW w:w="4664" w:type="dxa"/>
            <w:gridSpan w:val="3"/>
            <w:tcBorders>
              <w:top w:val="single" w:sz="4" w:space="0" w:color="auto"/>
              <w:left w:val="single" w:sz="4" w:space="0" w:color="auto"/>
            </w:tcBorders>
            <w:shd w:val="clear" w:color="auto" w:fill="FFFFFF"/>
          </w:tcPr>
          <w:p w14:paraId="09E01078"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w:t>
            </w:r>
          </w:p>
        </w:tc>
        <w:tc>
          <w:tcPr>
            <w:tcW w:w="4371" w:type="dxa"/>
            <w:gridSpan w:val="3"/>
            <w:tcBorders>
              <w:top w:val="single" w:sz="4" w:space="0" w:color="auto"/>
              <w:left w:val="single" w:sz="4" w:space="0" w:color="auto"/>
              <w:right w:val="single" w:sz="4" w:space="0" w:color="auto"/>
            </w:tcBorders>
            <w:shd w:val="clear" w:color="auto" w:fill="FFFFFF"/>
            <w:vAlign w:val="bottom"/>
          </w:tcPr>
          <w:p w14:paraId="73E47B78" w14:textId="77777777" w:rsidR="008C76E0" w:rsidRPr="00DF286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rPr>
            </w:pPr>
            <w:r w:rsidRPr="00DF2860">
              <w:rPr>
                <w:rStyle w:val="Bodytext295pt"/>
                <w:rFonts w:ascii="Sylfaen" w:hAnsi="Sylfaen"/>
                <w:i/>
                <w:spacing w:val="0"/>
                <w:sz w:val="20"/>
                <w:szCs w:val="20"/>
              </w:rPr>
              <w:t>&lt;բուժումը&gt;, &lt;տ</w:t>
            </w:r>
            <w:r w:rsidR="00C54D75">
              <w:rPr>
                <w:rStyle w:val="Bodytext295pt"/>
                <w:rFonts w:ascii="Sylfaen" w:hAnsi="Sylfaen"/>
                <w:i/>
                <w:spacing w:val="0"/>
                <w:sz w:val="20"/>
                <w:szCs w:val="20"/>
              </w:rPr>
              <w:t>և</w:t>
            </w:r>
            <w:r w:rsidRPr="00DF2860">
              <w:rPr>
                <w:rStyle w:val="Bodytext295pt"/>
                <w:rFonts w:ascii="Sylfaen" w:hAnsi="Sylfaen"/>
                <w:i/>
                <w:spacing w:val="0"/>
                <w:sz w:val="20"/>
                <w:szCs w:val="20"/>
              </w:rPr>
              <w:t>ողությունը&gt;, &lt;պատահականորեն բաշխված սուբյեկտների քանակը&gt;</w:t>
            </w:r>
          </w:p>
        </w:tc>
      </w:tr>
      <w:tr w:rsidR="008C76E0" w:rsidRPr="00DF2860" w14:paraId="7BD2F46F" w14:textId="77777777" w:rsidTr="008C76E0">
        <w:trPr>
          <w:jc w:val="center"/>
        </w:trPr>
        <w:tc>
          <w:tcPr>
            <w:tcW w:w="2128" w:type="dxa"/>
            <w:vMerge w:val="restart"/>
            <w:tcBorders>
              <w:top w:val="single" w:sz="4" w:space="0" w:color="auto"/>
              <w:left w:val="single" w:sz="4" w:space="0" w:color="auto"/>
            </w:tcBorders>
            <w:shd w:val="clear" w:color="auto" w:fill="FFFFFF"/>
          </w:tcPr>
          <w:p w14:paraId="0146C169"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Կլինիկական հետազոտության կետերը </w:t>
            </w:r>
            <w:r w:rsidRPr="00DF2860">
              <w:rPr>
                <w:rStyle w:val="Bodytext295pt"/>
                <w:rFonts w:ascii="Sylfaen" w:hAnsi="Sylfaen"/>
                <w:i/>
                <w:spacing w:val="0"/>
                <w:sz w:val="20"/>
                <w:szCs w:val="20"/>
              </w:rPr>
              <w:t>{ավելացրեք կլինիկական հետազոտության կետերի նկարագրության համար անհրաժեշտ քանակությամբ տողեր. որպես երկրորդային կլինիկական կետեր նշեք արդյունքների նկարագրությամբ բաժնում նշված առավել ակտուալ կետերը}</w:t>
            </w:r>
          </w:p>
        </w:tc>
        <w:tc>
          <w:tcPr>
            <w:tcW w:w="2417" w:type="dxa"/>
            <w:gridSpan w:val="2"/>
            <w:tcBorders>
              <w:top w:val="single" w:sz="4" w:space="0" w:color="auto"/>
              <w:left w:val="single" w:sz="4" w:space="0" w:color="auto"/>
            </w:tcBorders>
            <w:shd w:val="clear" w:color="auto" w:fill="FFFFFF"/>
          </w:tcPr>
          <w:p w14:paraId="12767CF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&lt;Համակցված&gt;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առաջնային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vAlign w:val="bottom"/>
          </w:tcPr>
          <w:p w14:paraId="66A4BC7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&lt;պայմանական</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նշագիրը&gt;</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{նշեք</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հապավումը՝</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արդյունքների</w:t>
            </w:r>
            <w:r w:rsidRPr="008C76E0">
              <w:rPr>
                <w:rFonts w:ascii="Sylfaen" w:hAnsi="Sylfaen"/>
                <w:b w:val="0"/>
                <w:sz w:val="20"/>
                <w:szCs w:val="20"/>
                <w:lang w:val="hy-AM"/>
              </w:rPr>
              <w:t xml:space="preserve"> </w:t>
            </w:r>
            <w:r w:rsidRPr="00DF2860">
              <w:rPr>
                <w:rStyle w:val="Bodytext295pt"/>
                <w:rFonts w:ascii="Sylfaen" w:hAnsi="Sylfaen"/>
                <w:spacing w:val="0"/>
                <w:sz w:val="20"/>
                <w:szCs w:val="20"/>
              </w:rPr>
              <w:t>նկարագրությամբ բաժնի աղյուսակում հետագա օգտագործման համար}</w:t>
            </w:r>
          </w:p>
        </w:tc>
        <w:tc>
          <w:tcPr>
            <w:tcW w:w="4371" w:type="dxa"/>
            <w:gridSpan w:val="3"/>
            <w:tcBorders>
              <w:top w:val="single" w:sz="4" w:space="0" w:color="auto"/>
              <w:left w:val="single" w:sz="4" w:space="0" w:color="auto"/>
              <w:right w:val="single" w:sz="4" w:space="0" w:color="auto"/>
            </w:tcBorders>
            <w:shd w:val="clear" w:color="auto" w:fill="FFFFFF"/>
          </w:tcPr>
          <w:p w14:paraId="58DEF111" w14:textId="77777777" w:rsidR="008C76E0" w:rsidRPr="008C76E0" w:rsidRDefault="008C76E0" w:rsidP="008C76E0">
            <w:pPr>
              <w:pStyle w:val="Bodytext180"/>
              <w:shd w:val="clear" w:color="auto" w:fill="auto"/>
              <w:spacing w:before="0" w:after="120" w:line="240" w:lineRule="auto"/>
              <w:ind w:left="32" w:right="51" w:firstLine="0"/>
              <w:jc w:val="center"/>
              <w:rPr>
                <w:rFonts w:ascii="Sylfaen" w:hAnsi="Sylfaen"/>
                <w:b w:val="0"/>
                <w:i/>
                <w:sz w:val="20"/>
                <w:szCs w:val="20"/>
                <w:lang w:val="hy-AM"/>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7DB92721" w14:textId="77777777" w:rsidTr="008C76E0">
        <w:trPr>
          <w:jc w:val="center"/>
        </w:trPr>
        <w:tc>
          <w:tcPr>
            <w:tcW w:w="2128" w:type="dxa"/>
            <w:vMerge/>
            <w:tcBorders>
              <w:left w:val="single" w:sz="4" w:space="0" w:color="auto"/>
            </w:tcBorders>
            <w:shd w:val="clear" w:color="auto" w:fill="FFFFFF"/>
          </w:tcPr>
          <w:p w14:paraId="66F84FAA"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tcPr>
          <w:p w14:paraId="5F152B03"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4A1FEE6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4609B6DD"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0DAE9499" w14:textId="77777777" w:rsidTr="008C76E0">
        <w:trPr>
          <w:jc w:val="center"/>
        </w:trPr>
        <w:tc>
          <w:tcPr>
            <w:tcW w:w="2128" w:type="dxa"/>
            <w:tcBorders>
              <w:top w:val="single" w:sz="4" w:space="0" w:color="auto"/>
              <w:left w:val="single" w:sz="4" w:space="0" w:color="auto"/>
            </w:tcBorders>
            <w:shd w:val="clear" w:color="auto" w:fill="FFFFFF"/>
          </w:tcPr>
          <w:p w14:paraId="431F1DF1" w14:textId="77777777" w:rsidR="008C76E0" w:rsidRPr="00DF2860" w:rsidRDefault="008C76E0" w:rsidP="008C76E0">
            <w:pPr>
              <w:spacing w:after="120" w:line="240" w:lineRule="auto"/>
              <w:ind w:left="10" w:right="-1"/>
              <w:jc w:val="center"/>
              <w:rPr>
                <w:rFonts w:ascii="Sylfaen" w:hAnsi="Sylfaen"/>
                <w:sz w:val="20"/>
                <w:szCs w:val="20"/>
              </w:rPr>
            </w:pPr>
          </w:p>
        </w:tc>
        <w:tc>
          <w:tcPr>
            <w:tcW w:w="2417" w:type="dxa"/>
            <w:gridSpan w:val="2"/>
            <w:tcBorders>
              <w:top w:val="single" w:sz="4" w:space="0" w:color="auto"/>
              <w:left w:val="single" w:sz="4" w:space="0" w:color="auto"/>
            </w:tcBorders>
            <w:shd w:val="clear" w:color="auto" w:fill="FFFFFF"/>
            <w:vAlign w:val="bottom"/>
          </w:tcPr>
          <w:p w14:paraId="1BCC714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295pt"/>
                <w:rFonts w:ascii="Sylfaen" w:hAnsi="Sylfaen"/>
                <w:i/>
                <w:spacing w:val="0"/>
                <w:sz w:val="20"/>
                <w:szCs w:val="20"/>
              </w:rPr>
              <w:t>&lt;Երկրորդային&gt;</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&lt;այլ՝</w:t>
            </w:r>
            <w:r w:rsidRPr="008C76E0">
              <w:rPr>
                <w:rFonts w:ascii="Sylfaen" w:hAnsi="Sylfaen"/>
                <w:b w:val="0"/>
                <w:i/>
                <w:sz w:val="20"/>
                <w:szCs w:val="20"/>
                <w:lang w:val="hy-AM"/>
              </w:rPr>
              <w:t xml:space="preserve"> </w:t>
            </w:r>
            <w:r w:rsidRPr="00DF2860">
              <w:rPr>
                <w:rStyle w:val="Bodytext295pt"/>
                <w:rFonts w:ascii="Sylfaen" w:hAnsi="Sylfaen"/>
                <w:i/>
                <w:spacing w:val="0"/>
                <w:sz w:val="20"/>
                <w:szCs w:val="20"/>
              </w:rPr>
              <w:t>նշեք&gt;</w:t>
            </w:r>
            <w:r w:rsidRPr="008C76E0">
              <w:rPr>
                <w:rFonts w:ascii="Sylfaen" w:hAnsi="Sylfaen"/>
                <w:b w:val="0"/>
                <w:sz w:val="20"/>
                <w:szCs w:val="20"/>
                <w:lang w:val="hy-AM"/>
              </w:rPr>
              <w:t xml:space="preserve"> </w:t>
            </w:r>
            <w:r w:rsidRPr="00DF2860">
              <w:rPr>
                <w:rStyle w:val="Bodytext1811pt"/>
                <w:rFonts w:ascii="Sylfaen" w:hAnsi="Sylfaen"/>
                <w:sz w:val="20"/>
                <w:szCs w:val="20"/>
              </w:rPr>
              <w:t>կլինիկական</w:t>
            </w:r>
            <w:r w:rsidRPr="008C76E0">
              <w:rPr>
                <w:rFonts w:ascii="Sylfaen" w:hAnsi="Sylfaen"/>
                <w:b w:val="0"/>
                <w:sz w:val="20"/>
                <w:szCs w:val="20"/>
                <w:lang w:val="hy-AM"/>
              </w:rPr>
              <w:t xml:space="preserve"> </w:t>
            </w:r>
            <w:r w:rsidRPr="00DF2860">
              <w:rPr>
                <w:rStyle w:val="Bodytext1811pt"/>
                <w:rFonts w:ascii="Sylfaen" w:hAnsi="Sylfaen"/>
                <w:sz w:val="20"/>
                <w:szCs w:val="20"/>
              </w:rPr>
              <w:t>հետազոտության</w:t>
            </w:r>
            <w:r w:rsidRPr="008C76E0">
              <w:rPr>
                <w:rFonts w:ascii="Sylfaen" w:hAnsi="Sylfaen"/>
                <w:b w:val="0"/>
                <w:sz w:val="20"/>
                <w:szCs w:val="20"/>
                <w:lang w:val="hy-AM"/>
              </w:rPr>
              <w:t xml:space="preserve"> </w:t>
            </w:r>
            <w:r w:rsidRPr="00DF2860">
              <w:rPr>
                <w:rStyle w:val="Bodytext1811pt"/>
                <w:rFonts w:ascii="Sylfaen" w:hAnsi="Sylfaen"/>
                <w:sz w:val="20"/>
                <w:szCs w:val="20"/>
              </w:rPr>
              <w:t>կետը</w:t>
            </w:r>
          </w:p>
        </w:tc>
        <w:tc>
          <w:tcPr>
            <w:tcW w:w="2247" w:type="dxa"/>
            <w:tcBorders>
              <w:top w:val="single" w:sz="4" w:space="0" w:color="auto"/>
              <w:left w:val="single" w:sz="4" w:space="0" w:color="auto"/>
            </w:tcBorders>
            <w:shd w:val="clear" w:color="auto" w:fill="FFFFFF"/>
          </w:tcPr>
          <w:p w14:paraId="0D21A82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&lt;պայմանական</w:t>
            </w:r>
            <w:r w:rsidRPr="00DF2860">
              <w:rPr>
                <w:rFonts w:ascii="Sylfaen" w:hAnsi="Sylfaen"/>
                <w:b w:val="0"/>
                <w:i/>
                <w:sz w:val="20"/>
                <w:szCs w:val="20"/>
              </w:rPr>
              <w:t xml:space="preserve"> </w:t>
            </w:r>
            <w:r w:rsidRPr="00DF2860">
              <w:rPr>
                <w:rStyle w:val="Bodytext295pt"/>
                <w:rFonts w:ascii="Sylfaen" w:hAnsi="Sylfaen"/>
                <w:i/>
                <w:spacing w:val="0"/>
                <w:sz w:val="20"/>
                <w:szCs w:val="20"/>
              </w:rPr>
              <w:t>նշագիրը&gt;</w:t>
            </w:r>
          </w:p>
        </w:tc>
        <w:tc>
          <w:tcPr>
            <w:tcW w:w="4371" w:type="dxa"/>
            <w:gridSpan w:val="3"/>
            <w:tcBorders>
              <w:top w:val="single" w:sz="4" w:space="0" w:color="auto"/>
              <w:left w:val="single" w:sz="4" w:space="0" w:color="auto"/>
              <w:right w:val="single" w:sz="4" w:space="0" w:color="auto"/>
            </w:tcBorders>
            <w:shd w:val="clear" w:color="auto" w:fill="FFFFFF"/>
          </w:tcPr>
          <w:p w14:paraId="5F3BA17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&lt;կամայական տեքստ&gt; {ներկայացրեք համառոտ նկարագրությունը}</w:t>
            </w:r>
          </w:p>
        </w:tc>
      </w:tr>
      <w:tr w:rsidR="008C76E0" w:rsidRPr="00DF2860" w14:paraId="50B132CF" w14:textId="77777777" w:rsidTr="008C76E0">
        <w:trPr>
          <w:jc w:val="center"/>
        </w:trPr>
        <w:tc>
          <w:tcPr>
            <w:tcW w:w="2128" w:type="dxa"/>
            <w:tcBorders>
              <w:top w:val="single" w:sz="4" w:space="0" w:color="auto"/>
              <w:left w:val="single" w:sz="4" w:space="0" w:color="auto"/>
            </w:tcBorders>
            <w:shd w:val="clear" w:color="auto" w:fill="FFFFFF"/>
            <w:vAlign w:val="bottom"/>
          </w:tcPr>
          <w:p w14:paraId="7D876BCC"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Տվյալների բազայի փակումը</w:t>
            </w:r>
          </w:p>
        </w:tc>
        <w:tc>
          <w:tcPr>
            <w:tcW w:w="9035" w:type="dxa"/>
            <w:gridSpan w:val="6"/>
            <w:tcBorders>
              <w:top w:val="single" w:sz="4" w:space="0" w:color="auto"/>
              <w:left w:val="single" w:sz="4" w:space="0" w:color="auto"/>
              <w:right w:val="single" w:sz="4" w:space="0" w:color="auto"/>
            </w:tcBorders>
            <w:shd w:val="clear" w:color="auto" w:fill="FFFFFF"/>
          </w:tcPr>
          <w:p w14:paraId="4F3F767B"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1811pt"/>
                <w:rFonts w:ascii="Sylfaen" w:hAnsi="Sylfaen"/>
                <w:i/>
                <w:sz w:val="20"/>
                <w:szCs w:val="20"/>
              </w:rPr>
              <w:t>&lt;ամսաթիվը&gt;</w:t>
            </w:r>
          </w:p>
        </w:tc>
      </w:tr>
      <w:tr w:rsidR="008C76E0" w:rsidRPr="00DF2860" w14:paraId="2A3EA49D" w14:textId="77777777" w:rsidTr="008C76E0">
        <w:trPr>
          <w:jc w:val="center"/>
        </w:trPr>
        <w:tc>
          <w:tcPr>
            <w:tcW w:w="11163" w:type="dxa"/>
            <w:gridSpan w:val="7"/>
            <w:tcBorders>
              <w:top w:val="single" w:sz="4" w:space="0" w:color="auto"/>
              <w:left w:val="single" w:sz="4" w:space="0" w:color="auto"/>
              <w:right w:val="single" w:sz="4" w:space="0" w:color="auto"/>
            </w:tcBorders>
            <w:shd w:val="clear" w:color="auto" w:fill="FFFFFF"/>
            <w:vAlign w:val="bottom"/>
          </w:tcPr>
          <w:p w14:paraId="38F71F25"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 xml:space="preserve">Վերլուծություններ </w:t>
            </w:r>
            <w:r w:rsidR="00C54D75">
              <w:rPr>
                <w:rStyle w:val="Bodytext1811pt"/>
                <w:rFonts w:ascii="Sylfaen" w:hAnsi="Sylfaen"/>
                <w:sz w:val="20"/>
                <w:szCs w:val="20"/>
              </w:rPr>
              <w:t>և</w:t>
            </w:r>
            <w:r w:rsidRPr="00DF2860">
              <w:rPr>
                <w:rStyle w:val="Bodytext1811pt"/>
                <w:rFonts w:ascii="Sylfaen" w:hAnsi="Sylfaen"/>
                <w:sz w:val="20"/>
                <w:szCs w:val="20"/>
              </w:rPr>
              <w:t xml:space="preserve"> արդյունքներ</w:t>
            </w:r>
          </w:p>
          <w:p w14:paraId="7B729026"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{յուրաքանչյուր վերլուծության մասով առանձին ներկայացրեք այն արդյունքը, որը հետազոտության մասին հաշվետվության մեջ ներառման համար ակտուալ է համարվել. ամեն դեպքում, անհրաժեշտ է ներկայացնել տվյալներ՝ նախօրոք որոշված առաջնային վերլուծության վերաբերյալ}</w:t>
            </w:r>
          </w:p>
          <w:p w14:paraId="75110D7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p>
        </w:tc>
      </w:tr>
      <w:tr w:rsidR="008C76E0" w:rsidRPr="00DF2860" w14:paraId="60ACE1AD"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403DE3CA"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158A48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Առաջնային վերլուծությունը</w:t>
            </w:r>
          </w:p>
        </w:tc>
      </w:tr>
      <w:tr w:rsidR="008C76E0" w:rsidRPr="00DF2860" w14:paraId="2AC21B65" w14:textId="77777777" w:rsidTr="008C76E0">
        <w:trPr>
          <w:jc w:val="center"/>
        </w:trPr>
        <w:tc>
          <w:tcPr>
            <w:tcW w:w="2215" w:type="dxa"/>
            <w:gridSpan w:val="2"/>
            <w:tcBorders>
              <w:top w:val="single" w:sz="4" w:space="0" w:color="auto"/>
              <w:left w:val="single" w:sz="4" w:space="0" w:color="auto"/>
            </w:tcBorders>
            <w:shd w:val="clear" w:color="auto" w:fill="FFFFFF"/>
            <w:vAlign w:val="bottom"/>
          </w:tcPr>
          <w:p w14:paraId="635A95BE"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lastRenderedPageBreak/>
              <w:t xml:space="preserve">Սուբյեկտների վերլուծության ենթարկվող խումբը </w:t>
            </w:r>
            <w:r w:rsidR="00C54D75">
              <w:rPr>
                <w:rStyle w:val="Bodytext1811pt"/>
                <w:rFonts w:ascii="Sylfaen" w:hAnsi="Sylfaen"/>
                <w:sz w:val="20"/>
                <w:szCs w:val="20"/>
              </w:rPr>
              <w:t>և</w:t>
            </w:r>
            <w:r w:rsidRPr="00DF2860">
              <w:rPr>
                <w:rStyle w:val="Bodytext1811pt"/>
                <w:rFonts w:ascii="Sylfaen" w:hAnsi="Sylfaen"/>
                <w:sz w:val="20"/>
                <w:szCs w:val="20"/>
              </w:rPr>
              <w:t xml:space="preserve"> ժամանակային կետերի նկարագրությունը</w:t>
            </w:r>
          </w:p>
        </w:tc>
        <w:tc>
          <w:tcPr>
            <w:tcW w:w="8948" w:type="dxa"/>
            <w:gridSpan w:val="5"/>
            <w:tcBorders>
              <w:top w:val="single" w:sz="4" w:space="0" w:color="auto"/>
              <w:left w:val="single" w:sz="4" w:space="0" w:color="auto"/>
              <w:right w:val="single" w:sz="4" w:space="0" w:color="auto"/>
            </w:tcBorders>
            <w:shd w:val="clear" w:color="auto" w:fill="FFFFFF"/>
          </w:tcPr>
          <w:p w14:paraId="252F897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&lt;Ընտրանքային համակցություն «Բուժումը սկսած»&gt; պացիենտները, ովքեր ավարտել են հետազոտության մեջ իրենց մասնակցությունը՝ համաձայն արձանագրությանը&gt;</w:t>
            </w:r>
          </w:p>
          <w:p w14:paraId="2BB891B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&lt;այլ՝ նշել&gt;</w:t>
            </w:r>
          </w:p>
          <w:p w14:paraId="62BACEE7"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{կարող է պահանջվել բնակչության խմբի համառոտ նկարագրության ներառումը}</w:t>
            </w:r>
          </w:p>
          <w:p w14:paraId="33A061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&lt;ժամանակային կետը&gt;</w:t>
            </w:r>
          </w:p>
        </w:tc>
      </w:tr>
      <w:tr w:rsidR="008C76E0" w:rsidRPr="00DF2860" w14:paraId="0B5D0975" w14:textId="77777777" w:rsidTr="008C76E0">
        <w:trPr>
          <w:jc w:val="center"/>
        </w:trPr>
        <w:tc>
          <w:tcPr>
            <w:tcW w:w="2215" w:type="dxa"/>
            <w:gridSpan w:val="2"/>
            <w:tcBorders>
              <w:top w:val="single" w:sz="4" w:space="0" w:color="auto"/>
              <w:left w:val="single" w:sz="4" w:space="0" w:color="auto"/>
            </w:tcBorders>
            <w:shd w:val="clear" w:color="auto" w:fill="FFFFFF"/>
          </w:tcPr>
          <w:p w14:paraId="73A1C9A8"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1811pt"/>
                <w:rFonts w:ascii="Sylfaen" w:hAnsi="Sylfaen"/>
                <w:sz w:val="20"/>
                <w:szCs w:val="20"/>
              </w:rPr>
              <w:t>Նկարագրական վիճակագրությունն ու գնահատման տարբերակայնությունը (վարիատիվությունը)</w:t>
            </w:r>
          </w:p>
        </w:tc>
        <w:tc>
          <w:tcPr>
            <w:tcW w:w="2330" w:type="dxa"/>
            <w:tcBorders>
              <w:top w:val="single" w:sz="4" w:space="0" w:color="auto"/>
              <w:left w:val="single" w:sz="4" w:space="0" w:color="auto"/>
            </w:tcBorders>
            <w:shd w:val="clear" w:color="auto" w:fill="FFFFFF"/>
          </w:tcPr>
          <w:p w14:paraId="20C21550"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Բուժման ենթակա խումբը</w:t>
            </w:r>
          </w:p>
        </w:tc>
        <w:tc>
          <w:tcPr>
            <w:tcW w:w="2247" w:type="dxa"/>
            <w:tcBorders>
              <w:top w:val="single" w:sz="4" w:space="0" w:color="auto"/>
              <w:left w:val="single" w:sz="4" w:space="0" w:color="auto"/>
            </w:tcBorders>
            <w:shd w:val="clear" w:color="auto" w:fill="FFFFFF"/>
            <w:vAlign w:val="bottom"/>
          </w:tcPr>
          <w:p w14:paraId="50B86B76"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DF2860">
              <w:rPr>
                <w:rStyle w:val="Bodytext295pt"/>
                <w:rFonts w:ascii="Sylfaen" w:hAnsi="Sylfaen"/>
                <w:i/>
                <w:spacing w:val="0"/>
                <w:sz w:val="20"/>
                <w:szCs w:val="20"/>
              </w:rPr>
              <w:t>&lt;խմբի ծածկագրված նշագիրը&gt; {համաձայն վերը բերված եզրութաբանության}</w:t>
            </w:r>
          </w:p>
        </w:tc>
        <w:tc>
          <w:tcPr>
            <w:tcW w:w="2195" w:type="dxa"/>
            <w:gridSpan w:val="2"/>
            <w:tcBorders>
              <w:top w:val="single" w:sz="4" w:space="0" w:color="auto"/>
              <w:left w:val="single" w:sz="4" w:space="0" w:color="auto"/>
            </w:tcBorders>
            <w:shd w:val="clear" w:color="auto" w:fill="FFFFFF"/>
            <w:vAlign w:val="bottom"/>
          </w:tcPr>
          <w:p w14:paraId="4DFF800F"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 ծածկագրված նշագիրը&gt; {համաձայն վերը բերված եզրութաբանության}</w:t>
            </w:r>
          </w:p>
        </w:tc>
        <w:tc>
          <w:tcPr>
            <w:tcW w:w="2176" w:type="dxa"/>
            <w:tcBorders>
              <w:top w:val="single" w:sz="4" w:space="0" w:color="auto"/>
              <w:left w:val="single" w:sz="4" w:space="0" w:color="auto"/>
              <w:right w:val="single" w:sz="4" w:space="0" w:color="auto"/>
            </w:tcBorders>
            <w:shd w:val="clear" w:color="auto" w:fill="FFFFFF"/>
            <w:vAlign w:val="bottom"/>
          </w:tcPr>
          <w:p w14:paraId="5DE09265"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&lt;խմբի</w:t>
            </w:r>
            <w:r w:rsidRPr="00720CDC">
              <w:rPr>
                <w:rFonts w:ascii="Sylfaen" w:hAnsi="Sylfaen"/>
                <w:b w:val="0"/>
                <w:i/>
                <w:sz w:val="20"/>
                <w:szCs w:val="20"/>
              </w:rPr>
              <w:t xml:space="preserve"> </w:t>
            </w:r>
            <w:r w:rsidRPr="00720CDC">
              <w:rPr>
                <w:rStyle w:val="Bodytext295pt"/>
                <w:rFonts w:ascii="Sylfaen" w:hAnsi="Sylfaen"/>
                <w:i/>
                <w:spacing w:val="0"/>
                <w:sz w:val="20"/>
                <w:szCs w:val="20"/>
              </w:rPr>
              <w:t>ծածկագրված</w:t>
            </w:r>
            <w:r w:rsidRPr="00720CDC">
              <w:rPr>
                <w:rFonts w:ascii="Sylfaen" w:hAnsi="Sylfaen"/>
                <w:b w:val="0"/>
                <w:i/>
                <w:sz w:val="20"/>
                <w:szCs w:val="20"/>
              </w:rPr>
              <w:t xml:space="preserve"> </w:t>
            </w:r>
            <w:r w:rsidRPr="00720CDC">
              <w:rPr>
                <w:rStyle w:val="Bodytext295pt"/>
                <w:rFonts w:ascii="Sylfaen" w:hAnsi="Sylfaen"/>
                <w:i/>
                <w:spacing w:val="0"/>
                <w:sz w:val="20"/>
                <w:szCs w:val="20"/>
              </w:rPr>
              <w:t>նշագիրը&gt;</w:t>
            </w:r>
            <w:r w:rsidRPr="00720CDC">
              <w:rPr>
                <w:rFonts w:ascii="Sylfaen" w:hAnsi="Sylfaen"/>
                <w:b w:val="0"/>
                <w:i/>
                <w:sz w:val="20"/>
                <w:szCs w:val="20"/>
              </w:rPr>
              <w:t xml:space="preserve"> </w:t>
            </w:r>
            <w:r w:rsidRPr="00720CDC">
              <w:rPr>
                <w:rStyle w:val="Bodytext295pt"/>
                <w:rFonts w:ascii="Sylfaen" w:hAnsi="Sylfaen"/>
                <w:i/>
                <w:spacing w:val="0"/>
                <w:sz w:val="20"/>
                <w:szCs w:val="20"/>
              </w:rPr>
              <w:t>{համաձայն</w:t>
            </w:r>
            <w:r w:rsidRPr="00720CDC">
              <w:rPr>
                <w:rFonts w:ascii="Sylfaen" w:hAnsi="Sylfaen"/>
                <w:b w:val="0"/>
                <w:i/>
                <w:sz w:val="20"/>
                <w:szCs w:val="20"/>
              </w:rPr>
              <w:t xml:space="preserve"> </w:t>
            </w:r>
            <w:r w:rsidRPr="00720CDC">
              <w:rPr>
                <w:rStyle w:val="Bodytext295pt"/>
                <w:rFonts w:ascii="Sylfaen" w:hAnsi="Sylfaen"/>
                <w:i/>
                <w:spacing w:val="0"/>
                <w:sz w:val="20"/>
                <w:szCs w:val="20"/>
              </w:rPr>
              <w:t>վերը</w:t>
            </w:r>
            <w:r w:rsidRPr="00720CDC">
              <w:rPr>
                <w:rFonts w:ascii="Sylfaen" w:hAnsi="Sylfaen"/>
                <w:b w:val="0"/>
                <w:i/>
                <w:sz w:val="20"/>
                <w:szCs w:val="20"/>
              </w:rPr>
              <w:t xml:space="preserve"> </w:t>
            </w:r>
            <w:r w:rsidRPr="00720CDC">
              <w:rPr>
                <w:rStyle w:val="Bodytext295pt"/>
                <w:rFonts w:ascii="Sylfaen" w:hAnsi="Sylfaen"/>
                <w:i/>
                <w:spacing w:val="0"/>
                <w:sz w:val="20"/>
                <w:szCs w:val="20"/>
              </w:rPr>
              <w:t>բերված եզրութաբանության}</w:t>
            </w:r>
          </w:p>
        </w:tc>
      </w:tr>
      <w:tr w:rsidR="008C76E0" w:rsidRPr="00DF2860" w14:paraId="620E314A"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B407C0A"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3E33764"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Սուբյեկտների քանակը</w:t>
            </w:r>
          </w:p>
        </w:tc>
        <w:tc>
          <w:tcPr>
            <w:tcW w:w="2247" w:type="dxa"/>
            <w:tcBorders>
              <w:top w:val="single" w:sz="4" w:space="0" w:color="auto"/>
              <w:left w:val="single" w:sz="4" w:space="0" w:color="auto"/>
            </w:tcBorders>
            <w:shd w:val="clear" w:color="auto" w:fill="FFFFFF"/>
            <w:vAlign w:val="bottom"/>
          </w:tcPr>
          <w:p w14:paraId="7ED0D42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&lt;n&gt;</w:t>
            </w:r>
          </w:p>
        </w:tc>
        <w:tc>
          <w:tcPr>
            <w:tcW w:w="2195" w:type="dxa"/>
            <w:gridSpan w:val="2"/>
            <w:tcBorders>
              <w:top w:val="single" w:sz="4" w:space="0" w:color="auto"/>
              <w:left w:val="single" w:sz="4" w:space="0" w:color="auto"/>
            </w:tcBorders>
            <w:shd w:val="clear" w:color="auto" w:fill="FFFFFF"/>
            <w:vAlign w:val="bottom"/>
          </w:tcPr>
          <w:p w14:paraId="2C682B1F"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c>
          <w:tcPr>
            <w:tcW w:w="2176" w:type="dxa"/>
            <w:tcBorders>
              <w:top w:val="single" w:sz="4" w:space="0" w:color="auto"/>
              <w:left w:val="single" w:sz="4" w:space="0" w:color="auto"/>
              <w:right w:val="single" w:sz="4" w:space="0" w:color="auto"/>
            </w:tcBorders>
            <w:shd w:val="clear" w:color="auto" w:fill="FFFFFF"/>
            <w:vAlign w:val="bottom"/>
          </w:tcPr>
          <w:p w14:paraId="334B126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&lt;n&gt;</w:t>
            </w:r>
          </w:p>
        </w:tc>
      </w:tr>
      <w:tr w:rsidR="008C76E0" w:rsidRPr="00DF2860" w14:paraId="36DC0B5A" w14:textId="77777777" w:rsidTr="008C76E0">
        <w:trPr>
          <w:jc w:val="center"/>
        </w:trPr>
        <w:tc>
          <w:tcPr>
            <w:tcW w:w="2215" w:type="dxa"/>
            <w:gridSpan w:val="2"/>
            <w:vMerge/>
            <w:tcBorders>
              <w:left w:val="single" w:sz="4" w:space="0" w:color="auto"/>
            </w:tcBorders>
            <w:shd w:val="clear" w:color="auto" w:fill="FFFFFF"/>
          </w:tcPr>
          <w:p w14:paraId="5585DA5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0B16427B"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&lt;կլինիկական հետազոտության կետը&gt; {պայմանական նշագիրը, ինչպես նշված է վեր</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ում} (&lt;վիճակագրություն&gt;) {օրինակ՝ ընտրանքի միջին, մեդիանային (միջնաթվային) արժեքը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70011A5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755D25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117B00D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317D5B4A" w14:textId="77777777" w:rsidTr="008C76E0">
        <w:trPr>
          <w:jc w:val="center"/>
        </w:trPr>
        <w:tc>
          <w:tcPr>
            <w:tcW w:w="2215" w:type="dxa"/>
            <w:gridSpan w:val="2"/>
            <w:vMerge/>
            <w:tcBorders>
              <w:left w:val="single" w:sz="4" w:space="0" w:color="auto"/>
            </w:tcBorders>
            <w:shd w:val="clear" w:color="auto" w:fill="FFFFFF"/>
          </w:tcPr>
          <w:p w14:paraId="32AC4DF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737E78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&lt;վարիացիաների վիճակագրությունը&gt; {օրինակ՝ ստանդարտ շեղումը, վստահելի միջակայքը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այլն</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56B9137B" w14:textId="77777777" w:rsidR="008C76E0" w:rsidRPr="00720CDC" w:rsidRDefault="008C76E0" w:rsidP="008C76E0">
            <w:pPr>
              <w:pStyle w:val="Bodytext180"/>
              <w:shd w:val="clear" w:color="auto" w:fill="auto"/>
              <w:spacing w:before="0" w:after="120" w:line="240" w:lineRule="auto"/>
              <w:ind w:left="-14"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152D4AC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059B4A4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433E560E" w14:textId="77777777" w:rsidTr="008C76E0">
        <w:trPr>
          <w:jc w:val="center"/>
        </w:trPr>
        <w:tc>
          <w:tcPr>
            <w:tcW w:w="2215" w:type="dxa"/>
            <w:gridSpan w:val="2"/>
            <w:vMerge/>
            <w:tcBorders>
              <w:left w:val="single" w:sz="4" w:space="0" w:color="auto"/>
            </w:tcBorders>
            <w:shd w:val="clear" w:color="auto" w:fill="FFFFFF"/>
          </w:tcPr>
          <w:p w14:paraId="3123E307"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48C93F69"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 xml:space="preserve">&lt;կլինիկական հետազոտությունների կետը&gt; </w:t>
            </w:r>
            <w:r w:rsidRPr="00720CDC">
              <w:rPr>
                <w:rStyle w:val="Bodytext1811pt"/>
                <w:rFonts w:ascii="Sylfaen" w:hAnsi="Sylfaen"/>
                <w:i/>
                <w:sz w:val="20"/>
                <w:szCs w:val="20"/>
              </w:rPr>
              <w:t>(</w:t>
            </w:r>
            <w:r w:rsidRPr="00720CDC">
              <w:rPr>
                <w:rStyle w:val="Bodytext295pt"/>
                <w:rFonts w:ascii="Sylfaen" w:hAnsi="Sylfaen"/>
                <w:i/>
                <w:spacing w:val="0"/>
                <w:sz w:val="20"/>
                <w:szCs w:val="20"/>
              </w:rPr>
              <w:t>&lt;վիճակագրություն&gt;</w:t>
            </w:r>
            <w:r w:rsidRPr="00720CDC">
              <w:rPr>
                <w:rStyle w:val="Bodytext1811pt"/>
                <w:rFonts w:ascii="Sylfaen" w:hAnsi="Sylfaen"/>
                <w:i/>
                <w:sz w:val="20"/>
                <w:szCs w:val="20"/>
              </w:rPr>
              <w:t>)</w:t>
            </w:r>
          </w:p>
        </w:tc>
        <w:tc>
          <w:tcPr>
            <w:tcW w:w="2247" w:type="dxa"/>
            <w:tcBorders>
              <w:top w:val="single" w:sz="4" w:space="0" w:color="auto"/>
              <w:left w:val="single" w:sz="4" w:space="0" w:color="auto"/>
            </w:tcBorders>
            <w:shd w:val="clear" w:color="auto" w:fill="FFFFFF"/>
          </w:tcPr>
          <w:p w14:paraId="6B927E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tcPr>
          <w:p w14:paraId="6DF8C48D"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tcPr>
          <w:p w14:paraId="7B994D7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295E3B90" w14:textId="77777777" w:rsidTr="008C76E0">
        <w:trPr>
          <w:jc w:val="center"/>
        </w:trPr>
        <w:tc>
          <w:tcPr>
            <w:tcW w:w="2215" w:type="dxa"/>
            <w:gridSpan w:val="2"/>
            <w:vMerge/>
            <w:tcBorders>
              <w:left w:val="single" w:sz="4" w:space="0" w:color="auto"/>
            </w:tcBorders>
            <w:shd w:val="clear" w:color="auto" w:fill="FFFFFF"/>
          </w:tcPr>
          <w:p w14:paraId="49781FFE"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tcPr>
          <w:p w14:paraId="20702300"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1811pt"/>
                <w:rFonts w:ascii="Sylfaen" w:hAnsi="Sylfaen"/>
                <w:i/>
                <w:sz w:val="20"/>
                <w:szCs w:val="20"/>
              </w:rPr>
              <w:t>&lt;վարիացիաների վիճակագրությունը&gt;</w:t>
            </w:r>
          </w:p>
        </w:tc>
        <w:tc>
          <w:tcPr>
            <w:tcW w:w="2247" w:type="dxa"/>
            <w:tcBorders>
              <w:top w:val="single" w:sz="4" w:space="0" w:color="auto"/>
              <w:left w:val="single" w:sz="4" w:space="0" w:color="auto"/>
            </w:tcBorders>
            <w:shd w:val="clear" w:color="auto" w:fill="FFFFFF"/>
            <w:vAlign w:val="bottom"/>
          </w:tcPr>
          <w:p w14:paraId="08FB74A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vAlign w:val="bottom"/>
          </w:tcPr>
          <w:p w14:paraId="31B78A68"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vAlign w:val="bottom"/>
          </w:tcPr>
          <w:p w14:paraId="694579CA" w14:textId="77777777" w:rsidR="008C76E0" w:rsidRPr="00720CDC" w:rsidRDefault="008C76E0" w:rsidP="008C76E0">
            <w:pPr>
              <w:pStyle w:val="Bodytext180"/>
              <w:shd w:val="clear" w:color="auto" w:fill="auto"/>
              <w:spacing w:before="0" w:after="120" w:line="240" w:lineRule="auto"/>
              <w:ind w:left="-4"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7D9C62E6" w14:textId="77777777" w:rsidTr="008C76E0">
        <w:trPr>
          <w:jc w:val="center"/>
        </w:trPr>
        <w:tc>
          <w:tcPr>
            <w:tcW w:w="2215" w:type="dxa"/>
            <w:gridSpan w:val="2"/>
            <w:vMerge/>
            <w:tcBorders>
              <w:left w:val="single" w:sz="4" w:space="0" w:color="auto"/>
            </w:tcBorders>
            <w:shd w:val="clear" w:color="auto" w:fill="FFFFFF"/>
          </w:tcPr>
          <w:p w14:paraId="1F1FBC7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1F8EAB3A"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&lt;կլինիկական հետազոտությունների կետը</w:t>
            </w:r>
          </w:p>
        </w:tc>
        <w:tc>
          <w:tcPr>
            <w:tcW w:w="2247" w:type="dxa"/>
            <w:tcBorders>
              <w:top w:val="single" w:sz="4" w:space="0" w:color="auto"/>
              <w:left w:val="single" w:sz="4" w:space="0" w:color="auto"/>
            </w:tcBorders>
            <w:shd w:val="clear" w:color="auto" w:fill="FFFFFF"/>
            <w:vAlign w:val="bottom"/>
          </w:tcPr>
          <w:p w14:paraId="3F4BA32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w:t>
            </w:r>
            <w:r w:rsidRPr="00720CDC">
              <w:rPr>
                <w:rFonts w:ascii="Sylfaen" w:hAnsi="Sylfaen"/>
                <w:b w:val="0"/>
                <w:i/>
                <w:sz w:val="20"/>
                <w:szCs w:val="20"/>
              </w:rPr>
              <w:t xml:space="preserve"> </w:t>
            </w:r>
            <w:r w:rsidRPr="00720CDC">
              <w:rPr>
                <w:rStyle w:val="Bodytext295pt"/>
                <w:rFonts w:ascii="Sylfaen" w:hAnsi="Sylfaen"/>
                <w:i/>
                <w:spacing w:val="0"/>
                <w:sz w:val="20"/>
                <w:szCs w:val="20"/>
              </w:rPr>
              <w:t>գնահատումը&gt;</w:t>
            </w:r>
          </w:p>
        </w:tc>
        <w:tc>
          <w:tcPr>
            <w:tcW w:w="2195" w:type="dxa"/>
            <w:gridSpan w:val="2"/>
            <w:tcBorders>
              <w:top w:val="single" w:sz="4" w:space="0" w:color="auto"/>
              <w:left w:val="single" w:sz="4" w:space="0" w:color="auto"/>
            </w:tcBorders>
            <w:shd w:val="clear" w:color="auto" w:fill="FFFFFF"/>
            <w:vAlign w:val="bottom"/>
          </w:tcPr>
          <w:p w14:paraId="53BF6CF4"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c>
          <w:tcPr>
            <w:tcW w:w="2176" w:type="dxa"/>
            <w:tcBorders>
              <w:top w:val="single" w:sz="4" w:space="0" w:color="auto"/>
              <w:left w:val="single" w:sz="4" w:space="0" w:color="auto"/>
              <w:right w:val="single" w:sz="4" w:space="0" w:color="auto"/>
            </w:tcBorders>
            <w:shd w:val="clear" w:color="auto" w:fill="FFFFFF"/>
            <w:vAlign w:val="bottom"/>
          </w:tcPr>
          <w:p w14:paraId="71C3BFA7"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&lt;կետային գնահատումը&gt;</w:t>
            </w:r>
          </w:p>
        </w:tc>
      </w:tr>
      <w:tr w:rsidR="008C76E0" w:rsidRPr="00DF2860" w14:paraId="136F7670" w14:textId="77777777" w:rsidTr="008C76E0">
        <w:trPr>
          <w:jc w:val="center"/>
        </w:trPr>
        <w:tc>
          <w:tcPr>
            <w:tcW w:w="2215" w:type="dxa"/>
            <w:gridSpan w:val="2"/>
            <w:vMerge/>
            <w:tcBorders>
              <w:left w:val="single" w:sz="4" w:space="0" w:color="auto"/>
            </w:tcBorders>
            <w:shd w:val="clear" w:color="auto" w:fill="FFFFFF"/>
          </w:tcPr>
          <w:p w14:paraId="738B0DD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89F97F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(&lt;վիճակագրություն&gt;)</w:t>
            </w:r>
          </w:p>
          <w:p w14:paraId="5D9515D3"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&lt;վարիացիաների վիճակագրությունը&gt;</w:t>
            </w:r>
          </w:p>
        </w:tc>
        <w:tc>
          <w:tcPr>
            <w:tcW w:w="2247" w:type="dxa"/>
            <w:tcBorders>
              <w:top w:val="single" w:sz="4" w:space="0" w:color="auto"/>
              <w:left w:val="single" w:sz="4" w:space="0" w:color="auto"/>
            </w:tcBorders>
            <w:shd w:val="clear" w:color="auto" w:fill="FFFFFF"/>
          </w:tcPr>
          <w:p w14:paraId="3B73239B"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95" w:type="dxa"/>
            <w:gridSpan w:val="2"/>
            <w:tcBorders>
              <w:top w:val="single" w:sz="4" w:space="0" w:color="auto"/>
              <w:left w:val="single" w:sz="4" w:space="0" w:color="auto"/>
            </w:tcBorders>
            <w:shd w:val="clear" w:color="auto" w:fill="FFFFFF"/>
          </w:tcPr>
          <w:p w14:paraId="4B29D6F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c>
          <w:tcPr>
            <w:tcW w:w="2176" w:type="dxa"/>
            <w:tcBorders>
              <w:top w:val="single" w:sz="4" w:space="0" w:color="auto"/>
              <w:left w:val="single" w:sz="4" w:space="0" w:color="auto"/>
              <w:right w:val="single" w:sz="4" w:space="0" w:color="auto"/>
            </w:tcBorders>
            <w:shd w:val="clear" w:color="auto" w:fill="FFFFFF"/>
          </w:tcPr>
          <w:p w14:paraId="1F296E0C" w14:textId="77777777" w:rsidR="008C76E0" w:rsidRPr="00720CDC"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720CDC">
              <w:rPr>
                <w:rStyle w:val="Bodytext295pt"/>
                <w:rFonts w:ascii="Sylfaen" w:hAnsi="Sylfaen"/>
                <w:i/>
                <w:spacing w:val="0"/>
                <w:sz w:val="20"/>
                <w:szCs w:val="20"/>
              </w:rPr>
              <w:t>&lt;վարիատիվությունը&gt;</w:t>
            </w:r>
          </w:p>
        </w:tc>
      </w:tr>
      <w:tr w:rsidR="008C76E0" w:rsidRPr="00DF2860" w14:paraId="66BB4B5F"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361F6361" w14:textId="77777777" w:rsidR="008C76E0" w:rsidRPr="008C76E0" w:rsidRDefault="008C76E0" w:rsidP="008C76E0">
            <w:pPr>
              <w:pStyle w:val="Bodytext180"/>
              <w:shd w:val="clear" w:color="auto" w:fill="auto"/>
              <w:spacing w:before="0" w:after="120" w:line="288" w:lineRule="auto"/>
              <w:ind w:left="10" w:firstLine="0"/>
              <w:jc w:val="center"/>
              <w:rPr>
                <w:rFonts w:ascii="Sylfaen" w:hAnsi="Sylfaen"/>
                <w:b w:val="0"/>
                <w:sz w:val="20"/>
                <w:szCs w:val="20"/>
                <w:lang w:val="hy-AM"/>
              </w:rPr>
            </w:pPr>
            <w:r w:rsidRPr="00DF2860">
              <w:rPr>
                <w:rStyle w:val="Bodytext1811pt"/>
                <w:rFonts w:ascii="Sylfaen" w:hAnsi="Sylfaen"/>
                <w:sz w:val="20"/>
                <w:szCs w:val="20"/>
              </w:rPr>
              <w:t xml:space="preserve">Էֆեկտի գնահատումը համեմատության ժամանակ </w:t>
            </w:r>
            <w:r w:rsidRPr="00DF2860">
              <w:rPr>
                <w:rStyle w:val="Bodytext295pt"/>
                <w:rFonts w:ascii="Sylfaen" w:hAnsi="Sylfaen"/>
                <w:spacing w:val="0"/>
                <w:sz w:val="20"/>
                <w:szCs w:val="20"/>
              </w:rPr>
              <w:t xml:space="preserve">{ավելացրեք անհրաժեշտ քանակով տողեր՝ փաստացի կատարված </w:t>
            </w:r>
            <w:r w:rsidRPr="00DF2860">
              <w:rPr>
                <w:rStyle w:val="Bodytext295pt"/>
                <w:rFonts w:ascii="Sylfaen" w:hAnsi="Sylfaen"/>
                <w:spacing w:val="0"/>
                <w:sz w:val="20"/>
                <w:szCs w:val="20"/>
              </w:rPr>
              <w:lastRenderedPageBreak/>
              <w:t>վիճակագրական վերլուծության նկարագրության համար}</w:t>
            </w:r>
          </w:p>
        </w:tc>
        <w:tc>
          <w:tcPr>
            <w:tcW w:w="2330" w:type="dxa"/>
            <w:vMerge w:val="restart"/>
            <w:tcBorders>
              <w:top w:val="single" w:sz="4" w:space="0" w:color="auto"/>
              <w:left w:val="single" w:sz="4" w:space="0" w:color="auto"/>
            </w:tcBorders>
            <w:shd w:val="clear" w:color="auto" w:fill="FFFFFF"/>
          </w:tcPr>
          <w:p w14:paraId="6D345F05"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720CDC">
              <w:rPr>
                <w:rStyle w:val="Bodytext295pt"/>
                <w:rFonts w:ascii="Sylfaen" w:hAnsi="Sylfaen"/>
                <w:i/>
                <w:spacing w:val="0"/>
                <w:sz w:val="20"/>
                <w:szCs w:val="20"/>
              </w:rPr>
              <w:lastRenderedPageBreak/>
              <w:t xml:space="preserve">&lt;Համակցված&gt; </w:t>
            </w:r>
            <w:r w:rsidRPr="00720CDC">
              <w:rPr>
                <w:rStyle w:val="Bodytext1811pt"/>
                <w:rFonts w:ascii="Sylfaen" w:hAnsi="Sylfaen"/>
                <w:i/>
                <w:sz w:val="20"/>
                <w:szCs w:val="20"/>
              </w:rPr>
              <w:t>Կլինիկական հետազոտության առաջնային կետը</w:t>
            </w:r>
          </w:p>
        </w:tc>
        <w:tc>
          <w:tcPr>
            <w:tcW w:w="2894" w:type="dxa"/>
            <w:gridSpan w:val="2"/>
            <w:tcBorders>
              <w:top w:val="single" w:sz="4" w:space="0" w:color="auto"/>
              <w:left w:val="single" w:sz="4" w:space="0" w:color="auto"/>
            </w:tcBorders>
            <w:shd w:val="clear" w:color="auto" w:fill="FFFFFF"/>
          </w:tcPr>
          <w:p w14:paraId="0D2E3A68"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4183575C" w14:textId="77777777" w:rsidR="008C76E0" w:rsidRPr="00DF2860" w:rsidRDefault="008C76E0" w:rsidP="008C76E0">
            <w:pPr>
              <w:pStyle w:val="Bodytext180"/>
              <w:shd w:val="clear" w:color="auto" w:fill="auto"/>
              <w:spacing w:before="0" w:after="120" w:line="288" w:lineRule="auto"/>
              <w:ind w:firstLine="0"/>
              <w:jc w:val="center"/>
              <w:rPr>
                <w:rFonts w:ascii="Sylfaen" w:hAnsi="Sylfaen"/>
                <w:b w:val="0"/>
                <w:sz w:val="20"/>
                <w:szCs w:val="20"/>
              </w:rPr>
            </w:pPr>
            <w:r w:rsidRPr="00DF2860">
              <w:rPr>
                <w:rStyle w:val="Bodytext295pt"/>
                <w:rFonts w:ascii="Sylfaen" w:hAnsi="Sylfaen"/>
                <w:spacing w:val="0"/>
                <w:sz w:val="20"/>
                <w:szCs w:val="20"/>
              </w:rPr>
              <w:t>&lt;խմբի ծածկագրված նշագիրը&gt; {համաձայն վերը բերված եզրութաբանության}</w:t>
            </w:r>
          </w:p>
        </w:tc>
      </w:tr>
      <w:tr w:rsidR="008C76E0" w:rsidRPr="00DF2860" w14:paraId="4CDF89A9" w14:textId="77777777" w:rsidTr="008C76E0">
        <w:trPr>
          <w:jc w:val="center"/>
        </w:trPr>
        <w:tc>
          <w:tcPr>
            <w:tcW w:w="2215" w:type="dxa"/>
            <w:gridSpan w:val="2"/>
            <w:vMerge/>
            <w:tcBorders>
              <w:left w:val="single" w:sz="4" w:space="0" w:color="auto"/>
            </w:tcBorders>
            <w:shd w:val="clear" w:color="auto" w:fill="FFFFFF"/>
          </w:tcPr>
          <w:p w14:paraId="3A476B61" w14:textId="77777777" w:rsidR="008C76E0" w:rsidRPr="00DF2860" w:rsidRDefault="008C76E0" w:rsidP="008C76E0">
            <w:pPr>
              <w:spacing w:after="120" w:line="288" w:lineRule="auto"/>
              <w:ind w:left="10"/>
              <w:jc w:val="center"/>
              <w:rPr>
                <w:rFonts w:ascii="Sylfaen" w:hAnsi="Sylfaen"/>
                <w:sz w:val="20"/>
                <w:szCs w:val="20"/>
              </w:rPr>
            </w:pPr>
          </w:p>
        </w:tc>
        <w:tc>
          <w:tcPr>
            <w:tcW w:w="2330" w:type="dxa"/>
            <w:vMerge/>
            <w:tcBorders>
              <w:left w:val="single" w:sz="4" w:space="0" w:color="auto"/>
            </w:tcBorders>
            <w:shd w:val="clear" w:color="auto" w:fill="FFFFFF"/>
          </w:tcPr>
          <w:p w14:paraId="60EF4958" w14:textId="77777777" w:rsidR="008C76E0" w:rsidRPr="00720CDC" w:rsidRDefault="008C76E0" w:rsidP="008C76E0">
            <w:pPr>
              <w:spacing w:after="120" w:line="288" w:lineRule="auto"/>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56DD9E64" w14:textId="77777777" w:rsidR="008C76E0" w:rsidRPr="008C76E0" w:rsidRDefault="008C76E0" w:rsidP="008C76E0">
            <w:pPr>
              <w:pStyle w:val="Bodytext180"/>
              <w:shd w:val="clear" w:color="auto" w:fill="auto"/>
              <w:spacing w:before="0" w:after="120" w:line="288" w:lineRule="auto"/>
              <w:ind w:firstLine="0"/>
              <w:jc w:val="center"/>
              <w:rPr>
                <w:rFonts w:ascii="Sylfaen" w:hAnsi="Sylfaen"/>
                <w:b w:val="0"/>
                <w:i/>
                <w:sz w:val="20"/>
                <w:szCs w:val="20"/>
                <w:lang w:val="hy-AM"/>
              </w:rPr>
            </w:pPr>
            <w:r w:rsidRPr="0032101F">
              <w:rPr>
                <w:rStyle w:val="Bodytext295pt"/>
                <w:rFonts w:ascii="Sylfaen" w:hAnsi="Sylfaen"/>
                <w:i/>
                <w:spacing w:val="0"/>
                <w:sz w:val="20"/>
                <w:szCs w:val="20"/>
              </w:rPr>
              <w:t>&lt;նշանակալիության չափանիշը&gt; (օրինակ՝ խմբերի միջ</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տարբերությունը)</w:t>
            </w:r>
            <w:r w:rsidRPr="008C76E0">
              <w:rPr>
                <w:rFonts w:ascii="Sylfaen" w:hAnsi="Sylfaen"/>
                <w:b w:val="0"/>
                <w:i/>
                <w:sz w:val="20"/>
                <w:szCs w:val="20"/>
                <w:lang w:val="hy-AM"/>
              </w:rPr>
              <w:t xml:space="preserve"> </w:t>
            </w:r>
          </w:p>
        </w:tc>
        <w:tc>
          <w:tcPr>
            <w:tcW w:w="3724" w:type="dxa"/>
            <w:gridSpan w:val="2"/>
            <w:tcBorders>
              <w:top w:val="single" w:sz="4" w:space="0" w:color="auto"/>
              <w:left w:val="single" w:sz="4" w:space="0" w:color="auto"/>
              <w:right w:val="single" w:sz="4" w:space="0" w:color="auto"/>
            </w:tcBorders>
            <w:shd w:val="clear" w:color="auto" w:fill="FFFFFF"/>
          </w:tcPr>
          <w:p w14:paraId="0F1251F9" w14:textId="77777777" w:rsidR="008C76E0" w:rsidRPr="0032101F" w:rsidRDefault="008C76E0" w:rsidP="008C76E0">
            <w:pPr>
              <w:pStyle w:val="Bodytext180"/>
              <w:shd w:val="clear" w:color="auto" w:fill="auto"/>
              <w:spacing w:before="0" w:after="120" w:line="288" w:lineRule="auto"/>
              <w:ind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0254D26E" w14:textId="77777777" w:rsidTr="008C76E0">
        <w:trPr>
          <w:jc w:val="center"/>
        </w:trPr>
        <w:tc>
          <w:tcPr>
            <w:tcW w:w="2215" w:type="dxa"/>
            <w:gridSpan w:val="2"/>
            <w:vMerge/>
            <w:tcBorders>
              <w:left w:val="single" w:sz="4" w:space="0" w:color="auto"/>
            </w:tcBorders>
            <w:shd w:val="clear" w:color="auto" w:fill="FFFFFF"/>
          </w:tcPr>
          <w:p w14:paraId="36B0E7D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3BBA2B72"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70218B2E"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32101F">
              <w:rPr>
                <w:rStyle w:val="Bodytext295pt"/>
                <w:rFonts w:ascii="Sylfaen" w:hAnsi="Sylfaen"/>
                <w:i/>
                <w:spacing w:val="0"/>
                <w:sz w:val="20"/>
                <w:szCs w:val="20"/>
              </w:rPr>
              <w:t>&lt;վարիացիաների վիճակագրությունը&gt;</w:t>
            </w:r>
          </w:p>
          <w:p w14:paraId="51E54A96"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32101F">
              <w:rPr>
                <w:rStyle w:val="Bodytext295pt"/>
                <w:rFonts w:ascii="Sylfaen" w:hAnsi="Sylfaen"/>
                <w:i/>
                <w:spacing w:val="0"/>
                <w:sz w:val="20"/>
                <w:szCs w:val="20"/>
              </w:rPr>
              <w:t xml:space="preserve">{օրինակ՝ վստահելի միջակայքը </w:t>
            </w:r>
            <w:r w:rsidR="00C54D75">
              <w:rPr>
                <w:rStyle w:val="Bodytext295pt"/>
                <w:rFonts w:ascii="Sylfaen" w:hAnsi="Sylfaen"/>
                <w:i/>
                <w:spacing w:val="0"/>
                <w:sz w:val="20"/>
                <w:szCs w:val="20"/>
              </w:rPr>
              <w:t>և</w:t>
            </w:r>
            <w:r w:rsidRPr="0032101F">
              <w:rPr>
                <w:rStyle w:val="Bodytext295pt"/>
                <w:rFonts w:ascii="Sylfaen" w:hAnsi="Sylfaen"/>
                <w:i/>
                <w:spacing w:val="0"/>
                <w:sz w:val="20"/>
                <w:szCs w:val="20"/>
              </w:rPr>
              <w:t xml:space="preserve"> այլն</w:t>
            </w:r>
            <w:r w:rsidRPr="0032101F">
              <w:rPr>
                <w:rStyle w:val="Bodytext1811pt"/>
                <w:rFonts w:ascii="Sylfaen" w:hAnsi="Sylfaen"/>
                <w:i/>
                <w:sz w:val="20"/>
                <w:szCs w:val="20"/>
              </w:rPr>
              <w:t>}</w:t>
            </w:r>
          </w:p>
        </w:tc>
        <w:tc>
          <w:tcPr>
            <w:tcW w:w="3724" w:type="dxa"/>
            <w:gridSpan w:val="2"/>
            <w:tcBorders>
              <w:top w:val="single" w:sz="4" w:space="0" w:color="auto"/>
              <w:left w:val="single" w:sz="4" w:space="0" w:color="auto"/>
              <w:right w:val="single" w:sz="4" w:space="0" w:color="auto"/>
            </w:tcBorders>
            <w:shd w:val="clear" w:color="auto" w:fill="FFFFFF"/>
          </w:tcPr>
          <w:p w14:paraId="646B4577"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&lt;վարիատիվությունը&gt;</w:t>
            </w:r>
          </w:p>
        </w:tc>
      </w:tr>
      <w:tr w:rsidR="008C76E0" w:rsidRPr="00DF2860" w14:paraId="5BA5E0BB" w14:textId="77777777" w:rsidTr="008C76E0">
        <w:trPr>
          <w:jc w:val="center"/>
        </w:trPr>
        <w:tc>
          <w:tcPr>
            <w:tcW w:w="2215" w:type="dxa"/>
            <w:gridSpan w:val="2"/>
            <w:vMerge/>
            <w:tcBorders>
              <w:left w:val="single" w:sz="4" w:space="0" w:color="auto"/>
            </w:tcBorders>
            <w:shd w:val="clear" w:color="auto" w:fill="FFFFFF"/>
          </w:tcPr>
          <w:p w14:paraId="0B198488"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6CFDFC38"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6C1E49F"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sz w:val="20"/>
                <w:szCs w:val="20"/>
                <w:lang w:val="hy-AM"/>
              </w:rPr>
            </w:pPr>
            <w:r w:rsidRPr="00DF2860">
              <w:rPr>
                <w:rStyle w:val="Bodytext1811pt"/>
                <w:rFonts w:ascii="Sylfaen" w:hAnsi="Sylfaen"/>
                <w:sz w:val="20"/>
                <w:szCs w:val="20"/>
              </w:rPr>
              <w:t xml:space="preserve">P արժեքը </w:t>
            </w:r>
            <w:r w:rsidRPr="0032101F">
              <w:rPr>
                <w:rStyle w:val="Bodytext295pt"/>
                <w:rFonts w:ascii="Sylfaen" w:hAnsi="Sylfaen"/>
                <w:i/>
                <w:spacing w:val="0"/>
                <w:sz w:val="20"/>
                <w:szCs w:val="20"/>
              </w:rPr>
              <w:t>{նշե՛ք կիրառված վիճակագրական մեթոդը, օրինակ՝ ANOVA}</w:t>
            </w:r>
          </w:p>
        </w:tc>
        <w:tc>
          <w:tcPr>
            <w:tcW w:w="3724" w:type="dxa"/>
            <w:gridSpan w:val="2"/>
            <w:tcBorders>
              <w:top w:val="single" w:sz="4" w:space="0" w:color="auto"/>
              <w:left w:val="single" w:sz="4" w:space="0" w:color="auto"/>
              <w:right w:val="single" w:sz="4" w:space="0" w:color="auto"/>
            </w:tcBorders>
            <w:shd w:val="clear" w:color="auto" w:fill="FFFFFF"/>
          </w:tcPr>
          <w:p w14:paraId="376C95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42F778C1" w14:textId="77777777" w:rsidTr="008C76E0">
        <w:trPr>
          <w:jc w:val="center"/>
        </w:trPr>
        <w:tc>
          <w:tcPr>
            <w:tcW w:w="2215" w:type="dxa"/>
            <w:gridSpan w:val="2"/>
            <w:vMerge/>
            <w:tcBorders>
              <w:left w:val="single" w:sz="4" w:space="0" w:color="auto"/>
            </w:tcBorders>
            <w:shd w:val="clear" w:color="auto" w:fill="FFFFFF"/>
          </w:tcPr>
          <w:p w14:paraId="05AB602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vAlign w:val="bottom"/>
          </w:tcPr>
          <w:p w14:paraId="1A9428BC"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&lt;&lt;</w:t>
            </w:r>
            <w:r w:rsidRPr="00720CDC">
              <w:rPr>
                <w:rStyle w:val="Bodytext295pt"/>
                <w:rFonts w:ascii="Sylfaen" w:hAnsi="Sylfaen"/>
                <w:i/>
                <w:spacing w:val="0"/>
                <w:sz w:val="20"/>
                <w:szCs w:val="20"/>
              </w:rPr>
              <w:t xml:space="preserve">Համակցված&gt; Առաջնային&gt; &lt;Երկրորդային&gt; &lt;այլ՝ նշե՛ք&gt; </w:t>
            </w:r>
            <w:r w:rsidRPr="00720CDC">
              <w:rPr>
                <w:rStyle w:val="Bodytext1811pt"/>
                <w:rFonts w:ascii="Sylfaen" w:hAnsi="Sylfaen"/>
                <w:i/>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40EB7E1A"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2551821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B8515CF" w14:textId="77777777" w:rsidTr="008C76E0">
        <w:trPr>
          <w:jc w:val="center"/>
        </w:trPr>
        <w:tc>
          <w:tcPr>
            <w:tcW w:w="2215" w:type="dxa"/>
            <w:gridSpan w:val="2"/>
            <w:vMerge/>
            <w:tcBorders>
              <w:left w:val="single" w:sz="4" w:space="0" w:color="auto"/>
            </w:tcBorders>
            <w:shd w:val="clear" w:color="auto" w:fill="FFFFFF"/>
          </w:tcPr>
          <w:p w14:paraId="2AE04EE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7A3F654E"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vAlign w:val="bottom"/>
          </w:tcPr>
          <w:p w14:paraId="6D1E516D"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3F26B89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&lt;կետային գնահատումը&gt;</w:t>
            </w:r>
          </w:p>
        </w:tc>
      </w:tr>
      <w:tr w:rsidR="008C76E0" w:rsidRPr="00DF2860" w14:paraId="4AC3CC2A" w14:textId="77777777" w:rsidTr="008C76E0">
        <w:trPr>
          <w:jc w:val="center"/>
        </w:trPr>
        <w:tc>
          <w:tcPr>
            <w:tcW w:w="2215" w:type="dxa"/>
            <w:gridSpan w:val="2"/>
            <w:vMerge/>
            <w:tcBorders>
              <w:left w:val="single" w:sz="4" w:space="0" w:color="auto"/>
            </w:tcBorders>
            <w:shd w:val="clear" w:color="auto" w:fill="FFFFFF"/>
          </w:tcPr>
          <w:p w14:paraId="4BA2779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vAlign w:val="bottom"/>
          </w:tcPr>
          <w:p w14:paraId="32D1FFEB" w14:textId="77777777" w:rsidR="008C76E0" w:rsidRPr="00720CDC" w:rsidRDefault="008C76E0" w:rsidP="008C76E0">
            <w:pPr>
              <w:spacing w:after="120" w:line="240" w:lineRule="auto"/>
              <w:ind w:right="-1"/>
              <w:jc w:val="center"/>
              <w:rPr>
                <w:rFonts w:ascii="Sylfaen" w:hAnsi="Sylfaen"/>
                <w:i/>
                <w:sz w:val="20"/>
                <w:szCs w:val="20"/>
              </w:rPr>
            </w:pPr>
          </w:p>
        </w:tc>
        <w:tc>
          <w:tcPr>
            <w:tcW w:w="2894" w:type="dxa"/>
            <w:gridSpan w:val="2"/>
            <w:tcBorders>
              <w:top w:val="single" w:sz="4" w:space="0" w:color="auto"/>
              <w:left w:val="single" w:sz="4" w:space="0" w:color="auto"/>
            </w:tcBorders>
            <w:shd w:val="clear" w:color="auto" w:fill="FFFFFF"/>
          </w:tcPr>
          <w:p w14:paraId="3D53B915"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4FF024E2"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&lt;վարիատիվությունը&gt;</w:t>
            </w:r>
          </w:p>
        </w:tc>
      </w:tr>
      <w:tr w:rsidR="008C76E0" w:rsidRPr="00DF2860" w14:paraId="066587D7" w14:textId="77777777" w:rsidTr="008C76E0">
        <w:trPr>
          <w:jc w:val="center"/>
        </w:trPr>
        <w:tc>
          <w:tcPr>
            <w:tcW w:w="2215" w:type="dxa"/>
            <w:gridSpan w:val="2"/>
            <w:tcBorders>
              <w:top w:val="single" w:sz="4" w:space="0" w:color="auto"/>
              <w:left w:val="single" w:sz="4" w:space="0" w:color="auto"/>
            </w:tcBorders>
            <w:shd w:val="clear" w:color="auto" w:fill="FFFFFF"/>
          </w:tcPr>
          <w:p w14:paraId="547C4DD5"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3FC2D7C5"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1811pt"/>
                <w:rFonts w:ascii="Sylfaen" w:hAnsi="Sylfaen"/>
                <w:i/>
                <w:sz w:val="20"/>
                <w:szCs w:val="20"/>
              </w:rPr>
              <w:t>{</w:t>
            </w:r>
            <w:r w:rsidRPr="00720CDC">
              <w:rPr>
                <w:rStyle w:val="Bodytext295pt"/>
                <w:rFonts w:ascii="Sylfaen" w:hAnsi="Sylfaen"/>
                <w:i/>
                <w:spacing w:val="0"/>
                <w:sz w:val="20"/>
                <w:szCs w:val="20"/>
              </w:rPr>
              <w:t>նշե՛ք կլինիկական հետազոտության կետը՝</w:t>
            </w:r>
          </w:p>
        </w:tc>
        <w:tc>
          <w:tcPr>
            <w:tcW w:w="2894" w:type="dxa"/>
            <w:gridSpan w:val="2"/>
            <w:tcBorders>
              <w:top w:val="single" w:sz="4" w:space="0" w:color="auto"/>
              <w:left w:val="single" w:sz="4" w:space="0" w:color="auto"/>
            </w:tcBorders>
            <w:shd w:val="clear" w:color="auto" w:fill="FFFFFF"/>
          </w:tcPr>
          <w:p w14:paraId="30DC6FEB"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c>
          <w:tcPr>
            <w:tcW w:w="3724" w:type="dxa"/>
            <w:gridSpan w:val="2"/>
            <w:tcBorders>
              <w:top w:val="single" w:sz="4" w:space="0" w:color="auto"/>
              <w:left w:val="single" w:sz="4" w:space="0" w:color="auto"/>
              <w:right w:val="single" w:sz="4" w:space="0" w:color="auto"/>
            </w:tcBorders>
            <w:shd w:val="clear" w:color="auto" w:fill="FFFFFF"/>
          </w:tcPr>
          <w:p w14:paraId="13BE4B90"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&lt;P արժեքը&gt;</w:t>
            </w:r>
          </w:p>
        </w:tc>
      </w:tr>
      <w:tr w:rsidR="008C76E0" w:rsidRPr="00DF2860" w14:paraId="3744E72B" w14:textId="77777777" w:rsidTr="008C76E0">
        <w:trPr>
          <w:jc w:val="center"/>
        </w:trPr>
        <w:tc>
          <w:tcPr>
            <w:tcW w:w="2215" w:type="dxa"/>
            <w:gridSpan w:val="2"/>
            <w:vMerge w:val="restart"/>
            <w:tcBorders>
              <w:top w:val="single" w:sz="4" w:space="0" w:color="auto"/>
              <w:left w:val="single" w:sz="4" w:space="0" w:color="auto"/>
            </w:tcBorders>
            <w:shd w:val="clear" w:color="auto" w:fill="FFFFFF"/>
          </w:tcPr>
          <w:p w14:paraId="00190340"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tcBorders>
              <w:top w:val="single" w:sz="4" w:space="0" w:color="auto"/>
              <w:left w:val="single" w:sz="4" w:space="0" w:color="auto"/>
            </w:tcBorders>
            <w:shd w:val="clear" w:color="auto" w:fill="FFFFFF"/>
            <w:vAlign w:val="bottom"/>
          </w:tcPr>
          <w:p w14:paraId="5A9E4DF2"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օգտվելով վերը նշված «Կլինիկական հետազոտության կետերը </w:t>
            </w:r>
            <w:r w:rsidR="00C54D75">
              <w:rPr>
                <w:rStyle w:val="Bodytext295pt"/>
                <w:rFonts w:ascii="Sylfaen" w:hAnsi="Sylfaen"/>
                <w:i/>
                <w:spacing w:val="0"/>
                <w:sz w:val="20"/>
                <w:szCs w:val="20"/>
              </w:rPr>
              <w:t>և</w:t>
            </w:r>
            <w:r w:rsidRPr="00720CDC">
              <w:rPr>
                <w:rStyle w:val="Bodytext295pt"/>
                <w:rFonts w:ascii="Sylfaen" w:hAnsi="Sylfaen"/>
                <w:i/>
                <w:spacing w:val="0"/>
                <w:sz w:val="20"/>
                <w:szCs w:val="20"/>
              </w:rPr>
              <w:t xml:space="preserve"> սահմանումները» բաժնում նշված եզրութաբանությունից}</w:t>
            </w:r>
          </w:p>
        </w:tc>
        <w:tc>
          <w:tcPr>
            <w:tcW w:w="2894" w:type="dxa"/>
            <w:gridSpan w:val="2"/>
            <w:tcBorders>
              <w:top w:val="single" w:sz="4" w:space="0" w:color="auto"/>
              <w:left w:val="single" w:sz="4" w:space="0" w:color="auto"/>
            </w:tcBorders>
            <w:shd w:val="clear" w:color="auto" w:fill="FFFFFF"/>
          </w:tcPr>
          <w:p w14:paraId="06211064" w14:textId="77777777" w:rsidR="008C76E0" w:rsidRPr="00DF2860" w:rsidRDefault="008C76E0" w:rsidP="008C76E0">
            <w:pPr>
              <w:spacing w:after="120" w:line="240" w:lineRule="auto"/>
              <w:ind w:right="-1"/>
              <w:jc w:val="center"/>
              <w:rPr>
                <w:rFonts w:ascii="Sylfaen" w:hAnsi="Sylfaen"/>
                <w:sz w:val="20"/>
                <w:szCs w:val="20"/>
              </w:rPr>
            </w:pPr>
          </w:p>
        </w:tc>
        <w:tc>
          <w:tcPr>
            <w:tcW w:w="3724" w:type="dxa"/>
            <w:gridSpan w:val="2"/>
            <w:tcBorders>
              <w:top w:val="single" w:sz="4" w:space="0" w:color="auto"/>
              <w:left w:val="single" w:sz="4" w:space="0" w:color="auto"/>
              <w:right w:val="single" w:sz="4" w:space="0" w:color="auto"/>
            </w:tcBorders>
            <w:shd w:val="clear" w:color="auto" w:fill="FFFFFF"/>
          </w:tcPr>
          <w:p w14:paraId="3D7E746A" w14:textId="77777777" w:rsidR="008C76E0" w:rsidRPr="00DF2860" w:rsidRDefault="008C76E0" w:rsidP="008C76E0">
            <w:pPr>
              <w:spacing w:after="120" w:line="240" w:lineRule="auto"/>
              <w:ind w:right="-1"/>
              <w:jc w:val="center"/>
              <w:rPr>
                <w:rFonts w:ascii="Sylfaen" w:hAnsi="Sylfaen"/>
                <w:sz w:val="20"/>
                <w:szCs w:val="20"/>
              </w:rPr>
            </w:pPr>
          </w:p>
        </w:tc>
      </w:tr>
      <w:tr w:rsidR="008C76E0" w:rsidRPr="00DF2860" w14:paraId="6EB8CC08" w14:textId="77777777" w:rsidTr="008C76E0">
        <w:trPr>
          <w:jc w:val="center"/>
        </w:trPr>
        <w:tc>
          <w:tcPr>
            <w:tcW w:w="2215" w:type="dxa"/>
            <w:gridSpan w:val="2"/>
            <w:vMerge/>
            <w:tcBorders>
              <w:left w:val="single" w:sz="4" w:space="0" w:color="auto"/>
            </w:tcBorders>
            <w:shd w:val="clear" w:color="auto" w:fill="FFFFFF"/>
          </w:tcPr>
          <w:p w14:paraId="69651C3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val="restart"/>
            <w:tcBorders>
              <w:top w:val="single" w:sz="4" w:space="0" w:color="auto"/>
              <w:left w:val="single" w:sz="4" w:space="0" w:color="auto"/>
            </w:tcBorders>
            <w:shd w:val="clear" w:color="auto" w:fill="FFFFFF"/>
          </w:tcPr>
          <w:p w14:paraId="66F90BCD" w14:textId="77777777" w:rsidR="008C76E0" w:rsidRPr="008C76E0" w:rsidRDefault="008C76E0" w:rsidP="008C76E0">
            <w:pPr>
              <w:pStyle w:val="Bodytext180"/>
              <w:shd w:val="clear" w:color="auto" w:fill="auto"/>
              <w:spacing w:before="0" w:after="120" w:line="240" w:lineRule="auto"/>
              <w:ind w:right="-1" w:firstLine="0"/>
              <w:jc w:val="center"/>
              <w:rPr>
                <w:rFonts w:ascii="Sylfaen" w:hAnsi="Sylfaen"/>
                <w:b w:val="0"/>
                <w:i/>
                <w:sz w:val="20"/>
                <w:szCs w:val="20"/>
                <w:lang w:val="hy-AM"/>
              </w:rPr>
            </w:pPr>
            <w:r w:rsidRPr="00720CDC">
              <w:rPr>
                <w:rStyle w:val="Bodytext295pt"/>
                <w:rFonts w:ascii="Sylfaen" w:hAnsi="Sylfaen"/>
                <w:i/>
                <w:spacing w:val="0"/>
                <w:sz w:val="20"/>
                <w:szCs w:val="20"/>
              </w:rPr>
              <w:t xml:space="preserve">&lt;&lt;Համակցված&gt; Առաջնային&gt; &lt;Երկրորդային&gt; &lt;այլ՝ նշե՛ք&gt; </w:t>
            </w:r>
            <w:r w:rsidRPr="0032101F">
              <w:rPr>
                <w:rStyle w:val="Bodytext1811pt"/>
                <w:rFonts w:ascii="Sylfaen" w:hAnsi="Sylfaen"/>
                <w:sz w:val="20"/>
                <w:szCs w:val="20"/>
              </w:rPr>
              <w:t>կլինիկական հետազոտության կետը</w:t>
            </w:r>
          </w:p>
        </w:tc>
        <w:tc>
          <w:tcPr>
            <w:tcW w:w="2894" w:type="dxa"/>
            <w:gridSpan w:val="2"/>
            <w:tcBorders>
              <w:top w:val="single" w:sz="4" w:space="0" w:color="auto"/>
              <w:left w:val="single" w:sz="4" w:space="0" w:color="auto"/>
            </w:tcBorders>
            <w:shd w:val="clear" w:color="auto" w:fill="FFFFFF"/>
          </w:tcPr>
          <w:p w14:paraId="7B46A7C9"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1811pt"/>
                <w:rFonts w:ascii="Sylfaen" w:hAnsi="Sylfaen"/>
                <w:sz w:val="20"/>
                <w:szCs w:val="20"/>
              </w:rPr>
              <w:t>Համեմատության խմբերը</w:t>
            </w:r>
          </w:p>
        </w:tc>
        <w:tc>
          <w:tcPr>
            <w:tcW w:w="3724" w:type="dxa"/>
            <w:gridSpan w:val="2"/>
            <w:tcBorders>
              <w:top w:val="single" w:sz="4" w:space="0" w:color="auto"/>
              <w:left w:val="single" w:sz="4" w:space="0" w:color="auto"/>
              <w:right w:val="single" w:sz="4" w:space="0" w:color="auto"/>
            </w:tcBorders>
            <w:shd w:val="clear" w:color="auto" w:fill="FFFFFF"/>
            <w:vAlign w:val="bottom"/>
          </w:tcPr>
          <w:p w14:paraId="609FD4EF"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&lt;խմբի ծածկագրված նշագիրը&gt;</w:t>
            </w:r>
          </w:p>
        </w:tc>
      </w:tr>
      <w:tr w:rsidR="008C76E0" w:rsidRPr="00DF2860" w14:paraId="4355941E" w14:textId="77777777" w:rsidTr="008C76E0">
        <w:trPr>
          <w:jc w:val="center"/>
        </w:trPr>
        <w:tc>
          <w:tcPr>
            <w:tcW w:w="2215" w:type="dxa"/>
            <w:gridSpan w:val="2"/>
            <w:vMerge/>
            <w:tcBorders>
              <w:left w:val="single" w:sz="4" w:space="0" w:color="auto"/>
            </w:tcBorders>
            <w:shd w:val="clear" w:color="auto" w:fill="FFFFFF"/>
          </w:tcPr>
          <w:p w14:paraId="42784EBC"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7157A5"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vAlign w:val="bottom"/>
          </w:tcPr>
          <w:p w14:paraId="433C042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c>
          <w:tcPr>
            <w:tcW w:w="3724" w:type="dxa"/>
            <w:gridSpan w:val="2"/>
            <w:tcBorders>
              <w:top w:val="single" w:sz="4" w:space="0" w:color="auto"/>
              <w:left w:val="single" w:sz="4" w:space="0" w:color="auto"/>
              <w:right w:val="single" w:sz="4" w:space="0" w:color="auto"/>
            </w:tcBorders>
            <w:shd w:val="clear" w:color="auto" w:fill="FFFFFF"/>
          </w:tcPr>
          <w:p w14:paraId="7077E9E9"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&lt;նշանակալիության չափանիշները&gt;</w:t>
            </w:r>
          </w:p>
        </w:tc>
      </w:tr>
      <w:tr w:rsidR="008C76E0" w:rsidRPr="00DF2860" w14:paraId="067B4284" w14:textId="77777777" w:rsidTr="008C76E0">
        <w:trPr>
          <w:jc w:val="center"/>
        </w:trPr>
        <w:tc>
          <w:tcPr>
            <w:tcW w:w="2215" w:type="dxa"/>
            <w:gridSpan w:val="2"/>
            <w:vMerge/>
            <w:tcBorders>
              <w:left w:val="single" w:sz="4" w:space="0" w:color="auto"/>
            </w:tcBorders>
            <w:shd w:val="clear" w:color="auto" w:fill="FFFFFF"/>
          </w:tcPr>
          <w:p w14:paraId="45202222"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7CCA4704"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77136E65"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&lt;վարիացիաների վիճակագրությունը&gt;</w:t>
            </w:r>
          </w:p>
        </w:tc>
        <w:tc>
          <w:tcPr>
            <w:tcW w:w="3724" w:type="dxa"/>
            <w:gridSpan w:val="2"/>
            <w:tcBorders>
              <w:top w:val="single" w:sz="4" w:space="0" w:color="auto"/>
              <w:left w:val="single" w:sz="4" w:space="0" w:color="auto"/>
              <w:right w:val="single" w:sz="4" w:space="0" w:color="auto"/>
            </w:tcBorders>
            <w:shd w:val="clear" w:color="auto" w:fill="FFFFFF"/>
          </w:tcPr>
          <w:p w14:paraId="3F7F01F7"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Վարիացիաների վիճակագրությունը&gt;</w:t>
            </w:r>
          </w:p>
        </w:tc>
      </w:tr>
      <w:tr w:rsidR="008C76E0" w:rsidRPr="00DF2860" w14:paraId="38081A41" w14:textId="77777777" w:rsidTr="008C76E0">
        <w:trPr>
          <w:jc w:val="center"/>
        </w:trPr>
        <w:tc>
          <w:tcPr>
            <w:tcW w:w="2215" w:type="dxa"/>
            <w:gridSpan w:val="2"/>
            <w:vMerge/>
            <w:tcBorders>
              <w:left w:val="single" w:sz="4" w:space="0" w:color="auto"/>
            </w:tcBorders>
            <w:shd w:val="clear" w:color="auto" w:fill="FFFFFF"/>
          </w:tcPr>
          <w:p w14:paraId="41B37701" w14:textId="77777777" w:rsidR="008C76E0" w:rsidRPr="00DF2860" w:rsidRDefault="008C76E0" w:rsidP="008C76E0">
            <w:pPr>
              <w:spacing w:after="120" w:line="240" w:lineRule="auto"/>
              <w:ind w:left="10" w:right="-1"/>
              <w:jc w:val="center"/>
              <w:rPr>
                <w:rFonts w:ascii="Sylfaen" w:hAnsi="Sylfaen"/>
                <w:sz w:val="20"/>
                <w:szCs w:val="20"/>
              </w:rPr>
            </w:pPr>
          </w:p>
        </w:tc>
        <w:tc>
          <w:tcPr>
            <w:tcW w:w="2330" w:type="dxa"/>
            <w:vMerge/>
            <w:tcBorders>
              <w:left w:val="single" w:sz="4" w:space="0" w:color="auto"/>
            </w:tcBorders>
            <w:shd w:val="clear" w:color="auto" w:fill="FFFFFF"/>
          </w:tcPr>
          <w:p w14:paraId="1CE92BEB" w14:textId="77777777" w:rsidR="008C76E0" w:rsidRPr="00DF2860" w:rsidRDefault="008C76E0" w:rsidP="008C76E0">
            <w:pPr>
              <w:spacing w:after="120" w:line="240" w:lineRule="auto"/>
              <w:ind w:right="-1" w:firstLine="567"/>
              <w:jc w:val="center"/>
              <w:rPr>
                <w:rFonts w:ascii="Sylfaen" w:hAnsi="Sylfaen"/>
                <w:sz w:val="20"/>
                <w:szCs w:val="20"/>
              </w:rPr>
            </w:pPr>
          </w:p>
        </w:tc>
        <w:tc>
          <w:tcPr>
            <w:tcW w:w="2894" w:type="dxa"/>
            <w:gridSpan w:val="2"/>
            <w:tcBorders>
              <w:top w:val="single" w:sz="4" w:space="0" w:color="auto"/>
              <w:left w:val="single" w:sz="4" w:space="0" w:color="auto"/>
            </w:tcBorders>
            <w:shd w:val="clear" w:color="auto" w:fill="FFFFFF"/>
          </w:tcPr>
          <w:p w14:paraId="3846A5F2"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&lt;Р արժեքը&gt;</w:t>
            </w:r>
          </w:p>
        </w:tc>
        <w:tc>
          <w:tcPr>
            <w:tcW w:w="3724" w:type="dxa"/>
            <w:gridSpan w:val="2"/>
            <w:tcBorders>
              <w:top w:val="single" w:sz="4" w:space="0" w:color="auto"/>
              <w:left w:val="single" w:sz="4" w:space="0" w:color="auto"/>
              <w:right w:val="single" w:sz="4" w:space="0" w:color="auto"/>
            </w:tcBorders>
            <w:shd w:val="clear" w:color="auto" w:fill="FFFFFF"/>
          </w:tcPr>
          <w:p w14:paraId="09590B03" w14:textId="77777777" w:rsidR="008C76E0" w:rsidRPr="0032101F" w:rsidRDefault="008C76E0" w:rsidP="008C76E0">
            <w:pPr>
              <w:pStyle w:val="Bodytext180"/>
              <w:shd w:val="clear" w:color="auto" w:fill="auto"/>
              <w:spacing w:before="0" w:after="120" w:line="240" w:lineRule="auto"/>
              <w:ind w:right="-1" w:hanging="9"/>
              <w:jc w:val="center"/>
              <w:rPr>
                <w:rFonts w:ascii="Sylfaen" w:hAnsi="Sylfaen"/>
                <w:b w:val="0"/>
                <w:i/>
                <w:sz w:val="20"/>
                <w:szCs w:val="20"/>
              </w:rPr>
            </w:pPr>
            <w:r w:rsidRPr="0032101F">
              <w:rPr>
                <w:rStyle w:val="Bodytext295pt"/>
                <w:rFonts w:ascii="Sylfaen" w:hAnsi="Sylfaen"/>
                <w:i/>
                <w:spacing w:val="0"/>
                <w:sz w:val="20"/>
                <w:szCs w:val="20"/>
              </w:rPr>
              <w:t>&lt;Р արժեքը&gt;</w:t>
            </w:r>
          </w:p>
        </w:tc>
      </w:tr>
      <w:tr w:rsidR="008C76E0" w:rsidRPr="00DF2860" w14:paraId="4FD9485C" w14:textId="77777777" w:rsidTr="008C76E0">
        <w:trPr>
          <w:jc w:val="center"/>
        </w:trPr>
        <w:tc>
          <w:tcPr>
            <w:tcW w:w="2215" w:type="dxa"/>
            <w:gridSpan w:val="2"/>
            <w:tcBorders>
              <w:top w:val="single" w:sz="4" w:space="0" w:color="auto"/>
              <w:left w:val="single" w:sz="4" w:space="0" w:color="auto"/>
            </w:tcBorders>
            <w:shd w:val="clear" w:color="auto" w:fill="FFFFFF"/>
          </w:tcPr>
          <w:p w14:paraId="29E3F0E1"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Ծանոթագրություններ</w:t>
            </w:r>
          </w:p>
        </w:tc>
        <w:tc>
          <w:tcPr>
            <w:tcW w:w="8948" w:type="dxa"/>
            <w:gridSpan w:val="5"/>
            <w:tcBorders>
              <w:top w:val="single" w:sz="4" w:space="0" w:color="auto"/>
              <w:left w:val="single" w:sz="4" w:space="0" w:color="auto"/>
              <w:right w:val="single" w:sz="4" w:space="0" w:color="auto"/>
            </w:tcBorders>
            <w:shd w:val="clear" w:color="auto" w:fill="FFFFFF"/>
            <w:vAlign w:val="bottom"/>
          </w:tcPr>
          <w:p w14:paraId="289CA33C" w14:textId="77777777" w:rsidR="008C76E0" w:rsidRPr="0032101F" w:rsidRDefault="008C76E0" w:rsidP="008C76E0">
            <w:pPr>
              <w:pStyle w:val="Bodytext180"/>
              <w:shd w:val="clear" w:color="auto" w:fill="auto"/>
              <w:spacing w:before="0" w:after="120" w:line="240" w:lineRule="auto"/>
              <w:ind w:right="-1" w:firstLine="0"/>
              <w:jc w:val="center"/>
              <w:rPr>
                <w:rFonts w:ascii="Sylfaen" w:hAnsi="Sylfaen"/>
                <w:b w:val="0"/>
                <w:i/>
                <w:sz w:val="20"/>
                <w:szCs w:val="20"/>
              </w:rPr>
            </w:pPr>
            <w:r w:rsidRPr="0032101F">
              <w:rPr>
                <w:rStyle w:val="Bodytext295pt"/>
                <w:rFonts w:ascii="Sylfaen" w:hAnsi="Sylfaen"/>
                <w:i/>
                <w:spacing w:val="0"/>
                <w:sz w:val="20"/>
                <w:szCs w:val="20"/>
              </w:rPr>
              <w:t>&lt;կամայական տեքստ&gt;</w:t>
            </w:r>
          </w:p>
          <w:p w14:paraId="1C2EF0D1" w14:textId="77777777" w:rsidR="008C76E0" w:rsidRPr="00DF2860" w:rsidRDefault="008C76E0" w:rsidP="008C76E0">
            <w:pPr>
              <w:pStyle w:val="Bodytext180"/>
              <w:shd w:val="clear" w:color="auto" w:fill="auto"/>
              <w:spacing w:before="0" w:after="120" w:line="240" w:lineRule="auto"/>
              <w:ind w:right="-1" w:firstLine="0"/>
              <w:jc w:val="center"/>
              <w:rPr>
                <w:rFonts w:ascii="Sylfaen" w:hAnsi="Sylfaen"/>
                <w:b w:val="0"/>
                <w:sz w:val="20"/>
                <w:szCs w:val="20"/>
              </w:rPr>
            </w:pPr>
            <w:r w:rsidRPr="00DF2860">
              <w:rPr>
                <w:rStyle w:val="Bodytext295pt"/>
                <w:rFonts w:ascii="Sylfaen" w:hAnsi="Sylfaen"/>
                <w:spacing w:val="0"/>
                <w:sz w:val="20"/>
                <w:szCs w:val="20"/>
              </w:rPr>
              <w:t>{ի թիվս այլոց՝ դիտարկե՛ք հետ</w:t>
            </w:r>
            <w:r w:rsidR="00C54D75">
              <w:rPr>
                <w:rStyle w:val="Bodytext295pt"/>
                <w:rFonts w:ascii="Sylfaen" w:hAnsi="Sylfaen"/>
                <w:spacing w:val="0"/>
                <w:sz w:val="20"/>
                <w:szCs w:val="20"/>
              </w:rPr>
              <w:t>և</w:t>
            </w:r>
            <w:r w:rsidRPr="00DF2860">
              <w:rPr>
                <w:rStyle w:val="Bodytext295pt"/>
                <w:rFonts w:ascii="Sylfaen" w:hAnsi="Sylfaen"/>
                <w:spacing w:val="0"/>
                <w:sz w:val="20"/>
                <w:szCs w:val="20"/>
              </w:rPr>
              <w:t>յալ տեղեկատվությունը՝ հետազոտությունից դուրս գալու պատճառները, վերլուծության խիստ կար</w:t>
            </w:r>
            <w:r w:rsidR="00C54D75">
              <w:rPr>
                <w:rStyle w:val="Bodytext295pt"/>
                <w:rFonts w:ascii="Sylfaen" w:hAnsi="Sylfaen"/>
                <w:spacing w:val="0"/>
                <w:sz w:val="20"/>
                <w:szCs w:val="20"/>
              </w:rPr>
              <w:t>և</w:t>
            </w:r>
            <w:r w:rsidRPr="00DF2860">
              <w:rPr>
                <w:rStyle w:val="Bodytext295pt"/>
                <w:rFonts w:ascii="Sylfaen" w:hAnsi="Sylfaen"/>
                <w:spacing w:val="0"/>
                <w:sz w:val="20"/>
                <w:szCs w:val="20"/>
              </w:rPr>
              <w:t>որ արդյունքները}</w:t>
            </w:r>
          </w:p>
        </w:tc>
      </w:tr>
      <w:tr w:rsidR="008C76E0" w:rsidRPr="00DF2860" w14:paraId="4CBC28B0" w14:textId="77777777" w:rsidTr="008C76E0">
        <w:trPr>
          <w:jc w:val="center"/>
        </w:trPr>
        <w:tc>
          <w:tcPr>
            <w:tcW w:w="2215" w:type="dxa"/>
            <w:gridSpan w:val="2"/>
            <w:tcBorders>
              <w:top w:val="single" w:sz="4" w:space="0" w:color="auto"/>
              <w:left w:val="single" w:sz="4" w:space="0" w:color="auto"/>
            </w:tcBorders>
            <w:shd w:val="clear" w:color="auto" w:fill="FFFFFF"/>
          </w:tcPr>
          <w:p w14:paraId="5DB9C15E"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r w:rsidRPr="00DF2860">
              <w:rPr>
                <w:rStyle w:val="Bodytext1811pt"/>
                <w:rFonts w:ascii="Sylfaen" w:hAnsi="Sylfaen"/>
                <w:sz w:val="20"/>
                <w:szCs w:val="20"/>
              </w:rPr>
              <w:t>Վերլուծության նկարագրությունը</w:t>
            </w:r>
          </w:p>
          <w:p w14:paraId="3A3C2C15" w14:textId="77777777" w:rsidR="008C76E0" w:rsidRPr="00DF2860" w:rsidRDefault="008C76E0" w:rsidP="008C76E0">
            <w:pPr>
              <w:pStyle w:val="Bodytext180"/>
              <w:shd w:val="clear" w:color="auto" w:fill="auto"/>
              <w:spacing w:before="0" w:after="120" w:line="240" w:lineRule="auto"/>
              <w:ind w:left="10" w:right="-1" w:firstLine="0"/>
              <w:jc w:val="center"/>
              <w:rPr>
                <w:rFonts w:ascii="Sylfaen" w:hAnsi="Sylfaen"/>
                <w:b w:val="0"/>
                <w:sz w:val="20"/>
                <w:szCs w:val="20"/>
              </w:rPr>
            </w:pPr>
          </w:p>
        </w:tc>
        <w:tc>
          <w:tcPr>
            <w:tcW w:w="8948" w:type="dxa"/>
            <w:gridSpan w:val="5"/>
            <w:tcBorders>
              <w:top w:val="single" w:sz="4" w:space="0" w:color="auto"/>
              <w:left w:val="single" w:sz="4" w:space="0" w:color="auto"/>
              <w:right w:val="single" w:sz="4" w:space="0" w:color="auto"/>
            </w:tcBorders>
            <w:shd w:val="clear" w:color="auto" w:fill="FFFFFF"/>
            <w:vAlign w:val="bottom"/>
          </w:tcPr>
          <w:p w14:paraId="317401EA" w14:textId="77777777" w:rsidR="008C76E0" w:rsidRPr="0032101F" w:rsidRDefault="008C76E0" w:rsidP="008C76E0">
            <w:pPr>
              <w:pStyle w:val="Bodytext180"/>
              <w:shd w:val="clear" w:color="auto" w:fill="auto"/>
              <w:spacing w:before="0" w:after="120" w:line="240" w:lineRule="auto"/>
              <w:ind w:right="-1" w:firstLine="567"/>
              <w:jc w:val="center"/>
              <w:rPr>
                <w:rFonts w:ascii="Sylfaen" w:hAnsi="Sylfaen"/>
                <w:b w:val="0"/>
                <w:i/>
                <w:sz w:val="20"/>
                <w:szCs w:val="20"/>
              </w:rPr>
            </w:pPr>
            <w:r w:rsidRPr="0032101F">
              <w:rPr>
                <w:rStyle w:val="Bodytext295pt"/>
                <w:rFonts w:ascii="Sylfaen" w:hAnsi="Sylfaen"/>
                <w:i/>
                <w:spacing w:val="0"/>
                <w:sz w:val="20"/>
                <w:szCs w:val="20"/>
              </w:rPr>
              <w:t>&lt;լրացուցիչ վերլուծություն&gt;</w:t>
            </w:r>
          </w:p>
          <w:p w14:paraId="4A7A3125" w14:textId="77777777" w:rsidR="008C76E0" w:rsidRPr="00DF2860" w:rsidRDefault="008C76E0" w:rsidP="008C76E0">
            <w:pPr>
              <w:pStyle w:val="Bodytext180"/>
              <w:shd w:val="clear" w:color="auto" w:fill="auto"/>
              <w:spacing w:before="0" w:after="120" w:line="240" w:lineRule="auto"/>
              <w:ind w:right="-1" w:firstLine="567"/>
              <w:jc w:val="center"/>
              <w:rPr>
                <w:rFonts w:ascii="Sylfaen" w:hAnsi="Sylfaen"/>
                <w:b w:val="0"/>
                <w:sz w:val="20"/>
                <w:szCs w:val="20"/>
              </w:rPr>
            </w:pPr>
            <w:r w:rsidRPr="00DF2860">
              <w:rPr>
                <w:rStyle w:val="Bodytext295pt"/>
                <w:rFonts w:ascii="Sylfaen" w:hAnsi="Sylfaen"/>
                <w:spacing w:val="0"/>
                <w:sz w:val="20"/>
                <w:szCs w:val="20"/>
              </w:rPr>
              <w:t>&lt;համակցված առաջնային վերլուծություն&gt; &lt;այլ՝ նշել&gt; {նա</w:t>
            </w:r>
            <w:r w:rsidR="00C54D75">
              <w:rPr>
                <w:rStyle w:val="Bodytext295pt"/>
                <w:rFonts w:ascii="Sylfaen" w:hAnsi="Sylfaen"/>
                <w:spacing w:val="0"/>
                <w:sz w:val="20"/>
                <w:szCs w:val="20"/>
              </w:rPr>
              <w:t>և</w:t>
            </w:r>
            <w:r w:rsidRPr="00DF2860">
              <w:rPr>
                <w:rStyle w:val="Bodytext295pt"/>
                <w:rFonts w:ascii="Sylfaen" w:hAnsi="Sylfaen"/>
                <w:spacing w:val="0"/>
                <w:sz w:val="20"/>
                <w:szCs w:val="20"/>
              </w:rPr>
              <w:t xml:space="preserve"> նշե՛ք, եթե վերլուծության անցկացումը պլանավորված է եղել}</w:t>
            </w:r>
          </w:p>
        </w:tc>
      </w:tr>
      <w:tr w:rsidR="008C76E0" w:rsidRPr="00DF2860" w14:paraId="08525D0E" w14:textId="77777777" w:rsidTr="008C76E0">
        <w:trPr>
          <w:jc w:val="center"/>
        </w:trPr>
        <w:tc>
          <w:tcPr>
            <w:tcW w:w="2215" w:type="dxa"/>
            <w:gridSpan w:val="2"/>
            <w:tcBorders>
              <w:top w:val="single" w:sz="4" w:space="0" w:color="auto"/>
              <w:left w:val="single" w:sz="4" w:space="0" w:color="auto"/>
              <w:bottom w:val="single" w:sz="4" w:space="0" w:color="auto"/>
            </w:tcBorders>
            <w:shd w:val="clear" w:color="auto" w:fill="FFFFFF"/>
            <w:vAlign w:val="bottom"/>
          </w:tcPr>
          <w:p w14:paraId="6971D661" w14:textId="77777777" w:rsidR="008C76E0" w:rsidRPr="008C76E0" w:rsidRDefault="008C76E0" w:rsidP="008C76E0">
            <w:pPr>
              <w:pStyle w:val="Bodytext180"/>
              <w:shd w:val="clear" w:color="auto" w:fill="auto"/>
              <w:spacing w:before="0" w:after="120" w:line="240" w:lineRule="auto"/>
              <w:ind w:left="10" w:right="-1" w:firstLine="0"/>
              <w:jc w:val="center"/>
              <w:rPr>
                <w:rFonts w:ascii="Sylfaen" w:hAnsi="Sylfaen"/>
                <w:b w:val="0"/>
                <w:sz w:val="20"/>
                <w:szCs w:val="20"/>
                <w:lang w:val="hy-AM"/>
              </w:rPr>
            </w:pPr>
            <w:r w:rsidRPr="00DF2860">
              <w:rPr>
                <w:rStyle w:val="Bodytext295pt"/>
                <w:rFonts w:ascii="Sylfaen" w:hAnsi="Sylfaen"/>
                <w:spacing w:val="0"/>
                <w:sz w:val="20"/>
                <w:szCs w:val="20"/>
              </w:rPr>
              <w:t>{կրկնե՛ք վերը նշված բաժինները յուրաքանչյուր ակտուալ վերլուծության առնչությամբ}</w:t>
            </w:r>
          </w:p>
        </w:tc>
        <w:tc>
          <w:tcPr>
            <w:tcW w:w="8948" w:type="dxa"/>
            <w:gridSpan w:val="5"/>
            <w:tcBorders>
              <w:top w:val="single" w:sz="4" w:space="0" w:color="auto"/>
              <w:left w:val="single" w:sz="4" w:space="0" w:color="auto"/>
              <w:bottom w:val="single" w:sz="4" w:space="0" w:color="auto"/>
              <w:right w:val="single" w:sz="4" w:space="0" w:color="auto"/>
            </w:tcBorders>
            <w:shd w:val="clear" w:color="auto" w:fill="FFFFFF"/>
          </w:tcPr>
          <w:p w14:paraId="4F3A3D66" w14:textId="77777777" w:rsidR="008C76E0" w:rsidRPr="00DF2860" w:rsidRDefault="008C76E0" w:rsidP="008C76E0">
            <w:pPr>
              <w:spacing w:after="120" w:line="240" w:lineRule="auto"/>
              <w:ind w:right="-1" w:firstLine="567"/>
              <w:jc w:val="center"/>
              <w:rPr>
                <w:rFonts w:ascii="Sylfaen" w:hAnsi="Sylfaen"/>
                <w:sz w:val="20"/>
                <w:szCs w:val="20"/>
              </w:rPr>
            </w:pPr>
          </w:p>
        </w:tc>
      </w:tr>
    </w:tbl>
    <w:p w14:paraId="5AC8A43F" w14:textId="77777777" w:rsidR="008C76E0" w:rsidRDefault="008C76E0" w:rsidP="008C76E0">
      <w:pPr>
        <w:widowControl/>
        <w:rPr>
          <w:rFonts w:ascii="Sylfaen" w:hAnsi="Sylfaen"/>
          <w:sz w:val="24"/>
          <w:szCs w:val="24"/>
        </w:rPr>
      </w:pPr>
      <w:r>
        <w:rPr>
          <w:rFonts w:ascii="Sylfaen" w:hAnsi="Sylfaen"/>
          <w:sz w:val="24"/>
          <w:szCs w:val="24"/>
        </w:rPr>
        <w:br w:type="page"/>
      </w:r>
    </w:p>
    <w:p w14:paraId="5E51EDA3"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lastRenderedPageBreak/>
        <w:t>Կլինիկական հետազոտությունները բնակչության հատուկ խմբերի մոտ:</w:t>
      </w:r>
    </w:p>
    <w:p w14:paraId="08165D8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Բոլոր հետազոտությունների մասով իրականացված վերլուծություն (ընդհանրացված վերլուծություններ </w:t>
      </w:r>
      <w:r w:rsidR="00C54D75">
        <w:rPr>
          <w:rFonts w:ascii="Sylfaen" w:hAnsi="Sylfaen"/>
          <w:sz w:val="24"/>
          <w:szCs w:val="24"/>
        </w:rPr>
        <w:t>և</w:t>
      </w:r>
      <w:r w:rsidRPr="00BD7577">
        <w:rPr>
          <w:rFonts w:ascii="Sylfaen" w:hAnsi="Sylfaen"/>
          <w:sz w:val="24"/>
          <w:szCs w:val="24"/>
        </w:rPr>
        <w:t xml:space="preserve"> մետա-վերլուծություն):</w:t>
      </w:r>
    </w:p>
    <w:p w14:paraId="5D0E0F27"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Օժանդակ հետազոտությունը:</w:t>
      </w:r>
    </w:p>
    <w:p w14:paraId="7F683D94"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1.20.</w:t>
      </w:r>
      <w:r w:rsidRPr="00BD7577">
        <w:rPr>
          <w:rFonts w:ascii="Sylfaen" w:hAnsi="Sylfaen"/>
          <w:sz w:val="24"/>
          <w:szCs w:val="24"/>
        </w:rPr>
        <w:tab/>
        <w:t>Կլինիկական արդյունավետության վերլուծութունը:</w:t>
      </w:r>
    </w:p>
    <w:p w14:paraId="5D0F64FA"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Կլինիկական հետազոտությունների բովանդակային պլանը </w:t>
      </w:r>
      <w:r w:rsidR="00C54D75">
        <w:rPr>
          <w:rFonts w:ascii="Sylfaen" w:hAnsi="Sylfaen"/>
          <w:sz w:val="24"/>
          <w:szCs w:val="24"/>
        </w:rPr>
        <w:t>և</w:t>
      </w:r>
      <w:r w:rsidRPr="00BD7577">
        <w:rPr>
          <w:rFonts w:ascii="Sylfaen" w:hAnsi="Sylfaen"/>
          <w:sz w:val="24"/>
          <w:szCs w:val="24"/>
        </w:rPr>
        <w:t xml:space="preserve"> անցկացումը:</w:t>
      </w:r>
    </w:p>
    <w:p w14:paraId="32A1C1B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Արդյունավետության վերաբերյալ տվյալները </w:t>
      </w:r>
      <w:r w:rsidR="00C54D75">
        <w:rPr>
          <w:rFonts w:ascii="Sylfaen" w:hAnsi="Sylfaen"/>
          <w:sz w:val="24"/>
          <w:szCs w:val="24"/>
        </w:rPr>
        <w:t>և</w:t>
      </w:r>
      <w:r w:rsidRPr="00BD7577">
        <w:rPr>
          <w:rFonts w:ascii="Sylfaen" w:hAnsi="Sylfaen"/>
          <w:sz w:val="24"/>
          <w:szCs w:val="24"/>
        </w:rPr>
        <w:t xml:space="preserve"> լրացուցիչ վերլուծությունները:</w:t>
      </w:r>
    </w:p>
    <w:p w14:paraId="029206E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1.21.</w:t>
      </w:r>
      <w:r w:rsidRPr="00BD7577">
        <w:rPr>
          <w:rFonts w:ascii="Sylfaen" w:hAnsi="Sylfaen"/>
          <w:sz w:val="24"/>
          <w:szCs w:val="24"/>
        </w:rPr>
        <w:tab/>
        <w:t>Կլինիկական արդյունավետության վերաբերյալ եզրահանգումը:</w:t>
      </w:r>
    </w:p>
    <w:p w14:paraId="371F1825"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1.22.</w:t>
      </w:r>
      <w:r w:rsidRPr="00BD7577">
        <w:rPr>
          <w:rFonts w:ascii="Sylfaen" w:hAnsi="Sylfaen"/>
          <w:sz w:val="24"/>
          <w:szCs w:val="24"/>
        </w:rPr>
        <w:tab/>
        <w:t>Կլինիկական անվտանգությունը:</w:t>
      </w:r>
    </w:p>
    <w:p w14:paraId="3EEE0994" w14:textId="77777777" w:rsidR="008C76E0" w:rsidRPr="00BD7577" w:rsidRDefault="008C76E0" w:rsidP="004B393A">
      <w:pPr>
        <w:tabs>
          <w:tab w:val="left" w:pos="1701"/>
        </w:tabs>
        <w:spacing w:after="160" w:line="360" w:lineRule="auto"/>
        <w:ind w:firstLine="567"/>
        <w:jc w:val="both"/>
        <w:rPr>
          <w:rFonts w:ascii="Sylfaen" w:hAnsi="Sylfaen"/>
          <w:sz w:val="24"/>
          <w:szCs w:val="24"/>
        </w:rPr>
      </w:pPr>
      <w:r w:rsidRPr="00BD7577">
        <w:rPr>
          <w:rFonts w:ascii="Sylfaen" w:hAnsi="Sylfaen"/>
          <w:sz w:val="24"/>
          <w:szCs w:val="24"/>
        </w:rPr>
        <w:t>Պացիենտների վրա ազդեցությունը:</w:t>
      </w:r>
    </w:p>
    <w:p w14:paraId="4CF23DD8"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Անցանկալի եր</w:t>
      </w:r>
      <w:r w:rsidR="00C54D75">
        <w:rPr>
          <w:rFonts w:ascii="Sylfaen" w:hAnsi="Sylfaen"/>
          <w:sz w:val="24"/>
          <w:szCs w:val="24"/>
        </w:rPr>
        <w:t>և</w:t>
      </w:r>
      <w:r w:rsidRPr="00BD7577">
        <w:rPr>
          <w:rFonts w:ascii="Sylfaen" w:hAnsi="Sylfaen"/>
          <w:sz w:val="24"/>
          <w:szCs w:val="24"/>
        </w:rPr>
        <w:t>ույթները:</w:t>
      </w:r>
    </w:p>
    <w:p w14:paraId="043B6176"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 xml:space="preserve">ույթները </w:t>
      </w:r>
      <w:r w:rsidR="00C54D75">
        <w:rPr>
          <w:rFonts w:ascii="Sylfaen" w:hAnsi="Sylfaen"/>
          <w:sz w:val="24"/>
          <w:szCs w:val="24"/>
        </w:rPr>
        <w:t>և</w:t>
      </w:r>
      <w:r w:rsidRPr="00BD7577">
        <w:rPr>
          <w:rFonts w:ascii="Sylfaen" w:hAnsi="Sylfaen"/>
          <w:sz w:val="24"/>
          <w:szCs w:val="24"/>
        </w:rPr>
        <w:t xml:space="preserve"> մահվան ելքով դեպքերը:</w:t>
      </w:r>
    </w:p>
    <w:p w14:paraId="7516A51C"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Լաբորատոր հետազոտությունների տվյալները:</w:t>
      </w:r>
    </w:p>
    <w:p w14:paraId="00C91AB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Բնակչության հատուկ խմբերի մոտ անվտանգությունը:</w:t>
      </w:r>
    </w:p>
    <w:p w14:paraId="3E117AA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Իմունաբանական եր</w:t>
      </w:r>
      <w:r w:rsidR="00C54D75">
        <w:rPr>
          <w:rFonts w:ascii="Sylfaen" w:hAnsi="Sylfaen"/>
          <w:sz w:val="24"/>
          <w:szCs w:val="24"/>
        </w:rPr>
        <w:t>և</w:t>
      </w:r>
      <w:r w:rsidRPr="00BD7577">
        <w:rPr>
          <w:rFonts w:ascii="Sylfaen" w:hAnsi="Sylfaen"/>
          <w:sz w:val="24"/>
          <w:szCs w:val="24"/>
        </w:rPr>
        <w:t>ույթները:</w:t>
      </w:r>
    </w:p>
    <w:p w14:paraId="3F9A17CE"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 xml:space="preserve">Միջդեղային փոխազդեցությունների </w:t>
      </w:r>
      <w:r w:rsidR="00C54D75">
        <w:rPr>
          <w:rFonts w:ascii="Sylfaen" w:hAnsi="Sylfaen"/>
          <w:sz w:val="24"/>
          <w:szCs w:val="24"/>
        </w:rPr>
        <w:t>և</w:t>
      </w:r>
      <w:r w:rsidRPr="00BD7577">
        <w:rPr>
          <w:rFonts w:ascii="Sylfaen" w:hAnsi="Sylfaen"/>
          <w:sz w:val="24"/>
          <w:szCs w:val="24"/>
        </w:rPr>
        <w:t xml:space="preserve"> այլ փոխազդեցությունների հետ կապված անվտանգությունը:</w:t>
      </w:r>
    </w:p>
    <w:p w14:paraId="15900A50"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Լուրջ անցանկալի եր</w:t>
      </w:r>
      <w:r w:rsidR="00C54D75">
        <w:rPr>
          <w:rFonts w:ascii="Sylfaen" w:hAnsi="Sylfaen"/>
          <w:sz w:val="24"/>
          <w:szCs w:val="24"/>
        </w:rPr>
        <w:t>և</w:t>
      </w:r>
      <w:r w:rsidRPr="00BD7577">
        <w:rPr>
          <w:rFonts w:ascii="Sylfaen" w:hAnsi="Sylfaen"/>
          <w:sz w:val="24"/>
          <w:szCs w:val="24"/>
        </w:rPr>
        <w:t>ույթների պատճառով հետազոտության մեջ մասնակցության դադարեցումը:</w:t>
      </w:r>
    </w:p>
    <w:p w14:paraId="51E855A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1.23.</w:t>
      </w:r>
      <w:r w:rsidRPr="00BD7577">
        <w:rPr>
          <w:rFonts w:ascii="Sylfaen" w:hAnsi="Sylfaen"/>
          <w:sz w:val="24"/>
          <w:szCs w:val="24"/>
        </w:rPr>
        <w:tab/>
        <w:t>Կլինիկական անվտանգության շուրջ քննարկումը:</w:t>
      </w:r>
    </w:p>
    <w:p w14:paraId="592C045F" w14:textId="77777777" w:rsidR="008C76E0" w:rsidRPr="00BD7577" w:rsidRDefault="008C76E0" w:rsidP="004B393A">
      <w:pPr>
        <w:tabs>
          <w:tab w:val="left" w:pos="1701"/>
        </w:tabs>
        <w:spacing w:after="160" w:line="360" w:lineRule="auto"/>
        <w:ind w:right="-1" w:firstLine="567"/>
        <w:jc w:val="both"/>
        <w:rPr>
          <w:rFonts w:ascii="Sylfaen" w:hAnsi="Sylfaen"/>
          <w:sz w:val="24"/>
          <w:szCs w:val="24"/>
        </w:rPr>
      </w:pPr>
      <w:r w:rsidRPr="00BD7577">
        <w:rPr>
          <w:rFonts w:ascii="Sylfaen" w:hAnsi="Sylfaen"/>
          <w:sz w:val="24"/>
          <w:szCs w:val="24"/>
        </w:rPr>
        <w:t>1.24.</w:t>
      </w:r>
      <w:r w:rsidRPr="00BD7577">
        <w:rPr>
          <w:rFonts w:ascii="Sylfaen" w:hAnsi="Sylfaen"/>
          <w:sz w:val="24"/>
          <w:szCs w:val="24"/>
        </w:rPr>
        <w:tab/>
        <w:t>Կլինիկական անվտանգության մասով եզրակացությունը:</w:t>
      </w:r>
    </w:p>
    <w:p w14:paraId="08B09CA3" w14:textId="77777777" w:rsidR="008C76E0" w:rsidRPr="00905F38" w:rsidRDefault="008C76E0" w:rsidP="004B393A">
      <w:pPr>
        <w:spacing w:after="160" w:line="360" w:lineRule="auto"/>
        <w:ind w:right="-1" w:firstLine="567"/>
        <w:jc w:val="center"/>
        <w:rPr>
          <w:rFonts w:ascii="Sylfaen" w:hAnsi="Sylfaen"/>
          <w:sz w:val="24"/>
          <w:szCs w:val="24"/>
        </w:rPr>
      </w:pPr>
    </w:p>
    <w:p w14:paraId="7A75D0CF" w14:textId="77777777" w:rsidR="008C76E0" w:rsidRPr="00BD7577" w:rsidRDefault="008C76E0" w:rsidP="004B393A">
      <w:pPr>
        <w:spacing w:after="160" w:line="360" w:lineRule="auto"/>
        <w:ind w:right="-1" w:firstLine="567"/>
        <w:jc w:val="center"/>
        <w:rPr>
          <w:rFonts w:ascii="Sylfaen" w:hAnsi="Sylfaen"/>
          <w:sz w:val="24"/>
          <w:szCs w:val="24"/>
        </w:rPr>
      </w:pPr>
      <w:r w:rsidRPr="00BD7577">
        <w:rPr>
          <w:rFonts w:ascii="Sylfaen" w:hAnsi="Sylfaen"/>
          <w:sz w:val="24"/>
          <w:szCs w:val="24"/>
        </w:rPr>
        <w:lastRenderedPageBreak/>
        <w:t>IV. Դեղազգոնության համակարգը</w:t>
      </w:r>
    </w:p>
    <w:p w14:paraId="14D88CDD" w14:textId="79AD1DE1"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բավարարում է պահանջները </w:t>
      </w:r>
      <w:r w:rsidR="00C54D75">
        <w:rPr>
          <w:rFonts w:ascii="Sylfaen" w:hAnsi="Sylfaen"/>
          <w:b w:val="0"/>
          <w:sz w:val="24"/>
          <w:szCs w:val="24"/>
          <w:lang w:val="hy-AM"/>
        </w:rPr>
        <w:t>և</w:t>
      </w:r>
      <w:r w:rsidRPr="008C76E0">
        <w:rPr>
          <w:rFonts w:ascii="Sylfaen" w:hAnsi="Sylfaen"/>
          <w:b w:val="0"/>
          <w:sz w:val="24"/>
          <w:szCs w:val="24"/>
          <w:lang w:val="hy-AM"/>
        </w:rPr>
        <w:t xml:space="preserve"> համապատասխան ապացույց է հանդիսանում առ այն, որ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ին տրամադրվում են դեղազգոնության համար պատասխանատու լիազորված անձի ծառայությունները, </w:t>
      </w:r>
      <w:r w:rsidR="00C54D75">
        <w:rPr>
          <w:rFonts w:ascii="Sylfaen" w:hAnsi="Sylfaen"/>
          <w:b w:val="0"/>
          <w:sz w:val="24"/>
          <w:szCs w:val="24"/>
          <w:lang w:val="hy-AM"/>
        </w:rPr>
        <w:t>և</w:t>
      </w:r>
      <w:r w:rsidRPr="008C76E0">
        <w:rPr>
          <w:rFonts w:ascii="Sylfaen" w:hAnsi="Sylfaen"/>
          <w:b w:val="0"/>
          <w:sz w:val="24"/>
          <w:szCs w:val="24"/>
          <w:lang w:val="hy-AM"/>
        </w:rPr>
        <w:t xml:space="preserve"> առկա են Եվրասիական տնտեսական միությունում կամ երրորդ երկրում առաջացող ցանկացած ենթադրյալ անցանկալի ռեակցիայի մասին ծանուցման համար անհրաժեշտ միջոցները&gt;:</w:t>
      </w:r>
    </w:p>
    <w:p w14:paraId="52A0B0E8" w14:textId="65602705"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&lt;Փորձագետը համարում է, որ դեղազգոնության համակարգը, որը նկարագրված է </w:t>
      </w:r>
      <w:r w:rsidR="0056496B">
        <w:rPr>
          <w:rFonts w:ascii="Sylfaen" w:hAnsi="Sylfaen"/>
          <w:b w:val="0"/>
          <w:sz w:val="24"/>
          <w:szCs w:val="24"/>
          <w:lang w:val="hy-AM"/>
        </w:rPr>
        <w:t>դիմումատու</w:t>
      </w:r>
      <w:r w:rsidRPr="008C76E0">
        <w:rPr>
          <w:rFonts w:ascii="Sylfaen" w:hAnsi="Sylfaen"/>
          <w:b w:val="0"/>
          <w:sz w:val="24"/>
          <w:szCs w:val="24"/>
          <w:lang w:val="hy-AM"/>
        </w:rPr>
        <w:t>ի կողմից, ունի հետ</w:t>
      </w:r>
      <w:r w:rsidR="00C54D75">
        <w:rPr>
          <w:rFonts w:ascii="Sylfaen" w:hAnsi="Sylfaen"/>
          <w:b w:val="0"/>
          <w:sz w:val="24"/>
          <w:szCs w:val="24"/>
          <w:lang w:val="hy-AM"/>
        </w:rPr>
        <w:t>և</w:t>
      </w:r>
      <w:r w:rsidRPr="008C76E0">
        <w:rPr>
          <w:rFonts w:ascii="Sylfaen" w:hAnsi="Sylfaen"/>
          <w:b w:val="0"/>
          <w:sz w:val="24"/>
          <w:szCs w:val="24"/>
          <w:lang w:val="hy-AM"/>
        </w:rPr>
        <w:t>յալ թերությունները՝ &lt;թերությունների ցանկը&gt;:</w:t>
      </w:r>
    </w:p>
    <w:p w14:paraId="79AF9E14" w14:textId="303DEAC6"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&lt;Հաշվի առնելով, որ թերությունները վերացվում են նախքան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պետք է ներկայացնի համոզիչ տվյալներ առ այն, որ դեղազգոնության համակարգը ընդունվել </w:t>
      </w:r>
      <w:r w:rsidR="00C54D75">
        <w:rPr>
          <w:rFonts w:ascii="Sylfaen" w:hAnsi="Sylfaen"/>
          <w:b w:val="0"/>
          <w:sz w:val="24"/>
          <w:szCs w:val="24"/>
          <w:lang w:val="hy-AM"/>
        </w:rPr>
        <w:t>և</w:t>
      </w:r>
      <w:r w:rsidRPr="008C76E0">
        <w:rPr>
          <w:rFonts w:ascii="Sylfaen" w:hAnsi="Sylfaen"/>
          <w:b w:val="0"/>
          <w:sz w:val="24"/>
          <w:szCs w:val="24"/>
          <w:lang w:val="hy-AM"/>
        </w:rPr>
        <w:t xml:space="preserve"> գործում է&gt;:</w:t>
      </w:r>
    </w:p>
    <w:p w14:paraId="61505163" w14:textId="77777777" w:rsidR="008C76E0" w:rsidRPr="008C76E0" w:rsidRDefault="008C76E0" w:rsidP="004B393A">
      <w:pPr>
        <w:pStyle w:val="Bodytext70"/>
        <w:shd w:val="clear" w:color="auto" w:fill="auto"/>
        <w:tabs>
          <w:tab w:val="left" w:pos="1418"/>
        </w:tabs>
        <w:spacing w:before="0" w:after="160" w:line="360" w:lineRule="auto"/>
        <w:ind w:right="-1"/>
        <w:rPr>
          <w:rFonts w:ascii="Sylfaen" w:hAnsi="Sylfaen"/>
          <w:b w:val="0"/>
          <w:sz w:val="24"/>
          <w:szCs w:val="24"/>
          <w:lang w:val="hy-AM"/>
        </w:rPr>
      </w:pPr>
    </w:p>
    <w:p w14:paraId="614F210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Ռիսկի կառավարման պլանը:</w:t>
      </w:r>
    </w:p>
    <w:p w14:paraId="33B1D54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Դեղազգոնության ոլորտում իրականացվող աշխատանքների համար պատասխանատու կազմակերպչական կառույցների (այսուհետ՝ ԴՈԱՊԿԿ), լիազորված փորձագիտական կազմակերպության մասնագետների կողմից քննարկման համար հարցերը </w:t>
      </w:r>
      <w:r w:rsidR="00C54D75">
        <w:rPr>
          <w:rFonts w:ascii="Sylfaen" w:hAnsi="Sylfaen"/>
          <w:sz w:val="24"/>
          <w:szCs w:val="24"/>
        </w:rPr>
        <w:t>և</w:t>
      </w:r>
      <w:r w:rsidRPr="00BD7577">
        <w:rPr>
          <w:rFonts w:ascii="Sylfaen" w:hAnsi="Sylfaen"/>
          <w:sz w:val="24"/>
          <w:szCs w:val="24"/>
        </w:rPr>
        <w:t xml:space="preserve"> (կամ) խնդիրները ՌԿՊ-ի գնահատման ժամանակ:</w:t>
      </w:r>
    </w:p>
    <w:p w14:paraId="484F6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Դեղամիջոցներ, որոնք ունակ են ունենալու էական ազդեցություն հազվադեպ, կյանքին սպառնացող կամ հաշմանդամության հանգեցնող հիվանդությունների դեպքում:</w:t>
      </w:r>
    </w:p>
    <w:p w14:paraId="29B546FB"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&lt;Ըստ լիազորված մարմնի եզրակացության (&lt;ամսաթիվը&gt; եզրակացությունը) </w:t>
      </w:r>
      <w:r w:rsidRPr="008C76E0">
        <w:rPr>
          <w:rFonts w:ascii="Sylfaen" w:hAnsi="Sylfaen"/>
          <w:b w:val="0"/>
          <w:sz w:val="24"/>
          <w:szCs w:val="24"/>
          <w:lang w:val="hy-AM"/>
        </w:rPr>
        <w:lastRenderedPageBreak/>
        <w:t>դեպքերի հաճախականությունը &lt;նշել վիճակը&gt; կազմում է &lt;ներկայացնել տարածվածությունը&gt; 10 000 մարդու հաշվով &lt;նշել Միության պետության անվանումը&gt;&gt;</w:t>
      </w:r>
    </w:p>
    <w:p w14:paraId="2A70D18B" w14:textId="77777777" w:rsidR="008C76E0" w:rsidRPr="008C76E0" w:rsidRDefault="008C76E0" w:rsidP="004B393A">
      <w:pPr>
        <w:pStyle w:val="Bodytext70"/>
        <w:shd w:val="clear" w:color="auto" w:fill="auto"/>
        <w:tabs>
          <w:tab w:val="left" w:pos="1418"/>
        </w:tabs>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&lt;տվյալներ չկան (Տ/Չ)&gt;:</w:t>
      </w:r>
    </w:p>
    <w:p w14:paraId="45238A7A"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Ռիսկ-օգուտ գնահատումը:</w:t>
      </w:r>
    </w:p>
    <w:p w14:paraId="7F84410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Օգուտը:</w:t>
      </w:r>
    </w:p>
    <w:p w14:paraId="0FBEF000"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էֆեկտները:</w:t>
      </w:r>
    </w:p>
    <w:p w14:paraId="2B09F6A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Դրական էֆեկտների վերաբերյալ գիտելիքներում անորոշությունը:</w:t>
      </w:r>
    </w:p>
    <w:p w14:paraId="38486FE3"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Ռիսկը:</w:t>
      </w:r>
    </w:p>
    <w:p w14:paraId="4DF91DAC"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ներգործությունը:</w:t>
      </w:r>
    </w:p>
    <w:p w14:paraId="68F430E4"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Վնասակար ներգործության վերաբերյալ գիտելիքներում անորոշությունը:</w:t>
      </w:r>
    </w:p>
    <w:p w14:paraId="7B0479C2"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75C00CFF"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 xml:space="preserve">Դրական ազդեցությունների </w:t>
      </w:r>
      <w:r w:rsidR="00C54D75">
        <w:rPr>
          <w:rFonts w:ascii="Sylfaen" w:hAnsi="Sylfaen"/>
          <w:sz w:val="24"/>
          <w:szCs w:val="24"/>
        </w:rPr>
        <w:t>և</w:t>
      </w:r>
      <w:r w:rsidRPr="00BD7577">
        <w:rPr>
          <w:rFonts w:ascii="Sylfaen" w:hAnsi="Sylfaen"/>
          <w:sz w:val="24"/>
          <w:szCs w:val="24"/>
        </w:rPr>
        <w:t xml:space="preserve"> վնասակար ներգործության կար</w:t>
      </w:r>
      <w:r w:rsidR="00C54D75">
        <w:rPr>
          <w:rFonts w:ascii="Sylfaen" w:hAnsi="Sylfaen"/>
          <w:sz w:val="24"/>
          <w:szCs w:val="24"/>
        </w:rPr>
        <w:t>և</w:t>
      </w:r>
      <w:r w:rsidRPr="00BD7577">
        <w:rPr>
          <w:rFonts w:ascii="Sylfaen" w:hAnsi="Sylfaen"/>
          <w:sz w:val="24"/>
          <w:szCs w:val="24"/>
        </w:rPr>
        <w:t>որությունը:</w:t>
      </w:r>
    </w:p>
    <w:p w14:paraId="63BF86D9"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հարաբերակցությունը:</w:t>
      </w:r>
    </w:p>
    <w:p w14:paraId="45A5288B" w14:textId="77777777" w:rsidR="008C76E0" w:rsidRPr="00BD7577" w:rsidRDefault="008C76E0" w:rsidP="004B393A">
      <w:pPr>
        <w:tabs>
          <w:tab w:val="left" w:pos="1418"/>
        </w:tabs>
        <w:spacing w:after="160" w:line="360" w:lineRule="auto"/>
        <w:ind w:right="-1" w:firstLine="567"/>
        <w:jc w:val="both"/>
        <w:rPr>
          <w:rFonts w:ascii="Sylfaen" w:hAnsi="Sylfaen"/>
          <w:sz w:val="24"/>
          <w:szCs w:val="24"/>
        </w:rPr>
      </w:pPr>
      <w:r w:rsidRPr="00BD7577">
        <w:rPr>
          <w:rFonts w:ascii="Sylfaen" w:hAnsi="Sylfaen"/>
          <w:sz w:val="24"/>
          <w:szCs w:val="24"/>
        </w:rPr>
        <w:t>Օգուտ-ռիսկ գնահատման քննարկումը:</w:t>
      </w:r>
    </w:p>
    <w:p w14:paraId="6C11440B"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Եզրակացությունը:</w:t>
      </w:r>
    </w:p>
    <w:p w14:paraId="6D6C5B3F"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BD7577">
        <w:rPr>
          <w:rStyle w:val="Bodytext295pt"/>
          <w:rFonts w:ascii="Sylfaen" w:hAnsi="Sylfaen"/>
          <w:spacing w:val="0"/>
          <w:sz w:val="24"/>
          <w:szCs w:val="24"/>
        </w:rPr>
        <w:t xml:space="preserve">Օգուտ-ռիսկ ընդհանուր հարաբերակցությունը </w:t>
      </w:r>
      <w:r w:rsidRPr="008C76E0">
        <w:rPr>
          <w:rFonts w:ascii="Sylfaen" w:hAnsi="Sylfaen"/>
          <w:b w:val="0"/>
          <w:sz w:val="24"/>
          <w:szCs w:val="24"/>
          <w:lang w:val="hy-AM"/>
        </w:rPr>
        <w:t xml:space="preserve">&lt;նշել դեղամիջոցի անվանումը&gt; համար </w:t>
      </w:r>
      <w:r w:rsidRPr="00BD7577">
        <w:rPr>
          <w:rStyle w:val="Bodytext295pt"/>
          <w:rFonts w:ascii="Sylfaen" w:hAnsi="Sylfaen"/>
          <w:spacing w:val="0"/>
          <w:sz w:val="24"/>
          <w:szCs w:val="24"/>
        </w:rPr>
        <w:t xml:space="preserve">համարվում է </w:t>
      </w:r>
      <w:r w:rsidRPr="008C76E0">
        <w:rPr>
          <w:rFonts w:ascii="Sylfaen" w:hAnsi="Sylfaen"/>
          <w:b w:val="0"/>
          <w:sz w:val="24"/>
          <w:szCs w:val="24"/>
          <w:lang w:val="hy-AM"/>
        </w:rPr>
        <w:t>&lt;դրական&gt;</w:t>
      </w:r>
      <w:r w:rsidRPr="00BD7577">
        <w:rPr>
          <w:rStyle w:val="Bodytext295pt"/>
          <w:rFonts w:ascii="Sylfaen" w:hAnsi="Sylfaen"/>
          <w:spacing w:val="0"/>
          <w:sz w:val="24"/>
          <w:szCs w:val="24"/>
        </w:rPr>
        <w:t>,</w:t>
      </w:r>
    </w:p>
    <w:p w14:paraId="70F5667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&lt;դրական՝ պայմանով, որ &lt;նշել հարաբերակցության դրական լինելը պահպանելու պայմանը</w:t>
      </w:r>
      <w:r w:rsidRPr="00BD7577">
        <w:rPr>
          <w:rStyle w:val="Bodytext295pt"/>
          <w:rFonts w:ascii="Sylfaen" w:hAnsi="Sylfaen"/>
          <w:spacing w:val="0"/>
          <w:sz w:val="24"/>
          <w:szCs w:val="24"/>
        </w:rPr>
        <w:t xml:space="preserve">&gt;&gt;. </w:t>
      </w:r>
      <w:r w:rsidRPr="008C76E0">
        <w:rPr>
          <w:rFonts w:ascii="Sylfaen" w:hAnsi="Sylfaen"/>
          <w:b w:val="0"/>
          <w:sz w:val="24"/>
          <w:szCs w:val="24"/>
          <w:lang w:val="hy-AM"/>
        </w:rPr>
        <w:t>&lt;բացասական&gt;:</w:t>
      </w:r>
    </w:p>
    <w:p w14:paraId="1168B056"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78418345" w14:textId="77777777" w:rsidR="008C76E0" w:rsidRPr="008C76E0" w:rsidRDefault="008C76E0" w:rsidP="004B393A">
      <w:pPr>
        <w:pStyle w:val="Bodytext70"/>
        <w:shd w:val="clear" w:color="auto" w:fill="auto"/>
        <w:tabs>
          <w:tab w:val="left" w:pos="1418"/>
        </w:tabs>
        <w:spacing w:before="0" w:after="160" w:line="360" w:lineRule="auto"/>
        <w:ind w:firstLine="567"/>
        <w:rPr>
          <w:rFonts w:ascii="Sylfaen" w:hAnsi="Sylfaen"/>
          <w:b w:val="0"/>
          <w:sz w:val="24"/>
          <w:szCs w:val="24"/>
          <w:lang w:val="hy-AM"/>
        </w:rPr>
      </w:pPr>
    </w:p>
    <w:p w14:paraId="0455D878" w14:textId="77777777" w:rsidR="008C76E0" w:rsidRPr="00BD7577" w:rsidRDefault="008C76E0" w:rsidP="004B393A">
      <w:pPr>
        <w:tabs>
          <w:tab w:val="left" w:pos="1418"/>
        </w:tabs>
        <w:spacing w:after="160" w:line="360" w:lineRule="auto"/>
        <w:ind w:right="-1" w:firstLine="567"/>
        <w:jc w:val="center"/>
        <w:rPr>
          <w:rFonts w:ascii="Sylfaen" w:hAnsi="Sylfaen"/>
          <w:sz w:val="24"/>
          <w:szCs w:val="24"/>
        </w:rPr>
      </w:pPr>
      <w:r w:rsidRPr="00BD7577">
        <w:rPr>
          <w:rFonts w:ascii="Sylfaen" w:hAnsi="Sylfaen"/>
          <w:sz w:val="24"/>
          <w:szCs w:val="24"/>
        </w:rPr>
        <w:t>V.Փորձագետի դիտողությունների ցանկը</w:t>
      </w:r>
    </w:p>
    <w:p w14:paraId="6C5E245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lastRenderedPageBreak/>
        <w:t>1.</w:t>
      </w:r>
      <w:r w:rsidRPr="00BD7577">
        <w:rPr>
          <w:rFonts w:ascii="Sylfaen" w:hAnsi="Sylfaen"/>
          <w:sz w:val="24"/>
          <w:szCs w:val="24"/>
        </w:rPr>
        <w:tab/>
        <w:t>Մոդուլ 3 (Որակի ասպեկտները):</w:t>
      </w:r>
    </w:p>
    <w:p w14:paraId="72A633DD"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w:t>
      </w:r>
    </w:p>
    <w:p w14:paraId="6D20A01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17AA877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w:t>
      </w:r>
    </w:p>
    <w:p w14:paraId="041BDCD7"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ակտիվ դեղագործական բաղադրամաս. դեղապատրաստուկ:</w:t>
      </w:r>
    </w:p>
    <w:p w14:paraId="3BF3DA34"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Հանձնարարականներ:</w:t>
      </w:r>
    </w:p>
    <w:p w14:paraId="1506DC47"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Մոդուլ 4 (Նախակլինիկական ասպեկտները):</w:t>
      </w:r>
    </w:p>
    <w:p w14:paraId="433D4C09"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Քննադատական դիտողություններ՝ դեղաբանություն. դեղակինետիկա. Թունաբանություն:</w:t>
      </w:r>
    </w:p>
    <w:p w14:paraId="219AD09C" w14:textId="77777777" w:rsidR="008C76E0" w:rsidRPr="00BD7577" w:rsidRDefault="008C76E0" w:rsidP="004B393A">
      <w:pPr>
        <w:tabs>
          <w:tab w:val="left" w:pos="1134"/>
        </w:tabs>
        <w:spacing w:after="160" w:line="360" w:lineRule="auto"/>
        <w:ind w:firstLine="567"/>
        <w:jc w:val="both"/>
        <w:rPr>
          <w:rFonts w:ascii="Sylfaen" w:hAnsi="Sylfaen"/>
          <w:sz w:val="24"/>
          <w:szCs w:val="24"/>
        </w:rPr>
      </w:pPr>
      <w:r w:rsidRPr="00BD7577">
        <w:rPr>
          <w:rFonts w:ascii="Sylfaen" w:hAnsi="Sylfaen"/>
          <w:sz w:val="24"/>
          <w:szCs w:val="24"/>
        </w:rPr>
        <w:t>Այլ դիտողություններ՝ դեղաբանություն. դեղակինետիկա. Թունաբանություն:</w:t>
      </w:r>
    </w:p>
    <w:p w14:paraId="4B41B442"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32AD1BAC"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Մոդուլ 5 (Կլինիկական ասպեկտները):</w:t>
      </w:r>
    </w:p>
    <w:p w14:paraId="360B6B3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Քննադատական դիտողություններ՝ դեղակինետիկա. դեղադինամիկա. արդյունավետություն.</w:t>
      </w:r>
    </w:p>
    <w:p w14:paraId="6F1C7BE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 դեղազգոնության համակարգ:</w:t>
      </w:r>
    </w:p>
    <w:p w14:paraId="32CB7C0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Այլ դիտողություններ՝</w:t>
      </w:r>
    </w:p>
    <w:p w14:paraId="4363053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դեղակինետիկա.</w:t>
      </w:r>
    </w:p>
    <w:p w14:paraId="48CC10E8"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դեղադինամիկա.</w:t>
      </w:r>
    </w:p>
    <w:p w14:paraId="57B16CC5"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արդյունավետություն.</w:t>
      </w:r>
    </w:p>
    <w:p w14:paraId="4CA6AF43"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անվտանգություն.</w:t>
      </w:r>
    </w:p>
    <w:p w14:paraId="319E742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դեղազգոնության համակարգ:</w:t>
      </w:r>
    </w:p>
    <w:p w14:paraId="26DBF68F" w14:textId="77777777" w:rsidR="008C76E0" w:rsidRPr="00BD7577" w:rsidRDefault="008C76E0" w:rsidP="004B393A">
      <w:pPr>
        <w:tabs>
          <w:tab w:val="left" w:pos="1134"/>
          <w:tab w:val="left" w:pos="1418"/>
        </w:tabs>
        <w:spacing w:after="160" w:line="360" w:lineRule="auto"/>
        <w:ind w:right="-1" w:firstLine="567"/>
        <w:jc w:val="both"/>
        <w:rPr>
          <w:rFonts w:ascii="Sylfaen" w:hAnsi="Sylfaen"/>
          <w:sz w:val="24"/>
          <w:szCs w:val="24"/>
        </w:rPr>
      </w:pPr>
      <w:r w:rsidRPr="00BD7577">
        <w:rPr>
          <w:rFonts w:ascii="Sylfaen" w:hAnsi="Sylfaen"/>
          <w:sz w:val="24"/>
          <w:szCs w:val="24"/>
        </w:rPr>
        <w:t>Հանձնարարականներ:</w:t>
      </w:r>
    </w:p>
    <w:p w14:paraId="5F8E8A5D"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4.</w:t>
      </w:r>
      <w:r w:rsidRPr="00BD7577">
        <w:rPr>
          <w:rFonts w:ascii="Sylfaen" w:hAnsi="Sylfaen"/>
          <w:sz w:val="24"/>
          <w:szCs w:val="24"/>
        </w:rPr>
        <w:tab/>
        <w:t>Նոր ակտիվ նյութի կարգավիճակը:</w:t>
      </w:r>
    </w:p>
    <w:p w14:paraId="7A5EF762"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lastRenderedPageBreak/>
        <w:t xml:space="preserve">VI. Գրանցման հավաստագրի տրամադրման </w:t>
      </w:r>
      <w:r w:rsidR="00C54D75">
        <w:rPr>
          <w:rFonts w:ascii="Sylfaen" w:hAnsi="Sylfaen"/>
          <w:sz w:val="24"/>
          <w:szCs w:val="24"/>
        </w:rPr>
        <w:t>և</w:t>
      </w:r>
      <w:r w:rsidRPr="00BD7577">
        <w:rPr>
          <w:rFonts w:ascii="Sylfaen" w:hAnsi="Sylfaen"/>
          <w:sz w:val="24"/>
          <w:szCs w:val="24"/>
        </w:rPr>
        <w:t xml:space="preserve"> ԴԸԲ-ն, ԲԿՀ-ն (ՆԹ-ն) հաստատելու համար առաջարկվող լրացուցիչ պայմանները</w:t>
      </w:r>
    </w:p>
    <w:p w14:paraId="2845767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Գրանցման հավաստագրի տրամադրման լրացուցիչ պայմանները:</w:t>
      </w:r>
    </w:p>
    <w:p w14:paraId="0BDF9E69"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2.</w:t>
      </w:r>
      <w:r w:rsidRPr="00BD7577">
        <w:rPr>
          <w:rFonts w:ascii="Sylfaen" w:hAnsi="Sylfaen"/>
          <w:sz w:val="24"/>
          <w:szCs w:val="24"/>
        </w:rPr>
        <w:tab/>
        <w:t>Դեղապատրաստուկի ընդհանուր բնութագրի (ԴԸԲ) խմբագրությունը հաստատելու հնարավորությունը:</w:t>
      </w:r>
    </w:p>
    <w:p w14:paraId="1CCCE56F"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3.</w:t>
      </w:r>
      <w:r w:rsidRPr="00BD7577">
        <w:rPr>
          <w:rFonts w:ascii="Sylfaen" w:hAnsi="Sylfaen"/>
          <w:sz w:val="24"/>
          <w:szCs w:val="24"/>
        </w:rPr>
        <w:tab/>
        <w:t>Մականշվածքը:</w:t>
      </w:r>
    </w:p>
    <w:p w14:paraId="7B8A8B24"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 xml:space="preserve">4. Դեղամիջոցի բժշկական կիրառման հրահանգը (ներդիր թերթիկը) </w:t>
      </w:r>
      <w:r w:rsidRPr="00BD7577">
        <w:rPr>
          <w:rFonts w:ascii="Sylfaen" w:hAnsi="Sylfaen"/>
          <w:sz w:val="24"/>
          <w:szCs w:val="24"/>
        </w:rPr>
        <w:br/>
        <w:t>(ԲԿՀ (ՆԹ)):</w:t>
      </w:r>
    </w:p>
    <w:p w14:paraId="0D08F0A6"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5.</w:t>
      </w:r>
      <w:r w:rsidRPr="00BD7577">
        <w:rPr>
          <w:rFonts w:ascii="Sylfaen" w:hAnsi="Sylfaen"/>
          <w:sz w:val="24"/>
          <w:szCs w:val="24"/>
        </w:rPr>
        <w:tab/>
        <w:t>Օգտագործողների թեստավորման գնահատումը (տե՛ս սույն հաշվետվության VII բաժինը):</w:t>
      </w:r>
    </w:p>
    <w:p w14:paraId="2B04BA7E"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p>
    <w:p w14:paraId="6F73315D"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VII. Օգտագործողների թեստավորման արդյունքների քննարկման համար փաստաթղթերի որակի ստուգման թերթ</w:t>
      </w:r>
    </w:p>
    <w:tbl>
      <w:tblPr>
        <w:tblOverlap w:val="never"/>
        <w:tblW w:w="9667" w:type="dxa"/>
        <w:jc w:val="center"/>
        <w:tblLayout w:type="fixed"/>
        <w:tblCellMar>
          <w:left w:w="10" w:type="dxa"/>
          <w:right w:w="10" w:type="dxa"/>
        </w:tblCellMar>
        <w:tblLook w:val="04A0" w:firstRow="1" w:lastRow="0" w:firstColumn="1" w:lastColumn="0" w:noHBand="0" w:noVBand="1"/>
      </w:tblPr>
      <w:tblGrid>
        <w:gridCol w:w="5787"/>
        <w:gridCol w:w="3880"/>
      </w:tblGrid>
      <w:tr w:rsidR="008C76E0" w:rsidRPr="00BD7577" w14:paraId="0B1A7571" w14:textId="77777777" w:rsidTr="008C76E0">
        <w:trPr>
          <w:jc w:val="center"/>
        </w:trPr>
        <w:tc>
          <w:tcPr>
            <w:tcW w:w="9667" w:type="dxa"/>
            <w:gridSpan w:val="2"/>
            <w:shd w:val="clear" w:color="auto" w:fill="FFFFFF"/>
          </w:tcPr>
          <w:p w14:paraId="3139A277"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sz w:val="24"/>
                <w:szCs w:val="24"/>
              </w:rPr>
            </w:pPr>
            <w:r w:rsidRPr="00BD7577">
              <w:rPr>
                <w:rStyle w:val="Bodytext295pt"/>
                <w:rFonts w:ascii="Sylfaen" w:hAnsi="Sylfaen"/>
                <w:spacing w:val="0"/>
                <w:sz w:val="24"/>
                <w:szCs w:val="24"/>
              </w:rPr>
              <w:t>1.Տեղեկություններ՝ արտադրատեսակի վերաբերյալ</w:t>
            </w:r>
          </w:p>
        </w:tc>
      </w:tr>
      <w:tr w:rsidR="008C76E0" w:rsidRPr="00BD7577" w14:paraId="3A83E3D4" w14:textId="77777777" w:rsidTr="008C76E0">
        <w:trPr>
          <w:jc w:val="center"/>
        </w:trPr>
        <w:tc>
          <w:tcPr>
            <w:tcW w:w="5787" w:type="dxa"/>
            <w:tcBorders>
              <w:top w:val="single" w:sz="4" w:space="0" w:color="auto"/>
              <w:left w:val="single" w:sz="4" w:space="0" w:color="auto"/>
            </w:tcBorders>
            <w:shd w:val="clear" w:color="auto" w:fill="FFFFFF"/>
          </w:tcPr>
          <w:p w14:paraId="11182B19"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Դեղապատրաստուկի անվանումը</w:t>
            </w:r>
          </w:p>
        </w:tc>
        <w:tc>
          <w:tcPr>
            <w:tcW w:w="3880" w:type="dxa"/>
            <w:tcBorders>
              <w:top w:val="single" w:sz="4" w:space="0" w:color="auto"/>
              <w:left w:val="single" w:sz="4" w:space="0" w:color="auto"/>
              <w:right w:val="single" w:sz="4" w:space="0" w:color="auto"/>
            </w:tcBorders>
            <w:shd w:val="clear" w:color="auto" w:fill="FFFFFF"/>
          </w:tcPr>
          <w:p w14:paraId="673A16A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7E66289" w14:textId="77777777" w:rsidTr="008C76E0">
        <w:trPr>
          <w:jc w:val="center"/>
        </w:trPr>
        <w:tc>
          <w:tcPr>
            <w:tcW w:w="5787" w:type="dxa"/>
            <w:tcBorders>
              <w:top w:val="single" w:sz="4" w:space="0" w:color="auto"/>
              <w:left w:val="single" w:sz="4" w:space="0" w:color="auto"/>
            </w:tcBorders>
            <w:shd w:val="clear" w:color="auto" w:fill="FFFFFF"/>
          </w:tcPr>
          <w:p w14:paraId="70C809B7" w14:textId="718092DD" w:rsidR="008C76E0" w:rsidRPr="00BD7577" w:rsidRDefault="0056496B" w:rsidP="008C76E0">
            <w:pPr>
              <w:pStyle w:val="Bodytext180"/>
              <w:shd w:val="clear" w:color="auto" w:fill="auto"/>
              <w:spacing w:before="0" w:after="120" w:line="240" w:lineRule="auto"/>
              <w:ind w:left="147" w:right="91" w:firstLine="5"/>
              <w:jc w:val="both"/>
              <w:rPr>
                <w:rFonts w:ascii="Sylfaen" w:hAnsi="Sylfaen"/>
                <w:b w:val="0"/>
                <w:sz w:val="24"/>
                <w:szCs w:val="24"/>
              </w:rPr>
            </w:pPr>
            <w:r>
              <w:rPr>
                <w:rStyle w:val="Bodytext295pt"/>
                <w:rFonts w:ascii="Sylfaen" w:hAnsi="Sylfaen"/>
                <w:spacing w:val="0"/>
                <w:sz w:val="24"/>
                <w:szCs w:val="24"/>
              </w:rPr>
              <w:t>Դիմումատու</w:t>
            </w:r>
            <w:r w:rsidR="008C76E0" w:rsidRPr="00BD7577">
              <w:rPr>
                <w:rStyle w:val="Bodytext295pt"/>
                <w:rFonts w:ascii="Sylfaen" w:hAnsi="Sylfaen"/>
                <w:spacing w:val="0"/>
                <w:sz w:val="24"/>
                <w:szCs w:val="24"/>
              </w:rPr>
              <w:t xml:space="preserve">ի անվանումը </w:t>
            </w:r>
            <w:r w:rsidR="00C54D75">
              <w:rPr>
                <w:rStyle w:val="Bodytext295pt"/>
                <w:rFonts w:ascii="Sylfaen" w:hAnsi="Sylfaen"/>
                <w:spacing w:val="0"/>
                <w:sz w:val="24"/>
                <w:szCs w:val="24"/>
              </w:rPr>
              <w:t>և</w:t>
            </w:r>
            <w:r w:rsidR="008C76E0" w:rsidRPr="00BD7577">
              <w:rPr>
                <w:rStyle w:val="Bodytext295pt"/>
                <w:rFonts w:ascii="Sylfaen" w:hAnsi="Sylfaen"/>
                <w:spacing w:val="0"/>
                <w:sz w:val="24"/>
                <w:szCs w:val="24"/>
              </w:rPr>
              <w:t xml:space="preserve"> հասցեն</w:t>
            </w:r>
          </w:p>
        </w:tc>
        <w:tc>
          <w:tcPr>
            <w:tcW w:w="3880" w:type="dxa"/>
            <w:tcBorders>
              <w:top w:val="single" w:sz="4" w:space="0" w:color="auto"/>
              <w:left w:val="single" w:sz="4" w:space="0" w:color="auto"/>
              <w:right w:val="single" w:sz="4" w:space="0" w:color="auto"/>
            </w:tcBorders>
            <w:shd w:val="clear" w:color="auto" w:fill="FFFFFF"/>
          </w:tcPr>
          <w:p w14:paraId="4529992E"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BC8ADE8" w14:textId="77777777" w:rsidTr="008C76E0">
        <w:trPr>
          <w:jc w:val="center"/>
        </w:trPr>
        <w:tc>
          <w:tcPr>
            <w:tcW w:w="5787" w:type="dxa"/>
            <w:tcBorders>
              <w:top w:val="single" w:sz="4" w:space="0" w:color="auto"/>
              <w:left w:val="single" w:sz="4" w:space="0" w:color="auto"/>
            </w:tcBorders>
            <w:shd w:val="clear" w:color="auto" w:fill="FFFFFF"/>
            <w:vAlign w:val="bottom"/>
          </w:tcPr>
          <w:p w14:paraId="0C5F0008"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Օգտագործողների թեստավորում անցկացնող ընկերության անվանումը</w:t>
            </w:r>
          </w:p>
        </w:tc>
        <w:tc>
          <w:tcPr>
            <w:tcW w:w="3880" w:type="dxa"/>
            <w:tcBorders>
              <w:top w:val="single" w:sz="4" w:space="0" w:color="auto"/>
              <w:left w:val="single" w:sz="4" w:space="0" w:color="auto"/>
              <w:right w:val="single" w:sz="4" w:space="0" w:color="auto"/>
            </w:tcBorders>
            <w:shd w:val="clear" w:color="auto" w:fill="FFFFFF"/>
          </w:tcPr>
          <w:p w14:paraId="3390F9B7"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1AADFE8" w14:textId="77777777" w:rsidTr="008C76E0">
        <w:trPr>
          <w:jc w:val="center"/>
        </w:trPr>
        <w:tc>
          <w:tcPr>
            <w:tcW w:w="5787" w:type="dxa"/>
            <w:tcBorders>
              <w:top w:val="single" w:sz="4" w:space="0" w:color="auto"/>
              <w:left w:val="single" w:sz="4" w:space="0" w:color="auto"/>
            </w:tcBorders>
            <w:shd w:val="clear" w:color="auto" w:fill="FFFFFF"/>
            <w:vAlign w:val="bottom"/>
          </w:tcPr>
          <w:p w14:paraId="3CC4819C" w14:textId="643E60E0"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Գրանցման հավաստագիր ստանալու վերաբերյալ </w:t>
            </w:r>
            <w:r w:rsidR="0056496B">
              <w:rPr>
                <w:rStyle w:val="Bodytext295pt"/>
                <w:rFonts w:ascii="Sylfaen" w:hAnsi="Sylfaen"/>
                <w:spacing w:val="0"/>
                <w:sz w:val="24"/>
                <w:szCs w:val="24"/>
              </w:rPr>
              <w:t>դիմում</w:t>
            </w:r>
            <w:r w:rsidRPr="00BD7577">
              <w:rPr>
                <w:rStyle w:val="Bodytext295pt"/>
                <w:rFonts w:ascii="Sylfaen" w:hAnsi="Sylfaen"/>
                <w:spacing w:val="0"/>
                <w:sz w:val="24"/>
                <w:szCs w:val="24"/>
              </w:rPr>
              <w:t>ի տիպը</w:t>
            </w:r>
          </w:p>
        </w:tc>
        <w:tc>
          <w:tcPr>
            <w:tcW w:w="3880" w:type="dxa"/>
            <w:tcBorders>
              <w:top w:val="single" w:sz="4" w:space="0" w:color="auto"/>
              <w:left w:val="single" w:sz="4" w:space="0" w:color="auto"/>
              <w:right w:val="single" w:sz="4" w:space="0" w:color="auto"/>
            </w:tcBorders>
            <w:shd w:val="clear" w:color="auto" w:fill="FFFFFF"/>
          </w:tcPr>
          <w:p w14:paraId="59AD1FD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54B797AE" w14:textId="77777777" w:rsidTr="008C76E0">
        <w:trPr>
          <w:jc w:val="center"/>
        </w:trPr>
        <w:tc>
          <w:tcPr>
            <w:tcW w:w="5787" w:type="dxa"/>
            <w:tcBorders>
              <w:top w:val="single" w:sz="4" w:space="0" w:color="auto"/>
              <w:left w:val="single" w:sz="4" w:space="0" w:color="auto"/>
            </w:tcBorders>
            <w:shd w:val="clear" w:color="auto" w:fill="FFFFFF"/>
          </w:tcPr>
          <w:p w14:paraId="735CA397"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ՄՉԱ-ն</w:t>
            </w:r>
          </w:p>
        </w:tc>
        <w:tc>
          <w:tcPr>
            <w:tcW w:w="3880" w:type="dxa"/>
            <w:tcBorders>
              <w:top w:val="single" w:sz="4" w:space="0" w:color="auto"/>
              <w:left w:val="single" w:sz="4" w:space="0" w:color="auto"/>
              <w:right w:val="single" w:sz="4" w:space="0" w:color="auto"/>
            </w:tcBorders>
            <w:shd w:val="clear" w:color="auto" w:fill="FFFFFF"/>
          </w:tcPr>
          <w:p w14:paraId="43FCCFA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AFCD2D1" w14:textId="77777777" w:rsidTr="008C76E0">
        <w:trPr>
          <w:jc w:val="center"/>
        </w:trPr>
        <w:tc>
          <w:tcPr>
            <w:tcW w:w="5787" w:type="dxa"/>
            <w:tcBorders>
              <w:top w:val="single" w:sz="4" w:space="0" w:color="auto"/>
              <w:left w:val="single" w:sz="4" w:space="0" w:color="auto"/>
            </w:tcBorders>
            <w:shd w:val="clear" w:color="auto" w:fill="FFFFFF"/>
            <w:vAlign w:val="bottom"/>
          </w:tcPr>
          <w:p w14:paraId="2242CFC5"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Դեղաթերապ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խումբը (ԱԲՔ (ATХ) ծածկագիրը)</w:t>
            </w:r>
          </w:p>
        </w:tc>
        <w:tc>
          <w:tcPr>
            <w:tcW w:w="3880" w:type="dxa"/>
            <w:tcBorders>
              <w:top w:val="single" w:sz="4" w:space="0" w:color="auto"/>
              <w:left w:val="single" w:sz="4" w:space="0" w:color="auto"/>
              <w:right w:val="single" w:sz="4" w:space="0" w:color="auto"/>
            </w:tcBorders>
            <w:shd w:val="clear" w:color="auto" w:fill="FFFFFF"/>
          </w:tcPr>
          <w:p w14:paraId="78297F12"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7168047" w14:textId="77777777" w:rsidTr="008C76E0">
        <w:trPr>
          <w:jc w:val="center"/>
        </w:trPr>
        <w:tc>
          <w:tcPr>
            <w:tcW w:w="5787" w:type="dxa"/>
            <w:tcBorders>
              <w:top w:val="single" w:sz="4" w:space="0" w:color="auto"/>
              <w:left w:val="single" w:sz="4" w:space="0" w:color="auto"/>
            </w:tcBorders>
            <w:shd w:val="clear" w:color="auto" w:fill="FFFFFF"/>
          </w:tcPr>
          <w:p w14:paraId="003090BE"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Թերապ</w:t>
            </w:r>
            <w:r w:rsidR="00C54D75">
              <w:rPr>
                <w:rStyle w:val="Bodytext295pt"/>
                <w:rFonts w:ascii="Sylfaen" w:hAnsi="Sylfaen"/>
                <w:spacing w:val="0"/>
                <w:sz w:val="24"/>
                <w:szCs w:val="24"/>
              </w:rPr>
              <w:t>և</w:t>
            </w:r>
            <w:r w:rsidRPr="00BD7577">
              <w:rPr>
                <w:rStyle w:val="Bodytext295pt"/>
                <w:rFonts w:ascii="Sylfaen" w:hAnsi="Sylfaen"/>
                <w:spacing w:val="0"/>
                <w:sz w:val="24"/>
                <w:szCs w:val="24"/>
              </w:rPr>
              <w:t>տիկ ցուցումները</w:t>
            </w:r>
          </w:p>
        </w:tc>
        <w:tc>
          <w:tcPr>
            <w:tcW w:w="3880" w:type="dxa"/>
            <w:tcBorders>
              <w:top w:val="single" w:sz="4" w:space="0" w:color="auto"/>
              <w:left w:val="single" w:sz="4" w:space="0" w:color="auto"/>
              <w:right w:val="single" w:sz="4" w:space="0" w:color="auto"/>
            </w:tcBorders>
            <w:shd w:val="clear" w:color="auto" w:fill="FFFFFF"/>
          </w:tcPr>
          <w:p w14:paraId="622D836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B2B4426" w14:textId="77777777" w:rsidTr="008C76E0">
        <w:trPr>
          <w:jc w:val="center"/>
        </w:trPr>
        <w:tc>
          <w:tcPr>
            <w:tcW w:w="5787" w:type="dxa"/>
            <w:tcBorders>
              <w:top w:val="single" w:sz="4" w:space="0" w:color="auto"/>
              <w:left w:val="single" w:sz="4" w:space="0" w:color="auto"/>
            </w:tcBorders>
            <w:shd w:val="clear" w:color="auto" w:fill="FFFFFF"/>
          </w:tcPr>
          <w:p w14:paraId="0543E9B4" w14:textId="77777777" w:rsidR="008C76E0" w:rsidRPr="00BD7577" w:rsidRDefault="008C76E0" w:rsidP="008C76E0">
            <w:pPr>
              <w:pStyle w:val="Bodytext180"/>
              <w:shd w:val="clear" w:color="auto" w:fill="auto"/>
              <w:spacing w:before="0" w:after="120" w:line="240" w:lineRule="auto"/>
              <w:ind w:left="147" w:right="91" w:firstLine="5"/>
              <w:jc w:val="both"/>
              <w:rPr>
                <w:rFonts w:ascii="Sylfaen" w:hAnsi="Sylfaen"/>
                <w:b w:val="0"/>
                <w:sz w:val="24"/>
                <w:szCs w:val="24"/>
              </w:rPr>
            </w:pPr>
            <w:r w:rsidRPr="00BD7577">
              <w:rPr>
                <w:rStyle w:val="Bodytext295pt"/>
                <w:rFonts w:ascii="Sylfaen" w:hAnsi="Sylfaen"/>
                <w:spacing w:val="0"/>
                <w:sz w:val="24"/>
                <w:szCs w:val="24"/>
              </w:rPr>
              <w:t>Հազվադեպ կիրառվող (որբ) պատրաստուկ</w:t>
            </w:r>
          </w:p>
        </w:tc>
        <w:tc>
          <w:tcPr>
            <w:tcW w:w="3880" w:type="dxa"/>
            <w:tcBorders>
              <w:top w:val="single" w:sz="4" w:space="0" w:color="auto"/>
              <w:left w:val="single" w:sz="4" w:space="0" w:color="auto"/>
              <w:right w:val="single" w:sz="4" w:space="0" w:color="auto"/>
            </w:tcBorders>
            <w:shd w:val="clear" w:color="auto" w:fill="FFFFFF"/>
          </w:tcPr>
          <w:p w14:paraId="196963ED"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43B197C3" w14:textId="77777777" w:rsidTr="008C76E0">
        <w:trPr>
          <w:jc w:val="center"/>
        </w:trPr>
        <w:tc>
          <w:tcPr>
            <w:tcW w:w="5787" w:type="dxa"/>
            <w:tcBorders>
              <w:top w:val="single" w:sz="4" w:space="0" w:color="auto"/>
              <w:left w:val="single" w:sz="4" w:space="0" w:color="auto"/>
              <w:bottom w:val="single" w:sz="4" w:space="0" w:color="auto"/>
            </w:tcBorders>
            <w:shd w:val="clear" w:color="auto" w:fill="FFFFFF"/>
          </w:tcPr>
          <w:p w14:paraId="45E269D4" w14:textId="77777777" w:rsidR="008C76E0" w:rsidRDefault="008C76E0" w:rsidP="008C76E0">
            <w:pPr>
              <w:pStyle w:val="Bodytext180"/>
              <w:shd w:val="clear" w:color="auto" w:fill="auto"/>
              <w:spacing w:before="0" w:after="120" w:line="240" w:lineRule="auto"/>
              <w:ind w:left="147" w:right="91" w:firstLine="5"/>
              <w:jc w:val="both"/>
              <w:rPr>
                <w:rStyle w:val="Bodytext295pt"/>
                <w:rFonts w:ascii="Sylfaen" w:hAnsi="Sylfaen"/>
                <w:spacing w:val="0"/>
                <w:sz w:val="24"/>
                <w:szCs w:val="24"/>
                <w:lang w:val="en-US"/>
              </w:rPr>
            </w:pPr>
            <w:r w:rsidRPr="00BD7577">
              <w:rPr>
                <w:rStyle w:val="Bodytext295pt"/>
                <w:rFonts w:ascii="Sylfaen" w:hAnsi="Sylfaen"/>
                <w:spacing w:val="0"/>
                <w:sz w:val="24"/>
                <w:szCs w:val="24"/>
              </w:rPr>
              <w:t>Փորձագետ</w:t>
            </w:r>
          </w:p>
          <w:p w14:paraId="1A02C5F5" w14:textId="77777777" w:rsidR="00DB2544" w:rsidRPr="00DB2544" w:rsidRDefault="00DB2544" w:rsidP="008C76E0">
            <w:pPr>
              <w:pStyle w:val="Bodytext180"/>
              <w:shd w:val="clear" w:color="auto" w:fill="auto"/>
              <w:spacing w:before="0" w:after="120" w:line="240" w:lineRule="auto"/>
              <w:ind w:left="147" w:right="91" w:firstLine="5"/>
              <w:jc w:val="both"/>
              <w:rPr>
                <w:rFonts w:ascii="Sylfaen" w:hAnsi="Sylfaen"/>
                <w:b w:val="0"/>
                <w:sz w:val="24"/>
                <w:szCs w:val="24"/>
              </w:rPr>
            </w:pPr>
          </w:p>
        </w:tc>
        <w:tc>
          <w:tcPr>
            <w:tcW w:w="3880" w:type="dxa"/>
            <w:tcBorders>
              <w:top w:val="single" w:sz="4" w:space="0" w:color="auto"/>
              <w:left w:val="single" w:sz="4" w:space="0" w:color="auto"/>
              <w:bottom w:val="single" w:sz="4" w:space="0" w:color="auto"/>
              <w:right w:val="single" w:sz="4" w:space="0" w:color="auto"/>
            </w:tcBorders>
            <w:shd w:val="clear" w:color="auto" w:fill="FFFFFF"/>
          </w:tcPr>
          <w:p w14:paraId="7770F69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D0FD606" w14:textId="77777777" w:rsidTr="008C76E0">
        <w:trPr>
          <w:jc w:val="center"/>
        </w:trPr>
        <w:tc>
          <w:tcPr>
            <w:tcW w:w="5787" w:type="dxa"/>
            <w:tcBorders>
              <w:top w:val="single" w:sz="4" w:space="0" w:color="auto"/>
            </w:tcBorders>
            <w:shd w:val="clear" w:color="auto" w:fill="FFFFFF"/>
            <w:vAlign w:val="bottom"/>
          </w:tcPr>
          <w:p w14:paraId="0F17ECA2" w14:textId="77777777" w:rsidR="008C76E0" w:rsidRPr="008C76E0" w:rsidRDefault="008C76E0" w:rsidP="008C76E0">
            <w:pPr>
              <w:pStyle w:val="Bodytext180"/>
              <w:shd w:val="clear" w:color="auto" w:fill="auto"/>
              <w:spacing w:before="0" w:after="120" w:line="240" w:lineRule="auto"/>
              <w:ind w:left="147" w:right="91" w:firstLine="5"/>
              <w:jc w:val="both"/>
              <w:rPr>
                <w:rFonts w:ascii="Sylfaen" w:hAnsi="Sylfaen"/>
                <w:b w:val="0"/>
                <w:sz w:val="24"/>
                <w:szCs w:val="24"/>
                <w:lang w:val="hy-AM"/>
              </w:rPr>
            </w:pPr>
            <w:r w:rsidRPr="00BD7577">
              <w:rPr>
                <w:rStyle w:val="Bodytext295pt"/>
                <w:rFonts w:ascii="Sylfaen" w:hAnsi="Sylfaen"/>
                <w:spacing w:val="0"/>
                <w:sz w:val="24"/>
                <w:szCs w:val="24"/>
              </w:rPr>
              <w:t xml:space="preserve">Ներկայացվել է օգտագործողների թեստավորման </w:t>
            </w:r>
            <w:r w:rsidRPr="00BD7577">
              <w:rPr>
                <w:rStyle w:val="Bodytext295pt"/>
                <w:rFonts w:ascii="Sylfaen" w:hAnsi="Sylfaen"/>
                <w:spacing w:val="0"/>
                <w:sz w:val="24"/>
                <w:szCs w:val="24"/>
              </w:rPr>
              <w:lastRenderedPageBreak/>
              <w:t>ամբողջական հաշվետվությունը</w:t>
            </w:r>
          </w:p>
        </w:tc>
        <w:tc>
          <w:tcPr>
            <w:tcW w:w="3880" w:type="dxa"/>
            <w:tcBorders>
              <w:top w:val="single" w:sz="4" w:space="0" w:color="auto"/>
            </w:tcBorders>
            <w:shd w:val="clear" w:color="auto" w:fill="FFFFFF"/>
          </w:tcPr>
          <w:p w14:paraId="23DDBFB2"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lastRenderedPageBreak/>
              <w:t>□ այո □ ոչ</w:t>
            </w:r>
          </w:p>
        </w:tc>
      </w:tr>
      <w:tr w:rsidR="008C76E0" w:rsidRPr="00BD7577" w14:paraId="2DBB1E67" w14:textId="77777777" w:rsidTr="008C76E0">
        <w:trPr>
          <w:jc w:val="center"/>
        </w:trPr>
        <w:tc>
          <w:tcPr>
            <w:tcW w:w="5787" w:type="dxa"/>
            <w:shd w:val="clear" w:color="auto" w:fill="FFFFFF"/>
            <w:vAlign w:val="center"/>
          </w:tcPr>
          <w:p w14:paraId="33926D29" w14:textId="77777777" w:rsidR="008C76E0" w:rsidRPr="00BD7577" w:rsidRDefault="008C76E0" w:rsidP="008C76E0">
            <w:pPr>
              <w:pStyle w:val="Bodytext180"/>
              <w:shd w:val="clear" w:color="auto" w:fill="auto"/>
              <w:spacing w:before="0" w:after="120" w:line="240" w:lineRule="auto"/>
              <w:ind w:right="91" w:firstLine="567"/>
              <w:jc w:val="both"/>
              <w:rPr>
                <w:rFonts w:ascii="Sylfaen" w:hAnsi="Sylfaen"/>
                <w:b w:val="0"/>
                <w:sz w:val="24"/>
                <w:szCs w:val="24"/>
              </w:rPr>
            </w:pPr>
            <w:r w:rsidRPr="00BD7577">
              <w:rPr>
                <w:rStyle w:val="Bodytext295pt"/>
                <w:rFonts w:ascii="Sylfaen" w:hAnsi="Sylfaen"/>
                <w:spacing w:val="0"/>
                <w:sz w:val="24"/>
                <w:szCs w:val="24"/>
              </w:rPr>
              <w:t xml:space="preserve">Ներկայացվել է ամփոփ հաշվետվությունը </w:t>
            </w:r>
          </w:p>
        </w:tc>
        <w:tc>
          <w:tcPr>
            <w:tcW w:w="3880" w:type="dxa"/>
            <w:shd w:val="clear" w:color="auto" w:fill="FFFFFF"/>
          </w:tcPr>
          <w:p w14:paraId="13729497" w14:textId="77777777" w:rsidR="008C76E0" w:rsidRPr="00BD7577" w:rsidRDefault="008C76E0" w:rsidP="008C76E0">
            <w:pPr>
              <w:pStyle w:val="Bodytext180"/>
              <w:shd w:val="clear" w:color="auto" w:fill="auto"/>
              <w:spacing w:before="0" w:after="120" w:line="240" w:lineRule="auto"/>
              <w:ind w:firstLine="567"/>
              <w:jc w:val="both"/>
              <w:rPr>
                <w:rFonts w:ascii="Sylfaen" w:hAnsi="Sylfaen"/>
                <w:b w:val="0"/>
                <w:sz w:val="24"/>
                <w:szCs w:val="24"/>
              </w:rPr>
            </w:pPr>
            <w:r w:rsidRPr="00BD7577">
              <w:rPr>
                <w:rStyle w:val="Bodytext295pt"/>
                <w:rFonts w:ascii="Sylfaen" w:hAnsi="Sylfaen"/>
                <w:spacing w:val="0"/>
                <w:sz w:val="24"/>
                <w:szCs w:val="24"/>
              </w:rPr>
              <w:t>□ այո □ ոչ</w:t>
            </w:r>
          </w:p>
        </w:tc>
      </w:tr>
      <w:tr w:rsidR="008C76E0" w:rsidRPr="00BD7577" w14:paraId="7F35A534" w14:textId="77777777" w:rsidTr="008C76E0">
        <w:trPr>
          <w:jc w:val="center"/>
        </w:trPr>
        <w:tc>
          <w:tcPr>
            <w:tcW w:w="9667" w:type="dxa"/>
            <w:gridSpan w:val="2"/>
            <w:shd w:val="clear" w:color="auto" w:fill="FFFFFF"/>
            <w:vAlign w:val="center"/>
          </w:tcPr>
          <w:p w14:paraId="7E8A1C12" w14:textId="77777777" w:rsidR="008C76E0" w:rsidRPr="008C76E0" w:rsidRDefault="008C76E0" w:rsidP="008C76E0">
            <w:pPr>
              <w:pStyle w:val="Bodytext180"/>
              <w:shd w:val="clear" w:color="auto" w:fill="auto"/>
              <w:spacing w:before="0" w:after="120" w:line="240" w:lineRule="auto"/>
              <w:ind w:firstLine="567"/>
              <w:jc w:val="both"/>
              <w:rPr>
                <w:rFonts w:ascii="Sylfaen" w:hAnsi="Sylfaen"/>
                <w:b w:val="0"/>
                <w:sz w:val="24"/>
                <w:szCs w:val="24"/>
                <w:lang w:val="hy-AM"/>
              </w:rPr>
            </w:pPr>
            <w:r w:rsidRPr="00BD7577">
              <w:rPr>
                <w:rStyle w:val="Bodytext295pt"/>
                <w:rFonts w:ascii="Sylfaen" w:hAnsi="Sylfaen"/>
                <w:spacing w:val="0"/>
                <w:sz w:val="24"/>
                <w:szCs w:val="24"/>
              </w:rPr>
              <w:t>Հիմնավորումից ելնելով՝ կապակցող թեստավորման հիմքերը.</w:t>
            </w:r>
          </w:p>
          <w:p w14:paraId="1363E9C2"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լրացումներ՝ ներմուծման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նույն եղանակի համար</w:t>
            </w:r>
          </w:p>
          <w:p w14:paraId="7B0B7DD5"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նույն դասի դեղապատրաստուկի թեստին</w:t>
            </w:r>
          </w:p>
          <w:p w14:paraId="02E743BA" w14:textId="77777777" w:rsidR="008C76E0" w:rsidRPr="008C76E0" w:rsidRDefault="008C76E0" w:rsidP="008C76E0">
            <w:pPr>
              <w:pStyle w:val="Bodytext180"/>
              <w:shd w:val="clear" w:color="auto" w:fill="auto"/>
              <w:spacing w:before="0" w:after="120" w:line="240" w:lineRule="auto"/>
              <w:ind w:left="573"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հղում՝ անվտանգության հետ կապված մի</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նույն հարցերով թեստին </w:t>
            </w:r>
          </w:p>
          <w:p w14:paraId="7D1DE70C" w14:textId="77777777" w:rsidR="008C76E0" w:rsidRPr="00BD7577" w:rsidRDefault="008C76E0" w:rsidP="008C76E0">
            <w:pPr>
              <w:pStyle w:val="Bodytext180"/>
              <w:shd w:val="clear" w:color="auto" w:fill="auto"/>
              <w:spacing w:before="0" w:after="120" w:line="240" w:lineRule="auto"/>
              <w:ind w:left="573"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այլ</w:t>
            </w:r>
          </w:p>
        </w:tc>
      </w:tr>
      <w:tr w:rsidR="008C76E0" w:rsidRPr="00BD7577" w14:paraId="6032E633" w14:textId="77777777" w:rsidTr="008C76E0">
        <w:trPr>
          <w:jc w:val="center"/>
        </w:trPr>
        <w:tc>
          <w:tcPr>
            <w:tcW w:w="5787" w:type="dxa"/>
            <w:shd w:val="clear" w:color="auto" w:fill="FFFFFF"/>
            <w:vAlign w:val="bottom"/>
          </w:tcPr>
          <w:p w14:paraId="480FB7BF" w14:textId="77777777" w:rsidR="008C76E0" w:rsidRPr="00BD7577" w:rsidRDefault="008C76E0" w:rsidP="008C76E0">
            <w:pPr>
              <w:spacing w:after="120" w:line="240" w:lineRule="auto"/>
              <w:ind w:left="5" w:right="130" w:firstLine="5"/>
              <w:jc w:val="both"/>
              <w:rPr>
                <w:rFonts w:ascii="Sylfaen" w:hAnsi="Sylfaen"/>
                <w:b/>
                <w:sz w:val="24"/>
                <w:szCs w:val="24"/>
              </w:rPr>
            </w:pPr>
            <w:r w:rsidRPr="00BD7577">
              <w:rPr>
                <w:rStyle w:val="Bodytext295pt"/>
                <w:rFonts w:ascii="Sylfaen" w:eastAsiaTheme="minorHAnsi" w:hAnsi="Sylfaen"/>
                <w:b w:val="0"/>
                <w:spacing w:val="0"/>
                <w:sz w:val="24"/>
                <w:szCs w:val="24"/>
              </w:rPr>
              <w:t>Արդյո՞ք կապակցող թեստավորման հիմնավորումն ընդունելի է։ (Եթե չի ներկայացվել օգտագործողների թեստավորման ամբողջական հաշվետվություն կամ ամփոփ հաշվետվություն, ապա անհրաժեշտ է ներկայացնել</w:t>
            </w:r>
            <w:r w:rsidRPr="00BD7577">
              <w:rPr>
                <w:rFonts w:ascii="Sylfaen" w:hAnsi="Sylfaen"/>
                <w:b/>
                <w:sz w:val="24"/>
                <w:szCs w:val="24"/>
              </w:rPr>
              <w:t xml:space="preserve"> </w:t>
            </w:r>
            <w:r w:rsidRPr="00150F98">
              <w:rPr>
                <w:rFonts w:ascii="Sylfaen" w:hAnsi="Sylfaen"/>
                <w:sz w:val="24"/>
                <w:szCs w:val="24"/>
              </w:rPr>
              <w:t>հիմնավորում)</w:t>
            </w:r>
          </w:p>
          <w:p w14:paraId="1E08FDF8" w14:textId="77777777" w:rsidR="008C76E0" w:rsidRPr="008C76E0" w:rsidRDefault="008C76E0" w:rsidP="008C76E0">
            <w:pPr>
              <w:pStyle w:val="Bodytext180"/>
              <w:shd w:val="clear" w:color="auto" w:fill="auto"/>
              <w:spacing w:before="0" w:after="120" w:line="240" w:lineRule="auto"/>
              <w:ind w:left="5" w:firstLine="567"/>
              <w:jc w:val="both"/>
              <w:rPr>
                <w:rFonts w:ascii="Sylfaen" w:hAnsi="Sylfaen"/>
                <w:b w:val="0"/>
                <w:sz w:val="24"/>
                <w:szCs w:val="24"/>
                <w:lang w:val="hy-AM"/>
              </w:rPr>
            </w:pPr>
          </w:p>
        </w:tc>
        <w:tc>
          <w:tcPr>
            <w:tcW w:w="3880" w:type="dxa"/>
            <w:shd w:val="clear" w:color="auto" w:fill="FFFFFF"/>
          </w:tcPr>
          <w:p w14:paraId="5A03D5EE" w14:textId="77777777" w:rsidR="008C76E0" w:rsidRPr="00BD7577" w:rsidRDefault="008C76E0" w:rsidP="008C76E0">
            <w:pPr>
              <w:pStyle w:val="Bodytext180"/>
              <w:shd w:val="clear" w:color="auto" w:fill="auto"/>
              <w:spacing w:before="0" w:after="120" w:line="240" w:lineRule="auto"/>
              <w:ind w:firstLine="567"/>
              <w:jc w:val="both"/>
              <w:rPr>
                <w:rFonts w:ascii="Sylfaen" w:hAnsi="Sylfaen"/>
                <w:sz w:val="24"/>
                <w:szCs w:val="24"/>
              </w:rPr>
            </w:pPr>
            <w:r w:rsidRPr="00BD7577">
              <w:rPr>
                <w:rStyle w:val="Bodytext295pt"/>
                <w:rFonts w:ascii="Sylfaen" w:hAnsi="Sylfaen"/>
                <w:spacing w:val="0"/>
                <w:sz w:val="24"/>
                <w:szCs w:val="24"/>
              </w:rPr>
              <w:t>□ այո □ ոչ</w:t>
            </w:r>
          </w:p>
        </w:tc>
      </w:tr>
      <w:tr w:rsidR="008C76E0" w:rsidRPr="00BD7577" w14:paraId="7BCD95FC" w14:textId="77777777" w:rsidTr="008C76E0">
        <w:trPr>
          <w:jc w:val="center"/>
        </w:trPr>
        <w:tc>
          <w:tcPr>
            <w:tcW w:w="5787" w:type="dxa"/>
            <w:shd w:val="clear" w:color="auto" w:fill="FFFFFF"/>
            <w:vAlign w:val="bottom"/>
          </w:tcPr>
          <w:p w14:paraId="1BB60B18" w14:textId="77777777" w:rsidR="008C76E0" w:rsidRPr="00BD7577" w:rsidRDefault="008C76E0" w:rsidP="008C76E0">
            <w:pPr>
              <w:spacing w:after="120" w:line="240" w:lineRule="auto"/>
              <w:ind w:left="65"/>
              <w:jc w:val="both"/>
              <w:rPr>
                <w:rFonts w:ascii="Sylfaen" w:hAnsi="Sylfaen"/>
                <w:sz w:val="24"/>
                <w:szCs w:val="24"/>
              </w:rPr>
            </w:pPr>
            <w:r w:rsidRPr="00BD7577">
              <w:rPr>
                <w:rFonts w:ascii="Sylfaen" w:hAnsi="Sylfaen"/>
                <w:sz w:val="24"/>
                <w:szCs w:val="24"/>
              </w:rPr>
              <w:t xml:space="preserve">Արդյո՞ք հաշվետվություն չներկայացնելու հիմնավորումն ընդունելի է։ </w:t>
            </w:r>
          </w:p>
          <w:p w14:paraId="31D46605" w14:textId="77777777" w:rsidR="008C76E0" w:rsidRPr="00BD7577" w:rsidRDefault="008C76E0" w:rsidP="008C76E0">
            <w:pPr>
              <w:spacing w:after="120" w:line="240" w:lineRule="auto"/>
              <w:ind w:left="65"/>
              <w:jc w:val="both"/>
              <w:rPr>
                <w:rStyle w:val="Bodytext295pt"/>
                <w:rFonts w:ascii="Sylfaen" w:eastAsiaTheme="minorHAnsi" w:hAnsi="Sylfaen"/>
                <w:b w:val="0"/>
                <w:spacing w:val="0"/>
                <w:sz w:val="24"/>
                <w:szCs w:val="24"/>
              </w:rPr>
            </w:pPr>
            <w:r w:rsidRPr="00BD7577">
              <w:rPr>
                <w:rFonts w:ascii="Sylfaen" w:hAnsi="Sylfaen"/>
                <w:sz w:val="24"/>
                <w:szCs w:val="24"/>
              </w:rPr>
              <w:t>(Օրինակ՝ ներմուծումը միայն հիվանդանոցային պայմաններում, ներմուծումը միայն բժշկական ոլորտի մասնագետի կողմից, որակի ստուգման վերաբերյալ փաստաթղթերի ձ</w:t>
            </w:r>
            <w:r w:rsidR="00C54D75">
              <w:rPr>
                <w:rFonts w:ascii="Sylfaen" w:hAnsi="Sylfaen"/>
                <w:sz w:val="24"/>
                <w:szCs w:val="24"/>
              </w:rPr>
              <w:t>և</w:t>
            </w:r>
            <w:r w:rsidRPr="00BD7577">
              <w:rPr>
                <w:rFonts w:ascii="Sylfaen" w:hAnsi="Sylfaen"/>
                <w:sz w:val="24"/>
                <w:szCs w:val="24"/>
              </w:rPr>
              <w:t>անմուշներին համապատասխանությունը, տ</w:t>
            </w:r>
            <w:r w:rsidR="00C54D75">
              <w:rPr>
                <w:rFonts w:ascii="Sylfaen" w:hAnsi="Sylfaen"/>
                <w:sz w:val="24"/>
                <w:szCs w:val="24"/>
              </w:rPr>
              <w:t>և</w:t>
            </w:r>
            <w:r w:rsidRPr="00BD7577">
              <w:rPr>
                <w:rFonts w:ascii="Sylfaen" w:hAnsi="Sylfaen"/>
                <w:sz w:val="24"/>
                <w:szCs w:val="24"/>
              </w:rPr>
              <w:t>ական ժամանակի ընթացքում պատրաստուկի կիրառման ուսումնասիրությունը)</w:t>
            </w:r>
          </w:p>
        </w:tc>
        <w:tc>
          <w:tcPr>
            <w:tcW w:w="3880" w:type="dxa"/>
            <w:shd w:val="clear" w:color="auto" w:fill="FFFFFF"/>
          </w:tcPr>
          <w:p w14:paraId="3C5AA08A" w14:textId="77777777" w:rsidR="008C76E0" w:rsidRPr="00BD7577" w:rsidRDefault="008C76E0" w:rsidP="008C76E0">
            <w:pPr>
              <w:pStyle w:val="Bodytext180"/>
              <w:shd w:val="clear" w:color="auto" w:fill="auto"/>
              <w:spacing w:before="0" w:after="120" w:line="240" w:lineRule="auto"/>
              <w:ind w:firstLine="567"/>
              <w:jc w:val="both"/>
              <w:rPr>
                <w:rStyle w:val="Bodytext295pt"/>
                <w:rFonts w:ascii="Sylfaen" w:hAnsi="Sylfaen"/>
                <w:spacing w:val="0"/>
                <w:sz w:val="24"/>
                <w:szCs w:val="24"/>
              </w:rPr>
            </w:pPr>
            <w:r w:rsidRPr="00BD7577">
              <w:rPr>
                <w:rFonts w:ascii="Sylfaen" w:hAnsi="Sylfaen"/>
                <w:b w:val="0"/>
                <w:sz w:val="24"/>
                <w:szCs w:val="24"/>
              </w:rPr>
              <w:t>□ այո □ ոչ</w:t>
            </w:r>
          </w:p>
        </w:tc>
      </w:tr>
    </w:tbl>
    <w:p w14:paraId="18FFEC2B" w14:textId="77777777" w:rsidR="008C76E0" w:rsidRPr="00BD7577" w:rsidRDefault="008C76E0" w:rsidP="008C76E0">
      <w:pPr>
        <w:ind w:right="-1" w:firstLine="567"/>
        <w:jc w:val="both"/>
        <w:rPr>
          <w:rFonts w:ascii="Sylfaen" w:hAnsi="Sylfaen"/>
          <w:sz w:val="24"/>
          <w:szCs w:val="24"/>
        </w:rPr>
      </w:pPr>
    </w:p>
    <w:p w14:paraId="2D13FEC5" w14:textId="77777777" w:rsidR="008C76E0" w:rsidRPr="008C76E0" w:rsidRDefault="008C76E0" w:rsidP="008C76E0">
      <w:pPr>
        <w:pStyle w:val="Bodytext70"/>
        <w:shd w:val="clear" w:color="auto" w:fill="auto"/>
        <w:spacing w:before="0" w:after="160" w:line="360" w:lineRule="auto"/>
        <w:ind w:right="-1" w:firstLine="567"/>
        <w:rPr>
          <w:rFonts w:ascii="Sylfaen" w:hAnsi="Sylfaen"/>
          <w:b w:val="0"/>
          <w:sz w:val="24"/>
          <w:szCs w:val="24"/>
          <w:lang w:val="hy-AM"/>
        </w:rPr>
      </w:pPr>
      <w:r w:rsidRPr="00150F98">
        <w:rPr>
          <w:rStyle w:val="Bodytext295pt"/>
          <w:rFonts w:ascii="Sylfaen" w:hAnsi="Sylfaen"/>
          <w:i w:val="0"/>
          <w:spacing w:val="0"/>
          <w:sz w:val="24"/>
          <w:szCs w:val="24"/>
        </w:rPr>
        <w:t>Պատճառները</w:t>
      </w:r>
      <w:r w:rsidRPr="00BD7577">
        <w:rPr>
          <w:rStyle w:val="Bodytext295pt"/>
          <w:rFonts w:ascii="Sylfaen" w:hAnsi="Sylfaen"/>
          <w:spacing w:val="0"/>
          <w:sz w:val="24"/>
          <w:szCs w:val="24"/>
        </w:rPr>
        <w:t xml:space="preserve"> </w:t>
      </w:r>
      <w:r w:rsidRPr="008C76E0">
        <w:rPr>
          <w:rFonts w:ascii="Sylfaen" w:hAnsi="Sylfaen"/>
          <w:b w:val="0"/>
          <w:sz w:val="24"/>
          <w:szCs w:val="24"/>
          <w:lang w:val="hy-AM"/>
        </w:rPr>
        <w:t>[(ամփոփ) հաշվետվության հիմնավորման ընդունելի լինելու կամ չլինելու վերաբերյալ փորձագետների կարծիքները՝ (ամփոփ) հաշվետվության հիմնավորման գնահատումը]</w:t>
      </w:r>
    </w:p>
    <w:p w14:paraId="73219A8A" w14:textId="77777777" w:rsidR="008C76E0" w:rsidRDefault="008C76E0" w:rsidP="008C76E0">
      <w:pPr>
        <w:pStyle w:val="Bodytext70"/>
        <w:shd w:val="clear" w:color="auto" w:fill="auto"/>
        <w:spacing w:before="0" w:after="160" w:line="360" w:lineRule="auto"/>
        <w:ind w:right="-1"/>
        <w:rPr>
          <w:rFonts w:ascii="Sylfaen" w:hAnsi="Sylfaen"/>
          <w:b w:val="0"/>
          <w:sz w:val="24"/>
          <w:szCs w:val="24"/>
        </w:rPr>
      </w:pPr>
      <w:r w:rsidRPr="00BD7577">
        <w:rPr>
          <w:rFonts w:ascii="Sylfaen" w:hAnsi="Sylfaen"/>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6885"/>
        <w:gridCol w:w="1616"/>
        <w:gridCol w:w="1675"/>
        <w:gridCol w:w="10"/>
      </w:tblGrid>
      <w:tr w:rsidR="008C76E0" w:rsidRPr="00BD7577" w14:paraId="0D133976" w14:textId="77777777" w:rsidTr="008C76E0">
        <w:trPr>
          <w:jc w:val="center"/>
        </w:trPr>
        <w:tc>
          <w:tcPr>
            <w:tcW w:w="10186" w:type="dxa"/>
            <w:gridSpan w:val="4"/>
            <w:shd w:val="clear" w:color="auto" w:fill="FFFFFF"/>
          </w:tcPr>
          <w:p w14:paraId="6B328B34" w14:textId="77777777" w:rsidR="008C76E0" w:rsidRPr="00BD7577" w:rsidRDefault="008C76E0" w:rsidP="008C76E0">
            <w:pPr>
              <w:tabs>
                <w:tab w:val="left" w:pos="1426"/>
              </w:tabs>
              <w:ind w:right="-1" w:firstLine="567"/>
              <w:jc w:val="center"/>
              <w:rPr>
                <w:rFonts w:ascii="Sylfaen" w:hAnsi="Sylfaen"/>
                <w:b/>
                <w:i/>
                <w:sz w:val="24"/>
                <w:szCs w:val="24"/>
              </w:rPr>
            </w:pPr>
            <w:r w:rsidRPr="00BD7577">
              <w:rPr>
                <w:rStyle w:val="Bodytext295pt"/>
                <w:rFonts w:ascii="Sylfaen" w:eastAsia="MS Mincho" w:hAnsi="Sylfaen"/>
                <w:b w:val="0"/>
                <w:spacing w:val="0"/>
                <w:sz w:val="24"/>
                <w:szCs w:val="24"/>
              </w:rPr>
              <w:t>1.Տեխնիկական գնահատումը</w:t>
            </w:r>
          </w:p>
        </w:tc>
      </w:tr>
      <w:tr w:rsidR="008C76E0" w:rsidRPr="00BD7577" w14:paraId="62B500A7" w14:textId="77777777" w:rsidTr="008C76E0">
        <w:trPr>
          <w:jc w:val="center"/>
        </w:trPr>
        <w:tc>
          <w:tcPr>
            <w:tcW w:w="8501" w:type="dxa"/>
            <w:gridSpan w:val="2"/>
            <w:shd w:val="clear" w:color="auto" w:fill="FFFFFF"/>
            <w:vAlign w:val="bottom"/>
          </w:tcPr>
          <w:p w14:paraId="3590292D" w14:textId="77777777" w:rsidR="008C76E0" w:rsidRPr="008C76E0" w:rsidRDefault="008C76E0" w:rsidP="008C76E0">
            <w:pPr>
              <w:pStyle w:val="Bodytext180"/>
              <w:shd w:val="clear" w:color="auto" w:fill="auto"/>
              <w:tabs>
                <w:tab w:val="left" w:pos="1129"/>
              </w:tabs>
              <w:spacing w:before="0" w:after="160" w:line="360" w:lineRule="auto"/>
              <w:ind w:right="-1" w:firstLine="567"/>
              <w:rPr>
                <w:rFonts w:ascii="Sylfaen" w:hAnsi="Sylfaen"/>
                <w:b w:val="0"/>
                <w:sz w:val="24"/>
                <w:szCs w:val="24"/>
                <w:lang w:val="hy-AM"/>
              </w:rPr>
            </w:pPr>
            <w:r w:rsidRPr="00BD7577">
              <w:rPr>
                <w:rStyle w:val="Bodytext295pt"/>
                <w:rFonts w:ascii="Sylfaen" w:hAnsi="Sylfaen"/>
                <w:spacing w:val="0"/>
                <w:sz w:val="24"/>
                <w:szCs w:val="24"/>
              </w:rPr>
              <w:lastRenderedPageBreak/>
              <w:t>1.1.</w:t>
            </w:r>
            <w:r w:rsidRPr="00150F98">
              <w:rPr>
                <w:rStyle w:val="Bodytext295pt"/>
                <w:rFonts w:ascii="Sylfaen" w:hAnsi="Sylfaen"/>
                <w:spacing w:val="0"/>
                <w:sz w:val="24"/>
                <w:szCs w:val="24"/>
              </w:rPr>
              <w:tab/>
            </w:r>
            <w:r w:rsidRPr="00BD7577">
              <w:rPr>
                <w:rStyle w:val="Bodytext295pt"/>
                <w:rFonts w:ascii="Sylfaen" w:hAnsi="Sylfaen"/>
                <w:spacing w:val="0"/>
                <w:sz w:val="24"/>
                <w:szCs w:val="24"/>
              </w:rPr>
              <w:t>Հավաքագրումը</w:t>
            </w:r>
          </w:p>
          <w:p w14:paraId="76887DDC" w14:textId="77777777" w:rsidR="008C76E0" w:rsidRPr="00BD7577" w:rsidRDefault="008C76E0" w:rsidP="008C76E0">
            <w:pPr>
              <w:pStyle w:val="Bodytext180"/>
              <w:shd w:val="clear" w:color="auto" w:fill="auto"/>
              <w:tabs>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Արդյո՞ք ընդունելի է հարցմանը մասնակցած պոպուլյացիան։ Մեկնաբանություններ (լրացուցիչ տեղեկատվություն)</w:t>
            </w:r>
          </w:p>
        </w:tc>
        <w:tc>
          <w:tcPr>
            <w:tcW w:w="1685" w:type="dxa"/>
            <w:gridSpan w:val="2"/>
            <w:shd w:val="clear" w:color="auto" w:fill="FFFFFF"/>
          </w:tcPr>
          <w:p w14:paraId="6D514AF1"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9722EB2" w14:textId="77777777" w:rsidTr="008C76E0">
        <w:trPr>
          <w:jc w:val="center"/>
        </w:trPr>
        <w:tc>
          <w:tcPr>
            <w:tcW w:w="8501" w:type="dxa"/>
            <w:gridSpan w:val="2"/>
            <w:shd w:val="clear" w:color="auto" w:fill="FFFFFF"/>
            <w:vAlign w:val="center"/>
          </w:tcPr>
          <w:p w14:paraId="54E6DF4F" w14:textId="77777777" w:rsidR="008C76E0" w:rsidRPr="00BD7577" w:rsidRDefault="008C76E0" w:rsidP="008C76E0">
            <w:pPr>
              <w:pStyle w:val="Bodytext180"/>
              <w:shd w:val="clear" w:color="auto" w:fill="auto"/>
              <w:tabs>
                <w:tab w:val="left" w:pos="1141"/>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1.2.</w:t>
            </w:r>
            <w:r w:rsidRPr="00BD7577">
              <w:rPr>
                <w:rFonts w:ascii="Sylfaen" w:hAnsi="Sylfaen"/>
                <w:sz w:val="24"/>
                <w:szCs w:val="24"/>
              </w:rPr>
              <w:tab/>
            </w:r>
            <w:r w:rsidRPr="00BD7577">
              <w:rPr>
                <w:rStyle w:val="Bodytext295pt"/>
                <w:rFonts w:ascii="Sylfaen" w:hAnsi="Sylfaen"/>
                <w:spacing w:val="0"/>
                <w:sz w:val="24"/>
                <w:szCs w:val="24"/>
              </w:rPr>
              <w:t>Հարցաշար</w:t>
            </w:r>
          </w:p>
        </w:tc>
        <w:tc>
          <w:tcPr>
            <w:tcW w:w="1685" w:type="dxa"/>
            <w:gridSpan w:val="2"/>
            <w:shd w:val="clear" w:color="auto" w:fill="FFFFFF"/>
          </w:tcPr>
          <w:p w14:paraId="3811AEF8" w14:textId="77777777" w:rsidR="008C76E0" w:rsidRPr="00BD7577" w:rsidRDefault="008C76E0" w:rsidP="008C76E0">
            <w:pPr>
              <w:ind w:left="197" w:right="124" w:firstLine="12"/>
              <w:jc w:val="both"/>
              <w:rPr>
                <w:rFonts w:ascii="Sylfaen" w:hAnsi="Sylfaen"/>
                <w:sz w:val="24"/>
                <w:szCs w:val="24"/>
              </w:rPr>
            </w:pPr>
          </w:p>
        </w:tc>
      </w:tr>
      <w:tr w:rsidR="008C76E0" w:rsidRPr="00BD7577" w14:paraId="1706929F" w14:textId="77777777" w:rsidTr="008C76E0">
        <w:trPr>
          <w:jc w:val="center"/>
        </w:trPr>
        <w:tc>
          <w:tcPr>
            <w:tcW w:w="8501" w:type="dxa"/>
            <w:gridSpan w:val="2"/>
            <w:shd w:val="clear" w:color="auto" w:fill="FFFFFF"/>
            <w:vAlign w:val="center"/>
          </w:tcPr>
          <w:p w14:paraId="4C762AE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 քանակը բավարար է: Արդյո՞ք հարցերը ներառում են ՆԹ-ի կար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որ ասպեկտները (անվտանգությունը)։</w:t>
            </w:r>
          </w:p>
        </w:tc>
        <w:tc>
          <w:tcPr>
            <w:tcW w:w="1685" w:type="dxa"/>
            <w:gridSpan w:val="2"/>
            <w:shd w:val="clear" w:color="auto" w:fill="FFFFFF"/>
            <w:vAlign w:val="center"/>
          </w:tcPr>
          <w:p w14:paraId="6C5870ED"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17F116D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7A18FD06" w14:textId="77777777" w:rsidTr="008C76E0">
        <w:trPr>
          <w:jc w:val="center"/>
        </w:trPr>
        <w:tc>
          <w:tcPr>
            <w:tcW w:w="8501" w:type="dxa"/>
            <w:gridSpan w:val="2"/>
            <w:shd w:val="clear" w:color="auto" w:fill="FFFFFF"/>
            <w:vAlign w:val="bottom"/>
          </w:tcPr>
          <w:p w14:paraId="7233A70A"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429C1D33" w14:textId="77777777" w:rsidR="008C76E0" w:rsidRPr="00BD7577" w:rsidRDefault="008C76E0" w:rsidP="008C76E0">
            <w:pPr>
              <w:ind w:left="197" w:right="124" w:firstLine="12"/>
              <w:jc w:val="both"/>
              <w:rPr>
                <w:rFonts w:ascii="Sylfaen" w:hAnsi="Sylfaen"/>
                <w:sz w:val="24"/>
                <w:szCs w:val="24"/>
              </w:rPr>
            </w:pPr>
          </w:p>
        </w:tc>
      </w:tr>
      <w:tr w:rsidR="008C76E0" w:rsidRPr="00BD7577" w14:paraId="79C29473" w14:textId="77777777" w:rsidTr="008C76E0">
        <w:trPr>
          <w:jc w:val="center"/>
        </w:trPr>
        <w:tc>
          <w:tcPr>
            <w:tcW w:w="8501" w:type="dxa"/>
            <w:gridSpan w:val="2"/>
            <w:shd w:val="clear" w:color="auto" w:fill="FFFFFF"/>
            <w:vAlign w:val="center"/>
          </w:tcPr>
          <w:p w14:paraId="2BAFC4A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1.3.</w:t>
            </w:r>
            <w:r w:rsidRPr="00BD7577">
              <w:rPr>
                <w:rFonts w:ascii="Sylfaen" w:hAnsi="Sylfaen"/>
                <w:sz w:val="24"/>
                <w:szCs w:val="24"/>
              </w:rPr>
              <w:tab/>
            </w:r>
            <w:r w:rsidRPr="00BD7577">
              <w:rPr>
                <w:rStyle w:val="Bodytext295pt"/>
                <w:rFonts w:ascii="Sylfaen" w:hAnsi="Sylfaen"/>
                <w:spacing w:val="0"/>
                <w:sz w:val="24"/>
                <w:szCs w:val="24"/>
              </w:rPr>
              <w:t>Ժամանակային ասպեկտները</w:t>
            </w:r>
          </w:p>
        </w:tc>
        <w:tc>
          <w:tcPr>
            <w:tcW w:w="1685" w:type="dxa"/>
            <w:gridSpan w:val="2"/>
            <w:shd w:val="clear" w:color="auto" w:fill="FFFFFF"/>
          </w:tcPr>
          <w:p w14:paraId="1118A6C5" w14:textId="77777777" w:rsidR="008C76E0" w:rsidRPr="00BD7577" w:rsidRDefault="008C76E0" w:rsidP="008C76E0">
            <w:pPr>
              <w:ind w:left="197" w:right="124" w:firstLine="12"/>
              <w:jc w:val="both"/>
              <w:rPr>
                <w:rFonts w:ascii="Sylfaen" w:hAnsi="Sylfaen"/>
                <w:sz w:val="24"/>
                <w:szCs w:val="24"/>
              </w:rPr>
            </w:pPr>
          </w:p>
        </w:tc>
      </w:tr>
      <w:tr w:rsidR="008C76E0" w:rsidRPr="00BD7577" w14:paraId="4C16FC9E" w14:textId="77777777" w:rsidTr="008C76E0">
        <w:trPr>
          <w:jc w:val="center"/>
        </w:trPr>
        <w:tc>
          <w:tcPr>
            <w:tcW w:w="8501" w:type="dxa"/>
            <w:gridSpan w:val="2"/>
            <w:shd w:val="clear" w:color="auto" w:fill="FFFFFF"/>
            <w:vAlign w:val="center"/>
          </w:tcPr>
          <w:p w14:paraId="38C60B8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ողությունն ընդունելի է։</w:t>
            </w:r>
          </w:p>
        </w:tc>
        <w:tc>
          <w:tcPr>
            <w:tcW w:w="1685" w:type="dxa"/>
            <w:gridSpan w:val="2"/>
            <w:shd w:val="clear" w:color="auto" w:fill="FFFFFF"/>
            <w:vAlign w:val="center"/>
          </w:tcPr>
          <w:p w14:paraId="20B4BE04"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50EA6AFB"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6B6DD273" w14:textId="77777777" w:rsidTr="008C76E0">
        <w:trPr>
          <w:jc w:val="center"/>
        </w:trPr>
        <w:tc>
          <w:tcPr>
            <w:tcW w:w="8501" w:type="dxa"/>
            <w:gridSpan w:val="2"/>
            <w:shd w:val="clear" w:color="auto" w:fill="FFFFFF"/>
            <w:vAlign w:val="bottom"/>
          </w:tcPr>
          <w:p w14:paraId="28E626A5" w14:textId="77777777" w:rsidR="008C76E0" w:rsidRPr="00BD7577" w:rsidRDefault="008C76E0" w:rsidP="008C76E0">
            <w:pPr>
              <w:pStyle w:val="Bodytext180"/>
              <w:shd w:val="clear" w:color="auto" w:fill="auto"/>
              <w:tabs>
                <w:tab w:val="left" w:pos="1141"/>
                <w:tab w:val="left" w:pos="1412"/>
              </w:tabs>
              <w:spacing w:before="0" w:after="160" w:line="360" w:lineRule="auto"/>
              <w:ind w:left="136" w:right="208" w:firstLine="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85" w:type="dxa"/>
            <w:gridSpan w:val="2"/>
            <w:shd w:val="clear" w:color="auto" w:fill="FFFFFF"/>
          </w:tcPr>
          <w:p w14:paraId="20655B57" w14:textId="77777777" w:rsidR="008C76E0" w:rsidRPr="00BD7577" w:rsidRDefault="008C76E0" w:rsidP="008C76E0">
            <w:pPr>
              <w:ind w:left="197" w:right="124" w:firstLine="12"/>
              <w:jc w:val="both"/>
              <w:rPr>
                <w:rFonts w:ascii="Sylfaen" w:hAnsi="Sylfaen"/>
                <w:sz w:val="24"/>
                <w:szCs w:val="24"/>
              </w:rPr>
            </w:pPr>
          </w:p>
        </w:tc>
      </w:tr>
      <w:tr w:rsidR="008C76E0" w:rsidRPr="00BD7577" w14:paraId="006B2132" w14:textId="77777777" w:rsidTr="008C76E0">
        <w:trPr>
          <w:gridAfter w:val="1"/>
          <w:wAfter w:w="10" w:type="dxa"/>
          <w:jc w:val="center"/>
        </w:trPr>
        <w:tc>
          <w:tcPr>
            <w:tcW w:w="8501" w:type="dxa"/>
            <w:gridSpan w:val="2"/>
            <w:shd w:val="clear" w:color="auto" w:fill="FFFFFF"/>
          </w:tcPr>
          <w:p w14:paraId="6F2F684E"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1.4.</w:t>
            </w:r>
            <w:r w:rsidRPr="00BD7577">
              <w:rPr>
                <w:rFonts w:ascii="Sylfaen" w:hAnsi="Sylfaen"/>
                <w:sz w:val="24"/>
                <w:szCs w:val="24"/>
              </w:rPr>
              <w:tab/>
            </w:r>
            <w:r w:rsidRPr="00BD7577">
              <w:rPr>
                <w:rStyle w:val="Bodytext295pt"/>
                <w:rFonts w:ascii="Sylfaen" w:hAnsi="Sylfaen"/>
                <w:spacing w:val="0"/>
                <w:sz w:val="24"/>
                <w:szCs w:val="24"/>
              </w:rPr>
              <w:t xml:space="preserve"> Ընթացակարգային ասպեկտները</w:t>
            </w:r>
          </w:p>
        </w:tc>
        <w:tc>
          <w:tcPr>
            <w:tcW w:w="1675" w:type="dxa"/>
            <w:shd w:val="clear" w:color="auto" w:fill="FFFFFF"/>
          </w:tcPr>
          <w:p w14:paraId="08C17326" w14:textId="77777777" w:rsidR="008C76E0" w:rsidRPr="00BD7577" w:rsidRDefault="008C76E0" w:rsidP="008C76E0">
            <w:pPr>
              <w:ind w:left="197" w:right="124" w:firstLine="12"/>
              <w:jc w:val="both"/>
              <w:rPr>
                <w:rFonts w:ascii="Sylfaen" w:hAnsi="Sylfaen"/>
                <w:sz w:val="24"/>
                <w:szCs w:val="24"/>
              </w:rPr>
            </w:pPr>
          </w:p>
        </w:tc>
      </w:tr>
      <w:tr w:rsidR="008C76E0" w:rsidRPr="00BD7577" w14:paraId="0A170681" w14:textId="77777777" w:rsidTr="008C76E0">
        <w:trPr>
          <w:gridAfter w:val="1"/>
          <w:wAfter w:w="10" w:type="dxa"/>
          <w:jc w:val="center"/>
        </w:trPr>
        <w:tc>
          <w:tcPr>
            <w:tcW w:w="8501" w:type="dxa"/>
            <w:gridSpan w:val="2"/>
            <w:shd w:val="clear" w:color="auto" w:fill="FFFFFF"/>
            <w:vAlign w:val="bottom"/>
          </w:tcPr>
          <w:p w14:paraId="28E52AF8"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lang w:val="hy-AM"/>
              </w:rPr>
            </w:pPr>
            <w:r w:rsidRPr="00BD7577">
              <w:rPr>
                <w:rStyle w:val="Bodytext295pt"/>
                <w:rFonts w:ascii="Sylfaen" w:hAnsi="Sylfaen"/>
                <w:spacing w:val="0"/>
                <w:sz w:val="24"/>
                <w:szCs w:val="24"/>
              </w:rPr>
              <w:t xml:space="preserve">Թեստավորման փուլերը, ներառյալ՝ փորձնական փուլը </w:t>
            </w:r>
          </w:p>
        </w:tc>
        <w:tc>
          <w:tcPr>
            <w:tcW w:w="1675" w:type="dxa"/>
            <w:shd w:val="clear" w:color="auto" w:fill="FFFFFF"/>
          </w:tcPr>
          <w:p w14:paraId="7AAE4196" w14:textId="77777777" w:rsidR="008C76E0" w:rsidRPr="00BD7577" w:rsidRDefault="008C76E0" w:rsidP="008C76E0">
            <w:pPr>
              <w:ind w:left="164" w:right="124" w:hanging="30"/>
              <w:jc w:val="both"/>
              <w:rPr>
                <w:rFonts w:ascii="Sylfaen" w:hAnsi="Sylfaen"/>
                <w:sz w:val="24"/>
                <w:szCs w:val="24"/>
              </w:rPr>
            </w:pPr>
          </w:p>
        </w:tc>
      </w:tr>
      <w:tr w:rsidR="008C76E0" w:rsidRPr="00BD7577" w14:paraId="1A2413AA" w14:textId="77777777" w:rsidTr="008C76E0">
        <w:trPr>
          <w:gridAfter w:val="1"/>
          <w:wAfter w:w="10" w:type="dxa"/>
          <w:jc w:val="center"/>
        </w:trPr>
        <w:tc>
          <w:tcPr>
            <w:tcW w:w="10176" w:type="dxa"/>
            <w:gridSpan w:val="3"/>
            <w:shd w:val="clear" w:color="auto" w:fill="FFFFFF"/>
            <w:vAlign w:val="bottom"/>
          </w:tcPr>
          <w:p w14:paraId="3061270E"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12C30D74" w14:textId="77777777" w:rsidTr="008C76E0">
        <w:trPr>
          <w:gridAfter w:val="1"/>
          <w:wAfter w:w="10" w:type="dxa"/>
          <w:jc w:val="center"/>
        </w:trPr>
        <w:tc>
          <w:tcPr>
            <w:tcW w:w="8501" w:type="dxa"/>
            <w:gridSpan w:val="2"/>
            <w:shd w:val="clear" w:color="auto" w:fill="FFFFFF"/>
            <w:vAlign w:val="center"/>
          </w:tcPr>
          <w:p w14:paraId="7513107C"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1.5.</w:t>
            </w:r>
            <w:r w:rsidRPr="00BD7577">
              <w:rPr>
                <w:rFonts w:ascii="Sylfaen" w:hAnsi="Sylfaen"/>
                <w:sz w:val="24"/>
                <w:szCs w:val="24"/>
              </w:rPr>
              <w:tab/>
            </w:r>
            <w:r w:rsidRPr="00BD7577">
              <w:rPr>
                <w:rStyle w:val="Bodytext295pt"/>
                <w:rFonts w:ascii="Sylfaen" w:hAnsi="Sylfaen"/>
                <w:spacing w:val="0"/>
                <w:sz w:val="24"/>
                <w:szCs w:val="24"/>
              </w:rPr>
              <w:t>Հարցազրույցի ասպեկտները</w:t>
            </w:r>
          </w:p>
        </w:tc>
        <w:tc>
          <w:tcPr>
            <w:tcW w:w="1675" w:type="dxa"/>
            <w:shd w:val="clear" w:color="auto" w:fill="FFFFFF"/>
          </w:tcPr>
          <w:p w14:paraId="776C59EF" w14:textId="77777777" w:rsidR="008C76E0" w:rsidRPr="00BD7577" w:rsidRDefault="008C76E0" w:rsidP="008C76E0">
            <w:pPr>
              <w:ind w:left="197" w:right="124" w:firstLine="12"/>
              <w:jc w:val="both"/>
              <w:rPr>
                <w:rFonts w:ascii="Sylfaen" w:hAnsi="Sylfaen"/>
                <w:sz w:val="24"/>
                <w:szCs w:val="24"/>
              </w:rPr>
            </w:pPr>
          </w:p>
        </w:tc>
      </w:tr>
      <w:tr w:rsidR="008C76E0" w:rsidRPr="00BD7577" w14:paraId="09F71920" w14:textId="77777777" w:rsidTr="008C76E0">
        <w:trPr>
          <w:gridAfter w:val="1"/>
          <w:wAfter w:w="10" w:type="dxa"/>
          <w:jc w:val="center"/>
        </w:trPr>
        <w:tc>
          <w:tcPr>
            <w:tcW w:w="8501" w:type="dxa"/>
            <w:gridSpan w:val="2"/>
            <w:shd w:val="clear" w:color="auto" w:fill="FFFFFF"/>
            <w:vAlign w:val="bottom"/>
          </w:tcPr>
          <w:p w14:paraId="5FE7D6B5"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հարցազրույցն անց է կացվել կառուցվածքային (կազմակերպված) եղանակով:</w:t>
            </w:r>
          </w:p>
        </w:tc>
        <w:tc>
          <w:tcPr>
            <w:tcW w:w="1675" w:type="dxa"/>
            <w:shd w:val="clear" w:color="auto" w:fill="FFFFFF"/>
            <w:vAlign w:val="bottom"/>
          </w:tcPr>
          <w:p w14:paraId="5C24C7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B3A7F2C" w14:textId="77777777" w:rsidTr="008C76E0">
        <w:trPr>
          <w:gridAfter w:val="1"/>
          <w:wAfter w:w="10" w:type="dxa"/>
          <w:jc w:val="center"/>
        </w:trPr>
        <w:tc>
          <w:tcPr>
            <w:tcW w:w="8501" w:type="dxa"/>
            <w:gridSpan w:val="2"/>
            <w:shd w:val="clear" w:color="auto" w:fill="FFFFFF"/>
          </w:tcPr>
          <w:p w14:paraId="678B8A95" w14:textId="77777777" w:rsidR="008C76E0" w:rsidRPr="00BD7577"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6F506B8A" w14:textId="77777777" w:rsidR="008C76E0" w:rsidRPr="00BD7577" w:rsidRDefault="008C76E0" w:rsidP="008C76E0">
            <w:pPr>
              <w:ind w:left="197" w:right="124" w:firstLine="12"/>
              <w:jc w:val="both"/>
              <w:rPr>
                <w:rFonts w:ascii="Sylfaen" w:hAnsi="Sylfaen"/>
                <w:sz w:val="24"/>
                <w:szCs w:val="24"/>
              </w:rPr>
            </w:pPr>
          </w:p>
        </w:tc>
      </w:tr>
      <w:tr w:rsidR="008C76E0" w:rsidRPr="00BD7577" w14:paraId="085995E2" w14:textId="77777777" w:rsidTr="008C76E0">
        <w:trPr>
          <w:gridAfter w:val="1"/>
          <w:wAfter w:w="10" w:type="dxa"/>
          <w:jc w:val="center"/>
        </w:trPr>
        <w:tc>
          <w:tcPr>
            <w:tcW w:w="10176" w:type="dxa"/>
            <w:gridSpan w:val="3"/>
            <w:shd w:val="clear" w:color="auto" w:fill="FFFFFF"/>
            <w:vAlign w:val="center"/>
          </w:tcPr>
          <w:p w14:paraId="0E2DA683" w14:textId="77777777" w:rsidR="008C76E0" w:rsidRPr="002754BD" w:rsidRDefault="008C76E0" w:rsidP="008C76E0">
            <w:pPr>
              <w:tabs>
                <w:tab w:val="left" w:pos="1141"/>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2.Պատասխանների գնահատումը</w:t>
            </w:r>
          </w:p>
        </w:tc>
      </w:tr>
      <w:tr w:rsidR="008C76E0" w:rsidRPr="00BD7577" w14:paraId="75DE8F51" w14:textId="77777777" w:rsidTr="008C76E0">
        <w:trPr>
          <w:gridAfter w:val="1"/>
          <w:wAfter w:w="10" w:type="dxa"/>
          <w:jc w:val="center"/>
        </w:trPr>
        <w:tc>
          <w:tcPr>
            <w:tcW w:w="8501" w:type="dxa"/>
            <w:gridSpan w:val="2"/>
            <w:shd w:val="clear" w:color="auto" w:fill="FFFFFF"/>
            <w:vAlign w:val="center"/>
          </w:tcPr>
          <w:p w14:paraId="6FD7AB9B" w14:textId="77777777" w:rsidR="008C76E0" w:rsidRPr="00BD7577" w:rsidRDefault="008C76E0" w:rsidP="008C76E0">
            <w:pPr>
              <w:pStyle w:val="Bodytext180"/>
              <w:shd w:val="clear" w:color="auto" w:fill="auto"/>
              <w:tabs>
                <w:tab w:val="left" w:pos="1141"/>
                <w:tab w:val="left" w:pos="1412"/>
              </w:tabs>
              <w:spacing w:before="0" w:after="160" w:line="360"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2.1.</w:t>
            </w:r>
            <w:r w:rsidRPr="00BD7577">
              <w:rPr>
                <w:rFonts w:ascii="Sylfaen" w:hAnsi="Sylfaen"/>
                <w:sz w:val="24"/>
                <w:szCs w:val="24"/>
              </w:rPr>
              <w:tab/>
            </w:r>
            <w:r w:rsidRPr="00BD7577">
              <w:rPr>
                <w:rStyle w:val="Bodytext295pt"/>
                <w:rFonts w:ascii="Sylfaen" w:hAnsi="Sylfaen"/>
                <w:spacing w:val="0"/>
                <w:sz w:val="24"/>
                <w:szCs w:val="24"/>
              </w:rPr>
              <w:t>Գնահատման համակարգը</w:t>
            </w:r>
          </w:p>
        </w:tc>
        <w:tc>
          <w:tcPr>
            <w:tcW w:w="1675" w:type="dxa"/>
            <w:shd w:val="clear" w:color="auto" w:fill="FFFFFF"/>
          </w:tcPr>
          <w:p w14:paraId="3FDF5577" w14:textId="77777777" w:rsidR="008C76E0" w:rsidRPr="00BD7577" w:rsidRDefault="008C76E0" w:rsidP="008C76E0">
            <w:pPr>
              <w:ind w:left="197" w:right="124" w:firstLine="12"/>
              <w:jc w:val="both"/>
              <w:rPr>
                <w:rFonts w:ascii="Sylfaen" w:hAnsi="Sylfaen"/>
                <w:sz w:val="24"/>
                <w:szCs w:val="24"/>
              </w:rPr>
            </w:pPr>
          </w:p>
        </w:tc>
      </w:tr>
      <w:tr w:rsidR="008C76E0" w:rsidRPr="00BD7577" w14:paraId="79EEF9FF" w14:textId="77777777" w:rsidTr="008C76E0">
        <w:trPr>
          <w:gridAfter w:val="1"/>
          <w:wAfter w:w="10" w:type="dxa"/>
          <w:jc w:val="center"/>
        </w:trPr>
        <w:tc>
          <w:tcPr>
            <w:tcW w:w="8501" w:type="dxa"/>
            <w:gridSpan w:val="2"/>
            <w:shd w:val="clear" w:color="auto" w:fill="FFFFFF"/>
            <w:vAlign w:val="bottom"/>
          </w:tcPr>
          <w:p w14:paraId="762D1580" w14:textId="77777777" w:rsidR="008C76E0" w:rsidRPr="008C76E0" w:rsidRDefault="008C76E0" w:rsidP="008C76E0">
            <w:pPr>
              <w:pStyle w:val="Bodytext180"/>
              <w:shd w:val="clear" w:color="auto" w:fill="auto"/>
              <w:tabs>
                <w:tab w:val="left" w:pos="1141"/>
                <w:tab w:val="left" w:pos="1412"/>
              </w:tabs>
              <w:spacing w:before="0" w:after="160" w:line="360"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որակական գնահատումն ընդունելի է:</w:t>
            </w:r>
          </w:p>
        </w:tc>
        <w:tc>
          <w:tcPr>
            <w:tcW w:w="1675" w:type="dxa"/>
            <w:shd w:val="clear" w:color="auto" w:fill="FFFFFF"/>
            <w:vAlign w:val="bottom"/>
          </w:tcPr>
          <w:p w14:paraId="3A9ED21A"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697A4867" w14:textId="77777777" w:rsidTr="008C76E0">
        <w:trPr>
          <w:gridAfter w:val="1"/>
          <w:wAfter w:w="10" w:type="dxa"/>
          <w:jc w:val="center"/>
        </w:trPr>
        <w:tc>
          <w:tcPr>
            <w:tcW w:w="8501" w:type="dxa"/>
            <w:gridSpan w:val="2"/>
            <w:shd w:val="clear" w:color="auto" w:fill="FFFFFF"/>
          </w:tcPr>
          <w:p w14:paraId="5FF9A192" w14:textId="77777777" w:rsidR="008C76E0" w:rsidRPr="008C76E0" w:rsidRDefault="008C76E0" w:rsidP="004B393A">
            <w:pPr>
              <w:pStyle w:val="Bodytext180"/>
              <w:shd w:val="clear" w:color="auto" w:fill="auto"/>
              <w:tabs>
                <w:tab w:val="left" w:pos="1141"/>
                <w:tab w:val="left" w:pos="1412"/>
              </w:tabs>
              <w:spacing w:before="0" w:after="160" w:line="336" w:lineRule="auto"/>
              <w:ind w:left="164" w:right="208" w:hanging="30"/>
              <w:jc w:val="both"/>
              <w:rPr>
                <w:rFonts w:ascii="Sylfaen" w:hAnsi="Sylfaen"/>
                <w:b w:val="0"/>
                <w:i/>
                <w:sz w:val="24"/>
                <w:szCs w:val="24"/>
                <w:lang w:val="hy-AM"/>
              </w:rPr>
            </w:pPr>
            <w:r w:rsidRPr="00BD7577">
              <w:rPr>
                <w:rStyle w:val="Bodytext295pt"/>
                <w:rFonts w:ascii="Sylfaen" w:hAnsi="Sylfaen"/>
                <w:spacing w:val="0"/>
                <w:sz w:val="24"/>
                <w:szCs w:val="24"/>
              </w:rPr>
              <w:t>Արդյո՞ք գնահատման մեթոդաբանությունը համապատասխանում է նվազագույն պահանջներին։</w:t>
            </w:r>
          </w:p>
        </w:tc>
        <w:tc>
          <w:tcPr>
            <w:tcW w:w="1675" w:type="dxa"/>
            <w:shd w:val="clear" w:color="auto" w:fill="FFFFFF"/>
          </w:tcPr>
          <w:p w14:paraId="06B85AA6" w14:textId="77777777" w:rsidR="008C76E0" w:rsidRPr="00BD7577" w:rsidRDefault="008C76E0" w:rsidP="008C76E0">
            <w:pPr>
              <w:pStyle w:val="Bodytext180"/>
              <w:shd w:val="clear" w:color="auto" w:fill="auto"/>
              <w:spacing w:before="0" w:after="160" w:line="360"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35BCF9A" w14:textId="77777777" w:rsidTr="008C76E0">
        <w:trPr>
          <w:gridAfter w:val="1"/>
          <w:wAfter w:w="10" w:type="dxa"/>
          <w:jc w:val="center"/>
        </w:trPr>
        <w:tc>
          <w:tcPr>
            <w:tcW w:w="8501" w:type="dxa"/>
            <w:gridSpan w:val="2"/>
            <w:shd w:val="clear" w:color="auto" w:fill="FFFFFF"/>
            <w:vAlign w:val="bottom"/>
          </w:tcPr>
          <w:p w14:paraId="133876CE" w14:textId="77777777" w:rsidR="008C76E0" w:rsidRPr="00BD7577" w:rsidRDefault="008C76E0" w:rsidP="004B393A">
            <w:pPr>
              <w:pStyle w:val="Bodytext180"/>
              <w:shd w:val="clear" w:color="auto" w:fill="auto"/>
              <w:tabs>
                <w:tab w:val="left" w:pos="1141"/>
                <w:tab w:val="left" w:pos="1412"/>
              </w:tabs>
              <w:spacing w:before="0" w:after="160" w:line="384" w:lineRule="auto"/>
              <w:ind w:left="192" w:right="208" w:hanging="24"/>
              <w:jc w:val="both"/>
              <w:rPr>
                <w:rFonts w:ascii="Sylfaen" w:hAnsi="Sylfaen"/>
                <w:b w:val="0"/>
                <w:sz w:val="24"/>
                <w:szCs w:val="24"/>
              </w:rPr>
            </w:pPr>
            <w:r w:rsidRPr="00BD7577">
              <w:rPr>
                <w:rStyle w:val="Bodytext295pt"/>
                <w:rFonts w:ascii="Sylfaen" w:hAnsi="Sylfaen"/>
                <w:spacing w:val="0"/>
                <w:sz w:val="24"/>
                <w:szCs w:val="24"/>
              </w:rPr>
              <w:lastRenderedPageBreak/>
              <w:t>Մեկնաբանություններ (լրացուցիչ տեղեկատվություն)</w:t>
            </w:r>
          </w:p>
        </w:tc>
        <w:tc>
          <w:tcPr>
            <w:tcW w:w="1675" w:type="dxa"/>
            <w:shd w:val="clear" w:color="auto" w:fill="FFFFFF"/>
          </w:tcPr>
          <w:p w14:paraId="78327913"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347B0813" w14:textId="77777777" w:rsidTr="008C76E0">
        <w:trPr>
          <w:gridAfter w:val="1"/>
          <w:wAfter w:w="10" w:type="dxa"/>
          <w:jc w:val="center"/>
        </w:trPr>
        <w:tc>
          <w:tcPr>
            <w:tcW w:w="8501" w:type="dxa"/>
            <w:gridSpan w:val="2"/>
            <w:shd w:val="clear" w:color="auto" w:fill="FFFFFF"/>
            <w:vAlign w:val="center"/>
          </w:tcPr>
          <w:p w14:paraId="343830F8" w14:textId="77777777" w:rsidR="008C76E0" w:rsidRPr="00BD7577"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rPr>
            </w:pPr>
            <w:r w:rsidRPr="00BD7577">
              <w:rPr>
                <w:rStyle w:val="Bodytext295pt"/>
                <w:rFonts w:ascii="Sylfaen" w:hAnsi="Sylfaen"/>
                <w:spacing w:val="0"/>
                <w:sz w:val="24"/>
                <w:szCs w:val="24"/>
              </w:rPr>
              <w:t>2.2.</w:t>
            </w:r>
            <w:r w:rsidRPr="00BD7577">
              <w:rPr>
                <w:rFonts w:ascii="Sylfaen" w:hAnsi="Sylfaen"/>
                <w:sz w:val="24"/>
                <w:szCs w:val="24"/>
              </w:rPr>
              <w:tab/>
            </w:r>
            <w:r w:rsidRPr="00BD7577">
              <w:rPr>
                <w:rStyle w:val="Bodytext295pt"/>
                <w:rFonts w:ascii="Sylfaen" w:hAnsi="Sylfaen"/>
                <w:spacing w:val="0"/>
                <w:sz w:val="24"/>
                <w:szCs w:val="24"/>
              </w:rPr>
              <w:t>Հարցերի վարկանշային համակարգը</w:t>
            </w:r>
          </w:p>
        </w:tc>
        <w:tc>
          <w:tcPr>
            <w:tcW w:w="1675" w:type="dxa"/>
            <w:shd w:val="clear" w:color="auto" w:fill="FFFFFF"/>
          </w:tcPr>
          <w:p w14:paraId="6ABB74C1"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554C5EF4" w14:textId="77777777" w:rsidTr="008C76E0">
        <w:trPr>
          <w:gridAfter w:val="1"/>
          <w:wAfter w:w="10" w:type="dxa"/>
          <w:jc w:val="center"/>
        </w:trPr>
        <w:tc>
          <w:tcPr>
            <w:tcW w:w="8501" w:type="dxa"/>
            <w:gridSpan w:val="2"/>
            <w:shd w:val="clear" w:color="auto" w:fill="FFFFFF"/>
            <w:vAlign w:val="bottom"/>
          </w:tcPr>
          <w:p w14:paraId="6EF1935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lang w:val="hy-AM"/>
              </w:rPr>
            </w:pPr>
            <w:r w:rsidRPr="00BD7577">
              <w:rPr>
                <w:rStyle w:val="Bodytext295pt"/>
                <w:rFonts w:ascii="Sylfaen" w:hAnsi="Sylfaen"/>
                <w:spacing w:val="0"/>
                <w:sz w:val="24"/>
                <w:szCs w:val="24"/>
              </w:rPr>
              <w:t>Արդյո՞ք պատասխանների քանակական գնահատումն ընդունելի է: Մեկնաբանություններ (լրացուցիչ տեղեկատվություն)</w:t>
            </w:r>
          </w:p>
        </w:tc>
        <w:tc>
          <w:tcPr>
            <w:tcW w:w="1675" w:type="dxa"/>
            <w:shd w:val="clear" w:color="auto" w:fill="FFFFFF"/>
          </w:tcPr>
          <w:p w14:paraId="44ADA980"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DA9362D" w14:textId="77777777" w:rsidTr="008C76E0">
        <w:trPr>
          <w:gridAfter w:val="1"/>
          <w:wAfter w:w="10" w:type="dxa"/>
          <w:jc w:val="center"/>
        </w:trPr>
        <w:tc>
          <w:tcPr>
            <w:tcW w:w="10176" w:type="dxa"/>
            <w:gridSpan w:val="3"/>
            <w:shd w:val="clear" w:color="auto" w:fill="FFFFFF"/>
            <w:vAlign w:val="center"/>
          </w:tcPr>
          <w:p w14:paraId="6DE38D1B"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3. Տվյալների մշակումը</w:t>
            </w:r>
          </w:p>
        </w:tc>
      </w:tr>
      <w:tr w:rsidR="008C76E0" w:rsidRPr="00BD7577" w14:paraId="6F0F9849" w14:textId="77777777" w:rsidTr="008C76E0">
        <w:trPr>
          <w:gridAfter w:val="1"/>
          <w:wAfter w:w="10" w:type="dxa"/>
          <w:jc w:val="center"/>
        </w:trPr>
        <w:tc>
          <w:tcPr>
            <w:tcW w:w="8501" w:type="dxa"/>
            <w:gridSpan w:val="2"/>
            <w:shd w:val="clear" w:color="auto" w:fill="FFFFFF"/>
            <w:vAlign w:val="bottom"/>
          </w:tcPr>
          <w:p w14:paraId="6F902F7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Style w:val="Bodytext295pt"/>
                <w:rFonts w:ascii="Sylfaen" w:hAnsi="Sylfaen"/>
                <w:spacing w:val="0"/>
                <w:sz w:val="24"/>
                <w:szCs w:val="24"/>
              </w:rPr>
            </w:pPr>
            <w:r w:rsidRPr="00BD7577">
              <w:rPr>
                <w:rStyle w:val="Bodytext295pt"/>
                <w:rFonts w:ascii="Sylfaen" w:hAnsi="Sylfaen"/>
                <w:spacing w:val="0"/>
                <w:sz w:val="24"/>
                <w:szCs w:val="24"/>
              </w:rPr>
              <w:t>Արդյո՞ք տվյալները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ով գրանցվում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փաստաթղթավորվում են: </w:t>
            </w:r>
          </w:p>
          <w:p w14:paraId="0978ECC1"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30"/>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F1F4E66" w14:textId="77777777" w:rsidR="008C76E0" w:rsidRPr="00BD7577" w:rsidRDefault="008C76E0" w:rsidP="004B393A">
            <w:pPr>
              <w:pStyle w:val="Bodytext180"/>
              <w:shd w:val="clear" w:color="auto" w:fill="auto"/>
              <w:spacing w:before="0" w:after="160" w:line="360"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1E5B99AE" w14:textId="77777777" w:rsidTr="008C76E0">
        <w:trPr>
          <w:gridAfter w:val="1"/>
          <w:wAfter w:w="10" w:type="dxa"/>
          <w:jc w:val="center"/>
        </w:trPr>
        <w:tc>
          <w:tcPr>
            <w:tcW w:w="10176" w:type="dxa"/>
            <w:gridSpan w:val="3"/>
            <w:shd w:val="clear" w:color="auto" w:fill="FFFFFF"/>
            <w:vAlign w:val="center"/>
          </w:tcPr>
          <w:p w14:paraId="445224D3" w14:textId="77777777" w:rsidR="008C76E0" w:rsidRPr="002754BD" w:rsidRDefault="008C76E0" w:rsidP="004B393A">
            <w:pPr>
              <w:tabs>
                <w:tab w:val="left" w:pos="1141"/>
                <w:tab w:val="left" w:pos="1412"/>
              </w:tabs>
              <w:spacing w:after="160" w:line="360" w:lineRule="auto"/>
              <w:ind w:left="24" w:right="210" w:firstLine="567"/>
              <w:jc w:val="center"/>
              <w:rPr>
                <w:rFonts w:ascii="Sylfaen" w:hAnsi="Sylfaen"/>
                <w:b/>
                <w:i/>
                <w:sz w:val="24"/>
                <w:szCs w:val="24"/>
              </w:rPr>
            </w:pPr>
            <w:r w:rsidRPr="002754BD">
              <w:rPr>
                <w:rStyle w:val="Bodytext295pt"/>
                <w:rFonts w:ascii="Sylfaen" w:eastAsia="MS Mincho" w:hAnsi="Sylfaen"/>
                <w:b w:val="0"/>
                <w:spacing w:val="0"/>
                <w:sz w:val="24"/>
                <w:szCs w:val="24"/>
              </w:rPr>
              <w:t>4.Որակի ասպեկտները</w:t>
            </w:r>
          </w:p>
        </w:tc>
      </w:tr>
      <w:tr w:rsidR="008C76E0" w:rsidRPr="00BD7577" w14:paraId="6C0A8DBF" w14:textId="77777777" w:rsidTr="008C76E0">
        <w:trPr>
          <w:gridAfter w:val="1"/>
          <w:wAfter w:w="10" w:type="dxa"/>
          <w:jc w:val="center"/>
        </w:trPr>
        <w:tc>
          <w:tcPr>
            <w:tcW w:w="8501" w:type="dxa"/>
            <w:gridSpan w:val="2"/>
            <w:shd w:val="clear" w:color="auto" w:fill="FFFFFF"/>
            <w:vAlign w:val="center"/>
          </w:tcPr>
          <w:p w14:paraId="3B2378AF"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08" w:firstLine="567"/>
              <w:jc w:val="both"/>
              <w:rPr>
                <w:rFonts w:ascii="Sylfaen" w:hAnsi="Sylfaen"/>
                <w:b w:val="0"/>
                <w:sz w:val="24"/>
                <w:szCs w:val="24"/>
                <w:lang w:val="hy-AM"/>
              </w:rPr>
            </w:pPr>
            <w:r w:rsidRPr="00BD7577">
              <w:rPr>
                <w:rStyle w:val="Bodytext295pt"/>
                <w:rFonts w:ascii="Sylfaen" w:hAnsi="Sylfaen"/>
                <w:spacing w:val="0"/>
                <w:sz w:val="24"/>
                <w:szCs w:val="24"/>
              </w:rPr>
              <w:t>4.1.</w:t>
            </w:r>
            <w:r w:rsidRPr="008C76E0">
              <w:rPr>
                <w:rFonts w:ascii="Sylfaen" w:hAnsi="Sylfaen"/>
                <w:sz w:val="24"/>
                <w:szCs w:val="24"/>
                <w:lang w:val="hy-AM"/>
              </w:rPr>
              <w:tab/>
            </w:r>
            <w:r w:rsidRPr="00BD7577">
              <w:rPr>
                <w:rStyle w:val="Bodytext295pt"/>
                <w:rFonts w:ascii="Sylfaen" w:hAnsi="Sylfaen"/>
                <w:spacing w:val="0"/>
                <w:sz w:val="24"/>
                <w:szCs w:val="24"/>
              </w:rPr>
              <w:t>Ախտորոշման հետ կապված հարցերի գնահատումը</w:t>
            </w:r>
          </w:p>
        </w:tc>
        <w:tc>
          <w:tcPr>
            <w:tcW w:w="1675" w:type="dxa"/>
            <w:shd w:val="clear" w:color="auto" w:fill="FFFFFF"/>
          </w:tcPr>
          <w:p w14:paraId="5AD9AE8F" w14:textId="77777777" w:rsidR="008C76E0" w:rsidRPr="00BD7577" w:rsidRDefault="008C76E0" w:rsidP="004B393A">
            <w:pPr>
              <w:spacing w:line="384" w:lineRule="auto"/>
              <w:ind w:left="197" w:right="124" w:firstLine="12"/>
              <w:jc w:val="both"/>
              <w:rPr>
                <w:rFonts w:ascii="Sylfaen" w:hAnsi="Sylfaen"/>
                <w:sz w:val="24"/>
                <w:szCs w:val="24"/>
              </w:rPr>
            </w:pPr>
          </w:p>
        </w:tc>
      </w:tr>
      <w:tr w:rsidR="008C76E0" w:rsidRPr="00BD7577" w14:paraId="08A71BAF" w14:textId="77777777" w:rsidTr="008C76E0">
        <w:trPr>
          <w:gridAfter w:val="1"/>
          <w:wAfter w:w="10" w:type="dxa"/>
          <w:jc w:val="center"/>
        </w:trPr>
        <w:tc>
          <w:tcPr>
            <w:tcW w:w="8501" w:type="dxa"/>
            <w:gridSpan w:val="2"/>
            <w:shd w:val="clear" w:color="auto" w:fill="FFFFFF"/>
          </w:tcPr>
          <w:p w14:paraId="6BECC482"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08" w:hanging="28"/>
              <w:jc w:val="both"/>
              <w:rPr>
                <w:rFonts w:ascii="Sylfaen" w:hAnsi="Sylfaen"/>
                <w:b w:val="0"/>
                <w:i/>
                <w:sz w:val="24"/>
                <w:szCs w:val="24"/>
                <w:lang w:val="hy-AM"/>
              </w:rPr>
            </w:pPr>
            <w:r w:rsidRPr="00BD7577">
              <w:rPr>
                <w:rStyle w:val="Bodytext295pt"/>
                <w:rFonts w:ascii="Sylfaen" w:hAnsi="Sylfaen"/>
                <w:spacing w:val="0"/>
                <w:sz w:val="24"/>
                <w:szCs w:val="24"/>
              </w:rPr>
              <w:t>Արդյո՞ք մեթոդաբանությունը համապատասխանում է Դեղապատրաստուկների բժշկական կիրառման հրահանգին և բժշկական կիրառման դեղապատրաստուկների ընդհանուր բնութագրին ներկայացվող պահանջների հավելվածին</w:t>
            </w:r>
            <w:r w:rsidRPr="00BD7577" w:rsidDel="00F77B02">
              <w:rPr>
                <w:rStyle w:val="Bodytext295pt"/>
                <w:rFonts w:ascii="Sylfaen" w:hAnsi="Sylfaen"/>
                <w:spacing w:val="0"/>
                <w:sz w:val="24"/>
                <w:szCs w:val="24"/>
              </w:rPr>
              <w:t xml:space="preserve"> </w:t>
            </w:r>
            <w:r w:rsidRPr="00BD7577">
              <w:rPr>
                <w:rStyle w:val="Bodytext295pt"/>
                <w:rFonts w:ascii="Sylfaen" w:hAnsi="Sylfaen"/>
                <w:spacing w:val="0"/>
                <w:sz w:val="24"/>
                <w:szCs w:val="24"/>
              </w:rPr>
              <w:t>։</w:t>
            </w:r>
          </w:p>
        </w:tc>
        <w:tc>
          <w:tcPr>
            <w:tcW w:w="1675" w:type="dxa"/>
            <w:shd w:val="clear" w:color="auto" w:fill="FFFFFF"/>
          </w:tcPr>
          <w:p w14:paraId="753B8D42"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7176E355" w14:textId="77777777" w:rsidTr="008C76E0">
        <w:trPr>
          <w:gridAfter w:val="1"/>
          <w:wAfter w:w="10" w:type="dxa"/>
          <w:jc w:val="center"/>
        </w:trPr>
        <w:tc>
          <w:tcPr>
            <w:tcW w:w="8501" w:type="dxa"/>
            <w:gridSpan w:val="2"/>
            <w:shd w:val="clear" w:color="auto" w:fill="FFFFFF"/>
            <w:vAlign w:val="bottom"/>
          </w:tcPr>
          <w:p w14:paraId="0DDDC20C" w14:textId="77777777" w:rsidR="008C76E0" w:rsidRPr="008C76E0" w:rsidRDefault="008C76E0" w:rsidP="004B393A">
            <w:pPr>
              <w:pStyle w:val="Bodytext180"/>
              <w:shd w:val="clear" w:color="auto" w:fill="auto"/>
              <w:tabs>
                <w:tab w:val="left" w:pos="1141"/>
                <w:tab w:val="left" w:pos="1412"/>
              </w:tabs>
              <w:spacing w:before="0" w:after="160" w:line="360" w:lineRule="auto"/>
              <w:ind w:left="164" w:right="210" w:hanging="28"/>
              <w:jc w:val="both"/>
              <w:rPr>
                <w:rFonts w:ascii="Sylfaen" w:hAnsi="Sylfaen"/>
                <w:b w:val="0"/>
                <w:i/>
                <w:sz w:val="24"/>
                <w:szCs w:val="24"/>
                <w:lang w:val="hy-AM"/>
              </w:rPr>
            </w:pPr>
            <w:r w:rsidRPr="00BD7577">
              <w:rPr>
                <w:rStyle w:val="Bodytext295pt"/>
                <w:rFonts w:ascii="Sylfaen" w:hAnsi="Sylfaen"/>
                <w:spacing w:val="0"/>
                <w:sz w:val="24"/>
                <w:szCs w:val="24"/>
              </w:rPr>
              <w:t>Ընդհանուր առմամբ, արդյո՞ք յուրաքանչյուր հարց համապատասխանում է ճիշտ պատասխանների 81 % չափանիշին:</w:t>
            </w:r>
          </w:p>
        </w:tc>
        <w:tc>
          <w:tcPr>
            <w:tcW w:w="1675" w:type="dxa"/>
            <w:shd w:val="clear" w:color="auto" w:fill="FFFFFF"/>
          </w:tcPr>
          <w:p w14:paraId="0F6A060D" w14:textId="77777777" w:rsidR="008C76E0" w:rsidRPr="00BD7577" w:rsidRDefault="008C76E0" w:rsidP="004B393A">
            <w:pPr>
              <w:pStyle w:val="Bodytext180"/>
              <w:shd w:val="clear" w:color="auto" w:fill="auto"/>
              <w:spacing w:before="0" w:after="160" w:line="384" w:lineRule="auto"/>
              <w:ind w:left="197" w:right="210"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478781A1" w14:textId="77777777" w:rsidTr="008C76E0">
        <w:trPr>
          <w:gridAfter w:val="1"/>
          <w:wAfter w:w="10" w:type="dxa"/>
          <w:jc w:val="center"/>
        </w:trPr>
        <w:tc>
          <w:tcPr>
            <w:tcW w:w="8501" w:type="dxa"/>
            <w:gridSpan w:val="2"/>
            <w:shd w:val="clear" w:color="auto" w:fill="FFFFFF"/>
            <w:vAlign w:val="bottom"/>
          </w:tcPr>
          <w:p w14:paraId="78FC2012" w14:textId="77777777" w:rsidR="008C76E0" w:rsidRPr="00BD7577" w:rsidRDefault="008C76E0" w:rsidP="004B393A">
            <w:pPr>
              <w:pStyle w:val="Bodytext180"/>
              <w:shd w:val="clear" w:color="auto" w:fill="auto"/>
              <w:tabs>
                <w:tab w:val="left" w:pos="1141"/>
                <w:tab w:val="left" w:pos="1412"/>
              </w:tabs>
              <w:spacing w:before="0" w:after="160" w:line="360" w:lineRule="auto"/>
              <w:ind w:left="164" w:right="210" w:hanging="28"/>
              <w:jc w:val="both"/>
              <w:rPr>
                <w:rStyle w:val="Bodytext295pt"/>
                <w:rFonts w:ascii="Sylfaen" w:hAnsi="Sylfaen"/>
                <w:i/>
                <w:spacing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1675" w:type="dxa"/>
            <w:shd w:val="clear" w:color="auto" w:fill="FFFFFF"/>
          </w:tcPr>
          <w:p w14:paraId="7B675DD4" w14:textId="77777777" w:rsidR="008C76E0" w:rsidRPr="00BD7577" w:rsidRDefault="008C76E0" w:rsidP="004B393A">
            <w:pPr>
              <w:pStyle w:val="Bodytext180"/>
              <w:shd w:val="clear" w:color="auto" w:fill="auto"/>
              <w:spacing w:before="0" w:after="160" w:line="384" w:lineRule="auto"/>
              <w:ind w:left="197" w:right="210" w:firstLine="12"/>
              <w:jc w:val="both"/>
              <w:rPr>
                <w:rStyle w:val="Bodytext295pt"/>
                <w:rFonts w:ascii="Sylfaen" w:hAnsi="Sylfaen"/>
                <w:i/>
                <w:spacing w:val="0"/>
                <w:sz w:val="24"/>
                <w:szCs w:val="24"/>
              </w:rPr>
            </w:pPr>
          </w:p>
        </w:tc>
      </w:tr>
      <w:tr w:rsidR="008C76E0" w:rsidRPr="00BD7577" w14:paraId="68D7F114" w14:textId="77777777" w:rsidTr="008C76E0">
        <w:trPr>
          <w:gridAfter w:val="1"/>
          <w:wAfter w:w="10" w:type="dxa"/>
          <w:jc w:val="center"/>
        </w:trPr>
        <w:tc>
          <w:tcPr>
            <w:tcW w:w="10176" w:type="dxa"/>
            <w:gridSpan w:val="3"/>
            <w:shd w:val="clear" w:color="auto" w:fill="FFFFFF"/>
          </w:tcPr>
          <w:p w14:paraId="3484E1D1" w14:textId="77777777" w:rsidR="008C76E0" w:rsidRPr="008C76E0" w:rsidRDefault="008C76E0" w:rsidP="004B393A">
            <w:pPr>
              <w:pStyle w:val="Bodytext180"/>
              <w:shd w:val="clear" w:color="auto" w:fill="auto"/>
              <w:tabs>
                <w:tab w:val="left" w:pos="1141"/>
                <w:tab w:val="left" w:pos="1412"/>
              </w:tabs>
              <w:spacing w:before="0" w:after="160" w:line="384" w:lineRule="auto"/>
              <w:ind w:left="24" w:right="210" w:firstLine="567"/>
              <w:jc w:val="both"/>
              <w:rPr>
                <w:rFonts w:ascii="Sylfaen" w:hAnsi="Sylfaen"/>
                <w:b w:val="0"/>
                <w:i/>
                <w:sz w:val="24"/>
                <w:szCs w:val="24"/>
                <w:lang w:val="hy-AM"/>
              </w:rPr>
            </w:pPr>
            <w:r w:rsidRPr="00BD7577">
              <w:rPr>
                <w:rStyle w:val="Bodytext295pt"/>
                <w:rFonts w:ascii="Sylfaen" w:hAnsi="Sylfaen"/>
                <w:spacing w:val="0"/>
                <w:sz w:val="24"/>
                <w:szCs w:val="24"/>
              </w:rPr>
              <w:t>4.2.</w:t>
            </w:r>
            <w:r w:rsidRPr="008C76E0">
              <w:rPr>
                <w:rFonts w:ascii="Sylfaen" w:hAnsi="Sylfaen"/>
                <w:i/>
                <w:sz w:val="24"/>
                <w:szCs w:val="24"/>
                <w:lang w:val="hy-AM"/>
              </w:rPr>
              <w:tab/>
            </w:r>
            <w:r w:rsidRPr="00BD7577">
              <w:rPr>
                <w:rStyle w:val="Bodytext295pt"/>
                <w:rFonts w:ascii="Sylfaen" w:hAnsi="Sylfaen"/>
                <w:spacing w:val="0"/>
                <w:sz w:val="24"/>
                <w:szCs w:val="24"/>
              </w:rPr>
              <w:t xml:space="preserve">Մանրակերտի </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 բովանդակային պլանի գնահատումը</w:t>
            </w:r>
          </w:p>
        </w:tc>
      </w:tr>
      <w:tr w:rsidR="008C76E0" w:rsidRPr="00BD7577" w14:paraId="517D94AC" w14:textId="77777777" w:rsidTr="008C76E0">
        <w:trPr>
          <w:gridAfter w:val="1"/>
          <w:wAfter w:w="10" w:type="dxa"/>
          <w:trHeight w:val="1050"/>
          <w:jc w:val="center"/>
        </w:trPr>
        <w:tc>
          <w:tcPr>
            <w:tcW w:w="8501" w:type="dxa"/>
            <w:gridSpan w:val="2"/>
            <w:vMerge w:val="restart"/>
            <w:shd w:val="clear" w:color="auto" w:fill="FFFFFF"/>
            <w:vAlign w:val="center"/>
          </w:tcPr>
          <w:p w14:paraId="3F488A85" w14:textId="77777777" w:rsidR="008C76E0" w:rsidRPr="008C76E0" w:rsidRDefault="008C76E0" w:rsidP="004B393A">
            <w:pPr>
              <w:pStyle w:val="Bodytext180"/>
              <w:shd w:val="clear" w:color="auto" w:fill="auto"/>
              <w:tabs>
                <w:tab w:val="left" w:pos="1141"/>
                <w:tab w:val="left" w:pos="1412"/>
              </w:tabs>
              <w:spacing w:before="0" w:after="160" w:line="384" w:lineRule="auto"/>
              <w:ind w:left="150" w:right="210" w:firstLine="0"/>
              <w:jc w:val="both"/>
              <w:rPr>
                <w:rFonts w:ascii="Sylfaen" w:hAnsi="Sylfaen"/>
                <w:b w:val="0"/>
                <w:sz w:val="24"/>
                <w:szCs w:val="24"/>
                <w:lang w:val="hy-AM"/>
              </w:rPr>
            </w:pPr>
            <w:r w:rsidRPr="00BD7577">
              <w:rPr>
                <w:rStyle w:val="Bodytext295pt"/>
                <w:rFonts w:ascii="Sylfaen" w:hAnsi="Sylfaen"/>
                <w:spacing w:val="0"/>
                <w:sz w:val="24"/>
                <w:szCs w:val="24"/>
              </w:rPr>
              <w:t>Արդյո՞ք պահպանվել են Դեղապատրաստուկների բժշկական կիրառման հրահանգին և բժշկական կիրառման դեղապատրաստուկների ընդհանուր բնութագրին ներկայացվող պահանջների հավելվածի բովանդակային պլանի ընդհանուր սկզբունքները։</w:t>
            </w:r>
          </w:p>
          <w:p w14:paraId="5CF6ECA0" w14:textId="77777777" w:rsidR="008C76E0" w:rsidRPr="008C76E0" w:rsidRDefault="008C76E0" w:rsidP="004B393A">
            <w:pPr>
              <w:pStyle w:val="Bodytext180"/>
              <w:shd w:val="clear" w:color="auto" w:fill="auto"/>
              <w:tabs>
                <w:tab w:val="left" w:pos="1141"/>
                <w:tab w:val="left" w:pos="1412"/>
              </w:tabs>
              <w:spacing w:before="0" w:after="160" w:line="384" w:lineRule="auto"/>
              <w:ind w:left="192" w:right="210" w:hanging="24"/>
              <w:jc w:val="both"/>
              <w:rPr>
                <w:rFonts w:ascii="Sylfaen" w:hAnsi="Sylfaen"/>
                <w:b w:val="0"/>
                <w:sz w:val="24"/>
                <w:szCs w:val="24"/>
                <w:lang w:val="hy-AM"/>
              </w:rPr>
            </w:pPr>
            <w:r w:rsidRPr="00BD7577">
              <w:rPr>
                <w:rStyle w:val="Bodytext295pt"/>
                <w:rFonts w:ascii="Sylfaen" w:hAnsi="Sylfaen"/>
                <w:spacing w:val="0"/>
                <w:sz w:val="24"/>
                <w:szCs w:val="24"/>
              </w:rPr>
              <w:t xml:space="preserve">Արդյո՞ք տեքստը շարադրված է պացիենտների համար հասկանալի </w:t>
            </w:r>
            <w:r w:rsidRPr="00BD7577">
              <w:rPr>
                <w:rStyle w:val="Bodytext295pt"/>
                <w:rFonts w:ascii="Sylfaen" w:hAnsi="Sylfaen"/>
                <w:spacing w:val="0"/>
                <w:sz w:val="24"/>
                <w:szCs w:val="24"/>
              </w:rPr>
              <w:lastRenderedPageBreak/>
              <w:t>լեզվով:</w:t>
            </w:r>
          </w:p>
        </w:tc>
        <w:tc>
          <w:tcPr>
            <w:tcW w:w="1675" w:type="dxa"/>
            <w:shd w:val="clear" w:color="auto" w:fill="FFFFFF"/>
            <w:vAlign w:val="bottom"/>
          </w:tcPr>
          <w:p w14:paraId="07E0ADF0"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sz w:val="24"/>
                <w:szCs w:val="24"/>
              </w:rPr>
            </w:pPr>
            <w:r w:rsidRPr="00BD7577">
              <w:rPr>
                <w:rFonts w:ascii="Sylfaen" w:hAnsi="Sylfaen"/>
                <w:sz w:val="24"/>
                <w:szCs w:val="24"/>
              </w:rPr>
              <w:lastRenderedPageBreak/>
              <w:t xml:space="preserve">□ </w:t>
            </w:r>
            <w:r w:rsidRPr="00BD7577">
              <w:rPr>
                <w:rStyle w:val="Bodytext295pt"/>
                <w:rFonts w:ascii="Sylfaen" w:hAnsi="Sylfaen"/>
                <w:spacing w:val="0"/>
                <w:sz w:val="24"/>
                <w:szCs w:val="24"/>
              </w:rPr>
              <w:t>այո □ ոչ</w:t>
            </w:r>
          </w:p>
        </w:tc>
      </w:tr>
      <w:tr w:rsidR="008C76E0" w:rsidRPr="00BD7577" w14:paraId="6646BBF2" w14:textId="77777777" w:rsidTr="008C76E0">
        <w:trPr>
          <w:gridAfter w:val="1"/>
          <w:wAfter w:w="10" w:type="dxa"/>
          <w:trHeight w:val="450"/>
          <w:jc w:val="center"/>
        </w:trPr>
        <w:tc>
          <w:tcPr>
            <w:tcW w:w="8501" w:type="dxa"/>
            <w:gridSpan w:val="2"/>
            <w:vMerge/>
            <w:shd w:val="clear" w:color="auto" w:fill="FFFFFF"/>
            <w:vAlign w:val="center"/>
          </w:tcPr>
          <w:p w14:paraId="59BD6512" w14:textId="77777777" w:rsidR="008C76E0" w:rsidRPr="00BD7577" w:rsidRDefault="008C76E0" w:rsidP="004B393A">
            <w:pPr>
              <w:pStyle w:val="Bodytext180"/>
              <w:shd w:val="clear" w:color="auto" w:fill="auto"/>
              <w:tabs>
                <w:tab w:val="left" w:pos="1412"/>
              </w:tabs>
              <w:spacing w:before="0" w:after="160" w:line="384" w:lineRule="auto"/>
              <w:ind w:left="24" w:right="208" w:firstLine="567"/>
              <w:jc w:val="both"/>
              <w:rPr>
                <w:rStyle w:val="Bodytext295pt"/>
                <w:rFonts w:ascii="Sylfaen" w:hAnsi="Sylfaen"/>
                <w:i/>
                <w:spacing w:val="0"/>
                <w:sz w:val="24"/>
                <w:szCs w:val="24"/>
              </w:rPr>
            </w:pPr>
          </w:p>
        </w:tc>
        <w:tc>
          <w:tcPr>
            <w:tcW w:w="1675" w:type="dxa"/>
            <w:shd w:val="clear" w:color="auto" w:fill="FFFFFF"/>
          </w:tcPr>
          <w:p w14:paraId="51DB5488" w14:textId="77777777" w:rsidR="008C76E0" w:rsidRPr="00BD7577" w:rsidRDefault="008C76E0" w:rsidP="004B393A">
            <w:pPr>
              <w:pStyle w:val="Bodytext180"/>
              <w:spacing w:before="0" w:after="160" w:line="384" w:lineRule="auto"/>
              <w:ind w:left="197" w:right="124" w:firstLine="12"/>
              <w:jc w:val="both"/>
              <w:rPr>
                <w:rFonts w:ascii="Sylfaen" w:hAnsi="Sylfaen"/>
                <w:b w:val="0"/>
                <w:bCs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1EC766E9" w14:textId="77777777" w:rsidTr="008C76E0">
        <w:trPr>
          <w:gridAfter w:val="1"/>
          <w:wAfter w:w="10" w:type="dxa"/>
          <w:jc w:val="center"/>
        </w:trPr>
        <w:tc>
          <w:tcPr>
            <w:tcW w:w="8501" w:type="dxa"/>
            <w:gridSpan w:val="2"/>
            <w:shd w:val="clear" w:color="auto" w:fill="FFFFFF"/>
          </w:tcPr>
          <w:p w14:paraId="42A52B40"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հեշտ է մանրակերտի օգնությամբ կողմնորոշվելը:</w:t>
            </w:r>
          </w:p>
        </w:tc>
        <w:tc>
          <w:tcPr>
            <w:tcW w:w="1675" w:type="dxa"/>
            <w:shd w:val="clear" w:color="auto" w:fill="FFFFFF"/>
          </w:tcPr>
          <w:p w14:paraId="55790526"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0C48DE9B" w14:textId="77777777" w:rsidTr="008C76E0">
        <w:trPr>
          <w:gridAfter w:val="1"/>
          <w:wAfter w:w="10" w:type="dxa"/>
          <w:jc w:val="center"/>
        </w:trPr>
        <w:tc>
          <w:tcPr>
            <w:tcW w:w="8501" w:type="dxa"/>
            <w:gridSpan w:val="2"/>
            <w:shd w:val="clear" w:color="auto" w:fill="FFFFFF"/>
          </w:tcPr>
          <w:p w14:paraId="62C3C5E5" w14:textId="77777777" w:rsidR="008C76E0" w:rsidRPr="008C76E0"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lang w:val="hy-AM"/>
              </w:rPr>
            </w:pPr>
            <w:r w:rsidRPr="00BD7577">
              <w:rPr>
                <w:rStyle w:val="Bodytext295pt"/>
                <w:rFonts w:ascii="Sylfaen" w:hAnsi="Sylfaen"/>
                <w:spacing w:val="0"/>
                <w:sz w:val="24"/>
                <w:szCs w:val="24"/>
              </w:rPr>
              <w:t>Արդյո՞ք սխեմաների կիրառումն ընդունելի է:</w:t>
            </w:r>
          </w:p>
        </w:tc>
        <w:tc>
          <w:tcPr>
            <w:tcW w:w="1675" w:type="dxa"/>
            <w:shd w:val="clear" w:color="auto" w:fill="FFFFFF"/>
          </w:tcPr>
          <w:p w14:paraId="0B8BC673" w14:textId="77777777" w:rsidR="008C76E0" w:rsidRPr="00BD7577" w:rsidRDefault="008C76E0" w:rsidP="004B393A">
            <w:pPr>
              <w:pStyle w:val="Bodytext180"/>
              <w:shd w:val="clear" w:color="auto" w:fill="auto"/>
              <w:spacing w:before="0" w:after="160" w:line="384" w:lineRule="auto"/>
              <w:ind w:left="197" w:right="124" w:firstLine="12"/>
              <w:jc w:val="both"/>
              <w:rPr>
                <w:rFonts w:ascii="Sylfaen" w:hAnsi="Sylfaen"/>
                <w:b w:val="0"/>
                <w:i/>
                <w:sz w:val="24"/>
                <w:szCs w:val="24"/>
              </w:rPr>
            </w:pPr>
            <w:r w:rsidRPr="00BD7577">
              <w:rPr>
                <w:rStyle w:val="Bodytext295pt"/>
                <w:rFonts w:ascii="Sylfaen" w:hAnsi="Sylfaen"/>
                <w:spacing w:val="0"/>
                <w:sz w:val="24"/>
                <w:szCs w:val="24"/>
              </w:rPr>
              <w:t>□ այո □ ոչ</w:t>
            </w:r>
          </w:p>
        </w:tc>
      </w:tr>
      <w:tr w:rsidR="008C76E0" w:rsidRPr="00BD7577" w14:paraId="5FD5B3F0" w14:textId="77777777" w:rsidTr="008C76E0">
        <w:trPr>
          <w:gridAfter w:val="1"/>
          <w:wAfter w:w="10" w:type="dxa"/>
          <w:jc w:val="center"/>
        </w:trPr>
        <w:tc>
          <w:tcPr>
            <w:tcW w:w="10176" w:type="dxa"/>
            <w:gridSpan w:val="3"/>
            <w:shd w:val="clear" w:color="auto" w:fill="FFFFFF"/>
            <w:vAlign w:val="bottom"/>
          </w:tcPr>
          <w:p w14:paraId="629095F5" w14:textId="77777777" w:rsidR="008C76E0" w:rsidRPr="00BD7577" w:rsidRDefault="008C76E0" w:rsidP="004B393A">
            <w:pPr>
              <w:pStyle w:val="Bodytext180"/>
              <w:shd w:val="clear" w:color="auto" w:fill="auto"/>
              <w:tabs>
                <w:tab w:val="left" w:pos="1412"/>
              </w:tabs>
              <w:spacing w:before="0" w:after="160" w:line="384" w:lineRule="auto"/>
              <w:ind w:left="192" w:right="208" w:hanging="24"/>
              <w:jc w:val="both"/>
              <w:rPr>
                <w:rFonts w:ascii="Sylfaen" w:hAnsi="Sylfaen"/>
                <w:b w:val="0"/>
                <w:i/>
                <w:sz w:val="24"/>
                <w:szCs w:val="24"/>
              </w:rPr>
            </w:pPr>
            <w:r w:rsidRPr="00BD7577">
              <w:rPr>
                <w:rStyle w:val="Bodytext295pt"/>
                <w:rFonts w:ascii="Sylfaen" w:hAnsi="Sylfaen"/>
                <w:spacing w:val="0"/>
                <w:sz w:val="24"/>
                <w:szCs w:val="24"/>
              </w:rPr>
              <w:t>Մեկնաբանություններ (լրացուցիչ տեղեկատվություն)</w:t>
            </w:r>
          </w:p>
        </w:tc>
      </w:tr>
      <w:tr w:rsidR="008C76E0" w:rsidRPr="00BD7577" w14:paraId="50C53C68" w14:textId="77777777" w:rsidTr="008C76E0">
        <w:trPr>
          <w:gridAfter w:val="1"/>
          <w:wAfter w:w="10" w:type="dxa"/>
          <w:jc w:val="center"/>
        </w:trPr>
        <w:tc>
          <w:tcPr>
            <w:tcW w:w="10176" w:type="dxa"/>
            <w:gridSpan w:val="3"/>
            <w:shd w:val="clear" w:color="auto" w:fill="FFFFFF"/>
            <w:vAlign w:val="center"/>
          </w:tcPr>
          <w:p w14:paraId="2464F985"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center"/>
              <w:rPr>
                <w:rFonts w:ascii="Sylfaen" w:hAnsi="Sylfaen"/>
                <w:b w:val="0"/>
                <w:i/>
                <w:sz w:val="24"/>
                <w:szCs w:val="24"/>
              </w:rPr>
            </w:pPr>
            <w:r w:rsidRPr="00BD7577">
              <w:rPr>
                <w:rStyle w:val="Bodytext295pt"/>
                <w:rFonts w:ascii="Sylfaen" w:hAnsi="Sylfaen"/>
                <w:spacing w:val="0"/>
                <w:sz w:val="24"/>
                <w:szCs w:val="24"/>
              </w:rPr>
              <w:t>5. Ախտորոշման (գնահատման) որակը</w:t>
            </w:r>
          </w:p>
        </w:tc>
      </w:tr>
      <w:tr w:rsidR="008C76E0" w:rsidRPr="00BD7577" w14:paraId="621615B6" w14:textId="77777777" w:rsidTr="008C76E0">
        <w:trPr>
          <w:gridAfter w:val="1"/>
          <w:wAfter w:w="10" w:type="dxa"/>
          <w:jc w:val="center"/>
        </w:trPr>
        <w:tc>
          <w:tcPr>
            <w:tcW w:w="6885" w:type="dxa"/>
            <w:shd w:val="clear" w:color="auto" w:fill="FFFFFF"/>
            <w:vAlign w:val="center"/>
          </w:tcPr>
          <w:p w14:paraId="39AB3A7F" w14:textId="0945726A" w:rsidR="008C76E0" w:rsidRPr="00BD7577" w:rsidRDefault="008C76E0" w:rsidP="008C76E0">
            <w:pPr>
              <w:pStyle w:val="Bodytext180"/>
              <w:shd w:val="clear" w:color="auto" w:fill="auto"/>
              <w:tabs>
                <w:tab w:val="left" w:pos="1412"/>
              </w:tabs>
              <w:spacing w:before="0" w:after="160" w:line="360" w:lineRule="auto"/>
              <w:ind w:left="206" w:right="208" w:hanging="24"/>
              <w:jc w:val="both"/>
              <w:rPr>
                <w:rStyle w:val="Bodytext295pt"/>
                <w:rFonts w:ascii="Sylfaen" w:hAnsi="Sylfaen"/>
                <w:i/>
                <w:spacing w:val="0"/>
                <w:sz w:val="24"/>
                <w:szCs w:val="24"/>
              </w:rPr>
            </w:pPr>
            <w:r w:rsidRPr="00BD7577">
              <w:rPr>
                <w:rStyle w:val="Bodytext295pt"/>
                <w:rFonts w:ascii="Sylfaen" w:hAnsi="Sylfaen"/>
                <w:spacing w:val="0"/>
                <w:sz w:val="24"/>
                <w:szCs w:val="24"/>
              </w:rPr>
              <w:t xml:space="preserve">Արդյո՞ք ՆԹ-ում </w:t>
            </w:r>
            <w:r w:rsidR="00FE4A71">
              <w:rPr>
                <w:rStyle w:val="Bodytext295pt"/>
                <w:rFonts w:ascii="Sylfaen" w:hAnsi="Sylfaen"/>
                <w:spacing w:val="0"/>
                <w:sz w:val="24"/>
                <w:szCs w:val="24"/>
              </w:rPr>
              <w:t xml:space="preserve">հայտնաբերվել </w:t>
            </w:r>
            <w:r w:rsidRPr="00BD7577">
              <w:rPr>
                <w:rStyle w:val="Bodytext295pt"/>
                <w:rFonts w:ascii="Sylfaen" w:hAnsi="Sylfaen"/>
                <w:spacing w:val="0"/>
                <w:sz w:val="24"/>
                <w:szCs w:val="24"/>
              </w:rPr>
              <w:t xml:space="preserve"> է որ</w:t>
            </w:r>
            <w:r w:rsidR="00C54D75">
              <w:rPr>
                <w:rStyle w:val="Bodytext295pt"/>
                <w:rFonts w:ascii="Sylfaen" w:hAnsi="Sylfaen"/>
                <w:spacing w:val="0"/>
                <w:sz w:val="24"/>
                <w:szCs w:val="24"/>
              </w:rPr>
              <w:t>և</w:t>
            </w:r>
            <w:r w:rsidRPr="00BD7577">
              <w:rPr>
                <w:rStyle w:val="Bodytext295pt"/>
                <w:rFonts w:ascii="Sylfaen" w:hAnsi="Sylfaen"/>
                <w:spacing w:val="0"/>
                <w:sz w:val="24"/>
                <w:szCs w:val="24"/>
              </w:rPr>
              <w:t xml:space="preserve">է թույլ կողմ: </w:t>
            </w:r>
          </w:p>
          <w:p w14:paraId="78EFF65F" w14:textId="77777777" w:rsidR="008C76E0" w:rsidRPr="008C76E0"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lang w:val="hy-AM"/>
              </w:rPr>
            </w:pPr>
            <w:r w:rsidRPr="00BD7577">
              <w:rPr>
                <w:rStyle w:val="Bodytext295pt"/>
                <w:rFonts w:ascii="Sylfaen" w:hAnsi="Sylfaen"/>
                <w:spacing w:val="0"/>
                <w:sz w:val="24"/>
                <w:szCs w:val="24"/>
              </w:rPr>
              <w:t>Արդյո՞ք թույլ կողմերը պատշաճ ձ</w:t>
            </w:r>
            <w:r w:rsidR="00C54D75">
              <w:rPr>
                <w:rStyle w:val="Bodytext295pt"/>
                <w:rFonts w:ascii="Sylfaen" w:hAnsi="Sylfaen"/>
                <w:spacing w:val="0"/>
                <w:sz w:val="24"/>
                <w:szCs w:val="24"/>
              </w:rPr>
              <w:t>և</w:t>
            </w:r>
            <w:r w:rsidRPr="00BD7577">
              <w:rPr>
                <w:rStyle w:val="Bodytext295pt"/>
                <w:rFonts w:ascii="Sylfaen" w:hAnsi="Sylfaen"/>
                <w:spacing w:val="0"/>
                <w:sz w:val="24"/>
                <w:szCs w:val="24"/>
              </w:rPr>
              <w:t>ով վերացվել են:</w:t>
            </w:r>
          </w:p>
        </w:tc>
        <w:tc>
          <w:tcPr>
            <w:tcW w:w="3291" w:type="dxa"/>
            <w:gridSpan w:val="2"/>
            <w:shd w:val="clear" w:color="auto" w:fill="FFFFFF"/>
            <w:vAlign w:val="center"/>
          </w:tcPr>
          <w:p w14:paraId="28CB8B5B"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p w14:paraId="23ADEAD1"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sz w:val="24"/>
                <w:szCs w:val="24"/>
              </w:rPr>
              <w:t xml:space="preserve">□ </w:t>
            </w:r>
            <w:r w:rsidRPr="00BD7577">
              <w:rPr>
                <w:rStyle w:val="Bodytext295pt"/>
                <w:rFonts w:ascii="Sylfaen" w:hAnsi="Sylfaen"/>
                <w:spacing w:val="0"/>
                <w:sz w:val="24"/>
                <w:szCs w:val="24"/>
              </w:rPr>
              <w:t>այո □ ոչ</w:t>
            </w:r>
          </w:p>
        </w:tc>
      </w:tr>
      <w:tr w:rsidR="008C76E0" w:rsidRPr="00BD7577" w14:paraId="5A38AF57" w14:textId="77777777" w:rsidTr="008C76E0">
        <w:trPr>
          <w:gridAfter w:val="1"/>
          <w:wAfter w:w="10" w:type="dxa"/>
          <w:jc w:val="center"/>
        </w:trPr>
        <w:tc>
          <w:tcPr>
            <w:tcW w:w="6885" w:type="dxa"/>
            <w:shd w:val="clear" w:color="auto" w:fill="FFFFFF"/>
            <w:vAlign w:val="bottom"/>
          </w:tcPr>
          <w:p w14:paraId="044BD364" w14:textId="77777777" w:rsidR="008C76E0" w:rsidRPr="00BD7577" w:rsidRDefault="008C76E0" w:rsidP="008C76E0">
            <w:pPr>
              <w:pStyle w:val="Bodytext180"/>
              <w:shd w:val="clear" w:color="auto" w:fill="auto"/>
              <w:tabs>
                <w:tab w:val="left" w:pos="1412"/>
              </w:tabs>
              <w:spacing w:before="0" w:after="160" w:line="360" w:lineRule="auto"/>
              <w:ind w:left="206" w:right="208" w:hanging="24"/>
              <w:jc w:val="both"/>
              <w:rPr>
                <w:rFonts w:ascii="Sylfaen" w:hAnsi="Sylfaen"/>
                <w:b w:val="0"/>
                <w:sz w:val="24"/>
                <w:szCs w:val="24"/>
              </w:rPr>
            </w:pPr>
            <w:r w:rsidRPr="00BD7577">
              <w:rPr>
                <w:rStyle w:val="Bodytext295pt"/>
                <w:rFonts w:ascii="Sylfaen" w:hAnsi="Sylfaen"/>
                <w:spacing w:val="0"/>
                <w:sz w:val="24"/>
                <w:szCs w:val="24"/>
              </w:rPr>
              <w:t>Մեկնաբանություններ (լրացուցիչ տեղեկատվություն)</w:t>
            </w:r>
          </w:p>
        </w:tc>
        <w:tc>
          <w:tcPr>
            <w:tcW w:w="3291" w:type="dxa"/>
            <w:gridSpan w:val="2"/>
            <w:shd w:val="clear" w:color="auto" w:fill="FFFFFF"/>
          </w:tcPr>
          <w:p w14:paraId="6BF968DC" w14:textId="77777777" w:rsidR="008C76E0" w:rsidRPr="00BD7577" w:rsidRDefault="008C76E0" w:rsidP="008C76E0">
            <w:pPr>
              <w:tabs>
                <w:tab w:val="left" w:pos="1412"/>
              </w:tabs>
              <w:ind w:left="24" w:right="208" w:firstLine="567"/>
              <w:jc w:val="both"/>
              <w:rPr>
                <w:rFonts w:ascii="Sylfaen" w:hAnsi="Sylfaen"/>
                <w:sz w:val="24"/>
                <w:szCs w:val="24"/>
              </w:rPr>
            </w:pPr>
          </w:p>
        </w:tc>
      </w:tr>
      <w:tr w:rsidR="008C76E0" w:rsidRPr="00BD7577" w14:paraId="0C813E5D" w14:textId="77777777" w:rsidTr="008C76E0">
        <w:trPr>
          <w:gridAfter w:val="1"/>
          <w:wAfter w:w="10" w:type="dxa"/>
          <w:jc w:val="center"/>
        </w:trPr>
        <w:tc>
          <w:tcPr>
            <w:tcW w:w="10176" w:type="dxa"/>
            <w:gridSpan w:val="3"/>
            <w:shd w:val="clear" w:color="auto" w:fill="FFFFFF"/>
            <w:vAlign w:val="center"/>
          </w:tcPr>
          <w:p w14:paraId="4BAB7A57" w14:textId="77777777" w:rsidR="008C76E0" w:rsidRPr="002754BD" w:rsidRDefault="008C76E0" w:rsidP="008C76E0">
            <w:pPr>
              <w:tabs>
                <w:tab w:val="left" w:pos="1412"/>
              </w:tabs>
              <w:ind w:left="24" w:right="208" w:firstLine="567"/>
              <w:jc w:val="center"/>
              <w:rPr>
                <w:rFonts w:ascii="Sylfaen" w:hAnsi="Sylfaen"/>
                <w:b/>
                <w:i/>
                <w:sz w:val="24"/>
                <w:szCs w:val="24"/>
              </w:rPr>
            </w:pPr>
            <w:r w:rsidRPr="002754BD">
              <w:rPr>
                <w:rStyle w:val="Bodytext295pt"/>
                <w:rFonts w:ascii="Sylfaen" w:eastAsia="MS Mincho" w:hAnsi="Sylfaen"/>
                <w:b w:val="0"/>
                <w:spacing w:val="0"/>
                <w:sz w:val="24"/>
                <w:szCs w:val="24"/>
              </w:rPr>
              <w:t>6.Եզրակացությունը</w:t>
            </w:r>
          </w:p>
        </w:tc>
      </w:tr>
      <w:tr w:rsidR="008C76E0" w:rsidRPr="00BD7577" w14:paraId="3EE37C90" w14:textId="77777777" w:rsidTr="008C76E0">
        <w:trPr>
          <w:gridAfter w:val="1"/>
          <w:wAfter w:w="10" w:type="dxa"/>
          <w:jc w:val="center"/>
        </w:trPr>
        <w:tc>
          <w:tcPr>
            <w:tcW w:w="6885" w:type="dxa"/>
            <w:shd w:val="clear" w:color="auto" w:fill="FFFFFF"/>
            <w:vAlign w:val="bottom"/>
          </w:tcPr>
          <w:p w14:paraId="554238B2"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Արդյո՞ք կատարվել են օգտագործողների թեստավորման գլխավոր խնդիրները։</w:t>
            </w:r>
          </w:p>
          <w:p w14:paraId="6885E65E" w14:textId="477EFE48"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 xml:space="preserve">Արդյո՞ք </w:t>
            </w:r>
            <w:r w:rsidR="0056496B">
              <w:rPr>
                <w:rStyle w:val="Bodytext295pt"/>
                <w:rFonts w:ascii="Sylfaen" w:hAnsi="Sylfaen"/>
                <w:spacing w:val="0"/>
                <w:sz w:val="24"/>
                <w:szCs w:val="24"/>
              </w:rPr>
              <w:t>դիմումատու</w:t>
            </w:r>
            <w:r w:rsidRPr="00BD7577">
              <w:rPr>
                <w:rStyle w:val="Bodytext295pt"/>
                <w:rFonts w:ascii="Sylfaen" w:hAnsi="Sylfaen"/>
                <w:spacing w:val="0"/>
                <w:sz w:val="24"/>
                <w:szCs w:val="24"/>
              </w:rPr>
              <w:t>ի եզրակացությունը ճիշտ է։</w:t>
            </w:r>
          </w:p>
          <w:p w14:paraId="73E39EF4"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Մեթոդաբանության վերաբերյալ ընդհանուր տպավորությունը:</w:t>
            </w:r>
          </w:p>
          <w:p w14:paraId="7E55EBAD" w14:textId="77777777" w:rsidR="008C76E0" w:rsidRPr="008C76E0" w:rsidRDefault="008C76E0" w:rsidP="008C76E0">
            <w:pPr>
              <w:pStyle w:val="Bodytext180"/>
              <w:shd w:val="clear" w:color="auto" w:fill="auto"/>
              <w:tabs>
                <w:tab w:val="left" w:pos="1412"/>
              </w:tabs>
              <w:spacing w:before="0" w:after="160" w:line="360" w:lineRule="auto"/>
              <w:ind w:left="192" w:right="208" w:firstLine="0"/>
              <w:jc w:val="both"/>
              <w:rPr>
                <w:rFonts w:ascii="Sylfaen" w:hAnsi="Sylfaen"/>
                <w:b w:val="0"/>
                <w:sz w:val="24"/>
                <w:szCs w:val="24"/>
                <w:lang w:val="hy-AM"/>
              </w:rPr>
            </w:pPr>
            <w:r w:rsidRPr="00BD7577">
              <w:rPr>
                <w:rStyle w:val="Bodytext295pt"/>
                <w:rFonts w:ascii="Sylfaen" w:hAnsi="Sylfaen"/>
                <w:spacing w:val="0"/>
                <w:sz w:val="24"/>
                <w:szCs w:val="24"/>
              </w:rPr>
              <w:t>Ներդիր թերթիկի կառուցվածքի վերաբերյալ ընդհանուր տպավորությունը:</w:t>
            </w:r>
          </w:p>
        </w:tc>
        <w:tc>
          <w:tcPr>
            <w:tcW w:w="3291" w:type="dxa"/>
            <w:gridSpan w:val="2"/>
            <w:shd w:val="clear" w:color="auto" w:fill="FFFFFF"/>
            <w:vAlign w:val="bottom"/>
          </w:tcPr>
          <w:p w14:paraId="413F418F"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32C2F294"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sz w:val="24"/>
                <w:szCs w:val="24"/>
                <w:lang w:val="hy-AM"/>
              </w:rPr>
              <w:t xml:space="preserve">□ </w:t>
            </w:r>
            <w:r w:rsidRPr="00BD7577">
              <w:rPr>
                <w:rStyle w:val="Bodytext295pt"/>
                <w:rFonts w:ascii="Sylfaen" w:hAnsi="Sylfaen"/>
                <w:spacing w:val="0"/>
                <w:sz w:val="24"/>
                <w:szCs w:val="24"/>
              </w:rPr>
              <w:t>այո □ ոչ</w:t>
            </w:r>
          </w:p>
          <w:p w14:paraId="7BE0D341"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դրական</w:t>
            </w:r>
          </w:p>
          <w:p w14:paraId="7B156D5B" w14:textId="77777777" w:rsidR="008C76E0" w:rsidRPr="008C76E0"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sz w:val="24"/>
                <w:szCs w:val="24"/>
                <w:lang w:val="hy-AM"/>
              </w:rPr>
              <w:t xml:space="preserve"> </w:t>
            </w:r>
            <w:r w:rsidRPr="00BD7577">
              <w:rPr>
                <w:rStyle w:val="Bodytext295pt"/>
                <w:rFonts w:ascii="Sylfaen" w:hAnsi="Sylfaen"/>
                <w:spacing w:val="0"/>
                <w:sz w:val="24"/>
                <w:szCs w:val="24"/>
              </w:rPr>
              <w:t>բացասական</w:t>
            </w:r>
          </w:p>
          <w:p w14:paraId="001128EF"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դրական</w:t>
            </w:r>
          </w:p>
          <w:p w14:paraId="2D5C0974" w14:textId="77777777" w:rsidR="008C76E0" w:rsidRPr="00BD7577" w:rsidRDefault="008C76E0" w:rsidP="008C76E0">
            <w:pPr>
              <w:pStyle w:val="Bodytext180"/>
              <w:shd w:val="clear" w:color="auto" w:fill="auto"/>
              <w:tabs>
                <w:tab w:val="left" w:pos="1412"/>
              </w:tabs>
              <w:spacing w:before="0" w:after="160" w:line="360" w:lineRule="auto"/>
              <w:ind w:left="24" w:right="208" w:firstLine="567"/>
              <w:jc w:val="both"/>
              <w:rPr>
                <w:rFonts w:ascii="Sylfaen" w:hAnsi="Sylfaen"/>
                <w:b w:val="0"/>
                <w:sz w:val="24"/>
                <w:szCs w:val="24"/>
              </w:rPr>
            </w:pPr>
            <w:r w:rsidRPr="00BD7577">
              <w:rPr>
                <w:rFonts w:ascii="Sylfaen" w:hAnsi="Sylfaen"/>
                <w:b w:val="0"/>
                <w:sz w:val="24"/>
                <w:szCs w:val="24"/>
              </w:rPr>
              <w:t>□</w:t>
            </w:r>
            <w:r w:rsidRPr="00BD7577">
              <w:rPr>
                <w:rFonts w:ascii="Sylfaen" w:hAnsi="Sylfaen"/>
                <w:sz w:val="24"/>
                <w:szCs w:val="24"/>
              </w:rPr>
              <w:t xml:space="preserve"> </w:t>
            </w:r>
            <w:r w:rsidRPr="00BD7577">
              <w:rPr>
                <w:rStyle w:val="Bodytext295pt"/>
                <w:rFonts w:ascii="Sylfaen" w:hAnsi="Sylfaen"/>
                <w:spacing w:val="0"/>
                <w:sz w:val="24"/>
                <w:szCs w:val="24"/>
              </w:rPr>
              <w:t>բացասական</w:t>
            </w:r>
          </w:p>
        </w:tc>
      </w:tr>
    </w:tbl>
    <w:p w14:paraId="66C3E1DC" w14:textId="77777777" w:rsidR="008C76E0" w:rsidRPr="002754BD" w:rsidRDefault="008C76E0" w:rsidP="008C76E0">
      <w:pPr>
        <w:widowControl/>
        <w:rPr>
          <w:rFonts w:ascii="Sylfaen" w:hAnsi="Sylfaen"/>
          <w:sz w:val="24"/>
          <w:szCs w:val="24"/>
          <w:lang w:val="en-US"/>
        </w:rPr>
      </w:pP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BD7577" w14:paraId="7704FABF" w14:textId="77777777" w:rsidTr="008C76E0">
        <w:trPr>
          <w:jc w:val="center"/>
        </w:trPr>
        <w:tc>
          <w:tcPr>
            <w:tcW w:w="9576" w:type="dxa"/>
            <w:tcBorders>
              <w:top w:val="single" w:sz="4" w:space="0" w:color="auto"/>
              <w:left w:val="single" w:sz="4" w:space="0" w:color="auto"/>
              <w:right w:val="single" w:sz="4" w:space="0" w:color="auto"/>
            </w:tcBorders>
            <w:shd w:val="clear" w:color="auto" w:fill="FFFFFF"/>
            <w:vAlign w:val="bottom"/>
          </w:tcPr>
          <w:p w14:paraId="03BCA4A5" w14:textId="77777777" w:rsidR="008C76E0" w:rsidRPr="00BD7577" w:rsidRDefault="008C76E0" w:rsidP="008C76E0">
            <w:pPr>
              <w:pStyle w:val="Bodytext180"/>
              <w:shd w:val="clear" w:color="auto" w:fill="auto"/>
              <w:spacing w:before="0" w:after="160" w:line="360" w:lineRule="auto"/>
              <w:ind w:right="-1" w:firstLine="567"/>
              <w:jc w:val="both"/>
              <w:rPr>
                <w:rFonts w:ascii="Sylfaen" w:hAnsi="Sylfaen"/>
                <w:b w:val="0"/>
                <w:sz w:val="24"/>
                <w:szCs w:val="24"/>
              </w:rPr>
            </w:pPr>
            <w:r w:rsidRPr="00BD7577">
              <w:rPr>
                <w:rStyle w:val="Bodytext295pt"/>
                <w:rFonts w:ascii="Sylfaen" w:hAnsi="Sylfaen"/>
                <w:spacing w:val="0"/>
                <w:sz w:val="24"/>
                <w:szCs w:val="24"/>
              </w:rPr>
              <w:t>Եզրակացությունը (ռեզյումեն)</w:t>
            </w:r>
          </w:p>
        </w:tc>
      </w:tr>
      <w:tr w:rsidR="008C76E0" w:rsidRPr="00BD7577" w14:paraId="4A28D8B1"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1514630E" w14:textId="77777777" w:rsidR="008C76E0" w:rsidRPr="00BD7577" w:rsidRDefault="008C76E0" w:rsidP="008C76E0">
            <w:pPr>
              <w:ind w:right="-1" w:firstLine="567"/>
              <w:jc w:val="both"/>
              <w:rPr>
                <w:rFonts w:ascii="Sylfaen" w:hAnsi="Sylfaen"/>
                <w:sz w:val="24"/>
                <w:szCs w:val="24"/>
              </w:rPr>
            </w:pPr>
          </w:p>
        </w:tc>
      </w:tr>
      <w:tr w:rsidR="008C76E0" w:rsidRPr="00BD7577" w14:paraId="5A380E1A" w14:textId="77777777" w:rsidTr="008C76E0">
        <w:trPr>
          <w:jc w:val="center"/>
        </w:trPr>
        <w:tc>
          <w:tcPr>
            <w:tcW w:w="9576" w:type="dxa"/>
            <w:tcBorders>
              <w:top w:val="single" w:sz="4" w:space="0" w:color="auto"/>
              <w:left w:val="single" w:sz="4" w:space="0" w:color="auto"/>
              <w:bottom w:val="single" w:sz="4" w:space="0" w:color="auto"/>
              <w:right w:val="single" w:sz="4" w:space="0" w:color="auto"/>
            </w:tcBorders>
            <w:shd w:val="clear" w:color="auto" w:fill="FFFFFF"/>
          </w:tcPr>
          <w:p w14:paraId="59F16618" w14:textId="77777777" w:rsidR="00364CB4" w:rsidRPr="00CD4709" w:rsidRDefault="00364CB4" w:rsidP="00364CB4">
            <w:pPr>
              <w:rPr>
                <w:b/>
                <w:bCs/>
                <w:i/>
                <w:iCs/>
                <w:lang w:val="en-US"/>
              </w:rPr>
            </w:pPr>
            <w:r w:rsidRPr="00CD4709">
              <w:rPr>
                <w:b/>
                <w:bCs/>
                <w:i/>
                <w:iCs/>
              </w:rPr>
              <w:t>(</w:t>
            </w:r>
            <w:r>
              <w:rPr>
                <w:b/>
                <w:bCs/>
                <w:i/>
                <w:iCs/>
              </w:rPr>
              <w:t xml:space="preserve">հավելվածը </w:t>
            </w:r>
            <w:r w:rsidRPr="00CD4709">
              <w:rPr>
                <w:b/>
                <w:bCs/>
                <w:i/>
                <w:iCs/>
              </w:rPr>
              <w:t>փոփ. 30.01.20 թիվ 9)</w:t>
            </w:r>
          </w:p>
          <w:p w14:paraId="1C0DD884" w14:textId="77777777" w:rsidR="008C76E0" w:rsidRPr="00BD7577" w:rsidRDefault="008C76E0" w:rsidP="008C76E0">
            <w:pPr>
              <w:ind w:right="-1" w:firstLine="567"/>
              <w:jc w:val="both"/>
              <w:rPr>
                <w:rFonts w:ascii="Sylfaen" w:hAnsi="Sylfaen"/>
                <w:sz w:val="24"/>
                <w:szCs w:val="24"/>
              </w:rPr>
            </w:pPr>
          </w:p>
        </w:tc>
      </w:tr>
    </w:tbl>
    <w:p w14:paraId="3381E698" w14:textId="77777777" w:rsidR="008C76E0" w:rsidRPr="00BD7577" w:rsidRDefault="008C76E0" w:rsidP="008C76E0">
      <w:pPr>
        <w:ind w:right="-1"/>
        <w:jc w:val="both"/>
        <w:rPr>
          <w:rFonts w:ascii="Sylfaen" w:eastAsia="Times New Roman" w:hAnsi="Sylfaen" w:cs="Times New Roman"/>
          <w:sz w:val="24"/>
          <w:szCs w:val="24"/>
        </w:rPr>
        <w:sectPr w:rsidR="008C76E0" w:rsidRPr="00BD7577" w:rsidSect="00207FF6">
          <w:pgSz w:w="11907" w:h="16839" w:code="9"/>
          <w:pgMar w:top="1418" w:right="1418" w:bottom="1418" w:left="1418" w:header="709" w:footer="709" w:gutter="0"/>
          <w:pgNumType w:start="1"/>
          <w:cols w:space="708"/>
          <w:titlePg/>
          <w:docGrid w:linePitch="360"/>
        </w:sectPr>
      </w:pPr>
    </w:p>
    <w:p w14:paraId="36DED53A" w14:textId="05F4C734" w:rsidR="00364CB4" w:rsidRDefault="00364CB4" w:rsidP="004B393A">
      <w:pPr>
        <w:spacing w:after="160" w:line="360" w:lineRule="auto"/>
        <w:ind w:left="4678" w:right="-1"/>
        <w:jc w:val="center"/>
        <w:rPr>
          <w:rFonts w:ascii="Sylfaen" w:hAnsi="Sylfaen"/>
          <w:sz w:val="24"/>
          <w:szCs w:val="24"/>
        </w:rPr>
      </w:pPr>
    </w:p>
    <w:p w14:paraId="1A8ACD44" w14:textId="77777777" w:rsidR="00364CB4" w:rsidRDefault="00364CB4" w:rsidP="004B393A">
      <w:pPr>
        <w:spacing w:after="160" w:line="360" w:lineRule="auto"/>
        <w:ind w:left="4678" w:right="-1"/>
        <w:jc w:val="center"/>
        <w:rPr>
          <w:rFonts w:ascii="Sylfaen" w:hAnsi="Sylfaen"/>
          <w:sz w:val="24"/>
          <w:szCs w:val="24"/>
        </w:rPr>
      </w:pPr>
    </w:p>
    <w:p w14:paraId="08D5A0E3" w14:textId="73F12A68" w:rsidR="00364CB4" w:rsidRDefault="00364CB4" w:rsidP="004B393A">
      <w:pPr>
        <w:spacing w:after="160" w:line="360" w:lineRule="auto"/>
        <w:ind w:left="4678" w:right="-1"/>
        <w:jc w:val="center"/>
        <w:rPr>
          <w:rFonts w:ascii="Sylfaen" w:hAnsi="Sylfaen"/>
          <w:sz w:val="24"/>
          <w:szCs w:val="24"/>
        </w:rPr>
      </w:pPr>
      <w:r>
        <w:rPr>
          <w:rFonts w:ascii="Sylfaen" w:hAnsi="Sylfaen"/>
          <w:sz w:val="24"/>
          <w:szCs w:val="24"/>
        </w:rPr>
        <w:t xml:space="preserve">  </w:t>
      </w:r>
    </w:p>
    <w:p w14:paraId="6418E326" w14:textId="77777777" w:rsidR="00364CB4" w:rsidRDefault="00364CB4" w:rsidP="004B393A">
      <w:pPr>
        <w:spacing w:after="160" w:line="360" w:lineRule="auto"/>
        <w:ind w:left="4678" w:right="-1"/>
        <w:jc w:val="center"/>
        <w:rPr>
          <w:rFonts w:ascii="Sylfaen" w:hAnsi="Sylfaen"/>
          <w:sz w:val="24"/>
          <w:szCs w:val="24"/>
        </w:rPr>
      </w:pPr>
    </w:p>
    <w:p w14:paraId="25455762" w14:textId="77777777" w:rsidR="00364CB4" w:rsidRDefault="00364CB4" w:rsidP="004B393A">
      <w:pPr>
        <w:spacing w:after="160" w:line="360" w:lineRule="auto"/>
        <w:ind w:left="4678" w:right="-1"/>
        <w:jc w:val="center"/>
        <w:rPr>
          <w:rFonts w:ascii="Sylfaen" w:hAnsi="Sylfaen"/>
          <w:sz w:val="24"/>
          <w:szCs w:val="24"/>
        </w:rPr>
      </w:pPr>
    </w:p>
    <w:p w14:paraId="19782552" w14:textId="1B4B67EE"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ՀԱՎԵԼՎԱԾ ԹԻՎ 12</w:t>
      </w:r>
    </w:p>
    <w:p w14:paraId="313C74EF" w14:textId="77777777" w:rsidR="008C76E0" w:rsidRPr="00BD7577" w:rsidRDefault="008C76E0" w:rsidP="004B393A">
      <w:pPr>
        <w:spacing w:after="160" w:line="360" w:lineRule="auto"/>
        <w:ind w:left="4678"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775ECCDD" w14:textId="77777777" w:rsidR="008C76E0" w:rsidRPr="00BD7577" w:rsidRDefault="008C76E0" w:rsidP="004B393A">
      <w:pPr>
        <w:spacing w:after="160" w:line="360" w:lineRule="auto"/>
        <w:ind w:firstLine="567"/>
        <w:jc w:val="both"/>
        <w:rPr>
          <w:rFonts w:ascii="Sylfaen" w:hAnsi="Sylfaen"/>
          <w:sz w:val="24"/>
          <w:szCs w:val="24"/>
        </w:rPr>
      </w:pPr>
    </w:p>
    <w:p w14:paraId="0AE62489" w14:textId="77777777" w:rsidR="008C76E0" w:rsidRPr="008C76E0" w:rsidRDefault="008C76E0" w:rsidP="004B393A">
      <w:pPr>
        <w:pStyle w:val="Heading130"/>
        <w:shd w:val="clear" w:color="auto" w:fill="auto"/>
        <w:spacing w:before="0" w:after="160" w:line="360" w:lineRule="auto"/>
        <w:ind w:firstLine="567"/>
        <w:outlineLvl w:val="9"/>
        <w:rPr>
          <w:rFonts w:ascii="Sylfaen" w:hAnsi="Sylfaen"/>
          <w:b/>
          <w:sz w:val="24"/>
          <w:szCs w:val="24"/>
          <w:lang w:val="hy-AM"/>
        </w:rPr>
      </w:pPr>
      <w:bookmarkStart w:id="6" w:name="bookmark7"/>
      <w:r w:rsidRPr="008C76E0">
        <w:rPr>
          <w:rStyle w:val="Heading13Bold"/>
          <w:rFonts w:ascii="Sylfaen" w:hAnsi="Sylfaen"/>
          <w:b/>
          <w:sz w:val="24"/>
          <w:szCs w:val="24"/>
          <w:lang w:val="hy-AM"/>
        </w:rPr>
        <w:t>ՁԵՎ</w:t>
      </w:r>
      <w:bookmarkEnd w:id="6"/>
    </w:p>
    <w:p w14:paraId="3A146520" w14:textId="77777777" w:rsidR="008C76E0" w:rsidRPr="008C76E0" w:rsidRDefault="008C76E0" w:rsidP="004B393A">
      <w:pPr>
        <w:pStyle w:val="Bodytext130"/>
        <w:shd w:val="clear" w:color="auto" w:fill="auto"/>
        <w:spacing w:after="160" w:line="360" w:lineRule="auto"/>
        <w:ind w:right="-1" w:firstLine="567"/>
        <w:rPr>
          <w:rFonts w:ascii="Sylfaen" w:hAnsi="Sylfaen"/>
          <w:sz w:val="24"/>
          <w:szCs w:val="24"/>
          <w:lang w:val="hy-AM"/>
        </w:rPr>
      </w:pPr>
      <w:r w:rsidRPr="008C76E0">
        <w:rPr>
          <w:rFonts w:ascii="Sylfaen" w:hAnsi="Sylfaen"/>
          <w:sz w:val="24"/>
          <w:szCs w:val="24"/>
          <w:lang w:val="hy-AM"/>
        </w:rPr>
        <w:t>փորձարկումների արձանագրության</w:t>
      </w:r>
    </w:p>
    <w:p w14:paraId="3B784FCC" w14:textId="77777777" w:rsidR="008C76E0" w:rsidRPr="00BD7577" w:rsidRDefault="008C76E0" w:rsidP="004B393A">
      <w:pPr>
        <w:spacing w:after="160" w:line="360" w:lineRule="auto"/>
        <w:ind w:right="-1" w:firstLine="567"/>
        <w:jc w:val="right"/>
        <w:rPr>
          <w:rFonts w:ascii="Sylfaen" w:hAnsi="Sylfaen"/>
          <w:sz w:val="24"/>
          <w:szCs w:val="24"/>
        </w:rPr>
      </w:pPr>
      <w:r w:rsidRPr="00BD7577">
        <w:rPr>
          <w:rFonts w:ascii="Sylfaen" w:hAnsi="Sylfaen"/>
          <w:sz w:val="24"/>
          <w:szCs w:val="24"/>
        </w:rPr>
        <w:t>(ձ</w:t>
      </w:r>
      <w:r w:rsidR="00C54D75">
        <w:rPr>
          <w:rFonts w:ascii="Sylfaen" w:hAnsi="Sylfaen"/>
          <w:sz w:val="24"/>
          <w:szCs w:val="24"/>
        </w:rPr>
        <w:t>և</w:t>
      </w:r>
      <w:r w:rsidRPr="00BD7577">
        <w:rPr>
          <w:rFonts w:ascii="Sylfaen" w:hAnsi="Sylfaen"/>
          <w:sz w:val="24"/>
          <w:szCs w:val="24"/>
        </w:rPr>
        <w:t>)</w:t>
      </w:r>
    </w:p>
    <w:p w14:paraId="119A106A"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5E747B09" w14:textId="77777777" w:rsidR="008C76E0" w:rsidRPr="008C76E0" w:rsidRDefault="008C76E0" w:rsidP="004B393A">
      <w:pPr>
        <w:pStyle w:val="Bodytext40"/>
        <w:shd w:val="clear" w:color="auto" w:fill="auto"/>
        <w:spacing w:before="0" w:after="160" w:line="360" w:lineRule="auto"/>
        <w:ind w:right="-2"/>
        <w:rPr>
          <w:rFonts w:ascii="Sylfaen" w:hAnsi="Sylfaen"/>
          <w:b w:val="0"/>
          <w:sz w:val="20"/>
          <w:szCs w:val="20"/>
          <w:lang w:val="hy-AM"/>
        </w:rPr>
      </w:pPr>
      <w:r w:rsidRPr="008C76E0">
        <w:rPr>
          <w:rFonts w:ascii="Sylfaen" w:hAnsi="Sylfaen"/>
          <w:b w:val="0"/>
          <w:sz w:val="20"/>
          <w:szCs w:val="20"/>
          <w:lang w:val="hy-AM"/>
        </w:rPr>
        <w:t>(Եվրասիական տնտեսական միության անդամ պետության լիազորված մարմնի անվանումը)</w:t>
      </w:r>
    </w:p>
    <w:p w14:paraId="35A101E1"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7CD1E702"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կամ փորձարկման լաբորատորիայի անվանումը)</w:t>
      </w:r>
    </w:p>
    <w:p w14:paraId="1B982280"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cs="Sylfaen"/>
          <w:sz w:val="24"/>
          <w:szCs w:val="24"/>
        </w:rPr>
        <w:t>Փորձարկման</w:t>
      </w:r>
      <w:r w:rsidRPr="00BD7577">
        <w:rPr>
          <w:rFonts w:ascii="Sylfaen" w:hAnsi="Sylfaen"/>
          <w:sz w:val="24"/>
          <w:szCs w:val="24"/>
        </w:rPr>
        <w:t xml:space="preserve"> </w:t>
      </w:r>
      <w:r w:rsidRPr="00BD7577">
        <w:rPr>
          <w:rFonts w:ascii="Sylfaen" w:hAnsi="Sylfaen" w:cs="Sylfaen"/>
          <w:sz w:val="24"/>
          <w:szCs w:val="24"/>
        </w:rPr>
        <w:t>լաբորատորիայի</w:t>
      </w:r>
      <w:r w:rsidRPr="00BD7577">
        <w:rPr>
          <w:rFonts w:ascii="Sylfaen" w:hAnsi="Sylfaen"/>
          <w:sz w:val="24"/>
          <w:szCs w:val="24"/>
        </w:rPr>
        <w:t xml:space="preserve"> </w:t>
      </w:r>
      <w:r w:rsidRPr="00BD7577">
        <w:rPr>
          <w:rFonts w:ascii="Sylfaen" w:hAnsi="Sylfaen" w:cs="Sylfaen"/>
          <w:sz w:val="24"/>
          <w:szCs w:val="24"/>
        </w:rPr>
        <w:t>հավատարմագրման</w:t>
      </w:r>
      <w:r w:rsidRPr="00BD7577">
        <w:rPr>
          <w:rFonts w:ascii="Sylfaen" w:hAnsi="Sylfaen"/>
          <w:sz w:val="24"/>
          <w:szCs w:val="24"/>
        </w:rPr>
        <w:t xml:space="preserve"> </w:t>
      </w:r>
      <w:r w:rsidRPr="00BD7577">
        <w:rPr>
          <w:rFonts w:ascii="Sylfaen" w:hAnsi="Sylfaen" w:cs="Sylfaen"/>
          <w:sz w:val="24"/>
          <w:szCs w:val="24"/>
        </w:rPr>
        <w:t>վկայականը</w:t>
      </w:r>
      <w:r w:rsidRPr="00BD7577">
        <w:rPr>
          <w:rFonts w:ascii="Sylfaen" w:hAnsi="Sylfaen"/>
          <w:sz w:val="24"/>
          <w:szCs w:val="24"/>
        </w:rPr>
        <w:t xml:space="preserve"> ___________________________________________________________________________</w:t>
      </w:r>
    </w:p>
    <w:p w14:paraId="36705C32" w14:textId="77777777" w:rsidR="008C76E0" w:rsidRPr="008C76E0" w:rsidRDefault="008C76E0" w:rsidP="004B393A">
      <w:pPr>
        <w:pStyle w:val="Bodytext40"/>
        <w:shd w:val="clear" w:color="auto" w:fill="auto"/>
        <w:spacing w:before="0" w:after="160" w:line="360" w:lineRule="auto"/>
        <w:ind w:right="-1"/>
        <w:rPr>
          <w:rFonts w:ascii="Sylfaen" w:hAnsi="Sylfaen"/>
          <w:b w:val="0"/>
          <w:sz w:val="20"/>
          <w:szCs w:val="20"/>
          <w:lang w:val="hy-AM"/>
        </w:rPr>
      </w:pPr>
      <w:r w:rsidRPr="008C76E0">
        <w:rPr>
          <w:rFonts w:ascii="Sylfaen" w:hAnsi="Sylfaen"/>
          <w:b w:val="0"/>
          <w:sz w:val="20"/>
          <w:szCs w:val="20"/>
          <w:lang w:val="hy-AM"/>
        </w:rPr>
        <w:t>(համարը, գործողության ժամկետը)</w:t>
      </w:r>
    </w:p>
    <w:p w14:paraId="0F8DBFE3" w14:textId="77777777" w:rsidR="008C76E0" w:rsidRPr="00BD7577" w:rsidRDefault="008C76E0" w:rsidP="004B393A">
      <w:pPr>
        <w:spacing w:after="160" w:line="360" w:lineRule="auto"/>
        <w:jc w:val="both"/>
        <w:rPr>
          <w:rFonts w:ascii="Sylfaen" w:hAnsi="Sylfaen"/>
          <w:sz w:val="24"/>
          <w:szCs w:val="24"/>
        </w:rPr>
      </w:pPr>
      <w:r w:rsidRPr="00BD7577">
        <w:rPr>
          <w:rFonts w:ascii="Sylfaen" w:hAnsi="Sylfaen"/>
          <w:sz w:val="24"/>
          <w:szCs w:val="24"/>
        </w:rPr>
        <w:t>___________________________________________________________________________</w:t>
      </w:r>
    </w:p>
    <w:p w14:paraId="4C071326" w14:textId="77777777" w:rsidR="008C76E0" w:rsidRPr="008C76E0" w:rsidRDefault="008C76E0" w:rsidP="004B393A">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0"/>
          <w:szCs w:val="20"/>
          <w:lang w:val="hy-AM"/>
        </w:rPr>
        <w:t>(փորձագիտական կազմակերպության (փորձարկման լաբորատորիայի) հասցեն, հեռախոսահամարը)</w:t>
      </w:r>
    </w:p>
    <w:p w14:paraId="46766EAC" w14:textId="77777777" w:rsidR="008C76E0" w:rsidRPr="008C76E0" w:rsidRDefault="008C76E0" w:rsidP="008C76E0">
      <w:pPr>
        <w:pStyle w:val="Bodytext40"/>
        <w:shd w:val="clear" w:color="auto" w:fill="auto"/>
        <w:spacing w:before="0" w:after="160" w:line="360" w:lineRule="auto"/>
        <w:ind w:firstLine="567"/>
        <w:rPr>
          <w:rFonts w:ascii="Sylfaen" w:hAnsi="Sylfaen"/>
          <w:b w:val="0"/>
          <w:sz w:val="24"/>
          <w:szCs w:val="24"/>
          <w:lang w:val="hy-AM"/>
        </w:rPr>
      </w:pPr>
    </w:p>
    <w:p w14:paraId="48809C78" w14:textId="77777777" w:rsidR="008C76E0" w:rsidRPr="00BD7577" w:rsidRDefault="008C76E0" w:rsidP="008C76E0">
      <w:pPr>
        <w:ind w:left="567" w:right="565"/>
        <w:jc w:val="both"/>
        <w:rPr>
          <w:rFonts w:ascii="Sylfaen" w:hAnsi="Sylfaen"/>
          <w:sz w:val="24"/>
          <w:szCs w:val="24"/>
        </w:rPr>
      </w:pPr>
      <w:r w:rsidRPr="00BD7577">
        <w:rPr>
          <w:rFonts w:ascii="Sylfaen" w:hAnsi="Sylfaen"/>
          <w:sz w:val="24"/>
          <w:szCs w:val="24"/>
        </w:rPr>
        <w:lastRenderedPageBreak/>
        <w:t xml:space="preserve">ՓՈՐՁԱՐԿՈՒՄՆԵՐԻ ԱՐՁԱՆԱԳՐՈՒԹՅՈՒՆ ԹԻՎ ______ ՕՕ.ԱԱ.ՏՏՏՏ </w:t>
      </w:r>
    </w:p>
    <w:tbl>
      <w:tblPr>
        <w:tblOverlap w:val="never"/>
        <w:tblW w:w="10186" w:type="dxa"/>
        <w:jc w:val="center"/>
        <w:tblLayout w:type="fixed"/>
        <w:tblCellMar>
          <w:left w:w="10" w:type="dxa"/>
          <w:right w:w="10" w:type="dxa"/>
        </w:tblCellMar>
        <w:tblLook w:val="04A0" w:firstRow="1" w:lastRow="0" w:firstColumn="1" w:lastColumn="0" w:noHBand="0" w:noVBand="1"/>
      </w:tblPr>
      <w:tblGrid>
        <w:gridCol w:w="5244"/>
        <w:gridCol w:w="4942"/>
      </w:tblGrid>
      <w:tr w:rsidR="008C76E0" w:rsidRPr="00BD7577" w14:paraId="0EFBB3DA"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8FF7539" w14:textId="5D1F5752" w:rsidR="008C76E0" w:rsidRPr="00BD7577" w:rsidRDefault="0056496B" w:rsidP="008C76E0">
            <w:pPr>
              <w:pStyle w:val="Bodytext180"/>
              <w:shd w:val="clear" w:color="auto" w:fill="auto"/>
              <w:spacing w:before="0" w:after="120" w:line="240" w:lineRule="auto"/>
              <w:ind w:left="106" w:firstLine="0"/>
              <w:jc w:val="both"/>
              <w:rPr>
                <w:rFonts w:ascii="Sylfaen" w:hAnsi="Sylfaen"/>
                <w:b w:val="0"/>
                <w:sz w:val="24"/>
                <w:szCs w:val="24"/>
              </w:rPr>
            </w:pPr>
            <w:r>
              <w:rPr>
                <w:rStyle w:val="Bodytext1811pt"/>
                <w:rFonts w:ascii="Sylfaen" w:hAnsi="Sylfaen"/>
                <w:sz w:val="24"/>
                <w:szCs w:val="24"/>
              </w:rPr>
              <w:t>Դիմումատու</w:t>
            </w:r>
            <w:r w:rsidR="008C76E0" w:rsidRPr="00BD7577">
              <w:rPr>
                <w:rStyle w:val="Bodytext1811pt"/>
                <w:rFonts w:ascii="Sylfaen" w:hAnsi="Sylfaen"/>
                <w:sz w:val="24"/>
                <w:szCs w:val="24"/>
              </w:rPr>
              <w:t>ն՝</w:t>
            </w:r>
          </w:p>
        </w:tc>
        <w:tc>
          <w:tcPr>
            <w:tcW w:w="4942" w:type="dxa"/>
            <w:tcBorders>
              <w:top w:val="single" w:sz="4" w:space="0" w:color="auto"/>
              <w:left w:val="single" w:sz="4" w:space="0" w:color="auto"/>
              <w:right w:val="single" w:sz="4" w:space="0" w:color="auto"/>
            </w:tcBorders>
            <w:shd w:val="clear" w:color="auto" w:fill="FFFFFF"/>
          </w:tcPr>
          <w:p w14:paraId="4B40C61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449B304" w14:textId="77777777" w:rsidTr="008C76E0">
        <w:trPr>
          <w:trHeight w:val="1041"/>
          <w:jc w:val="center"/>
        </w:trPr>
        <w:tc>
          <w:tcPr>
            <w:tcW w:w="5244" w:type="dxa"/>
            <w:tcBorders>
              <w:top w:val="single" w:sz="4" w:space="0" w:color="auto"/>
              <w:left w:val="single" w:sz="4" w:space="0" w:color="auto"/>
            </w:tcBorders>
            <w:shd w:val="clear" w:color="auto" w:fill="FFFFFF"/>
            <w:vAlign w:val="bottom"/>
          </w:tcPr>
          <w:p w14:paraId="692F69B7" w14:textId="77777777" w:rsidR="008C76E0" w:rsidRPr="008C76E0" w:rsidRDefault="008C76E0" w:rsidP="008C76E0">
            <w:pPr>
              <w:pStyle w:val="Bodytext180"/>
              <w:shd w:val="clear" w:color="auto" w:fill="auto"/>
              <w:spacing w:before="0" w:after="120" w:line="240" w:lineRule="auto"/>
              <w:ind w:left="106" w:firstLine="0"/>
              <w:jc w:val="both"/>
              <w:rPr>
                <w:rFonts w:ascii="Sylfaen" w:hAnsi="Sylfaen"/>
                <w:b w:val="0"/>
                <w:sz w:val="24"/>
                <w:szCs w:val="24"/>
                <w:lang w:val="hy-AM"/>
              </w:rPr>
            </w:pPr>
            <w:r w:rsidRPr="00BD7577">
              <w:rPr>
                <w:rStyle w:val="Bodytext1811pt"/>
                <w:rFonts w:ascii="Sylfaen" w:hAnsi="Sylfaen"/>
                <w:sz w:val="24"/>
                <w:szCs w:val="24"/>
              </w:rPr>
              <w:t>Փորձարկվող նյութի անվանումն ու տեսակը՝</w:t>
            </w:r>
          </w:p>
        </w:tc>
        <w:tc>
          <w:tcPr>
            <w:tcW w:w="4942" w:type="dxa"/>
            <w:tcBorders>
              <w:top w:val="single" w:sz="4" w:space="0" w:color="auto"/>
              <w:left w:val="single" w:sz="4" w:space="0" w:color="auto"/>
              <w:right w:val="single" w:sz="4" w:space="0" w:color="auto"/>
            </w:tcBorders>
            <w:shd w:val="clear" w:color="auto" w:fill="FFFFFF"/>
          </w:tcPr>
          <w:p w14:paraId="5AF7822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9618244" w14:textId="77777777" w:rsidTr="008C76E0">
        <w:trPr>
          <w:trHeight w:val="583"/>
          <w:jc w:val="center"/>
        </w:trPr>
        <w:tc>
          <w:tcPr>
            <w:tcW w:w="5244" w:type="dxa"/>
            <w:tcBorders>
              <w:top w:val="single" w:sz="4" w:space="0" w:color="auto"/>
              <w:left w:val="single" w:sz="4" w:space="0" w:color="auto"/>
            </w:tcBorders>
            <w:shd w:val="clear" w:color="auto" w:fill="FFFFFF"/>
            <w:vAlign w:val="bottom"/>
          </w:tcPr>
          <w:p w14:paraId="7A6582E8"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Փորձարկումների տեսակը՝</w:t>
            </w:r>
          </w:p>
        </w:tc>
        <w:tc>
          <w:tcPr>
            <w:tcW w:w="4942" w:type="dxa"/>
            <w:tcBorders>
              <w:top w:val="single" w:sz="4" w:space="0" w:color="auto"/>
              <w:left w:val="single" w:sz="4" w:space="0" w:color="auto"/>
              <w:right w:val="single" w:sz="4" w:space="0" w:color="auto"/>
            </w:tcBorders>
            <w:shd w:val="clear" w:color="auto" w:fill="FFFFFF"/>
          </w:tcPr>
          <w:p w14:paraId="235BF20C"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66539EE1" w14:textId="77777777" w:rsidTr="008C76E0">
        <w:trPr>
          <w:trHeight w:val="604"/>
          <w:jc w:val="center"/>
        </w:trPr>
        <w:tc>
          <w:tcPr>
            <w:tcW w:w="5244" w:type="dxa"/>
            <w:tcBorders>
              <w:top w:val="single" w:sz="4" w:space="0" w:color="auto"/>
              <w:left w:val="single" w:sz="4" w:space="0" w:color="auto"/>
            </w:tcBorders>
            <w:shd w:val="clear" w:color="auto" w:fill="FFFFFF"/>
          </w:tcPr>
          <w:p w14:paraId="4CCF1E41"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Հիմնավորումը՝</w:t>
            </w:r>
          </w:p>
        </w:tc>
        <w:tc>
          <w:tcPr>
            <w:tcW w:w="4942" w:type="dxa"/>
            <w:tcBorders>
              <w:top w:val="single" w:sz="4" w:space="0" w:color="auto"/>
              <w:left w:val="single" w:sz="4" w:space="0" w:color="auto"/>
              <w:right w:val="single" w:sz="4" w:space="0" w:color="auto"/>
            </w:tcBorders>
            <w:shd w:val="clear" w:color="auto" w:fill="FFFFFF"/>
          </w:tcPr>
          <w:p w14:paraId="40C87C41"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CEEF080"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10312B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Արտադրողը, երկիրը՝</w:t>
            </w:r>
          </w:p>
        </w:tc>
        <w:tc>
          <w:tcPr>
            <w:tcW w:w="4942" w:type="dxa"/>
            <w:tcBorders>
              <w:top w:val="single" w:sz="4" w:space="0" w:color="auto"/>
              <w:left w:val="single" w:sz="4" w:space="0" w:color="auto"/>
              <w:right w:val="single" w:sz="4" w:space="0" w:color="auto"/>
            </w:tcBorders>
            <w:shd w:val="clear" w:color="auto" w:fill="FFFFFF"/>
          </w:tcPr>
          <w:p w14:paraId="5DF14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61E7527"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458D1AE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Սերիան, խմբաքանակը՝</w:t>
            </w:r>
          </w:p>
        </w:tc>
        <w:tc>
          <w:tcPr>
            <w:tcW w:w="4942" w:type="dxa"/>
            <w:tcBorders>
              <w:top w:val="single" w:sz="4" w:space="0" w:color="auto"/>
              <w:left w:val="single" w:sz="4" w:space="0" w:color="auto"/>
              <w:right w:val="single" w:sz="4" w:space="0" w:color="auto"/>
            </w:tcBorders>
            <w:shd w:val="clear" w:color="auto" w:fill="FFFFFF"/>
          </w:tcPr>
          <w:p w14:paraId="514D861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39E4B78"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79812D9C"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Պիտանիության ժամկետը՝</w:t>
            </w:r>
          </w:p>
        </w:tc>
        <w:tc>
          <w:tcPr>
            <w:tcW w:w="4942" w:type="dxa"/>
            <w:tcBorders>
              <w:top w:val="single" w:sz="4" w:space="0" w:color="auto"/>
              <w:left w:val="single" w:sz="4" w:space="0" w:color="auto"/>
              <w:right w:val="single" w:sz="4" w:space="0" w:color="auto"/>
            </w:tcBorders>
            <w:shd w:val="clear" w:color="auto" w:fill="FFFFFF"/>
          </w:tcPr>
          <w:p w14:paraId="6BBFAEB5"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0E5DEE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5AC1FBDB"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Փորձանմուշները ստանալու ամսաթիվը՝</w:t>
            </w:r>
          </w:p>
        </w:tc>
        <w:tc>
          <w:tcPr>
            <w:tcW w:w="4942" w:type="dxa"/>
            <w:tcBorders>
              <w:top w:val="single" w:sz="4" w:space="0" w:color="auto"/>
              <w:left w:val="single" w:sz="4" w:space="0" w:color="auto"/>
              <w:right w:val="single" w:sz="4" w:space="0" w:color="auto"/>
            </w:tcBorders>
            <w:shd w:val="clear" w:color="auto" w:fill="FFFFFF"/>
          </w:tcPr>
          <w:p w14:paraId="5EE7E26A"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3976B5F5"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0DA49744"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Ներկայացված փորձանմուշների քանակը՝</w:t>
            </w:r>
          </w:p>
        </w:tc>
        <w:tc>
          <w:tcPr>
            <w:tcW w:w="4942" w:type="dxa"/>
            <w:tcBorders>
              <w:top w:val="single" w:sz="4" w:space="0" w:color="auto"/>
              <w:left w:val="single" w:sz="4" w:space="0" w:color="auto"/>
              <w:right w:val="single" w:sz="4" w:space="0" w:color="auto"/>
            </w:tcBorders>
            <w:shd w:val="clear" w:color="auto" w:fill="FFFFFF"/>
          </w:tcPr>
          <w:p w14:paraId="7E4BB549"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94D249E"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1A2F409D"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Փորձարկումները սկսելու ամսաթիվը՝</w:t>
            </w:r>
          </w:p>
        </w:tc>
        <w:tc>
          <w:tcPr>
            <w:tcW w:w="4942" w:type="dxa"/>
            <w:tcBorders>
              <w:top w:val="single" w:sz="4" w:space="0" w:color="auto"/>
              <w:left w:val="single" w:sz="4" w:space="0" w:color="auto"/>
              <w:right w:val="single" w:sz="4" w:space="0" w:color="auto"/>
            </w:tcBorders>
            <w:shd w:val="clear" w:color="auto" w:fill="FFFFFF"/>
          </w:tcPr>
          <w:p w14:paraId="21CE7AE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48353D91"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6F82862E"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Փորձարկումներն ավարտելու ամսաթիվը՝</w:t>
            </w:r>
          </w:p>
        </w:tc>
        <w:tc>
          <w:tcPr>
            <w:tcW w:w="4942" w:type="dxa"/>
            <w:tcBorders>
              <w:top w:val="single" w:sz="4" w:space="0" w:color="auto"/>
              <w:left w:val="single" w:sz="4" w:space="0" w:color="auto"/>
              <w:right w:val="single" w:sz="4" w:space="0" w:color="auto"/>
            </w:tcBorders>
            <w:shd w:val="clear" w:color="auto" w:fill="FFFFFF"/>
          </w:tcPr>
          <w:p w14:paraId="7D62892B"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7D0FC1DC" w14:textId="77777777" w:rsidTr="008C76E0">
        <w:trPr>
          <w:trHeight w:val="604"/>
          <w:jc w:val="center"/>
        </w:trPr>
        <w:tc>
          <w:tcPr>
            <w:tcW w:w="5244" w:type="dxa"/>
            <w:tcBorders>
              <w:top w:val="single" w:sz="4" w:space="0" w:color="auto"/>
              <w:left w:val="single" w:sz="4" w:space="0" w:color="auto"/>
            </w:tcBorders>
            <w:shd w:val="clear" w:color="auto" w:fill="FFFFFF"/>
            <w:vAlign w:val="bottom"/>
          </w:tcPr>
          <w:p w14:paraId="3D87C2C3"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 xml:space="preserve">Ջերմաստիճանը </w:t>
            </w:r>
            <w:r w:rsidR="00C54D75">
              <w:rPr>
                <w:rStyle w:val="Bodytext1811pt"/>
                <w:rFonts w:ascii="Sylfaen" w:hAnsi="Sylfaen"/>
                <w:sz w:val="24"/>
                <w:szCs w:val="24"/>
              </w:rPr>
              <w:t>և</w:t>
            </w:r>
            <w:r w:rsidRPr="00BD7577">
              <w:rPr>
                <w:rStyle w:val="Bodytext1811pt"/>
                <w:rFonts w:ascii="Sylfaen" w:hAnsi="Sylfaen"/>
                <w:sz w:val="24"/>
                <w:szCs w:val="24"/>
              </w:rPr>
              <w:t xml:space="preserve"> խոնավությունը՝</w:t>
            </w:r>
          </w:p>
        </w:tc>
        <w:tc>
          <w:tcPr>
            <w:tcW w:w="4942" w:type="dxa"/>
            <w:tcBorders>
              <w:top w:val="single" w:sz="4" w:space="0" w:color="auto"/>
              <w:left w:val="single" w:sz="4" w:space="0" w:color="auto"/>
              <w:right w:val="single" w:sz="4" w:space="0" w:color="auto"/>
            </w:tcBorders>
            <w:shd w:val="clear" w:color="auto" w:fill="FFFFFF"/>
          </w:tcPr>
          <w:p w14:paraId="1C477993"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22E76367" w14:textId="77777777" w:rsidTr="008C76E0">
        <w:trPr>
          <w:trHeight w:val="625"/>
          <w:jc w:val="center"/>
        </w:trPr>
        <w:tc>
          <w:tcPr>
            <w:tcW w:w="5244" w:type="dxa"/>
            <w:tcBorders>
              <w:top w:val="single" w:sz="4" w:space="0" w:color="auto"/>
              <w:left w:val="single" w:sz="4" w:space="0" w:color="auto"/>
              <w:bottom w:val="single" w:sz="4" w:space="0" w:color="auto"/>
            </w:tcBorders>
            <w:shd w:val="clear" w:color="auto" w:fill="FFFFFF"/>
            <w:vAlign w:val="bottom"/>
          </w:tcPr>
          <w:p w14:paraId="608CFD5F" w14:textId="77777777" w:rsidR="008C76E0" w:rsidRPr="00BD7577" w:rsidRDefault="008C76E0" w:rsidP="008C76E0">
            <w:pPr>
              <w:pStyle w:val="Bodytext180"/>
              <w:shd w:val="clear" w:color="auto" w:fill="auto"/>
              <w:spacing w:before="0" w:after="120" w:line="240" w:lineRule="auto"/>
              <w:ind w:left="106" w:firstLine="0"/>
              <w:jc w:val="both"/>
              <w:rPr>
                <w:rFonts w:ascii="Sylfaen" w:hAnsi="Sylfaen"/>
                <w:b w:val="0"/>
                <w:sz w:val="24"/>
                <w:szCs w:val="24"/>
              </w:rPr>
            </w:pPr>
            <w:r w:rsidRPr="00BD7577">
              <w:rPr>
                <w:rStyle w:val="Bodytext1811pt"/>
                <w:rFonts w:ascii="Sylfaen" w:hAnsi="Sylfaen"/>
                <w:sz w:val="24"/>
                <w:szCs w:val="24"/>
              </w:rPr>
              <w:t>Նյութի մասնագրի ծածկագիրը՝</w:t>
            </w:r>
          </w:p>
        </w:tc>
        <w:tc>
          <w:tcPr>
            <w:tcW w:w="4942" w:type="dxa"/>
            <w:tcBorders>
              <w:top w:val="single" w:sz="4" w:space="0" w:color="auto"/>
              <w:left w:val="single" w:sz="4" w:space="0" w:color="auto"/>
              <w:bottom w:val="single" w:sz="4" w:space="0" w:color="auto"/>
              <w:right w:val="single" w:sz="4" w:space="0" w:color="auto"/>
            </w:tcBorders>
            <w:shd w:val="clear" w:color="auto" w:fill="FFFFFF"/>
          </w:tcPr>
          <w:p w14:paraId="1BE10772" w14:textId="77777777" w:rsidR="008C76E0" w:rsidRPr="00BD7577" w:rsidRDefault="008C76E0" w:rsidP="008C76E0">
            <w:pPr>
              <w:spacing w:after="120" w:line="240" w:lineRule="auto"/>
              <w:ind w:firstLine="567"/>
              <w:jc w:val="both"/>
              <w:rPr>
                <w:rFonts w:ascii="Sylfaen" w:hAnsi="Sylfaen"/>
                <w:sz w:val="24"/>
                <w:szCs w:val="24"/>
              </w:rPr>
            </w:pPr>
          </w:p>
        </w:tc>
      </w:tr>
    </w:tbl>
    <w:p w14:paraId="21DD28BB" w14:textId="77777777" w:rsidR="008C76E0" w:rsidRPr="00BD7577" w:rsidRDefault="008C76E0" w:rsidP="008C76E0">
      <w:pPr>
        <w:ind w:right="-1" w:firstLine="567"/>
        <w:jc w:val="both"/>
        <w:rPr>
          <w:rFonts w:ascii="Sylfaen" w:hAnsi="Sylfaen"/>
          <w:sz w:val="24"/>
          <w:szCs w:val="24"/>
        </w:rPr>
      </w:pPr>
    </w:p>
    <w:tbl>
      <w:tblPr>
        <w:tblOverlap w:val="never"/>
        <w:tblW w:w="10162" w:type="dxa"/>
        <w:jc w:val="center"/>
        <w:tblLayout w:type="fixed"/>
        <w:tblCellMar>
          <w:left w:w="10" w:type="dxa"/>
          <w:right w:w="10" w:type="dxa"/>
        </w:tblCellMar>
        <w:tblLook w:val="04A0" w:firstRow="1" w:lastRow="0" w:firstColumn="1" w:lastColumn="0" w:noHBand="0" w:noVBand="1"/>
      </w:tblPr>
      <w:tblGrid>
        <w:gridCol w:w="1972"/>
        <w:gridCol w:w="1909"/>
        <w:gridCol w:w="2653"/>
        <w:gridCol w:w="3628"/>
      </w:tblGrid>
      <w:tr w:rsidR="008C76E0" w:rsidRPr="00BD7577" w14:paraId="3DDCD907" w14:textId="77777777" w:rsidTr="008C76E0">
        <w:trPr>
          <w:trHeight w:val="794"/>
          <w:jc w:val="center"/>
        </w:trPr>
        <w:tc>
          <w:tcPr>
            <w:tcW w:w="10162" w:type="dxa"/>
            <w:gridSpan w:val="4"/>
            <w:shd w:val="clear" w:color="auto" w:fill="FFFFFF"/>
          </w:tcPr>
          <w:p w14:paraId="3C705E42" w14:textId="77777777" w:rsidR="008C76E0" w:rsidRPr="00BD7577" w:rsidRDefault="008C76E0" w:rsidP="008C76E0">
            <w:pPr>
              <w:pStyle w:val="Bodytext180"/>
              <w:shd w:val="clear" w:color="auto" w:fill="auto"/>
              <w:spacing w:before="0" w:after="120" w:line="240" w:lineRule="auto"/>
              <w:ind w:firstLine="567"/>
              <w:jc w:val="center"/>
              <w:rPr>
                <w:rFonts w:ascii="Sylfaen" w:hAnsi="Sylfaen"/>
                <w:b w:val="0"/>
                <w:i/>
                <w:sz w:val="24"/>
                <w:szCs w:val="24"/>
              </w:rPr>
            </w:pPr>
            <w:r w:rsidRPr="00BD7577">
              <w:rPr>
                <w:rStyle w:val="Bodytext295pt"/>
                <w:rFonts w:ascii="Sylfaen" w:hAnsi="Sylfaen"/>
                <w:spacing w:val="0"/>
                <w:sz w:val="24"/>
                <w:szCs w:val="24"/>
              </w:rPr>
              <w:t>Փորձարկումների արդյունքները</w:t>
            </w:r>
          </w:p>
        </w:tc>
      </w:tr>
      <w:tr w:rsidR="008C76E0" w:rsidRPr="00BD7577" w14:paraId="09B0CDF9" w14:textId="77777777" w:rsidTr="008C76E0">
        <w:trPr>
          <w:trHeight w:val="2033"/>
          <w:jc w:val="center"/>
        </w:trPr>
        <w:tc>
          <w:tcPr>
            <w:tcW w:w="1972" w:type="dxa"/>
            <w:tcBorders>
              <w:top w:val="single" w:sz="4" w:space="0" w:color="auto"/>
              <w:left w:val="single" w:sz="4" w:space="0" w:color="auto"/>
            </w:tcBorders>
            <w:shd w:val="clear" w:color="auto" w:fill="FFFFFF"/>
          </w:tcPr>
          <w:p w14:paraId="5C7EAD3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BD7577">
              <w:rPr>
                <w:rStyle w:val="Bodytext1811pt"/>
                <w:rFonts w:ascii="Sylfaen" w:hAnsi="Sylfaen"/>
                <w:sz w:val="24"/>
                <w:szCs w:val="24"/>
              </w:rPr>
              <w:t xml:space="preserve">Ցուցանիշի անվանումը </w:t>
            </w:r>
            <w:r w:rsidR="00C54D75">
              <w:rPr>
                <w:rStyle w:val="Bodytext1811pt"/>
                <w:rFonts w:ascii="Sylfaen" w:hAnsi="Sylfaen"/>
                <w:sz w:val="24"/>
                <w:szCs w:val="24"/>
              </w:rPr>
              <w:t>և</w:t>
            </w:r>
            <w:r w:rsidRPr="00BD7577">
              <w:rPr>
                <w:rStyle w:val="Bodytext1811pt"/>
                <w:rFonts w:ascii="Sylfaen" w:hAnsi="Sylfaen"/>
                <w:sz w:val="24"/>
                <w:szCs w:val="24"/>
              </w:rPr>
              <w:t xml:space="preserve"> վերլուծական մեթոդիկայի ծածկագիրը</w:t>
            </w:r>
          </w:p>
        </w:tc>
        <w:tc>
          <w:tcPr>
            <w:tcW w:w="1909" w:type="dxa"/>
            <w:tcBorders>
              <w:top w:val="single" w:sz="4" w:space="0" w:color="auto"/>
              <w:left w:val="single" w:sz="4" w:space="0" w:color="auto"/>
            </w:tcBorders>
            <w:shd w:val="clear" w:color="auto" w:fill="FFFFFF"/>
          </w:tcPr>
          <w:p w14:paraId="02C828B8"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Նորմատիվ փաստաթղթերի պահանջները</w:t>
            </w:r>
          </w:p>
        </w:tc>
        <w:tc>
          <w:tcPr>
            <w:tcW w:w="2653" w:type="dxa"/>
            <w:tcBorders>
              <w:top w:val="single" w:sz="4" w:space="0" w:color="auto"/>
              <w:left w:val="single" w:sz="4" w:space="0" w:color="auto"/>
            </w:tcBorders>
            <w:shd w:val="clear" w:color="auto" w:fill="FFFFFF"/>
          </w:tcPr>
          <w:p w14:paraId="53CED97C" w14:textId="77777777" w:rsidR="008C76E0" w:rsidRPr="00BD7577" w:rsidRDefault="008C76E0" w:rsidP="008C76E0">
            <w:pPr>
              <w:pStyle w:val="Bodytext180"/>
              <w:shd w:val="clear" w:color="auto" w:fill="auto"/>
              <w:spacing w:before="0" w:after="120" w:line="240" w:lineRule="auto"/>
              <w:ind w:hanging="9"/>
              <w:jc w:val="center"/>
              <w:rPr>
                <w:rFonts w:ascii="Sylfaen" w:hAnsi="Sylfaen"/>
                <w:b w:val="0"/>
                <w:sz w:val="24"/>
                <w:szCs w:val="24"/>
              </w:rPr>
            </w:pPr>
            <w:r w:rsidRPr="00BD7577">
              <w:rPr>
                <w:rStyle w:val="Bodytext1811pt"/>
                <w:rFonts w:ascii="Sylfaen" w:hAnsi="Sylfaen"/>
                <w:sz w:val="24"/>
                <w:szCs w:val="24"/>
              </w:rPr>
              <w:t>Փաստացի ստացված արդյունքները</w:t>
            </w:r>
          </w:p>
        </w:tc>
        <w:tc>
          <w:tcPr>
            <w:tcW w:w="3628" w:type="dxa"/>
            <w:tcBorders>
              <w:top w:val="single" w:sz="4" w:space="0" w:color="auto"/>
              <w:left w:val="single" w:sz="4" w:space="0" w:color="auto"/>
              <w:right w:val="single" w:sz="4" w:space="0" w:color="auto"/>
            </w:tcBorders>
            <w:shd w:val="clear" w:color="auto" w:fill="FFFFFF"/>
          </w:tcPr>
          <w:p w14:paraId="417A3E32" w14:textId="77777777" w:rsidR="008C76E0" w:rsidRPr="00BD7577" w:rsidRDefault="008C76E0" w:rsidP="008C76E0">
            <w:pPr>
              <w:pStyle w:val="Bodytext180"/>
              <w:shd w:val="clear" w:color="auto" w:fill="auto"/>
              <w:spacing w:before="0" w:after="120" w:line="240" w:lineRule="auto"/>
              <w:ind w:hanging="8"/>
              <w:jc w:val="center"/>
              <w:rPr>
                <w:rFonts w:ascii="Sylfaen" w:hAnsi="Sylfaen"/>
                <w:b w:val="0"/>
                <w:sz w:val="24"/>
                <w:szCs w:val="24"/>
              </w:rPr>
            </w:pPr>
            <w:r w:rsidRPr="00BD7577">
              <w:rPr>
                <w:rStyle w:val="Bodytext1811pt"/>
                <w:rFonts w:ascii="Sylfaen" w:hAnsi="Sylfaen"/>
                <w:sz w:val="24"/>
                <w:szCs w:val="24"/>
              </w:rPr>
              <w:t>Համապատասխանության հետ կապված եզրահանգումը (համապատասխանում է կամ չի համապատասխանում)</w:t>
            </w:r>
          </w:p>
        </w:tc>
      </w:tr>
      <w:tr w:rsidR="008C76E0" w:rsidRPr="00BD7577" w14:paraId="595A09C4" w14:textId="77777777" w:rsidTr="008C76E0">
        <w:trPr>
          <w:trHeight w:val="765"/>
          <w:jc w:val="center"/>
        </w:trPr>
        <w:tc>
          <w:tcPr>
            <w:tcW w:w="1972" w:type="dxa"/>
            <w:tcBorders>
              <w:top w:val="single" w:sz="4" w:space="0" w:color="auto"/>
              <w:left w:val="single" w:sz="4" w:space="0" w:color="auto"/>
            </w:tcBorders>
            <w:shd w:val="clear" w:color="auto" w:fill="FFFFFF"/>
          </w:tcPr>
          <w:p w14:paraId="5EDA79B6"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7E7C140E"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791A4E39"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0137EBB4"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0F4D6AF5" w14:textId="77777777" w:rsidTr="008C76E0">
        <w:trPr>
          <w:trHeight w:val="794"/>
          <w:jc w:val="center"/>
        </w:trPr>
        <w:tc>
          <w:tcPr>
            <w:tcW w:w="1972" w:type="dxa"/>
            <w:tcBorders>
              <w:top w:val="single" w:sz="4" w:space="0" w:color="auto"/>
              <w:left w:val="single" w:sz="4" w:space="0" w:color="auto"/>
            </w:tcBorders>
            <w:shd w:val="clear" w:color="auto" w:fill="FFFFFF"/>
          </w:tcPr>
          <w:p w14:paraId="6E3598F1"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tcBorders>
            <w:shd w:val="clear" w:color="auto" w:fill="FFFFFF"/>
          </w:tcPr>
          <w:p w14:paraId="19393AB5"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tcBorders>
            <w:shd w:val="clear" w:color="auto" w:fill="FFFFFF"/>
          </w:tcPr>
          <w:p w14:paraId="438DED9F"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right w:val="single" w:sz="4" w:space="0" w:color="auto"/>
            </w:tcBorders>
            <w:shd w:val="clear" w:color="auto" w:fill="FFFFFF"/>
          </w:tcPr>
          <w:p w14:paraId="36E1CB9F" w14:textId="77777777" w:rsidR="008C76E0" w:rsidRPr="00BD7577" w:rsidRDefault="008C76E0" w:rsidP="008C76E0">
            <w:pPr>
              <w:spacing w:after="120" w:line="240" w:lineRule="auto"/>
              <w:ind w:firstLine="567"/>
              <w:jc w:val="both"/>
              <w:rPr>
                <w:rFonts w:ascii="Sylfaen" w:hAnsi="Sylfaen"/>
                <w:sz w:val="24"/>
                <w:szCs w:val="24"/>
              </w:rPr>
            </w:pPr>
          </w:p>
        </w:tc>
      </w:tr>
      <w:tr w:rsidR="008C76E0" w:rsidRPr="00BD7577" w14:paraId="15ACD7A3" w14:textId="77777777" w:rsidTr="008C76E0">
        <w:trPr>
          <w:trHeight w:val="820"/>
          <w:jc w:val="center"/>
        </w:trPr>
        <w:tc>
          <w:tcPr>
            <w:tcW w:w="1972" w:type="dxa"/>
            <w:tcBorders>
              <w:top w:val="single" w:sz="4" w:space="0" w:color="auto"/>
              <w:left w:val="single" w:sz="4" w:space="0" w:color="auto"/>
              <w:bottom w:val="single" w:sz="4" w:space="0" w:color="auto"/>
            </w:tcBorders>
            <w:shd w:val="clear" w:color="auto" w:fill="FFFFFF"/>
          </w:tcPr>
          <w:p w14:paraId="280CE477" w14:textId="77777777" w:rsidR="008C76E0" w:rsidRPr="00BD7577" w:rsidRDefault="008C76E0" w:rsidP="008C76E0">
            <w:pPr>
              <w:spacing w:after="120" w:line="240" w:lineRule="auto"/>
              <w:ind w:firstLine="567"/>
              <w:jc w:val="both"/>
              <w:rPr>
                <w:rFonts w:ascii="Sylfaen" w:hAnsi="Sylfaen"/>
                <w:sz w:val="24"/>
                <w:szCs w:val="24"/>
              </w:rPr>
            </w:pPr>
          </w:p>
        </w:tc>
        <w:tc>
          <w:tcPr>
            <w:tcW w:w="1909" w:type="dxa"/>
            <w:tcBorders>
              <w:top w:val="single" w:sz="4" w:space="0" w:color="auto"/>
              <w:left w:val="single" w:sz="4" w:space="0" w:color="auto"/>
              <w:bottom w:val="single" w:sz="4" w:space="0" w:color="auto"/>
            </w:tcBorders>
            <w:shd w:val="clear" w:color="auto" w:fill="FFFFFF"/>
          </w:tcPr>
          <w:p w14:paraId="11A56A32" w14:textId="77777777" w:rsidR="008C76E0" w:rsidRPr="00BD7577" w:rsidRDefault="008C76E0" w:rsidP="008C76E0">
            <w:pPr>
              <w:spacing w:after="120" w:line="240" w:lineRule="auto"/>
              <w:ind w:firstLine="567"/>
              <w:jc w:val="both"/>
              <w:rPr>
                <w:rFonts w:ascii="Sylfaen" w:hAnsi="Sylfaen"/>
                <w:sz w:val="24"/>
                <w:szCs w:val="24"/>
              </w:rPr>
            </w:pPr>
          </w:p>
        </w:tc>
        <w:tc>
          <w:tcPr>
            <w:tcW w:w="2653" w:type="dxa"/>
            <w:tcBorders>
              <w:top w:val="single" w:sz="4" w:space="0" w:color="auto"/>
              <w:left w:val="single" w:sz="4" w:space="0" w:color="auto"/>
              <w:bottom w:val="single" w:sz="4" w:space="0" w:color="auto"/>
            </w:tcBorders>
            <w:shd w:val="clear" w:color="auto" w:fill="FFFFFF"/>
          </w:tcPr>
          <w:p w14:paraId="11E7C626" w14:textId="77777777" w:rsidR="008C76E0" w:rsidRPr="00BD7577" w:rsidRDefault="008C76E0" w:rsidP="008C76E0">
            <w:pPr>
              <w:spacing w:after="120" w:line="240" w:lineRule="auto"/>
              <w:ind w:firstLine="567"/>
              <w:jc w:val="both"/>
              <w:rPr>
                <w:rFonts w:ascii="Sylfaen" w:hAnsi="Sylfaen"/>
                <w:sz w:val="24"/>
                <w:szCs w:val="24"/>
              </w:rPr>
            </w:pPr>
          </w:p>
        </w:tc>
        <w:tc>
          <w:tcPr>
            <w:tcW w:w="3628" w:type="dxa"/>
            <w:tcBorders>
              <w:top w:val="single" w:sz="4" w:space="0" w:color="auto"/>
              <w:left w:val="single" w:sz="4" w:space="0" w:color="auto"/>
              <w:bottom w:val="single" w:sz="4" w:space="0" w:color="auto"/>
              <w:right w:val="single" w:sz="4" w:space="0" w:color="auto"/>
            </w:tcBorders>
            <w:shd w:val="clear" w:color="auto" w:fill="FFFFFF"/>
          </w:tcPr>
          <w:p w14:paraId="03A96C4F" w14:textId="77777777" w:rsidR="008C76E0" w:rsidRPr="00BD7577" w:rsidRDefault="008C76E0" w:rsidP="008C76E0">
            <w:pPr>
              <w:spacing w:after="120" w:line="240" w:lineRule="auto"/>
              <w:ind w:firstLine="567"/>
              <w:jc w:val="both"/>
              <w:rPr>
                <w:rFonts w:ascii="Sylfaen" w:hAnsi="Sylfaen"/>
                <w:sz w:val="24"/>
                <w:szCs w:val="24"/>
              </w:rPr>
            </w:pPr>
          </w:p>
        </w:tc>
      </w:tr>
    </w:tbl>
    <w:p w14:paraId="22D93FE4" w14:textId="77777777" w:rsidR="008C76E0" w:rsidRDefault="008C76E0" w:rsidP="008C76E0">
      <w:pPr>
        <w:ind w:firstLine="567"/>
        <w:jc w:val="both"/>
        <w:rPr>
          <w:rFonts w:ascii="Sylfaen" w:hAnsi="Sylfaen"/>
          <w:sz w:val="24"/>
          <w:szCs w:val="24"/>
        </w:rPr>
      </w:pPr>
    </w:p>
    <w:p w14:paraId="0374BFBC" w14:textId="77777777" w:rsidR="008C76E0" w:rsidRDefault="008C76E0" w:rsidP="008C76E0">
      <w:pPr>
        <w:widowControl/>
        <w:rPr>
          <w:rFonts w:ascii="Sylfaen" w:hAnsi="Sylfaen"/>
          <w:sz w:val="24"/>
          <w:szCs w:val="24"/>
        </w:rPr>
      </w:pPr>
      <w:r>
        <w:rPr>
          <w:rFonts w:ascii="Sylfaen" w:hAnsi="Sylfaen"/>
          <w:sz w:val="24"/>
          <w:szCs w:val="24"/>
        </w:rPr>
        <w:br w:type="page"/>
      </w:r>
    </w:p>
    <w:p w14:paraId="30EC41BA" w14:textId="77777777" w:rsidR="008C76E0" w:rsidRPr="00BD7577" w:rsidRDefault="008C76E0" w:rsidP="004B393A">
      <w:pPr>
        <w:spacing w:after="160" w:line="360" w:lineRule="auto"/>
        <w:ind w:firstLine="567"/>
        <w:jc w:val="center"/>
        <w:rPr>
          <w:rFonts w:ascii="Sylfaen" w:hAnsi="Sylfaen"/>
          <w:sz w:val="24"/>
          <w:szCs w:val="24"/>
        </w:rPr>
      </w:pPr>
      <w:r w:rsidRPr="00BD7577">
        <w:rPr>
          <w:rFonts w:ascii="Sylfaen" w:hAnsi="Sylfaen"/>
          <w:sz w:val="24"/>
          <w:szCs w:val="24"/>
        </w:rPr>
        <w:lastRenderedPageBreak/>
        <w:t>Եզրակացությունը</w:t>
      </w:r>
    </w:p>
    <w:p w14:paraId="72A23969"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Ներկայացված փորձանմուշները համապատասխանում են (չեն համապատասխանում) նորմատիվ փաստաթղթերի պահանջներին:</w:t>
      </w:r>
    </w:p>
    <w:p w14:paraId="54815DDD" w14:textId="77777777" w:rsidR="008C76E0" w:rsidRPr="00BD7577" w:rsidRDefault="008C76E0" w:rsidP="004B393A">
      <w:pPr>
        <w:tabs>
          <w:tab w:val="left" w:pos="1418"/>
        </w:tabs>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չեն համապատասխանում նորմատիվ փաստաթղթերի պահանջներին հետ</w:t>
      </w:r>
      <w:r w:rsidR="00C54D75">
        <w:rPr>
          <w:rFonts w:ascii="Sylfaen" w:hAnsi="Sylfaen"/>
          <w:sz w:val="24"/>
          <w:szCs w:val="24"/>
        </w:rPr>
        <w:t>և</w:t>
      </w:r>
      <w:r w:rsidRPr="00BD7577">
        <w:rPr>
          <w:rFonts w:ascii="Sylfaen" w:hAnsi="Sylfaen"/>
          <w:sz w:val="24"/>
          <w:szCs w:val="24"/>
        </w:rPr>
        <w:t>յալ ցուցանիշների մասով՝</w:t>
      </w:r>
    </w:p>
    <w:p w14:paraId="01FAD6B5" w14:textId="77777777" w:rsidR="008C76E0" w:rsidRPr="00BD7577" w:rsidRDefault="008C76E0" w:rsidP="004B393A">
      <w:pPr>
        <w:pStyle w:val="Bodytext150"/>
        <w:shd w:val="clear" w:color="auto" w:fill="auto"/>
        <w:tabs>
          <w:tab w:val="left" w:pos="1418"/>
        </w:tabs>
        <w:spacing w:after="160" w:line="360" w:lineRule="auto"/>
        <w:ind w:firstLine="567"/>
        <w:jc w:val="both"/>
        <w:rPr>
          <w:rFonts w:ascii="Sylfaen" w:hAnsi="Sylfaen"/>
          <w:b w:val="0"/>
          <w:spacing w:val="0"/>
          <w:sz w:val="24"/>
          <w:szCs w:val="24"/>
        </w:rPr>
      </w:pPr>
      <w:r w:rsidRPr="00BD7577">
        <w:rPr>
          <w:rFonts w:ascii="Sylfaen" w:hAnsi="Sylfaen"/>
          <w:b w:val="0"/>
          <w:spacing w:val="0"/>
          <w:sz w:val="24"/>
          <w:szCs w:val="24"/>
        </w:rPr>
        <w:t>1.</w:t>
      </w:r>
      <w:r w:rsidRPr="00BD7577">
        <w:rPr>
          <w:rFonts w:ascii="Sylfaen" w:hAnsi="Sylfaen"/>
          <w:b w:val="0"/>
          <w:spacing w:val="0"/>
          <w:sz w:val="24"/>
          <w:szCs w:val="24"/>
        </w:rPr>
        <w:tab/>
        <w:t>...</w:t>
      </w:r>
    </w:p>
    <w:p w14:paraId="0F0B950E" w14:textId="77777777" w:rsidR="008C76E0" w:rsidRPr="00BD7577" w:rsidRDefault="008C76E0" w:rsidP="004B393A">
      <w:pPr>
        <w:pStyle w:val="Bodytext160"/>
        <w:shd w:val="clear" w:color="auto" w:fill="auto"/>
        <w:tabs>
          <w:tab w:val="left" w:pos="1418"/>
        </w:tabs>
        <w:spacing w:after="160" w:line="360" w:lineRule="auto"/>
        <w:ind w:firstLine="567"/>
        <w:jc w:val="both"/>
        <w:rPr>
          <w:rFonts w:ascii="Sylfaen" w:hAnsi="Sylfaen"/>
          <w:b w:val="0"/>
          <w:spacing w:val="0"/>
          <w:sz w:val="24"/>
          <w:szCs w:val="24"/>
        </w:rPr>
      </w:pPr>
      <w:r w:rsidRPr="00BD7577">
        <w:rPr>
          <w:rStyle w:val="Bodytext295pt"/>
          <w:rFonts w:ascii="Sylfaen" w:eastAsia="CordiaUPC" w:hAnsi="Sylfaen"/>
          <w:spacing w:val="0"/>
          <w:sz w:val="24"/>
          <w:szCs w:val="24"/>
        </w:rPr>
        <w:t>2</w:t>
      </w:r>
      <w:r w:rsidRPr="00BD7577">
        <w:rPr>
          <w:rFonts w:ascii="Sylfaen" w:hAnsi="Sylfaen"/>
          <w:b w:val="0"/>
          <w:spacing w:val="0"/>
          <w:sz w:val="24"/>
          <w:szCs w:val="24"/>
        </w:rPr>
        <w:t>.</w:t>
      </w:r>
      <w:r w:rsidRPr="00BD7577">
        <w:rPr>
          <w:rFonts w:ascii="Sylfaen" w:hAnsi="Sylfaen"/>
          <w:b w:val="0"/>
          <w:spacing w:val="0"/>
          <w:sz w:val="24"/>
          <w:szCs w:val="24"/>
        </w:rPr>
        <w:tab/>
        <w:t>...</w:t>
      </w:r>
    </w:p>
    <w:tbl>
      <w:tblPr>
        <w:tblOverlap w:val="never"/>
        <w:tblW w:w="10882" w:type="dxa"/>
        <w:jc w:val="center"/>
        <w:tblLayout w:type="fixed"/>
        <w:tblCellMar>
          <w:left w:w="10" w:type="dxa"/>
          <w:right w:w="10" w:type="dxa"/>
        </w:tblCellMar>
        <w:tblLook w:val="04A0" w:firstRow="1" w:lastRow="0" w:firstColumn="1" w:lastColumn="0" w:noHBand="0" w:noVBand="1"/>
      </w:tblPr>
      <w:tblGrid>
        <w:gridCol w:w="4565"/>
        <w:gridCol w:w="2590"/>
        <w:gridCol w:w="3727"/>
      </w:tblGrid>
      <w:tr w:rsidR="008C76E0" w:rsidRPr="00BD7577" w14:paraId="799FB52A" w14:textId="77777777" w:rsidTr="008C76E0">
        <w:trPr>
          <w:jc w:val="center"/>
        </w:trPr>
        <w:tc>
          <w:tcPr>
            <w:tcW w:w="4565" w:type="dxa"/>
            <w:shd w:val="clear" w:color="auto" w:fill="FFFFFF"/>
            <w:vAlign w:val="center"/>
          </w:tcPr>
          <w:p w14:paraId="4A61EF83"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կենտրոնի տնօրեն (փորձարկման լաբորատորիայի վարիչ)</w:t>
            </w:r>
          </w:p>
        </w:tc>
        <w:tc>
          <w:tcPr>
            <w:tcW w:w="2590" w:type="dxa"/>
            <w:shd w:val="clear" w:color="auto" w:fill="FFFFFF"/>
            <w:vAlign w:val="center"/>
          </w:tcPr>
          <w:p w14:paraId="2A2E52A0"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________</w:t>
            </w:r>
          </w:p>
          <w:p w14:paraId="4E249C64"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6D90811E"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_____</w:t>
            </w:r>
          </w:p>
          <w:p w14:paraId="5BB63F1A"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 ն)</w:t>
            </w:r>
          </w:p>
        </w:tc>
      </w:tr>
      <w:tr w:rsidR="008C76E0" w:rsidRPr="00BD7577" w14:paraId="752D573C" w14:textId="77777777" w:rsidTr="008C76E0">
        <w:trPr>
          <w:jc w:val="center"/>
        </w:trPr>
        <w:tc>
          <w:tcPr>
            <w:tcW w:w="4565" w:type="dxa"/>
            <w:shd w:val="clear" w:color="auto" w:fill="FFFFFF"/>
            <w:vAlign w:val="center"/>
          </w:tcPr>
          <w:p w14:paraId="7EF5FB99" w14:textId="77777777" w:rsidR="008C76E0" w:rsidRPr="00BD7577" w:rsidRDefault="008C76E0" w:rsidP="008C76E0">
            <w:pPr>
              <w:pStyle w:val="Bodytext180"/>
              <w:shd w:val="clear" w:color="auto" w:fill="auto"/>
              <w:spacing w:before="0" w:after="120" w:line="240" w:lineRule="auto"/>
              <w:ind w:left="87" w:firstLine="0"/>
              <w:rPr>
                <w:rFonts w:ascii="Sylfaen" w:hAnsi="Sylfaen"/>
                <w:b w:val="0"/>
                <w:sz w:val="24"/>
                <w:szCs w:val="24"/>
              </w:rPr>
            </w:pPr>
            <w:r w:rsidRPr="00BD7577">
              <w:rPr>
                <w:rStyle w:val="Bodytext295pt"/>
                <w:rFonts w:ascii="Sylfaen" w:hAnsi="Sylfaen"/>
                <w:spacing w:val="0"/>
                <w:sz w:val="24"/>
                <w:szCs w:val="24"/>
              </w:rPr>
              <w:t>Փորձարկման լաբորատորիայի մասնագետ</w:t>
            </w:r>
          </w:p>
        </w:tc>
        <w:tc>
          <w:tcPr>
            <w:tcW w:w="2590" w:type="dxa"/>
            <w:shd w:val="clear" w:color="auto" w:fill="FFFFFF"/>
            <w:vAlign w:val="center"/>
          </w:tcPr>
          <w:p w14:paraId="3DC219CA"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______</w:t>
            </w:r>
            <w:r w:rsidRPr="00BD7577">
              <w:rPr>
                <w:rStyle w:val="Bodytext295pt"/>
                <w:rFonts w:ascii="Sylfaen" w:hAnsi="Sylfaen"/>
                <w:spacing w:val="0"/>
                <w:sz w:val="24"/>
                <w:szCs w:val="24"/>
              </w:rPr>
              <w:t>____</w:t>
            </w:r>
          </w:p>
          <w:p w14:paraId="5A6421F0" w14:textId="77777777" w:rsidR="008C76E0" w:rsidRPr="00BD7577" w:rsidRDefault="008C76E0" w:rsidP="008C76E0">
            <w:pPr>
              <w:pStyle w:val="Bodytext180"/>
              <w:shd w:val="clear" w:color="auto" w:fill="auto"/>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4E76DFEF"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____</w:t>
            </w:r>
          </w:p>
          <w:p w14:paraId="4179B54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sz w:val="24"/>
                <w:szCs w:val="24"/>
              </w:rPr>
            </w:pPr>
            <w:r w:rsidRPr="00BD7577">
              <w:rPr>
                <w:rStyle w:val="Bodytext295pt"/>
                <w:rFonts w:ascii="Sylfaen" w:hAnsi="Sylfaen"/>
                <w:spacing w:val="0"/>
                <w:sz w:val="24"/>
                <w:szCs w:val="24"/>
              </w:rPr>
              <w:t>(Ա.Ա.Հ.-ն)</w:t>
            </w:r>
          </w:p>
        </w:tc>
      </w:tr>
      <w:tr w:rsidR="008C76E0" w:rsidRPr="00BD7577" w14:paraId="43629FE0" w14:textId="77777777" w:rsidTr="008C76E0">
        <w:trPr>
          <w:trHeight w:val="900"/>
          <w:jc w:val="center"/>
        </w:trPr>
        <w:tc>
          <w:tcPr>
            <w:tcW w:w="4565" w:type="dxa"/>
            <w:shd w:val="clear" w:color="auto" w:fill="FFFFFF"/>
            <w:vAlign w:val="center"/>
          </w:tcPr>
          <w:p w14:paraId="67789A32"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18C064AE"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27E32BFF" w14:textId="77777777" w:rsidR="008C76E0" w:rsidRPr="00BD7577" w:rsidRDefault="008C76E0" w:rsidP="008C76E0">
            <w:pPr>
              <w:pStyle w:val="Bodytext180"/>
              <w:spacing w:before="0" w:after="120" w:line="240" w:lineRule="auto"/>
              <w:ind w:left="75" w:right="122" w:firstLine="0"/>
              <w:jc w:val="center"/>
              <w:rPr>
                <w:rFonts w:ascii="Sylfaen" w:hAnsi="Sylfaen"/>
                <w:b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511BA5BC"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w:t>
            </w:r>
            <w:r w:rsidRPr="00BD7577">
              <w:rPr>
                <w:rStyle w:val="Bodytext295pt"/>
                <w:rFonts w:ascii="Sylfaen" w:hAnsi="Sylfaen"/>
                <w:spacing w:val="0"/>
                <w:sz w:val="24"/>
                <w:szCs w:val="24"/>
              </w:rPr>
              <w:t>___</w:t>
            </w:r>
            <w:r w:rsidRPr="00BD7577">
              <w:rPr>
                <w:rStyle w:val="Bodytext295pt"/>
                <w:rFonts w:ascii="Sylfaen" w:hAnsi="Sylfaen"/>
                <w:spacing w:val="0"/>
                <w:sz w:val="24"/>
                <w:szCs w:val="24"/>
                <w:lang w:val="en-US"/>
              </w:rPr>
              <w:t>____</w:t>
            </w:r>
            <w:r w:rsidRPr="00BD7577">
              <w:rPr>
                <w:rStyle w:val="Bodytext295pt"/>
                <w:rFonts w:ascii="Sylfaen" w:hAnsi="Sylfaen"/>
                <w:spacing w:val="0"/>
                <w:sz w:val="24"/>
                <w:szCs w:val="24"/>
              </w:rPr>
              <w:t>___</w:t>
            </w:r>
          </w:p>
          <w:p w14:paraId="2CB1FDCE" w14:textId="77777777" w:rsidR="008C76E0" w:rsidRPr="00BD7577" w:rsidRDefault="008C76E0" w:rsidP="008C76E0">
            <w:pPr>
              <w:pStyle w:val="Bodytext180"/>
              <w:shd w:val="clear" w:color="auto" w:fill="auto"/>
              <w:spacing w:before="0" w:after="120" w:line="240" w:lineRule="auto"/>
              <w:ind w:left="202" w:firstLine="0"/>
              <w:jc w:val="center"/>
              <w:rPr>
                <w:rFonts w:ascii="Sylfaen" w:hAnsi="Sylfaen"/>
                <w:b w:val="0"/>
                <w:bCs w:val="0"/>
                <w:sz w:val="24"/>
                <w:szCs w:val="24"/>
              </w:rPr>
            </w:pPr>
            <w:r w:rsidRPr="00BD7577">
              <w:rPr>
                <w:rStyle w:val="Bodytext295pt"/>
                <w:rFonts w:ascii="Sylfaen" w:hAnsi="Sylfaen"/>
                <w:spacing w:val="0"/>
                <w:sz w:val="24"/>
                <w:szCs w:val="24"/>
              </w:rPr>
              <w:t>(Ա.Ա.Հ.-ն)</w:t>
            </w:r>
          </w:p>
        </w:tc>
      </w:tr>
      <w:tr w:rsidR="008C76E0" w:rsidRPr="00BD7577" w14:paraId="34C05E96" w14:textId="77777777" w:rsidTr="008C76E0">
        <w:trPr>
          <w:trHeight w:val="855"/>
          <w:jc w:val="center"/>
        </w:trPr>
        <w:tc>
          <w:tcPr>
            <w:tcW w:w="4565" w:type="dxa"/>
            <w:shd w:val="clear" w:color="auto" w:fill="FFFFFF"/>
            <w:vAlign w:val="center"/>
          </w:tcPr>
          <w:p w14:paraId="399C3EA0" w14:textId="77777777" w:rsidR="008C76E0" w:rsidRPr="00BD7577" w:rsidRDefault="008C76E0" w:rsidP="008C76E0">
            <w:pPr>
              <w:spacing w:after="120" w:line="240" w:lineRule="auto"/>
              <w:ind w:left="87"/>
              <w:rPr>
                <w:rFonts w:ascii="Sylfaen" w:hAnsi="Sylfaen"/>
                <w:sz w:val="24"/>
                <w:szCs w:val="24"/>
              </w:rPr>
            </w:pPr>
          </w:p>
        </w:tc>
        <w:tc>
          <w:tcPr>
            <w:tcW w:w="2590" w:type="dxa"/>
            <w:shd w:val="clear" w:color="auto" w:fill="FFFFFF"/>
            <w:vAlign w:val="center"/>
          </w:tcPr>
          <w:p w14:paraId="3A1B4955" w14:textId="77777777" w:rsidR="008C76E0" w:rsidRPr="00BD7577" w:rsidRDefault="008C76E0" w:rsidP="008C76E0">
            <w:pPr>
              <w:pStyle w:val="Bodytext180"/>
              <w:shd w:val="clear" w:color="auto" w:fill="auto"/>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w:t>
            </w:r>
            <w:r w:rsidRPr="00BD7577">
              <w:rPr>
                <w:rStyle w:val="Bodytext295pt"/>
                <w:rFonts w:ascii="Sylfaen" w:hAnsi="Sylfaen"/>
                <w:spacing w:val="0"/>
                <w:sz w:val="24"/>
                <w:szCs w:val="24"/>
                <w:lang w:val="en-US"/>
              </w:rPr>
              <w:t>_________</w:t>
            </w:r>
            <w:r w:rsidRPr="00BD7577">
              <w:rPr>
                <w:rStyle w:val="Bodytext295pt"/>
                <w:rFonts w:ascii="Sylfaen" w:hAnsi="Sylfaen"/>
                <w:spacing w:val="0"/>
                <w:sz w:val="24"/>
                <w:szCs w:val="24"/>
              </w:rPr>
              <w:t>_____</w:t>
            </w:r>
          </w:p>
          <w:p w14:paraId="43D9071D" w14:textId="77777777" w:rsidR="008C76E0" w:rsidRPr="00BD7577" w:rsidRDefault="008C76E0" w:rsidP="008C76E0">
            <w:pPr>
              <w:pStyle w:val="Bodytext180"/>
              <w:spacing w:before="0" w:after="120" w:line="240" w:lineRule="auto"/>
              <w:ind w:left="75" w:right="12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(ստորագրությունը)</w:t>
            </w:r>
          </w:p>
        </w:tc>
        <w:tc>
          <w:tcPr>
            <w:tcW w:w="3727" w:type="dxa"/>
            <w:shd w:val="clear" w:color="auto" w:fill="FFFFFF"/>
            <w:vAlign w:val="center"/>
          </w:tcPr>
          <w:p w14:paraId="77F2B714" w14:textId="77777777" w:rsidR="008C76E0" w:rsidRPr="00BD7577" w:rsidRDefault="008C76E0" w:rsidP="008C76E0">
            <w:pPr>
              <w:pStyle w:val="Bodytext180"/>
              <w:shd w:val="clear" w:color="auto" w:fill="auto"/>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_______</w:t>
            </w:r>
            <w:r w:rsidRPr="00BD7577">
              <w:rPr>
                <w:rStyle w:val="Bodytext295pt"/>
                <w:rFonts w:ascii="Sylfaen" w:hAnsi="Sylfaen"/>
                <w:spacing w:val="0"/>
                <w:sz w:val="24"/>
                <w:szCs w:val="24"/>
                <w:lang w:val="en-US"/>
              </w:rPr>
              <w:t>_______</w:t>
            </w:r>
            <w:r w:rsidRPr="00BD7577">
              <w:rPr>
                <w:rStyle w:val="Bodytext295pt"/>
                <w:rFonts w:ascii="Sylfaen" w:hAnsi="Sylfaen"/>
                <w:spacing w:val="0"/>
                <w:sz w:val="24"/>
                <w:szCs w:val="24"/>
              </w:rPr>
              <w:t>__</w:t>
            </w:r>
          </w:p>
          <w:p w14:paraId="35666869" w14:textId="77777777" w:rsidR="008C76E0" w:rsidRPr="00BD7577" w:rsidRDefault="008C76E0" w:rsidP="008C76E0">
            <w:pPr>
              <w:pStyle w:val="Bodytext180"/>
              <w:spacing w:before="0" w:after="120" w:line="240" w:lineRule="auto"/>
              <w:ind w:left="202" w:firstLine="0"/>
              <w:jc w:val="center"/>
              <w:rPr>
                <w:rStyle w:val="Bodytext295pt"/>
                <w:rFonts w:ascii="Sylfaen" w:eastAsia="CordiaUPC" w:hAnsi="Sylfaen"/>
                <w:spacing w:val="0"/>
                <w:sz w:val="24"/>
                <w:szCs w:val="24"/>
              </w:rPr>
            </w:pPr>
            <w:r w:rsidRPr="00BD7577">
              <w:rPr>
                <w:rStyle w:val="Bodytext295pt"/>
                <w:rFonts w:ascii="Sylfaen" w:hAnsi="Sylfaen"/>
                <w:spacing w:val="0"/>
                <w:sz w:val="24"/>
                <w:szCs w:val="24"/>
              </w:rPr>
              <w:t>(Ա.Ա.Հ.-ն)</w:t>
            </w:r>
          </w:p>
        </w:tc>
      </w:tr>
    </w:tbl>
    <w:p w14:paraId="52F95D2F" w14:textId="77777777" w:rsidR="008C76E0" w:rsidRPr="00BD7577" w:rsidRDefault="008C76E0" w:rsidP="008C76E0">
      <w:pPr>
        <w:ind w:right="-1" w:firstLine="567"/>
        <w:jc w:val="both"/>
        <w:rPr>
          <w:rFonts w:ascii="Sylfaen" w:hAnsi="Sylfaen"/>
          <w:sz w:val="24"/>
          <w:szCs w:val="24"/>
        </w:rPr>
      </w:pPr>
    </w:p>
    <w:p w14:paraId="4378B2DC"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Փորձարկումների արդյունքները տարածվում են միայն փորձարկման ենթարկված փորձանմուշների վրա:</w:t>
      </w:r>
    </w:p>
    <w:p w14:paraId="08727326" w14:textId="77777777" w:rsidR="008C76E0" w:rsidRPr="00BD7577" w:rsidRDefault="008C76E0" w:rsidP="00DB2544">
      <w:pPr>
        <w:spacing w:after="160" w:line="360" w:lineRule="auto"/>
        <w:ind w:firstLine="567"/>
        <w:jc w:val="both"/>
        <w:rPr>
          <w:rFonts w:ascii="Sylfaen" w:hAnsi="Sylfaen"/>
          <w:sz w:val="24"/>
          <w:szCs w:val="24"/>
        </w:rPr>
      </w:pPr>
      <w:r w:rsidRPr="00BD7577">
        <w:rPr>
          <w:rFonts w:ascii="Sylfaen" w:hAnsi="Sylfaen"/>
          <w:sz w:val="24"/>
          <w:szCs w:val="24"/>
        </w:rPr>
        <w:t>Արձանագրության ամբողջական կամ մասնակի վերարտադրումը, առանց փորձարկման լաբորատորիայի (կենտրոնի) թույլտվության, արգելված է:</w:t>
      </w:r>
    </w:p>
    <w:p w14:paraId="29B82863" w14:textId="77777777" w:rsidR="008C76E0" w:rsidRPr="00905F38" w:rsidRDefault="008C76E0" w:rsidP="00DB2544">
      <w:pPr>
        <w:spacing w:after="160" w:line="360" w:lineRule="auto"/>
        <w:jc w:val="both"/>
        <w:rPr>
          <w:rFonts w:ascii="Sylfaen" w:eastAsia="Times New Roman" w:hAnsi="Sylfaen" w:cs="Times New Roman"/>
          <w:sz w:val="24"/>
          <w:szCs w:val="24"/>
        </w:rPr>
      </w:pPr>
    </w:p>
    <w:p w14:paraId="18F21E8E" w14:textId="77777777" w:rsidR="004B393A" w:rsidRDefault="004B393A" w:rsidP="008C76E0">
      <w:pPr>
        <w:ind w:left="4395" w:right="-1"/>
        <w:jc w:val="center"/>
        <w:rPr>
          <w:rFonts w:ascii="Sylfaen" w:hAnsi="Sylfaen"/>
          <w:sz w:val="24"/>
          <w:szCs w:val="24"/>
        </w:rPr>
        <w:sectPr w:rsidR="004B393A" w:rsidSect="00F8005E">
          <w:pgSz w:w="11907" w:h="16839" w:code="9"/>
          <w:pgMar w:top="1418" w:right="1418" w:bottom="1418" w:left="1418" w:header="709" w:footer="709" w:gutter="0"/>
          <w:pgNumType w:start="1"/>
          <w:cols w:space="708"/>
          <w:titlePg/>
          <w:docGrid w:linePitch="360"/>
        </w:sectPr>
      </w:pPr>
    </w:p>
    <w:p w14:paraId="1B8AF718"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lastRenderedPageBreak/>
        <w:t>ՀԱՎԵԼՎԱԾ ԹԻՎ 13</w:t>
      </w:r>
    </w:p>
    <w:p w14:paraId="3D360E77" w14:textId="77777777" w:rsidR="008C76E0" w:rsidRPr="00BD7577" w:rsidRDefault="008C76E0" w:rsidP="004B393A">
      <w:pPr>
        <w:spacing w:after="160" w:line="360" w:lineRule="auto"/>
        <w:ind w:left="4395" w:right="-1"/>
        <w:jc w:val="center"/>
        <w:rPr>
          <w:rFonts w:ascii="Sylfaen" w:hAnsi="Sylfaen"/>
          <w:sz w:val="24"/>
          <w:szCs w:val="24"/>
        </w:rPr>
      </w:pPr>
      <w:r w:rsidRPr="00BD7577">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w:t>
      </w:r>
    </w:p>
    <w:p w14:paraId="5DD5AE4A" w14:textId="77777777" w:rsidR="008C76E0" w:rsidRPr="00BD7577" w:rsidRDefault="008C76E0" w:rsidP="004B393A">
      <w:pPr>
        <w:spacing w:after="160" w:line="360" w:lineRule="auto"/>
        <w:ind w:right="-1" w:firstLine="567"/>
        <w:jc w:val="both"/>
        <w:rPr>
          <w:rFonts w:ascii="Sylfaen" w:hAnsi="Sylfaen"/>
          <w:sz w:val="24"/>
          <w:szCs w:val="24"/>
        </w:rPr>
      </w:pPr>
    </w:p>
    <w:p w14:paraId="698C3C86" w14:textId="77777777" w:rsidR="008C76E0" w:rsidRPr="008C76E0" w:rsidRDefault="008C76E0" w:rsidP="004B393A">
      <w:pPr>
        <w:pStyle w:val="Heading130"/>
        <w:shd w:val="clear" w:color="auto" w:fill="auto"/>
        <w:spacing w:before="0" w:after="160" w:line="360" w:lineRule="auto"/>
        <w:ind w:left="567" w:right="565"/>
        <w:outlineLvl w:val="9"/>
        <w:rPr>
          <w:rFonts w:ascii="Sylfaen" w:hAnsi="Sylfaen"/>
          <w:b/>
          <w:sz w:val="24"/>
          <w:szCs w:val="24"/>
          <w:lang w:val="hy-AM"/>
        </w:rPr>
      </w:pPr>
      <w:bookmarkStart w:id="7" w:name="bookmark8"/>
      <w:r w:rsidRPr="008C76E0">
        <w:rPr>
          <w:rStyle w:val="Heading13Bold"/>
          <w:rFonts w:ascii="Sylfaen" w:hAnsi="Sylfaen"/>
          <w:b/>
          <w:sz w:val="24"/>
          <w:szCs w:val="24"/>
          <w:lang w:val="hy-AM"/>
        </w:rPr>
        <w:t>ՑՈՒՑՈՒՄՆԵՐ</w:t>
      </w:r>
      <w:bookmarkEnd w:id="7"/>
    </w:p>
    <w:p w14:paraId="43FAD33F" w14:textId="77777777" w:rsidR="008C76E0" w:rsidRPr="008C76E0" w:rsidRDefault="008C76E0" w:rsidP="004B393A">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Նախակլինիկական (ոչ կլինիկական) հետազոտությունների արդյունքների գնահատման վերաբերյալ փորձագիտական հաշվետվություն կազմելու վերաբերյալ</w:t>
      </w:r>
    </w:p>
    <w:p w14:paraId="0886E750" w14:textId="77777777" w:rsidR="008C76E0" w:rsidRPr="008C76E0" w:rsidRDefault="008C76E0" w:rsidP="004B393A">
      <w:pPr>
        <w:pStyle w:val="Bodytext130"/>
        <w:shd w:val="clear" w:color="auto" w:fill="auto"/>
        <w:spacing w:after="160" w:line="360" w:lineRule="auto"/>
        <w:ind w:left="567" w:right="565"/>
        <w:rPr>
          <w:rFonts w:ascii="Sylfaen" w:hAnsi="Sylfaen"/>
          <w:b w:val="0"/>
          <w:sz w:val="24"/>
          <w:szCs w:val="24"/>
          <w:lang w:val="hy-AM"/>
        </w:rPr>
      </w:pPr>
    </w:p>
    <w:p w14:paraId="3A64B038"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 Ընդհանուր դրույթներ</w:t>
      </w:r>
    </w:p>
    <w:p w14:paraId="43C92B1C"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Նախակլինիկական (ոչ կլինիկական) հետազոտությունների արդյունքների գնահատման վերաբերյալ փորձագիտական հաշվետվությունը (այսուհետ՝ հաշվետվություն) պետք է լինի բավականաչափ մանրամասնեցված, որպեսզի հնարավոր լինի անցկացնել դրա կրկնակի գնահատումը Եվրասիական տնտեսական միության անդամ պետությունների լիազորված մարմինների </w:t>
      </w:r>
      <w:r w:rsidR="00C54D75">
        <w:rPr>
          <w:rFonts w:ascii="Sylfaen" w:hAnsi="Sylfaen"/>
          <w:sz w:val="24"/>
          <w:szCs w:val="24"/>
        </w:rPr>
        <w:t>և</w:t>
      </w:r>
      <w:r w:rsidRPr="00BD7577">
        <w:rPr>
          <w:rFonts w:ascii="Sylfaen" w:hAnsi="Sylfaen"/>
          <w:sz w:val="24"/>
          <w:szCs w:val="24"/>
        </w:rPr>
        <w:t xml:space="preserve"> կազմակերպությունների այլ փորձագետների կողմից: </w:t>
      </w:r>
    </w:p>
    <w:p w14:paraId="1787B80D" w14:textId="5C7C480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պետք է նկարագրվեն հետազոտությունների առավել բնորոշ արդյունքները, մասնավորապես այնպիսիք, որոնք վերաբերում են թերություններին, ինչպես նա</w:t>
      </w:r>
      <w:r w:rsidR="00C54D75">
        <w:rPr>
          <w:rFonts w:ascii="Sylfaen" w:hAnsi="Sylfaen"/>
          <w:sz w:val="24"/>
          <w:szCs w:val="24"/>
        </w:rPr>
        <w:t>և</w:t>
      </w:r>
      <w:r w:rsidRPr="00BD7577">
        <w:rPr>
          <w:rFonts w:ascii="Sylfaen" w:hAnsi="Sylfaen"/>
          <w:sz w:val="24"/>
          <w:szCs w:val="24"/>
        </w:rPr>
        <w:t xml:space="preserve"> պետք է տրվեն հիմնավորված դիտողություններ, որոնք ներկայացվում են </w:t>
      </w:r>
      <w:r w:rsidR="0056496B">
        <w:rPr>
          <w:rFonts w:ascii="Sylfaen" w:hAnsi="Sylfaen"/>
          <w:sz w:val="24"/>
          <w:szCs w:val="24"/>
        </w:rPr>
        <w:t>դիմումատու</w:t>
      </w:r>
      <w:r w:rsidRPr="00BD7577">
        <w:rPr>
          <w:rFonts w:ascii="Sylfaen" w:hAnsi="Sylfaen"/>
          <w:sz w:val="24"/>
          <w:szCs w:val="24"/>
        </w:rPr>
        <w:t>ին: Տվյալ դիտողությունները պետք է նա</w:t>
      </w:r>
      <w:r w:rsidR="00C54D75">
        <w:rPr>
          <w:rFonts w:ascii="Sylfaen" w:hAnsi="Sylfaen"/>
          <w:sz w:val="24"/>
          <w:szCs w:val="24"/>
        </w:rPr>
        <w:t>և</w:t>
      </w:r>
      <w:r w:rsidRPr="00BD7577">
        <w:rPr>
          <w:rFonts w:ascii="Sylfaen" w:hAnsi="Sylfaen"/>
          <w:sz w:val="24"/>
          <w:szCs w:val="24"/>
        </w:rPr>
        <w:t xml:space="preserve"> թվարկվեն «Անվտանգության, որակի, արդյունավետության գնահատում» ամփոփ փորձագիտական հաշվետվության մեջ:</w:t>
      </w:r>
    </w:p>
    <w:p w14:paraId="4CAC8D4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նշված տեղեկատվության աղբյուրների ճիշտ ներկայացման համար (այդ թվում՝ դոսյեի հատուկ բաժինները՝ ընդհանուր նկարագրություն, ամփոփ տեղեկատվություն, հետազոտությունների մասին </w:t>
      </w:r>
      <w:r w:rsidRPr="00BD7577">
        <w:rPr>
          <w:rFonts w:ascii="Sylfaen" w:hAnsi="Sylfaen"/>
          <w:sz w:val="24"/>
          <w:szCs w:val="24"/>
        </w:rPr>
        <w:lastRenderedPageBreak/>
        <w:t>հաշվետվություններ) անհրաժեշտ է օգտագործել խաչաձ</w:t>
      </w:r>
      <w:r w:rsidR="00C54D75">
        <w:rPr>
          <w:rFonts w:ascii="Sylfaen" w:hAnsi="Sylfaen"/>
          <w:sz w:val="24"/>
          <w:szCs w:val="24"/>
        </w:rPr>
        <w:t>և</w:t>
      </w:r>
      <w:r w:rsidRPr="00BD7577">
        <w:rPr>
          <w:rFonts w:ascii="Sylfaen" w:hAnsi="Sylfaen"/>
          <w:sz w:val="24"/>
          <w:szCs w:val="24"/>
        </w:rPr>
        <w:t xml:space="preserve"> հղումներ՝ դոսյեի փաստաթղթերին, հղումներ՝ օգտագործվող գրականությանը, </w:t>
      </w:r>
      <w:r w:rsidR="00C54D75">
        <w:rPr>
          <w:rFonts w:ascii="Sylfaen" w:hAnsi="Sylfaen"/>
          <w:sz w:val="24"/>
          <w:szCs w:val="24"/>
        </w:rPr>
        <w:t>և</w:t>
      </w:r>
      <w:r w:rsidRPr="00BD7577">
        <w:rPr>
          <w:rFonts w:ascii="Sylfaen" w:hAnsi="Sylfaen"/>
          <w:sz w:val="24"/>
          <w:szCs w:val="24"/>
        </w:rPr>
        <w:t xml:space="preserve"> այլ աղբյուրներ:</w:t>
      </w:r>
    </w:p>
    <w:p w14:paraId="12B40235"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Քննադատական գնահատականը (օրինակ՝ տվյալների հավաստիության </w:t>
      </w:r>
      <w:r w:rsidR="00C54D75">
        <w:rPr>
          <w:rFonts w:ascii="Sylfaen" w:hAnsi="Sylfaen"/>
          <w:sz w:val="24"/>
          <w:szCs w:val="24"/>
        </w:rPr>
        <w:t>և</w:t>
      </w:r>
      <w:r w:rsidRPr="00BD7577">
        <w:rPr>
          <w:rFonts w:ascii="Sylfaen" w:hAnsi="Sylfaen"/>
          <w:sz w:val="24"/>
          <w:szCs w:val="24"/>
        </w:rPr>
        <w:t xml:space="preserve"> մեկնաբանության վերաբերյալ դիտողությունները, եզրակացությունները) պետք է նշված լինի «Փորձագետի մեկնաբանություններ» ենթաբաժնում, որով ավարտվում է հաշվետվության բաժիններից յուրաքանչյուրը: Անհրաժեշտության դեպքում կարելի է կիրառել հետ</w:t>
      </w:r>
      <w:r w:rsidR="00C54D75">
        <w:rPr>
          <w:rFonts w:ascii="Sylfaen" w:hAnsi="Sylfaen"/>
          <w:sz w:val="24"/>
          <w:szCs w:val="24"/>
        </w:rPr>
        <w:t>և</w:t>
      </w:r>
      <w:r w:rsidRPr="00BD7577">
        <w:rPr>
          <w:rFonts w:ascii="Sylfaen" w:hAnsi="Sylfaen"/>
          <w:sz w:val="24"/>
          <w:szCs w:val="24"/>
        </w:rPr>
        <w:t>յալ ձ</w:t>
      </w:r>
      <w:r w:rsidR="00C54D75">
        <w:rPr>
          <w:rFonts w:ascii="Sylfaen" w:hAnsi="Sylfaen"/>
          <w:sz w:val="24"/>
          <w:szCs w:val="24"/>
        </w:rPr>
        <w:t>և</w:t>
      </w:r>
      <w:r w:rsidRPr="00BD7577">
        <w:rPr>
          <w:rFonts w:ascii="Sylfaen" w:hAnsi="Sylfaen"/>
          <w:sz w:val="24"/>
          <w:szCs w:val="24"/>
        </w:rPr>
        <w:t>ակերպումը՝ «Քննադատական դիտողություն—տե՛ս դիտողությունների առաջարկվող ցանկը»:</w:t>
      </w:r>
    </w:p>
    <w:p w14:paraId="1EC56DF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մեջ պետք է նշված լինի՝ արդյոք ստացված արդյունքներն ազդում են մարդու մոտ դեղապատրաստուկի կիրառման անվտանգության ապահովման վրա, </w:t>
      </w:r>
      <w:r w:rsidR="00C54D75">
        <w:rPr>
          <w:rFonts w:ascii="Sylfaen" w:hAnsi="Sylfaen"/>
          <w:sz w:val="24"/>
          <w:szCs w:val="24"/>
        </w:rPr>
        <w:t>և</w:t>
      </w:r>
      <w:r w:rsidRPr="00BD7577">
        <w:rPr>
          <w:rFonts w:ascii="Sylfaen" w:hAnsi="Sylfaen"/>
          <w:sz w:val="24"/>
          <w:szCs w:val="24"/>
        </w:rPr>
        <w:t xml:space="preserve"> արդյոք այդ հետ</w:t>
      </w:r>
      <w:r w:rsidR="00C54D75">
        <w:rPr>
          <w:rFonts w:ascii="Sylfaen" w:hAnsi="Sylfaen"/>
          <w:sz w:val="24"/>
          <w:szCs w:val="24"/>
        </w:rPr>
        <w:t>և</w:t>
      </w:r>
      <w:r w:rsidRPr="00BD7577">
        <w:rPr>
          <w:rFonts w:ascii="Sylfaen" w:hAnsi="Sylfaen"/>
          <w:sz w:val="24"/>
          <w:szCs w:val="24"/>
        </w:rPr>
        <w:t xml:space="preserve">անքները գնահատելու համար լրացուցիչ փորձաքննություն անցկացնելու անհրաժեշտություն կա (օրինակ՝ կան տվյալներ՝ քաղցկեղածին ազդեցության վերաբերյալ, սակայն հետազոտվող կենդանիների տեսակի </w:t>
      </w:r>
      <w:r w:rsidR="00C54D75">
        <w:rPr>
          <w:rFonts w:ascii="Sylfaen" w:hAnsi="Sylfaen"/>
          <w:sz w:val="24"/>
          <w:szCs w:val="24"/>
        </w:rPr>
        <w:t>և</w:t>
      </w:r>
      <w:r w:rsidRPr="00BD7577">
        <w:rPr>
          <w:rFonts w:ascii="Sylfaen" w:hAnsi="Sylfaen"/>
          <w:sz w:val="24"/>
          <w:szCs w:val="24"/>
        </w:rPr>
        <w:t xml:space="preserve"> մարդու մոտ ընկալիչները տարբեր են): </w:t>
      </w:r>
    </w:p>
    <w:p w14:paraId="1717835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Հաշվետվության մեջ նա</w:t>
      </w:r>
      <w:r w:rsidR="00C54D75">
        <w:rPr>
          <w:rFonts w:ascii="Sylfaen" w:hAnsi="Sylfaen"/>
          <w:sz w:val="24"/>
          <w:szCs w:val="24"/>
        </w:rPr>
        <w:t>և</w:t>
      </w:r>
      <w:r w:rsidRPr="00BD7577">
        <w:rPr>
          <w:rFonts w:ascii="Sylfaen" w:hAnsi="Sylfaen"/>
          <w:sz w:val="24"/>
          <w:szCs w:val="24"/>
        </w:rPr>
        <w:t xml:space="preserve"> պետք է նշվեն այն տվյալները, որոնք անհրաժեշտ է ներառել դեղապատրաստուկի ընդհանուր բնութագրում (այսուհետ՝ ԴՊԸԲ)։</w:t>
      </w:r>
    </w:p>
    <w:p w14:paraId="7C16F480" w14:textId="7892E540"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Գաղտնի հանդիսացող </w:t>
      </w:r>
      <w:r w:rsidR="00C54D75">
        <w:rPr>
          <w:rFonts w:ascii="Sylfaen" w:hAnsi="Sylfaen"/>
          <w:sz w:val="24"/>
          <w:szCs w:val="24"/>
        </w:rPr>
        <w:t>և</w:t>
      </w:r>
      <w:r w:rsidRPr="00BD7577">
        <w:rPr>
          <w:rFonts w:ascii="Sylfaen" w:hAnsi="Sylfaen"/>
          <w:sz w:val="24"/>
          <w:szCs w:val="24"/>
        </w:rPr>
        <w:t xml:space="preserve"> </w:t>
      </w:r>
      <w:r w:rsidR="0056496B">
        <w:rPr>
          <w:rFonts w:ascii="Sylfaen" w:hAnsi="Sylfaen"/>
          <w:sz w:val="24"/>
          <w:szCs w:val="24"/>
        </w:rPr>
        <w:t>դիմումատու</w:t>
      </w:r>
      <w:r w:rsidRPr="00BD7577">
        <w:rPr>
          <w:rFonts w:ascii="Sylfaen" w:hAnsi="Sylfaen"/>
          <w:sz w:val="24"/>
          <w:szCs w:val="24"/>
        </w:rPr>
        <w:t xml:space="preserve">ի համար չնախատեսված տեղեկություններին հղումները (օրինակ՝ հղումներ՝ այլ դեղապատրաստուկի գնահատման հաշվետվությանը) պետք է նշված լինեն որպես «Գաղտնի տեղեկատվություն» </w:t>
      </w:r>
      <w:r w:rsidR="00C54D75">
        <w:rPr>
          <w:rFonts w:ascii="Sylfaen" w:hAnsi="Sylfaen"/>
          <w:sz w:val="24"/>
          <w:szCs w:val="24"/>
        </w:rPr>
        <w:t>և</w:t>
      </w:r>
      <w:r w:rsidRPr="00BD7577">
        <w:rPr>
          <w:rFonts w:ascii="Sylfaen" w:hAnsi="Sylfaen"/>
          <w:sz w:val="24"/>
          <w:szCs w:val="24"/>
        </w:rPr>
        <w:t xml:space="preserve"> առանձնացվեն դեղին ֆոնով: Հաշվետվությունը </w:t>
      </w:r>
      <w:r w:rsidR="0056496B">
        <w:rPr>
          <w:rFonts w:ascii="Sylfaen" w:hAnsi="Sylfaen"/>
          <w:sz w:val="24"/>
          <w:szCs w:val="24"/>
        </w:rPr>
        <w:t>դիմումատու</w:t>
      </w:r>
      <w:r w:rsidRPr="00BD7577">
        <w:rPr>
          <w:rFonts w:ascii="Sylfaen" w:hAnsi="Sylfaen"/>
          <w:sz w:val="24"/>
          <w:szCs w:val="24"/>
        </w:rPr>
        <w:t>ին ուղարկելուց առաջ այս բաժինները պետք է դրանից բացառվեն:</w:t>
      </w:r>
    </w:p>
    <w:p w14:paraId="17AEC66B"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BD7577">
        <w:rPr>
          <w:rFonts w:ascii="Sylfaen" w:hAnsi="Sylfaen"/>
          <w:sz w:val="24"/>
          <w:szCs w:val="24"/>
        </w:rPr>
        <w:t xml:space="preserve"> նկարների տեսքով, որոնց օրինակները բերված են Բժշկական կիրառման դեղամիջոցների գրանցման </w:t>
      </w:r>
      <w:r w:rsidR="00C54D75">
        <w:rPr>
          <w:rFonts w:ascii="Sylfaen" w:hAnsi="Sylfaen"/>
          <w:sz w:val="24"/>
          <w:szCs w:val="24"/>
        </w:rPr>
        <w:t>և</w:t>
      </w:r>
      <w:r w:rsidRPr="00BD7577">
        <w:rPr>
          <w:rFonts w:ascii="Sylfaen" w:hAnsi="Sylfaen"/>
          <w:sz w:val="24"/>
          <w:szCs w:val="24"/>
        </w:rPr>
        <w:t xml:space="preserve"> փորձաքննության կանոնների (այսուհետ՝ Գրանցման կանոններ) թիվ 6 հավելվածում </w:t>
      </w:r>
      <w:r w:rsidR="00C54D75">
        <w:rPr>
          <w:rFonts w:ascii="Sylfaen" w:hAnsi="Sylfaen"/>
          <w:sz w:val="24"/>
          <w:szCs w:val="24"/>
        </w:rPr>
        <w:t>և</w:t>
      </w:r>
      <w:r w:rsidRPr="00BD7577">
        <w:rPr>
          <w:rFonts w:ascii="Sylfaen" w:hAnsi="Sylfaen"/>
          <w:sz w:val="24"/>
          <w:szCs w:val="24"/>
        </w:rPr>
        <w:t xml:space="preserve"> պետք է օգտագործվեն ըստ անհրաժեշտության: Դեղակինետիկայի </w:t>
      </w:r>
      <w:r w:rsidR="00C54D75">
        <w:rPr>
          <w:rFonts w:ascii="Sylfaen" w:hAnsi="Sylfaen"/>
          <w:sz w:val="24"/>
          <w:szCs w:val="24"/>
        </w:rPr>
        <w:t>և</w:t>
      </w:r>
      <w:r w:rsidRPr="00BD7577">
        <w:rPr>
          <w:rFonts w:ascii="Sylfaen" w:hAnsi="Sylfaen"/>
          <w:sz w:val="24"/>
          <w:szCs w:val="24"/>
        </w:rPr>
        <w:t xml:space="preserve"> տոքսիկոկինետիկայի մասով տվյալներ պարունակող աղյուսակներում պետք է նշված լինեն կենդանիների քանակն ու յուրաքանչյուր պարամետրի համար ստանդարտ </w:t>
      </w:r>
      <w:r w:rsidRPr="00BD7577">
        <w:rPr>
          <w:rFonts w:ascii="Sylfaen" w:hAnsi="Sylfaen"/>
          <w:sz w:val="24"/>
          <w:szCs w:val="24"/>
        </w:rPr>
        <w:lastRenderedPageBreak/>
        <w:t>շեղման նշանակությունը: Բազմակի ներմուծման դեպքում հետազոտությունների համար անհրաժեշտ է հստակեցնել տոքսիկոկինետիկական վերլուծության համար նմուշներ վերցնելու օրը: Թույլատրվում է գնահատման վերաբերյալ հաշվետվության մեջ ներառել պատրաստուկի դոսյեից աղյուսակներ: Ընդ որում, հարկ է բերել համապատասխան հղումներ:</w:t>
      </w:r>
    </w:p>
    <w:p w14:paraId="26FEAA59"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Գրանցման կանոնների թիվ 6 հավելվածով նախատեսված հաշվետվության ձ</w:t>
      </w:r>
      <w:r w:rsidR="00C54D75">
        <w:rPr>
          <w:rFonts w:ascii="Sylfaen" w:hAnsi="Sylfaen"/>
          <w:sz w:val="24"/>
          <w:szCs w:val="24"/>
        </w:rPr>
        <w:t>և</w:t>
      </w:r>
      <w:r w:rsidRPr="00BD7577">
        <w:rPr>
          <w:rFonts w:ascii="Sylfaen" w:hAnsi="Sylfaen"/>
          <w:sz w:val="24"/>
          <w:szCs w:val="24"/>
        </w:rPr>
        <w:t xml:space="preserve">անմուշում ավելացված են մի քանի էջեր, որոնք նախատեսված են հապավումների ցանկի </w:t>
      </w:r>
      <w:r w:rsidR="00C54D75">
        <w:rPr>
          <w:rFonts w:ascii="Sylfaen" w:hAnsi="Sylfaen"/>
          <w:sz w:val="24"/>
          <w:szCs w:val="24"/>
        </w:rPr>
        <w:t>և</w:t>
      </w:r>
      <w:r w:rsidRPr="00BD7577">
        <w:rPr>
          <w:rFonts w:ascii="Sylfaen" w:hAnsi="Sylfaen"/>
          <w:sz w:val="24"/>
          <w:szCs w:val="24"/>
        </w:rPr>
        <w:t xml:space="preserve"> գրականության ցանկի համար, որոնք հարկ է լրացնել ըստ անհրաժեշտության:</w:t>
      </w:r>
    </w:p>
    <w:p w14:paraId="12D9EA02"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Խորհուրդ է տրվում հաշվետվության հիմնական տեքստը տպագրել 11 չափի Times New Roman տառատեսակով: Հաշվետվության ծավալը՝ 7 թերթը, գերազանցելու դեպքում հարկ է այն գլխակարգել:</w:t>
      </w:r>
    </w:p>
    <w:p w14:paraId="4CF301C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Հաշվետվությունը նախապատրաստելիս փորձագետը նա</w:t>
      </w:r>
      <w:r w:rsidR="00C54D75">
        <w:rPr>
          <w:rFonts w:ascii="Sylfaen" w:hAnsi="Sylfaen"/>
          <w:sz w:val="24"/>
          <w:szCs w:val="24"/>
        </w:rPr>
        <w:t>և</w:t>
      </w:r>
      <w:r w:rsidRPr="00BD7577">
        <w:rPr>
          <w:rFonts w:ascii="Sylfaen" w:hAnsi="Sylfaen"/>
          <w:sz w:val="24"/>
          <w:szCs w:val="24"/>
        </w:rPr>
        <w:t xml:space="preserve"> կարող է օգտագործել Միության մարմինների՝ գրանցման դոսյեի կազմման վերաբերյալ ակտերը՝ ընդհանուր տեխնիկական փաստաթղթի ձ</w:t>
      </w:r>
      <w:r w:rsidR="00C54D75">
        <w:rPr>
          <w:rFonts w:ascii="Sylfaen" w:hAnsi="Sylfaen"/>
          <w:sz w:val="24"/>
          <w:szCs w:val="24"/>
        </w:rPr>
        <w:t>և</w:t>
      </w:r>
      <w:r w:rsidRPr="00BD7577">
        <w:rPr>
          <w:rFonts w:ascii="Sylfaen" w:hAnsi="Sylfaen"/>
          <w:sz w:val="24"/>
          <w:szCs w:val="24"/>
        </w:rPr>
        <w:t>աչափով:</w:t>
      </w:r>
    </w:p>
    <w:p w14:paraId="219717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Սույն ցուցումներում ուսումնասիրվում են հաշվետվության միայն այն բաժինները, որոնք պահանջում են պարզաբանումներ </w:t>
      </w:r>
      <w:r w:rsidR="00C54D75">
        <w:rPr>
          <w:rFonts w:ascii="Sylfaen" w:hAnsi="Sylfaen"/>
          <w:sz w:val="24"/>
          <w:szCs w:val="24"/>
        </w:rPr>
        <w:t>և</w:t>
      </w:r>
      <w:r w:rsidRPr="00BD7577">
        <w:rPr>
          <w:rFonts w:ascii="Sylfaen" w:hAnsi="Sylfaen"/>
          <w:sz w:val="24"/>
          <w:szCs w:val="24"/>
        </w:rPr>
        <w:t xml:space="preserve"> մեկնաբանություններ:</w:t>
      </w:r>
    </w:p>
    <w:p w14:paraId="3C67305C" w14:textId="77777777" w:rsidR="008C76E0" w:rsidRPr="00BD7577" w:rsidRDefault="008C76E0" w:rsidP="004B393A">
      <w:pPr>
        <w:spacing w:after="160" w:line="360" w:lineRule="auto"/>
        <w:ind w:firstLine="567"/>
        <w:jc w:val="both"/>
        <w:rPr>
          <w:rFonts w:ascii="Sylfaen" w:hAnsi="Sylfaen"/>
          <w:sz w:val="24"/>
          <w:szCs w:val="24"/>
        </w:rPr>
      </w:pPr>
    </w:p>
    <w:p w14:paraId="5DB70566" w14:textId="77777777" w:rsidR="008C76E0" w:rsidRPr="00BD7577" w:rsidRDefault="008C76E0" w:rsidP="004B393A">
      <w:pPr>
        <w:spacing w:after="160" w:line="360" w:lineRule="auto"/>
        <w:ind w:left="567" w:right="565"/>
        <w:jc w:val="center"/>
        <w:rPr>
          <w:rFonts w:ascii="Sylfaen" w:hAnsi="Sylfaen"/>
          <w:sz w:val="24"/>
          <w:szCs w:val="24"/>
        </w:rPr>
      </w:pPr>
      <w:r w:rsidRPr="00BD7577">
        <w:rPr>
          <w:rFonts w:ascii="Sylfaen" w:hAnsi="Sylfaen"/>
          <w:sz w:val="24"/>
          <w:szCs w:val="24"/>
        </w:rPr>
        <w:t>II. Նախակլինիկական (ոչ կլինիկական) ասպեկտների փորձաքննությունը</w:t>
      </w:r>
    </w:p>
    <w:p w14:paraId="5156FAF0" w14:textId="77777777"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w:t>
      </w:r>
      <w:r w:rsidRPr="00BD7577">
        <w:rPr>
          <w:rFonts w:ascii="Sylfaen" w:hAnsi="Sylfaen"/>
          <w:sz w:val="24"/>
          <w:szCs w:val="24"/>
        </w:rPr>
        <w:tab/>
        <w:t>Ներածություն:</w:t>
      </w:r>
    </w:p>
    <w:p w14:paraId="10E59DB6" w14:textId="79094A7E" w:rsidR="008C76E0" w:rsidRPr="00BD7577" w:rsidRDefault="008C76E0" w:rsidP="004B393A">
      <w:pPr>
        <w:tabs>
          <w:tab w:val="left" w:pos="1134"/>
        </w:tabs>
        <w:spacing w:after="160" w:line="360" w:lineRule="auto"/>
        <w:ind w:right="-1" w:firstLine="567"/>
        <w:jc w:val="both"/>
        <w:rPr>
          <w:rFonts w:ascii="Sylfaen" w:hAnsi="Sylfaen"/>
          <w:sz w:val="24"/>
          <w:szCs w:val="24"/>
        </w:rPr>
      </w:pPr>
      <w:r w:rsidRPr="00BD7577">
        <w:rPr>
          <w:rFonts w:ascii="Sylfaen" w:hAnsi="Sylfaen"/>
          <w:sz w:val="24"/>
          <w:szCs w:val="24"/>
        </w:rPr>
        <w:t>1.1.</w:t>
      </w:r>
      <w:r w:rsidRPr="00BD7577">
        <w:rPr>
          <w:rFonts w:ascii="Sylfaen" w:hAnsi="Sylfaen"/>
          <w:sz w:val="24"/>
          <w:szCs w:val="24"/>
        </w:rPr>
        <w:tab/>
      </w:r>
      <w:r w:rsidR="0056496B">
        <w:rPr>
          <w:rFonts w:ascii="Sylfaen" w:hAnsi="Sylfaen"/>
          <w:sz w:val="24"/>
          <w:szCs w:val="24"/>
        </w:rPr>
        <w:t>Դիմում</w:t>
      </w:r>
      <w:r w:rsidRPr="00BD7577">
        <w:rPr>
          <w:rFonts w:ascii="Sylfaen" w:hAnsi="Sylfaen"/>
          <w:sz w:val="24"/>
          <w:szCs w:val="24"/>
        </w:rPr>
        <w:t xml:space="preserve">ի տեսակը </w:t>
      </w:r>
      <w:r w:rsidR="00C54D75">
        <w:rPr>
          <w:rFonts w:ascii="Sylfaen" w:hAnsi="Sylfaen"/>
          <w:sz w:val="24"/>
          <w:szCs w:val="24"/>
        </w:rPr>
        <w:t>և</w:t>
      </w:r>
      <w:r w:rsidRPr="00BD7577">
        <w:rPr>
          <w:rFonts w:ascii="Sylfaen" w:hAnsi="Sylfaen"/>
          <w:sz w:val="24"/>
          <w:szCs w:val="24"/>
        </w:rPr>
        <w:t xml:space="preserve"> մշակմանն առնչվող հարցերը:</w:t>
      </w:r>
    </w:p>
    <w:p w14:paraId="53DFFE65" w14:textId="4942B4C7" w:rsidR="008C76E0" w:rsidRPr="00BD7577" w:rsidRDefault="0056496B" w:rsidP="004B393A">
      <w:pPr>
        <w:tabs>
          <w:tab w:val="left" w:pos="1134"/>
        </w:tabs>
        <w:spacing w:after="160" w:line="360" w:lineRule="auto"/>
        <w:ind w:right="-1" w:firstLine="567"/>
        <w:jc w:val="both"/>
        <w:rPr>
          <w:rFonts w:ascii="Sylfaen" w:hAnsi="Sylfaen"/>
          <w:sz w:val="24"/>
          <w:szCs w:val="24"/>
        </w:rPr>
      </w:pPr>
      <w:r>
        <w:rPr>
          <w:rFonts w:ascii="Sylfaen" w:hAnsi="Sylfaen"/>
          <w:sz w:val="24"/>
          <w:szCs w:val="24"/>
        </w:rPr>
        <w:t>Դիմում</w:t>
      </w:r>
      <w:r w:rsidR="008C76E0" w:rsidRPr="00BD7577">
        <w:rPr>
          <w:rFonts w:ascii="Sylfaen" w:hAnsi="Sylfaen"/>
          <w:sz w:val="24"/>
          <w:szCs w:val="24"/>
        </w:rPr>
        <w:t>ի տեսակը:</w:t>
      </w:r>
    </w:p>
    <w:p w14:paraId="532F5A22" w14:textId="6A43004D"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Նշվում են գրանցման վկայական ստանալու </w:t>
      </w:r>
      <w:r w:rsidR="0056496B">
        <w:rPr>
          <w:rFonts w:ascii="Sylfaen" w:hAnsi="Sylfaen"/>
          <w:sz w:val="24"/>
          <w:szCs w:val="24"/>
        </w:rPr>
        <w:t>դիմում</w:t>
      </w:r>
      <w:r w:rsidRPr="00BD7577">
        <w:rPr>
          <w:rFonts w:ascii="Sylfaen" w:hAnsi="Sylfaen"/>
          <w:sz w:val="24"/>
          <w:szCs w:val="24"/>
        </w:rPr>
        <w:t xml:space="preserve">ի տեսակը (հղում՝ </w:t>
      </w:r>
      <w:r w:rsidR="0056496B">
        <w:rPr>
          <w:rFonts w:ascii="Sylfaen" w:hAnsi="Sylfaen"/>
          <w:sz w:val="24"/>
          <w:szCs w:val="24"/>
        </w:rPr>
        <w:t>դիմում</w:t>
      </w:r>
      <w:r w:rsidRPr="00BD7577">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BD7577">
        <w:rPr>
          <w:rFonts w:ascii="Sylfaen" w:hAnsi="Sylfaen"/>
          <w:sz w:val="24"/>
          <w:szCs w:val="24"/>
        </w:rPr>
        <w:t xml:space="preserve">, սեփական </w:t>
      </w:r>
      <w:r w:rsidR="00C54D75">
        <w:rPr>
          <w:rFonts w:ascii="Sylfaen" w:hAnsi="Sylfaen"/>
          <w:sz w:val="24"/>
          <w:szCs w:val="24"/>
        </w:rPr>
        <w:t>և</w:t>
      </w:r>
      <w:r w:rsidRPr="00BD7577">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BD7577">
        <w:rPr>
          <w:rFonts w:ascii="Sylfaen" w:hAnsi="Sylfaen"/>
          <w:sz w:val="24"/>
          <w:szCs w:val="24"/>
        </w:rPr>
        <w:t xml:space="preserve">, </w:t>
      </w:r>
      <w:r w:rsidRPr="00BD7577">
        <w:rPr>
          <w:rFonts w:ascii="Sylfaen" w:hAnsi="Sylfaen"/>
          <w:sz w:val="24"/>
          <w:szCs w:val="24"/>
        </w:rPr>
        <w:lastRenderedPageBreak/>
        <w:t xml:space="preserve">համընդհանուր կիրառության վրա հիմնված </w:t>
      </w:r>
      <w:r w:rsidR="0056496B">
        <w:rPr>
          <w:rFonts w:ascii="Sylfaen" w:hAnsi="Sylfaen"/>
          <w:sz w:val="24"/>
          <w:szCs w:val="24"/>
        </w:rPr>
        <w:t>դիմում</w:t>
      </w:r>
      <w:r w:rsidRPr="00BD7577">
        <w:rPr>
          <w:rFonts w:ascii="Sylfaen" w:hAnsi="Sylfaen"/>
          <w:sz w:val="24"/>
          <w:szCs w:val="24"/>
        </w:rPr>
        <w:t xml:space="preserve">, կենսաբանական պատրաստուկի </w:t>
      </w:r>
      <w:r w:rsidR="0056496B">
        <w:rPr>
          <w:rFonts w:ascii="Sylfaen" w:hAnsi="Sylfaen"/>
          <w:sz w:val="24"/>
          <w:szCs w:val="24"/>
        </w:rPr>
        <w:t>դիմում</w:t>
      </w:r>
      <w:r w:rsidRPr="00BD7577">
        <w:rPr>
          <w:rFonts w:ascii="Sylfaen" w:hAnsi="Sylfaen"/>
          <w:sz w:val="24"/>
          <w:szCs w:val="24"/>
        </w:rPr>
        <w:t xml:space="preserve"> </w:t>
      </w:r>
      <w:r w:rsidR="00C54D75">
        <w:rPr>
          <w:rFonts w:ascii="Sylfaen" w:hAnsi="Sylfaen"/>
          <w:sz w:val="24"/>
          <w:szCs w:val="24"/>
        </w:rPr>
        <w:t>և</w:t>
      </w:r>
      <w:r w:rsidRPr="00BD7577">
        <w:rPr>
          <w:rFonts w:ascii="Sylfaen" w:hAnsi="Sylfaen"/>
          <w:sz w:val="24"/>
          <w:szCs w:val="24"/>
        </w:rPr>
        <w:t xml:space="preserve"> այլն, ինչպես նա</w:t>
      </w:r>
      <w:r w:rsidR="00C54D75">
        <w:rPr>
          <w:rFonts w:ascii="Sylfaen" w:hAnsi="Sylfaen"/>
          <w:sz w:val="24"/>
          <w:szCs w:val="24"/>
        </w:rPr>
        <w:t>և</w:t>
      </w:r>
      <w:r w:rsidRPr="00BD7577">
        <w:rPr>
          <w:rFonts w:ascii="Sylfaen" w:hAnsi="Sylfaen"/>
          <w:sz w:val="24"/>
          <w:szCs w:val="24"/>
        </w:rPr>
        <w:t xml:space="preserve"> որոշակի հետազոտություններից հրաժարվելու կամ օրիգինալ հետազոտությունները գրական աղբյուրներից վերցված տվյալներով փոխարինելու համար ընդունելի հիմնավորումների առկայությունը: Եթե որ</w:t>
      </w:r>
      <w:r w:rsidR="00C54D75">
        <w:rPr>
          <w:rFonts w:ascii="Sylfaen" w:hAnsi="Sylfaen"/>
          <w:sz w:val="24"/>
          <w:szCs w:val="24"/>
        </w:rPr>
        <w:t>և</w:t>
      </w:r>
      <w:r w:rsidRPr="00BD7577">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BD7577">
        <w:rPr>
          <w:rFonts w:ascii="Sylfaen" w:hAnsi="Sylfaen"/>
          <w:sz w:val="24"/>
          <w:szCs w:val="24"/>
        </w:rPr>
        <w:t>ով, ապա կար</w:t>
      </w:r>
      <w:r w:rsidR="00C54D75">
        <w:rPr>
          <w:rFonts w:ascii="Sylfaen" w:hAnsi="Sylfaen"/>
          <w:sz w:val="24"/>
          <w:szCs w:val="24"/>
        </w:rPr>
        <w:t>և</w:t>
      </w:r>
      <w:r w:rsidRPr="00BD7577">
        <w:rPr>
          <w:rFonts w:ascii="Sylfaen" w:hAnsi="Sylfaen"/>
          <w:sz w:val="24"/>
          <w:szCs w:val="24"/>
        </w:rPr>
        <w:t>որ է ճշտել, թե արդյոք դրա որակը բավարար է առավել կրիտիկական տվյալների համակողմանի վերլուծություն անցկացնելու հնարավորության համար:</w:t>
      </w:r>
    </w:p>
    <w:p w14:paraId="5AA1A457"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Հաշվետվության յուրաքանչյուր հիմնական բաժին (4-րդ </w:t>
      </w:r>
      <w:r w:rsidR="00C54D75">
        <w:rPr>
          <w:rFonts w:ascii="Sylfaen" w:hAnsi="Sylfaen"/>
          <w:sz w:val="24"/>
          <w:szCs w:val="24"/>
        </w:rPr>
        <w:t>և</w:t>
      </w:r>
      <w:r w:rsidRPr="00BD7577">
        <w:rPr>
          <w:rFonts w:ascii="Sylfaen" w:hAnsi="Sylfaen"/>
          <w:sz w:val="24"/>
          <w:szCs w:val="24"/>
        </w:rPr>
        <w:t xml:space="preserve"> 5-րդ մոդուլներ) պետք է պարունակի Գրանցման կանոնների թիվ 1 հավելվածի պահանջներին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համարներին արված հղումներով, ինչպես նշված է Գրանցման կանոնների թիվ 1 հավելվածում: Հիմնական </w:t>
      </w:r>
      <w:r w:rsidR="00C54D75">
        <w:rPr>
          <w:rFonts w:ascii="Sylfaen" w:hAnsi="Sylfaen"/>
          <w:sz w:val="24"/>
          <w:szCs w:val="24"/>
        </w:rPr>
        <w:t>և</w:t>
      </w:r>
      <w:r w:rsidRPr="00BD7577">
        <w:rPr>
          <w:rFonts w:ascii="Sylfaen" w:hAnsi="Sylfaen"/>
          <w:sz w:val="24"/>
          <w:szCs w:val="24"/>
        </w:rPr>
        <w:t xml:space="preserve"> օժանդակ տվյալներն առանձնացնելուց հետո հետազոտությունների յուրաքանչյուր տարատեսակի մասով անհրաժեշտ է գնահատել, թե արդյոք հիմնական տվյալները ներկայացված են անցկացված նախակլինիկական (ոչ կլինիկական) </w:t>
      </w:r>
      <w:r w:rsidR="00C54D75">
        <w:rPr>
          <w:rFonts w:ascii="Sylfaen" w:hAnsi="Sylfaen"/>
          <w:sz w:val="24"/>
          <w:szCs w:val="24"/>
        </w:rPr>
        <w:t>և</w:t>
      </w:r>
      <w:r w:rsidRPr="00BD7577">
        <w:rPr>
          <w:rFonts w:ascii="Sylfaen" w:hAnsi="Sylfaen"/>
          <w:sz w:val="24"/>
          <w:szCs w:val="24"/>
        </w:rPr>
        <w:t xml:space="preserve"> կլինիկական հետազոտությունների վերաբերյալ սեփական հաշվետվություններով (բնօրինակ տվյալներ), մատենագիտական հղումներով, դրանց համակցություններով, թե այդպիսի տվյալները բացակայում են:</w:t>
      </w:r>
    </w:p>
    <w:p w14:paraId="062A7D38" w14:textId="7C2BDC7E"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 xml:space="preserve">Ներկայացված տվյալները պետք է գնահատվեն՝ հաշվի առնելով </w:t>
      </w:r>
      <w:r w:rsidR="0056496B">
        <w:rPr>
          <w:rFonts w:ascii="Sylfaen" w:hAnsi="Sylfaen"/>
          <w:sz w:val="24"/>
          <w:szCs w:val="24"/>
        </w:rPr>
        <w:t>դիմում</w:t>
      </w:r>
      <w:r w:rsidRPr="00BD7577">
        <w:rPr>
          <w:rFonts w:ascii="Sylfaen" w:hAnsi="Sylfaen"/>
          <w:sz w:val="24"/>
          <w:szCs w:val="24"/>
        </w:rPr>
        <w:t>ի տեսակը, այլ նորմատիվ պահանջներ, գործող մեթոդական հանձնարարականներն ու գիտական չափանիշները:</w:t>
      </w:r>
    </w:p>
    <w:p w14:paraId="27127821" w14:textId="77777777" w:rsidR="008C76E0" w:rsidRPr="00BD7577" w:rsidRDefault="008C76E0" w:rsidP="004B393A">
      <w:pPr>
        <w:spacing w:after="160" w:line="360" w:lineRule="auto"/>
        <w:ind w:right="-1" w:firstLine="567"/>
        <w:jc w:val="both"/>
        <w:rPr>
          <w:rFonts w:ascii="Sylfaen" w:hAnsi="Sylfaen"/>
          <w:sz w:val="24"/>
          <w:szCs w:val="24"/>
        </w:rPr>
      </w:pPr>
      <w:r w:rsidRPr="00BD7577">
        <w:rPr>
          <w:rFonts w:ascii="Sylfaen" w:hAnsi="Sylfaen"/>
          <w:sz w:val="24"/>
          <w:szCs w:val="24"/>
        </w:rPr>
        <w:t>Եթե տվյալների ներկայացման բնույթը տարբերվում է գոյութ</w:t>
      </w:r>
      <w:r>
        <w:rPr>
          <w:rFonts w:ascii="Sylfaen" w:hAnsi="Sylfaen"/>
          <w:sz w:val="24"/>
          <w:szCs w:val="24"/>
        </w:rPr>
        <w:t>յ</w:t>
      </w:r>
      <w:r w:rsidRPr="00BD7577">
        <w:rPr>
          <w:rFonts w:ascii="Sylfaen" w:hAnsi="Sylfaen"/>
          <w:sz w:val="24"/>
          <w:szCs w:val="24"/>
        </w:rPr>
        <w:t xml:space="preserve">ուն ունեցող պահանջներից, ապա անհրաժեշտ է անցկացնել այդպիսի շեղման հիմնավորումներից յուրաքանչյուրի ընդունելիության գնահատում: Մասնավորապես, հիմնավորման ենթակա են նախակլինիկական (կլինիկական) փորձարկումների կամ հետազոտությունների վերաբերյալ տեղեկությունների </w:t>
      </w:r>
      <w:r w:rsidRPr="00BD7577">
        <w:rPr>
          <w:rFonts w:ascii="Sylfaen" w:hAnsi="Sylfaen"/>
          <w:sz w:val="24"/>
          <w:szCs w:val="24"/>
        </w:rPr>
        <w:lastRenderedPageBreak/>
        <w:t>բացակայությունը, հիմնական հետազոտությունների վերաբերյալ տվյալներն ամբողջությամբ կամ մասնակիորեն փոխարինող մատենագիտական հղումների օգտագործումը:</w:t>
      </w:r>
    </w:p>
    <w:p w14:paraId="0A9758F7" w14:textId="4263C715"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Եթե </w:t>
      </w:r>
      <w:r w:rsidR="0056496B">
        <w:rPr>
          <w:rFonts w:ascii="Sylfaen" w:hAnsi="Sylfaen"/>
          <w:sz w:val="24"/>
          <w:szCs w:val="24"/>
        </w:rPr>
        <w:t>դիմումատու</w:t>
      </w:r>
      <w:r w:rsidRPr="00BD7577">
        <w:rPr>
          <w:rFonts w:ascii="Sylfaen" w:hAnsi="Sylfaen"/>
          <w:sz w:val="24"/>
          <w:szCs w:val="24"/>
        </w:rPr>
        <w:t xml:space="preserve">ն օգտագործում է տվյալներ գիտական հրապարակումներից, կամ նման տվյալները կիրառվում են փորձագետի հաշվետվության համատեքստում, ապա անհրաժեշտ է նշել յուրաքանչյուր հրապարակում հստակ նույնականացնելու հնարավորություն տվող հղումներ: Հարկ է դիտարկել գրականության ցանկ կազմելու հնարավորությունը, եթե հաշվետվության մեջ օգտագործվում են մեծ քանակությամբ հղումներ: </w:t>
      </w:r>
    </w:p>
    <w:p w14:paraId="6B3CC070"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Անհրաժեշտության դեպքում հարկավոր է ճշգրիտ ձ</w:t>
      </w:r>
      <w:r w:rsidR="00C54D75">
        <w:rPr>
          <w:rFonts w:ascii="Sylfaen" w:hAnsi="Sylfaen"/>
          <w:sz w:val="24"/>
          <w:szCs w:val="24"/>
        </w:rPr>
        <w:t>և</w:t>
      </w:r>
      <w:r w:rsidRPr="00BD7577">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BD7577">
        <w:rPr>
          <w:rFonts w:ascii="Sylfaen" w:hAnsi="Sylfaen"/>
          <w:sz w:val="24"/>
          <w:szCs w:val="24"/>
        </w:rPr>
        <w:t xml:space="preserve"> քննարկման համատեքստում):</w:t>
      </w:r>
    </w:p>
    <w:p w14:paraId="14AF782F" w14:textId="77777777" w:rsidR="008C76E0" w:rsidRPr="00BD7577" w:rsidRDefault="008C76E0" w:rsidP="004B393A">
      <w:pPr>
        <w:spacing w:after="160" w:line="360" w:lineRule="auto"/>
        <w:ind w:firstLine="567"/>
        <w:jc w:val="both"/>
        <w:rPr>
          <w:rFonts w:ascii="Sylfaen" w:hAnsi="Sylfaen"/>
          <w:sz w:val="24"/>
          <w:szCs w:val="24"/>
        </w:rPr>
      </w:pPr>
      <w:r w:rsidRPr="00BD7577">
        <w:rPr>
          <w:rFonts w:ascii="Sylfaen" w:hAnsi="Sylfaen"/>
          <w:sz w:val="24"/>
          <w:szCs w:val="24"/>
        </w:rPr>
        <w:t xml:space="preserve">Աղյուսակում ներկայացված են հիմնավորումների </w:t>
      </w:r>
      <w:r w:rsidR="00C54D75">
        <w:rPr>
          <w:rFonts w:ascii="Sylfaen" w:hAnsi="Sylfaen"/>
          <w:sz w:val="24"/>
          <w:szCs w:val="24"/>
        </w:rPr>
        <w:t>և</w:t>
      </w:r>
      <w:r w:rsidRPr="00BD7577">
        <w:rPr>
          <w:rFonts w:ascii="Sylfaen" w:hAnsi="Sylfaen"/>
          <w:sz w:val="24"/>
          <w:szCs w:val="24"/>
        </w:rPr>
        <w:t xml:space="preserve"> դրանց փորձագիտական գնահատականների օրինակներ:</w:t>
      </w:r>
    </w:p>
    <w:tbl>
      <w:tblPr>
        <w:tblOverlap w:val="never"/>
        <w:tblW w:w="9380" w:type="dxa"/>
        <w:jc w:val="center"/>
        <w:tblLayout w:type="fixed"/>
        <w:tblCellMar>
          <w:left w:w="10" w:type="dxa"/>
          <w:right w:w="10" w:type="dxa"/>
        </w:tblCellMar>
        <w:tblLook w:val="04A0" w:firstRow="1" w:lastRow="0" w:firstColumn="1" w:lastColumn="0" w:noHBand="0" w:noVBand="1"/>
      </w:tblPr>
      <w:tblGrid>
        <w:gridCol w:w="4762"/>
        <w:gridCol w:w="4607"/>
        <w:gridCol w:w="11"/>
      </w:tblGrid>
      <w:tr w:rsidR="008C76E0" w:rsidRPr="00BD7577" w14:paraId="04FF2AD7" w14:textId="77777777" w:rsidTr="008C76E0">
        <w:trPr>
          <w:trHeight w:val="976"/>
          <w:jc w:val="center"/>
        </w:trPr>
        <w:tc>
          <w:tcPr>
            <w:tcW w:w="4762" w:type="dxa"/>
            <w:tcBorders>
              <w:top w:val="single" w:sz="4" w:space="0" w:color="auto"/>
              <w:left w:val="single" w:sz="4" w:space="0" w:color="auto"/>
            </w:tcBorders>
            <w:shd w:val="clear" w:color="auto" w:fill="FFFFFF"/>
            <w:vAlign w:val="center"/>
          </w:tcPr>
          <w:p w14:paraId="2AA26157" w14:textId="77777777" w:rsidR="008C76E0" w:rsidRPr="00BD7577" w:rsidRDefault="008C76E0" w:rsidP="008C76E0">
            <w:pPr>
              <w:pStyle w:val="Bodytext180"/>
              <w:shd w:val="clear" w:color="auto" w:fill="auto"/>
              <w:spacing w:before="0" w:after="120" w:line="240" w:lineRule="auto"/>
              <w:ind w:left="145" w:right="-1" w:firstLine="0"/>
              <w:jc w:val="center"/>
              <w:rPr>
                <w:rFonts w:ascii="Sylfaen" w:hAnsi="Sylfaen"/>
                <w:b w:val="0"/>
                <w:sz w:val="24"/>
                <w:szCs w:val="24"/>
              </w:rPr>
            </w:pPr>
            <w:r w:rsidRPr="00BD7577">
              <w:rPr>
                <w:rStyle w:val="Bodytext1811pt"/>
                <w:rFonts w:ascii="Sylfaen" w:hAnsi="Sylfaen"/>
                <w:sz w:val="24"/>
                <w:szCs w:val="24"/>
              </w:rPr>
              <w:t>Հիմնավորումը</w:t>
            </w:r>
          </w:p>
        </w:tc>
        <w:tc>
          <w:tcPr>
            <w:tcW w:w="4618" w:type="dxa"/>
            <w:gridSpan w:val="2"/>
            <w:tcBorders>
              <w:top w:val="single" w:sz="4" w:space="0" w:color="auto"/>
              <w:left w:val="single" w:sz="4" w:space="0" w:color="auto"/>
              <w:right w:val="single" w:sz="4" w:space="0" w:color="auto"/>
            </w:tcBorders>
            <w:shd w:val="clear" w:color="auto" w:fill="FFFFFF"/>
            <w:vAlign w:val="center"/>
          </w:tcPr>
          <w:p w14:paraId="327D1E46" w14:textId="77777777" w:rsidR="008C76E0" w:rsidRPr="00BD7577" w:rsidRDefault="008C76E0" w:rsidP="008C76E0">
            <w:pPr>
              <w:pStyle w:val="Bodytext180"/>
              <w:shd w:val="clear" w:color="auto" w:fill="auto"/>
              <w:spacing w:before="0" w:after="120" w:line="240" w:lineRule="auto"/>
              <w:ind w:left="129" w:right="119" w:firstLine="0"/>
              <w:jc w:val="center"/>
              <w:rPr>
                <w:rFonts w:ascii="Sylfaen" w:hAnsi="Sylfaen"/>
                <w:b w:val="0"/>
                <w:sz w:val="24"/>
                <w:szCs w:val="24"/>
              </w:rPr>
            </w:pPr>
            <w:r w:rsidRPr="00BD7577">
              <w:rPr>
                <w:rStyle w:val="Bodytext1811pt"/>
                <w:rFonts w:ascii="Sylfaen" w:hAnsi="Sylfaen"/>
                <w:sz w:val="24"/>
                <w:szCs w:val="24"/>
              </w:rPr>
              <w:t>Գնահատականը</w:t>
            </w:r>
          </w:p>
        </w:tc>
      </w:tr>
      <w:tr w:rsidR="008C76E0" w:rsidRPr="00BD7577" w14:paraId="67914411" w14:textId="77777777" w:rsidTr="008C76E0">
        <w:trPr>
          <w:jc w:val="center"/>
        </w:trPr>
        <w:tc>
          <w:tcPr>
            <w:tcW w:w="4762" w:type="dxa"/>
            <w:tcBorders>
              <w:top w:val="single" w:sz="4" w:space="0" w:color="auto"/>
              <w:left w:val="single" w:sz="4" w:space="0" w:color="auto"/>
            </w:tcBorders>
            <w:shd w:val="clear" w:color="auto" w:fill="FFFFFF"/>
          </w:tcPr>
          <w:p w14:paraId="4C1B318D"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Գրանցման կանոնների թիվ 1 հավելվածով նախատեսված են հատուկ բացառություններ՝ հետազոտությունները չիրականացնելու մասով</w:t>
            </w:r>
          </w:p>
        </w:tc>
        <w:tc>
          <w:tcPr>
            <w:tcW w:w="4618" w:type="dxa"/>
            <w:gridSpan w:val="2"/>
            <w:tcBorders>
              <w:top w:val="single" w:sz="4" w:space="0" w:color="auto"/>
              <w:left w:val="single" w:sz="4" w:space="0" w:color="auto"/>
              <w:right w:val="single" w:sz="4" w:space="0" w:color="auto"/>
            </w:tcBorders>
            <w:shd w:val="clear" w:color="auto" w:fill="FFFFFF"/>
          </w:tcPr>
          <w:p w14:paraId="4A48D7F2" w14:textId="333FB60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տվյալ բացառություններն ու հաստատե՛ք այն պատճատները,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բացառություններով ներկայացված պայմանները</w:t>
            </w:r>
          </w:p>
        </w:tc>
      </w:tr>
      <w:tr w:rsidR="008C76E0" w:rsidRPr="00BD7577" w14:paraId="15706DFE" w14:textId="77777777" w:rsidTr="008C76E0">
        <w:trPr>
          <w:jc w:val="center"/>
        </w:trPr>
        <w:tc>
          <w:tcPr>
            <w:tcW w:w="4762" w:type="dxa"/>
            <w:tcBorders>
              <w:top w:val="single" w:sz="4" w:space="0" w:color="auto"/>
              <w:left w:val="single" w:sz="4" w:space="0" w:color="auto"/>
            </w:tcBorders>
            <w:shd w:val="clear" w:color="auto" w:fill="FFFFFF"/>
          </w:tcPr>
          <w:p w14:paraId="4AED2242"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Միության հանձնարարականներով կամ անդամ պետության մեթոդական ձեռնարկներով նախատեսված են հետազոտությունների մասնագիտական առանձնահատկություններ </w:t>
            </w:r>
          </w:p>
        </w:tc>
        <w:tc>
          <w:tcPr>
            <w:tcW w:w="4618" w:type="dxa"/>
            <w:gridSpan w:val="2"/>
            <w:tcBorders>
              <w:top w:val="single" w:sz="4" w:space="0" w:color="auto"/>
              <w:left w:val="single" w:sz="4" w:space="0" w:color="auto"/>
              <w:right w:val="single" w:sz="4" w:space="0" w:color="auto"/>
            </w:tcBorders>
            <w:shd w:val="clear" w:color="auto" w:fill="FFFFFF"/>
          </w:tcPr>
          <w:p w14:paraId="06480EE7" w14:textId="3852C13E"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նշե՛ք համապատասխան մեթոդական փաստաթղթերը </w:t>
            </w:r>
            <w:r w:rsidR="00C54D75">
              <w:rPr>
                <w:rStyle w:val="Bodytext1811pt"/>
                <w:rFonts w:ascii="Sylfaen" w:hAnsi="Sylfaen"/>
                <w:sz w:val="24"/>
                <w:szCs w:val="24"/>
              </w:rPr>
              <w:t>և</w:t>
            </w:r>
            <w:r w:rsidRPr="00BD7577">
              <w:rPr>
                <w:rStyle w:val="Bodytext1811pt"/>
                <w:rFonts w:ascii="Sylfaen" w:hAnsi="Sylfaen"/>
                <w:sz w:val="24"/>
                <w:szCs w:val="24"/>
              </w:rPr>
              <w:t xml:space="preserve"> ենթադրվող առանձնահատկությունները, ինչպես նա</w:t>
            </w:r>
            <w:r w:rsidR="00C54D75">
              <w:rPr>
                <w:rStyle w:val="Bodytext1811pt"/>
                <w:rFonts w:ascii="Sylfaen" w:hAnsi="Sylfaen"/>
                <w:sz w:val="24"/>
                <w:szCs w:val="24"/>
              </w:rPr>
              <w:t>և</w:t>
            </w:r>
            <w:r w:rsidRPr="00BD7577">
              <w:rPr>
                <w:rStyle w:val="Bodytext1811pt"/>
                <w:rFonts w:ascii="Sylfaen" w:hAnsi="Sylfaen"/>
                <w:sz w:val="24"/>
                <w:szCs w:val="24"/>
              </w:rPr>
              <w:t xml:space="preserve"> հաստատե՛ք այն պատճառները, որոնց դեպքում </w:t>
            </w:r>
            <w:r w:rsidR="0056496B">
              <w:rPr>
                <w:rStyle w:val="Bodytext1811pt"/>
                <w:rFonts w:ascii="Sylfaen" w:hAnsi="Sylfaen"/>
                <w:sz w:val="24"/>
                <w:szCs w:val="24"/>
              </w:rPr>
              <w:t>դիմում</w:t>
            </w:r>
            <w:r w:rsidRPr="00BD7577">
              <w:rPr>
                <w:rStyle w:val="Bodytext1811pt"/>
                <w:rFonts w:ascii="Sylfaen" w:hAnsi="Sylfaen"/>
                <w:sz w:val="24"/>
                <w:szCs w:val="24"/>
              </w:rPr>
              <w:t>ը բավարարում է այդ առանձնահատկություններով ներկայացված պայմանները</w:t>
            </w:r>
          </w:p>
        </w:tc>
      </w:tr>
      <w:tr w:rsidR="008C76E0" w:rsidRPr="00BD7577" w14:paraId="391C63A1" w14:textId="77777777" w:rsidTr="008C76E0">
        <w:trPr>
          <w:jc w:val="center"/>
        </w:trPr>
        <w:tc>
          <w:tcPr>
            <w:tcW w:w="4762" w:type="dxa"/>
            <w:tcBorders>
              <w:top w:val="single" w:sz="4" w:space="0" w:color="auto"/>
              <w:left w:val="single" w:sz="4" w:space="0" w:color="auto"/>
            </w:tcBorders>
            <w:shd w:val="clear" w:color="auto" w:fill="FFFFFF"/>
          </w:tcPr>
          <w:p w14:paraId="153853FC" w14:textId="77777777" w:rsidR="008C76E0" w:rsidRPr="008C76E0" w:rsidRDefault="008C76E0"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sidRPr="00BD7577">
              <w:rPr>
                <w:rStyle w:val="Bodytext1811pt"/>
                <w:rFonts w:ascii="Sylfaen" w:hAnsi="Sylfaen"/>
                <w:sz w:val="24"/>
                <w:szCs w:val="24"/>
              </w:rPr>
              <w:t xml:space="preserve">Հաշվի առնելով գիտական գիտելիքների մակարդակը՝ կլինիկական որոշ հետազոտությունների անցկացումը </w:t>
            </w:r>
            <w:r w:rsidRPr="00BD7577">
              <w:rPr>
                <w:rStyle w:val="Bodytext1811pt"/>
                <w:rFonts w:ascii="Sylfaen" w:hAnsi="Sylfaen"/>
                <w:sz w:val="24"/>
                <w:szCs w:val="24"/>
              </w:rPr>
              <w:lastRenderedPageBreak/>
              <w:t>համարվում է էթիկական նորմերին ոչ համապատասխան (Եվրասիական տնտեսական հանձնաժողովի կողմից հաստատվող՝ Եվրասիական տնտեսական միության պատշաճ կլինիկական գործունեության կանոններին, անդամ պետությունների՝ կենդանիների նկատմամբ մարդասիրական վերաբերմունքի վերաբերյալ օրենսդրությանը համապատասխան), կամ կենդանիների վրա կատարվող փորձարկումների որոշ տեսակների անցկացումը դիտարկվում է որպես ավելորդ՝ հաշվի առնելով այլընտրանքային գնահատումների օգտագործման հնարավորությունները (օրինակ՝ որոշ թունաբանական փորձարկումներ չեն համարվում անհրաժեշտ՝ հաշվի առնելով կլինիկական մեծ փորձը)</w:t>
            </w:r>
          </w:p>
        </w:tc>
        <w:tc>
          <w:tcPr>
            <w:tcW w:w="4618" w:type="dxa"/>
            <w:gridSpan w:val="2"/>
            <w:tcBorders>
              <w:top w:val="single" w:sz="4" w:space="0" w:color="auto"/>
              <w:left w:val="single" w:sz="4" w:space="0" w:color="auto"/>
              <w:right w:val="single" w:sz="4" w:space="0" w:color="auto"/>
            </w:tcBorders>
            <w:shd w:val="clear" w:color="auto" w:fill="FFFFFF"/>
          </w:tcPr>
          <w:p w14:paraId="2CFAB28E"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lastRenderedPageBreak/>
              <w:t xml:space="preserve">դիտարկե՛ք, թե ինչպիսի տվյալներն են հանդիսանում գիտական գիտելիքների հիմքը, այդպիսի տվյալների </w:t>
            </w:r>
            <w:r w:rsidRPr="00BD7577">
              <w:rPr>
                <w:rStyle w:val="Bodytext1811pt"/>
                <w:rFonts w:ascii="Sylfaen" w:hAnsi="Sylfaen"/>
                <w:sz w:val="24"/>
                <w:szCs w:val="24"/>
              </w:rPr>
              <w:lastRenderedPageBreak/>
              <w:t xml:space="preserve">նշանակությունն ու հուսալիությունը, </w:t>
            </w:r>
            <w:r w:rsidR="00C54D75">
              <w:rPr>
                <w:rStyle w:val="Bodytext1811pt"/>
                <w:rFonts w:ascii="Sylfaen" w:hAnsi="Sylfaen"/>
                <w:sz w:val="24"/>
                <w:szCs w:val="24"/>
              </w:rPr>
              <w:t>և</w:t>
            </w:r>
            <w:r w:rsidRPr="00BD7577">
              <w:rPr>
                <w:rStyle w:val="Bodytext1811pt"/>
                <w:rFonts w:ascii="Sylfaen" w:hAnsi="Sylfaen"/>
                <w:sz w:val="24"/>
                <w:szCs w:val="24"/>
              </w:rPr>
              <w:t xml:space="preserve"> գնահատե՛ք ցանկացած արտարկման հավաստիությունը</w:t>
            </w:r>
          </w:p>
          <w:p w14:paraId="28A0BA6B"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 xml:space="preserve">հիմնվելով այդ տվյալների վրա՝ գնահատե՛ք, թե արդյոք որոշակի փորձարկումների (թեստերի) կրկնակի անցկացումը (լրացուցիչ թեստերի անցկացումը) կհանգեցնի գիտական բազայի ընդլայնման, որն էական կլիներ օգուտ-ռիսկ հարաբերակցությունը գնահատելու </w:t>
            </w:r>
            <w:r w:rsidR="00C54D75">
              <w:rPr>
                <w:rStyle w:val="Bodytext1811pt"/>
                <w:rFonts w:ascii="Sylfaen" w:hAnsi="Sylfaen"/>
                <w:sz w:val="24"/>
                <w:szCs w:val="24"/>
              </w:rPr>
              <w:t>և</w:t>
            </w:r>
            <w:r w:rsidRPr="00BD7577">
              <w:rPr>
                <w:rStyle w:val="Bodytext1811pt"/>
                <w:rFonts w:ascii="Sylfaen" w:hAnsi="Sylfaen"/>
                <w:sz w:val="24"/>
                <w:szCs w:val="24"/>
              </w:rPr>
              <w:t xml:space="preserve"> պացիենտների ու բժիշկների համար պատշաճ տեղեկություններ ներկայացնելու համար. դիտարկե՛ք դեղապատրաստուկի մշակման ստանդարտ պլաններից բոլոր շեղումները՝ մասնավորապես կապված կենդանիների վրա կատարվող փորձարկումների անցկացման </w:t>
            </w:r>
            <w:r w:rsidR="00C54D75">
              <w:rPr>
                <w:rStyle w:val="Bodytext1811pt"/>
                <w:rFonts w:ascii="Sylfaen" w:hAnsi="Sylfaen"/>
                <w:sz w:val="24"/>
                <w:szCs w:val="24"/>
              </w:rPr>
              <w:t>և</w:t>
            </w:r>
            <w:r w:rsidRPr="00BD7577">
              <w:rPr>
                <w:rStyle w:val="Bodytext1811pt"/>
                <w:rFonts w:ascii="Sylfaen" w:hAnsi="Sylfaen"/>
                <w:sz w:val="24"/>
                <w:szCs w:val="24"/>
              </w:rPr>
              <w:t xml:space="preserve"> կլինիկական հետազոտությունների անցկացման ժամանակի հետ, որոնք նկարագրված են նորմատիվ իրավական ակտերում </w:t>
            </w:r>
            <w:r w:rsidR="00C54D75">
              <w:rPr>
                <w:rStyle w:val="Bodytext1811pt"/>
                <w:rFonts w:ascii="Sylfaen" w:hAnsi="Sylfaen"/>
                <w:sz w:val="24"/>
                <w:szCs w:val="24"/>
              </w:rPr>
              <w:t>և</w:t>
            </w:r>
            <w:r w:rsidRPr="00BD7577">
              <w:rPr>
                <w:rStyle w:val="Bodytext1811pt"/>
                <w:rFonts w:ascii="Sylfaen" w:hAnsi="Sylfaen"/>
                <w:sz w:val="24"/>
                <w:szCs w:val="24"/>
              </w:rPr>
              <w:t xml:space="preserve"> հանձնարարականներում. վերլուծե՛ք նման շեղումների ազդեցությունն օգուտ-ռիսկ պրոֆիլի վերջնական գնահատման վրա</w:t>
            </w:r>
          </w:p>
        </w:tc>
      </w:tr>
      <w:tr w:rsidR="008C76E0" w:rsidRPr="00BD7577" w14:paraId="78F444EC" w14:textId="77777777" w:rsidTr="008C76E0">
        <w:trPr>
          <w:jc w:val="center"/>
        </w:trPr>
        <w:tc>
          <w:tcPr>
            <w:tcW w:w="4762" w:type="dxa"/>
            <w:tcBorders>
              <w:top w:val="single" w:sz="4" w:space="0" w:color="auto"/>
              <w:left w:val="single" w:sz="4" w:space="0" w:color="auto"/>
              <w:bottom w:val="single" w:sz="4" w:space="0" w:color="auto"/>
            </w:tcBorders>
            <w:shd w:val="clear" w:color="auto" w:fill="FFFFFF"/>
          </w:tcPr>
          <w:p w14:paraId="1126D947" w14:textId="13528C09" w:rsidR="008C76E0" w:rsidRPr="008C76E0" w:rsidRDefault="0056496B" w:rsidP="008C76E0">
            <w:pPr>
              <w:pStyle w:val="Bodytext180"/>
              <w:shd w:val="clear" w:color="auto" w:fill="auto"/>
              <w:spacing w:before="0" w:after="120" w:line="240" w:lineRule="auto"/>
              <w:ind w:left="145" w:right="145" w:firstLine="0"/>
              <w:jc w:val="both"/>
              <w:rPr>
                <w:rFonts w:ascii="Sylfaen" w:hAnsi="Sylfaen"/>
                <w:b w:val="0"/>
                <w:sz w:val="24"/>
                <w:szCs w:val="24"/>
                <w:lang w:val="hy-AM"/>
              </w:rPr>
            </w:pPr>
            <w:r>
              <w:rPr>
                <w:rStyle w:val="Bodytext1811pt"/>
                <w:rFonts w:ascii="Sylfaen" w:hAnsi="Sylfaen"/>
                <w:sz w:val="24"/>
                <w:szCs w:val="24"/>
              </w:rPr>
              <w:lastRenderedPageBreak/>
              <w:t>Դիմումատու</w:t>
            </w:r>
            <w:r w:rsidR="008C76E0" w:rsidRPr="00BD7577">
              <w:rPr>
                <w:rStyle w:val="Bodytext1811pt"/>
                <w:rFonts w:ascii="Sylfaen" w:hAnsi="Sylfaen"/>
                <w:sz w:val="24"/>
                <w:szCs w:val="24"/>
              </w:rPr>
              <w:t xml:space="preserve">ն չի կարող պատրաստուկի արդյունավետության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անվտանգության վերաբերյալ ամբողջական տվյալներ ներկայացնել՝ բնականոն պայմաններում դրա օգտագործման ժամանակ (բացառիկ հանգամանքներ կամ պայմանական գրանցում)</w:t>
            </w:r>
          </w:p>
        </w:tc>
        <w:tc>
          <w:tcPr>
            <w:tcW w:w="4618" w:type="dxa"/>
            <w:gridSpan w:val="2"/>
            <w:tcBorders>
              <w:top w:val="single" w:sz="4" w:space="0" w:color="auto"/>
              <w:left w:val="single" w:sz="4" w:space="0" w:color="auto"/>
              <w:bottom w:val="single" w:sz="4" w:space="0" w:color="auto"/>
              <w:right w:val="single" w:sz="4" w:space="0" w:color="auto"/>
            </w:tcBorders>
            <w:shd w:val="clear" w:color="auto" w:fill="FFFFFF"/>
          </w:tcPr>
          <w:p w14:paraId="1A6A3EB4"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բացառիկ հանգամանքներում հնարավոր հաստատման վերաբերյալ եզրակացություն կազմելու համար փորձագետը պետք է գնահատի պատճառների հիմնավորվածությունը՝ համաձայն Գրանցման կանոնների «Հատուկ պայմաններ դեղապատրաստուկի գրանցման վերաբերյալ որոշում կայացնելիս» բաժնի</w:t>
            </w:r>
          </w:p>
        </w:tc>
      </w:tr>
      <w:tr w:rsidR="008C76E0" w:rsidRPr="00BD7577" w14:paraId="6A840AAC" w14:textId="77777777" w:rsidTr="008C76E0">
        <w:trPr>
          <w:gridAfter w:val="1"/>
          <w:wAfter w:w="11" w:type="dxa"/>
          <w:jc w:val="center"/>
        </w:trPr>
        <w:tc>
          <w:tcPr>
            <w:tcW w:w="4762" w:type="dxa"/>
            <w:tcBorders>
              <w:top w:val="single" w:sz="4" w:space="0" w:color="auto"/>
              <w:left w:val="single" w:sz="4" w:space="0" w:color="auto"/>
            </w:tcBorders>
            <w:shd w:val="clear" w:color="auto" w:fill="FFFFFF"/>
          </w:tcPr>
          <w:p w14:paraId="4E050127"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top w:val="single" w:sz="4" w:space="0" w:color="auto"/>
              <w:left w:val="single" w:sz="4" w:space="0" w:color="auto"/>
              <w:right w:val="single" w:sz="4" w:space="0" w:color="auto"/>
            </w:tcBorders>
            <w:shd w:val="clear" w:color="auto" w:fill="FFFFFF"/>
          </w:tcPr>
          <w:p w14:paraId="310A12E8" w14:textId="20675828" w:rsidR="008C76E0" w:rsidRPr="008C76E0" w:rsidRDefault="0056496B" w:rsidP="008C76E0">
            <w:pPr>
              <w:pStyle w:val="Bodytext180"/>
              <w:shd w:val="clear" w:color="auto" w:fill="auto"/>
              <w:spacing w:before="0" w:after="120" w:line="240" w:lineRule="auto"/>
              <w:ind w:left="130" w:right="119" w:firstLine="0"/>
              <w:jc w:val="both"/>
              <w:rPr>
                <w:rFonts w:ascii="Sylfaen" w:hAnsi="Sylfaen"/>
                <w:b w:val="0"/>
                <w:sz w:val="24"/>
                <w:szCs w:val="24"/>
                <w:lang w:val="hy-AM"/>
              </w:rPr>
            </w:pPr>
            <w:r>
              <w:rPr>
                <w:rStyle w:val="Bodytext1811pt"/>
                <w:rFonts w:ascii="Sylfaen" w:hAnsi="Sylfaen"/>
                <w:sz w:val="24"/>
                <w:szCs w:val="24"/>
              </w:rPr>
              <w:t>դիմում</w:t>
            </w:r>
            <w:r w:rsidR="008C76E0" w:rsidRPr="00BD7577">
              <w:rPr>
                <w:rStyle w:val="Bodytext1811pt"/>
                <w:rFonts w:ascii="Sylfaen" w:hAnsi="Sylfaen"/>
                <w:sz w:val="24"/>
                <w:szCs w:val="24"/>
              </w:rPr>
              <w:t xml:space="preserve">ը հաստատելու համար պայմանական գրանցման տարբերակում փորձագետը պետք է գնահատի պատճառների հիմնավորվածությունը՝ համաձայն Գրանցման կանոնների «Հատուկ </w:t>
            </w:r>
            <w:r w:rsidR="008C76E0" w:rsidRPr="00BD7577">
              <w:rPr>
                <w:rStyle w:val="Bodytext1811pt"/>
                <w:rFonts w:ascii="Sylfaen" w:hAnsi="Sylfaen"/>
                <w:sz w:val="24"/>
                <w:szCs w:val="24"/>
              </w:rPr>
              <w:lastRenderedPageBreak/>
              <w:t xml:space="preserve">պայմաններ դեղապատրաստուկի գրանցման վերաբերյալ որոշում կայացնելիս» բաժնի, </w:t>
            </w:r>
            <w:r w:rsidR="00C54D75">
              <w:rPr>
                <w:rStyle w:val="Bodytext1811pt"/>
                <w:rFonts w:ascii="Sylfaen" w:hAnsi="Sylfaen"/>
                <w:sz w:val="24"/>
                <w:szCs w:val="24"/>
              </w:rPr>
              <w:t>և</w:t>
            </w:r>
            <w:r w:rsidR="008C76E0" w:rsidRPr="00BD7577">
              <w:rPr>
                <w:rStyle w:val="Bodytext1811pt"/>
                <w:rFonts w:ascii="Sylfaen" w:hAnsi="Sylfaen"/>
                <w:sz w:val="24"/>
                <w:szCs w:val="24"/>
              </w:rPr>
              <w:t xml:space="preserve"> նշի </w:t>
            </w:r>
            <w:r>
              <w:rPr>
                <w:rStyle w:val="Bodytext1811pt"/>
                <w:rFonts w:ascii="Sylfaen" w:hAnsi="Sylfaen"/>
                <w:sz w:val="24"/>
                <w:szCs w:val="24"/>
              </w:rPr>
              <w:t>դիմում</w:t>
            </w:r>
            <w:r w:rsidR="008C76E0" w:rsidRPr="00BD7577">
              <w:rPr>
                <w:rStyle w:val="Bodytext1811pt"/>
                <w:rFonts w:ascii="Sylfaen" w:hAnsi="Sylfaen"/>
                <w:sz w:val="24"/>
                <w:szCs w:val="24"/>
              </w:rPr>
              <w:t xml:space="preserve">ի ամենամյա հաստատման անհրաժեշտությունը։ Պայմանական գրանցմամբ, որպես կանոն, չի նախատեսվում նախակլինիկական տեղեկատվությունը </w:t>
            </w:r>
            <w:r>
              <w:rPr>
                <w:rStyle w:val="Bodytext1811pt"/>
                <w:rFonts w:ascii="Sylfaen" w:hAnsi="Sylfaen"/>
                <w:sz w:val="24"/>
                <w:szCs w:val="24"/>
              </w:rPr>
              <w:t>դիմում</w:t>
            </w:r>
            <w:r w:rsidR="008C76E0" w:rsidRPr="00BD7577">
              <w:rPr>
                <w:rStyle w:val="Bodytext1811pt"/>
                <w:rFonts w:ascii="Sylfaen" w:hAnsi="Sylfaen"/>
                <w:sz w:val="24"/>
                <w:szCs w:val="24"/>
              </w:rPr>
              <w:t>ի մեջ ընդգրկելու պարտավորություն՝</w:t>
            </w:r>
          </w:p>
        </w:tc>
      </w:tr>
      <w:tr w:rsidR="008C76E0" w:rsidRPr="00BD7577" w14:paraId="1F801C85" w14:textId="77777777" w:rsidTr="008C76E0">
        <w:trPr>
          <w:gridAfter w:val="1"/>
          <w:wAfter w:w="11" w:type="dxa"/>
          <w:jc w:val="center"/>
        </w:trPr>
        <w:tc>
          <w:tcPr>
            <w:tcW w:w="4762" w:type="dxa"/>
            <w:tcBorders>
              <w:left w:val="single" w:sz="4" w:space="0" w:color="auto"/>
              <w:bottom w:val="single" w:sz="4" w:space="0" w:color="auto"/>
            </w:tcBorders>
            <w:shd w:val="clear" w:color="auto" w:fill="FFFFFF"/>
          </w:tcPr>
          <w:p w14:paraId="669A51C2" w14:textId="77777777" w:rsidR="008C76E0" w:rsidRPr="00BD7577" w:rsidRDefault="008C76E0" w:rsidP="008C76E0">
            <w:pPr>
              <w:spacing w:after="120" w:line="240" w:lineRule="auto"/>
              <w:ind w:left="145" w:right="145"/>
              <w:jc w:val="both"/>
              <w:rPr>
                <w:rFonts w:ascii="Sylfaen" w:hAnsi="Sylfaen"/>
                <w:sz w:val="24"/>
                <w:szCs w:val="24"/>
              </w:rPr>
            </w:pPr>
          </w:p>
        </w:tc>
        <w:tc>
          <w:tcPr>
            <w:tcW w:w="4607" w:type="dxa"/>
            <w:tcBorders>
              <w:left w:val="single" w:sz="4" w:space="0" w:color="auto"/>
              <w:bottom w:val="single" w:sz="4" w:space="0" w:color="auto"/>
              <w:right w:val="single" w:sz="4" w:space="0" w:color="auto"/>
            </w:tcBorders>
            <w:shd w:val="clear" w:color="auto" w:fill="FFFFFF"/>
          </w:tcPr>
          <w:p w14:paraId="493F612F" w14:textId="77777777" w:rsidR="008C76E0" w:rsidRPr="008C76E0" w:rsidRDefault="008C76E0" w:rsidP="008C76E0">
            <w:pPr>
              <w:pStyle w:val="Bodytext180"/>
              <w:shd w:val="clear" w:color="auto" w:fill="auto"/>
              <w:spacing w:before="0" w:after="120" w:line="240" w:lineRule="auto"/>
              <w:ind w:left="129" w:right="119" w:firstLine="0"/>
              <w:jc w:val="both"/>
              <w:rPr>
                <w:rFonts w:ascii="Sylfaen" w:hAnsi="Sylfaen"/>
                <w:b w:val="0"/>
                <w:sz w:val="24"/>
                <w:szCs w:val="24"/>
                <w:lang w:val="hy-AM"/>
              </w:rPr>
            </w:pPr>
            <w:r w:rsidRPr="00BD7577">
              <w:rPr>
                <w:rStyle w:val="Bodytext1811pt"/>
                <w:rFonts w:ascii="Sylfaen" w:hAnsi="Sylfaen"/>
                <w:sz w:val="24"/>
                <w:szCs w:val="24"/>
              </w:rPr>
              <w:t>բացառությամբ արտակարգ իրավիճակներով պայմանավորված գրանցման դեպքերի</w:t>
            </w:r>
          </w:p>
        </w:tc>
      </w:tr>
    </w:tbl>
    <w:p w14:paraId="10D2E8FF" w14:textId="77777777" w:rsidR="008C76E0" w:rsidRPr="00BD7577" w:rsidRDefault="008C76E0" w:rsidP="008C76E0">
      <w:pPr>
        <w:ind w:right="-1" w:firstLine="567"/>
        <w:jc w:val="both"/>
        <w:rPr>
          <w:rFonts w:ascii="Sylfaen" w:eastAsia="Times New Roman" w:hAnsi="Sylfaen" w:cs="Times New Roman"/>
          <w:sz w:val="24"/>
          <w:szCs w:val="24"/>
        </w:rPr>
      </w:pPr>
    </w:p>
    <w:p w14:paraId="0641277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Մշակման հարցերը:</w:t>
      </w:r>
    </w:p>
    <w:p w14:paraId="0C94269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Նկարագրվում է նախակլինիկական հետազոտությունների մշակման ծրագիրը՝ առաջարկվող կիրառման ցուցումների </w:t>
      </w:r>
      <w:r w:rsidR="00C54D75">
        <w:rPr>
          <w:rFonts w:ascii="Sylfaen" w:hAnsi="Sylfaen"/>
          <w:sz w:val="24"/>
          <w:szCs w:val="24"/>
        </w:rPr>
        <w:t>և</w:t>
      </w:r>
      <w:r w:rsidRPr="004B393A">
        <w:rPr>
          <w:rFonts w:ascii="Sylfaen" w:hAnsi="Sylfaen"/>
          <w:sz w:val="24"/>
          <w:szCs w:val="24"/>
        </w:rPr>
        <w:t xml:space="preserve"> դոզավորման ռեժիմի տեսանկյունից (նշվում է երեխաների մոտ կիրառման մասով ցուցումների առկայությունը): Նշվում է՝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4B393A">
        <w:rPr>
          <w:rFonts w:ascii="Sylfaen" w:hAnsi="Sylfaen"/>
          <w:sz w:val="24"/>
          <w:szCs w:val="24"/>
        </w:rPr>
        <w:t xml:space="preserve"> անդամ պետության օրենսդրությամբ սահմանված մեթոդական ձեռնարկներին ու պահանջներին:</w:t>
      </w:r>
    </w:p>
    <w:p w14:paraId="2A98922C" w14:textId="17F54504"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Նշվում է՝ արդյոք </w:t>
      </w:r>
      <w:r w:rsidR="0056496B">
        <w:rPr>
          <w:rFonts w:ascii="Sylfaen" w:hAnsi="Sylfaen"/>
          <w:sz w:val="24"/>
          <w:szCs w:val="24"/>
        </w:rPr>
        <w:t>դիմումատու</w:t>
      </w:r>
      <w:r w:rsidRPr="004B393A">
        <w:rPr>
          <w:rFonts w:ascii="Sylfaen" w:hAnsi="Sylfaen"/>
          <w:sz w:val="24"/>
          <w:szCs w:val="24"/>
        </w:rPr>
        <w:t xml:space="preserve">ն պահանջում է արագացված կարգով գնահատման անցկացում </w:t>
      </w:r>
      <w:r w:rsidR="00C54D75">
        <w:rPr>
          <w:rFonts w:ascii="Sylfaen" w:hAnsi="Sylfaen"/>
          <w:sz w:val="24"/>
          <w:szCs w:val="24"/>
        </w:rPr>
        <w:t>և</w:t>
      </w:r>
      <w:r w:rsidRPr="004B393A">
        <w:rPr>
          <w:rFonts w:ascii="Sylfaen" w:hAnsi="Sylfaen"/>
          <w:sz w:val="24"/>
          <w:szCs w:val="24"/>
        </w:rPr>
        <w:t xml:space="preserve"> փորձաքննության անհրաժեշտ չափանիշների կատարում:</w:t>
      </w:r>
    </w:p>
    <w:p w14:paraId="3A2C616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Կենսանմանության հետազոտության համար անհրաժեշտ է նկարագրել, հիմնավորել </w:t>
      </w:r>
      <w:r w:rsidR="00C54D75">
        <w:rPr>
          <w:rFonts w:ascii="Sylfaen" w:hAnsi="Sylfaen"/>
          <w:sz w:val="24"/>
          <w:szCs w:val="24"/>
        </w:rPr>
        <w:t>և</w:t>
      </w:r>
      <w:r w:rsidRPr="004B393A">
        <w:rPr>
          <w:rFonts w:ascii="Sylfaen" w:hAnsi="Sylfaen"/>
          <w:sz w:val="24"/>
          <w:szCs w:val="24"/>
        </w:rPr>
        <w:t xml:space="preserve"> գնահատել ընկերության կողմից ընտրված մշակման ռազմավարությունը՝ հաշվի առնելով համապատասխան մեթոդական ձեռնարկները: Կենսահամանման (կենսանման) դեղապատրաստուկների դեպքում հարկ է կիրառել Միության իրավունքի մաս կազմող համապատասխան ակտեր: Անհրաժեշտ է մանրակրկիտ համեմատական վերլուծություն անցկացնել, որպեսզի ցույց տրվի, որ Միությունում արդեն գրանցված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պատրաստուկներն ունեն նման պրոֆիլներ՝ որակի, անվտանգության </w:t>
      </w:r>
      <w:r w:rsidR="00C54D75">
        <w:rPr>
          <w:rFonts w:ascii="Sylfaen" w:hAnsi="Sylfaen"/>
          <w:sz w:val="24"/>
          <w:szCs w:val="24"/>
        </w:rPr>
        <w:t>և</w:t>
      </w:r>
      <w:r w:rsidRPr="004B393A">
        <w:rPr>
          <w:rFonts w:ascii="Sylfaen" w:hAnsi="Sylfaen"/>
          <w:sz w:val="24"/>
          <w:szCs w:val="24"/>
        </w:rPr>
        <w:t xml:space="preserve"> արդյունավետության մասով: Հաշվետվության՝ որակի գնահատմանը վերաբերող </w:t>
      </w:r>
      <w:r w:rsidRPr="004B393A">
        <w:rPr>
          <w:rFonts w:ascii="Sylfaen" w:hAnsi="Sylfaen"/>
          <w:sz w:val="24"/>
          <w:szCs w:val="24"/>
        </w:rPr>
        <w:lastRenderedPageBreak/>
        <w:t>մասում անհրաժեշտ է աղյուսակի տեսքով ներկայացնել ռեֆերենտ պատրաստուկի վերաբերյալ մանրամասն տեղեկատվություն (անվանումը, դեղաչափը, դեղաձ</w:t>
      </w:r>
      <w:r w:rsidR="00C54D75">
        <w:rPr>
          <w:rFonts w:ascii="Sylfaen" w:hAnsi="Sylfaen"/>
          <w:sz w:val="24"/>
          <w:szCs w:val="24"/>
        </w:rPr>
        <w:t>և</w:t>
      </w:r>
      <w:r w:rsidRPr="004B393A">
        <w:rPr>
          <w:rFonts w:ascii="Sylfaen" w:hAnsi="Sylfaen"/>
          <w:sz w:val="24"/>
          <w:szCs w:val="24"/>
        </w:rPr>
        <w:t>ը, գրանցման հավաստագրի իրավատերը, Միությունում գրանցման ամսաթիվը), ինչպես նա</w:t>
      </w:r>
      <w:r w:rsidR="00C54D75">
        <w:rPr>
          <w:rFonts w:ascii="Sylfaen" w:hAnsi="Sylfaen"/>
          <w:sz w:val="24"/>
          <w:szCs w:val="24"/>
        </w:rPr>
        <w:t>և</w:t>
      </w:r>
      <w:r w:rsidRPr="004B393A">
        <w:rPr>
          <w:rFonts w:ascii="Sylfaen" w:hAnsi="Sylfaen"/>
          <w:sz w:val="24"/>
          <w:szCs w:val="24"/>
        </w:rPr>
        <w:t xml:space="preserve"> ամբողջական տեղեկություններ՝ պատրաստուկի սերիաների վերաբերյալ (սերիաների համարները, արտադրության երկիրը), որոնք կիրառվել են որակի ցուցանիշների, նախակլինիկական </w:t>
      </w:r>
      <w:r w:rsidR="00C54D75">
        <w:rPr>
          <w:rFonts w:ascii="Sylfaen" w:hAnsi="Sylfaen"/>
          <w:sz w:val="24"/>
          <w:szCs w:val="24"/>
        </w:rPr>
        <w:t>և</w:t>
      </w:r>
      <w:r w:rsidRPr="004B393A">
        <w:rPr>
          <w:rFonts w:ascii="Sylfaen" w:hAnsi="Sylfaen"/>
          <w:sz w:val="24"/>
          <w:szCs w:val="24"/>
        </w:rPr>
        <w:t xml:space="preserve"> կլինիկական տվյալների համեմատության ժամանակ:</w:t>
      </w:r>
    </w:p>
    <w:p w14:paraId="53A06CF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դեղապատրաստուկների փորձաքննություն իրականացնող լիազորված մարմինների </w:t>
      </w:r>
      <w:r w:rsidR="00C54D75">
        <w:rPr>
          <w:rFonts w:ascii="Sylfaen" w:hAnsi="Sylfaen"/>
          <w:sz w:val="24"/>
          <w:szCs w:val="24"/>
        </w:rPr>
        <w:t>և</w:t>
      </w:r>
      <w:r w:rsidRPr="004B393A">
        <w:rPr>
          <w:rFonts w:ascii="Sylfaen" w:hAnsi="Sylfaen"/>
          <w:sz w:val="24"/>
          <w:szCs w:val="24"/>
        </w:rPr>
        <w:t xml:space="preserve"> կազմակերպությունների հետ համաձայնեցվել է պատրաստուկի հետազոտության պլանը երեխաների մոտ (հետաձգմամբ </w:t>
      </w:r>
      <w:r w:rsidR="00C54D75">
        <w:rPr>
          <w:rFonts w:ascii="Sylfaen" w:hAnsi="Sylfaen"/>
          <w:sz w:val="24"/>
          <w:szCs w:val="24"/>
        </w:rPr>
        <w:t>և</w:t>
      </w:r>
      <w:r w:rsidRPr="004B393A">
        <w:rPr>
          <w:rFonts w:ascii="Sylfaen" w:hAnsi="Sylfaen"/>
          <w:sz w:val="24"/>
          <w:szCs w:val="24"/>
        </w:rPr>
        <w:t xml:space="preserve"> առանց դրա) կամ այդպիսի պլանից հրաժարվելը կոնկրետ պատրաստուկի համար (կամ այդ հրաժարումը տարածվում է դեղապատրաստուկների ամբողջ դասի վրա): Համառոտ նկարագրվում են երեխաների մոտ պատրաստուկի հետազոտության պլանին ներկայացվող պայմաններն ու հիմնական պահանջները՝ նախակլինիկական ասպեկտների մասով (ըստ հնարավորության), </w:t>
      </w:r>
      <w:r w:rsidR="00C54D75">
        <w:rPr>
          <w:rFonts w:ascii="Sylfaen" w:hAnsi="Sylfaen"/>
          <w:sz w:val="24"/>
          <w:szCs w:val="24"/>
        </w:rPr>
        <w:t>և</w:t>
      </w:r>
      <w:r w:rsidRPr="004B393A">
        <w:rPr>
          <w:rFonts w:ascii="Sylfaen" w:hAnsi="Sylfaen"/>
          <w:sz w:val="24"/>
          <w:szCs w:val="24"/>
        </w:rPr>
        <w:t xml:space="preserve"> ներկայացվում է նախակլինիկական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4B393A">
        <w:rPr>
          <w:rFonts w:ascii="Sylfaen" w:hAnsi="Sylfaen"/>
          <w:sz w:val="24"/>
          <w:szCs w:val="24"/>
        </w:rPr>
        <w:t xml:space="preserve"> այլն):</w:t>
      </w:r>
    </w:p>
    <w:p w14:paraId="4C818923" w14:textId="6A463453" w:rsidR="008C76E0" w:rsidRPr="004B393A" w:rsidRDefault="008C76E0" w:rsidP="004B393A">
      <w:pPr>
        <w:spacing w:after="160" w:line="336" w:lineRule="auto"/>
        <w:ind w:right="-1" w:firstLine="567"/>
        <w:jc w:val="both"/>
        <w:rPr>
          <w:rFonts w:ascii="Sylfaen" w:hAnsi="Sylfaen"/>
          <w:sz w:val="24"/>
          <w:szCs w:val="24"/>
        </w:rPr>
      </w:pPr>
      <w:r w:rsidRPr="004B393A">
        <w:rPr>
          <w:rFonts w:ascii="Sylfaen" w:hAnsi="Sylfaen"/>
          <w:sz w:val="24"/>
          <w:szCs w:val="24"/>
        </w:rPr>
        <w:t xml:space="preserve">Նշվում է, թե արդյոք </w:t>
      </w:r>
      <w:r w:rsidR="0056496B">
        <w:rPr>
          <w:rFonts w:ascii="Sylfaen" w:hAnsi="Sylfaen"/>
          <w:sz w:val="24"/>
          <w:szCs w:val="24"/>
        </w:rPr>
        <w:t>դիմումատու</w:t>
      </w:r>
      <w:r w:rsidRPr="004B393A">
        <w:rPr>
          <w:rFonts w:ascii="Sylfaen" w:hAnsi="Sylfaen"/>
          <w:sz w:val="24"/>
          <w:szCs w:val="24"/>
        </w:rPr>
        <w:t>ն ստացել է գիտական խորհրդատվություն կամ աջակցություն արձանագրությունը կազմելիս (եթե այո, ապա երբ), նշվում են նա</w:t>
      </w:r>
      <w:r w:rsidR="00C54D75">
        <w:rPr>
          <w:rFonts w:ascii="Sylfaen" w:hAnsi="Sylfaen"/>
          <w:sz w:val="24"/>
          <w:szCs w:val="24"/>
        </w:rPr>
        <w:t>և</w:t>
      </w:r>
      <w:r w:rsidRPr="004B393A">
        <w:rPr>
          <w:rFonts w:ascii="Sylfaen" w:hAnsi="Sylfaen"/>
          <w:sz w:val="24"/>
          <w:szCs w:val="24"/>
        </w:rPr>
        <w:t xml:space="preserve"> խնդրահարույց հարցերը՝ նկարագրելով, թե արդյոք </w:t>
      </w:r>
      <w:r w:rsidR="0056496B">
        <w:rPr>
          <w:rFonts w:ascii="Sylfaen" w:hAnsi="Sylfaen"/>
          <w:sz w:val="24"/>
          <w:szCs w:val="24"/>
        </w:rPr>
        <w:t>դիմումատու</w:t>
      </w:r>
      <w:r w:rsidRPr="004B393A">
        <w:rPr>
          <w:rFonts w:ascii="Sylfaen" w:hAnsi="Sylfaen"/>
          <w:sz w:val="24"/>
          <w:szCs w:val="24"/>
        </w:rPr>
        <w:t>ն օգտվել է ստացված հանձնարարականներից:</w:t>
      </w:r>
    </w:p>
    <w:p w14:paraId="2076E726" w14:textId="0E671B7C" w:rsidR="008C76E0" w:rsidRPr="004B393A" w:rsidRDefault="008C76E0" w:rsidP="004B393A">
      <w:pPr>
        <w:spacing w:after="160" w:line="336" w:lineRule="auto"/>
        <w:ind w:firstLine="567"/>
        <w:jc w:val="both"/>
        <w:rPr>
          <w:rFonts w:ascii="Sylfaen" w:hAnsi="Sylfaen"/>
          <w:sz w:val="24"/>
          <w:szCs w:val="24"/>
        </w:rPr>
      </w:pPr>
      <w:r w:rsidRPr="004B393A">
        <w:rPr>
          <w:rFonts w:ascii="Sylfaen" w:hAnsi="Sylfaen"/>
          <w:sz w:val="24"/>
          <w:szCs w:val="24"/>
        </w:rPr>
        <w:t xml:space="preserve">Նշվում է, թե արդյոք դեղապատրաստուկին շնորհվել է հազվադեպ հանդիպող (որբ) պատրաստուկի կարգավիճակ (եթե այո, ապա երբ): Անհրաժեշտության դեպքում </w:t>
      </w:r>
      <w:r w:rsidR="000F179C">
        <w:rPr>
          <w:rFonts w:ascii="Sylfaen" w:hAnsi="Sylfaen"/>
          <w:sz w:val="24"/>
          <w:szCs w:val="24"/>
        </w:rPr>
        <w:t>հայտարարությ</w:t>
      </w:r>
      <w:r w:rsidRPr="004B393A">
        <w:rPr>
          <w:rFonts w:ascii="Sylfaen" w:hAnsi="Sylfaen"/>
          <w:sz w:val="24"/>
          <w:szCs w:val="24"/>
        </w:rPr>
        <w:t>ուն է արվում ազդեցության նման մեխանիզմ ունեցող պատրաստուկների նկատմամբ սույն որոշման մասին:</w:t>
      </w:r>
    </w:p>
    <w:p w14:paraId="0C8E51B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Եթե հետազոտությունների համար մասամբ կիրառվել են շուկայում վաճառքի համար չնախատեսված պատրաստուկի սերիաներ, ապա այդ դեպքում </w:t>
      </w:r>
      <w:r w:rsidRPr="004B393A">
        <w:rPr>
          <w:rFonts w:ascii="Sylfaen" w:hAnsi="Sylfaen"/>
          <w:sz w:val="24"/>
          <w:szCs w:val="24"/>
        </w:rPr>
        <w:lastRenderedPageBreak/>
        <w:t>անհրաժեշտ է նոր խառնուկների (առկայության դեպքում) որակավորման գնահատում անցկացնել:</w:t>
      </w:r>
    </w:p>
    <w:p w14:paraId="4AE1495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1.2.</w:t>
      </w:r>
      <w:r w:rsidRPr="004B393A">
        <w:rPr>
          <w:rFonts w:ascii="Sylfaen" w:hAnsi="Sylfaen"/>
          <w:sz w:val="24"/>
          <w:szCs w:val="24"/>
        </w:rPr>
        <w:tab/>
        <w:t>Պատշաճ լաբորատոր գործունեության ասպեկտները:</w:t>
      </w:r>
    </w:p>
    <w:p w14:paraId="3FC89954" w14:textId="0704A65C"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ինչպես նա</w:t>
      </w:r>
      <w:r w:rsidR="00C54D75">
        <w:rPr>
          <w:rFonts w:ascii="Sylfaen" w:hAnsi="Sylfaen"/>
          <w:sz w:val="24"/>
          <w:szCs w:val="24"/>
        </w:rPr>
        <w:t>և</w:t>
      </w:r>
      <w:r w:rsidRPr="004B393A">
        <w:rPr>
          <w:rFonts w:ascii="Sylfaen" w:hAnsi="Sylfaen"/>
          <w:sz w:val="24"/>
          <w:szCs w:val="24"/>
        </w:rPr>
        <w:t xml:space="preserve"> «Անվտանգության, որակի, արդյունավետության գնահատում» ամփոփ փորձագիտական հաշվետվության մեջ պետք է նշված լինի Եվրասիական տնտեսական հանձնաժողովի կողմից հաստատվող՝ Եվրասիական տնտեսական միության պատշաճ լաբորատոր գործունեության կանոնների պահանջներին (այսուհետ՝ պատշաճ լաբորատոր գործունեության կանոններ) համապատասխանության մասին </w:t>
      </w:r>
      <w:r w:rsidR="0085119E">
        <w:rPr>
          <w:rFonts w:ascii="Sylfaen" w:hAnsi="Sylfaen"/>
          <w:sz w:val="24"/>
          <w:szCs w:val="24"/>
        </w:rPr>
        <w:t>հայտարարագր</w:t>
      </w:r>
      <w:r w:rsidRPr="004B393A">
        <w:rPr>
          <w:rFonts w:ascii="Sylfaen" w:hAnsi="Sylfaen"/>
          <w:sz w:val="24"/>
          <w:szCs w:val="24"/>
        </w:rPr>
        <w:t>ի առկայությունը:</w:t>
      </w:r>
    </w:p>
    <w:p w14:paraId="0DAF00DD" w14:textId="1EB20070"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բաժինը, մասնավորապես, նվիրված է հետ</w:t>
      </w:r>
      <w:r w:rsidR="00C54D75">
        <w:rPr>
          <w:rFonts w:ascii="Sylfaen" w:hAnsi="Sylfaen"/>
          <w:sz w:val="24"/>
          <w:szCs w:val="24"/>
        </w:rPr>
        <w:t>և</w:t>
      </w:r>
      <w:r w:rsidRPr="004B393A">
        <w:rPr>
          <w:rFonts w:ascii="Sylfaen" w:hAnsi="Sylfaen"/>
          <w:sz w:val="24"/>
          <w:szCs w:val="24"/>
        </w:rPr>
        <w:t xml:space="preserve">յալի նկարագրությանը՝ պատշաճ լաբորատոր գործունեության կանոններին համապատասխանության հետ կապված ցանկացած խնդիր, որն ի </w:t>
      </w:r>
      <w:r w:rsidR="00F350A1">
        <w:rPr>
          <w:rFonts w:ascii="Sylfaen" w:hAnsi="Sylfaen"/>
          <w:sz w:val="24"/>
          <w:szCs w:val="24"/>
        </w:rPr>
        <w:t>հայտ</w:t>
      </w:r>
      <w:r w:rsidRPr="004B393A">
        <w:rPr>
          <w:rFonts w:ascii="Sylfaen" w:hAnsi="Sylfaen"/>
          <w:sz w:val="24"/>
          <w:szCs w:val="24"/>
        </w:rPr>
        <w:t xml:space="preserve"> է եկել ներկայացված հաշվետվությունների գնահատման ընթացքում (տվյալների ճշտություն կամ արձանագրության պահանջներին համապատասխանություն).</w:t>
      </w:r>
    </w:p>
    <w:p w14:paraId="0DC0CD7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պատշաճ լաբորատոր գործունեության նորմերի պահպանումը վերահսկելու համար տեսչական ստուգում անցկացնելու անհրաժեշտության վերաբերյալ հարցի դիտարկում.</w:t>
      </w:r>
    </w:p>
    <w:p w14:paraId="38981EE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պատշաճ լաբորատոր գործունեության կանոնների պահանջներին համապատասխանության մասով տեսչական ստուգում անցկացնելու վերաբերյալ հարցման համար անհրաժեշտ է՝</w:t>
      </w:r>
    </w:p>
    <w:p w14:paraId="3EE5A23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դիմել անդամ պետության դեղագործական տեսչությանը. տեսչության հետ միասին որոշել տեսչական ստուգման անցկացման հետ առնչություն ունեցող հետազոտությունները, օբյեկտներն ու մասնահատուկ հարցերը կամ խնդիրները,</w:t>
      </w:r>
    </w:p>
    <w:p w14:paraId="0A8CD0D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նախապատրաստել տեսչական ստուգման վերաբերյալ պաշտոնական հարցում, որը ներկայացվում է տեսուչների քննարկմանը </w:t>
      </w:r>
      <w:r w:rsidR="00C54D75">
        <w:rPr>
          <w:rFonts w:ascii="Sylfaen" w:hAnsi="Sylfaen"/>
          <w:sz w:val="24"/>
          <w:szCs w:val="24"/>
        </w:rPr>
        <w:t>և</w:t>
      </w:r>
      <w:r w:rsidRPr="004B393A">
        <w:rPr>
          <w:rFonts w:ascii="Sylfaen" w:hAnsi="Sylfaen"/>
          <w:sz w:val="24"/>
          <w:szCs w:val="24"/>
        </w:rPr>
        <w:t xml:space="preserve"> հետագա համաձայնեցմանն անդամ պետությունների լիազորված փորձագիտական կազմակերպությունների հետ, որից հետո հարցումը հաստատվում է այդ </w:t>
      </w:r>
      <w:r w:rsidRPr="004B393A">
        <w:rPr>
          <w:rFonts w:ascii="Sylfaen" w:hAnsi="Sylfaen"/>
          <w:sz w:val="24"/>
          <w:szCs w:val="24"/>
        </w:rPr>
        <w:lastRenderedPageBreak/>
        <w:t xml:space="preserve">պետությունների լիազորված մարմինների կողմից </w:t>
      </w:r>
      <w:r w:rsidR="00C54D75">
        <w:rPr>
          <w:rFonts w:ascii="Sylfaen" w:hAnsi="Sylfaen"/>
          <w:sz w:val="24"/>
          <w:szCs w:val="24"/>
        </w:rPr>
        <w:t>և</w:t>
      </w:r>
      <w:r w:rsidRPr="004B393A">
        <w:rPr>
          <w:rFonts w:ascii="Sylfaen" w:hAnsi="Sylfaen"/>
          <w:sz w:val="24"/>
          <w:szCs w:val="24"/>
        </w:rPr>
        <w:t xml:space="preserve"> ներառվում է տեսչական ստուգումների պլանի մեջ (գրանցման գործընթացի ընդհանուր ժամկետի 90-րդ կամ 120-րդ օրացուցային օրը):</w:t>
      </w:r>
    </w:p>
    <w:p w14:paraId="57350FD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w:t>
      </w:r>
      <w:r w:rsidRPr="004B393A">
        <w:rPr>
          <w:rFonts w:ascii="Sylfaen" w:hAnsi="Sylfaen"/>
          <w:sz w:val="24"/>
          <w:szCs w:val="24"/>
        </w:rPr>
        <w:tab/>
        <w:t xml:space="preserve">Դեղաբանություն (2.6.2 </w:t>
      </w:r>
      <w:r w:rsidR="00C54D75">
        <w:rPr>
          <w:rFonts w:ascii="Sylfaen" w:hAnsi="Sylfaen"/>
          <w:sz w:val="24"/>
          <w:szCs w:val="24"/>
        </w:rPr>
        <w:t>և</w:t>
      </w:r>
      <w:r w:rsidRPr="004B393A">
        <w:rPr>
          <w:rFonts w:ascii="Sylfaen" w:hAnsi="Sylfaen"/>
          <w:sz w:val="24"/>
          <w:szCs w:val="24"/>
        </w:rPr>
        <w:t xml:space="preserve"> 4.2.1 մոդուլներ):</w:t>
      </w:r>
    </w:p>
    <w:p w14:paraId="29AE74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Համառոտ նկարագրությունը</w:t>
      </w:r>
    </w:p>
    <w:p w14:paraId="24C62B7D" w14:textId="77777777" w:rsidR="008C76E0" w:rsidRPr="004B393A" w:rsidRDefault="008C76E0" w:rsidP="005A45A7">
      <w:pPr>
        <w:spacing w:after="160" w:line="384" w:lineRule="auto"/>
        <w:ind w:right="-1" w:firstLine="567"/>
        <w:jc w:val="both"/>
        <w:rPr>
          <w:rFonts w:ascii="Sylfaen" w:hAnsi="Sylfaen"/>
          <w:sz w:val="24"/>
          <w:szCs w:val="24"/>
        </w:rPr>
      </w:pPr>
      <w:r w:rsidRPr="004B393A">
        <w:rPr>
          <w:rFonts w:ascii="Sylfaen" w:hAnsi="Sylfaen"/>
          <w:sz w:val="24"/>
          <w:szCs w:val="24"/>
        </w:rPr>
        <w:t>Սույն բաժնում անհրաժեշտ է նկարագրել ազդող նյութը, դեղապատրաստուկի ներգործության մեխանիզմն ու մշակման հակիրճ հիմնավորումը՝ կիրառման համար առաջարկվող ցուցումներին համապատասխան:</w:t>
      </w:r>
    </w:p>
    <w:p w14:paraId="617F0EC9"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 սույն բաժնում անհրաժեշտ է արտացոլել հետազոտությունների համեմատական բնույթն ու նախակլինիկական մշակման ծրագրի հիմնավորումը: Բաժնի վերջում՝ «քննարկում» կետում, կարելի է վերլուծել հետազոտությունների արդյունքները:</w:t>
      </w:r>
    </w:p>
    <w:p w14:paraId="62670D9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Ֆիզիկաքիմիական հատկությունները</w:t>
      </w:r>
    </w:p>
    <w:p w14:paraId="268101CB" w14:textId="77777777" w:rsidR="008C76E0" w:rsidRPr="004B393A" w:rsidRDefault="008C76E0" w:rsidP="005A45A7">
      <w:pPr>
        <w:spacing w:after="160" w:line="384" w:lineRule="auto"/>
        <w:ind w:firstLine="567"/>
        <w:jc w:val="both"/>
        <w:rPr>
          <w:rFonts w:ascii="Sylfaen" w:hAnsi="Sylfaen"/>
          <w:sz w:val="24"/>
          <w:szCs w:val="24"/>
        </w:rPr>
      </w:pPr>
      <w:r w:rsidRPr="004B393A">
        <w:rPr>
          <w:rFonts w:ascii="Sylfaen" w:hAnsi="Sylfaen"/>
          <w:sz w:val="24"/>
          <w:szCs w:val="24"/>
        </w:rPr>
        <w:t>Աղյուսակի առաջարկվող ձ</w:t>
      </w:r>
      <w:r w:rsidR="00C54D75">
        <w:rPr>
          <w:rFonts w:ascii="Sylfaen" w:hAnsi="Sylfaen"/>
          <w:sz w:val="24"/>
          <w:szCs w:val="24"/>
        </w:rPr>
        <w:t>և</w:t>
      </w:r>
      <w:r w:rsidRPr="004B393A">
        <w:rPr>
          <w:rFonts w:ascii="Sylfaen" w:hAnsi="Sylfaen"/>
          <w:sz w:val="24"/>
          <w:szCs w:val="24"/>
        </w:rPr>
        <w:t xml:space="preserve">ը հարկ է լրացնել Գրանցման կանոնների թիվ 8 հավելվածին համապատասխան: Աղյուսակի առանձին դաշտերը լրացնելու անհնարինության դեպքում հարկ է այդ մասին նշում կատարել </w:t>
      </w:r>
      <w:r w:rsidR="00C54D75">
        <w:rPr>
          <w:rFonts w:ascii="Sylfaen" w:hAnsi="Sylfaen"/>
          <w:sz w:val="24"/>
          <w:szCs w:val="24"/>
        </w:rPr>
        <w:t>և</w:t>
      </w:r>
      <w:r w:rsidRPr="004B393A">
        <w:rPr>
          <w:rFonts w:ascii="Sylfaen" w:hAnsi="Sylfaen"/>
          <w:sz w:val="24"/>
          <w:szCs w:val="24"/>
        </w:rPr>
        <w:t xml:space="preserve"> գնահատել բացակայող տեղեկատվության կրիտիկականությունը:</w:t>
      </w:r>
    </w:p>
    <w:p w14:paraId="3E2E9B78" w14:textId="77777777" w:rsidR="008C76E0" w:rsidRPr="004B393A" w:rsidRDefault="008C76E0" w:rsidP="005A45A7">
      <w:pPr>
        <w:tabs>
          <w:tab w:val="left" w:pos="1134"/>
        </w:tabs>
        <w:spacing w:after="160" w:line="384" w:lineRule="auto"/>
        <w:ind w:right="-1" w:firstLine="567"/>
        <w:jc w:val="both"/>
        <w:rPr>
          <w:rFonts w:ascii="Sylfaen" w:hAnsi="Sylfaen"/>
          <w:sz w:val="24"/>
          <w:szCs w:val="24"/>
        </w:rPr>
      </w:pPr>
      <w:r w:rsidRPr="004B393A">
        <w:rPr>
          <w:rFonts w:ascii="Sylfaen" w:hAnsi="Sylfaen"/>
          <w:sz w:val="24"/>
          <w:szCs w:val="24"/>
        </w:rPr>
        <w:t>2.1.</w:t>
      </w:r>
      <w:r w:rsidRPr="004B393A">
        <w:rPr>
          <w:rFonts w:ascii="Sylfaen" w:hAnsi="Sylfaen"/>
          <w:sz w:val="24"/>
          <w:szCs w:val="24"/>
        </w:rPr>
        <w:tab/>
        <w:t>Առաջնային դեղադինամիկան:</w:t>
      </w:r>
    </w:p>
    <w:p w14:paraId="1D0F1274" w14:textId="77777777" w:rsidR="008C76E0" w:rsidRPr="004B393A" w:rsidRDefault="008C76E0" w:rsidP="005A45A7">
      <w:pPr>
        <w:tabs>
          <w:tab w:val="left" w:pos="1134"/>
        </w:tabs>
        <w:spacing w:after="160" w:line="384" w:lineRule="auto"/>
        <w:ind w:firstLine="567"/>
        <w:jc w:val="both"/>
        <w:rPr>
          <w:rFonts w:ascii="Sylfaen" w:hAnsi="Sylfaen"/>
          <w:sz w:val="24"/>
          <w:szCs w:val="24"/>
        </w:rPr>
      </w:pPr>
      <w:r w:rsidRPr="004B393A">
        <w:rPr>
          <w:rFonts w:ascii="Sylfaen" w:hAnsi="Sylfaen"/>
          <w:sz w:val="24"/>
          <w:szCs w:val="24"/>
        </w:rPr>
        <w:t>Սույն բաժնում նկարագրվում են ազդող նյութի գնահատման մասով դեղադինամիկ հետազոտությունները՝ կապված հիմնական (նպատակային) հիվանդության հետ՝ ելնելով կիրառման ենթադրվող ցուցումներից, ներառյալ՝ հետ</w:t>
      </w:r>
      <w:r w:rsidR="00C54D75">
        <w:rPr>
          <w:rFonts w:ascii="Sylfaen" w:hAnsi="Sylfaen"/>
          <w:sz w:val="24"/>
          <w:szCs w:val="24"/>
        </w:rPr>
        <w:t>և</w:t>
      </w:r>
      <w:r w:rsidRPr="004B393A">
        <w:rPr>
          <w:rFonts w:ascii="Sylfaen" w:hAnsi="Sylfaen"/>
          <w:sz w:val="24"/>
          <w:szCs w:val="24"/>
        </w:rPr>
        <w:t>յալ հարցերը՝</w:t>
      </w:r>
    </w:p>
    <w:p w14:paraId="6643A7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հայեցակարգի (in vitro </w:t>
      </w:r>
      <w:r w:rsidR="00C54D75">
        <w:rPr>
          <w:rFonts w:ascii="Sylfaen" w:hAnsi="Sylfaen"/>
          <w:sz w:val="24"/>
          <w:szCs w:val="24"/>
        </w:rPr>
        <w:t>և</w:t>
      </w:r>
      <w:r w:rsidRPr="004B393A">
        <w:rPr>
          <w:rFonts w:ascii="Sylfaen" w:hAnsi="Sylfaen"/>
          <w:sz w:val="24"/>
          <w:szCs w:val="24"/>
        </w:rPr>
        <w:t xml:space="preserve"> in vivo) հաստատումն ու գործողության մեխանիզմը. կիրառման համար առաջարկվող ցուցումներին համապատասխանող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z w:val="24"/>
          <w:szCs w:val="24"/>
        </w:rPr>
        <w:lastRenderedPageBreak/>
        <w:t>միջտեսակային վերլուծության համար պիտանի կենդանական մոդելների առկայությունը.</w:t>
      </w:r>
    </w:p>
    <w:p w14:paraId="4C6BD54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ակտիվությունը (օրինակ՝ ED</w:t>
      </w:r>
      <w:r w:rsidRPr="004B393A">
        <w:rPr>
          <w:rFonts w:ascii="Sylfaen" w:hAnsi="Sylfaen"/>
          <w:sz w:val="24"/>
          <w:szCs w:val="24"/>
          <w:vertAlign w:val="subscript"/>
        </w:rPr>
        <w:t>50</w:t>
      </w:r>
      <w:r w:rsidRPr="004B393A">
        <w:rPr>
          <w:rFonts w:ascii="Sylfaen" w:hAnsi="Sylfaen"/>
          <w:sz w:val="24"/>
          <w:szCs w:val="24"/>
        </w:rPr>
        <w:t>), ներառյալ՝ թունաբանական հետազոտություններում օգտագործվող կենդանիների տեսակները.</w:t>
      </w:r>
    </w:p>
    <w:p w14:paraId="5FE1791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նախնական դեղակինետիկ պարամետրերը (խտությունը պլազմայում) կենդանիների մասով (տվյալների առկայության դեպքում).</w:t>
      </w:r>
    </w:p>
    <w:p w14:paraId="67EFCDC2"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էֆեկտների տ</w:t>
      </w:r>
      <w:r w:rsidR="00C54D75">
        <w:rPr>
          <w:rFonts w:ascii="Sylfaen" w:hAnsi="Sylfaen"/>
          <w:sz w:val="24"/>
          <w:szCs w:val="24"/>
        </w:rPr>
        <w:t>և</w:t>
      </w:r>
      <w:r w:rsidRPr="004B393A">
        <w:rPr>
          <w:rFonts w:ascii="Sylfaen" w:hAnsi="Sylfaen"/>
          <w:sz w:val="24"/>
          <w:szCs w:val="24"/>
        </w:rPr>
        <w:t>ողությունը (դարձելիությունը), դիմադրողականության պրոֆիլները (հակաբորբոքային պատրաստուկներ).</w:t>
      </w:r>
    </w:p>
    <w:p w14:paraId="75B57A3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դեղաբանորեն ակտիվ մետաբոլիտները (հարաբերական ներդրումը դեղադինամիկայում).</w:t>
      </w:r>
    </w:p>
    <w:p w14:paraId="4E1EA20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իմունաբանական հատկությունները, ներառյալ՝ հակածնային սպեցիֆիկությունը՝ մոնոկլոնալ հակամարմինների համար:</w:t>
      </w:r>
    </w:p>
    <w:p w14:paraId="083A4E0C"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Հակամանրէային պատրաստուկների համար անհրաժեշտ է ներկայացնել ազդեցության մեխանիզմի, in vitro պայմաններում ակտիվության սպեկտրի նկարագրությունը, ներառյալ՝ «վայրի» շտամների բաշխումն ըստ նվազագույն ընկճող չափաբաժինների (մանրէների աճն ընկճող հակաբիոտիկի նվազագույն չափաբաժինը in vitro պայմաններում) արժեքների (տվյալների առկայության դեպքում), հետհակաբիոտիկային էֆեկտների </w:t>
      </w:r>
      <w:r w:rsidR="00C54D75">
        <w:rPr>
          <w:rFonts w:ascii="Sylfaen" w:hAnsi="Sylfaen"/>
          <w:sz w:val="24"/>
          <w:szCs w:val="24"/>
        </w:rPr>
        <w:t>և</w:t>
      </w:r>
      <w:r w:rsidRPr="004B393A">
        <w:rPr>
          <w:rFonts w:ascii="Sylfaen" w:hAnsi="Sylfaen"/>
          <w:sz w:val="24"/>
          <w:szCs w:val="24"/>
        </w:rPr>
        <w:t xml:space="preserve"> դիմադրողականության մեխանիզմի: Որպես օրինակ հարկ է ներկայացնել կենդանիների վրա մանրէների in vivo պայմաններում արդյունավետության վերաբերյալ տվյալները՝ դրանց տարբեր տեսակների առնչությամբ:</w:t>
      </w:r>
    </w:p>
    <w:p w14:paraId="3FD0C6A0"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(ինչպես </w:t>
      </w:r>
      <w:r w:rsidR="00C54D75">
        <w:rPr>
          <w:rFonts w:ascii="Sylfaen" w:hAnsi="Sylfaen"/>
          <w:sz w:val="24"/>
          <w:szCs w:val="24"/>
        </w:rPr>
        <w:t>և</w:t>
      </w:r>
      <w:r w:rsidRPr="004B393A">
        <w:rPr>
          <w:rFonts w:ascii="Sylfaen" w:hAnsi="Sylfaen"/>
          <w:sz w:val="24"/>
          <w:szCs w:val="24"/>
        </w:rPr>
        <w:t xml:space="preserve"> </w:t>
      </w:r>
      <w:r w:rsidRPr="004B393A">
        <w:rPr>
          <w:rFonts w:ascii="Sylfaen" w:hAnsi="Sylfaen"/>
          <w:spacing w:val="-4"/>
          <w:sz w:val="24"/>
          <w:szCs w:val="24"/>
        </w:rPr>
        <w:t xml:space="preserve">դեղակինետիկային նվիրված բաժնում) կարելի է նկարագրել կենդանիների մասով որոշված դեղակինետիկ </w:t>
      </w:r>
      <w:r w:rsidR="00C54D75">
        <w:rPr>
          <w:rFonts w:ascii="Sylfaen" w:hAnsi="Sylfaen"/>
          <w:spacing w:val="-4"/>
          <w:sz w:val="24"/>
          <w:szCs w:val="24"/>
        </w:rPr>
        <w:t>և</w:t>
      </w:r>
      <w:r w:rsidRPr="004B393A">
        <w:rPr>
          <w:rFonts w:ascii="Sylfaen" w:hAnsi="Sylfaen"/>
          <w:spacing w:val="-4"/>
          <w:sz w:val="24"/>
          <w:szCs w:val="24"/>
        </w:rPr>
        <w:t xml:space="preserve"> դեղադինամիկ պարամետրերի միջ</w:t>
      </w:r>
      <w:r w:rsidR="00C54D75">
        <w:rPr>
          <w:rFonts w:ascii="Sylfaen" w:hAnsi="Sylfaen"/>
          <w:spacing w:val="-4"/>
          <w:sz w:val="24"/>
          <w:szCs w:val="24"/>
        </w:rPr>
        <w:t>և</w:t>
      </w:r>
      <w:r w:rsidRPr="004B393A">
        <w:rPr>
          <w:rFonts w:ascii="Sylfaen" w:hAnsi="Sylfaen"/>
          <w:spacing w:val="-4"/>
          <w:sz w:val="24"/>
          <w:szCs w:val="24"/>
        </w:rPr>
        <w:t xml:space="preserve"> փոխադարձ կապը: Կլինիկական տվյալներին նվիրված բաժնում պետք է ներկայացվեն այդ տեղեկություններին</w:t>
      </w:r>
      <w:r w:rsidRPr="004B393A">
        <w:rPr>
          <w:rFonts w:ascii="Sylfaen" w:hAnsi="Sylfaen"/>
          <w:sz w:val="24"/>
          <w:szCs w:val="24"/>
        </w:rPr>
        <w:t xml:space="preserve"> արված խաչաձ</w:t>
      </w:r>
      <w:r w:rsidR="00C54D75">
        <w:rPr>
          <w:rFonts w:ascii="Sylfaen" w:hAnsi="Sylfaen"/>
          <w:sz w:val="24"/>
          <w:szCs w:val="24"/>
        </w:rPr>
        <w:t>և</w:t>
      </w:r>
      <w:r w:rsidRPr="004B393A">
        <w:rPr>
          <w:rFonts w:ascii="Sylfaen" w:hAnsi="Sylfaen"/>
          <w:sz w:val="24"/>
          <w:szCs w:val="24"/>
        </w:rPr>
        <w:t xml:space="preserve"> հղումներ:</w:t>
      </w:r>
    </w:p>
    <w:p w14:paraId="4760BEA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Կենսահամանման (կենսանման) դեղապատրաստուկների համար՝</w:t>
      </w:r>
    </w:p>
    <w:p w14:paraId="657F78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Ընկալիչների հետ կապման ուսումնասիրման թեստերի կամ այնպիսի թեստերի հավաքածու, որոնք իրականացվել են բջիջների վրա (որոնք կարող են հասանելի լինել կենսաբանական համակարգերի վրա պատրաստուկի որակի՝ ավելի վաղ անցկացված ուսումնասիրության արդյունքում) որպես համեմատական վերլուծության հիմնական տարր, որն անց է կացվում ռեակտիվության տարբերությունները գնահատելու </w:t>
      </w:r>
      <w:r w:rsidR="00C54D75">
        <w:rPr>
          <w:rFonts w:ascii="Sylfaen" w:hAnsi="Sylfaen"/>
          <w:sz w:val="24"/>
          <w:szCs w:val="24"/>
        </w:rPr>
        <w:t>և</w:t>
      </w:r>
      <w:r w:rsidRPr="004B393A">
        <w:rPr>
          <w:rFonts w:ascii="Sylfaen" w:hAnsi="Sylfaen"/>
          <w:sz w:val="24"/>
          <w:szCs w:val="24"/>
        </w:rPr>
        <w:t xml:space="preserve"> դրանց հավանական պատճառային գործոնը որոշելու նպատակով:</w:t>
      </w:r>
    </w:p>
    <w:p w14:paraId="662EFF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վրա կատարվող հետազոտությունները պետք է պլանավորված լինեն այնպես, որ հնարավոր լինի ներկայացնել համեմատման պատրաստուկի </w:t>
      </w:r>
      <w:r w:rsidR="00C54D75">
        <w:rPr>
          <w:rFonts w:ascii="Sylfaen" w:hAnsi="Sylfaen"/>
          <w:sz w:val="24"/>
          <w:szCs w:val="24"/>
        </w:rPr>
        <w:t>և</w:t>
      </w:r>
      <w:r w:rsidRPr="004B393A">
        <w:rPr>
          <w:rFonts w:ascii="Sylfaen" w:hAnsi="Sylfaen"/>
          <w:sz w:val="24"/>
          <w:szCs w:val="24"/>
        </w:rPr>
        <w:t xml:space="preserve"> կենսահամանման պատրաստուկի համեմատության համար տեղեկությունների առավելագույն ծավալ, որը հետագայում կօգտագործվի կլինիկական հետազոտություններում:</w:t>
      </w:r>
    </w:p>
    <w:p w14:paraId="3411348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Այդպիսի հետազոտությունները պետք է անցկացվեն կենդանիների համապատասխան տեսակների վրա՝ առավել ժամանակակից տեխնոլոգիաների օգտագործմամբ:</w:t>
      </w:r>
    </w:p>
    <w:p w14:paraId="131806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2.2.</w:t>
      </w:r>
      <w:r w:rsidRPr="004B393A">
        <w:rPr>
          <w:rFonts w:ascii="Sylfaen" w:hAnsi="Sylfaen"/>
          <w:sz w:val="24"/>
          <w:szCs w:val="24"/>
        </w:rPr>
        <w:tab/>
        <w:t>Երկրորդային դեղադինամիկան:</w:t>
      </w:r>
    </w:p>
    <w:p w14:paraId="1BAF6ACB"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բաժինը նվիրված է առաջնային թերապ</w:t>
      </w:r>
      <w:r w:rsidR="00C54D75">
        <w:rPr>
          <w:rFonts w:ascii="Sylfaen" w:hAnsi="Sylfaen"/>
          <w:sz w:val="24"/>
          <w:szCs w:val="24"/>
        </w:rPr>
        <w:t>և</w:t>
      </w:r>
      <w:r w:rsidRPr="004B393A">
        <w:rPr>
          <w:rFonts w:ascii="Sylfaen" w:hAnsi="Sylfaen"/>
          <w:sz w:val="24"/>
          <w:szCs w:val="24"/>
        </w:rPr>
        <w:t>տիկ ակտիվության հետ կապ չունեցող դեղաբանական էֆեկտների նկարագրությանը: Անհրաժեշտության դեպքում նշվում է ընկալիչների հետ փոխազդեցության արդյունքների սկրինինգի վերաբերյալ տեղեկատվություն:</w:t>
      </w:r>
    </w:p>
    <w:p w14:paraId="33A0A292" w14:textId="77777777" w:rsidR="008C76E0" w:rsidRPr="004B393A" w:rsidRDefault="008C76E0" w:rsidP="004B393A">
      <w:pPr>
        <w:tabs>
          <w:tab w:val="left" w:pos="1134"/>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Մոնոկլոնալ հակամարմինների համար տրվում է մանրամասն տեղեկատվություն իմունաբանական այն հատկությունների վերաբերյալ, որոնք տարբերվում են ենթադրվող հատկություններից, այդ թվում՝ կոմպլեմենտ կապող հատկությունների </w:t>
      </w:r>
      <w:r w:rsidR="00C54D75">
        <w:rPr>
          <w:rFonts w:ascii="Sylfaen" w:hAnsi="Sylfaen"/>
          <w:sz w:val="24"/>
          <w:szCs w:val="24"/>
        </w:rPr>
        <w:t>և</w:t>
      </w:r>
      <w:r w:rsidRPr="004B393A">
        <w:rPr>
          <w:rFonts w:ascii="Sylfaen" w:hAnsi="Sylfaen"/>
          <w:sz w:val="24"/>
          <w:szCs w:val="24"/>
        </w:rPr>
        <w:t xml:space="preserve"> ռեակտիվության ցանկացած չնախատեսված տեսակի </w:t>
      </w:r>
      <w:r w:rsidR="00C54D75">
        <w:rPr>
          <w:rFonts w:ascii="Sylfaen" w:hAnsi="Sylfaen"/>
          <w:sz w:val="24"/>
          <w:szCs w:val="24"/>
        </w:rPr>
        <w:t>և</w:t>
      </w:r>
      <w:r w:rsidRPr="004B393A">
        <w:rPr>
          <w:rFonts w:ascii="Sylfaen" w:hAnsi="Sylfaen"/>
          <w:sz w:val="24"/>
          <w:szCs w:val="24"/>
        </w:rPr>
        <w:t xml:space="preserve"> (կամ) տվյալ պատրաստուկի համար թիրախ հյուսվածքներից տարբեր մարդու հյուսվածքների մասով ցիտոտոկսիկության վերաբերյալ: Խաչաձ</w:t>
      </w:r>
      <w:r w:rsidR="00C54D75">
        <w:rPr>
          <w:rFonts w:ascii="Sylfaen" w:hAnsi="Sylfaen"/>
          <w:sz w:val="24"/>
          <w:szCs w:val="24"/>
        </w:rPr>
        <w:t>և</w:t>
      </w:r>
      <w:r w:rsidRPr="004B393A">
        <w:rPr>
          <w:rFonts w:ascii="Sylfaen" w:hAnsi="Sylfaen"/>
          <w:sz w:val="24"/>
          <w:szCs w:val="24"/>
        </w:rPr>
        <w:t xml:space="preserve"> ռեակտիվության նման հետազոտությունները կարող են անցկացվել մարդու տարբեր հյուսվածքների օգտագործմամբ: Նման հետազոտությունների վերաբերյալ </w:t>
      </w:r>
      <w:r w:rsidRPr="004B393A">
        <w:rPr>
          <w:rFonts w:ascii="Sylfaen" w:hAnsi="Sylfaen"/>
          <w:sz w:val="24"/>
          <w:szCs w:val="24"/>
        </w:rPr>
        <w:lastRenderedPageBreak/>
        <w:t>տեղեկությունները ներկայացված են այս բաժնում:</w:t>
      </w:r>
    </w:p>
    <w:p w14:paraId="3489970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2.3.</w:t>
      </w:r>
      <w:r w:rsidRPr="004B393A">
        <w:rPr>
          <w:rFonts w:ascii="Sylfaen" w:hAnsi="Sylfaen"/>
          <w:sz w:val="24"/>
          <w:szCs w:val="24"/>
        </w:rPr>
        <w:tab/>
        <w:t>Դեղաբանական անվտանգությունը:</w:t>
      </w:r>
    </w:p>
    <w:p w14:paraId="1D74A9A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ուսումնասիրվում են հետ</w:t>
      </w:r>
      <w:r w:rsidR="00C54D75">
        <w:rPr>
          <w:rFonts w:ascii="Sylfaen" w:hAnsi="Sylfaen"/>
          <w:sz w:val="24"/>
          <w:szCs w:val="24"/>
        </w:rPr>
        <w:t>և</w:t>
      </w:r>
      <w:r w:rsidRPr="004B393A">
        <w:rPr>
          <w:rFonts w:ascii="Sylfaen" w:hAnsi="Sylfaen"/>
          <w:sz w:val="24"/>
          <w:szCs w:val="24"/>
        </w:rPr>
        <w:t>յալ հարցերը՝</w:t>
      </w:r>
    </w:p>
    <w:p w14:paraId="1F9D8D5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հիմնական թեստերի հավաքածուն (պատշաճ լաբորատոր գործունեության կանոններին համապատասխան)՝</w:t>
      </w:r>
    </w:p>
    <w:p w14:paraId="7A4501DF"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սրտանոթային համակարգը (ներառյալ՝ QT միջակայքի երկարաձգումը </w:t>
      </w:r>
      <w:r w:rsidRPr="004B393A">
        <w:rPr>
          <w:rStyle w:val="Bodytext295pt"/>
          <w:rFonts w:ascii="Sylfaen" w:eastAsiaTheme="minorHAnsi" w:hAnsi="Sylfaen"/>
          <w:b w:val="0"/>
          <w:spacing w:val="0"/>
          <w:sz w:val="24"/>
          <w:szCs w:val="24"/>
        </w:rPr>
        <w:t>in</w:t>
      </w:r>
      <w:r w:rsidRPr="004B393A">
        <w:rPr>
          <w:rFonts w:ascii="Sylfaen" w:hAnsi="Sylfaen"/>
          <w:sz w:val="24"/>
          <w:szCs w:val="24"/>
        </w:rPr>
        <w:t> </w:t>
      </w:r>
      <w:r w:rsidRPr="004B393A">
        <w:rPr>
          <w:rStyle w:val="Bodytext295pt"/>
          <w:rFonts w:ascii="Sylfaen" w:eastAsiaTheme="minorHAnsi" w:hAnsi="Sylfaen"/>
          <w:b w:val="0"/>
          <w:spacing w:val="0"/>
          <w:sz w:val="24"/>
          <w:szCs w:val="24"/>
        </w:rPr>
        <w:t>vitro</w:t>
      </w:r>
      <w:r w:rsidRPr="004B393A">
        <w:rPr>
          <w:rFonts w:ascii="Sylfaen" w:hAnsi="Sylfaen"/>
          <w:sz w:val="24"/>
          <w:szCs w:val="24"/>
        </w:rPr>
        <w:t xml:space="preserve"> կամ </w:t>
      </w:r>
      <w:r w:rsidRPr="004B393A">
        <w:rPr>
          <w:rStyle w:val="Bodytext295pt"/>
          <w:rFonts w:ascii="Sylfaen" w:eastAsiaTheme="minorHAnsi" w:hAnsi="Sylfaen"/>
          <w:b w:val="0"/>
          <w:spacing w:val="0"/>
          <w:sz w:val="24"/>
          <w:szCs w:val="24"/>
        </w:rPr>
        <w:t>in vivo հետազոտություններում).</w:t>
      </w:r>
    </w:p>
    <w:p w14:paraId="4465C71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կենտրոնական նյարդային համակարգը.</w:t>
      </w:r>
    </w:p>
    <w:p w14:paraId="0F93999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շնչառական համակարգը.</w:t>
      </w:r>
    </w:p>
    <w:p w14:paraId="2C7826B3" w14:textId="77777777" w:rsidR="008C76E0" w:rsidRPr="004B393A" w:rsidRDefault="008C76E0" w:rsidP="004B393A">
      <w:pPr>
        <w:tabs>
          <w:tab w:val="left" w:pos="1134"/>
        </w:tabs>
        <w:spacing w:after="160" w:line="360" w:lineRule="auto"/>
        <w:ind w:firstLine="567"/>
        <w:jc w:val="both"/>
        <w:rPr>
          <w:rFonts w:ascii="Sylfaen" w:hAnsi="Sylfaen"/>
          <w:spacing w:val="-4"/>
          <w:sz w:val="24"/>
          <w:szCs w:val="24"/>
        </w:rPr>
      </w:pPr>
      <w:r w:rsidRPr="004B393A">
        <w:rPr>
          <w:rFonts w:ascii="Sylfaen" w:hAnsi="Sylfaen"/>
          <w:sz w:val="24"/>
          <w:szCs w:val="24"/>
        </w:rPr>
        <w:t>բ)</w:t>
      </w:r>
      <w:r w:rsidRPr="004B393A">
        <w:rPr>
          <w:rFonts w:ascii="Sylfaen" w:hAnsi="Sylfaen"/>
          <w:sz w:val="24"/>
          <w:szCs w:val="24"/>
        </w:rPr>
        <w:tab/>
      </w:r>
      <w:r w:rsidRPr="004B393A">
        <w:rPr>
          <w:rFonts w:ascii="Sylfaen" w:hAnsi="Sylfaen"/>
          <w:spacing w:val="-4"/>
          <w:sz w:val="24"/>
          <w:szCs w:val="24"/>
        </w:rPr>
        <w:t xml:space="preserve">այլ թեստեր (օրինակ՝ երիկամների, աղեստամոքսային տրակտի </w:t>
      </w:r>
      <w:r w:rsidR="00C54D75">
        <w:rPr>
          <w:rStyle w:val="Bodytext210pt"/>
          <w:rFonts w:ascii="Sylfaen" w:eastAsiaTheme="minorHAnsi" w:hAnsi="Sylfaen"/>
          <w:spacing w:val="-4"/>
          <w:sz w:val="24"/>
          <w:szCs w:val="24"/>
        </w:rPr>
        <w:t>և</w:t>
      </w:r>
      <w:r w:rsidRPr="004B393A">
        <w:rPr>
          <w:rStyle w:val="Bodytext210pt"/>
          <w:rFonts w:ascii="Sylfaen" w:eastAsiaTheme="minorHAnsi" w:hAnsi="Sylfaen"/>
          <w:spacing w:val="-4"/>
          <w:sz w:val="24"/>
          <w:szCs w:val="24"/>
        </w:rPr>
        <w:t xml:space="preserve"> </w:t>
      </w:r>
      <w:r w:rsidRPr="004B393A">
        <w:rPr>
          <w:rFonts w:ascii="Sylfaen" w:hAnsi="Sylfaen"/>
          <w:spacing w:val="-4"/>
          <w:sz w:val="24"/>
          <w:szCs w:val="24"/>
        </w:rPr>
        <w:t>այլն):</w:t>
      </w:r>
    </w:p>
    <w:p w14:paraId="187169A3"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չի պահանջվում անցկացնել այլ ընթացիկ թունաբանական հետազոտություններ, օրինակ՝ դեղաբանական անվտանգության հետազոտություններ՝ բացի այն դեպքերից, երբ նման թեստերի անցկացումը պայմանավորված է բազմակի ներմուծման թունավորության հետազոտությունների արդյունքներով:</w:t>
      </w:r>
    </w:p>
    <w:p w14:paraId="51EE4611"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2.4.</w:t>
      </w:r>
      <w:r w:rsidRPr="004B393A">
        <w:rPr>
          <w:rFonts w:ascii="Sylfaen" w:hAnsi="Sylfaen"/>
          <w:sz w:val="24"/>
          <w:szCs w:val="24"/>
        </w:rPr>
        <w:tab/>
        <w:t>Դեղադինամիկ դեղային փոխազդեցությունները:</w:t>
      </w:r>
    </w:p>
    <w:p w14:paraId="3D02C854"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Պոտենցիալ դեղադինամիկ դեղային փոխազդեցությունները կարող են իրենց մեջ ներառել՝</w:t>
      </w:r>
    </w:p>
    <w:p w14:paraId="2ECC034D"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փոխազդեցություն ընկալիչների մակարդակով.</w:t>
      </w:r>
    </w:p>
    <w:p w14:paraId="63A77112"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պատրաստուկների հնարավոր համատեղ կիրառում կլինիկական գործունեության պայմաններում.</w:t>
      </w:r>
    </w:p>
    <w:p w14:paraId="29A9A00C"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հաղորդումներ՝ անցանկալի ռեակցիաների վերաբերյալ, որոնք ստացվել են դեղաբանական անվտանգության, դեղակինետիկայի (մետաբոլիզմի) կամ թունաբանության հետազոտության ընթացքում:</w:t>
      </w:r>
    </w:p>
    <w:p w14:paraId="6B6DC46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2.5.</w:t>
      </w:r>
      <w:r w:rsidRPr="004B393A">
        <w:rPr>
          <w:rFonts w:ascii="Sylfaen" w:hAnsi="Sylfaen"/>
          <w:sz w:val="24"/>
          <w:szCs w:val="24"/>
        </w:rPr>
        <w:tab/>
        <w:t>Փորձագետի ընդհանուր եզրակացությունը՝ դեղաբանության վերաբերյալ:</w:t>
      </w:r>
    </w:p>
    <w:p w14:paraId="6D14674D"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բաժնի բովանդակությունը կարող է ներառվել ամփոփ փորձագիտական հաշվետվության՝ «Անվտանգության, որակի, արդյունավետության գնահատում» բաժնում:</w:t>
      </w:r>
    </w:p>
    <w:p w14:paraId="42CBE4B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Որպեսզի հաշվետվության վրա աշխատող անձինք ունենան բոլոր նշանակալի արդյունքներն ամբողջությամբ գնահատելու հնարավորութուն, անհրաժեշտ է սույն բաժինը կազմել հնարավորինս մանրամասն: </w:t>
      </w:r>
    </w:p>
    <w:p w14:paraId="23112D8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դեղաբանական հետազոտությունների հիմնական արդյունքները </w:t>
      </w:r>
      <w:r w:rsidR="00C54D75">
        <w:rPr>
          <w:rFonts w:ascii="Sylfaen" w:hAnsi="Sylfaen"/>
          <w:sz w:val="24"/>
          <w:szCs w:val="24"/>
        </w:rPr>
        <w:t>և</w:t>
      </w:r>
      <w:r w:rsidRPr="004B393A">
        <w:rPr>
          <w:rFonts w:ascii="Sylfaen" w:hAnsi="Sylfaen"/>
          <w:sz w:val="24"/>
          <w:szCs w:val="24"/>
        </w:rPr>
        <w:t xml:space="preserve"> վերլուծել ենթադրվող թերապ</w:t>
      </w:r>
      <w:r w:rsidR="00C54D75">
        <w:rPr>
          <w:rFonts w:ascii="Sylfaen" w:hAnsi="Sylfaen"/>
          <w:sz w:val="24"/>
          <w:szCs w:val="24"/>
        </w:rPr>
        <w:t>և</w:t>
      </w:r>
      <w:r w:rsidRPr="004B393A">
        <w:rPr>
          <w:rFonts w:ascii="Sylfaen" w:hAnsi="Sylfaen"/>
          <w:sz w:val="24"/>
          <w:szCs w:val="24"/>
        </w:rPr>
        <w:t>տիկ ցուցումների համար կիրառված մոդելների պիտանիությունը:</w:t>
      </w:r>
    </w:p>
    <w:p w14:paraId="650D2621"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Նա</w:t>
      </w:r>
      <w:r w:rsidR="00C54D75">
        <w:rPr>
          <w:rFonts w:ascii="Sylfaen" w:hAnsi="Sylfaen"/>
          <w:sz w:val="24"/>
          <w:szCs w:val="24"/>
        </w:rPr>
        <w:t>և</w:t>
      </w:r>
      <w:r w:rsidRPr="004B393A">
        <w:rPr>
          <w:rFonts w:ascii="Sylfaen" w:hAnsi="Sylfaen"/>
          <w:sz w:val="24"/>
          <w:szCs w:val="24"/>
        </w:rPr>
        <w:t xml:space="preserve"> հարկ է հակիրճ նշել դեղաբանական անվտանգության հետազոտությունների արդյունքները՝ ընդգծելով այն տվյալները, որոնք կարող են ուշադրություն հրավիրել մարդու մոտ հնարավոր անցանկալի ռեակցիաների վրա:</w:t>
      </w:r>
    </w:p>
    <w:p w14:paraId="447CAAC3" w14:textId="77777777" w:rsidR="008C76E0" w:rsidRPr="004B393A" w:rsidRDefault="008C76E0" w:rsidP="005A45A7">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Որպես այլընտրանքային տարբերակ, սույն բաժնում կարող են ընդգրկվել միայն հիմնական եզրահանգումները, ընդսմին, պահանջվում է «Համառոտ նկարագրություն» բաժնի առանձին մշակում:</w:t>
      </w:r>
    </w:p>
    <w:p w14:paraId="7DAFCE75" w14:textId="77777777" w:rsidR="008C76E0" w:rsidRPr="004B393A" w:rsidRDefault="008C76E0" w:rsidP="005A45A7">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 xml:space="preserve">Հարկ է առանձնացնել պատրաստուկի ներկայացված դոսյեի «նախակլինիկական ամփոփում» բաժինները, որոնց հետ փորձագետը կամ համաձայն է, կամ ոչ, </w:t>
      </w:r>
      <w:r w:rsidR="00C54D75">
        <w:rPr>
          <w:rFonts w:ascii="Sylfaen" w:hAnsi="Sylfaen"/>
          <w:sz w:val="24"/>
          <w:szCs w:val="24"/>
        </w:rPr>
        <w:t>և</w:t>
      </w:r>
      <w:r w:rsidRPr="004B393A">
        <w:rPr>
          <w:rFonts w:ascii="Sylfaen" w:hAnsi="Sylfaen"/>
          <w:sz w:val="24"/>
          <w:szCs w:val="24"/>
        </w:rPr>
        <w:t xml:space="preserve"> տալ դրանցում գործածված ձ</w:t>
      </w:r>
      <w:r w:rsidR="00C54D75">
        <w:rPr>
          <w:rFonts w:ascii="Sylfaen" w:hAnsi="Sylfaen"/>
          <w:sz w:val="24"/>
          <w:szCs w:val="24"/>
        </w:rPr>
        <w:t>և</w:t>
      </w:r>
      <w:r w:rsidRPr="004B393A">
        <w:rPr>
          <w:rFonts w:ascii="Sylfaen" w:hAnsi="Sylfaen"/>
          <w:sz w:val="24"/>
          <w:szCs w:val="24"/>
        </w:rPr>
        <w:t xml:space="preserve">ակերպումների </w:t>
      </w:r>
      <w:r w:rsidR="00C54D75">
        <w:rPr>
          <w:rFonts w:ascii="Sylfaen" w:hAnsi="Sylfaen"/>
          <w:sz w:val="24"/>
          <w:szCs w:val="24"/>
        </w:rPr>
        <w:t>և</w:t>
      </w:r>
      <w:r w:rsidRPr="004B393A">
        <w:rPr>
          <w:rFonts w:ascii="Sylfaen" w:hAnsi="Sylfaen"/>
          <w:sz w:val="24"/>
          <w:szCs w:val="24"/>
        </w:rPr>
        <w:t xml:space="preserve"> ԴԸԲ-ի համար տեղեկությունների պիտանիության վերաբերյալ մեկնաբանություններ: Հարկ է ստուգել դոսյեում </w:t>
      </w:r>
      <w:r w:rsidR="00C54D75">
        <w:rPr>
          <w:rFonts w:ascii="Sylfaen" w:hAnsi="Sylfaen"/>
          <w:sz w:val="24"/>
          <w:szCs w:val="24"/>
        </w:rPr>
        <w:t>և</w:t>
      </w:r>
      <w:r w:rsidRPr="004B393A">
        <w:rPr>
          <w:rFonts w:ascii="Sylfaen" w:hAnsi="Sylfaen"/>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հաշվետվության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5.1՝ «Դեղադինամիկ հատկություններ»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5C90539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w:t>
      </w:r>
      <w:r w:rsidRPr="004B393A">
        <w:rPr>
          <w:rFonts w:ascii="Sylfaen" w:hAnsi="Sylfaen"/>
          <w:sz w:val="24"/>
          <w:szCs w:val="24"/>
        </w:rPr>
        <w:tab/>
        <w:t xml:space="preserve">Դեղակինետիկա (2.6.4 </w:t>
      </w:r>
      <w:r w:rsidR="00C54D75">
        <w:rPr>
          <w:rFonts w:ascii="Sylfaen" w:hAnsi="Sylfaen"/>
          <w:sz w:val="24"/>
          <w:szCs w:val="24"/>
        </w:rPr>
        <w:t>և</w:t>
      </w:r>
      <w:r w:rsidRPr="004B393A">
        <w:rPr>
          <w:rFonts w:ascii="Sylfaen" w:hAnsi="Sylfaen"/>
          <w:sz w:val="24"/>
          <w:szCs w:val="24"/>
        </w:rPr>
        <w:t xml:space="preserve"> 4.2.2 մոդուլներ):</w:t>
      </w:r>
    </w:p>
    <w:p w14:paraId="27E4AAA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Դեղակինետիկ հետազոտություններ:</w:t>
      </w:r>
    </w:p>
    <w:p w14:paraId="0A7332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Սույն Բաժնում ներկայացվում է հետազոտությունների համառոտ ամփոփումը: Տոքսիկոկինետիկ հետազոտությունների նկարագրությունը ներկայացվում է բազմակի ներմուծման դեպքում թունավորությանը նվիրված բաժնում:</w:t>
      </w:r>
    </w:p>
    <w:p w14:paraId="0053890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3.1.</w:t>
      </w:r>
      <w:r w:rsidRPr="004B393A">
        <w:rPr>
          <w:rFonts w:ascii="Sylfaen" w:hAnsi="Sylfaen"/>
          <w:sz w:val="24"/>
          <w:szCs w:val="24"/>
        </w:rPr>
        <w:tab/>
        <w:t>Հետազոտության մեթոդները:</w:t>
      </w:r>
    </w:p>
    <w:p w14:paraId="1FBC41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Հաշվետվությունը պետք է պարունակի հակիրճ դիտարկում՝ կենսավերլուծական մեթոդիկաների </w:t>
      </w:r>
      <w:r w:rsidR="00C54D75">
        <w:rPr>
          <w:rFonts w:ascii="Sylfaen" w:hAnsi="Sylfaen"/>
          <w:sz w:val="24"/>
          <w:szCs w:val="24"/>
        </w:rPr>
        <w:t>և</w:t>
      </w:r>
      <w:r w:rsidRPr="004B393A">
        <w:rPr>
          <w:rFonts w:ascii="Sylfaen" w:hAnsi="Sylfaen"/>
          <w:sz w:val="24"/>
          <w:szCs w:val="24"/>
        </w:rPr>
        <w:t xml:space="preserve"> դրանց վալիդացման վերաբերյալ: Տոքսիկոկինետիկ հետազոտությունների դեպքում մեթոդիկաները պետք է համապատասխանեն պատշաճ լաբորատոր գործունեության կանոնների պահանջներին:</w:t>
      </w:r>
    </w:p>
    <w:p w14:paraId="1418B7C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Անհրաժեշտ է խտությունները հստակ նշել չափման միավորներով (օրինակ՝ մոլ/լ կամ մգ/մլ) </w:t>
      </w:r>
      <w:r w:rsidR="00C54D75">
        <w:rPr>
          <w:rFonts w:ascii="Sylfaen" w:hAnsi="Sylfaen"/>
          <w:sz w:val="24"/>
          <w:szCs w:val="24"/>
        </w:rPr>
        <w:t>և</w:t>
      </w:r>
      <w:r w:rsidRPr="004B393A">
        <w:rPr>
          <w:rFonts w:ascii="Sylfaen" w:hAnsi="Sylfaen"/>
          <w:sz w:val="24"/>
          <w:szCs w:val="24"/>
        </w:rPr>
        <w:t xml:space="preserve"> հնարավորության դեպքում ներկայացնել նույն չափայնությամբ տվյալներ:</w:t>
      </w:r>
    </w:p>
    <w:p w14:paraId="134F925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Գնահատման ժամանակ փորձագետը պետք է ներկայացնի մեկնաբանություններ՝ նշված տեղեկատվության </w:t>
      </w:r>
      <w:r w:rsidR="00C54D75">
        <w:rPr>
          <w:rFonts w:ascii="Sylfaen" w:hAnsi="Sylfaen"/>
          <w:sz w:val="24"/>
          <w:szCs w:val="24"/>
        </w:rPr>
        <w:t>և</w:t>
      </w:r>
      <w:r w:rsidRPr="004B393A">
        <w:rPr>
          <w:rFonts w:ascii="Sylfaen" w:hAnsi="Sylfaen"/>
          <w:sz w:val="24"/>
          <w:szCs w:val="24"/>
        </w:rPr>
        <w:t xml:space="preserve"> հետազոտությունների միջ</w:t>
      </w:r>
      <w:r w:rsidR="00C54D75">
        <w:rPr>
          <w:rFonts w:ascii="Sylfaen" w:hAnsi="Sylfaen"/>
          <w:sz w:val="24"/>
          <w:szCs w:val="24"/>
        </w:rPr>
        <w:t>և</w:t>
      </w:r>
      <w:r w:rsidRPr="004B393A">
        <w:rPr>
          <w:rFonts w:ascii="Sylfaen" w:hAnsi="Sylfaen"/>
          <w:sz w:val="24"/>
          <w:szCs w:val="24"/>
        </w:rPr>
        <w:t xml:space="preserve"> ցանկացած անհամապատասխանության առկայության վերաբերյալ:</w:t>
      </w:r>
    </w:p>
    <w:p w14:paraId="6EAE7BF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3.2.</w:t>
      </w:r>
      <w:r w:rsidRPr="004B393A">
        <w:rPr>
          <w:rFonts w:ascii="Sylfaen" w:hAnsi="Sylfaen"/>
          <w:sz w:val="24"/>
          <w:szCs w:val="24"/>
        </w:rPr>
        <w:tab/>
        <w:t>Կլանումը:</w:t>
      </w:r>
    </w:p>
    <w:p w14:paraId="36D64A1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դիտարկվող հարցերի ցանկը կարող է իր մեջ ներառել այդ թվում՝</w:t>
      </w:r>
    </w:p>
    <w:p w14:paraId="55E5E16C" w14:textId="0FFD3A6A"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եթե կիրառելի է, կլանման տեղի նկարագրությունը՝ ներքին ընդունման դեղաձ</w:t>
      </w:r>
      <w:r w:rsidR="00C54D75">
        <w:rPr>
          <w:rFonts w:ascii="Sylfaen" w:hAnsi="Sylfaen"/>
          <w:sz w:val="24"/>
          <w:szCs w:val="24"/>
        </w:rPr>
        <w:t>և</w:t>
      </w:r>
      <w:r w:rsidRPr="004B393A">
        <w:rPr>
          <w:rFonts w:ascii="Sylfaen" w:hAnsi="Sylfaen"/>
          <w:sz w:val="24"/>
          <w:szCs w:val="24"/>
        </w:rPr>
        <w:t xml:space="preserve">երի համար (որպես կանոն, </w:t>
      </w:r>
      <w:r w:rsidR="005F6A31">
        <w:rPr>
          <w:rFonts w:ascii="Sylfaen" w:hAnsi="Sylfaen"/>
          <w:sz w:val="24"/>
          <w:szCs w:val="24"/>
        </w:rPr>
        <w:t>հայտնի</w:t>
      </w:r>
      <w:r w:rsidRPr="004B393A">
        <w:rPr>
          <w:rFonts w:ascii="Sylfaen" w:hAnsi="Sylfaen"/>
          <w:sz w:val="24"/>
          <w:szCs w:val="24"/>
        </w:rPr>
        <w:t xml:space="preserve"> չէ, թե աղեստամոքսային տրակտի կոնկրետ որ հատվածներում է տեղի ունենում ներծծումը).</w:t>
      </w:r>
    </w:p>
    <w:p w14:paraId="6F05D07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կինետիկան՝ մեկանգամյա կամ բազմակի կիրառման դեպքում.</w:t>
      </w:r>
    </w:p>
    <w:p w14:paraId="4D1C269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դեղաչափերի կինետիկայի համամասնությունը.</w:t>
      </w:r>
    </w:p>
    <w:p w14:paraId="4C0197A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սեռային տարբերությունները (առկայության դեպքում).</w:t>
      </w:r>
    </w:p>
    <w:p w14:paraId="74245E0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միջտեսակային համեմատությունը (անհրաժեշտ է ներառել տվյալներ </w:t>
      </w:r>
      <w:r w:rsidRPr="004B393A">
        <w:rPr>
          <w:rFonts w:ascii="Sylfaen" w:hAnsi="Sylfaen"/>
          <w:sz w:val="24"/>
          <w:szCs w:val="24"/>
        </w:rPr>
        <w:lastRenderedPageBreak/>
        <w:t xml:space="preserve">կենդանիների այն տեսակների մասին, որոնք օգտագործվում են թունաբանական հետազոտություններում, </w:t>
      </w:r>
      <w:r w:rsidR="00C54D75">
        <w:rPr>
          <w:rFonts w:ascii="Sylfaen" w:hAnsi="Sylfaen"/>
          <w:sz w:val="24"/>
          <w:szCs w:val="24"/>
        </w:rPr>
        <w:t>և</w:t>
      </w:r>
      <w:r w:rsidRPr="004B393A">
        <w:rPr>
          <w:rFonts w:ascii="Sylfaen" w:hAnsi="Sylfaen"/>
          <w:sz w:val="24"/>
          <w:szCs w:val="24"/>
        </w:rPr>
        <w:t xml:space="preserve"> տեղեկատվություն՝ մարդու մոտ կիրառման վերաբերյալ).</w:t>
      </w:r>
    </w:p>
    <w:p w14:paraId="3238036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բացարձակ կենսամատչելիությունը.</w:t>
      </w:r>
    </w:p>
    <w:p w14:paraId="29E6ECD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չեզոքացնող հակամարմինների ձ</w:t>
      </w:r>
      <w:r w:rsidR="00C54D75">
        <w:rPr>
          <w:rFonts w:ascii="Sylfaen" w:hAnsi="Sylfaen"/>
          <w:sz w:val="24"/>
          <w:szCs w:val="24"/>
        </w:rPr>
        <w:t>և</w:t>
      </w:r>
      <w:r w:rsidRPr="004B393A">
        <w:rPr>
          <w:rFonts w:ascii="Sylfaen" w:hAnsi="Sylfaen"/>
          <w:sz w:val="24"/>
          <w:szCs w:val="24"/>
        </w:rPr>
        <w:t>ավորումը (կենսատեխնոլոգիական պատրաստուկների համար):</w:t>
      </w:r>
    </w:p>
    <w:p w14:paraId="1B19DCD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Խորհուրդ է տրվում տվյալները ներկայացնել աղյուսակային տեսքով, ներառյալ՝ կենդանիների տեսակների, դեղաչափերի, պատրաստուկի ներմուծման եղանակի, C</w:t>
      </w:r>
      <w:r w:rsidRPr="004B393A">
        <w:rPr>
          <w:rFonts w:ascii="Sylfaen" w:hAnsi="Sylfaen"/>
          <w:sz w:val="24"/>
          <w:szCs w:val="24"/>
          <w:vertAlign w:val="subscript"/>
        </w:rPr>
        <w:t>max</w:t>
      </w:r>
      <w:r w:rsidRPr="004B393A">
        <w:rPr>
          <w:rFonts w:ascii="Sylfaen" w:hAnsi="Sylfaen"/>
          <w:sz w:val="24"/>
          <w:szCs w:val="24"/>
        </w:rPr>
        <w:t>, t</w:t>
      </w:r>
      <w:r w:rsidRPr="004B393A">
        <w:rPr>
          <w:rFonts w:ascii="Sylfaen" w:hAnsi="Sylfaen"/>
          <w:sz w:val="24"/>
          <w:szCs w:val="24"/>
          <w:vertAlign w:val="subscript"/>
        </w:rPr>
        <w:t>max</w:t>
      </w:r>
      <w:r w:rsidRPr="004B393A">
        <w:rPr>
          <w:rFonts w:ascii="Sylfaen" w:hAnsi="Sylfaen"/>
          <w:sz w:val="24"/>
          <w:szCs w:val="24"/>
        </w:rPr>
        <w:t>, AUC, t</w:t>
      </w:r>
      <w:r w:rsidRPr="004B393A">
        <w:rPr>
          <w:rFonts w:ascii="Sylfaen" w:hAnsi="Sylfaen"/>
          <w:sz w:val="24"/>
          <w:szCs w:val="24"/>
          <w:vertAlign w:val="subscript"/>
        </w:rPr>
        <w:t>½</w:t>
      </w:r>
      <w:r w:rsidRPr="004B393A">
        <w:rPr>
          <w:rFonts w:ascii="Sylfaen" w:hAnsi="Sylfaen"/>
          <w:sz w:val="24"/>
          <w:szCs w:val="24"/>
        </w:rPr>
        <w:t>, V</w:t>
      </w:r>
      <w:r w:rsidRPr="004B393A">
        <w:rPr>
          <w:rFonts w:ascii="Sylfaen" w:hAnsi="Sylfaen"/>
          <w:sz w:val="24"/>
          <w:szCs w:val="24"/>
          <w:vertAlign w:val="subscript"/>
        </w:rPr>
        <w:t>d</w:t>
      </w:r>
      <w:r w:rsidRPr="004B393A">
        <w:rPr>
          <w:rFonts w:ascii="Sylfaen" w:hAnsi="Sylfaen"/>
          <w:sz w:val="24"/>
          <w:szCs w:val="24"/>
        </w:rPr>
        <w:t>, Cl</w:t>
      </w:r>
      <w:r w:rsidRPr="004B393A">
        <w:rPr>
          <w:rFonts w:ascii="Sylfaen" w:hAnsi="Sylfaen"/>
          <w:sz w:val="24"/>
          <w:szCs w:val="24"/>
          <w:vertAlign w:val="subscript"/>
        </w:rPr>
        <w:t>t</w:t>
      </w:r>
      <w:r w:rsidRPr="004B393A">
        <w:rPr>
          <w:rFonts w:ascii="Sylfaen" w:hAnsi="Sylfaen"/>
          <w:sz w:val="24"/>
          <w:szCs w:val="24"/>
        </w:rPr>
        <w:t xml:space="preserve"> </w:t>
      </w:r>
      <w:r w:rsidR="00C54D75">
        <w:rPr>
          <w:rFonts w:ascii="Sylfaen" w:hAnsi="Sylfaen"/>
          <w:sz w:val="24"/>
          <w:szCs w:val="24"/>
        </w:rPr>
        <w:t>և</w:t>
      </w:r>
      <w:r w:rsidRPr="004B393A">
        <w:rPr>
          <w:rFonts w:ascii="Sylfaen" w:hAnsi="Sylfaen"/>
          <w:sz w:val="24"/>
          <w:szCs w:val="24"/>
        </w:rPr>
        <w:t xml:space="preserve"> f% պարամետրերի վերաբերյալ տեղեկությունները (ինչպես ցույց է տրված Գրանցման կանոնների թիվ 6 հավելվածի տվյալ բաժնի աղյուսակի օրինակում): Եթե դեղակինետիկան գծային է, ապա բավարար կլինի նկարագրել խմբերից (դեղաչափերից) որ</w:t>
      </w:r>
      <w:r w:rsidR="00C54D75">
        <w:rPr>
          <w:rFonts w:ascii="Sylfaen" w:hAnsi="Sylfaen"/>
          <w:sz w:val="24"/>
          <w:szCs w:val="24"/>
        </w:rPr>
        <w:t>և</w:t>
      </w:r>
      <w:r w:rsidRPr="004B393A">
        <w:rPr>
          <w:rFonts w:ascii="Sylfaen" w:hAnsi="Sylfaen"/>
          <w:sz w:val="24"/>
          <w:szCs w:val="24"/>
        </w:rPr>
        <w:t>է մեկի վերաբերյալ տվյալները:</w:t>
      </w:r>
    </w:p>
    <w:p w14:paraId="4A38DB13"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3.3.</w:t>
      </w:r>
      <w:r w:rsidRPr="004B393A">
        <w:rPr>
          <w:rFonts w:ascii="Sylfaen" w:hAnsi="Sylfaen"/>
          <w:sz w:val="24"/>
          <w:szCs w:val="24"/>
        </w:rPr>
        <w:tab/>
        <w:t>Բաշխումը:</w:t>
      </w:r>
    </w:p>
    <w:p w14:paraId="023934A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բաժնում անհրաժեշտ է դիտարկել հետ</w:t>
      </w:r>
      <w:r w:rsidR="00C54D75">
        <w:rPr>
          <w:rFonts w:ascii="Sylfaen" w:hAnsi="Sylfaen"/>
          <w:sz w:val="24"/>
          <w:szCs w:val="24"/>
        </w:rPr>
        <w:t>և</w:t>
      </w:r>
      <w:r w:rsidRPr="004B393A">
        <w:rPr>
          <w:rFonts w:ascii="Sylfaen" w:hAnsi="Sylfaen"/>
          <w:sz w:val="24"/>
          <w:szCs w:val="24"/>
        </w:rPr>
        <w:t>յալ հարցերը՝</w:t>
      </w:r>
    </w:p>
    <w:p w14:paraId="67A4DE5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հյուսվածքներում բաշխման ուսումնասիրության վերաբերյալ հետազոտություններում կիրառվող մեթոդը (օրինակ՝ ավտոռադիոգրաֆիկ վերլուծություն).</w:t>
      </w:r>
    </w:p>
    <w:p w14:paraId="3AF20E3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տարբեր տեսակների մոտ սպիտակուցների հետ կապումը (ալբումինի </w:t>
      </w:r>
      <w:r w:rsidR="00C54D75">
        <w:rPr>
          <w:rFonts w:ascii="Sylfaen" w:hAnsi="Sylfaen"/>
          <w:sz w:val="24"/>
          <w:szCs w:val="24"/>
        </w:rPr>
        <w:t>և</w:t>
      </w:r>
      <w:r w:rsidRPr="004B393A">
        <w:rPr>
          <w:rFonts w:ascii="Sylfaen" w:hAnsi="Sylfaen"/>
          <w:sz w:val="24"/>
          <w:szCs w:val="24"/>
        </w:rPr>
        <w:t xml:space="preserve"> այլն) նյութի չկապված ֆրակցիայի գնահատմամբ, այդ թվում՝ մարդու մոտ.</w:t>
      </w:r>
    </w:p>
    <w:p w14:paraId="731737D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բաշխումն արյան ձ</w:t>
      </w:r>
      <w:r w:rsidR="00C54D75">
        <w:rPr>
          <w:rFonts w:ascii="Sylfaen" w:hAnsi="Sylfaen"/>
          <w:sz w:val="24"/>
          <w:szCs w:val="24"/>
        </w:rPr>
        <w:t>և</w:t>
      </w:r>
      <w:r w:rsidRPr="004B393A">
        <w:rPr>
          <w:rFonts w:ascii="Sylfaen" w:hAnsi="Sylfaen"/>
          <w:sz w:val="24"/>
          <w:szCs w:val="24"/>
        </w:rPr>
        <w:t>ավոր տարրերում (չի հանդիսանում հետազոտությունների մշտական պարտադիր տեսակ), եթե կիրառելի է.</w:t>
      </w:r>
    </w:p>
    <w:p w14:paraId="5CC5AB8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ընկերքի միջով ներթափանցման հետազոտությունը.</w:t>
      </w:r>
    </w:p>
    <w:p w14:paraId="265299C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կապումը մելանինի հետ (հատուկ հետազոտություն պիգմենտավորված առնետների վրա).</w:t>
      </w:r>
    </w:p>
    <w:p w14:paraId="49E286E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տվյալներ՝ կրծքի կաթով պատրաստուկի դուրսբերման վերաբերյալ (հարկ է գնահատել առանձին):</w:t>
      </w:r>
    </w:p>
    <w:p w14:paraId="125DAEA0"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տեղեկություններ՝ հնարավոր օրգան-թիրախներում բաշխման աստիճանի վերաբերյալ՝ թունավորության </w:t>
      </w:r>
      <w:r w:rsidR="00C54D75">
        <w:rPr>
          <w:rFonts w:ascii="Sylfaen" w:hAnsi="Sylfaen"/>
          <w:sz w:val="24"/>
          <w:szCs w:val="24"/>
        </w:rPr>
        <w:t>և</w:t>
      </w:r>
      <w:r w:rsidRPr="004B393A">
        <w:rPr>
          <w:rFonts w:ascii="Sylfaen" w:hAnsi="Sylfaen"/>
          <w:sz w:val="24"/>
          <w:szCs w:val="24"/>
        </w:rPr>
        <w:t xml:space="preserve"> հյուսվածքներում պատրաստուկի կուտակման համատեքստում (ըստ հնարավորության) (մասնավորապես, այն հյուսվածքներում հյուսվածքասպեցիֆիկ անցանկալի ռեակցիաների առկայության դեպքում, որոնց մեջ նկատվում են կուտակումներ):</w:t>
      </w:r>
    </w:p>
    <w:p w14:paraId="2F00E2C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մանրամասն դիտարկել պլազմայի սպիտակուցների հետ նյութի կապվելու վերաբերյալ հարցը: Հարկ է ներկայացնել տվյալներ՝ մարդու մոտ պատրաստուկի կիրառման վերաբերյալ, </w:t>
      </w:r>
      <w:r w:rsidR="00C54D75">
        <w:rPr>
          <w:rFonts w:ascii="Sylfaen" w:hAnsi="Sylfaen"/>
          <w:sz w:val="24"/>
          <w:szCs w:val="24"/>
        </w:rPr>
        <w:t>և</w:t>
      </w:r>
      <w:r w:rsidRPr="004B393A">
        <w:rPr>
          <w:rFonts w:ascii="Sylfaen" w:hAnsi="Sylfaen"/>
          <w:sz w:val="24"/>
          <w:szCs w:val="24"/>
        </w:rPr>
        <w:t xml:space="preserve"> անցկացնել միջտեսակային համեմատություն: Հարկ է գնահատել տարբեր տեսակների մոտ նյութի չկապված ֆրակցիայի խտությունների արժեքների համեմատության անհրաժեշտությունը:</w:t>
      </w:r>
    </w:p>
    <w:p w14:paraId="5008BE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Մելանինի հետ կապվածությունը վկայող փաստերի առկայության դեպքում հարկ է քննարկել ֆոտոտոքսիկության գնահատման անհրաժեշտության հարցը (օրինակ՝ հաշվի առնելով լույսի կլանման աստիճանը), ԴՆԹ-ի հետ կապվածության հնարավորությունը:</w:t>
      </w:r>
    </w:p>
    <w:p w14:paraId="7A6F65FD"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Անհրաժեշտության դեպքում սույն բաժնում հարկ է նկարագրել ելքային պատրաստուկի բաշխման բնույթը՝ դրա մետաբոլիտների բաշխման հետ համեմատությամբ:</w:t>
      </w:r>
    </w:p>
    <w:p w14:paraId="1EA88B61" w14:textId="77777777" w:rsidR="008C76E0" w:rsidRPr="004B393A" w:rsidRDefault="008C76E0" w:rsidP="00CE376C">
      <w:pPr>
        <w:tabs>
          <w:tab w:val="left" w:pos="1134"/>
        </w:tabs>
        <w:spacing w:after="160" w:line="336" w:lineRule="auto"/>
        <w:ind w:firstLine="567"/>
        <w:jc w:val="both"/>
        <w:rPr>
          <w:rFonts w:ascii="Sylfaen" w:hAnsi="Sylfaen"/>
          <w:sz w:val="24"/>
          <w:szCs w:val="24"/>
        </w:rPr>
      </w:pPr>
      <w:r w:rsidRPr="004B393A">
        <w:rPr>
          <w:rFonts w:ascii="Sylfaen" w:hAnsi="Sylfaen"/>
          <w:sz w:val="24"/>
          <w:szCs w:val="24"/>
        </w:rPr>
        <w:t>3.4.</w:t>
      </w:r>
      <w:r w:rsidRPr="004B393A">
        <w:rPr>
          <w:rFonts w:ascii="Sylfaen" w:hAnsi="Sylfaen"/>
          <w:sz w:val="24"/>
          <w:szCs w:val="24"/>
        </w:rPr>
        <w:tab/>
        <w:t>Նյութափոխանակությունը:</w:t>
      </w:r>
    </w:p>
    <w:p w14:paraId="42F7D47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Սույն բաժնում դիտարկվում է հետ</w:t>
      </w:r>
      <w:r w:rsidR="00C54D75">
        <w:rPr>
          <w:rFonts w:ascii="Sylfaen" w:hAnsi="Sylfaen"/>
          <w:sz w:val="24"/>
          <w:szCs w:val="24"/>
        </w:rPr>
        <w:t>և</w:t>
      </w:r>
      <w:r w:rsidRPr="004B393A">
        <w:rPr>
          <w:rFonts w:ascii="Sylfaen" w:hAnsi="Sylfaen"/>
          <w:sz w:val="24"/>
          <w:szCs w:val="24"/>
        </w:rPr>
        <w:t>յալ տեղեկատվությունը՝</w:t>
      </w:r>
    </w:p>
    <w:p w14:paraId="389DC27A"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մետաբոլիտների քիմիական կառուցվածքն ու պարունակությունը կենսաբանական միջավայրերում (աղյուսակի տեսքով).</w:t>
      </w:r>
    </w:p>
    <w:p w14:paraId="173A8A7B"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նյութափոխանակության հնարավոր ուղիները (դոսյեում առկայության դեպքում հարկ է այն լրացնել սխեմայով).</w:t>
      </w:r>
    </w:p>
    <w:p w14:paraId="3BDF411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նախահամակարգային նյութափոխանակությունը (աղեստամոքսային տրակտի (լյարդի) միջով առաջին անգամ անցման էֆեկտները).</w:t>
      </w:r>
    </w:p>
    <w:p w14:paraId="7ED0CFD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in vitro նյութափոխանակությունը, առաջին հերթին (միկրոսոմալային) Р</w:t>
      </w:r>
      <w:r w:rsidRPr="004B393A">
        <w:rPr>
          <w:rFonts w:ascii="Sylfaen" w:hAnsi="Sylfaen"/>
          <w:sz w:val="24"/>
          <w:szCs w:val="24"/>
          <w:vertAlign w:val="subscript"/>
        </w:rPr>
        <w:t xml:space="preserve">450 </w:t>
      </w:r>
      <w:r w:rsidRPr="004B393A">
        <w:rPr>
          <w:rFonts w:ascii="Sylfaen" w:hAnsi="Sylfaen"/>
          <w:sz w:val="24"/>
          <w:szCs w:val="24"/>
        </w:rPr>
        <w:t>ցիտոքրոմի հետազոտությունները՝ ազգակցությունը, իզոձ</w:t>
      </w:r>
      <w:r w:rsidR="00C54D75">
        <w:rPr>
          <w:rFonts w:ascii="Sylfaen" w:hAnsi="Sylfaen"/>
          <w:sz w:val="24"/>
          <w:szCs w:val="24"/>
        </w:rPr>
        <w:t>և</w:t>
      </w:r>
      <w:r w:rsidRPr="004B393A">
        <w:rPr>
          <w:rFonts w:ascii="Sylfaen" w:hAnsi="Sylfaen"/>
          <w:sz w:val="24"/>
          <w:szCs w:val="24"/>
        </w:rPr>
        <w:t>երի նկատմամբ սուբստրատի սպեցիֆիկությունը, արգելակիչ ակտիվության հետազոտությունը (դրական արդյունքի դեպքում արգելակման տիպը՝ դարձելի, անդարձելի), դեղային փոխազդեցությունը (կլինիկորեն նշանակալի փոխադարձ կապեր): Անհրաժեշտության դեպքում նկարագրվում են ոչ միկրոսոմալային օքսիդացման, վերականգնման, հիդրոլիզի ռեակցիաները.</w:t>
      </w:r>
    </w:p>
    <w:p w14:paraId="2BC3608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ֆերմենտների ինդուկցիան.</w:t>
      </w:r>
    </w:p>
    <w:p w14:paraId="015BC01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նյութափոխանակության երկրորդ փուլը ( կոնյուգացիան) (առաջին հերթին in vivo հետազոտություններում):</w:t>
      </w:r>
    </w:p>
    <w:p w14:paraId="37E4F50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համեմատել մարդու </w:t>
      </w:r>
      <w:r w:rsidR="00C54D75">
        <w:rPr>
          <w:rFonts w:ascii="Sylfaen" w:hAnsi="Sylfaen"/>
          <w:sz w:val="24"/>
          <w:szCs w:val="24"/>
        </w:rPr>
        <w:t>և</w:t>
      </w:r>
      <w:r w:rsidRPr="004B393A">
        <w:rPr>
          <w:rFonts w:ascii="Sylfaen" w:hAnsi="Sylfaen"/>
          <w:sz w:val="24"/>
          <w:szCs w:val="24"/>
        </w:rPr>
        <w:t xml:space="preserve"> կենդանիների մոտ նյութափոխանակության բնույթը:</w:t>
      </w:r>
    </w:p>
    <w:p w14:paraId="659973CC" w14:textId="5855420A"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Անհրաժեշտ է նշել՝ արդյոք առկա են տեսակին հատուկ մետաբոլիտներ հատկապես այն դեպքում, եթե պատրաստուկի անվտանգության հետազոտություններում օգտագործվող կենդանիները մարդկանց մոտ </w:t>
      </w:r>
      <w:r w:rsidR="0085119E">
        <w:rPr>
          <w:rFonts w:ascii="Sylfaen" w:hAnsi="Sylfaen"/>
          <w:sz w:val="24"/>
          <w:szCs w:val="24"/>
        </w:rPr>
        <w:t>հայտ</w:t>
      </w:r>
      <w:r w:rsidRPr="004B393A">
        <w:rPr>
          <w:rFonts w:ascii="Sylfaen" w:hAnsi="Sylfaen"/>
          <w:sz w:val="24"/>
          <w:szCs w:val="24"/>
        </w:rPr>
        <w:t>նաբերվող մետաբոլիտներ չեն ձ</w:t>
      </w:r>
      <w:r w:rsidR="00C54D75">
        <w:rPr>
          <w:rFonts w:ascii="Sylfaen" w:hAnsi="Sylfaen"/>
          <w:sz w:val="24"/>
          <w:szCs w:val="24"/>
        </w:rPr>
        <w:t>և</w:t>
      </w:r>
      <w:r w:rsidRPr="004B393A">
        <w:rPr>
          <w:rFonts w:ascii="Sylfaen" w:hAnsi="Sylfaen"/>
          <w:sz w:val="24"/>
          <w:szCs w:val="24"/>
        </w:rPr>
        <w:t>ավորում:</w:t>
      </w:r>
    </w:p>
    <w:p w14:paraId="4AFC456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Նշված տեղեկատվությունը համարվում է կենդանիների օգտագործվող մոդելների պիտանիության գնահատման կար</w:t>
      </w:r>
      <w:r w:rsidR="00C54D75">
        <w:rPr>
          <w:rFonts w:ascii="Sylfaen" w:hAnsi="Sylfaen"/>
          <w:sz w:val="24"/>
          <w:szCs w:val="24"/>
        </w:rPr>
        <w:t>և</w:t>
      </w:r>
      <w:r w:rsidRPr="004B393A">
        <w:rPr>
          <w:rFonts w:ascii="Sylfaen" w:hAnsi="Sylfaen"/>
          <w:sz w:val="24"/>
          <w:szCs w:val="24"/>
        </w:rPr>
        <w:t>որ մասը:</w:t>
      </w:r>
    </w:p>
    <w:p w14:paraId="4AFE8622" w14:textId="77777777" w:rsidR="008C76E0" w:rsidRPr="004B393A" w:rsidRDefault="008C76E0" w:rsidP="004B393A">
      <w:pPr>
        <w:tabs>
          <w:tab w:val="left" w:pos="1134"/>
          <w:tab w:val="left" w:pos="1418"/>
        </w:tabs>
        <w:spacing w:after="160" w:line="360" w:lineRule="auto"/>
        <w:ind w:right="-1" w:firstLine="567"/>
        <w:jc w:val="both"/>
        <w:rPr>
          <w:rFonts w:ascii="Sylfaen" w:hAnsi="Sylfaen"/>
          <w:sz w:val="24"/>
          <w:szCs w:val="24"/>
        </w:rPr>
      </w:pPr>
      <w:r w:rsidRPr="004B393A">
        <w:rPr>
          <w:rFonts w:ascii="Sylfaen" w:hAnsi="Sylfaen"/>
          <w:sz w:val="24"/>
          <w:szCs w:val="24"/>
        </w:rPr>
        <w:t>3.5.</w:t>
      </w:r>
      <w:r w:rsidRPr="004B393A">
        <w:rPr>
          <w:rFonts w:ascii="Sylfaen" w:hAnsi="Sylfaen"/>
          <w:sz w:val="24"/>
          <w:szCs w:val="24"/>
        </w:rPr>
        <w:tab/>
        <w:t>Դուրսբերումը:</w:t>
      </w:r>
    </w:p>
    <w:p w14:paraId="216CB5C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Սույն բաժնում հարկ է հնարավորինս օգտագործել տվյալների աղյուսակային ներկայացումը: Նկարագրվում են պատրաստուկի դուրսբերման այն ուղիները, որոնք օրգանոսպեցիֆիկ թունավորության համար համարվում են նշանակալի:</w:t>
      </w:r>
    </w:p>
    <w:p w14:paraId="6286243A"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մոտ դուրսբերման եղանակների միջ</w:t>
      </w:r>
      <w:r w:rsidR="00C54D75">
        <w:rPr>
          <w:rFonts w:ascii="Sylfaen" w:hAnsi="Sylfaen"/>
          <w:sz w:val="24"/>
          <w:szCs w:val="24"/>
        </w:rPr>
        <w:t>և</w:t>
      </w:r>
      <w:r w:rsidRPr="004B393A">
        <w:rPr>
          <w:rFonts w:ascii="Sylfaen" w:hAnsi="Sylfaen"/>
          <w:sz w:val="24"/>
          <w:szCs w:val="24"/>
        </w:rPr>
        <w:t xml:space="preserve"> (այդ թվում՝ մետաբոլիտների) էական տարբերությունների առկայության դեպքում կենդանիների մոտ դուրսբերման ուղիները կարող են լինել պակաս կար</w:t>
      </w:r>
      <w:r w:rsidR="00C54D75">
        <w:rPr>
          <w:rFonts w:ascii="Sylfaen" w:hAnsi="Sylfaen"/>
          <w:sz w:val="24"/>
          <w:szCs w:val="24"/>
        </w:rPr>
        <w:t>և</w:t>
      </w:r>
      <w:r w:rsidRPr="004B393A">
        <w:rPr>
          <w:rFonts w:ascii="Sylfaen" w:hAnsi="Sylfaen"/>
          <w:sz w:val="24"/>
          <w:szCs w:val="24"/>
        </w:rPr>
        <w:t>որ թունավորության գնահատման համատեքստում՝ կապված մարդու մոտ դուրսբերման համար պատասխանատու համապատասխան օրգանի հետ:</w:t>
      </w:r>
    </w:p>
    <w:p w14:paraId="4F28A0D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lastRenderedPageBreak/>
        <w:t>Սույն բաժնում հարկ է նա</w:t>
      </w:r>
      <w:r w:rsidR="00C54D75">
        <w:rPr>
          <w:rFonts w:ascii="Sylfaen" w:hAnsi="Sylfaen"/>
          <w:sz w:val="24"/>
          <w:szCs w:val="24"/>
        </w:rPr>
        <w:t>և</w:t>
      </w:r>
      <w:r w:rsidRPr="004B393A">
        <w:rPr>
          <w:rFonts w:ascii="Sylfaen" w:hAnsi="Sylfaen"/>
          <w:sz w:val="24"/>
          <w:szCs w:val="24"/>
        </w:rPr>
        <w:t xml:space="preserve"> ներկայացնել տվյալներ </w:t>
      </w:r>
      <w:r w:rsidR="00C54D75">
        <w:rPr>
          <w:rFonts w:ascii="Sylfaen" w:hAnsi="Sylfaen"/>
          <w:sz w:val="24"/>
          <w:szCs w:val="24"/>
        </w:rPr>
        <w:t>և</w:t>
      </w:r>
      <w:r w:rsidRPr="004B393A">
        <w:rPr>
          <w:rFonts w:ascii="Sylfaen" w:hAnsi="Sylfaen"/>
          <w:sz w:val="24"/>
          <w:szCs w:val="24"/>
        </w:rPr>
        <w:t xml:space="preserve"> մեկնաբանություններ՝ նյութական հաշվեկշռի մասով:</w:t>
      </w:r>
    </w:p>
    <w:p w14:paraId="64AFDEF4"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3.6.</w:t>
      </w:r>
      <w:r w:rsidRPr="004B393A">
        <w:rPr>
          <w:rFonts w:ascii="Sylfaen" w:hAnsi="Sylfaen"/>
          <w:sz w:val="24"/>
          <w:szCs w:val="24"/>
        </w:rPr>
        <w:tab/>
        <w:t>Դեղակինետիկ դեղային փոխազդեցությունները:</w:t>
      </w:r>
    </w:p>
    <w:p w14:paraId="4A0917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Հարկ է հիմնական ուշադրություն դարձնել այն դեղապատրաստուկների հետ փոխազդեցությանը, որոնք կլինիկական գործունեության մեջ կարող են պոտենցիալ կերպով օգտագործվել համակցված թերապիայում՝ հետազոտվող պատրաստուկի հետ:</w:t>
      </w:r>
    </w:p>
    <w:p w14:paraId="59E9836C"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3.7.</w:t>
      </w:r>
      <w:r w:rsidRPr="004B393A">
        <w:rPr>
          <w:rFonts w:ascii="Sylfaen" w:hAnsi="Sylfaen"/>
          <w:sz w:val="24"/>
          <w:szCs w:val="24"/>
        </w:rPr>
        <w:tab/>
        <w:t>Այլ դեղակինետիկ հետազոտություններ:</w:t>
      </w:r>
    </w:p>
    <w:p w14:paraId="6E63A98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Անհրաժեշտության դեպքում հարկ է սույն բաժնում գործածել հետ</w:t>
      </w:r>
      <w:r w:rsidR="00C54D75">
        <w:rPr>
          <w:rFonts w:ascii="Sylfaen" w:hAnsi="Sylfaen"/>
          <w:sz w:val="24"/>
          <w:szCs w:val="24"/>
        </w:rPr>
        <w:t>և</w:t>
      </w:r>
      <w:r w:rsidRPr="004B393A">
        <w:rPr>
          <w:rFonts w:ascii="Sylfaen" w:hAnsi="Sylfaen"/>
          <w:sz w:val="24"/>
          <w:szCs w:val="24"/>
        </w:rPr>
        <w:t>յալ ենթավերնագրերը՝</w:t>
      </w:r>
    </w:p>
    <w:p w14:paraId="006AFA49"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կենդանիների մատղաշի վրա անցկացվող հետազոտություններ.</w:t>
      </w:r>
    </w:p>
    <w:p w14:paraId="23106104"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հղի կենդանիների վրա անցկացվող հետազոտություններ.</w:t>
      </w:r>
    </w:p>
    <w:p w14:paraId="4666AD85" w14:textId="77777777" w:rsidR="008C76E0" w:rsidRPr="004B393A" w:rsidRDefault="008C76E0" w:rsidP="004B393A">
      <w:pPr>
        <w:tabs>
          <w:tab w:val="left" w:pos="1418"/>
        </w:tabs>
        <w:spacing w:after="160" w:line="360" w:lineRule="auto"/>
        <w:ind w:firstLine="567"/>
        <w:jc w:val="both"/>
        <w:rPr>
          <w:rFonts w:ascii="Sylfaen" w:hAnsi="Sylfaen"/>
          <w:sz w:val="24"/>
          <w:szCs w:val="24"/>
        </w:rPr>
      </w:pPr>
      <w:r w:rsidRPr="004B393A">
        <w:rPr>
          <w:rFonts w:ascii="Sylfaen" w:hAnsi="Sylfaen"/>
          <w:sz w:val="24"/>
          <w:szCs w:val="24"/>
        </w:rPr>
        <w:t>որոշակի հիվանդությամբ տառապող կենդանիների մոդելների օգտագործմամբ անցկացվող հետազոտություններ:</w:t>
      </w:r>
    </w:p>
    <w:p w14:paraId="6C1BAF34"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3.8.</w:t>
      </w:r>
      <w:r w:rsidRPr="004B393A">
        <w:rPr>
          <w:rFonts w:ascii="Sylfaen" w:hAnsi="Sylfaen"/>
          <w:sz w:val="24"/>
          <w:szCs w:val="24"/>
        </w:rPr>
        <w:tab/>
        <w:t>Փորձագետի ընդհանուր եզրակացությունը՝ դեղակինետիկայի վերաբերյալ:</w:t>
      </w:r>
    </w:p>
    <w:p w14:paraId="7D1D44F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66EC9BB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Որպեսզի հաշվետվության վրա աշխատող անձինք ունենան օգուտ-ռիսկ հարաբերակցության պրոֆիլը գնահատելու հնարավորություն, անհրաժեշտ է սույն բաժնի վրա տարվող աշխատանքին վերաբերվել առանձնահատուկ ուշադրությամբ:</w:t>
      </w:r>
    </w:p>
    <w:p w14:paraId="1E1E946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իրականացնել առավել կար</w:t>
      </w:r>
      <w:r w:rsidR="00C54D75">
        <w:rPr>
          <w:rFonts w:ascii="Sylfaen" w:hAnsi="Sylfaen"/>
          <w:sz w:val="24"/>
          <w:szCs w:val="24"/>
        </w:rPr>
        <w:t>և</w:t>
      </w:r>
      <w:r w:rsidRPr="004B393A">
        <w:rPr>
          <w:rFonts w:ascii="Sylfaen" w:hAnsi="Sylfaen"/>
          <w:sz w:val="24"/>
          <w:szCs w:val="24"/>
        </w:rPr>
        <w:t xml:space="preserve">որ դեղակինետիկ բնութագրերի ընդհանուր ուսումնասիրություն, մեկնաբանել կենդանիների օգտագործված մոդելների պիտանիությունը մարդու մոտ դեղամիջոցի կիրառության </w:t>
      </w:r>
      <w:r w:rsidRPr="004B393A">
        <w:rPr>
          <w:rFonts w:ascii="Sylfaen" w:hAnsi="Sylfaen"/>
          <w:sz w:val="24"/>
          <w:szCs w:val="24"/>
        </w:rPr>
        <w:lastRenderedPageBreak/>
        <w:t>անվտանգության գնահատման համար թունավորության ուսումնասիրության ժամանակ՝ մասնավորապես նյութափոխանակության ուղիներում հնարավոր տարբերությունների առնչությամբ:</w:t>
      </w:r>
    </w:p>
    <w:p w14:paraId="1630BE04" w14:textId="77777777" w:rsidR="008C76E0" w:rsidRPr="004B393A" w:rsidRDefault="008C76E0" w:rsidP="004B393A">
      <w:pPr>
        <w:spacing w:after="160" w:line="360" w:lineRule="auto"/>
        <w:ind w:right="-1" w:firstLine="567"/>
        <w:jc w:val="both"/>
        <w:rPr>
          <w:rFonts w:ascii="Sylfaen" w:hAnsi="Sylfaen"/>
          <w:spacing w:val="-4"/>
          <w:sz w:val="24"/>
          <w:szCs w:val="24"/>
        </w:rPr>
      </w:pPr>
      <w:r w:rsidRPr="004B393A">
        <w:rPr>
          <w:rFonts w:ascii="Sylfaen" w:hAnsi="Sylfaen"/>
          <w:spacing w:val="-4"/>
          <w:sz w:val="24"/>
          <w:szCs w:val="24"/>
        </w:rPr>
        <w:t>Այլ կար</w:t>
      </w:r>
      <w:r w:rsidR="00C54D75">
        <w:rPr>
          <w:rFonts w:ascii="Sylfaen" w:hAnsi="Sylfaen"/>
          <w:spacing w:val="-4"/>
          <w:sz w:val="24"/>
          <w:szCs w:val="24"/>
        </w:rPr>
        <w:t>և</w:t>
      </w:r>
      <w:r w:rsidRPr="004B393A">
        <w:rPr>
          <w:rFonts w:ascii="Sylfaen" w:hAnsi="Sylfaen"/>
          <w:spacing w:val="-4"/>
          <w:sz w:val="24"/>
          <w:szCs w:val="24"/>
        </w:rPr>
        <w:t xml:space="preserve">որ ասպեկտների շարքին են դասվում այն էական տարբերությունները, որոնք առկա են կլանման (կենսամատչելիության), (միջանձնային) միջտեսակային փոփոխականության, էլիմինացման արագության </w:t>
      </w:r>
      <w:r w:rsidRPr="004B393A">
        <w:rPr>
          <w:rFonts w:ascii="Sylfaen" w:hAnsi="Sylfaen"/>
          <w:spacing w:val="-4"/>
          <w:sz w:val="24"/>
          <w:szCs w:val="24"/>
        </w:rPr>
        <w:br/>
        <w:t>(t</w:t>
      </w:r>
      <w:r w:rsidRPr="004B393A">
        <w:rPr>
          <w:rFonts w:ascii="Sylfaen" w:hAnsi="Sylfaen"/>
          <w:spacing w:val="-4"/>
          <w:sz w:val="24"/>
          <w:szCs w:val="24"/>
          <w:vertAlign w:val="subscript"/>
        </w:rPr>
        <w:t xml:space="preserve">½ </w:t>
      </w:r>
      <w:r w:rsidRPr="004B393A">
        <w:rPr>
          <w:rFonts w:ascii="Sylfaen" w:hAnsi="Sylfaen"/>
          <w:spacing w:val="-4"/>
          <w:sz w:val="24"/>
          <w:szCs w:val="24"/>
        </w:rPr>
        <w:t>-ի տարբեր արժեքները</w:t>
      </w:r>
      <w:r w:rsidRPr="004B393A">
        <w:rPr>
          <w:rStyle w:val="Bodytext295pt"/>
          <w:rFonts w:ascii="Sylfaen" w:eastAsiaTheme="minorHAnsi" w:hAnsi="Sylfaen"/>
          <w:b w:val="0"/>
          <w:spacing w:val="-4"/>
          <w:sz w:val="24"/>
          <w:szCs w:val="24"/>
        </w:rPr>
        <w:t>)</w:t>
      </w:r>
      <w:r w:rsidRPr="004B393A">
        <w:rPr>
          <w:rFonts w:ascii="Sylfaen" w:hAnsi="Sylfaen"/>
          <w:spacing w:val="-4"/>
          <w:sz w:val="24"/>
          <w:szCs w:val="24"/>
        </w:rPr>
        <w:t xml:space="preserve"> </w:t>
      </w:r>
      <w:r w:rsidR="00C54D75">
        <w:rPr>
          <w:rFonts w:ascii="Sylfaen" w:hAnsi="Sylfaen"/>
          <w:spacing w:val="-4"/>
          <w:sz w:val="24"/>
          <w:szCs w:val="24"/>
        </w:rPr>
        <w:t>և</w:t>
      </w:r>
      <w:r w:rsidRPr="004B393A">
        <w:rPr>
          <w:rFonts w:ascii="Sylfaen" w:hAnsi="Sylfaen"/>
          <w:spacing w:val="-4"/>
          <w:sz w:val="24"/>
          <w:szCs w:val="24"/>
        </w:rPr>
        <w:t xml:space="preserve"> այլ ցուցանիշներում:</w:t>
      </w:r>
    </w:p>
    <w:p w14:paraId="66F65D91" w14:textId="6DC73F19"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Ապա անհրաժեշտ է ուսումնասիրել այլ հարցեր, որոնք կար</w:t>
      </w:r>
      <w:r w:rsidR="00C54D75">
        <w:rPr>
          <w:rFonts w:ascii="Sylfaen" w:hAnsi="Sylfaen"/>
          <w:sz w:val="24"/>
          <w:szCs w:val="24"/>
        </w:rPr>
        <w:t>և</w:t>
      </w:r>
      <w:r w:rsidRPr="004B393A">
        <w:rPr>
          <w:rFonts w:ascii="Sylfaen" w:hAnsi="Sylfaen"/>
          <w:sz w:val="24"/>
          <w:szCs w:val="24"/>
        </w:rPr>
        <w:t xml:space="preserve">որ նշանակություն ունեն անվտանգության գնահատման համար, օրինակ՝ օրգան-թիրախներում բաշխման բնույթը, դուրսբերման ուղիները, դեղաբանորեն ակտիվ մետաբոլիտները: Նկարագրել </w:t>
      </w:r>
      <w:r w:rsidR="00003ABD">
        <w:rPr>
          <w:rFonts w:ascii="Sylfaen" w:hAnsi="Sylfaen"/>
          <w:sz w:val="24"/>
          <w:szCs w:val="24"/>
        </w:rPr>
        <w:t>հայտնաբերված</w:t>
      </w:r>
      <w:r w:rsidRPr="004B393A">
        <w:rPr>
          <w:rFonts w:ascii="Sylfaen" w:hAnsi="Sylfaen"/>
          <w:sz w:val="24"/>
          <w:szCs w:val="24"/>
        </w:rPr>
        <w:t xml:space="preserve"> միջտեսակային տարբերություններն ու անցկացնել համեմատություն հնարավոր կլինիկական իրադրության հետ։</w:t>
      </w:r>
    </w:p>
    <w:p w14:paraId="147073C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կարող են պարունակվել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բաժնի տեքստը պետք է մշակվի առանձին:</w:t>
      </w:r>
    </w:p>
    <w:p w14:paraId="39161C3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pacing w:val="-4"/>
          <w:sz w:val="24"/>
          <w:szCs w:val="24"/>
        </w:rPr>
        <w:t xml:space="preserve">Հարկ է ստուգել դոսյեում </w:t>
      </w:r>
      <w:r w:rsidR="00C54D75">
        <w:rPr>
          <w:rFonts w:ascii="Sylfaen" w:hAnsi="Sylfaen"/>
          <w:spacing w:val="-4"/>
          <w:sz w:val="24"/>
          <w:szCs w:val="24"/>
        </w:rPr>
        <w:t>և</w:t>
      </w:r>
      <w:r w:rsidRPr="004B393A">
        <w:rPr>
          <w:rFonts w:ascii="Sylfaen" w:hAnsi="Sylfaen"/>
          <w:spacing w:val="-4"/>
          <w:sz w:val="24"/>
          <w:szCs w:val="24"/>
        </w:rPr>
        <w:t xml:space="preserve"> ԴԸԲ-ում տեքստի համապատասխանությունը (մասնավորապես՝ հաշվետվության 5.3՝ «Նախակլինիկական հետազոտությունների անվտանգության տվյալներ» բաժնում, ինչպես նա</w:t>
      </w:r>
      <w:r w:rsidR="00C54D75">
        <w:rPr>
          <w:rFonts w:ascii="Sylfaen" w:hAnsi="Sylfaen"/>
          <w:spacing w:val="-4"/>
          <w:sz w:val="24"/>
          <w:szCs w:val="24"/>
        </w:rPr>
        <w:t>և</w:t>
      </w:r>
      <w:r w:rsidRPr="004B393A">
        <w:rPr>
          <w:rFonts w:ascii="Sylfaen" w:hAnsi="Sylfaen"/>
          <w:spacing w:val="-4"/>
          <w:sz w:val="24"/>
          <w:szCs w:val="24"/>
        </w:rPr>
        <w:t xml:space="preserve"> հաշվետվության 5.2՝ «Դեղադինամիկ հատկություններ», 4.3՝ «Հակացուցումներ», 4.5՝ «Դեղային փոխազդեցություններ», 4.6՝ «Հղիություն </w:t>
      </w:r>
      <w:r w:rsidR="00C54D75">
        <w:rPr>
          <w:rFonts w:ascii="Sylfaen" w:hAnsi="Sylfaen"/>
          <w:spacing w:val="-4"/>
          <w:sz w:val="24"/>
          <w:szCs w:val="24"/>
        </w:rPr>
        <w:t>և</w:t>
      </w:r>
      <w:r w:rsidRPr="004B393A">
        <w:rPr>
          <w:rFonts w:ascii="Sylfaen" w:hAnsi="Sylfaen"/>
          <w:spacing w:val="-4"/>
          <w:sz w:val="24"/>
          <w:szCs w:val="24"/>
        </w:rPr>
        <w:t xml:space="preserve"> կրծքով կերակրում» բաժիններում), ինչպես նա</w:t>
      </w:r>
      <w:r w:rsidR="00C54D75">
        <w:rPr>
          <w:rFonts w:ascii="Sylfaen" w:hAnsi="Sylfaen"/>
          <w:spacing w:val="-4"/>
          <w:sz w:val="24"/>
          <w:szCs w:val="24"/>
        </w:rPr>
        <w:t>և</w:t>
      </w:r>
      <w:r w:rsidRPr="004B393A">
        <w:rPr>
          <w:rFonts w:ascii="Sylfaen" w:hAnsi="Sylfaen"/>
          <w:spacing w:val="-4"/>
          <w:sz w:val="24"/>
          <w:szCs w:val="24"/>
        </w:rPr>
        <w:t xml:space="preserve"> հավաստիանալ, որ ԴԸԲ-ում պարունակվող տեղեկատվությունն ամբողջությամբ հաստատված</w:t>
      </w:r>
      <w:r w:rsidRPr="004B393A">
        <w:rPr>
          <w:rFonts w:ascii="Sylfaen" w:hAnsi="Sylfaen"/>
          <w:sz w:val="24"/>
          <w:szCs w:val="24"/>
        </w:rPr>
        <w:t xml:space="preserve"> է գիտական փորձաքննության արդյունքներով:</w:t>
      </w:r>
    </w:p>
    <w:p w14:paraId="2045470B"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4.</w:t>
      </w:r>
      <w:r w:rsidRPr="004B393A">
        <w:rPr>
          <w:rFonts w:ascii="Sylfaen" w:hAnsi="Sylfaen"/>
          <w:sz w:val="24"/>
          <w:szCs w:val="24"/>
        </w:rPr>
        <w:tab/>
        <w:t xml:space="preserve">Թունաբանություն (2.6.6 </w:t>
      </w:r>
      <w:r w:rsidR="00C54D75">
        <w:rPr>
          <w:rFonts w:ascii="Sylfaen" w:hAnsi="Sylfaen"/>
          <w:sz w:val="24"/>
          <w:szCs w:val="24"/>
        </w:rPr>
        <w:t>և</w:t>
      </w:r>
      <w:r w:rsidRPr="004B393A">
        <w:rPr>
          <w:rFonts w:ascii="Sylfaen" w:hAnsi="Sylfaen"/>
          <w:sz w:val="24"/>
          <w:szCs w:val="24"/>
        </w:rPr>
        <w:t xml:space="preserve"> 4.3.3 մոդուլներ):</w:t>
      </w:r>
    </w:p>
    <w:p w14:paraId="1CC33B67"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4.1.</w:t>
      </w:r>
      <w:r w:rsidRPr="004B393A">
        <w:rPr>
          <w:rFonts w:ascii="Sylfaen" w:hAnsi="Sylfaen"/>
          <w:sz w:val="24"/>
          <w:szCs w:val="24"/>
        </w:rPr>
        <w:tab/>
        <w:t>Թունավորությունը մեկանգամյա ներմուծման դեպքում:</w:t>
      </w:r>
    </w:p>
    <w:p w14:paraId="08CAA00F" w14:textId="1BA98E84"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 xml:space="preserve">Սույն բաժնում տեղեկատվությունն անհրաժեշտ է ընդգրկել պատշաճ </w:t>
      </w:r>
      <w:r w:rsidRPr="004B393A">
        <w:rPr>
          <w:rFonts w:ascii="Sylfaen" w:hAnsi="Sylfaen"/>
          <w:sz w:val="24"/>
          <w:szCs w:val="24"/>
        </w:rPr>
        <w:lastRenderedPageBreak/>
        <w:t xml:space="preserve">լաբորատոր գործունեության կանոններով սահմանված պահանջներին համապատասխան անցկացվող ստանդարտ հետազոտության համար նախատեսված հսկողության՝ 14 օրացուցային օր </w:t>
      </w:r>
      <w:r w:rsidR="00C54D75">
        <w:rPr>
          <w:rFonts w:ascii="Sylfaen" w:hAnsi="Sylfaen"/>
          <w:sz w:val="24"/>
          <w:szCs w:val="24"/>
        </w:rPr>
        <w:t>և</w:t>
      </w:r>
      <w:r w:rsidRPr="004B393A">
        <w:rPr>
          <w:rFonts w:ascii="Sylfaen" w:hAnsi="Sylfaen"/>
          <w:sz w:val="24"/>
          <w:szCs w:val="24"/>
        </w:rPr>
        <w:t xml:space="preserve"> ավելի տ</w:t>
      </w:r>
      <w:r w:rsidR="00C54D75">
        <w:rPr>
          <w:rFonts w:ascii="Sylfaen" w:hAnsi="Sylfaen"/>
          <w:sz w:val="24"/>
          <w:szCs w:val="24"/>
        </w:rPr>
        <w:t>և</w:t>
      </w:r>
      <w:r w:rsidRPr="004B393A">
        <w:rPr>
          <w:rFonts w:ascii="Sylfaen" w:hAnsi="Sylfaen"/>
          <w:sz w:val="24"/>
          <w:szCs w:val="24"/>
        </w:rPr>
        <w:t xml:space="preserve">ողությամբ </w:t>
      </w:r>
      <w:r w:rsidR="00C54D75">
        <w:rPr>
          <w:rFonts w:ascii="Sylfaen" w:hAnsi="Sylfaen"/>
          <w:sz w:val="24"/>
          <w:szCs w:val="24"/>
        </w:rPr>
        <w:t>և</w:t>
      </w:r>
      <w:r w:rsidRPr="004B393A">
        <w:rPr>
          <w:rFonts w:ascii="Sylfaen" w:hAnsi="Sylfaen"/>
          <w:sz w:val="24"/>
          <w:szCs w:val="24"/>
        </w:rPr>
        <w:t xml:space="preserve"> հակիրճ եզրակացություն կազմել այն մասին, թե արդյոք անցկացված հետազոտություններով </w:t>
      </w:r>
      <w:r w:rsidR="00FE4A71">
        <w:rPr>
          <w:rFonts w:ascii="Sylfaen" w:hAnsi="Sylfaen"/>
          <w:sz w:val="24"/>
          <w:szCs w:val="24"/>
        </w:rPr>
        <w:t xml:space="preserve">հայտնաբերվել </w:t>
      </w:r>
      <w:r w:rsidRPr="004B393A">
        <w:rPr>
          <w:rFonts w:ascii="Sylfaen" w:hAnsi="Sylfaen"/>
          <w:sz w:val="24"/>
          <w:szCs w:val="24"/>
        </w:rPr>
        <w:t xml:space="preserve"> են սուր թունավորության վառ </w:t>
      </w:r>
      <w:r w:rsidR="0085119E">
        <w:rPr>
          <w:rFonts w:ascii="Sylfaen" w:hAnsi="Sylfaen"/>
          <w:sz w:val="24"/>
          <w:szCs w:val="24"/>
        </w:rPr>
        <w:t>արտահայտվ</w:t>
      </w:r>
      <w:r w:rsidRPr="004B393A">
        <w:rPr>
          <w:rFonts w:ascii="Sylfaen" w:hAnsi="Sylfaen"/>
          <w:sz w:val="24"/>
          <w:szCs w:val="24"/>
        </w:rPr>
        <w:t>ած կամ թույլ ռեակցիաներ:</w:t>
      </w:r>
    </w:p>
    <w:p w14:paraId="606B176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Խորհուրդ է տրվում ներկայացնել տվյալներ՝ մահացու դեղաչափի կամ դիտարկվող առավելագույն ոչ մահացու դեղաչափի մոտավոր մակարդակի վերաբերյալ:</w:t>
      </w:r>
    </w:p>
    <w:p w14:paraId="076E580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սուր թունավորության կլինիկական նշանները (հակիրճ), մահացու ելքով դեպքերի բնույթն ու ժամանակը (մինչ</w:t>
      </w:r>
      <w:r w:rsidR="00C54D75">
        <w:rPr>
          <w:rFonts w:ascii="Sylfaen" w:hAnsi="Sylfaen"/>
          <w:sz w:val="24"/>
          <w:szCs w:val="24"/>
        </w:rPr>
        <w:t>և</w:t>
      </w:r>
      <w:r w:rsidRPr="004B393A">
        <w:rPr>
          <w:rFonts w:ascii="Sylfaen" w:hAnsi="Sylfaen"/>
          <w:sz w:val="24"/>
          <w:szCs w:val="24"/>
        </w:rPr>
        <w:t xml:space="preserve"> հսկողության ժամկետի ավարտը (այդ նույն օրը) կամ դրանից հետո):</w:t>
      </w:r>
    </w:p>
    <w:p w14:paraId="2F333366"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Ահրաժեշտության դեպքում ներկայացնել տեղեկություններ՝ օրգան-թիրախների, պաթոմորֆոլոգիական հետազոտությունների արդյունքների վերաբերյալ:</w:t>
      </w:r>
    </w:p>
    <w:p w14:paraId="5A478E65"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4.2.</w:t>
      </w:r>
      <w:r w:rsidRPr="004B393A">
        <w:rPr>
          <w:rFonts w:ascii="Sylfaen" w:hAnsi="Sylfaen"/>
          <w:sz w:val="24"/>
          <w:szCs w:val="24"/>
        </w:rPr>
        <w:tab/>
        <w:t>Թունավորությունը բազմակի ներմուծման դեպքում:</w:t>
      </w:r>
    </w:p>
    <w:p w14:paraId="062E9754"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Հիմնական հետազոտությունների վերաբերյալ տեղեկատվությունը պետք է բաժանված լինի ըստ կենդանիների տեսակների </w:t>
      </w:r>
      <w:r w:rsidR="00C54D75">
        <w:rPr>
          <w:rFonts w:ascii="Sylfaen" w:hAnsi="Sylfaen"/>
          <w:sz w:val="24"/>
          <w:szCs w:val="24"/>
        </w:rPr>
        <w:t>և</w:t>
      </w:r>
      <w:r w:rsidRPr="004B393A">
        <w:rPr>
          <w:rFonts w:ascii="Sylfaen" w:hAnsi="Sylfaen"/>
          <w:sz w:val="24"/>
          <w:szCs w:val="24"/>
        </w:rPr>
        <w:t xml:space="preserve"> պատրաստուկի ներմուծման ուղիների: Անհրաժեշտ է մեկնաբանել հետազոտությունների ծրագրերի՝ պատշաճ լաբորատոր գործունեության կանոնների պահանջներին ընդհանուր համապատասխանությունը </w:t>
      </w:r>
      <w:r w:rsidR="00C54D75">
        <w:rPr>
          <w:rFonts w:ascii="Sylfaen" w:hAnsi="Sylfaen"/>
          <w:sz w:val="24"/>
          <w:szCs w:val="24"/>
        </w:rPr>
        <w:t>և</w:t>
      </w:r>
      <w:r w:rsidRPr="004B393A">
        <w:rPr>
          <w:rFonts w:ascii="Sylfaen" w:hAnsi="Sylfaen"/>
          <w:sz w:val="24"/>
          <w:szCs w:val="24"/>
        </w:rPr>
        <w:t xml:space="preserve"> դրանից շեղումների բոլոր տեղ գտած դեպքերը (օրինակ՝ հսկվող խմբի կենդանիների կոնտամինացիան):</w:t>
      </w:r>
    </w:p>
    <w:p w14:paraId="447034C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հետազոտությունների պլանի հակիրճ նկարագիրը (կենդանիների տոհմաբանական գծերը, ներմուծման ուղին, դոզավորման ռեժիմները, կենդանիների քանակը (սեռը, խումբը), վերականգնման խմբերը (առկայության դեպքում), տոքսիկոկինետիկ հետազոտությունները, եթե այդպիսիք անցկացվում են):</w:t>
      </w:r>
    </w:p>
    <w:p w14:paraId="1FA67AA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Անհրաժեշտ է մանրամասն նկարագրել հետազոտությունների հիմնական արդյունքները, այդ թվում՝ մահվան ելքով դեպքերը, մարմնի զանգվածի դինամիկան, համապատասխան լաբորատոր տվյալները, օրգան-թիրախներում պաթոմորֆոլոգիական փոփոխությունները, փոփոխությունների կախվածությունը դեղաչափից, ռեակցիայի առաջացման ժամանակը, ռեակցիայի լրջության աստիճանը, թունավոր էֆեկտներում առկա տարբերություններն ու դրանց տ</w:t>
      </w:r>
      <w:r w:rsidR="00C54D75">
        <w:rPr>
          <w:rFonts w:ascii="Sylfaen" w:hAnsi="Sylfaen"/>
          <w:sz w:val="24"/>
          <w:szCs w:val="24"/>
        </w:rPr>
        <w:t>և</w:t>
      </w:r>
      <w:r w:rsidRPr="004B393A">
        <w:rPr>
          <w:rFonts w:ascii="Sylfaen" w:hAnsi="Sylfaen"/>
          <w:sz w:val="24"/>
          <w:szCs w:val="24"/>
        </w:rPr>
        <w:t xml:space="preserve">ողությունը՝ կախված կենդանիների տեսակից </w:t>
      </w:r>
      <w:r w:rsidR="00C54D75">
        <w:rPr>
          <w:rFonts w:ascii="Sylfaen" w:hAnsi="Sylfaen"/>
          <w:sz w:val="24"/>
          <w:szCs w:val="24"/>
        </w:rPr>
        <w:t>և</w:t>
      </w:r>
      <w:r w:rsidRPr="004B393A">
        <w:rPr>
          <w:rFonts w:ascii="Sylfaen" w:hAnsi="Sylfaen"/>
          <w:sz w:val="24"/>
          <w:szCs w:val="24"/>
        </w:rPr>
        <w:t xml:space="preserve"> սեռից:</w:t>
      </w:r>
    </w:p>
    <w:p w14:paraId="50BC653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Նշել ընդգծված անցանկալի ներգործության բացակայության մակարդակը (NOAEL) կենդանիների տարբեր տեսակների համար, եթե այդպիսին սահմանվել է, նկարագրել կենդանիների մոտ տվյալ դեղաչափի էքսպոզիցիայի </w:t>
      </w:r>
      <w:r w:rsidR="00C54D75">
        <w:rPr>
          <w:rFonts w:ascii="Sylfaen" w:hAnsi="Sylfaen"/>
          <w:sz w:val="24"/>
          <w:szCs w:val="24"/>
        </w:rPr>
        <w:t>և</w:t>
      </w:r>
      <w:r w:rsidRPr="004B393A">
        <w:rPr>
          <w:rFonts w:ascii="Sylfaen" w:hAnsi="Sylfaen"/>
          <w:sz w:val="24"/>
          <w:szCs w:val="24"/>
        </w:rPr>
        <w:t xml:space="preserve"> մարդու մոտ պատրաստուկի առաջարկվող առավելագույն դեղաչափի էքսպոզիցիայի (էքսպոզիցիայի վերին շեմի) միջ</w:t>
      </w:r>
      <w:r w:rsidR="00C54D75">
        <w:rPr>
          <w:rFonts w:ascii="Sylfaen" w:hAnsi="Sylfaen"/>
          <w:sz w:val="24"/>
          <w:szCs w:val="24"/>
        </w:rPr>
        <w:t>և</w:t>
      </w:r>
      <w:r w:rsidRPr="004B393A">
        <w:rPr>
          <w:rFonts w:ascii="Sylfaen" w:hAnsi="Sylfaen"/>
          <w:sz w:val="24"/>
          <w:szCs w:val="24"/>
        </w:rPr>
        <w:t xml:space="preserve"> փոխադարձ կապը:</w:t>
      </w:r>
    </w:p>
    <w:p w14:paraId="66847F58" w14:textId="74D5E532"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անհրաժեշտ է ներառել տվյալներ այն մասին՝ արդյոք վերականգնման խմբում ռեակցիաների դարձելիություն </w:t>
      </w:r>
      <w:r w:rsidR="00FE4A71">
        <w:rPr>
          <w:rFonts w:ascii="Sylfaen" w:hAnsi="Sylfaen"/>
          <w:sz w:val="24"/>
          <w:szCs w:val="24"/>
        </w:rPr>
        <w:t xml:space="preserve">հայտնաբերվել </w:t>
      </w:r>
      <w:r w:rsidRPr="004B393A">
        <w:rPr>
          <w:rFonts w:ascii="Sylfaen" w:hAnsi="Sylfaen"/>
          <w:sz w:val="24"/>
          <w:szCs w:val="24"/>
        </w:rPr>
        <w:t xml:space="preserve"> է, թե՝ ոչ:</w:t>
      </w:r>
    </w:p>
    <w:p w14:paraId="041636ED"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մեկնաբանել տոքսիկոկինետիկ պարամետրերի (գծայնութուն, կախվածություն սեռից, կուտակում) մասին տեղեկությունները:</w:t>
      </w:r>
    </w:p>
    <w:p w14:paraId="6345E169"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Նշված թեստերում ներկայացված տեղեկությունների զգալի ծավալի ընկալումը հեշտացնելու համար խորհուրդ է տրվում գործածել աղյուսակներ կամ նկարներ:</w:t>
      </w:r>
    </w:p>
    <w:p w14:paraId="0AE565A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նշել հետազոտությունների գլխավոր արդյունքները, հակիրճ նկարագրել պատրաստուկի ազդեցության մեխանիզմն ու դեղապատրաստուկի կլինիկական կիրառության համար էքսպոզիցիայի վերին շեմը:</w:t>
      </w:r>
    </w:p>
    <w:p w14:paraId="1D791F05"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Կենսահամանման (կենսանման) պատրաստուկների համար, որպես կանոն, անցկացվում է տոքսիկության միայն մեկ հետազոտություն բազմակի ներմուծման դեպքում, ներառյալ՝ տոքսիկոկինետիկ պարամետրերի ուսումնասիրությունը: Տոքսիկոկինետիկ տվյալներն իրենց մեջ պարունակում են հակամարմինների տիտրերի, խաչաձ</w:t>
      </w:r>
      <w:r w:rsidR="00C54D75">
        <w:rPr>
          <w:rFonts w:ascii="Sylfaen" w:hAnsi="Sylfaen"/>
          <w:sz w:val="24"/>
          <w:szCs w:val="24"/>
        </w:rPr>
        <w:t>և</w:t>
      </w:r>
      <w:r w:rsidRPr="004B393A">
        <w:rPr>
          <w:rFonts w:ascii="Sylfaen" w:hAnsi="Sylfaen"/>
          <w:sz w:val="24"/>
          <w:szCs w:val="24"/>
        </w:rPr>
        <w:t xml:space="preserve"> ռեակտիվության </w:t>
      </w:r>
      <w:r w:rsidR="00C54D75">
        <w:rPr>
          <w:rFonts w:ascii="Sylfaen" w:hAnsi="Sylfaen"/>
          <w:sz w:val="24"/>
          <w:szCs w:val="24"/>
        </w:rPr>
        <w:t>և</w:t>
      </w:r>
      <w:r w:rsidRPr="004B393A">
        <w:rPr>
          <w:rFonts w:ascii="Sylfaen" w:hAnsi="Sylfaen"/>
          <w:sz w:val="24"/>
          <w:szCs w:val="24"/>
        </w:rPr>
        <w:t xml:space="preserve"> չեզոքացնող ունակության սահմանում:</w:t>
      </w:r>
    </w:p>
    <w:p w14:paraId="4AA7BF8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Նշված հետազոտությունները թույլ են տալիս որոշել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միջ</w:t>
      </w:r>
      <w:r w:rsidR="00C54D75">
        <w:rPr>
          <w:rFonts w:ascii="Sylfaen" w:hAnsi="Sylfaen"/>
          <w:sz w:val="24"/>
          <w:szCs w:val="24"/>
        </w:rPr>
        <w:t>և</w:t>
      </w:r>
      <w:r w:rsidRPr="004B393A">
        <w:rPr>
          <w:rFonts w:ascii="Sylfaen" w:hAnsi="Sylfaen"/>
          <w:sz w:val="24"/>
          <w:szCs w:val="24"/>
        </w:rPr>
        <w:t xml:space="preserve"> թունավոր </w:t>
      </w:r>
      <w:r w:rsidR="00C54D75">
        <w:rPr>
          <w:rFonts w:ascii="Sylfaen" w:hAnsi="Sylfaen"/>
          <w:sz w:val="24"/>
          <w:szCs w:val="24"/>
        </w:rPr>
        <w:t>և</w:t>
      </w:r>
      <w:r w:rsidRPr="004B393A">
        <w:rPr>
          <w:rFonts w:ascii="Sylfaen" w:hAnsi="Sylfaen"/>
          <w:sz w:val="24"/>
          <w:szCs w:val="24"/>
        </w:rPr>
        <w:t xml:space="preserve"> (կամ) իմունային պատասխանների նշանակալի տարբերությունները:</w:t>
      </w:r>
    </w:p>
    <w:p w14:paraId="206ABD0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կանոն, կենսահամանման (կենսանման) պատրաստուկների համար չի պահանջնում անցկացնել այլ ստանդարտ թունաբանական հետազոտություններ, ներառյալ՝ վերարտադրողական թունավորության, մուտագեն </w:t>
      </w:r>
      <w:r w:rsidR="00C54D75">
        <w:rPr>
          <w:rFonts w:ascii="Sylfaen" w:hAnsi="Sylfaen"/>
          <w:sz w:val="24"/>
          <w:szCs w:val="24"/>
        </w:rPr>
        <w:t>և</w:t>
      </w:r>
      <w:r w:rsidRPr="004B393A">
        <w:rPr>
          <w:rFonts w:ascii="Sylfaen" w:hAnsi="Sylfaen"/>
          <w:sz w:val="24"/>
          <w:szCs w:val="24"/>
        </w:rPr>
        <w:t xml:space="preserve"> քաղցկեղածին ազդեցության հետազոտությունները՝ բացառությամբ դեպքերի, երբ բազմակի ներմուծման դեպքում իրականացված թունավորության հետազոտության արդյունքներից ելնելով՝ առաջանում է այդպիսի հետազոտությունների անցկացման անհրաժեշտություն:</w:t>
      </w:r>
    </w:p>
    <w:p w14:paraId="39E1ED5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Տոքսիկոկինետիկա</w:t>
      </w:r>
    </w:p>
    <w:p w14:paraId="2B59EC02"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Սույն բաժնում պետք է նշված լինեն նա</w:t>
      </w:r>
      <w:r w:rsidR="00C54D75">
        <w:rPr>
          <w:rFonts w:ascii="Sylfaen" w:hAnsi="Sylfaen"/>
          <w:sz w:val="24"/>
          <w:szCs w:val="24"/>
        </w:rPr>
        <w:t>և</w:t>
      </w:r>
      <w:r w:rsidRPr="004B393A">
        <w:rPr>
          <w:rFonts w:ascii="Sylfaen" w:hAnsi="Sylfaen"/>
          <w:sz w:val="24"/>
          <w:szCs w:val="24"/>
        </w:rPr>
        <w:t xml:space="preserve"> կինետիկայի վերաբերյալ տվյալներ, որոնք ստացվել են հսկվող խմբի կենդանիների մոտ պլազմայի նմուշների վերլուծության հիման վրա:</w:t>
      </w:r>
    </w:p>
    <w:p w14:paraId="33BFC951" w14:textId="77777777" w:rsidR="008C76E0" w:rsidRPr="004B393A" w:rsidRDefault="008C76E0" w:rsidP="00CE376C">
      <w:pPr>
        <w:tabs>
          <w:tab w:val="left" w:pos="1134"/>
        </w:tabs>
        <w:spacing w:after="160" w:line="336" w:lineRule="auto"/>
        <w:ind w:right="-1" w:firstLine="567"/>
        <w:jc w:val="both"/>
        <w:rPr>
          <w:rFonts w:ascii="Sylfaen" w:hAnsi="Sylfaen"/>
          <w:sz w:val="24"/>
          <w:szCs w:val="24"/>
        </w:rPr>
      </w:pPr>
      <w:r w:rsidRPr="004B393A">
        <w:rPr>
          <w:rFonts w:ascii="Sylfaen" w:hAnsi="Sylfaen"/>
          <w:sz w:val="24"/>
          <w:szCs w:val="24"/>
        </w:rPr>
        <w:t>4.3.</w:t>
      </w:r>
      <w:r w:rsidRPr="004B393A">
        <w:rPr>
          <w:rFonts w:ascii="Sylfaen" w:hAnsi="Sylfaen"/>
          <w:sz w:val="24"/>
          <w:szCs w:val="24"/>
        </w:rPr>
        <w:tab/>
        <w:t>Գենոտոքսիկությունը։</w:t>
      </w:r>
    </w:p>
    <w:p w14:paraId="5F9AF1EE" w14:textId="77777777" w:rsidR="008C76E0" w:rsidRPr="004B393A" w:rsidRDefault="008C76E0" w:rsidP="00CE376C">
      <w:pPr>
        <w:spacing w:after="160" w:line="336" w:lineRule="auto"/>
        <w:ind w:right="-1" w:firstLine="567"/>
        <w:jc w:val="both"/>
        <w:rPr>
          <w:rFonts w:ascii="Sylfaen" w:hAnsi="Sylfaen"/>
          <w:sz w:val="24"/>
          <w:szCs w:val="24"/>
        </w:rPr>
      </w:pPr>
      <w:r w:rsidRPr="004B393A">
        <w:rPr>
          <w:rFonts w:ascii="Sylfaen" w:hAnsi="Sylfaen"/>
          <w:sz w:val="24"/>
          <w:szCs w:val="24"/>
        </w:rPr>
        <w:t>Անհրաժեշտ է հակիրճ նկարագրել անցկացված բոլոր հետազոտությունները:</w:t>
      </w:r>
    </w:p>
    <w:p w14:paraId="56401891"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 xml:space="preserve">Անհրաժեշտ է իրականացնել անցկացված թեստերի խմբավորում՝ համաձայն գենոտոքսիկության մակարդակի, այսինքն՝ մուտագեն ազդեցությանը (գեների մուտացիայի ինդուկցիային), in vitro քրոմոսոմային աբերացիաներին (կլաստոգենությանը), in vivo քրոմոսոմային աբերացիաներին (կլաստոգենությանը), ԴՆԹ-ի առաջնային վնասմանը </w:t>
      </w:r>
      <w:r w:rsidR="00C54D75">
        <w:rPr>
          <w:rFonts w:ascii="Sylfaen" w:hAnsi="Sylfaen"/>
          <w:sz w:val="24"/>
          <w:szCs w:val="24"/>
        </w:rPr>
        <w:t>և</w:t>
      </w:r>
      <w:r w:rsidRPr="004B393A">
        <w:rPr>
          <w:rFonts w:ascii="Sylfaen" w:hAnsi="Sylfaen"/>
          <w:sz w:val="24"/>
          <w:szCs w:val="24"/>
        </w:rPr>
        <w:t xml:space="preserve"> գենոտոքսիկ այլ էֆեկտներին համապատասխան:</w:t>
      </w:r>
    </w:p>
    <w:p w14:paraId="73FB5C19" w14:textId="77777777" w:rsidR="008C76E0" w:rsidRPr="004B393A" w:rsidRDefault="008C76E0" w:rsidP="00CE376C">
      <w:pPr>
        <w:spacing w:after="160" w:line="336" w:lineRule="auto"/>
        <w:ind w:firstLine="567"/>
        <w:jc w:val="both"/>
        <w:rPr>
          <w:rFonts w:ascii="Sylfaen" w:hAnsi="Sylfaen"/>
          <w:sz w:val="24"/>
          <w:szCs w:val="24"/>
        </w:rPr>
      </w:pPr>
      <w:r w:rsidRPr="004B393A">
        <w:rPr>
          <w:rFonts w:ascii="Sylfaen" w:hAnsi="Sylfaen"/>
          <w:sz w:val="24"/>
          <w:szCs w:val="24"/>
        </w:rPr>
        <w:t>Խորհուրդ է տրվում հետազոտությունների արդյունքները ներկայացնել աղյուսակային տեսքով (ինչպես ցույց է տրված Գրանցման կանոնների թիվ 6 հավելվածի սույն բաժնի աղյուսակի օրինակում)՝ տեքստային մեկնաբանությունների ավելացմամբ (ըստ անհրաժեշտության):</w:t>
      </w:r>
    </w:p>
    <w:p w14:paraId="0D091AB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Եթե in vitro փորձարկումները նշանակալի արդյունքներ չեն տվել, ապա միայն աղյուսակային տվյալներ ներկայացնելը բավարար է:</w:t>
      </w:r>
    </w:p>
    <w:p w14:paraId="31531DE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Սույն բաժնում անհրաժեշտ է դիտարկել in vivo թեստերում օգտագործված կենդանիների տեսակների պիտանիության հարցը </w:t>
      </w:r>
      <w:r w:rsidR="00C54D75">
        <w:rPr>
          <w:rFonts w:ascii="Sylfaen" w:hAnsi="Sylfaen"/>
          <w:sz w:val="24"/>
          <w:szCs w:val="24"/>
        </w:rPr>
        <w:t>և</w:t>
      </w:r>
      <w:r w:rsidRPr="004B393A">
        <w:rPr>
          <w:rFonts w:ascii="Sylfaen" w:hAnsi="Sylfaen"/>
          <w:sz w:val="24"/>
          <w:szCs w:val="24"/>
        </w:rPr>
        <w:t xml:space="preserve"> այն համակարգերը, որոնք կիրառվում են in vitro փորձարկումներում նյութափոխանակության (օրինակ՝ S9-ֆրակցիայի) ուսումնասիրության համար՝ անցկացնելով դրանց համեմատություն մարդու մոտ նյութափոխանակության ուղիների հետ: </w:t>
      </w:r>
    </w:p>
    <w:p w14:paraId="5CAFC41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In vivo թեստերի համար միշտ անհրաժեշտ է նշել տեղեկություններ՝ էքսպոզիցիայի մակարդակի վերաբերյալ:</w:t>
      </w:r>
    </w:p>
    <w:p w14:paraId="5E02B2F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Հարցերը, որոնց հարկ է անդրադառնալ գենոտոքսիկության փորձարկումները գնահատելիս, իրենց մեջ ներառում են՝</w:t>
      </w:r>
    </w:p>
    <w:p w14:paraId="2899B82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ա)</w:t>
      </w:r>
      <w:r w:rsidRPr="004B393A">
        <w:rPr>
          <w:rFonts w:ascii="Sylfaen" w:hAnsi="Sylfaen"/>
          <w:sz w:val="24"/>
          <w:szCs w:val="24"/>
        </w:rPr>
        <w:tab/>
        <w:t>in vitro փորձարկումների դեպքում՝</w:t>
      </w:r>
    </w:p>
    <w:p w14:paraId="2C3A900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ի՞նչ շտամներ (բջիջներ) են օգտագործվել </w:t>
      </w:r>
      <w:r w:rsidR="00C54D75">
        <w:rPr>
          <w:rFonts w:ascii="Sylfaen" w:hAnsi="Sylfaen"/>
          <w:sz w:val="24"/>
          <w:szCs w:val="24"/>
        </w:rPr>
        <w:t>և</w:t>
      </w:r>
      <w:r w:rsidRPr="004B393A">
        <w:rPr>
          <w:rFonts w:ascii="Sylfaen" w:hAnsi="Sylfaen"/>
          <w:sz w:val="24"/>
          <w:szCs w:val="24"/>
        </w:rPr>
        <w:t xml:space="preserve"> վերջնական կետերը. կիրառվող խտությունների ընտրությունը.</w:t>
      </w:r>
    </w:p>
    <w:p w14:paraId="5DB3360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կայունությունը միջավայրում (խտության (քայքայման արգասիքների) հսկողությունը).</w:t>
      </w:r>
    </w:p>
    <w:p w14:paraId="3F2D79B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նյութափոխանակության ընթացքում փոխակերպվող համակարգը, դրական </w:t>
      </w:r>
      <w:r w:rsidR="00C54D75">
        <w:rPr>
          <w:rFonts w:ascii="Sylfaen" w:hAnsi="Sylfaen"/>
          <w:sz w:val="24"/>
          <w:szCs w:val="24"/>
        </w:rPr>
        <w:t>և</w:t>
      </w:r>
      <w:r w:rsidRPr="004B393A">
        <w:rPr>
          <w:rFonts w:ascii="Sylfaen" w:hAnsi="Sylfaen"/>
          <w:sz w:val="24"/>
          <w:szCs w:val="24"/>
        </w:rPr>
        <w:t xml:space="preserve"> բացասական հսկողությունը, թերապիայի տ</w:t>
      </w:r>
      <w:r w:rsidR="00C54D75">
        <w:rPr>
          <w:rFonts w:ascii="Sylfaen" w:hAnsi="Sylfaen"/>
          <w:sz w:val="24"/>
          <w:szCs w:val="24"/>
        </w:rPr>
        <w:t>և</w:t>
      </w:r>
      <w:r w:rsidRPr="004B393A">
        <w:rPr>
          <w:rFonts w:ascii="Sylfaen" w:hAnsi="Sylfaen"/>
          <w:sz w:val="24"/>
          <w:szCs w:val="24"/>
        </w:rPr>
        <w:t>ողությունը (նմուշառման ժամանակը), դրական պատասխանի չափանիշները, խտություն-պատասխան փոխադարձ կապը, վերարտադրողականությունը.</w:t>
      </w:r>
    </w:p>
    <w:p w14:paraId="4EA28DD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բջիջների ցիտոտոկսիկությունը (կենսակայունությունը).</w:t>
      </w:r>
    </w:p>
    <w:p w14:paraId="4D2915DA"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բ)</w:t>
      </w:r>
      <w:r w:rsidRPr="004B393A">
        <w:rPr>
          <w:rFonts w:ascii="Sylfaen" w:hAnsi="Sylfaen"/>
          <w:sz w:val="24"/>
          <w:szCs w:val="24"/>
        </w:rPr>
        <w:tab/>
        <w:t>in vivo փորձարկումների դեպքում՝</w:t>
      </w:r>
    </w:p>
    <w:p w14:paraId="3C38195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շտամներ (կենդանիների տեսակներ, մոդելներ) են օգտագործվել, կենդանիների քանակն ու սեռը, դեղաչափերն ու էքսպոզիցիան.</w:t>
      </w:r>
    </w:p>
    <w:p w14:paraId="4F322EC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թունավորությամբ կամ կինետիկ պարամետրերով որոշված էքսպոզիցիան.</w:t>
      </w:r>
    </w:p>
    <w:p w14:paraId="533A276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կենդանիների </w:t>
      </w:r>
      <w:r w:rsidR="00C54D75">
        <w:rPr>
          <w:rFonts w:ascii="Sylfaen" w:hAnsi="Sylfaen"/>
          <w:sz w:val="24"/>
          <w:szCs w:val="24"/>
        </w:rPr>
        <w:t>և</w:t>
      </w:r>
      <w:r w:rsidRPr="004B393A">
        <w:rPr>
          <w:rFonts w:ascii="Sylfaen" w:hAnsi="Sylfaen"/>
          <w:sz w:val="24"/>
          <w:szCs w:val="24"/>
        </w:rPr>
        <w:t xml:space="preserve"> մարդու նյութափոխանակության տարբերությունները. </w:t>
      </w:r>
    </w:p>
    <w:p w14:paraId="79070F81"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թերապիայի տ</w:t>
      </w:r>
      <w:r w:rsidR="00C54D75">
        <w:rPr>
          <w:rFonts w:ascii="Sylfaen" w:hAnsi="Sylfaen"/>
          <w:sz w:val="24"/>
          <w:szCs w:val="24"/>
        </w:rPr>
        <w:t>և</w:t>
      </w:r>
      <w:r w:rsidRPr="004B393A">
        <w:rPr>
          <w:rFonts w:ascii="Sylfaen" w:hAnsi="Sylfaen"/>
          <w:sz w:val="24"/>
          <w:szCs w:val="24"/>
        </w:rPr>
        <w:t>ողությունը (նմուշառման ժամանակը).</w:t>
      </w:r>
    </w:p>
    <w:p w14:paraId="1EEACDB0" w14:textId="4A10C906"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գնահատման մասով </w:t>
      </w:r>
      <w:r w:rsidR="0056496B">
        <w:rPr>
          <w:rFonts w:ascii="Sylfaen" w:hAnsi="Sylfaen"/>
          <w:sz w:val="24"/>
          <w:szCs w:val="24"/>
        </w:rPr>
        <w:t>դիմումատու</w:t>
      </w:r>
      <w:r w:rsidRPr="004B393A">
        <w:rPr>
          <w:rFonts w:ascii="Sylfaen" w:hAnsi="Sylfaen"/>
          <w:sz w:val="24"/>
          <w:szCs w:val="24"/>
        </w:rPr>
        <w:t>ի կողմից առաջարկվող չափանիշները՝ որպես դրական պատասխան.</w:t>
      </w:r>
    </w:p>
    <w:p w14:paraId="30E19C4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դեղաչափ-ժամանակ-պատասխան կախվածությունը:</w:t>
      </w:r>
    </w:p>
    <w:p w14:paraId="5A35F4C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Գենոտոքսիկության թեստերի հավաքածուն հակիրճ նկարագրելու համար օգտագործվող ձ</w:t>
      </w:r>
      <w:r w:rsidR="00C54D75">
        <w:rPr>
          <w:rFonts w:ascii="Sylfaen" w:hAnsi="Sylfaen"/>
          <w:sz w:val="24"/>
          <w:szCs w:val="24"/>
        </w:rPr>
        <w:t>և</w:t>
      </w:r>
      <w:r w:rsidRPr="004B393A">
        <w:rPr>
          <w:rFonts w:ascii="Sylfaen" w:hAnsi="Sylfaen"/>
          <w:sz w:val="24"/>
          <w:szCs w:val="24"/>
        </w:rPr>
        <w:t>ակերպման օրինակը՝</w:t>
      </w:r>
    </w:p>
    <w:p w14:paraId="62FBBEE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«&lt;Х&gt; պատրաստուկի գենոտոքսիկության հետազոտությունն անց է կացվել բակտերիաների մոտ </w:t>
      </w:r>
      <w:r w:rsidR="00C54D75">
        <w:rPr>
          <w:rFonts w:ascii="Sylfaen" w:hAnsi="Sylfaen"/>
          <w:sz w:val="24"/>
          <w:szCs w:val="24"/>
        </w:rPr>
        <w:t>և</w:t>
      </w:r>
      <w:r w:rsidRPr="004B393A">
        <w:rPr>
          <w:rFonts w:ascii="Sylfaen" w:hAnsi="Sylfaen"/>
          <w:sz w:val="24"/>
          <w:szCs w:val="24"/>
        </w:rPr>
        <w:t xml:space="preserve"> կաթնասունների բջիջներում գենային մուտացիաները, ինչպես նա</w:t>
      </w:r>
      <w:r w:rsidR="00C54D75">
        <w:rPr>
          <w:rFonts w:ascii="Sylfaen" w:hAnsi="Sylfaen"/>
          <w:sz w:val="24"/>
          <w:szCs w:val="24"/>
        </w:rPr>
        <w:t>և</w:t>
      </w:r>
      <w:r w:rsidRPr="004B393A">
        <w:rPr>
          <w:rFonts w:ascii="Sylfaen" w:hAnsi="Sylfaen"/>
          <w:sz w:val="24"/>
          <w:szCs w:val="24"/>
        </w:rPr>
        <w:t xml:space="preserve"> in vitro </w:t>
      </w:r>
      <w:r w:rsidR="00C54D75">
        <w:rPr>
          <w:rFonts w:ascii="Sylfaen" w:hAnsi="Sylfaen"/>
          <w:sz w:val="24"/>
          <w:szCs w:val="24"/>
        </w:rPr>
        <w:t>և</w:t>
      </w:r>
      <w:r w:rsidRPr="004B393A">
        <w:rPr>
          <w:rFonts w:ascii="Sylfaen" w:hAnsi="Sylfaen"/>
          <w:sz w:val="24"/>
          <w:szCs w:val="24"/>
        </w:rPr>
        <w:t xml:space="preserve"> in vivo քրոմոսոմային աբերացիաներն ուսումնասիրելու եղանակով: Լրացուցիչ անց են կացվել ԴՆԹ-ի առաջնային վնասման </w:t>
      </w:r>
      <w:r w:rsidR="00C54D75">
        <w:rPr>
          <w:rFonts w:ascii="Sylfaen" w:hAnsi="Sylfaen"/>
          <w:sz w:val="24"/>
          <w:szCs w:val="24"/>
        </w:rPr>
        <w:t>և</w:t>
      </w:r>
      <w:r w:rsidRPr="004B393A">
        <w:rPr>
          <w:rFonts w:ascii="Sylfaen" w:hAnsi="Sylfaen"/>
          <w:sz w:val="24"/>
          <w:szCs w:val="24"/>
        </w:rPr>
        <w:t xml:space="preserve"> ուռուցքային բջիջների գոյացման in vitro թեստեր»:</w:t>
      </w:r>
    </w:p>
    <w:p w14:paraId="6ED834A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Փորձագիտական ամփոփագրի սույն բաժնում վերլուծության ենթակա ասպեկտներն են՝</w:t>
      </w:r>
    </w:p>
    <w:p w14:paraId="7768F17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in vitro կամ in vivo թեստերի դրական արդյունքները, </w:t>
      </w:r>
    </w:p>
    <w:p w14:paraId="10043362"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ազդեցության մեխանիզմի նկարագրությունը՝ մուտագեն կամ կլաստոգեն.</w:t>
      </w:r>
    </w:p>
    <w:p w14:paraId="0C33DF4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հնարավո՞ր է արդյոք շեմային արժեքների որոշմամբ մոտեցման կիրառումը, </w:t>
      </w:r>
      <w:r w:rsidR="00C54D75">
        <w:rPr>
          <w:rFonts w:ascii="Sylfaen" w:hAnsi="Sylfaen"/>
          <w:sz w:val="24"/>
          <w:szCs w:val="24"/>
        </w:rPr>
        <w:t>և</w:t>
      </w:r>
      <w:r w:rsidRPr="004B393A">
        <w:rPr>
          <w:rFonts w:ascii="Sylfaen" w:hAnsi="Sylfaen"/>
          <w:sz w:val="24"/>
          <w:szCs w:val="24"/>
        </w:rPr>
        <w:t xml:space="preserve"> եթե նման մոտեցումը հնարավոր է, ապա որո՞նք են անվտանգ ներգործության սահմանները՝ հաշվի առնելով պատրաստուկի խտությունը պլազմայում (մարդու մոտ էքսպոզիցիան).</w:t>
      </w:r>
    </w:p>
    <w:p w14:paraId="3D09E590"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եզրակացություն՝ գենոտոքսիկ պոտենցիալի վերաբերյալ:</w:t>
      </w:r>
    </w:p>
    <w:p w14:paraId="3FB88A52"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4.4.</w:t>
      </w:r>
      <w:r w:rsidRPr="004B393A">
        <w:rPr>
          <w:rFonts w:ascii="Sylfaen" w:hAnsi="Sylfaen"/>
          <w:sz w:val="24"/>
          <w:szCs w:val="24"/>
        </w:rPr>
        <w:tab/>
        <w:t>Քաղցկեղածին ազդեցությունը:</w:t>
      </w:r>
    </w:p>
    <w:p w14:paraId="259F50C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4.4.1.</w:t>
      </w:r>
      <w:r w:rsidRPr="004B393A">
        <w:rPr>
          <w:rFonts w:ascii="Sylfaen" w:hAnsi="Sylfaen"/>
          <w:sz w:val="24"/>
          <w:szCs w:val="24"/>
        </w:rPr>
        <w:tab/>
        <w:t>Երկարաժամկետ հետազոտություններ:</w:t>
      </w:r>
    </w:p>
    <w:p w14:paraId="6BEB4FE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անցկացված հետազոտությունների հակիրճ նկարագրությունը, նախընտրելի է դա անել աղյուսակի տեսքով, համապատասխան ենթավերնագրի ներքո (օրինակ՝ երկարաժամկետ հետազոտություններ, կարճաժամկետ հետազոտություններ </w:t>
      </w:r>
      <w:r w:rsidR="00C54D75">
        <w:rPr>
          <w:rFonts w:ascii="Sylfaen" w:hAnsi="Sylfaen"/>
          <w:sz w:val="24"/>
          <w:szCs w:val="24"/>
        </w:rPr>
        <w:t>և</w:t>
      </w:r>
      <w:r w:rsidRPr="004B393A">
        <w:rPr>
          <w:rFonts w:ascii="Sylfaen" w:hAnsi="Sylfaen"/>
          <w:sz w:val="24"/>
          <w:szCs w:val="24"/>
        </w:rPr>
        <w:t xml:space="preserve"> այլն, ինչպես նշված է Գրանցման կանոնների թիվ 6 հավելվածի սույն բաժնի աղյուսակի օրինակում):</w:t>
      </w:r>
    </w:p>
    <w:p w14:paraId="3D64B6FE" w14:textId="7F217FD3"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 xml:space="preserve">Եթե պատրաստուկի քաղցկեղածին ազդեցության հետազոտություն չի անցկացվել, ապա անհրաժեշտ է անցկացնել </w:t>
      </w:r>
      <w:r w:rsidR="0056496B">
        <w:rPr>
          <w:rFonts w:ascii="Sylfaen" w:hAnsi="Sylfaen"/>
          <w:sz w:val="24"/>
          <w:szCs w:val="24"/>
        </w:rPr>
        <w:t>դիմումատու</w:t>
      </w:r>
      <w:r w:rsidRPr="004B393A">
        <w:rPr>
          <w:rFonts w:ascii="Sylfaen" w:hAnsi="Sylfaen"/>
          <w:sz w:val="24"/>
          <w:szCs w:val="24"/>
        </w:rPr>
        <w:t xml:space="preserve">ի՝ այդպիսի հետազոտությունների կատարված չլինելու առնչությամբ հիմնավորման վերլուծություն: </w:t>
      </w:r>
    </w:p>
    <w:p w14:paraId="5BCD0E1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հակիրճ անդրադառնալ հետազոտությունների արդյունքներին, ներառյալ՝ նեոպլաստիկ փոփոխությունների </w:t>
      </w:r>
      <w:r w:rsidR="00C54D75">
        <w:rPr>
          <w:rFonts w:ascii="Sylfaen" w:hAnsi="Sylfaen"/>
          <w:sz w:val="24"/>
          <w:szCs w:val="24"/>
        </w:rPr>
        <w:t>և</w:t>
      </w:r>
      <w:r w:rsidRPr="004B393A">
        <w:rPr>
          <w:rFonts w:ascii="Sylfaen" w:hAnsi="Sylfaen"/>
          <w:sz w:val="24"/>
          <w:szCs w:val="24"/>
        </w:rPr>
        <w:t xml:space="preserve"> անհրաժեշտության դեպքում՝ նեոպլաստիկ փոփոխություններին չվերաբերող նշանակալի փոփոխությունների վերաբերյալ տվյալները: Ոչ նեոպլաստիկ փոփոխությունների նկարագրությունը պետք է ուղեկցվի բազմակի ներմուծման դեպքում թունավորության հետազոտությունների ընթացքում տեղի ունեցած հսկողությանն արված հղումներով: Խորհուրդ է տրվում արդյունքները ներկայացնել աղյուսակի տեսքով (ինչպես նշված է Գրանցման կանոնների թիվ 6 հավելվածի սույն բաժնի աղյուսակի օրինակում):</w:t>
      </w:r>
    </w:p>
    <w:p w14:paraId="64A307DC"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Սույն բաժնում մանրամասնեցում պահանջող ասպեկտները՝ կենդանիների տոհմաբանական գիծն ու սեռը, խմբերի (հսկվող խմբերի) թիվը, կենդանիների թիվը յուրաքանչյուր խմբում, պատրաստուկի ներմուծման ուղին, ներմուծման (էքսպոզիցիայի) տ</w:t>
      </w:r>
      <w:r w:rsidR="00C54D75">
        <w:rPr>
          <w:rFonts w:ascii="Sylfaen" w:hAnsi="Sylfaen"/>
          <w:sz w:val="24"/>
          <w:szCs w:val="24"/>
        </w:rPr>
        <w:t>և</w:t>
      </w:r>
      <w:r w:rsidRPr="004B393A">
        <w:rPr>
          <w:rFonts w:ascii="Sylfaen" w:hAnsi="Sylfaen"/>
          <w:sz w:val="24"/>
          <w:szCs w:val="24"/>
        </w:rPr>
        <w:t>ողությունը, ընդհանուր զարգացումը (մարմնի քաշը հավաքելը, սննդի գործածումը), կենսակայունության մակարդակը հետազոտության ավարտին, տոքսիկոկինետիկ պարամետրերը (աղյուսակի տեսքով ՝ նմուշառման օրը, AUC): Ստուգիչ նմուշներ վերցնելը.</w:t>
      </w:r>
    </w:p>
    <w:p w14:paraId="5D716BE5" w14:textId="7D289C21"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օրգանները, որոնցում ուռուցքային բջիջներ են </w:t>
      </w:r>
      <w:r w:rsidR="00FE4A71">
        <w:rPr>
          <w:rFonts w:ascii="Sylfaen" w:hAnsi="Sylfaen"/>
          <w:sz w:val="24"/>
          <w:szCs w:val="24"/>
        </w:rPr>
        <w:t xml:space="preserve">հայտնաբերվել </w:t>
      </w:r>
      <w:r w:rsidRPr="004B393A">
        <w:rPr>
          <w:rFonts w:ascii="Sylfaen" w:hAnsi="Sylfaen"/>
          <w:sz w:val="24"/>
          <w:szCs w:val="24"/>
        </w:rPr>
        <w:t>, տիպը (բարորակ կամ չարորակ), տարածվածության աստիճանը, նախաուռուցքային վիճակները, ուռուցքների տիպերի նկարագրությունը, օգտագործված վիճակագրական մեթոդները.</w:t>
      </w:r>
    </w:p>
    <w:p w14:paraId="63451C6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թունավոր ռեակցիաները, որոնք չեն նկատվել ավելի կարճ տ</w:t>
      </w:r>
      <w:r w:rsidR="00C54D75">
        <w:rPr>
          <w:rFonts w:ascii="Sylfaen" w:hAnsi="Sylfaen"/>
          <w:sz w:val="24"/>
          <w:szCs w:val="24"/>
        </w:rPr>
        <w:t>և</w:t>
      </w:r>
      <w:r w:rsidRPr="004B393A">
        <w:rPr>
          <w:rFonts w:ascii="Sylfaen" w:hAnsi="Sylfaen"/>
          <w:sz w:val="24"/>
          <w:szCs w:val="24"/>
        </w:rPr>
        <w:t>ողությամբ հետազոտությունների ընթացքում:</w:t>
      </w:r>
    </w:p>
    <w:p w14:paraId="6D5EE6E4"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4.4.2.</w:t>
      </w:r>
      <w:r w:rsidRPr="004B393A">
        <w:rPr>
          <w:rFonts w:ascii="Sylfaen" w:hAnsi="Sylfaen"/>
          <w:sz w:val="24"/>
          <w:szCs w:val="24"/>
        </w:rPr>
        <w:tab/>
        <w:t xml:space="preserve">Կարճաժամկետ </w:t>
      </w:r>
      <w:r w:rsidR="00C54D75">
        <w:rPr>
          <w:rFonts w:ascii="Sylfaen" w:hAnsi="Sylfaen"/>
          <w:sz w:val="24"/>
          <w:szCs w:val="24"/>
        </w:rPr>
        <w:t>և</w:t>
      </w:r>
      <w:r w:rsidRPr="004B393A">
        <w:rPr>
          <w:rFonts w:ascii="Sylfaen" w:hAnsi="Sylfaen"/>
          <w:sz w:val="24"/>
          <w:szCs w:val="24"/>
        </w:rPr>
        <w:t xml:space="preserve"> միջնաժամկետ հետազոտություններ:</w:t>
      </w:r>
    </w:p>
    <w:p w14:paraId="6CCCAC5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lastRenderedPageBreak/>
        <w:t>Հարկ է նկարագրել նոր (ոչ դասական) մոդելներ՝</w:t>
      </w:r>
    </w:p>
    <w:p w14:paraId="02FD6F9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մոդելի տեսակն ու դրա օգտագործման հիմնավորումը.</w:t>
      </w:r>
    </w:p>
    <w:p w14:paraId="4FAE9473"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արդյո՞ք գենոտոքսիկությունը հետազոտության առարկա է.</w:t>
      </w:r>
    </w:p>
    <w:p w14:paraId="7781DA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կենդանիների քանակն ու (էքսպոզիցիայի) ներմուծման տ</w:t>
      </w:r>
      <w:r w:rsidR="00C54D75">
        <w:rPr>
          <w:rFonts w:ascii="Sylfaen" w:hAnsi="Sylfaen"/>
          <w:sz w:val="24"/>
          <w:szCs w:val="24"/>
        </w:rPr>
        <w:t>և</w:t>
      </w:r>
      <w:r w:rsidRPr="004B393A">
        <w:rPr>
          <w:rFonts w:ascii="Sylfaen" w:hAnsi="Sylfaen"/>
          <w:sz w:val="24"/>
          <w:szCs w:val="24"/>
        </w:rPr>
        <w:t>ողությունը.</w:t>
      </w:r>
    </w:p>
    <w:p w14:paraId="4B9A8A2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դրական հսկողության </w:t>
      </w:r>
      <w:r w:rsidR="00C54D75">
        <w:rPr>
          <w:rFonts w:ascii="Sylfaen" w:hAnsi="Sylfaen"/>
          <w:sz w:val="24"/>
          <w:szCs w:val="24"/>
        </w:rPr>
        <w:t>և</w:t>
      </w:r>
      <w:r w:rsidRPr="004B393A">
        <w:rPr>
          <w:rFonts w:ascii="Sylfaen" w:hAnsi="Sylfaen"/>
          <w:sz w:val="24"/>
          <w:szCs w:val="24"/>
        </w:rPr>
        <w:t xml:space="preserve"> դրա պատասխանի գնահատականի օգտագործումը.</w:t>
      </w:r>
    </w:p>
    <w:p w14:paraId="02B36D77"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ստուգիչ նյութերի օգտագործումը համեմատության համար (համապատասխան դեպքերում).</w:t>
      </w:r>
    </w:p>
    <w:p w14:paraId="387B198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ուռուցքների առավել նշանակալի տիպերի վիճակագրական վերլուծությունը:</w:t>
      </w:r>
    </w:p>
    <w:p w14:paraId="658F9C8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4.4.3.</w:t>
      </w:r>
      <w:r w:rsidRPr="004B393A">
        <w:rPr>
          <w:rFonts w:ascii="Sylfaen" w:hAnsi="Sylfaen"/>
          <w:sz w:val="24"/>
          <w:szCs w:val="24"/>
        </w:rPr>
        <w:tab/>
        <w:t>Այլ հետազոտություններ:</w:t>
      </w:r>
    </w:p>
    <w:p w14:paraId="5174A5E8"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Հետազոտությունների այլ տիպերի (եթե այդպիսիք անցկացվել են) նկարագրությունը, օրինակ՝ ներգործության մեխանիզմի հետազոտությունները, որոնք ուղղված են պատրաստուկի կամ դրա մետաբոլիտների ուռուցքածին էֆեկտի բացատրությանը:</w:t>
      </w:r>
    </w:p>
    <w:p w14:paraId="030D9E5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4.5.</w:t>
      </w:r>
      <w:r w:rsidRPr="004B393A">
        <w:rPr>
          <w:rFonts w:ascii="Sylfaen" w:hAnsi="Sylfaen"/>
          <w:sz w:val="24"/>
          <w:szCs w:val="24"/>
        </w:rPr>
        <w:tab/>
        <w:t xml:space="preserve">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թունավորությունը:</w:t>
      </w:r>
    </w:p>
    <w:p w14:paraId="3C7FEFAE"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4.5.1.</w:t>
      </w:r>
      <w:r w:rsidRPr="004B393A">
        <w:rPr>
          <w:rFonts w:ascii="Sylfaen" w:hAnsi="Sylfaen"/>
          <w:sz w:val="24"/>
          <w:szCs w:val="24"/>
        </w:rPr>
        <w:tab/>
        <w:t xml:space="preserve">Հարկ է ներկայացնել անցկացված հետազոտությունների հակիրճ նկարագրությունը, նախընտրելի է դա անել աղյուսակի տեսքով (ինչպես ցույց է տրված Բժշկական կիրառման դեղամիջոցների գրանցման </w:t>
      </w:r>
      <w:r w:rsidR="00C54D75">
        <w:rPr>
          <w:rFonts w:ascii="Sylfaen" w:hAnsi="Sylfaen"/>
          <w:sz w:val="24"/>
          <w:szCs w:val="24"/>
        </w:rPr>
        <w:t>և</w:t>
      </w:r>
      <w:r w:rsidRPr="004B393A">
        <w:rPr>
          <w:rFonts w:ascii="Sylfaen" w:hAnsi="Sylfaen"/>
          <w:sz w:val="24"/>
          <w:szCs w:val="24"/>
        </w:rPr>
        <w:t xml:space="preserve"> փորձաքննության կանոնների թիվ 6 հավելվածի տվյալ բաժնի աղյուսակի օրինակում), ներառյալ՝ դեղաչափի ընտրությամբ հետազոտությունները:</w:t>
      </w:r>
    </w:p>
    <w:p w14:paraId="131AC70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4.5.2.</w:t>
      </w:r>
      <w:r w:rsidRPr="004B393A">
        <w:rPr>
          <w:rFonts w:ascii="Sylfaen" w:hAnsi="Sylfaen"/>
          <w:sz w:val="24"/>
          <w:szCs w:val="24"/>
        </w:rPr>
        <w:tab/>
        <w:t>Հարկ է ներկայացնել մեկնաբանություններ՝ տվյալ խմբում յուրաքանչյուր հիմնական հետազոտության՝ պատշաճ լաբորատոր գործունեության կանոններին համապատասխանության վերաբերյալ: Եթե աղյուսակում եղած տեղեկատվությունը բավարար չէ որոշակի հետազոտություն մանրամասն նկարագրելու համար, ապա անհրաժեշտ է այն փաստացի տվյալների տեսքով ներկայացնել ստոր</w:t>
      </w:r>
      <w:r w:rsidR="00C54D75">
        <w:rPr>
          <w:rFonts w:ascii="Sylfaen" w:hAnsi="Sylfaen"/>
          <w:sz w:val="24"/>
          <w:szCs w:val="24"/>
        </w:rPr>
        <w:t>և</w:t>
      </w:r>
      <w:r w:rsidRPr="004B393A">
        <w:rPr>
          <w:rFonts w:ascii="Sylfaen" w:hAnsi="Sylfaen"/>
          <w:sz w:val="24"/>
          <w:szCs w:val="24"/>
        </w:rPr>
        <w:t>՝ համապատասխան ենթավերնագրի ներքո:</w:t>
      </w:r>
    </w:p>
    <w:p w14:paraId="0551EF60"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lastRenderedPageBreak/>
        <w:t>4.5.3.</w:t>
      </w:r>
      <w:r w:rsidRPr="004B393A">
        <w:rPr>
          <w:rFonts w:ascii="Sylfaen" w:hAnsi="Sylfaen"/>
          <w:sz w:val="24"/>
          <w:szCs w:val="24"/>
        </w:rPr>
        <w:tab/>
        <w:t>Անհրաժեշտ է դիտարկել դեղապատրաստուկի դոսյեի այլ բաժիններում խաչաձ</w:t>
      </w:r>
      <w:r w:rsidR="00C54D75">
        <w:rPr>
          <w:rFonts w:ascii="Sylfaen" w:hAnsi="Sylfaen"/>
          <w:sz w:val="24"/>
          <w:szCs w:val="24"/>
        </w:rPr>
        <w:t>և</w:t>
      </w:r>
      <w:r w:rsidRPr="004B393A">
        <w:rPr>
          <w:rFonts w:ascii="Sylfaen" w:hAnsi="Sylfaen"/>
          <w:sz w:val="24"/>
          <w:szCs w:val="24"/>
        </w:rPr>
        <w:t xml:space="preserve"> հղումների կամ փաստացի տեղեկությունների տեսքով հիշատակված վերարտադրողական թունավորության ռեակցիաների հետ առնչություն ունեցող տեղեկատվությունը: Որպես օրինակ կարելի է վերլուծել բազմակի ներմուծման դեպքում թունավոր ազդեցության արդյունքում վերարտադրողական օրգանների պաթոմորֆոլոգիան, ներզատական համակարգի ազդեցությունները, դեղակինետիկ </w:t>
      </w:r>
      <w:r w:rsidR="00C54D75">
        <w:rPr>
          <w:rFonts w:ascii="Sylfaen" w:hAnsi="Sylfaen"/>
          <w:sz w:val="24"/>
          <w:szCs w:val="24"/>
        </w:rPr>
        <w:t>և</w:t>
      </w:r>
      <w:r w:rsidRPr="004B393A">
        <w:rPr>
          <w:rFonts w:ascii="Sylfaen" w:hAnsi="Sylfaen"/>
          <w:sz w:val="24"/>
          <w:szCs w:val="24"/>
        </w:rPr>
        <w:t xml:space="preserve"> դեղադինամիկ ցուցանիշները:</w:t>
      </w:r>
    </w:p>
    <w:p w14:paraId="3358E036"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4.5.4</w:t>
      </w:r>
      <w:r w:rsidRPr="004B393A">
        <w:rPr>
          <w:rFonts w:ascii="Sylfaen" w:hAnsi="Sylfaen"/>
          <w:sz w:val="24"/>
          <w:szCs w:val="24"/>
        </w:rPr>
        <w:tab/>
        <w:t xml:space="preserve">Հետազոտություններ, որոնցում պատրաստուկը ներմուծվում է ոչ սեռահասուն առանձնյակներին, </w:t>
      </w:r>
      <w:r w:rsidR="00C54D75">
        <w:rPr>
          <w:rFonts w:ascii="Sylfaen" w:hAnsi="Sylfaen"/>
          <w:sz w:val="24"/>
          <w:szCs w:val="24"/>
        </w:rPr>
        <w:t>և</w:t>
      </w:r>
      <w:r w:rsidRPr="004B393A">
        <w:rPr>
          <w:rFonts w:ascii="Sylfaen" w:hAnsi="Sylfaen"/>
          <w:sz w:val="24"/>
          <w:szCs w:val="24"/>
        </w:rPr>
        <w:t xml:space="preserve"> (կամ) անցկացվում է դրանց զարգացման հետագա գնահատում:</w:t>
      </w:r>
    </w:p>
    <w:p w14:paraId="739E432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Վերարտադրողական թունավորության վերաբերյալ եզրահանգումները:</w:t>
      </w:r>
    </w:p>
    <w:p w14:paraId="1982BFE1" w14:textId="77777777" w:rsidR="008C76E0" w:rsidRPr="004B393A" w:rsidRDefault="008C76E0" w:rsidP="000452CC">
      <w:pPr>
        <w:spacing w:after="160" w:line="384" w:lineRule="auto"/>
        <w:ind w:firstLine="567"/>
        <w:jc w:val="both"/>
        <w:rPr>
          <w:rFonts w:ascii="Sylfaen" w:hAnsi="Sylfaen"/>
          <w:sz w:val="24"/>
          <w:szCs w:val="24"/>
        </w:rPr>
      </w:pPr>
      <w:r w:rsidRPr="004B393A">
        <w:rPr>
          <w:rFonts w:ascii="Sylfaen" w:hAnsi="Sylfaen"/>
          <w:sz w:val="24"/>
          <w:szCs w:val="24"/>
        </w:rPr>
        <w:t xml:space="preserve">Հարկ է վերլուծել կիրառվող թեստ-համակարգերի համապատասխանությունը (օրինակ՝ կենդանիների տեսակները (տոհմաբանական գծերը))՝ օգտագործելով նյութափոխանակության ցուցանիշների, դեղակինետիկ </w:t>
      </w:r>
      <w:r w:rsidR="00C54D75">
        <w:rPr>
          <w:rFonts w:ascii="Sylfaen" w:hAnsi="Sylfaen"/>
          <w:sz w:val="24"/>
          <w:szCs w:val="24"/>
        </w:rPr>
        <w:t>և</w:t>
      </w:r>
      <w:r w:rsidRPr="004B393A">
        <w:rPr>
          <w:rFonts w:ascii="Sylfaen" w:hAnsi="Sylfaen"/>
          <w:sz w:val="24"/>
          <w:szCs w:val="24"/>
        </w:rPr>
        <w:t xml:space="preserve"> դեղադինամիկ պարամետրերի համեմատությունը կամ այլ սկզբունք: </w:t>
      </w:r>
    </w:p>
    <w:p w14:paraId="4807E1B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Անհրաժեշտ է նշել պատրաստուկի էքսպոզիցիայի գնահատականը </w:t>
      </w:r>
      <w:r w:rsidR="00C54D75">
        <w:rPr>
          <w:rFonts w:ascii="Sylfaen" w:hAnsi="Sylfaen"/>
          <w:sz w:val="24"/>
          <w:szCs w:val="24"/>
        </w:rPr>
        <w:t>և</w:t>
      </w:r>
      <w:r w:rsidRPr="004B393A">
        <w:rPr>
          <w:rFonts w:ascii="Sylfaen" w:hAnsi="Sylfaen"/>
          <w:sz w:val="24"/>
          <w:szCs w:val="24"/>
        </w:rPr>
        <w:t xml:space="preserve"> հղի </w:t>
      </w:r>
      <w:r w:rsidR="00C54D75">
        <w:rPr>
          <w:rFonts w:ascii="Sylfaen" w:hAnsi="Sylfaen"/>
          <w:sz w:val="24"/>
          <w:szCs w:val="24"/>
        </w:rPr>
        <w:t>և</w:t>
      </w:r>
      <w:r w:rsidRPr="004B393A">
        <w:rPr>
          <w:rFonts w:ascii="Sylfaen" w:hAnsi="Sylfaen"/>
          <w:sz w:val="24"/>
          <w:szCs w:val="24"/>
        </w:rPr>
        <w:t xml:space="preserve"> (կամ) կերակրող կենդանիների, ինչպես նա</w:t>
      </w:r>
      <w:r w:rsidR="00C54D75">
        <w:rPr>
          <w:rFonts w:ascii="Sylfaen" w:hAnsi="Sylfaen"/>
          <w:sz w:val="24"/>
          <w:szCs w:val="24"/>
        </w:rPr>
        <w:t>և</w:t>
      </w:r>
      <w:r w:rsidRPr="004B393A">
        <w:rPr>
          <w:rFonts w:ascii="Sylfaen" w:hAnsi="Sylfaen"/>
          <w:sz w:val="24"/>
          <w:szCs w:val="24"/>
        </w:rPr>
        <w:t xml:space="preserve"> սերնդի մոտ դրա բաշխման բնույթը (ներառյալ՝ կրծքի կաթի հետ դուրսբերման վերաբերյալ տվյալները):</w:t>
      </w:r>
    </w:p>
    <w:p w14:paraId="716A4406"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 xml:space="preserve">Հարկ է անցկացնել հետազոտությունների յուրաքանչյուր սպեցիֆիկ ասպեկտի քննադատական գնահատում </w:t>
      </w:r>
      <w:r w:rsidR="00C54D75">
        <w:rPr>
          <w:rFonts w:ascii="Sylfaen" w:hAnsi="Sylfaen"/>
          <w:sz w:val="24"/>
          <w:szCs w:val="24"/>
        </w:rPr>
        <w:t>և</w:t>
      </w:r>
      <w:r w:rsidRPr="004B393A">
        <w:rPr>
          <w:rFonts w:ascii="Sylfaen" w:hAnsi="Sylfaen"/>
          <w:sz w:val="24"/>
          <w:szCs w:val="24"/>
        </w:rPr>
        <w:t xml:space="preserve"> հակիրճ եզրահանգումներ անել նշանակալի արդյունքների առնչությամբ:</w:t>
      </w:r>
    </w:p>
    <w:p w14:paraId="14C09CA2" w14:textId="77777777" w:rsidR="008C76E0" w:rsidRPr="004B393A" w:rsidRDefault="008C76E0" w:rsidP="000452CC">
      <w:pPr>
        <w:spacing w:after="160" w:line="384" w:lineRule="auto"/>
        <w:ind w:right="-1" w:firstLine="567"/>
        <w:jc w:val="both"/>
        <w:rPr>
          <w:rFonts w:ascii="Sylfaen" w:hAnsi="Sylfaen"/>
          <w:sz w:val="24"/>
          <w:szCs w:val="24"/>
        </w:rPr>
      </w:pPr>
      <w:r w:rsidRPr="004B393A">
        <w:rPr>
          <w:rFonts w:ascii="Sylfaen" w:hAnsi="Sylfaen"/>
          <w:sz w:val="24"/>
          <w:szCs w:val="24"/>
        </w:rPr>
        <w:t>Հարկ է վերլուծել էքսպոզիցիայի շեմերն ու գնահատել այդ տվյալների կլինիկական նշանակությունը:</w:t>
      </w:r>
    </w:p>
    <w:p w14:paraId="3C45AF7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ներկայացնել սեփական հիմնավորված հանձնարարականներ՝ այդ տեղեկատվությունը ԴԸԲ-ում ընդգրկելու համար:</w:t>
      </w:r>
    </w:p>
    <w:p w14:paraId="58696669"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4.6.</w:t>
      </w:r>
      <w:r w:rsidRPr="004B393A">
        <w:rPr>
          <w:rFonts w:ascii="Sylfaen" w:hAnsi="Sylfaen"/>
          <w:sz w:val="24"/>
          <w:szCs w:val="24"/>
        </w:rPr>
        <w:tab/>
        <w:t>Տեղային տանելիությունը։</w:t>
      </w:r>
    </w:p>
    <w:p w14:paraId="5E8A9F7C"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հակիրճ նկարագրել՝ արդյոք պատրաստուկը գրգռիչ ազդեցություն ունեցել է դրա ներմուծման տեղում: Ըստ անհրաժեշտության (ենթամաշկային ներմուծման դեպքում)՝ այս բաժնում հարկ է ներառել տեղեկատվություն՝ զգայունացնող ազդեցության մասով հետազոտությունների մասին (կրկնելով այն հաշվետվության 4.7.1 բաժնում): </w:t>
      </w:r>
    </w:p>
    <w:p w14:paraId="071553FB"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4.7.</w:t>
      </w:r>
      <w:r w:rsidRPr="004B393A">
        <w:rPr>
          <w:rFonts w:ascii="Sylfaen" w:hAnsi="Sylfaen"/>
          <w:sz w:val="24"/>
          <w:szCs w:val="24"/>
        </w:rPr>
        <w:tab/>
        <w:t>Թունավորության այլ հետազոտություններ:</w:t>
      </w:r>
    </w:p>
    <w:p w14:paraId="5843884B"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անցկացված մյուս բոլոր հետազոտությունների առկայությունը </w:t>
      </w:r>
      <w:r w:rsidR="00C54D75">
        <w:rPr>
          <w:rFonts w:ascii="Sylfaen" w:hAnsi="Sylfaen"/>
          <w:sz w:val="24"/>
          <w:szCs w:val="24"/>
        </w:rPr>
        <w:t>և</w:t>
      </w:r>
      <w:r w:rsidRPr="004B393A">
        <w:rPr>
          <w:rFonts w:ascii="Sylfaen" w:hAnsi="Sylfaen"/>
          <w:sz w:val="24"/>
          <w:szCs w:val="24"/>
        </w:rPr>
        <w:t xml:space="preserve"> քննարկել ստացված արդյունքները:</w:t>
      </w:r>
    </w:p>
    <w:p w14:paraId="31D0835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4.7.1.</w:t>
      </w:r>
      <w:r w:rsidRPr="004B393A">
        <w:rPr>
          <w:rFonts w:ascii="Sylfaen" w:hAnsi="Sylfaen"/>
          <w:sz w:val="24"/>
          <w:szCs w:val="24"/>
        </w:rPr>
        <w:tab/>
        <w:t>Հակածնությունը:</w:t>
      </w:r>
    </w:p>
    <w:p w14:paraId="274C194B"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հակամարմինների ձ</w:t>
      </w:r>
      <w:r w:rsidR="00C54D75">
        <w:rPr>
          <w:rFonts w:ascii="Sylfaen" w:hAnsi="Sylfaen"/>
          <w:sz w:val="24"/>
          <w:szCs w:val="24"/>
        </w:rPr>
        <w:t>և</w:t>
      </w:r>
      <w:r w:rsidRPr="004B393A">
        <w:rPr>
          <w:rFonts w:ascii="Sylfaen" w:hAnsi="Sylfaen"/>
          <w:sz w:val="24"/>
          <w:szCs w:val="24"/>
        </w:rPr>
        <w:t xml:space="preserve">ավորման դեպքերը, զգայունացման ռեակցիաները (փորձարկումներ ծովախոզերի վրա, եթե դա ընդունելի է): Կենսահամանման (կենսանման) պատրաստուկների օգտագործման մասնավոր դեպքում անհրաժեշտ է հատուկ ուշադրություն դարձնել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պատրաստուկների իմունոգենության տարբերությունների գնահատմանը: Այստեղ հարկ է դիտարկել բոլոր հնարավոր հետ</w:t>
      </w:r>
      <w:r w:rsidR="00C54D75">
        <w:rPr>
          <w:rFonts w:ascii="Sylfaen" w:hAnsi="Sylfaen"/>
          <w:sz w:val="24"/>
          <w:szCs w:val="24"/>
        </w:rPr>
        <w:t>և</w:t>
      </w:r>
      <w:r w:rsidRPr="004B393A">
        <w:rPr>
          <w:rFonts w:ascii="Sylfaen" w:hAnsi="Sylfaen"/>
          <w:sz w:val="24"/>
          <w:szCs w:val="24"/>
        </w:rPr>
        <w:t xml:space="preserve">անքները կլինիկական արդյունավետության </w:t>
      </w:r>
      <w:r w:rsidR="00C54D75">
        <w:rPr>
          <w:rFonts w:ascii="Sylfaen" w:hAnsi="Sylfaen"/>
          <w:sz w:val="24"/>
          <w:szCs w:val="24"/>
        </w:rPr>
        <w:t>և</w:t>
      </w:r>
      <w:r w:rsidRPr="004B393A">
        <w:rPr>
          <w:rFonts w:ascii="Sylfaen" w:hAnsi="Sylfaen"/>
          <w:sz w:val="24"/>
          <w:szCs w:val="24"/>
        </w:rPr>
        <w:t xml:space="preserve"> անվտանգության համար՝ հաշվի առնելով փորձագետների կարծիքները՝ որակի գնահատման (3-րդ մոդուլի) </w:t>
      </w:r>
      <w:r w:rsidR="00C54D75">
        <w:rPr>
          <w:rFonts w:ascii="Sylfaen" w:hAnsi="Sylfaen"/>
          <w:sz w:val="24"/>
          <w:szCs w:val="24"/>
        </w:rPr>
        <w:t>և</w:t>
      </w:r>
      <w:r w:rsidRPr="004B393A">
        <w:rPr>
          <w:rFonts w:ascii="Sylfaen" w:hAnsi="Sylfaen"/>
          <w:sz w:val="24"/>
          <w:szCs w:val="24"/>
        </w:rPr>
        <w:t xml:space="preserve"> գրանցման դոսյեի կլինիկական մասի (5-րդ մոդուլի) վերաբերյալ: </w:t>
      </w:r>
    </w:p>
    <w:p w14:paraId="2D7326EB"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4.7.2.</w:t>
      </w:r>
      <w:r w:rsidRPr="004B393A">
        <w:rPr>
          <w:rFonts w:ascii="Sylfaen" w:hAnsi="Sylfaen"/>
          <w:sz w:val="24"/>
          <w:szCs w:val="24"/>
        </w:rPr>
        <w:tab/>
        <w:t>Իմունոտոքսիկությունը:</w:t>
      </w:r>
    </w:p>
    <w:p w14:paraId="35A8C297"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դիտարկվում են իմունոտոքսիկության մասով անցկացված սպեցիֆիկ հետազոտությունները (բազմակի ներմուծման դեպքում թունավորության հետազոտությունների արդյունքների հետ փոխկապակցված) հատկապես այն դեպքերում, երբ առկա են տվյալներ՝ դրա հնարավոր կլինիկական դրս</w:t>
      </w:r>
      <w:r w:rsidR="00C54D75">
        <w:rPr>
          <w:rFonts w:ascii="Sylfaen" w:hAnsi="Sylfaen"/>
          <w:sz w:val="24"/>
          <w:szCs w:val="24"/>
        </w:rPr>
        <w:t>և</w:t>
      </w:r>
      <w:r w:rsidRPr="004B393A">
        <w:rPr>
          <w:rFonts w:ascii="Sylfaen" w:hAnsi="Sylfaen"/>
          <w:sz w:val="24"/>
          <w:szCs w:val="24"/>
        </w:rPr>
        <w:t>որումների վերաբերյալ:</w:t>
      </w:r>
    </w:p>
    <w:p w14:paraId="263DDDB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Այդպիսի հետազոտությունների շարքին կարող են դասվել բջջային մակեր</w:t>
      </w:r>
      <w:r w:rsidR="00C54D75">
        <w:rPr>
          <w:rFonts w:ascii="Sylfaen" w:hAnsi="Sylfaen"/>
          <w:sz w:val="24"/>
          <w:szCs w:val="24"/>
        </w:rPr>
        <w:t>և</w:t>
      </w:r>
      <w:r w:rsidRPr="004B393A">
        <w:rPr>
          <w:rFonts w:ascii="Sylfaen" w:hAnsi="Sylfaen"/>
          <w:sz w:val="24"/>
          <w:szCs w:val="24"/>
        </w:rPr>
        <w:t xml:space="preserve">ույթի մարկերների օգտագործմամբ փորձարկումները </w:t>
      </w:r>
      <w:r w:rsidRPr="004B393A">
        <w:rPr>
          <w:rFonts w:ascii="Sylfaen" w:hAnsi="Sylfaen"/>
          <w:sz w:val="24"/>
          <w:szCs w:val="24"/>
        </w:rPr>
        <w:lastRenderedPageBreak/>
        <w:t>(իմունոհիստոքիմիա կամ հոսքային ցիտոմետրիա), ֆունկցիոնալ թեստերը (ոչխարի էրիթրոցիտների նկատմամբ առաջնային հակամարմինների ձ</w:t>
      </w:r>
      <w:r w:rsidR="00C54D75">
        <w:rPr>
          <w:rFonts w:ascii="Sylfaen" w:hAnsi="Sylfaen"/>
          <w:sz w:val="24"/>
          <w:szCs w:val="24"/>
        </w:rPr>
        <w:t>և</w:t>
      </w:r>
      <w:r w:rsidRPr="004B393A">
        <w:rPr>
          <w:rFonts w:ascii="Sylfaen" w:hAnsi="Sylfaen"/>
          <w:sz w:val="24"/>
          <w:szCs w:val="24"/>
        </w:rPr>
        <w:t xml:space="preserve">ավորում, բնական բջիջ-քիլլերների ակտիվություն, մակրոֆագերի ֆունկցիա, դանդաղեցված տիպի գերզգայունություն, կրող օրգանիզմի դիմադրողականության թեստեր, կոմպլեմենտի ակտիվացում </w:t>
      </w:r>
      <w:r w:rsidR="00C54D75">
        <w:rPr>
          <w:rFonts w:ascii="Sylfaen" w:hAnsi="Sylfaen"/>
          <w:sz w:val="24"/>
          <w:szCs w:val="24"/>
        </w:rPr>
        <w:t>և</w:t>
      </w:r>
      <w:r w:rsidRPr="004B393A">
        <w:rPr>
          <w:rFonts w:ascii="Sylfaen" w:hAnsi="Sylfaen"/>
          <w:sz w:val="24"/>
          <w:szCs w:val="24"/>
        </w:rPr>
        <w:t xml:space="preserve"> այլն):</w:t>
      </w:r>
    </w:p>
    <w:p w14:paraId="2E6EAA0A"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Գնահատում անցկացնելու համար փորձագետը կարող է օգտվել բազմակի ներմուծման դեպքում թունավորության հետազոտության վերաբերյալ համապատասխան ձեռնարկներից:</w:t>
      </w:r>
    </w:p>
    <w:p w14:paraId="667E1A3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Սույն բաժնում նա</w:t>
      </w:r>
      <w:r w:rsidR="00C54D75">
        <w:rPr>
          <w:rFonts w:ascii="Sylfaen" w:hAnsi="Sylfaen"/>
          <w:sz w:val="24"/>
          <w:szCs w:val="24"/>
        </w:rPr>
        <w:t>և</w:t>
      </w:r>
      <w:r w:rsidRPr="004B393A">
        <w:rPr>
          <w:rFonts w:ascii="Sylfaen" w:hAnsi="Sylfaen"/>
          <w:sz w:val="24"/>
          <w:szCs w:val="24"/>
        </w:rPr>
        <w:t xml:space="preserve"> հարկ է ներկայացնել տվյալներ մարդու մոտ նկատվող իմունիտետի ընկճման, աուտոիմուն պոտենցիալի, գերզգայունության ռեակցիաների վերաբերյալ:</w:t>
      </w:r>
    </w:p>
    <w:p w14:paraId="0EBFE4D5"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4.7.3.</w:t>
      </w:r>
      <w:r w:rsidRPr="004B393A">
        <w:rPr>
          <w:rFonts w:ascii="Sylfaen" w:hAnsi="Sylfaen"/>
          <w:sz w:val="24"/>
          <w:szCs w:val="24"/>
        </w:rPr>
        <w:tab/>
        <w:t>Կախվածությունը:</w:t>
      </w:r>
    </w:p>
    <w:p w14:paraId="72BA6BBC" w14:textId="77777777" w:rsidR="008C76E0" w:rsidRPr="004B393A" w:rsidRDefault="008C76E0" w:rsidP="004B393A">
      <w:pPr>
        <w:tabs>
          <w:tab w:val="left" w:pos="1701"/>
        </w:tabs>
        <w:spacing w:after="160" w:line="360" w:lineRule="auto"/>
        <w:ind w:firstLine="567"/>
        <w:jc w:val="both"/>
        <w:rPr>
          <w:rFonts w:ascii="Sylfaen" w:hAnsi="Sylfaen"/>
          <w:sz w:val="24"/>
          <w:szCs w:val="24"/>
        </w:rPr>
      </w:pPr>
      <w:r w:rsidRPr="004B393A">
        <w:rPr>
          <w:rFonts w:ascii="Sylfaen" w:hAnsi="Sylfaen"/>
          <w:sz w:val="24"/>
          <w:szCs w:val="24"/>
        </w:rPr>
        <w:t>Սույն բաժնում նկարագրվում են դեղային կախվածության տարբեր տեսակներ, որոնք նկատվում են դեղադինամիկ հետազոտություններում (մոդելներում) (սովորաբար չեն իրականացվում ընթացիկ թունաբանական հետազոտություններում):</w:t>
      </w:r>
    </w:p>
    <w:p w14:paraId="74C3F983"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4.7.4.</w:t>
      </w:r>
      <w:r w:rsidRPr="004B393A">
        <w:rPr>
          <w:rFonts w:ascii="Sylfaen" w:hAnsi="Sylfaen"/>
          <w:sz w:val="24"/>
          <w:szCs w:val="24"/>
        </w:rPr>
        <w:tab/>
        <w:t>Մետաբոլիտներ:</w:t>
      </w:r>
    </w:p>
    <w:p w14:paraId="1D481E4A"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մարդու մոտ այն հիմնական մետաբոլիտների (կամ իզոմերների) սպեցիֆիկ հետազոտությունները, որոնք կենդանիների օրգանիզմում առկա են ոչ բավարար չափով:</w:t>
      </w:r>
    </w:p>
    <w:p w14:paraId="72BEAE8F"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t>4.7.5.</w:t>
      </w:r>
      <w:r w:rsidRPr="004B393A">
        <w:rPr>
          <w:rFonts w:ascii="Sylfaen" w:hAnsi="Sylfaen"/>
          <w:sz w:val="24"/>
          <w:szCs w:val="24"/>
        </w:rPr>
        <w:tab/>
        <w:t>Խառնուկների հետազոտություններ:</w:t>
      </w:r>
    </w:p>
    <w:p w14:paraId="183B8E33"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Հարկ է նկարագրել խառնուկների որակավորման հետազոտությունները՝ հետազոտություններ մեկանգամյա կամ բազմակի ներմուծման դեպքում, գենոտոքսիկության, վերարտադրողական տոքսիկության հետազոտություններ: Բաժինը կազմելիս փորձագետը կարող է օգտագործել համապատասխան ձեռնարկներ:</w:t>
      </w:r>
    </w:p>
    <w:p w14:paraId="3FCB03E2" w14:textId="77777777" w:rsidR="008C76E0" w:rsidRPr="004B393A" w:rsidRDefault="008C76E0" w:rsidP="004B393A">
      <w:pPr>
        <w:tabs>
          <w:tab w:val="left" w:pos="1701"/>
        </w:tabs>
        <w:spacing w:after="160" w:line="360" w:lineRule="auto"/>
        <w:ind w:right="-1" w:firstLine="567"/>
        <w:jc w:val="both"/>
        <w:rPr>
          <w:rFonts w:ascii="Sylfaen" w:hAnsi="Sylfaen"/>
          <w:sz w:val="24"/>
          <w:szCs w:val="24"/>
        </w:rPr>
      </w:pPr>
      <w:r w:rsidRPr="004B393A">
        <w:rPr>
          <w:rFonts w:ascii="Sylfaen" w:hAnsi="Sylfaen"/>
          <w:sz w:val="24"/>
          <w:szCs w:val="24"/>
        </w:rPr>
        <w:lastRenderedPageBreak/>
        <w:t>4.7.6.</w:t>
      </w:r>
      <w:r w:rsidRPr="004B393A">
        <w:rPr>
          <w:rFonts w:ascii="Sylfaen" w:hAnsi="Sylfaen"/>
          <w:sz w:val="24"/>
          <w:szCs w:val="24"/>
        </w:rPr>
        <w:tab/>
        <w:t>Այլ հետազոտություններ:</w:t>
      </w:r>
    </w:p>
    <w:p w14:paraId="6A60C845" w14:textId="77777777" w:rsidR="008C76E0" w:rsidRPr="004B393A" w:rsidRDefault="008C76E0" w:rsidP="004B393A">
      <w:pPr>
        <w:tabs>
          <w:tab w:val="left" w:pos="1418"/>
        </w:tabs>
        <w:spacing w:after="160" w:line="360" w:lineRule="auto"/>
        <w:ind w:right="-1" w:firstLine="567"/>
        <w:jc w:val="both"/>
        <w:rPr>
          <w:rFonts w:ascii="Sylfaen" w:hAnsi="Sylfaen"/>
          <w:sz w:val="24"/>
          <w:szCs w:val="24"/>
        </w:rPr>
      </w:pPr>
      <w:r w:rsidRPr="004B393A">
        <w:rPr>
          <w:rFonts w:ascii="Sylfaen" w:hAnsi="Sylfaen"/>
          <w:sz w:val="24"/>
          <w:szCs w:val="24"/>
        </w:rPr>
        <w:t>Հաշվետվության մեջ ներառվում են նա</w:t>
      </w:r>
      <w:r w:rsidR="00C54D75">
        <w:rPr>
          <w:rFonts w:ascii="Sylfaen" w:hAnsi="Sylfaen"/>
          <w:sz w:val="24"/>
          <w:szCs w:val="24"/>
        </w:rPr>
        <w:t>և</w:t>
      </w:r>
      <w:r w:rsidRPr="004B393A">
        <w:rPr>
          <w:rFonts w:ascii="Sylfaen" w:hAnsi="Sylfaen"/>
          <w:sz w:val="24"/>
          <w:szCs w:val="24"/>
        </w:rPr>
        <w:t xml:space="preserve"> հետ</w:t>
      </w:r>
      <w:r w:rsidR="00C54D75">
        <w:rPr>
          <w:rFonts w:ascii="Sylfaen" w:hAnsi="Sylfaen"/>
          <w:sz w:val="24"/>
          <w:szCs w:val="24"/>
        </w:rPr>
        <w:t>և</w:t>
      </w:r>
      <w:r w:rsidRPr="004B393A">
        <w:rPr>
          <w:rFonts w:ascii="Sylfaen" w:hAnsi="Sylfaen"/>
          <w:sz w:val="24"/>
          <w:szCs w:val="24"/>
        </w:rPr>
        <w:t>յալ հետազոտությունները (ըստ անհրաժեշտության)՝</w:t>
      </w:r>
    </w:p>
    <w:p w14:paraId="1DEFF0BC"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Ֆոտոտոքսիկություն. ներառում է մաշկային (աչքի) ֆոտոտոքսիկության, ֆոտոզգայունացման, ֆոտոգենոտոքսիկության </w:t>
      </w:r>
      <w:r w:rsidR="00C54D75">
        <w:rPr>
          <w:rFonts w:ascii="Sylfaen" w:hAnsi="Sylfaen"/>
          <w:sz w:val="24"/>
          <w:szCs w:val="24"/>
        </w:rPr>
        <w:t>և</w:t>
      </w:r>
      <w:r w:rsidRPr="004B393A">
        <w:rPr>
          <w:rFonts w:ascii="Sylfaen" w:hAnsi="Sylfaen"/>
          <w:sz w:val="24"/>
          <w:szCs w:val="24"/>
        </w:rPr>
        <w:t xml:space="preserve"> ֆոտոքաղցկեղածնության վերաբերյալ տեղեկատվություն: Այդպիսի հետազոտությունների հնարավոր անհրաժեշտությունը կախված է ֆոտոկլանումից (քայքայումից), էքսպոզիցիայից (կիրառության եղանակը) (ենթամաշկային ներմուծում, աչքերի մեջ ներկաթեցում) (բաժինը կազմելիս փորձագետը կարող է օգտագործել համապատասխան ձեռնարկներ).</w:t>
      </w:r>
    </w:p>
    <w:p w14:paraId="18F324D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մոլեկուլյար թունաբանություն՝</w:t>
      </w:r>
    </w:p>
    <w:p w14:paraId="42D8AC43"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ռեակտիվունակ մետաբոլիտներ (կովալենտային կապով in vitro միացումը սպիտակուցների, ճարպերի, նուկլեինաթթուների հետ): Հնարավոր հետ</w:t>
      </w:r>
      <w:r w:rsidR="00C54D75">
        <w:rPr>
          <w:rFonts w:ascii="Sylfaen" w:hAnsi="Sylfaen"/>
          <w:sz w:val="24"/>
          <w:szCs w:val="24"/>
        </w:rPr>
        <w:t>և</w:t>
      </w:r>
      <w:r w:rsidRPr="004B393A">
        <w:rPr>
          <w:rFonts w:ascii="Sylfaen" w:hAnsi="Sylfaen"/>
          <w:sz w:val="24"/>
          <w:szCs w:val="24"/>
        </w:rPr>
        <w:t>անքներ իդիոսինկրազիայի (բարձր զգայնության) ռեակցիաների կամ աուտոիմուն հիվանդությունների տեսքով.</w:t>
      </w:r>
    </w:p>
    <w:p w14:paraId="0D55589D"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ազդեցության մեխանիզմի այլ հետազոտություններ (միտոքոնդրիումային թունավորություն, քիմիական ակտիվություն հեմոգլոբինի նկատմամբ </w:t>
      </w:r>
      <w:r w:rsidR="00C54D75">
        <w:rPr>
          <w:rFonts w:ascii="Sylfaen" w:hAnsi="Sylfaen"/>
          <w:sz w:val="24"/>
          <w:szCs w:val="24"/>
        </w:rPr>
        <w:t>և</w:t>
      </w:r>
      <w:r w:rsidRPr="004B393A">
        <w:rPr>
          <w:rFonts w:ascii="Sylfaen" w:hAnsi="Sylfaen"/>
          <w:sz w:val="24"/>
          <w:szCs w:val="24"/>
        </w:rPr>
        <w:t xml:space="preserve"> այլն).</w:t>
      </w:r>
    </w:p>
    <w:p w14:paraId="1E354372"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պրոտեոմիկայի, գենոմիկայի </w:t>
      </w:r>
      <w:r w:rsidR="00C54D75">
        <w:rPr>
          <w:rFonts w:ascii="Sylfaen" w:hAnsi="Sylfaen"/>
          <w:sz w:val="24"/>
          <w:szCs w:val="24"/>
        </w:rPr>
        <w:t>և</w:t>
      </w:r>
      <w:r w:rsidRPr="004B393A">
        <w:rPr>
          <w:rFonts w:ascii="Sylfaen" w:hAnsi="Sylfaen"/>
          <w:sz w:val="24"/>
          <w:szCs w:val="24"/>
        </w:rPr>
        <w:t xml:space="preserve"> մոլեկուլյար կենսաբանության այլ բաժինների ոլորտներում հետազոտությունների տվյալներ:</w:t>
      </w:r>
    </w:p>
    <w:p w14:paraId="7C694008"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4.8.</w:t>
      </w:r>
      <w:r w:rsidRPr="004B393A">
        <w:rPr>
          <w:rFonts w:ascii="Sylfaen" w:hAnsi="Sylfaen"/>
          <w:sz w:val="24"/>
          <w:szCs w:val="24"/>
        </w:rPr>
        <w:tab/>
        <w:t>Գնահատման գծով փորձագետի ընդհանուր եզրակացությունը՝ թունավորության վերաբերյալ:</w:t>
      </w:r>
    </w:p>
    <w:p w14:paraId="6CCA6804"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Սույն բաժնի բովանդակությունը կարող է ներառվել «Անվտանգության, որակի, արդյունավետության գնահատում» ամփոփ փորձագիտական հաշվետվության մոդուլում:</w:t>
      </w:r>
    </w:p>
    <w:p w14:paraId="2C055E0F"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Օգուտ-ռիսկ հարաբերակցության պրոֆիլի առավել ամբողջական գնահատման համար անհրաժեշտ է անցկացնել տեղեկությունների մանրակրկիտ </w:t>
      </w:r>
      <w:r w:rsidRPr="004B393A">
        <w:rPr>
          <w:rFonts w:ascii="Sylfaen" w:hAnsi="Sylfaen"/>
          <w:sz w:val="24"/>
          <w:szCs w:val="24"/>
        </w:rPr>
        <w:lastRenderedPageBreak/>
        <w:t xml:space="preserve">վերլուծություն </w:t>
      </w:r>
      <w:r w:rsidR="00C54D75">
        <w:rPr>
          <w:rFonts w:ascii="Sylfaen" w:hAnsi="Sylfaen"/>
          <w:sz w:val="24"/>
          <w:szCs w:val="24"/>
        </w:rPr>
        <w:t>և</w:t>
      </w:r>
      <w:r w:rsidRPr="004B393A">
        <w:rPr>
          <w:rFonts w:ascii="Sylfaen" w:hAnsi="Sylfaen"/>
          <w:sz w:val="24"/>
          <w:szCs w:val="24"/>
        </w:rPr>
        <w:t xml:space="preserve"> տվյալ բաժինը կազմել հնարավորինս մանրակրկիտ:</w:t>
      </w:r>
    </w:p>
    <w:p w14:paraId="64F641F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Անհրաժեշտ է անցկացնել համապատասխան ձեռնարկներում նշված թունաբանական հետազոտությունների ծրագրից կամ պատշաճ լաբորատոր գործունեության պահանջներից բոլոր շեղումների կամ պահանջվող հետազոտությունների բացակայության վերլուծություն:</w:t>
      </w:r>
    </w:p>
    <w:p w14:paraId="564E46E6" w14:textId="4F01E0FC"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Եթե </w:t>
      </w:r>
      <w:r w:rsidR="0056496B">
        <w:rPr>
          <w:rFonts w:ascii="Sylfaen" w:hAnsi="Sylfaen"/>
          <w:sz w:val="24"/>
          <w:szCs w:val="24"/>
        </w:rPr>
        <w:t>դիմում</w:t>
      </w:r>
      <w:r w:rsidRPr="004B393A">
        <w:rPr>
          <w:rFonts w:ascii="Sylfaen" w:hAnsi="Sylfaen"/>
          <w:sz w:val="24"/>
          <w:szCs w:val="24"/>
        </w:rPr>
        <w:t>ը հիմնված է մատենագիտական այնպիսի տվյալների վրա, որոնք օգտագործվում են որպես հաստատող տեղեկատվություն, ապա կար</w:t>
      </w:r>
      <w:r w:rsidR="00C54D75">
        <w:rPr>
          <w:rFonts w:ascii="Sylfaen" w:hAnsi="Sylfaen"/>
          <w:sz w:val="24"/>
          <w:szCs w:val="24"/>
        </w:rPr>
        <w:t>և</w:t>
      </w:r>
      <w:r w:rsidRPr="004B393A">
        <w:rPr>
          <w:rFonts w:ascii="Sylfaen" w:hAnsi="Sylfaen"/>
          <w:sz w:val="24"/>
          <w:szCs w:val="24"/>
        </w:rPr>
        <w:t xml:space="preserve">որ է անդրադառնալ դրան: </w:t>
      </w:r>
    </w:p>
    <w:p w14:paraId="1402C40B"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Հարկ է գնահատել հետազոտություններում օգտագործված կենդանիների տեսակների (փորձարկումների համակարգերի), հետազոտությունների տ</w:t>
      </w:r>
      <w:r w:rsidR="00C54D75">
        <w:rPr>
          <w:rFonts w:ascii="Sylfaen" w:hAnsi="Sylfaen"/>
          <w:sz w:val="24"/>
          <w:szCs w:val="24"/>
        </w:rPr>
        <w:t>և</w:t>
      </w:r>
      <w:r w:rsidRPr="004B393A">
        <w:rPr>
          <w:rFonts w:ascii="Sylfaen" w:hAnsi="Sylfaen"/>
          <w:sz w:val="24"/>
          <w:szCs w:val="24"/>
        </w:rPr>
        <w:t>ողության, դեղաչափերի (խտությունների) ընտրության հիմնավորվածությունը:</w:t>
      </w:r>
    </w:p>
    <w:p w14:paraId="49278F58" w14:textId="680BFEA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Անհրաժեշտ է ամփոփել նկատվող էֆեկտները, ինչպես նա</w:t>
      </w:r>
      <w:r w:rsidR="00C54D75">
        <w:rPr>
          <w:rFonts w:ascii="Sylfaen" w:hAnsi="Sylfaen"/>
          <w:sz w:val="24"/>
          <w:szCs w:val="24"/>
        </w:rPr>
        <w:t>և</w:t>
      </w:r>
      <w:r w:rsidRPr="004B393A">
        <w:rPr>
          <w:rFonts w:ascii="Sylfaen" w:hAnsi="Sylfaen"/>
          <w:sz w:val="24"/>
          <w:szCs w:val="24"/>
        </w:rPr>
        <w:t xml:space="preserve"> մարդու համար այդ էֆեկտների պոտենցիալ նշանակությանը վերաբերող ձ</w:t>
      </w:r>
      <w:r w:rsidR="00C54D75">
        <w:rPr>
          <w:rFonts w:ascii="Sylfaen" w:hAnsi="Sylfaen"/>
          <w:sz w:val="24"/>
          <w:szCs w:val="24"/>
        </w:rPr>
        <w:t>և</w:t>
      </w:r>
      <w:r w:rsidRPr="004B393A">
        <w:rPr>
          <w:rFonts w:ascii="Sylfaen" w:hAnsi="Sylfaen"/>
          <w:sz w:val="24"/>
          <w:szCs w:val="24"/>
        </w:rPr>
        <w:t xml:space="preserve">ակերպումները, որոնք առաջարկվել են </w:t>
      </w:r>
      <w:r w:rsidR="0056496B">
        <w:rPr>
          <w:rFonts w:ascii="Sylfaen" w:hAnsi="Sylfaen"/>
          <w:sz w:val="24"/>
          <w:szCs w:val="24"/>
        </w:rPr>
        <w:t>դիմումատու</w:t>
      </w:r>
      <w:r w:rsidRPr="004B393A">
        <w:rPr>
          <w:rFonts w:ascii="Sylfaen" w:hAnsi="Sylfaen"/>
          <w:sz w:val="24"/>
          <w:szCs w:val="24"/>
        </w:rPr>
        <w:t xml:space="preserve">ի կողմից, </w:t>
      </w:r>
      <w:r w:rsidR="00C54D75">
        <w:rPr>
          <w:rFonts w:ascii="Sylfaen" w:hAnsi="Sylfaen"/>
          <w:sz w:val="24"/>
          <w:szCs w:val="24"/>
        </w:rPr>
        <w:t>և</w:t>
      </w:r>
      <w:r w:rsidRPr="004B393A">
        <w:rPr>
          <w:rFonts w:ascii="Sylfaen" w:hAnsi="Sylfaen"/>
          <w:sz w:val="24"/>
          <w:szCs w:val="24"/>
        </w:rPr>
        <w:t xml:space="preserve"> հնարավորության դեպքում կազմել տվյալ հարցի վերաբերյալ սեփական եզրակացությունը:</w:t>
      </w:r>
    </w:p>
    <w:p w14:paraId="0DB30966" w14:textId="77777777" w:rsidR="008C76E0" w:rsidRPr="004B393A" w:rsidRDefault="008C76E0" w:rsidP="004B393A">
      <w:pPr>
        <w:spacing w:after="160" w:line="360" w:lineRule="auto"/>
        <w:ind w:firstLine="567"/>
        <w:jc w:val="both"/>
        <w:rPr>
          <w:rFonts w:ascii="Sylfaen" w:hAnsi="Sylfaen"/>
          <w:sz w:val="24"/>
          <w:szCs w:val="24"/>
        </w:rPr>
      </w:pPr>
      <w:r w:rsidRPr="004B393A">
        <w:rPr>
          <w:rFonts w:ascii="Sylfaen" w:hAnsi="Sylfaen"/>
          <w:sz w:val="24"/>
          <w:szCs w:val="24"/>
        </w:rPr>
        <w:t xml:space="preserve">Հարկ է ներկայացնել տվյալներ՝ քիրալության, ազդող նյութի (աղ, եթեր, հիդրատ </w:t>
      </w:r>
      <w:r w:rsidR="00C54D75">
        <w:rPr>
          <w:rFonts w:ascii="Sylfaen" w:hAnsi="Sylfaen"/>
          <w:sz w:val="24"/>
          <w:szCs w:val="24"/>
        </w:rPr>
        <w:t>և</w:t>
      </w:r>
      <w:r w:rsidRPr="004B393A">
        <w:rPr>
          <w:rFonts w:ascii="Sylfaen" w:hAnsi="Sylfaen"/>
          <w:sz w:val="24"/>
          <w:szCs w:val="24"/>
        </w:rPr>
        <w:t xml:space="preserve"> այլն) մոլեկուլի մոդիֆիկացիայի </w:t>
      </w:r>
      <w:r w:rsidR="00C54D75">
        <w:rPr>
          <w:rFonts w:ascii="Sylfaen" w:hAnsi="Sylfaen"/>
          <w:sz w:val="24"/>
          <w:szCs w:val="24"/>
        </w:rPr>
        <w:t>և</w:t>
      </w:r>
      <w:r w:rsidRPr="004B393A">
        <w:rPr>
          <w:rFonts w:ascii="Sylfaen" w:hAnsi="Sylfaen"/>
          <w:sz w:val="24"/>
          <w:szCs w:val="24"/>
        </w:rPr>
        <w:t xml:space="preserve"> նախակլինիկական հետազոտություններում օգտագործված նյութի մեջ առկա խառնուկների պրոֆիլի </w:t>
      </w:r>
      <w:r w:rsidR="00C54D75">
        <w:rPr>
          <w:rFonts w:ascii="Sylfaen" w:hAnsi="Sylfaen"/>
          <w:sz w:val="24"/>
          <w:szCs w:val="24"/>
        </w:rPr>
        <w:t>և</w:t>
      </w:r>
      <w:r w:rsidRPr="004B393A">
        <w:rPr>
          <w:rFonts w:ascii="Sylfaen" w:hAnsi="Sylfaen"/>
          <w:sz w:val="24"/>
          <w:szCs w:val="24"/>
        </w:rPr>
        <w:t xml:space="preserve"> այն պատրաստուկի տարբերությունների հնարավոր հետ</w:t>
      </w:r>
      <w:r w:rsidR="00C54D75">
        <w:rPr>
          <w:rFonts w:ascii="Sylfaen" w:hAnsi="Sylfaen"/>
          <w:sz w:val="24"/>
          <w:szCs w:val="24"/>
        </w:rPr>
        <w:t>և</w:t>
      </w:r>
      <w:r w:rsidRPr="004B393A">
        <w:rPr>
          <w:rFonts w:ascii="Sylfaen" w:hAnsi="Sylfaen"/>
          <w:sz w:val="24"/>
          <w:szCs w:val="24"/>
        </w:rPr>
        <w:t>անքների վերաբերյալ, որը գտնվելու է դեղագործական շուկայում:</w:t>
      </w:r>
    </w:p>
    <w:p w14:paraId="287C4D25"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դիտարկել նյութափոխանակության </w:t>
      </w:r>
      <w:r w:rsidR="00C54D75">
        <w:rPr>
          <w:rFonts w:ascii="Sylfaen" w:hAnsi="Sylfaen"/>
          <w:sz w:val="24"/>
          <w:szCs w:val="24"/>
        </w:rPr>
        <w:t>և</w:t>
      </w:r>
      <w:r w:rsidRPr="004B393A">
        <w:rPr>
          <w:rFonts w:ascii="Sylfaen" w:hAnsi="Sylfaen"/>
          <w:sz w:val="24"/>
          <w:szCs w:val="24"/>
        </w:rPr>
        <w:t xml:space="preserve"> մարդու ու կենդանիների մոտ համակարգային ներգործության (AUC, С</w:t>
      </w:r>
      <w:r w:rsidRPr="004B393A">
        <w:rPr>
          <w:rFonts w:ascii="Sylfaen" w:hAnsi="Sylfaen"/>
          <w:sz w:val="24"/>
          <w:szCs w:val="24"/>
          <w:vertAlign w:val="subscript"/>
        </w:rPr>
        <w:t>max</w:t>
      </w:r>
      <w:r w:rsidRPr="004B393A">
        <w:rPr>
          <w:rFonts w:ascii="Sylfaen" w:hAnsi="Sylfaen"/>
          <w:sz w:val="24"/>
          <w:szCs w:val="24"/>
        </w:rPr>
        <w:t>, այլ պարամետրեր) միջտեսակային համեմատական հետազոտությունները, ինչպես նա</w:t>
      </w:r>
      <w:r w:rsidR="00C54D75">
        <w:rPr>
          <w:rFonts w:ascii="Sylfaen" w:hAnsi="Sylfaen"/>
          <w:sz w:val="24"/>
          <w:szCs w:val="24"/>
        </w:rPr>
        <w:t>և</w:t>
      </w:r>
      <w:r w:rsidRPr="004B393A">
        <w:rPr>
          <w:rFonts w:ascii="Sylfaen" w:hAnsi="Sylfaen"/>
          <w:sz w:val="24"/>
          <w:szCs w:val="24"/>
        </w:rPr>
        <w:t xml:space="preserve"> քննարկել այդ հետազոտությունների սահմանափակումներն ու կիրառելիությունը՝ մարդու մոտ հնարավոր անցանկալի ռեակցիաները կանխատեսելու համար:</w:t>
      </w:r>
    </w:p>
    <w:p w14:paraId="43A85C08"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Հարկ է նշել թունաբանական հետազոտություններում օգտագործված կենդանիների տեսակների պիտանիությունը՝ դեղագործության տեսանկյունից </w:t>
      </w:r>
      <w:r w:rsidRPr="004B393A">
        <w:rPr>
          <w:rFonts w:ascii="Sylfaen" w:hAnsi="Sylfaen"/>
          <w:sz w:val="24"/>
          <w:szCs w:val="24"/>
        </w:rPr>
        <w:lastRenderedPageBreak/>
        <w:t>պոտենցիալ միջտեսակային տարբերությունների համատեքստում:</w:t>
      </w:r>
    </w:p>
    <w:p w14:paraId="2CDF85B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Հատուկ ուշադրություն է պետք դարձնել գենոտոքսիկության հետազոտությունների, քաղցկեղածին ազդեցության, վերարտադրողական </w:t>
      </w:r>
      <w:r w:rsidR="00C54D75">
        <w:rPr>
          <w:rFonts w:ascii="Sylfaen" w:hAnsi="Sylfaen"/>
          <w:sz w:val="24"/>
          <w:szCs w:val="24"/>
        </w:rPr>
        <w:t>և</w:t>
      </w:r>
      <w:r w:rsidRPr="004B393A">
        <w:rPr>
          <w:rFonts w:ascii="Sylfaen" w:hAnsi="Sylfaen"/>
          <w:sz w:val="24"/>
          <w:szCs w:val="24"/>
        </w:rPr>
        <w:t xml:space="preserve"> օնտոգենետիկ թունավորության արդյունքներին: Դրական գենոտոքսիկ էֆեկտների առկայության դեպքում հարկ է վերլուծել ուռուցքների առաջացման </w:t>
      </w:r>
      <w:r w:rsidR="00C54D75">
        <w:rPr>
          <w:rFonts w:ascii="Sylfaen" w:hAnsi="Sylfaen"/>
          <w:sz w:val="24"/>
          <w:szCs w:val="24"/>
        </w:rPr>
        <w:t>և</w:t>
      </w:r>
      <w:r w:rsidRPr="004B393A">
        <w:rPr>
          <w:rFonts w:ascii="Sylfaen" w:hAnsi="Sylfaen"/>
          <w:sz w:val="24"/>
          <w:szCs w:val="24"/>
        </w:rPr>
        <w:t xml:space="preserve"> (կամ) վերարտադրողական ֆունկցիայի (օնտոգենեզ) վրա պատրաստուկի ազդեցության վերաբերյալ տվյալները, մարդու համար այդ տեղեկատվության պոտենցիալ նշանակությունը </w:t>
      </w:r>
      <w:r w:rsidR="00C54D75">
        <w:rPr>
          <w:rFonts w:ascii="Sylfaen" w:hAnsi="Sylfaen"/>
          <w:sz w:val="24"/>
          <w:szCs w:val="24"/>
        </w:rPr>
        <w:t>և</w:t>
      </w:r>
      <w:r w:rsidRPr="004B393A">
        <w:rPr>
          <w:rFonts w:ascii="Sylfaen" w:hAnsi="Sylfaen"/>
          <w:sz w:val="24"/>
          <w:szCs w:val="24"/>
        </w:rPr>
        <w:t xml:space="preserve"> հնարավորության դեպքում անել համապատասխան եզրահանգում:</w:t>
      </w:r>
    </w:p>
    <w:p w14:paraId="161952B0"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Ինչ վերաբերում է քաղցկեղածին պոտենցիալին, անհրաժեշտ է ուշադրություն դարձնել հետ</w:t>
      </w:r>
      <w:r w:rsidR="00C54D75">
        <w:rPr>
          <w:rFonts w:ascii="Sylfaen" w:hAnsi="Sylfaen"/>
          <w:sz w:val="24"/>
          <w:szCs w:val="24"/>
        </w:rPr>
        <w:t>և</w:t>
      </w:r>
      <w:r w:rsidRPr="004B393A">
        <w:rPr>
          <w:rFonts w:ascii="Sylfaen" w:hAnsi="Sylfaen"/>
          <w:sz w:val="24"/>
          <w:szCs w:val="24"/>
        </w:rPr>
        <w:t xml:space="preserve">յալին. ուռուցքների աճի կենսաբանական նշանակությունը, անցած ժամանակահատվածների տվյալները, կապը դեղաբանական էֆեկտի հետ, դեղաչափից կախված էֆեկտները, տեսակասպեցիֆիկ տարբերությունները, ազդեցության մեխանիզմի հետազոտությունները, կապը գենոտոքսիկության հետ, մարդու </w:t>
      </w:r>
      <w:r w:rsidR="00C54D75">
        <w:rPr>
          <w:rFonts w:ascii="Sylfaen" w:hAnsi="Sylfaen"/>
          <w:sz w:val="24"/>
          <w:szCs w:val="24"/>
        </w:rPr>
        <w:t>և</w:t>
      </w:r>
      <w:r w:rsidRPr="004B393A">
        <w:rPr>
          <w:rFonts w:ascii="Sylfaen" w:hAnsi="Sylfaen"/>
          <w:sz w:val="24"/>
          <w:szCs w:val="24"/>
        </w:rPr>
        <w:t xml:space="preserve"> կենդանիների մոտ էքսպոզիցիայի համեմատությունը </w:t>
      </w:r>
      <w:r w:rsidR="00C54D75">
        <w:rPr>
          <w:rFonts w:ascii="Sylfaen" w:hAnsi="Sylfaen"/>
          <w:sz w:val="24"/>
          <w:szCs w:val="24"/>
        </w:rPr>
        <w:t>և</w:t>
      </w:r>
      <w:r w:rsidRPr="004B393A">
        <w:rPr>
          <w:rFonts w:ascii="Sylfaen" w:hAnsi="Sylfaen"/>
          <w:sz w:val="24"/>
          <w:szCs w:val="24"/>
        </w:rPr>
        <w:t xml:space="preserve"> այլն:</w:t>
      </w:r>
    </w:p>
    <w:p w14:paraId="6485ECEC"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Որպես տարբերակ սույն բաժնում փորձագետի կողմից կարող են ներկայացվել միայն հիմնական եզրահանգումներ, </w:t>
      </w:r>
      <w:r w:rsidR="00C54D75">
        <w:rPr>
          <w:rFonts w:ascii="Sylfaen" w:hAnsi="Sylfaen"/>
          <w:sz w:val="24"/>
          <w:szCs w:val="24"/>
        </w:rPr>
        <w:t>և</w:t>
      </w:r>
      <w:r w:rsidRPr="004B393A">
        <w:rPr>
          <w:rFonts w:ascii="Sylfaen" w:hAnsi="Sylfaen"/>
          <w:sz w:val="24"/>
          <w:szCs w:val="24"/>
        </w:rPr>
        <w:t xml:space="preserve"> այդ դեպքում «Անվտանգության, որակի, արդյունավետության գնահատում» ամփոփ փորձագիտական հաշվետվության մոդուլի տեքստը պետք է մշակվի առանձին:</w:t>
      </w:r>
    </w:p>
    <w:p w14:paraId="00DF026A"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հատուկ ընդգծել այն դեպքերը, երբ պահանջվում է լրացուցիչ փորձաքննության անցկացում՝ մարդու կողմից պատրաստուկի կիրառության հնարավոր հետ</w:t>
      </w:r>
      <w:r w:rsidR="00C54D75">
        <w:rPr>
          <w:rFonts w:ascii="Sylfaen" w:hAnsi="Sylfaen"/>
          <w:sz w:val="24"/>
          <w:szCs w:val="24"/>
        </w:rPr>
        <w:t>և</w:t>
      </w:r>
      <w:r w:rsidRPr="004B393A">
        <w:rPr>
          <w:rFonts w:ascii="Sylfaen" w:hAnsi="Sylfaen"/>
          <w:sz w:val="24"/>
          <w:szCs w:val="24"/>
        </w:rPr>
        <w:t>անքները գնահատելու համար: Այս խմբին է պատկանում ոչ սեռահասուն առանձնյակների հետ առնչվող հետազոտություններով ստացված տվյալների հիման վրա մանկաբուժության ոլորտում մասնագետ-փորձագետների եզրակացությունը ստանալու անհրաժեշտության հարցը:</w:t>
      </w:r>
    </w:p>
    <w:p w14:paraId="066C4679"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Հարկ է ներկայացնել մեկնաբանություններ՝ ԴԸԲ-ի համար ձ</w:t>
      </w:r>
      <w:r w:rsidR="00C54D75">
        <w:rPr>
          <w:rFonts w:ascii="Sylfaen" w:hAnsi="Sylfaen"/>
          <w:sz w:val="24"/>
          <w:szCs w:val="24"/>
        </w:rPr>
        <w:t>և</w:t>
      </w:r>
      <w:r w:rsidRPr="004B393A">
        <w:rPr>
          <w:rFonts w:ascii="Sylfaen" w:hAnsi="Sylfaen"/>
          <w:sz w:val="24"/>
          <w:szCs w:val="24"/>
        </w:rPr>
        <w:t xml:space="preserve">ակերպումների պիտանիության վերաբերյալ: Ստուգել դոսյեում </w:t>
      </w:r>
      <w:r w:rsidR="00C54D75">
        <w:rPr>
          <w:rFonts w:ascii="Sylfaen" w:hAnsi="Sylfaen"/>
          <w:sz w:val="24"/>
          <w:szCs w:val="24"/>
        </w:rPr>
        <w:t>և</w:t>
      </w:r>
      <w:r w:rsidRPr="004B393A">
        <w:rPr>
          <w:rFonts w:ascii="Sylfaen" w:hAnsi="Sylfaen"/>
          <w:sz w:val="24"/>
          <w:szCs w:val="24"/>
        </w:rPr>
        <w:t xml:space="preserve"> ԴԸԲ-ում տեքստի </w:t>
      </w:r>
      <w:r w:rsidRPr="004B393A">
        <w:rPr>
          <w:rFonts w:ascii="Sylfaen" w:hAnsi="Sylfaen"/>
          <w:sz w:val="24"/>
          <w:szCs w:val="24"/>
        </w:rPr>
        <w:lastRenderedPageBreak/>
        <w:t>համապատասխանությունը (մասնավորապես՝ 5.3՝ «Նախակլինիկական հետազոտությունների անվտանգության տվյալներ» բաժնում, ինչպես նա</w:t>
      </w:r>
      <w:r w:rsidR="00C54D75">
        <w:rPr>
          <w:rFonts w:ascii="Sylfaen" w:hAnsi="Sylfaen"/>
          <w:sz w:val="24"/>
          <w:szCs w:val="24"/>
        </w:rPr>
        <w:t>և</w:t>
      </w:r>
      <w:r w:rsidRPr="004B393A">
        <w:rPr>
          <w:rFonts w:ascii="Sylfaen" w:hAnsi="Sylfaen"/>
          <w:sz w:val="24"/>
          <w:szCs w:val="24"/>
        </w:rPr>
        <w:t xml:space="preserve"> 4.3՝ «Հակացուցումներ», 4.5՝ «Դեղային փոխազդեցություններ», 4.6՝ «Հղիություն </w:t>
      </w:r>
      <w:r w:rsidR="00C54D75">
        <w:rPr>
          <w:rFonts w:ascii="Sylfaen" w:hAnsi="Sylfaen"/>
          <w:sz w:val="24"/>
          <w:szCs w:val="24"/>
        </w:rPr>
        <w:t>և</w:t>
      </w:r>
      <w:r w:rsidRPr="004B393A">
        <w:rPr>
          <w:rFonts w:ascii="Sylfaen" w:hAnsi="Sylfaen"/>
          <w:sz w:val="24"/>
          <w:szCs w:val="24"/>
        </w:rPr>
        <w:t xml:space="preserve"> կրծքով կերակրում») բաժիններում, ինչպես նա</w:t>
      </w:r>
      <w:r w:rsidR="00C54D75">
        <w:rPr>
          <w:rFonts w:ascii="Sylfaen" w:hAnsi="Sylfaen"/>
          <w:sz w:val="24"/>
          <w:szCs w:val="24"/>
        </w:rPr>
        <w:t>և</w:t>
      </w:r>
      <w:r w:rsidRPr="004B393A">
        <w:rPr>
          <w:rFonts w:ascii="Sylfaen" w:hAnsi="Sylfaen"/>
          <w:sz w:val="24"/>
          <w:szCs w:val="24"/>
        </w:rPr>
        <w:t xml:space="preserve"> հավաստիանալ, որ ԴԸԲ-ում պարունակվող տեղեկատվությունն ամբողջությամբ հաստատված է գիտական փորձաքննության արդյունքներով:</w:t>
      </w:r>
    </w:p>
    <w:p w14:paraId="02D838A6" w14:textId="77777777" w:rsidR="008C76E0" w:rsidRPr="004B393A" w:rsidRDefault="008C76E0" w:rsidP="004B393A">
      <w:pPr>
        <w:spacing w:after="160" w:line="360" w:lineRule="auto"/>
        <w:ind w:right="-1" w:firstLine="567"/>
        <w:jc w:val="both"/>
        <w:rPr>
          <w:rFonts w:ascii="Sylfaen" w:hAnsi="Sylfaen"/>
          <w:sz w:val="24"/>
          <w:szCs w:val="24"/>
        </w:rPr>
      </w:pPr>
      <w:r w:rsidRPr="004B393A">
        <w:rPr>
          <w:rFonts w:ascii="Sylfaen" w:hAnsi="Sylfaen"/>
          <w:sz w:val="24"/>
          <w:szCs w:val="24"/>
        </w:rPr>
        <w:t xml:space="preserve">Կենսահամանման (կենսանման) դեղապատրաստուկների համար անհրաժեշտ է վերլուծել ոչ միայն կենսահամանման </w:t>
      </w:r>
      <w:r w:rsidR="00C54D75">
        <w:rPr>
          <w:rFonts w:ascii="Sylfaen" w:hAnsi="Sylfaen"/>
          <w:sz w:val="24"/>
          <w:szCs w:val="24"/>
        </w:rPr>
        <w:t>և</w:t>
      </w:r>
      <w:r w:rsidRPr="004B393A">
        <w:rPr>
          <w:rFonts w:ascii="Sylfaen" w:hAnsi="Sylfaen"/>
          <w:sz w:val="24"/>
          <w:szCs w:val="24"/>
        </w:rPr>
        <w:t xml:space="preserve"> ռեֆերենտ պատրաստուկի թերապ</w:t>
      </w:r>
      <w:r w:rsidR="00C54D75">
        <w:rPr>
          <w:rFonts w:ascii="Sylfaen" w:hAnsi="Sylfaen"/>
          <w:sz w:val="24"/>
          <w:szCs w:val="24"/>
        </w:rPr>
        <w:t>և</w:t>
      </w:r>
      <w:r w:rsidRPr="004B393A">
        <w:rPr>
          <w:rFonts w:ascii="Sylfaen" w:hAnsi="Sylfaen"/>
          <w:sz w:val="24"/>
          <w:szCs w:val="24"/>
        </w:rPr>
        <w:t>տիկ պատասխանն ինքնին (per se), այլ</w:t>
      </w:r>
      <w:r w:rsidR="00C54D75">
        <w:rPr>
          <w:rFonts w:ascii="Sylfaen" w:hAnsi="Sylfaen"/>
          <w:sz w:val="24"/>
          <w:szCs w:val="24"/>
        </w:rPr>
        <w:t>և</w:t>
      </w:r>
      <w:r w:rsidRPr="004B393A">
        <w:rPr>
          <w:rFonts w:ascii="Sylfaen" w:hAnsi="Sylfaen"/>
          <w:sz w:val="24"/>
          <w:szCs w:val="24"/>
        </w:rPr>
        <w:t xml:space="preserve"> դրա համանմանությունը (տարբերությունը):</w:t>
      </w:r>
    </w:p>
    <w:p w14:paraId="3C01E91E"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6.</w:t>
      </w:r>
      <w:r w:rsidRPr="004B393A">
        <w:rPr>
          <w:rFonts w:ascii="Sylfaen" w:hAnsi="Sylfaen"/>
          <w:sz w:val="24"/>
          <w:szCs w:val="24"/>
        </w:rPr>
        <w:tab/>
        <w:t>Փորձագետի կողմից անցկացված փորձաքննության շրջանակներում բերված դիտողությունների ցանկը:</w:t>
      </w:r>
    </w:p>
    <w:p w14:paraId="3058EFEE" w14:textId="09E4F94E"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Քննադատական դիտողությունների առկայությունը դեղապատրաստուկի գրանցման </w:t>
      </w:r>
      <w:r w:rsidR="0056496B">
        <w:rPr>
          <w:rFonts w:ascii="Sylfaen" w:hAnsi="Sylfaen"/>
          <w:sz w:val="24"/>
          <w:szCs w:val="24"/>
        </w:rPr>
        <w:t>դիմում</w:t>
      </w:r>
      <w:r w:rsidRPr="004B393A">
        <w:rPr>
          <w:rFonts w:ascii="Sylfaen" w:hAnsi="Sylfaen"/>
          <w:sz w:val="24"/>
          <w:szCs w:val="24"/>
        </w:rPr>
        <w:t xml:space="preserve">ի հաստատման վերաբերյալ առաջարկությունը դարձնում է անհնար: Մեկ քննադատական դիտողությունը տեսականորեն կարող է ներառել մեկից ավելի հարցեր, այդ իսկ պատճառով հարկավոր է օգտագործել պարբերություններ </w:t>
      </w:r>
      <w:r w:rsidR="00C54D75">
        <w:rPr>
          <w:rFonts w:ascii="Sylfaen" w:hAnsi="Sylfaen"/>
          <w:sz w:val="24"/>
          <w:szCs w:val="24"/>
        </w:rPr>
        <w:t>և</w:t>
      </w:r>
      <w:r w:rsidRPr="004B393A">
        <w:rPr>
          <w:rFonts w:ascii="Sylfaen" w:hAnsi="Sylfaen"/>
          <w:sz w:val="24"/>
          <w:szCs w:val="24"/>
        </w:rPr>
        <w:t xml:space="preserve"> ենթավերնագրեր: Կար</w:t>
      </w:r>
      <w:r w:rsidR="00C54D75">
        <w:rPr>
          <w:rFonts w:ascii="Sylfaen" w:hAnsi="Sylfaen"/>
          <w:sz w:val="24"/>
          <w:szCs w:val="24"/>
        </w:rPr>
        <w:t>և</w:t>
      </w:r>
      <w:r w:rsidRPr="004B393A">
        <w:rPr>
          <w:rFonts w:ascii="Sylfaen" w:hAnsi="Sylfaen"/>
          <w:sz w:val="24"/>
          <w:szCs w:val="24"/>
        </w:rPr>
        <w:t xml:space="preserve">որ է, որ քննադատական դիտողությունը լինի հասկանալի </w:t>
      </w:r>
      <w:r w:rsidR="00C54D75">
        <w:rPr>
          <w:rFonts w:ascii="Sylfaen" w:hAnsi="Sylfaen"/>
          <w:sz w:val="24"/>
          <w:szCs w:val="24"/>
        </w:rPr>
        <w:t>և</w:t>
      </w:r>
      <w:r w:rsidRPr="004B393A">
        <w:rPr>
          <w:rFonts w:ascii="Sylfaen" w:hAnsi="Sylfaen"/>
          <w:sz w:val="24"/>
          <w:szCs w:val="24"/>
        </w:rPr>
        <w:t xml:space="preserve"> տրամաբանական: Դրա համար կարող են պահանջվել մանրամասն մեկնաբանություններ՝ համապատասխան ակտերին </w:t>
      </w:r>
      <w:r w:rsidR="00C54D75">
        <w:rPr>
          <w:rFonts w:ascii="Sylfaen" w:hAnsi="Sylfaen"/>
          <w:sz w:val="24"/>
          <w:szCs w:val="24"/>
        </w:rPr>
        <w:t>և</w:t>
      </w:r>
      <w:r w:rsidRPr="004B393A">
        <w:rPr>
          <w:rFonts w:ascii="Sylfaen" w:hAnsi="Sylfaen"/>
          <w:sz w:val="24"/>
          <w:szCs w:val="24"/>
        </w:rPr>
        <w:t xml:space="preserve"> հանձնարարականներին (ձեռնարկներին) արված հղումներով:</w:t>
      </w:r>
    </w:p>
    <w:p w14:paraId="5EF9562D" w14:textId="26242E9D"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4B393A">
        <w:rPr>
          <w:rFonts w:ascii="Sylfaen" w:hAnsi="Sylfaen"/>
          <w:sz w:val="24"/>
          <w:szCs w:val="24"/>
        </w:rPr>
        <w:t>ից ակնկալվող պատասխանի (միջոցների) վերաբերյալ պարզաբանումներ:</w:t>
      </w:r>
    </w:p>
    <w:p w14:paraId="1E6BD896" w14:textId="7D81BAEC"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«Այլ դիտողություններ» բաժինը կարող է ազդել գրանցման հավաստագիրը ստանալու առաջարկվող պայմանների </w:t>
      </w:r>
      <w:r w:rsidR="00C54D75">
        <w:rPr>
          <w:rFonts w:ascii="Sylfaen" w:hAnsi="Sylfaen"/>
          <w:sz w:val="24"/>
          <w:szCs w:val="24"/>
        </w:rPr>
        <w:t>և</w:t>
      </w:r>
      <w:r w:rsidRPr="004B393A">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4B393A">
        <w:rPr>
          <w:rFonts w:ascii="Sylfaen" w:hAnsi="Sylfaen"/>
          <w:sz w:val="24"/>
          <w:szCs w:val="24"/>
        </w:rPr>
        <w:t xml:space="preserve">ի հաստատումից առաջ, հակառակ դեպքում </w:t>
      </w:r>
      <w:r w:rsidR="0056496B">
        <w:rPr>
          <w:rFonts w:ascii="Sylfaen" w:hAnsi="Sylfaen"/>
          <w:sz w:val="24"/>
          <w:szCs w:val="24"/>
        </w:rPr>
        <w:t>դիմում</w:t>
      </w:r>
      <w:r w:rsidRPr="004B393A">
        <w:rPr>
          <w:rFonts w:ascii="Sylfaen" w:hAnsi="Sylfaen"/>
          <w:sz w:val="24"/>
          <w:szCs w:val="24"/>
        </w:rPr>
        <w:t>ը կարող է մերժվել:</w:t>
      </w:r>
    </w:p>
    <w:p w14:paraId="2A60BCF9"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lastRenderedPageBreak/>
        <w:t xml:space="preserve">Դիտողությունների տվյալ ցանկն անհրաժեշտ է պատճենել «Անվտանգության, որակի </w:t>
      </w:r>
      <w:r w:rsidR="00C54D75">
        <w:rPr>
          <w:rFonts w:ascii="Sylfaen" w:hAnsi="Sylfaen"/>
          <w:sz w:val="24"/>
          <w:szCs w:val="24"/>
        </w:rPr>
        <w:t>և</w:t>
      </w:r>
      <w:r w:rsidRPr="004B393A">
        <w:rPr>
          <w:rFonts w:ascii="Sylfaen" w:hAnsi="Sylfaen"/>
          <w:sz w:val="24"/>
          <w:szCs w:val="24"/>
        </w:rPr>
        <w:t xml:space="preserve"> արդյունավետության գնահատում» ամփոփ փորձագիտական հաշվետվություն մոդուլում:</w:t>
      </w:r>
    </w:p>
    <w:p w14:paraId="5C3E6510"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 xml:space="preserve">«Հանձնարարականներ» բաժինը պարունակում է փորձագետի այն դիտողությունները (պայմանները), որոնք չեն խոչընդոտում դեղապատրաստուկի գրանցմանը, որոնք կարող են հաշվի առնվել պատրաստուկի գրանցումից հետո </w:t>
      </w:r>
      <w:r w:rsidR="00C54D75">
        <w:rPr>
          <w:rFonts w:ascii="Sylfaen" w:hAnsi="Sylfaen"/>
          <w:sz w:val="24"/>
          <w:szCs w:val="24"/>
        </w:rPr>
        <w:t>և</w:t>
      </w:r>
      <w:r w:rsidRPr="004B393A">
        <w:rPr>
          <w:rFonts w:ascii="Sylfaen" w:hAnsi="Sylfaen"/>
          <w:sz w:val="24"/>
          <w:szCs w:val="24"/>
        </w:rPr>
        <w:t xml:space="preserve"> ներառվել (փոփոխվել) փոփոխությունների կատարման ընթացակարգի շրջանակներում:</w:t>
      </w:r>
    </w:p>
    <w:p w14:paraId="60B7F106" w14:textId="77777777" w:rsidR="008C76E0" w:rsidRPr="004B393A" w:rsidRDefault="008C76E0" w:rsidP="004B393A">
      <w:pPr>
        <w:tabs>
          <w:tab w:val="left" w:pos="1134"/>
        </w:tabs>
        <w:spacing w:after="160" w:line="360" w:lineRule="auto"/>
        <w:ind w:right="-1" w:firstLine="567"/>
        <w:jc w:val="both"/>
        <w:rPr>
          <w:rFonts w:ascii="Sylfaen" w:hAnsi="Sylfaen"/>
          <w:sz w:val="24"/>
          <w:szCs w:val="24"/>
        </w:rPr>
      </w:pPr>
      <w:r w:rsidRPr="004B393A">
        <w:rPr>
          <w:rFonts w:ascii="Sylfaen" w:hAnsi="Sylfaen"/>
          <w:sz w:val="24"/>
          <w:szCs w:val="24"/>
        </w:rPr>
        <w:t>7.</w:t>
      </w:r>
      <w:r w:rsidRPr="004B393A">
        <w:rPr>
          <w:rFonts w:ascii="Sylfaen" w:hAnsi="Sylfaen"/>
          <w:sz w:val="24"/>
          <w:szCs w:val="24"/>
        </w:rPr>
        <w:tab/>
        <w:t>Փորձագետի կողմից առաջարկվող պայմանները:</w:t>
      </w:r>
    </w:p>
    <w:p w14:paraId="0BA667B2" w14:textId="77777777" w:rsidR="008C76E0" w:rsidRPr="004B393A" w:rsidRDefault="008C76E0" w:rsidP="004B393A">
      <w:pPr>
        <w:tabs>
          <w:tab w:val="left" w:pos="1134"/>
        </w:tabs>
        <w:spacing w:after="160" w:line="360" w:lineRule="auto"/>
        <w:ind w:firstLine="567"/>
        <w:jc w:val="both"/>
        <w:rPr>
          <w:rFonts w:ascii="Sylfaen" w:hAnsi="Sylfaen"/>
          <w:sz w:val="24"/>
          <w:szCs w:val="24"/>
        </w:rPr>
      </w:pPr>
      <w:r w:rsidRPr="004B393A">
        <w:rPr>
          <w:rFonts w:ascii="Sylfaen" w:hAnsi="Sylfaen"/>
          <w:sz w:val="24"/>
          <w:szCs w:val="24"/>
        </w:rPr>
        <w:t>Սույն բաժնում դիտարկվող հարցերը պետք է վերլուծության ենթարկվեն ամփոփ փորձագիտական հաշվետվության՝ «Անվտանգության, որակի, արդյունավետության գնահատում» մոդուլի համապատասխան բաժնում (օրինակ՝ մեկնաբանություններ՝ դեղապատրաստուկի վերաբերյալ տեղեկությունների առնչությամբ):</w:t>
      </w:r>
    </w:p>
    <w:p w14:paraId="63CD2F01" w14:textId="6F534F64" w:rsidR="00D91652" w:rsidRDefault="008C76E0" w:rsidP="00364CB4">
      <w:pPr>
        <w:spacing w:after="160" w:line="360" w:lineRule="auto"/>
        <w:ind w:firstLine="567"/>
        <w:rPr>
          <w:rFonts w:ascii="Sylfaen" w:eastAsia="Times New Roman" w:hAnsi="Sylfaen" w:cs="Times New Roman"/>
          <w:sz w:val="24"/>
          <w:szCs w:val="24"/>
        </w:rPr>
      </w:pPr>
      <w:r w:rsidRPr="004B393A">
        <w:rPr>
          <w:rFonts w:ascii="Sylfaen" w:eastAsia="Times New Roman" w:hAnsi="Sylfaen" w:cs="Times New Roman"/>
          <w:bCs/>
          <w:color w:val="000000"/>
          <w:sz w:val="24"/>
          <w:szCs w:val="24"/>
          <w:shd w:val="clear" w:color="auto" w:fill="FFFFFF"/>
        </w:rPr>
        <w:t>Այս բաժնում նա</w:t>
      </w:r>
      <w:r w:rsidR="00C54D75">
        <w:rPr>
          <w:rFonts w:ascii="Sylfaen" w:eastAsia="Times New Roman" w:hAnsi="Sylfaen" w:cs="Times New Roman"/>
          <w:bCs/>
          <w:color w:val="000000"/>
          <w:sz w:val="24"/>
          <w:szCs w:val="24"/>
          <w:shd w:val="clear" w:color="auto" w:fill="FFFFFF"/>
        </w:rPr>
        <w:t>և</w:t>
      </w:r>
      <w:r w:rsidRPr="004B393A">
        <w:rPr>
          <w:rFonts w:ascii="Sylfaen" w:eastAsia="Times New Roman" w:hAnsi="Sylfaen" w:cs="Times New Roman"/>
          <w:bCs/>
          <w:color w:val="000000"/>
          <w:sz w:val="24"/>
          <w:szCs w:val="24"/>
          <w:shd w:val="clear" w:color="auto" w:fill="FFFFFF"/>
        </w:rPr>
        <w:t xml:space="preserve"> կարելի է տալ ավելի ընդհանուր բնույթի մեկնաբանություններ</w:t>
      </w:r>
      <w:r w:rsidRPr="004B393A">
        <w:rPr>
          <w:rFonts w:ascii="Sylfaen" w:hAnsi="Sylfaen"/>
          <w:sz w:val="24"/>
          <w:szCs w:val="24"/>
        </w:rPr>
        <w:t>:</w:t>
      </w:r>
    </w:p>
    <w:p w14:paraId="51912230" w14:textId="77777777" w:rsidR="00364CB4" w:rsidRPr="006F28F9" w:rsidRDefault="00364CB4" w:rsidP="00364CB4">
      <w:pPr>
        <w:rPr>
          <w:b/>
          <w:bCs/>
          <w:i/>
          <w:iCs/>
        </w:rPr>
      </w:pPr>
      <w:r w:rsidRPr="00CD4709">
        <w:rPr>
          <w:b/>
          <w:bCs/>
          <w:i/>
          <w:iCs/>
        </w:rPr>
        <w:t>(</w:t>
      </w:r>
      <w:r>
        <w:rPr>
          <w:b/>
          <w:bCs/>
          <w:i/>
          <w:iCs/>
        </w:rPr>
        <w:t xml:space="preserve">հավելվածը </w:t>
      </w:r>
      <w:r w:rsidRPr="00CD4709">
        <w:rPr>
          <w:b/>
          <w:bCs/>
          <w:i/>
          <w:iCs/>
        </w:rPr>
        <w:t>փոփ. 30.01.20 թիվ 9)</w:t>
      </w:r>
    </w:p>
    <w:p w14:paraId="2BE9F7E1" w14:textId="132093A7" w:rsidR="00364CB4" w:rsidRPr="00E15E7D" w:rsidRDefault="00364CB4" w:rsidP="008C76E0">
      <w:pPr>
        <w:widowControl/>
        <w:ind w:firstLine="567"/>
        <w:rPr>
          <w:rFonts w:ascii="Sylfaen" w:eastAsia="Times New Roman" w:hAnsi="Sylfaen" w:cs="Times New Roman"/>
          <w:sz w:val="24"/>
          <w:szCs w:val="24"/>
        </w:rPr>
        <w:sectPr w:rsidR="00364CB4" w:rsidRPr="00E15E7D" w:rsidSect="00D91652">
          <w:headerReference w:type="even" r:id="rId22"/>
          <w:headerReference w:type="default" r:id="rId23"/>
          <w:pgSz w:w="11906" w:h="16838" w:code="9"/>
          <w:pgMar w:top="1418" w:right="1418" w:bottom="1418" w:left="1418" w:header="709" w:footer="709" w:gutter="0"/>
          <w:pgNumType w:start="1"/>
          <w:cols w:space="708"/>
          <w:titlePg/>
          <w:docGrid w:linePitch="360"/>
        </w:sectPr>
      </w:pPr>
    </w:p>
    <w:p w14:paraId="49D72CE2"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lastRenderedPageBreak/>
        <w:t>ՀԱՎԵԼՎԱԾ ԹԻՎ 14</w:t>
      </w:r>
    </w:p>
    <w:p w14:paraId="5EE1B224" w14:textId="77777777" w:rsidR="008C76E0" w:rsidRPr="00132EF0" w:rsidRDefault="008C76E0" w:rsidP="00132EF0">
      <w:pPr>
        <w:spacing w:after="160" w:line="360" w:lineRule="auto"/>
        <w:ind w:left="4678" w:right="-1"/>
        <w:jc w:val="center"/>
        <w:rPr>
          <w:rFonts w:ascii="Sylfaen" w:hAnsi="Sylfaen"/>
          <w:sz w:val="24"/>
          <w:szCs w:val="24"/>
        </w:rPr>
      </w:pPr>
      <w:r w:rsidRPr="00132EF0">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w:t>
      </w:r>
    </w:p>
    <w:p w14:paraId="137BF954" w14:textId="77777777" w:rsidR="008C76E0" w:rsidRPr="00132EF0" w:rsidRDefault="008C76E0" w:rsidP="00132EF0">
      <w:pPr>
        <w:spacing w:after="160" w:line="360" w:lineRule="auto"/>
        <w:ind w:left="5103"/>
        <w:jc w:val="center"/>
        <w:rPr>
          <w:rFonts w:ascii="Sylfaen" w:hAnsi="Sylfaen"/>
          <w:sz w:val="24"/>
          <w:szCs w:val="24"/>
        </w:rPr>
      </w:pPr>
    </w:p>
    <w:p w14:paraId="1618D4B9" w14:textId="77777777" w:rsidR="008C76E0" w:rsidRPr="00132EF0" w:rsidRDefault="008C76E0" w:rsidP="00132EF0">
      <w:pPr>
        <w:pStyle w:val="Heading130"/>
        <w:shd w:val="clear" w:color="auto" w:fill="auto"/>
        <w:spacing w:before="0" w:after="160" w:line="360" w:lineRule="auto"/>
        <w:ind w:left="567" w:right="565"/>
        <w:outlineLvl w:val="9"/>
        <w:rPr>
          <w:rFonts w:ascii="Sylfaen" w:hAnsi="Sylfaen"/>
          <w:b/>
          <w:sz w:val="24"/>
          <w:szCs w:val="24"/>
          <w:lang w:val="hy-AM"/>
        </w:rPr>
      </w:pPr>
      <w:bookmarkStart w:id="8" w:name="bookmark9"/>
      <w:r w:rsidRPr="00132EF0">
        <w:rPr>
          <w:rStyle w:val="Heading13Spacing2pt"/>
          <w:rFonts w:ascii="Sylfaen" w:hAnsi="Sylfaen"/>
          <w:b/>
          <w:sz w:val="24"/>
          <w:szCs w:val="24"/>
          <w:lang w:val="hy-AM"/>
        </w:rPr>
        <w:t>ՑՈՒՑՈՒՄՆԵՐ</w:t>
      </w:r>
      <w:bookmarkEnd w:id="8"/>
    </w:p>
    <w:p w14:paraId="51A58271" w14:textId="77777777" w:rsidR="008C76E0" w:rsidRPr="00132EF0" w:rsidRDefault="008C76E0" w:rsidP="00132EF0">
      <w:pPr>
        <w:spacing w:after="160" w:line="360" w:lineRule="auto"/>
        <w:ind w:left="567" w:right="565"/>
        <w:jc w:val="center"/>
        <w:rPr>
          <w:rFonts w:ascii="Sylfaen" w:hAnsi="Sylfaen"/>
          <w:b/>
          <w:sz w:val="24"/>
          <w:szCs w:val="24"/>
        </w:rPr>
      </w:pPr>
      <w:r w:rsidRPr="00132EF0">
        <w:rPr>
          <w:rFonts w:ascii="Sylfaen" w:hAnsi="Sylfaen"/>
          <w:b/>
          <w:sz w:val="24"/>
          <w:szCs w:val="24"/>
        </w:rPr>
        <w:t>դեղապատրաստուկի որակի ասպեկտների կրիտիկական գնահատման մասին փորձագիտական հաշվետվության կազմման</w:t>
      </w:r>
    </w:p>
    <w:p w14:paraId="5589FC98" w14:textId="77777777" w:rsidR="008C76E0" w:rsidRPr="00132EF0" w:rsidRDefault="008C76E0" w:rsidP="00132EF0">
      <w:pPr>
        <w:spacing w:after="160" w:line="360" w:lineRule="auto"/>
        <w:ind w:left="567" w:right="567"/>
        <w:jc w:val="center"/>
        <w:rPr>
          <w:rFonts w:ascii="Sylfaen" w:hAnsi="Sylfaen"/>
          <w:sz w:val="24"/>
          <w:szCs w:val="24"/>
        </w:rPr>
      </w:pPr>
    </w:p>
    <w:p w14:paraId="29AC415D"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I. Ընդհանուր ցուցումներ</w:t>
      </w:r>
    </w:p>
    <w:p w14:paraId="5054671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Սույն ցուցումներում դիտարկվում են հաշվետվության միայն այն բաժինները, որոնք պահանջում են պարզաբանումներ </w:t>
      </w:r>
      <w:r w:rsidR="00C54D75">
        <w:rPr>
          <w:rFonts w:ascii="Sylfaen" w:hAnsi="Sylfaen"/>
          <w:sz w:val="24"/>
          <w:szCs w:val="24"/>
        </w:rPr>
        <w:t>և</w:t>
      </w:r>
      <w:r w:rsidRPr="00132EF0">
        <w:rPr>
          <w:rFonts w:ascii="Sylfaen" w:hAnsi="Sylfaen"/>
          <w:sz w:val="24"/>
          <w:szCs w:val="24"/>
        </w:rPr>
        <w:t xml:space="preserve"> մեկնաբանություններ:</w:t>
      </w:r>
    </w:p>
    <w:p w14:paraId="51031905"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վրա աշխատելիս անհրաժեշտ է հաշվի առնել հետ</w:t>
      </w:r>
      <w:r w:rsidR="00C54D75">
        <w:rPr>
          <w:rFonts w:ascii="Sylfaen" w:hAnsi="Sylfaen"/>
          <w:sz w:val="24"/>
          <w:szCs w:val="24"/>
        </w:rPr>
        <w:t>և</w:t>
      </w:r>
      <w:r w:rsidRPr="00132EF0">
        <w:rPr>
          <w:rFonts w:ascii="Sylfaen" w:hAnsi="Sylfaen"/>
          <w:sz w:val="24"/>
          <w:szCs w:val="24"/>
        </w:rPr>
        <w:t>յալ ասպեկտները.</w:t>
      </w:r>
    </w:p>
    <w:p w14:paraId="7EE3BBD7" w14:textId="7777777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 xml:space="preserve">Հաշվետվությունը պետք է լինի բավականաչափ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132EF0">
        <w:rPr>
          <w:rFonts w:ascii="Sylfaen" w:hAnsi="Sylfaen"/>
          <w:sz w:val="24"/>
          <w:szCs w:val="24"/>
        </w:rPr>
        <w:t xml:space="preserve"> կազմակերպությունների այլ փորձագետների կողմից դրա կրկնակի գնահատման հնարավորության համար:</w:t>
      </w:r>
    </w:p>
    <w:p w14:paraId="01AA1DF2" w14:textId="56C44F67" w:rsidR="008C76E0" w:rsidRPr="00132EF0" w:rsidRDefault="008C76E0" w:rsidP="00132EF0">
      <w:pPr>
        <w:spacing w:after="160" w:line="384" w:lineRule="auto"/>
        <w:ind w:firstLine="567"/>
        <w:jc w:val="both"/>
        <w:rPr>
          <w:rFonts w:ascii="Sylfaen" w:hAnsi="Sylfaen"/>
          <w:sz w:val="24"/>
          <w:szCs w:val="24"/>
        </w:rPr>
      </w:pPr>
      <w:r w:rsidRPr="00132EF0">
        <w:rPr>
          <w:rFonts w:ascii="Sylfaen" w:hAnsi="Sylfaen"/>
          <w:sz w:val="24"/>
          <w:szCs w:val="24"/>
        </w:rPr>
        <w:t>Հաշվետվության մեջ պետք է նկարագրվեն որակի առավել բնորոշ, հատկապես թերություններին վերաբերող ասպեկտները, ինչպես նա</w:t>
      </w:r>
      <w:r w:rsidR="00C54D75">
        <w:rPr>
          <w:rFonts w:ascii="Sylfaen" w:hAnsi="Sylfaen"/>
          <w:sz w:val="24"/>
          <w:szCs w:val="24"/>
        </w:rPr>
        <w:t>և</w:t>
      </w:r>
      <w:r w:rsidRPr="00132EF0">
        <w:rPr>
          <w:rFonts w:ascii="Sylfaen" w:hAnsi="Sylfaen"/>
          <w:sz w:val="24"/>
          <w:szCs w:val="24"/>
        </w:rPr>
        <w:t xml:space="preserve"> պետք է արվեն </w:t>
      </w:r>
      <w:r w:rsidR="0056496B">
        <w:rPr>
          <w:rFonts w:ascii="Sylfaen" w:hAnsi="Sylfaen"/>
          <w:sz w:val="24"/>
          <w:szCs w:val="24"/>
        </w:rPr>
        <w:t>դիմումատու</w:t>
      </w:r>
      <w:r w:rsidRPr="00132EF0">
        <w:rPr>
          <w:rFonts w:ascii="Sylfaen" w:hAnsi="Sylfaen"/>
          <w:sz w:val="24"/>
          <w:szCs w:val="24"/>
        </w:rPr>
        <w:t>ին ներկայացվող հիմնավորված դիտողություններ: Տվյալ դիտողությունները պետք է նա</w:t>
      </w:r>
      <w:r w:rsidR="00C54D75">
        <w:rPr>
          <w:rFonts w:ascii="Sylfaen" w:hAnsi="Sylfaen"/>
          <w:sz w:val="24"/>
          <w:szCs w:val="24"/>
        </w:rPr>
        <w:t>և</w:t>
      </w:r>
      <w:r w:rsidRPr="00132EF0">
        <w:rPr>
          <w:rFonts w:ascii="Sylfaen" w:hAnsi="Sylfaen"/>
          <w:sz w:val="24"/>
          <w:szCs w:val="24"/>
        </w:rPr>
        <w:t xml:space="preserve"> թվարկվեն «Անվտանգության, որակի, արդյունավետության գնահատում» ամփոփ փորձագիտական հաշվետվության մոդուլում: </w:t>
      </w:r>
    </w:p>
    <w:p w14:paraId="764B83A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Հաշվետվության մեջ նշված տեղեկատվության աղբյուրները (այդ թվում՝ դոսյեի սպեցիֆիկ բաժինները՝ ընդհանուր նկարագրությունը, ամփոփ տեղեկատվությունը, հետազոտությունների մասին հաշվետվությունները) ճիշտ ներկայացնելու համար անհրաժեշտ է օգտագործել խաչաձ</w:t>
      </w:r>
      <w:r w:rsidR="00C54D75">
        <w:rPr>
          <w:rFonts w:ascii="Sylfaen" w:hAnsi="Sylfaen"/>
          <w:sz w:val="24"/>
          <w:szCs w:val="24"/>
        </w:rPr>
        <w:t>և</w:t>
      </w:r>
      <w:r w:rsidRPr="00132EF0">
        <w:rPr>
          <w:rFonts w:ascii="Sylfaen" w:hAnsi="Sylfaen"/>
          <w:sz w:val="24"/>
          <w:szCs w:val="24"/>
        </w:rPr>
        <w:t xml:space="preserve"> հղումներ դոսյեի փաստաթղթերին, հղումներ գրականությանը </w:t>
      </w:r>
      <w:r w:rsidR="00C54D75">
        <w:rPr>
          <w:rFonts w:ascii="Sylfaen" w:hAnsi="Sylfaen"/>
          <w:sz w:val="24"/>
          <w:szCs w:val="24"/>
        </w:rPr>
        <w:t>և</w:t>
      </w:r>
      <w:r w:rsidRPr="00132EF0">
        <w:rPr>
          <w:rFonts w:ascii="Sylfaen" w:hAnsi="Sylfaen"/>
          <w:sz w:val="24"/>
          <w:szCs w:val="24"/>
        </w:rPr>
        <w:t xml:space="preserve"> այլ աղբյուրների:</w:t>
      </w:r>
    </w:p>
    <w:p w14:paraId="4A07C84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Հաշվետվության մեջ նա</w:t>
      </w:r>
      <w:r w:rsidR="00C54D75">
        <w:rPr>
          <w:rFonts w:ascii="Sylfaen" w:hAnsi="Sylfaen"/>
          <w:sz w:val="24"/>
          <w:szCs w:val="24"/>
        </w:rPr>
        <w:t>և</w:t>
      </w:r>
      <w:r w:rsidRPr="00132EF0">
        <w:rPr>
          <w:rFonts w:ascii="Sylfaen" w:hAnsi="Sylfaen"/>
          <w:sz w:val="24"/>
          <w:szCs w:val="24"/>
        </w:rPr>
        <w:t xml:space="preserve"> պետք է հատուկ ձ</w:t>
      </w:r>
      <w:r w:rsidR="00C54D75">
        <w:rPr>
          <w:rFonts w:ascii="Sylfaen" w:hAnsi="Sylfaen"/>
          <w:sz w:val="24"/>
          <w:szCs w:val="24"/>
        </w:rPr>
        <w:t>և</w:t>
      </w:r>
      <w:r w:rsidRPr="00132EF0">
        <w:rPr>
          <w:rFonts w:ascii="Sylfaen" w:hAnsi="Sylfaen"/>
          <w:sz w:val="24"/>
          <w:szCs w:val="24"/>
        </w:rPr>
        <w:t>ով ընդգծվեն այն տվյալները, որոնք անհրաժեշտ է ներառել դեղապատրաստուկի ընդհանուր բնութագրում (այսուհետ՝ ԴԸԲ)։</w:t>
      </w:r>
    </w:p>
    <w:p w14:paraId="279C6E1F" w14:textId="2626E77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Հնարավորության դեպքում տեղեկատվությունը պետք է ներկայացվի աղյուսակների, գծապատկերների </w:t>
      </w:r>
      <w:r w:rsidR="00C54D75">
        <w:rPr>
          <w:rFonts w:ascii="Sylfaen" w:hAnsi="Sylfaen"/>
          <w:sz w:val="24"/>
          <w:szCs w:val="24"/>
        </w:rPr>
        <w:t>և</w:t>
      </w:r>
      <w:r w:rsidRPr="00132EF0">
        <w:rPr>
          <w:rFonts w:ascii="Sylfaen" w:hAnsi="Sylfaen"/>
          <w:sz w:val="24"/>
          <w:szCs w:val="24"/>
        </w:rPr>
        <w:t xml:space="preserve"> նկարների տեսքով, որոնց օրինակները բերված են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հավելվածում: Թույլատրվում է հաշվետվության մեջ ներառել պատրաստուկի դոսյեից աղյուսակներ: Ընդ որում, հարկ է բերել համապատասխան հղումներ: Նյութի ընկալումը դյուրացնելու համար կարող են սահմանափակ քանակությամբ ներառվել </w:t>
      </w:r>
      <w:r w:rsidR="0056496B">
        <w:rPr>
          <w:rFonts w:ascii="Sylfaen" w:hAnsi="Sylfaen"/>
          <w:sz w:val="24"/>
          <w:szCs w:val="24"/>
        </w:rPr>
        <w:t>դիմումատու</w:t>
      </w:r>
      <w:r w:rsidRPr="00132EF0">
        <w:rPr>
          <w:rFonts w:ascii="Sylfaen" w:hAnsi="Sylfaen"/>
          <w:sz w:val="24"/>
          <w:szCs w:val="24"/>
        </w:rPr>
        <w:t xml:space="preserve">ի այնպիսի տվյալներ, ինչպիսիք են բլոկ-սխեմաները, մասնագրերը </w:t>
      </w:r>
      <w:r w:rsidR="00C54D75">
        <w:rPr>
          <w:rFonts w:ascii="Sylfaen" w:hAnsi="Sylfaen"/>
          <w:sz w:val="24"/>
          <w:szCs w:val="24"/>
        </w:rPr>
        <w:t>և</w:t>
      </w:r>
      <w:r w:rsidRPr="00132EF0">
        <w:rPr>
          <w:rFonts w:ascii="Sylfaen" w:hAnsi="Sylfaen"/>
          <w:sz w:val="24"/>
          <w:szCs w:val="24"/>
        </w:rPr>
        <w:t xml:space="preserve"> այլն:</w:t>
      </w:r>
    </w:p>
    <w:p w14:paraId="3739528F"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8 հավելվածի հաշվետվության ձ</w:t>
      </w:r>
      <w:r w:rsidR="00C54D75">
        <w:rPr>
          <w:rFonts w:ascii="Sylfaen" w:hAnsi="Sylfaen"/>
          <w:sz w:val="24"/>
          <w:szCs w:val="24"/>
        </w:rPr>
        <w:t>և</w:t>
      </w:r>
      <w:r w:rsidRPr="00132EF0">
        <w:rPr>
          <w:rFonts w:ascii="Sylfaen" w:hAnsi="Sylfaen"/>
          <w:sz w:val="24"/>
          <w:szCs w:val="24"/>
        </w:rPr>
        <w:t xml:space="preserve">անմուշում ավելացված են մի քանի առանձին էջեր, որոնք նախատեսված են հապավումների ցանկի </w:t>
      </w:r>
      <w:r w:rsidR="00C54D75">
        <w:rPr>
          <w:rFonts w:ascii="Sylfaen" w:hAnsi="Sylfaen"/>
          <w:sz w:val="24"/>
          <w:szCs w:val="24"/>
        </w:rPr>
        <w:t>և</w:t>
      </w:r>
      <w:r w:rsidRPr="00132EF0">
        <w:rPr>
          <w:rFonts w:ascii="Sylfaen" w:hAnsi="Sylfaen"/>
          <w:sz w:val="24"/>
          <w:szCs w:val="24"/>
        </w:rPr>
        <w:t xml:space="preserve"> գրականության ցանկի համար, այդ էջերը անհրաժեշտության դեպքում հարկ է լրացնել:</w:t>
      </w:r>
    </w:p>
    <w:p w14:paraId="2D2113B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Որպես հիմնական տեքստի տառատեսակ խորհուրդ է տրվում օգտագործել Times New Roman տառաշարը, տպատառի չափսը՝ 11 կետաչափից ոչ պակաս: Հաշվետվության ծավալի՝ 7 թերթի գերազանցման դեպքում հարկ է այն գլխակարգել՝ փորձագիտական հաշվետվության տեքստում հեշտությամբ կողմնորոշվելու համար:</w:t>
      </w:r>
    </w:p>
    <w:p w14:paraId="68FF00B1"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 xml:space="preserve">II. Կրիտիկական գնահատական </w:t>
      </w:r>
      <w:r w:rsidR="00C54D75">
        <w:rPr>
          <w:rFonts w:ascii="Sylfaen" w:hAnsi="Sylfaen"/>
          <w:sz w:val="24"/>
          <w:szCs w:val="24"/>
        </w:rPr>
        <w:t>և</w:t>
      </w:r>
      <w:r w:rsidRPr="00132EF0">
        <w:rPr>
          <w:rFonts w:ascii="Sylfaen" w:hAnsi="Sylfaen"/>
          <w:sz w:val="24"/>
          <w:szCs w:val="24"/>
        </w:rPr>
        <w:t xml:space="preserve"> որակի փորձաքննություն</w:t>
      </w:r>
    </w:p>
    <w:p w14:paraId="19CA67A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lastRenderedPageBreak/>
        <w:t>Ստոր</w:t>
      </w:r>
      <w:r w:rsidR="00C54D75">
        <w:rPr>
          <w:rFonts w:ascii="Sylfaen" w:hAnsi="Sylfaen"/>
          <w:sz w:val="24"/>
          <w:szCs w:val="24"/>
        </w:rPr>
        <w:t>և</w:t>
      </w:r>
      <w:r w:rsidRPr="00132EF0">
        <w:rPr>
          <w:rFonts w:ascii="Sylfaen" w:hAnsi="Sylfaen"/>
          <w:sz w:val="24"/>
          <w:szCs w:val="24"/>
        </w:rPr>
        <w:t xml:space="preserve"> բերված՝ որակի կրիտիկական գնահատականի մասին հաշվետվության կառուցվածքը հիմնականում, բացի մի քանի բաժիններից, օրինակ՝ «Ներածություն» բաժնից, համապատասխանում է գրանցման դոսյեի կառուցվածքին՝ արտադրանքի մասին իրազեկող տեղեկատվություն ներկայացնելու համար:</w:t>
      </w:r>
    </w:p>
    <w:p w14:paraId="04F689D2" w14:textId="7BB030B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Չնայած նշված ձեռնարկը կիրառելի է ինչպես նոր, այնպես էլ </w:t>
      </w:r>
      <w:r w:rsidR="005F6A31">
        <w:rPr>
          <w:rFonts w:ascii="Sylfaen" w:hAnsi="Sylfaen"/>
          <w:sz w:val="24"/>
          <w:szCs w:val="24"/>
        </w:rPr>
        <w:t>հայտնի</w:t>
      </w:r>
      <w:r w:rsidRPr="00132EF0">
        <w:rPr>
          <w:rFonts w:ascii="Sylfaen" w:hAnsi="Sylfaen"/>
          <w:sz w:val="24"/>
          <w:szCs w:val="24"/>
        </w:rPr>
        <w:t xml:space="preserve"> ակտիվ քիմիական բաղադրամասերի </w:t>
      </w:r>
      <w:r w:rsidR="00C54D75">
        <w:rPr>
          <w:rFonts w:ascii="Sylfaen" w:hAnsi="Sylfaen"/>
          <w:sz w:val="24"/>
          <w:szCs w:val="24"/>
        </w:rPr>
        <w:t>և</w:t>
      </w:r>
      <w:r w:rsidRPr="00132EF0">
        <w:rPr>
          <w:rFonts w:ascii="Sylfaen" w:hAnsi="Sylfaen"/>
          <w:sz w:val="24"/>
          <w:szCs w:val="24"/>
        </w:rPr>
        <w:t xml:space="preserve"> կենսատեխնոլոգիական (կենսաբանական) արտադրանքի համար, որոշ դեպքերում բերվում են որոշակի լրացուցիչ ցուցումներ՝ կա՛մ նոր քիմիական բաղադրամասերի, կա՛մ կենսատեխնոլոգիական (կենսաբանական) արտադրանքի համար:</w:t>
      </w:r>
    </w:p>
    <w:p w14:paraId="0111FA36" w14:textId="0DFF9FC5"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Նա</w:t>
      </w:r>
      <w:r w:rsidR="00C54D75">
        <w:rPr>
          <w:rFonts w:ascii="Sylfaen" w:hAnsi="Sylfaen"/>
          <w:sz w:val="24"/>
          <w:szCs w:val="24"/>
        </w:rPr>
        <w:t>և</w:t>
      </w:r>
      <w:r w:rsidRPr="00132EF0">
        <w:rPr>
          <w:rFonts w:ascii="Sylfaen" w:hAnsi="Sylfaen"/>
          <w:sz w:val="24"/>
          <w:szCs w:val="24"/>
        </w:rPr>
        <w:t xml:space="preserve"> հարկ է ծանոթանալ </w:t>
      </w:r>
      <w:r w:rsidR="0056496B">
        <w:rPr>
          <w:rFonts w:ascii="Sylfaen" w:hAnsi="Sylfaen"/>
          <w:sz w:val="24"/>
          <w:szCs w:val="24"/>
        </w:rPr>
        <w:t>դիմումատու</w:t>
      </w:r>
      <w:r w:rsidRPr="00132EF0">
        <w:rPr>
          <w:rFonts w:ascii="Sylfaen" w:hAnsi="Sylfaen"/>
          <w:sz w:val="24"/>
          <w:szCs w:val="24"/>
        </w:rPr>
        <w:t>ի համար՝ գրանցման դոսյեի կազմման մասով հանձնարարականներին ոչ այնքան սույն փաստաթղթում տվյալ հրահանգների կիրառման, որքան փորձագետների ուշադրությունը գրանցման դոսյեում հատուկ չնկարագրված որոշ լրացուցիչ ասպեկտների վրա հրավիրելու համար: Անհրաժեշտ է ուշադրություն դարձնել այն փաստին, որ պարզության համար ստոր</w:t>
      </w:r>
      <w:r w:rsidR="00C54D75">
        <w:rPr>
          <w:rFonts w:ascii="Sylfaen" w:hAnsi="Sylfaen"/>
          <w:sz w:val="24"/>
          <w:szCs w:val="24"/>
        </w:rPr>
        <w:t>և</w:t>
      </w:r>
      <w:r w:rsidRPr="00132EF0">
        <w:rPr>
          <w:rFonts w:ascii="Sylfaen" w:hAnsi="Sylfaen"/>
          <w:sz w:val="24"/>
          <w:szCs w:val="24"/>
        </w:rPr>
        <w:t xml:space="preserve"> ներկայացված հաշվետվության կառուցվածքում բերվում են միայն գրանցման դոսյեի «հիմնական» վերնագրերը: Փորձագետները կարող են ավելացնել որոշ վերնագրեր՝ կախված արտադրանքի առանձնահատկություններից: </w:t>
      </w:r>
    </w:p>
    <w:p w14:paraId="29B89095" w14:textId="7A39D74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Գաղտնի </w:t>
      </w:r>
      <w:r w:rsidR="00C54D75">
        <w:rPr>
          <w:rFonts w:ascii="Sylfaen" w:hAnsi="Sylfaen"/>
          <w:sz w:val="24"/>
          <w:szCs w:val="24"/>
        </w:rPr>
        <w:t>և</w:t>
      </w:r>
      <w:r w:rsidRPr="00132EF0">
        <w:rPr>
          <w:rFonts w:ascii="Sylfaen" w:hAnsi="Sylfaen"/>
          <w:sz w:val="24"/>
          <w:szCs w:val="24"/>
        </w:rPr>
        <w:t xml:space="preserve"> </w:t>
      </w:r>
      <w:r w:rsidR="0056496B">
        <w:rPr>
          <w:rFonts w:ascii="Sylfaen" w:hAnsi="Sylfaen"/>
          <w:sz w:val="24"/>
          <w:szCs w:val="24"/>
        </w:rPr>
        <w:t>դիմումատու</w:t>
      </w:r>
      <w:r w:rsidRPr="00132EF0">
        <w:rPr>
          <w:rFonts w:ascii="Sylfaen" w:hAnsi="Sylfaen"/>
          <w:sz w:val="24"/>
          <w:szCs w:val="24"/>
        </w:rPr>
        <w:t xml:space="preserve">ին՝ ի գիտություն չնախատեսված տեղեկատվությանը արված հղումները (օրինակ՝ հղումներ այլ դեղապատրաստուկի գնահատման հաշվետվությանը) պետք է հստակ նշված լինեն որպես «Գաղտնի տեղեկատվություն» </w:t>
      </w:r>
      <w:r w:rsidR="00C54D75">
        <w:rPr>
          <w:rFonts w:ascii="Sylfaen" w:hAnsi="Sylfaen"/>
          <w:sz w:val="24"/>
          <w:szCs w:val="24"/>
        </w:rPr>
        <w:t>և</w:t>
      </w:r>
      <w:r w:rsidRPr="00132EF0">
        <w:rPr>
          <w:rFonts w:ascii="Sylfaen" w:hAnsi="Sylfaen"/>
          <w:sz w:val="24"/>
          <w:szCs w:val="24"/>
        </w:rPr>
        <w:t xml:space="preserve"> առանձնացվեն դեղին ֆոնով: </w:t>
      </w:r>
      <w:r w:rsidR="0056496B">
        <w:rPr>
          <w:rFonts w:ascii="Sylfaen" w:hAnsi="Sylfaen"/>
          <w:sz w:val="24"/>
          <w:szCs w:val="24"/>
        </w:rPr>
        <w:t>Դիմումատու</w:t>
      </w:r>
      <w:r w:rsidRPr="00132EF0">
        <w:rPr>
          <w:rFonts w:ascii="Sylfaen" w:hAnsi="Sylfaen"/>
          <w:sz w:val="24"/>
          <w:szCs w:val="24"/>
        </w:rPr>
        <w:t>ին ուղարկելուց առաջ այս բաժինները պետք է հաշվետվությունից հանվեն:</w:t>
      </w:r>
    </w:p>
    <w:p w14:paraId="288F68FE"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Որակի կրիտիկական գնահատականի մասին սույն հաշվետվությունը պետք է իրենից ներկայացնի ինքնուրույն փաստաթուղթ, ինչը իրագործելի է հետ</w:t>
      </w:r>
      <w:r w:rsidR="00C54D75">
        <w:rPr>
          <w:rFonts w:ascii="Sylfaen" w:hAnsi="Sylfaen"/>
          <w:sz w:val="24"/>
          <w:szCs w:val="24"/>
        </w:rPr>
        <w:t>և</w:t>
      </w:r>
      <w:r w:rsidRPr="00132EF0">
        <w:rPr>
          <w:rFonts w:ascii="Sylfaen" w:hAnsi="Sylfaen"/>
          <w:sz w:val="24"/>
          <w:szCs w:val="24"/>
        </w:rPr>
        <w:t>յալ եղանակներով՝</w:t>
      </w:r>
    </w:p>
    <w:p w14:paraId="20BB947B" w14:textId="07A1BFAA" w:rsidR="008C76E0" w:rsidRPr="00132EF0" w:rsidRDefault="0056496B" w:rsidP="00132EF0">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132EF0">
        <w:rPr>
          <w:rFonts w:ascii="Sylfaen" w:hAnsi="Sylfaen"/>
          <w:sz w:val="24"/>
          <w:szCs w:val="24"/>
        </w:rPr>
        <w:t xml:space="preserve">ի դոսյեից վերցված տվյալների ներկայացմամբ կամ </w:t>
      </w:r>
      <w:r w:rsidR="008C76E0" w:rsidRPr="00132EF0">
        <w:rPr>
          <w:rFonts w:ascii="Sylfaen" w:hAnsi="Sylfaen"/>
          <w:sz w:val="24"/>
          <w:szCs w:val="24"/>
        </w:rPr>
        <w:lastRenderedPageBreak/>
        <w:t>պատճենմամբ, որին հետ</w:t>
      </w:r>
      <w:r w:rsidR="00C54D75">
        <w:rPr>
          <w:rFonts w:ascii="Sylfaen" w:hAnsi="Sylfaen"/>
          <w:sz w:val="24"/>
          <w:szCs w:val="24"/>
        </w:rPr>
        <w:t>և</w:t>
      </w:r>
      <w:r w:rsidR="008C76E0" w:rsidRPr="00132EF0">
        <w:rPr>
          <w:rFonts w:ascii="Sylfaen" w:hAnsi="Sylfaen"/>
          <w:sz w:val="24"/>
          <w:szCs w:val="24"/>
        </w:rPr>
        <w:t xml:space="preserve">ում է փորձագետի կողմից այդ տվյալների մասով սեփական կրիտիկական գնահատականը, մասնավորապես, անվտանգության (արդյունավետության) հարցերի մասով, </w:t>
      </w:r>
      <w:r w:rsidR="00C54D75">
        <w:rPr>
          <w:rFonts w:ascii="Sylfaen" w:hAnsi="Sylfaen"/>
          <w:sz w:val="24"/>
          <w:szCs w:val="24"/>
        </w:rPr>
        <w:t>և</w:t>
      </w:r>
      <w:r w:rsidR="008C76E0" w:rsidRPr="00132EF0">
        <w:rPr>
          <w:rFonts w:ascii="Sylfaen" w:hAnsi="Sylfaen"/>
          <w:sz w:val="24"/>
          <w:szCs w:val="24"/>
        </w:rPr>
        <w:t xml:space="preserve"> ուշադրությունը ս</w:t>
      </w:r>
      <w:r w:rsidR="00C54D75">
        <w:rPr>
          <w:rFonts w:ascii="Sylfaen" w:hAnsi="Sylfaen"/>
          <w:sz w:val="24"/>
          <w:szCs w:val="24"/>
        </w:rPr>
        <w:t>և</w:t>
      </w:r>
      <w:r w:rsidR="008C76E0" w:rsidRPr="00132EF0">
        <w:rPr>
          <w:rFonts w:ascii="Sylfaen" w:hAnsi="Sylfaen"/>
          <w:sz w:val="24"/>
          <w:szCs w:val="24"/>
        </w:rPr>
        <w:t>եռելով որոշ ուղենշային փաստաթղթերի պահանջներին համապատասխանության վրա: Նման դեպքերում շփոթությունից խուսափելու համար մեկնաբանությունները ներառվում են «Փորձագետի մեկնաբանություններ» համապատասխան վերնագրի ներքո.</w:t>
      </w:r>
    </w:p>
    <w:p w14:paraId="573BF75B" w14:textId="09905766"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հաշվետվության մեջ հիմնականում շարադրելով փորձագետի սեփական տեսակետները՝ հղումներ կատարելով </w:t>
      </w:r>
      <w:r w:rsidR="0056496B">
        <w:rPr>
          <w:rFonts w:ascii="Sylfaen" w:hAnsi="Sylfaen"/>
          <w:sz w:val="24"/>
          <w:szCs w:val="24"/>
        </w:rPr>
        <w:t>դիմումատու</w:t>
      </w:r>
      <w:r w:rsidRPr="00132EF0">
        <w:rPr>
          <w:rFonts w:ascii="Sylfaen" w:hAnsi="Sylfaen"/>
          <w:sz w:val="24"/>
          <w:szCs w:val="24"/>
        </w:rPr>
        <w:t xml:space="preserve">ի տվյալներին </w:t>
      </w:r>
      <w:r w:rsidR="00C54D75">
        <w:rPr>
          <w:rFonts w:ascii="Sylfaen" w:hAnsi="Sylfaen"/>
          <w:sz w:val="24"/>
          <w:szCs w:val="24"/>
        </w:rPr>
        <w:t>և</w:t>
      </w:r>
      <w:r w:rsidRPr="00132EF0">
        <w:rPr>
          <w:rFonts w:ascii="Sylfaen" w:hAnsi="Sylfaen"/>
          <w:sz w:val="24"/>
          <w:szCs w:val="24"/>
        </w:rPr>
        <w:t xml:space="preserve"> (կամ) Որակի ընդհանուր ռեզյումեին: Այդ դեպքում փորձագետի եզրակացությունը ենթակա է ընթերցման կից ներկայացված Որակի ընդհանուր ռեզյումեի հետ միասին: Ընդ որում, փորձագետի մեկնաբանությունների համար լրացուցիչ վերնագրերի անհրաժեշտություն չկա:</w:t>
      </w:r>
    </w:p>
    <w:p w14:paraId="328D36E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Եզրակացություն կազմելիս փորձագետը նա</w:t>
      </w:r>
      <w:r w:rsidR="00C54D75">
        <w:rPr>
          <w:rFonts w:ascii="Sylfaen" w:hAnsi="Sylfaen"/>
          <w:sz w:val="24"/>
          <w:szCs w:val="24"/>
        </w:rPr>
        <w:t>և</w:t>
      </w:r>
      <w:r w:rsidRPr="00132EF0">
        <w:rPr>
          <w:rFonts w:ascii="Sylfaen" w:hAnsi="Sylfaen"/>
          <w:sz w:val="24"/>
          <w:szCs w:val="24"/>
        </w:rPr>
        <w:t xml:space="preserve"> կարող է օգտվել համապատասխան ձեռնարկներից </w:t>
      </w:r>
      <w:r w:rsidR="00C54D75">
        <w:rPr>
          <w:rFonts w:ascii="Sylfaen" w:hAnsi="Sylfaen"/>
          <w:sz w:val="24"/>
          <w:szCs w:val="24"/>
        </w:rPr>
        <w:t>և</w:t>
      </w:r>
      <w:r w:rsidRPr="00132EF0">
        <w:rPr>
          <w:rFonts w:ascii="Sylfaen" w:hAnsi="Sylfaen"/>
          <w:sz w:val="24"/>
          <w:szCs w:val="24"/>
        </w:rPr>
        <w:t xml:space="preserve"> հանձնարարականներից: </w:t>
      </w:r>
    </w:p>
    <w:p w14:paraId="6E7F75EF"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Փորձագետը, որպես կանոն, որակին վերաբերող հարցերը պետք է զուգադրի դիտարկվող դեղապատրաստուկի արդյունավետության </w:t>
      </w:r>
      <w:r w:rsidR="00C54D75">
        <w:rPr>
          <w:rFonts w:ascii="Sylfaen" w:hAnsi="Sylfaen"/>
          <w:sz w:val="24"/>
          <w:szCs w:val="24"/>
        </w:rPr>
        <w:t>և</w:t>
      </w:r>
      <w:r w:rsidRPr="00132EF0">
        <w:rPr>
          <w:rFonts w:ascii="Sylfaen" w:hAnsi="Sylfaen"/>
          <w:sz w:val="24"/>
          <w:szCs w:val="24"/>
        </w:rPr>
        <w:t xml:space="preserve"> անվտանգության հետ: Նա</w:t>
      </w:r>
      <w:r w:rsidR="00C54D75">
        <w:rPr>
          <w:rFonts w:ascii="Sylfaen" w:hAnsi="Sylfaen"/>
          <w:sz w:val="24"/>
          <w:szCs w:val="24"/>
        </w:rPr>
        <w:t>և</w:t>
      </w:r>
      <w:r w:rsidRPr="00132EF0">
        <w:rPr>
          <w:rFonts w:ascii="Sylfaen" w:hAnsi="Sylfaen"/>
          <w:sz w:val="24"/>
          <w:szCs w:val="24"/>
        </w:rPr>
        <w:t xml:space="preserve"> հարկ է լուսաբանել այն հարցերը, որոնք առաջացել են գիտական գնահատման արդյունքներով (ստոր</w:t>
      </w:r>
      <w:r w:rsidR="00C54D75">
        <w:rPr>
          <w:rFonts w:ascii="Sylfaen" w:hAnsi="Sylfaen"/>
          <w:sz w:val="24"/>
          <w:szCs w:val="24"/>
        </w:rPr>
        <w:t>և</w:t>
      </w:r>
      <w:r w:rsidRPr="00132EF0">
        <w:rPr>
          <w:rFonts w:ascii="Sylfaen" w:hAnsi="Sylfaen"/>
          <w:sz w:val="24"/>
          <w:szCs w:val="24"/>
        </w:rPr>
        <w:t xml:space="preserve"> նկարագրված) </w:t>
      </w:r>
      <w:r w:rsidR="00C54D75">
        <w:rPr>
          <w:rFonts w:ascii="Sylfaen" w:hAnsi="Sylfaen"/>
          <w:sz w:val="24"/>
          <w:szCs w:val="24"/>
        </w:rPr>
        <w:t>և</w:t>
      </w:r>
      <w:r w:rsidRPr="00132EF0">
        <w:rPr>
          <w:rFonts w:ascii="Sylfaen" w:hAnsi="Sylfaen"/>
          <w:sz w:val="24"/>
          <w:szCs w:val="24"/>
        </w:rPr>
        <w:t xml:space="preserve"> վերաբերում են պատրաստուկի մասին տեղեկատվությանը (ԴԸԲ-ի, մականշվածքի </w:t>
      </w:r>
      <w:r w:rsidR="00C54D75">
        <w:rPr>
          <w:rFonts w:ascii="Sylfaen" w:hAnsi="Sylfaen"/>
          <w:sz w:val="24"/>
          <w:szCs w:val="24"/>
        </w:rPr>
        <w:t>և</w:t>
      </w:r>
      <w:r w:rsidRPr="00132EF0">
        <w:rPr>
          <w:rFonts w:ascii="Sylfaen" w:hAnsi="Sylfaen"/>
          <w:sz w:val="24"/>
          <w:szCs w:val="24"/>
        </w:rPr>
        <w:t xml:space="preserve"> բժշկական կիրառման հրահանգի (ներդիր թերթիկի) մասով դիտողություններ):</w:t>
      </w:r>
    </w:p>
    <w:p w14:paraId="2ADC3901" w14:textId="053705D2"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դեղապատրաստուկի գրանցման համար </w:t>
      </w:r>
      <w:r w:rsidR="0056496B">
        <w:rPr>
          <w:rFonts w:ascii="Sylfaen" w:hAnsi="Sylfaen"/>
          <w:sz w:val="24"/>
          <w:szCs w:val="24"/>
        </w:rPr>
        <w:t>դիմում</w:t>
      </w:r>
      <w:r w:rsidRPr="00132EF0">
        <w:rPr>
          <w:rFonts w:ascii="Sylfaen" w:hAnsi="Sylfaen"/>
          <w:sz w:val="24"/>
          <w:szCs w:val="24"/>
        </w:rPr>
        <w:t xml:space="preserve"> ներկայացնելիս անհրաժեշտ է ներկայացնել ծավալուն համադրական գնահատական՝ կենսահամանման (կենսանման) դեղապատրաստուկի </w:t>
      </w:r>
      <w:r w:rsidR="00C54D75">
        <w:rPr>
          <w:rFonts w:ascii="Sylfaen" w:hAnsi="Sylfaen"/>
          <w:sz w:val="24"/>
          <w:szCs w:val="24"/>
        </w:rPr>
        <w:t>և</w:t>
      </w:r>
      <w:r w:rsidRPr="00132EF0">
        <w:rPr>
          <w:rFonts w:ascii="Sylfaen" w:hAnsi="Sylfaen"/>
          <w:sz w:val="24"/>
          <w:szCs w:val="24"/>
        </w:rPr>
        <w:t xml:space="preserve"> Միությունում արդեն գրանցված ռեֆերենտ պատրաստուկների՝ որակի, անվտանգության </w:t>
      </w:r>
      <w:r w:rsidR="00C54D75">
        <w:rPr>
          <w:rFonts w:ascii="Sylfaen" w:hAnsi="Sylfaen"/>
          <w:sz w:val="24"/>
          <w:szCs w:val="24"/>
        </w:rPr>
        <w:t>և</w:t>
      </w:r>
      <w:r w:rsidRPr="00132EF0">
        <w:rPr>
          <w:rFonts w:ascii="Sylfaen" w:hAnsi="Sylfaen"/>
          <w:sz w:val="24"/>
          <w:szCs w:val="24"/>
        </w:rPr>
        <w:t xml:space="preserve"> արդյունավետության առումով նման բնութագրեր ունենալը հաստատելու համար:</w:t>
      </w:r>
    </w:p>
    <w:p w14:paraId="5D83937C"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Ռեֆերենտ պատրաստուկի դեղաչափի, դեղաձ</w:t>
      </w:r>
      <w:r w:rsidR="00C54D75">
        <w:rPr>
          <w:rFonts w:ascii="Sylfaen" w:hAnsi="Sylfaen"/>
          <w:sz w:val="24"/>
          <w:szCs w:val="24"/>
        </w:rPr>
        <w:t>և</w:t>
      </w:r>
      <w:r w:rsidRPr="00132EF0">
        <w:rPr>
          <w:rFonts w:ascii="Sylfaen" w:hAnsi="Sylfaen"/>
          <w:sz w:val="24"/>
          <w:szCs w:val="24"/>
        </w:rPr>
        <w:t xml:space="preserve">ի (անվանումը), գրանցման </w:t>
      </w:r>
      <w:r w:rsidRPr="00132EF0">
        <w:rPr>
          <w:rFonts w:ascii="Sylfaen" w:hAnsi="Sylfaen"/>
          <w:sz w:val="24"/>
          <w:szCs w:val="24"/>
        </w:rPr>
        <w:lastRenderedPageBreak/>
        <w:t xml:space="preserve">հավաստագրի իրավատիրոջ, գրանցման հավաստագրի տրամադրման ամսաթվի մասին մանրամասն տեղեկատվությունը պետք է ստուգվի գրանցման դոսյեի վալիդացման (լրակազմության գնահատման) փուլում: Ի լրումն տվյալ տեղեկատվության՝ փորձագետի կողմից հաստատվում են սերիաների համարները </w:t>
      </w:r>
      <w:r w:rsidR="00C54D75">
        <w:rPr>
          <w:rFonts w:ascii="Sylfaen" w:hAnsi="Sylfaen"/>
          <w:sz w:val="24"/>
          <w:szCs w:val="24"/>
        </w:rPr>
        <w:t>և</w:t>
      </w:r>
      <w:r w:rsidRPr="00132EF0">
        <w:rPr>
          <w:rFonts w:ascii="Sylfaen" w:hAnsi="Sylfaen"/>
          <w:sz w:val="24"/>
          <w:szCs w:val="24"/>
        </w:rPr>
        <w:t xml:space="preserve"> համադրական գնահատման ժամանակ (որակային հատկանիշների, նախակլինիկական </w:t>
      </w:r>
      <w:r w:rsidR="00C54D75">
        <w:rPr>
          <w:rFonts w:ascii="Sylfaen" w:hAnsi="Sylfaen"/>
          <w:sz w:val="24"/>
          <w:szCs w:val="24"/>
        </w:rPr>
        <w:t>և</w:t>
      </w:r>
      <w:r w:rsidRPr="00132EF0">
        <w:rPr>
          <w:rFonts w:ascii="Sylfaen" w:hAnsi="Sylfaen"/>
          <w:sz w:val="24"/>
          <w:szCs w:val="24"/>
        </w:rPr>
        <w:t xml:space="preserve"> կլինիկական հետազոտությունների տվյալների գնահատում) օգտագործվող դեղապատրաստուկի սերիաների ծագման երկրի մասին տեղեկությունները՝ դրանք այնուհետ</w:t>
      </w:r>
      <w:r w:rsidR="00C54D75">
        <w:rPr>
          <w:rFonts w:ascii="Sylfaen" w:hAnsi="Sylfaen"/>
          <w:sz w:val="24"/>
          <w:szCs w:val="24"/>
        </w:rPr>
        <w:t>և</w:t>
      </w:r>
      <w:r w:rsidRPr="00132EF0">
        <w:rPr>
          <w:rFonts w:ascii="Sylfaen" w:hAnsi="Sylfaen"/>
          <w:sz w:val="24"/>
          <w:szCs w:val="24"/>
        </w:rPr>
        <w:t xml:space="preserve"> աղյուսակային ձ</w:t>
      </w:r>
      <w:r w:rsidR="00C54D75">
        <w:rPr>
          <w:rFonts w:ascii="Sylfaen" w:hAnsi="Sylfaen"/>
          <w:sz w:val="24"/>
          <w:szCs w:val="24"/>
        </w:rPr>
        <w:t>և</w:t>
      </w:r>
      <w:r w:rsidRPr="00132EF0">
        <w:rPr>
          <w:rFonts w:ascii="Sylfaen" w:hAnsi="Sylfaen"/>
          <w:sz w:val="24"/>
          <w:szCs w:val="24"/>
        </w:rPr>
        <w:t xml:space="preserve">ով ներկայացնելով պատրաստուկի որակին վերաբերող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 թիվ 4՝ «Ստանդարտ նմուշներ </w:t>
      </w:r>
      <w:r w:rsidR="00C54D75">
        <w:rPr>
          <w:rFonts w:ascii="Sylfaen" w:hAnsi="Sylfaen"/>
          <w:sz w:val="24"/>
          <w:szCs w:val="24"/>
        </w:rPr>
        <w:t>և</w:t>
      </w:r>
      <w:r w:rsidRPr="00132EF0">
        <w:rPr>
          <w:rFonts w:ascii="Sylfaen" w:hAnsi="Sylfaen"/>
          <w:sz w:val="24"/>
          <w:szCs w:val="24"/>
        </w:rPr>
        <w:t xml:space="preserve"> նյութեր» հավելված, ԸՏՓ-ի մոդուլ 3.2.Р.6):</w:t>
      </w:r>
    </w:p>
    <w:p w14:paraId="1BBDD7C3"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Կենսահամանման (կենսանման) դեղապատրաստուկների գրանցման դոսյեի փորձաքննության ժամանակ հարկ է առաջնորդվել Միության ձեռնարկներում </w:t>
      </w:r>
      <w:r w:rsidR="00C54D75">
        <w:rPr>
          <w:rFonts w:ascii="Sylfaen" w:hAnsi="Sylfaen"/>
          <w:sz w:val="24"/>
          <w:szCs w:val="24"/>
        </w:rPr>
        <w:t>և</w:t>
      </w:r>
      <w:r w:rsidRPr="00132EF0">
        <w:rPr>
          <w:rFonts w:ascii="Sylfaen" w:hAnsi="Sylfaen"/>
          <w:sz w:val="24"/>
          <w:szCs w:val="24"/>
        </w:rPr>
        <w:t xml:space="preserve"> անդամ պետությունների համապատասխան ազգային ձեռնարկներում շարադրված պահանջներով: Բացի վերը նշվածներից՝ ընդունելի լինելու դեպքում կարող են կիրառվել կենսատեխնոլոգիական դեղապատրաստուկների վերաբերյալ այլ համապատասխան ձեռնարկներ:</w:t>
      </w:r>
    </w:p>
    <w:p w14:paraId="5D0B13E7" w14:textId="1676F743"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Կենսահամանման (կենսանման) դեղապատրաստուկի բնութագրերի համեմատական գնահատականի արդյունքները գրանցման դոսյեի լրացուցիչ տարրեր են ԸՏՓ-ի ձ</w:t>
      </w:r>
      <w:r w:rsidR="00C54D75">
        <w:rPr>
          <w:rFonts w:ascii="Sylfaen" w:hAnsi="Sylfaen"/>
          <w:sz w:val="24"/>
          <w:szCs w:val="24"/>
        </w:rPr>
        <w:t>և</w:t>
      </w:r>
      <w:r w:rsidRPr="00132EF0">
        <w:rPr>
          <w:rFonts w:ascii="Sylfaen" w:hAnsi="Sylfaen"/>
          <w:sz w:val="24"/>
          <w:szCs w:val="24"/>
        </w:rPr>
        <w:t xml:space="preserve">աչափով, որն ընդունելի լինելու դեպքում կատարվում է </w:t>
      </w:r>
      <w:r w:rsidR="0056496B">
        <w:rPr>
          <w:rFonts w:ascii="Sylfaen" w:hAnsi="Sylfaen"/>
          <w:sz w:val="24"/>
          <w:szCs w:val="24"/>
        </w:rPr>
        <w:t>դիմումատու</w:t>
      </w:r>
      <w:r w:rsidRPr="00132EF0">
        <w:rPr>
          <w:rFonts w:ascii="Sylfaen" w:hAnsi="Sylfaen"/>
          <w:sz w:val="24"/>
          <w:szCs w:val="24"/>
        </w:rPr>
        <w:t xml:space="preserve">ի կողմից ներկայացված համեմատական տվյալներ պարունակող առանձին բաժինների հիման վրա: Ընդ որում, եզրակացության հիման վրա «Անվտանգության, որակի, արդյունավետության գնահատում» ամփոփ փորձագիտական հաշվետվության մոդուլում պետք է սահմանվեն՝ արդյոք հաստատվել է համադրելիությունն ինչպես ակտիվ դեղագործական բաղադրամասի, այնպես էլ դեղապատրաստուկի համար: </w:t>
      </w:r>
    </w:p>
    <w:p w14:paraId="0D076A60" w14:textId="77777777" w:rsidR="008C76E0" w:rsidRPr="00132EF0" w:rsidRDefault="008C76E0" w:rsidP="00132EF0">
      <w:pPr>
        <w:spacing w:after="160" w:line="360" w:lineRule="auto"/>
        <w:ind w:left="567" w:right="565"/>
        <w:jc w:val="center"/>
        <w:outlineLvl w:val="0"/>
        <w:rPr>
          <w:rFonts w:ascii="Sylfaen" w:hAnsi="Sylfaen"/>
          <w:sz w:val="24"/>
          <w:szCs w:val="24"/>
        </w:rPr>
      </w:pPr>
      <w:r w:rsidRPr="00132EF0">
        <w:rPr>
          <w:rFonts w:ascii="Sylfaen" w:hAnsi="Sylfaen"/>
          <w:sz w:val="24"/>
          <w:szCs w:val="24"/>
        </w:rPr>
        <w:t xml:space="preserve">1.Նախքան գրանցման հավաստագիր տրամադրելը դեղագործական </w:t>
      </w:r>
      <w:r w:rsidRPr="00132EF0">
        <w:rPr>
          <w:rFonts w:ascii="Sylfaen" w:hAnsi="Sylfaen"/>
          <w:sz w:val="24"/>
          <w:szCs w:val="24"/>
        </w:rPr>
        <w:lastRenderedPageBreak/>
        <w:t>արտադրության տեսչական ստուգում անցկացնելու հարցումը</w:t>
      </w:r>
    </w:p>
    <w:p w14:paraId="7088961A" w14:textId="789E925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Եթե փորձաքննության ընթացակարգի անցկացման ժամանակ </w:t>
      </w:r>
      <w:r w:rsidR="0056496B">
        <w:rPr>
          <w:rFonts w:ascii="Sylfaen" w:hAnsi="Sylfaen"/>
          <w:sz w:val="24"/>
          <w:szCs w:val="24"/>
        </w:rPr>
        <w:t>դիմում</w:t>
      </w:r>
      <w:r w:rsidRPr="00132EF0">
        <w:rPr>
          <w:rFonts w:ascii="Sylfaen" w:hAnsi="Sylfaen"/>
          <w:sz w:val="24"/>
          <w:szCs w:val="24"/>
        </w:rPr>
        <w:t xml:space="preserve">նաբերվում են այնպիսի փաստեր, որոնք կասկածի են ենթարկում դեղապատրաստուկի արտադրության վերաբերյալ գրանցման դոսյեում ներկայացված տեղեկությունների հավաստիությունը, </w:t>
      </w:r>
      <w:r w:rsidR="00C54D75">
        <w:rPr>
          <w:rFonts w:ascii="Sylfaen" w:hAnsi="Sylfaen"/>
          <w:sz w:val="24"/>
          <w:szCs w:val="24"/>
        </w:rPr>
        <w:t>և</w:t>
      </w:r>
      <w:r w:rsidRPr="00132EF0">
        <w:rPr>
          <w:rFonts w:ascii="Sylfaen" w:hAnsi="Sylfaen"/>
          <w:sz w:val="24"/>
          <w:szCs w:val="24"/>
        </w:rPr>
        <w:t xml:space="preserve"> որոնց համար պահանջվում է անցկացնել արտադրության տեսչական ստուգում, գրանցման դոսյեի գնահատման փուլում համապատասխան լիազորված մարմինը պետք է հնարավորինս կարճ ժամկետներում ծանուցվի այդ մասին: Քանի որ տեսչական ստուգում կազմակերպելու համար պահանջվում է ժամանակ, անհրաժեշտ է նման գործողություն ձեռնարկել մինչ</w:t>
      </w:r>
      <w:r w:rsidR="00C54D75">
        <w:rPr>
          <w:rFonts w:ascii="Sylfaen" w:hAnsi="Sylfaen"/>
          <w:sz w:val="24"/>
          <w:szCs w:val="24"/>
        </w:rPr>
        <w:t>և</w:t>
      </w:r>
      <w:r w:rsidRPr="00132EF0">
        <w:rPr>
          <w:rFonts w:ascii="Sylfaen" w:hAnsi="Sylfaen"/>
          <w:sz w:val="24"/>
          <w:szCs w:val="24"/>
        </w:rPr>
        <w:t xml:space="preserve"> գրանցման հավաստագրի տրամադրումը: Համապատասխան լիազորված մարմինը պետք է հնարավորության դեպքում,ծանուցված լինի նախքան գրանցման դոսյեի կրիտիկական գնահատականի մասին հաշվետվության նախապատրաստումը, ընդ որում, տվյալ հարցումը հետագայում պետք է նշվի հաշվետվության համապատասխան մասում: Հարկ է ընդգծել, որ հարցումներ կարող են ներկայացվել գրանցման դոսյեի՝ որակի ասպեկտներին վերաբերող մոդուլների ցանկացած բաժնի փորձաքննության արդյունքների հիման վրա: Հարցման հիմքերը պետք է համառոտ նկարագրվեն ինչպես պատշաճ արտադրական գործունեության կանոններին ընդհանուր համապատասխանության ստուգման </w:t>
      </w:r>
      <w:r w:rsidR="00C54D75">
        <w:rPr>
          <w:rFonts w:ascii="Sylfaen" w:hAnsi="Sylfaen"/>
          <w:sz w:val="24"/>
          <w:szCs w:val="24"/>
        </w:rPr>
        <w:t>և</w:t>
      </w:r>
      <w:r w:rsidRPr="00132EF0">
        <w:rPr>
          <w:rFonts w:ascii="Sylfaen" w:hAnsi="Sylfaen"/>
          <w:sz w:val="24"/>
          <w:szCs w:val="24"/>
        </w:rPr>
        <w:t xml:space="preserve"> (կամ) արտադրական պրոցեսի գնահատման տեսչական ստուգման մասով, այնպես էլ համապատասխան բաժնում կոնկրետ արտադրանքի որակի մասով </w:t>
      </w:r>
      <w:r w:rsidR="00C54D75">
        <w:rPr>
          <w:rFonts w:ascii="Sylfaen" w:hAnsi="Sylfaen"/>
          <w:sz w:val="24"/>
          <w:szCs w:val="24"/>
        </w:rPr>
        <w:t>և</w:t>
      </w:r>
      <w:r w:rsidRPr="00132EF0">
        <w:rPr>
          <w:rFonts w:ascii="Sylfaen" w:hAnsi="Sylfaen"/>
          <w:sz w:val="24"/>
          <w:szCs w:val="24"/>
        </w:rPr>
        <w:t xml:space="preserve"> առավել մանրամասն՝ հաշվետվության՝ ստոր</w:t>
      </w:r>
      <w:r w:rsidR="00C54D75">
        <w:rPr>
          <w:rFonts w:ascii="Sylfaen" w:hAnsi="Sylfaen"/>
          <w:sz w:val="24"/>
          <w:szCs w:val="24"/>
        </w:rPr>
        <w:t>և</w:t>
      </w:r>
      <w:r w:rsidRPr="00132EF0">
        <w:rPr>
          <w:rFonts w:ascii="Sylfaen" w:hAnsi="Sylfaen"/>
          <w:sz w:val="24"/>
          <w:szCs w:val="24"/>
        </w:rPr>
        <w:t xml:space="preserve"> բերված համապատասխան բաժնում, օրինակ՝ S.2, Р.3: </w:t>
      </w:r>
    </w:p>
    <w:p w14:paraId="42F34A3F" w14:textId="77777777" w:rsidR="008C76E0" w:rsidRPr="00132EF0" w:rsidRDefault="008C76E0" w:rsidP="00132EF0">
      <w:pPr>
        <w:spacing w:after="160" w:line="360" w:lineRule="auto"/>
        <w:ind w:right="-1" w:firstLine="567"/>
        <w:jc w:val="center"/>
        <w:rPr>
          <w:rFonts w:ascii="Sylfaen" w:hAnsi="Sylfaen"/>
          <w:sz w:val="24"/>
          <w:szCs w:val="24"/>
        </w:rPr>
      </w:pPr>
    </w:p>
    <w:p w14:paraId="0A7434D2"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Ակտիվ դեղագործական բաղադրամասի արտադրությունը</w:t>
      </w:r>
    </w:p>
    <w:p w14:paraId="271B1F47"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Դեղապատրաստուկների արտադրության մեջ օգտագործվող ակտիվ դեղագործական բաղադրամասերի արտադրությունը պետք է համապատասխանի Եվրասիական տնտեսական հանձնաժողովի կողմից հաստատվող՝ Եվրասիական տնտեսական միության պատշաճ արտադրական գործունեության կանոնների </w:t>
      </w:r>
      <w:r w:rsidRPr="00132EF0">
        <w:rPr>
          <w:rFonts w:ascii="Sylfaen" w:hAnsi="Sylfaen"/>
          <w:sz w:val="24"/>
          <w:szCs w:val="24"/>
        </w:rPr>
        <w:lastRenderedPageBreak/>
        <w:t>պահանջներին: Ակտիվ դեղագործական բաղադրամասեր արտադրողների կողմից պատշաճ արտադրական գործունեության կանոնների պահպանման ապահովումը դեղագործական արտադրության լիցենզիայի իրավատերերի պարտավորությունն է, որոնք ակտիվ դեղագործական բաղադրամասերն օգտագործում են որպես ելանյութ: Փորձագետի մոտ ակտիվ դեղագործական բաղադրամասի որակի առնչությամբ հիմնավորված կասկածների հետ կապված հարցերի առաջացման դեպքում թույլատրվում է պահանջ ներկայացնել տվյալ ակտիվ դեղագործական բաղադրամասի արտադրական հարթակի տեսչական ստուգում անցկացնելու համար:</w:t>
      </w:r>
    </w:p>
    <w:p w14:paraId="568BA91A"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Տեսչական ստուգումները ձեռնարկվում են ինքնաբերաբար կենսաբանական բաղադրամասերի դեպքում կամ եթե ակտիվ մանրէազերծ դեղագործական բաղադրամասերի արտադրության մեջ առկա է մանրէազերծման փուլ, երբ չկա որ</w:t>
      </w:r>
      <w:r w:rsidR="00C54D75">
        <w:rPr>
          <w:rFonts w:ascii="Sylfaen" w:hAnsi="Sylfaen"/>
          <w:sz w:val="24"/>
          <w:szCs w:val="24"/>
        </w:rPr>
        <w:t>և</w:t>
      </w:r>
      <w:r w:rsidRPr="00132EF0">
        <w:rPr>
          <w:rFonts w:ascii="Sylfaen" w:hAnsi="Sylfaen"/>
          <w:sz w:val="24"/>
          <w:szCs w:val="24"/>
        </w:rPr>
        <w:t xml:space="preserve">է ապացույց առ այն, որ հարթակը լիազորված մարմնի կողմից անցել է պլանային տեսչական ստուգումներ: </w:t>
      </w:r>
    </w:p>
    <w:p w14:paraId="46E34122" w14:textId="77777777" w:rsidR="008C76E0" w:rsidRPr="00132EF0" w:rsidRDefault="008C76E0" w:rsidP="00132EF0">
      <w:pPr>
        <w:spacing w:after="160" w:line="360" w:lineRule="auto"/>
        <w:ind w:right="-1" w:firstLine="567"/>
        <w:jc w:val="center"/>
        <w:rPr>
          <w:rFonts w:ascii="Sylfaen" w:hAnsi="Sylfaen"/>
          <w:sz w:val="24"/>
          <w:szCs w:val="24"/>
        </w:rPr>
      </w:pPr>
    </w:p>
    <w:p w14:paraId="17468467" w14:textId="77777777" w:rsidR="008C76E0" w:rsidRPr="00132EF0" w:rsidRDefault="008C76E0" w:rsidP="00132EF0">
      <w:pPr>
        <w:spacing w:after="160" w:line="360" w:lineRule="auto"/>
        <w:ind w:left="567" w:right="565"/>
        <w:jc w:val="center"/>
        <w:rPr>
          <w:rFonts w:ascii="Sylfaen" w:hAnsi="Sylfaen"/>
          <w:sz w:val="24"/>
          <w:szCs w:val="24"/>
        </w:rPr>
      </w:pPr>
      <w:r w:rsidRPr="00132EF0">
        <w:rPr>
          <w:rFonts w:ascii="Sylfaen" w:hAnsi="Sylfaen"/>
          <w:sz w:val="24"/>
          <w:szCs w:val="24"/>
        </w:rPr>
        <w:t>Դեղապատրաստուկի արտադրությունը</w:t>
      </w:r>
    </w:p>
    <w:p w14:paraId="07522F1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Արտադրական հարթակը դեղամիջոցներ արտադրողի տարածքային առումով առանձնացված համալիրն է, որը նախատեսված է դեղամիջոցների արտադրության ամբողջ պրոցեսի կամ դրա առանձին փուլի, այդ թվում՝ միջանկյալ </w:t>
      </w:r>
      <w:r w:rsidR="00C54D75">
        <w:rPr>
          <w:rFonts w:ascii="Sylfaen" w:hAnsi="Sylfaen"/>
          <w:sz w:val="24"/>
          <w:szCs w:val="24"/>
        </w:rPr>
        <w:t>և</w:t>
      </w:r>
      <w:r w:rsidRPr="00132EF0">
        <w:rPr>
          <w:rFonts w:ascii="Sylfaen" w:hAnsi="Sylfaen"/>
          <w:sz w:val="24"/>
          <w:szCs w:val="24"/>
        </w:rPr>
        <w:t xml:space="preserve"> որակի հսկողության փուլերի կատարման համար: Փորձագետի մոտ դեղապատրաստուկի որակի վերաբերյալ հիմնավորված կասկածների հետ կապված հարցերի առաջացման դեպքում թույլատրվում է պահանջ ներկայացնել տվյալ պատրաստուկի արտադրական հարթակի տեսչական ստուգում անցկացնելու համար:</w:t>
      </w:r>
    </w:p>
    <w:p w14:paraId="76E59717" w14:textId="77777777" w:rsidR="00132EF0" w:rsidRDefault="00132EF0">
      <w:pPr>
        <w:widowControl/>
        <w:rPr>
          <w:rFonts w:ascii="Sylfaen" w:hAnsi="Sylfaen"/>
          <w:sz w:val="24"/>
          <w:szCs w:val="24"/>
        </w:rPr>
      </w:pPr>
      <w:r>
        <w:rPr>
          <w:rFonts w:ascii="Sylfaen" w:hAnsi="Sylfaen"/>
          <w:sz w:val="24"/>
          <w:szCs w:val="24"/>
        </w:rPr>
        <w:br w:type="page"/>
      </w:r>
    </w:p>
    <w:p w14:paraId="60E2325B" w14:textId="77777777" w:rsidR="008C76E0" w:rsidRPr="00132EF0" w:rsidRDefault="008C76E0" w:rsidP="00132EF0">
      <w:pPr>
        <w:spacing w:after="160" w:line="360" w:lineRule="auto"/>
        <w:ind w:right="-1"/>
        <w:jc w:val="center"/>
        <w:rPr>
          <w:rFonts w:ascii="Sylfaen" w:hAnsi="Sylfaen"/>
          <w:sz w:val="24"/>
          <w:szCs w:val="24"/>
        </w:rPr>
      </w:pPr>
      <w:r w:rsidRPr="00132EF0">
        <w:rPr>
          <w:rFonts w:ascii="Sylfaen" w:hAnsi="Sylfaen"/>
          <w:sz w:val="24"/>
          <w:szCs w:val="24"/>
        </w:rPr>
        <w:lastRenderedPageBreak/>
        <w:t>Փորձարկումներ</w:t>
      </w:r>
    </w:p>
    <w:p w14:paraId="60B2C791" w14:textId="77777777" w:rsidR="008C76E0" w:rsidRPr="00132EF0" w:rsidRDefault="008C76E0" w:rsidP="00132EF0">
      <w:pPr>
        <w:spacing w:after="160" w:line="360" w:lineRule="auto"/>
        <w:ind w:firstLine="567"/>
        <w:jc w:val="both"/>
        <w:rPr>
          <w:rFonts w:ascii="Sylfaen" w:hAnsi="Sylfaen"/>
          <w:sz w:val="24"/>
          <w:szCs w:val="24"/>
        </w:rPr>
      </w:pPr>
      <w:r w:rsidRPr="00132EF0">
        <w:rPr>
          <w:rFonts w:ascii="Sylfaen" w:hAnsi="Sylfaen"/>
          <w:sz w:val="24"/>
          <w:szCs w:val="24"/>
        </w:rPr>
        <w:t xml:space="preserve">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132EF0">
        <w:rPr>
          <w:rFonts w:ascii="Sylfaen" w:hAnsi="Sylfaen"/>
          <w:sz w:val="24"/>
          <w:szCs w:val="24"/>
        </w:rPr>
        <w:t xml:space="preserve"> փորձաքննության կանոններին համապատասխան լաբորատոր հետազոտություններ անցկացնելիս փորձագետը որոշում է հետազոտվող նմուշների տիպերը (ակտիվ դեղագործական բաղադրամաս, չբաժնեծրարված դեղապատրաստուկ, դեղապատրաստուկ), թվարկում է կատարման ենթակա փորձարկումները, նմուշների քանակը, սերիաների քանակը, ընտրում է լաբորատորիա (լաբորատորիաներ)՝ նշված փորձարկումներն անցկացնելու համար:</w:t>
      </w:r>
    </w:p>
    <w:p w14:paraId="459EDED7" w14:textId="77777777" w:rsidR="008C76E0" w:rsidRPr="00132EF0" w:rsidRDefault="008C76E0" w:rsidP="00132EF0">
      <w:pPr>
        <w:spacing w:after="160" w:line="336" w:lineRule="auto"/>
        <w:ind w:right="-1" w:firstLine="567"/>
        <w:jc w:val="center"/>
        <w:rPr>
          <w:rFonts w:ascii="Sylfaen" w:hAnsi="Sylfaen"/>
          <w:sz w:val="24"/>
          <w:szCs w:val="24"/>
        </w:rPr>
      </w:pPr>
    </w:p>
    <w:p w14:paraId="7AD7BDC9" w14:textId="77777777" w:rsidR="008C76E0" w:rsidRPr="00132EF0" w:rsidRDefault="008C76E0" w:rsidP="00132EF0">
      <w:pPr>
        <w:spacing w:after="160" w:line="336" w:lineRule="auto"/>
        <w:ind w:right="-1"/>
        <w:jc w:val="center"/>
        <w:outlineLvl w:val="0"/>
        <w:rPr>
          <w:rFonts w:ascii="Sylfaen" w:hAnsi="Sylfaen"/>
          <w:sz w:val="24"/>
          <w:szCs w:val="24"/>
        </w:rPr>
      </w:pPr>
      <w:r w:rsidRPr="00132EF0">
        <w:rPr>
          <w:rFonts w:ascii="Sylfaen" w:hAnsi="Sylfaen"/>
          <w:sz w:val="24"/>
          <w:szCs w:val="24"/>
        </w:rPr>
        <w:t>2. Ներածություն</w:t>
      </w:r>
    </w:p>
    <w:p w14:paraId="4198C680" w14:textId="77777777" w:rsidR="008C76E0" w:rsidRPr="00132EF0" w:rsidRDefault="008C76E0" w:rsidP="00132EF0">
      <w:pPr>
        <w:spacing w:after="160" w:line="336" w:lineRule="auto"/>
        <w:ind w:right="-1" w:firstLine="567"/>
        <w:jc w:val="center"/>
        <w:rPr>
          <w:rFonts w:ascii="Sylfaen" w:hAnsi="Sylfaen"/>
          <w:sz w:val="24"/>
          <w:szCs w:val="24"/>
        </w:rPr>
      </w:pPr>
      <w:r w:rsidRPr="00132EF0">
        <w:rPr>
          <w:rFonts w:ascii="Sylfaen" w:hAnsi="Sylfaen"/>
          <w:sz w:val="24"/>
          <w:szCs w:val="24"/>
        </w:rPr>
        <w:t>Ընդհանուր տեղեկություններ՝ դեղապատրաստուկի մասին:</w:t>
      </w:r>
    </w:p>
    <w:p w14:paraId="1D03E75B"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Դեղապատրաստուկի մասին ընդհանուր տեղեկությունները ներառում են հետ</w:t>
      </w:r>
      <w:r w:rsidR="00C54D75">
        <w:rPr>
          <w:rFonts w:ascii="Sylfaen" w:hAnsi="Sylfaen"/>
          <w:sz w:val="24"/>
          <w:szCs w:val="24"/>
        </w:rPr>
        <w:t>և</w:t>
      </w:r>
      <w:r w:rsidRPr="00132EF0">
        <w:rPr>
          <w:rFonts w:ascii="Sylfaen" w:hAnsi="Sylfaen"/>
          <w:sz w:val="24"/>
          <w:szCs w:val="24"/>
        </w:rPr>
        <w:t>յալը՝</w:t>
      </w:r>
    </w:p>
    <w:p w14:paraId="39CF5325" w14:textId="5D750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 xml:space="preserve">դեղապատրաստուկի տիպի համառոտ նկարագրությունը (ակտիվ դեղագործական բաղադրամասը (օրինակ՝ նոր քիմիական միացություն, </w:t>
      </w:r>
      <w:r w:rsidR="005F6A31">
        <w:rPr>
          <w:rFonts w:ascii="Sylfaen" w:hAnsi="Sylfaen"/>
          <w:sz w:val="24"/>
          <w:szCs w:val="24"/>
        </w:rPr>
        <w:t>հայտնի</w:t>
      </w:r>
      <w:r w:rsidRPr="00132EF0">
        <w:rPr>
          <w:rFonts w:ascii="Sylfaen" w:hAnsi="Sylfaen"/>
          <w:sz w:val="24"/>
          <w:szCs w:val="24"/>
        </w:rPr>
        <w:t xml:space="preserve"> քիմիական միացություն, կենսատեխնոլոգիական (կենսաբանական) սուբստանցիա), ռադիոդեղագործական պատրաստուկ, բուսական դեղապատրաստուկ), դեղաձ</w:t>
      </w:r>
      <w:r w:rsidR="00C54D75">
        <w:rPr>
          <w:rFonts w:ascii="Sylfaen" w:hAnsi="Sylfaen"/>
          <w:sz w:val="24"/>
          <w:szCs w:val="24"/>
        </w:rPr>
        <w:t>և</w:t>
      </w:r>
      <w:r w:rsidRPr="00132EF0">
        <w:rPr>
          <w:rFonts w:ascii="Sylfaen" w:hAnsi="Sylfaen"/>
          <w:sz w:val="24"/>
          <w:szCs w:val="24"/>
        </w:rPr>
        <w:t>ը, փաթեթվածքը): Հարկ է հատուկ նշում կատարել, եթե տվյալ դեղապատրաստուկը նախատեսված է երեխաների օգտագործման համար,</w:t>
      </w:r>
    </w:p>
    <w:p w14:paraId="61B5780C" w14:textId="77777777" w:rsidR="008C76E0" w:rsidRPr="00132EF0" w:rsidRDefault="008C76E0" w:rsidP="00132EF0">
      <w:pPr>
        <w:spacing w:after="160" w:line="336" w:lineRule="auto"/>
        <w:ind w:right="-1" w:firstLine="567"/>
        <w:jc w:val="both"/>
        <w:rPr>
          <w:rFonts w:ascii="Sylfaen" w:hAnsi="Sylfaen"/>
          <w:sz w:val="24"/>
          <w:szCs w:val="24"/>
        </w:rPr>
      </w:pPr>
      <w:r w:rsidRPr="00132EF0">
        <w:rPr>
          <w:rFonts w:ascii="Sylfaen" w:hAnsi="Sylfaen"/>
          <w:sz w:val="24"/>
          <w:szCs w:val="24"/>
        </w:rPr>
        <w:t>«որբ» դեղապատրաստուկի (ՈԴՊ) կարգավիճակի նշումը կիրառելիության դեպքում,</w:t>
      </w:r>
    </w:p>
    <w:p w14:paraId="09CB5AC0" w14:textId="77777777" w:rsidR="008C76E0" w:rsidRPr="00132EF0" w:rsidRDefault="008C76E0" w:rsidP="00132EF0">
      <w:pPr>
        <w:spacing w:after="160" w:line="336" w:lineRule="auto"/>
        <w:ind w:firstLine="567"/>
        <w:jc w:val="both"/>
        <w:rPr>
          <w:rFonts w:ascii="Sylfaen" w:hAnsi="Sylfaen"/>
          <w:sz w:val="24"/>
          <w:szCs w:val="24"/>
        </w:rPr>
      </w:pPr>
      <w:r w:rsidRPr="00132EF0">
        <w:rPr>
          <w:rFonts w:ascii="Sylfaen" w:hAnsi="Sylfaen"/>
          <w:sz w:val="24"/>
          <w:szCs w:val="24"/>
        </w:rPr>
        <w:t>ցուցումները, բնակչության թիրախային խումբը, դոզավորման ռեժիմը (հաշվի առնելով դեղապատրաստուկի, օրինակ՝ բաժանելի դեղահաբերի՝ դոզավորման պահանջվող ռեժիմ ապահովելու ունակությունը), ներմուծման ուղին (ներմուծման ուղու առանձնահատկությունների դեպքում՝ ներմուծման համար նախատեսված սարքը),</w:t>
      </w:r>
    </w:p>
    <w:p w14:paraId="59652AED"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lastRenderedPageBreak/>
        <w:t xml:space="preserve">տվյալ դեղանյութի </w:t>
      </w:r>
      <w:r w:rsidR="00C54D75">
        <w:rPr>
          <w:rFonts w:ascii="Sylfaen" w:hAnsi="Sylfaen"/>
          <w:sz w:val="24"/>
          <w:szCs w:val="24"/>
        </w:rPr>
        <w:t>և</w:t>
      </w:r>
      <w:r w:rsidRPr="00132EF0">
        <w:rPr>
          <w:rFonts w:ascii="Sylfaen" w:hAnsi="Sylfaen"/>
          <w:sz w:val="24"/>
          <w:szCs w:val="24"/>
        </w:rPr>
        <w:t xml:space="preserve"> մի</w:t>
      </w:r>
      <w:r w:rsidR="00C54D75">
        <w:rPr>
          <w:rFonts w:ascii="Sylfaen" w:hAnsi="Sylfaen"/>
          <w:sz w:val="24"/>
          <w:szCs w:val="24"/>
        </w:rPr>
        <w:t>և</w:t>
      </w:r>
      <w:r w:rsidRPr="00132EF0">
        <w:rPr>
          <w:rFonts w:ascii="Sylfaen" w:hAnsi="Sylfaen"/>
          <w:sz w:val="24"/>
          <w:szCs w:val="24"/>
        </w:rPr>
        <w:t>նույն թերապ</w:t>
      </w:r>
      <w:r w:rsidR="00C54D75">
        <w:rPr>
          <w:rFonts w:ascii="Sylfaen" w:hAnsi="Sylfaen"/>
          <w:sz w:val="24"/>
          <w:szCs w:val="24"/>
        </w:rPr>
        <w:t>և</w:t>
      </w:r>
      <w:r w:rsidRPr="00132EF0">
        <w:rPr>
          <w:rFonts w:ascii="Sylfaen" w:hAnsi="Sylfaen"/>
          <w:sz w:val="24"/>
          <w:szCs w:val="24"/>
        </w:rPr>
        <w:t>տիկ դասին պատկանող այլ նյութերի միջ</w:t>
      </w:r>
      <w:r w:rsidR="00C54D75">
        <w:rPr>
          <w:rFonts w:ascii="Sylfaen" w:hAnsi="Sylfaen"/>
          <w:sz w:val="24"/>
          <w:szCs w:val="24"/>
        </w:rPr>
        <w:t>և</w:t>
      </w:r>
      <w:r w:rsidRPr="00132EF0">
        <w:rPr>
          <w:rFonts w:ascii="Sylfaen" w:hAnsi="Sylfaen"/>
          <w:sz w:val="24"/>
          <w:szCs w:val="24"/>
        </w:rPr>
        <w:t xml:space="preserve"> փոխկապակցվածության մասին տեղեկություններ,</w:t>
      </w:r>
    </w:p>
    <w:p w14:paraId="192CA24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դեղապատրաստուկի պատրաստումը կիրառումից առաջ (օրինակ՝ ռադիոդեղագործական պատրաստուկը, լիոֆիլիզատը),</w:t>
      </w:r>
    </w:p>
    <w:p w14:paraId="6059A7D9"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դեղապատրաստուկի այլ առանձնահատկություններ, օրինակ՝ մատակարարման կամ ներմուծման համակարգերը, կիրառման համար նախատեսված սարքերը </w:t>
      </w:r>
      <w:r w:rsidR="00C54D75">
        <w:rPr>
          <w:rFonts w:ascii="Sylfaen" w:hAnsi="Sylfaen"/>
          <w:sz w:val="24"/>
          <w:szCs w:val="24"/>
        </w:rPr>
        <w:t>և</w:t>
      </w:r>
      <w:r w:rsidRPr="00132EF0">
        <w:rPr>
          <w:rFonts w:ascii="Sylfaen" w:hAnsi="Sylfaen"/>
          <w:sz w:val="24"/>
          <w:szCs w:val="24"/>
        </w:rPr>
        <w:t xml:space="preserve"> այլն,</w:t>
      </w:r>
    </w:p>
    <w:p w14:paraId="6A8922EB" w14:textId="2AC205F8"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 xml:space="preserve">միմյանց հետ կապված կամ փոխկախյալ </w:t>
      </w:r>
      <w:r w:rsidR="009F5829">
        <w:rPr>
          <w:rFonts w:ascii="Sylfaen" w:hAnsi="Sylfaen"/>
          <w:sz w:val="24"/>
          <w:szCs w:val="24"/>
        </w:rPr>
        <w:t>դիմումներ</w:t>
      </w:r>
      <w:r w:rsidRPr="00132EF0">
        <w:rPr>
          <w:rFonts w:ascii="Sylfaen" w:hAnsi="Sylfaen"/>
          <w:sz w:val="24"/>
          <w:szCs w:val="24"/>
        </w:rPr>
        <w:t xml:space="preserve"> (օրինակ՝ այն դեղապատրաստուկի գրանցման </w:t>
      </w:r>
      <w:r w:rsidR="0056496B">
        <w:rPr>
          <w:rFonts w:ascii="Sylfaen" w:hAnsi="Sylfaen"/>
          <w:sz w:val="24"/>
          <w:szCs w:val="24"/>
        </w:rPr>
        <w:t>դիմում</w:t>
      </w:r>
      <w:r w:rsidRPr="00132EF0">
        <w:rPr>
          <w:rFonts w:ascii="Sylfaen" w:hAnsi="Sylfaen"/>
          <w:sz w:val="24"/>
          <w:szCs w:val="24"/>
        </w:rPr>
        <w:t xml:space="preserve">ը, որի ազդող նյութը տվյալ </w:t>
      </w:r>
      <w:r w:rsidR="0056496B">
        <w:rPr>
          <w:rFonts w:ascii="Sylfaen" w:hAnsi="Sylfaen"/>
          <w:sz w:val="24"/>
          <w:szCs w:val="24"/>
        </w:rPr>
        <w:t>դիմումատու</w:t>
      </w:r>
      <w:r w:rsidRPr="00132EF0">
        <w:rPr>
          <w:rFonts w:ascii="Sylfaen" w:hAnsi="Sylfaen"/>
          <w:sz w:val="24"/>
          <w:szCs w:val="24"/>
        </w:rPr>
        <w:t>ի կողմից նախկինում գրանցված նախադեղի մետաբոլիտ է, դեղապատրաստուկ, որը նախատեսված է տեսականու սանդղակի ընդլայնման համար):</w:t>
      </w:r>
    </w:p>
    <w:p w14:paraId="2A0D9193" w14:textId="77777777" w:rsidR="008C76E0" w:rsidRPr="00132EF0" w:rsidRDefault="008C76E0" w:rsidP="00132EF0">
      <w:pPr>
        <w:spacing w:after="160" w:line="360" w:lineRule="auto"/>
        <w:ind w:right="-1" w:firstLine="567"/>
        <w:jc w:val="both"/>
        <w:rPr>
          <w:rFonts w:ascii="Sylfaen" w:hAnsi="Sylfaen"/>
          <w:sz w:val="24"/>
          <w:szCs w:val="24"/>
        </w:rPr>
      </w:pPr>
      <w:r w:rsidRPr="00132EF0">
        <w:rPr>
          <w:rFonts w:ascii="Sylfaen" w:hAnsi="Sylfaen"/>
          <w:sz w:val="24"/>
          <w:szCs w:val="24"/>
        </w:rPr>
        <w:t>Ստոր</w:t>
      </w:r>
      <w:r w:rsidR="00C54D75">
        <w:rPr>
          <w:rFonts w:ascii="Sylfaen" w:hAnsi="Sylfaen"/>
          <w:sz w:val="24"/>
          <w:szCs w:val="24"/>
        </w:rPr>
        <w:t>և</w:t>
      </w:r>
      <w:r w:rsidRPr="00132EF0">
        <w:rPr>
          <w:rFonts w:ascii="Sylfaen" w:hAnsi="Sylfaen"/>
          <w:sz w:val="24"/>
          <w:szCs w:val="24"/>
        </w:rPr>
        <w:t xml:space="preserve"> ներկայացված տեղեկատվությունը նախատեսված է դեղապատրաստուկի հիմնական կրիտիկական առանձնահատկությունների հակիրճ ռեզյումե կազմելու համար: Ներկայացվող տեղեկատվության ծավալը կախված է կոնկրետ պատրաստուկի հատկություններից: Նա</w:t>
      </w:r>
      <w:r w:rsidR="00C54D75">
        <w:rPr>
          <w:rFonts w:ascii="Sylfaen" w:hAnsi="Sylfaen"/>
          <w:sz w:val="24"/>
          <w:szCs w:val="24"/>
        </w:rPr>
        <w:t>և</w:t>
      </w:r>
      <w:r w:rsidRPr="00132EF0">
        <w:rPr>
          <w:rFonts w:ascii="Sylfaen" w:hAnsi="Sylfaen"/>
          <w:sz w:val="24"/>
          <w:szCs w:val="24"/>
        </w:rPr>
        <w:t xml:space="preserve"> հարկ է ներկայացնել կլինիկական կիրառման արդյունքների մասով ռեզյումե: </w:t>
      </w:r>
    </w:p>
    <w:p w14:paraId="65968612" w14:textId="77777777" w:rsidR="008C76E0" w:rsidRPr="003B2786" w:rsidRDefault="008C76E0" w:rsidP="008C76E0">
      <w:pPr>
        <w:ind w:right="-1" w:firstLine="567"/>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20"/>
        <w:gridCol w:w="2429"/>
      </w:tblGrid>
      <w:tr w:rsidR="008C76E0" w:rsidRPr="003B2786" w14:paraId="2EDA4CB6" w14:textId="77777777" w:rsidTr="008C76E0">
        <w:trPr>
          <w:trHeight w:val="534"/>
          <w:jc w:val="center"/>
        </w:trPr>
        <w:tc>
          <w:tcPr>
            <w:tcW w:w="7720" w:type="dxa"/>
            <w:tcBorders>
              <w:top w:val="single" w:sz="4" w:space="0" w:color="auto"/>
              <w:left w:val="single" w:sz="4" w:space="0" w:color="auto"/>
            </w:tcBorders>
            <w:shd w:val="clear" w:color="auto" w:fill="FFFFFF"/>
          </w:tcPr>
          <w:p w14:paraId="5AA2604A"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Անվանումը</w:t>
            </w:r>
          </w:p>
        </w:tc>
        <w:tc>
          <w:tcPr>
            <w:tcW w:w="2429" w:type="dxa"/>
            <w:tcBorders>
              <w:top w:val="single" w:sz="4" w:space="0" w:color="auto"/>
              <w:left w:val="single" w:sz="4" w:space="0" w:color="auto"/>
              <w:right w:val="single" w:sz="4" w:space="0" w:color="auto"/>
            </w:tcBorders>
            <w:shd w:val="clear" w:color="auto" w:fill="FFFFFF"/>
          </w:tcPr>
          <w:p w14:paraId="2254EB79"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1797B77" w14:textId="77777777" w:rsidTr="008C76E0">
        <w:trPr>
          <w:trHeight w:val="534"/>
          <w:jc w:val="center"/>
        </w:trPr>
        <w:tc>
          <w:tcPr>
            <w:tcW w:w="7720" w:type="dxa"/>
            <w:tcBorders>
              <w:top w:val="single" w:sz="4" w:space="0" w:color="auto"/>
              <w:left w:val="single" w:sz="4" w:space="0" w:color="auto"/>
            </w:tcBorders>
            <w:shd w:val="clear" w:color="auto" w:fill="FFFFFF"/>
          </w:tcPr>
          <w:p w14:paraId="07BDAE1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 xml:space="preserve">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դեղաչափը (կոնցենտրացիան)</w:t>
            </w:r>
          </w:p>
        </w:tc>
        <w:tc>
          <w:tcPr>
            <w:tcW w:w="2429" w:type="dxa"/>
            <w:tcBorders>
              <w:top w:val="single" w:sz="4" w:space="0" w:color="auto"/>
              <w:left w:val="single" w:sz="4" w:space="0" w:color="auto"/>
              <w:right w:val="single" w:sz="4" w:space="0" w:color="auto"/>
            </w:tcBorders>
            <w:shd w:val="clear" w:color="auto" w:fill="FFFFFF"/>
          </w:tcPr>
          <w:p w14:paraId="12CCAF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1AA8922" w14:textId="77777777" w:rsidTr="008C76E0">
        <w:trPr>
          <w:trHeight w:val="534"/>
          <w:jc w:val="center"/>
        </w:trPr>
        <w:tc>
          <w:tcPr>
            <w:tcW w:w="7720" w:type="dxa"/>
            <w:tcBorders>
              <w:top w:val="single" w:sz="4" w:space="0" w:color="auto"/>
              <w:left w:val="single" w:sz="4" w:space="0" w:color="auto"/>
            </w:tcBorders>
            <w:shd w:val="clear" w:color="auto" w:fill="FFFFFF"/>
          </w:tcPr>
          <w:p w14:paraId="3C8259E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Գրանցման ընթացակարգը</w:t>
            </w:r>
          </w:p>
        </w:tc>
        <w:tc>
          <w:tcPr>
            <w:tcW w:w="2429" w:type="dxa"/>
            <w:tcBorders>
              <w:top w:val="single" w:sz="4" w:space="0" w:color="auto"/>
              <w:left w:val="single" w:sz="4" w:space="0" w:color="auto"/>
              <w:right w:val="single" w:sz="4" w:space="0" w:color="auto"/>
            </w:tcBorders>
            <w:shd w:val="clear" w:color="auto" w:fill="FFFFFF"/>
          </w:tcPr>
          <w:p w14:paraId="6FBEB17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394621CB" w14:textId="77777777" w:rsidTr="008C76E0">
        <w:trPr>
          <w:trHeight w:val="545"/>
          <w:jc w:val="center"/>
        </w:trPr>
        <w:tc>
          <w:tcPr>
            <w:tcW w:w="7720" w:type="dxa"/>
            <w:tcBorders>
              <w:top w:val="single" w:sz="4" w:space="0" w:color="auto"/>
              <w:left w:val="single" w:sz="4" w:space="0" w:color="auto"/>
            </w:tcBorders>
            <w:shd w:val="clear" w:color="auto" w:fill="FFFFFF"/>
          </w:tcPr>
          <w:p w14:paraId="065B96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Թերապ</w:t>
            </w:r>
            <w:r w:rsidR="00C54D75">
              <w:rPr>
                <w:rStyle w:val="Bodytext1811pt"/>
                <w:rFonts w:ascii="Sylfaen" w:hAnsi="Sylfaen"/>
                <w:sz w:val="24"/>
                <w:szCs w:val="24"/>
              </w:rPr>
              <w:t>և</w:t>
            </w:r>
            <w:r w:rsidRPr="003B2786">
              <w:rPr>
                <w:rStyle w:val="Bodytext1811pt"/>
                <w:rFonts w:ascii="Sylfaen" w:hAnsi="Sylfaen"/>
                <w:sz w:val="24"/>
                <w:szCs w:val="24"/>
              </w:rPr>
              <w:t>տիկ դասը կամ ցուցումը</w:t>
            </w:r>
          </w:p>
        </w:tc>
        <w:tc>
          <w:tcPr>
            <w:tcW w:w="2429" w:type="dxa"/>
            <w:tcBorders>
              <w:top w:val="single" w:sz="4" w:space="0" w:color="auto"/>
              <w:left w:val="single" w:sz="4" w:space="0" w:color="auto"/>
              <w:right w:val="single" w:sz="4" w:space="0" w:color="auto"/>
            </w:tcBorders>
            <w:shd w:val="clear" w:color="auto" w:fill="FFFFFF"/>
          </w:tcPr>
          <w:p w14:paraId="02B01C9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94A9479" w14:textId="77777777" w:rsidTr="008C76E0">
        <w:trPr>
          <w:trHeight w:val="545"/>
          <w:jc w:val="center"/>
        </w:trPr>
        <w:tc>
          <w:tcPr>
            <w:tcW w:w="7720" w:type="dxa"/>
            <w:tcBorders>
              <w:top w:val="single" w:sz="4" w:space="0" w:color="auto"/>
              <w:left w:val="single" w:sz="4" w:space="0" w:color="auto"/>
              <w:bottom w:val="single" w:sz="4" w:space="0" w:color="auto"/>
            </w:tcBorders>
            <w:shd w:val="clear" w:color="auto" w:fill="FFFFFF"/>
          </w:tcPr>
          <w:p w14:paraId="528B3BD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Դեղաչափերի առաջարկվող ընդգրկույթը</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284BCC4" w14:textId="77777777" w:rsidR="008C76E0" w:rsidRPr="003B2786" w:rsidRDefault="008C76E0" w:rsidP="008C76E0">
            <w:pPr>
              <w:spacing w:after="120" w:line="240" w:lineRule="auto"/>
              <w:jc w:val="both"/>
              <w:rPr>
                <w:rFonts w:ascii="Sylfaen" w:hAnsi="Sylfaen"/>
                <w:sz w:val="24"/>
                <w:szCs w:val="24"/>
              </w:rPr>
            </w:pPr>
          </w:p>
        </w:tc>
      </w:tr>
    </w:tbl>
    <w:p w14:paraId="3D2EEE07" w14:textId="77777777" w:rsidR="00473371" w:rsidRDefault="00473371" w:rsidP="00132EF0">
      <w:pPr>
        <w:spacing w:after="160" w:line="360" w:lineRule="auto"/>
        <w:ind w:right="-1"/>
        <w:jc w:val="center"/>
        <w:outlineLvl w:val="0"/>
        <w:rPr>
          <w:rFonts w:ascii="Sylfaen" w:hAnsi="Sylfaen"/>
          <w:sz w:val="24"/>
          <w:szCs w:val="24"/>
        </w:rPr>
      </w:pPr>
    </w:p>
    <w:p w14:paraId="4C6E56FD" w14:textId="77777777" w:rsidR="00473371" w:rsidRDefault="00473371">
      <w:pPr>
        <w:widowControl/>
        <w:rPr>
          <w:rFonts w:ascii="Sylfaen" w:hAnsi="Sylfaen"/>
          <w:sz w:val="24"/>
          <w:szCs w:val="24"/>
        </w:rPr>
      </w:pPr>
      <w:r>
        <w:rPr>
          <w:rFonts w:ascii="Sylfaen" w:hAnsi="Sylfaen"/>
          <w:sz w:val="24"/>
          <w:szCs w:val="24"/>
        </w:rPr>
        <w:br w:type="page"/>
      </w:r>
    </w:p>
    <w:p w14:paraId="400BF696" w14:textId="77777777" w:rsidR="008C76E0" w:rsidRPr="003B2786" w:rsidRDefault="008C76E0" w:rsidP="00132EF0">
      <w:pPr>
        <w:spacing w:after="160" w:line="360" w:lineRule="auto"/>
        <w:ind w:left="567" w:right="565"/>
        <w:jc w:val="center"/>
        <w:outlineLvl w:val="0"/>
        <w:rPr>
          <w:rFonts w:ascii="Sylfaen" w:hAnsi="Sylfaen"/>
          <w:sz w:val="24"/>
          <w:szCs w:val="24"/>
        </w:rPr>
      </w:pPr>
      <w:r w:rsidRPr="003B2786">
        <w:rPr>
          <w:rFonts w:ascii="Sylfaen" w:hAnsi="Sylfaen"/>
          <w:sz w:val="24"/>
          <w:szCs w:val="24"/>
        </w:rPr>
        <w:lastRenderedPageBreak/>
        <w:t>3. Ակտիվ դեղագործական</w:t>
      </w:r>
      <w:r>
        <w:rPr>
          <w:rFonts w:ascii="Sylfaen" w:hAnsi="Sylfaen"/>
          <w:sz w:val="24"/>
          <w:szCs w:val="24"/>
        </w:rPr>
        <w:br/>
      </w:r>
      <w:r w:rsidRPr="003B2786">
        <w:rPr>
          <w:rFonts w:ascii="Sylfaen" w:hAnsi="Sylfaen"/>
          <w:sz w:val="24"/>
          <w:szCs w:val="24"/>
        </w:rPr>
        <w:t xml:space="preserve"> բաղադրամաս (ԱԴԲ, մոդուլ 3.2.S)</w:t>
      </w:r>
    </w:p>
    <w:p w14:paraId="25FFA7B1"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որ ակտիվ դեղագործական բաղադրամասի մասին տեղեկատվությունն ընդգրկված է ակտիվ դեղագործական բաղադրամասի մաստեր-ֆայլի փակ մասում (ԱԴԲՄՖ): Փակ բաժնի փորձաքննության արդյունքները դիտողությունների առանձին ցանկի հետ միասին ենթակա են արտացոլման առանձին փորձագիտական հաշվետվությունում՝ որպես սույն փորձագիտական հաշվետվության հավելված (տե՛ս,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 ԱԴԲՄՖ-ին ներկայացվող պահանջները չեն տարածվում կենսաբանական դեղապատրաստուկների վրա:</w:t>
      </w:r>
    </w:p>
    <w:p w14:paraId="5BD10AEA" w14:textId="77777777" w:rsidR="008C76E0" w:rsidRPr="003B2786" w:rsidRDefault="008C76E0" w:rsidP="00132EF0">
      <w:pPr>
        <w:tabs>
          <w:tab w:val="left" w:pos="1134"/>
        </w:tabs>
        <w:spacing w:after="160" w:line="360" w:lineRule="auto"/>
        <w:ind w:firstLine="567"/>
        <w:jc w:val="both"/>
        <w:outlineLvl w:val="0"/>
        <w:rPr>
          <w:rFonts w:ascii="Sylfaen" w:hAnsi="Sylfaen"/>
          <w:sz w:val="24"/>
          <w:szCs w:val="24"/>
        </w:rPr>
      </w:pPr>
      <w:r w:rsidRPr="003B2786">
        <w:rPr>
          <w:rFonts w:ascii="Sylfaen" w:hAnsi="Sylfaen"/>
          <w:sz w:val="24"/>
          <w:szCs w:val="24"/>
        </w:rPr>
        <w:t>3.1.</w:t>
      </w:r>
      <w:r w:rsidRPr="003B2786">
        <w:rPr>
          <w:rFonts w:ascii="Sylfaen" w:hAnsi="Sylfaen"/>
          <w:sz w:val="24"/>
          <w:szCs w:val="24"/>
        </w:rPr>
        <w:tab/>
        <w:t xml:space="preserve">Ընդհանուր տեղեկատվություն՝ ելանյութերի </w:t>
      </w:r>
      <w:r w:rsidR="00C54D75">
        <w:rPr>
          <w:rFonts w:ascii="Sylfaen" w:hAnsi="Sylfaen"/>
          <w:sz w:val="24"/>
          <w:szCs w:val="24"/>
        </w:rPr>
        <w:t>և</w:t>
      </w:r>
      <w:r w:rsidRPr="003B2786">
        <w:rPr>
          <w:rFonts w:ascii="Sylfaen" w:hAnsi="Sylfaen"/>
          <w:sz w:val="24"/>
          <w:szCs w:val="24"/>
        </w:rPr>
        <w:t xml:space="preserve"> հումքի մասին (մոդուլ 3.2.S.1):</w:t>
      </w:r>
    </w:p>
    <w:p w14:paraId="7D9C96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ստոր</w:t>
      </w:r>
      <w:r w:rsidR="00C54D75">
        <w:rPr>
          <w:rFonts w:ascii="Sylfaen" w:hAnsi="Sylfaen"/>
          <w:sz w:val="24"/>
          <w:szCs w:val="24"/>
        </w:rPr>
        <w:t>և</w:t>
      </w:r>
      <w:r w:rsidRPr="003B2786">
        <w:rPr>
          <w:rFonts w:ascii="Sylfaen" w:hAnsi="Sylfaen"/>
          <w:sz w:val="24"/>
          <w:szCs w:val="24"/>
        </w:rPr>
        <w:t xml:space="preserve"> բերված բաժիններում:</w:t>
      </w:r>
    </w:p>
    <w:p w14:paraId="7B38A277"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 1.1.</w:t>
      </w:r>
      <w:r w:rsidRPr="003B2786">
        <w:rPr>
          <w:rFonts w:ascii="Sylfaen" w:hAnsi="Sylfaen"/>
          <w:sz w:val="24"/>
          <w:szCs w:val="24"/>
        </w:rPr>
        <w:tab/>
        <w:t>ԱԴԲ-ի անվանման մասին տեղեկատվություն:</w:t>
      </w:r>
    </w:p>
    <w:p w14:paraId="46BDA2D8"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Նշվում է քիմիական անվանումը (եթե այն կիրառելի է): Հաստատվում է, թե արդյոք պատրաստուկն ունի առաջադրված միջազգային չարտոնագրված անվանում, առաջարկված միջազգային չարտոնագրված անվանում, համընդհանուր անվանում </w:t>
      </w:r>
      <w:r w:rsidR="00C54D75">
        <w:rPr>
          <w:rFonts w:ascii="Sylfaen" w:hAnsi="Sylfaen"/>
          <w:sz w:val="24"/>
          <w:szCs w:val="24"/>
        </w:rPr>
        <w:t>և</w:t>
      </w:r>
      <w:r w:rsidRPr="003B2786">
        <w:rPr>
          <w:rFonts w:ascii="Sylfaen" w:hAnsi="Sylfaen"/>
          <w:sz w:val="24"/>
          <w:szCs w:val="24"/>
        </w:rPr>
        <w:t xml:space="preserve"> այլն:</w:t>
      </w:r>
    </w:p>
    <w:p w14:paraId="741D1CCB" w14:textId="77777777" w:rsidR="008C76E0" w:rsidRPr="003B2786" w:rsidRDefault="008C76E0" w:rsidP="00473371">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S. 1.2.</w:t>
      </w:r>
      <w:r w:rsidRPr="003B2786">
        <w:rPr>
          <w:rFonts w:ascii="Sylfaen" w:hAnsi="Sylfaen"/>
          <w:sz w:val="24"/>
          <w:szCs w:val="24"/>
        </w:rPr>
        <w:tab/>
        <w:t>ԱԴԲ-ի կառուցվածքը:</w:t>
      </w:r>
    </w:p>
    <w:p w14:paraId="1BE6A045" w14:textId="77777777" w:rsidR="008C76E0" w:rsidRPr="003B2786" w:rsidRDefault="008C76E0" w:rsidP="00473371">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Տեղեկություններ են բերվում այն ակտիվ նյութի </w:t>
      </w:r>
      <w:r w:rsidR="00C54D75">
        <w:rPr>
          <w:rFonts w:ascii="Sylfaen" w:hAnsi="Sylfaen"/>
          <w:sz w:val="24"/>
          <w:szCs w:val="24"/>
        </w:rPr>
        <w:t>և</w:t>
      </w:r>
      <w:r w:rsidRPr="003B2786">
        <w:rPr>
          <w:rFonts w:ascii="Sylfaen" w:hAnsi="Sylfaen"/>
          <w:sz w:val="24"/>
          <w:szCs w:val="24"/>
        </w:rPr>
        <w:t xml:space="preserve"> միացությունների կառուցվածքի մասին, որոնք ունեն համանման բնութագրեր կամ կառուցվածք:</w:t>
      </w:r>
    </w:p>
    <w:p w14:paraId="799F28BE" w14:textId="77777777" w:rsidR="008C76E0" w:rsidRPr="003B2786" w:rsidRDefault="008C76E0" w:rsidP="00473371">
      <w:pPr>
        <w:tabs>
          <w:tab w:val="left" w:pos="1701"/>
        </w:tabs>
        <w:spacing w:after="160" w:line="336" w:lineRule="auto"/>
        <w:ind w:firstLine="567"/>
        <w:jc w:val="both"/>
        <w:outlineLvl w:val="0"/>
        <w:rPr>
          <w:rFonts w:ascii="Sylfaen" w:hAnsi="Sylfaen"/>
          <w:sz w:val="24"/>
          <w:szCs w:val="24"/>
        </w:rPr>
      </w:pPr>
      <w:r w:rsidRPr="003B2786">
        <w:rPr>
          <w:rFonts w:ascii="Sylfaen" w:hAnsi="Sylfaen"/>
          <w:sz w:val="24"/>
          <w:szCs w:val="24"/>
        </w:rPr>
        <w:t>S.I.3.</w:t>
      </w:r>
      <w:r w:rsidRPr="003B2786">
        <w:rPr>
          <w:rFonts w:ascii="Sylfaen" w:hAnsi="Sylfaen"/>
          <w:sz w:val="24"/>
          <w:szCs w:val="24"/>
        </w:rPr>
        <w:tab/>
        <w:t>ԱԴԲ-ի ընդհանուր հատկությունները:</w:t>
      </w:r>
    </w:p>
    <w:p w14:paraId="69EAEB45" w14:textId="0D3627CD"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Նշվում են (եթե դա կիրառելի է) կլինիկական գործունեության համար կար</w:t>
      </w:r>
      <w:r w:rsidR="00C54D75">
        <w:rPr>
          <w:rFonts w:ascii="Sylfaen" w:hAnsi="Sylfaen"/>
          <w:sz w:val="24"/>
          <w:szCs w:val="24"/>
        </w:rPr>
        <w:t>և</w:t>
      </w:r>
      <w:r w:rsidRPr="003B2786">
        <w:rPr>
          <w:rFonts w:ascii="Sylfaen" w:hAnsi="Sylfaen"/>
          <w:sz w:val="24"/>
          <w:szCs w:val="24"/>
        </w:rPr>
        <w:t xml:space="preserve">որ հատկությունները՝ </w:t>
      </w:r>
      <w:r w:rsidR="005F6A31">
        <w:rPr>
          <w:rFonts w:ascii="Sylfaen" w:hAnsi="Sylfaen"/>
          <w:sz w:val="24"/>
          <w:szCs w:val="24"/>
        </w:rPr>
        <w:t>արտահայտե</w:t>
      </w:r>
      <w:r w:rsidRPr="003B2786">
        <w:rPr>
          <w:rFonts w:ascii="Sylfaen" w:hAnsi="Sylfaen"/>
          <w:sz w:val="24"/>
          <w:szCs w:val="24"/>
        </w:rPr>
        <w:t xml:space="preserve">լով դրանք այնպիսի բնութագրերով, </w:t>
      </w:r>
      <w:r w:rsidRPr="003B2786">
        <w:rPr>
          <w:rFonts w:ascii="Sylfaen" w:hAnsi="Sylfaen"/>
          <w:sz w:val="24"/>
          <w:szCs w:val="24"/>
        </w:rPr>
        <w:lastRenderedPageBreak/>
        <w:t>ինչպիսիք են рКа-ն (թույլ էլեկտրոլիտի դիսոցման հաստատուն), լուծելիությունը, բազմաձ</w:t>
      </w:r>
      <w:r w:rsidR="00C54D75">
        <w:rPr>
          <w:rFonts w:ascii="Sylfaen" w:hAnsi="Sylfaen"/>
          <w:sz w:val="24"/>
          <w:szCs w:val="24"/>
        </w:rPr>
        <w:t>և</w:t>
      </w:r>
      <w:r w:rsidRPr="003B2786">
        <w:rPr>
          <w:rFonts w:ascii="Sylfaen" w:hAnsi="Sylfaen"/>
          <w:sz w:val="24"/>
          <w:szCs w:val="24"/>
        </w:rPr>
        <w:t xml:space="preserve">ությունը, իզոմերիան, մասնիկների բաշխումն ըստ չափերի </w:t>
      </w:r>
      <w:r w:rsidR="00C54D75">
        <w:rPr>
          <w:rFonts w:ascii="Sylfaen" w:hAnsi="Sylfaen"/>
          <w:sz w:val="24"/>
          <w:szCs w:val="24"/>
        </w:rPr>
        <w:t>և</w:t>
      </w:r>
      <w:r w:rsidRPr="003B2786">
        <w:rPr>
          <w:rFonts w:ascii="Sylfaen" w:hAnsi="Sylfaen"/>
          <w:sz w:val="24"/>
          <w:szCs w:val="24"/>
        </w:rPr>
        <w:t xml:space="preserve"> այլն:</w:t>
      </w:r>
    </w:p>
    <w:p w14:paraId="7450A5C8"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Կենսատեխնոլոգիական (կենսաբանական) սուբստանցիաների համար S.1 կետում հարկ է ներառել ակտիվ նյութի նկարագրությունը: Անհրաժեշտ է բերել մոլեկուլի անվանումը </w:t>
      </w:r>
      <w:r w:rsidR="00C54D75">
        <w:rPr>
          <w:rFonts w:ascii="Sylfaen" w:hAnsi="Sylfaen"/>
          <w:sz w:val="24"/>
          <w:szCs w:val="24"/>
        </w:rPr>
        <w:t>և</w:t>
      </w:r>
      <w:r w:rsidRPr="003B2786">
        <w:rPr>
          <w:rFonts w:ascii="Sylfaen" w:hAnsi="Sylfaen"/>
          <w:sz w:val="24"/>
          <w:szCs w:val="24"/>
        </w:rPr>
        <w:t xml:space="preserve"> նկարագրությունը: Նկարագրությունը պետք է ներառի այնպիսի հատկություններ, ինչպիսիք են գլիկոզիլացումը/հետտրանսլյացիոն մոդիֆիկացիաները, կառուցվածքի մոդիֆիկացիաները (ամինաթթվային փոխարինիչ, ՊԷԳ-ավորում), մոլեկուլի չափսը: Ընդունելի լինելու դեպքում հարկ է բերել տեղեկատվություն՝ երկրորդային </w:t>
      </w:r>
      <w:r w:rsidR="00C54D75">
        <w:rPr>
          <w:rFonts w:ascii="Sylfaen" w:hAnsi="Sylfaen"/>
          <w:sz w:val="24"/>
          <w:szCs w:val="24"/>
        </w:rPr>
        <w:t>և</w:t>
      </w:r>
      <w:r w:rsidRPr="003B2786">
        <w:rPr>
          <w:rFonts w:ascii="Sylfaen" w:hAnsi="Sylfaen"/>
          <w:sz w:val="24"/>
          <w:szCs w:val="24"/>
        </w:rPr>
        <w:t xml:space="preserve"> երրորդային կառուցվածքների մասին: Առանձնացվում </w:t>
      </w:r>
      <w:r w:rsidR="00C54D75">
        <w:rPr>
          <w:rFonts w:ascii="Sylfaen" w:hAnsi="Sylfaen"/>
          <w:sz w:val="24"/>
          <w:szCs w:val="24"/>
        </w:rPr>
        <w:t>և</w:t>
      </w:r>
      <w:r w:rsidRPr="003B2786">
        <w:rPr>
          <w:rFonts w:ascii="Sylfaen" w:hAnsi="Sylfaen"/>
          <w:sz w:val="24"/>
          <w:szCs w:val="24"/>
        </w:rPr>
        <w:t xml:space="preserve"> դիտարկվում են ազդեցության մեխանիզմի համար էական՝ կառուցվածքի տարրերը:</w:t>
      </w:r>
    </w:p>
    <w:p w14:paraId="54F4E330" w14:textId="77777777" w:rsidR="008C76E0" w:rsidRPr="003B2786" w:rsidRDefault="008C76E0" w:rsidP="00132EF0">
      <w:pPr>
        <w:spacing w:after="160" w:line="360" w:lineRule="auto"/>
        <w:ind w:firstLine="567"/>
        <w:jc w:val="both"/>
        <w:rPr>
          <w:rFonts w:ascii="Sylfaen" w:hAnsi="Sylfaen"/>
          <w:sz w:val="24"/>
          <w:szCs w:val="24"/>
        </w:rPr>
      </w:pPr>
      <w:r w:rsidRPr="003B2786">
        <w:rPr>
          <w:rFonts w:ascii="Sylfaen" w:hAnsi="Sylfaen"/>
          <w:sz w:val="24"/>
          <w:szCs w:val="24"/>
        </w:rPr>
        <w:t xml:space="preserve">Հարկ է որոշել այն հարցերը, որոնք պատշաճ կերպով արտացոլված չեն դոսյեում </w:t>
      </w:r>
      <w:r w:rsidR="00C54D75">
        <w:rPr>
          <w:rFonts w:ascii="Sylfaen" w:hAnsi="Sylfaen"/>
          <w:sz w:val="24"/>
          <w:szCs w:val="24"/>
        </w:rPr>
        <w:t>և</w:t>
      </w:r>
      <w:r w:rsidRPr="003B2786">
        <w:rPr>
          <w:rFonts w:ascii="Sylfaen" w:hAnsi="Sylfaen"/>
          <w:sz w:val="24"/>
          <w:szCs w:val="24"/>
        </w:rPr>
        <w:t xml:space="preserve"> ենթակա են դիտարկման Դիտողությունների ցանկում (անհրաժեշտության դեպքում հղում կատարելով հարցի համարին): Որոշվում են կրիտիկական դիտողությունները: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490"/>
      </w:tblGrid>
      <w:tr w:rsidR="008C76E0" w:rsidRPr="003B2786" w14:paraId="1D029EA2" w14:textId="77777777" w:rsidTr="008C76E0">
        <w:trPr>
          <w:trHeight w:val="2832"/>
        </w:trPr>
        <w:tc>
          <w:tcPr>
            <w:tcW w:w="2796" w:type="dxa"/>
            <w:vMerge w:val="restart"/>
          </w:tcPr>
          <w:p w14:paraId="51BC9A41" w14:textId="77777777" w:rsidR="008C76E0" w:rsidRPr="003B2786" w:rsidRDefault="008C76E0" w:rsidP="008C76E0">
            <w:pPr>
              <w:spacing w:after="160" w:line="360" w:lineRule="auto"/>
              <w:ind w:right="-1"/>
              <w:jc w:val="both"/>
              <w:rPr>
                <w:rFonts w:ascii="Sylfaen" w:hAnsi="Sylfaen"/>
                <w:sz w:val="24"/>
                <w:szCs w:val="24"/>
                <w:lang w:val="en-US"/>
              </w:rPr>
            </w:pPr>
            <w:r w:rsidRPr="003B2786">
              <w:rPr>
                <w:rFonts w:ascii="Sylfaen" w:hAnsi="Sylfaen"/>
                <w:sz w:val="24"/>
                <w:szCs w:val="24"/>
              </w:rPr>
              <w:t>Ծանոթագրություններ.</w:t>
            </w:r>
          </w:p>
        </w:tc>
        <w:tc>
          <w:tcPr>
            <w:tcW w:w="6490" w:type="dxa"/>
          </w:tcPr>
          <w:p w14:paraId="4B768615" w14:textId="77777777" w:rsidR="008C76E0" w:rsidRPr="003B2786" w:rsidRDefault="008C76E0" w:rsidP="008C76E0">
            <w:pPr>
              <w:tabs>
                <w:tab w:val="left" w:pos="606"/>
              </w:tabs>
              <w:spacing w:after="160" w:line="360" w:lineRule="auto"/>
              <w:ind w:right="-1"/>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 է նշել, թե արդյոք ներկայացված են Եվրոպական դեղագրքի մենագրությանը համապատասխանության սերտիֆիկատը (СЕР) կամ ԱԴԲՄՖ-ն կամ ակտիվ դեղագործական բաղադրամասի մասին ամբողջական տեղեկատվությունը:</w:t>
            </w:r>
          </w:p>
        </w:tc>
      </w:tr>
      <w:tr w:rsidR="008C76E0" w:rsidRPr="003B2786" w14:paraId="0BA256CD" w14:textId="77777777" w:rsidTr="008C76E0">
        <w:trPr>
          <w:trHeight w:val="2934"/>
        </w:trPr>
        <w:tc>
          <w:tcPr>
            <w:tcW w:w="2796" w:type="dxa"/>
            <w:vMerge/>
          </w:tcPr>
          <w:p w14:paraId="088C7FE0"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11271BF" w14:textId="77777777" w:rsidR="008C76E0" w:rsidRPr="003B2786" w:rsidRDefault="008C76E0" w:rsidP="008C76E0">
            <w:pPr>
              <w:tabs>
                <w:tab w:val="left" w:pos="606"/>
              </w:tabs>
              <w:spacing w:after="160" w:line="360" w:lineRule="auto"/>
              <w:ind w:right="-1"/>
              <w:jc w:val="both"/>
              <w:rPr>
                <w:rFonts w:ascii="Sylfaen" w:hAnsi="Sylfaen"/>
                <w:sz w:val="24"/>
                <w:szCs w:val="24"/>
                <w:lang w:val="en-US"/>
              </w:rPr>
            </w:pPr>
            <w:r w:rsidRPr="003B2786">
              <w:rPr>
                <w:rFonts w:ascii="Sylfaen" w:hAnsi="Sylfaen"/>
                <w:sz w:val="24"/>
                <w:szCs w:val="24"/>
              </w:rPr>
              <w:t>2.</w:t>
            </w:r>
            <w:r w:rsidRPr="003B2786">
              <w:rPr>
                <w:rFonts w:ascii="Sylfaen" w:hAnsi="Sylfaen"/>
                <w:sz w:val="24"/>
                <w:szCs w:val="24"/>
              </w:rPr>
              <w:tab/>
              <w:t>ԱԴԲՄՖ-ն օգտագործելիս հարկ է նշել, որ դրա փորձաքննության արդյունքները ներկայացվում են ԱԴԲՄՖ-ի կրիտիկական գնահատականի վերաբերյալ առանձին փորձագիտական հաշվետվությամբ՝ փաստաթղթի փակ մասի գաղտնի հավելվածով:</w:t>
            </w:r>
          </w:p>
        </w:tc>
      </w:tr>
      <w:tr w:rsidR="008C76E0" w:rsidRPr="003B2786" w14:paraId="3B52DA62" w14:textId="77777777" w:rsidTr="008C76E0">
        <w:trPr>
          <w:trHeight w:val="1798"/>
        </w:trPr>
        <w:tc>
          <w:tcPr>
            <w:tcW w:w="2796" w:type="dxa"/>
            <w:vMerge/>
          </w:tcPr>
          <w:p w14:paraId="6DE8A29A" w14:textId="77777777" w:rsidR="008C76E0" w:rsidRPr="003B2786" w:rsidRDefault="008C76E0" w:rsidP="008C76E0">
            <w:pPr>
              <w:spacing w:after="160" w:line="360" w:lineRule="auto"/>
              <w:ind w:right="-1"/>
              <w:jc w:val="both"/>
              <w:rPr>
                <w:rFonts w:ascii="Sylfaen" w:hAnsi="Sylfaen"/>
                <w:sz w:val="24"/>
                <w:szCs w:val="24"/>
                <w:lang w:val="en-US"/>
              </w:rPr>
            </w:pPr>
          </w:p>
        </w:tc>
        <w:tc>
          <w:tcPr>
            <w:tcW w:w="6490" w:type="dxa"/>
          </w:tcPr>
          <w:p w14:paraId="10B2EDA0"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Դոսյեում մի քանի ԱԴԲՄՖ-ների մասով տեղեկությունների առկայության դեպքում յուրաքանչյուր ԱԴԲՄՖ-ի համար ներկայացվում է առանձին հաշվետվություն:</w:t>
            </w:r>
          </w:p>
        </w:tc>
      </w:tr>
      <w:tr w:rsidR="008C76E0" w:rsidRPr="003B2786" w14:paraId="79942236" w14:textId="77777777" w:rsidTr="008C76E0">
        <w:trPr>
          <w:trHeight w:val="141"/>
        </w:trPr>
        <w:tc>
          <w:tcPr>
            <w:tcW w:w="2796" w:type="dxa"/>
            <w:vMerge/>
          </w:tcPr>
          <w:p w14:paraId="7490B179" w14:textId="77777777" w:rsidR="008C76E0" w:rsidRPr="006E0DA4" w:rsidRDefault="008C76E0" w:rsidP="008C76E0">
            <w:pPr>
              <w:spacing w:after="160" w:line="360" w:lineRule="auto"/>
              <w:ind w:right="-1"/>
              <w:jc w:val="both"/>
              <w:rPr>
                <w:rFonts w:ascii="Sylfaen" w:hAnsi="Sylfaen"/>
                <w:sz w:val="24"/>
                <w:szCs w:val="24"/>
              </w:rPr>
            </w:pPr>
          </w:p>
        </w:tc>
        <w:tc>
          <w:tcPr>
            <w:tcW w:w="6490" w:type="dxa"/>
          </w:tcPr>
          <w:p w14:paraId="6DF560EC" w14:textId="77777777"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Դիտարկվող դեղապատրաստուկի մասով անհրաժեշտ է բերել տեղեկություններ՝ գաղտնի տեղեկատվությանը հասանելիությունը թույլատրելու վերաբերյալ:</w:t>
            </w:r>
          </w:p>
        </w:tc>
      </w:tr>
      <w:tr w:rsidR="008C76E0" w:rsidRPr="003B2786" w14:paraId="7D435006" w14:textId="77777777" w:rsidTr="008C76E0">
        <w:trPr>
          <w:trHeight w:val="141"/>
        </w:trPr>
        <w:tc>
          <w:tcPr>
            <w:tcW w:w="2796" w:type="dxa"/>
            <w:vMerge/>
          </w:tcPr>
          <w:p w14:paraId="42F161C9"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414132B6" w14:textId="23D15D94"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անհրաժեշտ է լրացնել միայն հաշվետվության 3.4 «Ակտիվ դեղագործական բաղադրամասի որակի հսկողություն» </w:t>
            </w:r>
            <w:r w:rsidR="00C54D75">
              <w:rPr>
                <w:rFonts w:ascii="Sylfaen" w:hAnsi="Sylfaen"/>
                <w:sz w:val="24"/>
                <w:szCs w:val="24"/>
              </w:rPr>
              <w:t>և</w:t>
            </w:r>
            <w:r w:rsidRPr="003B2786">
              <w:rPr>
                <w:rFonts w:ascii="Sylfaen" w:hAnsi="Sylfaen"/>
                <w:sz w:val="24"/>
                <w:szCs w:val="24"/>
              </w:rPr>
              <w:t xml:space="preserve"> 3.5 «Ստանդարտ նմուշներ կամ նյութեր» բաժինները, որոնք կապված են դեղապատրաստուկի արտադրության հետ, եթե </w:t>
            </w:r>
            <w:r w:rsidR="0056496B">
              <w:rPr>
                <w:rFonts w:ascii="Sylfaen" w:hAnsi="Sylfaen"/>
                <w:sz w:val="24"/>
                <w:szCs w:val="24"/>
              </w:rPr>
              <w:t>դիմումատու</w:t>
            </w:r>
            <w:r w:rsidRPr="003B2786">
              <w:rPr>
                <w:rFonts w:ascii="Sylfaen" w:hAnsi="Sylfaen"/>
                <w:sz w:val="24"/>
                <w:szCs w:val="24"/>
              </w:rPr>
              <w:t>ն չի տրամադրել լրացուցիչ տվյալներ, մասնավորապես՝ 3.2.S.7 բաժնին համապատասխան, կրկնակի փորձարկման ավելի երկարատ</w:t>
            </w:r>
            <w:r w:rsidR="00C54D75">
              <w:rPr>
                <w:rFonts w:ascii="Sylfaen" w:hAnsi="Sylfaen"/>
                <w:sz w:val="24"/>
                <w:szCs w:val="24"/>
              </w:rPr>
              <w:t>և</w:t>
            </w:r>
            <w:r w:rsidRPr="003B2786">
              <w:rPr>
                <w:rFonts w:ascii="Sylfaen" w:hAnsi="Sylfaen"/>
                <w:sz w:val="24"/>
                <w:szCs w:val="24"/>
              </w:rPr>
              <w:t xml:space="preserve"> ժամանակահատվածի հաստատման համար կայունության մասին տվյալներ:</w:t>
            </w:r>
          </w:p>
        </w:tc>
      </w:tr>
      <w:tr w:rsidR="008C76E0" w:rsidRPr="003B2786" w14:paraId="565C55AE" w14:textId="77777777" w:rsidTr="008C76E0">
        <w:trPr>
          <w:trHeight w:val="141"/>
        </w:trPr>
        <w:tc>
          <w:tcPr>
            <w:tcW w:w="2796" w:type="dxa"/>
            <w:vMerge/>
          </w:tcPr>
          <w:p w14:paraId="1A61E334"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38560075" w14:textId="3B633978"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ԱԴԲՄՖ հաշվետվությունների փակ մասի վերաբերյալ հարցերը ուղարկվում են ոչ թե </w:t>
            </w:r>
            <w:r w:rsidR="0056496B">
              <w:rPr>
                <w:rFonts w:ascii="Sylfaen" w:hAnsi="Sylfaen"/>
                <w:sz w:val="24"/>
                <w:szCs w:val="24"/>
              </w:rPr>
              <w:t>դիմումատու</w:t>
            </w:r>
            <w:r w:rsidRPr="003B2786">
              <w:rPr>
                <w:rFonts w:ascii="Sylfaen" w:hAnsi="Sylfaen"/>
                <w:sz w:val="24"/>
                <w:szCs w:val="24"/>
              </w:rPr>
              <w:t>ին, այլ միայն ակտիվ դեղագործական բաղադրամասի համապատասխան արտադրողին (ԱԴԲՄՖ-ի իրավատիրոջը):</w:t>
            </w:r>
          </w:p>
        </w:tc>
      </w:tr>
      <w:tr w:rsidR="008C76E0" w:rsidRPr="003B2786" w14:paraId="33F6F50D" w14:textId="77777777" w:rsidTr="008C76E0">
        <w:trPr>
          <w:trHeight w:val="141"/>
        </w:trPr>
        <w:tc>
          <w:tcPr>
            <w:tcW w:w="2796" w:type="dxa"/>
            <w:vMerge/>
          </w:tcPr>
          <w:p w14:paraId="2F4FD17F" w14:textId="77777777" w:rsidR="008C76E0" w:rsidRPr="00C84ACF" w:rsidRDefault="008C76E0" w:rsidP="008C76E0">
            <w:pPr>
              <w:spacing w:after="160" w:line="360" w:lineRule="auto"/>
              <w:ind w:right="-1"/>
              <w:jc w:val="both"/>
              <w:rPr>
                <w:rFonts w:ascii="Sylfaen" w:hAnsi="Sylfaen"/>
                <w:sz w:val="24"/>
                <w:szCs w:val="24"/>
              </w:rPr>
            </w:pPr>
          </w:p>
        </w:tc>
        <w:tc>
          <w:tcPr>
            <w:tcW w:w="6490" w:type="dxa"/>
          </w:tcPr>
          <w:p w14:paraId="2424D473" w14:textId="6EEEF865" w:rsidR="008C76E0" w:rsidRPr="003B2786" w:rsidRDefault="008C76E0" w:rsidP="008C76E0">
            <w:pPr>
              <w:tabs>
                <w:tab w:val="left" w:pos="606"/>
              </w:tabs>
              <w:spacing w:after="160" w:line="353" w:lineRule="auto"/>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 xml:space="preserve">СЕР-ը </w:t>
            </w:r>
            <w:r w:rsidR="00C54D75">
              <w:rPr>
                <w:rFonts w:ascii="Sylfaen" w:hAnsi="Sylfaen"/>
                <w:sz w:val="24"/>
                <w:szCs w:val="24"/>
              </w:rPr>
              <w:t>և</w:t>
            </w:r>
            <w:r w:rsidRPr="003B2786">
              <w:rPr>
                <w:rFonts w:ascii="Sylfaen" w:hAnsi="Sylfaen"/>
                <w:sz w:val="24"/>
                <w:szCs w:val="24"/>
              </w:rPr>
              <w:t xml:space="preserve"> ԱԴԲՄՖ-ն օգտագործելիս հարկ է ճշտել աղբյուրը (</w:t>
            </w:r>
            <w:r w:rsidR="0056496B">
              <w:rPr>
                <w:rFonts w:ascii="Sylfaen" w:hAnsi="Sylfaen"/>
                <w:sz w:val="24"/>
                <w:szCs w:val="24"/>
              </w:rPr>
              <w:t>դիմումատու</w:t>
            </w:r>
            <w:r w:rsidRPr="003B2786">
              <w:rPr>
                <w:rFonts w:ascii="Sylfaen" w:hAnsi="Sylfaen"/>
                <w:sz w:val="24"/>
                <w:szCs w:val="24"/>
              </w:rPr>
              <w:t xml:space="preserve">ն, ԱԴԲՄՖ-ի իրավատերը կամ СЕР-ի իրավատերը) </w:t>
            </w:r>
            <w:r w:rsidR="00C54D75">
              <w:rPr>
                <w:rFonts w:ascii="Sylfaen" w:hAnsi="Sylfaen"/>
                <w:sz w:val="24"/>
                <w:szCs w:val="24"/>
              </w:rPr>
              <w:t>և</w:t>
            </w:r>
            <w:r w:rsidRPr="003B2786">
              <w:rPr>
                <w:rFonts w:ascii="Sylfaen" w:hAnsi="Sylfaen"/>
                <w:sz w:val="24"/>
                <w:szCs w:val="24"/>
              </w:rPr>
              <w:t xml:space="preserve"> կրիտիկական գնահատականի մասին հաշվետվություն կազմելու համար տեղեկությունների մանրամասնեցման մակարդակը:</w:t>
            </w:r>
          </w:p>
        </w:tc>
      </w:tr>
      <w:tr w:rsidR="008C76E0" w:rsidRPr="003B2786" w14:paraId="21C548BD" w14:textId="77777777" w:rsidTr="008C76E0">
        <w:trPr>
          <w:trHeight w:val="4814"/>
        </w:trPr>
        <w:tc>
          <w:tcPr>
            <w:tcW w:w="2796" w:type="dxa"/>
            <w:vMerge/>
          </w:tcPr>
          <w:p w14:paraId="2423D32F" w14:textId="77777777" w:rsidR="008C76E0" w:rsidRPr="00C84ACF" w:rsidRDefault="008C76E0" w:rsidP="008C76E0">
            <w:pPr>
              <w:spacing w:after="160" w:line="360" w:lineRule="auto"/>
              <w:jc w:val="both"/>
              <w:rPr>
                <w:rFonts w:ascii="Sylfaen" w:hAnsi="Sylfaen"/>
                <w:sz w:val="24"/>
                <w:szCs w:val="24"/>
              </w:rPr>
            </w:pPr>
          </w:p>
        </w:tc>
        <w:tc>
          <w:tcPr>
            <w:tcW w:w="6490" w:type="dxa"/>
          </w:tcPr>
          <w:p w14:paraId="0D69754A" w14:textId="1A1C868C" w:rsidR="008C76E0" w:rsidRPr="003B2786" w:rsidRDefault="008C76E0" w:rsidP="008C76E0">
            <w:pPr>
              <w:tabs>
                <w:tab w:val="left" w:pos="606"/>
              </w:tabs>
              <w:spacing w:after="160" w:line="360" w:lineRule="auto"/>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Ակտիվ դեղագործական բաղադրամասի որակի գնահատումը սույն հաշվետվության մեջ պետք է նա</w:t>
            </w:r>
            <w:r w:rsidR="00C54D75">
              <w:rPr>
                <w:rFonts w:ascii="Sylfaen" w:hAnsi="Sylfaen"/>
                <w:sz w:val="24"/>
                <w:szCs w:val="24"/>
              </w:rPr>
              <w:t>և</w:t>
            </w:r>
            <w:r w:rsidRPr="003B2786">
              <w:rPr>
                <w:rFonts w:ascii="Sylfaen" w:hAnsi="Sylfaen"/>
                <w:sz w:val="24"/>
                <w:szCs w:val="24"/>
              </w:rPr>
              <w:t xml:space="preserve"> արտացոլի </w:t>
            </w:r>
            <w:r w:rsidR="0056496B">
              <w:rPr>
                <w:rFonts w:ascii="Sylfaen" w:hAnsi="Sylfaen"/>
                <w:sz w:val="24"/>
                <w:szCs w:val="24"/>
              </w:rPr>
              <w:t>դիմումատու</w:t>
            </w:r>
            <w:r w:rsidRPr="003B2786">
              <w:rPr>
                <w:rFonts w:ascii="Sylfaen" w:hAnsi="Sylfaen"/>
                <w:sz w:val="24"/>
                <w:szCs w:val="24"/>
              </w:rPr>
              <w:t xml:space="preserve">ի կողմից ներկայացված լրացուցիչ տեղեկատվությունը, որը ներառված չէ ԱԴԲՄՖ-ի իրավատիրոջ կողմից ներկայացվող փաստաթղթի բաց մասում: Եթե </w:t>
            </w:r>
            <w:r w:rsidR="0056496B">
              <w:rPr>
                <w:rFonts w:ascii="Sylfaen" w:hAnsi="Sylfaen"/>
                <w:sz w:val="24"/>
                <w:szCs w:val="24"/>
              </w:rPr>
              <w:t>դիմումատու</w:t>
            </w:r>
            <w:r w:rsidRPr="003B2786">
              <w:rPr>
                <w:rFonts w:ascii="Sylfaen" w:hAnsi="Sylfaen"/>
                <w:sz w:val="24"/>
                <w:szCs w:val="24"/>
              </w:rPr>
              <w:t>ն ակտիվ դեղագործական բաղադրամասի մասին ներկայացնում է ամբողջական տեղեկատվություն, հաշվետվության մեջ պետք է ներառվի այդ տեղեկատվության գնահատականը:</w:t>
            </w:r>
          </w:p>
        </w:tc>
      </w:tr>
    </w:tbl>
    <w:p w14:paraId="28843E9F" w14:textId="77777777" w:rsidR="008C76E0" w:rsidRPr="003B2786" w:rsidRDefault="008C76E0" w:rsidP="008C76E0">
      <w:pPr>
        <w:ind w:left="1560"/>
        <w:jc w:val="both"/>
        <w:rPr>
          <w:rFonts w:ascii="Sylfaen" w:hAnsi="Sylfaen"/>
          <w:sz w:val="24"/>
          <w:szCs w:val="24"/>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6684"/>
        <w:gridCol w:w="2749"/>
      </w:tblGrid>
      <w:tr w:rsidR="008C76E0" w:rsidRPr="003B2786" w14:paraId="1B4C9D4E" w14:textId="77777777" w:rsidTr="008C76E0">
        <w:trPr>
          <w:trHeight w:val="456"/>
          <w:jc w:val="center"/>
        </w:trPr>
        <w:tc>
          <w:tcPr>
            <w:tcW w:w="9433" w:type="dxa"/>
            <w:gridSpan w:val="2"/>
            <w:shd w:val="clear" w:color="auto" w:fill="FFFFFF"/>
          </w:tcPr>
          <w:p w14:paraId="746329EF"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Տեղեկատվություն ԱԴԲ-ի անվանման մասին (մոդուլ S.1.1)</w:t>
            </w:r>
          </w:p>
        </w:tc>
      </w:tr>
      <w:tr w:rsidR="008C76E0" w:rsidRPr="003B2786" w14:paraId="568E48B7" w14:textId="77777777" w:rsidTr="008C76E0">
        <w:trPr>
          <w:trHeight w:val="456"/>
          <w:jc w:val="center"/>
        </w:trPr>
        <w:tc>
          <w:tcPr>
            <w:tcW w:w="6684" w:type="dxa"/>
            <w:tcBorders>
              <w:top w:val="single" w:sz="4" w:space="0" w:color="auto"/>
              <w:left w:val="single" w:sz="4" w:space="0" w:color="auto"/>
            </w:tcBorders>
            <w:shd w:val="clear" w:color="auto" w:fill="FFFFFF"/>
          </w:tcPr>
          <w:p w14:paraId="653B66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Միջազգային չարտոնագրված անվանումը (ՄՉԱ)</w:t>
            </w:r>
          </w:p>
        </w:tc>
        <w:tc>
          <w:tcPr>
            <w:tcW w:w="2749" w:type="dxa"/>
            <w:tcBorders>
              <w:top w:val="single" w:sz="4" w:space="0" w:color="auto"/>
              <w:right w:val="single" w:sz="4" w:space="0" w:color="auto"/>
            </w:tcBorders>
            <w:shd w:val="clear" w:color="auto" w:fill="FFFFFF"/>
          </w:tcPr>
          <w:p w14:paraId="32EA035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800EDD" w14:textId="77777777" w:rsidTr="008C76E0">
        <w:trPr>
          <w:trHeight w:val="456"/>
          <w:jc w:val="center"/>
        </w:trPr>
        <w:tc>
          <w:tcPr>
            <w:tcW w:w="6684" w:type="dxa"/>
            <w:tcBorders>
              <w:top w:val="single" w:sz="4" w:space="0" w:color="auto"/>
              <w:left w:val="single" w:sz="4" w:space="0" w:color="auto"/>
            </w:tcBorders>
            <w:shd w:val="clear" w:color="auto" w:fill="FFFFFF"/>
          </w:tcPr>
          <w:p w14:paraId="2B886BD9"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Քիմիական անվանումը</w:t>
            </w:r>
          </w:p>
        </w:tc>
        <w:tc>
          <w:tcPr>
            <w:tcW w:w="2749" w:type="dxa"/>
            <w:tcBorders>
              <w:top w:val="single" w:sz="4" w:space="0" w:color="auto"/>
              <w:right w:val="single" w:sz="4" w:space="0" w:color="auto"/>
            </w:tcBorders>
            <w:shd w:val="clear" w:color="auto" w:fill="FFFFFF"/>
          </w:tcPr>
          <w:p w14:paraId="2B9E35BB"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3E8EE0" w14:textId="77777777" w:rsidTr="008C76E0">
        <w:trPr>
          <w:trHeight w:val="443"/>
          <w:jc w:val="center"/>
        </w:trPr>
        <w:tc>
          <w:tcPr>
            <w:tcW w:w="6684" w:type="dxa"/>
            <w:tcBorders>
              <w:top w:val="single" w:sz="4" w:space="0" w:color="auto"/>
              <w:left w:val="single" w:sz="4" w:space="0" w:color="auto"/>
            </w:tcBorders>
            <w:shd w:val="clear" w:color="auto" w:fill="FFFFFF"/>
          </w:tcPr>
          <w:p w14:paraId="1EC71C83"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Այլ անվանում (եթե կիրառելի է)</w:t>
            </w:r>
          </w:p>
        </w:tc>
        <w:tc>
          <w:tcPr>
            <w:tcW w:w="2749" w:type="dxa"/>
            <w:tcBorders>
              <w:top w:val="single" w:sz="4" w:space="0" w:color="auto"/>
              <w:right w:val="single" w:sz="4" w:space="0" w:color="auto"/>
            </w:tcBorders>
            <w:shd w:val="clear" w:color="auto" w:fill="FFFFFF"/>
          </w:tcPr>
          <w:p w14:paraId="579D9A8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168E0A" w14:textId="77777777" w:rsidTr="008C76E0">
        <w:trPr>
          <w:trHeight w:val="443"/>
          <w:jc w:val="center"/>
        </w:trPr>
        <w:tc>
          <w:tcPr>
            <w:tcW w:w="6684" w:type="dxa"/>
            <w:tcBorders>
              <w:top w:val="single" w:sz="4" w:space="0" w:color="auto"/>
              <w:left w:val="single" w:sz="4" w:space="0" w:color="auto"/>
            </w:tcBorders>
            <w:shd w:val="clear" w:color="auto" w:fill="FFFFFF"/>
          </w:tcPr>
          <w:p w14:paraId="7EFC130B"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 xml:space="preserve">Անվանումն ըստ IUPAC անվանացանկի </w:t>
            </w:r>
          </w:p>
        </w:tc>
        <w:tc>
          <w:tcPr>
            <w:tcW w:w="2749" w:type="dxa"/>
            <w:tcBorders>
              <w:top w:val="single" w:sz="4" w:space="0" w:color="auto"/>
              <w:right w:val="single" w:sz="4" w:space="0" w:color="auto"/>
            </w:tcBorders>
            <w:shd w:val="clear" w:color="auto" w:fill="FFFFFF"/>
          </w:tcPr>
          <w:p w14:paraId="27738DE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701ACA9" w14:textId="77777777" w:rsidTr="008C76E0">
        <w:trPr>
          <w:trHeight w:val="456"/>
          <w:jc w:val="center"/>
        </w:trPr>
        <w:tc>
          <w:tcPr>
            <w:tcW w:w="6684" w:type="dxa"/>
            <w:tcBorders>
              <w:top w:val="single" w:sz="4" w:space="0" w:color="auto"/>
              <w:left w:val="single" w:sz="4" w:space="0" w:color="auto"/>
            </w:tcBorders>
            <w:shd w:val="clear" w:color="auto" w:fill="FFFFFF"/>
          </w:tcPr>
          <w:p w14:paraId="5753C9E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САS-համարը</w:t>
            </w:r>
          </w:p>
        </w:tc>
        <w:tc>
          <w:tcPr>
            <w:tcW w:w="2749" w:type="dxa"/>
            <w:tcBorders>
              <w:top w:val="single" w:sz="4" w:space="0" w:color="auto"/>
              <w:right w:val="single" w:sz="4" w:space="0" w:color="auto"/>
            </w:tcBorders>
            <w:shd w:val="clear" w:color="auto" w:fill="FFFFFF"/>
          </w:tcPr>
          <w:p w14:paraId="4476A76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70A93E6" w14:textId="77777777" w:rsidTr="008C76E0">
        <w:trPr>
          <w:trHeight w:val="456"/>
          <w:jc w:val="center"/>
        </w:trPr>
        <w:tc>
          <w:tcPr>
            <w:tcW w:w="6684" w:type="dxa"/>
            <w:tcBorders>
              <w:top w:val="single" w:sz="4" w:space="0" w:color="auto"/>
              <w:left w:val="single" w:sz="4" w:space="0" w:color="auto"/>
            </w:tcBorders>
            <w:shd w:val="clear" w:color="auto" w:fill="FFFFFF"/>
          </w:tcPr>
          <w:p w14:paraId="36497B61"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Լաբորատոր ծածկագիրը</w:t>
            </w:r>
          </w:p>
        </w:tc>
        <w:tc>
          <w:tcPr>
            <w:tcW w:w="2749" w:type="dxa"/>
            <w:tcBorders>
              <w:top w:val="single" w:sz="4" w:space="0" w:color="auto"/>
              <w:right w:val="single" w:sz="4" w:space="0" w:color="auto"/>
            </w:tcBorders>
            <w:shd w:val="clear" w:color="auto" w:fill="FFFFFF"/>
          </w:tcPr>
          <w:p w14:paraId="3C0F039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625BECF" w14:textId="77777777" w:rsidTr="008C76E0">
        <w:trPr>
          <w:trHeight w:val="456"/>
          <w:jc w:val="center"/>
        </w:trPr>
        <w:tc>
          <w:tcPr>
            <w:tcW w:w="6684" w:type="dxa"/>
            <w:tcBorders>
              <w:top w:val="single" w:sz="4" w:space="0" w:color="auto"/>
              <w:left w:val="single" w:sz="4" w:space="0" w:color="auto"/>
            </w:tcBorders>
            <w:shd w:val="clear" w:color="auto" w:fill="FFFFFF"/>
          </w:tcPr>
          <w:p w14:paraId="5BD8AD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Մոլեկուլային բանաձ</w:t>
            </w:r>
            <w:r w:rsidR="00C54D75">
              <w:rPr>
                <w:rStyle w:val="Bodytext1811pt"/>
                <w:rFonts w:ascii="Sylfaen" w:hAnsi="Sylfaen"/>
                <w:sz w:val="24"/>
                <w:szCs w:val="24"/>
              </w:rPr>
              <w:t>և</w:t>
            </w:r>
            <w:r w:rsidRPr="003B2786">
              <w:rPr>
                <w:rStyle w:val="Bodytext1811pt"/>
                <w:rFonts w:ascii="Sylfaen" w:hAnsi="Sylfaen"/>
                <w:sz w:val="24"/>
                <w:szCs w:val="24"/>
              </w:rPr>
              <w:t>ը</w:t>
            </w:r>
          </w:p>
        </w:tc>
        <w:tc>
          <w:tcPr>
            <w:tcW w:w="2749" w:type="dxa"/>
            <w:tcBorders>
              <w:top w:val="single" w:sz="4" w:space="0" w:color="auto"/>
              <w:right w:val="single" w:sz="4" w:space="0" w:color="auto"/>
            </w:tcBorders>
            <w:shd w:val="clear" w:color="auto" w:fill="FFFFFF"/>
          </w:tcPr>
          <w:p w14:paraId="228BBE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4EF76E4" w14:textId="77777777" w:rsidTr="008C76E0">
        <w:trPr>
          <w:trHeight w:val="443"/>
          <w:jc w:val="center"/>
        </w:trPr>
        <w:tc>
          <w:tcPr>
            <w:tcW w:w="6684" w:type="dxa"/>
            <w:tcBorders>
              <w:top w:val="single" w:sz="4" w:space="0" w:color="auto"/>
              <w:left w:val="single" w:sz="4" w:space="0" w:color="auto"/>
            </w:tcBorders>
            <w:shd w:val="clear" w:color="auto" w:fill="FFFFFF"/>
          </w:tcPr>
          <w:p w14:paraId="5115F094"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Հարաբերական մոլեկուլային զանգվածը</w:t>
            </w:r>
          </w:p>
        </w:tc>
        <w:tc>
          <w:tcPr>
            <w:tcW w:w="2749" w:type="dxa"/>
            <w:tcBorders>
              <w:top w:val="single" w:sz="4" w:space="0" w:color="auto"/>
              <w:right w:val="single" w:sz="4" w:space="0" w:color="auto"/>
            </w:tcBorders>
            <w:shd w:val="clear" w:color="auto" w:fill="FFFFFF"/>
          </w:tcPr>
          <w:p w14:paraId="51BB2E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72496DB" w14:textId="77777777" w:rsidTr="008C76E0">
        <w:trPr>
          <w:trHeight w:val="899"/>
          <w:jc w:val="center"/>
        </w:trPr>
        <w:tc>
          <w:tcPr>
            <w:tcW w:w="9433" w:type="dxa"/>
            <w:gridSpan w:val="2"/>
            <w:tcBorders>
              <w:top w:val="single" w:sz="4" w:space="0" w:color="auto"/>
            </w:tcBorders>
            <w:shd w:val="clear" w:color="auto" w:fill="FFFFFF"/>
            <w:vAlign w:val="center"/>
          </w:tcPr>
          <w:p w14:paraId="41B0C406"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ԱԴԲ-ի կառուցվածքը (մոդուլ S.1.2)՝</w:t>
            </w:r>
          </w:p>
          <w:p w14:paraId="355CE0B0"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ԱԴԲ-ի ընդհանուր հատկությունները (մոդուլ S.1.3)</w:t>
            </w:r>
          </w:p>
        </w:tc>
      </w:tr>
      <w:tr w:rsidR="008C76E0" w:rsidRPr="003B2786" w14:paraId="646C7C94" w14:textId="77777777" w:rsidTr="008C76E0">
        <w:trPr>
          <w:trHeight w:val="640"/>
          <w:jc w:val="center"/>
        </w:trPr>
        <w:tc>
          <w:tcPr>
            <w:tcW w:w="6684" w:type="dxa"/>
            <w:tcBorders>
              <w:top w:val="single" w:sz="4" w:space="0" w:color="auto"/>
              <w:left w:val="single" w:sz="4" w:space="0" w:color="auto"/>
            </w:tcBorders>
            <w:shd w:val="clear" w:color="auto" w:fill="FFFFFF"/>
          </w:tcPr>
          <w:p w14:paraId="61BC1E02"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Ֆիզիկական բնութագրերը</w:t>
            </w:r>
          </w:p>
        </w:tc>
        <w:tc>
          <w:tcPr>
            <w:tcW w:w="2749" w:type="dxa"/>
            <w:tcBorders>
              <w:top w:val="single" w:sz="4" w:space="0" w:color="auto"/>
              <w:left w:val="single" w:sz="4" w:space="0" w:color="auto"/>
              <w:right w:val="single" w:sz="4" w:space="0" w:color="auto"/>
            </w:tcBorders>
            <w:shd w:val="clear" w:color="auto" w:fill="FFFFFF"/>
          </w:tcPr>
          <w:p w14:paraId="08D8136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39176A9" w14:textId="77777777" w:rsidTr="008C76E0">
        <w:trPr>
          <w:trHeight w:val="641"/>
          <w:jc w:val="center"/>
        </w:trPr>
        <w:tc>
          <w:tcPr>
            <w:tcW w:w="6684" w:type="dxa"/>
            <w:tcBorders>
              <w:top w:val="single" w:sz="4" w:space="0" w:color="auto"/>
              <w:left w:val="single" w:sz="4" w:space="0" w:color="auto"/>
            </w:tcBorders>
            <w:shd w:val="clear" w:color="auto" w:fill="FFFFFF"/>
          </w:tcPr>
          <w:p w14:paraId="30F41BC6"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Լուծելիությունը</w:t>
            </w:r>
          </w:p>
        </w:tc>
        <w:tc>
          <w:tcPr>
            <w:tcW w:w="2749" w:type="dxa"/>
            <w:tcBorders>
              <w:top w:val="single" w:sz="4" w:space="0" w:color="auto"/>
              <w:left w:val="single" w:sz="4" w:space="0" w:color="auto"/>
              <w:right w:val="single" w:sz="4" w:space="0" w:color="auto"/>
            </w:tcBorders>
            <w:shd w:val="clear" w:color="auto" w:fill="FFFFFF"/>
          </w:tcPr>
          <w:p w14:paraId="1FDA44E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F9C6C4D" w14:textId="77777777" w:rsidTr="008C76E0">
        <w:trPr>
          <w:trHeight w:val="669"/>
          <w:jc w:val="center"/>
        </w:trPr>
        <w:tc>
          <w:tcPr>
            <w:tcW w:w="6684" w:type="dxa"/>
            <w:tcBorders>
              <w:top w:val="single" w:sz="4" w:space="0" w:color="auto"/>
              <w:left w:val="single" w:sz="4" w:space="0" w:color="auto"/>
            </w:tcBorders>
            <w:shd w:val="clear" w:color="auto" w:fill="FFFFFF"/>
          </w:tcPr>
          <w:p w14:paraId="4E81DBBA"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рКа-ի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66D7607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D8C789D" w14:textId="77777777" w:rsidTr="008C76E0">
        <w:trPr>
          <w:trHeight w:val="456"/>
          <w:jc w:val="center"/>
        </w:trPr>
        <w:tc>
          <w:tcPr>
            <w:tcW w:w="6684" w:type="dxa"/>
            <w:tcBorders>
              <w:top w:val="single" w:sz="4" w:space="0" w:color="auto"/>
              <w:left w:val="single" w:sz="4" w:space="0" w:color="auto"/>
            </w:tcBorders>
            <w:shd w:val="clear" w:color="auto" w:fill="FFFFFF"/>
          </w:tcPr>
          <w:p w14:paraId="5EF3B337"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рН լուծույթի արժեքը (եթե հնարավոր է)</w:t>
            </w:r>
          </w:p>
        </w:tc>
        <w:tc>
          <w:tcPr>
            <w:tcW w:w="2749" w:type="dxa"/>
            <w:tcBorders>
              <w:top w:val="single" w:sz="4" w:space="0" w:color="auto"/>
              <w:left w:val="single" w:sz="4" w:space="0" w:color="auto"/>
              <w:right w:val="single" w:sz="4" w:space="0" w:color="auto"/>
            </w:tcBorders>
            <w:shd w:val="clear" w:color="auto" w:fill="FFFFFF"/>
          </w:tcPr>
          <w:p w14:paraId="462F3EE4" w14:textId="77777777" w:rsidR="008C76E0" w:rsidRPr="003B2786" w:rsidRDefault="008C76E0" w:rsidP="008C76E0">
            <w:pPr>
              <w:spacing w:after="120" w:line="240" w:lineRule="auto"/>
              <w:jc w:val="both"/>
              <w:rPr>
                <w:rFonts w:ascii="Sylfaen" w:hAnsi="Sylfaen"/>
                <w:sz w:val="24"/>
                <w:szCs w:val="24"/>
              </w:rPr>
            </w:pPr>
          </w:p>
        </w:tc>
      </w:tr>
      <w:tr w:rsidR="008C76E0" w:rsidRPr="003B2786" w14:paraId="6A5B0812" w14:textId="77777777" w:rsidTr="008C76E0">
        <w:trPr>
          <w:trHeight w:val="565"/>
          <w:jc w:val="center"/>
        </w:trPr>
        <w:tc>
          <w:tcPr>
            <w:tcW w:w="6684" w:type="dxa"/>
            <w:tcBorders>
              <w:top w:val="single" w:sz="4" w:space="0" w:color="auto"/>
              <w:left w:val="single" w:sz="4" w:space="0" w:color="auto"/>
            </w:tcBorders>
            <w:shd w:val="clear" w:color="auto" w:fill="FFFFFF"/>
          </w:tcPr>
          <w:p w14:paraId="30FBD2F6"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lastRenderedPageBreak/>
              <w:t>Հալման ջերմաստիճանը (պինդ նյութերի դեպքում)</w:t>
            </w:r>
          </w:p>
        </w:tc>
        <w:tc>
          <w:tcPr>
            <w:tcW w:w="2749" w:type="dxa"/>
            <w:tcBorders>
              <w:top w:val="single" w:sz="4" w:space="0" w:color="auto"/>
              <w:left w:val="single" w:sz="4" w:space="0" w:color="auto"/>
              <w:right w:val="single" w:sz="4" w:space="0" w:color="auto"/>
            </w:tcBorders>
            <w:shd w:val="clear" w:color="auto" w:fill="FFFFFF"/>
          </w:tcPr>
          <w:p w14:paraId="47D8FC7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F859DB9" w14:textId="77777777" w:rsidTr="008C76E0">
        <w:trPr>
          <w:trHeight w:val="456"/>
          <w:jc w:val="center"/>
        </w:trPr>
        <w:tc>
          <w:tcPr>
            <w:tcW w:w="6684" w:type="dxa"/>
            <w:tcBorders>
              <w:top w:val="single" w:sz="4" w:space="0" w:color="auto"/>
              <w:left w:val="single" w:sz="4" w:space="0" w:color="auto"/>
            </w:tcBorders>
            <w:shd w:val="clear" w:color="auto" w:fill="FFFFFF"/>
          </w:tcPr>
          <w:p w14:paraId="415191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Տեղաբաշխման գործակիցը</w:t>
            </w:r>
          </w:p>
        </w:tc>
        <w:tc>
          <w:tcPr>
            <w:tcW w:w="2749" w:type="dxa"/>
            <w:tcBorders>
              <w:top w:val="single" w:sz="4" w:space="0" w:color="auto"/>
              <w:left w:val="single" w:sz="4" w:space="0" w:color="auto"/>
              <w:right w:val="single" w:sz="4" w:space="0" w:color="auto"/>
            </w:tcBorders>
            <w:shd w:val="clear" w:color="auto" w:fill="FFFFFF"/>
          </w:tcPr>
          <w:p w14:paraId="7142ECD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4C11399" w14:textId="77777777" w:rsidTr="008C76E0">
        <w:trPr>
          <w:trHeight w:val="443"/>
          <w:jc w:val="center"/>
        </w:trPr>
        <w:tc>
          <w:tcPr>
            <w:tcW w:w="6684" w:type="dxa"/>
            <w:tcBorders>
              <w:top w:val="single" w:sz="4" w:space="0" w:color="auto"/>
              <w:left w:val="single" w:sz="4" w:space="0" w:color="auto"/>
            </w:tcBorders>
            <w:shd w:val="clear" w:color="auto" w:fill="FFFFFF"/>
          </w:tcPr>
          <w:p w14:paraId="340087F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Հիգրոսկոպիկությունը</w:t>
            </w:r>
          </w:p>
        </w:tc>
        <w:tc>
          <w:tcPr>
            <w:tcW w:w="2749" w:type="dxa"/>
            <w:tcBorders>
              <w:top w:val="single" w:sz="4" w:space="0" w:color="auto"/>
              <w:left w:val="single" w:sz="4" w:space="0" w:color="auto"/>
              <w:right w:val="single" w:sz="4" w:space="0" w:color="auto"/>
            </w:tcBorders>
            <w:shd w:val="clear" w:color="auto" w:fill="FFFFFF"/>
          </w:tcPr>
          <w:p w14:paraId="136CECB2"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59F3130" w14:textId="77777777" w:rsidTr="008C76E0">
        <w:trPr>
          <w:trHeight w:val="443"/>
          <w:jc w:val="center"/>
        </w:trPr>
        <w:tc>
          <w:tcPr>
            <w:tcW w:w="6684" w:type="dxa"/>
            <w:tcBorders>
              <w:top w:val="single" w:sz="4" w:space="0" w:color="auto"/>
              <w:left w:val="single" w:sz="4" w:space="0" w:color="auto"/>
            </w:tcBorders>
            <w:shd w:val="clear" w:color="auto" w:fill="FFFFFF"/>
          </w:tcPr>
          <w:p w14:paraId="0E19B17F"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Տարածական քիմիան</w:t>
            </w:r>
          </w:p>
        </w:tc>
        <w:tc>
          <w:tcPr>
            <w:tcW w:w="2749" w:type="dxa"/>
            <w:tcBorders>
              <w:top w:val="single" w:sz="4" w:space="0" w:color="auto"/>
              <w:left w:val="single" w:sz="4" w:space="0" w:color="auto"/>
              <w:right w:val="single" w:sz="4" w:space="0" w:color="auto"/>
            </w:tcBorders>
            <w:shd w:val="clear" w:color="auto" w:fill="FFFFFF"/>
          </w:tcPr>
          <w:p w14:paraId="0ABB119C"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9027627" w14:textId="77777777" w:rsidTr="008C76E0">
        <w:trPr>
          <w:trHeight w:val="456"/>
          <w:jc w:val="center"/>
        </w:trPr>
        <w:tc>
          <w:tcPr>
            <w:tcW w:w="6684" w:type="dxa"/>
            <w:tcBorders>
              <w:top w:val="single" w:sz="4" w:space="0" w:color="auto"/>
              <w:left w:val="single" w:sz="4" w:space="0" w:color="auto"/>
            </w:tcBorders>
            <w:shd w:val="clear" w:color="auto" w:fill="FFFFFF"/>
          </w:tcPr>
          <w:p w14:paraId="072EDC07"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Բազմաձ</w:t>
            </w:r>
            <w:r w:rsidR="00C54D75">
              <w:rPr>
                <w:rStyle w:val="Bodytext1811pt"/>
                <w:rFonts w:ascii="Sylfaen" w:hAnsi="Sylfaen"/>
                <w:sz w:val="24"/>
                <w:szCs w:val="24"/>
              </w:rPr>
              <w:t>և</w:t>
            </w:r>
            <w:r w:rsidRPr="003B2786">
              <w:rPr>
                <w:rStyle w:val="Bodytext1811pt"/>
                <w:rFonts w:ascii="Sylfaen" w:hAnsi="Sylfaen"/>
                <w:sz w:val="24"/>
                <w:szCs w:val="24"/>
              </w:rPr>
              <w:t>ությունը</w:t>
            </w:r>
          </w:p>
        </w:tc>
        <w:tc>
          <w:tcPr>
            <w:tcW w:w="2749" w:type="dxa"/>
            <w:tcBorders>
              <w:top w:val="single" w:sz="4" w:space="0" w:color="auto"/>
              <w:left w:val="single" w:sz="4" w:space="0" w:color="auto"/>
              <w:right w:val="single" w:sz="4" w:space="0" w:color="auto"/>
            </w:tcBorders>
            <w:shd w:val="clear" w:color="auto" w:fill="FFFFFF"/>
          </w:tcPr>
          <w:p w14:paraId="2BBBA700"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5C9640F" w14:textId="77777777" w:rsidTr="008C76E0">
        <w:trPr>
          <w:trHeight w:val="469"/>
          <w:jc w:val="center"/>
        </w:trPr>
        <w:tc>
          <w:tcPr>
            <w:tcW w:w="6684" w:type="dxa"/>
            <w:tcBorders>
              <w:top w:val="single" w:sz="4" w:space="0" w:color="auto"/>
              <w:left w:val="single" w:sz="4" w:space="0" w:color="auto"/>
              <w:bottom w:val="single" w:sz="4" w:space="0" w:color="auto"/>
            </w:tcBorders>
            <w:shd w:val="clear" w:color="auto" w:fill="FFFFFF"/>
          </w:tcPr>
          <w:p w14:paraId="4E7B9720"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Բյուրեղայնության աստիճանը (պինդ նյութերի դեպքում)</w:t>
            </w:r>
          </w:p>
        </w:tc>
        <w:tc>
          <w:tcPr>
            <w:tcW w:w="2749" w:type="dxa"/>
            <w:tcBorders>
              <w:top w:val="single" w:sz="4" w:space="0" w:color="auto"/>
              <w:left w:val="single" w:sz="4" w:space="0" w:color="auto"/>
              <w:bottom w:val="single" w:sz="4" w:space="0" w:color="auto"/>
              <w:right w:val="single" w:sz="4" w:space="0" w:color="auto"/>
            </w:tcBorders>
            <w:shd w:val="clear" w:color="auto" w:fill="FFFFFF"/>
          </w:tcPr>
          <w:p w14:paraId="7661821C" w14:textId="77777777" w:rsidR="008C76E0" w:rsidRPr="003B2786" w:rsidRDefault="008C76E0" w:rsidP="008C76E0">
            <w:pPr>
              <w:spacing w:after="120" w:line="240" w:lineRule="auto"/>
              <w:jc w:val="both"/>
              <w:rPr>
                <w:rFonts w:ascii="Sylfaen" w:hAnsi="Sylfaen"/>
                <w:sz w:val="24"/>
                <w:szCs w:val="24"/>
              </w:rPr>
            </w:pPr>
          </w:p>
        </w:tc>
      </w:tr>
    </w:tbl>
    <w:p w14:paraId="6A105EE6" w14:textId="77777777" w:rsidR="008C76E0" w:rsidRDefault="008C76E0" w:rsidP="008C76E0">
      <w:pPr>
        <w:ind w:left="567" w:right="565"/>
        <w:jc w:val="center"/>
        <w:outlineLvl w:val="0"/>
        <w:rPr>
          <w:rFonts w:ascii="Sylfaen" w:hAnsi="Sylfaen"/>
          <w:sz w:val="24"/>
          <w:szCs w:val="24"/>
        </w:rPr>
      </w:pPr>
    </w:p>
    <w:p w14:paraId="11159A63"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3.2.</w:t>
      </w:r>
      <w:r>
        <w:rPr>
          <w:rFonts w:ascii="Sylfaen" w:hAnsi="Sylfaen"/>
          <w:sz w:val="24"/>
          <w:szCs w:val="24"/>
        </w:rPr>
        <w:tab/>
      </w:r>
      <w:r w:rsidRPr="003B2786">
        <w:rPr>
          <w:rFonts w:ascii="Sylfaen" w:hAnsi="Sylfaen"/>
          <w:sz w:val="24"/>
          <w:szCs w:val="24"/>
        </w:rPr>
        <w:t>ԱԴԲ-ի արտադրության պրոցեսը (մոդուլ 3.2.S.2)</w:t>
      </w:r>
    </w:p>
    <w:p w14:paraId="04D092F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այն տեղեկությունները, որոնք նշված են հետ</w:t>
      </w:r>
      <w:r w:rsidR="00C54D75">
        <w:rPr>
          <w:rFonts w:ascii="Sylfaen" w:hAnsi="Sylfaen"/>
          <w:sz w:val="24"/>
          <w:szCs w:val="24"/>
        </w:rPr>
        <w:t>և</w:t>
      </w:r>
      <w:r w:rsidRPr="003B2786">
        <w:rPr>
          <w:rFonts w:ascii="Sylfaen" w:hAnsi="Sylfaen"/>
          <w:sz w:val="24"/>
          <w:szCs w:val="24"/>
        </w:rPr>
        <w:t>յալ բաժիններում.</w:t>
      </w:r>
    </w:p>
    <w:p w14:paraId="50A3071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 (արտադրողներ)։</w:t>
      </w:r>
    </w:p>
    <w:p w14:paraId="1954C744"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646D4C79"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501BB6D1"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241493D"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2DA396C8"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պրոցեսի մշակումը:</w:t>
      </w:r>
    </w:p>
    <w:p w14:paraId="77DC4687" w14:textId="07AC0322"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588A9B02"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5869803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նշել արտադրողի անվանումն ու երկիրը (ինչպես նա</w:t>
      </w:r>
      <w:r w:rsidR="00C54D75">
        <w:rPr>
          <w:rFonts w:ascii="Sylfaen" w:hAnsi="Sylfaen"/>
          <w:sz w:val="24"/>
          <w:szCs w:val="24"/>
        </w:rPr>
        <w:t>և</w:t>
      </w:r>
      <w:r w:rsidRPr="003B2786">
        <w:rPr>
          <w:rFonts w:ascii="Sylfaen" w:hAnsi="Sylfaen"/>
          <w:sz w:val="24"/>
          <w:szCs w:val="24"/>
        </w:rPr>
        <w:t xml:space="preserve"> գործարանի անվանումը, եթե կիրառելի է):</w:t>
      </w:r>
    </w:p>
    <w:p w14:paraId="62683AF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53ABA5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Բերվում է քիմիական սինթեզի սխեման, տեխնոլոգիական պրոցեսի սխեման (հնարավորության դեպքում նախընտրելի է հավելվածում ներկայացնելու փոխարեն տվյալ սխեման ներառել հաշվետվության մեջ)՝ նշելով կրիտիկական փուլերը:</w:t>
      </w:r>
    </w:p>
    <w:p w14:paraId="7AED4C39" w14:textId="7D1A45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Նա</w:t>
      </w:r>
      <w:r w:rsidR="00C54D75">
        <w:rPr>
          <w:rFonts w:ascii="Sylfaen" w:hAnsi="Sylfaen"/>
          <w:sz w:val="24"/>
          <w:szCs w:val="24"/>
        </w:rPr>
        <w:t>և</w:t>
      </w:r>
      <w:r w:rsidRPr="003B2786">
        <w:rPr>
          <w:rFonts w:ascii="Sylfaen" w:hAnsi="Sylfaen"/>
          <w:sz w:val="24"/>
          <w:szCs w:val="24"/>
        </w:rPr>
        <w:t xml:space="preserve"> նշվում է արդյունաբերական սերիայի </w:t>
      </w:r>
      <w:r w:rsidR="001A5F1A">
        <w:rPr>
          <w:rFonts w:ascii="Sylfaen" w:hAnsi="Sylfaen"/>
          <w:sz w:val="24"/>
          <w:szCs w:val="24"/>
        </w:rPr>
        <w:t>հայտագրված</w:t>
      </w:r>
      <w:r w:rsidRPr="003B2786">
        <w:rPr>
          <w:rFonts w:ascii="Sylfaen" w:hAnsi="Sylfaen"/>
          <w:sz w:val="24"/>
          <w:szCs w:val="24"/>
        </w:rPr>
        <w:t xml:space="preserve"> չափը:</w:t>
      </w:r>
    </w:p>
    <w:p w14:paraId="7C92177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Այլընտրանքային պրոցեսներ՝ ներառվում են մեկնաբանություններ այդ պրոցեսների առկայության դեպքում:</w:t>
      </w:r>
    </w:p>
    <w:p w14:paraId="0B9B650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Վերամշակում՝ ներառվում են մեկնաբանություններ այդ պրոցեսի առկայության դեպքում (օրինակ՝ թե որ էտապում կարող է տեղի ունենալ տվյալ պրոցեսը):</w:t>
      </w:r>
    </w:p>
    <w:p w14:paraId="637FC94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Կատալիզատորներ </w:t>
      </w:r>
      <w:r w:rsidR="00C54D75">
        <w:rPr>
          <w:rFonts w:ascii="Sylfaen" w:hAnsi="Sylfaen"/>
          <w:sz w:val="24"/>
          <w:szCs w:val="24"/>
        </w:rPr>
        <w:t>և</w:t>
      </w:r>
      <w:r w:rsidRPr="003B2786">
        <w:rPr>
          <w:rFonts w:ascii="Sylfaen" w:hAnsi="Sylfaen"/>
          <w:sz w:val="24"/>
          <w:szCs w:val="24"/>
        </w:rPr>
        <w:t xml:space="preserve"> լուծիչներ՝ գրանցման դոսյեում համապատասխան տեղեկությունների բացակայության դեպքում ներառվում են մեկնաբանություններ, եթե այդ տեղեկությունները ընդգրկված են ԱԴԲՄՖ-ի փակ մասում: </w:t>
      </w:r>
    </w:p>
    <w:p w14:paraId="3859C62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67133E00"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Ներառվում են առաջարկված մասնագրերի՝ սահմանված պահանջներին համապատասխանության աստիճանի վերաբերյալ մեկնաբանություններ՝ հատուկ ուշադրություն դարձնելով բոլոր այն խառնուկների (այդ թվում՝ լուծիչների) պարունակության հսկողությանը, որոնք կարող են ազդել ակտիվ բաղադրամասի որակի վրա, հատկապես, եթե դրանում առկա խառնուկները չեն հսկվում: Ներկայացվում են մեկնաբանություններ՝ կենսաբանական ծագման բաղադրամասերի վերաբերյալ:</w:t>
      </w:r>
    </w:p>
    <w:p w14:paraId="683E678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D179F7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Քննարկվում է հաստատված պահանջներին տեխնոլոգիական պրոցեսների հսկողության առաջարկվող միջոցների համապատասխանության աստիճանը:</w:t>
      </w:r>
    </w:p>
    <w:p w14:paraId="4E4D226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002E57B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շարադրվում են տվյալները </w:t>
      </w:r>
      <w:r w:rsidR="00C54D75">
        <w:rPr>
          <w:rFonts w:ascii="Sylfaen" w:hAnsi="Sylfaen"/>
          <w:sz w:val="24"/>
          <w:szCs w:val="24"/>
        </w:rPr>
        <w:t>և</w:t>
      </w:r>
      <w:r w:rsidRPr="003B2786">
        <w:rPr>
          <w:rFonts w:ascii="Sylfaen" w:hAnsi="Sylfaen"/>
          <w:sz w:val="24"/>
          <w:szCs w:val="24"/>
        </w:rPr>
        <w:t xml:space="preserve"> արդյունքները:</w:t>
      </w:r>
    </w:p>
    <w:p w14:paraId="0CE6B53C"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09C37E6B"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Համառոտ շարադրվում են տվյալներն ու արդյունքները՝ հղում կատարելով նախակլինիկական (կլինիկական) հետազոտություններում օգտագործված նյութերին, եթե կիրառելի է:</w:t>
      </w:r>
    </w:p>
    <w:p w14:paraId="2BD572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Նշվում է, թե արդյոք առաջարկվում է դիզայնի ոլորտը (նախագծային դաշտը), (այսինքն՝ որակի ցուցանիշների թույլատրելի հավաքակազմի </w:t>
      </w:r>
      <w:r w:rsidR="00C54D75">
        <w:rPr>
          <w:rFonts w:ascii="Sylfaen" w:hAnsi="Sylfaen"/>
          <w:sz w:val="24"/>
          <w:szCs w:val="24"/>
        </w:rPr>
        <w:t>և</w:t>
      </w:r>
      <w:r w:rsidRPr="003B2786">
        <w:rPr>
          <w:rFonts w:ascii="Sylfaen" w:hAnsi="Sylfaen"/>
          <w:sz w:val="24"/>
          <w:szCs w:val="24"/>
        </w:rPr>
        <w:t xml:space="preserve"> դեղապատրաստուկի բաղադրության, տեխնոլոգիական պրոցեսների ազդեցության ներքո՝ այդ ցուցանիշների փոփոխությունների սահմանների, պահպանման պրոցեսի ընթացքում ֆիզիկական գործոնների ազդեցությունների՝ ռիսկի գնահատման </w:t>
      </w:r>
      <w:r w:rsidR="00C54D75">
        <w:rPr>
          <w:rFonts w:ascii="Sylfaen" w:hAnsi="Sylfaen"/>
          <w:sz w:val="24"/>
          <w:szCs w:val="24"/>
        </w:rPr>
        <w:t>և</w:t>
      </w:r>
      <w:r w:rsidRPr="003B2786">
        <w:rPr>
          <w:rFonts w:ascii="Sylfaen" w:hAnsi="Sylfaen"/>
          <w:sz w:val="24"/>
          <w:szCs w:val="24"/>
        </w:rPr>
        <w:t xml:space="preserve"> վերլուծության վիճակագրական մեթոդների վրա հիմնված հիմնավորումը: Դիզայնի ոլորտի (նախագծային դաշտի) օգտագործումը թույլ է տալիս որոշել դեղապատրաստուկի որակը, այն սահմանել այդ դեղապատրաստուկի մշակման պահին </w:t>
      </w:r>
      <w:r w:rsidR="00C54D75">
        <w:rPr>
          <w:rFonts w:ascii="Sylfaen" w:hAnsi="Sylfaen"/>
          <w:sz w:val="24"/>
          <w:szCs w:val="24"/>
        </w:rPr>
        <w:t>և</w:t>
      </w:r>
      <w:r w:rsidRPr="003B2786">
        <w:rPr>
          <w:rFonts w:ascii="Sylfaen" w:hAnsi="Sylfaen"/>
          <w:sz w:val="24"/>
          <w:szCs w:val="24"/>
        </w:rPr>
        <w:t xml:space="preserve"> կատարել հիմնավորված շտկում կենսական պարբերաշրջանի մշակման </w:t>
      </w:r>
      <w:r w:rsidR="00C54D75">
        <w:rPr>
          <w:rFonts w:ascii="Sylfaen" w:hAnsi="Sylfaen"/>
          <w:sz w:val="24"/>
          <w:szCs w:val="24"/>
        </w:rPr>
        <w:t>և</w:t>
      </w:r>
      <w:r w:rsidRPr="003B2786">
        <w:rPr>
          <w:rFonts w:ascii="Sylfaen" w:hAnsi="Sylfaen"/>
          <w:sz w:val="24"/>
          <w:szCs w:val="24"/>
        </w:rPr>
        <w:t xml:space="preserve"> կառավարման ընթացքում դրա բաղադրության </w:t>
      </w:r>
      <w:r w:rsidR="00C54D75">
        <w:rPr>
          <w:rFonts w:ascii="Sylfaen" w:hAnsi="Sylfaen"/>
          <w:sz w:val="24"/>
          <w:szCs w:val="24"/>
        </w:rPr>
        <w:t>և</w:t>
      </w:r>
      <w:r w:rsidRPr="003B2786">
        <w:rPr>
          <w:rFonts w:ascii="Sylfaen" w:hAnsi="Sylfaen"/>
          <w:sz w:val="24"/>
          <w:szCs w:val="24"/>
        </w:rPr>
        <w:t xml:space="preserve"> արտադրության պրոցեսների փոփոխության դեպքում). Նշվում է, թե արդյոք սահմանված է բազմագործոնային կախվածություն՝ պրոցեսի մուտքային տվյալների (նյութերի հատկությունների </w:t>
      </w:r>
      <w:r w:rsidR="00C54D75">
        <w:rPr>
          <w:rFonts w:ascii="Sylfaen" w:hAnsi="Sylfaen"/>
          <w:sz w:val="24"/>
          <w:szCs w:val="24"/>
        </w:rPr>
        <w:t>և</w:t>
      </w:r>
      <w:r w:rsidRPr="003B2786">
        <w:rPr>
          <w:rFonts w:ascii="Sylfaen" w:hAnsi="Sylfaen"/>
          <w:sz w:val="24"/>
          <w:szCs w:val="24"/>
        </w:rPr>
        <w:t xml:space="preserve"> պրոցեսի պարամետրերի) </w:t>
      </w:r>
      <w:r w:rsidR="00C54D75">
        <w:rPr>
          <w:rFonts w:ascii="Sylfaen" w:hAnsi="Sylfaen"/>
          <w:sz w:val="24"/>
          <w:szCs w:val="24"/>
        </w:rPr>
        <w:t>և</w:t>
      </w:r>
      <w:r w:rsidRPr="003B2786">
        <w:rPr>
          <w:rFonts w:ascii="Sylfaen" w:hAnsi="Sylfaen"/>
          <w:sz w:val="24"/>
          <w:szCs w:val="24"/>
        </w:rPr>
        <w:t xml:space="preserve"> ակտիվ բաղադրամասի որակի կրիտիկական ցուցանիշների միջ</w:t>
      </w:r>
      <w:r w:rsidR="00C54D75">
        <w:rPr>
          <w:rFonts w:ascii="Sylfaen" w:hAnsi="Sylfaen"/>
          <w:sz w:val="24"/>
          <w:szCs w:val="24"/>
        </w:rPr>
        <w:t>և</w:t>
      </w:r>
      <w:r w:rsidRPr="003B2786">
        <w:rPr>
          <w:rFonts w:ascii="Sylfaen" w:hAnsi="Sylfaen"/>
          <w:sz w:val="24"/>
          <w:szCs w:val="24"/>
        </w:rPr>
        <w:t>: Դիզայնի ոլորտի առաջարկման դեպքում (տե՛ս սույն փաստաթղթի թիվ 3 հավելվածը):</w:t>
      </w:r>
    </w:p>
    <w:p w14:paraId="3697814F" w14:textId="0C64F15C"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առմամբ, փորձագետից պահանջվում է ներկայացնել կրիտիկական դիտողություններ՝ սինթեզի նկարագրության համարժեքության, նյութերի որակի, միջանկյալ արտադրանքի հսկողության </w:t>
      </w:r>
      <w:r w:rsidR="00C54D75">
        <w:rPr>
          <w:rFonts w:ascii="Sylfaen" w:hAnsi="Sylfaen"/>
          <w:sz w:val="24"/>
          <w:szCs w:val="24"/>
        </w:rPr>
        <w:t>և</w:t>
      </w:r>
      <w:r w:rsidRPr="003B2786">
        <w:rPr>
          <w:rFonts w:ascii="Sylfaen" w:hAnsi="Sylfaen"/>
          <w:sz w:val="24"/>
          <w:szCs w:val="24"/>
        </w:rPr>
        <w:t xml:space="preserve"> արտադրական պրոցեսի վերարտադրելիության մասով՝ </w:t>
      </w:r>
      <w:r w:rsidR="0056496B">
        <w:rPr>
          <w:rFonts w:ascii="Sylfaen" w:hAnsi="Sylfaen"/>
          <w:sz w:val="24"/>
          <w:szCs w:val="24"/>
        </w:rPr>
        <w:t>դիմում</w:t>
      </w:r>
      <w:r w:rsidRPr="003B2786">
        <w:rPr>
          <w:rFonts w:ascii="Sylfaen" w:hAnsi="Sylfaen"/>
          <w:sz w:val="24"/>
          <w:szCs w:val="24"/>
        </w:rPr>
        <w:t xml:space="preserve">նաբերելով գրանցման դոսյեում բավարար չափով չլուսաբանված </w:t>
      </w:r>
      <w:r w:rsidR="00C54D75">
        <w:rPr>
          <w:rFonts w:ascii="Sylfaen" w:hAnsi="Sylfaen"/>
          <w:sz w:val="24"/>
          <w:szCs w:val="24"/>
        </w:rPr>
        <w:t>և</w:t>
      </w:r>
      <w:r w:rsidRPr="003B2786">
        <w:rPr>
          <w:rFonts w:ascii="Sylfaen" w:hAnsi="Sylfaen"/>
          <w:sz w:val="24"/>
          <w:szCs w:val="24"/>
        </w:rPr>
        <w:t xml:space="preserve"> Դիտողությունների ցանկում լուծման սպասող խնդիրները (անհրաժեշտության դեպքում՝ հղում կատարելով համարին): Անհրաժեշտ է առանձնացնել կրիտիկական դիտողությունները:</w:t>
      </w:r>
    </w:p>
    <w:p w14:paraId="6D488598" w14:textId="77777777" w:rsidR="008C76E0" w:rsidRPr="003B2786" w:rsidRDefault="008C76E0" w:rsidP="00473371">
      <w:pPr>
        <w:spacing w:after="160" w:line="360" w:lineRule="auto"/>
        <w:ind w:right="-1" w:firstLine="567"/>
        <w:jc w:val="both"/>
        <w:rPr>
          <w:rFonts w:ascii="Sylfaen" w:hAnsi="Sylfaen"/>
          <w:sz w:val="24"/>
          <w:szCs w:val="24"/>
        </w:rPr>
      </w:pPr>
    </w:p>
    <w:p w14:paraId="123A0684"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Կենսատեխնոլոգիական պատրաստուկներ</w:t>
      </w:r>
    </w:p>
    <w:p w14:paraId="5718B7D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S.2.1.</w:t>
      </w:r>
      <w:r w:rsidRPr="003B2786">
        <w:rPr>
          <w:rFonts w:ascii="Sylfaen" w:hAnsi="Sylfaen"/>
          <w:sz w:val="24"/>
          <w:szCs w:val="24"/>
        </w:rPr>
        <w:tab/>
        <w:t>Արտադրողները:</w:t>
      </w:r>
    </w:p>
    <w:p w14:paraId="6A5099CD" w14:textId="4966BEA1"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Բերվում է արտադրողների ցուցակ: Տվյալ ցուցակից հարկ է առանձնացնել այն արտադրողներին, որոնց մոտ ի </w:t>
      </w:r>
      <w:r w:rsidR="009B6AA0">
        <w:rPr>
          <w:rFonts w:ascii="Sylfaen" w:hAnsi="Sylfaen"/>
          <w:sz w:val="24"/>
          <w:szCs w:val="24"/>
        </w:rPr>
        <w:t>հայտ</w:t>
      </w:r>
      <w:r w:rsidRPr="003B2786">
        <w:rPr>
          <w:rFonts w:ascii="Sylfaen" w:hAnsi="Sylfaen"/>
          <w:sz w:val="24"/>
          <w:szCs w:val="24"/>
        </w:rPr>
        <w:t xml:space="preserve"> են բերվում որակի ցուցանիշների համադրելիության հետ կապված խնդիրներ կամ որակի հետ կապված այլ </w:t>
      </w:r>
      <w:r w:rsidRPr="003B2786">
        <w:rPr>
          <w:rFonts w:ascii="Sylfaen" w:hAnsi="Sylfaen"/>
          <w:sz w:val="24"/>
          <w:szCs w:val="24"/>
        </w:rPr>
        <w:lastRenderedPageBreak/>
        <w:t>խնդիրներ: Հարկ է առանձնացնել Եվրասիական տնտեսական հանձնաժողովի կողմից հաստատվող` Եվրասիական տնտեսական միության արտադրական գործունեության պատշաճ կանոններին համապատասխանության հետ կապված հնարավոր խնդիրները (օրինակ՝ արտադրական հարթակների միջ</w:t>
      </w:r>
      <w:r w:rsidR="00C54D75">
        <w:rPr>
          <w:rFonts w:ascii="Sylfaen" w:hAnsi="Sylfaen"/>
          <w:sz w:val="24"/>
          <w:szCs w:val="24"/>
        </w:rPr>
        <w:t>և</w:t>
      </w:r>
      <w:r w:rsidRPr="003B2786">
        <w:rPr>
          <w:rFonts w:ascii="Sylfaen" w:hAnsi="Sylfaen"/>
          <w:sz w:val="24"/>
          <w:szCs w:val="24"/>
        </w:rPr>
        <w:t xml:space="preserve"> փոխադրումը </w:t>
      </w:r>
      <w:r w:rsidR="00C54D75">
        <w:rPr>
          <w:rFonts w:ascii="Sylfaen" w:hAnsi="Sylfaen"/>
          <w:sz w:val="24"/>
          <w:szCs w:val="24"/>
        </w:rPr>
        <w:t>և</w:t>
      </w:r>
      <w:r w:rsidRPr="003B2786">
        <w:rPr>
          <w:rFonts w:ascii="Sylfaen" w:hAnsi="Sylfaen"/>
          <w:sz w:val="24"/>
          <w:szCs w:val="24"/>
        </w:rPr>
        <w:t xml:space="preserve"> այլն):</w:t>
      </w:r>
    </w:p>
    <w:p w14:paraId="3129354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S.2.2.</w:t>
      </w:r>
      <w:r w:rsidRPr="003B2786">
        <w:rPr>
          <w:rFonts w:ascii="Sylfaen" w:hAnsi="Sylfaen"/>
          <w:sz w:val="24"/>
          <w:szCs w:val="24"/>
        </w:rPr>
        <w:tab/>
        <w:t>Արտադրական պրոցեսի նկարագրությունն ու հսկողությունը:</w:t>
      </w:r>
    </w:p>
    <w:p w14:paraId="14ECA1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Ներկայացվում է արտադրական պրոցեսի </w:t>
      </w:r>
      <w:r w:rsidR="00C54D75">
        <w:rPr>
          <w:rFonts w:ascii="Sylfaen" w:hAnsi="Sylfaen"/>
          <w:sz w:val="24"/>
          <w:szCs w:val="24"/>
        </w:rPr>
        <w:t>և</w:t>
      </w:r>
      <w:r w:rsidRPr="003B2786">
        <w:rPr>
          <w:rFonts w:ascii="Sylfaen" w:hAnsi="Sylfaen"/>
          <w:sz w:val="24"/>
          <w:szCs w:val="24"/>
        </w:rPr>
        <w:t xml:space="preserve"> ներարտադրական հսկողության համառոտ նկարագրությունը (հատկապես, արտադրանքի անվտանգության ապահովման մասով, օրինակ՝ կողմնակի ագենտների, հետադարձ տրանսկրիպտազայի ֆերմենտի առկայության մասով փորձարկումը), առանձնացվում են արտադրանքի վերամշակման պրոցեսները:</w:t>
      </w:r>
    </w:p>
    <w:p w14:paraId="55036A5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Ներկայացվում են համառոտ տեղեկություններ՝ ծառայության ժամկետների </w:t>
      </w:r>
      <w:r w:rsidR="00C54D75">
        <w:rPr>
          <w:rFonts w:ascii="Sylfaen" w:hAnsi="Sylfaen"/>
          <w:sz w:val="24"/>
          <w:szCs w:val="24"/>
        </w:rPr>
        <w:t>և</w:t>
      </w:r>
      <w:r w:rsidRPr="003B2786">
        <w:rPr>
          <w:rFonts w:ascii="Sylfaen" w:hAnsi="Sylfaen"/>
          <w:sz w:val="24"/>
          <w:szCs w:val="24"/>
        </w:rPr>
        <w:t xml:space="preserve"> արտադրանքի մաքրման պրոցեսում օգտագործվող քրոմատոգրաֆիական սյունակների ռեգեներացման ընթացակարգի մասին, գնահատվում է արտադրանքի անվտանգության վրա ցանկացած ազդեցություն:</w:t>
      </w:r>
    </w:p>
    <w:p w14:paraId="7F13C5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գնահատական է տրվում սահմանված պահանջներին՝ մշակման, շարունակականության </w:t>
      </w:r>
      <w:r w:rsidR="00C54D75">
        <w:rPr>
          <w:rFonts w:ascii="Sylfaen" w:hAnsi="Sylfaen"/>
          <w:sz w:val="24"/>
          <w:szCs w:val="24"/>
        </w:rPr>
        <w:t>և</w:t>
      </w:r>
      <w:r w:rsidRPr="003B2786">
        <w:rPr>
          <w:rFonts w:ascii="Sylfaen" w:hAnsi="Sylfaen"/>
          <w:sz w:val="24"/>
          <w:szCs w:val="24"/>
        </w:rPr>
        <w:t xml:space="preserve"> հսկողության համապասխանության աստիճանին: </w:t>
      </w:r>
    </w:p>
    <w:p w14:paraId="349B11A5"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Կենսահամանման (կենսանման) դեղապատրաստուկի դեպքում հարկ է ուշադրություն դարձնել ռեֆերենտ պատրաստուկի արտադրության պրոցեսից այն էական տարբերություններին, որոնք կարող են ազդել որակի ցուցանիշների վրա:</w:t>
      </w:r>
    </w:p>
    <w:p w14:paraId="3C00B6BE"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S.2.3.</w:t>
      </w:r>
      <w:r w:rsidRPr="003B2786">
        <w:rPr>
          <w:rFonts w:ascii="Sylfaen" w:hAnsi="Sylfaen"/>
          <w:sz w:val="24"/>
          <w:szCs w:val="24"/>
        </w:rPr>
        <w:tab/>
        <w:t>Ելանյութերի հսկողությունը:</w:t>
      </w:r>
    </w:p>
    <w:p w14:paraId="026F5BA9"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Բերվում է գենետիկ մշակման մասին տեղեկատվություն, այդ թվում՝ գենի ծագումը, գեների կառուցվածքի նկարագրությունը, գենի կառուցվածքի հիմնավորումը, գենետիկ կայունության մասին տեղեկություններ (նշվում է ռեկոմբինանտ գենի վիճակը </w:t>
      </w:r>
      <w:r w:rsidR="00C54D75">
        <w:rPr>
          <w:rFonts w:ascii="Sylfaen" w:hAnsi="Sylfaen"/>
          <w:sz w:val="24"/>
          <w:szCs w:val="24"/>
        </w:rPr>
        <w:t>և</w:t>
      </w:r>
      <w:r w:rsidRPr="003B2786">
        <w:rPr>
          <w:rFonts w:ascii="Sylfaen" w:hAnsi="Sylfaen"/>
          <w:sz w:val="24"/>
          <w:szCs w:val="24"/>
        </w:rPr>
        <w:t xml:space="preserve"> պատճենների թիվը):</w:t>
      </w:r>
    </w:p>
    <w:p w14:paraId="051C24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Բերվում է շտամ-պրոդուցենտների նկարագրությունը (գենետիկորեն նույնական բջիջների գծեր) (տիպը, ծագումը) նկարագրությունը, ստեղծման պատմությունը, այդ թվում՝ նույնականացման տվյալները: Ուշադրություն է դարձվում ցանկացած հարցի վրա, որը կապված է մշակման պրոցեսում օգտագործվող </w:t>
      </w:r>
      <w:r w:rsidR="00C54D75">
        <w:rPr>
          <w:rFonts w:ascii="Sylfaen" w:hAnsi="Sylfaen"/>
          <w:sz w:val="24"/>
          <w:szCs w:val="24"/>
        </w:rPr>
        <w:t>և</w:t>
      </w:r>
      <w:r w:rsidRPr="003B2786">
        <w:rPr>
          <w:rFonts w:ascii="Sylfaen" w:hAnsi="Sylfaen"/>
          <w:sz w:val="24"/>
          <w:szCs w:val="24"/>
        </w:rPr>
        <w:t xml:space="preserve"> արտադրանքի անվտանգության վրա ազդելու ունակ բաղադրիչների հետ (օրինակ՝ կենսաբանական ծագման ռեագենտները):</w:t>
      </w:r>
    </w:p>
    <w:p w14:paraId="23B3445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Բջիջների բանկեր՝ նշվում է բջիջների գլխավոր (աշխատանքային) բանկի ձ</w:t>
      </w:r>
      <w:r w:rsidR="00C54D75">
        <w:rPr>
          <w:rFonts w:ascii="Sylfaen" w:hAnsi="Sylfaen"/>
          <w:sz w:val="24"/>
          <w:szCs w:val="24"/>
        </w:rPr>
        <w:t>և</w:t>
      </w:r>
      <w:r w:rsidRPr="003B2786">
        <w:rPr>
          <w:rFonts w:ascii="Sylfaen" w:hAnsi="Sylfaen"/>
          <w:sz w:val="24"/>
          <w:szCs w:val="24"/>
        </w:rPr>
        <w:t xml:space="preserve">ավորումը, անցկացված փորձարկումների բավարար լինելը, բջիջների բանկերի կայունությունը, գենոտիպային </w:t>
      </w:r>
      <w:r w:rsidR="00C54D75">
        <w:rPr>
          <w:rFonts w:ascii="Sylfaen" w:hAnsi="Sylfaen"/>
          <w:sz w:val="24"/>
          <w:szCs w:val="24"/>
        </w:rPr>
        <w:t>և</w:t>
      </w:r>
      <w:r w:rsidRPr="003B2786">
        <w:rPr>
          <w:rFonts w:ascii="Sylfaen" w:hAnsi="Sylfaen"/>
          <w:sz w:val="24"/>
          <w:szCs w:val="24"/>
        </w:rPr>
        <w:t xml:space="preserve"> ֆենոտիպային հատկությունների նկարագրությունը, բջիջների ապագա աշխատանքային բանկի ձ</w:t>
      </w:r>
      <w:r w:rsidR="00C54D75">
        <w:rPr>
          <w:rFonts w:ascii="Sylfaen" w:hAnsi="Sylfaen"/>
          <w:sz w:val="24"/>
          <w:szCs w:val="24"/>
        </w:rPr>
        <w:t>և</w:t>
      </w:r>
      <w:r w:rsidRPr="003B2786">
        <w:rPr>
          <w:rFonts w:ascii="Sylfaen" w:hAnsi="Sylfaen"/>
          <w:sz w:val="24"/>
          <w:szCs w:val="24"/>
        </w:rPr>
        <w:t>ավորման արձանագրությունը:</w:t>
      </w:r>
    </w:p>
    <w:p w14:paraId="2F51858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Ակտիվ բաղադրամասի (օրինակ`սյունակներ՝ միակլոնային հակամարմինների </w:t>
      </w:r>
      <w:r w:rsidR="00C54D75">
        <w:rPr>
          <w:rFonts w:ascii="Sylfaen" w:hAnsi="Sylfaen"/>
          <w:sz w:val="24"/>
          <w:szCs w:val="24"/>
        </w:rPr>
        <w:t>և</w:t>
      </w:r>
      <w:r w:rsidRPr="003B2786">
        <w:rPr>
          <w:rFonts w:ascii="Sylfaen" w:hAnsi="Sylfaen"/>
          <w:sz w:val="24"/>
          <w:szCs w:val="24"/>
        </w:rPr>
        <w:t xml:space="preserve"> արյան (պլազմայի) ածանցյալների մաքրման համար) արտադրության մեջ օգտագործվող կենսաբանական նյութերի համար անցկացվում է նյութերի աղբյուրի, արտադրության, հատկությունների </w:t>
      </w:r>
      <w:r w:rsidR="00C54D75">
        <w:rPr>
          <w:rFonts w:ascii="Sylfaen" w:hAnsi="Sylfaen"/>
          <w:sz w:val="24"/>
          <w:szCs w:val="24"/>
        </w:rPr>
        <w:t>և</w:t>
      </w:r>
      <w:r w:rsidRPr="003B2786">
        <w:rPr>
          <w:rFonts w:ascii="Sylfaen" w:hAnsi="Sylfaen"/>
          <w:sz w:val="24"/>
          <w:szCs w:val="24"/>
        </w:rPr>
        <w:t xml:space="preserve"> որակի որոշման գնահատում: Ակտիվ բաղադրամասի արտադրության մեջ օգտագործվող կենսաբանական նյութերի համար (օրինակ`արյան (պլազմայի) այնպիսի ածանցյալի, ինչպիսին է մարդու ալբումինը) անցկացվում է աղբյուրի, արտադրության, որոշման </w:t>
      </w:r>
      <w:r w:rsidR="00C54D75">
        <w:rPr>
          <w:rFonts w:ascii="Sylfaen" w:hAnsi="Sylfaen"/>
          <w:sz w:val="24"/>
          <w:szCs w:val="24"/>
        </w:rPr>
        <w:t>և</w:t>
      </w:r>
      <w:r w:rsidRPr="003B2786">
        <w:rPr>
          <w:rFonts w:ascii="Sylfaen" w:hAnsi="Sylfaen"/>
          <w:sz w:val="24"/>
          <w:szCs w:val="24"/>
        </w:rPr>
        <w:t xml:space="preserve"> հսկողության գնահատում: Պլազմայից ստացվող արտադրանքի, օրինակ՝ մարդու ալբումինի համար, հարկ է ընդգծել դրա համապատասխանությունը Միությունում կիրառվող ձեռնարկների </w:t>
      </w:r>
      <w:r w:rsidR="00C54D75">
        <w:rPr>
          <w:rFonts w:ascii="Sylfaen" w:hAnsi="Sylfaen"/>
          <w:sz w:val="24"/>
          <w:szCs w:val="24"/>
        </w:rPr>
        <w:t>և</w:t>
      </w:r>
      <w:r w:rsidRPr="003B2786">
        <w:rPr>
          <w:rFonts w:ascii="Sylfaen" w:hAnsi="Sylfaen"/>
          <w:sz w:val="24"/>
          <w:szCs w:val="24"/>
        </w:rPr>
        <w:t xml:space="preserve"> հանձնարարականների, այդ թվում՝ դոնորների մասին տեղեկությունների պահանջներին, ինչպես նա</w:t>
      </w:r>
      <w:r w:rsidR="00C54D75">
        <w:rPr>
          <w:rFonts w:ascii="Sylfaen" w:hAnsi="Sylfaen"/>
          <w:sz w:val="24"/>
          <w:szCs w:val="24"/>
        </w:rPr>
        <w:t>և</w:t>
      </w:r>
      <w:r w:rsidRPr="003B2786">
        <w:rPr>
          <w:rFonts w:ascii="Sylfaen" w:hAnsi="Sylfaen"/>
          <w:sz w:val="24"/>
          <w:szCs w:val="24"/>
        </w:rPr>
        <w:t xml:space="preserve"> որակին </w:t>
      </w:r>
      <w:r w:rsidR="00C54D75">
        <w:rPr>
          <w:rFonts w:ascii="Sylfaen" w:hAnsi="Sylfaen"/>
          <w:sz w:val="24"/>
          <w:szCs w:val="24"/>
        </w:rPr>
        <w:t>և</w:t>
      </w:r>
      <w:r w:rsidRPr="003B2786">
        <w:rPr>
          <w:rFonts w:ascii="Sylfaen" w:hAnsi="Sylfaen"/>
          <w:sz w:val="24"/>
          <w:szCs w:val="24"/>
        </w:rPr>
        <w:t xml:space="preserve"> մասնագրերին ներկայացվող պահանջներին:</w:t>
      </w:r>
    </w:p>
    <w:p w14:paraId="657C65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 է կատարվում գրանցման դոսյեի А2 բաժնին՝ նյութերին առնչվող կողմնակի ագենտների (վիրուսային անվտանգության) մասով, առանձնացվում է փոխանցվող սպունգանման էնցեֆալոպաթիայի (ՓՍԷ) հարուցիչների մասով ռիսկի գնահատման հետ կապված ցանկացած հարց: </w:t>
      </w:r>
    </w:p>
    <w:p w14:paraId="703C524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S.2.4.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552CA3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Բնութագրվում է դոսյեում ներկայացված արտադրության տեխնոլոգիական պրոցեսի ավարտը (կուլտիվացման չափանիշները, սերիայի որոշումը):</w:t>
      </w:r>
    </w:p>
    <w:p w14:paraId="2C8D9EC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Հսկողության կետերում մասնագրերի համար առաջարկվող միջակայքերը </w:t>
      </w:r>
      <w:r w:rsidR="00C54D75">
        <w:rPr>
          <w:rFonts w:ascii="Sylfaen" w:hAnsi="Sylfaen"/>
          <w:sz w:val="24"/>
          <w:szCs w:val="24"/>
        </w:rPr>
        <w:t>և</w:t>
      </w:r>
      <w:r w:rsidRPr="003B2786">
        <w:rPr>
          <w:rFonts w:ascii="Sylfaen" w:hAnsi="Sylfaen"/>
          <w:sz w:val="24"/>
          <w:szCs w:val="24"/>
        </w:rPr>
        <w:t xml:space="preserve"> պրոցեսի վալիդացման արդյունքների մասով ներարտադրական հսկողության ցուցանիշների թույլատրելի նորմերը:</w:t>
      </w:r>
    </w:p>
    <w:p w14:paraId="5010B2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բերել միջանկյալ արտադրանքի պահպանման պայմանների (պահպանման ժամկետի) նկարագրությունը: </w:t>
      </w:r>
    </w:p>
    <w:p w14:paraId="2B8F39B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Հարկ է առանձնացնել արտադրության այն բոլոր փուլերը, որոնք ուղղված են (վալիդացված են) վիրուսների վերացմանը (ապաակտիվացմանը) (օրինակ՝ pH-ի ցածր արժեքով միջավայրում մշակումը):</w:t>
      </w:r>
    </w:p>
    <w:p w14:paraId="30A505A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45D5D285" w14:textId="08DF2B83"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արտադրական պրոցեսի վալիդացման համարժեքությունը, նշել ստուգվող պարամետրերը </w:t>
      </w:r>
      <w:r w:rsidR="00C54D75">
        <w:rPr>
          <w:rFonts w:ascii="Sylfaen" w:hAnsi="Sylfaen"/>
          <w:sz w:val="24"/>
          <w:szCs w:val="24"/>
        </w:rPr>
        <w:t>և</w:t>
      </w:r>
      <w:r w:rsidRPr="003B2786">
        <w:rPr>
          <w:rFonts w:ascii="Sylfaen" w:hAnsi="Sylfaen"/>
          <w:sz w:val="24"/>
          <w:szCs w:val="24"/>
        </w:rPr>
        <w:t xml:space="preserve"> դրանց նշանակությունը՝ գրանցման համար </w:t>
      </w:r>
      <w:r w:rsidR="001A5F1A">
        <w:rPr>
          <w:rFonts w:ascii="Sylfaen" w:hAnsi="Sylfaen"/>
          <w:sz w:val="24"/>
          <w:szCs w:val="24"/>
        </w:rPr>
        <w:t>հայտագրված</w:t>
      </w:r>
      <w:r w:rsidRPr="003B2786">
        <w:rPr>
          <w:rFonts w:ascii="Sylfaen" w:hAnsi="Sylfaen"/>
          <w:sz w:val="24"/>
          <w:szCs w:val="24"/>
        </w:rPr>
        <w:t xml:space="preserve"> պատրաստուկի համար:</w:t>
      </w:r>
    </w:p>
    <w:p w14:paraId="36FA1A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հաշվի առնել, որ վերամշակումը պետք է ներառվի միայն հատուկ կարգով կամ պետք է ամբողջովին բացառվի:</w:t>
      </w:r>
    </w:p>
    <w:p w14:paraId="33E1EB5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Հարկ է հղում բերել գրանցման դոսյեի А2 բաժնին՝ նյութերին առնչվող կողմնակի ագենտների (վիրուսային անվտանգության) մասով:</w:t>
      </w:r>
    </w:p>
    <w:p w14:paraId="7D0DE7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գնահատել տեխնոլոգիական </w:t>
      </w:r>
      <w:r w:rsidR="00C54D75">
        <w:rPr>
          <w:rFonts w:ascii="Sylfaen" w:hAnsi="Sylfaen"/>
          <w:sz w:val="24"/>
          <w:szCs w:val="24"/>
        </w:rPr>
        <w:t>և</w:t>
      </w:r>
      <w:r w:rsidRPr="003B2786">
        <w:rPr>
          <w:rFonts w:ascii="Sylfaen" w:hAnsi="Sylfaen"/>
          <w:sz w:val="24"/>
          <w:szCs w:val="24"/>
        </w:rPr>
        <w:t xml:space="preserve"> հարակից խառնուկների հեռացման ընթացակարգերի համարժեքությունը:</w:t>
      </w:r>
    </w:p>
    <w:p w14:paraId="197EDDB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S.2.6.</w:t>
      </w:r>
      <w:r w:rsidRPr="003B2786">
        <w:rPr>
          <w:rFonts w:ascii="Sylfaen" w:hAnsi="Sylfaen"/>
          <w:sz w:val="24"/>
          <w:szCs w:val="24"/>
        </w:rPr>
        <w:tab/>
        <w:t>Արտադրական գործընթացի մշակումը:</w:t>
      </w:r>
    </w:p>
    <w:p w14:paraId="330BF8D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արտադրական պրոցեսի մշակման պատմությունը </w:t>
      </w:r>
      <w:r w:rsidR="00C54D75">
        <w:rPr>
          <w:rFonts w:ascii="Sylfaen" w:hAnsi="Sylfaen"/>
          <w:sz w:val="24"/>
          <w:szCs w:val="24"/>
        </w:rPr>
        <w:t>և</w:t>
      </w:r>
      <w:r w:rsidRPr="003B2786">
        <w:rPr>
          <w:rFonts w:ascii="Sylfaen" w:hAnsi="Sylfaen"/>
          <w:sz w:val="24"/>
          <w:szCs w:val="24"/>
        </w:rPr>
        <w:t xml:space="preserve"> մեկնաբանություններ կատարել արտադրանքի (օրինակ՝ արդյունաբերական սերիաների համեմատությամբ կլինիկական փորձարկումների համար օգտագործվող արտադրանքի սերիաների </w:t>
      </w:r>
      <w:r w:rsidR="00C54D75">
        <w:rPr>
          <w:rFonts w:ascii="Sylfaen" w:hAnsi="Sylfaen"/>
          <w:sz w:val="24"/>
          <w:szCs w:val="24"/>
        </w:rPr>
        <w:t>և</w:t>
      </w:r>
      <w:r w:rsidRPr="003B2786">
        <w:rPr>
          <w:rFonts w:ascii="Sylfaen" w:hAnsi="Sylfaen"/>
          <w:sz w:val="24"/>
          <w:szCs w:val="24"/>
        </w:rPr>
        <w:t xml:space="preserve"> այլն) որակի համադրելիության վրա՝ </w:t>
      </w:r>
      <w:r w:rsidRPr="003B2786">
        <w:rPr>
          <w:rFonts w:ascii="Sylfaen" w:hAnsi="Sylfaen"/>
          <w:sz w:val="24"/>
          <w:szCs w:val="24"/>
        </w:rPr>
        <w:lastRenderedPageBreak/>
        <w:t>դրա ազդեցության վերաբերյալ գրանցման դոսյեի S.4.4 կետին հղում կատարելով:</w:t>
      </w:r>
    </w:p>
    <w:p w14:paraId="6D57122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նկարագրել որակի վրա ազդեցության հետ կապված փոփոխությունները </w:t>
      </w:r>
      <w:r w:rsidR="00C54D75">
        <w:rPr>
          <w:rFonts w:ascii="Sylfaen" w:hAnsi="Sylfaen"/>
          <w:sz w:val="24"/>
          <w:szCs w:val="24"/>
        </w:rPr>
        <w:t>և</w:t>
      </w:r>
      <w:r w:rsidRPr="003B2786">
        <w:rPr>
          <w:rFonts w:ascii="Sylfaen" w:hAnsi="Sylfaen"/>
          <w:sz w:val="24"/>
          <w:szCs w:val="24"/>
        </w:rPr>
        <w:t xml:space="preserve"> դրանց առաջացման պատճառները (հիմնավորումը):</w:t>
      </w:r>
    </w:p>
    <w:p w14:paraId="406009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կրիտիկական գնահատական տալ փոփոխությունների նշանակալիությանը:</w:t>
      </w:r>
    </w:p>
    <w:p w14:paraId="3F65011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3.3.</w:t>
      </w:r>
      <w:r>
        <w:rPr>
          <w:rFonts w:ascii="Sylfaen" w:hAnsi="Sylfaen"/>
          <w:sz w:val="24"/>
          <w:szCs w:val="24"/>
        </w:rPr>
        <w:tab/>
      </w:r>
      <w:r w:rsidRPr="003B2786">
        <w:rPr>
          <w:rFonts w:ascii="Sylfaen" w:hAnsi="Sylfaen"/>
          <w:sz w:val="24"/>
          <w:szCs w:val="24"/>
        </w:rPr>
        <w:t>ԱԴԲ-ի բնութագրերի նկարագրությունը (մոդուլ 3.2.S.3)</w:t>
      </w:r>
    </w:p>
    <w:p w14:paraId="20E8E193"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տեղեկությունները.</w:t>
      </w:r>
    </w:p>
    <w:p w14:paraId="212279A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42A2C14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w:t>
      </w:r>
    </w:p>
    <w:p w14:paraId="78DEB6E8" w14:textId="77777777" w:rsidR="008C76E0" w:rsidRPr="003B2786" w:rsidRDefault="008C76E0" w:rsidP="00473371">
      <w:pPr>
        <w:tabs>
          <w:tab w:val="left" w:pos="1418"/>
        </w:tabs>
        <w:spacing w:after="160" w:line="360" w:lineRule="auto"/>
        <w:ind w:right="-1" w:firstLine="567"/>
        <w:jc w:val="center"/>
        <w:rPr>
          <w:rFonts w:ascii="Sylfaen" w:hAnsi="Sylfaen"/>
          <w:sz w:val="24"/>
          <w:szCs w:val="24"/>
        </w:rPr>
      </w:pPr>
    </w:p>
    <w:p w14:paraId="131BDFDD" w14:textId="53810DEA"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w:t>
      </w:r>
    </w:p>
    <w:p w14:paraId="2F67E53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 xml:space="preserve">Կառուցվածքի </w:t>
      </w:r>
      <w:r w:rsidR="00C54D75">
        <w:rPr>
          <w:rFonts w:ascii="Sylfaen" w:hAnsi="Sylfaen"/>
          <w:sz w:val="24"/>
          <w:szCs w:val="24"/>
        </w:rPr>
        <w:t>և</w:t>
      </w:r>
      <w:r w:rsidRPr="003B2786">
        <w:rPr>
          <w:rFonts w:ascii="Sylfaen" w:hAnsi="Sylfaen"/>
          <w:sz w:val="24"/>
          <w:szCs w:val="24"/>
        </w:rPr>
        <w:t xml:space="preserve"> այլ բնութագրերի հաստատում:</w:t>
      </w:r>
    </w:p>
    <w:p w14:paraId="3FD2720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Տվյալ մասում հարկ է բերել այն մեթոդների համառոտ նկարագրությունը, որոնք օգտագործվում են ակտիվ բաղադրամասի կառուցվածքի </w:t>
      </w:r>
      <w:r w:rsidR="00C54D75">
        <w:rPr>
          <w:rFonts w:ascii="Sylfaen" w:hAnsi="Sylfaen"/>
          <w:sz w:val="24"/>
          <w:szCs w:val="24"/>
        </w:rPr>
        <w:t>և</w:t>
      </w:r>
      <w:r w:rsidRPr="003B2786">
        <w:rPr>
          <w:rFonts w:ascii="Sylfaen" w:hAnsi="Sylfaen"/>
          <w:sz w:val="24"/>
          <w:szCs w:val="24"/>
        </w:rPr>
        <w:t xml:space="preserve"> հատկությունների, օրինակ՝ քիրալության, բազմաձ</w:t>
      </w:r>
      <w:r w:rsidR="00C54D75">
        <w:rPr>
          <w:rFonts w:ascii="Sylfaen" w:hAnsi="Sylfaen"/>
          <w:sz w:val="24"/>
          <w:szCs w:val="24"/>
        </w:rPr>
        <w:t>և</w:t>
      </w:r>
      <w:r w:rsidRPr="003B2786">
        <w:rPr>
          <w:rFonts w:ascii="Sylfaen" w:hAnsi="Sylfaen"/>
          <w:sz w:val="24"/>
          <w:szCs w:val="24"/>
        </w:rPr>
        <w:t xml:space="preserve">ության </w:t>
      </w:r>
      <w:r w:rsidR="00C54D75">
        <w:rPr>
          <w:rFonts w:ascii="Sylfaen" w:hAnsi="Sylfaen"/>
          <w:sz w:val="24"/>
          <w:szCs w:val="24"/>
        </w:rPr>
        <w:t>և</w:t>
      </w:r>
      <w:r w:rsidRPr="003B2786">
        <w:rPr>
          <w:rFonts w:ascii="Sylfaen" w:hAnsi="Sylfaen"/>
          <w:sz w:val="24"/>
          <w:szCs w:val="24"/>
        </w:rPr>
        <w:t xml:space="preserve"> այլ հատկությունների որոշման համար:</w:t>
      </w:r>
    </w:p>
    <w:p w14:paraId="076E90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Ռադիոդեղագործական պատրաստուկների դեպքում պետք է հստակ որոշել, թե որպես ինչ է անհրաժեշտ դիտարկել ակտիվ նյութը՝ ոչ նշակիր լիգանդ, ռադիոակտիվ նյութ, թե մեկ այլ փոխադրիչ մոլեկուլի համար ռադիոակտիվ ցուցիչ (ինդիկատոր): (Վերջին դեպքում տեղեկատվությունը սովորաբար ներառվում է այդպիսի կրող-նյութի վերաբերյալ դոսյեում):</w:t>
      </w:r>
    </w:p>
    <w:p w14:paraId="37BAA80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Որպես կանոն, անհրաժեշտ է կառուցվածքների որոշման համար օգտագործվող մեթոդների համարժեքության կրիտիկական գնահատական տալ:</w:t>
      </w:r>
    </w:p>
    <w:p w14:paraId="0ECC8C1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Խառնուկները։</w:t>
      </w:r>
    </w:p>
    <w:p w14:paraId="5826A0F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օգտագործել դեղապատրաստուկի գրանցման դոսյեի՝ «Որակի վերաբերյալ ամփոփ տեղեկատվություն» մասի տեքստը խառնուկների վերաբերյալ՝ ներառյալ տեխնոլոգիական խառնուկները, քայքայման արգասիքները, լուծիչներն ու ռեագենտները </w:t>
      </w:r>
      <w:r w:rsidR="00C54D75">
        <w:rPr>
          <w:rFonts w:ascii="Sylfaen" w:hAnsi="Sylfaen"/>
          <w:sz w:val="24"/>
          <w:szCs w:val="24"/>
        </w:rPr>
        <w:t>և</w:t>
      </w:r>
      <w:r w:rsidRPr="003B2786">
        <w:rPr>
          <w:rFonts w:ascii="Sylfaen" w:hAnsi="Sylfaen"/>
          <w:sz w:val="24"/>
          <w:szCs w:val="24"/>
        </w:rPr>
        <w:t xml:space="preserve"> այլն, համապատասխան տվյալների համառոտ ամփոփագիր կազմելու համար՝ հղում կատարելով կայունության վերաբերյալ տվյալներին </w:t>
      </w:r>
      <w:r w:rsidR="00C54D75">
        <w:rPr>
          <w:rFonts w:ascii="Sylfaen" w:hAnsi="Sylfaen"/>
          <w:sz w:val="24"/>
          <w:szCs w:val="24"/>
        </w:rPr>
        <w:t>և</w:t>
      </w:r>
      <w:r w:rsidRPr="003B2786">
        <w:rPr>
          <w:rFonts w:ascii="Sylfaen" w:hAnsi="Sylfaen"/>
          <w:sz w:val="24"/>
          <w:szCs w:val="24"/>
        </w:rPr>
        <w:t xml:space="preserve"> գրանցման դոսյեի S.4. բաժնում պարունակվող տեղեկություններին:</w:t>
      </w:r>
    </w:p>
    <w:p w14:paraId="5CF961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նա</w:t>
      </w:r>
      <w:r w:rsidR="00C54D75">
        <w:rPr>
          <w:rFonts w:ascii="Sylfaen" w:hAnsi="Sylfaen"/>
          <w:sz w:val="24"/>
          <w:szCs w:val="24"/>
        </w:rPr>
        <w:t>և</w:t>
      </w:r>
      <w:r w:rsidRPr="003B2786">
        <w:rPr>
          <w:rFonts w:ascii="Sylfaen" w:hAnsi="Sylfaen"/>
          <w:sz w:val="24"/>
          <w:szCs w:val="24"/>
        </w:rPr>
        <w:t xml:space="preserve"> հարկ է նշել ռադիոքիմիական </w:t>
      </w:r>
      <w:r w:rsidR="00C54D75">
        <w:rPr>
          <w:rFonts w:ascii="Sylfaen" w:hAnsi="Sylfaen"/>
          <w:sz w:val="24"/>
          <w:szCs w:val="24"/>
        </w:rPr>
        <w:t>և</w:t>
      </w:r>
      <w:r w:rsidRPr="003B2786">
        <w:rPr>
          <w:rFonts w:ascii="Sylfaen" w:hAnsi="Sylfaen"/>
          <w:sz w:val="24"/>
          <w:szCs w:val="24"/>
        </w:rPr>
        <w:t xml:space="preserve"> ռադիոնուկլիդային մաքրությունը:</w:t>
      </w:r>
    </w:p>
    <w:p w14:paraId="6615697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Հնարավորության դեպքում հարկ է որոշել ակտիվ դեղագործական բաղադրամասի տեխնոլոգիական խառնուկների </w:t>
      </w:r>
      <w:r w:rsidR="00C54D75">
        <w:rPr>
          <w:rFonts w:ascii="Sylfaen" w:hAnsi="Sylfaen"/>
          <w:sz w:val="24"/>
          <w:szCs w:val="24"/>
        </w:rPr>
        <w:t>և</w:t>
      </w:r>
      <w:r w:rsidRPr="003B2786">
        <w:rPr>
          <w:rFonts w:ascii="Sylfaen" w:hAnsi="Sylfaen"/>
          <w:sz w:val="24"/>
          <w:szCs w:val="24"/>
        </w:rPr>
        <w:t xml:space="preserve"> քայքայման արգասիքների միջ</w:t>
      </w:r>
      <w:r w:rsidR="00C54D75">
        <w:rPr>
          <w:rFonts w:ascii="Sylfaen" w:hAnsi="Sylfaen"/>
          <w:sz w:val="24"/>
          <w:szCs w:val="24"/>
        </w:rPr>
        <w:t>և</w:t>
      </w:r>
      <w:r w:rsidRPr="003B2786">
        <w:rPr>
          <w:rFonts w:ascii="Sylfaen" w:hAnsi="Sylfaen"/>
          <w:sz w:val="24"/>
          <w:szCs w:val="24"/>
        </w:rPr>
        <w:t xml:space="preserve"> տարբերությունները:</w:t>
      </w:r>
    </w:p>
    <w:p w14:paraId="5E7C96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եզրակացություն անել խառնուկների հսկողության </w:t>
      </w:r>
      <w:r w:rsidR="00C54D75">
        <w:rPr>
          <w:rFonts w:ascii="Sylfaen" w:hAnsi="Sylfaen"/>
          <w:sz w:val="24"/>
          <w:szCs w:val="24"/>
        </w:rPr>
        <w:t>և</w:t>
      </w:r>
      <w:r w:rsidRPr="003B2786">
        <w:rPr>
          <w:rFonts w:ascii="Sylfaen" w:hAnsi="Sylfaen"/>
          <w:sz w:val="24"/>
          <w:szCs w:val="24"/>
        </w:rPr>
        <w:t xml:space="preserve"> որակավորման նկատմամբ արտադրողի մոտեցման կիրառելիություն մասին՝ հատկապես հաշվի առնելով նախակլինիկական (թունաբանական)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6CA9B87B" w14:textId="77777777" w:rsidR="008C76E0" w:rsidRPr="003B2786" w:rsidRDefault="008C76E0" w:rsidP="00473371">
      <w:pPr>
        <w:spacing w:after="160" w:line="360" w:lineRule="auto"/>
        <w:ind w:firstLine="567"/>
        <w:jc w:val="both"/>
        <w:rPr>
          <w:rFonts w:ascii="Sylfaen" w:hAnsi="Sylfaen"/>
          <w:sz w:val="24"/>
          <w:szCs w:val="24"/>
        </w:rPr>
      </w:pPr>
    </w:p>
    <w:p w14:paraId="4617252B" w14:textId="77777777" w:rsidR="008C76E0" w:rsidRPr="003B2786" w:rsidRDefault="008C76E0" w:rsidP="00473371">
      <w:pPr>
        <w:spacing w:after="160" w:line="360" w:lineRule="auto"/>
        <w:jc w:val="center"/>
        <w:rPr>
          <w:rFonts w:ascii="Sylfaen" w:hAnsi="Sylfaen"/>
          <w:sz w:val="24"/>
          <w:szCs w:val="24"/>
        </w:rPr>
      </w:pPr>
      <w:r w:rsidRPr="003B2786">
        <w:rPr>
          <w:rFonts w:ascii="Sylfaen" w:hAnsi="Sylfaen"/>
          <w:sz w:val="24"/>
          <w:szCs w:val="24"/>
        </w:rPr>
        <w:t>Կենսատեխնոլոգիական պատրաստուկներ</w:t>
      </w:r>
    </w:p>
    <w:p w14:paraId="00F9BE6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դեղապատրաստուկի համար որակի համեմատական գնահատականի հիմնական մասը բնութագրերի համեմատությունն է: Անհրաժեշտ է դիտարկել (վերլուծել) ռեֆերենտ պատրաստուկի համապատասխան ցուցանիշների նկատմամբ խառնուկների կառուցվածքային նույնականությունը </w:t>
      </w:r>
      <w:r w:rsidR="00C54D75">
        <w:rPr>
          <w:rFonts w:ascii="Sylfaen" w:hAnsi="Sylfaen"/>
          <w:sz w:val="24"/>
          <w:szCs w:val="24"/>
        </w:rPr>
        <w:t>և</w:t>
      </w:r>
      <w:r w:rsidRPr="003B2786">
        <w:rPr>
          <w:rFonts w:ascii="Sylfaen" w:hAnsi="Sylfaen"/>
          <w:sz w:val="24"/>
          <w:szCs w:val="24"/>
        </w:rPr>
        <w:t xml:space="preserve"> պրոֆիլը: </w:t>
      </w:r>
    </w:p>
    <w:p w14:paraId="080A892E"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S.3.1.</w:t>
      </w:r>
      <w:r w:rsidRPr="003B2786">
        <w:rPr>
          <w:rFonts w:ascii="Sylfaen" w:hAnsi="Sylfaen"/>
          <w:sz w:val="24"/>
          <w:szCs w:val="24"/>
        </w:rPr>
        <w:tab/>
        <w:t>կետը ներառում է հետ</w:t>
      </w:r>
      <w:r w:rsidR="00C54D75">
        <w:rPr>
          <w:rFonts w:ascii="Sylfaen" w:hAnsi="Sylfaen"/>
          <w:sz w:val="24"/>
          <w:szCs w:val="24"/>
        </w:rPr>
        <w:t>և</w:t>
      </w:r>
      <w:r w:rsidRPr="003B2786">
        <w:rPr>
          <w:rFonts w:ascii="Sylfaen" w:hAnsi="Sylfaen"/>
          <w:sz w:val="24"/>
          <w:szCs w:val="24"/>
        </w:rPr>
        <w:t>յալ տեղեկությունները՝</w:t>
      </w:r>
    </w:p>
    <w:p w14:paraId="173D64A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ֆիզիկաքիմիական հատկությունները,</w:t>
      </w:r>
    </w:p>
    <w:p w14:paraId="294C4AA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բաղադրության, ֆիզիկական հատկությունների </w:t>
      </w:r>
      <w:r w:rsidR="00C54D75">
        <w:rPr>
          <w:rFonts w:ascii="Sylfaen" w:hAnsi="Sylfaen"/>
          <w:sz w:val="24"/>
          <w:szCs w:val="24"/>
        </w:rPr>
        <w:t>և</w:t>
      </w:r>
      <w:r w:rsidRPr="003B2786">
        <w:rPr>
          <w:rFonts w:ascii="Sylfaen" w:hAnsi="Sylfaen"/>
          <w:sz w:val="24"/>
          <w:szCs w:val="24"/>
        </w:rPr>
        <w:t xml:space="preserve"> առաջնային կառուցվածքի, </w:t>
      </w:r>
      <w:r w:rsidRPr="003B2786">
        <w:rPr>
          <w:rFonts w:ascii="Sylfaen" w:hAnsi="Sylfaen"/>
          <w:sz w:val="24"/>
          <w:szCs w:val="24"/>
        </w:rPr>
        <w:lastRenderedPageBreak/>
        <w:t>ավելի բարձր կարգի կառուցվածքների մասին տեղեկատվության որոշումը,</w:t>
      </w:r>
    </w:p>
    <w:p w14:paraId="6ED9C0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անհամասեռության պրոֆիլը (հարակից միացությունների մասով) </w:t>
      </w:r>
      <w:r w:rsidR="00C54D75">
        <w:rPr>
          <w:rFonts w:ascii="Sylfaen" w:hAnsi="Sylfaen"/>
          <w:sz w:val="24"/>
          <w:szCs w:val="24"/>
        </w:rPr>
        <w:t>և</w:t>
      </w:r>
      <w:r w:rsidRPr="003B2786">
        <w:rPr>
          <w:rFonts w:ascii="Sylfaen" w:hAnsi="Sylfaen"/>
          <w:sz w:val="24"/>
          <w:szCs w:val="24"/>
        </w:rPr>
        <w:t xml:space="preserve"> դրա կենսաբանական ակտիվության համասեռության հաստատումը:</w:t>
      </w:r>
    </w:p>
    <w:p w14:paraId="32C560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Պետք է հաստատվի կենսաբանական ակտիվության քանակական որոշման մեթոդիկայի վալիդությունը:</w:t>
      </w:r>
    </w:p>
    <w:p w14:paraId="5901EAF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համահարաբերակցություն հաստատվի կենսաբանական ակտիվության քանակական որոշման արդյունքների </w:t>
      </w:r>
      <w:r w:rsidR="00C54D75">
        <w:rPr>
          <w:rFonts w:ascii="Sylfaen" w:hAnsi="Sylfaen"/>
          <w:sz w:val="24"/>
          <w:szCs w:val="24"/>
        </w:rPr>
        <w:t>և</w:t>
      </w:r>
      <w:r w:rsidRPr="003B2786">
        <w:rPr>
          <w:rFonts w:ascii="Sylfaen" w:hAnsi="Sylfaen"/>
          <w:sz w:val="24"/>
          <w:szCs w:val="24"/>
        </w:rPr>
        <w:t xml:space="preserve"> կլինիկական պատասխանի միջ</w:t>
      </w:r>
      <w:r w:rsidR="00C54D75">
        <w:rPr>
          <w:rFonts w:ascii="Sylfaen" w:hAnsi="Sylfaen"/>
          <w:sz w:val="24"/>
          <w:szCs w:val="24"/>
        </w:rPr>
        <w:t>և</w:t>
      </w:r>
      <w:r w:rsidRPr="003B2786">
        <w:rPr>
          <w:rFonts w:ascii="Sylfaen" w:hAnsi="Sylfaen"/>
          <w:sz w:val="24"/>
          <w:szCs w:val="24"/>
        </w:rPr>
        <w:t xml:space="preserve">: </w:t>
      </w:r>
    </w:p>
    <w:p w14:paraId="399F302A" w14:textId="3F28A33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Ակտիվության (միավորներով </w:t>
      </w:r>
      <w:r w:rsidR="0085119E">
        <w:rPr>
          <w:rFonts w:ascii="Sylfaen" w:hAnsi="Sylfaen"/>
          <w:sz w:val="24"/>
          <w:szCs w:val="24"/>
        </w:rPr>
        <w:t>արտահայտվ</w:t>
      </w:r>
      <w:r w:rsidRPr="003B2786">
        <w:rPr>
          <w:rFonts w:ascii="Sylfaen" w:hAnsi="Sylfaen"/>
          <w:sz w:val="24"/>
          <w:szCs w:val="24"/>
        </w:rPr>
        <w:t xml:space="preserve">ած) բնութագրման դեպքում կենսաբանական ակտիվության քանակական որոշման արդյունքները պետք է </w:t>
      </w:r>
      <w:r w:rsidR="0085119E">
        <w:rPr>
          <w:rFonts w:ascii="Sylfaen" w:hAnsi="Sylfaen"/>
          <w:sz w:val="24"/>
          <w:szCs w:val="24"/>
        </w:rPr>
        <w:t>արտահայտվ</w:t>
      </w:r>
      <w:r w:rsidRPr="003B2786">
        <w:rPr>
          <w:rFonts w:ascii="Sylfaen" w:hAnsi="Sylfaen"/>
          <w:sz w:val="24"/>
          <w:szCs w:val="24"/>
        </w:rPr>
        <w:t>են ակտիվության միավորներով, որոնք ստանդարտացված են միջազգային, ազգային կամ սեփական ստանդարտ նյութի օգտագործման միջոցով:</w:t>
      </w:r>
    </w:p>
    <w:p w14:paraId="2B078477" w14:textId="24AFB0E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Կենսաբանական ակտիվության քանակական որոշման միայն ֆիզիկաքիմիական մեթոդների օգտագործման դեպքում արդյունքները պետք է </w:t>
      </w:r>
      <w:r w:rsidR="0085119E">
        <w:rPr>
          <w:rFonts w:ascii="Sylfaen" w:hAnsi="Sylfaen"/>
          <w:sz w:val="24"/>
          <w:szCs w:val="24"/>
        </w:rPr>
        <w:t>արտահայտվ</w:t>
      </w:r>
      <w:r w:rsidRPr="003B2786">
        <w:rPr>
          <w:rFonts w:ascii="Sylfaen" w:hAnsi="Sylfaen"/>
          <w:sz w:val="24"/>
          <w:szCs w:val="24"/>
        </w:rPr>
        <w:t>են որպես իմունոքիմիական ակտիվություն զանգվածի միավորի վրա:</w:t>
      </w:r>
    </w:p>
    <w:p w14:paraId="5A718E7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արտադրանքն իրենից հակամարմին է ներկայացնում, ապա դրա իմունոլոգիական հատկությունները պետք է բնութագրվեն ամբողջությամբ:</w:t>
      </w:r>
    </w:p>
    <w:p w14:paraId="51733EC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Սպիտակուցների իմունոքիմիական հատկությունները կարող են ծառայել որպես դրանց իսկության, համասեռության կամ մաքրության ցուցանիշներ կամ օգտագործվել սպիտակուցների քանակական վերլուծության համար:</w:t>
      </w:r>
    </w:p>
    <w:p w14:paraId="4D3C2013" w14:textId="2BEFA121"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Քանակական պարունակությունը: Ֆիզիկաքիմիական մեթոդով սպիտակուցի քանակական որոշման դեպքում դրա պարունակությունն </w:t>
      </w:r>
      <w:r w:rsidR="0085119E">
        <w:rPr>
          <w:rFonts w:ascii="Sylfaen" w:hAnsi="Sylfaen"/>
          <w:sz w:val="24"/>
          <w:szCs w:val="24"/>
        </w:rPr>
        <w:t>արտահայտվ</w:t>
      </w:r>
      <w:r w:rsidRPr="003B2786">
        <w:rPr>
          <w:rFonts w:ascii="Sylfaen" w:hAnsi="Sylfaen"/>
          <w:sz w:val="24"/>
          <w:szCs w:val="24"/>
        </w:rPr>
        <w:t xml:space="preserve">ում է զանգվածի միավորներով: </w:t>
      </w:r>
    </w:p>
    <w:p w14:paraId="16A7533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(այդ թվում՝ հարակից միացությունների): ԱԴԲ-ն կարող է ներկայացվել մի քանի մոլեկուլյար միացություններով կամ տարբերակներով, որոնք դիտարկվում են որպես հարակից միացություններ. տվյալ դեպքում </w:t>
      </w:r>
      <w:r w:rsidRPr="003B2786">
        <w:rPr>
          <w:rFonts w:ascii="Sylfaen" w:hAnsi="Sylfaen"/>
          <w:sz w:val="24"/>
          <w:szCs w:val="24"/>
        </w:rPr>
        <w:lastRenderedPageBreak/>
        <w:t>անհրաժեշտ է որոշել արտադրանքի բաղադրության մեջ մտնող հարակից միացությունների ընդունելիության անհատական կամ ընդհանուր չափանիշները:</w:t>
      </w:r>
    </w:p>
    <w:p w14:paraId="2C2F53EC" w14:textId="77777777" w:rsidR="008C76E0" w:rsidRPr="003B2786" w:rsidRDefault="008C76E0" w:rsidP="00473371">
      <w:pPr>
        <w:tabs>
          <w:tab w:val="left" w:pos="1418"/>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S.3.2.</w:t>
      </w:r>
      <w:r w:rsidRPr="003B2786">
        <w:rPr>
          <w:rFonts w:ascii="Sylfaen" w:hAnsi="Sylfaen"/>
          <w:sz w:val="24"/>
          <w:szCs w:val="24"/>
        </w:rPr>
        <w:tab/>
        <w:t>կետում (խառնուկներ) անցկացվում է գրանցման դոսյեի վերլուծություն՝ ելնելով հետ</w:t>
      </w:r>
      <w:r w:rsidR="00C54D75">
        <w:rPr>
          <w:rFonts w:ascii="Sylfaen" w:hAnsi="Sylfaen"/>
          <w:sz w:val="24"/>
          <w:szCs w:val="24"/>
        </w:rPr>
        <w:t>և</w:t>
      </w:r>
      <w:r w:rsidRPr="003B2786">
        <w:rPr>
          <w:rFonts w:ascii="Sylfaen" w:hAnsi="Sylfaen"/>
          <w:sz w:val="24"/>
          <w:szCs w:val="24"/>
        </w:rPr>
        <w:t>յալ նախադրյալներից.</w:t>
      </w:r>
    </w:p>
    <w:p w14:paraId="2EB3456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Խառնուկները պետք է առավելագույնս հնարավոր չափով բնութագրվեն, </w:t>
      </w:r>
      <w:r w:rsidR="00C54D75">
        <w:rPr>
          <w:rFonts w:ascii="Sylfaen" w:hAnsi="Sylfaen"/>
          <w:sz w:val="24"/>
          <w:szCs w:val="24"/>
        </w:rPr>
        <w:t>և</w:t>
      </w:r>
      <w:r w:rsidRPr="003B2786">
        <w:rPr>
          <w:rFonts w:ascii="Sylfaen" w:hAnsi="Sylfaen"/>
          <w:sz w:val="24"/>
          <w:szCs w:val="24"/>
        </w:rPr>
        <w:t xml:space="preserve"> հնարավորության դեպքում պետք է անցկացվի դրանց կենսաբանական ակտիվության գնահատում:</w:t>
      </w:r>
    </w:p>
    <w:p w14:paraId="2E7A2A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Խառնուկների (անհատական </w:t>
      </w:r>
      <w:r w:rsidR="00C54D75">
        <w:rPr>
          <w:rFonts w:ascii="Sylfaen" w:hAnsi="Sylfaen"/>
          <w:sz w:val="24"/>
          <w:szCs w:val="24"/>
        </w:rPr>
        <w:t>և</w:t>
      </w:r>
      <w:r w:rsidRPr="003B2786">
        <w:rPr>
          <w:rFonts w:ascii="Sylfaen" w:hAnsi="Sylfaen"/>
          <w:sz w:val="24"/>
          <w:szCs w:val="24"/>
        </w:rPr>
        <w:t xml:space="preserve"> (կամ) ընդհանուր) համար ընդունելիության չափանիշները պետք է հիմնված լինեն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հետազոտություններում </w:t>
      </w:r>
      <w:r w:rsidR="00C54D75">
        <w:rPr>
          <w:rFonts w:ascii="Sylfaen" w:hAnsi="Sylfaen"/>
          <w:sz w:val="24"/>
          <w:szCs w:val="24"/>
        </w:rPr>
        <w:t>և</w:t>
      </w:r>
      <w:r w:rsidRPr="003B2786">
        <w:rPr>
          <w:rFonts w:ascii="Sylfaen" w:hAnsi="Sylfaen"/>
          <w:sz w:val="24"/>
          <w:szCs w:val="24"/>
        </w:rPr>
        <w:t xml:space="preserve"> համասեռ արտադրական պրոցեսի պայմաններում օգտագործված սերիաների տվյալների վրա:</w:t>
      </w:r>
    </w:p>
    <w:p w14:paraId="1FBE5A0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Տեխնոլոգիական խառնուկներ: Տեխնոլոգիական խառնուկները ներառում են խառնուկներ, որոնք առաջանում են արտադրական պրոցեսում, այսինքն՝ դրանք բջջային սուբստրատներն են (օրինակ՝ ընդունող բջջի սպիտակուցներ, ընդունող բջջի ԴՆԹ), բջջային կուլտուրայի գործոններ (օրինակ՝ աճի գործոններ, հակաբիոտիկներ կամ միջավայրի բաղադրիչներ), կամ առաջանում են հետագա մշակման ընթացքում:</w:t>
      </w:r>
    </w:p>
    <w:p w14:paraId="6490A85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Հարակից խառնուկները: Հարակից խառնուկները (օրինակ՝ պրեկուրսորները, որոշակի քայքայման արգասիքներ) արտադրության </w:t>
      </w:r>
      <w:r w:rsidR="00C54D75">
        <w:rPr>
          <w:rFonts w:ascii="Sylfaen" w:hAnsi="Sylfaen"/>
          <w:sz w:val="24"/>
          <w:szCs w:val="24"/>
        </w:rPr>
        <w:t>և</w:t>
      </w:r>
      <w:r w:rsidRPr="003B2786">
        <w:rPr>
          <w:rFonts w:ascii="Sylfaen" w:hAnsi="Sylfaen"/>
          <w:sz w:val="24"/>
          <w:szCs w:val="24"/>
        </w:rPr>
        <w:t xml:space="preserve"> (կամ) պահպանման պրոցեսում առաջացող մոլեկուլյար կառուցվածքների տարբերակներ են, որոնք ակտիվության,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չափանիշներով չունեն վերջնական արտադրանքի հետ համադրելի հատկություններ:</w:t>
      </w:r>
    </w:p>
    <w:p w14:paraId="1C96FDBB" w14:textId="77777777" w:rsidR="00473371" w:rsidRDefault="00473371">
      <w:pPr>
        <w:widowControl/>
        <w:rPr>
          <w:rFonts w:ascii="Sylfaen" w:hAnsi="Sylfaen"/>
          <w:sz w:val="24"/>
          <w:szCs w:val="24"/>
        </w:rPr>
      </w:pPr>
      <w:r>
        <w:rPr>
          <w:rFonts w:ascii="Sylfaen" w:hAnsi="Sylfaen"/>
          <w:sz w:val="24"/>
          <w:szCs w:val="24"/>
        </w:rPr>
        <w:br w:type="page"/>
      </w:r>
    </w:p>
    <w:p w14:paraId="6790A68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Ծանոթագրություն. Կոնտամինանտներ՝ չկանխամտածված ներմուծված նյութեր, որոնք նախատեսված չեն արտադրության մեջ օգտագործման համար </w:t>
      </w:r>
      <w:r w:rsidR="00C54D75">
        <w:rPr>
          <w:rFonts w:ascii="Sylfaen" w:hAnsi="Sylfaen"/>
          <w:sz w:val="24"/>
          <w:szCs w:val="24"/>
        </w:rPr>
        <w:t>և</w:t>
      </w:r>
      <w:r w:rsidRPr="003B2786">
        <w:rPr>
          <w:rFonts w:ascii="Sylfaen" w:hAnsi="Sylfaen"/>
          <w:sz w:val="24"/>
          <w:szCs w:val="24"/>
        </w:rPr>
        <w:t xml:space="preserve"> դիտարկման ենթակա են գրանցման դոսյեի մոդուլի А.2. հավելվածում նշված փորձաքննության շրջանակներում:</w:t>
      </w:r>
    </w:p>
    <w:p w14:paraId="335180B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Համադրելիության գնահատականը:</w:t>
      </w:r>
    </w:p>
    <w:p w14:paraId="58C3564D" w14:textId="77777777" w:rsidR="008C76E0" w:rsidRPr="003B2786" w:rsidRDefault="008C76E0" w:rsidP="00473371">
      <w:pPr>
        <w:tabs>
          <w:tab w:val="left" w:pos="1134"/>
        </w:tabs>
        <w:spacing w:after="160" w:line="360" w:lineRule="auto"/>
        <w:ind w:right="565" w:firstLine="567"/>
        <w:jc w:val="both"/>
        <w:outlineLvl w:val="0"/>
        <w:rPr>
          <w:rFonts w:ascii="Sylfaen" w:hAnsi="Sylfaen"/>
          <w:sz w:val="24"/>
          <w:szCs w:val="24"/>
        </w:rPr>
      </w:pPr>
      <w:r w:rsidRPr="003B2786">
        <w:rPr>
          <w:rFonts w:ascii="Sylfaen" w:hAnsi="Sylfaen"/>
          <w:sz w:val="24"/>
          <w:szCs w:val="24"/>
        </w:rPr>
        <w:t>3.4.</w:t>
      </w:r>
      <w:r>
        <w:rPr>
          <w:rFonts w:ascii="Sylfaen" w:hAnsi="Sylfaen"/>
          <w:sz w:val="24"/>
          <w:szCs w:val="24"/>
        </w:rPr>
        <w:tab/>
      </w:r>
      <w:r w:rsidRPr="003B2786">
        <w:rPr>
          <w:rFonts w:ascii="Sylfaen" w:hAnsi="Sylfaen"/>
          <w:sz w:val="24"/>
          <w:szCs w:val="24"/>
        </w:rPr>
        <w:t>Ակտիվ դեղագործական բաղադրամասի որակի հսկողությունը (մոդուլ 3.2.S.4)</w:t>
      </w:r>
    </w:p>
    <w:p w14:paraId="58D2AACD"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Տվյալ վերնագրի ներքո արտացոլվում են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24EF6AB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0FDDCC1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4AEA7CF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20CA0DC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վերլուծությունները (սերիաների վերլուծության արդյունքները):</w:t>
      </w:r>
    </w:p>
    <w:p w14:paraId="027FDF5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7EA7E817" w14:textId="23C47BE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0A7FB23F"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sidRPr="003B2786">
        <w:rPr>
          <w:rFonts w:ascii="Sylfaen" w:hAnsi="Sylfaen"/>
          <w:sz w:val="24"/>
          <w:szCs w:val="24"/>
        </w:rPr>
        <w:tab/>
        <w:t>Մասնագիրը։</w:t>
      </w:r>
    </w:p>
    <w:p w14:paraId="5FE5D70D"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Հարկ է զետեղել աղյուսակ` մասնագրի տվյալներով: Ներկայացնել համահավաք մասնագիր այն դեպքում, երբ ակտիվ նյութը ստացվել է տարբեր աղբյուրներից </w:t>
      </w:r>
      <w:r w:rsidR="00C54D75">
        <w:rPr>
          <w:rFonts w:ascii="Sylfaen" w:hAnsi="Sylfaen"/>
          <w:sz w:val="24"/>
          <w:szCs w:val="24"/>
        </w:rPr>
        <w:t>և</w:t>
      </w:r>
      <w:r w:rsidRPr="003B2786">
        <w:rPr>
          <w:rFonts w:ascii="Sylfaen" w:hAnsi="Sylfaen"/>
          <w:sz w:val="24"/>
          <w:szCs w:val="24"/>
        </w:rPr>
        <w:t xml:space="preserve"> ունի տարբեր մասնագրեր: </w:t>
      </w:r>
    </w:p>
    <w:p w14:paraId="0F780875"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S.4.2.</w:t>
      </w:r>
      <w:r w:rsidRPr="003B2786">
        <w:rPr>
          <w:rFonts w:ascii="Sylfaen" w:hAnsi="Sylfaen"/>
          <w:sz w:val="24"/>
          <w:szCs w:val="24"/>
        </w:rPr>
        <w:tab/>
        <w:t>Վերլուծական մեթոդիկաները։</w:t>
      </w:r>
    </w:p>
    <w:p w14:paraId="0AE93837"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Եթե դրանք ներկայացված են վերը բերված աղյուսակում, բավարար է հղում կատարել մեթոդիկային:</w:t>
      </w:r>
    </w:p>
    <w:p w14:paraId="301E42F0"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Վերլուծական մեթոդիկաների վալիդացումը։</w:t>
      </w:r>
    </w:p>
    <w:p w14:paraId="13FACA6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Հարկ է հաստատել Միության ձեռնարկների կամ այլ համապատասխան ձեռնարկների պահանջներին համապատասխանությունը՝ նշելով շեղումները:</w:t>
      </w:r>
    </w:p>
    <w:p w14:paraId="17349E41" w14:textId="77777777" w:rsidR="008C76E0" w:rsidRPr="003B2786" w:rsidRDefault="008C76E0" w:rsidP="00473371">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Գնահատվում է մեթոդիկաների համարժեքությունը՝ ԱԴԲ-ի որակի ընթացիկ հսկողության համար:</w:t>
      </w:r>
    </w:p>
    <w:p w14:paraId="58A7D13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Սերիաների վերլուծություններ (սերիաների վերլուծության արդյունքները) (նշել սերիաների թիվը)։</w:t>
      </w:r>
    </w:p>
    <w:p w14:paraId="3913291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սերիայից սերիա՝ արտադրանքի միատիպությունը </w:t>
      </w:r>
      <w:r w:rsidR="00C54D75">
        <w:rPr>
          <w:rFonts w:ascii="Sylfaen" w:hAnsi="Sylfaen"/>
          <w:sz w:val="24"/>
          <w:szCs w:val="24"/>
        </w:rPr>
        <w:t>և</w:t>
      </w:r>
      <w:r w:rsidRPr="003B2786">
        <w:rPr>
          <w:rFonts w:ascii="Sylfaen" w:hAnsi="Sylfaen"/>
          <w:sz w:val="24"/>
          <w:szCs w:val="24"/>
        </w:rPr>
        <w:t xml:space="preserve"> համասեռությունը: Նշել, թե արդյոք ներկայացված արդյունքներն ապացուցում են, որ պրոցեսը հսկողության տակ է:</w:t>
      </w:r>
    </w:p>
    <w:p w14:paraId="2F1D2576"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Մասնագրի հիմնավորումը։</w:t>
      </w:r>
    </w:p>
    <w:p w14:paraId="0C32F73D" w14:textId="00AAF35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գնահատել </w:t>
      </w:r>
      <w:r w:rsidR="0056496B">
        <w:rPr>
          <w:rFonts w:ascii="Sylfaen" w:hAnsi="Sylfaen"/>
          <w:sz w:val="24"/>
          <w:szCs w:val="24"/>
        </w:rPr>
        <w:t>դիմումատու</w:t>
      </w:r>
      <w:r w:rsidRPr="003B2786">
        <w:rPr>
          <w:rFonts w:ascii="Sylfaen" w:hAnsi="Sylfaen"/>
          <w:sz w:val="24"/>
          <w:szCs w:val="24"/>
        </w:rPr>
        <w:t>ի կողմից առաջարկված՝ մասնագրի հիմնավորման համարժեքությունը՝ հաշվի առնելով պատրաստի արտադրանքում ԱԴԲ-ի ենթադրյալ կիրառումը:</w:t>
      </w:r>
    </w:p>
    <w:p w14:paraId="1A438AB2" w14:textId="4C6B1E9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արտադրողն առաջարկում է բացթողման փորձարկումներ անցկացնել իրական ժամանակի ռեժիմում, հարկ է ընդգծել, թե որքանով է դա հաստատվում արտադրանքի </w:t>
      </w:r>
      <w:r w:rsidR="00C54D75">
        <w:rPr>
          <w:rFonts w:ascii="Sylfaen" w:hAnsi="Sylfaen"/>
          <w:sz w:val="24"/>
          <w:szCs w:val="24"/>
        </w:rPr>
        <w:t>և</w:t>
      </w:r>
      <w:r w:rsidRPr="003B2786">
        <w:rPr>
          <w:rFonts w:ascii="Sylfaen" w:hAnsi="Sylfaen"/>
          <w:sz w:val="24"/>
          <w:szCs w:val="24"/>
        </w:rPr>
        <w:t xml:space="preserve"> արտադրական պրոցեսի առանձնահատկությունների խորը ըմբռնմամբ: Այս դեպքում հարկ է նա</w:t>
      </w:r>
      <w:r w:rsidR="00C54D75">
        <w:rPr>
          <w:rFonts w:ascii="Sylfaen" w:hAnsi="Sylfaen"/>
          <w:sz w:val="24"/>
          <w:szCs w:val="24"/>
        </w:rPr>
        <w:t>և</w:t>
      </w:r>
      <w:r w:rsidRPr="003B2786">
        <w:rPr>
          <w:rFonts w:ascii="Sylfaen" w:hAnsi="Sylfaen"/>
          <w:sz w:val="24"/>
          <w:szCs w:val="24"/>
        </w:rPr>
        <w:t xml:space="preserve"> նշել, թե արդյոք </w:t>
      </w:r>
      <w:r w:rsidR="0056496B">
        <w:rPr>
          <w:rFonts w:ascii="Sylfaen" w:hAnsi="Sylfaen"/>
          <w:sz w:val="24"/>
          <w:szCs w:val="24"/>
        </w:rPr>
        <w:t>դիմումատու</w:t>
      </w:r>
      <w:r w:rsidRPr="003B2786">
        <w:rPr>
          <w:rFonts w:ascii="Sylfaen" w:hAnsi="Sylfaen"/>
          <w:sz w:val="24"/>
          <w:szCs w:val="24"/>
        </w:rPr>
        <w:t xml:space="preserve">ի կողմից ներդրվել է պրոցեսի այն կրիտիկական պարամետրերի </w:t>
      </w:r>
      <w:r w:rsidR="00C54D75">
        <w:rPr>
          <w:rFonts w:ascii="Sylfaen" w:hAnsi="Sylfaen"/>
          <w:sz w:val="24"/>
          <w:szCs w:val="24"/>
        </w:rPr>
        <w:t>և</w:t>
      </w:r>
      <w:r w:rsidRPr="003B2786">
        <w:rPr>
          <w:rFonts w:ascii="Sylfaen" w:hAnsi="Sylfaen"/>
          <w:sz w:val="24"/>
          <w:szCs w:val="24"/>
        </w:rPr>
        <w:t xml:space="preserve"> նյութերի այն կրիտիկական ցուցանիշների պատշաճ հսկողությունը, որոնցով հիմնավորվում է բացթողման փորձարկումների ռեժիմը: Հարկ է նշել, թե արդյոք գնահատվել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կատարված՝ արտադրանքի սերիայի փորձարկումների արդյունքների վրա շրջակա միջավայրի գործոնների ազդեցությունը: Անհրաժեշտ է նշել, թե արդյոք կիրառվում է այն սխեման, որով նախատեսվում է բացթողման սովորական ռեժիմով </w:t>
      </w:r>
      <w:r w:rsidR="00C54D75">
        <w:rPr>
          <w:rFonts w:ascii="Sylfaen" w:hAnsi="Sylfaen"/>
          <w:sz w:val="24"/>
          <w:szCs w:val="24"/>
        </w:rPr>
        <w:t>և</w:t>
      </w:r>
      <w:r w:rsidRPr="003B2786">
        <w:rPr>
          <w:rFonts w:ascii="Sylfaen" w:hAnsi="Sylfaen"/>
          <w:sz w:val="24"/>
          <w:szCs w:val="24"/>
        </w:rPr>
        <w:t xml:space="preserve"> իրական ժամանակի ռեժիմով բավարար քանակությամբ սերիաների հետ կատարված՝ արտադրանքի սերիայի փորձարկումների արդյունքների համեմատությունը: Շատ փոփոխականներով մոդելների օգտագործման դեպքում ԱԴԲ-ի որակի </w:t>
      </w:r>
      <w:r w:rsidRPr="003B2786">
        <w:rPr>
          <w:rFonts w:ascii="Sylfaen" w:hAnsi="Sylfaen"/>
          <w:sz w:val="24"/>
          <w:szCs w:val="24"/>
        </w:rPr>
        <w:lastRenderedPageBreak/>
        <w:t>ցուցանիշների կանխատեսման կամ պրոցեսի առցանց մոնիթորինգի համար հարկ է անդրադառնալ որակի ասպեկտների գնահատման մասին փորձագիտական հաշվետվության թիվ 3 հավելվածին:</w:t>
      </w:r>
    </w:p>
    <w:p w14:paraId="2C2C9699" w14:textId="77777777" w:rsidR="008C76E0" w:rsidRPr="003B2786" w:rsidRDefault="008C76E0" w:rsidP="00473371">
      <w:pPr>
        <w:spacing w:after="160" w:line="360" w:lineRule="auto"/>
        <w:ind w:firstLine="567"/>
        <w:jc w:val="both"/>
        <w:rPr>
          <w:rFonts w:ascii="Sylfaen" w:hAnsi="Sylfaen"/>
          <w:sz w:val="24"/>
          <w:szCs w:val="24"/>
        </w:rPr>
      </w:pPr>
    </w:p>
    <w:p w14:paraId="459A2D72" w14:textId="77777777" w:rsidR="008C76E0" w:rsidRPr="003B2786" w:rsidRDefault="008C76E0" w:rsidP="00473371">
      <w:pPr>
        <w:spacing w:after="160" w:line="360" w:lineRule="auto"/>
        <w:ind w:firstLine="567"/>
        <w:jc w:val="center"/>
        <w:rPr>
          <w:rFonts w:ascii="Sylfaen" w:hAnsi="Sylfaen"/>
          <w:sz w:val="24"/>
          <w:szCs w:val="24"/>
        </w:rPr>
      </w:pPr>
      <w:r w:rsidRPr="003B2786">
        <w:rPr>
          <w:rFonts w:ascii="Sylfaen" w:hAnsi="Sylfaen"/>
          <w:sz w:val="24"/>
          <w:szCs w:val="24"/>
        </w:rPr>
        <w:t>Կենսատեխնոլոգիական դեղապատրոստուկներ</w:t>
      </w:r>
    </w:p>
    <w:p w14:paraId="46CE3B4A"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S.4.1.</w:t>
      </w:r>
      <w:r>
        <w:rPr>
          <w:rFonts w:ascii="Sylfaen" w:hAnsi="Sylfaen"/>
          <w:sz w:val="24"/>
          <w:szCs w:val="24"/>
        </w:rPr>
        <w:tab/>
      </w:r>
      <w:r w:rsidRPr="003B2786">
        <w:rPr>
          <w:rFonts w:ascii="Sylfaen" w:hAnsi="Sylfaen"/>
          <w:sz w:val="24"/>
          <w:szCs w:val="24"/>
        </w:rPr>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70C56DA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Արտաքին տեսքը </w:t>
      </w:r>
      <w:r w:rsidR="00C54D75">
        <w:rPr>
          <w:rFonts w:ascii="Sylfaen" w:hAnsi="Sylfaen"/>
          <w:sz w:val="24"/>
          <w:szCs w:val="24"/>
        </w:rPr>
        <w:t>և</w:t>
      </w:r>
      <w:r w:rsidRPr="003B2786">
        <w:rPr>
          <w:rFonts w:ascii="Sylfaen" w:hAnsi="Sylfaen"/>
          <w:sz w:val="24"/>
          <w:szCs w:val="24"/>
        </w:rPr>
        <w:t xml:space="preserve"> նկարագրությունը։ Անհրաժեշտ է տալ որակական գնահատական՝ ԱԴԲ-ի ֆիզիկական (ագրեգատային) վիճակի (օրինակ՝ պինդ, հեղուկ վիճակ) </w:t>
      </w:r>
      <w:r w:rsidR="00C54D75">
        <w:rPr>
          <w:rFonts w:ascii="Sylfaen" w:hAnsi="Sylfaen"/>
          <w:sz w:val="24"/>
          <w:szCs w:val="24"/>
        </w:rPr>
        <w:t>և</w:t>
      </w:r>
      <w:r w:rsidRPr="003B2786">
        <w:rPr>
          <w:rFonts w:ascii="Sylfaen" w:hAnsi="Sylfaen"/>
          <w:sz w:val="24"/>
          <w:szCs w:val="24"/>
        </w:rPr>
        <w:t xml:space="preserve"> գույնի նկարագրությամբ: </w:t>
      </w:r>
    </w:p>
    <w:p w14:paraId="610CB5D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Իսկությունը: Իսկության փորձարկումները պետք է բնութագրվեն ԱԴԲ-ի նկատմամբ բարձր սպեցիֆիկությամբ </w:t>
      </w:r>
      <w:r w:rsidR="00C54D75">
        <w:rPr>
          <w:rFonts w:ascii="Sylfaen" w:hAnsi="Sylfaen"/>
          <w:sz w:val="24"/>
          <w:szCs w:val="24"/>
        </w:rPr>
        <w:t>և</w:t>
      </w:r>
      <w:r w:rsidRPr="003B2786">
        <w:rPr>
          <w:rFonts w:ascii="Sylfaen" w:hAnsi="Sylfaen"/>
          <w:sz w:val="24"/>
          <w:szCs w:val="24"/>
        </w:rPr>
        <w:t xml:space="preserve"> պետք է հիմնված լինեն մոլեկուլյար կառուցվածքների </w:t>
      </w:r>
      <w:r w:rsidR="00C54D75">
        <w:rPr>
          <w:rFonts w:ascii="Sylfaen" w:hAnsi="Sylfaen"/>
          <w:sz w:val="24"/>
          <w:szCs w:val="24"/>
        </w:rPr>
        <w:t>և</w:t>
      </w:r>
      <w:r w:rsidRPr="003B2786">
        <w:rPr>
          <w:rFonts w:ascii="Sylfaen" w:hAnsi="Sylfaen"/>
          <w:sz w:val="24"/>
          <w:szCs w:val="24"/>
        </w:rPr>
        <w:t xml:space="preserve"> (կամ) այլ սպեցիֆիկ հատկությունների յուրահատուկ բնութագրերի վրա: Իսկությունը որոշելու համար կարող է պահանջվել փորձարկումների ավելի քան մեկ մեթոդի անցկացում (ֆիզիկաքիմիական, կենսաբանական </w:t>
      </w:r>
      <w:r w:rsidR="00C54D75">
        <w:rPr>
          <w:rFonts w:ascii="Sylfaen" w:hAnsi="Sylfaen"/>
          <w:sz w:val="24"/>
          <w:szCs w:val="24"/>
        </w:rPr>
        <w:t>և</w:t>
      </w:r>
      <w:r w:rsidRPr="003B2786">
        <w:rPr>
          <w:rFonts w:ascii="Sylfaen" w:hAnsi="Sylfaen"/>
          <w:sz w:val="24"/>
          <w:szCs w:val="24"/>
        </w:rPr>
        <w:t xml:space="preserve"> (կամ) իմունաքիմիական)։</w:t>
      </w:r>
    </w:p>
    <w:p w14:paraId="3FA839C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Մաքրությունը </w:t>
      </w:r>
      <w:r w:rsidR="00C54D75">
        <w:rPr>
          <w:rFonts w:ascii="Sylfaen" w:hAnsi="Sylfaen"/>
          <w:sz w:val="24"/>
          <w:szCs w:val="24"/>
        </w:rPr>
        <w:t>և</w:t>
      </w:r>
      <w:r w:rsidRPr="003B2786">
        <w:rPr>
          <w:rFonts w:ascii="Sylfaen" w:hAnsi="Sylfaen"/>
          <w:sz w:val="24"/>
          <w:szCs w:val="24"/>
        </w:rPr>
        <w:t xml:space="preserve"> խառնուկները: Քանի որ դժվար է որոշել կենսատեխնոլոգիական </w:t>
      </w:r>
      <w:r w:rsidR="00C54D75">
        <w:rPr>
          <w:rFonts w:ascii="Sylfaen" w:hAnsi="Sylfaen"/>
          <w:sz w:val="24"/>
          <w:szCs w:val="24"/>
        </w:rPr>
        <w:t>և</w:t>
      </w:r>
      <w:r w:rsidRPr="003B2786">
        <w:rPr>
          <w:rFonts w:ascii="Sylfaen" w:hAnsi="Sylfaen"/>
          <w:sz w:val="24"/>
          <w:szCs w:val="24"/>
        </w:rPr>
        <w:t xml:space="preserve"> կենսաբանական արտադրանքի բացարձակ մաքրությունը, արդյունքները հաճախ կախված են լինում ընտրված մեթոդից: Այդ իսկ պատճառով ԱԴԲ-ի մաքրությունը սովորաբար գնահատվում է մի քանի տարբեր մեթոդներով: Վերլուծական մեթոդիկաների ընտրության </w:t>
      </w:r>
      <w:r w:rsidR="00C54D75">
        <w:rPr>
          <w:rFonts w:ascii="Sylfaen" w:hAnsi="Sylfaen"/>
          <w:sz w:val="24"/>
          <w:szCs w:val="24"/>
        </w:rPr>
        <w:t>և</w:t>
      </w:r>
      <w:r w:rsidRPr="003B2786">
        <w:rPr>
          <w:rFonts w:ascii="Sylfaen" w:hAnsi="Sylfaen"/>
          <w:sz w:val="24"/>
          <w:szCs w:val="24"/>
        </w:rPr>
        <w:t xml:space="preserve"> օպտիմիզացման գնահատման դեպքում փորձագետին անհրաժեշտ է կենտրոնանալ ցանկալի արտադրանքը հարակից միացություններից </w:t>
      </w:r>
      <w:r w:rsidR="00C54D75">
        <w:rPr>
          <w:rFonts w:ascii="Sylfaen" w:hAnsi="Sylfaen"/>
          <w:sz w:val="24"/>
          <w:szCs w:val="24"/>
        </w:rPr>
        <w:t>և</w:t>
      </w:r>
      <w:r w:rsidRPr="003B2786">
        <w:rPr>
          <w:rFonts w:ascii="Sylfaen" w:hAnsi="Sylfaen"/>
          <w:sz w:val="24"/>
          <w:szCs w:val="24"/>
        </w:rPr>
        <w:t xml:space="preserve"> խառնուկներից բաժանելու մասով արդյունքի հասնելու վրա: Այդ արտադրանքում պարունակվող խառնուկները բաժանվում են հարակիցների </w:t>
      </w:r>
      <w:r w:rsidR="00C54D75">
        <w:rPr>
          <w:rFonts w:ascii="Sylfaen" w:hAnsi="Sylfaen"/>
          <w:sz w:val="24"/>
          <w:szCs w:val="24"/>
        </w:rPr>
        <w:t>և</w:t>
      </w:r>
      <w:r w:rsidRPr="003B2786">
        <w:rPr>
          <w:rFonts w:ascii="Sylfaen" w:hAnsi="Sylfaen"/>
          <w:sz w:val="24"/>
          <w:szCs w:val="24"/>
        </w:rPr>
        <w:t xml:space="preserve"> տեխնոլոգիականների:</w:t>
      </w:r>
    </w:p>
    <w:p w14:paraId="33BDE7EE" w14:textId="1757D604"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Ակտիվությունը: Հարկ է համոզվել, որ մասնագրում ներառվում է կենսատեխնոլոգիական կամ կենսաբանական ԱԴԲ-ի </w:t>
      </w:r>
      <w:r w:rsidR="00C54D75">
        <w:rPr>
          <w:rFonts w:ascii="Sylfaen" w:hAnsi="Sylfaen"/>
          <w:sz w:val="24"/>
          <w:szCs w:val="24"/>
        </w:rPr>
        <w:t>և</w:t>
      </w:r>
      <w:r w:rsidRPr="003B2786">
        <w:rPr>
          <w:rFonts w:ascii="Sylfaen" w:hAnsi="Sylfaen"/>
          <w:sz w:val="24"/>
          <w:szCs w:val="24"/>
        </w:rPr>
        <w:t xml:space="preserve"> (կամ) </w:t>
      </w:r>
      <w:r w:rsidRPr="003B2786">
        <w:rPr>
          <w:rFonts w:ascii="Sylfaen" w:hAnsi="Sylfaen"/>
          <w:sz w:val="24"/>
          <w:szCs w:val="24"/>
        </w:rPr>
        <w:lastRenderedPageBreak/>
        <w:t xml:space="preserve">դեղապատրաստուկի ակտիվության քանակական որոշման համապատասխան վալիդացված մեթոդիկան: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դեղապատրաստուկի ակտիվության քանակական որոշման համապատասխան մեթոդիկայի օգտագործման դեպքում ԱԴԲ-ի քանակական որոշման էտապում այլընտրանքային մեթոդի (ֆիզիկաքիմիական </w:t>
      </w:r>
      <w:r w:rsidR="00C54D75">
        <w:rPr>
          <w:rFonts w:ascii="Sylfaen" w:hAnsi="Sylfaen"/>
          <w:sz w:val="24"/>
          <w:szCs w:val="24"/>
        </w:rPr>
        <w:t>և</w:t>
      </w:r>
      <w:r w:rsidRPr="003B2786">
        <w:rPr>
          <w:rFonts w:ascii="Sylfaen" w:hAnsi="Sylfaen"/>
          <w:sz w:val="24"/>
          <w:szCs w:val="24"/>
        </w:rPr>
        <w:t xml:space="preserve"> (կամ) կենսաբանական) կիրառումը կարող է բավարար լինել: Առանձին դեպքերում սպեցիֆիկ ակտիվության չափումը կարող է ծառայել որպես հավելյալ արժեքավոր տեղեկատվության աղբյուր:</w:t>
      </w:r>
    </w:p>
    <w:p w14:paraId="17775E5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Քանակական պարունակությունը: ԱԴԲ-ի քանակական պարունակությունը, որը հիմնված է սպիտակուցի (զանգվածի) պարունակության որոշման վրա, պետք է որոշվի քանակական որոշման համապատասխան մեթոդի օգնությամբ: Քանակական որոշման համար կարող են չպահանջվել ստանդարտ նմուշներ կամ նյութեր:</w:t>
      </w:r>
    </w:p>
    <w:p w14:paraId="596C0B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արտադրվող արտադրանքը գնահատվում է ակտիվության միավորներով, այլընտրանքային մեթոդով քանակական որոշում կարող է չանցկացվել:</w:t>
      </w:r>
    </w:p>
    <w:p w14:paraId="21104E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ԱԴԲ-ի մասնագիրը պետք է ներառվի փորձագիտական հաշվետվության կազմում կամ պետք է կցվի որպես հավելված:</w:t>
      </w:r>
    </w:p>
    <w:p w14:paraId="098EC24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S.4.3.</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44C0062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Վերլուծական մեթոդիկաների վալիդացման համարժեքության փորձագիտական գնահատականը:</w:t>
      </w:r>
    </w:p>
    <w:p w14:paraId="15B97A70"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S.4.4.</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079AD3D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Սերիայից սերիա՝ ԱԴԲ-ի համասեռության մասին տեղեկատվություն:</w:t>
      </w:r>
    </w:p>
    <w:p w14:paraId="59BE691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գնահատել, թե ինչպես է հաստատվել հետերոգենության պրոֆիլի հաստատունությունը (օրինակ՝ գլիկոձ</w:t>
      </w:r>
      <w:r w:rsidR="00C54D75">
        <w:rPr>
          <w:rFonts w:ascii="Sylfaen" w:hAnsi="Sylfaen"/>
          <w:sz w:val="24"/>
          <w:szCs w:val="24"/>
        </w:rPr>
        <w:t>և</w:t>
      </w:r>
      <w:r w:rsidRPr="003B2786">
        <w:rPr>
          <w:rFonts w:ascii="Sylfaen" w:hAnsi="Sylfaen"/>
          <w:sz w:val="24"/>
          <w:szCs w:val="24"/>
        </w:rPr>
        <w:t>, իզոձ</w:t>
      </w:r>
      <w:r w:rsidR="00C54D75">
        <w:rPr>
          <w:rFonts w:ascii="Sylfaen" w:hAnsi="Sylfaen"/>
          <w:sz w:val="24"/>
          <w:szCs w:val="24"/>
        </w:rPr>
        <w:t>և</w:t>
      </w:r>
      <w:r w:rsidRPr="003B2786">
        <w:rPr>
          <w:rFonts w:ascii="Sylfaen" w:hAnsi="Sylfaen"/>
          <w:sz w:val="24"/>
          <w:szCs w:val="24"/>
        </w:rPr>
        <w:t>):</w:t>
      </w:r>
    </w:p>
    <w:p w14:paraId="78D2DD8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վերլուծել տարբերությունները, եթե այդպիսիք առկա են </w:t>
      </w:r>
      <w:r w:rsidRPr="003B2786">
        <w:rPr>
          <w:rFonts w:ascii="Sylfaen" w:hAnsi="Sylfaen"/>
          <w:sz w:val="24"/>
          <w:szCs w:val="24"/>
        </w:rPr>
        <w:lastRenderedPageBreak/>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նախատեսված ԱԴԲ-ի սերիաների խառնուկների պարունակության մեջ </w:t>
      </w:r>
      <w:r w:rsidR="00C54D75">
        <w:rPr>
          <w:rFonts w:ascii="Sylfaen" w:hAnsi="Sylfaen"/>
          <w:sz w:val="24"/>
          <w:szCs w:val="24"/>
        </w:rPr>
        <w:t>և</w:t>
      </w:r>
      <w:r w:rsidRPr="003B2786">
        <w:rPr>
          <w:rFonts w:ascii="Sylfaen" w:hAnsi="Sylfaen"/>
          <w:sz w:val="24"/>
          <w:szCs w:val="24"/>
        </w:rPr>
        <w:t xml:space="preserve"> արդյունաբերական սերիաներում:</w:t>
      </w:r>
    </w:p>
    <w:p w14:paraId="4C89E1D5" w14:textId="77777777" w:rsidR="008C76E0" w:rsidRPr="003B2786" w:rsidRDefault="008C76E0" w:rsidP="0047337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S.4.5.</w:t>
      </w:r>
      <w:r w:rsidRPr="003B2786">
        <w:rPr>
          <w:rFonts w:ascii="Sylfaen" w:hAnsi="Sylfaen"/>
          <w:sz w:val="24"/>
          <w:szCs w:val="24"/>
        </w:rPr>
        <w:tab/>
        <w:t>կետում ներառվել են ստոր</w:t>
      </w:r>
      <w:r w:rsidR="00C54D75">
        <w:rPr>
          <w:rFonts w:ascii="Sylfaen" w:hAnsi="Sylfaen"/>
          <w:sz w:val="24"/>
          <w:szCs w:val="24"/>
        </w:rPr>
        <w:t>և</w:t>
      </w:r>
      <w:r w:rsidRPr="003B2786">
        <w:rPr>
          <w:rFonts w:ascii="Sylfaen" w:hAnsi="Sylfaen"/>
          <w:sz w:val="24"/>
          <w:szCs w:val="24"/>
        </w:rPr>
        <w:t xml:space="preserve"> բերված տեղեկությունները:</w:t>
      </w:r>
    </w:p>
    <w:p w14:paraId="60A97507"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Ընդունելիության չափանիշների թույլատրելի ընդգրկույթի որոշման հիմքում ընկած՝ ներկայացվող հիմնավորման նկարագրությունը՝ հաշվի առնելով արտադրության </w:t>
      </w:r>
      <w:r w:rsidR="00C54D75">
        <w:rPr>
          <w:rFonts w:ascii="Sylfaen" w:hAnsi="Sylfaen"/>
          <w:sz w:val="24"/>
          <w:szCs w:val="24"/>
        </w:rPr>
        <w:t>և</w:t>
      </w:r>
      <w:r w:rsidRPr="003B2786">
        <w:rPr>
          <w:rFonts w:ascii="Sylfaen" w:hAnsi="Sylfaen"/>
          <w:sz w:val="24"/>
          <w:szCs w:val="24"/>
        </w:rPr>
        <w:t xml:space="preserve"> մաքրման ամբողջական պրոցեսը, ինչպես նա</w:t>
      </w:r>
      <w:r w:rsidR="00C54D75">
        <w:rPr>
          <w:rFonts w:ascii="Sylfaen" w:hAnsi="Sylfaen"/>
          <w:sz w:val="24"/>
          <w:szCs w:val="24"/>
        </w:rPr>
        <w:t>և</w:t>
      </w:r>
      <w:r w:rsidRPr="003B2786">
        <w:rPr>
          <w:rFonts w:ascii="Sylfaen" w:hAnsi="Sylfaen"/>
          <w:sz w:val="24"/>
          <w:szCs w:val="24"/>
        </w:rPr>
        <w:t xml:space="preserve"> օգտագործված վերլուծական մեթոդիկաները: Ընդունելիության չափանիշները պետք է հաստատվեն </w:t>
      </w:r>
      <w:r w:rsidR="00C54D75">
        <w:rPr>
          <w:rFonts w:ascii="Sylfaen" w:hAnsi="Sylfaen"/>
          <w:sz w:val="24"/>
          <w:szCs w:val="24"/>
        </w:rPr>
        <w:t>և</w:t>
      </w:r>
      <w:r w:rsidRPr="003B2786">
        <w:rPr>
          <w:rFonts w:ascii="Sylfaen" w:hAnsi="Sylfaen"/>
          <w:sz w:val="24"/>
          <w:szCs w:val="24"/>
        </w:rPr>
        <w:t xml:space="preserve"> հիմնավորվեն նախակլինիկական </w:t>
      </w:r>
      <w:r w:rsidR="00C54D75">
        <w:rPr>
          <w:rFonts w:ascii="Sylfaen" w:hAnsi="Sylfaen"/>
          <w:sz w:val="24"/>
          <w:szCs w:val="24"/>
        </w:rPr>
        <w:t>և</w:t>
      </w:r>
      <w:r w:rsidRPr="003B2786">
        <w:rPr>
          <w:rFonts w:ascii="Sylfaen" w:hAnsi="Sylfaen"/>
          <w:sz w:val="24"/>
          <w:szCs w:val="24"/>
        </w:rPr>
        <w:t xml:space="preserve"> (կամ) կլինիկական հետազոտություններում օգտագործված սերիաների տվյալների, արտադրական պրոցեսի շարունակականությունը հաստատելու համար օգտագործված սերիաների տվյալների, ինչպես նա</w:t>
      </w:r>
      <w:r w:rsidR="00C54D75">
        <w:rPr>
          <w:rFonts w:ascii="Sylfaen" w:hAnsi="Sylfaen"/>
          <w:sz w:val="24"/>
          <w:szCs w:val="24"/>
        </w:rPr>
        <w:t>և</w:t>
      </w:r>
      <w:r w:rsidRPr="003B2786">
        <w:rPr>
          <w:rFonts w:ascii="Sylfaen" w:hAnsi="Sylfaen"/>
          <w:sz w:val="24"/>
          <w:szCs w:val="24"/>
        </w:rPr>
        <w:t xml:space="preserve"> կայունության փորձարկումների տվյալների </w:t>
      </w:r>
      <w:r w:rsidR="00C54D75">
        <w:rPr>
          <w:rFonts w:ascii="Sylfaen" w:hAnsi="Sylfaen"/>
          <w:sz w:val="24"/>
          <w:szCs w:val="24"/>
        </w:rPr>
        <w:t>և</w:t>
      </w:r>
      <w:r w:rsidRPr="003B2786">
        <w:rPr>
          <w:rFonts w:ascii="Sylfaen" w:hAnsi="Sylfaen"/>
          <w:sz w:val="24"/>
          <w:szCs w:val="24"/>
        </w:rPr>
        <w:t xml:space="preserve"> մշակման վերաբերյալ համապատասխան տվյալների հիման վրա:</w:t>
      </w:r>
    </w:p>
    <w:p w14:paraId="5FFB86C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Որոշ դեպքերում առավել նպատակահարմար </w:t>
      </w:r>
      <w:r w:rsidR="00C54D75">
        <w:rPr>
          <w:rFonts w:ascii="Sylfaen" w:hAnsi="Sylfaen"/>
          <w:sz w:val="24"/>
          <w:szCs w:val="24"/>
        </w:rPr>
        <w:t>և</w:t>
      </w:r>
      <w:r w:rsidRPr="003B2786">
        <w:rPr>
          <w:rFonts w:ascii="Sylfaen" w:hAnsi="Sylfaen"/>
          <w:sz w:val="24"/>
          <w:szCs w:val="24"/>
        </w:rPr>
        <w:t xml:space="preserve"> ընդունելի է փորձարկումներ անցկացնել ոչ թե պատրաստի ԱԴԲ-ների կամ ԴՊ-ների վրա, այլ արտադրության փուլերում: Այդպիսի դեպքերում փորձարկումների արդյունքները պետք է դիտարկվեն որպես ներարտադրական պրոցեսի ընդունելիության չափանիշներ </w:t>
      </w:r>
      <w:r w:rsidR="00C54D75">
        <w:rPr>
          <w:rFonts w:ascii="Sylfaen" w:hAnsi="Sylfaen"/>
          <w:sz w:val="24"/>
          <w:szCs w:val="24"/>
        </w:rPr>
        <w:t>և</w:t>
      </w:r>
      <w:r w:rsidRPr="003B2786">
        <w:rPr>
          <w:rFonts w:ascii="Sylfaen" w:hAnsi="Sylfaen"/>
          <w:sz w:val="24"/>
          <w:szCs w:val="24"/>
        </w:rPr>
        <w:t xml:space="preserve"> ներառվեն ԱԴԲ-ի կամ ԴՊ-ի մասնագրում՝ Միության կամ տարածաշրջանային լիազորված մարմինների պահանջներին համապատասխան:</w:t>
      </w:r>
    </w:p>
    <w:p w14:paraId="4F6E5616" w14:textId="3E8A2669"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որոշի, թե արդյոք </w:t>
      </w:r>
      <w:r w:rsidR="0056496B">
        <w:rPr>
          <w:rFonts w:ascii="Sylfaen" w:hAnsi="Sylfaen"/>
          <w:sz w:val="24"/>
          <w:szCs w:val="24"/>
        </w:rPr>
        <w:t>դիմումատու</w:t>
      </w:r>
      <w:r w:rsidRPr="003B2786">
        <w:rPr>
          <w:rFonts w:ascii="Sylfaen" w:hAnsi="Sylfaen"/>
          <w:sz w:val="24"/>
          <w:szCs w:val="24"/>
        </w:rPr>
        <w:t xml:space="preserve">ն մշակման էտապում օգտագործված մեթոդների ամբողջ ծավալից ընտրել է մեթոդների համապատասխան համալիր, որը պետք է կիրառվի ԱԴԲ-ի հատկորոշման ցուցանիշների ընթացիկ հսկողության </w:t>
      </w:r>
      <w:r w:rsidR="00C54D75">
        <w:rPr>
          <w:rFonts w:ascii="Sylfaen" w:hAnsi="Sylfaen"/>
          <w:sz w:val="24"/>
          <w:szCs w:val="24"/>
        </w:rPr>
        <w:t>և</w:t>
      </w:r>
      <w:r w:rsidRPr="003B2786">
        <w:rPr>
          <w:rFonts w:ascii="Sylfaen" w:hAnsi="Sylfaen"/>
          <w:sz w:val="24"/>
          <w:szCs w:val="24"/>
        </w:rPr>
        <w:t xml:space="preserve"> արտադրանքի բնութագրերի որոշման համար: </w:t>
      </w:r>
    </w:p>
    <w:p w14:paraId="56E96302" w14:textId="77777777" w:rsidR="008C76E0"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3.5.</w:t>
      </w:r>
      <w:r>
        <w:rPr>
          <w:rFonts w:ascii="Sylfaen" w:hAnsi="Sylfaen"/>
          <w:sz w:val="24"/>
          <w:szCs w:val="24"/>
        </w:rPr>
        <w:tab/>
      </w:r>
      <w:r w:rsidRPr="003B2786">
        <w:rPr>
          <w:rFonts w:ascii="Sylfaen" w:hAnsi="Sylfaen"/>
          <w:sz w:val="24"/>
          <w:szCs w:val="24"/>
        </w:rPr>
        <w:t>Ստանդարտ նմուշները կամ նյութերը (մոդուլ 3.2.S.5)</w:t>
      </w:r>
    </w:p>
    <w:p w14:paraId="52881579"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p>
    <w:p w14:paraId="49ACA351" w14:textId="77777777" w:rsidR="00473371" w:rsidRDefault="00473371">
      <w:pPr>
        <w:widowControl/>
        <w:rPr>
          <w:rFonts w:ascii="Sylfaen" w:hAnsi="Sylfaen"/>
          <w:sz w:val="24"/>
          <w:szCs w:val="24"/>
        </w:rPr>
      </w:pPr>
      <w:r>
        <w:rPr>
          <w:rFonts w:ascii="Sylfaen" w:hAnsi="Sylfaen"/>
          <w:sz w:val="24"/>
          <w:szCs w:val="24"/>
        </w:rPr>
        <w:br w:type="page"/>
      </w:r>
    </w:p>
    <w:p w14:paraId="7F022487" w14:textId="0392926B"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lastRenderedPageBreak/>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104041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0C1EED3B" w14:textId="77777777" w:rsidR="008C76E0" w:rsidRPr="003B2786" w:rsidRDefault="008C76E0" w:rsidP="00473371">
      <w:pPr>
        <w:spacing w:after="160" w:line="360" w:lineRule="auto"/>
        <w:ind w:firstLine="567"/>
        <w:jc w:val="both"/>
        <w:rPr>
          <w:rFonts w:ascii="Sylfaen" w:hAnsi="Sylfaen"/>
          <w:sz w:val="24"/>
          <w:szCs w:val="24"/>
        </w:rPr>
      </w:pPr>
    </w:p>
    <w:p w14:paraId="197F965A"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Կենսատեխնոլոգիական պատրաստուկներ</w:t>
      </w:r>
    </w:p>
    <w:p w14:paraId="4EB7AAB9" w14:textId="732DEDFF"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Նոր մոլեկուլյար նյութերի գրանցման վերաբերյալ </w:t>
      </w:r>
      <w:r w:rsidR="009F5829">
        <w:rPr>
          <w:rFonts w:ascii="Sylfaen" w:hAnsi="Sylfaen"/>
          <w:sz w:val="24"/>
          <w:szCs w:val="24"/>
        </w:rPr>
        <w:t>դիմումներ</w:t>
      </w:r>
      <w:r w:rsidRPr="003B2786">
        <w:rPr>
          <w:rFonts w:ascii="Sylfaen" w:hAnsi="Sylfaen"/>
          <w:sz w:val="24"/>
          <w:szCs w:val="24"/>
        </w:rPr>
        <w:t>ի ներկայացման առումով կիրառվող միջազգային կամ ազգային ստանդարտ նմուշի առկայությունը քիչ հավանական է:</w:t>
      </w:r>
    </w:p>
    <w:p w14:paraId="771D659A" w14:textId="1F0A9D9E" w:rsidR="008C76E0" w:rsidRPr="003B2786" w:rsidRDefault="0056496B" w:rsidP="00473371">
      <w:pPr>
        <w:spacing w:after="160" w:line="360" w:lineRule="auto"/>
        <w:ind w:right="-1" w:firstLine="567"/>
        <w:jc w:val="both"/>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ներկայացնելու պահին արտադրողը պետք է համապատասխան ձ</w:t>
      </w:r>
      <w:r w:rsidR="00C54D75">
        <w:rPr>
          <w:rFonts w:ascii="Sylfaen" w:hAnsi="Sylfaen"/>
          <w:sz w:val="24"/>
          <w:szCs w:val="24"/>
        </w:rPr>
        <w:t>և</w:t>
      </w:r>
      <w:r w:rsidR="008C76E0" w:rsidRPr="003B2786">
        <w:rPr>
          <w:rFonts w:ascii="Sylfaen" w:hAnsi="Sylfaen"/>
          <w:sz w:val="24"/>
          <w:szCs w:val="24"/>
        </w:rPr>
        <w:t xml:space="preserve">ով հաստատի բնութագրված ներքին ստանդարտ ելանյութերը՝ ներկայացուցչական արտադրական ընտրանք հանդիսացող </w:t>
      </w:r>
      <w:r w:rsidR="00C54D75">
        <w:rPr>
          <w:rFonts w:ascii="Sylfaen" w:hAnsi="Sylfaen"/>
          <w:sz w:val="24"/>
          <w:szCs w:val="24"/>
        </w:rPr>
        <w:t>և</w:t>
      </w:r>
      <w:r w:rsidR="008C76E0" w:rsidRPr="003B2786">
        <w:rPr>
          <w:rFonts w:ascii="Sylfaen" w:hAnsi="Sylfaen"/>
          <w:sz w:val="24"/>
          <w:szCs w:val="24"/>
        </w:rPr>
        <w:t xml:space="preserve"> կլինիկական հետազոտություններում օգտագործված սերիաների հիման վրա: Ելքային արտադրանքի սերիաները փորձարկելիս օգտագործված սեփական աշխատանքային ստանդարտ նյութերը ենթակա են ստանդարտացման (ատեստավորման)՝ տվյալ ստանդարտ ելանյութի օգտագործմամբ:</w:t>
      </w:r>
    </w:p>
    <w:p w14:paraId="3DCFC27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Միջազգային կամ ազգային ստանդարտի առկայության կամ կիրառման նպատակահարմարության դեպքում ստանդարտ նյութերի ստանդարտացումը (ատեստավորումը) հարկ է անցկացնել տվյալ ստանդարտների օգտագործմամբ: Թեպետ կենսաբանական վերլուծությունների </w:t>
      </w:r>
      <w:r w:rsidR="00C54D75">
        <w:rPr>
          <w:rFonts w:ascii="Sylfaen" w:hAnsi="Sylfaen"/>
          <w:sz w:val="24"/>
          <w:szCs w:val="24"/>
        </w:rPr>
        <w:t>և</w:t>
      </w:r>
      <w:r w:rsidRPr="003B2786">
        <w:rPr>
          <w:rFonts w:ascii="Sylfaen" w:hAnsi="Sylfaen"/>
          <w:sz w:val="24"/>
          <w:szCs w:val="24"/>
        </w:rPr>
        <w:t xml:space="preserve"> ֆիզիկաքիմիական փորձարկումների համար առավել նախընտրելի է օգտագործել մի</w:t>
      </w:r>
      <w:r w:rsidR="00C54D75">
        <w:rPr>
          <w:rFonts w:ascii="Sylfaen" w:hAnsi="Sylfaen"/>
          <w:sz w:val="24"/>
          <w:szCs w:val="24"/>
        </w:rPr>
        <w:t>և</w:t>
      </w:r>
      <w:r w:rsidRPr="003B2786">
        <w:rPr>
          <w:rFonts w:ascii="Sylfaen" w:hAnsi="Sylfaen"/>
          <w:sz w:val="24"/>
          <w:szCs w:val="24"/>
        </w:rPr>
        <w:t xml:space="preserve">նույն ստանդարտ նյութը, որոշ դեպքերում կարող է պահանջվել տարբեր ստանդարտ նյութերի կիրառում: </w:t>
      </w:r>
    </w:p>
    <w:p w14:paraId="666399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Բացի այդ, հարակից միացությունների, հարակից խառնուկների </w:t>
      </w:r>
      <w:r w:rsidR="00C54D75">
        <w:rPr>
          <w:rFonts w:ascii="Sylfaen" w:hAnsi="Sylfaen"/>
          <w:sz w:val="24"/>
          <w:szCs w:val="24"/>
        </w:rPr>
        <w:t>և</w:t>
      </w:r>
      <w:r w:rsidRPr="003B2786">
        <w:rPr>
          <w:rFonts w:ascii="Sylfaen" w:hAnsi="Sylfaen"/>
          <w:sz w:val="24"/>
          <w:szCs w:val="24"/>
        </w:rPr>
        <w:t xml:space="preserve"> տեխնոլոգիական խառնուկների որոշման համար կարող են պահանջվել տարբեր ստանդարտ նյութեր:</w:t>
      </w:r>
    </w:p>
    <w:p w14:paraId="15F96185"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Կիրառելի դեպքերում կարող է պահանջվել, որ գրանցման դոսյեում ներառվի ստանդարտ նյութերի արտադրության </w:t>
      </w:r>
      <w:r w:rsidR="00C54D75">
        <w:rPr>
          <w:rFonts w:ascii="Sylfaen" w:hAnsi="Sylfaen"/>
          <w:sz w:val="24"/>
          <w:szCs w:val="24"/>
        </w:rPr>
        <w:t>և</w:t>
      </w:r>
      <w:r w:rsidRPr="003B2786">
        <w:rPr>
          <w:rFonts w:ascii="Sylfaen" w:hAnsi="Sylfaen"/>
          <w:sz w:val="24"/>
          <w:szCs w:val="24"/>
        </w:rPr>
        <w:t xml:space="preserve"> (կամ) մաքրման պրոցեսի նկարագրությունը: Նա</w:t>
      </w:r>
      <w:r w:rsidR="00C54D75">
        <w:rPr>
          <w:rFonts w:ascii="Sylfaen" w:hAnsi="Sylfaen"/>
          <w:sz w:val="24"/>
          <w:szCs w:val="24"/>
        </w:rPr>
        <w:t>և</w:t>
      </w:r>
      <w:r w:rsidRPr="003B2786">
        <w:rPr>
          <w:rFonts w:ascii="Sylfaen" w:hAnsi="Sylfaen"/>
          <w:sz w:val="24"/>
          <w:szCs w:val="24"/>
        </w:rPr>
        <w:t xml:space="preserve"> անհրաժեշտ է ներկայացնել բնութագրերի, պահպանման պայմանների </w:t>
      </w:r>
      <w:r w:rsidR="00C54D75">
        <w:rPr>
          <w:rFonts w:ascii="Sylfaen" w:hAnsi="Sylfaen"/>
          <w:sz w:val="24"/>
          <w:szCs w:val="24"/>
        </w:rPr>
        <w:t>և</w:t>
      </w:r>
      <w:r w:rsidRPr="003B2786">
        <w:rPr>
          <w:rFonts w:ascii="Sylfaen" w:hAnsi="Sylfaen"/>
          <w:sz w:val="24"/>
          <w:szCs w:val="24"/>
        </w:rPr>
        <w:t xml:space="preserve"> բաղադրության վերաբերյալ ստանդարտ նյութերի կայունությունն ապահովող փաստաթղթեր:</w:t>
      </w:r>
    </w:p>
    <w:p w14:paraId="1B1EE7F0"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Կենսանման դեղամիջոցի համար անհրաժեշտ է ներկայացնել ակտիվ դեղագործական բաղադրամասի (ԱԴԲ) հատկությունների համադրելիության հետազոտության արդյունքները: Համապատասխան դեպքերում անհրաժեշտ է հաստատել 3.2.Р.6 բաժնում նշված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ԱԴԲ-ն:</w:t>
      </w:r>
    </w:p>
    <w:p w14:paraId="0BB493A5"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3.6.</w:t>
      </w:r>
      <w:r>
        <w:rPr>
          <w:rFonts w:ascii="Sylfaen" w:hAnsi="Sylfaen"/>
          <w:sz w:val="24"/>
          <w:szCs w:val="24"/>
        </w:rPr>
        <w:tab/>
      </w:r>
      <w:r w:rsidRPr="003B2786">
        <w:rPr>
          <w:rFonts w:ascii="Sylfaen" w:hAnsi="Sylfaen"/>
          <w:sz w:val="24"/>
          <w:szCs w:val="24"/>
        </w:rPr>
        <w:t>Փաթեթավորման (խցանափակման) համակարգը (մոդուլ 3.2.S.6)</w:t>
      </w:r>
    </w:p>
    <w:p w14:paraId="2990CFEC"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գնահատել կոնտեյների ընտրության </w:t>
      </w:r>
      <w:r w:rsidR="00C54D75">
        <w:rPr>
          <w:rFonts w:ascii="Sylfaen" w:hAnsi="Sylfaen"/>
          <w:sz w:val="24"/>
          <w:szCs w:val="24"/>
        </w:rPr>
        <w:t>և</w:t>
      </w:r>
      <w:r w:rsidRPr="003B2786">
        <w:rPr>
          <w:rFonts w:ascii="Sylfaen" w:hAnsi="Sylfaen"/>
          <w:sz w:val="24"/>
          <w:szCs w:val="24"/>
        </w:rPr>
        <w:t xml:space="preserve"> խցանափակման եղանակի հիմնավորվածությունը՝ հաշվի առնելով ԱԴԲ-ի ֆիզիկական (քիմիական) հատկանիշները:</w:t>
      </w:r>
    </w:p>
    <w:p w14:paraId="3385664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Տվյալ պարամետրի կար</w:t>
      </w:r>
      <w:r w:rsidR="00C54D75">
        <w:rPr>
          <w:rFonts w:ascii="Sylfaen" w:hAnsi="Sylfaen"/>
          <w:sz w:val="24"/>
          <w:szCs w:val="24"/>
        </w:rPr>
        <w:t>և</w:t>
      </w:r>
      <w:r w:rsidRPr="003B2786">
        <w:rPr>
          <w:rFonts w:ascii="Sylfaen" w:hAnsi="Sylfaen"/>
          <w:sz w:val="24"/>
          <w:szCs w:val="24"/>
        </w:rPr>
        <w:t>որության դեպքում հարկ է գնահատել, թե արդյոք տվյալ ընտրությամբ ապահովվում է մանրէային կոնտամինացիայից պատշաճ պաշտպանությունը:</w:t>
      </w:r>
    </w:p>
    <w:p w14:paraId="1FB2827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հաստատել, որ ընթացիկ պահպանման համար առաջարկվող կոնտեյներները համընկնում են այն կոնտեյներների հետ, որոնք օգտագործվել են կրկնակի փորձարկումների առաջարկվող ժամանակահատվածի հիմնավորմանն ուղղված կայունության հետազոտություններում (բաժին S.7):</w:t>
      </w:r>
    </w:p>
    <w:p w14:paraId="1E432D87" w14:textId="77777777" w:rsidR="008C76E0" w:rsidRPr="003B2786" w:rsidRDefault="008C76E0" w:rsidP="00473371">
      <w:pPr>
        <w:tabs>
          <w:tab w:val="left" w:pos="1134"/>
        </w:tabs>
        <w:spacing w:after="160" w:line="384" w:lineRule="auto"/>
        <w:ind w:firstLine="567"/>
        <w:jc w:val="both"/>
        <w:outlineLvl w:val="0"/>
        <w:rPr>
          <w:rFonts w:ascii="Sylfaen" w:hAnsi="Sylfaen"/>
          <w:sz w:val="24"/>
          <w:szCs w:val="24"/>
        </w:rPr>
      </w:pPr>
      <w:r w:rsidRPr="003B2786">
        <w:rPr>
          <w:rFonts w:ascii="Sylfaen" w:hAnsi="Sylfaen"/>
          <w:sz w:val="24"/>
          <w:szCs w:val="24"/>
        </w:rPr>
        <w:t>3.7.</w:t>
      </w:r>
      <w:r>
        <w:rPr>
          <w:rFonts w:ascii="Sylfaen" w:hAnsi="Sylfaen"/>
          <w:sz w:val="24"/>
          <w:szCs w:val="24"/>
        </w:rPr>
        <w:tab/>
      </w:r>
      <w:r w:rsidRPr="003B2786">
        <w:rPr>
          <w:rFonts w:ascii="Sylfaen" w:hAnsi="Sylfaen"/>
          <w:sz w:val="24"/>
          <w:szCs w:val="24"/>
        </w:rPr>
        <w:t>Կայունությունը (մոդուլ 3.2.S.7)</w:t>
      </w:r>
    </w:p>
    <w:p w14:paraId="12364CE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Տվյալ բաժնում հարկ է արտացոլել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ուսումնասիրության արդյունքները՝</w:t>
      </w:r>
    </w:p>
    <w:p w14:paraId="483181AD"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S.7.1.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E48AD6E" w14:textId="77777777" w:rsidR="008C76E0" w:rsidRPr="003B2786" w:rsidRDefault="008C76E0" w:rsidP="00473371">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S.7.2.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կայունությանը վերաբերող պարտականությունները,</w:t>
      </w:r>
    </w:p>
    <w:p w14:paraId="353217C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S.7.3.</w:t>
      </w:r>
      <w:r w:rsidRPr="003B2786">
        <w:rPr>
          <w:rFonts w:ascii="Sylfaen" w:hAnsi="Sylfaen"/>
          <w:sz w:val="24"/>
          <w:szCs w:val="24"/>
        </w:rPr>
        <w:tab/>
        <w:t>Կայունության վերաբերյալ փորձարկումների տվյալները:</w:t>
      </w:r>
    </w:p>
    <w:p w14:paraId="5DC7C7D9"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կամ Միջազգային ներդաշնակեցման համաժողովի (ICH) կողմից կիրառվող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544AA8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 հարկ է հղումներ բերել արտադրության մեջ ցանկացած տարբերությանը, ինչպես նա</w:t>
      </w:r>
      <w:r w:rsidR="00C54D75">
        <w:rPr>
          <w:rFonts w:ascii="Sylfaen" w:hAnsi="Sylfaen"/>
          <w:sz w:val="24"/>
          <w:szCs w:val="24"/>
        </w:rPr>
        <w:t>և</w:t>
      </w:r>
      <w:r w:rsidRPr="003B2786">
        <w:rPr>
          <w:rFonts w:ascii="Sylfaen" w:hAnsi="Sylfaen"/>
          <w:sz w:val="24"/>
          <w:szCs w:val="24"/>
        </w:rPr>
        <w:t xml:space="preserve"> ներկայացնել օգտագործված պրոցեսների նկարագրությունը՝ մեկնաբանություններ կատարելով այն մասին, թե արդյոք դրանք էական ազդեցություն են թողնում կայունության պրոֆիլի վրա:</w:t>
      </w:r>
    </w:p>
    <w:p w14:paraId="4F2B1F5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կայունության հետգրանցումային փորձարկումների ծրագրի բավարար լինելը, մասնավորապես՝ որոշված պարամետրերի մասով:</w:t>
      </w:r>
    </w:p>
    <w:p w14:paraId="445EB8C8" w14:textId="0C1FF510"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համոզվել, որ վերլուծական մեթոդիկաների արդյունքները ծառայում են որպես կայունության հուսալի ցուցանիշ (տե՛ս, կետ S.4): Պետք է ընտրվեն այնպիսի վերլուծական մեթոդիկաներ, որոնք հավաստիորեն վկայում են կայունության մասին </w:t>
      </w:r>
      <w:r w:rsidR="00C54D75">
        <w:rPr>
          <w:rFonts w:ascii="Sylfaen" w:hAnsi="Sylfaen"/>
          <w:sz w:val="24"/>
          <w:szCs w:val="24"/>
        </w:rPr>
        <w:t>և</w:t>
      </w:r>
      <w:r w:rsidRPr="003B2786">
        <w:rPr>
          <w:rFonts w:ascii="Sylfaen" w:hAnsi="Sylfaen"/>
          <w:sz w:val="24"/>
          <w:szCs w:val="24"/>
        </w:rPr>
        <w:t xml:space="preserve"> թույլ են տալիս ի </w:t>
      </w:r>
      <w:r w:rsidR="009B6AA0">
        <w:rPr>
          <w:rFonts w:ascii="Sylfaen" w:hAnsi="Sylfaen"/>
          <w:sz w:val="24"/>
          <w:szCs w:val="24"/>
        </w:rPr>
        <w:t>հայտ</w:t>
      </w:r>
      <w:r w:rsidRPr="003B2786">
        <w:rPr>
          <w:rFonts w:ascii="Sylfaen" w:hAnsi="Sylfaen"/>
          <w:sz w:val="24"/>
          <w:szCs w:val="24"/>
        </w:rPr>
        <w:t xml:space="preserve"> բերել ԱԴԲ-ի որակի ցուցանիշների էական փոփոխությունները:</w:t>
      </w:r>
    </w:p>
    <w:p w14:paraId="00E39884" w14:textId="2B2B8C2D"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նոր կամ </w:t>
      </w:r>
      <w:r w:rsidR="005F6A31">
        <w:rPr>
          <w:rFonts w:ascii="Sylfaen" w:hAnsi="Sylfaen"/>
          <w:sz w:val="24"/>
          <w:szCs w:val="24"/>
        </w:rPr>
        <w:t>հայտնի</w:t>
      </w:r>
      <w:r w:rsidRPr="003B2786">
        <w:rPr>
          <w:rFonts w:ascii="Sylfaen" w:hAnsi="Sylfaen"/>
          <w:sz w:val="24"/>
          <w:szCs w:val="24"/>
        </w:rPr>
        <w:t xml:space="preserve"> քիմիական ակտիվ նյութերի դեպքում հարկ է համոզվել, որ կայունության հետազոտության ընթացքում օգտագործված կոնտեյներները համընկնում են ընթացիկ պահպանման համար առաջարկված կոնտեյներների հետ (տե՛ս, բաժին S.6), </w:t>
      </w:r>
      <w:r w:rsidR="00C54D75">
        <w:rPr>
          <w:rFonts w:ascii="Sylfaen" w:hAnsi="Sylfaen"/>
          <w:sz w:val="24"/>
          <w:szCs w:val="24"/>
        </w:rPr>
        <w:t>և</w:t>
      </w:r>
      <w:r w:rsidRPr="003B2786">
        <w:rPr>
          <w:rFonts w:ascii="Sylfaen" w:hAnsi="Sylfaen"/>
          <w:sz w:val="24"/>
          <w:szCs w:val="24"/>
        </w:rPr>
        <w:t xml:space="preserve"> հարկ է դա արտացոլել փորձագիտական հաշվետվության մեջ:</w:t>
      </w:r>
    </w:p>
    <w:p w14:paraId="365EBAD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Կրկնակի փորձարկումների համար առաջարկվող ժամանակահատվածի հիմնավորվածության մասին վերջնական եզրահանգումը:</w:t>
      </w:r>
    </w:p>
    <w:p w14:paraId="6B32E7D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lastRenderedPageBreak/>
        <w:t>4. Դեղապատրաստուկը (մոդուլ 3.2.Р)</w:t>
      </w:r>
    </w:p>
    <w:p w14:paraId="1AF4A2E2" w14:textId="77777777" w:rsidR="008C76E0" w:rsidRPr="003B2786" w:rsidRDefault="008C76E0" w:rsidP="00473371">
      <w:pPr>
        <w:tabs>
          <w:tab w:val="left" w:pos="1134"/>
        </w:tabs>
        <w:spacing w:after="160" w:line="360" w:lineRule="auto"/>
        <w:ind w:firstLine="567"/>
        <w:outlineLvl w:val="0"/>
        <w:rPr>
          <w:rFonts w:ascii="Sylfaen" w:hAnsi="Sylfaen"/>
          <w:sz w:val="24"/>
          <w:szCs w:val="24"/>
        </w:rPr>
      </w:pPr>
      <w:r w:rsidRPr="003B2786">
        <w:rPr>
          <w:rFonts w:ascii="Sylfaen" w:hAnsi="Sylfaen"/>
          <w:sz w:val="24"/>
          <w:szCs w:val="24"/>
        </w:rPr>
        <w:t>4.1.</w:t>
      </w:r>
      <w:r w:rsidRPr="003B2786">
        <w:rPr>
          <w:rFonts w:ascii="Sylfaen" w:hAnsi="Sylfaen"/>
          <w:sz w:val="24"/>
          <w:szCs w:val="24"/>
        </w:rPr>
        <w:tab/>
        <w:t>Դեղապատրաստուկի նկարագրությունն ու բաղադրությունը (մոդուլ 3.2.Р.1)</w:t>
      </w:r>
    </w:p>
    <w:p w14:paraId="36197D1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Դեղապատրաստուկի բացթողման ձ</w:t>
      </w:r>
      <w:r w:rsidR="00C54D75">
        <w:rPr>
          <w:rFonts w:ascii="Sylfaen" w:hAnsi="Sylfaen"/>
          <w:sz w:val="24"/>
          <w:szCs w:val="24"/>
        </w:rPr>
        <w:t>և</w:t>
      </w:r>
      <w:r w:rsidRPr="003B2786">
        <w:rPr>
          <w:rFonts w:ascii="Sylfaen" w:hAnsi="Sylfaen"/>
          <w:sz w:val="24"/>
          <w:szCs w:val="24"/>
        </w:rPr>
        <w:t xml:space="preserve">ը, այդ թվում՝ ջրիկացուցիչները (լուծիչները), բժշկական արտադրատեսակները </w:t>
      </w:r>
      <w:r w:rsidR="00C54D75">
        <w:rPr>
          <w:rFonts w:ascii="Sylfaen" w:hAnsi="Sylfaen"/>
          <w:sz w:val="24"/>
          <w:szCs w:val="24"/>
        </w:rPr>
        <w:t>և</w:t>
      </w:r>
      <w:r w:rsidRPr="003B2786">
        <w:rPr>
          <w:rFonts w:ascii="Sylfaen" w:hAnsi="Sylfaen"/>
          <w:sz w:val="24"/>
          <w:szCs w:val="24"/>
        </w:rPr>
        <w:t xml:space="preserve"> այլն պետք է հստակ նշված լինեն փորձագիտական հաշվետվության մեջ:</w:t>
      </w:r>
    </w:p>
    <w:p w14:paraId="0AE1802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ում ներառված է բժշկական արտադրատեսակ, հարկ է փորձագիտական հաշվետվության 3.2.R բաժնում հղում կատարել այդ արտադրատեսակի մասին տեղեկատվության առկայությանը: Անհրաժեշտ է ընդգծել Միության շուկայում բժշկական արտադրատեսակների գրանցման առկայությունը </w:t>
      </w:r>
      <w:r w:rsidR="00C54D75">
        <w:rPr>
          <w:rFonts w:ascii="Sylfaen" w:hAnsi="Sylfaen"/>
          <w:sz w:val="24"/>
          <w:szCs w:val="24"/>
        </w:rPr>
        <w:t>և</w:t>
      </w:r>
      <w:r w:rsidRPr="003B2786">
        <w:rPr>
          <w:rFonts w:ascii="Sylfaen" w:hAnsi="Sylfaen"/>
          <w:sz w:val="24"/>
          <w:szCs w:val="24"/>
        </w:rPr>
        <w:t xml:space="preserve"> (կամ) բժշկական արտադրատեսակների վրա Միության շուկայում բժշկական արտադրատեսակների շրջանառության հատուկ նշանի առկայությունը՝ Միության շուկայում բժշկական արտադրատեսակների շրջանառության հատուկ նշանի մասին պահանջներին համապատասխան, ինչպես նա</w:t>
      </w:r>
      <w:r w:rsidR="00C54D75">
        <w:rPr>
          <w:rFonts w:ascii="Sylfaen" w:hAnsi="Sylfaen"/>
          <w:sz w:val="24"/>
          <w:szCs w:val="24"/>
        </w:rPr>
        <w:t>և</w:t>
      </w:r>
      <w:r w:rsidRPr="003B2786">
        <w:rPr>
          <w:rFonts w:ascii="Sylfaen" w:hAnsi="Sylfaen"/>
          <w:sz w:val="24"/>
          <w:szCs w:val="24"/>
        </w:rPr>
        <w:t xml:space="preserve"> հավաստիանալ, որ Միության շրջանակներում բժշկական արտադրատեսակների շրջանառության հատուկ նշանը համապատասխանում է արտադրատեսակի նշանակությանը:</w:t>
      </w:r>
    </w:p>
    <w:p w14:paraId="07FF127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հատուկ ուշադրություն դարձնել փաթեթավորման </w:t>
      </w:r>
      <w:r w:rsidR="00C54D75">
        <w:rPr>
          <w:rFonts w:ascii="Sylfaen" w:hAnsi="Sylfaen"/>
          <w:sz w:val="24"/>
          <w:szCs w:val="24"/>
        </w:rPr>
        <w:t>և</w:t>
      </w:r>
      <w:r w:rsidRPr="003B2786">
        <w:rPr>
          <w:rFonts w:ascii="Sylfaen" w:hAnsi="Sylfaen"/>
          <w:sz w:val="24"/>
          <w:szCs w:val="24"/>
        </w:rPr>
        <w:t xml:space="preserve"> խցանափակման համակարգի բնութագրերին, հատկապես՝ փխրուն (անկայուն) կամ մանրէազերծ պատրաստուկների մասով:</w:t>
      </w:r>
    </w:p>
    <w:p w14:paraId="5F7544F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Կենսանման դեղապատրաստուկի մասով հարկ է ուշադրություն դարձնել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բաղադրության հետ էական տարբերությունների վրա:</w:t>
      </w:r>
    </w:p>
    <w:p w14:paraId="30E28AD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4.2.</w:t>
      </w:r>
      <w:r>
        <w:rPr>
          <w:rFonts w:ascii="Sylfaen" w:hAnsi="Sylfaen"/>
          <w:sz w:val="24"/>
          <w:szCs w:val="24"/>
        </w:rPr>
        <w:tab/>
      </w:r>
      <w:r w:rsidRPr="003B2786">
        <w:rPr>
          <w:rFonts w:ascii="Sylfaen" w:hAnsi="Sylfaen"/>
          <w:sz w:val="24"/>
          <w:szCs w:val="24"/>
        </w:rPr>
        <w:t>Դեղագործական մշակումը (մոդուլ 3.2.Р.2)</w:t>
      </w:r>
    </w:p>
    <w:p w14:paraId="7DF6652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0926DD7"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w:t>
      </w:r>
      <w:r w:rsidRPr="003B2786">
        <w:rPr>
          <w:rFonts w:ascii="Sylfaen" w:hAnsi="Sylfaen"/>
          <w:sz w:val="24"/>
          <w:szCs w:val="24"/>
        </w:rPr>
        <w:tab/>
        <w:t>Դեղապատրաստուկի բաղադրիչները:</w:t>
      </w:r>
    </w:p>
    <w:p w14:paraId="3C8CBCA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Р.2.1.1.</w:t>
      </w:r>
      <w:r w:rsidRPr="003B2786">
        <w:rPr>
          <w:rFonts w:ascii="Sylfaen" w:hAnsi="Sylfaen"/>
          <w:sz w:val="24"/>
          <w:szCs w:val="24"/>
        </w:rPr>
        <w:tab/>
        <w:t>Ակտիվ դեղագործական բաղադրամասը:</w:t>
      </w:r>
    </w:p>
    <w:p w14:paraId="7E2D392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Р.2.1.2.</w:t>
      </w:r>
      <w:r w:rsidRPr="003B2786">
        <w:rPr>
          <w:rFonts w:ascii="Sylfaen" w:hAnsi="Sylfaen"/>
          <w:sz w:val="24"/>
          <w:szCs w:val="24"/>
        </w:rPr>
        <w:tab/>
        <w:t>Օժանդակ նյութերը:</w:t>
      </w:r>
    </w:p>
    <w:p w14:paraId="27F5EC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w:t>
      </w:r>
      <w:r w:rsidRPr="003B2786">
        <w:rPr>
          <w:rFonts w:ascii="Sylfaen" w:hAnsi="Sylfaen"/>
          <w:sz w:val="24"/>
          <w:szCs w:val="24"/>
        </w:rPr>
        <w:tab/>
        <w:t>Դեղապատրաստուկը:</w:t>
      </w:r>
    </w:p>
    <w:p w14:paraId="208FFC3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Р.2.2.1.</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մշակումը:</w:t>
      </w:r>
    </w:p>
    <w:p w14:paraId="4ECBD74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Р.2.2.2.</w:t>
      </w:r>
      <w:r w:rsidRPr="003B2786">
        <w:rPr>
          <w:rFonts w:ascii="Sylfaen" w:hAnsi="Sylfaen"/>
          <w:sz w:val="24"/>
          <w:szCs w:val="24"/>
        </w:rPr>
        <w:tab/>
        <w:t>Արտադրական ավելցուկները:</w:t>
      </w:r>
    </w:p>
    <w:p w14:paraId="7D0F481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Р.2.2.3.</w:t>
      </w:r>
      <w:r w:rsidRPr="003B2786">
        <w:rPr>
          <w:rFonts w:ascii="Sylfaen" w:hAnsi="Sylfaen"/>
          <w:sz w:val="24"/>
          <w:szCs w:val="24"/>
        </w:rPr>
        <w:tab/>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w:t>
      </w:r>
    </w:p>
    <w:p w14:paraId="4E4E61A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Р.2.3.</w:t>
      </w:r>
      <w:r w:rsidRPr="003B2786">
        <w:rPr>
          <w:rFonts w:ascii="Sylfaen" w:hAnsi="Sylfaen"/>
          <w:sz w:val="24"/>
          <w:szCs w:val="24"/>
        </w:rPr>
        <w:tab/>
        <w:t>Արտադրական պրոցեսի մշակումը:</w:t>
      </w:r>
    </w:p>
    <w:p w14:paraId="3004BA0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Р.2.4.</w:t>
      </w:r>
      <w:r w:rsidRPr="003B2786">
        <w:rPr>
          <w:rFonts w:ascii="Sylfaen" w:hAnsi="Sylfaen"/>
          <w:sz w:val="24"/>
          <w:szCs w:val="24"/>
        </w:rPr>
        <w:tab/>
        <w:t>Փաթեթավորման (խցանափակման) համակարգը:</w:t>
      </w:r>
    </w:p>
    <w:p w14:paraId="406081A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Р.2.5.</w:t>
      </w:r>
      <w:r w:rsidRPr="003B2786">
        <w:rPr>
          <w:rFonts w:ascii="Sylfaen" w:hAnsi="Sylfaen"/>
          <w:sz w:val="24"/>
          <w:szCs w:val="24"/>
        </w:rPr>
        <w:tab/>
        <w:t>Միկրոկենսաբանական բնութագրերը:</w:t>
      </w:r>
    </w:p>
    <w:p w14:paraId="515A632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Р.2.6.</w:t>
      </w:r>
      <w:r w:rsidRPr="003B2786">
        <w:rPr>
          <w:rFonts w:ascii="Sylfaen" w:hAnsi="Sylfaen"/>
          <w:sz w:val="24"/>
          <w:szCs w:val="24"/>
        </w:rPr>
        <w:tab/>
        <w:t>Համատեղելիությունը:</w:t>
      </w:r>
    </w:p>
    <w:p w14:paraId="139A51DE" w14:textId="77777777" w:rsidR="008C76E0" w:rsidRPr="003B2786" w:rsidRDefault="008C76E0" w:rsidP="00473371">
      <w:pPr>
        <w:spacing w:after="160" w:line="360" w:lineRule="auto"/>
        <w:ind w:firstLine="567"/>
        <w:jc w:val="center"/>
        <w:rPr>
          <w:rFonts w:ascii="Sylfaen" w:hAnsi="Sylfaen"/>
          <w:sz w:val="24"/>
          <w:szCs w:val="24"/>
        </w:rPr>
      </w:pPr>
    </w:p>
    <w:p w14:paraId="224379CE"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Դեղապատրաստուկի բաղադրիչները</w:t>
      </w:r>
    </w:p>
    <w:p w14:paraId="11A4AA9B" w14:textId="246F554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ԱԴԲ-ի համար հարկ է նշել, թե արդյոք </w:t>
      </w:r>
      <w:r w:rsidR="0056496B">
        <w:rPr>
          <w:rFonts w:ascii="Sylfaen" w:hAnsi="Sylfaen"/>
          <w:sz w:val="24"/>
          <w:szCs w:val="24"/>
        </w:rPr>
        <w:t>դիմումատու</w:t>
      </w:r>
      <w:r w:rsidRPr="003B2786">
        <w:rPr>
          <w:rFonts w:ascii="Sylfaen" w:hAnsi="Sylfaen"/>
          <w:sz w:val="24"/>
          <w:szCs w:val="24"/>
        </w:rPr>
        <w:t xml:space="preserve">ի կողմից որոշված են պացիենտի համար կլինիկորեն նշանակալի ֆիզիկաքիմիական հատկությունները: </w:t>
      </w:r>
    </w:p>
    <w:p w14:paraId="7531BCD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 հատկությունները պատշաճ կերպով արտացոլված են մասնագրում </w:t>
      </w:r>
      <w:r w:rsidR="00C54D75">
        <w:rPr>
          <w:rFonts w:ascii="Sylfaen" w:hAnsi="Sylfaen"/>
          <w:sz w:val="24"/>
          <w:szCs w:val="24"/>
        </w:rPr>
        <w:t>և</w:t>
      </w:r>
      <w:r w:rsidRPr="003B2786">
        <w:rPr>
          <w:rFonts w:ascii="Sylfaen" w:hAnsi="Sylfaen"/>
          <w:sz w:val="24"/>
          <w:szCs w:val="24"/>
        </w:rPr>
        <w:t xml:space="preserve"> արդյոք պատշաճ հսկողություն է իրականացվում դրանց նկատմամբ:</w:t>
      </w:r>
    </w:p>
    <w:p w14:paraId="1025AD31" w14:textId="1ED2215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ինչի հիման վրա է </w:t>
      </w:r>
      <w:r w:rsidR="0056496B">
        <w:rPr>
          <w:rFonts w:ascii="Sylfaen" w:hAnsi="Sylfaen"/>
          <w:sz w:val="24"/>
          <w:szCs w:val="24"/>
        </w:rPr>
        <w:t>դիմումատու</w:t>
      </w:r>
      <w:r w:rsidRPr="003B2786">
        <w:rPr>
          <w:rFonts w:ascii="Sylfaen" w:hAnsi="Sylfaen"/>
          <w:sz w:val="24"/>
          <w:szCs w:val="24"/>
        </w:rPr>
        <w:t>ն որոշել արժեքների թույլատրելի նորմերը:</w:t>
      </w:r>
    </w:p>
    <w:p w14:paraId="1071EFAB"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(էմպիրիկ)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տե՛ս սույն փաստաթղթի թիվ 3 հավելվածը:</w:t>
      </w:r>
    </w:p>
    <w:p w14:paraId="7E0435C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Որոշել հնարավոր կրիտիկական պարամետրերը հսկողությունից հանելու հիմնավորման ընդունելիությունը:</w:t>
      </w:r>
    </w:p>
    <w:p w14:paraId="02911301" w14:textId="77777777" w:rsidR="008C76E0"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հիմնավորված է կենդանական կամ մարդկային ծագման նյութերի օգտագործումը:</w:t>
      </w:r>
    </w:p>
    <w:p w14:paraId="1292C7E3" w14:textId="77777777" w:rsidR="008C76E0" w:rsidRPr="003B2786" w:rsidRDefault="008C76E0" w:rsidP="00473371">
      <w:pPr>
        <w:spacing w:after="160" w:line="360" w:lineRule="auto"/>
        <w:ind w:right="-1" w:firstLine="567"/>
        <w:jc w:val="both"/>
        <w:rPr>
          <w:rFonts w:ascii="Sylfaen" w:hAnsi="Sylfaen"/>
          <w:sz w:val="24"/>
          <w:szCs w:val="24"/>
        </w:rPr>
      </w:pPr>
    </w:p>
    <w:p w14:paraId="240AFDA0"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Օժանդակ նյութեր</w:t>
      </w:r>
    </w:p>
    <w:p w14:paraId="54B0A96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դեղապատրաստուկի հատկությունների վրա ազդեցության առումով առկա են կար</w:t>
      </w:r>
      <w:r w:rsidR="00C54D75">
        <w:rPr>
          <w:rFonts w:ascii="Sylfaen" w:hAnsi="Sylfaen"/>
          <w:sz w:val="24"/>
          <w:szCs w:val="24"/>
        </w:rPr>
        <w:t>և</w:t>
      </w:r>
      <w:r w:rsidRPr="003B2786">
        <w:rPr>
          <w:rFonts w:ascii="Sylfaen" w:hAnsi="Sylfaen"/>
          <w:sz w:val="24"/>
          <w:szCs w:val="24"/>
        </w:rPr>
        <w:t>որ, նոր կամ ոչ ստանդարտ օժանդակ նյութեր:</w:t>
      </w:r>
    </w:p>
    <w:p w14:paraId="185FE329" w14:textId="2EA749DA"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Հարկ է նշել </w:t>
      </w:r>
      <w:r w:rsidR="0056496B">
        <w:rPr>
          <w:rFonts w:ascii="Sylfaen" w:hAnsi="Sylfaen"/>
          <w:sz w:val="24"/>
          <w:szCs w:val="24"/>
        </w:rPr>
        <w:t>դիմումատու</w:t>
      </w:r>
      <w:r w:rsidRPr="003B2786">
        <w:rPr>
          <w:rFonts w:ascii="Sylfaen" w:hAnsi="Sylfaen"/>
          <w:sz w:val="24"/>
          <w:szCs w:val="24"/>
        </w:rPr>
        <w:t xml:space="preserve">ի կողմից առանցքային օժանդակ նյութերի ընտրությունը </w:t>
      </w:r>
      <w:r w:rsidR="00C54D75">
        <w:rPr>
          <w:rFonts w:ascii="Sylfaen" w:hAnsi="Sylfaen"/>
          <w:sz w:val="24"/>
          <w:szCs w:val="24"/>
        </w:rPr>
        <w:t>և</w:t>
      </w:r>
      <w:r w:rsidRPr="003B2786">
        <w:rPr>
          <w:rFonts w:ascii="Sylfaen" w:hAnsi="Sylfaen"/>
          <w:sz w:val="24"/>
          <w:szCs w:val="24"/>
        </w:rPr>
        <w:t xml:space="preserve"> դրանց գործառույթները, օրինակ, որոնք ազդում են ձերբազատման, ձերբազատման տեղի կամ ԱԴԲ-ի դեղակինետիկայի վրա: Որոշ դեպքերում (օրինակ՝ ուլտրաձայնային հետազոտությունների անցկացման համար գազի դիսպերսիա), երբ դեղաձ</w:t>
      </w:r>
      <w:r w:rsidR="00C54D75">
        <w:rPr>
          <w:rFonts w:ascii="Sylfaen" w:hAnsi="Sylfaen"/>
          <w:sz w:val="24"/>
          <w:szCs w:val="24"/>
        </w:rPr>
        <w:t>և</w:t>
      </w:r>
      <w:r w:rsidRPr="003B2786">
        <w:rPr>
          <w:rFonts w:ascii="Sylfaen" w:hAnsi="Sylfaen"/>
          <w:sz w:val="24"/>
          <w:szCs w:val="24"/>
        </w:rPr>
        <w:t>ի ամբողջ համալիրով կամ համակարգով որոշվում է պատրաստուկի կլինիկական արդյունավետությունը, դրանք ենթակա են մանրակրկիտ ուսումնասիրության:</w:t>
      </w:r>
    </w:p>
    <w:p w14:paraId="319A505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հիմնավորված է օգտագործված օժանդակ նյութերի (կոնսերվանտներ, բուֆերային լուծույթներ </w:t>
      </w:r>
      <w:r w:rsidR="00C54D75">
        <w:rPr>
          <w:rFonts w:ascii="Sylfaen" w:hAnsi="Sylfaen"/>
          <w:sz w:val="24"/>
          <w:szCs w:val="24"/>
        </w:rPr>
        <w:t>և</w:t>
      </w:r>
      <w:r w:rsidRPr="003B2786">
        <w:rPr>
          <w:rFonts w:ascii="Sylfaen" w:hAnsi="Sylfaen"/>
          <w:sz w:val="24"/>
          <w:szCs w:val="24"/>
        </w:rPr>
        <w:t xml:space="preserve"> այլն) քանակը:</w:t>
      </w:r>
    </w:p>
    <w:p w14:paraId="08091F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ԱԴԲ-ի որակի այն ցուցանիշները, որոնք կարող են ազդել դեղապատրաստուկի որակի կրիտիկական ցուցանիշների վրա: Այդ ցուցանիշները կարող են որոշվել փորձառական կամ համակարգված գնահատման եղանակով՝ ռիսկերի գնահատման մեթոդների </w:t>
      </w:r>
      <w:r w:rsidR="00C54D75">
        <w:rPr>
          <w:rFonts w:ascii="Sylfaen" w:hAnsi="Sylfaen"/>
          <w:sz w:val="24"/>
          <w:szCs w:val="24"/>
        </w:rPr>
        <w:t>և</w:t>
      </w:r>
      <w:r w:rsidRPr="003B2786">
        <w:rPr>
          <w:rFonts w:ascii="Sylfaen" w:hAnsi="Sylfaen"/>
          <w:sz w:val="24"/>
          <w:szCs w:val="24"/>
        </w:rPr>
        <w:t xml:space="preserve"> վիճակագրության հիման վրա պլանավորված փորձարկումների կիրառման օգնությամբ: Համակարգված գնահատման դեպքում (սույն փաստաթղթի թիվ 3 հավելված):</w:t>
      </w:r>
    </w:p>
    <w:p w14:paraId="610A620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հարկ է հաշվի առնել այն տեղեկությունները, որոնք պարունակվում են սույն հաշվետվության 4-րդ բաժնում (Եվրասիական տնտեսական հանձնաժողովի կողմից հաստատվող՝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4 հավելված, մոդուլ 3.2.A.3՝ «Նոր օժանդակ </w:t>
      </w:r>
      <w:r w:rsidRPr="003B2786">
        <w:rPr>
          <w:rFonts w:ascii="Sylfaen" w:hAnsi="Sylfaen"/>
          <w:sz w:val="24"/>
          <w:szCs w:val="24"/>
        </w:rPr>
        <w:lastRenderedPageBreak/>
        <w:t xml:space="preserve">նյութեր»), որտեղ բերված է հենց այդ օժանդակ նյութի առավել մանրամասն գնահատականը: Հարկ է ուշադրություն դարձնել այն հանգամանքին, որ Միության շրջանակներում կամ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w:t>
      </w:r>
    </w:p>
    <w:p w14:paraId="66601317" w14:textId="77777777" w:rsidR="008C76E0" w:rsidRPr="003B2786" w:rsidRDefault="008C76E0" w:rsidP="00473371">
      <w:pPr>
        <w:spacing w:after="160" w:line="360" w:lineRule="auto"/>
        <w:ind w:right="-1" w:firstLine="567"/>
        <w:jc w:val="center"/>
        <w:rPr>
          <w:rFonts w:ascii="Sylfaen" w:hAnsi="Sylfaen"/>
          <w:sz w:val="24"/>
          <w:szCs w:val="24"/>
        </w:rPr>
      </w:pPr>
    </w:p>
    <w:p w14:paraId="0EC9440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Դեղապատրաստուկ</w:t>
      </w:r>
    </w:p>
    <w:p w14:paraId="5A4499BC" w14:textId="01EED570"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Դեղաձ</w:t>
      </w:r>
      <w:r w:rsidR="00C54D75">
        <w:rPr>
          <w:rFonts w:ascii="Sylfaen" w:hAnsi="Sylfaen"/>
          <w:sz w:val="24"/>
          <w:szCs w:val="24"/>
        </w:rPr>
        <w:t>և</w:t>
      </w:r>
      <w:r w:rsidRPr="003B2786">
        <w:rPr>
          <w:rFonts w:ascii="Sylfaen" w:hAnsi="Sylfaen"/>
          <w:sz w:val="24"/>
          <w:szCs w:val="24"/>
        </w:rPr>
        <w:t xml:space="preserve">ի մշակումը. գնահատել պատրաստուկի՝ </w:t>
      </w:r>
      <w:r w:rsidR="0056496B">
        <w:rPr>
          <w:rFonts w:ascii="Sylfaen" w:hAnsi="Sylfaen"/>
          <w:sz w:val="24"/>
          <w:szCs w:val="24"/>
        </w:rPr>
        <w:t>դիմումատու</w:t>
      </w:r>
      <w:r w:rsidRPr="003B2786">
        <w:rPr>
          <w:rFonts w:ascii="Sylfaen" w:hAnsi="Sylfaen"/>
          <w:sz w:val="24"/>
          <w:szCs w:val="24"/>
        </w:rPr>
        <w:t xml:space="preserve">ի կողմից ներկայացված նպատակային պրոֆիլը, այսինքն՝ որակական այն բնութագրերի ցանկը, որոնք պատրաստուկը պետք է ունենա </w:t>
      </w:r>
      <w:r w:rsidR="001A5F1A">
        <w:rPr>
          <w:rFonts w:ascii="Sylfaen" w:hAnsi="Sylfaen"/>
          <w:sz w:val="24"/>
          <w:szCs w:val="24"/>
        </w:rPr>
        <w:t>հայտագրված</w:t>
      </w:r>
      <w:r w:rsidRPr="003B2786">
        <w:rPr>
          <w:rFonts w:ascii="Sylfaen" w:hAnsi="Sylfaen"/>
          <w:sz w:val="24"/>
          <w:szCs w:val="24"/>
        </w:rPr>
        <w:t xml:space="preserve"> որակի ապահովման համար՝ հաշվի առնելով անվտանգությունն ու արդյունավետությունը: Նշել, թե արդյոք դեղաձ</w:t>
      </w:r>
      <w:r w:rsidR="00C54D75">
        <w:rPr>
          <w:rFonts w:ascii="Sylfaen" w:hAnsi="Sylfaen"/>
          <w:sz w:val="24"/>
          <w:szCs w:val="24"/>
        </w:rPr>
        <w:t>և</w:t>
      </w:r>
      <w:r w:rsidRPr="003B2786">
        <w:rPr>
          <w:rFonts w:ascii="Sylfaen" w:hAnsi="Sylfaen"/>
          <w:sz w:val="24"/>
          <w:szCs w:val="24"/>
        </w:rPr>
        <w:t xml:space="preserve">ի մշակումը հաստատվել է կլինիկական հետազոտություններով: Եթե գրանցման համար </w:t>
      </w:r>
      <w:r w:rsidR="001A5F1A">
        <w:rPr>
          <w:rFonts w:ascii="Sylfaen" w:hAnsi="Sylfaen"/>
          <w:sz w:val="24"/>
          <w:szCs w:val="24"/>
        </w:rPr>
        <w:t>հայտագրված</w:t>
      </w:r>
      <w:r w:rsidRPr="003B2786">
        <w:rPr>
          <w:rFonts w:ascii="Sylfaen" w:hAnsi="Sylfaen"/>
          <w:sz w:val="24"/>
          <w:szCs w:val="24"/>
        </w:rPr>
        <w:t xml:space="preserve"> դեղապատրաստուկի </w:t>
      </w:r>
      <w:r w:rsidR="00C54D75">
        <w:rPr>
          <w:rFonts w:ascii="Sylfaen" w:hAnsi="Sylfaen"/>
          <w:sz w:val="24"/>
          <w:szCs w:val="24"/>
        </w:rPr>
        <w:t>և</w:t>
      </w:r>
      <w:r w:rsidRPr="003B2786">
        <w:rPr>
          <w:rFonts w:ascii="Sylfaen" w:hAnsi="Sylfaen"/>
          <w:sz w:val="24"/>
          <w:szCs w:val="24"/>
        </w:rPr>
        <w:t xml:space="preserve"> կլինիկական հետազոտություններում օգտագործված պատրաստուկի բաղադրությունները տարբերվում են, անհրաժեշտ է գնահատել դրանց կենսահամարժեքությունը: Հարկ է մեկնաբանել դեղապատրաստուկի որակական բնութագրերում հնարավոր տարբերությունները (օրինակ՝ խառնուկների </w:t>
      </w:r>
      <w:r w:rsidR="00C54D75">
        <w:rPr>
          <w:rFonts w:ascii="Sylfaen" w:hAnsi="Sylfaen"/>
          <w:sz w:val="24"/>
          <w:szCs w:val="24"/>
        </w:rPr>
        <w:t>և</w:t>
      </w:r>
      <w:r w:rsidRPr="003B2786">
        <w:rPr>
          <w:rFonts w:ascii="Sylfaen" w:hAnsi="Sylfaen"/>
          <w:sz w:val="24"/>
          <w:szCs w:val="24"/>
        </w:rPr>
        <w:t xml:space="preserve"> լուծելիության պրոֆիլները)՝ դեղաչափերի մեջ տարբերությունների առկայության կամ դեղաձ</w:t>
      </w:r>
      <w:r w:rsidR="00C54D75">
        <w:rPr>
          <w:rFonts w:ascii="Sylfaen" w:hAnsi="Sylfaen"/>
          <w:sz w:val="24"/>
          <w:szCs w:val="24"/>
        </w:rPr>
        <w:t>և</w:t>
      </w:r>
      <w:r w:rsidRPr="003B2786">
        <w:rPr>
          <w:rFonts w:ascii="Sylfaen" w:hAnsi="Sylfaen"/>
          <w:sz w:val="24"/>
          <w:szCs w:val="24"/>
        </w:rPr>
        <w:t xml:space="preserve">երի դեղաչափման սանդղակի ընդլայնման դեպքում: Անհրաժեշտ է մեկնաբանել լուծելիության փորձարկումների մեթոդիկայի մշակումը, փոփոխությունների նկարագրումը, որակյալ </w:t>
      </w:r>
      <w:r w:rsidR="00C54D75">
        <w:rPr>
          <w:rFonts w:ascii="Sylfaen" w:hAnsi="Sylfaen"/>
          <w:sz w:val="24"/>
          <w:szCs w:val="24"/>
        </w:rPr>
        <w:t>և</w:t>
      </w:r>
      <w:r w:rsidRPr="003B2786">
        <w:rPr>
          <w:rFonts w:ascii="Sylfaen" w:hAnsi="Sylfaen"/>
          <w:sz w:val="24"/>
          <w:szCs w:val="24"/>
        </w:rPr>
        <w:t xml:space="preserve"> անորակ դեղապատրաստուկի միջ</w:t>
      </w:r>
      <w:r w:rsidR="00C54D75">
        <w:rPr>
          <w:rFonts w:ascii="Sylfaen" w:hAnsi="Sylfaen"/>
          <w:sz w:val="24"/>
          <w:szCs w:val="24"/>
        </w:rPr>
        <w:t>և</w:t>
      </w:r>
      <w:r w:rsidRPr="003B2786">
        <w:rPr>
          <w:rFonts w:ascii="Sylfaen" w:hAnsi="Sylfaen"/>
          <w:sz w:val="24"/>
          <w:szCs w:val="24"/>
        </w:rPr>
        <w:t xml:space="preserve"> տարբերություններ ի </w:t>
      </w:r>
      <w:r w:rsidR="009B6AA0">
        <w:rPr>
          <w:rFonts w:ascii="Sylfaen" w:hAnsi="Sylfaen"/>
          <w:sz w:val="24"/>
          <w:szCs w:val="24"/>
        </w:rPr>
        <w:t>հայտ</w:t>
      </w:r>
      <w:r w:rsidRPr="003B2786">
        <w:rPr>
          <w:rFonts w:ascii="Sylfaen" w:hAnsi="Sylfaen"/>
          <w:sz w:val="24"/>
          <w:szCs w:val="24"/>
        </w:rPr>
        <w:t xml:space="preserve"> բերելու` մեթոդիկայի հնարավորության հաստատումը (մեթոդիկայի տարբերակիչ հատկություններ): Կիրառելիության դեպքում հարկ է նշել</w:t>
      </w:r>
      <w:r w:rsidRPr="003B2786">
        <w:rPr>
          <w:rFonts w:ascii="Sylfaen" w:hAnsi="Sylfaen"/>
          <w:b/>
          <w:sz w:val="24"/>
          <w:szCs w:val="24"/>
        </w:rPr>
        <w:t xml:space="preserve"> </w:t>
      </w:r>
      <w:r w:rsidRPr="003B2786">
        <w:rPr>
          <w:rFonts w:ascii="Sylfaen" w:hAnsi="Sylfaen"/>
          <w:sz w:val="24"/>
          <w:szCs w:val="24"/>
        </w:rPr>
        <w:t>in vitro-in vivo</w:t>
      </w:r>
      <w:r w:rsidRPr="003B2786">
        <w:rPr>
          <w:rFonts w:ascii="Sylfaen" w:hAnsi="Sylfaen"/>
          <w:b/>
          <w:sz w:val="24"/>
          <w:szCs w:val="24"/>
        </w:rPr>
        <w:t xml:space="preserve"> </w:t>
      </w:r>
      <w:r w:rsidRPr="003B2786">
        <w:rPr>
          <w:rFonts w:ascii="Sylfaen" w:hAnsi="Sylfaen"/>
          <w:sz w:val="24"/>
          <w:szCs w:val="24"/>
        </w:rPr>
        <w:t xml:space="preserve">համահարաբերակցությունը որոշելու մասով հետազոտությունների արդյունքները: Համապատասխան դեպքերում հարկ է հատուկ ուշադրություն </w:t>
      </w:r>
      <w:r w:rsidRPr="003B2786">
        <w:rPr>
          <w:rFonts w:ascii="Sylfaen" w:hAnsi="Sylfaen"/>
          <w:sz w:val="24"/>
          <w:szCs w:val="24"/>
        </w:rPr>
        <w:lastRenderedPageBreak/>
        <w:t xml:space="preserve">դարձնել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համար դեղապատրաստուկի ավելի վաղ մշակված բաղադրություններին </w:t>
      </w:r>
      <w:r w:rsidR="00C54D75">
        <w:rPr>
          <w:rFonts w:ascii="Sylfaen" w:hAnsi="Sylfaen"/>
          <w:sz w:val="24"/>
          <w:szCs w:val="24"/>
        </w:rPr>
        <w:t>և</w:t>
      </w:r>
      <w:r w:rsidRPr="003B2786">
        <w:rPr>
          <w:rFonts w:ascii="Sylfaen" w:hAnsi="Sylfaen"/>
          <w:sz w:val="24"/>
          <w:szCs w:val="24"/>
        </w:rPr>
        <w:t xml:space="preserve"> մեկնաբանել տվյալ հետազոտություններից ստացված արդյունքները: 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մշակում անց է կացվել:</w:t>
      </w:r>
    </w:p>
    <w:p w14:paraId="14CABA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Արտադրական ավելցուկները: Անհրաժեշտ է գնահատել ավելցուկների հիմնավորվածությունը:</w:t>
      </w:r>
    </w:p>
    <w:p w14:paraId="4062C93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Ֆիզիկաքիմիական </w:t>
      </w:r>
      <w:r w:rsidR="00C54D75">
        <w:rPr>
          <w:rFonts w:ascii="Sylfaen" w:hAnsi="Sylfaen"/>
          <w:sz w:val="24"/>
          <w:szCs w:val="24"/>
        </w:rPr>
        <w:t>և</w:t>
      </w:r>
      <w:r w:rsidRPr="003B2786">
        <w:rPr>
          <w:rFonts w:ascii="Sylfaen" w:hAnsi="Sylfaen"/>
          <w:sz w:val="24"/>
          <w:szCs w:val="24"/>
        </w:rPr>
        <w:t xml:space="preserve"> կենսաբանական հատկությունները: Անհրաժեշտ է գնահատել որակի կրիտիկական ցուցանիշների սահմանման </w:t>
      </w:r>
      <w:r w:rsidR="00C54D75">
        <w:rPr>
          <w:rFonts w:ascii="Sylfaen" w:hAnsi="Sylfaen"/>
          <w:sz w:val="24"/>
          <w:szCs w:val="24"/>
        </w:rPr>
        <w:t>և</w:t>
      </w:r>
      <w:r w:rsidRPr="003B2786">
        <w:rPr>
          <w:rFonts w:ascii="Sylfaen" w:hAnsi="Sylfaen"/>
          <w:sz w:val="24"/>
          <w:szCs w:val="24"/>
        </w:rPr>
        <w:t xml:space="preserve"> հսկողության ճշգրտությունը:</w:t>
      </w:r>
    </w:p>
    <w:p w14:paraId="28CD828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հաշվի առնել, որ գրանցման դոսյեի 3-րդ մոդուլում բերված է պատրաստուկի հատկության վրա ազդող պարամետրերի համապատասխան ցանկը (եթե կիրառելի է): Օրինակ՝ դեղահաբերի համար կարող է պահանջվել մասնիկների չափսերի (դիսպերսության) </w:t>
      </w:r>
      <w:r w:rsidR="00C54D75">
        <w:rPr>
          <w:rFonts w:ascii="Sylfaen" w:hAnsi="Sylfaen"/>
          <w:sz w:val="24"/>
          <w:szCs w:val="24"/>
        </w:rPr>
        <w:t>և</w:t>
      </w:r>
      <w:r w:rsidRPr="003B2786">
        <w:rPr>
          <w:rFonts w:ascii="Sylfaen" w:hAnsi="Sylfaen"/>
          <w:sz w:val="24"/>
          <w:szCs w:val="24"/>
        </w:rPr>
        <w:t xml:space="preserve"> ջրում ցածր լուծելիությամբ ԱԴԲ-ի բազմաձ</w:t>
      </w:r>
      <w:r w:rsidR="00C54D75">
        <w:rPr>
          <w:rFonts w:ascii="Sylfaen" w:hAnsi="Sylfaen"/>
          <w:sz w:val="24"/>
          <w:szCs w:val="24"/>
        </w:rPr>
        <w:t>և</w:t>
      </w:r>
      <w:r w:rsidRPr="003B2786">
        <w:rPr>
          <w:rFonts w:ascii="Sylfaen" w:hAnsi="Sylfaen"/>
          <w:sz w:val="24"/>
          <w:szCs w:val="24"/>
        </w:rPr>
        <w:t xml:space="preserve">ության գնահատականը՝ լուծելիության </w:t>
      </w:r>
      <w:r w:rsidR="00C54D75">
        <w:rPr>
          <w:rFonts w:ascii="Sylfaen" w:hAnsi="Sylfaen"/>
          <w:sz w:val="24"/>
          <w:szCs w:val="24"/>
        </w:rPr>
        <w:t>և</w:t>
      </w:r>
      <w:r w:rsidRPr="003B2786">
        <w:rPr>
          <w:rFonts w:ascii="Sylfaen" w:hAnsi="Sylfaen"/>
          <w:sz w:val="24"/>
          <w:szCs w:val="24"/>
        </w:rPr>
        <w:t xml:space="preserve"> կենսամատչելիության վրա դրանց ազդեցության տեսանկյունից: Տվյալ օրինակում լուծելիության պրոֆիլը՝ կախված pH-ից, նույնպես կարող է լուծելիության փորձարկման մեթոդաբանության ընտրության վրա ազդող նշանակալի բազային տեղեկատվություն լինել:</w:t>
      </w:r>
    </w:p>
    <w:p w14:paraId="6F15E03E" w14:textId="77777777" w:rsidR="008C76E0" w:rsidRPr="003B2786" w:rsidRDefault="008C76E0" w:rsidP="00473371">
      <w:pPr>
        <w:spacing w:after="160" w:line="360" w:lineRule="auto"/>
        <w:ind w:firstLine="567"/>
        <w:jc w:val="both"/>
        <w:rPr>
          <w:rFonts w:ascii="Sylfaen" w:hAnsi="Sylfaen"/>
          <w:sz w:val="24"/>
          <w:szCs w:val="24"/>
        </w:rPr>
      </w:pPr>
    </w:p>
    <w:p w14:paraId="35488AE2"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Արտադրական պրոցեսի մշակումը:</w:t>
      </w:r>
    </w:p>
    <w:p w14:paraId="3B04CA5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պատրաստուկի արտադրության պրոցեսում ֆիզիկաքիմիական հատկությունները փոփոխվում են (օրինակ՝ բազմաձ</w:t>
      </w:r>
      <w:r w:rsidR="00C54D75">
        <w:rPr>
          <w:rFonts w:ascii="Sylfaen" w:hAnsi="Sylfaen"/>
          <w:sz w:val="24"/>
          <w:szCs w:val="24"/>
        </w:rPr>
        <w:t>և</w:t>
      </w:r>
      <w:r w:rsidRPr="003B2786">
        <w:rPr>
          <w:rFonts w:ascii="Sylfaen" w:hAnsi="Sylfaen"/>
          <w:sz w:val="24"/>
          <w:szCs w:val="24"/>
        </w:rPr>
        <w:t>ությունը), հարկ է համոզվել ԱԴԲ-ի հետ անցկացված հետազոտությունների արդյունքների վալիդության մեջ:</w:t>
      </w:r>
    </w:p>
    <w:p w14:paraId="41D3DF1F"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արտացոլել արտադրության պրոցեսի ընտրության հիմնավորվածությունը: Անհրաժեշտ է արտացոլել, թե արդյոք սահմանված են </w:t>
      </w:r>
      <w:r w:rsidRPr="003B2786">
        <w:rPr>
          <w:rFonts w:ascii="Sylfaen" w:hAnsi="Sylfaen"/>
          <w:sz w:val="24"/>
          <w:szCs w:val="24"/>
        </w:rPr>
        <w:lastRenderedPageBreak/>
        <w:t xml:space="preserve">պրոցեսի այն կրիտիկական պարամետրերը, որոնք նշանակալի են դրա հետագա վալիդացման համար: Անհրաժեշտ է արտացոլել, թե արդյոք սահմանված են կլինիկական հետազոտություններում գրանցվող </w:t>
      </w:r>
      <w:r w:rsidR="00C54D75">
        <w:rPr>
          <w:rFonts w:ascii="Sylfaen" w:hAnsi="Sylfaen"/>
          <w:sz w:val="24"/>
          <w:szCs w:val="24"/>
        </w:rPr>
        <w:t>և</w:t>
      </w:r>
      <w:r w:rsidRPr="003B2786">
        <w:rPr>
          <w:rFonts w:ascii="Sylfaen" w:hAnsi="Sylfaen"/>
          <w:sz w:val="24"/>
          <w:szCs w:val="24"/>
        </w:rPr>
        <w:t xml:space="preserve"> օգտագործվող դեղապատրաստուկի արտադրության պրոցեսների մեջ այն տարբերությունները, որոնք նշանակալի են դրա հետագա վալիդացման համար: Անհրաժեշտ է գնահատել, թե արդյոք արտադրության պրոցեսը փոխհատուցում է նյութերի որակի ցուցանիշների փոփոխականությունը:</w:t>
      </w:r>
    </w:p>
    <w:p w14:paraId="78238ED6"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Հարկ է փորձառական կամ համակարգված գնահատականի հիման վրա իրականացնել պրոցեսի կրիտիկական պարամետրերի նույնականացում՝ օգտագործելով ռիսկի գնահատման մեթոդաբանությունը </w:t>
      </w:r>
      <w:r w:rsidR="00C54D75">
        <w:rPr>
          <w:rFonts w:ascii="Sylfaen" w:hAnsi="Sylfaen"/>
          <w:sz w:val="24"/>
          <w:szCs w:val="24"/>
        </w:rPr>
        <w:t>և</w:t>
      </w:r>
      <w:r w:rsidRPr="003B2786">
        <w:rPr>
          <w:rFonts w:ascii="Sylfaen" w:hAnsi="Sylfaen"/>
          <w:sz w:val="24"/>
          <w:szCs w:val="24"/>
        </w:rPr>
        <w:t xml:space="preserve"> վիճակագրական մոդելավորումը: Վերջին դեպքում հարկ է առաջնորդվել մաթեմատիկական վիճակագրության համապատասխան ուղեցույցներով:</w:t>
      </w:r>
    </w:p>
    <w:p w14:paraId="072B9B23"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Փաթեթավորման </w:t>
      </w:r>
      <w:r w:rsidR="00C54D75">
        <w:rPr>
          <w:rFonts w:ascii="Sylfaen" w:hAnsi="Sylfaen"/>
          <w:sz w:val="24"/>
          <w:szCs w:val="24"/>
        </w:rPr>
        <w:t>և</w:t>
      </w:r>
      <w:r w:rsidRPr="003B2786">
        <w:rPr>
          <w:rFonts w:ascii="Sylfaen" w:hAnsi="Sylfaen"/>
          <w:sz w:val="24"/>
          <w:szCs w:val="24"/>
        </w:rPr>
        <w:t xml:space="preserve"> խցանափակման համակարգը:</w:t>
      </w:r>
    </w:p>
    <w:p w14:paraId="2EEB36B4"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փաթեթավորման </w:t>
      </w:r>
      <w:r w:rsidR="00C54D75">
        <w:rPr>
          <w:rFonts w:ascii="Sylfaen" w:hAnsi="Sylfaen"/>
          <w:sz w:val="24"/>
          <w:szCs w:val="24"/>
        </w:rPr>
        <w:t>և</w:t>
      </w:r>
      <w:r w:rsidRPr="003B2786">
        <w:rPr>
          <w:rFonts w:ascii="Sylfaen" w:hAnsi="Sylfaen"/>
          <w:sz w:val="24"/>
          <w:szCs w:val="24"/>
        </w:rPr>
        <w:t xml:space="preserve"> խցանափակման համար նյութերի ընտրությունն ապահովում է պատրաստուկի կայունությունը </w:t>
      </w:r>
      <w:r w:rsidR="00C54D75">
        <w:rPr>
          <w:rFonts w:ascii="Sylfaen" w:hAnsi="Sylfaen"/>
          <w:sz w:val="24"/>
          <w:szCs w:val="24"/>
        </w:rPr>
        <w:t>և</w:t>
      </w:r>
      <w:r w:rsidRPr="003B2786">
        <w:rPr>
          <w:rFonts w:ascii="Sylfaen" w:hAnsi="Sylfaen"/>
          <w:sz w:val="24"/>
          <w:szCs w:val="24"/>
        </w:rPr>
        <w:t xml:space="preserve"> պացիենտների թիրախային պոպուլյացիայի շրջանակում կիրառումը (օրինակ՝ տարեց անձանց մոտ, երեխաներից պաշտպանության գործառույթի առկայությունը):</w:t>
      </w:r>
    </w:p>
    <w:p w14:paraId="109E5895" w14:textId="77777777" w:rsidR="008C76E0" w:rsidRPr="003B2786" w:rsidRDefault="008C76E0" w:rsidP="002A6A4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փաթեթվածքի </w:t>
      </w:r>
      <w:r w:rsidR="00C54D75">
        <w:rPr>
          <w:rFonts w:ascii="Sylfaen" w:hAnsi="Sylfaen"/>
          <w:sz w:val="24"/>
          <w:szCs w:val="24"/>
        </w:rPr>
        <w:t>և</w:t>
      </w:r>
      <w:r w:rsidRPr="003B2786">
        <w:rPr>
          <w:rFonts w:ascii="Sylfaen" w:hAnsi="Sylfaen"/>
          <w:sz w:val="24"/>
          <w:szCs w:val="24"/>
        </w:rPr>
        <w:t xml:space="preserve"> խցանափակման տեխնիկական այն հատկությունները, որոնց հաշվին ապահովվում է պացիենտների կողմից, օրինակ՝ քթի ցողաշիթերի (սփրեյների), ներշնչակների, նախապես լցված ներարկիչների օգտագործման հարմարությունը: </w:t>
      </w:r>
    </w:p>
    <w:p w14:paraId="25B900A8" w14:textId="77777777" w:rsidR="008C76E0" w:rsidRPr="003B2786" w:rsidRDefault="008C76E0" w:rsidP="002A6A4C">
      <w:pPr>
        <w:spacing w:after="160" w:line="336" w:lineRule="auto"/>
        <w:ind w:right="-1" w:firstLine="567"/>
        <w:jc w:val="both"/>
        <w:rPr>
          <w:rFonts w:ascii="Sylfaen" w:hAnsi="Sylfaen"/>
          <w:sz w:val="24"/>
          <w:szCs w:val="24"/>
        </w:rPr>
      </w:pPr>
      <w:r w:rsidRPr="003B2786">
        <w:rPr>
          <w:rFonts w:ascii="Sylfaen" w:hAnsi="Sylfaen"/>
          <w:sz w:val="24"/>
          <w:szCs w:val="24"/>
        </w:rPr>
        <w:t xml:space="preserve">Միկրոկենսաբանական </w:t>
      </w:r>
      <w:r w:rsidR="00C54D75">
        <w:rPr>
          <w:rFonts w:ascii="Sylfaen" w:hAnsi="Sylfaen"/>
          <w:sz w:val="24"/>
          <w:szCs w:val="24"/>
        </w:rPr>
        <w:t>և</w:t>
      </w:r>
      <w:r w:rsidRPr="003B2786">
        <w:rPr>
          <w:rFonts w:ascii="Sylfaen" w:hAnsi="Sylfaen"/>
          <w:sz w:val="24"/>
          <w:szCs w:val="24"/>
        </w:rPr>
        <w:t xml:space="preserve"> այլ բնութագրեր. անհրաժեշտ է արտացոլել, թե արդյոք հիմնավորված է հատուկ օժանդակ նյութերի, օրինակ՝ կոնսերվանտների </w:t>
      </w:r>
      <w:r w:rsidR="00C54D75">
        <w:rPr>
          <w:rFonts w:ascii="Sylfaen" w:hAnsi="Sylfaen"/>
          <w:sz w:val="24"/>
          <w:szCs w:val="24"/>
        </w:rPr>
        <w:t>և</w:t>
      </w:r>
      <w:r w:rsidRPr="003B2786">
        <w:rPr>
          <w:rFonts w:ascii="Sylfaen" w:hAnsi="Sylfaen"/>
          <w:sz w:val="24"/>
          <w:szCs w:val="24"/>
        </w:rPr>
        <w:t xml:space="preserve"> հակաօքսիդիչների օգտագործումը՝ հաշվի առնելով դրանց կոնցենտրացիաներն (պարունակությունը) ու հատկությունները:</w:t>
      </w:r>
    </w:p>
    <w:p w14:paraId="455AED2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Համատեղելիությունը:</w:t>
      </w:r>
    </w:p>
    <w:p w14:paraId="4C49770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Անհրաժեշտ է գնահատել բժշկական կիրառման հրահանգում </w:t>
      </w:r>
      <w:r w:rsidR="00C54D75">
        <w:rPr>
          <w:rFonts w:ascii="Sylfaen" w:hAnsi="Sylfaen"/>
          <w:sz w:val="24"/>
          <w:szCs w:val="24"/>
        </w:rPr>
        <w:t>և</w:t>
      </w:r>
      <w:r w:rsidRPr="003B2786">
        <w:rPr>
          <w:rFonts w:ascii="Sylfaen" w:hAnsi="Sylfaen"/>
          <w:sz w:val="24"/>
          <w:szCs w:val="24"/>
        </w:rPr>
        <w:t xml:space="preserve"> ԴԸԲ-ում դեղագործական համատեղելիության </w:t>
      </w:r>
      <w:r w:rsidR="00C54D75">
        <w:rPr>
          <w:rFonts w:ascii="Sylfaen" w:hAnsi="Sylfaen"/>
          <w:sz w:val="24"/>
          <w:szCs w:val="24"/>
        </w:rPr>
        <w:t>և</w:t>
      </w:r>
      <w:r w:rsidRPr="003B2786">
        <w:rPr>
          <w:rFonts w:ascii="Sylfaen" w:hAnsi="Sylfaen"/>
          <w:sz w:val="24"/>
          <w:szCs w:val="24"/>
        </w:rPr>
        <w:t xml:space="preserve"> անհամատեղելիության մասով շարադրված տվյալների համապատասխանությունը անցկացված փաստացի հետազոտություններին:</w:t>
      </w:r>
    </w:p>
    <w:p w14:paraId="3968B478"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4.3.</w:t>
      </w:r>
      <w:r>
        <w:rPr>
          <w:rFonts w:ascii="Sylfaen" w:hAnsi="Sylfaen"/>
          <w:sz w:val="24"/>
          <w:szCs w:val="24"/>
        </w:rPr>
        <w:tab/>
      </w:r>
      <w:r w:rsidRPr="003B2786">
        <w:rPr>
          <w:rFonts w:ascii="Sylfaen" w:hAnsi="Sylfaen"/>
          <w:sz w:val="24"/>
          <w:szCs w:val="24"/>
        </w:rPr>
        <w:t>Դեղապատրաստուկի արտադրության պրոցեսը (մոդուլ 3.2.P.3)</w:t>
      </w:r>
    </w:p>
    <w:p w14:paraId="00E0206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31481431"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Р.3.1.</w:t>
      </w:r>
      <w:r w:rsidRPr="003B2786">
        <w:rPr>
          <w:rFonts w:ascii="Sylfaen" w:hAnsi="Sylfaen"/>
          <w:sz w:val="24"/>
          <w:szCs w:val="24"/>
        </w:rPr>
        <w:tab/>
        <w:t>Արտադրողը (արտադրողները)։</w:t>
      </w:r>
    </w:p>
    <w:p w14:paraId="353B70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Р.3.2.</w:t>
      </w:r>
      <w:r w:rsidRPr="003B2786">
        <w:rPr>
          <w:rFonts w:ascii="Sylfaen" w:hAnsi="Sylfaen"/>
          <w:sz w:val="24"/>
          <w:szCs w:val="24"/>
        </w:rPr>
        <w:tab/>
        <w:t>Սերիայի բանաձ</w:t>
      </w:r>
      <w:r w:rsidR="00C54D75">
        <w:rPr>
          <w:rFonts w:ascii="Sylfaen" w:hAnsi="Sylfaen"/>
          <w:sz w:val="24"/>
          <w:szCs w:val="24"/>
        </w:rPr>
        <w:t>և</w:t>
      </w:r>
      <w:r w:rsidRPr="003B2786">
        <w:rPr>
          <w:rFonts w:ascii="Sylfaen" w:hAnsi="Sylfaen"/>
          <w:sz w:val="24"/>
          <w:szCs w:val="24"/>
        </w:rPr>
        <w:t>ը (արտադրական բաղադրագիրը):</w:t>
      </w:r>
    </w:p>
    <w:p w14:paraId="44597A8C"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Р.3.3.</w:t>
      </w:r>
      <w:r w:rsidRPr="003B2786">
        <w:rPr>
          <w:rFonts w:ascii="Sylfaen" w:hAnsi="Sylfaen"/>
          <w:sz w:val="24"/>
          <w:szCs w:val="24"/>
        </w:rPr>
        <w:tab/>
        <w:t>Արտադրական պրոցեսի նկարագրությունն ու հսկողությունը:</w:t>
      </w:r>
    </w:p>
    <w:p w14:paraId="37BF1A39"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Р.3.4.</w:t>
      </w:r>
      <w:r w:rsidRPr="003B2786">
        <w:rPr>
          <w:rFonts w:ascii="Sylfaen" w:hAnsi="Sylfaen"/>
          <w:sz w:val="24"/>
          <w:szCs w:val="24"/>
        </w:rPr>
        <w:tab/>
        <w:t xml:space="preserve">Կրիտիկական փուլերի </w:t>
      </w:r>
      <w:r w:rsidR="00C54D75">
        <w:rPr>
          <w:rFonts w:ascii="Sylfaen" w:hAnsi="Sylfaen"/>
          <w:sz w:val="24"/>
          <w:szCs w:val="24"/>
        </w:rPr>
        <w:t>և</w:t>
      </w:r>
      <w:r w:rsidRPr="003B2786">
        <w:rPr>
          <w:rFonts w:ascii="Sylfaen" w:hAnsi="Sylfaen"/>
          <w:sz w:val="24"/>
          <w:szCs w:val="24"/>
        </w:rPr>
        <w:t xml:space="preserve"> միջանկյալ արտադրանքի հսկողությունը:</w:t>
      </w:r>
    </w:p>
    <w:p w14:paraId="395DD845"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Р.3.5.</w:t>
      </w:r>
      <w:r w:rsidRPr="003B2786">
        <w:rPr>
          <w:rFonts w:ascii="Sylfaen" w:hAnsi="Sylfaen"/>
          <w:sz w:val="24"/>
          <w:szCs w:val="24"/>
        </w:rPr>
        <w:tab/>
        <w:t xml:space="preserve">Արտադրական պրոցեսի վալիդացումը </w:t>
      </w:r>
      <w:r w:rsidR="00C54D75">
        <w:rPr>
          <w:rFonts w:ascii="Sylfaen" w:hAnsi="Sylfaen"/>
          <w:sz w:val="24"/>
          <w:szCs w:val="24"/>
        </w:rPr>
        <w:t>և</w:t>
      </w:r>
      <w:r w:rsidRPr="003B2786">
        <w:rPr>
          <w:rFonts w:ascii="Sylfaen" w:hAnsi="Sylfaen"/>
          <w:sz w:val="24"/>
          <w:szCs w:val="24"/>
        </w:rPr>
        <w:t xml:space="preserve"> (կամ) գնահատումը:</w:t>
      </w:r>
    </w:p>
    <w:p w14:paraId="603EA78E"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նշել յուրաքանչյուր արտադրողի, այդ թվում՝ արտադրությանը </w:t>
      </w:r>
      <w:r w:rsidR="00C54D75">
        <w:rPr>
          <w:rFonts w:ascii="Sylfaen" w:hAnsi="Sylfaen"/>
          <w:sz w:val="24"/>
          <w:szCs w:val="24"/>
        </w:rPr>
        <w:t>և</w:t>
      </w:r>
      <w:r w:rsidRPr="003B2786">
        <w:rPr>
          <w:rFonts w:ascii="Sylfaen" w:hAnsi="Sylfaen"/>
          <w:sz w:val="24"/>
          <w:szCs w:val="24"/>
        </w:rPr>
        <w:t xml:space="preserve"> փորձարկումների անցկացմանը մասնակցող՝ առաջարկվող յուրաքանչյուր արտադրական հարթակի կամ օբյեկտի կապալառուների (պայմանագրային արտադրությունների) անվանումը, հասցեն ու պարտավորությունները:</w:t>
      </w:r>
    </w:p>
    <w:p w14:paraId="5EAEE048"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Արտադրության պրոցեսի </w:t>
      </w:r>
      <w:r w:rsidR="00C54D75">
        <w:rPr>
          <w:rFonts w:ascii="Sylfaen" w:hAnsi="Sylfaen"/>
          <w:sz w:val="24"/>
          <w:szCs w:val="24"/>
        </w:rPr>
        <w:t>և</w:t>
      </w:r>
      <w:r w:rsidRPr="003B2786">
        <w:rPr>
          <w:rFonts w:ascii="Sylfaen" w:hAnsi="Sylfaen"/>
          <w:sz w:val="24"/>
          <w:szCs w:val="24"/>
        </w:rPr>
        <w:t xml:space="preserve"> դրա հսկողության նկարագրությունը՝ բլոկ-սխեման (նախընտրելի է այն ներառել հաշվետվության հիմնական մասում, հավելվածի տեսքով առդնելու փոխարեն)՝ նշելով կրիտիկական փուլերը:</w:t>
      </w:r>
    </w:p>
    <w:p w14:paraId="75DF00FF" w14:textId="4DF93215"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նյութերի որակի կրիտիկական ցուցանիշների </w:t>
      </w:r>
      <w:r w:rsidR="00C54D75">
        <w:rPr>
          <w:rFonts w:ascii="Sylfaen" w:hAnsi="Sylfaen"/>
          <w:sz w:val="24"/>
          <w:szCs w:val="24"/>
        </w:rPr>
        <w:t>և</w:t>
      </w:r>
      <w:r w:rsidRPr="003B2786">
        <w:rPr>
          <w:rFonts w:ascii="Sylfaen" w:hAnsi="Sylfaen"/>
          <w:sz w:val="24"/>
          <w:szCs w:val="24"/>
        </w:rPr>
        <w:t xml:space="preserve"> պրոցեսի կրիտիկական պարամետրերի մոնիթորինգ իրական ժամանակի ռեժիմում: Անհրաժեշտ է գնահատել, արդյոք հսկողության միջոցները նվազեցնում են դեղաձ</w:t>
      </w:r>
      <w:r w:rsidR="00C54D75">
        <w:rPr>
          <w:rFonts w:ascii="Sylfaen" w:hAnsi="Sylfaen"/>
          <w:sz w:val="24"/>
          <w:szCs w:val="24"/>
        </w:rPr>
        <w:t>և</w:t>
      </w:r>
      <w:r w:rsidRPr="003B2786">
        <w:rPr>
          <w:rFonts w:ascii="Sylfaen" w:hAnsi="Sylfaen"/>
          <w:sz w:val="24"/>
          <w:szCs w:val="24"/>
        </w:rPr>
        <w:t xml:space="preserve">ի մշակման </w:t>
      </w:r>
      <w:r w:rsidR="00C54D75">
        <w:rPr>
          <w:rFonts w:ascii="Sylfaen" w:hAnsi="Sylfaen"/>
          <w:sz w:val="24"/>
          <w:szCs w:val="24"/>
        </w:rPr>
        <w:t>և</w:t>
      </w:r>
      <w:r w:rsidRPr="003B2786">
        <w:rPr>
          <w:rFonts w:ascii="Sylfaen" w:hAnsi="Sylfaen"/>
          <w:sz w:val="24"/>
          <w:szCs w:val="24"/>
        </w:rPr>
        <w:t xml:space="preserve"> արտադրության պրոցեսի ընթացքում ի </w:t>
      </w:r>
      <w:r w:rsidR="009B6AA0">
        <w:rPr>
          <w:rFonts w:ascii="Sylfaen" w:hAnsi="Sylfaen"/>
          <w:sz w:val="24"/>
          <w:szCs w:val="24"/>
        </w:rPr>
        <w:t>հայտ</w:t>
      </w:r>
      <w:r w:rsidRPr="003B2786">
        <w:rPr>
          <w:rFonts w:ascii="Sylfaen" w:hAnsi="Sylfaen"/>
          <w:sz w:val="24"/>
          <w:szCs w:val="24"/>
        </w:rPr>
        <w:t xml:space="preserve"> բերած ռիսկերը:</w:t>
      </w:r>
    </w:p>
    <w:p w14:paraId="0736247C" w14:textId="3827401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նախատեսված են հետադարձ կապի միջոցներ, որոնք թույլ են տալիս ճշգրտել արտադրության պրոցեսի պայմանները՝ </w:t>
      </w:r>
      <w:r w:rsidR="00003ABD">
        <w:rPr>
          <w:rFonts w:ascii="Sylfaen" w:hAnsi="Sylfaen"/>
          <w:sz w:val="24"/>
          <w:szCs w:val="24"/>
        </w:rPr>
        <w:lastRenderedPageBreak/>
        <w:t>հայտնաբերված</w:t>
      </w:r>
      <w:r w:rsidRPr="003B2786">
        <w:rPr>
          <w:rFonts w:ascii="Sylfaen" w:hAnsi="Sylfaen"/>
          <w:sz w:val="24"/>
          <w:szCs w:val="24"/>
        </w:rPr>
        <w:t xml:space="preserve"> փոփոխականության փոխհատուցման նպատակով:</w:t>
      </w:r>
    </w:p>
    <w:p w14:paraId="4322679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առաջարկվում է նախագծային դաշտ (դիզայնի ոլորտ): Անհրաժեշտ է նշել, թե արդյոք սահմանված է որակի կրիտիկական ցուցանիշների՝ մուտքային տեխնոլոգիական պարամետրերից (նյութերի որակի </w:t>
      </w:r>
      <w:r w:rsidR="00C54D75">
        <w:rPr>
          <w:rFonts w:ascii="Sylfaen" w:hAnsi="Sylfaen"/>
          <w:sz w:val="24"/>
          <w:szCs w:val="24"/>
        </w:rPr>
        <w:t>և</w:t>
      </w:r>
      <w:r w:rsidRPr="003B2786">
        <w:rPr>
          <w:rFonts w:ascii="Sylfaen" w:hAnsi="Sylfaen"/>
          <w:sz w:val="24"/>
          <w:szCs w:val="24"/>
        </w:rPr>
        <w:t xml:space="preserve"> արտադրության պրոցեսի պարամետրերի ցուցանիշներից) կախվածությունը բազմաչափ մոդելի շրջանակում: Եթե առաջարկվել է նախագծային դաշտ, հարկ է անդրադառնալ սույն փաստաթղթի թիվ 3 հավելվածին:</w:t>
      </w:r>
    </w:p>
    <w:p w14:paraId="19EDBF3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pacing w:val="-6"/>
          <w:sz w:val="24"/>
          <w:szCs w:val="24"/>
        </w:rPr>
        <w:t>Եթե դեղապատրաստուկը բաղկացած է օժանդակ նյութերից զերծ</w:t>
      </w:r>
      <w:r w:rsidRPr="003B2786">
        <w:rPr>
          <w:rFonts w:ascii="Sylfaen" w:hAnsi="Sylfaen"/>
          <w:sz w:val="24"/>
          <w:szCs w:val="24"/>
        </w:rPr>
        <w:t xml:space="preserve"> ԱԴԲ-ներից, այն արտադրողների </w:t>
      </w:r>
      <w:r w:rsidR="00C54D75">
        <w:rPr>
          <w:rFonts w:ascii="Sylfaen" w:hAnsi="Sylfaen"/>
          <w:sz w:val="24"/>
          <w:szCs w:val="24"/>
        </w:rPr>
        <w:t>և</w:t>
      </w:r>
      <w:r w:rsidRPr="003B2786">
        <w:rPr>
          <w:rFonts w:ascii="Sylfaen" w:hAnsi="Sylfaen"/>
          <w:sz w:val="24"/>
          <w:szCs w:val="24"/>
        </w:rPr>
        <w:t xml:space="preserve"> նրանց լիցենզավորման մասին տեղեկությունները </w:t>
      </w:r>
      <w:r w:rsidR="00C54D75">
        <w:rPr>
          <w:rFonts w:ascii="Sylfaen" w:hAnsi="Sylfaen"/>
          <w:sz w:val="24"/>
          <w:szCs w:val="24"/>
        </w:rPr>
        <w:t>և</w:t>
      </w:r>
      <w:r w:rsidRPr="003B2786">
        <w:rPr>
          <w:rFonts w:ascii="Sylfaen" w:hAnsi="Sylfaen"/>
          <w:sz w:val="24"/>
          <w:szCs w:val="24"/>
        </w:rPr>
        <w:t>ս հարկ է նշել տվյալ բաժնում:</w:t>
      </w:r>
    </w:p>
    <w:p w14:paraId="50CD57E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Եթե առաջարկվել են մի քանի տարբեր չափերի արդյունաբերական սերիաներ կամ սերիաների խառնում կամ ենթասերիաների օգտագործում, անհրաժեշտ է գնահատել դրանց ընդունելիությունը: Անհրաժեշտ է գնահատել այն սերիաների չափերը, որոնց վերաբերյալ ներկայացվել են տվյալներ:</w:t>
      </w:r>
    </w:p>
    <w:p w14:paraId="70B21839"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որոշել այն մասնագիտացված պրոցեսների առկայությունը, որոնց համար կարող է պահանջվել տեսչական ստուգում (տե՛ս սույն հաշվետվության նախաբանը):</w:t>
      </w:r>
    </w:p>
    <w:p w14:paraId="7B5844B4"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համոզվել, որ մեկ տեխնոլոգիական փուլից մյուսին անցնելու ժամանակը, պահպանման </w:t>
      </w:r>
      <w:r w:rsidR="00C54D75">
        <w:rPr>
          <w:rFonts w:ascii="Sylfaen" w:hAnsi="Sylfaen"/>
          <w:sz w:val="24"/>
          <w:szCs w:val="24"/>
        </w:rPr>
        <w:t>և</w:t>
      </w:r>
      <w:r w:rsidRPr="003B2786">
        <w:rPr>
          <w:rFonts w:ascii="Sylfaen" w:hAnsi="Sylfaen"/>
          <w:sz w:val="24"/>
          <w:szCs w:val="24"/>
        </w:rPr>
        <w:t xml:space="preserve"> (կամ) փոխադրման պայմանները հիմնավորված </w:t>
      </w:r>
      <w:r w:rsidR="00C54D75">
        <w:rPr>
          <w:rFonts w:ascii="Sylfaen" w:hAnsi="Sylfaen"/>
          <w:sz w:val="24"/>
          <w:szCs w:val="24"/>
        </w:rPr>
        <w:t>և</w:t>
      </w:r>
      <w:r w:rsidRPr="003B2786">
        <w:rPr>
          <w:rFonts w:ascii="Sylfaen" w:hAnsi="Sylfaen"/>
          <w:sz w:val="24"/>
          <w:szCs w:val="24"/>
        </w:rPr>
        <w:t xml:space="preserve"> վալիդացված են:</w:t>
      </w:r>
    </w:p>
    <w:p w14:paraId="0450B34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Տվյալ բաժնում հարկ է գնահատել պրոցեսի վալիդացման մասին տեղեկությունները դոսյեում ներառելու անհրաժեշտությունը (այսինքն՝ արդյոք գրանցումից առաջ տվյալ տեղեկությունները ներկայացնելն անհրաժեշտ է): Այս տեղեկությունները, որպես կանոն, պահանջվում են ոչ ստանդարտ մեթոդների (պրոցեսների) օգտագործման դեպքում: Ստանդարտ պրոցեսների մասով անհրաժեշտ է գնահատել գրանցման դոսյեի 3.2.R բաժնում ներառված արտադրության պրոցեսի վալիդացման սխեման:</w:t>
      </w:r>
    </w:p>
    <w:p w14:paraId="26FAE82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Արտադրության պրոցեսի շարունակական ստուգում առաջարկվելու դեպքում անհրաժեշտ է գնահատել մշակման գծով բավարար տվյալների </w:t>
      </w:r>
      <w:r w:rsidR="00C54D75">
        <w:rPr>
          <w:rFonts w:ascii="Sylfaen" w:hAnsi="Sylfaen"/>
          <w:sz w:val="24"/>
          <w:szCs w:val="24"/>
        </w:rPr>
        <w:t>և</w:t>
      </w:r>
      <w:r w:rsidRPr="003B2786">
        <w:rPr>
          <w:rFonts w:ascii="Sylfaen" w:hAnsi="Sylfaen"/>
          <w:sz w:val="24"/>
          <w:szCs w:val="24"/>
        </w:rPr>
        <w:t xml:space="preserve"> հսկողության ռազմավարության բավարար աստիճանի առկայությունը, որոնք թույլ են տալիս իրական ժամանակում արտադրության պրոցեսի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կրիտիկական ցուցանիշների մոնիթորինգ իրականացնել:</w:t>
      </w:r>
    </w:p>
    <w:p w14:paraId="02A860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անհրաժեշտ է լիարժեք գնահատել </w:t>
      </w:r>
      <w:r w:rsidR="00C54D75">
        <w:rPr>
          <w:rFonts w:ascii="Sylfaen" w:hAnsi="Sylfaen"/>
          <w:sz w:val="24"/>
          <w:szCs w:val="24"/>
        </w:rPr>
        <w:t>և</w:t>
      </w:r>
      <w:r w:rsidRPr="003B2786">
        <w:rPr>
          <w:rFonts w:ascii="Sylfaen" w:hAnsi="Sylfaen"/>
          <w:sz w:val="24"/>
          <w:szCs w:val="24"/>
        </w:rPr>
        <w:t xml:space="preserve"> մեկնաբանել ըստ պարամետրերի բացթողման բոլոր հարցումները՝ առդնելով GMP (ՊԱԳ) տեսուչների մեկնաբանությունները (եթե կիրառելի է)՝ հաշվի առնելով Միության համապատասխան ձեռնարկը:</w:t>
      </w:r>
    </w:p>
    <w:p w14:paraId="109598D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Կիրառելի դեպքերում կարող է պահանջվել կողմնակի ագենտների փոխանցման տեսանկյունից պատրաստուկի անվտանգության գնահատում, որը հարկ է ներառել А.2 հավելվածի մեջ: Տվյալ գնահատականն առավել կիրառելի է կենսատեխնոլոգիական (կենսաբանական) պատրաստուկների նկատմամբ:</w:t>
      </w:r>
    </w:p>
    <w:p w14:paraId="5616700A"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4.4.</w:t>
      </w:r>
      <w:r>
        <w:rPr>
          <w:rFonts w:ascii="Sylfaen" w:hAnsi="Sylfaen"/>
          <w:sz w:val="24"/>
          <w:szCs w:val="24"/>
        </w:rPr>
        <w:tab/>
      </w:r>
      <w:r w:rsidRPr="003B2786">
        <w:rPr>
          <w:rFonts w:ascii="Sylfaen" w:hAnsi="Sylfaen"/>
          <w:sz w:val="24"/>
          <w:szCs w:val="24"/>
        </w:rPr>
        <w:t>Օժանդակ նյութերի որակի հսկողությունը (մոդուլ 3.2.Р.4)</w:t>
      </w:r>
    </w:p>
    <w:p w14:paraId="35D515F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4AB94308"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Р.4.1.</w:t>
      </w:r>
      <w:r w:rsidRPr="003B2786">
        <w:rPr>
          <w:rFonts w:ascii="Sylfaen" w:hAnsi="Sylfaen"/>
          <w:sz w:val="24"/>
          <w:szCs w:val="24"/>
        </w:rPr>
        <w:tab/>
        <w:t>Մասնագիրը։</w:t>
      </w:r>
    </w:p>
    <w:p w14:paraId="404D659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Р.4.2.</w:t>
      </w:r>
      <w:r w:rsidRPr="003B2786">
        <w:rPr>
          <w:rFonts w:ascii="Sylfaen" w:hAnsi="Sylfaen"/>
          <w:sz w:val="24"/>
          <w:szCs w:val="24"/>
        </w:rPr>
        <w:tab/>
        <w:t>Վերլուծական մեթոդիկաները։</w:t>
      </w:r>
    </w:p>
    <w:p w14:paraId="744044D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Р.4.3.</w:t>
      </w:r>
      <w:r w:rsidRPr="003B2786">
        <w:rPr>
          <w:rFonts w:ascii="Sylfaen" w:hAnsi="Sylfaen"/>
          <w:sz w:val="24"/>
          <w:szCs w:val="24"/>
        </w:rPr>
        <w:tab/>
        <w:t>Վերլուծական մեթոդիկաների վալիդացումը։</w:t>
      </w:r>
    </w:p>
    <w:p w14:paraId="609D381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Р.4.4.</w:t>
      </w:r>
      <w:r w:rsidRPr="003B2786">
        <w:rPr>
          <w:rFonts w:ascii="Sylfaen" w:hAnsi="Sylfaen"/>
          <w:sz w:val="24"/>
          <w:szCs w:val="24"/>
        </w:rPr>
        <w:tab/>
        <w:t>Մասնագրերի հիմնավորումը:</w:t>
      </w:r>
    </w:p>
    <w:p w14:paraId="0A7E3B8E"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Р.4.5.</w:t>
      </w:r>
      <w:r w:rsidRPr="003B2786">
        <w:rPr>
          <w:rFonts w:ascii="Sylfaen" w:hAnsi="Sylfaen"/>
          <w:sz w:val="24"/>
          <w:szCs w:val="24"/>
        </w:rPr>
        <w:tab/>
        <w:t>Մարդկային կամ կենդանական ծագման օժանդակ նյութերը:</w:t>
      </w:r>
    </w:p>
    <w:p w14:paraId="27BF5E9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Р.4.6.</w:t>
      </w:r>
      <w:r w:rsidRPr="003B2786">
        <w:rPr>
          <w:rFonts w:ascii="Sylfaen" w:hAnsi="Sylfaen"/>
          <w:sz w:val="24"/>
          <w:szCs w:val="24"/>
        </w:rPr>
        <w:tab/>
        <w:t>Նոր օժանդակ նյութերը:</w:t>
      </w:r>
    </w:p>
    <w:p w14:paraId="739CED4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Միության դեղագրքի հոդվածի առկայության ժամանակ դեպքերի մեծամասնության պարագայում բավարար է բերել համառոտ բնութագիր:</w:t>
      </w:r>
    </w:p>
    <w:p w14:paraId="66475A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Միության դեղագրքի հոդվածի բացակայության ժամանակ անհրաժեշտ է գնահատել առաջարկվող մասնագրի հիմնավորվածությունը:</w:t>
      </w:r>
    </w:p>
    <w:p w14:paraId="5A5ADEE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մասնագրերը </w:t>
      </w:r>
      <w:r w:rsidR="00C54D75">
        <w:rPr>
          <w:rFonts w:ascii="Sylfaen" w:hAnsi="Sylfaen"/>
          <w:sz w:val="24"/>
          <w:szCs w:val="24"/>
        </w:rPr>
        <w:t>և</w:t>
      </w:r>
      <w:r w:rsidRPr="003B2786">
        <w:rPr>
          <w:rFonts w:ascii="Sylfaen" w:hAnsi="Sylfaen"/>
          <w:sz w:val="24"/>
          <w:szCs w:val="24"/>
        </w:rPr>
        <w:t xml:space="preserve"> փորձարկումները պատշաճ կերպով արտացոլում են պատրաստուկի դեղագործական-տեխնոլոգիական հատկությունները: Այն առավել մեծ չափով կիրառելի է մատակարարման նոր համակարգերի համար, որոնց որոշ բաղադրիչներ ունեն հատուկ գործառույթ </w:t>
      </w:r>
      <w:r w:rsidR="00C54D75">
        <w:rPr>
          <w:rFonts w:ascii="Sylfaen" w:hAnsi="Sylfaen"/>
          <w:sz w:val="24"/>
          <w:szCs w:val="24"/>
        </w:rPr>
        <w:t>և</w:t>
      </w:r>
      <w:r w:rsidRPr="003B2786">
        <w:rPr>
          <w:rFonts w:ascii="Sylfaen" w:hAnsi="Sylfaen"/>
          <w:sz w:val="24"/>
          <w:szCs w:val="24"/>
        </w:rPr>
        <w:t xml:space="preserve"> պահանջում են առավել մանրամասն նկարագրություն </w:t>
      </w:r>
      <w:r w:rsidR="00C54D75">
        <w:rPr>
          <w:rFonts w:ascii="Sylfaen" w:hAnsi="Sylfaen"/>
          <w:sz w:val="24"/>
          <w:szCs w:val="24"/>
        </w:rPr>
        <w:t>և</w:t>
      </w:r>
      <w:r w:rsidRPr="003B2786">
        <w:rPr>
          <w:rFonts w:ascii="Sylfaen" w:hAnsi="Sylfaen"/>
          <w:sz w:val="24"/>
          <w:szCs w:val="24"/>
        </w:rPr>
        <w:t xml:space="preserve"> հսկողություն, հատկապես՝ դեղագործական-տեխնոլոգիական հատկությունների փորձարկումների մասով:</w:t>
      </w:r>
    </w:p>
    <w:p w14:paraId="6B259E4D"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արտադրության մեջ օգտագործվող կենսաբանական նյութերի մասով (օրինակ` արյան կամ պլազմայի այնպիսի ածանցյալի, ինչպիսին մարդու ալբումինն է) անհրաժեշտ է գնահատել աղբյուրը, արտադրությունը, հատկությունների նկարագրությունը </w:t>
      </w:r>
      <w:r w:rsidR="00C54D75">
        <w:rPr>
          <w:rFonts w:ascii="Sylfaen" w:hAnsi="Sylfaen"/>
          <w:sz w:val="24"/>
          <w:szCs w:val="24"/>
        </w:rPr>
        <w:t>և</w:t>
      </w:r>
      <w:r w:rsidRPr="003B2786">
        <w:rPr>
          <w:rFonts w:ascii="Sylfaen" w:hAnsi="Sylfaen"/>
          <w:sz w:val="24"/>
          <w:szCs w:val="24"/>
        </w:rPr>
        <w:t xml:space="preserve"> հսկողությունը: Դեղապատրաստուկների արտադրության մեջ պլազմայից ստացված պատրաստուկների, օրինակ՝ մարդու ալբումինի յուրաքանչյուր օգտագործման դեպքում դրանք պետք է համապատասխանեն Միության ձեռնարկի՝ պլազմայից ստացված դեղապատրաստուկներին ներկայացվող պահանջներին </w:t>
      </w:r>
      <w:r w:rsidR="00C54D75">
        <w:rPr>
          <w:rFonts w:ascii="Sylfaen" w:hAnsi="Sylfaen"/>
          <w:sz w:val="24"/>
          <w:szCs w:val="24"/>
        </w:rPr>
        <w:t>և</w:t>
      </w:r>
      <w:r w:rsidRPr="003B2786">
        <w:rPr>
          <w:rFonts w:ascii="Sylfaen" w:hAnsi="Sylfaen"/>
          <w:sz w:val="24"/>
          <w:szCs w:val="24"/>
        </w:rPr>
        <w:t xml:space="preserve"> ինչպես ալբումինի դեղապատրաստուկների դեպքում, պետք է ունենան փաստաթղթեր՝ ներառելով դոնացիայի ծագումը, որակը </w:t>
      </w:r>
      <w:r w:rsidR="00C54D75">
        <w:rPr>
          <w:rFonts w:ascii="Sylfaen" w:hAnsi="Sylfaen"/>
          <w:sz w:val="24"/>
          <w:szCs w:val="24"/>
        </w:rPr>
        <w:t>և</w:t>
      </w:r>
      <w:r w:rsidRPr="003B2786">
        <w:rPr>
          <w:rFonts w:ascii="Sylfaen" w:hAnsi="Sylfaen"/>
          <w:sz w:val="24"/>
          <w:szCs w:val="24"/>
        </w:rPr>
        <w:t xml:space="preserve"> մասնագրերը:</w:t>
      </w:r>
    </w:p>
    <w:p w14:paraId="1D36E922"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հղում բերել գրանցման դոսյեի՝ օժանդակ նյութերի կողմնակի ագենտներին (վիրուսային անվտանգությանը) վերաբերող А2 բաժնին, անհրաժեշտ է պատասխանել այն բոլոր հարցերին, որոնք կապված են փոխանցվող սպունգանման էնցեֆալոպաթիայի (ՓՍԷ) փոխանցման ռիսկի հետ:</w:t>
      </w:r>
    </w:p>
    <w:p w14:paraId="5E9A8C4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Հարկ է նշել, թե արդյոք պատրաստուկի բաղադրության մեջ առկա են օժանդակ նյութեր, որոնք կարելի է գնահատել որպես սկզբունքորեն նոր կամ դեղագործական շուկայի համար, ընդհանուր առմամբ, ոչ ստանդարտ նյութեր (դեղապատրաստուկի հատկությունների վրա ազդելու մասով), </w:t>
      </w:r>
      <w:r w:rsidR="00C54D75">
        <w:rPr>
          <w:rFonts w:ascii="Sylfaen" w:hAnsi="Sylfaen"/>
          <w:sz w:val="24"/>
          <w:szCs w:val="24"/>
        </w:rPr>
        <w:t>և</w:t>
      </w:r>
      <w:r w:rsidRPr="003B2786">
        <w:rPr>
          <w:rFonts w:ascii="Sylfaen" w:hAnsi="Sylfaen"/>
          <w:sz w:val="24"/>
          <w:szCs w:val="24"/>
        </w:rPr>
        <w:t xml:space="preserve"> այդպիսի նոր օժանդակ նյութերի՝ արտադրության մասով մանրամասն գնահատականի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թունաբանական գնահատականի արդյունքները պետք է արտացոլված լինեն առանձին-առանձին:</w:t>
      </w:r>
    </w:p>
    <w:p w14:paraId="6A03575A" w14:textId="77777777" w:rsidR="008C76E0" w:rsidRPr="003B2786" w:rsidRDefault="008C76E0" w:rsidP="00473371">
      <w:pPr>
        <w:spacing w:after="160" w:line="360" w:lineRule="auto"/>
        <w:ind w:right="565" w:firstLine="567"/>
        <w:jc w:val="both"/>
        <w:outlineLvl w:val="0"/>
        <w:rPr>
          <w:rFonts w:ascii="Sylfaen" w:hAnsi="Sylfaen"/>
          <w:sz w:val="24"/>
          <w:szCs w:val="24"/>
        </w:rPr>
      </w:pPr>
      <w:r w:rsidRPr="003B2786">
        <w:rPr>
          <w:rFonts w:ascii="Sylfaen" w:hAnsi="Sylfaen"/>
          <w:sz w:val="24"/>
          <w:szCs w:val="24"/>
        </w:rPr>
        <w:t>4.5.</w:t>
      </w:r>
      <w:r>
        <w:rPr>
          <w:rFonts w:ascii="Sylfaen" w:hAnsi="Sylfaen"/>
          <w:sz w:val="24"/>
          <w:szCs w:val="24"/>
        </w:rPr>
        <w:tab/>
      </w:r>
      <w:r w:rsidRPr="003B2786">
        <w:rPr>
          <w:rFonts w:ascii="Sylfaen" w:hAnsi="Sylfaen"/>
          <w:sz w:val="24"/>
          <w:szCs w:val="24"/>
        </w:rPr>
        <w:t>Դեղապատրաստուկի որակի հսկողությունը (մոդուլ 3.2.Р.5)</w:t>
      </w:r>
    </w:p>
    <w:p w14:paraId="1D3B0B5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7D2DB9F3"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Р.5.1.</w:t>
      </w:r>
      <w:r w:rsidRPr="003B2786">
        <w:rPr>
          <w:rFonts w:ascii="Sylfaen" w:hAnsi="Sylfaen"/>
          <w:sz w:val="24"/>
          <w:szCs w:val="24"/>
        </w:rPr>
        <w:tab/>
        <w:t>Մասնագրերը։</w:t>
      </w:r>
    </w:p>
    <w:p w14:paraId="5E43A0D4"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Р.5.2.</w:t>
      </w:r>
      <w:r w:rsidRPr="003B2786">
        <w:rPr>
          <w:rFonts w:ascii="Sylfaen" w:hAnsi="Sylfaen"/>
          <w:sz w:val="24"/>
          <w:szCs w:val="24"/>
        </w:rPr>
        <w:tab/>
        <w:t>Վերլուծական մեթոդիկաները։</w:t>
      </w:r>
    </w:p>
    <w:p w14:paraId="637DC11A"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Р.5.3.</w:t>
      </w:r>
      <w:r w:rsidRPr="003B2786">
        <w:rPr>
          <w:rFonts w:ascii="Sylfaen" w:hAnsi="Sylfaen"/>
          <w:sz w:val="24"/>
          <w:szCs w:val="24"/>
        </w:rPr>
        <w:tab/>
        <w:t>Վերլուծական մեթոդիկաների վալիդացումը։</w:t>
      </w:r>
    </w:p>
    <w:p w14:paraId="6A65E55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Р.5.4.</w:t>
      </w:r>
      <w:r w:rsidRPr="003B2786">
        <w:rPr>
          <w:rFonts w:ascii="Sylfaen" w:hAnsi="Sylfaen"/>
          <w:sz w:val="24"/>
          <w:szCs w:val="24"/>
        </w:rPr>
        <w:tab/>
        <w:t>Սերիաների վերլուծության արդյունքները:</w:t>
      </w:r>
    </w:p>
    <w:p w14:paraId="621C7E8B"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Р.5.5.</w:t>
      </w:r>
      <w:r w:rsidRPr="003B2786">
        <w:rPr>
          <w:rFonts w:ascii="Sylfaen" w:hAnsi="Sylfaen"/>
          <w:sz w:val="24"/>
          <w:szCs w:val="24"/>
        </w:rPr>
        <w:tab/>
        <w:t>Խառնուկների բնութագրերը:</w:t>
      </w:r>
    </w:p>
    <w:p w14:paraId="7A2F73F5"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Р.5.6.</w:t>
      </w:r>
      <w:r w:rsidRPr="003B2786">
        <w:rPr>
          <w:rFonts w:ascii="Sylfaen" w:hAnsi="Sylfaen"/>
          <w:sz w:val="24"/>
          <w:szCs w:val="24"/>
        </w:rPr>
        <w:tab/>
        <w:t>Մասնագրերի հիմնավորումները:</w:t>
      </w:r>
    </w:p>
    <w:p w14:paraId="0980799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Մասնագիրը. անհրաժեշտ է աղյուսակային տեսքով ներկայացնել բացթողման մասնագրերը </w:t>
      </w:r>
      <w:r w:rsidR="00C54D75">
        <w:rPr>
          <w:rFonts w:ascii="Sylfaen" w:hAnsi="Sylfaen"/>
          <w:sz w:val="24"/>
          <w:szCs w:val="24"/>
        </w:rPr>
        <w:t>և</w:t>
      </w:r>
      <w:r w:rsidRPr="003B2786">
        <w:rPr>
          <w:rFonts w:ascii="Sylfaen" w:hAnsi="Sylfaen"/>
          <w:sz w:val="24"/>
          <w:szCs w:val="24"/>
        </w:rPr>
        <w:t xml:space="preserve"> մինչ</w:t>
      </w:r>
      <w:r w:rsidR="00C54D75">
        <w:rPr>
          <w:rFonts w:ascii="Sylfaen" w:hAnsi="Sylfaen"/>
          <w:sz w:val="24"/>
          <w:szCs w:val="24"/>
        </w:rPr>
        <w:t>և</w:t>
      </w:r>
      <w:r w:rsidRPr="003B2786">
        <w:rPr>
          <w:rFonts w:ascii="Sylfaen" w:hAnsi="Sylfaen"/>
          <w:sz w:val="24"/>
          <w:szCs w:val="24"/>
        </w:rPr>
        <w:t xml:space="preserve"> պիտանելիության ժամկետի (պահպանության ժամկետի) ավարտը գործող մասնագրերը՝ դրանք մեկը մյուսի հետ համեմատելով </w:t>
      </w:r>
      <w:r w:rsidR="00C54D75">
        <w:rPr>
          <w:rFonts w:ascii="Sylfaen" w:hAnsi="Sylfaen"/>
          <w:sz w:val="24"/>
          <w:szCs w:val="24"/>
        </w:rPr>
        <w:t>և</w:t>
      </w:r>
      <w:r w:rsidRPr="003B2786">
        <w:rPr>
          <w:rFonts w:ascii="Sylfaen" w:hAnsi="Sylfaen"/>
          <w:sz w:val="24"/>
          <w:szCs w:val="24"/>
        </w:rPr>
        <w:t xml:space="preserve"> օգտագործված մեթոդին արված համառոտ հղումով:</w:t>
      </w:r>
    </w:p>
    <w:p w14:paraId="20C45105" w14:textId="75F99163"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Եթե առաջարկված է բացթողում ըստ պարամետրերի՝ իրական ժամանակի ռեժիմում հսկողությամբ, պետք է նշել, թե արդյոք </w:t>
      </w:r>
      <w:r w:rsidR="0056496B">
        <w:rPr>
          <w:rFonts w:ascii="Sylfaen" w:hAnsi="Sylfaen"/>
          <w:sz w:val="24"/>
          <w:szCs w:val="24"/>
        </w:rPr>
        <w:t>դիմումատու</w:t>
      </w:r>
      <w:r w:rsidRPr="003B2786">
        <w:rPr>
          <w:rFonts w:ascii="Sylfaen" w:hAnsi="Sylfaen"/>
          <w:sz w:val="24"/>
          <w:szCs w:val="24"/>
        </w:rPr>
        <w:t xml:space="preserve">ն հաստատել է պատրաստուկի բնութագրերի </w:t>
      </w:r>
      <w:r w:rsidR="00C54D75">
        <w:rPr>
          <w:rFonts w:ascii="Sylfaen" w:hAnsi="Sylfaen"/>
          <w:sz w:val="24"/>
          <w:szCs w:val="24"/>
        </w:rPr>
        <w:t>և</w:t>
      </w:r>
      <w:r w:rsidRPr="003B2786">
        <w:rPr>
          <w:rFonts w:ascii="Sylfaen" w:hAnsi="Sylfaen"/>
          <w:sz w:val="24"/>
          <w:szCs w:val="24"/>
        </w:rPr>
        <w:t xml:space="preserve"> դրա արտադրության պրոցեսի խորը ըմբռնումը: 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նախատեսել է արտադրության պրոցեսի այնպիսի կրիտիկական պարամետրերի </w:t>
      </w:r>
      <w:r w:rsidR="00C54D75">
        <w:rPr>
          <w:rFonts w:ascii="Sylfaen" w:hAnsi="Sylfaen"/>
          <w:sz w:val="24"/>
          <w:szCs w:val="24"/>
        </w:rPr>
        <w:t>և</w:t>
      </w:r>
      <w:r w:rsidRPr="003B2786">
        <w:rPr>
          <w:rFonts w:ascii="Sylfaen" w:hAnsi="Sylfaen"/>
          <w:sz w:val="24"/>
          <w:szCs w:val="24"/>
        </w:rPr>
        <w:t xml:space="preserve"> նյութերի որակի այնպիսի կրիտիկական ցուցանիշների պատշաճ հսկողություն, որոնցով կհիմնավորվեր իրական ժամանակի ռեժիմում հսկողությամբ ըստ պարամետրերի բացթողումը: Անհրաժեշտ է գնահատել, թե արդյոք </w:t>
      </w:r>
      <w:r w:rsidR="0056496B">
        <w:rPr>
          <w:rFonts w:ascii="Sylfaen" w:hAnsi="Sylfaen"/>
          <w:sz w:val="24"/>
          <w:szCs w:val="24"/>
        </w:rPr>
        <w:t>դիմումատու</w:t>
      </w:r>
      <w:r w:rsidRPr="003B2786">
        <w:rPr>
          <w:rFonts w:ascii="Sylfaen" w:hAnsi="Sylfaen"/>
          <w:sz w:val="24"/>
          <w:szCs w:val="24"/>
        </w:rPr>
        <w:t xml:space="preserve">ի կողմից հաշվի են առնվել արտադրական միջավայրի գործոնները վերջնական արտադրանքի փորձարկման ժամանակ ստացված սերիաների </w:t>
      </w:r>
      <w:r w:rsidR="00C54D75">
        <w:rPr>
          <w:rFonts w:ascii="Sylfaen" w:hAnsi="Sylfaen"/>
          <w:sz w:val="24"/>
          <w:szCs w:val="24"/>
        </w:rPr>
        <w:t>և</w:t>
      </w:r>
      <w:r w:rsidRPr="003B2786">
        <w:rPr>
          <w:rFonts w:ascii="Sylfaen" w:hAnsi="Sylfaen"/>
          <w:sz w:val="24"/>
          <w:szCs w:val="24"/>
        </w:rPr>
        <w:t xml:space="preserve"> իրական ժամանակում փորձարկումների ժամանակ ստացված սերիաների վերլուծության արդյունքների համեմատություն </w:t>
      </w:r>
      <w:r w:rsidRPr="003B2786">
        <w:rPr>
          <w:rFonts w:ascii="Sylfaen" w:hAnsi="Sylfaen"/>
          <w:sz w:val="24"/>
          <w:szCs w:val="24"/>
        </w:rPr>
        <w:lastRenderedPageBreak/>
        <w:t xml:space="preserve">անցկացնելիս: Անհրաժեշտ է նշել, թե արդյոք ներառված է տարվա ընթացքում իրական ժամանակի ռեժիմում պատրաստի պատրաստուկի հսկողությամբ՝ ըստ պարամետրերի բացթողման արդյունքների </w:t>
      </w:r>
      <w:r w:rsidR="00C54D75">
        <w:rPr>
          <w:rFonts w:ascii="Sylfaen" w:hAnsi="Sylfaen"/>
          <w:sz w:val="24"/>
          <w:szCs w:val="24"/>
        </w:rPr>
        <w:t>և</w:t>
      </w:r>
      <w:r w:rsidRPr="003B2786">
        <w:rPr>
          <w:rFonts w:ascii="Sylfaen" w:hAnsi="Sylfaen"/>
          <w:sz w:val="24"/>
          <w:szCs w:val="24"/>
        </w:rPr>
        <w:t xml:space="preserve"> իրական ժամանակի ռեժիմում բավարար թվով սերիաների հսկողությամբ՝ ըստ պարամետրերի բացթողման արդյունքների համեմատումը նախատեսող սխեմա: Եթե դեղապատրաստուկի որակի ցուցանիշների կանխատեսման կամ արտադրության պրոցեսի «հոսքագծում» մոնիթորինգի նպատակով օգտագործվել են բազմաչափ մոդելներ, հարկ է անդրադառնալ սույն փաստաթղթի թիվ 3 հավելվածին:</w:t>
      </w:r>
    </w:p>
    <w:p w14:paraId="2665002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Մասնագրման ռեզյումեն, կար</w:t>
      </w:r>
      <w:r w:rsidR="00C54D75">
        <w:rPr>
          <w:rFonts w:ascii="Sylfaen" w:hAnsi="Sylfaen"/>
          <w:sz w:val="24"/>
          <w:szCs w:val="24"/>
        </w:rPr>
        <w:t>և</w:t>
      </w:r>
      <w:r w:rsidRPr="003B2786">
        <w:rPr>
          <w:rFonts w:ascii="Sylfaen" w:hAnsi="Sylfaen"/>
          <w:sz w:val="24"/>
          <w:szCs w:val="24"/>
        </w:rPr>
        <w:t>որ փորձարկումները, որոնք հատկապես առնչվում են կենսամատչելիությանը կամ արդյունավետությանը (օրինակ՝ լուծելիությունը, մասնիկների չափսերը, բազմաձ</w:t>
      </w:r>
      <w:r w:rsidR="00C54D75">
        <w:rPr>
          <w:rFonts w:ascii="Sylfaen" w:hAnsi="Sylfaen"/>
          <w:sz w:val="24"/>
          <w:szCs w:val="24"/>
        </w:rPr>
        <w:t>և</w:t>
      </w:r>
      <w:r w:rsidRPr="003B2786">
        <w:rPr>
          <w:rFonts w:ascii="Sylfaen" w:hAnsi="Sylfaen"/>
          <w:sz w:val="24"/>
          <w:szCs w:val="24"/>
        </w:rPr>
        <w:t xml:space="preserve">ությունը, եթե կիրառելի է) </w:t>
      </w:r>
      <w:r w:rsidR="00C54D75">
        <w:rPr>
          <w:rFonts w:ascii="Sylfaen" w:hAnsi="Sylfaen"/>
          <w:sz w:val="24"/>
          <w:szCs w:val="24"/>
        </w:rPr>
        <w:t>և</w:t>
      </w:r>
      <w:r w:rsidRPr="003B2786">
        <w:rPr>
          <w:rFonts w:ascii="Sylfaen" w:hAnsi="Sylfaen"/>
          <w:sz w:val="24"/>
          <w:szCs w:val="24"/>
        </w:rPr>
        <w:t xml:space="preserve"> անվտանգությանը (խառնուկները, մանրէազերծությունը, պիրոգենները կամ բակտերիալ էնդոտոքսինները </w:t>
      </w:r>
      <w:r w:rsidR="00C54D75">
        <w:rPr>
          <w:rFonts w:ascii="Sylfaen" w:hAnsi="Sylfaen"/>
          <w:sz w:val="24"/>
          <w:szCs w:val="24"/>
        </w:rPr>
        <w:t>և</w:t>
      </w:r>
      <w:r w:rsidRPr="003B2786">
        <w:rPr>
          <w:rFonts w:ascii="Sylfaen" w:hAnsi="Sylfaen"/>
          <w:sz w:val="24"/>
          <w:szCs w:val="24"/>
        </w:rPr>
        <w:t xml:space="preserve"> այլն՝ մանրէազերծ պատրաստուկների համար): Հարկ է գնահատել բացթողման մասնագրի ընդհանուր նշանակալիությունը՝ հաշվի առնելով արտադրության մեթոդը </w:t>
      </w:r>
      <w:r w:rsidR="00C54D75">
        <w:rPr>
          <w:rFonts w:ascii="Sylfaen" w:hAnsi="Sylfaen"/>
          <w:sz w:val="24"/>
          <w:szCs w:val="24"/>
        </w:rPr>
        <w:t>և</w:t>
      </w:r>
      <w:r w:rsidRPr="003B2786">
        <w:rPr>
          <w:rFonts w:ascii="Sylfaen" w:hAnsi="Sylfaen"/>
          <w:sz w:val="24"/>
          <w:szCs w:val="24"/>
        </w:rPr>
        <w:t xml:space="preserve"> կլինիկական կիրառումը, ներմուծման եղանակները </w:t>
      </w:r>
      <w:r w:rsidR="00C54D75">
        <w:rPr>
          <w:rFonts w:ascii="Sylfaen" w:hAnsi="Sylfaen"/>
          <w:sz w:val="24"/>
          <w:szCs w:val="24"/>
        </w:rPr>
        <w:t>և</w:t>
      </w:r>
      <w:r w:rsidRPr="003B2786">
        <w:rPr>
          <w:rFonts w:ascii="Sylfaen" w:hAnsi="Sylfaen"/>
          <w:sz w:val="24"/>
          <w:szCs w:val="24"/>
        </w:rPr>
        <w:t xml:space="preserve"> այլն:</w:t>
      </w:r>
    </w:p>
    <w:p w14:paraId="0BC317F5" w14:textId="77777777" w:rsidR="008C76E0" w:rsidRPr="003B2786" w:rsidRDefault="008C76E0" w:rsidP="00473371">
      <w:pPr>
        <w:spacing w:after="160" w:line="384" w:lineRule="auto"/>
        <w:ind w:firstLine="567"/>
        <w:jc w:val="both"/>
        <w:rPr>
          <w:rFonts w:ascii="Sylfaen" w:hAnsi="Sylfaen"/>
          <w:sz w:val="24"/>
          <w:szCs w:val="24"/>
        </w:rPr>
      </w:pPr>
      <w:r w:rsidRPr="00C0450A">
        <w:rPr>
          <w:rFonts w:ascii="Sylfaen" w:hAnsi="Sylfaen"/>
          <w:spacing w:val="-6"/>
          <w:sz w:val="24"/>
          <w:szCs w:val="24"/>
        </w:rPr>
        <w:t xml:space="preserve">Վերլուծական մեթոդիկաների վալիդացումը. անհրաժեշտ է գնահատել Միության համապատասախան ձեռնարկի պահանջներին </w:t>
      </w:r>
      <w:r w:rsidRPr="003B2786">
        <w:rPr>
          <w:rFonts w:ascii="Sylfaen" w:hAnsi="Sylfaen"/>
          <w:sz w:val="24"/>
          <w:szCs w:val="24"/>
        </w:rPr>
        <w:t>համապատասխանությունը՝ նշելով շեղումները, եթե այդպիսիք առկա են: Տվյալ բաժնում (Р.5) անհրաժեշտ է գնահատել բոլոր վերլուծական մեթոդիկաները, որոնք նկարագրված են ինչպես բացթողման, այնպես էլ պիտանելիության ժամկետի մասնագրում:</w:t>
      </w:r>
    </w:p>
    <w:p w14:paraId="567AD24B"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Անհրաժեշտ է համոզվել, որ դեղապատրաստուկի վերաբերյալ մասնագրում խառնուկների փորձարկումների օբյեկտ են համարվում քայքայման այն արգասիքները, որոնք առաջացել են արտադրության, ինչպես նա</w:t>
      </w:r>
      <w:r w:rsidR="00C54D75">
        <w:rPr>
          <w:rFonts w:ascii="Sylfaen" w:hAnsi="Sylfaen"/>
          <w:sz w:val="24"/>
          <w:szCs w:val="24"/>
        </w:rPr>
        <w:t>և</w:t>
      </w:r>
      <w:r w:rsidRPr="003B2786">
        <w:rPr>
          <w:rFonts w:ascii="Sylfaen" w:hAnsi="Sylfaen"/>
          <w:sz w:val="24"/>
          <w:szCs w:val="24"/>
        </w:rPr>
        <w:t xml:space="preserve"> պահպանման ընթացքում, իսկ դեղագործական նյութից առաջ եկող ոչ տեխնոլոգիական խառնուկները, եթե դրանք ենթակա են դեղագործական բաղադրամասի մակարդակով հսկողության, </w:t>
      </w:r>
      <w:r w:rsidR="00C54D75">
        <w:rPr>
          <w:rFonts w:ascii="Sylfaen" w:hAnsi="Sylfaen"/>
          <w:sz w:val="24"/>
          <w:szCs w:val="24"/>
        </w:rPr>
        <w:t>և</w:t>
      </w:r>
      <w:r w:rsidRPr="003B2786">
        <w:rPr>
          <w:rFonts w:ascii="Sylfaen" w:hAnsi="Sylfaen"/>
          <w:sz w:val="24"/>
          <w:szCs w:val="24"/>
        </w:rPr>
        <w:t xml:space="preserve"> դրանց պրոֆիլը դեղապատրաստուկի պահպանման ժամանակ չի փոփոխվում:</w:t>
      </w:r>
    </w:p>
    <w:p w14:paraId="40E25B3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lastRenderedPageBreak/>
        <w:t xml:space="preserve">Սերիաների վերլուծության արձանագրությունները (n = </w:t>
      </w:r>
      <w:r w:rsidRPr="003B2786">
        <w:rPr>
          <w:rStyle w:val="Bodytext295pt"/>
          <w:rFonts w:ascii="Sylfaen" w:eastAsiaTheme="minorHAnsi" w:hAnsi="Sylfaen"/>
          <w:b w:val="0"/>
          <w:sz w:val="24"/>
          <w:szCs w:val="24"/>
        </w:rPr>
        <w:t>«նշել քանակը»)</w:t>
      </w:r>
      <w:r w:rsidRPr="003B2786">
        <w:rPr>
          <w:rFonts w:ascii="Sylfaen" w:hAnsi="Sylfaen"/>
          <w:b/>
          <w:sz w:val="24"/>
          <w:szCs w:val="24"/>
        </w:rPr>
        <w:t>՝</w:t>
      </w:r>
    </w:p>
    <w:p w14:paraId="46D324C0"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ստացված արդյունքներով հաստատվում են դեղապատրաստուկի միատիպությունը </w:t>
      </w:r>
      <w:r w:rsidR="00C54D75">
        <w:rPr>
          <w:rFonts w:ascii="Sylfaen" w:hAnsi="Sylfaen"/>
          <w:sz w:val="24"/>
          <w:szCs w:val="24"/>
        </w:rPr>
        <w:t>և</w:t>
      </w:r>
      <w:r w:rsidRPr="003B2786">
        <w:rPr>
          <w:rFonts w:ascii="Sylfaen" w:hAnsi="Sylfaen"/>
          <w:sz w:val="24"/>
          <w:szCs w:val="24"/>
        </w:rPr>
        <w:t xml:space="preserve"> համասեռությունը: Անհրաժեշտ է գնահատել, թե արդյոք արտադրության պրոցեսները վերահսկելի են:</w:t>
      </w:r>
    </w:p>
    <w:p w14:paraId="2D35C1AD"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դեպքում անհրաժեշտ է գնահատել «սառը» վերականգնվող հավաքածուների ռադիոքիմիական մաքրությունը, եթե կիրառելի է:</w:t>
      </w:r>
    </w:p>
    <w:p w14:paraId="0253E13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Կենսատեխնոլոգիական դեղապատրաստուկների դեպքում ԱԴԲ-ի մասնագրում նկարագրված կրիտիկական տարրերը շատ դեպքերում կիրառելի են նա</w:t>
      </w:r>
      <w:r w:rsidR="00C54D75">
        <w:rPr>
          <w:rFonts w:ascii="Sylfaen" w:hAnsi="Sylfaen"/>
          <w:sz w:val="24"/>
          <w:szCs w:val="24"/>
        </w:rPr>
        <w:t>և</w:t>
      </w:r>
      <w:r w:rsidRPr="003B2786">
        <w:rPr>
          <w:rFonts w:ascii="Sylfaen" w:hAnsi="Sylfaen"/>
          <w:sz w:val="24"/>
          <w:szCs w:val="24"/>
        </w:rPr>
        <w:t xml:space="preserve"> դեղապատրաստուկի համար:</w:t>
      </w:r>
    </w:p>
    <w:p w14:paraId="66F3CCE0" w14:textId="77777777" w:rsidR="008C76E0" w:rsidRPr="003B2786" w:rsidRDefault="008C76E0" w:rsidP="00473371">
      <w:pPr>
        <w:spacing w:after="160" w:line="384" w:lineRule="auto"/>
        <w:ind w:right="-1" w:firstLine="567"/>
        <w:jc w:val="both"/>
        <w:rPr>
          <w:rFonts w:ascii="Sylfaen" w:hAnsi="Sylfaen" w:cs="TimesNewRomanPSMT"/>
          <w:sz w:val="24"/>
          <w:szCs w:val="24"/>
        </w:rPr>
      </w:pPr>
      <w:r>
        <w:rPr>
          <w:rFonts w:ascii="Sylfaen" w:hAnsi="Sylfaen"/>
          <w:sz w:val="24"/>
          <w:szCs w:val="24"/>
        </w:rPr>
        <w:t>4.6.</w:t>
      </w:r>
      <w:r>
        <w:rPr>
          <w:rFonts w:ascii="Sylfaen" w:hAnsi="Sylfaen"/>
          <w:sz w:val="24"/>
          <w:szCs w:val="24"/>
        </w:rPr>
        <w:tab/>
      </w:r>
      <w:r w:rsidRPr="003B2786">
        <w:rPr>
          <w:rFonts w:ascii="Sylfaen" w:hAnsi="Sylfaen"/>
          <w:sz w:val="24"/>
          <w:szCs w:val="24"/>
        </w:rPr>
        <w:t xml:space="preserve">Ստանդարտ նմուշները </w:t>
      </w:r>
      <w:r w:rsidR="00C54D75">
        <w:rPr>
          <w:rFonts w:ascii="Sylfaen" w:hAnsi="Sylfaen"/>
          <w:sz w:val="24"/>
          <w:szCs w:val="24"/>
        </w:rPr>
        <w:t>և</w:t>
      </w:r>
      <w:r w:rsidRPr="003B2786">
        <w:rPr>
          <w:rFonts w:ascii="Sylfaen" w:hAnsi="Sylfaen"/>
          <w:sz w:val="24"/>
          <w:szCs w:val="24"/>
        </w:rPr>
        <w:t xml:space="preserve"> նյութերը (մոդուլ 3.2.P.6)</w:t>
      </w:r>
    </w:p>
    <w:p w14:paraId="32079BAC"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Կիրառելիության դեպքում բաժինը լրացվում է՝ հաշվի առնելով գրանցման դոսյեի S.5 մոդուլում ներառված տեղեկատվությունը:</w:t>
      </w:r>
    </w:p>
    <w:p w14:paraId="68EBEE59" w14:textId="77777777" w:rsidR="00473371" w:rsidRPr="00E15E7D" w:rsidRDefault="00473371">
      <w:pPr>
        <w:widowControl/>
        <w:rPr>
          <w:rFonts w:ascii="Sylfaen" w:hAnsi="Sylfaen"/>
          <w:sz w:val="24"/>
          <w:szCs w:val="24"/>
        </w:rPr>
      </w:pPr>
    </w:p>
    <w:p w14:paraId="3E23B681" w14:textId="584C72BF"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 xml:space="preserve">Նոր կամ </w:t>
      </w:r>
      <w:r w:rsidR="005F6A31">
        <w:rPr>
          <w:rFonts w:ascii="Sylfaen" w:hAnsi="Sylfaen"/>
          <w:sz w:val="24"/>
          <w:szCs w:val="24"/>
        </w:rPr>
        <w:t>հայտնի</w:t>
      </w:r>
      <w:r w:rsidRPr="003B2786">
        <w:rPr>
          <w:rFonts w:ascii="Sylfaen" w:hAnsi="Sylfaen"/>
          <w:sz w:val="24"/>
          <w:szCs w:val="24"/>
        </w:rPr>
        <w:t xml:space="preserve"> քիմիական միացությունները:</w:t>
      </w:r>
    </w:p>
    <w:p w14:paraId="7B1D5B7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Նշել, թե արդյոք հասանելի են հիմնական դեղագրքերի ստանդարտ նմուշները՝ Եվրասիական տնտեսական հանձնաժողովի կողմից հաստատվող՝ Եվրասիական տնտեսական միության անդամ պետությունների դեղագրքերի ներդաշնակեցման հայեցակարգին համապատասխան:</w:t>
      </w:r>
    </w:p>
    <w:p w14:paraId="304AAD9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Կենսաբանական դեղապատրաստուկի մասով անհրաժեշտ է աղյուսակային տեսքով ներկայացնել ռեֆերենտ</w:t>
      </w:r>
      <w:r w:rsidRPr="003B2786" w:rsidDel="008C67E8">
        <w:rPr>
          <w:rFonts w:ascii="Sylfaen" w:hAnsi="Sylfaen"/>
          <w:sz w:val="24"/>
          <w:szCs w:val="24"/>
        </w:rPr>
        <w:t xml:space="preserve"> </w:t>
      </w:r>
      <w:r w:rsidRPr="003B2786">
        <w:rPr>
          <w:rFonts w:ascii="Sylfaen" w:hAnsi="Sylfaen"/>
          <w:sz w:val="24"/>
          <w:szCs w:val="24"/>
        </w:rPr>
        <w:t>դեղապատրաստուկի մասին հետ</w:t>
      </w:r>
      <w:r w:rsidR="00C54D75">
        <w:rPr>
          <w:rFonts w:ascii="Sylfaen" w:hAnsi="Sylfaen"/>
          <w:sz w:val="24"/>
          <w:szCs w:val="24"/>
        </w:rPr>
        <w:t>և</w:t>
      </w:r>
      <w:r w:rsidRPr="003B2786">
        <w:rPr>
          <w:rFonts w:ascii="Sylfaen" w:hAnsi="Sylfaen"/>
          <w:sz w:val="24"/>
          <w:szCs w:val="24"/>
        </w:rPr>
        <w:t>յալ տեղեկությունները՝ անվանումը, դոզավորումը, դեղաձ</w:t>
      </w:r>
      <w:r w:rsidR="00C54D75">
        <w:rPr>
          <w:rFonts w:ascii="Sylfaen" w:hAnsi="Sylfaen"/>
          <w:sz w:val="24"/>
          <w:szCs w:val="24"/>
        </w:rPr>
        <w:t>և</w:t>
      </w:r>
      <w:r w:rsidRPr="003B2786">
        <w:rPr>
          <w:rFonts w:ascii="Sylfaen" w:hAnsi="Sylfaen"/>
          <w:sz w:val="24"/>
          <w:szCs w:val="24"/>
        </w:rPr>
        <w:t xml:space="preserve">ը, գրանցման հավաստագրի իրավատերը, համադրելիության հետազոտություններում օգտագործված սերիաների համարները </w:t>
      </w:r>
      <w:r w:rsidR="00C54D75">
        <w:rPr>
          <w:rFonts w:ascii="Sylfaen" w:hAnsi="Sylfaen"/>
          <w:sz w:val="24"/>
          <w:szCs w:val="24"/>
        </w:rPr>
        <w:t>և</w:t>
      </w:r>
      <w:r w:rsidRPr="003B2786">
        <w:rPr>
          <w:rFonts w:ascii="Sylfaen" w:hAnsi="Sylfaen"/>
          <w:sz w:val="24"/>
          <w:szCs w:val="24"/>
        </w:rPr>
        <w:t xml:space="preserve"> ծագման երկիրը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դեղապատրաստուկը պետք է արտադրված լինի լավ կարգավորվող </w:t>
      </w:r>
      <w:r w:rsidRPr="003B2786">
        <w:rPr>
          <w:rFonts w:ascii="Sylfaen" w:hAnsi="Sylfaen"/>
          <w:sz w:val="24"/>
          <w:szCs w:val="24"/>
        </w:rPr>
        <w:lastRenderedPageBreak/>
        <w:t>դեղագործական շուկայով երկրներում):</w:t>
      </w:r>
    </w:p>
    <w:p w14:paraId="3BF226BD" w14:textId="77777777" w:rsidR="008C76E0" w:rsidRPr="003B2786"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4.7.</w:t>
      </w:r>
      <w:r>
        <w:rPr>
          <w:rFonts w:ascii="Sylfaen" w:hAnsi="Sylfaen"/>
          <w:sz w:val="24"/>
          <w:szCs w:val="24"/>
        </w:rPr>
        <w:tab/>
      </w:r>
      <w:r w:rsidRPr="003B2786">
        <w:rPr>
          <w:rFonts w:ascii="Sylfaen" w:hAnsi="Sylfaen"/>
          <w:sz w:val="24"/>
          <w:szCs w:val="24"/>
        </w:rPr>
        <w:t>Փաթեթավորման (խցանափակման) համակարգը (մոդուլ 3.2.Р.7)</w:t>
      </w:r>
    </w:p>
    <w:p w14:paraId="53C4F2E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գնահատել կոնտեյների </w:t>
      </w:r>
      <w:r w:rsidR="00C54D75">
        <w:rPr>
          <w:rFonts w:ascii="Sylfaen" w:hAnsi="Sylfaen"/>
          <w:sz w:val="24"/>
          <w:szCs w:val="24"/>
        </w:rPr>
        <w:t>և</w:t>
      </w:r>
      <w:r w:rsidRPr="003B2786">
        <w:rPr>
          <w:rFonts w:ascii="Sylfaen" w:hAnsi="Sylfaen"/>
          <w:sz w:val="24"/>
          <w:szCs w:val="24"/>
        </w:rPr>
        <w:t xml:space="preserve"> խցանափակման ընտրության հիմնավորումը՝ հաշվի առնելով դեղապատրաստուկի ֆիզիկական </w:t>
      </w:r>
      <w:r w:rsidR="00C54D75">
        <w:rPr>
          <w:rFonts w:ascii="Sylfaen" w:hAnsi="Sylfaen"/>
          <w:sz w:val="24"/>
          <w:szCs w:val="24"/>
        </w:rPr>
        <w:t>և</w:t>
      </w:r>
      <w:r w:rsidRPr="003B2786">
        <w:rPr>
          <w:rFonts w:ascii="Sylfaen" w:hAnsi="Sylfaen"/>
          <w:sz w:val="24"/>
          <w:szCs w:val="24"/>
        </w:rPr>
        <w:t xml:space="preserve"> քիմիական հատկությունները:</w:t>
      </w:r>
    </w:p>
    <w:p w14:paraId="45A87F3C"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մանրէային կոնտամինացիայից բավարար պաշտպանություն ապահովելու՝ փաթեթավորման </w:t>
      </w:r>
      <w:r w:rsidR="00C54D75">
        <w:rPr>
          <w:rFonts w:ascii="Sylfaen" w:hAnsi="Sylfaen"/>
          <w:sz w:val="24"/>
          <w:szCs w:val="24"/>
        </w:rPr>
        <w:t>և</w:t>
      </w:r>
      <w:r w:rsidRPr="003B2786">
        <w:rPr>
          <w:rFonts w:ascii="Sylfaen" w:hAnsi="Sylfaen"/>
          <w:sz w:val="24"/>
          <w:szCs w:val="24"/>
        </w:rPr>
        <w:t xml:space="preserve"> խցանափակման հնարավորությունը:</w:t>
      </w:r>
    </w:p>
    <w:p w14:paraId="6C25F46A" w14:textId="77777777"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Անհրաժեշտ է համոզվել, որ ընթացիկ պահպանման համար առաջարկվող կոնտեյներները համընկնում են պիտանելիության ժամկետի հիմնավորման համար անցկացված՝ կայունության հետազոտություններում օգտագործված կոնտեյներների հետ (գրանցման դոսյեի 3.2.Р.8 բաժին):</w:t>
      </w:r>
    </w:p>
    <w:p w14:paraId="071E7BA0" w14:textId="77777777" w:rsidR="008C76E0" w:rsidRPr="003B2786" w:rsidRDefault="008C76E0" w:rsidP="00473371">
      <w:pPr>
        <w:spacing w:after="160" w:line="336" w:lineRule="auto"/>
        <w:ind w:right="-1" w:firstLine="567"/>
        <w:jc w:val="both"/>
        <w:rPr>
          <w:rFonts w:ascii="Sylfaen" w:hAnsi="Sylfaen"/>
          <w:sz w:val="24"/>
          <w:szCs w:val="24"/>
        </w:rPr>
      </w:pPr>
    </w:p>
    <w:p w14:paraId="37795901" w14:textId="77777777" w:rsidR="008C76E0" w:rsidRPr="003B2786" w:rsidRDefault="008C76E0" w:rsidP="00473371">
      <w:pPr>
        <w:spacing w:after="160" w:line="336" w:lineRule="auto"/>
        <w:ind w:right="-1"/>
        <w:jc w:val="center"/>
        <w:outlineLvl w:val="0"/>
        <w:rPr>
          <w:rFonts w:ascii="Sylfaen" w:hAnsi="Sylfaen"/>
          <w:sz w:val="24"/>
          <w:szCs w:val="24"/>
        </w:rPr>
      </w:pPr>
      <w:r w:rsidRPr="003B2786">
        <w:rPr>
          <w:rFonts w:ascii="Sylfaen" w:hAnsi="Sylfaen"/>
          <w:sz w:val="24"/>
          <w:szCs w:val="24"/>
        </w:rPr>
        <w:t>4.8. Կայունությունը (մոդուլ 3.2.Р.8)</w:t>
      </w:r>
    </w:p>
    <w:p w14:paraId="455857D3"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Տվյալ բաժնում արտացոլվում են գրանցման դոսյեի հետ</w:t>
      </w:r>
      <w:r w:rsidR="00C54D75">
        <w:rPr>
          <w:rFonts w:ascii="Sylfaen" w:hAnsi="Sylfaen"/>
          <w:sz w:val="24"/>
          <w:szCs w:val="24"/>
        </w:rPr>
        <w:t>և</w:t>
      </w:r>
      <w:r w:rsidRPr="003B2786">
        <w:rPr>
          <w:rFonts w:ascii="Sylfaen" w:hAnsi="Sylfaen"/>
          <w:sz w:val="24"/>
          <w:szCs w:val="24"/>
        </w:rPr>
        <w:t>յալ բաժիններում նշված տեղեկությունների փորձաքննության արդյունքները՝</w:t>
      </w:r>
    </w:p>
    <w:p w14:paraId="692E1909"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Р.8.1.</w:t>
      </w:r>
      <w:r w:rsidRPr="003B2786">
        <w:rPr>
          <w:rFonts w:ascii="Sylfaen" w:hAnsi="Sylfaen"/>
          <w:sz w:val="24"/>
          <w:szCs w:val="24"/>
        </w:rPr>
        <w:tab/>
        <w:t xml:space="preserve">Կայունության փորձարկումների վերաբերյալ ռեզյումեն </w:t>
      </w:r>
      <w:r w:rsidR="00C54D75">
        <w:rPr>
          <w:rFonts w:ascii="Sylfaen" w:hAnsi="Sylfaen"/>
          <w:sz w:val="24"/>
          <w:szCs w:val="24"/>
        </w:rPr>
        <w:t>և</w:t>
      </w:r>
      <w:r w:rsidRPr="003B2786">
        <w:rPr>
          <w:rFonts w:ascii="Sylfaen" w:hAnsi="Sylfaen"/>
          <w:sz w:val="24"/>
          <w:szCs w:val="24"/>
        </w:rPr>
        <w:t xml:space="preserve"> կայունության վերաբերյալ եզրակացությունը:</w:t>
      </w:r>
    </w:p>
    <w:p w14:paraId="288350E0"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Р.8.2.</w:t>
      </w:r>
      <w:r w:rsidRPr="003B2786">
        <w:rPr>
          <w:rFonts w:ascii="Sylfaen" w:hAnsi="Sylfaen"/>
          <w:sz w:val="24"/>
          <w:szCs w:val="24"/>
        </w:rPr>
        <w:tab/>
        <w:t xml:space="preserve">Կայունության հետգրանցումային փորձարկումների ծրագիրը </w:t>
      </w:r>
      <w:r w:rsidR="00C54D75">
        <w:rPr>
          <w:rFonts w:ascii="Sylfaen" w:hAnsi="Sylfaen"/>
          <w:sz w:val="24"/>
          <w:szCs w:val="24"/>
        </w:rPr>
        <w:t>և</w:t>
      </w:r>
      <w:r w:rsidRPr="003B2786">
        <w:rPr>
          <w:rFonts w:ascii="Sylfaen" w:hAnsi="Sylfaen"/>
          <w:sz w:val="24"/>
          <w:szCs w:val="24"/>
        </w:rPr>
        <w:t xml:space="preserve"> կայունության ուսումնասիրության մասով պարտավորությունները:</w:t>
      </w:r>
    </w:p>
    <w:p w14:paraId="50C27CB6" w14:textId="77777777" w:rsidR="008C76E0" w:rsidRPr="003B2786" w:rsidRDefault="008C76E0" w:rsidP="001F0952">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Р.8.3.</w:t>
      </w:r>
      <w:r w:rsidRPr="003B2786">
        <w:rPr>
          <w:rFonts w:ascii="Sylfaen" w:hAnsi="Sylfaen"/>
          <w:sz w:val="24"/>
          <w:szCs w:val="24"/>
        </w:rPr>
        <w:tab/>
        <w:t>Կայունության փորձարկումների տվյալները:</w:t>
      </w:r>
    </w:p>
    <w:p w14:paraId="50373C1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Հարկ է նշել, թե արդյոք հետազոտություններն անցկացվել են Միության գործող ձեռնարկներին համապատասխան: Անհրաժեշտ է ընդգծել շեղումների առկայությունը </w:t>
      </w:r>
      <w:r w:rsidR="00C54D75">
        <w:rPr>
          <w:rFonts w:ascii="Sylfaen" w:hAnsi="Sylfaen"/>
          <w:sz w:val="24"/>
          <w:szCs w:val="24"/>
        </w:rPr>
        <w:t>և</w:t>
      </w:r>
      <w:r w:rsidRPr="003B2786">
        <w:rPr>
          <w:rFonts w:ascii="Sylfaen" w:hAnsi="Sylfaen"/>
          <w:sz w:val="24"/>
          <w:szCs w:val="24"/>
        </w:rPr>
        <w:t xml:space="preserve"> դրանց հիմնավորվածությունը:</w:t>
      </w:r>
    </w:p>
    <w:p w14:paraId="72082BD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կայունության հետգրանցումային փորձարկումների ծրագրի բավարար լինելը մասնավորապես որոշվող </w:t>
      </w:r>
      <w:r w:rsidRPr="003B2786">
        <w:rPr>
          <w:rFonts w:ascii="Sylfaen" w:hAnsi="Sylfaen"/>
          <w:sz w:val="24"/>
          <w:szCs w:val="24"/>
        </w:rPr>
        <w:lastRenderedPageBreak/>
        <w:t xml:space="preserve">պարամետրերի մասով: Անհրաժեշտ է գնահատել ծայրահեղ տարբերակների (բրեքեթինգի) հետազոտության </w:t>
      </w:r>
      <w:r w:rsidR="00C54D75">
        <w:rPr>
          <w:rFonts w:ascii="Sylfaen" w:hAnsi="Sylfaen"/>
          <w:sz w:val="24"/>
          <w:szCs w:val="24"/>
        </w:rPr>
        <w:t>և</w:t>
      </w:r>
      <w:r w:rsidRPr="003B2786">
        <w:rPr>
          <w:rFonts w:ascii="Sylfaen" w:hAnsi="Sylfaen"/>
          <w:sz w:val="24"/>
          <w:szCs w:val="24"/>
        </w:rPr>
        <w:t xml:space="preserve"> մատրիցային մեթոդի (խմբավորման կամ մատրիցավորման մեթոդի) ընդունելիությունը:</w:t>
      </w:r>
    </w:p>
    <w:p w14:paraId="3E87DFB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թե արդյոք օգտագործված մեթոդիկաները համապատասխանում են Р.5-ում նկարագրված մեթոդիկաներին: Անհրաժեշտ է համոզվել, որ դրանք վալիդացված են </w:t>
      </w:r>
      <w:r w:rsidR="00C54D75">
        <w:rPr>
          <w:rFonts w:ascii="Sylfaen" w:hAnsi="Sylfaen"/>
          <w:sz w:val="24"/>
          <w:szCs w:val="24"/>
        </w:rPr>
        <w:t>և</w:t>
      </w:r>
      <w:r w:rsidRPr="003B2786">
        <w:rPr>
          <w:rFonts w:ascii="Sylfaen" w:hAnsi="Sylfaen"/>
          <w:sz w:val="24"/>
          <w:szCs w:val="24"/>
        </w:rPr>
        <w:t xml:space="preserve"> թույլ են տալիս գնահատել դեղապատրաստուկի կայունությունը:</w:t>
      </w:r>
    </w:p>
    <w:p w14:paraId="7D9EDAF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համոզվել, որ կայունության հետազոտություններում օգտագործված կոնտեյներները համընկնում են ընթացիկ պահպանման համար առաջարկված կոնտեյներների հետ:</w:t>
      </w:r>
    </w:p>
    <w:p w14:paraId="5243A50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ուշադրություն դարձնել այն հանգամանքին, որ ԱԴԲ-ում որակավորված խառնուկները միշտ չէ, որ ներառում են քայքայման արգասիքներ, որոնք առաջանում են դեղապատրաստուկում կամ դրա արտադրության պրոցեսում: Բացի այդ, պահպանման ընթացքում կարող են փոփոխվել նա</w:t>
      </w:r>
      <w:r w:rsidR="00C54D75">
        <w:rPr>
          <w:rFonts w:ascii="Sylfaen" w:hAnsi="Sylfaen"/>
          <w:sz w:val="24"/>
          <w:szCs w:val="24"/>
        </w:rPr>
        <w:t>և</w:t>
      </w:r>
      <w:r w:rsidRPr="003B2786">
        <w:rPr>
          <w:rFonts w:ascii="Sylfaen" w:hAnsi="Sylfaen"/>
          <w:sz w:val="24"/>
          <w:szCs w:val="24"/>
        </w:rPr>
        <w:t xml:space="preserve"> պատրաստուկի այլ բնութագրեր, ինչը պահանջում է հիմնավորման գնահատում՝ հաշվի առնելով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արդյունքները:</w:t>
      </w:r>
    </w:p>
    <w:p w14:paraId="081FC3DC" w14:textId="77777777" w:rsidR="008C76E0" w:rsidRDefault="008C76E0" w:rsidP="00473371">
      <w:pPr>
        <w:spacing w:after="160" w:line="360" w:lineRule="auto"/>
        <w:ind w:firstLine="567"/>
        <w:jc w:val="both"/>
        <w:outlineLvl w:val="0"/>
        <w:rPr>
          <w:rFonts w:ascii="Sylfaen" w:hAnsi="Sylfaen"/>
          <w:sz w:val="24"/>
          <w:szCs w:val="24"/>
        </w:rPr>
      </w:pPr>
      <w:r w:rsidRPr="003B2786">
        <w:rPr>
          <w:rFonts w:ascii="Sylfaen" w:hAnsi="Sylfaen"/>
          <w:sz w:val="24"/>
          <w:szCs w:val="24"/>
        </w:rPr>
        <w:t xml:space="preserve">Անհրաժեշտ է համոզվել առաջարկվող պիտանելիության ժամկետի բավարար լինելու </w:t>
      </w:r>
      <w:r w:rsidR="00C54D75">
        <w:rPr>
          <w:rFonts w:ascii="Sylfaen" w:hAnsi="Sylfaen"/>
          <w:sz w:val="24"/>
          <w:szCs w:val="24"/>
        </w:rPr>
        <w:t>և</w:t>
      </w:r>
      <w:r w:rsidRPr="003B2786">
        <w:rPr>
          <w:rFonts w:ascii="Sylfaen" w:hAnsi="Sylfaen"/>
          <w:sz w:val="24"/>
          <w:szCs w:val="24"/>
        </w:rPr>
        <w:t xml:space="preserve"> պահպանման պայմանների ընդունելիության մեջ:</w:t>
      </w:r>
    </w:p>
    <w:p w14:paraId="45A9841F"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Կիրառման համար պատրաստ դեղապատրաստուկի կայունությունը:</w:t>
      </w:r>
    </w:p>
    <w:p w14:paraId="133E71C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Նա</w:t>
      </w:r>
      <w:r w:rsidR="00C54D75">
        <w:rPr>
          <w:rFonts w:ascii="Sylfaen" w:hAnsi="Sylfaen"/>
          <w:sz w:val="24"/>
          <w:szCs w:val="24"/>
        </w:rPr>
        <w:t>և</w:t>
      </w:r>
      <w:r w:rsidRPr="003B2786">
        <w:rPr>
          <w:rFonts w:ascii="Sylfaen" w:hAnsi="Sylfaen"/>
          <w:sz w:val="24"/>
          <w:szCs w:val="24"/>
        </w:rPr>
        <w:t xml:space="preserve"> անհրաժեշտ է գնահատել կայունությունը՝ բացելուց հետո </w:t>
      </w:r>
      <w:r w:rsidR="00C54D75">
        <w:rPr>
          <w:rFonts w:ascii="Sylfaen" w:hAnsi="Sylfaen"/>
          <w:sz w:val="24"/>
          <w:szCs w:val="24"/>
        </w:rPr>
        <w:t>և</w:t>
      </w:r>
      <w:r w:rsidRPr="003B2786">
        <w:rPr>
          <w:rFonts w:ascii="Sylfaen" w:hAnsi="Sylfaen"/>
          <w:sz w:val="24"/>
          <w:szCs w:val="24"/>
        </w:rPr>
        <w:t xml:space="preserve"> կիրառման ընթացքում, օրինակ՝ նոսրացման համար խտանյութերի համար պահանջվում է գնահատել կայունությունը նոսրացումից հետո </w:t>
      </w:r>
      <w:r w:rsidR="00C54D75">
        <w:rPr>
          <w:rFonts w:ascii="Sylfaen" w:hAnsi="Sylfaen"/>
          <w:sz w:val="24"/>
          <w:szCs w:val="24"/>
        </w:rPr>
        <w:t>և</w:t>
      </w:r>
      <w:r w:rsidRPr="003B2786">
        <w:rPr>
          <w:rFonts w:ascii="Sylfaen" w:hAnsi="Sylfaen"/>
          <w:sz w:val="24"/>
          <w:szCs w:val="24"/>
        </w:rPr>
        <w:t xml:space="preserve"> ներմուծման ընթացքում, ներմուծման համար նախատեսված հասանելի բժշկական արտադրատեսակների հետ համատեղելիությունը </w:t>
      </w:r>
      <w:r w:rsidR="00C54D75">
        <w:rPr>
          <w:rFonts w:ascii="Sylfaen" w:hAnsi="Sylfaen"/>
          <w:sz w:val="24"/>
          <w:szCs w:val="24"/>
        </w:rPr>
        <w:t>և</w:t>
      </w:r>
      <w:r w:rsidRPr="003B2786">
        <w:rPr>
          <w:rFonts w:ascii="Sylfaen" w:hAnsi="Sylfaen"/>
          <w:sz w:val="24"/>
          <w:szCs w:val="24"/>
        </w:rPr>
        <w:t xml:space="preserve"> այլն: Հարկ է գնահատել կիրառության համար պատրաստ դեղապատրաստուկի պիտանելիության ժամկետի </w:t>
      </w:r>
      <w:r w:rsidR="00C54D75">
        <w:rPr>
          <w:rFonts w:ascii="Sylfaen" w:hAnsi="Sylfaen"/>
          <w:sz w:val="24"/>
          <w:szCs w:val="24"/>
        </w:rPr>
        <w:t>և</w:t>
      </w:r>
      <w:r w:rsidRPr="003B2786">
        <w:rPr>
          <w:rFonts w:ascii="Sylfaen" w:hAnsi="Sylfaen"/>
          <w:sz w:val="24"/>
          <w:szCs w:val="24"/>
        </w:rPr>
        <w:t xml:space="preserve"> պահպանման պայմանների որոշման անհրաժեշտությունը: Անհրաժեշտ է գնահատել մշակողի </w:t>
      </w:r>
      <w:r w:rsidRPr="003B2786">
        <w:rPr>
          <w:rFonts w:ascii="Sylfaen" w:hAnsi="Sylfaen"/>
          <w:sz w:val="24"/>
          <w:szCs w:val="24"/>
        </w:rPr>
        <w:lastRenderedPageBreak/>
        <w:t>հանձնարարականների համապատասխանությունը Միության գործող ձեռնարկներին: Դրանց անհամապատասխանության դեպքում անհրաժեշտ է գնահատել շեղումների հիմնավորվածությունը:</w:t>
      </w:r>
    </w:p>
    <w:p w14:paraId="5D9EC07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Ռադիոդեղագործական պատրաստուկների համար տվյալ բաժնում թույլատրվում է բերել օգտագործողների կողմից «սառը» հավաքածուների վերականգնման մեթոդների գնահատականը, ինչպես նա</w:t>
      </w:r>
      <w:r w:rsidR="00C54D75">
        <w:rPr>
          <w:rFonts w:ascii="Sylfaen" w:hAnsi="Sylfaen"/>
          <w:sz w:val="24"/>
          <w:szCs w:val="24"/>
        </w:rPr>
        <w:t>և</w:t>
      </w:r>
      <w:r w:rsidRPr="003B2786">
        <w:rPr>
          <w:rFonts w:ascii="Sylfaen" w:hAnsi="Sylfaen"/>
          <w:sz w:val="24"/>
          <w:szCs w:val="24"/>
        </w:rPr>
        <w:t xml:space="preserve"> վերականգնումից հետո՝ դրանց կայունության գնահատականը:</w:t>
      </w:r>
    </w:p>
    <w:p w14:paraId="2E49AC42" w14:textId="77777777" w:rsidR="008C76E0" w:rsidRPr="003B2786" w:rsidRDefault="008C76E0" w:rsidP="00473371">
      <w:pPr>
        <w:spacing w:after="160" w:line="360" w:lineRule="auto"/>
        <w:ind w:right="-1" w:firstLine="567"/>
        <w:rPr>
          <w:rFonts w:ascii="Sylfaen" w:hAnsi="Sylfaen"/>
          <w:sz w:val="24"/>
          <w:szCs w:val="24"/>
        </w:rPr>
      </w:pPr>
      <w:r w:rsidRPr="003B2786">
        <w:rPr>
          <w:rFonts w:ascii="Sylfaen" w:hAnsi="Sylfaen"/>
          <w:sz w:val="24"/>
          <w:szCs w:val="24"/>
        </w:rPr>
        <w:t>Ընդհանուր տեղեկություններ:</w:t>
      </w:r>
    </w:p>
    <w:p w14:paraId="5B62277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արդյոք ԴԸԲ-ում </w:t>
      </w:r>
      <w:r w:rsidR="00C54D75">
        <w:rPr>
          <w:rFonts w:ascii="Sylfaen" w:hAnsi="Sylfaen"/>
          <w:sz w:val="24"/>
          <w:szCs w:val="24"/>
        </w:rPr>
        <w:t>և</w:t>
      </w:r>
      <w:r w:rsidRPr="003B2786">
        <w:rPr>
          <w:rFonts w:ascii="Sylfaen" w:hAnsi="Sylfaen"/>
          <w:sz w:val="24"/>
          <w:szCs w:val="24"/>
        </w:rPr>
        <w:t xml:space="preserve"> ներդիր թերթիկում վերը նշվածն ամբողջությամբ արտացոլված է պատշաճ կերպով: Անհրաժեշտ է եզրակացություն անել ԴԸԲ-ում նշված բոլոր պիտանելիության ժամկետների </w:t>
      </w:r>
      <w:r w:rsidR="00C54D75">
        <w:rPr>
          <w:rFonts w:ascii="Sylfaen" w:hAnsi="Sylfaen"/>
          <w:sz w:val="24"/>
          <w:szCs w:val="24"/>
        </w:rPr>
        <w:t>և</w:t>
      </w:r>
      <w:r w:rsidRPr="003B2786">
        <w:rPr>
          <w:rFonts w:ascii="Sylfaen" w:hAnsi="Sylfaen"/>
          <w:sz w:val="24"/>
          <w:szCs w:val="24"/>
        </w:rPr>
        <w:t xml:space="preserve"> պահպանման պայմանների հիմնավորվածության մասին:</w:t>
      </w:r>
    </w:p>
    <w:p w14:paraId="5F909848" w14:textId="77777777" w:rsidR="008C76E0" w:rsidRPr="003B2786" w:rsidRDefault="008C76E0" w:rsidP="00473371">
      <w:pPr>
        <w:spacing w:after="160" w:line="360" w:lineRule="auto"/>
        <w:ind w:right="-1" w:firstLine="567"/>
        <w:jc w:val="both"/>
        <w:rPr>
          <w:rFonts w:ascii="Sylfaen" w:hAnsi="Sylfaen"/>
          <w:sz w:val="24"/>
          <w:szCs w:val="24"/>
        </w:rPr>
      </w:pPr>
    </w:p>
    <w:p w14:paraId="492EE7C2"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5. Հավելվածները (Մոդուլ 3.2.А)</w:t>
      </w:r>
    </w:p>
    <w:p w14:paraId="277DE302"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А. 1.</w:t>
      </w:r>
      <w:r w:rsidRPr="003B2786">
        <w:rPr>
          <w:rFonts w:ascii="Sylfaen" w:hAnsi="Sylfaen"/>
          <w:sz w:val="24"/>
          <w:szCs w:val="24"/>
        </w:rPr>
        <w:tab/>
        <w:t xml:space="preserve">Արտադրական տարածքները </w:t>
      </w:r>
      <w:r w:rsidR="00C54D75">
        <w:rPr>
          <w:rFonts w:ascii="Sylfaen" w:hAnsi="Sylfaen"/>
          <w:sz w:val="24"/>
          <w:szCs w:val="24"/>
        </w:rPr>
        <w:t>և</w:t>
      </w:r>
      <w:r w:rsidRPr="003B2786">
        <w:rPr>
          <w:rFonts w:ascii="Sylfaen" w:hAnsi="Sylfaen"/>
          <w:sz w:val="24"/>
          <w:szCs w:val="24"/>
        </w:rPr>
        <w:t xml:space="preserve"> սարքավորումները:</w:t>
      </w:r>
    </w:p>
    <w:p w14:paraId="237A7BE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w:t>
      </w:r>
      <w:r w:rsidRPr="003B2786">
        <w:rPr>
          <w:rFonts w:ascii="Sylfaen" w:hAnsi="Sylfaen"/>
          <w:sz w:val="24"/>
          <w:szCs w:val="24"/>
        </w:rPr>
        <w:tab/>
        <w:t>Կողմնակի ագենտների մասով անվտանգության գնահատականը:</w:t>
      </w:r>
    </w:p>
    <w:p w14:paraId="2CF0EF6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А.2.1.</w:t>
      </w:r>
      <w:r w:rsidRPr="003B2786">
        <w:rPr>
          <w:rFonts w:ascii="Sylfaen" w:hAnsi="Sylfaen"/>
          <w:sz w:val="24"/>
          <w:szCs w:val="24"/>
        </w:rPr>
        <w:tab/>
        <w:t>Ոչ վիրուսային կողմնակի նյութեր:</w:t>
      </w:r>
    </w:p>
    <w:p w14:paraId="321D97D1"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հսկողությունը:</w:t>
      </w:r>
    </w:p>
    <w:p w14:paraId="3455EC64" w14:textId="77777777" w:rsidR="008C76E0" w:rsidRPr="003B2786" w:rsidRDefault="008C76E0" w:rsidP="001F0952">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А.2.1.2.</w:t>
      </w:r>
      <w:r w:rsidRPr="003B2786">
        <w:rPr>
          <w:rFonts w:ascii="Sylfaen" w:hAnsi="Sylfaen"/>
          <w:sz w:val="24"/>
          <w:szCs w:val="24"/>
        </w:rPr>
        <w:tab/>
        <w:t>Կենդանիների փոխանցվող սպունգանման էնցեֆալոպաթիայով կոնտամինացիայի ռիսկը:</w:t>
      </w:r>
    </w:p>
    <w:p w14:paraId="5F5A8C65" w14:textId="77777777" w:rsidR="008C76E0" w:rsidRPr="003B2786" w:rsidRDefault="008C76E0" w:rsidP="001F095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հսկողությունը:</w:t>
      </w:r>
    </w:p>
    <w:p w14:paraId="2FC8F741"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Անհրաժեշտ է ներկայացնել խաչաձ</w:t>
      </w:r>
      <w:r w:rsidR="00C54D75">
        <w:rPr>
          <w:rFonts w:ascii="Sylfaen" w:hAnsi="Sylfaen"/>
          <w:sz w:val="24"/>
          <w:szCs w:val="24"/>
        </w:rPr>
        <w:t>և</w:t>
      </w:r>
      <w:r w:rsidRPr="003B2786">
        <w:rPr>
          <w:rFonts w:ascii="Sylfaen" w:hAnsi="Sylfaen"/>
          <w:sz w:val="24"/>
          <w:szCs w:val="24"/>
        </w:rPr>
        <w:t xml:space="preserve"> հղումներ փորձագիտական հաշվետվության մյուս մասերին (արտադրության պրոցեսը </w:t>
      </w:r>
      <w:r w:rsidR="00C54D75">
        <w:rPr>
          <w:rFonts w:ascii="Sylfaen" w:hAnsi="Sylfaen"/>
          <w:sz w:val="24"/>
          <w:szCs w:val="24"/>
        </w:rPr>
        <w:t>և</w:t>
      </w:r>
      <w:r w:rsidRPr="003B2786">
        <w:rPr>
          <w:rFonts w:ascii="Sylfaen" w:hAnsi="Sylfaen"/>
          <w:sz w:val="24"/>
          <w:szCs w:val="24"/>
        </w:rPr>
        <w:t xml:space="preserve"> այլն):</w:t>
      </w:r>
    </w:p>
    <w:p w14:paraId="4BC2360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Միկոպլազմայի, բակտերիաների </w:t>
      </w:r>
      <w:r w:rsidR="00C54D75">
        <w:rPr>
          <w:rFonts w:ascii="Sylfaen" w:hAnsi="Sylfaen"/>
          <w:sz w:val="24"/>
          <w:szCs w:val="24"/>
        </w:rPr>
        <w:t>և</w:t>
      </w:r>
      <w:r w:rsidRPr="003B2786">
        <w:rPr>
          <w:rFonts w:ascii="Sylfaen" w:hAnsi="Sylfaen"/>
          <w:sz w:val="24"/>
          <w:szCs w:val="24"/>
        </w:rPr>
        <w:t xml:space="preserve"> սնկերի պարունակության </w:t>
      </w:r>
      <w:r w:rsidRPr="003B2786">
        <w:rPr>
          <w:rFonts w:ascii="Sylfaen" w:hAnsi="Sylfaen"/>
          <w:sz w:val="24"/>
          <w:szCs w:val="24"/>
        </w:rPr>
        <w:lastRenderedPageBreak/>
        <w:t>փորձարկումների համար ոչ դեղագրքային մեթոդների օգտագործման դեպքում անհրաժեշտ է անցկացնել դրանց գնահատումը:</w:t>
      </w:r>
    </w:p>
    <w:p w14:paraId="74A08ED3"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որոշ ռեակտիվների կամ նյութերի մասով առաջացել են մանրէազերծության հետ կապված խնդիրներ, անհրաժեշտ է մանրամասն գնահատում անցկացնել:</w:t>
      </w:r>
    </w:p>
    <w:p w14:paraId="4E942964"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Կենդանիների փոխանցվող սպունգանման էնցեֆալոպաթիայի փոխանցման ռիսկը:</w:t>
      </w:r>
    </w:p>
    <w:p w14:paraId="2504BB2B" w14:textId="252203E3" w:rsidR="008C76E0" w:rsidRPr="003B2786" w:rsidRDefault="008C76E0" w:rsidP="00473371">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սպունգանման էնցեֆալոպաթիայի հարուցիչների փոխանցման ռիսկի նվազեցման ձեռնարկում հիշատակված նյութերը թվարկել Միության դեղագրքի համաձայն (տե՛ս, աղյուսակ А-ն) </w:t>
      </w:r>
      <w:r w:rsidR="00C54D75">
        <w:rPr>
          <w:rFonts w:ascii="Sylfaen" w:hAnsi="Sylfaen"/>
          <w:sz w:val="24"/>
          <w:szCs w:val="24"/>
        </w:rPr>
        <w:t>և</w:t>
      </w:r>
      <w:r w:rsidRPr="003B2786">
        <w:rPr>
          <w:rFonts w:ascii="Sylfaen" w:hAnsi="Sylfaen"/>
          <w:sz w:val="24"/>
          <w:szCs w:val="24"/>
        </w:rPr>
        <w:t xml:space="preserve"> գնահատել </w:t>
      </w:r>
      <w:r w:rsidR="0056496B">
        <w:rPr>
          <w:rFonts w:ascii="Sylfaen" w:hAnsi="Sylfaen"/>
          <w:sz w:val="24"/>
          <w:szCs w:val="24"/>
        </w:rPr>
        <w:t>դիմումատու</w:t>
      </w:r>
      <w:r w:rsidRPr="003B2786">
        <w:rPr>
          <w:rFonts w:ascii="Sylfaen" w:hAnsi="Sylfaen"/>
          <w:sz w:val="24"/>
          <w:szCs w:val="24"/>
        </w:rPr>
        <w:t>ի կողմից ՓՍԷ ագենտների հսկողությանը ներկայացվող պահանջների պահպանումը (СЕР-սերտիֆիկատ կամ գիտական փաստաթղթեր): Նպատակահարմար է առավել կար</w:t>
      </w:r>
      <w:r w:rsidR="00C54D75">
        <w:rPr>
          <w:rFonts w:ascii="Sylfaen" w:hAnsi="Sylfaen"/>
          <w:sz w:val="24"/>
          <w:szCs w:val="24"/>
        </w:rPr>
        <w:t>և</w:t>
      </w:r>
      <w:r w:rsidRPr="003B2786">
        <w:rPr>
          <w:rFonts w:ascii="Sylfaen" w:hAnsi="Sylfaen"/>
          <w:sz w:val="24"/>
          <w:szCs w:val="24"/>
        </w:rPr>
        <w:t>որ տեղեկատվության ռեզյումեն ներկայացնել աղյուսակային տեսքով:</w:t>
      </w:r>
    </w:p>
    <w:p w14:paraId="418D324B" w14:textId="77777777" w:rsidR="008C76E0" w:rsidRPr="003B2786" w:rsidRDefault="008C76E0" w:rsidP="00473371">
      <w:pPr>
        <w:spacing w:after="160" w:line="336" w:lineRule="auto"/>
        <w:ind w:right="-1" w:firstLine="567"/>
        <w:jc w:val="both"/>
        <w:rPr>
          <w:rFonts w:ascii="Sylfaen" w:hAnsi="Sylfaen"/>
          <w:sz w:val="24"/>
          <w:szCs w:val="24"/>
        </w:rPr>
      </w:pPr>
      <w:r w:rsidRPr="003B2786">
        <w:rPr>
          <w:rFonts w:ascii="Sylfaen" w:hAnsi="Sylfaen"/>
          <w:sz w:val="24"/>
          <w:szCs w:val="24"/>
        </w:rPr>
        <w:t>Անհրաժեշտ է Միության դեղագրքի համաձայն գնահատել կենդանիների սպունգանման էնցեֆալոպաթիայի հարուցիչների փոխանցման ռիսկի նվազեցման ձեռնարկի պահանջներին համապատասխանությունը հաստատող փաստաթղթերը, եթե կիրառելի է:</w:t>
      </w:r>
    </w:p>
    <w:p w14:paraId="60CF40A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Եզրակացությունը:</w:t>
      </w:r>
    </w:p>
    <w:p w14:paraId="09EF7B72"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А.2.2.</w:t>
      </w:r>
      <w:r w:rsidRPr="003B2786">
        <w:rPr>
          <w:rFonts w:ascii="Sylfaen" w:hAnsi="Sylfaen"/>
          <w:sz w:val="24"/>
          <w:szCs w:val="24"/>
        </w:rPr>
        <w:tab/>
        <w:t>Կողմնակի վիրուսներ:</w:t>
      </w:r>
    </w:p>
    <w:p w14:paraId="435F69CE"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Կենսաբանական ծագման նյութերի առկայությունը սահմանելու դեպքում հարկ է կատարել հետ</w:t>
      </w:r>
      <w:r w:rsidR="00C54D75">
        <w:rPr>
          <w:rFonts w:ascii="Sylfaen" w:hAnsi="Sylfaen"/>
          <w:sz w:val="24"/>
          <w:szCs w:val="24"/>
        </w:rPr>
        <w:t>և</w:t>
      </w:r>
      <w:r w:rsidRPr="003B2786">
        <w:rPr>
          <w:rFonts w:ascii="Sylfaen" w:hAnsi="Sylfaen"/>
          <w:sz w:val="24"/>
          <w:szCs w:val="24"/>
        </w:rPr>
        <w:t>յալ ասպեկտների վերլուծությունը:</w:t>
      </w:r>
    </w:p>
    <w:p w14:paraId="3E6ACFD0"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Փորձագիտական հաշվետվությունը. հնարավոր վիրուսային կոնտամինացիայի տեսանկյունից, նյութերի բնութագրերի ռեզյումեի հետ միասին պետք է պարունակի դեղապատրաստուկի արտադրության պրոցեսում օգտագործված կամ դրանց հետ առնչվող կենսաբանական ծագման նյութերի համառոտ նկարագրությունը կամ ցանկը: Անհրաժեշտ է ուշադրություն դարձնել </w:t>
      </w:r>
      <w:r w:rsidRPr="003B2786">
        <w:rPr>
          <w:rFonts w:ascii="Sylfaen" w:hAnsi="Sylfaen"/>
          <w:sz w:val="24"/>
          <w:szCs w:val="24"/>
        </w:rPr>
        <w:lastRenderedPageBreak/>
        <w:t>արտադրության մեջ ուղղակի կամ անուղղակի կերպով օգտագործված բջջային սուբստրատների, ռեակտիվների (օրինակ՝ աֆինային քրոմատոգրաֆիայի համար նյութեր), ինչպես նա</w:t>
      </w:r>
      <w:r w:rsidR="00C54D75">
        <w:rPr>
          <w:rFonts w:ascii="Sylfaen" w:hAnsi="Sylfaen"/>
          <w:sz w:val="24"/>
          <w:szCs w:val="24"/>
        </w:rPr>
        <w:t>և</w:t>
      </w:r>
      <w:r w:rsidRPr="003B2786">
        <w:rPr>
          <w:rFonts w:ascii="Sylfaen" w:hAnsi="Sylfaen"/>
          <w:sz w:val="24"/>
          <w:szCs w:val="24"/>
        </w:rPr>
        <w:t xml:space="preserve"> օժանդակ նյութերի վրա: Որոշ տվյալներ կարող են պարունակվել գրանցման դոսյեի 3.2.S.2.3՝ «Նյութերի որակի հսկողություն» բաժնում </w:t>
      </w:r>
      <w:r w:rsidR="00C54D75">
        <w:rPr>
          <w:rFonts w:ascii="Sylfaen" w:hAnsi="Sylfaen"/>
          <w:sz w:val="24"/>
          <w:szCs w:val="24"/>
        </w:rPr>
        <w:t>և</w:t>
      </w:r>
      <w:r w:rsidRPr="003B2786">
        <w:rPr>
          <w:rFonts w:ascii="Sylfaen" w:hAnsi="Sylfaen"/>
          <w:sz w:val="24"/>
          <w:szCs w:val="24"/>
        </w:rPr>
        <w:t xml:space="preserve"> 3.2.Р.4.5՝ «Մարդկային կամ կենդանական ծագման օժանդակ նյութեր» բաժնում:</w:t>
      </w:r>
    </w:p>
    <w:p w14:paraId="22B33F72"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Ելանյութերի </w:t>
      </w:r>
      <w:r w:rsidR="00C54D75">
        <w:rPr>
          <w:rFonts w:ascii="Sylfaen" w:hAnsi="Sylfaen"/>
          <w:sz w:val="24"/>
          <w:szCs w:val="24"/>
        </w:rPr>
        <w:t>և</w:t>
      </w:r>
      <w:r w:rsidRPr="003B2786">
        <w:rPr>
          <w:rFonts w:ascii="Sylfaen" w:hAnsi="Sylfaen"/>
          <w:sz w:val="24"/>
          <w:szCs w:val="24"/>
        </w:rPr>
        <w:t xml:space="preserve"> հումքի փորձարկումը:</w:t>
      </w:r>
    </w:p>
    <w:p w14:paraId="5195CCEF" w14:textId="77777777" w:rsidR="008C76E0" w:rsidRPr="003B2786" w:rsidRDefault="008C76E0" w:rsidP="001F0952">
      <w:pPr>
        <w:spacing w:after="160" w:line="336" w:lineRule="auto"/>
        <w:ind w:right="-1" w:firstLine="567"/>
        <w:jc w:val="both"/>
        <w:rPr>
          <w:rFonts w:ascii="Sylfaen" w:hAnsi="Sylfaen"/>
          <w:sz w:val="24"/>
          <w:szCs w:val="24"/>
        </w:rPr>
      </w:pPr>
      <w:r w:rsidRPr="003B2786">
        <w:rPr>
          <w:rFonts w:ascii="Sylfaen" w:hAnsi="Sylfaen"/>
          <w:sz w:val="24"/>
          <w:szCs w:val="24"/>
        </w:rPr>
        <w:t xml:space="preserve">Բջջային գծերի բնութագիրը: Անցկացված փորձարկումների արդյունքներն անհրաժեշտ է գրանցել աղյուսակում: Աղյուսակը պետք է արտացոլի, թե ինչպիսի փորձարկումներ են անցկացվել </w:t>
      </w:r>
      <w:r w:rsidR="00C54D75">
        <w:rPr>
          <w:rFonts w:ascii="Sylfaen" w:hAnsi="Sylfaen"/>
          <w:sz w:val="24"/>
          <w:szCs w:val="24"/>
        </w:rPr>
        <w:t>և</w:t>
      </w:r>
      <w:r w:rsidRPr="003B2786">
        <w:rPr>
          <w:rFonts w:ascii="Sylfaen" w:hAnsi="Sylfaen"/>
          <w:sz w:val="24"/>
          <w:szCs w:val="24"/>
        </w:rPr>
        <w:t xml:space="preserve"> ինչ բջիջների վրա (բջիջների գլխավոր բանկ, բջիջների աշխատանքային բանկ, հետարտադրական բջիջներ): Անհրաժեշտ է նշել կողմնակի վիրուսների մասով in vitro հետազոտությունների համար օգտագործված բջջային գծերը, մկների </w:t>
      </w:r>
      <w:r w:rsidR="00C54D75">
        <w:rPr>
          <w:rFonts w:ascii="Sylfaen" w:hAnsi="Sylfaen"/>
          <w:sz w:val="24"/>
          <w:szCs w:val="24"/>
        </w:rPr>
        <w:t>և</w:t>
      </w:r>
      <w:r w:rsidRPr="003B2786">
        <w:rPr>
          <w:rFonts w:ascii="Sylfaen" w:hAnsi="Sylfaen"/>
          <w:sz w:val="24"/>
          <w:szCs w:val="24"/>
        </w:rPr>
        <w:t xml:space="preserve"> գերմանամկների հակամարմինների արտադրանքի փորձարկումների համար մանրամասն նկարագրություն չի պահանջվում, in vivo հետազոտությունների արդյունքները նկարագրելիս անհրաժեշտ է նշել կենդանիների տեսակները, </w:t>
      </w:r>
      <w:r w:rsidR="00C54D75">
        <w:rPr>
          <w:rFonts w:ascii="Sylfaen" w:hAnsi="Sylfaen"/>
          <w:sz w:val="24"/>
          <w:szCs w:val="24"/>
        </w:rPr>
        <w:t>և</w:t>
      </w:r>
      <w:r w:rsidRPr="003B2786">
        <w:rPr>
          <w:rFonts w:ascii="Sylfaen" w:hAnsi="Sylfaen"/>
          <w:sz w:val="24"/>
          <w:szCs w:val="24"/>
        </w:rPr>
        <w:t xml:space="preserve"> եթե նշանակալի է, ներմուծման ուղին: Անհրաժեշտ է նշել, թե արդյոք կողմնակի վիրուսների առկայության մասով ուսումնասիրվել են չմշակված, չբաժնեծրարված պատրաստուկի երեք սերիաներ: </w:t>
      </w:r>
    </w:p>
    <w:p w14:paraId="7AE3C277"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Պլազմայի ածանցյալների դեպքում անհրաժեշտ է հղում բերել պլազմայի մաստեր-ֆայլին կամ դրանում պարունակվող տվյալների փորձաքննության արդյունքներին:</w:t>
      </w:r>
    </w:p>
    <w:p w14:paraId="0EA840AD"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Փորձագիտական հաշվետվության մեջ անհրաժեշտ է լուսաբանել դոնորների, դոնորային հյուսվածքների </w:t>
      </w:r>
      <w:r w:rsidR="00C54D75">
        <w:rPr>
          <w:rFonts w:ascii="Sylfaen" w:hAnsi="Sylfaen"/>
          <w:sz w:val="24"/>
          <w:szCs w:val="24"/>
        </w:rPr>
        <w:t>և</w:t>
      </w:r>
      <w:r w:rsidRPr="003B2786">
        <w:rPr>
          <w:rFonts w:ascii="Sylfaen" w:hAnsi="Sylfaen"/>
          <w:sz w:val="24"/>
          <w:szCs w:val="24"/>
        </w:rPr>
        <w:t xml:space="preserve"> բջիջների բանկերի նկատմամբ հսկողության միջոցները (մարդու հյուսվածքներից ստացված պատրաստուկների մասով):</w:t>
      </w:r>
    </w:p>
    <w:p w14:paraId="67C5E09F" w14:textId="77777777" w:rsidR="008C76E0" w:rsidRPr="003B2786" w:rsidRDefault="008C76E0" w:rsidP="001F0952">
      <w:pPr>
        <w:spacing w:after="160" w:line="336" w:lineRule="auto"/>
        <w:ind w:firstLine="567"/>
        <w:jc w:val="both"/>
        <w:rPr>
          <w:rFonts w:ascii="Sylfaen" w:hAnsi="Sylfaen"/>
          <w:sz w:val="24"/>
          <w:szCs w:val="24"/>
        </w:rPr>
      </w:pPr>
      <w:r w:rsidRPr="003B2786">
        <w:rPr>
          <w:rFonts w:ascii="Sylfaen" w:hAnsi="Sylfaen"/>
          <w:sz w:val="24"/>
          <w:szCs w:val="24"/>
        </w:rPr>
        <w:t xml:space="preserve">Պատվաստանյութերի դեպքում անհրաժեշտ է նշել, թե արդյոք անցկացվել են Միության դեղագրքով </w:t>
      </w:r>
      <w:r w:rsidR="00C54D75">
        <w:rPr>
          <w:rFonts w:ascii="Sylfaen" w:hAnsi="Sylfaen"/>
          <w:sz w:val="24"/>
          <w:szCs w:val="24"/>
        </w:rPr>
        <w:t>և</w:t>
      </w:r>
      <w:r w:rsidRPr="003B2786">
        <w:rPr>
          <w:rFonts w:ascii="Sylfaen" w:hAnsi="Sylfaen"/>
          <w:sz w:val="24"/>
          <w:szCs w:val="24"/>
        </w:rPr>
        <w:t xml:space="preserve"> ԱՀԿ-ի հանձնարարականներով նախատեսված բոլոր փորձարկումները </w:t>
      </w:r>
      <w:r w:rsidR="00C54D75">
        <w:rPr>
          <w:rFonts w:ascii="Sylfaen" w:hAnsi="Sylfaen"/>
          <w:sz w:val="24"/>
          <w:szCs w:val="24"/>
        </w:rPr>
        <w:t>և</w:t>
      </w:r>
      <w:r w:rsidRPr="003B2786">
        <w:rPr>
          <w:rFonts w:ascii="Sylfaen" w:hAnsi="Sylfaen"/>
          <w:sz w:val="24"/>
          <w:szCs w:val="24"/>
        </w:rPr>
        <w:t xml:space="preserve"> ստուգիչ միջոցառումները՝ սպեցիֆիկ </w:t>
      </w:r>
      <w:r w:rsidR="00C54D75">
        <w:rPr>
          <w:rFonts w:ascii="Sylfaen" w:hAnsi="Sylfaen"/>
          <w:sz w:val="24"/>
          <w:szCs w:val="24"/>
        </w:rPr>
        <w:t>և</w:t>
      </w:r>
      <w:r w:rsidRPr="003B2786">
        <w:rPr>
          <w:rFonts w:ascii="Sylfaen" w:hAnsi="Sylfaen"/>
          <w:sz w:val="24"/>
          <w:szCs w:val="24"/>
        </w:rPr>
        <w:t xml:space="preserve"> ոչ սպեցիֆիկ կողմնակի ագենտներով կոնտամինացիան չթույլատրելու նպատակով:</w:t>
      </w:r>
    </w:p>
    <w:p w14:paraId="2D47214F" w14:textId="6C5B6F6C"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2.1 կետում ներկայացված տեղեկատվության հիման վրա անհրաժեշտ է </w:t>
      </w:r>
      <w:r w:rsidRPr="003B2786">
        <w:rPr>
          <w:rFonts w:ascii="Sylfaen" w:hAnsi="Sylfaen"/>
          <w:sz w:val="24"/>
          <w:szCs w:val="24"/>
        </w:rPr>
        <w:lastRenderedPageBreak/>
        <w:t xml:space="preserve">գնահատել, թե արդյոք </w:t>
      </w:r>
      <w:r w:rsidR="0056496B">
        <w:rPr>
          <w:rFonts w:ascii="Sylfaen" w:hAnsi="Sylfaen"/>
          <w:sz w:val="24"/>
          <w:szCs w:val="24"/>
        </w:rPr>
        <w:t>դիմումատու</w:t>
      </w:r>
      <w:r w:rsidRPr="003B2786">
        <w:rPr>
          <w:rFonts w:ascii="Sylfaen" w:hAnsi="Sylfaen"/>
          <w:sz w:val="24"/>
          <w:szCs w:val="24"/>
        </w:rPr>
        <w:t>ն վիրուսային կոնտամինացիայի մասով պատշաճ ուսումնասիրություն է անցկացրել:</w:t>
      </w:r>
    </w:p>
    <w:p w14:paraId="1CD59C9B"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2.3.</w:t>
      </w:r>
      <w:r w:rsidRPr="003B2786">
        <w:rPr>
          <w:rFonts w:ascii="Sylfaen" w:hAnsi="Sylfaen"/>
          <w:sz w:val="24"/>
          <w:szCs w:val="24"/>
        </w:rPr>
        <w:tab/>
        <w:t>Չմշակված, չբաժնեծրարված արտադրանքի ընթացիկ փորձարկումները (եթե կիրառելի է):</w:t>
      </w:r>
    </w:p>
    <w:p w14:paraId="49E5B60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Բջիջներից ստացված պատրաստուկների դեպքում անհրաժեշտ է նշել, թե արդյոք պահանջվում է չմշակված, չբաժնեծրարված արտադրանքի ընթացիկ փորձարկումների անցկացում: Անհրաժեշտ է գնահատել փորձարկումների ռեժիմի ընդունելիությունն ու բավարար լինելը:</w:t>
      </w:r>
    </w:p>
    <w:p w14:paraId="0C8534F0" w14:textId="2A5B8EE4"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Pr>
          <w:rFonts w:ascii="Sylfaen" w:hAnsi="Sylfaen"/>
          <w:sz w:val="24"/>
          <w:szCs w:val="24"/>
        </w:rPr>
        <w:t>.</w:t>
      </w:r>
      <w:r>
        <w:rPr>
          <w:rFonts w:ascii="Sylfaen" w:hAnsi="Sylfaen"/>
          <w:sz w:val="24"/>
          <w:szCs w:val="24"/>
        </w:rPr>
        <w:tab/>
      </w:r>
      <w:r w:rsidRPr="003B2786">
        <w:rPr>
          <w:rFonts w:ascii="Sylfaen" w:hAnsi="Sylfaen"/>
          <w:sz w:val="24"/>
          <w:szCs w:val="24"/>
        </w:rPr>
        <w:t xml:space="preserve">կետում ներկայացված տեղեկատվության հիման վրա անհրաժեշտ է գնահատել, թե արդյոք </w:t>
      </w:r>
      <w:r w:rsidR="0056496B">
        <w:rPr>
          <w:rFonts w:ascii="Sylfaen" w:hAnsi="Sylfaen"/>
          <w:sz w:val="24"/>
          <w:szCs w:val="24"/>
        </w:rPr>
        <w:t>դիմումատու</w:t>
      </w:r>
      <w:r w:rsidRPr="003B2786">
        <w:rPr>
          <w:rFonts w:ascii="Sylfaen" w:hAnsi="Sylfaen"/>
          <w:sz w:val="24"/>
          <w:szCs w:val="24"/>
        </w:rPr>
        <w:t>ն մշակել է ընթացիկ փորձարկումների պատշաճ ռազմավարություն:</w:t>
      </w:r>
    </w:p>
    <w:p w14:paraId="6D4CA17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Մաքրված, չբաժնեծրարված արտադրանքի փորձարկումները (եթե</w:t>
      </w:r>
      <w:r>
        <w:rPr>
          <w:rFonts w:ascii="Sylfaen" w:hAnsi="Sylfaen"/>
          <w:sz w:val="24"/>
          <w:szCs w:val="24"/>
        </w:rPr>
        <w:t> </w:t>
      </w:r>
      <w:r w:rsidRPr="003B2786">
        <w:rPr>
          <w:rFonts w:ascii="Sylfaen" w:hAnsi="Sylfaen"/>
          <w:sz w:val="24"/>
          <w:szCs w:val="24"/>
        </w:rPr>
        <w:t>կիրառելի է):</w:t>
      </w:r>
    </w:p>
    <w:p w14:paraId="2FDB60F8" w14:textId="3FF61607" w:rsidR="008C76E0" w:rsidRPr="003B2786" w:rsidRDefault="008C76E0" w:rsidP="001F0952">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w:t>
      </w:r>
      <w:r w:rsidR="0056496B">
        <w:rPr>
          <w:rFonts w:ascii="Sylfaen" w:hAnsi="Sylfaen"/>
          <w:sz w:val="24"/>
          <w:szCs w:val="24"/>
        </w:rPr>
        <w:t>դիմումատու</w:t>
      </w:r>
      <w:r w:rsidRPr="003B2786">
        <w:rPr>
          <w:rFonts w:ascii="Sylfaen" w:hAnsi="Sylfaen"/>
          <w:sz w:val="24"/>
          <w:szCs w:val="24"/>
        </w:rPr>
        <w:t xml:space="preserve">ն ներկայացրել է մաքրված, չբաժնեծրարված արտադրանքի ընթացիկ </w:t>
      </w:r>
      <w:r w:rsidR="00C54D75">
        <w:rPr>
          <w:rFonts w:ascii="Sylfaen" w:hAnsi="Sylfaen"/>
          <w:sz w:val="24"/>
          <w:szCs w:val="24"/>
        </w:rPr>
        <w:t>և</w:t>
      </w:r>
      <w:r w:rsidRPr="003B2786">
        <w:rPr>
          <w:rFonts w:ascii="Sylfaen" w:hAnsi="Sylfaen"/>
          <w:sz w:val="24"/>
          <w:szCs w:val="24"/>
        </w:rPr>
        <w:t xml:space="preserve"> ոչ ընթացիկ հսկողության բավարար չափով հիմնավորված ռեժիմ: </w:t>
      </w:r>
    </w:p>
    <w:p w14:paraId="0E23E4FC" w14:textId="77777777" w:rsidR="008C76E0" w:rsidRPr="003B2786" w:rsidRDefault="008C76E0" w:rsidP="001F0952">
      <w:pPr>
        <w:tabs>
          <w:tab w:val="left" w:pos="1134"/>
        </w:tabs>
        <w:spacing w:after="160" w:line="384" w:lineRule="auto"/>
        <w:ind w:right="-1" w:firstLine="567"/>
        <w:jc w:val="both"/>
        <w:rPr>
          <w:rFonts w:ascii="Sylfaen" w:hAnsi="Sylfaen"/>
          <w:sz w:val="24"/>
          <w:szCs w:val="24"/>
        </w:rPr>
      </w:pPr>
      <w:r w:rsidRPr="003B2786">
        <w:rPr>
          <w:rFonts w:ascii="Sylfaen" w:hAnsi="Sylfaen"/>
          <w:sz w:val="24"/>
          <w:szCs w:val="24"/>
        </w:rPr>
        <w:t>2.5.</w:t>
      </w:r>
      <w:r w:rsidRPr="003B2786">
        <w:rPr>
          <w:rFonts w:ascii="Sylfaen" w:hAnsi="Sylfaen"/>
          <w:sz w:val="24"/>
          <w:szCs w:val="24"/>
        </w:rPr>
        <w:tab/>
        <w:t>Վիրուսներից մաքրման հետազոտությունները՝</w:t>
      </w:r>
    </w:p>
    <w:p w14:paraId="121457B0" w14:textId="77777777" w:rsidR="008C76E0" w:rsidRPr="003B2786" w:rsidRDefault="008C76E0" w:rsidP="001F0952">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Անհրաժեշտ է բերել հետազոտության բովանդակային պլանի վերաբերյալ ընդհանուր տեղեկություններ:</w:t>
      </w:r>
    </w:p>
    <w:p w14:paraId="3174C0FF"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Հարկ է գնահատել պատրաստուկի՝ վիրուսներից մաքրման անհրաժեշտությունը:</w:t>
      </w:r>
    </w:p>
    <w:p w14:paraId="671CCA1B"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վիրուսներից մաքրման համար արտադրության պրոցեսի փուլերի ճշգրտությունը </w:t>
      </w:r>
      <w:r w:rsidR="00C54D75">
        <w:rPr>
          <w:rFonts w:ascii="Sylfaen" w:hAnsi="Sylfaen"/>
          <w:sz w:val="24"/>
          <w:szCs w:val="24"/>
        </w:rPr>
        <w:t>և</w:t>
      </w:r>
      <w:r w:rsidRPr="003B2786">
        <w:rPr>
          <w:rFonts w:ascii="Sylfaen" w:hAnsi="Sylfaen"/>
          <w:sz w:val="24"/>
          <w:szCs w:val="24"/>
        </w:rPr>
        <w:t xml:space="preserve"> բավարարությունը:</w:t>
      </w:r>
    </w:p>
    <w:p w14:paraId="568254FC"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վիրուսների ընտրության ճշգրտությունը:</w:t>
      </w:r>
    </w:p>
    <w:p w14:paraId="610325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գնահատել անցկացված հետազոտությունների </w:t>
      </w:r>
      <w:r w:rsidRPr="003B2786">
        <w:rPr>
          <w:rFonts w:ascii="Sylfaen" w:hAnsi="Sylfaen"/>
          <w:sz w:val="24"/>
          <w:szCs w:val="24"/>
        </w:rPr>
        <w:lastRenderedPageBreak/>
        <w:t>համապատասխանությունը Միության համապատասխան ձեռնարկների հանձնարարականներին:</w:t>
      </w:r>
    </w:p>
    <w:p w14:paraId="50D3FCBF" w14:textId="77777777" w:rsidR="008C76E0" w:rsidRPr="003B2786" w:rsidRDefault="008C76E0" w:rsidP="0047337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Արտադրության տարբեր փուլերին համապատասխան՝ ուսումնասիրության ենթարկված վալիդացման հետազոտությունների գնահատումը:</w:t>
      </w:r>
    </w:p>
    <w:p w14:paraId="6F9415EF"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1)</w:t>
      </w:r>
      <w:r w:rsidRPr="003B2786">
        <w:rPr>
          <w:rFonts w:ascii="Sylfaen" w:hAnsi="Sylfaen"/>
          <w:sz w:val="24"/>
          <w:szCs w:val="24"/>
        </w:rPr>
        <w:tab/>
        <w:t>Անհրաժեշտ է գնահատել լաբորատոր պայմաններում արտադրության արդյունաբերական պրոցեսի վերարտադրելիության աստիճանը:</w:t>
      </w:r>
    </w:p>
    <w:p w14:paraId="1F1A56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համեմատվել են արտադրության պրոցեսի կար</w:t>
      </w:r>
      <w:r w:rsidR="00C54D75">
        <w:rPr>
          <w:rFonts w:ascii="Sylfaen" w:hAnsi="Sylfaen"/>
          <w:sz w:val="24"/>
          <w:szCs w:val="24"/>
        </w:rPr>
        <w:t>և</w:t>
      </w:r>
      <w:r w:rsidRPr="003B2786">
        <w:rPr>
          <w:rFonts w:ascii="Sylfaen" w:hAnsi="Sylfaen"/>
          <w:sz w:val="24"/>
          <w:szCs w:val="24"/>
        </w:rPr>
        <w:t xml:space="preserve">որ պարամետրերը </w:t>
      </w:r>
      <w:r w:rsidR="00C54D75">
        <w:rPr>
          <w:rFonts w:ascii="Sylfaen" w:hAnsi="Sylfaen"/>
          <w:sz w:val="24"/>
          <w:szCs w:val="24"/>
        </w:rPr>
        <w:t>և</w:t>
      </w:r>
      <w:r w:rsidRPr="003B2786">
        <w:rPr>
          <w:rFonts w:ascii="Sylfaen" w:hAnsi="Sylfaen"/>
          <w:sz w:val="24"/>
          <w:szCs w:val="24"/>
        </w:rPr>
        <w:t xml:space="preserve"> արդյոք դրանք պատշաճ կերպով վերականգնվել են ապախոշորացնելիս (արտադրության պրոցեսի մասշտաբի փոքրացում մինչ</w:t>
      </w:r>
      <w:r w:rsidR="00C54D75">
        <w:rPr>
          <w:rFonts w:ascii="Sylfaen" w:hAnsi="Sylfaen"/>
          <w:sz w:val="24"/>
          <w:szCs w:val="24"/>
        </w:rPr>
        <w:t>և</w:t>
      </w:r>
      <w:r w:rsidRPr="003B2786">
        <w:rPr>
          <w:rFonts w:ascii="Sylfaen" w:hAnsi="Sylfaen"/>
          <w:sz w:val="24"/>
          <w:szCs w:val="24"/>
        </w:rPr>
        <w:t xml:space="preserve"> լաբորատորայինը):</w:t>
      </w:r>
    </w:p>
    <w:p w14:paraId="5084B71B"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Անհրաժեշտ է գնահատել, թե արդյոք ապախոշորացումը հաստատվել է օգտագործված միջանկյալ արտադրանքի կամ ֆրակցիաների վերլուծության արդյունքներով:</w:t>
      </w:r>
    </w:p>
    <w:p w14:paraId="0E7162D3" w14:textId="77777777" w:rsidR="008C76E0" w:rsidRPr="00815736" w:rsidRDefault="008C76E0" w:rsidP="00473371">
      <w:pPr>
        <w:spacing w:after="160" w:line="360" w:lineRule="auto"/>
        <w:ind w:firstLine="567"/>
        <w:jc w:val="both"/>
        <w:rPr>
          <w:rFonts w:ascii="Sylfaen" w:hAnsi="Sylfaen"/>
          <w:spacing w:val="-6"/>
          <w:sz w:val="24"/>
          <w:szCs w:val="24"/>
        </w:rPr>
      </w:pPr>
      <w:r w:rsidRPr="00815736">
        <w:rPr>
          <w:rFonts w:ascii="Sylfaen" w:hAnsi="Sylfaen"/>
          <w:spacing w:val="-6"/>
          <w:sz w:val="24"/>
          <w:szCs w:val="24"/>
        </w:rPr>
        <w:t>Քրոմատոգրաֆիական փուլերն օգտագործելիս անհրաժեշտ է գնահատել պարամետրերի համադրելիությունը (շերտի բարձրությունը, բեռնվածքը, մշակման, բեռնման բոլոր փուլերում հոսքի արագությունը, էլյուցիայի պրոֆիլները):</w:t>
      </w:r>
    </w:p>
    <w:p w14:paraId="2EE8EE3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Անհրաժեշտ է գնահատել, թե արդյոք անցկացվում է վիրուսների առկայության մասով՝ հետէլյուցիոն (լվացման) ֆրակցիայի ստուգում, ինչպես նա</w:t>
      </w:r>
      <w:r w:rsidR="00C54D75">
        <w:rPr>
          <w:rFonts w:ascii="Sylfaen" w:hAnsi="Sylfaen"/>
          <w:sz w:val="24"/>
          <w:szCs w:val="24"/>
        </w:rPr>
        <w:t>և</w:t>
      </w:r>
      <w:r w:rsidRPr="003B2786">
        <w:rPr>
          <w:rFonts w:ascii="Sylfaen" w:hAnsi="Sylfaen"/>
          <w:sz w:val="24"/>
          <w:szCs w:val="24"/>
        </w:rPr>
        <w:t xml:space="preserve"> մեծ քանակությամբ աղի պարունակությամբ ֆրակցիայի ստուգում, եթե կիրառելի է: Անհրաժեշտ է նշել, թե արդյոք յուրաքանչյուր քրոմատոգրաֆիական պարբերաշրջանի համար ներկայացվել են պարամետրերը:</w:t>
      </w:r>
    </w:p>
    <w:p w14:paraId="3907FC0A" w14:textId="77777777" w:rsidR="008C76E0" w:rsidRPr="00E15E7D"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առաջարկվում է սյունակների կրկնակի օգտագործում, անհրաժեշտ է նշել, թե արդյոք ռեգեներացման </w:t>
      </w:r>
      <w:r w:rsidR="00C54D75">
        <w:rPr>
          <w:rFonts w:ascii="Sylfaen" w:hAnsi="Sylfaen"/>
          <w:sz w:val="24"/>
          <w:szCs w:val="24"/>
        </w:rPr>
        <w:t>և</w:t>
      </w:r>
      <w:r w:rsidRPr="003B2786">
        <w:rPr>
          <w:rFonts w:ascii="Sylfaen" w:hAnsi="Sylfaen"/>
          <w:sz w:val="24"/>
          <w:szCs w:val="24"/>
        </w:rPr>
        <w:t xml:space="preserve"> սյունակների կրկնակի օգտագործման պայմանները նկարագրված </w:t>
      </w:r>
      <w:r w:rsidR="00C54D75">
        <w:rPr>
          <w:rFonts w:ascii="Sylfaen" w:hAnsi="Sylfaen"/>
          <w:sz w:val="24"/>
          <w:szCs w:val="24"/>
        </w:rPr>
        <w:t>և</w:t>
      </w:r>
      <w:r w:rsidRPr="003B2786">
        <w:rPr>
          <w:rFonts w:ascii="Sylfaen" w:hAnsi="Sylfaen"/>
          <w:sz w:val="24"/>
          <w:szCs w:val="24"/>
        </w:rPr>
        <w:t xml:space="preserve"> վալիդացված են</w:t>
      </w:r>
      <w:r w:rsidR="001F0952">
        <w:rPr>
          <w:rFonts w:ascii="Sylfaen" w:hAnsi="Sylfaen"/>
          <w:sz w:val="24"/>
          <w:szCs w:val="24"/>
        </w:rPr>
        <w:t>:</w:t>
      </w:r>
    </w:p>
    <w:p w14:paraId="025CE4BA" w14:textId="77777777"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նախատեսված են ֆիլտրացման փուլեր, անհրաժեշտ է նշել, թե արդյոք </w:t>
      </w:r>
      <w:r w:rsidRPr="003B2786">
        <w:rPr>
          <w:rFonts w:ascii="Sylfaen" w:hAnsi="Sylfaen"/>
          <w:sz w:val="24"/>
          <w:szCs w:val="24"/>
        </w:rPr>
        <w:lastRenderedPageBreak/>
        <w:t>պարամետրերը (ֆիլտրացնող մակեր</w:t>
      </w:r>
      <w:r w:rsidR="00C54D75">
        <w:rPr>
          <w:rFonts w:ascii="Sylfaen" w:hAnsi="Sylfaen"/>
          <w:sz w:val="24"/>
          <w:szCs w:val="24"/>
        </w:rPr>
        <w:t>և</w:t>
      </w:r>
      <w:r w:rsidRPr="003B2786">
        <w:rPr>
          <w:rFonts w:ascii="Sylfaen" w:hAnsi="Sylfaen"/>
          <w:sz w:val="24"/>
          <w:szCs w:val="24"/>
        </w:rPr>
        <w:t xml:space="preserve">ույթի, հոսքի կամ ճնշման </w:t>
      </w:r>
      <w:r w:rsidR="00C54D75">
        <w:rPr>
          <w:rFonts w:ascii="Sylfaen" w:hAnsi="Sylfaen"/>
          <w:sz w:val="24"/>
          <w:szCs w:val="24"/>
        </w:rPr>
        <w:t>և</w:t>
      </w:r>
      <w:r w:rsidRPr="003B2786">
        <w:rPr>
          <w:rFonts w:ascii="Sylfaen" w:hAnsi="Sylfaen"/>
          <w:sz w:val="24"/>
          <w:szCs w:val="24"/>
        </w:rPr>
        <w:t xml:space="preserve"> (կամ) տրանսմեմբրանային ճնշման արագության նկատմամբ ծավալի հարաբերակցությունը) նույնական են արտադրության արդյունաբերական պրոցեսի պարամետրերի հետ: Անհրաժեշտ է գնահատել, թե արդյոք մաքրման հետազոտությունները բավարար չափով արտացոլում են արտադրության ընթացքում ֆիլտրացման պրոցեսի տարբեր փուլերը (ֆիլտրացում </w:t>
      </w:r>
      <w:r w:rsidR="00C54D75">
        <w:rPr>
          <w:rFonts w:ascii="Sylfaen" w:hAnsi="Sylfaen"/>
          <w:sz w:val="24"/>
          <w:szCs w:val="24"/>
        </w:rPr>
        <w:t>և</w:t>
      </w:r>
      <w:r w:rsidRPr="003B2786">
        <w:rPr>
          <w:rFonts w:ascii="Sylfaen" w:hAnsi="Sylfaen"/>
          <w:sz w:val="24"/>
          <w:szCs w:val="24"/>
        </w:rPr>
        <w:t xml:space="preserve"> (կամ) ուլտրաֆիլտրացում կամ պատրաստուկի լվացում), ինչպես նա</w:t>
      </w:r>
      <w:r w:rsidR="00C54D75">
        <w:rPr>
          <w:rFonts w:ascii="Sylfaen" w:hAnsi="Sylfaen"/>
          <w:sz w:val="24"/>
          <w:szCs w:val="24"/>
        </w:rPr>
        <w:t>և</w:t>
      </w:r>
      <w:r w:rsidRPr="003B2786">
        <w:rPr>
          <w:rFonts w:ascii="Sylfaen" w:hAnsi="Sylfaen"/>
          <w:sz w:val="24"/>
          <w:szCs w:val="24"/>
        </w:rPr>
        <w:t xml:space="preserve"> այդ փուլերի ուսումնասիրության բավարար լինելը:</w:t>
      </w:r>
    </w:p>
    <w:p w14:paraId="40BF65EC"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09B5EAFA" w14:textId="77777777" w:rsidR="008C76E0" w:rsidRPr="003B2786" w:rsidRDefault="008C76E0" w:rsidP="00473371">
      <w:pPr>
        <w:tabs>
          <w:tab w:val="left" w:pos="1134"/>
        </w:tabs>
        <w:spacing w:after="160" w:line="360" w:lineRule="auto"/>
        <w:ind w:right="-1" w:firstLine="567"/>
        <w:jc w:val="both"/>
        <w:outlineLvl w:val="0"/>
        <w:rPr>
          <w:rFonts w:ascii="Sylfaen" w:hAnsi="Sylfaen"/>
          <w:sz w:val="24"/>
          <w:szCs w:val="24"/>
        </w:rPr>
      </w:pPr>
      <w:r w:rsidRPr="003B2786">
        <w:rPr>
          <w:rFonts w:ascii="Sylfaen" w:hAnsi="Sylfaen"/>
          <w:sz w:val="24"/>
          <w:szCs w:val="24"/>
        </w:rPr>
        <w:t>2)</w:t>
      </w:r>
      <w:r w:rsidRPr="003B2786">
        <w:rPr>
          <w:rFonts w:ascii="Sylfaen" w:hAnsi="Sylfaen"/>
          <w:sz w:val="24"/>
          <w:szCs w:val="24"/>
        </w:rPr>
        <w:tab/>
        <w:t>Անհրաժեշտ է գնահատել վիրուսներից մաքրման փորձերի արդյունքների համոզիչ լինելը:</w:t>
      </w:r>
    </w:p>
    <w:p w14:paraId="230433F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որոշել, թե արդյոք ստուգվել է ուսումնասիրվող նյութի ցիտոտոքսիկության հնարավորությունը, ինչպես նա</w:t>
      </w:r>
      <w:r w:rsidR="00C54D75">
        <w:rPr>
          <w:rFonts w:ascii="Sylfaen" w:hAnsi="Sylfaen"/>
          <w:sz w:val="24"/>
          <w:szCs w:val="24"/>
        </w:rPr>
        <w:t>և</w:t>
      </w:r>
      <w:r w:rsidRPr="003B2786">
        <w:rPr>
          <w:rFonts w:ascii="Sylfaen" w:hAnsi="Sylfaen"/>
          <w:sz w:val="24"/>
          <w:szCs w:val="24"/>
        </w:rPr>
        <w:t xml:space="preserve"> որոշել վիրուսների հետ կապված փորձարկումների արդյունքների վրա աղավաղող ազդեցությունը:</w:t>
      </w:r>
    </w:p>
    <w:p w14:paraId="73496416" w14:textId="1288DF82" w:rsidR="008C76E0" w:rsidRPr="003B2786" w:rsidRDefault="008C76E0" w:rsidP="001F0952">
      <w:pPr>
        <w:spacing w:after="160" w:line="384" w:lineRule="auto"/>
        <w:ind w:firstLine="567"/>
        <w:jc w:val="both"/>
        <w:rPr>
          <w:rFonts w:ascii="Sylfaen" w:hAnsi="Sylfaen"/>
          <w:sz w:val="24"/>
          <w:szCs w:val="24"/>
        </w:rPr>
      </w:pPr>
      <w:r w:rsidRPr="003B2786">
        <w:rPr>
          <w:rFonts w:ascii="Sylfaen" w:hAnsi="Sylfaen"/>
          <w:sz w:val="24"/>
          <w:szCs w:val="24"/>
        </w:rPr>
        <w:t xml:space="preserve">Եթե ֆիլտրացիոն պրոցեսները գնահատվել են </w:t>
      </w:r>
      <w:r w:rsidR="0056496B">
        <w:rPr>
          <w:rFonts w:ascii="Sylfaen" w:hAnsi="Sylfaen"/>
          <w:sz w:val="24"/>
          <w:szCs w:val="24"/>
        </w:rPr>
        <w:t>դիմումատու</w:t>
      </w:r>
      <w:r w:rsidRPr="003B2786">
        <w:rPr>
          <w:rFonts w:ascii="Sylfaen" w:hAnsi="Sylfaen"/>
          <w:sz w:val="24"/>
          <w:szCs w:val="24"/>
        </w:rPr>
        <w:t xml:space="preserve">ի կողմից, անհրաժեշտ է որոշել, թե արդյոք </w:t>
      </w:r>
      <w:r w:rsidR="0056496B">
        <w:rPr>
          <w:rFonts w:ascii="Sylfaen" w:hAnsi="Sylfaen"/>
          <w:sz w:val="24"/>
          <w:szCs w:val="24"/>
        </w:rPr>
        <w:t>դիմումատու</w:t>
      </w:r>
      <w:r w:rsidRPr="003B2786">
        <w:rPr>
          <w:rFonts w:ascii="Sylfaen" w:hAnsi="Sylfaen"/>
          <w:sz w:val="24"/>
          <w:szCs w:val="24"/>
        </w:rPr>
        <w:t xml:space="preserve">ն անցկացրել է վիրուսային ագրեգատների հետ կապված փորձարկումներ </w:t>
      </w:r>
      <w:r w:rsidR="00C54D75">
        <w:rPr>
          <w:rFonts w:ascii="Sylfaen" w:hAnsi="Sylfaen"/>
          <w:sz w:val="24"/>
          <w:szCs w:val="24"/>
        </w:rPr>
        <w:t>և</w:t>
      </w:r>
      <w:r w:rsidRPr="003B2786">
        <w:rPr>
          <w:rFonts w:ascii="Sylfaen" w:hAnsi="Sylfaen"/>
          <w:sz w:val="24"/>
          <w:szCs w:val="24"/>
        </w:rPr>
        <w:t xml:space="preserve"> արդյոք դրանց որոշման համար օգտագործվել են համապատասխան մեթոդիկաներ:</w:t>
      </w:r>
    </w:p>
    <w:p w14:paraId="6191A164"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ներկայացված են առաջնային տվյալները </w:t>
      </w:r>
      <w:r w:rsidR="00C54D75">
        <w:rPr>
          <w:rFonts w:ascii="Sylfaen" w:hAnsi="Sylfaen"/>
          <w:sz w:val="24"/>
          <w:szCs w:val="24"/>
        </w:rPr>
        <w:t>և</w:t>
      </w:r>
      <w:r w:rsidRPr="003B2786">
        <w:rPr>
          <w:rFonts w:ascii="Sylfaen" w:hAnsi="Sylfaen"/>
          <w:sz w:val="24"/>
          <w:szCs w:val="24"/>
        </w:rPr>
        <w:t xml:space="preserve"> արդյոք դրանք հաշվի են առնվել վիրուսային ծանրաբեռնվածության պարունակության կրճատման գործոնները հաշվարկելիս: </w:t>
      </w:r>
    </w:p>
    <w:p w14:paraId="2AE96DD8" w14:textId="77777777"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Անհրաժեշտ է թվարկել թերությունները:</w:t>
      </w:r>
    </w:p>
    <w:p w14:paraId="5827BC40" w14:textId="02456AAD" w:rsidR="008C76E0" w:rsidRPr="003B2786" w:rsidRDefault="008C76E0" w:rsidP="001F0952">
      <w:pPr>
        <w:tabs>
          <w:tab w:val="left" w:pos="1134"/>
        </w:tabs>
        <w:spacing w:after="160" w:line="384" w:lineRule="auto"/>
        <w:ind w:right="-1" w:firstLine="567"/>
        <w:jc w:val="both"/>
        <w:outlineLvl w:val="0"/>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Վիրուսային ծանրաբեռնվածության պարունակության կրճատման </w:t>
      </w:r>
      <w:r w:rsidR="001A5F1A">
        <w:rPr>
          <w:rFonts w:ascii="Sylfaen" w:hAnsi="Sylfaen"/>
          <w:sz w:val="24"/>
          <w:szCs w:val="24"/>
        </w:rPr>
        <w:t>հայտագրված</w:t>
      </w:r>
      <w:r w:rsidRPr="003B2786">
        <w:rPr>
          <w:rFonts w:ascii="Sylfaen" w:hAnsi="Sylfaen"/>
          <w:sz w:val="24"/>
          <w:szCs w:val="24"/>
        </w:rPr>
        <w:t xml:space="preserve"> գործոնների գնահատումը (R</w:t>
      </w:r>
      <w:r w:rsidRPr="003B2786">
        <w:rPr>
          <w:rFonts w:ascii="Sylfaen" w:hAnsi="Sylfaen"/>
          <w:sz w:val="24"/>
          <w:szCs w:val="24"/>
          <w:vertAlign w:val="subscript"/>
        </w:rPr>
        <w:t>f</w:t>
      </w:r>
      <w:r w:rsidRPr="003B2786">
        <w:rPr>
          <w:rFonts w:ascii="Sylfaen" w:hAnsi="Sylfaen"/>
          <w:sz w:val="24"/>
          <w:szCs w:val="24"/>
        </w:rPr>
        <w:t>):</w:t>
      </w:r>
    </w:p>
    <w:p w14:paraId="076DD9B7" w14:textId="52671308" w:rsidR="008C76E0" w:rsidRPr="003B2786" w:rsidRDefault="008C76E0" w:rsidP="001F0952">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գնահատել, թե որքանով են համոզիչ </w:t>
      </w:r>
      <w:r w:rsidR="001A5F1A">
        <w:rPr>
          <w:rFonts w:ascii="Sylfaen" w:hAnsi="Sylfaen"/>
          <w:sz w:val="24"/>
          <w:szCs w:val="24"/>
        </w:rPr>
        <w:t>հայտագրված</w:t>
      </w:r>
      <w:r w:rsidRPr="003B2786">
        <w:rPr>
          <w:rFonts w:ascii="Sylfaen" w:hAnsi="Sylfaen"/>
          <w:sz w:val="24"/>
          <w:szCs w:val="24"/>
        </w:rPr>
        <w:t xml:space="preserve"> R</w:t>
      </w:r>
      <w:r w:rsidRPr="003B2786">
        <w:rPr>
          <w:rFonts w:ascii="Sylfaen" w:hAnsi="Sylfaen"/>
          <w:sz w:val="24"/>
          <w:szCs w:val="24"/>
          <w:vertAlign w:val="subscript"/>
        </w:rPr>
        <w:t xml:space="preserve">f </w:t>
      </w:r>
      <w:r w:rsidRPr="003B2786">
        <w:rPr>
          <w:rFonts w:ascii="Sylfaen" w:hAnsi="Sylfaen"/>
          <w:sz w:val="24"/>
          <w:szCs w:val="24"/>
        </w:rPr>
        <w:lastRenderedPageBreak/>
        <w:t xml:space="preserve">արժեքները, </w:t>
      </w:r>
      <w:r w:rsidR="00C54D75">
        <w:rPr>
          <w:rFonts w:ascii="Sylfaen" w:hAnsi="Sylfaen"/>
          <w:sz w:val="24"/>
          <w:szCs w:val="24"/>
        </w:rPr>
        <w:t>և</w:t>
      </w:r>
      <w:r w:rsidRPr="003B2786">
        <w:rPr>
          <w:rFonts w:ascii="Sylfaen" w:hAnsi="Sylfaen"/>
          <w:sz w:val="24"/>
          <w:szCs w:val="24"/>
        </w:rPr>
        <w:t xml:space="preserve"> արդյոք դրանք հաստատվել են փորձարկումների արդյունքներով:</w:t>
      </w:r>
    </w:p>
    <w:p w14:paraId="1C45FBA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վիրուսային ծանրաբեռնվածության պարունակության կրճատման գործոններ պարունակող աղյուսակ (ճշգրտված արժեքները, եթե պահանջվում է):</w:t>
      </w:r>
    </w:p>
    <w:p w14:paraId="43D3012A"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թե արդյոք ուսումնասիրվել է արտադրական փուլի կայունությունը (արտադրական պրոցեսի կար</w:t>
      </w:r>
      <w:r w:rsidR="00C54D75">
        <w:rPr>
          <w:rFonts w:ascii="Sylfaen" w:hAnsi="Sylfaen"/>
          <w:sz w:val="24"/>
          <w:szCs w:val="24"/>
        </w:rPr>
        <w:t>և</w:t>
      </w:r>
      <w:r w:rsidRPr="003B2786">
        <w:rPr>
          <w:rFonts w:ascii="Sylfaen" w:hAnsi="Sylfaen"/>
          <w:sz w:val="24"/>
          <w:szCs w:val="24"/>
        </w:rPr>
        <w:t>որ պարամետրերի ազդեցությունը):</w:t>
      </w:r>
    </w:p>
    <w:p w14:paraId="10E09282" w14:textId="77777777" w:rsidR="008C76E0" w:rsidRPr="003B2786" w:rsidRDefault="008C76E0" w:rsidP="00473371">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հաստատվել է, որ վիրուսներից մաքրման վալիդացված փուլերը ունակ են վերացնելու էապես ավելի մեծ թվով վիրուսներ, քան դրանք հնարավոր է, որ պարունակվեն չմաքրված, չբաժնեծրարված արտադրանքում, որն ըստ քանակի համարժեք է դեղապատրաստուկի մեկ դեղաչափին: </w:t>
      </w:r>
    </w:p>
    <w:p w14:paraId="12614E6F"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А.2.2.5</w:t>
      </w:r>
      <w:r w:rsidRPr="003B2786">
        <w:rPr>
          <w:rFonts w:ascii="Sylfaen" w:eastAsia="MS Mincho" w:hAnsi="MS Mincho" w:cs="MS Mincho"/>
          <w:sz w:val="24"/>
          <w:szCs w:val="24"/>
        </w:rPr>
        <w:t>․</w:t>
      </w:r>
      <w:r w:rsidRPr="003B2786">
        <w:rPr>
          <w:rFonts w:ascii="Sylfaen" w:eastAsia="MS Mincho" w:hAnsi="Sylfaen" w:cs="MS Mincho"/>
          <w:sz w:val="24"/>
          <w:szCs w:val="24"/>
        </w:rPr>
        <w:tab/>
      </w:r>
      <w:r w:rsidRPr="003B2786">
        <w:rPr>
          <w:rFonts w:ascii="Sylfaen" w:hAnsi="Sylfaen"/>
          <w:sz w:val="24"/>
          <w:szCs w:val="24"/>
        </w:rPr>
        <w:t>բաժնի ռեզյումե:</w:t>
      </w:r>
    </w:p>
    <w:p w14:paraId="3A0ABD8F"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ամբողջ պրոցեսի վիրուսային ծանրաբեռնվածության պարունակության կրճատման գործոնների աղյուսակը (ճշգրտված արժեքները, եթե պահանջվում է):</w:t>
      </w:r>
    </w:p>
    <w:p w14:paraId="4916EA7E"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ներկայացնել գնահատման արդյունքների ռեզյումեն:</w:t>
      </w:r>
    </w:p>
    <w:p w14:paraId="0F2ED1EC" w14:textId="77777777" w:rsidR="008C76E0" w:rsidRPr="003B2786" w:rsidRDefault="008C76E0" w:rsidP="00473371">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А.2.3.</w:t>
      </w:r>
      <w:r w:rsidRPr="003B2786">
        <w:rPr>
          <w:rFonts w:ascii="Sylfaen" w:hAnsi="Sylfaen"/>
          <w:sz w:val="24"/>
          <w:szCs w:val="24"/>
        </w:rPr>
        <w:tab/>
        <w:t>5.2 կետի եզրակացությունը:</w:t>
      </w:r>
    </w:p>
    <w:p w14:paraId="1237FEAA" w14:textId="77777777" w:rsidR="008C76E0" w:rsidRPr="003B2786" w:rsidRDefault="008C76E0" w:rsidP="00473371">
      <w:pPr>
        <w:spacing w:after="160" w:line="384"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ամփոփիչ ռեզյումե </w:t>
      </w:r>
      <w:r w:rsidR="00C54D75">
        <w:rPr>
          <w:rFonts w:ascii="Sylfaen" w:hAnsi="Sylfaen"/>
          <w:sz w:val="24"/>
          <w:szCs w:val="24"/>
        </w:rPr>
        <w:t>և</w:t>
      </w:r>
      <w:r w:rsidRPr="003B2786">
        <w:rPr>
          <w:rFonts w:ascii="Sylfaen" w:hAnsi="Sylfaen"/>
          <w:sz w:val="24"/>
          <w:szCs w:val="24"/>
        </w:rPr>
        <w:t xml:space="preserve"> եզրակացություն՝</w:t>
      </w:r>
    </w:p>
    <w:p w14:paraId="09316E8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մանրէազերծության (միկոպլազմային, բակտերային, սնկային),</w:t>
      </w:r>
    </w:p>
    <w:p w14:paraId="48697E9E"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ՓՍԷ-ի մասով անվտանգության,</w:t>
      </w:r>
    </w:p>
    <w:p w14:paraId="122B43E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վիրուսային անվտանգության վերաբերյալ:</w:t>
      </w:r>
    </w:p>
    <w:p w14:paraId="20D79F00" w14:textId="77777777" w:rsidR="008C76E0" w:rsidRPr="003B2786" w:rsidRDefault="008C76E0" w:rsidP="00473371">
      <w:pPr>
        <w:spacing w:after="160" w:line="360" w:lineRule="auto"/>
        <w:ind w:right="-1" w:firstLine="567"/>
        <w:jc w:val="both"/>
        <w:rPr>
          <w:rFonts w:ascii="Sylfaen" w:hAnsi="Sylfaen"/>
          <w:sz w:val="24"/>
          <w:szCs w:val="24"/>
        </w:rPr>
      </w:pPr>
    </w:p>
    <w:p w14:paraId="0AFB8670"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А.3.</w:t>
      </w:r>
      <w:r>
        <w:rPr>
          <w:rFonts w:ascii="Sylfaen" w:hAnsi="Sylfaen"/>
          <w:sz w:val="24"/>
          <w:szCs w:val="24"/>
        </w:rPr>
        <w:tab/>
      </w:r>
      <w:r w:rsidRPr="003B2786">
        <w:rPr>
          <w:rFonts w:ascii="Sylfaen" w:hAnsi="Sylfaen"/>
          <w:sz w:val="24"/>
          <w:szCs w:val="24"/>
        </w:rPr>
        <w:t>Նոր օժանդակ նյութեր</w:t>
      </w:r>
    </w:p>
    <w:p w14:paraId="6E613C7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 է ուշադրություն դարձնել այն հանգամանքին, որ Միության շրջանակներում կամ Միության անդամ պետությունների տարածքում գրանցված դեղապատրաստուկներում չպարունակվող նոր օժանդակ նյութերը կարող են դիտարկվել որպես նոր ԱԴԲ-ներ, ինչը հանգեցնում է համապատասխան տվյալները, այսինքն՝ արտադրության </w:t>
      </w:r>
      <w:r w:rsidR="00C54D75">
        <w:rPr>
          <w:rFonts w:ascii="Sylfaen" w:hAnsi="Sylfaen"/>
          <w:sz w:val="24"/>
          <w:szCs w:val="24"/>
        </w:rPr>
        <w:t>և</w:t>
      </w:r>
      <w:r w:rsidRPr="003B2786">
        <w:rPr>
          <w:rFonts w:ascii="Sylfaen" w:hAnsi="Sylfaen"/>
          <w:sz w:val="24"/>
          <w:szCs w:val="24"/>
        </w:rPr>
        <w:t xml:space="preserve"> հսկողության նկարագրության, թունաբանական հետազոտություններին արված հղումների ներկայացման </w:t>
      </w:r>
      <w:r w:rsidR="00C54D75">
        <w:rPr>
          <w:rFonts w:ascii="Sylfaen" w:hAnsi="Sylfaen"/>
          <w:sz w:val="24"/>
          <w:szCs w:val="24"/>
        </w:rPr>
        <w:t>և</w:t>
      </w:r>
      <w:r w:rsidRPr="003B2786">
        <w:rPr>
          <w:rFonts w:ascii="Sylfaen" w:hAnsi="Sylfaen"/>
          <w:sz w:val="24"/>
          <w:szCs w:val="24"/>
        </w:rPr>
        <w:t xml:space="preserve"> այլնի մասով տվյալները ամբողջ ծավալով ներկայացնելու պահանջների կիրառմանը: Տվյալ բաժնում անհրաժեշտ է գնահատել այդպիսի նոր օժանդակ նյութերի մանրամասն ուսումնասիրության արդյունքները:</w:t>
      </w:r>
    </w:p>
    <w:p w14:paraId="2358BF60" w14:textId="77777777" w:rsidR="008C76E0" w:rsidRPr="003B2786" w:rsidRDefault="008C76E0" w:rsidP="00473371">
      <w:pPr>
        <w:spacing w:after="160" w:line="360" w:lineRule="auto"/>
        <w:ind w:right="-1" w:firstLine="567"/>
        <w:jc w:val="both"/>
        <w:rPr>
          <w:rFonts w:ascii="Sylfaen" w:hAnsi="Sylfaen"/>
          <w:sz w:val="24"/>
          <w:szCs w:val="24"/>
        </w:rPr>
      </w:pPr>
    </w:p>
    <w:p w14:paraId="1EB29753"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6. Տարածաշրջանային տեղեկատվություն</w:t>
      </w:r>
    </w:p>
    <w:p w14:paraId="44640FA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արտադրության պրոցեսի վալիդացման սխեման:</w:t>
      </w:r>
    </w:p>
    <w:p w14:paraId="4DB8BAC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Բժշկական արտադրատեսակներին առնչվող հարցերը:</w:t>
      </w:r>
    </w:p>
    <w:p w14:paraId="42E33B77" w14:textId="77777777" w:rsidR="008C76E0"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Եթե դեղապատրաստուկի բացթողման ձ</w:t>
      </w:r>
      <w:r w:rsidR="00C54D75">
        <w:rPr>
          <w:rFonts w:ascii="Sylfaen" w:hAnsi="Sylfaen"/>
          <w:sz w:val="24"/>
          <w:szCs w:val="24"/>
        </w:rPr>
        <w:t>և</w:t>
      </w:r>
      <w:r w:rsidRPr="003B2786">
        <w:rPr>
          <w:rFonts w:ascii="Sylfaen" w:hAnsi="Sylfaen"/>
          <w:sz w:val="24"/>
          <w:szCs w:val="24"/>
        </w:rPr>
        <w:t xml:space="preserve">ը ներառում է բժշկական արտադրատեսակներ հանդիսացող բաղադրիչներ (օրինակ՝ ասեղներ, կաթետերներ (փողաձողեր) </w:t>
      </w:r>
      <w:r w:rsidR="00C54D75">
        <w:rPr>
          <w:rFonts w:ascii="Sylfaen" w:hAnsi="Sylfaen"/>
          <w:sz w:val="24"/>
          <w:szCs w:val="24"/>
        </w:rPr>
        <w:t>և</w:t>
      </w:r>
      <w:r w:rsidRPr="003B2786">
        <w:rPr>
          <w:rFonts w:ascii="Sylfaen" w:hAnsi="Sylfaen"/>
          <w:sz w:val="24"/>
          <w:szCs w:val="24"/>
        </w:rPr>
        <w:t xml:space="preserve"> այլն), անհրաժեշտ է արտացոլել բժշկական արտադրատեսակի գրանցման մասին տեղեկությունները: Հակառակ դեպքում որպես մեկ միասնական ամբողջություն դիտարկվող դեղապատրաստուկի փորձաքննությունն ավարտելու նպատակով դեղամիջոցների շրջանառության ոլորտում լիազորված մարմինը պետք է դիմի բժշկական արտադրատեսակների շրջանառության ոլորտում լիազորված մարմնին, որպեսզի անհրաժեշտության դեպքում համոզվի Միության օրենսդրության պահանջներին այդպիսի բժշկական արտադրատեսակի համապատասխանության մեջ: Բացի այդ, այնպիսի դեպքերում, երբ արտադրատեսակը բարդ կառուցվածք ունի </w:t>
      </w:r>
      <w:r w:rsidR="00C54D75">
        <w:rPr>
          <w:rFonts w:ascii="Sylfaen" w:hAnsi="Sylfaen"/>
          <w:sz w:val="24"/>
          <w:szCs w:val="24"/>
        </w:rPr>
        <w:t>և</w:t>
      </w:r>
      <w:r w:rsidRPr="003B2786">
        <w:rPr>
          <w:rFonts w:ascii="Sylfaen" w:hAnsi="Sylfaen"/>
          <w:sz w:val="24"/>
          <w:szCs w:val="24"/>
        </w:rPr>
        <w:t xml:space="preserve"> իրենից կարող է ներկայացնել մատակարարման համալիր համակարգ (օրինակ՝ բացթողման ձ</w:t>
      </w:r>
      <w:r w:rsidR="00C54D75">
        <w:rPr>
          <w:rFonts w:ascii="Sylfaen" w:hAnsi="Sylfaen"/>
          <w:sz w:val="24"/>
          <w:szCs w:val="24"/>
        </w:rPr>
        <w:t>և</w:t>
      </w:r>
      <w:r w:rsidRPr="003B2786">
        <w:rPr>
          <w:rFonts w:ascii="Sylfaen" w:hAnsi="Sylfaen"/>
          <w:sz w:val="24"/>
          <w:szCs w:val="24"/>
        </w:rPr>
        <w:t>ում ներառված՝ մատակարարման տրանսդերմալ իոնոֆորետիկ համակարգը), նա</w:t>
      </w:r>
      <w:r w:rsidR="00C54D75">
        <w:rPr>
          <w:rFonts w:ascii="Sylfaen" w:hAnsi="Sylfaen"/>
          <w:sz w:val="24"/>
          <w:szCs w:val="24"/>
        </w:rPr>
        <w:t>և</w:t>
      </w:r>
      <w:r w:rsidRPr="003B2786">
        <w:rPr>
          <w:rFonts w:ascii="Sylfaen" w:hAnsi="Sylfaen"/>
          <w:sz w:val="24"/>
          <w:szCs w:val="24"/>
        </w:rPr>
        <w:t xml:space="preserve"> պահանջվում է բժշկական արտադրատեսակի վերաբերյալ փորձագիտական հաշվետվություն՝ ամբողջական դեղապատրաստուկի կլինիկական բնութագրերի </w:t>
      </w:r>
      <w:r w:rsidRPr="003B2786">
        <w:rPr>
          <w:rFonts w:ascii="Sylfaen" w:hAnsi="Sylfaen"/>
          <w:sz w:val="24"/>
          <w:szCs w:val="24"/>
        </w:rPr>
        <w:lastRenderedPageBreak/>
        <w:t>տեսանկյունից:</w:t>
      </w:r>
    </w:p>
    <w:p w14:paraId="226D1AC6" w14:textId="77777777" w:rsidR="008C76E0" w:rsidRPr="003B2786" w:rsidRDefault="008C76E0" w:rsidP="00473371">
      <w:pPr>
        <w:spacing w:after="160" w:line="360" w:lineRule="auto"/>
        <w:jc w:val="center"/>
        <w:rPr>
          <w:rFonts w:ascii="Sylfaen" w:hAnsi="Sylfaen"/>
          <w:sz w:val="24"/>
          <w:szCs w:val="24"/>
        </w:rPr>
      </w:pPr>
    </w:p>
    <w:p w14:paraId="4EA8EFE7" w14:textId="77777777" w:rsidR="008C76E0" w:rsidRPr="003B2786" w:rsidRDefault="008C76E0" w:rsidP="00473371">
      <w:pPr>
        <w:spacing w:after="160" w:line="360" w:lineRule="auto"/>
        <w:ind w:right="-1" w:firstLine="567"/>
        <w:jc w:val="center"/>
        <w:rPr>
          <w:rFonts w:ascii="Sylfaen" w:hAnsi="Sylfaen"/>
          <w:sz w:val="24"/>
          <w:szCs w:val="24"/>
        </w:rPr>
      </w:pPr>
      <w:r w:rsidRPr="003B2786">
        <w:rPr>
          <w:rFonts w:ascii="Sylfaen" w:hAnsi="Sylfaen"/>
          <w:sz w:val="24"/>
          <w:szCs w:val="24"/>
        </w:rPr>
        <w:t>ՓՍԷ-ի փոխանցման ռիսկին առնչվող հարցերը:</w:t>
      </w:r>
    </w:p>
    <w:p w14:paraId="42083FD1" w14:textId="77777777" w:rsidR="008C76E0" w:rsidRPr="003B2786" w:rsidRDefault="008C76E0" w:rsidP="00473371">
      <w:pPr>
        <w:spacing w:after="160" w:line="360" w:lineRule="auto"/>
        <w:ind w:right="-1"/>
        <w:jc w:val="center"/>
        <w:rPr>
          <w:rFonts w:ascii="Sylfaen" w:hAnsi="Sylfaen"/>
          <w:sz w:val="24"/>
          <w:szCs w:val="24"/>
        </w:rPr>
      </w:pPr>
    </w:p>
    <w:p w14:paraId="5185190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7. Փորձագետի դիտողությունները՝ դեղապատրաստուկի ընդհանուր բնութագրի, բժշկական կիրառման հրահանգի (ներդիր թերթիկի) </w:t>
      </w:r>
      <w:r w:rsidR="00C54D75">
        <w:rPr>
          <w:rFonts w:ascii="Sylfaen" w:hAnsi="Sylfaen"/>
          <w:sz w:val="24"/>
          <w:szCs w:val="24"/>
        </w:rPr>
        <w:t>և</w:t>
      </w:r>
      <w:r w:rsidRPr="003B2786">
        <w:rPr>
          <w:rFonts w:ascii="Sylfaen" w:hAnsi="Sylfaen"/>
          <w:sz w:val="24"/>
          <w:szCs w:val="24"/>
        </w:rPr>
        <w:t xml:space="preserve"> դեղապատրաստուկի մականշվածքի հետ կապված</w:t>
      </w:r>
    </w:p>
    <w:p w14:paraId="7A1E1527"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8. Փորձագետի ընդհանուր եզրակացությունը որակի վերաբերյալ:</w:t>
      </w:r>
    </w:p>
    <w:p w14:paraId="6F1E83C8"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Տվյալ բաժնի պարունակությունը կարելի է կրկնել փորձագիտական հաշվետվության «Ամփոփիչ մոդուլում»:</w:t>
      </w:r>
    </w:p>
    <w:p w14:paraId="00B2915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ինքնուրույն </w:t>
      </w:r>
      <w:r w:rsidR="00C54D75">
        <w:rPr>
          <w:rFonts w:ascii="Sylfaen" w:hAnsi="Sylfaen"/>
          <w:sz w:val="24"/>
          <w:szCs w:val="24"/>
        </w:rPr>
        <w:t>և</w:t>
      </w:r>
      <w:r w:rsidRPr="003B2786">
        <w:rPr>
          <w:rFonts w:ascii="Sylfaen" w:hAnsi="Sylfaen"/>
          <w:sz w:val="24"/>
          <w:szCs w:val="24"/>
        </w:rPr>
        <w:t xml:space="preserve"> նպատակային մշակում, որպեսզի հաշվետվությունն օգտագործողը կարողանա համակողմանիորեն գնահատել փորձաքննության արդյունքները՝ օգուտ-ռիսկ հարաբերակցության լիարժեք գնահատման նպատակով:</w:t>
      </w:r>
    </w:p>
    <w:p w14:paraId="5D7F3A15"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Օգուտ-ռիսկ հարաբերակցության վրա ազդող որակի ասպեկտների համար անհրաժեշտ է նշել որակի այն բոլոր ասպեկտները (ինչպես ԱԴԲ-ի, այնպես էլ դեղապատրաստուկի), որոնք կարող են ազդել օգուտ-ռիսկ հարաբերակցության վրա: </w:t>
      </w:r>
    </w:p>
    <w:p w14:paraId="74E4124A"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Կիրառելիության դեպքում անհրաժեշտ է բերել մանկական դեղաձ</w:t>
      </w:r>
      <w:r w:rsidR="00C54D75">
        <w:rPr>
          <w:rFonts w:ascii="Sylfaen" w:hAnsi="Sylfaen"/>
          <w:sz w:val="24"/>
          <w:szCs w:val="24"/>
        </w:rPr>
        <w:t>և</w:t>
      </w:r>
      <w:r w:rsidRPr="003B2786">
        <w:rPr>
          <w:rFonts w:ascii="Sylfaen" w:hAnsi="Sylfaen"/>
          <w:sz w:val="24"/>
          <w:szCs w:val="24"/>
        </w:rPr>
        <w:t>ի մշակման մասին լրացուցիչ տեղեկություններ, այդ թվում՝ տեղեկություններ՝ թիրախային տարիքային խմբի մասին, եթե այդպիսի խումբ կազմվել է:</w:t>
      </w:r>
    </w:p>
    <w:p w14:paraId="6C9EA44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Որպես այլընտրանք, տվյալ բաժնում թույլատրվում է նշել միայն հիմնական եզրահանգումները, </w:t>
      </w:r>
      <w:r w:rsidR="00C54D75">
        <w:rPr>
          <w:rFonts w:ascii="Sylfaen" w:hAnsi="Sylfaen"/>
          <w:sz w:val="24"/>
          <w:szCs w:val="24"/>
        </w:rPr>
        <w:t>և</w:t>
      </w:r>
      <w:r w:rsidRPr="003B2786">
        <w:rPr>
          <w:rFonts w:ascii="Sylfaen" w:hAnsi="Sylfaen"/>
          <w:sz w:val="24"/>
          <w:szCs w:val="24"/>
        </w:rPr>
        <w:t xml:space="preserve"> այս դեպքում «Ամփոփիչ մոդուլի» տեքստը պետք է մշակել առանձին:</w:t>
      </w:r>
    </w:p>
    <w:p w14:paraId="1D12354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Անհրաժեշտ է առանձնացնել գրանցման դոսյեի որակի ընդհանուր ռեզյումեի բոլոր այն բաժինները (մոդուլ 2.3), որոնց հետ փորձագետը համաձայն է կամ </w:t>
      </w:r>
      <w:r w:rsidRPr="003B2786">
        <w:rPr>
          <w:rFonts w:ascii="Sylfaen" w:hAnsi="Sylfaen"/>
          <w:spacing w:val="-6"/>
          <w:sz w:val="24"/>
          <w:szCs w:val="24"/>
        </w:rPr>
        <w:lastRenderedPageBreak/>
        <w:t>համաձայն չէ: Մանկական դեղաձ</w:t>
      </w:r>
      <w:r w:rsidR="00C54D75">
        <w:rPr>
          <w:rFonts w:ascii="Sylfaen" w:hAnsi="Sylfaen"/>
          <w:spacing w:val="-6"/>
          <w:sz w:val="24"/>
          <w:szCs w:val="24"/>
        </w:rPr>
        <w:t>և</w:t>
      </w:r>
      <w:r w:rsidRPr="003B2786">
        <w:rPr>
          <w:rFonts w:ascii="Sylfaen" w:hAnsi="Sylfaen"/>
          <w:spacing w:val="-6"/>
          <w:sz w:val="24"/>
          <w:szCs w:val="24"/>
        </w:rPr>
        <w:t>ի դեպքում անհրաժեշտ է նշել, թե արդյոք պահանջվում է մանկաբուժության մեջ կիրառման համար դեղապատրաստուկների փորձաքննություն իրականացնող ազգային լիազորված մարմինների կամ կազմակերպությունների</w:t>
      </w:r>
      <w:r w:rsidRPr="003B2786">
        <w:rPr>
          <w:rFonts w:ascii="Sylfaen" w:hAnsi="Sylfaen"/>
          <w:sz w:val="24"/>
          <w:szCs w:val="24"/>
        </w:rPr>
        <w:t xml:space="preserve"> փորձագետների առանձին եզրակացությունը: </w:t>
      </w:r>
    </w:p>
    <w:p w14:paraId="5E91CE43" w14:textId="77777777" w:rsidR="008C76E0" w:rsidRPr="003B2786" w:rsidRDefault="008C76E0" w:rsidP="00473371">
      <w:pPr>
        <w:spacing w:after="160" w:line="360" w:lineRule="auto"/>
        <w:ind w:right="-1" w:firstLine="567"/>
        <w:jc w:val="center"/>
        <w:rPr>
          <w:rFonts w:ascii="Sylfaen" w:hAnsi="Sylfaen"/>
          <w:sz w:val="24"/>
          <w:szCs w:val="24"/>
        </w:rPr>
      </w:pPr>
    </w:p>
    <w:p w14:paraId="1AA2BD67"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9. Փորձագետի դիտողությունների ցանկը</w:t>
      </w:r>
    </w:p>
    <w:p w14:paraId="7048E2D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դասակարգումը.</w:t>
      </w:r>
    </w:p>
    <w:p w14:paraId="37327A4A" w14:textId="77777777"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«կրիտիկական դիտողություններ». այդպիսի դիտողություններն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ցուցակներ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Միության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արված հղումներով:</w:t>
      </w:r>
    </w:p>
    <w:p w14:paraId="268A4738" w14:textId="39814426"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 xml:space="preserve">ից ակնկալվող պատասխանի </w:t>
      </w:r>
      <w:r w:rsidR="00C54D75">
        <w:rPr>
          <w:rFonts w:ascii="Sylfaen" w:hAnsi="Sylfaen"/>
          <w:sz w:val="24"/>
          <w:szCs w:val="24"/>
        </w:rPr>
        <w:t>և</w:t>
      </w:r>
      <w:r w:rsidRPr="003B2786">
        <w:rPr>
          <w:rFonts w:ascii="Sylfaen" w:hAnsi="Sylfaen"/>
          <w:sz w:val="24"/>
          <w:szCs w:val="24"/>
        </w:rPr>
        <w:t xml:space="preserve"> (կամ) միջոցառումների վերաբերյալ պարզաբանումներ,</w:t>
      </w:r>
    </w:p>
    <w:p w14:paraId="21DAFD1F" w14:textId="00061359" w:rsidR="008C76E0" w:rsidRPr="003B2786" w:rsidRDefault="008C76E0" w:rsidP="009C4732">
      <w:pPr>
        <w:spacing w:after="160" w:line="384" w:lineRule="auto"/>
        <w:ind w:firstLine="567"/>
        <w:jc w:val="both"/>
        <w:rPr>
          <w:rFonts w:ascii="Sylfaen" w:hAnsi="Sylfaen"/>
          <w:sz w:val="24"/>
          <w:szCs w:val="24"/>
        </w:rPr>
      </w:pPr>
      <w:r w:rsidRPr="003B2786">
        <w:rPr>
          <w:rFonts w:ascii="Sylfaen" w:hAnsi="Sylfaen"/>
          <w:sz w:val="24"/>
          <w:szCs w:val="24"/>
        </w:rPr>
        <w:t xml:space="preserve">«ոչ էական (այլ) դիտողություններ». այդպիսի դիտողությունները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(օրինակ՝ ԴԸԲ, ներդիր թերթիկ, մականշվածք): Ոչ էական (այլ) դիտողություններով վերհանված թերություններն անհրաժեշտ է վերացնել մինչ</w:t>
      </w:r>
      <w:r w:rsidR="00C54D75">
        <w:rPr>
          <w:rFonts w:ascii="Sylfaen" w:hAnsi="Sylfaen"/>
          <w:sz w:val="24"/>
          <w:szCs w:val="24"/>
        </w:rPr>
        <w:t>և</w:t>
      </w:r>
      <w:r w:rsidRPr="003B2786">
        <w:rPr>
          <w:rFonts w:ascii="Sylfaen" w:hAnsi="Sylfaen"/>
          <w:sz w:val="24"/>
          <w:szCs w:val="24"/>
        </w:rPr>
        <w:t xml:space="preserve"> գրանցման հավաստագիր ստանալը, հակառակ դեպքում գրանցումը կարող է մերժվել:</w:t>
      </w:r>
    </w:p>
    <w:p w14:paraId="692D569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դիտողությունների ցանկը կազմելիս հարկ է օգտագործել փորձագիտական </w:t>
      </w:r>
      <w:r w:rsidRPr="003B2786">
        <w:rPr>
          <w:rFonts w:ascii="Sylfaen" w:hAnsi="Sylfaen"/>
          <w:sz w:val="24"/>
          <w:szCs w:val="24"/>
        </w:rPr>
        <w:lastRenderedPageBreak/>
        <w:t>հաշվետվության ենթավերնագրերն ու վերնագրերը:</w:t>
      </w:r>
    </w:p>
    <w:p w14:paraId="0B5EDD6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Դիտողությունների տվյալ ցանկն անհրաժեշտ է կրկնել փորձագիտական հաշվետվության «Ամփոփիչ մոդուլում»:</w:t>
      </w:r>
    </w:p>
    <w:p w14:paraId="515FB0DF" w14:textId="77777777" w:rsidR="008C76E0" w:rsidRPr="003B2786" w:rsidRDefault="008C76E0" w:rsidP="00473371">
      <w:pPr>
        <w:spacing w:after="160" w:line="360" w:lineRule="auto"/>
        <w:ind w:firstLine="567"/>
        <w:jc w:val="both"/>
        <w:rPr>
          <w:rFonts w:ascii="Sylfaen" w:hAnsi="Sylfaen"/>
          <w:sz w:val="24"/>
          <w:szCs w:val="24"/>
        </w:rPr>
      </w:pPr>
    </w:p>
    <w:p w14:paraId="5F1144A9"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Որակի ասպեկտները</w:t>
      </w:r>
    </w:p>
    <w:p w14:paraId="3483E59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դիտողությունները:</w:t>
      </w:r>
    </w:p>
    <w:p w14:paraId="430B44F8" w14:textId="7BDD683C"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2261AEA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ԱԴԲ-ն (ԱԴԲՄՖ-ի իրավատիրոջ կողմից ներկայացված մաստեր-ֆայլի մասը)</w:t>
      </w:r>
    </w:p>
    <w:p w14:paraId="1875AD89"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Ծանոթագրություններ.</w:t>
      </w:r>
    </w:p>
    <w:p w14:paraId="758F2015" w14:textId="2F082CEE" w:rsidR="008C76E0" w:rsidRPr="003B2786" w:rsidRDefault="008C76E0" w:rsidP="009C4732">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ԱԴԲՄՖ-ի օգտագործման </w:t>
      </w:r>
      <w:r w:rsidR="00C54D75">
        <w:rPr>
          <w:rFonts w:ascii="Sylfaen" w:hAnsi="Sylfaen"/>
          <w:sz w:val="24"/>
          <w:szCs w:val="24"/>
        </w:rPr>
        <w:t>և</w:t>
      </w:r>
      <w:r w:rsidRPr="003B2786">
        <w:rPr>
          <w:rFonts w:ascii="Sylfaen" w:hAnsi="Sylfaen"/>
          <w:sz w:val="24"/>
          <w:szCs w:val="24"/>
        </w:rPr>
        <w:t xml:space="preserve"> ԱԴԲՄՖ-ի փակ մասի փորձաքննության արդյունքների հիման վրա՝ հանրային առողջության համար հավանական լուրջ ռիսկերի </w:t>
      </w:r>
      <w:r w:rsidR="009B6AA0">
        <w:rPr>
          <w:rFonts w:ascii="Sylfaen" w:hAnsi="Sylfaen"/>
          <w:sz w:val="24"/>
          <w:szCs w:val="24"/>
        </w:rPr>
        <w:t>հայտ</w:t>
      </w:r>
      <w:r w:rsidRPr="003B2786">
        <w:rPr>
          <w:rFonts w:ascii="Sylfaen" w:hAnsi="Sylfaen"/>
          <w:sz w:val="24"/>
          <w:szCs w:val="24"/>
        </w:rPr>
        <w:t>նաբերման դեպքում անհրաժեշտ է կատարել հետ</w:t>
      </w:r>
      <w:r w:rsidR="00C54D75">
        <w:rPr>
          <w:rFonts w:ascii="Sylfaen" w:hAnsi="Sylfaen"/>
          <w:sz w:val="24"/>
          <w:szCs w:val="24"/>
        </w:rPr>
        <w:t>և</w:t>
      </w:r>
      <w:r w:rsidRPr="003B2786">
        <w:rPr>
          <w:rFonts w:ascii="Sylfaen" w:hAnsi="Sylfaen"/>
          <w:sz w:val="24"/>
          <w:szCs w:val="24"/>
        </w:rPr>
        <w:t xml:space="preserve">յալ նշումը՝ «ԱԴԲՄՖ-ի փակ մասում </w:t>
      </w:r>
      <w:r w:rsidR="00003ABD">
        <w:rPr>
          <w:rFonts w:ascii="Sylfaen" w:hAnsi="Sylfaen"/>
          <w:sz w:val="24"/>
          <w:szCs w:val="24"/>
        </w:rPr>
        <w:t>հայտնաբերված</w:t>
      </w:r>
      <w:r w:rsidRPr="003B2786">
        <w:rPr>
          <w:rFonts w:ascii="Sylfaen" w:hAnsi="Sylfaen"/>
          <w:sz w:val="24"/>
          <w:szCs w:val="24"/>
        </w:rPr>
        <w:t>՝ հանրային առողջության համար հավանական լուրջ ռիսկերի մասին տեղեկատվությունը բերվում է ԱԴԲՄՖ-ի առանձին փորձագիտական հաշվետվությունում»:</w:t>
      </w:r>
    </w:p>
    <w:p w14:paraId="0ECEB221" w14:textId="77777777" w:rsidR="008C76E0" w:rsidRPr="003B2786" w:rsidRDefault="008C76E0" w:rsidP="001F0952">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(տե՛ս Եվրասիական տնտեսական միության շրջանակներում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8 հավելվածը):</w:t>
      </w:r>
    </w:p>
    <w:p w14:paraId="2A94501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16D058DF"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Այլ դիտողություններ</w:t>
      </w:r>
    </w:p>
    <w:p w14:paraId="51EE1B6F" w14:textId="04B3B3E5"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ԱԴԲ-ն (միայն </w:t>
      </w:r>
      <w:r w:rsidR="0056496B">
        <w:rPr>
          <w:rFonts w:ascii="Sylfaen" w:hAnsi="Sylfaen"/>
          <w:sz w:val="24"/>
          <w:szCs w:val="24"/>
        </w:rPr>
        <w:t>դիմումատու</w:t>
      </w:r>
      <w:r w:rsidRPr="003B2786">
        <w:rPr>
          <w:rFonts w:ascii="Sylfaen" w:hAnsi="Sylfaen"/>
          <w:sz w:val="24"/>
          <w:szCs w:val="24"/>
        </w:rPr>
        <w:t>ի կողմից ներկայացված լրացուցիչ տվյալների մասով):</w:t>
      </w:r>
    </w:p>
    <w:p w14:paraId="369F428C"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ԱԴԲՄՖ-ի փակ մասում բերել լրացուցիչ կրիտիկական դիտողություններ՝ դրանց առկայության դեպքում: Դրանք մանրամասն կուսումնասիրվեն որակի ասպեկտների կրիտիկական գնահատման վերաբերյալ փորձագիտական հաշվետվության հիմնական մասի հավելվածում: </w:t>
      </w:r>
    </w:p>
    <w:p w14:paraId="16C8CAC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Ծանոթագրություն (եթե կիրառելի է)։ Նշել հետ</w:t>
      </w:r>
      <w:r w:rsidR="00C54D75">
        <w:rPr>
          <w:rFonts w:ascii="Sylfaen" w:hAnsi="Sylfaen"/>
          <w:sz w:val="24"/>
          <w:szCs w:val="24"/>
        </w:rPr>
        <w:t>և</w:t>
      </w:r>
      <w:r w:rsidRPr="003B2786">
        <w:rPr>
          <w:rFonts w:ascii="Sylfaen" w:hAnsi="Sylfaen"/>
          <w:sz w:val="24"/>
          <w:szCs w:val="24"/>
        </w:rPr>
        <w:t>յալը՝ «ԱԴԲՄՖ-ի փակ մասի այլ դիտողությունների մասին տեղեկատվությունը բերվել է ԱԴԲՄՖ-ի կրիտիկական գնահատականի վերաբերյալ առանձին փորձագիտական հաշվետվությունում»:</w:t>
      </w:r>
    </w:p>
    <w:p w14:paraId="3019016D"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Դեղապատրաստուկը:</w:t>
      </w:r>
    </w:p>
    <w:p w14:paraId="4A587C1A" w14:textId="77777777" w:rsidR="008C76E0" w:rsidRPr="003B2786" w:rsidRDefault="008C76E0" w:rsidP="00473371">
      <w:pPr>
        <w:spacing w:after="160" w:line="360" w:lineRule="auto"/>
        <w:ind w:firstLine="567"/>
        <w:jc w:val="center"/>
        <w:rPr>
          <w:rFonts w:ascii="Sylfaen" w:hAnsi="Sylfaen"/>
          <w:sz w:val="24"/>
          <w:szCs w:val="24"/>
        </w:rPr>
      </w:pPr>
    </w:p>
    <w:p w14:paraId="3F9DD28D"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Հանձնարարականները</w:t>
      </w:r>
    </w:p>
    <w:p w14:paraId="24A354A6"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Բաժինը պարունակում է փորձագետի այն դիտողությունները (պայմանները), որոնք չեն խոչընդոտում դեղապատրաստուկի գրանցմանը, կարող են հաշվի առնվել պատրաստուկի գրանցումից հետո </w:t>
      </w:r>
      <w:r w:rsidR="00C54D75">
        <w:rPr>
          <w:rFonts w:ascii="Sylfaen" w:hAnsi="Sylfaen"/>
          <w:sz w:val="24"/>
          <w:szCs w:val="24"/>
        </w:rPr>
        <w:t>և</w:t>
      </w:r>
      <w:r w:rsidRPr="003B2786">
        <w:rPr>
          <w:rFonts w:ascii="Sylfaen" w:hAnsi="Sylfaen"/>
          <w:sz w:val="24"/>
          <w:szCs w:val="24"/>
        </w:rPr>
        <w:t xml:space="preserve"> ներառվել են (փոփոխվել են) փոփոխությունների կատարման ընթացակարգի շրջանակներում:</w:t>
      </w:r>
    </w:p>
    <w:p w14:paraId="28F32D96" w14:textId="77777777" w:rsidR="008C76E0" w:rsidRPr="003B2786" w:rsidRDefault="008C76E0" w:rsidP="00473371">
      <w:pPr>
        <w:spacing w:after="160" w:line="360" w:lineRule="auto"/>
        <w:ind w:right="-1"/>
        <w:jc w:val="center"/>
        <w:rPr>
          <w:rFonts w:ascii="Sylfaen" w:hAnsi="Sylfaen"/>
          <w:sz w:val="24"/>
          <w:szCs w:val="24"/>
        </w:rPr>
      </w:pPr>
      <w:r w:rsidRPr="003B2786">
        <w:rPr>
          <w:rFonts w:ascii="Sylfaen" w:hAnsi="Sylfaen"/>
          <w:sz w:val="24"/>
          <w:szCs w:val="24"/>
        </w:rPr>
        <w:t>10. Թիվ 1 հավելված (եթե կիրառելի է)</w:t>
      </w:r>
    </w:p>
    <w:p w14:paraId="14289FB2" w14:textId="77777777" w:rsidR="008C76E0" w:rsidRPr="003B2786" w:rsidRDefault="008C76E0" w:rsidP="00473371">
      <w:pPr>
        <w:spacing w:after="160" w:line="360" w:lineRule="auto"/>
        <w:ind w:right="-1" w:firstLine="567"/>
        <w:jc w:val="both"/>
        <w:outlineLvl w:val="0"/>
        <w:rPr>
          <w:rFonts w:ascii="Sylfaen" w:hAnsi="Sylfaen"/>
          <w:sz w:val="24"/>
          <w:szCs w:val="24"/>
        </w:rPr>
      </w:pPr>
      <w:r w:rsidRPr="003B2786">
        <w:rPr>
          <w:rFonts w:ascii="Sylfaen" w:hAnsi="Sylfaen"/>
          <w:sz w:val="24"/>
          <w:szCs w:val="24"/>
        </w:rPr>
        <w:t>ԱԴԲՄՖ</w:t>
      </w:r>
    </w:p>
    <w:p w14:paraId="75833F1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Կրիտիկական գնահատման վերաբերյալ փորձագիտական հաշվետվությունն առանձին փաստաթղթում:</w:t>
      </w:r>
    </w:p>
    <w:p w14:paraId="47181D83" w14:textId="77777777" w:rsidR="008C76E0" w:rsidRPr="003B2786" w:rsidRDefault="008C76E0" w:rsidP="00473371">
      <w:pPr>
        <w:spacing w:after="160" w:line="360" w:lineRule="auto"/>
        <w:ind w:firstLine="567"/>
        <w:jc w:val="center"/>
        <w:rPr>
          <w:rFonts w:ascii="Sylfaen" w:hAnsi="Sylfaen"/>
          <w:sz w:val="24"/>
          <w:szCs w:val="24"/>
        </w:rPr>
      </w:pPr>
    </w:p>
    <w:p w14:paraId="03310170"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11. Թիվ 2 հավելված: Նախագծային դաշտը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w:t>
      </w:r>
      <w:r w:rsidRPr="003B2786">
        <w:rPr>
          <w:rFonts w:ascii="Sylfaen" w:hAnsi="Sylfaen"/>
          <w:sz w:val="24"/>
          <w:szCs w:val="24"/>
        </w:rPr>
        <w:br/>
        <w:t>(եթե կիրառելի է)</w:t>
      </w:r>
    </w:p>
    <w:p w14:paraId="0A10C6CF" w14:textId="77777777" w:rsidR="008C76E0" w:rsidRPr="003B2786" w:rsidRDefault="008C76E0" w:rsidP="009C4732">
      <w:pPr>
        <w:spacing w:after="160" w:line="336"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նպատակն է լուսաբանել այն հարցերը, որոնք պետք է արտացոլվեն Միության համապատասխան ձեռնարկների համատեքստում օգտագործվող՝ ռիսկերի </w:t>
      </w:r>
      <w:r w:rsidR="00C54D75">
        <w:rPr>
          <w:rFonts w:ascii="Sylfaen" w:hAnsi="Sylfaen"/>
          <w:sz w:val="24"/>
          <w:szCs w:val="24"/>
        </w:rPr>
        <w:t>և</w:t>
      </w:r>
      <w:r w:rsidRPr="003B2786">
        <w:rPr>
          <w:rFonts w:ascii="Sylfaen" w:hAnsi="Sylfaen"/>
          <w:sz w:val="24"/>
          <w:szCs w:val="24"/>
        </w:rPr>
        <w:t xml:space="preserve"> վիճակագրական գործիքների գնահատման մեթոդների վերլուծության գնահատման մասին հաշվետվության մեջ: Փորձագետներին առաջարկվում է ծանոթանալ տվյալ հավելվածի բովանդակությանը՝ հաշվի առնելով Միության այդ բոլոր ձեռնարկները:</w:t>
      </w:r>
    </w:p>
    <w:p w14:paraId="40A7B19E" w14:textId="77777777" w:rsidR="008C76E0" w:rsidRPr="003B2786" w:rsidRDefault="008C76E0" w:rsidP="009C4732">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Ռիսկերի գնահատման մեթոդաբանություն</w:t>
      </w:r>
    </w:p>
    <w:p w14:paraId="7C55D0A1" w14:textId="77777777" w:rsidR="008C76E0" w:rsidRPr="003B2786" w:rsidRDefault="008C76E0" w:rsidP="009C4732">
      <w:pPr>
        <w:tabs>
          <w:tab w:val="left" w:pos="1418"/>
        </w:tabs>
        <w:spacing w:after="160" w:line="336" w:lineRule="auto"/>
        <w:ind w:firstLine="567"/>
        <w:jc w:val="both"/>
        <w:rPr>
          <w:rFonts w:ascii="Sylfaen" w:hAnsi="Sylfaen"/>
          <w:sz w:val="24"/>
          <w:szCs w:val="24"/>
        </w:rPr>
      </w:pPr>
      <w:r w:rsidRPr="003B2786">
        <w:rPr>
          <w:rFonts w:ascii="Sylfaen" w:hAnsi="Sylfaen"/>
          <w:sz w:val="24"/>
          <w:szCs w:val="24"/>
        </w:rPr>
        <w:t xml:space="preserve">Ռիսկերի գնահատման գործիքները կարող են օգտագործվել շատ իրավիճակներում: Օրինակ՝ դրանք կարելի է օգտագործել նյութերի որակի ցուցանիշների </w:t>
      </w:r>
      <w:r w:rsidR="00C54D75">
        <w:rPr>
          <w:rFonts w:ascii="Sylfaen" w:hAnsi="Sylfaen"/>
          <w:sz w:val="24"/>
          <w:szCs w:val="24"/>
        </w:rPr>
        <w:t>և</w:t>
      </w:r>
      <w:r w:rsidRPr="003B2786">
        <w:rPr>
          <w:rFonts w:ascii="Sylfaen" w:hAnsi="Sylfaen"/>
          <w:sz w:val="24"/>
          <w:szCs w:val="24"/>
        </w:rPr>
        <w:t xml:space="preserve"> (կամ) պրոցեսի պարամետրերի գնահատման </w:t>
      </w:r>
      <w:r w:rsidR="00C54D75">
        <w:rPr>
          <w:rFonts w:ascii="Sylfaen" w:hAnsi="Sylfaen"/>
          <w:sz w:val="24"/>
          <w:szCs w:val="24"/>
        </w:rPr>
        <w:t>և</w:t>
      </w:r>
      <w:r w:rsidRPr="003B2786">
        <w:rPr>
          <w:rFonts w:ascii="Sylfaen" w:hAnsi="Sylfaen"/>
          <w:sz w:val="24"/>
          <w:szCs w:val="24"/>
        </w:rPr>
        <w:t xml:space="preserve"> ընտրության համար, որոնք պետք է գտնվեն թույլատրելի նորմերի սահմաններում՝ դեղապատրաստուկի պահանջվող որակն ապահովելու համար: Այդպիսի գործիքներ կարող են նա</w:t>
      </w:r>
      <w:r w:rsidR="00C54D75">
        <w:rPr>
          <w:rFonts w:ascii="Sylfaen" w:hAnsi="Sylfaen"/>
          <w:sz w:val="24"/>
          <w:szCs w:val="24"/>
        </w:rPr>
        <w:t>և</w:t>
      </w:r>
      <w:r w:rsidRPr="003B2786">
        <w:rPr>
          <w:rFonts w:ascii="Sylfaen" w:hAnsi="Sylfaen"/>
          <w:sz w:val="24"/>
          <w:szCs w:val="24"/>
        </w:rPr>
        <w:t xml:space="preserve"> օգտագործվել պրոցեսի այնպիսի պարամետրերի ընտրության համար,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փորձագիտական տվյալներից, հնարավոր է, որ ազդեն դեղապատրաստուկի որակի վրա:</w:t>
      </w:r>
    </w:p>
    <w:p w14:paraId="0331A408" w14:textId="77777777" w:rsidR="008C76E0" w:rsidRPr="003B2786" w:rsidRDefault="008C76E0" w:rsidP="009C4732">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գնահատել, թե արդյոք ներկայացված են որակի բոլոր կրիտիկական ցուցանիշների </w:t>
      </w:r>
      <w:r w:rsidR="00C54D75">
        <w:rPr>
          <w:rFonts w:ascii="Sylfaen" w:hAnsi="Sylfaen"/>
          <w:sz w:val="24"/>
          <w:szCs w:val="24"/>
        </w:rPr>
        <w:t>և</w:t>
      </w:r>
      <w:r w:rsidRPr="003B2786">
        <w:rPr>
          <w:rFonts w:ascii="Sylfaen" w:hAnsi="Sylfaen"/>
          <w:sz w:val="24"/>
          <w:szCs w:val="24"/>
        </w:rPr>
        <w:t xml:space="preserve"> պրոցեսի պարամետրերի վերաբերյալ համառոտ տվյալները, որոնք, ելնելով ավելի վաղ ստացված փորձից </w:t>
      </w:r>
      <w:r w:rsidR="00C54D75">
        <w:rPr>
          <w:rFonts w:ascii="Sylfaen" w:hAnsi="Sylfaen"/>
          <w:sz w:val="24"/>
          <w:szCs w:val="24"/>
        </w:rPr>
        <w:t>և</w:t>
      </w:r>
      <w:r w:rsidRPr="003B2786">
        <w:rPr>
          <w:rFonts w:ascii="Sylfaen" w:hAnsi="Sylfaen"/>
          <w:sz w:val="24"/>
          <w:szCs w:val="24"/>
        </w:rPr>
        <w:t xml:space="preserve"> (կամ) փորձագիտական տվյալներից, կարող են ազդել դեղապատրաստուկի որակի վրա:</w:t>
      </w:r>
    </w:p>
    <w:p w14:paraId="226E7DFB"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 xml:space="preserve">անքների վերլուծության մասով անհրաժեշտ է գնահատել՝ </w:t>
      </w:r>
    </w:p>
    <w:p w14:paraId="03E3CD12" w14:textId="7F11C23B"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ռիսկի բոլոր նշանակալի գործոններն են ներառվել: Օրինակ, դեղապատրաստուկի համար ռիսկի </w:t>
      </w:r>
      <w:r w:rsidR="009B6AA0">
        <w:rPr>
          <w:rFonts w:ascii="Sylfaen" w:hAnsi="Sylfaen"/>
          <w:sz w:val="24"/>
          <w:szCs w:val="24"/>
        </w:rPr>
        <w:t>հայտ</w:t>
      </w:r>
      <w:r w:rsidRPr="003B2786">
        <w:rPr>
          <w:rFonts w:ascii="Sylfaen" w:hAnsi="Sylfaen"/>
          <w:sz w:val="24"/>
          <w:szCs w:val="24"/>
        </w:rPr>
        <w:t xml:space="preserve">նի գործոնները (օրինակ՝ քայքայումը, լուծելիությունը </w:t>
      </w:r>
      <w:r w:rsidR="00C54D75">
        <w:rPr>
          <w:rFonts w:ascii="Sylfaen" w:hAnsi="Sylfaen"/>
          <w:sz w:val="24"/>
          <w:szCs w:val="24"/>
        </w:rPr>
        <w:t>և</w:t>
      </w:r>
      <w:r w:rsidRPr="003B2786">
        <w:rPr>
          <w:rFonts w:ascii="Sylfaen" w:hAnsi="Sylfaen"/>
          <w:sz w:val="24"/>
          <w:szCs w:val="24"/>
        </w:rPr>
        <w:t xml:space="preserve"> այլն),</w:t>
      </w:r>
    </w:p>
    <w:p w14:paraId="553EEF93"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հաշվի է առնված առանձին գործողությունների </w:t>
      </w:r>
      <w:r w:rsidR="00C54D75">
        <w:rPr>
          <w:rFonts w:ascii="Sylfaen" w:hAnsi="Sylfaen"/>
          <w:sz w:val="24"/>
          <w:szCs w:val="24"/>
        </w:rPr>
        <w:t>և</w:t>
      </w:r>
      <w:r w:rsidRPr="003B2786">
        <w:rPr>
          <w:rFonts w:ascii="Sylfaen" w:hAnsi="Sylfaen"/>
          <w:sz w:val="24"/>
          <w:szCs w:val="24"/>
        </w:rPr>
        <w:t xml:space="preserve"> նյութերի հատկությունների արդյունավետությունը,</w:t>
      </w:r>
    </w:p>
    <w:p w14:paraId="6A79B18B" w14:textId="5F67ACE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բացատրել է, թե ինչպես է կատարվում ռիսկերի </w:t>
      </w:r>
      <w:r w:rsidRPr="003B2786">
        <w:rPr>
          <w:rFonts w:ascii="Sylfaen" w:hAnsi="Sylfaen"/>
          <w:sz w:val="24"/>
          <w:szCs w:val="24"/>
        </w:rPr>
        <w:lastRenderedPageBreak/>
        <w:t>դասակարգումն ու հաշվառումը,</w:t>
      </w:r>
    </w:p>
    <w:p w14:paraId="599D04DA" w14:textId="5D5A7406"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ն հիմնավորել է սահմանային արժեք սահմանելու կարգը, որպեսզի ընտրի, թե որ պարամետրերն են հետագայում ենթակա վերլուծության,</w:t>
      </w:r>
    </w:p>
    <w:p w14:paraId="77CFF37D" w14:textId="77777777" w:rsidR="008C76E0" w:rsidRPr="003B2786" w:rsidRDefault="008C76E0" w:rsidP="00473371">
      <w:pPr>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արդյոք դուք համաձայն եք ռիսկերի դասակարգման առաջարկվող սխեմայի հետ,</w:t>
      </w:r>
    </w:p>
    <w:p w14:paraId="7FBCE982"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համապատասխանում է արդյոք խափանումների պատճառների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անքների վերլուծության արդյունքը ժամանակակից գիտական գիտելիքներին: Եթե ոչ, արդյոք հիմնավորված է այդպիսի արդյունքի ընդունելիությունը,</w:t>
      </w:r>
    </w:p>
    <w:p w14:paraId="0D571E09" w14:textId="7545E909"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w:t>
      </w:r>
      <w:r w:rsidR="00003ABD">
        <w:rPr>
          <w:rFonts w:ascii="Sylfaen" w:hAnsi="Sylfaen"/>
          <w:sz w:val="24"/>
          <w:szCs w:val="24"/>
        </w:rPr>
        <w:t>հայտնաբերված</w:t>
      </w:r>
      <w:r w:rsidRPr="003B2786">
        <w:rPr>
          <w:rFonts w:ascii="Sylfaen" w:hAnsi="Sylfaen"/>
          <w:sz w:val="24"/>
          <w:szCs w:val="24"/>
        </w:rPr>
        <w:t xml:space="preserve"> ռիսկերը կառավարվում են ըստ նախագծային դաշտի (դիզայնի ոլորտի) կամ հսկողության առաջարկվող ռազմավարության:</w:t>
      </w:r>
    </w:p>
    <w:p w14:paraId="6227F1D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Նախագծմանն առնչվող գիտափորձերը:</w:t>
      </w:r>
    </w:p>
    <w:p w14:paraId="3175DC9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Նախագծմանն առնչվող գիտափորձերն իրենցից ներկայացնում են փորձարարական գործունեության իրականացման ռազմավարություն, որի շրջանակներում միաժամանակ տարատեսակվում են ուսումնասիրվող բոլոր գործոնները՝ մանրամասն կազմված մաթեմատիկական արձանագրություններին համապատասխան: Նպատակն է պլանավորել ռեպրեզենտատիվ </w:t>
      </w:r>
      <w:r w:rsidR="00C54D75">
        <w:rPr>
          <w:rFonts w:ascii="Sylfaen" w:hAnsi="Sylfaen"/>
          <w:sz w:val="24"/>
          <w:szCs w:val="24"/>
        </w:rPr>
        <w:t>և</w:t>
      </w:r>
      <w:r w:rsidRPr="003B2786">
        <w:rPr>
          <w:rFonts w:ascii="Sylfaen" w:hAnsi="Sylfaen"/>
          <w:sz w:val="24"/>
          <w:szCs w:val="24"/>
        </w:rPr>
        <w:t xml:space="preserve"> տեղեկատվական գիտափորձեր, որոնք թույլ կտան նվազագույն փորձերի միջոցով ստանալ առավելագույն տեղեկատվություն: Փորձարարական գործունեության իրականացման շրջանակներում ուսումնասիրության ենթակա գործոնները հիմնվում են ռիսկերի գնահատականի վրա: Մշակման վաղ էտապներում կատարված փորձարարական գործունեության վիճակագրական ամբողջական գնահատականը (օրինակ՝ սկրինինգի համար), անհրաժեշտ միջոց չի համարվում: Գործոնների </w:t>
      </w:r>
      <w:r w:rsidR="00C54D75">
        <w:rPr>
          <w:rFonts w:ascii="Sylfaen" w:hAnsi="Sylfaen"/>
          <w:sz w:val="24"/>
          <w:szCs w:val="24"/>
        </w:rPr>
        <w:t>և</w:t>
      </w:r>
      <w:r w:rsidRPr="003B2786">
        <w:rPr>
          <w:rFonts w:ascii="Sylfaen" w:hAnsi="Sylfaen"/>
          <w:sz w:val="24"/>
          <w:szCs w:val="24"/>
        </w:rPr>
        <w:t xml:space="preserve"> ուսումնասիրված մակարդակների, ինչպես նա</w:t>
      </w:r>
      <w:r w:rsidR="00C54D75">
        <w:rPr>
          <w:rFonts w:ascii="Sylfaen" w:hAnsi="Sylfaen"/>
          <w:sz w:val="24"/>
          <w:szCs w:val="24"/>
        </w:rPr>
        <w:t>և</w:t>
      </w:r>
      <w:r w:rsidRPr="003B2786">
        <w:rPr>
          <w:rFonts w:ascii="Sylfaen" w:hAnsi="Sylfaen"/>
          <w:sz w:val="24"/>
          <w:szCs w:val="24"/>
        </w:rPr>
        <w:t xml:space="preserve"> եզրակացությունների բառային նկարագրությունը միանգամայն բավարար է համարվում:</w:t>
      </w:r>
    </w:p>
    <w:p w14:paraId="119D3127"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որակի կրիտիկական ցուցանիշների, պրոցեսի </w:t>
      </w:r>
      <w:r w:rsidR="00C54D75">
        <w:rPr>
          <w:rFonts w:ascii="Sylfaen" w:hAnsi="Sylfaen"/>
          <w:sz w:val="24"/>
          <w:szCs w:val="24"/>
        </w:rPr>
        <w:t>և</w:t>
      </w:r>
      <w:r w:rsidRPr="003B2786">
        <w:rPr>
          <w:rFonts w:ascii="Sylfaen" w:hAnsi="Sylfaen"/>
          <w:sz w:val="24"/>
          <w:szCs w:val="24"/>
        </w:rPr>
        <w:t xml:space="preserve"> (կամ) նախագծային դաշտի (դիզայնի ոլորտի) կրիտիկական պարամետրերի սահմանմանն ուղղված՝ նախագծմանն առնչվող գիտափորձերի դեպքում պետք է ուսումնասիրվեն հետ</w:t>
      </w:r>
      <w:r w:rsidR="00C54D75">
        <w:rPr>
          <w:rFonts w:ascii="Sylfaen" w:hAnsi="Sylfaen"/>
          <w:sz w:val="24"/>
          <w:szCs w:val="24"/>
        </w:rPr>
        <w:t>և</w:t>
      </w:r>
      <w:r w:rsidRPr="003B2786">
        <w:rPr>
          <w:rFonts w:ascii="Sylfaen" w:hAnsi="Sylfaen"/>
          <w:sz w:val="24"/>
          <w:szCs w:val="24"/>
        </w:rPr>
        <w:t>յալ տվյալները՝</w:t>
      </w:r>
    </w:p>
    <w:p w14:paraId="56736EE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օգտագործված՝ նախագծմանն առնչվող գիտափորձի տարատեսակը </w:t>
      </w:r>
      <w:r w:rsidR="00C54D75">
        <w:rPr>
          <w:rFonts w:ascii="Sylfaen" w:hAnsi="Sylfaen"/>
          <w:sz w:val="24"/>
          <w:szCs w:val="24"/>
        </w:rPr>
        <w:t>և</w:t>
      </w:r>
      <w:r w:rsidRPr="003B2786">
        <w:rPr>
          <w:rFonts w:ascii="Sylfaen" w:hAnsi="Sylfaen"/>
          <w:sz w:val="24"/>
          <w:szCs w:val="24"/>
        </w:rPr>
        <w:t xml:space="preserve"> դրա պիտանելիության հիմնավորումը (օրինակ՝ որոշ սկրինինգային սխեմաներ հարմար չեն, քանի որ թույլ չեն տալիս որոշել փոխազդեցությունը): Պետք է նշվի նախագծմանն առնչվող գիտափորձ արժանահավատությունը (փորձարարական սխալն այն պատասխաններում եղած տարբերությունների համեմատ, որոնք պետք է արտացոլվեն),</w:t>
      </w:r>
    </w:p>
    <w:p w14:paraId="25723D3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ուսումնասիրվող գործոնները </w:t>
      </w:r>
      <w:r w:rsidR="00C54D75">
        <w:rPr>
          <w:rFonts w:ascii="Sylfaen" w:hAnsi="Sylfaen"/>
          <w:sz w:val="24"/>
          <w:szCs w:val="24"/>
        </w:rPr>
        <w:t>և</w:t>
      </w:r>
      <w:r w:rsidRPr="003B2786">
        <w:rPr>
          <w:rFonts w:ascii="Sylfaen" w:hAnsi="Sylfaen"/>
          <w:sz w:val="24"/>
          <w:szCs w:val="24"/>
        </w:rPr>
        <w:t xml:space="preserve"> դրանց ընդգրկույթները (հնարավորության դեպքում՝ աղյուսակային ձ</w:t>
      </w:r>
      <w:r w:rsidR="00C54D75">
        <w:rPr>
          <w:rFonts w:ascii="Sylfaen" w:hAnsi="Sylfaen"/>
          <w:sz w:val="24"/>
          <w:szCs w:val="24"/>
        </w:rPr>
        <w:t>և</w:t>
      </w:r>
      <w:r w:rsidRPr="003B2786">
        <w:rPr>
          <w:rFonts w:ascii="Sylfaen" w:hAnsi="Sylfaen"/>
          <w:sz w:val="24"/>
          <w:szCs w:val="24"/>
        </w:rPr>
        <w:t>աչափով),</w:t>
      </w:r>
    </w:p>
    <w:p w14:paraId="2AA2D0F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պլանավորված փորձերի ցանկը՝ հետազոտության խմբաքանակի ու համարի </w:t>
      </w:r>
      <w:r w:rsidR="00C54D75">
        <w:rPr>
          <w:rFonts w:ascii="Sylfaen" w:hAnsi="Sylfaen"/>
          <w:sz w:val="24"/>
          <w:szCs w:val="24"/>
        </w:rPr>
        <w:t>և</w:t>
      </w:r>
      <w:r w:rsidRPr="003B2786">
        <w:rPr>
          <w:rFonts w:ascii="Sylfaen" w:hAnsi="Sylfaen"/>
          <w:sz w:val="24"/>
          <w:szCs w:val="24"/>
        </w:rPr>
        <w:t xml:space="preserve"> յուրաքանչյուր փորձում արտադրանքի խմբաքանակի չափի հստակ նշումով: Անհրաժեշտ է նշել կրկնակի փորձերի քանակը,</w:t>
      </w:r>
    </w:p>
    <w:p w14:paraId="4336EB0B" w14:textId="77777777" w:rsidR="008C76E0" w:rsidRPr="003B2786" w:rsidRDefault="008C76E0" w:rsidP="00473371">
      <w:pPr>
        <w:spacing w:after="160" w:line="360" w:lineRule="auto"/>
        <w:ind w:right="-1" w:firstLine="567"/>
        <w:jc w:val="both"/>
        <w:rPr>
          <w:rFonts w:ascii="Sylfaen" w:hAnsi="Sylfaen"/>
          <w:spacing w:val="-6"/>
          <w:sz w:val="24"/>
          <w:szCs w:val="24"/>
        </w:rPr>
      </w:pPr>
      <w:r w:rsidRPr="003B2786">
        <w:rPr>
          <w:rFonts w:ascii="Sylfaen" w:hAnsi="Sylfaen"/>
          <w:spacing w:val="-6"/>
          <w:sz w:val="24"/>
          <w:szCs w:val="24"/>
        </w:rPr>
        <w:t xml:space="preserve">տվյալների գնահատման համար օգտագործվող վերլուծական մեթոդներին հղումը </w:t>
      </w:r>
      <w:r w:rsidR="00C54D75">
        <w:rPr>
          <w:rFonts w:ascii="Sylfaen" w:hAnsi="Sylfaen"/>
          <w:spacing w:val="-6"/>
          <w:sz w:val="24"/>
          <w:szCs w:val="24"/>
        </w:rPr>
        <w:t>և</w:t>
      </w:r>
      <w:r w:rsidRPr="003B2786">
        <w:rPr>
          <w:rFonts w:ascii="Sylfaen" w:hAnsi="Sylfaen"/>
          <w:spacing w:val="-6"/>
          <w:sz w:val="24"/>
          <w:szCs w:val="24"/>
        </w:rPr>
        <w:t xml:space="preserve"> ենթադրյալ օգտագործման համար դրանց պիտանելիության ցուցադրումը,</w:t>
      </w:r>
    </w:p>
    <w:p w14:paraId="2CE3ED00"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ներկայացնել վիճակագրական արդյունքներ (օրինակ՝ Պարետոյի դիագրամները կամ ազդեցությունների </w:t>
      </w:r>
      <w:r w:rsidR="00C54D75">
        <w:rPr>
          <w:rFonts w:ascii="Sylfaen" w:hAnsi="Sylfaen"/>
          <w:sz w:val="24"/>
          <w:szCs w:val="24"/>
        </w:rPr>
        <w:t>և</w:t>
      </w:r>
      <w:r w:rsidRPr="003B2786">
        <w:rPr>
          <w:rFonts w:ascii="Sylfaen" w:hAnsi="Sylfaen"/>
          <w:sz w:val="24"/>
          <w:szCs w:val="24"/>
        </w:rPr>
        <w:t xml:space="preserve"> փոխազդեցությունների մասշտաբների պարզ ցանկը), որոնք արտացոլում են հետազոտության ժամանակ գործոնների հարաբերական նշանակալիությունը, ինչպես նա</w:t>
      </w:r>
      <w:r w:rsidR="00C54D75">
        <w:rPr>
          <w:rFonts w:ascii="Sylfaen" w:hAnsi="Sylfaen"/>
          <w:sz w:val="24"/>
          <w:szCs w:val="24"/>
        </w:rPr>
        <w:t>և</w:t>
      </w:r>
      <w:r w:rsidRPr="003B2786">
        <w:rPr>
          <w:rFonts w:ascii="Sylfaen" w:hAnsi="Sylfaen"/>
          <w:sz w:val="24"/>
          <w:szCs w:val="24"/>
        </w:rPr>
        <w:t xml:space="preserve"> դրանց միջ</w:t>
      </w:r>
      <w:r w:rsidR="00C54D75">
        <w:rPr>
          <w:rFonts w:ascii="Sylfaen" w:hAnsi="Sylfaen"/>
          <w:sz w:val="24"/>
          <w:szCs w:val="24"/>
        </w:rPr>
        <w:t>և</w:t>
      </w:r>
      <w:r w:rsidRPr="003B2786">
        <w:rPr>
          <w:rFonts w:ascii="Sylfaen" w:hAnsi="Sylfaen"/>
          <w:sz w:val="24"/>
          <w:szCs w:val="24"/>
        </w:rPr>
        <w:t xml:space="preserve"> փոխազդեցությունը (ըստ կիրառելիության):</w:t>
      </w:r>
    </w:p>
    <w:p w14:paraId="3F07D0F9" w14:textId="77777777" w:rsidR="008C76E0" w:rsidRPr="003B2786" w:rsidRDefault="008C76E0" w:rsidP="00015767">
      <w:pPr>
        <w:spacing w:after="160" w:line="336" w:lineRule="auto"/>
        <w:ind w:firstLine="567"/>
        <w:jc w:val="both"/>
        <w:rPr>
          <w:rFonts w:ascii="Sylfaen" w:hAnsi="Sylfaen"/>
          <w:sz w:val="24"/>
          <w:szCs w:val="24"/>
        </w:rPr>
      </w:pPr>
      <w:r w:rsidRPr="003B2786">
        <w:rPr>
          <w:rFonts w:ascii="Sylfaen" w:hAnsi="Sylfaen"/>
          <w:sz w:val="24"/>
          <w:szCs w:val="24"/>
        </w:rPr>
        <w:t xml:space="preserve">Համոզվեք, որ փորձարարական հետազոտության հիման վրա արված կանխատեսումները մասշտաբների (սարքավորում) հարաբերակցություններում համադրելի են հետազոտվող ընդգրկույթների </w:t>
      </w:r>
      <w:r w:rsidR="00C54D75">
        <w:rPr>
          <w:rFonts w:ascii="Sylfaen" w:hAnsi="Sylfaen"/>
          <w:sz w:val="24"/>
          <w:szCs w:val="24"/>
        </w:rPr>
        <w:t>և</w:t>
      </w:r>
      <w:r w:rsidRPr="003B2786">
        <w:rPr>
          <w:rFonts w:ascii="Sylfaen" w:hAnsi="Sylfaen"/>
          <w:sz w:val="24"/>
          <w:szCs w:val="24"/>
        </w:rPr>
        <w:t xml:space="preserve"> տարբերությունների հետ: </w:t>
      </w:r>
    </w:p>
    <w:p w14:paraId="29E8AE3C" w14:textId="77777777" w:rsidR="008C76E0" w:rsidRPr="003B2786" w:rsidRDefault="008C76E0" w:rsidP="00015767">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Տվյալների բազմապարամետրային վերլուծություն (MVDA)՝ պրոցեսների բազմապարամետրային վիճակագրական վերահսկողության համար (MSPC):</w:t>
      </w:r>
    </w:p>
    <w:p w14:paraId="5E70FC1A" w14:textId="32957804"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Տվյալների բազմապարամետրային վերլուծությունը (MVDA), այդ թվում՝ հիմնական բաղադրիչների վերլուծությունը (РСА) </w:t>
      </w:r>
      <w:r w:rsidR="00C54D75">
        <w:rPr>
          <w:rFonts w:ascii="Sylfaen" w:hAnsi="Sylfaen"/>
          <w:sz w:val="24"/>
          <w:szCs w:val="24"/>
        </w:rPr>
        <w:t>և</w:t>
      </w:r>
      <w:r w:rsidRPr="003B2786">
        <w:rPr>
          <w:rFonts w:ascii="Sylfaen" w:hAnsi="Sylfaen"/>
          <w:sz w:val="24"/>
          <w:szCs w:val="24"/>
        </w:rPr>
        <w:t xml:space="preserve"> մասնակի ամենափոքր քառակուսիների հիման վրա վերլուծությունը (PLS) կարող են օգտագործվել դեղագործական պրոցեսների մոդելավորման համար: Հիմնական բաղադրիչների վերլուծությունը հաճախ օգտագործվում է տվյալների ամփոփման համար, օրինակ՝ դիտարկված տվյալների համախմբում խմբերի </w:t>
      </w:r>
      <w:r w:rsidR="00C54D75">
        <w:rPr>
          <w:rFonts w:ascii="Sylfaen" w:hAnsi="Sylfaen"/>
          <w:sz w:val="24"/>
          <w:szCs w:val="24"/>
        </w:rPr>
        <w:t>և</w:t>
      </w:r>
      <w:r w:rsidRPr="003B2786">
        <w:rPr>
          <w:rFonts w:ascii="Sylfaen" w:hAnsi="Sylfaen"/>
          <w:sz w:val="24"/>
          <w:szCs w:val="24"/>
        </w:rPr>
        <w:t xml:space="preserve"> միտումների </w:t>
      </w:r>
      <w:r w:rsidR="009B6AA0">
        <w:rPr>
          <w:rFonts w:ascii="Sylfaen" w:hAnsi="Sylfaen"/>
          <w:sz w:val="24"/>
          <w:szCs w:val="24"/>
        </w:rPr>
        <w:t>հայտ</w:t>
      </w:r>
      <w:r w:rsidRPr="003B2786">
        <w:rPr>
          <w:rFonts w:ascii="Sylfaen" w:hAnsi="Sylfaen"/>
          <w:sz w:val="24"/>
          <w:szCs w:val="24"/>
        </w:rPr>
        <w:t xml:space="preserve">նաբերման, փոփոխականների </w:t>
      </w:r>
      <w:r w:rsidR="00C54D75">
        <w:rPr>
          <w:rFonts w:ascii="Sylfaen" w:hAnsi="Sylfaen"/>
          <w:sz w:val="24"/>
          <w:szCs w:val="24"/>
        </w:rPr>
        <w:t>և</w:t>
      </w:r>
      <w:r w:rsidRPr="003B2786">
        <w:rPr>
          <w:rFonts w:ascii="Sylfaen" w:hAnsi="Sylfaen"/>
          <w:sz w:val="24"/>
          <w:szCs w:val="24"/>
        </w:rPr>
        <w:t xml:space="preserve"> դիտարկումների ու փոփոխականների փոխկապակցվածության գնահատման համար: Մինչդեռ մասնակի ամենափոքր քառակուսիների վրա հիմնված վերլուծությունն օգտագործվում է ելքի </w:t>
      </w:r>
      <w:r w:rsidR="00C54D75">
        <w:rPr>
          <w:rFonts w:ascii="Sylfaen" w:hAnsi="Sylfaen"/>
          <w:sz w:val="24"/>
          <w:szCs w:val="24"/>
        </w:rPr>
        <w:t>և</w:t>
      </w:r>
      <w:r w:rsidRPr="003B2786">
        <w:rPr>
          <w:rFonts w:ascii="Sylfaen" w:hAnsi="Sylfaen"/>
          <w:sz w:val="24"/>
          <w:szCs w:val="24"/>
        </w:rPr>
        <w:t xml:space="preserve"> մուտքի փոփոխականների միջ</w:t>
      </w:r>
      <w:r w:rsidR="00C54D75">
        <w:rPr>
          <w:rFonts w:ascii="Sylfaen" w:hAnsi="Sylfaen"/>
          <w:sz w:val="24"/>
          <w:szCs w:val="24"/>
        </w:rPr>
        <w:t>և</w:t>
      </w:r>
      <w:r w:rsidRPr="003B2786">
        <w:rPr>
          <w:rFonts w:ascii="Sylfaen" w:hAnsi="Sylfaen"/>
          <w:sz w:val="24"/>
          <w:szCs w:val="24"/>
        </w:rPr>
        <w:t xml:space="preserve"> կապ սահմանելու համար՝ մեկ կամ մի քանի բաղադրիչների կանխատեսման նպատակով: Հարցերը, որոնք պետք է հաշվի առնվեն պրոցեսների բազմապարամետրային վիճակագրական վերահսկողության համար՝ տվյալների բազմապարամետրային վերլուծության մոդելն օգտագործելիս, ներառում են հետ</w:t>
      </w:r>
      <w:r w:rsidR="00C54D75">
        <w:rPr>
          <w:rFonts w:ascii="Sylfaen" w:hAnsi="Sylfaen"/>
          <w:sz w:val="24"/>
          <w:szCs w:val="24"/>
        </w:rPr>
        <w:t>և</w:t>
      </w:r>
      <w:r w:rsidRPr="003B2786">
        <w:rPr>
          <w:rFonts w:ascii="Sylfaen" w:hAnsi="Sylfaen"/>
          <w:sz w:val="24"/>
          <w:szCs w:val="24"/>
        </w:rPr>
        <w:t xml:space="preserve">յալը՝ </w:t>
      </w:r>
    </w:p>
    <w:p w14:paraId="2F845626"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սպեկտրային վերլուծության համար փորձանմուշների պատրաստման մեթոդը </w:t>
      </w:r>
      <w:r w:rsidR="00C54D75">
        <w:rPr>
          <w:rFonts w:ascii="Sylfaen" w:hAnsi="Sylfaen"/>
          <w:sz w:val="24"/>
          <w:szCs w:val="24"/>
        </w:rPr>
        <w:t>և</w:t>
      </w:r>
      <w:r w:rsidRPr="003B2786">
        <w:rPr>
          <w:rFonts w:ascii="Sylfaen" w:hAnsi="Sylfaen"/>
          <w:sz w:val="24"/>
          <w:szCs w:val="24"/>
        </w:rPr>
        <w:t xml:space="preserve"> նմուշների վերլուծության համար օգտագործվող չափանմուշային վերլուծության մեթոդը համապատասխանում են նպատակային նշանակությանը: Առցանց հսկողության կամ արտադրական հոսքագծում հսկողության համար, որտեղ չկա ընտրանք, ինչպիսին է ընտրանքի կրկնելիությունը </w:t>
      </w:r>
      <w:r w:rsidR="00C54D75">
        <w:rPr>
          <w:rFonts w:ascii="Sylfaen" w:hAnsi="Sylfaen"/>
          <w:sz w:val="24"/>
          <w:szCs w:val="24"/>
        </w:rPr>
        <w:t>և</w:t>
      </w:r>
      <w:r w:rsidRPr="003B2786">
        <w:rPr>
          <w:rFonts w:ascii="Sylfaen" w:hAnsi="Sylfaen"/>
          <w:sz w:val="24"/>
          <w:szCs w:val="24"/>
        </w:rPr>
        <w:t xml:space="preserve"> վերարտադրելիությունը վերլուծական մեթոդիկայի հետ զուգակցությամբ,</w:t>
      </w:r>
    </w:p>
    <w:p w14:paraId="02E9CE7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վալիդացման (նախապատրաստման) տվյալների համախմբերը </w:t>
      </w:r>
      <w:r w:rsidR="00C54D75">
        <w:rPr>
          <w:rFonts w:ascii="Sylfaen" w:hAnsi="Sylfaen"/>
          <w:sz w:val="24"/>
          <w:szCs w:val="24"/>
        </w:rPr>
        <w:t>և</w:t>
      </w:r>
      <w:r w:rsidRPr="003B2786">
        <w:rPr>
          <w:rFonts w:ascii="Sylfaen" w:hAnsi="Sylfaen"/>
          <w:sz w:val="24"/>
          <w:szCs w:val="24"/>
        </w:rPr>
        <w:t xml:space="preserve"> (փորձարկումների) ստուգաճշտումը վկայում են պրոցեսի կանխատեսելի փոփոխականության մասին: Արդյոք ցուցադրված է մոդելի կիրառելիությունը՝ նախագծային պարամետրերի տարածությամբ թույլատրվող փոփոխությունների ամբողջ ընդրկույթի սահմաններում: Դա արտացոլելու բարդության դեպքում կարող են օգտագործվել ռիսկի գնահատման արդյունքները: Ռիսկի բոլոր կար</w:t>
      </w:r>
      <w:r w:rsidR="00C54D75">
        <w:rPr>
          <w:rFonts w:ascii="Sylfaen" w:hAnsi="Sylfaen"/>
          <w:sz w:val="24"/>
          <w:szCs w:val="24"/>
        </w:rPr>
        <w:t>և</w:t>
      </w:r>
      <w:r w:rsidRPr="003B2786">
        <w:rPr>
          <w:rFonts w:ascii="Sylfaen" w:hAnsi="Sylfaen"/>
          <w:sz w:val="24"/>
          <w:szCs w:val="24"/>
        </w:rPr>
        <w:t xml:space="preserve">որ գործոնների ազդեցությունը պետք է ստուգվի, </w:t>
      </w:r>
      <w:r w:rsidR="00C54D75">
        <w:rPr>
          <w:rFonts w:ascii="Sylfaen" w:hAnsi="Sylfaen"/>
          <w:sz w:val="24"/>
          <w:szCs w:val="24"/>
        </w:rPr>
        <w:t>և</w:t>
      </w:r>
      <w:r w:rsidRPr="003B2786">
        <w:rPr>
          <w:rFonts w:ascii="Sylfaen" w:hAnsi="Sylfaen"/>
          <w:sz w:val="24"/>
          <w:szCs w:val="24"/>
        </w:rPr>
        <w:t xml:space="preserve"> դրանք պետք է ներառվեն ստուգաճշտման, վալիդացման </w:t>
      </w:r>
      <w:r w:rsidR="00C54D75">
        <w:rPr>
          <w:rFonts w:ascii="Sylfaen" w:hAnsi="Sylfaen"/>
          <w:sz w:val="24"/>
          <w:szCs w:val="24"/>
        </w:rPr>
        <w:t>և</w:t>
      </w:r>
      <w:r w:rsidRPr="003B2786">
        <w:rPr>
          <w:rFonts w:ascii="Sylfaen" w:hAnsi="Sylfaen"/>
          <w:sz w:val="24"/>
          <w:szCs w:val="24"/>
        </w:rPr>
        <w:t xml:space="preserve"> փորձարկումների ծրագրերում,</w:t>
      </w:r>
    </w:p>
    <w:p w14:paraId="5EA18856" w14:textId="5EDC3B6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ստուգաճշտման (փորձարկումների) ծրագրերի փոփոխականությունը հավաստիորեն </w:t>
      </w:r>
      <w:r w:rsidR="005F6A31">
        <w:rPr>
          <w:rFonts w:ascii="Sylfaen" w:hAnsi="Sylfaen"/>
          <w:sz w:val="24"/>
          <w:szCs w:val="24"/>
        </w:rPr>
        <w:t>արտահայտում</w:t>
      </w:r>
      <w:r w:rsidRPr="003B2786">
        <w:rPr>
          <w:rFonts w:ascii="Sylfaen" w:hAnsi="Sylfaen"/>
          <w:sz w:val="24"/>
          <w:szCs w:val="24"/>
        </w:rPr>
        <w:t xml:space="preserve"> է վալիդացման (նախապատրաստման) փոփոխվող պարամետրերի մեծ մասը,</w:t>
      </w:r>
    </w:p>
    <w:p w14:paraId="75F8296D" w14:textId="40681A8B"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ելքային համախմբում </w:t>
      </w:r>
      <w:r w:rsidR="00FE4A71">
        <w:rPr>
          <w:rFonts w:ascii="Sylfaen" w:hAnsi="Sylfaen"/>
          <w:sz w:val="24"/>
          <w:szCs w:val="24"/>
        </w:rPr>
        <w:t xml:space="preserve">հայտնաբերվել </w:t>
      </w:r>
      <w:r w:rsidRPr="003B2786">
        <w:rPr>
          <w:rFonts w:ascii="Sylfaen" w:hAnsi="Sylfaen"/>
          <w:sz w:val="24"/>
          <w:szCs w:val="24"/>
        </w:rPr>
        <w:t xml:space="preserve"> են կտրուկ տարբերվող նշանակություններ, </w:t>
      </w:r>
      <w:r w:rsidR="00C54D75">
        <w:rPr>
          <w:rFonts w:ascii="Sylfaen" w:hAnsi="Sylfaen"/>
          <w:sz w:val="24"/>
          <w:szCs w:val="24"/>
        </w:rPr>
        <w:t>և</w:t>
      </w:r>
      <w:r w:rsidRPr="003B2786">
        <w:rPr>
          <w:rFonts w:ascii="Sylfaen" w:hAnsi="Sylfaen"/>
          <w:sz w:val="24"/>
          <w:szCs w:val="24"/>
        </w:rPr>
        <w:t xml:space="preserve"> եթե այո, արդյոք իրապես հիմնավորված է այդ տվյալների օգտագործումից հրաժարվելը: Ուշադրություն դարձրեք, որ եթե մոդելի մշակման համար օգտագործվող տվյալների համախումբը ձ</w:t>
      </w:r>
      <w:r w:rsidR="00C54D75">
        <w:rPr>
          <w:rFonts w:ascii="Sylfaen" w:hAnsi="Sylfaen"/>
          <w:sz w:val="24"/>
          <w:szCs w:val="24"/>
        </w:rPr>
        <w:t>և</w:t>
      </w:r>
      <w:r w:rsidRPr="003B2786">
        <w:rPr>
          <w:rFonts w:ascii="Sylfaen" w:hAnsi="Sylfaen"/>
          <w:sz w:val="24"/>
          <w:szCs w:val="24"/>
        </w:rPr>
        <w:t>ավորվում է փորձարարական տվյալների հիման վրա, տվյալների օգտագործումից հրաժարվելը կարող է հետահայաց տվյալների համեմատ ավելի մեծ ազդեցություն ունենալ մոդելի կանխատեսող ունակության վրա,</w:t>
      </w:r>
    </w:p>
    <w:p w14:paraId="4C5A37CD"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տվյալների նախնական մշակմանն առնչվող տեղեկատվությունը (առկայության դեպքում) պատշաճ կերպով է նկարագրված </w:t>
      </w:r>
      <w:r w:rsidR="00C54D75">
        <w:rPr>
          <w:rFonts w:ascii="Sylfaen" w:hAnsi="Sylfaen"/>
          <w:sz w:val="24"/>
          <w:szCs w:val="24"/>
        </w:rPr>
        <w:t>և</w:t>
      </w:r>
      <w:r w:rsidRPr="003B2786">
        <w:rPr>
          <w:rFonts w:ascii="Sylfaen" w:hAnsi="Sylfaen"/>
          <w:sz w:val="24"/>
          <w:szCs w:val="24"/>
        </w:rPr>
        <w:t xml:space="preserve"> արդյոք հետ</w:t>
      </w:r>
      <w:r w:rsidR="00C54D75">
        <w:rPr>
          <w:rFonts w:ascii="Sylfaen" w:hAnsi="Sylfaen"/>
          <w:sz w:val="24"/>
          <w:szCs w:val="24"/>
        </w:rPr>
        <w:t>և</w:t>
      </w:r>
      <w:r w:rsidRPr="003B2786">
        <w:rPr>
          <w:rFonts w:ascii="Sylfaen" w:hAnsi="Sylfaen"/>
          <w:sz w:val="24"/>
          <w:szCs w:val="24"/>
        </w:rPr>
        <w:t xml:space="preserve">ողականորեն է կիրառվում տվյալների այն բոլոր համախմբերի համար, որոնք օգտագործվում են մոդելի ստեղծման, օպտիմիզացման </w:t>
      </w:r>
      <w:r w:rsidR="00C54D75">
        <w:rPr>
          <w:rFonts w:ascii="Sylfaen" w:hAnsi="Sylfaen"/>
          <w:sz w:val="24"/>
          <w:szCs w:val="24"/>
        </w:rPr>
        <w:t>և</w:t>
      </w:r>
      <w:r w:rsidRPr="003B2786">
        <w:rPr>
          <w:rFonts w:ascii="Sylfaen" w:hAnsi="Sylfaen"/>
          <w:sz w:val="24"/>
          <w:szCs w:val="24"/>
        </w:rPr>
        <w:t xml:space="preserve"> վալիդացման համար,</w:t>
      </w:r>
    </w:p>
    <w:p w14:paraId="3C1BA165"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արդյոք պատշաճ կերպով են նկարագրված մոդելավորման մեթոդները՝ տվյալների բազմապարամետրային վերլուծության հիման վրա, այդ թվում՝ ընտրված ալգորիթմի ընտրության համառոտ հիմնավորումը,</w:t>
      </w:r>
    </w:p>
    <w:p w14:paraId="0B0B6514"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դուք համաձայն եք մոդելներում ներառված փոփոխականների ընտրության հետ: Համեմատեք ռիսկի գնահատման արդյունքների հետ: Արդյոք առկա են մոդելում չներառված վարիացիաների համապատասխան աղբյուրները, </w:t>
      </w:r>
      <w:r w:rsidR="00C54D75">
        <w:rPr>
          <w:rFonts w:ascii="Sylfaen" w:hAnsi="Sylfaen"/>
          <w:sz w:val="24"/>
          <w:szCs w:val="24"/>
        </w:rPr>
        <w:t>և</w:t>
      </w:r>
      <w:r w:rsidRPr="003B2786">
        <w:rPr>
          <w:rFonts w:ascii="Sylfaen" w:hAnsi="Sylfaen"/>
          <w:sz w:val="24"/>
          <w:szCs w:val="24"/>
        </w:rPr>
        <w:t xml:space="preserve"> եթե այո, արդյոք տվյալ գործողությունը հիմնավորված է, </w:t>
      </w:r>
    </w:p>
    <w:p w14:paraId="4F316B62" w14:textId="4740AAD8"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PLS-մոդելների դեպքում՝ արդյոք PLS-մոդելը համապատասխանում է նպատակային նշանակությանը: Արդյոք մոդելի բարդության մակարդակն ամենաօպտիմալ տարբերակն է: Ծանոթագրություն՝ PLS-մոդելի բարդությունը սովորաբար համապատասխանում է PLS-ի (գաղտնի) գործոնների քանակին, որոնք հանգեցնում են ամենացածր մակարդակի խաչաձ</w:t>
      </w:r>
      <w:r w:rsidR="00C54D75">
        <w:rPr>
          <w:rFonts w:ascii="Sylfaen" w:hAnsi="Sylfaen"/>
          <w:sz w:val="24"/>
          <w:szCs w:val="24"/>
        </w:rPr>
        <w:t>և</w:t>
      </w:r>
      <w:r w:rsidRPr="003B2786">
        <w:rPr>
          <w:rFonts w:ascii="Sylfaen" w:hAnsi="Sylfaen"/>
          <w:sz w:val="24"/>
          <w:szCs w:val="24"/>
        </w:rPr>
        <w:t xml:space="preserve"> վալիդացման միջին քառակուսային շեղման: Մոդելի բարդությունը (մոդելի կառուցման համար </w:t>
      </w:r>
      <w:r w:rsidRPr="003B2786">
        <w:rPr>
          <w:rFonts w:ascii="Sylfaen" w:hAnsi="Sylfaen"/>
          <w:sz w:val="24"/>
          <w:szCs w:val="24"/>
        </w:rPr>
        <w:lastRenderedPageBreak/>
        <w:t xml:space="preserve">օգտագործվող PLS գործոնների քանակը) պետք է ցուցադրվի գծապատկերով, որն </w:t>
      </w:r>
      <w:r w:rsidR="005F6A31">
        <w:rPr>
          <w:rFonts w:ascii="Sylfaen" w:hAnsi="Sylfaen"/>
          <w:sz w:val="24"/>
          <w:szCs w:val="24"/>
        </w:rPr>
        <w:t>արտահայտում</w:t>
      </w:r>
      <w:r w:rsidRPr="003B2786">
        <w:rPr>
          <w:rFonts w:ascii="Sylfaen" w:hAnsi="Sylfaen"/>
          <w:sz w:val="24"/>
          <w:szCs w:val="24"/>
        </w:rPr>
        <w:t xml:space="preserve"> է յուրաքանչյուր փոփոխականի ռեգրեսիայի գործակիցները,</w:t>
      </w:r>
    </w:p>
    <w:p w14:paraId="35F17481" w14:textId="77777777"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կարող են արդյոք մոդելում փոփոխականների բաժնային հարաբերակցությունները (բարձր/ցածր) բացատրվել գոյություն ունեցող գիտական գիտելիքներով կամ այդպիսի փոփոխականների </w:t>
      </w:r>
      <w:r w:rsidR="00C54D75">
        <w:rPr>
          <w:rFonts w:ascii="Sylfaen" w:hAnsi="Sylfaen"/>
          <w:sz w:val="24"/>
          <w:szCs w:val="24"/>
        </w:rPr>
        <w:t>և</w:t>
      </w:r>
      <w:r w:rsidRPr="003B2786">
        <w:rPr>
          <w:rFonts w:ascii="Sylfaen" w:hAnsi="Sylfaen"/>
          <w:sz w:val="24"/>
          <w:szCs w:val="24"/>
        </w:rPr>
        <w:t xml:space="preserve"> (կամ) արտադրական պրոցեսի հիմնավորմամբ, </w:t>
      </w:r>
    </w:p>
    <w:p w14:paraId="0B0F53E8"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վիճակագրորեն գնահատվել է MVDA-մոդելը՝ պիտանելիության </w:t>
      </w:r>
      <w:r w:rsidR="00C54D75">
        <w:rPr>
          <w:rFonts w:ascii="Sylfaen" w:hAnsi="Sylfaen"/>
          <w:sz w:val="24"/>
          <w:szCs w:val="24"/>
        </w:rPr>
        <w:t>և</w:t>
      </w:r>
      <w:r w:rsidRPr="003B2786">
        <w:rPr>
          <w:rFonts w:ascii="Sylfaen" w:hAnsi="Sylfaen"/>
          <w:sz w:val="24"/>
          <w:szCs w:val="24"/>
        </w:rPr>
        <w:t xml:space="preserve"> կանխատեսման ունակության մասով: Կանխատեսման ստանդարտ սխալը պետք է դիտարկվի չափանմուշային վերլուծական մեթոդի հետ ճշգրիտ համեմատության մեջ,</w:t>
      </w:r>
    </w:p>
    <w:p w14:paraId="661292FE"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արտադրանքի ամբողջ կենսական պարբերաշրջանի համար առաջարկվել է մոդելի ստուգման սխեմա: Արդյոք որոշվել է, թե ինչ չափանիշներ կծառայեն որպես մոդելի թարմացման անհրաժեշտությունը պայմանավորող գործոններ, </w:t>
      </w:r>
      <w:r w:rsidR="00C54D75">
        <w:rPr>
          <w:rFonts w:ascii="Sylfaen" w:hAnsi="Sylfaen"/>
          <w:sz w:val="24"/>
          <w:szCs w:val="24"/>
        </w:rPr>
        <w:t>և</w:t>
      </w:r>
      <w:r w:rsidRPr="003B2786">
        <w:rPr>
          <w:rFonts w:ascii="Sylfaen" w:hAnsi="Sylfaen"/>
          <w:sz w:val="24"/>
          <w:szCs w:val="24"/>
        </w:rPr>
        <w:t xml:space="preserve"> արդյոք այդ չափանիշները համարժեք են:</w:t>
      </w:r>
    </w:p>
    <w:p w14:paraId="719DFE73" w14:textId="77777777" w:rsidR="008C76E0" w:rsidRPr="003B2786" w:rsidRDefault="008C76E0" w:rsidP="0047337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Նախագծային պարամետրերի տարածությունը (DS):</w:t>
      </w:r>
    </w:p>
    <w:p w14:paraId="55377C5C" w14:textId="77777777" w:rsidR="008C76E0" w:rsidRPr="003B2786" w:rsidRDefault="008C76E0" w:rsidP="0047337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Նախագծային պարամետրերի տարածությունն առաջարկելիս դիտարկման ենթակա ասպեկտները ներառում են հետ</w:t>
      </w:r>
      <w:r w:rsidR="00C54D75">
        <w:rPr>
          <w:rFonts w:ascii="Sylfaen" w:hAnsi="Sylfaen"/>
          <w:sz w:val="24"/>
          <w:szCs w:val="24"/>
        </w:rPr>
        <w:t>և</w:t>
      </w:r>
      <w:r w:rsidRPr="003B2786">
        <w:rPr>
          <w:rFonts w:ascii="Sylfaen" w:hAnsi="Sylfaen"/>
          <w:sz w:val="24"/>
          <w:szCs w:val="24"/>
        </w:rPr>
        <w:t>յալը՝</w:t>
      </w:r>
    </w:p>
    <w:p w14:paraId="4CAAB58E" w14:textId="18832D82"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ներկայացրել է նախագծային պարամետրերի առաջարկվող տարածության կիրառելիությունը հաստատող բավարար տվյալներ (ռիսկերի գնահատական, փորձարարական տվյալներ, վիճակագրորեն գնահատված </w:t>
      </w:r>
      <w:r w:rsidR="00C54D75">
        <w:rPr>
          <w:rFonts w:ascii="Sylfaen" w:hAnsi="Sylfaen"/>
          <w:sz w:val="24"/>
          <w:szCs w:val="24"/>
        </w:rPr>
        <w:t>և</w:t>
      </w:r>
      <w:r w:rsidRPr="003B2786">
        <w:rPr>
          <w:rFonts w:ascii="Sylfaen" w:hAnsi="Sylfaen"/>
          <w:sz w:val="24"/>
          <w:szCs w:val="24"/>
        </w:rPr>
        <w:t xml:space="preserve"> ամբողջությամբ ստուգված մոդելներ),</w:t>
      </w:r>
    </w:p>
    <w:p w14:paraId="4C03E426" w14:textId="21D7452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լաբորատորիայում կամ փորձարարական հիմունքներով նախագծային պարամետրերի տարածության մշակման մեջ՝ արդյոք </w:t>
      </w:r>
      <w:r w:rsidR="0056496B">
        <w:rPr>
          <w:rFonts w:ascii="Sylfaen" w:hAnsi="Sylfaen"/>
          <w:sz w:val="24"/>
          <w:szCs w:val="24"/>
        </w:rPr>
        <w:t>դիմումատու</w:t>
      </w:r>
      <w:r w:rsidRPr="003B2786">
        <w:rPr>
          <w:rFonts w:ascii="Sylfaen" w:hAnsi="Sylfaen"/>
          <w:sz w:val="24"/>
          <w:szCs w:val="24"/>
        </w:rPr>
        <w:t xml:space="preserve">ն, մասշտաբավորման գործակիցների կիրառման կամ անկախ փորձերի միջոցով ցուցադրել է արդյունաբերական մասշտաբում օգտագործման համար դրա կիրառելիությունը, կամ արդյոք պարամետրերի՝ մասշտաբից կախված չլինելը ցուցադրվել է այլ կերպ: Մասշտաբավորման գործակիցները կարող են </w:t>
      </w:r>
      <w:r w:rsidRPr="003B2786">
        <w:rPr>
          <w:rFonts w:ascii="Sylfaen" w:hAnsi="Sylfaen"/>
          <w:sz w:val="24"/>
          <w:szCs w:val="24"/>
        </w:rPr>
        <w:lastRenderedPageBreak/>
        <w:t xml:space="preserve">օգտագործվել տարբեր աղբյուրներից կամ անցյալի փորձի արդյունքում ստացված տվյալների հիման վրա: Արդյոք </w:t>
      </w:r>
      <w:r w:rsidR="0056496B">
        <w:rPr>
          <w:rFonts w:ascii="Sylfaen" w:hAnsi="Sylfaen"/>
          <w:sz w:val="24"/>
          <w:szCs w:val="24"/>
        </w:rPr>
        <w:t>դիմումատու</w:t>
      </w:r>
      <w:r w:rsidRPr="003B2786">
        <w:rPr>
          <w:rFonts w:ascii="Sylfaen" w:hAnsi="Sylfaen"/>
          <w:sz w:val="24"/>
          <w:szCs w:val="24"/>
        </w:rPr>
        <w:t xml:space="preserve">ն դիտարկել է արտադրության մասշտաբների ընդլայնման շրջանակներում հնարավոր ռիսկերը </w:t>
      </w:r>
      <w:r w:rsidR="00C54D75">
        <w:rPr>
          <w:rFonts w:ascii="Sylfaen" w:hAnsi="Sylfaen"/>
          <w:sz w:val="24"/>
          <w:szCs w:val="24"/>
        </w:rPr>
        <w:t>և</w:t>
      </w:r>
      <w:r w:rsidRPr="003B2786">
        <w:rPr>
          <w:rFonts w:ascii="Sylfaen" w:hAnsi="Sylfaen"/>
          <w:sz w:val="24"/>
          <w:szCs w:val="24"/>
        </w:rPr>
        <w:t xml:space="preserve"> արդյոք օգտագործվում է այդպիսի ռիսկերի կառավարման համար նախատեսված վերահսկողության ռազմավարությունը,</w:t>
      </w:r>
    </w:p>
    <w:p w14:paraId="4C545E4B" w14:textId="54622BFD"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w:t>
      </w:r>
      <w:r w:rsidR="0056496B">
        <w:rPr>
          <w:rFonts w:ascii="Sylfaen" w:hAnsi="Sylfaen"/>
          <w:sz w:val="24"/>
          <w:szCs w:val="24"/>
        </w:rPr>
        <w:t>դիմումատու</w:t>
      </w:r>
      <w:r w:rsidRPr="003B2786">
        <w:rPr>
          <w:rFonts w:ascii="Sylfaen" w:hAnsi="Sylfaen"/>
          <w:sz w:val="24"/>
          <w:szCs w:val="24"/>
        </w:rPr>
        <w:t xml:space="preserve">ն նախագծային պարամետրերի տարածությունը մշակելիս հաշվի է առել որակի բոլոր կրիտիկական ասպեկտները (տե՛ս փորձարարական գործունեության ռիսկերի </w:t>
      </w:r>
      <w:r w:rsidR="00C54D75">
        <w:rPr>
          <w:rFonts w:ascii="Sylfaen" w:hAnsi="Sylfaen"/>
          <w:sz w:val="24"/>
          <w:szCs w:val="24"/>
        </w:rPr>
        <w:t>և</w:t>
      </w:r>
      <w:r w:rsidRPr="003B2786">
        <w:rPr>
          <w:rFonts w:ascii="Sylfaen" w:hAnsi="Sylfaen"/>
          <w:sz w:val="24"/>
          <w:szCs w:val="24"/>
        </w:rPr>
        <w:t xml:space="preserve"> արդյունքների գնահատականը), </w:t>
      </w:r>
    </w:p>
    <w:p w14:paraId="5BB250F1" w14:textId="77777777" w:rsidR="008C76E0" w:rsidRPr="003B2786"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վերահսկողության ռազմավարությունը նախագծային պարամետրերի առաջարկվող տարածության հարցում որպես լրացուցիչ օժանդակող գործոն է ծառայում, </w:t>
      </w:r>
    </w:p>
    <w:p w14:paraId="62D80464" w14:textId="482F7F64" w:rsidR="008C76E0" w:rsidRPr="00E15E7D" w:rsidRDefault="008C76E0" w:rsidP="00473371">
      <w:pPr>
        <w:spacing w:after="160" w:line="360" w:lineRule="auto"/>
        <w:ind w:firstLine="567"/>
        <w:jc w:val="both"/>
        <w:rPr>
          <w:rFonts w:ascii="Sylfaen" w:hAnsi="Sylfaen"/>
          <w:sz w:val="24"/>
          <w:szCs w:val="24"/>
        </w:rPr>
      </w:pPr>
      <w:r w:rsidRPr="003B2786">
        <w:rPr>
          <w:rFonts w:ascii="Sylfaen" w:hAnsi="Sylfaen"/>
          <w:sz w:val="24"/>
          <w:szCs w:val="24"/>
        </w:rPr>
        <w:t xml:space="preserve">արդյոք բոլոր կրիտիկական պարամետրերն են </w:t>
      </w:r>
      <w:r w:rsidR="00FE4A71">
        <w:rPr>
          <w:rFonts w:ascii="Sylfaen" w:hAnsi="Sylfaen"/>
          <w:sz w:val="24"/>
          <w:szCs w:val="24"/>
        </w:rPr>
        <w:t xml:space="preserve">հայտնաբերվել </w:t>
      </w:r>
      <w:r w:rsidRPr="003B2786">
        <w:rPr>
          <w:rFonts w:ascii="Sylfaen" w:hAnsi="Sylfaen"/>
          <w:sz w:val="24"/>
          <w:szCs w:val="24"/>
        </w:rPr>
        <w:t xml:space="preserve"> նախագծային պարամետրերի տարածության իրականացման շրջանակներում: Եթե ոչ, արդյոք այդ առումով առկա է համապատասխան հիմնավորում:</w:t>
      </w:r>
    </w:p>
    <w:p w14:paraId="142D5E2D" w14:textId="77777777" w:rsidR="008E1F21" w:rsidRPr="00E15E7D" w:rsidRDefault="008E1F21">
      <w:pPr>
        <w:widowControl/>
        <w:rPr>
          <w:rFonts w:ascii="Sylfaen" w:hAnsi="Sylfaen"/>
          <w:sz w:val="24"/>
          <w:szCs w:val="24"/>
        </w:rPr>
      </w:pPr>
    </w:p>
    <w:p w14:paraId="2B82A2C4" w14:textId="77777777" w:rsidR="008C76E0" w:rsidRPr="003B2786" w:rsidRDefault="008C76E0" w:rsidP="00473371">
      <w:pPr>
        <w:spacing w:after="160" w:line="360" w:lineRule="auto"/>
        <w:ind w:left="567" w:right="565"/>
        <w:jc w:val="center"/>
        <w:rPr>
          <w:rFonts w:ascii="Sylfaen" w:hAnsi="Sylfaen"/>
          <w:sz w:val="24"/>
          <w:szCs w:val="24"/>
        </w:rPr>
      </w:pPr>
      <w:r w:rsidRPr="003B2786">
        <w:rPr>
          <w:rFonts w:ascii="Sylfaen" w:hAnsi="Sylfaen"/>
          <w:sz w:val="24"/>
          <w:szCs w:val="24"/>
        </w:rPr>
        <w:t xml:space="preserve">12. Թիվ 3 հավելված. Դիզայնի ոլորտը </w:t>
      </w:r>
      <w:r w:rsidR="00C54D75">
        <w:rPr>
          <w:rFonts w:ascii="Sylfaen" w:hAnsi="Sylfaen"/>
          <w:sz w:val="24"/>
          <w:szCs w:val="24"/>
        </w:rPr>
        <w:t>և</w:t>
      </w:r>
      <w:r w:rsidRPr="003B2786">
        <w:rPr>
          <w:rFonts w:ascii="Sylfaen" w:hAnsi="Sylfaen"/>
          <w:sz w:val="24"/>
          <w:szCs w:val="24"/>
        </w:rPr>
        <w:t xml:space="preserve"> փոփոխությունների կառավարման արձանագրությունները (եթե կիրառելի է)</w:t>
      </w:r>
    </w:p>
    <w:p w14:paraId="4DAAF871" w14:textId="47359135" w:rsidR="008C76E0" w:rsidRPr="003B2786" w:rsidRDefault="008C76E0" w:rsidP="00473371">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հավելվածն իրենից ներկայացնում է հաշվետվության հիմնական բաժնից արված քաղվածք, որի նպատակն է դոսյեում համաձայնեցված բոլոր այն ասպեկտների համառոտ ամփոփումը, որոնք անհրաժեշտ են կարգավորիչ գործունեության հետգրանցումային ճկունությունն ապահովելու համար: Հավելվածը փոփոխություններ կատարելու հետգրանցումային </w:t>
      </w:r>
      <w:r w:rsidR="0056496B">
        <w:rPr>
          <w:rFonts w:ascii="Sylfaen" w:hAnsi="Sylfaen"/>
          <w:sz w:val="24"/>
          <w:szCs w:val="24"/>
        </w:rPr>
        <w:t>դիմում</w:t>
      </w:r>
      <w:r w:rsidR="005A46D4">
        <w:rPr>
          <w:rFonts w:ascii="Sylfaen" w:hAnsi="Sylfaen"/>
          <w:sz w:val="24"/>
          <w:szCs w:val="24"/>
        </w:rPr>
        <w:t>ն</w:t>
      </w:r>
      <w:r w:rsidRPr="003B2786">
        <w:rPr>
          <w:rFonts w:ascii="Sylfaen" w:hAnsi="Sylfaen"/>
          <w:sz w:val="24"/>
          <w:szCs w:val="24"/>
        </w:rPr>
        <w:t>երի գնահատման համար որպես հիմք կարող է օգտագործվել տեսուչների կողմից:</w:t>
      </w:r>
    </w:p>
    <w:p w14:paraId="3309EC94" w14:textId="77777777" w:rsidR="008C76E0" w:rsidRPr="003B2786" w:rsidRDefault="008C76E0" w:rsidP="00473371">
      <w:pPr>
        <w:spacing w:after="160" w:line="360" w:lineRule="auto"/>
        <w:ind w:firstLine="567"/>
        <w:jc w:val="center"/>
        <w:rPr>
          <w:rFonts w:ascii="Sylfaen" w:hAnsi="Sylfaen"/>
          <w:sz w:val="24"/>
          <w:szCs w:val="24"/>
        </w:rPr>
      </w:pPr>
    </w:p>
    <w:p w14:paraId="1EC5C854"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1. Ակտիվ դեղագործական բաղադրամասը</w:t>
      </w:r>
    </w:p>
    <w:p w14:paraId="24A2FAD6"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 xml:space="preserve">ԱԴԲ-ի համար դիզայնի ոլորտը: </w:t>
      </w:r>
    </w:p>
    <w:p w14:paraId="1B7D9FB0"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3D63E267" w14:textId="77777777" w:rsidR="008C76E0" w:rsidRPr="00C317F8" w:rsidRDefault="008C76E0" w:rsidP="00473371">
      <w:pPr>
        <w:tabs>
          <w:tab w:val="left" w:pos="1134"/>
        </w:tabs>
        <w:spacing w:after="160" w:line="360" w:lineRule="auto"/>
        <w:ind w:right="-1" w:firstLine="567"/>
        <w:jc w:val="both"/>
        <w:rPr>
          <w:rFonts w:ascii="Sylfaen" w:hAnsi="Sylfaen"/>
          <w:spacing w:val="-6"/>
          <w:sz w:val="24"/>
          <w:szCs w:val="24"/>
        </w:rPr>
      </w:pPr>
      <w:r w:rsidRPr="003B2786">
        <w:rPr>
          <w:rFonts w:ascii="Sylfaen" w:hAnsi="Sylfaen"/>
          <w:sz w:val="24"/>
          <w:szCs w:val="24"/>
        </w:rPr>
        <w:t>1.2.</w:t>
      </w:r>
      <w:r w:rsidRPr="003B2786">
        <w:rPr>
          <w:rFonts w:ascii="Sylfaen" w:hAnsi="Sylfaen"/>
          <w:sz w:val="24"/>
          <w:szCs w:val="24"/>
        </w:rPr>
        <w:tab/>
      </w:r>
      <w:r w:rsidRPr="00C317F8">
        <w:rPr>
          <w:rFonts w:ascii="Sylfaen" w:hAnsi="Sylfaen"/>
          <w:spacing w:val="-6"/>
          <w:sz w:val="24"/>
          <w:szCs w:val="24"/>
        </w:rPr>
        <w:t>Փոփոխությունների կառավարման արձանագրությունները՝ ԱԴԲ-ի համար:</w:t>
      </w:r>
    </w:p>
    <w:p w14:paraId="3BF15D7D"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359C569C" w14:textId="77777777" w:rsidR="008C76E0" w:rsidRPr="003B2786" w:rsidRDefault="008C76E0" w:rsidP="00473371">
      <w:pPr>
        <w:tabs>
          <w:tab w:val="left" w:pos="1134"/>
        </w:tabs>
        <w:spacing w:after="160" w:line="360" w:lineRule="auto"/>
        <w:ind w:firstLine="567"/>
        <w:jc w:val="center"/>
        <w:rPr>
          <w:rFonts w:ascii="Sylfaen" w:hAnsi="Sylfaen"/>
          <w:sz w:val="24"/>
          <w:szCs w:val="24"/>
        </w:rPr>
      </w:pPr>
    </w:p>
    <w:p w14:paraId="49B35C1D" w14:textId="77777777" w:rsidR="008C76E0" w:rsidRPr="003B2786" w:rsidRDefault="008C76E0" w:rsidP="00473371">
      <w:pPr>
        <w:spacing w:after="160" w:line="360" w:lineRule="auto"/>
        <w:ind w:right="-1"/>
        <w:jc w:val="center"/>
        <w:outlineLvl w:val="0"/>
        <w:rPr>
          <w:rFonts w:ascii="Sylfaen" w:hAnsi="Sylfaen"/>
          <w:sz w:val="24"/>
          <w:szCs w:val="24"/>
        </w:rPr>
      </w:pPr>
      <w:r w:rsidRPr="003B2786">
        <w:rPr>
          <w:rFonts w:ascii="Sylfaen" w:hAnsi="Sylfaen"/>
          <w:sz w:val="24"/>
          <w:szCs w:val="24"/>
        </w:rPr>
        <w:t>2. Դեղապատրաստուկը</w:t>
      </w:r>
    </w:p>
    <w:p w14:paraId="00E19C48"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Դեղապատրաստուկի դիզայնի ոլորտը:</w:t>
      </w:r>
    </w:p>
    <w:p w14:paraId="6A351E2A"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Դիզայնի ոլորտի ներկայացումը (բնութագրերը </w:t>
      </w:r>
      <w:r w:rsidR="00C54D75">
        <w:rPr>
          <w:rFonts w:ascii="Sylfaen" w:hAnsi="Sylfaen"/>
          <w:sz w:val="24"/>
          <w:szCs w:val="24"/>
        </w:rPr>
        <w:t>և</w:t>
      </w:r>
      <w:r w:rsidRPr="003B2786">
        <w:rPr>
          <w:rFonts w:ascii="Sylfaen" w:hAnsi="Sylfaen"/>
          <w:sz w:val="24"/>
          <w:szCs w:val="24"/>
        </w:rPr>
        <w:t xml:space="preserve"> դրանց փոփոխությունների համապատասխան ընդգրկույթները)՝ աղյուսակային ձ</w:t>
      </w:r>
      <w:r w:rsidR="00C54D75">
        <w:rPr>
          <w:rFonts w:ascii="Sylfaen" w:hAnsi="Sylfaen"/>
          <w:sz w:val="24"/>
          <w:szCs w:val="24"/>
        </w:rPr>
        <w:t>և</w:t>
      </w:r>
      <w:r w:rsidRPr="003B2786">
        <w:rPr>
          <w:rFonts w:ascii="Sylfaen" w:hAnsi="Sylfaen"/>
          <w:sz w:val="24"/>
          <w:szCs w:val="24"/>
        </w:rPr>
        <w:t>աչափով:</w:t>
      </w:r>
    </w:p>
    <w:p w14:paraId="12D33151" w14:textId="77777777" w:rsidR="008C76E0" w:rsidRPr="003B2786" w:rsidRDefault="008C76E0" w:rsidP="0047337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 xml:space="preserve">Դեղապատրաստուկի համար փոփոխությունների կառավարման արձանագրությունները: </w:t>
      </w:r>
    </w:p>
    <w:p w14:paraId="4B179943" w14:textId="77777777" w:rsidR="008C76E0" w:rsidRDefault="008C76E0" w:rsidP="00473371">
      <w:pPr>
        <w:pBdr>
          <w:bottom w:val="single" w:sz="6" w:space="1" w:color="auto"/>
        </w:pBdr>
        <w:spacing w:after="160" w:line="360" w:lineRule="auto"/>
        <w:ind w:right="-1" w:firstLine="567"/>
        <w:jc w:val="both"/>
        <w:rPr>
          <w:rFonts w:ascii="Sylfaen" w:hAnsi="Sylfaen"/>
          <w:sz w:val="24"/>
          <w:szCs w:val="24"/>
        </w:rPr>
      </w:pPr>
      <w:r w:rsidRPr="003B2786">
        <w:rPr>
          <w:rFonts w:ascii="Sylfaen" w:hAnsi="Sylfaen"/>
          <w:sz w:val="24"/>
          <w:szCs w:val="24"/>
        </w:rPr>
        <w:t>Համաձայնեցված արձանագրության մեջ ներառված փոփոխությունների նկարագրությունը, ինչպես նա</w:t>
      </w:r>
      <w:r w:rsidR="00C54D75">
        <w:rPr>
          <w:rFonts w:ascii="Sylfaen" w:hAnsi="Sylfaen"/>
          <w:sz w:val="24"/>
          <w:szCs w:val="24"/>
        </w:rPr>
        <w:t>և</w:t>
      </w:r>
      <w:r w:rsidRPr="003B2786">
        <w:rPr>
          <w:rFonts w:ascii="Sylfaen" w:hAnsi="Sylfaen"/>
          <w:sz w:val="24"/>
          <w:szCs w:val="24"/>
        </w:rPr>
        <w:t xml:space="preserve"> փոփոխությունների ներդրման հաշվետվության համար՝ համաձայնեցված վարիացիաների կատեգորիաները:</w:t>
      </w:r>
    </w:p>
    <w:p w14:paraId="250FE5F9" w14:textId="77777777" w:rsidR="00512DAB" w:rsidRPr="006F28F9" w:rsidRDefault="00512DAB" w:rsidP="00512DAB">
      <w:pPr>
        <w:rPr>
          <w:b/>
          <w:bCs/>
          <w:i/>
          <w:iCs/>
        </w:rPr>
      </w:pPr>
      <w:r w:rsidRPr="00CD4709">
        <w:rPr>
          <w:b/>
          <w:bCs/>
          <w:i/>
          <w:iCs/>
        </w:rPr>
        <w:t>(</w:t>
      </w:r>
      <w:r>
        <w:rPr>
          <w:b/>
          <w:bCs/>
          <w:i/>
          <w:iCs/>
        </w:rPr>
        <w:t xml:space="preserve">հավելվածը </w:t>
      </w:r>
      <w:r w:rsidRPr="00CD4709">
        <w:rPr>
          <w:b/>
          <w:bCs/>
          <w:i/>
          <w:iCs/>
        </w:rPr>
        <w:t>փոփ. 30.01.20 թիվ 9)</w:t>
      </w:r>
    </w:p>
    <w:p w14:paraId="06D1434F" w14:textId="77777777" w:rsidR="00512DAB" w:rsidRDefault="00512DAB" w:rsidP="008C76E0">
      <w:pPr>
        <w:ind w:right="-1" w:firstLine="567"/>
        <w:jc w:val="center"/>
        <w:rPr>
          <w:rFonts w:ascii="Sylfaen" w:hAnsi="Sylfaen"/>
          <w:sz w:val="24"/>
          <w:szCs w:val="24"/>
        </w:rPr>
      </w:pPr>
    </w:p>
    <w:p w14:paraId="60B00BC5" w14:textId="77777777" w:rsidR="00015767" w:rsidRPr="00E15E7D" w:rsidRDefault="00015767" w:rsidP="008C76E0">
      <w:pPr>
        <w:ind w:right="-1" w:firstLine="567"/>
        <w:jc w:val="both"/>
        <w:rPr>
          <w:rFonts w:ascii="Sylfaen" w:hAnsi="Sylfaen"/>
          <w:sz w:val="24"/>
          <w:szCs w:val="24"/>
        </w:rPr>
      </w:pPr>
    </w:p>
    <w:p w14:paraId="5CC06A51" w14:textId="77777777" w:rsidR="00015767" w:rsidRPr="00E15E7D" w:rsidRDefault="00015767" w:rsidP="008C76E0">
      <w:pPr>
        <w:ind w:right="-1" w:firstLine="567"/>
        <w:jc w:val="both"/>
        <w:rPr>
          <w:rFonts w:ascii="Sylfaen" w:hAnsi="Sylfaen"/>
          <w:sz w:val="24"/>
          <w:szCs w:val="24"/>
        </w:rPr>
        <w:sectPr w:rsidR="00015767" w:rsidRPr="00E15E7D" w:rsidSect="00015767">
          <w:pgSz w:w="11906" w:h="16838" w:code="9"/>
          <w:pgMar w:top="1418" w:right="1418" w:bottom="1418" w:left="1418" w:header="709" w:footer="709" w:gutter="0"/>
          <w:pgNumType w:start="1"/>
          <w:cols w:space="708"/>
          <w:titlePg/>
          <w:docGrid w:linePitch="360"/>
        </w:sectPr>
      </w:pPr>
    </w:p>
    <w:p w14:paraId="5CBB98E4"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lastRenderedPageBreak/>
        <w:t>ՀԱՎԵԼՎԱԾ ԹԻՎ 15</w:t>
      </w:r>
    </w:p>
    <w:p w14:paraId="23E53926" w14:textId="77777777" w:rsidR="008C76E0" w:rsidRPr="003B2786" w:rsidRDefault="008C76E0" w:rsidP="008E1F21">
      <w:pPr>
        <w:spacing w:after="160" w:line="360" w:lineRule="auto"/>
        <w:ind w:left="4536" w:right="-1"/>
        <w:jc w:val="center"/>
        <w:rPr>
          <w:rFonts w:ascii="Sylfaen" w:hAnsi="Sylfaen"/>
          <w:sz w:val="24"/>
          <w:szCs w:val="24"/>
        </w:rPr>
      </w:pPr>
      <w:r w:rsidRPr="003B2786">
        <w:rPr>
          <w:rFonts w:ascii="Sylfaen" w:hAnsi="Sylfaen"/>
          <w:sz w:val="24"/>
          <w:szCs w:val="24"/>
        </w:rPr>
        <w:t xml:space="preserve">Բժշկական կիրառման դեղապատրաստուկների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2BCE23DF" w14:textId="77777777" w:rsidR="008C76E0" w:rsidRPr="003B2786" w:rsidRDefault="008C76E0" w:rsidP="008E1F21">
      <w:pPr>
        <w:spacing w:after="160" w:line="360" w:lineRule="auto"/>
        <w:ind w:right="-1"/>
        <w:jc w:val="center"/>
        <w:rPr>
          <w:rFonts w:ascii="Sylfaen" w:hAnsi="Sylfaen"/>
          <w:sz w:val="24"/>
          <w:szCs w:val="24"/>
        </w:rPr>
      </w:pPr>
    </w:p>
    <w:p w14:paraId="1E42FD47" w14:textId="77777777" w:rsidR="008C76E0" w:rsidRPr="008C76E0" w:rsidRDefault="008C76E0" w:rsidP="008E1F21">
      <w:pPr>
        <w:pStyle w:val="Heading10"/>
        <w:shd w:val="clear" w:color="auto" w:fill="auto"/>
        <w:spacing w:before="0" w:after="160" w:line="360" w:lineRule="auto"/>
        <w:ind w:left="567" w:right="706"/>
        <w:outlineLvl w:val="9"/>
        <w:rPr>
          <w:rFonts w:ascii="Sylfaen" w:hAnsi="Sylfaen"/>
          <w:b w:val="0"/>
          <w:sz w:val="24"/>
          <w:szCs w:val="24"/>
          <w:lang w:val="hy-AM"/>
        </w:rPr>
      </w:pPr>
      <w:bookmarkStart w:id="9" w:name="bookmark10"/>
      <w:r w:rsidRPr="00F07160">
        <w:rPr>
          <w:rStyle w:val="Heading1Spacing2pt"/>
          <w:rFonts w:ascii="Sylfaen" w:hAnsi="Sylfaen"/>
          <w:b/>
          <w:spacing w:val="0"/>
          <w:sz w:val="24"/>
          <w:szCs w:val="24"/>
        </w:rPr>
        <w:t>ՑՈՒՑՈՒՄՆԵՐ</w:t>
      </w:r>
      <w:bookmarkEnd w:id="9"/>
    </w:p>
    <w:p w14:paraId="0AFB496A" w14:textId="77777777" w:rsidR="008C76E0" w:rsidRPr="008C76E0" w:rsidRDefault="008C76E0" w:rsidP="008E1F21">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կլինիկական հետազոտությունների գնահատման վերաբերյալ փորձագիտական հաշվետվություն </w:t>
      </w:r>
      <w:bookmarkStart w:id="10" w:name="bookmark11"/>
      <w:r w:rsidRPr="008C76E0">
        <w:rPr>
          <w:rFonts w:ascii="Sylfaen" w:hAnsi="Sylfaen"/>
          <w:sz w:val="24"/>
          <w:szCs w:val="24"/>
          <w:lang w:val="hy-AM"/>
        </w:rPr>
        <w:t>կազմելու</w:t>
      </w:r>
      <w:bookmarkEnd w:id="10"/>
    </w:p>
    <w:p w14:paraId="653C18F5" w14:textId="77777777" w:rsidR="008C76E0" w:rsidRPr="008C76E0" w:rsidRDefault="008C76E0" w:rsidP="008E1F21">
      <w:pPr>
        <w:pStyle w:val="Bodytext130"/>
        <w:shd w:val="clear" w:color="auto" w:fill="auto"/>
        <w:spacing w:after="160" w:line="360" w:lineRule="auto"/>
        <w:ind w:left="567" w:right="706"/>
        <w:rPr>
          <w:rFonts w:ascii="Sylfaen" w:hAnsi="Sylfaen"/>
          <w:sz w:val="24"/>
          <w:szCs w:val="24"/>
          <w:lang w:val="hy-AM"/>
        </w:rPr>
      </w:pPr>
    </w:p>
    <w:p w14:paraId="4D966AB6" w14:textId="77777777" w:rsidR="008C76E0" w:rsidRPr="003B2786" w:rsidRDefault="008C76E0" w:rsidP="008E1F21">
      <w:pPr>
        <w:spacing w:after="160" w:line="360" w:lineRule="auto"/>
        <w:ind w:left="567" w:right="706"/>
        <w:jc w:val="center"/>
        <w:rPr>
          <w:rFonts w:ascii="Sylfaen" w:hAnsi="Sylfaen"/>
          <w:sz w:val="24"/>
          <w:szCs w:val="24"/>
        </w:rPr>
      </w:pPr>
      <w:r w:rsidRPr="003B2786">
        <w:rPr>
          <w:rFonts w:ascii="Sylfaen" w:hAnsi="Sylfaen"/>
          <w:sz w:val="24"/>
          <w:szCs w:val="24"/>
        </w:rPr>
        <w:t>I. Ընդհանուր ցուցումներ</w:t>
      </w:r>
    </w:p>
    <w:p w14:paraId="1E889DB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Փորձագետի՝ կլինիկական հետազոտությունների գնահատման վերաբերյալ հաշվետվության (այսուհետ՝ հաշվետվություն) վրա աշխատելիս անհրաժեշտ է հաշվի առնել հետ</w:t>
      </w:r>
      <w:r w:rsidR="00C54D75">
        <w:rPr>
          <w:rFonts w:ascii="Sylfaen" w:hAnsi="Sylfaen"/>
          <w:sz w:val="24"/>
          <w:szCs w:val="24"/>
        </w:rPr>
        <w:t>և</w:t>
      </w:r>
      <w:r w:rsidRPr="003B2786">
        <w:rPr>
          <w:rFonts w:ascii="Sylfaen" w:hAnsi="Sylfaen"/>
          <w:sz w:val="24"/>
          <w:szCs w:val="24"/>
        </w:rPr>
        <w:t>յալ ասպեկտները՝</w:t>
      </w:r>
    </w:p>
    <w:p w14:paraId="7A162D0B"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 xml:space="preserve">հաշվետվությունը պետք է լինի բավականչափ մանրամասնեցված՝ Եվրասիական տնտեսական միության անդամ պետությունների (այսուհետ համապատասխանաբար՝ Միություն, անդամ պետություններ)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այլ փորձագետների կողմից դրա կրկնակի գնահատում կատարելու հնարավորության համար,</w:t>
      </w:r>
    </w:p>
    <w:p w14:paraId="3FCB0378"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pacing w:val="-6"/>
          <w:sz w:val="24"/>
          <w:szCs w:val="24"/>
        </w:rPr>
        <w:t xml:space="preserve">խորհուրդ է տրվում օգտագործել աղյուսակներ (գրաֆիկներ, պատկերներ). օրինակները, որոնք անհրաժեշտության դեպքում կարելի է օգտագործել, բերված են համաձայն Եվրասիական տնտեսական հանձնաժողովի կողմից հաստատվող՝ Բժշկական կիրառման դեղապատրաստուկների գրանցման </w:t>
      </w:r>
      <w:r w:rsidR="00C54D75">
        <w:rPr>
          <w:rFonts w:ascii="Sylfaen" w:hAnsi="Sylfaen"/>
          <w:spacing w:val="-6"/>
          <w:sz w:val="24"/>
          <w:szCs w:val="24"/>
        </w:rPr>
        <w:t>և</w:t>
      </w:r>
      <w:r w:rsidRPr="003B2786">
        <w:rPr>
          <w:rFonts w:ascii="Sylfaen" w:hAnsi="Sylfaen"/>
          <w:spacing w:val="-6"/>
          <w:sz w:val="24"/>
          <w:szCs w:val="24"/>
        </w:rPr>
        <w:t xml:space="preserve"> փորձաքննության կանոնների (այսուհետ՝ Կանոններ) թիվ 7 հավելվածի ձ</w:t>
      </w:r>
      <w:r w:rsidR="00C54D75">
        <w:rPr>
          <w:rFonts w:ascii="Sylfaen" w:hAnsi="Sylfaen"/>
          <w:spacing w:val="-6"/>
          <w:sz w:val="24"/>
          <w:szCs w:val="24"/>
        </w:rPr>
        <w:t>և</w:t>
      </w:r>
      <w:r w:rsidRPr="003B2786">
        <w:rPr>
          <w:rFonts w:ascii="Sylfaen" w:hAnsi="Sylfaen"/>
          <w:spacing w:val="-6"/>
          <w:sz w:val="24"/>
          <w:szCs w:val="24"/>
        </w:rPr>
        <w:t>ի: Հաշվետվության մեջ կարելի է ներառել</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դոսյեից վերցված աղյուսակներ: Ընդ որում, հարկավոր է համապատասխան տողատակի ծանոթագրություններ կատարել,</w:t>
      </w:r>
    </w:p>
    <w:p w14:paraId="6A50F1D3"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հաշվետվության մեջ ներկայացված ցանկացած տեղեկատվության աղբյուրը, օրինակ՝ դոսյեի կոնկրետ մասերը (օրինակ՝ հետազոտությունների ամփոփագիր, ռեզյումե, արձանագրություններ) հստակ նշելու համար հաշվետվության տեքստում անհրաժեշտ է օգտագործել խաչաձ</w:t>
      </w:r>
      <w:r w:rsidR="00C54D75">
        <w:rPr>
          <w:rFonts w:ascii="Sylfaen" w:hAnsi="Sylfaen"/>
          <w:sz w:val="24"/>
          <w:szCs w:val="24"/>
        </w:rPr>
        <w:t>և</w:t>
      </w:r>
      <w:r w:rsidRPr="003B2786">
        <w:rPr>
          <w:rFonts w:ascii="Sylfaen" w:hAnsi="Sylfaen"/>
          <w:sz w:val="24"/>
          <w:szCs w:val="24"/>
        </w:rPr>
        <w:t xml:space="preserve"> հղումներ, հղումներ՝ օգտագործված գրականությանը կամ այլ աղբյուրներին, </w:t>
      </w:r>
    </w:p>
    <w:p w14:paraId="3E5A26AF" w14:textId="05FCFF41"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հղումներ՝ գաղտնի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իմացության համար չնախատեսված տեղեկատվությանը (օրինակ՝ հղումներ՝ այլ դեղապատրաստուկի գնահատման մասին հաշվետվությանը), պետք է հստակ նշված լինեն որպես «Գաղտնի տեղեկատվություն» </w:t>
      </w:r>
      <w:r w:rsidR="00C54D75">
        <w:rPr>
          <w:rFonts w:ascii="Sylfaen" w:hAnsi="Sylfaen"/>
          <w:sz w:val="24"/>
          <w:szCs w:val="24"/>
        </w:rPr>
        <w:t>և</w:t>
      </w:r>
      <w:r w:rsidRPr="003B2786">
        <w:rPr>
          <w:rFonts w:ascii="Sylfaen" w:hAnsi="Sylfaen"/>
          <w:sz w:val="24"/>
          <w:szCs w:val="24"/>
        </w:rPr>
        <w:t xml:space="preserve"> առանձնացվեն դեղին ֆոնով: Այս բաժինները պետք է հանվեն հաշվետվությունից նախքան այն </w:t>
      </w:r>
      <w:r w:rsidR="0056496B">
        <w:rPr>
          <w:rFonts w:ascii="Sylfaen" w:hAnsi="Sylfaen"/>
          <w:sz w:val="24"/>
          <w:szCs w:val="24"/>
        </w:rPr>
        <w:t>դիմումատու</w:t>
      </w:r>
      <w:r w:rsidRPr="003B2786">
        <w:rPr>
          <w:rFonts w:ascii="Sylfaen" w:hAnsi="Sylfaen"/>
          <w:sz w:val="24"/>
          <w:szCs w:val="24"/>
        </w:rPr>
        <w:t xml:space="preserve">ին ուղարկելը, </w:t>
      </w:r>
    </w:p>
    <w:p w14:paraId="238AEB2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հապավումների </w:t>
      </w:r>
      <w:r w:rsidR="00C54D75">
        <w:rPr>
          <w:rFonts w:ascii="Sylfaen" w:hAnsi="Sylfaen"/>
          <w:sz w:val="24"/>
          <w:szCs w:val="24"/>
        </w:rPr>
        <w:t>և</w:t>
      </w:r>
      <w:r w:rsidRPr="003B2786">
        <w:rPr>
          <w:rFonts w:ascii="Sylfaen" w:hAnsi="Sylfaen"/>
          <w:sz w:val="24"/>
          <w:szCs w:val="24"/>
        </w:rPr>
        <w:t xml:space="preserve"> հղումների ցանկը ներառելու համար հաշվետվության ձ</w:t>
      </w:r>
      <w:r w:rsidR="00C54D75">
        <w:rPr>
          <w:rFonts w:ascii="Sylfaen" w:hAnsi="Sylfaen"/>
          <w:sz w:val="24"/>
          <w:szCs w:val="24"/>
        </w:rPr>
        <w:t>և</w:t>
      </w:r>
      <w:r w:rsidRPr="003B2786">
        <w:rPr>
          <w:rFonts w:ascii="Sylfaen" w:hAnsi="Sylfaen"/>
          <w:sz w:val="24"/>
          <w:szCs w:val="24"/>
        </w:rPr>
        <w:t>անմուշին ավելացվել է առանձին էջ, որը լրացվում է ըստ անհրաժեշտության,</w:t>
      </w:r>
    </w:p>
    <w:p w14:paraId="236C205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հիմնական տեքստը կազմելու համար առաջարկվող տառատեսակը՝ Times New Roman, տառաչափ 11,</w:t>
      </w:r>
    </w:p>
    <w:p w14:paraId="062290E4"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հաշվետվությունը կազմելիս հարկավոր է առաջնորդվել դեղապատրաստուկների արդյունավետության </w:t>
      </w:r>
      <w:r w:rsidR="00C54D75">
        <w:rPr>
          <w:rFonts w:ascii="Sylfaen" w:hAnsi="Sylfaen"/>
          <w:sz w:val="24"/>
          <w:szCs w:val="24"/>
        </w:rPr>
        <w:t>և</w:t>
      </w:r>
      <w:r w:rsidRPr="003B2786">
        <w:rPr>
          <w:rFonts w:ascii="Sylfaen" w:hAnsi="Sylfaen"/>
          <w:sz w:val="24"/>
          <w:szCs w:val="24"/>
        </w:rPr>
        <w:t xml:space="preserve"> անվտանգության գնահատման վերաբերյալ կիրառելի այլ փաստաթղթերով:</w:t>
      </w:r>
    </w:p>
    <w:p w14:paraId="771D2D07" w14:textId="77777777" w:rsidR="008C76E0" w:rsidRPr="003B2786" w:rsidRDefault="008C76E0" w:rsidP="008E1F21">
      <w:pPr>
        <w:spacing w:after="160" w:line="360" w:lineRule="auto"/>
        <w:ind w:left="567" w:right="565"/>
        <w:jc w:val="both"/>
        <w:rPr>
          <w:rFonts w:ascii="Sylfaen" w:hAnsi="Sylfaen"/>
          <w:sz w:val="24"/>
          <w:szCs w:val="24"/>
        </w:rPr>
      </w:pPr>
    </w:p>
    <w:p w14:paraId="35555A35" w14:textId="77777777" w:rsidR="008C76E0" w:rsidRPr="003B2786" w:rsidRDefault="008C76E0" w:rsidP="008E1F21">
      <w:pPr>
        <w:spacing w:after="160" w:line="360" w:lineRule="auto"/>
        <w:ind w:left="567" w:right="565"/>
        <w:jc w:val="center"/>
        <w:rPr>
          <w:rFonts w:ascii="Sylfaen" w:hAnsi="Sylfaen"/>
          <w:sz w:val="24"/>
          <w:szCs w:val="24"/>
        </w:rPr>
      </w:pPr>
      <w:r w:rsidRPr="003B2786">
        <w:rPr>
          <w:rFonts w:ascii="Sylfaen" w:hAnsi="Sylfaen"/>
          <w:sz w:val="24"/>
          <w:szCs w:val="24"/>
        </w:rPr>
        <w:t>II. Կլինիկական ասպեկտների կրիտիկական գնահատում</w:t>
      </w:r>
    </w:p>
    <w:p w14:paraId="2672760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յուրաքանչյուր բաժնում պետք է համառոտ շարադրվեն գրանցման դոսյեի 5-րդ մոդուլում ներկայացված տվյալները՝ հաշվի առնելով գրանցման դոսյեի 4-րդ մոդուլի փոխկապակցված հարցերը:</w:t>
      </w:r>
    </w:p>
    <w:p w14:paraId="10279F8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հիմնական բաժին պետք է պարունակի Կանոնների թիվ 1 հավելվածին համապատասխան ներկայացված տվյալներ: Յուրաքանչյուր բաժնում նկարագրվող հետազոտությունների տեսակները պետք է նշվեն պարբերությունների (կետերի, բաժինների) բոլոր համարներով, ինչպես նշված է Կանոնների թիվ 1 հավելվածում: Հիմնական </w:t>
      </w:r>
      <w:r w:rsidR="00C54D75">
        <w:rPr>
          <w:rFonts w:ascii="Sylfaen" w:hAnsi="Sylfaen"/>
          <w:sz w:val="24"/>
          <w:szCs w:val="24"/>
        </w:rPr>
        <w:t>և</w:t>
      </w:r>
      <w:r w:rsidRPr="003B2786">
        <w:rPr>
          <w:rFonts w:ascii="Sylfaen" w:hAnsi="Sylfaen"/>
          <w:sz w:val="24"/>
          <w:szCs w:val="24"/>
        </w:rPr>
        <w:t xml:space="preserve"> օժանդակ արդյունքներն </w:t>
      </w:r>
      <w:r w:rsidRPr="003B2786">
        <w:rPr>
          <w:rFonts w:ascii="Sylfaen" w:hAnsi="Sylfaen"/>
          <w:sz w:val="24"/>
          <w:szCs w:val="24"/>
        </w:rPr>
        <w:lastRenderedPageBreak/>
        <w:t>առանձնացնելուց հետո հետազոտությունների յուրաքանչյուր տարատեսակի մասով անհրաժեշտ է գնահատել՝ արդյոք հիմնական արդյունքները ներկայացված են անցկացված կլինիկական հետազոտությունների վերաբերյալ սեփական հաշվետվություններով («սկզբնական տվյալներ»), մատենագիտական հղումներով, դրանց համակցություններով, թե այդպիսի տվյալները բացակայում են:</w:t>
      </w:r>
    </w:p>
    <w:p w14:paraId="5B209AFE" w14:textId="02469AA8"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դիմումատու</w:t>
      </w:r>
      <w:r w:rsidRPr="003B2786">
        <w:rPr>
          <w:rFonts w:ascii="Sylfaen" w:hAnsi="Sylfaen"/>
          <w:sz w:val="24"/>
          <w:szCs w:val="24"/>
        </w:rPr>
        <w:t>ն օգտագործում է տվյալներ գիտական հրապարակումներից, կամ այդպիսի տվյալները կիրառվում են հաշվետվության համատեքստում, ապա անհրաժեշտ է նշել հղումներ, որոնք թույլ են տալիս հստակ նույնականացնել յուրաքանչյուր հրապարակում: Հարկ է դիտարկել գրականության ցանկ կազմելու հնարավորությունը, եթե հաշվետվության մեջ օգտագործվում են մեծ թվով հղումներ: Անհրաժեշտության դեպքում հարկավոր է ճշգրիտ ձ</w:t>
      </w:r>
      <w:r w:rsidR="00C54D75">
        <w:rPr>
          <w:rFonts w:ascii="Sylfaen" w:hAnsi="Sylfaen"/>
          <w:sz w:val="24"/>
          <w:szCs w:val="24"/>
        </w:rPr>
        <w:t>և</w:t>
      </w:r>
      <w:r w:rsidRPr="003B2786">
        <w:rPr>
          <w:rFonts w:ascii="Sylfaen" w:hAnsi="Sylfaen"/>
          <w:sz w:val="24"/>
          <w:szCs w:val="24"/>
        </w:rPr>
        <w:t>ակերպել հրապարակման վերաբերյալ փորձագետի կարծիքը (օրինակ՝ եթե հոդվածն օգտագործվում է ոչ միայն որպես հղում տվյալներին, այլ նա</w:t>
      </w:r>
      <w:r w:rsidR="00C54D75">
        <w:rPr>
          <w:rFonts w:ascii="Sylfaen" w:hAnsi="Sylfaen"/>
          <w:sz w:val="24"/>
          <w:szCs w:val="24"/>
        </w:rPr>
        <w:t>և</w:t>
      </w:r>
      <w:r w:rsidRPr="003B2786">
        <w:rPr>
          <w:rFonts w:ascii="Sylfaen" w:hAnsi="Sylfaen"/>
          <w:sz w:val="24"/>
          <w:szCs w:val="24"/>
        </w:rPr>
        <w:t xml:space="preserve"> քննարկման համատեքստում):</w:t>
      </w:r>
    </w:p>
    <w:p w14:paraId="0CE6FA03" w14:textId="77777777" w:rsidR="008C76E0" w:rsidRPr="003B2786" w:rsidRDefault="008C76E0" w:rsidP="009C58BE">
      <w:pPr>
        <w:spacing w:after="160" w:line="384" w:lineRule="auto"/>
        <w:ind w:firstLine="567"/>
        <w:jc w:val="both"/>
        <w:rPr>
          <w:rFonts w:ascii="Sylfaen" w:hAnsi="Sylfaen"/>
          <w:sz w:val="24"/>
          <w:szCs w:val="24"/>
        </w:rPr>
      </w:pPr>
      <w:r w:rsidRPr="003B2786">
        <w:rPr>
          <w:rFonts w:ascii="Sylfaen" w:hAnsi="Sylfaen"/>
          <w:sz w:val="24"/>
          <w:szCs w:val="24"/>
        </w:rPr>
        <w:t>Հարկավոր է գնահատել որ</w:t>
      </w:r>
      <w:r w:rsidR="00C54D75">
        <w:rPr>
          <w:rFonts w:ascii="Sylfaen" w:hAnsi="Sylfaen"/>
          <w:sz w:val="24"/>
          <w:szCs w:val="24"/>
        </w:rPr>
        <w:t>և</w:t>
      </w:r>
      <w:r w:rsidRPr="003B2786">
        <w:rPr>
          <w:rFonts w:ascii="Sylfaen" w:hAnsi="Sylfaen"/>
          <w:sz w:val="24"/>
          <w:szCs w:val="24"/>
        </w:rPr>
        <w:t>է պահանջի չհամապատասխանելու հիմնավորումների ընդունելիության աստիճանը: Մասնավորապես, պետք է հիմնավորվի նախակլինիկական (կլինիկական) հետազոտությունների որոշակի տվյալների բացակայությունը կամ հիմնական հետազոտությունների սկզբնական տվյալները իրենցով մասնակի կամ ամբողջապես փոխարինող մատենագիտական հղումների օգտագործումը: Հետագա ցուցումները տե՛ս «Անվտանգության, որակի, արդյունավետության գնահատում» մեթոդական փաստաթղթում (ձ</w:t>
      </w:r>
      <w:r w:rsidR="00C54D75">
        <w:rPr>
          <w:rFonts w:ascii="Sylfaen" w:hAnsi="Sylfaen"/>
          <w:sz w:val="24"/>
          <w:szCs w:val="24"/>
        </w:rPr>
        <w:t>և</w:t>
      </w:r>
      <w:r w:rsidRPr="003B2786">
        <w:rPr>
          <w:rFonts w:ascii="Sylfaen" w:hAnsi="Sylfaen"/>
          <w:sz w:val="24"/>
          <w:szCs w:val="24"/>
        </w:rPr>
        <w:t>անմուշում):</w:t>
      </w:r>
    </w:p>
    <w:p w14:paraId="1412029C" w14:textId="77777777" w:rsidR="008C76E0" w:rsidRPr="003B2786" w:rsidRDefault="008C76E0" w:rsidP="009C58BE">
      <w:pPr>
        <w:spacing w:after="160" w:line="384" w:lineRule="auto"/>
        <w:ind w:firstLine="567"/>
        <w:jc w:val="center"/>
        <w:rPr>
          <w:rFonts w:ascii="Sylfaen" w:hAnsi="Sylfaen"/>
          <w:sz w:val="24"/>
          <w:szCs w:val="24"/>
        </w:rPr>
      </w:pPr>
    </w:p>
    <w:p w14:paraId="11FAD305" w14:textId="77777777" w:rsidR="008C76E0" w:rsidRPr="003B2786" w:rsidRDefault="008C76E0" w:rsidP="008E1F21">
      <w:pPr>
        <w:tabs>
          <w:tab w:val="left" w:pos="1418"/>
        </w:tabs>
        <w:spacing w:after="160" w:line="360" w:lineRule="auto"/>
        <w:ind w:firstLine="567"/>
        <w:jc w:val="center"/>
        <w:rPr>
          <w:rFonts w:ascii="Sylfaen" w:hAnsi="Sylfaen"/>
          <w:sz w:val="24"/>
          <w:szCs w:val="24"/>
        </w:rPr>
      </w:pPr>
      <w:r w:rsidRPr="003B2786">
        <w:rPr>
          <w:rFonts w:ascii="Sylfaen" w:hAnsi="Sylfaen"/>
          <w:sz w:val="24"/>
          <w:szCs w:val="24"/>
        </w:rPr>
        <w:t>1. Ներածություն:</w:t>
      </w:r>
    </w:p>
    <w:p w14:paraId="5E7E3112" w14:textId="6B43D806" w:rsidR="008C76E0" w:rsidRPr="003B2786" w:rsidRDefault="008C76E0" w:rsidP="008E1F21">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 xml:space="preserve">ի տեսակը </w:t>
      </w:r>
      <w:r w:rsidR="00C54D75">
        <w:rPr>
          <w:rFonts w:ascii="Sylfaen" w:hAnsi="Sylfaen"/>
          <w:sz w:val="24"/>
          <w:szCs w:val="24"/>
        </w:rPr>
        <w:t>և</w:t>
      </w:r>
      <w:r w:rsidRPr="003B2786">
        <w:rPr>
          <w:rFonts w:ascii="Sylfaen" w:hAnsi="Sylfaen"/>
          <w:sz w:val="24"/>
          <w:szCs w:val="24"/>
        </w:rPr>
        <w:t xml:space="preserve"> մշակման ասպեկտները:</w:t>
      </w:r>
    </w:p>
    <w:p w14:paraId="2A2D599B" w14:textId="74147DD9"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r>
      <w:r w:rsidR="0056496B">
        <w:rPr>
          <w:rFonts w:ascii="Sylfaen" w:hAnsi="Sylfaen"/>
          <w:sz w:val="24"/>
          <w:szCs w:val="24"/>
        </w:rPr>
        <w:t>Դիմում</w:t>
      </w:r>
      <w:r w:rsidRPr="003B2786">
        <w:rPr>
          <w:rFonts w:ascii="Sylfaen" w:hAnsi="Sylfaen"/>
          <w:sz w:val="24"/>
          <w:szCs w:val="24"/>
        </w:rPr>
        <w:t>ի տեսակը:</w:t>
      </w:r>
    </w:p>
    <w:p w14:paraId="28D34F86" w14:textId="5C3DAF92"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Նշե՛ք գրանցման </w:t>
      </w:r>
      <w:r w:rsidR="0056496B">
        <w:rPr>
          <w:rFonts w:ascii="Sylfaen" w:hAnsi="Sylfaen"/>
          <w:sz w:val="24"/>
          <w:szCs w:val="24"/>
        </w:rPr>
        <w:t>դիմում</w:t>
      </w:r>
      <w:r w:rsidRPr="003B2786">
        <w:rPr>
          <w:rFonts w:ascii="Sylfaen" w:hAnsi="Sylfaen"/>
          <w:sz w:val="24"/>
          <w:szCs w:val="24"/>
        </w:rPr>
        <w:t xml:space="preserve">ի տեսակը (հղում </w:t>
      </w:r>
      <w:r w:rsidR="0056496B">
        <w:rPr>
          <w:rFonts w:ascii="Sylfaen" w:hAnsi="Sylfaen"/>
          <w:sz w:val="24"/>
          <w:szCs w:val="24"/>
        </w:rPr>
        <w:t>դիմում</w:t>
      </w:r>
      <w:r w:rsidRPr="003B2786">
        <w:rPr>
          <w:rFonts w:ascii="Sylfaen" w:hAnsi="Sylfaen"/>
          <w:sz w:val="24"/>
          <w:szCs w:val="24"/>
        </w:rPr>
        <w:t xml:space="preserve">ի իրավական հիմնավորմանը), օրինակ՝ օրիգինալ դեղապատրաստուկի </w:t>
      </w:r>
      <w:r w:rsidR="0056496B">
        <w:rPr>
          <w:rFonts w:ascii="Sylfaen" w:hAnsi="Sylfaen"/>
          <w:sz w:val="24"/>
          <w:szCs w:val="24"/>
        </w:rPr>
        <w:t>դիմում</w:t>
      </w:r>
      <w:r w:rsidRPr="003B2786">
        <w:rPr>
          <w:rFonts w:ascii="Sylfaen" w:hAnsi="Sylfaen"/>
          <w:sz w:val="24"/>
          <w:szCs w:val="24"/>
        </w:rPr>
        <w:t xml:space="preserve">, սեփական </w:t>
      </w:r>
      <w:r w:rsidR="00C54D75">
        <w:rPr>
          <w:rFonts w:ascii="Sylfaen" w:hAnsi="Sylfaen"/>
          <w:sz w:val="24"/>
          <w:szCs w:val="24"/>
        </w:rPr>
        <w:t>և</w:t>
      </w:r>
      <w:r w:rsidRPr="003B2786">
        <w:rPr>
          <w:rFonts w:ascii="Sylfaen" w:hAnsi="Sylfaen"/>
          <w:sz w:val="24"/>
          <w:szCs w:val="24"/>
        </w:rPr>
        <w:t xml:space="preserve"> կողմնակի տվյալների բանաքաղության վրա հիմնված </w:t>
      </w:r>
      <w:r w:rsidR="0056496B">
        <w:rPr>
          <w:rFonts w:ascii="Sylfaen" w:hAnsi="Sylfaen"/>
          <w:sz w:val="24"/>
          <w:szCs w:val="24"/>
        </w:rPr>
        <w:t>դիմում</w:t>
      </w:r>
      <w:r w:rsidRPr="003B2786">
        <w:rPr>
          <w:rFonts w:ascii="Sylfaen" w:hAnsi="Sylfaen"/>
          <w:sz w:val="24"/>
          <w:szCs w:val="24"/>
        </w:rPr>
        <w:t xml:space="preserve">, համընդհանուր կիրառման վրա հիմնված </w:t>
      </w:r>
      <w:r w:rsidR="0056496B">
        <w:rPr>
          <w:rFonts w:ascii="Sylfaen" w:hAnsi="Sylfaen"/>
          <w:sz w:val="24"/>
          <w:szCs w:val="24"/>
        </w:rPr>
        <w:t>դիմում</w:t>
      </w:r>
      <w:r w:rsidRPr="003B2786">
        <w:rPr>
          <w:rFonts w:ascii="Sylfaen" w:hAnsi="Sylfaen"/>
          <w:sz w:val="24"/>
          <w:szCs w:val="24"/>
        </w:rPr>
        <w:t xml:space="preserve">, կենսաբանական պատրաստուկի </w:t>
      </w:r>
      <w:r w:rsidR="0056496B">
        <w:rPr>
          <w:rFonts w:ascii="Sylfaen" w:hAnsi="Sylfaen"/>
          <w:sz w:val="24"/>
          <w:szCs w:val="24"/>
        </w:rPr>
        <w:t>դիմում</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այլն, ինչպես նա</w:t>
      </w:r>
      <w:r w:rsidR="00C54D75">
        <w:rPr>
          <w:rFonts w:ascii="Sylfaen" w:hAnsi="Sylfaen"/>
          <w:sz w:val="24"/>
          <w:szCs w:val="24"/>
        </w:rPr>
        <w:t>և</w:t>
      </w:r>
      <w:r w:rsidRPr="003B2786">
        <w:rPr>
          <w:rFonts w:ascii="Sylfaen" w:hAnsi="Sylfaen"/>
          <w:sz w:val="24"/>
          <w:szCs w:val="24"/>
        </w:rPr>
        <w:t xml:space="preserve"> ճշտե՛ք որոշակի հետազոտություններից հրաժարվելու կամ օրիգինալ հետազոտությունները գրական աղբյուրներից ստացված տվյալներով փոխարինելու համար ընդունելի հիմնավորումների առկայությունը: Եթե որ</w:t>
      </w:r>
      <w:r w:rsidR="00C54D75">
        <w:rPr>
          <w:rFonts w:ascii="Sylfaen" w:hAnsi="Sylfaen"/>
          <w:sz w:val="24"/>
          <w:szCs w:val="24"/>
        </w:rPr>
        <w:t>և</w:t>
      </w:r>
      <w:r w:rsidRPr="003B2786">
        <w:rPr>
          <w:rFonts w:ascii="Sylfaen" w:hAnsi="Sylfaen"/>
          <w:sz w:val="24"/>
          <w:szCs w:val="24"/>
        </w:rPr>
        <w:t>է հետազոտություն գոյություն ունի միայն հրապարակման ձ</w:t>
      </w:r>
      <w:r w:rsidR="00C54D75">
        <w:rPr>
          <w:rFonts w:ascii="Sylfaen" w:hAnsi="Sylfaen"/>
          <w:sz w:val="24"/>
          <w:szCs w:val="24"/>
        </w:rPr>
        <w:t>և</w:t>
      </w:r>
      <w:r w:rsidRPr="003B2786">
        <w:rPr>
          <w:rFonts w:ascii="Sylfaen" w:hAnsi="Sylfaen"/>
          <w:sz w:val="24"/>
          <w:szCs w:val="24"/>
        </w:rPr>
        <w:t>ով, ապա կար</w:t>
      </w:r>
      <w:r w:rsidR="00C54D75">
        <w:rPr>
          <w:rFonts w:ascii="Sylfaen" w:hAnsi="Sylfaen"/>
          <w:sz w:val="24"/>
          <w:szCs w:val="24"/>
        </w:rPr>
        <w:t>և</w:t>
      </w:r>
      <w:r w:rsidRPr="003B2786">
        <w:rPr>
          <w:rFonts w:ascii="Sylfaen" w:hAnsi="Sylfaen"/>
          <w:sz w:val="24"/>
          <w:szCs w:val="24"/>
        </w:rPr>
        <w:t>որ է ճշտել, թե արդյոք այն ունի բավարար որակ առավել կրիտիկական տվյալների համակողմանի վերլուծություն անցկացնելու հնարավորության համար:</w:t>
      </w:r>
    </w:p>
    <w:p w14:paraId="4D9E94B5" w14:textId="16A66A6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Հարկավոր է նշել նա</w:t>
      </w:r>
      <w:r w:rsidR="00C54D75">
        <w:rPr>
          <w:rFonts w:ascii="Sylfaen" w:hAnsi="Sylfaen"/>
          <w:sz w:val="24"/>
          <w:szCs w:val="24"/>
        </w:rPr>
        <w:t>և</w:t>
      </w:r>
      <w:r w:rsidRPr="003B2786">
        <w:rPr>
          <w:rFonts w:ascii="Sylfaen" w:hAnsi="Sylfaen"/>
          <w:sz w:val="24"/>
          <w:szCs w:val="24"/>
        </w:rPr>
        <w:t xml:space="preserve">, որ գրանցման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 xml:space="preserve">ն, հատուկ պայմաններ ներկայացնելով կամ բացառիկ դեպքի չափորոշչի կիրառումը հաշվի առնելով, գրանցում է պահանջել (կամ նշել, որ գրանցման այդպիսի տարբերակներն առաջարկվում են հենց փորձագետի կողմից): </w:t>
      </w:r>
      <w:r w:rsidR="0056496B">
        <w:rPr>
          <w:rFonts w:ascii="Sylfaen" w:hAnsi="Sylfaen"/>
          <w:sz w:val="24"/>
          <w:szCs w:val="24"/>
        </w:rPr>
        <w:t>Դիմում</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գրանցման դոսյեի՝ կիրառվող չափորոշիչներին համապատասխանելու վերաբերյալ եզրակացությունը սույն հաշվետվության անքակտելի մասն է:</w:t>
      </w:r>
    </w:p>
    <w:p w14:paraId="57BBB31A" w14:textId="0AA34812" w:rsidR="008C76E0" w:rsidRPr="003B2786" w:rsidRDefault="008C76E0" w:rsidP="00F97BCA">
      <w:pPr>
        <w:spacing w:after="160" w:line="336" w:lineRule="auto"/>
        <w:ind w:firstLine="567"/>
        <w:jc w:val="both"/>
        <w:rPr>
          <w:rFonts w:ascii="Sylfaen" w:hAnsi="Sylfaen"/>
          <w:sz w:val="24"/>
          <w:szCs w:val="24"/>
        </w:rPr>
      </w:pPr>
      <w:r w:rsidRPr="003B2786">
        <w:rPr>
          <w:rFonts w:ascii="Sylfaen" w:hAnsi="Sylfaen"/>
          <w:sz w:val="24"/>
          <w:szCs w:val="24"/>
        </w:rPr>
        <w:t xml:space="preserve">Պայմանական գրանցման մասով փորձագետը պետք է գնահատի </w:t>
      </w:r>
      <w:r w:rsidR="0056496B">
        <w:rPr>
          <w:rFonts w:ascii="Sylfaen" w:hAnsi="Sylfaen"/>
          <w:sz w:val="24"/>
          <w:szCs w:val="24"/>
        </w:rPr>
        <w:t>դիմումատու</w:t>
      </w:r>
      <w:r w:rsidRPr="003B2786">
        <w:rPr>
          <w:rFonts w:ascii="Sylfaen" w:hAnsi="Sylfaen"/>
          <w:sz w:val="24"/>
          <w:szCs w:val="24"/>
        </w:rPr>
        <w:t>ի կողմից առաջարկված հիմքերի հիմնավորվածության աստիճանը՝ Կանոններին համապատասխան: Հարկավոր է ուշադրություն դարձնել հետ</w:t>
      </w:r>
      <w:r w:rsidR="00C54D75">
        <w:rPr>
          <w:rFonts w:ascii="Sylfaen" w:hAnsi="Sylfaen"/>
          <w:sz w:val="24"/>
          <w:szCs w:val="24"/>
        </w:rPr>
        <w:t>և</w:t>
      </w:r>
      <w:r w:rsidRPr="003B2786">
        <w:rPr>
          <w:rFonts w:ascii="Sylfaen" w:hAnsi="Sylfaen"/>
          <w:sz w:val="24"/>
          <w:szCs w:val="24"/>
        </w:rPr>
        <w:t xml:space="preserve">յալին՝ դեղապատրաստուկի կիրառմանը լուրջ (կյանքին սպառնացող) հիվանդության բուժման համար, դրա կիրառմանը կյանքին սպառնացող </w:t>
      </w:r>
      <w:r w:rsidR="00C54D75">
        <w:rPr>
          <w:rFonts w:ascii="Sylfaen" w:hAnsi="Sylfaen"/>
          <w:sz w:val="24"/>
          <w:szCs w:val="24"/>
        </w:rPr>
        <w:t>և</w:t>
      </w:r>
      <w:r w:rsidRPr="003B2786">
        <w:rPr>
          <w:rFonts w:ascii="Sylfaen" w:hAnsi="Sylfaen"/>
          <w:sz w:val="24"/>
          <w:szCs w:val="24"/>
        </w:rPr>
        <w:t xml:space="preserve"> անհետաձգելի օգնություն պահանջող հիվանդությունների դեպքում, դեղապատրաստուկն ունի ընդգծված ազդեցություն կյանքին սպառնացող (հաշմանդամության հանգեցնող) հազվադեպ հիվանդությունների դեպքում </w:t>
      </w:r>
      <w:r w:rsidR="00C54D75">
        <w:rPr>
          <w:rFonts w:ascii="Sylfaen" w:hAnsi="Sylfaen"/>
          <w:sz w:val="24"/>
          <w:szCs w:val="24"/>
        </w:rPr>
        <w:t>և</w:t>
      </w:r>
      <w:r w:rsidRPr="003B2786">
        <w:rPr>
          <w:rFonts w:ascii="Sylfaen" w:hAnsi="Sylfaen"/>
          <w:sz w:val="24"/>
          <w:szCs w:val="24"/>
        </w:rPr>
        <w:t xml:space="preserve"> ունի օգուտ-ռիսկ դրական հարաբերակցություն: Ընդ որում, հարկավոր է հաշվի առնել բժշկական անհրաժեշտությունը </w:t>
      </w:r>
      <w:r w:rsidR="00C54D75">
        <w:rPr>
          <w:rFonts w:ascii="Sylfaen" w:hAnsi="Sylfaen"/>
          <w:sz w:val="24"/>
          <w:szCs w:val="24"/>
        </w:rPr>
        <w:t>և</w:t>
      </w:r>
      <w:r w:rsidRPr="003B2786">
        <w:rPr>
          <w:rFonts w:ascii="Sylfaen" w:hAnsi="Sylfaen"/>
          <w:sz w:val="24"/>
          <w:szCs w:val="24"/>
        </w:rPr>
        <w:t xml:space="preserve"> այն փաստը, թե արդյոք տվյալ դեղապատրաստուկի լայն կիրառման փաստը կգերազանցի առկա ռիսկերը: Պայմանական գրանցումը թույլատրվում է մինչ հաջորդ հետագա հետազոտությունների արդյունքները ստանալը օգուտ-ռիսկ հարաբերակցության դրական գնահատականի պայմանով:</w:t>
      </w:r>
    </w:p>
    <w:p w14:paraId="56D2D3F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մեկնաբանել դեղապատրաստուկի գրանցումից հետո այդպիսի հետազոտություններ անցկացնելու նպատակահարմարությունը:</w:t>
      </w:r>
    </w:p>
    <w:p w14:paraId="711BB886" w14:textId="79F7E1F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Բացառիկ դեպքերում գրանցման հնարավորությունը դիտարկելիս փորձագետը պետք է գնահատի </w:t>
      </w:r>
      <w:r w:rsidR="0056496B">
        <w:rPr>
          <w:rFonts w:ascii="Sylfaen" w:hAnsi="Sylfaen"/>
          <w:sz w:val="24"/>
          <w:szCs w:val="24"/>
        </w:rPr>
        <w:t>դիմումատու</w:t>
      </w:r>
      <w:r w:rsidRPr="003B2786">
        <w:rPr>
          <w:rFonts w:ascii="Sylfaen" w:hAnsi="Sylfaen"/>
          <w:sz w:val="24"/>
          <w:szCs w:val="24"/>
        </w:rPr>
        <w:t xml:space="preserve">ի կողմից ներկայացված հիմքերի հիմնավորվածությունը: Բացառիկ դեպքերում գրանցման թույլտվություն տալը չի նախատեսում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56496B">
        <w:rPr>
          <w:rFonts w:ascii="Sylfaen" w:hAnsi="Sylfaen"/>
          <w:sz w:val="24"/>
          <w:szCs w:val="24"/>
        </w:rPr>
        <w:t>դիմումատու</w:t>
      </w:r>
      <w:r w:rsidRPr="003B2786">
        <w:rPr>
          <w:rFonts w:ascii="Sylfaen" w:hAnsi="Sylfaen"/>
          <w:sz w:val="24"/>
          <w:szCs w:val="24"/>
        </w:rPr>
        <w:t xml:space="preserve">ի կողմից սպառիչ տվյալներ պարտադիր ներկայացնելու հնարավորություն: Այդ իսկ պատճառով հարկավոր է մեկնաբանել սույն </w:t>
      </w:r>
      <w:r w:rsidR="0056496B">
        <w:rPr>
          <w:rFonts w:ascii="Sylfaen" w:hAnsi="Sylfaen"/>
          <w:sz w:val="24"/>
          <w:szCs w:val="24"/>
        </w:rPr>
        <w:t>դիմում</w:t>
      </w:r>
      <w:r w:rsidRPr="003B2786">
        <w:rPr>
          <w:rFonts w:ascii="Sylfaen" w:hAnsi="Sylfaen"/>
          <w:sz w:val="24"/>
          <w:szCs w:val="24"/>
        </w:rPr>
        <w:t>ի կար</w:t>
      </w:r>
      <w:r w:rsidR="00C54D75">
        <w:rPr>
          <w:rFonts w:ascii="Sylfaen" w:hAnsi="Sylfaen"/>
          <w:sz w:val="24"/>
          <w:szCs w:val="24"/>
        </w:rPr>
        <w:t>և</w:t>
      </w:r>
      <w:r w:rsidRPr="003B2786">
        <w:rPr>
          <w:rFonts w:ascii="Sylfaen" w:hAnsi="Sylfaen"/>
          <w:sz w:val="24"/>
          <w:szCs w:val="24"/>
        </w:rPr>
        <w:t xml:space="preserve">որ ասպեկտները (հիվանդության հազվադեպություն, էթիկական ասպեկտներ, պատրաստուկի գիտական ուսումասիրվածության փուլ) </w:t>
      </w:r>
      <w:r w:rsidR="00C54D75">
        <w:rPr>
          <w:rFonts w:ascii="Sylfaen" w:hAnsi="Sylfaen"/>
          <w:sz w:val="24"/>
          <w:szCs w:val="24"/>
        </w:rPr>
        <w:t>և</w:t>
      </w:r>
      <w:r w:rsidRPr="003B2786">
        <w:rPr>
          <w:rFonts w:ascii="Sylfaen" w:hAnsi="Sylfaen"/>
          <w:sz w:val="24"/>
          <w:szCs w:val="24"/>
        </w:rPr>
        <w:t xml:space="preserve"> կոնկրետ պարտավորությունների (գործընթացների) տեսակները, որոնց կատարումը կարող է պահանջվել գրանցման հավաստագրի իրավատիրոջից հետգրանցումային ժամանակահատվածում:</w:t>
      </w:r>
    </w:p>
    <w:p w14:paraId="4F82D32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Կենսահամանման (կենսանման) դեղապատրաստուկներ:</w:t>
      </w:r>
    </w:p>
    <w:p w14:paraId="68EC78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«Կենսահամատեղելիության հետազոտության» առանձին դեպքերում փորձագետից կարող է պահանջվել նկարագրել ընկերության կողմից ընտրված մշակման ռազմավարությունը՝ դրա վերլուծությամբ </w:t>
      </w:r>
      <w:r w:rsidR="00C54D75">
        <w:rPr>
          <w:rFonts w:ascii="Sylfaen" w:hAnsi="Sylfaen"/>
          <w:sz w:val="24"/>
          <w:szCs w:val="24"/>
        </w:rPr>
        <w:t>և</w:t>
      </w:r>
      <w:r w:rsidRPr="003B2786">
        <w:rPr>
          <w:rFonts w:ascii="Sylfaen" w:hAnsi="Sylfaen"/>
          <w:sz w:val="24"/>
          <w:szCs w:val="24"/>
        </w:rPr>
        <w:t xml:space="preserve"> հիմնավորվածության գնահատմամբ՝ հաշվի առնելով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52C983D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Եվրասիական տնտեսական միության շրջանակներում Կենսաբանական դեղամիջոցների հետազոտության կանոններով:</w:t>
      </w:r>
    </w:p>
    <w:p w14:paraId="17D2F67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ուշադրություն դարձնել դեղապատրաստուկի </w:t>
      </w:r>
      <w:r w:rsidR="00C54D75">
        <w:rPr>
          <w:rFonts w:ascii="Sylfaen" w:hAnsi="Sylfaen"/>
          <w:sz w:val="24"/>
          <w:szCs w:val="24"/>
        </w:rPr>
        <w:t>և</w:t>
      </w:r>
      <w:r w:rsidRPr="003B2786">
        <w:rPr>
          <w:rFonts w:ascii="Sylfaen" w:hAnsi="Sylfaen"/>
          <w:sz w:val="24"/>
          <w:szCs w:val="24"/>
        </w:rPr>
        <w:t xml:space="preserve"> ակտիվ դեղագործական բաղադրամասի որակի ասպեկտներին (գրանցման դոսյեի 3-րդ մոդուլ): Անհրաժեշտ է ներկայացնել ծավալուն համեմատական գնահատական, </w:t>
      </w:r>
      <w:r w:rsidRPr="003B2786">
        <w:rPr>
          <w:rFonts w:ascii="Sylfaen" w:hAnsi="Sylfaen"/>
          <w:sz w:val="24"/>
          <w:szCs w:val="24"/>
        </w:rPr>
        <w:lastRenderedPageBreak/>
        <w:t xml:space="preserve">որպեսզի հաստատվի, որ կիրառման համար արդեն թույլատրված կենսահամանման </w:t>
      </w:r>
      <w:r w:rsidR="00C54D75">
        <w:rPr>
          <w:rFonts w:ascii="Sylfaen" w:hAnsi="Sylfaen"/>
          <w:sz w:val="24"/>
          <w:szCs w:val="24"/>
        </w:rPr>
        <w:t>և</w:t>
      </w:r>
      <w:r w:rsidRPr="003B2786">
        <w:rPr>
          <w:rFonts w:ascii="Sylfaen" w:hAnsi="Sylfaen"/>
          <w:sz w:val="24"/>
          <w:szCs w:val="24"/>
        </w:rPr>
        <w:t xml:space="preserve"> ռեֆերենտ պատրաստուկներն ունեն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համանման բնութագրեր:</w:t>
      </w:r>
    </w:p>
    <w:p w14:paraId="134611A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Գրանցված ռեֆերենտ պատրաստուկում ԱԴԲ-ի խտության (պարունակության) վերաբերյալ աղյուսակի տեսքով մանրամասն տեղեկատվությունը (դրա առ</w:t>
      </w:r>
      <w:r w:rsidR="00C54D75">
        <w:rPr>
          <w:rFonts w:ascii="Sylfaen" w:hAnsi="Sylfaen"/>
          <w:sz w:val="24"/>
          <w:szCs w:val="24"/>
        </w:rPr>
        <w:t>և</w:t>
      </w:r>
      <w:r w:rsidRPr="003B2786">
        <w:rPr>
          <w:rFonts w:ascii="Sylfaen" w:hAnsi="Sylfaen"/>
          <w:sz w:val="24"/>
          <w:szCs w:val="24"/>
        </w:rPr>
        <w:t>տրային անվանման, դեղաձ</w:t>
      </w:r>
      <w:r w:rsidR="00C54D75">
        <w:rPr>
          <w:rFonts w:ascii="Sylfaen" w:hAnsi="Sylfaen"/>
          <w:sz w:val="24"/>
          <w:szCs w:val="24"/>
        </w:rPr>
        <w:t>և</w:t>
      </w:r>
      <w:r w:rsidRPr="003B2786">
        <w:rPr>
          <w:rFonts w:ascii="Sylfaen" w:hAnsi="Sylfaen"/>
          <w:sz w:val="24"/>
          <w:szCs w:val="24"/>
        </w:rPr>
        <w:t>ի, գրանցման հավաստագրի իրավատիրոջ, Միությունում գրանցման հավաստագրի տրամադրման ամսաթվի նշմամբ), ինչպես նա</w:t>
      </w:r>
      <w:r w:rsidR="00C54D75">
        <w:rPr>
          <w:rFonts w:ascii="Sylfaen" w:hAnsi="Sylfaen"/>
          <w:sz w:val="24"/>
          <w:szCs w:val="24"/>
        </w:rPr>
        <w:t>և</w:t>
      </w:r>
      <w:r w:rsidRPr="003B2786">
        <w:rPr>
          <w:rFonts w:ascii="Sylfaen" w:hAnsi="Sylfaen"/>
          <w:sz w:val="24"/>
          <w:szCs w:val="24"/>
        </w:rPr>
        <w:t xml:space="preserve"> մանրամասն տեղեկատվությունը (օրինակ՝ սերիայի համար </w:t>
      </w:r>
      <w:r w:rsidR="00C54D75">
        <w:rPr>
          <w:rFonts w:ascii="Sylfaen" w:hAnsi="Sylfaen"/>
          <w:sz w:val="24"/>
          <w:szCs w:val="24"/>
        </w:rPr>
        <w:t>և</w:t>
      </w:r>
      <w:r w:rsidRPr="003B2786">
        <w:rPr>
          <w:rFonts w:ascii="Sylfaen" w:hAnsi="Sylfaen"/>
          <w:sz w:val="24"/>
          <w:szCs w:val="24"/>
        </w:rPr>
        <w:t xml:space="preserve"> արտադրության երկիր) այն դեղապատրաստուկի սերիայի վերաբերյալ, որն օգտագործվում է համեմատական գնահատման ժամանակ (որակի մասնագրի հիմնական ցուցանիշներ, 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տվյալներ), կարող են վերլուծվել փորձագետի կողմից՝ հիմնված որակի ասպեկտների վերաբերյալ փորձագիտական հաշվետվությունից ստացված տեղեկատվության վրա (գրանցման դոսյեի 3-րդ մոդուլի գնահատում): </w:t>
      </w:r>
    </w:p>
    <w:p w14:paraId="021F955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Մշակման ասպեկտները:</w:t>
      </w:r>
    </w:p>
    <w:p w14:paraId="10B0555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Նկարագրե՛ք կլինիկական հետազոտությունների մշակման ծրագիրը առաջարկվող կիրառման ցուցումների </w:t>
      </w:r>
      <w:r w:rsidR="00C54D75">
        <w:rPr>
          <w:rFonts w:ascii="Sylfaen" w:hAnsi="Sylfaen"/>
          <w:sz w:val="24"/>
          <w:szCs w:val="24"/>
        </w:rPr>
        <w:t>և</w:t>
      </w:r>
      <w:r w:rsidRPr="003B2786">
        <w:rPr>
          <w:rFonts w:ascii="Sylfaen" w:hAnsi="Sylfaen"/>
          <w:sz w:val="24"/>
          <w:szCs w:val="24"/>
        </w:rPr>
        <w:t xml:space="preserve"> դոզավորման ռեժիմի տեսանկյունից (նշե՛ք, թե արդյոք գոյություն ունեն երեխաների շրջանում կիրառման ցուցումներ): Նշե՛ք, թե արդյոք անցկացված հետազոտությունների ծավալը համապատասխանում է Միության հանձնարարականներին </w:t>
      </w:r>
      <w:r w:rsidR="00C54D75">
        <w:rPr>
          <w:rFonts w:ascii="Sylfaen" w:hAnsi="Sylfaen"/>
          <w:sz w:val="24"/>
          <w:szCs w:val="24"/>
        </w:rPr>
        <w:t>և</w:t>
      </w:r>
      <w:r w:rsidRPr="003B2786">
        <w:rPr>
          <w:rFonts w:ascii="Sylfaen" w:hAnsi="Sylfaen"/>
          <w:sz w:val="24"/>
          <w:szCs w:val="24"/>
        </w:rPr>
        <w:t xml:space="preserve"> անդամ պետության օրենսդրության պահանջներին:</w:t>
      </w:r>
    </w:p>
    <w:p w14:paraId="57C6A952"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Նշել, թե արդյոք դեղապատրաստուկների փորձաքննություն իրականացնող ազգային լիազորված մարմինների </w:t>
      </w:r>
      <w:r w:rsidR="00C54D75">
        <w:rPr>
          <w:rFonts w:ascii="Sylfaen" w:hAnsi="Sylfaen"/>
          <w:sz w:val="24"/>
          <w:szCs w:val="24"/>
        </w:rPr>
        <w:t>և</w:t>
      </w:r>
      <w:r w:rsidRPr="003B2786">
        <w:rPr>
          <w:rFonts w:ascii="Sylfaen" w:hAnsi="Sylfaen"/>
          <w:sz w:val="24"/>
          <w:szCs w:val="24"/>
        </w:rPr>
        <w:t xml:space="preserve"> կազմակերպությունների հետ համաձայնեցվել է երեխաների շրջանում պատրաստուկի հետազոտության պլանը (ինչպես հետաձգմամբ, այնպես էլ առանց դրա) կամ կոնկրետ պատրաստուկի համար այդ պլանը մերժելը (կամ այդ մերժումը տարածվո՞ւմ է դեղերի ամբողջ դասի վրա): Համառոտ նկարագրե՛ք նախակլինիկական հետազոտությունների </w:t>
      </w:r>
      <w:r w:rsidRPr="003B2786">
        <w:rPr>
          <w:rFonts w:ascii="Sylfaen" w:hAnsi="Sylfaen"/>
          <w:sz w:val="24"/>
          <w:szCs w:val="24"/>
        </w:rPr>
        <w:lastRenderedPageBreak/>
        <w:t xml:space="preserve">մասով երեխաների շրջանում պատրաստուկի հետազոտության պլանին ներկայացվող պայմաններն ու հիմնական պահանջները (այնտեղ, որտեղ դա հնարավոր է) </w:t>
      </w:r>
      <w:r w:rsidR="00C54D75">
        <w:rPr>
          <w:rFonts w:ascii="Sylfaen" w:hAnsi="Sylfaen"/>
          <w:sz w:val="24"/>
          <w:szCs w:val="24"/>
        </w:rPr>
        <w:t>և</w:t>
      </w:r>
      <w:r w:rsidRPr="003B2786">
        <w:rPr>
          <w:rFonts w:ascii="Sylfaen" w:hAnsi="Sylfaen"/>
          <w:sz w:val="24"/>
          <w:szCs w:val="24"/>
        </w:rPr>
        <w:t xml:space="preserve"> ներկայացրե՛ք կլինիկական հետազոտությունների ընթացիկ կարգավիճակի վերաբերյալ համապատասխան տեղեկատվություն (ավարտված հետազոտություններ, շարունակվող հետազոտություններ </w:t>
      </w:r>
      <w:r w:rsidR="00C54D75">
        <w:rPr>
          <w:rFonts w:ascii="Sylfaen" w:hAnsi="Sylfaen"/>
          <w:sz w:val="24"/>
          <w:szCs w:val="24"/>
        </w:rPr>
        <w:t>և</w:t>
      </w:r>
      <w:r w:rsidRPr="003B2786">
        <w:rPr>
          <w:rFonts w:ascii="Sylfaen" w:hAnsi="Sylfaen"/>
          <w:sz w:val="24"/>
          <w:szCs w:val="24"/>
        </w:rPr>
        <w:t xml:space="preserve"> այլն):</w:t>
      </w:r>
    </w:p>
    <w:p w14:paraId="7B5AA0E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Նշե՛ք, թե արդյոք անց է կացվել կլինիկական մշակում՝ բնակչության այլ հատուկ խմբերի համար, օրինակ՝ հաշվի առնելով տարիքային աստիճանավորումը, սեռային </w:t>
      </w:r>
      <w:r w:rsidR="00C54D75">
        <w:rPr>
          <w:rFonts w:ascii="Sylfaen" w:hAnsi="Sylfaen"/>
          <w:sz w:val="24"/>
          <w:szCs w:val="24"/>
        </w:rPr>
        <w:t>և</w:t>
      </w:r>
      <w:r w:rsidRPr="003B2786">
        <w:rPr>
          <w:rFonts w:ascii="Sylfaen" w:hAnsi="Sylfaen"/>
          <w:sz w:val="24"/>
          <w:szCs w:val="24"/>
        </w:rPr>
        <w:t xml:space="preserve"> էթնիկ պատկանելիությունը: Անհրաժեշտության դեպքում նշե՛ք հետազոտությունների մեջ ներգրավված առողջ կամավորների (պացիենտների) (տղամարդկանց, կանանց) թիվը </w:t>
      </w:r>
      <w:r w:rsidR="00C54D75">
        <w:rPr>
          <w:rFonts w:ascii="Sylfaen" w:hAnsi="Sylfaen"/>
          <w:sz w:val="24"/>
          <w:szCs w:val="24"/>
        </w:rPr>
        <w:t>և</w:t>
      </w:r>
      <w:r w:rsidRPr="003B2786">
        <w:rPr>
          <w:rFonts w:ascii="Sylfaen" w:hAnsi="Sylfaen"/>
          <w:sz w:val="24"/>
          <w:szCs w:val="24"/>
        </w:rPr>
        <w:t xml:space="preserve"> բնութագրերը (անհրաժեշտության դեպքում տե՛ս բաժին 3.1-ը՝ հաշվետվության մեջ ավելի ծավալուն այնպիսի աղյուսակ ներառելու վերաբերյալ մանրամասն տեղեկատվություն ստանալու համար, որը պետք է համապատասխանի գրանցման դոսյեի 2.7.3.1 աղյուսակին):</w:t>
      </w:r>
    </w:p>
    <w:p w14:paraId="5EDBB042" w14:textId="4943C050" w:rsidR="008C76E0" w:rsidRPr="003B2786" w:rsidRDefault="005A46D4" w:rsidP="008E1F21">
      <w:pPr>
        <w:spacing w:after="160" w:line="360" w:lineRule="auto"/>
        <w:ind w:right="-1" w:firstLine="567"/>
        <w:jc w:val="both"/>
        <w:rPr>
          <w:rFonts w:ascii="Sylfaen" w:hAnsi="Sylfaen"/>
          <w:sz w:val="24"/>
          <w:szCs w:val="24"/>
        </w:rPr>
      </w:pPr>
      <w:r>
        <w:rPr>
          <w:rFonts w:ascii="Sylfaen" w:hAnsi="Sylfaen"/>
          <w:sz w:val="24"/>
          <w:szCs w:val="24"/>
        </w:rPr>
        <w:t>Հայտ</w:t>
      </w:r>
      <w:r w:rsidR="008C76E0" w:rsidRPr="003B2786">
        <w:rPr>
          <w:rFonts w:ascii="Sylfaen" w:hAnsi="Sylfaen"/>
          <w:sz w:val="24"/>
          <w:szCs w:val="24"/>
        </w:rPr>
        <w:t xml:space="preserve">նե՛ք, թե արդյոք </w:t>
      </w:r>
      <w:r w:rsidR="0056496B">
        <w:rPr>
          <w:rFonts w:ascii="Sylfaen" w:hAnsi="Sylfaen"/>
          <w:sz w:val="24"/>
          <w:szCs w:val="24"/>
        </w:rPr>
        <w:t>դիմումատու</w:t>
      </w:r>
      <w:r w:rsidR="008C76E0" w:rsidRPr="003B2786">
        <w:rPr>
          <w:rFonts w:ascii="Sylfaen" w:hAnsi="Sylfaen"/>
          <w:sz w:val="24"/>
          <w:szCs w:val="24"/>
        </w:rPr>
        <w:t xml:space="preserve">ն ստացել է գիտական խորհրդատվություն կամ աջակցություն արձանագրությունը կազմելիս (եթե այո, ապա երբ), նկարագրե՛ք խնդրահարույց հարցերը </w:t>
      </w:r>
      <w:r w:rsidR="00C54D75">
        <w:rPr>
          <w:rFonts w:ascii="Sylfaen" w:hAnsi="Sylfaen"/>
          <w:sz w:val="24"/>
          <w:szCs w:val="24"/>
        </w:rPr>
        <w:t>և</w:t>
      </w:r>
      <w:r w:rsidR="008C76E0" w:rsidRPr="003B2786">
        <w:rPr>
          <w:rFonts w:ascii="Sylfaen" w:hAnsi="Sylfaen"/>
          <w:sz w:val="24"/>
          <w:szCs w:val="24"/>
        </w:rPr>
        <w:t xml:space="preserve"> նշե՛ք, թե արդյոք </w:t>
      </w:r>
      <w:r w:rsidR="0056496B">
        <w:rPr>
          <w:rFonts w:ascii="Sylfaen" w:hAnsi="Sylfaen"/>
          <w:sz w:val="24"/>
          <w:szCs w:val="24"/>
        </w:rPr>
        <w:t>դիմումատու</w:t>
      </w:r>
      <w:r w:rsidR="008C76E0" w:rsidRPr="003B2786">
        <w:rPr>
          <w:rFonts w:ascii="Sylfaen" w:hAnsi="Sylfaen"/>
          <w:sz w:val="24"/>
          <w:szCs w:val="24"/>
        </w:rPr>
        <w:t>ն օգտագործել է ստացված հանձնարարականները:</w:t>
      </w:r>
    </w:p>
    <w:p w14:paraId="2D05B503" w14:textId="347EED65"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Նշե՛ք, թե արդյոք դեղին տրվել է հազվադեպ կիրառվող («որբ») պատրաստուկի կարգավիճակ (եթե այո, ապա երբ): Անհրաժեշտության դեպքում </w:t>
      </w:r>
      <w:r w:rsidR="005A46D4">
        <w:rPr>
          <w:rFonts w:ascii="Sylfaen" w:hAnsi="Sylfaen"/>
          <w:sz w:val="24"/>
          <w:szCs w:val="24"/>
        </w:rPr>
        <w:t>հայտ</w:t>
      </w:r>
      <w:r w:rsidRPr="003B2786">
        <w:rPr>
          <w:rFonts w:ascii="Sylfaen" w:hAnsi="Sylfaen"/>
          <w:sz w:val="24"/>
          <w:szCs w:val="24"/>
        </w:rPr>
        <w:t>նե՛ք ազդեցության նման մեխանիզմ ունեցող պատրաստուկների մասով սույն որոշման մասին:</w:t>
      </w:r>
    </w:p>
    <w:p w14:paraId="4EFDF02F" w14:textId="77777777" w:rsidR="008C76E0" w:rsidRPr="003B2786" w:rsidRDefault="008C76E0" w:rsidP="00F97BCA">
      <w:pPr>
        <w:spacing w:after="160" w:line="384" w:lineRule="auto"/>
        <w:ind w:firstLine="567"/>
        <w:jc w:val="both"/>
        <w:rPr>
          <w:rFonts w:ascii="Sylfaen" w:hAnsi="Sylfaen"/>
          <w:sz w:val="24"/>
          <w:szCs w:val="24"/>
        </w:rPr>
      </w:pPr>
      <w:r w:rsidRPr="003B2786">
        <w:rPr>
          <w:rFonts w:ascii="Sylfaen" w:hAnsi="Sylfaen"/>
          <w:sz w:val="24"/>
          <w:szCs w:val="24"/>
        </w:rPr>
        <w:t>Դեղապատրաստուկի մշակման վերաբերյալ ներկայացված տվյալները բացառիկ դեպքերում կարող են սահմանափակվել պայմանական գրանցման կամ գրանցման նկատմամբ կիրառվող չափորոշիչներով: Այդ չափորոշիչներին համապատասխանության գնահատումը պետք է հաշվետվության պարտադիր մասը կազմի:</w:t>
      </w:r>
    </w:p>
    <w:p w14:paraId="7EF40879" w14:textId="77777777" w:rsidR="008C76E0" w:rsidRPr="003B2786" w:rsidRDefault="008C76E0" w:rsidP="00F97BCA">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lastRenderedPageBreak/>
        <w:t>1.2.</w:t>
      </w:r>
      <w:r w:rsidRPr="003B2786">
        <w:rPr>
          <w:rFonts w:ascii="Sylfaen" w:hAnsi="Sylfaen"/>
          <w:sz w:val="24"/>
          <w:szCs w:val="24"/>
        </w:rPr>
        <w:tab/>
        <w:t>Եվրասիական տնտեսական հանձնաժողովի կողմից հաստատվող՝ Եվրասիական տնտեսական միության Պատշաճ կլինիկական գործունեության կանոնների պահպանումը:</w:t>
      </w:r>
    </w:p>
    <w:p w14:paraId="72F5FC25"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տվյալ բաժնում </w:t>
      </w:r>
      <w:r w:rsidR="00C54D75">
        <w:rPr>
          <w:rFonts w:ascii="Sylfaen" w:hAnsi="Sylfaen"/>
          <w:sz w:val="24"/>
          <w:szCs w:val="24"/>
        </w:rPr>
        <w:t>և</w:t>
      </w:r>
      <w:r w:rsidRPr="003B2786">
        <w:rPr>
          <w:rFonts w:ascii="Sylfaen" w:hAnsi="Sylfaen"/>
          <w:sz w:val="24"/>
          <w:szCs w:val="24"/>
        </w:rPr>
        <w:t xml:space="preserve"> բաժին 3.1-ում, ինչպես նա</w:t>
      </w:r>
      <w:r w:rsidR="00C54D75">
        <w:rPr>
          <w:rFonts w:ascii="Sylfaen" w:hAnsi="Sylfaen"/>
          <w:sz w:val="24"/>
          <w:szCs w:val="24"/>
        </w:rPr>
        <w:t>և</w:t>
      </w:r>
      <w:r w:rsidRPr="003B2786">
        <w:rPr>
          <w:rFonts w:ascii="Sylfaen" w:hAnsi="Sylfaen"/>
          <w:sz w:val="24"/>
          <w:szCs w:val="24"/>
        </w:rPr>
        <w:t xml:space="preserve"> «Ընդհանուր նկարագրություն» մոդուլում անհրաժեշտ է արտացոլել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հարցերը:</w:t>
      </w:r>
    </w:p>
    <w:p w14:paraId="61D710C0"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անհրաժեշտ է դիտարկել՝</w:t>
      </w:r>
    </w:p>
    <w:p w14:paraId="12AA7297"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բոլոր կասկածները, որոնք առաջացել են Եվրասիական տնտեսական հանձնաժողովի կողմից հաստատվող՝ Եվրասիական տնտեսական միության Պատշաճ կլինիկական գործունեության կանոնների պահպանման վերաբերյալ փորձաքննություն անցկացնելու ընթացքում, </w:t>
      </w:r>
      <w:r w:rsidR="00C54D75">
        <w:rPr>
          <w:rFonts w:ascii="Sylfaen" w:hAnsi="Sylfaen"/>
          <w:sz w:val="24"/>
          <w:szCs w:val="24"/>
        </w:rPr>
        <w:t>և</w:t>
      </w:r>
      <w:r w:rsidRPr="003B2786">
        <w:rPr>
          <w:rFonts w:ascii="Sylfaen" w:hAnsi="Sylfaen"/>
          <w:sz w:val="24"/>
          <w:szCs w:val="24"/>
        </w:rPr>
        <w:t xml:space="preserve"> դրանց հետ կապված կարգավորող </w:t>
      </w:r>
      <w:r w:rsidR="00C54D75">
        <w:rPr>
          <w:rFonts w:ascii="Sylfaen" w:hAnsi="Sylfaen"/>
          <w:sz w:val="24"/>
          <w:szCs w:val="24"/>
        </w:rPr>
        <w:t>և</w:t>
      </w:r>
      <w:r w:rsidRPr="003B2786">
        <w:rPr>
          <w:rFonts w:ascii="Sylfaen" w:hAnsi="Sylfaen"/>
          <w:sz w:val="24"/>
          <w:szCs w:val="24"/>
        </w:rPr>
        <w:t xml:space="preserve"> էթիկական պահանջների (ճիշտ տվյալներ, արձանագրության պահպանում </w:t>
      </w:r>
      <w:r w:rsidR="00C54D75">
        <w:rPr>
          <w:rFonts w:ascii="Sylfaen" w:hAnsi="Sylfaen"/>
          <w:sz w:val="24"/>
          <w:szCs w:val="24"/>
        </w:rPr>
        <w:t>և</w:t>
      </w:r>
      <w:r w:rsidRPr="003B2786">
        <w:rPr>
          <w:rFonts w:ascii="Sylfaen" w:hAnsi="Sylfaen"/>
          <w:sz w:val="24"/>
          <w:szCs w:val="24"/>
        </w:rPr>
        <w:t xml:space="preserve"> էթիկական ասպեկտների պահպանում) հետ,</w:t>
      </w:r>
    </w:p>
    <w:p w14:paraId="2FFAC05B" w14:textId="5CF33EAC"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հետազոտությունների՝ Եվրասիական տնտեսական հանձնաժողովի կողմից հաստատվող՝ Եվրասիական տնտեսական միության Պատշաճ կլինիկական գործունեության կանոններով նախատեսված էթիկական չափորոշիչների պահպանման</w:t>
      </w:r>
      <w:r w:rsidR="005A46D4">
        <w:rPr>
          <w:rFonts w:ascii="Sylfaen" w:hAnsi="Sylfaen"/>
          <w:sz w:val="24"/>
          <w:szCs w:val="24"/>
        </w:rPr>
        <w:t>հայտարարագիր</w:t>
      </w:r>
      <w:r w:rsidRPr="003B2786">
        <w:rPr>
          <w:rFonts w:ascii="Sylfaen" w:hAnsi="Sylfaen"/>
          <w:sz w:val="24"/>
          <w:szCs w:val="24"/>
        </w:rPr>
        <w:t>ը կամ դրա համարժեքը,</w:t>
      </w:r>
    </w:p>
    <w:p w14:paraId="41B2310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կանոններին համապատասխանության մասով տեսչական ստուգում անցկացնելու նպատակահարմարությունը՝ ելնելով Կանոններում ներկայացված ցուցումներից:</w:t>
      </w:r>
    </w:p>
    <w:p w14:paraId="6C10E9A8"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Տեսչական ստուգում անցկացնելու անհրաժեշտության վերաբերյալ որոշումը կայացվում է Կանոններում ներկայացված կրիտիկական գործոնների համակցության հիման վրա՝ հաշվի առնելով ողջ գրանցման դոսյեի գնահատականը: Կրիտիկական գործոնների ցանկը սպառիչ չէ, յուրաքանչյուր </w:t>
      </w:r>
      <w:r w:rsidRPr="003B2786">
        <w:rPr>
          <w:rFonts w:ascii="Sylfaen" w:hAnsi="Sylfaen"/>
          <w:sz w:val="24"/>
          <w:szCs w:val="24"/>
        </w:rPr>
        <w:lastRenderedPageBreak/>
        <w:t>գործոնի նշանակալիությունը Եվրասիական տնտեսական հանձնաժողովի կողմից հաստատվող՝ Եվրասիական տնտեսական միության Պատշաճ կլինիկական գործունեության կանոններին համապատասխանության արտապլանային տեսչական ստուգում անցկացնելու վերաբերյալ որոշում կայացնելու մասով կարող է էականորեն տարբերվել՝ կախված մի շարք գործոններից:</w:t>
      </w:r>
    </w:p>
    <w:p w14:paraId="5FE0D0B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w:t>
      </w:r>
    </w:p>
    <w:p w14:paraId="4EB49C2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դիմել ազգային դեղագործական տեսչություն,</w:t>
      </w:r>
    </w:p>
    <w:p w14:paraId="01D6840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տեսչության հետ միասին որոշել տեսչական ստուգում անցկացնելու հետ առնչություն ունեցող հետազոտությունները, օբյեկտներն ու սպեցիֆիկ հարցերը կամ խնդիրները,</w:t>
      </w:r>
    </w:p>
    <w:p w14:paraId="1D945C9C"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պատրաստել տեսչական ստուգում անցկացնելու վերաբերյալ պաշտոնական հարցում, որը ներկայացվում է տեսուչների քննությանը </w:t>
      </w:r>
      <w:r w:rsidR="00C54D75">
        <w:rPr>
          <w:rFonts w:ascii="Sylfaen" w:hAnsi="Sylfaen"/>
          <w:sz w:val="24"/>
          <w:szCs w:val="24"/>
        </w:rPr>
        <w:t>և</w:t>
      </w:r>
      <w:r w:rsidRPr="003B2786">
        <w:rPr>
          <w:rFonts w:ascii="Sylfaen" w:hAnsi="Sylfaen"/>
          <w:sz w:val="24"/>
          <w:szCs w:val="24"/>
        </w:rPr>
        <w:t xml:space="preserve"> անդամ պետությունների լիազորված տեսչական կազմակերպությունների հետ հետագա համաձայնեցմանը, որից հետո հարցումը հաստատվում է լիազորված մարմինների կողմից </w:t>
      </w:r>
      <w:r w:rsidR="00C54D75">
        <w:rPr>
          <w:rFonts w:ascii="Sylfaen" w:hAnsi="Sylfaen"/>
          <w:sz w:val="24"/>
          <w:szCs w:val="24"/>
        </w:rPr>
        <w:t>և</w:t>
      </w:r>
      <w:r w:rsidRPr="003B2786">
        <w:rPr>
          <w:rFonts w:ascii="Sylfaen" w:hAnsi="Sylfaen"/>
          <w:sz w:val="24"/>
          <w:szCs w:val="24"/>
        </w:rPr>
        <w:t xml:space="preserve"> ներառվում է տեսչական ստուգումների պլանի մեջ (90 կամ 120 օր): </w:t>
      </w:r>
    </w:p>
    <w:p w14:paraId="5FB19281"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Տեսչական ստուգում անցկացնելու անհրաժեշտությունը պայմանավորող գործոնների վերաբերյալ մանրամասն տեղեկատվությունը բերված է Կանոններում </w:t>
      </w:r>
      <w:r w:rsidR="00C54D75">
        <w:rPr>
          <w:rFonts w:ascii="Sylfaen" w:hAnsi="Sylfaen"/>
          <w:sz w:val="24"/>
          <w:szCs w:val="24"/>
        </w:rPr>
        <w:t>և</w:t>
      </w:r>
      <w:r w:rsidRPr="003B2786">
        <w:rPr>
          <w:rFonts w:ascii="Sylfaen" w:hAnsi="Sylfaen"/>
          <w:sz w:val="24"/>
          <w:szCs w:val="24"/>
        </w:rPr>
        <w:t xml:space="preserve"> Եվրասիական տնտեսական միության Դեղագործական տեսչական ստուգումների անցկացման կանոններում:</w:t>
      </w:r>
    </w:p>
    <w:p w14:paraId="3A4E5ACC"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Հազվադեպ կիրառվող («որբ») դեղապատրաստուկների դասին պատկանելու վերաբերյալ տվյալները:</w:t>
      </w:r>
    </w:p>
    <w:p w14:paraId="6AFE083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Հարկավոր է նշել, եթե կապված պատրաստուկի կիրառման ցուցումների հետ դրան կարող է տրվել հազվադեպ կիրառվող («որբ») պատրաստուկի կարգավիճակ: Հարկավոր է նշել որպես այդպիսին դրա կիրառման ցուցումները </w:t>
      </w:r>
      <w:r w:rsidR="00C54D75">
        <w:rPr>
          <w:rFonts w:ascii="Sylfaen" w:hAnsi="Sylfaen"/>
          <w:sz w:val="24"/>
          <w:szCs w:val="24"/>
        </w:rPr>
        <w:t>և</w:t>
      </w:r>
      <w:r w:rsidRPr="003B2786">
        <w:rPr>
          <w:rFonts w:ascii="Sylfaen" w:hAnsi="Sylfaen"/>
          <w:sz w:val="24"/>
          <w:szCs w:val="24"/>
        </w:rPr>
        <w:t xml:space="preserve"> տվյալ </w:t>
      </w:r>
      <w:r w:rsidRPr="003B2786">
        <w:rPr>
          <w:rFonts w:ascii="Sylfaen" w:hAnsi="Sylfaen"/>
          <w:sz w:val="24"/>
          <w:szCs w:val="24"/>
        </w:rPr>
        <w:lastRenderedPageBreak/>
        <w:t>պատրաստուկով բուժման ենթակա հիվանդության տարածվածությունը (ըստ անդամ պետությունների պաշտոնական վիճակագրության տվյալների կամ անդամ պետություններում հաստատված հազվադեպ հանդիպող («որբ») հիվանդությունների պաշտոնական ցանկերի):</w:t>
      </w:r>
    </w:p>
    <w:p w14:paraId="2E8E2A7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Համապատասխան դեպքերում հարկավոր է բերել սույն ձ</w:t>
      </w:r>
      <w:r w:rsidR="00C54D75">
        <w:rPr>
          <w:rFonts w:ascii="Sylfaen" w:hAnsi="Sylfaen"/>
          <w:sz w:val="24"/>
          <w:szCs w:val="24"/>
        </w:rPr>
        <w:t>և</w:t>
      </w:r>
      <w:r w:rsidRPr="003B2786">
        <w:rPr>
          <w:rFonts w:ascii="Sylfaen" w:hAnsi="Sylfaen"/>
          <w:sz w:val="24"/>
          <w:szCs w:val="24"/>
        </w:rPr>
        <w:t xml:space="preserve">ակերպումը՝ «Համաձայն տվյալների (նշել աղբյուրը)՝ </w:t>
      </w:r>
    </w:p>
    <w:p w14:paraId="1EFF836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հիվանդության (նշել հիվանդությունը) տարածվածությունը անդամ պետությունում (նշել պետությունը) կազմում է (թիվը) 10 000 մարդու հաշվով»:</w:t>
      </w:r>
    </w:p>
    <w:p w14:paraId="4B5FCE8B" w14:textId="079D0ABC" w:rsidR="008C76E0" w:rsidRPr="003B2786" w:rsidRDefault="008C76E0" w:rsidP="008E1F21">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հատուկ ուշադրություն դարձնի հազվադեպ կիրառվող («որբ») պատրաստուկի </w:t>
      </w:r>
      <w:r w:rsidR="0056496B">
        <w:rPr>
          <w:rFonts w:ascii="Sylfaen" w:hAnsi="Sylfaen"/>
          <w:sz w:val="24"/>
          <w:szCs w:val="24"/>
        </w:rPr>
        <w:t>դիմում</w:t>
      </w:r>
      <w:r w:rsidRPr="003B2786">
        <w:rPr>
          <w:rFonts w:ascii="Sylfaen" w:hAnsi="Sylfaen"/>
          <w:sz w:val="24"/>
          <w:szCs w:val="24"/>
        </w:rPr>
        <w:t xml:space="preserve">ի վերլուծությանը՝ հաշվի առնելով հիվանդության հազվադեպության աստիճանը </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 xml:space="preserve">ի կողմից առաջարկվող կիրառման ցուցումները: </w:t>
      </w:r>
    </w:p>
    <w:p w14:paraId="35838E14"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p>
    <w:p w14:paraId="12EE581B" w14:textId="77777777" w:rsidR="008C76E0" w:rsidRPr="003B2786" w:rsidRDefault="008C76E0" w:rsidP="008E1F21">
      <w:pPr>
        <w:tabs>
          <w:tab w:val="left" w:pos="1418"/>
        </w:tabs>
        <w:spacing w:after="160" w:line="360" w:lineRule="auto"/>
        <w:ind w:right="-1" w:firstLine="567"/>
        <w:jc w:val="center"/>
        <w:rPr>
          <w:rFonts w:ascii="Sylfaen" w:hAnsi="Sylfaen"/>
          <w:sz w:val="24"/>
          <w:szCs w:val="24"/>
        </w:rPr>
      </w:pPr>
      <w:r w:rsidRPr="003B2786">
        <w:rPr>
          <w:rFonts w:ascii="Sylfaen" w:hAnsi="Sylfaen"/>
          <w:sz w:val="24"/>
          <w:szCs w:val="24"/>
        </w:rPr>
        <w:t>2. Կլինիկական դեղաբանություն:</w:t>
      </w:r>
    </w:p>
    <w:p w14:paraId="5CB6B82F"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Դեղակինետիկա:</w:t>
      </w:r>
    </w:p>
    <w:p w14:paraId="68C4BBA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Ներածություն:</w:t>
      </w:r>
    </w:p>
    <w:p w14:paraId="5E5F50E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ներկայացնել համառոտ տեղեկատու տեղեկատվություն՝ հետազոտության բովանդակային պլանի (օրինակ՝ խաչաձ</w:t>
      </w:r>
      <w:r w:rsidR="00C54D75">
        <w:rPr>
          <w:rFonts w:ascii="Sylfaen" w:hAnsi="Sylfaen"/>
          <w:sz w:val="24"/>
          <w:szCs w:val="24"/>
        </w:rPr>
        <w:t>և</w:t>
      </w:r>
      <w:r w:rsidRPr="003B2786">
        <w:rPr>
          <w:rFonts w:ascii="Sylfaen" w:hAnsi="Sylfaen"/>
          <w:sz w:val="24"/>
          <w:szCs w:val="24"/>
        </w:rPr>
        <w:t xml:space="preserve"> կլնիկական հետազոտություն (դեղակինետիկայի հետազոտություն) բնակչության կոնկրետ խմբի շրջանում), տարբեր հետազոտությունների մեջ ներգրավված պացիենտների (առողջ կամավորների) թվի </w:t>
      </w:r>
      <w:r w:rsidR="00C54D75">
        <w:rPr>
          <w:rFonts w:ascii="Sylfaen" w:hAnsi="Sylfaen"/>
          <w:sz w:val="24"/>
          <w:szCs w:val="24"/>
        </w:rPr>
        <w:t>և</w:t>
      </w:r>
      <w:r w:rsidRPr="003B2786">
        <w:rPr>
          <w:rFonts w:ascii="Sylfaen" w:hAnsi="Sylfaen"/>
          <w:sz w:val="24"/>
          <w:szCs w:val="24"/>
        </w:rPr>
        <w:t xml:space="preserve"> բնութագրերի վերաբերյալ՝ օգտագործվող վալիդացված կենսավերլուծական մեթոդիկաների համառոտ նկարագրությամբ: Որպես կանոն, գնահատելիս օգտագործվում են առողջ կամավորների, ինչպես նա</w:t>
      </w:r>
      <w:r w:rsidR="00C54D75">
        <w:rPr>
          <w:rFonts w:ascii="Sylfaen" w:hAnsi="Sylfaen"/>
          <w:sz w:val="24"/>
          <w:szCs w:val="24"/>
        </w:rPr>
        <w:t>և</w:t>
      </w:r>
      <w:r w:rsidRPr="003B2786">
        <w:rPr>
          <w:rFonts w:ascii="Sylfaen" w:hAnsi="Sylfaen"/>
          <w:sz w:val="24"/>
          <w:szCs w:val="24"/>
        </w:rPr>
        <w:t xml:space="preserve"> պացիենտների շրջանում դեղակինետիկայի տվյալները:</w:t>
      </w:r>
    </w:p>
    <w:p w14:paraId="09AE9A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Մեկնաբանե՛ք տվյալ կոնկրետ պատրաստուկի նկատմամբ պահանջները (օրինակ՝ նոր քիմիական միացության մասով՝ դեղակինետիկայի վերաբերյալ </w:t>
      </w:r>
      <w:r w:rsidRPr="003B2786">
        <w:rPr>
          <w:rFonts w:ascii="Sylfaen" w:hAnsi="Sylfaen"/>
          <w:sz w:val="24"/>
          <w:szCs w:val="24"/>
        </w:rPr>
        <w:lastRenderedPageBreak/>
        <w:t>փաստաթղթերի ամբողջական փաթեթը), ինչպես նա</w:t>
      </w:r>
      <w:r w:rsidR="00C54D75">
        <w:rPr>
          <w:rFonts w:ascii="Sylfaen" w:hAnsi="Sylfaen"/>
          <w:sz w:val="24"/>
          <w:szCs w:val="24"/>
        </w:rPr>
        <w:t>և</w:t>
      </w:r>
      <w:r w:rsidRPr="003B2786">
        <w:rPr>
          <w:rFonts w:ascii="Sylfaen" w:hAnsi="Sylfaen"/>
          <w:sz w:val="24"/>
          <w:szCs w:val="24"/>
        </w:rPr>
        <w:t xml:space="preserve"> կլինիկական ամփոփագրի որակը (մասնագետի եզրակացությունը 2-րդ մոդուլում է) </w:t>
      </w:r>
      <w:r w:rsidR="00C54D75">
        <w:rPr>
          <w:rFonts w:ascii="Sylfaen" w:hAnsi="Sylfaen"/>
          <w:sz w:val="24"/>
          <w:szCs w:val="24"/>
        </w:rPr>
        <w:t>և</w:t>
      </w:r>
      <w:r w:rsidRPr="003B2786">
        <w:rPr>
          <w:rFonts w:ascii="Sylfaen" w:hAnsi="Sylfaen"/>
          <w:sz w:val="24"/>
          <w:szCs w:val="24"/>
        </w:rPr>
        <w:t xml:space="preserve"> դեղապատրաստուկի դեղակինետիկ հետազոտությունների համապատասխանությունը Եվրասիական տնտեսական հանձնաժողովի կողմից հաստատվող՝ Եվրասիական տնտեսական միության Պատշաճ կլինիկական գործունեության կանոններին:</w:t>
      </w:r>
    </w:p>
    <w:p w14:paraId="0A6868BA"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Մասնավորապես, հարկավոր է նշել երեխաների (ինչպես նա</w:t>
      </w:r>
      <w:r w:rsidR="00C54D75">
        <w:rPr>
          <w:rFonts w:ascii="Sylfaen" w:hAnsi="Sylfaen"/>
          <w:sz w:val="24"/>
          <w:szCs w:val="24"/>
        </w:rPr>
        <w:t>և</w:t>
      </w:r>
      <w:r w:rsidRPr="003B2786">
        <w:rPr>
          <w:rFonts w:ascii="Sylfaen" w:hAnsi="Sylfaen"/>
          <w:sz w:val="24"/>
          <w:szCs w:val="24"/>
        </w:rPr>
        <w:t xml:space="preserve"> բնակչության հատուկ խմբերի) շրջանում պատրաստուկի դեղակինետիկ հետազոտության արդյունքների առկայությունը:</w:t>
      </w:r>
    </w:p>
    <w:p w14:paraId="62866276"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յուրաքանչյուր բաժին </w:t>
      </w:r>
      <w:r w:rsidR="00C54D75">
        <w:rPr>
          <w:rFonts w:ascii="Sylfaen" w:hAnsi="Sylfaen"/>
          <w:sz w:val="24"/>
          <w:szCs w:val="24"/>
        </w:rPr>
        <w:t>և</w:t>
      </w:r>
      <w:r w:rsidRPr="003B2786">
        <w:rPr>
          <w:rFonts w:ascii="Sylfaen" w:hAnsi="Sylfaen"/>
          <w:sz w:val="24"/>
          <w:szCs w:val="24"/>
        </w:rPr>
        <w:t xml:space="preserve"> ենթաբաժին պետք է պարունակի 2 կետ՝</w:t>
      </w:r>
    </w:p>
    <w:p w14:paraId="587C403A"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r>
      <w:r w:rsidRPr="003B2786">
        <w:rPr>
          <w:rFonts w:ascii="Sylfaen" w:hAnsi="Sylfaen"/>
          <w:spacing w:val="-6"/>
          <w:sz w:val="24"/>
          <w:szCs w:val="24"/>
        </w:rPr>
        <w:t>հետազոտության փորձարարական արդյունքները (ԳԴ-ի 5.3.1, 5.3.2, 5.3.3 մոդուլների համապատասխան ենթաբաժինների տվյալները, ինչպես նա</w:t>
      </w:r>
      <w:r w:rsidR="00C54D75">
        <w:rPr>
          <w:rFonts w:ascii="Sylfaen" w:hAnsi="Sylfaen"/>
          <w:spacing w:val="-6"/>
          <w:sz w:val="24"/>
          <w:szCs w:val="24"/>
        </w:rPr>
        <w:t>և</w:t>
      </w:r>
      <w:r w:rsidRPr="003B2786">
        <w:rPr>
          <w:rFonts w:ascii="Sylfaen" w:hAnsi="Sylfaen"/>
          <w:spacing w:val="-6"/>
          <w:sz w:val="24"/>
          <w:szCs w:val="24"/>
        </w:rPr>
        <w:t xml:space="preserve"> 5.3.4 մոդուլում պարունակվող ՖԿ/ՖԴ հետազոտությունների տվյալները), նախընտրելի է աղյուսակի տեսքով</w:t>
      </w:r>
      <w:r w:rsidRPr="003B2786">
        <w:rPr>
          <w:rFonts w:ascii="Sylfaen" w:hAnsi="Sylfaen"/>
          <w:sz w:val="24"/>
          <w:szCs w:val="24"/>
        </w:rPr>
        <w:t xml:space="preserve"> (կլինիկական հետազոտությունների ամփոփագրերին (2.7 մոդուլ), առանձին հաշվետվություններին կամ 2-րդ մոդուլի աղյուսակին հղմամբ), </w:t>
      </w:r>
    </w:p>
    <w:p w14:paraId="31B8D879" w14:textId="77777777" w:rsidR="008C76E0" w:rsidRPr="003B2786" w:rsidRDefault="008C76E0" w:rsidP="00F97BCA">
      <w:pPr>
        <w:tabs>
          <w:tab w:val="left" w:pos="1134"/>
        </w:tabs>
        <w:spacing w:after="160" w:line="336"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փորձագետի դիտողությունները՝ դրանց անհրաժեշտության դեպքում: </w:t>
      </w:r>
    </w:p>
    <w:p w14:paraId="1B5566E9"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Պատրաստուկի հետազոտված տարբեր դեղակինետիկ պարամետրերը սույն բաժնում կարող են ներառվել մեկ ընդհանուր ամփոփ աղյուսակում: Պատրաստուկի տարբեր դեղակինետիկ պարամետրերի վերաբերյալ մեկնաբանությունները կարող են պարունակել խաչաձ</w:t>
      </w:r>
      <w:r w:rsidR="00C54D75">
        <w:rPr>
          <w:rFonts w:ascii="Sylfaen" w:hAnsi="Sylfaen"/>
          <w:sz w:val="24"/>
          <w:szCs w:val="24"/>
        </w:rPr>
        <w:t>և</w:t>
      </w:r>
      <w:r w:rsidRPr="003B2786">
        <w:rPr>
          <w:rFonts w:ascii="Sylfaen" w:hAnsi="Sylfaen"/>
          <w:sz w:val="24"/>
          <w:szCs w:val="24"/>
        </w:rPr>
        <w:t xml:space="preserve"> հղումներ տվյալ աղյուսակին:</w:t>
      </w:r>
    </w:p>
    <w:p w14:paraId="3659C107"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Կախված հավելվածի տեսակից՝ «Դեղակինետիկա» բաժնի ենթավերնագրերը կարող են հանվել կամ փոփոխվել՝ կախված հանգամանքներից:</w:t>
      </w:r>
    </w:p>
    <w:p w14:paraId="2C4EEEDA" w14:textId="77777777" w:rsidR="008C76E0" w:rsidRPr="003B2786" w:rsidRDefault="008C76E0" w:rsidP="00F97BCA">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Կենսահամանման (կենսանման) դեղապատրաստուկների գրանցման դոսյեների փորձաքննության մասով հարկավոր է առաջնորդվել Կանոնների թիվ 1 հավելվածով </w:t>
      </w:r>
      <w:r w:rsidR="00C54D75">
        <w:rPr>
          <w:rFonts w:ascii="Sylfaen" w:hAnsi="Sylfaen"/>
          <w:sz w:val="24"/>
          <w:szCs w:val="24"/>
        </w:rPr>
        <w:t>և</w:t>
      </w:r>
      <w:r w:rsidRPr="003B2786">
        <w:rPr>
          <w:rFonts w:ascii="Sylfaen" w:hAnsi="Sylfaen"/>
          <w:sz w:val="24"/>
          <w:szCs w:val="24"/>
        </w:rPr>
        <w:t xml:space="preserve"> Եվրասիական տնտեսական հանձնաժողովի կողմից հաստատվող՝ Կենսաբանական դեղամիջոցների հետազոտության կանոններով:</w:t>
      </w:r>
    </w:p>
    <w:p w14:paraId="6B2DFBB5"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Կլինիկական համադրելիության գնահատումը փուլային ընթացակարգ է, որը պետք է սկսվի դեղակինետիկայի (ՖԿ-ի) </w:t>
      </w:r>
      <w:r w:rsidR="00C54D75">
        <w:rPr>
          <w:rFonts w:ascii="Sylfaen" w:hAnsi="Sylfaen"/>
          <w:sz w:val="24"/>
          <w:szCs w:val="24"/>
        </w:rPr>
        <w:t>և</w:t>
      </w:r>
      <w:r w:rsidRPr="003B2786">
        <w:rPr>
          <w:rFonts w:ascii="Sylfaen" w:hAnsi="Sylfaen"/>
          <w:sz w:val="24"/>
          <w:szCs w:val="24"/>
        </w:rPr>
        <w:t xml:space="preserve"> դեղադինամիկայի (ՖԴ-ի) համեմատական հետազոտություններից </w:t>
      </w:r>
      <w:r w:rsidR="00C54D75">
        <w:rPr>
          <w:rFonts w:ascii="Sylfaen" w:hAnsi="Sylfaen"/>
          <w:sz w:val="24"/>
          <w:szCs w:val="24"/>
        </w:rPr>
        <w:t>և</w:t>
      </w:r>
      <w:r w:rsidRPr="003B2786">
        <w:rPr>
          <w:rFonts w:ascii="Sylfaen" w:hAnsi="Sylfaen"/>
          <w:sz w:val="24"/>
          <w:szCs w:val="24"/>
        </w:rPr>
        <w:t xml:space="preserve"> ավարտվի արդյունավետության համեմատական կլինիկական հետազոտություններով՝ Միության տարածքում գրանցված ընտրված ռեֆերենտ</w:t>
      </w:r>
      <w:r w:rsidRPr="003B2786" w:rsidDel="008C67E8">
        <w:rPr>
          <w:rFonts w:ascii="Sylfaen" w:hAnsi="Sylfaen"/>
          <w:sz w:val="24"/>
          <w:szCs w:val="24"/>
        </w:rPr>
        <w:t xml:space="preserve"> </w:t>
      </w:r>
      <w:r w:rsidRPr="003B2786">
        <w:rPr>
          <w:rFonts w:ascii="Sylfaen" w:hAnsi="Sylfaen"/>
          <w:sz w:val="24"/>
          <w:szCs w:val="24"/>
        </w:rPr>
        <w:t xml:space="preserve">դեղապատրաստուկի օգտագործմամբ: </w:t>
      </w:r>
    </w:p>
    <w:p w14:paraId="5E1E38C7"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Որոշակի դեպքերում (օրինակ՝ օրիգինալ պատրաստուկի լրացուցիչ դեղաձ</w:t>
      </w:r>
      <w:r w:rsidR="00C54D75">
        <w:rPr>
          <w:rFonts w:ascii="Sylfaen" w:hAnsi="Sylfaen"/>
          <w:sz w:val="24"/>
          <w:szCs w:val="24"/>
        </w:rPr>
        <w:t>և</w:t>
      </w:r>
      <w:r w:rsidRPr="003B2786">
        <w:rPr>
          <w:rFonts w:ascii="Sylfaen" w:hAnsi="Sylfaen"/>
          <w:sz w:val="24"/>
          <w:szCs w:val="24"/>
        </w:rPr>
        <w:t>ը գրանցելիս) բավական կլինի ներկայացնել պատրաստուկների ՖԿ/ՖԴ-ի հետազոտության տվյալները՝ դրանց թերապ</w:t>
      </w:r>
      <w:r w:rsidR="00C54D75">
        <w:rPr>
          <w:rFonts w:ascii="Sylfaen" w:hAnsi="Sylfaen"/>
          <w:sz w:val="24"/>
          <w:szCs w:val="24"/>
        </w:rPr>
        <w:t>և</w:t>
      </w:r>
      <w:r w:rsidRPr="003B2786">
        <w:rPr>
          <w:rFonts w:ascii="Sylfaen" w:hAnsi="Sylfaen"/>
          <w:sz w:val="24"/>
          <w:szCs w:val="24"/>
        </w:rPr>
        <w:t>տիկ կենսահամարժեքությունը հաստատելու համար:</w:t>
      </w:r>
    </w:p>
    <w:p w14:paraId="4875050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Մեթոդները:</w:t>
      </w:r>
    </w:p>
    <w:p w14:paraId="4C4EDC79"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2.1.2.1.</w:t>
      </w:r>
      <w:r w:rsidRPr="003B2786">
        <w:rPr>
          <w:rFonts w:ascii="Sylfaen" w:hAnsi="Sylfaen"/>
          <w:sz w:val="24"/>
          <w:szCs w:val="24"/>
        </w:rPr>
        <w:tab/>
        <w:t>Վերլուծական մեթոդներն ու մեթոդիկաները:</w:t>
      </w:r>
    </w:p>
    <w:p w14:paraId="086CDC43"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Օգտագործվող վերլուծական մեթոդների համառոտ նկարագրությունը՝ շեշտը դնելով վերլուծության վալիդացման արդյունավետության </w:t>
      </w:r>
      <w:r w:rsidR="00C54D75">
        <w:rPr>
          <w:rFonts w:ascii="Sylfaen" w:hAnsi="Sylfaen"/>
          <w:sz w:val="24"/>
          <w:szCs w:val="24"/>
        </w:rPr>
        <w:t>և</w:t>
      </w:r>
      <w:r w:rsidRPr="003B2786">
        <w:rPr>
          <w:rFonts w:ascii="Sylfaen" w:hAnsi="Sylfaen"/>
          <w:sz w:val="24"/>
          <w:szCs w:val="24"/>
        </w:rPr>
        <w:t xml:space="preserve"> որակի հսկողության բնութագրերի վրա:</w:t>
      </w:r>
    </w:p>
    <w:p w14:paraId="534AA2B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2.1.2.2.</w:t>
      </w:r>
      <w:r w:rsidRPr="003B2786">
        <w:rPr>
          <w:rFonts w:ascii="Sylfaen" w:hAnsi="Sylfaen"/>
          <w:sz w:val="24"/>
          <w:szCs w:val="24"/>
        </w:rPr>
        <w:tab/>
        <w:t>Դեղակինետիկ տվյալների վերլուծությունը:</w:t>
      </w:r>
    </w:p>
    <w:p w14:paraId="715074E2"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Դեղակինետիկայի վերլուծության մեթոդների համառոտ նկարագրությունը: </w:t>
      </w:r>
    </w:p>
    <w:p w14:paraId="36A0E35C"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2.1.2.3.</w:t>
      </w:r>
      <w:r w:rsidRPr="003B2786">
        <w:rPr>
          <w:rFonts w:ascii="Sylfaen" w:hAnsi="Sylfaen"/>
          <w:sz w:val="24"/>
          <w:szCs w:val="24"/>
        </w:rPr>
        <w:tab/>
        <w:t>Վիճակագրական վերլուծությունը:</w:t>
      </w:r>
    </w:p>
    <w:p w14:paraId="553F1191"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Վիճակագրական վերլուծության մեթոդների համառոտ նկարագրությունը:</w:t>
      </w:r>
    </w:p>
    <w:p w14:paraId="6F91DD03"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Կլանումը:</w:t>
      </w:r>
    </w:p>
    <w:p w14:paraId="49D8A729" w14:textId="77777777" w:rsidR="008C76E0" w:rsidRPr="003B2786" w:rsidRDefault="008C76E0" w:rsidP="008E1F21">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Գրանցման դոսյեի 5.3.1-5.3.3 մոդուլներում (անհրաժեշտության դեպքում, որտեղ կիրառելի է) հարկավոր է աղյուսակի տեսքով արտացոլել հետազոտությունների տվյալները (օրինակ՝ ներծծման արագությունը </w:t>
      </w:r>
      <w:r w:rsidR="00C54D75">
        <w:rPr>
          <w:rFonts w:ascii="Sylfaen" w:hAnsi="Sylfaen"/>
          <w:sz w:val="24"/>
          <w:szCs w:val="24"/>
        </w:rPr>
        <w:t>և</w:t>
      </w:r>
      <w:r w:rsidRPr="003B2786">
        <w:rPr>
          <w:rFonts w:ascii="Sylfaen" w:hAnsi="Sylfaen"/>
          <w:sz w:val="24"/>
          <w:szCs w:val="24"/>
        </w:rPr>
        <w:t xml:space="preserve"> աստիճանը, ակտիվ փոխադրող սպիտակուցների մասնակցությունը ներծծման գործընթացին): </w:t>
      </w:r>
    </w:p>
    <w:p w14:paraId="1791BF7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2.1.3.1.</w:t>
      </w:r>
      <w:r w:rsidRPr="003B2786">
        <w:rPr>
          <w:rFonts w:ascii="Sylfaen" w:hAnsi="Sylfaen"/>
          <w:sz w:val="24"/>
          <w:szCs w:val="24"/>
        </w:rPr>
        <w:tab/>
        <w:t>Կենսամատչելիությունը:</w:t>
      </w:r>
    </w:p>
    <w:p w14:paraId="4D6AFD7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Գրանցման դոսյեի 5.3.1.1 մոդուլի տվյալներն արտացոլում են կենսադեղագործական հետազոտությունների վերաբերյալ հաշվետվությունների տվյալները: Բացարձակ </w:t>
      </w:r>
      <w:r w:rsidR="00C54D75">
        <w:rPr>
          <w:rFonts w:ascii="Sylfaen" w:hAnsi="Sylfaen"/>
          <w:sz w:val="24"/>
          <w:szCs w:val="24"/>
        </w:rPr>
        <w:t>և</w:t>
      </w:r>
      <w:r w:rsidRPr="003B2786">
        <w:rPr>
          <w:rFonts w:ascii="Sylfaen" w:hAnsi="Sylfaen"/>
          <w:sz w:val="24"/>
          <w:szCs w:val="24"/>
        </w:rPr>
        <w:t xml:space="preserve"> հարաբերական կենսամատչելիություն:</w:t>
      </w:r>
    </w:p>
    <w:p w14:paraId="1C8A91C7" w14:textId="77777777" w:rsidR="008C76E0" w:rsidRPr="003B2786" w:rsidRDefault="008C76E0" w:rsidP="008E1F21">
      <w:pPr>
        <w:tabs>
          <w:tab w:val="left" w:pos="1560"/>
          <w:tab w:val="left" w:pos="1701"/>
        </w:tabs>
        <w:spacing w:after="160" w:line="360" w:lineRule="auto"/>
        <w:ind w:firstLine="567"/>
        <w:jc w:val="both"/>
        <w:rPr>
          <w:rFonts w:ascii="Sylfaen" w:hAnsi="Sylfaen"/>
          <w:sz w:val="24"/>
          <w:szCs w:val="24"/>
        </w:rPr>
      </w:pPr>
      <w:r w:rsidRPr="003B2786">
        <w:rPr>
          <w:rFonts w:ascii="Sylfaen" w:hAnsi="Sylfaen"/>
          <w:sz w:val="24"/>
          <w:szCs w:val="24"/>
        </w:rPr>
        <w:t>Փորձագետի մեկնաբանությունը՝ գնահատման վերաբերյալ:</w:t>
      </w:r>
    </w:p>
    <w:p w14:paraId="0B074714"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2.1.3.2.</w:t>
      </w:r>
      <w:r w:rsidRPr="003B2786">
        <w:rPr>
          <w:rFonts w:ascii="Sylfaen" w:hAnsi="Sylfaen"/>
          <w:sz w:val="24"/>
          <w:szCs w:val="24"/>
        </w:rPr>
        <w:tab/>
        <w:t>Կենսահամարժեքությունը:</w:t>
      </w:r>
    </w:p>
    <w:p w14:paraId="313E7E3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Կլինիկական հետազոտություններում օգտագործվող դեղաձ</w:t>
      </w:r>
      <w:r w:rsidR="00C54D75">
        <w:rPr>
          <w:rFonts w:ascii="Sylfaen" w:hAnsi="Sylfaen"/>
          <w:sz w:val="24"/>
          <w:szCs w:val="24"/>
        </w:rPr>
        <w:t>և</w:t>
      </w:r>
      <w:r w:rsidRPr="003B2786">
        <w:rPr>
          <w:rFonts w:ascii="Sylfaen" w:hAnsi="Sylfaen"/>
          <w:sz w:val="24"/>
          <w:szCs w:val="24"/>
        </w:rPr>
        <w:t xml:space="preserve">երի կենսահամարժեքության </w:t>
      </w:r>
      <w:r w:rsidR="00C54D75">
        <w:rPr>
          <w:rFonts w:ascii="Sylfaen" w:hAnsi="Sylfaen"/>
          <w:sz w:val="24"/>
          <w:szCs w:val="24"/>
        </w:rPr>
        <w:t>և</w:t>
      </w:r>
      <w:r w:rsidRPr="003B2786">
        <w:rPr>
          <w:rFonts w:ascii="Sylfaen" w:hAnsi="Sylfaen"/>
          <w:sz w:val="24"/>
          <w:szCs w:val="24"/>
        </w:rPr>
        <w:t xml:space="preserve"> շուկայում իրացման ենթակա վերջնական դեղաձ</w:t>
      </w:r>
      <w:r w:rsidR="00C54D75">
        <w:rPr>
          <w:rFonts w:ascii="Sylfaen" w:hAnsi="Sylfaen"/>
          <w:sz w:val="24"/>
          <w:szCs w:val="24"/>
        </w:rPr>
        <w:t>և</w:t>
      </w:r>
      <w:r w:rsidRPr="003B2786">
        <w:rPr>
          <w:rFonts w:ascii="Sylfaen" w:hAnsi="Sylfaen"/>
          <w:sz w:val="24"/>
          <w:szCs w:val="24"/>
        </w:rPr>
        <w:t xml:space="preserve">ի հետազոտությունների տվյալները: </w:t>
      </w:r>
    </w:p>
    <w:p w14:paraId="457BF2EB" w14:textId="77777777" w:rsidR="008C76E0" w:rsidRPr="003B2786" w:rsidRDefault="008C76E0" w:rsidP="00262653">
      <w:pPr>
        <w:tabs>
          <w:tab w:val="left" w:pos="1560"/>
        </w:tabs>
        <w:spacing w:after="160" w:line="384" w:lineRule="auto"/>
        <w:ind w:right="-1" w:firstLine="567"/>
        <w:jc w:val="both"/>
        <w:rPr>
          <w:rFonts w:ascii="Sylfaen" w:hAnsi="Sylfaen"/>
          <w:sz w:val="24"/>
          <w:szCs w:val="24"/>
        </w:rPr>
      </w:pPr>
      <w:r w:rsidRPr="003B2786">
        <w:rPr>
          <w:rFonts w:ascii="Sylfaen" w:hAnsi="Sylfaen"/>
          <w:sz w:val="24"/>
          <w:szCs w:val="24"/>
        </w:rPr>
        <w:t xml:space="preserve">Հարկավոր է հղում կատարել մշակման փուլում արտադրական փոփոխությունների </w:t>
      </w:r>
      <w:r w:rsidR="00C54D75">
        <w:rPr>
          <w:rFonts w:ascii="Sylfaen" w:hAnsi="Sylfaen"/>
          <w:sz w:val="24"/>
          <w:szCs w:val="24"/>
        </w:rPr>
        <w:t>և</w:t>
      </w:r>
      <w:r w:rsidRPr="003B2786">
        <w:rPr>
          <w:rFonts w:ascii="Sylfaen" w:hAnsi="Sylfaen"/>
          <w:sz w:val="24"/>
          <w:szCs w:val="24"/>
        </w:rPr>
        <w:t xml:space="preserve"> կլինիկական փորձարկումների համար նախատեսված դեղաձ</w:t>
      </w:r>
      <w:r w:rsidR="00C54D75">
        <w:rPr>
          <w:rFonts w:ascii="Sylfaen" w:hAnsi="Sylfaen"/>
          <w:sz w:val="24"/>
          <w:szCs w:val="24"/>
        </w:rPr>
        <w:t>և</w:t>
      </w:r>
      <w:r w:rsidRPr="003B2786">
        <w:rPr>
          <w:rFonts w:ascii="Sylfaen" w:hAnsi="Sylfaen"/>
          <w:sz w:val="24"/>
          <w:szCs w:val="24"/>
        </w:rPr>
        <w:t xml:space="preserve">երի </w:t>
      </w:r>
      <w:r w:rsidR="00C54D75">
        <w:rPr>
          <w:rFonts w:ascii="Sylfaen" w:hAnsi="Sylfaen"/>
          <w:sz w:val="24"/>
          <w:szCs w:val="24"/>
        </w:rPr>
        <w:t>և</w:t>
      </w:r>
      <w:r w:rsidRPr="003B2786">
        <w:rPr>
          <w:rFonts w:ascii="Sylfaen" w:hAnsi="Sylfaen"/>
          <w:sz w:val="24"/>
          <w:szCs w:val="24"/>
        </w:rPr>
        <w:t xml:space="preserve"> շուկայում իրացման համար նախատեսված պատրաստի արտադրանքի միջ</w:t>
      </w:r>
      <w:r w:rsidR="00C54D75">
        <w:rPr>
          <w:rFonts w:ascii="Sylfaen" w:hAnsi="Sylfaen"/>
          <w:sz w:val="24"/>
          <w:szCs w:val="24"/>
        </w:rPr>
        <w:t>և</w:t>
      </w:r>
      <w:r w:rsidRPr="003B2786">
        <w:rPr>
          <w:rFonts w:ascii="Sylfaen" w:hAnsi="Sylfaen"/>
          <w:sz w:val="24"/>
          <w:szCs w:val="24"/>
        </w:rPr>
        <w:t xml:space="preserve"> փոփոխությունների հիմնավորման վերաբերյալ համարժեքության վերլուծության համար անցկացված կենսահամարժեքության հետազոտություններին:</w:t>
      </w:r>
    </w:p>
    <w:p w14:paraId="3F230866"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Կենսաբանական կամ կենսատեխնոլոգիական պատրաստուկների մասով սույն բաժնում պետք է նա</w:t>
      </w:r>
      <w:r w:rsidR="00C54D75">
        <w:rPr>
          <w:rFonts w:ascii="Sylfaen" w:hAnsi="Sylfaen"/>
          <w:sz w:val="24"/>
          <w:szCs w:val="24"/>
        </w:rPr>
        <w:t>և</w:t>
      </w:r>
      <w:r w:rsidRPr="003B2786">
        <w:rPr>
          <w:rFonts w:ascii="Sylfaen" w:hAnsi="Sylfaen"/>
          <w:sz w:val="24"/>
          <w:szCs w:val="24"/>
        </w:rPr>
        <w:t xml:space="preserve"> պարունակվեն խաչաձ</w:t>
      </w:r>
      <w:r w:rsidR="00C54D75">
        <w:rPr>
          <w:rFonts w:ascii="Sylfaen" w:hAnsi="Sylfaen"/>
          <w:sz w:val="24"/>
          <w:szCs w:val="24"/>
        </w:rPr>
        <w:t>և</w:t>
      </w:r>
      <w:r w:rsidRPr="003B2786">
        <w:rPr>
          <w:rFonts w:ascii="Sylfaen" w:hAnsi="Sylfaen"/>
          <w:sz w:val="24"/>
          <w:szCs w:val="24"/>
        </w:rPr>
        <w:t xml:space="preserve"> հղումներ նախակլինիկական </w:t>
      </w:r>
      <w:r w:rsidR="00C54D75">
        <w:rPr>
          <w:rFonts w:ascii="Sylfaen" w:hAnsi="Sylfaen"/>
          <w:sz w:val="24"/>
          <w:szCs w:val="24"/>
        </w:rPr>
        <w:t>և</w:t>
      </w:r>
      <w:r w:rsidRPr="003B2786">
        <w:rPr>
          <w:rFonts w:ascii="Sylfaen" w:hAnsi="Sylfaen"/>
          <w:sz w:val="24"/>
          <w:szCs w:val="24"/>
        </w:rPr>
        <w:t xml:space="preserve"> գործառնական վերլուծության տվյալներին: </w:t>
      </w:r>
    </w:p>
    <w:p w14:paraId="3E060187"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ՖԿ-ի՝ կենսաբանորեն համանման դեղամիջոցի </w:t>
      </w:r>
      <w:r w:rsidR="00C54D75">
        <w:rPr>
          <w:rFonts w:ascii="Sylfaen" w:hAnsi="Sylfaen"/>
          <w:sz w:val="24"/>
          <w:szCs w:val="24"/>
        </w:rPr>
        <w:t>և</w:t>
      </w:r>
      <w:r w:rsidRPr="003B2786">
        <w:rPr>
          <w:rFonts w:ascii="Sylfaen" w:hAnsi="Sylfaen"/>
          <w:sz w:val="24"/>
          <w:szCs w:val="24"/>
        </w:rPr>
        <w:t xml:space="preserve"> չափանմուշային պատրաստուկի ՖԿ-ների առանցքային պարամետրերի համարժեքության աստիճանի մասին վկայող համեմատական հետազոտություններն ընդհանուր համեմատական գնահատման անքակտելի մասն են:</w:t>
      </w:r>
    </w:p>
    <w:p w14:paraId="07757508" w14:textId="77777777"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Պետք է նշվի (կլինիկական փորձարկումներում օգտագործված) պատրաստուկի անունը՝ Միության տարածքում պատրաստուկի իրացման թույլտվության վերաբերյալ պարզաբանմամբ:</w:t>
      </w:r>
    </w:p>
    <w:p w14:paraId="40177758"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2.1.4.</w:t>
      </w:r>
      <w:r w:rsidRPr="003B2786">
        <w:rPr>
          <w:rFonts w:ascii="Sylfaen" w:hAnsi="Sylfaen"/>
          <w:sz w:val="24"/>
          <w:szCs w:val="24"/>
        </w:rPr>
        <w:tab/>
        <w:t>Բաշխումը:</w:t>
      </w:r>
    </w:p>
    <w:p w14:paraId="5F4A30BA"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Բաշխման ծավալը, սպիտակուցների հետ կապակցման տվյալները՝ լաբորատոր </w:t>
      </w:r>
      <w:r w:rsidR="00C54D75">
        <w:rPr>
          <w:rFonts w:ascii="Sylfaen" w:hAnsi="Sylfaen"/>
          <w:sz w:val="24"/>
          <w:szCs w:val="24"/>
        </w:rPr>
        <w:t>և</w:t>
      </w:r>
      <w:r w:rsidRPr="003B2786">
        <w:rPr>
          <w:rFonts w:ascii="Sylfaen" w:hAnsi="Sylfaen"/>
          <w:sz w:val="24"/>
          <w:szCs w:val="24"/>
        </w:rPr>
        <w:t xml:space="preserve"> բնականոն պայմաններում անալիզի դեպքում, տեղեկություններ՝ հյուսվածքներում բաշխման վերաբերյալ, ինչպես նա</w:t>
      </w:r>
      <w:r w:rsidR="00C54D75">
        <w:rPr>
          <w:rFonts w:ascii="Sylfaen" w:hAnsi="Sylfaen"/>
          <w:sz w:val="24"/>
          <w:szCs w:val="24"/>
        </w:rPr>
        <w:t>և</w:t>
      </w:r>
      <w:r w:rsidRPr="003B2786">
        <w:rPr>
          <w:rFonts w:ascii="Sylfaen" w:hAnsi="Sylfaen"/>
          <w:sz w:val="24"/>
          <w:szCs w:val="24"/>
        </w:rPr>
        <w:t xml:space="preserve"> էրիթրոցիտների քանակի հաշվարկի տվյալները:</w:t>
      </w:r>
    </w:p>
    <w:p w14:paraId="3C3C2D88"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w:t>
      </w:r>
      <w:r w:rsidRPr="003B2786">
        <w:rPr>
          <w:rFonts w:ascii="Sylfaen" w:hAnsi="Sylfaen"/>
          <w:sz w:val="24"/>
          <w:szCs w:val="24"/>
        </w:rPr>
        <w:tab/>
        <w:t>Վերացումը:</w:t>
      </w:r>
    </w:p>
    <w:p w14:paraId="6BAB8BB3"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դուրսբերման ճանապարհը (նյութափոխանակություն, դուրսբերում՝ ռենալ (երիկամային) կամ բիլիար (լեղատար) ուղիներով), կլիրենսը, կիսատրոհման ժամանակահատվածը:</w:t>
      </w:r>
    </w:p>
    <w:p w14:paraId="2F1B554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2.1.5.1.</w:t>
      </w:r>
      <w:r w:rsidRPr="003B2786">
        <w:rPr>
          <w:rFonts w:ascii="Sylfaen" w:hAnsi="Sylfaen"/>
          <w:sz w:val="24"/>
          <w:szCs w:val="24"/>
        </w:rPr>
        <w:tab/>
        <w:t>Արտազատումը:</w:t>
      </w:r>
    </w:p>
    <w:p w14:paraId="46A44DCE"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Օրգանիզմից արգասիքի արտազատման ուղիները: Օրգանիզմից անփոփոխ տեսքով արտազատվող արգասիքի մասնաբաժինը: Ակտիվ փոխադրող սպիտակուցների մասնակցությունը երիկամային ճանապարհով արգասիքներն արտազատելիս:</w:t>
      </w:r>
    </w:p>
    <w:p w14:paraId="2849A1B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2.1.5.2.</w:t>
      </w:r>
      <w:r w:rsidRPr="003B2786">
        <w:rPr>
          <w:rFonts w:ascii="Sylfaen" w:hAnsi="Sylfaen"/>
          <w:sz w:val="24"/>
          <w:szCs w:val="24"/>
        </w:rPr>
        <w:tab/>
        <w:t>Մետաբոլիզմը:</w:t>
      </w:r>
    </w:p>
    <w:p w14:paraId="2BCDC711"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Մետաբոլիտների նույնականացումը, մետաբոլիզմի աստիճանը, մետաբոլիզմի ուղիները, մետաբոլիզմին մասնակցող ֆերմենտները: Մետաբոլիտների մասնակցությունը դեղի ազդեցությանը: Լաբորատոր </w:t>
      </w:r>
      <w:r w:rsidR="00C54D75">
        <w:rPr>
          <w:rFonts w:ascii="Sylfaen" w:hAnsi="Sylfaen"/>
          <w:sz w:val="24"/>
          <w:szCs w:val="24"/>
        </w:rPr>
        <w:t>և</w:t>
      </w:r>
      <w:r w:rsidRPr="003B2786">
        <w:rPr>
          <w:rFonts w:ascii="Sylfaen" w:hAnsi="Sylfaen"/>
          <w:sz w:val="24"/>
          <w:szCs w:val="24"/>
        </w:rPr>
        <w:t xml:space="preserve"> բնական պայմաններում հետազոտությունների տվյալները:</w:t>
      </w:r>
    </w:p>
    <w:p w14:paraId="105AABFF"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2.1.5.3.</w:t>
      </w:r>
      <w:r w:rsidRPr="003B2786">
        <w:rPr>
          <w:rFonts w:ascii="Sylfaen" w:hAnsi="Sylfaen"/>
          <w:sz w:val="24"/>
          <w:szCs w:val="24"/>
        </w:rPr>
        <w:tab/>
        <w:t>Փոխադարձ փոխակերպումները:</w:t>
      </w:r>
    </w:p>
    <w:p w14:paraId="018520C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Արդի քիրալային նյութերի առումով:</w:t>
      </w:r>
    </w:p>
    <w:p w14:paraId="6B47C656"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2.1.5.4.</w:t>
      </w:r>
      <w:r w:rsidRPr="003B2786">
        <w:rPr>
          <w:rFonts w:ascii="Sylfaen" w:hAnsi="Sylfaen"/>
          <w:sz w:val="24"/>
          <w:szCs w:val="24"/>
        </w:rPr>
        <w:tab/>
        <w:t>Մետաբոլիտների դեղակինետիկան:</w:t>
      </w:r>
    </w:p>
    <w:p w14:paraId="3B90D31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Ակտիվ մետաբոլիտների </w:t>
      </w:r>
      <w:r w:rsidR="00C54D75">
        <w:rPr>
          <w:rFonts w:ascii="Sylfaen" w:hAnsi="Sylfaen"/>
          <w:sz w:val="24"/>
          <w:szCs w:val="24"/>
        </w:rPr>
        <w:t>և</w:t>
      </w:r>
      <w:r w:rsidRPr="003B2786">
        <w:rPr>
          <w:rFonts w:ascii="Sylfaen" w:hAnsi="Sylfaen"/>
          <w:sz w:val="24"/>
          <w:szCs w:val="24"/>
        </w:rPr>
        <w:t xml:space="preserve"> առկայության դեպքում՝ ոչ ակտիվ մետաբոլիտների դեղակինետիկային վերաբերող տեղեկատվություն:</w:t>
      </w:r>
    </w:p>
    <w:p w14:paraId="3DFF1CDB"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2.1.5.5.</w:t>
      </w:r>
      <w:r w:rsidRPr="003B2786">
        <w:rPr>
          <w:rFonts w:ascii="Sylfaen" w:hAnsi="Sylfaen"/>
          <w:sz w:val="24"/>
          <w:szCs w:val="24"/>
        </w:rPr>
        <w:tab/>
        <w:t>Հնարավոր գենետիկական պոլիմորֆիզմի հետ</w:t>
      </w:r>
      <w:r w:rsidR="00C54D75">
        <w:rPr>
          <w:rFonts w:ascii="Sylfaen" w:hAnsi="Sylfaen"/>
          <w:sz w:val="24"/>
          <w:szCs w:val="24"/>
        </w:rPr>
        <w:t>և</w:t>
      </w:r>
      <w:r w:rsidRPr="003B2786">
        <w:rPr>
          <w:rFonts w:ascii="Sylfaen" w:hAnsi="Sylfaen"/>
          <w:sz w:val="24"/>
          <w:szCs w:val="24"/>
        </w:rPr>
        <w:t>անքները:</w:t>
      </w:r>
    </w:p>
    <w:p w14:paraId="7F02CEED"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Հետ</w:t>
      </w:r>
      <w:r w:rsidR="00C54D75">
        <w:rPr>
          <w:rFonts w:ascii="Sylfaen" w:hAnsi="Sylfaen"/>
          <w:sz w:val="24"/>
          <w:szCs w:val="24"/>
        </w:rPr>
        <w:t>և</w:t>
      </w:r>
      <w:r w:rsidRPr="003B2786">
        <w:rPr>
          <w:rFonts w:ascii="Sylfaen" w:hAnsi="Sylfaen"/>
          <w:sz w:val="24"/>
          <w:szCs w:val="24"/>
        </w:rPr>
        <w:t>անքների գնահատումը, եթե նյութափոխանակությանը մասնակցում են</w:t>
      </w:r>
    </w:p>
    <w:p w14:paraId="29C96458" w14:textId="77777777" w:rsidR="008C76E0" w:rsidRPr="003B2786" w:rsidRDefault="008C76E0" w:rsidP="008E1F21">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ֆերմենտների պոլիմորֆ ձ</w:t>
      </w:r>
      <w:r w:rsidR="00C54D75">
        <w:rPr>
          <w:rFonts w:ascii="Sylfaen" w:hAnsi="Sylfaen"/>
          <w:sz w:val="24"/>
          <w:szCs w:val="24"/>
        </w:rPr>
        <w:t>և</w:t>
      </w:r>
      <w:r w:rsidRPr="003B2786">
        <w:rPr>
          <w:rFonts w:ascii="Sylfaen" w:hAnsi="Sylfaen"/>
          <w:sz w:val="24"/>
          <w:szCs w:val="24"/>
        </w:rPr>
        <w:t xml:space="preserve">երը (օրինակ՝ CYP2D6-ի, CYP2C19-ի, </w:t>
      </w:r>
      <w:r>
        <w:rPr>
          <w:rFonts w:ascii="Sylfaen" w:hAnsi="Sylfaen"/>
          <w:sz w:val="24"/>
          <w:szCs w:val="24"/>
        </w:rPr>
        <w:br/>
      </w:r>
      <w:r w:rsidRPr="003B2786">
        <w:rPr>
          <w:rFonts w:ascii="Sylfaen" w:hAnsi="Sylfaen"/>
          <w:sz w:val="24"/>
          <w:szCs w:val="24"/>
        </w:rPr>
        <w:t xml:space="preserve">N-ացետիլի): </w:t>
      </w:r>
    </w:p>
    <w:p w14:paraId="2E1B3C64"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w:t>
      </w:r>
      <w:r w:rsidRPr="003B2786">
        <w:rPr>
          <w:rFonts w:ascii="Sylfaen" w:hAnsi="Sylfaen"/>
          <w:sz w:val="24"/>
          <w:szCs w:val="24"/>
        </w:rPr>
        <w:tab/>
        <w:t xml:space="preserve">Դեղաչափերի համամասնությունը </w:t>
      </w:r>
      <w:r w:rsidR="00C54D75">
        <w:rPr>
          <w:rFonts w:ascii="Sylfaen" w:hAnsi="Sylfaen"/>
          <w:sz w:val="24"/>
          <w:szCs w:val="24"/>
        </w:rPr>
        <w:t>և</w:t>
      </w:r>
      <w:r w:rsidRPr="003B2786">
        <w:rPr>
          <w:rFonts w:ascii="Sylfaen" w:hAnsi="Sylfaen"/>
          <w:sz w:val="24"/>
          <w:szCs w:val="24"/>
        </w:rPr>
        <w:t xml:space="preserve"> ժամանակավոր կախվածությունը:</w:t>
      </w:r>
    </w:p>
    <w:p w14:paraId="65E8998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2.1.6.1.</w:t>
      </w:r>
      <w:r w:rsidRPr="003B2786">
        <w:rPr>
          <w:rFonts w:ascii="Sylfaen" w:hAnsi="Sylfaen"/>
          <w:sz w:val="24"/>
          <w:szCs w:val="24"/>
        </w:rPr>
        <w:tab/>
        <w:t>Դեղաչափի համամասնությունը:</w:t>
      </w:r>
    </w:p>
    <w:p w14:paraId="27578C2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Դեղաչափի համամասնությունը դեղաչափի մեկանգամյա ներմուծումից հետո </w:t>
      </w:r>
      <w:r w:rsidR="00C54D75">
        <w:rPr>
          <w:rFonts w:ascii="Sylfaen" w:hAnsi="Sylfaen"/>
          <w:sz w:val="24"/>
          <w:szCs w:val="24"/>
        </w:rPr>
        <w:t>և</w:t>
      </w:r>
      <w:r w:rsidRPr="003B2786">
        <w:rPr>
          <w:rFonts w:ascii="Sylfaen" w:hAnsi="Sylfaen"/>
          <w:sz w:val="24"/>
          <w:szCs w:val="24"/>
        </w:rPr>
        <w:t xml:space="preserve"> հավասարակշիռ խտությունում:</w:t>
      </w:r>
    </w:p>
    <w:p w14:paraId="64A90E35"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2.1.6.2.</w:t>
      </w:r>
      <w:r w:rsidRPr="003B2786">
        <w:rPr>
          <w:rFonts w:ascii="Sylfaen" w:hAnsi="Sylfaen"/>
          <w:sz w:val="24"/>
          <w:szCs w:val="24"/>
        </w:rPr>
        <w:tab/>
        <w:t>Ժամանակավոր կախվածությունը:</w:t>
      </w:r>
    </w:p>
    <w:p w14:paraId="4492F71F"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Համակարգային ազդեցությունը թերապ</w:t>
      </w:r>
      <w:r w:rsidR="00C54D75">
        <w:rPr>
          <w:rFonts w:ascii="Sylfaen" w:hAnsi="Sylfaen"/>
          <w:sz w:val="24"/>
          <w:szCs w:val="24"/>
        </w:rPr>
        <w:t>և</w:t>
      </w:r>
      <w:r w:rsidRPr="003B2786">
        <w:rPr>
          <w:rFonts w:ascii="Sylfaen" w:hAnsi="Sylfaen"/>
          <w:sz w:val="24"/>
          <w:szCs w:val="24"/>
        </w:rPr>
        <w:t xml:space="preserve">տիկ դեղաչափի մեկանգամյա </w:t>
      </w:r>
      <w:r w:rsidR="00C54D75">
        <w:rPr>
          <w:rFonts w:ascii="Sylfaen" w:hAnsi="Sylfaen"/>
          <w:sz w:val="24"/>
          <w:szCs w:val="24"/>
        </w:rPr>
        <w:t>և</w:t>
      </w:r>
      <w:r w:rsidRPr="003B2786">
        <w:rPr>
          <w:rFonts w:ascii="Sylfaen" w:hAnsi="Sylfaen"/>
          <w:sz w:val="24"/>
          <w:szCs w:val="24"/>
        </w:rPr>
        <w:t xml:space="preserve"> բազմակի ներմուծումից հետո </w:t>
      </w:r>
      <w:r w:rsidR="00C54D75">
        <w:rPr>
          <w:rFonts w:ascii="Sylfaen" w:hAnsi="Sylfaen"/>
          <w:sz w:val="24"/>
          <w:szCs w:val="24"/>
        </w:rPr>
        <w:t>և</w:t>
      </w:r>
      <w:r w:rsidRPr="003B2786">
        <w:rPr>
          <w:rFonts w:ascii="Sylfaen" w:hAnsi="Sylfaen"/>
          <w:sz w:val="24"/>
          <w:szCs w:val="24"/>
        </w:rPr>
        <w:t xml:space="preserve"> ժամանակավոր կախվածության գնահատումը:</w:t>
      </w:r>
    </w:p>
    <w:p w14:paraId="551F415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2.1.7.</w:t>
      </w:r>
      <w:r w:rsidRPr="003B2786">
        <w:rPr>
          <w:rFonts w:ascii="Sylfaen" w:hAnsi="Sylfaen"/>
          <w:sz w:val="24"/>
          <w:szCs w:val="24"/>
        </w:rPr>
        <w:tab/>
        <w:t xml:space="preserve">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փոփոխականությունը:</w:t>
      </w:r>
    </w:p>
    <w:p w14:paraId="2B1B9C93"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Դեղակինետիկայի պարամետրերի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(նախընտրելի է բնակչության թիրախային խմբի շրջանում): Ներանհատական </w:t>
      </w:r>
      <w:r w:rsidR="00C54D75">
        <w:rPr>
          <w:rFonts w:ascii="Sylfaen" w:hAnsi="Sylfaen"/>
          <w:sz w:val="24"/>
          <w:szCs w:val="24"/>
        </w:rPr>
        <w:t>և</w:t>
      </w:r>
      <w:r w:rsidRPr="003B2786">
        <w:rPr>
          <w:rFonts w:ascii="Sylfaen" w:hAnsi="Sylfaen"/>
          <w:sz w:val="24"/>
          <w:szCs w:val="24"/>
        </w:rPr>
        <w:t xml:space="preserve"> միջանհատական փոփոխականության տվյալները կարելի է վերցնել բնակչության շրջանում դեղակինետիկայի վերլուծությունների ամփոփ արդյունքներից:</w:t>
      </w:r>
    </w:p>
    <w:p w14:paraId="5D527CAE"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2.1.8.</w:t>
      </w:r>
      <w:r w:rsidRPr="003B2786">
        <w:rPr>
          <w:rFonts w:ascii="Sylfaen" w:hAnsi="Sylfaen"/>
          <w:sz w:val="24"/>
          <w:szCs w:val="24"/>
        </w:rPr>
        <w:tab/>
        <w:t>Դեղակինետիկան թիրախային պոպուլյացիայի շրջանում:</w:t>
      </w:r>
    </w:p>
    <w:p w14:paraId="408611C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Ելակետային միացության </w:t>
      </w:r>
      <w:r w:rsidR="00C54D75">
        <w:rPr>
          <w:rFonts w:ascii="Sylfaen" w:hAnsi="Sylfaen"/>
          <w:sz w:val="24"/>
          <w:szCs w:val="24"/>
        </w:rPr>
        <w:t>և</w:t>
      </w:r>
      <w:r w:rsidRPr="003B2786">
        <w:rPr>
          <w:rFonts w:ascii="Sylfaen" w:hAnsi="Sylfaen"/>
          <w:sz w:val="24"/>
          <w:szCs w:val="24"/>
        </w:rPr>
        <w:t xml:space="preserve"> բնակչության թիրախային խմբի շրջանում ակտիվ մետաբոլիտների ՖԿ-ի վերաբերյալ հասանելի տվյալներ՝ հատուկ ուշադրություն դարձնելով առողջ կամավորների շրջանում տարբերությունների, այդ թվում՝ պացիենտների շրջանում փոփոխականության վրա: Բնակչության շրջանում պատրաստուկի ՖԿ-ի տվյալները, եթե այդպիսիք կան: </w:t>
      </w:r>
    </w:p>
    <w:p w14:paraId="7264CEB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Կախված տեղեկատվության ծավալից՝ բովանդակության մեջ կարող են ներառվել մի քանի ենթավերնագրեր:</w:t>
      </w:r>
    </w:p>
    <w:p w14:paraId="205B310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Եթե ՖԿ-ի տվյալները հիմնականում ստացվել են բնակչության թիրախային խմբի, այլ ոչ թե առողջ կամավորների շրջանում հետազոտության ժամանակ, </w:t>
      </w:r>
      <w:r w:rsidRPr="003B2786">
        <w:rPr>
          <w:rFonts w:ascii="Sylfaen" w:hAnsi="Sylfaen"/>
          <w:sz w:val="24"/>
          <w:szCs w:val="24"/>
        </w:rPr>
        <w:lastRenderedPageBreak/>
        <w:t>տվյալ բաժինն անհրաժեշտ է հանել, իսկ բնակչության թիրախային խմբի շրջանում պատրաստուկի դեղակինետիկայի վերաբերյալ տվյալներն անհրաժեշտ է ներկայացնել վեր</w:t>
      </w:r>
      <w:r w:rsidR="00C54D75">
        <w:rPr>
          <w:rFonts w:ascii="Sylfaen" w:hAnsi="Sylfaen"/>
          <w:sz w:val="24"/>
          <w:szCs w:val="24"/>
        </w:rPr>
        <w:t>և</w:t>
      </w:r>
      <w:r w:rsidRPr="003B2786">
        <w:rPr>
          <w:rFonts w:ascii="Sylfaen" w:hAnsi="Sylfaen"/>
          <w:sz w:val="24"/>
          <w:szCs w:val="24"/>
        </w:rPr>
        <w:t>ում:</w:t>
      </w:r>
    </w:p>
    <w:p w14:paraId="6573A3D7"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w:t>
      </w:r>
      <w:r w:rsidRPr="003B2786">
        <w:rPr>
          <w:rFonts w:ascii="Sylfaen" w:hAnsi="Sylfaen"/>
          <w:sz w:val="24"/>
          <w:szCs w:val="24"/>
        </w:rPr>
        <w:tab/>
        <w:t>Բնակչության հատուկ խմբերը:</w:t>
      </w:r>
    </w:p>
    <w:p w14:paraId="20615CF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Պետք է վերլուծել բնակչության հատուկ խմբերի շրջանում ելակետային դեղամիջոցի </w:t>
      </w:r>
      <w:r w:rsidR="00C54D75">
        <w:rPr>
          <w:rFonts w:ascii="Sylfaen" w:hAnsi="Sylfaen"/>
          <w:sz w:val="24"/>
          <w:szCs w:val="24"/>
        </w:rPr>
        <w:t>և</w:t>
      </w:r>
      <w:r w:rsidRPr="003B2786">
        <w:rPr>
          <w:rFonts w:ascii="Sylfaen" w:hAnsi="Sylfaen"/>
          <w:sz w:val="24"/>
          <w:szCs w:val="24"/>
        </w:rPr>
        <w:t xml:space="preserve"> ակտիվ մետաբոլիտների ՖԿ-ի հասանելի տվյալները:</w:t>
      </w:r>
    </w:p>
    <w:p w14:paraId="5237BB0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դոսյեի՝ ՖԿ-ի ներքին գործոնի հետազոտության վերաբերյալ հաշվետվության 5.3.3.3 մոդուլից, ինչպես նա</w:t>
      </w:r>
      <w:r w:rsidR="00C54D75">
        <w:rPr>
          <w:rFonts w:ascii="Sylfaen" w:hAnsi="Sylfaen"/>
          <w:sz w:val="24"/>
          <w:szCs w:val="24"/>
        </w:rPr>
        <w:t>և</w:t>
      </w:r>
      <w:r w:rsidRPr="003B2786">
        <w:rPr>
          <w:rFonts w:ascii="Sylfaen" w:hAnsi="Sylfaen"/>
          <w:sz w:val="24"/>
          <w:szCs w:val="24"/>
        </w:rPr>
        <w:t xml:space="preserve"> գրանցման դոսյեի՝ բնակչության շրջանում ՖԿ-ի հետազոտության վերաբերյալ հաշվետվության 5.3.3.5 մոդուլից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3F0FEDB0" w14:textId="24733680"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Այստեղ կարող են արտացոլվել տարբեր հետազոտությունների տվյալների ամփոփիչ վերլուծության արդյունքները, որոնք կարող են նպաստել դեղակինետիկայի տարբերությունները հասկանալուն՝ նշելով հնարավոր հետ</w:t>
      </w:r>
      <w:r w:rsidR="00C54D75">
        <w:rPr>
          <w:rFonts w:ascii="Sylfaen" w:hAnsi="Sylfaen"/>
          <w:sz w:val="24"/>
          <w:szCs w:val="24"/>
        </w:rPr>
        <w:t>և</w:t>
      </w:r>
      <w:r w:rsidRPr="003B2786">
        <w:rPr>
          <w:rFonts w:ascii="Sylfaen" w:hAnsi="Sylfaen"/>
          <w:sz w:val="24"/>
          <w:szCs w:val="24"/>
        </w:rPr>
        <w:t xml:space="preserve">անքների մասին </w:t>
      </w:r>
      <w:r w:rsidR="0011179D">
        <w:rPr>
          <w:rFonts w:ascii="Sylfaen" w:hAnsi="Sylfaen"/>
          <w:sz w:val="24"/>
          <w:szCs w:val="24"/>
        </w:rPr>
        <w:t>հայտարարություններ</w:t>
      </w:r>
      <w:r w:rsidRPr="003B2786">
        <w:rPr>
          <w:rFonts w:ascii="Sylfaen" w:hAnsi="Sylfaen"/>
          <w:sz w:val="24"/>
          <w:szCs w:val="24"/>
        </w:rPr>
        <w:t xml:space="preserve">ը: Տվյալ փոփոխությունները կարող են կապված լինել արտաքին կամ ներքին գործոնների հետ, ինչպիսիք են տարիքը, սեռը, ռասան, ծխելը, մետաբոլիկ պոլիմորֆիզմը, երիկամների ֆունկցիաները </w:t>
      </w:r>
      <w:r w:rsidR="00C54D75">
        <w:rPr>
          <w:rFonts w:ascii="Sylfaen" w:hAnsi="Sylfaen"/>
          <w:sz w:val="24"/>
          <w:szCs w:val="24"/>
        </w:rPr>
        <w:t>և</w:t>
      </w:r>
      <w:r w:rsidRPr="003B2786">
        <w:rPr>
          <w:rFonts w:ascii="Sylfaen" w:hAnsi="Sylfaen"/>
          <w:sz w:val="24"/>
          <w:szCs w:val="24"/>
        </w:rPr>
        <w:t xml:space="preserve"> երիկամային անբավարարությունը: Մետաբոլիկ պոլիմորֆիզմի հետ կապված տարբերակները պետք է նկարագրել </w:t>
      </w:r>
      <w:r w:rsidR="00C54D75">
        <w:rPr>
          <w:rFonts w:ascii="Sylfaen" w:hAnsi="Sylfaen"/>
          <w:sz w:val="24"/>
          <w:szCs w:val="24"/>
        </w:rPr>
        <w:t>և</w:t>
      </w:r>
      <w:r w:rsidRPr="003B2786">
        <w:rPr>
          <w:rFonts w:ascii="Sylfaen" w:hAnsi="Sylfaen"/>
          <w:sz w:val="24"/>
          <w:szCs w:val="24"/>
        </w:rPr>
        <w:t xml:space="preserve"> մեկնաբանել վեր</w:t>
      </w:r>
      <w:r w:rsidR="00C54D75">
        <w:rPr>
          <w:rFonts w:ascii="Sylfaen" w:hAnsi="Sylfaen"/>
          <w:sz w:val="24"/>
          <w:szCs w:val="24"/>
        </w:rPr>
        <w:t>և</w:t>
      </w:r>
      <w:r w:rsidRPr="003B2786">
        <w:rPr>
          <w:rFonts w:ascii="Sylfaen" w:hAnsi="Sylfaen"/>
          <w:sz w:val="24"/>
          <w:szCs w:val="24"/>
        </w:rPr>
        <w:t xml:space="preserve">ում՝ «Օրգանիզմից դուրսբերումը» կետում: Կախված հանգամանքներից՝ մանկական բնակչության մասով կարող են ներառվել մոդելավորման </w:t>
      </w:r>
      <w:r w:rsidR="00C54D75">
        <w:rPr>
          <w:rFonts w:ascii="Sylfaen" w:hAnsi="Sylfaen"/>
          <w:sz w:val="24"/>
          <w:szCs w:val="24"/>
        </w:rPr>
        <w:t>և</w:t>
      </w:r>
      <w:r w:rsidRPr="003B2786">
        <w:rPr>
          <w:rFonts w:ascii="Sylfaen" w:hAnsi="Sylfaen"/>
          <w:sz w:val="24"/>
          <w:szCs w:val="24"/>
        </w:rPr>
        <w:t xml:space="preserve"> սիմուլյացիայի տվյալները:</w:t>
      </w:r>
    </w:p>
    <w:p w14:paraId="611E5E77"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2.1.9.1.</w:t>
      </w:r>
      <w:r w:rsidRPr="003B2786">
        <w:rPr>
          <w:rFonts w:ascii="Sylfaen" w:hAnsi="Sylfaen"/>
          <w:sz w:val="24"/>
          <w:szCs w:val="24"/>
        </w:rPr>
        <w:tab/>
        <w:t>Տարեց մարդիկ:</w:t>
      </w:r>
    </w:p>
    <w:p w14:paraId="651AD9CA" w14:textId="1C989330" w:rsidR="008C76E0" w:rsidRPr="003B2786" w:rsidRDefault="008C76E0" w:rsidP="00262653">
      <w:pPr>
        <w:tabs>
          <w:tab w:val="left" w:pos="1560"/>
        </w:tabs>
        <w:spacing w:after="160" w:line="384" w:lineRule="auto"/>
        <w:ind w:firstLine="567"/>
        <w:jc w:val="both"/>
        <w:rPr>
          <w:rFonts w:ascii="Sylfaen" w:hAnsi="Sylfaen"/>
          <w:sz w:val="24"/>
          <w:szCs w:val="24"/>
        </w:rPr>
      </w:pPr>
      <w:r w:rsidRPr="003B2786">
        <w:rPr>
          <w:rFonts w:ascii="Sylfaen" w:hAnsi="Sylfaen"/>
          <w:sz w:val="24"/>
          <w:szCs w:val="24"/>
        </w:rPr>
        <w:t xml:space="preserve">Եթե նշված տվյալները հնարավոր չէ վերցնել </w:t>
      </w:r>
      <w:r w:rsidR="0056496B">
        <w:rPr>
          <w:rFonts w:ascii="Sylfaen" w:hAnsi="Sylfaen"/>
          <w:sz w:val="24"/>
          <w:szCs w:val="24"/>
        </w:rPr>
        <w:t>դիմում</w:t>
      </w:r>
      <w:r w:rsidRPr="003B2786">
        <w:rPr>
          <w:rFonts w:ascii="Sylfaen" w:hAnsi="Sylfaen"/>
          <w:sz w:val="24"/>
          <w:szCs w:val="24"/>
        </w:rPr>
        <w:t xml:space="preserve">ի նյութերից կամ </w:t>
      </w:r>
      <w:r w:rsidR="0056496B">
        <w:rPr>
          <w:rFonts w:ascii="Sylfaen" w:hAnsi="Sylfaen"/>
          <w:sz w:val="24"/>
          <w:szCs w:val="24"/>
        </w:rPr>
        <w:t>դիմումատու</w:t>
      </w:r>
      <w:r w:rsidRPr="003B2786">
        <w:rPr>
          <w:rFonts w:ascii="Sylfaen" w:hAnsi="Sylfaen"/>
          <w:sz w:val="24"/>
          <w:szCs w:val="24"/>
        </w:rPr>
        <w:t xml:space="preserve">ի կողմից </w:t>
      </w:r>
      <w:r w:rsidR="00003ABD">
        <w:rPr>
          <w:rFonts w:ascii="Sylfaen" w:hAnsi="Sylfaen"/>
          <w:sz w:val="24"/>
          <w:szCs w:val="24"/>
        </w:rPr>
        <w:t>հայտ</w:t>
      </w:r>
      <w:r w:rsidRPr="003B2786">
        <w:rPr>
          <w:rFonts w:ascii="Sylfaen" w:hAnsi="Sylfaen"/>
          <w:sz w:val="24"/>
          <w:szCs w:val="24"/>
        </w:rPr>
        <w:t xml:space="preserve">նած տարբեր տարիքային շեմերի դեպքում, ապա 120-րդ օրը ներկայացվող հաշվետվության հարցերի ցանկում առաջարկվում է ավելացնել հարցի տեսքով աղյուսակ: </w:t>
      </w:r>
    </w:p>
    <w:p w14:paraId="5221FD10"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Եթե հիվանդությունը տարածված է տարեց անձանց շրջանում, ապա պետք է ներկայացնել տարեց անձանց շրջանում ՖԿ-ի հետազոտությունների </w:t>
      </w:r>
      <w:r w:rsidR="00C54D75">
        <w:rPr>
          <w:rFonts w:ascii="Sylfaen" w:hAnsi="Sylfaen"/>
          <w:sz w:val="24"/>
          <w:szCs w:val="24"/>
        </w:rPr>
        <w:t>և</w:t>
      </w:r>
      <w:r w:rsidRPr="003B2786">
        <w:rPr>
          <w:rFonts w:ascii="Sylfaen" w:hAnsi="Sylfaen"/>
          <w:sz w:val="24"/>
          <w:szCs w:val="24"/>
        </w:rPr>
        <w:t xml:space="preserve"> պատահական ընտրանքի վերահսկվող կլինիկական հետազոտությունների որ</w:t>
      </w:r>
      <w:r w:rsidR="00C54D75">
        <w:rPr>
          <w:rFonts w:ascii="Sylfaen" w:hAnsi="Sylfaen"/>
          <w:sz w:val="24"/>
          <w:szCs w:val="24"/>
        </w:rPr>
        <w:t>և</w:t>
      </w:r>
      <w:r w:rsidRPr="003B2786">
        <w:rPr>
          <w:rFonts w:ascii="Sylfaen" w:hAnsi="Sylfaen"/>
          <w:sz w:val="24"/>
          <w:szCs w:val="24"/>
        </w:rPr>
        <w:t xml:space="preserve">է կոնկրետ տվյալ կամ հաստատել այդպիսի հետազոտություններ չանցկացնելու փաստը: </w:t>
      </w:r>
    </w:p>
    <w:p w14:paraId="7CF6311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Տարեց մարդկանց շրջանում ՖԿ-ի փոփոխության հավանականության դեպքում, օրինակ՝ կապված երիկամների ֆունկցիայի խանգարման հետ, հարկավոր է մեկնաբանել դեղաչափը ճշտելու անհրաժեշտությունը: </w:t>
      </w:r>
    </w:p>
    <w:p w14:paraId="0BC731B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2.1.9.2.</w:t>
      </w:r>
      <w:r w:rsidRPr="003B2786">
        <w:rPr>
          <w:rFonts w:ascii="Sylfaen" w:hAnsi="Sylfaen"/>
          <w:sz w:val="24"/>
          <w:szCs w:val="24"/>
        </w:rPr>
        <w:tab/>
        <w:t>Երեխաները:</w:t>
      </w:r>
    </w:p>
    <w:p w14:paraId="73CB80B6"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Ներկայացվում են փորձագետի ընդհանուր մեկնաբանությունները՝ բնակչության առանձին խմբերի շրջանում դեղակինետիկայի վերաբերյալ:</w:t>
      </w:r>
    </w:p>
    <w:p w14:paraId="6115C5A5"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Նշվում է, թե արդյոք բավարար չափով է նկարագրված ելակետային պատրաստուկի </w:t>
      </w:r>
      <w:r w:rsidR="00C54D75">
        <w:rPr>
          <w:rFonts w:ascii="Sylfaen" w:hAnsi="Sylfaen"/>
          <w:sz w:val="24"/>
          <w:szCs w:val="24"/>
        </w:rPr>
        <w:t>և</w:t>
      </w:r>
      <w:r w:rsidRPr="003B2786">
        <w:rPr>
          <w:rFonts w:ascii="Sylfaen" w:hAnsi="Sylfaen"/>
          <w:sz w:val="24"/>
          <w:szCs w:val="24"/>
        </w:rPr>
        <w:t xml:space="preserve"> ակտիվ մետաբոլիտների դեղակինետիկան բնակչության հատուկ խմբերի շրջանում:</w:t>
      </w:r>
    </w:p>
    <w:p w14:paraId="1B4C2AC7"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Արդյո՞ք բժշկական կիրառման դեղապատրաստուկի ընդհանուր բնութագրում ներառված է բավականաչափ տեղեկատվություն՝ բնակչության հատուկ խմբերի շրջանում դեղակինետիկայի վերաբերյալ, </w:t>
      </w:r>
      <w:r w:rsidR="00C54D75">
        <w:rPr>
          <w:rFonts w:ascii="Sylfaen" w:hAnsi="Sylfaen"/>
          <w:sz w:val="24"/>
          <w:szCs w:val="24"/>
        </w:rPr>
        <w:t>և</w:t>
      </w:r>
      <w:r w:rsidRPr="003B2786">
        <w:rPr>
          <w:rFonts w:ascii="Sylfaen" w:hAnsi="Sylfaen"/>
          <w:sz w:val="24"/>
          <w:szCs w:val="24"/>
        </w:rPr>
        <w:t xml:space="preserve"> արդյոք արտացոլված է տեղեկատվության հնարավոր բացակայությունը (սահմանափակումներ, նախազգուշական միջոցներ, դեղաչափի ճշտումներ): </w:t>
      </w:r>
    </w:p>
    <w:p w14:paraId="5411D3FB"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հարաբերակցությունը բնակչության հատուկ խմբերի համար սահմանափակումների, նախազգուշական միջոցների,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4AFE2D28" w14:textId="77777777" w:rsidR="008C76E0" w:rsidRPr="003B2786" w:rsidRDefault="008C76E0" w:rsidP="00262653">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2.1.10.</w:t>
      </w:r>
      <w:r w:rsidRPr="003B2786">
        <w:rPr>
          <w:rFonts w:ascii="Sylfaen" w:hAnsi="Sylfaen"/>
          <w:sz w:val="24"/>
          <w:szCs w:val="24"/>
        </w:rPr>
        <w:tab/>
        <w:t>Փոխազդեցությունները:</w:t>
      </w:r>
    </w:p>
    <w:p w14:paraId="141743BB"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Հետազոտության արդյունքների կրիտիկական ներկայացումը:</w:t>
      </w:r>
    </w:p>
    <w:p w14:paraId="5B8E1B7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Տվյալների առկայության դեպքում պետք է ներկայացնել դեղերի փոխազդեցությունների վերաբերյալ մեկնաբանություններ (տվյալները պետք է ներկայացվեն նախորդ բաժինների նման </w:t>
      </w:r>
      <w:r w:rsidR="00C54D75">
        <w:rPr>
          <w:rFonts w:ascii="Sylfaen" w:hAnsi="Sylfaen"/>
          <w:sz w:val="24"/>
          <w:szCs w:val="24"/>
        </w:rPr>
        <w:t>և</w:t>
      </w:r>
      <w:r w:rsidRPr="003B2786">
        <w:rPr>
          <w:rFonts w:ascii="Sylfaen" w:hAnsi="Sylfaen"/>
          <w:sz w:val="24"/>
          <w:szCs w:val="24"/>
        </w:rPr>
        <w:t xml:space="preserve"> կարող են ներառվել մեկ ընդհանուր ամփոփ աղյուսակում):</w:t>
      </w:r>
    </w:p>
    <w:p w14:paraId="75C1CAAC"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2.1.10.1.</w:t>
      </w:r>
      <w:r w:rsidRPr="003B2786">
        <w:rPr>
          <w:rFonts w:ascii="Sylfaen" w:hAnsi="Sylfaen"/>
          <w:sz w:val="24"/>
          <w:szCs w:val="24"/>
        </w:rPr>
        <w:tab/>
        <w:t>Լաբորատոր պայմաններում:</w:t>
      </w:r>
    </w:p>
    <w:p w14:paraId="26892C2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5.3.2՝ Մարդկային ծագման կենսանյութերի օգտագործմամբ հետազոտություններ լաբորատոր պայմաններում մոդուլից:</w:t>
      </w:r>
    </w:p>
    <w:p w14:paraId="776EF3BB"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2.1.10.2.</w:t>
      </w:r>
      <w:r w:rsidRPr="003B2786">
        <w:rPr>
          <w:rFonts w:ascii="Sylfaen" w:hAnsi="Sylfaen"/>
          <w:sz w:val="24"/>
          <w:szCs w:val="24"/>
        </w:rPr>
        <w:tab/>
        <w:t>Բնական պայմաններում:</w:t>
      </w:r>
    </w:p>
    <w:p w14:paraId="768955E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Տվյալներ՝ գրանցման հավաստագրի 5.3.3.4՝ ՖԿ-ի ներքին գործոնի հետազոտության վերաբերյալ հաշվետվություն մոդուլից:</w:t>
      </w:r>
    </w:p>
    <w:p w14:paraId="0DB15A42" w14:textId="77777777" w:rsidR="008C76E0" w:rsidRPr="003B2786" w:rsidRDefault="008C76E0" w:rsidP="008E1F21">
      <w:pPr>
        <w:pStyle w:val="ListParagraph"/>
        <w:numPr>
          <w:ilvl w:val="3"/>
          <w:numId w:val="4"/>
        </w:numPr>
        <w:tabs>
          <w:tab w:val="left" w:pos="1701"/>
        </w:tabs>
        <w:spacing w:after="160" w:line="360" w:lineRule="auto"/>
        <w:ind w:left="0" w:firstLine="567"/>
        <w:contextualSpacing w:val="0"/>
        <w:jc w:val="both"/>
        <w:rPr>
          <w:rFonts w:ascii="Sylfaen" w:hAnsi="Sylfaen"/>
          <w:sz w:val="24"/>
          <w:szCs w:val="24"/>
        </w:rPr>
      </w:pPr>
      <w:r w:rsidRPr="003B2786">
        <w:rPr>
          <w:rFonts w:ascii="Sylfaen" w:hAnsi="Sylfaen" w:cs="Arial"/>
          <w:sz w:val="24"/>
          <w:szCs w:val="24"/>
        </w:rPr>
        <w:t>Փորձագետի</w:t>
      </w:r>
      <w:r w:rsidRPr="003B2786">
        <w:rPr>
          <w:rFonts w:ascii="Sylfaen" w:hAnsi="Sylfaen"/>
          <w:sz w:val="24"/>
          <w:szCs w:val="24"/>
        </w:rPr>
        <w:t xml:space="preserve"> ընդհանուր մեկնաբանությունները՝ փոխազդեցության ասպեկտների վերաբերյալ:</w:t>
      </w:r>
    </w:p>
    <w:p w14:paraId="67E059A2"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Փոխազդեցության անցկացված հետազոտություններին վերաբերող մեկնաբանությունները:</w:t>
      </w:r>
    </w:p>
    <w:p w14:paraId="24DB9CE1"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Արդյո՞ք անցկացված հետազոտություններից համապատասխան եզրահանգումներ են արվել:</w:t>
      </w:r>
    </w:p>
    <w:p w14:paraId="181E3557"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Դեղամիջոցի համառոտ բնութագրում ներառված փոխազդեցությունների մասին տեղեկատվության վերաբերյալ մեկնաբանություններ (սահմանափակումներ, նախազգուշական միջոցներ, դեղաչափի ճշտում): Կար</w:t>
      </w:r>
      <w:r w:rsidR="00C54D75">
        <w:rPr>
          <w:rFonts w:ascii="Sylfaen" w:hAnsi="Sylfaen"/>
          <w:sz w:val="24"/>
          <w:szCs w:val="24"/>
        </w:rPr>
        <w:t>և</w:t>
      </w:r>
      <w:r w:rsidRPr="003B2786">
        <w:rPr>
          <w:rFonts w:ascii="Sylfaen" w:hAnsi="Sylfaen"/>
          <w:sz w:val="24"/>
          <w:szCs w:val="24"/>
        </w:rPr>
        <w:t xml:space="preserve">որ է հաշվի առնել ՖԿ/ՖԴ հարաբերակցությունն այլ դեղամիջոցների հետ համատեղ նշանակման դեպքում՝ սահմանափակումները, նախազգուշական միջոցները, դեղաչափի ճշտման անհրաժեշտությունը գնահատելիս: Անհրաժեշտ է հաշվի առնել խտություն-ազդեցություն </w:t>
      </w:r>
      <w:r w:rsidR="00C54D75">
        <w:rPr>
          <w:rFonts w:ascii="Sylfaen" w:hAnsi="Sylfaen"/>
          <w:sz w:val="24"/>
          <w:szCs w:val="24"/>
        </w:rPr>
        <w:t>և</w:t>
      </w:r>
      <w:r w:rsidRPr="003B2786">
        <w:rPr>
          <w:rFonts w:ascii="Sylfaen" w:hAnsi="Sylfaen"/>
          <w:sz w:val="24"/>
          <w:szCs w:val="24"/>
        </w:rPr>
        <w:t xml:space="preserve"> խտություն-անցանկալի ազդեցություն հարաբերակցությունները:</w:t>
      </w:r>
    </w:p>
    <w:p w14:paraId="59F0F6A9" w14:textId="7DF97C4B"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Հնարավոր այն փոխազդեցությունների </w:t>
      </w:r>
      <w:r w:rsidR="009B6AA0">
        <w:rPr>
          <w:rFonts w:ascii="Sylfaen" w:hAnsi="Sylfaen"/>
          <w:sz w:val="24"/>
          <w:szCs w:val="24"/>
        </w:rPr>
        <w:t>հայտն</w:t>
      </w:r>
      <w:r w:rsidRPr="003B2786">
        <w:rPr>
          <w:rFonts w:ascii="Sylfaen" w:hAnsi="Sylfaen"/>
          <w:sz w:val="24"/>
          <w:szCs w:val="24"/>
        </w:rPr>
        <w:t>աբերումը, օրինակ՝ ֆերմենտների (փոխանցողների) արգելակումը կամ ինդուկցիան (մակածումը), որոնք չեն ուսումնասիրվել լաբորատոր կամ բնական պայմաններում փոխազդեցության հետազոտություններում:</w:t>
      </w:r>
    </w:p>
    <w:p w14:paraId="0C33AA1C" w14:textId="0A45F254"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Ներծծման մակարդակում չուսումնասիրված հնարավոր փոխազդեցությունների </w:t>
      </w:r>
      <w:r w:rsidR="009B6AA0">
        <w:rPr>
          <w:rFonts w:ascii="Sylfaen" w:hAnsi="Sylfaen"/>
          <w:sz w:val="24"/>
          <w:szCs w:val="24"/>
        </w:rPr>
        <w:t>հայտնաբերում</w:t>
      </w:r>
      <w:r w:rsidRPr="003B2786">
        <w:rPr>
          <w:rFonts w:ascii="Sylfaen" w:hAnsi="Sylfaen"/>
          <w:sz w:val="24"/>
          <w:szCs w:val="24"/>
        </w:rPr>
        <w:t>:</w:t>
      </w:r>
    </w:p>
    <w:p w14:paraId="3511993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2.1.11.</w:t>
      </w:r>
      <w:r w:rsidRPr="003B2786">
        <w:rPr>
          <w:rFonts w:ascii="Sylfaen" w:hAnsi="Sylfaen"/>
          <w:sz w:val="24"/>
          <w:szCs w:val="24"/>
        </w:rPr>
        <w:tab/>
        <w:t>Անվտանգության գնահատման համար նշանակալի ազդեցությունը:</w:t>
      </w:r>
    </w:p>
    <w:p w14:paraId="7F2E95EF"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Ընդհանրացրե՛ք հավասարակշիռ խտության պայմաններում թիրախային պոպուլյացիայի շրջանում, ինչպես նա</w:t>
      </w:r>
      <w:r w:rsidR="00C54D75">
        <w:rPr>
          <w:rFonts w:ascii="Sylfaen" w:hAnsi="Sylfaen"/>
          <w:sz w:val="24"/>
          <w:szCs w:val="24"/>
        </w:rPr>
        <w:t>և</w:t>
      </w:r>
      <w:r w:rsidRPr="003B2786">
        <w:rPr>
          <w:rFonts w:ascii="Sylfaen" w:hAnsi="Sylfaen"/>
          <w:sz w:val="24"/>
          <w:szCs w:val="24"/>
        </w:rPr>
        <w:t xml:space="preserve"> անվտանգության մակարդակի նախակլինիկական գնահատման մեջ հետագայում օգտագործելու համար անվտանգության բարձր մակարդակ ունեցող բնակչության որոշակի խմբերի շրջանում անվտանգության պլանավորվող մակարդակի տվյալները:</w:t>
      </w:r>
    </w:p>
    <w:p w14:paraId="393AE750"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2.1.12.</w:t>
      </w:r>
      <w:r w:rsidRPr="003B2786">
        <w:rPr>
          <w:rFonts w:ascii="Sylfaen" w:hAnsi="Sylfaen"/>
          <w:sz w:val="24"/>
          <w:szCs w:val="24"/>
        </w:rPr>
        <w:tab/>
        <w:t>Փորձագետի ընդհանուր եզրակացությունը՝ դեղակինետիկայի վերաբերյալ:</w:t>
      </w:r>
    </w:p>
    <w:p w14:paraId="23C8BAB6"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«Անվտանգության, որակի, արդյունավետության գնահատում» փորձագիտական մոդուլ:</w:t>
      </w:r>
    </w:p>
    <w:p w14:paraId="66AF9901"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փորձագետի համակողմանի հասանելիությունն ապահովելու նպատակով:</w:t>
      </w:r>
    </w:p>
    <w:p w14:paraId="798DA0BD" w14:textId="16B0EE16"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Այս բաժնում գնահատման մասով փորձագետը պետք է առանձնացնի 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դեղակինետիկ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 </w:t>
      </w:r>
    </w:p>
    <w:p w14:paraId="495C69A5" w14:textId="2C647D4B"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Բացի այդ, տվյալ բաժնում դեղապատրաստուկի համառոտ բնութագրի մեջ պետք է բերվի դեղակինետիկ տեղեկատվության շարադրանքի բնույթի գնահատումը, </w:t>
      </w:r>
      <w:r w:rsidR="00C54D75">
        <w:rPr>
          <w:rFonts w:ascii="Sylfaen" w:hAnsi="Sylfaen"/>
          <w:sz w:val="24"/>
          <w:szCs w:val="24"/>
        </w:rPr>
        <w:t>և</w:t>
      </w:r>
      <w:r w:rsidRPr="003B2786">
        <w:rPr>
          <w:rFonts w:ascii="Sylfaen" w:hAnsi="Sylfaen"/>
          <w:sz w:val="24"/>
          <w:szCs w:val="24"/>
        </w:rPr>
        <w:t xml:space="preserve"> հատկապես պետք է պարունակվեն պատշաճ հիմնավորմամբ </w:t>
      </w:r>
      <w:r w:rsidR="0011179D">
        <w:rPr>
          <w:rFonts w:ascii="Sylfaen" w:hAnsi="Sylfaen"/>
          <w:sz w:val="24"/>
          <w:szCs w:val="24"/>
        </w:rPr>
        <w:t>հայտարարություններ</w:t>
      </w:r>
      <w:r w:rsidRPr="003B2786">
        <w:rPr>
          <w:rFonts w:ascii="Sylfaen" w:hAnsi="Sylfaen"/>
          <w:sz w:val="24"/>
          <w:szCs w:val="24"/>
        </w:rPr>
        <w:t xml:space="preserve">՝ ներկայացված դեղապատրաստուկի համառոտ բնութագրի համապատասխան բաժիններում: Գնահատման մասով փորձագետը պետք է մեկնաբանի բավականաչափ տեղեկատվության </w:t>
      </w:r>
      <w:r w:rsidR="00C54D75">
        <w:rPr>
          <w:rFonts w:ascii="Sylfaen" w:hAnsi="Sylfaen"/>
          <w:sz w:val="24"/>
          <w:szCs w:val="24"/>
        </w:rPr>
        <w:t>և</w:t>
      </w:r>
      <w:r w:rsidRPr="003B2786">
        <w:rPr>
          <w:rFonts w:ascii="Sylfaen" w:hAnsi="Sylfaen"/>
          <w:sz w:val="24"/>
          <w:szCs w:val="24"/>
        </w:rPr>
        <w:t xml:space="preserve"> (կամ) դեղապատրաստուկի ընդհանուր բնութագրում նախազգուշական միջոցների (սահմանափակումների) վերաբերյալ տեղեկությունների առկայությունը կամ բացակայությունը պացիենտների որոշակի խմբերի վերաբերյալ տեղեկատվության (երիկամային (լյարդի) անբավարարություն, երեխաներ, տարեց մարդիկ </w:t>
      </w:r>
      <w:r w:rsidR="00C54D75">
        <w:rPr>
          <w:rFonts w:ascii="Sylfaen" w:hAnsi="Sylfaen"/>
          <w:sz w:val="24"/>
          <w:szCs w:val="24"/>
        </w:rPr>
        <w:t>և</w:t>
      </w:r>
      <w:r w:rsidRPr="003B2786">
        <w:rPr>
          <w:rFonts w:ascii="Sylfaen" w:hAnsi="Sylfaen"/>
          <w:sz w:val="24"/>
          <w:szCs w:val="24"/>
        </w:rPr>
        <w:t xml:space="preserve"> այլն) բացակայության դեպքում:</w:t>
      </w:r>
    </w:p>
    <w:p w14:paraId="794DC9DC"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«Ամփոփիչ մոդուլի» տեքստն անհրաժեշտ կլինի մշակել առանձին:</w:t>
      </w:r>
    </w:p>
    <w:p w14:paraId="384604D8" w14:textId="77777777" w:rsidR="008C76E0" w:rsidRPr="003B2786" w:rsidRDefault="008C76E0" w:rsidP="008E1F21">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Ներկայացված դոսյեի մեջ առանձնացրե՛ք «Կլինիկական ամփոփում» բաժնի բովանդակության հետ համապատասխանության (անհամապատասխանության) ցանկացած ոլորտ:</w:t>
      </w:r>
    </w:p>
    <w:p w14:paraId="71349920" w14:textId="77777777" w:rsidR="008C76E0" w:rsidRPr="003B2786" w:rsidRDefault="008C76E0" w:rsidP="008E1F21">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2.2.</w:t>
      </w:r>
      <w:r w:rsidRPr="003B2786">
        <w:rPr>
          <w:rFonts w:ascii="Sylfaen" w:hAnsi="Sylfaen"/>
          <w:sz w:val="24"/>
          <w:szCs w:val="24"/>
        </w:rPr>
        <w:tab/>
        <w:t>Դեղադինամիկան:</w:t>
      </w:r>
    </w:p>
    <w:p w14:paraId="09E3457B"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t>Ներածությունը:</w:t>
      </w:r>
    </w:p>
    <w:p w14:paraId="6EED460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Համառոտ տեղեկություններ՝ անցկացված հետազոտությունների վերաբերյալ, առողջ կամավորների (պացիենտների) բնութագիրը, հետազոտության կառուցվածքը </w:t>
      </w:r>
      <w:r w:rsidR="00C54D75">
        <w:rPr>
          <w:rFonts w:ascii="Sylfaen" w:hAnsi="Sylfaen"/>
          <w:sz w:val="24"/>
          <w:szCs w:val="24"/>
        </w:rPr>
        <w:t>և</w:t>
      </w:r>
      <w:r w:rsidRPr="003B2786">
        <w:rPr>
          <w:rFonts w:ascii="Sylfaen" w:hAnsi="Sylfaen"/>
          <w:sz w:val="24"/>
          <w:szCs w:val="24"/>
        </w:rPr>
        <w:t xml:space="preserve"> կլինիկական արդյունավետության կետերի վերաբերյալ տեղեկություններ: </w:t>
      </w:r>
    </w:p>
    <w:p w14:paraId="1FA4DCFB" w14:textId="37464DA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pacing w:val="6"/>
          <w:sz w:val="24"/>
          <w:szCs w:val="24"/>
        </w:rPr>
        <w:t xml:space="preserve">Կենսահամանման (կենսանման) պատրաստուկների մասով պետք է կատարել հետազոտվող </w:t>
      </w:r>
      <w:r w:rsidR="00C54D75">
        <w:rPr>
          <w:rFonts w:ascii="Sylfaen" w:hAnsi="Sylfaen"/>
          <w:spacing w:val="6"/>
          <w:sz w:val="24"/>
          <w:szCs w:val="24"/>
        </w:rPr>
        <w:t>և</w:t>
      </w:r>
      <w:r w:rsidRPr="003B2786">
        <w:rPr>
          <w:rFonts w:ascii="Sylfaen" w:hAnsi="Sylfaen"/>
          <w:spacing w:val="6"/>
          <w:sz w:val="24"/>
          <w:szCs w:val="24"/>
        </w:rPr>
        <w:t xml:space="preserve"> չափանմուշային պատրաստուկի դեղադինամիկ ազդեցության համեմատական գնահատում բնակչության այն խմբերի շրջանում, որոնց բնութագրերը թույլ են տալիս լավագույնս</w:t>
      </w:r>
      <w:r w:rsidR="00F82B65">
        <w:rPr>
          <w:rFonts w:ascii="Sylfaen" w:hAnsi="Sylfaen"/>
          <w:spacing w:val="6"/>
          <w:sz w:val="24"/>
          <w:szCs w:val="24"/>
        </w:rPr>
        <w:t xml:space="preserve"> հայտնաբերել </w:t>
      </w:r>
      <w:r w:rsidRPr="003B2786">
        <w:rPr>
          <w:rFonts w:ascii="Sylfaen" w:hAnsi="Sylfaen"/>
          <w:spacing w:val="6"/>
          <w:sz w:val="24"/>
          <w:szCs w:val="24"/>
        </w:rPr>
        <w:lastRenderedPageBreak/>
        <w:t xml:space="preserve">տարբերությունները: Անհրաժեշտ է բերել հետազոտությունների կառուցվածքի </w:t>
      </w:r>
      <w:r w:rsidR="00C54D75">
        <w:rPr>
          <w:rFonts w:ascii="Sylfaen" w:hAnsi="Sylfaen"/>
          <w:spacing w:val="6"/>
          <w:sz w:val="24"/>
          <w:szCs w:val="24"/>
        </w:rPr>
        <w:t>և</w:t>
      </w:r>
      <w:r w:rsidRPr="003B2786">
        <w:rPr>
          <w:rFonts w:ascii="Sylfaen" w:hAnsi="Sylfaen"/>
          <w:spacing w:val="6"/>
          <w:sz w:val="24"/>
          <w:szCs w:val="24"/>
        </w:rPr>
        <w:t xml:space="preserve"> տ</w:t>
      </w:r>
      <w:r w:rsidR="00C54D75">
        <w:rPr>
          <w:rFonts w:ascii="Sylfaen" w:hAnsi="Sylfaen"/>
          <w:spacing w:val="6"/>
          <w:sz w:val="24"/>
          <w:szCs w:val="24"/>
        </w:rPr>
        <w:t>և</w:t>
      </w:r>
      <w:r w:rsidRPr="003B2786">
        <w:rPr>
          <w:rFonts w:ascii="Sylfaen" w:hAnsi="Sylfaen"/>
          <w:spacing w:val="6"/>
          <w:sz w:val="24"/>
          <w:szCs w:val="24"/>
        </w:rPr>
        <w:t xml:space="preserve">ողության հիմնավորումը: ՖԿ/ՖԴ-ի համակցված հետազոտությունները կարող են լինել օգտագործված միջոցի քանակի </w:t>
      </w:r>
      <w:r w:rsidR="00C54D75">
        <w:rPr>
          <w:rFonts w:ascii="Sylfaen" w:hAnsi="Sylfaen"/>
          <w:spacing w:val="6"/>
          <w:sz w:val="24"/>
          <w:szCs w:val="24"/>
        </w:rPr>
        <w:t>և</w:t>
      </w:r>
      <w:r w:rsidRPr="003B2786">
        <w:rPr>
          <w:rFonts w:ascii="Sylfaen" w:hAnsi="Sylfaen"/>
          <w:spacing w:val="6"/>
          <w:sz w:val="24"/>
          <w:szCs w:val="24"/>
        </w:rPr>
        <w:t xml:space="preserve"> ազդեցության</w:t>
      </w:r>
      <w:r w:rsidRPr="003B2786">
        <w:rPr>
          <w:rFonts w:ascii="Sylfaen" w:hAnsi="Sylfaen"/>
          <w:sz w:val="24"/>
          <w:szCs w:val="24"/>
        </w:rPr>
        <w:t xml:space="preserve"> միջ</w:t>
      </w:r>
      <w:r w:rsidR="00C54D75">
        <w:rPr>
          <w:rFonts w:ascii="Sylfaen" w:hAnsi="Sylfaen"/>
          <w:sz w:val="24"/>
          <w:szCs w:val="24"/>
        </w:rPr>
        <w:t>և</w:t>
      </w:r>
      <w:r w:rsidRPr="003B2786">
        <w:rPr>
          <w:rFonts w:ascii="Sylfaen" w:hAnsi="Sylfaen"/>
          <w:sz w:val="24"/>
          <w:szCs w:val="24"/>
        </w:rPr>
        <w:t xml:space="preserve"> փոխկապակցվածության վերաբերյալ անհրաժեշտ տեղեկատվության աղբյուր: Ընտրված դեղաչափի ցուցանիշները պետք է արտացոլվեն «դեղաչափ-ազդեցության» կորի ուռուցիկ մասում: Կարող են օգտակար լինել 1-ից ավելի դեղաչափի օգտագործմամբ հետազոտությունների տվյալները: Եթե ՖԿ/ՖԴ-ի հետազոտություններն օգտագործվում են կենսաբանական դեղապատրաստուկների նմանությունը ապացուցելու նպատակով, ապա անհրաժեշտ է պարտադիր հետազոտել դեղաչափերի թույլատրելի տիրույթը, որպեսզի ցույց տրվի անալիզի զգայունությունը: ՖԿ-ի </w:t>
      </w:r>
      <w:r w:rsidR="00C54D75">
        <w:rPr>
          <w:rFonts w:ascii="Sylfaen" w:hAnsi="Sylfaen"/>
          <w:sz w:val="24"/>
          <w:szCs w:val="24"/>
        </w:rPr>
        <w:t>և</w:t>
      </w:r>
      <w:r w:rsidRPr="003B2786">
        <w:rPr>
          <w:rFonts w:ascii="Sylfaen" w:hAnsi="Sylfaen"/>
          <w:sz w:val="24"/>
          <w:szCs w:val="24"/>
        </w:rPr>
        <w:t xml:space="preserve"> ՖԴ-ի պարամետրերի համարժեքությունը որոշող սահմանները պետք է որոշվեն </w:t>
      </w:r>
      <w:r w:rsidR="00C54D75">
        <w:rPr>
          <w:rFonts w:ascii="Sylfaen" w:hAnsi="Sylfaen"/>
          <w:sz w:val="24"/>
          <w:szCs w:val="24"/>
        </w:rPr>
        <w:t>և</w:t>
      </w:r>
      <w:r w:rsidRPr="003B2786">
        <w:rPr>
          <w:rFonts w:ascii="Sylfaen" w:hAnsi="Sylfaen"/>
          <w:sz w:val="24"/>
          <w:szCs w:val="24"/>
        </w:rPr>
        <w:t xml:space="preserve"> հիմնավորվեն նախապես:</w:t>
      </w:r>
    </w:p>
    <w:p w14:paraId="12BE39AA" w14:textId="77777777" w:rsidR="008C76E0" w:rsidRPr="003B2786" w:rsidRDefault="008C76E0" w:rsidP="008E1F21">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Ազդեցության մեխանիզմը:</w:t>
      </w:r>
    </w:p>
    <w:p w14:paraId="26B6F63E"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Կարելի է նկարագրել դեղադինամիկ ազդեցության ռեժիմը կլինիկական տեսակետից ցանկալի առաջնային ֆիզիոլոգիական (թերապ</w:t>
      </w:r>
      <w:r w:rsidR="00C54D75">
        <w:rPr>
          <w:rFonts w:ascii="Sylfaen" w:hAnsi="Sylfaen"/>
          <w:sz w:val="24"/>
          <w:szCs w:val="24"/>
        </w:rPr>
        <w:t>և</w:t>
      </w:r>
      <w:r w:rsidRPr="003B2786">
        <w:rPr>
          <w:rFonts w:ascii="Sylfaen" w:hAnsi="Sylfaen"/>
          <w:sz w:val="24"/>
          <w:szCs w:val="24"/>
        </w:rPr>
        <w:t>տիկ) ազդեցությունների նկատմամբ (առաջնային դեղադինամիկ ազդեցություն): Տվյալ բաժնում կամ ստորին բաժիններում նույնպես կարելի է մեկնաբանել ՖԴ-ի ընտրված կենսանշիչների (բիոմարկերների) արդիականությունը:</w:t>
      </w:r>
    </w:p>
    <w:p w14:paraId="541166F0"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Բացի այդ, հաշվի առնելով հետազոտվող նյութի բնույթը՝ անհրաժեշտ է մեկնաբանել պատրաստուկի հնարավոր երկրորդային դեղադինամիկ ազդեցությունները:</w:t>
      </w:r>
    </w:p>
    <w:p w14:paraId="3AA6EACA" w14:textId="77777777" w:rsidR="008C76E0" w:rsidRPr="003B2786" w:rsidRDefault="008C76E0" w:rsidP="008E1F21">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Առաջնային դեղաբանությունը:</w:t>
      </w:r>
    </w:p>
    <w:p w14:paraId="308A2CE9"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Անհրաժեշտ է անցկացնել օգտագործվող կենսանշիչների արդիականության կրիտիկական գնահատում:</w:t>
      </w:r>
    </w:p>
    <w:p w14:paraId="3FE9C534"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Հարկավոր է նա</w:t>
      </w:r>
      <w:r w:rsidR="00C54D75">
        <w:rPr>
          <w:rFonts w:ascii="Sylfaen" w:hAnsi="Sylfaen"/>
          <w:sz w:val="24"/>
          <w:szCs w:val="24"/>
        </w:rPr>
        <w:t>և</w:t>
      </w:r>
      <w:r w:rsidRPr="003B2786">
        <w:rPr>
          <w:rFonts w:ascii="Sylfaen" w:hAnsi="Sylfaen"/>
          <w:sz w:val="24"/>
          <w:szCs w:val="24"/>
        </w:rPr>
        <w:t xml:space="preserve"> բերել ազդեցության մեխանիզմի, «դեղաչափ-ազդեցություն» կախվածության, այդ թվում՝ պատրաստուկի ազդեցության ժամանակահատվածի </w:t>
      </w:r>
      <w:r w:rsidRPr="003B2786">
        <w:rPr>
          <w:rFonts w:ascii="Sylfaen" w:hAnsi="Sylfaen"/>
          <w:sz w:val="24"/>
          <w:szCs w:val="24"/>
        </w:rPr>
        <w:lastRenderedPageBreak/>
        <w:t>նկարագրությունը, ինչպես նա</w:t>
      </w:r>
      <w:r w:rsidR="00C54D75">
        <w:rPr>
          <w:rFonts w:ascii="Sylfaen" w:hAnsi="Sylfaen"/>
          <w:sz w:val="24"/>
          <w:szCs w:val="24"/>
        </w:rPr>
        <w:t>և</w:t>
      </w:r>
      <w:r w:rsidRPr="003B2786">
        <w:rPr>
          <w:rFonts w:ascii="Sylfaen" w:hAnsi="Sylfaen"/>
          <w:sz w:val="24"/>
          <w:szCs w:val="24"/>
        </w:rPr>
        <w:t xml:space="preserve"> դոզավորման ռեժիմի հիմնավորումը:</w:t>
      </w:r>
    </w:p>
    <w:p w14:paraId="063F3E93"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Հատկապես կար</w:t>
      </w:r>
      <w:r w:rsidR="00C54D75">
        <w:rPr>
          <w:rFonts w:ascii="Sylfaen" w:hAnsi="Sylfaen"/>
          <w:sz w:val="24"/>
          <w:szCs w:val="24"/>
        </w:rPr>
        <w:t>և</w:t>
      </w:r>
      <w:r w:rsidRPr="003B2786">
        <w:rPr>
          <w:rFonts w:ascii="Sylfaen" w:hAnsi="Sylfaen"/>
          <w:sz w:val="24"/>
          <w:szCs w:val="24"/>
        </w:rPr>
        <w:t>որ է բերել դեղաչափերի որոշման մասով սկզբնական հետազոտությունների նկարագրությունը:</w:t>
      </w:r>
    </w:p>
    <w:p w14:paraId="43504958" w14:textId="77777777" w:rsidR="008C76E0" w:rsidRPr="003B2786" w:rsidRDefault="008C76E0" w:rsidP="008E1F21">
      <w:pPr>
        <w:spacing w:after="160" w:line="360" w:lineRule="auto"/>
        <w:ind w:firstLine="567"/>
        <w:jc w:val="both"/>
        <w:rPr>
          <w:rFonts w:ascii="Sylfaen" w:hAnsi="Sylfaen"/>
          <w:sz w:val="24"/>
          <w:szCs w:val="24"/>
        </w:rPr>
      </w:pPr>
      <w:r w:rsidRPr="003B2786">
        <w:rPr>
          <w:rFonts w:ascii="Sylfaen" w:hAnsi="Sylfaen"/>
          <w:sz w:val="24"/>
          <w:szCs w:val="24"/>
        </w:rPr>
        <w:t xml:space="preserve">Վերոնշյալ տեղեկատվության շարադրման նպատակը դոզավորումը բարձրացնելու դեպքում, արդյունավետության </w:t>
      </w:r>
      <w:r w:rsidR="00C54D75">
        <w:rPr>
          <w:rFonts w:ascii="Sylfaen" w:hAnsi="Sylfaen"/>
          <w:sz w:val="24"/>
          <w:szCs w:val="24"/>
        </w:rPr>
        <w:t>և</w:t>
      </w:r>
      <w:r w:rsidRPr="003B2786">
        <w:rPr>
          <w:rFonts w:ascii="Sylfaen" w:hAnsi="Sylfaen"/>
          <w:sz w:val="24"/>
          <w:szCs w:val="24"/>
        </w:rPr>
        <w:t xml:space="preserve"> տանելիության պարամետրերի հիման վրա, «դեղաչափ-ազդեցություն» կախվածությունը հաստատող հետազոտությունների համար դեղաչափի ընտրության նկարագրությունն է: Նպատակը թերապ</w:t>
      </w:r>
      <w:r w:rsidR="00C54D75">
        <w:rPr>
          <w:rFonts w:ascii="Sylfaen" w:hAnsi="Sylfaen"/>
          <w:sz w:val="24"/>
          <w:szCs w:val="24"/>
        </w:rPr>
        <w:t>և</w:t>
      </w:r>
      <w:r w:rsidRPr="003B2786">
        <w:rPr>
          <w:rFonts w:ascii="Sylfaen" w:hAnsi="Sylfaen"/>
          <w:sz w:val="24"/>
          <w:szCs w:val="24"/>
        </w:rPr>
        <w:t xml:space="preserve">տիկ տիրույթի նախնական ուսումնասիրությունը </w:t>
      </w:r>
      <w:r w:rsidR="00C54D75">
        <w:rPr>
          <w:rFonts w:ascii="Sylfaen" w:hAnsi="Sylfaen"/>
          <w:sz w:val="24"/>
          <w:szCs w:val="24"/>
        </w:rPr>
        <w:t>և</w:t>
      </w:r>
      <w:r w:rsidRPr="003B2786">
        <w:rPr>
          <w:rFonts w:ascii="Sylfaen" w:hAnsi="Sylfaen"/>
          <w:sz w:val="24"/>
          <w:szCs w:val="24"/>
        </w:rPr>
        <w:t xml:space="preserve"> պատրաստուկի դեղաչափի նկատմամբ ռեակցիայի որոշումն է:</w:t>
      </w:r>
    </w:p>
    <w:p w14:paraId="7A1A9ACB"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Նկարագրե՛ք պատրաստուկի նկատմամբ ՖԴ ռեակցիաների որ</w:t>
      </w:r>
      <w:r w:rsidR="00C54D75">
        <w:rPr>
          <w:rFonts w:ascii="Sylfaen" w:hAnsi="Sylfaen"/>
          <w:sz w:val="24"/>
          <w:szCs w:val="24"/>
        </w:rPr>
        <w:t>և</w:t>
      </w:r>
      <w:r w:rsidRPr="003B2786">
        <w:rPr>
          <w:rFonts w:ascii="Sylfaen" w:hAnsi="Sylfaen"/>
          <w:sz w:val="24"/>
          <w:szCs w:val="24"/>
        </w:rPr>
        <w:t>է գենետիկ տարբերություն, ինչպես նա</w:t>
      </w:r>
      <w:r w:rsidR="00C54D75">
        <w:rPr>
          <w:rFonts w:ascii="Sylfaen" w:hAnsi="Sylfaen"/>
          <w:sz w:val="24"/>
          <w:szCs w:val="24"/>
        </w:rPr>
        <w:t>և</w:t>
      </w:r>
      <w:r w:rsidRPr="003B2786">
        <w:rPr>
          <w:rFonts w:ascii="Sylfaen" w:hAnsi="Sylfaen"/>
          <w:sz w:val="24"/>
          <w:szCs w:val="24"/>
        </w:rPr>
        <w:t xml:space="preserve"> երեխաների շրջանում հնարավոր տարբերությունները (օրինակ՝ հասունացման հետ</w:t>
      </w:r>
      <w:r w:rsidR="00C54D75">
        <w:rPr>
          <w:rFonts w:ascii="Sylfaen" w:hAnsi="Sylfaen"/>
          <w:sz w:val="24"/>
          <w:szCs w:val="24"/>
        </w:rPr>
        <w:t>և</w:t>
      </w:r>
      <w:r w:rsidRPr="003B2786">
        <w:rPr>
          <w:rFonts w:ascii="Sylfaen" w:hAnsi="Sylfaen"/>
          <w:sz w:val="24"/>
          <w:szCs w:val="24"/>
        </w:rPr>
        <w:t>անքով):</w:t>
      </w:r>
    </w:p>
    <w:p w14:paraId="69B1582D" w14:textId="77777777" w:rsidR="008C76E0" w:rsidRPr="003B2786" w:rsidRDefault="008C76E0" w:rsidP="008E1F21">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կարող են նկարագրվել հատուկ հետազոտությունների (օրինակ՝ իմունոգենության հետազոտությունների </w:t>
      </w:r>
      <w:r w:rsidR="00C54D75">
        <w:rPr>
          <w:rFonts w:ascii="Sylfaen" w:hAnsi="Sylfaen"/>
          <w:sz w:val="24"/>
          <w:szCs w:val="24"/>
        </w:rPr>
        <w:t>և</w:t>
      </w:r>
      <w:r w:rsidRPr="003B2786">
        <w:rPr>
          <w:rFonts w:ascii="Sylfaen" w:hAnsi="Sylfaen"/>
          <w:sz w:val="24"/>
          <w:szCs w:val="24"/>
        </w:rPr>
        <w:t xml:space="preserve"> մանրէաբանական հետազոտությունների) արդյունքները:</w:t>
      </w:r>
    </w:p>
    <w:p w14:paraId="5390AF0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2.2.4.</w:t>
      </w:r>
      <w:r w:rsidRPr="003B2786">
        <w:rPr>
          <w:rFonts w:ascii="Sylfaen" w:hAnsi="Sylfaen"/>
          <w:sz w:val="24"/>
          <w:szCs w:val="24"/>
        </w:rPr>
        <w:tab/>
        <w:t>Երկրորդային դեղաբանությունը:</w:t>
      </w:r>
    </w:p>
    <w:p w14:paraId="70989DD3" w14:textId="77777777" w:rsidR="008C76E0" w:rsidRPr="003B2786" w:rsidRDefault="008C76E0" w:rsidP="00262653">
      <w:pPr>
        <w:spacing w:after="160" w:line="384" w:lineRule="auto"/>
        <w:ind w:firstLine="567"/>
        <w:jc w:val="both"/>
        <w:rPr>
          <w:rFonts w:ascii="Sylfaen" w:hAnsi="Sylfaen"/>
          <w:sz w:val="24"/>
          <w:szCs w:val="24"/>
        </w:rPr>
      </w:pPr>
      <w:r w:rsidRPr="003B2786">
        <w:rPr>
          <w:rFonts w:ascii="Sylfaen" w:hAnsi="Sylfaen"/>
          <w:sz w:val="24"/>
          <w:szCs w:val="24"/>
        </w:rPr>
        <w:t xml:space="preserve">Ուսումնասիրե՛ք երկրորդային դեղաբանության ցուցանիշները (կիրառման ցուցումների մասով): Կլինիկական արդյունավետության դինամիկ վերջնակետերով համապատասխան հետազոտությունների անցկացման շրջանակներում առողջ կամավորների շրջանում երկրորդային դեղաբանության նկատմամբ տանելիության ընդհանուր բնութագրերը, օրինակ՝ զարկերակային ճնշումը 24-ժամյա ժամանակահատվածում, կենսաքիմիական ցուցանիշները, վիրուսային ծանրաբեռնվածության մակարդակը, ԷՍԳ-ն, ԷԷԳ-ն </w:t>
      </w:r>
      <w:r w:rsidR="00C54D75">
        <w:rPr>
          <w:rFonts w:ascii="Sylfaen" w:hAnsi="Sylfaen"/>
          <w:sz w:val="24"/>
          <w:szCs w:val="24"/>
        </w:rPr>
        <w:t>և</w:t>
      </w:r>
      <w:r w:rsidRPr="003B2786">
        <w:rPr>
          <w:rFonts w:ascii="Sylfaen" w:hAnsi="Sylfaen"/>
          <w:sz w:val="24"/>
          <w:szCs w:val="24"/>
        </w:rPr>
        <w:t xml:space="preserve"> այլն: </w:t>
      </w:r>
    </w:p>
    <w:p w14:paraId="29EB9D84" w14:textId="77777777" w:rsidR="008C76E0" w:rsidRPr="003B2786" w:rsidRDefault="008C76E0" w:rsidP="00262653">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 xml:space="preserve">Պլազմայում խտության </w:t>
      </w:r>
      <w:r w:rsidR="00C54D75">
        <w:rPr>
          <w:rFonts w:ascii="Sylfaen" w:hAnsi="Sylfaen"/>
          <w:sz w:val="24"/>
          <w:szCs w:val="24"/>
        </w:rPr>
        <w:t>և</w:t>
      </w:r>
      <w:r w:rsidRPr="003B2786">
        <w:rPr>
          <w:rFonts w:ascii="Sylfaen" w:hAnsi="Sylfaen"/>
          <w:sz w:val="24"/>
          <w:szCs w:val="24"/>
        </w:rPr>
        <w:t xml:space="preserve"> ազդեցության միջ</w:t>
      </w:r>
      <w:r w:rsidR="00C54D75">
        <w:rPr>
          <w:rFonts w:ascii="Sylfaen" w:hAnsi="Sylfaen"/>
          <w:sz w:val="24"/>
          <w:szCs w:val="24"/>
        </w:rPr>
        <w:t>և</w:t>
      </w:r>
      <w:r w:rsidRPr="003B2786">
        <w:rPr>
          <w:rFonts w:ascii="Sylfaen" w:hAnsi="Sylfaen"/>
          <w:sz w:val="24"/>
          <w:szCs w:val="24"/>
        </w:rPr>
        <w:t xml:space="preserve"> փոխկապակցվածությունը:</w:t>
      </w:r>
    </w:p>
    <w:p w14:paraId="4F06A027" w14:textId="77777777" w:rsidR="008C76E0" w:rsidRPr="003B2786" w:rsidRDefault="008C76E0" w:rsidP="00262653">
      <w:pPr>
        <w:spacing w:after="160" w:line="384" w:lineRule="auto"/>
        <w:ind w:right="-1" w:firstLine="567"/>
        <w:jc w:val="both"/>
        <w:rPr>
          <w:rFonts w:ascii="Sylfaen" w:hAnsi="Sylfaen"/>
          <w:sz w:val="24"/>
          <w:szCs w:val="24"/>
        </w:rPr>
      </w:pPr>
      <w:r w:rsidRPr="003B2786">
        <w:rPr>
          <w:rFonts w:ascii="Sylfaen" w:hAnsi="Sylfaen"/>
          <w:sz w:val="24"/>
          <w:szCs w:val="24"/>
        </w:rPr>
        <w:t xml:space="preserve">Գրանցման դոսյեի 5.3.4 մոդուլից ստացված տվյալները առողջ կամավորների </w:t>
      </w:r>
      <w:r w:rsidR="00C54D75">
        <w:rPr>
          <w:rFonts w:ascii="Sylfaen" w:hAnsi="Sylfaen"/>
          <w:sz w:val="24"/>
          <w:szCs w:val="24"/>
        </w:rPr>
        <w:lastRenderedPageBreak/>
        <w:t>և</w:t>
      </w:r>
      <w:r w:rsidRPr="003B2786">
        <w:rPr>
          <w:rFonts w:ascii="Sylfaen" w:hAnsi="Sylfaen"/>
          <w:sz w:val="24"/>
          <w:szCs w:val="24"/>
        </w:rPr>
        <w:t xml:space="preserve"> պացիենտների շրջանում ՖԿ/ՖԴ-ի վերաբերյալ:</w:t>
      </w:r>
    </w:p>
    <w:p w14:paraId="4C3AD1C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«Խտությունը պլազմայում-ազդեցություն» հարաբերակցության ցուցանիշը՝ բաժանած «դեղաչափ-ազդեցություն» հարաբերակցության ցուցանիշի </w:t>
      </w:r>
      <w:r w:rsidR="00C54D75">
        <w:rPr>
          <w:rFonts w:ascii="Sylfaen" w:hAnsi="Sylfaen"/>
          <w:sz w:val="24"/>
          <w:szCs w:val="24"/>
        </w:rPr>
        <w:t>և</w:t>
      </w:r>
      <w:r w:rsidRPr="003B2786">
        <w:rPr>
          <w:rFonts w:ascii="Sylfaen" w:hAnsi="Sylfaen"/>
          <w:sz w:val="24"/>
          <w:szCs w:val="24"/>
        </w:rPr>
        <w:t xml:space="preserve"> «ազդեցություն-խտություն» հարաբերակցության ցուցանիշի՝ հատուկ ուշադրություն դարձնելով ազդեցության սկզբին </w:t>
      </w:r>
      <w:r w:rsidR="00C54D75">
        <w:rPr>
          <w:rFonts w:ascii="Sylfaen" w:hAnsi="Sylfaen"/>
          <w:sz w:val="24"/>
          <w:szCs w:val="24"/>
        </w:rPr>
        <w:t>և</w:t>
      </w:r>
      <w:r w:rsidRPr="003B2786">
        <w:rPr>
          <w:rFonts w:ascii="Sylfaen" w:hAnsi="Sylfaen"/>
          <w:sz w:val="24"/>
          <w:szCs w:val="24"/>
        </w:rPr>
        <w:t xml:space="preserve"> ավարտին:</w:t>
      </w:r>
    </w:p>
    <w:p w14:paraId="078EC8CA"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Առկայության դեպքում ՖԴ-ի հետ առնչություն ունեցող ՖԿ-ի տվյալները նույնպես կարող են նկարագրվել այստեղ՝ ՖԿ/ՖԴ-ում փոփոխությունների աղբյուրների վերաբերյալ տեղեկատվություն հաղորդելու նպատակով:</w:t>
      </w:r>
    </w:p>
    <w:p w14:paraId="0BB9ACC7" w14:textId="0B713268"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Դեղաչափի (խտության, ազդեցության) հարաբերակցության ցուցանիշները բնակչության դեղակինետիկ սքրինինգից հետո, օրինակ, նույնպես կարող են նկարագրվել «Կլինիկական արդյունավետություն, «դեղաչափ-ազդեցություն» կախվածության հետազոտություններ» բաժնում, եթե արդյունքները հիմնավորում են արդյունավետության </w:t>
      </w:r>
      <w:r w:rsidR="00C54D75">
        <w:rPr>
          <w:rFonts w:ascii="Sylfaen" w:hAnsi="Sylfaen"/>
          <w:sz w:val="24"/>
          <w:szCs w:val="24"/>
        </w:rPr>
        <w:t>և</w:t>
      </w:r>
      <w:r w:rsidRPr="003B2786">
        <w:rPr>
          <w:rFonts w:ascii="Sylfaen" w:hAnsi="Sylfaen"/>
          <w:sz w:val="24"/>
          <w:szCs w:val="24"/>
        </w:rPr>
        <w:t xml:space="preserve"> անվտանգության վերաբերյալ </w:t>
      </w:r>
      <w:r w:rsidR="00F82B65">
        <w:rPr>
          <w:rFonts w:ascii="Sylfaen" w:hAnsi="Sylfaen"/>
          <w:sz w:val="24"/>
          <w:szCs w:val="24"/>
        </w:rPr>
        <w:t>հայտարարություն</w:t>
      </w:r>
      <w:r w:rsidRPr="003B2786">
        <w:rPr>
          <w:rFonts w:ascii="Sylfaen" w:hAnsi="Sylfaen"/>
          <w:sz w:val="24"/>
          <w:szCs w:val="24"/>
        </w:rPr>
        <w:t>:</w:t>
      </w:r>
    </w:p>
    <w:p w14:paraId="6D25F507"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Սկզբունքորեն տվյալ բաժնում </w:t>
      </w:r>
      <w:r w:rsidR="00C54D75">
        <w:rPr>
          <w:rFonts w:ascii="Sylfaen" w:hAnsi="Sylfaen"/>
          <w:sz w:val="24"/>
          <w:szCs w:val="24"/>
        </w:rPr>
        <w:t>և</w:t>
      </w:r>
      <w:r w:rsidRPr="003B2786">
        <w:rPr>
          <w:rFonts w:ascii="Sylfaen" w:hAnsi="Sylfaen"/>
          <w:sz w:val="24"/>
          <w:szCs w:val="24"/>
        </w:rPr>
        <w:t xml:space="preserve"> «Դեղակինետիկա» բաժնում կարելի է արտացոլել տարբեր հետազոտությունների տվյալների ամփոփիչ վերլուծության արդյունքները, որոնք կարող են հեշտացնել պատրաստուկի ՖԿ/ՖԴ-ի տարբերությունները հասկանալը: </w:t>
      </w:r>
    </w:p>
    <w:p w14:paraId="64360A39" w14:textId="77777777" w:rsidR="008C76E0" w:rsidRPr="003B2786" w:rsidRDefault="008C76E0" w:rsidP="00262653">
      <w:pPr>
        <w:spacing w:after="160" w:line="336" w:lineRule="auto"/>
        <w:ind w:right="-1" w:firstLine="567"/>
        <w:jc w:val="both"/>
        <w:rPr>
          <w:rFonts w:ascii="Sylfaen" w:hAnsi="Sylfaen"/>
          <w:sz w:val="24"/>
          <w:szCs w:val="24"/>
        </w:rPr>
      </w:pPr>
      <w:r w:rsidRPr="003B2786">
        <w:rPr>
          <w:rFonts w:ascii="Sylfaen" w:hAnsi="Sylfaen"/>
          <w:sz w:val="24"/>
          <w:szCs w:val="24"/>
        </w:rPr>
        <w:t>Անհրաժեշտ է կատարել օգտագործվող կենսանշիչների ընտրության կրիտիկական գնահատում:</w:t>
      </w:r>
    </w:p>
    <w:p w14:paraId="08331024" w14:textId="77777777" w:rsidR="008C76E0" w:rsidRPr="003B2786" w:rsidRDefault="008C76E0" w:rsidP="00262653">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Փորձագետի ընդհանուր եզրակացությունը՝ դեղադինամիկայի վերաբերյալ:</w:t>
      </w:r>
    </w:p>
    <w:p w14:paraId="29FEE9FB"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Այս կետի բովանդակությունը կարող է տեղափոխվել հաշվետվության «Ամփոփիչ մոդուլ»:</w:t>
      </w:r>
    </w:p>
    <w:p w14:paraId="3362FECD" w14:textId="77777777" w:rsidR="008C76E0" w:rsidRPr="003B2786" w:rsidRDefault="008C76E0" w:rsidP="00262653">
      <w:pPr>
        <w:spacing w:after="160" w:line="336" w:lineRule="auto"/>
        <w:ind w:firstLine="567"/>
        <w:jc w:val="both"/>
        <w:rPr>
          <w:rFonts w:ascii="Sylfaen" w:hAnsi="Sylfaen"/>
          <w:sz w:val="24"/>
          <w:szCs w:val="24"/>
        </w:rPr>
      </w:pPr>
      <w:r w:rsidRPr="003B2786">
        <w:rPr>
          <w:rFonts w:ascii="Sylfaen" w:hAnsi="Sylfaen"/>
          <w:sz w:val="24"/>
          <w:szCs w:val="24"/>
        </w:rPr>
        <w:t xml:space="preserve">Սրա հետ կապված կարող է պահանջվել առանձին </w:t>
      </w:r>
      <w:r w:rsidR="00C54D75">
        <w:rPr>
          <w:rFonts w:ascii="Sylfaen" w:hAnsi="Sylfaen"/>
          <w:sz w:val="24"/>
          <w:szCs w:val="24"/>
        </w:rPr>
        <w:t>և</w:t>
      </w:r>
      <w:r w:rsidRPr="003B2786">
        <w:rPr>
          <w:rFonts w:ascii="Sylfaen" w:hAnsi="Sylfaen"/>
          <w:sz w:val="24"/>
          <w:szCs w:val="24"/>
        </w:rPr>
        <w:t xml:space="preserve"> խորացված վերլուծության անցկացում՝ պատրաստուկի օգուտ-ռիսկ հարաբերակցությունն առավել պատշաճ գնահատելու համար համապատասխան տվյալներին համակողմանի հասանելիությունն ապահովելու նպատակով:</w:t>
      </w:r>
    </w:p>
    <w:p w14:paraId="77D5D649" w14:textId="019A474D"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Այս բաժնում գնահատման մասով փորձագետը պետք է առանձնացնի </w:t>
      </w:r>
      <w:r w:rsidRPr="003B2786">
        <w:rPr>
          <w:rFonts w:ascii="Sylfaen" w:hAnsi="Sylfaen"/>
          <w:sz w:val="24"/>
          <w:szCs w:val="24"/>
        </w:rPr>
        <w:lastRenderedPageBreak/>
        <w:t>զեկույցի տարբեր բաժիններում նկարագրված կար</w:t>
      </w:r>
      <w:r w:rsidR="00C54D75">
        <w:rPr>
          <w:rFonts w:ascii="Sylfaen" w:hAnsi="Sylfaen"/>
          <w:sz w:val="24"/>
          <w:szCs w:val="24"/>
        </w:rPr>
        <w:t>և</w:t>
      </w:r>
      <w:r w:rsidRPr="003B2786">
        <w:rPr>
          <w:rFonts w:ascii="Sylfaen" w:hAnsi="Sylfaen"/>
          <w:sz w:val="24"/>
          <w:szCs w:val="24"/>
        </w:rPr>
        <w:t>որագույն հարցերը (ներծծում, բաշխում, օրգանիզմից դուրսբերում), ինչպես նա</w:t>
      </w:r>
      <w:r w:rsidR="00C54D75">
        <w:rPr>
          <w:rFonts w:ascii="Sylfaen" w:hAnsi="Sylfaen"/>
          <w:sz w:val="24"/>
          <w:szCs w:val="24"/>
        </w:rPr>
        <w:t>և</w:t>
      </w:r>
      <w:r w:rsidRPr="003B2786">
        <w:rPr>
          <w:rFonts w:ascii="Sylfaen" w:hAnsi="Sylfaen"/>
          <w:sz w:val="24"/>
          <w:szCs w:val="24"/>
        </w:rPr>
        <w:t xml:space="preserve"> եզրակացություն ներկայացնի դեղադինամիկայի մասով փաստաթղթերի որակի վերաբերյալ՝ հատուկ ուշադրություն դարձնելով </w:t>
      </w:r>
      <w:r w:rsidR="00003ABD">
        <w:rPr>
          <w:rFonts w:ascii="Sylfaen" w:hAnsi="Sylfaen"/>
          <w:sz w:val="24"/>
          <w:szCs w:val="24"/>
        </w:rPr>
        <w:t>հայտնաբերված</w:t>
      </w:r>
      <w:r w:rsidRPr="003B2786">
        <w:rPr>
          <w:rFonts w:ascii="Sylfaen" w:hAnsi="Sylfaen"/>
          <w:sz w:val="24"/>
          <w:szCs w:val="24"/>
        </w:rPr>
        <w:t xml:space="preserve"> թերություններին:</w:t>
      </w:r>
    </w:p>
    <w:p w14:paraId="618AA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Որպես այլընտրանք, այս բաժնում կարելի է ուղղակի ձ</w:t>
      </w:r>
      <w:r w:rsidR="00C54D75">
        <w:rPr>
          <w:rFonts w:ascii="Sylfaen" w:hAnsi="Sylfaen"/>
          <w:sz w:val="24"/>
          <w:szCs w:val="24"/>
        </w:rPr>
        <w:t>և</w:t>
      </w:r>
      <w:r w:rsidRPr="003B2786">
        <w:rPr>
          <w:rFonts w:ascii="Sylfaen" w:hAnsi="Sylfaen"/>
          <w:sz w:val="24"/>
          <w:szCs w:val="24"/>
        </w:rPr>
        <w:t xml:space="preserve">ակերպել հիմնական եզրահանգումները, </w:t>
      </w:r>
      <w:r w:rsidR="00C54D75">
        <w:rPr>
          <w:rFonts w:ascii="Sylfaen" w:hAnsi="Sylfaen"/>
          <w:sz w:val="24"/>
          <w:szCs w:val="24"/>
        </w:rPr>
        <w:t>և</w:t>
      </w:r>
      <w:r w:rsidRPr="003B2786">
        <w:rPr>
          <w:rFonts w:ascii="Sylfaen" w:hAnsi="Sylfaen"/>
          <w:sz w:val="24"/>
          <w:szCs w:val="24"/>
        </w:rPr>
        <w:t xml:space="preserve"> այդ դեպքում «Անվտանգության, որակի, արդյունավետության գնահատում» մոդուլի տեքստն անհրաժեշտ կլինի մշակել առանձին:</w:t>
      </w:r>
    </w:p>
    <w:p w14:paraId="1FB148B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Ներկայացված դոսյեում առանձնացրե՛ք «Կլինիկական ամփոփում» բաժնի բովանդակության հետ համապատասխանության (անհամապատասխանության) ցանկացած ոլորտ </w:t>
      </w:r>
      <w:r w:rsidR="00C54D75">
        <w:rPr>
          <w:rFonts w:ascii="Sylfaen" w:hAnsi="Sylfaen"/>
          <w:sz w:val="24"/>
          <w:szCs w:val="24"/>
        </w:rPr>
        <w:t>և</w:t>
      </w:r>
      <w:r w:rsidRPr="003B2786">
        <w:rPr>
          <w:rFonts w:ascii="Sylfaen" w:hAnsi="Sylfaen"/>
          <w:sz w:val="24"/>
          <w:szCs w:val="24"/>
        </w:rPr>
        <w:t xml:space="preserve"> մեկնաբանե՛ք բժշկական կիրառման դեղամիջոցի ընդհանուր բնութագրի կիրառելիությունը:</w:t>
      </w:r>
    </w:p>
    <w:p w14:paraId="6F3F5F8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p>
    <w:p w14:paraId="6D41CAF0"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3. Կլինիկական արդյունավետությունը:</w:t>
      </w:r>
    </w:p>
    <w:p w14:paraId="101338E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3.1.</w:t>
      </w:r>
      <w:r w:rsidRPr="003B2786">
        <w:rPr>
          <w:rFonts w:ascii="Sylfaen" w:hAnsi="Sylfaen"/>
          <w:sz w:val="24"/>
          <w:szCs w:val="24"/>
        </w:rPr>
        <w:tab/>
        <w:t>Ընդհանուր ձեռնարկը:</w:t>
      </w:r>
    </w:p>
    <w:p w14:paraId="4C799B34" w14:textId="77777777"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 xml:space="preserve">Հաշվետվությունը պետք է պարունակի ռեֆերենտ պետության </w:t>
      </w:r>
      <w:r w:rsidR="00C54D75">
        <w:rPr>
          <w:rFonts w:ascii="Sylfaen" w:hAnsi="Sylfaen"/>
          <w:sz w:val="24"/>
          <w:szCs w:val="24"/>
        </w:rPr>
        <w:t>և</w:t>
      </w:r>
      <w:r w:rsidRPr="003B2786">
        <w:rPr>
          <w:rFonts w:ascii="Sylfaen" w:hAnsi="Sylfaen"/>
          <w:sz w:val="24"/>
          <w:szCs w:val="24"/>
        </w:rPr>
        <w:t xml:space="preserve"> ճանաչման պետության լիազորված փորձագիտական կազմակերպության այլ փորձագետների կողմից կրկնակի գնահատման համար բավարար ծավալով մանրամասն տեղեկություններ:</w:t>
      </w:r>
    </w:p>
    <w:p w14:paraId="7043EBB6" w14:textId="6736C935" w:rsidR="008C76E0" w:rsidRPr="003B2786" w:rsidRDefault="008C76E0" w:rsidP="007467C7">
      <w:pPr>
        <w:spacing w:after="160" w:line="336" w:lineRule="auto"/>
        <w:ind w:firstLine="567"/>
        <w:jc w:val="both"/>
        <w:rPr>
          <w:rFonts w:ascii="Sylfaen" w:hAnsi="Sylfaen"/>
          <w:sz w:val="24"/>
          <w:szCs w:val="24"/>
        </w:rPr>
      </w:pPr>
      <w:r w:rsidRPr="003B2786">
        <w:rPr>
          <w:rFonts w:ascii="Sylfaen" w:hAnsi="Sylfaen"/>
          <w:sz w:val="24"/>
          <w:szCs w:val="24"/>
        </w:rPr>
        <w:t>Թե</w:t>
      </w:r>
      <w:r w:rsidR="00C54D75">
        <w:rPr>
          <w:rFonts w:ascii="Sylfaen" w:hAnsi="Sylfaen"/>
          <w:sz w:val="24"/>
          <w:szCs w:val="24"/>
        </w:rPr>
        <w:t>և</w:t>
      </w:r>
      <w:r w:rsidRPr="003B2786">
        <w:rPr>
          <w:rFonts w:ascii="Sylfaen" w:hAnsi="Sylfaen"/>
          <w:sz w:val="24"/>
          <w:szCs w:val="24"/>
        </w:rPr>
        <w:t xml:space="preserve"> սույն հաշվետվությունը պետք է ներառի անհրաժեշտ տեղեկություններ, որոնք թույլ են տալիս հասկանալ գրանցման դոսյեի բովանդակությունը, առաջարկվում է ուշադրությունը կենտրոնացնել </w:t>
      </w:r>
      <w:r w:rsidR="0056496B">
        <w:rPr>
          <w:rFonts w:ascii="Sylfaen" w:hAnsi="Sylfaen"/>
          <w:sz w:val="24"/>
          <w:szCs w:val="24"/>
        </w:rPr>
        <w:t>դիմումատու</w:t>
      </w:r>
      <w:r w:rsidRPr="003B2786">
        <w:rPr>
          <w:rFonts w:ascii="Sylfaen" w:hAnsi="Sylfaen"/>
          <w:sz w:val="24"/>
          <w:szCs w:val="24"/>
        </w:rPr>
        <w:t xml:space="preserve">ի համար հարցերը մշակելու հիմք հանդիսացող թերությունների վերաբերյալ էական եզրահանգումների </w:t>
      </w:r>
      <w:r w:rsidR="00C54D75">
        <w:rPr>
          <w:rFonts w:ascii="Sylfaen" w:hAnsi="Sylfaen"/>
          <w:sz w:val="24"/>
          <w:szCs w:val="24"/>
        </w:rPr>
        <w:t>և</w:t>
      </w:r>
      <w:r w:rsidRPr="003B2786">
        <w:rPr>
          <w:rFonts w:ascii="Sylfaen" w:hAnsi="Sylfaen"/>
          <w:sz w:val="24"/>
          <w:szCs w:val="24"/>
        </w:rPr>
        <w:t xml:space="preserve"> տեղեկությունների վրա՝ օգուտ-ռիսկ հարաբերակցության հետագա ուսումնասիրության </w:t>
      </w:r>
      <w:r w:rsidR="00C54D75">
        <w:rPr>
          <w:rFonts w:ascii="Sylfaen" w:hAnsi="Sylfaen"/>
          <w:sz w:val="24"/>
          <w:szCs w:val="24"/>
        </w:rPr>
        <w:t>և</w:t>
      </w:r>
      <w:r w:rsidRPr="003B2786">
        <w:rPr>
          <w:rFonts w:ascii="Sylfaen" w:hAnsi="Sylfaen"/>
          <w:sz w:val="24"/>
          <w:szCs w:val="24"/>
        </w:rPr>
        <w:t xml:space="preserve"> Եվրասիական տնտեսական հանձնաժողովին կից Փորձագիտական կոմիտեի կողմից հանձնարարականների մշակման համար արդյունքների քննարկմամբ (մեկնաբանությամբ):</w:t>
      </w:r>
    </w:p>
    <w:p w14:paraId="78B68C71" w14:textId="7BC9F32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դոսյեում </w:t>
      </w:r>
      <w:r w:rsidR="0056496B">
        <w:rPr>
          <w:rFonts w:ascii="Sylfaen" w:hAnsi="Sylfaen"/>
          <w:sz w:val="24"/>
          <w:szCs w:val="24"/>
        </w:rPr>
        <w:t>դիմումատու</w:t>
      </w:r>
      <w:r w:rsidRPr="003B2786">
        <w:rPr>
          <w:rFonts w:ascii="Sylfaen" w:hAnsi="Sylfaen"/>
          <w:sz w:val="24"/>
          <w:szCs w:val="24"/>
        </w:rPr>
        <w:t xml:space="preserve">ի դոսյեից («Ամփոփում» </w:t>
      </w:r>
      <w:r w:rsidR="00C54D75">
        <w:rPr>
          <w:rFonts w:ascii="Sylfaen" w:hAnsi="Sylfaen"/>
          <w:sz w:val="24"/>
          <w:szCs w:val="24"/>
        </w:rPr>
        <w:t>և</w:t>
      </w:r>
      <w:r w:rsidRPr="003B2786">
        <w:rPr>
          <w:rFonts w:ascii="Sylfaen" w:hAnsi="Sylfaen"/>
          <w:sz w:val="24"/>
          <w:szCs w:val="24"/>
        </w:rPr>
        <w:t xml:space="preserve"> «Համառոտ ամփոփ տեղեկատվություն» մասեր) չկանոնակարգված պատճենումն անթույլատրելի է:</w:t>
      </w:r>
    </w:p>
    <w:p w14:paraId="0E36B77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Այսպիսով, անհրաժեշտ է հետ</w:t>
      </w:r>
      <w:r w:rsidR="00C54D75">
        <w:rPr>
          <w:rFonts w:ascii="Sylfaen" w:hAnsi="Sylfaen"/>
          <w:sz w:val="24"/>
          <w:szCs w:val="24"/>
        </w:rPr>
        <w:t>և</w:t>
      </w:r>
      <w:r w:rsidRPr="003B2786">
        <w:rPr>
          <w:rFonts w:ascii="Sylfaen" w:hAnsi="Sylfaen"/>
          <w:sz w:val="24"/>
          <w:szCs w:val="24"/>
        </w:rPr>
        <w:t xml:space="preserve">ել առանձին հետազոտությունների համառոտ նկարագրությանը (դրական </w:t>
      </w:r>
      <w:r w:rsidR="00C54D75">
        <w:rPr>
          <w:rFonts w:ascii="Sylfaen" w:hAnsi="Sylfaen"/>
          <w:sz w:val="24"/>
          <w:szCs w:val="24"/>
        </w:rPr>
        <w:t>և</w:t>
      </w:r>
      <w:r w:rsidRPr="003B2786">
        <w:rPr>
          <w:rFonts w:ascii="Sylfaen" w:hAnsi="Sylfaen"/>
          <w:sz w:val="24"/>
          <w:szCs w:val="24"/>
        </w:rPr>
        <w:t xml:space="preserve"> բացասական եզրահանգումները հավասարակշռված ներկայացնելու համար):</w:t>
      </w:r>
    </w:p>
    <w:p w14:paraId="642970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սահմանազատել (նա</w:t>
      </w:r>
      <w:r w:rsidR="00C54D75">
        <w:rPr>
          <w:rFonts w:ascii="Sylfaen" w:hAnsi="Sylfaen"/>
          <w:sz w:val="24"/>
          <w:szCs w:val="24"/>
        </w:rPr>
        <w:t>և</w:t>
      </w:r>
      <w:r w:rsidRPr="003B2786">
        <w:rPr>
          <w:rFonts w:ascii="Sylfaen" w:hAnsi="Sylfaen"/>
          <w:sz w:val="24"/>
          <w:szCs w:val="24"/>
        </w:rPr>
        <w:t xml:space="preserve"> մեկնաբանություններում) բազային կլինիկական հետազոտությունները </w:t>
      </w:r>
      <w:r w:rsidR="00C54D75">
        <w:rPr>
          <w:rFonts w:ascii="Sylfaen" w:hAnsi="Sylfaen"/>
          <w:sz w:val="24"/>
          <w:szCs w:val="24"/>
        </w:rPr>
        <w:t>և</w:t>
      </w:r>
      <w:r w:rsidRPr="003B2786">
        <w:rPr>
          <w:rFonts w:ascii="Sylfaen" w:hAnsi="Sylfaen"/>
          <w:sz w:val="24"/>
          <w:szCs w:val="24"/>
        </w:rPr>
        <w:t xml:space="preserve"> լրացուցիչ փորձարկումները՝ ելնելով յուրաքանչյուր առանձին հետազոտության նշանակալիության վերաբերյալ եզրակացությունից (հարկավոր է թվարկել բոլոր հետազոտությունները՝ հնարավորության դեպքում հղում կատարելով ամփոփ տվյալների աղյուսակներին):</w:t>
      </w:r>
    </w:p>
    <w:p w14:paraId="24CDCC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Նախընտրելի է աղյուսակների (գրաֆիկների, պատկերների) (բայց ոչ ծավալուն տեքստային նկարագրությունների) օգտագործումը:</w:t>
      </w:r>
    </w:p>
    <w:p w14:paraId="0630B03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ներկայացված տվյալների </w:t>
      </w:r>
      <w:r w:rsidR="00C54D75">
        <w:rPr>
          <w:rFonts w:ascii="Sylfaen" w:hAnsi="Sylfaen"/>
          <w:sz w:val="24"/>
          <w:szCs w:val="24"/>
        </w:rPr>
        <w:t>և</w:t>
      </w:r>
      <w:r w:rsidRPr="003B2786">
        <w:rPr>
          <w:rFonts w:ascii="Sylfaen" w:hAnsi="Sylfaen"/>
          <w:sz w:val="24"/>
          <w:szCs w:val="24"/>
        </w:rPr>
        <w:t xml:space="preserve"> գնահատման մասով փորձագետի մեկնաբանության հստակ բաժանումը:</w:t>
      </w:r>
    </w:p>
    <w:p w14:paraId="14E59C8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գնահատումը (օրինակ՝ արդյունքների կիրառելիության վերաբերյալ մեկնաբանությունները </w:t>
      </w:r>
      <w:r w:rsidR="00C54D75">
        <w:rPr>
          <w:rFonts w:ascii="Sylfaen" w:hAnsi="Sylfaen"/>
          <w:sz w:val="24"/>
          <w:szCs w:val="24"/>
        </w:rPr>
        <w:t>և</w:t>
      </w:r>
      <w:r w:rsidRPr="003B2786">
        <w:rPr>
          <w:rFonts w:ascii="Sylfaen" w:hAnsi="Sylfaen"/>
          <w:sz w:val="24"/>
          <w:szCs w:val="24"/>
        </w:rPr>
        <w:t xml:space="preserve"> տվյալների մեկնաբանությունները, եզրահանգումները) պետք է ներկայացվի «Գնահատման մասով փորձագետի մեկնաբանությունները» բաժնի յուրաքանչյուր ենթաբաժնի վերջում: «Լուրջ նկատողություն» բառակապակցությունը (տե՛ս հարցերի առաջարկված ցանկը) կարող է օգտագործվել հարցերի ցանկին խաչաձ</w:t>
      </w:r>
      <w:r w:rsidR="00C54D75">
        <w:rPr>
          <w:rFonts w:ascii="Sylfaen" w:hAnsi="Sylfaen"/>
          <w:sz w:val="24"/>
          <w:szCs w:val="24"/>
        </w:rPr>
        <w:t>և</w:t>
      </w:r>
      <w:r w:rsidRPr="003B2786">
        <w:rPr>
          <w:rFonts w:ascii="Sylfaen" w:hAnsi="Sylfaen"/>
          <w:sz w:val="24"/>
          <w:szCs w:val="24"/>
        </w:rPr>
        <w:t xml:space="preserve"> հղումների անհրաժեշտության դեպքում:</w:t>
      </w:r>
    </w:p>
    <w:p w14:paraId="47B3B44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Հաշվետվության մեջ հարկավոր է նշել լրացուցիչ փորձաքննություն անցկացնելու անհրաժեշտությունը (օրինակ՝ որոշ չլուծված կլինիկական հարցերի լուծման համար հանդիպում գիտական խորհրդատուների խմբի հետ կամ դեղազգոնության հարցերի հետագա գնահատման անհրաժեշտություն): </w:t>
      </w:r>
    </w:p>
    <w:p w14:paraId="5416CBB9"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Հաշվետվության մեջ պետք է ընդգծվեն դեղամիջոցի համառոտ բնութագրում արտացոլման ենթակա եզրահանգումները:</w:t>
      </w:r>
    </w:p>
    <w:p w14:paraId="0992553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3.2.</w:t>
      </w:r>
      <w:r w:rsidRPr="003B2786">
        <w:rPr>
          <w:rFonts w:ascii="Sylfaen" w:hAnsi="Sylfaen"/>
          <w:sz w:val="24"/>
          <w:szCs w:val="24"/>
        </w:rPr>
        <w:tab/>
        <w:t>Ներածությունը:</w:t>
      </w:r>
    </w:p>
    <w:p w14:paraId="4DDB2299" w14:textId="7FA1854E"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Օգտագործե՛ք համառոտ ներածական՝ ներկայացված տվյալների ընդհանուր առանձնահատկությունների </w:t>
      </w:r>
      <w:r w:rsidR="00C54D75">
        <w:rPr>
          <w:rFonts w:ascii="Sylfaen" w:hAnsi="Sylfaen"/>
          <w:sz w:val="24"/>
          <w:szCs w:val="24"/>
        </w:rPr>
        <w:t>և</w:t>
      </w:r>
      <w:r w:rsidRPr="003B2786">
        <w:rPr>
          <w:rFonts w:ascii="Sylfaen" w:hAnsi="Sylfaen"/>
          <w:sz w:val="24"/>
          <w:szCs w:val="24"/>
        </w:rPr>
        <w:t xml:space="preserve"> կիրառման </w:t>
      </w:r>
      <w:r w:rsidR="001A5F1A">
        <w:rPr>
          <w:rFonts w:ascii="Sylfaen" w:hAnsi="Sylfaen"/>
          <w:sz w:val="24"/>
          <w:szCs w:val="24"/>
        </w:rPr>
        <w:t>հայտագրված</w:t>
      </w:r>
      <w:r w:rsidRPr="003B2786">
        <w:rPr>
          <w:rFonts w:ascii="Sylfaen" w:hAnsi="Sylfaen"/>
          <w:sz w:val="24"/>
          <w:szCs w:val="24"/>
        </w:rPr>
        <w:t xml:space="preserve"> ցուցման վերաբերյալ:</w:t>
      </w:r>
    </w:p>
    <w:p w14:paraId="6ACB33B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Ներածության մեջ պետք է ներառվի համապատասխան կլինիկական հետազոտությունների աղյուսակային ամփոփումը, հետազոտության համարը, հետազոտության բովանդակային պլանը </w:t>
      </w:r>
      <w:r w:rsidR="00C54D75">
        <w:rPr>
          <w:rFonts w:ascii="Sylfaen" w:hAnsi="Sylfaen"/>
          <w:sz w:val="24"/>
          <w:szCs w:val="24"/>
        </w:rPr>
        <w:t>և</w:t>
      </w:r>
      <w:r w:rsidRPr="003B2786">
        <w:rPr>
          <w:rFonts w:ascii="Sylfaen" w:hAnsi="Sylfaen"/>
          <w:sz w:val="24"/>
          <w:szCs w:val="24"/>
        </w:rPr>
        <w:t xml:space="preserve"> բուժման խմբերում պացիենտների թիվը, բուժման խմբերի ելակետային բնութագրերը (օրինակ՝ տարիք, սեռ </w:t>
      </w:r>
      <w:r w:rsidR="00C54D75">
        <w:rPr>
          <w:rFonts w:ascii="Sylfaen" w:hAnsi="Sylfaen"/>
          <w:sz w:val="24"/>
          <w:szCs w:val="24"/>
        </w:rPr>
        <w:t>և</w:t>
      </w:r>
      <w:r w:rsidRPr="003B2786">
        <w:rPr>
          <w:rFonts w:ascii="Sylfaen" w:hAnsi="Sylfaen"/>
          <w:sz w:val="24"/>
          <w:szCs w:val="24"/>
        </w:rPr>
        <w:t xml:space="preserve"> հիվանդության ծանրություն), արդյունավետության պարամետրերը </w:t>
      </w:r>
      <w:r w:rsidR="00C54D75">
        <w:rPr>
          <w:rFonts w:ascii="Sylfaen" w:hAnsi="Sylfaen"/>
          <w:sz w:val="24"/>
          <w:szCs w:val="24"/>
        </w:rPr>
        <w:t>և</w:t>
      </w:r>
      <w:r w:rsidRPr="003B2786">
        <w:rPr>
          <w:rFonts w:ascii="Sylfaen" w:hAnsi="Sylfaen"/>
          <w:sz w:val="24"/>
          <w:szCs w:val="24"/>
        </w:rPr>
        <w:t xml:space="preserve"> արդյունավետության արդյունքները: Տվյալ աղյուսակը պետք է կազմվի գրանցման դոսյեի 2.7.3.1 աղյուսակին համապատասխան՝ կիրառելիության դեպքում:</w:t>
      </w:r>
    </w:p>
    <w:p w14:paraId="108B5E5B"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Կիրառման ցուցումների մասով պետք է նկարագրվի հետազոտության փորձը բնակչության հատուկ խմբերի շրջանում՝ ի լրումն 3.3 բաժնում նշվածի:</w:t>
      </w:r>
    </w:p>
    <w:p w14:paraId="4DAF7424" w14:textId="49DAA3E2"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կիրառելի է, պետք է ներկայացվեն տեղեկություններ՝ կլինիկական արդյունավետության մասով գիտական առաջարկությունների վերաբերյալ (</w:t>
      </w:r>
      <w:r w:rsidR="001A5F1A">
        <w:rPr>
          <w:rFonts w:ascii="Sylfaen" w:hAnsi="Sylfaen"/>
          <w:sz w:val="24"/>
          <w:szCs w:val="24"/>
        </w:rPr>
        <w:t>հայտագրված</w:t>
      </w:r>
      <w:r w:rsidRPr="003B2786">
        <w:rPr>
          <w:rFonts w:ascii="Sylfaen" w:hAnsi="Sylfaen"/>
          <w:sz w:val="24"/>
          <w:szCs w:val="24"/>
        </w:rPr>
        <w:t xml:space="preserve"> </w:t>
      </w:r>
      <w:r w:rsidR="00C54D75">
        <w:rPr>
          <w:rFonts w:ascii="Sylfaen" w:hAnsi="Sylfaen"/>
          <w:sz w:val="24"/>
          <w:szCs w:val="24"/>
        </w:rPr>
        <w:t>և</w:t>
      </w:r>
      <w:r w:rsidRPr="003B2786">
        <w:rPr>
          <w:rFonts w:ascii="Sylfaen" w:hAnsi="Sylfaen"/>
          <w:sz w:val="24"/>
          <w:szCs w:val="24"/>
        </w:rPr>
        <w:t xml:space="preserve"> ներկայացված առաջարկությունների մանրամասն տվյալներով</w:t>
      </w:r>
      <w:r w:rsidR="007467C7" w:rsidRPr="007467C7">
        <w:rPr>
          <w:rFonts w:ascii="Sylfaen" w:hAnsi="Sylfaen"/>
          <w:sz w:val="24"/>
          <w:szCs w:val="24"/>
        </w:rPr>
        <w:t> </w:t>
      </w:r>
      <w:r w:rsidRPr="003B2786">
        <w:rPr>
          <w:rFonts w:ascii="Sylfaen" w:hAnsi="Sylfaen"/>
          <w:sz w:val="24"/>
          <w:szCs w:val="24"/>
        </w:rPr>
        <w:t>կետ):</w:t>
      </w:r>
    </w:p>
    <w:p w14:paraId="5F0773E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Ներածության մեջ պետք է ներառվի Միության պատշաճ կլինիկական գործունեության կանոնների պահպանման վերջնական գնահատում</w:t>
      </w:r>
    </w:p>
    <w:p w14:paraId="3BF725B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(ենթակա է ընդգրկման 1.2՝ «Պատշաճ կլինիկական գործունեության ասպեկտներ» կետում </w:t>
      </w:r>
      <w:r w:rsidR="00C54D75">
        <w:rPr>
          <w:rFonts w:ascii="Sylfaen" w:hAnsi="Sylfaen"/>
          <w:sz w:val="24"/>
          <w:szCs w:val="24"/>
        </w:rPr>
        <w:t>և</w:t>
      </w:r>
      <w:r w:rsidRPr="003B2786">
        <w:rPr>
          <w:rFonts w:ascii="Sylfaen" w:hAnsi="Sylfaen"/>
          <w:sz w:val="24"/>
          <w:szCs w:val="24"/>
        </w:rPr>
        <w:t xml:space="preserve"> «Ամփոփիչ մոդուլ»-ում),</w:t>
      </w:r>
    </w:p>
    <w:p w14:paraId="136D9B92"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3.3.</w:t>
      </w:r>
      <w:r w:rsidRPr="003B2786">
        <w:rPr>
          <w:rFonts w:ascii="Sylfaen" w:hAnsi="Sylfaen"/>
          <w:sz w:val="24"/>
          <w:szCs w:val="24"/>
        </w:rPr>
        <w:tab/>
        <w:t xml:space="preserve">«Դեղաչափ-ազդեցություն» կախվածության հետազոտությունները </w:t>
      </w:r>
      <w:r w:rsidR="00C54D75">
        <w:rPr>
          <w:rFonts w:ascii="Sylfaen" w:hAnsi="Sylfaen"/>
          <w:sz w:val="24"/>
          <w:szCs w:val="24"/>
        </w:rPr>
        <w:t>և</w:t>
      </w:r>
      <w:r w:rsidRPr="003B2786">
        <w:rPr>
          <w:rFonts w:ascii="Sylfaen" w:hAnsi="Sylfaen"/>
          <w:sz w:val="24"/>
          <w:szCs w:val="24"/>
        </w:rPr>
        <w:t xml:space="preserve"> հիմնական կլինիկական հետազոտությունները:</w:t>
      </w:r>
    </w:p>
    <w:p w14:paraId="6EF5E037"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Հիմնական հետազոտությունների անցկացման համար պատրաստուկի դեղաչափի ընտրության հիմնավորմանը պետք է տրվի գնահատական: Այստեղ </w:t>
      </w:r>
      <w:r w:rsidRPr="003B2786">
        <w:rPr>
          <w:rFonts w:ascii="Sylfaen" w:hAnsi="Sylfaen"/>
          <w:sz w:val="24"/>
          <w:szCs w:val="24"/>
        </w:rPr>
        <w:lastRenderedPageBreak/>
        <w:t>կարող են ներկայացվել մանրամասն տեղեկություններ կամ հղում՝ «Կլինիկական դեղաբանություն» բաժնին:</w:t>
      </w:r>
    </w:p>
    <w:p w14:paraId="69A796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Համառոտ նկարագրություն (եթե ներկայացված չէ այլ տեղում)՝ հաշվի առնելով (անհրաժեշտության դեպքում) հետազոտվող դեղաչափերի ներմուծման ռեժիմը, մեծությունները, տիրույթը, կլինիկական արդյունավետության սուռոգատ կետերի ընտրության հիմնավորումը </w:t>
      </w:r>
      <w:r w:rsidR="00C54D75">
        <w:rPr>
          <w:rFonts w:ascii="Sylfaen" w:hAnsi="Sylfaen"/>
          <w:sz w:val="24"/>
          <w:szCs w:val="24"/>
        </w:rPr>
        <w:t>և</w:t>
      </w:r>
      <w:r w:rsidRPr="003B2786">
        <w:rPr>
          <w:rFonts w:ascii="Sylfaen" w:hAnsi="Sylfaen"/>
          <w:sz w:val="24"/>
          <w:szCs w:val="24"/>
        </w:rPr>
        <w:t xml:space="preserve"> արդյունքները, որոնք արտացոլում են ազդեցությունը՝ արդյունավետության վերաբերյալ նախնական տվյալների, դոզավորման մեծության (ռեժիմի) վերաբերյալ առաջարկությունների վրա:</w:t>
      </w:r>
    </w:p>
    <w:p w14:paraId="5D3E707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Պետք է ներկայացնել ՖԿ/ՖԴ-ի վերլուծության առավել համապատասխան մեթոդների նկարագրությունը </w:t>
      </w:r>
      <w:r w:rsidR="00C54D75">
        <w:rPr>
          <w:rFonts w:ascii="Sylfaen" w:hAnsi="Sylfaen"/>
          <w:sz w:val="24"/>
          <w:szCs w:val="24"/>
        </w:rPr>
        <w:t>և</w:t>
      </w:r>
      <w:r w:rsidRPr="003B2786">
        <w:rPr>
          <w:rFonts w:ascii="Sylfaen" w:hAnsi="Sylfaen"/>
          <w:sz w:val="24"/>
          <w:szCs w:val="24"/>
        </w:rPr>
        <w:t xml:space="preserve"> դրանց արդյունքները, ինչպես նա</w:t>
      </w:r>
      <w:r w:rsidR="00C54D75">
        <w:rPr>
          <w:rFonts w:ascii="Sylfaen" w:hAnsi="Sylfaen"/>
          <w:sz w:val="24"/>
          <w:szCs w:val="24"/>
        </w:rPr>
        <w:t>և</w:t>
      </w:r>
      <w:r w:rsidRPr="003B2786">
        <w:rPr>
          <w:rFonts w:ascii="Sylfaen" w:hAnsi="Sylfaen"/>
          <w:sz w:val="24"/>
          <w:szCs w:val="24"/>
        </w:rPr>
        <w:t xml:space="preserve"> բնակչության շրջանում ՖԿ-ի վերաբերյալ տվյալներ՝ մանրամասն տեղեկատվություն ստանալու համար համապատասխան բաժիններին հղումների նշմամբ: </w:t>
      </w:r>
    </w:p>
    <w:p w14:paraId="3F6DC40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3.4.</w:t>
      </w:r>
      <w:r w:rsidRPr="003B2786">
        <w:rPr>
          <w:rFonts w:ascii="Sylfaen" w:hAnsi="Sylfaen"/>
          <w:sz w:val="24"/>
          <w:szCs w:val="24"/>
        </w:rPr>
        <w:tab/>
        <w:t>Հիմնական հետազոտությունները:</w:t>
      </w:r>
    </w:p>
    <w:p w14:paraId="7104F90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Տեքստում նույնականացվող յուրաքանչյուր հետազոտության վերաբերյալ (օրինակ՝ ըստ արձանագրության համարի) անհրաժեշտ է ներկայացնել </w:t>
      </w:r>
      <w:r w:rsidR="00C54D75">
        <w:rPr>
          <w:rFonts w:ascii="Sylfaen" w:hAnsi="Sylfaen"/>
          <w:sz w:val="24"/>
          <w:szCs w:val="24"/>
        </w:rPr>
        <w:t>և</w:t>
      </w:r>
      <w:r w:rsidRPr="003B2786">
        <w:rPr>
          <w:rFonts w:ascii="Sylfaen" w:hAnsi="Sylfaen"/>
          <w:sz w:val="24"/>
          <w:szCs w:val="24"/>
        </w:rPr>
        <w:t xml:space="preserve"> մեկնաբանել համապատասխան մեթոդները </w:t>
      </w:r>
      <w:r w:rsidR="00C54D75">
        <w:rPr>
          <w:rFonts w:ascii="Sylfaen" w:hAnsi="Sylfaen"/>
          <w:sz w:val="24"/>
          <w:szCs w:val="24"/>
        </w:rPr>
        <w:t>և</w:t>
      </w:r>
      <w:r w:rsidRPr="003B2786">
        <w:rPr>
          <w:rFonts w:ascii="Sylfaen" w:hAnsi="Sylfaen"/>
          <w:sz w:val="24"/>
          <w:szCs w:val="24"/>
        </w:rPr>
        <w:t xml:space="preserve"> արդյունքները: Առաջարկվում է ներառել աղյուսակների բովանդակության մեջ: </w:t>
      </w:r>
    </w:p>
    <w:p w14:paraId="66D1A6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Փորձարկումների մեթոդների նկարագրության, արդյունքների </w:t>
      </w:r>
      <w:r w:rsidR="00C54D75">
        <w:rPr>
          <w:rFonts w:ascii="Sylfaen" w:hAnsi="Sylfaen"/>
          <w:sz w:val="24"/>
          <w:szCs w:val="24"/>
        </w:rPr>
        <w:t>և</w:t>
      </w:r>
      <w:r w:rsidRPr="003B2786">
        <w:rPr>
          <w:rFonts w:ascii="Sylfaen" w:hAnsi="Sylfaen"/>
          <w:sz w:val="24"/>
          <w:szCs w:val="24"/>
        </w:rPr>
        <w:t xml:space="preserve"> մեկնաբանության վերաբերյալ մանրամասն հարցաթերթիկը ներկայացված է ձ</w:t>
      </w:r>
      <w:r w:rsidR="00C54D75">
        <w:rPr>
          <w:rFonts w:ascii="Sylfaen" w:hAnsi="Sylfaen"/>
          <w:sz w:val="24"/>
          <w:szCs w:val="24"/>
        </w:rPr>
        <w:t>և</w:t>
      </w:r>
      <w:r w:rsidRPr="003B2786">
        <w:rPr>
          <w:rFonts w:ascii="Sylfaen" w:hAnsi="Sylfaen"/>
          <w:sz w:val="24"/>
          <w:szCs w:val="24"/>
        </w:rPr>
        <w:t xml:space="preserve">անմուշում: Տվյալ հարցաթերթիկը պարտադիր չէ, այն ծառայում է որպես հաշվետվության մեջ ներառվելիք ենթադրյալ հարցերի կարգավորված ցանկի աղբյուր: Յուրաքանչյուր հարցի արդիականությունը </w:t>
      </w:r>
      <w:r w:rsidR="00C54D75">
        <w:rPr>
          <w:rFonts w:ascii="Sylfaen" w:hAnsi="Sylfaen"/>
          <w:sz w:val="24"/>
          <w:szCs w:val="24"/>
        </w:rPr>
        <w:t>և</w:t>
      </w:r>
      <w:r w:rsidRPr="003B2786">
        <w:rPr>
          <w:rFonts w:ascii="Sylfaen" w:hAnsi="Sylfaen"/>
          <w:sz w:val="24"/>
          <w:szCs w:val="24"/>
        </w:rPr>
        <w:t xml:space="preserve"> (անհրաժեշտության դեպքում) տեղեկությունների մանրամասնեցման պահանջվող մակարդակը հարկավոր է ուսումնասիրել անհատական կարգով:</w:t>
      </w:r>
    </w:p>
    <w:p w14:paraId="13F6281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հարկավոր է բովանդակության մեջ ներառել կրիտիկական դիտողություններ: </w:t>
      </w:r>
    </w:p>
    <w:p w14:paraId="656C60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նույնականացումը </w:t>
      </w:r>
      <w:r w:rsidR="00C54D75">
        <w:rPr>
          <w:rFonts w:ascii="Sylfaen" w:hAnsi="Sylfaen"/>
          <w:sz w:val="24"/>
          <w:szCs w:val="24"/>
        </w:rPr>
        <w:t>և</w:t>
      </w:r>
      <w:r w:rsidRPr="003B2786">
        <w:rPr>
          <w:rFonts w:ascii="Sylfaen" w:hAnsi="Sylfaen"/>
          <w:sz w:val="24"/>
          <w:szCs w:val="24"/>
        </w:rPr>
        <w:t xml:space="preserve"> նկարագրությունը:</w:t>
      </w:r>
    </w:p>
    <w:p w14:paraId="09BC3BA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Հարկավոր է նշել հետազոտության համարը </w:t>
      </w:r>
      <w:r w:rsidR="00C54D75">
        <w:rPr>
          <w:rFonts w:ascii="Sylfaen" w:hAnsi="Sylfaen"/>
          <w:sz w:val="24"/>
          <w:szCs w:val="24"/>
        </w:rPr>
        <w:t>և</w:t>
      </w:r>
      <w:r w:rsidRPr="003B2786">
        <w:rPr>
          <w:rFonts w:ascii="Sylfaen" w:hAnsi="Sylfaen"/>
          <w:sz w:val="24"/>
          <w:szCs w:val="24"/>
        </w:rPr>
        <w:t xml:space="preserve"> անվանումը: Հենց այստեղ էլ պետք է նշվի ըստ բուժման խմբերի մասնակիցների բաշխման կարգը (օրինակ՝ պատահական բաշխում, պատահական ընտրանք, կամ պատահական ընտրանքի բաժանում):</w:t>
      </w:r>
    </w:p>
    <w:p w14:paraId="1549010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Մեթոդների վերաբերյալ տեղեկությունները </w:t>
      </w:r>
      <w:r w:rsidR="00C54D75">
        <w:rPr>
          <w:rFonts w:ascii="Sylfaen" w:hAnsi="Sylfaen"/>
          <w:sz w:val="24"/>
          <w:szCs w:val="24"/>
        </w:rPr>
        <w:t>և</w:t>
      </w:r>
      <w:r w:rsidRPr="003B2786">
        <w:rPr>
          <w:rFonts w:ascii="Sylfaen" w:hAnsi="Sylfaen"/>
          <w:sz w:val="24"/>
          <w:szCs w:val="24"/>
        </w:rPr>
        <w:t xml:space="preserve"> արդյունքները կարող են ներկայացվել համատեղ կամ յուրաքանչյուր փորձարկման համար առանձին (կախված հետազոտությունների տեսակից </w:t>
      </w:r>
      <w:r w:rsidR="00C54D75">
        <w:rPr>
          <w:rFonts w:ascii="Sylfaen" w:hAnsi="Sylfaen"/>
          <w:sz w:val="24"/>
          <w:szCs w:val="24"/>
        </w:rPr>
        <w:t>և</w:t>
      </w:r>
      <w:r w:rsidRPr="003B2786">
        <w:rPr>
          <w:rFonts w:ascii="Sylfaen" w:hAnsi="Sylfaen"/>
          <w:sz w:val="24"/>
          <w:szCs w:val="24"/>
        </w:rPr>
        <w:t xml:space="preserve"> նման բնութագրերից):</w:t>
      </w:r>
    </w:p>
    <w:p w14:paraId="2CBA674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Մեթոդները:</w:t>
      </w:r>
    </w:p>
    <w:p w14:paraId="0619E06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9C354D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3.4.1.1.</w:t>
      </w:r>
      <w:r w:rsidRPr="003B2786">
        <w:rPr>
          <w:rFonts w:ascii="Sylfaen" w:hAnsi="Sylfaen"/>
          <w:sz w:val="24"/>
          <w:szCs w:val="24"/>
        </w:rPr>
        <w:tab/>
        <w:t>Հետազոտության մասնակիցները:</w:t>
      </w:r>
    </w:p>
    <w:p w14:paraId="459AB27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Ներառելու (չներառելու) չափորոշիչները, վայրերը (օրինակ՝ տարածաշրջանները, որտեղ տեղակայված են եղել մասնակիցների հավաքագրման վայրերը) </w:t>
      </w:r>
      <w:r w:rsidR="00C54D75">
        <w:rPr>
          <w:rFonts w:ascii="Sylfaen" w:hAnsi="Sylfaen"/>
          <w:sz w:val="24"/>
          <w:szCs w:val="24"/>
        </w:rPr>
        <w:t>և</w:t>
      </w:r>
      <w:r w:rsidRPr="003B2786">
        <w:rPr>
          <w:rFonts w:ascii="Sylfaen" w:hAnsi="Sylfaen"/>
          <w:sz w:val="24"/>
          <w:szCs w:val="24"/>
        </w:rPr>
        <w:t xml:space="preserve"> պայմանները (մասնակիցների հավաքագրման վայրերի տեսակը, օրինակ՝ հիվանդանոցի (բաժանմունքի) տեսակը), որտեղ կատարվել է տվյալների հավաքագրումը:</w:t>
      </w:r>
    </w:p>
    <w:p w14:paraId="5ABE655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3.4.1.2.</w:t>
      </w:r>
      <w:r w:rsidRPr="003B2786">
        <w:rPr>
          <w:rFonts w:ascii="Sylfaen" w:hAnsi="Sylfaen"/>
          <w:sz w:val="24"/>
          <w:szCs w:val="24"/>
        </w:rPr>
        <w:tab/>
        <w:t>Բուժումը:</w:t>
      </w:r>
    </w:p>
    <w:p w14:paraId="55418A3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Բաժնում պետք է յուրաքանչյուր խմբի համար ներկայացվի մանրամասն տեղեկատվություն՝ բուժման (կամ այլ միջամտությունների), ինչպես նա</w:t>
      </w:r>
      <w:r w:rsidR="00C54D75">
        <w:rPr>
          <w:rFonts w:ascii="Sylfaen" w:hAnsi="Sylfaen"/>
          <w:sz w:val="24"/>
          <w:szCs w:val="24"/>
        </w:rPr>
        <w:t>և</w:t>
      </w:r>
      <w:r w:rsidRPr="003B2786">
        <w:rPr>
          <w:rFonts w:ascii="Sylfaen" w:hAnsi="Sylfaen"/>
          <w:sz w:val="24"/>
          <w:szCs w:val="24"/>
        </w:rPr>
        <w:t xml:space="preserve"> պատրաստուկի ներմուծման կարգի </w:t>
      </w:r>
      <w:r w:rsidR="00C54D75">
        <w:rPr>
          <w:rFonts w:ascii="Sylfaen" w:hAnsi="Sylfaen"/>
          <w:sz w:val="24"/>
          <w:szCs w:val="24"/>
        </w:rPr>
        <w:t>և</w:t>
      </w:r>
      <w:r w:rsidRPr="003B2786">
        <w:rPr>
          <w:rFonts w:ascii="Sylfaen" w:hAnsi="Sylfaen"/>
          <w:sz w:val="24"/>
          <w:szCs w:val="24"/>
        </w:rPr>
        <w:t xml:space="preserve"> ժամի վերաբերյալ:</w:t>
      </w:r>
    </w:p>
    <w:p w14:paraId="4E60969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3.4.1.3.</w:t>
      </w:r>
      <w:r w:rsidRPr="003B2786">
        <w:rPr>
          <w:rFonts w:ascii="Sylfaen" w:hAnsi="Sylfaen"/>
          <w:sz w:val="24"/>
          <w:szCs w:val="24"/>
        </w:rPr>
        <w:tab/>
        <w:t>Նպատակները:</w:t>
      </w:r>
    </w:p>
    <w:p w14:paraId="6A7D9ED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Կոնկրետ նպատակները </w:t>
      </w:r>
      <w:r w:rsidR="00C54D75">
        <w:rPr>
          <w:rFonts w:ascii="Sylfaen" w:hAnsi="Sylfaen"/>
          <w:sz w:val="24"/>
          <w:szCs w:val="24"/>
        </w:rPr>
        <w:t>և</w:t>
      </w:r>
      <w:r w:rsidRPr="003B2786">
        <w:rPr>
          <w:rFonts w:ascii="Sylfaen" w:hAnsi="Sylfaen"/>
          <w:sz w:val="24"/>
          <w:szCs w:val="24"/>
        </w:rPr>
        <w:t xml:space="preserve"> հիպոթեզները, նշվում է վիճակագրական հիպոթեզը (օրինակ՝ կլինիկական արդյունավետության առաջնային կետ(եր)ի համար առավելությունը, համարժեքությունը կամ ոչ պակաս արդյունավետությունը </w:t>
      </w:r>
      <w:r w:rsidR="00C54D75">
        <w:rPr>
          <w:rFonts w:ascii="Sylfaen" w:hAnsi="Sylfaen"/>
          <w:sz w:val="24"/>
          <w:szCs w:val="24"/>
        </w:rPr>
        <w:t>և</w:t>
      </w:r>
      <w:r w:rsidRPr="003B2786">
        <w:rPr>
          <w:rFonts w:ascii="Sylfaen" w:hAnsi="Sylfaen"/>
          <w:sz w:val="24"/>
          <w:szCs w:val="24"/>
        </w:rPr>
        <w:t xml:space="preserve"> ազդեցության ակնկալվող ծավալի հավանականության կամ թույլատրելի սխալի ցուցանիշի որ</w:t>
      </w:r>
      <w:r w:rsidR="00C54D75">
        <w:rPr>
          <w:rFonts w:ascii="Sylfaen" w:hAnsi="Sylfaen"/>
          <w:sz w:val="24"/>
          <w:szCs w:val="24"/>
        </w:rPr>
        <w:t>և</w:t>
      </w:r>
      <w:r w:rsidRPr="003B2786">
        <w:rPr>
          <w:rFonts w:ascii="Sylfaen" w:hAnsi="Sylfaen"/>
          <w:sz w:val="24"/>
          <w:szCs w:val="24"/>
        </w:rPr>
        <w:t>է հիմնավորում):</w:t>
      </w:r>
    </w:p>
    <w:p w14:paraId="70441165"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3.4.1.4.</w:t>
      </w:r>
      <w:r w:rsidRPr="003B2786">
        <w:rPr>
          <w:rFonts w:ascii="Sylfaen" w:hAnsi="Sylfaen"/>
          <w:sz w:val="24"/>
          <w:szCs w:val="24"/>
        </w:rPr>
        <w:tab/>
        <w:t>Կլինիկական արդյունավետության արդյունքները (կետերը):</w:t>
      </w:r>
    </w:p>
    <w:p w14:paraId="7E5C47B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Բաժնում պետք է լինեն հստակ սահմանված առաջնային </w:t>
      </w:r>
      <w:r w:rsidR="00C54D75">
        <w:rPr>
          <w:rFonts w:ascii="Sylfaen" w:hAnsi="Sylfaen"/>
          <w:sz w:val="24"/>
          <w:szCs w:val="24"/>
        </w:rPr>
        <w:t>և</w:t>
      </w:r>
      <w:r w:rsidRPr="003B2786">
        <w:rPr>
          <w:rFonts w:ascii="Sylfaen" w:hAnsi="Sylfaen"/>
          <w:sz w:val="24"/>
          <w:szCs w:val="24"/>
        </w:rPr>
        <w:t xml:space="preserve"> երկրորդային ելքային ցուցանիշներ </w:t>
      </w:r>
      <w:r w:rsidR="00C54D75">
        <w:rPr>
          <w:rFonts w:ascii="Sylfaen" w:hAnsi="Sylfaen"/>
          <w:sz w:val="24"/>
          <w:szCs w:val="24"/>
        </w:rPr>
        <w:t>և</w:t>
      </w:r>
      <w:r w:rsidRPr="003B2786">
        <w:rPr>
          <w:rFonts w:ascii="Sylfaen" w:hAnsi="Sylfaen"/>
          <w:sz w:val="24"/>
          <w:szCs w:val="24"/>
        </w:rPr>
        <w:t xml:space="preserve"> կիրառելիության դեպքում՝ չափումների որակը բարձրացնելու համար օգտագործվող ցանկացած մեթոդ (օրինակ՝ բազմակի դիտարկումներ, գնահատման մասով փորձագետների վերապատրաստում, կենտրոնացված (անկախ) ամփոփումներ):</w:t>
      </w:r>
    </w:p>
    <w:p w14:paraId="3538841C" w14:textId="4852978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կենտրոնացե՛ք կլինիկական արդյունավետության առավել կար</w:t>
      </w:r>
      <w:r w:rsidR="00C54D75">
        <w:rPr>
          <w:rFonts w:ascii="Sylfaen" w:hAnsi="Sylfaen"/>
          <w:sz w:val="24"/>
          <w:szCs w:val="24"/>
        </w:rPr>
        <w:t>և</w:t>
      </w:r>
      <w:r w:rsidRPr="003B2786">
        <w:rPr>
          <w:rFonts w:ascii="Sylfaen" w:hAnsi="Sylfaen"/>
          <w:sz w:val="24"/>
          <w:szCs w:val="24"/>
        </w:rPr>
        <w:t xml:space="preserve">որ երկրորդային կետերի վրա: Կիրառելիության դեպքում շարադրե՛ք </w:t>
      </w:r>
      <w:r w:rsidR="0056496B">
        <w:rPr>
          <w:rFonts w:ascii="Sylfaen" w:hAnsi="Sylfaen"/>
          <w:sz w:val="24"/>
          <w:szCs w:val="24"/>
        </w:rPr>
        <w:t>դիմումատու</w:t>
      </w:r>
      <w:r w:rsidRPr="003B2786">
        <w:rPr>
          <w:rFonts w:ascii="Sylfaen" w:hAnsi="Sylfaen"/>
          <w:sz w:val="24"/>
          <w:szCs w:val="24"/>
        </w:rPr>
        <w:t>ի կողմից ներկայացված հիմնավորումները՝ հօգուտ կլինիկական արդյունավետության որ</w:t>
      </w:r>
      <w:r w:rsidR="00C54D75">
        <w:rPr>
          <w:rFonts w:ascii="Sylfaen" w:hAnsi="Sylfaen"/>
          <w:sz w:val="24"/>
          <w:szCs w:val="24"/>
        </w:rPr>
        <w:t>և</w:t>
      </w:r>
      <w:r w:rsidRPr="003B2786">
        <w:rPr>
          <w:rFonts w:ascii="Sylfaen" w:hAnsi="Sylfaen"/>
          <w:sz w:val="24"/>
          <w:szCs w:val="24"/>
        </w:rPr>
        <w:t>է սուռոգատ կետի ընտրության:</w:t>
      </w:r>
    </w:p>
    <w:p w14:paraId="54310268"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կլինիկական արդյունավետության ցանկացած սուռոգատ կետի ընտրության հիմնավորվածությունը:</w:t>
      </w:r>
    </w:p>
    <w:p w14:paraId="7736409F" w14:textId="77777777" w:rsidR="008C76E0" w:rsidRPr="003B2786" w:rsidRDefault="008C76E0" w:rsidP="00262653">
      <w:pPr>
        <w:tabs>
          <w:tab w:val="left" w:pos="1560"/>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Կլինիկական արդյունավետության վերոնշյալ կետերի կլինիկական նշանակալիության վերաբերյալ անհրաժեշտ է ներկայացնել համառոտ մեկնաբանություններ:</w:t>
      </w:r>
    </w:p>
    <w:p w14:paraId="775A02BA"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3.4.1.5.</w:t>
      </w:r>
      <w:r w:rsidRPr="003B2786">
        <w:rPr>
          <w:rFonts w:ascii="Sylfaen" w:hAnsi="Sylfaen"/>
          <w:sz w:val="24"/>
          <w:szCs w:val="24"/>
        </w:rPr>
        <w:tab/>
        <w:t>Ընտրանքի չափը:</w:t>
      </w:r>
    </w:p>
    <w:p w14:paraId="53279A39"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 xml:space="preserve">Անհրաժեշտ է ներկայացնել ընտրանքի չափը որոշելու կարգը </w:t>
      </w:r>
      <w:r w:rsidR="00C54D75">
        <w:rPr>
          <w:rFonts w:ascii="Sylfaen" w:hAnsi="Sylfaen"/>
          <w:sz w:val="24"/>
          <w:szCs w:val="24"/>
        </w:rPr>
        <w:t>և</w:t>
      </w:r>
      <w:r w:rsidRPr="003B2786">
        <w:rPr>
          <w:rFonts w:ascii="Sylfaen" w:hAnsi="Sylfaen"/>
          <w:sz w:val="24"/>
          <w:szCs w:val="24"/>
        </w:rPr>
        <w:t xml:space="preserve"> կիրառելիության դեպքում՝ ցանկացած միջանկյալ վերլուծության </w:t>
      </w:r>
      <w:r w:rsidR="00C54D75">
        <w:rPr>
          <w:rFonts w:ascii="Sylfaen" w:hAnsi="Sylfaen"/>
          <w:sz w:val="24"/>
          <w:szCs w:val="24"/>
        </w:rPr>
        <w:t>և</w:t>
      </w:r>
      <w:r w:rsidRPr="003B2786">
        <w:rPr>
          <w:rFonts w:ascii="Sylfaen" w:hAnsi="Sylfaen"/>
          <w:sz w:val="24"/>
          <w:szCs w:val="24"/>
        </w:rPr>
        <w:t xml:space="preserve"> դրա դադարեցման կանոնների նկարագրությունը:</w:t>
      </w:r>
    </w:p>
    <w:p w14:paraId="315451E7"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3.4.1.6.</w:t>
      </w:r>
      <w:r w:rsidRPr="003B2786">
        <w:rPr>
          <w:rFonts w:ascii="Sylfaen" w:hAnsi="Sylfaen"/>
          <w:sz w:val="24"/>
          <w:szCs w:val="24"/>
        </w:rPr>
        <w:tab/>
        <w:t>Պատահական ընտրանք:</w:t>
      </w:r>
    </w:p>
    <w:p w14:paraId="0AD6D28E"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t>Պատահական ընտրանքով բաշխման հետ</w:t>
      </w:r>
      <w:r w:rsidR="00C54D75">
        <w:rPr>
          <w:rFonts w:ascii="Sylfaen" w:hAnsi="Sylfaen"/>
          <w:sz w:val="24"/>
          <w:szCs w:val="24"/>
        </w:rPr>
        <w:t>և</w:t>
      </w:r>
      <w:r w:rsidRPr="003B2786">
        <w:rPr>
          <w:rFonts w:ascii="Sylfaen" w:hAnsi="Sylfaen"/>
          <w:sz w:val="24"/>
          <w:szCs w:val="24"/>
        </w:rPr>
        <w:t xml:space="preserve">ողականությունն ապահովելու համար օգտագործվող մեթոդները </w:t>
      </w:r>
      <w:r w:rsidR="00C54D75">
        <w:rPr>
          <w:rFonts w:ascii="Sylfaen" w:hAnsi="Sylfaen"/>
          <w:sz w:val="24"/>
          <w:szCs w:val="24"/>
        </w:rPr>
        <w:t>և</w:t>
      </w:r>
      <w:r w:rsidRPr="003B2786">
        <w:rPr>
          <w:rFonts w:ascii="Sylfaen" w:hAnsi="Sylfaen"/>
          <w:sz w:val="24"/>
          <w:szCs w:val="24"/>
        </w:rPr>
        <w:t xml:space="preserve"> դրա իրագործման համար ստրատիֆիկացման չափորոշիչները:</w:t>
      </w:r>
    </w:p>
    <w:p w14:paraId="6E583792" w14:textId="77777777" w:rsidR="008C76E0" w:rsidRPr="003B2786" w:rsidRDefault="008C76E0" w:rsidP="007467C7">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3.4.1.7.</w:t>
      </w:r>
      <w:r w:rsidRPr="003B2786">
        <w:rPr>
          <w:rFonts w:ascii="Sylfaen" w:hAnsi="Sylfaen"/>
          <w:sz w:val="24"/>
          <w:szCs w:val="24"/>
        </w:rPr>
        <w:tab/>
        <w:t>Տվյալների անանունության ապահովումը («կուրացումը»):</w:t>
      </w:r>
    </w:p>
    <w:p w14:paraId="4958DFC3" w14:textId="77777777" w:rsidR="008C76E0" w:rsidRPr="003B2786" w:rsidRDefault="008C76E0" w:rsidP="007467C7">
      <w:pPr>
        <w:spacing w:after="160" w:line="384" w:lineRule="auto"/>
        <w:ind w:firstLine="567"/>
        <w:jc w:val="both"/>
        <w:rPr>
          <w:rFonts w:ascii="Sylfaen" w:hAnsi="Sylfaen"/>
          <w:sz w:val="24"/>
          <w:szCs w:val="24"/>
        </w:rPr>
      </w:pPr>
      <w:r w:rsidRPr="003B2786">
        <w:rPr>
          <w:rFonts w:ascii="Sylfaen" w:hAnsi="Sylfaen"/>
          <w:sz w:val="24"/>
          <w:szCs w:val="24"/>
        </w:rPr>
        <w:lastRenderedPageBreak/>
        <w:t xml:space="preserve">Անկախ հետազոտությանը մասնակցելուց՝ միջամտությունն ապահոված անձինք </w:t>
      </w:r>
      <w:r w:rsidR="00C54D75">
        <w:rPr>
          <w:rFonts w:ascii="Sylfaen" w:hAnsi="Sylfaen"/>
          <w:sz w:val="24"/>
          <w:szCs w:val="24"/>
        </w:rPr>
        <w:t>և</w:t>
      </w:r>
      <w:r w:rsidRPr="003B2786">
        <w:rPr>
          <w:rFonts w:ascii="Sylfaen" w:hAnsi="Sylfaen"/>
          <w:sz w:val="24"/>
          <w:szCs w:val="24"/>
        </w:rPr>
        <w:t xml:space="preserve"> ելքը գնահատած անձինք իմացել են խմբային բաշխման մասին: Եթե ոչ, ապա ինչպե՞ս է գնահատվել «կուրացման» հաջողությունը:</w:t>
      </w:r>
    </w:p>
    <w:p w14:paraId="718D2244"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3.4.1.8.</w:t>
      </w:r>
      <w:r w:rsidRPr="003B2786">
        <w:rPr>
          <w:rFonts w:ascii="Sylfaen" w:hAnsi="Sylfaen"/>
          <w:sz w:val="24"/>
          <w:szCs w:val="24"/>
        </w:rPr>
        <w:tab/>
        <w:t>Վիճակագրական մեթոդները:</w:t>
      </w:r>
    </w:p>
    <w:p w14:paraId="4E6870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Խմբերի՝ ըստ կլինիկական արդյունավետության առաջնային կետերի համեմատության համար օգտագործվող վիճակագրական մեթոդները (ներառյալ՝ հիմնական վերլուծության համար բնակչության խմբերի որոշումը, սխալների հավանականությունը, բազմաքանակության ճշտումը, օգտագործվող վիճակագրական մեթոդների հակիրճ նկարագրությունը, միջանկյալ վերլուծությունները), լրացուցիչ վերլուծությունների մեթոդները (օրինակ՝ ենթախմբերի վերլուծությունը </w:t>
      </w:r>
      <w:r w:rsidR="00C54D75">
        <w:rPr>
          <w:rFonts w:ascii="Sylfaen" w:hAnsi="Sylfaen"/>
          <w:sz w:val="24"/>
          <w:szCs w:val="24"/>
        </w:rPr>
        <w:t>և</w:t>
      </w:r>
      <w:r w:rsidRPr="003B2786">
        <w:rPr>
          <w:rFonts w:ascii="Sylfaen" w:hAnsi="Sylfaen"/>
          <w:sz w:val="24"/>
          <w:szCs w:val="24"/>
        </w:rPr>
        <w:t xml:space="preserve"> ճշտված վերլուծությունները):</w:t>
      </w:r>
    </w:p>
    <w:p w14:paraId="17A3864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պլանի ընդունելիությունը:</w:t>
      </w:r>
    </w:p>
    <w:p w14:paraId="7762F9C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Վիճակագրական վերլուծության նախապես տրված պլանից որ</w:t>
      </w:r>
      <w:r w:rsidR="00C54D75">
        <w:rPr>
          <w:rFonts w:ascii="Sylfaen" w:hAnsi="Sylfaen"/>
          <w:sz w:val="24"/>
          <w:szCs w:val="24"/>
        </w:rPr>
        <w:t>և</w:t>
      </w:r>
      <w:r w:rsidRPr="003B2786">
        <w:rPr>
          <w:rFonts w:ascii="Sylfaen" w:hAnsi="Sylfaen"/>
          <w:sz w:val="24"/>
          <w:szCs w:val="24"/>
        </w:rPr>
        <w:t>է շեղում անհրաժեշտ է մեկնաբանել:</w:t>
      </w:r>
    </w:p>
    <w:p w14:paraId="2B162D87"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Արդյունքները:</w:t>
      </w:r>
    </w:p>
    <w:p w14:paraId="0CDD57D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Յուրաքանչյուր կոնկրետ դեպքի համար անհրաժեշտ է հետ</w:t>
      </w:r>
      <w:r w:rsidR="00C54D75">
        <w:rPr>
          <w:rFonts w:ascii="Sylfaen" w:hAnsi="Sylfaen"/>
          <w:sz w:val="24"/>
          <w:szCs w:val="24"/>
        </w:rPr>
        <w:t>և</w:t>
      </w:r>
      <w:r w:rsidRPr="003B2786">
        <w:rPr>
          <w:rFonts w:ascii="Sylfaen" w:hAnsi="Sylfaen"/>
          <w:sz w:val="24"/>
          <w:szCs w:val="24"/>
        </w:rPr>
        <w:t>ել առավել կար</w:t>
      </w:r>
      <w:r w:rsidR="00C54D75">
        <w:rPr>
          <w:rFonts w:ascii="Sylfaen" w:hAnsi="Sylfaen"/>
          <w:sz w:val="24"/>
          <w:szCs w:val="24"/>
        </w:rPr>
        <w:t>և</w:t>
      </w:r>
      <w:r w:rsidRPr="003B2786">
        <w:rPr>
          <w:rFonts w:ascii="Sylfaen" w:hAnsi="Sylfaen"/>
          <w:sz w:val="24"/>
          <w:szCs w:val="24"/>
        </w:rPr>
        <w:t>որ կետերին (տե՛ս մակնշված ցանկը):</w:t>
      </w:r>
    </w:p>
    <w:p w14:paraId="22802EC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3.4.2.1.</w:t>
      </w:r>
      <w:r w:rsidRPr="003B2786">
        <w:rPr>
          <w:rFonts w:ascii="Sylfaen" w:hAnsi="Sylfaen"/>
          <w:sz w:val="24"/>
          <w:szCs w:val="24"/>
        </w:rPr>
        <w:tab/>
        <w:t xml:space="preserve">Հետազոտության մեջ մասնակիցների բաշխման սխեման </w:t>
      </w:r>
    </w:p>
    <w:p w14:paraId="2A901177"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Անհրաժեշտ է նկարագրել մասնակիցների կողմից հետազոտության բոլոր փուլերն անցնելու կարգը (հնարավորության դեպքում օգտագործել ստոր</w:t>
      </w:r>
      <w:r w:rsidR="00C54D75">
        <w:rPr>
          <w:rFonts w:ascii="Sylfaen" w:hAnsi="Sylfaen"/>
          <w:sz w:val="24"/>
          <w:szCs w:val="24"/>
        </w:rPr>
        <w:t>և</w:t>
      </w:r>
      <w:r w:rsidRPr="003B2786">
        <w:rPr>
          <w:rFonts w:ascii="Sylfaen" w:hAnsi="Sylfaen"/>
          <w:sz w:val="24"/>
          <w:szCs w:val="24"/>
        </w:rPr>
        <w:t xml:space="preserve"> նշված դիագրամը (կամ որպես այլընտրանք օգտագործել աղյուսակը)):</w:t>
      </w:r>
    </w:p>
    <w:p w14:paraId="73FAD566" w14:textId="77777777" w:rsidR="008C76E0" w:rsidRPr="003B2786" w:rsidRDefault="008C76E0" w:rsidP="0092500F">
      <w:pPr>
        <w:spacing w:after="160" w:line="384" w:lineRule="auto"/>
        <w:ind w:right="-1" w:firstLine="567"/>
        <w:jc w:val="both"/>
        <w:rPr>
          <w:rFonts w:ascii="Sylfaen" w:hAnsi="Sylfaen"/>
          <w:sz w:val="24"/>
          <w:szCs w:val="24"/>
        </w:rPr>
      </w:pPr>
      <w:r w:rsidRPr="003B2786">
        <w:rPr>
          <w:rFonts w:ascii="Sylfaen" w:hAnsi="Sylfaen"/>
          <w:sz w:val="24"/>
          <w:szCs w:val="24"/>
        </w:rPr>
        <w:t xml:space="preserve">Մասնավորապես, յուրաքանչյուր խմբի համար անհրաժեշտ է նշել խմբերում պատահական կարգով բաշխված մասնակիցների թիվը, որոնք ստացել են նշանակված բուժումը, կատարել են հետազոտության արձանագրության պահանջները </w:t>
      </w:r>
      <w:r w:rsidR="00C54D75">
        <w:rPr>
          <w:rFonts w:ascii="Sylfaen" w:hAnsi="Sylfaen"/>
          <w:sz w:val="24"/>
          <w:szCs w:val="24"/>
        </w:rPr>
        <w:t>և</w:t>
      </w:r>
      <w:r w:rsidRPr="003B2786">
        <w:rPr>
          <w:rFonts w:ascii="Sylfaen" w:hAnsi="Sylfaen"/>
          <w:sz w:val="24"/>
          <w:szCs w:val="24"/>
        </w:rPr>
        <w:t xml:space="preserve"> հանձնել առաջնային ելքի որոշման անալիզներ, օրինակ՝</w:t>
      </w:r>
    </w:p>
    <w:p w14:paraId="78D99BB8"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հետազոտության մեջ ներառելը (սքրինինգ անցած սուբյեկտների թիվը, պատահական ընտրանքի սուբյեկտների թիվը, հետազոտությունից հանված սուբյեկտների թիվը՝ նշելով հետազոտությանը մասնակցելու համար սուբյեկտների հավաքագրման պատճառը, ամսաթիվը, ժամանակահատվածները),</w:t>
      </w:r>
    </w:p>
    <w:p w14:paraId="4F37D0D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բաշխումը (ըստ ազդեցության խմբերի՝ պատահական ընտրանքի սուբյեկտների թիվը, նշանակված բուժումն սկսած սուբյեկտների թիվը, նշանակված բուժումը չսկսած սուբյեկտների թիվը՝ նշելով պատճառները),</w:t>
      </w:r>
    </w:p>
    <w:p w14:paraId="2B5295DA"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հսկողությունը բուժումն անցնելուց հետո (ըստ ազդեցության խմբերի՝ բուժումն անցնելուց հետո հսկողություն չանցած սուբյեկտների թիվը՝ նշելով պատճառները, բուժումն ընդհատելու դեպքերի քանակն ըստ արձանագրության, հսկողության ժամանակահատվածը), </w:t>
      </w:r>
    </w:p>
    <w:p w14:paraId="1A4BA151"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վերլուծությունը (կլինիկական արդյունավետության առաջնային կետերը որոշելու վերլուծության խմբում ընդգրկված սուբյեկտների թիվը, հանված սուբյեկտների թիվը՝ նշելով պատճառները):</w:t>
      </w:r>
    </w:p>
    <w:p w14:paraId="6278611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ներկայացնել պլանավորված հետազոտությունների արձանագրությունից շեղումների վերաբերյալ տեղեկություններ՝ նշելով պատճառները:</w:t>
      </w:r>
    </w:p>
    <w:p w14:paraId="3F317FD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բուժումից ազատվելու </w:t>
      </w:r>
      <w:r w:rsidR="00C54D75">
        <w:rPr>
          <w:rFonts w:ascii="Sylfaen" w:hAnsi="Sylfaen"/>
          <w:sz w:val="24"/>
          <w:szCs w:val="24"/>
        </w:rPr>
        <w:t>և</w:t>
      </w:r>
      <w:r w:rsidRPr="003B2786">
        <w:rPr>
          <w:rFonts w:ascii="Sylfaen" w:hAnsi="Sylfaen"/>
          <w:sz w:val="24"/>
          <w:szCs w:val="24"/>
        </w:rPr>
        <w:t xml:space="preserve"> հետազոտությունից վաղ դուրս գալու չափորոշիչների նկարագրությունը, եթե այդ տեղեկությունները կնպաստեն արդյունքների մեկնաբանությունը հասկանալուն:</w:t>
      </w:r>
    </w:p>
    <w:p w14:paraId="6901C500"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3.4.2.2.</w:t>
      </w:r>
      <w:r w:rsidRPr="003B2786">
        <w:rPr>
          <w:rFonts w:ascii="Sylfaen" w:hAnsi="Sylfaen"/>
          <w:sz w:val="24"/>
          <w:szCs w:val="24"/>
        </w:rPr>
        <w:tab/>
        <w:t>Մանակիցների հավաքագրումը:</w:t>
      </w:r>
    </w:p>
    <w:p w14:paraId="03EF7AC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Հավաքագրման </w:t>
      </w:r>
      <w:r w:rsidR="00C54D75">
        <w:rPr>
          <w:rFonts w:ascii="Sylfaen" w:hAnsi="Sylfaen"/>
          <w:sz w:val="24"/>
          <w:szCs w:val="24"/>
        </w:rPr>
        <w:t>և</w:t>
      </w:r>
      <w:r w:rsidRPr="003B2786">
        <w:rPr>
          <w:rFonts w:ascii="Sylfaen" w:hAnsi="Sylfaen"/>
          <w:sz w:val="24"/>
          <w:szCs w:val="24"/>
        </w:rPr>
        <w:t xml:space="preserve"> բուժումն անցկացնելուց հետո հսկողության ամսաթվերը:</w:t>
      </w:r>
    </w:p>
    <w:p w14:paraId="1546D03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3.4.2.3.</w:t>
      </w:r>
      <w:r w:rsidRPr="003B2786">
        <w:rPr>
          <w:rFonts w:ascii="Sylfaen" w:hAnsi="Sylfaen"/>
          <w:sz w:val="24"/>
          <w:szCs w:val="24"/>
        </w:rPr>
        <w:tab/>
        <w:t>Հետազոտության անցկացումը:</w:t>
      </w:r>
    </w:p>
    <w:p w14:paraId="58AF45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նշել, թե արդյոք արձանագրությունում էական փոփոխություններ են մտցվել (եթե դա նկարագրված չէ վիճակագրական վերլուծության բաժնում): Կիրառելիության դեպքում անհրաժեշտ է ներկայացնել </w:t>
      </w:r>
      <w:r w:rsidRPr="003B2786">
        <w:rPr>
          <w:rFonts w:ascii="Sylfaen" w:hAnsi="Sylfaen"/>
          <w:sz w:val="24"/>
          <w:szCs w:val="24"/>
        </w:rPr>
        <w:lastRenderedPageBreak/>
        <w:t xml:space="preserve">արձանագրության </w:t>
      </w:r>
      <w:r w:rsidR="00C54D75">
        <w:rPr>
          <w:rFonts w:ascii="Sylfaen" w:hAnsi="Sylfaen"/>
          <w:sz w:val="24"/>
          <w:szCs w:val="24"/>
        </w:rPr>
        <w:t>և</w:t>
      </w:r>
      <w:r w:rsidRPr="003B2786">
        <w:rPr>
          <w:rFonts w:ascii="Sylfaen" w:hAnsi="Sylfaen"/>
          <w:sz w:val="24"/>
          <w:szCs w:val="24"/>
        </w:rPr>
        <w:t xml:space="preserve"> Միության պատշաճ կլինիկական գործունեության կանոնների պահպանման մասով ստուգման արդյունքների վերաբերյալ տեղեկություններ:</w:t>
      </w:r>
    </w:p>
    <w:p w14:paraId="570604FD"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3.4.2.4.</w:t>
      </w:r>
      <w:r w:rsidRPr="003B2786">
        <w:rPr>
          <w:rFonts w:ascii="Sylfaen" w:hAnsi="Sylfaen"/>
          <w:sz w:val="24"/>
          <w:szCs w:val="24"/>
        </w:rPr>
        <w:tab/>
        <w:t>Ելակետային տվյալներ:</w:t>
      </w:r>
    </w:p>
    <w:p w14:paraId="1CFA3AD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Յուրաքանչյուր խմբի ժողովրդագրական </w:t>
      </w:r>
      <w:r w:rsidR="00C54D75">
        <w:rPr>
          <w:rFonts w:ascii="Sylfaen" w:hAnsi="Sylfaen"/>
          <w:sz w:val="24"/>
          <w:szCs w:val="24"/>
        </w:rPr>
        <w:t>և</w:t>
      </w:r>
      <w:r w:rsidRPr="003B2786">
        <w:rPr>
          <w:rFonts w:ascii="Sylfaen" w:hAnsi="Sylfaen"/>
          <w:sz w:val="24"/>
          <w:szCs w:val="24"/>
        </w:rPr>
        <w:t xml:space="preserve"> կլինիկական ելակետային բնութագրերը:</w:t>
      </w:r>
    </w:p>
    <w:p w14:paraId="46AF6D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Մասնավորապես, ըստ ազդեցության բոլոր խմբերի՝ անհրաժեշտ է ներկայացնել բնութագրերի անհամաչափության մասին վկայող տեղեկություններ: </w:t>
      </w:r>
    </w:p>
    <w:p w14:paraId="52FA082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Անհրաժեշտ է մեկնաբանել, թե ինչպես են բնակչության հետազոտվող խմբի բնութագրերն արտացոլում պատրաստուկի կիրառման ենթադրյալ ցուցումը (կամ հետաձգել մեկնաբանությունները մինչ դրանք ընդհանուր եզրահանգումների մեջ ներառելը):</w:t>
      </w:r>
    </w:p>
    <w:p w14:paraId="5D172AAA"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մեկնաբանել ազդեցության խմբերի միջ</w:t>
      </w:r>
      <w:r w:rsidR="00C54D75">
        <w:rPr>
          <w:rFonts w:ascii="Sylfaen" w:hAnsi="Sylfaen"/>
          <w:sz w:val="24"/>
          <w:szCs w:val="24"/>
        </w:rPr>
        <w:t>և</w:t>
      </w:r>
      <w:r w:rsidRPr="003B2786">
        <w:rPr>
          <w:rFonts w:ascii="Sylfaen" w:hAnsi="Sylfaen"/>
          <w:sz w:val="24"/>
          <w:szCs w:val="24"/>
        </w:rPr>
        <w:t xml:space="preserve"> նմանությունները </w:t>
      </w:r>
      <w:r w:rsidR="00C54D75">
        <w:rPr>
          <w:rFonts w:ascii="Sylfaen" w:hAnsi="Sylfaen"/>
          <w:sz w:val="24"/>
          <w:szCs w:val="24"/>
        </w:rPr>
        <w:t>և</w:t>
      </w:r>
      <w:r w:rsidRPr="003B2786">
        <w:rPr>
          <w:rFonts w:ascii="Sylfaen" w:hAnsi="Sylfaen"/>
          <w:sz w:val="24"/>
          <w:szCs w:val="24"/>
        </w:rPr>
        <w:t xml:space="preserve"> տարբերությունները (եթե կիրառելի է):</w:t>
      </w:r>
    </w:p>
    <w:p w14:paraId="5CCC909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ներկայացվում են բուժման նկատմամբ մասնակիցների հակվածության վերաբերյալ մեկնաբանություններ:</w:t>
      </w:r>
    </w:p>
    <w:p w14:paraId="2ED348EC"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3.4.2.5.</w:t>
      </w:r>
      <w:r w:rsidRPr="003B2786">
        <w:rPr>
          <w:rFonts w:ascii="Sylfaen" w:hAnsi="Sylfaen"/>
          <w:sz w:val="24"/>
          <w:szCs w:val="24"/>
        </w:rPr>
        <w:tab/>
        <w:t>Վերլուծված ընտրանքը:</w:t>
      </w:r>
    </w:p>
    <w:p w14:paraId="7AA14053" w14:textId="5E7E94D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յուրաքանչյուր վերլուծության մեջ ներառված մասնակիցների թիվը (</w:t>
      </w:r>
      <w:r w:rsidR="0056496B">
        <w:rPr>
          <w:rFonts w:ascii="Sylfaen" w:hAnsi="Sylfaen"/>
          <w:sz w:val="24"/>
          <w:szCs w:val="24"/>
        </w:rPr>
        <w:t>դիմում</w:t>
      </w:r>
      <w:r w:rsidRPr="003B2786">
        <w:rPr>
          <w:rFonts w:ascii="Sylfaen" w:hAnsi="Sylfaen"/>
          <w:sz w:val="24"/>
          <w:szCs w:val="24"/>
        </w:rPr>
        <w:t>արարը) յուրաքանչյուր խմբում, ինչպես նա</w:t>
      </w:r>
      <w:r w:rsidR="00C54D75">
        <w:rPr>
          <w:rFonts w:ascii="Sylfaen" w:hAnsi="Sylfaen"/>
          <w:sz w:val="24"/>
          <w:szCs w:val="24"/>
        </w:rPr>
        <w:t>և</w:t>
      </w:r>
      <w:r w:rsidRPr="003B2786">
        <w:rPr>
          <w:rFonts w:ascii="Sylfaen" w:hAnsi="Sylfaen"/>
          <w:sz w:val="24"/>
          <w:szCs w:val="24"/>
        </w:rPr>
        <w:t>՝ արդյոք վերլուծությանը մասնակցելը պայմանավորված է եղել «բուժման նկատմամբ հակվածությամբ»: Հնարավորության դեպքում արդյունքները ներկայացվում են բացարձակ թվերով (օրինակ՝ 10/20, բայց ոչ 50%):</w:t>
      </w:r>
    </w:p>
    <w:p w14:paraId="172DB202"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3.4.2.6.</w:t>
      </w:r>
      <w:r w:rsidRPr="003B2786">
        <w:rPr>
          <w:rFonts w:ascii="Sylfaen" w:hAnsi="Sylfaen"/>
          <w:sz w:val="24"/>
          <w:szCs w:val="24"/>
        </w:rPr>
        <w:tab/>
        <w:t>Ելքերն ու գնահատումը:</w:t>
      </w:r>
    </w:p>
    <w:p w14:paraId="4F12A1F6"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ներկայացնել յուրաքանչյուր խմբի սուբյեկտների շրջանում յուրաքանչյուր առաջնային </w:t>
      </w:r>
      <w:r w:rsidR="00C54D75">
        <w:rPr>
          <w:rFonts w:ascii="Sylfaen" w:hAnsi="Sylfaen"/>
          <w:sz w:val="24"/>
          <w:szCs w:val="24"/>
        </w:rPr>
        <w:t>և</w:t>
      </w:r>
      <w:r w:rsidRPr="003B2786">
        <w:rPr>
          <w:rFonts w:ascii="Sylfaen" w:hAnsi="Sylfaen"/>
          <w:sz w:val="24"/>
          <w:szCs w:val="24"/>
        </w:rPr>
        <w:t xml:space="preserve"> երկրորդային ելքի վերաբերյալ արդյունքների համառոտ ամփոփում՝ հաշվարկային ճշգրտությամբ (օրինակ՝ 95% CI): </w:t>
      </w:r>
    </w:p>
    <w:p w14:paraId="18DC2CC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Անհրաժեշտ է նկարագրել դիտվող ազդեցության կլինիկական նշանակությունը,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հարաբերության գնահատման համար:</w:t>
      </w:r>
    </w:p>
    <w:p w14:paraId="51AF13BA"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3.4.2.7.</w:t>
      </w:r>
      <w:r w:rsidRPr="003B2786">
        <w:rPr>
          <w:rFonts w:ascii="Sylfaen" w:hAnsi="Sylfaen"/>
          <w:sz w:val="24"/>
          <w:szCs w:val="24"/>
        </w:rPr>
        <w:tab/>
        <w:t>Լրացուցիչ վերլուծությունները:</w:t>
      </w:r>
    </w:p>
    <w:p w14:paraId="4494B85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մեկնաբանել անցկացված մի շարք վերլուծությունների վերաբերյալ ներկայացված տեղեկությունները՝ ներառյալ ենթախմբային վերլուծությունը </w:t>
      </w:r>
      <w:r w:rsidR="00C54D75">
        <w:rPr>
          <w:rFonts w:ascii="Sylfaen" w:hAnsi="Sylfaen"/>
          <w:sz w:val="24"/>
          <w:szCs w:val="24"/>
        </w:rPr>
        <w:t>և</w:t>
      </w:r>
      <w:r w:rsidRPr="003B2786">
        <w:rPr>
          <w:rFonts w:ascii="Sylfaen" w:hAnsi="Sylfaen"/>
          <w:sz w:val="24"/>
          <w:szCs w:val="24"/>
        </w:rPr>
        <w:t xml:space="preserve"> շտկված վերլուծությունները, ինչպես նա</w:t>
      </w:r>
      <w:r w:rsidR="00C54D75">
        <w:rPr>
          <w:rFonts w:ascii="Sylfaen" w:hAnsi="Sylfaen"/>
          <w:sz w:val="24"/>
          <w:szCs w:val="24"/>
        </w:rPr>
        <w:t>և</w:t>
      </w:r>
      <w:r w:rsidRPr="003B2786">
        <w:rPr>
          <w:rFonts w:ascii="Sylfaen" w:hAnsi="Sylfaen"/>
          <w:sz w:val="24"/>
          <w:szCs w:val="24"/>
        </w:rPr>
        <w:t xml:space="preserve"> ծրագրված </w:t>
      </w:r>
      <w:r w:rsidR="00C54D75">
        <w:rPr>
          <w:rFonts w:ascii="Sylfaen" w:hAnsi="Sylfaen"/>
          <w:sz w:val="24"/>
          <w:szCs w:val="24"/>
        </w:rPr>
        <w:t>և</w:t>
      </w:r>
      <w:r w:rsidRPr="003B2786">
        <w:rPr>
          <w:rFonts w:ascii="Sylfaen" w:hAnsi="Sylfaen"/>
          <w:sz w:val="24"/>
          <w:szCs w:val="24"/>
        </w:rPr>
        <w:t xml:space="preserve"> ամփոփիչ վերլուծությունները (ստացված արդյունքների վերաբերյալ ենթախմբային վերլուծությունները </w:t>
      </w:r>
      <w:r w:rsidR="00C54D75">
        <w:rPr>
          <w:rFonts w:ascii="Sylfaen" w:hAnsi="Sylfaen"/>
          <w:sz w:val="24"/>
          <w:szCs w:val="24"/>
        </w:rPr>
        <w:t>և</w:t>
      </w:r>
      <w:r w:rsidRPr="003B2786">
        <w:rPr>
          <w:rFonts w:ascii="Sylfaen" w:hAnsi="Sylfaen"/>
          <w:sz w:val="24"/>
          <w:szCs w:val="24"/>
        </w:rPr>
        <w:t xml:space="preserve"> այլ վերլուծություններ):</w:t>
      </w:r>
    </w:p>
    <w:p w14:paraId="186FA490"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Կարող է պահանջվել վերլուծության ընտրության հիմնավորումների շարադրում:</w:t>
      </w:r>
    </w:p>
    <w:p w14:paraId="0E08F771"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3.4.2.8.</w:t>
      </w:r>
      <w:r w:rsidRPr="003B2786">
        <w:rPr>
          <w:rFonts w:ascii="Sylfaen" w:hAnsi="Sylfaen"/>
          <w:sz w:val="24"/>
          <w:szCs w:val="24"/>
        </w:rPr>
        <w:tab/>
        <w:t>Արդյունավետության հիմնական արդյունքների համառոտ ամփոփումը:</w:t>
      </w:r>
    </w:p>
    <w:p w14:paraId="09095656"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Հարկավոր է ընդհանրացնել (աղյուսակային ձ</w:t>
      </w:r>
      <w:r w:rsidR="00C54D75">
        <w:rPr>
          <w:rFonts w:ascii="Sylfaen" w:hAnsi="Sylfaen"/>
          <w:sz w:val="24"/>
          <w:szCs w:val="24"/>
        </w:rPr>
        <w:t>և</w:t>
      </w:r>
      <w:r w:rsidRPr="003B2786">
        <w:rPr>
          <w:rFonts w:ascii="Sylfaen" w:hAnsi="Sylfaen"/>
          <w:sz w:val="24"/>
          <w:szCs w:val="24"/>
        </w:rPr>
        <w:t>ով) արդյունավետության հիմնական հետազոտության արդյունքներն արտացոլող առավել արդիական տեղեկատվությունը: Տվյալ ընդհանրացված տեղեկությունները պետք է հարմարեցվեն արդյունավետության վերաբերյալ եզրակացություն կազմելու համար անդամ պետությունների լիազորված փորձագիտական կազմակերպությունների կողմից օգտագործված տվյալների ամբողջությանը: Այսպիսով, կար</w:t>
      </w:r>
      <w:r w:rsidR="00C54D75">
        <w:rPr>
          <w:rFonts w:ascii="Sylfaen" w:hAnsi="Sylfaen"/>
          <w:sz w:val="24"/>
          <w:szCs w:val="24"/>
        </w:rPr>
        <w:t>և</w:t>
      </w:r>
      <w:r w:rsidRPr="003B2786">
        <w:rPr>
          <w:rFonts w:ascii="Sylfaen" w:hAnsi="Sylfaen"/>
          <w:sz w:val="24"/>
          <w:szCs w:val="24"/>
        </w:rPr>
        <w:t xml:space="preserve">որ է արտացոլել առավել նշանակալից համարվող վերլուծության արդյունքները (նախընտրելի է ընդհանուր ընտրանքի </w:t>
      </w:r>
      <w:r w:rsidR="00C54D75">
        <w:rPr>
          <w:rFonts w:ascii="Sylfaen" w:hAnsi="Sylfaen"/>
          <w:sz w:val="24"/>
          <w:szCs w:val="24"/>
        </w:rPr>
        <w:t>և</w:t>
      </w:r>
      <w:r w:rsidRPr="003B2786">
        <w:rPr>
          <w:rFonts w:ascii="Sylfaen" w:hAnsi="Sylfaen"/>
          <w:sz w:val="24"/>
          <w:szCs w:val="24"/>
        </w:rPr>
        <w:t xml:space="preserve"> համաձայն արձանագրության՝ հետազոտության մեջ իրենց մասնակցությունն ավարտած պացիենտների խմբի վերլուծությունը, սակայն հնարավոր է նա</w:t>
      </w:r>
      <w:r w:rsidR="00C54D75">
        <w:rPr>
          <w:rFonts w:ascii="Sylfaen" w:hAnsi="Sylfaen"/>
          <w:sz w:val="24"/>
          <w:szCs w:val="24"/>
        </w:rPr>
        <w:t>և</w:t>
      </w:r>
      <w:r w:rsidRPr="003B2786">
        <w:rPr>
          <w:rFonts w:ascii="Sylfaen" w:hAnsi="Sylfaen"/>
          <w:sz w:val="24"/>
          <w:szCs w:val="24"/>
        </w:rPr>
        <w:t xml:space="preserve"> կլինիկորեն սահմանված ենթախմբային վերլուծություն (նախապես ծրագրված վերլուծություն կամ վերլուծություն՝ ըստ արդյունքների, </w:t>
      </w:r>
      <w:r w:rsidR="00C54D75">
        <w:rPr>
          <w:rFonts w:ascii="Sylfaen" w:hAnsi="Sylfaen"/>
          <w:sz w:val="24"/>
          <w:szCs w:val="24"/>
        </w:rPr>
        <w:t>և</w:t>
      </w:r>
      <w:r w:rsidRPr="003B2786">
        <w:rPr>
          <w:rFonts w:ascii="Sylfaen" w:hAnsi="Sylfaen"/>
          <w:sz w:val="24"/>
          <w:szCs w:val="24"/>
        </w:rPr>
        <w:t xml:space="preserve"> այլն)): Նախապես ծրագրված առաջնային վերլուծության տվյալները պետք է ամեն դեպքում ներկայացվեն:</w:t>
      </w:r>
    </w:p>
    <w:p w14:paraId="4641E221"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lastRenderedPageBreak/>
        <w:t>Կոնկրետ հետազոտությունների տվյալներն արտացոլելու համար անհրաժեշտ է օգտագործել ստանդարտ ձ</w:t>
      </w:r>
      <w:r w:rsidR="00C54D75">
        <w:rPr>
          <w:rFonts w:ascii="Sylfaen" w:hAnsi="Sylfaen"/>
          <w:sz w:val="24"/>
          <w:szCs w:val="24"/>
        </w:rPr>
        <w:t>և</w:t>
      </w:r>
      <w:r w:rsidRPr="003B2786">
        <w:rPr>
          <w:rFonts w:ascii="Sylfaen" w:hAnsi="Sylfaen"/>
          <w:sz w:val="24"/>
          <w:szCs w:val="24"/>
        </w:rPr>
        <w:t>ի հետ</w:t>
      </w:r>
      <w:r w:rsidR="00C54D75">
        <w:rPr>
          <w:rFonts w:ascii="Sylfaen" w:hAnsi="Sylfaen"/>
          <w:sz w:val="24"/>
          <w:szCs w:val="24"/>
        </w:rPr>
        <w:t>և</w:t>
      </w:r>
      <w:r w:rsidRPr="003B2786">
        <w:rPr>
          <w:rFonts w:ascii="Sylfaen" w:hAnsi="Sylfaen"/>
          <w:sz w:val="24"/>
          <w:szCs w:val="24"/>
        </w:rPr>
        <w:t xml:space="preserve">յալ աղյուսակը: Մանրամասնեցման մակարդակը պետք է ապահովի հետագա մեկնաբանության </w:t>
      </w:r>
      <w:r w:rsidR="00C54D75">
        <w:rPr>
          <w:rFonts w:ascii="Sylfaen" w:hAnsi="Sylfaen"/>
          <w:sz w:val="24"/>
          <w:szCs w:val="24"/>
        </w:rPr>
        <w:t>և</w:t>
      </w:r>
      <w:r w:rsidRPr="003B2786">
        <w:rPr>
          <w:rFonts w:ascii="Sylfaen" w:hAnsi="Sylfaen"/>
          <w:sz w:val="24"/>
          <w:szCs w:val="24"/>
        </w:rPr>
        <w:t xml:space="preserve"> պատրաստուկի օգուտի վերաբերյալ եզրակացության, ինչպես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համար տվյալների օգտագործման հնարավորությունը: Բուժման խմբերի տվյալները, ինչպես նա</w:t>
      </w:r>
      <w:r w:rsidR="00C54D75">
        <w:rPr>
          <w:rFonts w:ascii="Sylfaen" w:hAnsi="Sylfaen"/>
          <w:sz w:val="24"/>
          <w:szCs w:val="24"/>
        </w:rPr>
        <w:t>և</w:t>
      </w:r>
      <w:r w:rsidRPr="003B2786">
        <w:rPr>
          <w:rFonts w:ascii="Sylfaen" w:hAnsi="Sylfaen"/>
          <w:sz w:val="24"/>
          <w:szCs w:val="24"/>
        </w:rPr>
        <w:t xml:space="preserve"> տարբեր սուբյեկտների ամբողջության վերաբերյալ տեղեկությունները, որոնք ենթակա են վերլուծության, պետք է ներկայացվեն առանձին վանդակներով (օրինակ՝ արձանագրության համաձայն՝ հետազոտության մեջ մասնակցությունն ավարտած պացիենտների ընդհանուր ընտրանքը </w:t>
      </w:r>
      <w:r w:rsidR="00C54D75">
        <w:rPr>
          <w:rFonts w:ascii="Sylfaen" w:hAnsi="Sylfaen"/>
          <w:sz w:val="24"/>
          <w:szCs w:val="24"/>
        </w:rPr>
        <w:t>և</w:t>
      </w:r>
      <w:r w:rsidRPr="003B2786">
        <w:rPr>
          <w:rFonts w:ascii="Sylfaen" w:hAnsi="Sylfaen"/>
          <w:sz w:val="24"/>
          <w:szCs w:val="24"/>
        </w:rPr>
        <w:t xml:space="preserve"> խումբը): Հեռացման պատճառները պետք է ընդհանրացվեն:</w:t>
      </w:r>
    </w:p>
    <w:p w14:paraId="688CF15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Տարբեր հիմնական փորձարկումների տվյալները պետք է ներկայացվեն առանձին աղյուսակներով: Բացի տվյալ աղյուսակներից՝ այս բաժնում լրացուցիչ տեքստի ներառում չի նախատեսվում: Տվյալ փորձարկումների մանրամասն նկարագրությունը՝ բովանդակային պլանի կառուցվածքի </w:t>
      </w:r>
      <w:r w:rsidR="00C54D75">
        <w:rPr>
          <w:rFonts w:ascii="Sylfaen" w:hAnsi="Sylfaen"/>
          <w:sz w:val="24"/>
          <w:szCs w:val="24"/>
        </w:rPr>
        <w:t>և</w:t>
      </w:r>
      <w:r w:rsidRPr="003B2786">
        <w:rPr>
          <w:rFonts w:ascii="Sylfaen" w:hAnsi="Sylfaen"/>
          <w:sz w:val="24"/>
          <w:szCs w:val="24"/>
        </w:rPr>
        <w:t xml:space="preserve"> հարաբերակցությունների հաշվարկի վերաբերյալ կոնկրետ տեղեկատվությամբ, ներկայացվում է մյուս բաժիններում: Անվտանգության վերաբերյալ տվյալները ենթակա են արտացոլման «Կլինիկական անվտանգություն» բաժնում:</w:t>
      </w:r>
    </w:p>
    <w:p w14:paraId="021473C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3.5.</w:t>
      </w:r>
      <w:r w:rsidRPr="003B2786">
        <w:rPr>
          <w:rFonts w:ascii="Sylfaen" w:hAnsi="Sylfaen"/>
          <w:sz w:val="24"/>
          <w:szCs w:val="24"/>
        </w:rPr>
        <w:tab/>
        <w:t>Կլինիկական հետազոտությունները բնակչության հատուկ խմբերի շրջանում:</w:t>
      </w:r>
    </w:p>
    <w:p w14:paraId="65AA377D" w14:textId="77777777" w:rsidR="008C76E0" w:rsidRPr="003B2786" w:rsidRDefault="008C76E0" w:rsidP="0092500F">
      <w:pPr>
        <w:spacing w:after="160" w:line="384" w:lineRule="auto"/>
        <w:ind w:firstLine="567"/>
        <w:jc w:val="both"/>
        <w:rPr>
          <w:rFonts w:ascii="Sylfaen" w:hAnsi="Sylfaen"/>
          <w:sz w:val="24"/>
          <w:szCs w:val="24"/>
        </w:rPr>
      </w:pPr>
      <w:r w:rsidRPr="003B2786">
        <w:rPr>
          <w:rFonts w:ascii="Sylfaen" w:hAnsi="Sylfaen"/>
          <w:sz w:val="24"/>
          <w:szCs w:val="24"/>
        </w:rPr>
        <w:t xml:space="preserve">Տվյալ բաժնում հարկավոր է նկարագրել հատուկ հետազոտությունները (օրինակ՝ երեխաների, տարեց մարդկանց </w:t>
      </w:r>
      <w:r w:rsidR="00C54D75">
        <w:rPr>
          <w:rFonts w:ascii="Sylfaen" w:hAnsi="Sylfaen"/>
          <w:sz w:val="24"/>
          <w:szCs w:val="24"/>
        </w:rPr>
        <w:t>և</w:t>
      </w:r>
      <w:r w:rsidRPr="003B2786">
        <w:rPr>
          <w:rFonts w:ascii="Sylfaen" w:hAnsi="Sylfaen"/>
          <w:sz w:val="24"/>
          <w:szCs w:val="24"/>
        </w:rPr>
        <w:t xml:space="preserve"> երիկամային կամ լյարդի անբավարարությամբ տառապող սուբյեկտների շրջանում): Տվյալ հետազոտություններն անհրաժեշտ է նկարագրել հիմնական հետազոտությունների վերաբերյալ առաջարկությունների համաձայն՝ ներառյալ դեղաչափերի ճշտման վերաբերյալ նկատառումները: </w:t>
      </w:r>
    </w:p>
    <w:p w14:paraId="4E1F97F8"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3.6.</w:t>
      </w:r>
      <w:r w:rsidRPr="003B2786">
        <w:rPr>
          <w:rFonts w:ascii="Sylfaen" w:hAnsi="Sylfaen"/>
          <w:sz w:val="24"/>
          <w:szCs w:val="24"/>
        </w:rPr>
        <w:tab/>
        <w:t xml:space="preserve">Փորձարկումների անցկացման շրջանակներում կատարվող վերլուծությունը (ամփոփ վերլուծություն </w:t>
      </w:r>
      <w:r w:rsidR="00C54D75">
        <w:rPr>
          <w:rFonts w:ascii="Sylfaen" w:hAnsi="Sylfaen"/>
          <w:sz w:val="24"/>
          <w:szCs w:val="24"/>
        </w:rPr>
        <w:t>և</w:t>
      </w:r>
      <w:r w:rsidRPr="003B2786">
        <w:rPr>
          <w:rFonts w:ascii="Sylfaen" w:hAnsi="Sylfaen"/>
          <w:sz w:val="24"/>
          <w:szCs w:val="24"/>
        </w:rPr>
        <w:t xml:space="preserve"> մետա-վերլուծություն):</w:t>
      </w:r>
    </w:p>
    <w:p w14:paraId="2D15E2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նշել տվյալ վերլուծությունների չափորոշիչները՝ ներառյալ ամփոփիչ վերլուծությունը տվյալների ողջ բազայով՝ հաշվի առնելով ազդեցության տարբեր մոդիֆիկատորները (սեռը, տարիքը, պատրատուկի ազդեցությունն ուղեկցող հիվանդությունների վրա, ծխելը </w:t>
      </w:r>
      <w:r w:rsidR="00C54D75">
        <w:rPr>
          <w:rFonts w:ascii="Sylfaen" w:hAnsi="Sylfaen"/>
          <w:sz w:val="24"/>
          <w:szCs w:val="24"/>
        </w:rPr>
        <w:t>և</w:t>
      </w:r>
      <w:r w:rsidRPr="003B2786">
        <w:rPr>
          <w:rFonts w:ascii="Sylfaen" w:hAnsi="Sylfaen"/>
          <w:sz w:val="24"/>
          <w:szCs w:val="24"/>
        </w:rPr>
        <w:t xml:space="preserve"> այլն):</w:t>
      </w:r>
    </w:p>
    <w:p w14:paraId="3BA322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Կարող է նա</w:t>
      </w:r>
      <w:r w:rsidR="00C54D75">
        <w:rPr>
          <w:rFonts w:ascii="Sylfaen" w:hAnsi="Sylfaen"/>
          <w:sz w:val="24"/>
          <w:szCs w:val="24"/>
        </w:rPr>
        <w:t>և</w:t>
      </w:r>
      <w:r w:rsidRPr="003B2786">
        <w:rPr>
          <w:rFonts w:ascii="Sylfaen" w:hAnsi="Sylfaen"/>
          <w:sz w:val="24"/>
          <w:szCs w:val="24"/>
        </w:rPr>
        <w:t xml:space="preserve"> պահանջվել բնակչության հատուկ խմբերի շրջանում «դեղաչափ-ազդեցություն» հարաբերակցության ամփոփում (քաշը, կրեատինինի կլիրենսը </w:t>
      </w:r>
      <w:r w:rsidR="00C54D75">
        <w:rPr>
          <w:rFonts w:ascii="Sylfaen" w:hAnsi="Sylfaen"/>
          <w:sz w:val="24"/>
          <w:szCs w:val="24"/>
        </w:rPr>
        <w:t>և</w:t>
      </w:r>
      <w:r w:rsidRPr="003B2786">
        <w:rPr>
          <w:rFonts w:ascii="Sylfaen" w:hAnsi="Sylfaen"/>
          <w:sz w:val="24"/>
          <w:szCs w:val="24"/>
        </w:rPr>
        <w:t xml:space="preserve"> այլն):</w:t>
      </w:r>
    </w:p>
    <w:p w14:paraId="7C624E2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3.7.</w:t>
      </w:r>
      <w:r w:rsidRPr="003B2786">
        <w:rPr>
          <w:rFonts w:ascii="Sylfaen" w:hAnsi="Sylfaen"/>
          <w:sz w:val="24"/>
          <w:szCs w:val="24"/>
        </w:rPr>
        <w:tab/>
        <w:t>Լրացուցիչ հետազոտությունները:</w:t>
      </w:r>
    </w:p>
    <w:p w14:paraId="625DA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Լրացուցիչ հետազոտությունները ենթակա են համառոտ ամփոփման՝ կումուլյատիվ մոտեցման կիրառմամբ: Կենսադեղագործական պատրաստուկների վերաբերյալ հարկավոր է նշել հակամարմինների առաջացումը </w:t>
      </w:r>
      <w:r w:rsidR="00C54D75">
        <w:rPr>
          <w:rFonts w:ascii="Sylfaen" w:hAnsi="Sylfaen"/>
          <w:sz w:val="24"/>
          <w:szCs w:val="24"/>
        </w:rPr>
        <w:t>և</w:t>
      </w:r>
      <w:r w:rsidRPr="003B2786">
        <w:rPr>
          <w:rFonts w:ascii="Sylfaen" w:hAnsi="Sylfaen"/>
          <w:sz w:val="24"/>
          <w:szCs w:val="24"/>
        </w:rPr>
        <w:t xml:space="preserve"> համապատասխան ազդեցությունն արդյունավետության վրա (օրինակ՝ տեղեկություններ՝ չեզոքացնող հակամարմինների վերաբերյալ):</w:t>
      </w:r>
    </w:p>
    <w:p w14:paraId="3E0AB1FA"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3.8.</w:t>
      </w:r>
      <w:r w:rsidRPr="003B2786">
        <w:rPr>
          <w:rFonts w:ascii="Sylfaen" w:hAnsi="Sylfaen"/>
          <w:sz w:val="24"/>
          <w:szCs w:val="24"/>
        </w:rPr>
        <w:tab/>
        <w:t>Փորձագետի ընդհանուր եզրակացությունը՝ կլինիկական արդյունավետության գնահատման վերաբերյալ:</w:t>
      </w:r>
    </w:p>
    <w:p w14:paraId="3B5A8A8E"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3.8.1.</w:t>
      </w:r>
      <w:r w:rsidRPr="003B2786">
        <w:rPr>
          <w:rFonts w:ascii="Sylfaen" w:hAnsi="Sylfaen"/>
          <w:sz w:val="24"/>
          <w:szCs w:val="24"/>
        </w:rPr>
        <w:tab/>
        <w:t>Կլինիկական արդյունավետության վերաբերյալ եզրահանգումները:</w:t>
      </w:r>
    </w:p>
    <w:p w14:paraId="1B822F0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Արդյունքների քննարկումը հաճախ կրիտիկական գնահատման հաշվետվության առավել կար</w:t>
      </w:r>
      <w:r w:rsidR="00C54D75">
        <w:rPr>
          <w:rFonts w:ascii="Sylfaen" w:hAnsi="Sylfaen"/>
          <w:sz w:val="24"/>
          <w:szCs w:val="24"/>
        </w:rPr>
        <w:t>և</w:t>
      </w:r>
      <w:r w:rsidRPr="003B2786">
        <w:rPr>
          <w:rFonts w:ascii="Sylfaen" w:hAnsi="Sylfaen"/>
          <w:sz w:val="24"/>
          <w:szCs w:val="24"/>
        </w:rPr>
        <w:t xml:space="preserve">որ մասն է: Կառուցվածքի տեսանկյունից եզրահանգումների քննարկումը պետք է սկզբունքորեն համապատասխանի արդյունքների շարադրման վերը նկարագրված սխեմային: </w:t>
      </w:r>
    </w:p>
    <w:p w14:paraId="6C53A172" w14:textId="22FC5F83"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F82B65">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 </w:t>
      </w:r>
    </w:p>
    <w:p w14:paraId="5F65743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Յուրաքանչյուր բաժնի վերաբերյալ արդյունքները քննարկելիս քննության են ենթակա հետ</w:t>
      </w:r>
      <w:r w:rsidR="00C54D75">
        <w:rPr>
          <w:rFonts w:ascii="Sylfaen" w:hAnsi="Sylfaen"/>
          <w:sz w:val="24"/>
          <w:szCs w:val="24"/>
        </w:rPr>
        <w:t>և</w:t>
      </w:r>
      <w:r w:rsidRPr="003B2786">
        <w:rPr>
          <w:rFonts w:ascii="Sylfaen" w:hAnsi="Sylfaen"/>
          <w:sz w:val="24"/>
          <w:szCs w:val="24"/>
        </w:rPr>
        <w:t>յալ հարցերը՝</w:t>
      </w:r>
    </w:p>
    <w:p w14:paraId="52277DA7"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վեր</w:t>
      </w:r>
      <w:r w:rsidR="00C54D75">
        <w:rPr>
          <w:rFonts w:ascii="Sylfaen" w:hAnsi="Sylfaen"/>
          <w:sz w:val="24"/>
          <w:szCs w:val="24"/>
        </w:rPr>
        <w:t>և</w:t>
      </w:r>
      <w:r w:rsidRPr="003B2786">
        <w:rPr>
          <w:rFonts w:ascii="Sylfaen" w:hAnsi="Sylfaen"/>
          <w:sz w:val="24"/>
          <w:szCs w:val="24"/>
        </w:rPr>
        <w:t>ում նկարագրված թերությունները (արդյունքների վերաշարադրում չի թույլատրվում), արդյունքների համաձայնեցվածության ամփոփումը, յուրաքանչյուր եզրակացության առկա փաստարկների ընդհանրացումը,</w:t>
      </w:r>
    </w:p>
    <w:p w14:paraId="500C413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ներկայացված տվյալների համապատասխանությունը (անհամապատասխանությունը) նախատեսված պահանջներին (իրավական հիմքը, ղեկավար սկզբունքները, գիտական առաջարկությունները),</w:t>
      </w:r>
    </w:p>
    <w:p w14:paraId="012DC04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ծագած հիմնական հարցերը, ինչ ծավալով դրանք պետք է լուծվեն, </w:t>
      </w:r>
    </w:p>
    <w:p w14:paraId="5335541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Եվրասիական տնտեսական հանձնաժողովին կից Փորձագիտական կոմիտեի քննությանը ենթակա կար</w:t>
      </w:r>
      <w:r w:rsidR="00C54D75">
        <w:rPr>
          <w:rFonts w:ascii="Sylfaen" w:hAnsi="Sylfaen"/>
          <w:sz w:val="24"/>
          <w:szCs w:val="24"/>
        </w:rPr>
        <w:t>և</w:t>
      </w:r>
      <w:r w:rsidRPr="003B2786">
        <w:rPr>
          <w:rFonts w:ascii="Sylfaen" w:hAnsi="Sylfaen"/>
          <w:sz w:val="24"/>
          <w:szCs w:val="24"/>
        </w:rPr>
        <w:t>որ հարցերը:</w:t>
      </w:r>
    </w:p>
    <w:p w14:paraId="3FE774A2"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w:t>
      </w:r>
      <w:r w:rsidR="00C54D75">
        <w:rPr>
          <w:rFonts w:ascii="Sylfaen" w:hAnsi="Sylfaen"/>
          <w:sz w:val="24"/>
          <w:szCs w:val="24"/>
        </w:rPr>
        <w:t>և</w:t>
      </w:r>
      <w:r w:rsidRPr="003B2786">
        <w:rPr>
          <w:rFonts w:ascii="Sylfaen" w:hAnsi="Sylfaen"/>
          <w:sz w:val="24"/>
          <w:szCs w:val="24"/>
        </w:rPr>
        <w:t xml:space="preserve">՛ բովանդակային պլանը, </w:t>
      </w:r>
      <w:r w:rsidR="00C54D75">
        <w:rPr>
          <w:rFonts w:ascii="Sylfaen" w:hAnsi="Sylfaen"/>
          <w:sz w:val="24"/>
          <w:szCs w:val="24"/>
        </w:rPr>
        <w:t>և</w:t>
      </w:r>
      <w:r w:rsidRPr="003B2786">
        <w:rPr>
          <w:rFonts w:ascii="Sylfaen" w:hAnsi="Sylfaen"/>
          <w:sz w:val="24"/>
          <w:szCs w:val="24"/>
        </w:rPr>
        <w:t>՛ արդյունքները ենթակա են կրիտիկական ամփոփման: Անհրաժեշտ է ներկայացնել միանշանակ եզրակացություն՝ առանցքային տարրերի վերաբերյալ (օրինակ՝ կոմպարատորների (համեմատիչների), կլինիկական արդյունավետության կետերի ընտրությունը, ինչպես նա</w:t>
      </w:r>
      <w:r w:rsidR="00C54D75">
        <w:rPr>
          <w:rFonts w:ascii="Sylfaen" w:hAnsi="Sylfaen"/>
          <w:sz w:val="24"/>
          <w:szCs w:val="24"/>
        </w:rPr>
        <w:t>և</w:t>
      </w:r>
      <w:r w:rsidRPr="003B2786">
        <w:rPr>
          <w:rFonts w:ascii="Sylfaen" w:hAnsi="Sylfaen"/>
          <w:sz w:val="24"/>
          <w:szCs w:val="24"/>
        </w:rPr>
        <w:t xml:space="preserve"> տվյալների պակասի վերաբերյալ): Հաջորդիվ բերվում է արդյունքների այդպիսի քննարկման շրջանակներում քննության ենթակա հնարավոր ասպեկտների ընտրությունը:</w:t>
      </w:r>
    </w:p>
    <w:p w14:paraId="2D724956" w14:textId="77777777" w:rsidR="008C76E0" w:rsidRPr="003B2786" w:rsidRDefault="008C76E0" w:rsidP="00262653">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3.8.2.</w:t>
      </w:r>
      <w:r w:rsidRPr="003B2786">
        <w:rPr>
          <w:rFonts w:ascii="Sylfaen" w:hAnsi="Sylfaen"/>
          <w:sz w:val="24"/>
          <w:szCs w:val="24"/>
        </w:rPr>
        <w:tab/>
        <w:t xml:space="preserve">Կլինիկական հետազոտությունների բովանդակային պլանը </w:t>
      </w:r>
      <w:r w:rsidR="00C54D75">
        <w:rPr>
          <w:rFonts w:ascii="Sylfaen" w:hAnsi="Sylfaen"/>
          <w:sz w:val="24"/>
          <w:szCs w:val="24"/>
        </w:rPr>
        <w:t>և</w:t>
      </w:r>
      <w:r w:rsidRPr="003B2786">
        <w:rPr>
          <w:rFonts w:ascii="Sylfaen" w:hAnsi="Sylfaen"/>
          <w:sz w:val="24"/>
          <w:szCs w:val="24"/>
        </w:rPr>
        <w:t xml:space="preserve"> անցկացումը:</w:t>
      </w:r>
    </w:p>
    <w:p w14:paraId="147443F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հետազոտությունների բովանդակային պլանը համապատասխանում</w:t>
      </w:r>
      <w:r>
        <w:rPr>
          <w:rFonts w:ascii="Sylfaen" w:hAnsi="Sylfaen"/>
          <w:sz w:val="24"/>
          <w:szCs w:val="24"/>
        </w:rPr>
        <w:t> </w:t>
      </w:r>
      <w:r w:rsidRPr="003B2786">
        <w:rPr>
          <w:rFonts w:ascii="Sylfaen" w:hAnsi="Sylfaen"/>
          <w:sz w:val="24"/>
          <w:szCs w:val="24"/>
        </w:rPr>
        <w:t xml:space="preserve">է նախատեսված պահանջներին (ակտիվ պատրաստուկի միջոցով վերահսկվող ազդեցության պատահական ընտրանքի հետազոտություններ </w:t>
      </w:r>
      <w:r w:rsidR="00C54D75">
        <w:rPr>
          <w:rFonts w:ascii="Sylfaen" w:hAnsi="Sylfaen"/>
          <w:sz w:val="24"/>
          <w:szCs w:val="24"/>
        </w:rPr>
        <w:t>և</w:t>
      </w:r>
      <w:r w:rsidRPr="003B2786">
        <w:rPr>
          <w:rFonts w:ascii="Sylfaen" w:hAnsi="Sylfaen"/>
          <w:sz w:val="24"/>
          <w:szCs w:val="24"/>
        </w:rPr>
        <w:t xml:space="preserve"> վերահսկվող ազդեցությամբ պլացեբոյի հետազոտություններ): Եթե ոչ, ապա ինչպիսի՞ք են հիմնավորումները, </w:t>
      </w:r>
      <w:r w:rsidR="00C54D75">
        <w:rPr>
          <w:rFonts w:ascii="Sylfaen" w:hAnsi="Sylfaen"/>
          <w:sz w:val="24"/>
          <w:szCs w:val="24"/>
        </w:rPr>
        <w:t>և</w:t>
      </w:r>
      <w:r w:rsidRPr="003B2786">
        <w:rPr>
          <w:rFonts w:ascii="Sylfaen" w:hAnsi="Sylfaen"/>
          <w:sz w:val="24"/>
          <w:szCs w:val="24"/>
        </w:rPr>
        <w:t xml:space="preserve"> արդյո՞ք դրանք ընդունելի են: </w:t>
      </w:r>
    </w:p>
    <w:p w14:paraId="4B5FCE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Արդյո՞ք հիվանդների հետազոտվող խումբն ընտրվել է պատշաճ կերպով (ներգրավելու (չներգրավելու) չափորոշիչների վերաբերյալ մեկնաբանություններ): </w:t>
      </w:r>
    </w:p>
    <w:p w14:paraId="357147A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կիրառելի է ռեֆերենտ պատրաստուկը: Համեմատման ակտիվ պատրաստուկի օգտագործման դեպքում անհրաժեշտ է մեկնաբանել արդիականությունը՝ կապված Միությունում հաստատված բուժման տարբերակների հետ:</w:t>
      </w:r>
    </w:p>
    <w:p w14:paraId="55D5C31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Ինչպիսի՞ն է կլինիկական արդյունավետության կետերի ընտրության նպատակահարմարության կրիտիկական գնահատականը, ինչպես նա</w:t>
      </w:r>
      <w:r w:rsidR="00C54D75">
        <w:rPr>
          <w:rFonts w:ascii="Sylfaen" w:hAnsi="Sylfaen"/>
          <w:sz w:val="24"/>
          <w:szCs w:val="24"/>
        </w:rPr>
        <w:t>և</w:t>
      </w:r>
      <w:r w:rsidRPr="003B2786">
        <w:rPr>
          <w:rFonts w:ascii="Sylfaen" w:hAnsi="Sylfaen"/>
          <w:sz w:val="24"/>
          <w:szCs w:val="24"/>
        </w:rPr>
        <w:t xml:space="preserve"> հետազոտության տ</w:t>
      </w:r>
      <w:r w:rsidR="00C54D75">
        <w:rPr>
          <w:rFonts w:ascii="Sylfaen" w:hAnsi="Sylfaen"/>
          <w:sz w:val="24"/>
          <w:szCs w:val="24"/>
        </w:rPr>
        <w:t>և</w:t>
      </w:r>
      <w:r w:rsidRPr="003B2786">
        <w:rPr>
          <w:rFonts w:ascii="Sylfaen" w:hAnsi="Sylfaen"/>
          <w:sz w:val="24"/>
          <w:szCs w:val="24"/>
        </w:rPr>
        <w:t xml:space="preserve">ողությունը՝ հաշվի առնելով կարգավորող ձեռնարկը (գիտական առաջարկությունները): Բավակա՞ն է արդյոք սուռոգատ մարկերների (նշիչների) տեղեկատվականությունը կլինիկական արդյունավետության ֆիքսված կետերի փոխարինման համար: Ինչպիսի՞ն է համակցված վերջնակետի </w:t>
      </w:r>
      <w:r w:rsidR="00C54D75">
        <w:rPr>
          <w:rFonts w:ascii="Sylfaen" w:hAnsi="Sylfaen"/>
          <w:sz w:val="24"/>
          <w:szCs w:val="24"/>
        </w:rPr>
        <w:t>և</w:t>
      </w:r>
      <w:r w:rsidRPr="003B2786">
        <w:rPr>
          <w:rFonts w:ascii="Sylfaen" w:hAnsi="Sylfaen"/>
          <w:sz w:val="24"/>
          <w:szCs w:val="24"/>
        </w:rPr>
        <w:t xml:space="preserve"> դրա կիրառման ոլորտների ընդունելիությունը:</w:t>
      </w:r>
    </w:p>
    <w:p w14:paraId="04A9BD12"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Կախված հանգամանքներից՝ մեթոդների կիրառելիությունը, դրանց կիրառման, հիմնական հետազոտությունների արդյունքների վերլուծության </w:t>
      </w:r>
      <w:r w:rsidR="00C54D75">
        <w:rPr>
          <w:rFonts w:ascii="Sylfaen" w:hAnsi="Sylfaen"/>
          <w:sz w:val="24"/>
          <w:szCs w:val="24"/>
        </w:rPr>
        <w:t>և</w:t>
      </w:r>
      <w:r w:rsidRPr="003B2786">
        <w:rPr>
          <w:rFonts w:ascii="Sylfaen" w:hAnsi="Sylfaen"/>
          <w:sz w:val="24"/>
          <w:szCs w:val="24"/>
        </w:rPr>
        <w:t xml:space="preserve"> ներկայացման նպատակահարմարությունը: Անհրաժեշտ է մեկնաբանել հետազոտության բովանդակային պլանի հետ կապված հատուկ խնդիրները:</w:t>
      </w:r>
    </w:p>
    <w:p w14:paraId="7EC7171B"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Արդյո՞ք բովանդակային պլանը համապատասխանում է օրենսդրության պահանջներին, գործող ղեկավար սկզբունքներին, գիտական առաջարկություններին:</w:t>
      </w:r>
    </w:p>
    <w:p w14:paraId="36CE5029" w14:textId="77777777" w:rsidR="008C76E0" w:rsidRPr="003B2786" w:rsidRDefault="008C76E0" w:rsidP="0092500F">
      <w:pPr>
        <w:spacing w:after="160" w:line="336" w:lineRule="auto"/>
        <w:ind w:right="-1" w:firstLine="567"/>
        <w:jc w:val="both"/>
        <w:rPr>
          <w:rFonts w:ascii="Sylfaen" w:hAnsi="Sylfaen"/>
          <w:sz w:val="24"/>
          <w:szCs w:val="24"/>
        </w:rPr>
      </w:pPr>
      <w:r w:rsidRPr="003B2786">
        <w:rPr>
          <w:rFonts w:ascii="Sylfaen" w:hAnsi="Sylfaen"/>
          <w:sz w:val="24"/>
          <w:szCs w:val="24"/>
        </w:rPr>
        <w:t>Ինչպիսի՞ն են Միության պատշաճ կլինիկական գործունեության կանոնների պահպանման մասով ցանկացած տեսչական ստուգման հետ</w:t>
      </w:r>
      <w:r w:rsidR="00C54D75">
        <w:rPr>
          <w:rFonts w:ascii="Sylfaen" w:hAnsi="Sylfaen"/>
          <w:sz w:val="24"/>
          <w:szCs w:val="24"/>
        </w:rPr>
        <w:t>և</w:t>
      </w:r>
      <w:r w:rsidRPr="003B2786">
        <w:rPr>
          <w:rFonts w:ascii="Sylfaen" w:hAnsi="Sylfaen"/>
          <w:sz w:val="24"/>
          <w:szCs w:val="24"/>
        </w:rPr>
        <w:t xml:space="preserve">անքները: </w:t>
      </w:r>
    </w:p>
    <w:p w14:paraId="23E5F75C" w14:textId="77777777" w:rsidR="008C76E0" w:rsidRPr="003B2786" w:rsidRDefault="008C76E0" w:rsidP="0092500F">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3.8.3.</w:t>
      </w:r>
      <w:r w:rsidRPr="003B2786">
        <w:rPr>
          <w:rFonts w:ascii="Sylfaen" w:hAnsi="Sylfaen"/>
          <w:sz w:val="24"/>
          <w:szCs w:val="24"/>
        </w:rPr>
        <w:tab/>
        <w:t xml:space="preserve">Արդյունավետության վերաբերյալ տվյալները </w:t>
      </w:r>
      <w:r w:rsidR="00C54D75">
        <w:rPr>
          <w:rFonts w:ascii="Sylfaen" w:hAnsi="Sylfaen"/>
          <w:sz w:val="24"/>
          <w:szCs w:val="24"/>
        </w:rPr>
        <w:t>և</w:t>
      </w:r>
      <w:r w:rsidRPr="003B2786">
        <w:rPr>
          <w:rFonts w:ascii="Sylfaen" w:hAnsi="Sylfaen"/>
          <w:sz w:val="24"/>
          <w:szCs w:val="24"/>
        </w:rPr>
        <w:t xml:space="preserve"> լրացուցիչ վերլուծությունները:</w:t>
      </w:r>
    </w:p>
    <w:p w14:paraId="484F3C51" w14:textId="77777777" w:rsidR="008C76E0" w:rsidRPr="003B2786" w:rsidRDefault="008C76E0" w:rsidP="0092500F">
      <w:pPr>
        <w:spacing w:after="160" w:line="336" w:lineRule="auto"/>
        <w:ind w:firstLine="567"/>
        <w:jc w:val="both"/>
        <w:rPr>
          <w:rFonts w:ascii="Sylfaen" w:hAnsi="Sylfaen"/>
          <w:sz w:val="24"/>
          <w:szCs w:val="24"/>
        </w:rPr>
      </w:pPr>
      <w:r w:rsidRPr="003B2786">
        <w:rPr>
          <w:rFonts w:ascii="Sylfaen" w:hAnsi="Sylfaen"/>
          <w:sz w:val="24"/>
          <w:szCs w:val="24"/>
        </w:rPr>
        <w:t xml:space="preserve">Ազդեցության մեծությունը </w:t>
      </w:r>
      <w:r w:rsidR="00C54D75">
        <w:rPr>
          <w:rFonts w:ascii="Sylfaen" w:hAnsi="Sylfaen"/>
          <w:sz w:val="24"/>
          <w:szCs w:val="24"/>
        </w:rPr>
        <w:t>և</w:t>
      </w:r>
      <w:r w:rsidRPr="003B2786">
        <w:rPr>
          <w:rFonts w:ascii="Sylfaen" w:hAnsi="Sylfaen"/>
          <w:sz w:val="24"/>
          <w:szCs w:val="24"/>
        </w:rPr>
        <w:t xml:space="preserve"> կլինիկական նշանակալիությունը: Պետք է նկարագրվի դիտվող ազդեցության կլինիկական նշանակալիությունը, քանի որ դա կարող է հատկապես կար</w:t>
      </w:r>
      <w:r w:rsidR="00C54D75">
        <w:rPr>
          <w:rFonts w:ascii="Sylfaen" w:hAnsi="Sylfaen"/>
          <w:sz w:val="24"/>
          <w:szCs w:val="24"/>
        </w:rPr>
        <w:t>և</w:t>
      </w:r>
      <w:r w:rsidRPr="003B2786">
        <w:rPr>
          <w:rFonts w:ascii="Sylfaen" w:hAnsi="Sylfaen"/>
          <w:sz w:val="24"/>
          <w:szCs w:val="24"/>
        </w:rPr>
        <w:t>որ լինել օգուտ-ռիսկ հարաբերակցության ամփոփման համար:</w:t>
      </w:r>
    </w:p>
    <w:p w14:paraId="22C9DC9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Ինչպիսի՞ք են հիմնական եզրահանգումները (կամ անորորշությունները): Ինչպիսի՞ առանցքային եզրահանգումներ (կամ անորորշություններ) պետք է մտնեն օգուտ-ռիսկ հարաբերակցության ամփոփման մեջ:</w:t>
      </w:r>
    </w:p>
    <w:p w14:paraId="3520A603" w14:textId="6C8879E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Փորձնական արդյունքների ընդհանրացման հնարավորությունը (համապատասխանության աստիճանը): Արդյո՞ք արդյունքները հաստատում են կիրառման </w:t>
      </w:r>
      <w:r w:rsidR="001A5F1A">
        <w:rPr>
          <w:rFonts w:ascii="Sylfaen" w:hAnsi="Sylfaen"/>
          <w:sz w:val="24"/>
          <w:szCs w:val="24"/>
        </w:rPr>
        <w:t>հայտագրված</w:t>
      </w:r>
      <w:r w:rsidRPr="003B2786">
        <w:rPr>
          <w:rFonts w:ascii="Sylfaen" w:hAnsi="Sylfaen"/>
          <w:sz w:val="24"/>
          <w:szCs w:val="24"/>
        </w:rPr>
        <w:t xml:space="preserve"> ցուցումները:</w:t>
      </w:r>
    </w:p>
    <w:p w14:paraId="408D7F0E"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Արդյո՞ք պահանջվում է որ</w:t>
      </w:r>
      <w:r w:rsidR="00C54D75">
        <w:rPr>
          <w:rFonts w:ascii="Sylfaen" w:hAnsi="Sylfaen"/>
          <w:sz w:val="24"/>
          <w:szCs w:val="24"/>
        </w:rPr>
        <w:t>և</w:t>
      </w:r>
      <w:r w:rsidRPr="003B2786">
        <w:rPr>
          <w:rFonts w:ascii="Sylfaen" w:hAnsi="Sylfaen"/>
          <w:sz w:val="24"/>
          <w:szCs w:val="24"/>
        </w:rPr>
        <w:t xml:space="preserve">է լրացուցիչ վերլուծության անցկացում, </w:t>
      </w:r>
      <w:r w:rsidR="00C54D75">
        <w:rPr>
          <w:rFonts w:ascii="Sylfaen" w:hAnsi="Sylfaen"/>
          <w:sz w:val="24"/>
          <w:szCs w:val="24"/>
        </w:rPr>
        <w:t>և</w:t>
      </w:r>
      <w:r w:rsidRPr="003B2786">
        <w:rPr>
          <w:rFonts w:ascii="Sylfaen" w:hAnsi="Sylfaen"/>
          <w:sz w:val="24"/>
          <w:szCs w:val="24"/>
        </w:rPr>
        <w:t xml:space="preserve"> ինչպիսի՞ք են դրա անցկացման վերաբերյալ հարցման պատճառները: </w:t>
      </w:r>
    </w:p>
    <w:p w14:paraId="0F501E3F"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Եթե ենթախմբերի վերլուծությունների տվյալներն ունեն հատուկ նշանակություն՝ արդյունավետության ընդհանուր գնահատման համար, ապա դա պետք է բացատրվի:</w:t>
      </w:r>
    </w:p>
    <w:p w14:paraId="0FA5086B"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 xml:space="preserve">Ինչպիսի՞ հիմնական հարցեր են բարձրացվել գնահատման ընթացքում (լուրջ առարկություններ </w:t>
      </w:r>
      <w:r w:rsidR="00C54D75">
        <w:rPr>
          <w:rFonts w:ascii="Sylfaen" w:hAnsi="Sylfaen"/>
          <w:sz w:val="24"/>
          <w:szCs w:val="24"/>
        </w:rPr>
        <w:t>և</w:t>
      </w:r>
      <w:r w:rsidRPr="003B2786">
        <w:rPr>
          <w:rFonts w:ascii="Sylfaen" w:hAnsi="Sylfaen"/>
          <w:sz w:val="24"/>
          <w:szCs w:val="24"/>
        </w:rPr>
        <w:t xml:space="preserve"> այլ խնդրահարույց հարցեր):</w:t>
      </w:r>
    </w:p>
    <w:p w14:paraId="4940A6D2" w14:textId="77777777" w:rsidR="008C76E0" w:rsidRPr="003B2786" w:rsidRDefault="008C76E0" w:rsidP="0092500F">
      <w:pPr>
        <w:tabs>
          <w:tab w:val="left" w:pos="1560"/>
        </w:tabs>
        <w:spacing w:after="160" w:line="336" w:lineRule="auto"/>
        <w:ind w:right="-1" w:firstLine="567"/>
        <w:jc w:val="both"/>
        <w:rPr>
          <w:rFonts w:ascii="Sylfaen" w:hAnsi="Sylfaen"/>
          <w:sz w:val="24"/>
          <w:szCs w:val="24"/>
        </w:rPr>
      </w:pPr>
      <w:r w:rsidRPr="003B2786">
        <w:rPr>
          <w:rFonts w:ascii="Sylfaen" w:hAnsi="Sylfaen"/>
          <w:sz w:val="24"/>
          <w:szCs w:val="24"/>
        </w:rPr>
        <w:t>Անհրաժեշտ է մեկնաբանել որոշակի հետազոտություններ անցկացնելուց հրաժարվելու կամ սկզբնական հետազոտությունները գիտական աղբյուրներից ստացված տեղեկություններով փոխարինելու որ</w:t>
      </w:r>
      <w:r w:rsidR="00C54D75">
        <w:rPr>
          <w:rFonts w:ascii="Sylfaen" w:hAnsi="Sylfaen"/>
          <w:sz w:val="24"/>
          <w:szCs w:val="24"/>
        </w:rPr>
        <w:t>և</w:t>
      </w:r>
      <w:r w:rsidRPr="003B2786">
        <w:rPr>
          <w:rFonts w:ascii="Sylfaen" w:hAnsi="Sylfaen"/>
          <w:sz w:val="24"/>
          <w:szCs w:val="24"/>
        </w:rPr>
        <w:t>է հիմնավորում:</w:t>
      </w:r>
    </w:p>
    <w:p w14:paraId="504C97BC" w14:textId="7FC5B1F5"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Անհրաժեշտ է նշել պացիենտների որոշակի խմբերի (երեխաներ, տարեց մարդիկ, մանկածնության ունակ կանայք </w:t>
      </w:r>
      <w:r w:rsidR="00C54D75">
        <w:rPr>
          <w:rFonts w:ascii="Sylfaen" w:hAnsi="Sylfaen"/>
          <w:sz w:val="24"/>
          <w:szCs w:val="24"/>
        </w:rPr>
        <w:t>և</w:t>
      </w:r>
      <w:r w:rsidRPr="003B2786">
        <w:rPr>
          <w:rFonts w:ascii="Sylfaen" w:hAnsi="Sylfaen"/>
          <w:sz w:val="24"/>
          <w:szCs w:val="24"/>
        </w:rPr>
        <w:t xml:space="preserve"> այլն) վերաբերյալ տեղեկատվության անբավարարությունը՝ բժշկական կիրառման դեղապատրաստուկի ընդհանուր բնութագրի 4.4 բաժնի </w:t>
      </w:r>
      <w:r w:rsidR="00F82B65">
        <w:rPr>
          <w:rFonts w:ascii="Sylfaen" w:hAnsi="Sylfaen"/>
          <w:sz w:val="24"/>
          <w:szCs w:val="24"/>
        </w:rPr>
        <w:t>հայտարարություն</w:t>
      </w:r>
      <w:r w:rsidRPr="003B2786">
        <w:rPr>
          <w:rFonts w:ascii="Sylfaen" w:hAnsi="Sylfaen"/>
          <w:sz w:val="24"/>
          <w:szCs w:val="24"/>
        </w:rPr>
        <w:t xml:space="preserve"> հաստատելու համար, </w:t>
      </w:r>
      <w:r w:rsidR="00C54D75">
        <w:rPr>
          <w:rFonts w:ascii="Sylfaen" w:hAnsi="Sylfaen"/>
          <w:sz w:val="24"/>
          <w:szCs w:val="24"/>
        </w:rPr>
        <w:t>և</w:t>
      </w:r>
      <w:r w:rsidRPr="003B2786">
        <w:rPr>
          <w:rFonts w:ascii="Sylfaen" w:hAnsi="Sylfaen"/>
          <w:sz w:val="24"/>
          <w:szCs w:val="24"/>
        </w:rPr>
        <w:t xml:space="preserve"> նա</w:t>
      </w:r>
      <w:r w:rsidR="00C54D75">
        <w:rPr>
          <w:rFonts w:ascii="Sylfaen" w:hAnsi="Sylfaen"/>
          <w:sz w:val="24"/>
          <w:szCs w:val="24"/>
        </w:rPr>
        <w:t>և</w:t>
      </w:r>
      <w:r w:rsidRPr="003B2786">
        <w:rPr>
          <w:rFonts w:ascii="Sylfaen" w:hAnsi="Sylfaen"/>
          <w:sz w:val="24"/>
          <w:szCs w:val="24"/>
        </w:rPr>
        <w:t xml:space="preserve"> տվյալ տեղեկություններն ընդհանուր եզրակացության մեջ ընդգծել՝ լիազորված փորձագիտական կազմակերպության կողմից հետագա հետազոտություն անցկացնելու առաջարկի դեպքում:</w:t>
      </w:r>
    </w:p>
    <w:p w14:paraId="2565F226"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Ինչպիսի՞ տվյալներ են հաստատում երեխաների շրջանում կիրառման հնարավորությունը:</w:t>
      </w:r>
    </w:p>
    <w:p w14:paraId="53075007" w14:textId="77777777"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անհրաժեշտ է նշել հետազոտության ստացված արդյունքների համեմատական բնութագիրն ընտրված չափանմուշային դեղապատրաստուկի հետ:</w:t>
      </w:r>
    </w:p>
    <w:p w14:paraId="5A960D89"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հավաստիանալ տվյալների (հատկապես՝ 5.1 բաժնի տվյալների)՝ բժշկական կիրառման դեղապատրաստուկի ընդհանուր բնութագրում նշված տեղեկությունների հետ համապատասխանության մեջ </w:t>
      </w:r>
      <w:r w:rsidR="00C54D75">
        <w:rPr>
          <w:rFonts w:ascii="Sylfaen" w:hAnsi="Sylfaen"/>
          <w:sz w:val="24"/>
          <w:szCs w:val="24"/>
        </w:rPr>
        <w:t>և</w:t>
      </w:r>
      <w:r w:rsidRPr="003B2786">
        <w:rPr>
          <w:rFonts w:ascii="Sylfaen" w:hAnsi="Sylfaen"/>
          <w:sz w:val="24"/>
          <w:szCs w:val="24"/>
        </w:rPr>
        <w:t xml:space="preserve"> նրանում, որ բժշկական կիրառման դեղապատրաստուկի ընդհանուր բնութագրի ողջ տեղեկատվությունն անցել է պատշաճ փորձաքննություն </w:t>
      </w:r>
      <w:r w:rsidR="00C54D75">
        <w:rPr>
          <w:rFonts w:ascii="Sylfaen" w:hAnsi="Sylfaen"/>
          <w:sz w:val="24"/>
          <w:szCs w:val="24"/>
        </w:rPr>
        <w:t>և</w:t>
      </w:r>
      <w:r w:rsidRPr="003B2786">
        <w:rPr>
          <w:rFonts w:ascii="Sylfaen" w:hAnsi="Sylfaen"/>
          <w:sz w:val="24"/>
          <w:szCs w:val="24"/>
        </w:rPr>
        <w:t xml:space="preserve"> գիտական վերլուծություն: </w:t>
      </w:r>
    </w:p>
    <w:p w14:paraId="49921750"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գրանցման հավաստագիրը տրամադրելուց հետո հաստատման ենթակա որ</w:t>
      </w:r>
      <w:r w:rsidR="00C54D75">
        <w:rPr>
          <w:rFonts w:ascii="Sylfaen" w:hAnsi="Sylfaen"/>
          <w:sz w:val="24"/>
          <w:szCs w:val="24"/>
        </w:rPr>
        <w:t>և</w:t>
      </w:r>
      <w:r w:rsidRPr="003B2786">
        <w:rPr>
          <w:rFonts w:ascii="Sylfaen" w:hAnsi="Sylfaen"/>
          <w:sz w:val="24"/>
          <w:szCs w:val="24"/>
        </w:rPr>
        <w:t xml:space="preserve">է չհաստատված տվյալի առկայությունը, </w:t>
      </w:r>
      <w:r w:rsidR="00C54D75">
        <w:rPr>
          <w:rFonts w:ascii="Sylfaen" w:hAnsi="Sylfaen"/>
          <w:sz w:val="24"/>
          <w:szCs w:val="24"/>
        </w:rPr>
        <w:t>և</w:t>
      </w:r>
      <w:r w:rsidRPr="003B2786">
        <w:rPr>
          <w:rFonts w:ascii="Sylfaen" w:hAnsi="Sylfaen"/>
          <w:sz w:val="24"/>
          <w:szCs w:val="24"/>
        </w:rPr>
        <w:t xml:space="preserve"> արդյո՞ք դա արտացոլվել է բժշկական կիրառման դեղապատրաստուկի ընդհանուր բնութագրում:</w:t>
      </w:r>
    </w:p>
    <w:p w14:paraId="04952A0A"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3.8.4.</w:t>
      </w:r>
      <w:r w:rsidRPr="003B2786">
        <w:rPr>
          <w:rFonts w:ascii="Sylfaen" w:hAnsi="Sylfaen"/>
          <w:sz w:val="24"/>
          <w:szCs w:val="24"/>
        </w:rPr>
        <w:tab/>
        <w:t>Կլինիկական արդյունավետության վերաբերյալ եզրահանգումները:</w:t>
      </w:r>
    </w:p>
    <w:p w14:paraId="697A6A2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Տվյալ բաժնում պետք է ներկայացվեն համառոտ եզրահանգումներ, որոնք կարելի է անել կլինիկական արդյունավետության հետազոտության վերաբերյալ փաստաթղթերի ուսումնասիրման հիման վրա:</w:t>
      </w:r>
    </w:p>
    <w:p w14:paraId="1847D7BA" w14:textId="77777777" w:rsidR="008C76E0" w:rsidRPr="003B2786" w:rsidRDefault="008C76E0" w:rsidP="00262653">
      <w:pPr>
        <w:tabs>
          <w:tab w:val="left" w:pos="1560"/>
        </w:tabs>
        <w:spacing w:after="160" w:line="360" w:lineRule="auto"/>
        <w:ind w:firstLine="567"/>
        <w:jc w:val="both"/>
        <w:rPr>
          <w:rFonts w:ascii="Sylfaen" w:hAnsi="Sylfaen"/>
          <w:sz w:val="24"/>
          <w:szCs w:val="24"/>
        </w:rPr>
      </w:pPr>
    </w:p>
    <w:p w14:paraId="172BC7D3" w14:textId="77777777" w:rsidR="008C76E0" w:rsidRPr="003B2786" w:rsidRDefault="008C76E0" w:rsidP="00262653">
      <w:pPr>
        <w:spacing w:after="160" w:line="360" w:lineRule="auto"/>
        <w:ind w:right="-1" w:firstLine="567"/>
        <w:jc w:val="center"/>
        <w:rPr>
          <w:rFonts w:ascii="Sylfaen" w:hAnsi="Sylfaen"/>
          <w:sz w:val="24"/>
          <w:szCs w:val="24"/>
        </w:rPr>
      </w:pPr>
      <w:r w:rsidRPr="003B2786">
        <w:rPr>
          <w:rFonts w:ascii="Sylfaen" w:hAnsi="Sylfaen"/>
          <w:sz w:val="24"/>
          <w:szCs w:val="24"/>
        </w:rPr>
        <w:t>4. Կլինիկական անվտանգությունը:</w:t>
      </w:r>
    </w:p>
    <w:p w14:paraId="059DA78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Անվտանգության վերաբերյալ տեղեկությունները պետք է ներառեն տվյալ հետազոտությանը մասնակցած բոլոր պացիենտների վերաբերյալ տվյալներն ամբողջ ծավալով, </w:t>
      </w:r>
      <w:r w:rsidR="00C54D75">
        <w:rPr>
          <w:rFonts w:ascii="Sylfaen" w:hAnsi="Sylfaen"/>
          <w:sz w:val="24"/>
          <w:szCs w:val="24"/>
        </w:rPr>
        <w:t>և</w:t>
      </w:r>
      <w:r w:rsidRPr="003B2786">
        <w:rPr>
          <w:rFonts w:ascii="Sylfaen" w:hAnsi="Sylfaen"/>
          <w:sz w:val="24"/>
          <w:szCs w:val="24"/>
        </w:rPr>
        <w:t xml:space="preserve"> այդ տվյալները պետք է ներկայացվեն որպես միասնական վերլուծության արդյունքներ: Դրա հետ մեկտեղ պետք է նկարագրել </w:t>
      </w:r>
      <w:r w:rsidR="00C54D75">
        <w:rPr>
          <w:rFonts w:ascii="Sylfaen" w:hAnsi="Sylfaen"/>
          <w:sz w:val="24"/>
          <w:szCs w:val="24"/>
        </w:rPr>
        <w:t>և</w:t>
      </w:r>
      <w:r w:rsidRPr="003B2786">
        <w:rPr>
          <w:rFonts w:ascii="Sylfaen" w:hAnsi="Sylfaen"/>
          <w:sz w:val="24"/>
          <w:szCs w:val="24"/>
        </w:rPr>
        <w:t xml:space="preserve"> բացատրություն տալ կլինիկական անվտանգության հետազոտման հետ կապված սպեցիֆիկ առանձնահատկություններին:</w:t>
      </w:r>
    </w:p>
    <w:p w14:paraId="0C315AB0" w14:textId="2ADDB41A"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Անհրաժեշտ է նշել նախակլինիկական հետազոտությունների ժամանակ </w:t>
      </w:r>
      <w:r w:rsidR="00003ABD">
        <w:rPr>
          <w:rFonts w:ascii="Sylfaen" w:hAnsi="Sylfaen"/>
          <w:sz w:val="24"/>
          <w:szCs w:val="24"/>
        </w:rPr>
        <w:t>հայտնաբերված</w:t>
      </w:r>
      <w:r w:rsidRPr="003B2786">
        <w:rPr>
          <w:rFonts w:ascii="Sylfaen" w:hAnsi="Sylfaen"/>
          <w:sz w:val="24"/>
          <w:szCs w:val="24"/>
        </w:rPr>
        <w:t xml:space="preserve"> խնդրահարույց հարցերը, որոնք կարող են բացասաբար ազդել </w:t>
      </w:r>
      <w:r w:rsidRPr="003B2786">
        <w:rPr>
          <w:rFonts w:ascii="Sylfaen" w:hAnsi="Sylfaen"/>
          <w:sz w:val="24"/>
          <w:szCs w:val="24"/>
        </w:rPr>
        <w:lastRenderedPageBreak/>
        <w:t>մարդու կողմից պատրաստուկի կիրառման վրա (օրինակ՝ թունավորությունը, կենդանիների օրգանիզմում չառաջացող, սակայն մարդու օրգանիզմում արտադրվող մետաբոլիտները), ինչպես նա</w:t>
      </w:r>
      <w:r w:rsidR="00C54D75">
        <w:rPr>
          <w:rFonts w:ascii="Sylfaen" w:hAnsi="Sylfaen"/>
          <w:sz w:val="24"/>
          <w:szCs w:val="24"/>
        </w:rPr>
        <w:t>և</w:t>
      </w:r>
      <w:r w:rsidRPr="003B2786">
        <w:rPr>
          <w:rFonts w:ascii="Sylfaen" w:hAnsi="Sylfaen"/>
          <w:sz w:val="24"/>
          <w:szCs w:val="24"/>
        </w:rPr>
        <w:t xml:space="preserve"> նման հարցերը դեղադինամիկ հետազոտությունների ժամանակ:</w:t>
      </w:r>
    </w:p>
    <w:p w14:paraId="5C70C796"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4.1.</w:t>
      </w:r>
      <w:r w:rsidRPr="003B2786">
        <w:rPr>
          <w:rFonts w:ascii="Sylfaen" w:hAnsi="Sylfaen"/>
          <w:sz w:val="24"/>
          <w:szCs w:val="24"/>
        </w:rPr>
        <w:tab/>
        <w:t>Ներածությունը:</w:t>
      </w:r>
    </w:p>
    <w:p w14:paraId="6DA5A16D"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Ներկայացված տվյալների ընդհանուր առանձնահատկությունների վերաբերյալ համառոտ ներածական:</w:t>
      </w:r>
    </w:p>
    <w:p w14:paraId="062ECDE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անվտանգության գնահատման արդյունքների մեջ կենսահամանման-կենսանման պատրաստուկների վերաբերյալ պետք է առանձնացվեն չափանմուշային պատրաստուկի </w:t>
      </w:r>
      <w:r w:rsidR="00C54D75">
        <w:rPr>
          <w:rFonts w:ascii="Sylfaen" w:hAnsi="Sylfaen"/>
          <w:sz w:val="24"/>
          <w:szCs w:val="24"/>
        </w:rPr>
        <w:t>և</w:t>
      </w:r>
      <w:r w:rsidRPr="003B2786">
        <w:rPr>
          <w:rFonts w:ascii="Sylfaen" w:hAnsi="Sylfaen"/>
          <w:sz w:val="24"/>
          <w:szCs w:val="24"/>
        </w:rPr>
        <w:t xml:space="preserve"> կենսահամանման-կենսանման պատրաստուկի անվտանգության պրոֆիլների միջ</w:t>
      </w:r>
      <w:r w:rsidR="00C54D75">
        <w:rPr>
          <w:rFonts w:ascii="Sylfaen" w:hAnsi="Sylfaen"/>
          <w:sz w:val="24"/>
          <w:szCs w:val="24"/>
        </w:rPr>
        <w:t>և</w:t>
      </w:r>
      <w:r w:rsidRPr="003B2786">
        <w:rPr>
          <w:rFonts w:ascii="Sylfaen" w:hAnsi="Sylfaen"/>
          <w:sz w:val="24"/>
          <w:szCs w:val="24"/>
        </w:rPr>
        <w:t xml:space="preserve"> պոտենցիալ նշանակություն ունեցող ցանկացած կլինիկական տարբերություն: </w:t>
      </w:r>
    </w:p>
    <w:p w14:paraId="4C9EFCB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Հատուկ ուշադրություն պետք է դարձնել իմունոգենության ասպեկտներին (օրինակ՝ հակամարմինների արտադրմանը </w:t>
      </w:r>
      <w:r w:rsidR="00C54D75">
        <w:rPr>
          <w:rFonts w:ascii="Sylfaen" w:hAnsi="Sylfaen"/>
          <w:sz w:val="24"/>
          <w:szCs w:val="24"/>
        </w:rPr>
        <w:t>և</w:t>
      </w:r>
      <w:r w:rsidRPr="003B2786">
        <w:rPr>
          <w:rFonts w:ascii="Sylfaen" w:hAnsi="Sylfaen"/>
          <w:sz w:val="24"/>
          <w:szCs w:val="24"/>
        </w:rPr>
        <w:t xml:space="preserve"> բնութագրերին): Բացի այդ, պետք է ուսումնասիրվի վաճառքի թույլտվություն տրամադրելուց հետո հետմարկետինգային հսկողության կամ դեղազգոնության շրջանակներում մոնիթորինգի ցանկացած արդյունք (տե՛ս Եվրասիական տնտեսական հանձնաժողովի կողմից հաստատվող՝ Եվրասիական տնտեսական միության շրջանակներում Կենսաբանական դեղամիջոցների հետազոտության կանոնները):</w:t>
      </w:r>
    </w:p>
    <w:p w14:paraId="0A5145A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4.2.</w:t>
      </w:r>
      <w:r w:rsidRPr="003B2786">
        <w:rPr>
          <w:rFonts w:ascii="Sylfaen" w:hAnsi="Sylfaen"/>
          <w:sz w:val="24"/>
          <w:szCs w:val="24"/>
        </w:rPr>
        <w:tab/>
        <w:t>Դեղանյութի ազդեցությունը պացիենտի վրա:</w:t>
      </w:r>
    </w:p>
    <w:p w14:paraId="6AEAF83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կլինիկական հետազոտությունները, որոնց արդյունքները վկայում են դեղապատրաստուկի անվտանգության մասին (առաջարկվում է օգտագործել ամփոփ աղյուսակներ): </w:t>
      </w:r>
    </w:p>
    <w:p w14:paraId="5340D47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տվյալների հավաքագրման ավարտի ամսաթիվը:</w:t>
      </w:r>
    </w:p>
    <w:p w14:paraId="79245A9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Հետազոտության մեջ ներառված պացիենտների </w:t>
      </w:r>
      <w:r w:rsidR="00C54D75">
        <w:rPr>
          <w:rFonts w:ascii="Sylfaen" w:hAnsi="Sylfaen"/>
          <w:sz w:val="24"/>
          <w:szCs w:val="24"/>
        </w:rPr>
        <w:t>և</w:t>
      </w:r>
      <w:r w:rsidRPr="003B2786">
        <w:rPr>
          <w:rFonts w:ascii="Sylfaen" w:hAnsi="Sylfaen"/>
          <w:sz w:val="24"/>
          <w:szCs w:val="24"/>
        </w:rPr>
        <w:t xml:space="preserve"> առողջ փորձարկվողների թիվը </w:t>
      </w:r>
      <w:r w:rsidR="00C54D75">
        <w:rPr>
          <w:rFonts w:ascii="Sylfaen" w:hAnsi="Sylfaen"/>
          <w:sz w:val="24"/>
          <w:szCs w:val="24"/>
        </w:rPr>
        <w:t>և</w:t>
      </w:r>
      <w:r w:rsidRPr="003B2786">
        <w:rPr>
          <w:rFonts w:ascii="Sylfaen" w:hAnsi="Sylfaen"/>
          <w:sz w:val="24"/>
          <w:szCs w:val="24"/>
        </w:rPr>
        <w:t xml:space="preserve"> բնութագրերը (տարիք, հետազոտության փուլ (հիվանդության ծանրություն)) </w:t>
      </w:r>
      <w:r w:rsidR="00C54D75">
        <w:rPr>
          <w:rFonts w:ascii="Sylfaen" w:hAnsi="Sylfaen"/>
          <w:sz w:val="24"/>
          <w:szCs w:val="24"/>
        </w:rPr>
        <w:t>և</w:t>
      </w:r>
      <w:r w:rsidRPr="003B2786">
        <w:rPr>
          <w:rFonts w:ascii="Sylfaen" w:hAnsi="Sylfaen"/>
          <w:sz w:val="24"/>
          <w:szCs w:val="24"/>
        </w:rPr>
        <w:t xml:space="preserve"> առողջ փորձարկվողներինը (տվյալները կարող են ներառվել </w:t>
      </w:r>
      <w:r w:rsidRPr="003B2786">
        <w:rPr>
          <w:rFonts w:ascii="Sylfaen" w:hAnsi="Sylfaen"/>
          <w:sz w:val="24"/>
          <w:szCs w:val="24"/>
        </w:rPr>
        <w:lastRenderedPageBreak/>
        <w:t xml:space="preserve">ամփոփ աղյուսակում): Տվյալների բազայի չափը 6-րդ </w:t>
      </w:r>
      <w:r w:rsidR="00C54D75">
        <w:rPr>
          <w:rFonts w:ascii="Sylfaen" w:hAnsi="Sylfaen"/>
          <w:sz w:val="24"/>
          <w:szCs w:val="24"/>
        </w:rPr>
        <w:t>և</w:t>
      </w:r>
      <w:r w:rsidRPr="003B2786">
        <w:rPr>
          <w:rFonts w:ascii="Sylfaen" w:hAnsi="Sylfaen"/>
          <w:sz w:val="24"/>
          <w:szCs w:val="24"/>
        </w:rPr>
        <w:t xml:space="preserve"> 12-րդ ամիսների դրությամբ, եթե խոսքը գնում է երկարատ</w:t>
      </w:r>
      <w:r w:rsidR="00C54D75">
        <w:rPr>
          <w:rFonts w:ascii="Sylfaen" w:hAnsi="Sylfaen"/>
          <w:sz w:val="24"/>
          <w:szCs w:val="24"/>
        </w:rPr>
        <w:t>և</w:t>
      </w:r>
      <w:r w:rsidRPr="003B2786">
        <w:rPr>
          <w:rFonts w:ascii="Sylfaen" w:hAnsi="Sylfaen"/>
          <w:sz w:val="24"/>
          <w:szCs w:val="24"/>
        </w:rPr>
        <w:t xml:space="preserve"> բուժման մասին:</w:t>
      </w:r>
    </w:p>
    <w:p w14:paraId="02B4EA0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Մասնավորապես, ըստ օգտագործման չափի </w:t>
      </w:r>
      <w:r w:rsidR="00C54D75">
        <w:rPr>
          <w:rFonts w:ascii="Sylfaen" w:hAnsi="Sylfaen"/>
          <w:sz w:val="24"/>
          <w:szCs w:val="24"/>
        </w:rPr>
        <w:t>և</w:t>
      </w:r>
      <w:r w:rsidRPr="003B2786">
        <w:rPr>
          <w:rFonts w:ascii="Sylfaen" w:hAnsi="Sylfaen"/>
          <w:sz w:val="24"/>
          <w:szCs w:val="24"/>
        </w:rPr>
        <w:t xml:space="preserve"> անհրաժեշտության դեպքում անհրաժեշտ է ըստ տարիքային խմբերի նշել անվտանգության մասով տվյալների բազան հիվանդ երեխաների շրջանում կիրառման դեպքում: </w:t>
      </w:r>
    </w:p>
    <w:p w14:paraId="718353A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Ընդհանուր առմամբ դա վերաբերում է տվյալներին, որոնք ստացվել են բուժման չընդհատվող ծրագրով հետազոտության 6-րդ </w:t>
      </w:r>
      <w:r w:rsidR="00C54D75">
        <w:rPr>
          <w:rFonts w:ascii="Sylfaen" w:hAnsi="Sylfaen"/>
          <w:sz w:val="24"/>
          <w:szCs w:val="24"/>
        </w:rPr>
        <w:t>և</w:t>
      </w:r>
      <w:r w:rsidRPr="003B2786">
        <w:rPr>
          <w:rFonts w:ascii="Sylfaen" w:hAnsi="Sylfaen"/>
          <w:sz w:val="24"/>
          <w:szCs w:val="24"/>
        </w:rPr>
        <w:t xml:space="preserve"> 12-րդ ամիսների դրությամբ, կամ ընդհատումներով բուժման ծրագրով հետազոտության տվյալներին: </w:t>
      </w:r>
    </w:p>
    <w:p w14:paraId="562E1015"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t>12 ամիսը գերազանցող ժամանակահատվածում անհրաժեշտ է ներկայացնել բուժման վերաբերյալ ցանկացած տեղեկատվություն:</w:t>
      </w:r>
    </w:p>
    <w:p w14:paraId="402BC65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Սուբյեկտների առաջարկվող թիրախային խմբի մասով անվտանգության վերաբերյալ տվյալների բազայում անհրաժեշտ է կատարել ցանկացած սահմանափակման ամփոփում: </w:t>
      </w:r>
    </w:p>
    <w:p w14:paraId="6A64500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4.3.</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ույթները:</w:t>
      </w:r>
    </w:p>
    <w:p w14:paraId="255F936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Արդյունքները՝ ներառյալ բոլոր անցանկալի կողմնակի եր</w:t>
      </w:r>
      <w:r w:rsidR="00C54D75">
        <w:rPr>
          <w:rFonts w:ascii="Sylfaen" w:hAnsi="Sylfaen"/>
          <w:sz w:val="24"/>
          <w:szCs w:val="24"/>
        </w:rPr>
        <w:t>և</w:t>
      </w:r>
      <w:r w:rsidRPr="003B2786">
        <w:rPr>
          <w:rFonts w:ascii="Sylfaen" w:hAnsi="Sylfaen"/>
          <w:sz w:val="24"/>
          <w:szCs w:val="24"/>
        </w:rPr>
        <w:t>ույթների ծանրության աստիճանի վերաբերյալ տվյալները պետք է ներկայացվեն օրգան- համակարգերի դասակարգմանը (SOC) (նախընտրելի եզրույթներ) համապատասխան: Անհրաժեշտ է ամփոփ աղյուսակի տվյալները ներկայացնել գրանցման դոսյեում ներառված համանման աղյուսակում (2.7.4.3)՝ վիճակագրական վերլուծության հետ միասին:</w:t>
      </w:r>
    </w:p>
    <w:p w14:paraId="5EA7D03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ներկայացնել անցանկալի եր</w:t>
      </w:r>
      <w:r w:rsidR="00C54D75">
        <w:rPr>
          <w:rFonts w:ascii="Sylfaen" w:hAnsi="Sylfaen"/>
          <w:sz w:val="24"/>
          <w:szCs w:val="24"/>
        </w:rPr>
        <w:t>և</w:t>
      </w:r>
      <w:r w:rsidRPr="003B2786">
        <w:rPr>
          <w:rFonts w:ascii="Sylfaen" w:hAnsi="Sylfaen"/>
          <w:sz w:val="24"/>
          <w:szCs w:val="24"/>
        </w:rPr>
        <w:t xml:space="preserve">ույթների </w:t>
      </w:r>
      <w:r w:rsidR="00C54D75">
        <w:rPr>
          <w:rFonts w:ascii="Sylfaen" w:hAnsi="Sylfaen"/>
          <w:sz w:val="24"/>
          <w:szCs w:val="24"/>
        </w:rPr>
        <w:t>և</w:t>
      </w:r>
      <w:r w:rsidRPr="003B2786">
        <w:rPr>
          <w:rFonts w:ascii="Sylfaen" w:hAnsi="Sylfaen"/>
          <w:sz w:val="24"/>
          <w:szCs w:val="24"/>
        </w:rPr>
        <w:t xml:space="preserve"> ռեակցիաների (նշելով պատճառահետ</w:t>
      </w:r>
      <w:r w:rsidR="00C54D75">
        <w:rPr>
          <w:rFonts w:ascii="Sylfaen" w:hAnsi="Sylfaen"/>
          <w:sz w:val="24"/>
          <w:szCs w:val="24"/>
        </w:rPr>
        <w:t>և</w:t>
      </w:r>
      <w:r w:rsidRPr="003B2786">
        <w:rPr>
          <w:rFonts w:ascii="Sylfaen" w:hAnsi="Sylfaen"/>
          <w:sz w:val="24"/>
          <w:szCs w:val="24"/>
        </w:rPr>
        <w:t xml:space="preserve">անքային կապը)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հարաբերության ամփոփման տվյալները: </w:t>
      </w:r>
    </w:p>
    <w:p w14:paraId="66EB54A6"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6D1B448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A20381F"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lastRenderedPageBreak/>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5115D1B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դեղաչափով պայմանավորված թունավորությունը, </w:t>
      </w:r>
    </w:p>
    <w:p w14:paraId="4D1ADB6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ուղեկցող դեղապատրաստուկները:</w:t>
      </w:r>
    </w:p>
    <w:p w14:paraId="1A60DA2A" w14:textId="77777777" w:rsidR="008C76E0" w:rsidRPr="00B46DD3" w:rsidRDefault="008C76E0" w:rsidP="00262653">
      <w:pPr>
        <w:spacing w:after="160" w:line="360" w:lineRule="auto"/>
        <w:ind w:right="-1" w:firstLine="567"/>
        <w:jc w:val="both"/>
        <w:rPr>
          <w:rFonts w:ascii="Sylfaen" w:hAnsi="Sylfaen"/>
          <w:spacing w:val="-6"/>
          <w:sz w:val="24"/>
          <w:szCs w:val="24"/>
        </w:rPr>
      </w:pPr>
      <w:r w:rsidRPr="00B46DD3">
        <w:rPr>
          <w:rFonts w:ascii="Sylfaen" w:hAnsi="Sylfaen"/>
          <w:spacing w:val="-6"/>
          <w:sz w:val="24"/>
          <w:szCs w:val="24"/>
        </w:rPr>
        <w:t>Եր</w:t>
      </w:r>
      <w:r w:rsidR="00C54D75">
        <w:rPr>
          <w:rFonts w:ascii="Sylfaen" w:hAnsi="Sylfaen"/>
          <w:spacing w:val="-6"/>
          <w:sz w:val="24"/>
          <w:szCs w:val="24"/>
        </w:rPr>
        <w:t>և</w:t>
      </w:r>
      <w:r w:rsidRPr="00B46DD3">
        <w:rPr>
          <w:rFonts w:ascii="Sylfaen" w:hAnsi="Sylfaen"/>
          <w:spacing w:val="-6"/>
          <w:sz w:val="24"/>
          <w:szCs w:val="24"/>
        </w:rPr>
        <w:t xml:space="preserve">ույթի դարձելիության </w:t>
      </w:r>
      <w:r w:rsidR="00C54D75">
        <w:rPr>
          <w:rFonts w:ascii="Sylfaen" w:hAnsi="Sylfaen"/>
          <w:spacing w:val="-6"/>
          <w:sz w:val="24"/>
          <w:szCs w:val="24"/>
        </w:rPr>
        <w:t>և</w:t>
      </w:r>
      <w:r w:rsidRPr="00B46DD3">
        <w:rPr>
          <w:rFonts w:ascii="Sylfaen" w:hAnsi="Sylfaen"/>
          <w:spacing w:val="-6"/>
          <w:sz w:val="24"/>
          <w:szCs w:val="24"/>
        </w:rPr>
        <w:t xml:space="preserve"> նախակլինիկական տվյալների հաստատման վերաբերյալ մեկնաբանությունները ներկայացվում են անհրաժեշտության դեպքում:</w:t>
      </w:r>
    </w:p>
    <w:p w14:paraId="109E308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Անհրաժեշտ է նշել արտադրության (որակի) արդիական ասպեկտների հետ հնարավոր կապը (օրինակ՝ հակածին միացությունների մասով):</w:t>
      </w:r>
    </w:p>
    <w:p w14:paraId="1FB7CE5C"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գրանցման դոսյեի փորձաքննության դեպքում, նույնիսկ արդյունավետության տվյալների համադրելիության վկայությունների առկայության դեպքում կենսահամանման-կենսանման պատրաստուկի մոտ կարող է դիտվել անվտանգության տարբերվող պրոֆիլ (անցանկալի ռեակցիաների բնույթի, լրջության աստիճանի կամ զարգացման հաճախակիության տեսանկյունից): Պետք է ստացվեն մի շարք պացիենտների շրջանում անվտանգության հետազոտության նախագրանցումային տվյալները, ինչպես նա</w:t>
      </w:r>
      <w:r w:rsidR="00C54D75">
        <w:rPr>
          <w:rFonts w:ascii="Sylfaen" w:hAnsi="Sylfaen"/>
          <w:sz w:val="24"/>
          <w:szCs w:val="24"/>
        </w:rPr>
        <w:t>և</w:t>
      </w:r>
      <w:r w:rsidRPr="003B2786">
        <w:rPr>
          <w:rFonts w:ascii="Sylfaen" w:hAnsi="Sylfaen"/>
          <w:sz w:val="24"/>
          <w:szCs w:val="24"/>
        </w:rPr>
        <w:t xml:space="preserve"> շարունակական բուժմամբ հետազոտության տվյալները, որոնք բավական են հետազոտվող </w:t>
      </w:r>
      <w:r w:rsidR="00C54D75">
        <w:rPr>
          <w:rFonts w:ascii="Sylfaen" w:hAnsi="Sylfaen"/>
          <w:sz w:val="24"/>
          <w:szCs w:val="24"/>
        </w:rPr>
        <w:t>և</w:t>
      </w:r>
      <w:r w:rsidRPr="003B2786">
        <w:rPr>
          <w:rFonts w:ascii="Sylfaen" w:hAnsi="Sylfaen"/>
          <w:sz w:val="24"/>
          <w:szCs w:val="24"/>
        </w:rPr>
        <w:t xml:space="preserve"> չափանմուշային պատրաստուկների անցանկալի եր</w:t>
      </w:r>
      <w:r w:rsidR="00C54D75">
        <w:rPr>
          <w:rFonts w:ascii="Sylfaen" w:hAnsi="Sylfaen"/>
          <w:sz w:val="24"/>
          <w:szCs w:val="24"/>
        </w:rPr>
        <w:t>և</w:t>
      </w:r>
      <w:r w:rsidRPr="003B2786">
        <w:rPr>
          <w:rFonts w:ascii="Sylfaen" w:hAnsi="Sylfaen"/>
          <w:sz w:val="24"/>
          <w:szCs w:val="24"/>
        </w:rPr>
        <w:t xml:space="preserve">ույթների պրոֆիլների համադրելիության ամփոփման համար: Հարկավոր է հատուկ ուշադրություն դարձնել տիպերի, ծանրության աստիճանների </w:t>
      </w:r>
      <w:r w:rsidR="00C54D75">
        <w:rPr>
          <w:rFonts w:ascii="Sylfaen" w:hAnsi="Sylfaen"/>
          <w:sz w:val="24"/>
          <w:szCs w:val="24"/>
        </w:rPr>
        <w:t>և</w:t>
      </w:r>
      <w:r w:rsidRPr="003B2786">
        <w:rPr>
          <w:rFonts w:ascii="Sylfaen" w:hAnsi="Sylfaen"/>
          <w:sz w:val="24"/>
          <w:szCs w:val="24"/>
        </w:rPr>
        <w:t xml:space="preserve"> ընդհանուր կողմնակի այն ռեակցիների առաջացման հաճախակիության համեմատությանը, որոնք դիտվել են կենսահամանման-կենսանման պատրաստուկը </w:t>
      </w:r>
      <w:r w:rsidR="00C54D75">
        <w:rPr>
          <w:rFonts w:ascii="Sylfaen" w:hAnsi="Sylfaen"/>
          <w:sz w:val="24"/>
          <w:szCs w:val="24"/>
        </w:rPr>
        <w:t>և</w:t>
      </w:r>
      <w:r w:rsidRPr="003B2786">
        <w:rPr>
          <w:rFonts w:ascii="Sylfaen" w:hAnsi="Sylfaen"/>
          <w:sz w:val="24"/>
          <w:szCs w:val="24"/>
        </w:rPr>
        <w:t xml:space="preserve"> չափանմուշային դեղապատրաստուկը կիրառելիս: </w:t>
      </w:r>
    </w:p>
    <w:p w14:paraId="69745ECF"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4.4.</w:t>
      </w:r>
      <w:r w:rsidRPr="003B2786">
        <w:rPr>
          <w:rFonts w:ascii="Sylfaen" w:hAnsi="Sylfaen"/>
          <w:sz w:val="24"/>
          <w:szCs w:val="24"/>
        </w:rPr>
        <w:tab/>
        <w:t>Լուրջ անցանկալի եր</w:t>
      </w:r>
      <w:r w:rsidR="00C54D75">
        <w:rPr>
          <w:rFonts w:ascii="Sylfaen" w:hAnsi="Sylfaen"/>
          <w:sz w:val="24"/>
          <w:szCs w:val="24"/>
        </w:rPr>
        <w:t>և</w:t>
      </w:r>
      <w:r w:rsidRPr="003B2786">
        <w:rPr>
          <w:rFonts w:ascii="Sylfaen" w:hAnsi="Sylfaen"/>
          <w:sz w:val="24"/>
          <w:szCs w:val="24"/>
        </w:rPr>
        <w:t xml:space="preserve">ույթները </w:t>
      </w:r>
      <w:r w:rsidR="00C54D75">
        <w:rPr>
          <w:rFonts w:ascii="Sylfaen" w:hAnsi="Sylfaen"/>
          <w:sz w:val="24"/>
          <w:szCs w:val="24"/>
        </w:rPr>
        <w:t>և</w:t>
      </w:r>
      <w:r w:rsidRPr="003B2786">
        <w:rPr>
          <w:rFonts w:ascii="Sylfaen" w:hAnsi="Sylfaen"/>
          <w:sz w:val="24"/>
          <w:szCs w:val="24"/>
        </w:rPr>
        <w:t xml:space="preserve"> մահացու ելքը:</w:t>
      </w:r>
    </w:p>
    <w:p w14:paraId="30661EA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ընդհանուր պրոֆիլի ամփոփումից հետո անհրաժեշտ է անցկացնել լուրջ անցանկալի եր</w:t>
      </w:r>
      <w:r w:rsidR="00C54D75">
        <w:rPr>
          <w:rFonts w:ascii="Sylfaen" w:hAnsi="Sylfaen"/>
          <w:sz w:val="24"/>
          <w:szCs w:val="24"/>
        </w:rPr>
        <w:t>և</w:t>
      </w:r>
      <w:r w:rsidRPr="003B2786">
        <w:rPr>
          <w:rFonts w:ascii="Sylfaen" w:hAnsi="Sylfaen"/>
          <w:sz w:val="24"/>
          <w:szCs w:val="24"/>
        </w:rPr>
        <w:t>ույթների առանձին վերլուծություն:</w:t>
      </w:r>
    </w:p>
    <w:p w14:paraId="58B3361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Արդյունքները պետք է ներկայացվեն օրգան- համակարգերի դասակարգմանը (SOC) (նախընտրելի եզրույթներ) համապատասխան՝ ներառյալ անցանկալի </w:t>
      </w:r>
      <w:r w:rsidRPr="003B2786">
        <w:rPr>
          <w:rFonts w:ascii="Sylfaen" w:hAnsi="Sylfaen"/>
          <w:sz w:val="24"/>
          <w:szCs w:val="24"/>
        </w:rPr>
        <w:lastRenderedPageBreak/>
        <w:t>եր</w:t>
      </w:r>
      <w:r w:rsidR="00C54D75">
        <w:rPr>
          <w:rFonts w:ascii="Sylfaen" w:hAnsi="Sylfaen"/>
          <w:sz w:val="24"/>
          <w:szCs w:val="24"/>
        </w:rPr>
        <w:t>և</w:t>
      </w:r>
      <w:r w:rsidRPr="003B2786">
        <w:rPr>
          <w:rFonts w:ascii="Sylfaen" w:hAnsi="Sylfaen"/>
          <w:sz w:val="24"/>
          <w:szCs w:val="24"/>
        </w:rPr>
        <w:t xml:space="preserve">ույթների ծանրության աստիճանի վերաբերյալ տվյալները: Անհրաժեշտ է ամփոփ աղյուսակի տվյալները ներկայացնել գրանցման դոսյեում ներառված համանման աղյուսակի մեջ (2.7.4.3 </w:t>
      </w:r>
      <w:r w:rsidR="00C54D75">
        <w:rPr>
          <w:rFonts w:ascii="Sylfaen" w:hAnsi="Sylfaen"/>
          <w:sz w:val="24"/>
          <w:szCs w:val="24"/>
        </w:rPr>
        <w:t>և</w:t>
      </w:r>
      <w:r w:rsidRPr="003B2786">
        <w:rPr>
          <w:rFonts w:ascii="Sylfaen" w:hAnsi="Sylfaen"/>
          <w:sz w:val="24"/>
          <w:szCs w:val="24"/>
        </w:rPr>
        <w:t xml:space="preserve"> 2.7.4.6):</w:t>
      </w:r>
    </w:p>
    <w:p w14:paraId="6E2E5A54"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Բոլոր դեպքերում անհրաժեշտ է անցկացնել լուրջ անցանկալի եր</w:t>
      </w:r>
      <w:r w:rsidR="00C54D75">
        <w:rPr>
          <w:rFonts w:ascii="Sylfaen" w:hAnsi="Sylfaen"/>
          <w:sz w:val="24"/>
          <w:szCs w:val="24"/>
        </w:rPr>
        <w:t>և</w:t>
      </w:r>
      <w:r w:rsidRPr="003B2786">
        <w:rPr>
          <w:rFonts w:ascii="Sylfaen" w:hAnsi="Sylfaen"/>
          <w:sz w:val="24"/>
          <w:szCs w:val="24"/>
        </w:rPr>
        <w:t xml:space="preserve">ույթների (մահվան ելքով դեպքերի) </w:t>
      </w:r>
      <w:r w:rsidR="00C54D75">
        <w:rPr>
          <w:rFonts w:ascii="Sylfaen" w:hAnsi="Sylfaen"/>
          <w:sz w:val="24"/>
          <w:szCs w:val="24"/>
        </w:rPr>
        <w:t>և</w:t>
      </w:r>
      <w:r w:rsidRPr="003B2786">
        <w:rPr>
          <w:rFonts w:ascii="Sylfaen" w:hAnsi="Sylfaen"/>
          <w:sz w:val="24"/>
          <w:szCs w:val="24"/>
        </w:rPr>
        <w:t xml:space="preserve"> այլ փոփոխականների միջ</w:t>
      </w:r>
      <w:r w:rsidR="00C54D75">
        <w:rPr>
          <w:rFonts w:ascii="Sylfaen" w:hAnsi="Sylfaen"/>
          <w:sz w:val="24"/>
          <w:szCs w:val="24"/>
        </w:rPr>
        <w:t>և</w:t>
      </w:r>
      <w:r w:rsidRPr="003B2786">
        <w:rPr>
          <w:rFonts w:ascii="Sylfaen" w:hAnsi="Sylfaen"/>
          <w:sz w:val="24"/>
          <w:szCs w:val="24"/>
        </w:rPr>
        <w:t xml:space="preserve"> հարաբերությունների ամփոփում:</w:t>
      </w:r>
    </w:p>
    <w:p w14:paraId="034C4A2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Այդպիսի փոփոխականներ կարող են լինել հետ</w:t>
      </w:r>
      <w:r w:rsidR="00C54D75">
        <w:rPr>
          <w:rFonts w:ascii="Sylfaen" w:hAnsi="Sylfaen"/>
          <w:sz w:val="24"/>
          <w:szCs w:val="24"/>
        </w:rPr>
        <w:t>և</w:t>
      </w:r>
      <w:r w:rsidRPr="003B2786">
        <w:rPr>
          <w:rFonts w:ascii="Sylfaen" w:hAnsi="Sylfaen"/>
          <w:sz w:val="24"/>
          <w:szCs w:val="24"/>
        </w:rPr>
        <w:t>յալները՝</w:t>
      </w:r>
    </w:p>
    <w:p w14:paraId="20C52A36"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բուժման տ</w:t>
      </w:r>
      <w:r w:rsidR="00C54D75">
        <w:rPr>
          <w:rFonts w:ascii="Sylfaen" w:hAnsi="Sylfaen"/>
          <w:sz w:val="24"/>
          <w:szCs w:val="24"/>
        </w:rPr>
        <w:t>և</w:t>
      </w:r>
      <w:r w:rsidRPr="003B2786">
        <w:rPr>
          <w:rFonts w:ascii="Sylfaen" w:hAnsi="Sylfaen"/>
          <w:sz w:val="24"/>
          <w:szCs w:val="24"/>
        </w:rPr>
        <w:t>ողությունը,</w:t>
      </w:r>
    </w:p>
    <w:p w14:paraId="46F11902"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դոզավորման ռեժիմը </w:t>
      </w:r>
      <w:r w:rsidR="00C54D75">
        <w:rPr>
          <w:rFonts w:ascii="Sylfaen" w:hAnsi="Sylfaen"/>
          <w:sz w:val="24"/>
          <w:szCs w:val="24"/>
        </w:rPr>
        <w:t>և</w:t>
      </w:r>
      <w:r w:rsidRPr="003B2786">
        <w:rPr>
          <w:rFonts w:ascii="Sylfaen" w:hAnsi="Sylfaen"/>
          <w:sz w:val="24"/>
          <w:szCs w:val="24"/>
        </w:rPr>
        <w:t xml:space="preserve"> ժամանակահատվածները,</w:t>
      </w:r>
    </w:p>
    <w:p w14:paraId="2A5945D5"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 xml:space="preserve">ընդհանուր թունավորությունը </w:t>
      </w:r>
      <w:r w:rsidR="00C54D75">
        <w:rPr>
          <w:rFonts w:ascii="Sylfaen" w:hAnsi="Sylfaen"/>
          <w:sz w:val="24"/>
          <w:szCs w:val="24"/>
        </w:rPr>
        <w:t>և</w:t>
      </w:r>
      <w:r w:rsidRPr="003B2786">
        <w:rPr>
          <w:rFonts w:ascii="Sylfaen" w:hAnsi="Sylfaen"/>
          <w:sz w:val="24"/>
          <w:szCs w:val="24"/>
        </w:rPr>
        <w:t xml:space="preserve"> ներմուծված դոզայով պայմանավորված թունավորությունը,</w:t>
      </w:r>
    </w:p>
    <w:p w14:paraId="3DD8C9A1" w14:textId="77777777" w:rsidR="008C76E0" w:rsidRPr="003B2786" w:rsidRDefault="008C76E0" w:rsidP="00262653">
      <w:pPr>
        <w:tabs>
          <w:tab w:val="left" w:pos="1560"/>
        </w:tabs>
        <w:spacing w:after="160" w:line="360" w:lineRule="auto"/>
        <w:ind w:firstLine="567"/>
        <w:jc w:val="both"/>
        <w:rPr>
          <w:rFonts w:ascii="Sylfaen" w:hAnsi="Sylfaen"/>
          <w:sz w:val="24"/>
          <w:szCs w:val="24"/>
        </w:rPr>
      </w:pPr>
      <w:r w:rsidRPr="003B2786">
        <w:rPr>
          <w:rFonts w:ascii="Sylfaen" w:hAnsi="Sylfaen"/>
          <w:sz w:val="24"/>
          <w:szCs w:val="24"/>
        </w:rPr>
        <w:t>ուղեկցող դեղապատրաստուկները՝ անհրաժեշտության դեպքում,</w:t>
      </w:r>
    </w:p>
    <w:p w14:paraId="40BC09BE"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եր</w:t>
      </w:r>
      <w:r w:rsidR="00C54D75">
        <w:rPr>
          <w:rFonts w:ascii="Sylfaen" w:hAnsi="Sylfaen"/>
          <w:sz w:val="24"/>
          <w:szCs w:val="24"/>
        </w:rPr>
        <w:t>և</w:t>
      </w:r>
      <w:r w:rsidRPr="003B2786">
        <w:rPr>
          <w:rFonts w:ascii="Sylfaen" w:hAnsi="Sylfaen"/>
          <w:sz w:val="24"/>
          <w:szCs w:val="24"/>
        </w:rPr>
        <w:t>ույթի (բացառությամբ մահվան ելքի) դարձելիությունը (ելքը):</w:t>
      </w:r>
    </w:p>
    <w:p w14:paraId="08CE9937"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4.5.</w:t>
      </w:r>
      <w:r w:rsidRPr="003B2786">
        <w:rPr>
          <w:rFonts w:ascii="Sylfaen" w:hAnsi="Sylfaen"/>
          <w:sz w:val="24"/>
          <w:szCs w:val="24"/>
        </w:rPr>
        <w:tab/>
        <w:t>Լաբորատոր հետազոտությունների տվյալները:</w:t>
      </w:r>
    </w:p>
    <w:p w14:paraId="78D888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Եթե հիվանդությունը հաճախ է հանդիպում տարեց հասակում, պետք է ներկայացվի անվտանգության մասին տեղեկատվություն՝ հատուկ տարեց մարդկանց վերաբերյալ, կամ էլ ընդգծվի դրա բացակայության փաստը:</w:t>
      </w:r>
    </w:p>
    <w:p w14:paraId="25FE646D"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Տարեց մարդկանց վերաբերյալ տվյալները գնահատելիս հարկավոր է դիտարկել ոչ միայն հետազոտության մեջ ներառված պացիենտների թիվը, այլ նա</w:t>
      </w:r>
      <w:r w:rsidR="00C54D75">
        <w:rPr>
          <w:rFonts w:ascii="Sylfaen" w:hAnsi="Sylfaen"/>
          <w:sz w:val="24"/>
          <w:szCs w:val="24"/>
        </w:rPr>
        <w:t>և</w:t>
      </w:r>
      <w:r w:rsidRPr="003B2786">
        <w:rPr>
          <w:rFonts w:ascii="Sylfaen" w:hAnsi="Sylfaen"/>
          <w:sz w:val="24"/>
          <w:szCs w:val="24"/>
        </w:rPr>
        <w:t xml:space="preserve"> օգուտ-ռիսկ հարաբերակցության ամփոփման արդյունքները, քանի որ պետք</w:t>
      </w:r>
      <w:r w:rsidRPr="003B2786">
        <w:rPr>
          <w:rFonts w:ascii="Sylfaen" w:hAnsi="Sylfaen"/>
          <w:b/>
          <w:sz w:val="24"/>
          <w:szCs w:val="24"/>
        </w:rPr>
        <w:t> </w:t>
      </w:r>
      <w:r w:rsidRPr="003B2786">
        <w:rPr>
          <w:rFonts w:ascii="Sylfaen" w:hAnsi="Sylfaen"/>
          <w:sz w:val="24"/>
          <w:szCs w:val="24"/>
        </w:rPr>
        <w:t xml:space="preserve">է ուշադրություն դարձնել կոնկրետ հավանական ռիսկերին (օրինակ՝ ազդեցությունը մտավոր գործունեության, սրտանոթային համակարգի, երիկամների </w:t>
      </w:r>
      <w:r w:rsidR="00C54D75">
        <w:rPr>
          <w:rFonts w:ascii="Sylfaen" w:hAnsi="Sylfaen"/>
          <w:sz w:val="24"/>
          <w:szCs w:val="24"/>
        </w:rPr>
        <w:t>և</w:t>
      </w:r>
      <w:r w:rsidRPr="003B2786">
        <w:rPr>
          <w:rFonts w:ascii="Sylfaen" w:hAnsi="Sylfaen"/>
          <w:sz w:val="24"/>
          <w:szCs w:val="24"/>
        </w:rPr>
        <w:t xml:space="preserve"> լյարդի ֆունկցիաների վրա): Օգուտ-ռիսկ հարաբերակցությունը ամփոփելիս հարկավոր է ուշադրություն դարձնել տարեց մարդկանց շրջանում ուղեկցող հիվանդությունների տարածվածությանը </w:t>
      </w:r>
      <w:r w:rsidR="00C54D75">
        <w:rPr>
          <w:rFonts w:ascii="Sylfaen" w:hAnsi="Sylfaen"/>
          <w:sz w:val="24"/>
          <w:szCs w:val="24"/>
        </w:rPr>
        <w:t>և</w:t>
      </w:r>
      <w:r w:rsidRPr="003B2786">
        <w:rPr>
          <w:rFonts w:ascii="Sylfaen" w:hAnsi="Sylfaen"/>
          <w:sz w:val="24"/>
          <w:szCs w:val="24"/>
        </w:rPr>
        <w:t xml:space="preserve"> ծանրությանը, հարկավոր է նա</w:t>
      </w:r>
      <w:r w:rsidR="00C54D75">
        <w:rPr>
          <w:rFonts w:ascii="Sylfaen" w:hAnsi="Sylfaen"/>
          <w:sz w:val="24"/>
          <w:szCs w:val="24"/>
        </w:rPr>
        <w:t>և</w:t>
      </w:r>
      <w:r w:rsidRPr="003B2786">
        <w:rPr>
          <w:rFonts w:ascii="Sylfaen" w:hAnsi="Sylfaen"/>
          <w:sz w:val="24"/>
          <w:szCs w:val="24"/>
        </w:rPr>
        <w:t xml:space="preserve"> կատարել զուգահեռ դեղաթերապիայի վերաբերյալ առկա տեղեկատվության </w:t>
      </w:r>
      <w:r w:rsidRPr="003B2786">
        <w:rPr>
          <w:rFonts w:ascii="Sylfaen" w:hAnsi="Sylfaen"/>
          <w:sz w:val="24"/>
          <w:szCs w:val="24"/>
        </w:rPr>
        <w:lastRenderedPageBreak/>
        <w:t>ամփոփում, հատկապես եթե գոյություն ունի այլ դեղապատրաստուկների միաժամանակյա ներմուծման ֆոնին անբարենպաստ եր</w:t>
      </w:r>
      <w:r w:rsidR="00C54D75">
        <w:rPr>
          <w:rFonts w:ascii="Sylfaen" w:hAnsi="Sylfaen"/>
          <w:sz w:val="24"/>
          <w:szCs w:val="24"/>
        </w:rPr>
        <w:t>և</w:t>
      </w:r>
      <w:r w:rsidRPr="003B2786">
        <w:rPr>
          <w:rFonts w:ascii="Sylfaen" w:hAnsi="Sylfaen"/>
          <w:sz w:val="24"/>
          <w:szCs w:val="24"/>
        </w:rPr>
        <w:t xml:space="preserve">ույթների ազդեցության ուժեղացման հավանականություն: </w:t>
      </w:r>
    </w:p>
    <w:p w14:paraId="2B5F7EA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Խորհուրդ է տրվում լրացնել անցանկալի եր</w:t>
      </w:r>
      <w:r w:rsidR="00C54D75">
        <w:rPr>
          <w:rFonts w:ascii="Sylfaen" w:hAnsi="Sylfaen"/>
          <w:sz w:val="24"/>
          <w:szCs w:val="24"/>
        </w:rPr>
        <w:t>և</w:t>
      </w:r>
      <w:r w:rsidRPr="003B2786">
        <w:rPr>
          <w:rFonts w:ascii="Sylfaen" w:hAnsi="Sylfaen"/>
          <w:sz w:val="24"/>
          <w:szCs w:val="24"/>
        </w:rPr>
        <w:t xml:space="preserve">ույթների վերաբերյալ տեղեկությունների ամփոփ աղյուսակը, ինչպես նշված է սույն Կանոնների թիվ 7 հավելվածի համապատասխան բաժնում: Եթե տվյալ աղյուսակը կազմել հնարավոր չէ, խորհուրդ է տրվում կրիտիկական գնահատման 120-րդ օրը կազմվող հարցերի ցանկում ավելացնել հարցի տեսքով աղյուսակ: </w:t>
      </w:r>
    </w:p>
    <w:p w14:paraId="098A39A4" w14:textId="7696C20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բաժնում արված ցանկացած </w:t>
      </w:r>
      <w:r w:rsidR="000F179C">
        <w:rPr>
          <w:rFonts w:ascii="Sylfaen" w:hAnsi="Sylfaen"/>
          <w:sz w:val="24"/>
          <w:szCs w:val="24"/>
        </w:rPr>
        <w:t>հայտարարությ</w:t>
      </w:r>
      <w:r w:rsidRPr="003B2786">
        <w:rPr>
          <w:rFonts w:ascii="Sylfaen" w:hAnsi="Sylfaen"/>
          <w:sz w:val="24"/>
          <w:szCs w:val="24"/>
        </w:rPr>
        <w:t xml:space="preserve">ուն պետք է արտացոլվի դեղագործական պատրաստուկի վերաբերյալ տեղեկատվության մեջ: </w:t>
      </w:r>
    </w:p>
    <w:p w14:paraId="16D1F6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pacing w:val="-6"/>
          <w:sz w:val="24"/>
          <w:szCs w:val="24"/>
        </w:rPr>
        <w:t>Անհրաժեշտ է մուտքագրել (պլացեբոյով վերահսկվող ազդեցության (</w:t>
      </w:r>
      <w:r w:rsidRPr="003B2786">
        <w:rPr>
          <w:rFonts w:ascii="Sylfaen" w:hAnsi="Sylfaen"/>
          <w:sz w:val="24"/>
          <w:szCs w:val="24"/>
        </w:rPr>
        <w:t xml:space="preserve">ռեֆերենտ </w:t>
      </w:r>
      <w:r w:rsidRPr="003B2786">
        <w:rPr>
          <w:rFonts w:ascii="Sylfaen" w:hAnsi="Sylfaen"/>
          <w:spacing w:val="-6"/>
          <w:sz w:val="24"/>
          <w:szCs w:val="24"/>
        </w:rPr>
        <w:t>պատրաստուկով վերահսկվող ազդեցության) տվյալների հետ համեմատության մեջ) կլինիկապես նշանակալի շեղումները (օրինակ՝ պացիենտների 10%-ի մոտ հեմոգլոբինի մակարդակի նվազեցումը</w:t>
      </w:r>
      <w:r w:rsidRPr="003B2786">
        <w:rPr>
          <w:rFonts w:ascii="Sylfaen" w:hAnsi="Sylfaen"/>
          <w:sz w:val="24"/>
          <w:szCs w:val="24"/>
        </w:rPr>
        <w:t xml:space="preserve"> 2 գ/դլ-ով 20-շաբաթյա ներգործության ընթացքում):</w:t>
      </w:r>
    </w:p>
    <w:p w14:paraId="0FF63FD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Պետք է նշվի վերադարձը ցուցանիշների նորմալ մակարդակին: Տվյալ տեղեկատվությունը կարող է ներառվել աղյուսակի մեջ:</w:t>
      </w:r>
    </w:p>
    <w:p w14:paraId="74FAD58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Այն պացիենտների մասին տեղեկությունները, որոնց շրջանում գրանցվել է ստանդարտ շեղումը 3 անգամ գերազանցող շեղումներ, պետք է նշվեն առանձին: </w:t>
      </w:r>
    </w:p>
    <w:p w14:paraId="55DE29AE" w14:textId="77777777" w:rsidR="008C76E0" w:rsidRPr="003B2786" w:rsidRDefault="008C76E0" w:rsidP="0092500F">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4.6.</w:t>
      </w:r>
      <w:r w:rsidRPr="003B2786">
        <w:rPr>
          <w:rFonts w:ascii="Sylfaen" w:hAnsi="Sylfaen"/>
          <w:sz w:val="24"/>
          <w:szCs w:val="24"/>
        </w:rPr>
        <w:tab/>
        <w:t>Պատրաստուկի կիրառման անվտանգությունը բնակչության հատուկ խմբերի շրջանում:</w:t>
      </w:r>
    </w:p>
    <w:p w14:paraId="46F1D473" w14:textId="5172BFCE" w:rsidR="008C76E0" w:rsidRPr="003B2786" w:rsidRDefault="008C76E0" w:rsidP="0092500F">
      <w:pPr>
        <w:tabs>
          <w:tab w:val="left" w:pos="1560"/>
        </w:tabs>
        <w:spacing w:after="160" w:line="336" w:lineRule="auto"/>
        <w:ind w:firstLine="567"/>
        <w:jc w:val="both"/>
        <w:rPr>
          <w:rFonts w:ascii="Sylfaen" w:hAnsi="Sylfaen"/>
          <w:sz w:val="24"/>
          <w:szCs w:val="24"/>
        </w:rPr>
      </w:pPr>
      <w:r w:rsidRPr="003B2786">
        <w:rPr>
          <w:rFonts w:ascii="Sylfaen" w:hAnsi="Sylfaen"/>
          <w:sz w:val="24"/>
          <w:szCs w:val="24"/>
        </w:rPr>
        <w:t xml:space="preserve">Նախակլինիկական </w:t>
      </w:r>
      <w:r w:rsidR="00C54D75">
        <w:rPr>
          <w:rFonts w:ascii="Sylfaen" w:hAnsi="Sylfaen"/>
          <w:sz w:val="24"/>
          <w:szCs w:val="24"/>
        </w:rPr>
        <w:t>և</w:t>
      </w:r>
      <w:r w:rsidRPr="003B2786">
        <w:rPr>
          <w:rFonts w:ascii="Sylfaen" w:hAnsi="Sylfaen"/>
          <w:sz w:val="24"/>
          <w:szCs w:val="24"/>
        </w:rPr>
        <w:t xml:space="preserve"> կլինիկական հետազոտությունների արդյունքներով ստացված առկա ողջ տեղեկատվության համառոտ ռեզյումեն՝ բժշկական կիրառման դեղապատրաստուկի ընդհանուր բնութագրում շարադրված կոնկրետ </w:t>
      </w:r>
      <w:r w:rsidR="0011179D">
        <w:rPr>
          <w:rFonts w:ascii="Sylfaen" w:hAnsi="Sylfaen"/>
          <w:sz w:val="24"/>
          <w:szCs w:val="24"/>
        </w:rPr>
        <w:t>հայտարարություններ</w:t>
      </w:r>
      <w:r w:rsidRPr="003B2786">
        <w:rPr>
          <w:rFonts w:ascii="Sylfaen" w:hAnsi="Sylfaen"/>
          <w:sz w:val="24"/>
          <w:szCs w:val="24"/>
        </w:rPr>
        <w:t xml:space="preserve">ը հիմնավորելու համար (օրինակ՝ գենդերային տարբերությունները, հղի կանանց շրջանում կիրառման ռիսկը, ակնկալվող կամ դիտվող ազդեցությունը երեխաների (համապատասխան տարիքային խմբերում), տարեց մարդկանց շրջանում </w:t>
      </w:r>
      <w:r w:rsidR="00C54D75">
        <w:rPr>
          <w:rFonts w:ascii="Sylfaen" w:hAnsi="Sylfaen"/>
          <w:sz w:val="24"/>
          <w:szCs w:val="24"/>
        </w:rPr>
        <w:t>և</w:t>
      </w:r>
      <w:r w:rsidRPr="003B2786">
        <w:rPr>
          <w:rFonts w:ascii="Sylfaen" w:hAnsi="Sylfaen"/>
          <w:sz w:val="24"/>
          <w:szCs w:val="24"/>
        </w:rPr>
        <w:t xml:space="preserve"> այլն):</w:t>
      </w:r>
    </w:p>
    <w:p w14:paraId="46700A42" w14:textId="77777777" w:rsidR="008C76E0" w:rsidRPr="003B2786" w:rsidRDefault="008C76E0" w:rsidP="00262653">
      <w:pPr>
        <w:tabs>
          <w:tab w:val="left" w:pos="1560"/>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Ձ</w:t>
      </w:r>
      <w:r w:rsidR="00C54D75">
        <w:rPr>
          <w:rFonts w:ascii="Sylfaen" w:hAnsi="Sylfaen"/>
          <w:sz w:val="24"/>
          <w:szCs w:val="24"/>
        </w:rPr>
        <w:t>և</w:t>
      </w:r>
      <w:r w:rsidRPr="003B2786">
        <w:rPr>
          <w:rFonts w:ascii="Sylfaen" w:hAnsi="Sylfaen"/>
          <w:sz w:val="24"/>
          <w:szCs w:val="24"/>
        </w:rPr>
        <w:t>ակերպումը պետք է լինի համառոտ, իսկ հիմնական տեղեկատվության շրջանակներից դուրս եկող մանրամասն տեղեկություններն անհրաժեշտ է նշել միայն կրիտիկական գնահատման համար դրանց արդիականության դեպքում:</w:t>
      </w:r>
    </w:p>
    <w:p w14:paraId="53464E95"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4.7.</w:t>
      </w:r>
      <w:r w:rsidRPr="003B2786">
        <w:rPr>
          <w:rFonts w:ascii="Sylfaen" w:hAnsi="Sylfaen"/>
          <w:sz w:val="24"/>
          <w:szCs w:val="24"/>
        </w:rPr>
        <w:tab/>
        <w:t>Իմունաբանական եր</w:t>
      </w:r>
      <w:r w:rsidR="00C54D75">
        <w:rPr>
          <w:rFonts w:ascii="Sylfaen" w:hAnsi="Sylfaen"/>
          <w:sz w:val="24"/>
          <w:szCs w:val="24"/>
        </w:rPr>
        <w:t>և</w:t>
      </w:r>
      <w:r w:rsidRPr="003B2786">
        <w:rPr>
          <w:rFonts w:ascii="Sylfaen" w:hAnsi="Sylfaen"/>
          <w:sz w:val="24"/>
          <w:szCs w:val="24"/>
        </w:rPr>
        <w:t>ույթները:</w:t>
      </w:r>
    </w:p>
    <w:p w14:paraId="4B41845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Անվտանգության ամփոփման համատեքստում հարկավոր է ընդգծել հակամարմինների առաջացումը (օրինակ՝ չեզոքացնող հակամարմիններ, աուտոհակամարմիններ, տեսակային հակամարմիններ (օրինակ՝ НАМА (մարդու հակամկնային հակամարմիններ) НАНА (հումանիզացված հակամարմնի համար մարդկային իմունոգլոբուլին)) մոնոկլոնալ հակամարմինների արտադրման դեպքում: Անհրաժեշտ է մեկնաբանել վերլուծության արդիականությունը (օգտակարությունը):</w:t>
      </w:r>
    </w:p>
    <w:p w14:paraId="2B7EF21F"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4.8.</w:t>
      </w:r>
      <w:r w:rsidRPr="003B2786">
        <w:rPr>
          <w:rFonts w:ascii="Sylfaen" w:hAnsi="Sylfaen"/>
          <w:sz w:val="24"/>
          <w:szCs w:val="24"/>
        </w:rPr>
        <w:tab/>
        <w:t xml:space="preserve">Անվտանգությունը դեղային </w:t>
      </w:r>
      <w:r w:rsidR="00C54D75">
        <w:rPr>
          <w:rFonts w:ascii="Sylfaen" w:hAnsi="Sylfaen"/>
          <w:sz w:val="24"/>
          <w:szCs w:val="24"/>
        </w:rPr>
        <w:t>և</w:t>
      </w:r>
      <w:r w:rsidRPr="003B2786">
        <w:rPr>
          <w:rFonts w:ascii="Sylfaen" w:hAnsi="Sylfaen"/>
          <w:sz w:val="24"/>
          <w:szCs w:val="24"/>
        </w:rPr>
        <w:t xml:space="preserve"> այլ փոխազդեցությունների ժամանակ:</w:t>
      </w:r>
    </w:p>
    <w:p w14:paraId="401B540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 xml:space="preserve">Այս բաժնում պետք է նշվեն դեղակինետիկ </w:t>
      </w:r>
      <w:r w:rsidR="00C54D75">
        <w:rPr>
          <w:rFonts w:ascii="Sylfaen" w:hAnsi="Sylfaen"/>
          <w:sz w:val="24"/>
          <w:szCs w:val="24"/>
        </w:rPr>
        <w:t>և</w:t>
      </w:r>
      <w:r w:rsidRPr="003B2786">
        <w:rPr>
          <w:rFonts w:ascii="Sylfaen" w:hAnsi="Sylfaen"/>
          <w:sz w:val="24"/>
          <w:szCs w:val="24"/>
        </w:rPr>
        <w:t xml:space="preserve"> դեղադինամիկ փոխազդեցության՝ անվտանգությանն անմիջականորեն առնչվող տվյալները: Պետք է նա</w:t>
      </w:r>
      <w:r w:rsidR="00C54D75">
        <w:rPr>
          <w:rFonts w:ascii="Sylfaen" w:hAnsi="Sylfaen"/>
          <w:sz w:val="24"/>
          <w:szCs w:val="24"/>
        </w:rPr>
        <w:t>և</w:t>
      </w:r>
      <w:r w:rsidRPr="003B2786">
        <w:rPr>
          <w:rFonts w:ascii="Sylfaen" w:hAnsi="Sylfaen"/>
          <w:sz w:val="24"/>
          <w:szCs w:val="24"/>
        </w:rPr>
        <w:t xml:space="preserve"> քննվեն անվտանգության համապատասխան կլինիկական հետազոտությունների տվյալներն այլ պատրաստուկների միաժամանակյա կիրառման դեպքում:</w:t>
      </w:r>
    </w:p>
    <w:p w14:paraId="73742074"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4.9.</w:t>
      </w:r>
      <w:r w:rsidRPr="003B2786">
        <w:rPr>
          <w:rFonts w:ascii="Sylfaen" w:hAnsi="Sylfaen"/>
          <w:sz w:val="24"/>
          <w:szCs w:val="24"/>
        </w:rPr>
        <w:tab/>
        <w:t>Անցանկալի եր</w:t>
      </w:r>
      <w:r w:rsidR="00C54D75">
        <w:rPr>
          <w:rFonts w:ascii="Sylfaen" w:hAnsi="Sylfaen"/>
          <w:sz w:val="24"/>
          <w:szCs w:val="24"/>
        </w:rPr>
        <w:t>և</w:t>
      </w:r>
      <w:r w:rsidRPr="003B2786">
        <w:rPr>
          <w:rFonts w:ascii="Sylfaen" w:hAnsi="Sylfaen"/>
          <w:sz w:val="24"/>
          <w:szCs w:val="24"/>
        </w:rPr>
        <w:t>ույթների պատճառով հետազոտությունից դուրս գալը:</w:t>
      </w:r>
    </w:p>
    <w:p w14:paraId="490E0903"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Համառոտ տվյալներ՝ գրանցման դոսյեի աղյուսակին (2.7.4.5) խաչաձ</w:t>
      </w:r>
      <w:r w:rsidR="00C54D75">
        <w:rPr>
          <w:rFonts w:ascii="Sylfaen" w:hAnsi="Sylfaen"/>
          <w:sz w:val="24"/>
          <w:szCs w:val="24"/>
        </w:rPr>
        <w:t>և</w:t>
      </w:r>
      <w:r w:rsidRPr="003B2786">
        <w:rPr>
          <w:rFonts w:ascii="Sylfaen" w:hAnsi="Sylfaen"/>
          <w:sz w:val="24"/>
          <w:szCs w:val="24"/>
        </w:rPr>
        <w:t xml:space="preserve"> հղումների հնարավոր նշմամբ:</w:t>
      </w:r>
    </w:p>
    <w:p w14:paraId="3A7C9022" w14:textId="77777777" w:rsidR="008C76E0" w:rsidRPr="003B2786" w:rsidRDefault="008C76E0" w:rsidP="002C4B5D">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4.10.</w:t>
      </w:r>
      <w:r w:rsidRPr="003B2786">
        <w:rPr>
          <w:rFonts w:ascii="Sylfaen" w:hAnsi="Sylfaen"/>
          <w:sz w:val="24"/>
          <w:szCs w:val="24"/>
        </w:rPr>
        <w:tab/>
        <w:t>Հետազոտությունները պատրաստուկի՝ շուկա դուրս գալուց հետո:</w:t>
      </w:r>
    </w:p>
    <w:p w14:paraId="57B22C3C" w14:textId="77777777" w:rsidR="008C76E0" w:rsidRPr="003B2786" w:rsidRDefault="008C76E0" w:rsidP="002C4B5D">
      <w:pPr>
        <w:spacing w:after="160" w:line="336" w:lineRule="auto"/>
        <w:ind w:firstLine="567"/>
        <w:jc w:val="both"/>
        <w:rPr>
          <w:rFonts w:ascii="Sylfaen" w:hAnsi="Sylfaen"/>
          <w:sz w:val="24"/>
          <w:szCs w:val="24"/>
        </w:rPr>
      </w:pPr>
      <w:r w:rsidRPr="003B2786">
        <w:rPr>
          <w:rFonts w:ascii="Sylfaen" w:hAnsi="Sylfaen"/>
          <w:sz w:val="24"/>
          <w:szCs w:val="24"/>
        </w:rPr>
        <w:t>Պետք է ընդգծվի պատրաստուկի՝ շուկա դուրս գալուց հետո հետազոտությունների վերաբերյալ նոր տեղեկատվությունը:</w:t>
      </w:r>
    </w:p>
    <w:p w14:paraId="6957E95D"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Փորձագետի ընդհանուր եզրակացությունը՝ կլինիկական անվտանգության գնահատման վերաբերյալ:</w:t>
      </w:r>
    </w:p>
    <w:p w14:paraId="6CA08061" w14:textId="77777777" w:rsidR="008C76E0" w:rsidRPr="003B2786" w:rsidRDefault="008C76E0" w:rsidP="002C4B5D">
      <w:pPr>
        <w:tabs>
          <w:tab w:val="left" w:pos="1701"/>
        </w:tabs>
        <w:spacing w:after="160" w:line="336" w:lineRule="auto"/>
        <w:ind w:right="-1" w:firstLine="567"/>
        <w:jc w:val="both"/>
        <w:rPr>
          <w:rFonts w:ascii="Sylfaen" w:hAnsi="Sylfaen"/>
          <w:sz w:val="24"/>
          <w:szCs w:val="24"/>
        </w:rPr>
      </w:pPr>
      <w:r w:rsidRPr="003B2786">
        <w:rPr>
          <w:rFonts w:ascii="Sylfaen" w:hAnsi="Sylfaen"/>
          <w:sz w:val="24"/>
          <w:szCs w:val="24"/>
        </w:rPr>
        <w:t>4.11.1.</w:t>
      </w:r>
      <w:r w:rsidRPr="003B2786">
        <w:rPr>
          <w:rFonts w:ascii="Sylfaen" w:hAnsi="Sylfaen"/>
          <w:sz w:val="24"/>
          <w:szCs w:val="24"/>
        </w:rPr>
        <w:tab/>
        <w:t>Կլինիկական արդյունավետության վերաբերյալ եզրահանգումները:</w:t>
      </w:r>
    </w:p>
    <w:p w14:paraId="646A0325"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Արդյունքների քննարկումը հաճախ կրիտիկական գնահատման մասով հաշվետվության առավել կար</w:t>
      </w:r>
      <w:r w:rsidR="00C54D75">
        <w:rPr>
          <w:rFonts w:ascii="Sylfaen" w:hAnsi="Sylfaen"/>
          <w:sz w:val="24"/>
          <w:szCs w:val="24"/>
        </w:rPr>
        <w:t>և</w:t>
      </w:r>
      <w:r w:rsidRPr="003B2786">
        <w:rPr>
          <w:rFonts w:ascii="Sylfaen" w:hAnsi="Sylfaen"/>
          <w:sz w:val="24"/>
          <w:szCs w:val="24"/>
        </w:rPr>
        <w:t>որ մասն է: Կառուցվածքի տեսանկյունից եզրահանգումների քննարկումը պետք է սկզբունքորեն համապատասխանի արդյունքների շարադրման վերը նկարագրված սխեմային:</w:t>
      </w:r>
    </w:p>
    <w:p w14:paraId="520790A9" w14:textId="58CD2B12"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ապահովել շարադրանքի առավելագույն ճշգրտությունը </w:t>
      </w:r>
      <w:r w:rsidR="00C54D75">
        <w:rPr>
          <w:rFonts w:ascii="Sylfaen" w:hAnsi="Sylfaen"/>
          <w:sz w:val="24"/>
          <w:szCs w:val="24"/>
        </w:rPr>
        <w:t>և</w:t>
      </w:r>
      <w:r w:rsidRPr="003B2786">
        <w:rPr>
          <w:rFonts w:ascii="Sylfaen" w:hAnsi="Sylfaen"/>
          <w:sz w:val="24"/>
          <w:szCs w:val="24"/>
        </w:rPr>
        <w:t xml:space="preserve"> համառոտությունը (արդյունքների քննարկումը հաճախ բնութագրվում է ընդարձակ արտա</w:t>
      </w:r>
      <w:r w:rsidR="00877348">
        <w:rPr>
          <w:rFonts w:ascii="Sylfaen" w:hAnsi="Sylfaen"/>
          <w:sz w:val="24"/>
          <w:szCs w:val="24"/>
        </w:rPr>
        <w:t>հայտ</w:t>
      </w:r>
      <w:r w:rsidRPr="003B2786">
        <w:rPr>
          <w:rFonts w:ascii="Sylfaen" w:hAnsi="Sylfaen"/>
          <w:sz w:val="24"/>
          <w:szCs w:val="24"/>
        </w:rPr>
        <w:t xml:space="preserve">ություններով </w:t>
      </w:r>
      <w:r w:rsidR="00C54D75">
        <w:rPr>
          <w:rFonts w:ascii="Sylfaen" w:hAnsi="Sylfaen"/>
          <w:sz w:val="24"/>
          <w:szCs w:val="24"/>
        </w:rPr>
        <w:t>և</w:t>
      </w:r>
      <w:r w:rsidRPr="003B2786">
        <w:rPr>
          <w:rFonts w:ascii="Sylfaen" w:hAnsi="Sylfaen"/>
          <w:sz w:val="24"/>
          <w:szCs w:val="24"/>
        </w:rPr>
        <w:t xml:space="preserve"> բազմաբառությամբ, սակայն տվյալների իրական իմաստը չի հասցվում կարդացողին):</w:t>
      </w:r>
    </w:p>
    <w:p w14:paraId="074584A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Յուրաքանչյուր բաժնի վերաբերյալ արդյունքները քննարկելիս դիտարկման են ենթակա հետ</w:t>
      </w:r>
      <w:r w:rsidR="00C54D75">
        <w:rPr>
          <w:rFonts w:ascii="Sylfaen" w:hAnsi="Sylfaen"/>
          <w:sz w:val="24"/>
          <w:szCs w:val="24"/>
        </w:rPr>
        <w:t>և</w:t>
      </w:r>
      <w:r w:rsidRPr="003B2786">
        <w:rPr>
          <w:rFonts w:ascii="Sylfaen" w:hAnsi="Sylfaen"/>
          <w:sz w:val="24"/>
          <w:szCs w:val="24"/>
        </w:rPr>
        <w:t>յալ հարցերը՝</w:t>
      </w:r>
    </w:p>
    <w:p w14:paraId="10FECBAB"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վեր</w:t>
      </w:r>
      <w:r w:rsidR="00C54D75">
        <w:rPr>
          <w:rFonts w:ascii="Sylfaen" w:hAnsi="Sylfaen"/>
          <w:sz w:val="24"/>
          <w:szCs w:val="24"/>
        </w:rPr>
        <w:t>և</w:t>
      </w:r>
      <w:r w:rsidRPr="003B2786">
        <w:rPr>
          <w:rFonts w:ascii="Sylfaen" w:hAnsi="Sylfaen"/>
          <w:sz w:val="24"/>
          <w:szCs w:val="24"/>
        </w:rPr>
        <w:t>ում շարադրված առավել կար</w:t>
      </w:r>
      <w:r w:rsidR="00C54D75">
        <w:rPr>
          <w:rFonts w:ascii="Sylfaen" w:hAnsi="Sylfaen"/>
          <w:sz w:val="24"/>
          <w:szCs w:val="24"/>
        </w:rPr>
        <w:t>և</w:t>
      </w:r>
      <w:r w:rsidRPr="003B2786">
        <w:rPr>
          <w:rFonts w:ascii="Sylfaen" w:hAnsi="Sylfaen"/>
          <w:sz w:val="24"/>
          <w:szCs w:val="24"/>
        </w:rPr>
        <w:t xml:space="preserve">որ եզրահանգումները </w:t>
      </w:r>
      <w:r w:rsidR="00C54D75">
        <w:rPr>
          <w:rFonts w:ascii="Sylfaen" w:hAnsi="Sylfaen"/>
          <w:sz w:val="24"/>
          <w:szCs w:val="24"/>
        </w:rPr>
        <w:t>և</w:t>
      </w:r>
      <w:r w:rsidRPr="003B2786">
        <w:rPr>
          <w:rFonts w:ascii="Sylfaen" w:hAnsi="Sylfaen"/>
          <w:sz w:val="24"/>
          <w:szCs w:val="24"/>
        </w:rPr>
        <w:t xml:space="preserve"> թերությունները (արդյունքների վերաշարադրում չի թույլատրվում): Անհրաժեշտ է ներկայացնել արդյունքների համաձայնեցվածության ամփոփումը </w:t>
      </w:r>
      <w:r w:rsidR="00C54D75">
        <w:rPr>
          <w:rFonts w:ascii="Sylfaen" w:hAnsi="Sylfaen"/>
          <w:sz w:val="24"/>
          <w:szCs w:val="24"/>
        </w:rPr>
        <w:t>և</w:t>
      </w:r>
      <w:r w:rsidRPr="003B2786">
        <w:rPr>
          <w:rFonts w:ascii="Sylfaen" w:hAnsi="Sylfaen"/>
          <w:sz w:val="24"/>
          <w:szCs w:val="24"/>
        </w:rPr>
        <w:t xml:space="preserve"> ընդհանրացնել յուրաքանչյուր եզրակացության առկա եզրահանգումները,</w:t>
      </w:r>
    </w:p>
    <w:p w14:paraId="19D8202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ներկայացված տվյալների համապատասխանությունը (անհամապատասխանությունը) առկա պահանջներին, </w:t>
      </w:r>
    </w:p>
    <w:p w14:paraId="135691D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ծագած հիմնական հարցերը, </w:t>
      </w:r>
      <w:r w:rsidR="00C54D75">
        <w:rPr>
          <w:rFonts w:ascii="Sylfaen" w:hAnsi="Sylfaen"/>
          <w:sz w:val="24"/>
          <w:szCs w:val="24"/>
        </w:rPr>
        <w:t>և</w:t>
      </w:r>
      <w:r w:rsidRPr="003B2786">
        <w:rPr>
          <w:rFonts w:ascii="Sylfaen" w:hAnsi="Sylfaen"/>
          <w:sz w:val="24"/>
          <w:szCs w:val="24"/>
        </w:rPr>
        <w:t xml:space="preserve"> ինչ ծավալով դրանք պետք է լուծվեն,</w:t>
      </w:r>
    </w:p>
    <w:p w14:paraId="7B25FA36"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քննարկման ենթակա կար</w:t>
      </w:r>
      <w:r w:rsidR="00C54D75">
        <w:rPr>
          <w:rFonts w:ascii="Sylfaen" w:hAnsi="Sylfaen"/>
          <w:sz w:val="24"/>
          <w:szCs w:val="24"/>
        </w:rPr>
        <w:t>և</w:t>
      </w:r>
      <w:r w:rsidRPr="003B2786">
        <w:rPr>
          <w:rFonts w:ascii="Sylfaen" w:hAnsi="Sylfaen"/>
          <w:sz w:val="24"/>
          <w:szCs w:val="24"/>
        </w:rPr>
        <w:t xml:space="preserve">որ հարցերը, որոնք ենթակա են անդամ պետության լիազորված փորձագիտական կազմակերպության փորձագետների ընդլայնված կազմի կողմից քննման, </w:t>
      </w:r>
    </w:p>
    <w:p w14:paraId="7AFCD549"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 xml:space="preserve">ինչպիսի տեղեկատվություն պետք է արտացոլվի բժշկական կիրառման դեղապատրաստուկի ընդհանուր բնութագրում </w:t>
      </w:r>
      <w:r w:rsidR="00C54D75">
        <w:rPr>
          <w:rFonts w:ascii="Sylfaen" w:hAnsi="Sylfaen"/>
          <w:sz w:val="24"/>
          <w:szCs w:val="24"/>
        </w:rPr>
        <w:t>և</w:t>
      </w:r>
      <w:r w:rsidRPr="003B2786">
        <w:rPr>
          <w:rFonts w:ascii="Sylfaen" w:hAnsi="Sylfaen"/>
          <w:sz w:val="24"/>
          <w:szCs w:val="24"/>
        </w:rPr>
        <w:t xml:space="preserve"> եզրակացությունում,</w:t>
      </w:r>
    </w:p>
    <w:p w14:paraId="508F5278" w14:textId="77777777" w:rsidR="008C76E0" w:rsidRPr="003B2786" w:rsidRDefault="008C76E0" w:rsidP="002C4B5D">
      <w:pPr>
        <w:spacing w:after="160" w:line="384" w:lineRule="auto"/>
        <w:ind w:firstLine="567"/>
        <w:jc w:val="both"/>
        <w:rPr>
          <w:rFonts w:ascii="Sylfaen" w:hAnsi="Sylfaen"/>
          <w:sz w:val="24"/>
          <w:szCs w:val="24"/>
        </w:rPr>
      </w:pPr>
      <w:r w:rsidRPr="003B2786">
        <w:rPr>
          <w:rFonts w:ascii="Sylfaen" w:hAnsi="Sylfaen"/>
          <w:sz w:val="24"/>
          <w:szCs w:val="24"/>
        </w:rPr>
        <w:t>ինչպիսի առանցքային եզրահանգումներ (կամ անորորշություններ) պետք է մտնեն օգուտ-ռիսկ հարաբերակցության ամփոփման մեջ:</w:t>
      </w:r>
    </w:p>
    <w:p w14:paraId="255BB6AA" w14:textId="77777777" w:rsidR="008C76E0" w:rsidRPr="003B2786" w:rsidRDefault="008C76E0" w:rsidP="002C4B5D">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4.11.1.1.</w:t>
      </w:r>
      <w:r w:rsidRPr="003B2786">
        <w:rPr>
          <w:rFonts w:ascii="Sylfaen" w:hAnsi="Sylfaen"/>
          <w:sz w:val="24"/>
          <w:szCs w:val="24"/>
        </w:rPr>
        <w:tab/>
        <w:t>Քննարկման համար կոնկրետ հարցեր:</w:t>
      </w:r>
    </w:p>
    <w:p w14:paraId="4A7B4EE8" w14:textId="77777777" w:rsidR="008C76E0" w:rsidRPr="003B2786" w:rsidRDefault="008C76E0" w:rsidP="002C4B5D">
      <w:pPr>
        <w:spacing w:after="160" w:line="360" w:lineRule="auto"/>
        <w:ind w:firstLine="567"/>
        <w:jc w:val="both"/>
        <w:rPr>
          <w:rFonts w:ascii="Sylfaen" w:hAnsi="Sylfaen"/>
          <w:sz w:val="24"/>
          <w:szCs w:val="24"/>
        </w:rPr>
      </w:pPr>
      <w:r w:rsidRPr="003B2786">
        <w:rPr>
          <w:rFonts w:ascii="Sylfaen" w:hAnsi="Sylfaen"/>
          <w:sz w:val="24"/>
          <w:szCs w:val="24"/>
        </w:rPr>
        <w:lastRenderedPageBreak/>
        <w:t>Դեղապատրաստուկի ազդեցությունը պացիենտի վրա` բնակչության առաջարկվող թիրախային խմբի վերաբերյալ անվտանգության մասով տվյալների բազայում որ</w:t>
      </w:r>
      <w:r w:rsidR="00C54D75">
        <w:rPr>
          <w:rFonts w:ascii="Sylfaen" w:hAnsi="Sylfaen"/>
          <w:sz w:val="24"/>
          <w:szCs w:val="24"/>
        </w:rPr>
        <w:t>և</w:t>
      </w:r>
      <w:r w:rsidRPr="003B2786">
        <w:rPr>
          <w:rFonts w:ascii="Sylfaen" w:hAnsi="Sylfaen"/>
          <w:sz w:val="24"/>
          <w:szCs w:val="24"/>
        </w:rPr>
        <w:t>է սահմանափակման նկարագրություն:</w:t>
      </w:r>
    </w:p>
    <w:p w14:paraId="778EE82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Ինչպիսի եզրահանգումներ (կամ տեղեկատվության բացակայության վերաբերյալ տեղեկություններ) են արտացոլված բժշկական կիրառման դեղապատրաստուկի ընդհանուր բնութագրում: Անհրաժեշտ է համոզվել բժշկական կիրառման դեղապատրաստուկի համառոտ բնութագրում նշված տեղեկություններին տվյալների համապատասխանության մեջ (օրինակ՝ կախված հանգամանքներից՝ 4.3 «Հակացուցումներ», 4.4 «Հատուկ նշումներ», 4.7 «Ազդեցությունն ավտոմեքենա վարելու </w:t>
      </w:r>
      <w:r w:rsidR="00C54D75">
        <w:rPr>
          <w:rFonts w:ascii="Sylfaen" w:hAnsi="Sylfaen"/>
          <w:sz w:val="24"/>
          <w:szCs w:val="24"/>
        </w:rPr>
        <w:t>և</w:t>
      </w:r>
      <w:r w:rsidRPr="003B2786">
        <w:rPr>
          <w:rFonts w:ascii="Sylfaen" w:hAnsi="Sylfaen"/>
          <w:sz w:val="24"/>
          <w:szCs w:val="24"/>
        </w:rPr>
        <w:t xml:space="preserve"> մեխանիկական միջոցներ օգտագործելու ունակության վրա», 4.8 «Անցանկալի ազդեցությունները», 4.9 «Գերդոզավորումը» բաժինները) </w:t>
      </w:r>
      <w:r w:rsidR="00C54D75">
        <w:rPr>
          <w:rFonts w:ascii="Sylfaen" w:hAnsi="Sylfaen"/>
          <w:sz w:val="24"/>
          <w:szCs w:val="24"/>
        </w:rPr>
        <w:t>և</w:t>
      </w:r>
      <w:r w:rsidRPr="003B2786">
        <w:rPr>
          <w:rFonts w:ascii="Sylfaen" w:hAnsi="Sylfaen"/>
          <w:sz w:val="24"/>
          <w:szCs w:val="24"/>
        </w:rPr>
        <w:t xml:space="preserve"> այդ թվում, որ բժշկական կիրառման դեղապատրաստուկի համառոտ բնութագրի ողջ տեղեկատվությունը ենթարկվել է պատշաճ փորձաքննության </w:t>
      </w:r>
      <w:r w:rsidR="00C54D75">
        <w:rPr>
          <w:rFonts w:ascii="Sylfaen" w:hAnsi="Sylfaen"/>
          <w:sz w:val="24"/>
          <w:szCs w:val="24"/>
        </w:rPr>
        <w:t>և</w:t>
      </w:r>
      <w:r w:rsidRPr="003B2786">
        <w:rPr>
          <w:rFonts w:ascii="Sylfaen" w:hAnsi="Sylfaen"/>
          <w:sz w:val="24"/>
          <w:szCs w:val="24"/>
        </w:rPr>
        <w:t xml:space="preserve"> գիտական վերլուծության:</w:t>
      </w:r>
    </w:p>
    <w:p w14:paraId="406C2FA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Դեղապատրաստուկի անվտանգության պրոֆիլի </w:t>
      </w:r>
      <w:r w:rsidR="00C54D75">
        <w:rPr>
          <w:rFonts w:ascii="Sylfaen" w:hAnsi="Sylfaen"/>
          <w:sz w:val="24"/>
          <w:szCs w:val="24"/>
        </w:rPr>
        <w:t>և</w:t>
      </w:r>
      <w:r w:rsidRPr="003B2786">
        <w:rPr>
          <w:rFonts w:ascii="Sylfaen" w:hAnsi="Sylfaen"/>
          <w:sz w:val="24"/>
          <w:szCs w:val="24"/>
        </w:rPr>
        <w:t xml:space="preserve"> անվտանգության ուսումնասիրված աստիճանի նկարագրությունը:</w:t>
      </w:r>
    </w:p>
    <w:p w14:paraId="116BEDDC" w14:textId="7711CE49"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պրոֆիլի համապատասխանությունը հետազոտությունների նախակլինիկական փուլում կանխատեսված անվտանգության պրոֆիլին </w:t>
      </w:r>
      <w:r w:rsidR="00C54D75">
        <w:rPr>
          <w:rFonts w:ascii="Sylfaen" w:hAnsi="Sylfaen"/>
          <w:sz w:val="24"/>
          <w:szCs w:val="24"/>
        </w:rPr>
        <w:t>և</w:t>
      </w:r>
      <w:r w:rsidRPr="003B2786">
        <w:rPr>
          <w:rFonts w:ascii="Sylfaen" w:hAnsi="Sylfaen"/>
          <w:sz w:val="24"/>
          <w:szCs w:val="24"/>
        </w:rPr>
        <w:t xml:space="preserve"> ազդեցությունների </w:t>
      </w:r>
      <w:r w:rsidR="005F6A31">
        <w:rPr>
          <w:rFonts w:ascii="Sylfaen" w:hAnsi="Sylfaen"/>
          <w:sz w:val="24"/>
          <w:szCs w:val="24"/>
        </w:rPr>
        <w:t>հայտնի</w:t>
      </w:r>
      <w:r w:rsidRPr="003B2786">
        <w:rPr>
          <w:rFonts w:ascii="Sylfaen" w:hAnsi="Sylfaen"/>
          <w:sz w:val="24"/>
          <w:szCs w:val="24"/>
        </w:rPr>
        <w:t xml:space="preserve"> դասերին:</w:t>
      </w:r>
    </w:p>
    <w:p w14:paraId="7490D78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Կիրառելի դեպքերում անհրաժեշտ է նկարագրել անվտանգության համապատասխան ասպեկտները, որոնք սպեցիֆիկ են երեխաների շրջանում պատրաստուկն ըստ տարիքային խմբերի կիրառելու համար ՝ այդ տվյալների </w:t>
      </w:r>
      <w:r w:rsidR="00C54D75">
        <w:rPr>
          <w:rFonts w:ascii="Sylfaen" w:hAnsi="Sylfaen"/>
          <w:sz w:val="24"/>
          <w:szCs w:val="24"/>
        </w:rPr>
        <w:t>և</w:t>
      </w:r>
      <w:r w:rsidRPr="003B2786">
        <w:rPr>
          <w:rFonts w:ascii="Sylfaen" w:hAnsi="Sylfaen"/>
          <w:sz w:val="24"/>
          <w:szCs w:val="24"/>
        </w:rPr>
        <w:t xml:space="preserve"> դեղապատրաստուկի համառոտ բնութագրում ներկայացված առաջարկությունների փոխկապակցվածության նշմամբ: Արդյոք առկա են որ</w:t>
      </w:r>
      <w:r w:rsidR="00C54D75">
        <w:rPr>
          <w:rFonts w:ascii="Sylfaen" w:hAnsi="Sylfaen"/>
          <w:sz w:val="24"/>
          <w:szCs w:val="24"/>
        </w:rPr>
        <w:t>և</w:t>
      </w:r>
      <w:r w:rsidRPr="003B2786">
        <w:rPr>
          <w:rFonts w:ascii="Sylfaen" w:hAnsi="Sylfaen"/>
          <w:sz w:val="24"/>
          <w:szCs w:val="24"/>
        </w:rPr>
        <w:t xml:space="preserve">է կոնկրետ (լուրջ) անցանկալի կողմնակի ռեակցիաներ </w:t>
      </w:r>
      <w:r w:rsidR="00C54D75">
        <w:rPr>
          <w:rFonts w:ascii="Sylfaen" w:hAnsi="Sylfaen"/>
          <w:sz w:val="24"/>
          <w:szCs w:val="24"/>
        </w:rPr>
        <w:t>և</w:t>
      </w:r>
      <w:r w:rsidRPr="003B2786">
        <w:rPr>
          <w:rFonts w:ascii="Sylfaen" w:hAnsi="Sylfaen"/>
          <w:sz w:val="24"/>
          <w:szCs w:val="24"/>
        </w:rPr>
        <w:t xml:space="preserve"> (կամ) մոնիթորինգի նկատմամբ պահանջներ:</w:t>
      </w:r>
    </w:p>
    <w:p w14:paraId="73A84DBF"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երկարաժամկետ հետազոտության տվյալները բավարար են: Արդյոք առկա են գրանցման հավաստագիրը տրամադրելուց հետո հաստատման ենթակա </w:t>
      </w:r>
      <w:r w:rsidRPr="003B2786">
        <w:rPr>
          <w:rFonts w:ascii="Sylfaen" w:hAnsi="Sylfaen"/>
          <w:sz w:val="24"/>
          <w:szCs w:val="24"/>
        </w:rPr>
        <w:lastRenderedPageBreak/>
        <w:t>որ</w:t>
      </w:r>
      <w:r w:rsidR="00C54D75">
        <w:rPr>
          <w:rFonts w:ascii="Sylfaen" w:hAnsi="Sylfaen"/>
          <w:sz w:val="24"/>
          <w:szCs w:val="24"/>
        </w:rPr>
        <w:t>և</w:t>
      </w:r>
      <w:r w:rsidRPr="003B2786">
        <w:rPr>
          <w:rFonts w:ascii="Sylfaen" w:hAnsi="Sylfaen"/>
          <w:sz w:val="24"/>
          <w:szCs w:val="24"/>
        </w:rPr>
        <w:t xml:space="preserve">է չհաստատված տվյալներ, </w:t>
      </w:r>
      <w:r w:rsidR="00C54D75">
        <w:rPr>
          <w:rFonts w:ascii="Sylfaen" w:hAnsi="Sylfaen"/>
          <w:sz w:val="24"/>
          <w:szCs w:val="24"/>
        </w:rPr>
        <w:t>և</w:t>
      </w:r>
      <w:r w:rsidRPr="003B2786">
        <w:rPr>
          <w:rFonts w:ascii="Sylfaen" w:hAnsi="Sylfaen"/>
          <w:sz w:val="24"/>
          <w:szCs w:val="24"/>
        </w:rPr>
        <w:t xml:space="preserve"> արդյոք դա արտացոլված է բժշկական կիրառման դեղապատրաստուկի ընդհանուր բնութագրում: Արդյոք կա լրացուցիչ հետազոտությունների (հսկողական միջոցառումների) անցկացման անհրաժեշտություն գրանցման հավաստագիրը տրամադրելուց հետո:</w:t>
      </w:r>
    </w:p>
    <w:p w14:paraId="1ABB892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Կենսահամանման-կենսանման պատրաստուկների մասով միանշանակ անհրաժեշտ է արտացոլել հետազոտության ստացված տվյալներն ընտրված չափանմուշային դեղապատրաստուկի հետ համեմատելու բնութագիրը:</w:t>
      </w:r>
    </w:p>
    <w:p w14:paraId="2789853F" w14:textId="77777777" w:rsidR="008C76E0" w:rsidRPr="003B2786" w:rsidRDefault="008C76E0" w:rsidP="00262653">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4.11.2.</w:t>
      </w:r>
      <w:r w:rsidRPr="003B2786">
        <w:rPr>
          <w:rFonts w:ascii="Sylfaen" w:hAnsi="Sylfaen"/>
          <w:sz w:val="24"/>
          <w:szCs w:val="24"/>
        </w:rPr>
        <w:tab/>
        <w:t>Կլինիկական անվտանգության վերաբերյալ եզրահանգումները:</w:t>
      </w:r>
    </w:p>
    <w:p w14:paraId="61C980D3"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Տվյալ բաժնում պետք է ներկայացվեն հակիրճ եզրահանգումներ, որոնք հնարավոր է անել կլինիկական անվտանգության վերաբերյալ փաստաթղթերի քննման հիման վրա (օրինակ՝ դեղամիջոցի նկատմամբ առավել հաճախակի հանդիպող անբարենպաստ ռեակցիաները </w:t>
      </w:r>
      <w:r w:rsidR="00C54D75">
        <w:rPr>
          <w:rFonts w:ascii="Sylfaen" w:hAnsi="Sylfaen"/>
          <w:sz w:val="24"/>
          <w:szCs w:val="24"/>
        </w:rPr>
        <w:t>և</w:t>
      </w:r>
      <w:r w:rsidRPr="003B2786">
        <w:rPr>
          <w:rFonts w:ascii="Sylfaen" w:hAnsi="Sylfaen"/>
          <w:sz w:val="24"/>
          <w:szCs w:val="24"/>
        </w:rPr>
        <w:t xml:space="preserve"> անվտանգությանը վերաբերող այլ էական հարցեր):</w:t>
      </w:r>
    </w:p>
    <w:p w14:paraId="0A600EA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Դեղազգոնությունը:</w:t>
      </w:r>
    </w:p>
    <w:p w14:paraId="221FA52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5.1.</w:t>
      </w:r>
      <w:r w:rsidRPr="003B2786">
        <w:rPr>
          <w:rFonts w:ascii="Sylfaen" w:hAnsi="Sylfaen"/>
          <w:sz w:val="24"/>
          <w:szCs w:val="24"/>
        </w:rPr>
        <w:tab/>
        <w:t>Դեղազգոնության համակարգը:</w:t>
      </w:r>
    </w:p>
    <w:p w14:paraId="33101D7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Գրանցման հավաստագրի ապագա իրավատերը պետք է ապահովի դեղազգոնության համակարգի առկայությունը </w:t>
      </w:r>
      <w:r w:rsidR="00C54D75">
        <w:rPr>
          <w:rFonts w:ascii="Sylfaen" w:hAnsi="Sylfaen"/>
          <w:sz w:val="24"/>
          <w:szCs w:val="24"/>
        </w:rPr>
        <w:t>և</w:t>
      </w:r>
      <w:r w:rsidRPr="003B2786">
        <w:rPr>
          <w:rFonts w:ascii="Sylfaen" w:hAnsi="Sylfaen"/>
          <w:sz w:val="24"/>
          <w:szCs w:val="24"/>
        </w:rPr>
        <w:t xml:space="preserve"> պատշաճ աշխատանքը մինչ արտադրանքի շուկայահանումը </w:t>
      </w:r>
      <w:r w:rsidR="00C54D75">
        <w:rPr>
          <w:rFonts w:ascii="Sylfaen" w:hAnsi="Sylfaen"/>
          <w:sz w:val="24"/>
          <w:szCs w:val="24"/>
        </w:rPr>
        <w:t>և</w:t>
      </w:r>
      <w:r w:rsidRPr="003B2786">
        <w:rPr>
          <w:rFonts w:ascii="Sylfaen" w:hAnsi="Sylfaen"/>
          <w:sz w:val="24"/>
          <w:szCs w:val="24"/>
        </w:rPr>
        <w:t xml:space="preserve"> դրա վաճառքի ողջ ժամանակահատվածում: </w:t>
      </w:r>
    </w:p>
    <w:p w14:paraId="0C464215" w14:textId="133B8CBB" w:rsidR="008C76E0" w:rsidRPr="003B2786" w:rsidRDefault="0056496B" w:rsidP="002C4B5D">
      <w:pPr>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ներկայացնում է փաստաթղթեր, որոնցում ներկայացված է դեղազգոնության համակարգի մանրամասն նկարագրությունը, </w:t>
      </w:r>
      <w:r w:rsidR="00C54D75">
        <w:rPr>
          <w:rFonts w:ascii="Sylfaen" w:hAnsi="Sylfaen"/>
          <w:sz w:val="24"/>
          <w:szCs w:val="24"/>
        </w:rPr>
        <w:t>և</w:t>
      </w:r>
      <w:r w:rsidR="008C76E0" w:rsidRPr="003B2786">
        <w:rPr>
          <w:rFonts w:ascii="Sylfaen" w:hAnsi="Sylfaen"/>
          <w:sz w:val="24"/>
          <w:szCs w:val="24"/>
        </w:rPr>
        <w:t xml:space="preserve">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դեղազգոնության մասով որակավորված մասնագետի կողմից ստորագրված </w:t>
      </w:r>
      <w:r>
        <w:rPr>
          <w:rFonts w:ascii="Sylfaen" w:hAnsi="Sylfaen"/>
          <w:sz w:val="24"/>
          <w:szCs w:val="24"/>
        </w:rPr>
        <w:t>դիմում</w:t>
      </w:r>
      <w:r w:rsidR="008C76E0" w:rsidRPr="003B2786">
        <w:rPr>
          <w:rFonts w:ascii="Sylfaen" w:hAnsi="Sylfaen"/>
          <w:sz w:val="24"/>
          <w:szCs w:val="24"/>
        </w:rPr>
        <w:t xml:space="preserve">՝ նշելով, որ </w:t>
      </w:r>
      <w:r>
        <w:rPr>
          <w:rFonts w:ascii="Sylfaen" w:hAnsi="Sylfaen"/>
          <w:sz w:val="24"/>
          <w:szCs w:val="24"/>
        </w:rPr>
        <w:t>դիմումատու</w:t>
      </w:r>
      <w:r w:rsidR="008C76E0" w:rsidRPr="003B2786">
        <w:rPr>
          <w:rFonts w:ascii="Sylfaen" w:hAnsi="Sylfaen"/>
          <w:sz w:val="24"/>
          <w:szCs w:val="24"/>
        </w:rPr>
        <w:t xml:space="preserve">ն օգտվում է դեղազգոնության համար պատասխանատու որակավորված մասնագետի ծառայություններից </w:t>
      </w:r>
      <w:r w:rsidR="00C54D75">
        <w:rPr>
          <w:rFonts w:ascii="Sylfaen" w:hAnsi="Sylfaen"/>
          <w:sz w:val="24"/>
          <w:szCs w:val="24"/>
        </w:rPr>
        <w:t>և</w:t>
      </w:r>
      <w:r w:rsidR="008C76E0" w:rsidRPr="003B2786">
        <w:rPr>
          <w:rFonts w:ascii="Sylfaen" w:hAnsi="Sylfaen"/>
          <w:sz w:val="24"/>
          <w:szCs w:val="24"/>
        </w:rPr>
        <w:t xml:space="preserve"> իր տրամադրության տակ ունի անհրաժեշտ միջոցներ՝ որ</w:t>
      </w:r>
      <w:r w:rsidR="00C54D75">
        <w:rPr>
          <w:rFonts w:ascii="Sylfaen" w:hAnsi="Sylfaen"/>
          <w:sz w:val="24"/>
          <w:szCs w:val="24"/>
        </w:rPr>
        <w:t>և</w:t>
      </w:r>
      <w:r w:rsidR="008C76E0" w:rsidRPr="003B2786">
        <w:rPr>
          <w:rFonts w:ascii="Sylfaen" w:hAnsi="Sylfaen"/>
          <w:sz w:val="24"/>
          <w:szCs w:val="24"/>
        </w:rPr>
        <w:t xml:space="preserve">է անցանկալի ռեակցիաների մասին ծանուցելու համար, որոնք կարող են </w:t>
      </w:r>
      <w:r w:rsidR="00FE4A71">
        <w:rPr>
          <w:rFonts w:ascii="Sylfaen" w:hAnsi="Sylfaen"/>
          <w:sz w:val="24"/>
          <w:szCs w:val="24"/>
        </w:rPr>
        <w:t xml:space="preserve">հայտնաբերվել </w:t>
      </w:r>
      <w:r w:rsidR="008C76E0" w:rsidRPr="003B2786">
        <w:rPr>
          <w:rFonts w:ascii="Sylfaen" w:hAnsi="Sylfaen"/>
          <w:sz w:val="24"/>
          <w:szCs w:val="24"/>
        </w:rPr>
        <w:t xml:space="preserve"> կա՛մ անդամ պետություններում, կա՛մ երրորդ երկրներում:</w:t>
      </w:r>
    </w:p>
    <w:p w14:paraId="7E61E4C9" w14:textId="77777777" w:rsidR="008C76E0" w:rsidRPr="003B2786" w:rsidRDefault="008C76E0" w:rsidP="002C4B5D">
      <w:pPr>
        <w:tabs>
          <w:tab w:val="left" w:pos="1701"/>
        </w:tabs>
        <w:spacing w:after="160" w:line="384" w:lineRule="auto"/>
        <w:ind w:right="-1" w:firstLine="567"/>
        <w:jc w:val="both"/>
        <w:rPr>
          <w:rFonts w:ascii="Sylfaen" w:hAnsi="Sylfaen"/>
          <w:sz w:val="24"/>
          <w:szCs w:val="24"/>
        </w:rPr>
      </w:pPr>
      <w:r w:rsidRPr="003B2786">
        <w:rPr>
          <w:rFonts w:ascii="Sylfaen" w:hAnsi="Sylfaen"/>
          <w:sz w:val="24"/>
          <w:szCs w:val="24"/>
        </w:rPr>
        <w:lastRenderedPageBreak/>
        <w:t>5.1.1.</w:t>
      </w:r>
      <w:r w:rsidRPr="003B2786">
        <w:rPr>
          <w:rFonts w:ascii="Sylfaen" w:hAnsi="Sylfaen"/>
          <w:sz w:val="24"/>
          <w:szCs w:val="24"/>
        </w:rPr>
        <w:tab/>
        <w:t>Գնահատման մասով փորձագետի կողմից քննարկման ենթակա առանցքային հարցերը:</w:t>
      </w:r>
    </w:p>
    <w:p w14:paraId="0C92E5F7"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ներկայացված են համակարգի՝ Միության պատշաճ դեղազգոնության գործունեության կանոնների մեջ նշված տարբեր տարրերը </w:t>
      </w:r>
      <w:r w:rsidR="00C54D75">
        <w:rPr>
          <w:rFonts w:ascii="Sylfaen" w:hAnsi="Sylfaen"/>
          <w:sz w:val="24"/>
          <w:szCs w:val="24"/>
        </w:rPr>
        <w:t>և</w:t>
      </w:r>
      <w:r w:rsidRPr="003B2786">
        <w:rPr>
          <w:rFonts w:ascii="Sylfaen" w:hAnsi="Sylfaen"/>
          <w:sz w:val="24"/>
          <w:szCs w:val="24"/>
        </w:rPr>
        <w:t xml:space="preserve"> եթե ոչ, ապա որքանո՞վ է հիմնավորված դրանց բացակայությունը: Արդյո՞ք համակարգի բացակայող տարրերը կամ տարրերը, որոնք նշված են որպես ներդրման համար պլանավորված (ենթակա ներդրման մինչ արտադրանքի շուկայահանումը), քննվել են պատշաճ կարգով, </w:t>
      </w:r>
      <w:r w:rsidR="00C54D75">
        <w:rPr>
          <w:rFonts w:ascii="Sylfaen" w:hAnsi="Sylfaen"/>
          <w:sz w:val="24"/>
          <w:szCs w:val="24"/>
        </w:rPr>
        <w:t>և</w:t>
      </w:r>
      <w:r w:rsidRPr="003B2786">
        <w:rPr>
          <w:rFonts w:ascii="Sylfaen" w:hAnsi="Sylfaen"/>
          <w:sz w:val="24"/>
          <w:szCs w:val="24"/>
        </w:rPr>
        <w:t xml:space="preserve"> արդյո՞ք դրանք ենթակա են հետագա հսկողական միջոցառումների օբյեկտների ցանկում ներառման (որքանով են իրական տվյալ պարտավորությունները):</w:t>
      </w:r>
    </w:p>
    <w:p w14:paraId="7A8CDA6B"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Արդյո՞ք տվյալ արտադրանքը առաջին արտադրանքն է, որն ընկերությունը պլանավորում է շուկայահանել, </w:t>
      </w:r>
      <w:r w:rsidR="00C54D75">
        <w:rPr>
          <w:rFonts w:ascii="Sylfaen" w:hAnsi="Sylfaen"/>
          <w:sz w:val="24"/>
          <w:szCs w:val="24"/>
        </w:rPr>
        <w:t>և</w:t>
      </w:r>
      <w:r w:rsidRPr="003B2786">
        <w:rPr>
          <w:rFonts w:ascii="Sylfaen" w:hAnsi="Sylfaen"/>
          <w:sz w:val="24"/>
          <w:szCs w:val="24"/>
        </w:rPr>
        <w:t xml:space="preserve"> ինչպիսի՞ն է դրա պատրաստ լինելու աստիճանը: Եթե դա առաջին արտադրանքը չէ, արդյոք առկա են տեղեկություններ, որոնք վերաբերում են անվտանգության վերաբերյալ անհատական հաշվետվություններում կամ այլ պատրաստուկների կիրառման անվտանության վերաբերյալ պարբերական հաշվետվություններում անհրաժեշտ նորմերը պահպանելու խնդրահարույց հարցերին (այլ կերպ ասած՝ արդյոք ընկերության կողմից կիրառվող համակարգում առկա են ոչ պատշաճ գործունեության նշաններ): </w:t>
      </w:r>
    </w:p>
    <w:p w14:paraId="08A422BA"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առկա են դեղազգոնության համակարգի նախորդ տեսչական ստուգումների՝ մասնավորապես խնդիրների առկայության մասին վկայող տվյալները, կամ այդ տվյալները բացակայում են (որպես կանոն, դա կիրառելի է մոտ ապագայի համար, սակայն ժամանակի ընթացքում կորցնում է իր արդիականությունը):</w:t>
      </w:r>
    </w:p>
    <w:p w14:paraId="1BD4E3C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Կարելի՞ է արդյոք դեղազգոնության նկարագրված համակարգի մասին դատել որպես համակարգ, որն ունակ է տվյալ պատրաստուկի մասով կատարել անվտանգության վերաբերյալ հաշվետվությունների կանխատեսվող ծավալի մշակում, թե այն թվում է «չափազանց փոքրամասշտաբ»՝ նման մշակում </w:t>
      </w:r>
      <w:r w:rsidRPr="003B2786">
        <w:rPr>
          <w:rFonts w:ascii="Sylfaen" w:hAnsi="Sylfaen"/>
          <w:sz w:val="24"/>
          <w:szCs w:val="24"/>
        </w:rPr>
        <w:lastRenderedPageBreak/>
        <w:t>ապահովելու համար: Արդյո՞ք պատրաստուկը գրանցման հավաստագրի իրավատիրոջ նախորդ պատրաստուկների համեմատ բնութագրվում է օգուտ-ռիսկ հարաբերակցության ավելի բարձր ցուցանիշով:</w:t>
      </w:r>
    </w:p>
    <w:p w14:paraId="51324711"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ընկերության գործունեության կազմակերպումը ներառում է ենթակապալառուների </w:t>
      </w:r>
      <w:r w:rsidR="00C54D75">
        <w:rPr>
          <w:rFonts w:ascii="Sylfaen" w:hAnsi="Sylfaen"/>
          <w:sz w:val="24"/>
          <w:szCs w:val="24"/>
        </w:rPr>
        <w:t>և</w:t>
      </w:r>
      <w:r w:rsidRPr="003B2786">
        <w:rPr>
          <w:rFonts w:ascii="Sylfaen" w:hAnsi="Sylfaen"/>
          <w:sz w:val="24"/>
          <w:szCs w:val="24"/>
        </w:rPr>
        <w:t xml:space="preserve"> լիցենզավորման գծով գործընկերների </w:t>
      </w:r>
      <w:r w:rsidR="00C54D75">
        <w:rPr>
          <w:rFonts w:ascii="Sylfaen" w:hAnsi="Sylfaen"/>
          <w:sz w:val="24"/>
          <w:szCs w:val="24"/>
        </w:rPr>
        <w:t>և</w:t>
      </w:r>
      <w:r w:rsidRPr="003B2786">
        <w:rPr>
          <w:rFonts w:ascii="Sylfaen" w:hAnsi="Sylfaen"/>
          <w:sz w:val="24"/>
          <w:szCs w:val="24"/>
        </w:rPr>
        <w:t xml:space="preserve"> այլնի բարդ համալիր, այսինքն՝ բազմաթիվ ստորաբաժանումներով համակարգ (հաճախ դրանք կազմակերպչական գործընթացի ամենաթույլ կողմերն են):</w:t>
      </w:r>
    </w:p>
    <w:p w14:paraId="10DD3CD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ընկերությունը վերջերս ենթարկվել է միաձուլման:</w:t>
      </w:r>
    </w:p>
    <w:p w14:paraId="127463B2"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լիցենզիոն գործունեությունը բնութագրվում է պատրաստուկի բարձր սպեցիֆիկությամբ (ինչը ենթադրում է ստուգումների բացակայություն, նույնիսկ եթե խոսքը գնում է լավ կազմակերպված ընկերությունների (ենթակապալառուների) մասին):</w:t>
      </w:r>
    </w:p>
    <w:p w14:paraId="162157BE"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տեղեկատվությունը գոյություն ունեցող համակարգի նկարագրություն է, թե համակարգի, որի ներդնումը պլանավորվում է պատրաստուկը շուկայում իրացնելու համար թույլտվություն տալիս (դա, ամենայն հավանականությամբ, կիրառելի կլինի առաջին կամ բոլորովին նոր արտադրանքների կամ էլ տարբեր լիցենզիոն համաձայնագրերի նկատմամբ):</w:t>
      </w:r>
    </w:p>
    <w:p w14:paraId="182FD0B8"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տվյալ նկարագրությունը զգալի փոփոխություն է գոյություն ունեցող համակարգում:</w:t>
      </w:r>
    </w:p>
    <w:p w14:paraId="7D66DB43"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Արդյո՞ք ենթակապալառուների շրջանում կազմակերպվել է որակավորված մասնագետի աշխատանքը: Եթե այո, ապա կա՞ն արդյոք ինչ-որ նշաններ, որ տվյալ ենթակապալառուն ազդում է դեղազգոնության համակարգի վրա:</w:t>
      </w:r>
    </w:p>
    <w:p w14:paraId="6DF690EC" w14:textId="53F03FF0"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Կա՞ արդյոք այլ տեղեկատվություն, որը կասկածի տակ է դնում նկարագրված համակարգի համապատասխանությունն առկա պահանջներին (օրինակ՝ այլ մարմիններից ստացված տեղեկատվություն, կոնկրետ ենթակապալառուի, ծրագրային ապահովման հետ կապված </w:t>
      </w:r>
      <w:r w:rsidR="005F6A31">
        <w:rPr>
          <w:rFonts w:ascii="Sylfaen" w:hAnsi="Sylfaen"/>
          <w:sz w:val="24"/>
          <w:szCs w:val="24"/>
        </w:rPr>
        <w:t>հայտնի</w:t>
      </w:r>
      <w:r w:rsidRPr="003B2786">
        <w:rPr>
          <w:rFonts w:ascii="Sylfaen" w:hAnsi="Sylfaen"/>
          <w:sz w:val="24"/>
          <w:szCs w:val="24"/>
        </w:rPr>
        <w:t xml:space="preserve"> խնդիրներ </w:t>
      </w:r>
      <w:r w:rsidR="00C54D75">
        <w:rPr>
          <w:rFonts w:ascii="Sylfaen" w:hAnsi="Sylfaen"/>
          <w:sz w:val="24"/>
          <w:szCs w:val="24"/>
        </w:rPr>
        <w:t>և</w:t>
      </w:r>
      <w:r w:rsidRPr="003B2786">
        <w:rPr>
          <w:rFonts w:ascii="Sylfaen" w:hAnsi="Sylfaen"/>
          <w:sz w:val="24"/>
          <w:szCs w:val="24"/>
        </w:rPr>
        <w:t xml:space="preserve"> այլն):</w:t>
      </w:r>
    </w:p>
    <w:p w14:paraId="2722AA0B"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Արդյո՞ք պատրաստուկը շուկա բաց թողնելուց անմիջապես հետո </w:t>
      </w:r>
      <w:r w:rsidRPr="003B2786">
        <w:rPr>
          <w:rFonts w:ascii="Sylfaen" w:hAnsi="Sylfaen"/>
          <w:sz w:val="24"/>
          <w:szCs w:val="24"/>
        </w:rPr>
        <w:lastRenderedPageBreak/>
        <w:t xml:space="preserve">առաջարկվել է դեղազգոնության համակարգի տեսչական ստուգում՝ նշված անհամապատասխանություններից մի քանիսը վերացնելու նպատակով: </w:t>
      </w:r>
    </w:p>
    <w:p w14:paraId="77E228A8"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Առաջացող այլ հարցեր:</w:t>
      </w:r>
    </w:p>
    <w:p w14:paraId="3A3EABDE" w14:textId="3C55F095"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Հաշվետվության բովանդակության մեջ կարող են ներառվել հետ</w:t>
      </w:r>
      <w:r w:rsidR="00C54D75">
        <w:rPr>
          <w:rFonts w:ascii="Sylfaen" w:hAnsi="Sylfaen"/>
          <w:sz w:val="24"/>
          <w:szCs w:val="24"/>
        </w:rPr>
        <w:t>և</w:t>
      </w:r>
      <w:r w:rsidRPr="003B2786">
        <w:rPr>
          <w:rFonts w:ascii="Sylfaen" w:hAnsi="Sylfaen"/>
          <w:sz w:val="24"/>
          <w:szCs w:val="24"/>
        </w:rPr>
        <w:t xml:space="preserve">յալ </w:t>
      </w:r>
      <w:r w:rsidR="009F5829">
        <w:rPr>
          <w:rFonts w:ascii="Sylfaen" w:hAnsi="Sylfaen"/>
          <w:sz w:val="24"/>
          <w:szCs w:val="24"/>
        </w:rPr>
        <w:t>դիմումներ</w:t>
      </w:r>
      <w:r w:rsidRPr="003B2786">
        <w:rPr>
          <w:rFonts w:ascii="Sylfaen" w:hAnsi="Sylfaen"/>
          <w:sz w:val="24"/>
          <w:szCs w:val="24"/>
        </w:rPr>
        <w:t>ը՝</w:t>
      </w:r>
    </w:p>
    <w:p w14:paraId="115440CA" w14:textId="487F1721" w:rsidR="008C76E0" w:rsidRPr="003B2786" w:rsidRDefault="0056496B" w:rsidP="00262653">
      <w:pPr>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ներկայացրել է փաստաթղթեր, որոնցում շարադրված է դեղազգոնության համակարգի մանրամասն նկարագրությունը: Դեղազգոնության </w:t>
      </w:r>
      <w:r>
        <w:rPr>
          <w:rFonts w:ascii="Sylfaen" w:hAnsi="Sylfaen"/>
          <w:sz w:val="24"/>
          <w:szCs w:val="24"/>
        </w:rPr>
        <w:t>դիմում</w:t>
      </w:r>
      <w:r w:rsidR="008C76E0" w:rsidRPr="003B2786">
        <w:rPr>
          <w:rFonts w:ascii="Sylfaen" w:hAnsi="Sylfaen"/>
          <w:sz w:val="24"/>
          <w:szCs w:val="24"/>
        </w:rPr>
        <w:t xml:space="preserve">՝ ստորագրված </w:t>
      </w:r>
      <w:r>
        <w:rPr>
          <w:rFonts w:ascii="Sylfaen" w:hAnsi="Sylfaen"/>
          <w:sz w:val="24"/>
          <w:szCs w:val="24"/>
        </w:rPr>
        <w:t>դիմումատու</w:t>
      </w:r>
      <w:r w:rsidR="008C76E0" w:rsidRPr="003B2786">
        <w:rPr>
          <w:rFonts w:ascii="Sylfaen" w:hAnsi="Sylfaen"/>
          <w:sz w:val="24"/>
          <w:szCs w:val="24"/>
        </w:rPr>
        <w:t xml:space="preserve">ի </w:t>
      </w:r>
      <w:r w:rsidR="00C54D75">
        <w:rPr>
          <w:rFonts w:ascii="Sylfaen" w:hAnsi="Sylfaen"/>
          <w:sz w:val="24"/>
          <w:szCs w:val="24"/>
        </w:rPr>
        <w:t>և</w:t>
      </w:r>
      <w:r w:rsidR="008C76E0" w:rsidRPr="003B2786">
        <w:rPr>
          <w:rFonts w:ascii="Sylfaen" w:hAnsi="Sylfaen"/>
          <w:sz w:val="24"/>
          <w:szCs w:val="24"/>
        </w:rPr>
        <w:t xml:space="preserve"> լիազորված անձի կողմից, ընդ որում, դրանում նշված է, որ </w:t>
      </w:r>
      <w:r>
        <w:rPr>
          <w:rFonts w:ascii="Sylfaen" w:hAnsi="Sylfaen"/>
          <w:sz w:val="24"/>
          <w:szCs w:val="24"/>
        </w:rPr>
        <w:t>դիմումատու</w:t>
      </w:r>
      <w:r w:rsidR="008C76E0"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008C76E0" w:rsidRPr="003B2786">
        <w:rPr>
          <w:rFonts w:ascii="Sylfaen" w:hAnsi="Sylfaen"/>
          <w:sz w:val="24"/>
          <w:szCs w:val="24"/>
        </w:rPr>
        <w:t xml:space="preserve"> տրամադրվել են անհրաժեշտ միջոցներ՝ անդամ պետություններում կամ երրորդ երկրում առաջացող ցանկացած անցանկալի ռեակցիայի մասին ծանուցելու համար,</w:t>
      </w:r>
    </w:p>
    <w:p w14:paraId="68463064" w14:textId="7EE814E8"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համարում է, որ դեղազգոնության համակարգը, որը նկարագրված է </w:t>
      </w:r>
      <w:r w:rsidR="0056496B">
        <w:rPr>
          <w:rFonts w:ascii="Sylfaen" w:hAnsi="Sylfaen"/>
          <w:sz w:val="24"/>
          <w:szCs w:val="24"/>
        </w:rPr>
        <w:t>դիմումատու</w:t>
      </w:r>
      <w:r w:rsidRPr="003B2786">
        <w:rPr>
          <w:rFonts w:ascii="Sylfaen" w:hAnsi="Sylfaen"/>
          <w:sz w:val="24"/>
          <w:szCs w:val="24"/>
        </w:rPr>
        <w:t xml:space="preserve">ի կողմից, բավարարում է պահանջներին </w:t>
      </w:r>
      <w:r w:rsidR="00C54D75">
        <w:rPr>
          <w:rFonts w:ascii="Sylfaen" w:hAnsi="Sylfaen"/>
          <w:sz w:val="24"/>
          <w:szCs w:val="24"/>
        </w:rPr>
        <w:t>և</w:t>
      </w:r>
      <w:r w:rsidRPr="003B2786">
        <w:rPr>
          <w:rFonts w:ascii="Sylfaen" w:hAnsi="Sylfaen"/>
          <w:sz w:val="24"/>
          <w:szCs w:val="24"/>
        </w:rPr>
        <w:t xml:space="preserve"> համապատասխան ապացույց է առ այն, որ </w:t>
      </w:r>
      <w:r w:rsidR="0056496B">
        <w:rPr>
          <w:rFonts w:ascii="Sylfaen" w:hAnsi="Sylfaen"/>
          <w:sz w:val="24"/>
          <w:szCs w:val="24"/>
        </w:rPr>
        <w:t>դիմումատու</w:t>
      </w:r>
      <w:r w:rsidRPr="003B2786">
        <w:rPr>
          <w:rFonts w:ascii="Sylfaen" w:hAnsi="Sylfaen"/>
          <w:sz w:val="24"/>
          <w:szCs w:val="24"/>
        </w:rPr>
        <w:t xml:space="preserve">ին տրամադրվում են դեղազգոնության համար պատասխանատու լիազորված անձի ծառայությունները, </w:t>
      </w:r>
      <w:r w:rsidR="00C54D75">
        <w:rPr>
          <w:rFonts w:ascii="Sylfaen" w:hAnsi="Sylfaen"/>
          <w:sz w:val="24"/>
          <w:szCs w:val="24"/>
        </w:rPr>
        <w:t>և</w:t>
      </w:r>
      <w:r w:rsidRPr="003B2786">
        <w:rPr>
          <w:rFonts w:ascii="Sylfaen" w:hAnsi="Sylfaen"/>
          <w:sz w:val="24"/>
          <w:szCs w:val="24"/>
        </w:rPr>
        <w:t xml:space="preserve"> առկա են անհրաժեշտ միջոցներ՝ անդամ պետություններում կամ երրորդ երկրում առաջացող ցանկացած ենթադրյալ անցանկալի ռեակցիայի մասին ծանուցելու համար: Եթե դեղազգոնության համակարգի նկարագրության մեջ կան չլուծված հարցեր, որոնք պետք է լուծել </w:t>
      </w:r>
      <w:r w:rsidR="00C54D75">
        <w:rPr>
          <w:rFonts w:ascii="Sylfaen" w:hAnsi="Sylfaen"/>
          <w:sz w:val="24"/>
          <w:szCs w:val="24"/>
        </w:rPr>
        <w:t>և</w:t>
      </w:r>
      <w:r w:rsidRPr="003B2786">
        <w:rPr>
          <w:rFonts w:ascii="Sylfaen" w:hAnsi="Sylfaen"/>
          <w:sz w:val="24"/>
          <w:szCs w:val="24"/>
        </w:rPr>
        <w:t xml:space="preserve"> կատարել մինչ դեղապատրաստուկը շուկայում իրացնելու համար բաց թողնելը, ապա դրանք պետք է հարցերի ցանկում նշվեն որպես հարցեր </w:t>
      </w:r>
      <w:r w:rsidR="00C54D75">
        <w:rPr>
          <w:rFonts w:ascii="Sylfaen" w:hAnsi="Sylfaen"/>
          <w:sz w:val="24"/>
          <w:szCs w:val="24"/>
        </w:rPr>
        <w:t>և</w:t>
      </w:r>
      <w:r w:rsidRPr="003B2786">
        <w:rPr>
          <w:rFonts w:ascii="Sylfaen" w:hAnsi="Sylfaen"/>
          <w:sz w:val="24"/>
          <w:szCs w:val="24"/>
        </w:rPr>
        <w:t xml:space="preserve"> (կամ) որպես հետագա հսկողական միջոցառումներ «Անվտանգության, որակի </w:t>
      </w:r>
      <w:r w:rsidR="00C54D75">
        <w:rPr>
          <w:rFonts w:ascii="Sylfaen" w:hAnsi="Sylfaen"/>
          <w:sz w:val="24"/>
          <w:szCs w:val="24"/>
        </w:rPr>
        <w:t>և</w:t>
      </w:r>
      <w:r w:rsidRPr="003B2786">
        <w:rPr>
          <w:rFonts w:ascii="Sylfaen" w:hAnsi="Sylfaen"/>
          <w:sz w:val="24"/>
          <w:szCs w:val="24"/>
        </w:rPr>
        <w:t xml:space="preserve"> արդյունավետության գնահատում» ամփոփ փորձագիտական հաշվետվության մոդուլում: Դեղազգոնության համակարգի նկարագրության մեջ թերություններ </w:t>
      </w:r>
      <w:r w:rsidR="0056496B">
        <w:rPr>
          <w:rFonts w:ascii="Sylfaen" w:hAnsi="Sylfaen"/>
          <w:sz w:val="24"/>
          <w:szCs w:val="24"/>
        </w:rPr>
        <w:t>դիմում</w:t>
      </w:r>
      <w:r w:rsidRPr="003B2786">
        <w:rPr>
          <w:rFonts w:ascii="Sylfaen" w:hAnsi="Sylfaen"/>
          <w:sz w:val="24"/>
          <w:szCs w:val="24"/>
        </w:rPr>
        <w:t xml:space="preserve">նաբերելիս կամ որակավորված մասնագետի </w:t>
      </w:r>
      <w:r w:rsidR="00C54D75">
        <w:rPr>
          <w:rFonts w:ascii="Sylfaen" w:hAnsi="Sylfaen"/>
          <w:sz w:val="24"/>
          <w:szCs w:val="24"/>
        </w:rPr>
        <w:t>և</w:t>
      </w:r>
      <w:r w:rsidRPr="003B2786">
        <w:rPr>
          <w:rFonts w:ascii="Sylfaen" w:hAnsi="Sylfaen"/>
          <w:sz w:val="24"/>
          <w:szCs w:val="24"/>
        </w:rPr>
        <w:t xml:space="preserve"> կողմնակի ռեակցիաների մասին հաղորդելու միջոցների բացակայության դեպքում, կախված թերությունների լրջությունից, հաշվետվության մեջ պետք է ներառվի հետ</w:t>
      </w:r>
      <w:r w:rsidR="00C54D75">
        <w:rPr>
          <w:rFonts w:ascii="Sylfaen" w:hAnsi="Sylfaen"/>
          <w:sz w:val="24"/>
          <w:szCs w:val="24"/>
        </w:rPr>
        <w:t>և</w:t>
      </w:r>
      <w:r w:rsidRPr="003B2786">
        <w:rPr>
          <w:rFonts w:ascii="Sylfaen" w:hAnsi="Sylfaen"/>
          <w:sz w:val="24"/>
          <w:szCs w:val="24"/>
        </w:rPr>
        <w:t>յալ կետերից մեկը՝</w:t>
      </w:r>
    </w:p>
    <w:p w14:paraId="67BB5035" w14:textId="5146B9D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փորձագետը համարում է, որ </w:t>
      </w:r>
      <w:r w:rsidR="0056496B">
        <w:rPr>
          <w:rFonts w:ascii="Sylfaen" w:hAnsi="Sylfaen"/>
          <w:sz w:val="24"/>
          <w:szCs w:val="24"/>
        </w:rPr>
        <w:t>դիմումատու</w:t>
      </w:r>
      <w:r w:rsidRPr="003B2786">
        <w:rPr>
          <w:rFonts w:ascii="Sylfaen" w:hAnsi="Sylfaen"/>
          <w:sz w:val="24"/>
          <w:szCs w:val="24"/>
        </w:rPr>
        <w:t>ի կողմից նկարագրված դեղազգոնության համակարգն ունի հետ</w:t>
      </w:r>
      <w:r w:rsidR="00C54D75">
        <w:rPr>
          <w:rFonts w:ascii="Sylfaen" w:hAnsi="Sylfaen"/>
          <w:sz w:val="24"/>
          <w:szCs w:val="24"/>
        </w:rPr>
        <w:t>և</w:t>
      </w:r>
      <w:r w:rsidRPr="003B2786">
        <w:rPr>
          <w:rFonts w:ascii="Sylfaen" w:hAnsi="Sylfaen"/>
          <w:sz w:val="24"/>
          <w:szCs w:val="24"/>
        </w:rPr>
        <w:t>յալ թերությունները, այսուհետ՝ թերությունների ցանկ,</w:t>
      </w:r>
    </w:p>
    <w:p w14:paraId="1800DFF7" w14:textId="0C51484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հաշվի առնելով, որ թերությունները վերացվում են նախքան </w:t>
      </w:r>
      <w:r w:rsidR="0056496B">
        <w:rPr>
          <w:rFonts w:ascii="Sylfaen" w:hAnsi="Sylfaen"/>
          <w:sz w:val="24"/>
          <w:szCs w:val="24"/>
        </w:rPr>
        <w:t>դիմումատու</w:t>
      </w:r>
      <w:r w:rsidRPr="003B2786">
        <w:rPr>
          <w:rFonts w:ascii="Sylfaen" w:hAnsi="Sylfaen"/>
          <w:sz w:val="24"/>
          <w:szCs w:val="24"/>
        </w:rPr>
        <w:t xml:space="preserve">ի կողմից դեղապատրաստուկը շուկա դուրս բերելը՝ լիազորված փորձագիտական կազմակերպությունը կարող է համարել, որ դեղազգոնության համակարգը կհամապատասխանի պահանջներին: Նախքան պատրաստուկի շուկա մուտք գործելը </w:t>
      </w:r>
      <w:r w:rsidR="0056496B">
        <w:rPr>
          <w:rFonts w:ascii="Sylfaen" w:hAnsi="Sylfaen"/>
          <w:sz w:val="24"/>
          <w:szCs w:val="24"/>
        </w:rPr>
        <w:t>դիմումատու</w:t>
      </w:r>
      <w:r w:rsidRPr="003B2786">
        <w:rPr>
          <w:rFonts w:ascii="Sylfaen" w:hAnsi="Sylfaen"/>
          <w:sz w:val="24"/>
          <w:szCs w:val="24"/>
        </w:rPr>
        <w:t xml:space="preserve">ն պետք է ներկայացնի համոզիչ տվյալներ առ այն, որ դեղազգոնության համակարգը ընդունված է </w:t>
      </w:r>
      <w:r w:rsidR="00C54D75">
        <w:rPr>
          <w:rFonts w:ascii="Sylfaen" w:hAnsi="Sylfaen"/>
          <w:sz w:val="24"/>
          <w:szCs w:val="24"/>
        </w:rPr>
        <w:t>և</w:t>
      </w:r>
      <w:r w:rsidRPr="003B2786">
        <w:rPr>
          <w:rFonts w:ascii="Sylfaen" w:hAnsi="Sylfaen"/>
          <w:sz w:val="24"/>
          <w:szCs w:val="24"/>
        </w:rPr>
        <w:t xml:space="preserve"> գործում է:</w:t>
      </w:r>
    </w:p>
    <w:p w14:paraId="749CD0FB" w14:textId="77777777" w:rsidR="008C76E0" w:rsidRPr="003B2786" w:rsidRDefault="008C76E0" w:rsidP="00262653">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5.2.</w:t>
      </w:r>
      <w:r w:rsidRPr="003B2786">
        <w:rPr>
          <w:rFonts w:ascii="Sylfaen" w:hAnsi="Sylfaen"/>
          <w:sz w:val="24"/>
          <w:szCs w:val="24"/>
        </w:rPr>
        <w:tab/>
        <w:t>Ռիսկերի կառավարման պլանը:</w:t>
      </w:r>
    </w:p>
    <w:p w14:paraId="3F0A2D9C" w14:textId="4F6E61C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Փորձագետը պետք է 80-րդ օրը կատարի </w:t>
      </w:r>
      <w:r w:rsidR="0056496B">
        <w:rPr>
          <w:rFonts w:ascii="Sylfaen" w:hAnsi="Sylfaen"/>
          <w:sz w:val="24"/>
          <w:szCs w:val="24"/>
        </w:rPr>
        <w:t>դիմում</w:t>
      </w:r>
      <w:r w:rsidRPr="003B2786">
        <w:rPr>
          <w:rFonts w:ascii="Sylfaen" w:hAnsi="Sylfaen"/>
          <w:sz w:val="24"/>
          <w:szCs w:val="24"/>
        </w:rPr>
        <w:t>ի առաջին ընդհանուր գնահատումը՝ ռիսկերի կառավարման պլանում որ</w:t>
      </w:r>
      <w:r w:rsidR="00C54D75">
        <w:rPr>
          <w:rFonts w:ascii="Sylfaen" w:hAnsi="Sylfaen"/>
          <w:sz w:val="24"/>
          <w:szCs w:val="24"/>
        </w:rPr>
        <w:t>և</w:t>
      </w:r>
      <w:r w:rsidRPr="003B2786">
        <w:rPr>
          <w:rFonts w:ascii="Sylfaen" w:hAnsi="Sylfaen"/>
          <w:sz w:val="24"/>
          <w:szCs w:val="24"/>
        </w:rPr>
        <w:t xml:space="preserve">է լուրջ խնդրահարույց հարց </w:t>
      </w:r>
      <w:r w:rsidR="0056496B">
        <w:rPr>
          <w:rFonts w:ascii="Sylfaen" w:hAnsi="Sylfaen"/>
          <w:sz w:val="24"/>
          <w:szCs w:val="24"/>
        </w:rPr>
        <w:t>դիմում</w:t>
      </w:r>
      <w:r w:rsidRPr="003B2786">
        <w:rPr>
          <w:rFonts w:ascii="Sylfaen" w:hAnsi="Sylfaen"/>
          <w:sz w:val="24"/>
          <w:szCs w:val="24"/>
        </w:rPr>
        <w:t xml:space="preserve">նաբերելու համար: Օգնություն ցուցաբերելու </w:t>
      </w:r>
      <w:r w:rsidR="00C54D75">
        <w:rPr>
          <w:rFonts w:ascii="Sylfaen" w:hAnsi="Sylfaen"/>
          <w:sz w:val="24"/>
          <w:szCs w:val="24"/>
        </w:rPr>
        <w:t>և</w:t>
      </w:r>
      <w:r w:rsidRPr="003B2786">
        <w:rPr>
          <w:rFonts w:ascii="Sylfaen" w:hAnsi="Sylfaen"/>
          <w:sz w:val="24"/>
          <w:szCs w:val="24"/>
        </w:rPr>
        <w:t xml:space="preserve"> առաջարկություններ ներկայացնելու համար փորձագետին կարող է հատկացվել դեղազգոնության բնագավառի մասնագետ (դոսյեի կրիտիկական գնահատման գործընթացում սահմանված որ</w:t>
      </w:r>
      <w:r w:rsidR="00C54D75">
        <w:rPr>
          <w:rFonts w:ascii="Sylfaen" w:hAnsi="Sylfaen"/>
          <w:sz w:val="24"/>
          <w:szCs w:val="24"/>
        </w:rPr>
        <w:t>և</w:t>
      </w:r>
      <w:r w:rsidRPr="003B2786">
        <w:rPr>
          <w:rFonts w:ascii="Sylfaen" w:hAnsi="Sylfaen"/>
          <w:sz w:val="24"/>
          <w:szCs w:val="24"/>
        </w:rPr>
        <w:t xml:space="preserve">է կոնկրետ հարց </w:t>
      </w:r>
      <w:r w:rsidR="00C54D75">
        <w:rPr>
          <w:rFonts w:ascii="Sylfaen" w:hAnsi="Sylfaen"/>
          <w:sz w:val="24"/>
          <w:szCs w:val="24"/>
        </w:rPr>
        <w:t>և</w:t>
      </w:r>
      <w:r w:rsidRPr="003B2786">
        <w:rPr>
          <w:rFonts w:ascii="Sylfaen" w:hAnsi="Sylfaen"/>
          <w:sz w:val="24"/>
          <w:szCs w:val="24"/>
        </w:rPr>
        <w:t xml:space="preserve"> խնդիր, որը կարող է ազդել ռիսկերի կառավարման պլանի վրա): Այստեղ մտնում են նախակլինիկական անվտանգության վերաբերյալ որոշակի եզրահանգումները, կլինիկական դեղաբանության մասով դոսյեի անբավարարությունը, կլինիկական փորձարկումների տվյալներից </w:t>
      </w:r>
      <w:r w:rsidR="00003ABD">
        <w:rPr>
          <w:rFonts w:ascii="Sylfaen" w:hAnsi="Sylfaen"/>
          <w:sz w:val="24"/>
          <w:szCs w:val="24"/>
        </w:rPr>
        <w:t>հայտնաբերված</w:t>
      </w:r>
      <w:r w:rsidRPr="003B2786">
        <w:rPr>
          <w:rFonts w:ascii="Sylfaen" w:hAnsi="Sylfaen"/>
          <w:sz w:val="24"/>
          <w:szCs w:val="24"/>
        </w:rPr>
        <w:t xml:space="preserve"> անվտանգության հնարավոր ռիսկերը </w:t>
      </w:r>
      <w:r w:rsidR="00C54D75">
        <w:rPr>
          <w:rFonts w:ascii="Sylfaen" w:hAnsi="Sylfaen"/>
          <w:sz w:val="24"/>
          <w:szCs w:val="24"/>
        </w:rPr>
        <w:t>և</w:t>
      </w:r>
      <w:r w:rsidRPr="003B2786">
        <w:rPr>
          <w:rFonts w:ascii="Sylfaen" w:hAnsi="Sylfaen"/>
          <w:sz w:val="24"/>
          <w:szCs w:val="24"/>
        </w:rPr>
        <w:t xml:space="preserve"> այլն: Այս փուլում հատկապես կար</w:t>
      </w:r>
      <w:r w:rsidR="00C54D75">
        <w:rPr>
          <w:rFonts w:ascii="Sylfaen" w:hAnsi="Sylfaen"/>
          <w:sz w:val="24"/>
          <w:szCs w:val="24"/>
        </w:rPr>
        <w:t>և</w:t>
      </w:r>
      <w:r w:rsidRPr="003B2786">
        <w:rPr>
          <w:rFonts w:ascii="Sylfaen" w:hAnsi="Sylfaen"/>
          <w:sz w:val="24"/>
          <w:szCs w:val="24"/>
        </w:rPr>
        <w:t>որ է անվտանգության խնդիրները (կար</w:t>
      </w:r>
      <w:r w:rsidR="00C54D75">
        <w:rPr>
          <w:rFonts w:ascii="Sylfaen" w:hAnsi="Sylfaen"/>
          <w:sz w:val="24"/>
          <w:szCs w:val="24"/>
        </w:rPr>
        <w:t>և</w:t>
      </w:r>
      <w:r w:rsidRPr="003B2786">
        <w:rPr>
          <w:rFonts w:ascii="Sylfaen" w:hAnsi="Sylfaen"/>
          <w:sz w:val="24"/>
          <w:szCs w:val="24"/>
        </w:rPr>
        <w:t xml:space="preserve">որ </w:t>
      </w:r>
      <w:r w:rsidR="00003ABD">
        <w:rPr>
          <w:rFonts w:ascii="Sylfaen" w:hAnsi="Sylfaen"/>
          <w:sz w:val="24"/>
          <w:szCs w:val="24"/>
        </w:rPr>
        <w:t>հայտնաբերված</w:t>
      </w:r>
      <w:r w:rsidRPr="003B2786">
        <w:rPr>
          <w:rFonts w:ascii="Sylfaen" w:hAnsi="Sylfaen"/>
          <w:sz w:val="24"/>
          <w:szCs w:val="24"/>
        </w:rPr>
        <w:t xml:space="preserve"> ռիսկերը, կար</w:t>
      </w:r>
      <w:r w:rsidR="00C54D75">
        <w:rPr>
          <w:rFonts w:ascii="Sylfaen" w:hAnsi="Sylfaen"/>
          <w:sz w:val="24"/>
          <w:szCs w:val="24"/>
        </w:rPr>
        <w:t>և</w:t>
      </w:r>
      <w:r w:rsidRPr="003B2786">
        <w:rPr>
          <w:rFonts w:ascii="Sylfaen" w:hAnsi="Sylfaen"/>
          <w:sz w:val="24"/>
          <w:szCs w:val="24"/>
        </w:rPr>
        <w:t>որ հավանական ռիսկերը, կար</w:t>
      </w:r>
      <w:r w:rsidR="00C54D75">
        <w:rPr>
          <w:rFonts w:ascii="Sylfaen" w:hAnsi="Sylfaen"/>
          <w:sz w:val="24"/>
          <w:szCs w:val="24"/>
        </w:rPr>
        <w:t>և</w:t>
      </w:r>
      <w:r w:rsidRPr="003B2786">
        <w:rPr>
          <w:rFonts w:ascii="Sylfaen" w:hAnsi="Sylfaen"/>
          <w:sz w:val="24"/>
          <w:szCs w:val="24"/>
        </w:rPr>
        <w:t xml:space="preserve">որ պակասող տեղեկատվությունը) նույնականացնելը: Սա առավել </w:t>
      </w:r>
      <w:r w:rsidR="00C54D75">
        <w:rPr>
          <w:rFonts w:ascii="Sylfaen" w:hAnsi="Sylfaen"/>
          <w:sz w:val="24"/>
          <w:szCs w:val="24"/>
        </w:rPr>
        <w:t>և</w:t>
      </w:r>
      <w:r w:rsidRPr="003B2786">
        <w:rPr>
          <w:rFonts w:ascii="Sylfaen" w:hAnsi="Sylfaen"/>
          <w:sz w:val="24"/>
          <w:szCs w:val="24"/>
        </w:rPr>
        <w:t>ս կար</w:t>
      </w:r>
      <w:r w:rsidR="00C54D75">
        <w:rPr>
          <w:rFonts w:ascii="Sylfaen" w:hAnsi="Sylfaen"/>
          <w:sz w:val="24"/>
          <w:szCs w:val="24"/>
        </w:rPr>
        <w:t>և</w:t>
      </w:r>
      <w:r w:rsidRPr="003B2786">
        <w:rPr>
          <w:rFonts w:ascii="Sylfaen" w:hAnsi="Sylfaen"/>
          <w:sz w:val="24"/>
          <w:szCs w:val="24"/>
        </w:rPr>
        <w:t xml:space="preserve">որ է, եթե տվյալ հարցերը դոսյեում չեն նկարագրվել </w:t>
      </w:r>
      <w:r w:rsidR="0056496B">
        <w:rPr>
          <w:rFonts w:ascii="Sylfaen" w:hAnsi="Sylfaen"/>
          <w:sz w:val="24"/>
          <w:szCs w:val="24"/>
        </w:rPr>
        <w:t>դիմումատու</w:t>
      </w:r>
      <w:r w:rsidRPr="003B2786">
        <w:rPr>
          <w:rFonts w:ascii="Sylfaen" w:hAnsi="Sylfaen"/>
          <w:sz w:val="24"/>
          <w:szCs w:val="24"/>
        </w:rPr>
        <w:t xml:space="preserve">ի կողմից </w:t>
      </w:r>
      <w:r w:rsidR="00C54D75">
        <w:rPr>
          <w:rFonts w:ascii="Sylfaen" w:hAnsi="Sylfaen"/>
          <w:sz w:val="24"/>
          <w:szCs w:val="24"/>
        </w:rPr>
        <w:t>և</w:t>
      </w:r>
      <w:r w:rsidRPr="003B2786">
        <w:rPr>
          <w:rFonts w:ascii="Sylfaen" w:hAnsi="Sylfaen"/>
          <w:sz w:val="24"/>
          <w:szCs w:val="24"/>
        </w:rPr>
        <w:t xml:space="preserve"> հետ</w:t>
      </w:r>
      <w:r w:rsidR="00C54D75">
        <w:rPr>
          <w:rFonts w:ascii="Sylfaen" w:hAnsi="Sylfaen"/>
          <w:sz w:val="24"/>
          <w:szCs w:val="24"/>
        </w:rPr>
        <w:t>և</w:t>
      </w:r>
      <w:r w:rsidRPr="003B2786">
        <w:rPr>
          <w:rFonts w:ascii="Sylfaen" w:hAnsi="Sylfaen"/>
          <w:sz w:val="24"/>
          <w:szCs w:val="24"/>
        </w:rPr>
        <w:t>աբար հազիվ թե արտացոլվեն ռիսկերի կառավարման պլանում:</w:t>
      </w:r>
    </w:p>
    <w:p w14:paraId="0484A067" w14:textId="1DE9E316"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Ստացված առաջարկությունները ներառվում են գրանցման </w:t>
      </w:r>
      <w:r w:rsidR="0056496B">
        <w:rPr>
          <w:rFonts w:ascii="Sylfaen" w:hAnsi="Sylfaen"/>
          <w:sz w:val="24"/>
          <w:szCs w:val="24"/>
        </w:rPr>
        <w:t>դիմում</w:t>
      </w:r>
      <w:r w:rsidRPr="003B2786">
        <w:rPr>
          <w:rFonts w:ascii="Sylfaen" w:hAnsi="Sylfaen"/>
          <w:sz w:val="24"/>
          <w:szCs w:val="24"/>
        </w:rPr>
        <w:t xml:space="preserve"> ներկայացնելուց հետո ներկայացվող հարցերի ցանկի նախագծում: Կար</w:t>
      </w:r>
      <w:r w:rsidR="00C54D75">
        <w:rPr>
          <w:rFonts w:ascii="Sylfaen" w:hAnsi="Sylfaen"/>
          <w:sz w:val="24"/>
          <w:szCs w:val="24"/>
        </w:rPr>
        <w:t>և</w:t>
      </w:r>
      <w:r w:rsidRPr="003B2786">
        <w:rPr>
          <w:rFonts w:ascii="Sylfaen" w:hAnsi="Sylfaen"/>
          <w:sz w:val="24"/>
          <w:szCs w:val="24"/>
        </w:rPr>
        <w:t xml:space="preserve">որ է նշել, որ տվյալ առաջարկությունները կարող են պարունակել ռիսկերի կառավարման </w:t>
      </w:r>
      <w:r w:rsidRPr="003B2786">
        <w:rPr>
          <w:rFonts w:ascii="Sylfaen" w:hAnsi="Sylfaen"/>
          <w:sz w:val="24"/>
          <w:szCs w:val="24"/>
        </w:rPr>
        <w:lastRenderedPageBreak/>
        <w:t>պլանի մասով առաջարկվող հարցեր, որոնք ենթակա են հարցերի ցանկում ավելացման:</w:t>
      </w:r>
    </w:p>
    <w:p w14:paraId="6F0A4404" w14:textId="08413168"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 է թվարկել հարցերը </w:t>
      </w:r>
      <w:r w:rsidR="00C54D75">
        <w:rPr>
          <w:rFonts w:ascii="Sylfaen" w:hAnsi="Sylfaen"/>
          <w:sz w:val="24"/>
          <w:szCs w:val="24"/>
        </w:rPr>
        <w:t>և</w:t>
      </w:r>
      <w:r w:rsidRPr="003B2786">
        <w:rPr>
          <w:rFonts w:ascii="Sylfaen" w:hAnsi="Sylfaen"/>
          <w:sz w:val="24"/>
          <w:szCs w:val="24"/>
        </w:rPr>
        <w:t xml:space="preserve"> խնդիրները, որոնք </w:t>
      </w:r>
      <w:r w:rsidR="00FE4A71">
        <w:rPr>
          <w:rFonts w:ascii="Sylfaen" w:hAnsi="Sylfaen"/>
          <w:sz w:val="24"/>
          <w:szCs w:val="24"/>
        </w:rPr>
        <w:t xml:space="preserve">հայտնաբերվել </w:t>
      </w:r>
      <w:r w:rsidRPr="003B2786">
        <w:rPr>
          <w:rFonts w:ascii="Sylfaen" w:hAnsi="Sylfaen"/>
          <w:sz w:val="24"/>
          <w:szCs w:val="24"/>
        </w:rPr>
        <w:t xml:space="preserve"> են </w:t>
      </w:r>
      <w:r w:rsidR="0056496B">
        <w:rPr>
          <w:rFonts w:ascii="Sylfaen" w:hAnsi="Sylfaen"/>
          <w:sz w:val="24"/>
          <w:szCs w:val="24"/>
        </w:rPr>
        <w:t>դիմում</w:t>
      </w:r>
      <w:r w:rsidRPr="003B2786">
        <w:rPr>
          <w:rFonts w:ascii="Sylfaen" w:hAnsi="Sylfaen"/>
          <w:sz w:val="24"/>
          <w:szCs w:val="24"/>
        </w:rPr>
        <w:t xml:space="preserve">ի ընդհանուր գնահատման գործընթացում </w:t>
      </w:r>
      <w:r w:rsidR="00C54D75">
        <w:rPr>
          <w:rFonts w:ascii="Sylfaen" w:hAnsi="Sylfaen"/>
          <w:sz w:val="24"/>
          <w:szCs w:val="24"/>
        </w:rPr>
        <w:t>և</w:t>
      </w:r>
      <w:r w:rsidRPr="003B2786">
        <w:rPr>
          <w:rFonts w:ascii="Sylfaen" w:hAnsi="Sylfaen"/>
          <w:sz w:val="24"/>
          <w:szCs w:val="24"/>
        </w:rPr>
        <w:t xml:space="preserve"> ենթակա են քննման ռիսկերի կառավարման պլանը գնահատելիս:</w:t>
      </w:r>
    </w:p>
    <w:p w14:paraId="77E03AEC"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Օգտագործված գրականության ցանկը:</w:t>
      </w:r>
    </w:p>
    <w:p w14:paraId="7041581B"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Փորձագետի կողմից առաջարկված հարցերի ցանկը:</w:t>
      </w:r>
    </w:p>
    <w:p w14:paraId="15DE0510" w14:textId="77777777"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7.1.</w:t>
      </w:r>
      <w:r w:rsidRPr="003B2786">
        <w:rPr>
          <w:rFonts w:ascii="Sylfaen" w:hAnsi="Sylfaen"/>
          <w:sz w:val="24"/>
          <w:szCs w:val="24"/>
        </w:rPr>
        <w:tab/>
        <w:t>Դիտողությունների դասակարգումը՝</w:t>
      </w:r>
    </w:p>
    <w:p w14:paraId="0174F708" w14:textId="2C25817A"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«կրիտիկական դիտողություններ»՝ դիտողություններ, որոնք անհնարին են դարձնում դեղապատրաստուկի գրանցումը: Մեկ կրիտիկական դիտողությունը տեսականորեն կարող է ներառել մի քանի հարցեր. այդ դեպքում հարկավոր է օգտագործել չհամարակալված ցանկեր </w:t>
      </w:r>
      <w:r w:rsidR="00C54D75">
        <w:rPr>
          <w:rFonts w:ascii="Sylfaen" w:hAnsi="Sylfaen"/>
          <w:sz w:val="24"/>
          <w:szCs w:val="24"/>
        </w:rPr>
        <w:t>և</w:t>
      </w:r>
      <w:r w:rsidRPr="003B2786">
        <w:rPr>
          <w:rFonts w:ascii="Sylfaen" w:hAnsi="Sylfaen"/>
          <w:sz w:val="24"/>
          <w:szCs w:val="24"/>
        </w:rPr>
        <w:t xml:space="preserve"> ենթավերնագրեր: Կրիտիկական դիտողությունը պետք է հասկանալի </w:t>
      </w:r>
      <w:r w:rsidR="00C54D75">
        <w:rPr>
          <w:rFonts w:ascii="Sylfaen" w:hAnsi="Sylfaen"/>
          <w:sz w:val="24"/>
          <w:szCs w:val="24"/>
        </w:rPr>
        <w:t>և</w:t>
      </w:r>
      <w:r w:rsidRPr="003B2786">
        <w:rPr>
          <w:rFonts w:ascii="Sylfaen" w:hAnsi="Sylfaen"/>
          <w:sz w:val="24"/>
          <w:szCs w:val="24"/>
        </w:rPr>
        <w:t xml:space="preserve"> հստակ շարադրված լինի: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3B2786">
        <w:rPr>
          <w:rFonts w:ascii="Sylfaen" w:hAnsi="Sylfaen"/>
          <w:sz w:val="24"/>
          <w:szCs w:val="24"/>
        </w:rPr>
        <w:t xml:space="preserve"> հանձնարարականներին (ձեռնարկներին) հղումներով: Հնարավորության դեպքում դիտողությունը պետք է ներառի </w:t>
      </w:r>
      <w:r w:rsidR="0056496B">
        <w:rPr>
          <w:rFonts w:ascii="Sylfaen" w:hAnsi="Sylfaen"/>
          <w:sz w:val="24"/>
          <w:szCs w:val="24"/>
        </w:rPr>
        <w:t>դիմումատու</w:t>
      </w:r>
      <w:r w:rsidRPr="003B2786">
        <w:rPr>
          <w:rFonts w:ascii="Sylfaen" w:hAnsi="Sylfaen"/>
          <w:sz w:val="24"/>
          <w:szCs w:val="24"/>
        </w:rPr>
        <w:t>ից ակնկալվող պատասխանի (միջոցների) վերաբերյալ պարզաբանումներ,</w:t>
      </w:r>
    </w:p>
    <w:p w14:paraId="7F359491" w14:textId="2A579983"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«այլ դիտողություններ»՝ դիտողություններ, որոնք կարող են ազդել </w:t>
      </w:r>
      <w:r w:rsidR="0056496B">
        <w:rPr>
          <w:rFonts w:ascii="Sylfaen" w:hAnsi="Sylfaen"/>
          <w:sz w:val="24"/>
          <w:szCs w:val="24"/>
        </w:rPr>
        <w:t>դիմումատու</w:t>
      </w:r>
      <w:r w:rsidRPr="003B2786">
        <w:rPr>
          <w:rFonts w:ascii="Sylfaen" w:hAnsi="Sylfaen"/>
          <w:sz w:val="24"/>
          <w:szCs w:val="24"/>
        </w:rPr>
        <w:t xml:space="preserve">ի կողմից առաջարկված գրանցման պայմանների </w:t>
      </w:r>
      <w:r w:rsidR="00C54D75">
        <w:rPr>
          <w:rFonts w:ascii="Sylfaen" w:hAnsi="Sylfaen"/>
          <w:sz w:val="24"/>
          <w:szCs w:val="24"/>
        </w:rPr>
        <w:t>և</w:t>
      </w:r>
      <w:r w:rsidRPr="003B2786">
        <w:rPr>
          <w:rFonts w:ascii="Sylfaen" w:hAnsi="Sylfaen"/>
          <w:sz w:val="24"/>
          <w:szCs w:val="24"/>
        </w:rPr>
        <w:t xml:space="preserve"> դեղապատրաստուկի վերաբերյալ տեղեկատվության վրա (բժշկական կիրառման դեղապատրաստուկի ընդհանուր բնութագիր, ներդիր թերթիկ, մականշվածք): Այլ դիտողություններ անհրաժեշտ է վերացնել նախագրանցումային փուլում, հակառակ դեպքում գրանցումը կարող է մերժվել:</w:t>
      </w:r>
    </w:p>
    <w:p w14:paraId="45917464"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Շահագրգիռ խմբերի առարկությունների </w:t>
      </w:r>
      <w:r w:rsidR="00C54D75">
        <w:rPr>
          <w:rFonts w:ascii="Sylfaen" w:hAnsi="Sylfaen"/>
          <w:sz w:val="24"/>
          <w:szCs w:val="24"/>
        </w:rPr>
        <w:t>և</w:t>
      </w:r>
      <w:r w:rsidRPr="003B2786">
        <w:rPr>
          <w:rFonts w:ascii="Sylfaen" w:hAnsi="Sylfaen"/>
          <w:sz w:val="24"/>
          <w:szCs w:val="24"/>
        </w:rPr>
        <w:t xml:space="preserve"> հանձնարարականների բանաքաղման նպատակով ցանկը կազմելիս, ընդհանուր առմամբ, անհրաժեշտ է օգտագործել ենթավերնագրեր: </w:t>
      </w:r>
    </w:p>
    <w:p w14:paraId="782AED20"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Դիտողությունների ցանկն անհրաժեշտ է երկտակել փորձագիտական հաշվետվության «Ամփոփիչ մոդուլում»,</w:t>
      </w:r>
    </w:p>
    <w:p w14:paraId="21D7EBCC"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«առաջարկություններ»՝ առաջարկություններ, որոնք պարունակում են փորձագետի դիտողությունները (պայմանները), որոնք չեն խոչընդոտում դեղապատրաստուկի գրանցմանը </w:t>
      </w:r>
      <w:r w:rsidR="00C54D75">
        <w:rPr>
          <w:rFonts w:ascii="Sylfaen" w:hAnsi="Sylfaen"/>
          <w:sz w:val="24"/>
          <w:szCs w:val="24"/>
        </w:rPr>
        <w:t>և</w:t>
      </w:r>
      <w:r w:rsidRPr="003B2786">
        <w:rPr>
          <w:rFonts w:ascii="Sylfaen" w:hAnsi="Sylfaen"/>
          <w:sz w:val="24"/>
          <w:szCs w:val="24"/>
        </w:rPr>
        <w:t xml:space="preserve"> կարող են հաշվի առնվել պատրաստուկի գրանցումից հետո, ներառվել (փոփոխվել) փոփոխությունների կատարման ընթացակարգի շրջանակներում:</w:t>
      </w:r>
    </w:p>
    <w:p w14:paraId="737DBEA8" w14:textId="5727DD51" w:rsidR="008C76E0" w:rsidRPr="003B2786" w:rsidRDefault="008C76E0" w:rsidP="00262653">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 xml:space="preserve">Փորձագետի կողմից առաջարկվող պայմանները, որոնք պետք է կատարել </w:t>
      </w:r>
      <w:r w:rsidR="0056496B">
        <w:rPr>
          <w:rFonts w:ascii="Sylfaen" w:hAnsi="Sylfaen"/>
          <w:sz w:val="24"/>
          <w:szCs w:val="24"/>
        </w:rPr>
        <w:t>դիմումատու</w:t>
      </w:r>
      <w:r w:rsidRPr="003B2786">
        <w:rPr>
          <w:rFonts w:ascii="Sylfaen" w:hAnsi="Sylfaen"/>
          <w:sz w:val="24"/>
          <w:szCs w:val="24"/>
        </w:rPr>
        <w:t xml:space="preserve">ի կողմից գրանցման հավաստագիրը ստանալուց </w:t>
      </w:r>
      <w:r w:rsidR="00C54D75">
        <w:rPr>
          <w:rFonts w:ascii="Sylfaen" w:hAnsi="Sylfaen"/>
          <w:sz w:val="24"/>
          <w:szCs w:val="24"/>
        </w:rPr>
        <w:t>և</w:t>
      </w:r>
      <w:r w:rsidRPr="003B2786">
        <w:rPr>
          <w:rFonts w:ascii="Sylfaen" w:hAnsi="Sylfaen"/>
          <w:sz w:val="24"/>
          <w:szCs w:val="24"/>
        </w:rPr>
        <w:t xml:space="preserve"> բժշկական կիրառման դեղապատրաստուկի ընդհանուր բնութագիրը հաստատելուց հետո՝</w:t>
      </w:r>
    </w:p>
    <w:p w14:paraId="3A083329" w14:textId="77777777"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տվյալ բաժնում պարունակվող տեղեկությունները նույնպես պետք է հատուկ ուսումնասիրվեն ամփոփիչ փորձագիտական հաշվետվության «Անվտանգության, որակի, արդյունավետության գնահատում» մոդուլի համապատասխան բաժնում (օրինակ՝ կոնկրետ դիտողություններ՝ արտադրանքի վերաբերյալ տեղեկատվության մասով):</w:t>
      </w:r>
    </w:p>
    <w:p w14:paraId="679F76BF" w14:textId="69F49BF0" w:rsidR="008C76E0" w:rsidRPr="003B2786" w:rsidRDefault="008C76E0" w:rsidP="00262653">
      <w:pPr>
        <w:spacing w:after="160" w:line="360" w:lineRule="auto"/>
        <w:ind w:right="-1" w:firstLine="567"/>
        <w:jc w:val="both"/>
        <w:rPr>
          <w:rFonts w:ascii="Sylfaen" w:hAnsi="Sylfaen"/>
          <w:sz w:val="24"/>
          <w:szCs w:val="24"/>
        </w:rPr>
      </w:pPr>
      <w:r w:rsidRPr="003B2786">
        <w:rPr>
          <w:rFonts w:ascii="Sylfaen" w:hAnsi="Sylfaen"/>
          <w:sz w:val="24"/>
          <w:szCs w:val="24"/>
        </w:rPr>
        <w:t xml:space="preserve">«Խորհրդատվություններ օգտագործողների հետ»՝ դեղապատրաստուկի բժշկական կիրառման հրահանգի ընթեռնելիության հետ կապված՝ </w:t>
      </w:r>
      <w:r w:rsidR="0056496B">
        <w:rPr>
          <w:rFonts w:ascii="Sylfaen" w:hAnsi="Sylfaen"/>
          <w:sz w:val="24"/>
          <w:szCs w:val="24"/>
        </w:rPr>
        <w:t>դիմումատու</w:t>
      </w:r>
      <w:r w:rsidRPr="003B2786">
        <w:rPr>
          <w:rFonts w:ascii="Sylfaen" w:hAnsi="Sylfaen"/>
          <w:sz w:val="24"/>
          <w:szCs w:val="24"/>
        </w:rPr>
        <w:t xml:space="preserve">ն պետք է ներկայացնի դեղապատրաստուկի բժշկական կիրառման հրահանգի ընթեռնելիության մասով պացիենտների թիրախային խմբերի մասնակցությամբ անցկացված գնահատման արդյունքները (տե՛ս «Խորհրդատվություններ օգտագործողների հետ»), կամ հիմնավորի նման խորհրդատվություններ անցկացնելուց հրաժարվելը («օգտագործողների հետ խորհրդատվության» պահանջների վերաբերյալ լրացուցիչ տեղեկատվություն ստանալու, դրա արդյունքները ներկայացնելու </w:t>
      </w:r>
      <w:r w:rsidR="00C54D75">
        <w:rPr>
          <w:rFonts w:ascii="Sylfaen" w:hAnsi="Sylfaen"/>
          <w:sz w:val="24"/>
          <w:szCs w:val="24"/>
        </w:rPr>
        <w:t>և</w:t>
      </w:r>
      <w:r w:rsidRPr="003B2786">
        <w:rPr>
          <w:rFonts w:ascii="Sylfaen" w:hAnsi="Sylfaen"/>
          <w:sz w:val="24"/>
          <w:szCs w:val="24"/>
        </w:rPr>
        <w:t xml:space="preserve"> գնահատելու համար տե՛ս Միության մարմինների համապատասխան ակտերը):</w:t>
      </w:r>
    </w:p>
    <w:p w14:paraId="6B9B68D5" w14:textId="77777777"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Բոլոր դեպքերում անհրաժեշտ է սահմանել </w:t>
      </w:r>
      <w:r w:rsidR="00C54D75">
        <w:rPr>
          <w:rFonts w:ascii="Sylfaen" w:hAnsi="Sylfaen"/>
          <w:sz w:val="24"/>
          <w:szCs w:val="24"/>
        </w:rPr>
        <w:t>և</w:t>
      </w:r>
      <w:r w:rsidRPr="003B2786">
        <w:rPr>
          <w:rFonts w:ascii="Sylfaen" w:hAnsi="Sylfaen"/>
          <w:sz w:val="24"/>
          <w:szCs w:val="24"/>
        </w:rPr>
        <w:t xml:space="preserve"> նշել (տե՛ս «Ամփոփում»), թե արդյոք փաստացի անցկացվել կամ նախատեսվել են «խորհրդատվություններ </w:t>
      </w:r>
      <w:r w:rsidRPr="003B2786">
        <w:rPr>
          <w:rFonts w:ascii="Sylfaen" w:hAnsi="Sylfaen"/>
          <w:sz w:val="24"/>
          <w:szCs w:val="24"/>
        </w:rPr>
        <w:lastRenderedPageBreak/>
        <w:t xml:space="preserve">օգտագործողների հետ» դեղամիջոցի բժշկական կիրառման հրահանգի ընթեռնելիության վերաբերյալ, կամ էլ սահմանել </w:t>
      </w:r>
      <w:r w:rsidR="00C54D75">
        <w:rPr>
          <w:rFonts w:ascii="Sylfaen" w:hAnsi="Sylfaen"/>
          <w:sz w:val="24"/>
          <w:szCs w:val="24"/>
        </w:rPr>
        <w:t>և</w:t>
      </w:r>
      <w:r w:rsidRPr="003B2786">
        <w:rPr>
          <w:rFonts w:ascii="Sylfaen" w:hAnsi="Sylfaen"/>
          <w:sz w:val="24"/>
          <w:szCs w:val="24"/>
        </w:rPr>
        <w:t xml:space="preserve"> նշել այդպիսի խորհրդատվություններ անցկացնելուց հրաժարվելու հիմնավորվածությունը:</w:t>
      </w:r>
    </w:p>
    <w:p w14:paraId="44119F5A" w14:textId="59302D94" w:rsidR="008C76E0" w:rsidRPr="003B2786"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Դեղապատրաստուկի բժշկական կիրառման հրահանգի ընթեռնելիության վերաբերյալ «օգտագործողների հետ խորհրդատվություն» անցկացնելու </w:t>
      </w:r>
      <w:r w:rsidR="00C54D75">
        <w:rPr>
          <w:rFonts w:ascii="Sylfaen" w:hAnsi="Sylfaen"/>
          <w:sz w:val="24"/>
          <w:szCs w:val="24"/>
        </w:rPr>
        <w:t>և</w:t>
      </w:r>
      <w:r w:rsidRPr="003B2786">
        <w:rPr>
          <w:rFonts w:ascii="Sylfaen" w:hAnsi="Sylfaen"/>
          <w:sz w:val="24"/>
          <w:szCs w:val="24"/>
        </w:rPr>
        <w:t xml:space="preserve"> դրա արդյունքները </w:t>
      </w:r>
      <w:r w:rsidR="0056496B">
        <w:rPr>
          <w:rFonts w:ascii="Sylfaen" w:hAnsi="Sylfaen"/>
          <w:sz w:val="24"/>
          <w:szCs w:val="24"/>
        </w:rPr>
        <w:t>դիմում</w:t>
      </w:r>
      <w:r w:rsidRPr="003B2786">
        <w:rPr>
          <w:rFonts w:ascii="Sylfaen" w:hAnsi="Sylfaen"/>
          <w:sz w:val="24"/>
          <w:szCs w:val="24"/>
        </w:rPr>
        <w:t>ի մեջ ներառելու դեպքում փորձագետները պետք է գնահատում անցկացնելու մասին իրենց հաշվետվություններում, ինչպես նա</w:t>
      </w:r>
      <w:r w:rsidR="00C54D75">
        <w:rPr>
          <w:rFonts w:ascii="Sylfaen" w:hAnsi="Sylfaen"/>
          <w:sz w:val="24"/>
          <w:szCs w:val="24"/>
        </w:rPr>
        <w:t>և</w:t>
      </w:r>
      <w:r w:rsidRPr="003B2786">
        <w:rPr>
          <w:rFonts w:ascii="Sylfaen" w:hAnsi="Sylfaen"/>
          <w:sz w:val="24"/>
          <w:szCs w:val="24"/>
        </w:rPr>
        <w:t xml:space="preserve"> բժշկական կիրառման հրահանգի ընդհանուր ընթեռնելիության վերաբերյալ եզրակացության մեջ ներառեն «օգտագործողների հետ խորհրդատվության» արդյունքների գնահատումը: </w:t>
      </w:r>
    </w:p>
    <w:p w14:paraId="731B0FCA" w14:textId="77777777" w:rsidR="008C76E0" w:rsidRDefault="008C76E0" w:rsidP="00262653">
      <w:pPr>
        <w:spacing w:after="160" w:line="360" w:lineRule="auto"/>
        <w:ind w:firstLine="567"/>
        <w:jc w:val="both"/>
        <w:rPr>
          <w:rFonts w:ascii="Sylfaen" w:hAnsi="Sylfaen"/>
          <w:sz w:val="24"/>
          <w:szCs w:val="24"/>
        </w:rPr>
      </w:pPr>
      <w:r w:rsidRPr="003B2786">
        <w:rPr>
          <w:rFonts w:ascii="Sylfaen" w:hAnsi="Sylfaen"/>
          <w:sz w:val="24"/>
          <w:szCs w:val="24"/>
        </w:rPr>
        <w:t>Ցանկացած հնարավոր անհամապատասխանություն կամ դիտողություն (հարց) պետք է ներառվի հարցերի ցանկում:</w:t>
      </w:r>
    </w:p>
    <w:p w14:paraId="7039BF40" w14:textId="77777777" w:rsidR="008C76E0" w:rsidRDefault="008C76E0" w:rsidP="00262653">
      <w:pPr>
        <w:pBdr>
          <w:bottom w:val="single" w:sz="6" w:space="1" w:color="auto"/>
        </w:pBdr>
        <w:spacing w:after="160" w:line="360" w:lineRule="auto"/>
        <w:ind w:firstLine="567"/>
        <w:jc w:val="both"/>
        <w:rPr>
          <w:rFonts w:ascii="Sylfaen" w:hAnsi="Sylfaen"/>
          <w:sz w:val="24"/>
          <w:szCs w:val="24"/>
        </w:rPr>
      </w:pPr>
    </w:p>
    <w:p w14:paraId="33924157" w14:textId="77777777" w:rsidR="00023CB3" w:rsidRPr="006F28F9" w:rsidRDefault="00023CB3" w:rsidP="00023CB3">
      <w:pPr>
        <w:rPr>
          <w:b/>
          <w:bCs/>
          <w:i/>
          <w:iCs/>
        </w:rPr>
      </w:pPr>
      <w:r w:rsidRPr="00CD4709">
        <w:rPr>
          <w:b/>
          <w:bCs/>
          <w:i/>
          <w:iCs/>
        </w:rPr>
        <w:t>(</w:t>
      </w:r>
      <w:r>
        <w:rPr>
          <w:b/>
          <w:bCs/>
          <w:i/>
          <w:iCs/>
        </w:rPr>
        <w:t xml:space="preserve">հավելվածը </w:t>
      </w:r>
      <w:r w:rsidRPr="00CD4709">
        <w:rPr>
          <w:b/>
          <w:bCs/>
          <w:i/>
          <w:iCs/>
        </w:rPr>
        <w:t>փոփ. 30.01.20 թիվ 9)</w:t>
      </w:r>
    </w:p>
    <w:p w14:paraId="35A26F3D" w14:textId="77777777" w:rsidR="00023CB3" w:rsidRPr="003B2786" w:rsidRDefault="00023CB3" w:rsidP="008C76E0">
      <w:pPr>
        <w:ind w:firstLine="567"/>
        <w:jc w:val="center"/>
        <w:rPr>
          <w:rFonts w:ascii="Sylfaen" w:eastAsia="Times New Roman" w:hAnsi="Sylfaen" w:cs="Times New Roman"/>
          <w:sz w:val="24"/>
          <w:szCs w:val="24"/>
        </w:rPr>
      </w:pPr>
    </w:p>
    <w:p w14:paraId="0CD208FF" w14:textId="77777777" w:rsidR="002C4B5D" w:rsidRPr="00E15E7D" w:rsidRDefault="002C4B5D" w:rsidP="008C76E0">
      <w:pPr>
        <w:jc w:val="center"/>
        <w:rPr>
          <w:rFonts w:ascii="Sylfaen" w:hAnsi="Sylfaen"/>
          <w:sz w:val="24"/>
          <w:szCs w:val="24"/>
        </w:rPr>
      </w:pPr>
    </w:p>
    <w:p w14:paraId="70AFC885" w14:textId="77777777" w:rsidR="009211E1" w:rsidRPr="00E15E7D" w:rsidRDefault="009211E1" w:rsidP="008C76E0">
      <w:pPr>
        <w:jc w:val="center"/>
        <w:rPr>
          <w:rFonts w:ascii="Sylfaen" w:hAnsi="Sylfaen"/>
          <w:sz w:val="24"/>
          <w:szCs w:val="24"/>
        </w:rPr>
        <w:sectPr w:rsidR="009211E1" w:rsidRPr="00E15E7D" w:rsidSect="00015767">
          <w:pgSz w:w="11906" w:h="16838" w:code="9"/>
          <w:pgMar w:top="1418" w:right="1418" w:bottom="1418" w:left="1418" w:header="709" w:footer="709" w:gutter="0"/>
          <w:pgNumType w:start="1"/>
          <w:cols w:space="708"/>
          <w:titlePg/>
          <w:docGrid w:linePitch="360"/>
        </w:sectPr>
      </w:pPr>
    </w:p>
    <w:p w14:paraId="22AC84C3" w14:textId="77777777" w:rsidR="008C76E0" w:rsidRPr="003B2786" w:rsidRDefault="008C76E0" w:rsidP="00B70A34">
      <w:pPr>
        <w:spacing w:after="160" w:line="360" w:lineRule="auto"/>
        <w:ind w:left="4111" w:right="-1"/>
        <w:jc w:val="center"/>
        <w:outlineLvl w:val="0"/>
        <w:rPr>
          <w:rFonts w:ascii="Sylfaen" w:hAnsi="Sylfaen"/>
          <w:sz w:val="24"/>
          <w:szCs w:val="24"/>
        </w:rPr>
      </w:pPr>
      <w:r w:rsidRPr="003B2786">
        <w:rPr>
          <w:rFonts w:ascii="Sylfaen" w:hAnsi="Sylfaen"/>
          <w:sz w:val="24"/>
          <w:szCs w:val="24"/>
        </w:rPr>
        <w:lastRenderedPageBreak/>
        <w:t>ՀԱՎԵԼՎԱԾ ԹԻՎ 16</w:t>
      </w:r>
    </w:p>
    <w:p w14:paraId="4F6DFCCA" w14:textId="77777777" w:rsidR="008C76E0" w:rsidRPr="003B2786" w:rsidRDefault="008C76E0" w:rsidP="00B70A34">
      <w:pPr>
        <w:spacing w:after="160" w:line="360" w:lineRule="auto"/>
        <w:ind w:left="4111"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4987A3F4" w14:textId="77777777" w:rsidR="008C76E0" w:rsidRPr="003B2786" w:rsidRDefault="008C76E0" w:rsidP="00B70A34">
      <w:pPr>
        <w:spacing w:after="160" w:line="360" w:lineRule="auto"/>
        <w:ind w:left="5103" w:right="-1"/>
        <w:rPr>
          <w:rFonts w:ascii="Sylfaen" w:hAnsi="Sylfaen"/>
          <w:sz w:val="24"/>
          <w:szCs w:val="24"/>
        </w:rPr>
      </w:pPr>
    </w:p>
    <w:p w14:paraId="73A9A7EC" w14:textId="77777777" w:rsidR="008C76E0" w:rsidRPr="000237F1" w:rsidRDefault="008C76E0" w:rsidP="00B70A34">
      <w:pPr>
        <w:spacing w:after="160" w:line="360" w:lineRule="auto"/>
        <w:ind w:right="-1"/>
        <w:jc w:val="center"/>
        <w:outlineLvl w:val="0"/>
        <w:rPr>
          <w:rFonts w:ascii="Sylfaen" w:hAnsi="Sylfaen"/>
          <w:b/>
          <w:sz w:val="24"/>
          <w:szCs w:val="24"/>
        </w:rPr>
      </w:pPr>
      <w:r w:rsidRPr="000237F1">
        <w:rPr>
          <w:rFonts w:ascii="Sylfaen" w:hAnsi="Sylfaen"/>
          <w:b/>
          <w:sz w:val="24"/>
          <w:szCs w:val="24"/>
        </w:rPr>
        <w:t>ՁԵՎ</w:t>
      </w:r>
    </w:p>
    <w:p w14:paraId="4E9BF23C" w14:textId="77777777" w:rsidR="008C76E0" w:rsidRPr="008C76E0" w:rsidRDefault="008C76E0" w:rsidP="00B70A34">
      <w:pPr>
        <w:pStyle w:val="Bodytext130"/>
        <w:shd w:val="clear" w:color="auto" w:fill="auto"/>
        <w:spacing w:after="160" w:line="360" w:lineRule="auto"/>
        <w:ind w:left="567" w:right="565"/>
        <w:rPr>
          <w:rFonts w:ascii="Sylfaen" w:hAnsi="Sylfaen"/>
          <w:sz w:val="24"/>
          <w:szCs w:val="24"/>
          <w:lang w:val="hy-AM"/>
        </w:rPr>
      </w:pPr>
      <w:r w:rsidRPr="008C76E0">
        <w:rPr>
          <w:rFonts w:ascii="Sylfaen" w:hAnsi="Sylfaen"/>
          <w:sz w:val="24"/>
          <w:szCs w:val="24"/>
          <w:lang w:val="hy-AM"/>
        </w:rPr>
        <w:t xml:space="preserve">անվտանգության, արդյունավետության </w:t>
      </w:r>
      <w:r w:rsidR="00C54D75">
        <w:rPr>
          <w:rFonts w:ascii="Sylfaen" w:hAnsi="Sylfaen"/>
          <w:sz w:val="24"/>
          <w:szCs w:val="24"/>
          <w:lang w:val="hy-AM"/>
        </w:rPr>
        <w:t>և</w:t>
      </w:r>
      <w:r w:rsidRPr="008C76E0">
        <w:rPr>
          <w:rFonts w:ascii="Sylfaen" w:hAnsi="Sylfaen"/>
          <w:sz w:val="24"/>
          <w:szCs w:val="24"/>
          <w:lang w:val="hy-AM"/>
        </w:rPr>
        <w:t xml:space="preserve"> որակի գնահատման վերաբերյալ փորձագիտական հաշվետվության</w:t>
      </w:r>
    </w:p>
    <w:p w14:paraId="4FA8B80B" w14:textId="77777777" w:rsidR="008C76E0" w:rsidRPr="003B2786" w:rsidRDefault="008C76E0" w:rsidP="00B70A34">
      <w:pPr>
        <w:spacing w:after="160" w:line="360" w:lineRule="auto"/>
        <w:ind w:left="567" w:right="565"/>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16A96C71" w14:textId="77777777" w:rsidR="008C76E0" w:rsidRPr="003B2786" w:rsidRDefault="008C76E0" w:rsidP="00B70A34">
      <w:pPr>
        <w:spacing w:after="160" w:line="360" w:lineRule="auto"/>
        <w:ind w:left="567" w:right="565"/>
        <w:jc w:val="center"/>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որակի գնահատման վերաբերյալ փորձագիտական հաշվետվություն</w:t>
      </w:r>
    </w:p>
    <w:p w14:paraId="7CB1FAD9" w14:textId="77777777" w:rsidR="008C76E0" w:rsidRPr="003B2786" w:rsidRDefault="008C76E0" w:rsidP="00B70A34">
      <w:pPr>
        <w:spacing w:after="160" w:line="360" w:lineRule="auto"/>
        <w:ind w:left="567" w:right="565"/>
        <w:jc w:val="center"/>
        <w:rPr>
          <w:rFonts w:ascii="Sylfaen" w:hAnsi="Sylfaen"/>
          <w:sz w:val="24"/>
          <w:szCs w:val="24"/>
        </w:rPr>
      </w:pPr>
    </w:p>
    <w:p w14:paraId="52F141D4"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ԱՄՓՈՓԱԳԻՐ</w:t>
      </w:r>
    </w:p>
    <w:p w14:paraId="0C774A8B" w14:textId="77777777" w:rsidR="008C76E0" w:rsidRPr="003B2786" w:rsidRDefault="008C76E0" w:rsidP="00B70A34">
      <w:pPr>
        <w:spacing w:after="160" w:line="360" w:lineRule="auto"/>
        <w:ind w:right="-1"/>
        <w:jc w:val="center"/>
        <w:rPr>
          <w:rFonts w:ascii="Sylfaen" w:hAnsi="Sylfaen"/>
          <w:sz w:val="24"/>
          <w:szCs w:val="24"/>
        </w:rPr>
      </w:pPr>
      <w:r w:rsidRPr="003B2786">
        <w:rPr>
          <w:rFonts w:ascii="Sylfaen" w:hAnsi="Sylfaen"/>
          <w:sz w:val="24"/>
          <w:szCs w:val="24"/>
        </w:rPr>
        <w:t>[Առ</w:t>
      </w:r>
      <w:r w:rsidR="00C54D75">
        <w:rPr>
          <w:rFonts w:ascii="Sylfaen" w:hAnsi="Sylfaen"/>
          <w:sz w:val="24"/>
          <w:szCs w:val="24"/>
        </w:rPr>
        <w:t>և</w:t>
      </w:r>
      <w:r w:rsidRPr="003B2786">
        <w:rPr>
          <w:rFonts w:ascii="Sylfaen" w:hAnsi="Sylfaen"/>
          <w:sz w:val="24"/>
          <w:szCs w:val="24"/>
        </w:rPr>
        <w:t>տրային անվանումը]</w:t>
      </w:r>
    </w:p>
    <w:p w14:paraId="577378E2" w14:textId="77777777" w:rsidR="008C76E0" w:rsidRPr="003B2786" w:rsidRDefault="008C76E0" w:rsidP="00B70A34">
      <w:pPr>
        <w:spacing w:after="160" w:line="360" w:lineRule="auto"/>
        <w:jc w:val="center"/>
        <w:rPr>
          <w:rFonts w:ascii="Sylfaen" w:hAnsi="Sylfaen"/>
          <w:sz w:val="24"/>
          <w:szCs w:val="24"/>
        </w:rPr>
      </w:pPr>
      <w:r w:rsidRPr="003B2786">
        <w:rPr>
          <w:rFonts w:ascii="Sylfaen" w:hAnsi="Sylfaen"/>
          <w:sz w:val="24"/>
          <w:szCs w:val="24"/>
        </w:rPr>
        <w:t>____________________________</w:t>
      </w:r>
    </w:p>
    <w:p w14:paraId="03F14D66"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r w:rsidRPr="008C76E0">
        <w:rPr>
          <w:rFonts w:ascii="Sylfaen" w:hAnsi="Sylfaen"/>
          <w:b w:val="0"/>
          <w:sz w:val="20"/>
          <w:szCs w:val="20"/>
          <w:lang w:val="hy-AM"/>
        </w:rPr>
        <w:t>(Ակտիվ նյութը)</w:t>
      </w:r>
    </w:p>
    <w:p w14:paraId="5B32E69E" w14:textId="77777777" w:rsidR="008C76E0" w:rsidRPr="008C76E0" w:rsidRDefault="008C76E0" w:rsidP="00B70A34">
      <w:pPr>
        <w:pStyle w:val="Bodytext70"/>
        <w:shd w:val="clear" w:color="auto" w:fill="auto"/>
        <w:spacing w:before="0" w:after="160" w:line="360" w:lineRule="auto"/>
        <w:jc w:val="center"/>
        <w:rPr>
          <w:rFonts w:ascii="Sylfaen" w:hAnsi="Sylfaen"/>
          <w:b w:val="0"/>
          <w:sz w:val="20"/>
          <w:szCs w:val="20"/>
          <w:lang w:val="hy-AM"/>
        </w:rPr>
      </w:pPr>
    </w:p>
    <w:p w14:paraId="4AC62DD0" w14:textId="77777777" w:rsidR="008C76E0" w:rsidRPr="008C76E0" w:rsidRDefault="008C76E0" w:rsidP="00B70A34">
      <w:pPr>
        <w:pStyle w:val="Bodytext70"/>
        <w:shd w:val="clear" w:color="auto" w:fill="auto"/>
        <w:spacing w:before="0" w:after="160" w:line="360" w:lineRule="auto"/>
        <w:ind w:right="-1"/>
        <w:jc w:val="center"/>
        <w:rPr>
          <w:rFonts w:ascii="Sylfaen" w:hAnsi="Sylfaen"/>
          <w:b w:val="0"/>
          <w:sz w:val="24"/>
          <w:szCs w:val="24"/>
          <w:lang w:val="hy-AM"/>
        </w:rPr>
      </w:pPr>
      <w:r w:rsidRPr="008C76E0">
        <w:rPr>
          <w:rFonts w:ascii="Sylfaen" w:hAnsi="Sylfaen"/>
          <w:b w:val="0"/>
          <w:sz w:val="24"/>
          <w:szCs w:val="24"/>
          <w:lang w:val="hy-AM"/>
        </w:rPr>
        <w:t>_______________________________</w:t>
      </w:r>
    </w:p>
    <w:p w14:paraId="2FD86C6A" w14:textId="5552C7B6"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w:t>
      </w:r>
      <w:r w:rsidR="008C76E0" w:rsidRPr="003B2786">
        <w:rPr>
          <w:rFonts w:ascii="Sylfaen" w:hAnsi="Sylfaen"/>
          <w:sz w:val="24"/>
          <w:szCs w:val="24"/>
        </w:rPr>
        <w:t xml:space="preserve"> թիվ ________ ամսաթիվ ____________</w:t>
      </w:r>
    </w:p>
    <w:p w14:paraId="1CC3EEE9" w14:textId="2D233AF8" w:rsidR="008C76E0" w:rsidRPr="003B2786" w:rsidRDefault="0056496B" w:rsidP="00B70A34">
      <w:pPr>
        <w:spacing w:after="160" w:line="360" w:lineRule="auto"/>
        <w:ind w:left="2694" w:right="-1"/>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 _______________</w:t>
      </w:r>
    </w:p>
    <w:p w14:paraId="23B1104D" w14:textId="77777777" w:rsidR="008C76E0" w:rsidRPr="003B2786" w:rsidRDefault="008C76E0" w:rsidP="00B70A34">
      <w:pPr>
        <w:spacing w:after="160" w:line="360" w:lineRule="auto"/>
        <w:ind w:left="2694" w:right="-1"/>
        <w:rPr>
          <w:rFonts w:ascii="Sylfaen" w:hAnsi="Sylfaen"/>
          <w:sz w:val="24"/>
          <w:szCs w:val="24"/>
        </w:rPr>
      </w:pPr>
      <w:r w:rsidRPr="003B2786">
        <w:rPr>
          <w:rFonts w:ascii="Sylfaen" w:hAnsi="Sylfaen"/>
          <w:sz w:val="24"/>
          <w:szCs w:val="24"/>
        </w:rPr>
        <w:t>Հաշվետվության ամսաթիվը ___________</w:t>
      </w:r>
    </w:p>
    <w:p w14:paraId="5ACB2187" w14:textId="77777777" w:rsidR="008C76E0" w:rsidRPr="003B2786" w:rsidRDefault="008C76E0" w:rsidP="00B70A34">
      <w:pPr>
        <w:spacing w:after="160" w:line="360" w:lineRule="auto"/>
        <w:ind w:left="2694" w:right="-1"/>
        <w:rPr>
          <w:rFonts w:ascii="Sylfaen" w:hAnsi="Sylfaen"/>
          <w:sz w:val="24"/>
          <w:szCs w:val="24"/>
        </w:rPr>
      </w:pPr>
    </w:p>
    <w:p w14:paraId="3DD223CA" w14:textId="77777777" w:rsidR="009211E1" w:rsidRDefault="009211E1" w:rsidP="00B70A34">
      <w:pPr>
        <w:widowControl/>
        <w:spacing w:after="160" w:line="360" w:lineRule="auto"/>
        <w:rPr>
          <w:rFonts w:ascii="Sylfaen" w:eastAsia="Times New Roman" w:hAnsi="Sylfaen" w:cs="Times New Roman"/>
          <w:sz w:val="24"/>
          <w:szCs w:val="24"/>
        </w:rPr>
        <w:sectPr w:rsidR="009211E1" w:rsidSect="009211E1">
          <w:footerReference w:type="default" r:id="rId24"/>
          <w:footerReference w:type="first" r:id="rId25"/>
          <w:pgSz w:w="11906" w:h="16838" w:code="9"/>
          <w:pgMar w:top="1418" w:right="1418" w:bottom="1418" w:left="1418" w:header="709" w:footer="709" w:gutter="0"/>
          <w:pgNumType w:start="1"/>
          <w:cols w:space="708"/>
          <w:titlePg/>
          <w:docGrid w:linePitch="360"/>
        </w:sectPr>
      </w:pPr>
    </w:p>
    <w:tbl>
      <w:tblPr>
        <w:tblOverlap w:val="never"/>
        <w:tblW w:w="9788" w:type="dxa"/>
        <w:jc w:val="center"/>
        <w:tblLayout w:type="fixed"/>
        <w:tblCellMar>
          <w:left w:w="10" w:type="dxa"/>
          <w:right w:w="10" w:type="dxa"/>
        </w:tblCellMar>
        <w:tblLook w:val="04A0" w:firstRow="1" w:lastRow="0" w:firstColumn="1" w:lastColumn="0" w:noHBand="0" w:noVBand="1"/>
      </w:tblPr>
      <w:tblGrid>
        <w:gridCol w:w="688"/>
        <w:gridCol w:w="8526"/>
        <w:gridCol w:w="574"/>
      </w:tblGrid>
      <w:tr w:rsidR="008C76E0" w:rsidRPr="003B2786" w14:paraId="12C5057A" w14:textId="77777777" w:rsidTr="008C76E0">
        <w:trPr>
          <w:trHeight w:val="420"/>
          <w:jc w:val="center"/>
        </w:trPr>
        <w:tc>
          <w:tcPr>
            <w:tcW w:w="9214" w:type="dxa"/>
            <w:gridSpan w:val="2"/>
            <w:shd w:val="clear" w:color="auto" w:fill="FFFFFF"/>
          </w:tcPr>
          <w:p w14:paraId="41B3DDDD" w14:textId="77777777" w:rsidR="008C76E0" w:rsidRPr="00FA2E29"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FA2E29">
              <w:rPr>
                <w:rStyle w:val="Bodytext295pt"/>
                <w:rFonts w:ascii="Sylfaen" w:hAnsi="Sylfaen"/>
                <w:sz w:val="24"/>
                <w:szCs w:val="24"/>
              </w:rPr>
              <w:lastRenderedPageBreak/>
              <w:t>ԲՈՎԱՆԴԱԿՈՒԹՅՈՒՆ</w:t>
            </w:r>
          </w:p>
        </w:tc>
        <w:tc>
          <w:tcPr>
            <w:tcW w:w="574" w:type="dxa"/>
            <w:shd w:val="clear" w:color="auto" w:fill="FFFFFF"/>
          </w:tcPr>
          <w:p w14:paraId="2C534D30" w14:textId="77777777" w:rsidR="008C76E0" w:rsidRPr="003B2786" w:rsidRDefault="008C76E0" w:rsidP="008C76E0">
            <w:pPr>
              <w:spacing w:after="120" w:line="240" w:lineRule="auto"/>
              <w:ind w:right="-19"/>
              <w:jc w:val="center"/>
              <w:rPr>
                <w:rFonts w:ascii="Sylfaen" w:hAnsi="Sylfaen"/>
                <w:b/>
                <w:sz w:val="24"/>
                <w:szCs w:val="24"/>
                <w:highlight w:val="yellow"/>
              </w:rPr>
            </w:pPr>
          </w:p>
        </w:tc>
      </w:tr>
      <w:tr w:rsidR="008C76E0" w:rsidRPr="003B2786" w14:paraId="7652D390" w14:textId="77777777" w:rsidTr="008C76E0">
        <w:trPr>
          <w:trHeight w:val="753"/>
          <w:jc w:val="center"/>
        </w:trPr>
        <w:tc>
          <w:tcPr>
            <w:tcW w:w="688" w:type="dxa"/>
            <w:shd w:val="clear" w:color="auto" w:fill="FFFFFF"/>
            <w:vAlign w:val="bottom"/>
          </w:tcPr>
          <w:p w14:paraId="2B6FE76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w:t>
            </w:r>
          </w:p>
        </w:tc>
        <w:tc>
          <w:tcPr>
            <w:tcW w:w="8526" w:type="dxa"/>
            <w:shd w:val="clear" w:color="auto" w:fill="FFFFFF"/>
            <w:vAlign w:val="bottom"/>
          </w:tcPr>
          <w:p w14:paraId="7F0CF1D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Հանձնարարական</w:t>
            </w:r>
          </w:p>
        </w:tc>
        <w:tc>
          <w:tcPr>
            <w:tcW w:w="574" w:type="dxa"/>
            <w:shd w:val="clear" w:color="auto" w:fill="FFFFFF"/>
            <w:vAlign w:val="bottom"/>
          </w:tcPr>
          <w:p w14:paraId="2EA7CC3C"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6F988D9F" w14:textId="77777777" w:rsidTr="008C76E0">
        <w:trPr>
          <w:trHeight w:val="567"/>
          <w:jc w:val="center"/>
        </w:trPr>
        <w:tc>
          <w:tcPr>
            <w:tcW w:w="688" w:type="dxa"/>
            <w:shd w:val="clear" w:color="auto" w:fill="FFFFFF"/>
            <w:vAlign w:val="bottom"/>
          </w:tcPr>
          <w:p w14:paraId="628B3D3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w:t>
            </w:r>
          </w:p>
        </w:tc>
        <w:tc>
          <w:tcPr>
            <w:tcW w:w="8526" w:type="dxa"/>
            <w:shd w:val="clear" w:color="auto" w:fill="FFFFFF"/>
            <w:vAlign w:val="bottom"/>
          </w:tcPr>
          <w:p w14:paraId="12B925CE"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Բացատրագիր</w:t>
            </w:r>
          </w:p>
        </w:tc>
        <w:tc>
          <w:tcPr>
            <w:tcW w:w="574" w:type="dxa"/>
            <w:shd w:val="clear" w:color="auto" w:fill="FFFFFF"/>
            <w:vAlign w:val="bottom"/>
          </w:tcPr>
          <w:p w14:paraId="63EBFEBD" w14:textId="77777777" w:rsidR="008C76E0" w:rsidRPr="00FA2E29" w:rsidRDefault="009211E1" w:rsidP="009211E1">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4BD4C7" w14:textId="77777777" w:rsidTr="008C76E0">
        <w:trPr>
          <w:trHeight w:val="553"/>
          <w:jc w:val="center"/>
        </w:trPr>
        <w:tc>
          <w:tcPr>
            <w:tcW w:w="688" w:type="dxa"/>
            <w:shd w:val="clear" w:color="auto" w:fill="FFFFFF"/>
          </w:tcPr>
          <w:p w14:paraId="4A7DFB5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 1.</w:t>
            </w:r>
          </w:p>
        </w:tc>
        <w:tc>
          <w:tcPr>
            <w:tcW w:w="8526" w:type="dxa"/>
            <w:shd w:val="clear" w:color="auto" w:fill="FFFFFF"/>
          </w:tcPr>
          <w:p w14:paraId="5E20AFC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Խնդիրների առաջադրում</w:t>
            </w:r>
          </w:p>
        </w:tc>
        <w:tc>
          <w:tcPr>
            <w:tcW w:w="574" w:type="dxa"/>
            <w:shd w:val="clear" w:color="auto" w:fill="FFFFFF"/>
          </w:tcPr>
          <w:p w14:paraId="2704E18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011B8608" w14:textId="77777777" w:rsidTr="008C76E0">
        <w:trPr>
          <w:trHeight w:val="567"/>
          <w:jc w:val="center"/>
        </w:trPr>
        <w:tc>
          <w:tcPr>
            <w:tcW w:w="688" w:type="dxa"/>
            <w:shd w:val="clear" w:color="auto" w:fill="FFFFFF"/>
          </w:tcPr>
          <w:p w14:paraId="552E91A3"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II.2.</w:t>
            </w:r>
          </w:p>
        </w:tc>
        <w:tc>
          <w:tcPr>
            <w:tcW w:w="8526" w:type="dxa"/>
            <w:shd w:val="clear" w:color="auto" w:fill="FFFFFF"/>
          </w:tcPr>
          <w:p w14:paraId="7695EEA8"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Պատրաստուկի մասին</w:t>
            </w:r>
          </w:p>
        </w:tc>
        <w:tc>
          <w:tcPr>
            <w:tcW w:w="574" w:type="dxa"/>
            <w:shd w:val="clear" w:color="auto" w:fill="FFFFFF"/>
          </w:tcPr>
          <w:p w14:paraId="70F1A388"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CF792E6" w14:textId="77777777" w:rsidTr="008C76E0">
        <w:trPr>
          <w:trHeight w:val="529"/>
          <w:jc w:val="center"/>
        </w:trPr>
        <w:tc>
          <w:tcPr>
            <w:tcW w:w="688" w:type="dxa"/>
            <w:shd w:val="clear" w:color="auto" w:fill="FFFFFF"/>
          </w:tcPr>
          <w:p w14:paraId="17F18A7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II.З.</w:t>
            </w:r>
          </w:p>
        </w:tc>
        <w:tc>
          <w:tcPr>
            <w:tcW w:w="8526" w:type="dxa"/>
            <w:shd w:val="clear" w:color="auto" w:fill="FFFFFF"/>
          </w:tcPr>
          <w:p w14:paraId="285AD659"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Ներկայացված դոսյեի վերաբերյալ ընդհանուր դիտողություններ</w:t>
            </w:r>
          </w:p>
        </w:tc>
        <w:tc>
          <w:tcPr>
            <w:tcW w:w="574" w:type="dxa"/>
            <w:shd w:val="clear" w:color="auto" w:fill="FFFFFF"/>
          </w:tcPr>
          <w:p w14:paraId="3FDDD9C1"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Style w:val="Bodytext295pt"/>
                <w:rFonts w:ascii="Sylfaen" w:hAnsi="Sylfaen"/>
                <w:sz w:val="24"/>
                <w:szCs w:val="24"/>
                <w:lang w:val="en-US"/>
              </w:rPr>
              <w:t>4</w:t>
            </w:r>
          </w:p>
        </w:tc>
      </w:tr>
      <w:tr w:rsidR="008C76E0" w:rsidRPr="003B2786" w14:paraId="34216F23" w14:textId="77777777" w:rsidTr="008C76E0">
        <w:trPr>
          <w:trHeight w:val="1836"/>
          <w:jc w:val="center"/>
        </w:trPr>
        <w:tc>
          <w:tcPr>
            <w:tcW w:w="688" w:type="dxa"/>
            <w:shd w:val="clear" w:color="auto" w:fill="FFFFFF"/>
          </w:tcPr>
          <w:p w14:paraId="00CB522F"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II.4.</w:t>
            </w:r>
          </w:p>
        </w:tc>
        <w:tc>
          <w:tcPr>
            <w:tcW w:w="8526" w:type="dxa"/>
            <w:shd w:val="clear" w:color="auto" w:fill="FFFFFF"/>
          </w:tcPr>
          <w:p w14:paraId="131C7346"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Style w:val="Bodytext295pt"/>
                <w:rFonts w:ascii="Sylfaen" w:hAnsi="Sylfaen"/>
                <w:sz w:val="24"/>
                <w:szCs w:val="24"/>
              </w:rPr>
              <w:t>և</w:t>
            </w:r>
            <w:r w:rsidRPr="00FA2E29">
              <w:rPr>
                <w:rStyle w:val="Bodytext295pt"/>
                <w:rFonts w:ascii="Sylfaen" w:hAnsi="Sylfaen"/>
                <w:sz w:val="24"/>
                <w:szCs w:val="24"/>
              </w:rPr>
              <w:t xml:space="preserve"> էթիկայի համաձայնեցված սկզբունքների պահպանման վերաբերյալ ընդհանուր դիտողություններ</w:t>
            </w:r>
          </w:p>
        </w:tc>
        <w:tc>
          <w:tcPr>
            <w:tcW w:w="574" w:type="dxa"/>
            <w:shd w:val="clear" w:color="auto" w:fill="FFFFFF"/>
          </w:tcPr>
          <w:p w14:paraId="457EFFA0" w14:textId="77777777" w:rsidR="008C76E0" w:rsidRPr="00FA2E29" w:rsidRDefault="009211E1"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5</w:t>
            </w:r>
          </w:p>
        </w:tc>
      </w:tr>
      <w:tr w:rsidR="008C76E0" w:rsidRPr="003B2786" w14:paraId="35E22463" w14:textId="77777777" w:rsidTr="008C76E0">
        <w:trPr>
          <w:trHeight w:val="567"/>
          <w:jc w:val="center"/>
        </w:trPr>
        <w:tc>
          <w:tcPr>
            <w:tcW w:w="688" w:type="dxa"/>
            <w:shd w:val="clear" w:color="auto" w:fill="FFFFFF"/>
          </w:tcPr>
          <w:p w14:paraId="01B150F5"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w:t>
            </w:r>
          </w:p>
        </w:tc>
        <w:tc>
          <w:tcPr>
            <w:tcW w:w="8526" w:type="dxa"/>
            <w:shd w:val="clear" w:color="auto" w:fill="FFFFFF"/>
          </w:tcPr>
          <w:p w14:paraId="0A7B862C"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 xml:space="preserve">Գիտական ակնարկ </w:t>
            </w:r>
            <w:r w:rsidR="00C54D75">
              <w:rPr>
                <w:rStyle w:val="Bodytext295pt"/>
                <w:rFonts w:ascii="Sylfaen" w:hAnsi="Sylfaen"/>
                <w:sz w:val="24"/>
                <w:szCs w:val="24"/>
              </w:rPr>
              <w:t>և</w:t>
            </w:r>
            <w:r w:rsidRPr="00FA2E29">
              <w:rPr>
                <w:rStyle w:val="Bodytext295pt"/>
                <w:rFonts w:ascii="Sylfaen" w:hAnsi="Sylfaen"/>
                <w:sz w:val="24"/>
                <w:szCs w:val="24"/>
              </w:rPr>
              <w:t xml:space="preserve"> քննարկում</w:t>
            </w:r>
          </w:p>
        </w:tc>
        <w:tc>
          <w:tcPr>
            <w:tcW w:w="574" w:type="dxa"/>
            <w:shd w:val="clear" w:color="auto" w:fill="FFFFFF"/>
            <w:vAlign w:val="bottom"/>
          </w:tcPr>
          <w:p w14:paraId="3FD6FE2F" w14:textId="77777777" w:rsidR="008C76E0" w:rsidRPr="00FA2E29" w:rsidRDefault="009211E1" w:rsidP="008C76E0">
            <w:pPr>
              <w:pStyle w:val="Bodytext180"/>
              <w:shd w:val="clear" w:color="auto" w:fill="auto"/>
              <w:spacing w:before="0" w:after="120" w:line="240" w:lineRule="auto"/>
              <w:ind w:right="-19" w:firstLine="0"/>
              <w:jc w:val="center"/>
              <w:rPr>
                <w:rFonts w:ascii="Sylfaen" w:hAnsi="Sylfaen"/>
                <w:b w:val="0"/>
                <w:sz w:val="24"/>
                <w:szCs w:val="24"/>
              </w:rPr>
            </w:pPr>
            <w:r w:rsidRPr="00FA2E29">
              <w:rPr>
                <w:rFonts w:ascii="Sylfaen" w:hAnsi="Sylfaen"/>
                <w:b w:val="0"/>
                <w:sz w:val="24"/>
                <w:szCs w:val="24"/>
              </w:rPr>
              <w:t>6</w:t>
            </w:r>
          </w:p>
        </w:tc>
      </w:tr>
      <w:tr w:rsidR="008C76E0" w:rsidRPr="003B2786" w14:paraId="4CC393A3" w14:textId="77777777" w:rsidTr="008C76E0">
        <w:trPr>
          <w:trHeight w:val="567"/>
          <w:jc w:val="center"/>
        </w:trPr>
        <w:tc>
          <w:tcPr>
            <w:tcW w:w="688" w:type="dxa"/>
            <w:shd w:val="clear" w:color="auto" w:fill="FFFFFF"/>
          </w:tcPr>
          <w:p w14:paraId="3F9AB3EB"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III.1.</w:t>
            </w:r>
          </w:p>
        </w:tc>
        <w:tc>
          <w:tcPr>
            <w:tcW w:w="8526" w:type="dxa"/>
            <w:shd w:val="clear" w:color="auto" w:fill="FFFFFF"/>
          </w:tcPr>
          <w:p w14:paraId="2CF522ED" w14:textId="77777777" w:rsidR="008C76E0" w:rsidRPr="00FA2E29"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FA2E29">
              <w:rPr>
                <w:rStyle w:val="Bodytext295pt"/>
                <w:rFonts w:ascii="Sylfaen" w:hAnsi="Sylfaen"/>
                <w:sz w:val="24"/>
                <w:szCs w:val="24"/>
              </w:rPr>
              <w:t>Որակի ասպեկտները</w:t>
            </w:r>
          </w:p>
        </w:tc>
        <w:tc>
          <w:tcPr>
            <w:tcW w:w="574" w:type="dxa"/>
            <w:shd w:val="clear" w:color="auto" w:fill="FFFFFF"/>
          </w:tcPr>
          <w:p w14:paraId="5349AECB"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7</w:t>
            </w:r>
          </w:p>
        </w:tc>
      </w:tr>
      <w:tr w:rsidR="008C76E0" w:rsidRPr="003B2786" w14:paraId="10139B9C" w14:textId="77777777" w:rsidTr="008C76E0">
        <w:trPr>
          <w:trHeight w:val="567"/>
          <w:jc w:val="center"/>
        </w:trPr>
        <w:tc>
          <w:tcPr>
            <w:tcW w:w="688" w:type="dxa"/>
            <w:shd w:val="clear" w:color="auto" w:fill="FFFFFF"/>
          </w:tcPr>
          <w:p w14:paraId="0603B1A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III.2.</w:t>
            </w:r>
          </w:p>
        </w:tc>
        <w:tc>
          <w:tcPr>
            <w:tcW w:w="8526" w:type="dxa"/>
            <w:shd w:val="clear" w:color="auto" w:fill="FFFFFF"/>
          </w:tcPr>
          <w:p w14:paraId="56C31A8D"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Նախակլինիկական ասպեկտները</w:t>
            </w:r>
          </w:p>
        </w:tc>
        <w:tc>
          <w:tcPr>
            <w:tcW w:w="574" w:type="dxa"/>
            <w:shd w:val="clear" w:color="auto" w:fill="FFFFFF"/>
            <w:vAlign w:val="bottom"/>
          </w:tcPr>
          <w:p w14:paraId="15DE669F"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52E432DD" w14:textId="77777777" w:rsidTr="008C76E0">
        <w:trPr>
          <w:trHeight w:val="553"/>
          <w:jc w:val="center"/>
        </w:trPr>
        <w:tc>
          <w:tcPr>
            <w:tcW w:w="688" w:type="dxa"/>
            <w:shd w:val="clear" w:color="auto" w:fill="FFFFFF"/>
          </w:tcPr>
          <w:p w14:paraId="5B456BD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Ш.З.</w:t>
            </w:r>
          </w:p>
        </w:tc>
        <w:tc>
          <w:tcPr>
            <w:tcW w:w="8526" w:type="dxa"/>
            <w:shd w:val="clear" w:color="auto" w:fill="FFFFFF"/>
          </w:tcPr>
          <w:p w14:paraId="1146EB7A"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Կլինիկական ասպեկտները</w:t>
            </w:r>
          </w:p>
        </w:tc>
        <w:tc>
          <w:tcPr>
            <w:tcW w:w="574" w:type="dxa"/>
            <w:shd w:val="clear" w:color="auto" w:fill="FFFFFF"/>
            <w:vAlign w:val="bottom"/>
          </w:tcPr>
          <w:p w14:paraId="68C46F06"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9</w:t>
            </w:r>
          </w:p>
        </w:tc>
      </w:tr>
      <w:tr w:rsidR="008C76E0" w:rsidRPr="003B2786" w14:paraId="6C54649A" w14:textId="77777777" w:rsidTr="008C76E0">
        <w:trPr>
          <w:trHeight w:val="567"/>
          <w:jc w:val="center"/>
        </w:trPr>
        <w:tc>
          <w:tcPr>
            <w:tcW w:w="688" w:type="dxa"/>
            <w:shd w:val="clear" w:color="auto" w:fill="FFFFFF"/>
          </w:tcPr>
          <w:p w14:paraId="1780218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IV.</w:t>
            </w:r>
          </w:p>
        </w:tc>
        <w:tc>
          <w:tcPr>
            <w:tcW w:w="8526" w:type="dxa"/>
            <w:shd w:val="clear" w:color="auto" w:fill="FFFFFF"/>
          </w:tcPr>
          <w:p w14:paraId="2992F85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Օգուտ </w:t>
            </w:r>
            <w:r w:rsidR="00C54D75">
              <w:rPr>
                <w:rStyle w:val="Bodytext295pt"/>
                <w:rFonts w:ascii="Sylfaen" w:hAnsi="Sylfaen"/>
                <w:sz w:val="24"/>
                <w:szCs w:val="24"/>
              </w:rPr>
              <w:t>և</w:t>
            </w:r>
            <w:r w:rsidRPr="00FA2E29">
              <w:rPr>
                <w:rStyle w:val="Bodytext295pt"/>
                <w:rFonts w:ascii="Sylfaen" w:hAnsi="Sylfaen"/>
                <w:sz w:val="24"/>
                <w:szCs w:val="24"/>
              </w:rPr>
              <w:t xml:space="preserve"> ռիսկ հարաբերակցության գնահատումը</w:t>
            </w:r>
          </w:p>
        </w:tc>
        <w:tc>
          <w:tcPr>
            <w:tcW w:w="574" w:type="dxa"/>
            <w:shd w:val="clear" w:color="auto" w:fill="FFFFFF"/>
            <w:vAlign w:val="bottom"/>
          </w:tcPr>
          <w:p w14:paraId="064DA8E1" w14:textId="77777777" w:rsidR="008C76E0" w:rsidRPr="00FA2E29" w:rsidRDefault="009211E1"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Fonts w:ascii="Sylfaen" w:hAnsi="Sylfaen"/>
                <w:b w:val="0"/>
                <w:sz w:val="24"/>
                <w:szCs w:val="24"/>
              </w:rPr>
              <w:t>11</w:t>
            </w:r>
          </w:p>
        </w:tc>
      </w:tr>
      <w:tr w:rsidR="008C76E0" w:rsidRPr="003B2786" w14:paraId="17C6BC69" w14:textId="77777777" w:rsidTr="008C76E0">
        <w:trPr>
          <w:trHeight w:val="985"/>
          <w:jc w:val="center"/>
        </w:trPr>
        <w:tc>
          <w:tcPr>
            <w:tcW w:w="688" w:type="dxa"/>
            <w:shd w:val="clear" w:color="auto" w:fill="FFFFFF"/>
          </w:tcPr>
          <w:p w14:paraId="7CA44FD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w:t>
            </w:r>
          </w:p>
        </w:tc>
        <w:tc>
          <w:tcPr>
            <w:tcW w:w="8526" w:type="dxa"/>
            <w:shd w:val="clear" w:color="auto" w:fill="FFFFFF"/>
          </w:tcPr>
          <w:p w14:paraId="4698F57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Գրանցման հավաստագրի տրամադրման առաջարկվող պայմանները </w:t>
            </w:r>
            <w:r w:rsidR="00C54D75">
              <w:rPr>
                <w:rStyle w:val="Bodytext295pt"/>
                <w:rFonts w:ascii="Sylfaen" w:hAnsi="Sylfaen"/>
                <w:sz w:val="24"/>
                <w:szCs w:val="24"/>
              </w:rPr>
              <w:t>և</w:t>
            </w:r>
            <w:r w:rsidRPr="00FA2E29">
              <w:rPr>
                <w:rStyle w:val="Bodytext295pt"/>
                <w:rFonts w:ascii="Sylfaen" w:hAnsi="Sylfaen"/>
                <w:sz w:val="24"/>
                <w:szCs w:val="24"/>
              </w:rPr>
              <w:t xml:space="preserve"> պատրաստուկի վերաբերյալ տեղեկատվությունը</w:t>
            </w:r>
          </w:p>
        </w:tc>
        <w:tc>
          <w:tcPr>
            <w:tcW w:w="574" w:type="dxa"/>
            <w:shd w:val="clear" w:color="auto" w:fill="FFFFFF"/>
            <w:vAlign w:val="center"/>
          </w:tcPr>
          <w:p w14:paraId="750D3C1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42CD3AE7" w14:textId="77777777" w:rsidTr="008C76E0">
        <w:trPr>
          <w:trHeight w:val="567"/>
          <w:jc w:val="center"/>
        </w:trPr>
        <w:tc>
          <w:tcPr>
            <w:tcW w:w="688" w:type="dxa"/>
            <w:shd w:val="clear" w:color="auto" w:fill="FFFFFF"/>
          </w:tcPr>
          <w:p w14:paraId="3E36C669"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V.1.</w:t>
            </w:r>
          </w:p>
        </w:tc>
        <w:tc>
          <w:tcPr>
            <w:tcW w:w="8526" w:type="dxa"/>
            <w:shd w:val="clear" w:color="auto" w:fill="FFFFFF"/>
          </w:tcPr>
          <w:p w14:paraId="566681CF"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Գրանցման հավաստագրի տրամադրման պայմանները</w:t>
            </w:r>
          </w:p>
        </w:tc>
        <w:tc>
          <w:tcPr>
            <w:tcW w:w="574" w:type="dxa"/>
            <w:shd w:val="clear" w:color="auto" w:fill="FFFFFF"/>
            <w:vAlign w:val="bottom"/>
          </w:tcPr>
          <w:p w14:paraId="358ECFF8"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13</w:t>
            </w:r>
          </w:p>
        </w:tc>
      </w:tr>
      <w:tr w:rsidR="008C76E0" w:rsidRPr="003B2786" w14:paraId="57A4E760" w14:textId="77777777" w:rsidTr="008C76E0">
        <w:trPr>
          <w:trHeight w:val="567"/>
          <w:jc w:val="center"/>
        </w:trPr>
        <w:tc>
          <w:tcPr>
            <w:tcW w:w="688" w:type="dxa"/>
            <w:shd w:val="clear" w:color="auto" w:fill="FFFFFF"/>
          </w:tcPr>
          <w:p w14:paraId="565999A4"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V.2.</w:t>
            </w:r>
          </w:p>
        </w:tc>
        <w:tc>
          <w:tcPr>
            <w:tcW w:w="8526" w:type="dxa"/>
            <w:shd w:val="clear" w:color="auto" w:fill="FFFFFF"/>
          </w:tcPr>
          <w:p w14:paraId="46680DBB"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Դեղապատրաստուկի ընդհանուր բնութագիրը</w:t>
            </w:r>
          </w:p>
        </w:tc>
        <w:tc>
          <w:tcPr>
            <w:tcW w:w="574" w:type="dxa"/>
            <w:shd w:val="clear" w:color="auto" w:fill="FFFFFF"/>
            <w:vAlign w:val="bottom"/>
          </w:tcPr>
          <w:p w14:paraId="20E3A104"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2CCC4BC3" w14:textId="77777777" w:rsidTr="008C76E0">
        <w:trPr>
          <w:trHeight w:val="567"/>
          <w:jc w:val="center"/>
        </w:trPr>
        <w:tc>
          <w:tcPr>
            <w:tcW w:w="688" w:type="dxa"/>
            <w:shd w:val="clear" w:color="auto" w:fill="FFFFFF"/>
          </w:tcPr>
          <w:p w14:paraId="6C4D2E4E"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V.3.</w:t>
            </w:r>
          </w:p>
        </w:tc>
        <w:tc>
          <w:tcPr>
            <w:tcW w:w="8526" w:type="dxa"/>
            <w:shd w:val="clear" w:color="auto" w:fill="FFFFFF"/>
          </w:tcPr>
          <w:p w14:paraId="67F65DC5"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 xml:space="preserve">Ներդիր թերթիկը </w:t>
            </w:r>
            <w:r w:rsidR="00C54D75">
              <w:rPr>
                <w:rStyle w:val="Bodytext295pt"/>
                <w:rFonts w:ascii="Sylfaen" w:hAnsi="Sylfaen"/>
                <w:sz w:val="24"/>
                <w:szCs w:val="24"/>
              </w:rPr>
              <w:t>և</w:t>
            </w:r>
            <w:r w:rsidRPr="00FA2E29">
              <w:rPr>
                <w:rStyle w:val="Bodytext295pt"/>
                <w:rFonts w:ascii="Sylfaen" w:hAnsi="Sylfaen"/>
                <w:sz w:val="24"/>
                <w:szCs w:val="24"/>
              </w:rPr>
              <w:t xml:space="preserve"> օգտատերերի թեստավորումը</w:t>
            </w:r>
          </w:p>
        </w:tc>
        <w:tc>
          <w:tcPr>
            <w:tcW w:w="574" w:type="dxa"/>
            <w:shd w:val="clear" w:color="auto" w:fill="FFFFFF"/>
            <w:vAlign w:val="bottom"/>
          </w:tcPr>
          <w:p w14:paraId="71783D15"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8C76E0" w:rsidRPr="003B2786" w14:paraId="1ACE7FDF" w14:textId="77777777" w:rsidTr="008C76E0">
        <w:trPr>
          <w:trHeight w:val="567"/>
          <w:jc w:val="center"/>
        </w:trPr>
        <w:tc>
          <w:tcPr>
            <w:tcW w:w="688" w:type="dxa"/>
            <w:shd w:val="clear" w:color="auto" w:fill="FFFFFF"/>
          </w:tcPr>
          <w:p w14:paraId="34833881"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V.4.</w:t>
            </w:r>
          </w:p>
        </w:tc>
        <w:tc>
          <w:tcPr>
            <w:tcW w:w="8526" w:type="dxa"/>
            <w:shd w:val="clear" w:color="auto" w:fill="FFFFFF"/>
          </w:tcPr>
          <w:p w14:paraId="291B7D57" w14:textId="77777777" w:rsidR="008C76E0" w:rsidRPr="00FA2E29" w:rsidRDefault="008C76E0"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Մակնշումը</w:t>
            </w:r>
          </w:p>
        </w:tc>
        <w:tc>
          <w:tcPr>
            <w:tcW w:w="574" w:type="dxa"/>
            <w:shd w:val="clear" w:color="auto" w:fill="FFFFFF"/>
            <w:vAlign w:val="bottom"/>
          </w:tcPr>
          <w:p w14:paraId="1EA4293B" w14:textId="77777777" w:rsidR="008C76E0" w:rsidRPr="00FA2E29" w:rsidRDefault="008C76E0" w:rsidP="008C76E0">
            <w:pPr>
              <w:pStyle w:val="Bodytext180"/>
              <w:shd w:val="clear" w:color="auto" w:fill="auto"/>
              <w:spacing w:before="0" w:after="120" w:line="240" w:lineRule="auto"/>
              <w:ind w:right="-19" w:firstLine="0"/>
              <w:jc w:val="center"/>
              <w:outlineLvl w:val="0"/>
              <w:rPr>
                <w:rFonts w:ascii="Sylfaen" w:hAnsi="Sylfaen"/>
                <w:b w:val="0"/>
                <w:sz w:val="24"/>
                <w:szCs w:val="24"/>
              </w:rPr>
            </w:pPr>
            <w:r w:rsidRPr="00FA2E29">
              <w:rPr>
                <w:rStyle w:val="Bodytext295pt"/>
                <w:rFonts w:ascii="Sylfaen" w:hAnsi="Sylfaen"/>
                <w:sz w:val="24"/>
                <w:szCs w:val="24"/>
                <w:lang w:val="en-US"/>
              </w:rPr>
              <w:t>14</w:t>
            </w:r>
          </w:p>
        </w:tc>
      </w:tr>
      <w:tr w:rsidR="00FA2E29" w:rsidRPr="003B2786" w14:paraId="5F5D5C42" w14:textId="77777777" w:rsidTr="008C76E0">
        <w:trPr>
          <w:trHeight w:val="1403"/>
          <w:jc w:val="center"/>
        </w:trPr>
        <w:tc>
          <w:tcPr>
            <w:tcW w:w="688" w:type="dxa"/>
            <w:shd w:val="clear" w:color="auto" w:fill="FFFFFF"/>
          </w:tcPr>
          <w:p w14:paraId="7F0C53C4" w14:textId="77777777" w:rsidR="00FA2E29" w:rsidRPr="00FA2E29" w:rsidRDefault="00FA2E29" w:rsidP="008C76E0">
            <w:pPr>
              <w:pStyle w:val="Bodytext180"/>
              <w:shd w:val="clear" w:color="auto" w:fill="auto"/>
              <w:spacing w:before="0" w:after="120" w:line="240" w:lineRule="auto"/>
              <w:ind w:firstLine="0"/>
              <w:jc w:val="both"/>
              <w:outlineLvl w:val="0"/>
              <w:rPr>
                <w:rFonts w:ascii="Sylfaen" w:hAnsi="Sylfaen"/>
                <w:b w:val="0"/>
                <w:sz w:val="24"/>
                <w:szCs w:val="24"/>
              </w:rPr>
            </w:pPr>
            <w:r w:rsidRPr="00FA2E29">
              <w:rPr>
                <w:rStyle w:val="Bodytext295pt"/>
                <w:rFonts w:ascii="Sylfaen" w:hAnsi="Sylfaen"/>
                <w:sz w:val="24"/>
                <w:szCs w:val="24"/>
              </w:rPr>
              <w:t>VI.</w:t>
            </w:r>
          </w:p>
        </w:tc>
        <w:tc>
          <w:tcPr>
            <w:tcW w:w="8526" w:type="dxa"/>
            <w:vMerge w:val="restart"/>
            <w:shd w:val="clear" w:color="auto" w:fill="FFFFFF"/>
          </w:tcPr>
          <w:p w14:paraId="16F68A88" w14:textId="77777777" w:rsidR="00FA2E29" w:rsidRPr="00FA2E29" w:rsidRDefault="00FA2E29" w:rsidP="00FA2E29">
            <w:pPr>
              <w:pStyle w:val="Bodytext180"/>
              <w:shd w:val="clear" w:color="auto" w:fill="auto"/>
              <w:spacing w:before="0" w:after="120" w:line="240" w:lineRule="auto"/>
              <w:ind w:firstLine="0"/>
              <w:jc w:val="both"/>
              <w:outlineLvl w:val="0"/>
              <w:rPr>
                <w:rFonts w:ascii="Sylfaen" w:hAnsi="Sylfaen"/>
                <w:b w:val="0"/>
                <w:sz w:val="24"/>
                <w:szCs w:val="24"/>
                <w:lang w:val="hy-AM"/>
              </w:rPr>
            </w:pPr>
            <w:r w:rsidRPr="00FA2E29">
              <w:rPr>
                <w:rStyle w:val="Bodytext295pt"/>
                <w:rFonts w:ascii="Sylfaen" w:hAnsi="Sylfaen"/>
                <w:sz w:val="24"/>
                <w:szCs w:val="24"/>
              </w:rPr>
              <w:t xml:space="preserve">Հավելված. Օգտատերերի թեստավորման արդյունքների վերլուծության համար նախատեսված փաստաթղթերի </w:t>
            </w:r>
            <w:r w:rsidR="00C54D75">
              <w:rPr>
                <w:rStyle w:val="Bodytext295pt"/>
                <w:rFonts w:ascii="Sylfaen" w:hAnsi="Sylfaen"/>
                <w:sz w:val="24"/>
                <w:szCs w:val="24"/>
              </w:rPr>
              <w:t>և</w:t>
            </w:r>
            <w:r w:rsidRPr="00FA2E29">
              <w:rPr>
                <w:rStyle w:val="Bodytext295pt"/>
                <w:rFonts w:ascii="Sylfaen" w:hAnsi="Sylfaen"/>
                <w:sz w:val="24"/>
                <w:szCs w:val="24"/>
              </w:rPr>
              <w:t xml:space="preserve"> ստուգաթերթերի որակի ստուգման վերաբերյալ ուղեցույցը: Գրանցման հավաստագրի տրամադրման պայմանները</w:t>
            </w:r>
          </w:p>
        </w:tc>
        <w:tc>
          <w:tcPr>
            <w:tcW w:w="574" w:type="dxa"/>
            <w:vMerge w:val="restart"/>
            <w:shd w:val="clear" w:color="auto" w:fill="FFFFFF"/>
          </w:tcPr>
          <w:p w14:paraId="0B2D2E7E" w14:textId="77777777" w:rsidR="00FA2E29" w:rsidRPr="00FA2E29" w:rsidRDefault="00FA2E29" w:rsidP="008C76E0">
            <w:pPr>
              <w:spacing w:after="120" w:line="240" w:lineRule="auto"/>
              <w:ind w:right="-19"/>
              <w:jc w:val="center"/>
              <w:rPr>
                <w:rFonts w:ascii="Sylfaen" w:hAnsi="Sylfaen"/>
                <w:sz w:val="24"/>
                <w:szCs w:val="24"/>
                <w:lang w:val="en-US"/>
              </w:rPr>
            </w:pPr>
            <w:r w:rsidRPr="00FA2E29">
              <w:rPr>
                <w:rFonts w:ascii="Sylfaen" w:hAnsi="Sylfaen"/>
                <w:sz w:val="24"/>
                <w:szCs w:val="24"/>
                <w:lang w:val="en-US"/>
              </w:rPr>
              <w:t>14</w:t>
            </w:r>
          </w:p>
        </w:tc>
      </w:tr>
      <w:tr w:rsidR="00FA2E29" w:rsidRPr="003B2786" w14:paraId="6D6476B5" w14:textId="77777777" w:rsidTr="008C76E0">
        <w:trPr>
          <w:trHeight w:val="567"/>
          <w:jc w:val="center"/>
        </w:trPr>
        <w:tc>
          <w:tcPr>
            <w:tcW w:w="688" w:type="dxa"/>
            <w:shd w:val="clear" w:color="auto" w:fill="FFFFFF"/>
          </w:tcPr>
          <w:p w14:paraId="1BA92A91" w14:textId="77777777" w:rsidR="00FA2E29" w:rsidRPr="003B2786" w:rsidRDefault="00FA2E29" w:rsidP="008C76E0">
            <w:pPr>
              <w:spacing w:after="120" w:line="240" w:lineRule="auto"/>
              <w:jc w:val="both"/>
              <w:rPr>
                <w:rFonts w:ascii="Sylfaen" w:hAnsi="Sylfaen"/>
                <w:sz w:val="24"/>
                <w:szCs w:val="24"/>
                <w:highlight w:val="yellow"/>
              </w:rPr>
            </w:pPr>
          </w:p>
        </w:tc>
        <w:tc>
          <w:tcPr>
            <w:tcW w:w="8526" w:type="dxa"/>
            <w:vMerge/>
            <w:shd w:val="clear" w:color="auto" w:fill="FFFFFF"/>
          </w:tcPr>
          <w:p w14:paraId="43D2C74E" w14:textId="77777777" w:rsidR="00FA2E29" w:rsidRPr="003B2786" w:rsidRDefault="00FA2E29" w:rsidP="008C76E0">
            <w:pPr>
              <w:pStyle w:val="Bodytext180"/>
              <w:shd w:val="clear" w:color="auto" w:fill="auto"/>
              <w:spacing w:before="0" w:after="120" w:line="240" w:lineRule="auto"/>
              <w:ind w:firstLine="0"/>
              <w:jc w:val="both"/>
              <w:rPr>
                <w:rFonts w:ascii="Sylfaen" w:hAnsi="Sylfaen"/>
                <w:b w:val="0"/>
                <w:sz w:val="24"/>
                <w:szCs w:val="24"/>
                <w:highlight w:val="yellow"/>
              </w:rPr>
            </w:pPr>
          </w:p>
        </w:tc>
        <w:tc>
          <w:tcPr>
            <w:tcW w:w="574" w:type="dxa"/>
            <w:vMerge/>
            <w:shd w:val="clear" w:color="auto" w:fill="FFFFFF"/>
            <w:vAlign w:val="bottom"/>
          </w:tcPr>
          <w:p w14:paraId="0834D1E2" w14:textId="77777777" w:rsidR="00FA2E29" w:rsidRPr="003B2786" w:rsidRDefault="00FA2E29" w:rsidP="008C76E0">
            <w:pPr>
              <w:pStyle w:val="Bodytext180"/>
              <w:shd w:val="clear" w:color="auto" w:fill="auto"/>
              <w:spacing w:before="0" w:after="120" w:line="240" w:lineRule="auto"/>
              <w:ind w:right="-19" w:firstLine="0"/>
              <w:jc w:val="center"/>
              <w:rPr>
                <w:rFonts w:ascii="Sylfaen" w:hAnsi="Sylfaen"/>
                <w:b w:val="0"/>
                <w:sz w:val="24"/>
                <w:szCs w:val="24"/>
              </w:rPr>
            </w:pPr>
          </w:p>
        </w:tc>
      </w:tr>
    </w:tbl>
    <w:p w14:paraId="422AF304" w14:textId="77777777" w:rsidR="008C76E0" w:rsidRPr="003B2786" w:rsidRDefault="008C76E0" w:rsidP="008C76E0">
      <w:pPr>
        <w:ind w:right="-1"/>
        <w:jc w:val="both"/>
        <w:rPr>
          <w:rFonts w:ascii="Sylfaen" w:hAnsi="Sylfaen"/>
          <w:sz w:val="24"/>
          <w:szCs w:val="24"/>
        </w:rPr>
      </w:pPr>
    </w:p>
    <w:tbl>
      <w:tblPr>
        <w:tblOverlap w:val="never"/>
        <w:tblW w:w="10120" w:type="dxa"/>
        <w:jc w:val="center"/>
        <w:tblLayout w:type="fixed"/>
        <w:tblCellMar>
          <w:left w:w="10" w:type="dxa"/>
          <w:right w:w="10" w:type="dxa"/>
        </w:tblCellMar>
        <w:tblLook w:val="04A0" w:firstRow="1" w:lastRow="0" w:firstColumn="1" w:lastColumn="0" w:noHBand="0" w:noVBand="1"/>
      </w:tblPr>
      <w:tblGrid>
        <w:gridCol w:w="5927"/>
        <w:gridCol w:w="4193"/>
      </w:tblGrid>
      <w:tr w:rsidR="008C76E0" w:rsidRPr="003B2786" w14:paraId="65B94F12" w14:textId="77777777" w:rsidTr="009211E1">
        <w:trPr>
          <w:trHeight w:val="763"/>
          <w:jc w:val="center"/>
        </w:trPr>
        <w:tc>
          <w:tcPr>
            <w:tcW w:w="10120" w:type="dxa"/>
            <w:gridSpan w:val="2"/>
            <w:shd w:val="clear" w:color="auto" w:fill="FFFFFF"/>
            <w:vAlign w:val="center"/>
          </w:tcPr>
          <w:p w14:paraId="04B9C4A3"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ՏԻՏՂՈՍԱԹԵՐԹ</w:t>
            </w:r>
          </w:p>
        </w:tc>
      </w:tr>
      <w:tr w:rsidR="008C76E0" w:rsidRPr="003B2786" w14:paraId="3F7DABDA" w14:textId="77777777" w:rsidTr="009211E1">
        <w:trPr>
          <w:jc w:val="center"/>
        </w:trPr>
        <w:tc>
          <w:tcPr>
            <w:tcW w:w="5927" w:type="dxa"/>
            <w:tcBorders>
              <w:top w:val="single" w:sz="4" w:space="0" w:color="auto"/>
              <w:left w:val="single" w:sz="4" w:space="0" w:color="auto"/>
            </w:tcBorders>
            <w:shd w:val="clear" w:color="auto" w:fill="FFFFFF"/>
          </w:tcPr>
          <w:p w14:paraId="111B45AD" w14:textId="77777777" w:rsidR="008C76E0" w:rsidRPr="003B2786" w:rsidRDefault="008C76E0" w:rsidP="008C76E0">
            <w:pPr>
              <w:pStyle w:val="Bodytext180"/>
              <w:shd w:val="clear" w:color="auto" w:fill="auto"/>
              <w:spacing w:before="0" w:line="240" w:lineRule="auto"/>
              <w:ind w:left="104" w:firstLine="0"/>
              <w:rPr>
                <w:rFonts w:ascii="Sylfaen" w:hAnsi="Sylfaen"/>
                <w:b w:val="0"/>
                <w:sz w:val="24"/>
                <w:szCs w:val="24"/>
              </w:rPr>
            </w:pPr>
            <w:r w:rsidRPr="003B2786">
              <w:rPr>
                <w:rStyle w:val="Bodytext1811pt"/>
                <w:rFonts w:ascii="Sylfaen" w:hAnsi="Sylfaen"/>
                <w:sz w:val="24"/>
                <w:szCs w:val="24"/>
              </w:rPr>
              <w:t>Առ</w:t>
            </w:r>
            <w:r w:rsidR="00C54D75">
              <w:rPr>
                <w:rStyle w:val="Bodytext1811pt"/>
                <w:rFonts w:ascii="Sylfaen" w:hAnsi="Sylfaen"/>
                <w:sz w:val="24"/>
                <w:szCs w:val="24"/>
              </w:rPr>
              <w:t>և</w:t>
            </w:r>
            <w:r w:rsidRPr="003B2786">
              <w:rPr>
                <w:rStyle w:val="Bodytext1811pt"/>
                <w:rFonts w:ascii="Sylfaen" w:hAnsi="Sylfaen"/>
                <w:sz w:val="24"/>
                <w:szCs w:val="24"/>
              </w:rPr>
              <w:t>տրային անվանումը ռեֆերենտ պետությունում</w:t>
            </w:r>
          </w:p>
        </w:tc>
        <w:tc>
          <w:tcPr>
            <w:tcW w:w="4193" w:type="dxa"/>
            <w:tcBorders>
              <w:top w:val="single" w:sz="4" w:space="0" w:color="auto"/>
              <w:left w:val="single" w:sz="4" w:space="0" w:color="auto"/>
              <w:right w:val="single" w:sz="4" w:space="0" w:color="auto"/>
            </w:tcBorders>
            <w:shd w:val="clear" w:color="auto" w:fill="FFFFFF"/>
          </w:tcPr>
          <w:p w14:paraId="5E4CB30C" w14:textId="77777777" w:rsidR="008C76E0" w:rsidRPr="003B2786" w:rsidRDefault="008C76E0" w:rsidP="008C76E0">
            <w:pPr>
              <w:spacing w:after="120" w:line="240" w:lineRule="auto"/>
              <w:rPr>
                <w:rFonts w:ascii="Sylfaen" w:hAnsi="Sylfaen"/>
                <w:sz w:val="24"/>
                <w:szCs w:val="24"/>
              </w:rPr>
            </w:pPr>
          </w:p>
        </w:tc>
      </w:tr>
      <w:tr w:rsidR="008C76E0" w:rsidRPr="003B2786" w14:paraId="2C9CD1F3" w14:textId="77777777" w:rsidTr="009211E1">
        <w:trPr>
          <w:jc w:val="center"/>
        </w:trPr>
        <w:tc>
          <w:tcPr>
            <w:tcW w:w="5927" w:type="dxa"/>
            <w:tcBorders>
              <w:top w:val="single" w:sz="4" w:space="0" w:color="auto"/>
              <w:left w:val="single" w:sz="4" w:space="0" w:color="auto"/>
            </w:tcBorders>
            <w:shd w:val="clear" w:color="auto" w:fill="FFFFFF"/>
          </w:tcPr>
          <w:p w14:paraId="53369187"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Ակտիվ նյութի ՄՉԱ (կամ համընդհանուր անվանումը)</w:t>
            </w:r>
          </w:p>
        </w:tc>
        <w:tc>
          <w:tcPr>
            <w:tcW w:w="4193" w:type="dxa"/>
            <w:tcBorders>
              <w:top w:val="single" w:sz="4" w:space="0" w:color="auto"/>
              <w:left w:val="single" w:sz="4" w:space="0" w:color="auto"/>
              <w:right w:val="single" w:sz="4" w:space="0" w:color="auto"/>
            </w:tcBorders>
            <w:shd w:val="clear" w:color="auto" w:fill="FFFFFF"/>
          </w:tcPr>
          <w:p w14:paraId="6F79BEE2" w14:textId="77777777" w:rsidR="008C76E0" w:rsidRPr="003B2786" w:rsidRDefault="008C76E0" w:rsidP="008C76E0">
            <w:pPr>
              <w:spacing w:after="120" w:line="240" w:lineRule="auto"/>
              <w:rPr>
                <w:rFonts w:ascii="Sylfaen" w:hAnsi="Sylfaen"/>
                <w:sz w:val="24"/>
                <w:szCs w:val="24"/>
              </w:rPr>
            </w:pPr>
          </w:p>
        </w:tc>
      </w:tr>
      <w:tr w:rsidR="008C76E0" w:rsidRPr="003B2786" w14:paraId="5068B33A" w14:textId="77777777" w:rsidTr="009211E1">
        <w:trPr>
          <w:jc w:val="center"/>
        </w:trPr>
        <w:tc>
          <w:tcPr>
            <w:tcW w:w="5927" w:type="dxa"/>
            <w:tcBorders>
              <w:top w:val="single" w:sz="4" w:space="0" w:color="auto"/>
              <w:left w:val="single" w:sz="4" w:space="0" w:color="auto"/>
            </w:tcBorders>
            <w:shd w:val="clear" w:color="auto" w:fill="FFFFFF"/>
          </w:tcPr>
          <w:p w14:paraId="172F15D8"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Դեղաթերապ</w:t>
            </w:r>
            <w:r w:rsidR="00C54D75">
              <w:rPr>
                <w:rStyle w:val="Bodytext1811pt"/>
                <w:rFonts w:ascii="Sylfaen" w:hAnsi="Sylfaen"/>
                <w:sz w:val="24"/>
                <w:szCs w:val="24"/>
              </w:rPr>
              <w:t>և</w:t>
            </w:r>
            <w:r w:rsidRPr="003B2786">
              <w:rPr>
                <w:rStyle w:val="Bodytext1811pt"/>
                <w:rFonts w:ascii="Sylfaen" w:hAnsi="Sylfaen"/>
                <w:sz w:val="24"/>
                <w:szCs w:val="24"/>
              </w:rPr>
              <w:t>տիկ խումբը (ԱԲՔ (ATХ) ծածկագիրը)</w:t>
            </w:r>
          </w:p>
        </w:tc>
        <w:tc>
          <w:tcPr>
            <w:tcW w:w="4193" w:type="dxa"/>
            <w:tcBorders>
              <w:top w:val="single" w:sz="4" w:space="0" w:color="auto"/>
              <w:left w:val="single" w:sz="4" w:space="0" w:color="auto"/>
              <w:right w:val="single" w:sz="4" w:space="0" w:color="auto"/>
            </w:tcBorders>
            <w:shd w:val="clear" w:color="auto" w:fill="FFFFFF"/>
          </w:tcPr>
          <w:p w14:paraId="0465CCA6" w14:textId="77777777" w:rsidR="008C76E0" w:rsidRPr="003B2786" w:rsidRDefault="008C76E0" w:rsidP="008C76E0">
            <w:pPr>
              <w:spacing w:after="120" w:line="240" w:lineRule="auto"/>
              <w:rPr>
                <w:rFonts w:ascii="Sylfaen" w:hAnsi="Sylfaen"/>
                <w:sz w:val="24"/>
                <w:szCs w:val="24"/>
              </w:rPr>
            </w:pPr>
          </w:p>
        </w:tc>
      </w:tr>
      <w:tr w:rsidR="008C76E0" w:rsidRPr="003B2786" w14:paraId="0B1B53D6" w14:textId="77777777" w:rsidTr="009211E1">
        <w:trPr>
          <w:jc w:val="center"/>
        </w:trPr>
        <w:tc>
          <w:tcPr>
            <w:tcW w:w="5927" w:type="dxa"/>
            <w:tcBorders>
              <w:top w:val="single" w:sz="4" w:space="0" w:color="auto"/>
              <w:left w:val="single" w:sz="4" w:space="0" w:color="auto"/>
            </w:tcBorders>
            <w:shd w:val="clear" w:color="auto" w:fill="FFFFFF"/>
          </w:tcPr>
          <w:p w14:paraId="5BB09761"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w:t>
            </w:r>
            <w:r w:rsidR="00C54D75">
              <w:rPr>
                <w:rStyle w:val="Bodytext1811pt"/>
                <w:rFonts w:ascii="Sylfaen" w:hAnsi="Sylfaen"/>
                <w:sz w:val="24"/>
                <w:szCs w:val="24"/>
              </w:rPr>
              <w:t>և</w:t>
            </w:r>
            <w:r w:rsidRPr="003B2786">
              <w:rPr>
                <w:rStyle w:val="Bodytext1811pt"/>
                <w:rFonts w:ascii="Sylfaen" w:hAnsi="Sylfaen"/>
                <w:sz w:val="24"/>
                <w:szCs w:val="24"/>
              </w:rPr>
              <w:t xml:space="preserve"> դոզան (դոզաները)</w:t>
            </w:r>
          </w:p>
        </w:tc>
        <w:tc>
          <w:tcPr>
            <w:tcW w:w="4193" w:type="dxa"/>
            <w:tcBorders>
              <w:top w:val="single" w:sz="4" w:space="0" w:color="auto"/>
              <w:left w:val="single" w:sz="4" w:space="0" w:color="auto"/>
              <w:right w:val="single" w:sz="4" w:space="0" w:color="auto"/>
            </w:tcBorders>
            <w:shd w:val="clear" w:color="auto" w:fill="FFFFFF"/>
          </w:tcPr>
          <w:p w14:paraId="20AC3FE1" w14:textId="77777777" w:rsidR="008C76E0" w:rsidRPr="003B2786" w:rsidRDefault="008C76E0" w:rsidP="008C76E0">
            <w:pPr>
              <w:spacing w:after="120" w:line="240" w:lineRule="auto"/>
              <w:rPr>
                <w:rFonts w:ascii="Sylfaen" w:hAnsi="Sylfaen"/>
                <w:sz w:val="24"/>
                <w:szCs w:val="24"/>
              </w:rPr>
            </w:pPr>
          </w:p>
        </w:tc>
      </w:tr>
      <w:tr w:rsidR="008C76E0" w:rsidRPr="003B2786" w14:paraId="658139E1" w14:textId="77777777" w:rsidTr="009211E1">
        <w:trPr>
          <w:jc w:val="center"/>
        </w:trPr>
        <w:tc>
          <w:tcPr>
            <w:tcW w:w="5927" w:type="dxa"/>
            <w:tcBorders>
              <w:top w:val="single" w:sz="4" w:space="0" w:color="auto"/>
              <w:left w:val="single" w:sz="4" w:space="0" w:color="auto"/>
            </w:tcBorders>
            <w:shd w:val="clear" w:color="auto" w:fill="FFFFFF"/>
          </w:tcPr>
          <w:p w14:paraId="326BFBF4"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Գրանցման համարը</w:t>
            </w:r>
          </w:p>
        </w:tc>
        <w:tc>
          <w:tcPr>
            <w:tcW w:w="4193" w:type="dxa"/>
            <w:tcBorders>
              <w:top w:val="single" w:sz="4" w:space="0" w:color="auto"/>
              <w:left w:val="single" w:sz="4" w:space="0" w:color="auto"/>
              <w:right w:val="single" w:sz="4" w:space="0" w:color="auto"/>
            </w:tcBorders>
            <w:shd w:val="clear" w:color="auto" w:fill="FFFFFF"/>
          </w:tcPr>
          <w:p w14:paraId="73AD96DB" w14:textId="77777777" w:rsidR="008C76E0" w:rsidRPr="003B2786" w:rsidRDefault="008C76E0" w:rsidP="008C76E0">
            <w:pPr>
              <w:spacing w:after="120" w:line="240" w:lineRule="auto"/>
              <w:rPr>
                <w:rFonts w:ascii="Sylfaen" w:hAnsi="Sylfaen"/>
                <w:sz w:val="24"/>
                <w:szCs w:val="24"/>
              </w:rPr>
            </w:pPr>
          </w:p>
        </w:tc>
      </w:tr>
      <w:tr w:rsidR="008C76E0" w:rsidRPr="003B2786" w14:paraId="64F81117" w14:textId="77777777" w:rsidTr="009211E1">
        <w:trPr>
          <w:jc w:val="center"/>
        </w:trPr>
        <w:tc>
          <w:tcPr>
            <w:tcW w:w="5927" w:type="dxa"/>
            <w:tcBorders>
              <w:top w:val="single" w:sz="4" w:space="0" w:color="auto"/>
              <w:left w:val="single" w:sz="4" w:space="0" w:color="auto"/>
            </w:tcBorders>
            <w:shd w:val="clear" w:color="auto" w:fill="FFFFFF"/>
          </w:tcPr>
          <w:p w14:paraId="2996635A"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Ռեֆերենտ պետությունը</w:t>
            </w:r>
          </w:p>
        </w:tc>
        <w:tc>
          <w:tcPr>
            <w:tcW w:w="4193" w:type="dxa"/>
            <w:tcBorders>
              <w:top w:val="single" w:sz="4" w:space="0" w:color="auto"/>
              <w:left w:val="single" w:sz="4" w:space="0" w:color="auto"/>
              <w:right w:val="single" w:sz="4" w:space="0" w:color="auto"/>
            </w:tcBorders>
            <w:shd w:val="clear" w:color="auto" w:fill="FFFFFF"/>
          </w:tcPr>
          <w:p w14:paraId="096E3BC8" w14:textId="77777777" w:rsidR="008C76E0" w:rsidRPr="003B2786" w:rsidRDefault="008C76E0" w:rsidP="008C76E0">
            <w:pPr>
              <w:spacing w:after="120" w:line="240" w:lineRule="auto"/>
              <w:rPr>
                <w:rFonts w:ascii="Sylfaen" w:hAnsi="Sylfaen"/>
                <w:sz w:val="24"/>
                <w:szCs w:val="24"/>
              </w:rPr>
            </w:pPr>
          </w:p>
        </w:tc>
      </w:tr>
      <w:tr w:rsidR="008C76E0" w:rsidRPr="003B2786" w14:paraId="5F4C5818" w14:textId="77777777" w:rsidTr="009211E1">
        <w:trPr>
          <w:jc w:val="center"/>
        </w:trPr>
        <w:tc>
          <w:tcPr>
            <w:tcW w:w="5927" w:type="dxa"/>
            <w:tcBorders>
              <w:top w:val="single" w:sz="4" w:space="0" w:color="auto"/>
              <w:left w:val="single" w:sz="4" w:space="0" w:color="auto"/>
            </w:tcBorders>
            <w:shd w:val="clear" w:color="auto" w:fill="FFFFFF"/>
          </w:tcPr>
          <w:p w14:paraId="1BB48A5B"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Ճանաչման պետությունը</w:t>
            </w:r>
          </w:p>
        </w:tc>
        <w:tc>
          <w:tcPr>
            <w:tcW w:w="4193" w:type="dxa"/>
            <w:tcBorders>
              <w:top w:val="single" w:sz="4" w:space="0" w:color="auto"/>
              <w:left w:val="single" w:sz="4" w:space="0" w:color="auto"/>
              <w:right w:val="single" w:sz="4" w:space="0" w:color="auto"/>
            </w:tcBorders>
            <w:shd w:val="clear" w:color="auto" w:fill="FFFFFF"/>
          </w:tcPr>
          <w:p w14:paraId="782C8738" w14:textId="77777777" w:rsidR="008C76E0" w:rsidRPr="003B2786" w:rsidRDefault="008C76E0" w:rsidP="008C76E0">
            <w:pPr>
              <w:spacing w:after="120" w:line="240" w:lineRule="auto"/>
              <w:rPr>
                <w:rFonts w:ascii="Sylfaen" w:hAnsi="Sylfaen"/>
                <w:sz w:val="24"/>
                <w:szCs w:val="24"/>
              </w:rPr>
            </w:pPr>
          </w:p>
        </w:tc>
      </w:tr>
      <w:tr w:rsidR="008C76E0" w:rsidRPr="003B2786" w14:paraId="3E738DA6" w14:textId="77777777" w:rsidTr="009211E1">
        <w:trPr>
          <w:jc w:val="center"/>
        </w:trPr>
        <w:tc>
          <w:tcPr>
            <w:tcW w:w="5927" w:type="dxa"/>
            <w:tcBorders>
              <w:top w:val="single" w:sz="4" w:space="0" w:color="auto"/>
              <w:left w:val="single" w:sz="4" w:space="0" w:color="auto"/>
            </w:tcBorders>
            <w:shd w:val="clear" w:color="auto" w:fill="FFFFFF"/>
          </w:tcPr>
          <w:p w14:paraId="0EDC682A"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Գրանցման հավաստագրի տիրապետողի (իրավատիրոջ)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3894C5C3" w14:textId="77777777" w:rsidR="008C76E0" w:rsidRPr="003B2786" w:rsidRDefault="008C76E0" w:rsidP="008C76E0">
            <w:pPr>
              <w:spacing w:after="120" w:line="240" w:lineRule="auto"/>
              <w:rPr>
                <w:rFonts w:ascii="Sylfaen" w:hAnsi="Sylfaen"/>
                <w:sz w:val="24"/>
                <w:szCs w:val="24"/>
              </w:rPr>
            </w:pPr>
          </w:p>
        </w:tc>
      </w:tr>
      <w:tr w:rsidR="008C76E0" w:rsidRPr="003B2786" w14:paraId="2D154276" w14:textId="77777777" w:rsidTr="009211E1">
        <w:trPr>
          <w:jc w:val="center"/>
        </w:trPr>
        <w:tc>
          <w:tcPr>
            <w:tcW w:w="5927" w:type="dxa"/>
            <w:tcBorders>
              <w:top w:val="single" w:sz="4" w:space="0" w:color="auto"/>
              <w:left w:val="single" w:sz="4" w:space="0" w:color="auto"/>
            </w:tcBorders>
            <w:shd w:val="clear" w:color="auto" w:fill="FFFFFF"/>
          </w:tcPr>
          <w:p w14:paraId="720E01E7"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Բացթողման դոզավորված ձ</w:t>
            </w:r>
            <w:r w:rsidR="00C54D75">
              <w:rPr>
                <w:rStyle w:val="Bodytext1811pt"/>
                <w:rFonts w:ascii="Sylfaen" w:hAnsi="Sylfaen"/>
                <w:sz w:val="24"/>
                <w:szCs w:val="24"/>
              </w:rPr>
              <w:t>և</w:t>
            </w:r>
            <w:r w:rsidRPr="003B2786">
              <w:rPr>
                <w:rStyle w:val="Bodytext1811pt"/>
                <w:rFonts w:ascii="Sylfaen" w:hAnsi="Sylfaen"/>
                <w:sz w:val="24"/>
                <w:szCs w:val="24"/>
              </w:rPr>
              <w:t xml:space="preserve">ն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top w:val="single" w:sz="4" w:space="0" w:color="auto"/>
              <w:left w:val="single" w:sz="4" w:space="0" w:color="auto"/>
              <w:right w:val="single" w:sz="4" w:space="0" w:color="auto"/>
            </w:tcBorders>
            <w:shd w:val="clear" w:color="auto" w:fill="FFFFFF"/>
          </w:tcPr>
          <w:p w14:paraId="1E6BEAA3" w14:textId="77777777" w:rsidR="008C76E0" w:rsidRPr="003B2786" w:rsidRDefault="008C76E0" w:rsidP="008C76E0">
            <w:pPr>
              <w:spacing w:after="120" w:line="240" w:lineRule="auto"/>
              <w:rPr>
                <w:rFonts w:ascii="Sylfaen" w:hAnsi="Sylfaen"/>
                <w:sz w:val="24"/>
                <w:szCs w:val="24"/>
              </w:rPr>
            </w:pPr>
          </w:p>
        </w:tc>
      </w:tr>
      <w:tr w:rsidR="008C76E0" w:rsidRPr="003B2786" w14:paraId="14F90708" w14:textId="77777777" w:rsidTr="009211E1">
        <w:trPr>
          <w:jc w:val="center"/>
        </w:trPr>
        <w:tc>
          <w:tcPr>
            <w:tcW w:w="5927" w:type="dxa"/>
            <w:tcBorders>
              <w:left w:val="single" w:sz="4" w:space="0" w:color="auto"/>
            </w:tcBorders>
            <w:shd w:val="clear" w:color="auto" w:fill="FFFFFF"/>
          </w:tcPr>
          <w:p w14:paraId="23A37B24" w14:textId="77777777" w:rsidR="008C76E0" w:rsidRPr="008C76E0" w:rsidRDefault="008C76E0" w:rsidP="008C76E0">
            <w:pPr>
              <w:pStyle w:val="Bodytext180"/>
              <w:shd w:val="clear" w:color="auto" w:fill="auto"/>
              <w:spacing w:before="0" w:line="240" w:lineRule="auto"/>
              <w:ind w:left="104" w:firstLine="0"/>
              <w:rPr>
                <w:rFonts w:ascii="Sylfaen" w:hAnsi="Sylfaen"/>
                <w:b w:val="0"/>
                <w:sz w:val="24"/>
                <w:szCs w:val="24"/>
                <w:lang w:val="hy-AM"/>
              </w:rPr>
            </w:pPr>
            <w:r w:rsidRPr="003B2786">
              <w:rPr>
                <w:rStyle w:val="Bodytext1811pt"/>
                <w:rFonts w:ascii="Sylfaen" w:hAnsi="Sylfaen"/>
                <w:sz w:val="24"/>
                <w:szCs w:val="24"/>
              </w:rPr>
              <w:t xml:space="preserve">Եվրասիական տնտեսական միության տարածքում սերիան շրջանառության մեջ դնելու համար պատասխանատու արտադրողի (արտադրողների)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w:t>
            </w:r>
          </w:p>
        </w:tc>
        <w:tc>
          <w:tcPr>
            <w:tcW w:w="4193" w:type="dxa"/>
            <w:tcBorders>
              <w:left w:val="single" w:sz="4" w:space="0" w:color="auto"/>
              <w:right w:val="single" w:sz="4" w:space="0" w:color="auto"/>
            </w:tcBorders>
            <w:shd w:val="clear" w:color="auto" w:fill="FFFFFF"/>
          </w:tcPr>
          <w:p w14:paraId="51B7D87D" w14:textId="77777777" w:rsidR="008C76E0" w:rsidRPr="003B2786" w:rsidRDefault="008C76E0" w:rsidP="008C76E0">
            <w:pPr>
              <w:spacing w:after="120" w:line="240" w:lineRule="auto"/>
              <w:rPr>
                <w:rFonts w:ascii="Sylfaen" w:hAnsi="Sylfaen"/>
                <w:sz w:val="24"/>
                <w:szCs w:val="24"/>
              </w:rPr>
            </w:pPr>
          </w:p>
        </w:tc>
      </w:tr>
      <w:tr w:rsidR="008C76E0" w:rsidRPr="003B2786" w14:paraId="2B667D06" w14:textId="77777777" w:rsidTr="009211E1">
        <w:trPr>
          <w:jc w:val="center"/>
        </w:trPr>
        <w:tc>
          <w:tcPr>
            <w:tcW w:w="5927" w:type="dxa"/>
            <w:tcBorders>
              <w:top w:val="single" w:sz="4" w:space="0" w:color="auto"/>
              <w:left w:val="single" w:sz="4" w:space="0" w:color="auto"/>
            </w:tcBorders>
            <w:shd w:val="clear" w:color="auto" w:fill="FFFFFF"/>
          </w:tcPr>
          <w:p w14:paraId="308F8CA8"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Առաջին գրանցման հավաստագրի ամսաթիվը</w:t>
            </w:r>
          </w:p>
        </w:tc>
        <w:tc>
          <w:tcPr>
            <w:tcW w:w="4193" w:type="dxa"/>
            <w:tcBorders>
              <w:top w:val="single" w:sz="4" w:space="0" w:color="auto"/>
              <w:left w:val="single" w:sz="4" w:space="0" w:color="auto"/>
              <w:right w:val="single" w:sz="4" w:space="0" w:color="auto"/>
            </w:tcBorders>
            <w:shd w:val="clear" w:color="auto" w:fill="FFFFFF"/>
          </w:tcPr>
          <w:p w14:paraId="0E13DF34" w14:textId="77777777" w:rsidR="008C76E0" w:rsidRPr="003B2786" w:rsidRDefault="008C76E0" w:rsidP="008C76E0">
            <w:pPr>
              <w:spacing w:after="120" w:line="240" w:lineRule="auto"/>
              <w:rPr>
                <w:rFonts w:ascii="Sylfaen" w:hAnsi="Sylfaen"/>
                <w:sz w:val="24"/>
                <w:szCs w:val="24"/>
              </w:rPr>
            </w:pPr>
          </w:p>
        </w:tc>
      </w:tr>
      <w:tr w:rsidR="008C76E0" w:rsidRPr="003B2786" w14:paraId="0D6F06AE" w14:textId="77777777" w:rsidTr="009211E1">
        <w:trPr>
          <w:jc w:val="center"/>
        </w:trPr>
        <w:tc>
          <w:tcPr>
            <w:tcW w:w="5927" w:type="dxa"/>
            <w:tcBorders>
              <w:top w:val="single" w:sz="4" w:space="0" w:color="auto"/>
              <w:left w:val="single" w:sz="4" w:space="0" w:color="auto"/>
            </w:tcBorders>
            <w:shd w:val="clear" w:color="auto" w:fill="FFFFFF"/>
          </w:tcPr>
          <w:p w14:paraId="15D70C53"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Գրանցման հավաստագրի համարը (համարները) ճանաչման պետություններում</w:t>
            </w:r>
          </w:p>
        </w:tc>
        <w:tc>
          <w:tcPr>
            <w:tcW w:w="4193" w:type="dxa"/>
            <w:tcBorders>
              <w:top w:val="single" w:sz="4" w:space="0" w:color="auto"/>
              <w:left w:val="single" w:sz="4" w:space="0" w:color="auto"/>
              <w:right w:val="single" w:sz="4" w:space="0" w:color="auto"/>
            </w:tcBorders>
            <w:shd w:val="clear" w:color="auto" w:fill="FFFFFF"/>
          </w:tcPr>
          <w:p w14:paraId="76008804" w14:textId="77777777" w:rsidR="008C76E0" w:rsidRPr="003B2786" w:rsidRDefault="008C76E0" w:rsidP="008C76E0">
            <w:pPr>
              <w:spacing w:after="120" w:line="240" w:lineRule="auto"/>
              <w:rPr>
                <w:rFonts w:ascii="Sylfaen" w:hAnsi="Sylfaen"/>
                <w:sz w:val="24"/>
                <w:szCs w:val="24"/>
              </w:rPr>
            </w:pPr>
          </w:p>
        </w:tc>
      </w:tr>
      <w:tr w:rsidR="008C76E0" w:rsidRPr="003B2786" w14:paraId="7719E2C9" w14:textId="77777777" w:rsidTr="009211E1">
        <w:trPr>
          <w:jc w:val="center"/>
        </w:trPr>
        <w:tc>
          <w:tcPr>
            <w:tcW w:w="5927" w:type="dxa"/>
            <w:tcBorders>
              <w:top w:val="single" w:sz="4" w:space="0" w:color="auto"/>
              <w:left w:val="single" w:sz="4" w:space="0" w:color="auto"/>
            </w:tcBorders>
            <w:shd w:val="clear" w:color="auto" w:fill="FFFFFF"/>
          </w:tcPr>
          <w:p w14:paraId="775FF32F" w14:textId="77777777" w:rsidR="008C76E0" w:rsidRPr="003B2786" w:rsidRDefault="008C76E0" w:rsidP="008C76E0">
            <w:pPr>
              <w:pStyle w:val="Bodytext180"/>
              <w:shd w:val="clear" w:color="auto" w:fill="auto"/>
              <w:spacing w:before="0" w:after="120" w:line="240" w:lineRule="auto"/>
              <w:ind w:left="104" w:firstLine="0"/>
              <w:rPr>
                <w:rFonts w:ascii="Sylfaen" w:hAnsi="Sylfaen"/>
                <w:b w:val="0"/>
                <w:sz w:val="24"/>
                <w:szCs w:val="24"/>
              </w:rPr>
            </w:pPr>
            <w:r w:rsidRPr="003B2786">
              <w:rPr>
                <w:rStyle w:val="Bodytext1811pt"/>
                <w:rFonts w:ascii="Sylfaen" w:hAnsi="Sylfaen"/>
                <w:sz w:val="24"/>
                <w:szCs w:val="24"/>
              </w:rPr>
              <w:t xml:space="preserve">Կոնտակտային անձը ճանաչման պետությունում </w:t>
            </w:r>
          </w:p>
        </w:tc>
        <w:tc>
          <w:tcPr>
            <w:tcW w:w="4193" w:type="dxa"/>
            <w:tcBorders>
              <w:top w:val="single" w:sz="4" w:space="0" w:color="auto"/>
              <w:left w:val="single" w:sz="4" w:space="0" w:color="auto"/>
              <w:right w:val="single" w:sz="4" w:space="0" w:color="auto"/>
            </w:tcBorders>
            <w:shd w:val="clear" w:color="auto" w:fill="FFFFFF"/>
          </w:tcPr>
          <w:p w14:paraId="37015832"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Ա.Ա.Հ.</w:t>
            </w:r>
          </w:p>
          <w:p w14:paraId="49A15566"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Հեռ.՝</w:t>
            </w:r>
          </w:p>
          <w:p w14:paraId="4D55FEB9" w14:textId="77777777" w:rsidR="008C76E0" w:rsidRPr="003B2786" w:rsidRDefault="008C76E0" w:rsidP="008C76E0">
            <w:pPr>
              <w:pStyle w:val="Bodytext180"/>
              <w:shd w:val="clear" w:color="auto" w:fill="auto"/>
              <w:spacing w:before="0" w:line="240" w:lineRule="auto"/>
              <w:ind w:left="102" w:firstLine="0"/>
              <w:rPr>
                <w:rFonts w:ascii="Sylfaen" w:hAnsi="Sylfaen"/>
                <w:b w:val="0"/>
                <w:sz w:val="24"/>
                <w:szCs w:val="24"/>
              </w:rPr>
            </w:pPr>
            <w:r w:rsidRPr="003B2786">
              <w:rPr>
                <w:rStyle w:val="Bodytext1811pt"/>
                <w:rFonts w:ascii="Sylfaen" w:hAnsi="Sylfaen"/>
                <w:sz w:val="24"/>
                <w:szCs w:val="24"/>
              </w:rPr>
              <w:t>Էլ. փոստ՝</w:t>
            </w:r>
          </w:p>
        </w:tc>
      </w:tr>
      <w:tr w:rsidR="008C76E0" w:rsidRPr="003B2786" w14:paraId="7FD264F3" w14:textId="77777777" w:rsidTr="009211E1">
        <w:trPr>
          <w:jc w:val="center"/>
        </w:trPr>
        <w:tc>
          <w:tcPr>
            <w:tcW w:w="5927" w:type="dxa"/>
            <w:tcBorders>
              <w:top w:val="single" w:sz="4" w:space="0" w:color="auto"/>
              <w:left w:val="single" w:sz="4" w:space="0" w:color="auto"/>
              <w:bottom w:val="single" w:sz="4" w:space="0" w:color="auto"/>
            </w:tcBorders>
            <w:shd w:val="clear" w:color="auto" w:fill="FFFFFF"/>
          </w:tcPr>
          <w:p w14:paraId="371E2238" w14:textId="77777777" w:rsidR="008C76E0" w:rsidRPr="008C76E0" w:rsidRDefault="008C76E0" w:rsidP="008C76E0">
            <w:pPr>
              <w:pStyle w:val="Bodytext180"/>
              <w:shd w:val="clear" w:color="auto" w:fill="auto"/>
              <w:spacing w:before="0" w:after="120" w:line="240" w:lineRule="auto"/>
              <w:ind w:left="104" w:firstLine="0"/>
              <w:rPr>
                <w:rFonts w:ascii="Sylfaen" w:hAnsi="Sylfaen"/>
                <w:b w:val="0"/>
                <w:sz w:val="24"/>
                <w:szCs w:val="24"/>
                <w:lang w:val="hy-AM"/>
              </w:rPr>
            </w:pPr>
            <w:r w:rsidRPr="003B2786">
              <w:rPr>
                <w:rStyle w:val="Bodytext1811pt"/>
                <w:rFonts w:ascii="Sylfaen" w:hAnsi="Sylfaen"/>
                <w:sz w:val="24"/>
                <w:szCs w:val="24"/>
              </w:rPr>
              <w:t>Գնահատում անցկացնող փորձագետների Ա.Ա.Հ.-ն</w:t>
            </w:r>
          </w:p>
        </w:tc>
        <w:tc>
          <w:tcPr>
            <w:tcW w:w="4193" w:type="dxa"/>
            <w:tcBorders>
              <w:top w:val="single" w:sz="4" w:space="0" w:color="auto"/>
              <w:left w:val="single" w:sz="4" w:space="0" w:color="auto"/>
              <w:bottom w:val="single" w:sz="4" w:space="0" w:color="auto"/>
              <w:right w:val="single" w:sz="4" w:space="0" w:color="auto"/>
            </w:tcBorders>
            <w:shd w:val="clear" w:color="auto" w:fill="FFFFFF"/>
          </w:tcPr>
          <w:p w14:paraId="1A13991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Որակ՝</w:t>
            </w:r>
          </w:p>
          <w:p w14:paraId="7CE4933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67EFB37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1C4AF06"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217B6E5F"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Նախակլինիկական գնահատում՝ Ա.Ա.Հ.</w:t>
            </w:r>
          </w:p>
          <w:p w14:paraId="1745E94A"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701366E4"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p w14:paraId="335F1CB5" w14:textId="77777777" w:rsidR="008C76E0" w:rsidRPr="003B2786" w:rsidRDefault="008C76E0" w:rsidP="008C76E0">
            <w:pPr>
              <w:pStyle w:val="Bodytext180"/>
              <w:shd w:val="clear" w:color="auto" w:fill="auto"/>
              <w:spacing w:before="0" w:line="240" w:lineRule="auto"/>
              <w:ind w:left="102" w:firstLine="0"/>
              <w:rPr>
                <w:rStyle w:val="Bodytext1811pt"/>
                <w:rFonts w:ascii="Sylfaen" w:hAnsi="Sylfaen"/>
                <w:sz w:val="24"/>
                <w:szCs w:val="24"/>
              </w:rPr>
            </w:pPr>
            <w:r w:rsidRPr="003B2786">
              <w:rPr>
                <w:rStyle w:val="Bodytext1811pt"/>
                <w:rFonts w:ascii="Sylfaen" w:hAnsi="Sylfaen"/>
                <w:sz w:val="24"/>
                <w:szCs w:val="24"/>
              </w:rPr>
              <w:t xml:space="preserve">Կլինիկական գնահատում՝ </w:t>
            </w:r>
          </w:p>
          <w:p w14:paraId="62DD2A89"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Ա.Ա.Հ.</w:t>
            </w:r>
          </w:p>
          <w:p w14:paraId="59B5C15B"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Հեռ.՝</w:t>
            </w:r>
          </w:p>
          <w:p w14:paraId="2CC79601" w14:textId="77777777" w:rsidR="008C76E0" w:rsidRPr="008C76E0" w:rsidRDefault="008C76E0" w:rsidP="008C76E0">
            <w:pPr>
              <w:pStyle w:val="Bodytext180"/>
              <w:shd w:val="clear" w:color="auto" w:fill="auto"/>
              <w:spacing w:before="0" w:line="240" w:lineRule="auto"/>
              <w:ind w:left="102" w:firstLine="0"/>
              <w:rPr>
                <w:rFonts w:ascii="Sylfaen" w:hAnsi="Sylfaen"/>
                <w:b w:val="0"/>
                <w:sz w:val="24"/>
                <w:szCs w:val="24"/>
                <w:lang w:val="hy-AM"/>
              </w:rPr>
            </w:pPr>
            <w:r w:rsidRPr="003B2786">
              <w:rPr>
                <w:rStyle w:val="Bodytext1811pt"/>
                <w:rFonts w:ascii="Sylfaen" w:hAnsi="Sylfaen"/>
                <w:sz w:val="24"/>
                <w:szCs w:val="24"/>
              </w:rPr>
              <w:t>Էլ. փոստ՝</w:t>
            </w:r>
          </w:p>
        </w:tc>
      </w:tr>
    </w:tbl>
    <w:p w14:paraId="4577AE25" w14:textId="77777777" w:rsidR="008C76E0" w:rsidRPr="003B2786" w:rsidRDefault="008C76E0" w:rsidP="008C76E0">
      <w:pPr>
        <w:rPr>
          <w:rFonts w:ascii="Sylfaen" w:hAnsi="Sylfaen"/>
          <w:sz w:val="24"/>
          <w:szCs w:val="24"/>
        </w:rPr>
      </w:pPr>
      <w:r w:rsidRPr="003B2786">
        <w:rPr>
          <w:rFonts w:ascii="Sylfaen" w:hAnsi="Sylfaen"/>
          <w:sz w:val="24"/>
          <w:szCs w:val="24"/>
        </w:rPr>
        <w:br w:type="page"/>
      </w:r>
    </w:p>
    <w:p w14:paraId="1B60A2A0" w14:textId="77777777" w:rsidR="008C76E0" w:rsidRPr="003B2786" w:rsidRDefault="008C76E0" w:rsidP="00390DAC">
      <w:pPr>
        <w:tabs>
          <w:tab w:val="left" w:pos="1134"/>
        </w:tabs>
        <w:spacing w:after="160" w:line="360" w:lineRule="auto"/>
        <w:ind w:right="-1" w:firstLine="567"/>
        <w:rPr>
          <w:rFonts w:ascii="Sylfaen" w:hAnsi="Sylfaen"/>
          <w:sz w:val="24"/>
          <w:szCs w:val="24"/>
        </w:rPr>
      </w:pPr>
      <w:r w:rsidRPr="003B2786">
        <w:rPr>
          <w:rFonts w:ascii="Sylfaen" w:hAnsi="Sylfaen"/>
          <w:sz w:val="24"/>
          <w:szCs w:val="24"/>
        </w:rPr>
        <w:lastRenderedPageBreak/>
        <w:t>I.</w:t>
      </w:r>
      <w:r w:rsidRPr="003B2786">
        <w:rPr>
          <w:rFonts w:ascii="Sylfaen" w:hAnsi="Sylfaen"/>
          <w:sz w:val="24"/>
          <w:szCs w:val="24"/>
        </w:rPr>
        <w:tab/>
        <w:t>Հանձնարարական</w:t>
      </w:r>
    </w:p>
    <w:p w14:paraId="654B9E27" w14:textId="4D2CD86A" w:rsidR="008C76E0" w:rsidRPr="003B2786" w:rsidRDefault="008C76E0" w:rsidP="00390DAC">
      <w:pPr>
        <w:tabs>
          <w:tab w:val="left" w:pos="851"/>
        </w:tabs>
        <w:spacing w:after="160" w:line="360" w:lineRule="auto"/>
        <w:ind w:right="-1" w:firstLine="567"/>
        <w:jc w:val="both"/>
        <w:rPr>
          <w:rFonts w:ascii="Sylfaen" w:hAnsi="Sylfaen"/>
          <w:sz w:val="24"/>
          <w:szCs w:val="24"/>
        </w:rPr>
      </w:pPr>
      <w:r w:rsidRPr="003B2786">
        <w:rPr>
          <w:rFonts w:ascii="Sylfaen" w:hAnsi="Sylfaen"/>
          <w:sz w:val="24"/>
          <w:szCs w:val="24"/>
        </w:rPr>
        <w:t xml:space="preserve">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վերաբերյալ տվյալների վերլուծության հիման վրա` ճանաչման պետությունը հնարավոր է համարել &lt;ցուցումը&gt; բուժման համար &lt;դեղապատրաստուկի անվանումը&gt; վերաբերյալ </w:t>
      </w:r>
      <w:r w:rsidR="0056496B">
        <w:rPr>
          <w:rFonts w:ascii="Sylfaen" w:hAnsi="Sylfaen"/>
          <w:sz w:val="24"/>
          <w:szCs w:val="24"/>
        </w:rPr>
        <w:t>դիմում</w:t>
      </w:r>
      <w:r w:rsidRPr="003B2786">
        <w:rPr>
          <w:rFonts w:ascii="Sylfaen" w:hAnsi="Sylfaen"/>
          <w:sz w:val="24"/>
          <w:szCs w:val="24"/>
        </w:rPr>
        <w:t>ի հաստատումը: Երկրում դեղապատրաստուկի իրացման համար գրանցման հավաստագիրը տրվել է &lt;ամսաթիվը&gt;:</w:t>
      </w:r>
    </w:p>
    <w:p w14:paraId="20FF29B1" w14:textId="77777777" w:rsidR="008C76E0" w:rsidRPr="003B2786" w:rsidRDefault="008C76E0" w:rsidP="00390DAC">
      <w:pPr>
        <w:pStyle w:val="Bodytext180"/>
        <w:shd w:val="clear" w:color="auto" w:fill="auto"/>
        <w:tabs>
          <w:tab w:val="left" w:pos="1134"/>
        </w:tabs>
        <w:spacing w:before="0" w:after="160" w:line="360" w:lineRule="auto"/>
        <w:ind w:right="-1" w:firstLine="567"/>
        <w:jc w:val="both"/>
        <w:rPr>
          <w:rStyle w:val="Bodytext295pt"/>
          <w:rFonts w:ascii="Sylfaen" w:hAnsi="Sylfaen"/>
          <w:i/>
          <w:sz w:val="24"/>
          <w:szCs w:val="24"/>
        </w:rPr>
      </w:pPr>
      <w:r w:rsidRPr="003B2786">
        <w:rPr>
          <w:rStyle w:val="Bodytext295pt"/>
          <w:rFonts w:ascii="Sylfaen" w:hAnsi="Sylfaen"/>
          <w:sz w:val="24"/>
          <w:szCs w:val="24"/>
        </w:rPr>
        <w:t>II.</w:t>
      </w:r>
      <w:r w:rsidRPr="003B2786">
        <w:rPr>
          <w:rStyle w:val="Bodytext295pt"/>
          <w:rFonts w:ascii="Sylfaen" w:hAnsi="Sylfaen"/>
          <w:sz w:val="24"/>
          <w:szCs w:val="24"/>
        </w:rPr>
        <w:tab/>
        <w:t xml:space="preserve">Բացատրագիր </w:t>
      </w:r>
    </w:p>
    <w:p w14:paraId="77EF37E0"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II.1.</w:t>
      </w:r>
      <w:r w:rsidRPr="003B2786">
        <w:rPr>
          <w:rStyle w:val="Bodytext295pt"/>
          <w:rFonts w:ascii="Sylfaen" w:eastAsia="MS Mincho" w:hAnsi="Sylfaen"/>
          <w:b w:val="0"/>
          <w:sz w:val="24"/>
          <w:szCs w:val="24"/>
        </w:rPr>
        <w:tab/>
        <w:t>Խնդիրների առաջադրում</w:t>
      </w:r>
    </w:p>
    <w:tbl>
      <w:tblPr>
        <w:tblOverlap w:val="never"/>
        <w:tblW w:w="901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15"/>
      </w:tblGrid>
      <w:tr w:rsidR="008C76E0" w:rsidRPr="003B2786" w14:paraId="00C9214A" w14:textId="77777777" w:rsidTr="008C76E0">
        <w:trPr>
          <w:trHeight w:val="1791"/>
          <w:jc w:val="center"/>
        </w:trPr>
        <w:tc>
          <w:tcPr>
            <w:tcW w:w="9015" w:type="dxa"/>
            <w:shd w:val="clear" w:color="auto" w:fill="FFFFFF"/>
            <w:vAlign w:val="bottom"/>
          </w:tcPr>
          <w:p w14:paraId="2F3F7EA4" w14:textId="77777777" w:rsidR="008C76E0" w:rsidRPr="008C76E0" w:rsidRDefault="008C76E0" w:rsidP="00390DAC">
            <w:pPr>
              <w:pStyle w:val="Bodytext180"/>
              <w:shd w:val="clear" w:color="auto" w:fill="auto"/>
              <w:tabs>
                <w:tab w:val="left" w:pos="851"/>
              </w:tabs>
              <w:spacing w:before="0" w:after="160" w:line="360" w:lineRule="auto"/>
              <w:ind w:right="-1" w:firstLine="536"/>
              <w:jc w:val="both"/>
              <w:rPr>
                <w:rFonts w:ascii="Sylfaen" w:hAnsi="Sylfaen"/>
                <w:sz w:val="24"/>
                <w:szCs w:val="24"/>
                <w:lang w:val="hy-AM"/>
              </w:rPr>
            </w:pPr>
            <w:r w:rsidRPr="003B2786">
              <w:rPr>
                <w:rStyle w:val="Bodytext1811pt"/>
                <w:rFonts w:ascii="Sylfaen" w:hAnsi="Sylfaen"/>
                <w:spacing w:val="-2"/>
                <w:sz w:val="24"/>
                <w:szCs w:val="24"/>
              </w:rPr>
              <w:t>Դեղապատրաստուկի վերաբերյալ հիմնավորում. համաճարակաբանությունը</w:t>
            </w:r>
            <w:r w:rsidRPr="003B2786">
              <w:rPr>
                <w:rStyle w:val="Bodytext1811pt"/>
                <w:rFonts w:ascii="Sylfaen" w:hAnsi="Sylfaen"/>
                <w:sz w:val="24"/>
                <w:szCs w:val="24"/>
              </w:rPr>
              <w:t xml:space="preserve">, հիվանդության ընթացքի առանձնահատկությունները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ընթացիկ թերապիան:</w:t>
            </w:r>
          </w:p>
          <w:p w14:paraId="31EA3391" w14:textId="1D120FD8" w:rsidR="008C76E0" w:rsidRPr="008C76E0" w:rsidRDefault="008C76E0" w:rsidP="00390DAC">
            <w:pPr>
              <w:pStyle w:val="Bodytext180"/>
              <w:shd w:val="clear" w:color="auto" w:fill="auto"/>
              <w:tabs>
                <w:tab w:val="left" w:pos="851"/>
              </w:tabs>
              <w:spacing w:before="0" w:after="160" w:line="360" w:lineRule="auto"/>
              <w:ind w:firstLine="555"/>
              <w:jc w:val="both"/>
              <w:rPr>
                <w:rFonts w:ascii="Sylfaen" w:hAnsi="Sylfaen"/>
                <w:i/>
                <w:spacing w:val="-10"/>
                <w:sz w:val="24"/>
                <w:szCs w:val="24"/>
                <w:lang w:val="hy-AM"/>
              </w:rPr>
            </w:pPr>
            <w:r w:rsidRPr="003B2786">
              <w:rPr>
                <w:rStyle w:val="Bodytext295pt"/>
                <w:rFonts w:ascii="Sylfaen" w:hAnsi="Sylfaen"/>
                <w:i/>
                <w:sz w:val="24"/>
                <w:szCs w:val="24"/>
              </w:rPr>
              <w:t xml:space="preserve">Ծանոթագրություն. տվյալ բաժինը կիրառելի չէ ջեներիկի համար </w:t>
            </w:r>
            <w:r w:rsidR="009F5829">
              <w:rPr>
                <w:rStyle w:val="Bodytext295pt"/>
                <w:rFonts w:ascii="Sylfaen" w:hAnsi="Sylfaen"/>
                <w:i/>
                <w:sz w:val="24"/>
                <w:szCs w:val="24"/>
              </w:rPr>
              <w:t>դիմումներ</w:t>
            </w:r>
            <w:r w:rsidRPr="003B2786">
              <w:rPr>
                <w:rStyle w:val="Bodytext295pt"/>
                <w:rFonts w:ascii="Sylfaen" w:hAnsi="Sylfaen"/>
                <w:i/>
                <w:sz w:val="24"/>
                <w:szCs w:val="24"/>
              </w:rPr>
              <w:t>ի նկատմամբ:</w:t>
            </w:r>
          </w:p>
        </w:tc>
      </w:tr>
    </w:tbl>
    <w:p w14:paraId="3F0EBEAB" w14:textId="77777777" w:rsidR="008C76E0" w:rsidRPr="003B2786" w:rsidRDefault="008C76E0" w:rsidP="00390DAC">
      <w:pPr>
        <w:tabs>
          <w:tab w:val="left" w:pos="1134"/>
        </w:tabs>
        <w:spacing w:after="160" w:line="360" w:lineRule="auto"/>
        <w:ind w:firstLine="567"/>
        <w:rPr>
          <w:rStyle w:val="Bodytext295pt"/>
          <w:rFonts w:ascii="Sylfaen" w:eastAsia="MS Mincho" w:hAnsi="Sylfaen"/>
          <w:b w:val="0"/>
          <w:i/>
          <w:sz w:val="24"/>
          <w:szCs w:val="24"/>
        </w:rPr>
      </w:pPr>
      <w:r w:rsidRPr="003B2786">
        <w:rPr>
          <w:rStyle w:val="Bodytext295pt"/>
          <w:rFonts w:ascii="Sylfaen" w:eastAsia="MS Mincho" w:hAnsi="Sylfaen"/>
          <w:b w:val="0"/>
          <w:sz w:val="24"/>
          <w:szCs w:val="24"/>
        </w:rPr>
        <w:t>II.2.</w:t>
      </w:r>
      <w:r w:rsidRPr="003B2786">
        <w:rPr>
          <w:rStyle w:val="Bodytext295pt"/>
          <w:rFonts w:ascii="Sylfaen" w:eastAsia="MS Mincho" w:hAnsi="Sylfaen"/>
          <w:b w:val="0"/>
          <w:sz w:val="24"/>
          <w:szCs w:val="24"/>
        </w:rPr>
        <w:tab/>
        <w:t>Պատրաստուկի մասին</w:t>
      </w:r>
    </w:p>
    <w:tbl>
      <w:tblPr>
        <w:tblOverlap w:val="never"/>
        <w:tblW w:w="9000"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000"/>
      </w:tblGrid>
      <w:tr w:rsidR="008C76E0" w:rsidRPr="003B2786" w14:paraId="1F3FB30E" w14:textId="77777777" w:rsidTr="008C76E0">
        <w:trPr>
          <w:trHeight w:val="2981"/>
          <w:jc w:val="center"/>
        </w:trPr>
        <w:tc>
          <w:tcPr>
            <w:tcW w:w="9000" w:type="dxa"/>
            <w:shd w:val="clear" w:color="auto" w:fill="FFFFFF"/>
            <w:vAlign w:val="bottom"/>
          </w:tcPr>
          <w:p w14:paraId="33B57519"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Ազդեցության մեխանիզմը:</w:t>
            </w:r>
          </w:p>
          <w:p w14:paraId="535A1041"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Դեղաբանական դասակարգումը:</w:t>
            </w:r>
          </w:p>
          <w:p w14:paraId="412E7517" w14:textId="45A5BEFA"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Կիրառման վերաբերյալ </w:t>
            </w:r>
            <w:r w:rsidR="001A5F1A">
              <w:rPr>
                <w:rStyle w:val="Bodytext1811pt"/>
                <w:rFonts w:ascii="Sylfaen" w:hAnsi="Sylfaen"/>
                <w:sz w:val="24"/>
                <w:szCs w:val="24"/>
              </w:rPr>
              <w:t>հայտագրված</w:t>
            </w:r>
            <w:r w:rsidRPr="003B2786">
              <w:rPr>
                <w:rStyle w:val="Bodytext1811pt"/>
                <w:rFonts w:ascii="Sylfaen" w:hAnsi="Sylfaen"/>
                <w:sz w:val="24"/>
                <w:szCs w:val="24"/>
              </w:rPr>
              <w:t xml:space="preserve"> ցուցումները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8C76E0">
              <w:rPr>
                <w:rFonts w:ascii="Sylfaen" w:hAnsi="Sylfaen"/>
                <w:b w:val="0"/>
                <w:sz w:val="24"/>
                <w:szCs w:val="24"/>
                <w:lang w:val="hy-AM"/>
              </w:rPr>
              <w:t>հանձնարարականները</w:t>
            </w:r>
            <w:r w:rsidRPr="008C76E0">
              <w:rPr>
                <w:rFonts w:ascii="Sylfaen" w:hAnsi="Sylfaen"/>
                <w:sz w:val="24"/>
                <w:szCs w:val="24"/>
                <w:lang w:val="hy-AM"/>
              </w:rPr>
              <w:t xml:space="preserve"> </w:t>
            </w:r>
            <w:r w:rsidRPr="003B2786">
              <w:rPr>
                <w:rStyle w:val="Bodytext1811pt"/>
                <w:rFonts w:ascii="Sylfaen" w:hAnsi="Sylfaen"/>
                <w:sz w:val="24"/>
                <w:szCs w:val="24"/>
              </w:rPr>
              <w:t>(այդ թվում՝ հնարավոր ռիսկերի կառավարման ռազմավարությունը) ու դոզան:</w:t>
            </w:r>
          </w:p>
          <w:p w14:paraId="2E4EC747" w14:textId="77777777" w:rsidR="008C76E0" w:rsidRPr="008C76E0" w:rsidRDefault="008C76E0" w:rsidP="00B02202">
            <w:pPr>
              <w:pStyle w:val="Bodytext180"/>
              <w:shd w:val="clear" w:color="auto" w:fill="auto"/>
              <w:tabs>
                <w:tab w:val="left" w:pos="851"/>
              </w:tabs>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Հատուկ դեղաբանական ասպեկտները (առկայության դեպքում) (օրինակ՝ ներմուծման նոր եղանակ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tc>
      </w:tr>
    </w:tbl>
    <w:p w14:paraId="69C4E5C4" w14:textId="77777777" w:rsidR="008C76E0" w:rsidRPr="003B2786" w:rsidRDefault="008C76E0" w:rsidP="00B02202">
      <w:pPr>
        <w:tabs>
          <w:tab w:val="left" w:pos="1134"/>
        </w:tabs>
        <w:spacing w:after="160" w:line="336" w:lineRule="auto"/>
        <w:ind w:firstLine="567"/>
        <w:rPr>
          <w:rFonts w:ascii="Sylfaen" w:hAnsi="Sylfaen"/>
          <w:b/>
          <w:sz w:val="24"/>
          <w:szCs w:val="24"/>
        </w:rPr>
      </w:pPr>
      <w:r w:rsidRPr="003B2786">
        <w:rPr>
          <w:rStyle w:val="Bodytext295pt"/>
          <w:rFonts w:ascii="Sylfaen" w:eastAsia="MS Mincho" w:hAnsi="Sylfaen"/>
          <w:b w:val="0"/>
          <w:sz w:val="24"/>
          <w:szCs w:val="24"/>
        </w:rPr>
        <w:t>II.3.</w:t>
      </w:r>
      <w:r w:rsidRPr="003B2786">
        <w:rPr>
          <w:rStyle w:val="Bodytext295pt"/>
          <w:rFonts w:ascii="Sylfaen" w:eastAsia="MS Mincho" w:hAnsi="Sylfaen"/>
          <w:b w:val="0"/>
          <w:sz w:val="24"/>
          <w:szCs w:val="24"/>
        </w:rPr>
        <w:tab/>
        <w:t>Ներկայացված դոսյեի վերաբերյալ ընդհանուր դիտողություններ</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72"/>
      </w:tblGrid>
      <w:tr w:rsidR="008C76E0" w:rsidRPr="003B2786" w14:paraId="2E028792" w14:textId="77777777" w:rsidTr="008C76E0">
        <w:tc>
          <w:tcPr>
            <w:tcW w:w="9072" w:type="dxa"/>
          </w:tcPr>
          <w:p w14:paraId="41AF8D8F" w14:textId="7E83BCDF" w:rsidR="008C76E0" w:rsidRPr="008C76E0" w:rsidRDefault="008C76E0" w:rsidP="00B02202">
            <w:pPr>
              <w:pStyle w:val="Bodytext180"/>
              <w:shd w:val="clear" w:color="auto" w:fill="auto"/>
              <w:spacing w:before="0" w:after="160" w:line="336" w:lineRule="auto"/>
              <w:ind w:firstLine="539"/>
              <w:jc w:val="both"/>
              <w:rPr>
                <w:rFonts w:ascii="Sylfaen" w:hAnsi="Sylfaen"/>
                <w:b w:val="0"/>
                <w:sz w:val="24"/>
                <w:szCs w:val="24"/>
                <w:lang w:val="hy-AM"/>
              </w:rPr>
            </w:pPr>
            <w:r w:rsidRPr="003B2786">
              <w:rPr>
                <w:rStyle w:val="Bodytext1811pt"/>
                <w:rFonts w:ascii="Sylfaen" w:hAnsi="Sylfaen"/>
                <w:sz w:val="24"/>
                <w:szCs w:val="24"/>
              </w:rPr>
              <w:t xml:space="preserve">Նշե՛ք գրանցման հավաստագիր ստանալու համար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տեսակը, ներառյալ՝ </w:t>
            </w:r>
            <w:r w:rsidR="0056496B">
              <w:rPr>
                <w:rStyle w:val="Bodytext1811pt"/>
                <w:rFonts w:ascii="Sylfaen" w:hAnsi="Sylfaen"/>
                <w:sz w:val="24"/>
                <w:szCs w:val="24"/>
              </w:rPr>
              <w:t>դիմում</w:t>
            </w:r>
            <w:r w:rsidRPr="003B2786">
              <w:rPr>
                <w:rStyle w:val="Bodytext1811pt"/>
                <w:rFonts w:ascii="Sylfaen" w:hAnsi="Sylfaen"/>
                <w:sz w:val="24"/>
                <w:szCs w:val="24"/>
              </w:rPr>
              <w:t>ի իրավական հիմքին արված հղումը:</w:t>
            </w:r>
          </w:p>
          <w:p w14:paraId="06D67C5F" w14:textId="77777777" w:rsidR="008C76E0" w:rsidRPr="008C76E0" w:rsidRDefault="008C76E0" w:rsidP="00B02202">
            <w:pPr>
              <w:pStyle w:val="Bodytext180"/>
              <w:shd w:val="clear" w:color="auto" w:fill="auto"/>
              <w:spacing w:before="0" w:after="160" w:line="336" w:lineRule="auto"/>
              <w:ind w:firstLine="539"/>
              <w:jc w:val="both"/>
              <w:rPr>
                <w:rFonts w:ascii="Sylfaen" w:hAnsi="Sylfaen"/>
                <w:b w:val="0"/>
                <w:spacing w:val="-6"/>
                <w:sz w:val="24"/>
                <w:szCs w:val="24"/>
                <w:lang w:val="hy-AM"/>
              </w:rPr>
            </w:pPr>
            <w:r w:rsidRPr="003B2786">
              <w:rPr>
                <w:rStyle w:val="Bodytext1811pt"/>
                <w:rFonts w:ascii="Sylfaen" w:hAnsi="Sylfaen"/>
                <w:spacing w:val="-6"/>
                <w:sz w:val="24"/>
                <w:szCs w:val="24"/>
              </w:rPr>
              <w:t>Եթե նպատակահարմար է, մասնավորեցրե՛ք դոսյեի առանցքային ասպեկտները:</w:t>
            </w:r>
          </w:p>
          <w:p w14:paraId="6D6DFEAF" w14:textId="77777777" w:rsidR="008C76E0" w:rsidRPr="008C76E0" w:rsidRDefault="008C76E0" w:rsidP="00390DAC">
            <w:pPr>
              <w:pStyle w:val="Bodytext180"/>
              <w:shd w:val="clear" w:color="auto" w:fill="auto"/>
              <w:spacing w:before="0" w:after="160" w:line="360" w:lineRule="auto"/>
              <w:ind w:firstLine="536"/>
              <w:jc w:val="both"/>
              <w:rPr>
                <w:rFonts w:ascii="Sylfaen" w:hAnsi="Sylfaen"/>
                <w:b w:val="0"/>
                <w:sz w:val="24"/>
                <w:szCs w:val="24"/>
                <w:lang w:val="hy-AM"/>
              </w:rPr>
            </w:pPr>
            <w:r w:rsidRPr="003B2786">
              <w:rPr>
                <w:rStyle w:val="Bodytext1811pt"/>
                <w:rFonts w:ascii="Sylfaen" w:hAnsi="Sylfaen"/>
                <w:sz w:val="24"/>
                <w:szCs w:val="24"/>
              </w:rPr>
              <w:t>Նշե՛ք՝ արդյոք ակտիվ նյութը համարվում է նոր, թե՝ ոչ:</w:t>
            </w:r>
          </w:p>
          <w:p w14:paraId="2FD065ED" w14:textId="050381D5"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lastRenderedPageBreak/>
              <w:t xml:space="preserve">Եվրասիական տնտեսական միության տարածքում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 14.4 </w:t>
            </w:r>
            <w:r w:rsidR="00C54D75">
              <w:rPr>
                <w:rStyle w:val="Bodytext1811pt"/>
                <w:rFonts w:ascii="Sylfaen" w:hAnsi="Sylfaen"/>
                <w:sz w:val="24"/>
                <w:szCs w:val="24"/>
              </w:rPr>
              <w:t>և</w:t>
            </w:r>
            <w:r w:rsidRPr="003B2786">
              <w:rPr>
                <w:rStyle w:val="Bodytext1811pt"/>
                <w:rFonts w:ascii="Sylfaen" w:hAnsi="Sylfaen"/>
                <w:sz w:val="24"/>
                <w:szCs w:val="24"/>
              </w:rPr>
              <w:t xml:space="preserve"> 15.2 բաժինների (պարզեցված դոսյե) հիման վրա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1.5.1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բաղադրության մեջ մտնող նյութերի կիրառության լավ ուսումնասիրված լինելու, անվտանգության ընդունելի մակարդակ </w:t>
            </w:r>
            <w:r w:rsidR="00C54D75">
              <w:rPr>
                <w:rStyle w:val="Bodytext1811pt"/>
                <w:rFonts w:ascii="Sylfaen" w:hAnsi="Sylfaen"/>
                <w:sz w:val="24"/>
                <w:szCs w:val="24"/>
              </w:rPr>
              <w:t>և</w:t>
            </w:r>
            <w:r w:rsidRPr="003B2786">
              <w:rPr>
                <w:rStyle w:val="Bodytext1811pt"/>
                <w:rFonts w:ascii="Sylfaen" w:hAnsi="Sylfaen"/>
                <w:sz w:val="24"/>
                <w:szCs w:val="24"/>
              </w:rPr>
              <w:t xml:space="preserve"> ճանաչված արդյունավետություն ունենալու հանգամանքը ցույց տալու համար: Անհրաժեշտ</w:t>
            </w:r>
            <w:r w:rsidR="005A381A" w:rsidRPr="005A381A">
              <w:rPr>
                <w:rStyle w:val="Bodytext1811pt"/>
                <w:rFonts w:ascii="Sylfaen" w:hAnsi="Sylfaen"/>
                <w:sz w:val="24"/>
                <w:szCs w:val="24"/>
              </w:rPr>
              <w:t> </w:t>
            </w:r>
            <w:r w:rsidRPr="003B2786">
              <w:rPr>
                <w:rStyle w:val="Bodytext1811pt"/>
                <w:rFonts w:ascii="Sylfaen" w:hAnsi="Sylfaen"/>
                <w:sz w:val="24"/>
                <w:szCs w:val="24"/>
              </w:rPr>
              <w:t>է բերել երկրում սովորաբար անցկացվող որոշ հետազոտություններից հրաժարվելու հանգամանքի թույլատրելիության հստակ գիտական հիմնավորում:</w:t>
            </w:r>
          </w:p>
          <w:p w14:paraId="68E313BB" w14:textId="5C33B07E" w:rsidR="008C76E0" w:rsidRPr="008C76E0" w:rsidRDefault="008C76E0" w:rsidP="00B02202">
            <w:pPr>
              <w:pStyle w:val="Bodytext180"/>
              <w:shd w:val="clear" w:color="auto" w:fill="auto"/>
              <w:spacing w:before="0" w:after="160" w:line="384" w:lineRule="auto"/>
              <w:ind w:firstLine="536"/>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դեղապատրաստուկների համար ներկայացվող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ի համար. տվյալ բաժնում անհրաժեշտ է ներկայացնել 1.5.2 մոդուլի փաստաթուղթն այն հիմքերի </w:t>
            </w:r>
            <w:r w:rsidR="00C54D75">
              <w:rPr>
                <w:rStyle w:val="Bodytext1811pt"/>
                <w:rFonts w:ascii="Sylfaen" w:hAnsi="Sylfaen"/>
                <w:sz w:val="24"/>
                <w:szCs w:val="24"/>
              </w:rPr>
              <w:t>և</w:t>
            </w:r>
            <w:r w:rsidRPr="003B2786">
              <w:rPr>
                <w:rStyle w:val="Bodytext1811pt"/>
                <w:rFonts w:ascii="Sylfaen" w:hAnsi="Sylfaen"/>
                <w:sz w:val="24"/>
                <w:szCs w:val="24"/>
              </w:rPr>
              <w:t xml:space="preserve"> փաստերի հակիրճ նկարագրությամբ, որոնք օգտագործվում են դեղապատրաստուկի՝ գրանցված օրիգինալ պատրաստուկին գործնականում համարժեք լինելու հանգամանքը ցույց տալու համար:</w:t>
            </w:r>
          </w:p>
          <w:p w14:paraId="6A78D695" w14:textId="1C463D2E" w:rsidR="008C76E0" w:rsidRPr="008C76E0" w:rsidRDefault="008C76E0" w:rsidP="00B02202">
            <w:pPr>
              <w:pStyle w:val="Bodytext180"/>
              <w:shd w:val="clear" w:color="auto" w:fill="auto"/>
              <w:spacing w:before="0" w:after="160" w:line="384"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ն ներկայացրել է ռիսկերի կառավարման  պլանը (կիրառելիության դեպքում):</w:t>
            </w:r>
          </w:p>
          <w:p w14:paraId="38CCF051" w14:textId="77777777"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 xml:space="preserve">Ներկայացրե՛ք պատրաստուկի կլինիկական մշակման ծրագիրը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մեկնաբանություններ կատարեք կիրառման ու դոզայի վերաբերյալ առաջարկված ցուցումների տեսանկյունից (կիրառելիության դեպքում):</w:t>
            </w:r>
          </w:p>
          <w:p w14:paraId="292C1344" w14:textId="6A5BA6D5" w:rsidR="008C76E0" w:rsidRPr="008C76E0" w:rsidRDefault="008C76E0" w:rsidP="00B02202">
            <w:pPr>
              <w:pStyle w:val="Bodytext180"/>
              <w:shd w:val="clear" w:color="auto" w:fill="auto"/>
              <w:spacing w:before="0" w:after="160" w:line="360" w:lineRule="auto"/>
              <w:ind w:firstLine="550"/>
              <w:jc w:val="both"/>
              <w:rPr>
                <w:rFonts w:ascii="Sylfaen" w:hAnsi="Sylfaen"/>
                <w:b w:val="0"/>
                <w:sz w:val="24"/>
                <w:szCs w:val="24"/>
                <w:lang w:val="hy-AM"/>
              </w:rPr>
            </w:pPr>
            <w:r w:rsidRPr="003B2786">
              <w:rPr>
                <w:rStyle w:val="Bodytext1811pt"/>
                <w:rFonts w:ascii="Sylfaen" w:hAnsi="Sylfaen"/>
                <w:sz w:val="24"/>
                <w:szCs w:val="24"/>
              </w:rPr>
              <w:t>Նշե՛ք՝ անցկացվել է արդյոք գիտական խորհրդատվություն (եթե այո, ապա</w:t>
            </w:r>
            <w:r w:rsidR="009E569B" w:rsidRPr="009E569B">
              <w:rPr>
                <w:rStyle w:val="Bodytext1811pt"/>
                <w:rFonts w:ascii="Sylfaen" w:hAnsi="Sylfaen"/>
                <w:sz w:val="24"/>
                <w:szCs w:val="24"/>
              </w:rPr>
              <w:t> </w:t>
            </w:r>
            <w:r w:rsidRPr="003B2786">
              <w:rPr>
                <w:rStyle w:val="Bodytext1811pt"/>
                <w:rFonts w:ascii="Sylfaen" w:hAnsi="Sylfaen"/>
                <w:sz w:val="24"/>
                <w:szCs w:val="24"/>
              </w:rPr>
              <w:t>ե՞րբ),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իրեն տրված հանձնարարականները: </w:t>
            </w:r>
          </w:p>
          <w:p w14:paraId="1AEBE841" w14:textId="286736FF" w:rsidR="008C76E0" w:rsidRPr="008C76E0" w:rsidRDefault="008C76E0" w:rsidP="00390DAC">
            <w:pPr>
              <w:pStyle w:val="Bodytext180"/>
              <w:shd w:val="clear" w:color="auto" w:fill="auto"/>
              <w:spacing w:before="0" w:after="160" w:line="360" w:lineRule="auto"/>
              <w:ind w:firstLine="548"/>
              <w:jc w:val="both"/>
              <w:rPr>
                <w:rFonts w:ascii="Sylfaen" w:hAnsi="Sylfaen"/>
                <w:b w:val="0"/>
                <w:sz w:val="24"/>
                <w:szCs w:val="24"/>
                <w:lang w:val="hy-AM"/>
              </w:rPr>
            </w:pPr>
            <w:r w:rsidRPr="003B2786">
              <w:rPr>
                <w:rStyle w:val="Bodytext1811pt"/>
                <w:rFonts w:ascii="Sylfaen" w:hAnsi="Sylfaen"/>
                <w:sz w:val="24"/>
                <w:szCs w:val="24"/>
              </w:rPr>
              <w:t xml:space="preserve">Նշե՛ք՝ 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կատարել է Եվրասիական տնտեսական </w:t>
            </w:r>
            <w:r w:rsidRPr="003B2786">
              <w:rPr>
                <w:rStyle w:val="Bodytext1811pt"/>
                <w:rFonts w:ascii="Sylfaen" w:hAnsi="Sylfaen"/>
                <w:sz w:val="24"/>
                <w:szCs w:val="24"/>
              </w:rPr>
              <w:lastRenderedPageBreak/>
              <w:t>միության (այսուհետ՝ ԵԱՏՄ) մարմինների ակտերի պահանջները:</w:t>
            </w:r>
          </w:p>
          <w:p w14:paraId="6739C334" w14:textId="77777777" w:rsidR="008C76E0" w:rsidRPr="008C76E0" w:rsidRDefault="008C76E0" w:rsidP="00390DAC">
            <w:pPr>
              <w:pStyle w:val="Bodytext180"/>
              <w:shd w:val="clear" w:color="auto" w:fill="auto"/>
              <w:spacing w:before="0" w:after="160" w:line="360" w:lineRule="auto"/>
              <w:ind w:firstLine="548"/>
              <w:jc w:val="both"/>
              <w:rPr>
                <w:rFonts w:ascii="Sylfaen" w:hAnsi="Sylfaen"/>
                <w:sz w:val="24"/>
                <w:szCs w:val="24"/>
                <w:lang w:val="hy-AM"/>
              </w:rPr>
            </w:pPr>
            <w:r w:rsidRPr="003B2786">
              <w:rPr>
                <w:rStyle w:val="Bodytext1811pt"/>
                <w:rFonts w:ascii="Sylfaen" w:hAnsi="Sylfaen"/>
                <w:sz w:val="24"/>
                <w:szCs w:val="24"/>
              </w:rPr>
              <w:t>Նշե՛ք մանկաբուժության ոլորտում,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այլ հատուկ պոպուլյացիաներում (տարեց մարդիկ, տղամարդիկ, կանայք, էթնիկ փոքրամասնություններ) առկայությունը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դրանցում կիրառությունը մշակելու անհրաժեշտությունը:</w:t>
            </w:r>
          </w:p>
        </w:tc>
      </w:tr>
    </w:tbl>
    <w:p w14:paraId="3217B22C" w14:textId="77777777" w:rsidR="008C76E0" w:rsidRPr="003B2786" w:rsidRDefault="008C76E0" w:rsidP="00390DAC">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lastRenderedPageBreak/>
        <w:t>II.4.</w:t>
      </w:r>
      <w:r w:rsidRPr="003B2786">
        <w:rPr>
          <w:rFonts w:ascii="Sylfaen" w:hAnsi="Sylfaen"/>
          <w:sz w:val="24"/>
          <w:szCs w:val="24"/>
        </w:rPr>
        <w:tab/>
        <w:t xml:space="preserve">Պատշաճ արտադրական գործունեության (GMP), պատշաճ լաբորատոր գործունեության (GLP), պատշաճ կլինիկական գործունեության (GCP) պահանջների կատարման </w:t>
      </w:r>
      <w:r w:rsidR="00C54D75">
        <w:rPr>
          <w:rFonts w:ascii="Sylfaen" w:hAnsi="Sylfaen"/>
          <w:sz w:val="24"/>
          <w:szCs w:val="24"/>
        </w:rPr>
        <w:t>և</w:t>
      </w:r>
      <w:r w:rsidRPr="003B2786">
        <w:rPr>
          <w:rFonts w:ascii="Sylfaen" w:hAnsi="Sylfaen"/>
          <w:sz w:val="24"/>
          <w:szCs w:val="24"/>
        </w:rPr>
        <w:t xml:space="preserve"> համաձայնեցված էթնիկ սկզբունքների պահպանման վերաբերյալ ընդհանուր դիտողությունները</w:t>
      </w:r>
    </w:p>
    <w:p w14:paraId="521B1C6C" w14:textId="77777777" w:rsidR="008C76E0" w:rsidRPr="008C76E0" w:rsidRDefault="008C76E0" w:rsidP="00390DAC">
      <w:pPr>
        <w:pStyle w:val="Bodytext70"/>
        <w:shd w:val="clear" w:color="auto" w:fill="auto"/>
        <w:spacing w:before="0"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«Ճանաչման պետության կողմից հաստատվել է տվյալ պատրաստուկի մասով պատշաճ արտադրական գործունեության (GMP) ընդունված ստանդարտների պահպանումը` դրա արտադրության </w:t>
      </w:r>
      <w:r w:rsidR="00C54D75">
        <w:rPr>
          <w:rFonts w:ascii="Sylfaen" w:hAnsi="Sylfaen"/>
          <w:b w:val="0"/>
          <w:sz w:val="24"/>
          <w:szCs w:val="24"/>
          <w:lang w:val="hy-AM"/>
        </w:rPr>
        <w:t>և</w:t>
      </w:r>
      <w:r w:rsidRPr="008C76E0">
        <w:rPr>
          <w:rFonts w:ascii="Sylfaen" w:hAnsi="Sylfaen"/>
          <w:b w:val="0"/>
          <w:sz w:val="24"/>
          <w:szCs w:val="24"/>
          <w:lang w:val="hy-AM"/>
        </w:rPr>
        <w:t xml:space="preserve"> փաթեթավորման համար պատասխանատու բոլոր տեղամասերում՝ «բացառությամբ ... Անհրաժեշտ է տեսչական ստուգում անցկացնել տվյալ տեղամասում, քանի որ</w:t>
      </w:r>
      <w:r w:rsidRPr="003B2786">
        <w:rPr>
          <w:rStyle w:val="Bodytext295pt"/>
          <w:rFonts w:ascii="Sylfaen" w:hAnsi="Sylfaen"/>
          <w:sz w:val="24"/>
          <w:szCs w:val="24"/>
        </w:rPr>
        <w:t>»՝</w:t>
      </w:r>
    </w:p>
    <w:p w14:paraId="751E3E49"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«Ճանաչման ... պետությունների տարածքում արտադրամասերի համար ընդունվել են արտադրության թույլտվությունների գործող պատճենները, որոնք տրվել են իրավասու տեսչական մարմինների կողմից՝ ի հաստատումն այդ տեղամասերում GMP-ի ընդունված ստանդարտների պահպանման»,</w:t>
      </w:r>
    </w:p>
    <w:p w14:paraId="24487BA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արտադրամասերի համար ընդունվել են բավարար տեսչական ստուգումների հաշվետվությունների արդյունքներով GMP-ին համապատասխանության գործող սերտիֆիկատների, շտկող գործողությունների արդյունքներով անհամապատասխանությունների վերացման վերաբերյալ կամ իրավասու տեսչական մարմինների (կամ այն երկրների, որոնց հետ Միությունը համաձայնագիր է կնքել իրենց տարածքներում փոխադարձ ճանաչման մասին) կողմից ուղարկված տեղեկատվության փոխանակման վերաբերյալ նամակների օրինակները՝ ի հաստատումն այդպիսի արտադրամասերում GMP -ի ընդունված  ստանդարտների պահպանման»:</w:t>
      </w:r>
    </w:p>
    <w:tbl>
      <w:tblPr>
        <w:tblOverlap w:val="never"/>
        <w:tblW w:w="9576" w:type="dxa"/>
        <w:jc w:val="center"/>
        <w:tblLayout w:type="fixed"/>
        <w:tblCellMar>
          <w:left w:w="10" w:type="dxa"/>
          <w:right w:w="10" w:type="dxa"/>
        </w:tblCellMar>
        <w:tblLook w:val="04A0" w:firstRow="1" w:lastRow="0" w:firstColumn="1" w:lastColumn="0" w:noHBand="0" w:noVBand="1"/>
      </w:tblPr>
      <w:tblGrid>
        <w:gridCol w:w="9576"/>
      </w:tblGrid>
      <w:tr w:rsidR="008C76E0" w:rsidRPr="003B2786" w14:paraId="719185C8" w14:textId="77777777" w:rsidTr="008C76E0">
        <w:trPr>
          <w:jc w:val="center"/>
        </w:trPr>
        <w:tc>
          <w:tcPr>
            <w:tcW w:w="9576" w:type="dxa"/>
            <w:tcBorders>
              <w:top w:val="single" w:sz="4" w:space="0" w:color="auto"/>
              <w:left w:val="single" w:sz="4" w:space="0" w:color="auto"/>
              <w:right w:val="single" w:sz="4" w:space="0" w:color="auto"/>
            </w:tcBorders>
            <w:shd w:val="clear" w:color="auto" w:fill="FFFFFF"/>
          </w:tcPr>
          <w:p w14:paraId="0BBD206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Նշե՛ք այն, ինչ նպատակահարմար է՝ նախնական գնահատման մոդուլների դրույթներին համապատասխան:</w:t>
            </w:r>
          </w:p>
        </w:tc>
      </w:tr>
      <w:tr w:rsidR="008C76E0" w:rsidRPr="003B2786" w14:paraId="2BA5815E" w14:textId="77777777" w:rsidTr="008C76E0">
        <w:trPr>
          <w:trHeight w:val="1685"/>
          <w:jc w:val="center"/>
        </w:trPr>
        <w:tc>
          <w:tcPr>
            <w:tcW w:w="9576" w:type="dxa"/>
            <w:tcBorders>
              <w:left w:val="single" w:sz="4" w:space="0" w:color="auto"/>
              <w:right w:val="single" w:sz="4" w:space="0" w:color="auto"/>
            </w:tcBorders>
            <w:shd w:val="clear" w:color="auto" w:fill="FFFFFF"/>
            <w:vAlign w:val="center"/>
          </w:tcPr>
          <w:p w14:paraId="76C62C7C"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Հարկ է առանձին նշել, թե արդյոք անհրաժեշտություն կա որ</w:t>
            </w:r>
            <w:r w:rsidR="00C54D75">
              <w:rPr>
                <w:rStyle w:val="Bodytext1811pt"/>
                <w:rFonts w:ascii="Sylfaen" w:hAnsi="Sylfaen"/>
                <w:sz w:val="24"/>
                <w:szCs w:val="24"/>
              </w:rPr>
              <w:t>և</w:t>
            </w:r>
            <w:r w:rsidRPr="003B2786">
              <w:rPr>
                <w:rStyle w:val="Bodytext1811pt"/>
                <w:rFonts w:ascii="Sylfaen" w:hAnsi="Sylfaen"/>
                <w:sz w:val="24"/>
                <w:szCs w:val="24"/>
              </w:rPr>
              <w:t xml:space="preserve">է տեսչական ստուգում անցկացնելու (եթե այո, ապա՝ պատշաճ արտադրական գործունեության, պատշաճ լաբորատոր գործունեության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պատշաճ կլինիկական գործունեության հատկապես ո՞ր մասով):</w:t>
            </w:r>
          </w:p>
        </w:tc>
      </w:tr>
      <w:tr w:rsidR="008C76E0" w:rsidRPr="003B2786" w14:paraId="2383072D" w14:textId="77777777" w:rsidTr="008C76E0">
        <w:trPr>
          <w:trHeight w:val="2143"/>
          <w:jc w:val="center"/>
        </w:trPr>
        <w:tc>
          <w:tcPr>
            <w:tcW w:w="9576" w:type="dxa"/>
            <w:tcBorders>
              <w:left w:val="single" w:sz="4" w:space="0" w:color="auto"/>
              <w:right w:val="single" w:sz="4" w:space="0" w:color="auto"/>
            </w:tcBorders>
            <w:shd w:val="clear" w:color="auto" w:fill="FFFFFF"/>
            <w:vAlign w:val="center"/>
          </w:tcPr>
          <w:p w14:paraId="0760B16B"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Մեկ կամ ավելի տեսչական ստուգում անցկացնելու անհրաժեշտության դեպքում որակի,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փորձարկումների վերաբերյալ համապատասխան հաշվետվություններում ներկայացրե՛ք Պատշաճ արտադրական գործունեության, Պատշաճ լաբորատոր գործունեության կամ Պատշաճ կլինիկական գործունեության վերաբերյալ բաժիններում մանրամասն տեղեկատվությանն արված հղումը:</w:t>
            </w:r>
          </w:p>
        </w:tc>
      </w:tr>
      <w:tr w:rsidR="008C76E0" w:rsidRPr="003B2786" w14:paraId="2E0A99ED" w14:textId="77777777" w:rsidTr="008C76E0">
        <w:trPr>
          <w:trHeight w:val="1014"/>
          <w:jc w:val="center"/>
        </w:trPr>
        <w:tc>
          <w:tcPr>
            <w:tcW w:w="9576" w:type="dxa"/>
            <w:tcBorders>
              <w:left w:val="single" w:sz="4" w:space="0" w:color="auto"/>
              <w:right w:val="single" w:sz="4" w:space="0" w:color="auto"/>
            </w:tcBorders>
            <w:shd w:val="clear" w:color="auto" w:fill="FFFFFF"/>
            <w:vAlign w:val="bottom"/>
          </w:tcPr>
          <w:p w14:paraId="74B710C0"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Տեսչական ստուգումներ անցկացնելու կարիքն անհրաժեշտ է նշել սույն փաստաթղթի III </w:t>
            </w:r>
            <w:r w:rsidR="00C54D75">
              <w:rPr>
                <w:rStyle w:val="Bodytext1811pt"/>
                <w:rFonts w:ascii="Sylfaen" w:hAnsi="Sylfaen"/>
                <w:sz w:val="24"/>
                <w:szCs w:val="24"/>
              </w:rPr>
              <w:t>և</w:t>
            </w:r>
            <w:r w:rsidRPr="003B2786">
              <w:rPr>
                <w:rStyle w:val="Bodytext1811pt"/>
                <w:rFonts w:ascii="Sylfaen" w:hAnsi="Sylfaen"/>
                <w:sz w:val="24"/>
                <w:szCs w:val="24"/>
              </w:rPr>
              <w:t xml:space="preserve"> V բաժինների համապատասխան մասերում:</w:t>
            </w:r>
          </w:p>
        </w:tc>
      </w:tr>
      <w:tr w:rsidR="008C76E0" w:rsidRPr="003B2786" w14:paraId="467959A8" w14:textId="77777777" w:rsidTr="008C76E0">
        <w:trPr>
          <w:jc w:val="center"/>
        </w:trPr>
        <w:tc>
          <w:tcPr>
            <w:tcW w:w="9576" w:type="dxa"/>
            <w:tcBorders>
              <w:top w:val="single" w:sz="4" w:space="0" w:color="auto"/>
            </w:tcBorders>
            <w:shd w:val="clear" w:color="auto" w:fill="FFFFFF"/>
            <w:vAlign w:val="center"/>
          </w:tcPr>
          <w:p w14:paraId="67BFDC75" w14:textId="77777777" w:rsidR="008C76E0" w:rsidRPr="008C76E0" w:rsidRDefault="008C76E0" w:rsidP="00390DAC">
            <w:pPr>
              <w:pStyle w:val="Bodytext180"/>
              <w:shd w:val="clear" w:color="auto" w:fill="auto"/>
              <w:spacing w:before="0" w:after="160" w:line="360" w:lineRule="auto"/>
              <w:ind w:left="45" w:right="74" w:firstLine="482"/>
              <w:jc w:val="both"/>
              <w:rPr>
                <w:rFonts w:ascii="Sylfaen" w:hAnsi="Sylfaen"/>
                <w:b w:val="0"/>
                <w:i/>
                <w:sz w:val="24"/>
                <w:szCs w:val="24"/>
                <w:lang w:val="hy-AM"/>
              </w:rPr>
            </w:pPr>
            <w:r w:rsidRPr="003B2786">
              <w:rPr>
                <w:rStyle w:val="Bodytext295pt"/>
                <w:rFonts w:ascii="Sylfaen" w:hAnsi="Sylfaen"/>
                <w:sz w:val="24"/>
                <w:szCs w:val="24"/>
              </w:rPr>
              <w:t>III.</w:t>
            </w:r>
            <w:r w:rsidRPr="003B2786">
              <w:rPr>
                <w:rStyle w:val="Bodytext295pt"/>
                <w:rFonts w:ascii="Sylfaen" w:hAnsi="Sylfaen"/>
                <w:sz w:val="24"/>
                <w:szCs w:val="24"/>
              </w:rPr>
              <w:tab/>
              <w:t xml:space="preserve">Գիտական ակնարկ </w:t>
            </w:r>
            <w:r w:rsidR="00C54D75">
              <w:rPr>
                <w:rStyle w:val="Bodytext295pt"/>
                <w:rFonts w:ascii="Sylfaen" w:hAnsi="Sylfaen"/>
                <w:sz w:val="24"/>
                <w:szCs w:val="24"/>
              </w:rPr>
              <w:t>և</w:t>
            </w:r>
            <w:r w:rsidRPr="003B2786">
              <w:rPr>
                <w:rStyle w:val="Bodytext295pt"/>
                <w:rFonts w:ascii="Sylfaen" w:hAnsi="Sylfaen"/>
                <w:sz w:val="24"/>
                <w:szCs w:val="24"/>
              </w:rPr>
              <w:t xml:space="preserve"> քննարկում</w:t>
            </w:r>
          </w:p>
        </w:tc>
      </w:tr>
      <w:tr w:rsidR="008C76E0" w:rsidRPr="003B2786" w14:paraId="711A7D74" w14:textId="77777777" w:rsidTr="008C76E0">
        <w:trPr>
          <w:trHeight w:val="2570"/>
          <w:jc w:val="center"/>
        </w:trPr>
        <w:tc>
          <w:tcPr>
            <w:tcW w:w="9576" w:type="dxa"/>
            <w:tcBorders>
              <w:top w:val="single" w:sz="4" w:space="0" w:color="auto"/>
              <w:left w:val="single" w:sz="4" w:space="0" w:color="auto"/>
              <w:right w:val="single" w:sz="4" w:space="0" w:color="auto"/>
            </w:tcBorders>
            <w:shd w:val="clear" w:color="auto" w:fill="FFFFFF"/>
          </w:tcPr>
          <w:p w14:paraId="3871641D"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Տվյալ բաժնում կարող է օգտագործվել թիվ 6-8 հավելվածներով նախատեսված «... գնահատման փորձագետների ընդհանուր եզրակացությունները» պարբերություններից վերցված տեղեկատվությունը: Համապատասխան պարբերությունները ներկայացված են թիվ 6-8 հավելվածների համապատասխան մասերի վերջում: Գնահատման փորձագետը կարող է հետագայում իր հայեցողությամբ պատճենել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ավելացնել կամ ներգրել այդ պարբերությունները համապատասխան վերնագրերի ներքո:</w:t>
            </w:r>
          </w:p>
        </w:tc>
      </w:tr>
      <w:tr w:rsidR="008C76E0" w:rsidRPr="003B2786" w14:paraId="17C1B556" w14:textId="77777777" w:rsidTr="008C76E0">
        <w:trPr>
          <w:trHeight w:val="1895"/>
          <w:jc w:val="center"/>
        </w:trPr>
        <w:tc>
          <w:tcPr>
            <w:tcW w:w="9576" w:type="dxa"/>
            <w:tcBorders>
              <w:left w:val="single" w:sz="4" w:space="0" w:color="auto"/>
              <w:right w:val="single" w:sz="4" w:space="0" w:color="auto"/>
            </w:tcBorders>
            <w:shd w:val="clear" w:color="auto" w:fill="FFFFFF"/>
            <w:vAlign w:val="center"/>
          </w:tcPr>
          <w:p w14:paraId="204BD1F0" w14:textId="4152FFE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Ցանկացած դեպքում անհրաժեշտ է հստակ առանձնացնել նախնական գնահատման յուրաքանչյուր մասի առնչությամբ կատարված բոլոր կար</w:t>
            </w:r>
            <w:r w:rsidR="00C54D75">
              <w:rPr>
                <w:rStyle w:val="Bodytext1811pt"/>
                <w:rFonts w:ascii="Sylfaen" w:hAnsi="Sylfaen"/>
                <w:sz w:val="24"/>
                <w:szCs w:val="24"/>
              </w:rPr>
              <w:t>և</w:t>
            </w:r>
            <w:r w:rsidRPr="003B2786">
              <w:rPr>
                <w:rStyle w:val="Bodytext1811pt"/>
                <w:rFonts w:ascii="Sylfaen" w:hAnsi="Sylfaen"/>
                <w:sz w:val="24"/>
                <w:szCs w:val="24"/>
              </w:rPr>
              <w:t>որ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ումները, դիտարկել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հիմքերը, ճանաչման պետության </w:t>
            </w:r>
            <w:r w:rsidRPr="008C76E0">
              <w:rPr>
                <w:rFonts w:ascii="Sylfaen" w:hAnsi="Sylfaen"/>
                <w:b w:val="0"/>
                <w:sz w:val="24"/>
                <w:szCs w:val="24"/>
                <w:lang w:val="hy-AM"/>
              </w:rPr>
              <w:t>հանձնարարականները</w:t>
            </w:r>
            <w:r w:rsidRPr="003B2786">
              <w:rPr>
                <w:rStyle w:val="Bodytext1811pt"/>
                <w:rFonts w:ascii="Sylfaen" w:hAnsi="Sylfaen"/>
                <w:sz w:val="24"/>
                <w:szCs w:val="24"/>
              </w:rPr>
              <w:t>,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ին առաջադրված հարցերը:</w:t>
            </w:r>
          </w:p>
        </w:tc>
      </w:tr>
      <w:tr w:rsidR="008C76E0" w:rsidRPr="003B2786" w14:paraId="788EF00D" w14:textId="77777777" w:rsidTr="008C76E0">
        <w:trPr>
          <w:trHeight w:val="1335"/>
          <w:jc w:val="center"/>
        </w:trPr>
        <w:tc>
          <w:tcPr>
            <w:tcW w:w="9576" w:type="dxa"/>
            <w:tcBorders>
              <w:left w:val="single" w:sz="4" w:space="0" w:color="auto"/>
              <w:right w:val="single" w:sz="4" w:space="0" w:color="auto"/>
            </w:tcBorders>
            <w:shd w:val="clear" w:color="auto" w:fill="FFFFFF"/>
            <w:vAlign w:val="center"/>
          </w:tcPr>
          <w:p w14:paraId="7D567337"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lastRenderedPageBreak/>
              <w:t>Անհրաժեշտ է բավականին մանրամասն շարադրել տվյալ գլուխը՝ դեղապատրաստուկի գնահատման վերաբերյալ հրապարակային հաշվետվություն կազմելու նպատակով այն հետագայում օգտագործելու համար:</w:t>
            </w:r>
          </w:p>
        </w:tc>
      </w:tr>
      <w:tr w:rsidR="008C76E0" w:rsidRPr="003B2786" w14:paraId="61F2EF1B" w14:textId="77777777" w:rsidTr="008C76E0">
        <w:trPr>
          <w:trHeight w:val="3850"/>
          <w:jc w:val="center"/>
        </w:trPr>
        <w:tc>
          <w:tcPr>
            <w:tcW w:w="9576" w:type="dxa"/>
            <w:tcBorders>
              <w:left w:val="single" w:sz="4" w:space="0" w:color="auto"/>
              <w:right w:val="single" w:sz="4" w:space="0" w:color="auto"/>
            </w:tcBorders>
            <w:shd w:val="clear" w:color="auto" w:fill="FFFFFF"/>
            <w:vAlign w:val="bottom"/>
          </w:tcPr>
          <w:p w14:paraId="1E9C124B" w14:textId="09AA6F6F"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 xml:space="preserve">Վերարտադրված դեղամիջոցների </w:t>
            </w:r>
            <w:r w:rsidR="009F5829">
              <w:rPr>
                <w:rStyle w:val="Bodytext1811pt"/>
                <w:rFonts w:ascii="Sylfaen" w:hAnsi="Sylfaen"/>
                <w:sz w:val="24"/>
                <w:szCs w:val="24"/>
              </w:rPr>
              <w:t>դիմումներ</w:t>
            </w:r>
            <w:r w:rsidRPr="003B2786">
              <w:rPr>
                <w:rStyle w:val="Bodytext1811pt"/>
                <w:rFonts w:ascii="Sylfaen" w:hAnsi="Sylfaen"/>
                <w:sz w:val="24"/>
                <w:szCs w:val="24"/>
              </w:rPr>
              <w:t>ի համար.</w:t>
            </w:r>
          </w:p>
          <w:p w14:paraId="64768C8E"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Ռեֆերենտ պատրաստուկ օգտագործվելու դեպքում ռեֆերենտ պետությունն անհրաժեշտ է, որ հստակ նշի, թե արդյոք տվյալ պատրաստուկի կիրառության վերաբերյալ հիմնավորումը հիմնված է սեփական նյութերի, թե Միության այլ անդամ պետության (այսուհետ՝ անդամ պետություն) հարցմամբ ներկայացված տվյալների վրա:</w:t>
            </w:r>
          </w:p>
          <w:p w14:paraId="32FAFE1A" w14:textId="77777777" w:rsidR="008C76E0" w:rsidRPr="008C76E0" w:rsidRDefault="008C76E0" w:rsidP="00390DAC">
            <w:pPr>
              <w:pStyle w:val="Bodytext180"/>
              <w:shd w:val="clear" w:color="auto" w:fill="auto"/>
              <w:spacing w:before="0" w:after="160" w:line="360" w:lineRule="auto"/>
              <w:ind w:left="45" w:right="74" w:firstLine="527"/>
              <w:jc w:val="both"/>
              <w:rPr>
                <w:rFonts w:ascii="Sylfaen" w:hAnsi="Sylfaen"/>
                <w:b w:val="0"/>
                <w:sz w:val="24"/>
                <w:szCs w:val="24"/>
                <w:lang w:val="hy-AM"/>
              </w:rPr>
            </w:pPr>
            <w:r w:rsidRPr="003B2786">
              <w:rPr>
                <w:rStyle w:val="Bodytext1811pt"/>
                <w:rFonts w:ascii="Sylfaen" w:hAnsi="Sylfaen"/>
                <w:sz w:val="24"/>
                <w:szCs w:val="24"/>
              </w:rPr>
              <w:t>Եթե վերարտադրված դեղապատրաստուկի ընդհանուր բնութագիրը տարբերվում է օրիգինալ պատրաստուկի համառոտ բնութագրից, ապա գնահատման վերաբերյալ հաշվետվությունը պետք է ներառի համապատասխան փոփոխությունները հիմնավորող տվյալներ:</w:t>
            </w:r>
          </w:p>
        </w:tc>
      </w:tr>
      <w:tr w:rsidR="008C76E0" w:rsidRPr="003B2786" w14:paraId="0597288F" w14:textId="77777777" w:rsidTr="008C76E0">
        <w:trPr>
          <w:jc w:val="center"/>
        </w:trPr>
        <w:tc>
          <w:tcPr>
            <w:tcW w:w="9576" w:type="dxa"/>
            <w:tcBorders>
              <w:left w:val="single" w:sz="4" w:space="0" w:color="auto"/>
              <w:bottom w:val="single" w:sz="4" w:space="0" w:color="auto"/>
              <w:right w:val="single" w:sz="4" w:space="0" w:color="auto"/>
            </w:tcBorders>
            <w:shd w:val="clear" w:color="auto" w:fill="FFFFFF"/>
            <w:vAlign w:val="bottom"/>
          </w:tcPr>
          <w:p w14:paraId="3FCBB979" w14:textId="77777777" w:rsidR="008C76E0" w:rsidRPr="003B2786" w:rsidRDefault="008C76E0" w:rsidP="00390DAC">
            <w:pPr>
              <w:pStyle w:val="Bodytext80"/>
              <w:shd w:val="clear" w:color="auto" w:fill="auto"/>
              <w:spacing w:before="0" w:after="160" w:line="360" w:lineRule="auto"/>
              <w:ind w:left="45" w:right="74" w:firstLine="527"/>
              <w:jc w:val="both"/>
              <w:rPr>
                <w:rStyle w:val="Bodytext1811pt"/>
                <w:rFonts w:ascii="Sylfaen" w:hAnsi="Sylfaen"/>
                <w:sz w:val="24"/>
                <w:szCs w:val="24"/>
              </w:rPr>
            </w:pPr>
            <w:r w:rsidRPr="008C76E0">
              <w:rPr>
                <w:rStyle w:val="Bodytext8Exact"/>
                <w:rFonts w:ascii="Sylfaen" w:hAnsi="Sylfaen"/>
                <w:sz w:val="24"/>
                <w:szCs w:val="24"/>
                <w:lang w:val="hy-AM"/>
              </w:rPr>
              <w:t>Եթե ռեֆերենտ դեղապատրաստուկի ընդհանուր բնութագիրը հաստատվել է Միությունում, ապա այլ բան նշված չլինելու դեպքում դեղապատրաստուկի այդ ընդհանուր բնութագիրն անհրաժեշտ է օգտագործել մի</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նույն ակտիվ նյութն ու բացթողման ձ</w:t>
            </w:r>
            <w:r w:rsidR="00C54D75">
              <w:rPr>
                <w:rStyle w:val="Bodytext8Exact"/>
                <w:rFonts w:ascii="Sylfaen" w:hAnsi="Sylfaen"/>
                <w:sz w:val="24"/>
                <w:szCs w:val="24"/>
                <w:lang w:val="hy-AM"/>
              </w:rPr>
              <w:t>և</w:t>
            </w:r>
            <w:r w:rsidRPr="008C76E0">
              <w:rPr>
                <w:rStyle w:val="Bodytext8Exact"/>
                <w:rFonts w:ascii="Sylfaen" w:hAnsi="Sylfaen"/>
                <w:sz w:val="24"/>
                <w:szCs w:val="24"/>
                <w:lang w:val="hy-AM"/>
              </w:rPr>
              <w:t>ն ունեցող դեղապատրաստուկների համար:</w:t>
            </w:r>
          </w:p>
        </w:tc>
      </w:tr>
    </w:tbl>
    <w:p w14:paraId="12FBA203" w14:textId="77777777" w:rsidR="008C76E0" w:rsidRPr="003B2786" w:rsidRDefault="008C76E0" w:rsidP="00390DAC">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III.1.</w:t>
      </w:r>
      <w:r w:rsidRPr="003B2786">
        <w:rPr>
          <w:rFonts w:ascii="Sylfaen" w:hAnsi="Sylfaen"/>
          <w:sz w:val="24"/>
          <w:szCs w:val="24"/>
        </w:rPr>
        <w:tab/>
        <w:t xml:space="preserve">Որակի ասպեկտները </w:t>
      </w:r>
    </w:p>
    <w:p w14:paraId="5A82F912"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Դեղանյութը</w:t>
      </w:r>
    </w:p>
    <w:p w14:paraId="6D9A1947"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անվանումը» մասով քիմիադեղագործական փաստաթղթերը </w:t>
      </w:r>
      <w:r w:rsidR="00C54D75">
        <w:rPr>
          <w:rFonts w:ascii="Sylfaen" w:hAnsi="Sylfaen"/>
          <w:b w:val="0"/>
          <w:sz w:val="24"/>
          <w:szCs w:val="24"/>
          <w:lang w:val="hy-AM"/>
        </w:rPr>
        <w:t>և</w:t>
      </w:r>
      <w:r w:rsidRPr="008C76E0">
        <w:rPr>
          <w:rFonts w:ascii="Sylfaen" w:hAnsi="Sylfaen"/>
          <w:b w:val="0"/>
          <w:sz w:val="24"/>
          <w:szCs w:val="24"/>
          <w:lang w:val="hy-AM"/>
        </w:rPr>
        <w:t xml:space="preserve"> որակի վերաբերյալ ընդհանուր ռեզյումեն գործող նորմատիվ պահանջների տեսանկյունից ունեն ընդունելի որակ»:</w:t>
      </w:r>
    </w:p>
    <w:p w14:paraId="4BC8AEA8" w14:textId="77777777"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 xml:space="preserve">«Դեղապատրաստուկի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CE1323A" w14:textId="75C2C97C" w:rsidR="008C76E0" w:rsidRPr="008C76E0" w:rsidRDefault="008C76E0" w:rsidP="009211E1">
      <w:pPr>
        <w:pStyle w:val="Bodytext70"/>
        <w:shd w:val="clear" w:color="auto" w:fill="auto"/>
        <w:spacing w:before="0" w:after="160" w:line="336" w:lineRule="auto"/>
        <w:ind w:firstLine="567"/>
        <w:rPr>
          <w:rFonts w:ascii="Sylfaen" w:hAnsi="Sylfaen"/>
          <w:b w:val="0"/>
          <w:sz w:val="24"/>
          <w:szCs w:val="24"/>
          <w:lang w:val="hy-AM"/>
        </w:rPr>
      </w:pPr>
      <w:r w:rsidRPr="008C76E0">
        <w:rPr>
          <w:rFonts w:ascii="Sylfaen" w:hAnsi="Sylfaen"/>
          <w:b w:val="0"/>
          <w:sz w:val="24"/>
          <w:szCs w:val="24"/>
          <w:lang w:val="hy-AM"/>
        </w:rPr>
        <w:t>«Դեղանյութի մասով անցկացվել են կայունության փորձարկումներ: Որ</w:t>
      </w:r>
      <w:r w:rsidR="00C54D75">
        <w:rPr>
          <w:rFonts w:ascii="Sylfaen" w:hAnsi="Sylfaen"/>
          <w:b w:val="0"/>
          <w:sz w:val="24"/>
          <w:szCs w:val="24"/>
          <w:lang w:val="hy-AM"/>
        </w:rPr>
        <w:t>և</w:t>
      </w:r>
      <w:r w:rsidRPr="008C76E0">
        <w:rPr>
          <w:rFonts w:ascii="Sylfaen" w:hAnsi="Sylfaen"/>
          <w:b w:val="0"/>
          <w:sz w:val="24"/>
          <w:szCs w:val="24"/>
          <w:lang w:val="hy-AM"/>
        </w:rPr>
        <w:t xml:space="preserve">է պարամետրի զգալի փոփոխություններ չեն </w:t>
      </w:r>
      <w:r w:rsidR="00FE4A71">
        <w:rPr>
          <w:rFonts w:ascii="Sylfaen" w:hAnsi="Sylfaen"/>
          <w:b w:val="0"/>
          <w:sz w:val="24"/>
          <w:szCs w:val="24"/>
          <w:lang w:val="hy-AM"/>
        </w:rPr>
        <w:t xml:space="preserve">հայտնաբերվել </w:t>
      </w:r>
      <w:r w:rsidRPr="008C76E0">
        <w:rPr>
          <w:rFonts w:ascii="Sylfaen" w:hAnsi="Sylfaen"/>
          <w:b w:val="0"/>
          <w:sz w:val="24"/>
          <w:szCs w:val="24"/>
          <w:lang w:val="hy-AM"/>
        </w:rPr>
        <w:t xml:space="preserve">: Կրկնակի փորձարկումներ անցկացնելու առաջարկվող ժամկետը </w:t>
      </w:r>
      <w:r w:rsidRPr="003B2786">
        <w:rPr>
          <w:rStyle w:val="Bodytext295pt"/>
          <w:rFonts w:ascii="Sylfaen" w:hAnsi="Sylfaen"/>
          <w:sz w:val="24"/>
          <w:szCs w:val="24"/>
        </w:rPr>
        <w:t xml:space="preserve">«...» </w:t>
      </w:r>
      <w:r w:rsidRPr="008C76E0">
        <w:rPr>
          <w:rFonts w:ascii="Sylfaen" w:hAnsi="Sylfaen"/>
          <w:b w:val="0"/>
          <w:sz w:val="24"/>
          <w:szCs w:val="24"/>
          <w:lang w:val="hy-AM"/>
        </w:rPr>
        <w:t>հիմնավորված է»:</w:t>
      </w:r>
    </w:p>
    <w:p w14:paraId="1650DB0D"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Դեղապատրաստուկը</w:t>
      </w:r>
    </w:p>
    <w:p w14:paraId="36F03E7E"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«Նկարագրված է պատրաստուկի մշակումը, հիմնավորված է օժանդակ նյութերի ընտրությունը </w:t>
      </w:r>
      <w:r w:rsidR="00C54D75">
        <w:rPr>
          <w:rFonts w:ascii="Sylfaen" w:hAnsi="Sylfaen"/>
          <w:b w:val="0"/>
          <w:sz w:val="24"/>
          <w:szCs w:val="24"/>
          <w:lang w:val="hy-AM"/>
        </w:rPr>
        <w:t>և</w:t>
      </w:r>
      <w:r w:rsidRPr="008C76E0">
        <w:rPr>
          <w:rFonts w:ascii="Sylfaen" w:hAnsi="Sylfaen"/>
          <w:b w:val="0"/>
          <w:sz w:val="24"/>
          <w:szCs w:val="24"/>
          <w:lang w:val="hy-AM"/>
        </w:rPr>
        <w:t xml:space="preserve"> պարզաբանվել են դրանց ֆունկցիաները»:</w:t>
      </w:r>
    </w:p>
    <w:p w14:paraId="399A272A"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«Պատրաստուկի մասնագրերն ընդգրկում են տվյալ դեղապատրաստուկի համար նախատեսված համապատասխան պարամետրերը: Ներկայացվել է վերլուծական մեթոդիկաների վալիդացումը: Անցկացվել է խմբաքանակների վերլուծություն՝ ըստ «համարը» սերիաների: Խմբաքանակի վերլուծության արդյունքների համաձայն՝ պատրաստի պատրաստուկները համապատասխանում են առաջարկված մասնագրերի պահանջներին»:</w:t>
      </w:r>
    </w:p>
    <w:p w14:paraId="69DD435B"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«Կայունության փորձարկումների ընթացքում պայմանները համապատասխանում են Ներդաշնակեցման միջազգային համաժողովի (ICH)՝ կայունության փորձարկումների անցկացման կանոններին: Դեղանյութի ստուգիչ թեստերը </w:t>
      </w:r>
      <w:r w:rsidR="00C54D75">
        <w:rPr>
          <w:rFonts w:ascii="Sylfaen" w:hAnsi="Sylfaen"/>
          <w:b w:val="0"/>
          <w:sz w:val="24"/>
          <w:szCs w:val="24"/>
          <w:lang w:val="hy-AM"/>
        </w:rPr>
        <w:t>և</w:t>
      </w:r>
      <w:r w:rsidRPr="008C76E0">
        <w:rPr>
          <w:rFonts w:ascii="Sylfaen" w:hAnsi="Sylfaen"/>
          <w:b w:val="0"/>
          <w:sz w:val="24"/>
          <w:szCs w:val="24"/>
          <w:lang w:val="hy-AM"/>
        </w:rPr>
        <w:t xml:space="preserve"> մասնագրերը կազմված են պատշաճ ձ</w:t>
      </w:r>
      <w:r w:rsidR="00C54D75">
        <w:rPr>
          <w:rFonts w:ascii="Sylfaen" w:hAnsi="Sylfaen"/>
          <w:b w:val="0"/>
          <w:sz w:val="24"/>
          <w:szCs w:val="24"/>
          <w:lang w:val="hy-AM"/>
        </w:rPr>
        <w:t>և</w:t>
      </w:r>
      <w:r w:rsidRPr="008C76E0">
        <w:rPr>
          <w:rFonts w:ascii="Sylfaen" w:hAnsi="Sylfaen"/>
          <w:b w:val="0"/>
          <w:sz w:val="24"/>
          <w:szCs w:val="24"/>
          <w:lang w:val="hy-AM"/>
        </w:rPr>
        <w:t>ով»:</w:t>
      </w:r>
    </w:p>
    <w:p w14:paraId="686DF6BD"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Դեղապատրաստուկի համար «նշել պահպանման պայմանները» դեպքում «քանակը» ամիսների ընթացքում պահպանման առաջարկվող ժամկետը համարվում է ընդունելի»:</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9619"/>
      </w:tblGrid>
      <w:tr w:rsidR="008C76E0" w:rsidRPr="003B2786" w14:paraId="09E6A188" w14:textId="77777777" w:rsidTr="008C76E0">
        <w:trPr>
          <w:jc w:val="center"/>
        </w:trPr>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14:paraId="5D9F9417"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Նշե՛ք այն, ինչ նպատակահարմար է՝ նախնական գնահատման մոդուլների դրույթներին համապատասխան:</w:t>
            </w:r>
          </w:p>
          <w:p w14:paraId="4E01119E"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Կարելի է ավելացնել հետ</w:t>
            </w:r>
            <w:r w:rsidR="00C54D75">
              <w:rPr>
                <w:rStyle w:val="Bodytext1811pt"/>
                <w:rFonts w:ascii="Sylfaen" w:hAnsi="Sylfaen"/>
                <w:sz w:val="24"/>
                <w:szCs w:val="24"/>
              </w:rPr>
              <w:t>և</w:t>
            </w:r>
            <w:r w:rsidRPr="003B2786">
              <w:rPr>
                <w:rStyle w:val="Bodytext1811pt"/>
                <w:rFonts w:ascii="Sylfaen" w:hAnsi="Sylfaen"/>
                <w:sz w:val="24"/>
                <w:szCs w:val="24"/>
              </w:rPr>
              <w:t>յալ տեղեկատվությունը.</w:t>
            </w:r>
          </w:p>
          <w:p w14:paraId="1A0DBD62" w14:textId="77777777"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լուծելիության մասով փորձարկումների արդյունքների վերաբերյալ ընդհանուր տեղեկատվությունը,</w:t>
            </w:r>
          </w:p>
          <w:p w14:paraId="1C270A0F" w14:textId="654CCDF8" w:rsidR="008C76E0" w:rsidRPr="003B2786" w:rsidRDefault="008C76E0" w:rsidP="00390DAC">
            <w:pPr>
              <w:pStyle w:val="Bodytext180"/>
              <w:shd w:val="clear" w:color="auto" w:fill="auto"/>
              <w:tabs>
                <w:tab w:val="left" w:pos="1107"/>
              </w:tabs>
              <w:spacing w:before="0" w:after="160" w:line="360" w:lineRule="auto"/>
              <w:ind w:left="110" w:right="40" w:firstLine="426"/>
              <w:jc w:val="both"/>
              <w:rPr>
                <w:rStyle w:val="Bodytext1811pt"/>
                <w:rFonts w:ascii="Sylfaen" w:hAnsi="Sylfaen"/>
                <w:sz w:val="24"/>
                <w:szCs w:val="24"/>
              </w:rPr>
            </w:pPr>
            <w:r w:rsidRPr="008C76E0">
              <w:rPr>
                <w:rFonts w:ascii="Sylfaen" w:hAnsi="Sylfaen"/>
                <w:b w:val="0"/>
                <w:sz w:val="24"/>
                <w:szCs w:val="24"/>
                <w:lang w:val="hy-AM"/>
              </w:rPr>
              <w:t>-</w:t>
            </w:r>
            <w:r w:rsidRPr="008C76E0">
              <w:rPr>
                <w:rFonts w:ascii="Sylfaen" w:hAnsi="Sylfaen"/>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ն այն մասին, որ օգտագործված ակտիվ բաղադրիչները </w:t>
            </w:r>
            <w:r w:rsidR="00C54D75">
              <w:rPr>
                <w:rStyle w:val="Bodytext1811pt"/>
                <w:rFonts w:ascii="Sylfaen" w:hAnsi="Sylfaen"/>
                <w:sz w:val="24"/>
                <w:szCs w:val="24"/>
              </w:rPr>
              <w:t>և</w:t>
            </w:r>
            <w:r w:rsidRPr="003B2786">
              <w:rPr>
                <w:rStyle w:val="Bodytext1811pt"/>
                <w:rFonts w:ascii="Sylfaen" w:hAnsi="Sylfaen"/>
                <w:sz w:val="24"/>
                <w:szCs w:val="24"/>
              </w:rPr>
              <w:t xml:space="preserve"> օժանդակ նյութերը քաջ </w:t>
            </w:r>
            <w:r w:rsidR="005F6A31">
              <w:rPr>
                <w:rStyle w:val="Bodytext1811pt"/>
                <w:rFonts w:ascii="Sylfaen" w:hAnsi="Sylfaen"/>
                <w:sz w:val="24"/>
                <w:szCs w:val="24"/>
              </w:rPr>
              <w:t>հայտնի</w:t>
            </w:r>
            <w:r w:rsidRPr="003B2786">
              <w:rPr>
                <w:rStyle w:val="Bodytext1811pt"/>
                <w:rFonts w:ascii="Sylfaen" w:hAnsi="Sylfaen"/>
                <w:sz w:val="24"/>
                <w:szCs w:val="24"/>
              </w:rPr>
              <w:t xml:space="preserve"> 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դեղագրքային պատշաճ որակ, </w:t>
            </w:r>
          </w:p>
          <w:p w14:paraId="20B9906E" w14:textId="05F6B0FD" w:rsidR="008C76E0" w:rsidRPr="008C76E0" w:rsidRDefault="008C76E0" w:rsidP="00390DAC">
            <w:pPr>
              <w:pStyle w:val="Bodytext180"/>
              <w:shd w:val="clear" w:color="auto" w:fill="auto"/>
              <w:tabs>
                <w:tab w:val="left" w:pos="1107"/>
              </w:tabs>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w:t>
            </w:r>
            <w:r w:rsidRPr="003B2786">
              <w:rPr>
                <w:rStyle w:val="Bodytext1811pt"/>
                <w:rFonts w:ascii="Sylfaen" w:hAnsi="Sylfaen"/>
                <w:sz w:val="24"/>
                <w:szCs w:val="24"/>
              </w:rPr>
              <w:tab/>
              <w:t xml:space="preserve">Դեղամիջոցների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առողջապահության (EDQM) որակի հարցերով Եվրոպայի ղեկավարության կողմից տրված ակտիվ նյութի կայունության հավաստագրի մասին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0B9A8011" w14:textId="77777777" w:rsidTr="008C76E0">
        <w:trPr>
          <w:jc w:val="center"/>
        </w:trPr>
        <w:tc>
          <w:tcPr>
            <w:tcW w:w="9619" w:type="dxa"/>
            <w:tcBorders>
              <w:top w:val="single" w:sz="4" w:space="0" w:color="auto"/>
            </w:tcBorders>
            <w:shd w:val="clear" w:color="auto" w:fill="FFFFFF"/>
            <w:vAlign w:val="bottom"/>
          </w:tcPr>
          <w:p w14:paraId="6FCFA283" w14:textId="77777777" w:rsidR="008C76E0" w:rsidRPr="003B2786" w:rsidRDefault="008C76E0" w:rsidP="00390DAC">
            <w:pPr>
              <w:pStyle w:val="Bodytext180"/>
              <w:shd w:val="clear" w:color="auto" w:fill="auto"/>
              <w:spacing w:before="0" w:after="160" w:line="360" w:lineRule="auto"/>
              <w:ind w:left="108" w:right="40" w:firstLine="425"/>
              <w:jc w:val="both"/>
              <w:rPr>
                <w:rFonts w:ascii="Sylfaen" w:hAnsi="Sylfaen"/>
                <w:b w:val="0"/>
                <w:bCs w:val="0"/>
                <w:i/>
                <w:iCs/>
                <w:color w:val="000000"/>
                <w:sz w:val="24"/>
                <w:szCs w:val="24"/>
                <w:shd w:val="clear" w:color="auto" w:fill="FFFFFF"/>
              </w:rPr>
            </w:pPr>
            <w:r w:rsidRPr="003B2786">
              <w:rPr>
                <w:rStyle w:val="Bodytext295pt"/>
                <w:rFonts w:ascii="Sylfaen" w:hAnsi="Sylfaen"/>
                <w:sz w:val="24"/>
                <w:szCs w:val="24"/>
              </w:rPr>
              <w:lastRenderedPageBreak/>
              <w:t>III.2.</w:t>
            </w:r>
            <w:r w:rsidRPr="003B2786">
              <w:rPr>
                <w:rStyle w:val="Bodytext295pt"/>
                <w:rFonts w:ascii="Sylfaen" w:hAnsi="Sylfaen"/>
                <w:sz w:val="24"/>
                <w:szCs w:val="24"/>
                <w:lang w:val="en-US"/>
              </w:rPr>
              <w:tab/>
            </w:r>
            <w:r w:rsidRPr="003B2786">
              <w:rPr>
                <w:rStyle w:val="Bodytext295pt"/>
                <w:rFonts w:ascii="Sylfaen" w:hAnsi="Sylfaen"/>
                <w:sz w:val="24"/>
                <w:szCs w:val="24"/>
              </w:rPr>
              <w:t>Նախակլինիկական ասպեկտները</w:t>
            </w:r>
          </w:p>
        </w:tc>
      </w:tr>
      <w:tr w:rsidR="008C76E0" w:rsidRPr="003B2786" w14:paraId="60A73207"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412FC50C" w14:textId="4352FC99"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ում խոսքը, որպես կանոն, առկա նյութերի մասին է: Նախակլինիկական գնահատում անցկացնելիս անհրաժեշտ</w:t>
            </w:r>
            <w:r>
              <w:rPr>
                <w:rStyle w:val="Bodytext1811pt"/>
                <w:rFonts w:ascii="Sylfaen" w:hAnsi="Sylfaen"/>
                <w:sz w:val="24"/>
                <w:szCs w:val="24"/>
              </w:rPr>
              <w:t> </w:t>
            </w:r>
            <w:r w:rsidRPr="003B2786">
              <w:rPr>
                <w:rStyle w:val="Bodytext1811pt"/>
                <w:rFonts w:ascii="Sylfaen" w:hAnsi="Sylfaen"/>
                <w:sz w:val="24"/>
                <w:szCs w:val="24"/>
              </w:rPr>
              <w:t>է ուշադրությունը կենտրոնացնել նոր տեղեկատվության վրա: Թույլատրվում է նախակլինիկական գնահատում չանցկացնել միայն այն դեպքերում, երբ պատրաստուկը կարելի է դասել թե՛ ռեֆերենտ պետությունում, թե՛ ճանաչման պետությունում լավ ուսումնասիրված կատեգորիայի շարքին,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նախակլինիկական հետազոտությունների արդյունքների վերաբերյալ նոր տվյալների բացակայության դեպքում: Սակայն ԴՊԸԲ-ի վրա ազդելու ունակ նախակլինիկական հետազոտությունների նոր տվյալների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գալու ժամանակ (օրինակ՝ հղիության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կրծքով կերակրման, QT միջակայքի նկատմամբ </w:t>
            </w:r>
            <w:r w:rsidR="00C54D75">
              <w:rPr>
                <w:rStyle w:val="Bodytext1811pt"/>
                <w:rFonts w:ascii="Sylfaen" w:hAnsi="Sylfaen"/>
                <w:sz w:val="24"/>
                <w:szCs w:val="24"/>
              </w:rPr>
              <w:t>և</w:t>
            </w:r>
            <w:r w:rsidRPr="003B2786">
              <w:rPr>
                <w:rStyle w:val="Bodytext1811pt"/>
                <w:rFonts w:ascii="Sylfaen" w:hAnsi="Sylfaen"/>
                <w:sz w:val="24"/>
                <w:szCs w:val="24"/>
              </w:rPr>
              <w:t xml:space="preserve"> այլն) պետք է անցկացնել նոր նախակլինիկական գնահատում:</w:t>
            </w:r>
          </w:p>
        </w:tc>
      </w:tr>
      <w:tr w:rsidR="008C76E0" w:rsidRPr="003B2786" w14:paraId="21F20077" w14:textId="77777777" w:rsidTr="008C76E0">
        <w:trPr>
          <w:jc w:val="center"/>
        </w:trPr>
        <w:tc>
          <w:tcPr>
            <w:tcW w:w="9619" w:type="dxa"/>
            <w:tcBorders>
              <w:left w:val="single" w:sz="4" w:space="0" w:color="auto"/>
              <w:right w:val="single" w:sz="4" w:space="0" w:color="auto"/>
            </w:tcBorders>
            <w:shd w:val="clear" w:color="auto" w:fill="FFFFFF"/>
            <w:vAlign w:val="bottom"/>
          </w:tcPr>
          <w:p w14:paraId="09371A20" w14:textId="32D6DB5E"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դոյսեի»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նախակլինիկական հետազոտությունների տվյալները: Գնահատման վերաբերյալ հաշվետվության մեջ անհրաժեշտ է նշել, թե արդյոք ներկայացված հետազոտությունները (գրական հրապարակումները) որ</w:t>
            </w:r>
            <w:r w:rsidR="00C54D75">
              <w:rPr>
                <w:rStyle w:val="Bodytext1811pt"/>
                <w:rFonts w:ascii="Sylfaen" w:hAnsi="Sylfaen"/>
                <w:sz w:val="24"/>
                <w:szCs w:val="24"/>
              </w:rPr>
              <w:t>և</w:t>
            </w:r>
            <w:r w:rsidRPr="003B2786">
              <w:rPr>
                <w:rStyle w:val="Bodytext1811pt"/>
                <w:rFonts w:ascii="Sylfaen" w:hAnsi="Sylfaen"/>
                <w:sz w:val="24"/>
                <w:szCs w:val="24"/>
              </w:rPr>
              <w:t>է նշանակություն ունեն դեղապատրաստուկի համար: Եթե որոշ հետազոտություններ չեն անցկացվել, ապա անհրաժեշտ է ներկայացնել այդ հետազոտություններից հրաժարվելու հստակ գիտական հիմնավորումը՝ ելնելով թիվ 1 հավելվածով նախատեսված «լավ ուսումնասիրված բժշկական կիրառման» չափանիշներից:</w:t>
            </w:r>
          </w:p>
        </w:tc>
      </w:tr>
      <w:tr w:rsidR="008C76E0" w:rsidRPr="003B2786" w14:paraId="4E93D7E0" w14:textId="77777777" w:rsidTr="008C76E0">
        <w:trPr>
          <w:trHeight w:val="738"/>
          <w:jc w:val="center"/>
        </w:trPr>
        <w:tc>
          <w:tcPr>
            <w:tcW w:w="9619" w:type="dxa"/>
            <w:tcBorders>
              <w:top w:val="single" w:sz="4" w:space="0" w:color="auto"/>
            </w:tcBorders>
            <w:shd w:val="clear" w:color="auto" w:fill="FFFFFF"/>
            <w:vAlign w:val="bottom"/>
          </w:tcPr>
          <w:p w14:paraId="5C08899B"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Դեղաբանություն</w:t>
            </w:r>
          </w:p>
        </w:tc>
      </w:tr>
      <w:tr w:rsidR="008C76E0" w:rsidRPr="003B2786" w14:paraId="1DE81192" w14:textId="77777777" w:rsidTr="008C76E0">
        <w:trPr>
          <w:trHeight w:val="636"/>
          <w:jc w:val="center"/>
        </w:trPr>
        <w:tc>
          <w:tcPr>
            <w:tcW w:w="9619" w:type="dxa"/>
            <w:shd w:val="clear" w:color="auto" w:fill="FFFFFF"/>
            <w:vAlign w:val="center"/>
          </w:tcPr>
          <w:p w14:paraId="18CD7AAE"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Դեղակինետիկա</w:t>
            </w:r>
          </w:p>
        </w:tc>
      </w:tr>
      <w:tr w:rsidR="008C76E0" w:rsidRPr="003B2786" w14:paraId="1A789373" w14:textId="77777777" w:rsidTr="008C76E0">
        <w:trPr>
          <w:trHeight w:val="818"/>
          <w:jc w:val="center"/>
        </w:trPr>
        <w:tc>
          <w:tcPr>
            <w:tcW w:w="9619" w:type="dxa"/>
            <w:shd w:val="clear" w:color="auto" w:fill="FFFFFF"/>
            <w:vAlign w:val="center"/>
          </w:tcPr>
          <w:p w14:paraId="6AF6D5E5" w14:textId="77777777" w:rsidR="008C76E0" w:rsidRPr="003B2786" w:rsidRDefault="008C76E0" w:rsidP="00390DAC">
            <w:pPr>
              <w:pStyle w:val="Bodytext180"/>
              <w:shd w:val="clear" w:color="auto" w:fill="auto"/>
              <w:spacing w:before="0" w:after="160" w:line="360" w:lineRule="auto"/>
              <w:ind w:left="110" w:right="40" w:firstLine="426"/>
              <w:jc w:val="both"/>
              <w:rPr>
                <w:rFonts w:ascii="Sylfaen" w:hAnsi="Sylfaen"/>
                <w:b w:val="0"/>
                <w:sz w:val="24"/>
                <w:szCs w:val="24"/>
              </w:rPr>
            </w:pPr>
            <w:r w:rsidRPr="003B2786">
              <w:rPr>
                <w:rStyle w:val="Bodytext295pt"/>
                <w:rFonts w:ascii="Sylfaen" w:hAnsi="Sylfaen"/>
                <w:sz w:val="24"/>
                <w:szCs w:val="24"/>
              </w:rPr>
              <w:t>Տոքսիկոլոգիա</w:t>
            </w:r>
          </w:p>
        </w:tc>
      </w:tr>
      <w:tr w:rsidR="008C76E0" w:rsidRPr="003B2786" w14:paraId="65151A12" w14:textId="77777777" w:rsidTr="008C76E0">
        <w:trPr>
          <w:jc w:val="center"/>
        </w:trPr>
        <w:tc>
          <w:tcPr>
            <w:tcW w:w="9619" w:type="dxa"/>
            <w:shd w:val="clear" w:color="auto" w:fill="FFFFFF"/>
          </w:tcPr>
          <w:p w14:paraId="1EBD73ED" w14:textId="77777777" w:rsidR="008C76E0" w:rsidRPr="003B2786" w:rsidRDefault="008C76E0" w:rsidP="00390DAC">
            <w:pPr>
              <w:pStyle w:val="Bodytext180"/>
              <w:shd w:val="clear" w:color="auto" w:fill="auto"/>
              <w:spacing w:before="0" w:after="160" w:line="360" w:lineRule="auto"/>
              <w:ind w:right="40" w:firstLine="537"/>
              <w:jc w:val="both"/>
              <w:rPr>
                <w:rFonts w:ascii="Sylfaen" w:hAnsi="Sylfaen"/>
                <w:i/>
                <w:sz w:val="24"/>
                <w:szCs w:val="24"/>
              </w:rPr>
            </w:pPr>
            <w:r w:rsidRPr="003B2786">
              <w:rPr>
                <w:rStyle w:val="Bodytext295pt"/>
                <w:rFonts w:ascii="Sylfaen" w:hAnsi="Sylfaen"/>
                <w:sz w:val="24"/>
                <w:szCs w:val="24"/>
              </w:rPr>
              <w:t>III.3.</w:t>
            </w:r>
            <w:r w:rsidRPr="003B2786">
              <w:rPr>
                <w:rStyle w:val="Bodytext295pt"/>
                <w:rFonts w:ascii="Sylfaen" w:hAnsi="Sylfaen"/>
                <w:sz w:val="24"/>
                <w:szCs w:val="24"/>
                <w:lang w:val="en-US"/>
              </w:rPr>
              <w:tab/>
            </w:r>
            <w:r w:rsidRPr="003B2786">
              <w:rPr>
                <w:rStyle w:val="Bodytext295pt"/>
                <w:rFonts w:ascii="Sylfaen" w:hAnsi="Sylfaen"/>
                <w:sz w:val="24"/>
                <w:szCs w:val="24"/>
              </w:rPr>
              <w:t>Կլինիկական ասպեկտները</w:t>
            </w:r>
          </w:p>
        </w:tc>
      </w:tr>
      <w:tr w:rsidR="008C76E0" w:rsidRPr="003B2786" w14:paraId="024381C3" w14:textId="77777777" w:rsidTr="008C76E0">
        <w:trPr>
          <w:jc w:val="center"/>
        </w:trPr>
        <w:tc>
          <w:tcPr>
            <w:tcW w:w="9619" w:type="dxa"/>
            <w:tcBorders>
              <w:top w:val="single" w:sz="4" w:space="0" w:color="auto"/>
              <w:left w:val="single" w:sz="4" w:space="0" w:color="auto"/>
              <w:right w:val="single" w:sz="4" w:space="0" w:color="auto"/>
            </w:tcBorders>
            <w:shd w:val="clear" w:color="auto" w:fill="FFFFFF"/>
          </w:tcPr>
          <w:p w14:paraId="75960F9C" w14:textId="19F502DF"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Վերարտադրված պատրաստուկների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w:t>
            </w:r>
          </w:p>
          <w:p w14:paraId="18E1C32B"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Համակարգային ազդեցության դեղամիջոցների համար տվյալ բաժնում պետք է </w:t>
            </w:r>
            <w:r w:rsidRPr="003B2786">
              <w:rPr>
                <w:rStyle w:val="Bodytext1811pt"/>
                <w:rFonts w:ascii="Sylfaen" w:hAnsi="Sylfaen"/>
                <w:sz w:val="24"/>
                <w:szCs w:val="24"/>
              </w:rPr>
              <w:lastRenderedPageBreak/>
              <w:t>լուսաբանել կենսահամարժեքության հետազոտությունների անցկացման անհրաժեշտությունը կամ ներկայացնել այդ հետազոտությունների նշանակության բացակայության կամ անհրաժեշտության համապատասխան հիմնավորումը: Այստեղ պետք է ընդհանրացնել այդ հետազոտությունների գնահատման վերաբերյալ եզրակացությունները,</w:t>
            </w:r>
          </w:p>
          <w:p w14:paraId="280906E3" w14:textId="19E16EE6"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գաղտնի հավելվածում (</w:t>
            </w:r>
            <w:r w:rsidR="0056496B">
              <w:rPr>
                <w:rStyle w:val="Bodytext1811pt"/>
                <w:rFonts w:ascii="Sylfaen" w:hAnsi="Sylfaen"/>
                <w:sz w:val="24"/>
                <w:szCs w:val="24"/>
              </w:rPr>
              <w:t>դիմումատու</w:t>
            </w:r>
            <w:r w:rsidRPr="003B2786">
              <w:rPr>
                <w:rStyle w:val="Bodytext1811pt"/>
                <w:rFonts w:ascii="Sylfaen" w:hAnsi="Sylfaen"/>
                <w:sz w:val="24"/>
                <w:szCs w:val="24"/>
              </w:rPr>
              <w:t>ի համար բացա</w:t>
            </w:r>
            <w:r w:rsidR="0056496B">
              <w:rPr>
                <w:rStyle w:val="Bodytext1811pt"/>
                <w:rFonts w:ascii="Sylfaen" w:hAnsi="Sylfaen"/>
                <w:sz w:val="24"/>
                <w:szCs w:val="24"/>
              </w:rPr>
              <w:t>դիմում</w:t>
            </w:r>
            <w:r w:rsidRPr="003B2786">
              <w:rPr>
                <w:rStyle w:val="Bodytext1811pt"/>
                <w:rFonts w:ascii="Sylfaen" w:hAnsi="Sylfaen"/>
                <w:sz w:val="24"/>
                <w:szCs w:val="24"/>
              </w:rPr>
              <w:t xml:space="preserve">ման ենթակա չէ) անհրաժեշտ է նշել կենսահամարժեքության հետազոտություններում օգտագործված ռեֆերենտ պատրաստուկի ամբողջական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մասնագիրը, որպեսզի շահագրգիռ անդամ պետությունները կարողանան համեմատություն անցկացնել իրենց տարածքում իրացման համար թույլատրված պատրաստուկների վերաբերյալ տվյալների հետ:</w:t>
            </w:r>
          </w:p>
          <w:p w14:paraId="7D5A0A21" w14:textId="77777777"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Այստեղ անհրաժեշտ է ներկայացնել ռեֆերենտ պատրաստուկի օգտագործման հիմնավորումը:</w:t>
            </w:r>
          </w:p>
        </w:tc>
      </w:tr>
      <w:tr w:rsidR="008C76E0" w:rsidRPr="003B2786" w14:paraId="6099D7A5" w14:textId="77777777" w:rsidTr="008C76E0">
        <w:trPr>
          <w:jc w:val="center"/>
        </w:trPr>
        <w:tc>
          <w:tcPr>
            <w:tcW w:w="9619" w:type="dxa"/>
            <w:tcBorders>
              <w:left w:val="single" w:sz="4" w:space="0" w:color="auto"/>
              <w:bottom w:val="single" w:sz="4" w:space="0" w:color="auto"/>
              <w:right w:val="single" w:sz="4" w:space="0" w:color="auto"/>
            </w:tcBorders>
            <w:shd w:val="clear" w:color="auto" w:fill="FFFFFF"/>
            <w:vAlign w:val="bottom"/>
          </w:tcPr>
          <w:p w14:paraId="72D5CD5C" w14:textId="77777777" w:rsidR="008C76E0" w:rsidRPr="003B2786" w:rsidRDefault="008C76E0" w:rsidP="00390DAC">
            <w:pPr>
              <w:pStyle w:val="Bodytext180"/>
              <w:shd w:val="clear" w:color="auto" w:fill="auto"/>
              <w:spacing w:before="0" w:after="160" w:line="360" w:lineRule="auto"/>
              <w:ind w:left="110" w:right="40" w:firstLine="426"/>
              <w:jc w:val="both"/>
              <w:rPr>
                <w:rStyle w:val="Bodytext1811pt"/>
                <w:rFonts w:ascii="Sylfaen" w:hAnsi="Sylfaen"/>
                <w:sz w:val="24"/>
                <w:szCs w:val="24"/>
              </w:rPr>
            </w:pPr>
            <w:r w:rsidRPr="003B2786">
              <w:rPr>
                <w:rStyle w:val="Bodytext1811pt"/>
                <w:rFonts w:ascii="Sylfaen" w:hAnsi="Sylfaen"/>
                <w:sz w:val="24"/>
                <w:szCs w:val="24"/>
              </w:rPr>
              <w:lastRenderedPageBreak/>
              <w:t>Եթե ԴՊԸԲ-ն տարբերվում է համեմատության համար օգտագործվող օրիգինալ պատրաստուկից, ապա գնահատման վերաբերյալ հաշվետվությունը պետք է ներառի համապատասխան փոփոխությունները հիմնավորող տվյալները:</w:t>
            </w:r>
          </w:p>
          <w:p w14:paraId="0F34331F" w14:textId="56B776C3" w:rsidR="008C76E0" w:rsidRPr="008C76E0" w:rsidRDefault="008C76E0" w:rsidP="00390DAC">
            <w:pPr>
              <w:pStyle w:val="Bodytext180"/>
              <w:shd w:val="clear" w:color="auto" w:fill="auto"/>
              <w:spacing w:before="0" w:after="160" w:line="360" w:lineRule="auto"/>
              <w:ind w:left="110" w:right="40" w:firstLine="426"/>
              <w:jc w:val="both"/>
              <w:rPr>
                <w:rFonts w:ascii="Sylfaen" w:hAnsi="Sylfaen"/>
                <w:b w:val="0"/>
                <w:sz w:val="24"/>
                <w:szCs w:val="24"/>
                <w:lang w:val="hy-AM"/>
              </w:rPr>
            </w:pPr>
            <w:r w:rsidRPr="003B2786">
              <w:rPr>
                <w:rStyle w:val="Bodytext1811pt"/>
                <w:rFonts w:ascii="Sylfaen" w:hAnsi="Sylfaen"/>
                <w:sz w:val="24"/>
                <w:szCs w:val="24"/>
              </w:rPr>
              <w:t xml:space="preserve">«Մատենագիտական» </w:t>
            </w:r>
            <w:r w:rsidR="009F5829">
              <w:rPr>
                <w:rStyle w:val="Bodytext1811pt"/>
                <w:rFonts w:ascii="Sylfaen" w:hAnsi="Sylfaen"/>
                <w:sz w:val="24"/>
                <w:szCs w:val="24"/>
              </w:rPr>
              <w:t>դիմումներ</w:t>
            </w:r>
            <w:r w:rsidRPr="003B2786">
              <w:rPr>
                <w:rStyle w:val="Bodytext1811pt"/>
                <w:rFonts w:ascii="Sylfaen" w:hAnsi="Sylfaen"/>
                <w:sz w:val="24"/>
                <w:szCs w:val="24"/>
              </w:rPr>
              <w:t xml:space="preserve">՝ «ոչ ամբողջական դոսյեի» </w:t>
            </w:r>
            <w:r w:rsidR="009F5829">
              <w:rPr>
                <w:rStyle w:val="Bodytext1811pt"/>
                <w:rFonts w:ascii="Sylfaen" w:hAnsi="Sylfaen"/>
                <w:sz w:val="24"/>
                <w:szCs w:val="24"/>
              </w:rPr>
              <w:t>դիմումներ</w:t>
            </w:r>
            <w:r w:rsidRPr="003B2786">
              <w:rPr>
                <w:rStyle w:val="Bodytext1811pt"/>
                <w:rFonts w:ascii="Sylfaen" w:hAnsi="Sylfaen"/>
                <w:sz w:val="24"/>
                <w:szCs w:val="24"/>
              </w:rPr>
              <w:t>: Այստեղ անհրաժեշտ է ուսումնասիրել կլինիկական հետազոտությունների տվյալները:</w:t>
            </w:r>
          </w:p>
        </w:tc>
      </w:tr>
    </w:tbl>
    <w:p w14:paraId="08F2B54E" w14:textId="77777777" w:rsidR="008C76E0" w:rsidRPr="003B2786" w:rsidRDefault="008C76E0" w:rsidP="00390DAC">
      <w:pPr>
        <w:spacing w:after="160" w:line="360" w:lineRule="auto"/>
        <w:ind w:right="-1"/>
        <w:jc w:val="both"/>
        <w:rPr>
          <w:rFonts w:ascii="Sylfaen" w:hAnsi="Sylfaen"/>
          <w:sz w:val="24"/>
          <w:szCs w:val="24"/>
        </w:rPr>
      </w:pPr>
    </w:p>
    <w:p w14:paraId="62221513"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Դեղակինետիկա </w:t>
      </w:r>
    </w:p>
    <w:p w14:paraId="508F6C64"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Դեղադինամիկա </w:t>
      </w:r>
    </w:p>
    <w:p w14:paraId="293E272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արդյունավետություն </w:t>
      </w:r>
    </w:p>
    <w:p w14:paraId="5070A915"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Կլինիկական անվտանգություն </w:t>
      </w:r>
    </w:p>
    <w:p w14:paraId="0D13610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Դեղազգոնության համակարգ</w:t>
      </w:r>
    </w:p>
    <w:p w14:paraId="3B7DE737" w14:textId="4011CACA"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ն (գրանցման հավաստագրի ենթադրյալ ապագա տիրապետողը) ներկայացրել է </w:t>
      </w:r>
      <w:r w:rsidR="0056496B">
        <w:rPr>
          <w:rFonts w:ascii="Sylfaen" w:hAnsi="Sylfaen"/>
          <w:b w:val="0"/>
          <w:sz w:val="24"/>
          <w:szCs w:val="24"/>
          <w:lang w:val="hy-AM"/>
        </w:rPr>
        <w:t>դիմումատու</w:t>
      </w:r>
      <w:r w:rsidRPr="008C76E0">
        <w:rPr>
          <w:rFonts w:ascii="Sylfaen" w:hAnsi="Sylfaen"/>
          <w:b w:val="0"/>
          <w:sz w:val="24"/>
          <w:szCs w:val="24"/>
          <w:lang w:val="hy-AM"/>
        </w:rPr>
        <w:t xml:space="preserve">ի (գրանցման հավաստագրի </w:t>
      </w:r>
      <w:r w:rsidRPr="008C76E0">
        <w:rPr>
          <w:rFonts w:ascii="Sylfaen" w:hAnsi="Sylfaen"/>
          <w:b w:val="0"/>
          <w:sz w:val="24"/>
          <w:szCs w:val="24"/>
          <w:lang w:val="hy-AM"/>
        </w:rPr>
        <w:lastRenderedPageBreak/>
        <w:t xml:space="preserve">ենթադրյալ ապագա տիրապետողի) դեղազգոնության համակարգի վերաբերյալ բացատրագիրը (IA/&lt;Х&gt; տիպի փոփոխություն): </w:t>
      </w:r>
      <w:r w:rsidRPr="003B2786">
        <w:rPr>
          <w:rStyle w:val="Bodytext1811pt"/>
          <w:rFonts w:ascii="Sylfaen" w:hAnsi="Sylfaen"/>
          <w:sz w:val="24"/>
          <w:szCs w:val="24"/>
        </w:rPr>
        <w:t>Ռեֆերենտ</w:t>
      </w:r>
      <w:r w:rsidRPr="008C76E0">
        <w:rPr>
          <w:rFonts w:ascii="Sylfaen" w:hAnsi="Sylfaen"/>
          <w:b w:val="0"/>
          <w:sz w:val="24"/>
          <w:szCs w:val="24"/>
          <w:lang w:val="hy-AM"/>
        </w:rPr>
        <w:t xml:space="preserve"> պետությունը բացատրագիրն ընդունելի է համարում, եթե դեղազգոնության համակարգի վերաբերյալ դոսյեն լիովին համապատասխանում է դեղազգոնության պատշաճ գործունեության վերաբերյալ մոդուլով նախատեսված պահանջներին»:</w:t>
      </w:r>
    </w:p>
    <w:p w14:paraId="681C001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Ռիսկերի կառավարման պլանը</w:t>
      </w:r>
    </w:p>
    <w:p w14:paraId="153D889F"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 xml:space="preserve">Ավելացրե՛ք դեղազգոնության </w:t>
      </w:r>
      <w:r w:rsidR="00C54D75">
        <w:rPr>
          <w:rFonts w:ascii="Sylfaen" w:hAnsi="Sylfaen"/>
          <w:sz w:val="24"/>
          <w:szCs w:val="24"/>
        </w:rPr>
        <w:t>և</w:t>
      </w:r>
      <w:r w:rsidRPr="003B2786">
        <w:rPr>
          <w:rFonts w:ascii="Sylfaen" w:hAnsi="Sylfaen"/>
          <w:sz w:val="24"/>
          <w:szCs w:val="24"/>
        </w:rPr>
        <w:t xml:space="preserve"> վտանգավոր գործոնների հետ կապված ռիսկերի նվազեցման ոլորտում առաջարկվող միջոցառումների ամփոփիչ աղյուսակը (աղյուսակները):</w:t>
      </w:r>
    </w:p>
    <w:p w14:paraId="74AEE9B1"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«Հաստատվել է ռիսկերի կառավարման պլանը»</w:t>
      </w:r>
    </w:p>
    <w:p w14:paraId="75481266"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Եթե ռիսկերի կառավարման պլանը ներկայացվել է ավելի վաղ օգտագործված ձ</w:t>
      </w:r>
      <w:r w:rsidR="00C54D75">
        <w:rPr>
          <w:rFonts w:ascii="Sylfaen" w:hAnsi="Sylfaen"/>
          <w:sz w:val="24"/>
          <w:szCs w:val="24"/>
        </w:rPr>
        <w:t>և</w:t>
      </w:r>
      <w:r w:rsidRPr="003B2786">
        <w:rPr>
          <w:rFonts w:ascii="Sylfaen" w:hAnsi="Sylfaen"/>
          <w:sz w:val="24"/>
          <w:szCs w:val="24"/>
        </w:rPr>
        <w:t>աչափով, ապա այն պետք է ներկայացնել նոր ձ</w:t>
      </w:r>
      <w:r w:rsidR="00C54D75">
        <w:rPr>
          <w:rFonts w:ascii="Sylfaen" w:hAnsi="Sylfaen"/>
          <w:sz w:val="24"/>
          <w:szCs w:val="24"/>
        </w:rPr>
        <w:t>և</w:t>
      </w:r>
      <w:r w:rsidRPr="003B2786">
        <w:rPr>
          <w:rFonts w:ascii="Sylfaen" w:hAnsi="Sylfaen"/>
          <w:sz w:val="24"/>
          <w:szCs w:val="24"/>
        </w:rPr>
        <w:t>աչափով գործընթացի 60-րդ օրը՝ դեղապատրաստուկի նկատմամբ անցանկալի ռեակցիաների վերաբերյալ տվյալների հետ համատեղ:</w:t>
      </w:r>
    </w:p>
    <w:p w14:paraId="68F6D0DB"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Դեղամիջոցի անվտանգության վերաբերյալ պարբերաբար թարմացվող հաշվետվությունը</w:t>
      </w:r>
    </w:p>
    <w:p w14:paraId="5FB760DC"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«Գրանցման հավաստագրի տիրապետողը պետք է տվյալ պատրաստուկի համար անվտանգության վերաբերյալ պարբերաբար թարմացվող առաջին հաշվետվությունը ներկայացնի դրա գրանցումից հետո</w:t>
      </w:r>
      <w:r w:rsidRPr="008C76E0">
        <w:rPr>
          <w:rFonts w:ascii="Sylfaen" w:hAnsi="Sylfaen"/>
          <w:sz w:val="24"/>
          <w:szCs w:val="24"/>
          <w:lang w:val="hy-AM"/>
        </w:rPr>
        <w:t xml:space="preserve">՝ </w:t>
      </w:r>
      <w:r w:rsidRPr="008C76E0">
        <w:rPr>
          <w:rStyle w:val="Bodytext7Spacing1pt"/>
          <w:rFonts w:ascii="Sylfaen" w:hAnsi="Sylfaen"/>
          <w:sz w:val="24"/>
          <w:szCs w:val="24"/>
          <w:lang w:val="hy-AM"/>
        </w:rPr>
        <w:t>{хх}</w:t>
      </w:r>
      <w:r w:rsidRPr="008C76E0">
        <w:rPr>
          <w:rFonts w:ascii="Sylfaen" w:hAnsi="Sylfaen"/>
          <w:b w:val="0"/>
          <w:sz w:val="24"/>
          <w:szCs w:val="24"/>
          <w:lang w:val="hy-AM"/>
        </w:rPr>
        <w:t xml:space="preserve"> ամսվա ընթացքում</w:t>
      </w:r>
      <w:r w:rsidRPr="008C76E0">
        <w:rPr>
          <w:rFonts w:ascii="Sylfaen" w:hAnsi="Sylfaen"/>
          <w:sz w:val="24"/>
          <w:szCs w:val="24"/>
          <w:lang w:val="hy-AM"/>
        </w:rPr>
        <w:t>:</w:t>
      </w:r>
    </w:p>
    <w:p w14:paraId="190BC911" w14:textId="77777777" w:rsidR="008C76E0" w:rsidRPr="008C76E0" w:rsidRDefault="008C76E0" w:rsidP="00390DAC">
      <w:pPr>
        <w:pStyle w:val="Bodytext140"/>
        <w:shd w:val="clear" w:color="auto" w:fill="auto"/>
        <w:spacing w:before="0" w:after="160" w:line="360" w:lineRule="auto"/>
        <w:ind w:right="-1" w:firstLine="567"/>
        <w:jc w:val="both"/>
        <w:rPr>
          <w:rFonts w:ascii="Sylfaen" w:hAnsi="Sylfaen"/>
          <w:sz w:val="24"/>
          <w:szCs w:val="24"/>
          <w:lang w:val="hy-AM"/>
        </w:rPr>
      </w:pPr>
      <w:r w:rsidRPr="008C76E0">
        <w:rPr>
          <w:rFonts w:ascii="Sylfaen" w:hAnsi="Sylfaen"/>
          <w:sz w:val="24"/>
          <w:szCs w:val="24"/>
          <w:lang w:val="hy-AM"/>
        </w:rPr>
        <w:t>Գրանցման հավաստագրի տիրապետողը հետագայում պետք է ներկայացնի տվյալ պատրաստուկի համար անվտանգության վերաբերյալ պարբերաբար թարմացվող հաշվետվություններ»:</w:t>
      </w:r>
    </w:p>
    <w:p w14:paraId="742D4F4A" w14:textId="77777777" w:rsidR="008C76E0" w:rsidRPr="003B2786" w:rsidRDefault="008C76E0" w:rsidP="00390DAC">
      <w:pPr>
        <w:tabs>
          <w:tab w:val="left" w:pos="851"/>
        </w:tabs>
        <w:spacing w:after="160" w:line="360" w:lineRule="auto"/>
        <w:ind w:right="-1"/>
        <w:jc w:val="both"/>
        <w:rPr>
          <w:rFonts w:ascii="Sylfaen" w:hAnsi="Sylfaen"/>
          <w:sz w:val="24"/>
          <w:szCs w:val="24"/>
        </w:rPr>
      </w:pPr>
      <w:r w:rsidRPr="003B2786">
        <w:rPr>
          <w:rFonts w:ascii="Sylfaen" w:hAnsi="Sylfaen"/>
          <w:sz w:val="24"/>
          <w:szCs w:val="24"/>
        </w:rPr>
        <w:t>IV.</w:t>
      </w:r>
      <w:r w:rsidRPr="003B2786">
        <w:rPr>
          <w:rFonts w:ascii="Sylfaen" w:hAnsi="Sylfaen"/>
          <w:sz w:val="24"/>
          <w:szCs w:val="24"/>
        </w:rPr>
        <w:tab/>
        <w:t xml:space="preserve">Օգուտ </w:t>
      </w:r>
      <w:r w:rsidR="00C54D75">
        <w:rPr>
          <w:rFonts w:ascii="Sylfaen" w:hAnsi="Sylfaen"/>
          <w:sz w:val="24"/>
          <w:szCs w:val="24"/>
        </w:rPr>
        <w:t>և</w:t>
      </w:r>
      <w:r w:rsidRPr="003B2786">
        <w:rPr>
          <w:rFonts w:ascii="Sylfaen" w:hAnsi="Sylfaen"/>
          <w:sz w:val="24"/>
          <w:szCs w:val="24"/>
        </w:rPr>
        <w:t xml:space="preserve"> ռիսկ հարաբերակցության գնահատումը</w:t>
      </w:r>
    </w:p>
    <w:tbl>
      <w:tblPr>
        <w:tblOverlap w:val="never"/>
        <w:tblW w:w="9678" w:type="dxa"/>
        <w:jc w:val="center"/>
        <w:tblLayout w:type="fixed"/>
        <w:tblCellMar>
          <w:left w:w="10" w:type="dxa"/>
          <w:right w:w="10" w:type="dxa"/>
        </w:tblCellMar>
        <w:tblLook w:val="04A0" w:firstRow="1" w:lastRow="0" w:firstColumn="1" w:lastColumn="0" w:noHBand="0" w:noVBand="1"/>
      </w:tblPr>
      <w:tblGrid>
        <w:gridCol w:w="9678"/>
      </w:tblGrid>
      <w:tr w:rsidR="008C76E0" w:rsidRPr="003B2786" w14:paraId="1FB67B79" w14:textId="77777777" w:rsidTr="008C76E0">
        <w:trPr>
          <w:trHeight w:val="1604"/>
          <w:jc w:val="center"/>
        </w:trPr>
        <w:tc>
          <w:tcPr>
            <w:tcW w:w="9678" w:type="dxa"/>
            <w:tcBorders>
              <w:top w:val="single" w:sz="4" w:space="0" w:color="auto"/>
              <w:left w:val="single" w:sz="4" w:space="0" w:color="auto"/>
              <w:right w:val="single" w:sz="4" w:space="0" w:color="auto"/>
            </w:tcBorders>
            <w:shd w:val="clear" w:color="auto" w:fill="FFFFFF"/>
          </w:tcPr>
          <w:p w14:paraId="0947B9FB" w14:textId="77777777" w:rsidR="008C76E0" w:rsidRPr="008C76E0" w:rsidRDefault="008C76E0" w:rsidP="002509A3">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 xml:space="preserve">Ընդհանրացրե՛ք գնահատման վերաբերյալ հիմնական եզրակացությունները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հարցերը (մանրամասն տեղեկատվությունը պետք է համապատասխանաբար ներկայացվի որակի, արդյունավետության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անվտանգության վերաբերյալ հիմնական </w:t>
            </w:r>
            <w:r w:rsidRPr="003B2786">
              <w:rPr>
                <w:rStyle w:val="Bodytext1811pt"/>
                <w:rFonts w:ascii="Sylfaen" w:hAnsi="Sylfaen"/>
                <w:sz w:val="24"/>
                <w:szCs w:val="24"/>
              </w:rPr>
              <w:lastRenderedPageBreak/>
              <w:t xml:space="preserve">բաժիններում): Որոշակի պոպուլյացիաների համար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հարաբերակցությունը դիտարկելիս ինտեգրե՛ք այդ ասպեկտները:</w:t>
            </w:r>
          </w:p>
        </w:tc>
      </w:tr>
      <w:tr w:rsidR="008C76E0" w:rsidRPr="003B2786" w14:paraId="6D80026F" w14:textId="77777777" w:rsidTr="008C76E0">
        <w:trPr>
          <w:trHeight w:val="1600"/>
          <w:jc w:val="center"/>
        </w:trPr>
        <w:tc>
          <w:tcPr>
            <w:tcW w:w="9678" w:type="dxa"/>
            <w:tcBorders>
              <w:left w:val="single" w:sz="4" w:space="0" w:color="auto"/>
              <w:right w:val="single" w:sz="4" w:space="0" w:color="auto"/>
            </w:tcBorders>
            <w:shd w:val="clear" w:color="auto" w:fill="FFFFFF"/>
          </w:tcPr>
          <w:p w14:paraId="36AB87A8" w14:textId="77777777" w:rsidR="008C76E0" w:rsidRPr="008C76E0" w:rsidRDefault="008C76E0" w:rsidP="00390DAC">
            <w:pPr>
              <w:pStyle w:val="Bodytext180"/>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lastRenderedPageBreak/>
              <w:t xml:space="preserve">Ընդգրկե՛ք նախակլինիկական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կլինիկական անվտանգության վերաբերյալ տվյալները գրանցումից հետո հետգրանցումային ժամանակահատվածում սահմանված պարտավորությունների մեջ,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դիտարկե՛ք ռիսկերի կառավարման ցանկացած ասպեկտ, որը կարող է ազդեցություն ունենալ 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վրա:</w:t>
            </w:r>
          </w:p>
        </w:tc>
      </w:tr>
      <w:tr w:rsidR="008C76E0" w:rsidRPr="003B2786" w14:paraId="504C027D" w14:textId="77777777" w:rsidTr="008C76E0">
        <w:trPr>
          <w:trHeight w:val="1027"/>
          <w:jc w:val="center"/>
        </w:trPr>
        <w:tc>
          <w:tcPr>
            <w:tcW w:w="9678" w:type="dxa"/>
            <w:tcBorders>
              <w:left w:val="single" w:sz="4" w:space="0" w:color="auto"/>
              <w:right w:val="single" w:sz="4" w:space="0" w:color="auto"/>
            </w:tcBorders>
            <w:shd w:val="clear" w:color="auto" w:fill="FFFFFF"/>
          </w:tcPr>
          <w:p w14:paraId="62EA4453" w14:textId="77777777" w:rsidR="008C76E0" w:rsidRPr="008C76E0" w:rsidRDefault="008C76E0" w:rsidP="00B02202">
            <w:pPr>
              <w:pStyle w:val="Bodytext180"/>
              <w:shd w:val="clear" w:color="auto" w:fill="auto"/>
              <w:spacing w:before="0" w:after="160" w:line="384" w:lineRule="auto"/>
              <w:ind w:left="56" w:right="96" w:firstLine="522"/>
              <w:rPr>
                <w:rFonts w:ascii="Sylfaen" w:hAnsi="Sylfaen"/>
                <w:b w:val="0"/>
                <w:sz w:val="24"/>
                <w:szCs w:val="24"/>
                <w:lang w:val="hy-AM"/>
              </w:rPr>
            </w:pPr>
            <w:r w:rsidRPr="003B2786">
              <w:rPr>
                <w:rStyle w:val="Bodytext1811pt"/>
                <w:rFonts w:ascii="Sylfaen" w:hAnsi="Sylfaen"/>
                <w:sz w:val="24"/>
                <w:szCs w:val="24"/>
              </w:rPr>
              <w:t xml:space="preserve">Օգուտ </w:t>
            </w:r>
            <w:r w:rsidR="00C54D75">
              <w:rPr>
                <w:rStyle w:val="Bodytext1811pt"/>
                <w:rFonts w:ascii="Sylfaen" w:hAnsi="Sylfaen"/>
                <w:sz w:val="24"/>
                <w:szCs w:val="24"/>
              </w:rPr>
              <w:t>և</w:t>
            </w:r>
            <w:r w:rsidRPr="003B2786">
              <w:rPr>
                <w:rStyle w:val="Bodytext1811pt"/>
                <w:rFonts w:ascii="Sylfaen" w:hAnsi="Sylfaen"/>
                <w:sz w:val="24"/>
                <w:szCs w:val="24"/>
              </w:rPr>
              <w:t xml:space="preserve"> ռիսկ հարաբերակցության գնահատման մեջ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ընդգրկել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կիրառելիության դեպքում (վերցված են գրանցման դոսյեից՝ ընդհանուր տեխնիկական փաստաթղթի ձ</w:t>
            </w:r>
            <w:r w:rsidR="00C54D75">
              <w:rPr>
                <w:rStyle w:val="Bodytext1811pt"/>
                <w:rFonts w:ascii="Sylfaen" w:hAnsi="Sylfaen"/>
                <w:sz w:val="24"/>
                <w:szCs w:val="24"/>
              </w:rPr>
              <w:t>և</w:t>
            </w:r>
            <w:r w:rsidRPr="003B2786">
              <w:rPr>
                <w:rStyle w:val="Bodytext1811pt"/>
                <w:rFonts w:ascii="Sylfaen" w:hAnsi="Sylfaen"/>
                <w:sz w:val="24"/>
                <w:szCs w:val="24"/>
              </w:rPr>
              <w:t>աչափով).</w:t>
            </w:r>
          </w:p>
        </w:tc>
      </w:tr>
      <w:tr w:rsidR="008C76E0" w:rsidRPr="003B2786" w14:paraId="4B0650BE" w14:textId="77777777" w:rsidTr="008C76E0">
        <w:trPr>
          <w:trHeight w:val="1209"/>
          <w:jc w:val="center"/>
        </w:trPr>
        <w:tc>
          <w:tcPr>
            <w:tcW w:w="9678" w:type="dxa"/>
            <w:tcBorders>
              <w:left w:val="single" w:sz="4" w:space="0" w:color="auto"/>
              <w:right w:val="single" w:sz="4" w:space="0" w:color="auto"/>
            </w:tcBorders>
            <w:shd w:val="clear" w:color="auto" w:fill="FFFFFF"/>
          </w:tcPr>
          <w:p w14:paraId="0F084330" w14:textId="77777777" w:rsidR="008C76E0" w:rsidRPr="008C76E0" w:rsidRDefault="008C76E0" w:rsidP="00B02202">
            <w:pPr>
              <w:pStyle w:val="Bodytext180"/>
              <w:shd w:val="clear" w:color="auto" w:fill="auto"/>
              <w:tabs>
                <w:tab w:val="left" w:pos="1140"/>
              </w:tabs>
              <w:spacing w:before="0" w:after="160" w:line="384" w:lineRule="auto"/>
              <w:ind w:left="1089" w:right="96" w:hanging="51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Եվրասիական տնտեսական հանձնաժողովի </w:t>
            </w:r>
            <w:r w:rsidR="00C54D75">
              <w:rPr>
                <w:rStyle w:val="Bodytext1811pt"/>
                <w:rFonts w:ascii="Sylfaen" w:hAnsi="Sylfaen"/>
                <w:sz w:val="24"/>
                <w:szCs w:val="24"/>
              </w:rPr>
              <w:t>և</w:t>
            </w:r>
            <w:r w:rsidRPr="003B2786">
              <w:rPr>
                <w:rStyle w:val="Bodytext1811pt"/>
                <w:rFonts w:ascii="Sylfaen" w:hAnsi="Sylfaen"/>
                <w:sz w:val="24"/>
                <w:szCs w:val="24"/>
              </w:rPr>
              <w:t xml:space="preserve"> Եվրասիական տնտեսական հանձնաժողովին կից Փորձագիտական կոմիտեի ուղեցուցային փաստաթղթերի պահանջի կատարում:</w:t>
            </w:r>
          </w:p>
        </w:tc>
      </w:tr>
      <w:tr w:rsidR="008C76E0" w:rsidRPr="003B2786" w14:paraId="1AD84F8B" w14:textId="77777777" w:rsidTr="008C76E0">
        <w:trPr>
          <w:jc w:val="center"/>
        </w:trPr>
        <w:tc>
          <w:tcPr>
            <w:tcW w:w="9678" w:type="dxa"/>
            <w:tcBorders>
              <w:left w:val="single" w:sz="4" w:space="0" w:color="auto"/>
              <w:right w:val="single" w:sz="4" w:space="0" w:color="auto"/>
            </w:tcBorders>
            <w:shd w:val="clear" w:color="auto" w:fill="FFFFFF"/>
          </w:tcPr>
          <w:p w14:paraId="4C546DBA"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Օպտիմալ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դոզավորման ռեժիմի տիրույթը:</w:t>
            </w:r>
          </w:p>
          <w:p w14:paraId="5E025734" w14:textId="77777777"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Ենթապոպուլյացիաներում արդյունավետությունը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անվտանգությունը (օրինակ՝ որոշակի տարիքի, սեռի, ռասայական պատկանելիության, օրգանների աշխատանքի աստիճանով, հիվանդության ծանրությամբ </w:t>
            </w:r>
            <w:r w:rsidR="00C54D75">
              <w:rPr>
                <w:rStyle w:val="Bodytext1811pt"/>
                <w:rFonts w:ascii="Sylfaen" w:hAnsi="Sylfaen"/>
                <w:sz w:val="24"/>
                <w:szCs w:val="24"/>
              </w:rPr>
              <w:t>և</w:t>
            </w:r>
            <w:r w:rsidRPr="003B2786">
              <w:rPr>
                <w:rStyle w:val="Bodytext1811pt"/>
                <w:rFonts w:ascii="Sylfaen" w:hAnsi="Sylfaen"/>
                <w:sz w:val="24"/>
                <w:szCs w:val="24"/>
              </w:rPr>
              <w:t xml:space="preserve"> գենետիկական բազմաձ</w:t>
            </w:r>
            <w:r w:rsidR="00C54D75">
              <w:rPr>
                <w:rStyle w:val="Bodytext1811pt"/>
                <w:rFonts w:ascii="Sylfaen" w:hAnsi="Sylfaen"/>
                <w:sz w:val="24"/>
                <w:szCs w:val="24"/>
              </w:rPr>
              <w:t>և</w:t>
            </w:r>
            <w:r w:rsidRPr="003B2786">
              <w:rPr>
                <w:rStyle w:val="Bodytext1811pt"/>
                <w:rFonts w:ascii="Sylfaen" w:hAnsi="Sylfaen"/>
                <w:sz w:val="24"/>
                <w:szCs w:val="24"/>
              </w:rPr>
              <w:t>ությամբ պացիենտների համար):</w:t>
            </w:r>
          </w:p>
        </w:tc>
      </w:tr>
      <w:tr w:rsidR="008C76E0" w:rsidRPr="003B2786" w14:paraId="5137AD09" w14:textId="77777777" w:rsidTr="008C76E0">
        <w:trPr>
          <w:jc w:val="center"/>
        </w:trPr>
        <w:tc>
          <w:tcPr>
            <w:tcW w:w="9678" w:type="dxa"/>
            <w:tcBorders>
              <w:left w:val="single" w:sz="4" w:space="0" w:color="auto"/>
              <w:right w:val="single" w:sz="4" w:space="0" w:color="auto"/>
            </w:tcBorders>
            <w:shd w:val="clear" w:color="auto" w:fill="FFFFFF"/>
          </w:tcPr>
          <w:p w14:paraId="77703F51" w14:textId="190C07A5" w:rsidR="008C76E0" w:rsidRPr="008C76E0" w:rsidRDefault="008C76E0" w:rsidP="00B02202">
            <w:pPr>
              <w:pStyle w:val="Bodytext180"/>
              <w:shd w:val="clear" w:color="auto" w:fill="auto"/>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Դեղերի փոխազդեցության </w:t>
            </w:r>
            <w:r w:rsidR="005F6A31">
              <w:rPr>
                <w:rStyle w:val="Bodytext1811pt"/>
                <w:rFonts w:ascii="Sylfaen" w:hAnsi="Sylfaen"/>
                <w:sz w:val="24"/>
                <w:szCs w:val="24"/>
              </w:rPr>
              <w:t>հայտնի</w:t>
            </w:r>
            <w:r w:rsidRPr="003B2786">
              <w:rPr>
                <w:rStyle w:val="Bodytext1811pt"/>
                <w:rFonts w:ascii="Sylfaen" w:hAnsi="Sylfaen"/>
                <w:sz w:val="24"/>
                <w:szCs w:val="24"/>
              </w:rPr>
              <w:t xml:space="preserve"> </w:t>
            </w:r>
            <w:r w:rsidR="00C54D75">
              <w:rPr>
                <w:rStyle w:val="Bodytext1811pt"/>
                <w:rFonts w:ascii="Sylfaen" w:hAnsi="Sylfaen"/>
                <w:sz w:val="24"/>
                <w:szCs w:val="24"/>
              </w:rPr>
              <w:t>և</w:t>
            </w:r>
            <w:r w:rsidRPr="003B2786">
              <w:rPr>
                <w:rStyle w:val="Bodytext1811pt"/>
                <w:rFonts w:ascii="Sylfaen" w:hAnsi="Sylfaen"/>
                <w:sz w:val="24"/>
                <w:szCs w:val="24"/>
              </w:rPr>
              <w:t xml:space="preserve"> հնարավոր մեխանիզմները:</w:t>
            </w:r>
          </w:p>
          <w:p w14:paraId="2839ECA1" w14:textId="77777777" w:rsidR="008C76E0" w:rsidRPr="008C76E0" w:rsidRDefault="008C76E0" w:rsidP="00B02202">
            <w:pPr>
              <w:pStyle w:val="Bodytext180"/>
              <w:tabs>
                <w:tab w:val="left" w:pos="1140"/>
              </w:tabs>
              <w:spacing w:before="0" w:after="160" w:line="384" w:lineRule="auto"/>
              <w:ind w:left="1088" w:right="96" w:hanging="51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Անվտանգության «ազդանշաններ», որոնք կապված են, օրինակ՝ քաղցկեղածին ազդեցության, տերատոգեն ազդեցության, QT միջակայքի երկարացման կամ հեպատոտոքսիկության վերաբերյալ կասկածների հետ:</w:t>
            </w:r>
          </w:p>
        </w:tc>
      </w:tr>
      <w:tr w:rsidR="008C76E0" w:rsidRPr="003B2786" w14:paraId="7EBF6E62" w14:textId="77777777" w:rsidTr="008C76E0">
        <w:trPr>
          <w:jc w:val="center"/>
        </w:trPr>
        <w:tc>
          <w:tcPr>
            <w:tcW w:w="9678" w:type="dxa"/>
            <w:tcBorders>
              <w:left w:val="single" w:sz="4" w:space="0" w:color="auto"/>
              <w:right w:val="single" w:sz="4" w:space="0" w:color="auto"/>
            </w:tcBorders>
            <w:shd w:val="clear" w:color="auto" w:fill="FFFFFF"/>
            <w:vAlign w:val="bottom"/>
          </w:tcPr>
          <w:p w14:paraId="5FF61639"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Արդյունավետ ազդեցության համար փոխնակ վերջնակետերի օգտագործումն այն դեպքում, երբ թունավորությունը լուրջ է:</w:t>
            </w:r>
          </w:p>
        </w:tc>
      </w:tr>
      <w:tr w:rsidR="008C76E0" w:rsidRPr="003B2786" w14:paraId="27650860" w14:textId="77777777" w:rsidTr="008C76E0">
        <w:trPr>
          <w:trHeight w:val="2048"/>
          <w:jc w:val="center"/>
        </w:trPr>
        <w:tc>
          <w:tcPr>
            <w:tcW w:w="9678" w:type="dxa"/>
            <w:tcBorders>
              <w:left w:val="single" w:sz="4" w:space="0" w:color="auto"/>
              <w:right w:val="single" w:sz="4" w:space="0" w:color="auto"/>
            </w:tcBorders>
            <w:shd w:val="clear" w:color="auto" w:fill="FFFFFF"/>
          </w:tcPr>
          <w:p w14:paraId="10FA921A"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Դեղազգոնության պլանում անվտանգության վերաբերյալ բոլոր հարցերի ուսումնասիրության ստուգումը (այն ներկայացված լինելու դեպքում):</w:t>
            </w:r>
          </w:p>
          <w:p w14:paraId="77C3A384"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(կամ) արդյունավետ կիրառումը հնարավոր դժվարություններ է ենթադրում կառավարման նկատմամբ հատուկ բժշկական փորձաքննություն կամ պացիենտների ուսուցում նախատեսող մոտեցումներ ընտրելիս:</w:t>
            </w:r>
          </w:p>
        </w:tc>
      </w:tr>
      <w:tr w:rsidR="008C76E0" w:rsidRPr="003B2786" w14:paraId="77340B92" w14:textId="77777777" w:rsidTr="008C76E0">
        <w:trPr>
          <w:jc w:val="center"/>
        </w:trPr>
        <w:tc>
          <w:tcPr>
            <w:tcW w:w="9678" w:type="dxa"/>
            <w:tcBorders>
              <w:left w:val="single" w:sz="4" w:space="0" w:color="auto"/>
              <w:right w:val="single" w:sz="4" w:space="0" w:color="auto"/>
            </w:tcBorders>
            <w:shd w:val="clear" w:color="auto" w:fill="FFFFFF"/>
          </w:tcPr>
          <w:p w14:paraId="69FF0372"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9.</w:t>
            </w:r>
            <w:r w:rsidRPr="003B2786">
              <w:rPr>
                <w:rStyle w:val="Bodytext1811pt"/>
                <w:rFonts w:ascii="Sylfaen" w:hAnsi="Sylfaen"/>
                <w:sz w:val="24"/>
                <w:szCs w:val="24"/>
              </w:rPr>
              <w:tab/>
              <w:t>Գրանցման հավաստագրի տրամադրման պայմաններում պատրաստուկի վերաբերյալ տեղեկատվության, հետագա հսկողական միջոցառումների կազմում կամ ռիսկերի կառավարման պլանում ռիսկերն ու անորոշությունները հաշվի առնելու հանգամանքի ստուգում:</w:t>
            </w:r>
          </w:p>
        </w:tc>
      </w:tr>
      <w:tr w:rsidR="008C76E0" w:rsidRPr="003B2786" w14:paraId="5B51D138" w14:textId="77777777" w:rsidTr="008C76E0">
        <w:trPr>
          <w:jc w:val="center"/>
        </w:trPr>
        <w:tc>
          <w:tcPr>
            <w:tcW w:w="9678" w:type="dxa"/>
            <w:tcBorders>
              <w:left w:val="single" w:sz="4" w:space="0" w:color="auto"/>
              <w:right w:val="single" w:sz="4" w:space="0" w:color="auto"/>
            </w:tcBorders>
            <w:shd w:val="clear" w:color="auto" w:fill="FFFFFF"/>
          </w:tcPr>
          <w:p w14:paraId="22ACD41B" w14:textId="77777777" w:rsidR="008C76E0" w:rsidRPr="008C76E0" w:rsidRDefault="008C76E0" w:rsidP="00390DAC">
            <w:pPr>
              <w:pStyle w:val="Bodytext180"/>
              <w:shd w:val="clear" w:color="auto" w:fill="auto"/>
              <w:tabs>
                <w:tab w:val="left" w:pos="1140"/>
              </w:tabs>
              <w:spacing w:before="0" w:after="160" w:line="360" w:lineRule="auto"/>
              <w:ind w:left="1089" w:right="97" w:hanging="511"/>
              <w:jc w:val="both"/>
              <w:rPr>
                <w:rFonts w:ascii="Sylfaen" w:hAnsi="Sylfaen"/>
                <w:b w:val="0"/>
                <w:sz w:val="24"/>
                <w:szCs w:val="24"/>
                <w:lang w:val="hy-AM"/>
              </w:rPr>
            </w:pPr>
            <w:r w:rsidRPr="003B2786">
              <w:rPr>
                <w:rStyle w:val="Bodytext1811pt"/>
                <w:rFonts w:ascii="Sylfaen" w:hAnsi="Sylfaen"/>
                <w:sz w:val="24"/>
                <w:szCs w:val="24"/>
              </w:rPr>
              <w:t>10.</w:t>
            </w:r>
            <w:r w:rsidRPr="003B2786">
              <w:rPr>
                <w:rStyle w:val="Bodytext1811pt"/>
                <w:rFonts w:ascii="Sylfaen" w:hAnsi="Sylfaen"/>
                <w:sz w:val="24"/>
                <w:szCs w:val="24"/>
              </w:rPr>
              <w:tab/>
              <w:t xml:space="preserve">Բուժման պատշաճ, ճանաչված սխեմայի (եթե այդպիսին առկա է) համեմատությամբ պատրաստուկի կիրառությունից ստացված օգուտի </w:t>
            </w:r>
            <w:r w:rsidR="00C54D75">
              <w:rPr>
                <w:rStyle w:val="Bodytext1811pt"/>
                <w:rFonts w:ascii="Sylfaen" w:hAnsi="Sylfaen"/>
                <w:sz w:val="24"/>
                <w:szCs w:val="24"/>
              </w:rPr>
              <w:t>և</w:t>
            </w:r>
            <w:r w:rsidRPr="003B2786">
              <w:rPr>
                <w:rStyle w:val="Bodytext1811pt"/>
                <w:rFonts w:ascii="Sylfaen" w:hAnsi="Sylfaen"/>
                <w:sz w:val="24"/>
                <w:szCs w:val="24"/>
              </w:rPr>
              <w:t xml:space="preserve"> ռիսկի հարաբերակցության բնութագրման համար բավարար տեղեկատվության առկայության ստուգում: Ենթակա է համապատասխան կարգով ուսումնասիրության:</w:t>
            </w:r>
          </w:p>
        </w:tc>
      </w:tr>
      <w:tr w:rsidR="008C76E0" w:rsidRPr="003B2786" w14:paraId="25D3B5DB" w14:textId="77777777" w:rsidTr="008C76E0">
        <w:trPr>
          <w:jc w:val="center"/>
        </w:trPr>
        <w:tc>
          <w:tcPr>
            <w:tcW w:w="9678" w:type="dxa"/>
            <w:tcBorders>
              <w:left w:val="single" w:sz="4" w:space="0" w:color="auto"/>
              <w:right w:val="single" w:sz="4" w:space="0" w:color="auto"/>
            </w:tcBorders>
            <w:shd w:val="clear" w:color="auto" w:fill="FFFFFF"/>
            <w:vAlign w:val="bottom"/>
          </w:tcPr>
          <w:p w14:paraId="6CD44122" w14:textId="77777777"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1811pt"/>
                <w:rFonts w:ascii="Sylfaen" w:hAnsi="Sylfaen"/>
                <w:sz w:val="24"/>
                <w:szCs w:val="24"/>
              </w:rPr>
              <w:t>Բացի այդ, անհրաժեշտ է ուսումնասիրել երեխաների վերաբերյալ տվյալները կամ զարգացման ցանկացած պլան՝ կապված մանկաբուժության ոլորտում կիրառման հետ:</w:t>
            </w:r>
          </w:p>
        </w:tc>
      </w:tr>
      <w:tr w:rsidR="008C76E0" w:rsidRPr="003B2786" w14:paraId="4A2676CD" w14:textId="77777777" w:rsidTr="008C76E0">
        <w:trPr>
          <w:trHeight w:val="1293"/>
          <w:jc w:val="center"/>
        </w:trPr>
        <w:tc>
          <w:tcPr>
            <w:tcW w:w="9678" w:type="dxa"/>
            <w:tcBorders>
              <w:left w:val="single" w:sz="4" w:space="0" w:color="auto"/>
              <w:bottom w:val="single" w:sz="4" w:space="0" w:color="auto"/>
              <w:right w:val="single" w:sz="4" w:space="0" w:color="auto"/>
            </w:tcBorders>
            <w:shd w:val="clear" w:color="auto" w:fill="FFFFFF"/>
          </w:tcPr>
          <w:p w14:paraId="45F459D1" w14:textId="25AC99B5" w:rsidR="008C76E0" w:rsidRPr="008C76E0" w:rsidRDefault="008C76E0" w:rsidP="00390DAC">
            <w:pPr>
              <w:pStyle w:val="Bodytext180"/>
              <w:shd w:val="clear" w:color="auto" w:fill="auto"/>
              <w:spacing w:before="0" w:after="160" w:line="360" w:lineRule="auto"/>
              <w:ind w:left="56" w:right="97" w:firstLine="522"/>
              <w:rPr>
                <w:rFonts w:ascii="Sylfaen" w:hAnsi="Sylfaen"/>
                <w:b w:val="0"/>
                <w:sz w:val="24"/>
                <w:szCs w:val="24"/>
                <w:lang w:val="hy-AM"/>
              </w:rPr>
            </w:pPr>
            <w:r w:rsidRPr="003B2786">
              <w:rPr>
                <w:rStyle w:val="Bodytext1811pt"/>
                <w:rFonts w:ascii="Sylfaen" w:hAnsi="Sylfaen"/>
                <w:sz w:val="24"/>
                <w:szCs w:val="24"/>
              </w:rPr>
              <w:t xml:space="preserve">Տեղին լինելու դեպքում տվյալ բաժնում անհրաժեշտ է ներառել վերարտադրված պատրաստուկի վերաբերյալ </w:t>
            </w:r>
            <w:r w:rsidR="0056496B">
              <w:rPr>
                <w:rStyle w:val="Bodytext1811pt"/>
                <w:rFonts w:ascii="Sylfaen" w:hAnsi="Sylfaen"/>
                <w:sz w:val="24"/>
                <w:szCs w:val="24"/>
              </w:rPr>
              <w:t>դիմում</w:t>
            </w:r>
            <w:r w:rsidRPr="003B2786">
              <w:rPr>
                <w:rStyle w:val="Bodytext1811pt"/>
                <w:rFonts w:ascii="Sylfaen" w:hAnsi="Sylfaen"/>
                <w:sz w:val="24"/>
                <w:szCs w:val="24"/>
              </w:rPr>
              <w:t xml:space="preserve">ի համար կենսահամարժեքության գնահատման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 Անհրաժեշտ է պարզաբանել ռեֆերենտ պատրաստուկի ընտրությունը:</w:t>
            </w:r>
          </w:p>
        </w:tc>
      </w:tr>
      <w:tr w:rsidR="008C76E0" w:rsidRPr="003B2786" w14:paraId="786D3475" w14:textId="77777777" w:rsidTr="008C76E0">
        <w:trPr>
          <w:trHeight w:val="794"/>
          <w:jc w:val="center"/>
        </w:trPr>
        <w:tc>
          <w:tcPr>
            <w:tcW w:w="9678" w:type="dxa"/>
            <w:tcBorders>
              <w:top w:val="single" w:sz="4" w:space="0" w:color="auto"/>
            </w:tcBorders>
            <w:shd w:val="clear" w:color="auto" w:fill="FFFFFF"/>
          </w:tcPr>
          <w:p w14:paraId="40A86213" w14:textId="77777777" w:rsidR="008C76E0" w:rsidRPr="00B02202" w:rsidRDefault="008C76E0" w:rsidP="00390DAC">
            <w:pPr>
              <w:pStyle w:val="Bodytext180"/>
              <w:shd w:val="clear" w:color="auto" w:fill="auto"/>
              <w:spacing w:before="0" w:after="160" w:line="360" w:lineRule="auto"/>
              <w:ind w:left="57" w:right="96" w:firstLine="521"/>
              <w:jc w:val="both"/>
              <w:rPr>
                <w:rStyle w:val="Bodytext295pt"/>
                <w:rFonts w:ascii="Sylfaen" w:hAnsi="Sylfaen"/>
                <w:sz w:val="24"/>
                <w:szCs w:val="24"/>
              </w:rPr>
            </w:pPr>
            <w:r w:rsidRPr="003B2786">
              <w:rPr>
                <w:rStyle w:val="Bodytext295pt"/>
                <w:rFonts w:ascii="Sylfaen" w:hAnsi="Sylfaen"/>
                <w:sz w:val="24"/>
                <w:szCs w:val="24"/>
              </w:rPr>
              <w:t>V.</w:t>
            </w:r>
            <w:r w:rsidRPr="003B2786">
              <w:rPr>
                <w:rStyle w:val="Bodytext295pt"/>
                <w:rFonts w:ascii="Sylfaen" w:hAnsi="Sylfaen"/>
                <w:sz w:val="24"/>
                <w:szCs w:val="24"/>
              </w:rPr>
              <w:tab/>
              <w:t xml:space="preserve">Գրանցման հավաստագրի տրամադրման առաջարկվող պայմանները </w:t>
            </w:r>
            <w:r w:rsidR="00C54D75">
              <w:rPr>
                <w:rStyle w:val="Bodytext295pt"/>
                <w:rFonts w:ascii="Sylfaen" w:hAnsi="Sylfaen"/>
                <w:sz w:val="24"/>
                <w:szCs w:val="24"/>
              </w:rPr>
              <w:t>և</w:t>
            </w:r>
            <w:r w:rsidRPr="003B2786">
              <w:rPr>
                <w:rStyle w:val="Bodytext295pt"/>
                <w:rFonts w:ascii="Sylfaen" w:hAnsi="Sylfaen"/>
                <w:sz w:val="24"/>
                <w:szCs w:val="24"/>
              </w:rPr>
              <w:t xml:space="preserve"> պատրաստուկի վերաբերյալ </w:t>
            </w:r>
            <w:r w:rsidR="00B02202">
              <w:rPr>
                <w:rStyle w:val="Bodytext295pt"/>
                <w:rFonts w:ascii="Sylfaen" w:hAnsi="Sylfaen"/>
                <w:sz w:val="24"/>
                <w:szCs w:val="24"/>
              </w:rPr>
              <w:t>տեղեկատվությունը՝</w:t>
            </w:r>
          </w:p>
          <w:p w14:paraId="16C7574F" w14:textId="77777777" w:rsidR="00B02202" w:rsidRPr="00B02202" w:rsidRDefault="00B02202" w:rsidP="00390DAC">
            <w:pPr>
              <w:pStyle w:val="Bodytext180"/>
              <w:shd w:val="clear" w:color="auto" w:fill="auto"/>
              <w:spacing w:before="0" w:after="160" w:line="360" w:lineRule="auto"/>
              <w:ind w:left="57" w:right="96" w:firstLine="521"/>
              <w:jc w:val="both"/>
              <w:rPr>
                <w:rFonts w:ascii="Sylfaen" w:hAnsi="Sylfaen"/>
                <w:i/>
                <w:sz w:val="24"/>
                <w:szCs w:val="24"/>
                <w:lang w:val="hy-AM"/>
              </w:rPr>
            </w:pPr>
          </w:p>
        </w:tc>
      </w:tr>
      <w:tr w:rsidR="008C76E0" w:rsidRPr="003B2786" w14:paraId="75A8580C" w14:textId="77777777" w:rsidTr="008C76E0">
        <w:trPr>
          <w:jc w:val="center"/>
        </w:trPr>
        <w:tc>
          <w:tcPr>
            <w:tcW w:w="9678" w:type="dxa"/>
            <w:shd w:val="clear" w:color="auto" w:fill="FFFFFF"/>
            <w:vAlign w:val="center"/>
          </w:tcPr>
          <w:p w14:paraId="108266A4" w14:textId="77777777" w:rsidR="008C76E0" w:rsidRPr="008C76E0" w:rsidRDefault="008C76E0" w:rsidP="00390DAC">
            <w:pPr>
              <w:pStyle w:val="Bodytext180"/>
              <w:shd w:val="clear" w:color="auto" w:fill="auto"/>
              <w:spacing w:before="0" w:after="160" w:line="360" w:lineRule="auto"/>
              <w:ind w:left="57" w:right="96" w:firstLine="521"/>
              <w:jc w:val="both"/>
              <w:rPr>
                <w:rFonts w:ascii="Sylfaen" w:hAnsi="Sylfaen"/>
                <w:i/>
                <w:sz w:val="24"/>
                <w:szCs w:val="24"/>
                <w:lang w:val="hy-AM"/>
              </w:rPr>
            </w:pPr>
            <w:r w:rsidRPr="003B2786">
              <w:rPr>
                <w:rStyle w:val="Bodytext295pt"/>
                <w:rFonts w:ascii="Sylfaen" w:hAnsi="Sylfaen"/>
                <w:sz w:val="24"/>
                <w:szCs w:val="24"/>
              </w:rPr>
              <w:t>V.1.</w:t>
            </w:r>
            <w:r w:rsidRPr="003B2786">
              <w:rPr>
                <w:rStyle w:val="Bodytext295pt"/>
                <w:rFonts w:ascii="Sylfaen" w:hAnsi="Sylfaen"/>
                <w:sz w:val="24"/>
                <w:szCs w:val="24"/>
              </w:rPr>
              <w:tab/>
              <w:t>Գրանցման հավաստագրի տրամադրման պայմանները</w:t>
            </w:r>
          </w:p>
        </w:tc>
      </w:tr>
      <w:tr w:rsidR="008C76E0" w:rsidRPr="003B2786" w14:paraId="743D36A4" w14:textId="77777777" w:rsidTr="008C76E0">
        <w:trPr>
          <w:trHeight w:val="454"/>
          <w:jc w:val="center"/>
        </w:trPr>
        <w:tc>
          <w:tcPr>
            <w:tcW w:w="9678" w:type="dxa"/>
            <w:shd w:val="clear" w:color="auto" w:fill="FFFFFF"/>
            <w:vAlign w:val="bottom"/>
          </w:tcPr>
          <w:p w14:paraId="5646C695" w14:textId="77777777" w:rsidR="008C76E0" w:rsidRPr="003B2786" w:rsidRDefault="008C76E0" w:rsidP="00390DAC">
            <w:pPr>
              <w:pStyle w:val="Bodytext180"/>
              <w:shd w:val="clear" w:color="auto" w:fill="auto"/>
              <w:spacing w:before="0" w:after="160" w:line="360" w:lineRule="auto"/>
              <w:ind w:left="57" w:right="96" w:firstLine="521"/>
              <w:jc w:val="both"/>
              <w:rPr>
                <w:rFonts w:ascii="Sylfaen" w:hAnsi="Sylfaen"/>
                <w:i/>
                <w:sz w:val="24"/>
                <w:szCs w:val="24"/>
              </w:rPr>
            </w:pPr>
            <w:r w:rsidRPr="003B2786">
              <w:rPr>
                <w:rStyle w:val="Bodytext295pt"/>
                <w:rFonts w:ascii="Sylfaen" w:hAnsi="Sylfaen"/>
                <w:sz w:val="24"/>
                <w:szCs w:val="24"/>
              </w:rPr>
              <w:t>Իրավական կարգավիճակը</w:t>
            </w:r>
          </w:p>
        </w:tc>
      </w:tr>
      <w:tr w:rsidR="008C76E0" w:rsidRPr="003B2786" w14:paraId="4768DBD2"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6B661CB9" w14:textId="77777777" w:rsidR="008C76E0" w:rsidRPr="008C76E0" w:rsidRDefault="008C76E0" w:rsidP="00390DAC">
            <w:pPr>
              <w:pStyle w:val="Bodytext180"/>
              <w:shd w:val="clear" w:color="auto" w:fill="auto"/>
              <w:spacing w:before="0" w:after="160" w:line="360" w:lineRule="auto"/>
              <w:ind w:left="56" w:right="97" w:firstLine="0"/>
              <w:jc w:val="both"/>
              <w:rPr>
                <w:rFonts w:ascii="Sylfaen" w:hAnsi="Sylfaen"/>
                <w:b w:val="0"/>
                <w:i/>
                <w:sz w:val="24"/>
                <w:szCs w:val="24"/>
                <w:lang w:val="hy-AM"/>
              </w:rPr>
            </w:pPr>
            <w:r w:rsidRPr="003B2786">
              <w:rPr>
                <w:rStyle w:val="Bodytext295pt"/>
                <w:rFonts w:ascii="Sylfaen" w:hAnsi="Sylfaen"/>
                <w:sz w:val="24"/>
                <w:szCs w:val="24"/>
              </w:rPr>
              <w:lastRenderedPageBreak/>
              <w:t xml:space="preserve">Անհրաժեշտ է </w:t>
            </w: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պետության՝ դեղապատրաստուկի բացթողման առաջարկվող կարգի վերաբերյալ եզրակացությունը:</w:t>
            </w:r>
          </w:p>
        </w:tc>
      </w:tr>
      <w:tr w:rsidR="008C76E0" w:rsidRPr="003B2786" w14:paraId="6BB41F2E" w14:textId="77777777" w:rsidTr="008C76E0">
        <w:trPr>
          <w:trHeight w:val="693"/>
          <w:jc w:val="center"/>
        </w:trPr>
        <w:tc>
          <w:tcPr>
            <w:tcW w:w="9678" w:type="dxa"/>
            <w:tcBorders>
              <w:top w:val="single" w:sz="4" w:space="0" w:color="auto"/>
            </w:tcBorders>
            <w:shd w:val="clear" w:color="auto" w:fill="FFFFFF"/>
            <w:vAlign w:val="center"/>
          </w:tcPr>
          <w:p w14:paraId="1CC5CF73"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Հետագա հսկողության միջոցները</w:t>
            </w:r>
          </w:p>
        </w:tc>
      </w:tr>
      <w:tr w:rsidR="008C76E0" w:rsidRPr="003B2786" w14:paraId="0DC57978" w14:textId="77777777" w:rsidTr="008C76E0">
        <w:trPr>
          <w:jc w:val="center"/>
        </w:trPr>
        <w:tc>
          <w:tcPr>
            <w:tcW w:w="9678" w:type="dxa"/>
            <w:shd w:val="clear" w:color="auto" w:fill="FFFFFF"/>
            <w:vAlign w:val="center"/>
          </w:tcPr>
          <w:p w14:paraId="781D0E96" w14:textId="77777777" w:rsidR="008C76E0" w:rsidRPr="003B2786"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Հատուկ պարտավորությունները</w:t>
            </w:r>
          </w:p>
        </w:tc>
      </w:tr>
      <w:tr w:rsidR="008C76E0" w:rsidRPr="003B2786" w14:paraId="67533865" w14:textId="77777777" w:rsidTr="008C76E0">
        <w:trPr>
          <w:jc w:val="center"/>
        </w:trPr>
        <w:tc>
          <w:tcPr>
            <w:tcW w:w="9678" w:type="dxa"/>
            <w:shd w:val="clear" w:color="auto" w:fill="FFFFFF"/>
            <w:vAlign w:val="center"/>
          </w:tcPr>
          <w:p w14:paraId="6BD1B680"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Սույն բաժնում անհրաժեշտ է նշել գրանցման հավաստագրի տրամադրման պայմանները (կիրառելիության դեպքում).</w:t>
            </w:r>
          </w:p>
        </w:tc>
      </w:tr>
      <w:tr w:rsidR="008C76E0" w:rsidRPr="003B2786" w14:paraId="779E91D4" w14:textId="77777777" w:rsidTr="008C76E0">
        <w:trPr>
          <w:jc w:val="center"/>
        </w:trPr>
        <w:tc>
          <w:tcPr>
            <w:tcW w:w="9678" w:type="dxa"/>
            <w:shd w:val="clear" w:color="auto" w:fill="FFFFFF"/>
          </w:tcPr>
          <w:p w14:paraId="7EA76A1B"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V.2.</w:t>
            </w:r>
            <w:r w:rsidRPr="003B2786">
              <w:rPr>
                <w:rStyle w:val="Bodytext295pt"/>
                <w:rFonts w:ascii="Sylfaen" w:hAnsi="Sylfaen"/>
                <w:sz w:val="24"/>
                <w:szCs w:val="24"/>
              </w:rPr>
              <w:tab/>
              <w:t>Դեղապատրաստուկի ընդհանուր բնութագիրը</w:t>
            </w:r>
          </w:p>
        </w:tc>
      </w:tr>
      <w:tr w:rsidR="008C76E0" w:rsidRPr="003B2786" w14:paraId="4B741C78" w14:textId="77777777" w:rsidTr="008C76E0">
        <w:trPr>
          <w:jc w:val="center"/>
        </w:trPr>
        <w:tc>
          <w:tcPr>
            <w:tcW w:w="9678" w:type="dxa"/>
            <w:shd w:val="clear" w:color="auto" w:fill="FFFFFF"/>
          </w:tcPr>
          <w:p w14:paraId="194D7452" w14:textId="77777777" w:rsidR="008C76E0" w:rsidRPr="008C76E0"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b w:val="0"/>
                <w:i/>
                <w:sz w:val="24"/>
                <w:szCs w:val="24"/>
                <w:lang w:val="hy-AM"/>
              </w:rPr>
            </w:pPr>
            <w:r w:rsidRPr="003B2786">
              <w:rPr>
                <w:rStyle w:val="Bodytext295pt"/>
                <w:rFonts w:ascii="Sylfaen" w:hAnsi="Sylfaen"/>
                <w:sz w:val="24"/>
                <w:szCs w:val="24"/>
              </w:rPr>
              <w:t>V.3.</w:t>
            </w:r>
            <w:r w:rsidRPr="003B2786">
              <w:rPr>
                <w:rStyle w:val="Bodytext295pt"/>
                <w:rFonts w:ascii="Sylfaen" w:hAnsi="Sylfaen"/>
                <w:sz w:val="24"/>
                <w:szCs w:val="24"/>
              </w:rPr>
              <w:tab/>
              <w:t xml:space="preserve">Ներդիր թերթիկը </w:t>
            </w:r>
            <w:r w:rsidR="00C54D75">
              <w:rPr>
                <w:rStyle w:val="Bodytext295pt"/>
                <w:rFonts w:ascii="Sylfaen" w:hAnsi="Sylfaen"/>
                <w:sz w:val="24"/>
                <w:szCs w:val="24"/>
              </w:rPr>
              <w:t>և</w:t>
            </w:r>
            <w:r w:rsidRPr="003B2786">
              <w:rPr>
                <w:rStyle w:val="Bodytext295pt"/>
                <w:rFonts w:ascii="Sylfaen" w:hAnsi="Sylfaen"/>
                <w:sz w:val="24"/>
                <w:szCs w:val="24"/>
              </w:rPr>
              <w:t xml:space="preserve"> օգտատերերի թեստավորումը</w:t>
            </w:r>
          </w:p>
        </w:tc>
      </w:tr>
      <w:tr w:rsidR="008C76E0" w:rsidRPr="003B2786" w14:paraId="64B36643" w14:textId="77777777" w:rsidTr="008C76E0">
        <w:trPr>
          <w:jc w:val="center"/>
        </w:trPr>
        <w:tc>
          <w:tcPr>
            <w:tcW w:w="9678" w:type="dxa"/>
            <w:shd w:val="clear" w:color="auto" w:fill="FFFFFF"/>
            <w:vAlign w:val="center"/>
          </w:tcPr>
          <w:p w14:paraId="407507A7"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V.3.1.</w:t>
            </w:r>
            <w:r w:rsidRPr="003B2786">
              <w:rPr>
                <w:rStyle w:val="Bodytext295pt"/>
                <w:rFonts w:ascii="Sylfaen" w:hAnsi="Sylfaen"/>
                <w:sz w:val="24"/>
                <w:szCs w:val="24"/>
              </w:rPr>
              <w:tab/>
              <w:t>Ներդիր թերթիկը</w:t>
            </w:r>
          </w:p>
        </w:tc>
      </w:tr>
      <w:tr w:rsidR="008C76E0" w:rsidRPr="003B2786" w14:paraId="75CFFB98" w14:textId="77777777" w:rsidTr="008C76E0">
        <w:trPr>
          <w:jc w:val="center"/>
        </w:trPr>
        <w:tc>
          <w:tcPr>
            <w:tcW w:w="9678" w:type="dxa"/>
            <w:shd w:val="clear" w:color="auto" w:fill="FFFFFF"/>
            <w:vAlign w:val="center"/>
          </w:tcPr>
          <w:p w14:paraId="5166F4F3" w14:textId="77777777" w:rsidR="008C76E0" w:rsidRPr="003B2786" w:rsidRDefault="008C76E0" w:rsidP="00390DAC">
            <w:pPr>
              <w:pStyle w:val="Bodytext180"/>
              <w:shd w:val="clear" w:color="auto" w:fill="auto"/>
              <w:tabs>
                <w:tab w:val="left" w:pos="1712"/>
              </w:tabs>
              <w:spacing w:before="0" w:after="160" w:line="360" w:lineRule="auto"/>
              <w:ind w:left="57" w:right="96" w:firstLine="522"/>
              <w:jc w:val="both"/>
              <w:rPr>
                <w:rFonts w:ascii="Sylfaen" w:hAnsi="Sylfaen"/>
                <w:b w:val="0"/>
                <w:i/>
                <w:sz w:val="24"/>
                <w:szCs w:val="24"/>
              </w:rPr>
            </w:pPr>
            <w:r w:rsidRPr="003B2786">
              <w:rPr>
                <w:rStyle w:val="Bodytext295pt"/>
                <w:rFonts w:ascii="Sylfaen" w:hAnsi="Sylfaen"/>
                <w:sz w:val="24"/>
                <w:szCs w:val="24"/>
              </w:rPr>
              <w:t>V.3.2.</w:t>
            </w:r>
            <w:r w:rsidRPr="003B2786">
              <w:rPr>
                <w:rStyle w:val="Bodytext295pt"/>
                <w:rFonts w:ascii="Sylfaen" w:hAnsi="Sylfaen"/>
                <w:sz w:val="24"/>
                <w:szCs w:val="24"/>
              </w:rPr>
              <w:tab/>
              <w:t>Օգտատերերի թեստավորման գնահատումը</w:t>
            </w:r>
          </w:p>
        </w:tc>
      </w:tr>
      <w:tr w:rsidR="008C76E0" w:rsidRPr="003B2786" w14:paraId="18557E27" w14:textId="77777777" w:rsidTr="008C76E0">
        <w:trPr>
          <w:jc w:val="center"/>
        </w:trPr>
        <w:tc>
          <w:tcPr>
            <w:tcW w:w="9678" w:type="dxa"/>
            <w:tcBorders>
              <w:top w:val="single" w:sz="4" w:space="0" w:color="auto"/>
              <w:left w:val="single" w:sz="4" w:space="0" w:color="auto"/>
              <w:right w:val="single" w:sz="4" w:space="0" w:color="auto"/>
            </w:tcBorders>
            <w:shd w:val="clear" w:color="auto" w:fill="FFFFFF"/>
            <w:vAlign w:val="bottom"/>
          </w:tcPr>
          <w:p w14:paraId="46F3F6F2" w14:textId="77777777" w:rsidR="008C76E0" w:rsidRPr="008C76E0" w:rsidRDefault="008C76E0" w:rsidP="00390DAC">
            <w:pPr>
              <w:pStyle w:val="Bodytext180"/>
              <w:shd w:val="clear" w:color="auto" w:fill="auto"/>
              <w:spacing w:before="0" w:after="160" w:line="360" w:lineRule="auto"/>
              <w:ind w:left="57" w:right="96" w:firstLine="522"/>
              <w:jc w:val="both"/>
              <w:rPr>
                <w:rFonts w:ascii="Sylfaen" w:hAnsi="Sylfaen"/>
                <w:b w:val="0"/>
                <w:sz w:val="24"/>
                <w:szCs w:val="24"/>
                <w:lang w:val="hy-AM"/>
              </w:rPr>
            </w:pPr>
            <w:r w:rsidRPr="003B2786">
              <w:rPr>
                <w:rStyle w:val="Bodytext1811pt"/>
                <w:rFonts w:ascii="Sylfaen" w:hAnsi="Sylfaen"/>
                <w:sz w:val="24"/>
                <w:szCs w:val="24"/>
              </w:rPr>
              <w:t xml:space="preserve">Ռեֆերենտ պետությունում անհրաժեշտ է ներառել օգտատերերի թեստավորման գնահատումը (առկայության դեպքում)՝ օգտատերերի թեստավորման արդյունքների վերլուծության համար կիրառելով </w:t>
            </w:r>
            <w:r w:rsidRPr="003B2786">
              <w:rPr>
                <w:rStyle w:val="Bodytext295pt"/>
                <w:rFonts w:ascii="Sylfaen" w:hAnsi="Sylfaen"/>
                <w:sz w:val="24"/>
                <w:szCs w:val="24"/>
              </w:rPr>
              <w:t xml:space="preserve">Դեղապատրաստուկների բժշկական կիրառման հրահանգին </w:t>
            </w:r>
            <w:r w:rsidR="00C54D75">
              <w:rPr>
                <w:rStyle w:val="Bodytext295pt"/>
                <w:rFonts w:ascii="Sylfaen" w:hAnsi="Sylfaen"/>
                <w:sz w:val="24"/>
                <w:szCs w:val="24"/>
              </w:rPr>
              <w:t>և</w:t>
            </w:r>
            <w:r w:rsidRPr="003B2786">
              <w:rPr>
                <w:rStyle w:val="Bodytext295pt"/>
                <w:rFonts w:ascii="Sylfaen" w:hAnsi="Sylfaen"/>
                <w:sz w:val="24"/>
                <w:szCs w:val="24"/>
              </w:rPr>
              <w:t xml:space="preserve"> բժշկական կիրառման դեղապատրաստուկների ընդհանուր բնութագրին </w:t>
            </w:r>
            <w:r w:rsidRPr="003B2786">
              <w:rPr>
                <w:rStyle w:val="Bodytext1811pt"/>
                <w:rFonts w:ascii="Sylfaen" w:hAnsi="Sylfaen"/>
                <w:sz w:val="24"/>
                <w:szCs w:val="24"/>
              </w:rPr>
              <w:t xml:space="preserve">ու ստուգաթերթին </w:t>
            </w:r>
            <w:r w:rsidRPr="003B2786">
              <w:rPr>
                <w:rStyle w:val="Bodytext295pt"/>
                <w:rFonts w:ascii="Sylfaen" w:hAnsi="Sylfaen"/>
                <w:sz w:val="24"/>
                <w:szCs w:val="24"/>
              </w:rPr>
              <w:t>ներկայացվող պահանջների հավելվածը</w:t>
            </w:r>
            <w:r w:rsidRPr="003B2786">
              <w:rPr>
                <w:rStyle w:val="Bodytext1811pt"/>
                <w:rFonts w:ascii="Sylfaen" w:hAnsi="Sylfaen"/>
                <w:sz w:val="24"/>
                <w:szCs w:val="24"/>
              </w:rPr>
              <w:t>: Հակառակ դեպքում անհրաժեշտ է նշել, թե արդյոք նախատեսված է օգտատերերի թեստավորումը, կամ ներկայացնել դրա բացակայության ընդունելի լինելու հիմնավորումը:</w:t>
            </w:r>
          </w:p>
        </w:tc>
      </w:tr>
      <w:tr w:rsidR="008C76E0" w:rsidRPr="003B2786" w14:paraId="701C70E8" w14:textId="77777777" w:rsidTr="008C76E0">
        <w:trPr>
          <w:jc w:val="center"/>
        </w:trPr>
        <w:tc>
          <w:tcPr>
            <w:tcW w:w="9678" w:type="dxa"/>
            <w:tcBorders>
              <w:top w:val="single" w:sz="4" w:space="0" w:color="auto"/>
            </w:tcBorders>
            <w:shd w:val="clear" w:color="auto" w:fill="FFFFFF"/>
            <w:vAlign w:val="center"/>
          </w:tcPr>
          <w:p w14:paraId="22D568A6" w14:textId="082825BA" w:rsidR="008C76E0" w:rsidRPr="008C76E0" w:rsidRDefault="008C76E0" w:rsidP="00390DAC">
            <w:pPr>
              <w:pStyle w:val="Bodytext180"/>
              <w:shd w:val="clear" w:color="auto" w:fill="auto"/>
              <w:spacing w:before="0" w:after="160" w:line="360" w:lineRule="auto"/>
              <w:ind w:left="56" w:right="97" w:firstLine="522"/>
              <w:jc w:val="both"/>
              <w:rPr>
                <w:rFonts w:ascii="Sylfaen" w:hAnsi="Sylfaen"/>
                <w:b w:val="0"/>
                <w:sz w:val="24"/>
                <w:szCs w:val="24"/>
                <w:lang w:val="hy-AM"/>
              </w:rPr>
            </w:pPr>
            <w:r w:rsidRPr="003B2786">
              <w:rPr>
                <w:rStyle w:val="Bodytext295pt"/>
                <w:rFonts w:ascii="Sylfaen" w:hAnsi="Sylfaen"/>
                <w:sz w:val="24"/>
                <w:szCs w:val="24"/>
              </w:rPr>
              <w:t xml:space="preserve">«Օգտատերերի թեստավորման գնահատումը ներկայացված է օգտատերերի թեստավորման արդյունքների վերլուծության համար փաստաթղթերի </w:t>
            </w:r>
            <w:r w:rsidR="00C54D75">
              <w:rPr>
                <w:rStyle w:val="Bodytext295pt"/>
                <w:rFonts w:ascii="Sylfaen" w:hAnsi="Sylfaen"/>
                <w:sz w:val="24"/>
                <w:szCs w:val="24"/>
              </w:rPr>
              <w:t>և</w:t>
            </w:r>
            <w:r w:rsidRPr="003B2786">
              <w:rPr>
                <w:rStyle w:val="Bodytext295pt"/>
                <w:rFonts w:ascii="Sylfaen" w:hAnsi="Sylfaen"/>
                <w:sz w:val="24"/>
                <w:szCs w:val="24"/>
              </w:rPr>
              <w:t xml:space="preserve"> ստուգաթերթի որակի ստուգման վերաբերյալ կից ներկայացվող ուղեցույցում». կամ «Կարող է հաստատվել գրանցման հավաստագրի գործողության դադարեցման ժամանակահատվածի ընթացքում բժշկական կիրառման ցուցումների դյուրընթեռնելիության մասով թեստ անցկացնելու </w:t>
            </w:r>
            <w:r w:rsidR="0056496B">
              <w:rPr>
                <w:rStyle w:val="Bodytext295pt"/>
                <w:rFonts w:ascii="Sylfaen" w:hAnsi="Sylfaen"/>
                <w:sz w:val="24"/>
                <w:szCs w:val="24"/>
              </w:rPr>
              <w:t>դիմումատու</w:t>
            </w:r>
            <w:r w:rsidRPr="003B2786">
              <w:rPr>
                <w:rStyle w:val="Bodytext295pt"/>
                <w:rFonts w:ascii="Sylfaen" w:hAnsi="Sylfaen"/>
                <w:sz w:val="24"/>
                <w:szCs w:val="24"/>
              </w:rPr>
              <w:t>ի պարտավորությունը»:</w:t>
            </w:r>
          </w:p>
        </w:tc>
      </w:tr>
      <w:tr w:rsidR="008C76E0" w:rsidRPr="003B2786" w14:paraId="27A3EA13" w14:textId="77777777" w:rsidTr="008C76E0">
        <w:trPr>
          <w:trHeight w:val="317"/>
          <w:jc w:val="center"/>
        </w:trPr>
        <w:tc>
          <w:tcPr>
            <w:tcW w:w="9678" w:type="dxa"/>
            <w:shd w:val="clear" w:color="auto" w:fill="FFFFFF"/>
            <w:vAlign w:val="bottom"/>
          </w:tcPr>
          <w:p w14:paraId="0E2474DD" w14:textId="77777777" w:rsidR="008C76E0" w:rsidRPr="003B2786" w:rsidRDefault="008C76E0" w:rsidP="00390DAC">
            <w:pPr>
              <w:pStyle w:val="Bodytext180"/>
              <w:shd w:val="clear" w:color="auto" w:fill="auto"/>
              <w:tabs>
                <w:tab w:val="left" w:pos="1145"/>
              </w:tabs>
              <w:spacing w:before="0" w:after="160" w:line="360" w:lineRule="auto"/>
              <w:ind w:left="57" w:right="96" w:firstLine="522"/>
              <w:jc w:val="both"/>
              <w:rPr>
                <w:rFonts w:ascii="Sylfaen" w:hAnsi="Sylfaen"/>
                <w:i/>
                <w:sz w:val="24"/>
                <w:szCs w:val="24"/>
              </w:rPr>
            </w:pPr>
            <w:r w:rsidRPr="003B2786">
              <w:rPr>
                <w:rStyle w:val="Bodytext295pt"/>
                <w:rFonts w:ascii="Sylfaen" w:hAnsi="Sylfaen"/>
                <w:sz w:val="24"/>
                <w:szCs w:val="24"/>
              </w:rPr>
              <w:t>V.4.</w:t>
            </w:r>
            <w:r w:rsidRPr="003B2786">
              <w:rPr>
                <w:rStyle w:val="Bodytext295pt"/>
                <w:rFonts w:ascii="Sylfaen" w:hAnsi="Sylfaen"/>
                <w:sz w:val="24"/>
                <w:szCs w:val="24"/>
              </w:rPr>
              <w:tab/>
              <w:t>Մակնշումը</w:t>
            </w:r>
          </w:p>
        </w:tc>
      </w:tr>
    </w:tbl>
    <w:p w14:paraId="56579FAF" w14:textId="77777777" w:rsidR="008C76E0" w:rsidRPr="003B2786" w:rsidRDefault="008C76E0" w:rsidP="00390DAC">
      <w:pPr>
        <w:tabs>
          <w:tab w:val="left" w:pos="1134"/>
        </w:tabs>
        <w:spacing w:after="160" w:line="360" w:lineRule="auto"/>
        <w:ind w:left="56" w:right="-1" w:firstLine="511"/>
        <w:jc w:val="both"/>
        <w:rPr>
          <w:rFonts w:ascii="Sylfaen" w:hAnsi="Sylfaen"/>
          <w:sz w:val="24"/>
          <w:szCs w:val="24"/>
        </w:rPr>
      </w:pPr>
      <w:r w:rsidRPr="003B2786">
        <w:rPr>
          <w:rFonts w:ascii="Sylfaen" w:hAnsi="Sylfaen"/>
          <w:sz w:val="24"/>
          <w:szCs w:val="24"/>
        </w:rPr>
        <w:t>VI.</w:t>
      </w:r>
      <w:r w:rsidRPr="003B2786">
        <w:rPr>
          <w:rFonts w:ascii="Sylfaen" w:hAnsi="Sylfaen"/>
          <w:sz w:val="24"/>
          <w:szCs w:val="24"/>
        </w:rPr>
        <w:tab/>
        <w:t xml:space="preserve">Հավելված. Օգտատերերի թեստավորման արդյունքների վերլուծության </w:t>
      </w:r>
      <w:r w:rsidRPr="003B2786">
        <w:rPr>
          <w:rFonts w:ascii="Sylfaen" w:hAnsi="Sylfaen"/>
          <w:sz w:val="24"/>
          <w:szCs w:val="24"/>
        </w:rPr>
        <w:lastRenderedPageBreak/>
        <w:t xml:space="preserve">համար փաստաթղթերի </w:t>
      </w:r>
      <w:r w:rsidR="00C54D75">
        <w:rPr>
          <w:rFonts w:ascii="Sylfaen" w:hAnsi="Sylfaen"/>
          <w:sz w:val="24"/>
          <w:szCs w:val="24"/>
        </w:rPr>
        <w:t>և</w:t>
      </w:r>
      <w:r w:rsidRPr="003B2786">
        <w:rPr>
          <w:rFonts w:ascii="Sylfaen" w:hAnsi="Sylfaen"/>
          <w:sz w:val="24"/>
          <w:szCs w:val="24"/>
        </w:rPr>
        <w:t xml:space="preserve"> ստուգաթերթերի որակի ստուգման վերաբերյալ ուղեցույց</w:t>
      </w:r>
    </w:p>
    <w:p w14:paraId="7A95F308" w14:textId="77777777" w:rsidR="008C76E0" w:rsidRPr="008C76E0" w:rsidRDefault="008C76E0" w:rsidP="00390DAC">
      <w:pPr>
        <w:pStyle w:val="Bodytext70"/>
        <w:shd w:val="clear" w:color="auto" w:fill="auto"/>
        <w:spacing w:before="0" w:after="160" w:line="360" w:lineRule="auto"/>
        <w:ind w:right="-1" w:firstLine="567"/>
        <w:rPr>
          <w:rFonts w:ascii="Sylfaen" w:hAnsi="Sylfaen"/>
          <w:b w:val="0"/>
          <w:sz w:val="24"/>
          <w:szCs w:val="24"/>
          <w:lang w:val="hy-AM"/>
        </w:rPr>
      </w:pPr>
      <w:r w:rsidRPr="008C76E0">
        <w:rPr>
          <w:rFonts w:ascii="Sylfaen" w:hAnsi="Sylfaen"/>
          <w:b w:val="0"/>
          <w:sz w:val="24"/>
          <w:szCs w:val="24"/>
          <w:lang w:val="hy-AM"/>
        </w:rPr>
        <w:t xml:space="preserve">Սույն ուղեցույցը մշակվել է ընթեռնելիության թեստավորման մեթոդի վրա հիմնված օգտատերերի թեստավորման հաշվետվությունների գնահատման կարգի վերաբերյալ գործնական տեղեկատվություն ներկայացնելու նպատակով: Սա չի բացառում վերոնշյալից տարբերվող այլ մեթոդների վրա հիմնված օգտատերերի թեստավորման հաշվետվությունների ներկայացումը </w:t>
      </w:r>
      <w:r w:rsidR="00C54D75">
        <w:rPr>
          <w:rFonts w:ascii="Sylfaen" w:hAnsi="Sylfaen"/>
          <w:b w:val="0"/>
          <w:sz w:val="24"/>
          <w:szCs w:val="24"/>
          <w:lang w:val="hy-AM"/>
        </w:rPr>
        <w:t>և</w:t>
      </w:r>
      <w:r w:rsidRPr="008C76E0">
        <w:rPr>
          <w:rFonts w:ascii="Sylfaen" w:hAnsi="Sylfaen"/>
          <w:b w:val="0"/>
          <w:sz w:val="24"/>
          <w:szCs w:val="24"/>
          <w:lang w:val="hy-AM"/>
        </w:rPr>
        <w:t xml:space="preserve"> գնահատումը:</w:t>
      </w:r>
    </w:p>
    <w:tbl>
      <w:tblPr>
        <w:tblOverlap w:val="never"/>
        <w:tblW w:w="9629" w:type="dxa"/>
        <w:jc w:val="center"/>
        <w:tblLayout w:type="fixed"/>
        <w:tblCellMar>
          <w:left w:w="10" w:type="dxa"/>
          <w:right w:w="10" w:type="dxa"/>
        </w:tblCellMar>
        <w:tblLook w:val="04A0" w:firstRow="1" w:lastRow="0" w:firstColumn="1" w:lastColumn="0" w:noHBand="0" w:noVBand="1"/>
      </w:tblPr>
      <w:tblGrid>
        <w:gridCol w:w="4656"/>
        <w:gridCol w:w="4973"/>
      </w:tblGrid>
      <w:tr w:rsidR="008C76E0" w:rsidRPr="003B2786" w14:paraId="4CEE2A55" w14:textId="77777777" w:rsidTr="008C76E0">
        <w:trPr>
          <w:trHeight w:val="665"/>
          <w:jc w:val="center"/>
        </w:trPr>
        <w:tc>
          <w:tcPr>
            <w:tcW w:w="9629" w:type="dxa"/>
            <w:gridSpan w:val="2"/>
            <w:shd w:val="clear" w:color="auto" w:fill="FFFFFF"/>
          </w:tcPr>
          <w:p w14:paraId="659980C6" w14:textId="77777777" w:rsidR="008C76E0" w:rsidRPr="003B2786" w:rsidRDefault="008C76E0" w:rsidP="00390DAC">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ՊԱՏՐԱՍՏՈՒԿԻ ՄԱՍԻՆ ՏԵՂԵԿԱՏՎՈՒԹՅՈՒՆԸ</w:t>
            </w:r>
          </w:p>
        </w:tc>
      </w:tr>
      <w:tr w:rsidR="008C76E0" w:rsidRPr="003B2786" w14:paraId="122D2367" w14:textId="77777777" w:rsidTr="008C76E0">
        <w:trPr>
          <w:jc w:val="center"/>
        </w:trPr>
        <w:tc>
          <w:tcPr>
            <w:tcW w:w="4656" w:type="dxa"/>
            <w:tcBorders>
              <w:top w:val="single" w:sz="4" w:space="0" w:color="auto"/>
              <w:left w:val="single" w:sz="4" w:space="0" w:color="auto"/>
            </w:tcBorders>
            <w:shd w:val="clear" w:color="auto" w:fill="FFFFFF"/>
            <w:vAlign w:val="bottom"/>
          </w:tcPr>
          <w:p w14:paraId="67DAE920"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4973" w:type="dxa"/>
            <w:tcBorders>
              <w:top w:val="single" w:sz="4" w:space="0" w:color="auto"/>
              <w:left w:val="single" w:sz="4" w:space="0" w:color="auto"/>
              <w:right w:val="single" w:sz="4" w:space="0" w:color="auto"/>
            </w:tcBorders>
            <w:shd w:val="clear" w:color="auto" w:fill="FFFFFF"/>
          </w:tcPr>
          <w:p w14:paraId="542E6031" w14:textId="77777777" w:rsidR="008C76E0" w:rsidRPr="003B2786" w:rsidRDefault="008C76E0" w:rsidP="00390DAC">
            <w:pPr>
              <w:spacing w:after="160" w:line="360" w:lineRule="auto"/>
              <w:jc w:val="both"/>
              <w:rPr>
                <w:rFonts w:ascii="Sylfaen" w:hAnsi="Sylfaen"/>
                <w:sz w:val="24"/>
                <w:szCs w:val="24"/>
              </w:rPr>
            </w:pPr>
          </w:p>
        </w:tc>
      </w:tr>
      <w:tr w:rsidR="008C76E0" w:rsidRPr="003B2786" w14:paraId="2EA8F3DC" w14:textId="77777777" w:rsidTr="008C76E0">
        <w:trPr>
          <w:jc w:val="center"/>
        </w:trPr>
        <w:tc>
          <w:tcPr>
            <w:tcW w:w="4656" w:type="dxa"/>
            <w:tcBorders>
              <w:top w:val="single" w:sz="4" w:space="0" w:color="auto"/>
              <w:left w:val="single" w:sz="4" w:space="0" w:color="auto"/>
            </w:tcBorders>
            <w:shd w:val="clear" w:color="auto" w:fill="FFFFFF"/>
            <w:vAlign w:val="bottom"/>
          </w:tcPr>
          <w:p w14:paraId="68B3D399" w14:textId="227FE889" w:rsidR="008C76E0" w:rsidRPr="003B2786" w:rsidRDefault="0056496B" w:rsidP="00390DAC">
            <w:pPr>
              <w:pStyle w:val="Bodytext180"/>
              <w:shd w:val="clear" w:color="auto" w:fill="auto"/>
              <w:spacing w:before="0" w:after="160" w:line="360" w:lineRule="auto"/>
              <w:ind w:left="128" w:firstLine="0"/>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ի անվանումը </w:t>
            </w:r>
            <w:r w:rsidR="00C54D75">
              <w:rPr>
                <w:rStyle w:val="Bodytext295pt"/>
                <w:rFonts w:ascii="Sylfaen" w:hAnsi="Sylfaen"/>
                <w:sz w:val="24"/>
                <w:szCs w:val="24"/>
              </w:rPr>
              <w:t>և</w:t>
            </w:r>
            <w:r w:rsidR="008C76E0" w:rsidRPr="003B2786">
              <w:rPr>
                <w:rStyle w:val="Bodytext295pt"/>
                <w:rFonts w:ascii="Sylfaen" w:hAnsi="Sylfaen"/>
                <w:sz w:val="24"/>
                <w:szCs w:val="24"/>
              </w:rPr>
              <w:t xml:space="preserve"> հասցեն</w:t>
            </w:r>
          </w:p>
        </w:tc>
        <w:tc>
          <w:tcPr>
            <w:tcW w:w="4973" w:type="dxa"/>
            <w:tcBorders>
              <w:top w:val="single" w:sz="4" w:space="0" w:color="auto"/>
              <w:left w:val="single" w:sz="4" w:space="0" w:color="auto"/>
              <w:right w:val="single" w:sz="4" w:space="0" w:color="auto"/>
            </w:tcBorders>
            <w:shd w:val="clear" w:color="auto" w:fill="FFFFFF"/>
          </w:tcPr>
          <w:p w14:paraId="55C982BA" w14:textId="77777777" w:rsidR="008C76E0" w:rsidRPr="003B2786" w:rsidRDefault="008C76E0" w:rsidP="00390DAC">
            <w:pPr>
              <w:spacing w:after="160" w:line="360" w:lineRule="auto"/>
              <w:jc w:val="both"/>
              <w:rPr>
                <w:rFonts w:ascii="Sylfaen" w:hAnsi="Sylfaen"/>
                <w:sz w:val="24"/>
                <w:szCs w:val="24"/>
              </w:rPr>
            </w:pPr>
          </w:p>
        </w:tc>
      </w:tr>
      <w:tr w:rsidR="008C76E0" w:rsidRPr="003B2786" w14:paraId="5CF8E5DE" w14:textId="77777777" w:rsidTr="008C76E0">
        <w:trPr>
          <w:jc w:val="center"/>
        </w:trPr>
        <w:tc>
          <w:tcPr>
            <w:tcW w:w="4656" w:type="dxa"/>
            <w:tcBorders>
              <w:top w:val="single" w:sz="4" w:space="0" w:color="auto"/>
              <w:left w:val="single" w:sz="4" w:space="0" w:color="auto"/>
            </w:tcBorders>
            <w:shd w:val="clear" w:color="auto" w:fill="FFFFFF"/>
            <w:vAlign w:val="bottom"/>
          </w:tcPr>
          <w:p w14:paraId="22A0140B"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Օգտատերերի թեստավորում անցկացնող ընկերության անվանումը</w:t>
            </w:r>
          </w:p>
        </w:tc>
        <w:tc>
          <w:tcPr>
            <w:tcW w:w="4973" w:type="dxa"/>
            <w:tcBorders>
              <w:top w:val="single" w:sz="4" w:space="0" w:color="auto"/>
              <w:left w:val="single" w:sz="4" w:space="0" w:color="auto"/>
              <w:right w:val="single" w:sz="4" w:space="0" w:color="auto"/>
            </w:tcBorders>
            <w:shd w:val="clear" w:color="auto" w:fill="FFFFFF"/>
          </w:tcPr>
          <w:p w14:paraId="722DAAA8"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0AE7235" w14:textId="77777777" w:rsidTr="008C76E0">
        <w:trPr>
          <w:jc w:val="center"/>
        </w:trPr>
        <w:tc>
          <w:tcPr>
            <w:tcW w:w="4656" w:type="dxa"/>
            <w:tcBorders>
              <w:top w:val="single" w:sz="4" w:space="0" w:color="auto"/>
              <w:left w:val="single" w:sz="4" w:space="0" w:color="auto"/>
            </w:tcBorders>
            <w:shd w:val="clear" w:color="auto" w:fill="FFFFFF"/>
            <w:vAlign w:val="bottom"/>
          </w:tcPr>
          <w:p w14:paraId="539752C9" w14:textId="0D29F0A6"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 xml:space="preserve">Գրանցման հավաստագիր ստանալու </w:t>
            </w:r>
            <w:r w:rsidR="0056496B">
              <w:rPr>
                <w:rStyle w:val="Bodytext295pt"/>
                <w:rFonts w:ascii="Sylfaen" w:hAnsi="Sylfaen"/>
                <w:sz w:val="24"/>
                <w:szCs w:val="24"/>
              </w:rPr>
              <w:t>դիմում</w:t>
            </w:r>
            <w:r w:rsidRPr="003B2786">
              <w:rPr>
                <w:rStyle w:val="Bodytext295pt"/>
                <w:rFonts w:ascii="Sylfaen" w:hAnsi="Sylfaen"/>
                <w:sz w:val="24"/>
                <w:szCs w:val="24"/>
              </w:rPr>
              <w:t>ի տիպը</w:t>
            </w:r>
          </w:p>
        </w:tc>
        <w:tc>
          <w:tcPr>
            <w:tcW w:w="4973" w:type="dxa"/>
            <w:tcBorders>
              <w:top w:val="single" w:sz="4" w:space="0" w:color="auto"/>
              <w:left w:val="single" w:sz="4" w:space="0" w:color="auto"/>
              <w:right w:val="single" w:sz="4" w:space="0" w:color="auto"/>
            </w:tcBorders>
            <w:shd w:val="clear" w:color="auto" w:fill="FFFFFF"/>
          </w:tcPr>
          <w:p w14:paraId="6F4FBA64" w14:textId="77777777" w:rsidR="008C76E0" w:rsidRPr="003B2786" w:rsidRDefault="008C76E0" w:rsidP="00390DAC">
            <w:pPr>
              <w:spacing w:after="160" w:line="360" w:lineRule="auto"/>
              <w:jc w:val="both"/>
              <w:rPr>
                <w:rFonts w:ascii="Sylfaen" w:hAnsi="Sylfaen"/>
                <w:sz w:val="24"/>
                <w:szCs w:val="24"/>
              </w:rPr>
            </w:pPr>
          </w:p>
        </w:tc>
      </w:tr>
      <w:tr w:rsidR="008C76E0" w:rsidRPr="003B2786" w14:paraId="02A04181" w14:textId="77777777" w:rsidTr="008C76E0">
        <w:trPr>
          <w:jc w:val="center"/>
        </w:trPr>
        <w:tc>
          <w:tcPr>
            <w:tcW w:w="4656" w:type="dxa"/>
            <w:tcBorders>
              <w:top w:val="single" w:sz="4" w:space="0" w:color="auto"/>
              <w:left w:val="single" w:sz="4" w:space="0" w:color="auto"/>
            </w:tcBorders>
            <w:shd w:val="clear" w:color="auto" w:fill="FFFFFF"/>
            <w:vAlign w:val="bottom"/>
          </w:tcPr>
          <w:p w14:paraId="1F603A0A"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ՄՉԱ</w:t>
            </w:r>
          </w:p>
        </w:tc>
        <w:tc>
          <w:tcPr>
            <w:tcW w:w="4973" w:type="dxa"/>
            <w:tcBorders>
              <w:top w:val="single" w:sz="4" w:space="0" w:color="auto"/>
              <w:left w:val="single" w:sz="4" w:space="0" w:color="auto"/>
              <w:right w:val="single" w:sz="4" w:space="0" w:color="auto"/>
            </w:tcBorders>
            <w:shd w:val="clear" w:color="auto" w:fill="FFFFFF"/>
          </w:tcPr>
          <w:p w14:paraId="499F62DB" w14:textId="77777777" w:rsidR="008C76E0" w:rsidRPr="003B2786" w:rsidRDefault="008C76E0" w:rsidP="00390DAC">
            <w:pPr>
              <w:spacing w:after="160" w:line="360" w:lineRule="auto"/>
              <w:jc w:val="both"/>
              <w:rPr>
                <w:rFonts w:ascii="Sylfaen" w:hAnsi="Sylfaen"/>
                <w:sz w:val="24"/>
                <w:szCs w:val="24"/>
              </w:rPr>
            </w:pPr>
          </w:p>
        </w:tc>
      </w:tr>
      <w:tr w:rsidR="008C76E0" w:rsidRPr="003B2786" w14:paraId="6918130D" w14:textId="77777777" w:rsidTr="008C76E0">
        <w:trPr>
          <w:jc w:val="center"/>
        </w:trPr>
        <w:tc>
          <w:tcPr>
            <w:tcW w:w="4656" w:type="dxa"/>
            <w:tcBorders>
              <w:top w:val="single" w:sz="4" w:space="0" w:color="auto"/>
              <w:left w:val="single" w:sz="4" w:space="0" w:color="auto"/>
            </w:tcBorders>
            <w:shd w:val="clear" w:color="auto" w:fill="FFFFFF"/>
            <w:vAlign w:val="bottom"/>
          </w:tcPr>
          <w:p w14:paraId="58FDB273" w14:textId="77777777" w:rsidR="008C76E0" w:rsidRPr="008C76E0" w:rsidRDefault="008C76E0" w:rsidP="00390DAC">
            <w:pPr>
              <w:pStyle w:val="Bodytext180"/>
              <w:shd w:val="clear" w:color="auto" w:fill="auto"/>
              <w:spacing w:before="0" w:after="160" w:line="360" w:lineRule="auto"/>
              <w:ind w:left="128" w:firstLine="0"/>
              <w:rPr>
                <w:rFonts w:ascii="Sylfaen" w:hAnsi="Sylfaen"/>
                <w:b w:val="0"/>
                <w:sz w:val="24"/>
                <w:szCs w:val="24"/>
                <w:lang w:val="hy-AM"/>
              </w:rPr>
            </w:pPr>
            <w:r w:rsidRPr="003B2786">
              <w:rPr>
                <w:rStyle w:val="Bodytext295pt"/>
                <w:rFonts w:ascii="Sylfaen" w:hAnsi="Sylfaen"/>
                <w:sz w:val="24"/>
                <w:szCs w:val="24"/>
              </w:rPr>
              <w:t>Դեղաթերապ</w:t>
            </w:r>
            <w:r w:rsidR="00C54D75">
              <w:rPr>
                <w:rStyle w:val="Bodytext295pt"/>
                <w:rFonts w:ascii="Sylfaen" w:hAnsi="Sylfaen"/>
                <w:sz w:val="24"/>
                <w:szCs w:val="24"/>
              </w:rPr>
              <w:t>և</w:t>
            </w:r>
            <w:r w:rsidRPr="003B2786">
              <w:rPr>
                <w:rStyle w:val="Bodytext295pt"/>
                <w:rFonts w:ascii="Sylfaen" w:hAnsi="Sylfaen"/>
                <w:sz w:val="24"/>
                <w:szCs w:val="24"/>
              </w:rPr>
              <w:t>տիկ խումբը (ԱԲՔ (ATХ) ծածկագիրը)</w:t>
            </w:r>
          </w:p>
        </w:tc>
        <w:tc>
          <w:tcPr>
            <w:tcW w:w="4973" w:type="dxa"/>
            <w:tcBorders>
              <w:top w:val="single" w:sz="4" w:space="0" w:color="auto"/>
              <w:left w:val="single" w:sz="4" w:space="0" w:color="auto"/>
              <w:right w:val="single" w:sz="4" w:space="0" w:color="auto"/>
            </w:tcBorders>
            <w:shd w:val="clear" w:color="auto" w:fill="FFFFFF"/>
          </w:tcPr>
          <w:p w14:paraId="17B3D5A7" w14:textId="77777777" w:rsidR="008C76E0" w:rsidRPr="003B2786" w:rsidRDefault="008C76E0" w:rsidP="00390DAC">
            <w:pPr>
              <w:spacing w:after="160" w:line="360" w:lineRule="auto"/>
              <w:jc w:val="both"/>
              <w:rPr>
                <w:rFonts w:ascii="Sylfaen" w:hAnsi="Sylfaen"/>
                <w:sz w:val="24"/>
                <w:szCs w:val="24"/>
              </w:rPr>
            </w:pPr>
          </w:p>
        </w:tc>
      </w:tr>
      <w:tr w:rsidR="008C76E0" w:rsidRPr="003B2786" w14:paraId="7027D56C" w14:textId="77777777" w:rsidTr="008C76E0">
        <w:trPr>
          <w:jc w:val="center"/>
        </w:trPr>
        <w:tc>
          <w:tcPr>
            <w:tcW w:w="4656" w:type="dxa"/>
            <w:tcBorders>
              <w:top w:val="single" w:sz="4" w:space="0" w:color="auto"/>
              <w:left w:val="single" w:sz="4" w:space="0" w:color="auto"/>
              <w:bottom w:val="single" w:sz="4" w:space="0" w:color="auto"/>
            </w:tcBorders>
            <w:shd w:val="clear" w:color="auto" w:fill="FFFFFF"/>
            <w:vAlign w:val="bottom"/>
          </w:tcPr>
          <w:p w14:paraId="5B9FBA14" w14:textId="77777777" w:rsidR="008C76E0" w:rsidRPr="003B2786" w:rsidRDefault="008C76E0" w:rsidP="00390DAC">
            <w:pPr>
              <w:pStyle w:val="Bodytext180"/>
              <w:shd w:val="clear" w:color="auto" w:fill="auto"/>
              <w:spacing w:before="0" w:after="160" w:line="360" w:lineRule="auto"/>
              <w:ind w:left="128" w:firstLine="0"/>
              <w:rPr>
                <w:rFonts w:ascii="Sylfaen" w:hAnsi="Sylfaen"/>
                <w:b w:val="0"/>
                <w:sz w:val="24"/>
                <w:szCs w:val="24"/>
              </w:rPr>
            </w:pPr>
            <w:r w:rsidRPr="003B2786">
              <w:rPr>
                <w:rStyle w:val="Bodytext295pt"/>
                <w:rFonts w:ascii="Sylfaen" w:hAnsi="Sylfaen"/>
                <w:sz w:val="24"/>
                <w:szCs w:val="24"/>
              </w:rPr>
              <w:t>Թերապ</w:t>
            </w:r>
            <w:r w:rsidR="00C54D75">
              <w:rPr>
                <w:rStyle w:val="Bodytext295pt"/>
                <w:rFonts w:ascii="Sylfaen" w:hAnsi="Sylfaen"/>
                <w:sz w:val="24"/>
                <w:szCs w:val="24"/>
              </w:rPr>
              <w:t>և</w:t>
            </w:r>
            <w:r w:rsidRPr="003B2786">
              <w:rPr>
                <w:rStyle w:val="Bodytext295pt"/>
                <w:rFonts w:ascii="Sylfaen" w:hAnsi="Sylfaen"/>
                <w:sz w:val="24"/>
                <w:szCs w:val="24"/>
              </w:rPr>
              <w:t>տիկ ցուցումները</w:t>
            </w:r>
          </w:p>
        </w:tc>
        <w:tc>
          <w:tcPr>
            <w:tcW w:w="4973" w:type="dxa"/>
            <w:tcBorders>
              <w:top w:val="single" w:sz="4" w:space="0" w:color="auto"/>
              <w:left w:val="single" w:sz="4" w:space="0" w:color="auto"/>
              <w:bottom w:val="single" w:sz="4" w:space="0" w:color="auto"/>
              <w:right w:val="single" w:sz="4" w:space="0" w:color="auto"/>
            </w:tcBorders>
            <w:shd w:val="clear" w:color="auto" w:fill="FFFFFF"/>
          </w:tcPr>
          <w:p w14:paraId="19B281BC" w14:textId="77777777" w:rsidR="008C76E0" w:rsidRPr="003B2786" w:rsidRDefault="008C76E0" w:rsidP="00390DAC">
            <w:pPr>
              <w:spacing w:after="160" w:line="360" w:lineRule="auto"/>
              <w:jc w:val="both"/>
              <w:rPr>
                <w:rFonts w:ascii="Sylfaen" w:hAnsi="Sylfaen"/>
                <w:sz w:val="24"/>
                <w:szCs w:val="24"/>
              </w:rPr>
            </w:pPr>
          </w:p>
        </w:tc>
      </w:tr>
    </w:tbl>
    <w:p w14:paraId="43337F0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2266"/>
      </w:tblGrid>
      <w:tr w:rsidR="008C76E0" w:rsidRPr="003B2786" w14:paraId="2C7448A3" w14:textId="77777777" w:rsidTr="008C76E0">
        <w:trPr>
          <w:jc w:val="center"/>
        </w:trPr>
        <w:tc>
          <w:tcPr>
            <w:tcW w:w="7310" w:type="dxa"/>
            <w:shd w:val="clear" w:color="auto" w:fill="FFFFFF"/>
            <w:vAlign w:val="bottom"/>
          </w:tcPr>
          <w:p w14:paraId="299E0871" w14:textId="77777777" w:rsidR="008C76E0" w:rsidRPr="008C76E0" w:rsidRDefault="008C76E0" w:rsidP="00390DAC">
            <w:pPr>
              <w:pStyle w:val="Bodytext180"/>
              <w:shd w:val="clear" w:color="auto" w:fill="auto"/>
              <w:spacing w:before="0" w:after="160" w:line="360" w:lineRule="auto"/>
              <w:ind w:right="-1" w:firstLine="527"/>
              <w:jc w:val="both"/>
              <w:rPr>
                <w:rFonts w:ascii="Sylfaen" w:hAnsi="Sylfaen"/>
                <w:b w:val="0"/>
                <w:i/>
                <w:sz w:val="24"/>
                <w:szCs w:val="24"/>
                <w:lang w:val="hy-AM"/>
              </w:rPr>
            </w:pPr>
            <w:r w:rsidRPr="003B2786">
              <w:rPr>
                <w:rStyle w:val="Bodytext295pt"/>
                <w:rFonts w:ascii="Sylfaen" w:hAnsi="Sylfaen"/>
                <w:sz w:val="24"/>
                <w:szCs w:val="24"/>
              </w:rPr>
              <w:t>Ներկայացվել է օգտատերերի թեստավորման ամբողջական հաշվետվությունը</w:t>
            </w:r>
          </w:p>
        </w:tc>
        <w:tc>
          <w:tcPr>
            <w:tcW w:w="2266" w:type="dxa"/>
            <w:shd w:val="clear" w:color="auto" w:fill="FFFFFF"/>
          </w:tcPr>
          <w:p w14:paraId="2EB68E0D"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28FF4242" w14:textId="77777777" w:rsidTr="008C76E0">
        <w:trPr>
          <w:jc w:val="center"/>
        </w:trPr>
        <w:tc>
          <w:tcPr>
            <w:tcW w:w="7310" w:type="dxa"/>
            <w:shd w:val="clear" w:color="auto" w:fill="FFFFFF"/>
          </w:tcPr>
          <w:p w14:paraId="04136CBC" w14:textId="77777777" w:rsidR="008C76E0" w:rsidRPr="003B2786" w:rsidRDefault="008C76E0" w:rsidP="00390DAC">
            <w:pPr>
              <w:pStyle w:val="Bodytext180"/>
              <w:shd w:val="clear" w:color="auto" w:fill="auto"/>
              <w:spacing w:before="0" w:after="160" w:line="360" w:lineRule="auto"/>
              <w:ind w:right="-1" w:firstLine="527"/>
              <w:jc w:val="both"/>
              <w:rPr>
                <w:rFonts w:ascii="Sylfaen" w:hAnsi="Sylfaen"/>
                <w:b w:val="0"/>
                <w:i/>
                <w:sz w:val="24"/>
                <w:szCs w:val="24"/>
              </w:rPr>
            </w:pPr>
            <w:r w:rsidRPr="003B2786">
              <w:rPr>
                <w:rStyle w:val="Bodytext295pt"/>
                <w:rFonts w:ascii="Sylfaen" w:hAnsi="Sylfaen"/>
                <w:sz w:val="24"/>
                <w:szCs w:val="24"/>
              </w:rPr>
              <w:t>Ներկայացվել է ամփոփ հաշվետվությունը</w:t>
            </w:r>
          </w:p>
        </w:tc>
        <w:tc>
          <w:tcPr>
            <w:tcW w:w="2266" w:type="dxa"/>
            <w:shd w:val="clear" w:color="auto" w:fill="FFFFFF"/>
          </w:tcPr>
          <w:p w14:paraId="783F21C4" w14:textId="77777777" w:rsidR="008C76E0" w:rsidRPr="003B2786" w:rsidRDefault="008C76E0" w:rsidP="00390DAC">
            <w:pPr>
              <w:pStyle w:val="Bodytext180"/>
              <w:shd w:val="clear" w:color="auto" w:fill="auto"/>
              <w:spacing w:before="0" w:after="160" w:line="360" w:lineRule="auto"/>
              <w:ind w:right="-1" w:firstLine="0"/>
              <w:jc w:val="both"/>
              <w:rPr>
                <w:rFonts w:ascii="Sylfaen" w:hAnsi="Sylfaen"/>
                <w:b w:val="0"/>
                <w:i/>
                <w:sz w:val="24"/>
                <w:szCs w:val="24"/>
              </w:rPr>
            </w:pPr>
            <w:r w:rsidRPr="003B2786">
              <w:rPr>
                <w:rStyle w:val="Bodytext295pt"/>
                <w:rFonts w:ascii="Sylfaen" w:hAnsi="Sylfaen"/>
                <w:sz w:val="24"/>
                <w:szCs w:val="24"/>
              </w:rPr>
              <w:t>□ այո □ ոչ</w:t>
            </w:r>
          </w:p>
        </w:tc>
      </w:tr>
    </w:tbl>
    <w:p w14:paraId="639DA0BC"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t>Ամփոփ հաշվետվության դեպքում բազմակի օժանդակ հետազոտությունները սկզբունքորեն անընդունելի են:</w:t>
      </w:r>
    </w:p>
    <w:p w14:paraId="312C466E" w14:textId="77777777" w:rsidR="008C76E0" w:rsidRPr="003B2786" w:rsidRDefault="008C76E0" w:rsidP="00390DAC">
      <w:pPr>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Սակայն մեկ պատրաստուկի համար թույլատրվում է օժանդակ հետազոտությունների 3 գործընթաց (օրինակ՝ առաջինը՝ գիտական բովանդակության մասով, երկրորդը՝ արտադրատեսակի մասով </w:t>
      </w:r>
      <w:r w:rsidR="00C54D75">
        <w:rPr>
          <w:rFonts w:ascii="Sylfaen" w:hAnsi="Sylfaen"/>
          <w:sz w:val="24"/>
          <w:szCs w:val="24"/>
        </w:rPr>
        <w:t>և</w:t>
      </w:r>
      <w:r w:rsidRPr="003B2786">
        <w:rPr>
          <w:rFonts w:ascii="Sylfaen" w:hAnsi="Sylfaen"/>
          <w:sz w:val="24"/>
          <w:szCs w:val="24"/>
        </w:rPr>
        <w:t xml:space="preserve"> վերջինը՝ ներդիր թերթիկի կազմման մանրակերտի մասով):</w:t>
      </w:r>
    </w:p>
    <w:p w14:paraId="0A96C6A7" w14:textId="77777777" w:rsidR="008C76E0" w:rsidRPr="003B2786" w:rsidRDefault="008C76E0" w:rsidP="00390DAC">
      <w:pPr>
        <w:spacing w:after="160" w:line="360" w:lineRule="auto"/>
        <w:ind w:left="567" w:right="-1"/>
        <w:jc w:val="both"/>
        <w:rPr>
          <w:rFonts w:ascii="Sylfaen" w:hAnsi="Sylfaen"/>
          <w:sz w:val="24"/>
          <w:szCs w:val="24"/>
        </w:rPr>
      </w:pPr>
      <w:r w:rsidRPr="003B2786">
        <w:rPr>
          <w:rFonts w:ascii="Sylfaen" w:hAnsi="Sylfaen"/>
          <w:sz w:val="24"/>
          <w:szCs w:val="24"/>
        </w:rPr>
        <w:t>Հիմնավորումից ելնելով՝ կապող թեստավորման հիմքերը.</w:t>
      </w:r>
    </w:p>
    <w:p w14:paraId="554F9C3B"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ներմուծման մի</w:t>
      </w:r>
      <w:r w:rsidR="00C54D75">
        <w:rPr>
          <w:rFonts w:ascii="Sylfaen" w:hAnsi="Sylfaen"/>
          <w:sz w:val="24"/>
          <w:szCs w:val="24"/>
        </w:rPr>
        <w:t>և</w:t>
      </w:r>
      <w:r w:rsidRPr="003B2786">
        <w:rPr>
          <w:rFonts w:ascii="Sylfaen" w:hAnsi="Sylfaen"/>
          <w:sz w:val="24"/>
          <w:szCs w:val="24"/>
        </w:rPr>
        <w:t>նույն եղանակի համար լրացումներ</w:t>
      </w:r>
    </w:p>
    <w:p w14:paraId="6A2959AC"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մի</w:t>
      </w:r>
      <w:r w:rsidR="00C54D75">
        <w:rPr>
          <w:rFonts w:ascii="Sylfaen" w:hAnsi="Sylfaen"/>
          <w:sz w:val="24"/>
          <w:szCs w:val="24"/>
        </w:rPr>
        <w:t>և</w:t>
      </w:r>
      <w:r w:rsidRPr="003B2786">
        <w:rPr>
          <w:rFonts w:ascii="Sylfaen" w:hAnsi="Sylfaen"/>
          <w:sz w:val="24"/>
          <w:szCs w:val="24"/>
        </w:rPr>
        <w:t>նույն դասի դեղապատրաստուկի թեստին հղում</w:t>
      </w:r>
    </w:p>
    <w:p w14:paraId="4F621E4F" w14:textId="77777777" w:rsidR="008C76E0" w:rsidRPr="003B2786" w:rsidRDefault="008C76E0" w:rsidP="00390DAC">
      <w:pPr>
        <w:tabs>
          <w:tab w:val="left" w:pos="1134"/>
        </w:tabs>
        <w:spacing w:after="160" w:line="360" w:lineRule="auto"/>
        <w:ind w:left="567" w:right="-1"/>
        <w:jc w:val="both"/>
        <w:rPr>
          <w:rFonts w:ascii="Sylfaen" w:hAnsi="Sylfaen"/>
          <w:sz w:val="24"/>
          <w:szCs w:val="24"/>
        </w:rPr>
      </w:pPr>
      <w:r w:rsidRPr="003B2786">
        <w:rPr>
          <w:rFonts w:ascii="Sylfaen" w:hAnsi="Sylfaen"/>
          <w:sz w:val="24"/>
          <w:szCs w:val="24"/>
        </w:rPr>
        <w:t>□</w:t>
      </w:r>
      <w:r w:rsidRPr="003B2786">
        <w:rPr>
          <w:rFonts w:ascii="Sylfaen" w:hAnsi="Sylfaen"/>
          <w:sz w:val="24"/>
          <w:szCs w:val="24"/>
        </w:rPr>
        <w:tab/>
        <w:t>անվտանգության հետ կապված մի</w:t>
      </w:r>
      <w:r w:rsidR="00C54D75">
        <w:rPr>
          <w:rFonts w:ascii="Sylfaen" w:hAnsi="Sylfaen"/>
          <w:sz w:val="24"/>
          <w:szCs w:val="24"/>
        </w:rPr>
        <w:t>և</w:t>
      </w:r>
      <w:r w:rsidRPr="003B2786">
        <w:rPr>
          <w:rFonts w:ascii="Sylfaen" w:hAnsi="Sylfaen"/>
          <w:sz w:val="24"/>
          <w:szCs w:val="24"/>
        </w:rPr>
        <w:t>նույն հարցերով թեստին հղում</w:t>
      </w:r>
    </w:p>
    <w:p w14:paraId="02319C16" w14:textId="77777777" w:rsidR="008C76E0" w:rsidRPr="003B2786" w:rsidRDefault="008C76E0" w:rsidP="00390DAC">
      <w:pPr>
        <w:tabs>
          <w:tab w:val="left" w:pos="1134"/>
        </w:tabs>
        <w:spacing w:after="160" w:line="360" w:lineRule="auto"/>
        <w:ind w:left="567" w:right="-1"/>
        <w:jc w:val="both"/>
        <w:rPr>
          <w:rStyle w:val="Bodytext295pt"/>
          <w:rFonts w:ascii="Sylfaen" w:eastAsiaTheme="minorHAnsi" w:hAnsi="Sylfaen"/>
          <w:b w:val="0"/>
          <w:sz w:val="24"/>
          <w:szCs w:val="24"/>
        </w:rPr>
      </w:pPr>
      <w:r w:rsidRPr="003B2786">
        <w:rPr>
          <w:rStyle w:val="Bodytext295pt"/>
          <w:rFonts w:ascii="Sylfaen" w:eastAsiaTheme="minorHAnsi" w:hAnsi="Sylfaen"/>
          <w:sz w:val="24"/>
          <w:szCs w:val="24"/>
        </w:rPr>
        <w:t>□</w:t>
      </w:r>
      <w:r w:rsidRPr="003B2786">
        <w:rPr>
          <w:rStyle w:val="Bodytext295pt"/>
          <w:rFonts w:ascii="Sylfaen" w:eastAsiaTheme="minorHAnsi" w:hAnsi="Sylfaen"/>
          <w:sz w:val="24"/>
          <w:szCs w:val="24"/>
        </w:rPr>
        <w:tab/>
      </w:r>
      <w:r w:rsidRPr="003B2786">
        <w:rPr>
          <w:rStyle w:val="Bodytext295pt"/>
          <w:rFonts w:ascii="Sylfaen" w:eastAsiaTheme="minorHAnsi" w:hAnsi="Sylfaen"/>
          <w:b w:val="0"/>
          <w:sz w:val="24"/>
          <w:szCs w:val="24"/>
        </w:rPr>
        <w:t xml:space="preserve">այլ </w:t>
      </w:r>
      <w:r w:rsidRPr="003B2786">
        <w:rPr>
          <w:rStyle w:val="Bodytext295pt"/>
          <w:rFonts w:ascii="Sylfaen" w:eastAsiaTheme="minorHAnsi" w:hAnsi="Sylfaen"/>
          <w:sz w:val="24"/>
          <w:szCs w:val="24"/>
        </w:rPr>
        <w:t>__________________________________________________________</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7930"/>
        <w:gridCol w:w="1718"/>
      </w:tblGrid>
      <w:tr w:rsidR="008C76E0" w:rsidRPr="003B2786" w14:paraId="1E8E424E" w14:textId="77777777" w:rsidTr="008C76E0">
        <w:trPr>
          <w:jc w:val="center"/>
        </w:trPr>
        <w:tc>
          <w:tcPr>
            <w:tcW w:w="7930" w:type="dxa"/>
            <w:shd w:val="clear" w:color="auto" w:fill="FFFFFF"/>
          </w:tcPr>
          <w:p w14:paraId="443DB43C"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կապող թեստավորման հիմնավորումն ընդունելի է: (Եթե չի ներկայացվել օգտատերերի թեստավորման ամբողջական հաշվետվություն կամ ամփոփ հաշվետվություն, ապա անհրաժեշտ է ներկայացնել հիմնավորումը:)</w:t>
            </w:r>
          </w:p>
        </w:tc>
        <w:tc>
          <w:tcPr>
            <w:tcW w:w="1718" w:type="dxa"/>
            <w:shd w:val="clear" w:color="auto" w:fill="FFFFFF"/>
          </w:tcPr>
          <w:p w14:paraId="0E383D24"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63309566" w14:textId="77777777" w:rsidTr="008C76E0">
        <w:trPr>
          <w:jc w:val="center"/>
        </w:trPr>
        <w:tc>
          <w:tcPr>
            <w:tcW w:w="7930" w:type="dxa"/>
            <w:shd w:val="clear" w:color="auto" w:fill="FFFFFF"/>
          </w:tcPr>
          <w:p w14:paraId="529274F7"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Արդյո՞ք հաշվետվություն չներկայացնելու հիմնավորումն ընդունելի է: (Օգտատերերի թեստավորման բացակայության ընդունելի հիմնավորում չհամարվող պատճառների օրինակները ներկայացված են ստոր</w:t>
            </w:r>
            <w:r w:rsidR="00C54D75">
              <w:rPr>
                <w:rStyle w:val="Bodytext295pt"/>
                <w:rFonts w:ascii="Sylfaen" w:hAnsi="Sylfaen"/>
                <w:sz w:val="24"/>
                <w:szCs w:val="24"/>
              </w:rPr>
              <w:t>և</w:t>
            </w:r>
            <w:r w:rsidRPr="003B2786">
              <w:rPr>
                <w:rStyle w:val="Bodytext295pt"/>
                <w:rFonts w:ascii="Sylfaen" w:hAnsi="Sylfaen"/>
                <w:sz w:val="24"/>
                <w:szCs w:val="24"/>
              </w:rPr>
              <w:t>.</w:t>
            </w:r>
          </w:p>
        </w:tc>
        <w:tc>
          <w:tcPr>
            <w:tcW w:w="1718" w:type="dxa"/>
            <w:shd w:val="clear" w:color="auto" w:fill="FFFFFF"/>
          </w:tcPr>
          <w:p w14:paraId="579DFE46" w14:textId="77777777" w:rsidR="008C76E0" w:rsidRPr="003B2786" w:rsidRDefault="008C76E0" w:rsidP="00390DAC">
            <w:pPr>
              <w:pStyle w:val="Bodytext180"/>
              <w:shd w:val="clear" w:color="auto" w:fill="auto"/>
              <w:spacing w:before="0" w:after="160" w:line="360" w:lineRule="auto"/>
              <w:ind w:left="-5" w:right="-1" w:firstLine="568"/>
              <w:rPr>
                <w:rFonts w:ascii="Sylfaen" w:hAnsi="Sylfaen"/>
                <w:b w:val="0"/>
                <w:sz w:val="24"/>
                <w:szCs w:val="24"/>
              </w:rPr>
            </w:pPr>
            <w:r w:rsidRPr="003B2786">
              <w:rPr>
                <w:rStyle w:val="Bodytext295pt"/>
                <w:rFonts w:ascii="Sylfaen" w:hAnsi="Sylfaen"/>
                <w:sz w:val="24"/>
                <w:szCs w:val="24"/>
              </w:rPr>
              <w:t>□ այո □ ոչ</w:t>
            </w:r>
          </w:p>
        </w:tc>
      </w:tr>
      <w:tr w:rsidR="008C76E0" w:rsidRPr="003B2786" w14:paraId="0FB58A89" w14:textId="77777777" w:rsidTr="008C76E0">
        <w:trPr>
          <w:jc w:val="center"/>
        </w:trPr>
        <w:tc>
          <w:tcPr>
            <w:tcW w:w="9648" w:type="dxa"/>
            <w:gridSpan w:val="2"/>
            <w:shd w:val="clear" w:color="auto" w:fill="FFFFFF"/>
          </w:tcPr>
          <w:p w14:paraId="59E05F51" w14:textId="77777777" w:rsidR="008C76E0" w:rsidRPr="008C76E0" w:rsidRDefault="008C76E0" w:rsidP="00390DAC">
            <w:pPr>
              <w:pStyle w:val="Bodytext180"/>
              <w:shd w:val="clear" w:color="auto" w:fill="auto"/>
              <w:spacing w:before="0" w:after="160" w:line="360" w:lineRule="auto"/>
              <w:ind w:left="-5" w:right="-1" w:firstLine="568"/>
              <w:rPr>
                <w:rFonts w:ascii="Sylfaen" w:hAnsi="Sylfaen"/>
                <w:b w:val="0"/>
                <w:sz w:val="24"/>
                <w:szCs w:val="24"/>
                <w:lang w:val="hy-AM"/>
              </w:rPr>
            </w:pPr>
            <w:r w:rsidRPr="003B2786">
              <w:rPr>
                <w:rStyle w:val="Bodytext295pt"/>
                <w:rFonts w:ascii="Sylfaen" w:hAnsi="Sylfaen"/>
                <w:sz w:val="24"/>
                <w:szCs w:val="24"/>
              </w:rPr>
              <w:t>ներմուծում միայն հիվանդանոցային պայմաններում, ներմուծում միայն բժշկական ոլորտի մասնագետի կողմից, որակի ստուգման վերաբերյալ փաստաթղթերի ձ</w:t>
            </w:r>
            <w:r w:rsidR="00C54D75">
              <w:rPr>
                <w:rStyle w:val="Bodytext295pt"/>
                <w:rFonts w:ascii="Sylfaen" w:hAnsi="Sylfaen"/>
                <w:sz w:val="24"/>
                <w:szCs w:val="24"/>
              </w:rPr>
              <w:t>և</w:t>
            </w:r>
            <w:r w:rsidRPr="003B2786">
              <w:rPr>
                <w:rStyle w:val="Bodytext295pt"/>
                <w:rFonts w:ascii="Sylfaen" w:hAnsi="Sylfaen"/>
                <w:sz w:val="24"/>
                <w:szCs w:val="24"/>
              </w:rPr>
              <w:t>անմուշներին համապատասխանություն, տ</w:t>
            </w:r>
            <w:r w:rsidR="00C54D75">
              <w:rPr>
                <w:rStyle w:val="Bodytext295pt"/>
                <w:rFonts w:ascii="Sylfaen" w:hAnsi="Sylfaen"/>
                <w:sz w:val="24"/>
                <w:szCs w:val="24"/>
              </w:rPr>
              <w:t>և</w:t>
            </w:r>
            <w:r w:rsidRPr="003B2786">
              <w:rPr>
                <w:rStyle w:val="Bodytext295pt"/>
                <w:rFonts w:ascii="Sylfaen" w:hAnsi="Sylfaen"/>
                <w:sz w:val="24"/>
                <w:szCs w:val="24"/>
              </w:rPr>
              <w:t>ական ժամանակ պատրաստուկի կիրառության ուսումնասիրություն:</w:t>
            </w:r>
          </w:p>
        </w:tc>
      </w:tr>
    </w:tbl>
    <w:p w14:paraId="429050A8" w14:textId="77777777" w:rsidR="008C76E0" w:rsidRPr="008C76E0" w:rsidRDefault="008C76E0" w:rsidP="00390DAC">
      <w:pPr>
        <w:pStyle w:val="Tablecaption40"/>
        <w:shd w:val="clear" w:color="auto" w:fill="auto"/>
        <w:spacing w:after="160" w:line="360" w:lineRule="auto"/>
        <w:ind w:right="-1" w:firstLine="567"/>
        <w:jc w:val="both"/>
        <w:rPr>
          <w:rFonts w:ascii="Sylfaen" w:hAnsi="Sylfaen"/>
          <w:b w:val="0"/>
          <w:sz w:val="24"/>
          <w:szCs w:val="24"/>
          <w:lang w:val="hy-AM"/>
        </w:rPr>
      </w:pPr>
      <w:r w:rsidRPr="00D06AA6">
        <w:rPr>
          <w:rStyle w:val="Bodytext295pt"/>
          <w:rFonts w:ascii="Sylfaen" w:hAnsi="Sylfaen"/>
          <w:i w:val="0"/>
          <w:sz w:val="24"/>
          <w:szCs w:val="24"/>
        </w:rPr>
        <w:t xml:space="preserve">Պատճառները </w:t>
      </w:r>
      <w:r w:rsidRPr="008C76E0">
        <w:rPr>
          <w:rFonts w:ascii="Sylfaen" w:hAnsi="Sylfaen"/>
          <w:b w:val="0"/>
          <w:sz w:val="24"/>
          <w:szCs w:val="24"/>
          <w:lang w:val="hy-AM"/>
        </w:rPr>
        <w:t>[ամփոփ հաշվետվության ընդունելի լինելու կամ չլինելու վերաբերյալ փորձագետների կարծիքները՝ հիմնավորման (ամփոփ հաշվետվության) գնահատումը]</w:t>
      </w:r>
    </w:p>
    <w:p w14:paraId="35732149" w14:textId="77777777" w:rsidR="008C76E0" w:rsidRPr="003B2786" w:rsidRDefault="008C76E0" w:rsidP="00390DAC">
      <w:pPr>
        <w:spacing w:after="160" w:line="360" w:lineRule="auto"/>
        <w:jc w:val="center"/>
        <w:rPr>
          <w:rFonts w:ascii="Sylfaen" w:hAnsi="Sylfaen"/>
          <w:spacing w:val="-26"/>
          <w:sz w:val="24"/>
          <w:szCs w:val="24"/>
          <w:lang w:val="en-US"/>
        </w:rPr>
      </w:pPr>
      <w:r w:rsidRPr="003B2786">
        <w:rPr>
          <w:rFonts w:ascii="Sylfaen" w:hAnsi="Sylfaen"/>
          <w:spacing w:val="-26"/>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B2786">
        <w:rPr>
          <w:rFonts w:ascii="Sylfaen" w:hAnsi="Sylfaen"/>
          <w:spacing w:val="-26"/>
          <w:sz w:val="24"/>
          <w:szCs w:val="24"/>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D0C8B6" w14:textId="77777777" w:rsidR="008C76E0" w:rsidRPr="003B2786" w:rsidRDefault="008C76E0" w:rsidP="00390DAC">
      <w:pPr>
        <w:spacing w:after="160" w:line="360" w:lineRule="auto"/>
        <w:jc w:val="both"/>
        <w:rPr>
          <w:rFonts w:ascii="Sylfaen" w:hAnsi="Sylfaen"/>
          <w:spacing w:val="-26"/>
          <w:sz w:val="24"/>
          <w:szCs w:val="24"/>
          <w:lang w:val="en-US"/>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7426"/>
        <w:gridCol w:w="467"/>
        <w:gridCol w:w="57"/>
        <w:gridCol w:w="1621"/>
        <w:gridCol w:w="10"/>
      </w:tblGrid>
      <w:tr w:rsidR="008C76E0" w:rsidRPr="003B2786" w14:paraId="63877223" w14:textId="77777777" w:rsidTr="008C76E0">
        <w:trPr>
          <w:jc w:val="center"/>
        </w:trPr>
        <w:tc>
          <w:tcPr>
            <w:tcW w:w="9581" w:type="dxa"/>
            <w:gridSpan w:val="5"/>
            <w:shd w:val="clear" w:color="auto" w:fill="FFFFFF"/>
            <w:vAlign w:val="bottom"/>
          </w:tcPr>
          <w:p w14:paraId="10B0A3C5" w14:textId="77777777" w:rsidR="008C76E0" w:rsidRPr="003B2786" w:rsidRDefault="008C76E0" w:rsidP="00390DAC">
            <w:pPr>
              <w:pStyle w:val="Bodytext180"/>
              <w:shd w:val="clear" w:color="auto" w:fill="auto"/>
              <w:tabs>
                <w:tab w:val="left" w:pos="846"/>
              </w:tabs>
              <w:spacing w:before="0" w:after="160" w:line="360" w:lineRule="auto"/>
              <w:ind w:left="63" w:right="137" w:firstLine="0"/>
              <w:jc w:val="center"/>
              <w:rPr>
                <w:rFonts w:ascii="Sylfaen" w:hAnsi="Sylfaen"/>
                <w:b w:val="0"/>
                <w:i/>
                <w:sz w:val="24"/>
                <w:szCs w:val="24"/>
              </w:rPr>
            </w:pPr>
            <w:r w:rsidRPr="003B2786">
              <w:rPr>
                <w:rStyle w:val="Bodytext295pt"/>
                <w:rFonts w:ascii="Sylfaen" w:hAnsi="Sylfaen"/>
                <w:sz w:val="24"/>
                <w:szCs w:val="24"/>
              </w:rPr>
              <w:t>1.ՏԵԽՆԻԿԱԿԱՆ ԳՆԱՀԱՏՈՒՄԸ</w:t>
            </w:r>
          </w:p>
        </w:tc>
      </w:tr>
      <w:tr w:rsidR="008C76E0" w:rsidRPr="003B2786" w14:paraId="57CC3973" w14:textId="77777777" w:rsidTr="008C76E0">
        <w:trPr>
          <w:jc w:val="center"/>
        </w:trPr>
        <w:tc>
          <w:tcPr>
            <w:tcW w:w="9581" w:type="dxa"/>
            <w:gridSpan w:val="5"/>
            <w:shd w:val="clear" w:color="auto" w:fill="FFFFFF"/>
            <w:vAlign w:val="bottom"/>
          </w:tcPr>
          <w:p w14:paraId="5E32A40C"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1.1.</w:t>
            </w:r>
            <w:r w:rsidRPr="003B2786">
              <w:rPr>
                <w:rStyle w:val="Bodytext295pt"/>
                <w:rFonts w:ascii="Sylfaen" w:hAnsi="Sylfaen"/>
                <w:sz w:val="24"/>
                <w:szCs w:val="24"/>
              </w:rPr>
              <w:tab/>
              <w:t>Հավաքագրումը</w:t>
            </w:r>
          </w:p>
        </w:tc>
      </w:tr>
      <w:tr w:rsidR="008C76E0" w:rsidRPr="003B2786" w14:paraId="55B01491" w14:textId="77777777" w:rsidTr="008C76E0">
        <w:trPr>
          <w:jc w:val="center"/>
        </w:trPr>
        <w:tc>
          <w:tcPr>
            <w:tcW w:w="7893" w:type="dxa"/>
            <w:gridSpan w:val="2"/>
            <w:shd w:val="clear" w:color="auto" w:fill="FFFFFF"/>
            <w:vAlign w:val="bottom"/>
          </w:tcPr>
          <w:p w14:paraId="50C4C97E" w14:textId="77777777" w:rsidR="008C76E0" w:rsidRPr="008C76E0"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lang w:val="hy-AM"/>
              </w:rPr>
            </w:pPr>
            <w:r w:rsidRPr="003B2786">
              <w:rPr>
                <w:rStyle w:val="Bodytext295pt"/>
                <w:rFonts w:ascii="Sylfaen" w:hAnsi="Sylfaen"/>
                <w:sz w:val="24"/>
                <w:szCs w:val="24"/>
              </w:rPr>
              <w:t xml:space="preserve">Արդյո՞ք ընդունելի է հարցմանը մասնակցած պոպուլյացիան: </w:t>
            </w:r>
          </w:p>
        </w:tc>
        <w:tc>
          <w:tcPr>
            <w:tcW w:w="1688" w:type="dxa"/>
            <w:gridSpan w:val="3"/>
            <w:shd w:val="clear" w:color="auto" w:fill="FFFFFF"/>
            <w:vAlign w:val="bottom"/>
          </w:tcPr>
          <w:p w14:paraId="2872C303"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DD6AD28" w14:textId="77777777" w:rsidTr="008C76E0">
        <w:trPr>
          <w:jc w:val="center"/>
        </w:trPr>
        <w:tc>
          <w:tcPr>
            <w:tcW w:w="9581" w:type="dxa"/>
            <w:gridSpan w:val="5"/>
            <w:shd w:val="clear" w:color="auto" w:fill="FFFFFF"/>
            <w:vAlign w:val="center"/>
          </w:tcPr>
          <w:p w14:paraId="5F11EDA5" w14:textId="77777777" w:rsidR="008C76E0" w:rsidRPr="003B2786" w:rsidRDefault="008C76E0" w:rsidP="00390DAC">
            <w:pPr>
              <w:pStyle w:val="Bodytext180"/>
              <w:shd w:val="clear" w:color="auto" w:fill="auto"/>
              <w:tabs>
                <w:tab w:val="left" w:pos="1097"/>
              </w:tabs>
              <w:spacing w:before="0" w:after="160" w:line="360" w:lineRule="auto"/>
              <w:ind w:left="63" w:right="137" w:firstLine="467"/>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w:t>
            </w:r>
            <w:r>
              <w:rPr>
                <w:rStyle w:val="Bodytext295pt"/>
                <w:rFonts w:ascii="Sylfaen" w:hAnsi="Sylfaen"/>
                <w:spacing w:val="-6"/>
                <w:sz w:val="24"/>
                <w:szCs w:val="24"/>
              </w:rPr>
              <w:t>ություն) ___________________</w:t>
            </w:r>
            <w:r w:rsidRPr="003B2786">
              <w:rPr>
                <w:rStyle w:val="Bodytext295pt"/>
                <w:rFonts w:ascii="Sylfaen" w:hAnsi="Sylfaen"/>
                <w:spacing w:val="-6"/>
                <w:sz w:val="24"/>
                <w:szCs w:val="24"/>
              </w:rPr>
              <w:t>_________</w:t>
            </w:r>
          </w:p>
        </w:tc>
      </w:tr>
      <w:tr w:rsidR="008C76E0" w:rsidRPr="003B2786" w14:paraId="5F2C726D" w14:textId="77777777" w:rsidTr="008C76E0">
        <w:trPr>
          <w:jc w:val="center"/>
        </w:trPr>
        <w:tc>
          <w:tcPr>
            <w:tcW w:w="958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FBDA5AF" w14:textId="77777777" w:rsidR="008C76E0" w:rsidRPr="008C76E0" w:rsidRDefault="008C76E0" w:rsidP="00390DAC">
            <w:pPr>
              <w:pStyle w:val="Bodytext180"/>
              <w:shd w:val="clear" w:color="auto" w:fill="auto"/>
              <w:spacing w:before="0" w:after="160" w:line="360" w:lineRule="auto"/>
              <w:ind w:left="62" w:right="136" w:firstLine="0"/>
              <w:jc w:val="center"/>
              <w:rPr>
                <w:rFonts w:ascii="Sylfaen" w:hAnsi="Sylfaen"/>
                <w:sz w:val="24"/>
                <w:szCs w:val="24"/>
                <w:lang w:val="hy-AM"/>
              </w:rPr>
            </w:pPr>
            <w:r w:rsidRPr="003B2786">
              <w:rPr>
                <w:rStyle w:val="Bodytext1811pt"/>
                <w:rFonts w:ascii="Sylfaen" w:hAnsi="Sylfaen"/>
                <w:sz w:val="24"/>
                <w:szCs w:val="24"/>
              </w:rPr>
              <w:t>Հավաքագրման հետ կապված կանոնները</w:t>
            </w:r>
          </w:p>
          <w:p w14:paraId="6989EF5B" w14:textId="77777777" w:rsidR="008C76E0" w:rsidRPr="00E15E7D" w:rsidRDefault="008C76E0" w:rsidP="00390DAC">
            <w:pPr>
              <w:pStyle w:val="Bodytext180"/>
              <w:shd w:val="clear" w:color="auto" w:fill="auto"/>
              <w:spacing w:before="0" w:after="160" w:line="360" w:lineRule="auto"/>
              <w:ind w:left="62" w:right="136" w:firstLine="529"/>
              <w:jc w:val="both"/>
              <w:rPr>
                <w:rStyle w:val="Bodytext1811pt"/>
                <w:rFonts w:ascii="Sylfaen" w:hAnsi="Sylfaen"/>
                <w:sz w:val="24"/>
                <w:szCs w:val="24"/>
              </w:rPr>
            </w:pPr>
            <w:r w:rsidRPr="003B2786">
              <w:rPr>
                <w:rStyle w:val="Bodytext1811pt"/>
                <w:rFonts w:ascii="Sylfaen" w:hAnsi="Sylfaen"/>
                <w:sz w:val="24"/>
                <w:szCs w:val="24"/>
              </w:rPr>
              <w:t>Հավաքագրման մեթոդները գնահատելիս անհրաժեշտ է հաշվ</w:t>
            </w:r>
            <w:r w:rsidR="002509A3">
              <w:rPr>
                <w:rStyle w:val="Bodytext1811pt"/>
                <w:rFonts w:ascii="Sylfaen" w:hAnsi="Sylfaen"/>
                <w:sz w:val="24"/>
                <w:szCs w:val="24"/>
              </w:rPr>
              <w:t>ի առնել հետ</w:t>
            </w:r>
            <w:r w:rsidR="00C54D75">
              <w:rPr>
                <w:rStyle w:val="Bodytext1811pt"/>
                <w:rFonts w:ascii="Sylfaen" w:hAnsi="Sylfaen"/>
                <w:sz w:val="24"/>
                <w:szCs w:val="24"/>
              </w:rPr>
              <w:t>և</w:t>
            </w:r>
            <w:r w:rsidR="002509A3">
              <w:rPr>
                <w:rStyle w:val="Bodytext1811pt"/>
                <w:rFonts w:ascii="Sylfaen" w:hAnsi="Sylfaen"/>
                <w:sz w:val="24"/>
                <w:szCs w:val="24"/>
              </w:rPr>
              <w:t>յալ հանգամանքները.</w:t>
            </w:r>
          </w:p>
          <w:p w14:paraId="6BB06C85" w14:textId="67E5FFA5"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արդյո՞ք լավ է սահմանված հավաքագրման մեթոդը: Արդյո՞ք ակն</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է, որ թեստն անցնող անձանց խումբը կազմելիս լուրջ մոտեցում է ցուցաբերվել (օրինակ՝ այնպիսի պարամետրերի տեսանկյունից, ինչպիսիք են սեռը, տարիքը, կրթությունը, դեղապատրաստուկների հետ կապված փորձը, գանգատների վերաբերյալ առկա տեղեկատվությունը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6A400AD2"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i/>
                <w:sz w:val="24"/>
                <w:szCs w:val="24"/>
                <w:lang w:val="hy-AM"/>
              </w:rPr>
            </w:pPr>
            <w:r w:rsidRPr="003B2786">
              <w:rPr>
                <w:rStyle w:val="Bodytext295pt"/>
                <w:rFonts w:ascii="Sylfaen" w:hAnsi="Sylfaen"/>
                <w:i/>
                <w:sz w:val="24"/>
                <w:szCs w:val="24"/>
              </w:rPr>
              <w:t>ինչպե՞ս է անցկացվել թեստն անցնող անձանց խմբի հավաքագրումը. «պարզամիտ» օգտատերեր կամ պացիենտներ, պացիենտներ կամ հիվանդներին խնամող մասնագետներ,</w:t>
            </w:r>
          </w:p>
          <w:p w14:paraId="35EC18B2" w14:textId="77777777" w:rsidR="008C76E0" w:rsidRPr="003B2786" w:rsidRDefault="008C76E0" w:rsidP="00390DAC">
            <w:pPr>
              <w:pStyle w:val="Bodytext180"/>
              <w:shd w:val="clear" w:color="auto" w:fill="auto"/>
              <w:spacing w:before="0" w:after="160" w:line="360" w:lineRule="auto"/>
              <w:ind w:left="62" w:right="136" w:firstLine="529"/>
              <w:jc w:val="both"/>
              <w:rPr>
                <w:rStyle w:val="Bodytext295pt"/>
                <w:rFonts w:ascii="Sylfaen" w:hAnsi="Sylfaen"/>
                <w:bCs/>
                <w:i/>
                <w:sz w:val="24"/>
                <w:szCs w:val="24"/>
              </w:rPr>
            </w:pPr>
            <w:r w:rsidRPr="003B2786">
              <w:rPr>
                <w:rStyle w:val="Bodytext295pt"/>
                <w:rFonts w:ascii="Sylfaen" w:hAnsi="Sylfaen"/>
                <w:i/>
                <w:sz w:val="24"/>
                <w:szCs w:val="24"/>
              </w:rPr>
              <w:t>արդյո՞ք պարզ է թեստավորման թեստին (փուլերին) մասնակցած մարդկանց թիվը,</w:t>
            </w:r>
          </w:p>
          <w:p w14:paraId="3D7C288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sz w:val="24"/>
                <w:szCs w:val="24"/>
                <w:lang w:val="hy-AM"/>
              </w:rPr>
            </w:pPr>
            <w:r w:rsidRPr="003B2786">
              <w:rPr>
                <w:rStyle w:val="Bodytext295pt"/>
                <w:rFonts w:ascii="Sylfaen" w:hAnsi="Sylfaen"/>
                <w:i/>
                <w:sz w:val="24"/>
                <w:szCs w:val="24"/>
              </w:rPr>
              <w:t>մարդկանց թիվը բավարար է (բժշկական կիրառման ուղեցույցը (ներդիր թերթիկը) (այսուհետ՝ ԲԿՈՒ (ՆԹ)) անհրաժեշտ է թեստավորել առնվազն 2 փուլով՝ յուրաքանչյուրի դեպքում 10 անձի մասնակցությամբ):</w:t>
            </w:r>
          </w:p>
        </w:tc>
      </w:tr>
      <w:tr w:rsidR="008C76E0" w:rsidRPr="003B2786" w14:paraId="6272BDE6" w14:textId="77777777" w:rsidTr="008C76E0">
        <w:trPr>
          <w:jc w:val="center"/>
        </w:trPr>
        <w:tc>
          <w:tcPr>
            <w:tcW w:w="7426" w:type="dxa"/>
            <w:tcBorders>
              <w:top w:val="single" w:sz="4" w:space="0" w:color="auto"/>
            </w:tcBorders>
            <w:shd w:val="clear" w:color="auto" w:fill="FFFFFF"/>
            <w:vAlign w:val="center"/>
          </w:tcPr>
          <w:p w14:paraId="472EAB32" w14:textId="77777777" w:rsidR="008C76E0" w:rsidRPr="003B2786" w:rsidRDefault="008C76E0" w:rsidP="00390DAC">
            <w:pPr>
              <w:pStyle w:val="Bodytext180"/>
              <w:shd w:val="clear" w:color="auto" w:fill="auto"/>
              <w:tabs>
                <w:tab w:val="left" w:pos="833"/>
              </w:tabs>
              <w:spacing w:before="0" w:after="160" w:line="360" w:lineRule="auto"/>
              <w:ind w:left="62" w:right="136" w:firstLine="0"/>
              <w:jc w:val="both"/>
              <w:rPr>
                <w:rFonts w:ascii="Sylfaen" w:hAnsi="Sylfaen"/>
                <w:sz w:val="24"/>
                <w:szCs w:val="24"/>
              </w:rPr>
            </w:pPr>
            <w:r w:rsidRPr="003B2786">
              <w:rPr>
                <w:rStyle w:val="Bodytext295pt"/>
                <w:rFonts w:ascii="Sylfaen" w:hAnsi="Sylfaen"/>
                <w:sz w:val="24"/>
                <w:szCs w:val="24"/>
              </w:rPr>
              <w:t>1.2.</w:t>
            </w:r>
            <w:r w:rsidRPr="003B2786">
              <w:rPr>
                <w:rStyle w:val="Bodytext295pt"/>
                <w:rFonts w:ascii="Sylfaen" w:hAnsi="Sylfaen"/>
                <w:sz w:val="24"/>
                <w:szCs w:val="24"/>
              </w:rPr>
              <w:tab/>
              <w:t>Հարցաշարը</w:t>
            </w:r>
          </w:p>
        </w:tc>
        <w:tc>
          <w:tcPr>
            <w:tcW w:w="2155" w:type="dxa"/>
            <w:gridSpan w:val="4"/>
            <w:tcBorders>
              <w:top w:val="single" w:sz="4" w:space="0" w:color="auto"/>
            </w:tcBorders>
            <w:shd w:val="clear" w:color="auto" w:fill="FFFFFF"/>
          </w:tcPr>
          <w:p w14:paraId="646A70B5" w14:textId="77777777" w:rsidR="008C76E0" w:rsidRPr="003B2786" w:rsidRDefault="008C76E0" w:rsidP="00390DAC">
            <w:pPr>
              <w:spacing w:after="160" w:line="360" w:lineRule="auto"/>
              <w:ind w:left="62" w:right="136"/>
              <w:jc w:val="both"/>
              <w:rPr>
                <w:rFonts w:ascii="Sylfaen" w:hAnsi="Sylfaen"/>
                <w:sz w:val="24"/>
                <w:szCs w:val="24"/>
              </w:rPr>
            </w:pPr>
          </w:p>
        </w:tc>
      </w:tr>
      <w:tr w:rsidR="008C76E0" w:rsidRPr="003B2786" w14:paraId="3CFA3285" w14:textId="77777777" w:rsidTr="008C76E0">
        <w:trPr>
          <w:jc w:val="center"/>
        </w:trPr>
        <w:tc>
          <w:tcPr>
            <w:tcW w:w="7426" w:type="dxa"/>
            <w:shd w:val="clear" w:color="auto" w:fill="FFFFFF"/>
            <w:vAlign w:val="bottom"/>
          </w:tcPr>
          <w:p w14:paraId="66EBFAD7"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t>Արդյո՞ք _______ հարցերի թիվը բավարար է:</w:t>
            </w:r>
          </w:p>
        </w:tc>
        <w:tc>
          <w:tcPr>
            <w:tcW w:w="2155" w:type="dxa"/>
            <w:gridSpan w:val="4"/>
            <w:shd w:val="clear" w:color="auto" w:fill="FFFFFF"/>
            <w:vAlign w:val="bottom"/>
          </w:tcPr>
          <w:p w14:paraId="06030597"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9C081F2" w14:textId="77777777" w:rsidTr="008C76E0">
        <w:trPr>
          <w:jc w:val="center"/>
        </w:trPr>
        <w:tc>
          <w:tcPr>
            <w:tcW w:w="7426" w:type="dxa"/>
            <w:shd w:val="clear" w:color="auto" w:fill="FFFFFF"/>
          </w:tcPr>
          <w:p w14:paraId="6570E8CA"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հարցերը ներառում են դեղանյութի կար</w:t>
            </w:r>
            <w:r w:rsidR="00C54D75">
              <w:rPr>
                <w:rStyle w:val="Bodytext295pt"/>
                <w:rFonts w:ascii="Sylfaen" w:hAnsi="Sylfaen"/>
                <w:sz w:val="24"/>
                <w:szCs w:val="24"/>
              </w:rPr>
              <w:t>և</w:t>
            </w:r>
            <w:r w:rsidRPr="003B2786">
              <w:rPr>
                <w:rStyle w:val="Bodytext295pt"/>
                <w:rFonts w:ascii="Sylfaen" w:hAnsi="Sylfaen"/>
                <w:sz w:val="24"/>
                <w:szCs w:val="24"/>
              </w:rPr>
              <w:t>որ ասպեկտները (անվտանգությունը):</w:t>
            </w:r>
          </w:p>
        </w:tc>
        <w:tc>
          <w:tcPr>
            <w:tcW w:w="2155" w:type="dxa"/>
            <w:gridSpan w:val="4"/>
            <w:shd w:val="clear" w:color="auto" w:fill="FFFFFF"/>
            <w:vAlign w:val="bottom"/>
          </w:tcPr>
          <w:p w14:paraId="379F6A5F"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F6EF04E" w14:textId="77777777" w:rsidTr="008C76E0">
        <w:trPr>
          <w:gridAfter w:val="1"/>
          <w:wAfter w:w="10" w:type="dxa"/>
          <w:jc w:val="center"/>
        </w:trPr>
        <w:tc>
          <w:tcPr>
            <w:tcW w:w="9571" w:type="dxa"/>
            <w:gridSpan w:val="4"/>
            <w:shd w:val="clear" w:color="auto" w:fill="FFFFFF"/>
          </w:tcPr>
          <w:p w14:paraId="69460D09" w14:textId="77777777" w:rsidR="008C76E0" w:rsidRPr="003B2786" w:rsidRDefault="008C76E0" w:rsidP="00390DAC">
            <w:pPr>
              <w:pStyle w:val="Bodytext180"/>
              <w:shd w:val="clear" w:color="auto" w:fill="auto"/>
              <w:spacing w:before="0" w:after="160" w:line="360" w:lineRule="auto"/>
              <w:ind w:left="62" w:right="136" w:firstLine="468"/>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w:t>
            </w:r>
            <w:r>
              <w:rPr>
                <w:rStyle w:val="Bodytext295pt"/>
                <w:rFonts w:ascii="Sylfaen" w:hAnsi="Sylfaen"/>
                <w:spacing w:val="-6"/>
                <w:sz w:val="24"/>
                <w:szCs w:val="24"/>
              </w:rPr>
              <w:t>ւն) _____________________</w:t>
            </w:r>
            <w:r w:rsidRPr="003B2786">
              <w:rPr>
                <w:rStyle w:val="Bodytext295pt"/>
                <w:rFonts w:ascii="Sylfaen" w:hAnsi="Sylfaen"/>
                <w:spacing w:val="-6"/>
                <w:sz w:val="24"/>
                <w:szCs w:val="24"/>
              </w:rPr>
              <w:t>_____</w:t>
            </w:r>
          </w:p>
        </w:tc>
      </w:tr>
      <w:tr w:rsidR="008C76E0" w:rsidRPr="003B2786" w14:paraId="5C87C4BC" w14:textId="77777777" w:rsidTr="008C76E0">
        <w:trPr>
          <w:gridAfter w:val="1"/>
          <w:wAfter w:w="10" w:type="dxa"/>
          <w:jc w:val="center"/>
        </w:trPr>
        <w:tc>
          <w:tcPr>
            <w:tcW w:w="9571" w:type="dxa"/>
            <w:gridSpan w:val="4"/>
            <w:tcBorders>
              <w:top w:val="single" w:sz="4" w:space="0" w:color="auto"/>
              <w:left w:val="single" w:sz="4" w:space="0" w:color="auto"/>
              <w:right w:val="single" w:sz="4" w:space="0" w:color="auto"/>
            </w:tcBorders>
            <w:shd w:val="clear" w:color="auto" w:fill="FFFFFF"/>
            <w:vAlign w:val="bottom"/>
          </w:tcPr>
          <w:p w14:paraId="1E05B89B" w14:textId="77777777" w:rsidR="008C76E0" w:rsidRPr="003B2786" w:rsidRDefault="008C76E0" w:rsidP="00390DAC">
            <w:pPr>
              <w:pStyle w:val="Bodytext180"/>
              <w:shd w:val="clear" w:color="auto" w:fill="auto"/>
              <w:spacing w:before="0" w:after="160" w:line="360" w:lineRule="auto"/>
              <w:ind w:left="62" w:right="136" w:firstLine="0"/>
              <w:jc w:val="center"/>
              <w:rPr>
                <w:rFonts w:ascii="Sylfaen" w:hAnsi="Sylfaen"/>
                <w:b w:val="0"/>
                <w:sz w:val="24"/>
                <w:szCs w:val="24"/>
              </w:rPr>
            </w:pPr>
            <w:r w:rsidRPr="003B2786">
              <w:rPr>
                <w:rStyle w:val="Bodytext1811pt"/>
                <w:rFonts w:ascii="Sylfaen" w:hAnsi="Sylfaen"/>
                <w:sz w:val="24"/>
                <w:szCs w:val="24"/>
              </w:rPr>
              <w:t>Հարցաշարի հետ կապված կանոնները</w:t>
            </w:r>
          </w:p>
        </w:tc>
      </w:tr>
      <w:tr w:rsidR="008C76E0" w:rsidRPr="003B2786" w14:paraId="2F91723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5F934380" w14:textId="77777777" w:rsidR="008C76E0" w:rsidRPr="008C76E0" w:rsidRDefault="008C76E0" w:rsidP="00390DAC">
            <w:pPr>
              <w:pStyle w:val="Bodytext180"/>
              <w:shd w:val="clear" w:color="auto" w:fill="auto"/>
              <w:spacing w:before="0" w:after="160" w:line="360" w:lineRule="auto"/>
              <w:ind w:left="62" w:right="136" w:firstLine="468"/>
              <w:jc w:val="both"/>
              <w:rPr>
                <w:rFonts w:ascii="Sylfaen" w:hAnsi="Sylfaen"/>
                <w:b w:val="0"/>
                <w:sz w:val="24"/>
                <w:szCs w:val="24"/>
                <w:lang w:val="hy-AM"/>
              </w:rPr>
            </w:pPr>
            <w:r w:rsidRPr="003B2786">
              <w:rPr>
                <w:rStyle w:val="Bodytext1811pt"/>
                <w:rFonts w:ascii="Sylfaen" w:hAnsi="Sylfaen"/>
                <w:sz w:val="24"/>
                <w:szCs w:val="24"/>
              </w:rPr>
              <w:t>Հարցաշարը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tc>
      </w:tr>
      <w:tr w:rsidR="008C76E0" w:rsidRPr="003B2786" w14:paraId="3E54037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9D7BDAF" w14:textId="05882C8F"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արդյո՞ք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ներկայացրել է անվտանգ կիրառման վերաբերյալ հիմնական տեղեկատվությունը, արդյո՞ք հարցերը ներառում են հիմնական տեղեկատվությունը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հետ</w:t>
            </w:r>
            <w:r w:rsidR="00C54D75">
              <w:rPr>
                <w:rStyle w:val="Bodytext1811pt"/>
                <w:rFonts w:ascii="Sylfaen" w:hAnsi="Sylfaen"/>
                <w:sz w:val="24"/>
                <w:szCs w:val="24"/>
              </w:rPr>
              <w:t>և</w:t>
            </w:r>
            <w:r w:rsidRPr="003B2786">
              <w:rPr>
                <w:rStyle w:val="Bodytext1811pt"/>
                <w:rFonts w:ascii="Sylfaen" w:hAnsi="Sylfaen"/>
                <w:sz w:val="24"/>
                <w:szCs w:val="24"/>
              </w:rPr>
              <w:t>յալ ասպեկտները. ներդիր թերթիկի վերաբերյալ ընդհանուր տպավորությունը,</w:t>
            </w:r>
          </w:p>
          <w:p w14:paraId="6494DFA1"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 xml:space="preserve">ԲԿՈՒ-ի (ՆԹ-ի) «ախտորոշիչ» մասը (այսինքն՝ ԲԿՈՒ-ի (ՆԹ-ի) յուրաքանչյուր մասում մասնակցի՝ որոշակի տեղեկատվություն արագ </w:t>
            </w:r>
            <w:r w:rsidR="00C54D75">
              <w:rPr>
                <w:rStyle w:val="Bodytext1811pt"/>
                <w:rFonts w:ascii="Sylfaen" w:hAnsi="Sylfaen"/>
                <w:sz w:val="24"/>
                <w:szCs w:val="24"/>
              </w:rPr>
              <w:t>և</w:t>
            </w:r>
            <w:r w:rsidRPr="003B2786">
              <w:rPr>
                <w:rStyle w:val="Bodytext1811pt"/>
                <w:rFonts w:ascii="Sylfaen" w:hAnsi="Sylfaen"/>
                <w:sz w:val="24"/>
                <w:szCs w:val="24"/>
              </w:rPr>
              <w:t xml:space="preserve"> հեշտ գտնելու կարողության,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այդ տեղեկատվությունը ճիշտ հասկանալու կարողության ստուգմանն ուղղված հարցեր. հարցաշարում հիմնական ուշադրությունը պետք է կենտրոնացնել դեղապատրաստուկի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ճիշտ կիրառման,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մասնակիցների կողմից անվտանգ կիրառումն ապահովելու վերաբերյալ տեղեկատվությունը հասկանալու վրա, այսինքն՝ պետք է ապահովել անվտանգության վերաբերյալ առանցքային հարցերի ուսումնասիրությունը),</w:t>
            </w:r>
          </w:p>
        </w:tc>
      </w:tr>
      <w:tr w:rsidR="008C76E0" w:rsidRPr="003B2786" w14:paraId="400762DD"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38160695" w14:textId="77777777" w:rsidR="008C76E0" w:rsidRPr="008C76E0" w:rsidRDefault="008C76E0" w:rsidP="00390DAC">
            <w:pPr>
              <w:pStyle w:val="Bodytext180"/>
              <w:numPr>
                <w:ilvl w:val="0"/>
                <w:numId w:val="9"/>
              </w:numPr>
              <w:shd w:val="clear" w:color="auto" w:fill="auto"/>
              <w:spacing w:before="0" w:after="160" w:line="360" w:lineRule="auto"/>
              <w:ind w:left="62" w:right="136"/>
              <w:jc w:val="both"/>
              <w:rPr>
                <w:rFonts w:ascii="Sylfaen" w:hAnsi="Sylfaen"/>
                <w:b w:val="0"/>
                <w:sz w:val="24"/>
                <w:szCs w:val="24"/>
                <w:lang w:val="hy-AM"/>
              </w:rPr>
            </w:pPr>
            <w:r w:rsidRPr="003B2786">
              <w:rPr>
                <w:rStyle w:val="Bodytext1811pt"/>
                <w:rFonts w:ascii="Sylfaen" w:hAnsi="Sylfaen"/>
                <w:sz w:val="24"/>
                <w:szCs w:val="24"/>
              </w:rPr>
              <w:t xml:space="preserve">ԲԿՈՒ-ի (ՆԹ-ի) բովանդակային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մանրակերտը,</w:t>
            </w:r>
          </w:p>
        </w:tc>
      </w:tr>
      <w:tr w:rsidR="008C76E0" w:rsidRPr="003B2786" w14:paraId="21D7E889"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tcPr>
          <w:p w14:paraId="76687EDD"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հարցերի քանակը բավարար է, (չափազանց քիչ կամ չափազանց շատ, օրինակ՝ 12-15),</w:t>
            </w:r>
          </w:p>
        </w:tc>
      </w:tr>
      <w:tr w:rsidR="008C76E0" w:rsidRPr="003B2786" w14:paraId="794CAEE1" w14:textId="77777777" w:rsidTr="008C76E0">
        <w:trPr>
          <w:gridAfter w:val="1"/>
          <w:wAfter w:w="10" w:type="dxa"/>
          <w:jc w:val="center"/>
        </w:trPr>
        <w:tc>
          <w:tcPr>
            <w:tcW w:w="9571" w:type="dxa"/>
            <w:gridSpan w:val="4"/>
            <w:tcBorders>
              <w:left w:val="single" w:sz="4" w:space="0" w:color="auto"/>
              <w:right w:val="single" w:sz="4" w:space="0" w:color="auto"/>
            </w:tcBorders>
            <w:shd w:val="clear" w:color="auto" w:fill="FFFFFF"/>
            <w:vAlign w:val="bottom"/>
          </w:tcPr>
          <w:p w14:paraId="73009A2C"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հարցերում դիտարկվում է «շարադրման» ասպեկտները, կարո՞ղ են արդյոք ռեսպոնդենտները հեշտությամբ հասկանալ իրենց ընթերցած տեքստը,</w:t>
            </w:r>
          </w:p>
          <w:p w14:paraId="792771FB" w14:textId="30E26125"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t>արդյո՞ք հարցերը ենթադրում են ծավալուն կամ կանխորոշված պատասխան: Ռեսպոնդենտներին հարցում անելիս հարկ է խուսափել ակն</w:t>
            </w:r>
            <w:r w:rsidR="0056496B">
              <w:rPr>
                <w:rStyle w:val="Bodytext1811pt"/>
                <w:rFonts w:ascii="Sylfaen" w:hAnsi="Sylfaen"/>
                <w:sz w:val="24"/>
                <w:szCs w:val="24"/>
              </w:rPr>
              <w:t>դիմում</w:t>
            </w:r>
            <w:r w:rsidRPr="003B2786">
              <w:rPr>
                <w:rStyle w:val="Bodytext1811pt"/>
                <w:rFonts w:ascii="Sylfaen" w:hAnsi="Sylfaen"/>
                <w:sz w:val="24"/>
                <w:szCs w:val="24"/>
              </w:rPr>
              <w:t xml:space="preserve"> պատասխաններով փակ հարցերից, որոնք մեծացնում են դրական արդյունքներ </w:t>
            </w:r>
            <w:r w:rsidRPr="003B2786">
              <w:rPr>
                <w:rStyle w:val="Bodytext1811pt"/>
                <w:rFonts w:ascii="Sylfaen" w:hAnsi="Sylfaen"/>
                <w:sz w:val="24"/>
                <w:szCs w:val="24"/>
              </w:rPr>
              <w:lastRenderedPageBreak/>
              <w:t xml:space="preserve">ստանալու հավանականությունը: Պացիենտների կողմից ԲԿՈՒ-ի (ՆԹ-ի) օգտագործումը ցուցադրելու համար անհրաժեշտ է </w:t>
            </w:r>
          </w:p>
        </w:tc>
      </w:tr>
      <w:tr w:rsidR="008C76E0" w:rsidRPr="003B2786" w14:paraId="14321CFE" w14:textId="77777777" w:rsidTr="008C76E0">
        <w:trPr>
          <w:gridAfter w:val="1"/>
          <w:wAfter w:w="10" w:type="dxa"/>
          <w:jc w:val="center"/>
        </w:trPr>
        <w:tc>
          <w:tcPr>
            <w:tcW w:w="9571" w:type="dxa"/>
            <w:gridSpan w:val="4"/>
            <w:tcBorders>
              <w:left w:val="single" w:sz="4" w:space="0" w:color="auto"/>
              <w:bottom w:val="single" w:sz="4" w:space="0" w:color="auto"/>
              <w:right w:val="single" w:sz="4" w:space="0" w:color="auto"/>
            </w:tcBorders>
            <w:shd w:val="clear" w:color="auto" w:fill="FFFFFF"/>
          </w:tcPr>
          <w:p w14:paraId="0DDDE1F5" w14:textId="77777777" w:rsidR="008C76E0" w:rsidRPr="008C76E0" w:rsidRDefault="008C76E0" w:rsidP="00390DAC">
            <w:pPr>
              <w:pStyle w:val="Bodytext180"/>
              <w:shd w:val="clear" w:color="auto" w:fill="auto"/>
              <w:spacing w:before="0" w:after="160" w:line="360" w:lineRule="auto"/>
              <w:ind w:left="62" w:right="136" w:firstLine="529"/>
              <w:jc w:val="both"/>
              <w:rPr>
                <w:rFonts w:ascii="Sylfaen" w:hAnsi="Sylfaen"/>
                <w:b w:val="0"/>
                <w:sz w:val="24"/>
                <w:szCs w:val="24"/>
                <w:lang w:val="hy-AM"/>
              </w:rPr>
            </w:pPr>
            <w:r w:rsidRPr="003B2786">
              <w:rPr>
                <w:rStyle w:val="Bodytext1811pt"/>
                <w:rFonts w:ascii="Sylfaen" w:hAnsi="Sylfaen"/>
                <w:sz w:val="24"/>
                <w:szCs w:val="24"/>
              </w:rPr>
              <w:lastRenderedPageBreak/>
              <w:t xml:space="preserve">օգտագործել բաց հարցեր, որոնք հուշող չեն </w:t>
            </w:r>
            <w:r w:rsidR="00C54D75">
              <w:rPr>
                <w:rStyle w:val="Bodytext1811pt"/>
                <w:rFonts w:ascii="Sylfaen" w:hAnsi="Sylfaen"/>
                <w:sz w:val="24"/>
                <w:szCs w:val="24"/>
              </w:rPr>
              <w:t>և</w:t>
            </w:r>
            <w:r w:rsidRPr="003B2786">
              <w:rPr>
                <w:rStyle w:val="Bodytext1811pt"/>
                <w:rFonts w:ascii="Sylfaen" w:hAnsi="Sylfaen"/>
                <w:sz w:val="24"/>
                <w:szCs w:val="24"/>
              </w:rPr>
              <w:t xml:space="preserve"> ունեն պատահական դասավորվածություն:  Հարկ է խուսափել ինքնագնահատման տարր ենթադրող հարցերից (օրինակ՝ «ըստ Ձեզ», «արդյո՞ք հասկանալի է X պարբերությունը»): Անհրաժեշտ է օգտագործել ծավալուն պատասխան պահանջող հարցեր (օրինակ՝ «որո՞նք են տվյալ դեղապատրաստուկը կիրառելիս կողմնակի ազդեցությունները»):</w:t>
            </w:r>
          </w:p>
        </w:tc>
      </w:tr>
      <w:tr w:rsidR="008C76E0" w:rsidRPr="003B2786" w14:paraId="459E72C1" w14:textId="77777777" w:rsidTr="008C76E0">
        <w:trPr>
          <w:gridAfter w:val="1"/>
          <w:wAfter w:w="10" w:type="dxa"/>
          <w:jc w:val="center"/>
        </w:trPr>
        <w:tc>
          <w:tcPr>
            <w:tcW w:w="9571" w:type="dxa"/>
            <w:gridSpan w:val="4"/>
            <w:tcBorders>
              <w:top w:val="single" w:sz="4" w:space="0" w:color="auto"/>
            </w:tcBorders>
            <w:shd w:val="clear" w:color="auto" w:fill="FFFFFF"/>
            <w:vAlign w:val="center"/>
          </w:tcPr>
          <w:p w14:paraId="618EFD76" w14:textId="77777777" w:rsidR="008C76E0" w:rsidRPr="003B2786" w:rsidRDefault="008C76E0" w:rsidP="00390DAC">
            <w:pPr>
              <w:pStyle w:val="Bodytext180"/>
              <w:shd w:val="clear" w:color="auto" w:fill="auto"/>
              <w:tabs>
                <w:tab w:val="left" w:pos="859"/>
              </w:tabs>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1.3.</w:t>
            </w:r>
            <w:r w:rsidRPr="003B2786">
              <w:rPr>
                <w:rStyle w:val="Bodytext295pt"/>
                <w:rFonts w:ascii="Sylfaen" w:hAnsi="Sylfaen"/>
                <w:sz w:val="24"/>
                <w:szCs w:val="24"/>
              </w:rPr>
              <w:tab/>
              <w:t>Ժամանակային ասպեկտները</w:t>
            </w:r>
          </w:p>
        </w:tc>
      </w:tr>
      <w:tr w:rsidR="008C76E0" w:rsidRPr="003B2786" w14:paraId="1C5ABDA3" w14:textId="77777777" w:rsidTr="008C76E0">
        <w:trPr>
          <w:gridAfter w:val="1"/>
          <w:wAfter w:w="10" w:type="dxa"/>
          <w:jc w:val="center"/>
        </w:trPr>
        <w:tc>
          <w:tcPr>
            <w:tcW w:w="7950" w:type="dxa"/>
            <w:gridSpan w:val="3"/>
            <w:shd w:val="clear" w:color="auto" w:fill="FFFFFF"/>
            <w:vAlign w:val="center"/>
          </w:tcPr>
          <w:p w14:paraId="6AA53C9D" w14:textId="77777777" w:rsidR="008C76E0" w:rsidRPr="008C76E0"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lang w:val="hy-AM"/>
              </w:rPr>
            </w:pPr>
            <w:r w:rsidRPr="003B2786">
              <w:rPr>
                <w:rStyle w:val="Bodytext295pt"/>
                <w:rFonts w:ascii="Sylfaen" w:hAnsi="Sylfaen"/>
                <w:sz w:val="24"/>
                <w:szCs w:val="24"/>
              </w:rPr>
              <w:t>Արդյո՞ք հարցերին պատասխանելու համար տրված ժամանակն ընդունելի է: Արդյո՞ք հարցազրույցի տ</w:t>
            </w:r>
            <w:r w:rsidR="00C54D75">
              <w:rPr>
                <w:rStyle w:val="Bodytext295pt"/>
                <w:rFonts w:ascii="Sylfaen" w:hAnsi="Sylfaen"/>
                <w:sz w:val="24"/>
                <w:szCs w:val="24"/>
              </w:rPr>
              <w:t>և</w:t>
            </w:r>
            <w:r w:rsidRPr="003B2786">
              <w:rPr>
                <w:rStyle w:val="Bodytext295pt"/>
                <w:rFonts w:ascii="Sylfaen" w:hAnsi="Sylfaen"/>
                <w:sz w:val="24"/>
                <w:szCs w:val="24"/>
              </w:rPr>
              <w:t xml:space="preserve">ողությունն ընդունելի է: </w:t>
            </w:r>
          </w:p>
        </w:tc>
        <w:tc>
          <w:tcPr>
            <w:tcW w:w="1621" w:type="dxa"/>
            <w:shd w:val="clear" w:color="auto" w:fill="FFFFFF"/>
            <w:vAlign w:val="center"/>
          </w:tcPr>
          <w:p w14:paraId="60133F74" w14:textId="77777777" w:rsidR="008C76E0" w:rsidRPr="003B2786" w:rsidRDefault="008C76E0" w:rsidP="00390DAC">
            <w:pPr>
              <w:pStyle w:val="Bodytext180"/>
              <w:shd w:val="clear" w:color="auto" w:fill="auto"/>
              <w:spacing w:before="0" w:after="160" w:line="360" w:lineRule="auto"/>
              <w:ind w:left="63" w:right="137" w:firstLine="0"/>
              <w:jc w:val="both"/>
              <w:rPr>
                <w:rStyle w:val="Bodytext295pt"/>
                <w:rFonts w:ascii="Sylfaen" w:hAnsi="Sylfaen"/>
                <w:i/>
                <w:sz w:val="24"/>
                <w:szCs w:val="24"/>
              </w:rPr>
            </w:pPr>
            <w:r w:rsidRPr="003B2786">
              <w:rPr>
                <w:rStyle w:val="Bodytext295pt"/>
                <w:rFonts w:ascii="Sylfaen" w:hAnsi="Sylfaen"/>
                <w:sz w:val="24"/>
                <w:szCs w:val="24"/>
              </w:rPr>
              <w:t>□ այո □ ոչ</w:t>
            </w:r>
          </w:p>
          <w:p w14:paraId="5D763EF9"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EDAB516" w14:textId="77777777" w:rsidTr="008C76E0">
        <w:trPr>
          <w:gridAfter w:val="1"/>
          <w:wAfter w:w="10" w:type="dxa"/>
          <w:jc w:val="center"/>
        </w:trPr>
        <w:tc>
          <w:tcPr>
            <w:tcW w:w="9571" w:type="dxa"/>
            <w:gridSpan w:val="4"/>
            <w:shd w:val="clear" w:color="auto" w:fill="FFFFFF"/>
            <w:vAlign w:val="bottom"/>
          </w:tcPr>
          <w:p w14:paraId="6029CE42" w14:textId="77777777" w:rsidR="008C76E0" w:rsidRPr="003B2786" w:rsidRDefault="008C76E0" w:rsidP="00390DAC">
            <w:pPr>
              <w:pStyle w:val="Bodytext180"/>
              <w:shd w:val="clear" w:color="auto" w:fill="auto"/>
              <w:spacing w:before="0" w:after="160" w:line="360" w:lineRule="auto"/>
              <w:ind w:left="63" w:right="137" w:firstLine="0"/>
              <w:jc w:val="both"/>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տեղեկատվություն) ________________________________</w:t>
            </w:r>
          </w:p>
        </w:tc>
      </w:tr>
    </w:tbl>
    <w:p w14:paraId="6761D12D" w14:textId="77777777" w:rsidR="008C76E0" w:rsidRPr="003B2786" w:rsidRDefault="008C76E0" w:rsidP="00390DAC">
      <w:pPr>
        <w:spacing w:after="160" w:line="360" w:lineRule="auto"/>
        <w:ind w:right="-1"/>
        <w:jc w:val="both"/>
        <w:rPr>
          <w:rFonts w:ascii="Sylfaen" w:hAnsi="Sylfaen"/>
          <w:sz w:val="24"/>
          <w:szCs w:val="24"/>
        </w:rPr>
      </w:pPr>
    </w:p>
    <w:tbl>
      <w:tblPr>
        <w:tblW w:w="9621" w:type="dxa"/>
        <w:tblInd w:w="-176" w:type="dxa"/>
        <w:tblLook w:val="04A0" w:firstRow="1" w:lastRow="0" w:firstColumn="1" w:lastColumn="0" w:noHBand="0" w:noVBand="1"/>
      </w:tblPr>
      <w:tblGrid>
        <w:gridCol w:w="9621"/>
      </w:tblGrid>
      <w:tr w:rsidR="008C76E0" w:rsidRPr="003B2786" w14:paraId="36D78C3C" w14:textId="77777777" w:rsidTr="008C76E0">
        <w:tc>
          <w:tcPr>
            <w:tcW w:w="9621" w:type="dxa"/>
            <w:tcBorders>
              <w:top w:val="single" w:sz="4" w:space="0" w:color="auto"/>
              <w:left w:val="single" w:sz="4" w:space="0" w:color="auto"/>
              <w:bottom w:val="single" w:sz="4" w:space="0" w:color="auto"/>
              <w:right w:val="single" w:sz="4" w:space="0" w:color="auto"/>
            </w:tcBorders>
          </w:tcPr>
          <w:p w14:paraId="2EA2906D" w14:textId="77777777" w:rsidR="008C76E0" w:rsidRPr="008C76E0" w:rsidRDefault="008C76E0" w:rsidP="00390DAC">
            <w:pPr>
              <w:pStyle w:val="Bodytext80"/>
              <w:shd w:val="clear" w:color="auto" w:fill="auto"/>
              <w:spacing w:before="0" w:after="160" w:line="360" w:lineRule="auto"/>
              <w:rPr>
                <w:rFonts w:ascii="Sylfaen" w:hAnsi="Sylfaen"/>
                <w:b w:val="0"/>
                <w:sz w:val="24"/>
                <w:szCs w:val="24"/>
                <w:lang w:val="hy-AM"/>
              </w:rPr>
            </w:pPr>
            <w:r w:rsidRPr="008C76E0">
              <w:rPr>
                <w:rFonts w:ascii="Sylfaen" w:hAnsi="Sylfaen"/>
                <w:b w:val="0"/>
                <w:sz w:val="24"/>
                <w:szCs w:val="24"/>
                <w:lang w:val="hy-AM"/>
              </w:rPr>
              <w:t>Ժամանակային ասպեկտների հետ կապված կանոնները</w:t>
            </w:r>
          </w:p>
          <w:p w14:paraId="2D8B80B6" w14:textId="77777777" w:rsidR="008C76E0" w:rsidRPr="008C76E0" w:rsidRDefault="008C76E0" w:rsidP="00390DAC">
            <w:pPr>
              <w:pStyle w:val="Bodytext80"/>
              <w:shd w:val="clear" w:color="auto" w:fill="auto"/>
              <w:spacing w:before="0" w:after="160" w:line="360" w:lineRule="auto"/>
              <w:ind w:firstLine="708"/>
              <w:jc w:val="both"/>
              <w:rPr>
                <w:rFonts w:ascii="Sylfaen" w:hAnsi="Sylfaen"/>
                <w:b w:val="0"/>
                <w:sz w:val="24"/>
                <w:szCs w:val="24"/>
                <w:lang w:val="hy-AM"/>
              </w:rPr>
            </w:pPr>
            <w:r w:rsidRPr="008C76E0">
              <w:rPr>
                <w:rFonts w:ascii="Sylfaen" w:hAnsi="Sylfaen"/>
                <w:b w:val="0"/>
                <w:sz w:val="24"/>
                <w:szCs w:val="24"/>
                <w:lang w:val="hy-AM"/>
              </w:rPr>
              <w:t>Ժամանակային ասպեկտները գնահատելիս անհրաժեշտ է հաշվի առնել հետ</w:t>
            </w:r>
            <w:r w:rsidR="00C54D75">
              <w:rPr>
                <w:rFonts w:ascii="Sylfaen" w:hAnsi="Sylfaen"/>
                <w:b w:val="0"/>
                <w:sz w:val="24"/>
                <w:szCs w:val="24"/>
                <w:lang w:val="hy-AM"/>
              </w:rPr>
              <w:t>և</w:t>
            </w:r>
            <w:r w:rsidRPr="008C76E0">
              <w:rPr>
                <w:rFonts w:ascii="Sylfaen" w:hAnsi="Sylfaen"/>
                <w:b w:val="0"/>
                <w:sz w:val="24"/>
                <w:szCs w:val="24"/>
                <w:lang w:val="hy-AM"/>
              </w:rPr>
              <w:t xml:space="preserve">յալ հանգամանքները. </w:t>
            </w:r>
          </w:p>
          <w:p w14:paraId="5BD59B29" w14:textId="77777777" w:rsidR="008C76E0" w:rsidRPr="008C76E0" w:rsidRDefault="008C76E0" w:rsidP="00390DAC">
            <w:pPr>
              <w:pStyle w:val="Bodytext80"/>
              <w:shd w:val="clear" w:color="auto" w:fill="auto"/>
              <w:spacing w:before="0" w:after="160" w:line="360" w:lineRule="auto"/>
              <w:ind w:firstLine="708"/>
              <w:jc w:val="both"/>
              <w:rPr>
                <w:rFonts w:ascii="Sylfaen" w:hAnsi="Sylfaen"/>
                <w:i/>
                <w:sz w:val="24"/>
                <w:szCs w:val="24"/>
                <w:lang w:val="hy-AM"/>
              </w:rPr>
            </w:pPr>
            <w:r w:rsidRPr="003B2786">
              <w:rPr>
                <w:rStyle w:val="Bodytext295pt"/>
                <w:rFonts w:ascii="Sylfaen" w:hAnsi="Sylfaen"/>
                <w:i/>
                <w:sz w:val="24"/>
                <w:szCs w:val="24"/>
              </w:rPr>
              <w:t>արդյո՞ք պարզ է, որքա՞ն է տ</w:t>
            </w:r>
            <w:r w:rsidR="00C54D75">
              <w:rPr>
                <w:rStyle w:val="Bodytext295pt"/>
                <w:rFonts w:ascii="Sylfaen" w:hAnsi="Sylfaen"/>
                <w:i/>
                <w:sz w:val="24"/>
                <w:szCs w:val="24"/>
              </w:rPr>
              <w:t>և</w:t>
            </w:r>
            <w:r w:rsidRPr="003B2786">
              <w:rPr>
                <w:rStyle w:val="Bodytext295pt"/>
                <w:rFonts w:ascii="Sylfaen" w:hAnsi="Sylfaen"/>
                <w:i/>
                <w:sz w:val="24"/>
                <w:szCs w:val="24"/>
              </w:rPr>
              <w:t>ել թեստը,</w:t>
            </w:r>
          </w:p>
          <w:p w14:paraId="2CAE53F4" w14:textId="77777777" w:rsidR="008C76E0" w:rsidRPr="008C76E0" w:rsidRDefault="008C76E0" w:rsidP="00390DAC">
            <w:pPr>
              <w:pStyle w:val="Bodytext90"/>
              <w:shd w:val="clear" w:color="auto" w:fill="auto"/>
              <w:spacing w:after="160" w:line="360" w:lineRule="auto"/>
              <w:ind w:firstLine="708"/>
              <w:rPr>
                <w:rFonts w:ascii="Sylfaen" w:hAnsi="Sylfaen"/>
                <w:sz w:val="24"/>
                <w:szCs w:val="24"/>
                <w:lang w:val="hy-AM"/>
              </w:rPr>
            </w:pPr>
            <w:r w:rsidRPr="008C76E0">
              <w:rPr>
                <w:rFonts w:ascii="Sylfaen" w:hAnsi="Sylfaen"/>
                <w:b w:val="0"/>
                <w:sz w:val="24"/>
                <w:szCs w:val="24"/>
                <w:lang w:val="hy-AM"/>
              </w:rPr>
              <w:t>արդյո՞ք հարցերին պատասխանելու համար ռեսպոնդենտներին տրված ժամանակը համապատասխան է: Որքա՞ն է տ</w:t>
            </w:r>
            <w:r w:rsidR="00C54D75">
              <w:rPr>
                <w:rFonts w:ascii="Sylfaen" w:hAnsi="Sylfaen"/>
                <w:b w:val="0"/>
                <w:sz w:val="24"/>
                <w:szCs w:val="24"/>
                <w:lang w:val="hy-AM"/>
              </w:rPr>
              <w:t>և</w:t>
            </w:r>
            <w:r w:rsidRPr="008C76E0">
              <w:rPr>
                <w:rFonts w:ascii="Sylfaen" w:hAnsi="Sylfaen"/>
                <w:b w:val="0"/>
                <w:sz w:val="24"/>
                <w:szCs w:val="24"/>
                <w:lang w:val="hy-AM"/>
              </w:rPr>
              <w:t>ել հարցազրույցը: [Մասնակիցներին հոգնեցնելուց խուսափելու համար անհրաժեշտ է թեստը մշակել այնպես, որ նրա տ</w:t>
            </w:r>
            <w:r w:rsidR="00C54D75">
              <w:rPr>
                <w:rFonts w:ascii="Sylfaen" w:hAnsi="Sylfaen"/>
                <w:b w:val="0"/>
                <w:sz w:val="24"/>
                <w:szCs w:val="24"/>
                <w:lang w:val="hy-AM"/>
              </w:rPr>
              <w:t>և</w:t>
            </w:r>
            <w:r w:rsidRPr="008C76E0">
              <w:rPr>
                <w:rFonts w:ascii="Sylfaen" w:hAnsi="Sylfaen"/>
                <w:b w:val="0"/>
                <w:sz w:val="24"/>
                <w:szCs w:val="24"/>
                <w:lang w:val="hy-AM"/>
              </w:rPr>
              <w:t>ողությունը չգերազանցի 45 րոպեն:]</w:t>
            </w:r>
          </w:p>
        </w:tc>
      </w:tr>
    </w:tbl>
    <w:p w14:paraId="062BB669" w14:textId="77777777" w:rsidR="008C76E0" w:rsidRPr="003B2786" w:rsidRDefault="008C76E0" w:rsidP="00390DAC">
      <w:pPr>
        <w:tabs>
          <w:tab w:val="left" w:pos="1134"/>
          <w:tab w:val="left" w:pos="4906"/>
        </w:tabs>
        <w:spacing w:after="160" w:line="360" w:lineRule="auto"/>
        <w:ind w:right="-1" w:firstLine="567"/>
        <w:jc w:val="both"/>
        <w:outlineLvl w:val="0"/>
        <w:rPr>
          <w:rFonts w:ascii="Sylfaen" w:hAnsi="Sylfaen"/>
          <w:sz w:val="24"/>
          <w:szCs w:val="24"/>
        </w:rPr>
      </w:pPr>
      <w:r w:rsidRPr="003B2786">
        <w:rPr>
          <w:rFonts w:ascii="Sylfaen" w:hAnsi="Sylfaen"/>
          <w:sz w:val="24"/>
          <w:szCs w:val="24"/>
        </w:rPr>
        <w:t>1.4.</w:t>
      </w:r>
      <w:r w:rsidRPr="003B2786">
        <w:rPr>
          <w:rFonts w:ascii="Sylfaen" w:hAnsi="Sylfaen"/>
          <w:sz w:val="24"/>
          <w:szCs w:val="24"/>
        </w:rPr>
        <w:tab/>
        <w:t>Պրոցեդուրային ասպեկտները</w:t>
      </w:r>
      <w:r>
        <w:rPr>
          <w:rFonts w:ascii="Sylfaen" w:hAnsi="Sylfaen"/>
          <w:sz w:val="24"/>
          <w:szCs w:val="24"/>
        </w:rPr>
        <w:tab/>
      </w:r>
    </w:p>
    <w:p w14:paraId="5601A11A" w14:textId="77777777" w:rsidR="008C76E0" w:rsidRPr="003B2786" w:rsidRDefault="008C76E0" w:rsidP="00390DAC">
      <w:pPr>
        <w:tabs>
          <w:tab w:val="left" w:pos="1134"/>
        </w:tabs>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Թեստավորման փուլերը, ներառյալ՝ փորձնական փուլը</w:t>
      </w:r>
      <w:r>
        <w:rPr>
          <w:rFonts w:ascii="Sylfaen" w:hAnsi="Sylfaen"/>
          <w:spacing w:val="-8"/>
          <w:sz w:val="24"/>
          <w:szCs w:val="24"/>
        </w:rPr>
        <w:t xml:space="preserve"> _______</w:t>
      </w:r>
      <w:r w:rsidRPr="003B2786">
        <w:rPr>
          <w:rFonts w:ascii="Sylfaen" w:hAnsi="Sylfaen"/>
          <w:spacing w:val="-8"/>
          <w:sz w:val="24"/>
          <w:szCs w:val="24"/>
        </w:rPr>
        <w:t>_______________</w:t>
      </w:r>
    </w:p>
    <w:p w14:paraId="178E3CD0" w14:textId="77777777" w:rsidR="008C76E0" w:rsidRPr="003B2786" w:rsidRDefault="008C76E0" w:rsidP="00390DAC">
      <w:pPr>
        <w:spacing w:after="160" w:line="360" w:lineRule="auto"/>
        <w:ind w:right="-1" w:firstLine="567"/>
        <w:jc w:val="both"/>
        <w:rPr>
          <w:rFonts w:ascii="Sylfaen" w:hAnsi="Sylfaen"/>
          <w:spacing w:val="-8"/>
          <w:sz w:val="24"/>
          <w:szCs w:val="24"/>
        </w:rPr>
      </w:pPr>
      <w:r w:rsidRPr="003B2786">
        <w:rPr>
          <w:rFonts w:ascii="Sylfaen" w:hAnsi="Sylfaen"/>
          <w:spacing w:val="-8"/>
          <w:sz w:val="24"/>
          <w:szCs w:val="24"/>
        </w:rPr>
        <w:t>Մեկնաբանություններ (լրացուցիչ տեղեկատվություն</w:t>
      </w:r>
      <w:r>
        <w:rPr>
          <w:rFonts w:ascii="Sylfaen" w:hAnsi="Sylfaen"/>
          <w:spacing w:val="-8"/>
          <w:sz w:val="24"/>
          <w:szCs w:val="24"/>
        </w:rPr>
        <w:t>) _</w:t>
      </w:r>
      <w:r w:rsidRPr="003B2786">
        <w:rPr>
          <w:rFonts w:ascii="Sylfaen" w:hAnsi="Sylfaen"/>
          <w:spacing w:val="-8"/>
          <w:sz w:val="24"/>
          <w:szCs w:val="24"/>
        </w:rPr>
        <w:t>____________________</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86"/>
      </w:tblGrid>
      <w:tr w:rsidR="008C76E0" w:rsidRPr="003B2786" w14:paraId="102360DC" w14:textId="77777777" w:rsidTr="005C0EAA">
        <w:tc>
          <w:tcPr>
            <w:tcW w:w="9286" w:type="dxa"/>
          </w:tcPr>
          <w:p w14:paraId="46BFAD49" w14:textId="77777777" w:rsidR="008C76E0" w:rsidRPr="003B2786" w:rsidRDefault="008C76E0" w:rsidP="00390DAC">
            <w:pPr>
              <w:pStyle w:val="Bodytext90"/>
              <w:shd w:val="clear" w:color="auto" w:fill="auto"/>
              <w:spacing w:after="160" w:line="360" w:lineRule="auto"/>
              <w:jc w:val="center"/>
              <w:rPr>
                <w:rStyle w:val="Bodytext295pt"/>
                <w:rFonts w:ascii="Sylfaen" w:hAnsi="Sylfaen"/>
                <w:sz w:val="24"/>
                <w:szCs w:val="24"/>
              </w:rPr>
            </w:pPr>
            <w:r w:rsidRPr="003B2786">
              <w:rPr>
                <w:rStyle w:val="Bodytext295pt"/>
                <w:rFonts w:ascii="Sylfaen" w:hAnsi="Sylfaen"/>
                <w:sz w:val="24"/>
                <w:szCs w:val="24"/>
              </w:rPr>
              <w:t>Պրոցեդուրային ասպեկտների հետ կապված կանոնները</w:t>
            </w:r>
          </w:p>
          <w:p w14:paraId="4267AC6D" w14:textId="77777777" w:rsidR="008C76E0" w:rsidRPr="003B2786" w:rsidRDefault="008C76E0" w:rsidP="00390DAC">
            <w:pPr>
              <w:pStyle w:val="Bodytext90"/>
              <w:shd w:val="clear" w:color="auto" w:fill="auto"/>
              <w:spacing w:after="160" w:line="360" w:lineRule="auto"/>
              <w:ind w:firstLine="567"/>
              <w:rPr>
                <w:rStyle w:val="Bodytext295pt"/>
                <w:rFonts w:ascii="Sylfaen" w:hAnsi="Sylfaen"/>
                <w:sz w:val="24"/>
                <w:szCs w:val="24"/>
              </w:rPr>
            </w:pPr>
            <w:r w:rsidRPr="003B2786">
              <w:rPr>
                <w:rStyle w:val="Bodytext295pt"/>
                <w:rFonts w:ascii="Sylfaen" w:hAnsi="Sylfaen"/>
                <w:sz w:val="24"/>
                <w:szCs w:val="24"/>
              </w:rPr>
              <w:lastRenderedPageBreak/>
              <w:t>Պրոցեդուրային ասպեկտները գնահատելիս անհրաժեշտ է հաշվի առնել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հանգամանքները. </w:t>
            </w:r>
          </w:p>
          <w:p w14:paraId="1E4EA273"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 xml:space="preserve">արդյո՞ք թեստը բաղկացած է տարբեր փուլերից: (Անհրաժեշտ է նվազագույնը երկու փուլ՝ յուրաքանչյուրում 10 անձի մասնակցությամբ, քանի որ սա ինտերակտիվ գործընթաց է, հաջողության հասնելու չափանիշները կատարելու համար հնարավոր է պահանջվի անցկացնել ավելի շատ փուլեր, նախապես կարելի է անցկացնել փորձնական թեստ (3-6 անձի մասնակցությամբ)՝ համոզվելու համար, որ հարցերը հասկանալի են, </w:t>
            </w:r>
            <w:r w:rsidR="00C54D75">
              <w:rPr>
                <w:rFonts w:ascii="Sylfaen" w:hAnsi="Sylfaen"/>
                <w:b w:val="0"/>
                <w:sz w:val="24"/>
                <w:szCs w:val="24"/>
                <w:lang w:val="hy-AM"/>
              </w:rPr>
              <w:t>և</w:t>
            </w:r>
            <w:r w:rsidRPr="008C76E0">
              <w:rPr>
                <w:rFonts w:ascii="Sylfaen" w:hAnsi="Sylfaen"/>
                <w:b w:val="0"/>
                <w:sz w:val="24"/>
                <w:szCs w:val="24"/>
                <w:lang w:val="hy-AM"/>
              </w:rPr>
              <w:t xml:space="preserve"> մինչ</w:t>
            </w:r>
            <w:r w:rsidR="00C54D75">
              <w:rPr>
                <w:rFonts w:ascii="Sylfaen" w:hAnsi="Sylfaen"/>
                <w:b w:val="0"/>
                <w:sz w:val="24"/>
                <w:szCs w:val="24"/>
                <w:lang w:val="hy-AM"/>
              </w:rPr>
              <w:t>և</w:t>
            </w:r>
            <w:r w:rsidRPr="008C76E0">
              <w:rPr>
                <w:rFonts w:ascii="Sylfaen" w:hAnsi="Sylfaen"/>
                <w:b w:val="0"/>
                <w:sz w:val="24"/>
                <w:szCs w:val="24"/>
                <w:lang w:val="hy-AM"/>
              </w:rPr>
              <w:t xml:space="preserve"> թեստավորման սկիզբը վերացվել են հիմնական անհամապատասխանությունները: ԲԿՈՒ-ում (ՆԹ-ում) փոփոխություններ կատարելուց հետո անհրաժեշտ է փորձարկել 10 անձի մասնակցությամբ: Սակայն առանձին դեպքերում թեստավորման մեկ փուլը նույնպես կարող է համարվել բավարար </w:t>
            </w:r>
            <w:r w:rsidR="00C54D75">
              <w:rPr>
                <w:rFonts w:ascii="Sylfaen" w:hAnsi="Sylfaen"/>
                <w:b w:val="0"/>
                <w:sz w:val="24"/>
                <w:szCs w:val="24"/>
                <w:lang w:val="hy-AM"/>
              </w:rPr>
              <w:t>և</w:t>
            </w:r>
            <w:r w:rsidRPr="008C76E0">
              <w:rPr>
                <w:rFonts w:ascii="Sylfaen" w:hAnsi="Sylfaen"/>
                <w:b w:val="0"/>
                <w:sz w:val="24"/>
                <w:szCs w:val="24"/>
                <w:lang w:val="hy-AM"/>
              </w:rPr>
              <w:t xml:space="preserve"> ընդունելի):</w:t>
            </w:r>
          </w:p>
          <w:p w14:paraId="49BAC8E1" w14:textId="77777777" w:rsidR="008C76E0" w:rsidRPr="008C76E0" w:rsidRDefault="008C76E0" w:rsidP="00390DAC">
            <w:pPr>
              <w:pStyle w:val="Bodytext80"/>
              <w:shd w:val="clear" w:color="auto" w:fill="auto"/>
              <w:spacing w:before="0" w:after="160" w:line="360" w:lineRule="auto"/>
              <w:ind w:firstLine="567"/>
              <w:jc w:val="both"/>
              <w:rPr>
                <w:rFonts w:ascii="Sylfaen" w:hAnsi="Sylfaen"/>
                <w:b w:val="0"/>
                <w:sz w:val="24"/>
                <w:szCs w:val="24"/>
                <w:u w:val="single"/>
                <w:lang w:val="hy-AM"/>
              </w:rPr>
            </w:pPr>
            <w:r w:rsidRPr="008C76E0">
              <w:rPr>
                <w:rFonts w:ascii="Sylfaen" w:hAnsi="Sylfaen"/>
                <w:b w:val="0"/>
                <w:sz w:val="24"/>
                <w:szCs w:val="24"/>
                <w:u w:val="single"/>
                <w:lang w:val="hy-AM"/>
              </w:rPr>
              <w:t xml:space="preserve">Վերը նկարագրված մեթոդի համար թեստավորման բավարար արդյունք է այն իրավիճակը, երբ գրագետ չափահաս մարդկանց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են ԲԿՈՒ-ում (ՆԹ-ում) գտնել պահանջված տեղեկատվությունը, ընդ որում, նրանց 90 </w:t>
            </w:r>
            <w:r w:rsidRPr="003B2786">
              <w:rPr>
                <w:rStyle w:val="Bodytext295pt"/>
                <w:rFonts w:ascii="Sylfaen" w:hAnsi="Sylfaen"/>
                <w:sz w:val="24"/>
                <w:szCs w:val="24"/>
                <w:u w:val="single"/>
              </w:rPr>
              <w:t>%-ը</w:t>
            </w:r>
            <w:r w:rsidRPr="008C76E0">
              <w:rPr>
                <w:rFonts w:ascii="Sylfaen" w:hAnsi="Sylfaen"/>
                <w:b w:val="0"/>
                <w:sz w:val="24"/>
                <w:szCs w:val="24"/>
                <w:u w:val="single"/>
                <w:lang w:val="hy-AM"/>
              </w:rPr>
              <w:t xml:space="preserve">  կարող է ցուցաբերել այդ տեղեկատվությունը հասկանալու կարողություն, այսինքն՝ մասնակիցների առնվազն 81 %-ը յուրաքանչյուր հարցին տալիս է ճիշտ պատասխան.</w:t>
            </w:r>
          </w:p>
          <w:p w14:paraId="1DB934EF"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առավելագույն մակարդակի ընթեռնելիություն ապահովելու համար թեստավորման փուլերի միջ</w:t>
            </w:r>
            <w:r w:rsidR="00C54D75">
              <w:rPr>
                <w:rFonts w:ascii="Sylfaen" w:hAnsi="Sylfaen"/>
                <w:b w:val="0"/>
                <w:sz w:val="24"/>
                <w:szCs w:val="24"/>
                <w:lang w:val="hy-AM"/>
              </w:rPr>
              <w:t>և</w:t>
            </w:r>
            <w:r w:rsidRPr="008C76E0">
              <w:rPr>
                <w:rFonts w:ascii="Sylfaen" w:hAnsi="Sylfaen"/>
                <w:b w:val="0"/>
                <w:sz w:val="24"/>
                <w:szCs w:val="24"/>
                <w:lang w:val="hy-AM"/>
              </w:rPr>
              <w:t xml:space="preserve"> ընկած ժամանակահատվածում արդյո՞ք օգտագործվում են փոփոխություններ կատարելու փուլեր.</w:t>
            </w:r>
          </w:p>
          <w:p w14:paraId="65307C74" w14:textId="77777777" w:rsidR="008C76E0" w:rsidRPr="008C76E0" w:rsidRDefault="008C76E0" w:rsidP="00390DAC">
            <w:pPr>
              <w:pStyle w:val="Bodytext90"/>
              <w:shd w:val="clear" w:color="auto" w:fill="auto"/>
              <w:spacing w:after="160" w:line="360" w:lineRule="auto"/>
              <w:ind w:firstLine="567"/>
              <w:rPr>
                <w:rFonts w:ascii="Sylfaen" w:hAnsi="Sylfaen"/>
                <w:b w:val="0"/>
                <w:sz w:val="24"/>
                <w:szCs w:val="24"/>
                <w:lang w:val="hy-AM"/>
              </w:rPr>
            </w:pPr>
            <w:r w:rsidRPr="008C76E0">
              <w:rPr>
                <w:rFonts w:ascii="Sylfaen" w:hAnsi="Sylfaen"/>
                <w:b w:val="0"/>
                <w:sz w:val="24"/>
                <w:szCs w:val="24"/>
                <w:lang w:val="hy-AM"/>
              </w:rPr>
              <w:t>հարցազրուցավարներն արդյո՞ք օգտագործում են սցենարներ կամ անմիջական ցուցադրություն (օրինակ՝ թեստավորման արդյունավետությունը բարձրացնելու համար՝ նպատակահարմար լինելու դեպքում):</w:t>
            </w:r>
          </w:p>
        </w:tc>
      </w:tr>
    </w:tbl>
    <w:p w14:paraId="38478EE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52" w:type="dxa"/>
        <w:jc w:val="center"/>
        <w:tblLayout w:type="fixed"/>
        <w:tblCellMar>
          <w:left w:w="10" w:type="dxa"/>
          <w:right w:w="10" w:type="dxa"/>
        </w:tblCellMar>
        <w:tblLook w:val="04A0" w:firstRow="1" w:lastRow="0" w:firstColumn="1" w:lastColumn="0" w:noHBand="0" w:noVBand="1"/>
      </w:tblPr>
      <w:tblGrid>
        <w:gridCol w:w="7930"/>
        <w:gridCol w:w="1622"/>
      </w:tblGrid>
      <w:tr w:rsidR="008C76E0" w:rsidRPr="003B2786" w14:paraId="15F2BED3" w14:textId="77777777" w:rsidTr="008C76E0">
        <w:trPr>
          <w:jc w:val="center"/>
        </w:trPr>
        <w:tc>
          <w:tcPr>
            <w:tcW w:w="9552" w:type="dxa"/>
            <w:gridSpan w:val="2"/>
            <w:shd w:val="clear" w:color="auto" w:fill="FFFFFF"/>
          </w:tcPr>
          <w:p w14:paraId="2C42B3A6"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1.5.</w:t>
            </w:r>
            <w:r w:rsidRPr="003B2786">
              <w:rPr>
                <w:rStyle w:val="Bodytext295pt"/>
                <w:rFonts w:ascii="Sylfaen" w:hAnsi="Sylfaen"/>
                <w:sz w:val="24"/>
                <w:szCs w:val="24"/>
              </w:rPr>
              <w:tab/>
              <w:t>Հարցազրույցի ասպեկտները</w:t>
            </w:r>
          </w:p>
        </w:tc>
      </w:tr>
      <w:tr w:rsidR="008C76E0" w:rsidRPr="003B2786" w14:paraId="72113309" w14:textId="77777777" w:rsidTr="008C76E0">
        <w:trPr>
          <w:trHeight w:val="1419"/>
          <w:jc w:val="center"/>
        </w:trPr>
        <w:tc>
          <w:tcPr>
            <w:tcW w:w="7930" w:type="dxa"/>
            <w:shd w:val="clear" w:color="auto" w:fill="FFFFFF"/>
            <w:vAlign w:val="center"/>
          </w:tcPr>
          <w:p w14:paraId="1C8F5E20" w14:textId="77777777" w:rsidR="008C76E0" w:rsidRPr="008C76E0"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lang w:val="hy-AM"/>
              </w:rPr>
            </w:pPr>
            <w:r w:rsidRPr="003B2786">
              <w:rPr>
                <w:rStyle w:val="Bodytext295pt"/>
                <w:rFonts w:ascii="Sylfaen" w:hAnsi="Sylfaen"/>
                <w:sz w:val="24"/>
                <w:szCs w:val="24"/>
              </w:rPr>
              <w:lastRenderedPageBreak/>
              <w:t>Արդյո՞ք հարցազրույցն անցկացվել է կառուցվածքավորված եղանակով (կազմակերպված):</w:t>
            </w:r>
          </w:p>
        </w:tc>
        <w:tc>
          <w:tcPr>
            <w:tcW w:w="1622" w:type="dxa"/>
            <w:shd w:val="clear" w:color="auto" w:fill="FFFFFF"/>
            <w:vAlign w:val="center"/>
          </w:tcPr>
          <w:p w14:paraId="431AB150" w14:textId="77777777" w:rsidR="008C76E0" w:rsidRPr="003B2786" w:rsidRDefault="008C76E0" w:rsidP="00390DAC">
            <w:pPr>
              <w:pStyle w:val="Bodytext180"/>
              <w:shd w:val="clear" w:color="auto" w:fill="auto"/>
              <w:tabs>
                <w:tab w:val="left" w:pos="1113"/>
              </w:tabs>
              <w:spacing w:before="0" w:after="160" w:line="360" w:lineRule="auto"/>
              <w:ind w:left="77" w:right="62" w:firstLine="43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CB3D628" w14:textId="77777777" w:rsidTr="008C76E0">
        <w:trPr>
          <w:jc w:val="center"/>
        </w:trPr>
        <w:tc>
          <w:tcPr>
            <w:tcW w:w="9552" w:type="dxa"/>
            <w:gridSpan w:val="2"/>
            <w:shd w:val="clear" w:color="auto" w:fill="FFFFFF"/>
            <w:vAlign w:val="center"/>
          </w:tcPr>
          <w:p w14:paraId="18DFCC78" w14:textId="77777777" w:rsidR="008C76E0" w:rsidRPr="003B2786" w:rsidRDefault="008C76E0" w:rsidP="00390DAC">
            <w:pPr>
              <w:pStyle w:val="Bodytext180"/>
              <w:shd w:val="clear" w:color="auto" w:fill="auto"/>
              <w:tabs>
                <w:tab w:val="left" w:pos="1113"/>
              </w:tabs>
              <w:spacing w:before="0" w:after="160" w:line="360" w:lineRule="auto"/>
              <w:ind w:left="77" w:right="62" w:firstLine="438"/>
              <w:rPr>
                <w:rFonts w:ascii="Sylfaen" w:hAnsi="Sylfaen"/>
                <w:b w:val="0"/>
                <w:i/>
                <w:spacing w:val="-6"/>
                <w:sz w:val="24"/>
                <w:szCs w:val="24"/>
              </w:rPr>
            </w:pPr>
            <w:r w:rsidRPr="003B2786">
              <w:rPr>
                <w:rStyle w:val="Bodytext295pt"/>
                <w:rFonts w:ascii="Sylfaen" w:hAnsi="Sylfaen"/>
                <w:spacing w:val="-6"/>
                <w:sz w:val="24"/>
                <w:szCs w:val="24"/>
              </w:rPr>
              <w:t>Մեկնաբանություններ (լրացուցիչ տ</w:t>
            </w:r>
            <w:r>
              <w:rPr>
                <w:rStyle w:val="Bodytext295pt"/>
                <w:rFonts w:ascii="Sylfaen" w:hAnsi="Sylfaen"/>
                <w:spacing w:val="-6"/>
                <w:sz w:val="24"/>
                <w:szCs w:val="24"/>
              </w:rPr>
              <w:t>եղեկատվություն) _________</w:t>
            </w:r>
            <w:r w:rsidRPr="003B2786">
              <w:rPr>
                <w:rStyle w:val="Bodytext295pt"/>
                <w:rFonts w:ascii="Sylfaen" w:hAnsi="Sylfaen"/>
                <w:spacing w:val="-6"/>
                <w:sz w:val="24"/>
                <w:szCs w:val="24"/>
              </w:rPr>
              <w:t>_______</w:t>
            </w:r>
            <w:r w:rsidRPr="003B2786">
              <w:rPr>
                <w:rStyle w:val="Bodytext295pt"/>
                <w:rFonts w:ascii="Sylfaen" w:hAnsi="Sylfaen"/>
                <w:spacing w:val="-6"/>
                <w:sz w:val="24"/>
                <w:szCs w:val="24"/>
                <w:lang w:val="en-US"/>
              </w:rPr>
              <w:t>__</w:t>
            </w:r>
            <w:r w:rsidRPr="003B2786">
              <w:rPr>
                <w:rStyle w:val="Bodytext295pt"/>
                <w:rFonts w:ascii="Sylfaen" w:hAnsi="Sylfaen"/>
                <w:spacing w:val="-6"/>
                <w:sz w:val="24"/>
                <w:szCs w:val="24"/>
              </w:rPr>
              <w:t>________</w:t>
            </w:r>
          </w:p>
        </w:tc>
      </w:tr>
      <w:tr w:rsidR="008C76E0" w:rsidRPr="003B2786" w14:paraId="404C4DF5" w14:textId="77777777" w:rsidTr="008C76E0">
        <w:trPr>
          <w:jc w:val="center"/>
        </w:trPr>
        <w:tc>
          <w:tcPr>
            <w:tcW w:w="9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2BB011" w14:textId="77777777" w:rsidR="008C76E0" w:rsidRPr="003B2786" w:rsidRDefault="008C76E0" w:rsidP="00390DAC">
            <w:pPr>
              <w:pStyle w:val="Bodytext180"/>
              <w:shd w:val="clear" w:color="auto" w:fill="auto"/>
              <w:spacing w:before="0" w:after="160" w:line="360" w:lineRule="auto"/>
              <w:ind w:left="77" w:right="62" w:firstLine="0"/>
              <w:jc w:val="center"/>
              <w:rPr>
                <w:rStyle w:val="Bodytext1811pt"/>
                <w:rFonts w:ascii="Sylfaen" w:hAnsi="Sylfaen"/>
                <w:sz w:val="24"/>
                <w:szCs w:val="24"/>
              </w:rPr>
            </w:pPr>
            <w:r w:rsidRPr="003B2786">
              <w:rPr>
                <w:rStyle w:val="Bodytext1811pt"/>
                <w:rFonts w:ascii="Sylfaen" w:hAnsi="Sylfaen"/>
                <w:sz w:val="24"/>
                <w:szCs w:val="24"/>
              </w:rPr>
              <w:t>Հարցազրույցի ասպեկտների հետ կապված կանոնները</w:t>
            </w:r>
          </w:p>
          <w:p w14:paraId="790E7FD2" w14:textId="77777777" w:rsidR="008C76E0" w:rsidRPr="005C0EAA" w:rsidRDefault="008C76E0" w:rsidP="00390DAC">
            <w:pPr>
              <w:pStyle w:val="Bodytext180"/>
              <w:shd w:val="clear" w:color="auto" w:fill="auto"/>
              <w:spacing w:before="0" w:after="160" w:line="360" w:lineRule="auto"/>
              <w:ind w:left="79" w:right="62" w:firstLine="516"/>
              <w:jc w:val="both"/>
              <w:rPr>
                <w:rStyle w:val="Bodytext1811pt"/>
                <w:rFonts w:ascii="Sylfaen" w:hAnsi="Sylfaen"/>
                <w:sz w:val="24"/>
                <w:szCs w:val="24"/>
              </w:rPr>
            </w:pPr>
            <w:r w:rsidRPr="003B2786">
              <w:rPr>
                <w:rStyle w:val="Bodytext1811pt"/>
                <w:rFonts w:ascii="Sylfaen" w:hAnsi="Sylfaen"/>
                <w:sz w:val="24"/>
                <w:szCs w:val="24"/>
              </w:rPr>
              <w:t>Հարցազրույցի ասպեկտները գնահատելիս անհրաժեշտ է հաշվի առն</w:t>
            </w:r>
            <w:r w:rsidR="005C0EAA">
              <w:rPr>
                <w:rStyle w:val="Bodytext1811pt"/>
                <w:rFonts w:ascii="Sylfaen" w:hAnsi="Sylfaen"/>
                <w:sz w:val="24"/>
                <w:szCs w:val="24"/>
              </w:rPr>
              <w:t>ել հետ</w:t>
            </w:r>
            <w:r w:rsidR="00C54D75">
              <w:rPr>
                <w:rStyle w:val="Bodytext1811pt"/>
                <w:rFonts w:ascii="Sylfaen" w:hAnsi="Sylfaen"/>
                <w:sz w:val="24"/>
                <w:szCs w:val="24"/>
              </w:rPr>
              <w:t>և</w:t>
            </w:r>
            <w:r w:rsidR="005C0EAA">
              <w:rPr>
                <w:rStyle w:val="Bodytext1811pt"/>
                <w:rFonts w:ascii="Sylfaen" w:hAnsi="Sylfaen"/>
                <w:sz w:val="24"/>
                <w:szCs w:val="24"/>
              </w:rPr>
              <w:t>յալ հանգամանքները.</w:t>
            </w:r>
          </w:p>
          <w:p w14:paraId="3C4AA109" w14:textId="77777777" w:rsidR="008C76E0" w:rsidRPr="003B2786" w:rsidRDefault="008C76E0" w:rsidP="00390DAC">
            <w:pPr>
              <w:pStyle w:val="Bodytext180"/>
              <w:shd w:val="clear" w:color="auto" w:fill="auto"/>
              <w:spacing w:before="0" w:after="160" w:line="360" w:lineRule="auto"/>
              <w:ind w:left="79" w:right="62" w:firstLine="516"/>
              <w:jc w:val="both"/>
              <w:rPr>
                <w:rStyle w:val="Bodytext295pt"/>
                <w:rFonts w:ascii="Sylfaen" w:hAnsi="Sylfaen"/>
                <w:bCs/>
                <w:i/>
                <w:sz w:val="24"/>
                <w:szCs w:val="24"/>
              </w:rPr>
            </w:pPr>
            <w:r w:rsidRPr="003B2786">
              <w:rPr>
                <w:rStyle w:val="Bodytext295pt"/>
                <w:rFonts w:ascii="Sylfaen" w:hAnsi="Sylfaen"/>
                <w:i/>
                <w:sz w:val="24"/>
                <w:szCs w:val="24"/>
              </w:rPr>
              <w:t xml:space="preserve">թեստն անցկացնող անձին (անձանց) տրվել է (են) հստակ ցուցումներ (օրինակ՝ այն հանգամանքի հետ կապված, թե ինչպե՞ս սպառողների թեստավորումից ստանալ շատ տեղեկատվություն, արդյո՞ք թույլատրելի կամ անթույլատրելի է օգնություն ցուցաբերելը </w:t>
            </w:r>
            <w:r w:rsidR="00C54D75">
              <w:rPr>
                <w:rStyle w:val="Bodytext295pt"/>
                <w:rFonts w:ascii="Sylfaen" w:hAnsi="Sylfaen"/>
                <w:i/>
                <w:sz w:val="24"/>
                <w:szCs w:val="24"/>
              </w:rPr>
              <w:t>և</w:t>
            </w:r>
            <w:r w:rsidRPr="003B2786">
              <w:rPr>
                <w:rStyle w:val="Bodytext295pt"/>
                <w:rFonts w:ascii="Sylfaen" w:hAnsi="Sylfaen"/>
                <w:i/>
                <w:sz w:val="24"/>
                <w:szCs w:val="24"/>
              </w:rPr>
              <w:t xml:space="preserve"> այլն).</w:t>
            </w:r>
          </w:p>
          <w:p w14:paraId="1610B8F4"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i/>
                <w:sz w:val="24"/>
                <w:szCs w:val="24"/>
                <w:lang w:val="hy-AM"/>
              </w:rPr>
            </w:pPr>
            <w:r w:rsidRPr="003B2786">
              <w:rPr>
                <w:rStyle w:val="Bodytext295pt"/>
                <w:rFonts w:ascii="Sylfaen" w:hAnsi="Sylfaen"/>
                <w:i/>
                <w:sz w:val="24"/>
                <w:szCs w:val="24"/>
              </w:rPr>
              <w:t>արդյո՞ք հարցազրույց անցկացնող անձանց թույլատրվում է ռեսպոնդենտներին ցույց տալ, թե ներդիր թերթիկում որտեղ կարելի է գտնել բժշկական պատրաստուկի վերաբերյալ անհրաժեշտ տեղեկատվությունը.</w:t>
            </w:r>
          </w:p>
          <w:p w14:paraId="1A942496" w14:textId="77777777" w:rsidR="008C76E0" w:rsidRPr="008C76E0" w:rsidRDefault="008C76E0" w:rsidP="00390DAC">
            <w:pPr>
              <w:pStyle w:val="Bodytext180"/>
              <w:shd w:val="clear" w:color="auto" w:fill="auto"/>
              <w:spacing w:before="0" w:after="160" w:line="360" w:lineRule="auto"/>
              <w:ind w:left="79" w:right="62" w:firstLine="516"/>
              <w:jc w:val="both"/>
              <w:rPr>
                <w:rFonts w:ascii="Sylfaen" w:hAnsi="Sylfaen"/>
                <w:sz w:val="24"/>
                <w:szCs w:val="24"/>
                <w:lang w:val="hy-AM"/>
              </w:rPr>
            </w:pPr>
            <w:r w:rsidRPr="003B2786">
              <w:rPr>
                <w:rStyle w:val="Bodytext295pt"/>
                <w:rFonts w:ascii="Sylfaen" w:hAnsi="Sylfaen"/>
                <w:i/>
                <w:sz w:val="24"/>
                <w:szCs w:val="24"/>
              </w:rPr>
              <w:t>արդյո՞ք նրանք ռեսպոնդենտներին առաջարկում են պատասխանել իրենց բառերով՝ չապավինելով հիշողությանը:</w:t>
            </w:r>
          </w:p>
        </w:tc>
      </w:tr>
    </w:tbl>
    <w:p w14:paraId="4A578413"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60" w:type="dxa"/>
        <w:jc w:val="center"/>
        <w:tblLayout w:type="fixed"/>
        <w:tblCellMar>
          <w:left w:w="10" w:type="dxa"/>
          <w:right w:w="10" w:type="dxa"/>
        </w:tblCellMar>
        <w:tblLook w:val="04A0" w:firstRow="1" w:lastRow="0" w:firstColumn="1" w:lastColumn="0" w:noHBand="0" w:noVBand="1"/>
      </w:tblPr>
      <w:tblGrid>
        <w:gridCol w:w="7659"/>
        <w:gridCol w:w="1901"/>
      </w:tblGrid>
      <w:tr w:rsidR="008C76E0" w:rsidRPr="003B2786" w14:paraId="3A4E65E3" w14:textId="77777777" w:rsidTr="008C76E0">
        <w:trPr>
          <w:jc w:val="center"/>
        </w:trPr>
        <w:tc>
          <w:tcPr>
            <w:tcW w:w="9560" w:type="dxa"/>
            <w:gridSpan w:val="2"/>
            <w:shd w:val="clear" w:color="auto" w:fill="FFFFFF"/>
          </w:tcPr>
          <w:p w14:paraId="1A729F1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w:t>
            </w:r>
            <w:r w:rsidRPr="003B2786">
              <w:rPr>
                <w:rStyle w:val="Bodytext295pt"/>
                <w:rFonts w:ascii="Sylfaen" w:hAnsi="Sylfaen"/>
                <w:sz w:val="24"/>
                <w:szCs w:val="24"/>
              </w:rPr>
              <w:tab/>
              <w:t>Պատասխանների գնահատումը</w:t>
            </w:r>
          </w:p>
        </w:tc>
      </w:tr>
      <w:tr w:rsidR="008C76E0" w:rsidRPr="003B2786" w14:paraId="72E0F8A0" w14:textId="77777777" w:rsidTr="008C76E0">
        <w:trPr>
          <w:jc w:val="center"/>
        </w:trPr>
        <w:tc>
          <w:tcPr>
            <w:tcW w:w="9560" w:type="dxa"/>
            <w:gridSpan w:val="2"/>
            <w:shd w:val="clear" w:color="auto" w:fill="FFFFFF"/>
            <w:vAlign w:val="center"/>
          </w:tcPr>
          <w:p w14:paraId="6CA78D34"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2.1</w:t>
            </w:r>
            <w:r w:rsidRPr="003B2786">
              <w:rPr>
                <w:rStyle w:val="Bodytext295pt"/>
                <w:rFonts w:ascii="Sylfaen" w:hAnsi="Sylfaen"/>
                <w:sz w:val="24"/>
                <w:szCs w:val="24"/>
                <w:lang w:val="en-US"/>
              </w:rPr>
              <w:t>.</w:t>
            </w:r>
            <w:r w:rsidRPr="003B2786">
              <w:rPr>
                <w:rStyle w:val="Bodytext295pt"/>
                <w:rFonts w:ascii="Sylfaen" w:hAnsi="Sylfaen"/>
                <w:sz w:val="24"/>
                <w:szCs w:val="24"/>
                <w:lang w:val="en-US"/>
              </w:rPr>
              <w:tab/>
            </w:r>
            <w:r w:rsidRPr="003B2786">
              <w:rPr>
                <w:rStyle w:val="Bodytext295pt"/>
                <w:rFonts w:ascii="Sylfaen" w:hAnsi="Sylfaen"/>
                <w:sz w:val="24"/>
                <w:szCs w:val="24"/>
              </w:rPr>
              <w:t>Գնահատման համակարգը</w:t>
            </w:r>
          </w:p>
        </w:tc>
      </w:tr>
      <w:tr w:rsidR="008C76E0" w:rsidRPr="003B2786" w14:paraId="4380D4B3" w14:textId="77777777" w:rsidTr="008C76E0">
        <w:trPr>
          <w:jc w:val="center"/>
        </w:trPr>
        <w:tc>
          <w:tcPr>
            <w:tcW w:w="7659" w:type="dxa"/>
            <w:shd w:val="clear" w:color="auto" w:fill="FFFFFF"/>
            <w:vAlign w:val="bottom"/>
          </w:tcPr>
          <w:p w14:paraId="3BAF1254"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որակական գնահատումն ընդունելի է:</w:t>
            </w:r>
          </w:p>
        </w:tc>
        <w:tc>
          <w:tcPr>
            <w:tcW w:w="1901" w:type="dxa"/>
            <w:shd w:val="clear" w:color="auto" w:fill="FFFFFF"/>
            <w:vAlign w:val="bottom"/>
          </w:tcPr>
          <w:p w14:paraId="465EF243"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7F9E7423" w14:textId="77777777" w:rsidTr="008C76E0">
        <w:trPr>
          <w:jc w:val="center"/>
        </w:trPr>
        <w:tc>
          <w:tcPr>
            <w:tcW w:w="7659" w:type="dxa"/>
            <w:shd w:val="clear" w:color="auto" w:fill="FFFFFF"/>
          </w:tcPr>
          <w:p w14:paraId="406CA122" w14:textId="77777777" w:rsidR="008C76E0" w:rsidRPr="008C76E0"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lang w:val="hy-AM"/>
              </w:rPr>
            </w:pPr>
            <w:r w:rsidRPr="003B2786">
              <w:rPr>
                <w:rStyle w:val="Bodytext295pt"/>
                <w:rFonts w:ascii="Sylfaen" w:hAnsi="Sylfaen"/>
                <w:sz w:val="24"/>
                <w:szCs w:val="24"/>
              </w:rPr>
              <w:t>Արդյո՞ք գնահատման մեթոդաբանությունը համապատասխանում է նվազագույն պահանջներին:</w:t>
            </w:r>
          </w:p>
        </w:tc>
        <w:tc>
          <w:tcPr>
            <w:tcW w:w="1901" w:type="dxa"/>
            <w:shd w:val="clear" w:color="auto" w:fill="FFFFFF"/>
          </w:tcPr>
          <w:p w14:paraId="226E617B"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5F095A99" w14:textId="77777777" w:rsidTr="008C76E0">
        <w:trPr>
          <w:jc w:val="center"/>
        </w:trPr>
        <w:tc>
          <w:tcPr>
            <w:tcW w:w="9560" w:type="dxa"/>
            <w:gridSpan w:val="2"/>
            <w:shd w:val="clear" w:color="auto" w:fill="FFFFFF"/>
          </w:tcPr>
          <w:p w14:paraId="7CDA555A" w14:textId="77777777" w:rsidR="008C76E0" w:rsidRPr="003B2786" w:rsidRDefault="008C76E0" w:rsidP="00390DAC">
            <w:pPr>
              <w:pStyle w:val="Bodytext180"/>
              <w:shd w:val="clear" w:color="auto" w:fill="auto"/>
              <w:tabs>
                <w:tab w:val="left" w:pos="1117"/>
              </w:tabs>
              <w:spacing w:before="0" w:after="160" w:line="360" w:lineRule="auto"/>
              <w:ind w:left="67" w:right="38" w:firstLine="518"/>
              <w:jc w:val="both"/>
              <w:rPr>
                <w:rFonts w:ascii="Sylfaen" w:hAnsi="Sylfaen"/>
                <w:b w:val="0"/>
                <w:i/>
                <w:spacing w:val="-8"/>
                <w:sz w:val="24"/>
                <w:szCs w:val="24"/>
              </w:rPr>
            </w:pPr>
            <w:r w:rsidRPr="003B2786">
              <w:rPr>
                <w:rStyle w:val="Bodytext295pt"/>
                <w:rFonts w:ascii="Sylfaen" w:hAnsi="Sylfaen"/>
                <w:spacing w:val="-8"/>
                <w:sz w:val="24"/>
                <w:szCs w:val="24"/>
              </w:rPr>
              <w:t>Մեկնաբանություններ (լրացուցիչ տեղեկ</w:t>
            </w:r>
            <w:r>
              <w:rPr>
                <w:rStyle w:val="Bodytext295pt"/>
                <w:rFonts w:ascii="Sylfaen" w:hAnsi="Sylfaen"/>
                <w:spacing w:val="-8"/>
                <w:sz w:val="24"/>
                <w:szCs w:val="24"/>
              </w:rPr>
              <w:t>ատվություն) __________</w:t>
            </w:r>
            <w:r w:rsidRPr="003B2786">
              <w:rPr>
                <w:rStyle w:val="Bodytext295pt"/>
                <w:rFonts w:ascii="Sylfaen" w:hAnsi="Sylfaen"/>
                <w:spacing w:val="-8"/>
                <w:sz w:val="24"/>
                <w:szCs w:val="24"/>
              </w:rPr>
              <w:t>______________</w:t>
            </w:r>
          </w:p>
        </w:tc>
      </w:tr>
    </w:tbl>
    <w:p w14:paraId="04E597FF"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27"/>
        <w:gridCol w:w="1939"/>
      </w:tblGrid>
      <w:tr w:rsidR="008C76E0" w:rsidRPr="003B2786" w14:paraId="07CFC1C5" w14:textId="77777777" w:rsidTr="008C76E0">
        <w:trPr>
          <w:trHeight w:val="5057"/>
          <w:jc w:val="center"/>
        </w:trPr>
        <w:tc>
          <w:tcPr>
            <w:tcW w:w="9566" w:type="dxa"/>
            <w:gridSpan w:val="2"/>
            <w:tcBorders>
              <w:top w:val="single" w:sz="4" w:space="0" w:color="auto"/>
              <w:left w:val="single" w:sz="4" w:space="0" w:color="auto"/>
              <w:right w:val="single" w:sz="4" w:space="0" w:color="auto"/>
            </w:tcBorders>
            <w:shd w:val="clear" w:color="auto" w:fill="FFFFFF"/>
            <w:vAlign w:val="center"/>
          </w:tcPr>
          <w:p w14:paraId="7704C123" w14:textId="77777777" w:rsidR="008C76E0" w:rsidRPr="003B2786" w:rsidRDefault="008C76E0" w:rsidP="00390DAC">
            <w:pPr>
              <w:pStyle w:val="Bodytext180"/>
              <w:shd w:val="clear" w:color="auto" w:fill="auto"/>
              <w:spacing w:before="0" w:after="160" w:line="360" w:lineRule="auto"/>
              <w:ind w:right="27" w:firstLine="0"/>
              <w:jc w:val="center"/>
              <w:rPr>
                <w:rStyle w:val="Bodytext1811pt"/>
                <w:rFonts w:ascii="Sylfaen" w:hAnsi="Sylfaen"/>
                <w:sz w:val="24"/>
                <w:szCs w:val="24"/>
              </w:rPr>
            </w:pPr>
            <w:r w:rsidRPr="003B2786">
              <w:rPr>
                <w:rStyle w:val="Bodytext1811pt"/>
                <w:rFonts w:ascii="Sylfaen" w:hAnsi="Sylfaen"/>
                <w:sz w:val="24"/>
                <w:szCs w:val="24"/>
              </w:rPr>
              <w:lastRenderedPageBreak/>
              <w:t>Գնահատման համակարգի հետ կապված կանոնները</w:t>
            </w:r>
          </w:p>
          <w:p w14:paraId="0C726211"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r w:rsidRPr="003B2786">
              <w:rPr>
                <w:rStyle w:val="Bodytext1811pt"/>
                <w:rFonts w:ascii="Sylfaen" w:hAnsi="Sylfaen"/>
                <w:sz w:val="24"/>
                <w:szCs w:val="24"/>
              </w:rPr>
              <w:t>Գնահատման համակարգը վերլուծելիս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1B28CD84" w14:textId="77777777" w:rsidR="008C76E0" w:rsidRPr="008C76E0" w:rsidRDefault="002E713A"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008C76E0" w:rsidRPr="003B2786">
              <w:rPr>
                <w:rStyle w:val="Bodytext1811pt"/>
                <w:rFonts w:ascii="Sylfaen" w:hAnsi="Sylfaen"/>
                <w:i/>
                <w:sz w:val="24"/>
                <w:szCs w:val="24"/>
              </w:rPr>
              <w:tab/>
            </w:r>
            <w:r w:rsidR="008C76E0" w:rsidRPr="003B2786">
              <w:rPr>
                <w:rStyle w:val="Bodytext295pt"/>
                <w:rFonts w:ascii="Sylfaen" w:hAnsi="Sylfaen"/>
                <w:i/>
                <w:sz w:val="24"/>
                <w:szCs w:val="24"/>
              </w:rPr>
              <w:t>գնահատումը հիմնված է 3 հիմնական ոլորտները ներառող ստուգաթերթի վրա. ռեսպոնդենտները կարողացել են՝</w:t>
            </w:r>
          </w:p>
          <w:p w14:paraId="0761024B"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գտնել տեղեկատվությունը (օրինակ՝ ռեսպոնդենտը կարող է հեշտությամբ գտնել դոզայի վերաբերյալ տեղեկատվությունը),</w:t>
            </w:r>
          </w:p>
          <w:p w14:paraId="2FA1B9B5" w14:textId="77777777" w:rsidR="008C76E0" w:rsidRPr="008C76E0" w:rsidRDefault="008C76E0" w:rsidP="00390DAC">
            <w:pPr>
              <w:pStyle w:val="Bodytext180"/>
              <w:shd w:val="clear" w:color="auto" w:fill="auto"/>
              <w:tabs>
                <w:tab w:val="left" w:pos="1089"/>
              </w:tabs>
              <w:spacing w:before="0" w:after="160" w:line="360" w:lineRule="auto"/>
              <w:ind w:right="27" w:firstLine="522"/>
              <w:rPr>
                <w:rFonts w:ascii="Sylfaen" w:hAnsi="Sylfaen"/>
                <w:i/>
                <w:sz w:val="24"/>
                <w:szCs w:val="24"/>
                <w:lang w:val="hy-AM"/>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հասկանալ տեղեկատվությունը (օրինակ՝ ռեսպոնդենտը կարող է իր բառերով պատմել, թե ինչպիսին պետք է լինի ճիշտ դոզան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ինչպես պետք է ընդունել պատրաստուկը),</w:t>
            </w:r>
          </w:p>
          <w:p w14:paraId="6A5E3303" w14:textId="0AE95AD2" w:rsidR="008C76E0" w:rsidRPr="003B2786" w:rsidRDefault="008C76E0" w:rsidP="00390DAC">
            <w:pPr>
              <w:pStyle w:val="Bodytext180"/>
              <w:shd w:val="clear" w:color="auto" w:fill="auto"/>
              <w:tabs>
                <w:tab w:val="left" w:pos="1089"/>
              </w:tabs>
              <w:spacing w:before="0" w:after="160" w:line="360" w:lineRule="auto"/>
              <w:ind w:right="27" w:firstLine="522"/>
              <w:rPr>
                <w:rStyle w:val="Bodytext295pt"/>
                <w:rFonts w:ascii="Sylfaen" w:hAnsi="Sylfaen"/>
                <w:i/>
                <w:sz w:val="24"/>
                <w:szCs w:val="24"/>
              </w:rPr>
            </w:pPr>
            <w:r w:rsidRPr="003B2786">
              <w:rPr>
                <w:rStyle w:val="Bodytext295pt"/>
                <w:rFonts w:ascii="Sylfaen" w:hAnsi="Sylfaen"/>
                <w:i/>
                <w:sz w:val="24"/>
                <w:szCs w:val="24"/>
              </w:rPr>
              <w:t>=&gt;</w:t>
            </w:r>
            <w:r w:rsidRPr="003B2786">
              <w:rPr>
                <w:rStyle w:val="Bodytext295pt"/>
                <w:rFonts w:ascii="Sylfaen" w:hAnsi="Sylfaen"/>
                <w:i/>
                <w:sz w:val="24"/>
                <w:szCs w:val="24"/>
              </w:rPr>
              <w:tab/>
              <w:t xml:space="preserve">կիրառել տեղեկատվությունը (օրինակ՝ «պատկերացրեք, որ Դուք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նվել եք X իրավիճակում, </w:t>
            </w:r>
            <w:r w:rsidR="00C54D75">
              <w:rPr>
                <w:rStyle w:val="Bodytext295pt"/>
                <w:rFonts w:ascii="Sylfaen" w:hAnsi="Sylfaen"/>
                <w:i/>
                <w:sz w:val="24"/>
                <w:szCs w:val="24"/>
              </w:rPr>
              <w:t>և</w:t>
            </w:r>
            <w:r w:rsidRPr="003B2786">
              <w:rPr>
                <w:rStyle w:val="Bodytext295pt"/>
                <w:rFonts w:ascii="Sylfaen" w:hAnsi="Sylfaen"/>
                <w:i/>
                <w:sz w:val="24"/>
                <w:szCs w:val="24"/>
              </w:rPr>
              <w:t xml:space="preserve"> տեղի է ունեցել Y, ի՞նչ պետք է անեք»):</w:t>
            </w:r>
          </w:p>
          <w:p w14:paraId="3AD7E743" w14:textId="77777777" w:rsidR="008C76E0" w:rsidRPr="008C76E0" w:rsidRDefault="008C76E0" w:rsidP="00390DAC">
            <w:pPr>
              <w:pStyle w:val="Bodytext180"/>
              <w:shd w:val="clear" w:color="auto" w:fill="auto"/>
              <w:spacing w:before="0" w:after="160" w:line="360" w:lineRule="auto"/>
              <w:ind w:right="27" w:firstLine="522"/>
              <w:rPr>
                <w:rFonts w:ascii="Sylfaen" w:hAnsi="Sylfaen"/>
                <w:b w:val="0"/>
                <w:sz w:val="24"/>
                <w:szCs w:val="24"/>
                <w:lang w:val="hy-AM"/>
              </w:rPr>
            </w:pPr>
          </w:p>
        </w:tc>
      </w:tr>
      <w:tr w:rsidR="008C76E0" w:rsidRPr="003B2786" w14:paraId="42092390" w14:textId="77777777" w:rsidTr="008C76E0">
        <w:trPr>
          <w:jc w:val="center"/>
        </w:trPr>
        <w:tc>
          <w:tcPr>
            <w:tcW w:w="9566" w:type="dxa"/>
            <w:gridSpan w:val="2"/>
            <w:tcBorders>
              <w:top w:val="single" w:sz="4" w:space="0" w:color="auto"/>
            </w:tcBorders>
            <w:shd w:val="clear" w:color="auto" w:fill="FFFFFF"/>
            <w:vAlign w:val="bottom"/>
          </w:tcPr>
          <w:p w14:paraId="48496088" w14:textId="77777777" w:rsidR="008C76E0" w:rsidRPr="003B2786" w:rsidRDefault="008C76E0" w:rsidP="00390DAC">
            <w:pPr>
              <w:pStyle w:val="Bodytext180"/>
              <w:shd w:val="clear" w:color="auto" w:fill="auto"/>
              <w:tabs>
                <w:tab w:val="left" w:pos="1089"/>
              </w:tabs>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Հարցերի վարկանիշի համակարգը</w:t>
            </w:r>
          </w:p>
        </w:tc>
      </w:tr>
      <w:tr w:rsidR="008C76E0" w:rsidRPr="003B2786" w14:paraId="14A7C257" w14:textId="77777777" w:rsidTr="008C76E0">
        <w:trPr>
          <w:jc w:val="center"/>
        </w:trPr>
        <w:tc>
          <w:tcPr>
            <w:tcW w:w="7627" w:type="dxa"/>
            <w:shd w:val="clear" w:color="auto" w:fill="FFFFFF"/>
            <w:vAlign w:val="center"/>
          </w:tcPr>
          <w:p w14:paraId="73A62333" w14:textId="77777777" w:rsidR="008C76E0" w:rsidRPr="008C76E0" w:rsidRDefault="008C76E0" w:rsidP="00390DAC">
            <w:pPr>
              <w:pStyle w:val="Bodytext180"/>
              <w:shd w:val="clear" w:color="auto" w:fill="auto"/>
              <w:spacing w:before="0" w:after="160" w:line="360" w:lineRule="auto"/>
              <w:ind w:firstLine="590"/>
              <w:jc w:val="both"/>
              <w:rPr>
                <w:rFonts w:ascii="Sylfaen" w:hAnsi="Sylfaen"/>
                <w:b w:val="0"/>
                <w:i/>
                <w:sz w:val="24"/>
                <w:szCs w:val="24"/>
                <w:lang w:val="hy-AM"/>
              </w:rPr>
            </w:pPr>
            <w:r w:rsidRPr="003B2786">
              <w:rPr>
                <w:rStyle w:val="Bodytext295pt"/>
                <w:rFonts w:ascii="Sylfaen" w:hAnsi="Sylfaen"/>
                <w:sz w:val="24"/>
                <w:szCs w:val="24"/>
              </w:rPr>
              <w:t>Արդյո՞ք ընդունելի է պատասխանների քանակական գնահատումը:</w:t>
            </w:r>
          </w:p>
        </w:tc>
        <w:tc>
          <w:tcPr>
            <w:tcW w:w="1939" w:type="dxa"/>
            <w:shd w:val="clear" w:color="auto" w:fill="FFFFFF"/>
            <w:vAlign w:val="center"/>
          </w:tcPr>
          <w:p w14:paraId="47A15E34"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17F574F2" w14:textId="77777777" w:rsidTr="008C76E0">
        <w:trPr>
          <w:jc w:val="center"/>
        </w:trPr>
        <w:tc>
          <w:tcPr>
            <w:tcW w:w="9566" w:type="dxa"/>
            <w:gridSpan w:val="2"/>
            <w:shd w:val="clear" w:color="auto" w:fill="FFFFFF"/>
            <w:vAlign w:val="bottom"/>
          </w:tcPr>
          <w:p w14:paraId="02D74818" w14:textId="77777777" w:rsidR="008C76E0" w:rsidRPr="003B2786" w:rsidRDefault="008C76E0" w:rsidP="00390DAC">
            <w:pPr>
              <w:pStyle w:val="Bodytext180"/>
              <w:shd w:val="clear" w:color="auto" w:fill="auto"/>
              <w:spacing w:before="0" w:after="160" w:line="360" w:lineRule="auto"/>
              <w:ind w:firstLine="590"/>
              <w:jc w:val="both"/>
              <w:rPr>
                <w:rFonts w:ascii="Sylfaen" w:hAnsi="Sylfaen"/>
                <w:b w:val="0"/>
                <w:i/>
                <w:sz w:val="24"/>
                <w:szCs w:val="24"/>
              </w:rPr>
            </w:pPr>
            <w:r w:rsidRPr="003B2786">
              <w:rPr>
                <w:rStyle w:val="Bodytext295pt"/>
                <w:rFonts w:ascii="Sylfaen" w:hAnsi="Sylfaen"/>
                <w:sz w:val="24"/>
                <w:szCs w:val="24"/>
              </w:rPr>
              <w:t>Մեկնաբանություններ (լրացուցիչ տեղեկատվություն)</w:t>
            </w:r>
          </w:p>
        </w:tc>
      </w:tr>
    </w:tbl>
    <w:p w14:paraId="3E94328C"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609" w:type="dxa"/>
        <w:jc w:val="center"/>
        <w:tblLayout w:type="fixed"/>
        <w:tblCellMar>
          <w:left w:w="10" w:type="dxa"/>
          <w:right w:w="10" w:type="dxa"/>
        </w:tblCellMar>
        <w:tblLook w:val="04A0" w:firstRow="1" w:lastRow="0" w:firstColumn="1" w:lastColumn="0" w:noHBand="0" w:noVBand="1"/>
      </w:tblPr>
      <w:tblGrid>
        <w:gridCol w:w="7783"/>
        <w:gridCol w:w="1826"/>
      </w:tblGrid>
      <w:tr w:rsidR="008C76E0" w:rsidRPr="003B2786" w14:paraId="416C0A9C" w14:textId="77777777" w:rsidTr="008C76E0">
        <w:trPr>
          <w:trHeight w:val="2471"/>
          <w:jc w:val="center"/>
        </w:trPr>
        <w:tc>
          <w:tcPr>
            <w:tcW w:w="9609" w:type="dxa"/>
            <w:gridSpan w:val="2"/>
            <w:tcBorders>
              <w:top w:val="single" w:sz="4" w:space="0" w:color="auto"/>
              <w:left w:val="single" w:sz="4" w:space="0" w:color="auto"/>
              <w:right w:val="single" w:sz="4" w:space="0" w:color="auto"/>
            </w:tcBorders>
            <w:shd w:val="clear" w:color="auto" w:fill="FFFFFF"/>
          </w:tcPr>
          <w:p w14:paraId="5663EC0A" w14:textId="77777777" w:rsidR="008C76E0" w:rsidRPr="003B2786" w:rsidRDefault="008C76E0" w:rsidP="00390DAC">
            <w:pPr>
              <w:pStyle w:val="Bodytext180"/>
              <w:shd w:val="clear" w:color="auto" w:fill="auto"/>
              <w:spacing w:before="0" w:after="160" w:line="360" w:lineRule="auto"/>
              <w:ind w:firstLine="544"/>
              <w:jc w:val="center"/>
              <w:rPr>
                <w:rStyle w:val="Bodytext1811pt"/>
                <w:rFonts w:ascii="Sylfaen" w:hAnsi="Sylfaen"/>
                <w:sz w:val="24"/>
                <w:szCs w:val="24"/>
              </w:rPr>
            </w:pPr>
            <w:r w:rsidRPr="003B2786">
              <w:rPr>
                <w:rStyle w:val="Bodytext1811pt"/>
                <w:rFonts w:ascii="Sylfaen" w:hAnsi="Sylfaen"/>
                <w:sz w:val="24"/>
                <w:szCs w:val="24"/>
              </w:rPr>
              <w:t>Հարցերի վարկանիշի համակարգի հետ կապված կանոնները</w:t>
            </w:r>
          </w:p>
          <w:p w14:paraId="52632AE7" w14:textId="77777777" w:rsidR="008C76E0" w:rsidRPr="008C76E0" w:rsidRDefault="008C76E0" w:rsidP="00390DAC">
            <w:pPr>
              <w:pStyle w:val="Bodytext180"/>
              <w:shd w:val="clear" w:color="auto" w:fill="auto"/>
              <w:spacing w:before="0" w:after="160" w:line="360" w:lineRule="auto"/>
              <w:ind w:firstLine="544"/>
              <w:jc w:val="both"/>
              <w:rPr>
                <w:rFonts w:ascii="Sylfaen" w:hAnsi="Sylfaen"/>
                <w:b w:val="0"/>
                <w:sz w:val="24"/>
                <w:szCs w:val="24"/>
                <w:lang w:val="hy-AM"/>
              </w:rPr>
            </w:pPr>
            <w:r w:rsidRPr="003B2786">
              <w:rPr>
                <w:rStyle w:val="Bodytext1811pt"/>
                <w:rFonts w:ascii="Sylfaen" w:hAnsi="Sylfaen"/>
                <w:sz w:val="24"/>
                <w:szCs w:val="24"/>
              </w:rPr>
              <w:t>Հարցերի վարկանիշի համակարգը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4171AFA4" w14:textId="77777777" w:rsidR="008C76E0" w:rsidRPr="008C76E0" w:rsidRDefault="008C76E0" w:rsidP="00390DAC">
            <w:pPr>
              <w:pStyle w:val="Bodytext180"/>
              <w:shd w:val="clear" w:color="auto" w:fill="auto"/>
              <w:spacing w:before="0" w:after="160" w:line="360" w:lineRule="auto"/>
              <w:ind w:firstLine="544"/>
              <w:jc w:val="both"/>
              <w:rPr>
                <w:rFonts w:ascii="Sylfaen" w:hAnsi="Sylfaen"/>
                <w:sz w:val="24"/>
                <w:szCs w:val="24"/>
                <w:lang w:val="hy-AM"/>
              </w:rPr>
            </w:pPr>
            <w:r w:rsidRPr="003B2786">
              <w:rPr>
                <w:rStyle w:val="Bodytext295pt"/>
                <w:rFonts w:ascii="Sylfaen" w:hAnsi="Sylfaen"/>
                <w:spacing w:val="-6"/>
                <w:sz w:val="24"/>
                <w:szCs w:val="24"/>
              </w:rPr>
              <w:t>Ինչպե՞ս են գնահատվում պատասխանները: Օրինակ՝ 1= չկա պատասխան, 2= սխալ պատասխան, 3= թերի պատասխան, 4</w:t>
            </w:r>
            <w:r w:rsidRPr="003B2786">
              <w:rPr>
                <w:rStyle w:val="Bodytext1811pt"/>
                <w:rFonts w:ascii="Sylfaen" w:hAnsi="Sylfaen"/>
                <w:spacing w:val="-6"/>
                <w:sz w:val="24"/>
                <w:szCs w:val="24"/>
              </w:rPr>
              <w:t xml:space="preserve">= </w:t>
            </w:r>
            <w:r w:rsidRPr="003B2786">
              <w:rPr>
                <w:rStyle w:val="Bodytext295pt"/>
                <w:rFonts w:ascii="Sylfaen" w:hAnsi="Sylfaen"/>
                <w:spacing w:val="-6"/>
                <w:sz w:val="24"/>
                <w:szCs w:val="24"/>
              </w:rPr>
              <w:t xml:space="preserve">բազմանշանակ պատասխան, 5= ամբողջական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ճիշտ պատասխան</w:t>
            </w:r>
            <w:r w:rsidRPr="003B2786">
              <w:rPr>
                <w:rStyle w:val="Bodytext295pt"/>
                <w:rFonts w:ascii="Sylfaen" w:hAnsi="Sylfaen"/>
                <w:sz w:val="24"/>
                <w:szCs w:val="24"/>
              </w:rPr>
              <w:t>:</w:t>
            </w:r>
          </w:p>
        </w:tc>
      </w:tr>
      <w:tr w:rsidR="008C76E0" w:rsidRPr="003B2786" w14:paraId="6C2D2103" w14:textId="77777777" w:rsidTr="008C76E0">
        <w:trPr>
          <w:trHeight w:val="692"/>
          <w:jc w:val="center"/>
        </w:trPr>
        <w:tc>
          <w:tcPr>
            <w:tcW w:w="9609" w:type="dxa"/>
            <w:gridSpan w:val="2"/>
            <w:tcBorders>
              <w:top w:val="single" w:sz="4" w:space="0" w:color="auto"/>
            </w:tcBorders>
            <w:shd w:val="clear" w:color="auto" w:fill="FFFFFF"/>
            <w:vAlign w:val="center"/>
          </w:tcPr>
          <w:p w14:paraId="68DFC8F4" w14:textId="77777777" w:rsidR="008C76E0" w:rsidRPr="003B2786" w:rsidRDefault="008C76E0" w:rsidP="002E713A">
            <w:pPr>
              <w:pStyle w:val="Bodytext180"/>
              <w:shd w:val="clear" w:color="auto" w:fill="auto"/>
              <w:tabs>
                <w:tab w:val="left" w:pos="1129"/>
              </w:tabs>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3.</w:t>
            </w:r>
            <w:r w:rsidRPr="003B2786">
              <w:rPr>
                <w:rStyle w:val="Bodytext295pt"/>
                <w:rFonts w:ascii="Sylfaen" w:hAnsi="Sylfaen"/>
                <w:sz w:val="24"/>
                <w:szCs w:val="24"/>
              </w:rPr>
              <w:tab/>
              <w:t>Տվյալների մշակումը</w:t>
            </w:r>
          </w:p>
        </w:tc>
      </w:tr>
      <w:tr w:rsidR="008C76E0" w:rsidRPr="003B2786" w14:paraId="28B47757" w14:textId="77777777" w:rsidTr="008C76E0">
        <w:trPr>
          <w:trHeight w:val="1219"/>
          <w:jc w:val="center"/>
        </w:trPr>
        <w:tc>
          <w:tcPr>
            <w:tcW w:w="7783" w:type="dxa"/>
            <w:shd w:val="clear" w:color="auto" w:fill="FFFFFF"/>
            <w:vAlign w:val="center"/>
          </w:tcPr>
          <w:p w14:paraId="1A587145" w14:textId="77777777" w:rsidR="008C76E0" w:rsidRPr="008C76E0" w:rsidRDefault="008C76E0" w:rsidP="00390DAC">
            <w:pPr>
              <w:pStyle w:val="Bodytext180"/>
              <w:shd w:val="clear" w:color="auto" w:fill="auto"/>
              <w:spacing w:before="0" w:after="160" w:line="360" w:lineRule="auto"/>
              <w:ind w:right="-1" w:firstLine="544"/>
              <w:jc w:val="both"/>
              <w:rPr>
                <w:rFonts w:ascii="Sylfaen" w:hAnsi="Sylfaen"/>
                <w:b w:val="0"/>
                <w:i/>
                <w:sz w:val="24"/>
                <w:szCs w:val="24"/>
                <w:lang w:val="hy-AM"/>
              </w:rPr>
            </w:pPr>
            <w:r w:rsidRPr="003B2786">
              <w:rPr>
                <w:rStyle w:val="Bodytext295pt"/>
                <w:rFonts w:ascii="Sylfaen" w:hAnsi="Sylfaen"/>
                <w:sz w:val="24"/>
                <w:szCs w:val="24"/>
              </w:rPr>
              <w:lastRenderedPageBreak/>
              <w:t>Արդյո՞ք տվյալները պատշաճ ձ</w:t>
            </w:r>
            <w:r w:rsidR="00C54D75">
              <w:rPr>
                <w:rStyle w:val="Bodytext295pt"/>
                <w:rFonts w:ascii="Sylfaen" w:hAnsi="Sylfaen"/>
                <w:sz w:val="24"/>
                <w:szCs w:val="24"/>
              </w:rPr>
              <w:t>և</w:t>
            </w:r>
            <w:r w:rsidRPr="003B2786">
              <w:rPr>
                <w:rStyle w:val="Bodytext295pt"/>
                <w:rFonts w:ascii="Sylfaen" w:hAnsi="Sylfaen"/>
                <w:sz w:val="24"/>
                <w:szCs w:val="24"/>
              </w:rPr>
              <w:t xml:space="preserve">ով գրանցվում </w:t>
            </w:r>
            <w:r w:rsidR="00C54D75">
              <w:rPr>
                <w:rStyle w:val="Bodytext295pt"/>
                <w:rFonts w:ascii="Sylfaen" w:hAnsi="Sylfaen"/>
                <w:sz w:val="24"/>
                <w:szCs w:val="24"/>
              </w:rPr>
              <w:t>և</w:t>
            </w:r>
            <w:r w:rsidRPr="003B2786">
              <w:rPr>
                <w:rStyle w:val="Bodytext295pt"/>
                <w:rFonts w:ascii="Sylfaen" w:hAnsi="Sylfaen"/>
                <w:sz w:val="24"/>
                <w:szCs w:val="24"/>
              </w:rPr>
              <w:t xml:space="preserve"> փաստաթղթավորվում են:</w:t>
            </w:r>
          </w:p>
        </w:tc>
        <w:tc>
          <w:tcPr>
            <w:tcW w:w="1826" w:type="dxa"/>
            <w:shd w:val="clear" w:color="auto" w:fill="FFFFFF"/>
          </w:tcPr>
          <w:p w14:paraId="4DFE1D3C" w14:textId="77777777" w:rsidR="008C76E0" w:rsidRPr="003B2786" w:rsidRDefault="008C76E0" w:rsidP="00390DAC">
            <w:pPr>
              <w:pStyle w:val="Bodytext180"/>
              <w:shd w:val="clear" w:color="auto" w:fill="auto"/>
              <w:spacing w:before="0" w:after="160" w:line="360" w:lineRule="auto"/>
              <w:ind w:right="-1" w:firstLine="544"/>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44C118BA" w14:textId="77777777" w:rsidTr="008C76E0">
        <w:trPr>
          <w:trHeight w:val="1154"/>
          <w:jc w:val="center"/>
        </w:trPr>
        <w:tc>
          <w:tcPr>
            <w:tcW w:w="9609" w:type="dxa"/>
            <w:gridSpan w:val="2"/>
            <w:tcBorders>
              <w:bottom w:val="single" w:sz="4" w:space="0" w:color="auto"/>
            </w:tcBorders>
            <w:shd w:val="clear" w:color="auto" w:fill="FFFFFF"/>
          </w:tcPr>
          <w:p w14:paraId="2E5317B4" w14:textId="77777777" w:rsidR="008C76E0" w:rsidRPr="003B2786" w:rsidRDefault="008C76E0" w:rsidP="00390DAC">
            <w:pPr>
              <w:pStyle w:val="Bodytext180"/>
              <w:shd w:val="clear" w:color="auto" w:fill="auto"/>
              <w:spacing w:before="0" w:after="160" w:line="360" w:lineRule="auto"/>
              <w:ind w:right="-1" w:firstLine="544"/>
              <w:jc w:val="center"/>
              <w:rPr>
                <w:rFonts w:ascii="Sylfaen" w:hAnsi="Sylfaen"/>
                <w:b w:val="0"/>
                <w:bCs w:val="0"/>
                <w:iCs/>
                <w:color w:val="000000"/>
                <w:spacing w:val="-6"/>
                <w:sz w:val="24"/>
                <w:szCs w:val="24"/>
                <w:shd w:val="clear" w:color="auto" w:fill="FFFFFF"/>
              </w:rPr>
            </w:pPr>
            <w:r w:rsidRPr="003B2786">
              <w:rPr>
                <w:rStyle w:val="Bodytext295pt"/>
                <w:rFonts w:ascii="Sylfaen" w:hAnsi="Sylfaen"/>
                <w:spacing w:val="-6"/>
                <w:sz w:val="24"/>
                <w:szCs w:val="24"/>
              </w:rPr>
              <w:t>Մեկնաբանություններ (լրացո</w:t>
            </w:r>
            <w:r>
              <w:rPr>
                <w:rStyle w:val="Bodytext295pt"/>
                <w:rFonts w:ascii="Sylfaen" w:hAnsi="Sylfaen"/>
                <w:spacing w:val="-6"/>
                <w:sz w:val="24"/>
                <w:szCs w:val="24"/>
              </w:rPr>
              <w:t>ւցիչ տեղեկատվություն) ____</w:t>
            </w:r>
            <w:r w:rsidRPr="003B2786">
              <w:rPr>
                <w:rStyle w:val="Bodytext295pt"/>
                <w:rFonts w:ascii="Sylfaen" w:hAnsi="Sylfaen"/>
                <w:spacing w:val="-6"/>
                <w:sz w:val="24"/>
                <w:szCs w:val="24"/>
              </w:rPr>
              <w:t>________________________</w:t>
            </w:r>
          </w:p>
        </w:tc>
      </w:tr>
      <w:tr w:rsidR="008C76E0" w:rsidRPr="003B2786" w14:paraId="74B7B193" w14:textId="77777777" w:rsidTr="008C76E0">
        <w:trPr>
          <w:trHeight w:val="478"/>
          <w:jc w:val="center"/>
        </w:trPr>
        <w:tc>
          <w:tcPr>
            <w:tcW w:w="9609" w:type="dxa"/>
            <w:gridSpan w:val="2"/>
            <w:tcBorders>
              <w:top w:val="single" w:sz="4" w:space="0" w:color="auto"/>
              <w:left w:val="single" w:sz="4" w:space="0" w:color="auto"/>
              <w:right w:val="single" w:sz="4" w:space="0" w:color="auto"/>
            </w:tcBorders>
            <w:shd w:val="clear" w:color="auto" w:fill="FFFFFF"/>
          </w:tcPr>
          <w:p w14:paraId="3EDE6439" w14:textId="77777777" w:rsidR="008C76E0" w:rsidRPr="008C76E0" w:rsidRDefault="008C76E0" w:rsidP="00390DAC">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1811pt"/>
                <w:rFonts w:ascii="Sylfaen" w:hAnsi="Sylfaen"/>
                <w:sz w:val="24"/>
                <w:szCs w:val="24"/>
              </w:rPr>
              <w:t>Տվյալների մշակման հետ կապված կանոնները</w:t>
            </w:r>
          </w:p>
        </w:tc>
      </w:tr>
      <w:tr w:rsidR="008C76E0" w:rsidRPr="003B2786" w14:paraId="54A9F5F2" w14:textId="77777777" w:rsidTr="008C76E0">
        <w:trPr>
          <w:trHeight w:val="4247"/>
          <w:jc w:val="center"/>
        </w:trPr>
        <w:tc>
          <w:tcPr>
            <w:tcW w:w="9609" w:type="dxa"/>
            <w:gridSpan w:val="2"/>
            <w:tcBorders>
              <w:left w:val="single" w:sz="4" w:space="0" w:color="auto"/>
              <w:bottom w:val="single" w:sz="4" w:space="0" w:color="auto"/>
              <w:right w:val="single" w:sz="4" w:space="0" w:color="auto"/>
            </w:tcBorders>
            <w:shd w:val="clear" w:color="auto" w:fill="FFFFFF"/>
          </w:tcPr>
          <w:p w14:paraId="4624508F" w14:textId="77777777" w:rsidR="008C76E0" w:rsidRPr="003B2786" w:rsidRDefault="008C76E0" w:rsidP="00390DAC">
            <w:pPr>
              <w:pStyle w:val="Bodytext180"/>
              <w:shd w:val="clear" w:color="auto" w:fill="auto"/>
              <w:spacing w:before="0" w:after="160" w:line="360" w:lineRule="auto"/>
              <w:ind w:firstLine="543"/>
              <w:jc w:val="both"/>
              <w:rPr>
                <w:rStyle w:val="Bodytext1811pt"/>
                <w:rFonts w:ascii="Sylfaen" w:hAnsi="Sylfaen"/>
                <w:sz w:val="24"/>
                <w:szCs w:val="24"/>
              </w:rPr>
            </w:pPr>
            <w:r w:rsidRPr="003B2786">
              <w:rPr>
                <w:rStyle w:val="Bodytext1811pt"/>
                <w:rFonts w:ascii="Sylfaen" w:hAnsi="Sylfaen"/>
                <w:sz w:val="24"/>
                <w:szCs w:val="24"/>
              </w:rPr>
              <w:t>Տվյալների մշակումը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հանգամանքները. </w:t>
            </w:r>
          </w:p>
          <w:p w14:paraId="7A335709"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գրանցումն իրականացվում է հասկանալի ձ</w:t>
            </w:r>
            <w:r w:rsidR="00C54D75">
              <w:rPr>
                <w:rStyle w:val="Bodytext295pt"/>
                <w:rFonts w:ascii="Sylfaen" w:hAnsi="Sylfaen"/>
                <w:i/>
                <w:sz w:val="24"/>
                <w:szCs w:val="24"/>
              </w:rPr>
              <w:t>և</w:t>
            </w:r>
            <w:r w:rsidRPr="003B2786">
              <w:rPr>
                <w:rStyle w:val="Bodytext295pt"/>
                <w:rFonts w:ascii="Sylfaen" w:hAnsi="Sylfaen"/>
                <w:i/>
                <w:sz w:val="24"/>
                <w:szCs w:val="24"/>
              </w:rPr>
              <w:t>ով,</w:t>
            </w:r>
          </w:p>
          <w:p w14:paraId="1E9EF35A"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տվյալների գրանցման եղանակը գոհացուցիչ է,</w:t>
            </w:r>
          </w:p>
          <w:p w14:paraId="52EA7991"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տվյալները մշակվել են բավարար չափով (օրինակ՝ հասկանալի՞ է, թե ինչպես են բանավոր պատասխանները վերափոխվել պատասխանների տարբեր կատեգորիաների),</w:t>
            </w:r>
          </w:p>
          <w:p w14:paraId="0846A086" w14:textId="77777777" w:rsidR="008C76E0" w:rsidRPr="008C76E0" w:rsidRDefault="008C76E0" w:rsidP="00390DAC">
            <w:pPr>
              <w:pStyle w:val="Bodytext180"/>
              <w:shd w:val="clear" w:color="auto" w:fill="auto"/>
              <w:spacing w:before="0" w:after="160" w:line="360" w:lineRule="auto"/>
              <w:ind w:firstLine="543"/>
              <w:jc w:val="both"/>
              <w:rPr>
                <w:rFonts w:ascii="Sylfaen" w:hAnsi="Sylfaen"/>
                <w:i/>
                <w:sz w:val="24"/>
                <w:szCs w:val="24"/>
                <w:lang w:val="hy-AM"/>
              </w:rPr>
            </w:pPr>
            <w:r w:rsidRPr="003B2786">
              <w:rPr>
                <w:rStyle w:val="Bodytext295pt"/>
                <w:rFonts w:ascii="Sylfaen" w:hAnsi="Sylfaen"/>
                <w:i/>
                <w:sz w:val="24"/>
                <w:szCs w:val="24"/>
              </w:rPr>
              <w:t>փորձագետին ներկայացվել են պացիենտների թեստավորման ընթացքում (թեստավորման տարբեր փուլերում) օգտագործված ներդիր թերթիկները,</w:t>
            </w:r>
          </w:p>
          <w:p w14:paraId="1888D6ED" w14:textId="77777777" w:rsidR="008C76E0" w:rsidRPr="008C76E0" w:rsidRDefault="008C76E0" w:rsidP="00390DAC">
            <w:pPr>
              <w:pStyle w:val="Bodytext180"/>
              <w:shd w:val="clear" w:color="auto" w:fill="auto"/>
              <w:spacing w:before="0" w:after="160" w:line="360" w:lineRule="auto"/>
              <w:ind w:firstLine="543"/>
              <w:jc w:val="both"/>
              <w:rPr>
                <w:rFonts w:ascii="Sylfaen" w:hAnsi="Sylfaen"/>
                <w:b w:val="0"/>
                <w:sz w:val="24"/>
                <w:szCs w:val="24"/>
                <w:lang w:val="hy-AM"/>
              </w:rPr>
            </w:pPr>
            <w:r w:rsidRPr="003B2786">
              <w:rPr>
                <w:rStyle w:val="Bodytext295pt"/>
                <w:rFonts w:ascii="Sylfaen" w:hAnsi="Sylfaen"/>
                <w:i/>
                <w:sz w:val="24"/>
                <w:szCs w:val="24"/>
              </w:rPr>
              <w:t xml:space="preserve">պարզաբանվել (հիմնավորվել) են ԲԿՈՒ-ում (ՆԹ-ում) կատարված փոփոխությունները:  Պարզ է, թե թեստի մասնակիցների դիտողություններից որոնք չեն արժանացել ուշադրության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w:t>
            </w:r>
          </w:p>
        </w:tc>
      </w:tr>
    </w:tbl>
    <w:p w14:paraId="174D396E"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71" w:type="dxa"/>
        <w:jc w:val="center"/>
        <w:tblLayout w:type="fixed"/>
        <w:tblCellMar>
          <w:left w:w="10" w:type="dxa"/>
          <w:right w:w="10" w:type="dxa"/>
        </w:tblCellMar>
        <w:tblLook w:val="04A0" w:firstRow="1" w:lastRow="0" w:firstColumn="1" w:lastColumn="0" w:noHBand="0" w:noVBand="1"/>
      </w:tblPr>
      <w:tblGrid>
        <w:gridCol w:w="7752"/>
        <w:gridCol w:w="1819"/>
      </w:tblGrid>
      <w:tr w:rsidR="008C76E0" w:rsidRPr="003B2786" w14:paraId="2200707D" w14:textId="77777777" w:rsidTr="008C76E0">
        <w:trPr>
          <w:jc w:val="center"/>
        </w:trPr>
        <w:tc>
          <w:tcPr>
            <w:tcW w:w="9571" w:type="dxa"/>
            <w:gridSpan w:val="2"/>
            <w:shd w:val="clear" w:color="auto" w:fill="FFFFFF"/>
            <w:vAlign w:val="bottom"/>
          </w:tcPr>
          <w:p w14:paraId="08A0F5C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center"/>
              <w:rPr>
                <w:rFonts w:ascii="Sylfaen" w:hAnsi="Sylfaen"/>
                <w:b w:val="0"/>
                <w:sz w:val="24"/>
                <w:szCs w:val="24"/>
              </w:rPr>
            </w:pPr>
            <w:r w:rsidRPr="003B2786">
              <w:rPr>
                <w:rStyle w:val="Bodytext295pt"/>
                <w:rFonts w:ascii="Sylfaen" w:hAnsi="Sylfaen"/>
                <w:sz w:val="24"/>
                <w:szCs w:val="24"/>
              </w:rPr>
              <w:t>4.</w:t>
            </w:r>
            <w:r w:rsidRPr="003B2786">
              <w:rPr>
                <w:rStyle w:val="Bodytext295pt"/>
                <w:rFonts w:ascii="Sylfaen" w:hAnsi="Sylfaen"/>
                <w:sz w:val="24"/>
                <w:szCs w:val="24"/>
              </w:rPr>
              <w:tab/>
              <w:t>Որակի ասպեկտները</w:t>
            </w:r>
          </w:p>
        </w:tc>
      </w:tr>
      <w:tr w:rsidR="008C76E0" w:rsidRPr="003B2786" w14:paraId="35F590A1" w14:textId="77777777" w:rsidTr="008C76E0">
        <w:trPr>
          <w:jc w:val="center"/>
        </w:trPr>
        <w:tc>
          <w:tcPr>
            <w:tcW w:w="9571" w:type="dxa"/>
            <w:gridSpan w:val="2"/>
            <w:shd w:val="clear" w:color="auto" w:fill="FFFFFF"/>
            <w:vAlign w:val="bottom"/>
          </w:tcPr>
          <w:p w14:paraId="05E8258F" w14:textId="77777777" w:rsidR="008C76E0" w:rsidRPr="003B2786"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rPr>
            </w:pPr>
            <w:r w:rsidRPr="003B2786">
              <w:rPr>
                <w:rStyle w:val="Bodytext295pt"/>
                <w:rFonts w:ascii="Sylfaen" w:hAnsi="Sylfaen"/>
                <w:sz w:val="24"/>
                <w:szCs w:val="24"/>
              </w:rPr>
              <w:t>4.1.</w:t>
            </w:r>
            <w:r w:rsidRPr="003B2786">
              <w:rPr>
                <w:rStyle w:val="Bodytext295pt"/>
                <w:rFonts w:ascii="Sylfaen" w:hAnsi="Sylfaen"/>
                <w:sz w:val="24"/>
                <w:szCs w:val="24"/>
                <w:lang w:val="en-US"/>
              </w:rPr>
              <w:tab/>
            </w:r>
            <w:r w:rsidRPr="003B2786">
              <w:rPr>
                <w:rStyle w:val="Bodytext295pt"/>
                <w:rFonts w:ascii="Sylfaen" w:hAnsi="Sylfaen"/>
                <w:sz w:val="24"/>
                <w:szCs w:val="24"/>
              </w:rPr>
              <w:t>Ախտորոշիչ հարցերի գնահատումը</w:t>
            </w:r>
          </w:p>
        </w:tc>
      </w:tr>
      <w:tr w:rsidR="008C76E0" w:rsidRPr="003B2786" w14:paraId="18C683D5" w14:textId="77777777" w:rsidTr="008C76E0">
        <w:trPr>
          <w:jc w:val="center"/>
        </w:trPr>
        <w:tc>
          <w:tcPr>
            <w:tcW w:w="7752" w:type="dxa"/>
            <w:shd w:val="clear" w:color="auto" w:fill="FFFFFF"/>
            <w:vAlign w:val="bottom"/>
          </w:tcPr>
          <w:p w14:paraId="28BA3460" w14:textId="77777777" w:rsidR="008C76E0" w:rsidRPr="00E15E7D" w:rsidRDefault="008C76E0" w:rsidP="00F63625">
            <w:pPr>
              <w:spacing w:after="160" w:line="360" w:lineRule="auto"/>
              <w:ind w:firstLine="525"/>
              <w:jc w:val="both"/>
              <w:rPr>
                <w:rStyle w:val="Bodytext295pt"/>
                <w:rFonts w:ascii="Sylfaen" w:eastAsiaTheme="minorHAnsi" w:hAnsi="Sylfaen"/>
                <w:sz w:val="24"/>
                <w:szCs w:val="24"/>
              </w:rPr>
            </w:pPr>
            <w:r w:rsidRPr="003D4CBB">
              <w:rPr>
                <w:rStyle w:val="Bodytext295pt"/>
                <w:rFonts w:ascii="Sylfaen" w:eastAsiaTheme="minorHAnsi" w:hAnsi="Sylfaen"/>
                <w:b w:val="0"/>
                <w:sz w:val="24"/>
                <w:szCs w:val="24"/>
              </w:rPr>
              <w:t>Արդյո՞ք մեթոդաբանությունը համապատասխանում է</w:t>
            </w:r>
            <w:r w:rsidRPr="003B2786">
              <w:rPr>
                <w:rStyle w:val="Bodytext295pt"/>
                <w:rFonts w:ascii="Sylfaen" w:eastAsiaTheme="minorHAnsi" w:hAnsi="Sylfaen"/>
                <w:sz w:val="24"/>
                <w:szCs w:val="24"/>
              </w:rPr>
              <w:t xml:space="preserve"> </w:t>
            </w:r>
            <w:r w:rsidRPr="003B2786">
              <w:rPr>
                <w:rStyle w:val="Bodytext295pt"/>
                <w:rFonts w:ascii="Sylfaen" w:eastAsiaTheme="minorHAnsi" w:hAnsi="Sylfaen"/>
                <w:b w:val="0"/>
                <w:bCs w:val="0"/>
                <w:sz w:val="24"/>
                <w:szCs w:val="24"/>
              </w:rPr>
              <w:t xml:space="preserve">Դեղապատրաստուկների բժշկական կիրառման հրահանգին </w:t>
            </w:r>
            <w:r w:rsidR="00C54D75">
              <w:rPr>
                <w:rStyle w:val="Bodytext295pt"/>
                <w:rFonts w:ascii="Sylfaen" w:eastAsiaTheme="minorHAnsi" w:hAnsi="Sylfaen"/>
                <w:b w:val="0"/>
                <w:bCs w:val="0"/>
                <w:sz w:val="24"/>
                <w:szCs w:val="24"/>
              </w:rPr>
              <w:t>և</w:t>
            </w:r>
            <w:r w:rsidRPr="003B2786">
              <w:rPr>
                <w:rStyle w:val="Bodytext295pt"/>
                <w:rFonts w:ascii="Sylfaen" w:eastAsiaTheme="minorHAnsi" w:hAnsi="Sylfaen"/>
                <w:b w:val="0"/>
                <w:bCs w:val="0"/>
                <w:sz w:val="24"/>
                <w:szCs w:val="24"/>
              </w:rPr>
              <w:t xml:space="preserve"> բժշկական կիրառման դեղապատրաստուկների ընդհանուր բնութագրին ներկայացվող պահանջների հավելվածին</w:t>
            </w:r>
            <w:r w:rsidRPr="003B2786">
              <w:rPr>
                <w:rStyle w:val="Bodytext295pt"/>
                <w:rFonts w:ascii="Sylfaen" w:eastAsiaTheme="minorHAnsi" w:hAnsi="Sylfaen"/>
                <w:sz w:val="24"/>
                <w:szCs w:val="24"/>
              </w:rPr>
              <w:t>:</w:t>
            </w:r>
          </w:p>
          <w:p w14:paraId="0A781015" w14:textId="77777777" w:rsidR="002E713A" w:rsidRPr="00E15E7D" w:rsidRDefault="002E713A" w:rsidP="00390DAC">
            <w:pPr>
              <w:spacing w:after="160" w:line="360" w:lineRule="auto"/>
              <w:ind w:firstLine="525"/>
              <w:rPr>
                <w:rFonts w:ascii="Sylfaen" w:hAnsi="Sylfaen"/>
                <w:sz w:val="24"/>
                <w:szCs w:val="24"/>
              </w:rPr>
            </w:pPr>
          </w:p>
        </w:tc>
        <w:tc>
          <w:tcPr>
            <w:tcW w:w="1819" w:type="dxa"/>
            <w:shd w:val="clear" w:color="auto" w:fill="FFFFFF"/>
            <w:vAlign w:val="bottom"/>
          </w:tcPr>
          <w:p w14:paraId="3B0DBADD" w14:textId="77777777" w:rsidR="008C76E0" w:rsidRPr="002E713A"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314C9D32" w14:textId="77777777" w:rsidTr="008C76E0">
        <w:trPr>
          <w:jc w:val="center"/>
        </w:trPr>
        <w:tc>
          <w:tcPr>
            <w:tcW w:w="7752" w:type="dxa"/>
            <w:shd w:val="clear" w:color="auto" w:fill="FFFFFF"/>
          </w:tcPr>
          <w:p w14:paraId="12BC4A2A"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z w:val="24"/>
                <w:szCs w:val="24"/>
              </w:rPr>
              <w:lastRenderedPageBreak/>
              <w:t>Ընդհանուր առմամբ, յուրաքանչյուր պատասխան համապատասխանո՞ւմ է ճիշտ պատասխանների 81 % չափանիշին:</w:t>
            </w:r>
          </w:p>
        </w:tc>
        <w:tc>
          <w:tcPr>
            <w:tcW w:w="1819" w:type="dxa"/>
            <w:shd w:val="clear" w:color="auto" w:fill="FFFFFF"/>
            <w:vAlign w:val="bottom"/>
          </w:tcPr>
          <w:p w14:paraId="5C75E12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5ACB607D" w14:textId="77777777" w:rsidTr="008C76E0">
        <w:trPr>
          <w:jc w:val="center"/>
        </w:trPr>
        <w:tc>
          <w:tcPr>
            <w:tcW w:w="9571" w:type="dxa"/>
            <w:gridSpan w:val="2"/>
            <w:shd w:val="clear" w:color="auto" w:fill="FFFFFF"/>
          </w:tcPr>
          <w:p w14:paraId="633747D3" w14:textId="77777777" w:rsidR="008C76E0" w:rsidRPr="003B2786"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pacing w:val="-6"/>
                <w:sz w:val="24"/>
                <w:szCs w:val="24"/>
              </w:rPr>
            </w:pPr>
            <w:r w:rsidRPr="003B2786">
              <w:rPr>
                <w:rStyle w:val="Bodytext295pt"/>
                <w:rFonts w:ascii="Sylfaen" w:hAnsi="Sylfaen"/>
                <w:spacing w:val="-6"/>
                <w:sz w:val="24"/>
                <w:szCs w:val="24"/>
              </w:rPr>
              <w:t>Մեկնաբանություններ (լրացուցիչ տեղեկատվությ</w:t>
            </w:r>
            <w:r>
              <w:rPr>
                <w:rStyle w:val="Bodytext295pt"/>
                <w:rFonts w:ascii="Sylfaen" w:hAnsi="Sylfaen"/>
                <w:spacing w:val="-6"/>
                <w:sz w:val="24"/>
                <w:szCs w:val="24"/>
              </w:rPr>
              <w:t>ուն) _____________</w:t>
            </w:r>
            <w:r w:rsidRPr="003B2786">
              <w:rPr>
                <w:rStyle w:val="Bodytext295pt"/>
                <w:rFonts w:ascii="Sylfaen" w:hAnsi="Sylfaen"/>
                <w:spacing w:val="-6"/>
                <w:sz w:val="24"/>
                <w:szCs w:val="24"/>
              </w:rPr>
              <w:t>______</w:t>
            </w:r>
          </w:p>
        </w:tc>
      </w:tr>
      <w:tr w:rsidR="008C76E0" w:rsidRPr="003B2786" w14:paraId="35B4A47E" w14:textId="77777777" w:rsidTr="008C76E0">
        <w:trPr>
          <w:jc w:val="center"/>
        </w:trPr>
        <w:tc>
          <w:tcPr>
            <w:tcW w:w="9571" w:type="dxa"/>
            <w:gridSpan w:val="2"/>
            <w:shd w:val="clear" w:color="auto" w:fill="FFFFFF"/>
            <w:vAlign w:val="center"/>
          </w:tcPr>
          <w:p w14:paraId="47417865" w14:textId="77777777" w:rsidR="008C76E0" w:rsidRPr="008C76E0" w:rsidRDefault="008C76E0" w:rsidP="00390DAC">
            <w:pPr>
              <w:pStyle w:val="Bodytext180"/>
              <w:shd w:val="clear" w:color="auto" w:fill="auto"/>
              <w:tabs>
                <w:tab w:val="left" w:pos="1092"/>
              </w:tabs>
              <w:spacing w:before="0" w:after="160" w:line="360" w:lineRule="auto"/>
              <w:ind w:right="44" w:firstLine="525"/>
              <w:jc w:val="both"/>
              <w:rPr>
                <w:rFonts w:ascii="Sylfaen" w:hAnsi="Sylfaen"/>
                <w:b w:val="0"/>
                <w:sz w:val="24"/>
                <w:szCs w:val="24"/>
                <w:lang w:val="hy-AM"/>
              </w:rPr>
            </w:pPr>
            <w:r w:rsidRPr="003B2786">
              <w:rPr>
                <w:rStyle w:val="Bodytext295pt"/>
                <w:rFonts w:ascii="Sylfaen" w:hAnsi="Sylfaen"/>
                <w:sz w:val="24"/>
                <w:szCs w:val="24"/>
              </w:rPr>
              <w:t>4.2.</w:t>
            </w:r>
            <w:r w:rsidRPr="003B2786">
              <w:rPr>
                <w:rStyle w:val="Bodytext295pt"/>
                <w:rFonts w:ascii="Sylfaen" w:hAnsi="Sylfaen"/>
                <w:sz w:val="24"/>
                <w:szCs w:val="24"/>
              </w:rPr>
              <w:tab/>
              <w:t xml:space="preserve">Մանրակերտի </w:t>
            </w:r>
            <w:r w:rsidR="00C54D75">
              <w:rPr>
                <w:rStyle w:val="Bodytext295pt"/>
                <w:rFonts w:ascii="Sylfaen" w:hAnsi="Sylfaen"/>
                <w:sz w:val="24"/>
                <w:szCs w:val="24"/>
              </w:rPr>
              <w:t>և</w:t>
            </w:r>
            <w:r w:rsidRPr="003B2786">
              <w:rPr>
                <w:rStyle w:val="Bodytext295pt"/>
                <w:rFonts w:ascii="Sylfaen" w:hAnsi="Sylfaen"/>
                <w:sz w:val="24"/>
                <w:szCs w:val="24"/>
              </w:rPr>
              <w:t xml:space="preserve"> բովանդակային պլանի գնահատումը</w:t>
            </w:r>
          </w:p>
        </w:tc>
      </w:tr>
      <w:tr w:rsidR="008C76E0" w:rsidRPr="003B2786" w14:paraId="01551D9A" w14:textId="77777777" w:rsidTr="008C76E0">
        <w:trPr>
          <w:jc w:val="center"/>
        </w:trPr>
        <w:tc>
          <w:tcPr>
            <w:tcW w:w="7752" w:type="dxa"/>
            <w:shd w:val="clear" w:color="auto" w:fill="FFFFFF"/>
            <w:vAlign w:val="bottom"/>
          </w:tcPr>
          <w:p w14:paraId="6E173B87" w14:textId="77777777" w:rsidR="008C76E0" w:rsidRPr="008C76E0" w:rsidRDefault="008C76E0" w:rsidP="00390DAC">
            <w:pPr>
              <w:pStyle w:val="Bodytext180"/>
              <w:shd w:val="clear" w:color="auto" w:fill="auto"/>
              <w:tabs>
                <w:tab w:val="left" w:pos="840"/>
              </w:tabs>
              <w:spacing w:before="0" w:after="160" w:line="360" w:lineRule="auto"/>
              <w:ind w:left="100" w:right="44" w:firstLine="525"/>
              <w:jc w:val="both"/>
              <w:rPr>
                <w:rFonts w:ascii="Sylfaen" w:hAnsi="Sylfaen"/>
                <w:b w:val="0"/>
                <w:sz w:val="24"/>
                <w:szCs w:val="24"/>
                <w:lang w:val="hy-AM"/>
              </w:rPr>
            </w:pPr>
            <w:r w:rsidRPr="003B2786">
              <w:rPr>
                <w:rStyle w:val="Bodytext295pt"/>
                <w:rFonts w:ascii="Sylfaen" w:hAnsi="Sylfaen"/>
                <w:spacing w:val="-6"/>
                <w:sz w:val="24"/>
                <w:szCs w:val="24"/>
              </w:rPr>
              <w:t xml:space="preserve">Արդյո՞ք պահպանվել են Դեղապատրաստուկների բժշկական կիրառման հրահանգին </w:t>
            </w:r>
            <w:r w:rsidR="00C54D75">
              <w:rPr>
                <w:rStyle w:val="Bodytext295pt"/>
                <w:rFonts w:ascii="Sylfaen" w:hAnsi="Sylfaen"/>
                <w:spacing w:val="-6"/>
                <w:sz w:val="24"/>
                <w:szCs w:val="24"/>
              </w:rPr>
              <w:t>և</w:t>
            </w:r>
            <w:r w:rsidRPr="003B2786">
              <w:rPr>
                <w:rStyle w:val="Bodytext295pt"/>
                <w:rFonts w:ascii="Sylfaen" w:hAnsi="Sylfaen"/>
                <w:spacing w:val="-6"/>
                <w:sz w:val="24"/>
                <w:szCs w:val="24"/>
              </w:rPr>
              <w:t xml:space="preserve"> բժշկական կիրառման դեղապատրաստուկների ընդհանուր բնութագրին ներկայացվող պահանջների հավելվածում նշված բովանդակային պլանի ընդհանուր</w:t>
            </w:r>
            <w:r w:rsidRPr="003B2786">
              <w:rPr>
                <w:rStyle w:val="Bodytext295pt"/>
                <w:rFonts w:ascii="Sylfaen" w:hAnsi="Sylfaen"/>
                <w:sz w:val="24"/>
                <w:szCs w:val="24"/>
              </w:rPr>
              <w:t xml:space="preserve"> սկզբունքները:</w:t>
            </w:r>
          </w:p>
        </w:tc>
        <w:tc>
          <w:tcPr>
            <w:tcW w:w="1819" w:type="dxa"/>
            <w:shd w:val="clear" w:color="auto" w:fill="FFFFFF"/>
            <w:vAlign w:val="bottom"/>
          </w:tcPr>
          <w:p w14:paraId="0C53AE5F"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CA8964C" w14:textId="77777777" w:rsidTr="008C76E0">
        <w:trPr>
          <w:jc w:val="center"/>
        </w:trPr>
        <w:tc>
          <w:tcPr>
            <w:tcW w:w="7752" w:type="dxa"/>
            <w:shd w:val="clear" w:color="auto" w:fill="FFFFFF"/>
            <w:vAlign w:val="bottom"/>
          </w:tcPr>
          <w:p w14:paraId="395D3B11"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տեքստը շարադրված է պացիենտներին հասկանալի լեզվով:</w:t>
            </w:r>
          </w:p>
        </w:tc>
        <w:tc>
          <w:tcPr>
            <w:tcW w:w="1819" w:type="dxa"/>
            <w:shd w:val="clear" w:color="auto" w:fill="FFFFFF"/>
            <w:vAlign w:val="bottom"/>
          </w:tcPr>
          <w:p w14:paraId="48AFD5C4"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73FA2BAD" w14:textId="77777777" w:rsidTr="008C76E0">
        <w:trPr>
          <w:jc w:val="center"/>
        </w:trPr>
        <w:tc>
          <w:tcPr>
            <w:tcW w:w="7752" w:type="dxa"/>
            <w:shd w:val="clear" w:color="auto" w:fill="FFFFFF"/>
            <w:vAlign w:val="bottom"/>
          </w:tcPr>
          <w:p w14:paraId="0A9AB023"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հեշտ է կողմնորոշվել մանրակերտի միջոցով:</w:t>
            </w:r>
          </w:p>
        </w:tc>
        <w:tc>
          <w:tcPr>
            <w:tcW w:w="1819" w:type="dxa"/>
            <w:shd w:val="clear" w:color="auto" w:fill="FFFFFF"/>
            <w:vAlign w:val="bottom"/>
          </w:tcPr>
          <w:p w14:paraId="6B63EFFA"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13AC2F41" w14:textId="77777777" w:rsidTr="008C76E0">
        <w:trPr>
          <w:jc w:val="center"/>
        </w:trPr>
        <w:tc>
          <w:tcPr>
            <w:tcW w:w="7752" w:type="dxa"/>
            <w:shd w:val="clear" w:color="auto" w:fill="FFFFFF"/>
          </w:tcPr>
          <w:p w14:paraId="5F6A6E60" w14:textId="77777777" w:rsidR="008C76E0" w:rsidRPr="008C76E0"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lang w:val="hy-AM"/>
              </w:rPr>
            </w:pPr>
            <w:r w:rsidRPr="003B2786">
              <w:rPr>
                <w:rStyle w:val="Bodytext295pt"/>
                <w:rFonts w:ascii="Sylfaen" w:hAnsi="Sylfaen"/>
                <w:sz w:val="24"/>
                <w:szCs w:val="24"/>
              </w:rPr>
              <w:t>Արդյո՞ք ընդունելի է սխեմաների կիրառումը:</w:t>
            </w:r>
          </w:p>
        </w:tc>
        <w:tc>
          <w:tcPr>
            <w:tcW w:w="1819" w:type="dxa"/>
            <w:shd w:val="clear" w:color="auto" w:fill="FFFFFF"/>
          </w:tcPr>
          <w:p w14:paraId="111953B0" w14:textId="77777777" w:rsidR="008C76E0" w:rsidRPr="003B2786"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z w:val="24"/>
                <w:szCs w:val="24"/>
              </w:rPr>
            </w:pPr>
            <w:r w:rsidRPr="003B2786">
              <w:rPr>
                <w:rStyle w:val="Bodytext295pt"/>
                <w:rFonts w:ascii="Sylfaen" w:hAnsi="Sylfaen"/>
                <w:sz w:val="24"/>
                <w:szCs w:val="24"/>
              </w:rPr>
              <w:t>□ այո □ ոչ</w:t>
            </w:r>
          </w:p>
        </w:tc>
      </w:tr>
      <w:tr w:rsidR="008C76E0" w:rsidRPr="003B2786" w14:paraId="67490A64" w14:textId="77777777" w:rsidTr="008C76E0">
        <w:trPr>
          <w:jc w:val="center"/>
        </w:trPr>
        <w:tc>
          <w:tcPr>
            <w:tcW w:w="9571" w:type="dxa"/>
            <w:gridSpan w:val="2"/>
            <w:shd w:val="clear" w:color="auto" w:fill="FFFFFF"/>
            <w:vAlign w:val="center"/>
          </w:tcPr>
          <w:p w14:paraId="4F9D7973" w14:textId="77777777" w:rsidR="008C76E0" w:rsidRPr="00CB552F" w:rsidRDefault="008C76E0" w:rsidP="00390DAC">
            <w:pPr>
              <w:pStyle w:val="Bodytext180"/>
              <w:shd w:val="clear" w:color="auto" w:fill="auto"/>
              <w:tabs>
                <w:tab w:val="left" w:pos="840"/>
              </w:tabs>
              <w:spacing w:before="0" w:after="160" w:line="360" w:lineRule="auto"/>
              <w:ind w:left="100" w:right="44" w:firstLine="0"/>
              <w:jc w:val="both"/>
              <w:rPr>
                <w:rFonts w:ascii="Sylfaen" w:hAnsi="Sylfaen"/>
                <w:b w:val="0"/>
                <w:spacing w:val="-4"/>
                <w:sz w:val="24"/>
                <w:szCs w:val="24"/>
              </w:rPr>
            </w:pPr>
            <w:r w:rsidRPr="003B2786">
              <w:rPr>
                <w:rStyle w:val="Bodytext295pt"/>
                <w:rFonts w:ascii="Sylfaen" w:hAnsi="Sylfaen"/>
                <w:spacing w:val="-4"/>
                <w:sz w:val="24"/>
                <w:szCs w:val="24"/>
              </w:rPr>
              <w:t>Մեկնաբանություններ (լրացուցիչ տեղեկատվությ</w:t>
            </w:r>
            <w:r w:rsidR="00CB552F">
              <w:rPr>
                <w:rStyle w:val="Bodytext295pt"/>
                <w:rFonts w:ascii="Sylfaen" w:hAnsi="Sylfaen"/>
                <w:spacing w:val="-4"/>
                <w:sz w:val="24"/>
                <w:szCs w:val="24"/>
              </w:rPr>
              <w:t>ուն)</w:t>
            </w:r>
            <w:r w:rsidRPr="003B2786">
              <w:rPr>
                <w:rStyle w:val="Bodytext295pt"/>
                <w:rFonts w:ascii="Sylfaen" w:hAnsi="Sylfaen"/>
                <w:spacing w:val="-4"/>
                <w:sz w:val="24"/>
                <w:szCs w:val="24"/>
              </w:rPr>
              <w:t>_____________________________</w:t>
            </w:r>
          </w:p>
        </w:tc>
      </w:tr>
    </w:tbl>
    <w:p w14:paraId="78208175" w14:textId="77777777" w:rsidR="008C76E0" w:rsidRPr="003B2786" w:rsidRDefault="008C76E0" w:rsidP="00390DAC">
      <w:pPr>
        <w:spacing w:after="160" w:line="360" w:lineRule="auto"/>
        <w:ind w:right="-1"/>
        <w:jc w:val="both"/>
        <w:rPr>
          <w:rFonts w:ascii="Sylfaen" w:hAnsi="Sylfaen"/>
          <w:sz w:val="24"/>
          <w:szCs w:val="24"/>
        </w:rPr>
      </w:pPr>
    </w:p>
    <w:tbl>
      <w:tblPr>
        <w:tblOverlap w:val="never"/>
        <w:tblW w:w="9581" w:type="dxa"/>
        <w:jc w:val="center"/>
        <w:tblLayout w:type="fixed"/>
        <w:tblCellMar>
          <w:left w:w="10" w:type="dxa"/>
          <w:right w:w="10" w:type="dxa"/>
        </w:tblCellMar>
        <w:tblLook w:val="04A0" w:firstRow="1" w:lastRow="0" w:firstColumn="1" w:lastColumn="0" w:noHBand="0" w:noVBand="1"/>
      </w:tblPr>
      <w:tblGrid>
        <w:gridCol w:w="9581"/>
      </w:tblGrid>
      <w:tr w:rsidR="008C76E0" w:rsidRPr="003B2786" w14:paraId="093AF03B" w14:textId="77777777" w:rsidTr="008C76E0">
        <w:trPr>
          <w:jc w:val="center"/>
        </w:trPr>
        <w:tc>
          <w:tcPr>
            <w:tcW w:w="9581" w:type="dxa"/>
            <w:tcBorders>
              <w:top w:val="single" w:sz="4" w:space="0" w:color="auto"/>
              <w:left w:val="single" w:sz="4" w:space="0" w:color="auto"/>
              <w:right w:val="single" w:sz="4" w:space="0" w:color="auto"/>
            </w:tcBorders>
            <w:shd w:val="clear" w:color="auto" w:fill="FFFFFF"/>
            <w:vAlign w:val="bottom"/>
          </w:tcPr>
          <w:p w14:paraId="12134B42" w14:textId="77777777" w:rsidR="008C76E0" w:rsidRPr="008C76E0" w:rsidRDefault="008C76E0" w:rsidP="00390DAC">
            <w:pPr>
              <w:pStyle w:val="Bodytext180"/>
              <w:shd w:val="clear" w:color="auto" w:fill="auto"/>
              <w:spacing w:before="0" w:after="160" w:line="360" w:lineRule="auto"/>
              <w:ind w:left="62" w:right="79" w:firstLine="0"/>
              <w:jc w:val="center"/>
              <w:rPr>
                <w:rFonts w:ascii="Sylfaen" w:hAnsi="Sylfaen"/>
                <w:b w:val="0"/>
                <w:sz w:val="24"/>
                <w:szCs w:val="24"/>
                <w:lang w:val="hy-AM"/>
              </w:rPr>
            </w:pPr>
            <w:r w:rsidRPr="003B2786">
              <w:rPr>
                <w:rStyle w:val="Bodytext1811pt"/>
                <w:rFonts w:ascii="Sylfaen" w:hAnsi="Sylfaen"/>
                <w:sz w:val="24"/>
                <w:szCs w:val="24"/>
              </w:rPr>
              <w:t>Որակի ասպեկտների հետ կապված կանոնները</w:t>
            </w:r>
          </w:p>
        </w:tc>
      </w:tr>
      <w:tr w:rsidR="008C76E0" w:rsidRPr="003B2786" w14:paraId="25324C69" w14:textId="77777777" w:rsidTr="008C76E0">
        <w:trPr>
          <w:jc w:val="center"/>
        </w:trPr>
        <w:tc>
          <w:tcPr>
            <w:tcW w:w="9581" w:type="dxa"/>
            <w:tcBorders>
              <w:left w:val="single" w:sz="4" w:space="0" w:color="auto"/>
              <w:right w:val="single" w:sz="4" w:space="0" w:color="auto"/>
            </w:tcBorders>
            <w:shd w:val="clear" w:color="auto" w:fill="FFFFFF"/>
          </w:tcPr>
          <w:p w14:paraId="351EC553"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sz w:val="24"/>
                <w:szCs w:val="24"/>
                <w:lang w:val="hy-AM"/>
              </w:rPr>
            </w:pPr>
            <w:r w:rsidRPr="003B2786">
              <w:rPr>
                <w:rStyle w:val="Bodytext1811pt"/>
                <w:rFonts w:ascii="Sylfaen" w:hAnsi="Sylfaen"/>
                <w:sz w:val="24"/>
                <w:szCs w:val="24"/>
              </w:rPr>
              <w:t>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7884DC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արդյո՞ք ամբողջական է հաշվետվությունը,</w:t>
            </w:r>
          </w:p>
          <w:p w14:paraId="1C05D19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հաշվետվության մեջ արդյո՞ք հստակ սահմանազատված են քանակական </w:t>
            </w:r>
            <w:r w:rsidR="00C54D75">
              <w:rPr>
                <w:rStyle w:val="Bodytext295pt"/>
                <w:rFonts w:ascii="Sylfaen" w:hAnsi="Sylfaen"/>
                <w:i/>
                <w:sz w:val="24"/>
                <w:szCs w:val="24"/>
              </w:rPr>
              <w:t>և</w:t>
            </w:r>
            <w:r w:rsidRPr="003B2786">
              <w:rPr>
                <w:rStyle w:val="Bodytext295pt"/>
                <w:rFonts w:ascii="Sylfaen" w:hAnsi="Sylfaen"/>
                <w:i/>
                <w:sz w:val="24"/>
                <w:szCs w:val="24"/>
              </w:rPr>
              <w:t xml:space="preserve"> որակական արդյունքները,</w:t>
            </w:r>
          </w:p>
          <w:p w14:paraId="26477656"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b w:val="0"/>
                <w:i/>
                <w:sz w:val="24"/>
                <w:szCs w:val="24"/>
                <w:lang w:val="hy-AM"/>
              </w:rPr>
            </w:pPr>
            <w:r w:rsidRPr="003B2786">
              <w:rPr>
                <w:rStyle w:val="Bodytext295pt"/>
                <w:rFonts w:ascii="Sylfaen" w:hAnsi="Sylfaen"/>
                <w:i/>
                <w:sz w:val="24"/>
                <w:szCs w:val="24"/>
              </w:rPr>
              <w:t xml:space="preserve">արդյո՞ք հստակ նշված է դեղապատրաստուկի </w:t>
            </w:r>
            <w:r w:rsidR="00C54D75">
              <w:rPr>
                <w:rStyle w:val="Bodytext295pt"/>
                <w:rFonts w:ascii="Sylfaen" w:hAnsi="Sylfaen"/>
                <w:i/>
                <w:sz w:val="24"/>
                <w:szCs w:val="24"/>
              </w:rPr>
              <w:t>և</w:t>
            </w:r>
            <w:r w:rsidRPr="003B2786">
              <w:rPr>
                <w:rStyle w:val="Bodytext295pt"/>
                <w:rFonts w:ascii="Sylfaen" w:hAnsi="Sylfaen"/>
                <w:i/>
                <w:sz w:val="24"/>
                <w:szCs w:val="24"/>
              </w:rPr>
              <w:t xml:space="preserve"> համապատասխան ընկերության անվանումը,</w:t>
            </w:r>
          </w:p>
          <w:p w14:paraId="1E93963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հիմք ընդունելով Միության կանոնները՝ արդյո՞ք ըստ «ախտորոշիչ» հարցերի հավաքվել են բավարար քանակությամբ բալեր (տե՛ս 1.2 կետը),</w:t>
            </w:r>
          </w:p>
          <w:p w14:paraId="1EF66EB6" w14:textId="77777777" w:rsidR="008C76E0" w:rsidRPr="00E15E7D"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lastRenderedPageBreak/>
              <w:t xml:space="preserve">արդյո՞ք ռեսպոնդենտները ներդիր թերթիկի մանրակերտը </w:t>
            </w:r>
            <w:r w:rsidR="00C54D75">
              <w:rPr>
                <w:rStyle w:val="Bodytext295pt"/>
                <w:rFonts w:ascii="Sylfaen" w:hAnsi="Sylfaen"/>
                <w:i/>
                <w:sz w:val="24"/>
                <w:szCs w:val="24"/>
              </w:rPr>
              <w:t>և</w:t>
            </w:r>
            <w:r w:rsidRPr="003B2786">
              <w:rPr>
                <w:rStyle w:val="Bodytext295pt"/>
                <w:rFonts w:ascii="Sylfaen" w:hAnsi="Sylfaen"/>
                <w:i/>
                <w:sz w:val="24"/>
                <w:szCs w:val="24"/>
              </w:rPr>
              <w:t xml:space="preserve"> բովանդակ</w:t>
            </w:r>
            <w:r w:rsidR="00CB552F">
              <w:rPr>
                <w:rStyle w:val="Bodytext295pt"/>
                <w:rFonts w:ascii="Sylfaen" w:hAnsi="Sylfaen"/>
                <w:i/>
                <w:sz w:val="24"/>
                <w:szCs w:val="24"/>
              </w:rPr>
              <w:t>ային պլանը բավարար են համարում:</w:t>
            </w:r>
          </w:p>
          <w:p w14:paraId="6F01EE77"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Անհրաժեշտ է հատուկ ուշադրություն դարձնել հետ</w:t>
            </w:r>
            <w:r w:rsidR="00C54D75">
              <w:rPr>
                <w:rStyle w:val="Bodytext295pt"/>
                <w:rFonts w:ascii="Sylfaen" w:hAnsi="Sylfaen"/>
                <w:i/>
                <w:sz w:val="24"/>
                <w:szCs w:val="24"/>
              </w:rPr>
              <w:t>և</w:t>
            </w:r>
            <w:r w:rsidRPr="003B2786">
              <w:rPr>
                <w:rStyle w:val="Bodytext295pt"/>
                <w:rFonts w:ascii="Sylfaen" w:hAnsi="Sylfaen"/>
                <w:i/>
                <w:sz w:val="24"/>
                <w:szCs w:val="24"/>
              </w:rPr>
              <w:t>յալ հարցերին.</w:t>
            </w:r>
          </w:p>
          <w:p w14:paraId="38264DD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շարադրման ոճը (լեզվի պարզությունը, նախադասությունների հակիրճ լինելը, ենթակետերի օգտագործումը),</w:t>
            </w:r>
          </w:p>
          <w:p w14:paraId="3084AEEF"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տառատեսակի լրակազմը (տառատեսակի չափը, շեղատառի, ընդգծման, փոքրատառերի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մեծատառերի օգտագործումը),</w:t>
            </w:r>
          </w:p>
          <w:p w14:paraId="6D37D665"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մանրակերտը (հեռավորությունը, ազատ հատվածը, ցայտագունությունը, տեքստի հավասարեցումը դեպի ձախ եզրագիծը, սյունակները),</w:t>
            </w:r>
          </w:p>
          <w:p w14:paraId="1228DD27" w14:textId="77777777" w:rsidR="008C76E0" w:rsidRPr="003B2786" w:rsidRDefault="008C76E0" w:rsidP="00390DAC">
            <w:pPr>
              <w:pStyle w:val="Bodytext180"/>
              <w:shd w:val="clear" w:color="auto" w:fill="auto"/>
              <w:spacing w:before="0" w:after="160" w:line="360" w:lineRule="auto"/>
              <w:ind w:left="62" w:right="79" w:firstLine="532"/>
              <w:jc w:val="both"/>
              <w:rPr>
                <w:rStyle w:val="Bodytext295pt"/>
                <w:rFonts w:ascii="Sylfaen" w:hAnsi="Sylfaen"/>
                <w:i/>
                <w:sz w:val="24"/>
                <w:szCs w:val="24"/>
              </w:rPr>
            </w:pPr>
            <w:r w:rsidRPr="003B2786">
              <w:rPr>
                <w:rStyle w:val="Bodytext295pt"/>
                <w:rFonts w:ascii="Sylfaen" w:hAnsi="Sylfaen"/>
                <w:i/>
                <w:sz w:val="24"/>
                <w:szCs w:val="24"/>
              </w:rPr>
              <w:t xml:space="preserve">վերնագրերը (միանման դիրքը, ընդգծումը), </w:t>
            </w:r>
          </w:p>
          <w:p w14:paraId="44B8C968"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գույնի օգտագործումը (ընթացիկ, համապատասխան ցայտագունությունը):</w:t>
            </w:r>
          </w:p>
          <w:p w14:paraId="00136304" w14:textId="4C31FF04" w:rsidR="008C76E0" w:rsidRPr="008C76E0" w:rsidRDefault="008C76E0" w:rsidP="00390DAC">
            <w:pPr>
              <w:pStyle w:val="Bodytext180"/>
              <w:shd w:val="clear" w:color="auto" w:fill="auto"/>
              <w:spacing w:before="0" w:after="160" w:line="360" w:lineRule="auto"/>
              <w:ind w:left="62" w:right="79" w:firstLine="532"/>
              <w:jc w:val="both"/>
              <w:rPr>
                <w:rFonts w:ascii="Sylfaen" w:hAnsi="Sylfaen"/>
                <w:i/>
                <w:sz w:val="24"/>
                <w:szCs w:val="24"/>
                <w:lang w:val="hy-AM"/>
              </w:rPr>
            </w:pPr>
            <w:r w:rsidRPr="003B2786">
              <w:rPr>
                <w:rStyle w:val="Bodytext295pt"/>
                <w:rFonts w:ascii="Sylfaen" w:hAnsi="Sylfaen"/>
                <w:i/>
                <w:sz w:val="24"/>
                <w:szCs w:val="24"/>
              </w:rPr>
              <w:t xml:space="preserve">Անհրաժեշտ է անցկացնել պատկերագրերի օգտատիրական թեստավորում, քանի որ, ինչպես </w:t>
            </w:r>
            <w:r w:rsidR="005F6A31">
              <w:rPr>
                <w:rStyle w:val="Bodytext295pt"/>
                <w:rFonts w:ascii="Sylfaen" w:hAnsi="Sylfaen"/>
                <w:i/>
                <w:sz w:val="24"/>
                <w:szCs w:val="24"/>
              </w:rPr>
              <w:t>հայտնի</w:t>
            </w:r>
            <w:r w:rsidRPr="003B2786">
              <w:rPr>
                <w:rStyle w:val="Bodytext295pt"/>
                <w:rFonts w:ascii="Sylfaen" w:hAnsi="Sylfaen"/>
                <w:i/>
                <w:sz w:val="24"/>
                <w:szCs w:val="24"/>
              </w:rPr>
              <w:t xml:space="preserve"> է, պացիենտները դրանցում լավ չեն կողմնորոշվում</w:t>
            </w:r>
          </w:p>
          <w:p w14:paraId="02CA47D4" w14:textId="77777777" w:rsidR="008C76E0" w:rsidRPr="008C76E0" w:rsidRDefault="008C76E0" w:rsidP="00390DAC">
            <w:pPr>
              <w:pStyle w:val="Bodytext180"/>
              <w:shd w:val="clear" w:color="auto" w:fill="auto"/>
              <w:spacing w:before="0" w:after="160" w:line="360" w:lineRule="auto"/>
              <w:ind w:left="62" w:right="79" w:firstLine="532"/>
              <w:jc w:val="both"/>
              <w:rPr>
                <w:rFonts w:ascii="Sylfaen" w:hAnsi="Sylfaen"/>
                <w:sz w:val="24"/>
                <w:szCs w:val="24"/>
                <w:lang w:val="hy-AM"/>
              </w:rPr>
            </w:pPr>
            <w:r w:rsidRPr="003B2786">
              <w:rPr>
                <w:rStyle w:val="Bodytext295pt"/>
                <w:rFonts w:ascii="Sylfaen" w:hAnsi="Sylfaen"/>
                <w:i/>
                <w:sz w:val="24"/>
                <w:szCs w:val="24"/>
              </w:rPr>
              <w:t xml:space="preserve">արդյո՞ք ռեսպոնդենտները բախվում են դժվարությունների՝ ԲԿՈՒ-ում (ՆԹ-ում) ներկայացված տեղեկատվություն փնտրելիս </w:t>
            </w:r>
            <w:r w:rsidR="00C54D75">
              <w:rPr>
                <w:rStyle w:val="Bodytext295pt"/>
                <w:rFonts w:ascii="Sylfaen" w:hAnsi="Sylfaen"/>
                <w:i/>
                <w:sz w:val="24"/>
                <w:szCs w:val="24"/>
              </w:rPr>
              <w:t>և</w:t>
            </w:r>
            <w:r w:rsidRPr="003B2786">
              <w:rPr>
                <w:rStyle w:val="Bodytext295pt"/>
                <w:rFonts w:ascii="Sylfaen" w:hAnsi="Sylfaen"/>
                <w:i/>
                <w:sz w:val="24"/>
                <w:szCs w:val="24"/>
              </w:rPr>
              <w:t xml:space="preserve"> ճիշտ կիրառելիս (տեղին լինելու դեպքում):</w:t>
            </w:r>
          </w:p>
        </w:tc>
      </w:tr>
    </w:tbl>
    <w:p w14:paraId="15AA28B7" w14:textId="77777777" w:rsidR="008C76E0" w:rsidRPr="003B2786" w:rsidRDefault="008C76E0" w:rsidP="002E713A">
      <w:pPr>
        <w:spacing w:after="160" w:line="336" w:lineRule="auto"/>
        <w:jc w:val="both"/>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752"/>
        <w:gridCol w:w="1742"/>
      </w:tblGrid>
      <w:tr w:rsidR="008C76E0" w:rsidRPr="003B2786" w14:paraId="67D66FCB" w14:textId="77777777" w:rsidTr="008C76E0">
        <w:trPr>
          <w:jc w:val="center"/>
        </w:trPr>
        <w:tc>
          <w:tcPr>
            <w:tcW w:w="9494" w:type="dxa"/>
            <w:gridSpan w:val="2"/>
            <w:shd w:val="clear" w:color="auto" w:fill="FFFFFF"/>
          </w:tcPr>
          <w:p w14:paraId="3BE8AA34" w14:textId="77777777" w:rsidR="008C76E0" w:rsidRPr="003B2786" w:rsidRDefault="008C76E0" w:rsidP="002E713A">
            <w:pPr>
              <w:pStyle w:val="Bodytext180"/>
              <w:shd w:val="clear" w:color="auto" w:fill="auto"/>
              <w:tabs>
                <w:tab w:val="left" w:pos="1112"/>
              </w:tabs>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5.</w:t>
            </w:r>
            <w:r w:rsidRPr="003B2786">
              <w:rPr>
                <w:rStyle w:val="Bodytext295pt"/>
                <w:rFonts w:ascii="Sylfaen" w:hAnsi="Sylfaen"/>
                <w:sz w:val="24"/>
                <w:szCs w:val="24"/>
              </w:rPr>
              <w:tab/>
              <w:t>Ախտորոշման/ գնահատման որակը</w:t>
            </w:r>
          </w:p>
        </w:tc>
      </w:tr>
      <w:tr w:rsidR="008C76E0" w:rsidRPr="003B2786" w14:paraId="5CD23DC9" w14:textId="77777777" w:rsidTr="008C76E0">
        <w:trPr>
          <w:jc w:val="center"/>
        </w:trPr>
        <w:tc>
          <w:tcPr>
            <w:tcW w:w="7752" w:type="dxa"/>
            <w:shd w:val="clear" w:color="auto" w:fill="FFFFFF"/>
            <w:vAlign w:val="bottom"/>
          </w:tcPr>
          <w:p w14:paraId="288BB5F5" w14:textId="4661526B"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 xml:space="preserve">Արդյո՞ք ԲԿՈՒ-ում (ՆԹ-ում) ի </w:t>
            </w:r>
            <w:r w:rsidR="0056496B">
              <w:rPr>
                <w:rStyle w:val="Bodytext295pt"/>
                <w:rFonts w:ascii="Sylfaen" w:hAnsi="Sylfaen"/>
                <w:sz w:val="24"/>
                <w:szCs w:val="24"/>
              </w:rPr>
              <w:t>դիմում</w:t>
            </w:r>
            <w:r w:rsidRPr="003B2786">
              <w:rPr>
                <w:rStyle w:val="Bodytext295pt"/>
                <w:rFonts w:ascii="Sylfaen" w:hAnsi="Sylfaen"/>
                <w:sz w:val="24"/>
                <w:szCs w:val="24"/>
              </w:rPr>
              <w:t xml:space="preserve"> է բերվել որ</w:t>
            </w:r>
            <w:r w:rsidR="00C54D75">
              <w:rPr>
                <w:rStyle w:val="Bodytext295pt"/>
                <w:rFonts w:ascii="Sylfaen" w:hAnsi="Sylfaen"/>
                <w:sz w:val="24"/>
                <w:szCs w:val="24"/>
              </w:rPr>
              <w:t>և</w:t>
            </w:r>
            <w:r w:rsidRPr="003B2786">
              <w:rPr>
                <w:rStyle w:val="Bodytext295pt"/>
                <w:rFonts w:ascii="Sylfaen" w:hAnsi="Sylfaen"/>
                <w:sz w:val="24"/>
                <w:szCs w:val="24"/>
              </w:rPr>
              <w:t>է թույլ կողմ:</w:t>
            </w:r>
          </w:p>
        </w:tc>
        <w:tc>
          <w:tcPr>
            <w:tcW w:w="1742" w:type="dxa"/>
            <w:shd w:val="clear" w:color="auto" w:fill="FFFFFF"/>
            <w:vAlign w:val="bottom"/>
          </w:tcPr>
          <w:p w14:paraId="12D05179"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1330D333" w14:textId="77777777" w:rsidTr="008C76E0">
        <w:trPr>
          <w:jc w:val="center"/>
        </w:trPr>
        <w:tc>
          <w:tcPr>
            <w:tcW w:w="7752" w:type="dxa"/>
            <w:shd w:val="clear" w:color="auto" w:fill="FFFFFF"/>
          </w:tcPr>
          <w:p w14:paraId="08993605" w14:textId="77777777" w:rsidR="008C76E0" w:rsidRPr="008C76E0" w:rsidRDefault="008C76E0" w:rsidP="002E713A">
            <w:pPr>
              <w:pStyle w:val="Bodytext180"/>
              <w:shd w:val="clear" w:color="auto" w:fill="auto"/>
              <w:spacing w:before="0" w:after="160" w:line="336" w:lineRule="auto"/>
              <w:ind w:firstLine="552"/>
              <w:jc w:val="both"/>
              <w:rPr>
                <w:rFonts w:ascii="Sylfaen" w:hAnsi="Sylfaen"/>
                <w:i/>
                <w:sz w:val="24"/>
                <w:szCs w:val="24"/>
                <w:lang w:val="hy-AM"/>
              </w:rPr>
            </w:pPr>
            <w:r w:rsidRPr="003B2786">
              <w:rPr>
                <w:rStyle w:val="Bodytext295pt"/>
                <w:rFonts w:ascii="Sylfaen" w:hAnsi="Sylfaen"/>
                <w:sz w:val="24"/>
                <w:szCs w:val="24"/>
              </w:rPr>
              <w:t>Արդյո՞ք պատշաճ ձ</w:t>
            </w:r>
            <w:r w:rsidR="00C54D75">
              <w:rPr>
                <w:rStyle w:val="Bodytext295pt"/>
                <w:rFonts w:ascii="Sylfaen" w:hAnsi="Sylfaen"/>
                <w:sz w:val="24"/>
                <w:szCs w:val="24"/>
              </w:rPr>
              <w:t>և</w:t>
            </w:r>
            <w:r w:rsidRPr="003B2786">
              <w:rPr>
                <w:rStyle w:val="Bodytext295pt"/>
                <w:rFonts w:ascii="Sylfaen" w:hAnsi="Sylfaen"/>
                <w:sz w:val="24"/>
                <w:szCs w:val="24"/>
              </w:rPr>
              <w:t>ով վերացվել են թույլ կողմերը:</w:t>
            </w:r>
          </w:p>
        </w:tc>
        <w:tc>
          <w:tcPr>
            <w:tcW w:w="1742" w:type="dxa"/>
            <w:shd w:val="clear" w:color="auto" w:fill="FFFFFF"/>
          </w:tcPr>
          <w:p w14:paraId="78BA03CD"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z w:val="24"/>
                <w:szCs w:val="24"/>
              </w:rPr>
            </w:pPr>
            <w:r w:rsidRPr="003B2786">
              <w:rPr>
                <w:rStyle w:val="Bodytext295pt"/>
                <w:rFonts w:ascii="Sylfaen" w:hAnsi="Sylfaen"/>
                <w:sz w:val="24"/>
                <w:szCs w:val="24"/>
              </w:rPr>
              <w:t>□ այո □ ոչ</w:t>
            </w:r>
          </w:p>
        </w:tc>
      </w:tr>
      <w:tr w:rsidR="008C76E0" w:rsidRPr="003B2786" w14:paraId="02808550" w14:textId="77777777" w:rsidTr="008C76E0">
        <w:trPr>
          <w:jc w:val="center"/>
        </w:trPr>
        <w:tc>
          <w:tcPr>
            <w:tcW w:w="9494" w:type="dxa"/>
            <w:gridSpan w:val="2"/>
            <w:shd w:val="clear" w:color="auto" w:fill="FFFFFF"/>
          </w:tcPr>
          <w:p w14:paraId="53230B97" w14:textId="77777777" w:rsidR="008C76E0" w:rsidRPr="003B2786" w:rsidRDefault="008C76E0" w:rsidP="002E713A">
            <w:pPr>
              <w:pStyle w:val="Bodytext180"/>
              <w:shd w:val="clear" w:color="auto" w:fill="auto"/>
              <w:spacing w:before="0" w:after="160" w:line="336" w:lineRule="auto"/>
              <w:ind w:firstLine="552"/>
              <w:jc w:val="both"/>
              <w:rPr>
                <w:rFonts w:ascii="Sylfaen" w:hAnsi="Sylfaen"/>
                <w:i/>
                <w:spacing w:val="-4"/>
                <w:sz w:val="24"/>
                <w:szCs w:val="24"/>
              </w:rPr>
            </w:pPr>
            <w:r w:rsidRPr="003B2786">
              <w:rPr>
                <w:rStyle w:val="Bodytext295pt"/>
                <w:rFonts w:ascii="Sylfaen" w:hAnsi="Sylfaen"/>
                <w:spacing w:val="-4"/>
                <w:sz w:val="24"/>
                <w:szCs w:val="24"/>
              </w:rPr>
              <w:t>Մեկնաբանություններ (լրացուցիչ տեղեկատվություն) ________________</w:t>
            </w:r>
            <w:r>
              <w:rPr>
                <w:rStyle w:val="Bodytext295pt"/>
                <w:rFonts w:ascii="Sylfaen" w:hAnsi="Sylfaen"/>
                <w:spacing w:val="-4"/>
                <w:sz w:val="24"/>
                <w:szCs w:val="24"/>
              </w:rPr>
              <w:t>_____</w:t>
            </w:r>
            <w:r w:rsidRPr="003B2786">
              <w:rPr>
                <w:rStyle w:val="Bodytext295pt"/>
                <w:rFonts w:ascii="Sylfaen" w:hAnsi="Sylfaen"/>
                <w:spacing w:val="-4"/>
                <w:sz w:val="24"/>
                <w:szCs w:val="24"/>
              </w:rPr>
              <w:t>__</w:t>
            </w:r>
          </w:p>
        </w:tc>
      </w:tr>
    </w:tbl>
    <w:p w14:paraId="1786FF4B" w14:textId="77777777" w:rsidR="008C76E0" w:rsidRPr="003B2786" w:rsidRDefault="008C76E0" w:rsidP="00390DAC">
      <w:pPr>
        <w:spacing w:after="160" w:line="360" w:lineRule="auto"/>
        <w:jc w:val="both"/>
        <w:rPr>
          <w:rFonts w:ascii="Sylfaen" w:hAnsi="Sylfaen"/>
          <w:sz w:val="24"/>
          <w:szCs w:val="24"/>
        </w:rPr>
      </w:pPr>
    </w:p>
    <w:tbl>
      <w:tblPr>
        <w:tblOverlap w:val="never"/>
        <w:tblW w:w="9562" w:type="dxa"/>
        <w:jc w:val="center"/>
        <w:tblLayout w:type="fixed"/>
        <w:tblCellMar>
          <w:left w:w="10" w:type="dxa"/>
          <w:right w:w="10" w:type="dxa"/>
        </w:tblCellMar>
        <w:tblLook w:val="04A0" w:firstRow="1" w:lastRow="0" w:firstColumn="1" w:lastColumn="0" w:noHBand="0" w:noVBand="1"/>
      </w:tblPr>
      <w:tblGrid>
        <w:gridCol w:w="11"/>
        <w:gridCol w:w="6229"/>
        <w:gridCol w:w="11"/>
        <w:gridCol w:w="3311"/>
      </w:tblGrid>
      <w:tr w:rsidR="008C76E0" w:rsidRPr="003B2786" w14:paraId="47127A14" w14:textId="77777777" w:rsidTr="008C76E0">
        <w:trPr>
          <w:jc w:val="center"/>
        </w:trPr>
        <w:tc>
          <w:tcPr>
            <w:tcW w:w="956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0FCA0B0" w14:textId="77777777" w:rsidR="008C76E0" w:rsidRPr="008C76E0" w:rsidRDefault="008C76E0" w:rsidP="00390DAC">
            <w:pPr>
              <w:pStyle w:val="Bodytext180"/>
              <w:shd w:val="clear" w:color="auto" w:fill="auto"/>
              <w:spacing w:before="0" w:after="160" w:line="360" w:lineRule="auto"/>
              <w:ind w:right="91" w:firstLine="0"/>
              <w:jc w:val="center"/>
              <w:rPr>
                <w:rFonts w:ascii="Sylfaen" w:hAnsi="Sylfaen"/>
                <w:b w:val="0"/>
                <w:sz w:val="24"/>
                <w:szCs w:val="24"/>
                <w:lang w:val="hy-AM"/>
              </w:rPr>
            </w:pPr>
            <w:r w:rsidRPr="003B2786">
              <w:rPr>
                <w:rStyle w:val="Bodytext1811pt"/>
                <w:rFonts w:ascii="Sylfaen" w:hAnsi="Sylfaen"/>
                <w:sz w:val="24"/>
                <w:szCs w:val="24"/>
              </w:rPr>
              <w:t>Ախտորոշման (գնահատման) որակի հետ կապված կանոնները</w:t>
            </w:r>
          </w:p>
          <w:p w14:paraId="66AD5282"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1811pt"/>
                <w:rFonts w:ascii="Sylfaen" w:hAnsi="Sylfaen"/>
                <w:sz w:val="24"/>
                <w:szCs w:val="24"/>
              </w:rPr>
              <w:t>Ախտորոշման (գնահատման) որակի ասպեկտները գնահատելիս անհրաժեշտ է հաշվի առնել հետ</w:t>
            </w:r>
            <w:r w:rsidR="00C54D75">
              <w:rPr>
                <w:rStyle w:val="Bodytext1811pt"/>
                <w:rFonts w:ascii="Sylfaen" w:hAnsi="Sylfaen"/>
                <w:sz w:val="24"/>
                <w:szCs w:val="24"/>
              </w:rPr>
              <w:t>և</w:t>
            </w:r>
            <w:r w:rsidRPr="003B2786">
              <w:rPr>
                <w:rStyle w:val="Bodytext1811pt"/>
                <w:rFonts w:ascii="Sylfaen" w:hAnsi="Sylfaen"/>
                <w:sz w:val="24"/>
                <w:szCs w:val="24"/>
              </w:rPr>
              <w:t>յալ հանգամանքները.</w:t>
            </w:r>
          </w:p>
          <w:p w14:paraId="22432583"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lastRenderedPageBreak/>
              <w:t>արդյո՞ք արդյունքները հարաբերակցվում են տեքստի փաստացի մասերի հետ (հնարավորության սահմաններում),</w:t>
            </w:r>
          </w:p>
          <w:p w14:paraId="0502D5BB" w14:textId="0967854F"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փորձ արվել է պարզաբանելու այն, որ ընթերցողների խնդիրներն ի </w:t>
            </w:r>
            <w:r w:rsidR="0056496B">
              <w:rPr>
                <w:rStyle w:val="Bodytext295pt"/>
                <w:rFonts w:ascii="Sylfaen" w:hAnsi="Sylfaen"/>
                <w:i/>
                <w:sz w:val="24"/>
                <w:szCs w:val="24"/>
              </w:rPr>
              <w:t>դիմում</w:t>
            </w:r>
            <w:r w:rsidRPr="003B2786">
              <w:rPr>
                <w:rStyle w:val="Bodytext295pt"/>
                <w:rFonts w:ascii="Sylfaen" w:hAnsi="Sylfaen"/>
                <w:i/>
                <w:sz w:val="24"/>
                <w:szCs w:val="24"/>
              </w:rPr>
              <w:t xml:space="preserve"> են գալիս՝ այդ մասերին հատուկ որոշ առանձնահատկություններով պայմանավորված (օրինակ՝ ինչ-որ բան դժվար էր գտնել անհաջող ընտրված վերնագրի պատճառով, կամ հատվածն անհասկանալի էր՝ կրկնակի ժխտման ձ</w:t>
            </w:r>
            <w:r w:rsidR="00C54D75">
              <w:rPr>
                <w:rStyle w:val="Bodytext295pt"/>
                <w:rFonts w:ascii="Sylfaen" w:hAnsi="Sylfaen"/>
                <w:i/>
                <w:sz w:val="24"/>
                <w:szCs w:val="24"/>
              </w:rPr>
              <w:t>և</w:t>
            </w:r>
            <w:r w:rsidRPr="003B2786">
              <w:rPr>
                <w:rStyle w:val="Bodytext295pt"/>
                <w:rFonts w:ascii="Sylfaen" w:hAnsi="Sylfaen"/>
                <w:i/>
                <w:sz w:val="24"/>
                <w:szCs w:val="24"/>
              </w:rPr>
              <w:t>ն օգտագործելու պատճառով, կամ որոշակի տեղեկատվություն դժվար էր ճիշտ կիրառել՝ որոշ եզրույթների անհասկանալի նշանակության պատճառով),</w:t>
            </w:r>
          </w:p>
          <w:p w14:paraId="58CE10D1"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երկրորդ փուլից հետո վերանայում կատարվե՞լ է արդյոք,</w:t>
            </w:r>
          </w:p>
          <w:p w14:paraId="7468105E"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հստակ որոշվել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պատշաճ ձ</w:t>
            </w:r>
            <w:r w:rsidR="00C54D75">
              <w:rPr>
                <w:rStyle w:val="Bodytext295pt"/>
                <w:rFonts w:ascii="Sylfaen" w:hAnsi="Sylfaen"/>
                <w:i/>
                <w:sz w:val="24"/>
                <w:szCs w:val="24"/>
              </w:rPr>
              <w:t>և</w:t>
            </w:r>
            <w:r w:rsidRPr="003B2786">
              <w:rPr>
                <w:rStyle w:val="Bodytext295pt"/>
                <w:rFonts w:ascii="Sylfaen" w:hAnsi="Sylfaen"/>
                <w:i/>
                <w:sz w:val="24"/>
                <w:szCs w:val="24"/>
              </w:rPr>
              <w:t xml:space="preserve">ով վերացվել են առաջին փուլի արդյունքներով պայմանավորված թույլ կողմերը (օրինակ՝ այն հարցերը, որոնցից ստացվել են ցածր բալեր, արդյո՞ք հիմք են դարձել ԲԿՈՒ-ում (ՆԹ-ում) փոփոխությունների </w:t>
            </w:r>
            <w:r w:rsidR="00C54D75">
              <w:rPr>
                <w:rStyle w:val="Bodytext295pt"/>
                <w:rFonts w:ascii="Sylfaen" w:hAnsi="Sylfaen"/>
                <w:i/>
                <w:sz w:val="24"/>
                <w:szCs w:val="24"/>
              </w:rPr>
              <w:t>և</w:t>
            </w:r>
            <w:r w:rsidRPr="003B2786">
              <w:rPr>
                <w:rStyle w:val="Bodytext295pt"/>
                <w:rFonts w:ascii="Sylfaen" w:hAnsi="Sylfaen"/>
                <w:i/>
                <w:sz w:val="24"/>
                <w:szCs w:val="24"/>
              </w:rPr>
              <w:t xml:space="preserve"> ոճաբանական փոփոխություններ կատարելու համար՝ նպատակ ունենալով բարելավել ընթեռնելիությունը կամ բացառել ավելորդ ու շփոթություն առաջացնող տեղեկատվությունը),</w:t>
            </w:r>
          </w:p>
          <w:p w14:paraId="5748DC4F"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որ հատվածներն են վերանայվել, ինչպե՞ս է դա արվել </w:t>
            </w:r>
            <w:r w:rsidR="00C54D75">
              <w:rPr>
                <w:rStyle w:val="Bodytext295pt"/>
                <w:rFonts w:ascii="Sylfaen" w:hAnsi="Sylfaen"/>
                <w:i/>
                <w:sz w:val="24"/>
                <w:szCs w:val="24"/>
              </w:rPr>
              <w:t>և</w:t>
            </w:r>
            <w:r w:rsidRPr="003B2786">
              <w:rPr>
                <w:rStyle w:val="Bodytext295pt"/>
                <w:rFonts w:ascii="Sylfaen" w:hAnsi="Sylfaen"/>
                <w:i/>
                <w:sz w:val="24"/>
                <w:szCs w:val="24"/>
              </w:rPr>
              <w:t xml:space="preserve"> առաջին փուլի արդյունքներով պայմանավորված ինչպիսի՞ դիտարկումների հիման վրա,</w:t>
            </w:r>
          </w:p>
          <w:p w14:paraId="2138ADC6"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i/>
                <w:sz w:val="24"/>
                <w:szCs w:val="24"/>
                <w:lang w:val="hy-AM"/>
              </w:rPr>
            </w:pPr>
            <w:r w:rsidRPr="003B2786">
              <w:rPr>
                <w:rStyle w:val="Bodytext295pt"/>
                <w:rFonts w:ascii="Sylfaen" w:hAnsi="Sylfaen"/>
                <w:i/>
                <w:sz w:val="24"/>
                <w:szCs w:val="24"/>
              </w:rPr>
              <w:t xml:space="preserve">արդյո՞ք հասկանալի է, թե ինչ դիտարկումների մասին է խոսքը, </w:t>
            </w:r>
            <w:r w:rsidR="00C54D75">
              <w:rPr>
                <w:rStyle w:val="Bodytext295pt"/>
                <w:rFonts w:ascii="Sylfaen" w:hAnsi="Sylfaen"/>
                <w:i/>
                <w:sz w:val="24"/>
                <w:szCs w:val="24"/>
              </w:rPr>
              <w:t>և</w:t>
            </w:r>
            <w:r w:rsidRPr="003B2786">
              <w:rPr>
                <w:rStyle w:val="Bodytext295pt"/>
                <w:rFonts w:ascii="Sylfaen" w:hAnsi="Sylfaen"/>
                <w:i/>
                <w:sz w:val="24"/>
                <w:szCs w:val="24"/>
              </w:rPr>
              <w:t xml:space="preserve"> ինչո՞ւ են դրանք անտեսվել վերանայումն իրականացնելիս,</w:t>
            </w:r>
          </w:p>
          <w:p w14:paraId="166F4E10" w14:textId="77777777" w:rsidR="008C76E0" w:rsidRPr="008C76E0" w:rsidRDefault="008C76E0" w:rsidP="00390DAC">
            <w:pPr>
              <w:pStyle w:val="Bodytext180"/>
              <w:shd w:val="clear" w:color="auto" w:fill="auto"/>
              <w:spacing w:before="0" w:after="160" w:line="360" w:lineRule="auto"/>
              <w:ind w:right="91" w:firstLine="558"/>
              <w:jc w:val="both"/>
              <w:rPr>
                <w:rFonts w:ascii="Sylfaen" w:hAnsi="Sylfaen"/>
                <w:b w:val="0"/>
                <w:sz w:val="24"/>
                <w:szCs w:val="24"/>
                <w:lang w:val="hy-AM"/>
              </w:rPr>
            </w:pPr>
            <w:r w:rsidRPr="003B2786">
              <w:rPr>
                <w:rStyle w:val="Bodytext295pt"/>
                <w:rFonts w:ascii="Sylfaen" w:hAnsi="Sylfaen"/>
                <w:i/>
                <w:sz w:val="24"/>
                <w:szCs w:val="24"/>
              </w:rPr>
              <w:t>իրականում արդյո՞ք փորձարկված փոփոխություններով բարելավվել է ընթեռնելիությունը</w:t>
            </w:r>
            <w:r w:rsidRPr="003B2786">
              <w:rPr>
                <w:rStyle w:val="Bodytext295pt"/>
                <w:rFonts w:ascii="Sylfaen" w:hAnsi="Sylfaen"/>
                <w:b/>
                <w:i/>
                <w:sz w:val="24"/>
                <w:szCs w:val="24"/>
              </w:rPr>
              <w:t>:</w:t>
            </w:r>
          </w:p>
        </w:tc>
      </w:tr>
      <w:tr w:rsidR="008C76E0" w:rsidRPr="003B2786" w14:paraId="4149203B" w14:textId="77777777" w:rsidTr="008C76E0">
        <w:trPr>
          <w:jc w:val="center"/>
        </w:trPr>
        <w:tc>
          <w:tcPr>
            <w:tcW w:w="9562" w:type="dxa"/>
            <w:gridSpan w:val="4"/>
            <w:tcBorders>
              <w:top w:val="single" w:sz="4" w:space="0" w:color="auto"/>
            </w:tcBorders>
            <w:shd w:val="clear" w:color="auto" w:fill="FFFFFF"/>
            <w:vAlign w:val="center"/>
          </w:tcPr>
          <w:p w14:paraId="2AE228EF" w14:textId="77777777" w:rsidR="008C76E0" w:rsidRPr="003B2786" w:rsidRDefault="008C76E0" w:rsidP="00390DAC">
            <w:pPr>
              <w:pStyle w:val="Bodytext180"/>
              <w:shd w:val="clear" w:color="auto" w:fill="auto"/>
              <w:tabs>
                <w:tab w:val="left" w:pos="1118"/>
              </w:tabs>
              <w:spacing w:before="0" w:after="160" w:line="360" w:lineRule="auto"/>
              <w:ind w:firstLine="628"/>
              <w:jc w:val="both"/>
              <w:rPr>
                <w:rFonts w:ascii="Sylfaen" w:hAnsi="Sylfaen"/>
                <w:b w:val="0"/>
                <w:i/>
                <w:sz w:val="24"/>
                <w:szCs w:val="24"/>
              </w:rPr>
            </w:pPr>
            <w:r w:rsidRPr="003B2786">
              <w:rPr>
                <w:rStyle w:val="Bodytext295pt"/>
                <w:rFonts w:ascii="Sylfaen" w:hAnsi="Sylfaen"/>
                <w:sz w:val="24"/>
                <w:szCs w:val="24"/>
              </w:rPr>
              <w:lastRenderedPageBreak/>
              <w:t>6.</w:t>
            </w:r>
            <w:r w:rsidRPr="003B2786">
              <w:rPr>
                <w:rStyle w:val="Bodytext295pt"/>
                <w:rFonts w:ascii="Sylfaen" w:hAnsi="Sylfaen"/>
                <w:sz w:val="24"/>
                <w:szCs w:val="24"/>
              </w:rPr>
              <w:tab/>
              <w:t>Եզրակացությունը</w:t>
            </w:r>
          </w:p>
        </w:tc>
      </w:tr>
      <w:tr w:rsidR="008C76E0" w:rsidRPr="003B2786" w14:paraId="5AF8F70A" w14:textId="77777777" w:rsidTr="008C76E0">
        <w:trPr>
          <w:jc w:val="center"/>
        </w:trPr>
        <w:tc>
          <w:tcPr>
            <w:tcW w:w="6240" w:type="dxa"/>
            <w:gridSpan w:val="2"/>
            <w:shd w:val="clear" w:color="auto" w:fill="FFFFFF"/>
            <w:vAlign w:val="bottom"/>
          </w:tcPr>
          <w:p w14:paraId="2D66553F"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Արդյո՞ք կատարվել են օգտատիրական թեստավորման գլխավոր խնդիրները:</w:t>
            </w:r>
          </w:p>
        </w:tc>
        <w:tc>
          <w:tcPr>
            <w:tcW w:w="3322" w:type="dxa"/>
            <w:gridSpan w:val="2"/>
            <w:shd w:val="clear" w:color="auto" w:fill="FFFFFF"/>
            <w:vAlign w:val="center"/>
          </w:tcPr>
          <w:p w14:paraId="49E1153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3983A045" w14:textId="77777777" w:rsidTr="008C76E0">
        <w:trPr>
          <w:jc w:val="center"/>
        </w:trPr>
        <w:tc>
          <w:tcPr>
            <w:tcW w:w="6240" w:type="dxa"/>
            <w:gridSpan w:val="2"/>
            <w:shd w:val="clear" w:color="auto" w:fill="FFFFFF"/>
          </w:tcPr>
          <w:p w14:paraId="1C2A1CB7" w14:textId="398B0A65" w:rsidR="008C76E0" w:rsidRPr="007F6CA3" w:rsidRDefault="008C76E0" w:rsidP="00390DAC">
            <w:pPr>
              <w:pStyle w:val="Bodytext180"/>
              <w:shd w:val="clear" w:color="auto" w:fill="auto"/>
              <w:spacing w:before="0" w:after="160" w:line="360" w:lineRule="auto"/>
              <w:ind w:firstLine="509"/>
              <w:jc w:val="both"/>
              <w:rPr>
                <w:rStyle w:val="Bodytext295pt"/>
                <w:rFonts w:ascii="Sylfaen" w:hAnsi="Sylfaen"/>
                <w:sz w:val="24"/>
                <w:szCs w:val="24"/>
              </w:rPr>
            </w:pPr>
            <w:r w:rsidRPr="003B2786">
              <w:rPr>
                <w:rStyle w:val="Bodytext295pt"/>
                <w:rFonts w:ascii="Sylfaen" w:hAnsi="Sylfaen"/>
                <w:sz w:val="24"/>
                <w:szCs w:val="24"/>
              </w:rPr>
              <w:t xml:space="preserve">Արդյո՞ք </w:t>
            </w:r>
            <w:r w:rsidR="0056496B">
              <w:rPr>
                <w:rStyle w:val="Bodytext295pt"/>
                <w:rFonts w:ascii="Sylfaen" w:hAnsi="Sylfaen"/>
                <w:sz w:val="24"/>
                <w:szCs w:val="24"/>
              </w:rPr>
              <w:t>դիմումատու</w:t>
            </w:r>
            <w:r w:rsidRPr="003B2786">
              <w:rPr>
                <w:rStyle w:val="Bodytext295pt"/>
                <w:rFonts w:ascii="Sylfaen" w:hAnsi="Sylfaen"/>
                <w:sz w:val="24"/>
                <w:szCs w:val="24"/>
              </w:rPr>
              <w:t>ի եզրակացությունը ճիշտ է:</w:t>
            </w:r>
          </w:p>
          <w:p w14:paraId="169C6968" w14:textId="77777777" w:rsidR="007F6CA3" w:rsidRPr="007F6CA3" w:rsidRDefault="007F6CA3" w:rsidP="00390DAC">
            <w:pPr>
              <w:pStyle w:val="Bodytext180"/>
              <w:shd w:val="clear" w:color="auto" w:fill="auto"/>
              <w:spacing w:before="0" w:after="160" w:line="360" w:lineRule="auto"/>
              <w:ind w:firstLine="509"/>
              <w:jc w:val="both"/>
              <w:rPr>
                <w:rFonts w:ascii="Sylfaen" w:hAnsi="Sylfaen"/>
                <w:b w:val="0"/>
                <w:i/>
                <w:sz w:val="24"/>
                <w:szCs w:val="24"/>
                <w:lang w:val="hy-AM"/>
              </w:rPr>
            </w:pPr>
          </w:p>
        </w:tc>
        <w:tc>
          <w:tcPr>
            <w:tcW w:w="3322" w:type="dxa"/>
            <w:gridSpan w:val="2"/>
            <w:shd w:val="clear" w:color="auto" w:fill="FFFFFF"/>
          </w:tcPr>
          <w:p w14:paraId="098474DB"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t>□ այո □ ոչ</w:t>
            </w:r>
          </w:p>
        </w:tc>
      </w:tr>
      <w:tr w:rsidR="008C76E0" w:rsidRPr="003B2786" w14:paraId="03F17FE1" w14:textId="77777777" w:rsidTr="008C76E0">
        <w:trPr>
          <w:gridBefore w:val="1"/>
          <w:wBefore w:w="11" w:type="dxa"/>
          <w:jc w:val="center"/>
        </w:trPr>
        <w:tc>
          <w:tcPr>
            <w:tcW w:w="6240" w:type="dxa"/>
            <w:gridSpan w:val="2"/>
            <w:shd w:val="clear" w:color="auto" w:fill="FFFFFF"/>
          </w:tcPr>
          <w:p w14:paraId="09A83F13"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i/>
                <w:sz w:val="24"/>
                <w:szCs w:val="24"/>
              </w:rPr>
            </w:pPr>
            <w:r w:rsidRPr="003B2786">
              <w:rPr>
                <w:rStyle w:val="Bodytext295pt"/>
                <w:rFonts w:ascii="Sylfaen" w:hAnsi="Sylfaen"/>
                <w:sz w:val="24"/>
                <w:szCs w:val="24"/>
              </w:rPr>
              <w:lastRenderedPageBreak/>
              <w:t>Մեթոդաբանության վերաբերյալ ընդհանուր տպավորությունը</w:t>
            </w:r>
          </w:p>
        </w:tc>
        <w:tc>
          <w:tcPr>
            <w:tcW w:w="3311" w:type="dxa"/>
            <w:shd w:val="clear" w:color="auto" w:fill="FFFFFF"/>
            <w:vAlign w:val="bottom"/>
          </w:tcPr>
          <w:p w14:paraId="168884BC"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0E58E90E"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6923A4BD" w14:textId="77777777" w:rsidTr="008C76E0">
        <w:trPr>
          <w:gridBefore w:val="1"/>
          <w:wBefore w:w="11" w:type="dxa"/>
          <w:jc w:val="center"/>
        </w:trPr>
        <w:tc>
          <w:tcPr>
            <w:tcW w:w="6240" w:type="dxa"/>
            <w:gridSpan w:val="2"/>
            <w:shd w:val="clear" w:color="auto" w:fill="FFFFFF"/>
          </w:tcPr>
          <w:p w14:paraId="62C37A48" w14:textId="77777777" w:rsidR="008C76E0" w:rsidRPr="008C76E0" w:rsidRDefault="008C76E0" w:rsidP="00390DAC">
            <w:pPr>
              <w:pStyle w:val="Bodytext180"/>
              <w:shd w:val="clear" w:color="auto" w:fill="auto"/>
              <w:spacing w:before="0" w:after="160" w:line="360" w:lineRule="auto"/>
              <w:ind w:firstLine="509"/>
              <w:jc w:val="both"/>
              <w:rPr>
                <w:rFonts w:ascii="Sylfaen" w:hAnsi="Sylfaen"/>
                <w:b w:val="0"/>
                <w:i/>
                <w:sz w:val="24"/>
                <w:szCs w:val="24"/>
                <w:lang w:val="hy-AM"/>
              </w:rPr>
            </w:pPr>
            <w:r w:rsidRPr="003B2786">
              <w:rPr>
                <w:rStyle w:val="Bodytext295pt"/>
                <w:rFonts w:ascii="Sylfaen" w:hAnsi="Sylfaen"/>
                <w:sz w:val="24"/>
                <w:szCs w:val="24"/>
              </w:rPr>
              <w:t>Ներդիր թերթիկի կառուցվածքի վերաբերյալ ընդհանուր տպավորությունը</w:t>
            </w:r>
          </w:p>
        </w:tc>
        <w:tc>
          <w:tcPr>
            <w:tcW w:w="3311" w:type="dxa"/>
            <w:shd w:val="clear" w:color="auto" w:fill="FFFFFF"/>
          </w:tcPr>
          <w:p w14:paraId="0037080F"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դրական</w:t>
            </w:r>
          </w:p>
          <w:p w14:paraId="5A3CCA24" w14:textId="77777777" w:rsidR="008C76E0" w:rsidRPr="003B2786" w:rsidRDefault="008C76E0" w:rsidP="00390DAC">
            <w:pPr>
              <w:pStyle w:val="Bodytext180"/>
              <w:shd w:val="clear" w:color="auto" w:fill="auto"/>
              <w:spacing w:before="0" w:after="160" w:line="360" w:lineRule="auto"/>
              <w:ind w:firstLine="509"/>
              <w:jc w:val="both"/>
              <w:rPr>
                <w:rFonts w:ascii="Sylfaen" w:hAnsi="Sylfaen"/>
                <w:b w:val="0"/>
                <w:sz w:val="24"/>
                <w:szCs w:val="24"/>
              </w:rPr>
            </w:pPr>
            <w:r w:rsidRPr="003B2786">
              <w:rPr>
                <w:rFonts w:ascii="Sylfaen" w:hAnsi="Sylfaen"/>
                <w:b w:val="0"/>
                <w:sz w:val="24"/>
                <w:szCs w:val="24"/>
              </w:rPr>
              <w:t>□</w:t>
            </w:r>
            <w:r w:rsidRPr="003B2786">
              <w:rPr>
                <w:rFonts w:ascii="Sylfaen" w:hAnsi="Sylfaen"/>
                <w:sz w:val="24"/>
                <w:szCs w:val="24"/>
              </w:rPr>
              <w:t xml:space="preserve"> </w:t>
            </w:r>
            <w:r w:rsidRPr="003B2786">
              <w:rPr>
                <w:rStyle w:val="Bodytext295pt"/>
                <w:rFonts w:ascii="Sylfaen" w:hAnsi="Sylfaen"/>
                <w:sz w:val="24"/>
                <w:szCs w:val="24"/>
              </w:rPr>
              <w:t>բացասական</w:t>
            </w:r>
          </w:p>
        </w:tc>
      </w:tr>
      <w:tr w:rsidR="008C76E0" w:rsidRPr="003B2786" w14:paraId="511F63FA" w14:textId="77777777" w:rsidTr="008C76E0">
        <w:trPr>
          <w:gridBefore w:val="1"/>
          <w:wBefore w:w="11" w:type="dxa"/>
          <w:jc w:val="center"/>
        </w:trPr>
        <w:tc>
          <w:tcPr>
            <w:tcW w:w="9551" w:type="dxa"/>
            <w:gridSpan w:val="3"/>
            <w:shd w:val="clear" w:color="auto" w:fill="FFFFFF"/>
          </w:tcPr>
          <w:p w14:paraId="1773D0D6" w14:textId="77777777" w:rsidR="008C76E0" w:rsidRPr="003B2786" w:rsidRDefault="008C76E0" w:rsidP="00390DAC">
            <w:pPr>
              <w:pStyle w:val="Bodytext180"/>
              <w:shd w:val="clear" w:color="auto" w:fill="auto"/>
              <w:spacing w:before="0" w:after="160" w:line="360" w:lineRule="auto"/>
              <w:ind w:firstLine="0"/>
              <w:rPr>
                <w:rFonts w:ascii="Sylfaen" w:hAnsi="Sylfaen"/>
                <w:b w:val="0"/>
                <w:i/>
                <w:sz w:val="24"/>
                <w:szCs w:val="24"/>
              </w:rPr>
            </w:pPr>
            <w:r w:rsidRPr="003B2786">
              <w:rPr>
                <w:rStyle w:val="Bodytext295pt"/>
                <w:rFonts w:ascii="Sylfaen" w:hAnsi="Sylfaen"/>
                <w:sz w:val="24"/>
                <w:szCs w:val="24"/>
              </w:rPr>
              <w:t>ԵԶՐԱԿԱՑՈՒԹՅՈՒՆ (ՌԵԶՅՈՒՄԵ)</w:t>
            </w:r>
            <w:r>
              <w:rPr>
                <w:rStyle w:val="Bodytext295pt"/>
                <w:rFonts w:ascii="Sylfaen" w:hAnsi="Sylfaen"/>
                <w:sz w:val="24"/>
                <w:szCs w:val="24"/>
              </w:rPr>
              <w:t xml:space="preserve"> </w:t>
            </w:r>
            <w:r w:rsidRPr="003B2786">
              <w:rPr>
                <w:rStyle w:val="Bodytext295pt"/>
                <w:rFonts w:ascii="Sylfaen" w:hAnsi="Sylfaen"/>
                <w:sz w:val="24"/>
                <w:szCs w:val="24"/>
              </w:rPr>
              <w:t>______________________</w:t>
            </w:r>
            <w:r>
              <w:rPr>
                <w:rStyle w:val="Bodytext295pt"/>
                <w:rFonts w:ascii="Sylfaen" w:hAnsi="Sylfaen"/>
                <w:sz w:val="24"/>
                <w:szCs w:val="24"/>
                <w:lang w:val="en-US"/>
              </w:rPr>
              <w:t>____</w:t>
            </w:r>
            <w:r w:rsidRPr="003B2786">
              <w:rPr>
                <w:rStyle w:val="Bodytext295pt"/>
                <w:rFonts w:ascii="Sylfaen" w:hAnsi="Sylfaen"/>
                <w:sz w:val="24"/>
                <w:szCs w:val="24"/>
              </w:rPr>
              <w:t>___</w:t>
            </w:r>
            <w:r>
              <w:rPr>
                <w:rStyle w:val="Bodytext295pt"/>
                <w:rFonts w:ascii="Sylfaen" w:hAnsi="Sylfaen"/>
                <w:sz w:val="24"/>
                <w:szCs w:val="24"/>
                <w:lang w:val="en-US"/>
              </w:rPr>
              <w:t>_______________</w:t>
            </w:r>
            <w:r w:rsidRPr="003B2786">
              <w:rPr>
                <w:rStyle w:val="Bodytext295pt"/>
                <w:rFonts w:ascii="Sylfaen" w:hAnsi="Sylfaen"/>
                <w:sz w:val="24"/>
                <w:szCs w:val="24"/>
                <w:lang w:val="en-US"/>
              </w:rPr>
              <w:t>__</w:t>
            </w:r>
            <w:r>
              <w:rPr>
                <w:rStyle w:val="Bodytext295pt"/>
                <w:rFonts w:ascii="Sylfaen" w:hAnsi="Sylfaen"/>
                <w:sz w:val="24"/>
                <w:szCs w:val="24"/>
                <w:lang w:val="en-US"/>
              </w:rPr>
              <w:t xml:space="preserve">_____ </w:t>
            </w:r>
            <w:r w:rsidRPr="003B2786">
              <w:rPr>
                <w:rStyle w:val="Bodytext295pt"/>
                <w:rFonts w:ascii="Sylfaen" w:hAnsi="Sylfaen"/>
                <w:sz w:val="24"/>
                <w:szCs w:val="24"/>
                <w:lang w:val="en-US"/>
              </w:rPr>
              <w:t>________________________________________________________________________________________________________________________________________________________________________________________________________</w:t>
            </w:r>
            <w:r>
              <w:rPr>
                <w:rStyle w:val="Bodytext295pt"/>
                <w:rFonts w:ascii="Sylfaen" w:hAnsi="Sylfaen"/>
                <w:sz w:val="24"/>
                <w:szCs w:val="24"/>
                <w:lang w:val="en-US"/>
              </w:rPr>
              <w:t>______________________________</w:t>
            </w:r>
            <w:r w:rsidRPr="003B2786">
              <w:rPr>
                <w:rStyle w:val="Bodytext295pt"/>
                <w:rFonts w:ascii="Sylfaen" w:hAnsi="Sylfaen"/>
                <w:sz w:val="24"/>
                <w:szCs w:val="24"/>
                <w:lang w:val="en-US"/>
              </w:rPr>
              <w:t>____________________________</w:t>
            </w:r>
          </w:p>
        </w:tc>
      </w:tr>
    </w:tbl>
    <w:p w14:paraId="3C4B5D8A" w14:textId="77777777" w:rsidR="008C76E0" w:rsidRPr="003B2786" w:rsidRDefault="008C76E0" w:rsidP="00390DAC">
      <w:pPr>
        <w:spacing w:after="160" w:line="360" w:lineRule="auto"/>
        <w:ind w:right="-1"/>
        <w:jc w:val="both"/>
        <w:rPr>
          <w:rFonts w:ascii="Sylfaen" w:hAnsi="Sylfaen"/>
          <w:sz w:val="24"/>
          <w:szCs w:val="24"/>
          <w:lang w:val="en-US"/>
        </w:rPr>
      </w:pPr>
    </w:p>
    <w:tbl>
      <w:tblPr>
        <w:tblStyle w:val="TableGrid"/>
        <w:tblW w:w="9561" w:type="dxa"/>
        <w:tblInd w:w="-130" w:type="dxa"/>
        <w:tblLook w:val="04A0" w:firstRow="1" w:lastRow="0" w:firstColumn="1" w:lastColumn="0" w:noHBand="0" w:noVBand="1"/>
      </w:tblPr>
      <w:tblGrid>
        <w:gridCol w:w="9561"/>
      </w:tblGrid>
      <w:tr w:rsidR="008C76E0" w:rsidRPr="003B2786" w14:paraId="5275D1AD" w14:textId="77777777" w:rsidTr="008C76E0">
        <w:tc>
          <w:tcPr>
            <w:tcW w:w="9561" w:type="dxa"/>
          </w:tcPr>
          <w:p w14:paraId="32504A4E" w14:textId="77777777" w:rsidR="008C76E0" w:rsidRPr="003B2786" w:rsidRDefault="008C76E0" w:rsidP="00390DAC">
            <w:pPr>
              <w:pStyle w:val="Bodytext80"/>
              <w:shd w:val="clear" w:color="auto" w:fill="auto"/>
              <w:spacing w:before="0" w:after="160" w:line="360" w:lineRule="auto"/>
              <w:outlineLvl w:val="0"/>
              <w:rPr>
                <w:rFonts w:ascii="Sylfaen" w:hAnsi="Sylfaen"/>
                <w:b w:val="0"/>
                <w:sz w:val="24"/>
                <w:szCs w:val="24"/>
              </w:rPr>
            </w:pPr>
            <w:r w:rsidRPr="003B2786">
              <w:rPr>
                <w:rFonts w:ascii="Sylfaen" w:hAnsi="Sylfaen"/>
                <w:b w:val="0"/>
                <w:sz w:val="24"/>
                <w:szCs w:val="24"/>
              </w:rPr>
              <w:t>Թեստավորման արդյունքների հիման վրա եզրակացության հետ կապված կանոնները</w:t>
            </w:r>
          </w:p>
          <w:p w14:paraId="4D3F5DA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Style w:val="Bodytext295pt"/>
                <w:rFonts w:ascii="Sylfaen" w:hAnsi="Sylfaen"/>
                <w:sz w:val="24"/>
                <w:szCs w:val="24"/>
              </w:rPr>
              <w:t xml:space="preserve">Տվյալ բաժնում անհրաժեշտ է շարադրել անցկացված օգտատիրական թեստավորման </w:t>
            </w:r>
            <w:r w:rsidR="00C54D75">
              <w:rPr>
                <w:rStyle w:val="Bodytext295pt"/>
                <w:rFonts w:ascii="Sylfaen" w:hAnsi="Sylfaen"/>
                <w:sz w:val="24"/>
                <w:szCs w:val="24"/>
              </w:rPr>
              <w:t>և</w:t>
            </w:r>
            <w:r w:rsidRPr="003B2786">
              <w:rPr>
                <w:rStyle w:val="Bodytext295pt"/>
                <w:rFonts w:ascii="Sylfaen" w:hAnsi="Sylfaen"/>
                <w:sz w:val="24"/>
                <w:szCs w:val="24"/>
              </w:rPr>
              <w:t xml:space="preserve"> ԲԿՈՒ-ի (ՆԹ-ի) ընթեռնելիության (որակի) վերաբերյալ ընդհանուր կարծիքը</w:t>
            </w:r>
            <w:r w:rsidRPr="003B2786">
              <w:rPr>
                <w:rFonts w:ascii="Sylfaen" w:hAnsi="Sylfaen"/>
                <w:sz w:val="24"/>
                <w:szCs w:val="24"/>
              </w:rPr>
              <w:t xml:space="preserve"> </w:t>
            </w:r>
            <w:r w:rsidRPr="003B2786">
              <w:rPr>
                <w:rFonts w:ascii="Sylfaen" w:hAnsi="Sylfaen"/>
                <w:b w:val="0"/>
                <w:sz w:val="24"/>
                <w:szCs w:val="24"/>
              </w:rPr>
              <w:t>[ամփոփիչ հաշվետվության մեջ օգտագործելու համար օգտատիրական թեստավորման արդյունքների գնահատման վերաբերյալ հաշվետվության ամբողջական տեքստը կարող է ավելացվել տեղեկատվական նպատակներով]</w:t>
            </w:r>
          </w:p>
          <w:p w14:paraId="12F8251D" w14:textId="77777777" w:rsidR="008C76E0" w:rsidRPr="003B2786" w:rsidRDefault="008C76E0" w:rsidP="00390DAC">
            <w:pPr>
              <w:pStyle w:val="Bodytext80"/>
              <w:shd w:val="clear" w:color="auto" w:fill="auto"/>
              <w:spacing w:before="0" w:after="160" w:line="360" w:lineRule="auto"/>
              <w:ind w:firstLine="567"/>
              <w:jc w:val="both"/>
              <w:rPr>
                <w:rFonts w:ascii="Sylfaen" w:hAnsi="Sylfaen"/>
                <w:b w:val="0"/>
                <w:sz w:val="24"/>
                <w:szCs w:val="24"/>
              </w:rPr>
            </w:pPr>
            <w:r w:rsidRPr="003B2786">
              <w:rPr>
                <w:rFonts w:ascii="Sylfaen" w:hAnsi="Sylfaen"/>
                <w:b w:val="0"/>
                <w:sz w:val="24"/>
                <w:szCs w:val="24"/>
              </w:rPr>
              <w:t>Եզրակացությունը պատրաստելիս անհրաժեշտ է հաշվի առնել հետ</w:t>
            </w:r>
            <w:r w:rsidR="00C54D75">
              <w:rPr>
                <w:rFonts w:ascii="Sylfaen" w:hAnsi="Sylfaen"/>
                <w:b w:val="0"/>
                <w:sz w:val="24"/>
                <w:szCs w:val="24"/>
              </w:rPr>
              <w:t>և</w:t>
            </w:r>
            <w:r w:rsidRPr="003B2786">
              <w:rPr>
                <w:rFonts w:ascii="Sylfaen" w:hAnsi="Sylfaen"/>
                <w:b w:val="0"/>
                <w:sz w:val="24"/>
                <w:szCs w:val="24"/>
              </w:rPr>
              <w:t>յալ հանգամանքները.</w:t>
            </w:r>
          </w:p>
          <w:p w14:paraId="54B4766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Խնդիրները.</w:t>
            </w:r>
          </w:p>
          <w:p w14:paraId="2A2FB925"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ԲԿՈՒ-ի (ՆԹ-ի) վերջնական տարբերակում արտացոլել պացիենտների թեստավորման արդյունքներն ու հաշվի առնել նրանց կարիքները՝ նրանց կողմից դեղապատրաստուկի անվտանգ </w:t>
            </w:r>
            <w:r w:rsidR="00C54D75">
              <w:rPr>
                <w:rFonts w:ascii="Sylfaen" w:hAnsi="Sylfaen"/>
                <w:b w:val="0"/>
                <w:sz w:val="24"/>
                <w:szCs w:val="24"/>
              </w:rPr>
              <w:t>և</w:t>
            </w:r>
            <w:r w:rsidRPr="003B2786">
              <w:rPr>
                <w:rFonts w:ascii="Sylfaen" w:hAnsi="Sylfaen"/>
                <w:b w:val="0"/>
                <w:sz w:val="24"/>
                <w:szCs w:val="24"/>
              </w:rPr>
              <w:t xml:space="preserve"> արդյունավետ օգտագործման նպատակով,</w:t>
            </w:r>
          </w:p>
          <w:p w14:paraId="03DE84DB"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անցկացնել ԲԿՈՒ-ի (ՆԹ-ի) ընթեռնելիության գնահատում,</w:t>
            </w:r>
          </w:p>
          <w:p w14:paraId="0A9B72D2" w14:textId="21B2E1DE"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ի </w:t>
            </w:r>
            <w:r w:rsidR="0056496B">
              <w:rPr>
                <w:rFonts w:ascii="Sylfaen" w:hAnsi="Sylfaen"/>
                <w:b w:val="0"/>
                <w:sz w:val="24"/>
                <w:szCs w:val="24"/>
              </w:rPr>
              <w:t>դիմում</w:t>
            </w:r>
            <w:r w:rsidRPr="003B2786">
              <w:rPr>
                <w:rFonts w:ascii="Sylfaen" w:hAnsi="Sylfaen"/>
                <w:b w:val="0"/>
                <w:sz w:val="24"/>
                <w:szCs w:val="24"/>
              </w:rPr>
              <w:t xml:space="preserve"> բերել տեղեկատվության շարադրման </w:t>
            </w:r>
            <w:r w:rsidR="00C54D75">
              <w:rPr>
                <w:rFonts w:ascii="Sylfaen" w:hAnsi="Sylfaen"/>
                <w:b w:val="0"/>
                <w:sz w:val="24"/>
                <w:szCs w:val="24"/>
              </w:rPr>
              <w:t>և</w:t>
            </w:r>
            <w:r w:rsidRPr="003B2786">
              <w:rPr>
                <w:rFonts w:ascii="Sylfaen" w:hAnsi="Sylfaen"/>
                <w:b w:val="0"/>
                <w:sz w:val="24"/>
                <w:szCs w:val="24"/>
              </w:rPr>
              <w:t xml:space="preserve"> բովանդակության հետ կապված խնդիրները,</w:t>
            </w:r>
          </w:p>
          <w:p w14:paraId="08908AAE"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lastRenderedPageBreak/>
              <w:t>նկարագրել ներդիր թերթիկում կատարվող հնարավոր փոփոխությունները՝ դրանց ընթեռնելիությունը բարելավելու նպատակով:</w:t>
            </w:r>
          </w:p>
          <w:p w14:paraId="2C24E504"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Հաշվետվությունից պետք է պարզ լինի, թե թեստի որ արդյունքների վրա է հիմնված այս կամ այն եզրակացությունը:</w:t>
            </w:r>
          </w:p>
          <w:p w14:paraId="1E729FF3"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Անհրաժեշտ է վերլուծել, թե արդյո՞ք թեստավորման եզրակացությունները համապատասխանում են արդյունքներին կամ հաշվի առնելով փաստացի արդյունքները՝  ներկայացնում են չափազանց բարենպաստ իրավիճակ:</w:t>
            </w:r>
          </w:p>
          <w:p w14:paraId="2E6EEA6C"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վերլուծել, թե որքան պարզ, հակիրճ, լավ </w:t>
            </w:r>
            <w:r w:rsidR="00C54D75">
              <w:rPr>
                <w:rFonts w:ascii="Sylfaen" w:hAnsi="Sylfaen"/>
                <w:b w:val="0"/>
                <w:sz w:val="24"/>
                <w:szCs w:val="24"/>
              </w:rPr>
              <w:t>և</w:t>
            </w:r>
            <w:r w:rsidRPr="003B2786">
              <w:rPr>
                <w:rFonts w:ascii="Sylfaen" w:hAnsi="Sylfaen"/>
                <w:b w:val="0"/>
                <w:sz w:val="24"/>
                <w:szCs w:val="24"/>
              </w:rPr>
              <w:t xml:space="preserve"> կառուցվածքավորված են շարադրված եզրակացությունները:</w:t>
            </w:r>
          </w:p>
          <w:p w14:paraId="7023ED19" w14:textId="77777777" w:rsidR="008C76E0" w:rsidRPr="003B2786" w:rsidRDefault="008C76E0" w:rsidP="00390DAC">
            <w:pPr>
              <w:pStyle w:val="Bodytext90"/>
              <w:shd w:val="clear" w:color="auto" w:fill="auto"/>
              <w:spacing w:after="160" w:line="360" w:lineRule="auto"/>
              <w:ind w:firstLine="567"/>
              <w:rPr>
                <w:rFonts w:ascii="Sylfaen" w:hAnsi="Sylfaen"/>
                <w:b w:val="0"/>
                <w:sz w:val="24"/>
                <w:szCs w:val="24"/>
              </w:rPr>
            </w:pPr>
            <w:r w:rsidRPr="003B2786">
              <w:rPr>
                <w:rFonts w:ascii="Sylfaen" w:hAnsi="Sylfaen"/>
                <w:b w:val="0"/>
                <w:sz w:val="24"/>
                <w:szCs w:val="24"/>
              </w:rPr>
              <w:t xml:space="preserve">Հարկ է նշել՝ արդյո՞ք հաշվի են առնվել պացիենտների առաջարկությունները </w:t>
            </w:r>
            <w:r w:rsidR="00C54D75">
              <w:rPr>
                <w:rFonts w:ascii="Sylfaen" w:hAnsi="Sylfaen"/>
                <w:b w:val="0"/>
                <w:sz w:val="24"/>
                <w:szCs w:val="24"/>
              </w:rPr>
              <w:t>և</w:t>
            </w:r>
            <w:r w:rsidRPr="003B2786">
              <w:rPr>
                <w:rFonts w:ascii="Sylfaen" w:hAnsi="Sylfaen"/>
                <w:b w:val="0"/>
                <w:sz w:val="24"/>
                <w:szCs w:val="24"/>
              </w:rPr>
              <w:t xml:space="preserve"> եզրակացությունները՝ ներդիր թերթիկի տեքստը վերանայելիս:</w:t>
            </w:r>
          </w:p>
          <w:p w14:paraId="00A3E415"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2D4BDD4E" w14:textId="77777777" w:rsidR="008C76E0" w:rsidRPr="003B2786" w:rsidRDefault="008C76E0" w:rsidP="00390DAC">
            <w:pPr>
              <w:spacing w:after="160" w:line="360" w:lineRule="auto"/>
              <w:jc w:val="both"/>
              <w:rPr>
                <w:rFonts w:ascii="Sylfaen" w:hAnsi="Sylfaen"/>
                <w:sz w:val="24"/>
                <w:szCs w:val="24"/>
              </w:rPr>
            </w:pPr>
          </w:p>
        </w:tc>
      </w:tr>
    </w:tbl>
    <w:p w14:paraId="0CF9B99C" w14:textId="77777777" w:rsidR="0075661F" w:rsidRDefault="0075661F" w:rsidP="008C76E0">
      <w:pPr>
        <w:ind w:right="-1"/>
        <w:jc w:val="both"/>
        <w:rPr>
          <w:rFonts w:ascii="Sylfaen" w:hAnsi="Sylfaen"/>
          <w:sz w:val="24"/>
          <w:szCs w:val="24"/>
        </w:rPr>
        <w:sectPr w:rsidR="0075661F" w:rsidSect="009211E1">
          <w:pgSz w:w="11906" w:h="16838" w:code="9"/>
          <w:pgMar w:top="1418" w:right="1418" w:bottom="1418" w:left="1418" w:header="709" w:footer="709" w:gutter="0"/>
          <w:pgNumType w:start="1"/>
          <w:cols w:space="708"/>
          <w:titlePg/>
          <w:docGrid w:linePitch="360"/>
        </w:sectPr>
      </w:pPr>
    </w:p>
    <w:p w14:paraId="382416F0" w14:textId="77777777" w:rsidR="00803CF9" w:rsidRDefault="00803CF9" w:rsidP="007F6CA3">
      <w:pPr>
        <w:spacing w:after="160" w:line="360" w:lineRule="auto"/>
        <w:ind w:left="4253" w:right="-1"/>
        <w:jc w:val="center"/>
        <w:outlineLvl w:val="0"/>
        <w:rPr>
          <w:rFonts w:ascii="Sylfaen" w:hAnsi="Sylfaen"/>
          <w:sz w:val="24"/>
          <w:szCs w:val="24"/>
        </w:rPr>
      </w:pPr>
    </w:p>
    <w:p w14:paraId="218D6750" w14:textId="77777777" w:rsidR="00803CF9" w:rsidRDefault="00803CF9" w:rsidP="007F6CA3">
      <w:pPr>
        <w:spacing w:after="160" w:line="360" w:lineRule="auto"/>
        <w:ind w:left="4253" w:right="-1"/>
        <w:jc w:val="center"/>
        <w:outlineLvl w:val="0"/>
        <w:rPr>
          <w:rFonts w:ascii="Sylfaen" w:hAnsi="Sylfaen"/>
          <w:sz w:val="24"/>
          <w:szCs w:val="24"/>
        </w:rPr>
      </w:pPr>
    </w:p>
    <w:p w14:paraId="63524E64" w14:textId="414224DF" w:rsidR="008C76E0" w:rsidRPr="003B2786" w:rsidRDefault="008C76E0" w:rsidP="007F6CA3">
      <w:pPr>
        <w:spacing w:after="160" w:line="360" w:lineRule="auto"/>
        <w:ind w:left="4253" w:right="-1"/>
        <w:jc w:val="center"/>
        <w:outlineLvl w:val="0"/>
        <w:rPr>
          <w:rFonts w:ascii="Sylfaen" w:hAnsi="Sylfaen"/>
          <w:sz w:val="24"/>
          <w:szCs w:val="24"/>
        </w:rPr>
      </w:pPr>
      <w:r w:rsidRPr="003B2786">
        <w:rPr>
          <w:rFonts w:ascii="Sylfaen" w:hAnsi="Sylfaen"/>
          <w:sz w:val="24"/>
          <w:szCs w:val="24"/>
        </w:rPr>
        <w:t>ՀԱՎԵԼՎԱԾ ԹԻՎ 17</w:t>
      </w:r>
    </w:p>
    <w:p w14:paraId="67963F6C" w14:textId="77777777" w:rsidR="008C76E0" w:rsidRPr="003B2786" w:rsidRDefault="008C76E0" w:rsidP="007F6CA3">
      <w:pPr>
        <w:spacing w:after="160" w:line="360" w:lineRule="auto"/>
        <w:ind w:left="4253" w:right="-1"/>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0A0BFE0F" w14:textId="77777777" w:rsidR="008C76E0" w:rsidRPr="003B2786" w:rsidRDefault="008C76E0" w:rsidP="007F6CA3">
      <w:pPr>
        <w:spacing w:after="160" w:line="360" w:lineRule="auto"/>
        <w:ind w:left="5103"/>
        <w:rPr>
          <w:rFonts w:ascii="Sylfaen" w:hAnsi="Sylfaen"/>
          <w:sz w:val="24"/>
          <w:szCs w:val="24"/>
        </w:rPr>
      </w:pPr>
    </w:p>
    <w:p w14:paraId="091E478A" w14:textId="77777777" w:rsidR="008C76E0" w:rsidRPr="008C76E0" w:rsidRDefault="008C76E0" w:rsidP="007F6CA3">
      <w:pPr>
        <w:pStyle w:val="Heading130"/>
        <w:shd w:val="clear" w:color="auto" w:fill="auto"/>
        <w:spacing w:before="0" w:after="160" w:line="360" w:lineRule="auto"/>
        <w:ind w:left="567" w:right="567"/>
        <w:rPr>
          <w:rFonts w:ascii="Sylfaen" w:hAnsi="Sylfaen"/>
          <w:b/>
          <w:sz w:val="24"/>
          <w:szCs w:val="24"/>
          <w:lang w:val="hy-AM"/>
        </w:rPr>
      </w:pPr>
      <w:bookmarkStart w:id="11" w:name="bookmark12"/>
      <w:r w:rsidRPr="008C76E0">
        <w:rPr>
          <w:rStyle w:val="Heading13Spacing1pt"/>
          <w:rFonts w:ascii="Sylfaen" w:hAnsi="Sylfaen"/>
          <w:b/>
          <w:sz w:val="24"/>
          <w:szCs w:val="24"/>
          <w:lang w:val="hy-AM"/>
        </w:rPr>
        <w:t>ՁԵՎ</w:t>
      </w:r>
      <w:bookmarkEnd w:id="11"/>
    </w:p>
    <w:p w14:paraId="69AB348C" w14:textId="77777777" w:rsidR="008C76E0" w:rsidRPr="003B2786" w:rsidRDefault="008C76E0" w:rsidP="007F6CA3">
      <w:pPr>
        <w:spacing w:after="160" w:line="360" w:lineRule="auto"/>
        <w:ind w:left="567" w:right="566"/>
        <w:jc w:val="center"/>
        <w:rPr>
          <w:rFonts w:ascii="Sylfaen" w:hAnsi="Sylfaen"/>
          <w:b/>
          <w:sz w:val="24"/>
          <w:szCs w:val="24"/>
        </w:rPr>
      </w:pPr>
      <w:r w:rsidRPr="003B2786">
        <w:rPr>
          <w:rFonts w:ascii="Sylfaen" w:hAnsi="Sylfaen"/>
          <w:b/>
          <w:sz w:val="24"/>
          <w:szCs w:val="24"/>
        </w:rPr>
        <w:t>բժշկական կիրառման համար նախատեսված դեղապատրաստուկի գրանցման հավաստագրի</w:t>
      </w:r>
    </w:p>
    <w:p w14:paraId="680BE0A2" w14:textId="77777777" w:rsidR="008C76E0" w:rsidRPr="003B2786" w:rsidRDefault="008C76E0" w:rsidP="007F6CA3">
      <w:pPr>
        <w:spacing w:after="160" w:line="360" w:lineRule="auto"/>
        <w:ind w:right="-1"/>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2AB597C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ԳՐԱՆՑՄԱՆ ՀԱՎԱՍՏԱԳԻՐ</w:t>
      </w:r>
    </w:p>
    <w:p w14:paraId="138C3025" w14:textId="77777777" w:rsidR="008C76E0" w:rsidRPr="003B2786" w:rsidRDefault="008C76E0" w:rsidP="007F6CA3">
      <w:pPr>
        <w:spacing w:after="160" w:line="360" w:lineRule="auto"/>
        <w:ind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w:t>
      </w:r>
    </w:p>
    <w:p w14:paraId="041FAB2D" w14:textId="77777777" w:rsidR="008C76E0" w:rsidRPr="003B2786" w:rsidRDefault="008C76E0" w:rsidP="007F6CA3">
      <w:pPr>
        <w:spacing w:after="160" w:line="360" w:lineRule="auto"/>
        <w:jc w:val="center"/>
        <w:rPr>
          <w:rFonts w:ascii="Sylfaen" w:hAnsi="Sylfaen"/>
          <w:sz w:val="24"/>
          <w:szCs w:val="24"/>
        </w:rPr>
      </w:pPr>
    </w:p>
    <w:p w14:paraId="4DF68582" w14:textId="77777777" w:rsidR="008C76E0" w:rsidRPr="003B2786" w:rsidRDefault="008C76E0" w:rsidP="007F6CA3">
      <w:pPr>
        <w:spacing w:after="160" w:line="360" w:lineRule="auto"/>
        <w:ind w:right="-1"/>
        <w:jc w:val="center"/>
        <w:outlineLvl w:val="0"/>
        <w:rPr>
          <w:rFonts w:ascii="Sylfaen" w:hAnsi="Sylfaen"/>
          <w:sz w:val="24"/>
          <w:szCs w:val="24"/>
        </w:rPr>
      </w:pPr>
      <w:r w:rsidRPr="003B2786">
        <w:rPr>
          <w:rFonts w:ascii="Sylfaen" w:hAnsi="Sylfaen"/>
          <w:sz w:val="24"/>
          <w:szCs w:val="24"/>
        </w:rPr>
        <w:t>ԴՊ-թիվ (XXXXXX)-(YY-ZZ)</w:t>
      </w:r>
    </w:p>
    <w:p w14:paraId="056CB3DB" w14:textId="77777777" w:rsidR="008C76E0" w:rsidRPr="003B2786" w:rsidRDefault="008C76E0" w:rsidP="007F6CA3">
      <w:pPr>
        <w:spacing w:after="160" w:line="360" w:lineRule="auto"/>
        <w:jc w:val="center"/>
        <w:outlineLvl w:val="0"/>
        <w:rPr>
          <w:rFonts w:ascii="Sylfaen" w:hAnsi="Sylfaen"/>
          <w:sz w:val="24"/>
          <w:szCs w:val="24"/>
        </w:rPr>
      </w:pPr>
      <w:r w:rsidRPr="003B2786">
        <w:rPr>
          <w:rFonts w:ascii="Sylfaen" w:hAnsi="Sylfaen"/>
          <w:sz w:val="24"/>
          <w:szCs w:val="24"/>
        </w:rPr>
        <w:t>____________________________________</w:t>
      </w:r>
    </w:p>
    <w:p w14:paraId="363C940D" w14:textId="77777777" w:rsidR="008C76E0" w:rsidRPr="008C76E0" w:rsidRDefault="008C76E0" w:rsidP="007F6CA3">
      <w:pPr>
        <w:pStyle w:val="Bodytext40"/>
        <w:shd w:val="clear" w:color="auto" w:fill="auto"/>
        <w:spacing w:before="0" w:after="160" w:line="360" w:lineRule="auto"/>
        <w:rPr>
          <w:rFonts w:ascii="Sylfaen" w:hAnsi="Sylfaen"/>
          <w:b w:val="0"/>
          <w:sz w:val="20"/>
          <w:szCs w:val="20"/>
          <w:lang w:val="hy-AM"/>
        </w:rPr>
      </w:pPr>
      <w:r w:rsidRPr="008C76E0">
        <w:rPr>
          <w:rFonts w:ascii="Sylfaen" w:hAnsi="Sylfaen"/>
          <w:b w:val="0"/>
          <w:sz w:val="24"/>
          <w:szCs w:val="24"/>
          <w:lang w:val="hy-AM"/>
        </w:rPr>
        <w:t>(</w:t>
      </w:r>
      <w:r w:rsidRPr="008C76E0">
        <w:rPr>
          <w:rFonts w:ascii="Sylfaen" w:hAnsi="Sylfaen"/>
          <w:b w:val="0"/>
          <w:sz w:val="20"/>
          <w:szCs w:val="20"/>
          <w:lang w:val="hy-AM"/>
        </w:rPr>
        <w:t>գրանցման հավաստագրի համարը)</w:t>
      </w:r>
    </w:p>
    <w:p w14:paraId="4D08991A" w14:textId="77777777" w:rsidR="008C76E0" w:rsidRPr="008C76E0" w:rsidRDefault="008C76E0" w:rsidP="007F6CA3">
      <w:pPr>
        <w:pStyle w:val="Bodytext40"/>
        <w:shd w:val="clear" w:color="auto" w:fill="auto"/>
        <w:spacing w:before="0" w:after="160" w:line="360" w:lineRule="auto"/>
        <w:rPr>
          <w:rFonts w:ascii="Sylfaen" w:hAnsi="Sylfaen"/>
          <w:b w:val="0"/>
          <w:sz w:val="24"/>
          <w:szCs w:val="24"/>
          <w:lang w:val="hy-AM"/>
        </w:rPr>
      </w:pPr>
    </w:p>
    <w:p w14:paraId="5DE6673D" w14:textId="77777777" w:rsidR="008C76E0" w:rsidRPr="003B2786" w:rsidRDefault="008C76E0" w:rsidP="007F6CA3">
      <w:pPr>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համապատասխան՝ սույն գրանցման հավաստագիրը տրվել է.</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3"/>
        <w:gridCol w:w="6048"/>
        <w:gridCol w:w="3134"/>
      </w:tblGrid>
      <w:tr w:rsidR="008C76E0" w:rsidRPr="003B2786" w14:paraId="07E31565" w14:textId="77777777" w:rsidTr="008C76E0">
        <w:trPr>
          <w:jc w:val="center"/>
        </w:trPr>
        <w:tc>
          <w:tcPr>
            <w:tcW w:w="403" w:type="dxa"/>
            <w:tcBorders>
              <w:top w:val="single" w:sz="4" w:space="0" w:color="auto"/>
              <w:left w:val="single" w:sz="4" w:space="0" w:color="auto"/>
            </w:tcBorders>
            <w:shd w:val="clear" w:color="auto" w:fill="FFFFFF"/>
            <w:vAlign w:val="center"/>
          </w:tcPr>
          <w:p w14:paraId="6B1385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1</w:t>
            </w:r>
          </w:p>
        </w:tc>
        <w:tc>
          <w:tcPr>
            <w:tcW w:w="6048" w:type="dxa"/>
            <w:tcBorders>
              <w:top w:val="single" w:sz="4" w:space="0" w:color="auto"/>
              <w:left w:val="single" w:sz="4" w:space="0" w:color="auto"/>
            </w:tcBorders>
            <w:shd w:val="clear" w:color="auto" w:fill="FFFFFF"/>
            <w:vAlign w:val="bottom"/>
          </w:tcPr>
          <w:p w14:paraId="66F4458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անվանումը.</w:t>
            </w:r>
          </w:p>
        </w:tc>
        <w:tc>
          <w:tcPr>
            <w:tcW w:w="3134" w:type="dxa"/>
            <w:tcBorders>
              <w:top w:val="single" w:sz="4" w:space="0" w:color="auto"/>
              <w:left w:val="single" w:sz="4" w:space="0" w:color="auto"/>
              <w:right w:val="single" w:sz="4" w:space="0" w:color="auto"/>
            </w:tcBorders>
            <w:shd w:val="clear" w:color="auto" w:fill="FFFFFF"/>
          </w:tcPr>
          <w:p w14:paraId="441C2C7A" w14:textId="77777777" w:rsidR="008C76E0" w:rsidRPr="003B2786" w:rsidRDefault="008C76E0" w:rsidP="008C76E0">
            <w:pPr>
              <w:spacing w:after="120" w:line="240" w:lineRule="auto"/>
              <w:jc w:val="both"/>
              <w:rPr>
                <w:rFonts w:ascii="Sylfaen" w:hAnsi="Sylfaen"/>
                <w:sz w:val="24"/>
                <w:szCs w:val="24"/>
              </w:rPr>
            </w:pPr>
          </w:p>
        </w:tc>
      </w:tr>
      <w:tr w:rsidR="008C76E0" w:rsidRPr="003B2786" w14:paraId="1BFFFF00" w14:textId="77777777" w:rsidTr="008C76E0">
        <w:trPr>
          <w:jc w:val="center"/>
        </w:trPr>
        <w:tc>
          <w:tcPr>
            <w:tcW w:w="403" w:type="dxa"/>
            <w:tcBorders>
              <w:top w:val="single" w:sz="4" w:space="0" w:color="auto"/>
              <w:left w:val="single" w:sz="4" w:space="0" w:color="auto"/>
            </w:tcBorders>
            <w:shd w:val="clear" w:color="auto" w:fill="FFFFFF"/>
            <w:vAlign w:val="center"/>
          </w:tcPr>
          <w:p w14:paraId="2DB88B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2</w:t>
            </w:r>
          </w:p>
        </w:tc>
        <w:tc>
          <w:tcPr>
            <w:tcW w:w="6048" w:type="dxa"/>
            <w:tcBorders>
              <w:top w:val="single" w:sz="4" w:space="0" w:color="auto"/>
              <w:left w:val="single" w:sz="4" w:space="0" w:color="auto"/>
            </w:tcBorders>
            <w:shd w:val="clear" w:color="auto" w:fill="FFFFFF"/>
            <w:vAlign w:val="bottom"/>
          </w:tcPr>
          <w:p w14:paraId="1BD41AD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իրավատիրոջ հասցեն.</w:t>
            </w:r>
          </w:p>
        </w:tc>
        <w:tc>
          <w:tcPr>
            <w:tcW w:w="3134" w:type="dxa"/>
            <w:tcBorders>
              <w:top w:val="single" w:sz="4" w:space="0" w:color="auto"/>
              <w:left w:val="single" w:sz="4" w:space="0" w:color="auto"/>
              <w:right w:val="single" w:sz="4" w:space="0" w:color="auto"/>
            </w:tcBorders>
            <w:shd w:val="clear" w:color="auto" w:fill="FFFFFF"/>
          </w:tcPr>
          <w:p w14:paraId="331732A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561F4DDD" w14:textId="77777777" w:rsidTr="008C76E0">
        <w:trPr>
          <w:jc w:val="center"/>
        </w:trPr>
        <w:tc>
          <w:tcPr>
            <w:tcW w:w="403" w:type="dxa"/>
            <w:tcBorders>
              <w:top w:val="single" w:sz="4" w:space="0" w:color="auto"/>
              <w:left w:val="single" w:sz="4" w:space="0" w:color="auto"/>
            </w:tcBorders>
            <w:shd w:val="clear" w:color="auto" w:fill="FFFFFF"/>
            <w:vAlign w:val="bottom"/>
          </w:tcPr>
          <w:p w14:paraId="46E668E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3</w:t>
            </w:r>
          </w:p>
        </w:tc>
        <w:tc>
          <w:tcPr>
            <w:tcW w:w="6048" w:type="dxa"/>
            <w:tcBorders>
              <w:top w:val="single" w:sz="4" w:space="0" w:color="auto"/>
              <w:left w:val="single" w:sz="4" w:space="0" w:color="auto"/>
            </w:tcBorders>
            <w:shd w:val="clear" w:color="auto" w:fill="FFFFFF"/>
            <w:vAlign w:val="bottom"/>
          </w:tcPr>
          <w:p w14:paraId="1053782E"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ամսաթիվը.</w:t>
            </w:r>
          </w:p>
        </w:tc>
        <w:tc>
          <w:tcPr>
            <w:tcW w:w="3134" w:type="dxa"/>
            <w:tcBorders>
              <w:top w:val="single" w:sz="4" w:space="0" w:color="auto"/>
              <w:left w:val="single" w:sz="4" w:space="0" w:color="auto"/>
              <w:right w:val="single" w:sz="4" w:space="0" w:color="auto"/>
            </w:tcBorders>
            <w:shd w:val="clear" w:color="auto" w:fill="FFFFFF"/>
          </w:tcPr>
          <w:p w14:paraId="6D3645C3"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E2DB6FB" w14:textId="77777777" w:rsidTr="008C76E0">
        <w:trPr>
          <w:jc w:val="center"/>
        </w:trPr>
        <w:tc>
          <w:tcPr>
            <w:tcW w:w="403" w:type="dxa"/>
            <w:tcBorders>
              <w:top w:val="single" w:sz="4" w:space="0" w:color="auto"/>
              <w:left w:val="single" w:sz="4" w:space="0" w:color="auto"/>
            </w:tcBorders>
            <w:shd w:val="clear" w:color="auto" w:fill="FFFFFF"/>
          </w:tcPr>
          <w:p w14:paraId="09FAF3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lastRenderedPageBreak/>
              <w:t>4</w:t>
            </w:r>
          </w:p>
        </w:tc>
        <w:tc>
          <w:tcPr>
            <w:tcW w:w="6048" w:type="dxa"/>
            <w:tcBorders>
              <w:top w:val="single" w:sz="4" w:space="0" w:color="auto"/>
              <w:left w:val="single" w:sz="4" w:space="0" w:color="auto"/>
            </w:tcBorders>
            <w:shd w:val="clear" w:color="auto" w:fill="FFFFFF"/>
            <w:vAlign w:val="bottom"/>
          </w:tcPr>
          <w:p w14:paraId="7B51A6AC"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հավաստագրի գործողության ժամկետը լրանալու ամսաթիվը.</w:t>
            </w:r>
          </w:p>
        </w:tc>
        <w:tc>
          <w:tcPr>
            <w:tcW w:w="3134" w:type="dxa"/>
            <w:tcBorders>
              <w:top w:val="single" w:sz="4" w:space="0" w:color="auto"/>
              <w:left w:val="single" w:sz="4" w:space="0" w:color="auto"/>
              <w:right w:val="single" w:sz="4" w:space="0" w:color="auto"/>
            </w:tcBorders>
            <w:shd w:val="clear" w:color="auto" w:fill="FFFFFF"/>
          </w:tcPr>
          <w:p w14:paraId="067413F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8469640" w14:textId="77777777" w:rsidTr="008C76E0">
        <w:trPr>
          <w:jc w:val="center"/>
        </w:trPr>
        <w:tc>
          <w:tcPr>
            <w:tcW w:w="403" w:type="dxa"/>
            <w:tcBorders>
              <w:top w:val="single" w:sz="4" w:space="0" w:color="auto"/>
              <w:left w:val="single" w:sz="4" w:space="0" w:color="auto"/>
            </w:tcBorders>
            <w:shd w:val="clear" w:color="auto" w:fill="FFFFFF"/>
          </w:tcPr>
          <w:p w14:paraId="2AD178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5</w:t>
            </w:r>
          </w:p>
        </w:tc>
        <w:tc>
          <w:tcPr>
            <w:tcW w:w="6048" w:type="dxa"/>
            <w:tcBorders>
              <w:top w:val="single" w:sz="4" w:space="0" w:color="auto"/>
              <w:left w:val="single" w:sz="4" w:space="0" w:color="auto"/>
            </w:tcBorders>
            <w:shd w:val="clear" w:color="auto" w:fill="FFFFFF"/>
            <w:vAlign w:val="bottom"/>
          </w:tcPr>
          <w:p w14:paraId="40F66AE7"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Գրանցումը (վերագրանցումը) հաստատելու ամսաթիվը.</w:t>
            </w:r>
          </w:p>
        </w:tc>
        <w:tc>
          <w:tcPr>
            <w:tcW w:w="3134" w:type="dxa"/>
            <w:tcBorders>
              <w:top w:val="single" w:sz="4" w:space="0" w:color="auto"/>
              <w:left w:val="single" w:sz="4" w:space="0" w:color="auto"/>
              <w:right w:val="single" w:sz="4" w:space="0" w:color="auto"/>
            </w:tcBorders>
            <w:shd w:val="clear" w:color="auto" w:fill="FFFFFF"/>
          </w:tcPr>
          <w:p w14:paraId="486FE8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0A6BD7A9" w14:textId="77777777" w:rsidTr="008C76E0">
        <w:trPr>
          <w:jc w:val="center"/>
        </w:trPr>
        <w:tc>
          <w:tcPr>
            <w:tcW w:w="403" w:type="dxa"/>
            <w:tcBorders>
              <w:top w:val="single" w:sz="4" w:space="0" w:color="auto"/>
              <w:left w:val="single" w:sz="4" w:space="0" w:color="auto"/>
            </w:tcBorders>
            <w:shd w:val="clear" w:color="auto" w:fill="FFFFFF"/>
            <w:vAlign w:val="center"/>
          </w:tcPr>
          <w:p w14:paraId="16FECEC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6</w:t>
            </w:r>
          </w:p>
        </w:tc>
        <w:tc>
          <w:tcPr>
            <w:tcW w:w="6048" w:type="dxa"/>
            <w:tcBorders>
              <w:top w:val="single" w:sz="4" w:space="0" w:color="auto"/>
              <w:left w:val="single" w:sz="4" w:space="0" w:color="auto"/>
            </w:tcBorders>
            <w:shd w:val="clear" w:color="auto" w:fill="FFFFFF"/>
            <w:vAlign w:val="bottom"/>
          </w:tcPr>
          <w:p w14:paraId="48502EC4"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295pt"/>
                <w:rFonts w:ascii="Sylfaen" w:hAnsi="Sylfaen"/>
                <w:sz w:val="24"/>
                <w:szCs w:val="24"/>
              </w:rPr>
              <w:t>Գրանցման հավաստագրում փոփոխություններ կատարելու (վերաձ</w:t>
            </w:r>
            <w:r w:rsidR="00C54D75">
              <w:rPr>
                <w:rStyle w:val="Bodytext295pt"/>
                <w:rFonts w:ascii="Sylfaen" w:hAnsi="Sylfaen"/>
                <w:sz w:val="24"/>
                <w:szCs w:val="24"/>
              </w:rPr>
              <w:t>և</w:t>
            </w:r>
            <w:r w:rsidRPr="003B2786">
              <w:rPr>
                <w:rStyle w:val="Bodytext295pt"/>
                <w:rFonts w:ascii="Sylfaen" w:hAnsi="Sylfaen"/>
                <w:sz w:val="24"/>
                <w:szCs w:val="24"/>
              </w:rPr>
              <w:t>ակերպելու) ամսաթիվը.</w:t>
            </w:r>
          </w:p>
        </w:tc>
        <w:tc>
          <w:tcPr>
            <w:tcW w:w="3134" w:type="dxa"/>
            <w:tcBorders>
              <w:top w:val="single" w:sz="4" w:space="0" w:color="auto"/>
              <w:left w:val="single" w:sz="4" w:space="0" w:color="auto"/>
              <w:right w:val="single" w:sz="4" w:space="0" w:color="auto"/>
            </w:tcBorders>
            <w:shd w:val="clear" w:color="auto" w:fill="FFFFFF"/>
          </w:tcPr>
          <w:p w14:paraId="471EFA0E"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BDC16F" w14:textId="77777777" w:rsidTr="008C76E0">
        <w:trPr>
          <w:jc w:val="center"/>
        </w:trPr>
        <w:tc>
          <w:tcPr>
            <w:tcW w:w="403" w:type="dxa"/>
            <w:tcBorders>
              <w:top w:val="single" w:sz="4" w:space="0" w:color="auto"/>
              <w:left w:val="single" w:sz="4" w:space="0" w:color="auto"/>
              <w:bottom w:val="single" w:sz="4" w:space="0" w:color="auto"/>
            </w:tcBorders>
            <w:shd w:val="clear" w:color="auto" w:fill="FFFFFF"/>
            <w:vAlign w:val="bottom"/>
          </w:tcPr>
          <w:p w14:paraId="663D2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7</w:t>
            </w:r>
          </w:p>
        </w:tc>
        <w:tc>
          <w:tcPr>
            <w:tcW w:w="6048" w:type="dxa"/>
            <w:tcBorders>
              <w:top w:val="single" w:sz="4" w:space="0" w:color="auto"/>
              <w:left w:val="single" w:sz="4" w:space="0" w:color="auto"/>
              <w:bottom w:val="single" w:sz="4" w:space="0" w:color="auto"/>
            </w:tcBorders>
            <w:shd w:val="clear" w:color="auto" w:fill="FFFFFF"/>
            <w:vAlign w:val="bottom"/>
          </w:tcPr>
          <w:p w14:paraId="536B8C9F" w14:textId="77777777" w:rsidR="008C76E0" w:rsidRPr="003B2786" w:rsidRDefault="008C76E0" w:rsidP="008C76E0">
            <w:pPr>
              <w:pStyle w:val="Bodytext180"/>
              <w:shd w:val="clear" w:color="auto" w:fill="auto"/>
              <w:spacing w:before="0" w:after="120" w:line="240" w:lineRule="auto"/>
              <w:ind w:left="129" w:firstLine="0"/>
              <w:rPr>
                <w:rFonts w:ascii="Sylfaen" w:hAnsi="Sylfaen"/>
                <w:b w:val="0"/>
                <w:i/>
                <w:sz w:val="24"/>
                <w:szCs w:val="24"/>
              </w:rPr>
            </w:pPr>
            <w:r w:rsidRPr="003B2786">
              <w:rPr>
                <w:rStyle w:val="Bodytext1811pt"/>
                <w:rFonts w:ascii="Sylfaen" w:hAnsi="Sylfaen"/>
                <w:sz w:val="24"/>
                <w:szCs w:val="24"/>
              </w:rPr>
              <w:t>Ռեֆերենտ</w:t>
            </w:r>
            <w:r w:rsidRPr="003B2786">
              <w:rPr>
                <w:rStyle w:val="Bodytext295pt"/>
                <w:rFonts w:ascii="Sylfaen" w:hAnsi="Sylfaen"/>
                <w:sz w:val="24"/>
                <w:szCs w:val="24"/>
              </w:rPr>
              <w:t xml:space="preserve"> պետությունում գրանցման ամսաթիվը.</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14:paraId="5FFE8EEB" w14:textId="77777777" w:rsidR="008C76E0" w:rsidRPr="003B2786" w:rsidRDefault="008C76E0" w:rsidP="008C76E0">
            <w:pPr>
              <w:spacing w:after="120" w:line="240" w:lineRule="auto"/>
              <w:jc w:val="both"/>
              <w:rPr>
                <w:rFonts w:ascii="Sylfaen" w:hAnsi="Sylfaen"/>
                <w:sz w:val="24"/>
                <w:szCs w:val="24"/>
              </w:rPr>
            </w:pPr>
          </w:p>
        </w:tc>
      </w:tr>
    </w:tbl>
    <w:p w14:paraId="61B2A706" w14:textId="77777777" w:rsidR="008C76E0" w:rsidRPr="003B2786" w:rsidRDefault="00C54D75" w:rsidP="008C76E0">
      <w:pPr>
        <w:pBdr>
          <w:bottom w:val="single" w:sz="6" w:space="1" w:color="auto"/>
        </w:pBdr>
        <w:jc w:val="both"/>
        <w:rPr>
          <w:rFonts w:ascii="Sylfaen" w:hAnsi="Sylfaen"/>
          <w:sz w:val="24"/>
          <w:szCs w:val="24"/>
        </w:rPr>
      </w:pPr>
      <w:r>
        <w:rPr>
          <w:rFonts w:ascii="Sylfaen" w:hAnsi="Sylfaen"/>
          <w:sz w:val="24"/>
          <w:szCs w:val="24"/>
        </w:rPr>
        <w:t>և</w:t>
      </w:r>
      <w:r w:rsidR="008C76E0" w:rsidRPr="003B2786">
        <w:rPr>
          <w:rFonts w:ascii="Sylfaen" w:hAnsi="Sylfaen"/>
          <w:sz w:val="24"/>
          <w:szCs w:val="24"/>
        </w:rPr>
        <w:t xml:space="preserve"> հաստատում է, որ դեղապատրաստուկը գրանցված է </w:t>
      </w:r>
      <w:r>
        <w:rPr>
          <w:rFonts w:ascii="Sylfaen" w:hAnsi="Sylfaen"/>
          <w:sz w:val="24"/>
          <w:szCs w:val="24"/>
        </w:rPr>
        <w:t>և</w:t>
      </w:r>
      <w:r w:rsidR="008C76E0" w:rsidRPr="003B2786">
        <w:rPr>
          <w:rFonts w:ascii="Sylfaen" w:hAnsi="Sylfaen"/>
          <w:sz w:val="24"/>
          <w:szCs w:val="24"/>
        </w:rPr>
        <w:t xml:space="preserve"> թույլատրված է </w:t>
      </w:r>
    </w:p>
    <w:p w14:paraId="1DBE7A02" w14:textId="77777777" w:rsidR="008C76E0" w:rsidRPr="00B65002" w:rsidRDefault="008C76E0" w:rsidP="008C76E0">
      <w:pPr>
        <w:spacing w:after="0"/>
        <w:jc w:val="center"/>
        <w:rPr>
          <w:rFonts w:ascii="Sylfaen" w:hAnsi="Sylfaen"/>
          <w:sz w:val="20"/>
          <w:szCs w:val="20"/>
        </w:rPr>
      </w:pPr>
      <w:r w:rsidRPr="00B65002">
        <w:rPr>
          <w:rFonts w:ascii="Sylfaen" w:hAnsi="Sylfaen"/>
          <w:sz w:val="20"/>
          <w:szCs w:val="20"/>
        </w:rPr>
        <w:t>(Եվրասիական տնտեսական միության անդամ պետություն) տարածքում բժշկական նպատակներով կիրառման</w:t>
      </w:r>
    </w:p>
    <w:p w14:paraId="2F5B56A0" w14:textId="77777777" w:rsidR="008C76E0" w:rsidRPr="003B2786" w:rsidRDefault="008C76E0" w:rsidP="008C76E0">
      <w:pPr>
        <w:spacing w:after="120" w:line="240" w:lineRule="auto"/>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92"/>
        <w:gridCol w:w="1954"/>
        <w:gridCol w:w="552"/>
        <w:gridCol w:w="2165"/>
      </w:tblGrid>
      <w:tr w:rsidR="008C76E0" w:rsidRPr="003B2786" w14:paraId="333EE341" w14:textId="77777777" w:rsidTr="008C76E0">
        <w:trPr>
          <w:jc w:val="center"/>
        </w:trPr>
        <w:tc>
          <w:tcPr>
            <w:tcW w:w="9586" w:type="dxa"/>
            <w:gridSpan w:val="5"/>
            <w:shd w:val="clear" w:color="auto" w:fill="FFFFFF"/>
          </w:tcPr>
          <w:p w14:paraId="5E16FEEE"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Գրանցված դեղապատրաստուկի վերաբերյալ տեղեկատվությունը</w:t>
            </w:r>
          </w:p>
        </w:tc>
      </w:tr>
      <w:tr w:rsidR="008C76E0" w:rsidRPr="003B2786" w14:paraId="01549871" w14:textId="77777777" w:rsidTr="008C76E0">
        <w:trPr>
          <w:jc w:val="center"/>
        </w:trPr>
        <w:tc>
          <w:tcPr>
            <w:tcW w:w="523" w:type="dxa"/>
            <w:tcBorders>
              <w:top w:val="single" w:sz="4" w:space="0" w:color="auto"/>
              <w:left w:val="single" w:sz="4" w:space="0" w:color="auto"/>
            </w:tcBorders>
            <w:shd w:val="clear" w:color="auto" w:fill="FFFFFF"/>
            <w:vAlign w:val="bottom"/>
          </w:tcPr>
          <w:p w14:paraId="0EA0F29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8</w:t>
            </w:r>
          </w:p>
        </w:tc>
        <w:tc>
          <w:tcPr>
            <w:tcW w:w="6898" w:type="dxa"/>
            <w:gridSpan w:val="3"/>
            <w:tcBorders>
              <w:top w:val="single" w:sz="4" w:space="0" w:color="auto"/>
              <w:left w:val="single" w:sz="4" w:space="0" w:color="auto"/>
            </w:tcBorders>
            <w:shd w:val="clear" w:color="auto" w:fill="FFFFFF"/>
            <w:vAlign w:val="bottom"/>
          </w:tcPr>
          <w:p w14:paraId="4F86F9EC"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առ</w:t>
            </w:r>
            <w:r w:rsidR="00C54D75">
              <w:rPr>
                <w:rStyle w:val="Bodytext295pt"/>
                <w:rFonts w:ascii="Sylfaen" w:hAnsi="Sylfaen"/>
                <w:sz w:val="24"/>
                <w:szCs w:val="24"/>
              </w:rPr>
              <w:t>և</w:t>
            </w:r>
            <w:r w:rsidRPr="003B2786">
              <w:rPr>
                <w:rStyle w:val="Bodytext295pt"/>
                <w:rFonts w:ascii="Sylfaen" w:hAnsi="Sylfaen"/>
                <w:sz w:val="24"/>
                <w:szCs w:val="24"/>
              </w:rPr>
              <w:t>տրային անվանումը.</w:t>
            </w:r>
          </w:p>
        </w:tc>
        <w:tc>
          <w:tcPr>
            <w:tcW w:w="2165" w:type="dxa"/>
            <w:tcBorders>
              <w:top w:val="single" w:sz="4" w:space="0" w:color="auto"/>
              <w:left w:val="single" w:sz="4" w:space="0" w:color="auto"/>
              <w:right w:val="single" w:sz="4" w:space="0" w:color="auto"/>
            </w:tcBorders>
            <w:shd w:val="clear" w:color="auto" w:fill="FFFFFF"/>
          </w:tcPr>
          <w:p w14:paraId="082EAAA1"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D8E1DB6" w14:textId="77777777" w:rsidTr="008C76E0">
        <w:trPr>
          <w:jc w:val="center"/>
        </w:trPr>
        <w:tc>
          <w:tcPr>
            <w:tcW w:w="523" w:type="dxa"/>
            <w:tcBorders>
              <w:top w:val="single" w:sz="4" w:space="0" w:color="auto"/>
              <w:left w:val="single" w:sz="4" w:space="0" w:color="auto"/>
            </w:tcBorders>
            <w:shd w:val="clear" w:color="auto" w:fill="FFFFFF"/>
          </w:tcPr>
          <w:p w14:paraId="2568D2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9</w:t>
            </w:r>
          </w:p>
        </w:tc>
        <w:tc>
          <w:tcPr>
            <w:tcW w:w="6898" w:type="dxa"/>
            <w:gridSpan w:val="3"/>
            <w:tcBorders>
              <w:top w:val="single" w:sz="4" w:space="0" w:color="auto"/>
              <w:left w:val="single" w:sz="4" w:space="0" w:color="auto"/>
            </w:tcBorders>
            <w:shd w:val="clear" w:color="auto" w:fill="FFFFFF"/>
            <w:vAlign w:val="bottom"/>
          </w:tcPr>
          <w:p w14:paraId="41524D33"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Միջազգային չարտոնագրված անվանումը (ՄՉԱ) կամ համընդհանուր (խմբային) անվանումը կամ ակտիվ դեղագործական բաղադրամասի քիմիական անվանումը (ՄՉԱ-ի բացակայության դեպքում).</w:t>
            </w:r>
          </w:p>
        </w:tc>
        <w:tc>
          <w:tcPr>
            <w:tcW w:w="2165" w:type="dxa"/>
            <w:tcBorders>
              <w:top w:val="single" w:sz="4" w:space="0" w:color="auto"/>
              <w:left w:val="single" w:sz="4" w:space="0" w:color="auto"/>
              <w:right w:val="single" w:sz="4" w:space="0" w:color="auto"/>
            </w:tcBorders>
            <w:shd w:val="clear" w:color="auto" w:fill="FFFFFF"/>
          </w:tcPr>
          <w:p w14:paraId="0D68839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2D860FCF" w14:textId="77777777" w:rsidTr="008C76E0">
        <w:trPr>
          <w:jc w:val="center"/>
        </w:trPr>
        <w:tc>
          <w:tcPr>
            <w:tcW w:w="523" w:type="dxa"/>
            <w:tcBorders>
              <w:top w:val="single" w:sz="4" w:space="0" w:color="auto"/>
              <w:left w:val="single" w:sz="4" w:space="0" w:color="auto"/>
            </w:tcBorders>
            <w:shd w:val="clear" w:color="auto" w:fill="FFFFFF"/>
            <w:vAlign w:val="bottom"/>
          </w:tcPr>
          <w:p w14:paraId="5016BCB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10</w:t>
            </w:r>
          </w:p>
        </w:tc>
        <w:tc>
          <w:tcPr>
            <w:tcW w:w="6898" w:type="dxa"/>
            <w:gridSpan w:val="3"/>
            <w:tcBorders>
              <w:top w:val="single" w:sz="4" w:space="0" w:color="auto"/>
              <w:left w:val="single" w:sz="4" w:space="0" w:color="auto"/>
            </w:tcBorders>
            <w:shd w:val="clear" w:color="auto" w:fill="FFFFFF"/>
            <w:vAlign w:val="bottom"/>
          </w:tcPr>
          <w:p w14:paraId="13536E9D"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2165" w:type="dxa"/>
            <w:tcBorders>
              <w:top w:val="single" w:sz="4" w:space="0" w:color="auto"/>
              <w:left w:val="single" w:sz="4" w:space="0" w:color="auto"/>
              <w:right w:val="single" w:sz="4" w:space="0" w:color="auto"/>
            </w:tcBorders>
            <w:shd w:val="clear" w:color="auto" w:fill="FFFFFF"/>
          </w:tcPr>
          <w:p w14:paraId="02C7293F" w14:textId="77777777" w:rsidR="008C76E0" w:rsidRPr="003B2786" w:rsidRDefault="008C76E0" w:rsidP="008C76E0">
            <w:pPr>
              <w:spacing w:after="120" w:line="240" w:lineRule="auto"/>
              <w:jc w:val="both"/>
              <w:rPr>
                <w:rFonts w:ascii="Sylfaen" w:hAnsi="Sylfaen"/>
                <w:sz w:val="24"/>
                <w:szCs w:val="24"/>
              </w:rPr>
            </w:pPr>
          </w:p>
        </w:tc>
      </w:tr>
      <w:tr w:rsidR="008C76E0" w:rsidRPr="003B2786" w14:paraId="431FB4CA" w14:textId="77777777" w:rsidTr="008C76E0">
        <w:trPr>
          <w:jc w:val="center"/>
        </w:trPr>
        <w:tc>
          <w:tcPr>
            <w:tcW w:w="523" w:type="dxa"/>
            <w:tcBorders>
              <w:top w:val="single" w:sz="4" w:space="0" w:color="auto"/>
              <w:left w:val="single" w:sz="4" w:space="0" w:color="auto"/>
            </w:tcBorders>
            <w:shd w:val="clear" w:color="auto" w:fill="FFFFFF"/>
            <w:vAlign w:val="bottom"/>
          </w:tcPr>
          <w:p w14:paraId="0B193B5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11</w:t>
            </w:r>
          </w:p>
        </w:tc>
        <w:tc>
          <w:tcPr>
            <w:tcW w:w="6898" w:type="dxa"/>
            <w:gridSpan w:val="3"/>
            <w:tcBorders>
              <w:top w:val="single" w:sz="4" w:space="0" w:color="auto"/>
              <w:left w:val="single" w:sz="4" w:space="0" w:color="auto"/>
            </w:tcBorders>
            <w:shd w:val="clear" w:color="auto" w:fill="FFFFFF"/>
            <w:vAlign w:val="bottom"/>
          </w:tcPr>
          <w:p w14:paraId="6206397E"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Դոզան (դոզաները).</w:t>
            </w:r>
          </w:p>
        </w:tc>
        <w:tc>
          <w:tcPr>
            <w:tcW w:w="2165" w:type="dxa"/>
            <w:tcBorders>
              <w:top w:val="single" w:sz="4" w:space="0" w:color="auto"/>
              <w:left w:val="single" w:sz="4" w:space="0" w:color="auto"/>
              <w:right w:val="single" w:sz="4" w:space="0" w:color="auto"/>
            </w:tcBorders>
            <w:shd w:val="clear" w:color="auto" w:fill="FFFFFF"/>
          </w:tcPr>
          <w:p w14:paraId="23D87C27"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4A9C1F1" w14:textId="77777777" w:rsidTr="008C76E0">
        <w:trPr>
          <w:jc w:val="center"/>
        </w:trPr>
        <w:tc>
          <w:tcPr>
            <w:tcW w:w="523" w:type="dxa"/>
            <w:tcBorders>
              <w:top w:val="single" w:sz="4" w:space="0" w:color="auto"/>
              <w:left w:val="single" w:sz="4" w:space="0" w:color="auto"/>
            </w:tcBorders>
            <w:shd w:val="clear" w:color="auto" w:fill="FFFFFF"/>
            <w:vAlign w:val="bottom"/>
          </w:tcPr>
          <w:p w14:paraId="3267944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12</w:t>
            </w:r>
          </w:p>
        </w:tc>
        <w:tc>
          <w:tcPr>
            <w:tcW w:w="6898" w:type="dxa"/>
            <w:gridSpan w:val="3"/>
            <w:tcBorders>
              <w:top w:val="single" w:sz="4" w:space="0" w:color="auto"/>
              <w:left w:val="single" w:sz="4" w:space="0" w:color="auto"/>
            </w:tcBorders>
            <w:shd w:val="clear" w:color="auto" w:fill="FFFFFF"/>
            <w:vAlign w:val="bottom"/>
          </w:tcPr>
          <w:p w14:paraId="4AB155E4"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 (ձ</w:t>
            </w:r>
            <w:r w:rsidR="00C54D75">
              <w:rPr>
                <w:rStyle w:val="Bodytext295pt"/>
                <w:rFonts w:ascii="Sylfaen" w:hAnsi="Sylfaen"/>
                <w:sz w:val="24"/>
                <w:szCs w:val="24"/>
              </w:rPr>
              <w:t>և</w:t>
            </w:r>
            <w:r w:rsidRPr="003B2786">
              <w:rPr>
                <w:rStyle w:val="Bodytext295pt"/>
                <w:rFonts w:ascii="Sylfaen" w:hAnsi="Sylfaen"/>
                <w:sz w:val="24"/>
                <w:szCs w:val="24"/>
              </w:rPr>
              <w:t>երը).</w:t>
            </w:r>
          </w:p>
        </w:tc>
        <w:tc>
          <w:tcPr>
            <w:tcW w:w="2165" w:type="dxa"/>
            <w:tcBorders>
              <w:top w:val="single" w:sz="4" w:space="0" w:color="auto"/>
              <w:left w:val="single" w:sz="4" w:space="0" w:color="auto"/>
              <w:right w:val="single" w:sz="4" w:space="0" w:color="auto"/>
            </w:tcBorders>
            <w:shd w:val="clear" w:color="auto" w:fill="FFFFFF"/>
          </w:tcPr>
          <w:p w14:paraId="1038F8B4" w14:textId="77777777" w:rsidR="008C76E0" w:rsidRPr="003B2786" w:rsidRDefault="008C76E0" w:rsidP="008C76E0">
            <w:pPr>
              <w:spacing w:after="120" w:line="240" w:lineRule="auto"/>
              <w:jc w:val="both"/>
              <w:rPr>
                <w:rFonts w:ascii="Sylfaen" w:hAnsi="Sylfaen"/>
                <w:sz w:val="24"/>
                <w:szCs w:val="24"/>
              </w:rPr>
            </w:pPr>
          </w:p>
        </w:tc>
      </w:tr>
      <w:tr w:rsidR="00230A31" w:rsidRPr="003B2786" w14:paraId="6F06E669" w14:textId="77777777" w:rsidTr="008C76E0">
        <w:trPr>
          <w:jc w:val="center"/>
        </w:trPr>
        <w:tc>
          <w:tcPr>
            <w:tcW w:w="523" w:type="dxa"/>
            <w:tcBorders>
              <w:top w:val="single" w:sz="4" w:space="0" w:color="auto"/>
              <w:left w:val="single" w:sz="4" w:space="0" w:color="auto"/>
            </w:tcBorders>
            <w:shd w:val="clear" w:color="auto" w:fill="FFFFFF"/>
            <w:vAlign w:val="bottom"/>
          </w:tcPr>
          <w:p w14:paraId="36E6767A" w14:textId="7F920025" w:rsidR="00230A31" w:rsidRPr="003B2786" w:rsidRDefault="00230A31" w:rsidP="008C76E0">
            <w:pPr>
              <w:pStyle w:val="Bodytext180"/>
              <w:shd w:val="clear" w:color="auto" w:fill="auto"/>
              <w:spacing w:before="0" w:after="120" w:line="240" w:lineRule="auto"/>
              <w:ind w:firstLine="0"/>
              <w:jc w:val="center"/>
              <w:rPr>
                <w:rStyle w:val="Bodytext295pt"/>
                <w:rFonts w:ascii="Sylfaen" w:hAnsi="Sylfaen"/>
                <w:sz w:val="24"/>
                <w:szCs w:val="24"/>
              </w:rPr>
            </w:pPr>
            <w:r w:rsidRPr="00230A31">
              <w:rPr>
                <w:rStyle w:val="Bodytext295pt"/>
                <w:rFonts w:ascii="Sylfaen" w:hAnsi="Sylfaen"/>
                <w:sz w:val="24"/>
                <w:szCs w:val="24"/>
              </w:rPr>
              <w:t>12.1</w:t>
            </w:r>
          </w:p>
        </w:tc>
        <w:tc>
          <w:tcPr>
            <w:tcW w:w="6898" w:type="dxa"/>
            <w:gridSpan w:val="3"/>
            <w:tcBorders>
              <w:top w:val="single" w:sz="4" w:space="0" w:color="auto"/>
              <w:left w:val="single" w:sz="4" w:space="0" w:color="auto"/>
            </w:tcBorders>
            <w:shd w:val="clear" w:color="auto" w:fill="FFFFFF"/>
            <w:vAlign w:val="bottom"/>
          </w:tcPr>
          <w:p w14:paraId="425C0568" w14:textId="3B1825FF" w:rsidR="00230A31" w:rsidRPr="00230A31" w:rsidRDefault="00230A31" w:rsidP="008C76E0">
            <w:pPr>
              <w:pStyle w:val="Bodytext180"/>
              <w:shd w:val="clear" w:color="auto" w:fill="auto"/>
              <w:spacing w:before="0" w:after="120" w:line="240" w:lineRule="auto"/>
              <w:ind w:left="61" w:right="69" w:firstLine="0"/>
              <w:rPr>
                <w:rStyle w:val="Bodytext295pt"/>
                <w:rFonts w:ascii="Sylfaen" w:hAnsi="Sylfaen"/>
                <w:sz w:val="24"/>
                <w:szCs w:val="24"/>
              </w:rPr>
            </w:pPr>
            <w:r w:rsidRPr="00230A31">
              <w:rPr>
                <w:rStyle w:val="Bodytext295pt"/>
                <w:rFonts w:ascii="Sylfaen" w:hAnsi="Sylfaen"/>
                <w:sz w:val="24"/>
                <w:szCs w:val="24"/>
              </w:rPr>
              <w:t>Չբաժնեծրարված արտադրանքի (bulk product) բացթողման ձևը</w:t>
            </w:r>
          </w:p>
        </w:tc>
        <w:tc>
          <w:tcPr>
            <w:tcW w:w="2165" w:type="dxa"/>
            <w:tcBorders>
              <w:top w:val="single" w:sz="4" w:space="0" w:color="auto"/>
              <w:left w:val="single" w:sz="4" w:space="0" w:color="auto"/>
              <w:right w:val="single" w:sz="4" w:space="0" w:color="auto"/>
            </w:tcBorders>
            <w:shd w:val="clear" w:color="auto" w:fill="FFFFFF"/>
          </w:tcPr>
          <w:p w14:paraId="5F482D83" w14:textId="77777777" w:rsidR="00230A31" w:rsidRPr="003B2786" w:rsidRDefault="00230A31" w:rsidP="008C76E0">
            <w:pPr>
              <w:spacing w:after="120" w:line="240" w:lineRule="auto"/>
              <w:jc w:val="both"/>
              <w:rPr>
                <w:rFonts w:ascii="Sylfaen" w:hAnsi="Sylfaen"/>
                <w:sz w:val="24"/>
                <w:szCs w:val="24"/>
              </w:rPr>
            </w:pPr>
          </w:p>
        </w:tc>
      </w:tr>
      <w:tr w:rsidR="008C76E0" w:rsidRPr="003B2786" w14:paraId="73A8F470" w14:textId="77777777" w:rsidTr="008C76E0">
        <w:trPr>
          <w:jc w:val="center"/>
        </w:trPr>
        <w:tc>
          <w:tcPr>
            <w:tcW w:w="523" w:type="dxa"/>
            <w:tcBorders>
              <w:top w:val="single" w:sz="4" w:space="0" w:color="auto"/>
              <w:left w:val="single" w:sz="4" w:space="0" w:color="auto"/>
            </w:tcBorders>
            <w:shd w:val="clear" w:color="auto" w:fill="FFFFFF"/>
            <w:vAlign w:val="bottom"/>
          </w:tcPr>
          <w:p w14:paraId="2F822F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13</w:t>
            </w:r>
          </w:p>
        </w:tc>
        <w:tc>
          <w:tcPr>
            <w:tcW w:w="6898" w:type="dxa"/>
            <w:gridSpan w:val="3"/>
            <w:tcBorders>
              <w:top w:val="single" w:sz="4" w:space="0" w:color="auto"/>
              <w:left w:val="single" w:sz="4" w:space="0" w:color="auto"/>
            </w:tcBorders>
            <w:shd w:val="clear" w:color="auto" w:fill="FFFFFF"/>
            <w:vAlign w:val="bottom"/>
          </w:tcPr>
          <w:p w14:paraId="305FE385" w14:textId="77777777" w:rsidR="008C76E0" w:rsidRPr="003B2786" w:rsidRDefault="008C76E0" w:rsidP="008C76E0">
            <w:pPr>
              <w:pStyle w:val="Bodytext180"/>
              <w:shd w:val="clear" w:color="auto" w:fill="auto"/>
              <w:spacing w:before="0" w:after="120" w:line="240" w:lineRule="auto"/>
              <w:ind w:left="61" w:right="69" w:firstLine="0"/>
              <w:rPr>
                <w:rFonts w:ascii="Sylfaen" w:hAnsi="Sylfaen"/>
                <w:b w:val="0"/>
                <w:sz w:val="24"/>
                <w:szCs w:val="24"/>
              </w:rPr>
            </w:pPr>
            <w:r w:rsidRPr="003B2786">
              <w:rPr>
                <w:rStyle w:val="Bodytext295pt"/>
                <w:rFonts w:ascii="Sylfaen" w:hAnsi="Sylfaen"/>
                <w:sz w:val="24"/>
                <w:szCs w:val="24"/>
              </w:rPr>
              <w:t>Դեղապատրաստուկի բաղադրությունը.</w:t>
            </w:r>
          </w:p>
        </w:tc>
        <w:tc>
          <w:tcPr>
            <w:tcW w:w="2165" w:type="dxa"/>
            <w:tcBorders>
              <w:top w:val="single" w:sz="4" w:space="0" w:color="auto"/>
              <w:left w:val="single" w:sz="4" w:space="0" w:color="auto"/>
              <w:right w:val="single" w:sz="4" w:space="0" w:color="auto"/>
            </w:tcBorders>
            <w:shd w:val="clear" w:color="auto" w:fill="FFFFFF"/>
          </w:tcPr>
          <w:p w14:paraId="69A82BE6" w14:textId="77777777" w:rsidR="008C76E0" w:rsidRPr="003B2786" w:rsidRDefault="008C76E0" w:rsidP="008C76E0">
            <w:pPr>
              <w:spacing w:after="120" w:line="240" w:lineRule="auto"/>
              <w:jc w:val="both"/>
              <w:rPr>
                <w:rFonts w:ascii="Sylfaen" w:hAnsi="Sylfaen"/>
                <w:sz w:val="24"/>
                <w:szCs w:val="24"/>
              </w:rPr>
            </w:pPr>
          </w:p>
        </w:tc>
      </w:tr>
      <w:tr w:rsidR="008C76E0" w:rsidRPr="003B2786" w14:paraId="76293344" w14:textId="77777777" w:rsidTr="008C76E0">
        <w:trPr>
          <w:jc w:val="center"/>
        </w:trPr>
        <w:tc>
          <w:tcPr>
            <w:tcW w:w="9586" w:type="dxa"/>
            <w:gridSpan w:val="5"/>
            <w:tcBorders>
              <w:top w:val="single" w:sz="4" w:space="0" w:color="auto"/>
            </w:tcBorders>
            <w:shd w:val="clear" w:color="auto" w:fill="FFFFFF"/>
            <w:vAlign w:val="center"/>
          </w:tcPr>
          <w:p w14:paraId="1AFB0773" w14:textId="0C8C16DC" w:rsidR="00230A31" w:rsidRPr="00CD4709" w:rsidRDefault="00230A31" w:rsidP="00230A31">
            <w:pPr>
              <w:rPr>
                <w:b/>
                <w:bCs/>
                <w:i/>
                <w:iCs/>
              </w:rPr>
            </w:pPr>
            <w:r w:rsidRPr="00CD4709">
              <w:rPr>
                <w:b/>
                <w:bCs/>
                <w:i/>
                <w:iCs/>
              </w:rPr>
              <w:t>(</w:t>
            </w:r>
            <w:r>
              <w:rPr>
                <w:b/>
                <w:bCs/>
                <w:i/>
                <w:iCs/>
              </w:rPr>
              <w:t>աղյուսակը լրաց. 23.04.21</w:t>
            </w:r>
            <w:r w:rsidRPr="00CD4709">
              <w:rPr>
                <w:b/>
                <w:bCs/>
                <w:i/>
                <w:iCs/>
              </w:rPr>
              <w:t xml:space="preserve"> թիվ</w:t>
            </w:r>
            <w:r>
              <w:rPr>
                <w:b/>
                <w:bCs/>
                <w:i/>
                <w:iCs/>
              </w:rPr>
              <w:t xml:space="preserve"> 34</w:t>
            </w:r>
            <w:r w:rsidRPr="00CD4709">
              <w:rPr>
                <w:b/>
                <w:bCs/>
                <w:i/>
                <w:iCs/>
              </w:rPr>
              <w:t>)</w:t>
            </w:r>
          </w:p>
          <w:p w14:paraId="5E4BBF69" w14:textId="77777777" w:rsidR="00230A31" w:rsidRDefault="00230A31"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p>
          <w:p w14:paraId="2B2B7B7B" w14:textId="3E2CF8A6" w:rsidR="00230A31" w:rsidRDefault="008C76E0" w:rsidP="008C76E0">
            <w:pPr>
              <w:pStyle w:val="Bodytext180"/>
              <w:shd w:val="clear" w:color="auto" w:fill="auto"/>
              <w:spacing w:before="0" w:after="160" w:line="360" w:lineRule="auto"/>
              <w:ind w:left="532" w:right="529" w:firstLine="0"/>
              <w:jc w:val="center"/>
              <w:rPr>
                <w:rStyle w:val="Bodytext295pt"/>
                <w:rFonts w:ascii="Sylfaen" w:hAnsi="Sylfaen"/>
                <w:sz w:val="24"/>
                <w:szCs w:val="24"/>
              </w:rPr>
            </w:pPr>
            <w:r w:rsidRPr="003B2786">
              <w:rPr>
                <w:rStyle w:val="Bodytext295pt"/>
                <w:rFonts w:ascii="Sylfaen" w:hAnsi="Sylfaen"/>
                <w:sz w:val="24"/>
                <w:szCs w:val="24"/>
              </w:rPr>
              <w:t xml:space="preserve">Դեղապատրաստուկն արտադրողի մասին տեղեկատվությունը </w:t>
            </w:r>
          </w:p>
          <w:p w14:paraId="33B65D61" w14:textId="244FF9B6" w:rsidR="008C76E0" w:rsidRPr="008C76E0" w:rsidRDefault="008C76E0" w:rsidP="008C76E0">
            <w:pPr>
              <w:pStyle w:val="Bodytext180"/>
              <w:shd w:val="clear" w:color="auto" w:fill="auto"/>
              <w:spacing w:before="0" w:after="160" w:line="360" w:lineRule="auto"/>
              <w:ind w:left="532" w:right="529" w:firstLine="0"/>
              <w:jc w:val="center"/>
              <w:rPr>
                <w:rFonts w:ascii="Sylfaen" w:hAnsi="Sylfaen"/>
                <w:b w:val="0"/>
                <w:sz w:val="24"/>
                <w:szCs w:val="24"/>
                <w:lang w:val="hy-AM"/>
              </w:rPr>
            </w:pPr>
            <w:r w:rsidRPr="003B2786">
              <w:rPr>
                <w:rStyle w:val="Bodytext295pt"/>
                <w:rFonts w:ascii="Sylfaen" w:hAnsi="Sylfaen"/>
                <w:sz w:val="24"/>
                <w:szCs w:val="24"/>
              </w:rPr>
              <w:t xml:space="preserve">(դեղապատրաստուկի արտադրության մաս կազմող արտադրական հարթակների անվանումները </w:t>
            </w:r>
            <w:r w:rsidR="00C54D75">
              <w:rPr>
                <w:rStyle w:val="Bodytext295pt"/>
                <w:rFonts w:ascii="Sylfaen" w:hAnsi="Sylfaen"/>
                <w:sz w:val="24"/>
                <w:szCs w:val="24"/>
              </w:rPr>
              <w:t>և</w:t>
            </w:r>
            <w:r w:rsidRPr="003B2786">
              <w:rPr>
                <w:rStyle w:val="Bodytext295pt"/>
                <w:rFonts w:ascii="Sylfaen" w:hAnsi="Sylfaen"/>
                <w:sz w:val="24"/>
                <w:szCs w:val="24"/>
              </w:rPr>
              <w:t xml:space="preserve"> հասցեները)</w:t>
            </w:r>
          </w:p>
        </w:tc>
      </w:tr>
      <w:tr w:rsidR="008C76E0" w:rsidRPr="003B2786" w14:paraId="34622AF2" w14:textId="77777777" w:rsidTr="008C76E0">
        <w:trPr>
          <w:jc w:val="center"/>
        </w:trPr>
        <w:tc>
          <w:tcPr>
            <w:tcW w:w="523" w:type="dxa"/>
            <w:tcBorders>
              <w:top w:val="single" w:sz="4" w:space="0" w:color="auto"/>
              <w:left w:val="single" w:sz="4" w:space="0" w:color="auto"/>
            </w:tcBorders>
            <w:shd w:val="clear" w:color="auto" w:fill="FFFFFF"/>
          </w:tcPr>
          <w:p w14:paraId="25A0C08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Թիվ</w:t>
            </w:r>
          </w:p>
        </w:tc>
        <w:tc>
          <w:tcPr>
            <w:tcW w:w="4392" w:type="dxa"/>
            <w:tcBorders>
              <w:top w:val="single" w:sz="4" w:space="0" w:color="auto"/>
              <w:left w:val="single" w:sz="4" w:space="0" w:color="auto"/>
            </w:tcBorders>
            <w:shd w:val="clear" w:color="auto" w:fill="FFFFFF"/>
            <w:vAlign w:val="bottom"/>
          </w:tcPr>
          <w:p w14:paraId="2306A23C" w14:textId="77777777" w:rsidR="008C76E0" w:rsidRPr="003B2786" w:rsidRDefault="008C76E0" w:rsidP="008C76E0">
            <w:pPr>
              <w:pStyle w:val="Bodytext180"/>
              <w:shd w:val="clear" w:color="auto" w:fill="auto"/>
              <w:spacing w:before="0" w:after="120" w:line="360" w:lineRule="auto"/>
              <w:ind w:left="61" w:right="69" w:firstLine="0"/>
              <w:jc w:val="center"/>
              <w:rPr>
                <w:rFonts w:ascii="Sylfaen" w:hAnsi="Sylfaen"/>
                <w:b w:val="0"/>
                <w:sz w:val="24"/>
                <w:szCs w:val="24"/>
              </w:rPr>
            </w:pPr>
            <w:r w:rsidRPr="003B2786">
              <w:rPr>
                <w:rStyle w:val="Bodytext295pt"/>
                <w:rFonts w:ascii="Sylfaen" w:hAnsi="Sylfaen"/>
                <w:sz w:val="24"/>
                <w:szCs w:val="24"/>
              </w:rPr>
              <w:t>Արտադրության ընթացաշրջանը (արտադրության գործընթացի բոլոր մասնակիցները)</w:t>
            </w:r>
          </w:p>
        </w:tc>
        <w:tc>
          <w:tcPr>
            <w:tcW w:w="1954" w:type="dxa"/>
            <w:tcBorders>
              <w:top w:val="single" w:sz="4" w:space="0" w:color="auto"/>
              <w:left w:val="single" w:sz="4" w:space="0" w:color="auto"/>
            </w:tcBorders>
            <w:shd w:val="clear" w:color="auto" w:fill="FFFFFF"/>
          </w:tcPr>
          <w:p w14:paraId="508A8B32"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Կազմակերպության անվանումը</w:t>
            </w:r>
          </w:p>
        </w:tc>
        <w:tc>
          <w:tcPr>
            <w:tcW w:w="2717" w:type="dxa"/>
            <w:gridSpan w:val="2"/>
            <w:tcBorders>
              <w:top w:val="single" w:sz="4" w:space="0" w:color="auto"/>
              <w:left w:val="single" w:sz="4" w:space="0" w:color="auto"/>
              <w:right w:val="single" w:sz="4" w:space="0" w:color="auto"/>
            </w:tcBorders>
            <w:shd w:val="clear" w:color="auto" w:fill="FFFFFF"/>
          </w:tcPr>
          <w:p w14:paraId="6E0AEE3A"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Արտադրական հարթակի հասցեն</w:t>
            </w:r>
          </w:p>
        </w:tc>
      </w:tr>
      <w:tr w:rsidR="008C76E0" w:rsidRPr="003B2786" w14:paraId="4438873A" w14:textId="77777777" w:rsidTr="008C76E0">
        <w:trPr>
          <w:jc w:val="center"/>
        </w:trPr>
        <w:tc>
          <w:tcPr>
            <w:tcW w:w="523" w:type="dxa"/>
            <w:tcBorders>
              <w:top w:val="single" w:sz="4" w:space="0" w:color="auto"/>
              <w:left w:val="single" w:sz="4" w:space="0" w:color="auto"/>
            </w:tcBorders>
            <w:shd w:val="clear" w:color="auto" w:fill="FFFFFF"/>
            <w:vAlign w:val="center"/>
          </w:tcPr>
          <w:p w14:paraId="351653C4"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1</w:t>
            </w:r>
          </w:p>
        </w:tc>
        <w:tc>
          <w:tcPr>
            <w:tcW w:w="4392" w:type="dxa"/>
            <w:tcBorders>
              <w:top w:val="single" w:sz="4" w:space="0" w:color="auto"/>
              <w:left w:val="single" w:sz="4" w:space="0" w:color="auto"/>
            </w:tcBorders>
            <w:shd w:val="clear" w:color="auto" w:fill="FFFFFF"/>
            <w:vAlign w:val="bottom"/>
          </w:tcPr>
          <w:p w14:paraId="3498557A"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Պատրաստի դեղաձ</w:t>
            </w:r>
            <w:r w:rsidR="00C54D75">
              <w:rPr>
                <w:rStyle w:val="Bodytext295pt"/>
                <w:rFonts w:ascii="Sylfaen" w:hAnsi="Sylfaen"/>
                <w:sz w:val="24"/>
                <w:szCs w:val="24"/>
              </w:rPr>
              <w:t>և</w:t>
            </w:r>
            <w:r w:rsidRPr="003B2786">
              <w:rPr>
                <w:rStyle w:val="Bodytext295pt"/>
                <w:rFonts w:ascii="Sylfaen" w:hAnsi="Sylfaen"/>
                <w:sz w:val="24"/>
                <w:szCs w:val="24"/>
              </w:rPr>
              <w:t>ի արտադրությունը</w:t>
            </w:r>
          </w:p>
        </w:tc>
        <w:tc>
          <w:tcPr>
            <w:tcW w:w="1954" w:type="dxa"/>
            <w:tcBorders>
              <w:top w:val="single" w:sz="4" w:space="0" w:color="auto"/>
              <w:left w:val="single" w:sz="4" w:space="0" w:color="auto"/>
            </w:tcBorders>
            <w:shd w:val="clear" w:color="auto" w:fill="FFFFFF"/>
          </w:tcPr>
          <w:p w14:paraId="531409E7"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42CCC1ED" w14:textId="77777777" w:rsidR="008C76E0" w:rsidRPr="003B2786" w:rsidRDefault="008C76E0" w:rsidP="008C76E0">
            <w:pPr>
              <w:spacing w:after="120"/>
              <w:jc w:val="both"/>
              <w:rPr>
                <w:rFonts w:ascii="Sylfaen" w:hAnsi="Sylfaen"/>
                <w:sz w:val="24"/>
                <w:szCs w:val="24"/>
              </w:rPr>
            </w:pPr>
          </w:p>
        </w:tc>
      </w:tr>
      <w:tr w:rsidR="008C76E0" w:rsidRPr="003B2786" w14:paraId="6090E1EC" w14:textId="77777777" w:rsidTr="008C76E0">
        <w:trPr>
          <w:jc w:val="center"/>
        </w:trPr>
        <w:tc>
          <w:tcPr>
            <w:tcW w:w="523" w:type="dxa"/>
            <w:tcBorders>
              <w:top w:val="single" w:sz="4" w:space="0" w:color="auto"/>
              <w:left w:val="single" w:sz="4" w:space="0" w:color="auto"/>
            </w:tcBorders>
            <w:shd w:val="clear" w:color="auto" w:fill="FFFFFF"/>
            <w:vAlign w:val="bottom"/>
          </w:tcPr>
          <w:p w14:paraId="47A885A6"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lastRenderedPageBreak/>
              <w:t>2</w:t>
            </w:r>
          </w:p>
        </w:tc>
        <w:tc>
          <w:tcPr>
            <w:tcW w:w="4392" w:type="dxa"/>
            <w:tcBorders>
              <w:top w:val="single" w:sz="4" w:space="0" w:color="auto"/>
              <w:left w:val="single" w:sz="4" w:space="0" w:color="auto"/>
            </w:tcBorders>
            <w:shd w:val="clear" w:color="auto" w:fill="FFFFFF"/>
            <w:vAlign w:val="bottom"/>
          </w:tcPr>
          <w:p w14:paraId="271C1962"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Առաջնային փաթեթվածքը</w:t>
            </w:r>
          </w:p>
        </w:tc>
        <w:tc>
          <w:tcPr>
            <w:tcW w:w="1954" w:type="dxa"/>
            <w:tcBorders>
              <w:top w:val="single" w:sz="4" w:space="0" w:color="auto"/>
              <w:left w:val="single" w:sz="4" w:space="0" w:color="auto"/>
            </w:tcBorders>
            <w:shd w:val="clear" w:color="auto" w:fill="FFFFFF"/>
          </w:tcPr>
          <w:p w14:paraId="7C06838A"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20F13527" w14:textId="77777777" w:rsidR="008C76E0" w:rsidRPr="003B2786" w:rsidRDefault="008C76E0" w:rsidP="008C76E0">
            <w:pPr>
              <w:spacing w:after="120"/>
              <w:jc w:val="both"/>
              <w:rPr>
                <w:rFonts w:ascii="Sylfaen" w:hAnsi="Sylfaen"/>
                <w:sz w:val="24"/>
                <w:szCs w:val="24"/>
              </w:rPr>
            </w:pPr>
          </w:p>
        </w:tc>
      </w:tr>
      <w:tr w:rsidR="008C76E0" w:rsidRPr="003B2786" w14:paraId="684ACF30" w14:textId="77777777" w:rsidTr="008C76E0">
        <w:trPr>
          <w:jc w:val="center"/>
        </w:trPr>
        <w:tc>
          <w:tcPr>
            <w:tcW w:w="523" w:type="dxa"/>
            <w:tcBorders>
              <w:top w:val="single" w:sz="4" w:space="0" w:color="auto"/>
              <w:left w:val="single" w:sz="4" w:space="0" w:color="auto"/>
            </w:tcBorders>
            <w:shd w:val="clear" w:color="auto" w:fill="FFFFFF"/>
            <w:vAlign w:val="bottom"/>
          </w:tcPr>
          <w:p w14:paraId="313802E3"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3</w:t>
            </w:r>
          </w:p>
        </w:tc>
        <w:tc>
          <w:tcPr>
            <w:tcW w:w="4392" w:type="dxa"/>
            <w:tcBorders>
              <w:top w:val="single" w:sz="4" w:space="0" w:color="auto"/>
              <w:left w:val="single" w:sz="4" w:space="0" w:color="auto"/>
            </w:tcBorders>
            <w:shd w:val="clear" w:color="auto" w:fill="FFFFFF"/>
            <w:vAlign w:val="bottom"/>
          </w:tcPr>
          <w:p w14:paraId="4CD3845F" w14:textId="77777777" w:rsidR="008C76E0" w:rsidRPr="003B2786" w:rsidRDefault="008C76E0" w:rsidP="008C76E0">
            <w:pPr>
              <w:pStyle w:val="Bodytext180"/>
              <w:shd w:val="clear" w:color="auto" w:fill="auto"/>
              <w:spacing w:before="0" w:after="120" w:line="360" w:lineRule="auto"/>
              <w:ind w:left="61" w:right="69" w:firstLine="0"/>
              <w:rPr>
                <w:rFonts w:ascii="Sylfaen" w:hAnsi="Sylfaen"/>
                <w:b w:val="0"/>
                <w:sz w:val="24"/>
                <w:szCs w:val="24"/>
              </w:rPr>
            </w:pPr>
            <w:r w:rsidRPr="003B2786">
              <w:rPr>
                <w:rStyle w:val="Bodytext295pt"/>
                <w:rFonts w:ascii="Sylfaen" w:hAnsi="Sylfaen"/>
                <w:sz w:val="24"/>
                <w:szCs w:val="24"/>
              </w:rPr>
              <w:t>Երկրորդային փաթեթվածքը</w:t>
            </w:r>
          </w:p>
        </w:tc>
        <w:tc>
          <w:tcPr>
            <w:tcW w:w="1954" w:type="dxa"/>
            <w:tcBorders>
              <w:top w:val="single" w:sz="4" w:space="0" w:color="auto"/>
              <w:left w:val="single" w:sz="4" w:space="0" w:color="auto"/>
            </w:tcBorders>
            <w:shd w:val="clear" w:color="auto" w:fill="FFFFFF"/>
          </w:tcPr>
          <w:p w14:paraId="698A1C68"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right w:val="single" w:sz="4" w:space="0" w:color="auto"/>
            </w:tcBorders>
            <w:shd w:val="clear" w:color="auto" w:fill="FFFFFF"/>
          </w:tcPr>
          <w:p w14:paraId="7270B132" w14:textId="77777777" w:rsidR="008C76E0" w:rsidRPr="003B2786" w:rsidRDefault="008C76E0" w:rsidP="008C76E0">
            <w:pPr>
              <w:spacing w:after="120"/>
              <w:jc w:val="both"/>
              <w:rPr>
                <w:rFonts w:ascii="Sylfaen" w:hAnsi="Sylfaen"/>
                <w:sz w:val="24"/>
                <w:szCs w:val="24"/>
              </w:rPr>
            </w:pPr>
          </w:p>
        </w:tc>
      </w:tr>
      <w:tr w:rsidR="008C76E0" w:rsidRPr="003B2786" w14:paraId="697B25DD" w14:textId="77777777" w:rsidTr="008C76E0">
        <w:trPr>
          <w:jc w:val="center"/>
        </w:trPr>
        <w:tc>
          <w:tcPr>
            <w:tcW w:w="523" w:type="dxa"/>
            <w:tcBorders>
              <w:top w:val="single" w:sz="4" w:space="0" w:color="auto"/>
              <w:left w:val="single" w:sz="4" w:space="0" w:color="auto"/>
              <w:bottom w:val="single" w:sz="4" w:space="0" w:color="auto"/>
            </w:tcBorders>
            <w:shd w:val="clear" w:color="auto" w:fill="FFFFFF"/>
          </w:tcPr>
          <w:p w14:paraId="18FB4061" w14:textId="77777777" w:rsidR="008C76E0" w:rsidRPr="003B2786" w:rsidRDefault="008C76E0" w:rsidP="008C76E0">
            <w:pPr>
              <w:pStyle w:val="Bodytext180"/>
              <w:shd w:val="clear" w:color="auto" w:fill="auto"/>
              <w:spacing w:before="0" w:after="120" w:line="360" w:lineRule="auto"/>
              <w:ind w:firstLine="0"/>
              <w:jc w:val="center"/>
              <w:rPr>
                <w:rFonts w:ascii="Sylfaen" w:hAnsi="Sylfaen"/>
                <w:b w:val="0"/>
                <w:sz w:val="24"/>
                <w:szCs w:val="24"/>
              </w:rPr>
            </w:pPr>
            <w:r w:rsidRPr="003B2786">
              <w:rPr>
                <w:rStyle w:val="Bodytext295pt"/>
                <w:rFonts w:ascii="Sylfaen" w:hAnsi="Sylfaen"/>
                <w:sz w:val="24"/>
                <w:szCs w:val="24"/>
              </w:rPr>
              <w:t>4</w:t>
            </w:r>
          </w:p>
        </w:tc>
        <w:tc>
          <w:tcPr>
            <w:tcW w:w="4392" w:type="dxa"/>
            <w:tcBorders>
              <w:top w:val="single" w:sz="4" w:space="0" w:color="auto"/>
              <w:left w:val="single" w:sz="4" w:space="0" w:color="auto"/>
              <w:bottom w:val="single" w:sz="4" w:space="0" w:color="auto"/>
            </w:tcBorders>
            <w:shd w:val="clear" w:color="auto" w:fill="FFFFFF"/>
            <w:vAlign w:val="bottom"/>
          </w:tcPr>
          <w:p w14:paraId="79E177D7" w14:textId="77777777" w:rsidR="008C76E0" w:rsidRPr="003B2786" w:rsidRDefault="008C76E0" w:rsidP="008C76E0">
            <w:pPr>
              <w:pStyle w:val="Bodytext180"/>
              <w:shd w:val="clear" w:color="auto" w:fill="auto"/>
              <w:spacing w:before="0" w:after="120" w:line="360" w:lineRule="auto"/>
              <w:ind w:left="9" w:firstLine="0"/>
              <w:rPr>
                <w:rFonts w:ascii="Sylfaen" w:hAnsi="Sylfaen"/>
                <w:b w:val="0"/>
                <w:sz w:val="24"/>
                <w:szCs w:val="24"/>
              </w:rPr>
            </w:pPr>
            <w:r w:rsidRPr="003B2786">
              <w:rPr>
                <w:rStyle w:val="Bodytext295pt"/>
                <w:rFonts w:ascii="Sylfaen" w:hAnsi="Sylfaen"/>
                <w:sz w:val="24"/>
                <w:szCs w:val="24"/>
              </w:rPr>
              <w:t>Բացթողման որակի վերահսկումը</w:t>
            </w:r>
          </w:p>
        </w:tc>
        <w:tc>
          <w:tcPr>
            <w:tcW w:w="1954" w:type="dxa"/>
            <w:tcBorders>
              <w:top w:val="single" w:sz="4" w:space="0" w:color="auto"/>
              <w:left w:val="single" w:sz="4" w:space="0" w:color="auto"/>
              <w:bottom w:val="single" w:sz="4" w:space="0" w:color="auto"/>
            </w:tcBorders>
            <w:shd w:val="clear" w:color="auto" w:fill="FFFFFF"/>
          </w:tcPr>
          <w:p w14:paraId="59BF728F" w14:textId="77777777" w:rsidR="008C76E0" w:rsidRPr="003B2786" w:rsidRDefault="008C76E0" w:rsidP="008C76E0">
            <w:pPr>
              <w:spacing w:after="120"/>
              <w:jc w:val="both"/>
              <w:rPr>
                <w:rFonts w:ascii="Sylfaen" w:hAnsi="Sylfaen"/>
                <w:sz w:val="24"/>
                <w:szCs w:val="24"/>
              </w:rPr>
            </w:pPr>
          </w:p>
        </w:tc>
        <w:tc>
          <w:tcPr>
            <w:tcW w:w="2717" w:type="dxa"/>
            <w:gridSpan w:val="2"/>
            <w:tcBorders>
              <w:top w:val="single" w:sz="4" w:space="0" w:color="auto"/>
              <w:left w:val="single" w:sz="4" w:space="0" w:color="auto"/>
              <w:bottom w:val="single" w:sz="4" w:space="0" w:color="auto"/>
              <w:right w:val="single" w:sz="4" w:space="0" w:color="auto"/>
            </w:tcBorders>
            <w:shd w:val="clear" w:color="auto" w:fill="FFFFFF"/>
          </w:tcPr>
          <w:p w14:paraId="209AB0BE" w14:textId="77777777" w:rsidR="008C76E0" w:rsidRPr="003B2786" w:rsidRDefault="008C76E0" w:rsidP="008C76E0">
            <w:pPr>
              <w:spacing w:after="120"/>
              <w:jc w:val="both"/>
              <w:rPr>
                <w:rFonts w:ascii="Sylfaen" w:hAnsi="Sylfaen"/>
                <w:sz w:val="24"/>
                <w:szCs w:val="24"/>
              </w:rPr>
            </w:pPr>
          </w:p>
        </w:tc>
      </w:tr>
    </w:tbl>
    <w:p w14:paraId="34687C02" w14:textId="77777777" w:rsidR="008C76E0" w:rsidRDefault="008C76E0" w:rsidP="008C76E0">
      <w:pPr>
        <w:pStyle w:val="Tablecaption30"/>
        <w:shd w:val="clear" w:color="auto" w:fill="auto"/>
        <w:spacing w:after="160" w:line="360" w:lineRule="auto"/>
        <w:ind w:right="-1"/>
        <w:jc w:val="both"/>
        <w:rPr>
          <w:rFonts w:ascii="Sylfaen" w:hAnsi="Sylfaen"/>
          <w:sz w:val="24"/>
          <w:szCs w:val="24"/>
        </w:rPr>
      </w:pPr>
      <w:r w:rsidRPr="003B2786">
        <w:rPr>
          <w:rFonts w:ascii="Sylfaen" w:hAnsi="Sylfaen"/>
          <w:sz w:val="24"/>
          <w:szCs w:val="24"/>
        </w:rPr>
        <w:t>Հավելված ___ թերթ</w:t>
      </w:r>
    </w:p>
    <w:p w14:paraId="276A21B5" w14:textId="77777777" w:rsidR="007F6CA3" w:rsidRPr="003B2786" w:rsidRDefault="007F6CA3" w:rsidP="008C76E0">
      <w:pPr>
        <w:pStyle w:val="Tablecaption30"/>
        <w:shd w:val="clear" w:color="auto" w:fill="auto"/>
        <w:spacing w:after="160" w:line="360" w:lineRule="auto"/>
        <w:ind w:right="-1"/>
        <w:jc w:val="both"/>
        <w:rPr>
          <w:rFonts w:ascii="Sylfaen" w:hAnsi="Sylfaen"/>
          <w:sz w:val="24"/>
          <w:szCs w:val="24"/>
        </w:rPr>
      </w:pPr>
    </w:p>
    <w:tbl>
      <w:tblPr>
        <w:tblOverlap w:val="never"/>
        <w:tblW w:w="9111" w:type="dxa"/>
        <w:jc w:val="center"/>
        <w:tblLayout w:type="fixed"/>
        <w:tblCellMar>
          <w:left w:w="10" w:type="dxa"/>
          <w:right w:w="10" w:type="dxa"/>
        </w:tblCellMar>
        <w:tblLook w:val="04A0" w:firstRow="1" w:lastRow="0" w:firstColumn="1" w:lastColumn="0" w:noHBand="0" w:noVBand="1"/>
      </w:tblPr>
      <w:tblGrid>
        <w:gridCol w:w="5429"/>
        <w:gridCol w:w="2104"/>
        <w:gridCol w:w="1578"/>
      </w:tblGrid>
      <w:tr w:rsidR="008C76E0" w:rsidRPr="003B2786" w14:paraId="657C734B" w14:textId="77777777" w:rsidTr="008C76E0">
        <w:trPr>
          <w:jc w:val="center"/>
        </w:trPr>
        <w:tc>
          <w:tcPr>
            <w:tcW w:w="5429" w:type="dxa"/>
            <w:shd w:val="clear" w:color="auto" w:fill="FFFFFF"/>
            <w:vAlign w:val="bottom"/>
          </w:tcPr>
          <w:p w14:paraId="2D9BF373"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52D73C52" w14:textId="77777777" w:rsidR="008C76E0" w:rsidRPr="003B2786" w:rsidRDefault="008C76E0" w:rsidP="008C76E0">
            <w:pPr>
              <w:pStyle w:val="Bodytext180"/>
              <w:shd w:val="clear" w:color="auto" w:fill="auto"/>
              <w:spacing w:before="0" w:after="160" w:line="360" w:lineRule="auto"/>
              <w:ind w:firstLine="0"/>
              <w:jc w:val="center"/>
              <w:rPr>
                <w:rFonts w:ascii="Sylfaen" w:hAnsi="Sylfaen"/>
                <w:b w:val="0"/>
                <w:sz w:val="24"/>
                <w:szCs w:val="24"/>
              </w:rPr>
            </w:pPr>
            <w:r w:rsidRPr="003B2786">
              <w:rPr>
                <w:rStyle w:val="Bodytext295pt"/>
                <w:rFonts w:ascii="Sylfaen" w:hAnsi="Sylfaen"/>
                <w:sz w:val="24"/>
                <w:szCs w:val="24"/>
              </w:rPr>
              <w:t>(կամ լիազոր անձը)</w:t>
            </w:r>
          </w:p>
        </w:tc>
        <w:tc>
          <w:tcPr>
            <w:tcW w:w="2104" w:type="dxa"/>
            <w:shd w:val="clear" w:color="auto" w:fill="FFFFFF"/>
          </w:tcPr>
          <w:p w14:paraId="263202D0"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67A2A40D"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725FE5A6"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63FA169A"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lastRenderedPageBreak/>
        <w:t>(բժշկական կիրառման համար նախատեսված դեղապատրաստուկի գրանցման հավաստագրի հավելվածի ձ</w:t>
      </w:r>
      <w:r w:rsidR="00C54D75">
        <w:rPr>
          <w:rFonts w:ascii="Sylfaen" w:hAnsi="Sylfaen"/>
          <w:sz w:val="24"/>
          <w:szCs w:val="24"/>
        </w:rPr>
        <w:t>և</w:t>
      </w:r>
      <w:r w:rsidRPr="003B2786">
        <w:rPr>
          <w:rFonts w:ascii="Sylfaen" w:hAnsi="Sylfaen"/>
          <w:sz w:val="24"/>
          <w:szCs w:val="24"/>
        </w:rPr>
        <w:t>ը)</w:t>
      </w:r>
    </w:p>
    <w:p w14:paraId="0C41F12F" w14:textId="77777777" w:rsidR="008C76E0" w:rsidRPr="003B2786" w:rsidRDefault="008C76E0" w:rsidP="008C76E0">
      <w:pPr>
        <w:ind w:left="4253" w:right="-1"/>
        <w:jc w:val="center"/>
        <w:rPr>
          <w:rFonts w:ascii="Sylfaen" w:hAnsi="Sylfaen"/>
          <w:sz w:val="24"/>
          <w:szCs w:val="24"/>
        </w:rPr>
      </w:pPr>
    </w:p>
    <w:p w14:paraId="58CE4661" w14:textId="77777777" w:rsidR="008C76E0" w:rsidRPr="003B2786" w:rsidRDefault="008C76E0" w:rsidP="008C76E0">
      <w:pPr>
        <w:ind w:left="4253" w:right="-1"/>
        <w:jc w:val="center"/>
        <w:outlineLvl w:val="0"/>
        <w:rPr>
          <w:rFonts w:ascii="Sylfaen" w:hAnsi="Sylfaen"/>
          <w:sz w:val="24"/>
          <w:szCs w:val="24"/>
        </w:rPr>
      </w:pPr>
      <w:r w:rsidRPr="003B2786">
        <w:rPr>
          <w:rFonts w:ascii="Sylfaen" w:hAnsi="Sylfaen"/>
          <w:sz w:val="24"/>
          <w:szCs w:val="24"/>
        </w:rPr>
        <w:t>Հավելված ___</w:t>
      </w:r>
    </w:p>
    <w:p w14:paraId="7C6EDAD1" w14:textId="77777777" w:rsidR="008C76E0" w:rsidRPr="003B2786" w:rsidRDefault="008C76E0" w:rsidP="008C76E0">
      <w:pPr>
        <w:ind w:left="4253" w:right="-1"/>
        <w:jc w:val="center"/>
        <w:rPr>
          <w:rFonts w:ascii="Sylfaen" w:hAnsi="Sylfaen"/>
          <w:sz w:val="24"/>
          <w:szCs w:val="24"/>
        </w:rPr>
      </w:pPr>
      <w:r w:rsidRPr="003B2786">
        <w:rPr>
          <w:rFonts w:ascii="Sylfaen" w:hAnsi="Sylfaen"/>
          <w:sz w:val="24"/>
          <w:szCs w:val="24"/>
        </w:rPr>
        <w:t>բժշկական կիրառման համար նախատեսված դեղապատրաստուկի թիվ</w:t>
      </w:r>
      <w:r>
        <w:rPr>
          <w:rFonts w:ascii="Sylfaen" w:hAnsi="Sylfaen"/>
          <w:sz w:val="24"/>
          <w:szCs w:val="24"/>
        </w:rPr>
        <w:t> </w:t>
      </w:r>
      <w:r w:rsidRPr="003B2786">
        <w:rPr>
          <w:rFonts w:ascii="Sylfaen" w:hAnsi="Sylfaen"/>
          <w:sz w:val="24"/>
          <w:szCs w:val="24"/>
        </w:rPr>
        <w:t>___ գրանցման հավաստագրի</w:t>
      </w:r>
    </w:p>
    <w:p w14:paraId="43CD6D20" w14:textId="77777777" w:rsidR="008C76E0" w:rsidRPr="003B2786" w:rsidRDefault="008C76E0" w:rsidP="008C76E0">
      <w:pPr>
        <w:ind w:left="4536" w:right="-1"/>
        <w:rPr>
          <w:rFonts w:ascii="Sylfaen" w:hAnsi="Sylfaen"/>
          <w:sz w:val="24"/>
          <w:szCs w:val="24"/>
        </w:rPr>
      </w:pPr>
    </w:p>
    <w:p w14:paraId="3AE03F5D" w14:textId="77777777" w:rsidR="008C76E0" w:rsidRPr="003B2786" w:rsidRDefault="008C76E0" w:rsidP="008C76E0">
      <w:pPr>
        <w:ind w:right="-1"/>
        <w:jc w:val="center"/>
        <w:outlineLvl w:val="0"/>
        <w:rPr>
          <w:rFonts w:ascii="Sylfaen" w:hAnsi="Sylfaen"/>
          <w:sz w:val="24"/>
          <w:szCs w:val="24"/>
        </w:rPr>
      </w:pPr>
      <w:r w:rsidRPr="003B2786">
        <w:rPr>
          <w:rFonts w:ascii="Sylfaen" w:hAnsi="Sylfaen"/>
          <w:sz w:val="24"/>
          <w:szCs w:val="24"/>
        </w:rPr>
        <w:t>Դեղապատրաստուկի գրանցման հատուկ պայմանները</w:t>
      </w:r>
    </w:p>
    <w:tbl>
      <w:tblPr>
        <w:tblOverlap w:val="never"/>
        <w:tblW w:w="9401" w:type="dxa"/>
        <w:jc w:val="center"/>
        <w:tblLayout w:type="fixed"/>
        <w:tblCellMar>
          <w:left w:w="10" w:type="dxa"/>
          <w:right w:w="10" w:type="dxa"/>
        </w:tblCellMar>
        <w:tblLook w:val="04A0" w:firstRow="1" w:lastRow="0" w:firstColumn="1" w:lastColumn="0" w:noHBand="0" w:noVBand="1"/>
      </w:tblPr>
      <w:tblGrid>
        <w:gridCol w:w="3262"/>
        <w:gridCol w:w="2761"/>
        <w:gridCol w:w="3378"/>
      </w:tblGrid>
      <w:tr w:rsidR="008C76E0" w:rsidRPr="003B2786" w14:paraId="6C734747" w14:textId="77777777" w:rsidTr="008C76E0">
        <w:trPr>
          <w:trHeight w:val="3612"/>
          <w:jc w:val="center"/>
        </w:trPr>
        <w:tc>
          <w:tcPr>
            <w:tcW w:w="3262" w:type="dxa"/>
            <w:tcBorders>
              <w:top w:val="single" w:sz="4" w:space="0" w:color="auto"/>
              <w:left w:val="single" w:sz="4" w:space="0" w:color="auto"/>
              <w:bottom w:val="single" w:sz="4" w:space="0" w:color="auto"/>
            </w:tcBorders>
            <w:shd w:val="clear" w:color="auto" w:fill="FFFFFF"/>
            <w:vAlign w:val="center"/>
          </w:tcPr>
          <w:p w14:paraId="47EBAB5A"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Դեղապատրաստուկի կիրառման ահմանափակումները՝ սահմանված դեղապատրաստուկի գրանցման ընթացքում</w:t>
            </w:r>
          </w:p>
        </w:tc>
        <w:tc>
          <w:tcPr>
            <w:tcW w:w="2761" w:type="dxa"/>
            <w:tcBorders>
              <w:top w:val="single" w:sz="4" w:space="0" w:color="auto"/>
              <w:left w:val="single" w:sz="4" w:space="0" w:color="auto"/>
              <w:bottom w:val="single" w:sz="4" w:space="0" w:color="auto"/>
            </w:tcBorders>
            <w:shd w:val="clear" w:color="auto" w:fill="FFFFFF"/>
            <w:vAlign w:val="center"/>
          </w:tcPr>
          <w:p w14:paraId="371969FF"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Գրանցման հավաստագրի իրավատիրոջ՝ «պայմաններում գրանցման» շրջանակներում կատարման ենթակա պարտավորությունները</w:t>
            </w:r>
          </w:p>
        </w:tc>
        <w:tc>
          <w:tcPr>
            <w:tcW w:w="3378" w:type="dxa"/>
            <w:tcBorders>
              <w:top w:val="single" w:sz="4" w:space="0" w:color="auto"/>
              <w:left w:val="single" w:sz="4" w:space="0" w:color="auto"/>
              <w:bottom w:val="single" w:sz="4" w:space="0" w:color="auto"/>
              <w:right w:val="single" w:sz="4" w:space="0" w:color="auto"/>
            </w:tcBorders>
            <w:shd w:val="clear" w:color="auto" w:fill="FFFFFF"/>
            <w:vAlign w:val="center"/>
          </w:tcPr>
          <w:p w14:paraId="65042E5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295pt"/>
                <w:rFonts w:ascii="Sylfaen" w:hAnsi="Sylfaen"/>
                <w:sz w:val="24"/>
                <w:szCs w:val="24"/>
              </w:rPr>
              <w:t xml:space="preserve">Գրանցման հավաստագրի իրավատիրոջ համար պարտավորությունների կատարման </w:t>
            </w:r>
            <w:r w:rsidR="00C54D75">
              <w:rPr>
                <w:rStyle w:val="Bodytext295pt"/>
                <w:rFonts w:ascii="Sylfaen" w:hAnsi="Sylfaen"/>
                <w:sz w:val="24"/>
                <w:szCs w:val="24"/>
              </w:rPr>
              <w:t>և</w:t>
            </w:r>
            <w:r w:rsidRPr="003B2786">
              <w:rPr>
                <w:rStyle w:val="Bodytext295pt"/>
                <w:rFonts w:ascii="Sylfaen" w:hAnsi="Sylfaen"/>
                <w:sz w:val="24"/>
                <w:szCs w:val="24"/>
              </w:rPr>
              <w:t xml:space="preserve"> դրված սահմանափակումների՝ դեղապատրաստուկի գրանցման ժամանակ սահմանված ժամկետները</w:t>
            </w:r>
          </w:p>
        </w:tc>
      </w:tr>
    </w:tbl>
    <w:p w14:paraId="1D82500D" w14:textId="77777777" w:rsidR="008C76E0" w:rsidRPr="003B2786" w:rsidRDefault="008C76E0" w:rsidP="008C76E0">
      <w:pPr>
        <w:ind w:right="-1"/>
        <w:jc w:val="both"/>
        <w:rPr>
          <w:rFonts w:ascii="Sylfaen" w:hAnsi="Sylfaen"/>
          <w:sz w:val="24"/>
          <w:szCs w:val="24"/>
        </w:rPr>
      </w:pPr>
    </w:p>
    <w:tbl>
      <w:tblPr>
        <w:tblOverlap w:val="never"/>
        <w:tblW w:w="9288" w:type="dxa"/>
        <w:jc w:val="center"/>
        <w:tblLayout w:type="fixed"/>
        <w:tblCellMar>
          <w:left w:w="10" w:type="dxa"/>
          <w:right w:w="10" w:type="dxa"/>
        </w:tblCellMar>
        <w:tblLook w:val="04A0" w:firstRow="1" w:lastRow="0" w:firstColumn="1" w:lastColumn="0" w:noHBand="0" w:noVBand="1"/>
      </w:tblPr>
      <w:tblGrid>
        <w:gridCol w:w="5587"/>
        <w:gridCol w:w="2123"/>
        <w:gridCol w:w="1578"/>
      </w:tblGrid>
      <w:tr w:rsidR="008C76E0" w:rsidRPr="003B2786" w14:paraId="6939B974" w14:textId="77777777" w:rsidTr="008C76E0">
        <w:trPr>
          <w:jc w:val="center"/>
        </w:trPr>
        <w:tc>
          <w:tcPr>
            <w:tcW w:w="5587" w:type="dxa"/>
            <w:shd w:val="clear" w:color="auto" w:fill="FFFFFF"/>
          </w:tcPr>
          <w:p w14:paraId="2B45D3DF" w14:textId="77777777" w:rsidR="008C76E0" w:rsidRPr="003B2786" w:rsidRDefault="008C76E0" w:rsidP="008C76E0">
            <w:pPr>
              <w:pStyle w:val="Bodytext180"/>
              <w:shd w:val="clear" w:color="auto" w:fill="auto"/>
              <w:spacing w:before="0" w:after="160" w:line="360" w:lineRule="auto"/>
              <w:ind w:firstLine="0"/>
              <w:jc w:val="center"/>
              <w:rPr>
                <w:rStyle w:val="Bodytext295pt"/>
                <w:rFonts w:ascii="Sylfaen" w:hAnsi="Sylfaen"/>
                <w:sz w:val="24"/>
                <w:szCs w:val="24"/>
              </w:rPr>
            </w:pPr>
            <w:r w:rsidRPr="003B2786">
              <w:rPr>
                <w:rStyle w:val="Bodytext295pt"/>
                <w:rFonts w:ascii="Sylfaen" w:hAnsi="Sylfaen"/>
                <w:sz w:val="24"/>
                <w:szCs w:val="24"/>
              </w:rPr>
              <w:t xml:space="preserve">Լիազորված մարմնի ղեկավարը </w:t>
            </w:r>
          </w:p>
          <w:p w14:paraId="30DDE0FD" w14:textId="77777777" w:rsidR="008C76E0" w:rsidRPr="008C76E0" w:rsidRDefault="008C76E0" w:rsidP="008C76E0">
            <w:pPr>
              <w:pStyle w:val="Bodytext180"/>
              <w:shd w:val="clear" w:color="auto" w:fill="auto"/>
              <w:spacing w:before="0" w:after="160" w:line="360" w:lineRule="auto"/>
              <w:ind w:firstLine="0"/>
              <w:jc w:val="center"/>
              <w:rPr>
                <w:rFonts w:ascii="Sylfaen" w:hAnsi="Sylfaen"/>
                <w:b w:val="0"/>
                <w:sz w:val="24"/>
                <w:szCs w:val="24"/>
                <w:lang w:val="hy-AM"/>
              </w:rPr>
            </w:pPr>
            <w:r w:rsidRPr="003B2786">
              <w:rPr>
                <w:rStyle w:val="Bodytext295pt"/>
                <w:rFonts w:ascii="Sylfaen" w:hAnsi="Sylfaen"/>
                <w:sz w:val="24"/>
                <w:szCs w:val="24"/>
              </w:rPr>
              <w:t>(կամ լիազոր անձը)</w:t>
            </w:r>
          </w:p>
        </w:tc>
        <w:tc>
          <w:tcPr>
            <w:tcW w:w="2123" w:type="dxa"/>
            <w:shd w:val="clear" w:color="auto" w:fill="FFFFFF"/>
          </w:tcPr>
          <w:p w14:paraId="4B0D0E9E"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Ստորագրությունը</w:t>
            </w:r>
          </w:p>
        </w:tc>
        <w:tc>
          <w:tcPr>
            <w:tcW w:w="1578" w:type="dxa"/>
            <w:shd w:val="clear" w:color="auto" w:fill="FFFFFF"/>
          </w:tcPr>
          <w:p w14:paraId="4EF6B2E4" w14:textId="77777777" w:rsidR="008C76E0" w:rsidRPr="003B2786" w:rsidRDefault="008C76E0" w:rsidP="008C76E0">
            <w:pPr>
              <w:pStyle w:val="Bodytext180"/>
              <w:shd w:val="clear" w:color="auto" w:fill="auto"/>
              <w:spacing w:before="0" w:after="160" w:line="360" w:lineRule="auto"/>
              <w:ind w:right="-1" w:firstLine="0"/>
              <w:jc w:val="center"/>
              <w:rPr>
                <w:rFonts w:ascii="Sylfaen" w:hAnsi="Sylfaen"/>
                <w:b w:val="0"/>
                <w:sz w:val="24"/>
                <w:szCs w:val="24"/>
              </w:rPr>
            </w:pPr>
            <w:r w:rsidRPr="003B2786">
              <w:rPr>
                <w:rStyle w:val="Bodytext295pt"/>
                <w:rFonts w:ascii="Sylfaen" w:hAnsi="Sylfaen"/>
                <w:sz w:val="24"/>
                <w:szCs w:val="24"/>
              </w:rPr>
              <w:t>Կ.Տ.</w:t>
            </w:r>
          </w:p>
        </w:tc>
      </w:tr>
    </w:tbl>
    <w:p w14:paraId="668C952B" w14:textId="77777777" w:rsidR="008C76E0" w:rsidRPr="003B2786" w:rsidRDefault="008C76E0" w:rsidP="008C76E0">
      <w:pPr>
        <w:ind w:right="-1"/>
        <w:jc w:val="both"/>
        <w:rPr>
          <w:rFonts w:ascii="Sylfaen" w:hAnsi="Sylfaen"/>
          <w:sz w:val="24"/>
          <w:szCs w:val="24"/>
        </w:rPr>
      </w:pPr>
      <w:r w:rsidRPr="003B2786">
        <w:rPr>
          <w:rFonts w:ascii="Sylfaen" w:hAnsi="Sylfaen"/>
          <w:sz w:val="24"/>
          <w:szCs w:val="24"/>
        </w:rPr>
        <w:br w:type="page"/>
      </w:r>
    </w:p>
    <w:p w14:paraId="3A438064" w14:textId="77777777" w:rsidR="008C76E0" w:rsidRPr="00C25344" w:rsidRDefault="008C76E0" w:rsidP="00A37C9C">
      <w:pPr>
        <w:pStyle w:val="Heading10"/>
        <w:shd w:val="clear" w:color="auto" w:fill="auto"/>
        <w:spacing w:before="0" w:after="160" w:line="360" w:lineRule="auto"/>
        <w:ind w:left="567" w:right="566"/>
        <w:rPr>
          <w:rFonts w:ascii="Sylfaen" w:hAnsi="Sylfaen"/>
          <w:b w:val="0"/>
          <w:sz w:val="24"/>
          <w:szCs w:val="24"/>
        </w:rPr>
      </w:pPr>
      <w:bookmarkStart w:id="12" w:name="bookmark13"/>
      <w:r w:rsidRPr="00C25344">
        <w:rPr>
          <w:rStyle w:val="Heading1Spacing3pt"/>
          <w:rFonts w:ascii="Sylfaen" w:hAnsi="Sylfaen"/>
          <w:b/>
          <w:sz w:val="24"/>
          <w:szCs w:val="24"/>
        </w:rPr>
        <w:lastRenderedPageBreak/>
        <w:t>ԿԱՆՈՆՆԵՐ</w:t>
      </w:r>
      <w:bookmarkEnd w:id="12"/>
    </w:p>
    <w:p w14:paraId="4AA15A23" w14:textId="77777777" w:rsidR="008C76E0" w:rsidRPr="003B2786" w:rsidRDefault="008C76E0" w:rsidP="00A37C9C">
      <w:pPr>
        <w:pStyle w:val="Bodytext130"/>
        <w:shd w:val="clear" w:color="auto" w:fill="auto"/>
        <w:spacing w:after="160" w:line="360" w:lineRule="auto"/>
        <w:ind w:left="567" w:right="566"/>
        <w:rPr>
          <w:rFonts w:ascii="Sylfaen" w:hAnsi="Sylfaen"/>
          <w:sz w:val="24"/>
          <w:szCs w:val="24"/>
        </w:rPr>
      </w:pPr>
      <w:r w:rsidRPr="003B2786">
        <w:rPr>
          <w:rFonts w:ascii="Sylfaen" w:hAnsi="Sylfaen"/>
          <w:sz w:val="24"/>
          <w:szCs w:val="24"/>
        </w:rPr>
        <w:t>բժշկական կիրառման համար նախատեսված դեղապատրաստուկի գրանցման հավաստագրի լրացման</w:t>
      </w:r>
    </w:p>
    <w:p w14:paraId="2B0BDA71" w14:textId="77777777" w:rsidR="008C76E0" w:rsidRPr="003B2786" w:rsidRDefault="008C76E0" w:rsidP="00A37C9C">
      <w:pPr>
        <w:pStyle w:val="Bodytext130"/>
        <w:shd w:val="clear" w:color="auto" w:fill="auto"/>
        <w:spacing w:after="160" w:line="360" w:lineRule="auto"/>
        <w:rPr>
          <w:rFonts w:ascii="Sylfaen" w:hAnsi="Sylfaen"/>
          <w:sz w:val="24"/>
          <w:szCs w:val="24"/>
        </w:rPr>
      </w:pPr>
    </w:p>
    <w:p w14:paraId="00C7DFD8"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Գրանցման հավաստագիրը՝ Եվրասիական տնտեսական միության շրջանակներում բժշկական կիրառման համար նախատեսված դեղապատրաստուկի գրանցման փաստը հաստատող փաստաթուղթը (այսուհետ համապատասխանաբար՝ Միություն, փաստաթուղթ), լրացվում է Միության շրջանակներում բժշկական կիրառման համար նախատեսված դեղապատրաստուկի գրանցումն իրականացրած Միության անդամ պետության լիազորված մարմնի կողմից՝ սույն կանոններին համապատասխան (այսուհետ համապատասխանաբար՝ անդամ պետություն, լիազորված մարմին), միասնական ձ</w:t>
      </w:r>
      <w:r w:rsidR="00C54D75">
        <w:rPr>
          <w:rFonts w:ascii="Sylfaen" w:hAnsi="Sylfaen"/>
          <w:sz w:val="24"/>
          <w:szCs w:val="24"/>
        </w:rPr>
        <w:t>և</w:t>
      </w:r>
      <w:r w:rsidRPr="003B2786">
        <w:rPr>
          <w:rFonts w:ascii="Sylfaen" w:hAnsi="Sylfaen"/>
          <w:sz w:val="24"/>
          <w:szCs w:val="24"/>
        </w:rPr>
        <w:t>ով:</w:t>
      </w:r>
    </w:p>
    <w:p w14:paraId="0EE31D31" w14:textId="77777777" w:rsidR="008C76E0" w:rsidRPr="003B2786" w:rsidRDefault="008C76E0" w:rsidP="00A37C9C">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 xml:space="preserve">Գրանցման հավաստագիրը լրացվում է ռուսերենով՝ օգտագործելով էլեկտրոնային տպիչ սարքեր, </w:t>
      </w:r>
      <w:r w:rsidR="00C54D75">
        <w:rPr>
          <w:rFonts w:ascii="Sylfaen" w:hAnsi="Sylfaen"/>
          <w:sz w:val="24"/>
          <w:szCs w:val="24"/>
        </w:rPr>
        <w:t>և</w:t>
      </w:r>
      <w:r w:rsidRPr="003B2786">
        <w:rPr>
          <w:rFonts w:ascii="Sylfaen" w:hAnsi="Sylfaen"/>
          <w:sz w:val="24"/>
          <w:szCs w:val="24"/>
        </w:rPr>
        <w:t xml:space="preserve"> անդամ պետությունների օրենսդրության մեջ պահանջի առկայության դեպքում՝ այն անդամ պետության պետական լեզվով, որտեղ գտնվում է այդ փաստաթուղթը ձ</w:t>
      </w:r>
      <w:r w:rsidR="00C54D75">
        <w:rPr>
          <w:rFonts w:ascii="Sylfaen" w:hAnsi="Sylfaen"/>
          <w:sz w:val="24"/>
          <w:szCs w:val="24"/>
        </w:rPr>
        <w:t>և</w:t>
      </w:r>
      <w:r w:rsidRPr="003B2786">
        <w:rPr>
          <w:rFonts w:ascii="Sylfaen" w:hAnsi="Sylfaen"/>
          <w:sz w:val="24"/>
          <w:szCs w:val="24"/>
        </w:rPr>
        <w:t xml:space="preserve">ակերպած լիազորված մարմինը: Նշված փաստաթղթերը ռուսերենով </w:t>
      </w:r>
      <w:r w:rsidR="00C54D75">
        <w:rPr>
          <w:rFonts w:ascii="Sylfaen" w:hAnsi="Sylfaen"/>
          <w:sz w:val="24"/>
          <w:szCs w:val="24"/>
        </w:rPr>
        <w:t>և</w:t>
      </w:r>
      <w:r w:rsidRPr="003B2786">
        <w:rPr>
          <w:rFonts w:ascii="Sylfaen" w:hAnsi="Sylfaen"/>
          <w:sz w:val="24"/>
          <w:szCs w:val="24"/>
        </w:rPr>
        <w:t xml:space="preserve"> անդամ պետություններից մեկի պետական լեզվով կազմելու դեպքում նման փաստաթղթերը լրացվում են երկկողմանի ձ</w:t>
      </w:r>
      <w:r w:rsidR="00C54D75">
        <w:rPr>
          <w:rFonts w:ascii="Sylfaen" w:hAnsi="Sylfaen"/>
          <w:sz w:val="24"/>
          <w:szCs w:val="24"/>
        </w:rPr>
        <w:t>և</w:t>
      </w:r>
      <w:r w:rsidRPr="003B2786">
        <w:rPr>
          <w:rFonts w:ascii="Sylfaen" w:hAnsi="Sylfaen"/>
          <w:sz w:val="24"/>
          <w:szCs w:val="24"/>
        </w:rPr>
        <w:t>աթղթերի վրա, որոնցից յուրաքանչյուր կողմը համապատասխանում է լեզուներից մեկին:</w:t>
      </w:r>
    </w:p>
    <w:p w14:paraId="39E38B5D"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Գրանցման փաստաթուղթը դասվում է խիստ հաշվետվության փաստաթղթերի շարքին, ձ</w:t>
      </w:r>
      <w:r w:rsidR="00C54D75">
        <w:rPr>
          <w:rFonts w:ascii="Sylfaen" w:hAnsi="Sylfaen"/>
          <w:sz w:val="24"/>
          <w:szCs w:val="24"/>
        </w:rPr>
        <w:t>և</w:t>
      </w:r>
      <w:r w:rsidRPr="003B2786">
        <w:rPr>
          <w:rFonts w:ascii="Sylfaen" w:hAnsi="Sylfaen"/>
          <w:sz w:val="24"/>
          <w:szCs w:val="24"/>
        </w:rPr>
        <w:t>աթուղթը պետք է պատրաստված լինի տպագրական եղանակով, ունենա համապատասխան անդամ պետության օրենսդրությանը համապատասխան պաշտպանության աստիճաններ:</w:t>
      </w:r>
    </w:p>
    <w:p w14:paraId="6966345B" w14:textId="77777777" w:rsidR="008C76E0" w:rsidRPr="003B2786" w:rsidRDefault="008C76E0" w:rsidP="00A37C9C">
      <w:pPr>
        <w:spacing w:after="160" w:line="336" w:lineRule="auto"/>
        <w:ind w:firstLine="567"/>
        <w:jc w:val="both"/>
        <w:rPr>
          <w:rFonts w:ascii="Sylfaen" w:hAnsi="Sylfaen"/>
          <w:sz w:val="24"/>
          <w:szCs w:val="24"/>
        </w:rPr>
      </w:pPr>
      <w:r w:rsidRPr="003B2786">
        <w:rPr>
          <w:rFonts w:ascii="Sylfaen" w:hAnsi="Sylfaen"/>
          <w:sz w:val="24"/>
          <w:szCs w:val="24"/>
        </w:rPr>
        <w:t xml:space="preserve">Անհրաժեշտության դեպքում արտադրողի անվանումը, նրա գտնվելու վայրը (իրավաբանական հասցեն), գրանցման հավաստագրի իրավատիրոջ անվանումը </w:t>
      </w:r>
      <w:r w:rsidR="00C54D75">
        <w:rPr>
          <w:rFonts w:ascii="Sylfaen" w:hAnsi="Sylfaen"/>
          <w:sz w:val="24"/>
          <w:szCs w:val="24"/>
        </w:rPr>
        <w:t>և</w:t>
      </w:r>
      <w:r w:rsidRPr="003B2786">
        <w:rPr>
          <w:rFonts w:ascii="Sylfaen" w:hAnsi="Sylfaen"/>
          <w:sz w:val="24"/>
          <w:szCs w:val="24"/>
        </w:rPr>
        <w:t xml:space="preserve"> իրավաբանական հասցեն կարող են նշված (կրկնօրինակված) լինել՝ օգտագործելով լատինական այբուբենի տառերը:</w:t>
      </w:r>
    </w:p>
    <w:p w14:paraId="10F366D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3.</w:t>
      </w:r>
      <w:r w:rsidRPr="003B2786">
        <w:rPr>
          <w:rFonts w:ascii="Sylfaen" w:hAnsi="Sylfaen"/>
          <w:sz w:val="24"/>
          <w:szCs w:val="24"/>
        </w:rPr>
        <w:tab/>
        <w:t>Գրանցման հավաստագրի համարը ձ</w:t>
      </w:r>
      <w:r w:rsidR="00C54D75">
        <w:rPr>
          <w:rFonts w:ascii="Sylfaen" w:hAnsi="Sylfaen"/>
          <w:sz w:val="24"/>
          <w:szCs w:val="24"/>
        </w:rPr>
        <w:t>և</w:t>
      </w:r>
      <w:r w:rsidRPr="003B2786">
        <w:rPr>
          <w:rFonts w:ascii="Sylfaen" w:hAnsi="Sylfaen"/>
          <w:sz w:val="24"/>
          <w:szCs w:val="24"/>
        </w:rPr>
        <w:t>ավորվում է հետ</w:t>
      </w:r>
      <w:r w:rsidR="00C54D75">
        <w:rPr>
          <w:rFonts w:ascii="Sylfaen" w:hAnsi="Sylfaen"/>
          <w:sz w:val="24"/>
          <w:szCs w:val="24"/>
        </w:rPr>
        <w:t>և</w:t>
      </w:r>
      <w:r w:rsidRPr="003B2786">
        <w:rPr>
          <w:rFonts w:ascii="Sylfaen" w:hAnsi="Sylfaen"/>
          <w:sz w:val="24"/>
          <w:szCs w:val="24"/>
        </w:rPr>
        <w:t>յալ կարգով՝</w:t>
      </w:r>
    </w:p>
    <w:p w14:paraId="64BC3F0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ԴՊ-թիվ (XXXXXX)-(YY-ZZ), որտեղ՝</w:t>
      </w:r>
    </w:p>
    <w:p w14:paraId="24CA1CD3"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«ԴՊ» դիրքը դեղապատրաստուկն է,</w:t>
      </w:r>
    </w:p>
    <w:p w14:paraId="78C0901C"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«թիվ (ХХХХХХ)» դիրքը՝ գրանցման հավաստագրի՝ գրանցման անդամ պետության կողմից տրված միասնական վեցանիշ հերթական համարը (տրվում է ավտոմատ կերպով՝ Միության շրջանակներում գրանցված դեղամիջոցների միասնական ռեեստրից),</w:t>
      </w:r>
    </w:p>
    <w:p w14:paraId="0E656AA0" w14:textId="77777777" w:rsidR="008C76E0" w:rsidRPr="003B2786" w:rsidRDefault="008C76E0" w:rsidP="00A37C9C">
      <w:pPr>
        <w:tabs>
          <w:tab w:val="left" w:pos="1134"/>
        </w:tabs>
        <w:spacing w:after="160" w:line="360" w:lineRule="auto"/>
        <w:ind w:left="567" w:right="-1" w:firstLine="567"/>
        <w:jc w:val="both"/>
        <w:rPr>
          <w:rFonts w:ascii="Sylfaen" w:hAnsi="Sylfaen"/>
          <w:sz w:val="24"/>
          <w:szCs w:val="24"/>
        </w:rPr>
      </w:pPr>
      <w:r w:rsidRPr="003B2786">
        <w:rPr>
          <w:rFonts w:ascii="Sylfaen" w:hAnsi="Sylfaen"/>
          <w:sz w:val="24"/>
          <w:szCs w:val="24"/>
        </w:rPr>
        <w:t xml:space="preserve">«YY» դիրքը՝ դեղապատրաստուկի փորձաքննության </w:t>
      </w:r>
      <w:r w:rsidR="00C54D75">
        <w:rPr>
          <w:rFonts w:ascii="Sylfaen" w:hAnsi="Sylfaen"/>
          <w:sz w:val="24"/>
          <w:szCs w:val="24"/>
        </w:rPr>
        <w:t>և</w:t>
      </w:r>
      <w:r w:rsidRPr="003B2786">
        <w:rPr>
          <w:rFonts w:ascii="Sylfaen" w:hAnsi="Sylfaen"/>
          <w:sz w:val="24"/>
          <w:szCs w:val="24"/>
        </w:rPr>
        <w:t xml:space="preserve"> գրանցման ընթացքում անդամ պետության կարգավիճակը («ՌՊ»՝ ռեֆերենտ պետությունը, «ՃՊ»՝ ճանաչման պետությունը), </w:t>
      </w:r>
    </w:p>
    <w:p w14:paraId="63B837B1" w14:textId="77777777" w:rsidR="008C76E0" w:rsidRPr="003B2786" w:rsidRDefault="008C76E0" w:rsidP="00A37C9C">
      <w:pPr>
        <w:tabs>
          <w:tab w:val="left" w:pos="1134"/>
        </w:tabs>
        <w:spacing w:after="160" w:line="360" w:lineRule="auto"/>
        <w:ind w:left="567" w:firstLine="567"/>
        <w:jc w:val="both"/>
        <w:rPr>
          <w:rFonts w:ascii="Sylfaen" w:hAnsi="Sylfaen"/>
          <w:sz w:val="24"/>
          <w:szCs w:val="24"/>
        </w:rPr>
      </w:pPr>
      <w:r w:rsidRPr="003B2786">
        <w:rPr>
          <w:rFonts w:ascii="Sylfaen" w:hAnsi="Sylfaen"/>
          <w:sz w:val="24"/>
          <w:szCs w:val="24"/>
        </w:rPr>
        <w:t xml:space="preserve">«ZZ» դիրքը՝ անդամ պետության երկտառանի ծածկագիրը (ISO 3166-1-2013 միջազգային ստանդարտին համապատասխան՝ «Երկրների անվանումների </w:t>
      </w:r>
      <w:r w:rsidR="00C54D75">
        <w:rPr>
          <w:rFonts w:ascii="Sylfaen" w:hAnsi="Sylfaen"/>
          <w:sz w:val="24"/>
          <w:szCs w:val="24"/>
        </w:rPr>
        <w:t>և</w:t>
      </w:r>
      <w:r w:rsidRPr="003B2786">
        <w:rPr>
          <w:rFonts w:ascii="Sylfaen" w:hAnsi="Sylfaen"/>
          <w:sz w:val="24"/>
          <w:szCs w:val="24"/>
        </w:rPr>
        <w:t xml:space="preserve"> դրանց վարչատարածքային միավորների բաժանումը ներկայացնելու ծածկագրերը: Մաս 1. Երկրների ծածկագրեր»: Հայաստանի Հանրապետություն՝ AM, Բելառուսի Հանրապետություն՝ BY, Ղազախստանի Հանրապետություն՝ КZ, Ղրղզստանի Հանրապետություն՝ KG, Ռուսաստանի Դաշնություն՝ RU):</w:t>
      </w:r>
    </w:p>
    <w:p w14:paraId="2D3D6AA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1-ին դաշտում նշվում է գրանցման հավատագրի իրավատիրոջ լրիվ անվանումը:</w:t>
      </w:r>
    </w:p>
    <w:p w14:paraId="28314AFB"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2-րդ դաշտում նշվում է գրանցման հավաստագրի իրավատիրոջ իրավաբանական հասցեն՝ ներառյալ երկիրը:</w:t>
      </w:r>
    </w:p>
    <w:p w14:paraId="06164F83"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3-րդ դաշտում նշվում է գրանցման ամսաթիվը՝ օր/ամիս/տարի ձ</w:t>
      </w:r>
      <w:r w:rsidR="00C54D75">
        <w:rPr>
          <w:rFonts w:ascii="Sylfaen" w:hAnsi="Sylfaen"/>
          <w:sz w:val="24"/>
          <w:szCs w:val="24"/>
        </w:rPr>
        <w:t>և</w:t>
      </w:r>
      <w:r w:rsidRPr="003B2786">
        <w:rPr>
          <w:rFonts w:ascii="Sylfaen" w:hAnsi="Sylfaen"/>
          <w:sz w:val="24"/>
          <w:szCs w:val="24"/>
        </w:rPr>
        <w:t>աչափով, որը լիազորված անձի կողմից դեղապատրաստուկի գրանցման մասին որոշում կայացնելու ամսաթիվն է:</w:t>
      </w:r>
    </w:p>
    <w:p w14:paraId="20F4FD47" w14:textId="77777777" w:rsidR="008C76E0" w:rsidRPr="003B2786" w:rsidRDefault="008C76E0" w:rsidP="00A37C9C">
      <w:pPr>
        <w:tabs>
          <w:tab w:val="left" w:pos="1134"/>
        </w:tabs>
        <w:spacing w:after="160" w:line="336"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4-րդ դաշտում նշվում է գրանցման հավաստագրի գործողության ժամկետը լրանալու ամսաթիվը՝ օր/ամիս/տարի ձ</w:t>
      </w:r>
      <w:r w:rsidR="00C54D75">
        <w:rPr>
          <w:rFonts w:ascii="Sylfaen" w:hAnsi="Sylfaen"/>
          <w:sz w:val="24"/>
          <w:szCs w:val="24"/>
        </w:rPr>
        <w:t>և</w:t>
      </w:r>
      <w:r w:rsidRPr="003B2786">
        <w:rPr>
          <w:rFonts w:ascii="Sylfaen" w:hAnsi="Sylfaen"/>
          <w:sz w:val="24"/>
          <w:szCs w:val="24"/>
        </w:rPr>
        <w:t xml:space="preserve">աչափով, որը հաշվարկվում է ռեֆերենտ պետության կողմից դեղապատրաստուկը գրանցելու ամսաթվից: </w:t>
      </w:r>
    </w:p>
    <w:p w14:paraId="71A55878"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lastRenderedPageBreak/>
        <w:t>8.</w:t>
      </w:r>
      <w:r w:rsidRPr="003B2786">
        <w:rPr>
          <w:rFonts w:ascii="Sylfaen" w:hAnsi="Sylfaen"/>
          <w:sz w:val="24"/>
          <w:szCs w:val="24"/>
        </w:rPr>
        <w:tab/>
        <w:t>5-րդ դաշտում նշվում է գրանցումը (վերագրանցումը) հաստատելու ամսաթիվը՝ օր/ամիս/տարի ձ</w:t>
      </w:r>
      <w:r w:rsidR="00C54D75">
        <w:rPr>
          <w:rFonts w:ascii="Sylfaen" w:hAnsi="Sylfaen"/>
          <w:sz w:val="24"/>
          <w:szCs w:val="24"/>
        </w:rPr>
        <w:t>և</w:t>
      </w:r>
      <w:r w:rsidRPr="003B2786">
        <w:rPr>
          <w:rFonts w:ascii="Sylfaen" w:hAnsi="Sylfaen"/>
          <w:sz w:val="24"/>
          <w:szCs w:val="24"/>
        </w:rPr>
        <w:t>աչափով, որը հաշվարկվում է ռեֆերենտ պետության կողմից դեղապատրաստուկը գրանցելու ամսաթվից:</w:t>
      </w:r>
    </w:p>
    <w:p w14:paraId="6F3FDEF7"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9.</w:t>
      </w:r>
      <w:r w:rsidRPr="003B2786">
        <w:rPr>
          <w:rFonts w:ascii="Sylfaen" w:hAnsi="Sylfaen"/>
          <w:sz w:val="24"/>
          <w:szCs w:val="24"/>
        </w:rPr>
        <w:tab/>
        <w:t>6-րդ դաշտում նշվում է գրանցման հավաստագրում փոփոխություններ կատարելու (վերաձ</w:t>
      </w:r>
      <w:r w:rsidR="00C54D75">
        <w:rPr>
          <w:rFonts w:ascii="Sylfaen" w:hAnsi="Sylfaen"/>
          <w:sz w:val="24"/>
          <w:szCs w:val="24"/>
        </w:rPr>
        <w:t>և</w:t>
      </w:r>
      <w:r w:rsidRPr="003B2786">
        <w:rPr>
          <w:rFonts w:ascii="Sylfaen" w:hAnsi="Sylfaen"/>
          <w:sz w:val="24"/>
          <w:szCs w:val="24"/>
        </w:rPr>
        <w:t>ակերպելու) ամսաթիվը՝ օր/ամիս/տարի ձ</w:t>
      </w:r>
      <w:r w:rsidR="00C54D75">
        <w:rPr>
          <w:rFonts w:ascii="Sylfaen" w:hAnsi="Sylfaen"/>
          <w:sz w:val="24"/>
          <w:szCs w:val="24"/>
        </w:rPr>
        <w:t>և</w:t>
      </w:r>
      <w:r w:rsidRPr="003B2786">
        <w:rPr>
          <w:rFonts w:ascii="Sylfaen" w:hAnsi="Sylfaen"/>
          <w:sz w:val="24"/>
          <w:szCs w:val="24"/>
        </w:rPr>
        <w:t>աչափով:</w:t>
      </w:r>
    </w:p>
    <w:p w14:paraId="00598ED0"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7-րդ դաշտում նշվում է ռեֆերենտ պետությունում դեղապատրաստուկի գրանցման ամսաթիվը:</w:t>
      </w:r>
    </w:p>
    <w:p w14:paraId="06C87664"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Ենթաղյուսակային տողերը լրացվում են՝ նշելով այն անդամ պետության անվանումը, որի տարածքում թույլատրված է տվյալ դեղապատրաստուկի բժշկական կիրառումը:</w:t>
      </w:r>
    </w:p>
    <w:p w14:paraId="53728FFA"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8-րդ դաշտում նշվում է դեղապատրաստուկի առ</w:t>
      </w:r>
      <w:r w:rsidR="00C54D75">
        <w:rPr>
          <w:rFonts w:ascii="Sylfaen" w:hAnsi="Sylfaen"/>
          <w:sz w:val="24"/>
          <w:szCs w:val="24"/>
        </w:rPr>
        <w:t>և</w:t>
      </w:r>
      <w:r w:rsidRPr="003B2786">
        <w:rPr>
          <w:rFonts w:ascii="Sylfaen" w:hAnsi="Sylfaen"/>
          <w:sz w:val="24"/>
          <w:szCs w:val="24"/>
        </w:rPr>
        <w:t xml:space="preserve">տրային անվանումը՝ դեղապատրաստուկների բժշկական կիրառման հրահանգին </w:t>
      </w:r>
      <w:r w:rsidR="00C54D75">
        <w:rPr>
          <w:rFonts w:ascii="Sylfaen" w:hAnsi="Sylfaen"/>
          <w:sz w:val="24"/>
          <w:szCs w:val="24"/>
        </w:rPr>
        <w:t>և</w:t>
      </w:r>
      <w:r w:rsidRPr="003B2786">
        <w:rPr>
          <w:rFonts w:ascii="Sylfaen" w:hAnsi="Sylfaen"/>
          <w:sz w:val="24"/>
          <w:szCs w:val="24"/>
        </w:rPr>
        <w:t xml:space="preserve"> բժշկական կիրառման համար նախատեսված դեղապատրաստուկների ընդհանուր բնութագրի պահանջներին համապատասխան, որոնք հաստատվում են Եվրասիական տնտեսական հանձնաժողովի կողմից:</w:t>
      </w:r>
    </w:p>
    <w:p w14:paraId="6D0A5422"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 xml:space="preserve">9-րդ դաշտում նշվում է ակտիվ դեղագործական բաղադրամասի միջազգային չարտոնագրված անվանումը (այսուհետ՝ ՄՉԱ), ՄՉԱ-ի բացակայության դեպքում օգտագործվում է համընդհանուր (խմբայնացված) անվանումը, իսկ դրանց բացակայության դեպքում՝ անվանումը՝ ԻՅուՊԱԿ-ի (IUPAC) </w:t>
      </w:r>
      <w:r w:rsidRPr="003B2786">
        <w:rPr>
          <w:rFonts w:ascii="Sylfaen" w:hAnsi="Sylfaen"/>
          <w:spacing w:val="-6"/>
          <w:sz w:val="24"/>
          <w:szCs w:val="24"/>
        </w:rPr>
        <w:t xml:space="preserve">քիմիական անվանացանկի համաձայն: Համակցված դեղապատրաստուկների համար օգտագործվում է համապատասխան համընդհանուր (խմբայնացված) անվանումը, որը այբբենական կարգով կներկայացնի ՄՉԱ-ի թվարկումը </w:t>
      </w:r>
      <w:r w:rsidR="00C54D75">
        <w:rPr>
          <w:rFonts w:ascii="Sylfaen" w:hAnsi="Sylfaen"/>
          <w:spacing w:val="-6"/>
          <w:sz w:val="24"/>
          <w:szCs w:val="24"/>
        </w:rPr>
        <w:t>և</w:t>
      </w:r>
      <w:r w:rsidRPr="003B2786">
        <w:rPr>
          <w:rFonts w:ascii="Sylfaen" w:hAnsi="Sylfaen"/>
          <w:spacing w:val="-6"/>
          <w:sz w:val="24"/>
          <w:szCs w:val="24"/>
        </w:rPr>
        <w:t xml:space="preserve"> (կամ) խմբայնացված անվանումները՝ «+» նշանով: Այն դեպքում, երբ մեկ կամ մի քանի ակտիվ բաղադրիչների դեղագործական ակտիվությամբ ուղղակիորեն պայմանավորված չէ դեղապատրաստուկի դեղագործական էֆեկտը, այլ հանդես է գալիս որպես օժանդակ, ապա այդ բաղադրիչի (բաղադրիչների) անվանումը համընդհանուր (խմբայնացված) անվանման վերջում նշվում է քառակուսի փակագծերում՝ անկախ</w:t>
      </w:r>
      <w:r w:rsidRPr="003B2786">
        <w:rPr>
          <w:rFonts w:ascii="Sylfaen" w:hAnsi="Sylfaen"/>
          <w:sz w:val="24"/>
          <w:szCs w:val="24"/>
        </w:rPr>
        <w:t xml:space="preserve"> այբբենական կարգից:</w:t>
      </w:r>
    </w:p>
    <w:p w14:paraId="404A839A"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lastRenderedPageBreak/>
        <w:t>14.</w:t>
      </w:r>
      <w:r w:rsidRPr="003B2786">
        <w:rPr>
          <w:rFonts w:ascii="Sylfaen" w:hAnsi="Sylfaen"/>
          <w:sz w:val="24"/>
          <w:szCs w:val="24"/>
        </w:rPr>
        <w:tab/>
        <w:t>10-րդ դաշտում նշվում է դեղաձ</w:t>
      </w:r>
      <w:r w:rsidR="00C54D75">
        <w:rPr>
          <w:rFonts w:ascii="Sylfaen" w:hAnsi="Sylfaen"/>
          <w:sz w:val="24"/>
          <w:szCs w:val="24"/>
        </w:rPr>
        <w:t>և</w:t>
      </w:r>
      <w:r w:rsidRPr="003B2786">
        <w:rPr>
          <w:rFonts w:ascii="Sylfaen" w:hAnsi="Sylfaen"/>
          <w:sz w:val="24"/>
          <w:szCs w:val="24"/>
        </w:rPr>
        <w:t>ի անվանումը՝ առաջնորդվելով Միության դեղաձ</w:t>
      </w:r>
      <w:r w:rsidR="00C54D75">
        <w:rPr>
          <w:rFonts w:ascii="Sylfaen" w:hAnsi="Sylfaen"/>
          <w:sz w:val="24"/>
          <w:szCs w:val="24"/>
        </w:rPr>
        <w:t>և</w:t>
      </w:r>
      <w:r w:rsidRPr="003B2786">
        <w:rPr>
          <w:rFonts w:ascii="Sylfaen" w:hAnsi="Sylfaen"/>
          <w:sz w:val="24"/>
          <w:szCs w:val="24"/>
        </w:rPr>
        <w:t>երի անվանացանկով, հավաքակազմերի (լրակազմերի) համար նշվում է հավաքակազմի (լրակազմի) բաղադրիչներից յուրաքանչյուրի դեղաձ</w:t>
      </w:r>
      <w:r w:rsidR="00C54D75">
        <w:rPr>
          <w:rFonts w:ascii="Sylfaen" w:hAnsi="Sylfaen"/>
          <w:sz w:val="24"/>
          <w:szCs w:val="24"/>
        </w:rPr>
        <w:t>և</w:t>
      </w:r>
      <w:r w:rsidRPr="003B2786">
        <w:rPr>
          <w:rFonts w:ascii="Sylfaen" w:hAnsi="Sylfaen"/>
          <w:sz w:val="24"/>
          <w:szCs w:val="24"/>
        </w:rPr>
        <w:t>ի անվանումը:</w:t>
      </w:r>
    </w:p>
    <w:p w14:paraId="05A7907A"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11-րդ դաշտում նշվում է դեղաձ</w:t>
      </w:r>
      <w:r w:rsidR="00C54D75">
        <w:rPr>
          <w:rFonts w:ascii="Sylfaen" w:hAnsi="Sylfaen"/>
          <w:sz w:val="24"/>
          <w:szCs w:val="24"/>
        </w:rPr>
        <w:t>և</w:t>
      </w:r>
      <w:r w:rsidRPr="003B2786">
        <w:rPr>
          <w:rFonts w:ascii="Sylfaen" w:hAnsi="Sylfaen"/>
          <w:sz w:val="24"/>
          <w:szCs w:val="24"/>
        </w:rPr>
        <w:t>ի յուրաքանչյուր միավորի դոզան: Համակցված դեղապատրաստուկների համար դեղաձ</w:t>
      </w:r>
      <w:r w:rsidR="00C54D75">
        <w:rPr>
          <w:rFonts w:ascii="Sylfaen" w:hAnsi="Sylfaen"/>
          <w:sz w:val="24"/>
          <w:szCs w:val="24"/>
        </w:rPr>
        <w:t>և</w:t>
      </w:r>
      <w:r w:rsidRPr="003B2786">
        <w:rPr>
          <w:rFonts w:ascii="Sylfaen" w:hAnsi="Sylfaen"/>
          <w:sz w:val="24"/>
          <w:szCs w:val="24"/>
        </w:rPr>
        <w:t>ի յուրաքանչյուր բաղադրիչի դոզան նշվում է</w:t>
      </w:r>
      <w:r w:rsidR="003F7A44">
        <w:rPr>
          <w:rFonts w:ascii="Sylfaen" w:hAnsi="Sylfaen"/>
          <w:sz w:val="24"/>
          <w:szCs w:val="24"/>
        </w:rPr>
        <w:t xml:space="preserve"> «+» </w:t>
      </w:r>
      <w:r w:rsidRPr="003B2786">
        <w:rPr>
          <w:rFonts w:ascii="Sylfaen" w:hAnsi="Sylfaen"/>
          <w:sz w:val="24"/>
          <w:szCs w:val="24"/>
        </w:rPr>
        <w:t>նշանով՝ համընդհանուր (խմբայնացված) անվանմանը համապատասխան կարգով: Դոզայի (դոզաների) նշումը պետք է համընկնի դեղապատրաստուկի որակի վերաբերյալ նորմատիվ փաստաթղթում ներկայացված տեղեկությունների հետ:</w:t>
      </w:r>
    </w:p>
    <w:p w14:paraId="085E5085" w14:textId="15BE24DC" w:rsidR="008C76E0"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16.</w:t>
      </w:r>
      <w:r w:rsidRPr="003B2786">
        <w:rPr>
          <w:rFonts w:ascii="Sylfaen" w:hAnsi="Sylfaen"/>
          <w:sz w:val="24"/>
          <w:szCs w:val="24"/>
        </w:rPr>
        <w:tab/>
        <w:t>12-րդ դաշտում նշվում է դեղապատրաստուկի բացթողման ձ</w:t>
      </w:r>
      <w:r w:rsidR="00C54D75">
        <w:rPr>
          <w:rFonts w:ascii="Sylfaen" w:hAnsi="Sylfaen"/>
          <w:sz w:val="24"/>
          <w:szCs w:val="24"/>
        </w:rPr>
        <w:t>և</w:t>
      </w:r>
      <w:r w:rsidRPr="003B2786">
        <w:rPr>
          <w:rFonts w:ascii="Sylfaen" w:hAnsi="Sylfaen"/>
          <w:sz w:val="24"/>
          <w:szCs w:val="24"/>
        </w:rPr>
        <w:t xml:space="preserve">ը՝ նշելով առաջնային </w:t>
      </w:r>
      <w:r w:rsidR="00C54D75">
        <w:rPr>
          <w:rFonts w:ascii="Sylfaen" w:hAnsi="Sylfaen"/>
          <w:sz w:val="24"/>
          <w:szCs w:val="24"/>
        </w:rPr>
        <w:t>և</w:t>
      </w:r>
      <w:r w:rsidRPr="003B2786">
        <w:rPr>
          <w:rFonts w:ascii="Sylfaen" w:hAnsi="Sylfaen"/>
          <w:sz w:val="24"/>
          <w:szCs w:val="24"/>
        </w:rPr>
        <w:t xml:space="preserve"> երկրորդային փաթեթվածքի տեսակը, </w:t>
      </w:r>
      <w:r w:rsidR="00C54D75">
        <w:rPr>
          <w:rFonts w:ascii="Sylfaen" w:hAnsi="Sylfaen"/>
          <w:sz w:val="24"/>
          <w:szCs w:val="24"/>
        </w:rPr>
        <w:t>և</w:t>
      </w:r>
      <w:r w:rsidRPr="003B2786">
        <w:rPr>
          <w:rFonts w:ascii="Sylfaen" w:hAnsi="Sylfaen"/>
          <w:sz w:val="24"/>
          <w:szCs w:val="24"/>
        </w:rPr>
        <w:t xml:space="preserve"> դրանցում՝ դեղաձ</w:t>
      </w:r>
      <w:r w:rsidR="00C54D75">
        <w:rPr>
          <w:rFonts w:ascii="Sylfaen" w:hAnsi="Sylfaen"/>
          <w:sz w:val="24"/>
          <w:szCs w:val="24"/>
        </w:rPr>
        <w:t>և</w:t>
      </w:r>
      <w:r w:rsidRPr="003B2786">
        <w:rPr>
          <w:rFonts w:ascii="Sylfaen" w:hAnsi="Sylfaen"/>
          <w:sz w:val="24"/>
          <w:szCs w:val="24"/>
        </w:rPr>
        <w:t>ի, ինչպես նա</w:t>
      </w:r>
      <w:r w:rsidR="00C54D75">
        <w:rPr>
          <w:rFonts w:ascii="Sylfaen" w:hAnsi="Sylfaen"/>
          <w:sz w:val="24"/>
          <w:szCs w:val="24"/>
        </w:rPr>
        <w:t>և</w:t>
      </w:r>
      <w:r w:rsidRPr="003B2786">
        <w:rPr>
          <w:rFonts w:ascii="Sylfaen" w:hAnsi="Sylfaen"/>
          <w:sz w:val="24"/>
          <w:szCs w:val="24"/>
        </w:rPr>
        <w:t xml:space="preserve"> կոմպլեկտայնության քանակը (դոզայի թիվը): Նշումները պետք է համընկնեն դեղապատրաստուկի որակի վերաբերյալ նորմատիվ փաստաթղթում ներկայացված տեղեկատվության հետ:</w:t>
      </w:r>
    </w:p>
    <w:p w14:paraId="3A98C2FF" w14:textId="55EA6434" w:rsidR="00E430CB" w:rsidRDefault="00E430CB" w:rsidP="00A37C9C">
      <w:pPr>
        <w:tabs>
          <w:tab w:val="left" w:pos="1276"/>
        </w:tabs>
        <w:spacing w:after="160" w:line="360" w:lineRule="auto"/>
        <w:ind w:right="-1" w:firstLine="567"/>
        <w:jc w:val="both"/>
        <w:rPr>
          <w:rFonts w:ascii="Sylfaen" w:hAnsi="Sylfaen"/>
          <w:sz w:val="24"/>
          <w:szCs w:val="24"/>
        </w:rPr>
      </w:pPr>
      <w:r>
        <w:rPr>
          <w:rFonts w:ascii="Sylfaen" w:hAnsi="Sylfaen"/>
          <w:sz w:val="24"/>
          <w:szCs w:val="24"/>
        </w:rPr>
        <w:t xml:space="preserve">16.1.     </w:t>
      </w:r>
      <w:r w:rsidRPr="00E430CB">
        <w:rPr>
          <w:rFonts w:ascii="Sylfaen" w:hAnsi="Sylfaen"/>
          <w:sz w:val="24"/>
          <w:szCs w:val="24"/>
        </w:rPr>
        <w:t>12.1 դաշտում անհրաժեշտության դեպքում նշվում է չբաժնեծրարված արտադրանքի (bulk product) բացթողման ձևը՝ նշելով չբաժնեծրարված արտադրանքի փաթեթվածքի տեսակը և ծավալը (ծավալի տիրույթը)</w:t>
      </w:r>
      <w:r>
        <w:rPr>
          <w:rFonts w:ascii="Sylfaen" w:hAnsi="Sylfaen"/>
          <w:sz w:val="24"/>
          <w:szCs w:val="24"/>
        </w:rPr>
        <w:t>:</w:t>
      </w:r>
    </w:p>
    <w:p w14:paraId="064FC858" w14:textId="59B491AB" w:rsidR="00E430CB" w:rsidRPr="00CD4709" w:rsidRDefault="00E430CB" w:rsidP="00E430CB">
      <w:pPr>
        <w:rPr>
          <w:b/>
          <w:bCs/>
          <w:i/>
          <w:iCs/>
        </w:rPr>
      </w:pPr>
      <w:r w:rsidRPr="00CD4709">
        <w:rPr>
          <w:b/>
          <w:bCs/>
          <w:i/>
          <w:iCs/>
        </w:rPr>
        <w:t>(</w:t>
      </w:r>
      <w:r>
        <w:rPr>
          <w:b/>
          <w:bCs/>
          <w:i/>
          <w:iCs/>
        </w:rPr>
        <w:t xml:space="preserve">16.1 կետը լրաց 23.04.21 </w:t>
      </w:r>
      <w:r w:rsidRPr="00CD4709">
        <w:rPr>
          <w:b/>
          <w:bCs/>
          <w:i/>
          <w:iCs/>
        </w:rPr>
        <w:t xml:space="preserve"> թիվ </w:t>
      </w:r>
      <w:r>
        <w:rPr>
          <w:b/>
          <w:bCs/>
          <w:i/>
          <w:iCs/>
        </w:rPr>
        <w:t>34</w:t>
      </w:r>
      <w:r w:rsidRPr="00CD4709">
        <w:rPr>
          <w:b/>
          <w:bCs/>
          <w:i/>
          <w:iCs/>
        </w:rPr>
        <w:t>)</w:t>
      </w:r>
    </w:p>
    <w:p w14:paraId="1C12F044" w14:textId="77777777" w:rsidR="00E430CB" w:rsidRPr="003B2786" w:rsidRDefault="00E430CB" w:rsidP="00A37C9C">
      <w:pPr>
        <w:tabs>
          <w:tab w:val="left" w:pos="1276"/>
        </w:tabs>
        <w:spacing w:after="160" w:line="360" w:lineRule="auto"/>
        <w:ind w:right="-1" w:firstLine="567"/>
        <w:jc w:val="both"/>
        <w:rPr>
          <w:rFonts w:ascii="Sylfaen" w:hAnsi="Sylfaen"/>
          <w:sz w:val="24"/>
          <w:szCs w:val="24"/>
        </w:rPr>
      </w:pPr>
    </w:p>
    <w:p w14:paraId="2543BAA3"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17.</w:t>
      </w:r>
      <w:r w:rsidRPr="003B2786">
        <w:rPr>
          <w:rFonts w:ascii="Sylfaen" w:hAnsi="Sylfaen"/>
          <w:sz w:val="24"/>
          <w:szCs w:val="24"/>
        </w:rPr>
        <w:tab/>
        <w:t xml:space="preserve">13-րդ դաշտում ներկայացվում են դեղապատրաստուկի բաղադրությունը՝ նշելով ակտիվ դեղագործական բաղադրամասի քանակական պարունակությունը, </w:t>
      </w:r>
      <w:r w:rsidR="00C54D75">
        <w:rPr>
          <w:rFonts w:ascii="Sylfaen" w:hAnsi="Sylfaen"/>
          <w:sz w:val="24"/>
          <w:szCs w:val="24"/>
        </w:rPr>
        <w:t>և</w:t>
      </w:r>
      <w:r w:rsidRPr="003B2786">
        <w:rPr>
          <w:rFonts w:ascii="Sylfaen" w:hAnsi="Sylfaen"/>
          <w:sz w:val="24"/>
          <w:szCs w:val="24"/>
        </w:rPr>
        <w:t xml:space="preserve"> օժանդակ նյութերի որակական բաղադրության թվարկումը: Նշումը պետք է համընկնի դեղապատրաստուկի վերաբերյալ նորմատիվ փաստաթղթում ներկայացված տեղեկությունների հետ:</w:t>
      </w:r>
    </w:p>
    <w:p w14:paraId="325BBB29"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18.</w:t>
      </w:r>
      <w:r w:rsidRPr="003B2786">
        <w:rPr>
          <w:rFonts w:ascii="Sylfaen" w:hAnsi="Sylfaen"/>
          <w:sz w:val="24"/>
          <w:szCs w:val="24"/>
        </w:rPr>
        <w:tab/>
        <w:t xml:space="preserve">14-րդ դաշտում նշվում է դեղապատրաստուկի պիտանիության ժամկետը՝ համապատասխան ժամանակահատվածի տեսքով՝ տառաթվային </w:t>
      </w:r>
      <w:r w:rsidRPr="003B2786">
        <w:rPr>
          <w:rFonts w:ascii="Sylfaen" w:hAnsi="Sylfaen"/>
          <w:sz w:val="24"/>
          <w:szCs w:val="24"/>
        </w:rPr>
        <w:lastRenderedPageBreak/>
        <w:t xml:space="preserve">եղանակով (1 տարի, 2 տարի, 3 տարի </w:t>
      </w:r>
      <w:r w:rsidR="00C54D75">
        <w:rPr>
          <w:rFonts w:ascii="Sylfaen" w:hAnsi="Sylfaen"/>
          <w:sz w:val="24"/>
          <w:szCs w:val="24"/>
        </w:rPr>
        <w:t>և</w:t>
      </w:r>
      <w:r w:rsidRPr="003B2786">
        <w:rPr>
          <w:rFonts w:ascii="Sylfaen" w:hAnsi="Sylfaen"/>
          <w:sz w:val="24"/>
          <w:szCs w:val="24"/>
        </w:rPr>
        <w:t xml:space="preserve"> այլն): Պիտանիության ժամկետի նշումը պետք է համընկնի դեղապատրաստուկի որակի վերաբերյալ նորմատիվ փաստաթղթում ներկայացված տեղեկությունների հետ:</w:t>
      </w:r>
    </w:p>
    <w:p w14:paraId="0427D35D" w14:textId="77777777" w:rsidR="008C76E0" w:rsidRPr="003B2786" w:rsidRDefault="008C76E0" w:rsidP="00A37C9C">
      <w:pPr>
        <w:tabs>
          <w:tab w:val="left" w:pos="1276"/>
        </w:tabs>
        <w:spacing w:after="160" w:line="360" w:lineRule="auto"/>
        <w:ind w:right="-1" w:firstLine="567"/>
        <w:jc w:val="both"/>
        <w:rPr>
          <w:rFonts w:ascii="Sylfaen" w:hAnsi="Sylfaen"/>
          <w:sz w:val="24"/>
          <w:szCs w:val="24"/>
        </w:rPr>
      </w:pPr>
      <w:r w:rsidRPr="003B2786">
        <w:rPr>
          <w:rFonts w:ascii="Sylfaen" w:hAnsi="Sylfaen"/>
          <w:sz w:val="24"/>
          <w:szCs w:val="24"/>
        </w:rPr>
        <w:t>19.</w:t>
      </w:r>
      <w:r w:rsidRPr="003B2786">
        <w:rPr>
          <w:rFonts w:ascii="Sylfaen" w:hAnsi="Sylfaen"/>
          <w:sz w:val="24"/>
          <w:szCs w:val="24"/>
        </w:rPr>
        <w:tab/>
        <w:t xml:space="preserve">«Դեղապատրաստուկն արտադրողի մասին տեղեկատվություն (դեղապատրաստուկի արտադրության գործընթացի մաս կազմող արտադրական հարթակների անվանումը </w:t>
      </w:r>
      <w:r w:rsidR="00C54D75">
        <w:rPr>
          <w:rFonts w:ascii="Sylfaen" w:hAnsi="Sylfaen"/>
          <w:sz w:val="24"/>
          <w:szCs w:val="24"/>
        </w:rPr>
        <w:t>և</w:t>
      </w:r>
      <w:r w:rsidRPr="003B2786">
        <w:rPr>
          <w:rFonts w:ascii="Sylfaen" w:hAnsi="Sylfaen"/>
          <w:sz w:val="24"/>
          <w:szCs w:val="24"/>
        </w:rPr>
        <w:t xml:space="preserve"> հասցեն)» աղյուսակը լրացվում է՝ նշելով գրանցման դոսյեի «Դեղապատրաստուկի արտադրության գործընթացը» 3.2.P.3 բաժնում նշված տեղեկություններին համապատասխան արտադրական հարթակներից յուրաքանչյուրի գտնվելու վայրի փաստացի հասցեն:</w:t>
      </w:r>
    </w:p>
    <w:p w14:paraId="06E4447F" w14:textId="77777777" w:rsidR="008C76E0" w:rsidRPr="003B2786" w:rsidRDefault="008C76E0" w:rsidP="00A37C9C">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Աղյուսակը պետք է ներառի արտադրական հարթակների վերաբերյալ տեղեկատվությունը՝ դեղապատրաստուկի արտադրության ամբողջ ցիկլի ընթացքում՝ ներառյալ լուծիչների, ջրիկացուցիչների </w:t>
      </w:r>
      <w:r w:rsidR="00C54D75">
        <w:rPr>
          <w:rFonts w:ascii="Sylfaen" w:hAnsi="Sylfaen"/>
          <w:sz w:val="24"/>
          <w:szCs w:val="24"/>
        </w:rPr>
        <w:t>և</w:t>
      </w:r>
      <w:r w:rsidRPr="003B2786">
        <w:rPr>
          <w:rFonts w:ascii="Sylfaen" w:hAnsi="Sylfaen"/>
          <w:sz w:val="24"/>
          <w:szCs w:val="24"/>
        </w:rPr>
        <w:t xml:space="preserve"> պատրաստի դեղապատրաստուկի ստացումն ապահովող արտադրական գործընթացի այլ մասնակիցների արտադրության մաս կազմող արտադրական հարթակները: Այդ արտադրական հարթակների վերաբերյալ տեղեկատվությունը մուտքագրվում է համապատասխան դաշտերում՝ արտադրական ցիկլի յուրաքանչյուր ընթացաշրջանի ներքո:</w:t>
      </w:r>
    </w:p>
    <w:p w14:paraId="7E2467F7"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Աղյուսակի յուրաքանչյուր դաշտում նշվում են արտադրական ցիկլի տվյալ ընթացաշրջանի հետ կապված գործընթացի բոլոր մասնակիցները: Եթե դեղապատրաստուկի արտադրության մեջ արտադրական գործընթացի որ</w:t>
      </w:r>
      <w:r w:rsidR="00C54D75">
        <w:rPr>
          <w:rFonts w:ascii="Sylfaen" w:hAnsi="Sylfaen"/>
          <w:sz w:val="24"/>
          <w:szCs w:val="24"/>
        </w:rPr>
        <w:t>և</w:t>
      </w:r>
      <w:r w:rsidRPr="003B2786">
        <w:rPr>
          <w:rFonts w:ascii="Sylfaen" w:hAnsi="Sylfaen"/>
          <w:sz w:val="24"/>
          <w:szCs w:val="24"/>
        </w:rPr>
        <w:t>է ընթացաշրջանի մաս են կազմում մի քանի արտադրական հարթակներ, ապա գրանցման հավաստագրի ձ</w:t>
      </w:r>
      <w:r w:rsidR="00C54D75">
        <w:rPr>
          <w:rFonts w:ascii="Sylfaen" w:hAnsi="Sylfaen"/>
          <w:sz w:val="24"/>
          <w:szCs w:val="24"/>
        </w:rPr>
        <w:t>և</w:t>
      </w:r>
      <w:r w:rsidRPr="003B2786">
        <w:rPr>
          <w:rFonts w:ascii="Sylfaen" w:hAnsi="Sylfaen"/>
          <w:sz w:val="24"/>
          <w:szCs w:val="24"/>
        </w:rPr>
        <w:t>ում՝ աղյուսակի մեջ, տողեր են ավելացվում արտադրական գործընթացի մասնակիցների թվին համապատասխան քանակով:</w:t>
      </w:r>
    </w:p>
    <w:p w14:paraId="55B578E6"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20.</w:t>
      </w:r>
      <w:r w:rsidRPr="003B2786">
        <w:rPr>
          <w:rFonts w:ascii="Sylfaen" w:hAnsi="Sylfaen"/>
          <w:sz w:val="24"/>
          <w:szCs w:val="24"/>
        </w:rPr>
        <w:tab/>
        <w:t xml:space="preserve">Գրանցման հավաստագրի հավելվածում դեղապատրաստուկի գրանցման հատուկ պայմանների առկայության դեպքում ներկայացվում է «Դեղապատրաստուկի գրանցման հատուկ պայմանները» աղյուսակը (լրացվում է գրանցման հավաստագրի առանձին հավելվածում): Աղյուսակի ձախ դաշտում նշվում են դեղապատրաստուկի կիրառման համար սահմանափակումները, </w:t>
      </w:r>
      <w:r w:rsidRPr="003B2786">
        <w:rPr>
          <w:rFonts w:ascii="Sylfaen" w:hAnsi="Sylfaen"/>
          <w:sz w:val="24"/>
          <w:szCs w:val="24"/>
        </w:rPr>
        <w:lastRenderedPageBreak/>
        <w:t xml:space="preserve">կենտրոնական դաշտում՝ լրացուցիչ պարտավորությունները, որոնք հարկ է կատարել գրանցման հավաստագրի իրավատիրոջ կողմից, աջ դաշտում՝ պարտավորությունների կատարման </w:t>
      </w:r>
      <w:r w:rsidR="00C54D75">
        <w:rPr>
          <w:rFonts w:ascii="Sylfaen" w:hAnsi="Sylfaen"/>
          <w:sz w:val="24"/>
          <w:szCs w:val="24"/>
        </w:rPr>
        <w:t>և</w:t>
      </w:r>
      <w:r w:rsidRPr="003B2786">
        <w:rPr>
          <w:rFonts w:ascii="Sylfaen" w:hAnsi="Sylfaen"/>
          <w:sz w:val="24"/>
          <w:szCs w:val="24"/>
        </w:rPr>
        <w:t xml:space="preserve"> դրված սահմանափակումների ժամկետը՝ օր/ամիս/տարի ձ</w:t>
      </w:r>
      <w:r w:rsidR="00C54D75">
        <w:rPr>
          <w:rFonts w:ascii="Sylfaen" w:hAnsi="Sylfaen"/>
          <w:sz w:val="24"/>
          <w:szCs w:val="24"/>
        </w:rPr>
        <w:t>և</w:t>
      </w:r>
      <w:r w:rsidRPr="003B2786">
        <w:rPr>
          <w:rFonts w:ascii="Sylfaen" w:hAnsi="Sylfaen"/>
          <w:sz w:val="24"/>
          <w:szCs w:val="24"/>
        </w:rPr>
        <w:t>աչափով:</w:t>
      </w:r>
    </w:p>
    <w:p w14:paraId="2DEBE74C" w14:textId="77777777" w:rsidR="008C76E0" w:rsidRPr="003B2786"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Հավելվածը գրանցման հավաստագրի անքակտելի մասն է: Հավելվածի յուրաքանչյուր թերթ պետք է համարակալված լինի, դրա վրա դրվում է գրանցման հավաստագրի գրանցման համարը, գրանցման հավաստագիր տրամադրած լիազորված մարմնի ղեկավարի (լիազորված անձի) պաշտոնը, ստորագրությունը, ազգանունը, անունը, հայրանունը, յուրաքանչյուր թերթ վավերացվում է լիազորված մարմնի կնիքով:</w:t>
      </w:r>
    </w:p>
    <w:p w14:paraId="4E151CFC" w14:textId="01D627C6" w:rsidR="008C76E0" w:rsidRDefault="008C76E0" w:rsidP="00A37C9C">
      <w:pPr>
        <w:spacing w:after="160" w:line="360" w:lineRule="auto"/>
        <w:ind w:right="-1"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«Լիազորված մարմնի ղեկավարը, ստորագրությունը, կնիքը» դաշտը լրացվում է անձամբ, ստորագրության փոխարեն ֆաքսիմիլեի գործածում չի թույլատրվում:</w:t>
      </w:r>
    </w:p>
    <w:p w14:paraId="68F4E4AB" w14:textId="218FCB1E" w:rsidR="001114E9" w:rsidRPr="00CD4709" w:rsidRDefault="001114E9" w:rsidP="001114E9">
      <w:pPr>
        <w:rPr>
          <w:b/>
          <w:bCs/>
          <w:i/>
          <w:iCs/>
        </w:rPr>
      </w:pPr>
      <w:r w:rsidRPr="00CD4709">
        <w:rPr>
          <w:b/>
          <w:bCs/>
          <w:i/>
          <w:iCs/>
        </w:rPr>
        <w:t>(</w:t>
      </w:r>
      <w:r>
        <w:rPr>
          <w:b/>
          <w:bCs/>
          <w:i/>
          <w:iCs/>
        </w:rPr>
        <w:t xml:space="preserve">հավելվածը լրաց. 23.04.21 </w:t>
      </w:r>
      <w:r w:rsidRPr="00CD4709">
        <w:rPr>
          <w:b/>
          <w:bCs/>
          <w:i/>
          <w:iCs/>
        </w:rPr>
        <w:t xml:space="preserve"> թիվ </w:t>
      </w:r>
      <w:r>
        <w:rPr>
          <w:b/>
          <w:bCs/>
          <w:i/>
          <w:iCs/>
        </w:rPr>
        <w:t>34</w:t>
      </w:r>
      <w:r w:rsidRPr="00CD4709">
        <w:rPr>
          <w:b/>
          <w:bCs/>
          <w:i/>
          <w:iCs/>
        </w:rPr>
        <w:t>)</w:t>
      </w:r>
    </w:p>
    <w:p w14:paraId="0FC08D2E" w14:textId="77777777" w:rsidR="001114E9" w:rsidRDefault="001114E9" w:rsidP="00A37C9C">
      <w:pPr>
        <w:spacing w:after="160" w:line="360" w:lineRule="auto"/>
        <w:ind w:right="-1" w:firstLine="567"/>
        <w:jc w:val="both"/>
        <w:rPr>
          <w:rFonts w:ascii="Sylfaen" w:hAnsi="Sylfaen"/>
          <w:sz w:val="24"/>
          <w:szCs w:val="24"/>
        </w:rPr>
      </w:pPr>
    </w:p>
    <w:p w14:paraId="1B05C93D" w14:textId="77777777" w:rsidR="008C76E0" w:rsidRPr="003B2786" w:rsidRDefault="008C76E0" w:rsidP="00A37C9C">
      <w:pPr>
        <w:spacing w:after="160" w:line="360" w:lineRule="auto"/>
        <w:ind w:right="-1" w:firstLine="567"/>
        <w:jc w:val="both"/>
        <w:rPr>
          <w:rFonts w:ascii="Sylfaen" w:hAnsi="Sylfaen"/>
          <w:sz w:val="24"/>
          <w:szCs w:val="24"/>
        </w:rPr>
      </w:pPr>
    </w:p>
    <w:p w14:paraId="4805ECE5" w14:textId="77777777" w:rsidR="008C76E0" w:rsidRDefault="008C76E0" w:rsidP="00A37C9C">
      <w:pPr>
        <w:spacing w:after="160" w:line="360" w:lineRule="auto"/>
        <w:ind w:right="-1"/>
        <w:jc w:val="center"/>
        <w:rPr>
          <w:rFonts w:ascii="Sylfaen" w:hAnsi="Sylfaen"/>
          <w:sz w:val="24"/>
          <w:szCs w:val="24"/>
        </w:rPr>
      </w:pPr>
      <w:r>
        <w:rPr>
          <w:rFonts w:ascii="Sylfaen" w:hAnsi="Sylfaen"/>
          <w:sz w:val="24"/>
          <w:szCs w:val="24"/>
        </w:rPr>
        <w:t>—————————</w:t>
      </w:r>
    </w:p>
    <w:p w14:paraId="265DEED3" w14:textId="77777777" w:rsidR="003F7A44" w:rsidRPr="00E15E7D" w:rsidRDefault="003F7A44" w:rsidP="008C76E0">
      <w:pPr>
        <w:ind w:left="3969" w:right="-1"/>
        <w:jc w:val="center"/>
        <w:rPr>
          <w:rFonts w:ascii="Sylfaen" w:hAnsi="Sylfaen"/>
          <w:sz w:val="24"/>
          <w:szCs w:val="24"/>
        </w:rPr>
      </w:pPr>
    </w:p>
    <w:p w14:paraId="7C9FE220" w14:textId="77777777" w:rsidR="003F7A44" w:rsidRPr="00E15E7D" w:rsidRDefault="003F7A44" w:rsidP="008C76E0">
      <w:pPr>
        <w:ind w:left="3969" w:right="-1"/>
        <w:jc w:val="center"/>
        <w:rPr>
          <w:rFonts w:ascii="Sylfaen" w:hAnsi="Sylfaen"/>
          <w:sz w:val="24"/>
          <w:szCs w:val="24"/>
        </w:rPr>
        <w:sectPr w:rsidR="003F7A44" w:rsidRPr="00E15E7D" w:rsidSect="0075661F">
          <w:pgSz w:w="11906" w:h="16838" w:code="9"/>
          <w:pgMar w:top="1418" w:right="1418" w:bottom="1418" w:left="1418" w:header="709" w:footer="709" w:gutter="0"/>
          <w:pgNumType w:start="1"/>
          <w:cols w:space="708"/>
          <w:titlePg/>
          <w:docGrid w:linePitch="360"/>
        </w:sectPr>
      </w:pPr>
    </w:p>
    <w:p w14:paraId="1CB2DEC9"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lastRenderedPageBreak/>
        <w:t>ՀԱՎԵԼՎԱԾ ԹԻՎ 18</w:t>
      </w:r>
    </w:p>
    <w:p w14:paraId="151993EC" w14:textId="77777777" w:rsidR="008C76E0" w:rsidRPr="003B2786" w:rsidRDefault="008C76E0" w:rsidP="003F7A44">
      <w:pPr>
        <w:spacing w:after="160" w:line="360" w:lineRule="auto"/>
        <w:ind w:left="3969"/>
        <w:jc w:val="center"/>
        <w:rPr>
          <w:rFonts w:ascii="Sylfaen" w:hAnsi="Sylfaen"/>
          <w:sz w:val="24"/>
          <w:szCs w:val="24"/>
        </w:rPr>
      </w:pPr>
      <w:r w:rsidRPr="003B2786">
        <w:rPr>
          <w:rFonts w:ascii="Sylfaen" w:hAnsi="Sylfaen"/>
          <w:sz w:val="24"/>
          <w:szCs w:val="24"/>
        </w:rPr>
        <w:t xml:space="preserve">բժշկական կիրառման համար նախատեսված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114C827A" w14:textId="77777777" w:rsidR="008C76E0" w:rsidRPr="003B2786" w:rsidRDefault="008C76E0" w:rsidP="003F7A44">
      <w:pPr>
        <w:spacing w:after="160" w:line="360" w:lineRule="auto"/>
        <w:ind w:left="5103"/>
        <w:rPr>
          <w:rFonts w:ascii="Sylfaen" w:hAnsi="Sylfaen"/>
          <w:sz w:val="24"/>
          <w:szCs w:val="24"/>
        </w:rPr>
      </w:pPr>
    </w:p>
    <w:p w14:paraId="3F364F92"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bookmarkStart w:id="13" w:name="bookmark14"/>
      <w:r w:rsidRPr="008C76E0">
        <w:rPr>
          <w:rFonts w:ascii="Sylfaen" w:hAnsi="Sylfaen"/>
          <w:sz w:val="24"/>
          <w:szCs w:val="24"/>
          <w:lang w:val="hy-AM"/>
        </w:rPr>
        <w:t>ՁԵՎ</w:t>
      </w:r>
      <w:bookmarkEnd w:id="13"/>
    </w:p>
    <w:p w14:paraId="2197784C" w14:textId="77777777" w:rsidR="008C76E0" w:rsidRPr="008C76E0" w:rsidRDefault="008C76E0" w:rsidP="003F7A44">
      <w:pPr>
        <w:pStyle w:val="Bodytext130"/>
        <w:shd w:val="clear" w:color="auto" w:fill="auto"/>
        <w:spacing w:after="160" w:line="360" w:lineRule="auto"/>
        <w:rPr>
          <w:rFonts w:ascii="Sylfaen" w:hAnsi="Sylfaen"/>
          <w:sz w:val="24"/>
          <w:szCs w:val="24"/>
          <w:lang w:val="hy-AM"/>
        </w:rPr>
      </w:pPr>
      <w:r w:rsidRPr="008C76E0">
        <w:rPr>
          <w:rFonts w:ascii="Sylfaen" w:hAnsi="Sylfaen"/>
          <w:sz w:val="24"/>
          <w:szCs w:val="24"/>
          <w:lang w:val="hy-AM"/>
        </w:rPr>
        <w:t>ճանաչման պետության կողմից արված դիտողությունների</w:t>
      </w:r>
    </w:p>
    <w:p w14:paraId="4AEEB06F" w14:textId="77777777" w:rsidR="008C76E0" w:rsidRPr="003B2786" w:rsidRDefault="008C76E0" w:rsidP="003F7A44">
      <w:pPr>
        <w:spacing w:after="160" w:line="360" w:lineRule="auto"/>
        <w:jc w:val="right"/>
        <w:rPr>
          <w:rFonts w:ascii="Sylfaen" w:hAnsi="Sylfaen"/>
          <w:sz w:val="24"/>
          <w:szCs w:val="24"/>
        </w:rPr>
      </w:pPr>
      <w:r w:rsidRPr="003B2786">
        <w:rPr>
          <w:rFonts w:ascii="Sylfaen" w:hAnsi="Sylfaen"/>
          <w:sz w:val="24"/>
          <w:szCs w:val="24"/>
        </w:rPr>
        <w:t>(ձ</w:t>
      </w:r>
      <w:r w:rsidR="00C54D75">
        <w:rPr>
          <w:rFonts w:ascii="Sylfaen" w:hAnsi="Sylfaen"/>
          <w:sz w:val="24"/>
          <w:szCs w:val="24"/>
        </w:rPr>
        <w:t>և</w:t>
      </w:r>
      <w:r w:rsidRPr="003B2786">
        <w:rPr>
          <w:rFonts w:ascii="Sylfaen" w:hAnsi="Sylfaen"/>
          <w:sz w:val="24"/>
          <w:szCs w:val="24"/>
        </w:rPr>
        <w:t>)</w:t>
      </w:r>
    </w:p>
    <w:p w14:paraId="41F36E56" w14:textId="77777777" w:rsidR="008C76E0" w:rsidRPr="003B2786" w:rsidRDefault="008C76E0" w:rsidP="003F7A44">
      <w:pPr>
        <w:spacing w:after="160" w:line="360" w:lineRule="auto"/>
        <w:jc w:val="center"/>
        <w:rPr>
          <w:rFonts w:ascii="Sylfaen" w:hAnsi="Sylfaen"/>
          <w:sz w:val="24"/>
          <w:szCs w:val="24"/>
        </w:rPr>
      </w:pPr>
      <w:r w:rsidRPr="003B2786">
        <w:rPr>
          <w:rFonts w:ascii="Sylfaen" w:hAnsi="Sylfaen"/>
          <w:sz w:val="24"/>
          <w:szCs w:val="24"/>
        </w:rPr>
        <w:t>Ճանաչման պետության կողմից արված դիտողությունները</w:t>
      </w:r>
    </w:p>
    <w:tbl>
      <w:tblPr>
        <w:tblOverlap w:val="never"/>
        <w:tblW w:w="9836" w:type="dxa"/>
        <w:jc w:val="center"/>
        <w:tblLayout w:type="fixed"/>
        <w:tblCellMar>
          <w:left w:w="10" w:type="dxa"/>
          <w:right w:w="10" w:type="dxa"/>
        </w:tblCellMar>
        <w:tblLook w:val="04A0" w:firstRow="1" w:lastRow="0" w:firstColumn="1" w:lastColumn="0" w:noHBand="0" w:noVBand="1"/>
      </w:tblPr>
      <w:tblGrid>
        <w:gridCol w:w="3069"/>
        <w:gridCol w:w="789"/>
        <w:gridCol w:w="5978"/>
      </w:tblGrid>
      <w:tr w:rsidR="008C76E0" w:rsidRPr="003B2786" w14:paraId="330CE8B0" w14:textId="77777777" w:rsidTr="008C76E0">
        <w:trPr>
          <w:trHeight w:val="1005"/>
          <w:jc w:val="center"/>
        </w:trPr>
        <w:tc>
          <w:tcPr>
            <w:tcW w:w="3069" w:type="dxa"/>
            <w:shd w:val="clear" w:color="auto" w:fill="FFFFFF"/>
          </w:tcPr>
          <w:p w14:paraId="32DCB52E" w14:textId="77777777" w:rsidR="008C76E0" w:rsidRPr="003B2786" w:rsidRDefault="008C76E0" w:rsidP="008C76E0">
            <w:pPr>
              <w:pStyle w:val="Bodytext180"/>
              <w:shd w:val="clear" w:color="auto" w:fill="auto"/>
              <w:spacing w:before="0" w:after="160" w:line="240" w:lineRule="auto"/>
              <w:ind w:right="-1" w:firstLine="0"/>
              <w:jc w:val="center"/>
              <w:rPr>
                <w:rFonts w:ascii="Sylfaen" w:hAnsi="Sylfaen"/>
                <w:b w:val="0"/>
                <w:sz w:val="24"/>
                <w:szCs w:val="24"/>
              </w:rPr>
            </w:pPr>
            <w:r w:rsidRPr="003B2786">
              <w:rPr>
                <w:rStyle w:val="Bodytext295pt"/>
                <w:rFonts w:ascii="Sylfaen" w:hAnsi="Sylfaen"/>
                <w:sz w:val="24"/>
                <w:szCs w:val="24"/>
              </w:rPr>
              <w:t xml:space="preserve">Ընթացակարգի </w:t>
            </w:r>
            <w:r>
              <w:rPr>
                <w:rStyle w:val="Bodytext295pt"/>
                <w:rFonts w:ascii="Sylfaen" w:hAnsi="Sylfaen"/>
                <w:sz w:val="24"/>
                <w:szCs w:val="24"/>
              </w:rPr>
              <w:br/>
            </w:r>
            <w:r w:rsidRPr="003B2786">
              <w:rPr>
                <w:rStyle w:val="Bodytext295pt"/>
                <w:rFonts w:ascii="Sylfaen" w:hAnsi="Sylfaen"/>
                <w:sz w:val="24"/>
                <w:szCs w:val="24"/>
              </w:rPr>
              <w:t>տեսակը</w:t>
            </w:r>
          </w:p>
        </w:tc>
        <w:tc>
          <w:tcPr>
            <w:tcW w:w="6767" w:type="dxa"/>
            <w:gridSpan w:val="2"/>
            <w:shd w:val="clear" w:color="auto" w:fill="FFFFFF"/>
          </w:tcPr>
          <w:p w14:paraId="581F7AAE"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Փոխադարձ ճանաչման ընթացակարգ</w:t>
            </w:r>
          </w:p>
          <w:p w14:paraId="4AB23E4D" w14:textId="77777777" w:rsidR="008C76E0" w:rsidRPr="003B2786" w:rsidRDefault="008C76E0" w:rsidP="008C76E0">
            <w:pPr>
              <w:pStyle w:val="Bodytext180"/>
              <w:shd w:val="clear" w:color="auto" w:fill="auto"/>
              <w:spacing w:before="0" w:after="160" w:line="240" w:lineRule="auto"/>
              <w:ind w:right="-1" w:firstLine="616"/>
              <w:jc w:val="both"/>
              <w:rPr>
                <w:rFonts w:ascii="Sylfaen" w:hAnsi="Sylfaen"/>
                <w:b w:val="0"/>
                <w:sz w:val="24"/>
                <w:szCs w:val="24"/>
              </w:rPr>
            </w:pPr>
            <w:r w:rsidRPr="003B2786">
              <w:rPr>
                <w:rFonts w:ascii="Sylfaen" w:hAnsi="Sylfaen"/>
                <w:b w:val="0"/>
                <w:sz w:val="24"/>
                <w:szCs w:val="24"/>
              </w:rPr>
              <w:t>□</w:t>
            </w:r>
            <w:r w:rsidRPr="003B2786">
              <w:rPr>
                <w:rFonts w:ascii="Sylfaen" w:hAnsi="Sylfaen"/>
                <w:b w:val="0"/>
                <w:sz w:val="24"/>
                <w:szCs w:val="24"/>
              </w:rPr>
              <w:tab/>
            </w:r>
            <w:r w:rsidRPr="003B2786">
              <w:rPr>
                <w:rStyle w:val="Bodytext295pt"/>
                <w:rFonts w:ascii="Sylfaen" w:hAnsi="Sylfaen"/>
                <w:sz w:val="24"/>
                <w:szCs w:val="24"/>
              </w:rPr>
              <w:t>ապակենտրոնացված ընթացակարգ</w:t>
            </w:r>
          </w:p>
        </w:tc>
      </w:tr>
      <w:tr w:rsidR="008C76E0" w:rsidRPr="003B2786" w14:paraId="3E85430D" w14:textId="77777777" w:rsidTr="008C76E0">
        <w:trPr>
          <w:trHeight w:val="494"/>
          <w:jc w:val="center"/>
        </w:trPr>
        <w:tc>
          <w:tcPr>
            <w:tcW w:w="3858" w:type="dxa"/>
            <w:gridSpan w:val="2"/>
            <w:vMerge w:val="restart"/>
            <w:shd w:val="clear" w:color="auto" w:fill="FFFFFF"/>
          </w:tcPr>
          <w:p w14:paraId="1147842D"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1.</w:t>
            </w:r>
            <w:r w:rsidRPr="003B2786">
              <w:rPr>
                <w:rFonts w:ascii="Sylfaen" w:hAnsi="Sylfaen"/>
                <w:b w:val="0"/>
                <w:sz w:val="24"/>
                <w:szCs w:val="24"/>
              </w:rPr>
              <w:tab/>
            </w:r>
            <w:r w:rsidRPr="003B2786">
              <w:rPr>
                <w:rStyle w:val="Bodytext295pt"/>
                <w:rFonts w:ascii="Sylfaen" w:hAnsi="Sylfaen"/>
                <w:sz w:val="24"/>
                <w:szCs w:val="24"/>
              </w:rPr>
              <w:t>Օր</w:t>
            </w:r>
          </w:p>
          <w:p w14:paraId="7FA67CD3" w14:textId="77777777" w:rsidR="008C76E0" w:rsidRPr="003B2786" w:rsidRDefault="008C76E0" w:rsidP="008C76E0">
            <w:pPr>
              <w:pStyle w:val="Bodytext180"/>
              <w:shd w:val="clear" w:color="auto" w:fill="auto"/>
              <w:tabs>
                <w:tab w:val="left" w:pos="1102"/>
              </w:tabs>
              <w:spacing w:before="0" w:after="160" w:line="240" w:lineRule="auto"/>
              <w:ind w:right="-1" w:firstLine="616"/>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t>Դ</w:t>
            </w:r>
            <w:r w:rsidRPr="003B2786">
              <w:rPr>
                <w:rStyle w:val="Bodytext295pt"/>
                <w:rFonts w:ascii="Sylfaen" w:hAnsi="Sylfaen"/>
                <w:sz w:val="24"/>
                <w:szCs w:val="24"/>
              </w:rPr>
              <w:t xml:space="preserve">իտողություններ </w:t>
            </w: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310F999F"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B87B9D3" w14:textId="77777777" w:rsidTr="008C76E0">
        <w:trPr>
          <w:trHeight w:val="152"/>
          <w:jc w:val="center"/>
        </w:trPr>
        <w:tc>
          <w:tcPr>
            <w:tcW w:w="3858" w:type="dxa"/>
            <w:gridSpan w:val="2"/>
            <w:vMerge/>
            <w:tcBorders>
              <w:top w:val="single" w:sz="4" w:space="0" w:color="auto"/>
            </w:tcBorders>
            <w:shd w:val="clear" w:color="auto" w:fill="FFFFFF"/>
          </w:tcPr>
          <w:p w14:paraId="196A1ED8" w14:textId="77777777" w:rsidR="008C76E0" w:rsidRPr="003B2786" w:rsidRDefault="008C76E0" w:rsidP="008C76E0">
            <w:pPr>
              <w:spacing w:line="240" w:lineRule="auto"/>
              <w:ind w:right="-1" w:firstLine="616"/>
              <w:jc w:val="both"/>
              <w:rPr>
                <w:rFonts w:ascii="Sylfaen" w:hAnsi="Sylfaen"/>
                <w:sz w:val="24"/>
                <w:szCs w:val="24"/>
              </w:rPr>
            </w:pPr>
          </w:p>
        </w:tc>
        <w:tc>
          <w:tcPr>
            <w:tcW w:w="5978" w:type="dxa"/>
            <w:tcBorders>
              <w:top w:val="single" w:sz="4" w:space="0" w:color="auto"/>
              <w:left w:val="single" w:sz="4" w:space="0" w:color="auto"/>
              <w:bottom w:val="single" w:sz="4" w:space="0" w:color="auto"/>
              <w:right w:val="single" w:sz="4" w:space="0" w:color="auto"/>
            </w:tcBorders>
            <w:shd w:val="clear" w:color="auto" w:fill="FFFFFF"/>
          </w:tcPr>
          <w:p w14:paraId="172E0522" w14:textId="77777777" w:rsidR="008C76E0" w:rsidRPr="003B2786" w:rsidRDefault="008C76E0" w:rsidP="008C76E0">
            <w:pPr>
              <w:tabs>
                <w:tab w:val="left" w:pos="667"/>
              </w:tabs>
              <w:spacing w:line="240" w:lineRule="auto"/>
              <w:ind w:right="187" w:firstLine="616"/>
              <w:jc w:val="right"/>
              <w:rPr>
                <w:rFonts w:ascii="Sylfaen" w:hAnsi="Sylfaen"/>
                <w:i/>
                <w:sz w:val="24"/>
                <w:szCs w:val="24"/>
              </w:rPr>
            </w:pPr>
            <w:r w:rsidRPr="003B2786">
              <w:rPr>
                <w:rFonts w:ascii="Sylfaen" w:hAnsi="Sylfaen"/>
                <w:i/>
                <w:sz w:val="24"/>
                <w:szCs w:val="24"/>
              </w:rPr>
              <w:t>կողմից</w:t>
            </w:r>
          </w:p>
        </w:tc>
      </w:tr>
      <w:tr w:rsidR="008C76E0" w:rsidRPr="003B2786" w14:paraId="2CB54704" w14:textId="77777777" w:rsidTr="008C76E0">
        <w:trPr>
          <w:trHeight w:val="494"/>
          <w:jc w:val="center"/>
        </w:trPr>
        <w:tc>
          <w:tcPr>
            <w:tcW w:w="9836" w:type="dxa"/>
            <w:gridSpan w:val="3"/>
            <w:shd w:val="clear" w:color="auto" w:fill="FFFFFF"/>
          </w:tcPr>
          <w:p w14:paraId="00F0B0A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117C362D" w14:textId="77777777" w:rsidTr="008C76E0">
        <w:trPr>
          <w:trHeight w:val="494"/>
          <w:jc w:val="center"/>
        </w:trPr>
        <w:tc>
          <w:tcPr>
            <w:tcW w:w="3858" w:type="dxa"/>
            <w:gridSpan w:val="2"/>
            <w:shd w:val="clear" w:color="auto" w:fill="FFFFFF"/>
          </w:tcPr>
          <w:p w14:paraId="41722A36" w14:textId="3429C705" w:rsidR="008C76E0" w:rsidRPr="003B2786" w:rsidRDefault="0056496B" w:rsidP="008C76E0">
            <w:pPr>
              <w:pStyle w:val="Bodytext180"/>
              <w:shd w:val="clear" w:color="auto" w:fill="auto"/>
              <w:spacing w:before="0" w:after="160" w:line="240" w:lineRule="auto"/>
              <w:ind w:right="72" w:firstLine="616"/>
              <w:jc w:val="right"/>
              <w:rPr>
                <w:rFonts w:ascii="Sylfaen" w:hAnsi="Sylfaen"/>
                <w:b w:val="0"/>
                <w:sz w:val="24"/>
                <w:szCs w:val="24"/>
              </w:rPr>
            </w:pPr>
            <w:r>
              <w:rPr>
                <w:rStyle w:val="Bodytext295pt"/>
                <w:rFonts w:ascii="Sylfaen" w:hAnsi="Sylfaen"/>
                <w:sz w:val="24"/>
                <w:szCs w:val="24"/>
              </w:rPr>
              <w:t>Դիմում</w:t>
            </w:r>
            <w:r w:rsidR="008C76E0" w:rsidRPr="003B2786">
              <w:rPr>
                <w:rStyle w:val="Bodytext295pt"/>
                <w:rFonts w:ascii="Sylfaen" w:hAnsi="Sylfaen"/>
                <w:sz w:val="24"/>
                <w:szCs w:val="24"/>
              </w:rPr>
              <w:t xml:space="preserve"> թիվ</w:t>
            </w:r>
          </w:p>
        </w:tc>
        <w:tc>
          <w:tcPr>
            <w:tcW w:w="5978" w:type="dxa"/>
            <w:tcBorders>
              <w:top w:val="single" w:sz="4" w:space="0" w:color="auto"/>
              <w:left w:val="single" w:sz="4" w:space="0" w:color="auto"/>
            </w:tcBorders>
            <w:shd w:val="clear" w:color="auto" w:fill="FFFFFF"/>
          </w:tcPr>
          <w:p w14:paraId="53CA4314"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895A48E" w14:textId="77777777" w:rsidTr="008C76E0">
        <w:trPr>
          <w:trHeight w:val="494"/>
          <w:jc w:val="center"/>
        </w:trPr>
        <w:tc>
          <w:tcPr>
            <w:tcW w:w="3858" w:type="dxa"/>
            <w:gridSpan w:val="2"/>
            <w:shd w:val="clear" w:color="auto" w:fill="FFFFFF"/>
            <w:vAlign w:val="bottom"/>
          </w:tcPr>
          <w:p w14:paraId="65372301"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Ամսաթիվը</w:t>
            </w:r>
          </w:p>
        </w:tc>
        <w:tc>
          <w:tcPr>
            <w:tcW w:w="5978" w:type="dxa"/>
            <w:tcBorders>
              <w:top w:val="single" w:sz="4" w:space="0" w:color="auto"/>
              <w:left w:val="single" w:sz="4" w:space="0" w:color="auto"/>
            </w:tcBorders>
            <w:shd w:val="clear" w:color="auto" w:fill="FFFFFF"/>
          </w:tcPr>
          <w:p w14:paraId="0F46C238"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BA17765" w14:textId="77777777" w:rsidTr="008C76E0">
        <w:trPr>
          <w:trHeight w:val="829"/>
          <w:jc w:val="center"/>
        </w:trPr>
        <w:tc>
          <w:tcPr>
            <w:tcW w:w="3858" w:type="dxa"/>
            <w:gridSpan w:val="2"/>
            <w:shd w:val="clear" w:color="auto" w:fill="FFFFFF"/>
            <w:vAlign w:val="bottom"/>
          </w:tcPr>
          <w:p w14:paraId="0FD696A2"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Դեղապատրաստուկի անվանումը</w:t>
            </w:r>
          </w:p>
        </w:tc>
        <w:tc>
          <w:tcPr>
            <w:tcW w:w="5978" w:type="dxa"/>
            <w:tcBorders>
              <w:top w:val="single" w:sz="4" w:space="0" w:color="auto"/>
              <w:left w:val="single" w:sz="4" w:space="0" w:color="auto"/>
            </w:tcBorders>
            <w:shd w:val="clear" w:color="auto" w:fill="FFFFFF"/>
          </w:tcPr>
          <w:p w14:paraId="365D7D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75468C5D" w14:textId="77777777" w:rsidTr="008C76E0">
        <w:trPr>
          <w:trHeight w:val="829"/>
          <w:jc w:val="center"/>
        </w:trPr>
        <w:tc>
          <w:tcPr>
            <w:tcW w:w="3858" w:type="dxa"/>
            <w:gridSpan w:val="2"/>
            <w:shd w:val="clear" w:color="auto" w:fill="FFFFFF"/>
            <w:vAlign w:val="bottom"/>
          </w:tcPr>
          <w:p w14:paraId="3C6E2B65"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Ակտիվ դեղագործական բաղադրամասը (բաղադրամասերը)</w:t>
            </w:r>
          </w:p>
        </w:tc>
        <w:tc>
          <w:tcPr>
            <w:tcW w:w="5978" w:type="dxa"/>
            <w:tcBorders>
              <w:top w:val="single" w:sz="4" w:space="0" w:color="auto"/>
              <w:left w:val="single" w:sz="4" w:space="0" w:color="auto"/>
            </w:tcBorders>
            <w:shd w:val="clear" w:color="auto" w:fill="FFFFFF"/>
          </w:tcPr>
          <w:p w14:paraId="69838307"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35ECA6CF" w14:textId="77777777" w:rsidTr="008C76E0">
        <w:trPr>
          <w:trHeight w:val="829"/>
          <w:jc w:val="center"/>
        </w:trPr>
        <w:tc>
          <w:tcPr>
            <w:tcW w:w="3858" w:type="dxa"/>
            <w:gridSpan w:val="2"/>
            <w:shd w:val="clear" w:color="auto" w:fill="FFFFFF"/>
            <w:vAlign w:val="bottom"/>
          </w:tcPr>
          <w:p w14:paraId="2E83D069" w14:textId="77777777" w:rsidR="008C76E0" w:rsidRPr="008C76E0" w:rsidRDefault="008C76E0" w:rsidP="008C76E0">
            <w:pPr>
              <w:pStyle w:val="Bodytext180"/>
              <w:shd w:val="clear" w:color="auto" w:fill="auto"/>
              <w:spacing w:before="0" w:after="160" w:line="240" w:lineRule="auto"/>
              <w:ind w:right="72" w:firstLine="616"/>
              <w:jc w:val="right"/>
              <w:rPr>
                <w:rFonts w:ascii="Sylfaen" w:hAnsi="Sylfaen"/>
                <w:b w:val="0"/>
                <w:sz w:val="24"/>
                <w:szCs w:val="24"/>
                <w:lang w:val="hy-AM"/>
              </w:rPr>
            </w:pPr>
            <w:r w:rsidRPr="003B2786">
              <w:rPr>
                <w:rStyle w:val="Bodytext295pt"/>
                <w:rFonts w:ascii="Sylfaen" w:hAnsi="Sylfaen"/>
                <w:sz w:val="24"/>
                <w:szCs w:val="24"/>
              </w:rPr>
              <w:t xml:space="preserve">Դոզան (դոզաները) </w:t>
            </w:r>
            <w:r w:rsidR="00C54D75">
              <w:rPr>
                <w:rStyle w:val="Bodytext295pt"/>
                <w:rFonts w:ascii="Sylfaen" w:hAnsi="Sylfaen"/>
                <w:sz w:val="24"/>
                <w:szCs w:val="24"/>
              </w:rPr>
              <w:t>և</w:t>
            </w:r>
            <w:r w:rsidRPr="003B2786">
              <w:rPr>
                <w:rStyle w:val="Bodytext295pt"/>
                <w:rFonts w:ascii="Sylfaen" w:hAnsi="Sylfaen"/>
                <w:sz w:val="24"/>
                <w:szCs w:val="24"/>
              </w:rPr>
              <w:t xml:space="preserve"> խտանյութը (խտանյութերը)</w:t>
            </w:r>
          </w:p>
        </w:tc>
        <w:tc>
          <w:tcPr>
            <w:tcW w:w="5978" w:type="dxa"/>
            <w:tcBorders>
              <w:top w:val="single" w:sz="4" w:space="0" w:color="auto"/>
              <w:left w:val="single" w:sz="4" w:space="0" w:color="auto"/>
            </w:tcBorders>
            <w:shd w:val="clear" w:color="auto" w:fill="FFFFFF"/>
          </w:tcPr>
          <w:p w14:paraId="11DF131B"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56F6B472" w14:textId="77777777" w:rsidTr="008C76E0">
        <w:trPr>
          <w:trHeight w:val="494"/>
          <w:jc w:val="center"/>
        </w:trPr>
        <w:tc>
          <w:tcPr>
            <w:tcW w:w="3858" w:type="dxa"/>
            <w:gridSpan w:val="2"/>
            <w:shd w:val="clear" w:color="auto" w:fill="FFFFFF"/>
            <w:vAlign w:val="bottom"/>
          </w:tcPr>
          <w:p w14:paraId="52C82F49" w14:textId="77777777" w:rsidR="008C76E0" w:rsidRPr="003B2786" w:rsidRDefault="008C76E0" w:rsidP="008C76E0">
            <w:pPr>
              <w:pStyle w:val="Bodytext180"/>
              <w:shd w:val="clear" w:color="auto" w:fill="auto"/>
              <w:spacing w:before="0" w:after="160" w:line="240" w:lineRule="auto"/>
              <w:ind w:right="72" w:firstLine="616"/>
              <w:jc w:val="right"/>
              <w:rPr>
                <w:rFonts w:ascii="Sylfaen" w:hAnsi="Sylfaen"/>
                <w:b w:val="0"/>
                <w:sz w:val="24"/>
                <w:szCs w:val="24"/>
              </w:rPr>
            </w:pPr>
            <w:r w:rsidRPr="003B2786">
              <w:rPr>
                <w:rStyle w:val="Bodytext295pt"/>
                <w:rFonts w:ascii="Sylfaen" w:hAnsi="Sylfaen"/>
                <w:sz w:val="24"/>
                <w:szCs w:val="24"/>
              </w:rPr>
              <w:t>Դեղաձ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64CAE66C" w14:textId="77777777" w:rsidR="008C76E0" w:rsidRPr="003B2786" w:rsidRDefault="008C76E0" w:rsidP="008C76E0">
            <w:pPr>
              <w:spacing w:line="240" w:lineRule="auto"/>
              <w:ind w:right="-1" w:firstLine="616"/>
              <w:jc w:val="both"/>
              <w:rPr>
                <w:rFonts w:ascii="Sylfaen" w:hAnsi="Sylfaen"/>
                <w:sz w:val="24"/>
                <w:szCs w:val="24"/>
              </w:rPr>
            </w:pPr>
          </w:p>
        </w:tc>
      </w:tr>
      <w:tr w:rsidR="008C76E0" w:rsidRPr="003B2786" w14:paraId="2488D675" w14:textId="77777777" w:rsidTr="008C76E0">
        <w:trPr>
          <w:trHeight w:val="494"/>
          <w:jc w:val="center"/>
        </w:trPr>
        <w:tc>
          <w:tcPr>
            <w:tcW w:w="3858" w:type="dxa"/>
            <w:gridSpan w:val="2"/>
            <w:shd w:val="clear" w:color="auto" w:fill="FFFFFF"/>
            <w:vAlign w:val="bottom"/>
          </w:tcPr>
          <w:p w14:paraId="517552E1" w14:textId="77777777" w:rsidR="008C76E0" w:rsidRPr="003B2786" w:rsidRDefault="008C76E0" w:rsidP="008C76E0">
            <w:pPr>
              <w:pStyle w:val="Bodytext180"/>
              <w:shd w:val="clear" w:color="auto" w:fill="auto"/>
              <w:spacing w:before="0" w:after="160" w:line="240" w:lineRule="auto"/>
              <w:ind w:right="72" w:firstLine="0"/>
              <w:jc w:val="right"/>
              <w:rPr>
                <w:rFonts w:ascii="Sylfaen" w:hAnsi="Sylfaen"/>
                <w:b w:val="0"/>
                <w:sz w:val="24"/>
                <w:szCs w:val="24"/>
              </w:rPr>
            </w:pPr>
            <w:r w:rsidRPr="003B2786">
              <w:rPr>
                <w:rStyle w:val="Bodytext295pt"/>
                <w:rFonts w:ascii="Sylfaen" w:hAnsi="Sylfaen"/>
                <w:sz w:val="24"/>
                <w:szCs w:val="24"/>
              </w:rPr>
              <w:t>Բացթողման ձ</w:t>
            </w:r>
            <w:r w:rsidR="00C54D75">
              <w:rPr>
                <w:rStyle w:val="Bodytext295pt"/>
                <w:rFonts w:ascii="Sylfaen" w:hAnsi="Sylfaen"/>
                <w:sz w:val="24"/>
                <w:szCs w:val="24"/>
              </w:rPr>
              <w:t>և</w:t>
            </w:r>
            <w:r w:rsidRPr="003B2786">
              <w:rPr>
                <w:rStyle w:val="Bodytext295pt"/>
                <w:rFonts w:ascii="Sylfaen" w:hAnsi="Sylfaen"/>
                <w:sz w:val="24"/>
                <w:szCs w:val="24"/>
              </w:rPr>
              <w:t>ը</w:t>
            </w:r>
          </w:p>
        </w:tc>
        <w:tc>
          <w:tcPr>
            <w:tcW w:w="5978" w:type="dxa"/>
            <w:tcBorders>
              <w:top w:val="single" w:sz="4" w:space="0" w:color="auto"/>
              <w:left w:val="single" w:sz="4" w:space="0" w:color="auto"/>
            </w:tcBorders>
            <w:shd w:val="clear" w:color="auto" w:fill="FFFFFF"/>
          </w:tcPr>
          <w:p w14:paraId="1CF956EF" w14:textId="77777777" w:rsidR="008C76E0" w:rsidRPr="003B2786" w:rsidRDefault="008C76E0" w:rsidP="008C76E0">
            <w:pPr>
              <w:spacing w:line="240" w:lineRule="auto"/>
              <w:ind w:right="-1"/>
              <w:jc w:val="both"/>
              <w:rPr>
                <w:rFonts w:ascii="Sylfaen" w:hAnsi="Sylfaen"/>
                <w:sz w:val="24"/>
                <w:szCs w:val="24"/>
              </w:rPr>
            </w:pPr>
          </w:p>
        </w:tc>
      </w:tr>
      <w:tr w:rsidR="008C76E0" w:rsidRPr="003B2786" w14:paraId="1D4C75A7" w14:textId="77777777" w:rsidTr="008C76E0">
        <w:trPr>
          <w:trHeight w:val="847"/>
          <w:jc w:val="center"/>
        </w:trPr>
        <w:tc>
          <w:tcPr>
            <w:tcW w:w="3858" w:type="dxa"/>
            <w:gridSpan w:val="2"/>
            <w:shd w:val="clear" w:color="auto" w:fill="FFFFFF"/>
            <w:vAlign w:val="bottom"/>
          </w:tcPr>
          <w:p w14:paraId="309812DB" w14:textId="5AF273D0" w:rsidR="008C76E0" w:rsidRPr="003B2786" w:rsidRDefault="0056496B" w:rsidP="008C76E0">
            <w:pPr>
              <w:pStyle w:val="Bodytext180"/>
              <w:shd w:val="clear" w:color="auto" w:fill="auto"/>
              <w:spacing w:before="0" w:after="160" w:line="240" w:lineRule="auto"/>
              <w:ind w:right="72" w:firstLine="0"/>
              <w:jc w:val="right"/>
              <w:rPr>
                <w:rFonts w:ascii="Sylfaen" w:hAnsi="Sylfaen"/>
                <w:b w:val="0"/>
                <w:sz w:val="24"/>
                <w:szCs w:val="24"/>
              </w:rPr>
            </w:pPr>
            <w:r>
              <w:rPr>
                <w:rStyle w:val="Bodytext295pt"/>
                <w:rFonts w:ascii="Sylfaen" w:hAnsi="Sylfaen"/>
                <w:sz w:val="24"/>
                <w:szCs w:val="24"/>
              </w:rPr>
              <w:t>Դիմումատու</w:t>
            </w:r>
            <w:r w:rsidR="008C76E0" w:rsidRPr="003B2786">
              <w:rPr>
                <w:rStyle w:val="Bodytext295pt"/>
                <w:rFonts w:ascii="Sylfaen" w:hAnsi="Sylfaen"/>
                <w:sz w:val="24"/>
                <w:szCs w:val="24"/>
              </w:rPr>
              <w:t xml:space="preserve"> (</w:t>
            </w:r>
            <w:r>
              <w:rPr>
                <w:rStyle w:val="Bodytext295pt"/>
                <w:rFonts w:ascii="Sylfaen" w:hAnsi="Sylfaen"/>
                <w:sz w:val="24"/>
                <w:szCs w:val="24"/>
              </w:rPr>
              <w:t>դիմումատու</w:t>
            </w:r>
            <w:r w:rsidR="008C76E0" w:rsidRPr="003B2786">
              <w:rPr>
                <w:rStyle w:val="Bodytext295pt"/>
                <w:rFonts w:ascii="Sylfaen" w:hAnsi="Sylfaen"/>
                <w:sz w:val="24"/>
                <w:szCs w:val="24"/>
              </w:rPr>
              <w:t>ի ներկայացուցիչ)</w:t>
            </w:r>
          </w:p>
        </w:tc>
        <w:tc>
          <w:tcPr>
            <w:tcW w:w="5978" w:type="dxa"/>
            <w:tcBorders>
              <w:top w:val="single" w:sz="4" w:space="0" w:color="auto"/>
              <w:left w:val="single" w:sz="4" w:space="0" w:color="auto"/>
              <w:bottom w:val="single" w:sz="4" w:space="0" w:color="auto"/>
            </w:tcBorders>
            <w:shd w:val="clear" w:color="auto" w:fill="FFFFFF"/>
          </w:tcPr>
          <w:p w14:paraId="551838EB" w14:textId="77777777" w:rsidR="008C76E0" w:rsidRPr="003B2786" w:rsidRDefault="008C76E0" w:rsidP="008C76E0">
            <w:pPr>
              <w:spacing w:line="240" w:lineRule="auto"/>
              <w:ind w:right="-1"/>
              <w:jc w:val="both"/>
              <w:rPr>
                <w:rFonts w:ascii="Sylfaen" w:hAnsi="Sylfaen"/>
                <w:sz w:val="24"/>
                <w:szCs w:val="24"/>
              </w:rPr>
            </w:pPr>
          </w:p>
        </w:tc>
      </w:tr>
    </w:tbl>
    <w:p w14:paraId="194A38D3" w14:textId="77777777" w:rsidR="008C76E0" w:rsidRPr="003B2786" w:rsidRDefault="008C76E0" w:rsidP="008C76E0">
      <w:pPr>
        <w:ind w:right="-1"/>
        <w:jc w:val="both"/>
        <w:rPr>
          <w:rFonts w:ascii="Sylfaen" w:hAnsi="Sylfaen"/>
          <w:sz w:val="24"/>
          <w:szCs w:val="24"/>
        </w:rPr>
      </w:pPr>
    </w:p>
    <w:p w14:paraId="4F72B01F" w14:textId="44E5E9D9" w:rsidR="008C76E0" w:rsidRPr="003B2786"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lastRenderedPageBreak/>
        <w:t>«</w:t>
      </w:r>
      <w:r w:rsidRPr="003B2786">
        <w:rPr>
          <w:rStyle w:val="Bodytext295pt"/>
          <w:rFonts w:ascii="Sylfaen" w:eastAsiaTheme="minorHAnsi" w:hAnsi="Sylfaen"/>
          <w:b w:val="0"/>
          <w:i/>
          <w:sz w:val="24"/>
          <w:szCs w:val="24"/>
          <w:u w:val="single"/>
        </w:rPr>
        <w:t>Միության անդամ պետությունը</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համաձայն է ռեֆերենտ պետության ընդհանուր եզրակացության հետ </w:t>
      </w:r>
      <w:r w:rsidR="00C54D75">
        <w:rPr>
          <w:rFonts w:ascii="Sylfaen" w:hAnsi="Sylfaen"/>
          <w:sz w:val="24"/>
          <w:szCs w:val="24"/>
        </w:rPr>
        <w:t>և</w:t>
      </w:r>
      <w:r w:rsidRPr="003B2786">
        <w:rPr>
          <w:rFonts w:ascii="Sylfaen" w:hAnsi="Sylfaen"/>
          <w:sz w:val="24"/>
          <w:szCs w:val="24"/>
        </w:rPr>
        <w:t xml:space="preserve"> պատրաստ է տրամադրել գրանցման հավաստագիր՝ </w:t>
      </w:r>
      <w:r w:rsidRPr="003B2786">
        <w:rPr>
          <w:rStyle w:val="Bodytext295pt"/>
          <w:rFonts w:ascii="Sylfaen" w:eastAsiaTheme="minorHAnsi" w:hAnsi="Sylfaen"/>
          <w:b w:val="0"/>
          <w:sz w:val="24"/>
          <w:szCs w:val="24"/>
        </w:rPr>
        <w:t>«</w:t>
      </w:r>
      <w:r w:rsidRPr="003B2786">
        <w:rPr>
          <w:rStyle w:val="Bodytext295pt"/>
          <w:rFonts w:ascii="Sylfaen" w:eastAsiaTheme="minorHAnsi" w:hAnsi="Sylfaen"/>
          <w:b w:val="0"/>
          <w:i/>
          <w:sz w:val="24"/>
          <w:szCs w:val="24"/>
          <w:u w:val="single"/>
        </w:rPr>
        <w:t xml:space="preserve">գրանցման </w:t>
      </w:r>
      <w:r w:rsidR="001A5F1A">
        <w:rPr>
          <w:rStyle w:val="Bodytext295pt"/>
          <w:rFonts w:ascii="Sylfaen" w:eastAsiaTheme="minorHAnsi" w:hAnsi="Sylfaen"/>
          <w:b w:val="0"/>
          <w:i/>
          <w:sz w:val="24"/>
          <w:szCs w:val="24"/>
          <w:u w:val="single"/>
        </w:rPr>
        <w:t>հայտագրված</w:t>
      </w:r>
      <w:r w:rsidRPr="003B2786">
        <w:rPr>
          <w:rStyle w:val="Bodytext295pt"/>
          <w:rFonts w:ascii="Sylfaen" w:eastAsiaTheme="minorHAnsi" w:hAnsi="Sylfaen"/>
          <w:b w:val="0"/>
          <w:i/>
          <w:sz w:val="24"/>
          <w:szCs w:val="24"/>
          <w:u w:val="single"/>
        </w:rPr>
        <w:t xml:space="preserve"> դեղապատրաստուկի</w:t>
      </w:r>
      <w:r w:rsidRPr="003B2786">
        <w:rPr>
          <w:rStyle w:val="Bodytext295pt"/>
          <w:rFonts w:ascii="Sylfaen" w:eastAsiaTheme="minorHAnsi" w:hAnsi="Sylfaen"/>
          <w:b w:val="0"/>
          <w:sz w:val="24"/>
          <w:szCs w:val="24"/>
        </w:rPr>
        <w:t>»</w:t>
      </w:r>
      <w:r w:rsidRPr="003B2786">
        <w:rPr>
          <w:rFonts w:ascii="Sylfaen" w:hAnsi="Sylfaen"/>
          <w:sz w:val="24"/>
          <w:szCs w:val="24"/>
        </w:rPr>
        <w:t xml:space="preserve"> համար.</w:t>
      </w:r>
    </w:p>
    <w:p w14:paraId="7DDB7B50" w14:textId="77777777" w:rsidR="008C76E0" w:rsidRPr="008C76E0" w:rsidRDefault="008C76E0" w:rsidP="00590510">
      <w:pPr>
        <w:pStyle w:val="Bodytext70"/>
        <w:shd w:val="clear" w:color="auto" w:fill="auto"/>
        <w:spacing w:before="0" w:after="160" w:line="360" w:lineRule="auto"/>
        <w:ind w:firstLine="426"/>
        <w:rPr>
          <w:rFonts w:ascii="Sylfaen" w:hAnsi="Sylfaen"/>
          <w:b w:val="0"/>
          <w:sz w:val="24"/>
          <w:szCs w:val="24"/>
          <w:lang w:val="hy-AM"/>
        </w:rPr>
      </w:pPr>
      <w:r w:rsidRPr="008C76E0">
        <w:rPr>
          <w:rFonts w:ascii="Sylfaen" w:hAnsi="Sylfaen"/>
          <w:b w:val="0"/>
          <w:sz w:val="24"/>
          <w:szCs w:val="24"/>
          <w:lang w:val="hy-AM"/>
        </w:rPr>
        <w:t xml:space="preserve">կամ՝ </w:t>
      </w:r>
    </w:p>
    <w:p w14:paraId="68169509" w14:textId="77777777" w:rsidR="008C76E0" w:rsidRDefault="008C76E0" w:rsidP="00590510">
      <w:pPr>
        <w:spacing w:after="160" w:line="360" w:lineRule="auto"/>
        <w:ind w:firstLine="426"/>
        <w:jc w:val="both"/>
        <w:rPr>
          <w:rFonts w:ascii="Sylfaen" w:hAnsi="Sylfaen"/>
          <w:sz w:val="24"/>
          <w:szCs w:val="24"/>
        </w:rPr>
      </w:pPr>
      <w:r w:rsidRPr="003B2786">
        <w:rPr>
          <w:rStyle w:val="Bodytext295pt"/>
          <w:rFonts w:ascii="Sylfaen" w:eastAsiaTheme="minorHAnsi" w:hAnsi="Sylfaen"/>
          <w:b w:val="0"/>
          <w:sz w:val="24"/>
          <w:szCs w:val="24"/>
        </w:rPr>
        <w:t>«Միության անդամ պետությունը»</w:t>
      </w:r>
      <w:r w:rsidRPr="003B2786">
        <w:rPr>
          <w:rFonts w:ascii="Sylfaen" w:hAnsi="Sylfaen"/>
          <w:sz w:val="24"/>
          <w:szCs w:val="24"/>
        </w:rPr>
        <w:t xml:space="preserve"> համարում է, որ տվյալ պատրաստուկի կիրառությունը կապված է բնակչության առողջության հնարավոր լուրջ ռիսկի հետ </w:t>
      </w:r>
      <w:r w:rsidR="00C54D75">
        <w:rPr>
          <w:rFonts w:ascii="Sylfaen" w:hAnsi="Sylfaen"/>
          <w:sz w:val="24"/>
          <w:szCs w:val="24"/>
        </w:rPr>
        <w:t>և</w:t>
      </w:r>
      <w:r w:rsidRPr="003B2786">
        <w:rPr>
          <w:rFonts w:ascii="Sylfaen" w:hAnsi="Sylfaen"/>
          <w:sz w:val="24"/>
          <w:szCs w:val="24"/>
        </w:rPr>
        <w:t xml:space="preserve"> ներկայումս պատրաստ չէ տալ գրանցման հավաստագիր:</w:t>
      </w:r>
    </w:p>
    <w:p w14:paraId="4560668A" w14:textId="77777777" w:rsidR="008C76E0" w:rsidRPr="003B2786" w:rsidRDefault="008C76E0" w:rsidP="00590510">
      <w:pPr>
        <w:spacing w:after="160" w:line="360" w:lineRule="auto"/>
        <w:ind w:firstLine="426"/>
        <w:jc w:val="both"/>
        <w:rPr>
          <w:rFonts w:ascii="Sylfaen" w:hAnsi="Sylfaen"/>
          <w:sz w:val="24"/>
          <w:szCs w:val="24"/>
        </w:rPr>
      </w:pPr>
    </w:p>
    <w:p w14:paraId="1E4AA808" w14:textId="77777777" w:rsidR="008C76E0" w:rsidRPr="003B2786" w:rsidRDefault="008C76E0" w:rsidP="00590510">
      <w:pPr>
        <w:tabs>
          <w:tab w:val="left" w:pos="1134"/>
        </w:tabs>
        <w:spacing w:after="160" w:line="360" w:lineRule="auto"/>
        <w:ind w:firstLine="426"/>
        <w:jc w:val="center"/>
        <w:outlineLvl w:val="0"/>
        <w:rPr>
          <w:rFonts w:ascii="Sylfaen" w:hAnsi="Sylfaen"/>
          <w:sz w:val="24"/>
          <w:szCs w:val="24"/>
        </w:rPr>
      </w:pPr>
      <w:r>
        <w:rPr>
          <w:rFonts w:ascii="Sylfaen" w:hAnsi="Sylfaen"/>
          <w:sz w:val="24"/>
          <w:szCs w:val="24"/>
        </w:rPr>
        <w:t>2.</w:t>
      </w:r>
      <w:r w:rsidRPr="003B2786">
        <w:rPr>
          <w:rFonts w:ascii="Sylfaen" w:hAnsi="Sylfaen"/>
          <w:sz w:val="24"/>
          <w:szCs w:val="24"/>
        </w:rPr>
        <w:t>Բնակչության առողջության համար հնարավոր լուրջ ռիսկը</w:t>
      </w:r>
    </w:p>
    <w:p w14:paraId="311D03F6" w14:textId="77777777" w:rsidR="008C76E0" w:rsidRPr="003B2786" w:rsidRDefault="008C76E0" w:rsidP="0059051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2.1.</w:t>
      </w:r>
      <w:r w:rsidRPr="003B2786">
        <w:rPr>
          <w:rFonts w:ascii="Sylfaen" w:hAnsi="Sylfaen"/>
          <w:sz w:val="24"/>
          <w:szCs w:val="24"/>
        </w:rPr>
        <w:tab/>
        <w:t xml:space="preserve">Դեղապատրաստուկի ընդհանուր բնութագիրը, բժշկական կիրառման հրահանգը (ներդիր թերթիկը) </w:t>
      </w:r>
      <w:r w:rsidR="00C54D75">
        <w:rPr>
          <w:rFonts w:ascii="Sylfaen" w:hAnsi="Sylfaen"/>
          <w:sz w:val="24"/>
          <w:szCs w:val="24"/>
        </w:rPr>
        <w:t>և</w:t>
      </w:r>
      <w:r w:rsidRPr="003B2786">
        <w:rPr>
          <w:rFonts w:ascii="Sylfaen" w:hAnsi="Sylfaen"/>
          <w:sz w:val="24"/>
          <w:szCs w:val="24"/>
        </w:rPr>
        <w:t xml:space="preserve"> մակնշումը</w:t>
      </w: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15DF3255" w14:textId="77777777" w:rsidTr="008C76E0">
        <w:trPr>
          <w:trHeight w:val="1507"/>
          <w:jc w:val="center"/>
        </w:trPr>
        <w:tc>
          <w:tcPr>
            <w:tcW w:w="9271" w:type="dxa"/>
            <w:tcBorders>
              <w:top w:val="single" w:sz="4" w:space="0" w:color="auto"/>
              <w:left w:val="single" w:sz="4" w:space="0" w:color="auto"/>
              <w:right w:val="single" w:sz="4" w:space="0" w:color="auto"/>
            </w:tcBorders>
            <w:shd w:val="clear" w:color="auto" w:fill="FFFFFF"/>
            <w:vAlign w:val="bottom"/>
          </w:tcPr>
          <w:p w14:paraId="412DD207"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7F0EA4F9" w14:textId="77777777" w:rsidTr="008C76E0">
        <w:trPr>
          <w:trHeight w:val="542"/>
          <w:jc w:val="center"/>
        </w:trPr>
        <w:tc>
          <w:tcPr>
            <w:tcW w:w="9271" w:type="dxa"/>
            <w:tcBorders>
              <w:top w:val="single" w:sz="4" w:space="0" w:color="auto"/>
            </w:tcBorders>
            <w:shd w:val="clear" w:color="auto" w:fill="FFFFFF"/>
            <w:vAlign w:val="center"/>
          </w:tcPr>
          <w:p w14:paraId="2E9AADE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2.2.</w:t>
            </w:r>
            <w:r w:rsidRPr="003B2786">
              <w:rPr>
                <w:rStyle w:val="Bodytext295pt"/>
                <w:rFonts w:ascii="Sylfaen" w:hAnsi="Sylfaen"/>
                <w:sz w:val="24"/>
                <w:szCs w:val="24"/>
              </w:rPr>
              <w:tab/>
              <w:t>Մոդուլ 3. «Որակը»</w:t>
            </w:r>
          </w:p>
        </w:tc>
      </w:tr>
      <w:tr w:rsidR="008C76E0" w:rsidRPr="003B2786" w14:paraId="61981C73"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6FDBE2C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83997C" w14:textId="77777777" w:rsidTr="008C76E0">
        <w:trPr>
          <w:jc w:val="center"/>
        </w:trPr>
        <w:tc>
          <w:tcPr>
            <w:tcW w:w="9271" w:type="dxa"/>
            <w:tcBorders>
              <w:top w:val="single" w:sz="4" w:space="0" w:color="auto"/>
            </w:tcBorders>
            <w:shd w:val="clear" w:color="auto" w:fill="FFFFFF"/>
            <w:vAlign w:val="center"/>
          </w:tcPr>
          <w:p w14:paraId="2388431E"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t>2.3.</w:t>
            </w:r>
            <w:r w:rsidRPr="003B2786">
              <w:rPr>
                <w:rStyle w:val="Bodytext295pt"/>
                <w:rFonts w:ascii="Sylfaen" w:hAnsi="Sylfaen"/>
                <w:sz w:val="24"/>
                <w:szCs w:val="24"/>
              </w:rPr>
              <w:tab/>
              <w:t>Մոդուլ 4. «Նախակլինիկական հետազոտությունները»</w:t>
            </w:r>
          </w:p>
        </w:tc>
      </w:tr>
      <w:tr w:rsidR="008C76E0" w:rsidRPr="003B2786" w14:paraId="3A4A37BE" w14:textId="77777777" w:rsidTr="008C76E0">
        <w:trPr>
          <w:trHeight w:val="1423"/>
          <w:jc w:val="center"/>
        </w:trPr>
        <w:tc>
          <w:tcPr>
            <w:tcW w:w="9271" w:type="dxa"/>
            <w:tcBorders>
              <w:top w:val="single" w:sz="4" w:space="0" w:color="auto"/>
              <w:left w:val="single" w:sz="4" w:space="0" w:color="auto"/>
              <w:right w:val="single" w:sz="4" w:space="0" w:color="auto"/>
            </w:tcBorders>
            <w:shd w:val="clear" w:color="auto" w:fill="FFFFFF"/>
            <w:vAlign w:val="bottom"/>
          </w:tcPr>
          <w:p w14:paraId="7CA3FDBD"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bl>
    <w:p w14:paraId="4C494612" w14:textId="77777777" w:rsidR="00513389" w:rsidRDefault="00513389">
      <w:pPr>
        <w:sectPr w:rsidR="00513389" w:rsidSect="003F7A44">
          <w:pgSz w:w="11906" w:h="16838" w:code="9"/>
          <w:pgMar w:top="1418" w:right="1418" w:bottom="1418" w:left="1418" w:header="709" w:footer="709" w:gutter="0"/>
          <w:pgNumType w:start="1"/>
          <w:cols w:space="708"/>
          <w:titlePg/>
          <w:docGrid w:linePitch="360"/>
        </w:sectPr>
      </w:pPr>
    </w:p>
    <w:tbl>
      <w:tblPr>
        <w:tblOverlap w:val="never"/>
        <w:tblW w:w="9271" w:type="dxa"/>
        <w:jc w:val="center"/>
        <w:tblLayout w:type="fixed"/>
        <w:tblCellMar>
          <w:left w:w="10" w:type="dxa"/>
          <w:right w:w="10" w:type="dxa"/>
        </w:tblCellMar>
        <w:tblLook w:val="04A0" w:firstRow="1" w:lastRow="0" w:firstColumn="1" w:lastColumn="0" w:noHBand="0" w:noVBand="1"/>
      </w:tblPr>
      <w:tblGrid>
        <w:gridCol w:w="9271"/>
      </w:tblGrid>
      <w:tr w:rsidR="008C76E0" w:rsidRPr="003B2786" w14:paraId="7626D3C3" w14:textId="77777777" w:rsidTr="008C76E0">
        <w:trPr>
          <w:jc w:val="center"/>
        </w:trPr>
        <w:tc>
          <w:tcPr>
            <w:tcW w:w="9271" w:type="dxa"/>
            <w:tcBorders>
              <w:top w:val="single" w:sz="4" w:space="0" w:color="auto"/>
            </w:tcBorders>
            <w:shd w:val="clear" w:color="auto" w:fill="FFFFFF"/>
            <w:vAlign w:val="bottom"/>
          </w:tcPr>
          <w:p w14:paraId="3211F668" w14:textId="77777777" w:rsidR="008C76E0" w:rsidRPr="003B2786"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i/>
                <w:sz w:val="24"/>
                <w:szCs w:val="24"/>
              </w:rPr>
            </w:pPr>
            <w:r w:rsidRPr="003B2786">
              <w:rPr>
                <w:rStyle w:val="Bodytext295pt"/>
                <w:rFonts w:ascii="Sylfaen" w:hAnsi="Sylfaen"/>
                <w:sz w:val="24"/>
                <w:szCs w:val="24"/>
              </w:rPr>
              <w:lastRenderedPageBreak/>
              <w:t>2.4.</w:t>
            </w:r>
            <w:r w:rsidRPr="003B2786">
              <w:rPr>
                <w:rStyle w:val="Bodytext295pt"/>
                <w:rFonts w:ascii="Sylfaen" w:hAnsi="Sylfaen"/>
                <w:sz w:val="24"/>
                <w:szCs w:val="24"/>
              </w:rPr>
              <w:tab/>
              <w:t>Մոդուլ 5. «Կլինիկական հետազոտությունները»</w:t>
            </w:r>
          </w:p>
        </w:tc>
      </w:tr>
      <w:tr w:rsidR="008C76E0" w:rsidRPr="003B2786" w14:paraId="17494CC0" w14:textId="77777777" w:rsidTr="008C76E0">
        <w:trPr>
          <w:trHeight w:val="1521"/>
          <w:jc w:val="center"/>
        </w:trPr>
        <w:tc>
          <w:tcPr>
            <w:tcW w:w="9271" w:type="dxa"/>
            <w:tcBorders>
              <w:top w:val="single" w:sz="4" w:space="0" w:color="auto"/>
              <w:left w:val="single" w:sz="4" w:space="0" w:color="auto"/>
              <w:right w:val="single" w:sz="4" w:space="0" w:color="auto"/>
            </w:tcBorders>
            <w:shd w:val="clear" w:color="auto" w:fill="FFFFFF"/>
          </w:tcPr>
          <w:p w14:paraId="4A96D3D4" w14:textId="77777777" w:rsidR="008C76E0" w:rsidRPr="008C76E0" w:rsidRDefault="008C76E0" w:rsidP="00590510">
            <w:pPr>
              <w:pStyle w:val="Bodytext180"/>
              <w:tabs>
                <w:tab w:val="left" w:pos="1084"/>
              </w:tabs>
              <w:spacing w:before="0" w:after="160" w:line="360" w:lineRule="auto"/>
              <w:ind w:firstLine="567"/>
              <w:rPr>
                <w:rFonts w:ascii="Sylfaen" w:hAnsi="Sylfaen"/>
                <w:b w:val="0"/>
                <w:sz w:val="24"/>
                <w:szCs w:val="24"/>
                <w:lang w:val="hy-AM"/>
              </w:rPr>
            </w:pPr>
            <w:r w:rsidRPr="003B2786">
              <w:rPr>
                <w:rStyle w:val="Bodytext295pt"/>
                <w:rFonts w:ascii="Sylfaen" w:hAnsi="Sylfaen"/>
                <w:sz w:val="24"/>
                <w:szCs w:val="24"/>
              </w:rPr>
              <w:t xml:space="preserve">Մանրամասնեցված առարկություններ՝ հիմնավորումներով </w:t>
            </w:r>
            <w:r w:rsidR="00C54D75">
              <w:rPr>
                <w:rStyle w:val="Bodytext295pt"/>
                <w:rFonts w:ascii="Sylfaen" w:hAnsi="Sylfaen"/>
                <w:sz w:val="24"/>
                <w:szCs w:val="24"/>
              </w:rPr>
              <w:t>և</w:t>
            </w:r>
            <w:r w:rsidRPr="003B2786">
              <w:rPr>
                <w:rStyle w:val="Bodytext295pt"/>
                <w:rFonts w:ascii="Sylfaen" w:hAnsi="Sylfaen"/>
                <w:sz w:val="24"/>
                <w:szCs w:val="24"/>
              </w:rPr>
              <w:t xml:space="preserve"> գրանցման դոսյեի էջերին, նորմատիվ փաստաթղթերին, գիտական ձեռնարկներին, հրապարակումներին, ձ</w:t>
            </w:r>
            <w:r w:rsidR="00C54D75">
              <w:rPr>
                <w:rStyle w:val="Bodytext295pt"/>
                <w:rFonts w:ascii="Sylfaen" w:hAnsi="Sylfaen"/>
                <w:sz w:val="24"/>
                <w:szCs w:val="24"/>
              </w:rPr>
              <w:t>և</w:t>
            </w:r>
            <w:r w:rsidRPr="003B2786">
              <w:rPr>
                <w:rStyle w:val="Bodytext295pt"/>
                <w:rFonts w:ascii="Sylfaen" w:hAnsi="Sylfaen"/>
                <w:sz w:val="24"/>
                <w:szCs w:val="24"/>
              </w:rPr>
              <w:t>ին կցվող փորձագիտական եզրակացություններին արված խաչաձ</w:t>
            </w:r>
            <w:r w:rsidR="00C54D75">
              <w:rPr>
                <w:rStyle w:val="Bodytext295pt"/>
                <w:rFonts w:ascii="Sylfaen" w:hAnsi="Sylfaen"/>
                <w:sz w:val="24"/>
                <w:szCs w:val="24"/>
              </w:rPr>
              <w:t>և</w:t>
            </w:r>
            <w:r w:rsidRPr="003B2786">
              <w:rPr>
                <w:rStyle w:val="Bodytext295pt"/>
                <w:rFonts w:ascii="Sylfaen" w:hAnsi="Sylfaen"/>
                <w:sz w:val="24"/>
                <w:szCs w:val="24"/>
              </w:rPr>
              <w:t xml:space="preserve"> հղումներով</w:t>
            </w:r>
          </w:p>
        </w:tc>
      </w:tr>
      <w:tr w:rsidR="008C76E0" w:rsidRPr="003B2786" w14:paraId="3DA222C4" w14:textId="77777777" w:rsidTr="008C76E0">
        <w:trPr>
          <w:jc w:val="center"/>
        </w:trPr>
        <w:tc>
          <w:tcPr>
            <w:tcW w:w="9271" w:type="dxa"/>
            <w:tcBorders>
              <w:top w:val="single" w:sz="4" w:space="0" w:color="auto"/>
            </w:tcBorders>
            <w:shd w:val="clear" w:color="auto" w:fill="FFFFFF"/>
            <w:vAlign w:val="center"/>
          </w:tcPr>
          <w:p w14:paraId="72122854" w14:textId="77777777" w:rsidR="008C76E0" w:rsidRPr="003B2786" w:rsidRDefault="008C76E0" w:rsidP="00590510">
            <w:pPr>
              <w:pStyle w:val="Bodytext180"/>
              <w:shd w:val="clear" w:color="auto" w:fill="auto"/>
              <w:tabs>
                <w:tab w:val="left" w:pos="1084"/>
              </w:tabs>
              <w:spacing w:before="0" w:after="160" w:line="360" w:lineRule="auto"/>
              <w:ind w:firstLine="567"/>
              <w:jc w:val="center"/>
              <w:rPr>
                <w:rFonts w:ascii="Sylfaen" w:hAnsi="Sylfaen"/>
                <w:b w:val="0"/>
                <w:i/>
                <w:sz w:val="24"/>
                <w:szCs w:val="24"/>
              </w:rPr>
            </w:pPr>
            <w:r>
              <w:rPr>
                <w:rStyle w:val="Bodytext295pt"/>
                <w:rFonts w:ascii="Sylfaen" w:hAnsi="Sylfaen"/>
                <w:sz w:val="24"/>
                <w:szCs w:val="24"/>
              </w:rPr>
              <w:t>3.</w:t>
            </w:r>
            <w:r w:rsidRPr="003B2786">
              <w:rPr>
                <w:rStyle w:val="Bodytext295pt"/>
                <w:rFonts w:ascii="Sylfaen" w:hAnsi="Sylfaen"/>
                <w:sz w:val="24"/>
                <w:szCs w:val="24"/>
              </w:rPr>
              <w:t>Պատասխանի համար դիտողությունները</w:t>
            </w:r>
          </w:p>
        </w:tc>
      </w:tr>
      <w:tr w:rsidR="008C76E0" w:rsidRPr="003B2786" w14:paraId="30F1B94F" w14:textId="77777777" w:rsidTr="008C76E0">
        <w:trPr>
          <w:jc w:val="center"/>
        </w:trPr>
        <w:tc>
          <w:tcPr>
            <w:tcW w:w="9271" w:type="dxa"/>
            <w:shd w:val="clear" w:color="auto" w:fill="FFFFFF"/>
            <w:vAlign w:val="center"/>
          </w:tcPr>
          <w:p w14:paraId="101C839C" w14:textId="7D112EC9" w:rsidR="008C76E0" w:rsidRPr="00E15E7D" w:rsidRDefault="008C76E0" w:rsidP="00513389">
            <w:pPr>
              <w:pStyle w:val="Bodytext180"/>
              <w:shd w:val="clear" w:color="auto" w:fill="auto"/>
              <w:tabs>
                <w:tab w:val="left" w:pos="1084"/>
              </w:tabs>
              <w:spacing w:before="0" w:after="160" w:line="360" w:lineRule="auto"/>
              <w:ind w:firstLine="567"/>
              <w:jc w:val="both"/>
              <w:rPr>
                <w:rFonts w:ascii="Sylfaen" w:hAnsi="Sylfaen"/>
                <w:b w:val="0"/>
                <w:i/>
                <w:sz w:val="24"/>
                <w:szCs w:val="24"/>
                <w:lang w:val="hy-AM"/>
              </w:rPr>
            </w:pPr>
            <w:r w:rsidRPr="003B2786">
              <w:rPr>
                <w:rStyle w:val="Bodytext295pt"/>
                <w:rFonts w:ascii="Sylfaen" w:hAnsi="Sylfaen"/>
                <w:sz w:val="24"/>
                <w:szCs w:val="24"/>
              </w:rPr>
              <w:t>3.1.</w:t>
            </w:r>
            <w:r w:rsidRPr="003B2786">
              <w:rPr>
                <w:rStyle w:val="Bodytext295pt"/>
                <w:rFonts w:ascii="Sylfaen" w:hAnsi="Sylfaen"/>
                <w:sz w:val="24"/>
                <w:szCs w:val="24"/>
              </w:rPr>
              <w:tab/>
              <w:t>Մոդուլ 1. «</w:t>
            </w:r>
            <w:r w:rsidR="0056496B">
              <w:rPr>
                <w:rStyle w:val="Bodytext295pt"/>
                <w:rFonts w:ascii="Sylfaen" w:hAnsi="Sylfaen"/>
                <w:sz w:val="24"/>
                <w:szCs w:val="24"/>
              </w:rPr>
              <w:t>Դիմում</w:t>
            </w:r>
            <w:r w:rsidRPr="003B2786">
              <w:rPr>
                <w:rStyle w:val="Bodytext295pt"/>
                <w:rFonts w:ascii="Sylfaen" w:hAnsi="Sylfaen"/>
                <w:sz w:val="24"/>
                <w:szCs w:val="24"/>
              </w:rPr>
              <w:t xml:space="preserve">ին, դեղապատրաստուկի ընդհանուր բնութագրին, բժշկական կիրառման հրահանգին (ներդիր թերթիկին) </w:t>
            </w:r>
            <w:r w:rsidR="00C54D75">
              <w:rPr>
                <w:rStyle w:val="Bodytext295pt"/>
                <w:rFonts w:ascii="Sylfaen" w:hAnsi="Sylfaen"/>
                <w:sz w:val="24"/>
                <w:szCs w:val="24"/>
              </w:rPr>
              <w:t>և</w:t>
            </w:r>
            <w:r w:rsidRPr="003B2786">
              <w:rPr>
                <w:rStyle w:val="Bodytext295pt"/>
                <w:rFonts w:ascii="Sylfaen" w:hAnsi="Sylfaen"/>
                <w:sz w:val="24"/>
                <w:szCs w:val="24"/>
              </w:rPr>
              <w:t xml:space="preserve"> մակնշմանը (ներառյալ պատրաստուկի անվանումը) առնչվող դիտողությունները»</w:t>
            </w:r>
            <w:r w:rsidR="00513389">
              <w:rPr>
                <w:rStyle w:val="FootnoteReference"/>
                <w:rFonts w:ascii="Sylfaen" w:hAnsi="Sylfaen"/>
                <w:b w:val="0"/>
                <w:bCs w:val="0"/>
                <w:color w:val="000000"/>
                <w:spacing w:val="-10"/>
                <w:sz w:val="24"/>
                <w:szCs w:val="24"/>
                <w:lang w:val="hy-AM" w:eastAsia="hy-AM" w:bidi="hy-AM"/>
              </w:rPr>
              <w:footnoteReference w:id="42"/>
            </w:r>
          </w:p>
        </w:tc>
      </w:tr>
      <w:tr w:rsidR="008C76E0" w:rsidRPr="003B2786" w14:paraId="0845290C" w14:textId="77777777" w:rsidTr="008C76E0">
        <w:trPr>
          <w:trHeight w:val="1240"/>
          <w:jc w:val="center"/>
        </w:trPr>
        <w:tc>
          <w:tcPr>
            <w:tcW w:w="9271" w:type="dxa"/>
            <w:tcBorders>
              <w:top w:val="single" w:sz="4" w:space="0" w:color="auto"/>
              <w:left w:val="single" w:sz="4" w:space="0" w:color="auto"/>
              <w:right w:val="single" w:sz="4" w:space="0" w:color="auto"/>
            </w:tcBorders>
            <w:shd w:val="clear" w:color="auto" w:fill="FFFFFF"/>
            <w:vAlign w:val="bottom"/>
          </w:tcPr>
          <w:p w14:paraId="445EEA09"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DFC5376" w14:textId="77777777" w:rsidTr="008C76E0">
        <w:trPr>
          <w:jc w:val="center"/>
        </w:trPr>
        <w:tc>
          <w:tcPr>
            <w:tcW w:w="9271" w:type="dxa"/>
            <w:tcBorders>
              <w:top w:val="single" w:sz="4" w:space="0" w:color="auto"/>
            </w:tcBorders>
            <w:shd w:val="clear" w:color="auto" w:fill="FFFFFF"/>
            <w:vAlign w:val="center"/>
          </w:tcPr>
          <w:p w14:paraId="604479AA"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3.2.</w:t>
            </w:r>
            <w:r w:rsidRPr="003B2786">
              <w:rPr>
                <w:rStyle w:val="Bodytext295pt"/>
                <w:rFonts w:ascii="Sylfaen" w:hAnsi="Sylfaen"/>
                <w:sz w:val="24"/>
                <w:szCs w:val="24"/>
              </w:rPr>
              <w:tab/>
              <w:t>Մոդուլ 3. «Որակը»</w:t>
            </w:r>
          </w:p>
        </w:tc>
      </w:tr>
      <w:tr w:rsidR="008C76E0" w:rsidRPr="003B2786" w14:paraId="5F8B7C26" w14:textId="77777777" w:rsidTr="008C76E0">
        <w:trPr>
          <w:trHeight w:val="1195"/>
          <w:jc w:val="center"/>
        </w:trPr>
        <w:tc>
          <w:tcPr>
            <w:tcW w:w="9271" w:type="dxa"/>
            <w:tcBorders>
              <w:top w:val="single" w:sz="4" w:space="0" w:color="auto"/>
              <w:left w:val="single" w:sz="4" w:space="0" w:color="auto"/>
              <w:right w:val="single" w:sz="4" w:space="0" w:color="auto"/>
            </w:tcBorders>
            <w:shd w:val="clear" w:color="auto" w:fill="FFFFFF"/>
            <w:vAlign w:val="bottom"/>
          </w:tcPr>
          <w:p w14:paraId="141AB481"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353B1F1D" w14:textId="77777777" w:rsidTr="008C76E0">
        <w:trPr>
          <w:jc w:val="center"/>
        </w:trPr>
        <w:tc>
          <w:tcPr>
            <w:tcW w:w="9271" w:type="dxa"/>
            <w:tcBorders>
              <w:top w:val="single" w:sz="4" w:space="0" w:color="auto"/>
            </w:tcBorders>
            <w:shd w:val="clear" w:color="auto" w:fill="FFFFFF"/>
            <w:vAlign w:val="bottom"/>
          </w:tcPr>
          <w:p w14:paraId="05269BFE"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sz w:val="24"/>
                <w:szCs w:val="24"/>
              </w:rPr>
            </w:pPr>
            <w:r w:rsidRPr="003B2786">
              <w:rPr>
                <w:rStyle w:val="Bodytext295pt"/>
                <w:rFonts w:ascii="Sylfaen" w:hAnsi="Sylfaen"/>
                <w:sz w:val="24"/>
                <w:szCs w:val="24"/>
              </w:rPr>
              <w:t>3.3.</w:t>
            </w:r>
            <w:r w:rsidRPr="003B2786">
              <w:rPr>
                <w:rStyle w:val="Bodytext295pt"/>
                <w:rFonts w:ascii="Sylfaen" w:hAnsi="Sylfaen"/>
                <w:sz w:val="24"/>
                <w:szCs w:val="24"/>
              </w:rPr>
              <w:tab/>
              <w:t>Մոդուլ 4. «Նախակլինիկական հետազոտությունները»</w:t>
            </w:r>
          </w:p>
        </w:tc>
      </w:tr>
      <w:tr w:rsidR="008C76E0" w:rsidRPr="003B2786" w14:paraId="0EB04596" w14:textId="77777777" w:rsidTr="008C76E0">
        <w:trPr>
          <w:trHeight w:val="1179"/>
          <w:jc w:val="center"/>
        </w:trPr>
        <w:tc>
          <w:tcPr>
            <w:tcW w:w="9271" w:type="dxa"/>
            <w:tcBorders>
              <w:top w:val="single" w:sz="4" w:space="0" w:color="auto"/>
              <w:left w:val="single" w:sz="4" w:space="0" w:color="auto"/>
              <w:right w:val="single" w:sz="4" w:space="0" w:color="auto"/>
            </w:tcBorders>
            <w:shd w:val="clear" w:color="auto" w:fill="FFFFFF"/>
            <w:vAlign w:val="bottom"/>
          </w:tcPr>
          <w:p w14:paraId="38256C15"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r w:rsidR="008C76E0" w:rsidRPr="003B2786" w14:paraId="57C4AD55" w14:textId="77777777" w:rsidTr="008C76E0">
        <w:trPr>
          <w:jc w:val="center"/>
        </w:trPr>
        <w:tc>
          <w:tcPr>
            <w:tcW w:w="9271" w:type="dxa"/>
            <w:tcBorders>
              <w:top w:val="single" w:sz="4" w:space="0" w:color="auto"/>
            </w:tcBorders>
            <w:shd w:val="clear" w:color="auto" w:fill="FFFFFF"/>
            <w:vAlign w:val="center"/>
          </w:tcPr>
          <w:p w14:paraId="1B6A4ACF" w14:textId="77777777" w:rsidR="008C76E0" w:rsidRPr="003B2786" w:rsidRDefault="008C76E0" w:rsidP="00590510">
            <w:pPr>
              <w:pStyle w:val="Bodytext180"/>
              <w:shd w:val="clear" w:color="auto" w:fill="auto"/>
              <w:tabs>
                <w:tab w:val="left" w:pos="1084"/>
              </w:tabs>
              <w:spacing w:before="0" w:after="160" w:line="360" w:lineRule="auto"/>
              <w:ind w:firstLine="567"/>
              <w:jc w:val="both"/>
              <w:rPr>
                <w:rFonts w:ascii="Sylfaen" w:hAnsi="Sylfaen"/>
                <w:b w:val="0"/>
                <w:i/>
                <w:sz w:val="24"/>
                <w:szCs w:val="24"/>
              </w:rPr>
            </w:pPr>
            <w:r w:rsidRPr="003B2786">
              <w:rPr>
                <w:rStyle w:val="Bodytext295pt"/>
                <w:rFonts w:ascii="Sylfaen" w:hAnsi="Sylfaen"/>
                <w:sz w:val="24"/>
                <w:szCs w:val="24"/>
              </w:rPr>
              <w:t>3.4.</w:t>
            </w:r>
            <w:r w:rsidRPr="003B2786">
              <w:rPr>
                <w:rStyle w:val="Bodytext295pt"/>
                <w:rFonts w:ascii="Sylfaen" w:hAnsi="Sylfaen"/>
                <w:sz w:val="24"/>
                <w:szCs w:val="24"/>
              </w:rPr>
              <w:tab/>
              <w:t>Մոդուլ 5. «Կլինիկական հետազոտությունները»</w:t>
            </w:r>
          </w:p>
        </w:tc>
      </w:tr>
      <w:tr w:rsidR="008C76E0" w:rsidRPr="003B2786" w14:paraId="6FF3B67A" w14:textId="77777777" w:rsidTr="008C76E0">
        <w:trPr>
          <w:trHeight w:val="1192"/>
          <w:jc w:val="center"/>
        </w:trPr>
        <w:tc>
          <w:tcPr>
            <w:tcW w:w="9271" w:type="dxa"/>
            <w:tcBorders>
              <w:top w:val="single" w:sz="4" w:space="0" w:color="auto"/>
              <w:left w:val="single" w:sz="4" w:space="0" w:color="auto"/>
              <w:bottom w:val="single" w:sz="4" w:space="0" w:color="auto"/>
              <w:right w:val="single" w:sz="4" w:space="0" w:color="auto"/>
            </w:tcBorders>
            <w:shd w:val="clear" w:color="auto" w:fill="FFFFFF"/>
            <w:vAlign w:val="bottom"/>
          </w:tcPr>
          <w:p w14:paraId="2F3A7052" w14:textId="77777777" w:rsidR="008C76E0" w:rsidRPr="008C76E0" w:rsidRDefault="008C76E0" w:rsidP="00590510">
            <w:pPr>
              <w:pStyle w:val="Bodytext180"/>
              <w:shd w:val="clear" w:color="auto" w:fill="auto"/>
              <w:tabs>
                <w:tab w:val="left" w:pos="1084"/>
              </w:tabs>
              <w:spacing w:before="0" w:after="160" w:line="360" w:lineRule="auto"/>
              <w:ind w:right="-1" w:firstLine="567"/>
              <w:jc w:val="both"/>
              <w:rPr>
                <w:rFonts w:ascii="Sylfaen" w:hAnsi="Sylfaen"/>
                <w:b w:val="0"/>
                <w:sz w:val="24"/>
                <w:szCs w:val="24"/>
                <w:lang w:val="hy-AM"/>
              </w:rPr>
            </w:pPr>
            <w:r w:rsidRPr="003B2786">
              <w:rPr>
                <w:rStyle w:val="Bodytext295pt"/>
                <w:rFonts w:ascii="Sylfaen" w:hAnsi="Sylfaen"/>
                <w:sz w:val="24"/>
                <w:szCs w:val="24"/>
              </w:rPr>
              <w:t>Ներկայացնել պատասխանի համար դիտողությունների ցանկը՝ բաժանելով դրանք հետ</w:t>
            </w:r>
            <w:r w:rsidR="00C54D75">
              <w:rPr>
                <w:rStyle w:val="Bodytext295pt"/>
                <w:rFonts w:ascii="Sylfaen" w:hAnsi="Sylfaen"/>
                <w:sz w:val="24"/>
                <w:szCs w:val="24"/>
              </w:rPr>
              <w:t>և</w:t>
            </w:r>
            <w:r w:rsidRPr="003B2786">
              <w:rPr>
                <w:rStyle w:val="Bodytext295pt"/>
                <w:rFonts w:ascii="Sylfaen" w:hAnsi="Sylfaen"/>
                <w:sz w:val="24"/>
                <w:szCs w:val="24"/>
              </w:rPr>
              <w:t xml:space="preserve">յալ խմբերի. քննադատական դիտողություններ </w:t>
            </w:r>
            <w:r w:rsidR="00C54D75">
              <w:rPr>
                <w:rStyle w:val="Bodytext295pt"/>
                <w:rFonts w:ascii="Sylfaen" w:hAnsi="Sylfaen"/>
                <w:sz w:val="24"/>
                <w:szCs w:val="24"/>
              </w:rPr>
              <w:t>և</w:t>
            </w:r>
            <w:r w:rsidRPr="003B2786">
              <w:rPr>
                <w:rStyle w:val="Bodytext295pt"/>
                <w:rFonts w:ascii="Sylfaen" w:hAnsi="Sylfaen"/>
                <w:sz w:val="24"/>
                <w:szCs w:val="24"/>
              </w:rPr>
              <w:t xml:space="preserve"> այլ դիտողություններ</w:t>
            </w:r>
          </w:p>
        </w:tc>
      </w:tr>
    </w:tbl>
    <w:p w14:paraId="73AC6B77" w14:textId="77777777" w:rsidR="008C76E0" w:rsidRPr="003B2786" w:rsidRDefault="008C76E0" w:rsidP="008C76E0">
      <w:pPr>
        <w:tabs>
          <w:tab w:val="left" w:pos="851"/>
        </w:tabs>
        <w:jc w:val="both"/>
        <w:rPr>
          <w:rFonts w:ascii="Sylfaen" w:hAnsi="Sylfaen"/>
          <w:sz w:val="24"/>
          <w:szCs w:val="24"/>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3944"/>
        <w:gridCol w:w="5549"/>
      </w:tblGrid>
      <w:tr w:rsidR="008C76E0" w:rsidRPr="003B2786" w14:paraId="590BE35C" w14:textId="77777777" w:rsidTr="008C76E0">
        <w:trPr>
          <w:trHeight w:val="2887"/>
          <w:jc w:val="center"/>
        </w:trPr>
        <w:tc>
          <w:tcPr>
            <w:tcW w:w="9493" w:type="dxa"/>
            <w:gridSpan w:val="2"/>
            <w:shd w:val="clear" w:color="auto" w:fill="FFFFFF"/>
          </w:tcPr>
          <w:p w14:paraId="38A3ABE4" w14:textId="38F2C7E2" w:rsidR="008C76E0" w:rsidRPr="008C76E0" w:rsidRDefault="008C76E0" w:rsidP="008C76E0">
            <w:pPr>
              <w:pStyle w:val="Bodytext180"/>
              <w:shd w:val="clear" w:color="auto" w:fill="auto"/>
              <w:tabs>
                <w:tab w:val="left" w:pos="1102"/>
              </w:tabs>
              <w:spacing w:before="0" w:after="160" w:line="360" w:lineRule="auto"/>
              <w:ind w:left="60" w:right="-1" w:firstLine="568"/>
              <w:jc w:val="center"/>
              <w:rPr>
                <w:rFonts w:ascii="Sylfaen" w:hAnsi="Sylfaen"/>
                <w:b w:val="0"/>
                <w:i/>
                <w:sz w:val="24"/>
                <w:szCs w:val="24"/>
                <w:lang w:val="hy-AM"/>
              </w:rPr>
            </w:pPr>
            <w:r>
              <w:rPr>
                <w:rStyle w:val="Bodytext295pt"/>
                <w:rFonts w:ascii="Sylfaen" w:hAnsi="Sylfaen"/>
                <w:sz w:val="24"/>
                <w:szCs w:val="24"/>
              </w:rPr>
              <w:lastRenderedPageBreak/>
              <w:t>4.</w:t>
            </w:r>
            <w:r w:rsidR="0056496B">
              <w:rPr>
                <w:rStyle w:val="Bodytext295pt"/>
                <w:rFonts w:ascii="Sylfaen" w:hAnsi="Sylfaen"/>
                <w:sz w:val="24"/>
                <w:szCs w:val="24"/>
              </w:rPr>
              <w:t>Դիմումատու</w:t>
            </w:r>
            <w:r w:rsidRPr="003B2786">
              <w:rPr>
                <w:rStyle w:val="Bodytext295pt"/>
                <w:rFonts w:ascii="Sylfaen" w:hAnsi="Sylfaen"/>
                <w:sz w:val="24"/>
                <w:szCs w:val="24"/>
              </w:rPr>
              <w:t>ի համար տեղեկատվությունը</w:t>
            </w:r>
          </w:p>
          <w:p w14:paraId="7A0626D0" w14:textId="77777777" w:rsidR="008C76E0" w:rsidRPr="008C76E0" w:rsidRDefault="008C76E0" w:rsidP="008C76E0">
            <w:pPr>
              <w:pStyle w:val="Bodytext180"/>
              <w:shd w:val="clear" w:color="auto" w:fill="auto"/>
              <w:spacing w:before="0" w:after="160" w:line="360" w:lineRule="auto"/>
              <w:ind w:left="60" w:right="125" w:firstLine="568"/>
              <w:jc w:val="both"/>
              <w:rPr>
                <w:rFonts w:ascii="Sylfaen" w:hAnsi="Sylfaen"/>
                <w:b w:val="0"/>
                <w:i/>
                <w:sz w:val="24"/>
                <w:szCs w:val="24"/>
                <w:lang w:val="hy-AM"/>
              </w:rPr>
            </w:pPr>
            <w:r w:rsidRPr="003B2786">
              <w:rPr>
                <w:rStyle w:val="Bodytext295pt"/>
                <w:rFonts w:ascii="Sylfaen" w:hAnsi="Sylfaen"/>
                <w:sz w:val="24"/>
                <w:szCs w:val="24"/>
              </w:rPr>
              <w:t>Ուշադրությո՛ւն. Էլեկտրոնային փոստով ուղարկվող ցանկացած պատասխան անհրաժեշտ է ուղարկել մեր ընդհանուր էլեկտրոնային հասցեին՝      @      , այլ ոչ թե ցանկացած անձնական օգտագործման հասցեի: Էլեկտրոնային հաղորդագրության առավելագույն ծավալը 2 Մբ է: Անհրաժեշտ է նա</w:t>
            </w:r>
            <w:r w:rsidR="00C54D75">
              <w:rPr>
                <w:rStyle w:val="Bodytext295pt"/>
                <w:rFonts w:ascii="Sylfaen" w:hAnsi="Sylfaen"/>
                <w:sz w:val="24"/>
                <w:szCs w:val="24"/>
              </w:rPr>
              <w:t>և</w:t>
            </w:r>
            <w:r w:rsidRPr="003B2786">
              <w:rPr>
                <w:rStyle w:val="Bodytext295pt"/>
                <w:rFonts w:ascii="Sylfaen" w:hAnsi="Sylfaen"/>
                <w:sz w:val="24"/>
                <w:szCs w:val="24"/>
              </w:rPr>
              <w:t xml:space="preserve">  թղթային կրիչով օրինակն ուղարկել հետ</w:t>
            </w:r>
            <w:r w:rsidR="00C54D75">
              <w:rPr>
                <w:rStyle w:val="Bodytext295pt"/>
                <w:rFonts w:ascii="Sylfaen" w:hAnsi="Sylfaen"/>
                <w:sz w:val="24"/>
                <w:szCs w:val="24"/>
              </w:rPr>
              <w:t>և</w:t>
            </w:r>
            <w:r w:rsidRPr="003B2786">
              <w:rPr>
                <w:rStyle w:val="Bodytext295pt"/>
                <w:rFonts w:ascii="Sylfaen" w:hAnsi="Sylfaen"/>
                <w:sz w:val="24"/>
                <w:szCs w:val="24"/>
              </w:rPr>
              <w:t>յալ հասցեով՝ «հասցե»</w:t>
            </w:r>
            <w:r w:rsidRPr="003B2786">
              <w:rPr>
                <w:rStyle w:val="FootnoteReference"/>
                <w:rFonts w:ascii="Sylfaen" w:hAnsi="Sylfaen"/>
                <w:b w:val="0"/>
                <w:i/>
                <w:sz w:val="24"/>
                <w:szCs w:val="24"/>
              </w:rPr>
              <w:footnoteReference w:id="43"/>
            </w:r>
            <w:r w:rsidRPr="003B2786">
              <w:rPr>
                <w:rStyle w:val="Bodytext295pt"/>
                <w:rFonts w:ascii="Sylfaen" w:hAnsi="Sylfaen"/>
                <w:sz w:val="24"/>
                <w:szCs w:val="24"/>
              </w:rPr>
              <w:t>:</w:t>
            </w:r>
          </w:p>
        </w:tc>
      </w:tr>
      <w:tr w:rsidR="008C76E0" w:rsidRPr="003B2786" w14:paraId="20F48FCE" w14:textId="77777777" w:rsidTr="008C76E0">
        <w:trPr>
          <w:trHeight w:val="772"/>
          <w:jc w:val="center"/>
        </w:trPr>
        <w:tc>
          <w:tcPr>
            <w:tcW w:w="3944" w:type="dxa"/>
            <w:shd w:val="clear" w:color="auto" w:fill="FFFFFF"/>
          </w:tcPr>
          <w:p w14:paraId="381E2C8B" w14:textId="77777777" w:rsidR="008C76E0" w:rsidRPr="008C76E0" w:rsidRDefault="008C76E0" w:rsidP="008C76E0">
            <w:pPr>
              <w:pStyle w:val="Bodytext180"/>
              <w:shd w:val="clear" w:color="auto" w:fill="auto"/>
              <w:tabs>
                <w:tab w:val="left" w:pos="851"/>
              </w:tabs>
              <w:spacing w:before="0" w:after="160" w:line="360" w:lineRule="auto"/>
              <w:ind w:left="344" w:right="104" w:firstLine="0"/>
              <w:jc w:val="both"/>
              <w:rPr>
                <w:rFonts w:ascii="Sylfaen" w:hAnsi="Sylfaen"/>
                <w:b w:val="0"/>
                <w:sz w:val="24"/>
                <w:szCs w:val="24"/>
                <w:lang w:val="hy-AM"/>
              </w:rPr>
            </w:pPr>
            <w:r w:rsidRPr="003B2786">
              <w:rPr>
                <w:rStyle w:val="Bodytext295pt"/>
                <w:rFonts w:ascii="Sylfaen" w:hAnsi="Sylfaen"/>
                <w:sz w:val="24"/>
                <w:szCs w:val="24"/>
              </w:rPr>
              <w:t>Անդամ պետությունում ծրագրի ղեկավարի, կոնտակտային անձի Ա.Ա.Հ.-ն</w:t>
            </w:r>
          </w:p>
        </w:tc>
        <w:tc>
          <w:tcPr>
            <w:tcW w:w="5549" w:type="dxa"/>
            <w:shd w:val="clear" w:color="auto" w:fill="FFFFFF"/>
            <w:vAlign w:val="center"/>
          </w:tcPr>
          <w:p w14:paraId="789FAE74" w14:textId="77777777" w:rsidR="008C76E0" w:rsidRPr="003B2786" w:rsidRDefault="008C76E0" w:rsidP="008C76E0">
            <w:pPr>
              <w:pStyle w:val="Bodytext180"/>
              <w:shd w:val="clear" w:color="auto" w:fill="auto"/>
              <w:tabs>
                <w:tab w:val="left" w:pos="851"/>
              </w:tabs>
              <w:spacing w:before="0" w:after="160" w:line="360" w:lineRule="auto"/>
              <w:ind w:left="344" w:right="907" w:firstLine="0"/>
              <w:rPr>
                <w:rFonts w:ascii="Sylfaen" w:hAnsi="Sylfaen"/>
                <w:b w:val="0"/>
                <w:sz w:val="24"/>
                <w:szCs w:val="24"/>
              </w:rPr>
            </w:pPr>
            <w:r w:rsidRPr="003B2786">
              <w:rPr>
                <w:rFonts w:ascii="Sylfaen" w:hAnsi="Sylfaen"/>
                <w:b w:val="0"/>
                <w:noProof/>
                <w:sz w:val="24"/>
                <w:szCs w:val="24"/>
              </w:rPr>
              <w:drawing>
                <wp:inline distT="0" distB="0" distL="0" distR="0" wp14:anchorId="49FA009C" wp14:editId="16F64467">
                  <wp:extent cx="295275" cy="666750"/>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10A8DA4E" w14:textId="77777777" w:rsidTr="008C76E0">
        <w:trPr>
          <w:jc w:val="center"/>
        </w:trPr>
        <w:tc>
          <w:tcPr>
            <w:tcW w:w="9493" w:type="dxa"/>
            <w:gridSpan w:val="2"/>
            <w:shd w:val="clear" w:color="auto" w:fill="FFFFFF"/>
            <w:vAlign w:val="center"/>
          </w:tcPr>
          <w:p w14:paraId="613D8875" w14:textId="77777777" w:rsidR="008C76E0" w:rsidRPr="008C76E0" w:rsidRDefault="008C76E0" w:rsidP="008C76E0">
            <w:pPr>
              <w:pStyle w:val="Bodytext180"/>
              <w:shd w:val="clear" w:color="auto" w:fill="auto"/>
              <w:spacing w:before="0" w:after="160" w:line="360" w:lineRule="auto"/>
              <w:ind w:left="344" w:right="-1" w:firstLine="0"/>
              <w:jc w:val="both"/>
              <w:rPr>
                <w:rFonts w:ascii="Sylfaen" w:hAnsi="Sylfaen"/>
                <w:b w:val="0"/>
                <w:sz w:val="24"/>
                <w:szCs w:val="24"/>
                <w:lang w:val="hy-AM"/>
              </w:rPr>
            </w:pPr>
            <w:r w:rsidRPr="003B2786">
              <w:rPr>
                <w:rStyle w:val="Bodytext295pt"/>
                <w:rFonts w:ascii="Sylfaen" w:hAnsi="Sylfaen"/>
                <w:sz w:val="24"/>
                <w:szCs w:val="24"/>
              </w:rPr>
              <w:t>Գնահատման փորձագետների Ա.Ա.Հ.-ն (կիրառելիության դեպքում).</w:t>
            </w:r>
          </w:p>
        </w:tc>
      </w:tr>
      <w:tr w:rsidR="008C76E0" w:rsidRPr="003B2786" w14:paraId="06F895A2" w14:textId="77777777" w:rsidTr="008C76E0">
        <w:trPr>
          <w:jc w:val="center"/>
        </w:trPr>
        <w:tc>
          <w:tcPr>
            <w:tcW w:w="3944" w:type="dxa"/>
            <w:shd w:val="clear" w:color="auto" w:fill="FFFFFF"/>
          </w:tcPr>
          <w:p w14:paraId="38CBA818"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Որակը (Մոդուլ 3).</w:t>
            </w:r>
          </w:p>
          <w:p w14:paraId="77FC7EAD"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p>
          <w:p w14:paraId="2C94AA82"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noProof/>
                <w:sz w:val="24"/>
                <w:szCs w:val="24"/>
              </w:rPr>
              <w:drawing>
                <wp:inline distT="0" distB="0" distL="0" distR="0" wp14:anchorId="00AAF432" wp14:editId="3966CE4C">
                  <wp:extent cx="257175" cy="64770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257175" cy="647700"/>
                          </a:xfrm>
                          <a:prstGeom prst="rect">
                            <a:avLst/>
                          </a:prstGeom>
                          <a:noFill/>
                          <a:ln w="9525">
                            <a:noFill/>
                            <a:miter lim="800000"/>
                            <a:headEnd/>
                            <a:tailEnd/>
                          </a:ln>
                        </pic:spPr>
                      </pic:pic>
                    </a:graphicData>
                  </a:graphic>
                </wp:inline>
              </w:drawing>
            </w:r>
          </w:p>
        </w:tc>
        <w:tc>
          <w:tcPr>
            <w:tcW w:w="5549" w:type="dxa"/>
            <w:shd w:val="clear" w:color="auto" w:fill="FFFFFF"/>
            <w:vAlign w:val="center"/>
          </w:tcPr>
          <w:p w14:paraId="5E5E1A36"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Կլինիկական հետազոտությունները (Մոդուլ 5). Դեղակինետիկա</w:t>
            </w:r>
          </w:p>
          <w:p w14:paraId="5B20736A"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380512ED" wp14:editId="35B3E0D2">
                  <wp:extent cx="295275" cy="666750"/>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r w:rsidR="008C76E0" w:rsidRPr="003B2786" w14:paraId="3DD451A0" w14:textId="77777777" w:rsidTr="008C76E0">
        <w:trPr>
          <w:jc w:val="center"/>
        </w:trPr>
        <w:tc>
          <w:tcPr>
            <w:tcW w:w="3944" w:type="dxa"/>
            <w:shd w:val="clear" w:color="auto" w:fill="FFFFFF"/>
            <w:vAlign w:val="center"/>
          </w:tcPr>
          <w:p w14:paraId="09911F74" w14:textId="77777777" w:rsidR="008C76E0" w:rsidRPr="003B2786" w:rsidRDefault="008C76E0" w:rsidP="008C76E0">
            <w:pPr>
              <w:pStyle w:val="Bodytext180"/>
              <w:shd w:val="clear" w:color="auto" w:fill="auto"/>
              <w:spacing w:before="0" w:after="160" w:line="360" w:lineRule="auto"/>
              <w:ind w:left="344" w:right="-1" w:firstLine="0"/>
              <w:jc w:val="both"/>
              <w:rPr>
                <w:rStyle w:val="Bodytext295pt"/>
                <w:rFonts w:ascii="Sylfaen" w:hAnsi="Sylfaen"/>
                <w:sz w:val="24"/>
                <w:szCs w:val="24"/>
              </w:rPr>
            </w:pPr>
            <w:r w:rsidRPr="003B2786">
              <w:rPr>
                <w:rStyle w:val="Bodytext295pt"/>
                <w:rFonts w:ascii="Sylfaen" w:hAnsi="Sylfaen"/>
                <w:sz w:val="24"/>
                <w:szCs w:val="24"/>
              </w:rPr>
              <w:t>Նախակլինիկական հետազոտությունները (Մոդուլ 4).</w:t>
            </w:r>
          </w:p>
          <w:p w14:paraId="1F705014" w14:textId="77777777" w:rsidR="008C76E0" w:rsidRPr="003B2786" w:rsidRDefault="008C76E0" w:rsidP="008C76E0">
            <w:pPr>
              <w:pStyle w:val="Bodytext180"/>
              <w:shd w:val="clear" w:color="auto" w:fill="auto"/>
              <w:spacing w:before="0" w:after="160" w:line="360" w:lineRule="auto"/>
              <w:ind w:left="344" w:right="-1" w:firstLine="0"/>
              <w:jc w:val="both"/>
              <w:rPr>
                <w:rFonts w:ascii="Sylfaen" w:hAnsi="Sylfaen"/>
                <w:b w:val="0"/>
                <w:sz w:val="24"/>
                <w:szCs w:val="24"/>
              </w:rPr>
            </w:pPr>
            <w:r w:rsidRPr="003B2786">
              <w:rPr>
                <w:rFonts w:ascii="Sylfaen" w:hAnsi="Sylfaen"/>
                <w:b w:val="0"/>
                <w:noProof/>
                <w:sz w:val="24"/>
                <w:szCs w:val="24"/>
              </w:rPr>
              <w:drawing>
                <wp:inline distT="0" distB="0" distL="0" distR="0" wp14:anchorId="50C4A025" wp14:editId="22408CB3">
                  <wp:extent cx="295275" cy="666750"/>
                  <wp:effectExtent l="19050" t="0" r="95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c>
          <w:tcPr>
            <w:tcW w:w="5549" w:type="dxa"/>
            <w:shd w:val="clear" w:color="auto" w:fill="FFFFFF"/>
          </w:tcPr>
          <w:p w14:paraId="32BCC5D1"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r w:rsidRPr="003B2786">
              <w:rPr>
                <w:rStyle w:val="Bodytext295pt"/>
                <w:rFonts w:ascii="Sylfaen" w:hAnsi="Sylfaen"/>
                <w:sz w:val="24"/>
                <w:szCs w:val="24"/>
              </w:rPr>
              <w:t xml:space="preserve">Արդյունավետությունը </w:t>
            </w:r>
            <w:r w:rsidR="00C54D75">
              <w:rPr>
                <w:rStyle w:val="Bodytext295pt"/>
                <w:rFonts w:ascii="Sylfaen" w:hAnsi="Sylfaen"/>
                <w:sz w:val="24"/>
                <w:szCs w:val="24"/>
              </w:rPr>
              <w:t>և</w:t>
            </w:r>
            <w:r w:rsidRPr="003B2786">
              <w:rPr>
                <w:rStyle w:val="Bodytext295pt"/>
                <w:rFonts w:ascii="Sylfaen" w:hAnsi="Sylfaen"/>
                <w:sz w:val="24"/>
                <w:szCs w:val="24"/>
              </w:rPr>
              <w:t xml:space="preserve"> անվտանգությունը</w:t>
            </w:r>
          </w:p>
          <w:p w14:paraId="0EFD9F65" w14:textId="77777777" w:rsidR="008C76E0" w:rsidRPr="003B2786" w:rsidRDefault="008C76E0" w:rsidP="008C76E0">
            <w:pPr>
              <w:pStyle w:val="Bodytext180"/>
              <w:shd w:val="clear" w:color="auto" w:fill="auto"/>
              <w:spacing w:before="0" w:after="160" w:line="360" w:lineRule="auto"/>
              <w:ind w:left="344" w:right="-1" w:firstLine="0"/>
              <w:rPr>
                <w:rStyle w:val="Bodytext295pt"/>
                <w:rFonts w:ascii="Sylfaen" w:hAnsi="Sylfaen"/>
                <w:sz w:val="24"/>
                <w:szCs w:val="24"/>
              </w:rPr>
            </w:pPr>
          </w:p>
          <w:p w14:paraId="32D8AF92" w14:textId="77777777" w:rsidR="008C76E0" w:rsidRPr="003B2786" w:rsidRDefault="008C76E0" w:rsidP="008C76E0">
            <w:pPr>
              <w:pStyle w:val="Bodytext180"/>
              <w:shd w:val="clear" w:color="auto" w:fill="auto"/>
              <w:spacing w:before="0" w:after="160" w:line="360" w:lineRule="auto"/>
              <w:ind w:left="344" w:right="-1" w:firstLine="0"/>
              <w:rPr>
                <w:rFonts w:ascii="Sylfaen" w:hAnsi="Sylfaen"/>
                <w:b w:val="0"/>
                <w:sz w:val="24"/>
                <w:szCs w:val="24"/>
              </w:rPr>
            </w:pPr>
            <w:r w:rsidRPr="003B2786">
              <w:rPr>
                <w:rFonts w:ascii="Sylfaen" w:hAnsi="Sylfaen"/>
                <w:b w:val="0"/>
                <w:noProof/>
                <w:sz w:val="24"/>
                <w:szCs w:val="24"/>
              </w:rPr>
              <w:drawing>
                <wp:inline distT="0" distB="0" distL="0" distR="0" wp14:anchorId="21628007" wp14:editId="5AD64D94">
                  <wp:extent cx="295275" cy="666750"/>
                  <wp:effectExtent l="19050" t="0" r="952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295275" cy="666750"/>
                          </a:xfrm>
                          <a:prstGeom prst="rect">
                            <a:avLst/>
                          </a:prstGeom>
                          <a:noFill/>
                          <a:ln w="9525">
                            <a:noFill/>
                            <a:miter lim="800000"/>
                            <a:headEnd/>
                            <a:tailEnd/>
                          </a:ln>
                        </pic:spPr>
                      </pic:pic>
                    </a:graphicData>
                  </a:graphic>
                </wp:inline>
              </w:drawing>
            </w:r>
          </w:p>
        </w:tc>
      </w:tr>
    </w:tbl>
    <w:p w14:paraId="154C3BF2" w14:textId="77777777" w:rsidR="008C76E0" w:rsidRPr="003B2786" w:rsidRDefault="008C76E0" w:rsidP="008C76E0">
      <w:pPr>
        <w:ind w:right="-1"/>
        <w:jc w:val="both"/>
        <w:rPr>
          <w:rFonts w:ascii="Sylfaen" w:hAnsi="Sylfaen"/>
          <w:sz w:val="24"/>
          <w:szCs w:val="24"/>
        </w:rPr>
      </w:pPr>
    </w:p>
    <w:p w14:paraId="28A47E12" w14:textId="77777777" w:rsidR="00F8005E" w:rsidRDefault="00F8005E" w:rsidP="008C76E0">
      <w:pPr>
        <w:ind w:right="-1"/>
        <w:jc w:val="both"/>
        <w:rPr>
          <w:rFonts w:ascii="Sylfaen" w:hAnsi="Sylfaen"/>
          <w:sz w:val="24"/>
          <w:szCs w:val="24"/>
        </w:rPr>
        <w:sectPr w:rsidR="00F8005E" w:rsidSect="00F8005E">
          <w:pgSz w:w="11907" w:h="16839" w:code="9"/>
          <w:pgMar w:top="1418" w:right="1418" w:bottom="1418" w:left="1418" w:header="709" w:footer="709" w:gutter="0"/>
          <w:cols w:space="708"/>
          <w:docGrid w:linePitch="360"/>
        </w:sectPr>
      </w:pPr>
    </w:p>
    <w:p w14:paraId="49853322" w14:textId="77777777" w:rsidR="008C76E0" w:rsidRPr="003B2786" w:rsidRDefault="008C76E0" w:rsidP="00593820">
      <w:pPr>
        <w:spacing w:after="160" w:line="360" w:lineRule="auto"/>
        <w:ind w:left="4395" w:right="-1"/>
        <w:jc w:val="center"/>
        <w:outlineLvl w:val="0"/>
        <w:rPr>
          <w:rFonts w:ascii="Sylfaen" w:hAnsi="Sylfaen"/>
          <w:sz w:val="24"/>
          <w:szCs w:val="24"/>
        </w:rPr>
      </w:pPr>
      <w:r w:rsidRPr="003B2786">
        <w:rPr>
          <w:rFonts w:ascii="Sylfaen" w:hAnsi="Sylfaen"/>
          <w:sz w:val="24"/>
          <w:szCs w:val="24"/>
        </w:rPr>
        <w:lastRenderedPageBreak/>
        <w:t>ՀԱՎԵԼՎԱԾ ԹԻՎ 19</w:t>
      </w:r>
    </w:p>
    <w:p w14:paraId="16077AD8" w14:textId="77777777" w:rsidR="008C76E0" w:rsidRPr="003B2786" w:rsidRDefault="008C76E0" w:rsidP="00593820">
      <w:pPr>
        <w:spacing w:after="160" w:line="360" w:lineRule="auto"/>
        <w:ind w:left="4395" w:right="-1"/>
        <w:jc w:val="center"/>
        <w:rPr>
          <w:rFonts w:ascii="Sylfaen" w:hAnsi="Sylfaen"/>
          <w:sz w:val="24"/>
          <w:szCs w:val="24"/>
        </w:rPr>
      </w:pPr>
      <w:r w:rsidRPr="003B2786">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w:t>
      </w:r>
    </w:p>
    <w:p w14:paraId="38005BA1" w14:textId="77777777" w:rsidR="008C76E0" w:rsidRPr="003B2786" w:rsidRDefault="008C76E0" w:rsidP="00593820">
      <w:pPr>
        <w:spacing w:after="160" w:line="360" w:lineRule="auto"/>
        <w:ind w:left="5103" w:right="-1"/>
        <w:rPr>
          <w:rFonts w:ascii="Sylfaen" w:hAnsi="Sylfaen"/>
          <w:sz w:val="24"/>
          <w:szCs w:val="24"/>
        </w:rPr>
      </w:pPr>
    </w:p>
    <w:p w14:paraId="00C7FAF2" w14:textId="77777777" w:rsidR="008C76E0" w:rsidRPr="008C76E0" w:rsidRDefault="008C76E0" w:rsidP="00593820">
      <w:pPr>
        <w:pStyle w:val="Heading10"/>
        <w:shd w:val="clear" w:color="auto" w:fill="auto"/>
        <w:spacing w:before="0" w:after="160" w:line="360" w:lineRule="auto"/>
        <w:ind w:left="567" w:right="566"/>
        <w:rPr>
          <w:rFonts w:ascii="Sylfaen" w:hAnsi="Sylfaen"/>
          <w:sz w:val="24"/>
          <w:szCs w:val="24"/>
          <w:lang w:val="hy-AM"/>
        </w:rPr>
      </w:pPr>
      <w:bookmarkStart w:id="14" w:name="bookmark15"/>
      <w:r w:rsidRPr="008C76E0">
        <w:rPr>
          <w:rFonts w:ascii="Sylfaen" w:hAnsi="Sylfaen"/>
          <w:sz w:val="24"/>
          <w:szCs w:val="24"/>
          <w:lang w:val="hy-AM"/>
        </w:rPr>
        <w:t>ԿԱՆՈՆՆԵՐ</w:t>
      </w:r>
      <w:bookmarkEnd w:id="14"/>
    </w:p>
    <w:p w14:paraId="12F2C605" w14:textId="77777777" w:rsidR="008C76E0" w:rsidRPr="008C76E0" w:rsidRDefault="008C76E0" w:rsidP="00593820">
      <w:pPr>
        <w:pStyle w:val="Bodytext130"/>
        <w:shd w:val="clear" w:color="auto" w:fill="auto"/>
        <w:spacing w:after="160" w:line="360" w:lineRule="auto"/>
        <w:ind w:left="567" w:right="566"/>
        <w:rPr>
          <w:rFonts w:ascii="Sylfaen" w:hAnsi="Sylfaen"/>
          <w:sz w:val="24"/>
          <w:szCs w:val="24"/>
          <w:lang w:val="hy-AM"/>
        </w:rPr>
      </w:pPr>
      <w:r w:rsidRPr="008C76E0">
        <w:rPr>
          <w:rFonts w:ascii="Sylfaen" w:hAnsi="Sylfaen"/>
          <w:sz w:val="24"/>
          <w:szCs w:val="24"/>
          <w:lang w:val="hy-AM"/>
        </w:rPr>
        <w:t>բժշկական կիրառման գրանցված դեղապատրաստուկի գրանցման դոսյեի մեջ փոփոխություններ կատարելու</w:t>
      </w:r>
    </w:p>
    <w:p w14:paraId="06A378D3" w14:textId="77777777" w:rsidR="008C76E0" w:rsidRPr="008C76E0" w:rsidRDefault="008C76E0" w:rsidP="00593820">
      <w:pPr>
        <w:pStyle w:val="Bodytext130"/>
        <w:shd w:val="clear" w:color="auto" w:fill="auto"/>
        <w:spacing w:after="160" w:line="360" w:lineRule="auto"/>
        <w:ind w:right="-1"/>
        <w:rPr>
          <w:rFonts w:ascii="Sylfaen" w:hAnsi="Sylfaen"/>
          <w:sz w:val="24"/>
          <w:szCs w:val="24"/>
          <w:lang w:val="hy-AM"/>
        </w:rPr>
      </w:pPr>
    </w:p>
    <w:p w14:paraId="485EEED0" w14:textId="77777777" w:rsidR="008C76E0" w:rsidRPr="003B2786" w:rsidRDefault="008C76E0" w:rsidP="00593820">
      <w:pPr>
        <w:tabs>
          <w:tab w:val="left" w:pos="1701"/>
        </w:tabs>
        <w:spacing w:after="160" w:line="360" w:lineRule="auto"/>
        <w:ind w:right="-1"/>
        <w:jc w:val="center"/>
        <w:outlineLvl w:val="0"/>
        <w:rPr>
          <w:rFonts w:ascii="Sylfaen" w:hAnsi="Sylfaen"/>
          <w:sz w:val="24"/>
          <w:szCs w:val="24"/>
        </w:rPr>
      </w:pPr>
      <w:r w:rsidRPr="003B2786">
        <w:rPr>
          <w:rFonts w:ascii="Sylfaen" w:hAnsi="Sylfaen"/>
          <w:sz w:val="24"/>
          <w:szCs w:val="24"/>
        </w:rPr>
        <w:t>I. Ընդհանուր դրույթներ</w:t>
      </w:r>
    </w:p>
    <w:p w14:paraId="7CFC6D93"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 xml:space="preserve">1.1. Առարկան </w:t>
      </w:r>
      <w:r w:rsidR="00C54D75">
        <w:rPr>
          <w:rFonts w:ascii="Sylfaen" w:hAnsi="Sylfaen"/>
          <w:sz w:val="24"/>
          <w:szCs w:val="24"/>
        </w:rPr>
        <w:t>և</w:t>
      </w:r>
      <w:r w:rsidRPr="003B2786">
        <w:rPr>
          <w:rFonts w:ascii="Sylfaen" w:hAnsi="Sylfaen"/>
          <w:sz w:val="24"/>
          <w:szCs w:val="24"/>
        </w:rPr>
        <w:t xml:space="preserve"> կիրառության ոլորտը</w:t>
      </w:r>
    </w:p>
    <w:p w14:paraId="7B0497F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1.1.1.</w:t>
      </w:r>
      <w:r w:rsidRPr="003B2786">
        <w:rPr>
          <w:rFonts w:ascii="Sylfaen" w:hAnsi="Sylfaen"/>
          <w:sz w:val="24"/>
          <w:szCs w:val="24"/>
        </w:rPr>
        <w:tab/>
        <w:t xml:space="preserve">Սույն հավելվածով սահմանվում է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կանոններին (այսուհետ՝ Դեղամիջոցների գրանցման կանոններ) համապատասխան Եվրասիական տնտեսական միությունում (այսուհետ՝ Միություն) գրանցված կամ Միության իրավունքի մաս կազմող ակտերի պահանջներին համապատասխանեցման ընթացակարգին ենթարկվող՝ Բժշկական կիրառման դեղապատրաստուկների գրանցման դոսյեի մեջ փոփոխություններ կատարելու կարգը (այսուհետ՝ փոփոխություններ կատարելը):</w:t>
      </w:r>
    </w:p>
    <w:p w14:paraId="7A479AD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1.1.2.</w:t>
      </w:r>
      <w:r w:rsidRPr="003B2786">
        <w:rPr>
          <w:rFonts w:ascii="Sylfaen" w:hAnsi="Sylfaen"/>
          <w:sz w:val="24"/>
          <w:szCs w:val="24"/>
        </w:rPr>
        <w:tab/>
        <w:t>Սույն հավելվածը չի տարածվում գրանցման հավաստագրի մեկ իրավատիրոջից (այսուհետ՝ իրավատեր) մյուսին գրանցման հավաստագրերի փոխանցման վրա:</w:t>
      </w:r>
    </w:p>
    <w:p w14:paraId="280C84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1.1.3.</w:t>
      </w:r>
      <w:r w:rsidRPr="003B2786">
        <w:rPr>
          <w:rFonts w:ascii="Sylfaen" w:hAnsi="Sylfaen"/>
          <w:sz w:val="24"/>
          <w:szCs w:val="24"/>
        </w:rPr>
        <w:tab/>
        <w:t xml:space="preserve">Սույն հավելվածի II բաժինը կիրառվում է դեղապատրաստուկների` փոխադարձ ճանաչման ընթացակարգի </w:t>
      </w:r>
      <w:r w:rsidR="00C54D75">
        <w:rPr>
          <w:rFonts w:ascii="Sylfaen" w:hAnsi="Sylfaen"/>
          <w:sz w:val="24"/>
          <w:szCs w:val="24"/>
        </w:rPr>
        <w:t>և</w:t>
      </w:r>
      <w:r w:rsidRPr="003B2786">
        <w:rPr>
          <w:rFonts w:ascii="Sylfaen" w:hAnsi="Sylfaen"/>
          <w:sz w:val="24"/>
          <w:szCs w:val="24"/>
        </w:rPr>
        <w:t xml:space="preserve"> գրանցման ապակենտրոնացված ընթացակարգի շրջանակներում Դեղամիջոցների գրանցման կանոնների V.II </w:t>
      </w:r>
      <w:r w:rsidR="00C54D75">
        <w:rPr>
          <w:rFonts w:ascii="Sylfaen" w:hAnsi="Sylfaen"/>
          <w:sz w:val="24"/>
          <w:szCs w:val="24"/>
        </w:rPr>
        <w:t>և</w:t>
      </w:r>
      <w:r w:rsidRPr="003B2786">
        <w:rPr>
          <w:rFonts w:ascii="Sylfaen" w:hAnsi="Sylfaen"/>
          <w:sz w:val="24"/>
          <w:szCs w:val="24"/>
        </w:rPr>
        <w:t xml:space="preserve"> VI բաժիններին համապատասխան իրականացված գրանցման </w:t>
      </w:r>
      <w:r w:rsidRPr="003B2786">
        <w:rPr>
          <w:rFonts w:ascii="Sylfaen" w:hAnsi="Sylfaen"/>
          <w:sz w:val="24"/>
          <w:szCs w:val="24"/>
        </w:rPr>
        <w:lastRenderedPageBreak/>
        <w:t>պայմանների (այսուհետ՝ գրանցման պայմաններ)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Միության մի քանի անդամ պետություններում (այսուհետ՝ անդամ պետություններ)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03394F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1.1.4.</w:t>
      </w:r>
      <w:r w:rsidRPr="003B2786">
        <w:rPr>
          <w:rFonts w:ascii="Sylfaen" w:hAnsi="Sylfaen"/>
          <w:sz w:val="24"/>
          <w:szCs w:val="24"/>
        </w:rPr>
        <w:tab/>
        <w:t>Սույն հավելվածի III բաժինը կիրառվում է բացառապես Դեղամիջոցների գրանցման կանոնների V.I բաժնին համապատասխան մեկ անդամ պետությունում (ռեֆերենտ պետությունում) գրանցված դեղապատրաստուկների գրանցման պայմանների փոփոխությունների, ինչպես նա</w:t>
      </w:r>
      <w:r w:rsidR="00C54D75">
        <w:rPr>
          <w:rFonts w:ascii="Sylfaen" w:hAnsi="Sylfaen"/>
          <w:sz w:val="24"/>
          <w:szCs w:val="24"/>
        </w:rPr>
        <w:t>և</w:t>
      </w:r>
      <w:r w:rsidRPr="003B2786">
        <w:rPr>
          <w:rFonts w:ascii="Sylfaen" w:hAnsi="Sylfaen"/>
          <w:sz w:val="24"/>
          <w:szCs w:val="24"/>
        </w:rPr>
        <w:t xml:space="preserve"> այն դեղապատրաստուկների գրանցման պայմանների փոփոխությունների նկատմամբ, որոնք գրանցված են մեկ անդամ պետությունում </w:t>
      </w:r>
      <w:r w:rsidR="00C54D75">
        <w:rPr>
          <w:rFonts w:ascii="Sylfaen" w:hAnsi="Sylfaen"/>
          <w:sz w:val="24"/>
          <w:szCs w:val="24"/>
        </w:rPr>
        <w:t>և</w:t>
      </w:r>
      <w:r w:rsidRPr="003B2786">
        <w:rPr>
          <w:rFonts w:ascii="Sylfaen" w:hAnsi="Sylfaen"/>
          <w:sz w:val="24"/>
          <w:szCs w:val="24"/>
        </w:rPr>
        <w:t xml:space="preserve"> Դեղամիջոցների գրանցման կանոնների XIII բաժնի համաձայն անցել են (անցնում են) համապատասխանեցման ընթացակարգը: </w:t>
      </w:r>
    </w:p>
    <w:p w14:paraId="48A2549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1.1.5.</w:t>
      </w:r>
      <w:r w:rsidRPr="003B2786">
        <w:rPr>
          <w:rFonts w:ascii="Sylfaen" w:hAnsi="Sylfaen"/>
          <w:sz w:val="24"/>
          <w:szCs w:val="24"/>
        </w:rPr>
        <w:tab/>
        <w:t xml:space="preserve">Սույն հավելվածի IV բաժինը կիրառվում է սույն հավելվածի 1.1.3 </w:t>
      </w:r>
      <w:r w:rsidR="00C54D75">
        <w:rPr>
          <w:rFonts w:ascii="Sylfaen" w:hAnsi="Sylfaen"/>
          <w:sz w:val="24"/>
          <w:szCs w:val="24"/>
        </w:rPr>
        <w:t>և</w:t>
      </w:r>
      <w:r w:rsidRPr="003B2786">
        <w:rPr>
          <w:rFonts w:ascii="Sylfaen" w:hAnsi="Sylfaen"/>
          <w:sz w:val="24"/>
          <w:szCs w:val="24"/>
        </w:rPr>
        <w:t xml:space="preserve"> 1.1.4 ենթակետերում նշված գրանցման պայմանների փոփոխությունների նկատմամբ:</w:t>
      </w:r>
    </w:p>
    <w:p w14:paraId="1693245C" w14:textId="77777777" w:rsidR="008C76E0" w:rsidRPr="003B2786" w:rsidRDefault="008C76E0" w:rsidP="006817C8">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1.1.6.</w:t>
      </w:r>
      <w:r w:rsidRPr="003B2786">
        <w:rPr>
          <w:rFonts w:ascii="Sylfaen" w:hAnsi="Sylfaen"/>
          <w:sz w:val="24"/>
          <w:szCs w:val="24"/>
        </w:rPr>
        <w:tab/>
        <w:t>Բժշկական կիրառման գրանցված դեղապատրաստուկի գրանցման դոսյեի մեջ փոփոխություններ կատարելիս դեղապատրաստուկի փորձաքննություն անցկացնելու կանոնները ներկայացված են Դեղամիջոցների գրանցման կանոնների թիվ 20 հավելվածում:</w:t>
      </w:r>
    </w:p>
    <w:p w14:paraId="25E69432" w14:textId="77777777" w:rsidR="008C76E0" w:rsidRPr="003B2786" w:rsidRDefault="008C76E0" w:rsidP="006817C8">
      <w:pPr>
        <w:tabs>
          <w:tab w:val="left" w:pos="1134"/>
        </w:tabs>
        <w:spacing w:after="160" w:line="384" w:lineRule="auto"/>
        <w:ind w:firstLine="567"/>
        <w:rPr>
          <w:rFonts w:ascii="Sylfaen" w:hAnsi="Sylfaen"/>
          <w:sz w:val="24"/>
          <w:szCs w:val="24"/>
        </w:rPr>
      </w:pPr>
      <w:r w:rsidRPr="003B2786">
        <w:rPr>
          <w:rFonts w:ascii="Sylfaen" w:hAnsi="Sylfaen"/>
          <w:sz w:val="24"/>
          <w:szCs w:val="24"/>
        </w:rPr>
        <w:t>1.2.</w:t>
      </w:r>
      <w:r>
        <w:rPr>
          <w:rFonts w:ascii="Sylfaen" w:hAnsi="Sylfaen"/>
          <w:sz w:val="24"/>
          <w:szCs w:val="24"/>
        </w:rPr>
        <w:tab/>
      </w:r>
      <w:r w:rsidRPr="003B2786">
        <w:rPr>
          <w:rFonts w:ascii="Sylfaen" w:hAnsi="Sylfaen"/>
          <w:sz w:val="24"/>
          <w:szCs w:val="24"/>
        </w:rPr>
        <w:t>Սահմանումները</w:t>
      </w:r>
    </w:p>
    <w:p w14:paraId="19D0138A"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Սույն հավելվածի նպատակներով օգտագործվում են հասկացություններ, որոնք ունեն հետ</w:t>
      </w:r>
      <w:r w:rsidR="00C54D75">
        <w:rPr>
          <w:rFonts w:ascii="Sylfaen" w:hAnsi="Sylfaen"/>
          <w:sz w:val="24"/>
          <w:szCs w:val="24"/>
        </w:rPr>
        <w:t>և</w:t>
      </w:r>
      <w:r w:rsidRPr="003B2786">
        <w:rPr>
          <w:rFonts w:ascii="Sylfaen" w:hAnsi="Sylfaen"/>
          <w:sz w:val="24"/>
          <w:szCs w:val="24"/>
        </w:rPr>
        <w:t>յալ իմաստը՝</w:t>
      </w:r>
    </w:p>
    <w:p w14:paraId="5E8A52A6" w14:textId="77777777" w:rsidR="008C76E0" w:rsidRPr="003B2786" w:rsidRDefault="008C76E0" w:rsidP="006817C8">
      <w:pPr>
        <w:tabs>
          <w:tab w:val="left" w:pos="993"/>
          <w:tab w:val="left" w:pos="1701"/>
        </w:tabs>
        <w:spacing w:after="160" w:line="384" w:lineRule="auto"/>
        <w:ind w:firstLine="567"/>
        <w:jc w:val="both"/>
        <w:rPr>
          <w:rFonts w:ascii="Sylfaen" w:hAnsi="Sylfaen"/>
          <w:sz w:val="24"/>
          <w:szCs w:val="24"/>
        </w:rPr>
      </w:pPr>
      <w:r w:rsidRPr="003B2786">
        <w:rPr>
          <w:rFonts w:ascii="Sylfaen" w:hAnsi="Sylfaen"/>
          <w:sz w:val="24"/>
          <w:szCs w:val="24"/>
        </w:rPr>
        <w:t>«շահագրգիռ անդամ պետություն»՝ անդամ պետություն, որի լիազորված մարմինը գրանցել է դիտարկվող դեղապատրաստուկը.</w:t>
      </w:r>
    </w:p>
    <w:p w14:paraId="7B91890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«II տիպի էական փոփոխություն»՝ փոփոխություն, որը, չլինելով նոր գրանցում պահանջող փոփոխություն, կարող է էական ազդեցություն ունենալ գրանցված դեղապատրաստուկի որակի, անվտանգության կամ արդյունավետության վրա.</w:t>
      </w:r>
    </w:p>
    <w:p w14:paraId="194228B6"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«նոր գրանցում պահանջող փոփոխություն» կամ «գրանցման ընդլայնում»՝ փոփոխություններ, որոնք թվարկված են I լրացման մեջ </w:t>
      </w:r>
      <w:r w:rsidR="00C54D75">
        <w:rPr>
          <w:rFonts w:ascii="Sylfaen" w:hAnsi="Sylfaen"/>
          <w:sz w:val="24"/>
          <w:szCs w:val="24"/>
        </w:rPr>
        <w:t>և</w:t>
      </w:r>
      <w:r w:rsidRPr="003B2786">
        <w:rPr>
          <w:rFonts w:ascii="Sylfaen" w:hAnsi="Sylfaen"/>
          <w:sz w:val="24"/>
          <w:szCs w:val="24"/>
        </w:rPr>
        <w:t xml:space="preserve"> բավարարում են դրա մեջ նկարագրված պայմաններին.</w:t>
      </w:r>
    </w:p>
    <w:p w14:paraId="1A2081E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«գրանցման պայմանների փոփոխություն» կամ «գրանցման դոսյեի փոփոխություն» նշանակում է հետ</w:t>
      </w:r>
      <w:r w:rsidR="00C54D75">
        <w:rPr>
          <w:rFonts w:ascii="Sylfaen" w:hAnsi="Sylfaen"/>
          <w:sz w:val="24"/>
          <w:szCs w:val="24"/>
        </w:rPr>
        <w:t>և</w:t>
      </w:r>
      <w:r w:rsidRPr="003B2786">
        <w:rPr>
          <w:rFonts w:ascii="Sylfaen" w:hAnsi="Sylfaen"/>
          <w:sz w:val="24"/>
          <w:szCs w:val="24"/>
        </w:rPr>
        <w:t>յալների ցանկացած փոփոխություն՝</w:t>
      </w:r>
    </w:p>
    <w:p w14:paraId="6C23F55F"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 հավելվածում նշված փաստաթղթերի </w:t>
      </w:r>
      <w:r w:rsidR="00C54D75">
        <w:rPr>
          <w:rFonts w:ascii="Sylfaen" w:hAnsi="Sylfaen"/>
          <w:sz w:val="24"/>
          <w:szCs w:val="24"/>
        </w:rPr>
        <w:t>և</w:t>
      </w:r>
      <w:r w:rsidRPr="003B2786">
        <w:rPr>
          <w:rFonts w:ascii="Sylfaen" w:hAnsi="Sylfaen"/>
          <w:sz w:val="24"/>
          <w:szCs w:val="24"/>
        </w:rPr>
        <w:t xml:space="preserve"> տվյալների.</w:t>
      </w:r>
    </w:p>
    <w:p w14:paraId="3A892CC8"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դեղապատրաստուկի գրանցման մասին որոշում կայացնելու պայմանների, ներառյալ՝ դեղապատրաստուկի ընդհանուր բնութագիրը </w:t>
      </w:r>
      <w:r w:rsidR="00C54D75">
        <w:rPr>
          <w:rFonts w:ascii="Sylfaen" w:hAnsi="Sylfaen"/>
          <w:sz w:val="24"/>
          <w:szCs w:val="24"/>
        </w:rPr>
        <w:t>և</w:t>
      </w:r>
      <w:r w:rsidRPr="003B2786">
        <w:rPr>
          <w:rFonts w:ascii="Sylfaen" w:hAnsi="Sylfaen"/>
          <w:sz w:val="24"/>
          <w:szCs w:val="24"/>
        </w:rPr>
        <w:t xml:space="preserve"> ցանկացած պայման, պարտավորություն կամ սահմանափակում, որը ազդում է դեղապատրաստուկի գրանցման վրա, կամ մականշվածքի կամ ներդիր թերթիկի փոփոխություններ, որոնք պայմանավորված են դեղապատրաստուկի ընդհանուր բնութագրի փոփոխությամբ.</w:t>
      </w:r>
    </w:p>
    <w:p w14:paraId="3B87C475"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«IA տիպի ոչ էական փոփոխություն»՝ փոփոխություն, որը գրանցված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նվազագույն ազդեցություն է ունենում կամ որ</w:t>
      </w:r>
      <w:r w:rsidR="00C54D75">
        <w:rPr>
          <w:rFonts w:ascii="Sylfaen" w:hAnsi="Sylfaen"/>
          <w:sz w:val="24"/>
          <w:szCs w:val="24"/>
        </w:rPr>
        <w:t>և</w:t>
      </w:r>
      <w:r w:rsidRPr="003B2786">
        <w:rPr>
          <w:rFonts w:ascii="Sylfaen" w:hAnsi="Sylfaen"/>
          <w:sz w:val="24"/>
          <w:szCs w:val="24"/>
        </w:rPr>
        <w:t>է ազդեցություն չի ունենում.</w:t>
      </w:r>
    </w:p>
    <w:p w14:paraId="62888123"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«IB տիպի ոչ էական փոփոխություն»՝ փոփոխություն, որի վրա չեն տարածվում IA, II տիպերի փոփոխությունների սահմանումները </w:t>
      </w:r>
      <w:r w:rsidR="00C54D75">
        <w:rPr>
          <w:rFonts w:ascii="Sylfaen" w:hAnsi="Sylfaen"/>
          <w:sz w:val="24"/>
          <w:szCs w:val="24"/>
        </w:rPr>
        <w:t>և</w:t>
      </w:r>
      <w:r w:rsidRPr="003B2786">
        <w:rPr>
          <w:rFonts w:ascii="Sylfaen" w:hAnsi="Sylfaen"/>
          <w:sz w:val="24"/>
          <w:szCs w:val="24"/>
        </w:rPr>
        <w:t xml:space="preserve"> գրանցման ընդլայնումները.</w:t>
      </w:r>
    </w:p>
    <w:p w14:paraId="29CF043E" w14:textId="13A47F44"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նպատակով անհետաձգելի սահմանափակում»՝ դեղապատրաստուկի անվտանգ կիրառման վերաբերյալ նոր տեղեկությունների ի </w:t>
      </w:r>
      <w:r w:rsidR="0056496B">
        <w:rPr>
          <w:rFonts w:ascii="Sylfaen" w:hAnsi="Sylfaen"/>
          <w:sz w:val="24"/>
          <w:szCs w:val="24"/>
        </w:rPr>
        <w:t>դիմում</w:t>
      </w:r>
      <w:r w:rsidRPr="003B2786">
        <w:rPr>
          <w:rFonts w:ascii="Sylfaen" w:hAnsi="Sylfaen"/>
          <w:sz w:val="24"/>
          <w:szCs w:val="24"/>
        </w:rPr>
        <w:t xml:space="preserve"> գալու հետ կապված գրանցման պայմանների միջանկյալ փոփոխություն.</w:t>
      </w:r>
    </w:p>
    <w:p w14:paraId="05E280EA" w14:textId="77777777" w:rsidR="008C76E0" w:rsidRPr="003B2786" w:rsidRDefault="008C76E0" w:rsidP="00593820">
      <w:pPr>
        <w:tabs>
          <w:tab w:val="left" w:pos="993"/>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մարմին»՝ յուրաքանչյուր շահագրգիռ անդամ պետության լիազորված մարմին (փորձագիտական կազմակերպություն):</w:t>
      </w:r>
    </w:p>
    <w:p w14:paraId="5D7841E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w:t>
      </w:r>
      <w:r>
        <w:rPr>
          <w:rFonts w:ascii="Sylfaen" w:hAnsi="Sylfaen"/>
          <w:sz w:val="24"/>
          <w:szCs w:val="24"/>
        </w:rPr>
        <w:tab/>
      </w:r>
      <w:r w:rsidRPr="003B2786">
        <w:rPr>
          <w:rFonts w:ascii="Sylfaen" w:hAnsi="Sylfaen"/>
          <w:sz w:val="24"/>
          <w:szCs w:val="24"/>
        </w:rPr>
        <w:t>Փոփոխությունների դասակարգումը</w:t>
      </w:r>
    </w:p>
    <w:p w14:paraId="69865F1D"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1.3.1.</w:t>
      </w:r>
      <w:r w:rsidRPr="003B2786">
        <w:rPr>
          <w:rFonts w:ascii="Sylfaen" w:hAnsi="Sylfaen"/>
          <w:sz w:val="24"/>
          <w:szCs w:val="24"/>
        </w:rPr>
        <w:tab/>
        <w:t>Դեղապատրաստուկի գրանցման ընդլայնում չհանդիսացող յուրաքանչյուր փոփոխության նկատմամբ կիրառվում է II լրացման մեջ սահմանված դասակարգումը:</w:t>
      </w:r>
    </w:p>
    <w:p w14:paraId="62FBCDF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1.3.2.</w:t>
      </w:r>
      <w:r w:rsidRPr="003B2786">
        <w:rPr>
          <w:rFonts w:ascii="Sylfaen" w:hAnsi="Sylfaen"/>
          <w:sz w:val="24"/>
          <w:szCs w:val="24"/>
        </w:rPr>
        <w:tab/>
        <w:t xml:space="preserve">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հավելվածի դրույթները </w:t>
      </w:r>
      <w:r w:rsidR="00C54D75">
        <w:rPr>
          <w:rFonts w:ascii="Sylfaen" w:hAnsi="Sylfaen"/>
          <w:sz w:val="24"/>
          <w:szCs w:val="24"/>
        </w:rPr>
        <w:t>և</w:t>
      </w:r>
      <w:r w:rsidRPr="003B2786">
        <w:rPr>
          <w:rFonts w:ascii="Sylfaen" w:hAnsi="Sylfaen"/>
          <w:sz w:val="24"/>
          <w:szCs w:val="24"/>
        </w:rPr>
        <w:t xml:space="preserve"> հաշվի առնելով 1.5 կետի համաձայն կազմված առաջարկությունները, ինքնաբերաբար հանդես է գալիս որպես IB տիպի փոփոխություն:</w:t>
      </w:r>
    </w:p>
    <w:p w14:paraId="7118CB20"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1.3.3.</w:t>
      </w:r>
      <w:r w:rsidRPr="003B2786">
        <w:rPr>
          <w:rFonts w:ascii="Sylfaen" w:hAnsi="Sylfaen"/>
          <w:sz w:val="24"/>
          <w:szCs w:val="24"/>
        </w:rPr>
        <w:tab/>
        <w:t xml:space="preserve">1.3.2 ենթակետից բացառելու կարգով այն փոփոխությունը, որը չի հանդիսանում դեղապատրաստուկի գրանցման ընդլայնում, </w:t>
      </w:r>
      <w:r w:rsidR="00C54D75">
        <w:rPr>
          <w:rFonts w:ascii="Sylfaen" w:hAnsi="Sylfaen"/>
          <w:sz w:val="24"/>
          <w:szCs w:val="24"/>
        </w:rPr>
        <w:t>և</w:t>
      </w:r>
      <w:r w:rsidRPr="003B2786">
        <w:rPr>
          <w:rFonts w:ascii="Sylfaen" w:hAnsi="Sylfaen"/>
          <w:sz w:val="24"/>
          <w:szCs w:val="24"/>
        </w:rPr>
        <w:t xml:space="preserve"> որի դասակարգային պատկանելությունը հնարավոր չէ որոշել՝ կիրառելով սույն հավելվածով սահմանված կանոնները, հանդես է գալիս որպես II տիպի էական փոփոխություն հետ</w:t>
      </w:r>
      <w:r w:rsidR="00C54D75">
        <w:rPr>
          <w:rFonts w:ascii="Sylfaen" w:hAnsi="Sylfaen"/>
          <w:sz w:val="24"/>
          <w:szCs w:val="24"/>
        </w:rPr>
        <w:t>և</w:t>
      </w:r>
      <w:r w:rsidRPr="003B2786">
        <w:rPr>
          <w:rFonts w:ascii="Sylfaen" w:hAnsi="Sylfaen"/>
          <w:sz w:val="24"/>
          <w:szCs w:val="24"/>
        </w:rPr>
        <w:t>յալ դեպքերում՝</w:t>
      </w:r>
    </w:p>
    <w:p w14:paraId="5F358163" w14:textId="7B06F4C3"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փոփոխություն կատարելու </w:t>
      </w:r>
      <w:r w:rsidR="0056496B">
        <w:rPr>
          <w:rFonts w:ascii="Sylfaen" w:hAnsi="Sylfaen"/>
          <w:sz w:val="24"/>
          <w:szCs w:val="24"/>
        </w:rPr>
        <w:t>դիմում</w:t>
      </w:r>
      <w:r w:rsidRPr="003B2786">
        <w:rPr>
          <w:rFonts w:ascii="Sylfaen" w:hAnsi="Sylfaen"/>
          <w:sz w:val="24"/>
          <w:szCs w:val="24"/>
        </w:rPr>
        <w:t xml:space="preserve"> ներկայացնելիս՝ </w:t>
      </w:r>
      <w:r w:rsidR="0056496B">
        <w:rPr>
          <w:rFonts w:ascii="Sylfaen" w:hAnsi="Sylfaen"/>
          <w:sz w:val="24"/>
          <w:szCs w:val="24"/>
        </w:rPr>
        <w:t>դիմումատու</w:t>
      </w:r>
      <w:r w:rsidRPr="003B2786">
        <w:rPr>
          <w:rFonts w:ascii="Sylfaen" w:hAnsi="Sylfaen"/>
          <w:sz w:val="24"/>
          <w:szCs w:val="24"/>
        </w:rPr>
        <w:t>ի հարցմամբ.</w:t>
      </w:r>
    </w:p>
    <w:p w14:paraId="22B1890F"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ռեֆերենտ պետության լիազորված մարմինը (փորձագիտական կազմակերպությունը) ճանաչման պետությունների լիազորված մարմինների (փորձագիտական կազմակերպությունների) հետ խորհրդակցելուց հետո կամ ռեֆերենտ պետության լիազորված մարմինը (փորձագիտական կազմակերպությունը) դեղապատրաստուկը միայն այդ անդամ պետությունում գրանցելիս համապատասխանաբար 2.2.2 կամ 3.2.2 ենթակետերին համապատասխան </w:t>
      </w:r>
      <w:r w:rsidR="00C54D75">
        <w:rPr>
          <w:rFonts w:ascii="Sylfaen" w:hAnsi="Sylfaen"/>
          <w:sz w:val="24"/>
          <w:szCs w:val="24"/>
        </w:rPr>
        <w:t>և</w:t>
      </w:r>
      <w:r w:rsidRPr="003B2786">
        <w:rPr>
          <w:rFonts w:ascii="Sylfaen" w:hAnsi="Sylfaen"/>
          <w:sz w:val="24"/>
          <w:szCs w:val="24"/>
        </w:rPr>
        <w:t xml:space="preserve"> սույն հավելվածի 1.5 կետը հաշվի առնելով ծանուցումը գնահատելուց հետո ընդունում է որոշում այն մասին, որ փոփոխությունը էական ազդեցություն է ունենում գրանցված դեղապատրաստուկի որակի, </w:t>
      </w:r>
      <w:r w:rsidRPr="003B2786">
        <w:rPr>
          <w:rFonts w:ascii="Sylfaen" w:hAnsi="Sylfaen"/>
          <w:sz w:val="24"/>
          <w:szCs w:val="24"/>
        </w:rPr>
        <w:lastRenderedPageBreak/>
        <w:t xml:space="preserve">անվտանգության կամ արդյունավետության վրա: </w:t>
      </w:r>
    </w:p>
    <w:p w14:paraId="0FE3D2F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1.3.4.</w:t>
      </w:r>
      <w:r w:rsidRPr="003B2786">
        <w:rPr>
          <w:rFonts w:ascii="Sylfaen" w:hAnsi="Sylfaen"/>
          <w:sz w:val="24"/>
          <w:szCs w:val="24"/>
        </w:rPr>
        <w:tab/>
        <w:t>Փոփոխությունների մանրամասն դասակարգումը ներկայացվում է V լրացման մեջ:</w:t>
      </w:r>
    </w:p>
    <w:p w14:paraId="32218216" w14:textId="77777777" w:rsidR="008C76E0" w:rsidRPr="003B2786" w:rsidRDefault="008C76E0" w:rsidP="00593820">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1.4.</w:t>
      </w:r>
      <w:r>
        <w:rPr>
          <w:rFonts w:ascii="Sylfaen" w:hAnsi="Sylfaen"/>
          <w:sz w:val="24"/>
          <w:szCs w:val="24"/>
        </w:rPr>
        <w:tab/>
      </w:r>
      <w:r w:rsidRPr="003B2786">
        <w:rPr>
          <w:rFonts w:ascii="Sylfaen" w:hAnsi="Sylfaen"/>
          <w:sz w:val="24"/>
          <w:szCs w:val="24"/>
        </w:rPr>
        <w:t>Փոփոխություններ կատարելը</w:t>
      </w:r>
    </w:p>
    <w:p w14:paraId="4A88417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1.4.1.</w:t>
      </w:r>
      <w:r w:rsidRPr="003B2786">
        <w:rPr>
          <w:rFonts w:ascii="Sylfaen" w:hAnsi="Sylfaen"/>
          <w:sz w:val="24"/>
          <w:szCs w:val="24"/>
        </w:rPr>
        <w:tab/>
        <w:t>Եվրասիական տնտեսական հանձնաժողովը (այսուհետ՝ Հանձնաժողով) պարտավոր է պարբերաբար փոփոխություններ կատարել սույն հավելվածի մեջ՝ արդի գիտական տվյալներին համապատասխան:</w:t>
      </w:r>
    </w:p>
    <w:p w14:paraId="6845146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w:t>
      </w:r>
      <w:r w:rsidRPr="003B2786">
        <w:rPr>
          <w:rFonts w:ascii="Sylfaen" w:hAnsi="Sylfaen"/>
          <w:sz w:val="24"/>
          <w:szCs w:val="24"/>
        </w:rPr>
        <w:tab/>
        <w:t>Չդասակարգված փոփոխությունների վերաբերյալ առաջարկություններ</w:t>
      </w:r>
    </w:p>
    <w:p w14:paraId="3D2D8665" w14:textId="040A659B"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1.5.1.</w:t>
      </w:r>
      <w:r w:rsidRPr="003B2786">
        <w:rPr>
          <w:rFonts w:ascii="Sylfaen" w:hAnsi="Sylfaen"/>
          <w:sz w:val="24"/>
          <w:szCs w:val="24"/>
        </w:rPr>
        <w:tab/>
        <w:t xml:space="preserve">Նախքան այնպիսի փոփոխության կատարման </w:t>
      </w:r>
      <w:r w:rsidR="0056496B">
        <w:rPr>
          <w:rFonts w:ascii="Sylfaen" w:hAnsi="Sylfaen"/>
          <w:sz w:val="24"/>
          <w:szCs w:val="24"/>
        </w:rPr>
        <w:t>դիմում</w:t>
      </w:r>
      <w:r w:rsidRPr="003B2786">
        <w:rPr>
          <w:rFonts w:ascii="Sylfaen" w:hAnsi="Sylfaen"/>
          <w:sz w:val="24"/>
          <w:szCs w:val="24"/>
        </w:rPr>
        <w:t xml:space="preserve"> ներկայացնելը, որի դասակարգումը սույն հավելվածում բացակայում է, </w:t>
      </w:r>
      <w:r w:rsidR="0056496B">
        <w:rPr>
          <w:rFonts w:ascii="Sylfaen" w:hAnsi="Sylfaen"/>
          <w:sz w:val="24"/>
          <w:szCs w:val="24"/>
        </w:rPr>
        <w:t>դիմումատու</w:t>
      </w:r>
      <w:r w:rsidRPr="003B2786">
        <w:rPr>
          <w:rFonts w:ascii="Sylfaen" w:hAnsi="Sylfaen"/>
          <w:sz w:val="24"/>
          <w:szCs w:val="24"/>
        </w:rPr>
        <w:t>ն իրավունք ունի ռեֆերենտ պետության լիազորված մարմնից (փորձագիտական կազմակերպությունից) փոփոխության դասակարգման վերաբերյալ առաջարկություն պահանջելու:</w:t>
      </w:r>
    </w:p>
    <w:p w14:paraId="1689A0A5" w14:textId="02006119"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1.5.2.</w:t>
      </w:r>
      <w:r w:rsidRPr="003B2786">
        <w:rPr>
          <w:rFonts w:ascii="Sylfaen" w:hAnsi="Sylfaen"/>
          <w:sz w:val="24"/>
          <w:szCs w:val="24"/>
        </w:rPr>
        <w:tab/>
        <w:t xml:space="preserve">1.5.1 ենթակետում հիշատակված առաջարկությունը չպետք է հակասի սույն հավելվածին: Անհրաժեշտ է, որ ռեֆերենտ պետության լիազորված մարմինը (փորձագիտական կազմակերպությունը) </w:t>
      </w:r>
      <w:r w:rsidR="0056496B">
        <w:rPr>
          <w:rFonts w:ascii="Sylfaen" w:hAnsi="Sylfaen"/>
          <w:sz w:val="24"/>
          <w:szCs w:val="24"/>
        </w:rPr>
        <w:t>դիմումատու</w:t>
      </w:r>
      <w:r w:rsidRPr="003B2786">
        <w:rPr>
          <w:rFonts w:ascii="Sylfaen" w:hAnsi="Sylfaen"/>
          <w:sz w:val="24"/>
          <w:szCs w:val="24"/>
        </w:rPr>
        <w:t xml:space="preserve">ի կողմից </w:t>
      </w:r>
      <w:r w:rsidR="0056496B">
        <w:rPr>
          <w:rFonts w:ascii="Sylfaen" w:hAnsi="Sylfaen"/>
          <w:sz w:val="24"/>
          <w:szCs w:val="24"/>
        </w:rPr>
        <w:t>դիմում</w:t>
      </w:r>
      <w:r w:rsidRPr="003B2786">
        <w:rPr>
          <w:rFonts w:ascii="Sylfaen" w:hAnsi="Sylfaen"/>
          <w:sz w:val="24"/>
          <w:szCs w:val="24"/>
        </w:rPr>
        <w:t xml:space="preserve">ն ստանալուց հետո՝ 45 օրացուցային օրվա ընթացքում, էլեկտրոնային </w:t>
      </w:r>
      <w:r w:rsidR="00C54D75">
        <w:rPr>
          <w:rFonts w:ascii="Sylfaen" w:hAnsi="Sylfaen"/>
          <w:sz w:val="24"/>
          <w:szCs w:val="24"/>
        </w:rPr>
        <w:t>և</w:t>
      </w:r>
      <w:r w:rsidRPr="003B2786">
        <w:rPr>
          <w:rFonts w:ascii="Sylfaen" w:hAnsi="Sylfaen"/>
          <w:sz w:val="24"/>
          <w:szCs w:val="24"/>
        </w:rPr>
        <w:t xml:space="preserve"> (կամ) թղթային եղանակով առաջարկությունն ուղարկի </w:t>
      </w:r>
      <w:r w:rsidR="0056496B">
        <w:rPr>
          <w:rFonts w:ascii="Sylfaen" w:hAnsi="Sylfaen"/>
          <w:sz w:val="24"/>
          <w:szCs w:val="24"/>
        </w:rPr>
        <w:t>դիմումատու</w:t>
      </w:r>
      <w:r w:rsidRPr="003B2786">
        <w:rPr>
          <w:rFonts w:ascii="Sylfaen" w:hAnsi="Sylfaen"/>
          <w:sz w:val="24"/>
          <w:szCs w:val="24"/>
        </w:rPr>
        <w:t xml:space="preserve">ին, մյուս անդամ պետություններ </w:t>
      </w:r>
      <w:r w:rsidR="00C54D75">
        <w:rPr>
          <w:rFonts w:ascii="Sylfaen" w:hAnsi="Sylfaen"/>
          <w:sz w:val="24"/>
          <w:szCs w:val="24"/>
        </w:rPr>
        <w:t>և</w:t>
      </w:r>
      <w:r w:rsidRPr="003B2786">
        <w:rPr>
          <w:rFonts w:ascii="Sylfaen" w:hAnsi="Sylfaen"/>
          <w:sz w:val="24"/>
          <w:szCs w:val="24"/>
        </w:rPr>
        <w:t xml:space="preserve"> Հանձնաժողովին կից Դեղամիջոցների հարցերով փորձագիտական կոմիտե (այսուհետ՝ Փորձագիտական կոմիտե): Նշված ժամկետը կարող է երկարաձգվել </w:t>
      </w:r>
      <w:r w:rsidR="00C54D75">
        <w:rPr>
          <w:rFonts w:ascii="Sylfaen" w:hAnsi="Sylfaen"/>
          <w:sz w:val="24"/>
          <w:szCs w:val="24"/>
        </w:rPr>
        <w:t>և</w:t>
      </w:r>
      <w:r w:rsidRPr="003B2786">
        <w:rPr>
          <w:rFonts w:ascii="Sylfaen" w:hAnsi="Sylfaen"/>
          <w:sz w:val="24"/>
          <w:szCs w:val="24"/>
        </w:rPr>
        <w:t>ս 45 օրացուցային օրով, եթե ռեֆերենտ պետության լիազորված մարմինը (փորձագիտական կազմակերպությունը) անհրաժեշտ համարի խորհրդակցել Փորձագիտական կոմիտեի հետ:</w:t>
      </w:r>
    </w:p>
    <w:p w14:paraId="38E48626" w14:textId="77777777" w:rsidR="008C76E0" w:rsidRPr="003B2786" w:rsidRDefault="008C76E0" w:rsidP="006817C8">
      <w:pPr>
        <w:tabs>
          <w:tab w:val="left" w:pos="1701"/>
        </w:tabs>
        <w:spacing w:after="160" w:line="336" w:lineRule="auto"/>
        <w:ind w:firstLine="567"/>
        <w:jc w:val="both"/>
        <w:rPr>
          <w:rFonts w:ascii="Sylfaen" w:hAnsi="Sylfaen"/>
          <w:sz w:val="24"/>
          <w:szCs w:val="24"/>
        </w:rPr>
      </w:pPr>
      <w:r w:rsidRPr="003B2786">
        <w:rPr>
          <w:rFonts w:ascii="Sylfaen" w:hAnsi="Sylfaen"/>
          <w:sz w:val="24"/>
          <w:szCs w:val="24"/>
        </w:rPr>
        <w:t>1.5.3.</w:t>
      </w:r>
      <w:r w:rsidRPr="003B2786">
        <w:rPr>
          <w:rFonts w:ascii="Sylfaen" w:hAnsi="Sylfaen"/>
          <w:sz w:val="24"/>
          <w:szCs w:val="24"/>
        </w:rPr>
        <w:tab/>
        <w:t xml:space="preserve">Նախքան այն փոփոխության փորձաքննությունը, որի դասակարգումը բացակայում է սույն հավելվածում, շահագրգիռ անդամ պետության լիազորված մարմինը (փորձագիտական կազմակերպությունը) իրավունք ունի Փորձագիտական կոմիտեից այդպիսի փոփոխության վերաբերյալ </w:t>
      </w:r>
      <w:r w:rsidRPr="003B2786">
        <w:rPr>
          <w:rFonts w:ascii="Sylfaen" w:hAnsi="Sylfaen"/>
          <w:sz w:val="24"/>
          <w:szCs w:val="24"/>
        </w:rPr>
        <w:lastRenderedPageBreak/>
        <w:t>առաջարկություն պահանջելու:</w:t>
      </w:r>
    </w:p>
    <w:p w14:paraId="31FB4017" w14:textId="1241AB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1.5.4.</w:t>
      </w:r>
      <w:r w:rsidRPr="003B2786">
        <w:rPr>
          <w:rFonts w:ascii="Sylfaen" w:hAnsi="Sylfaen"/>
          <w:sz w:val="24"/>
          <w:szCs w:val="24"/>
        </w:rPr>
        <w:tab/>
        <w:t xml:space="preserve">1.5.3 կետում հիշատակված առաջարկությունը չպետք է հակասի սույն հավելվածին: Անհրաժեշտ է, որ Փորձագիտական կոմիտեն այն ներկայացնի շահագրգիռ լիազորված մարմնի (փորձագիտական կազմակերպության) կողմից հարցումն ստանալուց հետո՝ 45 օրացուցային օրվա ընթացքում, </w:t>
      </w:r>
      <w:r w:rsidR="00C54D75">
        <w:rPr>
          <w:rFonts w:ascii="Sylfaen" w:hAnsi="Sylfaen"/>
          <w:sz w:val="24"/>
          <w:szCs w:val="24"/>
        </w:rPr>
        <w:t>և</w:t>
      </w:r>
      <w:r w:rsidRPr="003B2786">
        <w:rPr>
          <w:rFonts w:ascii="Sylfaen" w:hAnsi="Sylfaen"/>
          <w:sz w:val="24"/>
          <w:szCs w:val="24"/>
        </w:rPr>
        <w:t xml:space="preserve"> ուղարկի </w:t>
      </w:r>
      <w:r w:rsidR="0056496B">
        <w:rPr>
          <w:rFonts w:ascii="Sylfaen" w:hAnsi="Sylfaen"/>
          <w:sz w:val="24"/>
          <w:szCs w:val="24"/>
        </w:rPr>
        <w:t>դիմումատու</w:t>
      </w:r>
      <w:r w:rsidRPr="003B2786">
        <w:rPr>
          <w:rFonts w:ascii="Sylfaen" w:hAnsi="Sylfaen"/>
          <w:sz w:val="24"/>
          <w:szCs w:val="24"/>
        </w:rPr>
        <w:t>ին ու անդամ պետությունների համապատասխան լիազորված մարմիններ:</w:t>
      </w:r>
    </w:p>
    <w:p w14:paraId="0ED675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1.5.5.</w:t>
      </w:r>
      <w:r w:rsidRPr="003B2786">
        <w:rPr>
          <w:rFonts w:ascii="Sylfaen" w:hAnsi="Sylfaen"/>
          <w:sz w:val="24"/>
          <w:szCs w:val="24"/>
        </w:rPr>
        <w:tab/>
        <w:t xml:space="preserve">1.5.1 </w:t>
      </w:r>
      <w:r w:rsidR="00C54D75">
        <w:rPr>
          <w:rFonts w:ascii="Sylfaen" w:hAnsi="Sylfaen"/>
          <w:sz w:val="24"/>
          <w:szCs w:val="24"/>
        </w:rPr>
        <w:t>և</w:t>
      </w:r>
      <w:r w:rsidRPr="003B2786">
        <w:rPr>
          <w:rFonts w:ascii="Sylfaen" w:hAnsi="Sylfaen"/>
          <w:sz w:val="24"/>
          <w:szCs w:val="24"/>
        </w:rPr>
        <w:t xml:space="preserve"> 1.5.3 ենթակետերին համապատասխան լիազորված մարմինների (փորձագիտական կազմակերպությունների) </w:t>
      </w:r>
      <w:r w:rsidR="00C54D75">
        <w:rPr>
          <w:rFonts w:ascii="Sylfaen" w:hAnsi="Sylfaen"/>
          <w:sz w:val="24"/>
          <w:szCs w:val="24"/>
        </w:rPr>
        <w:t>և</w:t>
      </w:r>
      <w:r w:rsidRPr="003B2786">
        <w:rPr>
          <w:rFonts w:ascii="Sylfaen" w:hAnsi="Sylfaen"/>
          <w:sz w:val="24"/>
          <w:szCs w:val="24"/>
        </w:rPr>
        <w:t xml:space="preserve"> Փորձագիտական կոմիտեի կողմից պատրաստված առաջարկությունների համաձայնեցումն ապահովելու նպատակով Հանձնաժողովը պետք է այդպիսի առաջարկությունները հրապարակի «Ինտերնետ» տեղեկատվական-հեռահաղորդակցական ցանցում՝ պաշտոնական կայքում՝ նախապես հեռացնելով գաղտնի բնույթ ունեցող բոլոր տեղեկությունները:</w:t>
      </w:r>
    </w:p>
    <w:p w14:paraId="54663305" w14:textId="77777777" w:rsidR="008C76E0" w:rsidRPr="003B2786" w:rsidRDefault="008C76E0" w:rsidP="00593820">
      <w:pPr>
        <w:tabs>
          <w:tab w:val="left" w:pos="1134"/>
        </w:tabs>
        <w:spacing w:after="160" w:line="360" w:lineRule="auto"/>
        <w:ind w:right="566" w:firstLine="567"/>
        <w:jc w:val="both"/>
        <w:rPr>
          <w:rFonts w:ascii="Sylfaen" w:hAnsi="Sylfaen"/>
          <w:sz w:val="24"/>
          <w:szCs w:val="24"/>
        </w:rPr>
      </w:pPr>
      <w:r w:rsidRPr="003B2786">
        <w:rPr>
          <w:rFonts w:ascii="Sylfaen" w:hAnsi="Sylfaen"/>
          <w:sz w:val="24"/>
          <w:szCs w:val="24"/>
        </w:rPr>
        <w:t>1.6.</w:t>
      </w:r>
      <w:r>
        <w:rPr>
          <w:rFonts w:ascii="Sylfaen" w:hAnsi="Sylfaen"/>
          <w:sz w:val="24"/>
          <w:szCs w:val="24"/>
        </w:rPr>
        <w:tab/>
      </w:r>
      <w:r w:rsidRPr="003B2786">
        <w:rPr>
          <w:rFonts w:ascii="Sylfaen" w:hAnsi="Sylfaen"/>
          <w:sz w:val="24"/>
          <w:szCs w:val="24"/>
        </w:rPr>
        <w:t>Փոփոխություններ, որոնք հանգեցնում են դեղապատրաստուկի մասին տեղեկատվության վերանայման</w:t>
      </w:r>
    </w:p>
    <w:p w14:paraId="6FC0354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1.6.1.</w:t>
      </w:r>
      <w:r w:rsidRPr="003B2786">
        <w:rPr>
          <w:rFonts w:ascii="Sylfaen" w:hAnsi="Sylfaen"/>
          <w:sz w:val="24"/>
          <w:szCs w:val="24"/>
        </w:rPr>
        <w:tab/>
        <w:t>Եթե փոփոխությունը հանգեցնում է դեղապատրաստուկի ընդհանուր բնութագրի, մականշվածքի կամ ներդիր թերթիկի, ինչպես նա</w:t>
      </w:r>
      <w:r w:rsidR="00C54D75">
        <w:rPr>
          <w:rFonts w:ascii="Sylfaen" w:hAnsi="Sylfaen"/>
          <w:sz w:val="24"/>
          <w:szCs w:val="24"/>
        </w:rPr>
        <w:t>և</w:t>
      </w:r>
      <w:r w:rsidRPr="003B2786">
        <w:rPr>
          <w:rFonts w:ascii="Sylfaen" w:hAnsi="Sylfaen"/>
          <w:sz w:val="24"/>
          <w:szCs w:val="24"/>
        </w:rPr>
        <w:t xml:space="preserve"> որակի նորմատիվ փաստաթղթի վերանայման կամ դեղապատրաստուկի գրանցման հավաստագրի մեջ տեղեկատվության փոփոխության, ապա այդպիսի վերանայումը համարվում է այդ փոփոխության մաս:</w:t>
      </w:r>
    </w:p>
    <w:p w14:paraId="3BC81B24"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1.7.</w:t>
      </w:r>
      <w:r>
        <w:rPr>
          <w:rFonts w:ascii="Sylfaen" w:hAnsi="Sylfaen"/>
          <w:sz w:val="24"/>
          <w:szCs w:val="24"/>
        </w:rPr>
        <w:tab/>
      </w:r>
      <w:r w:rsidRPr="003B2786">
        <w:rPr>
          <w:rFonts w:ascii="Sylfaen" w:hAnsi="Sylfaen"/>
          <w:sz w:val="24"/>
          <w:szCs w:val="24"/>
        </w:rPr>
        <w:t>Փոփոխությունների խմբավորումը</w:t>
      </w:r>
    </w:p>
    <w:p w14:paraId="06C5F8CB" w14:textId="4B02CC5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1.7.1.</w:t>
      </w:r>
      <w:r w:rsidRPr="003B2786">
        <w:rPr>
          <w:rFonts w:ascii="Sylfaen" w:hAnsi="Sylfaen"/>
          <w:sz w:val="24"/>
          <w:szCs w:val="24"/>
        </w:rPr>
        <w:tab/>
        <w:t xml:space="preserve">Մի քանի փոփոխությունների մասին ծանուցելու կամ փոփոխություններ կատարելու մի քանի </w:t>
      </w:r>
      <w:r w:rsidR="009F5829">
        <w:rPr>
          <w:rFonts w:ascii="Sylfaen" w:hAnsi="Sylfaen"/>
          <w:sz w:val="24"/>
          <w:szCs w:val="24"/>
        </w:rPr>
        <w:t>դիմումներ</w:t>
      </w:r>
      <w:r w:rsidRPr="003B2786">
        <w:rPr>
          <w:rFonts w:ascii="Sylfaen" w:hAnsi="Sylfaen"/>
          <w:sz w:val="24"/>
          <w:szCs w:val="24"/>
        </w:rPr>
        <w:t xml:space="preserve"> ներկայացնելու դեպքում համապատասխանաբար սույն հավելվածի II բաժնին կամ 4.1.1 ենթակետին համապատասխան յուրաքանչյուր փոփոխության առնչությամբ անհրաժեշտ է ներկայացնել առանձին ծանուցում կամ բժշկական կիրառման գրանցված </w:t>
      </w:r>
      <w:r w:rsidRPr="003B2786">
        <w:rPr>
          <w:rFonts w:ascii="Sylfaen" w:hAnsi="Sylfaen"/>
          <w:sz w:val="24"/>
          <w:szCs w:val="24"/>
        </w:rPr>
        <w:lastRenderedPageBreak/>
        <w:t>դեղապատրաստուկի գրանցման դոսյեի մեջ փոփոխություններ կատարելու դոսյե (այսուհետ՝ փոփոխության դոսյե):</w:t>
      </w:r>
    </w:p>
    <w:p w14:paraId="73E6268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1.7.2.</w:t>
      </w:r>
      <w:r w:rsidRPr="003B2786">
        <w:rPr>
          <w:rFonts w:ascii="Sylfaen" w:hAnsi="Sylfaen"/>
          <w:sz w:val="24"/>
          <w:szCs w:val="24"/>
        </w:rPr>
        <w:tab/>
        <w:t>Սույն հավելվածի 1.7.1 ենթակետից բացառելու կարգով կիրառվում են հետ</w:t>
      </w:r>
      <w:r w:rsidR="00C54D75">
        <w:rPr>
          <w:rFonts w:ascii="Sylfaen" w:hAnsi="Sylfaen"/>
          <w:sz w:val="24"/>
          <w:szCs w:val="24"/>
        </w:rPr>
        <w:t>և</w:t>
      </w:r>
      <w:r w:rsidRPr="003B2786">
        <w:rPr>
          <w:rFonts w:ascii="Sylfaen" w:hAnsi="Sylfaen"/>
          <w:sz w:val="24"/>
          <w:szCs w:val="24"/>
        </w:rPr>
        <w:t>յալ կանոնները՝</w:t>
      </w:r>
    </w:p>
    <w:p w14:paraId="5F605438" w14:textId="1618AEC3"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միաժամանակ ծանուցելու դեպքում, որոնց իրավատերը մի</w:t>
      </w:r>
      <w:r w:rsidR="00C54D75">
        <w:rPr>
          <w:rFonts w:ascii="Sylfaen" w:hAnsi="Sylfaen"/>
          <w:sz w:val="24"/>
          <w:szCs w:val="24"/>
        </w:rPr>
        <w:t>և</w:t>
      </w:r>
      <w:r w:rsidRPr="003B2786">
        <w:rPr>
          <w:rFonts w:ascii="Sylfaen" w:hAnsi="Sylfaen"/>
          <w:sz w:val="24"/>
          <w:szCs w:val="24"/>
        </w:rPr>
        <w:t>նույն կազմակերպությունն է, թույլատրվում է բոլոր այդպիսի փոփոխությունները ներառել սույն հավելվածի 2.1 կետում կամ 3.1 կետում նշված՝ փոփոխությունների կատարման մասին ծանուցման (</w:t>
      </w:r>
      <w:r w:rsidR="0056496B">
        <w:rPr>
          <w:rFonts w:ascii="Sylfaen" w:hAnsi="Sylfaen"/>
          <w:sz w:val="24"/>
          <w:szCs w:val="24"/>
        </w:rPr>
        <w:t>դիմում</w:t>
      </w:r>
      <w:r w:rsidRPr="003B2786">
        <w:rPr>
          <w:rFonts w:ascii="Sylfaen" w:hAnsi="Sylfaen"/>
          <w:sz w:val="24"/>
          <w:szCs w:val="24"/>
        </w:rPr>
        <w:t>ի) մեջ.</w:t>
      </w:r>
    </w:p>
    <w:p w14:paraId="0D8BC017"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ծանուցելու դեպքում թույլատրվում է բոլոր այդպիսի փոփոխությունները ներառել փոփոխությունների կատարման մասին 1 ծանուցման մեջ (կից ներկայացնելով համապատասխան փաստաթղթերը),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4554DA5E" w14:textId="77777777" w:rsidR="008C76E0" w:rsidRPr="003B2786" w:rsidRDefault="008C76E0" w:rsidP="00593820">
      <w:pPr>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այն փոփոխությունների մասին միաժամանակ ծանուցելու դեպքում, որոնց վրա չի տարածվում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թույլատրվում է բոլոր այդպիսի փոփոխությունները ներառել 1 ծանուցման մեջ (կից ներկայացնելով համապատասխան փաստաթղթերը), եթե ճանաչման շահագրգիռ պետությունների լիազորված մարմինների (փորձագիտական կազմակերպությունների) հետ խորհրդակցելուց հետո (անհրաժեշտության դեպքում) ռեֆերենտ պետության լիազորված մարմինը (փորձագիտական կազմակերպությունը) այդպիսի ծանուցմանը համաձայնություն է տալիս:</w:t>
      </w:r>
    </w:p>
    <w:p w14:paraId="634A21D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1.7.3.</w:t>
      </w:r>
      <w:r w:rsidRPr="003B2786">
        <w:rPr>
          <w:rFonts w:ascii="Sylfaen" w:hAnsi="Sylfaen"/>
          <w:sz w:val="24"/>
          <w:szCs w:val="24"/>
        </w:rPr>
        <w:tab/>
        <w:t xml:space="preserve">Սույն հավելվածի 1.7.2 ենթակետի երրորդ </w:t>
      </w:r>
      <w:r w:rsidR="00C54D75">
        <w:rPr>
          <w:rFonts w:ascii="Sylfaen" w:hAnsi="Sylfaen"/>
          <w:sz w:val="24"/>
          <w:szCs w:val="24"/>
        </w:rPr>
        <w:t>և</w:t>
      </w:r>
      <w:r w:rsidRPr="003B2786">
        <w:rPr>
          <w:rFonts w:ascii="Sylfaen" w:hAnsi="Sylfaen"/>
          <w:sz w:val="24"/>
          <w:szCs w:val="24"/>
        </w:rPr>
        <w:t xml:space="preserve"> չորրոդ պարբերություններում նշված ծանուցումը (կից ներկայացնելով համապատասխան փաստաթղթերը) պետք է կատարվի հետ</w:t>
      </w:r>
      <w:r w:rsidR="00C54D75">
        <w:rPr>
          <w:rFonts w:ascii="Sylfaen" w:hAnsi="Sylfaen"/>
          <w:sz w:val="24"/>
          <w:szCs w:val="24"/>
        </w:rPr>
        <w:t>և</w:t>
      </w:r>
      <w:r w:rsidRPr="003B2786">
        <w:rPr>
          <w:rFonts w:ascii="Sylfaen" w:hAnsi="Sylfaen"/>
          <w:sz w:val="24"/>
          <w:szCs w:val="24"/>
        </w:rPr>
        <w:t xml:space="preserve">յալ եղանակով՝ սույն հավելվածի 2.2 կետին համապատասխան փոփոխությունների կատարման մասին միասնական </w:t>
      </w:r>
      <w:r w:rsidRPr="003B2786">
        <w:rPr>
          <w:rFonts w:ascii="Sylfaen" w:hAnsi="Sylfaen"/>
          <w:sz w:val="24"/>
          <w:szCs w:val="24"/>
        </w:rPr>
        <w:lastRenderedPageBreak/>
        <w:t xml:space="preserve">ծանուցում,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 </w:t>
      </w:r>
    </w:p>
    <w:p w14:paraId="2E00F8D8" w14:textId="1843374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2.3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հանդես չի գալիս որպես գրանցման ընդլայնում.</w:t>
      </w:r>
    </w:p>
    <w:p w14:paraId="765731BC" w14:textId="4862D47E"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0A1BED24" w14:textId="77777777" w:rsidR="008C76E0" w:rsidRPr="003B2786" w:rsidRDefault="008C76E0" w:rsidP="00593820">
      <w:pPr>
        <w:spacing w:after="160" w:line="360" w:lineRule="auto"/>
        <w:ind w:right="-1" w:firstLine="567"/>
        <w:jc w:val="both"/>
        <w:outlineLvl w:val="0"/>
        <w:rPr>
          <w:rFonts w:ascii="Sylfaen" w:hAnsi="Sylfaen"/>
          <w:sz w:val="24"/>
          <w:szCs w:val="24"/>
        </w:rPr>
      </w:pPr>
    </w:p>
    <w:p w14:paraId="6C652AA8" w14:textId="77777777" w:rsidR="008C76E0" w:rsidRPr="003B2786" w:rsidRDefault="008C76E0" w:rsidP="00593820">
      <w:pPr>
        <w:spacing w:after="160" w:line="360" w:lineRule="auto"/>
        <w:ind w:left="567" w:right="849"/>
        <w:jc w:val="center"/>
        <w:outlineLvl w:val="0"/>
        <w:rPr>
          <w:rFonts w:ascii="Sylfaen" w:hAnsi="Sylfaen"/>
          <w:sz w:val="24"/>
          <w:szCs w:val="24"/>
        </w:rPr>
      </w:pPr>
      <w:r w:rsidRPr="003B2786">
        <w:rPr>
          <w:rFonts w:ascii="Sylfaen" w:hAnsi="Sylfaen"/>
          <w:sz w:val="24"/>
          <w:szCs w:val="24"/>
        </w:rPr>
        <w:t xml:space="preserve">II. Մեկից ավելի անդամ պետություններում գրանցված դեղապատրաստուկների գրանցման դոսյեի մեջ </w:t>
      </w:r>
      <w:r w:rsidRPr="003B2786">
        <w:rPr>
          <w:rFonts w:ascii="Sylfaen" w:hAnsi="Sylfaen"/>
          <w:sz w:val="24"/>
          <w:szCs w:val="24"/>
        </w:rPr>
        <w:br/>
        <w:t>փոփոխություններ կատարելը</w:t>
      </w:r>
    </w:p>
    <w:p w14:paraId="00227229" w14:textId="77777777" w:rsidR="008C76E0" w:rsidRPr="003B2786" w:rsidRDefault="008C76E0" w:rsidP="00593820">
      <w:pPr>
        <w:spacing w:after="160" w:line="360" w:lineRule="auto"/>
        <w:ind w:right="-1" w:firstLine="567"/>
        <w:jc w:val="center"/>
        <w:outlineLvl w:val="0"/>
        <w:rPr>
          <w:rFonts w:ascii="Sylfaen" w:hAnsi="Sylfaen"/>
          <w:sz w:val="24"/>
          <w:szCs w:val="24"/>
        </w:rPr>
      </w:pPr>
    </w:p>
    <w:p w14:paraId="44823D9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2.1. IA տիպի ոչ էական փոփոխություններ կատարելու մասին ծանուցման ընթացակարգը</w:t>
      </w:r>
    </w:p>
    <w:p w14:paraId="53811076" w14:textId="220E4CC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96161DA" w14:textId="4F6746E7"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 Այդպիսի ծանուցումն անհրաժեշտ է </w:t>
      </w:r>
      <w:r w:rsidR="008C76E0" w:rsidRPr="003B2786">
        <w:rPr>
          <w:rFonts w:ascii="Sylfaen" w:hAnsi="Sylfaen"/>
          <w:sz w:val="24"/>
          <w:szCs w:val="24"/>
        </w:rPr>
        <w:lastRenderedPageBreak/>
        <w:t xml:space="preserve">ներկայացնել փոփոխությունների իրագործման օրվանից 365 օրացուցային օրվա (12 ամսվա) ընթացքում՝ բացառությամբ սույն հավելվածի 1.6 կետին համապատասխան դեղապատրաստուկի մասին տեղեկատվության վերանայման հանգեցնող փոփոխությունների, որոնց առնչությամբ համապատասխան </w:t>
      </w:r>
      <w:r>
        <w:rPr>
          <w:rFonts w:ascii="Sylfaen" w:hAnsi="Sylfaen"/>
          <w:sz w:val="24"/>
          <w:szCs w:val="24"/>
        </w:rPr>
        <w:t>դիմում</w:t>
      </w:r>
      <w:r w:rsidR="008C76E0" w:rsidRPr="003B2786">
        <w:rPr>
          <w:rFonts w:ascii="Sylfaen" w:hAnsi="Sylfaen"/>
          <w:sz w:val="24"/>
          <w:szCs w:val="24"/>
        </w:rPr>
        <w:t>ն անհրաժեշտ է ներկայացնել նախքան փոփոխության իրագործումը:</w:t>
      </w:r>
    </w:p>
    <w:p w14:paraId="47F399A6"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2.1.2.</w:t>
      </w:r>
      <w:r w:rsidRPr="003B2786">
        <w:rPr>
          <w:rFonts w:ascii="Sylfaen" w:hAnsi="Sylfaen"/>
          <w:sz w:val="24"/>
          <w:szCs w:val="24"/>
        </w:rPr>
        <w:tab/>
        <w:t>Դիտարկվող դեղապատրաստուկը անընդհատ հսկելու նպատակով անհապաղ ծանուցում պահանջող ոչ էական փոփոխությունների առնչությամբ ծանուցումն անհրաժեշտ է ներկայացնել փոփոխությունն իրագործելուց անմիջապես հետո:</w:t>
      </w:r>
    </w:p>
    <w:p w14:paraId="675A4AA5" w14:textId="566625B3"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2.1.3.</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համար ինտեգրված համակարգի միջոցով ապահովում է փոփոխության դոսյեի (ծանուցման)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ներկայացնելու օրվանից 5 աշխատանքային օրվա ընթացքում:</w:t>
      </w:r>
    </w:p>
    <w:p w14:paraId="0DEE97E0"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Ծանուցումն ստանալու օրվանից 30 օրացուցային օրվա ընթացքում համապատասխան մարմինները պետք է ձեռնարկեն սույն հավելվածի 2.4 կետում նշված միջոցները:</w:t>
      </w:r>
    </w:p>
    <w:p w14:paraId="1545307D" w14:textId="11CAF06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2.1.3 ենթակետում նշված ժամկետից ոչ ուշ, քան 10 աշխատանքային օրվա ընթացքում փոփոխությունների կատարման մասին տեղեկությունները տեղադրում 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w:t>
      </w:r>
      <w:r w:rsidRPr="003B2786">
        <w:rPr>
          <w:rFonts w:ascii="Sylfaen" w:hAnsi="Sylfaen"/>
          <w:sz w:val="24"/>
          <w:szCs w:val="24"/>
        </w:rPr>
        <w:lastRenderedPageBreak/>
        <w:t>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A61E329" w14:textId="63E44DC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երկրորդ </w:t>
      </w:r>
      <w:r w:rsidR="00C54D75">
        <w:rPr>
          <w:rFonts w:ascii="Sylfaen" w:hAnsi="Sylfaen"/>
          <w:sz w:val="24"/>
          <w:szCs w:val="24"/>
        </w:rPr>
        <w:t>և</w:t>
      </w:r>
      <w:r w:rsidRPr="003B2786">
        <w:rPr>
          <w:rFonts w:ascii="Sylfaen" w:hAnsi="Sylfaen"/>
          <w:sz w:val="24"/>
          <w:szCs w:val="24"/>
        </w:rPr>
        <w:t xml:space="preserve"> երրորդ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385454C4" w14:textId="77777777" w:rsidR="008C76E0" w:rsidRPr="003B2786" w:rsidRDefault="008C76E0" w:rsidP="00593820">
      <w:pPr>
        <w:spacing w:after="160" w:line="360" w:lineRule="auto"/>
        <w:ind w:right="-1" w:firstLine="567"/>
        <w:jc w:val="both"/>
        <w:rPr>
          <w:rFonts w:ascii="Sylfaen" w:hAnsi="Sylfaen"/>
          <w:sz w:val="24"/>
          <w:szCs w:val="24"/>
        </w:rPr>
      </w:pPr>
    </w:p>
    <w:p w14:paraId="1644B7E0"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2.2. IB տիպի ոչ էական փոփոխությունների մասին </w:t>
      </w:r>
      <w:r w:rsidRPr="003B2786">
        <w:rPr>
          <w:rFonts w:ascii="Sylfaen" w:hAnsi="Sylfaen"/>
          <w:sz w:val="24"/>
          <w:szCs w:val="24"/>
        </w:rPr>
        <w:br/>
        <w:t>ծանուցման ընթացակարգը</w:t>
      </w:r>
    </w:p>
    <w:p w14:paraId="654EC997" w14:textId="3AE22E7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լիազորված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Կանոնների թիվ 2 հավելվածին համապատասխան, կամ փոփոխությունների կատարման դիմաց վճարի (տուրքի) վճարումը հաստատող փաստաթղթերը՝ անդամ պետությունների օրենսդրությանը համապատասխան սահմանված դեպքերում </w:t>
      </w:r>
      <w:r w:rsidR="00C54D75">
        <w:rPr>
          <w:rFonts w:ascii="Sylfaen" w:hAnsi="Sylfaen"/>
          <w:sz w:val="24"/>
          <w:szCs w:val="24"/>
        </w:rPr>
        <w:t>և</w:t>
      </w:r>
      <w:r w:rsidRPr="003B2786">
        <w:rPr>
          <w:rFonts w:ascii="Sylfaen" w:hAnsi="Sylfaen"/>
          <w:sz w:val="24"/>
          <w:szCs w:val="24"/>
        </w:rPr>
        <w:t xml:space="preserve"> կարգով:</w:t>
      </w:r>
    </w:p>
    <w:p w14:paraId="1A988F0F" w14:textId="001C020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 պետության լիազորված մարմին (փորձագիտական կազմակերպություն) է ներկայացնում փոփոխության՝ IV լրացման մեջ թվարկված տարրերը պարունակող դոսյեն (ծանուցումը):</w:t>
      </w:r>
    </w:p>
    <w:p w14:paraId="69B4E6D2" w14:textId="60F0AD95"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2.2.2.</w:t>
      </w:r>
      <w:r w:rsidRPr="003B2786">
        <w:rPr>
          <w:rFonts w:ascii="Sylfaen" w:hAnsi="Sylfaen"/>
          <w:sz w:val="24"/>
          <w:szCs w:val="24"/>
        </w:rPr>
        <w:tab/>
        <w:t xml:space="preserve">Ռեֆերենտ պետության լիազորված մարմինը (փորձագիտական կազմակերպությունը) ճանաչման պետությունների համապատասխան մարմինների համար ապահովում է փոփոխությունների կատարման դոսյեի </w:t>
      </w:r>
      <w:r w:rsidRPr="003B2786">
        <w:rPr>
          <w:rFonts w:ascii="Sylfaen" w:hAnsi="Sylfaen"/>
          <w:sz w:val="24"/>
          <w:szCs w:val="24"/>
        </w:rPr>
        <w:lastRenderedPageBreak/>
        <w:t xml:space="preserve">(ծանուցման)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օգտագործելով Միության Արտաքին </w:t>
      </w:r>
      <w:r w:rsidR="00C54D75">
        <w:rPr>
          <w:rFonts w:ascii="Sylfaen" w:hAnsi="Sylfaen"/>
          <w:sz w:val="24"/>
          <w:szCs w:val="24"/>
        </w:rPr>
        <w:t>և</w:t>
      </w:r>
      <w:r w:rsidRPr="003B2786">
        <w:rPr>
          <w:rFonts w:ascii="Sylfaen" w:hAnsi="Sylfaen"/>
          <w:sz w:val="24"/>
          <w:szCs w:val="24"/>
        </w:rPr>
        <w:t xml:space="preserve"> փոխադարձ առ</w:t>
      </w:r>
      <w:r w:rsidR="00C54D75">
        <w:rPr>
          <w:rFonts w:ascii="Sylfaen" w:hAnsi="Sylfaen"/>
          <w:sz w:val="24"/>
          <w:szCs w:val="24"/>
        </w:rPr>
        <w:t>և</w:t>
      </w:r>
      <w:r w:rsidRPr="003B2786">
        <w:rPr>
          <w:rFonts w:ascii="Sylfaen" w:hAnsi="Sylfaen"/>
          <w:sz w:val="24"/>
          <w:szCs w:val="24"/>
        </w:rPr>
        <w:t>տրի ինտեգրված տեղեկատվական համակարգի (այսուհետ՝ ինտեգրված համակարգ) միջոցները:</w:t>
      </w:r>
    </w:p>
    <w:p w14:paraId="5C080537"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Եթե ծանուցումը բավարարում է սույն հավելվածի 2.2.1 ենթակետով սահմանված պահանջները, ապա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30 օրացուցային օրվա ընթացքում հաստատում է վավեր ծանուցման ստացումը՝ անհրաժեշտության դեպքում խորհրդակցելով ճանաչման պետությունների համապատասխան մարմինների հետ:</w:t>
      </w:r>
    </w:p>
    <w:p w14:paraId="3ABD03A5" w14:textId="35D99EF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2.2.3.</w:t>
      </w:r>
      <w:r w:rsidRPr="003B2786">
        <w:rPr>
          <w:rFonts w:ascii="Sylfaen" w:hAnsi="Sylfaen"/>
          <w:sz w:val="24"/>
          <w:szCs w:val="24"/>
        </w:rPr>
        <w:tab/>
        <w:t xml:space="preserve">Եթե ծանուցումն ստանալու օրվանից 30 օրացուցային oրվա ընթացքում ռեֆերենտ պետության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եզրակացությունները, ապա ծանուցումը ճանաչվում է բոլոր համապատասխան մարմինների կողմից ընդունված (հաստատված):</w:t>
      </w:r>
    </w:p>
    <w:p w14:paraId="0041A3AB"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2.2.4.</w:t>
      </w:r>
      <w:r w:rsidRPr="003B2786">
        <w:rPr>
          <w:rFonts w:ascii="Sylfaen" w:hAnsi="Sylfaen"/>
          <w:spacing w:val="-4"/>
          <w:sz w:val="24"/>
          <w:szCs w:val="24"/>
        </w:rPr>
        <w:tab/>
        <w:t xml:space="preserve">Եթե </w:t>
      </w:r>
      <w:r w:rsidRPr="003B2786">
        <w:rPr>
          <w:rFonts w:ascii="Sylfaen" w:hAnsi="Sylfaen"/>
          <w:sz w:val="24"/>
          <w:szCs w:val="24"/>
        </w:rPr>
        <w:t>ռեֆերենտ</w:t>
      </w:r>
      <w:r w:rsidRPr="003B2786">
        <w:rPr>
          <w:rFonts w:ascii="Sylfaen" w:hAnsi="Sylfaen"/>
          <w:spacing w:val="-4"/>
          <w:sz w:val="24"/>
          <w:szCs w:val="24"/>
        </w:rPr>
        <w:t xml:space="preserve"> պետության լիազորված մարմինը (փորձագիտական կազմակերպությունը) ընդունում է ծանուցումը հաստատելու (ընդունելու) մասին դրական որոշում, ապա </w:t>
      </w:r>
      <w:r w:rsidRPr="003B2786">
        <w:rPr>
          <w:rFonts w:ascii="Sylfaen" w:hAnsi="Sylfaen"/>
          <w:sz w:val="24"/>
          <w:szCs w:val="24"/>
        </w:rPr>
        <w:t>ռեֆերենտ</w:t>
      </w:r>
      <w:r w:rsidRPr="003B2786" w:rsidDel="00CC7E6B">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ձեռնարկում է սույն հավելվածի 2.4 կետում նշված միջոցները:</w:t>
      </w:r>
    </w:p>
    <w:p w14:paraId="7130789D" w14:textId="4C484F9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2.2.3 ենթակետում նշված ժամկետից ոչ ուշ, քան </w:t>
      </w:r>
      <w:r w:rsidRPr="003B2786">
        <w:rPr>
          <w:rFonts w:ascii="Sylfaen" w:hAnsi="Sylfaen"/>
          <w:sz w:val="24"/>
          <w:szCs w:val="24"/>
        </w:rPr>
        <w:lastRenderedPageBreak/>
        <w:t xml:space="preserve">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6B90004B" w14:textId="7A58859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2.2.3-2.2.4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0E681CA2" w14:textId="0B46918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2.2.5.</w:t>
      </w:r>
      <w:r w:rsidRPr="003B2786">
        <w:rPr>
          <w:rFonts w:ascii="Sylfaen" w:hAnsi="Sylfaen"/>
          <w:sz w:val="24"/>
          <w:szCs w:val="24"/>
        </w:rPr>
        <w:tab/>
        <w:t>Եթե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ընդունվել (հաստատվել), ապա 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սույն հավելվածի 2.2.3 ենթակետի համաձայն, պետք է էլեկտրոնային կամ թղթային եղանակով այդ մասին ծանուցի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նշելով բացասական եզրակացության հիմքերը:</w:t>
      </w:r>
    </w:p>
    <w:p w14:paraId="4B1F2F2B" w14:textId="2A2B99C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(ծանուցումը) կրկին ներկայացնելու ռեֆերենտ</w:t>
      </w:r>
      <w:r w:rsidRPr="003B2786" w:rsidDel="00CC7E6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2.2.5 ենթակետում նշված եզրակացությանը համապատասխան:</w:t>
      </w:r>
    </w:p>
    <w:p w14:paraId="066166E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CC7E6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փոփոխությունների կատարման լրացված դոսյեն </w:t>
      </w:r>
      <w:r w:rsidRPr="003B2786">
        <w:rPr>
          <w:rFonts w:ascii="Sylfaen" w:hAnsi="Sylfaen"/>
          <w:sz w:val="24"/>
          <w:szCs w:val="24"/>
        </w:rPr>
        <w:lastRenderedPageBreak/>
        <w:t>(ծանուցումը) ներկայացնում է ճանաչման պետությունների համապատասխան մարմիններ ոչ ուշ, քան ներկայացված նյութերի լրակազմությունն ու ամբողջականությունը գնահատելուց հետո՝ ռեֆերենտ</w:t>
      </w:r>
      <w:r w:rsidRPr="003B2786" w:rsidDel="004F2F4D">
        <w:rPr>
          <w:rFonts w:ascii="Sylfaen" w:hAnsi="Sylfaen"/>
          <w:sz w:val="24"/>
          <w:szCs w:val="24"/>
        </w:rPr>
        <w:t xml:space="preserve"> </w:t>
      </w:r>
      <w:r w:rsidRPr="003B2786">
        <w:rPr>
          <w:rFonts w:ascii="Sylfaen" w:hAnsi="Sylfaen"/>
          <w:sz w:val="24"/>
          <w:szCs w:val="24"/>
        </w:rPr>
        <w:t>պետություն լրացված ծանուցում ներկայացնելու օրվանից 5 աշխատանքային օրվա ընթացքում՝ օգտագործելով ինտեգրված համակարգի միջոցները:</w:t>
      </w:r>
    </w:p>
    <w:p w14:paraId="61B677EC" w14:textId="42CBE134"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 xml:space="preserve">ն սույն հավելվածի 2.2.6 ենթակետին համապատասխան չի ներկայացնում լրացված ծանուցում, ապա ծանուցումը ճանաչվում է բոլոր լիազորված մարմինների (փորձագիտական կազմակերպությունների) կողմից մերժված, </w:t>
      </w:r>
      <w:r w:rsidR="00C54D75">
        <w:rPr>
          <w:rFonts w:ascii="Sylfaen" w:hAnsi="Sylfaen"/>
          <w:sz w:val="24"/>
          <w:szCs w:val="24"/>
        </w:rPr>
        <w:t>և</w:t>
      </w:r>
      <w:r w:rsidRPr="003B2786">
        <w:rPr>
          <w:rFonts w:ascii="Sylfaen" w:hAnsi="Sylfaen"/>
          <w:sz w:val="24"/>
          <w:szCs w:val="24"/>
        </w:rPr>
        <w:t xml:space="preserve"> կիրառվում են սույն հավելվածի 2.4 կետում նշված միջոցները:</w:t>
      </w:r>
    </w:p>
    <w:p w14:paraId="3023932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2.2.8.</w:t>
      </w:r>
      <w:r w:rsidRPr="003B2786">
        <w:rPr>
          <w:rFonts w:ascii="Sylfaen" w:hAnsi="Sylfaen"/>
          <w:sz w:val="24"/>
          <w:szCs w:val="24"/>
        </w:rPr>
        <w:tab/>
        <w:t>Լրացված ծանուցում ներկայացնելիս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ոչ ուշ, քան այն ստանալու օրվանից 30 օրացուցային օրվա ընթացքում ուսումնասիրի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ինչից հետո կիրառվում են սույն հավելվածի 2.2.4 ենթակետում նշված միջոցները: </w:t>
      </w:r>
    </w:p>
    <w:p w14:paraId="5FD1AAD1" w14:textId="59142A63"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pacing w:val="-4"/>
          <w:sz w:val="24"/>
          <w:szCs w:val="24"/>
        </w:rPr>
        <w:t>Այն դեպքում, երբ սույն հավելվածի 1.6 կետին համապատասխան փոփոխությունները հանգեցնում են դեղապատրաստուկի մասին տեղեկատվության վերանայման, համապատասխան լիազորված մարմինները (փորձագիտական կազմակերպությունները), միասնական ռեեստրի ձ</w:t>
      </w:r>
      <w:r w:rsidR="00C54D75">
        <w:rPr>
          <w:rFonts w:ascii="Sylfaen" w:hAnsi="Sylfaen"/>
          <w:spacing w:val="-4"/>
          <w:sz w:val="24"/>
          <w:szCs w:val="24"/>
        </w:rPr>
        <w:t>և</w:t>
      </w:r>
      <w:r w:rsidRPr="003B2786">
        <w:rPr>
          <w:rFonts w:ascii="Sylfaen" w:hAnsi="Sylfaen"/>
          <w:spacing w:val="-4"/>
          <w:sz w:val="24"/>
          <w:szCs w:val="24"/>
        </w:rPr>
        <w:t xml:space="preserve">ավորման </w:t>
      </w:r>
      <w:r w:rsidR="00C54D75">
        <w:rPr>
          <w:rFonts w:ascii="Sylfaen" w:hAnsi="Sylfaen"/>
          <w:spacing w:val="-4"/>
          <w:sz w:val="24"/>
          <w:szCs w:val="24"/>
        </w:rPr>
        <w:t>և</w:t>
      </w:r>
      <w:r w:rsidRPr="003B2786">
        <w:rPr>
          <w:rFonts w:ascii="Sylfaen" w:hAnsi="Sylfaen"/>
          <w:spacing w:val="-4"/>
          <w:sz w:val="24"/>
          <w:szCs w:val="24"/>
        </w:rPr>
        <w:t xml:space="preserve"> վարման կարգին համապատասխան, 2.2.8 ենթակետում նշված ժամկետից ոչ ուշ, քան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pacing w:val="-4"/>
          <w:sz w:val="24"/>
          <w:szCs w:val="24"/>
        </w:rPr>
        <w:t>և</w:t>
      </w:r>
      <w:r w:rsidRPr="003B2786">
        <w:rPr>
          <w:rFonts w:ascii="Sylfaen" w:hAnsi="Sylfaen"/>
          <w:spacing w:val="-4"/>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pacing w:val="-4"/>
          <w:sz w:val="24"/>
          <w:szCs w:val="24"/>
        </w:rPr>
        <w:t>և</w:t>
      </w:r>
      <w:r w:rsidRPr="003B2786">
        <w:rPr>
          <w:rFonts w:ascii="Sylfaen" w:hAnsi="Sylfaen"/>
          <w:spacing w:val="-4"/>
          <w:sz w:val="24"/>
          <w:szCs w:val="24"/>
        </w:rPr>
        <w:t xml:space="preserve"> </w:t>
      </w:r>
      <w:r w:rsidR="0056496B">
        <w:rPr>
          <w:rFonts w:ascii="Sylfaen" w:hAnsi="Sylfaen"/>
          <w:spacing w:val="-4"/>
          <w:sz w:val="24"/>
          <w:szCs w:val="24"/>
        </w:rPr>
        <w:t>դիմումատու</w:t>
      </w:r>
      <w:r w:rsidRPr="003B2786">
        <w:rPr>
          <w:rFonts w:ascii="Sylfaen" w:hAnsi="Sylfaen"/>
          <w:spacing w:val="-4"/>
          <w:sz w:val="24"/>
          <w:szCs w:val="24"/>
        </w:rPr>
        <w:t>ին են ներկայացնում դեղապատրաստուկի փոփոխված ընդհանուր բնութագիրը</w:t>
      </w:r>
      <w:r w:rsidRPr="003B2786">
        <w:rPr>
          <w:rFonts w:ascii="Sylfaen" w:hAnsi="Sylfaen"/>
          <w:sz w:val="24"/>
          <w:szCs w:val="24"/>
        </w:rPr>
        <w:t>, բժշկական կիրառման հրահանգը, փաթեթվածքների մանրակերտերը, որակի նորմատիվ փաստաթուղթը, գրանցման հավաստագիրը (անհրաժեշտության դեպքում):</w:t>
      </w:r>
    </w:p>
    <w:p w14:paraId="0992F7BC" w14:textId="3CEDFC4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ենթակետերին համապատասխան՝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663698A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2.2.9.</w:t>
      </w:r>
      <w:r w:rsidRPr="003B2786">
        <w:rPr>
          <w:rFonts w:ascii="Sylfaen" w:hAnsi="Sylfaen"/>
          <w:sz w:val="24"/>
          <w:szCs w:val="24"/>
        </w:rPr>
        <w:tab/>
        <w:t xml:space="preserve">Սույն հավելվածի 2.2.1-2.2.8 ենթակետերի դրույթները չեն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2.3 կետով նախատեսված՝ փոփոխությունների փորձաքննության ընթացակարգը:</w:t>
      </w:r>
    </w:p>
    <w:p w14:paraId="578BF339"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2.2.10</w:t>
      </w:r>
      <w:r w:rsidRPr="003B2786">
        <w:rPr>
          <w:rFonts w:ascii="Sylfaen" w:hAnsi="Sylfaen"/>
          <w:spacing w:val="-4"/>
          <w:sz w:val="24"/>
          <w:szCs w:val="24"/>
        </w:rPr>
        <w:t>.</w:t>
      </w:r>
      <w:r w:rsidRPr="003B2786">
        <w:rPr>
          <w:rFonts w:ascii="Sylfaen" w:hAnsi="Sylfaen"/>
          <w:spacing w:val="-4"/>
          <w:sz w:val="24"/>
          <w:szCs w:val="24"/>
        </w:rPr>
        <w:tab/>
        <w:t>Սույն հավելվածի 2.2.1-2.2.8 ենթակետերի դրույթները չեն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w:t>
      </w:r>
      <w:r w:rsidRPr="003B2786">
        <w:rPr>
          <w:rFonts w:ascii="Sylfaen" w:hAnsi="Sylfaen"/>
          <w:sz w:val="24"/>
          <w:szCs w:val="24"/>
        </w:rPr>
        <w:t xml:space="preserve"> նախատեսված ընթացակարգը:</w:t>
      </w:r>
    </w:p>
    <w:p w14:paraId="2EFEAB66" w14:textId="77777777" w:rsidR="008C76E0" w:rsidRPr="003B2786" w:rsidRDefault="008C76E0" w:rsidP="00593820">
      <w:pPr>
        <w:spacing w:after="160" w:line="360" w:lineRule="auto"/>
        <w:ind w:right="-1" w:firstLine="567"/>
        <w:jc w:val="center"/>
        <w:rPr>
          <w:rFonts w:ascii="Sylfaen" w:hAnsi="Sylfaen"/>
          <w:sz w:val="24"/>
          <w:szCs w:val="24"/>
        </w:rPr>
      </w:pPr>
    </w:p>
    <w:p w14:paraId="7B022BC9"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2.3. II տիպի էական փոփոխությունների </w:t>
      </w:r>
      <w:r w:rsidRPr="003B2786">
        <w:rPr>
          <w:rFonts w:ascii="Sylfaen" w:hAnsi="Sylfaen"/>
          <w:sz w:val="24"/>
          <w:szCs w:val="24"/>
        </w:rPr>
        <w:br/>
        <w:t>փորձաքննության ընթացակարգը</w:t>
      </w:r>
    </w:p>
    <w:p w14:paraId="1D56C604" w14:textId="0EF66E2A" w:rsidR="008C76E0" w:rsidRPr="003B2786" w:rsidRDefault="008C76E0" w:rsidP="006817C8">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2.3.1.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միաժամանակ համապատասխան բոլոր մարմիններ (փորձագիտական կազմակերպություններ)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w:t>
      </w:r>
      <w:r w:rsidR="00C54D75">
        <w:rPr>
          <w:rFonts w:ascii="Sylfaen" w:hAnsi="Sylfaen"/>
          <w:sz w:val="24"/>
          <w:szCs w:val="24"/>
        </w:rPr>
        <w:t>և</w:t>
      </w:r>
      <w:r w:rsidRPr="003B2786">
        <w:rPr>
          <w:rFonts w:ascii="Sylfaen" w:hAnsi="Sylfaen"/>
          <w:sz w:val="24"/>
          <w:szCs w:val="24"/>
        </w:rPr>
        <w:t xml:space="preserve"> փոփոխությունների կատարման դիմաց վճարի (տուրքի) վճարը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w:t>
      </w:r>
    </w:p>
    <w:p w14:paraId="24F75502" w14:textId="302A93F3" w:rsidR="008C76E0" w:rsidRPr="003B2786" w:rsidRDefault="0056496B" w:rsidP="006817C8">
      <w:pPr>
        <w:tabs>
          <w:tab w:val="left" w:pos="1418"/>
        </w:tabs>
        <w:spacing w:after="160" w:line="384"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ն ռեֆերենտ</w:t>
      </w:r>
      <w:r w:rsidR="008C76E0" w:rsidRPr="003B2786" w:rsidDel="00113EEA">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ներկայացնում IV լրացման մեջ թվարկված տարրերը </w:t>
      </w:r>
      <w:r w:rsidR="008C76E0" w:rsidRPr="003B2786">
        <w:rPr>
          <w:rFonts w:ascii="Sylfaen" w:hAnsi="Sylfaen"/>
          <w:sz w:val="24"/>
          <w:szCs w:val="24"/>
        </w:rPr>
        <w:lastRenderedPageBreak/>
        <w:t>պարունակող՝ փոփոխության դոսյեն (ծանուցումը):</w:t>
      </w:r>
    </w:p>
    <w:p w14:paraId="3F84E121" w14:textId="3800BB36"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67BD79B1" w14:textId="1327D0F1"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2.3.2.</w:t>
      </w:r>
      <w:r w:rsidRPr="003B2786">
        <w:rPr>
          <w:rFonts w:ascii="Sylfaen" w:hAnsi="Sylfaen"/>
          <w:sz w:val="24"/>
          <w:szCs w:val="24"/>
        </w:rPr>
        <w:tab/>
        <w:t>Ռեֆերենտ</w:t>
      </w:r>
      <w:r w:rsidRPr="003B2786" w:rsidDel="00113EEA">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6AF258CF" w14:textId="0724778E"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E45F169" w14:textId="50BBA5C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ինտեգրված համակարգի միջոցներն օգտագործելով, ճանաչման պետությունների համապատասխան մարմինների համար ապահովում է փոփոխության դոսյեի հասանելիությունը ոչ ուշ, քան ներկայացված փաստաթղթերի ամբողջականությունը</w:t>
      </w:r>
      <w:r w:rsidRPr="003B2786">
        <w:rPr>
          <w:rFonts w:ascii="Sylfaen" w:hAnsi="Sylfaen"/>
          <w:sz w:val="24"/>
          <w:szCs w:val="24"/>
        </w:rPr>
        <w:t xml:space="preserve">, լրակազմությունը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 xml:space="preserve">ակերպման ճշտությունը գնահատելուց հետո՝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B61669">
        <w:rPr>
          <w:rFonts w:ascii="Sylfaen" w:hAnsi="Sylfaen"/>
          <w:sz w:val="24"/>
          <w:szCs w:val="24"/>
        </w:rPr>
        <w:t xml:space="preserve"> </w:t>
      </w:r>
      <w:r w:rsidRPr="003B2786">
        <w:rPr>
          <w:rFonts w:ascii="Sylfaen" w:hAnsi="Sylfaen"/>
          <w:sz w:val="24"/>
          <w:szCs w:val="24"/>
        </w:rPr>
        <w:t>պետություն ներկայացնելու օրվանից 14 աշխատանքային օրվա ընթացքում՝ սույն հավելվածի 2.3.1 ենթակետին համապատասխան:</w:t>
      </w:r>
    </w:p>
    <w:p w14:paraId="0C4B3EDC"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Անհրաժեշտության դեպքում </w:t>
      </w:r>
      <w:r w:rsidRPr="003B2786">
        <w:rPr>
          <w:rFonts w:ascii="Sylfaen" w:hAnsi="Sylfaen"/>
          <w:sz w:val="24"/>
          <w:szCs w:val="24"/>
        </w:rPr>
        <w:t>ռեֆերենտ</w:t>
      </w:r>
      <w:r w:rsidRPr="003B2786" w:rsidDel="00B61669">
        <w:rPr>
          <w:rFonts w:ascii="Sylfaen" w:hAnsi="Sylfaen"/>
          <w:spacing w:val="-4"/>
          <w:sz w:val="24"/>
          <w:szCs w:val="24"/>
        </w:rPr>
        <w:t xml:space="preserve"> </w:t>
      </w:r>
      <w:r w:rsidRPr="003B2786">
        <w:rPr>
          <w:rFonts w:ascii="Sylfaen" w:hAnsi="Sylfaen"/>
          <w:spacing w:val="-4"/>
          <w:sz w:val="24"/>
          <w:szCs w:val="24"/>
        </w:rPr>
        <w:t xml:space="preserve">պետության </w:t>
      </w:r>
      <w:r w:rsidR="00C54D75">
        <w:rPr>
          <w:rFonts w:ascii="Sylfaen" w:hAnsi="Sylfaen"/>
          <w:spacing w:val="-4"/>
          <w:sz w:val="24"/>
          <w:szCs w:val="24"/>
        </w:rPr>
        <w:t>և</w:t>
      </w:r>
      <w:r w:rsidRPr="003B2786">
        <w:rPr>
          <w:rFonts w:ascii="Sylfaen" w:hAnsi="Sylfaen"/>
          <w:spacing w:val="-4"/>
          <w:sz w:val="24"/>
          <w:szCs w:val="24"/>
        </w:rPr>
        <w:t xml:space="preserve"> ճանաչման </w:t>
      </w:r>
      <w:r w:rsidRPr="003B2786">
        <w:rPr>
          <w:rFonts w:ascii="Sylfaen" w:hAnsi="Sylfaen"/>
          <w:spacing w:val="-4"/>
          <w:sz w:val="24"/>
          <w:szCs w:val="24"/>
        </w:rPr>
        <w:lastRenderedPageBreak/>
        <w:t>պետությունների լիազորված մարմինների (փորձագիտական կազմակերպությունների) միջ</w:t>
      </w:r>
      <w:r w:rsidR="00C54D75">
        <w:rPr>
          <w:rFonts w:ascii="Sylfaen" w:hAnsi="Sylfaen"/>
          <w:spacing w:val="-4"/>
          <w:sz w:val="24"/>
          <w:szCs w:val="24"/>
        </w:rPr>
        <w:t>և</w:t>
      </w:r>
      <w:r w:rsidRPr="003B2786">
        <w:rPr>
          <w:rFonts w:ascii="Sylfaen" w:hAnsi="Sylfaen"/>
          <w:spacing w:val="-4"/>
          <w:sz w:val="24"/>
          <w:szCs w:val="24"/>
        </w:rPr>
        <w:t xml:space="preserve"> գրավոր խորհրդատվություններն իրականացվում են էլեկտրոնային եղանակով՝ ինտեգրված համակարգի միջոցների օգտագործմամբ։</w:t>
      </w:r>
    </w:p>
    <w:p w14:paraId="3DB73F2F" w14:textId="28FBD39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2.3.3.</w:t>
      </w:r>
      <w:r w:rsidRPr="003B2786">
        <w:rPr>
          <w:rFonts w:ascii="Sylfaen" w:hAnsi="Sylfaen"/>
          <w:sz w:val="24"/>
          <w:szCs w:val="24"/>
        </w:rPr>
        <w:tab/>
        <w:t xml:space="preserve">Փոփոխությունների կատարման </w:t>
      </w:r>
      <w:r w:rsidR="0056496B">
        <w:rPr>
          <w:rFonts w:ascii="Sylfaen" w:hAnsi="Sylfaen"/>
          <w:sz w:val="24"/>
          <w:szCs w:val="24"/>
        </w:rPr>
        <w:t>դիմում</w:t>
      </w:r>
      <w:r w:rsidRPr="003B2786">
        <w:rPr>
          <w:rFonts w:ascii="Sylfaen" w:hAnsi="Sylfaen"/>
          <w:sz w:val="24"/>
          <w:szCs w:val="24"/>
        </w:rPr>
        <w:t>ն ստանալու օրվանից 60 օրացուցային օրվա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պետք է պատրաստի գնահատման վերաբերյալ փորձագիտական հաշվետվության նախագիծ </w:t>
      </w:r>
      <w:r w:rsidR="00C54D75">
        <w:rPr>
          <w:rFonts w:ascii="Sylfaen" w:hAnsi="Sylfaen"/>
          <w:sz w:val="24"/>
          <w:szCs w:val="24"/>
        </w:rPr>
        <w:t>և</w:t>
      </w:r>
      <w:r w:rsidRPr="003B2786">
        <w:rPr>
          <w:rFonts w:ascii="Sylfaen" w:hAnsi="Sylfaen"/>
          <w:sz w:val="24"/>
          <w:szCs w:val="24"/>
        </w:rPr>
        <w:t xml:space="preserve"> փոփոխությունների կատարման </w:t>
      </w:r>
      <w:r w:rsidR="0056496B">
        <w:rPr>
          <w:rFonts w:ascii="Sylfaen" w:hAnsi="Sylfaen"/>
          <w:sz w:val="24"/>
          <w:szCs w:val="24"/>
        </w:rPr>
        <w:t>դիմում</w:t>
      </w:r>
      <w:r w:rsidRPr="003B2786">
        <w:rPr>
          <w:rFonts w:ascii="Sylfaen" w:hAnsi="Sylfaen"/>
          <w:sz w:val="24"/>
          <w:szCs w:val="24"/>
        </w:rPr>
        <w:t xml:space="preserve">ի մասին որոշման նախագիծ, որոնք պետք է նշված ժամկետում թղթային </w:t>
      </w:r>
      <w:r w:rsidR="00C54D75">
        <w:rPr>
          <w:rFonts w:ascii="Sylfaen" w:hAnsi="Sylfaen"/>
          <w:sz w:val="24"/>
          <w:szCs w:val="24"/>
        </w:rPr>
        <w:t>և</w:t>
      </w:r>
      <w:r w:rsidRPr="003B2786">
        <w:rPr>
          <w:rFonts w:ascii="Sylfaen" w:hAnsi="Sylfaen"/>
          <w:sz w:val="24"/>
          <w:szCs w:val="24"/>
        </w:rPr>
        <w:t xml:space="preserve"> (կամ) էլեկտրոնային եղանակով ուղարկվեն ճանաչման պետությունների համապատասխան մարմիններ:</w:t>
      </w:r>
    </w:p>
    <w:p w14:paraId="39FFCFE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2.3.4.</w:t>
      </w:r>
      <w:r w:rsidRPr="003B2786">
        <w:rPr>
          <w:rFonts w:ascii="Sylfaen" w:hAnsi="Sylfaen"/>
          <w:sz w:val="24"/>
          <w:szCs w:val="24"/>
        </w:rPr>
        <w:tab/>
        <w:t>Ռեֆերենտ</w:t>
      </w:r>
      <w:r w:rsidRPr="003B2786" w:rsidDel="00B61669">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կրճատելու սույն հավելվածի 2.3.3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1.7.2 ենթակետի «գ» կետին համապատասխան:</w:t>
      </w:r>
    </w:p>
    <w:p w14:paraId="25D8BFD8" w14:textId="5906E23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2.3.5.</w:t>
      </w:r>
      <w:r w:rsidRPr="003B2786">
        <w:rPr>
          <w:rFonts w:ascii="Sylfaen" w:hAnsi="Sylfaen"/>
          <w:sz w:val="24"/>
          <w:szCs w:val="24"/>
        </w:rPr>
        <w:tab/>
        <w:t xml:space="preserve">2.3.3 </w:t>
      </w:r>
      <w:r w:rsidR="00C54D75">
        <w:rPr>
          <w:rFonts w:ascii="Sylfaen" w:hAnsi="Sylfaen"/>
          <w:sz w:val="24"/>
          <w:szCs w:val="24"/>
        </w:rPr>
        <w:t>և</w:t>
      </w:r>
      <w:r w:rsidRPr="003B2786">
        <w:rPr>
          <w:rFonts w:ascii="Sylfaen" w:hAnsi="Sylfaen"/>
          <w:sz w:val="24"/>
          <w:szCs w:val="24"/>
        </w:rPr>
        <w:t xml:space="preserve"> 2.3.4 ենթակետերում հիշատակված ժամկետի ընթացքում 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մանրակերտում, որակի նորմատիվ փաստաթղթերում կամ գրանցման դոսյեի այլ փաստաթղթերում փոփոխություններ կատարելու առաջարկություններ) ուղարկելու:</w:t>
      </w:r>
    </w:p>
    <w:p w14:paraId="074487E8" w14:textId="144BADCA"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B61669">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w:t>
      </w:r>
      <w:r w:rsidRPr="003B2786">
        <w:rPr>
          <w:rFonts w:ascii="Sylfaen" w:hAnsi="Sylfaen"/>
          <w:sz w:val="24"/>
          <w:szCs w:val="24"/>
        </w:rPr>
        <w:lastRenderedPageBreak/>
        <w:t xml:space="preserve">կազմակերպությունը) </w:t>
      </w:r>
      <w:r w:rsidR="0056496B">
        <w:rPr>
          <w:rFonts w:ascii="Sylfaen" w:hAnsi="Sylfaen"/>
          <w:sz w:val="24"/>
          <w:szCs w:val="24"/>
        </w:rPr>
        <w:t>դիմումատու</w:t>
      </w:r>
      <w:r w:rsidRPr="003B2786">
        <w:rPr>
          <w:rFonts w:ascii="Sylfaen" w:hAnsi="Sylfaen"/>
          <w:sz w:val="24"/>
          <w:szCs w:val="24"/>
        </w:rPr>
        <w:t xml:space="preserve">ին ուղղված հարցումների օրինակն ուղարկում է ճանաչման պետությունների համապատասխան մարմիններ՝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6-8 հավելվածների ձ</w:t>
      </w:r>
      <w:r w:rsidR="00C54D75">
        <w:rPr>
          <w:rFonts w:ascii="Sylfaen" w:hAnsi="Sylfaen"/>
          <w:sz w:val="24"/>
          <w:szCs w:val="24"/>
        </w:rPr>
        <w:t>և</w:t>
      </w:r>
      <w:r w:rsidRPr="003B2786">
        <w:rPr>
          <w:rFonts w:ascii="Sylfaen" w:hAnsi="Sylfaen"/>
          <w:sz w:val="24"/>
          <w:szCs w:val="24"/>
        </w:rPr>
        <w:t>ի:</w:t>
      </w:r>
    </w:p>
    <w:p w14:paraId="6B1E78DD" w14:textId="3F278F4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B0FAF39" w14:textId="6CC67289"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73C1D7C6" w14:textId="54B60AF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w:t>
      </w:r>
    </w:p>
    <w:p w14:paraId="6E7FBE5D"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2.3.6.</w:t>
      </w:r>
      <w:r w:rsidRPr="003B2786">
        <w:rPr>
          <w:rFonts w:ascii="Sylfaen" w:hAnsi="Sylfaen"/>
          <w:sz w:val="24"/>
          <w:szCs w:val="24"/>
        </w:rPr>
        <w:tab/>
        <w:t xml:space="preserve">Չսահմանափակելով սույն հավելվածի 2.6 կետի դրույթները </w:t>
      </w:r>
      <w:r w:rsidR="00C54D75">
        <w:rPr>
          <w:rFonts w:ascii="Sylfaen" w:hAnsi="Sylfaen"/>
          <w:sz w:val="24"/>
          <w:szCs w:val="24"/>
        </w:rPr>
        <w:t>և</w:t>
      </w:r>
      <w:r w:rsidRPr="003B2786">
        <w:rPr>
          <w:rFonts w:ascii="Sylfaen" w:hAnsi="Sylfaen"/>
          <w:sz w:val="24"/>
          <w:szCs w:val="24"/>
        </w:rPr>
        <w:t xml:space="preserve"> սույն հավելվածի 2.3.3 ու 2.3.4 ենթակետերում նշված գնահատման վերաբերյալ փորձագիտական հաշվետվության նախագիծը </w:t>
      </w:r>
      <w:r w:rsidR="00C54D75">
        <w:rPr>
          <w:rFonts w:ascii="Sylfaen" w:hAnsi="Sylfaen"/>
          <w:sz w:val="24"/>
          <w:szCs w:val="24"/>
        </w:rPr>
        <w:t>և</w:t>
      </w:r>
      <w:r w:rsidRPr="003B2786">
        <w:rPr>
          <w:rFonts w:ascii="Sylfaen" w:hAnsi="Sylfaen"/>
          <w:sz w:val="24"/>
          <w:szCs w:val="24"/>
        </w:rPr>
        <w:t xml:space="preserve"> որոշման նախագիծն ստանալու օրվանից 30 </w:t>
      </w:r>
      <w:r w:rsidRPr="003B2786">
        <w:rPr>
          <w:rFonts w:ascii="Sylfaen" w:hAnsi="Sylfaen"/>
          <w:spacing w:val="-4"/>
          <w:sz w:val="24"/>
          <w:szCs w:val="24"/>
        </w:rPr>
        <w:t xml:space="preserve">օրացուցային օրվա ընթացքում ճանաչման պետությունների լիազորված մարմինները (փորձագիտական կազմակերպությունները) կայացնում են </w:t>
      </w:r>
      <w:r w:rsidRPr="003B2786">
        <w:rPr>
          <w:rFonts w:ascii="Sylfaen" w:hAnsi="Sylfaen"/>
          <w:sz w:val="24"/>
          <w:szCs w:val="24"/>
        </w:rPr>
        <w:t>ռեֆերենտ</w:t>
      </w:r>
      <w:r w:rsidRPr="003B2786" w:rsidDel="00FA0ABC">
        <w:rPr>
          <w:rFonts w:ascii="Sylfaen" w:hAnsi="Sylfaen"/>
          <w:spacing w:val="-4"/>
          <w:sz w:val="24"/>
          <w:szCs w:val="24"/>
        </w:rPr>
        <w:t xml:space="preserve"> </w:t>
      </w:r>
      <w:r w:rsidRPr="003B2786">
        <w:rPr>
          <w:rFonts w:ascii="Sylfaen" w:hAnsi="Sylfaen"/>
          <w:spacing w:val="-4"/>
          <w:sz w:val="24"/>
          <w:szCs w:val="24"/>
        </w:rPr>
        <w:t>պետության փորձագիտական կազմակերպության կողմից պատրաստված՝ գնահատման վերաբերյալ</w:t>
      </w:r>
      <w:r w:rsidRPr="003B2786">
        <w:rPr>
          <w:rFonts w:ascii="Sylfaen" w:hAnsi="Sylfaen"/>
          <w:sz w:val="24"/>
          <w:szCs w:val="24"/>
        </w:rPr>
        <w:t xml:space="preserve"> փորձագիտական հաշվետվությունն ընդունելու կամ չընդունելու մասին որոշում </w:t>
      </w:r>
      <w:r w:rsidR="00C54D75">
        <w:rPr>
          <w:rFonts w:ascii="Sylfaen" w:hAnsi="Sylfaen"/>
          <w:sz w:val="24"/>
          <w:szCs w:val="24"/>
        </w:rPr>
        <w:t>և</w:t>
      </w:r>
      <w:r w:rsidRPr="003B2786">
        <w:rPr>
          <w:rFonts w:ascii="Sylfaen" w:hAnsi="Sylfaen"/>
          <w:sz w:val="24"/>
          <w:szCs w:val="24"/>
        </w:rPr>
        <w:t xml:space="preserve"> այդ մասին ծանուցում են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մարմնին (փորձագիտական կազմակերպությանը):</w:t>
      </w:r>
    </w:p>
    <w:p w14:paraId="35B6E44E" w14:textId="443514F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մարմինը (փորձագիտական կազմակերպությունը) անհրաժեշտության դեպքում՝ ոչ ուշ, քան գնահատման </w:t>
      </w:r>
      <w:r w:rsidRPr="003B2786">
        <w:rPr>
          <w:rFonts w:ascii="Sylfaen" w:hAnsi="Sylfaen"/>
          <w:sz w:val="24"/>
          <w:szCs w:val="24"/>
        </w:rPr>
        <w:lastRenderedPageBreak/>
        <w:t xml:space="preserve">վերաբերյալ հաշվետվության նախագծին հասանելիություն ստանալու օրվանից 20 օրացուցային օրվա ընթացքում, հարցում է ուղարկում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համաձայն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18 հավելվածով սահմանված ձ</w:t>
      </w:r>
      <w:r w:rsidR="00C54D75">
        <w:rPr>
          <w:rFonts w:ascii="Sylfaen" w:hAnsi="Sylfaen"/>
          <w:sz w:val="24"/>
          <w:szCs w:val="24"/>
        </w:rPr>
        <w:t>և</w:t>
      </w:r>
      <w:r w:rsidRPr="003B2786">
        <w:rPr>
          <w:rFonts w:ascii="Sylfaen" w:hAnsi="Sylfaen"/>
          <w:sz w:val="24"/>
          <w:szCs w:val="24"/>
        </w:rPr>
        <w:t>ի։</w:t>
      </w:r>
    </w:p>
    <w:p w14:paraId="44615B2E" w14:textId="41706680"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90 օրացուցային օրը չգերազանցող ժամկետում ճանաչման պետությունների </w:t>
      </w:r>
      <w:r w:rsidR="00C54D75">
        <w:rPr>
          <w:rFonts w:ascii="Sylfaen" w:hAnsi="Sylfaen"/>
          <w:sz w:val="24"/>
          <w:szCs w:val="24"/>
        </w:rPr>
        <w:t>և</w:t>
      </w:r>
      <w:r w:rsidR="008C76E0" w:rsidRPr="003B2786">
        <w:rPr>
          <w:rFonts w:ascii="Sylfaen" w:hAnsi="Sylfaen"/>
          <w:sz w:val="24"/>
          <w:szCs w:val="24"/>
        </w:rPr>
        <w:t xml:space="preserve"> ռեֆերենտ</w:t>
      </w:r>
      <w:r w:rsidR="008C76E0" w:rsidRPr="003B2786" w:rsidDel="00FA0ABC">
        <w:rPr>
          <w:rFonts w:ascii="Sylfaen" w:hAnsi="Sylfaen"/>
          <w:sz w:val="24"/>
          <w:szCs w:val="24"/>
        </w:rPr>
        <w:t xml:space="preserve"> </w:t>
      </w:r>
      <w:r w:rsidR="008C76E0" w:rsidRPr="003B2786">
        <w:rPr>
          <w:rFonts w:ascii="Sylfaen" w:hAnsi="Sylfaen"/>
          <w:sz w:val="24"/>
          <w:szCs w:val="24"/>
        </w:rPr>
        <w:t xml:space="preserve">պետության լիազորված մարմին (փորձագիտական կազմակերպություն) է ուղարկում հարցման պատասխանը։ Հարցմանը </w:t>
      </w:r>
      <w:r>
        <w:rPr>
          <w:rFonts w:ascii="Sylfaen" w:hAnsi="Sylfaen"/>
          <w:sz w:val="24"/>
          <w:szCs w:val="24"/>
        </w:rPr>
        <w:t>դիմումատու</w:t>
      </w:r>
      <w:r w:rsidR="008C76E0" w:rsidRPr="003B2786">
        <w:rPr>
          <w:rFonts w:ascii="Sylfaen" w:hAnsi="Sylfaen"/>
          <w:sz w:val="24"/>
          <w:szCs w:val="24"/>
        </w:rPr>
        <w:t xml:space="preserve">ի պատասխանի ժամկետը չի ներառվում դեղապատրաստուկի փորձաքննություն անցկացնելու </w:t>
      </w:r>
      <w:r w:rsidR="00C54D75">
        <w:rPr>
          <w:rFonts w:ascii="Sylfaen" w:hAnsi="Sylfaen"/>
          <w:sz w:val="24"/>
          <w:szCs w:val="24"/>
        </w:rPr>
        <w:t>և</w:t>
      </w:r>
      <w:r w:rsidR="008C76E0" w:rsidRPr="003B2786">
        <w:rPr>
          <w:rFonts w:ascii="Sylfaen" w:hAnsi="Sylfaen"/>
          <w:sz w:val="24"/>
          <w:szCs w:val="24"/>
        </w:rPr>
        <w:t xml:space="preserve"> գրանցման դոսյեի մեջ փոփոխությունների կատարման ընթացակարգի ընդհանուր ժամկետի մեջ։</w:t>
      </w:r>
    </w:p>
    <w:p w14:paraId="65F3BB31" w14:textId="2AD197EE"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Ճանաչման պետության լիազորված մարմնի (փորձագիտական կազմակերպության) կողմից հարցված փաստաթղթերն ու տվյալները </w:t>
      </w:r>
      <w:r w:rsidR="0056496B">
        <w:rPr>
          <w:rFonts w:ascii="Sylfaen" w:hAnsi="Sylfaen"/>
          <w:sz w:val="24"/>
          <w:szCs w:val="24"/>
        </w:rPr>
        <w:t>դիմումատու</w:t>
      </w:r>
      <w:r w:rsidRPr="003B2786">
        <w:rPr>
          <w:rFonts w:ascii="Sylfaen" w:hAnsi="Sylfaen"/>
          <w:sz w:val="24"/>
          <w:szCs w:val="24"/>
        </w:rPr>
        <w:t>ի կողմից չներկայացվելու դեպքում ճանաչման տվյալ պետությունում դեղապատրաստուկի փորձաքննությունն ու փոփոխությունների կատարման ընթացակարգը դադարեցվում են:</w:t>
      </w:r>
    </w:p>
    <w:p w14:paraId="52612B94" w14:textId="302D633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Լիազորված մարմնի (փորձագիտական կազմակերպության) կայացրած որոշման մասին </w:t>
      </w:r>
      <w:r w:rsidR="0056496B">
        <w:rPr>
          <w:rFonts w:ascii="Sylfaen" w:hAnsi="Sylfaen"/>
          <w:sz w:val="24"/>
          <w:szCs w:val="24"/>
        </w:rPr>
        <w:t>դիմումատու</w:t>
      </w:r>
      <w:r w:rsidRPr="003B2786">
        <w:rPr>
          <w:rFonts w:ascii="Sylfaen" w:hAnsi="Sylfaen"/>
          <w:sz w:val="24"/>
          <w:szCs w:val="24"/>
        </w:rPr>
        <w:t xml:space="preserve">ն տեղեկացվում է էլեկտրոնային </w:t>
      </w:r>
      <w:r w:rsidR="00C54D75">
        <w:rPr>
          <w:rFonts w:ascii="Sylfaen" w:hAnsi="Sylfaen"/>
          <w:sz w:val="24"/>
          <w:szCs w:val="24"/>
        </w:rPr>
        <w:t>և</w:t>
      </w:r>
      <w:r w:rsidRPr="003B2786">
        <w:rPr>
          <w:rFonts w:ascii="Sylfaen" w:hAnsi="Sylfaen"/>
          <w:sz w:val="24"/>
          <w:szCs w:val="24"/>
        </w:rPr>
        <w:t xml:space="preserve"> թղթային եղանակով այդ որոշման ընդունման օրվանից 10 աշխատանքային օրվա ընթացքում:</w:t>
      </w:r>
    </w:p>
    <w:p w14:paraId="74D1B25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2.3.7.</w:t>
      </w:r>
      <w:r w:rsidRPr="003B2786">
        <w:rPr>
          <w:rFonts w:ascii="Sylfaen" w:hAnsi="Sylfaen"/>
          <w:sz w:val="24"/>
          <w:szCs w:val="24"/>
        </w:rPr>
        <w:tab/>
        <w:t>Եթե ճանաչման պետությունների լիազորված մարմինը (փորձագիտական կազմակերպությունը) 2.3.6 ենթակետի առաջին պարբերության մեջ նշված ժամկետի ընթացքում չի ուղարկում ռեֆերենտ</w:t>
      </w:r>
      <w:r w:rsidRPr="003B2786" w:rsidDel="00FA0ABC">
        <w:rPr>
          <w:rFonts w:ascii="Sylfaen" w:hAnsi="Sylfaen"/>
          <w:sz w:val="24"/>
          <w:szCs w:val="24"/>
        </w:rPr>
        <w:t xml:space="preserve"> </w:t>
      </w:r>
      <w:r w:rsidRPr="003B2786">
        <w:rPr>
          <w:rFonts w:ascii="Sylfaen" w:hAnsi="Sylfaen"/>
          <w:sz w:val="24"/>
          <w:szCs w:val="24"/>
        </w:rPr>
        <w:t>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եզրակացությունը, ապա որոշումը պետք է դիտարկվի որպես այդ լիազորված մարմնի (փորձագիտական կազմակերպության) կողմից ընդունված:</w:t>
      </w:r>
    </w:p>
    <w:p w14:paraId="2BB4A5AE"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2.3.8.</w:t>
      </w:r>
      <w:r w:rsidRPr="003B2786">
        <w:rPr>
          <w:rFonts w:ascii="Sylfaen" w:hAnsi="Sylfaen"/>
          <w:sz w:val="24"/>
          <w:szCs w:val="24"/>
        </w:rPr>
        <w:tab/>
        <w:t xml:space="preserve">Եթե սույն հավելվածի 2.3.7 ենթակետում հիշատակված որոշումը, </w:t>
      </w:r>
      <w:r w:rsidRPr="003B2786">
        <w:rPr>
          <w:rFonts w:ascii="Sylfaen" w:hAnsi="Sylfaen"/>
          <w:sz w:val="24"/>
          <w:szCs w:val="24"/>
        </w:rPr>
        <w:lastRenderedPageBreak/>
        <w:t xml:space="preserve">սույն հավելվածի 2.3.6 </w:t>
      </w:r>
      <w:r w:rsidR="00C54D75">
        <w:rPr>
          <w:rFonts w:ascii="Sylfaen" w:hAnsi="Sylfaen"/>
          <w:sz w:val="24"/>
          <w:szCs w:val="24"/>
        </w:rPr>
        <w:t>և</w:t>
      </w:r>
      <w:r w:rsidRPr="003B2786">
        <w:rPr>
          <w:rFonts w:ascii="Sylfaen" w:hAnsi="Sylfaen"/>
          <w:sz w:val="24"/>
          <w:szCs w:val="24"/>
        </w:rPr>
        <w:t xml:space="preserve"> 2.3.7 ենթակետերին համապատասխան, ընդունվում է բոլոր լիազորված մարմինների կողմից, ապա ձեռնարկվում են սույն հավելվածի 2.4 կետում նշված միջոցները:</w:t>
      </w:r>
    </w:p>
    <w:p w14:paraId="4C44BC7B" w14:textId="707396B8"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 xml:space="preserve">Այն դեպքում, երբ սույն հավելվածի 1.6 կետի համաձայն փոփոխությունները հանգեցնում են դեղապատրաստուկի մասին տեղեկատվության վերանայման, լիազորված մարմինները փոփոխությունը հաստատելու մասին որոշում կայացնելուց հետո՝ 10 աշխատանքային օրվա ընթացքում, փոփոխությունների կատարման մասին տեղեկությունները տեղադրում են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են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3FFA456" w14:textId="06E0C4C5"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մարմիններն իրավունք ունեն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կետի առաջին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1502F1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2.3.9.</w:t>
      </w:r>
      <w:r w:rsidRPr="003B2786">
        <w:rPr>
          <w:rFonts w:ascii="Sylfaen" w:hAnsi="Sylfaen"/>
          <w:sz w:val="24"/>
          <w:szCs w:val="24"/>
        </w:rPr>
        <w:tab/>
        <w:t>Սույն բաժինը չի կիրառվում, եթե II տիպի փոփոխության վերաբերյալ հարցումը ներկայացված է փոփոխությունների՝ դեղապատրաստուկի գրանցման ընդլայնում ներառող խմբի կազմում: Այդ դեպքում կիրառվում է 4.1.1 ենթակետով նախատեսված ընթացակարգը:</w:t>
      </w:r>
    </w:p>
    <w:p w14:paraId="7C2A5F03"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w:t>
      </w:r>
      <w:r w:rsidRPr="003B2786">
        <w:rPr>
          <w:rFonts w:ascii="Sylfaen" w:hAnsi="Sylfaen"/>
          <w:sz w:val="24"/>
          <w:szCs w:val="24"/>
        </w:rPr>
        <w:tab/>
        <w:t>Սույն հավելվածի 2.3-2.5 կետերով նախատեսված ընթացակարգերը եզրափակելու համար անհրաժեշտ միջոցները</w:t>
      </w:r>
    </w:p>
    <w:p w14:paraId="008BED02"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2.4.1.</w:t>
      </w:r>
      <w:r w:rsidRPr="003B2786">
        <w:rPr>
          <w:rFonts w:ascii="Sylfaen" w:hAnsi="Sylfaen"/>
          <w:sz w:val="24"/>
          <w:szCs w:val="24"/>
        </w:rPr>
        <w:tab/>
        <w:t>Վկայակոչելով սույն կետը՝ ռեֆերենտ</w:t>
      </w:r>
      <w:r w:rsidRPr="003B2786" w:rsidDel="00FA0ABC">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պետք է ձեռնարկի հետ</w:t>
      </w:r>
      <w:r w:rsidR="00C54D75">
        <w:rPr>
          <w:rFonts w:ascii="Sylfaen" w:hAnsi="Sylfaen"/>
          <w:sz w:val="24"/>
          <w:szCs w:val="24"/>
        </w:rPr>
        <w:t>և</w:t>
      </w:r>
      <w:r w:rsidRPr="003B2786">
        <w:rPr>
          <w:rFonts w:ascii="Sylfaen" w:hAnsi="Sylfaen"/>
          <w:sz w:val="24"/>
          <w:szCs w:val="24"/>
        </w:rPr>
        <w:t>յալ միջոցները՝</w:t>
      </w:r>
    </w:p>
    <w:p w14:paraId="13100892" w14:textId="5322987C" w:rsidR="008C76E0" w:rsidRPr="003B2786" w:rsidRDefault="0056496B" w:rsidP="00593820">
      <w:pPr>
        <w:tabs>
          <w:tab w:val="left" w:pos="1701"/>
        </w:tabs>
        <w:spacing w:after="160" w:line="360" w:lineRule="auto"/>
        <w:ind w:firstLine="567"/>
        <w:jc w:val="both"/>
        <w:rPr>
          <w:rFonts w:ascii="Sylfaen" w:hAnsi="Sylfaen"/>
          <w:sz w:val="24"/>
          <w:szCs w:val="24"/>
        </w:rPr>
      </w:pPr>
      <w:r>
        <w:rPr>
          <w:rFonts w:ascii="Sylfaen" w:hAnsi="Sylfaen"/>
          <w:sz w:val="24"/>
          <w:szCs w:val="24"/>
        </w:rPr>
        <w:lastRenderedPageBreak/>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փոփոխությունը հաստատելու կամ մերժելու մասին.</w:t>
      </w:r>
    </w:p>
    <w:p w14:paraId="69258E46" w14:textId="57BF6A9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փոփոխությունը մերժելու դեպքում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պետությունների համապատասխան մարմիններին ծանուցի այդպիսի որոշման հիմքերի մասին.</w:t>
      </w:r>
    </w:p>
    <w:p w14:paraId="60CFF279" w14:textId="1B032BE6" w:rsidR="008C76E0" w:rsidRPr="003B2786" w:rsidRDefault="0056496B" w:rsidP="00593820">
      <w:pPr>
        <w:tabs>
          <w:tab w:val="left" w:pos="1701"/>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ին </w:t>
      </w:r>
      <w:r w:rsidR="00C54D75">
        <w:rPr>
          <w:rFonts w:ascii="Sylfaen" w:hAnsi="Sylfaen"/>
          <w:sz w:val="24"/>
          <w:szCs w:val="24"/>
        </w:rPr>
        <w:t>և</w:t>
      </w:r>
      <w:r w:rsidR="008C76E0" w:rsidRPr="003B2786">
        <w:rPr>
          <w:rFonts w:ascii="Sylfaen" w:hAnsi="Sylfaen"/>
          <w:sz w:val="24"/>
          <w:szCs w:val="24"/>
        </w:rPr>
        <w:t xml:space="preserve"> ճանաչման պետությունների համապատասխան մարմիններին ծանուցի դեղապատրաստուկի գրանցման մասին որոշման ընդունման պայմանների, ներառյալ՝ դեղապատրաստուկի ընդհանուր բնութագրի </w:t>
      </w:r>
      <w:r w:rsidR="00C54D75">
        <w:rPr>
          <w:rFonts w:ascii="Sylfaen" w:hAnsi="Sylfaen"/>
          <w:sz w:val="24"/>
          <w:szCs w:val="24"/>
        </w:rPr>
        <w:t>և</w:t>
      </w:r>
      <w:r w:rsidR="008C76E0" w:rsidRPr="003B2786">
        <w:rPr>
          <w:rFonts w:ascii="Sylfaen" w:hAnsi="Sylfaen"/>
          <w:sz w:val="24"/>
          <w:szCs w:val="24"/>
        </w:rPr>
        <w:t xml:space="preserve"> ցանկացած այնպիսի պայմանի, պարտավորության կամ սահմանափակման փոփոխության անհրաժեշտության մասին, որն ազդեցություն է ունենում դեղապատրաստուկի գրանցման կամ փոփոխություն կատարելու հետ կապված դեղապատրաստուկի ընդհանուր բնութագրի փոփոխությամբ պայմանավորված՝ մակնշման կամ ներդիր թերթիկի փոփոխությունների վրա:</w:t>
      </w:r>
    </w:p>
    <w:p w14:paraId="249608CA"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2.4.2.</w:t>
      </w:r>
      <w:r w:rsidRPr="003B2786">
        <w:rPr>
          <w:rFonts w:ascii="Sylfaen" w:hAnsi="Sylfaen"/>
          <w:sz w:val="24"/>
          <w:szCs w:val="24"/>
        </w:rPr>
        <w:tab/>
        <w:t xml:space="preserve">Վկայակոչելով սույն կետը՝ յուրաքանչյուր լիազորված մարմին անհրաժեշտության դեպքում </w:t>
      </w:r>
      <w:r w:rsidR="00C54D75">
        <w:rPr>
          <w:rFonts w:ascii="Sylfaen" w:hAnsi="Sylfaen"/>
          <w:sz w:val="24"/>
          <w:szCs w:val="24"/>
        </w:rPr>
        <w:t>և</w:t>
      </w:r>
      <w:r w:rsidRPr="003B2786">
        <w:rPr>
          <w:rFonts w:ascii="Sylfaen" w:hAnsi="Sylfaen"/>
          <w:sz w:val="24"/>
          <w:szCs w:val="24"/>
        </w:rPr>
        <w:t xml:space="preserve"> սույն հավելվածի 4.2.1 ենթակետով սահմանված առավելագույն ժամկետի ընթացքում (բացառությամբ սույն հավելվածի 1.6 կետին համապատասխան դեղապատրաստուկի մասին տեղեկատվության վերանայման հանգեցրած փոփոխությունների) պետք է փոփոխի գրանցման մասին որոշումը՝ ընդունված փոփոխությանը համապատասխան: </w:t>
      </w:r>
    </w:p>
    <w:p w14:paraId="2ADBF86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53D4C0FC" w14:textId="77777777" w:rsidR="008C76E0" w:rsidRPr="003B2786" w:rsidRDefault="008C76E0" w:rsidP="00593820">
      <w:pPr>
        <w:tabs>
          <w:tab w:val="left" w:pos="1701"/>
        </w:tabs>
        <w:spacing w:after="160" w:line="360" w:lineRule="auto"/>
        <w:ind w:right="-1"/>
        <w:jc w:val="center"/>
        <w:rPr>
          <w:rFonts w:ascii="Sylfaen" w:hAnsi="Sylfaen"/>
          <w:sz w:val="24"/>
          <w:szCs w:val="24"/>
        </w:rPr>
      </w:pPr>
      <w:r w:rsidRPr="003B2786">
        <w:rPr>
          <w:rFonts w:ascii="Sylfaen" w:hAnsi="Sylfaen"/>
          <w:sz w:val="24"/>
          <w:szCs w:val="24"/>
        </w:rPr>
        <w:t>2.5. Քննարկումը Փորձագիտական կոմիտեում</w:t>
      </w:r>
    </w:p>
    <w:p w14:paraId="23FC674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2.5.1.</w:t>
      </w:r>
      <w:r w:rsidRPr="003B2786">
        <w:rPr>
          <w:rFonts w:ascii="Sylfaen" w:hAnsi="Sylfaen"/>
          <w:sz w:val="24"/>
          <w:szCs w:val="24"/>
        </w:rPr>
        <w:tab/>
        <w:t>Եթե մեկ կամ մի քանի ճանաչման պետությունների լիազորված մարմինների կողմից ուղարկվել է 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փորձագիտական կազմակերպության կողմից պատրաստված՝ գնահատման վերաբերյալ փորձագիտական հաշվետվությունն ընդունելու անհնարինության մասին եզրակացություն՝ սույն հավելվածի 4.1.2.9 ենթակետին </w:t>
      </w:r>
      <w:r w:rsidR="00C54D75">
        <w:rPr>
          <w:rFonts w:ascii="Sylfaen" w:hAnsi="Sylfaen"/>
          <w:sz w:val="24"/>
          <w:szCs w:val="24"/>
        </w:rPr>
        <w:t>և</w:t>
      </w:r>
      <w:r w:rsidRPr="003B2786">
        <w:rPr>
          <w:rFonts w:ascii="Sylfaen" w:hAnsi="Sylfaen"/>
          <w:sz w:val="24"/>
          <w:szCs w:val="24"/>
        </w:rPr>
        <w:t xml:space="preserve"> 2.3.6-2.3.7 ենթակետերին համապատասխան, ապա ճանաչման պետությունների լիազորված մարմինների </w:t>
      </w:r>
      <w:r w:rsidRPr="003B2786">
        <w:rPr>
          <w:rFonts w:ascii="Sylfaen" w:hAnsi="Sylfaen"/>
          <w:sz w:val="24"/>
          <w:szCs w:val="24"/>
        </w:rPr>
        <w:lastRenderedPageBreak/>
        <w:t xml:space="preserve">կողմից այդպիսի եզրակացություն ուղարկելու օրվանից 60 օրացուցային օրը </w:t>
      </w:r>
      <w:r w:rsidRPr="003B2786">
        <w:rPr>
          <w:rFonts w:ascii="Sylfaen" w:hAnsi="Sylfaen"/>
          <w:spacing w:val="-4"/>
          <w:sz w:val="24"/>
          <w:szCs w:val="24"/>
        </w:rPr>
        <w:t>չգերազանցող ժամկետում Փորձագիտական կազմակերպությունն իրականացնում է տարաձայնությունների</w:t>
      </w:r>
      <w:r w:rsidRPr="003B2786">
        <w:rPr>
          <w:rFonts w:ascii="Sylfaen" w:hAnsi="Sylfaen"/>
          <w:sz w:val="24"/>
          <w:szCs w:val="24"/>
        </w:rPr>
        <w:t xml:space="preserve"> կարգավորման ընթացակարգ՝ Հանձնաժողովի որոշմամբ հաստատված կարգին համապատասխան: </w:t>
      </w:r>
    </w:p>
    <w:p w14:paraId="2512DF9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2.5.2.</w:t>
      </w:r>
      <w:r w:rsidRPr="003B2786">
        <w:rPr>
          <w:rFonts w:ascii="Sylfaen" w:hAnsi="Sylfaen"/>
          <w:sz w:val="24"/>
          <w:szCs w:val="24"/>
        </w:rPr>
        <w:tab/>
        <w:t>Ռեֆերենտ</w:t>
      </w:r>
      <w:r w:rsidRPr="003B2786" w:rsidDel="00FA0ABC">
        <w:rPr>
          <w:rFonts w:ascii="Sylfaen" w:hAnsi="Sylfaen"/>
          <w:sz w:val="24"/>
          <w:szCs w:val="24"/>
        </w:rPr>
        <w:t xml:space="preserve"> </w:t>
      </w:r>
      <w:r w:rsidRPr="003B2786">
        <w:rPr>
          <w:rFonts w:ascii="Sylfaen" w:hAnsi="Sylfaen"/>
          <w:sz w:val="24"/>
          <w:szCs w:val="24"/>
        </w:rPr>
        <w:t xml:space="preserve">պետության </w:t>
      </w:r>
      <w:r w:rsidR="00C54D75">
        <w:rPr>
          <w:rFonts w:ascii="Sylfaen" w:hAnsi="Sylfaen"/>
          <w:sz w:val="24"/>
          <w:szCs w:val="24"/>
        </w:rPr>
        <w:t>և</w:t>
      </w:r>
      <w:r w:rsidRPr="003B2786">
        <w:rPr>
          <w:rFonts w:ascii="Sylfaen" w:hAnsi="Sylfaen"/>
          <w:sz w:val="24"/>
          <w:szCs w:val="24"/>
        </w:rPr>
        <w:t xml:space="preserve"> ճանաչման համապատասխան պետությունների լիազորված մարմինը մերժում է փոփոխություններ կատարելը, եթե դեղապատրաստուկի փորձաքննության արդյունքներով </w:t>
      </w:r>
      <w:r w:rsidR="00C54D75">
        <w:rPr>
          <w:rFonts w:ascii="Sylfaen" w:hAnsi="Sylfaen"/>
          <w:sz w:val="24"/>
          <w:szCs w:val="24"/>
        </w:rPr>
        <w:t>և</w:t>
      </w:r>
      <w:r w:rsidRPr="003B2786">
        <w:rPr>
          <w:rFonts w:ascii="Sylfaen" w:hAnsi="Sylfaen"/>
          <w:sz w:val="24"/>
          <w:szCs w:val="24"/>
        </w:rPr>
        <w:t xml:space="preserve"> Փորձագիտական կոմիտեում տարաձայնությունների կարգավորման ընթացակարգն իրականացնելուց հետո Փորձագիտական կոմիտեի կողմից ընդունվել է դեղապատրաստուկի գրանցման դոսյեի մեջ փոփոխություններ կատարելը մերժելու մասին առաջարկություն:</w:t>
      </w:r>
    </w:p>
    <w:p w14:paraId="6017902C" w14:textId="77777777" w:rsidR="008C76E0" w:rsidRPr="003B2786" w:rsidRDefault="008C76E0" w:rsidP="00593820">
      <w:pPr>
        <w:tabs>
          <w:tab w:val="left" w:pos="1418"/>
        </w:tabs>
        <w:spacing w:after="160" w:line="360" w:lineRule="auto"/>
        <w:ind w:right="-1" w:firstLine="567"/>
        <w:jc w:val="center"/>
        <w:rPr>
          <w:rFonts w:ascii="Sylfaen" w:hAnsi="Sylfaen"/>
          <w:sz w:val="24"/>
          <w:szCs w:val="24"/>
        </w:rPr>
      </w:pPr>
    </w:p>
    <w:p w14:paraId="0302C14E" w14:textId="77777777" w:rsidR="008C76E0" w:rsidRPr="00C50FD1" w:rsidRDefault="008C76E0" w:rsidP="00593820">
      <w:pPr>
        <w:spacing w:after="160" w:line="360" w:lineRule="auto"/>
        <w:ind w:left="567" w:right="566"/>
        <w:jc w:val="center"/>
        <w:outlineLvl w:val="0"/>
        <w:rPr>
          <w:rFonts w:ascii="Sylfaen" w:hAnsi="Sylfaen"/>
          <w:sz w:val="24"/>
          <w:szCs w:val="24"/>
        </w:rPr>
      </w:pPr>
      <w:r w:rsidRPr="003B2786">
        <w:rPr>
          <w:rFonts w:ascii="Sylfaen" w:hAnsi="Sylfaen"/>
          <w:sz w:val="24"/>
          <w:szCs w:val="24"/>
        </w:rPr>
        <w:t xml:space="preserve">III. Ազգային ընթացակարգով գրանցված դեղապատրաստուկների գրանցման դոսյեի մեջ փոփոխություններ կատարելը </w:t>
      </w:r>
      <w:r w:rsidRPr="003B2786">
        <w:rPr>
          <w:rFonts w:ascii="Sylfaen" w:hAnsi="Sylfaen"/>
          <w:sz w:val="24"/>
          <w:szCs w:val="24"/>
        </w:rPr>
        <w:br/>
        <w:t>(միայն ռեֆերենտ</w:t>
      </w:r>
      <w:r w:rsidRPr="003B2786" w:rsidDel="00E61B3B">
        <w:rPr>
          <w:rFonts w:ascii="Sylfaen" w:hAnsi="Sylfaen"/>
          <w:sz w:val="24"/>
          <w:szCs w:val="24"/>
        </w:rPr>
        <w:t xml:space="preserve"> </w:t>
      </w:r>
      <w:r w:rsidRPr="003B2786">
        <w:rPr>
          <w:rFonts w:ascii="Sylfaen" w:hAnsi="Sylfaen"/>
          <w:sz w:val="24"/>
          <w:szCs w:val="24"/>
        </w:rPr>
        <w:t>պետությունում)</w:t>
      </w:r>
    </w:p>
    <w:p w14:paraId="1BBE6E3B" w14:textId="77777777" w:rsidR="008C76E0" w:rsidRPr="00C50FD1" w:rsidRDefault="008C76E0" w:rsidP="00593820">
      <w:pPr>
        <w:spacing w:after="160" w:line="360" w:lineRule="auto"/>
        <w:ind w:left="567" w:right="566"/>
        <w:jc w:val="center"/>
        <w:outlineLvl w:val="0"/>
        <w:rPr>
          <w:rFonts w:ascii="Sylfaen" w:hAnsi="Sylfaen"/>
          <w:sz w:val="24"/>
          <w:szCs w:val="24"/>
        </w:rPr>
      </w:pPr>
    </w:p>
    <w:p w14:paraId="73979D4F" w14:textId="77777777" w:rsidR="008C76E0" w:rsidRPr="003B2786" w:rsidRDefault="008C76E0" w:rsidP="00593820">
      <w:pPr>
        <w:tabs>
          <w:tab w:val="left" w:pos="1418"/>
        </w:tabs>
        <w:spacing w:after="160" w:line="360" w:lineRule="auto"/>
        <w:ind w:left="567" w:right="565"/>
        <w:jc w:val="center"/>
        <w:rPr>
          <w:rFonts w:ascii="Sylfaen" w:hAnsi="Sylfaen"/>
          <w:sz w:val="24"/>
          <w:szCs w:val="24"/>
        </w:rPr>
      </w:pPr>
      <w:r>
        <w:rPr>
          <w:rFonts w:ascii="Sylfaen" w:hAnsi="Sylfaen"/>
          <w:sz w:val="24"/>
          <w:szCs w:val="24"/>
        </w:rPr>
        <w:t>3.1.</w:t>
      </w:r>
      <w:r w:rsidRPr="003B2786">
        <w:rPr>
          <w:rFonts w:ascii="Sylfaen" w:hAnsi="Sylfaen"/>
          <w:sz w:val="24"/>
          <w:szCs w:val="24"/>
        </w:rPr>
        <w:t>IA տիպի ոչ էական փոփոխություններ կատարելու մասին ծանուցելու ընթացակարգը։</w:t>
      </w:r>
    </w:p>
    <w:p w14:paraId="1A7AC24F" w14:textId="4D329696"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3.1.1.</w:t>
      </w:r>
      <w:r w:rsidRPr="003B2786">
        <w:rPr>
          <w:rFonts w:ascii="Sylfaen" w:hAnsi="Sylfaen"/>
          <w:sz w:val="24"/>
          <w:szCs w:val="24"/>
        </w:rPr>
        <w:tab/>
        <w:t xml:space="preserve">IA տիպի ոչ էական փոփոխություն կատարելու դեպքում </w:t>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պետությունների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 (ծանուցումը): Այդպիսի ծանուցումն </w:t>
      </w:r>
      <w:r w:rsidRPr="003B2786">
        <w:rPr>
          <w:rFonts w:ascii="Sylfaen" w:hAnsi="Sylfaen"/>
          <w:sz w:val="24"/>
          <w:szCs w:val="24"/>
        </w:rPr>
        <w:lastRenderedPageBreak/>
        <w:t xml:space="preserve">անհրաժեշտ է ներկայացնել փոփոխություններն իրագործելուց հետո՝ 365 օրացուցային օրվա (12 ամսվա) ընթացքում՝ բացառությամբ սույն հավելվածի 1.6 կետի համաձայն դեղապատրաստուկի մասին տեղեկատվության վերանայման հանգեցրած փոփոխությունների, որոնց մասով համապատասխան </w:t>
      </w:r>
      <w:r w:rsidR="0056496B">
        <w:rPr>
          <w:rFonts w:ascii="Sylfaen" w:hAnsi="Sylfaen"/>
          <w:sz w:val="24"/>
          <w:szCs w:val="24"/>
        </w:rPr>
        <w:t>դիմում</w:t>
      </w:r>
      <w:r w:rsidRPr="003B2786">
        <w:rPr>
          <w:rFonts w:ascii="Sylfaen" w:hAnsi="Sylfaen"/>
          <w:sz w:val="24"/>
          <w:szCs w:val="24"/>
        </w:rPr>
        <w:t>ն անհրաժեշտ է ներկայացնել նախքան փոփոխության իրագործումը:</w:t>
      </w:r>
    </w:p>
    <w:p w14:paraId="727D05A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3.1.2.</w:t>
      </w:r>
      <w:r w:rsidRPr="003B2786">
        <w:rPr>
          <w:rFonts w:ascii="Sylfaen" w:hAnsi="Sylfaen"/>
          <w:sz w:val="24"/>
          <w:szCs w:val="24"/>
        </w:rPr>
        <w:tab/>
        <w:t>Դիտարկվող դեղապատրաստուկի անընդհատ հսկողության նպատակով անհապաղ ծանուցում պահանջող ոչ էական փոփոխությունների առնչությամբ ծանուցումն անհրաժեշտ է ներկայացնել փոփոխություններն իրագործելուց անմիջապես հետո:</w:t>
      </w:r>
    </w:p>
    <w:p w14:paraId="414F816F"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3.1.3.</w:t>
      </w:r>
      <w:r w:rsidRPr="003B2786">
        <w:rPr>
          <w:rFonts w:ascii="Sylfaen" w:hAnsi="Sylfaen"/>
          <w:sz w:val="24"/>
          <w:szCs w:val="24"/>
        </w:rPr>
        <w:tab/>
        <w:t>Ծանուցումն ստանալու օրվանից 30 օրացուցային օրվա ընթացքում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բաժնում նշված միջոցները:</w:t>
      </w:r>
    </w:p>
    <w:p w14:paraId="2225532C" w14:textId="3B2E24DF"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բաժնի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З.1.З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CF47C47" w14:textId="3DD9A9BF" w:rsidR="008C76E0" w:rsidRPr="00C50FD1"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w:t>
      </w:r>
      <w:r w:rsidRPr="003B2786">
        <w:rPr>
          <w:rFonts w:ascii="Sylfaen" w:hAnsi="Sylfaen"/>
          <w:sz w:val="24"/>
          <w:szCs w:val="24"/>
        </w:rPr>
        <w:lastRenderedPageBreak/>
        <w:t xml:space="preserve">սույն ենթակետի առաջին </w:t>
      </w:r>
      <w:r w:rsidR="00C54D75">
        <w:rPr>
          <w:rFonts w:ascii="Sylfaen" w:hAnsi="Sylfaen"/>
          <w:sz w:val="24"/>
          <w:szCs w:val="24"/>
        </w:rPr>
        <w:t>և</w:t>
      </w:r>
      <w:r w:rsidRPr="003B2786">
        <w:rPr>
          <w:rFonts w:ascii="Sylfaen" w:hAnsi="Sylfaen"/>
          <w:sz w:val="24"/>
          <w:szCs w:val="24"/>
        </w:rPr>
        <w:t xml:space="preserve"> երկրորդ պարբերություններում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A50799A" w14:textId="77777777" w:rsidR="008C76E0" w:rsidRPr="00C50FD1" w:rsidRDefault="008C76E0" w:rsidP="00593820">
      <w:pPr>
        <w:tabs>
          <w:tab w:val="left" w:pos="1418"/>
        </w:tabs>
        <w:spacing w:after="160" w:line="360" w:lineRule="auto"/>
        <w:ind w:right="-1" w:firstLine="567"/>
        <w:jc w:val="both"/>
        <w:rPr>
          <w:rFonts w:ascii="Sylfaen" w:hAnsi="Sylfaen"/>
          <w:sz w:val="24"/>
          <w:szCs w:val="24"/>
        </w:rPr>
      </w:pPr>
    </w:p>
    <w:p w14:paraId="1C55B93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3.2. IB տիպի ոչ էական փոփոխությունների մասին </w:t>
      </w:r>
      <w:r w:rsidRPr="003B2786">
        <w:rPr>
          <w:rFonts w:ascii="Sylfaen" w:hAnsi="Sylfaen"/>
          <w:sz w:val="24"/>
          <w:szCs w:val="24"/>
        </w:rPr>
        <w:br/>
        <w:t>ծանուցման ընթացակարգը</w:t>
      </w:r>
    </w:p>
    <w:p w14:paraId="1FAEB278" w14:textId="15CE4DB1"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համապատասխան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փոփոխության՝ IV լրացման մեջ նշված տարրերը պարունակող դոսյեն (ծանուցումը):</w:t>
      </w:r>
    </w:p>
    <w:p w14:paraId="0C017060" w14:textId="2B80104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 xml:space="preserve">ը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3.2.1 ենթակետին համապատասխան։</w:t>
      </w:r>
    </w:p>
    <w:p w14:paraId="2E40D0F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Եթե ծանուցումը բավարարում է սույն հավելվածի 3.2.1 կետով սահմանված պահանջներին,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հաջորդ 30 օրացուցային օրվա ընթացքում հաստատում է վավեր ծանուցման ստացումը:</w:t>
      </w:r>
    </w:p>
    <w:p w14:paraId="079E6A02" w14:textId="7309C8DA"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3.2.3.</w:t>
      </w:r>
      <w:r w:rsidRPr="003B2786">
        <w:rPr>
          <w:rFonts w:ascii="Sylfaen" w:hAnsi="Sylfaen"/>
          <w:sz w:val="24"/>
          <w:szCs w:val="24"/>
        </w:rPr>
        <w:tab/>
        <w:t xml:space="preserve">Եթե ծանուցումն ստանալու օրվանից 30 օրացուցային oրվա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3B2786">
        <w:rPr>
          <w:rFonts w:ascii="Sylfaen" w:hAnsi="Sylfaen"/>
          <w:sz w:val="24"/>
          <w:szCs w:val="24"/>
        </w:rPr>
        <w:t xml:space="preserve">ին չի ուղարկում ծանուցումն </w:t>
      </w:r>
      <w:r w:rsidRPr="003B2786">
        <w:rPr>
          <w:rFonts w:ascii="Sylfaen" w:hAnsi="Sylfaen"/>
          <w:sz w:val="24"/>
          <w:szCs w:val="24"/>
        </w:rPr>
        <w:lastRenderedPageBreak/>
        <w:t xml:space="preserve">ընդունելու </w:t>
      </w:r>
      <w:r w:rsidR="00C54D75">
        <w:rPr>
          <w:rFonts w:ascii="Sylfaen" w:hAnsi="Sylfaen"/>
          <w:sz w:val="24"/>
          <w:szCs w:val="24"/>
        </w:rPr>
        <w:t>և</w:t>
      </w:r>
      <w:r w:rsidRPr="003B2786">
        <w:rPr>
          <w:rFonts w:ascii="Sylfaen" w:hAnsi="Sylfaen"/>
          <w:sz w:val="24"/>
          <w:szCs w:val="24"/>
        </w:rPr>
        <w:t xml:space="preserve"> գրանցման դոսյեի մեջ տվյալ փոփոխությունը կատարելու անհնարինության մասին եզրակացությունը, ապա եզրակացությունը ճանաչվում է լիազորված մարմնի կողմից ընդունված (հաստատված):</w:t>
      </w:r>
    </w:p>
    <w:p w14:paraId="63557803"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3.2.4.</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ընդունում է ծանուցումը հաստատելու մասին դրական որոշում, ապա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ձեռնարկում է սույն հավելվածի 3.5 կետում նշված միջոցները:</w:t>
      </w:r>
    </w:p>
    <w:p w14:paraId="60E9E826" w14:textId="02EA3E9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սույն հավելվածի 3.2.3 ենթակետում նշված ժամկետից ոչ ուշ, քան 10 աշխատանքային օրվա ընթացքում, միասնական ռեեստրի ձ</w:t>
      </w:r>
      <w:r w:rsidR="00C54D75">
        <w:rPr>
          <w:rFonts w:ascii="Sylfaen" w:hAnsi="Sylfaen"/>
          <w:sz w:val="24"/>
          <w:szCs w:val="24"/>
        </w:rPr>
        <w:t>և</w:t>
      </w:r>
      <w:r w:rsidRPr="003B2786">
        <w:rPr>
          <w:rFonts w:ascii="Sylfaen" w:hAnsi="Sylfaen"/>
          <w:sz w:val="24"/>
          <w:szCs w:val="24"/>
        </w:rPr>
        <w:t xml:space="preserve">ավորման </w:t>
      </w:r>
      <w:r w:rsidR="00C54D75">
        <w:rPr>
          <w:rFonts w:ascii="Sylfaen" w:hAnsi="Sylfaen"/>
          <w:sz w:val="24"/>
          <w:szCs w:val="24"/>
        </w:rPr>
        <w:t>և</w:t>
      </w:r>
      <w:r w:rsidRPr="003B2786">
        <w:rPr>
          <w:rFonts w:ascii="Sylfaen" w:hAnsi="Sylfaen"/>
          <w:sz w:val="24"/>
          <w:szCs w:val="24"/>
        </w:rPr>
        <w:t xml:space="preserve"> վարման կարգին համապատասխան,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հանձնում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087BEA93" w14:textId="1405AF61"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մարմինը (փորձագիտական կազմակերպությունը) իրավունք ունի մինչ</w:t>
      </w:r>
      <w:r w:rsidR="00C54D75">
        <w:rPr>
          <w:rFonts w:ascii="Sylfaen" w:hAnsi="Sylfaen"/>
          <w:sz w:val="24"/>
          <w:szCs w:val="24"/>
        </w:rPr>
        <w:t>և</w:t>
      </w:r>
      <w:r w:rsidRPr="003B2786">
        <w:rPr>
          <w:rFonts w:ascii="Sylfaen" w:hAnsi="Sylfaen"/>
          <w:sz w:val="24"/>
          <w:szCs w:val="24"/>
        </w:rPr>
        <w:t xml:space="preserve"> 90 օրացուցային օր երկարաձգելու սույն հավելվածի 3.2.3 </w:t>
      </w:r>
      <w:r w:rsidR="00C54D75">
        <w:rPr>
          <w:rFonts w:ascii="Sylfaen" w:hAnsi="Sylfaen"/>
          <w:sz w:val="24"/>
          <w:szCs w:val="24"/>
        </w:rPr>
        <w:t>և</w:t>
      </w:r>
      <w:r w:rsidRPr="003B2786">
        <w:rPr>
          <w:rFonts w:ascii="Sylfaen" w:hAnsi="Sylfaen"/>
          <w:sz w:val="24"/>
          <w:szCs w:val="24"/>
        </w:rPr>
        <w:t xml:space="preserve"> 3.2.4 ենթակետերում նշված ժամկետն ամբողջությամբ այն դեպքում, երբ սույն հավելվածի 1.7.2 </w:t>
      </w:r>
      <w:r w:rsidR="00C54D75">
        <w:rPr>
          <w:rFonts w:ascii="Sylfaen" w:hAnsi="Sylfaen"/>
          <w:sz w:val="24"/>
          <w:szCs w:val="24"/>
        </w:rPr>
        <w:t>և</w:t>
      </w:r>
      <w:r w:rsidRPr="003B2786">
        <w:rPr>
          <w:rFonts w:ascii="Sylfaen" w:hAnsi="Sylfaen"/>
          <w:sz w:val="24"/>
          <w:szCs w:val="24"/>
        </w:rPr>
        <w:t xml:space="preserve"> 1.7.3 ենթակետերի համաձայն՝ </w:t>
      </w:r>
      <w:r w:rsidR="0056496B">
        <w:rPr>
          <w:rFonts w:ascii="Sylfaen" w:hAnsi="Sylfaen"/>
          <w:sz w:val="24"/>
          <w:szCs w:val="24"/>
        </w:rPr>
        <w:t>դիմումատու</w:t>
      </w:r>
      <w:r w:rsidRPr="003B2786">
        <w:rPr>
          <w:rFonts w:ascii="Sylfaen" w:hAnsi="Sylfaen"/>
          <w:sz w:val="24"/>
          <w:szCs w:val="24"/>
        </w:rPr>
        <w:t>ն ներկայացրել է բազմաթիվ խմբային փոփոխություններ:</w:t>
      </w:r>
    </w:p>
    <w:p w14:paraId="14E2CB0B" w14:textId="69570B3E"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3.2.5.</w:t>
      </w:r>
      <w:r w:rsidRPr="003B2786">
        <w:rPr>
          <w:rFonts w:ascii="Sylfaen" w:hAnsi="Sylfaen"/>
          <w:sz w:val="24"/>
          <w:szCs w:val="24"/>
        </w:rPr>
        <w:tab/>
        <w:t>Եթե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եզրակացության համաձայն՝ փոփոխությունների կատարման մասին </w:t>
      </w:r>
      <w:r w:rsidR="0056496B">
        <w:rPr>
          <w:rFonts w:ascii="Sylfaen" w:hAnsi="Sylfaen"/>
          <w:sz w:val="24"/>
          <w:szCs w:val="24"/>
        </w:rPr>
        <w:t>դիմումատու</w:t>
      </w:r>
      <w:r w:rsidRPr="003B2786">
        <w:rPr>
          <w:rFonts w:ascii="Sylfaen" w:hAnsi="Sylfaen"/>
          <w:sz w:val="24"/>
          <w:szCs w:val="24"/>
        </w:rPr>
        <w:t>ի ծանուցումը չի կարող հաստատվել, ապա ռեֆերենտ</w:t>
      </w:r>
      <w:r w:rsidRPr="003B2786" w:rsidDel="00E61B3B">
        <w:rPr>
          <w:rFonts w:ascii="Sylfaen" w:hAnsi="Sylfaen"/>
          <w:sz w:val="24"/>
          <w:szCs w:val="24"/>
        </w:rPr>
        <w:t xml:space="preserve"> </w:t>
      </w:r>
      <w:r w:rsidRPr="003B2786">
        <w:rPr>
          <w:rFonts w:ascii="Sylfaen" w:hAnsi="Sylfaen"/>
          <w:sz w:val="24"/>
          <w:szCs w:val="24"/>
        </w:rPr>
        <w:lastRenderedPageBreak/>
        <w:t xml:space="preserve">պետության լիազորված մարմինը (փորձագիտական կազմակերպությունը), սույն հավելվածի 3.2.3 ենթակետի համաձայն, էլեկտրոնային կամ թղթային եղանակով դրա մասին ծանուցում է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ճանաչման պետության համապատասխան մարմիններին՝ նշելով բացասական եզրակացության հիմքերը:</w:t>
      </w:r>
    </w:p>
    <w:p w14:paraId="5B941CF7" w14:textId="6D5E25A1"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3.2.6.</w:t>
      </w:r>
      <w:r w:rsidRPr="003B2786">
        <w:rPr>
          <w:rFonts w:ascii="Sylfaen" w:hAnsi="Sylfaen"/>
          <w:sz w:val="24"/>
          <w:szCs w:val="24"/>
        </w:rPr>
        <w:tab/>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3B2786">
        <w:rPr>
          <w:rFonts w:ascii="Sylfaen" w:hAnsi="Sylfaen"/>
          <w:sz w:val="24"/>
          <w:szCs w:val="24"/>
        </w:rPr>
        <w:t>ն իրավունք ունի փոփոխության լրացված դոսյեն կրկին ներկայացնելու ռեֆերենտ</w:t>
      </w:r>
      <w:r w:rsidRPr="003B2786" w:rsidDel="00E61B3B">
        <w:rPr>
          <w:rFonts w:ascii="Sylfaen" w:hAnsi="Sylfaen"/>
          <w:sz w:val="24"/>
          <w:szCs w:val="24"/>
        </w:rPr>
        <w:t xml:space="preserve"> </w:t>
      </w:r>
      <w:r w:rsidRPr="003B2786">
        <w:rPr>
          <w:rFonts w:ascii="Sylfaen" w:hAnsi="Sylfaen"/>
          <w:sz w:val="24"/>
          <w:szCs w:val="24"/>
        </w:rPr>
        <w:t>պետության լիազորված մարմին (փորձագիտական կազմակերպություն)՝ սույն հավելվածի 3.2.5 ենթակետում նշված եզրակացությանը համապատասխան:</w:t>
      </w:r>
    </w:p>
    <w:p w14:paraId="5C2823DE" w14:textId="744FB440"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3.2.7.</w:t>
      </w:r>
      <w:r w:rsidRPr="003B2786">
        <w:rPr>
          <w:rFonts w:ascii="Sylfaen" w:hAnsi="Sylfaen"/>
          <w:sz w:val="24"/>
          <w:szCs w:val="24"/>
        </w:rPr>
        <w:tab/>
        <w:t xml:space="preserve">Եթե </w:t>
      </w:r>
      <w:r w:rsidR="0056496B">
        <w:rPr>
          <w:rFonts w:ascii="Sylfaen" w:hAnsi="Sylfaen"/>
          <w:sz w:val="24"/>
          <w:szCs w:val="24"/>
        </w:rPr>
        <w:t>դիմումատու</w:t>
      </w:r>
      <w:r w:rsidRPr="003B2786">
        <w:rPr>
          <w:rFonts w:ascii="Sylfaen" w:hAnsi="Sylfaen"/>
          <w:sz w:val="24"/>
          <w:szCs w:val="24"/>
        </w:rPr>
        <w:t>ն սույն հավելվածի 3.2.6 կետին համապատասխան չի ներկայացնում լրացված ծանուցում, ապա ծանուցումը ճանաչվում է մերժված:</w:t>
      </w:r>
    </w:p>
    <w:p w14:paraId="0AF4EA52"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3.2.8.</w:t>
      </w:r>
      <w:r w:rsidRPr="003B2786">
        <w:rPr>
          <w:rFonts w:ascii="Sylfaen" w:hAnsi="Sylfaen"/>
          <w:sz w:val="24"/>
          <w:szCs w:val="24"/>
        </w:rPr>
        <w:tab/>
        <w:t>Լրացված ծանուցում ներկայացնելիս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ուսումնասիրում է նորից ներկայացված փաստաթղթերը </w:t>
      </w:r>
      <w:r w:rsidR="00C54D75">
        <w:rPr>
          <w:rFonts w:ascii="Sylfaen" w:hAnsi="Sylfaen"/>
          <w:sz w:val="24"/>
          <w:szCs w:val="24"/>
        </w:rPr>
        <w:t>և</w:t>
      </w:r>
      <w:r w:rsidRPr="003B2786">
        <w:rPr>
          <w:rFonts w:ascii="Sylfaen" w:hAnsi="Sylfaen"/>
          <w:sz w:val="24"/>
          <w:szCs w:val="24"/>
        </w:rPr>
        <w:t xml:space="preserve"> տվյալները ոչ ուշ, քան այն ստանալու օրվանից 30 աշխատանքային օրվա ընթացքում, ինչից հետո կիրառվում են սույն հավելվածի 3.5 կետում նշված միջոցները:</w:t>
      </w:r>
    </w:p>
    <w:p w14:paraId="70CE0A2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3.2.9.</w:t>
      </w:r>
      <w:r w:rsidRPr="003B2786">
        <w:rPr>
          <w:rFonts w:ascii="Sylfaen" w:hAnsi="Sylfaen"/>
          <w:sz w:val="24"/>
          <w:szCs w:val="24"/>
        </w:rPr>
        <w:tab/>
        <w:t xml:space="preserve">Սույն կետը չի կիրառվում, եթե IB տիպի փոփոխության վերաբերյալ հարցումը ներկայացված է II տիպի փոփոխություն ներառող </w:t>
      </w:r>
      <w:r w:rsidR="00C54D75">
        <w:rPr>
          <w:rFonts w:ascii="Sylfaen" w:hAnsi="Sylfaen"/>
          <w:sz w:val="24"/>
          <w:szCs w:val="24"/>
        </w:rPr>
        <w:t>և</w:t>
      </w:r>
      <w:r w:rsidRPr="003B2786">
        <w:rPr>
          <w:rFonts w:ascii="Sylfaen" w:hAnsi="Sylfaen"/>
          <w:sz w:val="24"/>
          <w:szCs w:val="24"/>
        </w:rPr>
        <w:t xml:space="preserve"> գրանցման ընդլայնում չպարունակող փոփոխությունների խմբի կազմում: Այդ դեպքում կիրառվում է սույն հավելվածի 3.3 կետով նախատեսված` փոփոխությունների փորձաքննության ընթացակարգը:</w:t>
      </w:r>
    </w:p>
    <w:p w14:paraId="2B6772A0"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3.2.10.</w:t>
      </w:r>
      <w:r w:rsidRPr="003B2786">
        <w:rPr>
          <w:rFonts w:ascii="Sylfaen" w:hAnsi="Sylfaen"/>
          <w:sz w:val="24"/>
          <w:szCs w:val="24"/>
        </w:rPr>
        <w:tab/>
        <w:t>Սույն կետը չի կիրառվում, եթե IB տիպի փոփոխության վերաբերյալ հարցումը ներկայացված է գրանցման ընդլայնում ներառող փոփոխությունների խմբի կազմում: Այդ դեպքում կիրառվում է սույն հավելվածի 4.1.1 ենթակետով նախատեսված ընթացակարգը:</w:t>
      </w:r>
    </w:p>
    <w:p w14:paraId="3AA5277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p>
    <w:p w14:paraId="6CE8A533"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lastRenderedPageBreak/>
        <w:t xml:space="preserve">3.3. II տիպի էական փոփոխությունների </w:t>
      </w:r>
      <w:r w:rsidRPr="003B2786">
        <w:rPr>
          <w:rFonts w:ascii="Sylfaen" w:hAnsi="Sylfaen"/>
          <w:sz w:val="24"/>
          <w:szCs w:val="24"/>
        </w:rPr>
        <w:br/>
        <w:t>փորձաքննության ընթացակարգը</w:t>
      </w:r>
    </w:p>
    <w:p w14:paraId="3416779C" w14:textId="29240DD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3.3.1.</w:t>
      </w:r>
      <w:r w:rsidRPr="003B2786">
        <w:rPr>
          <w:rFonts w:ascii="Sylfaen" w:hAnsi="Sylfaen"/>
          <w:sz w:val="24"/>
          <w:szCs w:val="24"/>
        </w:rPr>
        <w:tab/>
      </w:r>
      <w:r w:rsidR="0056496B">
        <w:rPr>
          <w:rFonts w:ascii="Sylfaen" w:hAnsi="Sylfaen"/>
          <w:sz w:val="24"/>
          <w:szCs w:val="24"/>
        </w:rPr>
        <w:t>Դիմումատու</w:t>
      </w:r>
      <w:r w:rsidRPr="003B2786">
        <w:rPr>
          <w:rFonts w:ascii="Sylfaen" w:hAnsi="Sylfaen"/>
          <w:sz w:val="24"/>
          <w:szCs w:val="24"/>
        </w:rPr>
        <w:t xml:space="preserve">ն թղթային </w:t>
      </w:r>
      <w:r w:rsidR="00C54D75">
        <w:rPr>
          <w:rFonts w:ascii="Sylfaen" w:hAnsi="Sylfaen"/>
          <w:sz w:val="24"/>
          <w:szCs w:val="24"/>
        </w:rPr>
        <w:t>և</w:t>
      </w:r>
      <w:r w:rsidRPr="003B2786">
        <w:rPr>
          <w:rFonts w:ascii="Sylfaen" w:hAnsi="Sylfaen"/>
          <w:sz w:val="24"/>
          <w:szCs w:val="24"/>
        </w:rPr>
        <w:t xml:space="preserve"> (կամ) էլեկտրոնային կրիչի միջոցով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3B2786">
        <w:rPr>
          <w:rFonts w:ascii="Sylfaen" w:hAnsi="Sylfaen"/>
          <w:sz w:val="24"/>
          <w:szCs w:val="24"/>
        </w:rPr>
        <w:t xml:space="preserve">ը` Դեղամիջոցների գրանցման կանոնների թիվ 2 հավելվածի համաձայն, կամ փոփոխությունների կատարման դիմաց վճարի (տուրքի) վճարումը հաստատող փաստաթղթերը՝ անդամ պետության օրենսդրությանը համապատասխան հաստատված դեպքերում </w:t>
      </w:r>
      <w:r w:rsidR="00C54D75">
        <w:rPr>
          <w:rFonts w:ascii="Sylfaen" w:hAnsi="Sylfaen"/>
          <w:sz w:val="24"/>
          <w:szCs w:val="24"/>
        </w:rPr>
        <w:t>և</w:t>
      </w:r>
      <w:r w:rsidRPr="003B2786">
        <w:rPr>
          <w:rFonts w:ascii="Sylfaen" w:hAnsi="Sylfaen"/>
          <w:sz w:val="24"/>
          <w:szCs w:val="24"/>
        </w:rPr>
        <w:t xml:space="preserve"> կարգով, ինչպես նա</w:t>
      </w:r>
      <w:r w:rsidR="00C54D75">
        <w:rPr>
          <w:rFonts w:ascii="Sylfaen" w:hAnsi="Sylfaen"/>
          <w:sz w:val="24"/>
          <w:szCs w:val="24"/>
        </w:rPr>
        <w:t>և</w:t>
      </w:r>
      <w:r w:rsidRPr="003B2786">
        <w:rPr>
          <w:rFonts w:ascii="Sylfaen" w:hAnsi="Sylfaen"/>
          <w:sz w:val="24"/>
          <w:szCs w:val="24"/>
        </w:rPr>
        <w:t xml:space="preserve"> IV լրացման մեջ նշված տարրերը պարունակող՝ փոփոխության դոսյեն:</w:t>
      </w:r>
    </w:p>
    <w:p w14:paraId="5CF76CAB" w14:textId="245EC056"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Անհրաժեշտության դեպքում </w:t>
      </w:r>
      <w:r w:rsidR="00C54D75">
        <w:rPr>
          <w:rFonts w:ascii="Sylfaen" w:hAnsi="Sylfaen"/>
          <w:sz w:val="24"/>
          <w:szCs w:val="24"/>
        </w:rPr>
        <w:t>և</w:t>
      </w:r>
      <w:r w:rsidRPr="003B2786">
        <w:rPr>
          <w:rFonts w:ascii="Sylfaen" w:hAnsi="Sylfaen"/>
          <w:sz w:val="24"/>
          <w:szCs w:val="24"/>
        </w:rPr>
        <w:t xml:space="preserve"> փորձագիտական կազմակերպության հետ համաձայնեցնելով՝ </w:t>
      </w:r>
      <w:r w:rsidR="0056496B">
        <w:rPr>
          <w:rFonts w:ascii="Sylfaen" w:hAnsi="Sylfaen"/>
          <w:sz w:val="24"/>
          <w:szCs w:val="24"/>
        </w:rPr>
        <w:t>դիմումատու</w:t>
      </w:r>
      <w:r w:rsidRPr="003B2786">
        <w:rPr>
          <w:rFonts w:ascii="Sylfaen" w:hAnsi="Sylfaen"/>
          <w:sz w:val="24"/>
          <w:szCs w:val="24"/>
        </w:rPr>
        <w:t>ն 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3B2786">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3B2786">
        <w:rPr>
          <w:rFonts w:ascii="Sylfaen" w:hAnsi="Sylfaen"/>
          <w:sz w:val="24"/>
          <w:szCs w:val="24"/>
        </w:rPr>
        <w:t xml:space="preserve"> լաբորատոր փորձարկումներ անցկացնելու համար անհրաժեշտ նյութերը:</w:t>
      </w:r>
    </w:p>
    <w:p w14:paraId="1B10C386" w14:textId="44E726A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3.3.2.</w:t>
      </w:r>
      <w:r w:rsidRPr="003B2786">
        <w:rPr>
          <w:rFonts w:ascii="Sylfaen" w:hAnsi="Sylfaen"/>
          <w:sz w:val="24"/>
          <w:szCs w:val="24"/>
        </w:rPr>
        <w:tab/>
        <w:t>Ռեֆերենտ</w:t>
      </w:r>
      <w:r w:rsidRPr="003B2786" w:rsidDel="00E61B3B">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3B2786">
        <w:rPr>
          <w:rFonts w:ascii="Sylfaen" w:hAnsi="Sylfaen"/>
          <w:sz w:val="24"/>
          <w:szCs w:val="24"/>
        </w:rPr>
        <w:t>ը ռեֆերենտ</w:t>
      </w:r>
      <w:r w:rsidRPr="003B2786" w:rsidDel="0093344B">
        <w:rPr>
          <w:rFonts w:ascii="Sylfaen" w:hAnsi="Sylfaen"/>
          <w:sz w:val="24"/>
          <w:szCs w:val="24"/>
        </w:rPr>
        <w:t xml:space="preserve"> </w:t>
      </w:r>
      <w:r w:rsidRPr="003B2786">
        <w:rPr>
          <w:rFonts w:ascii="Sylfaen" w:hAnsi="Sylfaen"/>
          <w:sz w:val="24"/>
          <w:szCs w:val="24"/>
        </w:rPr>
        <w:t xml:space="preserve">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3B2786">
        <w:rPr>
          <w:rFonts w:ascii="Sylfaen" w:hAnsi="Sylfaen"/>
          <w:sz w:val="24"/>
          <w:szCs w:val="24"/>
        </w:rPr>
        <w:t xml:space="preserve"> ձ</w:t>
      </w:r>
      <w:r w:rsidR="00C54D75">
        <w:rPr>
          <w:rFonts w:ascii="Sylfaen" w:hAnsi="Sylfaen"/>
          <w:sz w:val="24"/>
          <w:szCs w:val="24"/>
        </w:rPr>
        <w:t>և</w:t>
      </w:r>
      <w:r w:rsidRPr="003B2786">
        <w:rPr>
          <w:rFonts w:ascii="Sylfaen" w:hAnsi="Sylfaen"/>
          <w:sz w:val="24"/>
          <w:szCs w:val="24"/>
        </w:rPr>
        <w:t>ակերպման ճշտության գնահատում՝ սույն հավելվածի 3.3.1 ենթակետին համապատասխան։</w:t>
      </w:r>
    </w:p>
    <w:p w14:paraId="6D29B8A1" w14:textId="626D6D1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w:t>
      </w:r>
      <w:r w:rsidR="0056496B">
        <w:rPr>
          <w:rFonts w:ascii="Sylfaen" w:hAnsi="Sylfaen"/>
          <w:sz w:val="24"/>
          <w:szCs w:val="24"/>
        </w:rPr>
        <w:t>դիմում</w:t>
      </w:r>
      <w:r w:rsidRPr="003B2786">
        <w:rPr>
          <w:rFonts w:ascii="Sylfaen" w:hAnsi="Sylfaen"/>
          <w:sz w:val="24"/>
          <w:szCs w:val="24"/>
        </w:rPr>
        <w:t xml:space="preserve">ը բավարարում է սույն հավելվածի 3.3.1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3B2786">
        <w:rPr>
          <w:rFonts w:ascii="Sylfaen" w:hAnsi="Sylfaen"/>
          <w:sz w:val="24"/>
          <w:szCs w:val="24"/>
        </w:rPr>
        <w:t>ի ստացումը:</w:t>
      </w:r>
    </w:p>
    <w:p w14:paraId="749CE73B" w14:textId="0440E6F9"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3B2786">
        <w:rPr>
          <w:rFonts w:ascii="Sylfaen" w:hAnsi="Sylfaen"/>
          <w:sz w:val="24"/>
          <w:szCs w:val="24"/>
        </w:rPr>
        <w:t xml:space="preserve">ին տրամադրվում է 90 օրացուցային </w:t>
      </w:r>
      <w:r w:rsidRPr="003B2786">
        <w:rPr>
          <w:rFonts w:ascii="Sylfaen" w:hAnsi="Sylfaen"/>
          <w:sz w:val="24"/>
          <w:szCs w:val="24"/>
        </w:rPr>
        <w:lastRenderedPageBreak/>
        <w:t xml:space="preserve">օրվանից ոչ ավելի, որը չի մտնում դեղապատրաստուկի փորձաքննության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ընթացակարգի ժամկետի մեջ։</w:t>
      </w:r>
    </w:p>
    <w:p w14:paraId="425FAE41" w14:textId="4D86A13F"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93344B">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3B2786">
        <w:rPr>
          <w:rFonts w:ascii="Sylfaen" w:hAnsi="Sylfaen"/>
          <w:sz w:val="24"/>
          <w:szCs w:val="24"/>
        </w:rPr>
        <w:t xml:space="preserve"> (կամ) անդամ պետության օրենսդրությամբ սահմանված դեպքերում </w:t>
      </w:r>
      <w:r w:rsidR="00C54D75">
        <w:rPr>
          <w:rFonts w:ascii="Sylfaen" w:hAnsi="Sylfaen"/>
          <w:sz w:val="24"/>
          <w:szCs w:val="24"/>
        </w:rPr>
        <w:t>և</w:t>
      </w:r>
      <w:r w:rsidRPr="003B2786">
        <w:rPr>
          <w:rFonts w:ascii="Sylfaen" w:hAnsi="Sylfaen"/>
          <w:sz w:val="24"/>
          <w:szCs w:val="24"/>
        </w:rPr>
        <w:t xml:space="preserve"> կարգով փոփոխություններ կատարելու դիմաց վճարի (տուրքի) վճարումը չհաստատելու դեպքում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3B2786">
        <w:rPr>
          <w:rFonts w:ascii="Sylfaen" w:hAnsi="Sylfaen"/>
          <w:sz w:val="24"/>
          <w:szCs w:val="24"/>
        </w:rPr>
        <w:t>ը։</w:t>
      </w:r>
    </w:p>
    <w:p w14:paraId="6BACDC23" w14:textId="26475FCB"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3.3.3.</w:t>
      </w:r>
      <w:r w:rsidRPr="003B2786">
        <w:rPr>
          <w:rFonts w:ascii="Sylfaen" w:hAnsi="Sylfaen"/>
          <w:sz w:val="24"/>
          <w:szCs w:val="24"/>
        </w:rPr>
        <w:tab/>
        <w:t xml:space="preserve">Սույն հավելվածի 3.3.1 ենթակետում նշված՝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ը ստանալու օրվանից ոչ ուշ, քան 60 օրացուցային օրվա ընթացքում լիազորված մարմինը (փորձագիտական կազմակերպությունը) պետք է ավարտի դեղամիջոցի փորձաքննությունը </w:t>
      </w:r>
      <w:r w:rsidR="00C54D75">
        <w:rPr>
          <w:rFonts w:ascii="Sylfaen" w:hAnsi="Sylfaen"/>
          <w:sz w:val="24"/>
          <w:szCs w:val="24"/>
        </w:rPr>
        <w:t>և</w:t>
      </w:r>
      <w:r w:rsidRPr="003B2786">
        <w:rPr>
          <w:rFonts w:ascii="Sylfaen" w:hAnsi="Sylfaen"/>
          <w:sz w:val="24"/>
          <w:szCs w:val="24"/>
        </w:rPr>
        <w:t xml:space="preserve"> պատրաստի գնահատման վերաբերյալ փորձագիտական հաշվետվություն:</w:t>
      </w:r>
    </w:p>
    <w:p w14:paraId="61861376"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3.3.4.</w:t>
      </w:r>
      <w:r w:rsidRPr="003B2786">
        <w:rPr>
          <w:rFonts w:ascii="Sylfaen" w:hAnsi="Sylfaen"/>
          <w:sz w:val="24"/>
          <w:szCs w:val="24"/>
        </w:rPr>
        <w:tab/>
        <w:t>Լիազորված մարմինը (փորձագիտական կազմակերպությունը) իրավունք ունի կրճատելու սույն հավելվածի 3.3.3 ենթակետում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ափոխման կամ կիրառման նոր ցուցումներ ներառելու հիմքում ընկած փոփոխություններով կամ փոփոխությունների խմբով պայմանավորված՝ սույն հավելվածի 3.4.2 ենթակետի երրորդ պարբերությանը համապատասխան:</w:t>
      </w:r>
    </w:p>
    <w:p w14:paraId="6FA593AB"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3.3.5.</w:t>
      </w:r>
      <w:r w:rsidRPr="003B2786">
        <w:rPr>
          <w:rFonts w:ascii="Sylfaen" w:hAnsi="Sylfaen"/>
          <w:sz w:val="24"/>
          <w:szCs w:val="24"/>
        </w:rPr>
        <w:tab/>
        <w:t>I լրացման 2-րդ բաժնում թվարկված փոփոխությունների մասով սույն հավելվածի 3.3.3 ենթակետում նշված փորձաքննության ժամկետը կազմում է 90 օրացուցային օրվանից ոչ ավելի:</w:t>
      </w:r>
    </w:p>
    <w:p w14:paraId="3E1F065A" w14:textId="442E6862"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3.3.6.</w:t>
      </w:r>
      <w:r w:rsidRPr="003B2786">
        <w:rPr>
          <w:rFonts w:ascii="Sylfaen" w:hAnsi="Sylfaen"/>
          <w:sz w:val="24"/>
          <w:szCs w:val="24"/>
        </w:rPr>
        <w:tab/>
        <w:t xml:space="preserve">Սույն հավելվածի 3.3.3-3.3.5 ենթակետերում նշված ժամկետի ընթացքում լիազորված մարմինը (փորձագիտական կազմակերպությունը) իրավունք ունի այն պակասող լրացուցիչ տեղեկատվության, անհրաժեշտ պարզաբանումների կամ ներկայացված փաստաթղթերի </w:t>
      </w:r>
      <w:r w:rsidR="00C54D75">
        <w:rPr>
          <w:rFonts w:ascii="Sylfaen" w:hAnsi="Sylfaen"/>
          <w:sz w:val="24"/>
          <w:szCs w:val="24"/>
        </w:rPr>
        <w:t>և</w:t>
      </w:r>
      <w:r w:rsidRPr="003B2786">
        <w:rPr>
          <w:rFonts w:ascii="Sylfaen" w:hAnsi="Sylfaen"/>
          <w:sz w:val="24"/>
          <w:szCs w:val="24"/>
        </w:rPr>
        <w:t xml:space="preserve"> գրանցման դոսյեի </w:t>
      </w:r>
      <w:r w:rsidRPr="003B2786">
        <w:rPr>
          <w:rFonts w:ascii="Sylfaen" w:hAnsi="Sylfaen"/>
          <w:sz w:val="24"/>
          <w:szCs w:val="24"/>
        </w:rPr>
        <w:lastRenderedPageBreak/>
        <w:t xml:space="preserve">տվյալների ճշտումների մասին </w:t>
      </w:r>
      <w:r w:rsidR="0056496B">
        <w:rPr>
          <w:rFonts w:ascii="Sylfaen" w:hAnsi="Sylfaen"/>
          <w:sz w:val="24"/>
          <w:szCs w:val="24"/>
        </w:rPr>
        <w:t>դիմումատու</w:t>
      </w:r>
      <w:r w:rsidRPr="003B2786">
        <w:rPr>
          <w:rFonts w:ascii="Sylfaen" w:hAnsi="Sylfaen"/>
          <w:sz w:val="24"/>
          <w:szCs w:val="24"/>
        </w:rPr>
        <w:t xml:space="preserve">ին գրավոր </w:t>
      </w:r>
      <w:r w:rsidR="00C54D75">
        <w:rPr>
          <w:rFonts w:ascii="Sylfaen" w:hAnsi="Sylfaen"/>
          <w:sz w:val="24"/>
          <w:szCs w:val="24"/>
        </w:rPr>
        <w:t>և</w:t>
      </w:r>
      <w:r w:rsidRPr="003B2786">
        <w:rPr>
          <w:rFonts w:ascii="Sylfaen" w:hAnsi="Sylfaen"/>
          <w:sz w:val="24"/>
          <w:szCs w:val="24"/>
        </w:rPr>
        <w:t xml:space="preserve"> (կամ) էլեկտրոնային եղանակով հարցում (այդ թվում՝ 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մասին առաջարկություններ) ուղարկելու:</w:t>
      </w:r>
    </w:p>
    <w:p w14:paraId="47436EA8" w14:textId="6E22086B"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Նշված հարցման պատասխանը </w:t>
      </w:r>
      <w:r w:rsidR="0056496B">
        <w:rPr>
          <w:rFonts w:ascii="Sylfaen" w:hAnsi="Sylfaen"/>
          <w:sz w:val="24"/>
          <w:szCs w:val="24"/>
        </w:rPr>
        <w:t>դիմումատու</w:t>
      </w:r>
      <w:r w:rsidRPr="003B2786">
        <w:rPr>
          <w:rFonts w:ascii="Sylfaen" w:hAnsi="Sylfaen"/>
          <w:sz w:val="24"/>
          <w:szCs w:val="24"/>
        </w:rPr>
        <w:t>ի կողմից ներկայացնելու ժամկետը չպետք է գերազանցի 90 օրացուցային օրը:</w:t>
      </w:r>
    </w:p>
    <w:p w14:paraId="00F8F335" w14:textId="522DF345"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 կողմից լիազորված մարմնի կամ փորձագիտական կազմակերպության հարցմամբ փաստաթղթերը ներկայացնելու ժամանակը չի մտնում փորձաքննությունն ու փոփոխությունների կատարման ընթացակարգն իրականացնելու ժամկետի մեջ:</w:t>
      </w:r>
    </w:p>
    <w:p w14:paraId="6996F95D" w14:textId="27D01B43"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Հարցված փաստաթղթերը </w:t>
      </w:r>
      <w:r w:rsidR="00C54D75">
        <w:rPr>
          <w:rFonts w:ascii="Sylfaen" w:hAnsi="Sylfaen"/>
          <w:sz w:val="24"/>
          <w:szCs w:val="24"/>
        </w:rPr>
        <w:t>և</w:t>
      </w:r>
      <w:r w:rsidRPr="003B2786">
        <w:rPr>
          <w:rFonts w:ascii="Sylfaen" w:hAnsi="Sylfaen"/>
          <w:sz w:val="24"/>
          <w:szCs w:val="24"/>
        </w:rPr>
        <w:t xml:space="preserve"> տվյալները սահմանված ժամկետում </w:t>
      </w:r>
      <w:r w:rsidR="0056496B">
        <w:rPr>
          <w:rFonts w:ascii="Sylfaen" w:hAnsi="Sylfaen"/>
          <w:sz w:val="24"/>
          <w:szCs w:val="24"/>
        </w:rPr>
        <w:t>դիմումատու</w:t>
      </w:r>
      <w:r w:rsidRPr="003B2786">
        <w:rPr>
          <w:rFonts w:ascii="Sylfaen" w:hAnsi="Sylfaen"/>
          <w:sz w:val="24"/>
          <w:szCs w:val="24"/>
        </w:rPr>
        <w:t xml:space="preserve">ի կողմից չներկայացնելու դեպքում փորձաքննությունը </w:t>
      </w:r>
      <w:r w:rsidR="00C54D75">
        <w:rPr>
          <w:rFonts w:ascii="Sylfaen" w:hAnsi="Sylfaen"/>
          <w:sz w:val="24"/>
          <w:szCs w:val="24"/>
        </w:rPr>
        <w:t>և</w:t>
      </w:r>
      <w:r w:rsidRPr="003B2786">
        <w:rPr>
          <w:rFonts w:ascii="Sylfaen" w:hAnsi="Sylfaen"/>
          <w:sz w:val="24"/>
          <w:szCs w:val="24"/>
        </w:rPr>
        <w:t xml:space="preserve"> փոփոխությունների կատարման ընթացակարգը դադարեցվում են: Կայացրած որոշման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(փորձագիտական կազմակերպությունը) այդ որոշումը կայացնելու օրվանից 10 աշխատանքային օրվա ընթացքում գրավոր </w:t>
      </w:r>
      <w:r w:rsidR="00C54D75">
        <w:rPr>
          <w:rFonts w:ascii="Sylfaen" w:hAnsi="Sylfaen"/>
          <w:sz w:val="24"/>
          <w:szCs w:val="24"/>
        </w:rPr>
        <w:t>և</w:t>
      </w:r>
      <w:r w:rsidRPr="003B2786">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3B2786">
        <w:rPr>
          <w:rFonts w:ascii="Sylfaen" w:hAnsi="Sylfaen"/>
          <w:sz w:val="24"/>
          <w:szCs w:val="24"/>
        </w:rPr>
        <w:t>ին:</w:t>
      </w:r>
    </w:p>
    <w:p w14:paraId="5FE95F11"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3.3.7.</w:t>
      </w:r>
      <w:r w:rsidRPr="003B2786">
        <w:rPr>
          <w:rFonts w:ascii="Sylfaen" w:hAnsi="Sylfaen"/>
          <w:sz w:val="24"/>
          <w:szCs w:val="24"/>
        </w:rPr>
        <w:tab/>
        <w:t>Փորձաքննությունն ավարտելու օրվանից 10 աշխատանքային օրվա ընթացքում ձեռնարկվում են սույն հավելվածի 3.5 կետում նշված միջոցները:</w:t>
      </w:r>
    </w:p>
    <w:p w14:paraId="16F10544" w14:textId="61E470A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Այն դեպքում, երբ սույն հավելվածի 1.6 կետի համաձայն փոփոխությունները հանգեցնում են դեղապատրաստուկի մասին տեղեկատվության վերանայման,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մարմինը փորձաքննությունն ավարտելու օրվանից 10 աշխատանքային օրվա ընթացքում փոփոխությունների կատարման մասին տեղեկությունները տեղադրում է միասնական ռեեստրում՝ կից ներկայացնելով դեղապատրաստուկի փոփոխված </w:t>
      </w:r>
      <w:r w:rsidR="00C54D75">
        <w:rPr>
          <w:rFonts w:ascii="Sylfaen" w:hAnsi="Sylfaen"/>
          <w:sz w:val="24"/>
          <w:szCs w:val="24"/>
        </w:rPr>
        <w:t>և</w:t>
      </w:r>
      <w:r w:rsidRPr="003B2786">
        <w:rPr>
          <w:rFonts w:ascii="Sylfaen" w:hAnsi="Sylfaen"/>
          <w:sz w:val="24"/>
          <w:szCs w:val="24"/>
        </w:rPr>
        <w:t xml:space="preserve"> հաստատված ընդհանուր բնութագիրը, բժշկական կիրառման հրահանգը, փաթեթվածքների </w:t>
      </w:r>
      <w:r w:rsidRPr="003B2786">
        <w:rPr>
          <w:rFonts w:ascii="Sylfaen" w:hAnsi="Sylfaen"/>
          <w:sz w:val="24"/>
          <w:szCs w:val="24"/>
        </w:rPr>
        <w:lastRenderedPageBreak/>
        <w:t>մանրակերտերը, որակի նորմատիվ փաստաթուղթը, ինչպես նա</w:t>
      </w:r>
      <w:r w:rsidR="00C54D75">
        <w:rPr>
          <w:rFonts w:ascii="Sylfaen" w:hAnsi="Sylfaen"/>
          <w:sz w:val="24"/>
          <w:szCs w:val="24"/>
        </w:rPr>
        <w:t>և</w:t>
      </w:r>
      <w:r w:rsidRPr="003B2786">
        <w:rPr>
          <w:rFonts w:ascii="Sylfaen" w:hAnsi="Sylfaen"/>
          <w:sz w:val="24"/>
          <w:szCs w:val="24"/>
        </w:rPr>
        <w:t xml:space="preserve"> </w:t>
      </w:r>
      <w:r w:rsidR="0056496B">
        <w:rPr>
          <w:rFonts w:ascii="Sylfaen" w:hAnsi="Sylfaen"/>
          <w:sz w:val="24"/>
          <w:szCs w:val="24"/>
        </w:rPr>
        <w:t>դիմումատու</w:t>
      </w:r>
      <w:r w:rsidRPr="003B2786">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763BF5F" w14:textId="2A28DD29"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Լիազորված մարմինն իրավունք ունի մինչ</w:t>
      </w:r>
      <w:r w:rsidR="00C54D75">
        <w:rPr>
          <w:rFonts w:ascii="Sylfaen" w:hAnsi="Sylfaen"/>
          <w:sz w:val="24"/>
          <w:szCs w:val="24"/>
        </w:rPr>
        <w:t>և</w:t>
      </w:r>
      <w:r w:rsidRPr="003B2786">
        <w:rPr>
          <w:rFonts w:ascii="Sylfaen" w:hAnsi="Sylfaen"/>
          <w:sz w:val="24"/>
          <w:szCs w:val="24"/>
        </w:rPr>
        <w:t xml:space="preserve"> 30 օրացուցային օր երկարաձգելու սույն ենթակետի երկրորդ պարբերության մեջ նշված ժամկետն այն դեպքում, երբ </w:t>
      </w:r>
      <w:r w:rsidR="0056496B">
        <w:rPr>
          <w:rFonts w:ascii="Sylfaen" w:hAnsi="Sylfaen"/>
          <w:sz w:val="24"/>
          <w:szCs w:val="24"/>
        </w:rPr>
        <w:t>դիմումատու</w:t>
      </w:r>
      <w:r w:rsidRPr="003B2786">
        <w:rPr>
          <w:rFonts w:ascii="Sylfaen" w:hAnsi="Sylfaen"/>
          <w:sz w:val="24"/>
          <w:szCs w:val="24"/>
        </w:rPr>
        <w:t xml:space="preserve">ն ներկայացրել է խմբային փոփոխություններ՝ համաձայն սույն հավելվածի 1.7.2 </w:t>
      </w:r>
      <w:r w:rsidR="00C54D75">
        <w:rPr>
          <w:rFonts w:ascii="Sylfaen" w:hAnsi="Sylfaen"/>
          <w:sz w:val="24"/>
          <w:szCs w:val="24"/>
        </w:rPr>
        <w:t>և</w:t>
      </w:r>
      <w:r w:rsidRPr="003B2786">
        <w:rPr>
          <w:rFonts w:ascii="Sylfaen" w:hAnsi="Sylfaen"/>
          <w:sz w:val="24"/>
          <w:szCs w:val="24"/>
        </w:rPr>
        <w:t xml:space="preserve"> 1.7.3 կետերի:</w:t>
      </w:r>
    </w:p>
    <w:p w14:paraId="08B165CC"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3.3.8.</w:t>
      </w:r>
      <w:r w:rsidRPr="003B2786">
        <w:rPr>
          <w:rFonts w:ascii="Sylfaen" w:hAnsi="Sylfaen"/>
          <w:sz w:val="24"/>
          <w:szCs w:val="24"/>
        </w:rPr>
        <w:tab/>
        <w:t>Սույն բաժինը չի կիրառվում, եթե II տիպի փոփոխության վերաբերյալ հարցումը ներկայացված է դեղապատրաստուկի գրանցման ընդլայնում ներառող՝ փոփոխությունների խմբի կազմում: Այդ դեպքում կիրառվում է 4.1.1 ենթակետով նախատեսված ընթացակարգը:</w:t>
      </w:r>
    </w:p>
    <w:p w14:paraId="189B0520" w14:textId="77777777" w:rsidR="008C76E0" w:rsidRPr="003B2786" w:rsidRDefault="008C76E0" w:rsidP="00593820">
      <w:pPr>
        <w:tabs>
          <w:tab w:val="left" w:pos="1418"/>
        </w:tabs>
        <w:spacing w:after="160" w:line="360" w:lineRule="auto"/>
        <w:ind w:firstLine="567"/>
        <w:jc w:val="both"/>
        <w:rPr>
          <w:rFonts w:ascii="Sylfaen" w:hAnsi="Sylfaen"/>
          <w:sz w:val="24"/>
          <w:szCs w:val="24"/>
        </w:rPr>
      </w:pPr>
    </w:p>
    <w:p w14:paraId="0E205114"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3.4. Բացառապես ռեֆերենտ</w:t>
      </w:r>
      <w:r w:rsidRPr="003B2786" w:rsidDel="00233C52">
        <w:rPr>
          <w:rFonts w:ascii="Sylfaen" w:hAnsi="Sylfaen"/>
          <w:sz w:val="24"/>
          <w:szCs w:val="24"/>
        </w:rPr>
        <w:t xml:space="preserve"> </w:t>
      </w:r>
      <w:r w:rsidRPr="003B2786">
        <w:rPr>
          <w:rFonts w:ascii="Sylfaen" w:hAnsi="Sylfaen"/>
          <w:sz w:val="24"/>
          <w:szCs w:val="24"/>
        </w:rPr>
        <w:t>պետությունում գրանցված դեղապատրաստուկների գրանցման դոսյեի մեջ կատարվող փոփոխությունների խմբավորումը</w:t>
      </w:r>
    </w:p>
    <w:p w14:paraId="08D32571" w14:textId="02915ED8"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3.4.1.</w:t>
      </w:r>
      <w:r w:rsidRPr="003B2786">
        <w:rPr>
          <w:rFonts w:ascii="Sylfaen" w:hAnsi="Sylfaen"/>
          <w:sz w:val="24"/>
          <w:szCs w:val="24"/>
        </w:rPr>
        <w:tab/>
        <w:t xml:space="preserve">Մի քանի փոփոխությունների մասին ծանուցելիս կամ փոփոխությունների կատարման մի քանի </w:t>
      </w:r>
      <w:r w:rsidR="0056496B">
        <w:rPr>
          <w:rFonts w:ascii="Sylfaen" w:hAnsi="Sylfaen"/>
          <w:sz w:val="24"/>
          <w:szCs w:val="24"/>
        </w:rPr>
        <w:t>դիմում</w:t>
      </w:r>
      <w:r w:rsidRPr="003B2786">
        <w:rPr>
          <w:rFonts w:ascii="Sylfaen" w:hAnsi="Sylfaen"/>
          <w:sz w:val="24"/>
          <w:szCs w:val="24"/>
        </w:rPr>
        <w:t xml:space="preserve"> ներկայացնելիս անհրաժեշտ է յուրաքանչյուր փոփոխության մասով ներկայացնել առանձին ծանուցում կամ փոփոխության դոսյե՝ սույն հավելվածի 3.1, 3.2, 3.3 կետերին կամ սույն հավելվածի 4.1.1 ենթակետին համապատասխան:</w:t>
      </w:r>
    </w:p>
    <w:p w14:paraId="275003DE"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3.4.2.</w:t>
      </w:r>
      <w:r w:rsidRPr="003B2786">
        <w:rPr>
          <w:rFonts w:ascii="Sylfaen" w:hAnsi="Sylfaen"/>
          <w:sz w:val="24"/>
          <w:szCs w:val="24"/>
        </w:rPr>
        <w:tab/>
        <w:t>Սույն հավելվածի 3.4.1 կետից բացառման կարգով կիրառվում է հետ</w:t>
      </w:r>
      <w:r w:rsidR="00C54D75">
        <w:rPr>
          <w:rFonts w:ascii="Sylfaen" w:hAnsi="Sylfaen"/>
          <w:sz w:val="24"/>
          <w:szCs w:val="24"/>
        </w:rPr>
        <w:t>և</w:t>
      </w:r>
      <w:r w:rsidRPr="003B2786">
        <w:rPr>
          <w:rFonts w:ascii="Sylfaen" w:hAnsi="Sylfaen"/>
          <w:sz w:val="24"/>
          <w:szCs w:val="24"/>
        </w:rPr>
        <w:t>յալը՝</w:t>
      </w:r>
    </w:p>
    <w:p w14:paraId="43B12EBE" w14:textId="2622F39F"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մեկ կամ ավելի այն դեղապատրաստուկների գրանցման պայմանների՝ IA տիպի միանման ոչ էական փոփոխությունների մասին մի</w:t>
      </w:r>
      <w:r w:rsidR="00C54D75">
        <w:rPr>
          <w:rFonts w:ascii="Sylfaen" w:hAnsi="Sylfaen"/>
          <w:sz w:val="24"/>
          <w:szCs w:val="24"/>
        </w:rPr>
        <w:t>և</w:t>
      </w:r>
      <w:r w:rsidRPr="003B2786">
        <w:rPr>
          <w:rFonts w:ascii="Sylfaen" w:hAnsi="Sylfaen"/>
          <w:sz w:val="24"/>
          <w:szCs w:val="24"/>
        </w:rPr>
        <w:t xml:space="preserve">նույն լիազորված մարմնին (փորձագիտական կազմակերպությանը) միաժամանակ ծանուցելու </w:t>
      </w:r>
      <w:r w:rsidRPr="003B2786">
        <w:rPr>
          <w:rFonts w:ascii="Sylfaen" w:hAnsi="Sylfaen"/>
          <w:sz w:val="24"/>
          <w:szCs w:val="24"/>
        </w:rPr>
        <w:lastRenderedPageBreak/>
        <w:t xml:space="preserve">դեպքում, որոնց իրավատերը մեկ կազմակերպություն է, թույլատրվում է բոլոր այդպիսի փոփոխությունները ներառել փոփոխությունների կատարման մեկ </w:t>
      </w:r>
      <w:r w:rsidR="0056496B">
        <w:rPr>
          <w:rFonts w:ascii="Sylfaen" w:hAnsi="Sylfaen"/>
          <w:sz w:val="24"/>
          <w:szCs w:val="24"/>
        </w:rPr>
        <w:t>դիմում</w:t>
      </w:r>
      <w:r w:rsidRPr="003B2786">
        <w:rPr>
          <w:rFonts w:ascii="Sylfaen" w:hAnsi="Sylfaen"/>
          <w:sz w:val="24"/>
          <w:szCs w:val="24"/>
        </w:rPr>
        <w:t xml:space="preserve">ի մեջ </w:t>
      </w:r>
      <w:r w:rsidR="00C54D75">
        <w:rPr>
          <w:rFonts w:ascii="Sylfaen" w:hAnsi="Sylfaen"/>
          <w:sz w:val="24"/>
          <w:szCs w:val="24"/>
        </w:rPr>
        <w:t>և</w:t>
      </w:r>
      <w:r w:rsidRPr="003B2786">
        <w:rPr>
          <w:rFonts w:ascii="Sylfaen" w:hAnsi="Sylfaen"/>
          <w:sz w:val="24"/>
          <w:szCs w:val="24"/>
        </w:rPr>
        <w:t xml:space="preserve"> սույն հավելվածի 3.1 կետում նշված ծանուցման մեջ.</w:t>
      </w:r>
    </w:p>
    <w:p w14:paraId="7F5B19B8"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դեղապատրաստուկի գրանցման պայմանների մի քանի փոփոխությունների մասին միաժամանակ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ծանուցելու դեպքում թույլատրվում է բոլոր այդպիսի փոփոխությունները ներառել փոփոխությունների կատարման մեկ դոսյեի մեջ, եթե III լրացման մեջ թվարկված պայմաններից որ</w:t>
      </w:r>
      <w:r w:rsidR="00C54D75">
        <w:rPr>
          <w:rFonts w:ascii="Sylfaen" w:hAnsi="Sylfaen"/>
          <w:sz w:val="24"/>
          <w:szCs w:val="24"/>
        </w:rPr>
        <w:t>և</w:t>
      </w:r>
      <w:r w:rsidRPr="003B2786">
        <w:rPr>
          <w:rFonts w:ascii="Sylfaen" w:hAnsi="Sylfaen"/>
          <w:sz w:val="24"/>
          <w:szCs w:val="24"/>
        </w:rPr>
        <w:t>է մեկը տարածվում է բոլոր դիտարկվող փոփոխությունների վրա.</w:t>
      </w:r>
    </w:p>
    <w:p w14:paraId="64F69ADB"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մի</w:t>
      </w:r>
      <w:r w:rsidR="00C54D75">
        <w:rPr>
          <w:rFonts w:ascii="Sylfaen" w:hAnsi="Sylfaen"/>
          <w:sz w:val="24"/>
          <w:szCs w:val="24"/>
        </w:rPr>
        <w:t>և</w:t>
      </w:r>
      <w:r w:rsidRPr="003B2786">
        <w:rPr>
          <w:rFonts w:ascii="Sylfaen" w:hAnsi="Sylfaen"/>
          <w:sz w:val="24"/>
          <w:szCs w:val="24"/>
        </w:rPr>
        <w:t>նույն այն դեղապատրաստուկի գրանցման պայմանների փոփոխությունների մասին մի</w:t>
      </w:r>
      <w:r w:rsidR="00C54D75">
        <w:rPr>
          <w:rFonts w:ascii="Sylfaen" w:hAnsi="Sylfaen"/>
          <w:sz w:val="24"/>
          <w:szCs w:val="24"/>
        </w:rPr>
        <w:t>և</w:t>
      </w:r>
      <w:r w:rsidRPr="003B2786">
        <w:rPr>
          <w:rFonts w:ascii="Sylfaen" w:hAnsi="Sylfaen"/>
          <w:sz w:val="24"/>
          <w:szCs w:val="24"/>
        </w:rPr>
        <w:t>նույն լիազորված մարմնին (փորձագիտական կազմակերպությանը) միաժամանակ ծանուցելու դեպքում, որի իրավատերը սույն ենթակետում թվարկված պայմաններին չբավարարող մեկ կազմակերպություն է, թույլատրվում է լիազորված մարմնի (փորձագիտական կազմակերպության) համաձայնությամբ բոլոր այդպիսի փոփոխությունները ներառել փոփոխության մեկ դոսյեի մեջ:</w:t>
      </w:r>
    </w:p>
    <w:p w14:paraId="639FBCDE"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3.4.3.</w:t>
      </w:r>
      <w:r w:rsidRPr="003B2786">
        <w:rPr>
          <w:rFonts w:ascii="Sylfaen" w:hAnsi="Sylfaen"/>
          <w:sz w:val="24"/>
          <w:szCs w:val="24"/>
        </w:rPr>
        <w:tab/>
        <w:t xml:space="preserve">Սույն հավելվածի 3.4.2 ենթակետի երկրորդ </w:t>
      </w:r>
      <w:r w:rsidR="00C54D75">
        <w:rPr>
          <w:rFonts w:ascii="Sylfaen" w:hAnsi="Sylfaen"/>
          <w:sz w:val="24"/>
          <w:szCs w:val="24"/>
        </w:rPr>
        <w:t>և</w:t>
      </w:r>
      <w:r w:rsidRPr="003B2786">
        <w:rPr>
          <w:rFonts w:ascii="Sylfaen" w:hAnsi="Sylfaen"/>
          <w:sz w:val="24"/>
          <w:szCs w:val="24"/>
        </w:rPr>
        <w:t xml:space="preserve"> երրորդ պարբերություններին համապատասխան՝ փաստաթղթերի տրամադրումն իրականացվում է հետ</w:t>
      </w:r>
      <w:r w:rsidR="00C54D75">
        <w:rPr>
          <w:rFonts w:ascii="Sylfaen" w:hAnsi="Sylfaen"/>
          <w:sz w:val="24"/>
          <w:szCs w:val="24"/>
        </w:rPr>
        <w:t>և</w:t>
      </w:r>
      <w:r w:rsidRPr="003B2786">
        <w:rPr>
          <w:rFonts w:ascii="Sylfaen" w:hAnsi="Sylfaen"/>
          <w:sz w:val="24"/>
          <w:szCs w:val="24"/>
        </w:rPr>
        <w:t>յալ եղանակով՝</w:t>
      </w:r>
    </w:p>
    <w:p w14:paraId="021D6D6A" w14:textId="77777777"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3.2 կետին համապատասխան միասնական ծանուցում (փոփոխության դոսյե), եթե փոփոխություններից առնվազն մեկը IB տիպի ոչ էական փոփոխություն է, </w:t>
      </w:r>
      <w:r w:rsidR="00C54D75">
        <w:rPr>
          <w:rFonts w:ascii="Sylfaen" w:hAnsi="Sylfaen"/>
          <w:sz w:val="24"/>
          <w:szCs w:val="24"/>
        </w:rPr>
        <w:t>և</w:t>
      </w:r>
      <w:r w:rsidRPr="003B2786">
        <w:rPr>
          <w:rFonts w:ascii="Sylfaen" w:hAnsi="Sylfaen"/>
          <w:sz w:val="24"/>
          <w:szCs w:val="24"/>
        </w:rPr>
        <w:t xml:space="preserve"> բոլոր փոփոխությունները ոչ էական են.</w:t>
      </w:r>
    </w:p>
    <w:p w14:paraId="3DFB2A0A" w14:textId="7242090A"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t xml:space="preserve">սույն հավելվածի 3.3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xml:space="preserve">, եթե փոփոխություններից առնվազն մեկը II տիպի էական փոփոխություն է, </w:t>
      </w:r>
      <w:r w:rsidR="00C54D75">
        <w:rPr>
          <w:rFonts w:ascii="Sylfaen" w:hAnsi="Sylfaen"/>
          <w:sz w:val="24"/>
          <w:szCs w:val="24"/>
        </w:rPr>
        <w:t>և</w:t>
      </w:r>
      <w:r w:rsidRPr="003B2786">
        <w:rPr>
          <w:rFonts w:ascii="Sylfaen" w:hAnsi="Sylfaen"/>
          <w:sz w:val="24"/>
          <w:szCs w:val="24"/>
        </w:rPr>
        <w:t xml:space="preserve"> փոփոխություններից ոչ մեկը որպես գրանցման ընդլայնում հանդես չի գալիս.</w:t>
      </w:r>
    </w:p>
    <w:p w14:paraId="678893C1" w14:textId="4450317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սույն հավելվածի 4.1.1 կետին համապատասխան փոփոխությունների կատարման միասնական </w:t>
      </w:r>
      <w:r w:rsidR="0056496B">
        <w:rPr>
          <w:rFonts w:ascii="Sylfaen" w:hAnsi="Sylfaen"/>
          <w:sz w:val="24"/>
          <w:szCs w:val="24"/>
        </w:rPr>
        <w:t>դիմում</w:t>
      </w:r>
      <w:r w:rsidRPr="003B2786">
        <w:rPr>
          <w:rFonts w:ascii="Sylfaen" w:hAnsi="Sylfaen"/>
          <w:sz w:val="24"/>
          <w:szCs w:val="24"/>
        </w:rPr>
        <w:t>, եթե փոփոխություններից առնվազն մեկը հանդես է գալիս որպես գրանցման ընդլայնում:</w:t>
      </w:r>
    </w:p>
    <w:p w14:paraId="7D9946F3" w14:textId="77777777" w:rsidR="008C76E0" w:rsidRPr="003B2786" w:rsidRDefault="008C76E0" w:rsidP="00593820">
      <w:pPr>
        <w:spacing w:after="160" w:line="360" w:lineRule="auto"/>
        <w:ind w:right="-1" w:firstLine="567"/>
        <w:jc w:val="both"/>
        <w:rPr>
          <w:rFonts w:ascii="Sylfaen" w:hAnsi="Sylfaen"/>
          <w:sz w:val="24"/>
          <w:szCs w:val="24"/>
        </w:rPr>
      </w:pPr>
    </w:p>
    <w:p w14:paraId="7C43D16F"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3.5. Սույն հավելվածի 3.1-3.3 կետերով նախատեսված ընթացակարգերի եզրափակման համար անհրաժեշտ միջոցները</w:t>
      </w:r>
    </w:p>
    <w:p w14:paraId="50C68496" w14:textId="77777777" w:rsidR="008C76E0" w:rsidRPr="003B2786" w:rsidRDefault="008C76E0" w:rsidP="00593820">
      <w:pPr>
        <w:tabs>
          <w:tab w:val="left" w:pos="1701"/>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3.5.1.</w:t>
      </w:r>
      <w:r w:rsidRPr="003B2786">
        <w:rPr>
          <w:rFonts w:ascii="Sylfaen" w:hAnsi="Sylfaen"/>
          <w:spacing w:val="-4"/>
          <w:sz w:val="24"/>
          <w:szCs w:val="24"/>
        </w:rPr>
        <w:tab/>
        <w:t xml:space="preserve">Վկայակոչելով սույն բաժինը՝ </w:t>
      </w:r>
      <w:r w:rsidRPr="003B2786">
        <w:rPr>
          <w:rFonts w:ascii="Sylfaen" w:hAnsi="Sylfaen"/>
          <w:sz w:val="24"/>
          <w:szCs w:val="24"/>
        </w:rPr>
        <w:t>ռեֆերենտ</w:t>
      </w:r>
      <w:r w:rsidRPr="003B2786" w:rsidDel="00233C52">
        <w:rPr>
          <w:rFonts w:ascii="Sylfaen" w:hAnsi="Sylfaen"/>
          <w:spacing w:val="-4"/>
          <w:sz w:val="24"/>
          <w:szCs w:val="24"/>
        </w:rPr>
        <w:t xml:space="preserve"> </w:t>
      </w:r>
      <w:r w:rsidRPr="003B2786">
        <w:rPr>
          <w:rFonts w:ascii="Sylfaen" w:hAnsi="Sylfaen"/>
          <w:spacing w:val="-4"/>
          <w:sz w:val="24"/>
          <w:szCs w:val="24"/>
        </w:rPr>
        <w:t>պետության լիազորված մարմինը (փորձագիտական կազմակերպությունը) պետք է ձեռնարկի հետ</w:t>
      </w:r>
      <w:r w:rsidR="00C54D75">
        <w:rPr>
          <w:rFonts w:ascii="Sylfaen" w:hAnsi="Sylfaen"/>
          <w:spacing w:val="-4"/>
          <w:sz w:val="24"/>
          <w:szCs w:val="24"/>
        </w:rPr>
        <w:t>և</w:t>
      </w:r>
      <w:r w:rsidRPr="003B2786">
        <w:rPr>
          <w:rFonts w:ascii="Sylfaen" w:hAnsi="Sylfaen"/>
          <w:spacing w:val="-4"/>
          <w:sz w:val="24"/>
          <w:szCs w:val="24"/>
        </w:rPr>
        <w:t>յալ միջոցները՝</w:t>
      </w:r>
    </w:p>
    <w:p w14:paraId="6AD952AB" w14:textId="666CFDBB"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ին ծանուցի փոփոխությունն ընդունելու (հաստատելու) կամ հաստատումը մերժելու մասին.</w:t>
      </w:r>
    </w:p>
    <w:p w14:paraId="2E4564B5" w14:textId="34306F4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փոփոխության հաստատումը մերժելու դեպքում </w:t>
      </w:r>
      <w:r w:rsidR="0056496B">
        <w:rPr>
          <w:rFonts w:ascii="Sylfaen" w:hAnsi="Sylfaen"/>
          <w:sz w:val="24"/>
          <w:szCs w:val="24"/>
        </w:rPr>
        <w:t>դիմումատու</w:t>
      </w:r>
      <w:r w:rsidRPr="003B2786">
        <w:rPr>
          <w:rFonts w:ascii="Sylfaen" w:hAnsi="Sylfaen"/>
          <w:sz w:val="24"/>
          <w:szCs w:val="24"/>
        </w:rPr>
        <w:t>ին ծանուցի այդպիսի որոշման հիմքերի մասին.</w:t>
      </w:r>
    </w:p>
    <w:p w14:paraId="37352D8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անհրաժեշտության դեպքում սույն հավելվածի 4.2.1 ենթակետով սահմանված առավելագույն ժամկետներում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մարմինը պետք է փոփոխություններ կատարի 1.2.1 ենթակետի «բ» կետում նշված՝ գրանցման մասին որոշման մեջ՝ ընդունված փոփոխությանը համապատասխան:</w:t>
      </w:r>
    </w:p>
    <w:p w14:paraId="0E20493F" w14:textId="77777777" w:rsidR="008C76E0" w:rsidRPr="003B2786" w:rsidRDefault="008C76E0" w:rsidP="00593820">
      <w:pPr>
        <w:spacing w:after="160" w:line="360" w:lineRule="auto"/>
        <w:ind w:right="-1"/>
        <w:outlineLvl w:val="0"/>
        <w:rPr>
          <w:rFonts w:ascii="Sylfaen" w:hAnsi="Sylfaen"/>
          <w:sz w:val="24"/>
          <w:szCs w:val="24"/>
        </w:rPr>
      </w:pPr>
    </w:p>
    <w:p w14:paraId="07A6A804"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t>IV. Այլ ասպեկտներ</w:t>
      </w:r>
    </w:p>
    <w:p w14:paraId="1F8868CA"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4.1. Հատուկ ընթացակարգեր</w:t>
      </w:r>
    </w:p>
    <w:p w14:paraId="4F28BDDC"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4.1.1.</w:t>
      </w:r>
      <w:r w:rsidRPr="003B2786">
        <w:rPr>
          <w:rFonts w:ascii="Sylfaen" w:hAnsi="Sylfaen"/>
          <w:sz w:val="24"/>
          <w:szCs w:val="24"/>
        </w:rPr>
        <w:tab/>
        <w:t>Գրանցման ընդլայնում։</w:t>
      </w:r>
    </w:p>
    <w:p w14:paraId="69088EC4" w14:textId="07CED118"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Գրանցման ընդլայնման մասին </w:t>
      </w:r>
      <w:r w:rsidR="0056496B">
        <w:rPr>
          <w:rFonts w:ascii="Sylfaen" w:hAnsi="Sylfaen"/>
          <w:sz w:val="24"/>
          <w:szCs w:val="24"/>
        </w:rPr>
        <w:t>դիմում</w:t>
      </w:r>
      <w:r w:rsidRPr="003B2786">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3B2786">
        <w:rPr>
          <w:rFonts w:ascii="Sylfaen" w:hAnsi="Sylfaen"/>
          <w:sz w:val="24"/>
          <w:szCs w:val="24"/>
        </w:rPr>
        <w:t xml:space="preserve"> փորձաքննության այն նույն ընթացակարգին համապատասխան, ինչին որ առաջնային գրանցումը, որին այն վերաբերում է Դեղամիջոցների գրանցման կանոնների V </w:t>
      </w:r>
      <w:r w:rsidR="00C54D75">
        <w:rPr>
          <w:rFonts w:ascii="Sylfaen" w:hAnsi="Sylfaen"/>
          <w:sz w:val="24"/>
          <w:szCs w:val="24"/>
        </w:rPr>
        <w:t>և</w:t>
      </w:r>
      <w:r w:rsidRPr="003B2786">
        <w:rPr>
          <w:rFonts w:ascii="Sylfaen" w:hAnsi="Sylfaen"/>
          <w:sz w:val="24"/>
          <w:szCs w:val="24"/>
        </w:rPr>
        <w:t xml:space="preserve"> VI բաժիններին համապատասխան:</w:t>
      </w:r>
    </w:p>
    <w:p w14:paraId="0859D9FC" w14:textId="1DE84E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lastRenderedPageBreak/>
        <w:t xml:space="preserve">Գրանցման ընդլայնումը պետք է իրականացվի գրանցման այն ընթացակարգին համապատասխան, ինչին որ դեղապատրաստուկի գրանցման մասին առաջնային </w:t>
      </w:r>
      <w:r w:rsidR="0056496B">
        <w:rPr>
          <w:rFonts w:ascii="Sylfaen" w:hAnsi="Sylfaen"/>
          <w:sz w:val="24"/>
          <w:szCs w:val="24"/>
        </w:rPr>
        <w:t>դիմում</w:t>
      </w:r>
      <w:r w:rsidRPr="003B2786">
        <w:rPr>
          <w:rFonts w:ascii="Sylfaen" w:hAnsi="Sylfaen"/>
          <w:sz w:val="24"/>
          <w:szCs w:val="24"/>
        </w:rPr>
        <w:t xml:space="preserve">ը, որին այն վերաբերում է, կամ պետք է ներառվի նույն գրանցման դոսյեի մեջ: </w:t>
      </w:r>
    </w:p>
    <w:p w14:paraId="7A0C57C8"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4.1.2.</w:t>
      </w:r>
      <w:r w:rsidRPr="003B2786">
        <w:rPr>
          <w:rFonts w:ascii="Sylfaen" w:hAnsi="Sylfaen"/>
          <w:sz w:val="24"/>
          <w:szCs w:val="24"/>
        </w:rPr>
        <w:tab/>
        <w:t>Պարտականությունների բաշխման ընթացակարգը։</w:t>
      </w:r>
    </w:p>
    <w:p w14:paraId="46909F8C"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1.7.1 ենթակետից </w:t>
      </w:r>
      <w:r w:rsidR="00C54D75">
        <w:rPr>
          <w:rFonts w:ascii="Sylfaen" w:hAnsi="Sylfaen"/>
          <w:sz w:val="24"/>
          <w:szCs w:val="24"/>
        </w:rPr>
        <w:t>և</w:t>
      </w:r>
      <w:r w:rsidRPr="003B2786">
        <w:rPr>
          <w:rFonts w:ascii="Sylfaen" w:hAnsi="Sylfaen"/>
          <w:sz w:val="24"/>
          <w:szCs w:val="24"/>
        </w:rPr>
        <w:t xml:space="preserve"> 2.2 ու 2.3 կետերից բացառման կարգով, եթե IB տիպի ոչ էական փոփոխությունը, II տիպի էական փոփոխությունը կամ սույն հավելվածի 1.7.2 ենթակետի երրորդ պարբերությամբ նախատեսված դեպքերում այն փոփոխությունների խումբը, որոնցով չի նախատեսվում գրանցման ընդլայնում, վերաբերում են դեղապատրաստուկների մի քանի գրանցման դոսյեների, որոնք պատկանում են մի</w:t>
      </w:r>
      <w:r w:rsidR="00C54D75">
        <w:rPr>
          <w:rFonts w:ascii="Sylfaen" w:hAnsi="Sylfaen"/>
          <w:sz w:val="24"/>
          <w:szCs w:val="24"/>
        </w:rPr>
        <w:t>և</w:t>
      </w:r>
      <w:r w:rsidRPr="003B2786">
        <w:rPr>
          <w:rFonts w:ascii="Sylfaen" w:hAnsi="Sylfaen"/>
          <w:sz w:val="24"/>
          <w:szCs w:val="24"/>
        </w:rPr>
        <w:t>նույն իրավատիրոջը, ապա այդպիսի գրանցման հավաստագրերի իրավատերն իրավունք ունի հետ</w:t>
      </w:r>
      <w:r w:rsidR="00C54D75">
        <w:rPr>
          <w:rFonts w:ascii="Sylfaen" w:hAnsi="Sylfaen"/>
          <w:sz w:val="24"/>
          <w:szCs w:val="24"/>
        </w:rPr>
        <w:t>և</w:t>
      </w:r>
      <w:r w:rsidRPr="003B2786">
        <w:rPr>
          <w:rFonts w:ascii="Sylfaen" w:hAnsi="Sylfaen"/>
          <w:sz w:val="24"/>
          <w:szCs w:val="24"/>
        </w:rPr>
        <w:t>ելու սույն ենթակետով սահմանված ընթացակարգին:</w:t>
      </w:r>
    </w:p>
    <w:p w14:paraId="35459C7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ենթակետի նպատակներով «ռեֆերենտ մարմին» ասելով հասկանում ենք շահագրգիռ անդամ պետության լիազորված մարմին, որը նշանակվել է Փորձագիտական կոմիտեի կողմից՝ հաշվի առնելով իրավատիրոջ առաջարկությունները: </w:t>
      </w:r>
    </w:p>
    <w:p w14:paraId="4A91776C" w14:textId="2EBD9CA8" w:rsidR="008C76E0" w:rsidRPr="003B2786" w:rsidRDefault="0056496B" w:rsidP="00593820">
      <w:pPr>
        <w:tabs>
          <w:tab w:val="left" w:pos="1418"/>
        </w:tabs>
        <w:spacing w:after="160" w:line="360" w:lineRule="auto"/>
        <w:ind w:right="-1" w:firstLine="567"/>
        <w:jc w:val="both"/>
        <w:rPr>
          <w:rFonts w:ascii="Sylfaen" w:hAnsi="Sylfaen"/>
          <w:sz w:val="24"/>
          <w:szCs w:val="24"/>
        </w:rPr>
      </w:pPr>
      <w:r>
        <w:rPr>
          <w:rFonts w:ascii="Sylfaen" w:hAnsi="Sylfaen"/>
          <w:sz w:val="24"/>
          <w:szCs w:val="24"/>
        </w:rPr>
        <w:t>Դիմումատու</w:t>
      </w:r>
      <w:r w:rsidR="008C76E0" w:rsidRPr="003B2786">
        <w:rPr>
          <w:rFonts w:ascii="Sylfaen" w:hAnsi="Sylfaen"/>
          <w:sz w:val="24"/>
          <w:szCs w:val="24"/>
        </w:rPr>
        <w:t xml:space="preserve">ն միաժամանակ բոլոր համապատասխան մարմիններին է ներկայացնում փոփոխությունների կատարման </w:t>
      </w:r>
      <w:r>
        <w:rPr>
          <w:rFonts w:ascii="Sylfaen" w:hAnsi="Sylfaen"/>
          <w:sz w:val="24"/>
          <w:szCs w:val="24"/>
        </w:rPr>
        <w:t>դիմում</w:t>
      </w:r>
      <w:r w:rsidR="008C76E0" w:rsidRPr="003B2786">
        <w:rPr>
          <w:rFonts w:ascii="Sylfaen" w:hAnsi="Sylfaen"/>
          <w:sz w:val="24"/>
          <w:szCs w:val="24"/>
        </w:rPr>
        <w:t xml:space="preserve">, որը պարունակում է IV լրացման մեջ թվարկված տարրերը՝ առաջարկող ռեֆերենտ մարմնի նշմամբ: </w:t>
      </w:r>
    </w:p>
    <w:p w14:paraId="499F486B" w14:textId="0417786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Եթե փոփոխությունների կատարման </w:t>
      </w:r>
      <w:r w:rsidR="0056496B">
        <w:rPr>
          <w:rFonts w:ascii="Sylfaen" w:hAnsi="Sylfaen"/>
          <w:sz w:val="24"/>
          <w:szCs w:val="24"/>
        </w:rPr>
        <w:t>դիմում</w:t>
      </w:r>
      <w:r w:rsidRPr="003B2786">
        <w:rPr>
          <w:rFonts w:ascii="Sylfaen" w:hAnsi="Sylfaen"/>
          <w:sz w:val="24"/>
          <w:szCs w:val="24"/>
        </w:rPr>
        <w:t>ը բավարարում է նշված պահանջներին, ապա Փորձագիտական կոմիտեն նշանակում է ռեֆերենտ</w:t>
      </w:r>
      <w:r w:rsidRPr="003B2786" w:rsidDel="00F27E2E">
        <w:rPr>
          <w:rFonts w:ascii="Sylfaen" w:hAnsi="Sylfaen"/>
          <w:sz w:val="24"/>
          <w:szCs w:val="24"/>
        </w:rPr>
        <w:t xml:space="preserve"> </w:t>
      </w:r>
      <w:r w:rsidRPr="003B2786">
        <w:rPr>
          <w:rFonts w:ascii="Sylfaen" w:hAnsi="Sylfaen"/>
          <w:sz w:val="24"/>
          <w:szCs w:val="24"/>
        </w:rPr>
        <w:t xml:space="preserve">մարմին, </w:t>
      </w:r>
      <w:r w:rsidR="00C54D75">
        <w:rPr>
          <w:rFonts w:ascii="Sylfaen" w:hAnsi="Sylfaen"/>
          <w:sz w:val="24"/>
          <w:szCs w:val="24"/>
        </w:rPr>
        <w:t>և</w:t>
      </w:r>
      <w:r w:rsidRPr="003B2786">
        <w:rPr>
          <w:rFonts w:ascii="Sylfaen" w:hAnsi="Sylfaen"/>
          <w:sz w:val="24"/>
          <w:szCs w:val="24"/>
        </w:rPr>
        <w:t xml:space="preserve"> այդ մարմինը պետք է հաստատի փոփոխությունների կատարման վավեր </w:t>
      </w:r>
      <w:r w:rsidR="0056496B">
        <w:rPr>
          <w:rFonts w:ascii="Sylfaen" w:hAnsi="Sylfaen"/>
          <w:sz w:val="24"/>
          <w:szCs w:val="24"/>
        </w:rPr>
        <w:t>դիմում</w:t>
      </w:r>
      <w:r w:rsidRPr="003B2786">
        <w:rPr>
          <w:rFonts w:ascii="Sylfaen" w:hAnsi="Sylfaen"/>
          <w:sz w:val="24"/>
          <w:szCs w:val="24"/>
        </w:rPr>
        <w:t>ի ստացումը:</w:t>
      </w:r>
    </w:p>
    <w:p w14:paraId="7EAA1712" w14:textId="21D58E64"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Եթե ընտրված ռեֆերենտ</w:t>
      </w:r>
      <w:r w:rsidRPr="003B2786" w:rsidDel="00F27E2E">
        <w:rPr>
          <w:rFonts w:ascii="Sylfaen" w:hAnsi="Sylfaen"/>
          <w:sz w:val="24"/>
          <w:szCs w:val="24"/>
        </w:rPr>
        <w:t xml:space="preserve"> </w:t>
      </w:r>
      <w:r w:rsidRPr="003B2786">
        <w:rPr>
          <w:rFonts w:ascii="Sylfaen" w:hAnsi="Sylfaen"/>
          <w:sz w:val="24"/>
          <w:szCs w:val="24"/>
        </w:rPr>
        <w:t>մարմինը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մարմինն է, որը չի գրանցել </w:t>
      </w:r>
      <w:r w:rsidR="0056496B">
        <w:rPr>
          <w:rFonts w:ascii="Sylfaen" w:hAnsi="Sylfaen"/>
          <w:sz w:val="24"/>
          <w:szCs w:val="24"/>
        </w:rPr>
        <w:t>դիմում</w:t>
      </w:r>
      <w:r w:rsidRPr="003B2786">
        <w:rPr>
          <w:rFonts w:ascii="Sylfaen" w:hAnsi="Sylfaen"/>
          <w:sz w:val="24"/>
          <w:szCs w:val="24"/>
        </w:rPr>
        <w:t xml:space="preserve">ում ներառված բոլոր դեղապատրաստուկները, ապա Փորձագիտական կոմիտեն իրավունք ունի դիմելու այլ համապատասխան </w:t>
      </w:r>
      <w:r w:rsidRPr="003B2786">
        <w:rPr>
          <w:rFonts w:ascii="Sylfaen" w:hAnsi="Sylfaen"/>
          <w:sz w:val="24"/>
          <w:szCs w:val="24"/>
        </w:rPr>
        <w:lastRenderedPageBreak/>
        <w:t xml:space="preserve">մարմնի՝ փոփոխությունների կատարման այդպիսի </w:t>
      </w:r>
      <w:r w:rsidR="0056496B">
        <w:rPr>
          <w:rFonts w:ascii="Sylfaen" w:hAnsi="Sylfaen"/>
          <w:sz w:val="24"/>
          <w:szCs w:val="24"/>
        </w:rPr>
        <w:t>դիմում</w:t>
      </w:r>
      <w:r w:rsidRPr="003B2786">
        <w:rPr>
          <w:rFonts w:ascii="Sylfaen" w:hAnsi="Sylfaen"/>
          <w:sz w:val="24"/>
          <w:szCs w:val="24"/>
        </w:rPr>
        <w:t>ի փորձաքննության գործում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օժանդակելու համար: </w:t>
      </w:r>
    </w:p>
    <w:p w14:paraId="5E440473" w14:textId="2078C49C"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IB տիպի ոչ էական փոփոխությունների </w:t>
      </w:r>
      <w:r w:rsidR="00C54D75">
        <w:rPr>
          <w:rFonts w:ascii="Sylfaen" w:hAnsi="Sylfaen"/>
          <w:sz w:val="24"/>
          <w:szCs w:val="24"/>
        </w:rPr>
        <w:t>և</w:t>
      </w:r>
      <w:r w:rsidRPr="003B2786">
        <w:rPr>
          <w:rFonts w:ascii="Sylfaen" w:hAnsi="Sylfaen"/>
          <w:sz w:val="24"/>
          <w:szCs w:val="24"/>
        </w:rPr>
        <w:t xml:space="preserve"> II տիպի էական փոփոխությունների դեպքում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մարմինը փոփոխությունների կատարման վավեր </w:t>
      </w:r>
      <w:r w:rsidR="0056496B">
        <w:rPr>
          <w:rFonts w:ascii="Sylfaen" w:hAnsi="Sylfaen"/>
          <w:sz w:val="24"/>
          <w:szCs w:val="24"/>
        </w:rPr>
        <w:t>դիմում</w:t>
      </w:r>
      <w:r w:rsidRPr="003B2786">
        <w:rPr>
          <w:rFonts w:ascii="Sylfaen" w:hAnsi="Sylfaen"/>
          <w:sz w:val="24"/>
          <w:szCs w:val="24"/>
        </w:rPr>
        <w:t xml:space="preserve">ի ստացումը հաստատելու օրվանից 60 օրացուցային օրվա ընթացքում եզրակացություն է կազմում փոփոխությունների կատարման վավեր </w:t>
      </w:r>
      <w:r w:rsidR="0056496B">
        <w:rPr>
          <w:rFonts w:ascii="Sylfaen" w:hAnsi="Sylfaen"/>
          <w:sz w:val="24"/>
          <w:szCs w:val="24"/>
        </w:rPr>
        <w:t>դիմում</w:t>
      </w:r>
      <w:r w:rsidRPr="003B2786">
        <w:rPr>
          <w:rFonts w:ascii="Sylfaen" w:hAnsi="Sylfaen"/>
          <w:sz w:val="24"/>
          <w:szCs w:val="24"/>
        </w:rPr>
        <w:t>ի վերաբերյալ:</w:t>
      </w:r>
    </w:p>
    <w:p w14:paraId="726B93CE"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մարմինն իրավունք ունի կրճատելու նշված ժամկետը՝ հաշվի առնելով հարցի հրատապությունը, կամ այն երկարաձգելու մինչ</w:t>
      </w:r>
      <w:r w:rsidR="00C54D75">
        <w:rPr>
          <w:rFonts w:ascii="Sylfaen" w:hAnsi="Sylfaen"/>
          <w:sz w:val="24"/>
          <w:szCs w:val="24"/>
        </w:rPr>
        <w:t>և</w:t>
      </w:r>
      <w:r w:rsidRPr="003B2786">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3B2786">
        <w:rPr>
          <w:rFonts w:ascii="Sylfaen" w:hAnsi="Sylfaen"/>
          <w:sz w:val="24"/>
          <w:szCs w:val="24"/>
        </w:rPr>
        <w:t xml:space="preserve">ափոխման առումով փոփոխություններ կատարելու կամ կիրառման նոր ցուցումներ ներառելու առնչությամբ: </w:t>
      </w:r>
    </w:p>
    <w:p w14:paraId="2412327C" w14:textId="32AFA16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Նշված ժամկետի ընթացքում ռեֆերենտ</w:t>
      </w:r>
      <w:r w:rsidRPr="003B2786" w:rsidDel="00F27E2E">
        <w:rPr>
          <w:rFonts w:ascii="Sylfaen" w:hAnsi="Sylfaen"/>
          <w:sz w:val="24"/>
          <w:szCs w:val="24"/>
        </w:rPr>
        <w:t xml:space="preserve"> </w:t>
      </w:r>
      <w:r w:rsidRPr="003B2786">
        <w:rPr>
          <w:rFonts w:ascii="Sylfaen" w:hAnsi="Sylfaen"/>
          <w:sz w:val="24"/>
          <w:szCs w:val="24"/>
        </w:rPr>
        <w:t xml:space="preserve">մարմինն իրավունք ունի </w:t>
      </w:r>
      <w:r w:rsidR="0056496B">
        <w:rPr>
          <w:rFonts w:ascii="Sylfaen" w:hAnsi="Sylfaen"/>
          <w:sz w:val="24"/>
          <w:szCs w:val="24"/>
        </w:rPr>
        <w:t>դիմումատու</w:t>
      </w:r>
      <w:r w:rsidRPr="003B2786">
        <w:rPr>
          <w:rFonts w:ascii="Sylfaen" w:hAnsi="Sylfaen"/>
          <w:sz w:val="24"/>
          <w:szCs w:val="24"/>
        </w:rPr>
        <w:t>ից պահանջելու, որ վերջինս այդ ռեֆերենտ</w:t>
      </w:r>
      <w:r w:rsidRPr="003B2786" w:rsidDel="00F27E2E">
        <w:rPr>
          <w:rFonts w:ascii="Sylfaen" w:hAnsi="Sylfaen"/>
          <w:sz w:val="24"/>
          <w:szCs w:val="24"/>
        </w:rPr>
        <w:t xml:space="preserve"> </w:t>
      </w:r>
      <w:r w:rsidRPr="003B2786">
        <w:rPr>
          <w:rFonts w:ascii="Sylfaen" w:hAnsi="Sylfaen"/>
          <w:sz w:val="24"/>
          <w:szCs w:val="24"/>
        </w:rPr>
        <w:t>մարմնի կողմից սահմանված ժամկետներում տրամադրի լրացուցիչ տվյալներ: Այդ դեպքում՝</w:t>
      </w:r>
    </w:p>
    <w:p w14:paraId="69278135"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պետք է լրացուցիչ տեղեկությունների՝ իր հարցման մասին ծանուցի մնացած համապատասխան մարմիններին. </w:t>
      </w:r>
    </w:p>
    <w:p w14:paraId="2B94B701"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մինչ</w:t>
      </w:r>
      <w:r w:rsidR="00C54D75">
        <w:rPr>
          <w:rFonts w:ascii="Sylfaen" w:hAnsi="Sylfaen"/>
          <w:sz w:val="24"/>
          <w:szCs w:val="24"/>
        </w:rPr>
        <w:t>և</w:t>
      </w:r>
      <w:r w:rsidRPr="003B2786">
        <w:rPr>
          <w:rFonts w:ascii="Sylfaen" w:hAnsi="Sylfaen"/>
          <w:sz w:val="24"/>
          <w:szCs w:val="24"/>
        </w:rPr>
        <w:t xml:space="preserve"> այդպիսի լրացուցիչ տեղեկություններ ներկայացնելը ընթացակարգը կասեցվում է.</w:t>
      </w:r>
    </w:p>
    <w:p w14:paraId="033D78A9"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233C52">
        <w:rPr>
          <w:rFonts w:ascii="Sylfaen" w:hAnsi="Sylfaen"/>
          <w:sz w:val="24"/>
          <w:szCs w:val="24"/>
        </w:rPr>
        <w:t xml:space="preserve"> </w:t>
      </w:r>
      <w:r w:rsidRPr="003B2786">
        <w:rPr>
          <w:rFonts w:ascii="Sylfaen" w:hAnsi="Sylfaen"/>
          <w:sz w:val="24"/>
          <w:szCs w:val="24"/>
        </w:rPr>
        <w:t>պետությունն իրավունք ունի երկարաձգելու սահմանված ժամկետը:</w:t>
      </w:r>
    </w:p>
    <w:p w14:paraId="684A8FF5" w14:textId="3577EDC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Ռեֆերենտ</w:t>
      </w:r>
      <w:r w:rsidRPr="003B2786" w:rsidDel="00F27E2E">
        <w:rPr>
          <w:rFonts w:ascii="Sylfaen" w:hAnsi="Sylfaen"/>
          <w:sz w:val="24"/>
          <w:szCs w:val="24"/>
        </w:rPr>
        <w:t xml:space="preserve"> </w:t>
      </w:r>
      <w:r w:rsidRPr="003B2786">
        <w:rPr>
          <w:rFonts w:ascii="Sylfaen" w:hAnsi="Sylfaen"/>
          <w:sz w:val="24"/>
          <w:szCs w:val="24"/>
        </w:rPr>
        <w:t xml:space="preserve">մարմինը վավեր </w:t>
      </w:r>
      <w:r w:rsidR="0056496B">
        <w:rPr>
          <w:rFonts w:ascii="Sylfaen" w:hAnsi="Sylfaen"/>
          <w:sz w:val="24"/>
          <w:szCs w:val="24"/>
        </w:rPr>
        <w:t>դիմում</w:t>
      </w:r>
      <w:r w:rsidRPr="003B2786">
        <w:rPr>
          <w:rFonts w:ascii="Sylfaen" w:hAnsi="Sylfaen"/>
          <w:sz w:val="24"/>
          <w:szCs w:val="24"/>
        </w:rPr>
        <w:t xml:space="preserve">ի մասին իր եզրակացությունը պետք է ուղարկի </w:t>
      </w:r>
      <w:r w:rsidR="0056496B">
        <w:rPr>
          <w:rFonts w:ascii="Sylfaen" w:hAnsi="Sylfaen"/>
          <w:sz w:val="24"/>
          <w:szCs w:val="24"/>
        </w:rPr>
        <w:t>դիմումատու</w:t>
      </w:r>
      <w:r w:rsidRPr="003B2786">
        <w:rPr>
          <w:rFonts w:ascii="Sylfaen" w:hAnsi="Sylfaen"/>
          <w:sz w:val="24"/>
          <w:szCs w:val="24"/>
        </w:rPr>
        <w:t xml:space="preserve">ին </w:t>
      </w:r>
      <w:r w:rsidR="00C54D75">
        <w:rPr>
          <w:rFonts w:ascii="Sylfaen" w:hAnsi="Sylfaen"/>
          <w:sz w:val="24"/>
          <w:szCs w:val="24"/>
        </w:rPr>
        <w:t>և</w:t>
      </w:r>
      <w:r w:rsidRPr="003B2786">
        <w:rPr>
          <w:rFonts w:ascii="Sylfaen" w:hAnsi="Sylfaen"/>
          <w:sz w:val="24"/>
          <w:szCs w:val="24"/>
        </w:rPr>
        <w:t xml:space="preserve"> մյուս լիազորված մարմիններին, </w:t>
      </w:r>
      <w:r w:rsidR="00C54D75">
        <w:rPr>
          <w:rFonts w:ascii="Sylfaen" w:hAnsi="Sylfaen"/>
          <w:sz w:val="24"/>
          <w:szCs w:val="24"/>
        </w:rPr>
        <w:t>և</w:t>
      </w:r>
      <w:r w:rsidRPr="003B2786">
        <w:rPr>
          <w:rFonts w:ascii="Sylfaen" w:hAnsi="Sylfaen"/>
          <w:sz w:val="24"/>
          <w:szCs w:val="24"/>
        </w:rPr>
        <w:t xml:space="preserve"> եզրակացությունն ստանալու օրվանից 30 օրացուցային օրվա ընթացքում համապատասխան մարմինները պետք է հաստատեն այդ եզրակացությունը, ծանուցեն ռեֆերենտ</w:t>
      </w:r>
      <w:r w:rsidRPr="003B2786" w:rsidDel="00F27E2E">
        <w:rPr>
          <w:rFonts w:ascii="Sylfaen" w:hAnsi="Sylfaen"/>
          <w:sz w:val="24"/>
          <w:szCs w:val="24"/>
        </w:rPr>
        <w:t xml:space="preserve"> </w:t>
      </w:r>
      <w:r w:rsidRPr="003B2786">
        <w:rPr>
          <w:rFonts w:ascii="Sylfaen" w:hAnsi="Sylfaen"/>
          <w:sz w:val="24"/>
          <w:szCs w:val="24"/>
        </w:rPr>
        <w:t xml:space="preserve">մարմնին </w:t>
      </w:r>
      <w:r w:rsidR="00C54D75">
        <w:rPr>
          <w:rFonts w:ascii="Sylfaen" w:hAnsi="Sylfaen"/>
          <w:sz w:val="24"/>
          <w:szCs w:val="24"/>
        </w:rPr>
        <w:t>և</w:t>
      </w:r>
      <w:r w:rsidRPr="003B2786">
        <w:rPr>
          <w:rFonts w:ascii="Sylfaen" w:hAnsi="Sylfaen"/>
          <w:sz w:val="24"/>
          <w:szCs w:val="24"/>
        </w:rPr>
        <w:t xml:space="preserve"> համապատասխան ձ</w:t>
      </w:r>
      <w:r w:rsidR="00C54D75">
        <w:rPr>
          <w:rFonts w:ascii="Sylfaen" w:hAnsi="Sylfaen"/>
          <w:sz w:val="24"/>
          <w:szCs w:val="24"/>
        </w:rPr>
        <w:t>և</w:t>
      </w:r>
      <w:r w:rsidRPr="003B2786">
        <w:rPr>
          <w:rFonts w:ascii="Sylfaen" w:hAnsi="Sylfaen"/>
          <w:sz w:val="24"/>
          <w:szCs w:val="24"/>
        </w:rPr>
        <w:t xml:space="preserve">ով փոփոխեն դիտարկվող գրանցման դոսյեները: </w:t>
      </w:r>
    </w:p>
    <w:p w14:paraId="0F819C6D" w14:textId="5C3CF3DE"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Փոփոխությունների կատարման </w:t>
      </w:r>
      <w:r w:rsidR="0056496B">
        <w:rPr>
          <w:rFonts w:ascii="Sylfaen" w:hAnsi="Sylfaen"/>
          <w:sz w:val="24"/>
          <w:szCs w:val="24"/>
        </w:rPr>
        <w:t>դիմում</w:t>
      </w:r>
      <w:r w:rsidRPr="003B2786">
        <w:rPr>
          <w:rFonts w:ascii="Sylfaen" w:hAnsi="Sylfaen"/>
          <w:sz w:val="24"/>
          <w:szCs w:val="24"/>
        </w:rPr>
        <w:t xml:space="preserve">ի վալիդության վավերացման </w:t>
      </w:r>
      <w:r w:rsidR="00C54D75">
        <w:rPr>
          <w:rFonts w:ascii="Sylfaen" w:hAnsi="Sylfaen"/>
          <w:sz w:val="24"/>
          <w:szCs w:val="24"/>
        </w:rPr>
        <w:t>և</w:t>
      </w:r>
      <w:r w:rsidRPr="003B2786">
        <w:rPr>
          <w:rFonts w:ascii="Sylfaen" w:hAnsi="Sylfaen"/>
          <w:sz w:val="24"/>
          <w:szCs w:val="24"/>
        </w:rPr>
        <w:t xml:space="preserve"> </w:t>
      </w:r>
      <w:r w:rsidRPr="003B2786">
        <w:rPr>
          <w:rFonts w:ascii="Sylfaen" w:hAnsi="Sylfaen"/>
          <w:sz w:val="24"/>
          <w:szCs w:val="24"/>
        </w:rPr>
        <w:lastRenderedPageBreak/>
        <w:t xml:space="preserve">փոփոխությունների կատարման </w:t>
      </w:r>
      <w:r w:rsidR="0056496B">
        <w:rPr>
          <w:rFonts w:ascii="Sylfaen" w:hAnsi="Sylfaen"/>
          <w:sz w:val="24"/>
          <w:szCs w:val="24"/>
        </w:rPr>
        <w:t>դիմում</w:t>
      </w:r>
      <w:r w:rsidRPr="003B2786">
        <w:rPr>
          <w:rFonts w:ascii="Sylfaen" w:hAnsi="Sylfaen"/>
          <w:sz w:val="24"/>
          <w:szCs w:val="24"/>
        </w:rPr>
        <w:t>ի վերաբերյալ եզրակացություն կազմելու նպատակով շահագրգիռ պետությունները ռեֆերենտ</w:t>
      </w:r>
      <w:r w:rsidRPr="003B2786" w:rsidDel="00F27E2E">
        <w:rPr>
          <w:rFonts w:ascii="Sylfaen" w:hAnsi="Sylfaen"/>
          <w:sz w:val="24"/>
          <w:szCs w:val="24"/>
        </w:rPr>
        <w:t xml:space="preserve"> </w:t>
      </w:r>
      <w:r w:rsidRPr="003B2786">
        <w:rPr>
          <w:rFonts w:ascii="Sylfaen" w:hAnsi="Sylfaen"/>
          <w:sz w:val="24"/>
          <w:szCs w:val="24"/>
        </w:rPr>
        <w:t>մարմնի հարցմամբ պետք է ներկայացնեն տեղեկություններ, որոնք վերաբերում են գրանցման դոսյեների մեջ ներառված փոփոխություններին:</w:t>
      </w:r>
    </w:p>
    <w:p w14:paraId="7A5AB3B9"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4.1.3.</w:t>
      </w:r>
      <w:r w:rsidRPr="003B2786">
        <w:rPr>
          <w:rFonts w:ascii="Sylfaen" w:hAnsi="Sylfaen"/>
          <w:sz w:val="24"/>
          <w:szCs w:val="24"/>
        </w:rPr>
        <w:tab/>
        <w:t>Գրիպի համավարակային իրավիճակ։</w:t>
      </w:r>
    </w:p>
    <w:p w14:paraId="04ADADE8"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 II </w:t>
      </w:r>
      <w:r w:rsidR="00C54D75">
        <w:rPr>
          <w:rFonts w:ascii="Sylfaen" w:hAnsi="Sylfaen"/>
          <w:sz w:val="24"/>
          <w:szCs w:val="24"/>
        </w:rPr>
        <w:t>և</w:t>
      </w:r>
      <w:r w:rsidRPr="003B2786">
        <w:rPr>
          <w:rFonts w:ascii="Sylfaen" w:hAnsi="Sylfaen"/>
          <w:sz w:val="24"/>
          <w:szCs w:val="24"/>
        </w:rPr>
        <w:t xml:space="preserve"> III բաժիններից բացառման կարգով Առողջապահության համաշխարհային կազմակերպության կամ Միության կողմից գրիպի համավարակային իրավիճակի ճանաչման դեպքում լիազորված մարմիններն իրավունք ունեն բացառման կարգով ժամանակավորապես ընդունելու մարդու մոտ գրիպի կանխարգելման համար նախատեսված պատվաստանյութի գրանցման պայմանների փոփոխություններ՝ որոշակի նախակլինիկական կամ կլինիկական տվյալների բացակայության դեպքում: </w:t>
      </w:r>
    </w:p>
    <w:p w14:paraId="15F54DC3" w14:textId="5788BEDF"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Սույն հավելվածի 1-ին մասի համաձայն փոփոխությունն ընդունելու դեպքում </w:t>
      </w:r>
      <w:r w:rsidR="0056496B">
        <w:rPr>
          <w:rFonts w:ascii="Sylfaen" w:hAnsi="Sylfaen"/>
          <w:sz w:val="24"/>
          <w:szCs w:val="24"/>
        </w:rPr>
        <w:t>դիմումատու</w:t>
      </w:r>
      <w:r w:rsidRPr="003B2786">
        <w:rPr>
          <w:rFonts w:ascii="Sylfaen" w:hAnsi="Sylfaen"/>
          <w:sz w:val="24"/>
          <w:szCs w:val="24"/>
        </w:rPr>
        <w:t xml:space="preserve">ն պետք է համապատասխան մարմնի կողմից հաստատված առավելագույն ժամկետում տրամադրի բացակայող նախակլինիկական </w:t>
      </w:r>
      <w:r w:rsidR="00C54D75">
        <w:rPr>
          <w:rFonts w:ascii="Sylfaen" w:hAnsi="Sylfaen"/>
          <w:sz w:val="24"/>
          <w:szCs w:val="24"/>
        </w:rPr>
        <w:t>և</w:t>
      </w:r>
      <w:r w:rsidRPr="003B2786">
        <w:rPr>
          <w:rFonts w:ascii="Sylfaen" w:hAnsi="Sylfaen"/>
          <w:sz w:val="24"/>
          <w:szCs w:val="24"/>
        </w:rPr>
        <w:t xml:space="preserve"> կլինիկական տվյալները: </w:t>
      </w:r>
    </w:p>
    <w:p w14:paraId="7EB4F951" w14:textId="77777777" w:rsidR="008C76E0" w:rsidRPr="003B2786" w:rsidRDefault="008C76E0" w:rsidP="00593820">
      <w:pPr>
        <w:tabs>
          <w:tab w:val="left" w:pos="1701"/>
        </w:tabs>
        <w:spacing w:after="160" w:line="360" w:lineRule="auto"/>
        <w:ind w:firstLine="567"/>
        <w:jc w:val="both"/>
        <w:rPr>
          <w:rFonts w:ascii="Sylfaen" w:hAnsi="Sylfaen"/>
          <w:sz w:val="24"/>
          <w:szCs w:val="24"/>
        </w:rPr>
      </w:pPr>
      <w:r w:rsidRPr="003B2786">
        <w:rPr>
          <w:rFonts w:ascii="Sylfaen" w:hAnsi="Sylfaen"/>
          <w:sz w:val="24"/>
          <w:szCs w:val="24"/>
        </w:rPr>
        <w:t>4.1.4.</w:t>
      </w:r>
      <w:r w:rsidRPr="003B2786">
        <w:rPr>
          <w:rFonts w:ascii="Sylfaen" w:hAnsi="Sylfaen"/>
          <w:sz w:val="24"/>
          <w:szCs w:val="24"/>
        </w:rPr>
        <w:tab/>
        <w:t>Անվտանգության մասով անհետաձգելի սահմանափակումները։</w:t>
      </w:r>
    </w:p>
    <w:p w14:paraId="7FCDA390" w14:textId="77777777"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Եթե բժշկական կիրառման դեղապատրաստուկներով պայմանավորված բնակչության առողջության համար ռիսկի առաջացման դեպքում իրավատերն իր սեփական նախաձեռնությամբ դնում է անվտանգության մասով անհետաձգելի սահմանափակումներ, ապա նա պետք է այդ մասին անհապաղ ծանուցի անդամ պետությունների համապատասխան բոլոր մարմիններին:</w:t>
      </w:r>
    </w:p>
    <w:p w14:paraId="0F08D75B" w14:textId="77777777" w:rsidR="008C76E0" w:rsidRPr="003B2786" w:rsidRDefault="008C76E0" w:rsidP="00945A7B">
      <w:pPr>
        <w:tabs>
          <w:tab w:val="left" w:pos="1418"/>
        </w:tabs>
        <w:spacing w:after="160" w:line="384" w:lineRule="auto"/>
        <w:ind w:right="-1" w:firstLine="567"/>
        <w:jc w:val="both"/>
        <w:rPr>
          <w:rFonts w:ascii="Sylfaen" w:hAnsi="Sylfaen"/>
          <w:sz w:val="24"/>
          <w:szCs w:val="24"/>
        </w:rPr>
      </w:pPr>
      <w:r w:rsidRPr="003B2786">
        <w:rPr>
          <w:rFonts w:ascii="Sylfaen" w:hAnsi="Sylfaen"/>
          <w:sz w:val="24"/>
          <w:szCs w:val="24"/>
        </w:rPr>
        <w:t>Եթե նշված տեղեկություններն ստանալուց հետո՝ 24 ժամվա ընթացքում, լիազորված մարմինը առարկություն չի ուղարկում, ապա անվտանգության մասով անհետաձգելի սահմանափակումները համարվում են ընդունված:</w:t>
      </w:r>
    </w:p>
    <w:p w14:paraId="613A8444"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Բժշկական կիրառման դեղապատրաստուկներով պայմանավորված </w:t>
      </w:r>
      <w:r w:rsidRPr="003B2786">
        <w:rPr>
          <w:rFonts w:ascii="Sylfaen" w:hAnsi="Sylfaen"/>
          <w:sz w:val="24"/>
          <w:szCs w:val="24"/>
        </w:rPr>
        <w:lastRenderedPageBreak/>
        <w:t>հանրային առողջության համար ռիսկի առաջացման դեպքում համապատասխան մարմիններն իրավունք ունեն իրավատիրոջ նկատմամբ կիրառելու անվտանգության մասով անհետաձգելի սահմանափակումներ:</w:t>
      </w:r>
    </w:p>
    <w:p w14:paraId="1CF1061D" w14:textId="0D56A9E9"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Իրավատիրոջ կողմից անվտանգության մասով անհետաձգելի սահմանափակում մտցնելու կամ համապատասխան մարմնի կողմից այն դնելու դեպքում իրավատերը պետք է այդպիսի սահմանափակումը կիրառել սկսելու օրվանից 14 աշխատանքային օրվա ընթացքում լիազորված մարմնի (փորձագիտական կազմակերպության) գրանցման դոսյեի փոփոխության մասին համապատասխան </w:t>
      </w:r>
      <w:r w:rsidR="0056496B">
        <w:rPr>
          <w:rFonts w:ascii="Sylfaen" w:hAnsi="Sylfaen"/>
          <w:sz w:val="24"/>
          <w:szCs w:val="24"/>
        </w:rPr>
        <w:t>դիմում</w:t>
      </w:r>
      <w:r w:rsidRPr="003B2786">
        <w:rPr>
          <w:rFonts w:ascii="Sylfaen" w:hAnsi="Sylfaen"/>
          <w:sz w:val="24"/>
          <w:szCs w:val="24"/>
        </w:rPr>
        <w:t xml:space="preserve"> ներկայացնի:</w:t>
      </w:r>
    </w:p>
    <w:p w14:paraId="65843F1B" w14:textId="77777777" w:rsidR="008C76E0" w:rsidRPr="003B2786" w:rsidRDefault="008C76E0" w:rsidP="00593820">
      <w:pPr>
        <w:spacing w:after="160" w:line="360" w:lineRule="auto"/>
        <w:ind w:right="-1" w:firstLine="567"/>
        <w:jc w:val="both"/>
        <w:rPr>
          <w:rFonts w:ascii="Sylfaen" w:hAnsi="Sylfaen"/>
          <w:sz w:val="24"/>
          <w:szCs w:val="24"/>
        </w:rPr>
      </w:pPr>
    </w:p>
    <w:p w14:paraId="1D75CDF8" w14:textId="77777777" w:rsidR="008C76E0" w:rsidRPr="003B2786" w:rsidRDefault="008C76E0" w:rsidP="00593820">
      <w:pPr>
        <w:spacing w:after="160" w:line="360" w:lineRule="auto"/>
        <w:ind w:left="567" w:right="566"/>
        <w:jc w:val="center"/>
        <w:rPr>
          <w:rFonts w:ascii="Sylfaen" w:hAnsi="Sylfaen"/>
          <w:sz w:val="24"/>
          <w:szCs w:val="24"/>
        </w:rPr>
      </w:pPr>
      <w:r w:rsidRPr="003B2786">
        <w:rPr>
          <w:rFonts w:ascii="Sylfaen" w:hAnsi="Sylfaen"/>
          <w:sz w:val="24"/>
          <w:szCs w:val="24"/>
        </w:rPr>
        <w:t xml:space="preserve">4.2. Դեղապատրաստուկի գրանցման փոփոխությունը </w:t>
      </w:r>
      <w:r w:rsidRPr="003B2786">
        <w:rPr>
          <w:rFonts w:ascii="Sylfaen" w:hAnsi="Sylfaen"/>
          <w:sz w:val="24"/>
          <w:szCs w:val="24"/>
        </w:rPr>
        <w:br/>
      </w:r>
      <w:r w:rsidR="00C54D75">
        <w:rPr>
          <w:rFonts w:ascii="Sylfaen" w:hAnsi="Sylfaen"/>
          <w:sz w:val="24"/>
          <w:szCs w:val="24"/>
        </w:rPr>
        <w:t>և</w:t>
      </w:r>
      <w:r w:rsidRPr="003B2786">
        <w:rPr>
          <w:rFonts w:ascii="Sylfaen" w:hAnsi="Sylfaen"/>
          <w:sz w:val="24"/>
          <w:szCs w:val="24"/>
        </w:rPr>
        <w:t xml:space="preserve"> դրա իրագործումը</w:t>
      </w:r>
    </w:p>
    <w:p w14:paraId="4B6B70CB"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Դեղապատրաստուկի գրանցման փոփոխությունը։</w:t>
      </w:r>
    </w:p>
    <w:p w14:paraId="73D30372"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w:t>
      </w:r>
      <w:r w:rsidR="00C54D75">
        <w:rPr>
          <w:rFonts w:ascii="Sylfaen" w:hAnsi="Sylfaen"/>
          <w:sz w:val="24"/>
          <w:szCs w:val="24"/>
        </w:rPr>
        <w:t>և</w:t>
      </w:r>
      <w:r w:rsidRPr="003B2786">
        <w:rPr>
          <w:rFonts w:ascii="Sylfaen" w:hAnsi="Sylfaen"/>
          <w:sz w:val="24"/>
          <w:szCs w:val="24"/>
        </w:rPr>
        <w:t xml:space="preserve"> III բաժիններով նախատեսված ընթացակարգերի արդյունքներով դեղապատրաստուկի գրանցման փոփոխությունը պետք է իրականացվի՝ </w:t>
      </w:r>
    </w:p>
    <w:p w14:paraId="0138153E" w14:textId="77777777" w:rsidR="008C76E0" w:rsidRPr="003B2786" w:rsidRDefault="008C76E0" w:rsidP="00593820">
      <w:pPr>
        <w:tabs>
          <w:tab w:val="left" w:pos="1418"/>
        </w:tabs>
        <w:spacing w:after="160" w:line="360" w:lineRule="auto"/>
        <w:ind w:right="-1" w:firstLine="567"/>
        <w:jc w:val="both"/>
        <w:rPr>
          <w:rFonts w:ascii="Sylfaen" w:hAnsi="Sylfaen"/>
          <w:spacing w:val="-4"/>
          <w:sz w:val="24"/>
          <w:szCs w:val="24"/>
        </w:rPr>
      </w:pPr>
      <w:r w:rsidRPr="003B2786">
        <w:rPr>
          <w:rFonts w:ascii="Sylfaen" w:hAnsi="Sylfaen"/>
          <w:spacing w:val="-4"/>
          <w:sz w:val="24"/>
          <w:szCs w:val="24"/>
        </w:rPr>
        <w:t xml:space="preserve">սույն հավելվածի 2.4.1 ենթակետի 4-րդ պարբերության </w:t>
      </w:r>
      <w:r w:rsidR="00C54D75">
        <w:rPr>
          <w:rFonts w:ascii="Sylfaen" w:hAnsi="Sylfaen"/>
          <w:spacing w:val="-4"/>
          <w:sz w:val="24"/>
          <w:szCs w:val="24"/>
        </w:rPr>
        <w:t>և</w:t>
      </w:r>
      <w:r w:rsidRPr="003B2786">
        <w:rPr>
          <w:rFonts w:ascii="Sylfaen" w:hAnsi="Sylfaen"/>
          <w:spacing w:val="-4"/>
          <w:sz w:val="24"/>
          <w:szCs w:val="24"/>
        </w:rPr>
        <w:t xml:space="preserve"> 3.5.1 ենթակետի 2-րդ պարբերության մեջ նշված տեղեկություններն ստանալուց հետո՝ 60 օրացուցային օրվա ընթացքում՝ II տիպի էական փոփոխությունների դեպքում դեղապատրաստուկի գրանցման դոսյեի փոփոխության համար անհրաժեշտ փաստաթղթերի ամբողջական փաթեթն անդամ պետությունների լիազորված մարմիններին (փորձագիտական կազմակերպություններին) տրամադրելու պայմանով.</w:t>
      </w:r>
    </w:p>
    <w:p w14:paraId="5F93A37E"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մյուս դեպքերում՝ 2.4.1 կետի 4-րդ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նշված տեղեկություններն ստանալուց հետո՝ 180 օրացուցային օրվա ընթացքում՝ գրանցման դոսյեի փոփոխության համար անհրաժեշտ փաստաթղթերը շահագրգիռ անդամ պետությունների լիազորված մարմիններին </w:t>
      </w:r>
      <w:r w:rsidRPr="003B2786">
        <w:rPr>
          <w:rFonts w:ascii="Sylfaen" w:hAnsi="Sylfaen"/>
          <w:sz w:val="24"/>
          <w:szCs w:val="24"/>
        </w:rPr>
        <w:lastRenderedPageBreak/>
        <w:t>(փորձագիտական կազմակերպությունների) տրամադրելու պայմանով:</w:t>
      </w:r>
    </w:p>
    <w:p w14:paraId="3DF40CEA" w14:textId="4E1E2C2C"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Սույն հավելվածի II, III </w:t>
      </w:r>
      <w:r w:rsidR="00C54D75">
        <w:rPr>
          <w:rFonts w:ascii="Sylfaen" w:hAnsi="Sylfaen"/>
          <w:sz w:val="24"/>
          <w:szCs w:val="24"/>
        </w:rPr>
        <w:t>և</w:t>
      </w:r>
      <w:r w:rsidRPr="003B2786">
        <w:rPr>
          <w:rFonts w:ascii="Sylfaen" w:hAnsi="Sylfaen"/>
          <w:sz w:val="24"/>
          <w:szCs w:val="24"/>
        </w:rPr>
        <w:t xml:space="preserve"> IV բաժիններով նախատեսված ընթացակարգերից մեկի հետ</w:t>
      </w:r>
      <w:r w:rsidR="00C54D75">
        <w:rPr>
          <w:rFonts w:ascii="Sylfaen" w:hAnsi="Sylfaen"/>
          <w:sz w:val="24"/>
          <w:szCs w:val="24"/>
        </w:rPr>
        <w:t>և</w:t>
      </w:r>
      <w:r w:rsidRPr="003B2786">
        <w:rPr>
          <w:rFonts w:ascii="Sylfaen" w:hAnsi="Sylfaen"/>
          <w:sz w:val="24"/>
          <w:szCs w:val="24"/>
        </w:rPr>
        <w:t xml:space="preserve">անքով դեղապատրաստուկի գրանցման մասին որոշման փոփոխության դեպքում անդամ պետության համապատասխան մարմինը պետք է գրանցման փոփոխության մասին անհապաղ ծանուցի </w:t>
      </w:r>
      <w:r w:rsidR="0056496B">
        <w:rPr>
          <w:rFonts w:ascii="Sylfaen" w:hAnsi="Sylfaen"/>
          <w:sz w:val="24"/>
          <w:szCs w:val="24"/>
        </w:rPr>
        <w:t>դիմումատու</w:t>
      </w:r>
      <w:r w:rsidRPr="003B2786">
        <w:rPr>
          <w:rFonts w:ascii="Sylfaen" w:hAnsi="Sylfaen"/>
          <w:sz w:val="24"/>
          <w:szCs w:val="24"/>
        </w:rPr>
        <w:t>ին:</w:t>
      </w:r>
    </w:p>
    <w:p w14:paraId="56A040C7" w14:textId="7777777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4.2.2.</w:t>
      </w:r>
      <w:r w:rsidRPr="003B2786">
        <w:rPr>
          <w:rFonts w:ascii="Sylfaen" w:hAnsi="Sylfaen"/>
          <w:sz w:val="24"/>
          <w:szCs w:val="24"/>
        </w:rPr>
        <w:tab/>
        <w:t>Փոփոխությունների իրագործումը։</w:t>
      </w:r>
    </w:p>
    <w:p w14:paraId="5CE1EEFA"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իրագործումը թույլատրվում է ցանկացած ժամանակ՝ մինչ</w:t>
      </w:r>
      <w:r w:rsidR="00C54D75">
        <w:rPr>
          <w:rFonts w:ascii="Sylfaen" w:hAnsi="Sylfaen"/>
          <w:sz w:val="24"/>
          <w:szCs w:val="24"/>
        </w:rPr>
        <w:t>և</w:t>
      </w:r>
      <w:r w:rsidRPr="003B2786">
        <w:rPr>
          <w:rFonts w:ascii="Sylfaen" w:hAnsi="Sylfaen"/>
          <w:sz w:val="24"/>
          <w:szCs w:val="24"/>
        </w:rPr>
        <w:t xml:space="preserve"> սույն հավելվածի 2.1 </w:t>
      </w:r>
      <w:r w:rsidR="00C54D75">
        <w:rPr>
          <w:rFonts w:ascii="Sylfaen" w:hAnsi="Sylfaen"/>
          <w:sz w:val="24"/>
          <w:szCs w:val="24"/>
        </w:rPr>
        <w:t>և</w:t>
      </w:r>
      <w:r w:rsidRPr="003B2786">
        <w:rPr>
          <w:rFonts w:ascii="Sylfaen" w:hAnsi="Sylfaen"/>
          <w:sz w:val="24"/>
          <w:szCs w:val="24"/>
        </w:rPr>
        <w:t xml:space="preserve"> 3.1 կետերով նախատեսված ընթացակարգի եզրափակումը:</w:t>
      </w:r>
    </w:p>
    <w:p w14:paraId="6299E11B" w14:textId="437CD158"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Եթե մեկ կամ մի քանի IA տիպի ոչ էական փոփոխություններին առնչվող ծանուցումը մերժվել է, ապա սույն հավելվածի 2.4.1 կետի 2-րդ պարբերության </w:t>
      </w:r>
      <w:r w:rsidR="00C54D75">
        <w:rPr>
          <w:rFonts w:ascii="Sylfaen" w:hAnsi="Sylfaen"/>
          <w:sz w:val="24"/>
          <w:szCs w:val="24"/>
        </w:rPr>
        <w:t>և</w:t>
      </w:r>
      <w:r w:rsidRPr="003B2786">
        <w:rPr>
          <w:rFonts w:ascii="Sylfaen" w:hAnsi="Sylfaen"/>
          <w:sz w:val="24"/>
          <w:szCs w:val="24"/>
        </w:rPr>
        <w:t xml:space="preserve"> 3.5.1 կետի 2-րդ պարբերության մեջ հիշատակված տեղեկություններն ստանալուց անմիջապես հետո </w:t>
      </w:r>
      <w:r w:rsidR="0056496B">
        <w:rPr>
          <w:rFonts w:ascii="Sylfaen" w:hAnsi="Sylfaen"/>
          <w:sz w:val="24"/>
          <w:szCs w:val="24"/>
        </w:rPr>
        <w:t>դիմումատու</w:t>
      </w:r>
      <w:r w:rsidRPr="003B2786">
        <w:rPr>
          <w:rFonts w:ascii="Sylfaen" w:hAnsi="Sylfaen"/>
          <w:sz w:val="24"/>
          <w:szCs w:val="24"/>
        </w:rPr>
        <w:t>ն պետք է դադարեցնի դիտարկվող փոփոխություններն իրագործելը:</w:t>
      </w:r>
    </w:p>
    <w:p w14:paraId="445DC56A"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IB տիպի ոչ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5C6B4FF8" w14:textId="1E4B6126"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2.2 կետի համաձայն լիազորված մարմնի (փորձագիտական կազմակերպության) կողմից ծանուցումն ընդունված լինելու մասին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ին ծանուցելուց հետո, կամ եթե ծանուցումը համարվում է ընդունված՝ համաձայն 2.2.3 ենթակետի.</w:t>
      </w:r>
    </w:p>
    <w:p w14:paraId="1BE7BC7B" w14:textId="4E6BB74D"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ոչ շուտ, քան 3.2 կետի համաձայն լիազորված մարմնի (փորձագիտական կազմակերպության) կողմից ծանուցումն ընդունված լինելու մասին համապատասխան մարմնի կողմից </w:t>
      </w:r>
      <w:r w:rsidR="0056496B">
        <w:rPr>
          <w:rFonts w:ascii="Sylfaen" w:hAnsi="Sylfaen"/>
          <w:sz w:val="24"/>
          <w:szCs w:val="24"/>
        </w:rPr>
        <w:lastRenderedPageBreak/>
        <w:t>դիմումատու</w:t>
      </w:r>
      <w:r w:rsidRPr="003B2786">
        <w:rPr>
          <w:rFonts w:ascii="Sylfaen" w:hAnsi="Sylfaen"/>
          <w:sz w:val="24"/>
          <w:szCs w:val="24"/>
        </w:rPr>
        <w:t>ին ծանուցելուց հետո, կամ եթե ծանուցումը համարվում է ընդունված՝ համաձայն 3.2.3 ենթակետի.</w:t>
      </w:r>
    </w:p>
    <w:p w14:paraId="243676EE" w14:textId="477A9687" w:rsidR="008C76E0" w:rsidRPr="003B2786" w:rsidRDefault="008C76E0" w:rsidP="00593820">
      <w:pPr>
        <w:tabs>
          <w:tab w:val="left" w:pos="1701"/>
        </w:tabs>
        <w:spacing w:after="160" w:line="360" w:lineRule="auto"/>
        <w:ind w:right="-1" w:firstLine="567"/>
        <w:jc w:val="both"/>
        <w:rPr>
          <w:rFonts w:ascii="Sylfaen" w:hAnsi="Sylfaen"/>
          <w:sz w:val="24"/>
          <w:szCs w:val="24"/>
        </w:rPr>
      </w:pPr>
      <w:r w:rsidRPr="003B2786">
        <w:rPr>
          <w:rFonts w:ascii="Sylfaen" w:hAnsi="Sylfaen"/>
          <w:sz w:val="24"/>
          <w:szCs w:val="24"/>
        </w:rPr>
        <w:t>4.2.1</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ոչ շուտ, քան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եզրակացության դրական լինելու մասին ծանուցելուց հետո: </w:t>
      </w:r>
    </w:p>
    <w:p w14:paraId="587D3D6F"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հավելվածի 1.6 կետի:</w:t>
      </w:r>
    </w:p>
    <w:p w14:paraId="57AAB546" w14:textId="77777777"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II տիպի էական փոփոխությունների իրագործումը թույլատրվում է միայն հետ</w:t>
      </w:r>
      <w:r w:rsidR="00C54D75">
        <w:rPr>
          <w:rFonts w:ascii="Sylfaen" w:hAnsi="Sylfaen"/>
          <w:sz w:val="24"/>
          <w:szCs w:val="24"/>
        </w:rPr>
        <w:t>և</w:t>
      </w:r>
      <w:r w:rsidRPr="003B2786">
        <w:rPr>
          <w:rFonts w:ascii="Sylfaen" w:hAnsi="Sylfaen"/>
          <w:sz w:val="24"/>
          <w:szCs w:val="24"/>
        </w:rPr>
        <w:t>յալ դեպքերում՝</w:t>
      </w:r>
    </w:p>
    <w:p w14:paraId="4AF91220" w14:textId="63B5CB9C"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233C52">
        <w:rPr>
          <w:rFonts w:ascii="Sylfaen" w:hAnsi="Sylfaen"/>
          <w:sz w:val="24"/>
          <w:szCs w:val="24"/>
        </w:rPr>
        <w:t xml:space="preserve"> </w:t>
      </w:r>
      <w:r w:rsidRPr="003B2786">
        <w:rPr>
          <w:rFonts w:ascii="Sylfaen" w:hAnsi="Sylfaen"/>
          <w:sz w:val="24"/>
          <w:szCs w:val="24"/>
        </w:rPr>
        <w:t xml:space="preserve">պետության լիազորված մարմնի (փորձագիտական կազմակերպության)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2.3 կետի համաձայն փոփոխությունն ընդունվել է այն պայմանով, որ դեղապատրաստուկի գրանցման դոսյեի փոփոխության համար անհրաժեշտ փաստաթղթերը ներկայացվեն շահագրգիռ անդամ պետությունների համապատասխան մարմիններ: Եթե 2.6 կետին համապատասխան մեկնարկվել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մինչ</w:t>
      </w:r>
      <w:r w:rsidR="00C54D75">
        <w:rPr>
          <w:rFonts w:ascii="Sylfaen" w:hAnsi="Sylfaen"/>
          <w:sz w:val="24"/>
          <w:szCs w:val="24"/>
        </w:rPr>
        <w:t>և</w:t>
      </w:r>
      <w:r w:rsidRPr="003B2786">
        <w:rPr>
          <w:rFonts w:ascii="Sylfaen" w:hAnsi="Sylfaen"/>
          <w:sz w:val="24"/>
          <w:szCs w:val="24"/>
        </w:rPr>
        <w:t xml:space="preserve"> դիտարկվող փոփոխության առնչությամբ համաձայնեցման ընթացակարգի եզրափակումը չպետք է իրագործի փոփոխությունները.</w:t>
      </w:r>
    </w:p>
    <w:p w14:paraId="50392B58" w14:textId="5E9341BD" w:rsidR="008C76E0" w:rsidRPr="003B2786" w:rsidRDefault="008C76E0" w:rsidP="00945A7B">
      <w:pPr>
        <w:tabs>
          <w:tab w:val="left" w:pos="1418"/>
        </w:tabs>
        <w:spacing w:after="160" w:line="384" w:lineRule="auto"/>
        <w:ind w:firstLine="567"/>
        <w:jc w:val="both"/>
        <w:rPr>
          <w:rFonts w:ascii="Sylfaen" w:hAnsi="Sylfaen"/>
          <w:sz w:val="24"/>
          <w:szCs w:val="24"/>
        </w:rPr>
      </w:pPr>
      <w:r w:rsidRPr="003B2786">
        <w:rPr>
          <w:rFonts w:ascii="Sylfaen" w:hAnsi="Sylfaen"/>
          <w:sz w:val="24"/>
          <w:szCs w:val="24"/>
        </w:rPr>
        <w:t xml:space="preserve">III բաժնով նախատեսված ընթացակարգերին համապատասխան՝ </w:t>
      </w:r>
      <w:r w:rsidR="0056496B">
        <w:rPr>
          <w:rFonts w:ascii="Sylfaen" w:hAnsi="Sylfaen"/>
          <w:sz w:val="24"/>
          <w:szCs w:val="24"/>
        </w:rPr>
        <w:t>դիմումատու</w:t>
      </w:r>
      <w:r w:rsidRPr="003B2786">
        <w:rPr>
          <w:rFonts w:ascii="Sylfaen" w:hAnsi="Sylfaen"/>
          <w:sz w:val="24"/>
          <w:szCs w:val="24"/>
        </w:rPr>
        <w:t xml:space="preserve">ի կողմից ներկայացված փոփոխությունների համար՝ համապատասխան մարմնի կողմից </w:t>
      </w:r>
      <w:r w:rsidR="0056496B">
        <w:rPr>
          <w:rFonts w:ascii="Sylfaen" w:hAnsi="Sylfaen"/>
          <w:sz w:val="24"/>
          <w:szCs w:val="24"/>
        </w:rPr>
        <w:t>դիմումատու</w:t>
      </w:r>
      <w:r w:rsidRPr="003B2786">
        <w:rPr>
          <w:rFonts w:ascii="Sylfaen" w:hAnsi="Sylfaen"/>
          <w:sz w:val="24"/>
          <w:szCs w:val="24"/>
        </w:rPr>
        <w:t>ին այն մասին ծանուցելուց հետո, որ փոփոխությունն ընդունվել է համաձայն 3.3 կետի.</w:t>
      </w:r>
    </w:p>
    <w:p w14:paraId="3C40A104" w14:textId="04AF3A30" w:rsidR="008C76E0" w:rsidRPr="003B2786" w:rsidRDefault="008C76E0" w:rsidP="00945A7B">
      <w:pPr>
        <w:tabs>
          <w:tab w:val="left" w:pos="1701"/>
        </w:tabs>
        <w:spacing w:after="160" w:line="384" w:lineRule="auto"/>
        <w:ind w:firstLine="567"/>
        <w:jc w:val="both"/>
        <w:rPr>
          <w:rFonts w:ascii="Sylfaen" w:hAnsi="Sylfaen"/>
          <w:sz w:val="24"/>
          <w:szCs w:val="24"/>
        </w:rPr>
      </w:pPr>
      <w:r w:rsidRPr="003B2786">
        <w:rPr>
          <w:rFonts w:ascii="Sylfaen" w:hAnsi="Sylfaen"/>
          <w:sz w:val="24"/>
          <w:szCs w:val="24"/>
        </w:rPr>
        <w:lastRenderedPageBreak/>
        <w:t>4.1.2</w:t>
      </w:r>
      <w:r w:rsidRPr="003B2786">
        <w:rPr>
          <w:rFonts w:ascii="Sylfaen" w:hAnsi="Sylfaen"/>
          <w:sz w:val="24"/>
          <w:szCs w:val="24"/>
        </w:rPr>
        <w:tab/>
        <w:t xml:space="preserve">ենթակետով նախատեսված ընթացակարգին համապատասխան՝ </w:t>
      </w:r>
      <w:r w:rsidR="0056496B">
        <w:rPr>
          <w:rFonts w:ascii="Sylfaen" w:hAnsi="Sylfaen"/>
          <w:sz w:val="24"/>
          <w:szCs w:val="24"/>
        </w:rPr>
        <w:t>դիմումատու</w:t>
      </w:r>
      <w:r w:rsidRPr="003B2786">
        <w:rPr>
          <w:rFonts w:ascii="Sylfaen" w:hAnsi="Sylfaen"/>
          <w:sz w:val="24"/>
          <w:szCs w:val="24"/>
        </w:rPr>
        <w:t>ի կողմից ներկայացված փոփոխությունների համար՝ ռեֆերենտ</w:t>
      </w:r>
      <w:r w:rsidRPr="003B2786" w:rsidDel="00F27E2E">
        <w:rPr>
          <w:rFonts w:ascii="Sylfaen" w:hAnsi="Sylfaen"/>
          <w:sz w:val="24"/>
          <w:szCs w:val="24"/>
        </w:rPr>
        <w:t xml:space="preserve"> </w:t>
      </w:r>
      <w:r w:rsidRPr="003B2786">
        <w:rPr>
          <w:rFonts w:ascii="Sylfaen" w:hAnsi="Sylfaen"/>
          <w:sz w:val="24"/>
          <w:szCs w:val="24"/>
        </w:rPr>
        <w:t xml:space="preserve">մարմնի կողմից </w:t>
      </w:r>
      <w:r w:rsidR="0056496B">
        <w:rPr>
          <w:rFonts w:ascii="Sylfaen" w:hAnsi="Sylfaen"/>
          <w:sz w:val="24"/>
          <w:szCs w:val="24"/>
        </w:rPr>
        <w:t>դիմումատու</w:t>
      </w:r>
      <w:r w:rsidRPr="003B2786">
        <w:rPr>
          <w:rFonts w:ascii="Sylfaen" w:hAnsi="Sylfaen"/>
          <w:sz w:val="24"/>
          <w:szCs w:val="24"/>
        </w:rPr>
        <w:t xml:space="preserve">ին այն մասին ծանուցելու օրվանից 30 օրացուցային օրվա ընթացքում, որ եզրակացությունը դրական է այն պայմանով, որ դեղապատրաստուկի գրանցման դոսյեի փոփոխության համար անհրաժեշտ փաստաթղթերը ներկայացվեն շահագրգիռ անդամ պետություններ, եթե 2.6 կետին համապատասխան չի սկսվել համաձայնեցման ընթացակարգը: Եթե 2.6 կետին համապատասխան սկսվել է համաձայնեցման ընթացակարգը, ապա </w:t>
      </w:r>
      <w:r w:rsidR="0056496B">
        <w:rPr>
          <w:rFonts w:ascii="Sylfaen" w:hAnsi="Sylfaen"/>
          <w:sz w:val="24"/>
          <w:szCs w:val="24"/>
        </w:rPr>
        <w:t>դիմումատու</w:t>
      </w:r>
      <w:r w:rsidRPr="003B2786">
        <w:rPr>
          <w:rFonts w:ascii="Sylfaen" w:hAnsi="Sylfaen"/>
          <w:sz w:val="24"/>
          <w:szCs w:val="24"/>
        </w:rPr>
        <w:t>ն չպետք է մինչ</w:t>
      </w:r>
      <w:r w:rsidR="00C54D75">
        <w:rPr>
          <w:rFonts w:ascii="Sylfaen" w:hAnsi="Sylfaen"/>
          <w:sz w:val="24"/>
          <w:szCs w:val="24"/>
        </w:rPr>
        <w:t>և</w:t>
      </w:r>
      <w:r w:rsidRPr="003B2786">
        <w:rPr>
          <w:rFonts w:ascii="Sylfaen" w:hAnsi="Sylfaen"/>
          <w:sz w:val="24"/>
          <w:szCs w:val="24"/>
        </w:rPr>
        <w:t xml:space="preserve"> փոփոխությունն ընդունելու վերաբերյալ համաձայնեցման ընթացակարգի եզրափակումն իրագործի փոփոխությունը:</w:t>
      </w:r>
    </w:p>
    <w:p w14:paraId="166DEC53" w14:textId="77777777"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Դեղապատրաստուկի մասին տեղեկատվության վերանայմանը հանգեցնող ցանկացած փոփոխության իրագործում թույլատրվում է գրանցման դոսյեի մեջ փոփոխություններ կատարելուց հետո` համաձայն սույն փաստաթղթի 1.6 կետի:</w:t>
      </w:r>
    </w:p>
    <w:p w14:paraId="120FE5C6" w14:textId="366EC344" w:rsidR="008C76E0" w:rsidRPr="003B2786" w:rsidRDefault="008C76E0" w:rsidP="00593820">
      <w:pPr>
        <w:tabs>
          <w:tab w:val="left" w:pos="1418"/>
        </w:tabs>
        <w:spacing w:after="160" w:line="360" w:lineRule="auto"/>
        <w:ind w:firstLine="567"/>
        <w:jc w:val="both"/>
        <w:rPr>
          <w:rFonts w:ascii="Sylfaen" w:hAnsi="Sylfaen"/>
          <w:sz w:val="24"/>
          <w:szCs w:val="24"/>
        </w:rPr>
      </w:pPr>
      <w:r w:rsidRPr="003B2786">
        <w:rPr>
          <w:rFonts w:ascii="Sylfaen" w:hAnsi="Sylfaen"/>
          <w:sz w:val="24"/>
          <w:szCs w:val="24"/>
        </w:rPr>
        <w:t xml:space="preserve">Դեղապատրաստուկների գրանցման ընդլայնման իրագործումը թույլատրվում է միայն համապատասխան լիազորված մարմնի կողմից գրանցման մասին որոշումը փոխելուց </w:t>
      </w:r>
      <w:r w:rsidR="00C54D75">
        <w:rPr>
          <w:rFonts w:ascii="Sylfaen" w:hAnsi="Sylfaen"/>
          <w:sz w:val="24"/>
          <w:szCs w:val="24"/>
        </w:rPr>
        <w:t>և</w:t>
      </w:r>
      <w:r w:rsidRPr="003B2786">
        <w:rPr>
          <w:rFonts w:ascii="Sylfaen" w:hAnsi="Sylfaen"/>
          <w:sz w:val="24"/>
          <w:szCs w:val="24"/>
        </w:rPr>
        <w:t xml:space="preserve"> դրա մասին համապատասխանաբար </w:t>
      </w:r>
      <w:r w:rsidR="0056496B">
        <w:rPr>
          <w:rFonts w:ascii="Sylfaen" w:hAnsi="Sylfaen"/>
          <w:sz w:val="24"/>
          <w:szCs w:val="24"/>
        </w:rPr>
        <w:t>դիմումատու</w:t>
      </w:r>
      <w:r w:rsidRPr="003B2786">
        <w:rPr>
          <w:rFonts w:ascii="Sylfaen" w:hAnsi="Sylfaen"/>
          <w:sz w:val="24"/>
          <w:szCs w:val="24"/>
        </w:rPr>
        <w:t>ին ծանուցելուց հետո:</w:t>
      </w:r>
    </w:p>
    <w:p w14:paraId="06EEAA8F" w14:textId="5EB39A1D"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համապատասխան մարմնի միջ</w:t>
      </w:r>
      <w:r w:rsidR="00C54D75">
        <w:rPr>
          <w:rFonts w:ascii="Sylfaen" w:hAnsi="Sylfaen"/>
          <w:sz w:val="24"/>
          <w:szCs w:val="24"/>
        </w:rPr>
        <w:t>և</w:t>
      </w:r>
      <w:r w:rsidRPr="003B2786">
        <w:rPr>
          <w:rFonts w:ascii="Sylfaen" w:hAnsi="Sylfaen"/>
          <w:sz w:val="24"/>
          <w:szCs w:val="24"/>
        </w:rPr>
        <w:t xml:space="preserve"> համաձայնեցված ժամկետներում:</w:t>
      </w:r>
    </w:p>
    <w:p w14:paraId="0D11EA52" w14:textId="5A2E2982" w:rsidR="008C76E0" w:rsidRPr="003B2786" w:rsidRDefault="008C76E0" w:rsidP="00593820">
      <w:pPr>
        <w:tabs>
          <w:tab w:val="left" w:pos="1418"/>
        </w:tabs>
        <w:spacing w:after="160" w:line="360" w:lineRule="auto"/>
        <w:ind w:right="-1" w:firstLine="567"/>
        <w:jc w:val="both"/>
        <w:rPr>
          <w:rFonts w:ascii="Sylfaen" w:hAnsi="Sylfaen"/>
          <w:sz w:val="24"/>
          <w:szCs w:val="24"/>
        </w:rPr>
      </w:pPr>
      <w:r w:rsidRPr="003B2786">
        <w:rPr>
          <w:rFonts w:ascii="Sylfaen" w:hAnsi="Sylfaen"/>
          <w:sz w:val="24"/>
          <w:szCs w:val="24"/>
        </w:rPr>
        <w:t xml:space="preserve">Բացառման կարգով անվտանգության մասով անհետաձգելի սահմանափակումների </w:t>
      </w:r>
      <w:r w:rsidR="00C54D75">
        <w:rPr>
          <w:rFonts w:ascii="Sylfaen" w:hAnsi="Sylfaen"/>
          <w:sz w:val="24"/>
          <w:szCs w:val="24"/>
        </w:rPr>
        <w:t>և</w:t>
      </w:r>
      <w:r w:rsidRPr="003B2786">
        <w:rPr>
          <w:rFonts w:ascii="Sylfaen" w:hAnsi="Sylfaen"/>
          <w:sz w:val="24"/>
          <w:szCs w:val="24"/>
        </w:rPr>
        <w:t xml:space="preserve"> անվտանգության հարցերին առնչվող փոփոխությունների իրագործումը թույլատրվում է մնացած համապատասխան մարմինների հետ խորհրդակցելուց հետո՝ իրավատիրոջ (</w:t>
      </w:r>
      <w:r w:rsidR="0056496B">
        <w:rPr>
          <w:rFonts w:ascii="Sylfaen" w:hAnsi="Sylfaen"/>
          <w:sz w:val="24"/>
          <w:szCs w:val="24"/>
        </w:rPr>
        <w:t>դիմումատու</w:t>
      </w:r>
      <w:r w:rsidRPr="003B2786">
        <w:rPr>
          <w:rFonts w:ascii="Sylfaen" w:hAnsi="Sylfaen"/>
          <w:sz w:val="24"/>
          <w:szCs w:val="24"/>
        </w:rPr>
        <w:t xml:space="preserve">ի) </w:t>
      </w:r>
      <w:r w:rsidR="00C54D75">
        <w:rPr>
          <w:rFonts w:ascii="Sylfaen" w:hAnsi="Sylfaen"/>
          <w:sz w:val="24"/>
          <w:szCs w:val="24"/>
        </w:rPr>
        <w:t>և</w:t>
      </w:r>
      <w:r w:rsidRPr="003B2786">
        <w:rPr>
          <w:rFonts w:ascii="Sylfaen" w:hAnsi="Sylfaen"/>
          <w:sz w:val="24"/>
          <w:szCs w:val="24"/>
        </w:rPr>
        <w:t xml:space="preserve"> ռեֆերենտ</w:t>
      </w:r>
      <w:r w:rsidRPr="003B2786" w:rsidDel="00233C52">
        <w:rPr>
          <w:rFonts w:ascii="Sylfaen" w:hAnsi="Sylfaen"/>
          <w:sz w:val="24"/>
          <w:szCs w:val="24"/>
        </w:rPr>
        <w:t xml:space="preserve"> </w:t>
      </w:r>
      <w:r w:rsidRPr="003B2786">
        <w:rPr>
          <w:rFonts w:ascii="Sylfaen" w:hAnsi="Sylfaen"/>
          <w:sz w:val="24"/>
          <w:szCs w:val="24"/>
        </w:rPr>
        <w:t>պետության լիազորված մարմնի միջ</w:t>
      </w:r>
      <w:r w:rsidR="00C54D75">
        <w:rPr>
          <w:rFonts w:ascii="Sylfaen" w:hAnsi="Sylfaen"/>
          <w:sz w:val="24"/>
          <w:szCs w:val="24"/>
        </w:rPr>
        <w:t>և</w:t>
      </w:r>
      <w:r w:rsidRPr="003B2786">
        <w:rPr>
          <w:rFonts w:ascii="Sylfaen" w:hAnsi="Sylfaen"/>
          <w:sz w:val="24"/>
          <w:szCs w:val="24"/>
        </w:rPr>
        <w:t xml:space="preserve"> համաձայնեցված ժամկետում:</w:t>
      </w:r>
    </w:p>
    <w:p w14:paraId="03571260" w14:textId="77777777" w:rsidR="008C76E0" w:rsidRPr="003B2786" w:rsidRDefault="008C76E0" w:rsidP="00593820">
      <w:pPr>
        <w:spacing w:after="160" w:line="360" w:lineRule="auto"/>
        <w:ind w:right="-1" w:firstLine="567"/>
        <w:jc w:val="both"/>
        <w:rPr>
          <w:rFonts w:ascii="Sylfaen" w:hAnsi="Sylfaen"/>
          <w:sz w:val="24"/>
          <w:szCs w:val="24"/>
        </w:rPr>
      </w:pPr>
    </w:p>
    <w:p w14:paraId="3E68A466" w14:textId="77777777" w:rsidR="008C76E0" w:rsidRPr="003B2786" w:rsidRDefault="008C76E0" w:rsidP="00593820">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V. Եզրափակիչ դրույթներ</w:t>
      </w:r>
    </w:p>
    <w:p w14:paraId="4F77A762" w14:textId="77777777" w:rsidR="008C76E0" w:rsidRPr="003B2786" w:rsidRDefault="008C76E0" w:rsidP="00593820">
      <w:pPr>
        <w:spacing w:after="160" w:line="360" w:lineRule="auto"/>
        <w:ind w:right="-1"/>
        <w:jc w:val="center"/>
        <w:outlineLvl w:val="0"/>
        <w:rPr>
          <w:rFonts w:ascii="Sylfaen" w:hAnsi="Sylfaen"/>
          <w:sz w:val="24"/>
          <w:szCs w:val="24"/>
        </w:rPr>
      </w:pPr>
    </w:p>
    <w:p w14:paraId="3C5D3BA2"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5.1. Շարունակական մոնիթորինգ</w:t>
      </w:r>
    </w:p>
    <w:p w14:paraId="5FC5984E" w14:textId="3D202224"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Համապատասխան մարմնի հարցմամբ </w:t>
      </w:r>
      <w:r w:rsidR="0056496B">
        <w:rPr>
          <w:rFonts w:ascii="Sylfaen" w:hAnsi="Sylfaen"/>
          <w:sz w:val="24"/>
          <w:szCs w:val="24"/>
        </w:rPr>
        <w:t>դիմումատու</w:t>
      </w:r>
      <w:r w:rsidRPr="003B2786">
        <w:rPr>
          <w:rFonts w:ascii="Sylfaen" w:hAnsi="Sylfaen"/>
          <w:sz w:val="24"/>
          <w:szCs w:val="24"/>
        </w:rPr>
        <w:t>ն պետք է անմիջապես ներկայացնի որոշակի փոփոխության իրագործմանը վերաբերող բոլոր տեղեկությունները:</w:t>
      </w:r>
    </w:p>
    <w:p w14:paraId="3A70DC1A" w14:textId="77777777" w:rsidR="008C76E0" w:rsidRPr="003B2786" w:rsidRDefault="008C76E0" w:rsidP="00593820">
      <w:pPr>
        <w:spacing w:after="160" w:line="360" w:lineRule="auto"/>
        <w:ind w:right="-1" w:firstLine="567"/>
        <w:jc w:val="both"/>
        <w:rPr>
          <w:rFonts w:ascii="Sylfaen" w:hAnsi="Sylfaen"/>
          <w:sz w:val="24"/>
          <w:szCs w:val="24"/>
        </w:rPr>
      </w:pPr>
    </w:p>
    <w:p w14:paraId="16B89D47" w14:textId="77777777" w:rsidR="008C76E0" w:rsidRPr="003B2786" w:rsidRDefault="008C76E0" w:rsidP="00593820">
      <w:pPr>
        <w:spacing w:after="160" w:line="360" w:lineRule="auto"/>
        <w:ind w:right="-1"/>
        <w:jc w:val="center"/>
        <w:rPr>
          <w:rFonts w:ascii="Sylfaen" w:hAnsi="Sylfaen"/>
          <w:sz w:val="24"/>
          <w:szCs w:val="24"/>
        </w:rPr>
      </w:pPr>
      <w:r w:rsidRPr="003B2786">
        <w:rPr>
          <w:rFonts w:ascii="Sylfaen" w:hAnsi="Sylfaen"/>
          <w:sz w:val="24"/>
          <w:szCs w:val="24"/>
        </w:rPr>
        <w:t>5.2.Սույն փաստաթղթի վերանայումը</w:t>
      </w:r>
    </w:p>
    <w:p w14:paraId="43765960" w14:textId="77777777" w:rsidR="008C76E0" w:rsidRPr="003B2786" w:rsidRDefault="008C76E0" w:rsidP="00593820">
      <w:pPr>
        <w:spacing w:after="160" w:line="360" w:lineRule="auto"/>
        <w:ind w:right="-1" w:firstLine="567"/>
        <w:jc w:val="both"/>
        <w:rPr>
          <w:rFonts w:ascii="Sylfaen" w:hAnsi="Sylfaen"/>
          <w:sz w:val="24"/>
          <w:szCs w:val="24"/>
        </w:rPr>
      </w:pPr>
      <w:r w:rsidRPr="003B2786">
        <w:rPr>
          <w:rFonts w:ascii="Sylfaen" w:hAnsi="Sylfaen"/>
          <w:sz w:val="24"/>
          <w:szCs w:val="24"/>
        </w:rPr>
        <w:t xml:space="preserve">Ոչ ուշ, քան Բժշկական կիրառման դեղամիջոցների գրանցման </w:t>
      </w:r>
      <w:r w:rsidR="00C54D75">
        <w:rPr>
          <w:rFonts w:ascii="Sylfaen" w:hAnsi="Sylfaen"/>
          <w:sz w:val="24"/>
          <w:szCs w:val="24"/>
        </w:rPr>
        <w:t>և</w:t>
      </w:r>
      <w:r w:rsidRPr="003B2786">
        <w:rPr>
          <w:rFonts w:ascii="Sylfaen" w:hAnsi="Sylfaen"/>
          <w:sz w:val="24"/>
          <w:szCs w:val="24"/>
        </w:rPr>
        <w:t xml:space="preserve"> փորձաքննության կանոններն ուժի մեջ մտնելու օրվանից 5 տարի հետո Դեղամիջոցների հարցերով փորձագիտական կոմիտեն պետք է գնահատի փոփոխությունների դասակարգման մասով սույն փաստաթղթի կիրառելիությունը ժամանակակից գիտական տվյալների հիման վրա արդիական վիճակը պահպանելու համար այնպիսի անհրաժեշտ փոփոխություններ առաջարկելու նպատակով, որոնք ուղղված են I </w:t>
      </w:r>
      <w:r w:rsidR="00C54D75">
        <w:rPr>
          <w:rFonts w:ascii="Sylfaen" w:hAnsi="Sylfaen"/>
          <w:sz w:val="24"/>
          <w:szCs w:val="24"/>
        </w:rPr>
        <w:t>և</w:t>
      </w:r>
      <w:r w:rsidRPr="003B2786">
        <w:rPr>
          <w:rFonts w:ascii="Sylfaen" w:hAnsi="Sylfaen"/>
          <w:sz w:val="24"/>
          <w:szCs w:val="24"/>
        </w:rPr>
        <w:t xml:space="preserve"> II լրացումների հարմարեցմանը:</w:t>
      </w:r>
    </w:p>
    <w:p w14:paraId="2E4F94A3" w14:textId="77777777" w:rsidR="008C76E0" w:rsidRPr="003B2786" w:rsidRDefault="008C76E0" w:rsidP="00593820">
      <w:pPr>
        <w:spacing w:after="160" w:line="360" w:lineRule="auto"/>
        <w:ind w:right="-1"/>
        <w:jc w:val="both"/>
        <w:rPr>
          <w:rFonts w:ascii="Sylfaen" w:eastAsia="Times New Roman" w:hAnsi="Sylfaen" w:cs="Times New Roman"/>
          <w:sz w:val="24"/>
          <w:szCs w:val="24"/>
        </w:rPr>
      </w:pPr>
      <w:r w:rsidRPr="003B2786">
        <w:rPr>
          <w:rFonts w:ascii="Sylfaen" w:hAnsi="Sylfaen"/>
          <w:sz w:val="24"/>
          <w:szCs w:val="24"/>
        </w:rPr>
        <w:br w:type="page"/>
      </w:r>
    </w:p>
    <w:p w14:paraId="3E06061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lastRenderedPageBreak/>
        <w:t>Լրացում I</w:t>
      </w:r>
    </w:p>
    <w:p w14:paraId="0825324C" w14:textId="77777777" w:rsidR="008C76E0" w:rsidRPr="003B2786" w:rsidRDefault="008C76E0" w:rsidP="00945A7B">
      <w:pPr>
        <w:spacing w:after="160" w:line="360" w:lineRule="auto"/>
        <w:ind w:right="-1"/>
        <w:jc w:val="center"/>
        <w:outlineLvl w:val="0"/>
        <w:rPr>
          <w:rFonts w:ascii="Sylfaen" w:hAnsi="Sylfaen"/>
          <w:sz w:val="24"/>
          <w:szCs w:val="24"/>
        </w:rPr>
      </w:pPr>
      <w:r w:rsidRPr="003B2786">
        <w:rPr>
          <w:rFonts w:ascii="Sylfaen" w:hAnsi="Sylfaen"/>
          <w:sz w:val="24"/>
          <w:szCs w:val="24"/>
        </w:rPr>
        <w:t>Գրանցման ընդլայնումը</w:t>
      </w:r>
    </w:p>
    <w:p w14:paraId="1607441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Ակտիվ դեղագործական բաղադրամասերի փոփոխությունները՝</w:t>
      </w:r>
    </w:p>
    <w:p w14:paraId="2FCBB57E"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քիմիական սինթեզի եղանակով ստացված ակտիվ դեղագործական բաղադրամասերի փոխարինումն այլ աղով (եթերով, համալիրով, ածանցյալով) ազդող նյութի մոլեկուլի մի</w:t>
      </w:r>
      <w:r w:rsidR="00C54D75">
        <w:rPr>
          <w:rFonts w:ascii="Sylfaen" w:hAnsi="Sylfaen"/>
          <w:sz w:val="24"/>
          <w:szCs w:val="24"/>
        </w:rPr>
        <w:t>և</w:t>
      </w:r>
      <w:r w:rsidRPr="003B2786">
        <w:rPr>
          <w:rFonts w:ascii="Sylfaen" w:hAnsi="Sylfaen"/>
          <w:sz w:val="24"/>
          <w:szCs w:val="24"/>
        </w:rPr>
        <w:t xml:space="preserve">նույն ակտիվ մասով՝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4FE70C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 xml:space="preserve">ակտիվ դեղագործական բաղադրամասի փոխարինումն այլ իզոմերով, իզոմերների այլ խառնուրդով, առանձին իզոմերների խառնուրդով (օրինակ՝ ռացեմատի փոխարինումը միակ էնանտիոմերով)՝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20393925"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ակտիվ կենսաբանական դեղագործական բաղադրամասի փոխարինումը մեկ այլ՝ փոքր-ինչ փոփոխված մոլեկուլային կառուցվածքով` արդյունավետության (կամ) անվտանգության մեջ էական տարբերությունների բացակայության դեպքում՝ բացառությամբ մարդու մոտ գրիպի կանխարգելման համար նախատեսված սեզոնային, նախահամավարակային կամ համավարակային պատվաստանյութի ակտիվ դեղագործական բաղադրամասի փոփոխությունների.</w:t>
      </w:r>
    </w:p>
    <w:p w14:paraId="4E51F26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հակածին կամ ելանյութ ստանալու համար օգտագործվող վեկտորի ձ</w:t>
      </w:r>
      <w:r w:rsidR="00C54D75">
        <w:rPr>
          <w:rFonts w:ascii="Sylfaen" w:hAnsi="Sylfaen"/>
          <w:sz w:val="24"/>
          <w:szCs w:val="24"/>
        </w:rPr>
        <w:t>և</w:t>
      </w:r>
      <w:r w:rsidRPr="003B2786">
        <w:rPr>
          <w:rFonts w:ascii="Sylfaen" w:hAnsi="Sylfaen"/>
          <w:sz w:val="24"/>
          <w:szCs w:val="24"/>
        </w:rPr>
        <w:t xml:space="preserve">ափոխությունները՝ ներառյալ այլ աղբյուրի բջիջների նոր գլխավոր բանկը՝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8CDD2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նոր լիգանդը կամ ռադիոդեղագործական դեղապատրաստուկի կապման մեխանիզմը` 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4B1649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 xml:space="preserve">լուծահանող նյութի (էքստրագենտի) կամ բուսական հումքի </w:t>
      </w:r>
      <w:r w:rsidR="00C54D75">
        <w:rPr>
          <w:rFonts w:ascii="Sylfaen" w:hAnsi="Sylfaen"/>
          <w:sz w:val="24"/>
          <w:szCs w:val="24"/>
        </w:rPr>
        <w:t>և</w:t>
      </w:r>
      <w:r w:rsidRPr="003B2786">
        <w:rPr>
          <w:rFonts w:ascii="Sylfaen" w:hAnsi="Sylfaen"/>
          <w:sz w:val="24"/>
          <w:szCs w:val="24"/>
        </w:rPr>
        <w:t xml:space="preserve"> բուսական դեղագործական բաղադրամասի միջ</w:t>
      </w:r>
      <w:r w:rsidR="00C54D75">
        <w:rPr>
          <w:rFonts w:ascii="Sylfaen" w:hAnsi="Sylfaen"/>
          <w:sz w:val="24"/>
          <w:szCs w:val="24"/>
        </w:rPr>
        <w:t>և</w:t>
      </w:r>
      <w:r w:rsidRPr="003B2786">
        <w:rPr>
          <w:rFonts w:ascii="Sylfaen" w:hAnsi="Sylfaen"/>
          <w:sz w:val="24"/>
          <w:szCs w:val="24"/>
        </w:rPr>
        <w:t xml:space="preserve"> հարաբերակցության փոփոխությունը՝ </w:t>
      </w:r>
      <w:r w:rsidRPr="003B2786">
        <w:rPr>
          <w:rFonts w:ascii="Sylfaen" w:hAnsi="Sylfaen"/>
          <w:sz w:val="24"/>
          <w:szCs w:val="24"/>
        </w:rPr>
        <w:lastRenderedPageBreak/>
        <w:t xml:space="preserve">արդյունավետության </w:t>
      </w:r>
      <w:r w:rsidR="00C54D75">
        <w:rPr>
          <w:rFonts w:ascii="Sylfaen" w:hAnsi="Sylfaen"/>
          <w:sz w:val="24"/>
          <w:szCs w:val="24"/>
        </w:rPr>
        <w:t>և</w:t>
      </w:r>
      <w:r w:rsidRPr="003B2786">
        <w:rPr>
          <w:rFonts w:ascii="Sylfaen" w:hAnsi="Sylfaen"/>
          <w:sz w:val="24"/>
          <w:szCs w:val="24"/>
        </w:rPr>
        <w:t xml:space="preserve"> (կամ) անվտանգության մեջ էական տարբերությունների բացակայության դեպքում:</w:t>
      </w:r>
    </w:p>
    <w:p w14:paraId="311153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Դեղաչափի, դեղաձ</w:t>
      </w:r>
      <w:r w:rsidR="00C54D75">
        <w:rPr>
          <w:rFonts w:ascii="Sylfaen" w:hAnsi="Sylfaen"/>
          <w:sz w:val="24"/>
          <w:szCs w:val="24"/>
        </w:rPr>
        <w:t>և</w:t>
      </w:r>
      <w:r w:rsidRPr="003B2786">
        <w:rPr>
          <w:rFonts w:ascii="Sylfaen" w:hAnsi="Sylfaen"/>
          <w:sz w:val="24"/>
          <w:szCs w:val="24"/>
        </w:rPr>
        <w:t>ի կամ ներմուծման եղանակի փոփոխությունները՝</w:t>
      </w:r>
    </w:p>
    <w:p w14:paraId="00AF2B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կենսամատչելիության փոփոխություն.</w:t>
      </w:r>
    </w:p>
    <w:p w14:paraId="5B181F6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դեղակինետիկայի, օրինակ՝ ձերբազատման արագության փոփոխություն.</w:t>
      </w:r>
    </w:p>
    <w:p w14:paraId="477AC7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դեղաչափի փոփոխություն կամ նոր դեղաչափի (ակտիվության) ավելացում.</w:t>
      </w:r>
    </w:p>
    <w:p w14:paraId="4C353DA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դեղաձ</w:t>
      </w:r>
      <w:r w:rsidR="00C54D75">
        <w:rPr>
          <w:rFonts w:ascii="Sylfaen" w:hAnsi="Sylfaen"/>
          <w:sz w:val="24"/>
          <w:szCs w:val="24"/>
        </w:rPr>
        <w:t>և</w:t>
      </w:r>
      <w:r w:rsidRPr="003B2786">
        <w:rPr>
          <w:rFonts w:ascii="Sylfaen" w:hAnsi="Sylfaen"/>
          <w:sz w:val="24"/>
          <w:szCs w:val="24"/>
        </w:rPr>
        <w:t>ի փոփոխություն կամ նոր դեղաձ</w:t>
      </w:r>
      <w:r w:rsidR="00C54D75">
        <w:rPr>
          <w:rFonts w:ascii="Sylfaen" w:hAnsi="Sylfaen"/>
          <w:sz w:val="24"/>
          <w:szCs w:val="24"/>
        </w:rPr>
        <w:t>և</w:t>
      </w:r>
      <w:r w:rsidRPr="003B2786">
        <w:rPr>
          <w:rFonts w:ascii="Sylfaen" w:hAnsi="Sylfaen"/>
          <w:sz w:val="24"/>
          <w:szCs w:val="24"/>
        </w:rPr>
        <w:t>ի ավելացում.</w:t>
      </w:r>
    </w:p>
    <w:p w14:paraId="318C4B7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 xml:space="preserve">ներմուծման եղանակի փոփոխություն կամ նոր եղանակի ավելացում (պարէնտերալ ներմուծման դեպքում հարկավոր է տարբերակել ներզարկերակային, ներերակային, ներմկանային, ենթամաշկային </w:t>
      </w:r>
      <w:r w:rsidR="00C54D75">
        <w:rPr>
          <w:rFonts w:ascii="Sylfaen" w:hAnsi="Sylfaen"/>
          <w:sz w:val="24"/>
          <w:szCs w:val="24"/>
        </w:rPr>
        <w:t>և</w:t>
      </w:r>
      <w:r w:rsidRPr="003B2786">
        <w:rPr>
          <w:rFonts w:ascii="Sylfaen" w:hAnsi="Sylfaen"/>
          <w:sz w:val="24"/>
          <w:szCs w:val="24"/>
        </w:rPr>
        <w:t xml:space="preserve"> ներմուծման այլ եղանակներ):</w:t>
      </w:r>
    </w:p>
    <w:p w14:paraId="6E38462F" w14:textId="77777777" w:rsidR="008C76E0" w:rsidRPr="003B2786" w:rsidRDefault="008C76E0" w:rsidP="008C76E0">
      <w:pPr>
        <w:ind w:right="-1"/>
        <w:jc w:val="both"/>
        <w:rPr>
          <w:rFonts w:ascii="Sylfaen" w:eastAsia="Times New Roman" w:hAnsi="Sylfaen" w:cs="Times New Roman"/>
          <w:sz w:val="24"/>
          <w:szCs w:val="24"/>
        </w:rPr>
      </w:pPr>
      <w:r w:rsidRPr="003B2786">
        <w:rPr>
          <w:rFonts w:ascii="Sylfaen" w:hAnsi="Sylfaen"/>
          <w:sz w:val="24"/>
          <w:szCs w:val="24"/>
        </w:rPr>
        <w:br w:type="page"/>
      </w:r>
    </w:p>
    <w:p w14:paraId="7FE9621F"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lastRenderedPageBreak/>
        <w:t>Լրացում II</w:t>
      </w:r>
    </w:p>
    <w:p w14:paraId="37663294" w14:textId="77777777" w:rsidR="008C76E0" w:rsidRPr="003B2786" w:rsidRDefault="008C76E0" w:rsidP="00945A7B">
      <w:pPr>
        <w:spacing w:after="160" w:line="360" w:lineRule="auto"/>
        <w:jc w:val="center"/>
        <w:outlineLvl w:val="0"/>
        <w:rPr>
          <w:rFonts w:ascii="Sylfaen" w:hAnsi="Sylfaen"/>
          <w:sz w:val="24"/>
          <w:szCs w:val="24"/>
        </w:rPr>
      </w:pPr>
      <w:r w:rsidRPr="003B2786">
        <w:rPr>
          <w:rFonts w:ascii="Sylfaen" w:hAnsi="Sylfaen"/>
          <w:sz w:val="24"/>
          <w:szCs w:val="24"/>
        </w:rPr>
        <w:t>Փոփոխությունների դասակարգումը</w:t>
      </w:r>
    </w:p>
    <w:p w14:paraId="66AF203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Հարկավոր է որպես IA տիպի ոչ էական փոփոխություն դասակարգել հետ</w:t>
      </w:r>
      <w:r w:rsidR="00C54D75">
        <w:rPr>
          <w:rFonts w:ascii="Sylfaen" w:hAnsi="Sylfaen"/>
          <w:sz w:val="24"/>
          <w:szCs w:val="24"/>
        </w:rPr>
        <w:t>և</w:t>
      </w:r>
      <w:r w:rsidRPr="003B2786">
        <w:rPr>
          <w:rFonts w:ascii="Sylfaen" w:hAnsi="Sylfaen"/>
          <w:sz w:val="24"/>
          <w:szCs w:val="24"/>
        </w:rPr>
        <w:t>յալ փոփոխությունները.</w:t>
      </w:r>
    </w:p>
    <w:p w14:paraId="6773F6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բացառապես վարչական բնույթի փոփոխություններ, որոնք վերաբերում են հետ</w:t>
      </w:r>
      <w:r w:rsidR="00C54D75">
        <w:rPr>
          <w:rFonts w:ascii="Sylfaen" w:hAnsi="Sylfaen"/>
          <w:sz w:val="24"/>
          <w:szCs w:val="24"/>
        </w:rPr>
        <w:t>և</w:t>
      </w:r>
      <w:r w:rsidRPr="003B2786">
        <w:rPr>
          <w:rFonts w:ascii="Sylfaen" w:hAnsi="Sylfaen"/>
          <w:sz w:val="24"/>
          <w:szCs w:val="24"/>
        </w:rPr>
        <w:t>յալի անվանմանն ու կոնտակտային տվյալներին՝</w:t>
      </w:r>
    </w:p>
    <w:p w14:paraId="66D6F7F0" w14:textId="390EDB6D"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իրավատիրոջ, </w:t>
      </w:r>
      <w:r w:rsidR="0056496B">
        <w:rPr>
          <w:rFonts w:ascii="Sylfaen" w:hAnsi="Sylfaen"/>
          <w:sz w:val="24"/>
          <w:szCs w:val="24"/>
        </w:rPr>
        <w:t>դիմումատու</w:t>
      </w:r>
      <w:r w:rsidRPr="003B2786">
        <w:rPr>
          <w:rFonts w:ascii="Sylfaen" w:hAnsi="Sylfaen"/>
          <w:sz w:val="24"/>
          <w:szCs w:val="24"/>
        </w:rPr>
        <w:t xml:space="preserve">ի, իրավատիրոջ ներկայացուցչի </w:t>
      </w:r>
      <w:r w:rsidR="00C54D75">
        <w:rPr>
          <w:rFonts w:ascii="Sylfaen" w:hAnsi="Sylfaen"/>
          <w:sz w:val="24"/>
          <w:szCs w:val="24"/>
        </w:rPr>
        <w:t>և</w:t>
      </w:r>
      <w:r w:rsidRPr="003B2786">
        <w:rPr>
          <w:rFonts w:ascii="Sylfaen" w:hAnsi="Sylfaen"/>
          <w:sz w:val="24"/>
          <w:szCs w:val="24"/>
        </w:rPr>
        <w:t xml:space="preserve"> այլն.</w:t>
      </w:r>
    </w:p>
    <w:p w14:paraId="5FF29C96" w14:textId="77777777" w:rsidR="008C76E0" w:rsidRPr="003B2786" w:rsidRDefault="008C76E0" w:rsidP="00945A7B">
      <w:pPr>
        <w:tabs>
          <w:tab w:val="left" w:pos="993"/>
        </w:tabs>
        <w:spacing w:after="160" w:line="360" w:lineRule="auto"/>
        <w:ind w:firstLine="567"/>
        <w:jc w:val="both"/>
        <w:rPr>
          <w:rFonts w:ascii="Sylfaen" w:hAnsi="Sylfaen"/>
          <w:sz w:val="24"/>
          <w:szCs w:val="24"/>
        </w:rPr>
      </w:pPr>
      <w:r w:rsidRPr="003B2786">
        <w:rPr>
          <w:rFonts w:ascii="Sylfaen" w:hAnsi="Sylfaen"/>
          <w:sz w:val="24"/>
          <w:szCs w:val="24"/>
        </w:rPr>
        <w:t xml:space="preserve">արտադրության գործընթացում օգտագործվող կամ դեղապատրաստուկի մեջ պարունակվող ցանկացած ելանյութի, ռեակտիվի, միջանկյալ արտադրանքի, ակտիվ դեղագործական բաղադրամասի արտադրողի կամ մատակարարի. </w:t>
      </w:r>
    </w:p>
    <w:p w14:paraId="796DFDA1"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որ</w:t>
      </w:r>
      <w:r w:rsidR="00C54D75">
        <w:rPr>
          <w:rFonts w:ascii="Sylfaen" w:hAnsi="Sylfaen"/>
          <w:sz w:val="24"/>
          <w:szCs w:val="24"/>
        </w:rPr>
        <w:t>և</w:t>
      </w:r>
      <w:r w:rsidRPr="003B2786">
        <w:rPr>
          <w:rFonts w:ascii="Sylfaen" w:hAnsi="Sylfaen"/>
          <w:sz w:val="24"/>
          <w:szCs w:val="24"/>
        </w:rPr>
        <w:t>է արտադրական հարթակի, այդ թվում՝ ակտիվ դեղագործական բաղադրամասի, միջանկյալ արտադրանքի կամ դեղապատրաստուկի, փաթեթավորողի, սերիայի բացթողման համար պատասխանատու արտադրողի, բացթողման որակի հսկողություն իրականացնող արտադրական հարթակի բացառման հիմքում ընկած փոփոխություններ.</w:t>
      </w:r>
    </w:p>
    <w:p w14:paraId="0BA81336"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 xml:space="preserve">հաստատված ֆիզիկաքիմիական վերլուծական մեթոդիկաների ոչ էական փոփոխություն հանդիսացող փոփոխություններ, եթե հաստատված է, որ թարմացված մեթոդիկան առնվազն համարժեք է նախկինում օգտագործված մեթոդիկային, անցկացվել է պատշաճ վալիդացում, </w:t>
      </w:r>
      <w:r w:rsidR="00C54D75">
        <w:rPr>
          <w:rFonts w:ascii="Sylfaen" w:hAnsi="Sylfaen"/>
          <w:sz w:val="24"/>
          <w:szCs w:val="24"/>
        </w:rPr>
        <w:t>և</w:t>
      </w:r>
      <w:r w:rsidRPr="003B2786">
        <w:rPr>
          <w:rFonts w:ascii="Sylfaen" w:hAnsi="Sylfaen"/>
          <w:sz w:val="24"/>
          <w:szCs w:val="24"/>
        </w:rPr>
        <w:t xml:space="preserve"> դրա արդյունքները վկայում են այն մասին, որ թարմացված վերլուծական մեթոդիկան առնվազն համարժեք է նախորդին (փոխարինվողին).</w:t>
      </w:r>
    </w:p>
    <w:p w14:paraId="49F5AC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օժանդակ նյութի մասնագրերի կամ դեղապատրաստուկի որակի նորմատիվ փաստաթղթի փոփոխություն հանդիսացող փոփոխություններ, որոնք իրականացվել են Միության դեղագրքի կամ անդամ պետության դեղագրքի համապատասխան թարմացված հոդվածին համապատասխանություն ապահովելու նպատակով, </w:t>
      </w:r>
    </w:p>
    <w:p w14:paraId="70EF1DB3"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եթե փոփոխությունն իրականացվել է բացառապես դեղագրքի պահանջներին համապատասխանությունն ապահովելու նպատակով, իսկ արտադրանքի մասնագրերի (որակի նորմատիվ փաստաթղթի) պարամետրերը չեն փոփոխվում.</w:t>
      </w:r>
    </w:p>
    <w:p w14:paraId="20535198"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դեղապատրաստուկին չհպվող փաթեթավորման նյութի փոփոխում հանդիսացող փոփոխություններ, որոնք չեն ազդում դեղապատրաստուկի առաքման, կիրառման, անվտանգության կամ կայունության վրա.</w:t>
      </w:r>
    </w:p>
    <w:p w14:paraId="376DE78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մասնագրի կամ որակի նորմատիվ փաստաթղթի ընդունելիության չափանիշների խստացում հանդիսացող փոփոխություններ, եթե այդպիսի փոփոխությունները մասնագրի (որակի նորմատիվ փաստաթղթի) ընդունելիության չափանիշների վերլուծության նպատակով նախկինում անցկացված փորձաքննությունների արդյունքներով ընդունված որ</w:t>
      </w:r>
      <w:r w:rsidR="00C54D75">
        <w:rPr>
          <w:rFonts w:ascii="Sylfaen" w:hAnsi="Sylfaen"/>
          <w:sz w:val="24"/>
          <w:szCs w:val="24"/>
        </w:rPr>
        <w:t>և</w:t>
      </w:r>
      <w:r w:rsidRPr="003B2786">
        <w:rPr>
          <w:rFonts w:ascii="Sylfaen" w:hAnsi="Sylfaen"/>
          <w:sz w:val="24"/>
          <w:szCs w:val="24"/>
        </w:rPr>
        <w:t>է պարտավորության կամ արտադրության ընթացքում առաջացած անսպասելի իրավիճակի հետ</w:t>
      </w:r>
      <w:r w:rsidR="00C54D75">
        <w:rPr>
          <w:rFonts w:ascii="Sylfaen" w:hAnsi="Sylfaen"/>
          <w:sz w:val="24"/>
          <w:szCs w:val="24"/>
        </w:rPr>
        <w:t>և</w:t>
      </w:r>
      <w:r w:rsidRPr="003B2786">
        <w:rPr>
          <w:rFonts w:ascii="Sylfaen" w:hAnsi="Sylfaen"/>
          <w:sz w:val="24"/>
          <w:szCs w:val="24"/>
        </w:rPr>
        <w:t>անք չեն:</w:t>
      </w:r>
    </w:p>
    <w:p w14:paraId="0E58A99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Հետ</w:t>
      </w:r>
      <w:r w:rsidR="00C54D75">
        <w:rPr>
          <w:rFonts w:ascii="Sylfaen" w:hAnsi="Sylfaen"/>
          <w:sz w:val="24"/>
          <w:szCs w:val="24"/>
        </w:rPr>
        <w:t>և</w:t>
      </w:r>
      <w:r w:rsidRPr="003B2786">
        <w:rPr>
          <w:rFonts w:ascii="Sylfaen" w:hAnsi="Sylfaen"/>
          <w:sz w:val="24"/>
          <w:szCs w:val="24"/>
        </w:rPr>
        <w:t>յալ փոփոխությունները հարկավոր է դասակարգել որպես II տիպի էական փոփոխություններ՝</w:t>
      </w:r>
    </w:p>
    <w:p w14:paraId="7A6F0DD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ա)</w:t>
      </w:r>
      <w:r w:rsidRPr="003B2786">
        <w:rPr>
          <w:rFonts w:ascii="Sylfaen" w:hAnsi="Sylfaen"/>
          <w:sz w:val="24"/>
          <w:szCs w:val="24"/>
        </w:rPr>
        <w:tab/>
        <w:t>կիրառման նոր ցուցում ավելացնելու կամ առկա ցուցումը ձ</w:t>
      </w:r>
      <w:r w:rsidR="00C54D75">
        <w:rPr>
          <w:rFonts w:ascii="Sylfaen" w:hAnsi="Sylfaen"/>
          <w:sz w:val="24"/>
          <w:szCs w:val="24"/>
        </w:rPr>
        <w:t>և</w:t>
      </w:r>
      <w:r w:rsidRPr="003B2786">
        <w:rPr>
          <w:rFonts w:ascii="Sylfaen" w:hAnsi="Sylfaen"/>
          <w:sz w:val="24"/>
          <w:szCs w:val="24"/>
        </w:rPr>
        <w:t>ափոխելու հիմքում ընկած փոփոխություններ.</w:t>
      </w:r>
    </w:p>
    <w:p w14:paraId="117331AD"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բ)</w:t>
      </w:r>
      <w:r w:rsidRPr="003B2786">
        <w:rPr>
          <w:rFonts w:ascii="Sylfaen" w:hAnsi="Sylfaen"/>
          <w:sz w:val="24"/>
          <w:szCs w:val="24"/>
        </w:rPr>
        <w:tab/>
        <w:t>դեղապատրաստուկի ընդհանուր բնութագրի էական ձ</w:t>
      </w:r>
      <w:r w:rsidR="00C54D75">
        <w:rPr>
          <w:rFonts w:ascii="Sylfaen" w:hAnsi="Sylfaen"/>
          <w:sz w:val="24"/>
          <w:szCs w:val="24"/>
        </w:rPr>
        <w:t>և</w:t>
      </w:r>
      <w:r w:rsidRPr="003B2786">
        <w:rPr>
          <w:rFonts w:ascii="Sylfaen" w:hAnsi="Sylfaen"/>
          <w:sz w:val="24"/>
          <w:szCs w:val="24"/>
        </w:rPr>
        <w:t>ափոխություն հանդիսացող փոփոխություններ՝ ելնելով հատկապես նախակլինիկական կամ կլինիկական հետազոտությունների որակի, արդյունքների վերաբերյալ նոր տվյալներից, դեղազգոնության տվյալներից.</w:t>
      </w:r>
    </w:p>
    <w:p w14:paraId="0B45666F"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գ)</w:t>
      </w:r>
      <w:r w:rsidRPr="003B2786">
        <w:rPr>
          <w:rFonts w:ascii="Sylfaen" w:hAnsi="Sylfaen"/>
          <w:sz w:val="24"/>
          <w:szCs w:val="24"/>
        </w:rPr>
        <w:tab/>
        <w:t>հաստատված մասնագրերի (որակի նորմատիվ փաստաթղթի) ընդունելիության տիրույթը, սահմանները կամ չափանիշները գերազանցող փոփոխություն հանդիսացող փոփոխություններ.</w:t>
      </w:r>
    </w:p>
    <w:p w14:paraId="007766B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դ)</w:t>
      </w:r>
      <w:r w:rsidRPr="003B2786">
        <w:rPr>
          <w:rFonts w:ascii="Sylfaen" w:hAnsi="Sylfaen"/>
          <w:sz w:val="24"/>
          <w:szCs w:val="24"/>
        </w:rPr>
        <w:tab/>
        <w:t xml:space="preserve">ակտիվ դեղագործական բաղադրամասի կամ դեղապատրաստուկի խառնուկների արտադրության գործընթացի, բաղադրության, մասնագրերի (որակի նորմատիվ փաստաթղթի) կամ պրոֆիլի փոփոխություն հանդիսացող </w:t>
      </w:r>
      <w:r w:rsidRPr="003B2786">
        <w:rPr>
          <w:rFonts w:ascii="Sylfaen" w:hAnsi="Sylfaen"/>
          <w:sz w:val="24"/>
          <w:szCs w:val="24"/>
        </w:rPr>
        <w:lastRenderedPageBreak/>
        <w:t>փոփոխություններ, որոնք էականորեն կարող են ազդել դեղապատրաստուկի որակի, անվտանգության կամ արդյունավետության վրա.</w:t>
      </w:r>
    </w:p>
    <w:p w14:paraId="7FAC9C19"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ե)</w:t>
      </w:r>
      <w:r w:rsidRPr="003B2786">
        <w:rPr>
          <w:rFonts w:ascii="Sylfaen" w:hAnsi="Sylfaen"/>
          <w:sz w:val="24"/>
          <w:szCs w:val="24"/>
        </w:rPr>
        <w:tab/>
        <w:t>կենսաբանական դեղապատրաստուկի ակտիվ դեղագործական բաղադրամասի արտադրության գործընթացի կամ արտադրական հարթակների ձ</w:t>
      </w:r>
      <w:r w:rsidR="00C54D75">
        <w:rPr>
          <w:rFonts w:ascii="Sylfaen" w:hAnsi="Sylfaen"/>
          <w:sz w:val="24"/>
          <w:szCs w:val="24"/>
        </w:rPr>
        <w:t>և</w:t>
      </w:r>
      <w:r w:rsidRPr="003B2786">
        <w:rPr>
          <w:rFonts w:ascii="Sylfaen" w:hAnsi="Sylfaen"/>
          <w:sz w:val="24"/>
          <w:szCs w:val="24"/>
        </w:rPr>
        <w:t>ափոխություն հանդիսացող փոփոխություններ.</w:t>
      </w:r>
    </w:p>
    <w:p w14:paraId="1BED6392"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զ)</w:t>
      </w:r>
      <w:r w:rsidRPr="003B2786">
        <w:rPr>
          <w:rFonts w:ascii="Sylfaen" w:hAnsi="Sylfaen"/>
          <w:sz w:val="24"/>
          <w:szCs w:val="24"/>
        </w:rPr>
        <w:tab/>
        <w:t>նոր նախագծային դաշտի ներդրում կամ նախկինում հաստատված նախագծային դաշտի ընդլայնում հանդիսացող փոփոխություններ, եթե նախագծային դաշտը մշակվել է Միության համապատասխան ձեռնարկների կամ միջազգային գիտական ձեռնարկների հիման վրա.</w:t>
      </w:r>
    </w:p>
    <w:p w14:paraId="7D119A0C"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է)</w:t>
      </w:r>
      <w:r w:rsidRPr="003B2786">
        <w:rPr>
          <w:rFonts w:ascii="Sylfaen" w:hAnsi="Sylfaen"/>
          <w:sz w:val="24"/>
          <w:szCs w:val="24"/>
        </w:rPr>
        <w:tab/>
        <w:t>մարդու մոտ գրիպի կանխարգելման համար նախատեսված սեզոնային, նախահամավարակային կամ համավարակային պատվաստանյութերի ակտիվ դեղագործական բաղադրամասի փոփոխություն հանդիսացող փոփոխություններ։</w:t>
      </w:r>
    </w:p>
    <w:p w14:paraId="274FBF8A" w14:textId="77777777" w:rsidR="008C76E0" w:rsidRPr="003B2786" w:rsidRDefault="008C76E0" w:rsidP="008C76E0">
      <w:pPr>
        <w:rPr>
          <w:rFonts w:ascii="Sylfaen" w:eastAsia="Times New Roman" w:hAnsi="Sylfaen" w:cs="Times New Roman"/>
          <w:sz w:val="24"/>
          <w:szCs w:val="24"/>
        </w:rPr>
      </w:pPr>
      <w:r w:rsidRPr="003B2786">
        <w:rPr>
          <w:rFonts w:ascii="Sylfaen" w:hAnsi="Sylfaen"/>
          <w:sz w:val="24"/>
          <w:szCs w:val="24"/>
        </w:rPr>
        <w:br w:type="page"/>
      </w:r>
    </w:p>
    <w:p w14:paraId="3973CA4E" w14:textId="77777777" w:rsidR="008C76E0" w:rsidRPr="003B2786" w:rsidRDefault="008C76E0" w:rsidP="00945A7B">
      <w:pPr>
        <w:spacing w:after="160" w:line="360" w:lineRule="auto"/>
        <w:ind w:left="567" w:right="565"/>
        <w:jc w:val="center"/>
        <w:rPr>
          <w:rFonts w:ascii="Sylfaen" w:hAnsi="Sylfaen"/>
          <w:sz w:val="24"/>
          <w:szCs w:val="24"/>
        </w:rPr>
      </w:pPr>
      <w:r w:rsidRPr="003B2786">
        <w:rPr>
          <w:rFonts w:ascii="Sylfaen" w:hAnsi="Sylfaen"/>
          <w:sz w:val="24"/>
          <w:szCs w:val="24"/>
        </w:rPr>
        <w:lastRenderedPageBreak/>
        <w:t>Լրացում III</w:t>
      </w:r>
    </w:p>
    <w:p w14:paraId="2A24DC84" w14:textId="77777777" w:rsidR="008C76E0" w:rsidRPr="003B2786" w:rsidRDefault="008C76E0" w:rsidP="00945A7B">
      <w:pPr>
        <w:tabs>
          <w:tab w:val="left" w:pos="8789"/>
        </w:tabs>
        <w:spacing w:after="160" w:line="360" w:lineRule="auto"/>
        <w:ind w:left="567" w:right="565" w:firstLine="567"/>
        <w:jc w:val="center"/>
        <w:rPr>
          <w:rFonts w:ascii="Sylfaen" w:hAnsi="Sylfaen"/>
          <w:sz w:val="24"/>
          <w:szCs w:val="24"/>
        </w:rPr>
      </w:pPr>
      <w:r w:rsidRPr="003B2786">
        <w:rPr>
          <w:rFonts w:ascii="Sylfaen" w:hAnsi="Sylfaen"/>
          <w:sz w:val="24"/>
          <w:szCs w:val="24"/>
        </w:rPr>
        <w:t xml:space="preserve">Սույն փաստաթղթի 1.7.2 կետի երրորդ պարբերության </w:t>
      </w:r>
      <w:r w:rsidR="00C54D75">
        <w:rPr>
          <w:rFonts w:ascii="Sylfaen" w:hAnsi="Sylfaen"/>
          <w:sz w:val="24"/>
          <w:szCs w:val="24"/>
        </w:rPr>
        <w:t>և</w:t>
      </w:r>
      <w:r w:rsidRPr="003B2786">
        <w:rPr>
          <w:rFonts w:ascii="Sylfaen" w:hAnsi="Sylfaen"/>
          <w:sz w:val="24"/>
          <w:szCs w:val="24"/>
        </w:rPr>
        <w:t xml:space="preserve"> 3.4.2 կետի երրորդ պարբերության մեջ նկարագրված փոփոխությունների խմբավորման դեպքերը</w:t>
      </w:r>
    </w:p>
    <w:p w14:paraId="632C870C"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Խմբի փոփոխություններից մեկը գրանցման ընդլայնումն է:</w:t>
      </w:r>
    </w:p>
    <w:p w14:paraId="3E45C20F"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Խմբի փոփոխություններից մեկը II տիպի էական փոփոխություն է. խմբի մնացած փոփոխությունները այդպիսի II տիպի էական փոփոխության հետ</w:t>
      </w:r>
      <w:r w:rsidR="00C54D75">
        <w:rPr>
          <w:rFonts w:ascii="Sylfaen" w:hAnsi="Sylfaen"/>
          <w:sz w:val="24"/>
          <w:szCs w:val="24"/>
        </w:rPr>
        <w:t>և</w:t>
      </w:r>
      <w:r w:rsidRPr="003B2786">
        <w:rPr>
          <w:rFonts w:ascii="Sylfaen" w:hAnsi="Sylfaen"/>
          <w:sz w:val="24"/>
          <w:szCs w:val="24"/>
        </w:rPr>
        <w:t>անք են:</w:t>
      </w:r>
    </w:p>
    <w:p w14:paraId="1532861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Խմբի փոփոխություններից մեկը IB տիպի ոչ էական փոփոխություն է. խմբի մնացած փոփոխությունները այդպիսի IB տիպի ոչ էական փոփոխության հետ</w:t>
      </w:r>
      <w:r w:rsidR="00C54D75">
        <w:rPr>
          <w:rFonts w:ascii="Sylfaen" w:hAnsi="Sylfaen"/>
          <w:sz w:val="24"/>
          <w:szCs w:val="24"/>
        </w:rPr>
        <w:t>և</w:t>
      </w:r>
      <w:r w:rsidRPr="003B2786">
        <w:rPr>
          <w:rFonts w:ascii="Sylfaen" w:hAnsi="Sylfaen"/>
          <w:sz w:val="24"/>
          <w:szCs w:val="24"/>
        </w:rPr>
        <w:t>անք են:</w:t>
      </w:r>
    </w:p>
    <w:p w14:paraId="4E4F6651"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Խմբի բոլոր փոփոխությունները բացառապես դեղապատրաստուկի ընդհանուր բնութագրի, մականշվածքի կամ ներդիր թերթիկի վարչական բնույթի փոփոխություններ են:</w:t>
      </w:r>
    </w:p>
    <w:p w14:paraId="57150738"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Խմբի բոլոր փոփոխությունները ակտիվ դեղագործական բաղադրամասի մաստեր ֆայլի, պատվաստանյութային հակածինի կամ պլազմայի մաստեր ֆայլի փոփոխություններ են:</w:t>
      </w:r>
    </w:p>
    <w:p w14:paraId="5CC2C85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 xml:space="preserve">Խմբի բոլոր փոփոխությունները կազմում են այն ծրագրի մասը, որն ուղղված է դիտարկվող դեղապատրաստուկի կամ դրա ակտիվ դեղագործական բաղադրամասերի արտադրական գործընթացի </w:t>
      </w:r>
      <w:r w:rsidR="00C54D75">
        <w:rPr>
          <w:rFonts w:ascii="Sylfaen" w:hAnsi="Sylfaen"/>
          <w:sz w:val="24"/>
          <w:szCs w:val="24"/>
        </w:rPr>
        <w:t>և</w:t>
      </w:r>
      <w:r w:rsidRPr="003B2786">
        <w:rPr>
          <w:rFonts w:ascii="Sylfaen" w:hAnsi="Sylfaen"/>
          <w:sz w:val="24"/>
          <w:szCs w:val="24"/>
        </w:rPr>
        <w:t xml:space="preserve"> որակի բարելավմանը:</w:t>
      </w:r>
    </w:p>
    <w:p w14:paraId="378D432B" w14:textId="77777777" w:rsidR="008C76E0" w:rsidRPr="003B2786" w:rsidRDefault="008C76E0" w:rsidP="00945A7B">
      <w:pPr>
        <w:tabs>
          <w:tab w:val="left" w:pos="1134"/>
        </w:tabs>
        <w:spacing w:after="160" w:line="384" w:lineRule="auto"/>
        <w:ind w:firstLine="567"/>
        <w:jc w:val="both"/>
        <w:rPr>
          <w:rFonts w:ascii="Sylfaen" w:hAnsi="Sylfaen"/>
          <w:sz w:val="24"/>
          <w:szCs w:val="24"/>
        </w:rPr>
      </w:pPr>
      <w:r w:rsidRPr="003B2786">
        <w:rPr>
          <w:rFonts w:ascii="Sylfaen" w:hAnsi="Sylfaen"/>
          <w:sz w:val="24"/>
          <w:szCs w:val="24"/>
        </w:rPr>
        <w:t>7.</w:t>
      </w:r>
      <w:r w:rsidRPr="003B2786">
        <w:rPr>
          <w:rFonts w:ascii="Sylfaen" w:hAnsi="Sylfaen"/>
          <w:sz w:val="24"/>
          <w:szCs w:val="24"/>
        </w:rPr>
        <w:tab/>
        <w:t>Խմբի բոլոր փոփոխություններն այնպիսի փոփոխություններ են, որոնք ազդում են մարդու մոտ գրիպի համավարակի կանխարգելման համար նախատեսված պատվաստանյութի որակի վրա:</w:t>
      </w:r>
    </w:p>
    <w:p w14:paraId="4156A8FB"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t>8.</w:t>
      </w:r>
      <w:r w:rsidRPr="003B2786">
        <w:rPr>
          <w:rFonts w:ascii="Sylfaen" w:hAnsi="Sylfaen"/>
          <w:sz w:val="24"/>
          <w:szCs w:val="24"/>
        </w:rPr>
        <w:tab/>
        <w:t>Խմբի բոլոր փոփոխությունները դեղազգոնության համակարգի փոփոխություններ են:</w:t>
      </w:r>
    </w:p>
    <w:p w14:paraId="349D6F4A" w14:textId="77777777" w:rsidR="008C76E0" w:rsidRPr="003B2786" w:rsidRDefault="008C76E0" w:rsidP="00945A7B">
      <w:pPr>
        <w:tabs>
          <w:tab w:val="left" w:pos="1134"/>
        </w:tabs>
        <w:spacing w:after="160" w:line="360" w:lineRule="auto"/>
        <w:ind w:firstLine="567"/>
        <w:jc w:val="both"/>
        <w:rPr>
          <w:rFonts w:ascii="Sylfaen" w:hAnsi="Sylfaen"/>
          <w:sz w:val="24"/>
          <w:szCs w:val="24"/>
        </w:rPr>
      </w:pPr>
      <w:r w:rsidRPr="003B2786">
        <w:rPr>
          <w:rFonts w:ascii="Sylfaen" w:hAnsi="Sylfaen"/>
          <w:sz w:val="24"/>
          <w:szCs w:val="24"/>
        </w:rPr>
        <w:lastRenderedPageBreak/>
        <w:t>9.</w:t>
      </w:r>
      <w:r w:rsidRPr="003B2786">
        <w:rPr>
          <w:rFonts w:ascii="Sylfaen" w:hAnsi="Sylfaen"/>
          <w:sz w:val="24"/>
          <w:szCs w:val="24"/>
        </w:rPr>
        <w:tab/>
        <w:t>Խմբի բոլոր փոփոխությունները անվտանգության մասով որոշակի անհետաձգելի սահմանափակման հետ</w:t>
      </w:r>
      <w:r w:rsidR="00C54D75">
        <w:rPr>
          <w:rFonts w:ascii="Sylfaen" w:hAnsi="Sylfaen"/>
          <w:sz w:val="24"/>
          <w:szCs w:val="24"/>
        </w:rPr>
        <w:t>և</w:t>
      </w:r>
      <w:r w:rsidRPr="003B2786">
        <w:rPr>
          <w:rFonts w:ascii="Sylfaen" w:hAnsi="Sylfaen"/>
          <w:sz w:val="24"/>
          <w:szCs w:val="24"/>
        </w:rPr>
        <w:t xml:space="preserve">անքն են </w:t>
      </w:r>
      <w:r w:rsidR="00C54D75">
        <w:rPr>
          <w:rFonts w:ascii="Sylfaen" w:hAnsi="Sylfaen"/>
          <w:sz w:val="24"/>
          <w:szCs w:val="24"/>
        </w:rPr>
        <w:t>և</w:t>
      </w:r>
      <w:r w:rsidRPr="003B2786">
        <w:rPr>
          <w:rFonts w:ascii="Sylfaen" w:hAnsi="Sylfaen"/>
          <w:sz w:val="24"/>
          <w:szCs w:val="24"/>
        </w:rPr>
        <w:t xml:space="preserve"> ներկայացված են սույն փաստաթղթի 4.1.4 կետին համապատասխան:</w:t>
      </w:r>
    </w:p>
    <w:p w14:paraId="16C3360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10.</w:t>
      </w:r>
      <w:r w:rsidRPr="003B2786">
        <w:rPr>
          <w:rFonts w:ascii="Sylfaen" w:hAnsi="Sylfaen"/>
          <w:sz w:val="24"/>
          <w:szCs w:val="24"/>
        </w:rPr>
        <w:tab/>
        <w:t>Խմբի բոլոր փոփոխությունները վերաբերում են դեղապատրաստուկի ընդհանուր բնութագրի, մականշվածքի կամ ներդիր թերթիկի մեջ որոշակի դասի տեղեկությունների ուղղմանը (օրինակ՝ դասի համար սպեցիֆիկ նախազգուշացման ավելացում):</w:t>
      </w:r>
    </w:p>
    <w:p w14:paraId="59FBD98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11.</w:t>
      </w:r>
      <w:r w:rsidRPr="003B2786">
        <w:rPr>
          <w:rFonts w:ascii="Sylfaen" w:hAnsi="Sylfaen"/>
          <w:sz w:val="24"/>
          <w:szCs w:val="24"/>
        </w:rPr>
        <w:tab/>
        <w:t>Խմբի բոլոր փոփոխությունները անվտանգության վերաբերյալ որոշակի պարբերական հաշվետվության փորձաքննության հետ</w:t>
      </w:r>
      <w:r w:rsidR="00C54D75">
        <w:rPr>
          <w:rFonts w:ascii="Sylfaen" w:hAnsi="Sylfaen"/>
          <w:sz w:val="24"/>
          <w:szCs w:val="24"/>
        </w:rPr>
        <w:t>և</w:t>
      </w:r>
      <w:r w:rsidRPr="003B2786">
        <w:rPr>
          <w:rFonts w:ascii="Sylfaen" w:hAnsi="Sylfaen"/>
          <w:sz w:val="24"/>
          <w:szCs w:val="24"/>
        </w:rPr>
        <w:t>անք են:</w:t>
      </w:r>
    </w:p>
    <w:p w14:paraId="2DD59C23"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12.</w:t>
      </w:r>
      <w:r w:rsidRPr="003B2786">
        <w:rPr>
          <w:rFonts w:ascii="Sylfaen" w:hAnsi="Sylfaen"/>
          <w:sz w:val="24"/>
          <w:szCs w:val="24"/>
        </w:rPr>
        <w:tab/>
        <w:t>Խմբի բոլոր փոփոխությունները իրավատիրոջ վերահսկողության ներքո անցկացվող հետգրանցումային հետազոտության հետ</w:t>
      </w:r>
      <w:r w:rsidR="00C54D75">
        <w:rPr>
          <w:rFonts w:ascii="Sylfaen" w:hAnsi="Sylfaen"/>
          <w:sz w:val="24"/>
          <w:szCs w:val="24"/>
        </w:rPr>
        <w:t>և</w:t>
      </w:r>
      <w:r w:rsidRPr="003B2786">
        <w:rPr>
          <w:rFonts w:ascii="Sylfaen" w:hAnsi="Sylfaen"/>
          <w:sz w:val="24"/>
          <w:szCs w:val="24"/>
        </w:rPr>
        <w:t>անք են:</w:t>
      </w:r>
    </w:p>
    <w:p w14:paraId="76D3C11B"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13.</w:t>
      </w:r>
      <w:r w:rsidRPr="003B2786">
        <w:rPr>
          <w:rFonts w:ascii="Sylfaen" w:hAnsi="Sylfaen"/>
          <w:sz w:val="24"/>
          <w:szCs w:val="24"/>
        </w:rPr>
        <w:tab/>
        <w:t>Խմբի բոլոր փոփոխությունները գրանցման ժամանակ անդամ պետության լիազորված մարմնի կողմից դրված պարտավորության հետ</w:t>
      </w:r>
      <w:r w:rsidR="00C54D75">
        <w:rPr>
          <w:rFonts w:ascii="Sylfaen" w:hAnsi="Sylfaen"/>
          <w:sz w:val="24"/>
          <w:szCs w:val="24"/>
        </w:rPr>
        <w:t>և</w:t>
      </w:r>
      <w:r w:rsidRPr="003B2786">
        <w:rPr>
          <w:rFonts w:ascii="Sylfaen" w:hAnsi="Sylfaen"/>
          <w:sz w:val="24"/>
          <w:szCs w:val="24"/>
        </w:rPr>
        <w:t>անք են:</w:t>
      </w:r>
    </w:p>
    <w:p w14:paraId="34A4133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14.</w:t>
      </w:r>
      <w:r w:rsidRPr="003B2786">
        <w:rPr>
          <w:rFonts w:ascii="Sylfaen" w:hAnsi="Sylfaen"/>
          <w:sz w:val="24"/>
          <w:szCs w:val="24"/>
        </w:rPr>
        <w:tab/>
        <w:t>Խմբի բոլոր փոփոխությունները պայմաններով գրանցման հետ</w:t>
      </w:r>
      <w:r w:rsidR="00C54D75">
        <w:rPr>
          <w:rFonts w:ascii="Sylfaen" w:hAnsi="Sylfaen"/>
          <w:sz w:val="24"/>
          <w:szCs w:val="24"/>
        </w:rPr>
        <w:t>և</w:t>
      </w:r>
      <w:r w:rsidRPr="003B2786">
        <w:rPr>
          <w:rFonts w:ascii="Sylfaen" w:hAnsi="Sylfaen"/>
          <w:sz w:val="24"/>
          <w:szCs w:val="24"/>
        </w:rPr>
        <w:t>անք են:</w:t>
      </w:r>
    </w:p>
    <w:p w14:paraId="1581AF66" w14:textId="77777777" w:rsidR="008C76E0" w:rsidRPr="003B2786" w:rsidRDefault="008C76E0" w:rsidP="00945A7B">
      <w:pPr>
        <w:spacing w:after="160" w:line="360" w:lineRule="auto"/>
        <w:rPr>
          <w:rFonts w:ascii="Sylfaen" w:eastAsia="Times New Roman" w:hAnsi="Sylfaen" w:cs="Times New Roman"/>
          <w:sz w:val="24"/>
          <w:szCs w:val="24"/>
        </w:rPr>
      </w:pPr>
      <w:r w:rsidRPr="003B2786">
        <w:rPr>
          <w:rFonts w:ascii="Sylfaen" w:hAnsi="Sylfaen"/>
          <w:sz w:val="24"/>
          <w:szCs w:val="24"/>
        </w:rPr>
        <w:br w:type="page"/>
      </w:r>
    </w:p>
    <w:p w14:paraId="2B32990C" w14:textId="77777777"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lastRenderedPageBreak/>
        <w:t>Լրացում IV</w:t>
      </w:r>
    </w:p>
    <w:p w14:paraId="4F2635A7" w14:textId="727AE6D3" w:rsidR="008C76E0" w:rsidRPr="003B2786" w:rsidRDefault="008C76E0" w:rsidP="00945A7B">
      <w:pPr>
        <w:spacing w:after="160" w:line="360" w:lineRule="auto"/>
        <w:ind w:left="567" w:right="566"/>
        <w:jc w:val="center"/>
        <w:rPr>
          <w:rFonts w:ascii="Sylfaen" w:hAnsi="Sylfaen"/>
          <w:sz w:val="24"/>
          <w:szCs w:val="24"/>
        </w:rPr>
      </w:pPr>
      <w:r w:rsidRPr="003B2786">
        <w:rPr>
          <w:rFonts w:ascii="Sylfaen" w:hAnsi="Sylfaen"/>
          <w:sz w:val="24"/>
          <w:szCs w:val="24"/>
        </w:rPr>
        <w:t xml:space="preserve">Դեղապատրաստուկի գրանցման դոսյեի մեջ փոփոխություններ կատարելու նպատակով </w:t>
      </w:r>
      <w:r w:rsidR="0056496B">
        <w:rPr>
          <w:rFonts w:ascii="Sylfaen" w:hAnsi="Sylfaen"/>
          <w:sz w:val="24"/>
          <w:szCs w:val="24"/>
        </w:rPr>
        <w:t>դիմումատու</w:t>
      </w:r>
      <w:r w:rsidRPr="003B2786">
        <w:rPr>
          <w:rFonts w:ascii="Sylfaen" w:hAnsi="Sylfaen"/>
          <w:sz w:val="24"/>
          <w:szCs w:val="24"/>
        </w:rPr>
        <w:t>ի կողմից ներկայացվող փաստաթղթերը (փոփոխության դոսյեն)</w:t>
      </w:r>
    </w:p>
    <w:p w14:paraId="07E52EC6" w14:textId="18F4BEAD"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1.</w:t>
      </w:r>
      <w:r w:rsidRPr="003B2786">
        <w:rPr>
          <w:rFonts w:ascii="Sylfaen" w:hAnsi="Sylfaen"/>
          <w:sz w:val="24"/>
          <w:szCs w:val="24"/>
        </w:rPr>
        <w:tab/>
        <w:t xml:space="preserve">Ծանուցման կամ փոփոխությունների կատարման </w:t>
      </w:r>
      <w:r w:rsidR="0056496B">
        <w:rPr>
          <w:rFonts w:ascii="Sylfaen" w:hAnsi="Sylfaen"/>
          <w:sz w:val="24"/>
          <w:szCs w:val="24"/>
        </w:rPr>
        <w:t>դիմում</w:t>
      </w:r>
      <w:r w:rsidRPr="003B2786">
        <w:rPr>
          <w:rFonts w:ascii="Sylfaen" w:hAnsi="Sylfaen"/>
          <w:sz w:val="24"/>
          <w:szCs w:val="24"/>
        </w:rPr>
        <w:t>ի մեջ ներառված բոլոր գրանցման դոսյեների ցանկը։</w:t>
      </w:r>
    </w:p>
    <w:p w14:paraId="7E401301"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2.</w:t>
      </w:r>
      <w:r w:rsidRPr="003B2786">
        <w:rPr>
          <w:rFonts w:ascii="Sylfaen" w:hAnsi="Sylfaen"/>
          <w:sz w:val="24"/>
          <w:szCs w:val="24"/>
        </w:rPr>
        <w:tab/>
        <w:t>Ներկայացված բոլոր փոփոխությունների նկարագրությունը, ներառյալ՝</w:t>
      </w:r>
    </w:p>
    <w:p w14:paraId="7B260C97"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IA տիպի ոչ էական փոփոխությունների դեպքում նկարագրված յուրաքանչյուր փոփոխության իրագործման ամսաթիվը.</w:t>
      </w:r>
    </w:p>
    <w:p w14:paraId="7DBDE72D"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 xml:space="preserve">անհապաղ ծանուցում չպահանջող IA տիպի ոչ էական փոփոխությունների դեպքում վերջին 365 օրացուցային օրվա (12 ամիս) ընթացքում իրագործված IA տիպի բոլոր այն ոչ էական փոփոխությունների նկարագրությունը, որոնց մասին նախկինում ծանուցումներ չեն ներկայացվել: </w:t>
      </w:r>
    </w:p>
    <w:p w14:paraId="795A9FF5"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3.</w:t>
      </w:r>
      <w:r w:rsidRPr="003B2786">
        <w:rPr>
          <w:rFonts w:ascii="Sylfaen" w:hAnsi="Sylfaen"/>
          <w:sz w:val="24"/>
          <w:szCs w:val="24"/>
        </w:rPr>
        <w:tab/>
        <w:t xml:space="preserve">Համապատասխան փոփոխության վերաբերյալ սույն փաստաթղթի V լրացման մեջ նշված բոլոր անհրաժեշտ փաստաթղթերը։ Փաստաթղթերը ռուսերենից տարբեր՝ այլ լեզվով ներկայացվելու դեպքում ներկայացվում է դրանց նույնական թարգմանությունը ռուսերենով: </w:t>
      </w:r>
    </w:p>
    <w:p w14:paraId="24B768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4.</w:t>
      </w:r>
      <w:r w:rsidRPr="003B2786">
        <w:rPr>
          <w:rFonts w:ascii="Sylfaen" w:hAnsi="Sylfaen"/>
          <w:sz w:val="24"/>
          <w:szCs w:val="24"/>
        </w:rPr>
        <w:tab/>
        <w:t>Փոփոխությունների միջ</w:t>
      </w:r>
      <w:r w:rsidR="00C54D75">
        <w:rPr>
          <w:rFonts w:ascii="Sylfaen" w:hAnsi="Sylfaen"/>
          <w:sz w:val="24"/>
          <w:szCs w:val="24"/>
        </w:rPr>
        <w:t>և</w:t>
      </w:r>
      <w:r w:rsidRPr="003B2786">
        <w:rPr>
          <w:rFonts w:ascii="Sylfaen" w:hAnsi="Sylfaen"/>
          <w:sz w:val="24"/>
          <w:szCs w:val="24"/>
        </w:rPr>
        <w:t xml:space="preserve"> փոխադարձ կապի նկարագրությունը, եթե փոփոխությունը հանգեցնում է դեղապատրաստուկի մի</w:t>
      </w:r>
      <w:r w:rsidR="00C54D75">
        <w:rPr>
          <w:rFonts w:ascii="Sylfaen" w:hAnsi="Sylfaen"/>
          <w:sz w:val="24"/>
          <w:szCs w:val="24"/>
        </w:rPr>
        <w:t>և</w:t>
      </w:r>
      <w:r w:rsidRPr="003B2786">
        <w:rPr>
          <w:rFonts w:ascii="Sylfaen" w:hAnsi="Sylfaen"/>
          <w:sz w:val="24"/>
          <w:szCs w:val="24"/>
        </w:rPr>
        <w:t>նույն գրանցման պայմանների փոփոխության կամ դրանց այլ փոփոխությունների հետ</w:t>
      </w:r>
      <w:r w:rsidR="00C54D75">
        <w:rPr>
          <w:rFonts w:ascii="Sylfaen" w:hAnsi="Sylfaen"/>
          <w:sz w:val="24"/>
          <w:szCs w:val="24"/>
        </w:rPr>
        <w:t>և</w:t>
      </w:r>
      <w:r w:rsidRPr="003B2786">
        <w:rPr>
          <w:rFonts w:ascii="Sylfaen" w:hAnsi="Sylfaen"/>
          <w:sz w:val="24"/>
          <w:szCs w:val="24"/>
        </w:rPr>
        <w:t xml:space="preserve">անք է: </w:t>
      </w:r>
    </w:p>
    <w:p w14:paraId="2B31B386"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5.</w:t>
      </w:r>
      <w:r w:rsidRPr="003B2786">
        <w:rPr>
          <w:rFonts w:ascii="Sylfaen" w:hAnsi="Sylfaen"/>
          <w:sz w:val="24"/>
          <w:szCs w:val="24"/>
        </w:rPr>
        <w:tab/>
        <w:t>Անդամ պետության օրենսդրությանը համապատասխան՝ դեղապատրաստուկի գրանցման դոսյեի մեջ փոփոխություններ կատարելու դիմաց վճարի (տուրքի) վճարումը հաստատող փաստաթղթերը։</w:t>
      </w:r>
    </w:p>
    <w:p w14:paraId="2CC0E32A" w14:textId="77777777" w:rsidR="008C76E0" w:rsidRPr="003B2786" w:rsidRDefault="008C76E0" w:rsidP="00945A7B">
      <w:pPr>
        <w:tabs>
          <w:tab w:val="left" w:pos="1134"/>
        </w:tabs>
        <w:spacing w:after="160" w:line="360" w:lineRule="auto"/>
        <w:ind w:right="-1" w:firstLine="567"/>
        <w:jc w:val="both"/>
        <w:rPr>
          <w:rFonts w:ascii="Sylfaen" w:hAnsi="Sylfaen"/>
          <w:sz w:val="24"/>
          <w:szCs w:val="24"/>
        </w:rPr>
      </w:pPr>
      <w:r w:rsidRPr="003B2786">
        <w:rPr>
          <w:rFonts w:ascii="Sylfaen" w:hAnsi="Sylfaen"/>
          <w:sz w:val="24"/>
          <w:szCs w:val="24"/>
        </w:rPr>
        <w:t>6.</w:t>
      </w:r>
      <w:r w:rsidRPr="003B2786">
        <w:rPr>
          <w:rFonts w:ascii="Sylfaen" w:hAnsi="Sylfaen"/>
          <w:sz w:val="24"/>
          <w:szCs w:val="24"/>
        </w:rPr>
        <w:tab/>
        <w:t>Շահագրգիռ անդամ պետությունների ցանկը՝ նշելով ռեֆերենտ</w:t>
      </w:r>
      <w:r w:rsidRPr="003B2786" w:rsidDel="000835CF">
        <w:rPr>
          <w:rFonts w:ascii="Sylfaen" w:hAnsi="Sylfaen"/>
          <w:sz w:val="24"/>
          <w:szCs w:val="24"/>
        </w:rPr>
        <w:t xml:space="preserve"> </w:t>
      </w:r>
      <w:r w:rsidRPr="003B2786">
        <w:rPr>
          <w:rFonts w:ascii="Sylfaen" w:hAnsi="Sylfaen"/>
          <w:sz w:val="24"/>
          <w:szCs w:val="24"/>
        </w:rPr>
        <w:t>պետությունը, եթե կիրառելի է:</w:t>
      </w:r>
    </w:p>
    <w:p w14:paraId="7ED780AB" w14:textId="77777777" w:rsidR="008C76E0" w:rsidRPr="003B2786" w:rsidRDefault="008C76E0" w:rsidP="00945A7B">
      <w:pPr>
        <w:widowControl/>
        <w:spacing w:after="160" w:line="360" w:lineRule="auto"/>
        <w:rPr>
          <w:rFonts w:ascii="Sylfaen" w:eastAsia="Times New Roman" w:hAnsi="Sylfaen" w:cs="Times New Roman"/>
          <w:sz w:val="24"/>
          <w:szCs w:val="24"/>
        </w:rPr>
      </w:pPr>
      <w:r w:rsidRPr="003B2786">
        <w:rPr>
          <w:rFonts w:ascii="Sylfaen" w:eastAsia="Times New Roman" w:hAnsi="Sylfaen" w:cs="Times New Roman"/>
          <w:sz w:val="24"/>
          <w:szCs w:val="24"/>
        </w:rPr>
        <w:br w:type="page"/>
      </w:r>
    </w:p>
    <w:p w14:paraId="2C702C17"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lastRenderedPageBreak/>
        <w:t>Լրացում V</w:t>
      </w:r>
    </w:p>
    <w:p w14:paraId="66582D85" w14:textId="77777777" w:rsidR="008C76E0" w:rsidRPr="003B2786" w:rsidRDefault="008C76E0" w:rsidP="00945A7B">
      <w:pPr>
        <w:spacing w:after="160" w:line="360" w:lineRule="auto"/>
        <w:ind w:left="567" w:right="571"/>
        <w:jc w:val="center"/>
        <w:rPr>
          <w:rFonts w:ascii="Sylfaen" w:hAnsi="Sylfaen"/>
          <w:sz w:val="24"/>
          <w:szCs w:val="24"/>
        </w:rPr>
      </w:pPr>
      <w:r w:rsidRPr="003B2786">
        <w:rPr>
          <w:rFonts w:ascii="Sylfaen" w:hAnsi="Sylfaen"/>
          <w:sz w:val="24"/>
          <w:szCs w:val="24"/>
        </w:rPr>
        <w:t xml:space="preserve">Դեղապատրաստուկի գրանցման դոսյեում </w:t>
      </w:r>
      <w:r w:rsidRPr="003B2786">
        <w:rPr>
          <w:rFonts w:ascii="Sylfaen" w:hAnsi="Sylfaen"/>
          <w:sz w:val="24"/>
          <w:szCs w:val="24"/>
        </w:rPr>
        <w:br/>
        <w:t>փոփոխությունների դասակարգումը</w:t>
      </w:r>
    </w:p>
    <w:p w14:paraId="5FD725E0"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Դեղապատրաստուկների գրանցման դոսյեում փոփոխությունները դասակարգվում են փոփոխությունների սույն լրացմանը համապատասխան պայմանավորված՝</w:t>
      </w:r>
    </w:p>
    <w:p w14:paraId="5BD4E50E"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վարչական փոփոխություններով, </w:t>
      </w:r>
    </w:p>
    <w:p w14:paraId="11642C6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որակի հետ կապված փոփոխություններով,</w:t>
      </w:r>
    </w:p>
    <w:p w14:paraId="4B07DE28"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անվտանգության, արդյունավետության </w:t>
      </w:r>
      <w:r w:rsidR="00C54D75">
        <w:rPr>
          <w:rFonts w:ascii="Sylfaen" w:hAnsi="Sylfaen"/>
          <w:sz w:val="24"/>
          <w:szCs w:val="24"/>
        </w:rPr>
        <w:t>և</w:t>
      </w:r>
      <w:r w:rsidRPr="003B2786">
        <w:rPr>
          <w:rFonts w:ascii="Sylfaen" w:hAnsi="Sylfaen"/>
          <w:sz w:val="24"/>
          <w:szCs w:val="24"/>
        </w:rPr>
        <w:t xml:space="preserve"> դեղազգոնության հետ կապված փոփոխություններով, պլազմայի մաստեր-ֆայլերի (ՊՄՖ) </w:t>
      </w:r>
      <w:r w:rsidR="00C54D75">
        <w:rPr>
          <w:rFonts w:ascii="Sylfaen" w:hAnsi="Sylfaen"/>
          <w:sz w:val="24"/>
          <w:szCs w:val="24"/>
        </w:rPr>
        <w:t>և</w:t>
      </w:r>
      <w:r w:rsidRPr="003B2786">
        <w:rPr>
          <w:rFonts w:ascii="Sylfaen" w:hAnsi="Sylfaen"/>
          <w:sz w:val="24"/>
          <w:szCs w:val="24"/>
        </w:rPr>
        <w:t xml:space="preserve"> պատվաստանյութային հակածնի մաստեր-ֆայլերի (ՊՀՄՖ) որոշակի փոփոխություններով:</w:t>
      </w:r>
    </w:p>
    <w:p w14:paraId="07E2789B"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առանձին փոփոխությունները դասակարգելիս դիտարկվող փոփոխությունը հարկավոր է ծածկագրել՝ օգտագործելով հետ</w:t>
      </w:r>
      <w:r w:rsidR="00C54D75">
        <w:rPr>
          <w:rFonts w:ascii="Sylfaen" w:hAnsi="Sylfaen"/>
          <w:sz w:val="24"/>
          <w:szCs w:val="24"/>
        </w:rPr>
        <w:t>և</w:t>
      </w:r>
      <w:r w:rsidRPr="003B2786">
        <w:rPr>
          <w:rFonts w:ascii="Sylfaen" w:hAnsi="Sylfaen"/>
          <w:sz w:val="24"/>
          <w:szCs w:val="24"/>
        </w:rPr>
        <w:t>յալ կառուցվածքը՝</w:t>
      </w:r>
    </w:p>
    <w:p w14:paraId="16397E25"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X.N.x.n. («փոփոխության ծածկագիըը»), որտեղ՝</w:t>
      </w:r>
    </w:p>
    <w:p w14:paraId="36A90EE2"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X-ը ցույց է տալիս լրացման այն բաժնի մեծատառը, որը պարունակում է փոփոխությունը (օրինակ` «Ա», «Բ», «Գ» կամ «Դ»),</w:t>
      </w:r>
    </w:p>
    <w:p w14:paraId="0EACC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N-ն ցույց է տալիս բաժնի այն ենթաբաժնի հռոմեական թիվը, որը պարունակում է փոփոխությունը (օրինակ՝ I, II, III </w:t>
      </w:r>
      <w:r w:rsidR="00C54D75">
        <w:rPr>
          <w:rFonts w:ascii="Sylfaen" w:hAnsi="Sylfaen"/>
          <w:sz w:val="24"/>
          <w:szCs w:val="24"/>
        </w:rPr>
        <w:t>և</w:t>
      </w:r>
      <w:r w:rsidRPr="003B2786">
        <w:rPr>
          <w:rFonts w:ascii="Sylfaen" w:hAnsi="Sylfaen"/>
          <w:sz w:val="24"/>
          <w:szCs w:val="24"/>
        </w:rPr>
        <w:t xml:space="preserve"> այլն),</w:t>
      </w:r>
    </w:p>
    <w:p w14:paraId="1614EBD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x-ը ցույց է տալիս ենթաբաժնի այն կետի տառը, որը պարունակում է փոփոխությունը (օրինակ` «ա», «բ», «գ» </w:t>
      </w:r>
      <w:r w:rsidR="00C54D75">
        <w:rPr>
          <w:rFonts w:ascii="Sylfaen" w:hAnsi="Sylfaen"/>
          <w:sz w:val="24"/>
          <w:szCs w:val="24"/>
        </w:rPr>
        <w:t>և</w:t>
      </w:r>
      <w:r w:rsidRPr="003B2786">
        <w:rPr>
          <w:rFonts w:ascii="Sylfaen" w:hAnsi="Sylfaen"/>
          <w:sz w:val="24"/>
          <w:szCs w:val="24"/>
        </w:rPr>
        <w:t xml:space="preserve"> այլն),</w:t>
      </w:r>
    </w:p>
    <w:p w14:paraId="3BA89729"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n-ը ցույց է տալիս այն ենթակետի թիվը, որը լրացման մեջ տրվել է առանձին փոփոխությանը (օրինակ՝ 1, 2, 3 </w:t>
      </w:r>
      <w:r w:rsidR="00C54D75">
        <w:rPr>
          <w:rFonts w:ascii="Sylfaen" w:hAnsi="Sylfaen"/>
          <w:sz w:val="24"/>
          <w:szCs w:val="24"/>
        </w:rPr>
        <w:t>և</w:t>
      </w:r>
      <w:r w:rsidRPr="003B2786">
        <w:rPr>
          <w:rFonts w:ascii="Sylfaen" w:hAnsi="Sylfaen"/>
          <w:sz w:val="24"/>
          <w:szCs w:val="24"/>
        </w:rPr>
        <w:t xml:space="preserve"> այլն):</w:t>
      </w:r>
    </w:p>
    <w:p w14:paraId="4DBBC3A1"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Սույն լրացման յուրաքանչյուր բաժին պարունակում է՝</w:t>
      </w:r>
    </w:p>
    <w:p w14:paraId="374CD91F" w14:textId="77777777" w:rsidR="008C76E0" w:rsidRPr="003B2786" w:rsidRDefault="008C76E0" w:rsidP="00945A7B">
      <w:pPr>
        <w:spacing w:after="160" w:line="360" w:lineRule="auto"/>
        <w:ind w:right="-1" w:firstLine="567"/>
        <w:jc w:val="both"/>
        <w:rPr>
          <w:rFonts w:ascii="Sylfaen" w:hAnsi="Sylfaen"/>
          <w:sz w:val="24"/>
          <w:szCs w:val="24"/>
        </w:rPr>
      </w:pPr>
      <w:r w:rsidRPr="003B2786">
        <w:rPr>
          <w:rFonts w:ascii="Sylfaen" w:hAnsi="Sylfaen"/>
          <w:sz w:val="24"/>
          <w:szCs w:val="24"/>
        </w:rPr>
        <w:t xml:space="preserve">այն փոփոխությունների ցանկը, որոնք դասակարգվում են որպես IA տիպի ոչ </w:t>
      </w:r>
      <w:r w:rsidRPr="003B2786">
        <w:rPr>
          <w:rFonts w:ascii="Sylfaen" w:hAnsi="Sylfaen"/>
          <w:sz w:val="24"/>
          <w:szCs w:val="24"/>
        </w:rPr>
        <w:lastRenderedPageBreak/>
        <w:t xml:space="preserve">էական փոփոխություններ </w:t>
      </w:r>
      <w:r w:rsidR="00C54D75">
        <w:rPr>
          <w:rFonts w:ascii="Sylfaen" w:hAnsi="Sylfaen"/>
          <w:sz w:val="24"/>
          <w:szCs w:val="24"/>
        </w:rPr>
        <w:t>և</w:t>
      </w:r>
      <w:r w:rsidRPr="003B2786">
        <w:rPr>
          <w:rFonts w:ascii="Sylfaen" w:hAnsi="Sylfaen"/>
          <w:sz w:val="24"/>
          <w:szCs w:val="24"/>
        </w:rPr>
        <w:t xml:space="preserve"> II տիպի էական փոփոխություններ՝ սույն փաստաթղթի 1.2 կետի </w:t>
      </w:r>
      <w:r w:rsidR="00C54D75">
        <w:rPr>
          <w:rFonts w:ascii="Sylfaen" w:hAnsi="Sylfaen"/>
          <w:sz w:val="24"/>
          <w:szCs w:val="24"/>
        </w:rPr>
        <w:t>և</w:t>
      </w:r>
      <w:r w:rsidRPr="003B2786">
        <w:rPr>
          <w:rFonts w:ascii="Sylfaen" w:hAnsi="Sylfaen"/>
          <w:sz w:val="24"/>
          <w:szCs w:val="24"/>
        </w:rPr>
        <w:t xml:space="preserve"> սույն փաստաթղթի II լրացման սահմանումներին համապատասխան: Դրանում նա</w:t>
      </w:r>
      <w:r w:rsidR="00C54D75">
        <w:rPr>
          <w:rFonts w:ascii="Sylfaen" w:hAnsi="Sylfaen"/>
          <w:sz w:val="24"/>
          <w:szCs w:val="24"/>
        </w:rPr>
        <w:t>և</w:t>
      </w:r>
      <w:r w:rsidRPr="003B2786">
        <w:rPr>
          <w:rFonts w:ascii="Sylfaen" w:hAnsi="Sylfaen"/>
          <w:sz w:val="24"/>
          <w:szCs w:val="24"/>
        </w:rPr>
        <w:t xml:space="preserve"> նշվում է, թե IA տիպի փոփոխություններից որոնք են սույն Հավելվածի 2.1.2 </w:t>
      </w:r>
      <w:r w:rsidR="00C54D75">
        <w:rPr>
          <w:rFonts w:ascii="Sylfaen" w:hAnsi="Sylfaen"/>
          <w:sz w:val="24"/>
          <w:szCs w:val="24"/>
        </w:rPr>
        <w:t>և</w:t>
      </w:r>
      <w:r w:rsidRPr="003B2786">
        <w:rPr>
          <w:rFonts w:ascii="Sylfaen" w:hAnsi="Sylfaen"/>
          <w:sz w:val="24"/>
          <w:szCs w:val="24"/>
        </w:rPr>
        <w:t xml:space="preserve"> 3.1.2 ենթակետերի համաձայն պահանջում անհապաղ ծանուցում.</w:t>
      </w:r>
    </w:p>
    <w:p w14:paraId="1A3247BD"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այն օրինակների ցանկը, որոնք անհրաժեշտ է դիտարկել որպես IB տիպի ոչ էական փոփոխություններ: </w:t>
      </w:r>
    </w:p>
    <w:p w14:paraId="15F6F07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փաստաթղթի 1.3 կետի համաձայն՝ այս </w:t>
      </w:r>
      <w:r w:rsidRPr="003B2786">
        <w:rPr>
          <w:rFonts w:ascii="Sylfaen" w:hAnsi="Sylfaen"/>
          <w:sz w:val="24"/>
          <w:szCs w:val="24"/>
        </w:rPr>
        <w:tab/>
        <w:t>կատեգորիան տրվում է ինքնաբերաբար: Սույն լրացումն այս առումով նախատեսված չէ փոփոխությունների այդպիսի կատեգորիայի սպառիչ ցանկը սահմանելու համար:</w:t>
      </w:r>
    </w:p>
    <w:p w14:paraId="3D73875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V լրացման մեջ գրանցման ընդլայնումները չեն դիտարկվում, քանի որ դրանք պատշաճ կերպով նկարագրված են սույն փաստաթղթի I լրացման մեջ: Սույն փաստաթղթի I լրացման մեջ նկարագրված բոլոր փոփոխությունները հարկավոր է դիտարկել որպես գրանցման ընդլայնումներ: Մյուս բոլոր փոփոխությունները չպետք է մեկնաբանվեն որպես այդպիսիք:</w:t>
      </w:r>
    </w:p>
    <w:p w14:paraId="141B7EA8" w14:textId="4E74C9B9"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IA տիպի ոչ էական փոփոխությունների առնչությամբ սույն լրացման մեջ սահմանված պայմաններից մեկը կամ մի քանիսը չեն պահպանվում, այդպիսի փոփոխությունը կարելի է ներկայացնել որպես IB տիպի փոփոխություն («IB տիպի ինքնաբերական փոփոխություն»), եթե սույն լրացման կամ սույն փաստաթղթի 1.5 կետի համաձայն կազմված առաջարկության մեջ այդպիսի փոփոխությունը չի մեկնաբանվում որպես II տիպի փոփոխություն, կամ եթե </w:t>
      </w:r>
      <w:r w:rsidR="0056496B">
        <w:rPr>
          <w:rFonts w:ascii="Sylfaen" w:hAnsi="Sylfaen"/>
          <w:sz w:val="24"/>
          <w:szCs w:val="24"/>
        </w:rPr>
        <w:t>դիմումատու</w:t>
      </w:r>
      <w:r w:rsidRPr="003B2786">
        <w:rPr>
          <w:rFonts w:ascii="Sylfaen" w:hAnsi="Sylfaen"/>
          <w:sz w:val="24"/>
          <w:szCs w:val="24"/>
        </w:rPr>
        <w:t xml:space="preserve">ն չհամարի, որ փոփոխությունները կարող են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w:t>
      </w:r>
    </w:p>
    <w:p w14:paraId="7DD69E09" w14:textId="3B8B820D"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Եթե լիազորված մարմինը փոփոխություններ կատարելու մասին </w:t>
      </w:r>
      <w:r w:rsidR="0056496B">
        <w:rPr>
          <w:rFonts w:ascii="Sylfaen" w:hAnsi="Sylfaen"/>
          <w:sz w:val="24"/>
          <w:szCs w:val="24"/>
        </w:rPr>
        <w:t>դիմում</w:t>
      </w:r>
      <w:r w:rsidRPr="003B2786">
        <w:rPr>
          <w:rFonts w:ascii="Sylfaen" w:hAnsi="Sylfaen"/>
          <w:sz w:val="24"/>
          <w:szCs w:val="24"/>
        </w:rPr>
        <w:t xml:space="preserve">ն ուսումնասիրելիս համարի, որ որպես IB տիպի ինքնաբերական փոփոխություն ներկայացված փոփոխությունը կարող է զգալի ազդեցություն ունենալ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նա իրավունք ունի </w:t>
      </w:r>
      <w:r w:rsidR="0056496B">
        <w:rPr>
          <w:rFonts w:ascii="Sylfaen" w:hAnsi="Sylfaen"/>
          <w:sz w:val="24"/>
          <w:szCs w:val="24"/>
        </w:rPr>
        <w:t>դիմումատու</w:t>
      </w:r>
      <w:r w:rsidRPr="003B2786">
        <w:rPr>
          <w:rFonts w:ascii="Sylfaen" w:hAnsi="Sylfaen"/>
          <w:sz w:val="24"/>
          <w:szCs w:val="24"/>
        </w:rPr>
        <w:t xml:space="preserve">ից պահանջել փոփոխություններ կատարելու մասին </w:t>
      </w:r>
      <w:r w:rsidR="0056496B">
        <w:rPr>
          <w:rFonts w:ascii="Sylfaen" w:hAnsi="Sylfaen"/>
          <w:sz w:val="24"/>
          <w:szCs w:val="24"/>
        </w:rPr>
        <w:lastRenderedPageBreak/>
        <w:t>դիմում</w:t>
      </w:r>
      <w:r w:rsidRPr="003B2786">
        <w:rPr>
          <w:rFonts w:ascii="Sylfaen" w:hAnsi="Sylfaen"/>
          <w:sz w:val="24"/>
          <w:szCs w:val="24"/>
        </w:rPr>
        <w:t xml:space="preserve">ը փոփոխել </w:t>
      </w:r>
      <w:r w:rsidR="00C54D75">
        <w:rPr>
          <w:rFonts w:ascii="Sylfaen" w:hAnsi="Sylfaen"/>
          <w:sz w:val="24"/>
          <w:szCs w:val="24"/>
        </w:rPr>
        <w:t>և</w:t>
      </w:r>
      <w:r w:rsidRPr="003B2786">
        <w:rPr>
          <w:rFonts w:ascii="Sylfaen" w:hAnsi="Sylfaen"/>
          <w:sz w:val="24"/>
          <w:szCs w:val="24"/>
        </w:rPr>
        <w:t xml:space="preserve"> ներկայացնել փաստաթղթեր, որոնցով հաստատվում է տվյալ փոփոխությունը </w:t>
      </w:r>
      <w:r w:rsidR="00C54D75">
        <w:rPr>
          <w:rFonts w:ascii="Sylfaen" w:hAnsi="Sylfaen"/>
          <w:sz w:val="24"/>
          <w:szCs w:val="24"/>
        </w:rPr>
        <w:t>և</w:t>
      </w:r>
      <w:r w:rsidRPr="003B2786">
        <w:rPr>
          <w:rFonts w:ascii="Sylfaen" w:hAnsi="Sylfaen"/>
          <w:sz w:val="24"/>
          <w:szCs w:val="24"/>
        </w:rPr>
        <w:t xml:space="preserve"> դրա վերագրումը II տիպի փոփոխության դասին:</w:t>
      </w:r>
    </w:p>
    <w:p w14:paraId="2D79C984"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նպատակներով «փորձարկման ընթացակարգ» (test procedure) եզրույթն ունի նույն իմաստը, ինչ որ «վերլուծական մեթոդիկա»-ն (analytical procedure), իսկ «սահմաններ» (limits) եզրույթը՝ «ընդունելիության չափանիշներ»-ը (acceptance criteria): «Մասնագրի պարամետր» ասելով՝ հասկանում ենք որակի ցուցանիշ, որի առնչությամբ սահմանվում են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 ինչպես օրինակ՝ ջրի քանակական որոշումը, իսկությունն ու պարունակությունը: Այսպիսով, մասնագրի պարամետրի ավելացումը կամ բացառումը ներառում է համապատասխան վերլուծական մեթոդիկան </w:t>
      </w:r>
      <w:r w:rsidR="00C54D75">
        <w:rPr>
          <w:rFonts w:ascii="Sylfaen" w:hAnsi="Sylfaen"/>
          <w:sz w:val="24"/>
          <w:szCs w:val="24"/>
        </w:rPr>
        <w:t>և</w:t>
      </w:r>
      <w:r w:rsidRPr="003B2786">
        <w:rPr>
          <w:rFonts w:ascii="Sylfaen" w:hAnsi="Sylfaen"/>
          <w:sz w:val="24"/>
          <w:szCs w:val="24"/>
        </w:rPr>
        <w:t xml:space="preserve"> ընդունելիության չափանիշները:</w:t>
      </w:r>
    </w:p>
    <w:p w14:paraId="34348560" w14:textId="2BFB7DC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Եթե մի</w:t>
      </w:r>
      <w:r w:rsidR="00C54D75">
        <w:rPr>
          <w:rFonts w:ascii="Sylfaen" w:hAnsi="Sylfaen"/>
          <w:sz w:val="24"/>
          <w:szCs w:val="24"/>
        </w:rPr>
        <w:t>և</w:t>
      </w:r>
      <w:r w:rsidRPr="003B2786">
        <w:rPr>
          <w:rFonts w:ascii="Sylfaen" w:hAnsi="Sylfaen"/>
          <w:sz w:val="24"/>
          <w:szCs w:val="24"/>
        </w:rPr>
        <w:t>նույն ժամանակ տեղի է ունենում մի քանի ոչ էական փոփոխություն (օրինակ`մի</w:t>
      </w:r>
      <w:r w:rsidR="00C54D75">
        <w:rPr>
          <w:rFonts w:ascii="Sylfaen" w:hAnsi="Sylfaen"/>
          <w:sz w:val="24"/>
          <w:szCs w:val="24"/>
        </w:rPr>
        <w:t>և</w:t>
      </w:r>
      <w:r w:rsidRPr="003B2786">
        <w:rPr>
          <w:rFonts w:ascii="Sylfaen" w:hAnsi="Sylfaen"/>
          <w:sz w:val="24"/>
          <w:szCs w:val="24"/>
        </w:rPr>
        <w:t xml:space="preserve">նույն մեթոդի, գործընթացի կամ նյութի), կամ զգալիորեն թարմացվում են ակտիվ դեղագործական բաղադրամասի կամ դեղապատրաստուկի որակի մասին տեղեկությունները, ապա դասակարգման պատշաճ կատեգորիա ընտրելիս </w:t>
      </w:r>
      <w:r w:rsidR="0056496B">
        <w:rPr>
          <w:rFonts w:ascii="Sylfaen" w:hAnsi="Sylfaen"/>
          <w:sz w:val="24"/>
          <w:szCs w:val="24"/>
        </w:rPr>
        <w:t>դիմումատու</w:t>
      </w:r>
      <w:r w:rsidRPr="003B2786">
        <w:rPr>
          <w:rFonts w:ascii="Sylfaen" w:hAnsi="Sylfaen"/>
          <w:sz w:val="24"/>
          <w:szCs w:val="24"/>
        </w:rPr>
        <w:t xml:space="preserve">ն պետք է հաշվի առնի այդպիսի փոփոխությունների ամբողջական ազդեցությունը դեղապատրաստուկի որակի, անվտանգության </w:t>
      </w:r>
      <w:r w:rsidR="00C54D75">
        <w:rPr>
          <w:rFonts w:ascii="Sylfaen" w:hAnsi="Sylfaen"/>
          <w:sz w:val="24"/>
          <w:szCs w:val="24"/>
        </w:rPr>
        <w:t>և</w:t>
      </w:r>
      <w:r w:rsidRPr="003B2786">
        <w:rPr>
          <w:rFonts w:ascii="Sylfaen" w:hAnsi="Sylfaen"/>
          <w:sz w:val="24"/>
          <w:szCs w:val="24"/>
        </w:rPr>
        <w:t xml:space="preserve"> արդյունավետության վրա </w:t>
      </w:r>
      <w:r w:rsidR="00C54D75">
        <w:rPr>
          <w:rFonts w:ascii="Sylfaen" w:hAnsi="Sylfaen"/>
          <w:sz w:val="24"/>
          <w:szCs w:val="24"/>
        </w:rPr>
        <w:t>և</w:t>
      </w:r>
      <w:r w:rsidRPr="003B2786">
        <w:rPr>
          <w:rFonts w:ascii="Sylfaen" w:hAnsi="Sylfaen"/>
          <w:sz w:val="24"/>
          <w:szCs w:val="24"/>
        </w:rPr>
        <w:t xml:space="preserve"> դրանք ներկայացնի համապատասխան ձ</w:t>
      </w:r>
      <w:r w:rsidR="00C54D75">
        <w:rPr>
          <w:rFonts w:ascii="Sylfaen" w:hAnsi="Sylfaen"/>
          <w:sz w:val="24"/>
          <w:szCs w:val="24"/>
        </w:rPr>
        <w:t>և</w:t>
      </w:r>
      <w:r w:rsidRPr="003B2786">
        <w:rPr>
          <w:rFonts w:ascii="Sylfaen" w:hAnsi="Sylfaen"/>
          <w:sz w:val="24"/>
          <w:szCs w:val="24"/>
        </w:rPr>
        <w:t>ով:</w:t>
      </w:r>
    </w:p>
    <w:p w14:paraId="5DED851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IB </w:t>
      </w:r>
      <w:r w:rsidR="00C54D75">
        <w:rPr>
          <w:rFonts w:ascii="Sylfaen" w:hAnsi="Sylfaen"/>
          <w:sz w:val="24"/>
          <w:szCs w:val="24"/>
        </w:rPr>
        <w:t>և</w:t>
      </w:r>
      <w:r w:rsidRPr="003B2786">
        <w:rPr>
          <w:rFonts w:ascii="Sylfaen" w:hAnsi="Sylfaen"/>
          <w:sz w:val="24"/>
          <w:szCs w:val="24"/>
        </w:rPr>
        <w:t xml:space="preserve"> II տիպի փոփոխությունների կատարումը հիմնավորող փաստաթղթերը պայմանավորված են այդպիսի փոփոխությունների բնույթով:</w:t>
      </w:r>
    </w:p>
    <w:p w14:paraId="7C17E605"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Բացի այդ, եթե փոփոխությունը պահանջում է դեղապատրաստուկի ընդհանուր բնութագրի, մականշվածքի կամ ներդիր թերթիկի վերանայում («տեղեկատվություն դեղապատրաստուկի մասին» եզրույթի ներքո միավորվող), ապա այդ հանգամանքը դիտարկվում է որպես այդպիսի փոփոխության մաս: Այս դեպքում դեղապատրաստուկի մասին թարմացված տեղեկատվությունը հարկավոր է ներկայացնել որպես դոսյեի մաս՝ անդամ պետությունների պետական լեզուներով կատարված թարգմանության հետ միասին, անդամ </w:t>
      </w:r>
      <w:r w:rsidRPr="003B2786">
        <w:rPr>
          <w:rFonts w:ascii="Sylfaen" w:hAnsi="Sylfaen"/>
          <w:sz w:val="24"/>
          <w:szCs w:val="24"/>
        </w:rPr>
        <w:lastRenderedPageBreak/>
        <w:t>պետությունների օրենսդրությունում համապատասխան պահանջի առկայության դեպքում: Փաթեթվածքի մանրակերտերը հարկավոր է ներկայացնել ռեֆերենտ</w:t>
      </w:r>
      <w:r w:rsidRPr="003B2786" w:rsidDel="000835CF">
        <w:rPr>
          <w:rFonts w:ascii="Sylfaen" w:hAnsi="Sylfaen"/>
          <w:sz w:val="24"/>
          <w:szCs w:val="24"/>
        </w:rPr>
        <w:t xml:space="preserve"> </w:t>
      </w:r>
      <w:r w:rsidRPr="003B2786">
        <w:rPr>
          <w:rFonts w:ascii="Sylfaen" w:hAnsi="Sylfaen"/>
          <w:sz w:val="24"/>
          <w:szCs w:val="24"/>
        </w:rPr>
        <w:t>պետության կամ համապատասխանաբար ճանաչման պետության լիազորված մարմին (փորձագիտական կազմակերպություն):</w:t>
      </w:r>
    </w:p>
    <w:p w14:paraId="3BE05B22" w14:textId="1F778510"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Միության դեղագրքի կամ այդ անդամ պետության դեղագրքի թարմացված հոդվածի մասին չի պահանջվում ծանուցել անդամ պետությունների լիազորված մարմիններին, եթե գրանցված դեղապատրաստուկի դոսյեում հղում է կատարվում գործող խմբագրությանը: </w:t>
      </w:r>
      <w:r w:rsidR="0056496B">
        <w:rPr>
          <w:rFonts w:ascii="Sylfaen" w:hAnsi="Sylfaen"/>
          <w:sz w:val="24"/>
          <w:szCs w:val="24"/>
        </w:rPr>
        <w:t>Դիմումատու</w:t>
      </w:r>
      <w:r w:rsidRPr="003B2786">
        <w:rPr>
          <w:rFonts w:ascii="Sylfaen" w:hAnsi="Sylfaen"/>
          <w:sz w:val="24"/>
          <w:szCs w:val="24"/>
        </w:rPr>
        <w:t>ներին հարկավոր է հիշել, որ թարմացված հոդվածին համապատասխանեցումը պետք է իրականացվի դրա հրապարակման օրվանից 180 օրացուցային օրվա ընթացքում:</w:t>
      </w:r>
    </w:p>
    <w:p w14:paraId="2914F102"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Սույն լրացման Դ բաժնում ներկայացված է ՊՄՖ-ին </w:t>
      </w:r>
      <w:r w:rsidR="00C54D75">
        <w:rPr>
          <w:rFonts w:ascii="Sylfaen" w:hAnsi="Sylfaen"/>
          <w:sz w:val="24"/>
          <w:szCs w:val="24"/>
        </w:rPr>
        <w:t>և</w:t>
      </w:r>
      <w:r w:rsidRPr="003B2786">
        <w:rPr>
          <w:rFonts w:ascii="Sylfaen" w:hAnsi="Sylfaen"/>
          <w:sz w:val="24"/>
          <w:szCs w:val="24"/>
        </w:rPr>
        <w:t xml:space="preserve"> ՊՀՄՖ-ին բնորոշ փոփոխությունների ցանկը: Այդպիսի փոփոխությունների փորձաքննությունից հետո ցանկացած հիշատակված գրանցման դոսյե ենթակա է թարմացման՝ սույն լրացման Բ.V ենթաբաժնին համապատասխան: Եթե պլազմայից ստացված դեղապատրաստուկի համար որպես ելանյութ օգտագործված՝ մարդու պլազմայի մասին փաստաթղթերը չեն ներկայացվել որպես ՊՄՖ, ապա գրանցման դոսյեում նկարագրված այդպիսի ելանյութի փոփոխությունները նույնպես պետք է մշակվեն՝ սույն լրացմանը համապատասխան:</w:t>
      </w:r>
    </w:p>
    <w:p w14:paraId="236EA269" w14:textId="77777777"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Հաշվի առնելով հատուկ ցուցումների բացակայությունը՝ սույն լրացման մեջ դեղապատրաստուկի գրանցման դոսյեի փոփոխություններին արված հղումները ենթադրում են ավելացում, փոխարինում կամ բացառում: Եթե գրանցման դոսյեի ուղղումները խմբագրական բնույթի փոփոխություններ են, ապա այդպիսի փոփոխություններն ընդհանուր առմամբ հարկավոր չէ ներկայացնել որպես առանձին փոփոխության կատարում, այլ թույլատրվում է դրանք ներառել գրանցման դոսյեի համապատասխան մասի փոփոխությունների մեջ:</w:t>
      </w:r>
    </w:p>
    <w:p w14:paraId="665950F6" w14:textId="5E451FE1" w:rsidR="008C76E0" w:rsidRPr="003B2786" w:rsidRDefault="008C76E0" w:rsidP="00945A7B">
      <w:pPr>
        <w:spacing w:after="160" w:line="360" w:lineRule="auto"/>
        <w:ind w:firstLine="567"/>
        <w:jc w:val="both"/>
        <w:rPr>
          <w:rFonts w:ascii="Sylfaen" w:hAnsi="Sylfaen"/>
          <w:sz w:val="24"/>
          <w:szCs w:val="24"/>
        </w:rPr>
      </w:pPr>
      <w:r w:rsidRPr="003B2786">
        <w:rPr>
          <w:rFonts w:ascii="Sylfaen" w:hAnsi="Sylfaen"/>
          <w:sz w:val="24"/>
          <w:szCs w:val="24"/>
        </w:rPr>
        <w:t xml:space="preserve">Այդ դեպքերում </w:t>
      </w:r>
      <w:r w:rsidR="0056496B">
        <w:rPr>
          <w:rFonts w:ascii="Sylfaen" w:hAnsi="Sylfaen"/>
          <w:sz w:val="24"/>
          <w:szCs w:val="24"/>
        </w:rPr>
        <w:t>դիմում</w:t>
      </w:r>
      <w:r w:rsidRPr="003B2786">
        <w:rPr>
          <w:rFonts w:ascii="Sylfaen" w:hAnsi="Sylfaen"/>
          <w:sz w:val="24"/>
          <w:szCs w:val="24"/>
        </w:rPr>
        <w:t>ի ձ</w:t>
      </w:r>
      <w:r w:rsidR="00C54D75">
        <w:rPr>
          <w:rFonts w:ascii="Sylfaen" w:hAnsi="Sylfaen"/>
          <w:sz w:val="24"/>
          <w:szCs w:val="24"/>
        </w:rPr>
        <w:t>և</w:t>
      </w:r>
      <w:r w:rsidRPr="003B2786">
        <w:rPr>
          <w:rFonts w:ascii="Sylfaen" w:hAnsi="Sylfaen"/>
          <w:sz w:val="24"/>
          <w:szCs w:val="24"/>
        </w:rPr>
        <w:t xml:space="preserve">ում անհրաժեշտ է հստակ նշել այնպիսի փոփոխություններ, ինչպիսիք են խմբագրական բնույթի ուղղումները, </w:t>
      </w:r>
      <w:r w:rsidR="00C54D75">
        <w:rPr>
          <w:rFonts w:ascii="Sylfaen" w:hAnsi="Sylfaen"/>
          <w:sz w:val="24"/>
          <w:szCs w:val="24"/>
        </w:rPr>
        <w:t>և</w:t>
      </w:r>
      <w:r w:rsidRPr="003B2786">
        <w:rPr>
          <w:rFonts w:ascii="Sylfaen" w:hAnsi="Sylfaen"/>
          <w:sz w:val="24"/>
          <w:szCs w:val="24"/>
        </w:rPr>
        <w:t xml:space="preserve"> ներկայացնել երաշխիքային նամակ, որով հաստատվում է, որ ներկայացված </w:t>
      </w:r>
      <w:r w:rsidRPr="003B2786">
        <w:rPr>
          <w:rFonts w:ascii="Sylfaen" w:hAnsi="Sylfaen"/>
          <w:sz w:val="24"/>
          <w:szCs w:val="24"/>
        </w:rPr>
        <w:lastRenderedPageBreak/>
        <w:t xml:space="preserve">խմբագրական բնույթի ուղղումները չեն ազդում ներկայացված փոփոխության դասակարգման տիպի փոփոխության վրա: </w:t>
      </w:r>
      <w:r w:rsidR="0056496B">
        <w:rPr>
          <w:rFonts w:ascii="Sylfaen" w:hAnsi="Sylfaen"/>
          <w:sz w:val="24"/>
          <w:szCs w:val="24"/>
        </w:rPr>
        <w:t>Դիմումատու</w:t>
      </w:r>
      <w:r w:rsidRPr="003B2786">
        <w:rPr>
          <w:rFonts w:ascii="Sylfaen" w:hAnsi="Sylfaen"/>
          <w:sz w:val="24"/>
          <w:szCs w:val="24"/>
        </w:rPr>
        <w:t xml:space="preserve">ի կողմից ներկայացվող խմբագրական բնույթի ուղղումները թույլ են տալիս հանել հնացած կամ ավելորդ տեքստը, բայց ոչ մասնագրի պարամետրերը </w:t>
      </w:r>
      <w:r w:rsidR="00C54D75">
        <w:rPr>
          <w:rFonts w:ascii="Sylfaen" w:hAnsi="Sylfaen"/>
          <w:sz w:val="24"/>
          <w:szCs w:val="24"/>
        </w:rPr>
        <w:t>և</w:t>
      </w:r>
      <w:r w:rsidRPr="003B2786">
        <w:rPr>
          <w:rFonts w:ascii="Sylfaen" w:hAnsi="Sylfaen"/>
          <w:sz w:val="24"/>
          <w:szCs w:val="24"/>
        </w:rPr>
        <w:t xml:space="preserve"> արտադրության նկարագրությունները:</w:t>
      </w:r>
    </w:p>
    <w:p w14:paraId="0B83DDC3" w14:textId="77777777" w:rsidR="008C76E0" w:rsidRPr="006D1911" w:rsidRDefault="008C76E0" w:rsidP="008C76E0">
      <w:pPr>
        <w:ind w:right="-1"/>
        <w:jc w:val="both"/>
        <w:rPr>
          <w:rFonts w:ascii="Sylfaen" w:hAnsi="Sylfaen"/>
          <w:sz w:val="24"/>
          <w:szCs w:val="24"/>
        </w:rPr>
      </w:pPr>
    </w:p>
    <w:tbl>
      <w:tblPr>
        <w:tblOverlap w:val="never"/>
        <w:tblW w:w="10313" w:type="dxa"/>
        <w:jc w:val="center"/>
        <w:tblLayout w:type="fixed"/>
        <w:tblCellMar>
          <w:left w:w="10" w:type="dxa"/>
          <w:right w:w="10" w:type="dxa"/>
        </w:tblCellMar>
        <w:tblLook w:val="04A0" w:firstRow="1" w:lastRow="0" w:firstColumn="1" w:lastColumn="0" w:noHBand="0" w:noVBand="1"/>
      </w:tblPr>
      <w:tblGrid>
        <w:gridCol w:w="2320"/>
        <w:gridCol w:w="2482"/>
        <w:gridCol w:w="1662"/>
        <w:gridCol w:w="1816"/>
        <w:gridCol w:w="201"/>
        <w:gridCol w:w="1832"/>
      </w:tblGrid>
      <w:tr w:rsidR="008C76E0" w:rsidRPr="003B2786" w14:paraId="7CB39793" w14:textId="77777777" w:rsidTr="008C76E0">
        <w:trPr>
          <w:jc w:val="center"/>
        </w:trPr>
        <w:tc>
          <w:tcPr>
            <w:tcW w:w="10313" w:type="dxa"/>
            <w:gridSpan w:val="6"/>
            <w:shd w:val="clear" w:color="auto" w:fill="FFFFFF"/>
          </w:tcPr>
          <w:p w14:paraId="5CDF46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Ա.Վարչական փոփոխություններ</w:t>
            </w:r>
          </w:p>
        </w:tc>
      </w:tr>
      <w:tr w:rsidR="008C76E0" w:rsidRPr="003B2786" w14:paraId="527381CF" w14:textId="77777777" w:rsidTr="008C76E0">
        <w:trPr>
          <w:jc w:val="center"/>
        </w:trPr>
        <w:tc>
          <w:tcPr>
            <w:tcW w:w="4802" w:type="dxa"/>
            <w:gridSpan w:val="2"/>
            <w:tcBorders>
              <w:top w:val="single" w:sz="4" w:space="0" w:color="auto"/>
              <w:left w:val="single" w:sz="4" w:space="0" w:color="auto"/>
            </w:tcBorders>
            <w:shd w:val="clear" w:color="auto" w:fill="FFFFFF"/>
          </w:tcPr>
          <w:p w14:paraId="10CAD4AC" w14:textId="77777777" w:rsidR="008C76E0" w:rsidRPr="008C76E0" w:rsidRDefault="008C76E0" w:rsidP="008C76E0">
            <w:pPr>
              <w:pStyle w:val="Bodytext180"/>
              <w:shd w:val="clear" w:color="auto" w:fill="auto"/>
              <w:spacing w:before="0" w:after="120" w:line="240" w:lineRule="auto"/>
              <w:ind w:right="180" w:firstLine="0"/>
              <w:jc w:val="both"/>
              <w:rPr>
                <w:rFonts w:ascii="Sylfaen" w:hAnsi="Sylfaen"/>
                <w:b w:val="0"/>
                <w:sz w:val="24"/>
                <w:szCs w:val="24"/>
                <w:lang w:val="hy-AM"/>
              </w:rPr>
            </w:pPr>
            <w:r w:rsidRPr="003B2786">
              <w:rPr>
                <w:rStyle w:val="Bodytext1811pt"/>
                <w:rFonts w:ascii="Sylfaen" w:hAnsi="Sylfaen"/>
                <w:sz w:val="24"/>
                <w:szCs w:val="24"/>
              </w:rPr>
              <w:t>Ա.1.</w:t>
            </w:r>
            <w:r w:rsidRPr="003B2786">
              <w:rPr>
                <w:rStyle w:val="Bodytext1811pt"/>
                <w:rFonts w:ascii="Sylfaen" w:hAnsi="Sylfaen"/>
                <w:sz w:val="24"/>
                <w:szCs w:val="24"/>
              </w:rPr>
              <w:tab/>
              <w:t xml:space="preserve">Գրանցման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w:t>
            </w:r>
          </w:p>
        </w:tc>
        <w:tc>
          <w:tcPr>
            <w:tcW w:w="1662" w:type="dxa"/>
            <w:tcBorders>
              <w:top w:val="single" w:sz="4" w:space="0" w:color="auto"/>
              <w:left w:val="single" w:sz="4" w:space="0" w:color="auto"/>
            </w:tcBorders>
            <w:shd w:val="clear" w:color="auto" w:fill="FFFFFF"/>
          </w:tcPr>
          <w:p w14:paraId="504D7E1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47EBD7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3DC1E4C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4E57BC" w14:textId="77777777" w:rsidTr="008C76E0">
        <w:trPr>
          <w:trHeight w:val="307"/>
          <w:jc w:val="center"/>
        </w:trPr>
        <w:tc>
          <w:tcPr>
            <w:tcW w:w="4802" w:type="dxa"/>
            <w:gridSpan w:val="2"/>
            <w:tcBorders>
              <w:top w:val="single" w:sz="4" w:space="0" w:color="auto"/>
              <w:left w:val="single" w:sz="4" w:space="0" w:color="auto"/>
            </w:tcBorders>
            <w:shd w:val="clear" w:color="auto" w:fill="FFFFFF"/>
          </w:tcPr>
          <w:p w14:paraId="3447CD46"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419ABF8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68B3B59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5149C66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5EF0C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6887EBE"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4D7328BF" w14:textId="77777777" w:rsidR="008C76E0" w:rsidRPr="003B2786" w:rsidRDefault="008C76E0" w:rsidP="008C76E0">
            <w:pPr>
              <w:pStyle w:val="Bodytext180"/>
              <w:numPr>
                <w:ilvl w:val="0"/>
                <w:numId w:val="11"/>
              </w:numPr>
              <w:shd w:val="clear" w:color="auto" w:fill="auto"/>
              <w:spacing w:before="0" w:after="120" w:line="240" w:lineRule="auto"/>
              <w:ind w:left="616" w:hanging="568"/>
              <w:rPr>
                <w:rFonts w:ascii="Sylfaen" w:hAnsi="Sylfaen"/>
                <w:b w:val="0"/>
                <w:sz w:val="24"/>
                <w:szCs w:val="24"/>
              </w:rPr>
            </w:pPr>
            <w:r w:rsidRPr="003B2786">
              <w:rPr>
                <w:rStyle w:val="Bodytext1811pt"/>
                <w:rFonts w:ascii="Sylfaen" w:hAnsi="Sylfaen"/>
                <w:sz w:val="24"/>
                <w:szCs w:val="24"/>
              </w:rPr>
              <w:t>Գրանցման հավաստագրի իրավատերը պետք է շարունակի մնալ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0F11ADC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EC0EC37" w14:textId="77777777" w:rsidR="008C76E0" w:rsidRPr="008C76E0" w:rsidRDefault="008C76E0" w:rsidP="008C76E0">
            <w:pPr>
              <w:pStyle w:val="Bodytext180"/>
              <w:shd w:val="clear" w:color="auto" w:fill="auto"/>
              <w:spacing w:before="0" w:after="120" w:line="240" w:lineRule="auto"/>
              <w:ind w:firstLine="0"/>
              <w:rPr>
                <w:rFonts w:ascii="Sylfaen" w:hAnsi="Sylfaen"/>
                <w:b w:val="0"/>
                <w:sz w:val="24"/>
                <w:szCs w:val="24"/>
                <w:lang w:val="hy-AM"/>
              </w:rPr>
            </w:pPr>
            <w:r w:rsidRPr="003B2786">
              <w:rPr>
                <w:rStyle w:val="Bodytext1811pt"/>
                <w:rFonts w:ascii="Sylfaen" w:hAnsi="Sylfaen"/>
                <w:sz w:val="24"/>
                <w:szCs w:val="24"/>
              </w:rPr>
              <w:t>Փաստաթղթերը</w:t>
            </w:r>
          </w:p>
          <w:p w14:paraId="5A32CAE7" w14:textId="77777777" w:rsidR="008C76E0" w:rsidRPr="008C76E0" w:rsidRDefault="008C76E0" w:rsidP="008C76E0">
            <w:pPr>
              <w:pStyle w:val="Bodytext180"/>
              <w:shd w:val="clear" w:color="auto" w:fill="auto"/>
              <w:spacing w:before="0" w:after="120" w:line="240" w:lineRule="auto"/>
              <w:ind w:left="566" w:hanging="566"/>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Փաստաթուղթ համապատասխան լիազորված մարմնի (օրինակ՝ հարկային մարմնի) կողմից, որում նշված է նոր անվանումը կամ հասցեն:</w:t>
            </w:r>
          </w:p>
          <w:p w14:paraId="699EE059" w14:textId="77777777" w:rsidR="008C76E0" w:rsidRPr="003B2786" w:rsidRDefault="008C76E0" w:rsidP="008C76E0">
            <w:pPr>
              <w:pStyle w:val="Bodytext180"/>
              <w:shd w:val="clear" w:color="auto" w:fill="auto"/>
              <w:spacing w:before="0" w:after="120" w:line="240" w:lineRule="auto"/>
              <w:ind w:left="566" w:hanging="566"/>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62FF9C9" w14:textId="77777777" w:rsidTr="008C76E0">
        <w:trPr>
          <w:jc w:val="center"/>
        </w:trPr>
        <w:tc>
          <w:tcPr>
            <w:tcW w:w="4802" w:type="dxa"/>
            <w:gridSpan w:val="2"/>
            <w:tcBorders>
              <w:top w:val="single" w:sz="4" w:space="0" w:color="auto"/>
              <w:left w:val="single" w:sz="4" w:space="0" w:color="auto"/>
            </w:tcBorders>
            <w:shd w:val="clear" w:color="auto" w:fill="FFFFFF"/>
          </w:tcPr>
          <w:p w14:paraId="34442693"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Ա.2.</w:t>
            </w:r>
            <w:r w:rsidRPr="003B2786">
              <w:rPr>
                <w:rStyle w:val="Bodytext1811pt"/>
                <w:rFonts w:ascii="Sylfaen" w:hAnsi="Sylfaen"/>
                <w:sz w:val="24"/>
                <w:szCs w:val="24"/>
              </w:rPr>
              <w:tab/>
              <w:t>Դեղապատրաստուկի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փոփոխությունը</w:t>
            </w:r>
          </w:p>
        </w:tc>
        <w:tc>
          <w:tcPr>
            <w:tcW w:w="1662" w:type="dxa"/>
            <w:tcBorders>
              <w:top w:val="single" w:sz="4" w:space="0" w:color="auto"/>
              <w:left w:val="single" w:sz="4" w:space="0" w:color="auto"/>
            </w:tcBorders>
            <w:shd w:val="clear" w:color="auto" w:fill="FFFFFF"/>
          </w:tcPr>
          <w:p w14:paraId="35889E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552B2C8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459055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7AF3D8D" w14:textId="77777777" w:rsidTr="008C76E0">
        <w:trPr>
          <w:jc w:val="center"/>
        </w:trPr>
        <w:tc>
          <w:tcPr>
            <w:tcW w:w="4802" w:type="dxa"/>
            <w:gridSpan w:val="2"/>
            <w:tcBorders>
              <w:top w:val="single" w:sz="4" w:space="0" w:color="auto"/>
              <w:left w:val="single" w:sz="4" w:space="0" w:color="auto"/>
            </w:tcBorders>
            <w:shd w:val="clear" w:color="auto" w:fill="FFFFFF"/>
          </w:tcPr>
          <w:p w14:paraId="498E59A1" w14:textId="77777777" w:rsidR="008C76E0" w:rsidRPr="008C76E0" w:rsidRDefault="008C76E0" w:rsidP="008C76E0">
            <w:pPr>
              <w:pStyle w:val="Bodytext180"/>
              <w:shd w:val="clear" w:color="auto" w:fill="auto"/>
              <w:tabs>
                <w:tab w:val="left" w:pos="55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կանոններին համապատասխան գրանցված դեղապատրաստուկներ</w:t>
            </w:r>
          </w:p>
        </w:tc>
        <w:tc>
          <w:tcPr>
            <w:tcW w:w="1662" w:type="dxa"/>
            <w:tcBorders>
              <w:top w:val="single" w:sz="4" w:space="0" w:color="auto"/>
              <w:left w:val="single" w:sz="4" w:space="0" w:color="auto"/>
            </w:tcBorders>
            <w:shd w:val="clear" w:color="auto" w:fill="FFFFFF"/>
          </w:tcPr>
          <w:p w14:paraId="7511458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w:t>
            </w:r>
          </w:p>
        </w:tc>
        <w:tc>
          <w:tcPr>
            <w:tcW w:w="1816" w:type="dxa"/>
            <w:tcBorders>
              <w:top w:val="single" w:sz="4" w:space="0" w:color="auto"/>
              <w:left w:val="single" w:sz="4" w:space="0" w:color="auto"/>
            </w:tcBorders>
            <w:shd w:val="clear" w:color="auto" w:fill="FFFFFF"/>
          </w:tcPr>
          <w:p w14:paraId="32A48C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6DA0AA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9DD5FA0" w14:textId="77777777" w:rsidTr="008C76E0">
        <w:trPr>
          <w:jc w:val="center"/>
        </w:trPr>
        <w:tc>
          <w:tcPr>
            <w:tcW w:w="4802" w:type="dxa"/>
            <w:gridSpan w:val="2"/>
            <w:tcBorders>
              <w:top w:val="single" w:sz="4" w:space="0" w:color="auto"/>
              <w:left w:val="single" w:sz="4" w:space="0" w:color="auto"/>
            </w:tcBorders>
            <w:shd w:val="clear" w:color="auto" w:fill="FFFFFF"/>
          </w:tcPr>
          <w:p w14:paraId="28D912FB" w14:textId="77777777" w:rsidR="008C76E0" w:rsidRPr="008C76E0" w:rsidRDefault="008C76E0" w:rsidP="008C76E0">
            <w:pPr>
              <w:pStyle w:val="Bodytext180"/>
              <w:shd w:val="clear" w:color="auto" w:fill="auto"/>
              <w:tabs>
                <w:tab w:val="left" w:pos="559"/>
              </w:tabs>
              <w:spacing w:before="0" w:after="120" w:line="240" w:lineRule="auto"/>
              <w:ind w:left="41" w:right="62" w:firstLine="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Ազգային ընթացակարգով գրանցված դեղապատրաստուկներ (գրանցումը՝ միայն ռեֆերենտ պետությունում) </w:t>
            </w:r>
          </w:p>
        </w:tc>
        <w:tc>
          <w:tcPr>
            <w:tcW w:w="1662" w:type="dxa"/>
            <w:tcBorders>
              <w:top w:val="single" w:sz="4" w:space="0" w:color="auto"/>
              <w:left w:val="single" w:sz="4" w:space="0" w:color="auto"/>
            </w:tcBorders>
            <w:shd w:val="clear" w:color="auto" w:fill="FFFFFF"/>
          </w:tcPr>
          <w:p w14:paraId="2AB9E8F9"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392B5E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2</w:t>
            </w:r>
          </w:p>
        </w:tc>
        <w:tc>
          <w:tcPr>
            <w:tcW w:w="2033" w:type="dxa"/>
            <w:gridSpan w:val="2"/>
            <w:tcBorders>
              <w:top w:val="single" w:sz="4" w:space="0" w:color="auto"/>
              <w:left w:val="single" w:sz="4" w:space="0" w:color="auto"/>
              <w:right w:val="single" w:sz="4" w:space="0" w:color="auto"/>
            </w:tcBorders>
            <w:shd w:val="clear" w:color="auto" w:fill="FFFFFF"/>
          </w:tcPr>
          <w:p w14:paraId="4FD001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0CFF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3CAA8126"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Պայմանները</w:t>
            </w:r>
          </w:p>
          <w:p w14:paraId="74296ABD" w14:textId="77777777" w:rsidR="008C76E0" w:rsidRPr="003B2786" w:rsidRDefault="008C76E0" w:rsidP="008C76E0">
            <w:pPr>
              <w:pStyle w:val="Bodytext180"/>
              <w:numPr>
                <w:ilvl w:val="0"/>
                <w:numId w:val="12"/>
              </w:numPr>
              <w:shd w:val="clear" w:color="auto" w:fill="auto"/>
              <w:tabs>
                <w:tab w:val="left" w:pos="574"/>
              </w:tabs>
              <w:spacing w:before="0" w:after="120" w:line="240" w:lineRule="auto"/>
              <w:ind w:left="633" w:hanging="633"/>
              <w:rPr>
                <w:rFonts w:ascii="Sylfaen" w:hAnsi="Sylfaen"/>
                <w:b w:val="0"/>
                <w:sz w:val="24"/>
                <w:szCs w:val="24"/>
              </w:rPr>
            </w:pPr>
            <w:r w:rsidRPr="003B2786">
              <w:rPr>
                <w:rStyle w:val="Bodytext1811pt"/>
                <w:rFonts w:ascii="Sylfaen" w:hAnsi="Sylfaen"/>
                <w:sz w:val="24"/>
                <w:szCs w:val="24"/>
              </w:rPr>
              <w:t>Նոր անվանման ընդունելիության հաստատումը ռեֆերենտ պետության կողմից</w:t>
            </w:r>
          </w:p>
        </w:tc>
      </w:tr>
      <w:tr w:rsidR="008C76E0" w:rsidRPr="003B2786" w14:paraId="35C23D4F"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8681C83"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4D1AB451" w14:textId="77777777" w:rsidR="008C76E0" w:rsidRPr="008C76E0"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պետության՝ նոր (առ</w:t>
            </w:r>
            <w:r w:rsidR="00C54D75">
              <w:rPr>
                <w:rStyle w:val="Bodytext1811pt"/>
                <w:rFonts w:ascii="Sylfaen" w:hAnsi="Sylfaen"/>
                <w:sz w:val="24"/>
                <w:szCs w:val="24"/>
              </w:rPr>
              <w:t>և</w:t>
            </w:r>
            <w:r w:rsidRPr="003B2786">
              <w:rPr>
                <w:rStyle w:val="Bodytext1811pt"/>
                <w:rFonts w:ascii="Sylfaen" w:hAnsi="Sylfaen"/>
                <w:sz w:val="24"/>
                <w:szCs w:val="24"/>
              </w:rPr>
              <w:t>տրային) անվանման ընդունելիության մասին նամակի պատճենը:</w:t>
            </w:r>
          </w:p>
          <w:p w14:paraId="14846277" w14:textId="77777777" w:rsidR="008C76E0" w:rsidRPr="003B2786" w:rsidRDefault="008C76E0" w:rsidP="008C76E0">
            <w:pPr>
              <w:pStyle w:val="Bodytext180"/>
              <w:shd w:val="clear" w:color="auto" w:fill="auto"/>
              <w:tabs>
                <w:tab w:val="left" w:pos="574"/>
              </w:tabs>
              <w:spacing w:before="0" w:after="120" w:line="240" w:lineRule="auto"/>
              <w:ind w:left="633" w:hanging="633"/>
              <w:rPr>
                <w:rFonts w:ascii="Sylfaen" w:hAnsi="Sylfaen"/>
                <w:b w:val="0"/>
                <w:sz w:val="24"/>
                <w:szCs w:val="24"/>
              </w:rPr>
            </w:pPr>
            <w:r w:rsidRPr="003B2786">
              <w:rPr>
                <w:rFonts w:ascii="Sylfaen" w:hAnsi="Sylfaen"/>
                <w:b w:val="0"/>
                <w:sz w:val="24"/>
                <w:szCs w:val="24"/>
              </w:rPr>
              <w:lastRenderedPageBreak/>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567CA5C" w14:textId="77777777" w:rsidTr="008C76E0">
        <w:trPr>
          <w:jc w:val="center"/>
        </w:trPr>
        <w:tc>
          <w:tcPr>
            <w:tcW w:w="4802" w:type="dxa"/>
            <w:gridSpan w:val="2"/>
            <w:tcBorders>
              <w:top w:val="single" w:sz="4" w:space="0" w:color="auto"/>
              <w:left w:val="single" w:sz="4" w:space="0" w:color="auto"/>
            </w:tcBorders>
            <w:shd w:val="clear" w:color="auto" w:fill="FFFFFF"/>
          </w:tcPr>
          <w:p w14:paraId="77B6BD8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Ա.З. Ակտիվ դեղագործական բաղադրամասի կամ օժանդակ նյութի անվանման փոփոխությունը</w:t>
            </w:r>
          </w:p>
        </w:tc>
        <w:tc>
          <w:tcPr>
            <w:tcW w:w="1662" w:type="dxa"/>
            <w:tcBorders>
              <w:top w:val="single" w:sz="4" w:space="0" w:color="auto"/>
              <w:left w:val="single" w:sz="4" w:space="0" w:color="auto"/>
            </w:tcBorders>
            <w:shd w:val="clear" w:color="auto" w:fill="FFFFFF"/>
          </w:tcPr>
          <w:p w14:paraId="3891452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tcBorders>
            <w:shd w:val="clear" w:color="auto" w:fill="FFFFFF"/>
          </w:tcPr>
          <w:p w14:paraId="381789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right w:val="single" w:sz="4" w:space="0" w:color="auto"/>
            </w:tcBorders>
            <w:shd w:val="clear" w:color="auto" w:fill="FFFFFF"/>
          </w:tcPr>
          <w:p w14:paraId="79F41F7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829AA1" w14:textId="77777777" w:rsidTr="008C76E0">
        <w:trPr>
          <w:jc w:val="center"/>
        </w:trPr>
        <w:tc>
          <w:tcPr>
            <w:tcW w:w="4802" w:type="dxa"/>
            <w:gridSpan w:val="2"/>
            <w:tcBorders>
              <w:top w:val="single" w:sz="4" w:space="0" w:color="auto"/>
              <w:left w:val="single" w:sz="4" w:space="0" w:color="auto"/>
            </w:tcBorders>
            <w:shd w:val="clear" w:color="auto" w:fill="FFFFFF"/>
          </w:tcPr>
          <w:p w14:paraId="19CAF2D5"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19D28CD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1816" w:type="dxa"/>
            <w:tcBorders>
              <w:top w:val="single" w:sz="4" w:space="0" w:color="auto"/>
              <w:left w:val="single" w:sz="4" w:space="0" w:color="auto"/>
            </w:tcBorders>
            <w:shd w:val="clear" w:color="auto" w:fill="FFFFFF"/>
          </w:tcPr>
          <w:p w14:paraId="3D7164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5pt"/>
                <w:rFonts w:ascii="Sylfaen" w:hAnsi="Sylfaen"/>
                <w:sz w:val="24"/>
                <w:szCs w:val="24"/>
              </w:rPr>
              <w:t>1,2</w:t>
            </w:r>
          </w:p>
        </w:tc>
        <w:tc>
          <w:tcPr>
            <w:tcW w:w="2033" w:type="dxa"/>
            <w:gridSpan w:val="2"/>
            <w:tcBorders>
              <w:top w:val="single" w:sz="4" w:space="0" w:color="auto"/>
              <w:left w:val="single" w:sz="4" w:space="0" w:color="auto"/>
              <w:right w:val="single" w:sz="4" w:space="0" w:color="auto"/>
            </w:tcBorders>
            <w:shd w:val="clear" w:color="auto" w:fill="FFFFFF"/>
          </w:tcPr>
          <w:p w14:paraId="42249C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9A71DD1"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5A72BD0C" w14:textId="77777777" w:rsidR="008C76E0" w:rsidRPr="003B2786" w:rsidRDefault="008C76E0" w:rsidP="008C76E0">
            <w:pPr>
              <w:pStyle w:val="Bodytext180"/>
              <w:shd w:val="clear" w:color="auto" w:fill="auto"/>
              <w:spacing w:before="0" w:after="120" w:line="240" w:lineRule="auto"/>
              <w:ind w:firstLine="0"/>
              <w:rPr>
                <w:rFonts w:ascii="Sylfaen" w:hAnsi="Sylfaen"/>
                <w:b w:val="0"/>
                <w:sz w:val="24"/>
                <w:szCs w:val="24"/>
              </w:rPr>
            </w:pPr>
            <w:r w:rsidRPr="003B2786">
              <w:rPr>
                <w:rStyle w:val="Bodytext1811pt"/>
                <w:rFonts w:ascii="Sylfaen" w:hAnsi="Sylfaen"/>
                <w:sz w:val="24"/>
                <w:szCs w:val="24"/>
              </w:rPr>
              <w:t>Պայմանները</w:t>
            </w:r>
          </w:p>
          <w:p w14:paraId="7ECB55CA" w14:textId="77777777" w:rsidR="008C76E0" w:rsidRPr="003B2786" w:rsidRDefault="008C76E0" w:rsidP="008C76E0">
            <w:pPr>
              <w:pStyle w:val="Bodytext180"/>
              <w:numPr>
                <w:ilvl w:val="0"/>
                <w:numId w:val="13"/>
              </w:numPr>
              <w:shd w:val="clear" w:color="auto" w:fill="auto"/>
              <w:spacing w:before="0" w:after="120" w:line="240" w:lineRule="auto"/>
              <w:rPr>
                <w:rFonts w:ascii="Sylfaen" w:hAnsi="Sylfaen"/>
                <w:b w:val="0"/>
                <w:sz w:val="24"/>
                <w:szCs w:val="24"/>
              </w:rPr>
            </w:pPr>
            <w:r w:rsidRPr="003B2786">
              <w:rPr>
                <w:rStyle w:val="Bodytext1811pt"/>
                <w:rFonts w:ascii="Sylfaen" w:hAnsi="Sylfaen"/>
                <w:sz w:val="24"/>
                <w:szCs w:val="24"/>
              </w:rPr>
              <w:t>Դեղագործական բաղադրամասը (օժանդակ նյութը) չի փոփոխվում:</w:t>
            </w:r>
          </w:p>
        </w:tc>
      </w:tr>
      <w:tr w:rsidR="008C76E0" w:rsidRPr="003B2786" w14:paraId="3F2D1B3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7B2FC971" w14:textId="77777777" w:rsidR="008C76E0" w:rsidRPr="008C76E0" w:rsidRDefault="008C76E0" w:rsidP="008C76E0">
            <w:pPr>
              <w:pStyle w:val="Bodytext180"/>
              <w:shd w:val="clear" w:color="auto" w:fill="auto"/>
              <w:spacing w:before="0" w:after="120" w:line="240" w:lineRule="auto"/>
              <w:ind w:left="633" w:hanging="633"/>
              <w:rPr>
                <w:rFonts w:ascii="Sylfaen" w:hAnsi="Sylfaen"/>
                <w:b w:val="0"/>
                <w:sz w:val="24"/>
                <w:szCs w:val="24"/>
                <w:lang w:val="hy-AM"/>
              </w:rPr>
            </w:pPr>
            <w:r w:rsidRPr="003B2786">
              <w:rPr>
                <w:rStyle w:val="Bodytext1811pt"/>
                <w:rFonts w:ascii="Sylfaen" w:hAnsi="Sylfaen"/>
                <w:sz w:val="24"/>
                <w:szCs w:val="24"/>
              </w:rPr>
              <w:t>Փաստաթղթերը</w:t>
            </w:r>
          </w:p>
          <w:p w14:paraId="734FF12E" w14:textId="1D13DA57" w:rsidR="008C76E0" w:rsidRPr="008C76E0" w:rsidRDefault="008C76E0" w:rsidP="008C76E0">
            <w:pPr>
              <w:pStyle w:val="Bodytext180"/>
              <w:shd w:val="clear" w:color="auto" w:fill="auto"/>
              <w:spacing w:before="0" w:after="120" w:line="240" w:lineRule="auto"/>
              <w:ind w:left="633" w:right="187" w:hanging="633"/>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ԱՀԿ-ի հաստատման վկայագիրը կամ ՄՉԱ-ի ցանկի պատճենը: Եթե կիրառելի է՝ այն փաստի հաստատումը, որ փոփոխությունը համապատասխանում է Միության դեղագրքին:</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առ այն, որ բուսական ծագման դեղաբուսական պատրաստուկների անվանումները համապատասխանում են Միության փաստաթղթերին:</w:t>
            </w:r>
          </w:p>
          <w:p w14:paraId="5CE458BC" w14:textId="77777777" w:rsidR="008C76E0" w:rsidRPr="003B2786" w:rsidRDefault="008C76E0" w:rsidP="008C76E0">
            <w:pPr>
              <w:pStyle w:val="Bodytext180"/>
              <w:shd w:val="clear" w:color="auto" w:fill="auto"/>
              <w:spacing w:before="0" w:after="120" w:line="240" w:lineRule="auto"/>
              <w:ind w:left="633" w:hanging="633"/>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E6C571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4079A435" w14:textId="77777777" w:rsidR="008C76E0" w:rsidRPr="008C76E0" w:rsidRDefault="008C76E0" w:rsidP="008C76E0">
            <w:pPr>
              <w:pStyle w:val="Bodytext180"/>
              <w:shd w:val="clear" w:color="auto" w:fill="auto"/>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Ա.4.</w:t>
            </w:r>
            <w:r w:rsidRPr="003B2786">
              <w:rPr>
                <w:rStyle w:val="Bodytext1811pt"/>
                <w:rFonts w:ascii="Sylfaen" w:hAnsi="Sylfaen"/>
                <w:sz w:val="24"/>
                <w:szCs w:val="24"/>
              </w:rPr>
              <w:tab/>
              <w:t>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անձանց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 արտադրողը (ներառյալ`եթե կիրառելի են, որակի հսկողության հարթակները) կամ ԱԴԲՄՖ-ի իրավատերը կամ ակտիվ դեղագործական բաղադրամասի արտադրության մեջ օգտագործվող ակտիվ դեղագործական բաղադրամասի, ելանյութերի, ռեակտիվների կամ միջանկյալ արտադրանքի մատակարարը (եթե նշված է տեխնիկական դոսյեում), եթե գրանցման դոսյեում բացակայում են Ph. Eur.-ին համապատասխանության կամ նոր օժանդակ նյութի արտադրողի հավաստագրերը (եթե նշված է տեխնիկական դոսյեում)</w:t>
            </w:r>
          </w:p>
        </w:tc>
        <w:tc>
          <w:tcPr>
            <w:tcW w:w="1662" w:type="dxa"/>
            <w:tcBorders>
              <w:top w:val="single" w:sz="4" w:space="0" w:color="auto"/>
              <w:left w:val="single" w:sz="4" w:space="0" w:color="auto"/>
              <w:bottom w:val="single" w:sz="4" w:space="0" w:color="auto"/>
            </w:tcBorders>
            <w:shd w:val="clear" w:color="auto" w:fill="FFFFFF"/>
          </w:tcPr>
          <w:p w14:paraId="159D6A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816" w:type="dxa"/>
            <w:tcBorders>
              <w:top w:val="single" w:sz="4" w:space="0" w:color="auto"/>
              <w:left w:val="single" w:sz="4" w:space="0" w:color="auto"/>
              <w:bottom w:val="single" w:sz="4" w:space="0" w:color="auto"/>
            </w:tcBorders>
            <w:shd w:val="clear" w:color="auto" w:fill="FFFFFF"/>
          </w:tcPr>
          <w:p w14:paraId="531C18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33" w:type="dxa"/>
            <w:gridSpan w:val="2"/>
            <w:tcBorders>
              <w:top w:val="single" w:sz="4" w:space="0" w:color="auto"/>
              <w:left w:val="single" w:sz="4" w:space="0" w:color="auto"/>
              <w:bottom w:val="single" w:sz="4" w:space="0" w:color="auto"/>
              <w:right w:val="single" w:sz="4" w:space="0" w:color="auto"/>
            </w:tcBorders>
            <w:shd w:val="clear" w:color="auto" w:fill="FFFFFF"/>
          </w:tcPr>
          <w:p w14:paraId="77F6497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2F5550" w14:textId="77777777" w:rsidTr="008C76E0">
        <w:trPr>
          <w:trHeight w:val="263"/>
          <w:jc w:val="center"/>
        </w:trPr>
        <w:tc>
          <w:tcPr>
            <w:tcW w:w="4802" w:type="dxa"/>
            <w:gridSpan w:val="2"/>
            <w:tcBorders>
              <w:top w:val="single" w:sz="4" w:space="0" w:color="auto"/>
              <w:left w:val="single" w:sz="4" w:space="0" w:color="auto"/>
            </w:tcBorders>
            <w:shd w:val="clear" w:color="auto" w:fill="FFFFFF"/>
          </w:tcPr>
          <w:p w14:paraId="5D5685BE" w14:textId="77777777" w:rsidR="008C76E0" w:rsidRPr="003B2786" w:rsidRDefault="008C76E0" w:rsidP="008C76E0">
            <w:pPr>
              <w:pStyle w:val="Bodytext180"/>
              <w:shd w:val="clear" w:color="auto" w:fill="auto"/>
              <w:spacing w:before="0" w:after="120" w:line="240" w:lineRule="auto"/>
              <w:ind w:left="65" w:right="204" w:firstLine="0"/>
              <w:jc w:val="both"/>
              <w:rPr>
                <w:rFonts w:ascii="Sylfaen" w:hAnsi="Sylfaen"/>
                <w:b w:val="0"/>
                <w:sz w:val="24"/>
                <w:szCs w:val="24"/>
              </w:rPr>
            </w:pPr>
          </w:p>
        </w:tc>
        <w:tc>
          <w:tcPr>
            <w:tcW w:w="1662" w:type="dxa"/>
            <w:tcBorders>
              <w:top w:val="single" w:sz="4" w:space="0" w:color="auto"/>
              <w:left w:val="single" w:sz="4" w:space="0" w:color="auto"/>
            </w:tcBorders>
            <w:shd w:val="clear" w:color="auto" w:fill="FFFFFF"/>
          </w:tcPr>
          <w:p w14:paraId="5B55A92E" w14:textId="77777777" w:rsidR="008C76E0" w:rsidRPr="003B2786" w:rsidRDefault="008C76E0" w:rsidP="008C76E0">
            <w:pPr>
              <w:spacing w:after="120" w:line="240" w:lineRule="auto"/>
              <w:jc w:val="center"/>
              <w:rPr>
                <w:rFonts w:ascii="Sylfaen" w:hAnsi="Sylfaen"/>
                <w:sz w:val="24"/>
                <w:szCs w:val="24"/>
              </w:rPr>
            </w:pPr>
          </w:p>
        </w:tc>
        <w:tc>
          <w:tcPr>
            <w:tcW w:w="1816" w:type="dxa"/>
            <w:tcBorders>
              <w:top w:val="single" w:sz="4" w:space="0" w:color="auto"/>
              <w:left w:val="single" w:sz="4" w:space="0" w:color="auto"/>
            </w:tcBorders>
            <w:shd w:val="clear" w:color="auto" w:fill="FFFFFF"/>
          </w:tcPr>
          <w:p w14:paraId="00483DC7" w14:textId="77777777" w:rsidR="008C76E0" w:rsidRPr="003B2786" w:rsidRDefault="008C76E0" w:rsidP="008C76E0">
            <w:pPr>
              <w:spacing w:after="120" w:line="240" w:lineRule="auto"/>
              <w:jc w:val="center"/>
              <w:rPr>
                <w:rFonts w:ascii="Sylfaen" w:hAnsi="Sylfaen"/>
                <w:sz w:val="24"/>
                <w:szCs w:val="24"/>
              </w:rPr>
            </w:pPr>
          </w:p>
        </w:tc>
        <w:tc>
          <w:tcPr>
            <w:tcW w:w="2033" w:type="dxa"/>
            <w:gridSpan w:val="2"/>
            <w:tcBorders>
              <w:top w:val="single" w:sz="4" w:space="0" w:color="auto"/>
              <w:left w:val="single" w:sz="4" w:space="0" w:color="auto"/>
              <w:right w:val="single" w:sz="4" w:space="0" w:color="auto"/>
            </w:tcBorders>
            <w:shd w:val="clear" w:color="auto" w:fill="FFFFFF"/>
          </w:tcPr>
          <w:p w14:paraId="6E76BCA1"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1D046447" w14:textId="77777777" w:rsidTr="008C76E0">
        <w:trPr>
          <w:jc w:val="center"/>
        </w:trPr>
        <w:tc>
          <w:tcPr>
            <w:tcW w:w="4802" w:type="dxa"/>
            <w:gridSpan w:val="2"/>
            <w:tcBorders>
              <w:top w:val="single" w:sz="4" w:space="0" w:color="auto"/>
              <w:left w:val="single" w:sz="4" w:space="0" w:color="auto"/>
            </w:tcBorders>
            <w:shd w:val="clear" w:color="auto" w:fill="FFFFFF"/>
          </w:tcPr>
          <w:p w14:paraId="1EE8CAC9"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3B84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816" w:type="dxa"/>
            <w:tcBorders>
              <w:top w:val="single" w:sz="4" w:space="0" w:color="auto"/>
              <w:left w:val="single" w:sz="4" w:space="0" w:color="auto"/>
            </w:tcBorders>
            <w:shd w:val="clear" w:color="auto" w:fill="FFFFFF"/>
          </w:tcPr>
          <w:p w14:paraId="2FFBB8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1,2,3</w:t>
            </w:r>
          </w:p>
        </w:tc>
        <w:tc>
          <w:tcPr>
            <w:tcW w:w="2033" w:type="dxa"/>
            <w:gridSpan w:val="2"/>
            <w:tcBorders>
              <w:top w:val="single" w:sz="4" w:space="0" w:color="auto"/>
              <w:left w:val="single" w:sz="4" w:space="0" w:color="auto"/>
              <w:right w:val="single" w:sz="4" w:space="0" w:color="auto"/>
            </w:tcBorders>
            <w:shd w:val="clear" w:color="auto" w:fill="FFFFFF"/>
          </w:tcPr>
          <w:p w14:paraId="66E93E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9B5C4F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4C87B648"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Պայմանները</w:t>
            </w:r>
          </w:p>
          <w:p w14:paraId="0D68D4BB" w14:textId="77777777" w:rsidR="008C76E0" w:rsidRPr="008C76E0" w:rsidRDefault="008C76E0" w:rsidP="008C76E0">
            <w:pPr>
              <w:pStyle w:val="Bodytext180"/>
              <w:shd w:val="clear" w:color="auto" w:fill="auto"/>
              <w:spacing w:before="0" w:after="120" w:line="240" w:lineRule="auto"/>
              <w:ind w:firstLine="0"/>
              <w:jc w:val="center"/>
              <w:rPr>
                <w:rFonts w:ascii="Sylfaen" w:hAnsi="Sylfaen"/>
                <w:b w:val="0"/>
                <w:sz w:val="24"/>
                <w:szCs w:val="24"/>
                <w:lang w:val="hy-AM"/>
              </w:rPr>
            </w:pPr>
            <w:r w:rsidRPr="003B2786">
              <w:rPr>
                <w:rStyle w:val="Bodytext1811pt"/>
                <w:rFonts w:ascii="Sylfaen" w:hAnsi="Sylfaen"/>
                <w:sz w:val="24"/>
                <w:szCs w:val="24"/>
              </w:rPr>
              <w:t xml:space="preserve">1.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գործառնություններից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չեն փոփոխվում:</w:t>
            </w:r>
          </w:p>
        </w:tc>
      </w:tr>
      <w:tr w:rsidR="008C76E0" w:rsidRPr="003B2786" w14:paraId="486BE7C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1D5289C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3B2786">
              <w:rPr>
                <w:rStyle w:val="Bodytext1811pt"/>
                <w:rFonts w:ascii="Sylfaen" w:hAnsi="Sylfaen"/>
                <w:sz w:val="24"/>
                <w:szCs w:val="24"/>
              </w:rPr>
              <w:t>Փաստաթղթերը</w:t>
            </w:r>
          </w:p>
          <w:p w14:paraId="027B9047"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1. </w:t>
            </w:r>
            <w:r w:rsidRPr="003B2786">
              <w:rPr>
                <w:rStyle w:val="Bodytext1811pt"/>
                <w:rFonts w:ascii="Sylfaen" w:hAnsi="Sylfaen"/>
                <w:sz w:val="24"/>
                <w:szCs w:val="24"/>
              </w:rPr>
              <w:t xml:space="preserve">Պաշտոնական փաստաթուղթ լիազորված մարմնի (օրինակ՝ հարկային մարմնի) կողմից, որում նշված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595A9B21"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lastRenderedPageBreak/>
              <w:t xml:space="preserve">2. </w:t>
            </w:r>
            <w:r w:rsidRPr="003B2786">
              <w:rPr>
                <w:rStyle w:val="Bodytext1811pt"/>
                <w:rFonts w:ascii="Sylfaen" w:hAnsi="Sylfaen"/>
                <w:sz w:val="24"/>
                <w:szCs w:val="24"/>
              </w:rPr>
              <w:t>Դոսյեի համապատասխան բաժնում ուղղում կատարելը</w:t>
            </w:r>
          </w:p>
          <w:p w14:paraId="03FE28B2" w14:textId="77777777" w:rsidR="008C76E0" w:rsidRPr="008C76E0" w:rsidRDefault="008C76E0" w:rsidP="008C76E0">
            <w:pPr>
              <w:pStyle w:val="Bodytext180"/>
              <w:shd w:val="clear" w:color="auto" w:fill="auto"/>
              <w:spacing w:before="0" w:line="240" w:lineRule="auto"/>
              <w:ind w:firstLine="0"/>
              <w:jc w:val="center"/>
              <w:rPr>
                <w:rFonts w:ascii="Sylfaen" w:hAnsi="Sylfaen"/>
                <w:b w:val="0"/>
                <w:sz w:val="24"/>
                <w:szCs w:val="24"/>
                <w:lang w:val="hy-AM"/>
              </w:rPr>
            </w:pPr>
            <w:r w:rsidRPr="008C76E0">
              <w:rPr>
                <w:rFonts w:ascii="Sylfaen" w:hAnsi="Sylfaen"/>
                <w:b w:val="0"/>
                <w:sz w:val="24"/>
                <w:szCs w:val="24"/>
                <w:lang w:val="hy-AM"/>
              </w:rPr>
              <w:t xml:space="preserve">3. </w:t>
            </w:r>
            <w:r w:rsidRPr="003B2786">
              <w:rPr>
                <w:rStyle w:val="Bodytext1811pt"/>
                <w:rFonts w:ascii="Sylfaen" w:hAnsi="Sylfaen"/>
                <w:sz w:val="24"/>
                <w:szCs w:val="24"/>
              </w:rPr>
              <w:t>Ակտիվ դեղագործական բաղադրամասի մաստեր-ֆայլի (ԱԴԲՄՖ-ի) իրավատիրոջ անվանումը փոփոխելիս թարմացված «հասանելիության թույլտվություն»:</w:t>
            </w:r>
          </w:p>
        </w:tc>
      </w:tr>
      <w:tr w:rsidR="008C76E0" w:rsidRPr="003B2786" w14:paraId="2A34FFCE" w14:textId="77777777" w:rsidTr="008C76E0">
        <w:trPr>
          <w:jc w:val="center"/>
        </w:trPr>
        <w:tc>
          <w:tcPr>
            <w:tcW w:w="4802" w:type="dxa"/>
            <w:gridSpan w:val="2"/>
            <w:tcBorders>
              <w:top w:val="single" w:sz="4" w:space="0" w:color="auto"/>
              <w:left w:val="single" w:sz="4" w:space="0" w:color="auto"/>
            </w:tcBorders>
            <w:shd w:val="clear" w:color="auto" w:fill="FFFFFF"/>
          </w:tcPr>
          <w:p w14:paraId="6EA71F65" w14:textId="77777777" w:rsidR="008C76E0" w:rsidRPr="008C76E0" w:rsidRDefault="008C76E0" w:rsidP="008C76E0">
            <w:pPr>
              <w:pStyle w:val="Bodytext180"/>
              <w:shd w:val="clear" w:color="auto" w:fill="auto"/>
              <w:tabs>
                <w:tab w:val="left" w:pos="633"/>
              </w:tabs>
              <w:spacing w:before="0" w:after="12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lastRenderedPageBreak/>
              <w:t>Ա.5.</w:t>
            </w:r>
            <w:r w:rsidRPr="003B2786">
              <w:rPr>
                <w:rStyle w:val="Bodytext1811pt"/>
                <w:rFonts w:ascii="Sylfaen" w:hAnsi="Sylfaen"/>
                <w:sz w:val="24"/>
                <w:szCs w:val="24"/>
              </w:rPr>
              <w:tab/>
              <w:t xml:space="preserve">Դեղապատրաստուկ արտադրողի, ներառյալ՝ բացթողման հարթակների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հարթակների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662" w:type="dxa"/>
            <w:tcBorders>
              <w:top w:val="single" w:sz="4" w:space="0" w:color="auto"/>
              <w:left w:val="single" w:sz="4" w:space="0" w:color="auto"/>
            </w:tcBorders>
            <w:shd w:val="clear" w:color="auto" w:fill="FFFFFF"/>
          </w:tcPr>
          <w:p w14:paraId="1C6C53B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2D353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02F1B3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30D309" w14:textId="77777777" w:rsidTr="008C76E0">
        <w:trPr>
          <w:jc w:val="center"/>
        </w:trPr>
        <w:tc>
          <w:tcPr>
            <w:tcW w:w="4802" w:type="dxa"/>
            <w:gridSpan w:val="2"/>
            <w:tcBorders>
              <w:top w:val="single" w:sz="4" w:space="0" w:color="auto"/>
              <w:left w:val="single" w:sz="4" w:space="0" w:color="auto"/>
            </w:tcBorders>
            <w:shd w:val="clear" w:color="auto" w:fill="FFFFFF"/>
          </w:tcPr>
          <w:p w14:paraId="4E4649FC"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գործողությունները, որոնց համար պատասխանատու է արտադրողը (ներմուծողը), ներառում են սերիաների բացթողումը:</w:t>
            </w:r>
          </w:p>
        </w:tc>
        <w:tc>
          <w:tcPr>
            <w:tcW w:w="1662" w:type="dxa"/>
            <w:tcBorders>
              <w:top w:val="single" w:sz="4" w:space="0" w:color="auto"/>
              <w:left w:val="single" w:sz="4" w:space="0" w:color="auto"/>
            </w:tcBorders>
            <w:shd w:val="clear" w:color="auto" w:fill="FFFFFF"/>
          </w:tcPr>
          <w:p w14:paraId="7991356A"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52BB20C9"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6FE5B3D5"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22D9C14" w14:textId="77777777" w:rsidTr="008C76E0">
        <w:trPr>
          <w:jc w:val="center"/>
        </w:trPr>
        <w:tc>
          <w:tcPr>
            <w:tcW w:w="4802" w:type="dxa"/>
            <w:gridSpan w:val="2"/>
            <w:tcBorders>
              <w:top w:val="single" w:sz="4" w:space="0" w:color="auto"/>
              <w:left w:val="single" w:sz="4" w:space="0" w:color="auto"/>
            </w:tcBorders>
            <w:shd w:val="clear" w:color="auto" w:fill="FFFFFF"/>
          </w:tcPr>
          <w:p w14:paraId="1E1CE666" w14:textId="77777777" w:rsidR="008C76E0" w:rsidRPr="008C76E0" w:rsidRDefault="008C76E0" w:rsidP="008C76E0">
            <w:pPr>
              <w:pStyle w:val="Bodytext180"/>
              <w:shd w:val="clear" w:color="auto" w:fill="auto"/>
              <w:tabs>
                <w:tab w:val="left" w:pos="633"/>
              </w:tabs>
              <w:spacing w:before="0" w:line="240" w:lineRule="auto"/>
              <w:ind w:left="65" w:right="204"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գործողությունները, որոնց համար պատասխանատու է արտադրողը (ներմուծողը), չեն ներառում սերիաների բացթողում:</w:t>
            </w:r>
          </w:p>
        </w:tc>
        <w:tc>
          <w:tcPr>
            <w:tcW w:w="1662" w:type="dxa"/>
            <w:tcBorders>
              <w:top w:val="single" w:sz="4" w:space="0" w:color="auto"/>
              <w:left w:val="single" w:sz="4" w:space="0" w:color="auto"/>
            </w:tcBorders>
            <w:shd w:val="clear" w:color="auto" w:fill="FFFFFF"/>
          </w:tcPr>
          <w:p w14:paraId="55BFA0A2"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33824EE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291ABF67"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A7941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2AC94D96"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Պայմանները</w:t>
            </w:r>
          </w:p>
          <w:p w14:paraId="07B22E51"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Արտադրական հարթակը, որի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 փոփոխվում են, իսկ արտադրության գործընթացներից </w:t>
            </w:r>
            <w:r w:rsidR="00C54D75">
              <w:rPr>
                <w:rStyle w:val="Bodytext1811pt"/>
                <w:rFonts w:ascii="Sylfaen" w:hAnsi="Sylfaen"/>
                <w:sz w:val="24"/>
                <w:szCs w:val="24"/>
              </w:rPr>
              <w:t>և</w:t>
            </w:r>
            <w:r w:rsidRPr="003B2786">
              <w:rPr>
                <w:rStyle w:val="Bodytext1811pt"/>
                <w:rFonts w:ascii="Sylfaen" w:hAnsi="Sylfaen"/>
                <w:sz w:val="24"/>
                <w:szCs w:val="24"/>
              </w:rPr>
              <w:t xml:space="preserve"> ոչ մեկը չի փոփոխվում:</w:t>
            </w:r>
          </w:p>
        </w:tc>
      </w:tr>
      <w:tr w:rsidR="008C76E0" w:rsidRPr="003B2786" w14:paraId="70800BB5"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CE93F2E"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3B2786">
              <w:rPr>
                <w:rStyle w:val="Bodytext1811pt"/>
                <w:rFonts w:ascii="Sylfaen" w:hAnsi="Sylfaen"/>
                <w:sz w:val="24"/>
                <w:szCs w:val="24"/>
              </w:rPr>
              <w:t>Փաստաթղթերը</w:t>
            </w:r>
          </w:p>
          <w:p w14:paraId="6B296EBF" w14:textId="77777777" w:rsidR="008C76E0" w:rsidRPr="008C76E0" w:rsidRDefault="008C76E0" w:rsidP="008C76E0">
            <w:pPr>
              <w:pStyle w:val="Bodytext180"/>
              <w:shd w:val="clear" w:color="auto" w:fill="auto"/>
              <w:spacing w:before="0" w:after="120" w:line="240" w:lineRule="auto"/>
              <w:ind w:left="491" w:right="187" w:hanging="491"/>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Արտադրությանն ուղղված թույլտվության (առկայության դեպքում) պատճենը կամ համապատասխան լիազորված մարմնի (օրինակ՝ հարկային մարմնի) պաշտոնական փաստաթուղթը, որում հիշատակվում է նոր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w:t>
            </w:r>
          </w:p>
          <w:p w14:paraId="2F8A8794" w14:textId="77777777" w:rsidR="008C76E0" w:rsidRPr="008C76E0" w:rsidRDefault="008C76E0" w:rsidP="008C76E0">
            <w:pPr>
              <w:pStyle w:val="Bodytext180"/>
              <w:shd w:val="clear" w:color="auto" w:fill="auto"/>
              <w:spacing w:before="0" w:after="120" w:line="240" w:lineRule="auto"/>
              <w:ind w:left="491" w:right="187" w:hanging="491"/>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Եթե կիրառելի է՝ դոսյեի համապատասխան բաժնում ուղղում կատարելը, ներառյալ՝ դեղապատրաստուկի մասին վերանայված տեղեկատվությունը:</w:t>
            </w:r>
          </w:p>
        </w:tc>
      </w:tr>
      <w:tr w:rsidR="008C76E0" w:rsidRPr="003B2786" w14:paraId="0212E148" w14:textId="77777777" w:rsidTr="008C76E0">
        <w:trPr>
          <w:jc w:val="center"/>
        </w:trPr>
        <w:tc>
          <w:tcPr>
            <w:tcW w:w="4802" w:type="dxa"/>
            <w:gridSpan w:val="2"/>
            <w:tcBorders>
              <w:top w:val="single" w:sz="4" w:space="0" w:color="auto"/>
              <w:left w:val="single" w:sz="4" w:space="0" w:color="auto"/>
            </w:tcBorders>
            <w:shd w:val="clear" w:color="auto" w:fill="FFFFFF"/>
          </w:tcPr>
          <w:p w14:paraId="7B4E21E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Ա.6. ԱԲՔ ծածկագրի փոփոխությունը</w:t>
            </w:r>
          </w:p>
        </w:tc>
        <w:tc>
          <w:tcPr>
            <w:tcW w:w="1662" w:type="dxa"/>
            <w:tcBorders>
              <w:top w:val="single" w:sz="4" w:space="0" w:color="auto"/>
              <w:left w:val="single" w:sz="4" w:space="0" w:color="auto"/>
            </w:tcBorders>
            <w:shd w:val="clear" w:color="auto" w:fill="FFFFFF"/>
          </w:tcPr>
          <w:p w14:paraId="7F7689C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01909DC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24022A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426F929" w14:textId="77777777" w:rsidTr="008C76E0">
        <w:trPr>
          <w:jc w:val="center"/>
        </w:trPr>
        <w:tc>
          <w:tcPr>
            <w:tcW w:w="4802" w:type="dxa"/>
            <w:gridSpan w:val="2"/>
            <w:tcBorders>
              <w:top w:val="single" w:sz="4" w:space="0" w:color="auto"/>
              <w:left w:val="single" w:sz="4" w:space="0" w:color="auto"/>
            </w:tcBorders>
            <w:shd w:val="clear" w:color="auto" w:fill="FFFFFF"/>
          </w:tcPr>
          <w:p w14:paraId="29592F82" w14:textId="77777777" w:rsidR="008C76E0" w:rsidRPr="003B2786" w:rsidRDefault="008C76E0" w:rsidP="008C76E0">
            <w:pPr>
              <w:spacing w:after="120" w:line="240" w:lineRule="auto"/>
              <w:jc w:val="center"/>
              <w:rPr>
                <w:rFonts w:ascii="Sylfaen" w:hAnsi="Sylfaen"/>
                <w:sz w:val="24"/>
                <w:szCs w:val="24"/>
              </w:rPr>
            </w:pPr>
          </w:p>
        </w:tc>
        <w:tc>
          <w:tcPr>
            <w:tcW w:w="1662" w:type="dxa"/>
            <w:tcBorders>
              <w:top w:val="single" w:sz="4" w:space="0" w:color="auto"/>
              <w:left w:val="single" w:sz="4" w:space="0" w:color="auto"/>
            </w:tcBorders>
            <w:shd w:val="clear" w:color="auto" w:fill="FFFFFF"/>
          </w:tcPr>
          <w:p w14:paraId="5D804DB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2017" w:type="dxa"/>
            <w:gridSpan w:val="2"/>
            <w:tcBorders>
              <w:top w:val="single" w:sz="4" w:space="0" w:color="auto"/>
              <w:left w:val="single" w:sz="4" w:space="0" w:color="auto"/>
            </w:tcBorders>
            <w:shd w:val="clear" w:color="auto" w:fill="FFFFFF"/>
          </w:tcPr>
          <w:p w14:paraId="1E32DA5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1FEDE2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13FC36"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6315EAD"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Պայմանները</w:t>
            </w:r>
          </w:p>
          <w:p w14:paraId="0F0A0950" w14:textId="77777777" w:rsidR="008C76E0" w:rsidRPr="003B2786" w:rsidRDefault="008C76E0" w:rsidP="008C76E0">
            <w:pPr>
              <w:pStyle w:val="Bodytext180"/>
              <w:numPr>
                <w:ilvl w:val="0"/>
                <w:numId w:val="14"/>
              </w:numPr>
              <w:shd w:val="clear" w:color="auto" w:fill="auto"/>
              <w:spacing w:before="0" w:after="120" w:line="240" w:lineRule="auto"/>
              <w:ind w:left="633" w:hanging="633"/>
              <w:jc w:val="both"/>
              <w:rPr>
                <w:rFonts w:ascii="Sylfaen" w:hAnsi="Sylfaen"/>
                <w:b w:val="0"/>
                <w:sz w:val="24"/>
                <w:szCs w:val="24"/>
              </w:rPr>
            </w:pPr>
            <w:r w:rsidRPr="003B2786">
              <w:rPr>
                <w:rStyle w:val="Bodytext1811pt"/>
                <w:rFonts w:ascii="Sylfaen" w:hAnsi="Sylfaen"/>
                <w:sz w:val="24"/>
                <w:szCs w:val="24"/>
              </w:rPr>
              <w:t>ԱԲՔ ծածկագրի փոփոխությունը ԱՀԿ-ի կողմից հաստատման կամ փոփոխման հետ</w:t>
            </w:r>
            <w:r w:rsidR="00C54D75">
              <w:rPr>
                <w:rStyle w:val="Bodytext1811pt"/>
                <w:rFonts w:ascii="Sylfaen" w:hAnsi="Sylfaen"/>
                <w:sz w:val="24"/>
                <w:szCs w:val="24"/>
              </w:rPr>
              <w:t>և</w:t>
            </w:r>
            <w:r w:rsidRPr="003B2786">
              <w:rPr>
                <w:rStyle w:val="Bodytext1811pt"/>
                <w:rFonts w:ascii="Sylfaen" w:hAnsi="Sylfaen"/>
                <w:sz w:val="24"/>
                <w:szCs w:val="24"/>
              </w:rPr>
              <w:t>անքով</w:t>
            </w:r>
          </w:p>
        </w:tc>
      </w:tr>
      <w:tr w:rsidR="008C76E0" w:rsidRPr="003B2786" w14:paraId="2B952A34"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0CBF554C"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338087F" w14:textId="77777777" w:rsidR="008C76E0" w:rsidRPr="008C76E0" w:rsidRDefault="008C76E0" w:rsidP="008C76E0">
            <w:pPr>
              <w:pStyle w:val="Bodytext180"/>
              <w:shd w:val="clear" w:color="auto" w:fill="auto"/>
              <w:spacing w:before="0" w:after="120" w:line="240" w:lineRule="auto"/>
              <w:ind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Հաստատման մասին (ԱՀԿ-ի) վկայագիրը կամ ԱԲՔ ծածկագրերի ցանկի պատճենը:</w:t>
            </w:r>
          </w:p>
          <w:p w14:paraId="37AAB958"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4A7F3F5F"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1480E070"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Ա.7.</w:t>
            </w:r>
            <w:r w:rsidRPr="003B2786">
              <w:rPr>
                <w:rStyle w:val="Bodytext1811pt"/>
                <w:rFonts w:ascii="Sylfaen" w:hAnsi="Sylfaen"/>
                <w:sz w:val="24"/>
                <w:szCs w:val="24"/>
              </w:rPr>
              <w:tab/>
              <w:t xml:space="preserve">Արտադրական հարթակի բացառումը (այդ թվում՝ ակտիվ դեղագործական բաղադրամասի, միջանկյալ արտադրանքի, </w:t>
            </w:r>
            <w:r w:rsidRPr="003B2786">
              <w:rPr>
                <w:rStyle w:val="Bodytext1811pt"/>
                <w:rFonts w:ascii="Sylfaen" w:hAnsi="Sylfaen"/>
                <w:sz w:val="24"/>
                <w:szCs w:val="24"/>
              </w:rPr>
              <w:lastRenderedPageBreak/>
              <w:t xml:space="preserve">դեղապատրաստուկի, փաթեթավորողի, սերիայի բացթողման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որակի հսկողության համար պատասխանատու արտադրողի կամ ելանյութի, ռեակտիվի կամ օժանդակ նյութի մատակարարի համար (եթե նշված են դոսյեում))</w:t>
            </w:r>
          </w:p>
        </w:tc>
        <w:tc>
          <w:tcPr>
            <w:tcW w:w="1662" w:type="dxa"/>
            <w:tcBorders>
              <w:top w:val="single" w:sz="4" w:space="0" w:color="auto"/>
              <w:left w:val="single" w:sz="4" w:space="0" w:color="auto"/>
              <w:bottom w:val="single" w:sz="4" w:space="0" w:color="auto"/>
            </w:tcBorders>
            <w:shd w:val="clear" w:color="auto" w:fill="FFFFFF"/>
          </w:tcPr>
          <w:p w14:paraId="2F2EF07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36CC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4C0A843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37EE21" w14:textId="77777777" w:rsidTr="008C76E0">
        <w:trPr>
          <w:jc w:val="center"/>
        </w:trPr>
        <w:tc>
          <w:tcPr>
            <w:tcW w:w="4802" w:type="dxa"/>
            <w:gridSpan w:val="2"/>
            <w:tcBorders>
              <w:top w:val="single" w:sz="4" w:space="0" w:color="auto"/>
              <w:left w:val="single" w:sz="4" w:space="0" w:color="auto"/>
            </w:tcBorders>
            <w:shd w:val="clear" w:color="auto" w:fill="FFFFFF"/>
          </w:tcPr>
          <w:p w14:paraId="0EAEEFFD" w14:textId="77777777" w:rsidR="008C76E0" w:rsidRPr="003B2786" w:rsidRDefault="008C76E0" w:rsidP="008C76E0">
            <w:pPr>
              <w:spacing w:after="120" w:line="240" w:lineRule="auto"/>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683973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2017" w:type="dxa"/>
            <w:gridSpan w:val="2"/>
            <w:tcBorders>
              <w:top w:val="single" w:sz="4" w:space="0" w:color="auto"/>
              <w:left w:val="single" w:sz="4" w:space="0" w:color="auto"/>
            </w:tcBorders>
            <w:shd w:val="clear" w:color="auto" w:fill="FFFFFF"/>
          </w:tcPr>
          <w:p w14:paraId="7F12123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735141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75A389D"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6FB719F6"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BF87D" w14:textId="77777777" w:rsidR="008C76E0" w:rsidRPr="008C76E0" w:rsidRDefault="008C76E0" w:rsidP="008C76E0">
            <w:pPr>
              <w:pStyle w:val="Bodytext180"/>
              <w:shd w:val="clear" w:color="auto" w:fill="auto"/>
              <w:tabs>
                <w:tab w:val="left" w:pos="557"/>
                <w:tab w:val="left" w:pos="609"/>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Նախկինում հաստատված արտադրական հարթակներից (արտադրողներից) պետք է մնա առնվազն 1-ը, որն իրականացնում է այն նույն գործառույթները, ինչ որ բացառման ենթակա հարթակները: Եթե կիրառելի է, Միության շրջանակներում մնում է առնվազն մեկ արտադրող, որը պատասխանատու է սերիաների բացթողման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կարող է հավաստագրել արտադրանքի փորձարկումը՝ Միության շրջանակներում սերիաների բացթողման նպատակով:</w:t>
            </w:r>
          </w:p>
          <w:p w14:paraId="6F28B2A4" w14:textId="77777777" w:rsidR="008C76E0" w:rsidRPr="008C76E0" w:rsidRDefault="008C76E0" w:rsidP="008C76E0">
            <w:pPr>
              <w:pStyle w:val="Bodytext180"/>
              <w:shd w:val="clear" w:color="auto" w:fill="auto"/>
              <w:tabs>
                <w:tab w:val="left" w:pos="55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Բացառումը չպետք է լինի արտադրության կրիտիկական թերությունների հետ</w:t>
            </w:r>
            <w:r w:rsidR="00C54D75">
              <w:rPr>
                <w:rStyle w:val="Bodytext1811pt"/>
                <w:rFonts w:ascii="Sylfaen" w:hAnsi="Sylfaen"/>
                <w:sz w:val="24"/>
                <w:szCs w:val="24"/>
              </w:rPr>
              <w:t>և</w:t>
            </w:r>
            <w:r w:rsidRPr="003B2786">
              <w:rPr>
                <w:rStyle w:val="Bodytext1811pt"/>
                <w:rFonts w:ascii="Sylfaen" w:hAnsi="Sylfaen"/>
                <w:sz w:val="24"/>
                <w:szCs w:val="24"/>
              </w:rPr>
              <w:t>անք:</w:t>
            </w:r>
          </w:p>
        </w:tc>
      </w:tr>
      <w:tr w:rsidR="008C76E0" w:rsidRPr="003B2786" w14:paraId="0A1ACAE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B3A9C67"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EEC32" w14:textId="18415D55"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գրանցման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 xml:space="preserve">ի 2.5 բաժնում թվարկված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w:t>
            </w:r>
          </w:p>
          <w:p w14:paraId="4007E64C" w14:textId="77777777" w:rsidR="008C76E0" w:rsidRPr="008C76E0" w:rsidRDefault="008C76E0" w:rsidP="008C76E0">
            <w:pPr>
              <w:pStyle w:val="Bodytext180"/>
              <w:shd w:val="clear" w:color="auto" w:fill="auto"/>
              <w:tabs>
                <w:tab w:val="left" w:pos="557"/>
              </w:tabs>
              <w:spacing w:before="0" w:after="120" w:line="240" w:lineRule="auto"/>
              <w:ind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դեղապատրաստուկի մասին վերանայված տեղեկատվությունը:</w:t>
            </w:r>
          </w:p>
        </w:tc>
      </w:tr>
      <w:tr w:rsidR="008C76E0" w:rsidRPr="003B2786" w14:paraId="58D3346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E7C45C" w14:textId="77777777" w:rsidR="008C76E0" w:rsidRPr="008C76E0" w:rsidRDefault="008C76E0" w:rsidP="008C76E0">
            <w:pPr>
              <w:pStyle w:val="Bodytext180"/>
              <w:shd w:val="clear" w:color="auto" w:fill="auto"/>
              <w:tabs>
                <w:tab w:val="left" w:pos="572"/>
              </w:tabs>
              <w:spacing w:before="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Ա.8.</w:t>
            </w:r>
            <w:r w:rsidRPr="003B2786">
              <w:rPr>
                <w:rStyle w:val="Bodytext1811pt"/>
                <w:rFonts w:ascii="Sylfaen" w:hAnsi="Sylfaen"/>
                <w:sz w:val="24"/>
                <w:szCs w:val="24"/>
              </w:rPr>
              <w:tab/>
              <w:t>Աուդիտի ամսաթվի փոփոխությունները՝ պատշաճ արտադրական գործունեության կանոններին ակտիվ դեղագործական բաղադրամաս արտադրողի համապատասխանության վերիֆիկացման համար</w:t>
            </w:r>
          </w:p>
        </w:tc>
        <w:tc>
          <w:tcPr>
            <w:tcW w:w="1662" w:type="dxa"/>
            <w:tcBorders>
              <w:top w:val="single" w:sz="4" w:space="0" w:color="auto"/>
              <w:left w:val="single" w:sz="4" w:space="0" w:color="auto"/>
            </w:tcBorders>
            <w:shd w:val="clear" w:color="auto" w:fill="FFFFFF"/>
          </w:tcPr>
          <w:p w14:paraId="1664C43B"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32C8D7DD"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E0DF740"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035ACE9" w14:textId="77777777" w:rsidTr="008C76E0">
        <w:trPr>
          <w:jc w:val="center"/>
        </w:trPr>
        <w:tc>
          <w:tcPr>
            <w:tcW w:w="4802" w:type="dxa"/>
            <w:gridSpan w:val="2"/>
            <w:tcBorders>
              <w:top w:val="single" w:sz="4" w:space="0" w:color="auto"/>
              <w:left w:val="single" w:sz="4" w:space="0" w:color="auto"/>
            </w:tcBorders>
            <w:shd w:val="clear" w:color="auto" w:fill="FFFFFF"/>
          </w:tcPr>
          <w:p w14:paraId="398E51AC" w14:textId="77777777" w:rsidR="008C76E0" w:rsidRPr="003B2786" w:rsidRDefault="008C76E0" w:rsidP="008C76E0">
            <w:pPr>
              <w:spacing w:after="0" w:line="240" w:lineRule="auto"/>
              <w:ind w:right="62"/>
              <w:jc w:val="both"/>
              <w:rPr>
                <w:rFonts w:ascii="Sylfaen" w:hAnsi="Sylfaen"/>
                <w:sz w:val="24"/>
                <w:szCs w:val="24"/>
              </w:rPr>
            </w:pPr>
          </w:p>
        </w:tc>
        <w:tc>
          <w:tcPr>
            <w:tcW w:w="1662" w:type="dxa"/>
            <w:tcBorders>
              <w:top w:val="single" w:sz="4" w:space="0" w:color="auto"/>
              <w:left w:val="single" w:sz="4" w:space="0" w:color="auto"/>
            </w:tcBorders>
            <w:shd w:val="clear" w:color="auto" w:fill="FFFFFF"/>
          </w:tcPr>
          <w:p w14:paraId="23E00FCC"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5CAD68E"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195F06F" w14:textId="77777777" w:rsidR="008C76E0" w:rsidRPr="003B2786" w:rsidRDefault="008C76E0" w:rsidP="008C76E0">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5538A73"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tcPr>
          <w:p w14:paraId="063757A4"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429DEC3"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Դեղապատրաստուկ արտադրողի գրավոր հաստատումը, որը նշում է պարունակում պատշաճ արտադրական գործունեության կանոններին ակտիվ դեղագործական բաղադրամասի արտադրող համապատասխանության վերիֆիկացման մասին:</w:t>
            </w:r>
          </w:p>
        </w:tc>
      </w:tr>
      <w:tr w:rsidR="008C76E0" w:rsidRPr="003B2786" w14:paraId="0C150416" w14:textId="77777777" w:rsidTr="008C76E0">
        <w:trPr>
          <w:jc w:val="center"/>
        </w:trPr>
        <w:tc>
          <w:tcPr>
            <w:tcW w:w="10313" w:type="dxa"/>
            <w:gridSpan w:val="6"/>
            <w:tcBorders>
              <w:top w:val="single" w:sz="4" w:space="0" w:color="auto"/>
            </w:tcBorders>
            <w:shd w:val="clear" w:color="auto" w:fill="FFFFFF"/>
            <w:vAlign w:val="bottom"/>
          </w:tcPr>
          <w:p w14:paraId="10F32CAE"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 xml:space="preserve">Բ. </w:t>
            </w:r>
            <w:r w:rsidRPr="003B2786">
              <w:rPr>
                <w:rStyle w:val="Bodytext1815pt"/>
                <w:rFonts w:ascii="Sylfaen" w:hAnsi="Sylfaen"/>
                <w:sz w:val="24"/>
                <w:szCs w:val="24"/>
              </w:rPr>
              <w:tab/>
              <w:t>Որակի փոփոխությունները</w:t>
            </w:r>
          </w:p>
          <w:p w14:paraId="5C05CCF3" w14:textId="77777777" w:rsidR="008C76E0" w:rsidRPr="008C76E0"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lang w:val="hy-AM"/>
              </w:rPr>
            </w:pPr>
            <w:r w:rsidRPr="003B2786">
              <w:rPr>
                <w:rStyle w:val="Bodytext1815pt"/>
                <w:rFonts w:ascii="Sylfaen" w:hAnsi="Sylfaen"/>
                <w:sz w:val="24"/>
                <w:szCs w:val="24"/>
              </w:rPr>
              <w:t>Բ.I.</w:t>
            </w:r>
            <w:r w:rsidRPr="003B2786">
              <w:rPr>
                <w:rStyle w:val="Bodytext1815pt"/>
                <w:rFonts w:ascii="Sylfaen" w:hAnsi="Sylfaen"/>
                <w:sz w:val="24"/>
                <w:szCs w:val="24"/>
              </w:rPr>
              <w:tab/>
              <w:t>Ակտիվ դեղագործական բաղադրամասը</w:t>
            </w:r>
          </w:p>
          <w:p w14:paraId="659479E4" w14:textId="77777777" w:rsidR="008C76E0" w:rsidRPr="003B2786" w:rsidRDefault="008C76E0" w:rsidP="008C76E0">
            <w:pPr>
              <w:pStyle w:val="Bodytext180"/>
              <w:shd w:val="clear" w:color="auto" w:fill="auto"/>
              <w:tabs>
                <w:tab w:val="left" w:pos="677"/>
              </w:tabs>
              <w:spacing w:before="0" w:after="120" w:line="240" w:lineRule="auto"/>
              <w:ind w:right="62" w:firstLine="0"/>
              <w:jc w:val="both"/>
              <w:rPr>
                <w:rFonts w:ascii="Sylfaen" w:hAnsi="Sylfaen"/>
                <w:sz w:val="24"/>
                <w:szCs w:val="24"/>
              </w:rPr>
            </w:pPr>
            <w:r w:rsidRPr="003B2786">
              <w:rPr>
                <w:rStyle w:val="Bodytext1815pt"/>
                <w:rFonts w:ascii="Sylfaen" w:hAnsi="Sylfaen"/>
                <w:sz w:val="24"/>
                <w:szCs w:val="24"/>
              </w:rPr>
              <w:t>Բ.I.</w:t>
            </w:r>
            <w:r w:rsidRPr="003B2786">
              <w:rPr>
                <w:rStyle w:val="Bodytext1815pt"/>
                <w:rFonts w:ascii="Sylfaen" w:hAnsi="Sylfaen"/>
                <w:sz w:val="24"/>
                <w:szCs w:val="24"/>
              </w:rPr>
              <w:tab/>
              <w:t>ա)</w:t>
            </w:r>
            <w:r w:rsidRPr="003B2786">
              <w:rPr>
                <w:rStyle w:val="Bodytext1815pt"/>
                <w:rFonts w:ascii="Sylfaen" w:hAnsi="Sylfaen"/>
                <w:sz w:val="24"/>
                <w:szCs w:val="24"/>
              </w:rPr>
              <w:tab/>
              <w:t>Արտադրությունը</w:t>
            </w:r>
          </w:p>
        </w:tc>
      </w:tr>
      <w:tr w:rsidR="008C76E0" w:rsidRPr="003B2786" w14:paraId="60E1004F"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D4A74D2" w14:textId="77777777" w:rsidR="008C76E0" w:rsidRPr="008C76E0" w:rsidRDefault="008C76E0" w:rsidP="008C76E0">
            <w:pPr>
              <w:pStyle w:val="Bodytext180"/>
              <w:shd w:val="clear" w:color="auto" w:fill="auto"/>
              <w:tabs>
                <w:tab w:val="left" w:pos="67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w:t>
            </w:r>
            <w:r w:rsidRPr="003B2786">
              <w:rPr>
                <w:rStyle w:val="Bodytext1811pt"/>
                <w:rFonts w:ascii="Sylfaen" w:hAnsi="Sylfaen"/>
                <w:sz w:val="24"/>
                <w:szCs w:val="24"/>
              </w:rPr>
              <w:tab/>
              <w:t>ա.1.</w:t>
            </w:r>
            <w:r w:rsidRPr="003B2786">
              <w:rPr>
                <w:rStyle w:val="Bodytext1811pt"/>
                <w:rFonts w:ascii="Sylfaen" w:hAnsi="Sylfaen"/>
                <w:sz w:val="24"/>
                <w:szCs w:val="24"/>
              </w:rPr>
              <w:tab/>
              <w:t xml:space="preserve">Ակտիվ դեղագործական բաղադրամասի արտադրության գործընթացում օգտագործվող ելանյութ (ռեակտիվի, միջանկյալ արտադրանք) արտադրողի փոփոխությունը կամ ակտիվ </w:t>
            </w:r>
            <w:r w:rsidRPr="003B2786">
              <w:rPr>
                <w:rStyle w:val="Bodytext1811pt"/>
                <w:rFonts w:ascii="Sylfaen" w:hAnsi="Sylfaen"/>
                <w:sz w:val="24"/>
                <w:szCs w:val="24"/>
              </w:rPr>
              <w:lastRenderedPageBreak/>
              <w:t>դեղագործական բաղադրամաս արտադրողի (ներառյալ, եթե կիրառելի են, ակտիվ դեղագործական բաղադրամասի որակի հսկողության հարթակների) փոփոխությունը, եթե գրանցման դոսյեում բացակայում է Եվրոպական դեղագրքին համապատասխանության սերտիֆիկատը:</w:t>
            </w:r>
          </w:p>
        </w:tc>
        <w:tc>
          <w:tcPr>
            <w:tcW w:w="1662" w:type="dxa"/>
            <w:tcBorders>
              <w:top w:val="single" w:sz="4" w:space="0" w:color="auto"/>
              <w:left w:val="single" w:sz="4" w:space="0" w:color="auto"/>
            </w:tcBorders>
            <w:shd w:val="clear" w:color="auto" w:fill="FFFFFF"/>
          </w:tcPr>
          <w:p w14:paraId="4C7051F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0C04402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1A1CE09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DA456E6"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2D5AF6A"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առաջարկվող արտադրողը պատկանում է մի</w:t>
            </w:r>
            <w:r w:rsidR="00C54D75">
              <w:rPr>
                <w:rStyle w:val="Bodytext1811pt"/>
                <w:rFonts w:ascii="Sylfaen" w:hAnsi="Sylfaen"/>
                <w:sz w:val="24"/>
                <w:szCs w:val="24"/>
              </w:rPr>
              <w:t>և</w:t>
            </w:r>
            <w:r w:rsidRPr="003B2786">
              <w:rPr>
                <w:rStyle w:val="Bodytext1811pt"/>
                <w:rFonts w:ascii="Sylfaen" w:hAnsi="Sylfaen"/>
                <w:sz w:val="24"/>
                <w:szCs w:val="24"/>
              </w:rPr>
              <w:t>նույն դեղագործական խմբին, ինչ որ հաստատված արտադրողը</w:t>
            </w:r>
          </w:p>
        </w:tc>
        <w:tc>
          <w:tcPr>
            <w:tcW w:w="1662" w:type="dxa"/>
            <w:tcBorders>
              <w:top w:val="single" w:sz="4" w:space="0" w:color="auto"/>
              <w:left w:val="single" w:sz="4" w:space="0" w:color="auto"/>
            </w:tcBorders>
            <w:shd w:val="clear" w:color="auto" w:fill="FFFFFF"/>
          </w:tcPr>
          <w:p w14:paraId="4AB75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017" w:type="dxa"/>
            <w:gridSpan w:val="2"/>
            <w:tcBorders>
              <w:top w:val="single" w:sz="4" w:space="0" w:color="auto"/>
              <w:left w:val="single" w:sz="4" w:space="0" w:color="auto"/>
            </w:tcBorders>
            <w:shd w:val="clear" w:color="auto" w:fill="FFFFFF"/>
          </w:tcPr>
          <w:p w14:paraId="75C7D6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1832" w:type="dxa"/>
            <w:tcBorders>
              <w:top w:val="single" w:sz="4" w:space="0" w:color="auto"/>
              <w:left w:val="single" w:sz="4" w:space="0" w:color="auto"/>
              <w:right w:val="single" w:sz="4" w:space="0" w:color="auto"/>
            </w:tcBorders>
            <w:shd w:val="clear" w:color="auto" w:fill="FFFFFF"/>
          </w:tcPr>
          <w:p w14:paraId="0E8ACB4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73ABFE9" w14:textId="77777777" w:rsidTr="008C76E0">
        <w:trPr>
          <w:jc w:val="center"/>
        </w:trPr>
        <w:tc>
          <w:tcPr>
            <w:tcW w:w="4802" w:type="dxa"/>
            <w:gridSpan w:val="2"/>
            <w:tcBorders>
              <w:top w:val="single" w:sz="4" w:space="0" w:color="auto"/>
              <w:left w:val="single" w:sz="4" w:space="0" w:color="auto"/>
            </w:tcBorders>
            <w:shd w:val="clear" w:color="auto" w:fill="FFFFFF"/>
          </w:tcPr>
          <w:p w14:paraId="24A6B10A"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ԱԴԲՄՖ-ով հիմնավորված ակտիվ դեղագործական բաղադրամասի նոր արտադրող ավելացնելը</w:t>
            </w:r>
          </w:p>
        </w:tc>
        <w:tc>
          <w:tcPr>
            <w:tcW w:w="1662" w:type="dxa"/>
            <w:tcBorders>
              <w:top w:val="single" w:sz="4" w:space="0" w:color="auto"/>
              <w:left w:val="single" w:sz="4" w:space="0" w:color="auto"/>
            </w:tcBorders>
            <w:shd w:val="clear" w:color="auto" w:fill="FFFFFF"/>
          </w:tcPr>
          <w:p w14:paraId="29E28D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3536D1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28C9B9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95355B"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vAlign w:val="bottom"/>
          </w:tcPr>
          <w:p w14:paraId="33E11A5F"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առաջարկվող արտադրողն օգտագործում է սինթեզման կտրուկ տարբերվող եղանակ կամ արտադրության այնպիսի պայմաններ,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c>
          <w:tcPr>
            <w:tcW w:w="1662" w:type="dxa"/>
            <w:tcBorders>
              <w:top w:val="single" w:sz="4" w:space="0" w:color="auto"/>
              <w:left w:val="single" w:sz="4" w:space="0" w:color="auto"/>
              <w:bottom w:val="single" w:sz="4" w:space="0" w:color="auto"/>
            </w:tcBorders>
            <w:shd w:val="clear" w:color="auto" w:fill="FFFFFF"/>
          </w:tcPr>
          <w:p w14:paraId="5DBD885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bottom w:val="single" w:sz="4" w:space="0" w:color="auto"/>
            </w:tcBorders>
            <w:shd w:val="clear" w:color="auto" w:fill="FFFFFF"/>
          </w:tcPr>
          <w:p w14:paraId="4B24B65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5A750D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93750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22CD62D"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գնահատում պահանջող նյութի նոր արտադրողը</w:t>
            </w:r>
          </w:p>
        </w:tc>
        <w:tc>
          <w:tcPr>
            <w:tcW w:w="1662" w:type="dxa"/>
            <w:tcBorders>
              <w:top w:val="single" w:sz="4" w:space="0" w:color="auto"/>
              <w:left w:val="single" w:sz="4" w:space="0" w:color="auto"/>
            </w:tcBorders>
            <w:shd w:val="clear" w:color="auto" w:fill="FFFFFF"/>
          </w:tcPr>
          <w:p w14:paraId="5D21485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0E079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1E9022C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487F0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25FD589F"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փոփոխությունը վերաբերում է կենսաբանական ակտիվ դեղագործական բաղադրամասին կամ կենսաբանական (իմունաբանական) դեղապատրաստուկի արտադրության մեջ օգտագործվող ելանյութին (ռեակտիվին, միջանկյալ արտադրանքին)</w:t>
            </w:r>
          </w:p>
        </w:tc>
        <w:tc>
          <w:tcPr>
            <w:tcW w:w="1662" w:type="dxa"/>
            <w:tcBorders>
              <w:top w:val="single" w:sz="4" w:space="0" w:color="auto"/>
              <w:left w:val="single" w:sz="4" w:space="0" w:color="auto"/>
            </w:tcBorders>
            <w:shd w:val="clear" w:color="auto" w:fill="FFFFFF"/>
          </w:tcPr>
          <w:p w14:paraId="033DA5C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F0C96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F118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6FE226" w14:textId="77777777" w:rsidTr="008C76E0">
        <w:trPr>
          <w:trHeight w:val="2177"/>
          <w:jc w:val="center"/>
        </w:trPr>
        <w:tc>
          <w:tcPr>
            <w:tcW w:w="4802" w:type="dxa"/>
            <w:gridSpan w:val="2"/>
            <w:tcBorders>
              <w:top w:val="single" w:sz="4" w:space="0" w:color="auto"/>
              <w:left w:val="single" w:sz="4" w:space="0" w:color="auto"/>
            </w:tcBorders>
            <w:shd w:val="clear" w:color="auto" w:fill="FFFFFF"/>
            <w:vAlign w:val="bottom"/>
          </w:tcPr>
          <w:p w14:paraId="143D9E76"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ակտիվ դեղագործական բաղադրամասի որակի հսկողության կարգի փոփոխությունը. այն հարթակի փոխարինումը կամ ավելացումը, որտեղ իրականացվում է սերիաների հսկողությունը (փորձարկումը)</w:t>
            </w:r>
          </w:p>
        </w:tc>
        <w:tc>
          <w:tcPr>
            <w:tcW w:w="1662" w:type="dxa"/>
            <w:tcBorders>
              <w:top w:val="single" w:sz="4" w:space="0" w:color="auto"/>
              <w:left w:val="single" w:sz="4" w:space="0" w:color="auto"/>
            </w:tcBorders>
            <w:shd w:val="clear" w:color="auto" w:fill="FFFFFF"/>
          </w:tcPr>
          <w:p w14:paraId="1AF4DED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2, 4</w:t>
            </w:r>
          </w:p>
        </w:tc>
        <w:tc>
          <w:tcPr>
            <w:tcW w:w="2017" w:type="dxa"/>
            <w:gridSpan w:val="2"/>
            <w:tcBorders>
              <w:top w:val="single" w:sz="4" w:space="0" w:color="auto"/>
              <w:left w:val="single" w:sz="4" w:space="0" w:color="auto"/>
            </w:tcBorders>
            <w:shd w:val="clear" w:color="auto" w:fill="FFFFFF"/>
          </w:tcPr>
          <w:p w14:paraId="3F1502D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241AE92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67F2EF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A43A93D" w14:textId="77777777" w:rsidR="008C76E0" w:rsidRPr="008C76E0" w:rsidRDefault="008C76E0" w:rsidP="008C76E0">
            <w:pPr>
              <w:pStyle w:val="Bodytext180"/>
              <w:shd w:val="clear" w:color="auto" w:fill="auto"/>
              <w:tabs>
                <w:tab w:val="left" w:pos="602"/>
              </w:tabs>
              <w:spacing w:before="0" w:after="120" w:line="240" w:lineRule="auto"/>
              <w:ind w:left="40" w:right="62"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ակտիվ դեղագործական բաղադրամասի նոր արտադրողի ավելացումը, որը չունի ԱԴԲՄՖ, </w:t>
            </w:r>
            <w:r w:rsidR="00C54D75">
              <w:rPr>
                <w:rStyle w:val="Bodytext1811pt"/>
                <w:rFonts w:ascii="Sylfaen" w:hAnsi="Sylfaen"/>
                <w:sz w:val="24"/>
                <w:szCs w:val="24"/>
              </w:rPr>
              <w:t>և</w:t>
            </w:r>
            <w:r w:rsidRPr="003B2786">
              <w:rPr>
                <w:rStyle w:val="Bodytext1811pt"/>
                <w:rFonts w:ascii="Sylfaen" w:hAnsi="Sylfaen"/>
                <w:sz w:val="24"/>
                <w:szCs w:val="24"/>
              </w:rPr>
              <w:t xml:space="preserve"> որի մասով պահանջվում է դոսյեի ակտիվ դեղագործական բաղադրամասին վերաբերող համապատասխան բաժնի էական թարմացում</w:t>
            </w:r>
          </w:p>
        </w:tc>
        <w:tc>
          <w:tcPr>
            <w:tcW w:w="1662" w:type="dxa"/>
            <w:tcBorders>
              <w:top w:val="single" w:sz="4" w:space="0" w:color="auto"/>
              <w:left w:val="single" w:sz="4" w:space="0" w:color="auto"/>
            </w:tcBorders>
            <w:shd w:val="clear" w:color="auto" w:fill="FFFFFF"/>
          </w:tcPr>
          <w:p w14:paraId="70C076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28B472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4366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6A24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83A7029"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r>
            <w:r w:rsidRPr="003B2786">
              <w:rPr>
                <w:rStyle w:val="Bodytext1811pt"/>
                <w:rFonts w:ascii="Sylfaen" w:hAnsi="Sylfaen"/>
                <w:spacing w:val="4"/>
                <w:sz w:val="24"/>
                <w:szCs w:val="24"/>
              </w:rPr>
              <w:t>Միության դեղագրքի մեթոդի կիրառմամբ ակտիվ դեղագործական բաղադրամասի մանրէազերծման այլընտրանքային հարթակի ընդգրկումը</w:t>
            </w:r>
          </w:p>
        </w:tc>
        <w:tc>
          <w:tcPr>
            <w:tcW w:w="1662" w:type="dxa"/>
            <w:tcBorders>
              <w:top w:val="single" w:sz="4" w:space="0" w:color="auto"/>
              <w:left w:val="single" w:sz="4" w:space="0" w:color="auto"/>
            </w:tcBorders>
            <w:shd w:val="clear" w:color="auto" w:fill="FFFFFF"/>
          </w:tcPr>
          <w:p w14:paraId="14ED9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AABF29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1, 2, 4, 5, 8</w:t>
            </w:r>
          </w:p>
        </w:tc>
        <w:tc>
          <w:tcPr>
            <w:tcW w:w="1832" w:type="dxa"/>
            <w:tcBorders>
              <w:top w:val="single" w:sz="4" w:space="0" w:color="auto"/>
              <w:left w:val="single" w:sz="4" w:space="0" w:color="auto"/>
              <w:right w:val="single" w:sz="4" w:space="0" w:color="auto"/>
            </w:tcBorders>
            <w:shd w:val="clear" w:color="auto" w:fill="FFFFFF"/>
          </w:tcPr>
          <w:p w14:paraId="3187826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4F8AA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4637B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թ)</w:t>
            </w:r>
            <w:r w:rsidRPr="003B2786">
              <w:rPr>
                <w:rStyle w:val="Bodytext1811pt"/>
                <w:rFonts w:ascii="Sylfaen" w:hAnsi="Sylfaen"/>
                <w:sz w:val="24"/>
                <w:szCs w:val="24"/>
              </w:rPr>
              <w:tab/>
              <w:t>միկրոնիզացման նոր հարթակի ավելացումը</w:t>
            </w:r>
          </w:p>
        </w:tc>
        <w:tc>
          <w:tcPr>
            <w:tcW w:w="1662" w:type="dxa"/>
            <w:tcBorders>
              <w:top w:val="single" w:sz="4" w:space="0" w:color="auto"/>
              <w:left w:val="single" w:sz="4" w:space="0" w:color="auto"/>
            </w:tcBorders>
            <w:shd w:val="clear" w:color="auto" w:fill="FFFFFF"/>
          </w:tcPr>
          <w:p w14:paraId="42D4D8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2, 5</w:t>
            </w:r>
          </w:p>
        </w:tc>
        <w:tc>
          <w:tcPr>
            <w:tcW w:w="2017" w:type="dxa"/>
            <w:gridSpan w:val="2"/>
            <w:tcBorders>
              <w:top w:val="single" w:sz="4" w:space="0" w:color="auto"/>
              <w:left w:val="single" w:sz="4" w:space="0" w:color="auto"/>
            </w:tcBorders>
            <w:shd w:val="clear" w:color="auto" w:fill="FFFFFF"/>
          </w:tcPr>
          <w:p w14:paraId="7A77F3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1, 4, 5, 6</w:t>
            </w:r>
          </w:p>
        </w:tc>
        <w:tc>
          <w:tcPr>
            <w:tcW w:w="1832" w:type="dxa"/>
            <w:tcBorders>
              <w:top w:val="single" w:sz="4" w:space="0" w:color="auto"/>
              <w:left w:val="single" w:sz="4" w:space="0" w:color="auto"/>
              <w:right w:val="single" w:sz="4" w:space="0" w:color="auto"/>
            </w:tcBorders>
            <w:shd w:val="clear" w:color="auto" w:fill="FFFFFF"/>
          </w:tcPr>
          <w:p w14:paraId="66D8700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36528B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6D9AC" w14:textId="77777777" w:rsidR="008C76E0" w:rsidRPr="008C76E0" w:rsidRDefault="008C76E0" w:rsidP="008C76E0">
            <w:pPr>
              <w:pStyle w:val="Bodytext180"/>
              <w:shd w:val="clear" w:color="auto" w:fill="auto"/>
              <w:tabs>
                <w:tab w:val="left" w:pos="60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w:t>
            </w:r>
            <w:r w:rsidRPr="003B2786">
              <w:rPr>
                <w:rStyle w:val="Bodytext1811pt"/>
                <w:rFonts w:ascii="Sylfaen" w:hAnsi="Sylfaen"/>
                <w:sz w:val="24"/>
                <w:szCs w:val="24"/>
              </w:rPr>
              <w:tab/>
              <w:t>կենսաբանական ակտիվ դեղագործական բաղադրամասի որակի հսկողության մասով փորձարկումների վերաբերյալ համաձայնությունների փոփոխությունները, այն հարթակի փոխարինումը կամ ընդգրկումը, որտեղ իրականացվում է սերիաների հսկողությունը (փորձարկումները), ներառյալ՝ կենսաբանական (իմունաբանական, իմունաքիմիական) մեթոդը</w:t>
            </w:r>
          </w:p>
        </w:tc>
        <w:tc>
          <w:tcPr>
            <w:tcW w:w="1662" w:type="dxa"/>
            <w:tcBorders>
              <w:top w:val="single" w:sz="4" w:space="0" w:color="auto"/>
              <w:left w:val="single" w:sz="4" w:space="0" w:color="auto"/>
            </w:tcBorders>
            <w:shd w:val="clear" w:color="auto" w:fill="FFFFFF"/>
          </w:tcPr>
          <w:p w14:paraId="56596D6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3FC610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C7519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F6F3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AD84F58" w14:textId="77777777" w:rsidR="008C76E0" w:rsidRPr="008C76E0" w:rsidRDefault="008C76E0" w:rsidP="008C76E0">
            <w:pPr>
              <w:pStyle w:val="Bodytext180"/>
              <w:shd w:val="clear" w:color="auto" w:fill="auto"/>
              <w:tabs>
                <w:tab w:val="left" w:pos="55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ժա)</w:t>
            </w:r>
            <w:r w:rsidRPr="003B2786">
              <w:rPr>
                <w:rStyle w:val="Bodytext1811pt"/>
                <w:rFonts w:ascii="Sylfaen" w:hAnsi="Sylfaen"/>
                <w:sz w:val="24"/>
                <w:szCs w:val="24"/>
              </w:rPr>
              <w:tab/>
              <w:t xml:space="preserve">բջիջների գլխավոր բանկի </w:t>
            </w:r>
            <w:r w:rsidR="00C54D75">
              <w:rPr>
                <w:rStyle w:val="Bodytext1811pt"/>
                <w:rFonts w:ascii="Sylfaen" w:hAnsi="Sylfaen"/>
                <w:sz w:val="24"/>
                <w:szCs w:val="24"/>
              </w:rPr>
              <w:t>և</w:t>
            </w:r>
            <w:r w:rsidRPr="003B2786">
              <w:rPr>
                <w:rStyle w:val="Bodytext1811pt"/>
                <w:rFonts w:ascii="Sylfaen" w:hAnsi="Sylfaen"/>
                <w:sz w:val="24"/>
                <w:szCs w:val="24"/>
              </w:rPr>
              <w:t xml:space="preserve"> (կամ) բջիջների աշխատանքային բանկերի պահպանման նոր հարթակը</w:t>
            </w:r>
          </w:p>
        </w:tc>
        <w:tc>
          <w:tcPr>
            <w:tcW w:w="1662" w:type="dxa"/>
            <w:tcBorders>
              <w:top w:val="single" w:sz="4" w:space="0" w:color="auto"/>
              <w:left w:val="single" w:sz="4" w:space="0" w:color="auto"/>
            </w:tcBorders>
            <w:shd w:val="clear" w:color="auto" w:fill="FFFFFF"/>
          </w:tcPr>
          <w:p w14:paraId="5768D2C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B6A5C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1, 5</w:t>
            </w:r>
          </w:p>
        </w:tc>
        <w:tc>
          <w:tcPr>
            <w:tcW w:w="1832" w:type="dxa"/>
            <w:tcBorders>
              <w:top w:val="single" w:sz="4" w:space="0" w:color="auto"/>
              <w:left w:val="single" w:sz="4" w:space="0" w:color="auto"/>
              <w:right w:val="single" w:sz="4" w:space="0" w:color="auto"/>
            </w:tcBorders>
            <w:shd w:val="clear" w:color="auto" w:fill="FFFFFF"/>
          </w:tcPr>
          <w:p w14:paraId="6A7DD05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5EF5DD"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2049FB8E" w14:textId="77777777" w:rsidR="008C76E0" w:rsidRPr="003B2786"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Պայմանները</w:t>
            </w:r>
          </w:p>
          <w:p w14:paraId="51442C29" w14:textId="77777777" w:rsidR="008C76E0" w:rsidRPr="003B2786" w:rsidRDefault="008C76E0" w:rsidP="008C76E0">
            <w:pPr>
              <w:pStyle w:val="Bodytext180"/>
              <w:numPr>
                <w:ilvl w:val="0"/>
                <w:numId w:val="15"/>
              </w:numPr>
              <w:shd w:val="clear" w:color="auto" w:fill="auto"/>
              <w:tabs>
                <w:tab w:val="left" w:pos="572"/>
              </w:tabs>
              <w:spacing w:before="0" w:after="120" w:line="240" w:lineRule="auto"/>
              <w:ind w:left="40" w:right="187" w:firstLine="0"/>
              <w:jc w:val="both"/>
              <w:rPr>
                <w:rFonts w:ascii="Sylfaen" w:hAnsi="Sylfaen"/>
                <w:b w:val="0"/>
                <w:sz w:val="24"/>
                <w:szCs w:val="24"/>
              </w:rPr>
            </w:pPr>
            <w:r w:rsidRPr="003B2786">
              <w:rPr>
                <w:rStyle w:val="Bodytext1811pt"/>
                <w:rFonts w:ascii="Sylfaen" w:hAnsi="Sylfaen"/>
                <w:sz w:val="24"/>
                <w:szCs w:val="24"/>
              </w:rPr>
              <w:t xml:space="preserve">Ելանյութերի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ռեակտիվների մասնագրերը (ներառյալ՝ ներարտադրական հսկողությունները, բոլոր նյութերի վերլուծության մեթոդները) նույնական են նախկինում հաստատվածների հետ: Մասնագրերը (ներառյալ՝ ներարտադրական հսկողությունը, բոլոր նյութերի վերլուծության մեթոդները), պատրաստման եղանակները (ներառյալ`սերիայի չափը)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բաղադրամասերի սինթեզման մանրամասն եղանակը նույնական են նախկինում հաստատվածների հետ:</w:t>
            </w:r>
          </w:p>
        </w:tc>
      </w:tr>
      <w:tr w:rsidR="008C76E0" w:rsidRPr="003B2786" w14:paraId="0E400802"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90AF860"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կամ մանրէազերծ չէ:</w:t>
            </w:r>
          </w:p>
          <w:p w14:paraId="74E7539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արտադրության գործընթացում օգտագործվում են մարդկային կամ կենդանական ծագման նյութեր, արտադրողը չի ընդգրկում նոր մատակարար, որի առնչությամբ պահանջվում է վիրուսային անվտանգության գնահատում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համապատասխանություն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w:t>
            </w:r>
            <w:r w:rsidRPr="003B2786">
              <w:rPr>
                <w:rStyle w:val="Bodytext1811pt"/>
                <w:rFonts w:ascii="Sylfaen" w:hAnsi="Sylfaen"/>
                <w:sz w:val="24"/>
                <w:szCs w:val="24"/>
              </w:rPr>
              <w:lastRenderedPageBreak/>
              <w:t>փոխանցման ռիսկի նվազեցման մասով:</w:t>
            </w:r>
          </w:p>
          <w:p w14:paraId="697EA417"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Մեթոդի փոխանցումը հին հարթակից նորին կատարվել է հաջողությամբ:</w:t>
            </w:r>
          </w:p>
          <w:p w14:paraId="3A69F746" w14:textId="77777777" w:rsidR="008C76E0" w:rsidRPr="008C76E0" w:rsidRDefault="008C76E0" w:rsidP="008C76E0">
            <w:pPr>
              <w:pStyle w:val="Bodytext180"/>
              <w:shd w:val="clear" w:color="auto" w:fill="auto"/>
              <w:tabs>
                <w:tab w:val="left" w:pos="572"/>
              </w:tabs>
              <w:spacing w:before="0" w:after="12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մասնիկների չափերին վերաբերող մասնագիրը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 վերլուծական մեթոդը չեն փոփոխվում:</w:t>
            </w:r>
          </w:p>
        </w:tc>
      </w:tr>
      <w:tr w:rsidR="008C76E0" w:rsidRPr="003B2786" w14:paraId="4E5B81D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497FE475" w14:textId="77777777" w:rsidR="008C76E0" w:rsidRPr="006D1911" w:rsidRDefault="008C76E0" w:rsidP="008C76E0">
            <w:pPr>
              <w:pStyle w:val="Bodytext180"/>
              <w:shd w:val="clear" w:color="auto" w:fill="auto"/>
              <w:tabs>
                <w:tab w:val="left" w:pos="572"/>
              </w:tabs>
              <w:spacing w:before="0" w:after="120" w:line="240" w:lineRule="auto"/>
              <w:ind w:left="41" w:right="187" w:firstLine="0"/>
              <w:jc w:val="both"/>
              <w:rPr>
                <w:rStyle w:val="Bodytext1811pt"/>
                <w:rFonts w:ascii="Sylfaen" w:hAnsi="Sylfaen"/>
                <w:sz w:val="24"/>
                <w:szCs w:val="24"/>
              </w:rPr>
            </w:pPr>
          </w:p>
          <w:p w14:paraId="4A6C2B0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BB932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pacing w:val="-4"/>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pacing w:val="-4"/>
                <w:sz w:val="24"/>
                <w:szCs w:val="24"/>
              </w:rPr>
              <w:t>Դոսյեի համապատասխան բաժնում (բաժիններում) ուղղում կատարելը, եթե կիրառելի է:</w:t>
            </w:r>
          </w:p>
          <w:p w14:paraId="6109BA7A" w14:textId="68A0C30E"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սինթեզման եղանակի որակի հսկողության ընթացակարգերը (կամ (համապատասխանաբար) դեղաբուսական պատրաստուկների համար՝ պատրաստման մեթոդի, աշխարհագրական աղբյուրի, բուսական դեղագործական բաղադրամասի արտադրության)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ելանյութի (ռեակտիվի, միջանկյալ արտադրանքի) մասնագրերը ակտիվ դեղագործական բաղադրամասի արտադրության գործընթացում (եթե կիրառելի է) չեն տարբերվում նախկինում հաստատվածներից:</w:t>
            </w:r>
          </w:p>
          <w:p w14:paraId="4D43BCB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Կա՛մ նյութի ցանկացած նոր աղբյուրի համար ՏՍԷ-ի մասով Եվրոպական դեղագրքին համապատասխանության սերտիֆիկատը, կա՛մ (եթե կիրառելի է) փաստաթղթային հավաստումն առ այն, որ ՏՍԷ-ի ռիսկի ենթարկված նյութի աղբյուրը նախկինում հետազոտվել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դրա համապատասխանությունը Միության դեղագրքին՝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մասով: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այն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որոնցից ստացվել է նյութը, կենդանիների ծագման երկիրը, անցյալում նյութի օգտագործումն ու ընդունելիությունը:</w:t>
            </w:r>
          </w:p>
          <w:p w14:paraId="3AAB0BD3"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արտադրողներից (հարթակներից) ակտիվ դեղագործական բաղադրամասի սերիաների, առնվազն երկու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4EF16D9A"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 բաժնում:</w:t>
            </w:r>
          </w:p>
          <w:p w14:paraId="1F067F85" w14:textId="54B105B4"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Եթե ակտիվ դեղագործական բաղադրամասն օգտագործվում է որպես ելանյութ, դիմումի մեջ նշված՝ արտադրության լիցենզիայի յուրաքանչյուր իրավատիրոջ որակավորված անձի (ՈԱ)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արտադրության լիցենզիայի յուրաքանչյուր իրավատիրոջ որակավորված անձի (ՈԱ)</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դիմումի մեջ նշված՝ ակտիվ դեղագործական բաղադրամաս արտադրողը (արտադրողները) իր (իրենց) գործունեությունն իրականացնում է (են)՝ ելանյութերի մասով Միության պատշաճ արտադրական գործունեության կանոններին համապատասխան: Որոշակի հանգամանքներում թույլատրվում է ներկայացնել 1</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w:t>
            </w:r>
            <w:r w:rsidRPr="003B2786">
              <w:rPr>
                <w:rStyle w:val="Bodytext1811pt"/>
                <w:rFonts w:ascii="Sylfaen" w:hAnsi="Sylfaen"/>
                <w:sz w:val="24"/>
                <w:szCs w:val="24"/>
              </w:rPr>
              <w:lastRenderedPageBreak/>
              <w:t>փոփոխության վերաբերյալ ծանոթագրությունը):</w:t>
            </w:r>
          </w:p>
          <w:p w14:paraId="5756CB3C" w14:textId="77777777" w:rsidR="008C76E0" w:rsidRPr="008C76E0" w:rsidRDefault="008C76E0" w:rsidP="008C76E0">
            <w:pPr>
              <w:pStyle w:val="Bodytext180"/>
              <w:shd w:val="clear" w:color="auto" w:fill="auto"/>
              <w:tabs>
                <w:tab w:val="left" w:pos="572"/>
              </w:tabs>
              <w:spacing w:before="0" w:after="14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 արտադրողի պարտավորությունն է (անհրաժեշտության դեպքում) տեղեկացնել ԳՀ-ի իրավատիրոջն ակտիվ դեղագործական բաղադրամասի արտադրության գործընթացի, մասնագրերի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մեթոդիկաների ցանկացած փոփոխության մասին:</w:t>
            </w:r>
          </w:p>
          <w:p w14:paraId="37BFA64C"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Հաստատում առ այն, որ առաջարկվող հարթակը պատշաճ կերպով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դեղապատրաստուկի կամ արտադրական գործառնությունների մասով:</w:t>
            </w:r>
          </w:p>
        </w:tc>
      </w:tr>
      <w:tr w:rsidR="008C76E0" w:rsidRPr="003B2786" w14:paraId="6A8D0E71" w14:textId="77777777" w:rsidTr="008C76E0">
        <w:trPr>
          <w:jc w:val="center"/>
        </w:trPr>
        <w:tc>
          <w:tcPr>
            <w:tcW w:w="4802" w:type="dxa"/>
            <w:gridSpan w:val="2"/>
            <w:tcBorders>
              <w:top w:val="single" w:sz="4" w:space="0" w:color="auto"/>
              <w:left w:val="single" w:sz="4" w:space="0" w:color="auto"/>
              <w:bottom w:val="single" w:sz="4" w:space="0" w:color="auto"/>
            </w:tcBorders>
            <w:shd w:val="clear" w:color="auto" w:fill="FFFFFF"/>
          </w:tcPr>
          <w:p w14:paraId="27919D01" w14:textId="77777777" w:rsidR="008C76E0" w:rsidRPr="008C76E0" w:rsidRDefault="008C76E0" w:rsidP="008C76E0">
            <w:pPr>
              <w:pStyle w:val="Bodytext180"/>
              <w:shd w:val="clear" w:color="auto" w:fill="auto"/>
              <w:tabs>
                <w:tab w:val="left" w:pos="1034"/>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Բ.I.ա.2.</w:t>
            </w:r>
            <w:r w:rsidRPr="003B2786">
              <w:rPr>
                <w:rStyle w:val="Bodytext1811pt"/>
                <w:rFonts w:ascii="Sylfaen" w:hAnsi="Sylfaen"/>
                <w:sz w:val="24"/>
                <w:szCs w:val="24"/>
              </w:rPr>
              <w:tab/>
              <w:t>Ակտիվ դեղագործական բաղադրամասի արտադրության գործընթացի փոփոխությունները</w:t>
            </w:r>
          </w:p>
        </w:tc>
        <w:tc>
          <w:tcPr>
            <w:tcW w:w="1662" w:type="dxa"/>
            <w:tcBorders>
              <w:top w:val="single" w:sz="4" w:space="0" w:color="auto"/>
              <w:left w:val="single" w:sz="4" w:space="0" w:color="auto"/>
              <w:bottom w:val="single" w:sz="4" w:space="0" w:color="auto"/>
            </w:tcBorders>
            <w:shd w:val="clear" w:color="auto" w:fill="FFFFFF"/>
          </w:tcPr>
          <w:p w14:paraId="1840FF2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bottom w:val="single" w:sz="4" w:space="0" w:color="auto"/>
            </w:tcBorders>
            <w:shd w:val="clear" w:color="auto" w:fill="FFFFFF"/>
          </w:tcPr>
          <w:p w14:paraId="1089B2E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bottom w:val="single" w:sz="4" w:space="0" w:color="auto"/>
              <w:right w:val="single" w:sz="4" w:space="0" w:color="auto"/>
            </w:tcBorders>
            <w:shd w:val="clear" w:color="auto" w:fill="FFFFFF"/>
          </w:tcPr>
          <w:p w14:paraId="0DA0BD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D29253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07002B5" w14:textId="77777777" w:rsidR="008C76E0" w:rsidRPr="008C76E0" w:rsidRDefault="008C76E0" w:rsidP="008C76E0">
            <w:pPr>
              <w:pStyle w:val="Bodytext180"/>
              <w:shd w:val="clear" w:color="auto" w:fill="auto"/>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արտադրության գործընթացի ոչ էական փոփոխությունը</w:t>
            </w:r>
          </w:p>
        </w:tc>
        <w:tc>
          <w:tcPr>
            <w:tcW w:w="1662" w:type="dxa"/>
            <w:tcBorders>
              <w:top w:val="single" w:sz="4" w:space="0" w:color="auto"/>
              <w:left w:val="single" w:sz="4" w:space="0" w:color="auto"/>
            </w:tcBorders>
            <w:shd w:val="clear" w:color="auto" w:fill="FFFFFF"/>
          </w:tcPr>
          <w:p w14:paraId="2424A4A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w:t>
            </w:r>
          </w:p>
        </w:tc>
        <w:tc>
          <w:tcPr>
            <w:tcW w:w="2017" w:type="dxa"/>
            <w:gridSpan w:val="2"/>
            <w:tcBorders>
              <w:top w:val="single" w:sz="4" w:space="0" w:color="auto"/>
              <w:left w:val="single" w:sz="4" w:space="0" w:color="auto"/>
            </w:tcBorders>
            <w:shd w:val="clear" w:color="auto" w:fill="FFFFFF"/>
          </w:tcPr>
          <w:p w14:paraId="2CCE99A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832" w:type="dxa"/>
            <w:tcBorders>
              <w:top w:val="single" w:sz="4" w:space="0" w:color="auto"/>
              <w:left w:val="single" w:sz="4" w:space="0" w:color="auto"/>
              <w:right w:val="single" w:sz="4" w:space="0" w:color="auto"/>
            </w:tcBorders>
            <w:shd w:val="clear" w:color="auto" w:fill="FFFFFF"/>
          </w:tcPr>
          <w:p w14:paraId="0CE876F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495541"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E85AB5D"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ակտիվ դեղագործական բաղադրամասի արտադրության գործընթացի զգալի փոփոխությունը,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662" w:type="dxa"/>
            <w:tcBorders>
              <w:top w:val="single" w:sz="4" w:space="0" w:color="auto"/>
              <w:left w:val="single" w:sz="4" w:space="0" w:color="auto"/>
            </w:tcBorders>
            <w:shd w:val="clear" w:color="auto" w:fill="FFFFFF"/>
          </w:tcPr>
          <w:p w14:paraId="290BD65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62AB35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F2F65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0BF18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058534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փոփոխությունը վերաբերում է կենսաբանական (իմունաբանական) սուբստանցիային կամ քիմիական սինթեզի միջոցով ստացված այլ նյութի օգտագործմանն այն կենսաբանական (իմունաբանական) դեղապատրաստուկի արտադրության մեջ, որը կարող է էական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 </w:t>
            </w:r>
            <w:r w:rsidR="00C54D75">
              <w:rPr>
                <w:rStyle w:val="Bodytext1811pt"/>
                <w:rFonts w:ascii="Sylfaen" w:hAnsi="Sylfaen"/>
                <w:sz w:val="24"/>
                <w:szCs w:val="24"/>
              </w:rPr>
              <w:t>և</w:t>
            </w:r>
            <w:r w:rsidRPr="003B2786">
              <w:rPr>
                <w:rStyle w:val="Bodytext1811pt"/>
                <w:rFonts w:ascii="Sylfaen" w:hAnsi="Sylfaen"/>
                <w:sz w:val="24"/>
                <w:szCs w:val="24"/>
              </w:rPr>
              <w:t xml:space="preserve"> այն կապված չէ արձանագրության հետ</w:t>
            </w:r>
          </w:p>
        </w:tc>
        <w:tc>
          <w:tcPr>
            <w:tcW w:w="1662" w:type="dxa"/>
            <w:tcBorders>
              <w:top w:val="single" w:sz="4" w:space="0" w:color="auto"/>
              <w:left w:val="single" w:sz="4" w:space="0" w:color="auto"/>
            </w:tcBorders>
            <w:shd w:val="clear" w:color="auto" w:fill="FFFFFF"/>
          </w:tcPr>
          <w:p w14:paraId="57800B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66579A2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49C2DFA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E85F72C"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93E71CE"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դեղաբուսական պատրաստուկին, մասնավորապես՝ աշխարհագրական աղբյուրին, արտադրության կամ պատրաստման եղանակին</w:t>
            </w:r>
          </w:p>
        </w:tc>
        <w:tc>
          <w:tcPr>
            <w:tcW w:w="1662" w:type="dxa"/>
            <w:tcBorders>
              <w:top w:val="single" w:sz="4" w:space="0" w:color="auto"/>
              <w:left w:val="single" w:sz="4" w:space="0" w:color="auto"/>
            </w:tcBorders>
            <w:shd w:val="clear" w:color="auto" w:fill="FFFFFF"/>
          </w:tcPr>
          <w:p w14:paraId="1BA0E5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06A057E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505957B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D200B4B" w14:textId="77777777" w:rsidTr="008C76E0">
        <w:trPr>
          <w:jc w:val="center"/>
        </w:trPr>
        <w:tc>
          <w:tcPr>
            <w:tcW w:w="4802" w:type="dxa"/>
            <w:gridSpan w:val="2"/>
            <w:tcBorders>
              <w:top w:val="single" w:sz="4" w:space="0" w:color="auto"/>
              <w:left w:val="single" w:sz="4" w:space="0" w:color="auto"/>
            </w:tcBorders>
            <w:shd w:val="clear" w:color="auto" w:fill="FFFFFF"/>
          </w:tcPr>
          <w:p w14:paraId="44680C9B" w14:textId="77777777" w:rsidR="008C76E0" w:rsidRPr="008C76E0" w:rsidRDefault="008C76E0" w:rsidP="008C76E0">
            <w:pPr>
              <w:pStyle w:val="Bodytext180"/>
              <w:shd w:val="clear" w:color="auto" w:fill="auto"/>
              <w:tabs>
                <w:tab w:val="left" w:pos="57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ԱԴԲՄՖ-ի փակ մասի ոչ էական փոփոխությունը</w:t>
            </w:r>
          </w:p>
        </w:tc>
        <w:tc>
          <w:tcPr>
            <w:tcW w:w="1662" w:type="dxa"/>
            <w:tcBorders>
              <w:top w:val="single" w:sz="4" w:space="0" w:color="auto"/>
              <w:left w:val="single" w:sz="4" w:space="0" w:color="auto"/>
            </w:tcBorders>
            <w:shd w:val="clear" w:color="auto" w:fill="FFFFFF"/>
          </w:tcPr>
          <w:p w14:paraId="66B863E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4ADEA88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AF53C8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161681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215E0694"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Պայմանները</w:t>
            </w:r>
          </w:p>
          <w:p w14:paraId="2F2F167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Խառնուկների որակական կամ քանակական պրոֆիլի կամ ֆիզիկաքիմիական հատկությունների անցանկալի փոփոխությունը բացակայում է:</w:t>
            </w:r>
          </w:p>
          <w:p w14:paraId="3C7C82C8"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Սինթեզման եղանակը մնում է նույնը, այսինքն՝ միջանկյալ արտադրանքը չի փոփոխվում,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գործընթացում նոր ռեակտիվներ, կատալիզատորներ կամ լուծիչներ չեն ներմուծվում: Դեղաբուսական պատրաստուկների աշխարհագրական աղբյուրը, բուսական հումքի պատրաստումը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եղանակը չեն փոփոխվում:</w:t>
            </w:r>
          </w:p>
          <w:p w14:paraId="0FB2000F"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p w14:paraId="3AB90B47" w14:textId="68282F44"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 ամբողջությամբ նկարագրվում է ԱԴԲՄՖ-ի բաց մասում («</w:t>
            </w:r>
            <w:r w:rsidR="0056496B">
              <w:rPr>
                <w:rStyle w:val="Bodytext1811pt"/>
                <w:rFonts w:ascii="Sylfaen" w:hAnsi="Sylfaen"/>
                <w:sz w:val="24"/>
                <w:szCs w:val="24"/>
              </w:rPr>
              <w:t>դիմումատու</w:t>
            </w:r>
            <w:r w:rsidRPr="003B2786">
              <w:rPr>
                <w:rStyle w:val="Bodytext1811pt"/>
                <w:rFonts w:ascii="Sylfaen" w:hAnsi="Sylfaen"/>
                <w:sz w:val="24"/>
                <w:szCs w:val="24"/>
              </w:rPr>
              <w:t>ի» մասում) (եթե կիրառելի է):</w:t>
            </w:r>
          </w:p>
          <w:p w14:paraId="67F275BD"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սուբստանցիա չէ:</w:t>
            </w:r>
          </w:p>
          <w:p w14:paraId="5B9BB06C"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դեղաբուսական պատրաստուկի աշխարհագրական աղբյուրին, արտադրության կամ պատրաստման եղանակին:</w:t>
            </w:r>
          </w:p>
          <w:p w14:paraId="7ECBF420" w14:textId="77777777" w:rsidR="008C76E0" w:rsidRPr="008C76E0" w:rsidRDefault="008C76E0" w:rsidP="008C76E0">
            <w:pPr>
              <w:pStyle w:val="Bodytext180"/>
              <w:shd w:val="clear" w:color="auto" w:fill="auto"/>
              <w:tabs>
                <w:tab w:val="left" w:pos="609"/>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ԱԴԲՄՖ-ի փակ մասին:</w:t>
            </w:r>
          </w:p>
        </w:tc>
      </w:tr>
      <w:tr w:rsidR="008C76E0" w:rsidRPr="003B2786" w14:paraId="1AF550EE"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40E3D702" w14:textId="77777777" w:rsidR="008C76E0" w:rsidRPr="008C76E0" w:rsidRDefault="008C76E0" w:rsidP="008C76E0">
            <w:pPr>
              <w:pStyle w:val="Bodytext180"/>
              <w:shd w:val="clear" w:color="auto" w:fill="auto"/>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FBC43A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ուղղակի համեմատությունը։</w:t>
            </w:r>
          </w:p>
          <w:p w14:paraId="747CA5B9"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գործընթացների միջոցով արտադրված սերիաների, առնվազն 2 սերիայի (առնվազն փորձարարաարդյունաբերական)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6CEEA9CF" w14:textId="77777777" w:rsidR="008C76E0" w:rsidRPr="008C76E0" w:rsidRDefault="008C76E0" w:rsidP="008C76E0">
            <w:pPr>
              <w:pStyle w:val="Bodytext180"/>
              <w:shd w:val="clear" w:color="auto" w:fill="auto"/>
              <w:tabs>
                <w:tab w:val="left" w:pos="587"/>
              </w:tabs>
              <w:spacing w:before="0" w:after="120" w:line="240" w:lineRule="auto"/>
              <w:ind w:left="41" w:right="88"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հաստատված մասնագրերի պատճենները:</w:t>
            </w:r>
          </w:p>
        </w:tc>
      </w:tr>
      <w:tr w:rsidR="008C76E0" w:rsidRPr="003B2786" w14:paraId="206A5FCB"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502E6F23" w14:textId="2CE7FFFE" w:rsidR="008C76E0" w:rsidRPr="008C76E0" w:rsidRDefault="008C76E0" w:rsidP="008C76E0">
            <w:pPr>
              <w:pStyle w:val="Bodytext180"/>
              <w:shd w:val="clear" w:color="auto" w:fill="auto"/>
              <w:tabs>
                <w:tab w:val="left" w:pos="602"/>
              </w:tabs>
              <w:spacing w:before="0" w:after="120" w:line="240" w:lineRule="auto"/>
              <w:ind w:left="41" w:right="88"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պրոֆիլի կամ ֆիզիկաքիմիական հատկությունների փոփոխությունը բացակայում է, </w:t>
            </w:r>
            <w:r w:rsidR="00C54D75">
              <w:rPr>
                <w:rStyle w:val="Bodytext1811pt"/>
                <w:rFonts w:ascii="Sylfaen" w:hAnsi="Sylfaen"/>
                <w:sz w:val="24"/>
                <w:szCs w:val="24"/>
              </w:rPr>
              <w:t>և</w:t>
            </w:r>
            <w:r w:rsidRPr="003B2786">
              <w:rPr>
                <w:rStyle w:val="Bodytext1811pt"/>
                <w:rFonts w:ascii="Sylfaen" w:hAnsi="Sylfaen"/>
                <w:sz w:val="24"/>
                <w:szCs w:val="24"/>
              </w:rPr>
              <w:t xml:space="preserve"> սինթեզման եղանակը,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արտադրանքի մասնագրերը չեն փոփոխվում:</w:t>
            </w:r>
          </w:p>
        </w:tc>
      </w:tr>
      <w:tr w:rsidR="008C76E0" w:rsidRPr="003B2786" w14:paraId="6485158A" w14:textId="77777777" w:rsidTr="008C76E0">
        <w:trPr>
          <w:jc w:val="center"/>
        </w:trPr>
        <w:tc>
          <w:tcPr>
            <w:tcW w:w="2320" w:type="dxa"/>
            <w:tcBorders>
              <w:top w:val="single" w:sz="4" w:space="0" w:color="auto"/>
              <w:left w:val="single" w:sz="4" w:space="0" w:color="auto"/>
            </w:tcBorders>
            <w:shd w:val="clear" w:color="auto" w:fill="FFFFFF"/>
          </w:tcPr>
          <w:p w14:paraId="2BE9AC90"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295pt"/>
                <w:rFonts w:ascii="Sylfaen" w:hAnsi="Sylfaen"/>
                <w:sz w:val="24"/>
                <w:szCs w:val="24"/>
              </w:rPr>
              <w:t>Ծանոթագրություն</w:t>
            </w:r>
          </w:p>
        </w:tc>
        <w:tc>
          <w:tcPr>
            <w:tcW w:w="7993" w:type="dxa"/>
            <w:gridSpan w:val="5"/>
            <w:tcBorders>
              <w:top w:val="single" w:sz="4" w:space="0" w:color="auto"/>
              <w:left w:val="single" w:sz="4" w:space="0" w:color="auto"/>
              <w:right w:val="single" w:sz="4" w:space="0" w:color="auto"/>
            </w:tcBorders>
            <w:shd w:val="clear" w:color="auto" w:fill="FFFFFF"/>
            <w:vAlign w:val="bottom"/>
          </w:tcPr>
          <w:p w14:paraId="3E8DE488" w14:textId="77777777" w:rsidR="008C76E0" w:rsidRPr="003B2786" w:rsidRDefault="008C76E0" w:rsidP="008C76E0">
            <w:pPr>
              <w:pStyle w:val="Bodytext180"/>
              <w:shd w:val="clear" w:color="auto" w:fill="auto"/>
              <w:spacing w:before="0" w:after="120" w:line="240" w:lineRule="auto"/>
              <w:ind w:left="41" w:right="88" w:firstLine="0"/>
              <w:jc w:val="both"/>
              <w:rPr>
                <w:rFonts w:ascii="Sylfaen" w:hAnsi="Sylfaen"/>
                <w:b w:val="0"/>
                <w:sz w:val="24"/>
                <w:szCs w:val="24"/>
              </w:rPr>
            </w:pPr>
            <w:r w:rsidRPr="003B2786">
              <w:rPr>
                <w:rStyle w:val="Bodytext1811pt"/>
                <w:rFonts w:ascii="Sylfaen" w:hAnsi="Sylfaen"/>
                <w:sz w:val="24"/>
                <w:szCs w:val="24"/>
              </w:rPr>
              <w:t>Քիմիական սինթեզման միջոցով ստացված ակտիվ դեղագործական բաղադրամասերի զգալի փոփոխություններ ասելով՝ պետք է ենթադրել սինթեզման եղանակի կամ արտադրության պայմանների այնպիսի փոփոխություններ, որոնք կարող են փոփոխել ակտիվ դեղագործական բաղադրամասի որակի այնպիսի կար</w:t>
            </w:r>
            <w:r w:rsidR="00C54D75">
              <w:rPr>
                <w:rStyle w:val="Bodytext1811pt"/>
                <w:rFonts w:ascii="Sylfaen" w:hAnsi="Sylfaen"/>
                <w:sz w:val="24"/>
                <w:szCs w:val="24"/>
              </w:rPr>
              <w:t>և</w:t>
            </w:r>
            <w:r w:rsidRPr="003B2786">
              <w:rPr>
                <w:rStyle w:val="Bodytext1811pt"/>
                <w:rFonts w:ascii="Sylfaen" w:hAnsi="Sylfaen"/>
                <w:sz w:val="24"/>
                <w:szCs w:val="24"/>
              </w:rPr>
              <w:t xml:space="preserve">որ ցուցանիշներ, ինչպիսիք են խառնուկների՝ որակավորում պահանջող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պրոֆիլը կամ կենսամատչելիության վրա ազդող ֆիզիկաքիմիական հատկությունները:</w:t>
            </w:r>
          </w:p>
        </w:tc>
      </w:tr>
      <w:tr w:rsidR="008C76E0" w:rsidRPr="003B2786" w14:paraId="411D4A78"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0982AB2"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Բ.I.ա.З.</w:t>
            </w:r>
            <w:r w:rsidRPr="003B2786">
              <w:rPr>
                <w:rStyle w:val="Bodytext1811pt"/>
                <w:rFonts w:ascii="Sylfaen" w:hAnsi="Sylfaen"/>
                <w:sz w:val="24"/>
                <w:szCs w:val="24"/>
              </w:rPr>
              <w:tab/>
              <w:t xml:space="preserve">Ակտիվ դեղագործական բաղադրամասի կամ ակտիվ </w:t>
            </w:r>
            <w:r w:rsidRPr="003B2786">
              <w:rPr>
                <w:rStyle w:val="Bodytext1811pt"/>
                <w:rFonts w:ascii="Sylfaen" w:hAnsi="Sylfaen"/>
                <w:sz w:val="24"/>
                <w:szCs w:val="24"/>
              </w:rPr>
              <w:lastRenderedPageBreak/>
              <w:t>դեղագործական բաղադրամասի արտադրության գործընթացում օգտագործվող միջանկյալ արտադրանքի սերիայի չափի փոփոխությունը (ներառյալ՝ սերիայի չափի ընդգրկույթները)</w:t>
            </w:r>
          </w:p>
        </w:tc>
        <w:tc>
          <w:tcPr>
            <w:tcW w:w="1662" w:type="dxa"/>
            <w:tcBorders>
              <w:top w:val="single" w:sz="4" w:space="0" w:color="auto"/>
              <w:left w:val="single" w:sz="4" w:space="0" w:color="auto"/>
            </w:tcBorders>
            <w:shd w:val="clear" w:color="auto" w:fill="FFFFFF"/>
          </w:tcPr>
          <w:p w14:paraId="48AAC72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2017" w:type="dxa"/>
            <w:gridSpan w:val="2"/>
            <w:tcBorders>
              <w:top w:val="single" w:sz="4" w:space="0" w:color="auto"/>
              <w:left w:val="single" w:sz="4" w:space="0" w:color="auto"/>
            </w:tcBorders>
            <w:shd w:val="clear" w:color="auto" w:fill="FFFFFF"/>
          </w:tcPr>
          <w:p w14:paraId="5AA710D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563EC52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F09B9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BBEC260" w14:textId="77777777" w:rsidR="008C76E0" w:rsidRPr="008C76E0" w:rsidRDefault="008C76E0" w:rsidP="008C76E0">
            <w:pPr>
              <w:pStyle w:val="Bodytext180"/>
              <w:shd w:val="clear" w:color="auto" w:fill="auto"/>
              <w:tabs>
                <w:tab w:val="left" w:pos="5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գրանցված չափի համեմատությամբ սերիայի չափի՝ ընդհուպ 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մեծացումը</w:t>
            </w:r>
          </w:p>
        </w:tc>
        <w:tc>
          <w:tcPr>
            <w:tcW w:w="1662" w:type="dxa"/>
            <w:tcBorders>
              <w:top w:val="single" w:sz="4" w:space="0" w:color="auto"/>
              <w:left w:val="single" w:sz="4" w:space="0" w:color="auto"/>
            </w:tcBorders>
            <w:shd w:val="clear" w:color="auto" w:fill="FFFFFF"/>
          </w:tcPr>
          <w:p w14:paraId="00339C1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1, 2, 3, 4, 5, 6, 7, 8</w:t>
            </w:r>
          </w:p>
        </w:tc>
        <w:tc>
          <w:tcPr>
            <w:tcW w:w="2017" w:type="dxa"/>
            <w:gridSpan w:val="2"/>
            <w:tcBorders>
              <w:top w:val="single" w:sz="4" w:space="0" w:color="auto"/>
              <w:left w:val="single" w:sz="4" w:space="0" w:color="auto"/>
            </w:tcBorders>
            <w:shd w:val="clear" w:color="auto" w:fill="FFFFFF"/>
          </w:tcPr>
          <w:p w14:paraId="56F8EA1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2638466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33F591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48D5A47" w14:textId="77777777" w:rsidR="008C76E0" w:rsidRPr="003B2786"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տասնապատիկ անգամ ապախոշորացումը</w:t>
            </w:r>
          </w:p>
        </w:tc>
        <w:tc>
          <w:tcPr>
            <w:tcW w:w="1662" w:type="dxa"/>
            <w:tcBorders>
              <w:top w:val="single" w:sz="4" w:space="0" w:color="auto"/>
              <w:left w:val="single" w:sz="4" w:space="0" w:color="auto"/>
            </w:tcBorders>
            <w:shd w:val="clear" w:color="auto" w:fill="FFFFFF"/>
          </w:tcPr>
          <w:p w14:paraId="7DCD23A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1, 2, 3, 4, 5</w:t>
            </w:r>
          </w:p>
        </w:tc>
        <w:tc>
          <w:tcPr>
            <w:tcW w:w="2017" w:type="dxa"/>
            <w:gridSpan w:val="2"/>
            <w:tcBorders>
              <w:top w:val="single" w:sz="4" w:space="0" w:color="auto"/>
              <w:left w:val="single" w:sz="4" w:space="0" w:color="auto"/>
            </w:tcBorders>
            <w:shd w:val="clear" w:color="auto" w:fill="FFFFFF"/>
          </w:tcPr>
          <w:p w14:paraId="41DD403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5FF55EB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5B249F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104898B3"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փոփոխությունը պահանջում է կենսաբանական (իմունաբանական) ակտիվ դեղագործական բաղադրամասի համադրելիության վերլուծություն</w:t>
            </w:r>
          </w:p>
        </w:tc>
        <w:tc>
          <w:tcPr>
            <w:tcW w:w="1662" w:type="dxa"/>
            <w:tcBorders>
              <w:top w:val="single" w:sz="4" w:space="0" w:color="auto"/>
              <w:left w:val="single" w:sz="4" w:space="0" w:color="auto"/>
            </w:tcBorders>
            <w:shd w:val="clear" w:color="auto" w:fill="FFFFFF"/>
          </w:tcPr>
          <w:p w14:paraId="4C16D55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03E51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677885C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7E2A95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73CC548E"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գրանցված չափի համեմատությամբ սերիայի չափի՝ ավելի քան 10 անգամ մեծացումը</w:t>
            </w:r>
          </w:p>
        </w:tc>
        <w:tc>
          <w:tcPr>
            <w:tcW w:w="1662" w:type="dxa"/>
            <w:tcBorders>
              <w:top w:val="single" w:sz="4" w:space="0" w:color="auto"/>
              <w:left w:val="single" w:sz="4" w:space="0" w:color="auto"/>
            </w:tcBorders>
            <w:shd w:val="clear" w:color="auto" w:fill="FFFFFF"/>
          </w:tcPr>
          <w:p w14:paraId="00D4C4E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D9262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73C7826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DD8CF2"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D868B06" w14:textId="77777777" w:rsidR="008C76E0" w:rsidRPr="008C76E0" w:rsidRDefault="008C76E0" w:rsidP="008C76E0">
            <w:pPr>
              <w:pStyle w:val="Bodytext180"/>
              <w:shd w:val="clear" w:color="auto" w:fill="auto"/>
              <w:tabs>
                <w:tab w:val="left" w:pos="58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կենսաբանական (իմունաբանական) ակտիվ դեղագործական բաղադրամասի արտադրության ծավալի մեծացումը (փոքրացումը)՝ առանց արտադրության գործընթացի փոփոխության (օրինակ`հոսքագծի կրկնակման)</w:t>
            </w:r>
          </w:p>
        </w:tc>
        <w:tc>
          <w:tcPr>
            <w:tcW w:w="1662" w:type="dxa"/>
            <w:tcBorders>
              <w:top w:val="single" w:sz="4" w:space="0" w:color="auto"/>
              <w:left w:val="single" w:sz="4" w:space="0" w:color="auto"/>
            </w:tcBorders>
            <w:shd w:val="clear" w:color="auto" w:fill="FFFFFF"/>
          </w:tcPr>
          <w:p w14:paraId="0D9056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7540EC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832" w:type="dxa"/>
            <w:tcBorders>
              <w:top w:val="single" w:sz="4" w:space="0" w:color="auto"/>
              <w:left w:val="single" w:sz="4" w:space="0" w:color="auto"/>
              <w:right w:val="single" w:sz="4" w:space="0" w:color="auto"/>
            </w:tcBorders>
            <w:shd w:val="clear" w:color="auto" w:fill="FFFFFF"/>
          </w:tcPr>
          <w:p w14:paraId="56C8B53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1ED7D88"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0A750B11" w14:textId="77777777" w:rsidR="008C76E0" w:rsidRPr="008C76E0" w:rsidRDefault="008C76E0" w:rsidP="008C76E0">
            <w:pPr>
              <w:pStyle w:val="Bodytext180"/>
              <w:shd w:val="clear" w:color="auto" w:fill="auto"/>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7363510" w14:textId="77777777" w:rsidR="008C76E0" w:rsidRPr="008C76E0" w:rsidRDefault="008C76E0" w:rsidP="008C76E0">
            <w:pPr>
              <w:pStyle w:val="Bodytext180"/>
              <w:shd w:val="clear" w:color="auto" w:fill="auto"/>
              <w:tabs>
                <w:tab w:val="left" w:pos="54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w:t>
            </w:r>
          </w:p>
          <w:p w14:paraId="059E6EE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փորձարկումների արդյունքները՝ սերիաների առաջարկվող չափից առնվազն 2 սերիայի մասնագրերի համաձայն:</w:t>
            </w:r>
          </w:p>
          <w:p w14:paraId="2A1116FE"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p w14:paraId="6CABD2E8"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անցանկալի կերպով չի ազդում գործընթացի վերարտադրողականության վրա:</w:t>
            </w:r>
          </w:p>
          <w:p w14:paraId="16C6F6CF" w14:textId="6CDA8ABC"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69F725A9"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(միջանկյալ արտադրանքի) մասնագրերը չեն փոփոխվում:</w:t>
            </w:r>
          </w:p>
          <w:p w14:paraId="496CA2A7"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մանրէազերծ չէ:</w:t>
            </w:r>
          </w:p>
          <w:p w14:paraId="67A8CDD6" w14:textId="77777777" w:rsidR="008C76E0" w:rsidRPr="008C76E0" w:rsidRDefault="008C76E0" w:rsidP="008C76E0">
            <w:pPr>
              <w:pStyle w:val="Bodytext180"/>
              <w:shd w:val="clear" w:color="auto" w:fill="auto"/>
              <w:tabs>
                <w:tab w:val="left" w:pos="572"/>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Սերիայի չափը գտնվում է գրանցելիս կամ IA տիպի փոփոխություն չհանդիսացող հետագա փոփոխությունից հետո նախատեսված սերիայի չափի տասնապատիկ ընդգրկույթի սահմանում:</w:t>
            </w:r>
          </w:p>
        </w:tc>
      </w:tr>
      <w:tr w:rsidR="008C76E0" w:rsidRPr="003B2786" w14:paraId="1F5A37F8"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1EF5AEBD" w14:textId="77777777" w:rsidR="008C76E0" w:rsidRPr="008C76E0" w:rsidRDefault="008C76E0" w:rsidP="008C76E0">
            <w:pPr>
              <w:pStyle w:val="Bodytext180"/>
              <w:shd w:val="clear" w:color="auto" w:fill="auto"/>
              <w:spacing w:before="0" w:after="120" w:line="240" w:lineRule="auto"/>
              <w:ind w:right="187"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23D4474"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377EE09"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Փորձարկված սերիաների համարներն ունեն սերիայի առաջարկվող չափ:</w:t>
            </w:r>
          </w:p>
          <w:p w14:paraId="7AF38537"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ծավալով արտադրված ակտիվ դեղագործական բաղադրամասի կամ համապատասխանաբար միջանկյալ արտադրանքի սերիաների,  առնվազն 1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Պահանջի դեպքում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 եթե վերլուծության արդյունքները չեն համապատասխանում մասնագրին, իրավատերը պարտավոր է հաղորդել այդ մասին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6B4A86CA" w14:textId="77777777"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եթե կիրառելի է, միջանկյալ արտադրանքի) հաստատված մասնագրերի պատճենները:</w:t>
            </w:r>
          </w:p>
          <w:p w14:paraId="2521DE4F" w14:textId="54FE6B7C" w:rsidR="008C76E0" w:rsidRPr="008C76E0" w:rsidRDefault="008C76E0" w:rsidP="008C76E0">
            <w:pPr>
              <w:pStyle w:val="Bodytext180"/>
              <w:shd w:val="clear" w:color="auto" w:fill="auto"/>
              <w:tabs>
                <w:tab w:val="left" w:pos="58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առ այն, որ արտադրության մեթոդների բոլոր փոփոխությունները վերաբերում են միայն խոշորացնելու կամ ապախոշորացնելու համար անհրաժեշտ, օրինակ՝ այլ չափի սարքավորումների օգտագործմանը, փոփոխությունը անցանկալի կերպով չի ազդում գործընթացի վերարտադրողականության վրա, փոփոխությունը արտադրության ընթացքում ի </w:t>
            </w:r>
            <w:r w:rsidR="0056496B">
              <w:rPr>
                <w:rStyle w:val="Bodytext1811pt"/>
                <w:rFonts w:ascii="Sylfaen" w:hAnsi="Sylfaen"/>
                <w:sz w:val="24"/>
                <w:szCs w:val="24"/>
              </w:rPr>
              <w:t>դիմում</w:t>
            </w:r>
            <w:r w:rsidRPr="003B2786">
              <w:rPr>
                <w:rStyle w:val="Bodytext1811pt"/>
                <w:rFonts w:ascii="Sylfaen" w:hAnsi="Sylfaen"/>
                <w:sz w:val="24"/>
                <w:szCs w:val="24"/>
              </w:rPr>
              <w:t xml:space="preserve"> եկած չնախատեսված իրավիճակների կամ կայունության խաթարման հետ</w:t>
            </w:r>
            <w:r w:rsidR="00C54D75">
              <w:rPr>
                <w:rStyle w:val="Bodytext1811pt"/>
                <w:rFonts w:ascii="Sylfaen" w:hAnsi="Sylfaen"/>
                <w:sz w:val="24"/>
                <w:szCs w:val="24"/>
              </w:rPr>
              <w:t>և</w:t>
            </w:r>
            <w:r w:rsidRPr="003B2786">
              <w:rPr>
                <w:rStyle w:val="Bodytext1811pt"/>
                <w:rFonts w:ascii="Sylfaen" w:hAnsi="Sylfaen"/>
                <w:sz w:val="24"/>
                <w:szCs w:val="24"/>
              </w:rPr>
              <w:t>անք չէ, ակտիվ դեղագործական բաղադրամասի (միջանկյալ արտադրանքի) մասնագրերը չեն փոփոխվում:</w:t>
            </w:r>
          </w:p>
        </w:tc>
      </w:tr>
      <w:tr w:rsidR="008C76E0" w:rsidRPr="003B2786" w14:paraId="345CC8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321F291" w14:textId="77777777" w:rsidR="008C76E0" w:rsidRPr="008C76E0" w:rsidRDefault="008C76E0" w:rsidP="008C76E0">
            <w:pPr>
              <w:pStyle w:val="Bodytext180"/>
              <w:shd w:val="clear" w:color="auto" w:fill="auto"/>
              <w:tabs>
                <w:tab w:val="left" w:pos="109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Բ.I.ա.4.</w:t>
            </w:r>
            <w:r w:rsidRPr="003B2786">
              <w:rPr>
                <w:rStyle w:val="Bodytext1811pt"/>
                <w:rFonts w:ascii="Sylfaen" w:hAnsi="Sylfaen"/>
                <w:sz w:val="24"/>
                <w:szCs w:val="24"/>
              </w:rPr>
              <w:tab/>
              <w:t>Ներարտադրական փորձարկումների կամ ակտիվ դեղագործական բաղադրամասի արտադրության մեջ օգտագործվող ընդունելիության չափանիշների փոփոխությունը</w:t>
            </w:r>
          </w:p>
        </w:tc>
        <w:tc>
          <w:tcPr>
            <w:tcW w:w="1662" w:type="dxa"/>
            <w:tcBorders>
              <w:top w:val="single" w:sz="4" w:space="0" w:color="auto"/>
              <w:left w:val="single" w:sz="4" w:space="0" w:color="auto"/>
            </w:tcBorders>
            <w:shd w:val="clear" w:color="auto" w:fill="FFFFFF"/>
          </w:tcPr>
          <w:p w14:paraId="28639D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10AAE99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7CF3CD1"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6EFECF0"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6955CB4"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խստացումը</w:t>
            </w:r>
          </w:p>
        </w:tc>
        <w:tc>
          <w:tcPr>
            <w:tcW w:w="1662" w:type="dxa"/>
            <w:tcBorders>
              <w:top w:val="single" w:sz="4" w:space="0" w:color="auto"/>
              <w:left w:val="single" w:sz="4" w:space="0" w:color="auto"/>
            </w:tcBorders>
            <w:shd w:val="clear" w:color="auto" w:fill="FFFFFF"/>
          </w:tcPr>
          <w:p w14:paraId="0B12441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2017" w:type="dxa"/>
            <w:gridSpan w:val="2"/>
            <w:tcBorders>
              <w:top w:val="single" w:sz="4" w:space="0" w:color="auto"/>
              <w:left w:val="single" w:sz="4" w:space="0" w:color="auto"/>
            </w:tcBorders>
            <w:shd w:val="clear" w:color="auto" w:fill="FFFFFF"/>
          </w:tcPr>
          <w:p w14:paraId="56CB63B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832" w:type="dxa"/>
            <w:tcBorders>
              <w:top w:val="single" w:sz="4" w:space="0" w:color="auto"/>
              <w:left w:val="single" w:sz="4" w:space="0" w:color="auto"/>
              <w:right w:val="single" w:sz="4" w:space="0" w:color="auto"/>
            </w:tcBorders>
            <w:shd w:val="clear" w:color="auto" w:fill="FFFFFF"/>
          </w:tcPr>
          <w:p w14:paraId="53BCA41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F7A964"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3D6159DA"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ներարտադրական փորձարկումների կամ ընդունելիության չափանիշների ավելացումը</w:t>
            </w:r>
          </w:p>
        </w:tc>
        <w:tc>
          <w:tcPr>
            <w:tcW w:w="1662" w:type="dxa"/>
            <w:tcBorders>
              <w:top w:val="single" w:sz="4" w:space="0" w:color="auto"/>
              <w:left w:val="single" w:sz="4" w:space="0" w:color="auto"/>
            </w:tcBorders>
            <w:shd w:val="clear" w:color="auto" w:fill="FFFFFF"/>
          </w:tcPr>
          <w:p w14:paraId="5AC0CF8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1, 2, 5, 6</w:t>
            </w:r>
          </w:p>
        </w:tc>
        <w:tc>
          <w:tcPr>
            <w:tcW w:w="2017" w:type="dxa"/>
            <w:gridSpan w:val="2"/>
            <w:tcBorders>
              <w:top w:val="single" w:sz="4" w:space="0" w:color="auto"/>
              <w:left w:val="single" w:sz="4" w:space="0" w:color="auto"/>
            </w:tcBorders>
            <w:shd w:val="clear" w:color="auto" w:fill="FFFFFF"/>
          </w:tcPr>
          <w:p w14:paraId="31E6EF0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036D7A4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A9ED063"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D2A276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ոչ նշանակալի ներարտադրական փորձարկման բացառումը</w:t>
            </w:r>
          </w:p>
        </w:tc>
        <w:tc>
          <w:tcPr>
            <w:tcW w:w="1662" w:type="dxa"/>
            <w:tcBorders>
              <w:top w:val="single" w:sz="4" w:space="0" w:color="auto"/>
              <w:left w:val="single" w:sz="4" w:space="0" w:color="auto"/>
            </w:tcBorders>
            <w:shd w:val="clear" w:color="auto" w:fill="FFFFFF"/>
          </w:tcPr>
          <w:p w14:paraId="6535D46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1, 2, 7</w:t>
            </w:r>
          </w:p>
        </w:tc>
        <w:tc>
          <w:tcPr>
            <w:tcW w:w="2017" w:type="dxa"/>
            <w:gridSpan w:val="2"/>
            <w:tcBorders>
              <w:top w:val="single" w:sz="4" w:space="0" w:color="auto"/>
              <w:left w:val="single" w:sz="4" w:space="0" w:color="auto"/>
            </w:tcBorders>
            <w:shd w:val="clear" w:color="auto" w:fill="FFFFFF"/>
          </w:tcPr>
          <w:p w14:paraId="5D238D8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1, 2, 5</w:t>
            </w:r>
          </w:p>
        </w:tc>
        <w:tc>
          <w:tcPr>
            <w:tcW w:w="1832" w:type="dxa"/>
            <w:tcBorders>
              <w:top w:val="single" w:sz="4" w:space="0" w:color="auto"/>
              <w:left w:val="single" w:sz="4" w:space="0" w:color="auto"/>
              <w:right w:val="single" w:sz="4" w:space="0" w:color="auto"/>
            </w:tcBorders>
            <w:shd w:val="clear" w:color="auto" w:fill="FFFFFF"/>
          </w:tcPr>
          <w:p w14:paraId="37F845E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24CE329"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9AD5083"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ընդունելիության հաստատված ներարտադրական այնպիսի </w:t>
            </w:r>
            <w:r w:rsidRPr="003B2786">
              <w:rPr>
                <w:rStyle w:val="Bodytext1811pt"/>
                <w:rFonts w:ascii="Sylfaen" w:hAnsi="Sylfaen"/>
                <w:sz w:val="24"/>
                <w:szCs w:val="24"/>
              </w:rPr>
              <w:lastRenderedPageBreak/>
              <w:t>չափանիշների ընդլայնումը, որոնք կարող են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18F696A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17" w:type="dxa"/>
            <w:gridSpan w:val="2"/>
            <w:tcBorders>
              <w:top w:val="single" w:sz="4" w:space="0" w:color="auto"/>
              <w:left w:val="single" w:sz="4" w:space="0" w:color="auto"/>
            </w:tcBorders>
            <w:shd w:val="clear" w:color="auto" w:fill="FFFFFF"/>
          </w:tcPr>
          <w:p w14:paraId="46FEF93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EAC47D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BB63A7B"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0AB396DB"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ներարտադրական փորձարկման բացառումը, որը կարող է էապես ազդել ակտիվ դեղագործական բաղադրամասի ընդհանուր որակի վրա</w:t>
            </w:r>
          </w:p>
        </w:tc>
        <w:tc>
          <w:tcPr>
            <w:tcW w:w="1662" w:type="dxa"/>
            <w:tcBorders>
              <w:top w:val="single" w:sz="4" w:space="0" w:color="auto"/>
              <w:left w:val="single" w:sz="4" w:space="0" w:color="auto"/>
            </w:tcBorders>
            <w:shd w:val="clear" w:color="auto" w:fill="FFFFFF"/>
          </w:tcPr>
          <w:p w14:paraId="26AF05E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3817D0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39A64BC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F966167"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58EE6011" w14:textId="77777777" w:rsidR="008C76E0" w:rsidRPr="008C76E0" w:rsidRDefault="008C76E0" w:rsidP="008C76E0">
            <w:pPr>
              <w:pStyle w:val="Bodytext180"/>
              <w:shd w:val="clear" w:color="auto" w:fill="auto"/>
              <w:tabs>
                <w:tab w:val="left" w:pos="609"/>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փորձարկման ավելացումը կամ փոխարինումը` ելնելով անվտանգության կամ որակի նկատառումներից</w:t>
            </w:r>
          </w:p>
        </w:tc>
        <w:tc>
          <w:tcPr>
            <w:tcW w:w="1662" w:type="dxa"/>
            <w:tcBorders>
              <w:top w:val="single" w:sz="4" w:space="0" w:color="auto"/>
              <w:left w:val="single" w:sz="4" w:space="0" w:color="auto"/>
            </w:tcBorders>
            <w:shd w:val="clear" w:color="auto" w:fill="FFFFFF"/>
          </w:tcPr>
          <w:p w14:paraId="4BE84EC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A2329F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1, 2, 3, 4, 6</w:t>
            </w:r>
          </w:p>
        </w:tc>
        <w:tc>
          <w:tcPr>
            <w:tcW w:w="1832" w:type="dxa"/>
            <w:tcBorders>
              <w:top w:val="single" w:sz="4" w:space="0" w:color="auto"/>
              <w:left w:val="single" w:sz="4" w:space="0" w:color="auto"/>
              <w:right w:val="single" w:sz="4" w:space="0" w:color="auto"/>
            </w:tcBorders>
            <w:shd w:val="clear" w:color="auto" w:fill="FFFFFF"/>
          </w:tcPr>
          <w:p w14:paraId="220EDF3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C0B334A" w14:textId="77777777" w:rsidTr="008C76E0">
        <w:trPr>
          <w:jc w:val="center"/>
        </w:trPr>
        <w:tc>
          <w:tcPr>
            <w:tcW w:w="10313" w:type="dxa"/>
            <w:gridSpan w:val="6"/>
            <w:tcBorders>
              <w:top w:val="single" w:sz="4" w:space="0" w:color="auto"/>
              <w:left w:val="single" w:sz="4" w:space="0" w:color="auto"/>
              <w:bottom w:val="single" w:sz="4" w:space="0" w:color="auto"/>
              <w:right w:val="single" w:sz="4" w:space="0" w:color="auto"/>
            </w:tcBorders>
            <w:shd w:val="clear" w:color="auto" w:fill="FFFFFF"/>
          </w:tcPr>
          <w:p w14:paraId="37238223"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8444AC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(օրինակ՝ գրանցելու կամ II տիպի փոփոխություններ կատարելու ընթացքում) անցկացված փորձաքննությունների արդյունքների հիման վրա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w:t>
            </w:r>
          </w:p>
          <w:p w14:paraId="1EF4F0B6"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չնախատեսված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առաջ են եկել արտադրության ընթացքում, օրինակ՝ նոր չորակավորված խառնուկը, խառնուկների ընդհանուր քանակության պարունակության սահմանների փոփոխությունը:</w:t>
            </w:r>
          </w:p>
          <w:p w14:paraId="35C32FBD"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հաստատված գործող չափանիշների ընդգրկույթին:</w:t>
            </w:r>
          </w:p>
        </w:tc>
      </w:tr>
      <w:tr w:rsidR="008C76E0" w:rsidRPr="003B2786" w14:paraId="02D7F88A"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74BB5840"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52357C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մեթոդիկայի կամ նորովի օգտագործվող ստանդարտ մեթոդիկայի վրա։</w:t>
            </w:r>
          </w:p>
          <w:p w14:paraId="68EA6832"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չէ կամ այնպիսի մեթոդ չէ, որի կիրառման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3AC44CC" w14:textId="77777777" w:rsidR="008C76E0" w:rsidRPr="008C76E0" w:rsidRDefault="008C76E0" w:rsidP="008C76E0">
            <w:pPr>
              <w:pStyle w:val="Bodytext180"/>
              <w:shd w:val="clear" w:color="auto" w:fill="auto"/>
              <w:tabs>
                <w:tab w:val="left" w:pos="557"/>
              </w:tabs>
              <w:spacing w:before="0" w:after="120" w:line="240" w:lineRule="auto"/>
              <w:ind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սահմանում, խառնուկներ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ցանկացած հարցում, որ վերաբերում է փորձարկումների հաճախականության փոփոխությանը:</w:t>
            </w:r>
          </w:p>
        </w:tc>
      </w:tr>
      <w:tr w:rsidR="008C76E0" w:rsidRPr="003B2786" w14:paraId="5F28F6DE" w14:textId="77777777" w:rsidTr="008C76E0">
        <w:trPr>
          <w:jc w:val="center"/>
        </w:trPr>
        <w:tc>
          <w:tcPr>
            <w:tcW w:w="10313" w:type="dxa"/>
            <w:gridSpan w:val="6"/>
            <w:tcBorders>
              <w:top w:val="single" w:sz="4" w:space="0" w:color="auto"/>
              <w:left w:val="single" w:sz="4" w:space="0" w:color="auto"/>
              <w:right w:val="single" w:sz="4" w:space="0" w:color="auto"/>
            </w:tcBorders>
            <w:shd w:val="clear" w:color="auto" w:fill="FFFFFF"/>
            <w:vAlign w:val="bottom"/>
          </w:tcPr>
          <w:p w14:paraId="326682FA"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1BB772F"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FD7FFB2"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համեմատական </w:t>
            </w:r>
            <w:r w:rsidRPr="003B2786">
              <w:rPr>
                <w:rStyle w:val="Bodytext1811pt"/>
                <w:rFonts w:ascii="Sylfaen" w:hAnsi="Sylfaen"/>
                <w:sz w:val="24"/>
                <w:szCs w:val="24"/>
              </w:rPr>
              <w:lastRenderedPageBreak/>
              <w:t>աղյուսակը։</w:t>
            </w:r>
          </w:p>
          <w:p w14:paraId="0C791D4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ոչ դեղագրքային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1D65809E"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ակտիվ դեղագործական բաղադրամասի երկու արդյունաբերական սերիաների (պատշաճ հիմնավորումների բացակայության դեպքում՝ կենսաբանական ակտիվ դեղագործական բաղադրամասերի համար՝ երեք արդյունաբերական սերիաների) վերլուծության տվյալները :</w:t>
            </w:r>
          </w:p>
          <w:p w14:paraId="5A03F3FB"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համապատասխանաբար ԱԴԲՄՖ-ի իրավատիրոջ կողմից հիմնավորում (ռիսկերի գնահատում), որով հաստատվում է, որ ներարտադրական պարամետրերը համարվում են ոչ նշանակալի կամ հնացած:</w:t>
            </w:r>
          </w:p>
          <w:p w14:paraId="64B3C211" w14:textId="77777777" w:rsidR="008C76E0" w:rsidRPr="008C76E0" w:rsidRDefault="008C76E0" w:rsidP="008C76E0">
            <w:pPr>
              <w:pStyle w:val="Bodytext180"/>
              <w:shd w:val="clear" w:color="auto" w:fill="auto"/>
              <w:tabs>
                <w:tab w:val="left" w:pos="557"/>
              </w:tabs>
              <w:spacing w:before="0" w:after="120" w:line="240" w:lineRule="auto"/>
              <w:ind w:left="41"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համապատասխանաբար ԱԴԲՄՖ-ի իրավատիրոջ կողմից նոր ներարտադրական փորձարկումների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սահմանների հիմնավորումը:</w:t>
            </w:r>
          </w:p>
        </w:tc>
      </w:tr>
      <w:tr w:rsidR="008C76E0" w:rsidRPr="003B2786" w14:paraId="0343FF2D"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419383AE" w14:textId="77777777" w:rsidR="008C76E0" w:rsidRPr="008C76E0" w:rsidRDefault="008C76E0" w:rsidP="008C76E0">
            <w:pPr>
              <w:pStyle w:val="Bodytext180"/>
              <w:shd w:val="clear" w:color="auto" w:fill="auto"/>
              <w:tabs>
                <w:tab w:val="left" w:pos="557"/>
                <w:tab w:val="left" w:pos="1142"/>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lastRenderedPageBreak/>
              <w:t>Բ.I.ա.5.</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ակտիվ դեղագործական բաղադրամասի փոփոխությունը</w:t>
            </w:r>
          </w:p>
        </w:tc>
        <w:tc>
          <w:tcPr>
            <w:tcW w:w="1662" w:type="dxa"/>
            <w:tcBorders>
              <w:top w:val="single" w:sz="4" w:space="0" w:color="auto"/>
              <w:left w:val="single" w:sz="4" w:space="0" w:color="auto"/>
            </w:tcBorders>
            <w:shd w:val="clear" w:color="auto" w:fill="FFFFFF"/>
          </w:tcPr>
          <w:p w14:paraId="532F8CA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17" w:type="dxa"/>
            <w:gridSpan w:val="2"/>
            <w:tcBorders>
              <w:top w:val="single" w:sz="4" w:space="0" w:color="auto"/>
              <w:left w:val="single" w:sz="4" w:space="0" w:color="auto"/>
            </w:tcBorders>
            <w:shd w:val="clear" w:color="auto" w:fill="FFFFFF"/>
          </w:tcPr>
          <w:p w14:paraId="6234498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32" w:type="dxa"/>
            <w:tcBorders>
              <w:top w:val="single" w:sz="4" w:space="0" w:color="auto"/>
              <w:left w:val="single" w:sz="4" w:space="0" w:color="auto"/>
              <w:right w:val="single" w:sz="4" w:space="0" w:color="auto"/>
            </w:tcBorders>
            <w:shd w:val="clear" w:color="auto" w:fill="FFFFFF"/>
          </w:tcPr>
          <w:p w14:paraId="0AF5658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208FFCA" w14:textId="77777777" w:rsidTr="008C76E0">
        <w:trPr>
          <w:jc w:val="center"/>
        </w:trPr>
        <w:tc>
          <w:tcPr>
            <w:tcW w:w="4802" w:type="dxa"/>
            <w:gridSpan w:val="2"/>
            <w:tcBorders>
              <w:top w:val="single" w:sz="4" w:space="0" w:color="auto"/>
              <w:left w:val="single" w:sz="4" w:space="0" w:color="auto"/>
            </w:tcBorders>
            <w:shd w:val="clear" w:color="auto" w:fill="FFFFFF"/>
            <w:vAlign w:val="bottom"/>
          </w:tcPr>
          <w:p w14:paraId="62A117BE" w14:textId="77777777" w:rsidR="008C76E0" w:rsidRPr="008C76E0" w:rsidRDefault="008C76E0" w:rsidP="008C76E0">
            <w:pPr>
              <w:pStyle w:val="Bodytext180"/>
              <w:shd w:val="clear" w:color="auto" w:fill="auto"/>
              <w:tabs>
                <w:tab w:val="left" w:pos="647"/>
              </w:tabs>
              <w:spacing w:before="0" w:after="120" w:line="240" w:lineRule="auto"/>
              <w:ind w:left="41" w:right="6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Գրիպի կանխարգելման համար սեզոնային, նախահամավարակային կամ համավարակային պատվաստանյութերի շտամի (շտամների) փոխարինումը</w:t>
            </w:r>
          </w:p>
        </w:tc>
        <w:tc>
          <w:tcPr>
            <w:tcW w:w="1662" w:type="dxa"/>
            <w:tcBorders>
              <w:top w:val="single" w:sz="4" w:space="0" w:color="auto"/>
              <w:left w:val="single" w:sz="4" w:space="0" w:color="auto"/>
            </w:tcBorders>
            <w:shd w:val="clear" w:color="auto" w:fill="FFFFFF"/>
          </w:tcPr>
          <w:p w14:paraId="5918CF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017" w:type="dxa"/>
            <w:gridSpan w:val="2"/>
            <w:tcBorders>
              <w:top w:val="single" w:sz="4" w:space="0" w:color="auto"/>
              <w:left w:val="single" w:sz="4" w:space="0" w:color="auto"/>
            </w:tcBorders>
            <w:shd w:val="clear" w:color="auto" w:fill="FFFFFF"/>
          </w:tcPr>
          <w:p w14:paraId="27D4E6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832" w:type="dxa"/>
            <w:tcBorders>
              <w:top w:val="single" w:sz="4" w:space="0" w:color="auto"/>
              <w:left w:val="single" w:sz="4" w:space="0" w:color="auto"/>
              <w:right w:val="single" w:sz="4" w:space="0" w:color="auto"/>
            </w:tcBorders>
            <w:shd w:val="clear" w:color="auto" w:fill="FFFFFF"/>
          </w:tcPr>
          <w:p w14:paraId="2D932BE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bl>
    <w:p w14:paraId="2E498FF2" w14:textId="77777777" w:rsidR="008C76E0" w:rsidRPr="003B2786" w:rsidRDefault="008C76E0" w:rsidP="008C76E0">
      <w:pPr>
        <w:rPr>
          <w:rFonts w:ascii="Sylfaen" w:hAnsi="Sylfaen"/>
          <w:sz w:val="24"/>
          <w:szCs w:val="24"/>
        </w:rPr>
      </w:pPr>
    </w:p>
    <w:tbl>
      <w:tblPr>
        <w:tblOverlap w:val="never"/>
        <w:tblW w:w="10401" w:type="dxa"/>
        <w:jc w:val="center"/>
        <w:tblLayout w:type="fixed"/>
        <w:tblCellMar>
          <w:left w:w="10" w:type="dxa"/>
          <w:right w:w="10" w:type="dxa"/>
        </w:tblCellMar>
        <w:tblLook w:val="04A0" w:firstRow="1" w:lastRow="0" w:firstColumn="1" w:lastColumn="0" w:noHBand="0" w:noVBand="1"/>
      </w:tblPr>
      <w:tblGrid>
        <w:gridCol w:w="1993"/>
        <w:gridCol w:w="341"/>
        <w:gridCol w:w="496"/>
        <w:gridCol w:w="300"/>
        <w:gridCol w:w="1462"/>
        <w:gridCol w:w="405"/>
        <w:gridCol w:w="347"/>
        <w:gridCol w:w="903"/>
        <w:gridCol w:w="7"/>
        <w:gridCol w:w="444"/>
        <w:gridCol w:w="1591"/>
        <w:gridCol w:w="393"/>
        <w:gridCol w:w="95"/>
        <w:gridCol w:w="1610"/>
        <w:gridCol w:w="14"/>
      </w:tblGrid>
      <w:tr w:rsidR="008C76E0" w:rsidRPr="003B2786" w14:paraId="1D19AB00"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57240D28"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b w:val="0"/>
                <w:i/>
                <w:sz w:val="24"/>
                <w:szCs w:val="24"/>
                <w:lang w:val="hy-AM"/>
              </w:rPr>
            </w:pPr>
            <w:r w:rsidRPr="003B2786">
              <w:rPr>
                <w:rStyle w:val="Bodytext295pt"/>
                <w:rFonts w:ascii="Sylfaen" w:hAnsi="Sylfaen"/>
                <w:sz w:val="24"/>
                <w:szCs w:val="24"/>
              </w:rPr>
              <w:t>Բ.I.բ)</w:t>
            </w:r>
            <w:r w:rsidRPr="003B2786">
              <w:rPr>
                <w:rStyle w:val="Bodytext295pt"/>
                <w:rFonts w:ascii="Sylfaen" w:hAnsi="Sylfaen"/>
                <w:sz w:val="24"/>
                <w:szCs w:val="24"/>
              </w:rPr>
              <w:tab/>
              <w:t>Ակտիվ դեղագործական նյութի որակի հսկողությունը</w:t>
            </w:r>
          </w:p>
        </w:tc>
      </w:tr>
      <w:tr w:rsidR="008C76E0" w:rsidRPr="003B2786" w14:paraId="74CF6F8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CC1CEF3"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Բ.1.բ.1.</w:t>
            </w:r>
            <w:r w:rsidRPr="003B2786">
              <w:rPr>
                <w:rStyle w:val="Bodytext1811pt"/>
                <w:rFonts w:ascii="Sylfaen" w:hAnsi="Sylfaen"/>
                <w:sz w:val="24"/>
                <w:szCs w:val="24"/>
              </w:rPr>
              <w:tab/>
              <w:t xml:space="preserve">Մասնագրերի այն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նյութի, ելանյութի (միջանկյալ արտադրանքի, ռեակտիվի) ընդունելիության չափորոշիչների փոփոխությունը, որոնք օգտագործվում են ակտիվ դեղագործական նյութի արտադրության գործընթացում</w:t>
            </w:r>
          </w:p>
          <w:p w14:paraId="322D4A12"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E7F6F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49F3CE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93F19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984B9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4F74645"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դեղապատրաստուկների մասնագրերի ընդունելիության չափորոշիչների խստացումը, որոնք պաշտոնական հսկիչ մարմնի կողմից ենթակա են սերիաների թողարկման</w:t>
            </w:r>
          </w:p>
        </w:tc>
        <w:tc>
          <w:tcPr>
            <w:tcW w:w="1662" w:type="dxa"/>
            <w:gridSpan w:val="4"/>
            <w:tcBorders>
              <w:top w:val="single" w:sz="4" w:space="0" w:color="auto"/>
              <w:left w:val="single" w:sz="4" w:space="0" w:color="auto"/>
            </w:tcBorders>
            <w:shd w:val="clear" w:color="auto" w:fill="FFFFFF"/>
          </w:tcPr>
          <w:p w14:paraId="2D4F9B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61FA82A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627416B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EFDA6B6"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5F98A2EA"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ընդունելիության </w:t>
            </w:r>
            <w:r w:rsidRPr="003B2786">
              <w:rPr>
                <w:rStyle w:val="Bodytext1811pt"/>
                <w:rFonts w:ascii="Sylfaen" w:hAnsi="Sylfaen"/>
                <w:sz w:val="24"/>
                <w:szCs w:val="24"/>
              </w:rPr>
              <w:lastRenderedPageBreak/>
              <w:t>չափորոշիչների խստացումը</w:t>
            </w:r>
          </w:p>
        </w:tc>
        <w:tc>
          <w:tcPr>
            <w:tcW w:w="1662" w:type="dxa"/>
            <w:gridSpan w:val="4"/>
            <w:tcBorders>
              <w:top w:val="single" w:sz="4" w:space="0" w:color="auto"/>
              <w:left w:val="single" w:sz="4" w:space="0" w:color="auto"/>
              <w:bottom w:val="single" w:sz="4" w:space="0" w:color="auto"/>
            </w:tcBorders>
            <w:shd w:val="clear" w:color="auto" w:fill="FFFFFF"/>
          </w:tcPr>
          <w:p w14:paraId="7DAEDAA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1, 2, 3, 4</w:t>
            </w:r>
          </w:p>
        </w:tc>
        <w:tc>
          <w:tcPr>
            <w:tcW w:w="2035" w:type="dxa"/>
            <w:gridSpan w:val="2"/>
            <w:tcBorders>
              <w:top w:val="single" w:sz="4" w:space="0" w:color="auto"/>
              <w:left w:val="single" w:sz="4" w:space="0" w:color="auto"/>
              <w:bottom w:val="single" w:sz="4" w:space="0" w:color="auto"/>
            </w:tcBorders>
            <w:shd w:val="clear" w:color="auto" w:fill="FFFFFF"/>
          </w:tcPr>
          <w:p w14:paraId="380704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052AE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IA</w:t>
            </w:r>
          </w:p>
        </w:tc>
      </w:tr>
      <w:tr w:rsidR="008C76E0" w:rsidRPr="003B2786" w14:paraId="4EB3175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3F18D20"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62" w:type="dxa"/>
            <w:gridSpan w:val="4"/>
            <w:tcBorders>
              <w:top w:val="single" w:sz="4" w:space="0" w:color="auto"/>
              <w:left w:val="single" w:sz="4" w:space="0" w:color="auto"/>
            </w:tcBorders>
            <w:shd w:val="clear" w:color="auto" w:fill="FFFFFF"/>
          </w:tcPr>
          <w:p w14:paraId="44BFFA5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1, 2, 5, 6, 7</w:t>
            </w:r>
          </w:p>
        </w:tc>
        <w:tc>
          <w:tcPr>
            <w:tcW w:w="2035" w:type="dxa"/>
            <w:gridSpan w:val="2"/>
            <w:tcBorders>
              <w:top w:val="single" w:sz="4" w:space="0" w:color="auto"/>
              <w:left w:val="single" w:sz="4" w:space="0" w:color="auto"/>
            </w:tcBorders>
            <w:shd w:val="clear" w:color="auto" w:fill="FFFFFF"/>
          </w:tcPr>
          <w:p w14:paraId="13F39CC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1, 2, 3, 4, 7</w:t>
            </w:r>
          </w:p>
        </w:tc>
        <w:tc>
          <w:tcPr>
            <w:tcW w:w="2098" w:type="dxa"/>
            <w:gridSpan w:val="3"/>
            <w:tcBorders>
              <w:top w:val="single" w:sz="4" w:space="0" w:color="auto"/>
              <w:left w:val="single" w:sz="4" w:space="0" w:color="auto"/>
              <w:right w:val="single" w:sz="4" w:space="0" w:color="auto"/>
            </w:tcBorders>
            <w:shd w:val="clear" w:color="auto" w:fill="FFFFFF"/>
          </w:tcPr>
          <w:p w14:paraId="03D2F2A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C7020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93C41E"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աննշան պարամետրի բացառումը (օրինակ՝ հնացած պարամետրի բացառումը)</w:t>
            </w:r>
          </w:p>
        </w:tc>
        <w:tc>
          <w:tcPr>
            <w:tcW w:w="1662" w:type="dxa"/>
            <w:gridSpan w:val="4"/>
            <w:tcBorders>
              <w:top w:val="single" w:sz="4" w:space="0" w:color="auto"/>
              <w:left w:val="single" w:sz="4" w:space="0" w:color="auto"/>
            </w:tcBorders>
            <w:shd w:val="clear" w:color="auto" w:fill="FFFFFF"/>
          </w:tcPr>
          <w:p w14:paraId="0AD7865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1, 2, 8</w:t>
            </w:r>
          </w:p>
        </w:tc>
        <w:tc>
          <w:tcPr>
            <w:tcW w:w="2035" w:type="dxa"/>
            <w:gridSpan w:val="2"/>
            <w:tcBorders>
              <w:top w:val="single" w:sz="4" w:space="0" w:color="auto"/>
              <w:left w:val="single" w:sz="4" w:space="0" w:color="auto"/>
            </w:tcBorders>
            <w:shd w:val="clear" w:color="auto" w:fill="FFFFFF"/>
          </w:tcPr>
          <w:p w14:paraId="094AAB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1, 2, 6</w:t>
            </w:r>
          </w:p>
        </w:tc>
        <w:tc>
          <w:tcPr>
            <w:tcW w:w="2098" w:type="dxa"/>
            <w:gridSpan w:val="3"/>
            <w:tcBorders>
              <w:top w:val="single" w:sz="4" w:space="0" w:color="auto"/>
              <w:left w:val="single" w:sz="4" w:space="0" w:color="auto"/>
              <w:right w:val="single" w:sz="4" w:space="0" w:color="auto"/>
            </w:tcBorders>
            <w:shd w:val="clear" w:color="auto" w:fill="FFFFFF"/>
          </w:tcPr>
          <w:p w14:paraId="109B6D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836727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A6BDA3"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մասնագրերի այնպիսի պարամետրի բացառում, որը կարող է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4DC5D4E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986899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958A1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AD549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D260B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մասնագրերի` ընդունելիության հաստատված չափորոշիչների շրջանակից դուրս փոփոխությունը</w:t>
            </w:r>
          </w:p>
        </w:tc>
        <w:tc>
          <w:tcPr>
            <w:tcW w:w="1662" w:type="dxa"/>
            <w:gridSpan w:val="4"/>
            <w:tcBorders>
              <w:top w:val="single" w:sz="4" w:space="0" w:color="auto"/>
              <w:left w:val="single" w:sz="4" w:space="0" w:color="auto"/>
            </w:tcBorders>
            <w:shd w:val="clear" w:color="auto" w:fill="FFFFFF"/>
          </w:tcPr>
          <w:p w14:paraId="10D49D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47ADF5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7AF4A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54DB05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3643D4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ելանյութերի (միջանկյալ արտադրանքի) մասնագրերի` ընդունելիության հաստատված չափորոշիչների ընդլայնումը, որոնք կարող են էականորեն ազդել ակտիվ դեղագործական բաղադրամասի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դեղապատրաստուկի ընդհանուր որակի վրա</w:t>
            </w:r>
          </w:p>
        </w:tc>
        <w:tc>
          <w:tcPr>
            <w:tcW w:w="1662" w:type="dxa"/>
            <w:gridSpan w:val="4"/>
            <w:tcBorders>
              <w:top w:val="single" w:sz="4" w:space="0" w:color="auto"/>
              <w:left w:val="single" w:sz="4" w:space="0" w:color="auto"/>
            </w:tcBorders>
            <w:shd w:val="clear" w:color="auto" w:fill="FFFFFF"/>
          </w:tcPr>
          <w:p w14:paraId="37908E8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3FB8F6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5CC2F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C8EB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0724DFF" w14:textId="77777777" w:rsidR="008C76E0" w:rsidRPr="00E15E7D" w:rsidRDefault="008C76E0" w:rsidP="008C76E0">
            <w:pPr>
              <w:pStyle w:val="Bodytext180"/>
              <w:shd w:val="clear" w:color="auto" w:fill="auto"/>
              <w:tabs>
                <w:tab w:val="left" w:pos="56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 կամ փոխարինումը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բաղադրամասը)՝ ելնելով անվտանգության կամ որակի նկատառումներից</w:t>
            </w:r>
          </w:p>
          <w:p w14:paraId="7C271490" w14:textId="77777777" w:rsidR="002F06F8" w:rsidRPr="00E15E7D" w:rsidRDefault="002F06F8"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tcBorders>
            <w:shd w:val="clear" w:color="auto" w:fill="FFFFFF"/>
          </w:tcPr>
          <w:p w14:paraId="024CCBD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35" w:type="dxa"/>
            <w:gridSpan w:val="2"/>
            <w:tcBorders>
              <w:top w:val="single" w:sz="4" w:space="0" w:color="auto"/>
              <w:left w:val="single" w:sz="4" w:space="0" w:color="auto"/>
            </w:tcBorders>
            <w:shd w:val="clear" w:color="auto" w:fill="FFFFFF"/>
          </w:tcPr>
          <w:p w14:paraId="573547A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3209D8B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C6031B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88B19CE" w14:textId="77777777" w:rsidR="008C76E0" w:rsidRPr="008C76E0" w:rsidRDefault="008C76E0" w:rsidP="008C76E0">
            <w:pPr>
              <w:pStyle w:val="Bodytext180"/>
              <w:shd w:val="clear" w:color="auto" w:fill="auto"/>
              <w:tabs>
                <w:tab w:val="left" w:pos="56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եթե ակտիվ դեղագործական բաղադրամասի վերաբերյալ բացակայում է Միության դեղագրքի կամ անդամ պետության դեղագրքի հոդվածը, ապա մասնագրի սեփական տվյալների փոխարինումը՝ ոչ պաշտոնական դեղագրքի կամ երրորդ երկրի դեղագրքի </w:t>
            </w:r>
            <w:r w:rsidRPr="003B2786">
              <w:rPr>
                <w:rStyle w:val="Bodytext1811pt"/>
                <w:rFonts w:ascii="Sylfaen" w:hAnsi="Sylfaen"/>
                <w:sz w:val="24"/>
                <w:szCs w:val="24"/>
              </w:rPr>
              <w:lastRenderedPageBreak/>
              <w:t>տվյալներով</w:t>
            </w:r>
          </w:p>
        </w:tc>
        <w:tc>
          <w:tcPr>
            <w:tcW w:w="1662" w:type="dxa"/>
            <w:gridSpan w:val="4"/>
            <w:tcBorders>
              <w:top w:val="single" w:sz="4" w:space="0" w:color="auto"/>
              <w:left w:val="single" w:sz="4" w:space="0" w:color="auto"/>
            </w:tcBorders>
            <w:shd w:val="clear" w:color="auto" w:fill="FFFFFF"/>
          </w:tcPr>
          <w:p w14:paraId="1B69D7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35" w:type="dxa"/>
            <w:gridSpan w:val="2"/>
            <w:tcBorders>
              <w:top w:val="single" w:sz="4" w:space="0" w:color="auto"/>
              <w:left w:val="single" w:sz="4" w:space="0" w:color="auto"/>
            </w:tcBorders>
            <w:shd w:val="clear" w:color="auto" w:fill="FFFFFF"/>
          </w:tcPr>
          <w:p w14:paraId="4671471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1, 2, 3, 4, 5, 7</w:t>
            </w:r>
          </w:p>
        </w:tc>
        <w:tc>
          <w:tcPr>
            <w:tcW w:w="2098" w:type="dxa"/>
            <w:gridSpan w:val="3"/>
            <w:tcBorders>
              <w:top w:val="single" w:sz="4" w:space="0" w:color="auto"/>
              <w:left w:val="single" w:sz="4" w:space="0" w:color="auto"/>
              <w:right w:val="single" w:sz="4" w:space="0" w:color="auto"/>
            </w:tcBorders>
            <w:shd w:val="clear" w:color="auto" w:fill="FFFFFF"/>
          </w:tcPr>
          <w:p w14:paraId="02C14AD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F461B1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160ABC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4ABB24A"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ցանկացած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որն ընդունվել է նախկինում անցկացված փորձաքննության արդյունքներով՝ մասնագրի ընդունելիության չափորոշիչների վերանայման նպատակով (օրինակ՝ դեղապատրաստուկի գրանցման կամ II տիպի փոփոխություն կատարելիս):</w:t>
            </w:r>
          </w:p>
          <w:p w14:paraId="19E37A0E"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Փոփոխությունն անհետաձգելի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որոնք ծագել են, օրինակ՝ նոր չորակված խառնուրդի արտադրության, խառնուրդների հանրագումարի պարունակության սահմանների փոփոխության ընթացքում:</w:t>
            </w:r>
          </w:p>
          <w:p w14:paraId="46CE3544" w14:textId="77777777" w:rsidR="008C76E0" w:rsidRPr="008C76E0" w:rsidRDefault="008C76E0" w:rsidP="008C76E0">
            <w:pPr>
              <w:pStyle w:val="Bodytext180"/>
              <w:shd w:val="clear" w:color="auto" w:fill="auto"/>
              <w:tabs>
                <w:tab w:val="left" w:pos="62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չպետք է տեղավորվի ընդունելիության ընթացիկ հաստատված չափորոշիչների տիրույթում:</w:t>
            </w:r>
          </w:p>
          <w:p w14:paraId="6FDE44CC"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մեթոդը չի փոփոխվում կամ փոփոխվում է աննշան:</w:t>
            </w:r>
          </w:p>
          <w:p w14:paraId="3D0230CF"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p w14:paraId="181741DB" w14:textId="77777777" w:rsidR="008C76E0" w:rsidRPr="008C76E0" w:rsidRDefault="008C76E0" w:rsidP="008C76E0">
            <w:pPr>
              <w:pStyle w:val="Bodytext180"/>
              <w:shd w:val="clear" w:color="auto" w:fill="auto"/>
              <w:tabs>
                <w:tab w:val="left" w:pos="62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որում կենսաբանական ակտիվ դեղագործական բաղադրամասի համար կենսաբանական ռեակտիվ է օգտագործվում (բացառությամբ ստանդարտ դեղագրքային միկրոկենսաբանական մեթոդների):</w:t>
            </w:r>
          </w:p>
        </w:tc>
      </w:tr>
      <w:tr w:rsidR="008C76E0" w:rsidRPr="003B2786" w14:paraId="73D4CAE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F8930F8"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Ցանկացած նյութի փոփոխություն չի առնչվում գենոտոքսիկ խառնուրդին: Եթե ներգրավված է ակտիվ դեղագործական բաղադրամաս, բացառությամբ մնացորդային լուծիչների, որոնք պետք է համապատասխանեն Միության դեղագրքի համապատասխան հոդվածի շրջանակին, ապա ցանկացած նոր խառնուրդի հսկողություն պետք է համապատասխանի Միության դեղագրքին կամ անդամ պետության դեղագրքին:</w:t>
            </w:r>
          </w:p>
          <w:p w14:paraId="5D28731B" w14:textId="77777777" w:rsidR="008C76E0" w:rsidRPr="008C76E0" w:rsidRDefault="008C76E0" w:rsidP="002F06F8">
            <w:pPr>
              <w:pStyle w:val="Bodytext180"/>
              <w:shd w:val="clear" w:color="auto" w:fill="auto"/>
              <w:tabs>
                <w:tab w:val="left" w:pos="620"/>
              </w:tabs>
              <w:spacing w:before="0" w:after="120" w:line="288" w:lineRule="auto"/>
              <w:ind w:left="40" w:right="45"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առնչվում կրիտիկական պարամետրին, օրինակ՝ հետ</w:t>
            </w:r>
            <w:r w:rsidR="00C54D75">
              <w:rPr>
                <w:rStyle w:val="Bodytext1811pt"/>
                <w:rFonts w:ascii="Sylfaen" w:hAnsi="Sylfaen"/>
                <w:sz w:val="24"/>
                <w:szCs w:val="24"/>
              </w:rPr>
              <w:t>և</w:t>
            </w:r>
            <w:r w:rsidRPr="003B2786">
              <w:rPr>
                <w:rStyle w:val="Bodytext1811pt"/>
                <w:rFonts w:ascii="Sylfaen" w:hAnsi="Sylfaen"/>
                <w:sz w:val="24"/>
                <w:szCs w:val="24"/>
              </w:rPr>
              <w:t>յալից որ</w:t>
            </w:r>
            <w:r w:rsidR="00C54D75">
              <w:rPr>
                <w:rStyle w:val="Bodytext1811pt"/>
                <w:rFonts w:ascii="Sylfaen" w:hAnsi="Sylfaen"/>
                <w:sz w:val="24"/>
                <w:szCs w:val="24"/>
              </w:rPr>
              <w:t>և</w:t>
            </w:r>
            <w:r w:rsidRPr="003B2786">
              <w:rPr>
                <w:rStyle w:val="Bodytext1811pt"/>
                <w:rFonts w:ascii="Sylfaen" w:hAnsi="Sylfaen"/>
                <w:sz w:val="24"/>
                <w:szCs w:val="24"/>
              </w:rPr>
              <w:t xml:space="preserve">է մեկին՝ քանակական սահմանմանը, խառնուրդներին (եթե միայն որոշակի լուծիչ միանշանակորեն չի օգտագործվում ակտիվ դեղագործական բաղադրամասի արտադրության մեջ), ցանկացած կրիտիկական ֆիզիկական բնութագիր, օրինակ՝ մասնիկների չափը,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խտությունը, իսկության փորձարկումը, ջուրը, փորձարկման թույլտվության ցանկացած հարցումը:</w:t>
            </w:r>
          </w:p>
        </w:tc>
      </w:tr>
      <w:tr w:rsidR="008C76E0" w:rsidRPr="003B2786" w14:paraId="0E193BA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57979BB"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03FC530"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097C9C81"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0C8CC115"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0ED7E94C"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ակտիվ դեղագործական բաղադրամասի երկու արտադրական սերիաների վերլուծության տվյալները՝ մասնագրի բոլոր պարամետրերով (կենսաբանորեն ակտիվ դեղագործական բաղադրամասերի համար հետադարձ հիմնավորման բացակայության դեպքում՝ 3 սերիա):</w:t>
            </w:r>
          </w:p>
          <w:p w14:paraId="0C1DB199"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այն դեղապատրաստուկի լուծելիության համեմատական կինետիկայի թեստի արդյունքները, որն առնվազն փորձարարաարդյունաբերական սերիայից պարունակում է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համապատասխանող ակտիվ դեղագործական բաղադրամաս։ Բուսական դեղապատրաստուկների առնչությամբ կարող են բավարար համարվել համեմատական տրոհելիության տվյալները:</w:t>
            </w:r>
          </w:p>
          <w:p w14:paraId="6A32FBC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համապատասխանաբար, որով հաստատվում է, որ ներարտադրական պարամետրը ոչ նշանակալի կամ հնացած է:</w:t>
            </w:r>
          </w:p>
          <w:p w14:paraId="40F18F74" w14:textId="77777777" w:rsidR="008C76E0" w:rsidRPr="008C76E0" w:rsidRDefault="008C76E0" w:rsidP="008C76E0">
            <w:pPr>
              <w:pStyle w:val="Bodytext180"/>
              <w:shd w:val="clear" w:color="auto" w:fill="auto"/>
              <w:tabs>
                <w:tab w:val="left" w:pos="62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նոր չափորոշիչների հիմնավորումը ԳՀ-ի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ԱԴՆՄՖ-ի իրավատիրոջ կողմից՝ համապատասխանաբար։</w:t>
            </w:r>
          </w:p>
        </w:tc>
      </w:tr>
      <w:tr w:rsidR="008C76E0" w:rsidRPr="003B2786" w14:paraId="3AD5C67F"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11EEFF" w14:textId="77777777" w:rsidR="008C76E0" w:rsidRPr="008C76E0" w:rsidRDefault="008C76E0" w:rsidP="008C76E0">
            <w:pPr>
              <w:pStyle w:val="Bodytext180"/>
              <w:shd w:val="clear" w:color="auto" w:fill="auto"/>
              <w:tabs>
                <w:tab w:val="left" w:pos="115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lastRenderedPageBreak/>
              <w:t>Բ.I.բ.2.</w:t>
            </w:r>
            <w:r w:rsidRPr="003B2786">
              <w:rPr>
                <w:rStyle w:val="Bodytext1811pt"/>
                <w:rFonts w:ascii="Sylfaen" w:hAnsi="Sylfaen"/>
                <w:sz w:val="24"/>
                <w:szCs w:val="24"/>
              </w:rPr>
              <w:tab/>
              <w:t>Ակտիվ դեղագործական բաղադրամասի արտադրության գործընթացում օգտագործվող ակտիվ դեղագործական բաղադրամասի կամ ելանյութի (միջանկյալ արտադրանքի, ռեակտիվի) վերլուծական մեթոդիկայի փոփոխությունը</w:t>
            </w:r>
          </w:p>
        </w:tc>
        <w:tc>
          <w:tcPr>
            <w:tcW w:w="1662" w:type="dxa"/>
            <w:gridSpan w:val="4"/>
            <w:tcBorders>
              <w:top w:val="single" w:sz="4" w:space="0" w:color="auto"/>
              <w:left w:val="single" w:sz="4" w:space="0" w:color="auto"/>
            </w:tcBorders>
            <w:shd w:val="clear" w:color="auto" w:fill="FFFFFF"/>
          </w:tcPr>
          <w:p w14:paraId="400AA67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35" w:type="dxa"/>
            <w:gridSpan w:val="2"/>
            <w:tcBorders>
              <w:top w:val="single" w:sz="4" w:space="0" w:color="auto"/>
              <w:left w:val="single" w:sz="4" w:space="0" w:color="auto"/>
            </w:tcBorders>
            <w:shd w:val="clear" w:color="auto" w:fill="FFFFFF"/>
          </w:tcPr>
          <w:p w14:paraId="73A130E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09DE93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69728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362CC902"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փոփոխությունը</w:t>
            </w:r>
          </w:p>
        </w:tc>
        <w:tc>
          <w:tcPr>
            <w:tcW w:w="1662" w:type="dxa"/>
            <w:gridSpan w:val="4"/>
            <w:tcBorders>
              <w:top w:val="single" w:sz="4" w:space="0" w:color="auto"/>
              <w:left w:val="single" w:sz="4" w:space="0" w:color="auto"/>
            </w:tcBorders>
            <w:shd w:val="clear" w:color="auto" w:fill="FFFFFF"/>
          </w:tcPr>
          <w:p w14:paraId="6F28278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35" w:type="dxa"/>
            <w:gridSpan w:val="2"/>
            <w:tcBorders>
              <w:top w:val="single" w:sz="4" w:space="0" w:color="auto"/>
              <w:left w:val="single" w:sz="4" w:space="0" w:color="auto"/>
            </w:tcBorders>
            <w:shd w:val="clear" w:color="auto" w:fill="FFFFFF"/>
          </w:tcPr>
          <w:p w14:paraId="7280F25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7DD78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DB65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65CA905"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ակտիվ դեղագործական բաղադրամասի կամ ելանյութի (միջանկյալ արտադրանքի, ռեակտիվի) վերլուծական մեթոդիկայի բացառումը, եթե արդեն հաստատված է դրա այլընտրանքային վերլուծական մեթոդիկան</w:t>
            </w:r>
          </w:p>
        </w:tc>
        <w:tc>
          <w:tcPr>
            <w:tcW w:w="1662" w:type="dxa"/>
            <w:gridSpan w:val="4"/>
            <w:tcBorders>
              <w:top w:val="single" w:sz="4" w:space="0" w:color="auto"/>
              <w:left w:val="single" w:sz="4" w:space="0" w:color="auto"/>
            </w:tcBorders>
            <w:shd w:val="clear" w:color="auto" w:fill="FFFFFF"/>
          </w:tcPr>
          <w:p w14:paraId="5BCD132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7</w:t>
            </w:r>
          </w:p>
        </w:tc>
        <w:tc>
          <w:tcPr>
            <w:tcW w:w="2035" w:type="dxa"/>
            <w:gridSpan w:val="2"/>
            <w:tcBorders>
              <w:top w:val="single" w:sz="4" w:space="0" w:color="auto"/>
              <w:left w:val="single" w:sz="4" w:space="0" w:color="auto"/>
            </w:tcBorders>
            <w:shd w:val="clear" w:color="auto" w:fill="FFFFFF"/>
          </w:tcPr>
          <w:p w14:paraId="6565E15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1082BCB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DC45B03"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1198A12A" w14:textId="77777777" w:rsidR="008C76E0" w:rsidRPr="00E15E7D" w:rsidRDefault="008C76E0" w:rsidP="008C76E0">
            <w:pPr>
              <w:pStyle w:val="Bodytext180"/>
              <w:shd w:val="clear" w:color="auto" w:fill="auto"/>
              <w:tabs>
                <w:tab w:val="left" w:pos="620"/>
              </w:tabs>
              <w:spacing w:before="0" w:after="120" w:line="240" w:lineRule="auto"/>
              <w:ind w:left="39" w:right="5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ռեակտիվի վերլուծական մեթոդիկայի այլ փոփոխություններ (ներառյալ՝ փոխարինումը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ավելացումը), որոնք նշանակալի ազդեցություն չեն գործում դեղագործական բաղադրամասի ընդհանուր որակի վրա</w:t>
            </w:r>
          </w:p>
          <w:p w14:paraId="276B8A46" w14:textId="77777777" w:rsidR="002F06F8" w:rsidRPr="00E15E7D" w:rsidRDefault="002F06F8"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p>
        </w:tc>
        <w:tc>
          <w:tcPr>
            <w:tcW w:w="1662" w:type="dxa"/>
            <w:gridSpan w:val="4"/>
            <w:tcBorders>
              <w:top w:val="single" w:sz="4" w:space="0" w:color="auto"/>
              <w:left w:val="single" w:sz="4" w:space="0" w:color="auto"/>
              <w:bottom w:val="single" w:sz="4" w:space="0" w:color="auto"/>
            </w:tcBorders>
            <w:shd w:val="clear" w:color="auto" w:fill="FFFFFF"/>
          </w:tcPr>
          <w:p w14:paraId="63A46A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1, 2, 3, 5, 6</w:t>
            </w:r>
          </w:p>
        </w:tc>
        <w:tc>
          <w:tcPr>
            <w:tcW w:w="2035" w:type="dxa"/>
            <w:gridSpan w:val="2"/>
            <w:tcBorders>
              <w:top w:val="single" w:sz="4" w:space="0" w:color="auto"/>
              <w:left w:val="single" w:sz="4" w:space="0" w:color="auto"/>
              <w:bottom w:val="single" w:sz="4" w:space="0" w:color="auto"/>
            </w:tcBorders>
            <w:shd w:val="clear" w:color="auto" w:fill="FFFFFF"/>
          </w:tcPr>
          <w:p w14:paraId="35A5369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E2B4A0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B0A1B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0E48C2E" w14:textId="77777777" w:rsidR="008C76E0" w:rsidRPr="008C76E0" w:rsidRDefault="008C76E0" w:rsidP="008C76E0">
            <w:pPr>
              <w:pStyle w:val="Bodytext180"/>
              <w:shd w:val="clear" w:color="auto" w:fill="auto"/>
              <w:tabs>
                <w:tab w:val="left" w:pos="62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 xml:space="preserve">փորձարկման կենսաբանական (իմունաբանական, իմունաքիմիական) մեթոդի կամ այն մեթոդի էական փոփոխությունը կամ փոխարինումը, որի դեպքում կենսաբանորեն ակտիվ դեղագործական նյութի համար կենսաբանական ռեակտիվ է </w:t>
            </w:r>
            <w:r w:rsidRPr="003B2786">
              <w:rPr>
                <w:rStyle w:val="Bodytext1811pt"/>
                <w:rFonts w:ascii="Sylfaen" w:hAnsi="Sylfaen"/>
                <w:sz w:val="24"/>
                <w:szCs w:val="24"/>
              </w:rPr>
              <w:lastRenderedPageBreak/>
              <w:t>օգտագործվում</w:t>
            </w:r>
          </w:p>
        </w:tc>
        <w:tc>
          <w:tcPr>
            <w:tcW w:w="1655" w:type="dxa"/>
            <w:gridSpan w:val="3"/>
            <w:tcBorders>
              <w:top w:val="single" w:sz="4" w:space="0" w:color="auto"/>
              <w:left w:val="single" w:sz="4" w:space="0" w:color="auto"/>
            </w:tcBorders>
            <w:shd w:val="clear" w:color="auto" w:fill="FFFFFF"/>
          </w:tcPr>
          <w:p w14:paraId="0AE2B7E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36B6B24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19E203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497CC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9394FA9" w14:textId="77777777" w:rsidR="008C76E0" w:rsidRPr="008C76E0" w:rsidRDefault="008C76E0" w:rsidP="008C76E0">
            <w:pPr>
              <w:pStyle w:val="Bodytext180"/>
              <w:shd w:val="clear" w:color="auto" w:fill="auto"/>
              <w:tabs>
                <w:tab w:val="left" w:pos="620"/>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ակտիվ դեղագործական բաղադրամասի կամ ելանյութի (միջանկյալ արտադրանքի) վերլուծական մեթոդիկայի այլ փոփոխություններ (ներառյալ՝ ավելացումը </w:t>
            </w:r>
            <w:r w:rsidR="00C54D75">
              <w:rPr>
                <w:rStyle w:val="Bodytext1811pt"/>
                <w:rFonts w:ascii="Sylfaen" w:hAnsi="Sylfaen"/>
                <w:sz w:val="24"/>
                <w:szCs w:val="24"/>
              </w:rPr>
              <w:t>և</w:t>
            </w:r>
            <w:r w:rsidRPr="003B2786">
              <w:rPr>
                <w:rStyle w:val="Bodytext1811pt"/>
                <w:rFonts w:ascii="Sylfaen" w:hAnsi="Sylfaen"/>
                <w:sz w:val="24"/>
                <w:szCs w:val="24"/>
              </w:rPr>
              <w:t xml:space="preserve"> փոխարինումը)</w:t>
            </w:r>
          </w:p>
        </w:tc>
        <w:tc>
          <w:tcPr>
            <w:tcW w:w="1655" w:type="dxa"/>
            <w:gridSpan w:val="3"/>
            <w:tcBorders>
              <w:top w:val="single" w:sz="4" w:space="0" w:color="auto"/>
              <w:left w:val="single" w:sz="4" w:space="0" w:color="auto"/>
            </w:tcBorders>
            <w:shd w:val="clear" w:color="auto" w:fill="FFFFFF"/>
          </w:tcPr>
          <w:p w14:paraId="16B1E03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0F42F7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72CDE7FB"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4C9667A3"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4483A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57C9C8E" w14:textId="77777777"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Միության համապատասխան ձեռնարկների համաձայն՝ անհրաժեշտ վալիդացում է անցկացվել, որով հաստատվում է, որ թարմացված վերլուծական մեթոդիկան առնվազն համարժեք է նախորդին:</w:t>
            </w:r>
          </w:p>
          <w:p w14:paraId="388EAE41" w14:textId="6124D971" w:rsidR="008C76E0" w:rsidRPr="008C76E0" w:rsidRDefault="008C76E0" w:rsidP="008C76E0">
            <w:pPr>
              <w:pStyle w:val="Bodytext180"/>
              <w:shd w:val="clear" w:color="auto" w:fill="auto"/>
              <w:tabs>
                <w:tab w:val="left" w:pos="587"/>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Խառնուրդների հանրագումարի պարունակության սահմանները չեն փոփոխվել, չորակված նոր խառնուրդներ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54BFD611"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5E843DF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մեթոդը կենսաբանական (իմունաբանական, իմունաքիմիական) կամ այնպիսի մեթոդ չէ, որի դեպքում կենսաբանորեն ակտիվ դեղագործական բաղադրամասի համար կենսաբանական ռեակտիվ է օգտագործվում (բացառությամբ ստանդարտ դեղագրքային միկրոկենսաբանական մեթոդների):</w:t>
            </w:r>
          </w:p>
          <w:p w14:paraId="12491262"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852E630"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կենսաբանական (իմունաբանական) չէ:</w:t>
            </w:r>
          </w:p>
          <w:p w14:paraId="3F5575D6" w14:textId="77777777" w:rsidR="008C76E0" w:rsidRPr="008C76E0" w:rsidRDefault="008C76E0" w:rsidP="008C76E0">
            <w:pPr>
              <w:pStyle w:val="Bodytext180"/>
              <w:shd w:val="clear" w:color="auto" w:fill="auto"/>
              <w:tabs>
                <w:tab w:val="left" w:pos="587"/>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C7B60FD"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112AA56"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41D8215"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 խառնուրդի վերանայված մասնագրերը (եթե կիրառելի է):</w:t>
            </w:r>
          </w:p>
          <w:p w14:paraId="7B141520"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48CF0879"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3444A732" w14:textId="77777777" w:rsidR="008C76E0" w:rsidRPr="008C76E0" w:rsidRDefault="008C76E0" w:rsidP="008C76E0">
            <w:pPr>
              <w:pStyle w:val="Bodytext180"/>
              <w:shd w:val="clear" w:color="auto" w:fill="auto"/>
              <w:tabs>
                <w:tab w:val="left" w:pos="587"/>
              </w:tabs>
              <w:spacing w:before="0" w:after="120" w:line="240" w:lineRule="auto"/>
              <w:ind w:left="39" w:right="44" w:firstLine="0"/>
              <w:jc w:val="both"/>
              <w:rPr>
                <w:rFonts w:ascii="Sylfaen" w:hAnsi="Sylfaen"/>
                <w:i/>
                <w:sz w:val="24"/>
                <w:szCs w:val="24"/>
                <w:lang w:val="hy-AM"/>
              </w:rPr>
            </w:pPr>
            <w:r w:rsidRPr="003B2786">
              <w:rPr>
                <w:rStyle w:val="Bodytext295pt"/>
                <w:rFonts w:ascii="Sylfaen" w:hAnsi="Sylfaen"/>
                <w:sz w:val="24"/>
                <w:szCs w:val="24"/>
              </w:rPr>
              <w:t>Բ.I.գ)</w:t>
            </w:r>
            <w:r w:rsidRPr="003B2786">
              <w:rPr>
                <w:rStyle w:val="Bodytext295pt"/>
                <w:rFonts w:ascii="Sylfaen" w:hAnsi="Sylfaen"/>
                <w:sz w:val="24"/>
                <w:szCs w:val="24"/>
              </w:rPr>
              <w:tab/>
              <w:t>Փաթեթավորման-խցանափակման համակարգը</w:t>
            </w:r>
          </w:p>
        </w:tc>
      </w:tr>
      <w:tr w:rsidR="008C76E0" w:rsidRPr="003B2786" w14:paraId="3C0D8D1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984E598"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Բ.I.գ.1.</w:t>
            </w:r>
            <w:r w:rsidRPr="003B2786">
              <w:rPr>
                <w:rStyle w:val="Bodytext1811pt"/>
                <w:rFonts w:ascii="Sylfaen" w:hAnsi="Sylfaen"/>
                <w:sz w:val="24"/>
                <w:szCs w:val="24"/>
              </w:rPr>
              <w:tab/>
              <w:t>Ակտիվ դեղագործական բաղադրամասի առաջնային փաթեթվածքի փոփոխությունը</w:t>
            </w:r>
          </w:p>
        </w:tc>
        <w:tc>
          <w:tcPr>
            <w:tcW w:w="1655" w:type="dxa"/>
            <w:gridSpan w:val="3"/>
            <w:tcBorders>
              <w:top w:val="single" w:sz="4" w:space="0" w:color="auto"/>
              <w:left w:val="single" w:sz="4" w:space="0" w:color="auto"/>
            </w:tcBorders>
            <w:shd w:val="clear" w:color="auto" w:fill="FFFFFF"/>
          </w:tcPr>
          <w:p w14:paraId="0A68D7A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7326F16B"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38089374"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4E8449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EEAEE9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քանակական բաղադրությունը</w:t>
            </w:r>
          </w:p>
        </w:tc>
        <w:tc>
          <w:tcPr>
            <w:tcW w:w="1655" w:type="dxa"/>
            <w:gridSpan w:val="3"/>
            <w:tcBorders>
              <w:top w:val="single" w:sz="4" w:space="0" w:color="auto"/>
              <w:left w:val="single" w:sz="4" w:space="0" w:color="auto"/>
            </w:tcBorders>
            <w:shd w:val="clear" w:color="auto" w:fill="FFFFFF"/>
          </w:tcPr>
          <w:p w14:paraId="45D10A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7F9B075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797692B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9A3371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9C05EE"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բ)</w:t>
            </w:r>
            <w:r w:rsidRPr="003B2786">
              <w:rPr>
                <w:rStyle w:val="Bodytext1811pt"/>
                <w:rFonts w:ascii="Sylfaen" w:hAnsi="Sylfaen"/>
                <w:sz w:val="24"/>
                <w:szCs w:val="24"/>
              </w:rPr>
              <w:tab/>
            </w:r>
            <w:r w:rsidRPr="008D0608">
              <w:rPr>
                <w:rStyle w:val="Bodytext1811pt"/>
                <w:rFonts w:ascii="Sylfaen" w:hAnsi="Sylfaen"/>
                <w:spacing w:val="-6"/>
                <w:sz w:val="24"/>
                <w:szCs w:val="24"/>
              </w:rPr>
              <w:t xml:space="preserve">Որակական </w:t>
            </w:r>
            <w:r w:rsidR="00C54D75">
              <w:rPr>
                <w:rStyle w:val="Bodytext1811pt"/>
                <w:rFonts w:ascii="Sylfaen" w:hAnsi="Sylfaen"/>
                <w:spacing w:val="-6"/>
                <w:sz w:val="24"/>
                <w:szCs w:val="24"/>
              </w:rPr>
              <w:t>և</w:t>
            </w:r>
            <w:r w:rsidRPr="008D0608">
              <w:rPr>
                <w:rStyle w:val="Bodytext1811pt"/>
                <w:rFonts w:ascii="Sylfaen" w:hAnsi="Sylfaen"/>
                <w:spacing w:val="-6"/>
                <w:sz w:val="24"/>
                <w:szCs w:val="24"/>
              </w:rPr>
              <w:t xml:space="preserve"> (կամ) քանակական բաղադրությունը՝ մանրէազերծ կամ չսառեցված կենսաբանական (իմունաբանական) ակտիվ դեղագործական բաղադրամասերի համար</w:t>
            </w:r>
          </w:p>
        </w:tc>
        <w:tc>
          <w:tcPr>
            <w:tcW w:w="1655" w:type="dxa"/>
            <w:gridSpan w:val="3"/>
            <w:tcBorders>
              <w:top w:val="single" w:sz="4" w:space="0" w:color="auto"/>
              <w:left w:val="single" w:sz="4" w:space="0" w:color="auto"/>
            </w:tcBorders>
            <w:shd w:val="clear" w:color="auto" w:fill="FFFFFF"/>
          </w:tcPr>
          <w:p w14:paraId="159C7A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1B9C4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51468683"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B4DA8E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845B19" w14:textId="77777777" w:rsidR="008C76E0" w:rsidRPr="008C76E0" w:rsidRDefault="008C76E0" w:rsidP="008C76E0">
            <w:pPr>
              <w:pStyle w:val="Bodytext180"/>
              <w:shd w:val="clear" w:color="auto" w:fill="auto"/>
              <w:tabs>
                <w:tab w:val="left" w:pos="587"/>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Հեղուկ ակտիվ դեղագործական բաղադրամասերը (ոչ մանրէազերծ)</w:t>
            </w:r>
          </w:p>
        </w:tc>
        <w:tc>
          <w:tcPr>
            <w:tcW w:w="1655" w:type="dxa"/>
            <w:gridSpan w:val="3"/>
            <w:tcBorders>
              <w:top w:val="single" w:sz="4" w:space="0" w:color="auto"/>
              <w:left w:val="single" w:sz="4" w:space="0" w:color="auto"/>
              <w:bottom w:val="single" w:sz="4" w:space="0" w:color="auto"/>
            </w:tcBorders>
            <w:shd w:val="clear" w:color="auto" w:fill="FFFFFF"/>
          </w:tcPr>
          <w:p w14:paraId="61A79257"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74A5FFA6"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F4D80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116386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D54EFF8"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E86DF52"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հատկություններով առաջարկվող փաթեթավորման նյութը պետք է առնվազն համարժեք լինի հաստատվածին:</w:t>
            </w:r>
          </w:p>
          <w:p w14:paraId="47325216" w14:textId="62E59C0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Սկսվել են կայունության համապատասխան հետազոտությունները՝ Միության փաստաթղթերին համապատասխան,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ի կողմից փոփոխությունների ներմուծման պահին վերլուծվել են առնվազն 2 փորձարարաարդյունաբերական կամ արդյունաբերական սերիաների համապատասխան կայունության պարամետրերը, նրա տրամադրության տակ կան կայունության ուսումնասիրության առնվազն եռամսյա բավարար արդյունքներ: Սակայն, եթե առաջարկվող փաթեթվածքը գրանցվածի համեմատ առավել կայուն է, ապա կայունության գծով եռամսյա տվյալներ չեն պահանջվում: Նման հետազոտությունների ավարտին, եթե արդյունքները չեն տեղավորվում մասնագրերում կամ պոտենցիալ կերպով չեն կարող տեղավորվել մասնագրերում պիտանիության ժամկետի (կրկնակի փորձարկման ժամկետի) ավարտին, ապա դրանք գործողությունների առաջարկվող պլանի հետ միասին պետք է անհապաղ ներկայացվեն լիազորված մարմին:</w:t>
            </w:r>
          </w:p>
          <w:p w14:paraId="7083F53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Բացառելով մանրէազերծ, հեղուկ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ակտիվ դեղագործական բաղադրամասերը:</w:t>
            </w:r>
          </w:p>
        </w:tc>
      </w:tr>
      <w:tr w:rsidR="008C76E0" w:rsidRPr="003B2786" w14:paraId="3BC8C3C2"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34E464"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2AA11A"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287334F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մասին անհրաժեշտ տեղեկությունները (օրինակ՝ О</w:t>
            </w:r>
            <w:r w:rsidRPr="003B2786">
              <w:rPr>
                <w:rStyle w:val="Bodytext1811pt"/>
                <w:rFonts w:ascii="Sylfaen" w:hAnsi="Sylfaen"/>
                <w:sz w:val="24"/>
                <w:szCs w:val="24"/>
                <w:vertAlign w:val="subscript"/>
              </w:rPr>
              <w:t>2</w:t>
            </w:r>
            <w:r w:rsidRPr="003B2786">
              <w:rPr>
                <w:rStyle w:val="Bodytext1811pt"/>
                <w:rFonts w:ascii="Sylfaen" w:hAnsi="Sylfaen"/>
                <w:sz w:val="24"/>
                <w:szCs w:val="24"/>
              </w:rPr>
              <w:t>-ի, СО</w:t>
            </w:r>
            <w:r w:rsidRPr="003B2786">
              <w:rPr>
                <w:rStyle w:val="Bodytext1811pt"/>
                <w:rFonts w:ascii="Sylfaen" w:hAnsi="Sylfaen"/>
                <w:sz w:val="24"/>
                <w:szCs w:val="24"/>
                <w:vertAlign w:val="subscript"/>
              </w:rPr>
              <w:t>2</w:t>
            </w:r>
            <w:r w:rsidRPr="003B2786">
              <w:rPr>
                <w:rStyle w:val="Bodytext1811pt"/>
                <w:rFonts w:ascii="Sylfaen" w:hAnsi="Sylfaen"/>
                <w:sz w:val="24"/>
                <w:szCs w:val="24"/>
              </w:rPr>
              <w:t xml:space="preserve">-ի, խոնավության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համար թափանցելիության համեմատական տվյալները), ներառյալ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 </w:t>
            </w:r>
          </w:p>
          <w:p w14:paraId="66C2DADD"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ներառյալ՝ հաստատումն այն մասին,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5C533DE7" w14:textId="04E59832"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Գրանցման հավաստագրի իրավատիրոջ կամ ԱԴՆՄՖ-ի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ն այն մասին, որ կայունության պահանջվող ուսումնասիրություններն սկսվել են Միության </w:t>
            </w:r>
            <w:r w:rsidRPr="003B2786">
              <w:rPr>
                <w:rStyle w:val="Bodytext1811pt"/>
                <w:rFonts w:ascii="Sylfaen" w:hAnsi="Sylfaen"/>
                <w:sz w:val="24"/>
                <w:szCs w:val="24"/>
              </w:rPr>
              <w:lastRenderedPageBreak/>
              <w:t xml:space="preserve">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չտեղավորվեն մասնագրերում կամ պոտենցիալ կերպով չեն կարող տեղավորվել մասնագրերում պիտանիության ժամկետի ավարտին (կրկնակի փորձարկման ժամկետի), ապա դրանք գործողությունների առաջարկվող պլանի հետ միասին անհապաղ կներկայացվեն լիազորված մարմին:</w:t>
            </w:r>
          </w:p>
          <w:p w14:paraId="007ABD29"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իրավունքի մաս կազմող ակտերի պահանջներին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հաստատումն այն բանի, որ նշված ուսումնասիրությունները կավարտվեն, իսկ եթե արդյունքները տեղավորվեն մասնագրերում կամ պոտենցիալ կերպով կարող են չտեղավորվել մասնագրերում պիտանիության ժամկետի ավարտին (կրկնակի փորձարկման շրջանի), ապա դրանք գործողությունների առաջարկվող պլանի հետ միասին անհապաղ կներկայացվեն լիազորված մարմին:</w:t>
            </w:r>
          </w:p>
          <w:p w14:paraId="7FB77321" w14:textId="77777777" w:rsidR="008C76E0" w:rsidRPr="008C76E0" w:rsidRDefault="008C76E0" w:rsidP="008C76E0">
            <w:pPr>
              <w:pStyle w:val="Bodytext180"/>
              <w:shd w:val="clear" w:color="auto" w:fill="auto"/>
              <w:tabs>
                <w:tab w:val="left" w:pos="546"/>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գործող կամ առաջարկվող մասնագրերի համեմատությունը (եթե կիրառելի է):</w:t>
            </w:r>
          </w:p>
        </w:tc>
      </w:tr>
      <w:tr w:rsidR="008C76E0" w:rsidRPr="003B2786" w14:paraId="4B91CC0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00AB7C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Բ.I.գ.2.</w:t>
            </w:r>
            <w:r w:rsidRPr="003B2786">
              <w:rPr>
                <w:rStyle w:val="Bodytext1811pt"/>
                <w:rFonts w:ascii="Sylfaen" w:hAnsi="Sylfaen"/>
                <w:sz w:val="24"/>
                <w:szCs w:val="24"/>
              </w:rPr>
              <w:tab/>
              <w:t xml:space="preserve">Ակտիվ դեղագործական բաղադրամասի մասնագրի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առաջնային փաթեթվածքի ընդունելիության չափորոշիչների պարամետրերի փոփոխությունը</w:t>
            </w:r>
          </w:p>
        </w:tc>
        <w:tc>
          <w:tcPr>
            <w:tcW w:w="1655" w:type="dxa"/>
            <w:gridSpan w:val="3"/>
            <w:tcBorders>
              <w:top w:val="single" w:sz="4" w:space="0" w:color="auto"/>
              <w:left w:val="single" w:sz="4" w:space="0" w:color="auto"/>
            </w:tcBorders>
            <w:shd w:val="clear" w:color="auto" w:fill="FFFFFF"/>
          </w:tcPr>
          <w:p w14:paraId="5639200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88E014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AD514F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F59CA0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34C0367"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չափորոշիչների խստացումը</w:t>
            </w:r>
          </w:p>
        </w:tc>
        <w:tc>
          <w:tcPr>
            <w:tcW w:w="1655" w:type="dxa"/>
            <w:gridSpan w:val="3"/>
            <w:tcBorders>
              <w:top w:val="single" w:sz="4" w:space="0" w:color="auto"/>
              <w:left w:val="single" w:sz="4" w:space="0" w:color="auto"/>
            </w:tcBorders>
            <w:shd w:val="clear" w:color="auto" w:fill="FFFFFF"/>
          </w:tcPr>
          <w:p w14:paraId="062B536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472A2B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37E2B58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284111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center"/>
          </w:tcPr>
          <w:p w14:paraId="02A7BF1E"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ավելացումը</w:t>
            </w:r>
          </w:p>
        </w:tc>
        <w:tc>
          <w:tcPr>
            <w:tcW w:w="1655" w:type="dxa"/>
            <w:gridSpan w:val="3"/>
            <w:tcBorders>
              <w:top w:val="single" w:sz="4" w:space="0" w:color="auto"/>
              <w:left w:val="single" w:sz="4" w:space="0" w:color="auto"/>
            </w:tcBorders>
            <w:shd w:val="clear" w:color="auto" w:fill="FFFFFF"/>
          </w:tcPr>
          <w:p w14:paraId="785B963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42" w:type="dxa"/>
            <w:gridSpan w:val="3"/>
            <w:tcBorders>
              <w:top w:val="single" w:sz="4" w:space="0" w:color="auto"/>
              <w:left w:val="single" w:sz="4" w:space="0" w:color="auto"/>
            </w:tcBorders>
            <w:shd w:val="clear" w:color="auto" w:fill="FFFFFF"/>
          </w:tcPr>
          <w:p w14:paraId="6C9DF42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02AB59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9F85D2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F8FFF7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բացառումը (օրինակ՝ հնացած պարամետրի բացառումը)</w:t>
            </w:r>
          </w:p>
        </w:tc>
        <w:tc>
          <w:tcPr>
            <w:tcW w:w="1655" w:type="dxa"/>
            <w:gridSpan w:val="3"/>
            <w:tcBorders>
              <w:top w:val="single" w:sz="4" w:space="0" w:color="auto"/>
              <w:left w:val="single" w:sz="4" w:space="0" w:color="auto"/>
            </w:tcBorders>
            <w:shd w:val="clear" w:color="auto" w:fill="FFFFFF"/>
          </w:tcPr>
          <w:p w14:paraId="72474D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3487C11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98" w:type="dxa"/>
            <w:gridSpan w:val="3"/>
            <w:tcBorders>
              <w:top w:val="single" w:sz="4" w:space="0" w:color="auto"/>
              <w:left w:val="single" w:sz="4" w:space="0" w:color="auto"/>
              <w:right w:val="single" w:sz="4" w:space="0" w:color="auto"/>
            </w:tcBorders>
            <w:shd w:val="clear" w:color="auto" w:fill="FFFFFF"/>
          </w:tcPr>
          <w:p w14:paraId="57079BF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F3D6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81A8101" w14:textId="77777777" w:rsidR="008C76E0" w:rsidRPr="008C76E0" w:rsidRDefault="008C76E0" w:rsidP="008C76E0">
            <w:pPr>
              <w:pStyle w:val="Bodytext180"/>
              <w:shd w:val="clear" w:color="auto" w:fill="auto"/>
              <w:tabs>
                <w:tab w:val="left" w:pos="54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պարամետրերի ավելացումը կամ փոխարինումը՝ անվտանգության կամ որակի նկատառումներից ելնելով</w:t>
            </w:r>
          </w:p>
        </w:tc>
        <w:tc>
          <w:tcPr>
            <w:tcW w:w="1655" w:type="dxa"/>
            <w:gridSpan w:val="3"/>
            <w:tcBorders>
              <w:top w:val="single" w:sz="4" w:space="0" w:color="auto"/>
              <w:left w:val="single" w:sz="4" w:space="0" w:color="auto"/>
            </w:tcBorders>
            <w:shd w:val="clear" w:color="auto" w:fill="FFFFFF"/>
          </w:tcPr>
          <w:p w14:paraId="1BD3C30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5EEB2B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1, 2, 3, 4, 6</w:t>
            </w:r>
          </w:p>
        </w:tc>
        <w:tc>
          <w:tcPr>
            <w:tcW w:w="2098" w:type="dxa"/>
            <w:gridSpan w:val="3"/>
            <w:tcBorders>
              <w:top w:val="single" w:sz="4" w:space="0" w:color="auto"/>
              <w:left w:val="single" w:sz="4" w:space="0" w:color="auto"/>
              <w:right w:val="single" w:sz="4" w:space="0" w:color="auto"/>
            </w:tcBorders>
            <w:shd w:val="clear" w:color="auto" w:fill="FFFFFF"/>
          </w:tcPr>
          <w:p w14:paraId="514A4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610A0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D86365F"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B7CD" w14:textId="77777777" w:rsidR="008C76E0" w:rsidRPr="008C76E0" w:rsidRDefault="008C76E0" w:rsidP="008C76E0">
            <w:pPr>
              <w:pStyle w:val="Bodytext180"/>
              <w:shd w:val="clear" w:color="auto" w:fill="auto"/>
              <w:tabs>
                <w:tab w:val="left" w:pos="532"/>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չափորոշիչների վերլուծության նպատակով նախկինում անցկացված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դեղապատրաստուկի գրանցման կամ II տիպի </w:t>
            </w:r>
            <w:r w:rsidRPr="003B2786">
              <w:rPr>
                <w:rStyle w:val="Bodytext1811pt"/>
                <w:rFonts w:ascii="Sylfaen" w:hAnsi="Sylfaen"/>
                <w:sz w:val="24"/>
                <w:szCs w:val="24"/>
              </w:rPr>
              <w:lastRenderedPageBreak/>
              <w:t xml:space="preserve">փոփոխությունների ներմուծման ընթացքում), եթե միայն այն նախկինում չի քննարկվել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որպես հետագա դիտարկման միջոց:</w:t>
            </w:r>
          </w:p>
          <w:p w14:paraId="17F7EC6C"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փաթեթավորման նյութի արտադրության ընթացքում կամ ակտիվ դեղագործական բաղադրամասի պահպանման ժամանակ ծագած անկանխատեսելի իրավիճակի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1D35A083"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տեղավորվի ընդունելիության ընթացիկ հաստատված չափորոշիչների տիրույթում:</w:t>
            </w:r>
          </w:p>
          <w:p w14:paraId="2D5B7AB0"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297E7526" w14:textId="77777777" w:rsidR="008C76E0" w:rsidRPr="008C76E0" w:rsidRDefault="008C76E0" w:rsidP="008C76E0">
            <w:pPr>
              <w:pStyle w:val="Bodytext180"/>
              <w:shd w:val="clear" w:color="auto" w:fill="auto"/>
              <w:tabs>
                <w:tab w:val="left" w:pos="532"/>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ստանդարտ մեթոդների վրա, որոնք օգտագործվում են նորովի:</w:t>
            </w:r>
          </w:p>
        </w:tc>
      </w:tr>
      <w:tr w:rsidR="008C76E0" w:rsidRPr="003B2786" w14:paraId="2FE3885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CCA4C23"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27D7D154"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1D864BAD"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4411DC4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տվյալների մանրամասն նկարագրությունը (համապատասխան դեպքերում):</w:t>
            </w:r>
          </w:p>
          <w:p w14:paraId="7C3B6A20"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Փաթեթավորման նյութի 2 սերիաների վերլուծության տվյալները՝ ըստ մասնագրերի բոլոր պարամետրերի:</w:t>
            </w:r>
          </w:p>
          <w:p w14:paraId="0E633687"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Հիմնավորումը (ռիսկերի գնահատումը)՝ գրանցման հավաստագրի իրավատիրոջ կամ ԱԴՆՄՖ-ի իրավատիրոջ կողմից, որով հաստատվում է, որ ներարտադրական պարամետրը ոչ նշանակալի կամ հնացած է:</w:t>
            </w:r>
          </w:p>
          <w:p w14:paraId="0F2F97E9" w14:textId="77777777" w:rsidR="008C76E0" w:rsidRPr="008C76E0" w:rsidRDefault="008C76E0" w:rsidP="008C76E0">
            <w:pPr>
              <w:pStyle w:val="Bodytext180"/>
              <w:shd w:val="clear" w:color="auto" w:fill="auto"/>
              <w:tabs>
                <w:tab w:val="left" w:pos="532"/>
              </w:tabs>
              <w:spacing w:before="0" w:after="120" w:line="240" w:lineRule="auto"/>
              <w:ind w:left="40" w:right="44" w:firstLine="0"/>
              <w:jc w:val="both"/>
              <w:rPr>
                <w:rFonts w:ascii="Sylfaen" w:hAnsi="Sylfaen"/>
                <w:b w:val="0"/>
                <w:spacing w:val="-4"/>
                <w:sz w:val="24"/>
                <w:szCs w:val="24"/>
                <w:lang w:val="hy-AM"/>
              </w:rPr>
            </w:pPr>
            <w:r w:rsidRPr="008C76E0">
              <w:rPr>
                <w:rFonts w:ascii="Sylfaen" w:hAnsi="Sylfaen"/>
                <w:b w:val="0"/>
                <w:spacing w:val="-4"/>
                <w:sz w:val="24"/>
                <w:szCs w:val="24"/>
                <w:lang w:val="hy-AM"/>
              </w:rPr>
              <w:t xml:space="preserve">6. </w:t>
            </w:r>
            <w:r w:rsidRPr="003B2786">
              <w:rPr>
                <w:rStyle w:val="Bodytext1811pt"/>
                <w:rFonts w:ascii="Sylfaen" w:hAnsi="Sylfaen"/>
                <w:spacing w:val="-4"/>
                <w:sz w:val="24"/>
                <w:szCs w:val="24"/>
              </w:rPr>
              <w:t xml:space="preserve">Մասնագրի նոր պարամետրի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ընդունելիության նոր չափորոշիչների հիմնավորումը՝ ԳՀ-ի իրավատիրոջ կամ ԱԴՆՄՖ-ի իրավատիրոջ կողմից։ </w:t>
            </w:r>
          </w:p>
        </w:tc>
      </w:tr>
      <w:tr w:rsidR="008C76E0" w:rsidRPr="003B2786" w14:paraId="5B0EE8B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F1F1AE" w14:textId="77777777" w:rsidR="008C76E0" w:rsidRPr="008C76E0" w:rsidRDefault="008C76E0" w:rsidP="008C76E0">
            <w:pPr>
              <w:pStyle w:val="Bodytext180"/>
              <w:shd w:val="clear" w:color="auto" w:fill="auto"/>
              <w:tabs>
                <w:tab w:val="left" w:pos="532"/>
                <w:tab w:val="left" w:pos="1113"/>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Բ.I.գ.З</w:t>
            </w:r>
            <w:r w:rsidRPr="003B2786">
              <w:rPr>
                <w:rStyle w:val="Bodytext1811pt"/>
                <w:rFonts w:ascii="Sylfaen" w:hAnsi="Sylfaen"/>
                <w:sz w:val="24"/>
                <w:szCs w:val="24"/>
              </w:rPr>
              <w:tab/>
              <w:t>Ակտիվ դեղագործական բաղադրամասի առաջնային փաթեթվածքի փորձարկման վերլուծական մեթոդիկայի փոփոխությունը</w:t>
            </w:r>
          </w:p>
        </w:tc>
        <w:tc>
          <w:tcPr>
            <w:tcW w:w="1655" w:type="dxa"/>
            <w:gridSpan w:val="3"/>
            <w:tcBorders>
              <w:top w:val="single" w:sz="4" w:space="0" w:color="auto"/>
              <w:left w:val="single" w:sz="4" w:space="0" w:color="auto"/>
            </w:tcBorders>
            <w:shd w:val="clear" w:color="auto" w:fill="FFFFFF"/>
          </w:tcPr>
          <w:p w14:paraId="4AD1810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24F6A5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071E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07F9C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6026BA0"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աննշան փոփոխությունները</w:t>
            </w:r>
          </w:p>
        </w:tc>
        <w:tc>
          <w:tcPr>
            <w:tcW w:w="1655" w:type="dxa"/>
            <w:gridSpan w:val="3"/>
            <w:tcBorders>
              <w:top w:val="single" w:sz="4" w:space="0" w:color="auto"/>
              <w:left w:val="single" w:sz="4" w:space="0" w:color="auto"/>
            </w:tcBorders>
            <w:shd w:val="clear" w:color="auto" w:fill="FFFFFF"/>
          </w:tcPr>
          <w:p w14:paraId="05E7CD5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42" w:type="dxa"/>
            <w:gridSpan w:val="3"/>
            <w:tcBorders>
              <w:top w:val="single" w:sz="4" w:space="0" w:color="auto"/>
              <w:left w:val="single" w:sz="4" w:space="0" w:color="auto"/>
            </w:tcBorders>
            <w:shd w:val="clear" w:color="auto" w:fill="FFFFFF"/>
          </w:tcPr>
          <w:p w14:paraId="28BD51E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01FB055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8E1E0D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B06ED3D"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փոփոխությունները (ներառյալ՝ լրացումը կամ փոխարինումը)</w:t>
            </w:r>
          </w:p>
        </w:tc>
        <w:tc>
          <w:tcPr>
            <w:tcW w:w="1655" w:type="dxa"/>
            <w:gridSpan w:val="3"/>
            <w:tcBorders>
              <w:top w:val="single" w:sz="4" w:space="0" w:color="auto"/>
              <w:left w:val="single" w:sz="4" w:space="0" w:color="auto"/>
            </w:tcBorders>
            <w:shd w:val="clear" w:color="auto" w:fill="FFFFFF"/>
          </w:tcPr>
          <w:p w14:paraId="63C81DB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1, 3, 4</w:t>
            </w:r>
          </w:p>
        </w:tc>
        <w:tc>
          <w:tcPr>
            <w:tcW w:w="2042" w:type="dxa"/>
            <w:gridSpan w:val="3"/>
            <w:tcBorders>
              <w:top w:val="single" w:sz="4" w:space="0" w:color="auto"/>
              <w:left w:val="single" w:sz="4" w:space="0" w:color="auto"/>
            </w:tcBorders>
            <w:shd w:val="clear" w:color="auto" w:fill="FFFFFF"/>
          </w:tcPr>
          <w:p w14:paraId="0F29E10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54AAD60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1F2053B"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4C7BCCE8" w14:textId="77777777" w:rsidR="008C76E0" w:rsidRPr="008C76E0" w:rsidRDefault="008C76E0" w:rsidP="008C76E0">
            <w:pPr>
              <w:pStyle w:val="Bodytext180"/>
              <w:shd w:val="clear" w:color="auto" w:fill="auto"/>
              <w:tabs>
                <w:tab w:val="left" w:pos="532"/>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բացառումը, եթե դրա այլընտրանքային մեթոդիկան արդեն հաստատված է</w:t>
            </w:r>
          </w:p>
        </w:tc>
        <w:tc>
          <w:tcPr>
            <w:tcW w:w="1655" w:type="dxa"/>
            <w:gridSpan w:val="3"/>
            <w:tcBorders>
              <w:top w:val="single" w:sz="4" w:space="0" w:color="auto"/>
              <w:left w:val="single" w:sz="4" w:space="0" w:color="auto"/>
              <w:bottom w:val="single" w:sz="4" w:space="0" w:color="auto"/>
            </w:tcBorders>
            <w:shd w:val="clear" w:color="auto" w:fill="FFFFFF"/>
          </w:tcPr>
          <w:p w14:paraId="4470C59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2042" w:type="dxa"/>
            <w:gridSpan w:val="3"/>
            <w:tcBorders>
              <w:top w:val="single" w:sz="4" w:space="0" w:color="auto"/>
              <w:left w:val="single" w:sz="4" w:space="0" w:color="auto"/>
              <w:bottom w:val="single" w:sz="4" w:space="0" w:color="auto"/>
            </w:tcBorders>
            <w:shd w:val="clear" w:color="auto" w:fill="FFFFFF"/>
          </w:tcPr>
          <w:p w14:paraId="3558D52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2BF5DB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A3407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CBF727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7970464"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անցկացվել է անհրաժեշտ </w:t>
            </w:r>
            <w:r w:rsidRPr="003B2786">
              <w:rPr>
                <w:rStyle w:val="Bodytext1811pt"/>
                <w:rFonts w:ascii="Sylfaen" w:hAnsi="Sylfaen"/>
                <w:sz w:val="24"/>
                <w:szCs w:val="24"/>
              </w:rPr>
              <w:lastRenderedPageBreak/>
              <w:t>վալիդացում, որով հաստատվում է, որ թարմացված վերլուծական մեթոդիկան առնվազն համարժեք է նախորդին:</w:t>
            </w:r>
          </w:p>
          <w:p w14:paraId="67903CE7"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բայց ոչ սյունակի այլ տեսակը կամ մեթոդը):</w:t>
            </w:r>
          </w:p>
          <w:p w14:paraId="237D5C30"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մեթոդների կամ ստանդարտ մեթոդների վրա, որոնք օգտագործվում են նորովի:</w:t>
            </w:r>
          </w:p>
          <w:p w14:paraId="1B4650FE"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739DD28C" w14:textId="77777777" w:rsidR="008C76E0" w:rsidRPr="008C76E0" w:rsidRDefault="008C76E0" w:rsidP="008C76E0">
            <w:pPr>
              <w:pStyle w:val="Bodytext180"/>
              <w:shd w:val="clear" w:color="auto" w:fill="auto"/>
              <w:tabs>
                <w:tab w:val="left" w:pos="573"/>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պարամետրի նկատմամբ պահպանվում է վերլուծական մեթոդիկան, ընդ որում, այդպիսի մեթոդիկան չի ավելացվել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7AB42F65"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EDF085"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8311AD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բաժնի (բաժինների) ուղղումը, ներառյալ՝ վերլուծական մեթոդիկայի նկարագրությունը, վալիդացման տվյալների ռեզյումեն:</w:t>
            </w:r>
          </w:p>
          <w:p w14:paraId="4EDFCC79" w14:textId="77777777" w:rsidR="008C76E0" w:rsidRPr="008C76E0" w:rsidRDefault="008C76E0" w:rsidP="008C76E0">
            <w:pPr>
              <w:pStyle w:val="Bodytext180"/>
              <w:shd w:val="clear" w:color="auto" w:fill="auto"/>
              <w:tabs>
                <w:tab w:val="left" w:pos="573"/>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որոնք հաստատում են, որ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փորձարկումները համարժեք են: Սույն պահանջը չի կիրառվում, եթե ավելացվում է նոր վերլուծական մեթոդիկա:</w:t>
            </w:r>
          </w:p>
        </w:tc>
      </w:tr>
      <w:tr w:rsidR="008C76E0" w:rsidRPr="003B2786" w14:paraId="10A523AF"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6D8B360B"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rPr>
            </w:pPr>
            <w:r w:rsidRPr="003B2786">
              <w:rPr>
                <w:rStyle w:val="Bodytext295pt"/>
                <w:rFonts w:ascii="Sylfaen" w:hAnsi="Sylfaen"/>
                <w:sz w:val="24"/>
                <w:szCs w:val="24"/>
              </w:rPr>
              <w:t>Բ.I.դ)</w:t>
            </w:r>
            <w:r w:rsidRPr="003B2786">
              <w:rPr>
                <w:rStyle w:val="Bodytext295pt"/>
                <w:rFonts w:ascii="Sylfaen" w:hAnsi="Sylfaen"/>
                <w:sz w:val="24"/>
                <w:szCs w:val="24"/>
              </w:rPr>
              <w:tab/>
              <w:t>Կայունություն</w:t>
            </w:r>
          </w:p>
        </w:tc>
      </w:tr>
      <w:tr w:rsidR="008C76E0" w:rsidRPr="003B2786" w14:paraId="3B5EF63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A56A267"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Բ.I.դ.1.</w:t>
            </w:r>
            <w:r w:rsidRPr="003B2786">
              <w:rPr>
                <w:rStyle w:val="Bodytext1811pt"/>
                <w:rFonts w:ascii="Sylfaen" w:hAnsi="Sylfaen"/>
                <w:sz w:val="24"/>
                <w:szCs w:val="24"/>
              </w:rPr>
              <w:tab/>
              <w:t>Ակտիվ դեղագործական բաղադրամասի կրկնակի փորձարկման ժամկետի (պահպանման ժամկետի) կամ պահպանման պայմանների փոփոխությունը, եթե գրանցման դոսյեում բացակայում է Եվրոպական դեղագրքին համապատասխանության հավաստագիրը, որն ընդգրկում է կրկնակի փորձարկման ժամանակահատվածը</w:t>
            </w:r>
          </w:p>
        </w:tc>
        <w:tc>
          <w:tcPr>
            <w:tcW w:w="1655" w:type="dxa"/>
            <w:gridSpan w:val="3"/>
            <w:tcBorders>
              <w:top w:val="single" w:sz="4" w:space="0" w:color="auto"/>
              <w:left w:val="single" w:sz="4" w:space="0" w:color="auto"/>
            </w:tcBorders>
            <w:shd w:val="clear" w:color="auto" w:fill="FFFFFF"/>
          </w:tcPr>
          <w:p w14:paraId="58A11B3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79EDA7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430B3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23F949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4517A119"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Կրկնակի փորձարկման ժամանակահատվածը (պահպանման ժամանակահատվածը)</w:t>
            </w:r>
          </w:p>
        </w:tc>
        <w:tc>
          <w:tcPr>
            <w:tcW w:w="1655" w:type="dxa"/>
            <w:gridSpan w:val="3"/>
            <w:tcBorders>
              <w:top w:val="single" w:sz="4" w:space="0" w:color="auto"/>
              <w:left w:val="single" w:sz="4" w:space="0" w:color="auto"/>
            </w:tcBorders>
            <w:shd w:val="clear" w:color="auto" w:fill="FFFFFF"/>
          </w:tcPr>
          <w:p w14:paraId="368C1A1E"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37D2C92A"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C7C290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601F286"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334508" w14:textId="77777777" w:rsidR="008C76E0" w:rsidRPr="003B2786" w:rsidRDefault="008C76E0" w:rsidP="008C76E0">
            <w:pPr>
              <w:pStyle w:val="Bodytext180"/>
              <w:numPr>
                <w:ilvl w:val="0"/>
                <w:numId w:val="17"/>
              </w:numPr>
              <w:shd w:val="clear" w:color="auto" w:fill="auto"/>
              <w:tabs>
                <w:tab w:val="left" w:pos="573"/>
              </w:tabs>
              <w:spacing w:before="0" w:after="120" w:line="240" w:lineRule="auto"/>
              <w:ind w:left="39" w:right="50"/>
              <w:jc w:val="both"/>
              <w:rPr>
                <w:rFonts w:ascii="Sylfaen" w:hAnsi="Sylfaen"/>
                <w:b w:val="0"/>
                <w:sz w:val="24"/>
                <w:szCs w:val="24"/>
              </w:rPr>
            </w:pPr>
            <w:r w:rsidRPr="003B2786">
              <w:rPr>
                <w:rStyle w:val="Bodytext1811pt"/>
                <w:rFonts w:ascii="Sylfaen" w:hAnsi="Sylfaen"/>
                <w:sz w:val="24"/>
                <w:szCs w:val="24"/>
              </w:rPr>
              <w:t>Կրճատումը</w:t>
            </w:r>
          </w:p>
        </w:tc>
        <w:tc>
          <w:tcPr>
            <w:tcW w:w="1655" w:type="dxa"/>
            <w:gridSpan w:val="3"/>
            <w:tcBorders>
              <w:top w:val="single" w:sz="4" w:space="0" w:color="auto"/>
              <w:left w:val="single" w:sz="4" w:space="0" w:color="auto"/>
            </w:tcBorders>
            <w:shd w:val="clear" w:color="auto" w:fill="FFFFFF"/>
          </w:tcPr>
          <w:p w14:paraId="65EC33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3176F4F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B9FA1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FC7F05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3C1E389"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Կայունության տվյալների արտարկման եղանակով կրկնակի փորձարկման ժամանակահատվածի երկարաձգումը, որը չի համապատասխանում Միության փաստաթղթերին (*)</w:t>
            </w:r>
          </w:p>
        </w:tc>
        <w:tc>
          <w:tcPr>
            <w:tcW w:w="1655" w:type="dxa"/>
            <w:gridSpan w:val="3"/>
            <w:tcBorders>
              <w:top w:val="single" w:sz="4" w:space="0" w:color="auto"/>
              <w:left w:val="single" w:sz="4" w:space="0" w:color="auto"/>
            </w:tcBorders>
            <w:shd w:val="clear" w:color="auto" w:fill="FFFFFF"/>
          </w:tcPr>
          <w:p w14:paraId="0042C52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C914BF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D1C3F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6D69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45B154B" w14:textId="77777777" w:rsidR="008C76E0" w:rsidRPr="008C76E0" w:rsidRDefault="008C76E0" w:rsidP="008C76E0">
            <w:pPr>
              <w:pStyle w:val="Bodytext180"/>
              <w:shd w:val="clear" w:color="auto" w:fill="auto"/>
              <w:tabs>
                <w:tab w:val="left" w:pos="573"/>
              </w:tabs>
              <w:spacing w:before="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Կենսաբանական (իմունաբանական) ակտիվ դեղագործական բաղադրամասի </w:t>
            </w:r>
            <w:r w:rsidRPr="003B2786">
              <w:rPr>
                <w:rStyle w:val="Bodytext1811pt"/>
                <w:rFonts w:ascii="Sylfaen" w:hAnsi="Sylfaen"/>
                <w:sz w:val="24"/>
                <w:szCs w:val="24"/>
              </w:rPr>
              <w:lastRenderedPageBreak/>
              <w:t>պահպանման ժամանակահատվածի երկարաձգումը, որը չի համապատասխանում կայունության ուսումնասիրման հաստատված ծրագրին</w:t>
            </w:r>
          </w:p>
        </w:tc>
        <w:tc>
          <w:tcPr>
            <w:tcW w:w="1655" w:type="dxa"/>
            <w:gridSpan w:val="3"/>
            <w:tcBorders>
              <w:top w:val="single" w:sz="4" w:space="0" w:color="auto"/>
              <w:left w:val="single" w:sz="4" w:space="0" w:color="auto"/>
            </w:tcBorders>
            <w:shd w:val="clear" w:color="auto" w:fill="FFFFFF"/>
          </w:tcPr>
          <w:p w14:paraId="354C84C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538DEE4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6F9FD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B036C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3672AE5"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Կրկնակի փորձարկման ժամանակահատվածի (պահպանման ժամկետի) երկարաձգումը կամ ներմուծումը, որը հաստատվել է բնական պահպանման տվյալներով</w:t>
            </w:r>
          </w:p>
        </w:tc>
        <w:tc>
          <w:tcPr>
            <w:tcW w:w="1655" w:type="dxa"/>
            <w:gridSpan w:val="3"/>
            <w:tcBorders>
              <w:top w:val="single" w:sz="4" w:space="0" w:color="auto"/>
              <w:left w:val="single" w:sz="4" w:space="0" w:color="auto"/>
            </w:tcBorders>
            <w:shd w:val="clear" w:color="auto" w:fill="FFFFFF"/>
          </w:tcPr>
          <w:p w14:paraId="07E5827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0ACAB8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1E185CE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0E3D0A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E3125C3" w14:textId="77777777" w:rsidR="008C76E0" w:rsidRPr="003B2786"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Պահպանման պայմանները</w:t>
            </w:r>
          </w:p>
        </w:tc>
        <w:tc>
          <w:tcPr>
            <w:tcW w:w="1655" w:type="dxa"/>
            <w:gridSpan w:val="3"/>
            <w:tcBorders>
              <w:top w:val="single" w:sz="4" w:space="0" w:color="auto"/>
              <w:left w:val="single" w:sz="4" w:space="0" w:color="auto"/>
            </w:tcBorders>
            <w:shd w:val="clear" w:color="auto" w:fill="FFFFFF"/>
          </w:tcPr>
          <w:p w14:paraId="2E8284A8"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6027DA3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73EAC711"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6A10E7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EC7C1A1" w14:textId="77777777" w:rsidR="008C76E0" w:rsidRPr="008C76E0" w:rsidRDefault="008C76E0" w:rsidP="008C76E0">
            <w:pPr>
              <w:pStyle w:val="Bodytext180"/>
              <w:numPr>
                <w:ilvl w:val="0"/>
                <w:numId w:val="18"/>
              </w:numPr>
              <w:shd w:val="clear" w:color="auto" w:fill="auto"/>
              <w:tabs>
                <w:tab w:val="left" w:pos="573"/>
              </w:tabs>
              <w:spacing w:before="0" w:after="120" w:line="240" w:lineRule="auto"/>
              <w:ind w:left="40" w:right="51" w:hanging="4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 պահպանման պայմանների փոփոխությունը՝ առավել խիստ պայմանների</w:t>
            </w:r>
          </w:p>
        </w:tc>
        <w:tc>
          <w:tcPr>
            <w:tcW w:w="1655" w:type="dxa"/>
            <w:gridSpan w:val="3"/>
            <w:tcBorders>
              <w:top w:val="single" w:sz="4" w:space="0" w:color="auto"/>
              <w:left w:val="single" w:sz="4" w:space="0" w:color="auto"/>
            </w:tcBorders>
            <w:shd w:val="clear" w:color="auto" w:fill="FFFFFF"/>
          </w:tcPr>
          <w:p w14:paraId="205BEAB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0149702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795FC4E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7509CBE"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591A157" w14:textId="77777777" w:rsidR="008C76E0" w:rsidRPr="003B2786"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Պահպանման պայմանների փոփոխությունը</w:t>
            </w:r>
          </w:p>
        </w:tc>
        <w:tc>
          <w:tcPr>
            <w:tcW w:w="1655" w:type="dxa"/>
            <w:gridSpan w:val="3"/>
            <w:tcBorders>
              <w:top w:val="single" w:sz="4" w:space="0" w:color="auto"/>
              <w:left w:val="single" w:sz="4" w:space="0" w:color="auto"/>
              <w:bottom w:val="single" w:sz="4" w:space="0" w:color="auto"/>
            </w:tcBorders>
            <w:shd w:val="clear" w:color="auto" w:fill="FFFFFF"/>
          </w:tcPr>
          <w:p w14:paraId="5EE7486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69D110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1476A97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014770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A99DC52"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կենսաբանական (իմունաբանական) դեղագործական ակտիվ բաղադրամասերի պահպանման պայմանների փոփոխությունը, եթե կայունության հետազոտությունները չեն անցկացվել կայունության ընթացիկ հաստատված արձանագրությանը համապատասխան</w:t>
            </w:r>
          </w:p>
        </w:tc>
        <w:tc>
          <w:tcPr>
            <w:tcW w:w="1655" w:type="dxa"/>
            <w:gridSpan w:val="3"/>
            <w:tcBorders>
              <w:top w:val="single" w:sz="4" w:space="0" w:color="auto"/>
              <w:left w:val="single" w:sz="4" w:space="0" w:color="auto"/>
            </w:tcBorders>
            <w:shd w:val="clear" w:color="auto" w:fill="FFFFFF"/>
          </w:tcPr>
          <w:p w14:paraId="5BA61193"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CFD21CD"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66067070"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612C79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C26B7BC" w14:textId="77777777" w:rsidR="008C76E0" w:rsidRPr="008C76E0" w:rsidRDefault="008C76E0" w:rsidP="008C76E0">
            <w:pPr>
              <w:pStyle w:val="Bodytext180"/>
              <w:shd w:val="clear" w:color="auto" w:fill="auto"/>
              <w:tabs>
                <w:tab w:val="left" w:pos="573"/>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Ակտիվ դեղագործական բաղադրամասի պահպանման պայմանների փոփոխությունը</w:t>
            </w:r>
          </w:p>
        </w:tc>
        <w:tc>
          <w:tcPr>
            <w:tcW w:w="1655" w:type="dxa"/>
            <w:gridSpan w:val="3"/>
            <w:tcBorders>
              <w:top w:val="single" w:sz="4" w:space="0" w:color="auto"/>
              <w:left w:val="single" w:sz="4" w:space="0" w:color="auto"/>
            </w:tcBorders>
            <w:shd w:val="clear" w:color="auto" w:fill="FFFFFF"/>
          </w:tcPr>
          <w:p w14:paraId="046374A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767DE2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679B4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3F2210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697F1264"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Կայունության ուսումնասիրության հաստատված ծրագրի փոփոխությունը</w:t>
            </w:r>
          </w:p>
        </w:tc>
        <w:tc>
          <w:tcPr>
            <w:tcW w:w="1655" w:type="dxa"/>
            <w:gridSpan w:val="3"/>
            <w:tcBorders>
              <w:top w:val="single" w:sz="4" w:space="0" w:color="auto"/>
              <w:left w:val="single" w:sz="4" w:space="0" w:color="auto"/>
            </w:tcBorders>
            <w:shd w:val="clear" w:color="auto" w:fill="FFFFFF"/>
          </w:tcPr>
          <w:p w14:paraId="4AF164D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42" w:type="dxa"/>
            <w:gridSpan w:val="3"/>
            <w:tcBorders>
              <w:top w:val="single" w:sz="4" w:space="0" w:color="auto"/>
              <w:left w:val="single" w:sz="4" w:space="0" w:color="auto"/>
            </w:tcBorders>
            <w:shd w:val="clear" w:color="auto" w:fill="FFFFFF"/>
          </w:tcPr>
          <w:p w14:paraId="29B55B4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2D7B72D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0FCA10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AE947AF"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6FC516"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որոնք առաջացել են արտադրության կամ կայունության փոփոխության ընթացքում։</w:t>
            </w:r>
          </w:p>
          <w:p w14:paraId="24E8C5E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չափորոշիչների ընդլայնմանը, կայունության պարամետրերի բացառմանը կամ փորձարկման հաճախականության նվազեցմանը:</w:t>
            </w:r>
          </w:p>
        </w:tc>
      </w:tr>
      <w:tr w:rsidR="008C76E0" w:rsidRPr="003B2786" w14:paraId="7AA6E5BE"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6BB7F23"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Style w:val="Bodytext1811pt"/>
                <w:rFonts w:ascii="Sylfaen" w:hAnsi="Sylfaen"/>
                <w:sz w:val="24"/>
                <w:szCs w:val="24"/>
              </w:rPr>
              <w:t>Փաստաթղթերը</w:t>
            </w:r>
          </w:p>
          <w:p w14:paraId="22092E85" w14:textId="77777777" w:rsidR="008C76E0" w:rsidRPr="003B2786" w:rsidRDefault="008C76E0" w:rsidP="008C76E0">
            <w:pPr>
              <w:pStyle w:val="Bodytext180"/>
              <w:numPr>
                <w:ilvl w:val="0"/>
                <w:numId w:val="16"/>
              </w:numPr>
              <w:shd w:val="clear" w:color="auto" w:fill="auto"/>
              <w:tabs>
                <w:tab w:val="left" w:pos="573"/>
              </w:tabs>
              <w:spacing w:before="0" w:after="120" w:line="240" w:lineRule="auto"/>
              <w:ind w:left="39" w:right="44" w:firstLine="0"/>
              <w:jc w:val="both"/>
              <w:rPr>
                <w:rStyle w:val="Bodytext1811pt"/>
                <w:rFonts w:ascii="Sylfaen" w:hAnsi="Sylfaen"/>
                <w:sz w:val="24"/>
                <w:szCs w:val="24"/>
              </w:rPr>
            </w:pPr>
            <w:r w:rsidRPr="003B2786">
              <w:rPr>
                <w:rStyle w:val="Bodytext1811pt"/>
                <w:rFonts w:ascii="Sylfaen" w:hAnsi="Sylfaen"/>
                <w:sz w:val="24"/>
                <w:szCs w:val="24"/>
              </w:rPr>
              <w:t xml:space="preserve">Դոսյեի համապատասխան բաժնում ուղղումը։ </w:t>
            </w:r>
          </w:p>
          <w:p w14:paraId="554A5EC2"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 xml:space="preserve">Անհրաժեշտ է ներկայացնել կայունության համապատասխան այն հետազոտությունների </w:t>
            </w:r>
            <w:r w:rsidRPr="003B2786">
              <w:rPr>
                <w:rStyle w:val="Bodytext1811pt"/>
                <w:rFonts w:ascii="Sylfaen" w:hAnsi="Sylfaen"/>
                <w:sz w:val="24"/>
                <w:szCs w:val="24"/>
              </w:rPr>
              <w:lastRenderedPageBreak/>
              <w:t xml:space="preserve">արդյունքներն իրական ժամանակում, որոնք անցկացվել են կայունության համապատասխան ձեռնարկներին համապատասխան՝ ակտիվ դեղագործական բաղադրամասի առնվազն 2 (կենսաբանական դեղապատրաստուկների համար` երեք) փորձարարաարդյունաբերական կամ արդյունաբերական սերիաների նկատմամբ, որոնք փաթեթավորվել են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ներառում են կրկնակի փորձարկման ամբողջ նախատեսված ժամանակահատվածը կամ առաջարկվող պահպանման պայմանները:</w:t>
            </w:r>
          </w:p>
          <w:p w14:paraId="21222C65"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կայունության հետազոտություններն անցկացվել են ընթացիկ հաստատված ծրագրին համապատասխան: Հետազոտության արդյունքները պետք է հաստատեն, որ համապատասխան հաստատված մասնագրերը շարունակվում են պահպանվել:</w:t>
            </w:r>
          </w:p>
          <w:p w14:paraId="370DD218" w14:textId="77777777" w:rsidR="008C76E0" w:rsidRPr="008C76E0"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հաստատված մասնագրերի պատճենները։</w:t>
            </w:r>
          </w:p>
          <w:p w14:paraId="2841AD6D" w14:textId="77777777" w:rsidR="008C76E0" w:rsidRPr="003B2786" w:rsidRDefault="008C76E0" w:rsidP="008C76E0">
            <w:pPr>
              <w:pStyle w:val="Bodytext180"/>
              <w:shd w:val="clear" w:color="auto" w:fill="auto"/>
              <w:tabs>
                <w:tab w:val="left" w:pos="573"/>
              </w:tabs>
              <w:spacing w:before="0" w:after="120" w:line="240" w:lineRule="auto"/>
              <w:ind w:left="39" w:right="44"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7755B7D9"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6FC89E3C" w14:textId="77777777" w:rsidR="008C76E0" w:rsidRPr="003B2786" w:rsidRDefault="008C76E0" w:rsidP="008C76E0">
            <w:pPr>
              <w:pStyle w:val="Bodytext180"/>
              <w:shd w:val="clear" w:color="auto" w:fill="auto"/>
              <w:tabs>
                <w:tab w:val="left" w:pos="573"/>
              </w:tabs>
              <w:spacing w:before="0" w:after="120" w:line="240" w:lineRule="auto"/>
              <w:ind w:right="-1" w:firstLine="0"/>
              <w:jc w:val="both"/>
              <w:rPr>
                <w:rFonts w:ascii="Sylfaen" w:hAnsi="Sylfaen"/>
                <w:b w:val="0"/>
                <w:sz w:val="24"/>
                <w:szCs w:val="24"/>
              </w:rPr>
            </w:pPr>
            <w:r w:rsidRPr="003B2786">
              <w:rPr>
                <w:rFonts w:ascii="Sylfaen" w:hAnsi="Sylfaen"/>
                <w:b w:val="0"/>
                <w:sz w:val="24"/>
                <w:szCs w:val="24"/>
              </w:rPr>
              <w:lastRenderedPageBreak/>
              <w:t>(*) Ծանոթագրություն</w:t>
            </w:r>
          </w:p>
        </w:tc>
        <w:tc>
          <w:tcPr>
            <w:tcW w:w="8394" w:type="dxa"/>
            <w:gridSpan w:val="13"/>
            <w:tcBorders>
              <w:top w:val="single" w:sz="4" w:space="0" w:color="auto"/>
              <w:left w:val="single" w:sz="4" w:space="0" w:color="auto"/>
              <w:right w:val="single" w:sz="4" w:space="0" w:color="auto"/>
            </w:tcBorders>
            <w:shd w:val="clear" w:color="auto" w:fill="FFFFFF"/>
            <w:vAlign w:val="bottom"/>
          </w:tcPr>
          <w:p w14:paraId="7E6B5981" w14:textId="77777777" w:rsidR="008C76E0" w:rsidRPr="003B2786" w:rsidRDefault="008C76E0" w:rsidP="008C76E0">
            <w:pPr>
              <w:pStyle w:val="Bodytext180"/>
              <w:shd w:val="clear" w:color="auto" w:fill="auto"/>
              <w:tabs>
                <w:tab w:val="left" w:pos="573"/>
              </w:tabs>
              <w:spacing w:before="0" w:after="120" w:line="240" w:lineRule="auto"/>
              <w:ind w:right="44" w:firstLine="0"/>
              <w:jc w:val="both"/>
              <w:rPr>
                <w:rFonts w:ascii="Sylfaen" w:hAnsi="Sylfaen"/>
                <w:b w:val="0"/>
                <w:sz w:val="24"/>
                <w:szCs w:val="24"/>
              </w:rPr>
            </w:pPr>
            <w:r w:rsidRPr="003B2786">
              <w:rPr>
                <w:rStyle w:val="Bodytext1811pt"/>
                <w:rFonts w:ascii="Sylfaen" w:hAnsi="Sylfaen"/>
                <w:sz w:val="24"/>
                <w:szCs w:val="24"/>
              </w:rPr>
              <w:t>Կրկնակի փորձարկման ժամանակահատվածը կիրառելի չէ կենսաբանական (իմունաբանական) ակտիվ դեղագործական նյութերի նկատմամբ</w:t>
            </w:r>
          </w:p>
        </w:tc>
      </w:tr>
      <w:tr w:rsidR="008C76E0" w:rsidRPr="003B2786" w14:paraId="40F39D0D"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E7B0821" w14:textId="77777777" w:rsidR="008C76E0" w:rsidRPr="008C76E0" w:rsidRDefault="008C76E0" w:rsidP="008C76E0">
            <w:pPr>
              <w:pStyle w:val="Bodytext180"/>
              <w:shd w:val="clear" w:color="auto" w:fill="auto"/>
              <w:tabs>
                <w:tab w:val="left" w:pos="573"/>
              </w:tabs>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 xml:space="preserve">Հետգրանցումային փոփոխությունների ծրագրային դաշտը </w:t>
            </w:r>
            <w:r w:rsidR="00C54D75">
              <w:rPr>
                <w:rStyle w:val="Bodytext295pt"/>
                <w:rFonts w:ascii="Sylfaen" w:hAnsi="Sylfaen"/>
                <w:sz w:val="24"/>
                <w:szCs w:val="24"/>
              </w:rPr>
              <w:t>և</w:t>
            </w:r>
            <w:r w:rsidRPr="003B2786">
              <w:rPr>
                <w:rStyle w:val="Bodytext295pt"/>
                <w:rFonts w:ascii="Sylfaen" w:hAnsi="Sylfaen"/>
                <w:sz w:val="24"/>
                <w:szCs w:val="24"/>
              </w:rPr>
              <w:t xml:space="preserve"> արձանագրությունը</w:t>
            </w:r>
          </w:p>
        </w:tc>
      </w:tr>
      <w:tr w:rsidR="008C76E0" w:rsidRPr="003B2786" w14:paraId="0BB1ACB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CDCC500"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Բ.I.ե.1.</w:t>
            </w:r>
            <w:r w:rsidRPr="003B2786">
              <w:rPr>
                <w:rStyle w:val="Bodytext1811pt"/>
                <w:rFonts w:ascii="Sylfaen" w:hAnsi="Sylfaen"/>
                <w:sz w:val="24"/>
                <w:szCs w:val="24"/>
              </w:rPr>
              <w:tab/>
              <w:t>Նոր նախագծային դաշտի ներդրումը կամ ակտիվ դեղագործական բաղադրամասի հաստատված նախագծային դաշտի ընդլայնումը, որն առնչվում է</w:t>
            </w:r>
          </w:p>
        </w:tc>
        <w:tc>
          <w:tcPr>
            <w:tcW w:w="1655" w:type="dxa"/>
            <w:gridSpan w:val="3"/>
            <w:tcBorders>
              <w:top w:val="single" w:sz="4" w:space="0" w:color="auto"/>
              <w:left w:val="single" w:sz="4" w:space="0" w:color="auto"/>
            </w:tcBorders>
            <w:shd w:val="clear" w:color="auto" w:fill="FFFFFF"/>
          </w:tcPr>
          <w:p w14:paraId="1C7E83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C8A21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A24AA9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3096E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A3BA8FF"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ակտիվ դեղագործական բաղադրամասի արտադրության գործընթացի մեկ օպերացիոն միավորին,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655" w:type="dxa"/>
            <w:gridSpan w:val="3"/>
            <w:tcBorders>
              <w:top w:val="single" w:sz="4" w:space="0" w:color="auto"/>
              <w:left w:val="single" w:sz="4" w:space="0" w:color="auto"/>
            </w:tcBorders>
            <w:shd w:val="clear" w:color="auto" w:fill="FFFFFF"/>
          </w:tcPr>
          <w:p w14:paraId="1DCF012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96CDA3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4FFC32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7C557EC"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tcPr>
          <w:p w14:paraId="781ABC8A" w14:textId="77777777" w:rsidR="008C76E0" w:rsidRPr="008C76E0" w:rsidRDefault="008C76E0" w:rsidP="008C76E0">
            <w:pPr>
              <w:pStyle w:val="Bodytext180"/>
              <w:shd w:val="clear" w:color="auto" w:fill="auto"/>
              <w:tabs>
                <w:tab w:val="left" w:pos="573"/>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ելանյութերի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ակտիվ դեղագործական բաղադրամասի վերլուծական մեթոդիկաներին</w:t>
            </w:r>
          </w:p>
        </w:tc>
        <w:tc>
          <w:tcPr>
            <w:tcW w:w="1655" w:type="dxa"/>
            <w:gridSpan w:val="3"/>
            <w:tcBorders>
              <w:top w:val="single" w:sz="4" w:space="0" w:color="auto"/>
              <w:left w:val="single" w:sz="4" w:space="0" w:color="auto"/>
              <w:bottom w:val="single" w:sz="4" w:space="0" w:color="auto"/>
            </w:tcBorders>
            <w:shd w:val="clear" w:color="auto" w:fill="FFFFFF"/>
          </w:tcPr>
          <w:p w14:paraId="34BFEE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bottom w:val="single" w:sz="4" w:space="0" w:color="auto"/>
            </w:tcBorders>
            <w:shd w:val="clear" w:color="auto" w:fill="FFFFFF"/>
          </w:tcPr>
          <w:p w14:paraId="421C1C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4B72A2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7723A9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38CAA099"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7FD955" w14:textId="77777777" w:rsidR="008C76E0" w:rsidRPr="008C76E0" w:rsidRDefault="008C76E0" w:rsidP="008C76E0">
            <w:pPr>
              <w:pStyle w:val="Bodytext180"/>
              <w:shd w:val="clear" w:color="auto" w:fill="auto"/>
              <w:tabs>
                <w:tab w:val="left" w:pos="573"/>
              </w:tabs>
              <w:spacing w:before="0" w:after="120" w:line="240" w:lineRule="auto"/>
              <w:ind w:left="51"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դաշտը մշակվել է Միության համապատասխան փաստաթղթերի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միջազգային գիտական ձեռնարկների հիման վրա։ Արտադրանքի, գործընթացի մշակման </w:t>
            </w:r>
            <w:r w:rsidR="00C54D75">
              <w:rPr>
                <w:rStyle w:val="Bodytext1811pt"/>
                <w:rFonts w:ascii="Sylfaen" w:hAnsi="Sylfaen"/>
                <w:sz w:val="24"/>
                <w:szCs w:val="24"/>
              </w:rPr>
              <w:t>և</w:t>
            </w:r>
            <w:r w:rsidRPr="003B2786">
              <w:rPr>
                <w:rStyle w:val="Bodytext1811pt"/>
                <w:rFonts w:ascii="Sylfaen" w:hAnsi="Sylfaen"/>
                <w:sz w:val="24"/>
                <w:szCs w:val="24"/>
              </w:rPr>
              <w:t xml:space="preserve"> վերլուծական մեթոդոլոգիայի հետազոտությունների արդյունքները (օրինակ՝ տարբեր պարամետրերի փոխազդեցությունը, որոնք ձ</w:t>
            </w:r>
            <w:r w:rsidR="00C54D75">
              <w:rPr>
                <w:rStyle w:val="Bodytext1811pt"/>
                <w:rFonts w:ascii="Sylfaen" w:hAnsi="Sylfaen"/>
                <w:sz w:val="24"/>
                <w:szCs w:val="24"/>
              </w:rPr>
              <w:t>և</w:t>
            </w:r>
            <w:r w:rsidRPr="003B2786">
              <w:rPr>
                <w:rStyle w:val="Bodytext1811pt"/>
                <w:rFonts w:ascii="Sylfaen" w:hAnsi="Sylfaen"/>
                <w:sz w:val="24"/>
                <w:szCs w:val="24"/>
              </w:rPr>
              <w:t xml:space="preserve">ավորում են հետազոտության ենթակա նախագծային դաշտը, ներառյալ՝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համապատասխանաբար), որոնք համապատասխան դեպքերում հաստատում են, որ ակտիվ դեղագործական բաղադրամասի որակի կրիտիկական ցուցանիշների վերաբերյալ ձեռք է բերվել նյութերի որակի </w:t>
            </w:r>
            <w:r w:rsidR="00C54D75">
              <w:rPr>
                <w:rStyle w:val="Bodytext1811pt"/>
                <w:rFonts w:ascii="Sylfaen" w:hAnsi="Sylfaen"/>
                <w:sz w:val="24"/>
                <w:szCs w:val="24"/>
              </w:rPr>
              <w:t>և</w:t>
            </w:r>
            <w:r w:rsidRPr="003B2786">
              <w:rPr>
                <w:rStyle w:val="Bodytext1811pt"/>
                <w:rFonts w:ascii="Sylfaen" w:hAnsi="Sylfaen"/>
                <w:sz w:val="24"/>
                <w:szCs w:val="24"/>
              </w:rPr>
              <w:t xml:space="preserve"> գործընթացի պարամետրերի ցուցիչների ամբողջական </w:t>
            </w:r>
            <w:r w:rsidRPr="003B2786">
              <w:rPr>
                <w:rStyle w:val="Bodytext1811pt"/>
                <w:rFonts w:ascii="Sylfaen" w:hAnsi="Sylfaen"/>
                <w:sz w:val="24"/>
                <w:szCs w:val="24"/>
              </w:rPr>
              <w:lastRenderedPageBreak/>
              <w:t>մեխանիստական ընկալում:</w:t>
            </w:r>
          </w:p>
          <w:p w14:paraId="53C18438"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Նախագծային դաշտի նկարագրությունն աղյուսակի տեսքով,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41FA393A" w14:textId="77777777" w:rsidR="008C76E0" w:rsidRPr="008C76E0" w:rsidRDefault="008C76E0" w:rsidP="008C76E0">
            <w:pPr>
              <w:pStyle w:val="Bodytext180"/>
              <w:shd w:val="clear" w:color="auto" w:fill="auto"/>
              <w:tabs>
                <w:tab w:val="left" w:pos="573"/>
              </w:tabs>
              <w:spacing w:before="0" w:after="120" w:line="240" w:lineRule="auto"/>
              <w:ind w:left="52"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1E11AD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43E8880" w14:textId="77777777" w:rsidR="008C76E0" w:rsidRPr="008C76E0" w:rsidRDefault="008C76E0" w:rsidP="008C76E0">
            <w:pPr>
              <w:pStyle w:val="Bodytext180"/>
              <w:shd w:val="clear" w:color="auto" w:fill="auto"/>
              <w:tabs>
                <w:tab w:val="left" w:pos="1076"/>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Բ.I.ե.2.</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ներմուծումը</w:t>
            </w:r>
          </w:p>
        </w:tc>
        <w:tc>
          <w:tcPr>
            <w:tcW w:w="1655" w:type="dxa"/>
            <w:gridSpan w:val="3"/>
            <w:tcBorders>
              <w:top w:val="single" w:sz="4" w:space="0" w:color="auto"/>
              <w:left w:val="single" w:sz="4" w:space="0" w:color="auto"/>
            </w:tcBorders>
            <w:shd w:val="clear" w:color="auto" w:fill="FFFFFF"/>
          </w:tcPr>
          <w:p w14:paraId="5E07619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C3744C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F557FB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43FCF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7344B09" w14:textId="77777777" w:rsidR="008C76E0" w:rsidRPr="003B2786" w:rsidRDefault="008C76E0" w:rsidP="008C76E0">
            <w:pPr>
              <w:spacing w:after="120" w:line="240" w:lineRule="auto"/>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C2F5CF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00ED25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33A72B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990053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E4C7D80" w14:textId="77777777" w:rsidR="008C76E0" w:rsidRPr="008C76E0" w:rsidRDefault="008C76E0" w:rsidP="008C76E0">
            <w:pPr>
              <w:pStyle w:val="Bodytext180"/>
              <w:shd w:val="clear" w:color="auto" w:fill="auto"/>
              <w:spacing w:before="0" w:after="120" w:line="240" w:lineRule="auto"/>
              <w:ind w:left="51" w:right="4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777550"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փոփոխության մանրամասն նկարագրությունը:</w:t>
            </w:r>
          </w:p>
          <w:p w14:paraId="7CDC416B"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բաղադրամասին առնչվող փոփոխությունների կառավարման արձանագրությունը։</w:t>
            </w:r>
          </w:p>
          <w:p w14:paraId="28C6B164" w14:textId="77777777" w:rsidR="008C76E0" w:rsidRPr="008C76E0" w:rsidRDefault="008C76E0" w:rsidP="008C76E0">
            <w:pPr>
              <w:pStyle w:val="Bodytext180"/>
              <w:shd w:val="clear" w:color="auto" w:fill="auto"/>
              <w:tabs>
                <w:tab w:val="left" w:pos="573"/>
              </w:tabs>
              <w:spacing w:before="0" w:after="120" w:line="240" w:lineRule="auto"/>
              <w:ind w:left="52" w:right="3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24118D3D"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5242E06" w14:textId="77777777" w:rsidR="008C76E0" w:rsidRPr="008C76E0" w:rsidRDefault="008C76E0" w:rsidP="008C76E0">
            <w:pPr>
              <w:pStyle w:val="Bodytext180"/>
              <w:shd w:val="clear" w:color="auto" w:fill="auto"/>
              <w:tabs>
                <w:tab w:val="left" w:pos="1116"/>
              </w:tabs>
              <w:spacing w:before="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Բ.I.ե.З.</w:t>
            </w:r>
            <w:r w:rsidRPr="003B2786">
              <w:rPr>
                <w:rStyle w:val="Bodytext1811pt"/>
                <w:rFonts w:ascii="Sylfaen" w:hAnsi="Sylfaen"/>
                <w:sz w:val="24"/>
                <w:szCs w:val="24"/>
              </w:rPr>
              <w:tab/>
              <w:t>Ակտիվ դեղագործական բաղադրամասին առնչվող փոփոխությունների կառավարման հետգրանցումային արձանագրության բացառումը</w:t>
            </w:r>
          </w:p>
        </w:tc>
        <w:tc>
          <w:tcPr>
            <w:tcW w:w="1655" w:type="dxa"/>
            <w:gridSpan w:val="3"/>
            <w:tcBorders>
              <w:top w:val="single" w:sz="4" w:space="0" w:color="auto"/>
              <w:left w:val="single" w:sz="4" w:space="0" w:color="auto"/>
            </w:tcBorders>
            <w:shd w:val="clear" w:color="auto" w:fill="FFFFFF"/>
          </w:tcPr>
          <w:p w14:paraId="6806745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5AAB3255"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74B6CE34"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5B224C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506429D0" w14:textId="77777777" w:rsidR="008C76E0" w:rsidRPr="003B2786" w:rsidRDefault="008C76E0" w:rsidP="008C76E0">
            <w:pPr>
              <w:spacing w:after="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2DA4E36F"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29B5EF1E"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43A32AEA" w14:textId="77777777" w:rsidR="008C76E0" w:rsidRPr="003B2786" w:rsidRDefault="008C76E0" w:rsidP="008C76E0">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45ACE0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E38E078"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7084C0F"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Ակտիվ դեղագործական բաղադրամասին առնչվող փոփոխությունների կառավարման հետգրանցումային արձանագրության բացառումը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անկանխատեսելի իրավիճակների կամ արձանագրության մեջ նկարագրված փոփոխություններ կատարելու ընթացքում մասնագրերի անհամապատասխանության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գրանցման դոսյեում ներառված հաստատված տեղեկությունների վրա։</w:t>
            </w:r>
          </w:p>
        </w:tc>
      </w:tr>
      <w:tr w:rsidR="008C76E0" w:rsidRPr="003B2786" w14:paraId="36E8B5E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A9E3EE0"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3DF05E5"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2DF1F8F6" w14:textId="77777777" w:rsidR="008C76E0" w:rsidRPr="008C76E0" w:rsidRDefault="008C76E0" w:rsidP="008C76E0">
            <w:pPr>
              <w:pStyle w:val="Bodytext180"/>
              <w:shd w:val="clear" w:color="auto" w:fill="auto"/>
              <w:tabs>
                <w:tab w:val="left" w:pos="532"/>
              </w:tabs>
              <w:spacing w:before="0" w:line="240" w:lineRule="auto"/>
              <w:ind w:left="5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tc>
      </w:tr>
      <w:tr w:rsidR="008C76E0" w:rsidRPr="003B2786" w14:paraId="5F105EB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89661A4" w14:textId="77777777" w:rsidR="008C76E0" w:rsidRPr="008C76E0" w:rsidRDefault="008C76E0" w:rsidP="008C76E0">
            <w:pPr>
              <w:pStyle w:val="Bodytext180"/>
              <w:shd w:val="clear" w:color="auto" w:fill="auto"/>
              <w:tabs>
                <w:tab w:val="left" w:pos="532"/>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t>ԲI.ե.4.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655" w:type="dxa"/>
            <w:gridSpan w:val="3"/>
            <w:tcBorders>
              <w:top w:val="single" w:sz="4" w:space="0" w:color="auto"/>
              <w:left w:val="single" w:sz="4" w:space="0" w:color="auto"/>
            </w:tcBorders>
            <w:shd w:val="clear" w:color="auto" w:fill="FFFFFF"/>
          </w:tcPr>
          <w:p w14:paraId="5C2C8F7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487CB1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5887713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C128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20DA038"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նշանակալի փոփոխությունները</w:t>
            </w:r>
          </w:p>
        </w:tc>
        <w:tc>
          <w:tcPr>
            <w:tcW w:w="1655" w:type="dxa"/>
            <w:gridSpan w:val="3"/>
            <w:tcBorders>
              <w:top w:val="single" w:sz="4" w:space="0" w:color="auto"/>
              <w:left w:val="single" w:sz="4" w:space="0" w:color="auto"/>
            </w:tcBorders>
            <w:shd w:val="clear" w:color="auto" w:fill="FFFFFF"/>
          </w:tcPr>
          <w:p w14:paraId="2FC837BF"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2F0F6517"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A600D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E55011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DDE87D9" w14:textId="77777777" w:rsidR="008C76E0" w:rsidRPr="008C76E0" w:rsidRDefault="008C76E0" w:rsidP="008C76E0">
            <w:pPr>
              <w:pStyle w:val="Bodytext180"/>
              <w:shd w:val="clear" w:color="auto" w:fill="auto"/>
              <w:tabs>
                <w:tab w:val="left" w:pos="532"/>
              </w:tabs>
              <w:spacing w:before="0" w:after="120" w:line="240" w:lineRule="auto"/>
              <w:ind w:left="51"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փոփոխությունների կառավարման արձանագրության ոչ նշանակալի </w:t>
            </w:r>
            <w:r w:rsidRPr="003B2786">
              <w:rPr>
                <w:rStyle w:val="Bodytext1811pt"/>
                <w:rFonts w:ascii="Sylfaen" w:hAnsi="Sylfaen"/>
                <w:sz w:val="24"/>
                <w:szCs w:val="24"/>
              </w:rPr>
              <w:lastRenderedPageBreak/>
              <w:t>փոփոխությունները, որոնք չեն փոխում արձանագրության մեջ նկարագրված ռազմավարությունը</w:t>
            </w:r>
          </w:p>
        </w:tc>
        <w:tc>
          <w:tcPr>
            <w:tcW w:w="1655" w:type="dxa"/>
            <w:gridSpan w:val="3"/>
            <w:tcBorders>
              <w:top w:val="single" w:sz="4" w:space="0" w:color="auto"/>
              <w:left w:val="single" w:sz="4" w:space="0" w:color="auto"/>
            </w:tcBorders>
            <w:shd w:val="clear" w:color="auto" w:fill="FFFFFF"/>
          </w:tcPr>
          <w:p w14:paraId="1D0E7763"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4F06C57D"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1</w:t>
            </w:r>
          </w:p>
        </w:tc>
        <w:tc>
          <w:tcPr>
            <w:tcW w:w="2098" w:type="dxa"/>
            <w:gridSpan w:val="3"/>
            <w:tcBorders>
              <w:top w:val="single" w:sz="4" w:space="0" w:color="auto"/>
              <w:left w:val="single" w:sz="4" w:space="0" w:color="auto"/>
              <w:right w:val="single" w:sz="4" w:space="0" w:color="auto"/>
            </w:tcBorders>
            <w:shd w:val="clear" w:color="auto" w:fill="FFFFFF"/>
          </w:tcPr>
          <w:p w14:paraId="51D332E9" w14:textId="77777777" w:rsidR="008C76E0" w:rsidRPr="003B2786" w:rsidRDefault="008C76E0" w:rsidP="008C76E0">
            <w:pPr>
              <w:pStyle w:val="Bodytext180"/>
              <w:shd w:val="clear" w:color="auto" w:fill="auto"/>
              <w:spacing w:before="0" w:after="120" w:line="240" w:lineRule="auto"/>
              <w:ind w:left="51"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A48764F"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tcPr>
          <w:p w14:paraId="0E16BCA6" w14:textId="77777777" w:rsidR="008C76E0" w:rsidRPr="008C76E0" w:rsidRDefault="008C76E0" w:rsidP="008C76E0">
            <w:pPr>
              <w:pStyle w:val="Bodytext180"/>
              <w:shd w:val="clear" w:color="auto" w:fill="auto"/>
              <w:spacing w:before="0" w:line="240" w:lineRule="auto"/>
              <w:ind w:left="51" w:right="4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4FED1F" w14:textId="2F692AD7" w:rsidR="008C76E0" w:rsidRPr="008C76E0" w:rsidRDefault="0056496B" w:rsidP="008C76E0">
            <w:pPr>
              <w:pStyle w:val="Bodytext180"/>
              <w:shd w:val="clear" w:color="auto" w:fill="auto"/>
              <w:spacing w:before="0" w:line="240" w:lineRule="auto"/>
              <w:ind w:left="51" w:right="45" w:firstLine="0"/>
              <w:jc w:val="both"/>
              <w:rPr>
                <w:rFonts w:ascii="Sylfaen" w:hAnsi="Sylfaen"/>
                <w:b w:val="0"/>
                <w:sz w:val="24"/>
                <w:szCs w:val="24"/>
                <w:lang w:val="hy-AM"/>
              </w:rPr>
            </w:pPr>
            <w:r>
              <w:rPr>
                <w:rStyle w:val="Bodytext1811pt"/>
                <w:rFonts w:ascii="Sylfaen" w:hAnsi="Sylfaen"/>
                <w:sz w:val="24"/>
                <w:szCs w:val="24"/>
              </w:rPr>
              <w:t>Դիմում</w:t>
            </w:r>
            <w:r w:rsidR="008C76E0" w:rsidRPr="003B2786">
              <w:rPr>
                <w:rStyle w:val="Bodytext1811pt"/>
                <w:rFonts w:ascii="Sylfaen" w:hAnsi="Sylfaen"/>
                <w:sz w:val="24"/>
                <w:szCs w:val="24"/>
              </w:rPr>
              <w:t>արարագիր այն մասին, որ ցանկացած փոփոխություն պետք է տեղավորվի ընդունելիության գործող հաստատված չափորոշիչների տիրույթում: Բացի այդ,</w:t>
            </w:r>
            <w:r w:rsidR="005A46D4">
              <w:rPr>
                <w:rStyle w:val="Bodytext1811pt"/>
                <w:rFonts w:ascii="Sylfaen" w:hAnsi="Sylfaen"/>
                <w:sz w:val="24"/>
                <w:szCs w:val="24"/>
              </w:rPr>
              <w:t>հայտարարագիր</w:t>
            </w:r>
            <w:r w:rsidR="008C76E0"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tc>
      </w:tr>
      <w:tr w:rsidR="008C76E0" w:rsidRPr="003B2786" w14:paraId="41C7FE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8EF8972" w14:textId="77777777" w:rsidR="008C76E0" w:rsidRPr="008C76E0" w:rsidRDefault="008C76E0" w:rsidP="008C76E0">
            <w:pPr>
              <w:pStyle w:val="Bodytext180"/>
              <w:shd w:val="clear" w:color="auto" w:fill="auto"/>
              <w:tabs>
                <w:tab w:val="left" w:pos="560"/>
                <w:tab w:val="left" w:pos="1089"/>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Բ.I.ե.5.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655" w:type="dxa"/>
            <w:gridSpan w:val="3"/>
            <w:tcBorders>
              <w:top w:val="single" w:sz="4" w:space="0" w:color="auto"/>
              <w:left w:val="single" w:sz="4" w:space="0" w:color="auto"/>
            </w:tcBorders>
            <w:shd w:val="clear" w:color="auto" w:fill="FFFFFF"/>
          </w:tcPr>
          <w:p w14:paraId="58789E9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266938A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AF868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2C48DB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0727D20"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իրականացումը չի պահանջում լրացուցիչ օժանդակ տվյալներ</w:t>
            </w:r>
          </w:p>
        </w:tc>
        <w:tc>
          <w:tcPr>
            <w:tcW w:w="1655" w:type="dxa"/>
            <w:gridSpan w:val="3"/>
            <w:tcBorders>
              <w:top w:val="single" w:sz="4" w:space="0" w:color="auto"/>
              <w:left w:val="single" w:sz="4" w:space="0" w:color="auto"/>
            </w:tcBorders>
            <w:shd w:val="clear" w:color="auto" w:fill="FFFFFF"/>
          </w:tcPr>
          <w:p w14:paraId="3337093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2042" w:type="dxa"/>
            <w:gridSpan w:val="3"/>
            <w:tcBorders>
              <w:top w:val="single" w:sz="4" w:space="0" w:color="auto"/>
              <w:left w:val="single" w:sz="4" w:space="0" w:color="auto"/>
            </w:tcBorders>
            <w:shd w:val="clear" w:color="auto" w:fill="FFFFFF"/>
          </w:tcPr>
          <w:p w14:paraId="616985F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2844CEF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06D096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97E1B04" w14:textId="77777777" w:rsidR="008C76E0" w:rsidRPr="008C76E0" w:rsidRDefault="008C76E0" w:rsidP="008C76E0">
            <w:pPr>
              <w:pStyle w:val="Bodytext180"/>
              <w:shd w:val="clear" w:color="auto" w:fill="auto"/>
              <w:tabs>
                <w:tab w:val="left" w:pos="560"/>
              </w:tabs>
              <w:spacing w:before="0" w:after="120" w:line="240" w:lineRule="auto"/>
              <w:ind w:left="51" w:right="5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իրականացումը պահանջում է լրացուցիչ օժանդակ տվյալներ</w:t>
            </w:r>
          </w:p>
        </w:tc>
        <w:tc>
          <w:tcPr>
            <w:tcW w:w="1655" w:type="dxa"/>
            <w:gridSpan w:val="3"/>
            <w:tcBorders>
              <w:top w:val="single" w:sz="4" w:space="0" w:color="auto"/>
              <w:left w:val="single" w:sz="4" w:space="0" w:color="auto"/>
            </w:tcBorders>
            <w:shd w:val="clear" w:color="auto" w:fill="FFFFFF"/>
          </w:tcPr>
          <w:p w14:paraId="75DF71C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1D770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98" w:type="dxa"/>
            <w:gridSpan w:val="3"/>
            <w:tcBorders>
              <w:top w:val="single" w:sz="4" w:space="0" w:color="auto"/>
              <w:left w:val="single" w:sz="4" w:space="0" w:color="auto"/>
              <w:right w:val="single" w:sz="4" w:space="0" w:color="auto"/>
            </w:tcBorders>
            <w:shd w:val="clear" w:color="auto" w:fill="FFFFFF"/>
          </w:tcPr>
          <w:p w14:paraId="3D6B176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1DBEC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020DB4F8"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իրականացումը</w:t>
            </w:r>
          </w:p>
        </w:tc>
        <w:tc>
          <w:tcPr>
            <w:tcW w:w="1655" w:type="dxa"/>
            <w:gridSpan w:val="3"/>
            <w:tcBorders>
              <w:top w:val="single" w:sz="4" w:space="0" w:color="auto"/>
              <w:left w:val="single" w:sz="4" w:space="0" w:color="auto"/>
            </w:tcBorders>
            <w:shd w:val="clear" w:color="auto" w:fill="FFFFFF"/>
          </w:tcPr>
          <w:p w14:paraId="62E442B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9DF6DC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3B831DD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57981A"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02D2FDE"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091FB03" w14:textId="77777777" w:rsidR="008C76E0" w:rsidRPr="008C76E0" w:rsidRDefault="008C76E0" w:rsidP="008C76E0">
            <w:pPr>
              <w:pStyle w:val="Bodytext180"/>
              <w:shd w:val="clear" w:color="auto" w:fill="auto"/>
              <w:spacing w:before="0" w:after="120" w:line="240" w:lineRule="auto"/>
              <w:ind w:right="44" w:firstLine="0"/>
              <w:jc w:val="both"/>
              <w:rPr>
                <w:rFonts w:ascii="Sylfaen" w:hAnsi="Sylfaen"/>
                <w:b w:val="0"/>
                <w:sz w:val="24"/>
                <w:szCs w:val="24"/>
                <w:lang w:val="hy-AM"/>
              </w:rPr>
            </w:pPr>
            <w:r w:rsidRPr="003B2786">
              <w:rPr>
                <w:rStyle w:val="Bodytext1811pt"/>
                <w:rFonts w:ascii="Sylfaen" w:hAnsi="Sylfaen"/>
                <w:sz w:val="24"/>
                <w:szCs w:val="24"/>
              </w:rPr>
              <w:t>Առաջարկվող փոփոխությունն իրականացվել է փոփոխությունների կառավարման հաստատված արձանագրությանը լիովին համապատասխան:</w:t>
            </w:r>
          </w:p>
        </w:tc>
      </w:tr>
      <w:tr w:rsidR="008C76E0" w:rsidRPr="003B2786" w14:paraId="7AF1E2AB"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A7308E4"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28FEC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Հղում՝ փոփոխությունների կառավարման հաստատված արձանագրությանը:</w:t>
            </w:r>
          </w:p>
          <w:p w14:paraId="51C3CE7F" w14:textId="5F063872"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որ ուսումնասիրության արդյունքները բավարարում են արձանագրության մեջ նախօրոք պայմանավորված ընդունելիության չափորոշիչներին: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գնահատական:</w:t>
            </w:r>
          </w:p>
          <w:p w14:paraId="5FD5B7AD"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Հետազոտության արդյունքները, որոնք անցկացվել են փոփոխությունների կառավարման հաստատված արձանագրությանը համապատասխան:</w:t>
            </w:r>
          </w:p>
          <w:p w14:paraId="24F44403"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ուղղումը:</w:t>
            </w:r>
          </w:p>
          <w:p w14:paraId="49E1EA9A" w14:textId="77777777" w:rsidR="008C76E0" w:rsidRPr="008C76E0" w:rsidRDefault="008C76E0" w:rsidP="008C76E0">
            <w:pPr>
              <w:pStyle w:val="Bodytext180"/>
              <w:shd w:val="clear" w:color="auto" w:fill="auto"/>
              <w:tabs>
                <w:tab w:val="left" w:pos="614"/>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Դեղագործական ակտիվ բաղադրամասի վերաբերյալ հաստատված մասնագրերի պատճենը։</w:t>
            </w:r>
          </w:p>
        </w:tc>
      </w:tr>
      <w:tr w:rsidR="008C76E0" w:rsidRPr="003B2786" w14:paraId="0DBEFEEA" w14:textId="77777777" w:rsidTr="008C76E0">
        <w:trPr>
          <w:gridAfter w:val="1"/>
          <w:wAfter w:w="14" w:type="dxa"/>
          <w:jc w:val="center"/>
        </w:trPr>
        <w:tc>
          <w:tcPr>
            <w:tcW w:w="10387" w:type="dxa"/>
            <w:gridSpan w:val="14"/>
            <w:tcBorders>
              <w:top w:val="single" w:sz="4" w:space="0" w:color="auto"/>
            </w:tcBorders>
            <w:shd w:val="clear" w:color="auto" w:fill="FFFFFF"/>
            <w:vAlign w:val="bottom"/>
          </w:tcPr>
          <w:p w14:paraId="2C91BA53" w14:textId="77777777" w:rsidR="008C76E0" w:rsidRPr="003B2786" w:rsidRDefault="008C76E0" w:rsidP="008C76E0">
            <w:pPr>
              <w:pStyle w:val="Bodytext180"/>
              <w:shd w:val="clear" w:color="auto" w:fill="auto"/>
              <w:spacing w:before="0" w:after="120" w:line="240" w:lineRule="auto"/>
              <w:ind w:right="-1" w:firstLine="0"/>
              <w:jc w:val="both"/>
              <w:rPr>
                <w:rStyle w:val="Bodytext295pt"/>
                <w:rFonts w:ascii="Sylfaen" w:hAnsi="Sylfaen"/>
                <w:sz w:val="24"/>
                <w:szCs w:val="24"/>
              </w:rPr>
            </w:pPr>
            <w:r w:rsidRPr="003B2786">
              <w:rPr>
                <w:rStyle w:val="Bodytext295pt"/>
                <w:rFonts w:ascii="Sylfaen" w:hAnsi="Sylfaen"/>
                <w:sz w:val="24"/>
                <w:szCs w:val="24"/>
              </w:rPr>
              <w:lastRenderedPageBreak/>
              <w:t>Բ.II</w:t>
            </w:r>
            <w:r w:rsidRPr="003B2786">
              <w:rPr>
                <w:rStyle w:val="Bodytext295pt"/>
                <w:rFonts w:ascii="Sylfaen" w:hAnsi="Sylfaen"/>
                <w:sz w:val="24"/>
                <w:szCs w:val="24"/>
              </w:rPr>
              <w:tab/>
              <w:t>Դեղապատրաստուկ</w:t>
            </w:r>
          </w:p>
          <w:p w14:paraId="6DA5D3E6" w14:textId="77777777" w:rsidR="008C76E0" w:rsidRPr="008C76E0" w:rsidRDefault="008C76E0" w:rsidP="008C76E0">
            <w:pPr>
              <w:pStyle w:val="Bodytext180"/>
              <w:shd w:val="clear" w:color="auto" w:fill="auto"/>
              <w:spacing w:before="0" w:after="120" w:line="240" w:lineRule="auto"/>
              <w:ind w:right="-1" w:firstLine="0"/>
              <w:jc w:val="both"/>
              <w:rPr>
                <w:rFonts w:ascii="Sylfaen" w:hAnsi="Sylfaen"/>
                <w:sz w:val="24"/>
                <w:szCs w:val="24"/>
                <w:lang w:val="hy-AM"/>
              </w:rPr>
            </w:pPr>
            <w:r w:rsidRPr="003B2786">
              <w:rPr>
                <w:rStyle w:val="Bodytext295pt"/>
                <w:rFonts w:ascii="Sylfaen" w:hAnsi="Sylfaen"/>
                <w:sz w:val="24"/>
                <w:szCs w:val="24"/>
              </w:rPr>
              <w:t xml:space="preserve"> Б.II.ա) Արտաքին տեսքը </w:t>
            </w:r>
            <w:r w:rsidR="00C54D75">
              <w:rPr>
                <w:rStyle w:val="Bodytext295pt"/>
                <w:rFonts w:ascii="Sylfaen" w:hAnsi="Sylfaen"/>
                <w:sz w:val="24"/>
                <w:szCs w:val="24"/>
              </w:rPr>
              <w:t>և</w:t>
            </w:r>
            <w:r w:rsidRPr="003B2786">
              <w:rPr>
                <w:rStyle w:val="Bodytext295pt"/>
                <w:rFonts w:ascii="Sylfaen" w:hAnsi="Sylfaen"/>
                <w:sz w:val="24"/>
                <w:szCs w:val="24"/>
              </w:rPr>
              <w:t xml:space="preserve"> բաղադրությունը</w:t>
            </w:r>
          </w:p>
        </w:tc>
      </w:tr>
      <w:tr w:rsidR="008C76E0" w:rsidRPr="003B2786" w14:paraId="53C755E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3462142" w14:textId="77777777" w:rsidR="008C76E0" w:rsidRPr="008C76E0" w:rsidRDefault="008C76E0" w:rsidP="008C76E0">
            <w:pPr>
              <w:pStyle w:val="Bodytext180"/>
              <w:shd w:val="clear" w:color="auto" w:fill="auto"/>
              <w:tabs>
                <w:tab w:val="left" w:pos="1130"/>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Բ.II.ա.1.</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փոփոխությունը կամ ավելացումը, այդ թվում՝ թանաքի փոփոխությունը կամ ավելացումը, որոնք օգտագործվել են դեղապատրաստուկի արտադրության ժամանակ</w:t>
            </w:r>
          </w:p>
        </w:tc>
        <w:tc>
          <w:tcPr>
            <w:tcW w:w="1655" w:type="dxa"/>
            <w:gridSpan w:val="3"/>
            <w:tcBorders>
              <w:top w:val="single" w:sz="4" w:space="0" w:color="auto"/>
              <w:left w:val="single" w:sz="4" w:space="0" w:color="auto"/>
            </w:tcBorders>
            <w:shd w:val="clear" w:color="auto" w:fill="FFFFFF"/>
          </w:tcPr>
          <w:p w14:paraId="6476E16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3FB213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D954D6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013D9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2136CDC4"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դրոշմվածքների, փորագրության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այլ նշանների փոփոխությունները</w:t>
            </w:r>
          </w:p>
        </w:tc>
        <w:tc>
          <w:tcPr>
            <w:tcW w:w="1655" w:type="dxa"/>
            <w:gridSpan w:val="3"/>
            <w:tcBorders>
              <w:top w:val="single" w:sz="4" w:space="0" w:color="auto"/>
              <w:left w:val="single" w:sz="4" w:space="0" w:color="auto"/>
            </w:tcBorders>
            <w:shd w:val="clear" w:color="auto" w:fill="FFFFFF"/>
          </w:tcPr>
          <w:p w14:paraId="4E80AC0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39552C0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13865F4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0FF358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BA4C929" w14:textId="77777777" w:rsidR="008C76E0" w:rsidRPr="008C76E0" w:rsidRDefault="008C76E0" w:rsidP="008C76E0">
            <w:pPr>
              <w:pStyle w:val="Bodytext180"/>
              <w:shd w:val="clear" w:color="auto" w:fill="auto"/>
              <w:tabs>
                <w:tab w:val="left" w:pos="560"/>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կտրման գծերի (կոտրելու գծերի) փոփոխությունը, որոնք նախատեսված են հավասար դոզաների բաժանելու համար</w:t>
            </w:r>
          </w:p>
        </w:tc>
        <w:tc>
          <w:tcPr>
            <w:tcW w:w="1655" w:type="dxa"/>
            <w:gridSpan w:val="3"/>
            <w:tcBorders>
              <w:top w:val="single" w:sz="4" w:space="0" w:color="auto"/>
              <w:left w:val="single" w:sz="4" w:space="0" w:color="auto"/>
            </w:tcBorders>
            <w:shd w:val="clear" w:color="auto" w:fill="FFFFFF"/>
          </w:tcPr>
          <w:p w14:paraId="3BC5F4A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4484EF7"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w:t>
            </w:r>
          </w:p>
        </w:tc>
        <w:tc>
          <w:tcPr>
            <w:tcW w:w="2098" w:type="dxa"/>
            <w:gridSpan w:val="3"/>
            <w:tcBorders>
              <w:top w:val="single" w:sz="4" w:space="0" w:color="auto"/>
              <w:left w:val="single" w:sz="4" w:space="0" w:color="auto"/>
              <w:right w:val="single" w:sz="4" w:space="0" w:color="auto"/>
            </w:tcBorders>
            <w:shd w:val="clear" w:color="auto" w:fill="FFFFFF"/>
          </w:tcPr>
          <w:p w14:paraId="550A237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32241F2"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9B4E603" w14:textId="77777777" w:rsidR="008C76E0" w:rsidRPr="008C76E0" w:rsidRDefault="008C76E0" w:rsidP="008C76E0">
            <w:pPr>
              <w:pStyle w:val="Bodytext180"/>
              <w:shd w:val="clear" w:color="auto" w:fill="auto"/>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BE8F1DD"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փոփոխվում (բացառությամբ արտաքին տեսքի):</w:t>
            </w:r>
          </w:p>
          <w:p w14:paraId="02935207"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Բոլոր թանաքները պետք է համապատասխանեն գործող դեղագործական օրենսդրությանը:</w:t>
            </w:r>
          </w:p>
          <w:p w14:paraId="68BE867F"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Կտրման գծերը (կոտրելու գծերը) նախատեսված չեն հավասար դոզաների բաժանելու համար:</w:t>
            </w:r>
          </w:p>
          <w:p w14:paraId="703A9991" w14:textId="77777777" w:rsidR="008C76E0" w:rsidRPr="008C76E0" w:rsidRDefault="008C76E0" w:rsidP="008C76E0">
            <w:pPr>
              <w:pStyle w:val="Bodytext180"/>
              <w:shd w:val="clear" w:color="auto" w:fill="auto"/>
              <w:tabs>
                <w:tab w:val="left" w:pos="60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Դեղապատրաստուկի նշանները, որոնք օգտագործվում են դոզավորման տարբերակման համար, ամբողջությամբ հեռացված չեն:</w:t>
            </w:r>
          </w:p>
        </w:tc>
      </w:tr>
      <w:tr w:rsidR="008C76E0" w:rsidRPr="003B2786" w14:paraId="6F87B72B"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2448948B" w14:textId="77777777" w:rsidR="008C76E0" w:rsidRPr="003B2786" w:rsidRDefault="008C76E0" w:rsidP="008C76E0">
            <w:pPr>
              <w:pStyle w:val="Bodytext180"/>
              <w:shd w:val="clear" w:color="auto" w:fill="auto"/>
              <w:spacing w:before="0" w:after="120" w:line="240" w:lineRule="auto"/>
              <w:ind w:left="40" w:right="45" w:firstLine="0"/>
              <w:jc w:val="both"/>
              <w:rPr>
                <w:rFonts w:ascii="Sylfaen" w:hAnsi="Sylfaen"/>
                <w:b w:val="0"/>
                <w:sz w:val="24"/>
                <w:szCs w:val="24"/>
              </w:rPr>
            </w:pPr>
            <w:r w:rsidRPr="003B2786">
              <w:rPr>
                <w:rStyle w:val="Bodytext1811pt"/>
                <w:rFonts w:ascii="Sylfaen" w:hAnsi="Sylfaen"/>
                <w:sz w:val="24"/>
                <w:szCs w:val="24"/>
              </w:rPr>
              <w:t>Փաստաթղթերը</w:t>
            </w:r>
          </w:p>
          <w:p w14:paraId="0F7751BF" w14:textId="77777777" w:rsidR="008C76E0" w:rsidRPr="003B2786" w:rsidRDefault="008C76E0" w:rsidP="008C76E0">
            <w:pPr>
              <w:pStyle w:val="Bodytext180"/>
              <w:numPr>
                <w:ilvl w:val="0"/>
                <w:numId w:val="19"/>
              </w:numPr>
              <w:shd w:val="clear" w:color="auto" w:fill="auto"/>
              <w:spacing w:before="0" w:after="120" w:line="240" w:lineRule="auto"/>
              <w:ind w:left="40" w:right="45"/>
              <w:jc w:val="both"/>
              <w:rPr>
                <w:rFonts w:ascii="Sylfaen" w:hAnsi="Sylfaen"/>
                <w:b w:val="0"/>
                <w:sz w:val="24"/>
                <w:szCs w:val="24"/>
              </w:rPr>
            </w:pP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արտաքին տեսքի մանրամասն գրաֆիկական կամ նկարագրական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tc>
      </w:tr>
      <w:tr w:rsidR="008C76E0" w:rsidRPr="003B2786" w14:paraId="12510B2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448AE1F5"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1F0B5F3B" w14:textId="77777777" w:rsidR="008C76E0" w:rsidRPr="008C76E0" w:rsidRDefault="008C76E0" w:rsidP="008C76E0">
            <w:pPr>
              <w:pStyle w:val="Bodytext180"/>
              <w:shd w:val="clear" w:color="auto" w:fill="auto"/>
              <w:tabs>
                <w:tab w:val="left" w:pos="600"/>
              </w:tabs>
              <w:spacing w:before="0" w:after="12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Հատկությունների համարժեքության համապատասխան փորձարկման արդյունքները (դոզավորման ճշտությունը), որոնք հաստատվում են ըստ Միության դեղագրքի:</w:t>
            </w:r>
          </w:p>
        </w:tc>
      </w:tr>
      <w:tr w:rsidR="008C76E0" w:rsidRPr="003B2786" w14:paraId="7F334652"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A251A1A" w14:textId="77777777" w:rsidR="008C76E0" w:rsidRPr="008C76E0" w:rsidRDefault="008C76E0" w:rsidP="008C76E0">
            <w:pPr>
              <w:pStyle w:val="Bodytext180"/>
              <w:shd w:val="clear" w:color="auto" w:fill="auto"/>
              <w:tabs>
                <w:tab w:val="left" w:pos="1157"/>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Բ.II.ա.2.</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 տեսակի կամ չափսերի փոփոխությունը</w:t>
            </w:r>
          </w:p>
        </w:tc>
        <w:tc>
          <w:tcPr>
            <w:tcW w:w="1655" w:type="dxa"/>
            <w:gridSpan w:val="3"/>
            <w:tcBorders>
              <w:top w:val="single" w:sz="4" w:space="0" w:color="auto"/>
              <w:left w:val="single" w:sz="4" w:space="0" w:color="auto"/>
            </w:tcBorders>
            <w:shd w:val="clear" w:color="auto" w:fill="FFFFFF"/>
          </w:tcPr>
          <w:p w14:paraId="0C672FDD"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A3F1A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457A4845"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ADDD4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D1DAE06"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հաբեր, դեղապատիճներ, մոմիկներ </w:t>
            </w:r>
            <w:r w:rsidR="00C54D75">
              <w:rPr>
                <w:rStyle w:val="Bodytext1811pt"/>
                <w:rFonts w:ascii="Sylfaen" w:hAnsi="Sylfaen"/>
                <w:sz w:val="24"/>
                <w:szCs w:val="24"/>
              </w:rPr>
              <w:t>և</w:t>
            </w:r>
            <w:r w:rsidRPr="003B2786">
              <w:rPr>
                <w:rStyle w:val="Bodytext1811pt"/>
                <w:rFonts w:ascii="Sylfaen" w:hAnsi="Sylfaen"/>
                <w:sz w:val="24"/>
                <w:szCs w:val="24"/>
              </w:rPr>
              <w:t xml:space="preserve"> հակաբեղմնավորիչ օղակներ՝ արագ ձերբազատմամբ</w:t>
            </w:r>
          </w:p>
        </w:tc>
        <w:tc>
          <w:tcPr>
            <w:tcW w:w="1655" w:type="dxa"/>
            <w:gridSpan w:val="3"/>
            <w:tcBorders>
              <w:top w:val="single" w:sz="4" w:space="0" w:color="auto"/>
              <w:left w:val="single" w:sz="4" w:space="0" w:color="auto"/>
            </w:tcBorders>
            <w:shd w:val="clear" w:color="auto" w:fill="FFFFFF"/>
          </w:tcPr>
          <w:p w14:paraId="26AA0E4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64F345A9"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1, 4</w:t>
            </w:r>
          </w:p>
        </w:tc>
        <w:tc>
          <w:tcPr>
            <w:tcW w:w="2098" w:type="dxa"/>
            <w:gridSpan w:val="3"/>
            <w:tcBorders>
              <w:top w:val="single" w:sz="4" w:space="0" w:color="auto"/>
              <w:left w:val="single" w:sz="4" w:space="0" w:color="auto"/>
              <w:right w:val="single" w:sz="4" w:space="0" w:color="auto"/>
            </w:tcBorders>
            <w:shd w:val="clear" w:color="auto" w:fill="FFFFFF"/>
          </w:tcPr>
          <w:p w14:paraId="63C44C3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9E238F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50F0F8A" w14:textId="77777777" w:rsidR="008C76E0" w:rsidRPr="008C76E0" w:rsidRDefault="008C76E0" w:rsidP="008C76E0">
            <w:pPr>
              <w:pStyle w:val="Bodytext180"/>
              <w:shd w:val="clear" w:color="auto" w:fill="auto"/>
              <w:tabs>
                <w:tab w:val="left" w:pos="505"/>
              </w:tabs>
              <w:spacing w:before="0" w:after="12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մոդիֆիկացված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 </w:t>
            </w:r>
            <w:r w:rsidR="00C54D75">
              <w:rPr>
                <w:rStyle w:val="Bodytext1811pt"/>
                <w:rFonts w:ascii="Sylfaen" w:hAnsi="Sylfaen"/>
                <w:sz w:val="24"/>
                <w:szCs w:val="24"/>
              </w:rPr>
              <w:t>և</w:t>
            </w:r>
            <w:r w:rsidRPr="003B2786">
              <w:rPr>
                <w:rStyle w:val="Bodytext1811pt"/>
                <w:rFonts w:ascii="Sylfaen" w:hAnsi="Sylfaen"/>
                <w:sz w:val="24"/>
                <w:szCs w:val="24"/>
              </w:rPr>
              <w:t xml:space="preserve"> հավասար դոզաների </w:t>
            </w:r>
            <w:r w:rsidRPr="003B2786">
              <w:rPr>
                <w:rStyle w:val="Bodytext1811pt"/>
                <w:rFonts w:ascii="Sylfaen" w:hAnsi="Sylfaen"/>
                <w:sz w:val="24"/>
                <w:szCs w:val="24"/>
              </w:rPr>
              <w:lastRenderedPageBreak/>
              <w:t>բաժանման համար նախատեսված կտրման գծով հաբեր</w:t>
            </w:r>
          </w:p>
        </w:tc>
        <w:tc>
          <w:tcPr>
            <w:tcW w:w="1655" w:type="dxa"/>
            <w:gridSpan w:val="3"/>
            <w:tcBorders>
              <w:top w:val="single" w:sz="4" w:space="0" w:color="auto"/>
              <w:left w:val="single" w:sz="4" w:space="0" w:color="auto"/>
            </w:tcBorders>
            <w:shd w:val="clear" w:color="auto" w:fill="FFFFFF"/>
          </w:tcPr>
          <w:p w14:paraId="1DD3E8B1"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42" w:type="dxa"/>
            <w:gridSpan w:val="3"/>
            <w:tcBorders>
              <w:top w:val="single" w:sz="4" w:space="0" w:color="auto"/>
              <w:left w:val="single" w:sz="4" w:space="0" w:color="auto"/>
            </w:tcBorders>
            <w:shd w:val="clear" w:color="auto" w:fill="FFFFFF"/>
          </w:tcPr>
          <w:p w14:paraId="659293AF"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1, 2, 3, 4, 5</w:t>
            </w:r>
          </w:p>
        </w:tc>
        <w:tc>
          <w:tcPr>
            <w:tcW w:w="2098" w:type="dxa"/>
            <w:gridSpan w:val="3"/>
            <w:tcBorders>
              <w:top w:val="single" w:sz="4" w:space="0" w:color="auto"/>
              <w:left w:val="single" w:sz="4" w:space="0" w:color="auto"/>
              <w:right w:val="single" w:sz="4" w:space="0" w:color="auto"/>
            </w:tcBorders>
            <w:shd w:val="clear" w:color="auto" w:fill="FFFFFF"/>
          </w:tcPr>
          <w:p w14:paraId="4338820E"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268C39"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6B11CF3" w14:textId="77777777" w:rsidR="008C76E0" w:rsidRPr="008C76E0" w:rsidRDefault="008C76E0" w:rsidP="008C76E0">
            <w:pPr>
              <w:pStyle w:val="Bodytext180"/>
              <w:shd w:val="clear" w:color="auto" w:fill="auto"/>
              <w:tabs>
                <w:tab w:val="left" w:pos="505"/>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լրացման այլ ծավալով ռադիոդեղագործական դեղապատրաստուկի համար նոր հավաքածուի ավելացում</w:t>
            </w:r>
          </w:p>
        </w:tc>
        <w:tc>
          <w:tcPr>
            <w:tcW w:w="1655" w:type="dxa"/>
            <w:gridSpan w:val="3"/>
            <w:tcBorders>
              <w:top w:val="single" w:sz="4" w:space="0" w:color="auto"/>
              <w:left w:val="single" w:sz="4" w:space="0" w:color="auto"/>
            </w:tcBorders>
            <w:shd w:val="clear" w:color="auto" w:fill="FFFFFF"/>
          </w:tcPr>
          <w:p w14:paraId="73B0645A"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5106B4E0"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0955C9AC" w14:textId="77777777" w:rsidR="008C76E0" w:rsidRPr="003B2786" w:rsidRDefault="008C76E0" w:rsidP="008C76E0">
            <w:pPr>
              <w:pStyle w:val="Bodytext180"/>
              <w:shd w:val="clear" w:color="auto" w:fill="auto"/>
              <w:spacing w:before="0" w:after="120" w:line="240" w:lineRule="auto"/>
              <w:ind w:left="39" w:right="44"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F2A9380"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50DE3E26"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90310AB"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Փոփոխված դեղապատրաստուկի լուծելիության պրոֆիլը համադրելի է հնի հետ, եթե կիրառելի է: Լուծելիության փորձարկման անցկացման անհնարինության դեպքում նոր դեղապատրաստուկի տրոհելիության ժամանակը՝ չփոփոխվածի համեմատությամբ:</w:t>
            </w:r>
          </w:p>
          <w:p w14:paraId="05A35A4C" w14:textId="77777777" w:rsidR="008C76E0" w:rsidRPr="008C76E0" w:rsidRDefault="008C76E0" w:rsidP="008C76E0">
            <w:pPr>
              <w:pStyle w:val="Bodytext180"/>
              <w:shd w:val="clear" w:color="auto" w:fill="auto"/>
              <w:tabs>
                <w:tab w:val="left" w:pos="560"/>
              </w:tabs>
              <w:spacing w:before="0" w:line="240" w:lineRule="auto"/>
              <w:ind w:left="40" w:right="4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մասնագրերը թողարկման պահին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ավարտին չեն փոփոխվել (բացառությամբ դեղաձ</w:t>
            </w:r>
            <w:r w:rsidR="00C54D75">
              <w:rPr>
                <w:rStyle w:val="Bodytext1811pt"/>
                <w:rFonts w:ascii="Sylfaen" w:hAnsi="Sylfaen"/>
                <w:sz w:val="24"/>
                <w:szCs w:val="24"/>
              </w:rPr>
              <w:t>և</w:t>
            </w:r>
            <w:r w:rsidRPr="003B2786">
              <w:rPr>
                <w:rStyle w:val="Bodytext1811pt"/>
                <w:rFonts w:ascii="Sylfaen" w:hAnsi="Sylfaen"/>
                <w:sz w:val="24"/>
                <w:szCs w:val="24"/>
              </w:rPr>
              <w:t>ի չափսերի):</w:t>
            </w:r>
          </w:p>
          <w:p w14:paraId="66CBD7EB"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Քանական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միջին զանգվածը չի փոփոխվել։</w:t>
            </w:r>
          </w:p>
          <w:p w14:paraId="352749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բաժանման գծով հաբին, որը նախատեսված է դեղաձ</w:t>
            </w:r>
            <w:r w:rsidR="00C54D75">
              <w:rPr>
                <w:rStyle w:val="Bodytext1811pt"/>
                <w:rFonts w:ascii="Sylfaen" w:hAnsi="Sylfaen"/>
                <w:sz w:val="24"/>
                <w:szCs w:val="24"/>
              </w:rPr>
              <w:t>և</w:t>
            </w:r>
            <w:r w:rsidRPr="003B2786">
              <w:rPr>
                <w:rStyle w:val="Bodytext1811pt"/>
                <w:rFonts w:ascii="Sylfaen" w:hAnsi="Sylfaen"/>
                <w:sz w:val="24"/>
                <w:szCs w:val="24"/>
              </w:rPr>
              <w:t>ը հավասար դոզաների բաժանելու համար:</w:t>
            </w:r>
          </w:p>
        </w:tc>
      </w:tr>
      <w:tr w:rsidR="008C76E0" w:rsidRPr="003B2786" w14:paraId="58723851"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tcPr>
          <w:p w14:paraId="5F69612D"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8C1E6B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ուղղումը, ներառյալ՝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արտաքին դիրքի մանրամասն գրաֆիկական նկարագրությունը,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համապատասխանաբար։</w:t>
            </w:r>
          </w:p>
          <w:p w14:paraId="71BD05D8"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Առնվազն 1 փորձարարաարդյունաբերական սերիայի լուծելիության համեմատական տվյալները՝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չափսերով (նշանակալի տարբերությունների բացակայությունը՝ համադրելիության տեսանկյունից, տե՛ս Եվրասիական տնտեսական միությունում դեղապատրաստուկների կենսահամարժեքության հետազոտությունների անցկացման կանոնները (այսուհետ՝ Կենսահամարժեքության հետազոտությունների անցկացման կանոններ)): Բուսական դեղապատրաստուկների առնչությամբ կարող են ընդունելի լինել համեմատական տրոհելիության տվյալները:</w:t>
            </w:r>
          </w:p>
          <w:p w14:paraId="7B9629F9"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Կենսահամարժեքության հետազոտությունների անցկացման կանոնների համաձայն:</w:t>
            </w:r>
          </w:p>
          <w:p w14:paraId="4AD5350F" w14:textId="77777777" w:rsidR="008C76E0" w:rsidRPr="008C76E0" w:rsidRDefault="008C76E0"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դեղապատրաստուկի նմուշները:</w:t>
            </w:r>
          </w:p>
          <w:p w14:paraId="7061672C" w14:textId="77777777" w:rsidR="008C76E0" w:rsidRPr="00E15E7D" w:rsidRDefault="008C76E0" w:rsidP="008C76E0">
            <w:pPr>
              <w:pStyle w:val="Bodytext180"/>
              <w:shd w:val="clear" w:color="auto" w:fill="auto"/>
              <w:tabs>
                <w:tab w:val="left" w:pos="560"/>
              </w:tabs>
              <w:spacing w:before="0" w:after="120" w:line="240" w:lineRule="auto"/>
              <w:ind w:left="39" w:right="44" w:firstLine="0"/>
              <w:jc w:val="both"/>
              <w:rPr>
                <w:rStyle w:val="Bodytext1811pt"/>
                <w:rFonts w:ascii="Sylfaen" w:hAnsi="Sylfaen"/>
                <w:sz w:val="24"/>
                <w:szCs w:val="24"/>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Համապատասխան փորձարկումների արդյունքները՝ ըստ Միության դեղագրքի, որոնք հաստատում են հատկությունների համարժեքությունը (ճիշտ դոզավորումը):</w:t>
            </w:r>
          </w:p>
          <w:p w14:paraId="63C0044F" w14:textId="77777777" w:rsidR="002F06F8" w:rsidRPr="00E15E7D" w:rsidRDefault="002F06F8" w:rsidP="008C76E0">
            <w:pPr>
              <w:pStyle w:val="Bodytext180"/>
              <w:shd w:val="clear" w:color="auto" w:fill="auto"/>
              <w:tabs>
                <w:tab w:val="left" w:pos="560"/>
              </w:tabs>
              <w:spacing w:before="0" w:after="120" w:line="240" w:lineRule="auto"/>
              <w:ind w:left="39" w:right="44" w:firstLine="0"/>
              <w:jc w:val="both"/>
              <w:rPr>
                <w:rFonts w:ascii="Sylfaen" w:hAnsi="Sylfaen"/>
                <w:b w:val="0"/>
                <w:sz w:val="24"/>
                <w:szCs w:val="24"/>
                <w:lang w:val="hy-AM"/>
              </w:rPr>
            </w:pPr>
          </w:p>
        </w:tc>
      </w:tr>
      <w:tr w:rsidR="008C76E0" w:rsidRPr="003B2786" w14:paraId="396477D4" w14:textId="77777777" w:rsidTr="008C76E0">
        <w:trPr>
          <w:gridAfter w:val="1"/>
          <w:wAfter w:w="14" w:type="dxa"/>
          <w:jc w:val="center"/>
        </w:trPr>
        <w:tc>
          <w:tcPr>
            <w:tcW w:w="1993" w:type="dxa"/>
            <w:tcBorders>
              <w:top w:val="single" w:sz="4" w:space="0" w:color="auto"/>
              <w:left w:val="single" w:sz="4" w:space="0" w:color="auto"/>
            </w:tcBorders>
            <w:shd w:val="clear" w:color="auto" w:fill="FFFFFF"/>
          </w:tcPr>
          <w:p w14:paraId="30E771AA"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r w:rsidRPr="003B2786">
              <w:rPr>
                <w:rFonts w:ascii="Sylfaen" w:hAnsi="Sylfaen"/>
                <w:b w:val="0"/>
                <w:sz w:val="24"/>
                <w:szCs w:val="24"/>
              </w:rPr>
              <w:t>(*) Ծանոթագրություն</w:t>
            </w:r>
          </w:p>
        </w:tc>
        <w:tc>
          <w:tcPr>
            <w:tcW w:w="8394" w:type="dxa"/>
            <w:gridSpan w:val="13"/>
            <w:tcBorders>
              <w:top w:val="single" w:sz="4" w:space="0" w:color="auto"/>
              <w:left w:val="single" w:sz="4" w:space="0" w:color="auto"/>
              <w:right w:val="single" w:sz="4" w:space="0" w:color="auto"/>
            </w:tcBorders>
            <w:shd w:val="clear" w:color="auto" w:fill="FFFFFF"/>
          </w:tcPr>
          <w:p w14:paraId="3A00525C" w14:textId="77777777" w:rsidR="008C76E0" w:rsidRPr="003B2786" w:rsidRDefault="008C76E0" w:rsidP="008C76E0">
            <w:pPr>
              <w:pStyle w:val="Bodytext180"/>
              <w:shd w:val="clear" w:color="auto" w:fill="auto"/>
              <w:spacing w:before="0" w:after="120" w:line="240" w:lineRule="auto"/>
              <w:ind w:left="38" w:right="44" w:firstLine="0"/>
              <w:jc w:val="both"/>
              <w:rPr>
                <w:rFonts w:ascii="Sylfaen" w:hAnsi="Sylfaen"/>
                <w:b w:val="0"/>
                <w:sz w:val="24"/>
                <w:szCs w:val="24"/>
              </w:rPr>
            </w:pPr>
            <w:r w:rsidRPr="003B2786">
              <w:rPr>
                <w:rStyle w:val="Bodytext1811pt"/>
                <w:rFonts w:ascii="Sylfaen" w:hAnsi="Sylfaen"/>
                <w:sz w:val="24"/>
                <w:szCs w:val="24"/>
              </w:rPr>
              <w:t>Բ.II.ա.2.գ-ի համար դեղապատրաստուկի դոզավորման ցանկացած փոփոխություն պահանջում է գրանցման երկարաձգման վերաբերյալ դիմումի ներկայացում:</w:t>
            </w:r>
          </w:p>
        </w:tc>
      </w:tr>
      <w:tr w:rsidR="008C76E0" w:rsidRPr="003B2786" w14:paraId="666F29D7"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E55C2C6" w14:textId="77777777" w:rsidR="008C76E0" w:rsidRPr="008C76E0" w:rsidRDefault="008C76E0" w:rsidP="008C76E0">
            <w:pPr>
              <w:pStyle w:val="Bodytext180"/>
              <w:shd w:val="clear" w:color="auto" w:fill="auto"/>
              <w:tabs>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t>Բ.II.ա.З.</w:t>
            </w:r>
            <w:r w:rsidRPr="003B2786">
              <w:rPr>
                <w:rStyle w:val="Bodytext1811pt"/>
                <w:rFonts w:ascii="Sylfaen" w:hAnsi="Sylfaen"/>
                <w:sz w:val="24"/>
                <w:szCs w:val="24"/>
              </w:rPr>
              <w:tab/>
              <w:t>Դեղապատրաստուկի բաղադրության (օժանդակ նյութերի) փոփոխությունը</w:t>
            </w:r>
          </w:p>
        </w:tc>
        <w:tc>
          <w:tcPr>
            <w:tcW w:w="1655" w:type="dxa"/>
            <w:gridSpan w:val="3"/>
            <w:tcBorders>
              <w:top w:val="single" w:sz="4" w:space="0" w:color="auto"/>
              <w:left w:val="single" w:sz="4" w:space="0" w:color="auto"/>
            </w:tcBorders>
            <w:shd w:val="clear" w:color="auto" w:fill="FFFFFF"/>
          </w:tcPr>
          <w:p w14:paraId="1B1E201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6DC0E27F"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1BBE166E"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9ABA3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1A4F991" w14:textId="77777777" w:rsidR="008C76E0" w:rsidRPr="008C76E0" w:rsidRDefault="008C76E0" w:rsidP="008C76E0">
            <w:pPr>
              <w:pStyle w:val="Bodytext180"/>
              <w:shd w:val="clear" w:color="auto" w:fill="auto"/>
              <w:tabs>
                <w:tab w:val="left" w:pos="587"/>
                <w:tab w:val="left" w:pos="1187"/>
              </w:tabs>
              <w:spacing w:before="0" w:after="120" w:line="240" w:lineRule="auto"/>
              <w:ind w:left="40" w:right="51"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համային հավելումների (բուրավետիչների) կամ ներկանյութերի բաղադրության փոփոխությունը</w:t>
            </w:r>
          </w:p>
        </w:tc>
        <w:tc>
          <w:tcPr>
            <w:tcW w:w="1655" w:type="dxa"/>
            <w:gridSpan w:val="3"/>
            <w:tcBorders>
              <w:top w:val="single" w:sz="4" w:space="0" w:color="auto"/>
              <w:left w:val="single" w:sz="4" w:space="0" w:color="auto"/>
            </w:tcBorders>
            <w:shd w:val="clear" w:color="auto" w:fill="FFFFFF"/>
          </w:tcPr>
          <w:p w14:paraId="41070F0F"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46D9950E"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2438156D"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3D8DA2"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center"/>
          </w:tcPr>
          <w:p w14:paraId="48E570C5"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Ավելացումը, բացառումը կամ փոխարինումը</w:t>
            </w:r>
          </w:p>
        </w:tc>
        <w:tc>
          <w:tcPr>
            <w:tcW w:w="1655" w:type="dxa"/>
            <w:gridSpan w:val="3"/>
            <w:tcBorders>
              <w:top w:val="single" w:sz="4" w:space="0" w:color="auto"/>
              <w:left w:val="single" w:sz="4" w:space="0" w:color="auto"/>
              <w:bottom w:val="single" w:sz="4" w:space="0" w:color="auto"/>
            </w:tcBorders>
            <w:shd w:val="clear" w:color="auto" w:fill="FFFFFF"/>
          </w:tcPr>
          <w:p w14:paraId="25240B4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1, 2, 3, 4, 5, 6, 7, 9, 11</w:t>
            </w:r>
          </w:p>
        </w:tc>
        <w:tc>
          <w:tcPr>
            <w:tcW w:w="2042" w:type="dxa"/>
            <w:gridSpan w:val="3"/>
            <w:tcBorders>
              <w:top w:val="single" w:sz="4" w:space="0" w:color="auto"/>
              <w:left w:val="single" w:sz="4" w:space="0" w:color="auto"/>
              <w:bottom w:val="single" w:sz="4" w:space="0" w:color="auto"/>
            </w:tcBorders>
            <w:shd w:val="clear" w:color="auto" w:fill="FFFFFF"/>
          </w:tcPr>
          <w:p w14:paraId="72D1C1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1, 2, 4, 5, 6</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73FBAD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5583323"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96F3520" w14:textId="77777777" w:rsidR="008C76E0" w:rsidRPr="003B2786" w:rsidRDefault="008C76E0" w:rsidP="008C76E0">
            <w:pPr>
              <w:pStyle w:val="Bodytext180"/>
              <w:numPr>
                <w:ilvl w:val="0"/>
                <w:numId w:val="20"/>
              </w:numPr>
              <w:shd w:val="clear" w:color="auto" w:fill="auto"/>
              <w:tabs>
                <w:tab w:val="left" w:pos="587"/>
                <w:tab w:val="left" w:pos="1187"/>
              </w:tabs>
              <w:spacing w:before="0" w:after="120" w:line="240" w:lineRule="auto"/>
              <w:ind w:left="40" w:right="51" w:firstLine="0"/>
              <w:jc w:val="both"/>
              <w:rPr>
                <w:rFonts w:ascii="Sylfaen" w:hAnsi="Sylfaen"/>
                <w:b w:val="0"/>
                <w:sz w:val="24"/>
                <w:szCs w:val="24"/>
              </w:rPr>
            </w:pPr>
            <w:r w:rsidRPr="003B2786">
              <w:rPr>
                <w:rStyle w:val="Bodytext1811pt"/>
                <w:rFonts w:ascii="Sylfaen" w:hAnsi="Sylfaen"/>
                <w:sz w:val="24"/>
                <w:szCs w:val="24"/>
              </w:rPr>
              <w:t>Պարունակության ավելացումը կամ նվազեցումը</w:t>
            </w:r>
          </w:p>
        </w:tc>
        <w:tc>
          <w:tcPr>
            <w:tcW w:w="1655" w:type="dxa"/>
            <w:gridSpan w:val="3"/>
            <w:tcBorders>
              <w:top w:val="single" w:sz="4" w:space="0" w:color="auto"/>
              <w:left w:val="single" w:sz="4" w:space="0" w:color="auto"/>
            </w:tcBorders>
            <w:shd w:val="clear" w:color="auto" w:fill="FFFFFF"/>
          </w:tcPr>
          <w:p w14:paraId="6A55EC1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1, 2, 3, 4, 11</w:t>
            </w:r>
          </w:p>
        </w:tc>
        <w:tc>
          <w:tcPr>
            <w:tcW w:w="2042" w:type="dxa"/>
            <w:gridSpan w:val="3"/>
            <w:tcBorders>
              <w:top w:val="single" w:sz="4" w:space="0" w:color="auto"/>
              <w:left w:val="single" w:sz="4" w:space="0" w:color="auto"/>
            </w:tcBorders>
            <w:shd w:val="clear" w:color="auto" w:fill="FFFFFF"/>
          </w:tcPr>
          <w:p w14:paraId="7D4ECB3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w:t>
            </w:r>
          </w:p>
        </w:tc>
        <w:tc>
          <w:tcPr>
            <w:tcW w:w="2098" w:type="dxa"/>
            <w:gridSpan w:val="3"/>
            <w:tcBorders>
              <w:top w:val="single" w:sz="4" w:space="0" w:color="auto"/>
              <w:left w:val="single" w:sz="4" w:space="0" w:color="auto"/>
              <w:right w:val="single" w:sz="4" w:space="0" w:color="auto"/>
            </w:tcBorders>
            <w:shd w:val="clear" w:color="auto" w:fill="FFFFFF"/>
          </w:tcPr>
          <w:p w14:paraId="52D6611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41B702C"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23AE6F87" w14:textId="77777777" w:rsidR="008C76E0" w:rsidRPr="003B2786"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այլ օժանդակ նյութեր</w:t>
            </w:r>
          </w:p>
        </w:tc>
        <w:tc>
          <w:tcPr>
            <w:tcW w:w="1655" w:type="dxa"/>
            <w:gridSpan w:val="3"/>
            <w:tcBorders>
              <w:top w:val="single" w:sz="4" w:space="0" w:color="auto"/>
              <w:left w:val="single" w:sz="4" w:space="0" w:color="auto"/>
            </w:tcBorders>
            <w:shd w:val="clear" w:color="auto" w:fill="FFFFFF"/>
          </w:tcPr>
          <w:p w14:paraId="75F94F27"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785E8573"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5D327766"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725C739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BAB4C4E" w14:textId="77777777" w:rsidR="008C76E0" w:rsidRPr="008C76E0" w:rsidRDefault="008C76E0" w:rsidP="008C76E0">
            <w:pPr>
              <w:pStyle w:val="Bodytext180"/>
              <w:numPr>
                <w:ilvl w:val="0"/>
                <w:numId w:val="21"/>
              </w:numPr>
              <w:shd w:val="clear" w:color="auto" w:fill="auto"/>
              <w:tabs>
                <w:tab w:val="left" w:pos="587"/>
              </w:tabs>
              <w:spacing w:before="0" w:after="120" w:line="240" w:lineRule="auto"/>
              <w:ind w:left="39" w:right="50" w:firstLine="13"/>
              <w:jc w:val="both"/>
              <w:rPr>
                <w:rFonts w:ascii="Sylfaen" w:hAnsi="Sylfaen"/>
                <w:b w:val="0"/>
                <w:sz w:val="24"/>
                <w:szCs w:val="24"/>
                <w:lang w:val="hy-AM"/>
              </w:rPr>
            </w:pPr>
            <w:r w:rsidRPr="003B2786">
              <w:rPr>
                <w:rStyle w:val="Bodytext1811pt"/>
                <w:rFonts w:ascii="Sylfaen" w:hAnsi="Sylfaen"/>
                <w:sz w:val="24"/>
                <w:szCs w:val="24"/>
              </w:rPr>
              <w:t>Դեղապատրաստուկի օժանդակ նյութերի քանակական կազմի ցանկացած աննշան ուղղումը</w:t>
            </w:r>
          </w:p>
        </w:tc>
        <w:tc>
          <w:tcPr>
            <w:tcW w:w="1655" w:type="dxa"/>
            <w:gridSpan w:val="3"/>
            <w:tcBorders>
              <w:top w:val="single" w:sz="4" w:space="0" w:color="auto"/>
              <w:left w:val="single" w:sz="4" w:space="0" w:color="auto"/>
            </w:tcBorders>
            <w:shd w:val="clear" w:color="auto" w:fill="FFFFFF"/>
          </w:tcPr>
          <w:p w14:paraId="559B442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1, 2, 4, 8, 9, 10</w:t>
            </w:r>
          </w:p>
        </w:tc>
        <w:tc>
          <w:tcPr>
            <w:tcW w:w="2042" w:type="dxa"/>
            <w:gridSpan w:val="3"/>
            <w:tcBorders>
              <w:top w:val="single" w:sz="4" w:space="0" w:color="auto"/>
              <w:left w:val="single" w:sz="4" w:space="0" w:color="auto"/>
            </w:tcBorders>
            <w:shd w:val="clear" w:color="auto" w:fill="FFFFFF"/>
          </w:tcPr>
          <w:p w14:paraId="40922A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1, 2, 7</w:t>
            </w:r>
          </w:p>
        </w:tc>
        <w:tc>
          <w:tcPr>
            <w:tcW w:w="2098" w:type="dxa"/>
            <w:gridSpan w:val="3"/>
            <w:tcBorders>
              <w:top w:val="single" w:sz="4" w:space="0" w:color="auto"/>
              <w:left w:val="single" w:sz="4" w:space="0" w:color="auto"/>
              <w:right w:val="single" w:sz="4" w:space="0" w:color="auto"/>
            </w:tcBorders>
            <w:shd w:val="clear" w:color="auto" w:fill="FFFFFF"/>
          </w:tcPr>
          <w:p w14:paraId="426D337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9EC1E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5FCB1808" w14:textId="77777777" w:rsidR="008C76E0" w:rsidRPr="008C76E0" w:rsidRDefault="008C76E0" w:rsidP="008C76E0">
            <w:pPr>
              <w:pStyle w:val="Bodytext180"/>
              <w:shd w:val="clear" w:color="auto" w:fill="auto"/>
              <w:tabs>
                <w:tab w:val="left" w:pos="587"/>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Մեկ կամ մի քանի օժանդակ նյութերի որակական կամ քանակական փոփոխությունները, որոնք կարող են էականորեն ազդել դեղապատրաստուկի որակի, անվտանգության կամ արդյունավետության վրա</w:t>
            </w:r>
          </w:p>
        </w:tc>
        <w:tc>
          <w:tcPr>
            <w:tcW w:w="1655" w:type="dxa"/>
            <w:gridSpan w:val="3"/>
            <w:tcBorders>
              <w:top w:val="single" w:sz="4" w:space="0" w:color="auto"/>
              <w:left w:val="single" w:sz="4" w:space="0" w:color="auto"/>
            </w:tcBorders>
            <w:shd w:val="clear" w:color="auto" w:fill="FFFFFF"/>
          </w:tcPr>
          <w:p w14:paraId="0D65E352"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18CE704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42B6CD3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14A0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724A062E" w14:textId="77777777" w:rsidR="008C76E0" w:rsidRPr="008C76E0" w:rsidRDefault="008C76E0" w:rsidP="008C76E0">
            <w:pPr>
              <w:pStyle w:val="Bodytext180"/>
              <w:shd w:val="clear" w:color="auto" w:fill="auto"/>
              <w:tabs>
                <w:tab w:val="left" w:pos="614"/>
              </w:tabs>
              <w:spacing w:before="0" w:after="120" w:line="240" w:lineRule="auto"/>
              <w:ind w:left="39" w:right="5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Կենսաբանական (իմունաբանական) պատրաստուկին առնչվող փոփոխությունը</w:t>
            </w:r>
          </w:p>
        </w:tc>
        <w:tc>
          <w:tcPr>
            <w:tcW w:w="1655" w:type="dxa"/>
            <w:gridSpan w:val="3"/>
            <w:tcBorders>
              <w:top w:val="single" w:sz="4" w:space="0" w:color="auto"/>
              <w:left w:val="single" w:sz="4" w:space="0" w:color="auto"/>
            </w:tcBorders>
            <w:shd w:val="clear" w:color="auto" w:fill="FFFFFF"/>
          </w:tcPr>
          <w:p w14:paraId="1CDBFFB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EE8DD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0C5247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BEBFA4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050D77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Ցանկացած նոր օժանդակ նյութ, որը ենթադրում է վիրուսային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ՏՍԷ-ի ռիսկի տվյալների գնահատում պահանջող՝ մարդկային կամ կենդանական ծագման նյութերի կիրառում</w:t>
            </w:r>
          </w:p>
        </w:tc>
        <w:tc>
          <w:tcPr>
            <w:tcW w:w="1655" w:type="dxa"/>
            <w:gridSpan w:val="3"/>
            <w:tcBorders>
              <w:top w:val="single" w:sz="4" w:space="0" w:color="auto"/>
              <w:left w:val="single" w:sz="4" w:space="0" w:color="auto"/>
            </w:tcBorders>
            <w:shd w:val="clear" w:color="auto" w:fill="FFFFFF"/>
          </w:tcPr>
          <w:p w14:paraId="18673EF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BE71C76"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C3BC470"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895E5B"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6ECED07"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Կենսահամարժեքության հետազոտության արդյունքներով հիմնավորված փոփոխություն</w:t>
            </w:r>
          </w:p>
        </w:tc>
        <w:tc>
          <w:tcPr>
            <w:tcW w:w="1655" w:type="dxa"/>
            <w:gridSpan w:val="3"/>
            <w:tcBorders>
              <w:top w:val="single" w:sz="4" w:space="0" w:color="auto"/>
              <w:left w:val="single" w:sz="4" w:space="0" w:color="auto"/>
            </w:tcBorders>
            <w:shd w:val="clear" w:color="auto" w:fill="FFFFFF"/>
          </w:tcPr>
          <w:p w14:paraId="0A4DF5B8"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6BD854F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65400EEC"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8D54524"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61F5B51A" w14:textId="77777777" w:rsidR="008C76E0" w:rsidRPr="008C76E0" w:rsidRDefault="008C76E0" w:rsidP="008C76E0">
            <w:pPr>
              <w:pStyle w:val="Bodytext180"/>
              <w:shd w:val="clear" w:color="auto" w:fill="auto"/>
              <w:tabs>
                <w:tab w:val="left" w:pos="614"/>
              </w:tabs>
              <w:spacing w:before="0" w:after="120" w:line="240" w:lineRule="auto"/>
              <w:ind w:left="40" w:right="50"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Մեկ օժանդակ նյութի փոխարինումը նման օժանդակ նյութով, որն ունի համանման քանակությամբ ֆունկցիոնալ նույն բնութագրերը</w:t>
            </w:r>
          </w:p>
        </w:tc>
        <w:tc>
          <w:tcPr>
            <w:tcW w:w="1655" w:type="dxa"/>
            <w:gridSpan w:val="3"/>
            <w:tcBorders>
              <w:top w:val="single" w:sz="4" w:space="0" w:color="auto"/>
              <w:left w:val="single" w:sz="4" w:space="0" w:color="auto"/>
            </w:tcBorders>
            <w:shd w:val="clear" w:color="auto" w:fill="FFFFFF"/>
          </w:tcPr>
          <w:p w14:paraId="2A31A3C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4D65C4E4"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1, 3, 4, 5, 6, 7, 8, 9, 10</w:t>
            </w:r>
          </w:p>
        </w:tc>
        <w:tc>
          <w:tcPr>
            <w:tcW w:w="2098" w:type="dxa"/>
            <w:gridSpan w:val="3"/>
            <w:tcBorders>
              <w:top w:val="single" w:sz="4" w:space="0" w:color="auto"/>
              <w:left w:val="single" w:sz="4" w:space="0" w:color="auto"/>
              <w:right w:val="single" w:sz="4" w:space="0" w:color="auto"/>
            </w:tcBorders>
            <w:shd w:val="clear" w:color="auto" w:fill="FFFFFF"/>
          </w:tcPr>
          <w:p w14:paraId="543F3B5D" w14:textId="77777777" w:rsidR="008C76E0" w:rsidRPr="003B2786" w:rsidRDefault="008C76E0" w:rsidP="008C76E0">
            <w:pPr>
              <w:pStyle w:val="Bodytext180"/>
              <w:shd w:val="clear" w:color="auto" w:fill="auto"/>
              <w:spacing w:before="0" w:after="120" w:line="240" w:lineRule="auto"/>
              <w:ind w:left="40"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72100B1"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48CA2E33"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F5B363E"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Դեղաձ</w:t>
            </w:r>
            <w:r w:rsidR="00C54D75">
              <w:rPr>
                <w:rStyle w:val="Bodytext1811pt"/>
                <w:rFonts w:ascii="Sylfaen" w:hAnsi="Sylfaen"/>
                <w:sz w:val="24"/>
                <w:szCs w:val="24"/>
              </w:rPr>
              <w:t>և</w:t>
            </w:r>
            <w:r w:rsidRPr="003B2786">
              <w:rPr>
                <w:rStyle w:val="Bodytext1811pt"/>
                <w:rFonts w:ascii="Sylfaen" w:hAnsi="Sylfaen"/>
                <w:sz w:val="24"/>
                <w:szCs w:val="24"/>
              </w:rPr>
              <w:t>ի ֆունկցիոնալ բնութագրերի, օրինակ՝ տրոհելիության ժամանակի, լուծելիության պրոֆիլի փոփոխությունները բացակայում են:</w:t>
            </w:r>
          </w:p>
          <w:p w14:paraId="393CA896"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Ընդհանուր զանգվածի պահպանման համար բաղադրության ցանկացած աննշան ուղղում անհրաժեշտ է իրականացնել օժանդակ նյութով, որը տվյալ պահին կազմում է </w:t>
            </w:r>
            <w:r w:rsidRPr="003B2786">
              <w:rPr>
                <w:rStyle w:val="Bodytext1811pt"/>
                <w:rFonts w:ascii="Sylfaen" w:hAnsi="Sylfaen"/>
                <w:sz w:val="24"/>
                <w:szCs w:val="24"/>
              </w:rPr>
              <w:lastRenderedPageBreak/>
              <w:t>դեղապատրաստուկի հիմնական մասը:</w:t>
            </w:r>
          </w:p>
          <w:p w14:paraId="671C67F1"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արտաքին տեսքի (հոտի, համի) առումով,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անհրաժեշտության դեպքում բացառվել է իսկության փորձարկումը:</w:t>
            </w:r>
          </w:p>
          <w:p w14:paraId="47CC8681" w14:textId="0E43C554"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pacing w:val="-4"/>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pacing w:val="-4"/>
                <w:sz w:val="24"/>
                <w:szCs w:val="24"/>
              </w:rPr>
              <w:t xml:space="preserve">Սկսվել են կայունության համապատասխան փորձարկումներ՝ Միության փաստաթղթերին համապատասխան (սերիաների համարների նշումով), վերլուծվել են առնվազն 2 փորձարարաարդյունաբերական կամ արդյունաբերական սերիաների համար կայունության համապատասխան պարամետրերը, </w:t>
            </w:r>
            <w:r w:rsidR="0056496B">
              <w:rPr>
                <w:rStyle w:val="Bodytext1811pt"/>
                <w:rFonts w:ascii="Sylfaen" w:hAnsi="Sylfaen"/>
                <w:spacing w:val="-4"/>
                <w:sz w:val="24"/>
                <w:szCs w:val="24"/>
              </w:rPr>
              <w:t>դիմումատու</w:t>
            </w:r>
            <w:r w:rsidRPr="003B2786">
              <w:rPr>
                <w:rStyle w:val="Bodytext1811pt"/>
                <w:rFonts w:ascii="Sylfaen" w:hAnsi="Sylfaen"/>
                <w:spacing w:val="-4"/>
                <w:sz w:val="24"/>
                <w:szCs w:val="24"/>
              </w:rPr>
              <w:t xml:space="preserve">ի տրամադրության տակ կան առնվազն կայունության եռամսյա ուսումնասիրության բավարար արդյունքներ (IA տիպի փոփոխությունների ներմուծման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IB տիպի փոփոխությունների ծանուցման պահի դրությամբ), կայունության պրոֆիլը նման է ներկայումս հաստատված պրոֆիլին: Հաստատումն այն բանի, որ ուսումնասիրությունները կավարտվեն,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դրանք գործողությունների առաջարկվող պլանի հետ անհապաղ կներկայացվեն լիազորված մարմին: Բացի այդ, համապատասխան դեպքերում անհրաժեշտ է անցկացնել ֆոտոկայունության փորձարկում:</w:t>
            </w:r>
          </w:p>
          <w:p w14:paraId="0C50E9AB" w14:textId="77777777" w:rsidR="008C76E0" w:rsidRPr="008C76E0" w:rsidRDefault="008C76E0" w:rsidP="008C76E0">
            <w:pPr>
              <w:pStyle w:val="Bodytext180"/>
              <w:shd w:val="clear" w:color="auto" w:fill="auto"/>
              <w:tabs>
                <w:tab w:val="left" w:pos="608"/>
              </w:tabs>
              <w:spacing w:before="0" w:after="120" w:line="240" w:lineRule="auto"/>
              <w:ind w:left="40" w:right="185"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Բոլոր նոր բաղադրիչները պետք է բավարարեն Միության համապատասխան փաստաթղթերի պահանջները, որոնք վերաբերում են սննդարդյունաբերության մեջ օգտագործվող ներկանյութերին </w:t>
            </w:r>
            <w:r w:rsidR="00C54D75">
              <w:rPr>
                <w:rStyle w:val="Bodytext1811pt"/>
                <w:rFonts w:ascii="Sylfaen" w:hAnsi="Sylfaen"/>
                <w:sz w:val="24"/>
                <w:szCs w:val="24"/>
              </w:rPr>
              <w:t>և</w:t>
            </w:r>
            <w:r w:rsidRPr="003B2786">
              <w:rPr>
                <w:rStyle w:val="Bodytext1811pt"/>
                <w:rFonts w:ascii="Sylfaen" w:hAnsi="Sylfaen"/>
                <w:sz w:val="24"/>
                <w:szCs w:val="24"/>
              </w:rPr>
              <w:t xml:space="preserve"> համային հավելումներին:</w:t>
            </w:r>
          </w:p>
        </w:tc>
      </w:tr>
      <w:tr w:rsidR="008C76E0" w:rsidRPr="003B2786" w14:paraId="3845C6DF"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68244949"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lastRenderedPageBreak/>
              <w:t>6.</w:t>
            </w:r>
            <w:r w:rsidRPr="008C76E0">
              <w:rPr>
                <w:rFonts w:ascii="Sylfaen" w:hAnsi="Sylfaen"/>
                <w:b w:val="0"/>
                <w:sz w:val="24"/>
                <w:szCs w:val="24"/>
                <w:lang w:val="hy-AM"/>
              </w:rPr>
              <w:tab/>
            </w:r>
            <w:r w:rsidRPr="003B2786">
              <w:rPr>
                <w:rStyle w:val="Bodytext1811pt"/>
                <w:rFonts w:ascii="Sylfaen" w:hAnsi="Sylfaen"/>
                <w:sz w:val="24"/>
                <w:szCs w:val="24"/>
              </w:rPr>
              <w:t xml:space="preserve">Ոչ մի նոր բաղադրիչ մարդկային կամ կենդանական ծագման նյութի կիրառում չի ենթադրում, որոնք պահանջում են վիրուսային անվտանգության տվյալների գնահատում կամ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պահանջներին համապատասխանություն:</w:t>
            </w:r>
          </w:p>
          <w:p w14:paraId="531C5E32"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փոփոխությունները չեն ազդում դոզավորման տարբերությունների վրա </w:t>
            </w:r>
            <w:r w:rsidR="00C54D75">
              <w:rPr>
                <w:rStyle w:val="Bodytext1811pt"/>
                <w:rFonts w:ascii="Sylfaen" w:hAnsi="Sylfaen"/>
                <w:sz w:val="24"/>
                <w:szCs w:val="24"/>
              </w:rPr>
              <w:t>և</w:t>
            </w:r>
            <w:r w:rsidRPr="003B2786">
              <w:rPr>
                <w:rStyle w:val="Bodytext1811pt"/>
                <w:rFonts w:ascii="Sylfaen" w:hAnsi="Sylfaen"/>
                <w:sz w:val="24"/>
                <w:szCs w:val="24"/>
              </w:rPr>
              <w:t xml:space="preserve"> բացասական ազդեցություն չեն գործում երեխաների համար նախատեսված դեղապատրաստուկների համային հատկությունների վրա:</w:t>
            </w:r>
          </w:p>
          <w:p w14:paraId="0256747E"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համադրելիության տեսանկյունից համադրելի է չփոփոխվածին (նշանակալի տարբերությունների բացակայություն՝ տե՛ս Միության կենսահամարժեքության հետազոտությունների անցկացման կանոնները): Դեղաբուսական պատրաստուկների լուծելիության փորձարկման անցկացման անհնարինության դեպքում նոր դեղապատրաստուկի տրոհելիության ժամանակը համադրելի է չփոփոխվածի հետ:</w:t>
            </w:r>
          </w:p>
          <w:p w14:paraId="49BFAE76" w14:textId="77777777" w:rsidR="008C76E0" w:rsidRPr="008C76E0" w:rsidRDefault="008C76E0" w:rsidP="002F06F8">
            <w:pPr>
              <w:pStyle w:val="Bodytext180"/>
              <w:shd w:val="clear" w:color="auto" w:fill="auto"/>
              <w:tabs>
                <w:tab w:val="left" w:pos="608"/>
              </w:tabs>
              <w:spacing w:before="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Փոփոխությունը անկայունության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(կամ) չպետք է ազդի անվտանգության վրա, այսինքն՝ դոզավորման տարբերությունների վրա:</w:t>
            </w:r>
          </w:p>
          <w:p w14:paraId="5994B08C" w14:textId="77777777" w:rsidR="008C76E0" w:rsidRPr="008C76E0" w:rsidRDefault="008C76E0" w:rsidP="008C76E0">
            <w:pPr>
              <w:pStyle w:val="Bodytext180"/>
              <w:shd w:val="clear" w:color="auto" w:fill="auto"/>
              <w:tabs>
                <w:tab w:val="left" w:pos="608"/>
              </w:tabs>
              <w:spacing w:before="0" w:line="240" w:lineRule="auto"/>
              <w:ind w:left="40" w:right="187"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դեղապատրաստուկ չէ։</w:t>
            </w:r>
          </w:p>
        </w:tc>
      </w:tr>
      <w:tr w:rsidR="008C76E0" w:rsidRPr="003B2786" w14:paraId="01A38924" w14:textId="77777777" w:rsidTr="008C76E0">
        <w:trPr>
          <w:gridAfter w:val="1"/>
          <w:wAfter w:w="14" w:type="dxa"/>
          <w:jc w:val="center"/>
        </w:trPr>
        <w:tc>
          <w:tcPr>
            <w:tcW w:w="1038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67EB34F2"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55B233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 ներառյալ՝ բոլոր նոր ներկանյութերի իսկության փորձարկման մեթոդները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 </w:t>
            </w:r>
            <w:r w:rsidRPr="003B2786">
              <w:rPr>
                <w:rStyle w:val="Bodytext1811pt"/>
                <w:rFonts w:ascii="Sylfaen" w:hAnsi="Sylfaen"/>
                <w:sz w:val="24"/>
                <w:szCs w:val="24"/>
              </w:rPr>
              <w:lastRenderedPageBreak/>
              <w:t>համապատասխանաբար:</w:t>
            </w:r>
          </w:p>
          <w:p w14:paraId="546400FA" w14:textId="79B52148"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հետազոտությունները՝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 այն մասին,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p w14:paraId="1B864F8A"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Կայունության նշանակալի պարամետրերով առնվազն երկու փորձարարաարդյունաբերական կամ արդյունաբերական սերիաների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հաստատում այն բանի, որ նշված ուսումնասիրությունները կավարտվեն, իսկ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պետք է անհապաղ ներկայացվեն լիազորված մարմին:</w:t>
            </w:r>
          </w:p>
          <w:p w14:paraId="0AA61703"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դեղապատրաստուկի նմուշները:</w:t>
            </w:r>
          </w:p>
          <w:p w14:paraId="20CD7235" w14:textId="77777777" w:rsidR="008C76E0" w:rsidRPr="008C76E0" w:rsidRDefault="008C76E0" w:rsidP="002F06F8">
            <w:pPr>
              <w:pStyle w:val="Bodytext180"/>
              <w:shd w:val="clear" w:color="auto" w:fill="auto"/>
              <w:tabs>
                <w:tab w:val="left" w:pos="608"/>
              </w:tabs>
              <w:spacing w:before="0" w:after="120" w:line="288" w:lineRule="auto"/>
              <w:ind w:left="40" w:right="187"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Կա՛մ ՏՍԷ-ի մասով Եվրոպական դեղագրքերի համապատասխանության հավաստագիրը՝ նյութի ցանկացած նոր աղբյուրի համար, կա՛մ (եթե կիրառելի է) փաստաթղթային հաստատումն այն մասին, որ ՏՍԷ-ի ռիսկի ենթարկված նյութի աղբյուրը նախկինում ստուգվել է լիազորված մարմնի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է կենդանիների սպունգանման էնցեֆալոպատիայի՝ 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փոխանցման ռիսկի նվազեցման վերաբերյալ Միության դեղագրքի գործող հոդվածին դրա համապատասխանությունը։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p w14:paraId="04A323DD" w14:textId="77777777" w:rsidR="002F06F8" w:rsidRPr="00E15E7D" w:rsidRDefault="008C76E0" w:rsidP="002F06F8">
            <w:pPr>
              <w:pStyle w:val="Bodytext180"/>
              <w:shd w:val="clear" w:color="auto" w:fill="auto"/>
              <w:tabs>
                <w:tab w:val="left" w:pos="608"/>
              </w:tabs>
              <w:spacing w:before="0" w:after="120" w:line="264" w:lineRule="auto"/>
              <w:ind w:left="40" w:right="187"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տվյալները, որոնք հաստատում են, որ նոր օժանդակ նյութը չի փոխազդում դեղապատրաստուկի մասնագրերի վերլուծական մեթոդիկաների հետ:</w:t>
            </w:r>
          </w:p>
        </w:tc>
      </w:tr>
      <w:tr w:rsidR="008C76E0" w:rsidRPr="003B2786" w14:paraId="279C4BD4"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79D0D1DD"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lastRenderedPageBreak/>
              <w:t>7.</w:t>
            </w:r>
            <w:r w:rsidRPr="008C76E0">
              <w:rPr>
                <w:rFonts w:ascii="Sylfaen" w:hAnsi="Sylfaen"/>
                <w:b w:val="0"/>
                <w:sz w:val="24"/>
                <w:szCs w:val="24"/>
                <w:lang w:val="hy-AM"/>
              </w:rPr>
              <w:tab/>
            </w:r>
            <w:r w:rsidRPr="003B2786">
              <w:rPr>
                <w:rStyle w:val="Bodytext1811pt"/>
                <w:rFonts w:ascii="Sylfaen" w:hAnsi="Sylfaen"/>
                <w:sz w:val="24"/>
                <w:szCs w:val="24"/>
              </w:rPr>
              <w:t xml:space="preserve">Պատշաճ դեղագործական մշակման միջոցով (ներառյալ կայունության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հակամանրէային պահածոյացման հարցերը, եթե կիրառելի է) անհրաժեշտ է ներկայացնել օժանդակ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այլնի փոխարինման (ընտրության) հիմնավորումը:</w:t>
            </w:r>
          </w:p>
          <w:p w14:paraId="5B0FF66F"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8.</w:t>
            </w:r>
            <w:r w:rsidRPr="003B2786">
              <w:rPr>
                <w:rStyle w:val="Bodytext1811pt"/>
                <w:rFonts w:ascii="Sylfaen" w:hAnsi="Sylfaen"/>
                <w:sz w:val="24"/>
                <w:szCs w:val="24"/>
              </w:rPr>
              <w:tab/>
              <w:t xml:space="preserve">Նոր </w:t>
            </w:r>
            <w:r w:rsidR="00C54D75">
              <w:rPr>
                <w:rStyle w:val="Bodytext1811pt"/>
                <w:rFonts w:ascii="Sylfaen" w:hAnsi="Sylfaen"/>
                <w:sz w:val="24"/>
                <w:szCs w:val="24"/>
              </w:rPr>
              <w:t>և</w:t>
            </w:r>
            <w:r w:rsidRPr="003B2786">
              <w:rPr>
                <w:rStyle w:val="Bodytext1811pt"/>
                <w:rFonts w:ascii="Sylfaen" w:hAnsi="Sylfaen"/>
                <w:sz w:val="24"/>
                <w:szCs w:val="24"/>
              </w:rPr>
              <w:t xml:space="preserve"> հին բաղադրությամբ դեղապատրաստուկի առնվազն 2 փորձարարաարդյունաբերական սերիաների կոշտ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լուծելիության պրոֆիլի համեմատական տվյալները: Բուսական դեղապատրաստուկների առնչությամբ կարող են </w:t>
            </w:r>
            <w:r w:rsidRPr="003B2786">
              <w:rPr>
                <w:rStyle w:val="Bodytext1811pt"/>
                <w:rFonts w:ascii="Sylfaen" w:hAnsi="Sylfaen"/>
                <w:sz w:val="24"/>
                <w:szCs w:val="24"/>
              </w:rPr>
              <w:lastRenderedPageBreak/>
              <w:t>բավարար լինել համեմատական տրոհելիության տվյալները:</w:t>
            </w:r>
          </w:p>
          <w:p w14:paraId="0E6DDBF7" w14:textId="77777777" w:rsidR="008C76E0" w:rsidRPr="008C76E0" w:rsidRDefault="008C76E0" w:rsidP="008C76E0">
            <w:pPr>
              <w:pStyle w:val="Bodytext180"/>
              <w:shd w:val="clear" w:color="auto" w:fill="auto"/>
              <w:tabs>
                <w:tab w:val="left" w:pos="608"/>
              </w:tabs>
              <w:spacing w:before="0" w:after="120" w:line="240" w:lineRule="auto"/>
              <w:ind w:left="39" w:right="185"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tc>
      </w:tr>
      <w:tr w:rsidR="008C76E0" w:rsidRPr="003B2786" w14:paraId="2F937A0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215C73A" w14:textId="77777777" w:rsidR="008C76E0" w:rsidRPr="008C76E0" w:rsidRDefault="008C76E0" w:rsidP="008C76E0">
            <w:pPr>
              <w:pStyle w:val="Bodytext180"/>
              <w:shd w:val="clear" w:color="auto" w:fill="auto"/>
              <w:tabs>
                <w:tab w:val="left" w:pos="1179"/>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lastRenderedPageBreak/>
              <w:t>Բ.II.ա.4.</w:t>
            </w:r>
            <w:r w:rsidRPr="003B2786">
              <w:rPr>
                <w:rStyle w:val="Bodytext1811pt"/>
                <w:rFonts w:ascii="Sylfaen" w:hAnsi="Sylfaen"/>
                <w:sz w:val="24"/>
                <w:szCs w:val="24"/>
              </w:rPr>
              <w:tab/>
              <w:t>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ի թաղանթի զանգվածի փոփոխությունը կամ դեղապատիճի թաղանթի զանգվածի փոփոխությունը</w:t>
            </w:r>
          </w:p>
        </w:tc>
        <w:tc>
          <w:tcPr>
            <w:tcW w:w="1655" w:type="dxa"/>
            <w:gridSpan w:val="3"/>
            <w:tcBorders>
              <w:top w:val="single" w:sz="4" w:space="0" w:color="auto"/>
              <w:left w:val="single" w:sz="4" w:space="0" w:color="auto"/>
            </w:tcBorders>
            <w:shd w:val="clear" w:color="auto" w:fill="FFFFFF"/>
          </w:tcPr>
          <w:p w14:paraId="0888D34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41E81D9"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21680BA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3790A"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7BE3F01"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ներքին ընդունման համար կոշտ դեղաձ</w:t>
            </w:r>
            <w:r w:rsidR="00C54D75">
              <w:rPr>
                <w:rStyle w:val="Bodytext1811pt"/>
                <w:rFonts w:ascii="Sylfaen" w:hAnsi="Sylfaen"/>
                <w:sz w:val="24"/>
                <w:szCs w:val="24"/>
              </w:rPr>
              <w:t>և</w:t>
            </w:r>
            <w:r w:rsidRPr="003B2786">
              <w:rPr>
                <w:rStyle w:val="Bodytext1811pt"/>
                <w:rFonts w:ascii="Sylfaen" w:hAnsi="Sylfaen"/>
                <w:sz w:val="24"/>
                <w:szCs w:val="24"/>
              </w:rPr>
              <w:t>երը</w:t>
            </w:r>
          </w:p>
        </w:tc>
        <w:tc>
          <w:tcPr>
            <w:tcW w:w="1655" w:type="dxa"/>
            <w:gridSpan w:val="3"/>
            <w:tcBorders>
              <w:top w:val="single" w:sz="4" w:space="0" w:color="auto"/>
              <w:left w:val="single" w:sz="4" w:space="0" w:color="auto"/>
            </w:tcBorders>
            <w:shd w:val="clear" w:color="auto" w:fill="FFFFFF"/>
          </w:tcPr>
          <w:p w14:paraId="6883F3FC"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2042" w:type="dxa"/>
            <w:gridSpan w:val="3"/>
            <w:tcBorders>
              <w:top w:val="single" w:sz="4" w:space="0" w:color="auto"/>
              <w:left w:val="single" w:sz="4" w:space="0" w:color="auto"/>
            </w:tcBorders>
            <w:shd w:val="clear" w:color="auto" w:fill="FFFFFF"/>
          </w:tcPr>
          <w:p w14:paraId="2933F698"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2098" w:type="dxa"/>
            <w:gridSpan w:val="3"/>
            <w:tcBorders>
              <w:top w:val="single" w:sz="4" w:space="0" w:color="auto"/>
              <w:left w:val="single" w:sz="4" w:space="0" w:color="auto"/>
              <w:right w:val="single" w:sz="4" w:space="0" w:color="auto"/>
            </w:tcBorders>
            <w:shd w:val="clear" w:color="auto" w:fill="FFFFFF"/>
          </w:tcPr>
          <w:p w14:paraId="4987FC36"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A4A68DE"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31A72ACF" w14:textId="77777777" w:rsidR="008C76E0" w:rsidRPr="008C76E0" w:rsidRDefault="008C76E0" w:rsidP="008C76E0">
            <w:pPr>
              <w:pStyle w:val="Bodytext180"/>
              <w:shd w:val="clear" w:color="auto" w:fill="auto"/>
              <w:tabs>
                <w:tab w:val="left" w:pos="527"/>
              </w:tabs>
              <w:spacing w:before="0" w:after="120" w:line="240" w:lineRule="auto"/>
              <w:ind w:left="39" w:right="-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հետաձգված, ձ</w:t>
            </w:r>
            <w:r w:rsidR="00C54D75">
              <w:rPr>
                <w:rStyle w:val="Bodytext1811pt"/>
                <w:rFonts w:ascii="Sylfaen" w:hAnsi="Sylfaen"/>
                <w:sz w:val="24"/>
                <w:szCs w:val="24"/>
              </w:rPr>
              <w:t>և</w:t>
            </w:r>
            <w:r w:rsidRPr="003B2786">
              <w:rPr>
                <w:rStyle w:val="Bodytext1811pt"/>
                <w:rFonts w:ascii="Sylfaen" w:hAnsi="Sylfaen"/>
                <w:sz w:val="24"/>
                <w:szCs w:val="24"/>
              </w:rPr>
              <w:t>ափոխված կամ երկարաձգված ձերբազատմամբ դեղաձ</w:t>
            </w:r>
            <w:r w:rsidR="00C54D75">
              <w:rPr>
                <w:rStyle w:val="Bodytext1811pt"/>
                <w:rFonts w:ascii="Sylfaen" w:hAnsi="Sylfaen"/>
                <w:sz w:val="24"/>
                <w:szCs w:val="24"/>
              </w:rPr>
              <w:t>և</w:t>
            </w:r>
            <w:r w:rsidRPr="003B2786">
              <w:rPr>
                <w:rStyle w:val="Bodytext1811pt"/>
                <w:rFonts w:ascii="Sylfaen" w:hAnsi="Sylfaen"/>
                <w:sz w:val="24"/>
                <w:szCs w:val="24"/>
              </w:rPr>
              <w:t>երը, որոնցում թաղանթը ձերբազատման առանցքային գործոնն է</w:t>
            </w:r>
          </w:p>
        </w:tc>
        <w:tc>
          <w:tcPr>
            <w:tcW w:w="1655" w:type="dxa"/>
            <w:gridSpan w:val="3"/>
            <w:tcBorders>
              <w:top w:val="single" w:sz="4" w:space="0" w:color="auto"/>
              <w:left w:val="single" w:sz="4" w:space="0" w:color="auto"/>
            </w:tcBorders>
            <w:shd w:val="clear" w:color="auto" w:fill="FFFFFF"/>
          </w:tcPr>
          <w:p w14:paraId="7522073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57AA66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3D4F67B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96923E6"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03A5C586"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99753FD"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Նոր դեղապատրաստուկի առնվազն 2 փորձարարաարդյունաբերական սերիաների լուծելիության պրոֆիլը համադրելի է հնի հետ։ Դեղաբուսական պատրաստուկի լուծելիության փորձարկման անցկացման անհնարինության դեպքում՝ նոր դեղապատրաստուկի տրոհելիության ժամանակը՝ հնի համեմատությամբ:</w:t>
            </w:r>
          </w:p>
          <w:p w14:paraId="0D7DCE21"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Թաղանթը ձերբազատման մեխանիզմի առանցքային գործոն չէ:</w:t>
            </w:r>
          </w:p>
          <w:p w14:paraId="2E598AD3"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մասնագիրը նորացվել է միայն զանգվածի </w:t>
            </w:r>
            <w:r w:rsidR="00C54D75">
              <w:rPr>
                <w:rStyle w:val="Bodytext1811pt"/>
                <w:rFonts w:ascii="Sylfaen" w:hAnsi="Sylfaen"/>
                <w:sz w:val="24"/>
                <w:szCs w:val="24"/>
              </w:rPr>
              <w:t>և</w:t>
            </w:r>
            <w:r w:rsidRPr="003B2786">
              <w:rPr>
                <w:rStyle w:val="Bodytext1811pt"/>
                <w:rFonts w:ascii="Sylfaen" w:hAnsi="Sylfaen"/>
                <w:sz w:val="24"/>
                <w:szCs w:val="24"/>
              </w:rPr>
              <w:t xml:space="preserve"> չափսերի առումով (եթե կիրառելի է):</w:t>
            </w:r>
          </w:p>
          <w:p w14:paraId="3C2F9B64" w14:textId="6B2410D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 համաձայն՝ սկսվել են առնվազն 2 փորձարարաարդյունաբերական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արդյունաբերական սերիաների նկատմամբ կայունության համապատասխան հետազոտությունները. </w:t>
            </w:r>
            <w:r w:rsidR="0056496B">
              <w:rPr>
                <w:rStyle w:val="Bodytext1811pt"/>
                <w:rFonts w:ascii="Sylfaen" w:hAnsi="Sylfaen"/>
                <w:sz w:val="24"/>
                <w:szCs w:val="24"/>
              </w:rPr>
              <w:t>դիմումատու</w:t>
            </w:r>
            <w:r w:rsidRPr="003B2786">
              <w:rPr>
                <w:rStyle w:val="Bodytext1811pt"/>
                <w:rFonts w:ascii="Sylfaen" w:hAnsi="Sylfaen"/>
                <w:sz w:val="24"/>
                <w:szCs w:val="24"/>
              </w:rPr>
              <w:t>ի տրամադրության տակ կան կայունության առնվազն 3-ամսյա ուսումնասիրության բավարար արդյունքներ. հաստատում այն մասին, որ ուսումնասիրությունները կավարտվեն: Եթե արդյունքները չեն տեղավորվում մասնագրերում կամ պոտենցիալ կերպով կարող են չտեղավորվել մասնագրերում պիտանիության ժամկետի ավարտին, ապա դրանք գործողությունների առաջարկվող պլանի հետ անհապաղ կներկայացվեն լիազորված մարմին:</w:t>
            </w:r>
          </w:p>
        </w:tc>
      </w:tr>
      <w:tr w:rsidR="008C76E0" w:rsidRPr="003B2786" w14:paraId="6F51A687"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2192D67E"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93B727F" w14:textId="77777777"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ուղղումը։</w:t>
            </w:r>
          </w:p>
          <w:p w14:paraId="18A439FF" w14:textId="622C67B8" w:rsidR="008C76E0" w:rsidRPr="008C76E0" w:rsidRDefault="008C76E0" w:rsidP="008C76E0">
            <w:pPr>
              <w:pStyle w:val="Bodytext180"/>
              <w:shd w:val="clear" w:color="auto" w:fill="auto"/>
              <w:tabs>
                <w:tab w:val="left" w:pos="560"/>
              </w:tabs>
              <w:spacing w:before="0" w:after="120" w:line="240" w:lineRule="auto"/>
              <w:ind w:left="52" w:right="57"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սկսվել են կայունության պահանջվող ուսումնասիրությունները՝ Միության փաստաթղթերին համապատասխան (սերիաների համարների նշումով),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փոփոխությունների ներմուծման պահին նրա տրամադրության տակ եղել են կայունության գծով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մասին,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տեղավորվում մասնագրերում կամ պոտենցիալ կերպով կարող են </w:t>
            </w:r>
            <w:r w:rsidRPr="003B2786">
              <w:rPr>
                <w:rStyle w:val="Bodytext1811pt"/>
                <w:rFonts w:ascii="Sylfaen" w:hAnsi="Sylfaen"/>
                <w:sz w:val="24"/>
                <w:szCs w:val="24"/>
              </w:rPr>
              <w:lastRenderedPageBreak/>
              <w:t>չտեղավորվել մասնագրերում պիտանիության ժամկետի ավարտին, ապա դրանք գործողությունների առաջարկվող պլանի հետ պետք է անհապաղ կներկայացվեն լիազորված մարմին: Բացի այդ, համապատասխան դեպքերում անհրաժեշտ է անցկացնել ֆոտոկայունության փորձարկում:</w:t>
            </w:r>
          </w:p>
        </w:tc>
      </w:tr>
      <w:tr w:rsidR="008C76E0" w:rsidRPr="003B2786" w14:paraId="6253BECA" w14:textId="77777777" w:rsidTr="008C76E0">
        <w:trPr>
          <w:gridAfter w:val="1"/>
          <w:wAfter w:w="14" w:type="dxa"/>
          <w:jc w:val="center"/>
        </w:trPr>
        <w:tc>
          <w:tcPr>
            <w:tcW w:w="4592" w:type="dxa"/>
            <w:gridSpan w:val="5"/>
            <w:tcBorders>
              <w:top w:val="single" w:sz="4" w:space="0" w:color="auto"/>
              <w:left w:val="single" w:sz="4" w:space="0" w:color="auto"/>
              <w:bottom w:val="single" w:sz="4" w:space="0" w:color="auto"/>
            </w:tcBorders>
            <w:shd w:val="clear" w:color="auto" w:fill="FFFFFF"/>
            <w:vAlign w:val="bottom"/>
          </w:tcPr>
          <w:p w14:paraId="2A6E8068" w14:textId="77777777" w:rsidR="008C76E0" w:rsidRPr="008C76E0" w:rsidRDefault="008C76E0" w:rsidP="008C76E0">
            <w:pPr>
              <w:pStyle w:val="Bodytext180"/>
              <w:shd w:val="clear" w:color="auto" w:fill="auto"/>
              <w:tabs>
                <w:tab w:val="left" w:pos="1144"/>
              </w:tabs>
              <w:spacing w:before="0" w:after="120" w:line="240" w:lineRule="auto"/>
              <w:ind w:left="52" w:right="50" w:firstLine="0"/>
              <w:jc w:val="both"/>
              <w:rPr>
                <w:rFonts w:ascii="Sylfaen" w:hAnsi="Sylfaen"/>
                <w:b w:val="0"/>
                <w:sz w:val="24"/>
                <w:szCs w:val="24"/>
                <w:lang w:val="hy-AM"/>
              </w:rPr>
            </w:pPr>
            <w:r w:rsidRPr="003B2786">
              <w:rPr>
                <w:rStyle w:val="Bodytext1811pt"/>
                <w:rFonts w:ascii="Sylfaen" w:hAnsi="Sylfaen"/>
                <w:sz w:val="24"/>
                <w:szCs w:val="24"/>
              </w:rPr>
              <w:lastRenderedPageBreak/>
              <w:t>Բ.II.ա.5.</w:t>
            </w:r>
            <w:r w:rsidRPr="003B2786">
              <w:rPr>
                <w:rStyle w:val="Bodytext1811pt"/>
                <w:rFonts w:ascii="Sylfaen" w:hAnsi="Sylfaen"/>
                <w:sz w:val="24"/>
                <w:szCs w:val="24"/>
              </w:rPr>
              <w:tab/>
              <w:t>Միադոզանի, լիովին ներմուծվող պարէնտերալ դեղապատրաստուկի խտության փոփոխությունը՝ ակտիվ դեղագործական բաղադրամասի փոփոխելիության բացակայության դեպքում՝ դեղաչափի միավորի համար (այսինքն՝ դոզավորման)</w:t>
            </w:r>
          </w:p>
        </w:tc>
        <w:tc>
          <w:tcPr>
            <w:tcW w:w="1655" w:type="dxa"/>
            <w:gridSpan w:val="3"/>
            <w:tcBorders>
              <w:top w:val="single" w:sz="4" w:space="0" w:color="auto"/>
              <w:left w:val="single" w:sz="4" w:space="0" w:color="auto"/>
              <w:bottom w:val="single" w:sz="4" w:space="0" w:color="auto"/>
            </w:tcBorders>
            <w:shd w:val="clear" w:color="auto" w:fill="FFFFFF"/>
          </w:tcPr>
          <w:p w14:paraId="6C40D6E4"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bottom w:val="single" w:sz="4" w:space="0" w:color="auto"/>
            </w:tcBorders>
            <w:shd w:val="clear" w:color="auto" w:fill="FFFFFF"/>
          </w:tcPr>
          <w:p w14:paraId="0E80E31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bottom w:val="single" w:sz="4" w:space="0" w:color="auto"/>
              <w:right w:val="single" w:sz="4" w:space="0" w:color="auto"/>
            </w:tcBorders>
            <w:shd w:val="clear" w:color="auto" w:fill="FFFFFF"/>
          </w:tcPr>
          <w:p w14:paraId="019593C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D325528"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41CB48BD" w14:textId="77777777" w:rsidR="008C76E0" w:rsidRPr="003B2786" w:rsidRDefault="008C76E0" w:rsidP="008C76E0">
            <w:pPr>
              <w:pStyle w:val="Bodytext180"/>
              <w:shd w:val="clear" w:color="auto" w:fill="auto"/>
              <w:spacing w:before="0" w:after="120" w:line="240" w:lineRule="auto"/>
              <w:ind w:right="-1" w:firstLine="0"/>
              <w:jc w:val="both"/>
              <w:rPr>
                <w:rFonts w:ascii="Sylfaen" w:hAnsi="Sylfaen"/>
                <w:b w:val="0"/>
                <w:sz w:val="24"/>
                <w:szCs w:val="24"/>
              </w:rPr>
            </w:pPr>
          </w:p>
        </w:tc>
        <w:tc>
          <w:tcPr>
            <w:tcW w:w="1655" w:type="dxa"/>
            <w:gridSpan w:val="3"/>
            <w:tcBorders>
              <w:top w:val="single" w:sz="4" w:space="0" w:color="auto"/>
              <w:left w:val="single" w:sz="4" w:space="0" w:color="auto"/>
            </w:tcBorders>
            <w:shd w:val="clear" w:color="auto" w:fill="FFFFFF"/>
          </w:tcPr>
          <w:p w14:paraId="2EB25B8B" w14:textId="77777777" w:rsidR="008C76E0" w:rsidRPr="003B2786" w:rsidRDefault="008C76E0" w:rsidP="008C76E0">
            <w:pPr>
              <w:spacing w:after="120" w:line="240" w:lineRule="auto"/>
              <w:ind w:right="-1"/>
              <w:jc w:val="center"/>
              <w:rPr>
                <w:rFonts w:ascii="Sylfaen" w:hAnsi="Sylfaen"/>
                <w:sz w:val="24"/>
                <w:szCs w:val="24"/>
              </w:rPr>
            </w:pPr>
          </w:p>
        </w:tc>
        <w:tc>
          <w:tcPr>
            <w:tcW w:w="2042" w:type="dxa"/>
            <w:gridSpan w:val="3"/>
            <w:tcBorders>
              <w:top w:val="single" w:sz="4" w:space="0" w:color="auto"/>
              <w:left w:val="single" w:sz="4" w:space="0" w:color="auto"/>
            </w:tcBorders>
            <w:shd w:val="clear" w:color="auto" w:fill="FFFFFF"/>
          </w:tcPr>
          <w:p w14:paraId="0B6EB805" w14:textId="77777777" w:rsidR="008C76E0" w:rsidRPr="003B2786" w:rsidRDefault="008C76E0" w:rsidP="008C76E0">
            <w:pPr>
              <w:spacing w:after="120" w:line="240" w:lineRule="auto"/>
              <w:ind w:right="-1"/>
              <w:jc w:val="center"/>
              <w:rPr>
                <w:rFonts w:ascii="Sylfaen" w:hAnsi="Sylfaen"/>
                <w:sz w:val="24"/>
                <w:szCs w:val="24"/>
              </w:rPr>
            </w:pPr>
          </w:p>
        </w:tc>
        <w:tc>
          <w:tcPr>
            <w:tcW w:w="2098" w:type="dxa"/>
            <w:gridSpan w:val="3"/>
            <w:tcBorders>
              <w:top w:val="single" w:sz="4" w:space="0" w:color="auto"/>
              <w:left w:val="single" w:sz="4" w:space="0" w:color="auto"/>
              <w:right w:val="single" w:sz="4" w:space="0" w:color="auto"/>
            </w:tcBorders>
            <w:shd w:val="clear" w:color="auto" w:fill="FFFFFF"/>
          </w:tcPr>
          <w:p w14:paraId="31964719" w14:textId="77777777" w:rsidR="008C76E0" w:rsidRPr="003B2786" w:rsidRDefault="008C76E0" w:rsidP="008C76E0">
            <w:pPr>
              <w:spacing w:after="120" w:line="240" w:lineRule="auto"/>
              <w:ind w:right="-1"/>
              <w:jc w:val="center"/>
              <w:rPr>
                <w:rFonts w:ascii="Sylfaen" w:hAnsi="Sylfaen"/>
                <w:sz w:val="24"/>
                <w:szCs w:val="24"/>
              </w:rPr>
            </w:pPr>
          </w:p>
        </w:tc>
      </w:tr>
      <w:tr w:rsidR="008C76E0" w:rsidRPr="003B2786" w14:paraId="19669A20"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3EF9DFE2"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130EC0C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806B723"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98" w:type="dxa"/>
            <w:gridSpan w:val="3"/>
            <w:tcBorders>
              <w:top w:val="single" w:sz="4" w:space="0" w:color="auto"/>
              <w:left w:val="single" w:sz="4" w:space="0" w:color="auto"/>
              <w:right w:val="single" w:sz="4" w:space="0" w:color="auto"/>
            </w:tcBorders>
            <w:shd w:val="clear" w:color="auto" w:fill="FFFFFF"/>
          </w:tcPr>
          <w:p w14:paraId="74AC8491"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6260F5"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vAlign w:val="bottom"/>
          </w:tcPr>
          <w:p w14:paraId="10338363" w14:textId="77777777" w:rsidR="008C76E0" w:rsidRPr="008C76E0" w:rsidRDefault="008C76E0" w:rsidP="008C76E0">
            <w:pPr>
              <w:pStyle w:val="Bodytext180"/>
              <w:shd w:val="clear" w:color="auto" w:fill="auto"/>
              <w:spacing w:before="0" w:after="120" w:line="240" w:lineRule="auto"/>
              <w:ind w:left="52" w:right="37" w:firstLine="0"/>
              <w:jc w:val="both"/>
              <w:rPr>
                <w:rFonts w:ascii="Sylfaen" w:hAnsi="Sylfaen"/>
                <w:b w:val="0"/>
                <w:sz w:val="24"/>
                <w:szCs w:val="24"/>
                <w:lang w:val="hy-AM"/>
              </w:rPr>
            </w:pPr>
            <w:r w:rsidRPr="003B2786">
              <w:rPr>
                <w:rStyle w:val="Bodytext1811pt"/>
                <w:rFonts w:ascii="Sylfaen" w:hAnsi="Sylfaen"/>
                <w:sz w:val="24"/>
                <w:szCs w:val="24"/>
              </w:rPr>
              <w:t>Բ.II.ա.6.</w:t>
            </w:r>
            <w:r w:rsidRPr="003B2786">
              <w:rPr>
                <w:rStyle w:val="Bodytext1811pt"/>
                <w:rFonts w:ascii="Sylfaen" w:hAnsi="Sylfaen"/>
                <w:sz w:val="24"/>
                <w:szCs w:val="24"/>
              </w:rPr>
              <w:tab/>
              <w:t>Փաթեթվածքից լուծիչով (նոսրացուցիչով) բեռնարկղի բացառումը</w:t>
            </w:r>
          </w:p>
        </w:tc>
        <w:tc>
          <w:tcPr>
            <w:tcW w:w="1655" w:type="dxa"/>
            <w:gridSpan w:val="3"/>
            <w:tcBorders>
              <w:top w:val="single" w:sz="4" w:space="0" w:color="auto"/>
              <w:left w:val="single" w:sz="4" w:space="0" w:color="auto"/>
            </w:tcBorders>
            <w:shd w:val="clear" w:color="auto" w:fill="FFFFFF"/>
          </w:tcPr>
          <w:p w14:paraId="23442490"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42" w:type="dxa"/>
            <w:gridSpan w:val="3"/>
            <w:tcBorders>
              <w:top w:val="single" w:sz="4" w:space="0" w:color="auto"/>
              <w:left w:val="single" w:sz="4" w:space="0" w:color="auto"/>
            </w:tcBorders>
            <w:shd w:val="clear" w:color="auto" w:fill="FFFFFF"/>
          </w:tcPr>
          <w:p w14:paraId="083B799D"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098" w:type="dxa"/>
            <w:gridSpan w:val="3"/>
            <w:tcBorders>
              <w:top w:val="single" w:sz="4" w:space="0" w:color="auto"/>
              <w:left w:val="single" w:sz="4" w:space="0" w:color="auto"/>
              <w:right w:val="single" w:sz="4" w:space="0" w:color="auto"/>
            </w:tcBorders>
            <w:shd w:val="clear" w:color="auto" w:fill="FFFFFF"/>
          </w:tcPr>
          <w:p w14:paraId="6CB53295"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36E09F1" w14:textId="77777777" w:rsidTr="008C76E0">
        <w:trPr>
          <w:gridAfter w:val="1"/>
          <w:wAfter w:w="14" w:type="dxa"/>
          <w:jc w:val="center"/>
        </w:trPr>
        <w:tc>
          <w:tcPr>
            <w:tcW w:w="4592" w:type="dxa"/>
            <w:gridSpan w:val="5"/>
            <w:tcBorders>
              <w:top w:val="single" w:sz="4" w:space="0" w:color="auto"/>
              <w:left w:val="single" w:sz="4" w:space="0" w:color="auto"/>
            </w:tcBorders>
            <w:shd w:val="clear" w:color="auto" w:fill="FFFFFF"/>
          </w:tcPr>
          <w:p w14:paraId="1F2E8753" w14:textId="77777777" w:rsidR="008C76E0" w:rsidRPr="003B2786" w:rsidRDefault="008C76E0" w:rsidP="008C76E0">
            <w:pPr>
              <w:spacing w:after="120" w:line="240" w:lineRule="auto"/>
              <w:ind w:right="-1"/>
              <w:jc w:val="both"/>
              <w:rPr>
                <w:rFonts w:ascii="Sylfaen" w:hAnsi="Sylfaen"/>
                <w:sz w:val="24"/>
                <w:szCs w:val="24"/>
              </w:rPr>
            </w:pPr>
          </w:p>
        </w:tc>
        <w:tc>
          <w:tcPr>
            <w:tcW w:w="1655" w:type="dxa"/>
            <w:gridSpan w:val="3"/>
            <w:tcBorders>
              <w:top w:val="single" w:sz="4" w:space="0" w:color="auto"/>
              <w:left w:val="single" w:sz="4" w:space="0" w:color="auto"/>
            </w:tcBorders>
            <w:shd w:val="clear" w:color="auto" w:fill="FFFFFF"/>
          </w:tcPr>
          <w:p w14:paraId="570A396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42" w:type="dxa"/>
            <w:gridSpan w:val="3"/>
            <w:tcBorders>
              <w:top w:val="single" w:sz="4" w:space="0" w:color="auto"/>
              <w:left w:val="single" w:sz="4" w:space="0" w:color="auto"/>
            </w:tcBorders>
            <w:shd w:val="clear" w:color="auto" w:fill="FFFFFF"/>
          </w:tcPr>
          <w:p w14:paraId="3E49958A"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1, 2</w:t>
            </w:r>
          </w:p>
        </w:tc>
        <w:tc>
          <w:tcPr>
            <w:tcW w:w="2098" w:type="dxa"/>
            <w:gridSpan w:val="3"/>
            <w:tcBorders>
              <w:top w:val="single" w:sz="4" w:space="0" w:color="auto"/>
              <w:left w:val="single" w:sz="4" w:space="0" w:color="auto"/>
              <w:right w:val="single" w:sz="4" w:space="0" w:color="auto"/>
            </w:tcBorders>
            <w:shd w:val="clear" w:color="auto" w:fill="FFFFFF"/>
          </w:tcPr>
          <w:p w14:paraId="27FA968B" w14:textId="77777777" w:rsidR="008C76E0" w:rsidRPr="003B2786" w:rsidRDefault="008C76E0" w:rsidP="008C76E0">
            <w:pPr>
              <w:pStyle w:val="Bodytext180"/>
              <w:shd w:val="clear" w:color="auto" w:fill="auto"/>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47AF489" w14:textId="77777777" w:rsidTr="008C76E0">
        <w:trPr>
          <w:gridAfter w:val="1"/>
          <w:wAfter w:w="14" w:type="dxa"/>
          <w:jc w:val="center"/>
        </w:trPr>
        <w:tc>
          <w:tcPr>
            <w:tcW w:w="10387" w:type="dxa"/>
            <w:gridSpan w:val="14"/>
            <w:tcBorders>
              <w:top w:val="single" w:sz="4" w:space="0" w:color="auto"/>
              <w:left w:val="single" w:sz="4" w:space="0" w:color="auto"/>
              <w:right w:val="single" w:sz="4" w:space="0" w:color="auto"/>
            </w:tcBorders>
            <w:shd w:val="clear" w:color="auto" w:fill="FFFFFF"/>
            <w:vAlign w:val="bottom"/>
          </w:tcPr>
          <w:p w14:paraId="3F804C46" w14:textId="77777777" w:rsidR="008C76E0" w:rsidRPr="008C76E0" w:rsidRDefault="008C76E0" w:rsidP="008C76E0">
            <w:pPr>
              <w:pStyle w:val="Bodytext180"/>
              <w:shd w:val="clear" w:color="auto" w:fill="auto"/>
              <w:tabs>
                <w:tab w:val="left" w:pos="587"/>
              </w:tabs>
              <w:spacing w:before="0" w:after="120" w:line="240" w:lineRule="auto"/>
              <w:ind w:right="-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FAFE95" w14:textId="77777777" w:rsidR="008C76E0" w:rsidRPr="008C76E0" w:rsidRDefault="008C76E0" w:rsidP="008C76E0">
            <w:pPr>
              <w:pStyle w:val="Bodytext180"/>
              <w:shd w:val="clear" w:color="auto" w:fill="auto"/>
              <w:tabs>
                <w:tab w:val="left" w:pos="587"/>
              </w:tabs>
              <w:spacing w:before="0" w:after="120" w:line="240" w:lineRule="auto"/>
              <w:ind w:left="52" w:right="185"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Բացառման հիմնավորումը, ներառյալ՝ լուծիչի (նոսրացուցիչի) ստացման այլընտրանքային եղանակի ցուցումը՝ դեղապատրաստուկի անվտանգ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 կիրառության նպատակով։</w:t>
            </w:r>
          </w:p>
          <w:p w14:paraId="33057C36" w14:textId="77777777" w:rsidR="008C76E0" w:rsidRPr="003B2786" w:rsidRDefault="008C76E0" w:rsidP="008C76E0">
            <w:pPr>
              <w:pStyle w:val="Bodytext180"/>
              <w:shd w:val="clear" w:color="auto" w:fill="auto"/>
              <w:tabs>
                <w:tab w:val="left" w:pos="587"/>
              </w:tabs>
              <w:spacing w:before="0" w:after="120" w:line="240" w:lineRule="auto"/>
              <w:ind w:left="52" w:right="-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14B5D3" w14:textId="77777777" w:rsidTr="008C76E0">
        <w:trPr>
          <w:jc w:val="center"/>
        </w:trPr>
        <w:tc>
          <w:tcPr>
            <w:tcW w:w="10401" w:type="dxa"/>
            <w:gridSpan w:val="15"/>
            <w:tcBorders>
              <w:top w:val="single" w:sz="4" w:space="0" w:color="auto"/>
            </w:tcBorders>
            <w:shd w:val="clear" w:color="auto" w:fill="FFFFFF"/>
            <w:vAlign w:val="bottom"/>
          </w:tcPr>
          <w:p w14:paraId="2C043291" w14:textId="77777777" w:rsidR="008C76E0" w:rsidRPr="003B2786" w:rsidRDefault="008C76E0" w:rsidP="008C76E0">
            <w:pPr>
              <w:pStyle w:val="Bodytext180"/>
              <w:shd w:val="clear" w:color="auto" w:fill="auto"/>
              <w:tabs>
                <w:tab w:val="left" w:pos="1150"/>
              </w:tabs>
              <w:spacing w:before="0" w:after="120" w:line="240" w:lineRule="auto"/>
              <w:ind w:left="50" w:right="-1" w:firstLine="0"/>
              <w:jc w:val="center"/>
              <w:rPr>
                <w:rFonts w:ascii="Sylfaen" w:hAnsi="Sylfaen"/>
                <w:b w:val="0"/>
                <w:sz w:val="24"/>
                <w:szCs w:val="24"/>
              </w:rPr>
            </w:pPr>
            <w:r w:rsidRPr="003B2786">
              <w:rPr>
                <w:rStyle w:val="Bodytext295pt"/>
                <w:rFonts w:ascii="Sylfaen" w:hAnsi="Sylfaen"/>
                <w:sz w:val="24"/>
                <w:szCs w:val="24"/>
              </w:rPr>
              <w:t>Բ.II.բ)</w:t>
            </w:r>
            <w:r w:rsidRPr="003B2786">
              <w:rPr>
                <w:rStyle w:val="Bodytext295pt"/>
                <w:rFonts w:ascii="Sylfaen" w:hAnsi="Sylfaen"/>
                <w:sz w:val="24"/>
                <w:szCs w:val="24"/>
              </w:rPr>
              <w:tab/>
              <w:t>Արտադրությունը</w:t>
            </w:r>
          </w:p>
        </w:tc>
      </w:tr>
      <w:tr w:rsidR="008C76E0" w:rsidRPr="003B2786" w14:paraId="37DAF41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D902EA1" w14:textId="77777777" w:rsidR="008C76E0" w:rsidRPr="008C76E0" w:rsidRDefault="008C76E0" w:rsidP="008C76E0">
            <w:pPr>
              <w:pStyle w:val="Bodytext180"/>
              <w:shd w:val="clear" w:color="auto" w:fill="auto"/>
              <w:tabs>
                <w:tab w:val="left" w:pos="1141"/>
              </w:tabs>
              <w:spacing w:before="0" w:after="120" w:line="240" w:lineRule="auto"/>
              <w:ind w:left="157" w:right="118" w:firstLine="0"/>
              <w:rPr>
                <w:rFonts w:ascii="Sylfaen" w:hAnsi="Sylfaen"/>
                <w:b w:val="0"/>
                <w:sz w:val="24"/>
                <w:szCs w:val="24"/>
                <w:lang w:val="hy-AM"/>
              </w:rPr>
            </w:pPr>
            <w:r w:rsidRPr="003B2786">
              <w:rPr>
                <w:rStyle w:val="Bodytext1811pt"/>
                <w:rFonts w:ascii="Sylfaen" w:hAnsi="Sylfaen"/>
                <w:sz w:val="24"/>
                <w:szCs w:val="24"/>
              </w:rPr>
              <w:t xml:space="preserve">Բ.II.բ. </w:t>
            </w:r>
            <w:r w:rsidRPr="003B2786">
              <w:rPr>
                <w:rStyle w:val="Bodytext295pt"/>
                <w:rFonts w:ascii="Sylfaen" w:hAnsi="Sylfaen"/>
                <w:sz w:val="24"/>
                <w:szCs w:val="24"/>
              </w:rPr>
              <w:t>1.</w:t>
            </w:r>
            <w:r w:rsidRPr="003B2786">
              <w:rPr>
                <w:rStyle w:val="Bodytext295pt"/>
                <w:rFonts w:ascii="Sylfaen" w:hAnsi="Sylfaen"/>
                <w:sz w:val="24"/>
                <w:szCs w:val="24"/>
              </w:rPr>
              <w:tab/>
            </w:r>
            <w:r w:rsidRPr="003B2786">
              <w:rPr>
                <w:rStyle w:val="Bodytext1811pt"/>
                <w:rFonts w:ascii="Sylfaen" w:hAnsi="Sylfaen"/>
                <w:sz w:val="24"/>
                <w:szCs w:val="24"/>
              </w:rPr>
              <w:t>Դեղապատրաստուկի արտադրության մի մասի կամ բոլոր գործընթացների համար արտադրական հարթակների փոխարինումը կամ նորի ավելացումը</w:t>
            </w:r>
          </w:p>
        </w:tc>
        <w:tc>
          <w:tcPr>
            <w:tcW w:w="1701" w:type="dxa"/>
            <w:gridSpan w:val="4"/>
            <w:tcBorders>
              <w:top w:val="single" w:sz="4" w:space="0" w:color="auto"/>
              <w:left w:val="single" w:sz="4" w:space="0" w:color="auto"/>
            </w:tcBorders>
            <w:shd w:val="clear" w:color="auto" w:fill="FFFFFF"/>
          </w:tcPr>
          <w:p w14:paraId="6F599B3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5BA3BCA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33895DA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518664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1D138"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երկրորդային փաթեթվածքի համար հարթակ</w:t>
            </w:r>
          </w:p>
        </w:tc>
        <w:tc>
          <w:tcPr>
            <w:tcW w:w="1701" w:type="dxa"/>
            <w:gridSpan w:val="4"/>
            <w:tcBorders>
              <w:top w:val="single" w:sz="4" w:space="0" w:color="auto"/>
              <w:left w:val="single" w:sz="4" w:space="0" w:color="auto"/>
            </w:tcBorders>
            <w:shd w:val="clear" w:color="auto" w:fill="FFFFFF"/>
          </w:tcPr>
          <w:p w14:paraId="3D542F2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w:t>
            </w:r>
          </w:p>
        </w:tc>
        <w:tc>
          <w:tcPr>
            <w:tcW w:w="2079" w:type="dxa"/>
            <w:gridSpan w:val="3"/>
            <w:tcBorders>
              <w:top w:val="single" w:sz="4" w:space="0" w:color="auto"/>
              <w:left w:val="single" w:sz="4" w:space="0" w:color="auto"/>
            </w:tcBorders>
            <w:shd w:val="clear" w:color="auto" w:fill="FFFFFF"/>
          </w:tcPr>
          <w:p w14:paraId="61A1D4E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1, 3, 8</w:t>
            </w:r>
          </w:p>
        </w:tc>
        <w:tc>
          <w:tcPr>
            <w:tcW w:w="1624" w:type="dxa"/>
            <w:gridSpan w:val="2"/>
            <w:tcBorders>
              <w:top w:val="single" w:sz="4" w:space="0" w:color="auto"/>
              <w:left w:val="single" w:sz="4" w:space="0" w:color="auto"/>
              <w:right w:val="single" w:sz="4" w:space="0" w:color="auto"/>
            </w:tcBorders>
            <w:shd w:val="clear" w:color="auto" w:fill="FFFFFF"/>
          </w:tcPr>
          <w:p w14:paraId="187113F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43FC2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180FA0"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առաջնային փաթեթվածքի համար հարթակ</w:t>
            </w:r>
          </w:p>
        </w:tc>
        <w:tc>
          <w:tcPr>
            <w:tcW w:w="1701" w:type="dxa"/>
            <w:gridSpan w:val="4"/>
            <w:tcBorders>
              <w:top w:val="single" w:sz="4" w:space="0" w:color="auto"/>
              <w:left w:val="single" w:sz="4" w:space="0" w:color="auto"/>
            </w:tcBorders>
            <w:shd w:val="clear" w:color="auto" w:fill="FFFFFF"/>
          </w:tcPr>
          <w:p w14:paraId="3A1C4D8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6AD8380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1, 2, 3, 4, 8, 9</w:t>
            </w:r>
          </w:p>
        </w:tc>
        <w:tc>
          <w:tcPr>
            <w:tcW w:w="1624" w:type="dxa"/>
            <w:gridSpan w:val="2"/>
            <w:tcBorders>
              <w:top w:val="single" w:sz="4" w:space="0" w:color="auto"/>
              <w:left w:val="single" w:sz="4" w:space="0" w:color="auto"/>
              <w:right w:val="single" w:sz="4" w:space="0" w:color="auto"/>
            </w:tcBorders>
            <w:shd w:val="clear" w:color="auto" w:fill="FFFFFF"/>
          </w:tcPr>
          <w:p w14:paraId="03EA063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i/>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12E80EE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A487B1"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հարթակ, որտեղ կենսաբանական (իմունաբանական) դեղապատրաստուկների կամ բարդ արտադրական գործընթացներով արտադրված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համար իրականացվում են արտադրական </w:t>
            </w:r>
            <w:r w:rsidRPr="003B2786">
              <w:rPr>
                <w:rStyle w:val="Bodytext1811pt"/>
                <w:rFonts w:ascii="Sylfaen" w:hAnsi="Sylfaen"/>
                <w:sz w:val="24"/>
                <w:szCs w:val="24"/>
              </w:rPr>
              <w:lastRenderedPageBreak/>
              <w:t xml:space="preserve">գործողություններ՝ բացառությամբ սերիաների թողարկման,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1F6755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079" w:type="dxa"/>
            <w:gridSpan w:val="3"/>
            <w:tcBorders>
              <w:top w:val="single" w:sz="4" w:space="0" w:color="auto"/>
              <w:left w:val="single" w:sz="4" w:space="0" w:color="auto"/>
            </w:tcBorders>
            <w:shd w:val="clear" w:color="auto" w:fill="FFFFFF"/>
          </w:tcPr>
          <w:p w14:paraId="5700042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6AC81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D5855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B8FAD4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հարթակ, որտեղ պահանջվում է անցկացնել նախնական կամ արտադրանքի համար սպեցիֆիկ տեսչական ստուգում</w:t>
            </w:r>
          </w:p>
        </w:tc>
        <w:tc>
          <w:tcPr>
            <w:tcW w:w="1701" w:type="dxa"/>
            <w:gridSpan w:val="4"/>
            <w:tcBorders>
              <w:top w:val="single" w:sz="4" w:space="0" w:color="auto"/>
              <w:left w:val="single" w:sz="4" w:space="0" w:color="auto"/>
            </w:tcBorders>
            <w:shd w:val="clear" w:color="auto" w:fill="FFFFFF"/>
          </w:tcPr>
          <w:p w14:paraId="01F7209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0AAD3E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624" w:type="dxa"/>
            <w:gridSpan w:val="2"/>
            <w:tcBorders>
              <w:top w:val="single" w:sz="4" w:space="0" w:color="auto"/>
              <w:left w:val="single" w:sz="4" w:space="0" w:color="auto"/>
              <w:right w:val="single" w:sz="4" w:space="0" w:color="auto"/>
            </w:tcBorders>
            <w:shd w:val="clear" w:color="auto" w:fill="FFFFFF"/>
          </w:tcPr>
          <w:p w14:paraId="3490B0A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955415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69851A"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 xml:space="preserve">հարթակ, որտեղ ոչ մանրէազերծ դեղապատրաստուկների համար իրականացվում է ցանկացած արտադրական գործողություն՝ բացառությամբ սերիաների թողարկման, սերիաների հսկողության, առաջնային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32242FD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314D2BC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1, 2, 3, 4, 5, 6, 7, 8, 9</w:t>
            </w:r>
          </w:p>
        </w:tc>
        <w:tc>
          <w:tcPr>
            <w:tcW w:w="1624" w:type="dxa"/>
            <w:gridSpan w:val="2"/>
            <w:tcBorders>
              <w:top w:val="single" w:sz="4" w:space="0" w:color="auto"/>
              <w:left w:val="single" w:sz="4" w:space="0" w:color="auto"/>
              <w:right w:val="single" w:sz="4" w:space="0" w:color="auto"/>
            </w:tcBorders>
            <w:shd w:val="clear" w:color="auto" w:fill="FFFFFF"/>
          </w:tcPr>
          <w:p w14:paraId="7895E3E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0450E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6B80BB5" w14:textId="77777777" w:rsidR="008C76E0" w:rsidRPr="008C76E0" w:rsidRDefault="008C76E0" w:rsidP="008C76E0">
            <w:pPr>
              <w:pStyle w:val="Bodytext180"/>
              <w:shd w:val="clear" w:color="auto" w:fill="auto"/>
              <w:tabs>
                <w:tab w:val="left" w:pos="567"/>
              </w:tabs>
              <w:spacing w:before="0" w:after="120" w:line="240" w:lineRule="auto"/>
              <w:ind w:left="123" w:right="216"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հարթակ, որտեղ ասեպտիկ մեթոդների օգտագործմամբ արտադրվող ստերիլ դեղապատրաստուկների (բացառությամբ կենսաբանական (իմունաբանական) դեղապատրաստուկների) համար իրականացվում է ցանկացած արտադրական գործողություն՝ բացառությամբ սերիաների բացթողման, սերիաների որակի հսկողության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երկրորդային փաթեթավորման</w:t>
            </w:r>
          </w:p>
        </w:tc>
        <w:tc>
          <w:tcPr>
            <w:tcW w:w="1701" w:type="dxa"/>
            <w:gridSpan w:val="4"/>
            <w:tcBorders>
              <w:top w:val="single" w:sz="4" w:space="0" w:color="auto"/>
              <w:left w:val="single" w:sz="4" w:space="0" w:color="auto"/>
            </w:tcBorders>
            <w:shd w:val="clear" w:color="auto" w:fill="FFFFFF"/>
          </w:tcPr>
          <w:p w14:paraId="1DA5F09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2079" w:type="dxa"/>
            <w:gridSpan w:val="3"/>
            <w:tcBorders>
              <w:top w:val="single" w:sz="4" w:space="0" w:color="auto"/>
              <w:left w:val="single" w:sz="4" w:space="0" w:color="auto"/>
            </w:tcBorders>
            <w:shd w:val="clear" w:color="auto" w:fill="FFFFFF"/>
          </w:tcPr>
          <w:p w14:paraId="020B1EB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295pt"/>
                <w:rFonts w:ascii="Sylfaen" w:hAnsi="Sylfaen"/>
                <w:sz w:val="24"/>
                <w:szCs w:val="24"/>
              </w:rPr>
              <w:t>1, 2, 3, 4, 5, 7, 8</w:t>
            </w:r>
          </w:p>
        </w:tc>
        <w:tc>
          <w:tcPr>
            <w:tcW w:w="1624" w:type="dxa"/>
            <w:gridSpan w:val="2"/>
            <w:tcBorders>
              <w:top w:val="single" w:sz="4" w:space="0" w:color="auto"/>
              <w:left w:val="single" w:sz="4" w:space="0" w:color="auto"/>
              <w:right w:val="single" w:sz="4" w:space="0" w:color="auto"/>
            </w:tcBorders>
            <w:shd w:val="clear" w:color="auto" w:fill="FFFFFF"/>
          </w:tcPr>
          <w:p w14:paraId="7FA6B1E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941211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59F7D4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2973B09"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Վերջին երեք տարվա ընթացքում բավարար տեսչական ստուգումներ՝ անդամ պետությունների տեսչական մարմինների կամ այն երկրի կողմից, որի հետ կնքվել է համապատասխան արտադրական գործունեության փոխադարձ ճանաչման մասին գործող համաձայնագիր։</w:t>
            </w:r>
          </w:p>
          <w:p w14:paraId="7EC07B24"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լիցենզավորված է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ի կամ դեղապատրաստուկի արտադրության համար) սահմանված կարգով</w:t>
            </w:r>
          </w:p>
        </w:tc>
      </w:tr>
      <w:tr w:rsidR="008C76E0" w:rsidRPr="003B2786" w14:paraId="5FDF300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29F80CB"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մանրէազերծ չէ։</w:t>
            </w:r>
          </w:p>
          <w:p w14:paraId="0C1CB4E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օրինակ՝ կախույթի կամ էմուլսիայի առնչությամբ, գոյություն ունի վալիդացման սխեմա, կամ գործող արձանագրությանը համապատասխան՝ բարեհաջող իրականացվել է նոր հարթակի վալիդացումը՝ 3-ից ոչ պակաս արդյունաբերական սերիաներով։</w:t>
            </w:r>
          </w:p>
          <w:p w14:paraId="4453DA0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tc>
      </w:tr>
      <w:tr w:rsidR="008C76E0" w:rsidRPr="003B2786" w14:paraId="16AE8AD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0426A51"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5EF55CDF"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Հաստատումն այն բանի, որ առաջարկվող հարթակը լիցենզավորված է դեղաձ</w:t>
            </w:r>
            <w:r w:rsidR="00C54D75">
              <w:rPr>
                <w:rStyle w:val="Bodytext1811pt"/>
                <w:rFonts w:ascii="Sylfaen" w:hAnsi="Sylfaen"/>
                <w:sz w:val="24"/>
                <w:szCs w:val="24"/>
              </w:rPr>
              <w:t>և</w:t>
            </w:r>
            <w:r w:rsidRPr="003B2786">
              <w:rPr>
                <w:rStyle w:val="Bodytext1811pt"/>
                <w:rFonts w:ascii="Sylfaen" w:hAnsi="Sylfaen"/>
                <w:sz w:val="24"/>
                <w:szCs w:val="24"/>
              </w:rPr>
              <w:t>ի կամ դիտարկվող դեղապատրաստուկի արտադրության համար սահմանված կարգով։</w:t>
            </w:r>
          </w:p>
          <w:p w14:paraId="05F8C0BD"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սերիաների համարները, վալիդացման հետազոտությունում օգտագործված սերիաների համապատասխան չափերը </w:t>
            </w:r>
            <w:r w:rsidR="00C54D75">
              <w:rPr>
                <w:rStyle w:val="Bodytext1811pt"/>
                <w:rFonts w:ascii="Sylfaen" w:hAnsi="Sylfaen"/>
                <w:sz w:val="24"/>
                <w:szCs w:val="24"/>
              </w:rPr>
              <w:t>և</w:t>
            </w:r>
            <w:r w:rsidRPr="003B2786">
              <w:rPr>
                <w:rStyle w:val="Bodytext1811pt"/>
                <w:rFonts w:ascii="Sylfaen" w:hAnsi="Sylfaen"/>
                <w:sz w:val="24"/>
                <w:szCs w:val="24"/>
              </w:rPr>
              <w:t xml:space="preserve"> սերիաների արտադրության ամսաթիվը (&gt;3),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վալիդացման վերաբերյալ տվյալները կամ ներկայացման ենթակա վալիդացման արձանագրությունը (սխեման)։</w:t>
            </w:r>
          </w:p>
          <w:p w14:paraId="3306D174" w14:textId="25DBC9AC"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հստակ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279E0ADC"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հաստատված օրինակները (եթե կիրառելի են)։</w:t>
            </w:r>
          </w:p>
          <w:p w14:paraId="75136AD7"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Մեկ արդյունաբերական սերիայի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արտադրության գործընթացը նմանակող երկու փորձարարաարդյունաբերական սերիաների (կամ երկու արդյունաբերական սերիաների) վերլուծության տվյալներն ու նախորդ արտադրական հարթակում արտադրված երեք սերիաների հետ համեմատական տվյալները։ Հարցման հիման վրա անհրաժեշտ է ներկայացնել հաջորդ երկու ամբողջական արդյունաբերական սերիաների վերաբերյալ տվյալները. վերլուծության արդյունքները մասնագրին չհամապատասխանելու դեպքում անհրաժեշտ է տեղեկացնել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04F6C0E8"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վերաբերյալ համապատասխան տվյալները, ներառյալ՝ բաշխման միկրոսկոպիայի արդյունքները՝ ըստ մասնիկների չափերի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կազմաբանության այն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 որոնցում դեղագործական նյութը գտնվում է չլուծված վիճակում։</w:t>
            </w:r>
          </w:p>
          <w:p w14:paraId="09532F12" w14:textId="64DAB58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Նոր արտադրական հարթակում ակտիվ դեղագործական բաղադրամասը որպես ելանյութ օգտագործվելու դեպքում սերիաների թողարկման համար պատասխանատու հարթակի լիազորված մարմնի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ակտիվ դեղագործական բաղադրամասն արտադրվել է ելանյութերի համար՝ Միության պատշաճ արտադրական գործունեության կանոններին համապատասխան։</w:t>
            </w:r>
          </w:p>
          <w:p w14:paraId="57416E26"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42B92E2"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 xml:space="preserve">Եթե արտադրական հարթակը </w:t>
            </w:r>
            <w:r w:rsidR="00C54D75">
              <w:rPr>
                <w:rStyle w:val="Bodytext1811pt"/>
                <w:rFonts w:ascii="Sylfaen" w:hAnsi="Sylfaen"/>
                <w:sz w:val="24"/>
                <w:szCs w:val="24"/>
              </w:rPr>
              <w:t>և</w:t>
            </w:r>
            <w:r w:rsidRPr="003B2786">
              <w:rPr>
                <w:rStyle w:val="Bodytext1811pt"/>
                <w:rFonts w:ascii="Sylfaen" w:hAnsi="Sylfaen"/>
                <w:sz w:val="24"/>
                <w:szCs w:val="24"/>
              </w:rPr>
              <w:t xml:space="preserve"> այն հարթակը, որտեղ իրականացվում է առաջնային փաթեթավորումը, տարբերվում են, ապա անհրաժեշտ է նկարագրել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վալիդացնել չբաժնեծրարված պատրաստուկի տրանսպորտային փոխադրման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պահպանման (bulk) պայմանները։</w:t>
            </w:r>
          </w:p>
        </w:tc>
      </w:tr>
      <w:tr w:rsidR="008C76E0" w:rsidRPr="003B2786" w14:paraId="3BDE4351" w14:textId="77777777" w:rsidTr="008C76E0">
        <w:trPr>
          <w:jc w:val="center"/>
        </w:trPr>
        <w:tc>
          <w:tcPr>
            <w:tcW w:w="3130" w:type="dxa"/>
            <w:gridSpan w:val="4"/>
            <w:tcBorders>
              <w:top w:val="single" w:sz="4" w:space="0" w:color="auto"/>
              <w:left w:val="single" w:sz="4" w:space="0" w:color="auto"/>
              <w:bottom w:val="single" w:sz="4" w:space="0" w:color="auto"/>
            </w:tcBorders>
            <w:shd w:val="clear" w:color="auto" w:fill="FFFFFF"/>
          </w:tcPr>
          <w:p w14:paraId="41124B47" w14:textId="77777777" w:rsidR="008C76E0" w:rsidRPr="003B2786" w:rsidRDefault="008C76E0" w:rsidP="008C76E0">
            <w:pPr>
              <w:pStyle w:val="Bodytext180"/>
              <w:shd w:val="clear" w:color="auto" w:fill="auto"/>
              <w:tabs>
                <w:tab w:val="left" w:pos="567"/>
              </w:tabs>
              <w:spacing w:before="0" w:after="120" w:line="240" w:lineRule="auto"/>
              <w:ind w:left="154" w:right="132" w:firstLine="0"/>
              <w:jc w:val="both"/>
              <w:rPr>
                <w:rFonts w:ascii="Sylfaen" w:hAnsi="Sylfaen"/>
                <w:sz w:val="24"/>
                <w:szCs w:val="24"/>
              </w:rPr>
            </w:pPr>
            <w:r w:rsidRPr="003B2786">
              <w:rPr>
                <w:rStyle w:val="Bodytext295pt"/>
                <w:rFonts w:ascii="Sylfaen" w:hAnsi="Sylfaen"/>
                <w:sz w:val="24"/>
                <w:szCs w:val="24"/>
              </w:rPr>
              <w:t>Ծանոթագրություններ.</w:t>
            </w:r>
          </w:p>
        </w:tc>
        <w:tc>
          <w:tcPr>
            <w:tcW w:w="7271" w:type="dxa"/>
            <w:gridSpan w:val="11"/>
            <w:tcBorders>
              <w:top w:val="single" w:sz="4" w:space="0" w:color="auto"/>
              <w:left w:val="single" w:sz="4" w:space="0" w:color="auto"/>
              <w:bottom w:val="single" w:sz="4" w:space="0" w:color="auto"/>
              <w:right w:val="single" w:sz="4" w:space="0" w:color="auto"/>
            </w:tcBorders>
            <w:shd w:val="clear" w:color="auto" w:fill="FFFFFF"/>
          </w:tcPr>
          <w:p w14:paraId="75DEBA75" w14:textId="77777777"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Միության սահմաններից դուրս գտնվող այն երկրի արտադրական հարթակը փոփոխելու կամ նոր արտադրական հարթակի դեպքում, որի հետ չի կնքվել պատշաճ արտադրական գործունեության փոխադարձ ճանաչման մասին համաձայնագիր, իրավատիրոջը, նախքան ծանուցում ներկայացնելը, խորհուրդ է տրվում խորհրդակցել լիազորված մարմինների հետ </w:t>
            </w:r>
            <w:r w:rsidR="00C54D75">
              <w:rPr>
                <w:rStyle w:val="Bodytext1811pt"/>
                <w:rFonts w:ascii="Sylfaen" w:hAnsi="Sylfaen"/>
                <w:sz w:val="24"/>
                <w:szCs w:val="24"/>
              </w:rPr>
              <w:t>և</w:t>
            </w:r>
            <w:r w:rsidRPr="003B2786">
              <w:rPr>
                <w:rStyle w:val="Bodytext1811pt"/>
                <w:rFonts w:ascii="Sylfaen" w:hAnsi="Sylfaen"/>
                <w:sz w:val="24"/>
                <w:szCs w:val="24"/>
              </w:rPr>
              <w:t xml:space="preserve"> ներկայացնել վերջին 2-3 տարվա </w:t>
            </w:r>
            <w:r w:rsidRPr="003B2786">
              <w:rPr>
                <w:rStyle w:val="Bodytext1811pt"/>
                <w:rFonts w:ascii="Sylfaen" w:hAnsi="Sylfaen"/>
                <w:sz w:val="24"/>
                <w:szCs w:val="24"/>
              </w:rPr>
              <w:lastRenderedPageBreak/>
              <w:t xml:space="preserve">ընթացքում Միության նախորդ բոլոր տեսչական ստուգումների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Միության պլանավորված բոլոր տեսչական ստուգումների վերաբերյալ տեղեկությունները, ներառյալ՝ տեսչական ստուգումների ամսաթվերը, ստուգման ենթարկվող արտադրանքի կատեգորիաները, վերահսկիչ գերատեսչությունը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այլ տեղեկություններ։ Անհրաժեշտության դեպքում այդ ամենը կնպաստի անդամ պետության տեսչության կողմից Եվրասիական տնտեսական միության պատշաճ արտադրական գործունեության կանոններին համապատասխան տեսչական ստուգումների անցկացմանը նախապատրաստվելուն։</w:t>
            </w:r>
          </w:p>
          <w:p w14:paraId="7CA40845" w14:textId="4F561D08"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Ակտիվ դեղագործական նյութի վերաբերյալ լիազորված մարմնի </w:t>
            </w:r>
            <w:r w:rsidR="0085119E">
              <w:rPr>
                <w:rStyle w:val="Bodytext1811pt"/>
                <w:rFonts w:ascii="Sylfaen" w:hAnsi="Sylfaen"/>
                <w:sz w:val="24"/>
                <w:szCs w:val="24"/>
              </w:rPr>
              <w:t>հայտարարագր</w:t>
            </w:r>
            <w:r w:rsidRPr="003B2786">
              <w:rPr>
                <w:rStyle w:val="Bodytext1811pt"/>
                <w:rFonts w:ascii="Sylfaen" w:hAnsi="Sylfaen"/>
                <w:sz w:val="24"/>
                <w:szCs w:val="24"/>
              </w:rPr>
              <w:t>երը</w:t>
            </w:r>
          </w:p>
        </w:tc>
      </w:tr>
      <w:tr w:rsidR="008C76E0" w:rsidRPr="003B2786" w14:paraId="318F113B" w14:textId="77777777" w:rsidTr="008C76E0">
        <w:trPr>
          <w:jc w:val="center"/>
        </w:trPr>
        <w:tc>
          <w:tcPr>
            <w:tcW w:w="3130" w:type="dxa"/>
            <w:gridSpan w:val="4"/>
            <w:tcBorders>
              <w:top w:val="single" w:sz="4" w:space="0" w:color="auto"/>
              <w:left w:val="single" w:sz="4" w:space="0" w:color="auto"/>
            </w:tcBorders>
            <w:shd w:val="clear" w:color="auto" w:fill="FFFFFF"/>
          </w:tcPr>
          <w:p w14:paraId="58C944D4" w14:textId="77777777" w:rsidR="008C76E0" w:rsidRPr="003B2786" w:rsidRDefault="008C76E0" w:rsidP="008C76E0">
            <w:pPr>
              <w:tabs>
                <w:tab w:val="left" w:pos="567"/>
              </w:tabs>
              <w:spacing w:after="120" w:line="240" w:lineRule="auto"/>
              <w:ind w:left="154" w:right="132"/>
              <w:jc w:val="both"/>
              <w:rPr>
                <w:rFonts w:ascii="Sylfaen" w:hAnsi="Sylfaen"/>
                <w:sz w:val="24"/>
                <w:szCs w:val="24"/>
              </w:rPr>
            </w:pPr>
          </w:p>
        </w:tc>
        <w:tc>
          <w:tcPr>
            <w:tcW w:w="7271" w:type="dxa"/>
            <w:gridSpan w:val="11"/>
            <w:tcBorders>
              <w:top w:val="single" w:sz="4" w:space="0" w:color="auto"/>
              <w:left w:val="single" w:sz="4" w:space="0" w:color="auto"/>
              <w:right w:val="single" w:sz="4" w:space="0" w:color="auto"/>
            </w:tcBorders>
            <w:shd w:val="clear" w:color="auto" w:fill="FFFFFF"/>
            <w:vAlign w:val="bottom"/>
          </w:tcPr>
          <w:p w14:paraId="3C626104" w14:textId="08113B0B"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Արտադրության լիցենզիայի իրավատերերը պարտավոր են որպես ելանյութ օգտագործել բացառապես GMP-ին համապատասխան արտադրված ակտիվ դեղագործական բաղադրամասեր, այդ իսկ պատճառով արտադրության լիցենզիայի յուրաքանչյուր իրավատեր պարտավոր է </w:t>
            </w:r>
            <w:r w:rsidR="0085119E">
              <w:rPr>
                <w:rStyle w:val="Bodytext1811pt"/>
                <w:rFonts w:ascii="Sylfaen" w:hAnsi="Sylfaen"/>
                <w:sz w:val="24"/>
                <w:szCs w:val="24"/>
              </w:rPr>
              <w:t>հայտարարագր</w:t>
            </w:r>
            <w:r w:rsidRPr="003B2786">
              <w:rPr>
                <w:rStyle w:val="Bodytext1811pt"/>
                <w:rFonts w:ascii="Sylfaen" w:hAnsi="Sylfaen"/>
                <w:sz w:val="24"/>
                <w:szCs w:val="24"/>
              </w:rPr>
              <w:t>ել այն, որ ինքը որպես ելանյութ է օգտագործում GMP-ին համապատասխան արտադրված ակտիվ դեղագործական բաղադրամաս։ Բացի այդ, քանի որ սերիայի սերտիֆիկացման համար պատասխանատու լիազորված անձը յուրաքանչյուր սերիայի համար կրում է համապարփակ պատասխանատվություն, եթե սերիան թողարկող հարթակը տարբերվում է վերոնշյալից, սերիայի սերտիֆիկացման համար պատասխանատու լիազորված անձը պետք է ներկայացնի լրացուցիչ</w:t>
            </w:r>
            <w:r w:rsidR="005A46D4">
              <w:rPr>
                <w:rStyle w:val="Bodytext1811pt"/>
                <w:rFonts w:ascii="Sylfaen" w:hAnsi="Sylfaen"/>
                <w:sz w:val="24"/>
                <w:szCs w:val="24"/>
              </w:rPr>
              <w:t>հայտարարագիր</w:t>
            </w:r>
            <w:r w:rsidRPr="003B2786">
              <w:rPr>
                <w:rStyle w:val="Bodytext1811pt"/>
                <w:rFonts w:ascii="Sylfaen" w:hAnsi="Sylfaen"/>
                <w:sz w:val="24"/>
                <w:szCs w:val="24"/>
              </w:rPr>
              <w:t>։</w:t>
            </w:r>
          </w:p>
          <w:p w14:paraId="2530B4CA" w14:textId="4BE18E6E"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Շատ դեպքերում ներգրավված է արտադրության լիցենզիայի միայն մեկ իրավատեր, այդ իսկ պատճառով անհրաժեշտ է միայն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Արտադրության լիցենզիայի մի քանի իրավատերերի ներգրավված լինելու դեպքում մի քանի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ներկայացնելու փոխարեն թույլատրվում է ներկայացնել մեկ լիազորված անձի կողմից ստորագրված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Սա թույլատրելի է այն պայմանով, որ՝</w:t>
            </w:r>
          </w:p>
          <w:p w14:paraId="58947728" w14:textId="22DE246D" w:rsidR="008C76E0" w:rsidRPr="008C76E0" w:rsidRDefault="0085119E"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Pr>
                <w:rStyle w:val="Bodytext1811pt"/>
                <w:rFonts w:ascii="Sylfaen" w:hAnsi="Sylfaen"/>
                <w:sz w:val="24"/>
                <w:szCs w:val="24"/>
              </w:rPr>
              <w:t>հայտարարագր</w:t>
            </w:r>
            <w:r w:rsidR="008C76E0" w:rsidRPr="003B2786">
              <w:rPr>
                <w:rStyle w:val="Bodytext1811pt"/>
                <w:rFonts w:ascii="Sylfaen" w:hAnsi="Sylfaen"/>
                <w:sz w:val="24"/>
                <w:szCs w:val="24"/>
              </w:rPr>
              <w:t>ում հստակ նշված է, որ այն ստորագրվել է ներգրավված բոլոր լիազորված անձանց անունից,</w:t>
            </w:r>
          </w:p>
          <w:p w14:paraId="52AC2833" w14:textId="5CCA18D9" w:rsidR="008C76E0" w:rsidRPr="008C76E0" w:rsidRDefault="008C76E0" w:rsidP="008C76E0">
            <w:pPr>
              <w:pStyle w:val="Bodytext180"/>
              <w:shd w:val="clear" w:color="auto" w:fill="auto"/>
              <w:tabs>
                <w:tab w:val="left" w:pos="567"/>
              </w:tabs>
              <w:spacing w:before="0" w:after="120" w:line="240" w:lineRule="auto"/>
              <w:ind w:left="154" w:right="132" w:firstLine="0"/>
              <w:jc w:val="both"/>
              <w:rPr>
                <w:rFonts w:ascii="Sylfaen" w:hAnsi="Sylfaen"/>
                <w:b w:val="0"/>
                <w:sz w:val="24"/>
                <w:szCs w:val="24"/>
                <w:lang w:val="hy-AM"/>
              </w:rPr>
            </w:pPr>
            <w:r w:rsidRPr="003B2786">
              <w:rPr>
                <w:rStyle w:val="Bodytext1811pt"/>
                <w:rFonts w:ascii="Sylfaen" w:hAnsi="Sylfaen"/>
                <w:sz w:val="24"/>
                <w:szCs w:val="24"/>
              </w:rPr>
              <w:t xml:space="preserve">պայմանավորվածություններն ամրագրվել են Միության պատշաճ արտադրական գործունեության կանոնների 7-րդ գլխում նկարագրված տեխնիկական համաձայնագրով, </w:t>
            </w:r>
            <w:r w:rsidR="00C54D75">
              <w:rPr>
                <w:rStyle w:val="Bodytext1811pt"/>
                <w:rFonts w:ascii="Sylfaen" w:hAnsi="Sylfaen"/>
                <w:sz w:val="24"/>
                <w:szCs w:val="24"/>
              </w:rPr>
              <w:t>և</w:t>
            </w:r>
            <w:r w:rsidRPr="003B2786">
              <w:rPr>
                <w:rStyle w:val="Bodytext1811pt"/>
                <w:rFonts w:ascii="Sylfaen" w:hAnsi="Sylfaen"/>
                <w:sz w:val="24"/>
                <w:szCs w:val="24"/>
              </w:rPr>
              <w:t xml:space="preserve"> այդ համաձայնագրում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ներկայացնող լիազորված անձն այդ համաձայնագրում նշված է որպես ակտիվ դեղագործական բաղադրամաս արտադրողի (արտադրողների)՝ </w:t>
            </w:r>
            <w:r w:rsidRPr="003B2786">
              <w:rPr>
                <w:rStyle w:val="Bodytext1811pt"/>
                <w:rFonts w:ascii="Sylfaen" w:hAnsi="Sylfaen"/>
                <w:sz w:val="24"/>
                <w:szCs w:val="24"/>
              </w:rPr>
              <w:lastRenderedPageBreak/>
              <w:t>Միության պատշաճ արտադրական գործունեության կանոններին համապատասխանության մասով պարտավորությունը ստանձնող անձ։ Ծանոթագրություն. նշված համաձայնագրերը լիազորված մարմինների կողմից տեսչական ստուգման առարկա են։</w:t>
            </w:r>
          </w:p>
        </w:tc>
      </w:tr>
      <w:tr w:rsidR="008C76E0" w:rsidRPr="003B2786" w14:paraId="7B41C775"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894E311" w14:textId="77777777" w:rsidR="008C76E0" w:rsidRPr="008C76E0" w:rsidRDefault="008C76E0" w:rsidP="008C76E0">
            <w:pPr>
              <w:pStyle w:val="Bodytext180"/>
              <w:shd w:val="clear" w:color="auto" w:fill="auto"/>
              <w:tabs>
                <w:tab w:val="left" w:pos="567"/>
              </w:tabs>
              <w:spacing w:before="0" w:after="120" w:line="240" w:lineRule="auto"/>
              <w:ind w:left="133" w:right="176" w:hanging="53"/>
              <w:jc w:val="both"/>
              <w:rPr>
                <w:rFonts w:ascii="Sylfaen" w:hAnsi="Sylfaen"/>
                <w:b w:val="0"/>
                <w:sz w:val="24"/>
                <w:szCs w:val="24"/>
                <w:lang w:val="hy-AM"/>
              </w:rPr>
            </w:pPr>
            <w:r w:rsidRPr="003B2786">
              <w:rPr>
                <w:rStyle w:val="Bodytext1811pt"/>
                <w:rFonts w:ascii="Sylfaen" w:hAnsi="Sylfaen"/>
                <w:sz w:val="24"/>
                <w:szCs w:val="24"/>
              </w:rPr>
              <w:lastRenderedPageBreak/>
              <w:t xml:space="preserve">Բ.II.բ.2 Դեղապատրաստուկը ներմուծողի, սերիաների թողարկման վերաբերյալ համաձայնագրերի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մասով փորձարկումների փոփոխությունը</w:t>
            </w:r>
          </w:p>
        </w:tc>
        <w:tc>
          <w:tcPr>
            <w:tcW w:w="1354" w:type="dxa"/>
            <w:gridSpan w:val="3"/>
            <w:tcBorders>
              <w:top w:val="single" w:sz="4" w:space="0" w:color="auto"/>
              <w:left w:val="single" w:sz="4" w:space="0" w:color="auto"/>
            </w:tcBorders>
            <w:shd w:val="clear" w:color="auto" w:fill="FFFFFF"/>
          </w:tcPr>
          <w:p w14:paraId="62D7ECD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079" w:type="dxa"/>
            <w:gridSpan w:val="3"/>
            <w:tcBorders>
              <w:top w:val="single" w:sz="4" w:space="0" w:color="auto"/>
              <w:left w:val="single" w:sz="4" w:space="0" w:color="auto"/>
            </w:tcBorders>
            <w:shd w:val="clear" w:color="auto" w:fill="FFFFFF"/>
          </w:tcPr>
          <w:p w14:paraId="10A538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624" w:type="dxa"/>
            <w:gridSpan w:val="2"/>
            <w:tcBorders>
              <w:top w:val="single" w:sz="4" w:space="0" w:color="auto"/>
              <w:left w:val="single" w:sz="4" w:space="0" w:color="auto"/>
              <w:right w:val="single" w:sz="4" w:space="0" w:color="auto"/>
            </w:tcBorders>
            <w:shd w:val="clear" w:color="auto" w:fill="FFFFFF"/>
          </w:tcPr>
          <w:p w14:paraId="2D824FF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D62BB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58DDDD3"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այն հարթակի փոխարինում կամ ավելացում, որտեղ իրականացվում է սերիաների որակի հսկողություն (փորձարկում)</w:t>
            </w:r>
          </w:p>
        </w:tc>
        <w:tc>
          <w:tcPr>
            <w:tcW w:w="1354" w:type="dxa"/>
            <w:gridSpan w:val="3"/>
            <w:tcBorders>
              <w:top w:val="single" w:sz="4" w:space="0" w:color="auto"/>
              <w:left w:val="single" w:sz="4" w:space="0" w:color="auto"/>
            </w:tcBorders>
            <w:shd w:val="clear" w:color="auto" w:fill="FFFFFF"/>
          </w:tcPr>
          <w:p w14:paraId="4E83A71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2, 3, 4, 5</w:t>
            </w:r>
          </w:p>
        </w:tc>
        <w:tc>
          <w:tcPr>
            <w:tcW w:w="2079" w:type="dxa"/>
            <w:gridSpan w:val="3"/>
            <w:tcBorders>
              <w:top w:val="single" w:sz="4" w:space="0" w:color="auto"/>
              <w:left w:val="single" w:sz="4" w:space="0" w:color="auto"/>
            </w:tcBorders>
            <w:shd w:val="clear" w:color="auto" w:fill="FFFFFF"/>
          </w:tcPr>
          <w:p w14:paraId="2BAEFDF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1624" w:type="dxa"/>
            <w:gridSpan w:val="2"/>
            <w:tcBorders>
              <w:top w:val="single" w:sz="4" w:space="0" w:color="auto"/>
              <w:left w:val="single" w:sz="4" w:space="0" w:color="auto"/>
              <w:right w:val="single" w:sz="4" w:space="0" w:color="auto"/>
            </w:tcBorders>
            <w:shd w:val="clear" w:color="auto" w:fill="FFFFFF"/>
          </w:tcPr>
          <w:p w14:paraId="7351E54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13BCBD6"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5E56D6AD"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կենսաբանական (իմունաբանական) դեղապատրաստուկի թողարկման համար պատասխանատու արտադրողի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կենսաբանական (իմունաբանական) հանդիսացող փորձարկումների ցանկացած մեթոդի փոխարինում կամ ավելացում</w:t>
            </w:r>
          </w:p>
        </w:tc>
        <w:tc>
          <w:tcPr>
            <w:tcW w:w="1354" w:type="dxa"/>
            <w:gridSpan w:val="3"/>
            <w:tcBorders>
              <w:top w:val="single" w:sz="4" w:space="0" w:color="auto"/>
              <w:left w:val="single" w:sz="4" w:space="0" w:color="auto"/>
            </w:tcBorders>
            <w:shd w:val="clear" w:color="auto" w:fill="FFFFFF"/>
          </w:tcPr>
          <w:p w14:paraId="44769F96"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15D5172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2AE729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CA115BC"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6E0777DA"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սերիաների թողարկման համար պատասխանատու արտադրողի փոխարինում կամ ավելացում</w:t>
            </w:r>
          </w:p>
        </w:tc>
        <w:tc>
          <w:tcPr>
            <w:tcW w:w="1354" w:type="dxa"/>
            <w:gridSpan w:val="3"/>
            <w:tcBorders>
              <w:top w:val="single" w:sz="4" w:space="0" w:color="auto"/>
              <w:left w:val="single" w:sz="4" w:space="0" w:color="auto"/>
            </w:tcBorders>
            <w:shd w:val="clear" w:color="auto" w:fill="FFFFFF"/>
          </w:tcPr>
          <w:p w14:paraId="2F8DDF5B"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2079" w:type="dxa"/>
            <w:gridSpan w:val="3"/>
            <w:tcBorders>
              <w:top w:val="single" w:sz="4" w:space="0" w:color="auto"/>
              <w:left w:val="single" w:sz="4" w:space="0" w:color="auto"/>
            </w:tcBorders>
            <w:shd w:val="clear" w:color="auto" w:fill="FFFFFF"/>
          </w:tcPr>
          <w:p w14:paraId="70BE807F"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c>
          <w:tcPr>
            <w:tcW w:w="1624" w:type="dxa"/>
            <w:gridSpan w:val="2"/>
            <w:tcBorders>
              <w:top w:val="single" w:sz="4" w:space="0" w:color="auto"/>
              <w:left w:val="single" w:sz="4" w:space="0" w:color="auto"/>
              <w:right w:val="single" w:sz="4" w:space="0" w:color="auto"/>
            </w:tcBorders>
            <w:shd w:val="clear" w:color="auto" w:fill="FFFFFF"/>
          </w:tcPr>
          <w:p w14:paraId="57546B31" w14:textId="77777777" w:rsidR="008C76E0" w:rsidRPr="003B2786" w:rsidRDefault="008C76E0" w:rsidP="008C76E0">
            <w:pPr>
              <w:tabs>
                <w:tab w:val="left" w:pos="567"/>
              </w:tabs>
              <w:spacing w:after="120" w:line="240" w:lineRule="auto"/>
              <w:ind w:right="-1"/>
              <w:jc w:val="center"/>
              <w:rPr>
                <w:rFonts w:ascii="Sylfaen" w:hAnsi="Sylfaen"/>
                <w:sz w:val="24"/>
                <w:szCs w:val="24"/>
              </w:rPr>
            </w:pPr>
          </w:p>
        </w:tc>
      </w:tr>
      <w:tr w:rsidR="008C76E0" w:rsidRPr="003B2786" w14:paraId="1BC9F2C4"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ACBAC75" w14:textId="77777777" w:rsidR="008C76E0" w:rsidRPr="003B2786" w:rsidRDefault="008C76E0" w:rsidP="008C76E0">
            <w:pPr>
              <w:pStyle w:val="Bodytext180"/>
              <w:numPr>
                <w:ilvl w:val="0"/>
                <w:numId w:val="22"/>
              </w:numPr>
              <w:shd w:val="clear" w:color="auto" w:fill="auto"/>
              <w:tabs>
                <w:tab w:val="left" w:pos="541"/>
                <w:tab w:val="left" w:pos="567"/>
              </w:tabs>
              <w:spacing w:before="0" w:after="120" w:line="240" w:lineRule="auto"/>
              <w:ind w:right="176"/>
              <w:jc w:val="both"/>
              <w:rPr>
                <w:rStyle w:val="Bodytext1811pt"/>
                <w:rFonts w:ascii="Sylfaen" w:hAnsi="Sylfaen"/>
                <w:sz w:val="24"/>
                <w:szCs w:val="24"/>
              </w:rPr>
            </w:pPr>
            <w:r w:rsidRPr="003B2786">
              <w:rPr>
                <w:rStyle w:val="Bodytext1811pt"/>
                <w:rFonts w:ascii="Sylfaen" w:hAnsi="Sylfaen"/>
                <w:sz w:val="24"/>
                <w:szCs w:val="24"/>
              </w:rPr>
              <w:t>Բացառությամբ սերիաների որակի հսկողության (փորձարկման)</w:t>
            </w:r>
          </w:p>
          <w:p w14:paraId="62A3D234" w14:textId="77777777" w:rsidR="008C76E0" w:rsidRPr="008C76E0" w:rsidRDefault="008C76E0" w:rsidP="008C76E0">
            <w:pPr>
              <w:pStyle w:val="Bodytext180"/>
              <w:shd w:val="clear" w:color="auto" w:fill="auto"/>
              <w:tabs>
                <w:tab w:val="left" w:pos="541"/>
                <w:tab w:val="left" w:pos="567"/>
              </w:tabs>
              <w:spacing w:before="0" w:after="120" w:line="240" w:lineRule="auto"/>
              <w:ind w:left="538" w:right="176" w:firstLine="0"/>
              <w:jc w:val="both"/>
              <w:rPr>
                <w:rFonts w:ascii="Sylfaen" w:hAnsi="Sylfaen"/>
                <w:b w:val="0"/>
                <w:sz w:val="24"/>
                <w:szCs w:val="24"/>
                <w:lang w:val="hy-AM"/>
              </w:rPr>
            </w:pPr>
          </w:p>
        </w:tc>
        <w:tc>
          <w:tcPr>
            <w:tcW w:w="1354" w:type="dxa"/>
            <w:gridSpan w:val="3"/>
            <w:tcBorders>
              <w:top w:val="single" w:sz="4" w:space="0" w:color="auto"/>
              <w:left w:val="single" w:sz="4" w:space="0" w:color="auto"/>
            </w:tcBorders>
            <w:shd w:val="clear" w:color="auto" w:fill="FFFFFF"/>
          </w:tcPr>
          <w:p w14:paraId="41C3FC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1, 2, 5</w:t>
            </w:r>
          </w:p>
        </w:tc>
        <w:tc>
          <w:tcPr>
            <w:tcW w:w="2079" w:type="dxa"/>
            <w:gridSpan w:val="3"/>
            <w:tcBorders>
              <w:top w:val="single" w:sz="4" w:space="0" w:color="auto"/>
              <w:left w:val="single" w:sz="4" w:space="0" w:color="auto"/>
            </w:tcBorders>
            <w:shd w:val="clear" w:color="auto" w:fill="FFFFFF"/>
          </w:tcPr>
          <w:p w14:paraId="16BE15A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1552927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AD6C0A0" w14:textId="77777777" w:rsidTr="008C76E0">
        <w:trPr>
          <w:jc w:val="center"/>
        </w:trPr>
        <w:tc>
          <w:tcPr>
            <w:tcW w:w="5344" w:type="dxa"/>
            <w:gridSpan w:val="7"/>
            <w:tcBorders>
              <w:top w:val="single" w:sz="4" w:space="0" w:color="auto"/>
              <w:left w:val="single" w:sz="4" w:space="0" w:color="auto"/>
            </w:tcBorders>
            <w:shd w:val="clear" w:color="auto" w:fill="FFFFFF"/>
            <w:vAlign w:val="bottom"/>
          </w:tcPr>
          <w:p w14:paraId="2D7315A2"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Ներառյալ սերիաների որակի հսկողությունը (փորձարկումը)</w:t>
            </w:r>
          </w:p>
        </w:tc>
        <w:tc>
          <w:tcPr>
            <w:tcW w:w="1354" w:type="dxa"/>
            <w:gridSpan w:val="3"/>
            <w:tcBorders>
              <w:top w:val="single" w:sz="4" w:space="0" w:color="auto"/>
              <w:left w:val="single" w:sz="4" w:space="0" w:color="auto"/>
            </w:tcBorders>
            <w:shd w:val="clear" w:color="auto" w:fill="FFFFFF"/>
          </w:tcPr>
          <w:p w14:paraId="3311A5D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w:t>
            </w:r>
          </w:p>
        </w:tc>
        <w:tc>
          <w:tcPr>
            <w:tcW w:w="2079" w:type="dxa"/>
            <w:gridSpan w:val="3"/>
            <w:tcBorders>
              <w:top w:val="single" w:sz="4" w:space="0" w:color="auto"/>
              <w:left w:val="single" w:sz="4" w:space="0" w:color="auto"/>
            </w:tcBorders>
            <w:shd w:val="clear" w:color="auto" w:fill="FFFFFF"/>
          </w:tcPr>
          <w:p w14:paraId="4713251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624" w:type="dxa"/>
            <w:gridSpan w:val="2"/>
            <w:tcBorders>
              <w:top w:val="single" w:sz="4" w:space="0" w:color="auto"/>
              <w:left w:val="single" w:sz="4" w:space="0" w:color="auto"/>
              <w:right w:val="single" w:sz="4" w:space="0" w:color="auto"/>
            </w:tcBorders>
            <w:shd w:val="clear" w:color="auto" w:fill="FFFFFF"/>
          </w:tcPr>
          <w:p w14:paraId="44826E8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2BAD3BB" w14:textId="77777777" w:rsidTr="008C76E0">
        <w:trPr>
          <w:jc w:val="center"/>
        </w:trPr>
        <w:tc>
          <w:tcPr>
            <w:tcW w:w="5344" w:type="dxa"/>
            <w:gridSpan w:val="7"/>
            <w:tcBorders>
              <w:top w:val="single" w:sz="4" w:space="0" w:color="auto"/>
              <w:left w:val="single" w:sz="4" w:space="0" w:color="auto"/>
              <w:bottom w:val="single" w:sz="4" w:space="0" w:color="auto"/>
            </w:tcBorders>
            <w:shd w:val="clear" w:color="auto" w:fill="FFFFFF"/>
            <w:vAlign w:val="bottom"/>
          </w:tcPr>
          <w:p w14:paraId="7BA8B1EF" w14:textId="77777777" w:rsidR="008C76E0" w:rsidRPr="008C76E0" w:rsidRDefault="008C76E0" w:rsidP="008C76E0">
            <w:pPr>
              <w:pStyle w:val="Bodytext180"/>
              <w:shd w:val="clear" w:color="auto" w:fill="auto"/>
              <w:tabs>
                <w:tab w:val="left" w:pos="541"/>
                <w:tab w:val="left" w:pos="567"/>
              </w:tabs>
              <w:spacing w:before="0" w:after="120" w:line="240" w:lineRule="auto"/>
              <w:ind w:left="133" w:right="176"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Ներառյալ կենսաբանական (իմունաբանական) դեղապատրաստուկի որակի հսկողությունը (փորձարկումը)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հարթակում իրականացվող փորձարկումների մեթոդներից մեկը կենսաբանական (իմունաբանական, իմունաքիմիական) է</w:t>
            </w:r>
          </w:p>
        </w:tc>
        <w:tc>
          <w:tcPr>
            <w:tcW w:w="1354" w:type="dxa"/>
            <w:gridSpan w:val="3"/>
            <w:tcBorders>
              <w:top w:val="single" w:sz="4" w:space="0" w:color="auto"/>
              <w:left w:val="single" w:sz="4" w:space="0" w:color="auto"/>
              <w:bottom w:val="single" w:sz="4" w:space="0" w:color="auto"/>
            </w:tcBorders>
            <w:shd w:val="clear" w:color="auto" w:fill="FFFFFF"/>
          </w:tcPr>
          <w:p w14:paraId="11BF08AD"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2079" w:type="dxa"/>
            <w:gridSpan w:val="3"/>
            <w:tcBorders>
              <w:top w:val="single" w:sz="4" w:space="0" w:color="auto"/>
              <w:left w:val="single" w:sz="4" w:space="0" w:color="auto"/>
              <w:bottom w:val="single" w:sz="4" w:space="0" w:color="auto"/>
            </w:tcBorders>
            <w:shd w:val="clear" w:color="auto" w:fill="FFFFFF"/>
          </w:tcPr>
          <w:p w14:paraId="68BC8938" w14:textId="77777777" w:rsidR="008C76E0" w:rsidRPr="003B2786" w:rsidRDefault="008C76E0" w:rsidP="008C76E0">
            <w:pPr>
              <w:tabs>
                <w:tab w:val="left" w:pos="567"/>
              </w:tabs>
              <w:spacing w:after="120" w:line="240" w:lineRule="auto"/>
              <w:ind w:right="-1"/>
              <w:jc w:val="both"/>
              <w:rPr>
                <w:rFonts w:ascii="Sylfaen" w:hAnsi="Sylfaen"/>
                <w:sz w:val="24"/>
                <w:szCs w:val="24"/>
              </w:rPr>
            </w:pPr>
          </w:p>
        </w:tc>
        <w:tc>
          <w:tcPr>
            <w:tcW w:w="1624" w:type="dxa"/>
            <w:gridSpan w:val="2"/>
            <w:tcBorders>
              <w:top w:val="single" w:sz="4" w:space="0" w:color="auto"/>
              <w:left w:val="single" w:sz="4" w:space="0" w:color="auto"/>
              <w:bottom w:val="single" w:sz="4" w:space="0" w:color="auto"/>
              <w:right w:val="single" w:sz="4" w:space="0" w:color="auto"/>
            </w:tcBorders>
            <w:shd w:val="clear" w:color="auto" w:fill="FFFFFF"/>
          </w:tcPr>
          <w:p w14:paraId="23E92846" w14:textId="77777777" w:rsidR="008C76E0" w:rsidRPr="003B2786" w:rsidRDefault="008C76E0" w:rsidP="008C76E0">
            <w:pPr>
              <w:pStyle w:val="Bodytext180"/>
              <w:shd w:val="clear" w:color="auto" w:fill="auto"/>
              <w:tabs>
                <w:tab w:val="left" w:pos="567"/>
              </w:tabs>
              <w:spacing w:before="0" w:after="120" w:line="240" w:lineRule="auto"/>
              <w:ind w:right="-1"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063CC2E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4597FA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88317E3"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Սերիայի թողարկման համար պատասխանատու արտադրողը պետք է տեղակայված լինի Միության սահմաններում։ Միությունում պահպանվում է սերիաների թողարկման առնվազն մեկ հարթակ, որտեղ հնարավոր է սերտիֆիկացնել Միության սահմաններում </w:t>
            </w:r>
            <w:r w:rsidRPr="003B2786">
              <w:rPr>
                <w:rStyle w:val="Bodytext1811pt"/>
                <w:rFonts w:ascii="Sylfaen" w:hAnsi="Sylfaen"/>
                <w:sz w:val="24"/>
                <w:szCs w:val="24"/>
              </w:rPr>
              <w:lastRenderedPageBreak/>
              <w:t>սերիաների թողարկման նպատակով դեղապատրաստուկի փորձարկումները։</w:t>
            </w:r>
          </w:p>
          <w:p w14:paraId="683840B8"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Հարթակը սահմանված կարգով լիցենզավորվել է։</w:t>
            </w:r>
          </w:p>
          <w:p w14:paraId="5117CA3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Դեղապատրաստուկը կենսաբանական (իմունաբանական) դեղապատրաստուկ չէ։</w:t>
            </w:r>
          </w:p>
          <w:p w14:paraId="18B5144B"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Տեխնոլոգիայի՝ հնից նոր հարթակ կամ նոր փորձարկման լաբորատորիա տեղափոխումը հաջողությամբ է պսակվել։ </w:t>
            </w:r>
          </w:p>
          <w:p w14:paraId="75D84E3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Միությունում կամ այն երկրում, որի հետ Միությունը կնքել է պատշաճ արտադրական գործունեության փոխադարձ ճանաչման գործող կամ համապատասխան համաձայնագիր, պահպանվում է սերիաների հսկողության (փորձարկման) համար առնվազն մեկ հարթակ, որտեղ հնարավոր է փորձարկել պատրաստուկը՝ Միության սահմաններում սերիաների թողարկման նպատակով։</w:t>
            </w:r>
          </w:p>
        </w:tc>
      </w:tr>
      <w:tr w:rsidR="008C76E0" w:rsidRPr="003B2786" w14:paraId="7C0FC73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40E2A1A"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0E720FE6"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Արտադրության լիցենզիաների օրինակը կամ դրանց բացակայության դեպքում՝ համապատասխան լիազորված մարմնի կողմից վերջին 3 տարվա ընթացքում տրված պատշաճ արտադրական գործունեության սերտիֆիկատը։</w:t>
            </w:r>
          </w:p>
          <w:p w14:paraId="48D8A5F9" w14:textId="351CF3C5"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Փոփոխություններ կատարելու մասին </w:t>
            </w:r>
            <w:r w:rsidR="0056496B">
              <w:rPr>
                <w:rStyle w:val="Bodytext1811pt"/>
                <w:rFonts w:ascii="Sylfaen" w:hAnsi="Sylfaen"/>
                <w:sz w:val="24"/>
                <w:szCs w:val="24"/>
              </w:rPr>
              <w:t>դիմում</w:t>
            </w:r>
            <w:r w:rsidRPr="003B2786">
              <w:rPr>
                <w:rStyle w:val="Bodytext1811pt"/>
                <w:rFonts w:ascii="Sylfaen" w:hAnsi="Sylfaen"/>
                <w:sz w:val="24"/>
                <w:szCs w:val="24"/>
              </w:rPr>
              <w:t xml:space="preserve">ում անհրաժեշտ է նշել դեղապատրաստուկի «ներկա»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w:t>
            </w:r>
            <w:r w:rsidR="0056496B">
              <w:rPr>
                <w:rStyle w:val="Bodytext1811pt"/>
                <w:rFonts w:ascii="Sylfaen" w:hAnsi="Sylfaen"/>
                <w:sz w:val="24"/>
                <w:szCs w:val="24"/>
              </w:rPr>
              <w:t>դիմում</w:t>
            </w:r>
            <w:r w:rsidRPr="003B2786">
              <w:rPr>
                <w:rStyle w:val="Bodytext1811pt"/>
                <w:rFonts w:ascii="Sylfaen" w:hAnsi="Sylfaen"/>
                <w:sz w:val="24"/>
                <w:szCs w:val="24"/>
              </w:rPr>
              <w:t>ի ձ</w:t>
            </w:r>
            <w:r w:rsidR="00C54D75">
              <w:rPr>
                <w:rStyle w:val="Bodytext1811pt"/>
                <w:rFonts w:ascii="Sylfaen" w:hAnsi="Sylfaen"/>
                <w:sz w:val="24"/>
                <w:szCs w:val="24"/>
              </w:rPr>
              <w:t>և</w:t>
            </w:r>
            <w:r w:rsidRPr="003B2786">
              <w:rPr>
                <w:rStyle w:val="Bodytext1811pt"/>
                <w:rFonts w:ascii="Sylfaen" w:hAnsi="Sylfaen"/>
                <w:sz w:val="24"/>
                <w:szCs w:val="24"/>
              </w:rPr>
              <w:t>ի 2.5 բաժնի համաձայն)։</w:t>
            </w:r>
          </w:p>
          <w:p w14:paraId="3A641CDF" w14:textId="7598BC00"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Սերիայի սերտիֆիկացման համար պատասխանատու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ը, որում նշվում է, որ գրանցման դոսյեում նշված ակտիվ դեղագործական բաղադրամաս արտադրողը (արտադրողները) աշխատում է (են) ելանյութերի համար՝ Միության պատշաճ արտադրական գործունեության կանոններին համապատասխան։ Որոշակի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Բ.II.բ.1-ի փոփոխության ծանոթագրությունը)։ </w:t>
            </w:r>
          </w:p>
          <w:p w14:paraId="2DB46191" w14:textId="77777777" w:rsidR="008C76E0" w:rsidRPr="008C76E0" w:rsidRDefault="008C76E0" w:rsidP="008C76E0">
            <w:pPr>
              <w:pStyle w:val="Bodytext180"/>
              <w:shd w:val="clear" w:color="auto" w:fill="auto"/>
              <w:tabs>
                <w:tab w:val="left" w:pos="567"/>
              </w:tabs>
              <w:spacing w:before="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այդ թվում՝ դեղապատրաստուկի վերաբերյալ տեղեկատվության մեջ ուղղում կատարելը։</w:t>
            </w:r>
          </w:p>
        </w:tc>
      </w:tr>
      <w:tr w:rsidR="008C76E0" w:rsidRPr="003B2786" w14:paraId="06285E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5BB859"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Բ.II.բ.3 Դեղապատրաստուկի արտադրության գործընթացի փոփոխությունը, ներառյալ՝ դեղապատրաստուկի արտադրության մեջ օգտագործվող միջանկյալ արտադրանքը</w:t>
            </w:r>
          </w:p>
        </w:tc>
        <w:tc>
          <w:tcPr>
            <w:tcW w:w="1701" w:type="dxa"/>
            <w:gridSpan w:val="4"/>
            <w:tcBorders>
              <w:top w:val="single" w:sz="4" w:space="0" w:color="auto"/>
              <w:left w:val="single" w:sz="4" w:space="0" w:color="auto"/>
            </w:tcBorders>
            <w:shd w:val="clear" w:color="auto" w:fill="FFFFFF"/>
          </w:tcPr>
          <w:p w14:paraId="4DBBD6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A23674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7B3D9FC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087589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B3C07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արտադրության գործընթացի ոչ էական փոփոխությունները</w:t>
            </w:r>
          </w:p>
        </w:tc>
        <w:tc>
          <w:tcPr>
            <w:tcW w:w="1701" w:type="dxa"/>
            <w:gridSpan w:val="4"/>
            <w:tcBorders>
              <w:top w:val="single" w:sz="4" w:space="0" w:color="auto"/>
              <w:left w:val="single" w:sz="4" w:space="0" w:color="auto"/>
            </w:tcBorders>
            <w:shd w:val="clear" w:color="auto" w:fill="FFFFFF"/>
          </w:tcPr>
          <w:p w14:paraId="6BEC916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1,2, 3,4, 5, 6, 7</w:t>
            </w:r>
          </w:p>
        </w:tc>
        <w:tc>
          <w:tcPr>
            <w:tcW w:w="1984" w:type="dxa"/>
            <w:gridSpan w:val="2"/>
            <w:tcBorders>
              <w:top w:val="single" w:sz="4" w:space="0" w:color="auto"/>
              <w:left w:val="single" w:sz="4" w:space="0" w:color="auto"/>
            </w:tcBorders>
            <w:shd w:val="clear" w:color="auto" w:fill="FFFFFF"/>
          </w:tcPr>
          <w:p w14:paraId="6D9382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1,3,4, 5, 6, 7, 8</w:t>
            </w:r>
          </w:p>
        </w:tc>
        <w:tc>
          <w:tcPr>
            <w:tcW w:w="1719" w:type="dxa"/>
            <w:gridSpan w:val="3"/>
            <w:tcBorders>
              <w:top w:val="single" w:sz="4" w:space="0" w:color="auto"/>
              <w:left w:val="single" w:sz="4" w:space="0" w:color="auto"/>
              <w:right w:val="single" w:sz="4" w:space="0" w:color="auto"/>
            </w:tcBorders>
            <w:shd w:val="clear" w:color="auto" w:fill="FFFFFF"/>
          </w:tcPr>
          <w:p w14:paraId="4EF1E26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7BA346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35F7F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արտադրության գործընթացի էական փոփոխությունները, որոնք կարող են զգալի ազդեցություն ունենալ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վրա</w:t>
            </w:r>
          </w:p>
        </w:tc>
        <w:tc>
          <w:tcPr>
            <w:tcW w:w="1701" w:type="dxa"/>
            <w:gridSpan w:val="4"/>
            <w:tcBorders>
              <w:top w:val="single" w:sz="4" w:space="0" w:color="auto"/>
              <w:left w:val="single" w:sz="4" w:space="0" w:color="auto"/>
            </w:tcBorders>
            <w:shd w:val="clear" w:color="auto" w:fill="FFFFFF"/>
          </w:tcPr>
          <w:p w14:paraId="1198793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16F3F1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3D46F2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617480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D78C3C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կենսաբանական (իմունաբանական) է,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Pr="003B2786">
              <w:rPr>
                <w:rStyle w:val="Bodytext1811pt"/>
                <w:rFonts w:ascii="Sylfaen" w:hAnsi="Sylfaen"/>
                <w:sz w:val="24"/>
                <w:szCs w:val="24"/>
              </w:rPr>
              <w:lastRenderedPageBreak/>
              <w:t>փոփոխությամբ պահանջվում է համադրելիության գնահատում</w:t>
            </w:r>
          </w:p>
        </w:tc>
        <w:tc>
          <w:tcPr>
            <w:tcW w:w="1701" w:type="dxa"/>
            <w:gridSpan w:val="4"/>
            <w:tcBorders>
              <w:top w:val="single" w:sz="4" w:space="0" w:color="auto"/>
              <w:left w:val="single" w:sz="4" w:space="0" w:color="auto"/>
            </w:tcBorders>
            <w:shd w:val="clear" w:color="auto" w:fill="FFFFFF"/>
          </w:tcPr>
          <w:p w14:paraId="2CFAC4BE"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2B5A69A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46939065"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19A00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3356D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մանրէազերծման ոչ ստանդարտ տերմինալային մեթոդի ներմուծում</w:t>
            </w:r>
          </w:p>
        </w:tc>
        <w:tc>
          <w:tcPr>
            <w:tcW w:w="1701" w:type="dxa"/>
            <w:gridSpan w:val="4"/>
            <w:tcBorders>
              <w:top w:val="single" w:sz="4" w:space="0" w:color="auto"/>
              <w:left w:val="single" w:sz="4" w:space="0" w:color="auto"/>
            </w:tcBorders>
            <w:shd w:val="clear" w:color="auto" w:fill="FFFFFF"/>
          </w:tcPr>
          <w:p w14:paraId="5A973A3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A12E1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72079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AF42D3B"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1C15D8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ակտիվ դեղագործական բաղադրամասի առնչությամբ օգտագործվող ավելցուկի ներմուծում կամ ավելացում</w:t>
            </w:r>
          </w:p>
        </w:tc>
        <w:tc>
          <w:tcPr>
            <w:tcW w:w="1701" w:type="dxa"/>
            <w:gridSpan w:val="4"/>
            <w:tcBorders>
              <w:top w:val="single" w:sz="4" w:space="0" w:color="auto"/>
              <w:left w:val="single" w:sz="4" w:space="0" w:color="auto"/>
              <w:bottom w:val="single" w:sz="4" w:space="0" w:color="auto"/>
            </w:tcBorders>
            <w:shd w:val="clear" w:color="auto" w:fill="FFFFFF"/>
          </w:tcPr>
          <w:p w14:paraId="0D114F1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C131A4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33E45DED"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6AA355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4780BF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ներքին ընդունման ջրային կախույթի արտադրության գործընթացի ոչ էական փոփոխությունը</w:t>
            </w:r>
          </w:p>
        </w:tc>
        <w:tc>
          <w:tcPr>
            <w:tcW w:w="1701" w:type="dxa"/>
            <w:gridSpan w:val="4"/>
            <w:tcBorders>
              <w:top w:val="single" w:sz="4" w:space="0" w:color="auto"/>
              <w:left w:val="single" w:sz="4" w:space="0" w:color="auto"/>
            </w:tcBorders>
            <w:shd w:val="clear" w:color="auto" w:fill="FFFFFF"/>
          </w:tcPr>
          <w:p w14:paraId="6C710E2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837CF5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1, 2, 4, 6, 7, 8</w:t>
            </w:r>
          </w:p>
        </w:tc>
        <w:tc>
          <w:tcPr>
            <w:tcW w:w="1719" w:type="dxa"/>
            <w:gridSpan w:val="3"/>
            <w:tcBorders>
              <w:top w:val="single" w:sz="4" w:space="0" w:color="auto"/>
              <w:left w:val="single" w:sz="4" w:space="0" w:color="auto"/>
              <w:right w:val="single" w:sz="4" w:space="0" w:color="auto"/>
            </w:tcBorders>
            <w:shd w:val="clear" w:color="auto" w:fill="FFFFFF"/>
          </w:tcPr>
          <w:p w14:paraId="201953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AD4BD9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ACCE2A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1202CA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Բացակայում են խառնուկների որակական կամ քանակական պրոֆիլի կամ ֆիզիկաքիմիական հատկությունների փոփոխությունները։</w:t>
            </w:r>
          </w:p>
          <w:p w14:paraId="3A5D286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առնչվում է արագ ձերբազատմամբ ներքին ընդունման 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ին (ներքին ընդունման լուծույթին), </w:t>
            </w:r>
            <w:r w:rsidR="00C54D75">
              <w:rPr>
                <w:rStyle w:val="Bodytext1811pt"/>
                <w:rFonts w:ascii="Sylfaen" w:hAnsi="Sylfaen"/>
                <w:sz w:val="24"/>
                <w:szCs w:val="24"/>
              </w:rPr>
              <w:t>և</w:t>
            </w:r>
            <w:r w:rsidRPr="003B2786">
              <w:rPr>
                <w:rStyle w:val="Bodytext1811pt"/>
                <w:rFonts w:ascii="Sylfaen" w:hAnsi="Sylfaen"/>
                <w:sz w:val="24"/>
                <w:szCs w:val="24"/>
              </w:rPr>
              <w:t xml:space="preserve"> դիտարկվող դեղապատրաստուկը կենսաբանական (իմունաբանական) կամ բուսական չէ։</w:t>
            </w:r>
          </w:p>
          <w:p w14:paraId="22E2EFCD"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Արտադրության սկզբունքը, ներառյալ՝ դրա առանձին փուլերը չեն փոփոխվում, օրինակ՝ միջանկյալ արտադրանքի մշակումը. բացակայում է արտադրության գործընթացում օգտագործվող որ</w:t>
            </w:r>
            <w:r w:rsidR="00C54D75">
              <w:rPr>
                <w:rStyle w:val="Bodytext1811pt"/>
                <w:rFonts w:ascii="Sylfaen" w:hAnsi="Sylfaen"/>
                <w:sz w:val="24"/>
                <w:szCs w:val="24"/>
              </w:rPr>
              <w:t>և</w:t>
            </w:r>
            <w:r w:rsidRPr="003B2786">
              <w:rPr>
                <w:rStyle w:val="Bodytext1811pt"/>
                <w:rFonts w:ascii="Sylfaen" w:hAnsi="Sylfaen"/>
                <w:sz w:val="24"/>
                <w:szCs w:val="24"/>
              </w:rPr>
              <w:t>է լուծիչի փոփոխություն։</w:t>
            </w:r>
          </w:p>
          <w:p w14:paraId="771647C9"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ներկայումս գրանցված գործընթացը հսկվում է ներարտադրական հսկման միջոցառումների միջոցով, </w:t>
            </w:r>
            <w:r w:rsidR="00C54D75">
              <w:rPr>
                <w:rStyle w:val="Bodytext1811pt"/>
                <w:rFonts w:ascii="Sylfaen" w:hAnsi="Sylfaen"/>
                <w:sz w:val="24"/>
                <w:szCs w:val="24"/>
              </w:rPr>
              <w:t>և</w:t>
            </w:r>
            <w:r w:rsidRPr="003B2786">
              <w:rPr>
                <w:rStyle w:val="Bodytext1811pt"/>
                <w:rFonts w:ascii="Sylfaen" w:hAnsi="Sylfaen"/>
                <w:sz w:val="24"/>
                <w:szCs w:val="24"/>
              </w:rPr>
              <w:t xml:space="preserve"> հսկման այդպիսի միջոցառումների փոփոխություն (ընդունելիության չափանիշների ընդլայնում կամ բացառում) չի պահանջվում։</w:t>
            </w:r>
          </w:p>
          <w:p w14:paraId="2CCCF2B1"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Դեղապատրաստուկի կամ միջանկյալ արտադրանքների մասնագրերը չեն փոփոխվում։</w:t>
            </w:r>
          </w:p>
          <w:p w14:paraId="4D872FC4"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Նոր գործընթացի արդյունքների համաձայն՝ պետք է առաջանա դեղապատրաստուկի որակի, անվտանգության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արդյունավետության բոլոր ասպեկտների տեսանկյունից նույնական։</w:t>
            </w:r>
          </w:p>
          <w:p w14:paraId="56404646" w14:textId="5C927780" w:rsidR="008C76E0" w:rsidRPr="008C76E0" w:rsidRDefault="008C76E0" w:rsidP="00FA323E">
            <w:pPr>
              <w:pStyle w:val="Bodytext180"/>
              <w:keepNext/>
              <w:keepLines/>
              <w:shd w:val="clear" w:color="auto" w:fill="auto"/>
              <w:tabs>
                <w:tab w:val="left" w:pos="567"/>
              </w:tabs>
              <w:spacing w:before="0" w:after="120" w:line="264" w:lineRule="auto"/>
              <w:ind w:left="159"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համապատասխան փաստաթղթերի համաձայն՝ առնվազն 1 փորձնական կամ արդյունաբերական սերիայի նկատմամբ սկսվել են կայունության համապատասխան հետազոտություններ.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գտնվում կայունության առնվազն </w:t>
            </w:r>
            <w:r w:rsidRPr="003B2786">
              <w:rPr>
                <w:rStyle w:val="Bodytext1811pt"/>
                <w:rFonts w:ascii="Sylfaen" w:hAnsi="Sylfaen"/>
                <w:sz w:val="24"/>
                <w:szCs w:val="24"/>
              </w:rPr>
              <w:br/>
              <w:t xml:space="preserve">3-ամսյա ուսումնասիրությունների բավարար արդյունքները։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 </w:t>
            </w:r>
          </w:p>
        </w:tc>
      </w:tr>
      <w:tr w:rsidR="008C76E0" w:rsidRPr="003B2786" w14:paraId="15B4840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tcPr>
          <w:p w14:paraId="4E7B86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73F4303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9EA094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պինդ դեղապատրաստուկների առնչությամբ, որոնցում ակտիվ դեղագործական բաղադրամասը գտնվում է չլուծված վիճակում. փոփոխությունների պատշաճ վալիդացումը, ներառյալ՝ մասնիկների միկրոսկոպիան՝ կազմաբանության տեսանելի փոփոխություններն ստուգելու նպատակով. պատշաճ ձ</w:t>
            </w:r>
            <w:r w:rsidR="00C54D75">
              <w:rPr>
                <w:rStyle w:val="Bodytext1811pt"/>
                <w:rFonts w:ascii="Sylfaen" w:hAnsi="Sylfaen"/>
                <w:sz w:val="24"/>
                <w:szCs w:val="24"/>
              </w:rPr>
              <w:t>և</w:t>
            </w:r>
            <w:r w:rsidRPr="003B2786">
              <w:rPr>
                <w:rStyle w:val="Bodytext1811pt"/>
                <w:rFonts w:ascii="Sylfaen" w:hAnsi="Sylfaen"/>
                <w:sz w:val="24"/>
                <w:szCs w:val="24"/>
              </w:rPr>
              <w:t>ով ստացված մասնիկների չափերի համաձայն բաշխման (դիսպերսության) վերաբերյալ համեմատական տվյալները։</w:t>
            </w:r>
          </w:p>
          <w:p w14:paraId="22724F8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 xml:space="preserve">երի առնչությամբ՝ մեկ ներկայացուցչական արդյունաբերական սերիայի լուծելիության պրոֆիլի տվյալները </w:t>
            </w:r>
            <w:r w:rsidR="00C54D75">
              <w:rPr>
                <w:rStyle w:val="Bodytext1811pt"/>
                <w:rFonts w:ascii="Sylfaen" w:hAnsi="Sylfaen"/>
                <w:sz w:val="24"/>
                <w:szCs w:val="24"/>
              </w:rPr>
              <w:t>և</w:t>
            </w:r>
            <w:r w:rsidRPr="003B2786">
              <w:rPr>
                <w:rStyle w:val="Bodytext1811pt"/>
                <w:rFonts w:ascii="Sylfaen" w:hAnsi="Sylfaen"/>
                <w:sz w:val="24"/>
                <w:szCs w:val="24"/>
              </w:rPr>
              <w:t xml:space="preserve"> նախորդ գործընթացի միջոցով արտադրված վերջին երեք սերիաների համեմատական տվյալները։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կամ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 Բուսական դեղապատրաստուկների առնչությամբ կարող են բավարար լինել համեմատական տրոհման տվյալները:</w:t>
            </w:r>
          </w:p>
          <w:p w14:paraId="1662593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56067FE1" w14:textId="34B3E49C"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Գործընթացի այն պարամետրի (պարամետրերի) փոփոխության դեպքում, որը համարվում է դեղապատրաստուկի վրա ազդեցություն չունեցող՝</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դա ձեռք է բերվել ռիսկերի ավելի վաղ անցկացված հաստատված գնահատման ընթացքում։</w:t>
            </w:r>
          </w:p>
          <w:p w14:paraId="5264CB3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մասնագրերի օրինակները։</w:t>
            </w:r>
          </w:p>
          <w:p w14:paraId="7FD47C61"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գործընթացի միջոցով արտադրված առնվազն մեկ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սերիաների վերաբերյալ տվյալները. հարկ է տեղեկացնել, եթե վերլուծության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tc>
      </w:tr>
      <w:tr w:rsidR="008C76E0" w:rsidRPr="003B2786" w14:paraId="777438D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93AFFCD" w14:textId="6F535BF9"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8.</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համապատասխան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ուսումնասիրվել են առնվազն մեկ փորձարարաարդյունաբերական կամ արդյունաբերական սերիայի կայունության անհրաժեշտ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ծանուցելու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են եղել կայունության առնվազն 3-ամսյա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կայունության պրոֆիլը համանման է ընթացիկ գրանցված դրությանը։ Ներկայացվել է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առաջարկվող գործողությունների պլանի հետ անմիջապես կներկայացվեն լիազորված մարմին։</w:t>
            </w:r>
          </w:p>
        </w:tc>
      </w:tr>
      <w:tr w:rsidR="008C76E0" w:rsidRPr="003B2786" w14:paraId="258AB4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0B529A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Բ.II.բ.4 Դեղապատրաստուկի սերիայի չափի փոփոխությունը (ներառյալ սերիայի չափի տիրույթը)</w:t>
            </w:r>
          </w:p>
        </w:tc>
        <w:tc>
          <w:tcPr>
            <w:tcW w:w="1701" w:type="dxa"/>
            <w:gridSpan w:val="4"/>
            <w:tcBorders>
              <w:top w:val="single" w:sz="4" w:space="0" w:color="auto"/>
              <w:left w:val="single" w:sz="4" w:space="0" w:color="auto"/>
            </w:tcBorders>
            <w:shd w:val="clear" w:color="auto" w:fill="FFFFFF"/>
          </w:tcPr>
          <w:p w14:paraId="010BE9A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10E5F9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F74F93E"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150526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53527E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8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հաստատվածի համեմատությամբ՝ ընդհուպ մինչ 10 անգամ խոշորացում</w:t>
            </w:r>
          </w:p>
        </w:tc>
        <w:tc>
          <w:tcPr>
            <w:tcW w:w="1701" w:type="dxa"/>
            <w:gridSpan w:val="4"/>
            <w:tcBorders>
              <w:top w:val="single" w:sz="4" w:space="0" w:color="auto"/>
              <w:left w:val="single" w:sz="4" w:space="0" w:color="auto"/>
            </w:tcBorders>
            <w:shd w:val="clear" w:color="auto" w:fill="FFFFFF"/>
          </w:tcPr>
          <w:p w14:paraId="73488887"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984" w:type="dxa"/>
            <w:gridSpan w:val="2"/>
            <w:tcBorders>
              <w:top w:val="single" w:sz="4" w:space="0" w:color="auto"/>
              <w:left w:val="single" w:sz="4" w:space="0" w:color="auto"/>
            </w:tcBorders>
            <w:shd w:val="clear" w:color="auto" w:fill="FFFFFF"/>
          </w:tcPr>
          <w:p w14:paraId="40AAAB6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6E7ECB7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9BE51E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76CA15" w14:textId="77777777" w:rsidR="008C76E0" w:rsidRPr="003B2786"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lang w:val="en-US"/>
              </w:rPr>
              <w:tab/>
            </w:r>
            <w:r w:rsidRPr="003B2786">
              <w:rPr>
                <w:rStyle w:val="Bodytext1811pt"/>
                <w:rFonts w:ascii="Sylfaen" w:hAnsi="Sylfaen"/>
                <w:sz w:val="24"/>
                <w:szCs w:val="24"/>
              </w:rPr>
              <w:t>մինչ</w:t>
            </w:r>
            <w:r w:rsidR="00C54D75">
              <w:rPr>
                <w:rStyle w:val="Bodytext1811pt"/>
                <w:rFonts w:ascii="Sylfaen" w:hAnsi="Sylfaen"/>
                <w:sz w:val="24"/>
                <w:szCs w:val="24"/>
              </w:rPr>
              <w:t>և</w:t>
            </w:r>
            <w:r w:rsidRPr="003B2786">
              <w:rPr>
                <w:rStyle w:val="Bodytext1811pt"/>
                <w:rFonts w:ascii="Sylfaen" w:hAnsi="Sylfaen"/>
                <w:sz w:val="24"/>
                <w:szCs w:val="24"/>
              </w:rPr>
              <w:t xml:space="preserve"> 10 անգամ ապախոշորացում</w:t>
            </w:r>
          </w:p>
        </w:tc>
        <w:tc>
          <w:tcPr>
            <w:tcW w:w="1701" w:type="dxa"/>
            <w:gridSpan w:val="4"/>
            <w:tcBorders>
              <w:top w:val="single" w:sz="4" w:space="0" w:color="auto"/>
              <w:left w:val="single" w:sz="4" w:space="0" w:color="auto"/>
            </w:tcBorders>
            <w:shd w:val="clear" w:color="auto" w:fill="FFFFFF"/>
          </w:tcPr>
          <w:p w14:paraId="5533611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984" w:type="dxa"/>
            <w:gridSpan w:val="2"/>
            <w:tcBorders>
              <w:top w:val="single" w:sz="4" w:space="0" w:color="auto"/>
              <w:left w:val="single" w:sz="4" w:space="0" w:color="auto"/>
            </w:tcBorders>
            <w:shd w:val="clear" w:color="auto" w:fill="FFFFFF"/>
          </w:tcPr>
          <w:p w14:paraId="2F20AAEA"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3499AA4"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4E7FD3E7" w14:textId="77777777" w:rsidTr="008C76E0">
        <w:trPr>
          <w:jc w:val="center"/>
        </w:trPr>
        <w:tc>
          <w:tcPr>
            <w:tcW w:w="4997" w:type="dxa"/>
            <w:gridSpan w:val="6"/>
            <w:tcBorders>
              <w:top w:val="single" w:sz="4" w:space="0" w:color="auto"/>
              <w:left w:val="single" w:sz="4" w:space="0" w:color="auto"/>
            </w:tcBorders>
            <w:shd w:val="clear" w:color="auto" w:fill="FFFFFF"/>
          </w:tcPr>
          <w:p w14:paraId="6559F4D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փոփոխությամբ պահանջվում է կենսաբանական (իմունաբանական) դեղապատրաստուկի համադրելիության վերլուծություն, կամ սերիայի չափի փոփոխությամբ պահանջվում է կենսահամարժեքության նոր հետազոտություն</w:t>
            </w:r>
          </w:p>
        </w:tc>
        <w:tc>
          <w:tcPr>
            <w:tcW w:w="1701" w:type="dxa"/>
            <w:gridSpan w:val="4"/>
            <w:tcBorders>
              <w:top w:val="single" w:sz="4" w:space="0" w:color="auto"/>
              <w:left w:val="single" w:sz="4" w:space="0" w:color="auto"/>
            </w:tcBorders>
            <w:shd w:val="clear" w:color="auto" w:fill="FFFFFF"/>
          </w:tcPr>
          <w:p w14:paraId="47120291"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8F94C3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EECD3A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4BB497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F12DE5"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փոփոխությունը վերաբերում է արտադրության համալիր գործընթացներով արտադրված մնացած բոլոր դեղաձ</w:t>
            </w:r>
            <w:r w:rsidR="00C54D75">
              <w:rPr>
                <w:rStyle w:val="Bodytext1811pt"/>
                <w:rFonts w:ascii="Sylfaen" w:hAnsi="Sylfaen"/>
                <w:sz w:val="24"/>
                <w:szCs w:val="24"/>
              </w:rPr>
              <w:t>և</w:t>
            </w:r>
            <w:r w:rsidRPr="003B2786">
              <w:rPr>
                <w:rStyle w:val="Bodytext1811pt"/>
                <w:rFonts w:ascii="Sylfaen" w:hAnsi="Sylfaen"/>
                <w:sz w:val="24"/>
                <w:szCs w:val="24"/>
              </w:rPr>
              <w:t>երին</w:t>
            </w:r>
          </w:p>
        </w:tc>
        <w:tc>
          <w:tcPr>
            <w:tcW w:w="1701" w:type="dxa"/>
            <w:gridSpan w:val="4"/>
            <w:tcBorders>
              <w:top w:val="single" w:sz="4" w:space="0" w:color="auto"/>
              <w:left w:val="single" w:sz="4" w:space="0" w:color="auto"/>
            </w:tcBorders>
            <w:shd w:val="clear" w:color="auto" w:fill="FFFFFF"/>
          </w:tcPr>
          <w:p w14:paraId="777A7006"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F287B1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F07AE6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277A19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FFF1B9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արագ ձերբազատմամբ (ներքին ընդունման համար) դեղաձ</w:t>
            </w:r>
            <w:r w:rsidR="00C54D75">
              <w:rPr>
                <w:rStyle w:val="Bodytext1811pt"/>
                <w:rFonts w:ascii="Sylfaen" w:hAnsi="Sylfaen"/>
                <w:sz w:val="24"/>
                <w:szCs w:val="24"/>
              </w:rPr>
              <w:t>և</w:t>
            </w:r>
            <w:r w:rsidRPr="003B2786">
              <w:rPr>
                <w:rStyle w:val="Bodytext1811pt"/>
                <w:rFonts w:ascii="Sylfaen" w:hAnsi="Sylfaen"/>
                <w:sz w:val="24"/>
                <w:szCs w:val="24"/>
              </w:rPr>
              <w:t>երի սերիայի հաստատված չափի համեմատությամբ՝ առնվազն 10 անգամ խոշորացում</w:t>
            </w:r>
          </w:p>
        </w:tc>
        <w:tc>
          <w:tcPr>
            <w:tcW w:w="1701" w:type="dxa"/>
            <w:gridSpan w:val="4"/>
            <w:tcBorders>
              <w:top w:val="single" w:sz="4" w:space="0" w:color="auto"/>
              <w:left w:val="single" w:sz="4" w:space="0" w:color="auto"/>
            </w:tcBorders>
            <w:shd w:val="clear" w:color="auto" w:fill="FFFFFF"/>
          </w:tcPr>
          <w:p w14:paraId="38D29898"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234DB2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40C86280"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6E5DACA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7F0D9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81"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կենսաբանական (իմունաբանական) արտադրության մասշտաբը մեծացել է (փոքրացել է)՝ առանց արտադրության գործընթացի փոփոխության (օրինակ՝ հոսքագծի կրկնօրինակումը)</w:t>
            </w:r>
          </w:p>
        </w:tc>
        <w:tc>
          <w:tcPr>
            <w:tcW w:w="1701" w:type="dxa"/>
            <w:gridSpan w:val="4"/>
            <w:tcBorders>
              <w:top w:val="single" w:sz="4" w:space="0" w:color="auto"/>
              <w:left w:val="single" w:sz="4" w:space="0" w:color="auto"/>
            </w:tcBorders>
            <w:shd w:val="clear" w:color="auto" w:fill="FFFFFF"/>
          </w:tcPr>
          <w:p w14:paraId="7F38939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8239B5"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1, 2, 3, 4, 5, 6</w:t>
            </w:r>
          </w:p>
        </w:tc>
        <w:tc>
          <w:tcPr>
            <w:tcW w:w="1719" w:type="dxa"/>
            <w:gridSpan w:val="3"/>
            <w:tcBorders>
              <w:top w:val="single" w:sz="4" w:space="0" w:color="auto"/>
              <w:left w:val="single" w:sz="4" w:space="0" w:color="auto"/>
              <w:right w:val="single" w:sz="4" w:space="0" w:color="auto"/>
            </w:tcBorders>
            <w:shd w:val="clear" w:color="auto" w:fill="FFFFFF"/>
          </w:tcPr>
          <w:p w14:paraId="76EC9D5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329EE4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B4B75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21EB5602"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չի ազդում դեղապատրաստուկի որակի վերարտադրելիության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հաստատունության վրա։</w:t>
            </w:r>
          </w:p>
          <w:p w14:paraId="5C4F61CB"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արագ ձերբազատմամբ ներքին ընդունման ստանդարտ դեղաձ</w:t>
            </w:r>
            <w:r w:rsidR="00C54D75">
              <w:rPr>
                <w:rStyle w:val="Bodytext1811pt"/>
                <w:rFonts w:ascii="Sylfaen" w:hAnsi="Sylfaen"/>
                <w:sz w:val="24"/>
                <w:szCs w:val="24"/>
              </w:rPr>
              <w:t>և</w:t>
            </w:r>
            <w:r w:rsidRPr="003B2786">
              <w:rPr>
                <w:rStyle w:val="Bodytext1811pt"/>
                <w:rFonts w:ascii="Sylfaen" w:hAnsi="Sylfaen"/>
                <w:sz w:val="24"/>
                <w:szCs w:val="24"/>
              </w:rPr>
              <w:t>երին կամ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երին։</w:t>
            </w:r>
          </w:p>
          <w:p w14:paraId="6C678521"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Արտադրության մեթոդների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ներարտադրական հսկման միջոցառումների ցանկացած փոփոխություն անհրաժեշտ է միայն սերիայի չափի փոփոխության համար, օրինակ՝ այլ չափ ունեցող սարքավորման օգտագործումը։</w:t>
            </w:r>
          </w:p>
          <w:p w14:paraId="5A6B41C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Առկա է վալիդացման սխեման, կամ ընթացիկ արձանագրությանը համապատասխան՝ հաջողությամբ իրականացվել է նոր չափերով առնվազն 3 արդյունաբերական սերիայի արտադրության վալիդացում՝ կիրառելի պահանջներին համապատասխան։</w:t>
            </w:r>
          </w:p>
          <w:p w14:paraId="5FC6E2EE"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Դիտարկվող դեղապատրաստուկը կենսաբանական (իմունաբանական) չէ։</w:t>
            </w:r>
          </w:p>
          <w:p w14:paraId="6BFC9F6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չպետք է լինի արտադրության ընթացքում առաջ եկող </w:t>
            </w:r>
            <w:r w:rsidRPr="003B2786">
              <w:rPr>
                <w:rStyle w:val="Bodytext1811pt"/>
                <w:rFonts w:ascii="Sylfaen" w:hAnsi="Sylfaen"/>
                <w:sz w:val="24"/>
                <w:szCs w:val="24"/>
              </w:rPr>
              <w:lastRenderedPageBreak/>
              <w:t>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557CDFB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Սերիայի չափը համապատասխանում է 10-ապատիկ տիրույթին, որը նախատեսված է գրանցման ընթացքում կամ IA տիպի փոփոխություն չհանդիսացող հետագա փոփոխությունից հետո։</w:t>
            </w:r>
          </w:p>
        </w:tc>
      </w:tr>
      <w:tr w:rsidR="008C76E0" w:rsidRPr="003B2786" w14:paraId="5E9A6C4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tcPr>
          <w:p w14:paraId="14BB0E0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7158EFC"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1B4A1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Սերիաների՝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չափերով արտադրված առնվազն մեկ արդյունաբերական սերիայի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 Հարցման հիման վրա՝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երկու ամբողջական արդյունաբերական սերիայի վերաբերյալ տվյալները. ԳՀ-ի իրավատերը պարտավոր է տեղեկացնել, եթե արդյունքները չեն համապատասխանում մասնագրին,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առաջարկել գործողությունների պլան։</w:t>
            </w:r>
          </w:p>
          <w:p w14:paraId="4EF62773"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հաստատված մասնագրերի օրինակները։</w:t>
            </w:r>
          </w:p>
          <w:p w14:paraId="5454517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նշել սերիայի չափին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արտադրության ամսաթվին (&gt;3) համապատասխան վալիդացման հետազոտություններում օգտագործված սերիաների համարները կամ ներկայացնել վալիդացման արձանագրությունը (սխեման)։</w:t>
            </w:r>
          </w:p>
          <w:p w14:paraId="41C681F9" w14:textId="77777777"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Անհրաժեշտ է ներկայացնել վալիդացման արդյունքները։</w:t>
            </w:r>
          </w:p>
          <w:p w14:paraId="77750053" w14:textId="22B71D70" w:rsidR="008C76E0" w:rsidRPr="008C76E0" w:rsidRDefault="008C76E0" w:rsidP="008C76E0">
            <w:pPr>
              <w:pStyle w:val="Bodytext180"/>
              <w:keepNext/>
              <w:keepLines/>
              <w:shd w:val="clear" w:color="auto" w:fill="auto"/>
              <w:tabs>
                <w:tab w:val="left" w:pos="567"/>
              </w:tabs>
              <w:spacing w:before="0" w:after="120" w:line="240" w:lineRule="auto"/>
              <w:ind w:left="159"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Միության փաստաթղթերին համապատասխան անցկացված՝ առնվազն 3 ամիս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առնվազն մեկ փորձարարական կամ արդյունաբերական սերիայի կայունության հետազոտությունների արդյունքները՝ ըստ էական պարամետրերի. հաստատումն այն բանի, որ այդպիսի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չհամապատասխանեն մասնագրերին՝ պիտանիության ժամկետի ավարտին, ապա դրանք գործողությունների պլանի հետ անմիջապես կներկայացվեն լիազորված մարմին։ Կենսաբանական (իմունաբանական) միջոցների առնչությամբ՝</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համադրելիության գնահատում չի պահանջվում։</w:t>
            </w:r>
          </w:p>
        </w:tc>
      </w:tr>
      <w:tr w:rsidR="008C76E0" w:rsidRPr="003B2786" w14:paraId="16C467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9EBC9" w14:textId="77777777" w:rsidR="008C76E0" w:rsidRPr="008C76E0" w:rsidRDefault="008C76E0" w:rsidP="008C76E0">
            <w:pPr>
              <w:pStyle w:val="Bodytext180"/>
              <w:keepNext/>
              <w:keepLines/>
              <w:shd w:val="clear" w:color="auto" w:fill="auto"/>
              <w:tabs>
                <w:tab w:val="left" w:pos="1143"/>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Բ.II.բ.5</w:t>
            </w:r>
            <w:r w:rsidRPr="003B2786">
              <w:rPr>
                <w:rStyle w:val="Bodytext1811pt"/>
                <w:rFonts w:ascii="Sylfaen" w:hAnsi="Sylfaen"/>
                <w:sz w:val="24"/>
                <w:szCs w:val="24"/>
              </w:rPr>
              <w:tab/>
              <w:t>Ներարտադրական փորձարկումների կամ դեղապատրաստուկի արտադրության ժամանակ օգտագործվող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7A177D18" w14:textId="77777777" w:rsidR="008C76E0" w:rsidRPr="003B2786" w:rsidRDefault="008C76E0" w:rsidP="008C76E0">
            <w:pPr>
              <w:pStyle w:val="Bodytext180"/>
              <w:keepNext/>
              <w:keepLines/>
              <w:shd w:val="clear" w:color="auto" w:fill="auto"/>
              <w:tabs>
                <w:tab w:val="left" w:pos="567"/>
              </w:tabs>
              <w:spacing w:before="0" w:after="120" w:line="240" w:lineRule="auto"/>
              <w:ind w:left="91" w:right="88"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2270451" w14:textId="77777777" w:rsidR="008C76E0" w:rsidRPr="003B2786" w:rsidRDefault="008C76E0" w:rsidP="008C76E0">
            <w:pPr>
              <w:pStyle w:val="Bodytext180"/>
              <w:keepNext/>
              <w:keepLines/>
              <w:shd w:val="clear" w:color="auto" w:fill="auto"/>
              <w:tabs>
                <w:tab w:val="left" w:pos="567"/>
              </w:tabs>
              <w:spacing w:before="0" w:after="120" w:line="240" w:lineRule="auto"/>
              <w:ind w:left="-10" w:right="-10"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DD8857" w14:textId="77777777" w:rsidR="008C76E0" w:rsidRPr="003B2786" w:rsidRDefault="008C76E0" w:rsidP="008C76E0">
            <w:pPr>
              <w:pStyle w:val="Bodytext180"/>
              <w:keepNext/>
              <w:keepLines/>
              <w:shd w:val="clear" w:color="auto" w:fill="auto"/>
              <w:tabs>
                <w:tab w:val="left" w:pos="567"/>
              </w:tabs>
              <w:spacing w:before="0" w:after="120" w:line="240" w:lineRule="auto"/>
              <w:ind w:left="39" w:right="83"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82BCA5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7C7F57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Ընդունելիության ներարտադրական չափանիշների խստացում</w:t>
            </w:r>
          </w:p>
        </w:tc>
        <w:tc>
          <w:tcPr>
            <w:tcW w:w="1701" w:type="dxa"/>
            <w:gridSpan w:val="4"/>
            <w:tcBorders>
              <w:top w:val="single" w:sz="4" w:space="0" w:color="auto"/>
              <w:left w:val="single" w:sz="4" w:space="0" w:color="auto"/>
            </w:tcBorders>
            <w:shd w:val="clear" w:color="auto" w:fill="FFFFFF"/>
          </w:tcPr>
          <w:p w14:paraId="1D207A46"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1FF911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446D1783"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6C0734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FF577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Նոր փորձարկումների կամ ընդունելիության չափանիշների ավելացում</w:t>
            </w:r>
          </w:p>
        </w:tc>
        <w:tc>
          <w:tcPr>
            <w:tcW w:w="1701" w:type="dxa"/>
            <w:gridSpan w:val="4"/>
            <w:tcBorders>
              <w:top w:val="single" w:sz="4" w:space="0" w:color="auto"/>
              <w:left w:val="single" w:sz="4" w:space="0" w:color="auto"/>
            </w:tcBorders>
            <w:shd w:val="clear" w:color="auto" w:fill="FFFFFF"/>
          </w:tcPr>
          <w:p w14:paraId="08CAFF25"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1, 2, 5, 6</w:t>
            </w:r>
          </w:p>
        </w:tc>
        <w:tc>
          <w:tcPr>
            <w:tcW w:w="1984" w:type="dxa"/>
            <w:gridSpan w:val="2"/>
            <w:tcBorders>
              <w:top w:val="single" w:sz="4" w:space="0" w:color="auto"/>
              <w:left w:val="single" w:sz="4" w:space="0" w:color="auto"/>
            </w:tcBorders>
            <w:shd w:val="clear" w:color="auto" w:fill="FFFFFF"/>
          </w:tcPr>
          <w:p w14:paraId="6EAAE789"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2D815C58"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082A26D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0129C4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Ոչ էական ներարտադրական փորձարկման բացառում</w:t>
            </w:r>
          </w:p>
        </w:tc>
        <w:tc>
          <w:tcPr>
            <w:tcW w:w="1701" w:type="dxa"/>
            <w:gridSpan w:val="4"/>
            <w:tcBorders>
              <w:top w:val="single" w:sz="4" w:space="0" w:color="auto"/>
              <w:left w:val="single" w:sz="4" w:space="0" w:color="auto"/>
            </w:tcBorders>
            <w:shd w:val="clear" w:color="auto" w:fill="FFFFFF"/>
          </w:tcPr>
          <w:p w14:paraId="5501CF1E"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1, 2, 7</w:t>
            </w:r>
          </w:p>
        </w:tc>
        <w:tc>
          <w:tcPr>
            <w:tcW w:w="1984" w:type="dxa"/>
            <w:gridSpan w:val="2"/>
            <w:tcBorders>
              <w:top w:val="single" w:sz="4" w:space="0" w:color="auto"/>
              <w:left w:val="single" w:sz="4" w:space="0" w:color="auto"/>
            </w:tcBorders>
            <w:shd w:val="clear" w:color="auto" w:fill="FFFFFF"/>
          </w:tcPr>
          <w:p w14:paraId="417399C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0ADE2B2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5880276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203435"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Ներարտադրական փորձարկման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27FC0FF"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A1BFE7C"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EFE9AA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2D3B6C5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774645F"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Ընդունելիության հաստատված ներարտադրական չափանիշների ընդլայնում, որոնք կարող են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573B751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06DDE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57AA5E7"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II</w:t>
            </w:r>
          </w:p>
        </w:tc>
      </w:tr>
      <w:tr w:rsidR="008C76E0" w:rsidRPr="003B2786" w14:paraId="6752F41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B8A5F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Ներարտադրական փորձարկումների ավելացում կամ փոխարինում՝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55C2E1F2"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062E120"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C6344CA"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center"/>
              <w:outlineLvl w:val="0"/>
              <w:rPr>
                <w:rFonts w:ascii="Sylfaen" w:hAnsi="Sylfaen"/>
                <w:b w:val="0"/>
                <w:sz w:val="24"/>
                <w:szCs w:val="24"/>
              </w:rPr>
            </w:pPr>
            <w:r w:rsidRPr="003B2786">
              <w:rPr>
                <w:rStyle w:val="Bodytext1811pt"/>
                <w:rFonts w:ascii="Sylfaen" w:hAnsi="Sylfaen"/>
                <w:sz w:val="24"/>
                <w:szCs w:val="24"/>
              </w:rPr>
              <w:t>IB</w:t>
            </w:r>
          </w:p>
        </w:tc>
      </w:tr>
      <w:tr w:rsidR="008C76E0" w:rsidRPr="003B2786" w14:paraId="7BA86CB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14:paraId="746BEA9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Պայմանները</w:t>
            </w:r>
          </w:p>
          <w:p w14:paraId="6B140FA0"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մասնագրի ընդունելիության չափանիշների վերլուծության նպատակով նախկինում կատարված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գրանցելիս կամ II տիպի փոփոխություն կատարելիս):</w:t>
            </w:r>
          </w:p>
        </w:tc>
      </w:tr>
      <w:tr w:rsidR="008C76E0" w:rsidRPr="003B2786" w14:paraId="28B62F8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760024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խառնուկը, խառնուկների միագումարի պարունակության սահմանների փոփոխությունը:</w:t>
            </w:r>
          </w:p>
          <w:p w14:paraId="0944F8A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3603C66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9DE5B6B"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7265EC1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կենսաբանորեն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4B1F0E7D"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փորձարկումը չի վերաբերում կրիտիկական չափանիշների հսկողությանը, օրինակ՝</w:t>
            </w:r>
          </w:p>
          <w:p w14:paraId="017BAD0D" w14:textId="77777777" w:rsidR="008C76E0" w:rsidRPr="003B2786"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Style w:val="Bodytext1811pt"/>
                <w:rFonts w:ascii="Sylfaen" w:hAnsi="Sylfaen"/>
                <w:sz w:val="24"/>
                <w:szCs w:val="24"/>
              </w:rPr>
            </w:pPr>
            <w:r w:rsidRPr="003B2786">
              <w:rPr>
                <w:rStyle w:val="Bodytext1811pt"/>
                <w:rFonts w:ascii="Sylfaen" w:hAnsi="Sylfaen"/>
                <w:sz w:val="24"/>
                <w:szCs w:val="24"/>
              </w:rPr>
              <w:t xml:space="preserve">խառնուկի քանակական որոշմանը (միայն այն դեպքում, երբ արտադրության մեջ որոշակի լուծույթ միանշանակ չի օգտագործվում), ցանկացած կրիտիկական ֆիզիկական բնութագրին (մասնիկների չափերին,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 իսկության փորձարկմանը (համապատասխան այլընտրանքային հսկողության բացակայության դեպքում), միկրոկենսաբանական հսկողությանը (միայն այն դեպքում, երբ </w:t>
            </w:r>
            <w:r w:rsidRPr="003B2786">
              <w:rPr>
                <w:rStyle w:val="Bodytext1811pt"/>
                <w:rFonts w:ascii="Sylfaen" w:hAnsi="Sylfaen"/>
                <w:sz w:val="24"/>
                <w:szCs w:val="24"/>
              </w:rPr>
              <w:lastRenderedPageBreak/>
              <w:t>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p w14:paraId="00AA84D2"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p>
        </w:tc>
      </w:tr>
      <w:tr w:rsidR="008C76E0" w:rsidRPr="003B2786" w14:paraId="46169DB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049243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0FF33F3"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978CAF8"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ներարտադրական փորձարկումների ու ընդունելիության չափանիշների համեմատական աղյուսակը։</w:t>
            </w:r>
          </w:p>
          <w:p w14:paraId="4A0F4FD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487659A6"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երկու արդյունաբերական սերիաների վերլուծության տվյալները (կենսաբանորեն ակտիվ դեղագործական բաղադրամասերի համար պատշաճ հիմնավորման բացակայության դեպքում՝ երեք սերիա):</w:t>
            </w:r>
          </w:p>
          <w:p w14:paraId="7F5A02C7"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նոր ներարտադրական փորձարկումների օգտագործմամբ արտադրված, առնվազն 1 փորձարարաարդյունաբերական սերիայի նկատմամբ դեղապատրաստուկի լուծելիության պրոֆիլի համեմատական տվյալները։ Բուսական դեղապատրաստուկների առնչությամբ կարող են բավարար լինել համեմատական տրոհման տվյալները:</w:t>
            </w:r>
          </w:p>
          <w:p w14:paraId="3B298574"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Ներարտադրական փորձարկման ոչ էական կամ հնացած լինելու հանգամանքը հաստատող հիմնավորումը (ռիսկերի գնահատումը):</w:t>
            </w:r>
          </w:p>
          <w:p w14:paraId="42F1820A" w14:textId="77777777" w:rsidR="008C76E0" w:rsidRPr="008C76E0" w:rsidRDefault="008C76E0" w:rsidP="008C76E0">
            <w:pPr>
              <w:pStyle w:val="Bodytext180"/>
              <w:keepNext/>
              <w:keepLines/>
              <w:shd w:val="clear" w:color="auto" w:fill="auto"/>
              <w:tabs>
                <w:tab w:val="left" w:pos="567"/>
              </w:tabs>
              <w:spacing w:before="0" w:after="120" w:line="240" w:lineRule="auto"/>
              <w:ind w:left="158" w:right="164" w:firstLine="0"/>
              <w:jc w:val="both"/>
              <w:outlineLvl w:val="0"/>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 xml:space="preserve">Նոր ներարտադրական փորձարկման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06456E5" w14:textId="77777777" w:rsidTr="008C76E0">
        <w:trPr>
          <w:jc w:val="center"/>
        </w:trPr>
        <w:tc>
          <w:tcPr>
            <w:tcW w:w="10401" w:type="dxa"/>
            <w:gridSpan w:val="15"/>
            <w:tcBorders>
              <w:top w:val="single" w:sz="4" w:space="0" w:color="auto"/>
            </w:tcBorders>
            <w:shd w:val="clear" w:color="auto" w:fill="FFFFFF"/>
            <w:vAlign w:val="bottom"/>
          </w:tcPr>
          <w:p w14:paraId="6CAE28E9" w14:textId="77777777" w:rsidR="008C76E0" w:rsidRPr="008C76E0" w:rsidRDefault="008C76E0" w:rsidP="008C76E0">
            <w:pPr>
              <w:pStyle w:val="Bodytext180"/>
              <w:keepNext/>
              <w:keepLines/>
              <w:shd w:val="clear" w:color="auto" w:fill="auto"/>
              <w:tabs>
                <w:tab w:val="left" w:pos="1103"/>
              </w:tabs>
              <w:spacing w:before="0" w:after="120" w:line="240" w:lineRule="auto"/>
              <w:ind w:left="109" w:right="-1" w:firstLine="0"/>
              <w:jc w:val="both"/>
              <w:outlineLvl w:val="0"/>
              <w:rPr>
                <w:rFonts w:ascii="Sylfaen" w:hAnsi="Sylfaen"/>
                <w:b w:val="0"/>
                <w:sz w:val="24"/>
                <w:szCs w:val="24"/>
                <w:lang w:val="hy-AM"/>
              </w:rPr>
            </w:pPr>
            <w:r w:rsidRPr="003B2786">
              <w:rPr>
                <w:rStyle w:val="Bodytext1812pt"/>
                <w:rFonts w:ascii="Sylfaen" w:hAnsi="Sylfaen"/>
              </w:rPr>
              <w:t>Բ.II.գ.)</w:t>
            </w:r>
            <w:r w:rsidRPr="003B2786">
              <w:rPr>
                <w:rStyle w:val="Bodytext1812pt"/>
                <w:rFonts w:ascii="Sylfaen" w:hAnsi="Sylfaen"/>
              </w:rPr>
              <w:tab/>
              <w:t>Օժանդակ նյութերի որակի հսկողությունը</w:t>
            </w:r>
          </w:p>
        </w:tc>
      </w:tr>
      <w:tr w:rsidR="008C76E0" w:rsidRPr="003B2786" w14:paraId="6AC3E67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46690E4" w14:textId="77777777" w:rsidR="008C76E0" w:rsidRPr="008C76E0" w:rsidRDefault="008C76E0" w:rsidP="008C76E0">
            <w:pPr>
              <w:pStyle w:val="Bodytext180"/>
              <w:keepNext/>
              <w:keepLines/>
              <w:shd w:val="clear" w:color="auto" w:fill="auto"/>
              <w:tabs>
                <w:tab w:val="left" w:pos="1133"/>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Բ.II.գ. 1</w:t>
            </w:r>
            <w:r w:rsidRPr="003B2786">
              <w:rPr>
                <w:rStyle w:val="Bodytext1811pt"/>
                <w:rFonts w:ascii="Sylfaen" w:hAnsi="Sylfaen"/>
                <w:sz w:val="24"/>
                <w:szCs w:val="24"/>
              </w:rPr>
              <w:tab/>
              <w:t xml:space="preserve">Օժանդակ նյութի մասնագրերի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 </w:t>
            </w:r>
          </w:p>
        </w:tc>
        <w:tc>
          <w:tcPr>
            <w:tcW w:w="1701" w:type="dxa"/>
            <w:gridSpan w:val="4"/>
            <w:tcBorders>
              <w:top w:val="single" w:sz="4" w:space="0" w:color="auto"/>
              <w:left w:val="single" w:sz="4" w:space="0" w:color="auto"/>
            </w:tcBorders>
            <w:shd w:val="clear" w:color="auto" w:fill="FFFFFF"/>
          </w:tcPr>
          <w:p w14:paraId="7DD164D9"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516D9D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8B09EAB"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71FB09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DC6C9" w14:textId="77777777" w:rsidR="008C76E0" w:rsidRPr="008C76E0" w:rsidRDefault="008C76E0" w:rsidP="008C76E0">
            <w:pPr>
              <w:pStyle w:val="Bodytext180"/>
              <w:keepNext/>
              <w:keepLines/>
              <w:shd w:val="clear" w:color="auto" w:fill="auto"/>
              <w:tabs>
                <w:tab w:val="left" w:pos="567"/>
              </w:tabs>
              <w:spacing w:before="0" w:after="120" w:line="240" w:lineRule="auto"/>
              <w:ind w:left="158" w:right="201" w:firstLine="0"/>
              <w:jc w:val="both"/>
              <w:outlineLvl w:val="0"/>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266FFF83"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2pt"/>
                <w:rFonts w:ascii="Sylfaen" w:hAnsi="Sylfaen"/>
              </w:rPr>
              <w:t>1,2, 3,4</w:t>
            </w:r>
          </w:p>
        </w:tc>
        <w:tc>
          <w:tcPr>
            <w:tcW w:w="1984" w:type="dxa"/>
            <w:gridSpan w:val="2"/>
            <w:tcBorders>
              <w:top w:val="single" w:sz="4" w:space="0" w:color="auto"/>
              <w:left w:val="single" w:sz="4" w:space="0" w:color="auto"/>
            </w:tcBorders>
            <w:shd w:val="clear" w:color="auto" w:fill="FFFFFF"/>
          </w:tcPr>
          <w:p w14:paraId="31AA0D0C"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1,2</w:t>
            </w:r>
          </w:p>
        </w:tc>
        <w:tc>
          <w:tcPr>
            <w:tcW w:w="1719" w:type="dxa"/>
            <w:gridSpan w:val="3"/>
            <w:tcBorders>
              <w:top w:val="single" w:sz="4" w:space="0" w:color="auto"/>
              <w:left w:val="single" w:sz="4" w:space="0" w:color="auto"/>
              <w:right w:val="single" w:sz="4" w:space="0" w:color="auto"/>
            </w:tcBorders>
            <w:shd w:val="clear" w:color="auto" w:fill="FFFFFF"/>
          </w:tcPr>
          <w:p w14:paraId="63C351A2" w14:textId="77777777" w:rsidR="008C76E0" w:rsidRPr="003B2786" w:rsidRDefault="008C76E0" w:rsidP="008C76E0">
            <w:pPr>
              <w:pStyle w:val="Bodytext180"/>
              <w:keepNext/>
              <w:keepLines/>
              <w:shd w:val="clear" w:color="auto" w:fill="auto"/>
              <w:tabs>
                <w:tab w:val="left" w:pos="567"/>
              </w:tabs>
              <w:spacing w:before="0" w:after="120" w:line="240" w:lineRule="auto"/>
              <w:ind w:right="-1" w:firstLine="0"/>
              <w:jc w:val="center"/>
              <w:outlineLvl w:val="0"/>
              <w:rPr>
                <w:rFonts w:ascii="Sylfaen" w:hAnsi="Sylfaen"/>
                <w:b w:val="0"/>
                <w:sz w:val="24"/>
                <w:szCs w:val="24"/>
              </w:rPr>
            </w:pPr>
            <w:r w:rsidRPr="003B2786">
              <w:rPr>
                <w:rStyle w:val="Bodytext1811pt"/>
                <w:rFonts w:ascii="Sylfaen" w:hAnsi="Sylfaen"/>
                <w:sz w:val="24"/>
                <w:szCs w:val="24"/>
              </w:rPr>
              <w:t>IA</w:t>
            </w:r>
          </w:p>
        </w:tc>
      </w:tr>
      <w:tr w:rsidR="008C76E0" w:rsidRPr="003B2786" w14:paraId="7755309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tcPr>
          <w:p w14:paraId="75C714B4"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մասնագրում</w:t>
            </w:r>
          </w:p>
          <w:p w14:paraId="71723AE5"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bottom w:val="single" w:sz="4" w:space="0" w:color="auto"/>
            </w:tcBorders>
            <w:shd w:val="clear" w:color="auto" w:fill="FFFFFF"/>
          </w:tcPr>
          <w:p w14:paraId="464A469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1, 2, 5, 6, 7</w:t>
            </w:r>
          </w:p>
        </w:tc>
        <w:tc>
          <w:tcPr>
            <w:tcW w:w="1984" w:type="dxa"/>
            <w:gridSpan w:val="2"/>
            <w:tcBorders>
              <w:top w:val="single" w:sz="4" w:space="0" w:color="auto"/>
              <w:left w:val="single" w:sz="4" w:space="0" w:color="auto"/>
              <w:bottom w:val="single" w:sz="4" w:space="0" w:color="auto"/>
            </w:tcBorders>
            <w:shd w:val="clear" w:color="auto" w:fill="FFFFFF"/>
          </w:tcPr>
          <w:p w14:paraId="2A841D1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2pt"/>
                <w:rFonts w:ascii="Sylfaen" w:hAnsi="Sylfaen"/>
              </w:rPr>
              <w:t>1, 2, 3, 4, 6, 8</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295D320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36043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3659AA" w14:textId="77777777" w:rsidR="008C76E0" w:rsidRPr="00E74ADC"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321AA0CE" w14:textId="77777777" w:rsidR="00FA323E" w:rsidRPr="00E74ADC" w:rsidRDefault="00FA323E"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4297D4B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55C7DD5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1,2,7</w:t>
            </w:r>
          </w:p>
        </w:tc>
        <w:tc>
          <w:tcPr>
            <w:tcW w:w="1719" w:type="dxa"/>
            <w:gridSpan w:val="3"/>
            <w:tcBorders>
              <w:top w:val="single" w:sz="4" w:space="0" w:color="auto"/>
              <w:left w:val="single" w:sz="4" w:space="0" w:color="auto"/>
              <w:right w:val="single" w:sz="4" w:space="0" w:color="auto"/>
            </w:tcBorders>
            <w:shd w:val="clear" w:color="auto" w:fill="FFFFFF"/>
          </w:tcPr>
          <w:p w14:paraId="6F84798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E6454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4D3874"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3C7B9E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D8F62D8"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0CFD9E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892081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CFDC6DD" w14:textId="77777777" w:rsidR="008C76E0" w:rsidRPr="003B2786" w:rsidRDefault="008C76E0" w:rsidP="008C76E0">
            <w:pPr>
              <w:pStyle w:val="Bodytext180"/>
              <w:shd w:val="clear" w:color="auto" w:fill="auto"/>
              <w:tabs>
                <w:tab w:val="left" w:pos="567"/>
              </w:tabs>
              <w:spacing w:before="0" w:after="120" w:line="240" w:lineRule="auto"/>
              <w:ind w:left="158" w:right="201" w:firstLine="0"/>
              <w:jc w:val="both"/>
              <w:rPr>
                <w:rStyle w:val="Bodytext1811pt"/>
                <w:rFonts w:ascii="Sylfaen" w:hAnsi="Sylfaen"/>
                <w:sz w:val="24"/>
                <w:szCs w:val="24"/>
              </w:rPr>
            </w:pPr>
            <w:r w:rsidRPr="003B2786">
              <w:rPr>
                <w:rStyle w:val="Bodytext1811pt"/>
                <w:rFonts w:ascii="Sylfaen" w:hAnsi="Sylfaen"/>
                <w:sz w:val="24"/>
                <w:szCs w:val="24"/>
              </w:rPr>
              <w:lastRenderedPageBreak/>
              <w:t>ե)</w:t>
            </w:r>
            <w:r w:rsidRPr="003B2786">
              <w:rPr>
                <w:rStyle w:val="Bodytext1811pt"/>
                <w:rFonts w:ascii="Sylfaen" w:hAnsi="Sylfaen"/>
                <w:sz w:val="24"/>
                <w:szCs w:val="24"/>
              </w:rPr>
              <w:tab/>
              <w:t>Մասնագրի այն պարամետրի բացառում, որը կարող է էապես ազդել դեղապատրաստուկի ընդհանուր որակի վրա</w:t>
            </w:r>
          </w:p>
          <w:p w14:paraId="7EC2B39E"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0E71C27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D3E11B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139919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E9B59F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4E59B0"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69D3994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5ABA7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55537AD0"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3F26641" w14:textId="77777777" w:rsidTr="008C76E0">
        <w:trPr>
          <w:jc w:val="center"/>
        </w:trPr>
        <w:tc>
          <w:tcPr>
            <w:tcW w:w="4997" w:type="dxa"/>
            <w:gridSpan w:val="6"/>
            <w:tcBorders>
              <w:top w:val="single" w:sz="4" w:space="0" w:color="auto"/>
              <w:left w:val="single" w:sz="4" w:space="0" w:color="auto"/>
            </w:tcBorders>
            <w:shd w:val="clear" w:color="auto" w:fill="FFFFFF"/>
          </w:tcPr>
          <w:p w14:paraId="28D697B2" w14:textId="77777777" w:rsidR="008C76E0" w:rsidRPr="008C76E0" w:rsidRDefault="008C76E0" w:rsidP="008C76E0">
            <w:pPr>
              <w:pStyle w:val="Bodytext180"/>
              <w:shd w:val="clear" w:color="auto" w:fill="auto"/>
              <w:tabs>
                <w:tab w:val="left" w:pos="567"/>
              </w:tabs>
              <w:spacing w:before="0" w:after="120" w:line="240" w:lineRule="auto"/>
              <w:ind w:left="158" w:right="201" w:firstLine="0"/>
              <w:jc w:val="both"/>
              <w:rPr>
                <w:rFonts w:ascii="Sylfaen" w:hAnsi="Sylfaen"/>
                <w:b w:val="0"/>
                <w:sz w:val="24"/>
                <w:szCs w:val="24"/>
                <w:lang w:val="hy-AM"/>
              </w:rPr>
            </w:pPr>
            <w:r w:rsidRPr="003B2786">
              <w:rPr>
                <w:rStyle w:val="Bodytext1811pt"/>
                <w:rFonts w:ascii="Sylfaen" w:hAnsi="Sylfaen"/>
                <w:sz w:val="24"/>
                <w:szCs w:val="24"/>
              </w:rPr>
              <w:t>է)</w:t>
            </w:r>
            <w:r w:rsidRPr="003B2786">
              <w:rPr>
                <w:rStyle w:val="Bodytext1811pt"/>
                <w:rFonts w:ascii="Sylfaen" w:hAnsi="Sylfaen"/>
                <w:sz w:val="24"/>
                <w:szCs w:val="24"/>
              </w:rPr>
              <w:tab/>
              <w:t>Եթե օժանդակ նյութի մասով բացակայում է Միության դեղագրքի կամ անդամ պետության դեղագրքի հոդվածը, ապա մասնագրի սեփական տվյալների՝ ոչ պաշտոնական դեղագրքով կամ երրորդ երկրի դեղագրքով փոխարինում</w:t>
            </w:r>
          </w:p>
        </w:tc>
        <w:tc>
          <w:tcPr>
            <w:tcW w:w="1701" w:type="dxa"/>
            <w:gridSpan w:val="4"/>
            <w:tcBorders>
              <w:top w:val="single" w:sz="4" w:space="0" w:color="auto"/>
              <w:left w:val="single" w:sz="4" w:space="0" w:color="auto"/>
            </w:tcBorders>
            <w:shd w:val="clear" w:color="auto" w:fill="FFFFFF"/>
          </w:tcPr>
          <w:p w14:paraId="4B86480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9860F8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1, 2, 3, 4, 5, 6, 8</w:t>
            </w:r>
          </w:p>
        </w:tc>
        <w:tc>
          <w:tcPr>
            <w:tcW w:w="1719" w:type="dxa"/>
            <w:gridSpan w:val="3"/>
            <w:tcBorders>
              <w:top w:val="single" w:sz="4" w:space="0" w:color="auto"/>
              <w:left w:val="single" w:sz="4" w:space="0" w:color="auto"/>
              <w:right w:val="single" w:sz="4" w:space="0" w:color="auto"/>
            </w:tcBorders>
            <w:shd w:val="clear" w:color="auto" w:fill="FFFFFF"/>
          </w:tcPr>
          <w:p w14:paraId="270DB556"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F87A3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549A66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5828322"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դեղապատրաստուկի գրանցման կամ II տիպի փոփոխություն կատարելու ընթացքում):</w:t>
            </w:r>
          </w:p>
          <w:p w14:paraId="3AED7988"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խառնուկների միագումարի պարունակության սահմանների փոփոխության։</w:t>
            </w:r>
          </w:p>
          <w:p w14:paraId="435C29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41B0FE3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3E14B7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3BC43295"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70D553EB"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գենոտոքսիկ խառնուկին։</w:t>
            </w:r>
          </w:p>
          <w:p w14:paraId="43015DC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 հսկողությանը, օրինակ՝ խառնուկներին (միայն այն դեպքում, երբ արտադրության մեջ որոշակի լուծիչ միանշանակ չի օգտագործվում),</w:t>
            </w:r>
          </w:p>
          <w:p w14:paraId="26766080"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 xml:space="preserve">ցանկացած կրիտիկական ֆիզիկական բնութագրի (մասնիկների չափին, խտացումից առաջ </w:t>
            </w:r>
            <w:r w:rsidR="00C54D75">
              <w:rPr>
                <w:rStyle w:val="Bodytext1811pt"/>
                <w:rFonts w:ascii="Sylfaen" w:hAnsi="Sylfaen"/>
                <w:sz w:val="24"/>
                <w:szCs w:val="24"/>
              </w:rPr>
              <w:t>և</w:t>
            </w:r>
            <w:r w:rsidRPr="003B2786">
              <w:rPr>
                <w:rStyle w:val="Bodytext1811pt"/>
                <w:rFonts w:ascii="Sylfaen" w:hAnsi="Sylfaen"/>
                <w:sz w:val="24"/>
                <w:szCs w:val="24"/>
              </w:rPr>
              <w:t xml:space="preserve"> հետո լցման խտությանը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2660C87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իսկության փորձարկմանը (այլընտրանքային համապատասխան հսկողության բացակայության դեպքում), միկրոկենսաբանական հսկողությանը (միայն այն դեպքում, երբ այն չի պահանջվում որոշակի դեղաձ</w:t>
            </w:r>
            <w:r w:rsidR="00C54D75">
              <w:rPr>
                <w:rStyle w:val="Bodytext1811pt"/>
                <w:rFonts w:ascii="Sylfaen" w:hAnsi="Sylfaen"/>
                <w:sz w:val="24"/>
                <w:szCs w:val="24"/>
              </w:rPr>
              <w:t>և</w:t>
            </w:r>
            <w:r w:rsidRPr="003B2786">
              <w:rPr>
                <w:rStyle w:val="Bodytext1811pt"/>
                <w:rFonts w:ascii="Sylfaen" w:hAnsi="Sylfaen"/>
                <w:sz w:val="24"/>
                <w:szCs w:val="24"/>
              </w:rPr>
              <w:t>ի համար)</w:t>
            </w:r>
          </w:p>
        </w:tc>
      </w:tr>
      <w:tr w:rsidR="008C76E0" w:rsidRPr="003B2786" w14:paraId="4A16D0FD"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7C7668A6"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599971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504772F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012BE2E"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tc>
      </w:tr>
      <w:tr w:rsidR="008C76E0" w:rsidRPr="003B2786" w14:paraId="307463A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85C516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օժանդակ նյութի 2 արդյունաբերական սերիայի վերլուծության տվյալները (կենսաբանական ակտիվ դեղագործական բաղադրամասերի համար պատշաճ հիմնավորումների բացակայության դեպքում՝ 3 սերիա):</w:t>
            </w:r>
          </w:p>
          <w:p w14:paraId="38ACA26F"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օժանդակ նյութ պարունակող առնվազն մեկ փորձարարաարդյունաբերական սերիայի այն դեղապատրաստուկի լուծելիության համեմատական կինետիկայի թեստի տվյալները, որը համապատասխանում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 Բուսական դեղապատրաստուկների առնչությամբ կարող են բավարար լինել համեմատական տրոհման տվյալները:</w:t>
            </w:r>
          </w:p>
          <w:p w14:paraId="51E03C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Կենսահամարժեքության նոր հետազոտության արդյունքները չներկայացնելու հիմնավորումը՝ Միության կենսահամարժեքության հետազոտությունների անցկացման կանոններին համապատասխան։</w:t>
            </w:r>
          </w:p>
          <w:p w14:paraId="226B2811"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կամ հնացած լինելու հանգամանքը հաստատող հիմնավորումը (ռիսկերի գնահատումը)։</w:t>
            </w:r>
          </w:p>
          <w:p w14:paraId="03ECDA03"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7712672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1FF134"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Բ.II.գ.2.</w:t>
            </w:r>
            <w:r w:rsidRPr="003B2786">
              <w:rPr>
                <w:rStyle w:val="Bodytext1811pt"/>
                <w:rFonts w:ascii="Sylfaen" w:hAnsi="Sylfaen"/>
                <w:sz w:val="24"/>
                <w:szCs w:val="24"/>
              </w:rPr>
              <w:tab/>
              <w:t>Օժանդակ նյութի համար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70755B89"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1459C8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469256A2"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CA5737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80C4F5D"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2B4D5091"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5018A3D7"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524ECA"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92D53E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4CC05A" w14:textId="77777777" w:rsidR="008C76E0" w:rsidRPr="008C76E0" w:rsidRDefault="008C76E0" w:rsidP="008C76E0">
            <w:pPr>
              <w:pStyle w:val="Bodytext180"/>
              <w:shd w:val="clear" w:color="auto" w:fill="auto"/>
              <w:tabs>
                <w:tab w:val="left" w:pos="567"/>
              </w:tabs>
              <w:spacing w:before="0" w:after="120" w:line="240" w:lineRule="auto"/>
              <w:ind w:left="158" w:right="18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բացառումն այն դեպքում, երբ դրա այլընտրանքային մեթոդիկան արդեն հաստատվել է</w:t>
            </w:r>
          </w:p>
        </w:tc>
        <w:tc>
          <w:tcPr>
            <w:tcW w:w="1701" w:type="dxa"/>
            <w:gridSpan w:val="4"/>
            <w:tcBorders>
              <w:top w:val="single" w:sz="4" w:space="0" w:color="auto"/>
              <w:left w:val="single" w:sz="4" w:space="0" w:color="auto"/>
            </w:tcBorders>
            <w:shd w:val="clear" w:color="auto" w:fill="FFFFFF"/>
          </w:tcPr>
          <w:p w14:paraId="657C2824"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671CD90C"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8BF97B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C46FB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98742" w14:textId="77777777" w:rsidR="008C76E0" w:rsidRPr="008C76E0" w:rsidRDefault="008C76E0" w:rsidP="008C76E0">
            <w:pPr>
              <w:pStyle w:val="Bodytext180"/>
              <w:shd w:val="clear" w:color="auto" w:fill="auto"/>
              <w:tabs>
                <w:tab w:val="left" w:pos="567"/>
              </w:tabs>
              <w:spacing w:before="0" w:after="120" w:line="240" w:lineRule="auto"/>
              <w:ind w:left="159" w:right="18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Փորձարկումների կենսաբանական (իմունաբանական, իմունաքիմիական) մեթոդի կամ այն մեթոդի փոխարինում, որի դեպքում օգտագործվում է կենսաբանական ռեակտիվ</w:t>
            </w:r>
          </w:p>
        </w:tc>
        <w:tc>
          <w:tcPr>
            <w:tcW w:w="1701" w:type="dxa"/>
            <w:gridSpan w:val="4"/>
            <w:tcBorders>
              <w:top w:val="single" w:sz="4" w:space="0" w:color="auto"/>
              <w:left w:val="single" w:sz="4" w:space="0" w:color="auto"/>
            </w:tcBorders>
            <w:shd w:val="clear" w:color="auto" w:fill="FFFFFF"/>
          </w:tcPr>
          <w:p w14:paraId="01C6D8DB"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479EFFF"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4F8EA73" w14:textId="77777777" w:rsidR="008C76E0" w:rsidRPr="003B2786" w:rsidRDefault="008C76E0" w:rsidP="008C76E0">
            <w:pPr>
              <w:pStyle w:val="Bodytext180"/>
              <w:shd w:val="clear" w:color="auto" w:fill="auto"/>
              <w:tabs>
                <w:tab w:val="left" w:pos="567"/>
              </w:tabs>
              <w:spacing w:before="0" w:after="12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8269C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A3D29CB"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Վերլուծական մեթոդիկայի այլ փոփոխություններ (ներառյալ՝ ավելացումը կամ փոխարինումը)</w:t>
            </w:r>
          </w:p>
        </w:tc>
        <w:tc>
          <w:tcPr>
            <w:tcW w:w="1701" w:type="dxa"/>
            <w:gridSpan w:val="4"/>
            <w:tcBorders>
              <w:top w:val="single" w:sz="4" w:space="0" w:color="auto"/>
              <w:left w:val="single" w:sz="4" w:space="0" w:color="auto"/>
            </w:tcBorders>
            <w:shd w:val="clear" w:color="auto" w:fill="FFFFFF"/>
          </w:tcPr>
          <w:p w14:paraId="57791C46"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3E86DD"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5C8B987" w14:textId="77777777" w:rsidR="008C76E0" w:rsidRPr="003B2786" w:rsidRDefault="008C76E0" w:rsidP="008C76E0">
            <w:pPr>
              <w:pStyle w:val="Bodytext180"/>
              <w:shd w:val="clear" w:color="auto" w:fill="auto"/>
              <w:tabs>
                <w:tab w:val="left" w:pos="567"/>
              </w:tabs>
              <w:spacing w:before="0" w:after="120" w:line="240" w:lineRule="auto"/>
              <w:ind w:left="158" w:right="164"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2C9261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621BDAF"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69EBE"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վալիդացիոն հետազոտություններ, որոնցով հաստատվում է թարմացված վերլուծական մեթոդիկայի՝ նախորդին առնվազն համարժեք լինելու հանգամանքը:</w:t>
            </w:r>
          </w:p>
          <w:p w14:paraId="7CB4B364" w14:textId="46E46B2D"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3B52F166"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7803A972"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F8880FC" w14:textId="77777777" w:rsidR="008C76E0" w:rsidRPr="008C76E0" w:rsidRDefault="008C76E0" w:rsidP="008C76E0">
            <w:pPr>
              <w:pStyle w:val="Bodytext180"/>
              <w:shd w:val="clear" w:color="auto" w:fill="auto"/>
              <w:tabs>
                <w:tab w:val="left" w:pos="567"/>
              </w:tabs>
              <w:spacing w:before="0" w:after="120" w:line="240" w:lineRule="auto"/>
              <w:ind w:left="158" w:right="164"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44A68C1B"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C6A1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33B2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խառնուկների վերանայված մասնագրերը (եթե կիրառելի է):</w:t>
            </w:r>
          </w:p>
          <w:p w14:paraId="0E433DC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Տվյալ պահանջը չի կիրառվում, եթե ավելացվում է նոր վերլուծական մեթոդիկա:</w:t>
            </w:r>
          </w:p>
        </w:tc>
      </w:tr>
      <w:tr w:rsidR="008C76E0" w:rsidRPr="003B2786" w14:paraId="51FD7715"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459CF3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Բ.II.գ.3.</w:t>
            </w:r>
            <w:r w:rsidRPr="003B2786">
              <w:rPr>
                <w:rStyle w:val="Bodytext1811pt"/>
                <w:rFonts w:ascii="Sylfaen" w:hAnsi="Sylfaen"/>
                <w:sz w:val="24"/>
                <w:szCs w:val="24"/>
              </w:rPr>
              <w:tab/>
              <w:t>Օժանդակ նյութի կամ ՏՍԷ ռիսկայնությամբ ռեակտիվի ստացման աղբյուրի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446F179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4E8046B"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3FE68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5C47B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CE51A0" w14:textId="77777777" w:rsidR="008C76E0" w:rsidRPr="008C76E0" w:rsidRDefault="008C76E0" w:rsidP="00FA323E">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ՏՍԷ ռիսկայնությամբ նյութից՝ բուսական կամ սինթետիկ ծագման նյութի</w:t>
            </w:r>
          </w:p>
        </w:tc>
        <w:tc>
          <w:tcPr>
            <w:tcW w:w="1701" w:type="dxa"/>
            <w:gridSpan w:val="4"/>
            <w:tcBorders>
              <w:top w:val="single" w:sz="4" w:space="0" w:color="auto"/>
              <w:left w:val="single" w:sz="4" w:space="0" w:color="auto"/>
            </w:tcBorders>
            <w:shd w:val="clear" w:color="auto" w:fill="FFFFFF"/>
          </w:tcPr>
          <w:p w14:paraId="1D1E174E"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70DD4F"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52E6EE99" w14:textId="77777777" w:rsidR="008C76E0" w:rsidRPr="003B2786" w:rsidRDefault="008C76E0" w:rsidP="008C76E0">
            <w:pPr>
              <w:tabs>
                <w:tab w:val="left" w:pos="567"/>
              </w:tabs>
              <w:spacing w:after="120" w:line="240" w:lineRule="auto"/>
              <w:ind w:right="59"/>
              <w:jc w:val="center"/>
              <w:rPr>
                <w:rFonts w:ascii="Sylfaen" w:hAnsi="Sylfaen"/>
                <w:sz w:val="24"/>
                <w:szCs w:val="24"/>
              </w:rPr>
            </w:pPr>
          </w:p>
        </w:tc>
      </w:tr>
      <w:tr w:rsidR="008C76E0" w:rsidRPr="003B2786" w14:paraId="0ECD5B2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F36F830" w14:textId="77777777" w:rsidR="008C76E0" w:rsidRPr="008C76E0" w:rsidRDefault="008C76E0" w:rsidP="00FA323E">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Կենսաբանական (իմունաբանական) ակտիվ դեղագործական բաղադրամասի կամ կենսաբանական (իմունաբանական) դեղապատրաստուկի արտադրության մեջ չօգտագործվող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2ADC2DB2"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5BD1C8E0"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1A141098"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6B9CF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2FC3E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Կենսաբանական (իմունաբանական) ակտիվ դեղագործական նյութի կամ կենսաբանական (իմունաբանական) դեղապատրաստուկի արտադրության մեջ օգտագործվող օժանդակ նյութերի կամ ռեակտիվների համար</w:t>
            </w:r>
          </w:p>
        </w:tc>
        <w:tc>
          <w:tcPr>
            <w:tcW w:w="1701" w:type="dxa"/>
            <w:gridSpan w:val="4"/>
            <w:tcBorders>
              <w:top w:val="single" w:sz="4" w:space="0" w:color="auto"/>
              <w:left w:val="single" w:sz="4" w:space="0" w:color="auto"/>
            </w:tcBorders>
            <w:shd w:val="clear" w:color="auto" w:fill="FFFFFF"/>
          </w:tcPr>
          <w:p w14:paraId="7E7A9C9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D5ADC3"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6077DD2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DFF1E7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871CF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 ռիսկայնությամբ նյութի փոփոխում կամ ներմուծում կամ ՏՍԷ ռիսկայնությամբ նյութի փոխարինում ՏՍԷ ռիսկայնությամբ այլ նյութով, որը չունի ՏՍԷ-ին համապատասխանության սերտիֆիկատ</w:t>
            </w:r>
          </w:p>
        </w:tc>
        <w:tc>
          <w:tcPr>
            <w:tcW w:w="1701" w:type="dxa"/>
            <w:gridSpan w:val="4"/>
            <w:tcBorders>
              <w:top w:val="single" w:sz="4" w:space="0" w:color="auto"/>
              <w:left w:val="single" w:sz="4" w:space="0" w:color="auto"/>
            </w:tcBorders>
            <w:shd w:val="clear" w:color="auto" w:fill="FFFFFF"/>
          </w:tcPr>
          <w:p w14:paraId="5139FEB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8EE640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80A322"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Fonts w:ascii="Sylfaen" w:hAnsi="Sylfaen"/>
                <w:b w:val="0"/>
                <w:sz w:val="24"/>
                <w:szCs w:val="24"/>
              </w:rPr>
              <w:t>II</w:t>
            </w:r>
          </w:p>
        </w:tc>
      </w:tr>
      <w:tr w:rsidR="008C76E0" w:rsidRPr="003B2786" w14:paraId="6C19848F"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4100F8"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BCEEAF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Օժանդակ նյութի </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թողարկման ու պիտանիության ժամկետի ավարտի մասնագրերը չեն փոփոխվում։</w:t>
            </w:r>
          </w:p>
        </w:tc>
      </w:tr>
      <w:tr w:rsidR="008C76E0" w:rsidRPr="003B2786" w14:paraId="5153156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9FF58F0"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03B3BF" w14:textId="6EAFBC44"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Նյութն արտադրողի կամ դրա գրանցման հավաստագրի իրավատիրոջ</w:t>
            </w:r>
            <w:r w:rsidR="005A46D4">
              <w:rPr>
                <w:rStyle w:val="Bodytext1811pt"/>
                <w:rFonts w:ascii="Sylfaen" w:hAnsi="Sylfaen"/>
                <w:sz w:val="24"/>
                <w:szCs w:val="24"/>
              </w:rPr>
              <w:t>հայտարարագիր</w:t>
            </w:r>
            <w:r w:rsidRPr="003B2786">
              <w:rPr>
                <w:rStyle w:val="Bodytext1811pt"/>
                <w:rFonts w:ascii="Sylfaen" w:hAnsi="Sylfaen"/>
                <w:sz w:val="24"/>
                <w:szCs w:val="24"/>
              </w:rPr>
              <w:t>ն այն մասին, որ դրանք բացարձակապես բուսական կամ սինթետիկ ծագում ունեն։</w:t>
            </w:r>
          </w:p>
          <w:p w14:paraId="5D1387F1"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Նյութերի համարժեքության հետազոտությունը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պատրաստի նյութի արտադրության ու դեղապատրաստուկի բնութագրերի (օրինակ՝ լուծելիության բնութագրերի) վրա ազդեցությունը։</w:t>
            </w:r>
          </w:p>
        </w:tc>
      </w:tr>
      <w:tr w:rsidR="008C76E0" w:rsidRPr="003B2786" w14:paraId="64AB67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69A72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Բ.II.գ.4.</w:t>
            </w:r>
            <w:r w:rsidRPr="003B2786">
              <w:rPr>
                <w:rStyle w:val="Bodytext1811pt"/>
                <w:rFonts w:ascii="Sylfaen" w:hAnsi="Sylfaen"/>
                <w:sz w:val="24"/>
                <w:szCs w:val="24"/>
              </w:rPr>
              <w:tab/>
              <w:t>Ոչ դեղագրքային օժանդակ նյութի (գրանցման դոսյեում նկարագրված լինելու դեպքում) կամ նոր օժանդակ նյութի սինթեզման կամ ստացման փոփոխությունը</w:t>
            </w:r>
          </w:p>
        </w:tc>
        <w:tc>
          <w:tcPr>
            <w:tcW w:w="1701" w:type="dxa"/>
            <w:gridSpan w:val="4"/>
            <w:tcBorders>
              <w:top w:val="single" w:sz="4" w:space="0" w:color="auto"/>
              <w:left w:val="single" w:sz="4" w:space="0" w:color="auto"/>
            </w:tcBorders>
            <w:shd w:val="clear" w:color="auto" w:fill="FFFFFF"/>
          </w:tcPr>
          <w:p w14:paraId="1F3E519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CDFB2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D280DEF"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A562E5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EB67B7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ոչ դեղագրքային օժանդակ նյութի կամ նոր օժանդակ նյութի սինթեզման կամ ստացման ոչ էական փոփոխություն</w:t>
            </w:r>
          </w:p>
        </w:tc>
        <w:tc>
          <w:tcPr>
            <w:tcW w:w="1701" w:type="dxa"/>
            <w:gridSpan w:val="4"/>
            <w:tcBorders>
              <w:top w:val="single" w:sz="4" w:space="0" w:color="auto"/>
              <w:left w:val="single" w:sz="4" w:space="0" w:color="auto"/>
            </w:tcBorders>
            <w:shd w:val="clear" w:color="auto" w:fill="FFFFFF"/>
          </w:tcPr>
          <w:p w14:paraId="59AAA572"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299E8E0"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6587806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F77001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73C833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փոփոխվում են մասնագրերը, կամ առկա է օժանդակ նյութի ֆիզիկաքիմիական հատկությունների փոփոխություն, որը կարող է ազդել դեղապատրաստուկի որակի վրա</w:t>
            </w:r>
          </w:p>
        </w:tc>
        <w:tc>
          <w:tcPr>
            <w:tcW w:w="1701" w:type="dxa"/>
            <w:gridSpan w:val="4"/>
            <w:tcBorders>
              <w:top w:val="single" w:sz="4" w:space="0" w:color="auto"/>
              <w:left w:val="single" w:sz="4" w:space="0" w:color="auto"/>
            </w:tcBorders>
            <w:shd w:val="clear" w:color="auto" w:fill="FFFFFF"/>
          </w:tcPr>
          <w:p w14:paraId="6781C27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80F57ED"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7FAD1E79"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C59B4C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4A6C9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օժանդակ նյութ՝ կենսաբանական (իմունաբանական) նյութ</w:t>
            </w:r>
          </w:p>
        </w:tc>
        <w:tc>
          <w:tcPr>
            <w:tcW w:w="1701" w:type="dxa"/>
            <w:gridSpan w:val="4"/>
            <w:tcBorders>
              <w:top w:val="single" w:sz="4" w:space="0" w:color="auto"/>
              <w:left w:val="single" w:sz="4" w:space="0" w:color="auto"/>
            </w:tcBorders>
            <w:shd w:val="clear" w:color="auto" w:fill="FFFFFF"/>
          </w:tcPr>
          <w:p w14:paraId="59356DBE"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1C00064"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DDC0286" w14:textId="77777777" w:rsidR="008C76E0" w:rsidRPr="003B2786" w:rsidRDefault="008C76E0" w:rsidP="008C76E0">
            <w:pPr>
              <w:pStyle w:val="Bodytext180"/>
              <w:shd w:val="clear" w:color="auto" w:fill="auto"/>
              <w:tabs>
                <w:tab w:val="left" w:pos="567"/>
              </w:tabs>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5E3957"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7A32D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2FDC43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Սինթեզման եղանակը </w:t>
            </w:r>
            <w:r w:rsidR="00C54D75">
              <w:rPr>
                <w:rStyle w:val="Bodytext1811pt"/>
                <w:rFonts w:ascii="Sylfaen" w:hAnsi="Sylfaen"/>
                <w:sz w:val="24"/>
                <w:szCs w:val="24"/>
              </w:rPr>
              <w:t>և</w:t>
            </w:r>
            <w:r w:rsidRPr="003B2786">
              <w:rPr>
                <w:rStyle w:val="Bodytext1811pt"/>
                <w:rFonts w:ascii="Sylfaen" w:hAnsi="Sylfaen"/>
                <w:sz w:val="24"/>
                <w:szCs w:val="24"/>
              </w:rPr>
              <w:t xml:space="preserve"> մասնագրերը նույնական են, </w:t>
            </w:r>
            <w:r w:rsidR="00C54D75">
              <w:rPr>
                <w:rStyle w:val="Bodytext1811pt"/>
                <w:rFonts w:ascii="Sylfaen" w:hAnsi="Sylfaen"/>
                <w:sz w:val="24"/>
                <w:szCs w:val="24"/>
              </w:rPr>
              <w:t>և</w:t>
            </w:r>
            <w:r w:rsidRPr="003B2786">
              <w:rPr>
                <w:rStyle w:val="Bodytext1811pt"/>
                <w:rFonts w:ascii="Sylfaen" w:hAnsi="Sylfaen"/>
                <w:sz w:val="24"/>
                <w:szCs w:val="24"/>
              </w:rPr>
              <w:t xml:space="preserve"> բացակայում են խառնուկների պրոֆիլի կամ ֆիզիկաքիմիական հատկությունների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փոփոխությունները (բացառելով մնացորդային լուծիչները՝ դրանց հսկողությունը </w:t>
            </w:r>
            <w:r w:rsidRPr="003B2786">
              <w:rPr>
                <w:rStyle w:val="Bodytext1811pt"/>
                <w:rFonts w:ascii="Sylfaen" w:hAnsi="Sylfaen"/>
                <w:sz w:val="24"/>
                <w:szCs w:val="24"/>
              </w:rPr>
              <w:lastRenderedPageBreak/>
              <w:t xml:space="preserve">Միության փաստաթղթերում նշված սահմանային պարունակությանը համապատասխան իրականացնելու պայմանով) </w:t>
            </w:r>
          </w:p>
        </w:tc>
      </w:tr>
      <w:tr w:rsidR="008C76E0" w:rsidRPr="003B2786" w14:paraId="7BA8582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CAAEF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2.</w:t>
            </w:r>
            <w:r w:rsidRPr="003B2786">
              <w:rPr>
                <w:rStyle w:val="Bodytext1811pt"/>
                <w:rFonts w:ascii="Sylfaen" w:hAnsi="Sylfaen"/>
                <w:sz w:val="24"/>
                <w:szCs w:val="24"/>
              </w:rPr>
              <w:tab/>
              <w:t>Ադյուվանտների բացառում։</w:t>
            </w:r>
          </w:p>
        </w:tc>
      </w:tr>
      <w:tr w:rsidR="008C76E0" w:rsidRPr="003B2786" w14:paraId="141228C3"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44AE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8EE72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7EB7259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Հին </w:t>
            </w:r>
            <w:r w:rsidR="00C54D75">
              <w:rPr>
                <w:rStyle w:val="Bodytext1811pt"/>
                <w:rFonts w:ascii="Sylfaen" w:hAnsi="Sylfaen"/>
                <w:sz w:val="24"/>
                <w:szCs w:val="24"/>
              </w:rPr>
              <w:t>և</w:t>
            </w:r>
            <w:r w:rsidRPr="003B2786">
              <w:rPr>
                <w:rStyle w:val="Bodytext1811pt"/>
                <w:rFonts w:ascii="Sylfaen" w:hAnsi="Sylfaen"/>
                <w:sz w:val="24"/>
                <w:szCs w:val="24"/>
              </w:rPr>
              <w:t xml:space="preserve"> նոր գործընթացների օգնությամբ արտադրված օժանդակ նյութի սերիաների՝ առնվազն 2 սերիայի (առնվազն՝ փորձարարաադյունաբերական) վերլուծության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աչափով)։</w:t>
            </w:r>
          </w:p>
          <w:p w14:paraId="532A337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առնվազն 2 սերիայի (առնվազն՝ փորձարարաադյունաբերական) դեղապատրաստուկի լուծելիության համեմատական կինետիկայի թեստի տվյալները։ Բուսական դեղապատրաստուկների առնչությամբ կարող են բավարար լինել համեմատական տրոհման տվյալները:</w:t>
            </w:r>
          </w:p>
          <w:p w14:paraId="1505A1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Օժանդակ նյութի մասնագրի հաստատված </w:t>
            </w:r>
            <w:r w:rsidR="00C54D75">
              <w:rPr>
                <w:rStyle w:val="Bodytext1811pt"/>
                <w:rFonts w:ascii="Sylfaen" w:hAnsi="Sylfaen"/>
                <w:sz w:val="24"/>
                <w:szCs w:val="24"/>
              </w:rPr>
              <w:t>և</w:t>
            </w:r>
            <w:r w:rsidRPr="003B2786">
              <w:rPr>
                <w:rStyle w:val="Bodytext1811pt"/>
                <w:rFonts w:ascii="Sylfaen" w:hAnsi="Sylfaen"/>
                <w:sz w:val="24"/>
                <w:szCs w:val="24"/>
              </w:rPr>
              <w:t xml:space="preserve"> նոր օրինակները (եթե կիրառելի է)։</w:t>
            </w:r>
          </w:p>
        </w:tc>
      </w:tr>
      <w:tr w:rsidR="008C76E0" w:rsidRPr="003B2786" w14:paraId="33D49CB8" w14:textId="77777777" w:rsidTr="008C76E0">
        <w:trPr>
          <w:jc w:val="center"/>
        </w:trPr>
        <w:tc>
          <w:tcPr>
            <w:tcW w:w="10401" w:type="dxa"/>
            <w:gridSpan w:val="15"/>
            <w:tcBorders>
              <w:top w:val="single" w:sz="4" w:space="0" w:color="auto"/>
            </w:tcBorders>
            <w:shd w:val="clear" w:color="auto" w:fill="FFFFFF"/>
            <w:vAlign w:val="bottom"/>
          </w:tcPr>
          <w:p w14:paraId="17B27238" w14:textId="77777777" w:rsidR="008C76E0" w:rsidRPr="008C76E0" w:rsidRDefault="008C76E0" w:rsidP="008C76E0">
            <w:pPr>
              <w:pStyle w:val="Bodytext180"/>
              <w:shd w:val="clear" w:color="auto" w:fill="auto"/>
              <w:tabs>
                <w:tab w:val="left" w:pos="1103"/>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Բ.II.դ)</w:t>
            </w:r>
            <w:r w:rsidRPr="003B2786">
              <w:rPr>
                <w:rStyle w:val="Bodytext295pt"/>
                <w:rFonts w:ascii="Sylfaen" w:hAnsi="Sylfaen"/>
                <w:sz w:val="24"/>
                <w:szCs w:val="24"/>
              </w:rPr>
              <w:tab/>
              <w:t>Դեղապատրաստուկի որակի հսկողությունը</w:t>
            </w:r>
          </w:p>
        </w:tc>
      </w:tr>
      <w:tr w:rsidR="008C76E0" w:rsidRPr="003B2786" w14:paraId="7E922FD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E8D1888" w14:textId="77777777" w:rsidR="008C76E0" w:rsidRPr="008C76E0" w:rsidRDefault="008C76E0" w:rsidP="008C76E0">
            <w:pPr>
              <w:pStyle w:val="Bodytext180"/>
              <w:shd w:val="clear" w:color="auto" w:fill="auto"/>
              <w:tabs>
                <w:tab w:val="left" w:pos="116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 1.</w:t>
            </w:r>
            <w:r w:rsidRPr="003B2786">
              <w:rPr>
                <w:rStyle w:val="Bodytext1811pt"/>
                <w:rFonts w:ascii="Sylfaen" w:hAnsi="Sylfaen"/>
                <w:sz w:val="24"/>
                <w:szCs w:val="24"/>
              </w:rPr>
              <w:tab/>
              <w:t xml:space="preserve">Դեղապատրաստուկի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tcBorders>
            <w:shd w:val="clear" w:color="auto" w:fill="FFFFFF"/>
          </w:tcPr>
          <w:p w14:paraId="05F30382" w14:textId="77777777" w:rsidR="008C76E0" w:rsidRPr="003B2786" w:rsidRDefault="008C76E0" w:rsidP="008C76E0">
            <w:pPr>
              <w:pStyle w:val="Bodytext180"/>
              <w:shd w:val="clear" w:color="auto" w:fill="auto"/>
              <w:spacing w:before="0" w:after="120" w:line="240" w:lineRule="auto"/>
              <w:ind w:left="-10"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6DA4D7E"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0FDBCE9E"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BE70EB"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941CD3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7C6A2106"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0E81DAE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6B827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8D4A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FEA9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դեղապատրաստուկների մասնագրի ընդունելիության չափանիշների խստացում, որոնց սերիաները պաշտոնական հսկիչ մարմնի կողմից ենթակա են թողարկման</w:t>
            </w:r>
          </w:p>
        </w:tc>
        <w:tc>
          <w:tcPr>
            <w:tcW w:w="1701" w:type="dxa"/>
            <w:gridSpan w:val="4"/>
            <w:tcBorders>
              <w:top w:val="single" w:sz="4" w:space="0" w:color="auto"/>
              <w:left w:val="single" w:sz="4" w:space="0" w:color="auto"/>
            </w:tcBorders>
            <w:shd w:val="clear" w:color="auto" w:fill="FFFFFF"/>
          </w:tcPr>
          <w:p w14:paraId="21B4EF6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551AC0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1941DB7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B0C3D6B" w14:textId="77777777" w:rsidTr="008C76E0">
        <w:trPr>
          <w:jc w:val="center"/>
        </w:trPr>
        <w:tc>
          <w:tcPr>
            <w:tcW w:w="4997" w:type="dxa"/>
            <w:gridSpan w:val="6"/>
            <w:tcBorders>
              <w:top w:val="single" w:sz="4" w:space="0" w:color="auto"/>
              <w:left w:val="single" w:sz="4" w:space="0" w:color="auto"/>
            </w:tcBorders>
            <w:shd w:val="clear" w:color="auto" w:fill="FFFFFF"/>
          </w:tcPr>
          <w:p w14:paraId="5D67952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w:t>
            </w:r>
          </w:p>
        </w:tc>
        <w:tc>
          <w:tcPr>
            <w:tcW w:w="1701" w:type="dxa"/>
            <w:gridSpan w:val="4"/>
            <w:tcBorders>
              <w:top w:val="single" w:sz="4" w:space="0" w:color="auto"/>
              <w:left w:val="single" w:sz="4" w:space="0" w:color="auto"/>
            </w:tcBorders>
            <w:shd w:val="clear" w:color="auto" w:fill="FFFFFF"/>
          </w:tcPr>
          <w:p w14:paraId="69D0FF2F"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1, 2, 5, 6, 7</w:t>
            </w:r>
          </w:p>
        </w:tc>
        <w:tc>
          <w:tcPr>
            <w:tcW w:w="1984" w:type="dxa"/>
            <w:gridSpan w:val="2"/>
            <w:tcBorders>
              <w:top w:val="single" w:sz="4" w:space="0" w:color="auto"/>
              <w:left w:val="single" w:sz="4" w:space="0" w:color="auto"/>
            </w:tcBorders>
            <w:shd w:val="clear" w:color="auto" w:fill="FFFFFF"/>
          </w:tcPr>
          <w:p w14:paraId="11DA930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1, 2, 3,4, 5,7</w:t>
            </w:r>
          </w:p>
        </w:tc>
        <w:tc>
          <w:tcPr>
            <w:tcW w:w="1719" w:type="dxa"/>
            <w:gridSpan w:val="3"/>
            <w:tcBorders>
              <w:top w:val="single" w:sz="4" w:space="0" w:color="auto"/>
              <w:left w:val="single" w:sz="4" w:space="0" w:color="auto"/>
              <w:right w:val="single" w:sz="4" w:space="0" w:color="auto"/>
            </w:tcBorders>
            <w:shd w:val="clear" w:color="auto" w:fill="FFFFFF"/>
          </w:tcPr>
          <w:p w14:paraId="09465A8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14DE823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F9D112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ոչ էական պարամետրի բացառում (օրինակ՝ հնացած պարամետրի բացառում)</w:t>
            </w:r>
          </w:p>
        </w:tc>
        <w:tc>
          <w:tcPr>
            <w:tcW w:w="1701" w:type="dxa"/>
            <w:gridSpan w:val="4"/>
            <w:tcBorders>
              <w:top w:val="single" w:sz="4" w:space="0" w:color="auto"/>
              <w:left w:val="single" w:sz="4" w:space="0" w:color="auto"/>
            </w:tcBorders>
            <w:shd w:val="clear" w:color="auto" w:fill="FFFFFF"/>
          </w:tcPr>
          <w:p w14:paraId="57A8ED5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6A64EC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1, 2, 6</w:t>
            </w:r>
          </w:p>
        </w:tc>
        <w:tc>
          <w:tcPr>
            <w:tcW w:w="1719" w:type="dxa"/>
            <w:gridSpan w:val="3"/>
            <w:tcBorders>
              <w:top w:val="single" w:sz="4" w:space="0" w:color="auto"/>
              <w:left w:val="single" w:sz="4" w:space="0" w:color="auto"/>
              <w:right w:val="single" w:sz="4" w:space="0" w:color="auto"/>
            </w:tcBorders>
            <w:shd w:val="clear" w:color="auto" w:fill="FFFFFF"/>
          </w:tcPr>
          <w:p w14:paraId="352984F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5C06B3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3688A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մասնագրերի ընդունելիության հաստատված չափանիշների շրջանակից դուրս փոփոխություն</w:t>
            </w:r>
          </w:p>
        </w:tc>
        <w:tc>
          <w:tcPr>
            <w:tcW w:w="1701" w:type="dxa"/>
            <w:gridSpan w:val="4"/>
            <w:tcBorders>
              <w:top w:val="single" w:sz="4" w:space="0" w:color="auto"/>
              <w:left w:val="single" w:sz="4" w:space="0" w:color="auto"/>
            </w:tcBorders>
            <w:shd w:val="clear" w:color="auto" w:fill="FFFFFF"/>
          </w:tcPr>
          <w:p w14:paraId="4225D84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0E79CB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10743921"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03BA43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1DF3BE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մասնագրի այնպիսի պարամետրի բացառում, որը կարող է էապես ազդել դեղապատրաստուկի ընդհանուր որակի վրա</w:t>
            </w:r>
          </w:p>
        </w:tc>
        <w:tc>
          <w:tcPr>
            <w:tcW w:w="1701" w:type="dxa"/>
            <w:gridSpan w:val="4"/>
            <w:tcBorders>
              <w:top w:val="single" w:sz="4" w:space="0" w:color="auto"/>
              <w:left w:val="single" w:sz="4" w:space="0" w:color="auto"/>
            </w:tcBorders>
            <w:shd w:val="clear" w:color="auto" w:fill="FFFFFF"/>
          </w:tcPr>
          <w:p w14:paraId="7C0B16D0"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77255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E07D8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2FD3C0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B17B07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lastRenderedPageBreak/>
              <w:t>է)</w:t>
            </w:r>
            <w:r w:rsidRPr="003B2786">
              <w:rPr>
                <w:rStyle w:val="Bodytext1811pt"/>
                <w:rFonts w:ascii="Sylfaen" w:hAnsi="Sylfaen"/>
                <w:sz w:val="24"/>
                <w:szCs w:val="24"/>
              </w:rPr>
              <w:tab/>
              <w:t xml:space="preserve">մասնագրի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փորձարկման մեթոդի ավելացում կամ փոխարինում (բացառելով կենսաբանական </w:t>
            </w:r>
            <w:r w:rsidR="00C54D75">
              <w:rPr>
                <w:rStyle w:val="Bodytext1811pt"/>
                <w:rFonts w:ascii="Sylfaen" w:hAnsi="Sylfaen"/>
                <w:sz w:val="24"/>
                <w:szCs w:val="24"/>
              </w:rPr>
              <w:t>և</w:t>
            </w:r>
            <w:r w:rsidRPr="003B2786">
              <w:rPr>
                <w:rStyle w:val="Bodytext1811pt"/>
                <w:rFonts w:ascii="Sylfaen" w:hAnsi="Sylfaen"/>
                <w:sz w:val="24"/>
                <w:szCs w:val="24"/>
              </w:rPr>
              <w:t xml:space="preserve"> իմունաբանական պատրաստուկը)՝ ելնելով անվտանգության կամ որակի նկատառումներից</w:t>
            </w:r>
          </w:p>
        </w:tc>
        <w:tc>
          <w:tcPr>
            <w:tcW w:w="1701" w:type="dxa"/>
            <w:gridSpan w:val="4"/>
            <w:tcBorders>
              <w:top w:val="single" w:sz="4" w:space="0" w:color="auto"/>
              <w:left w:val="single" w:sz="4" w:space="0" w:color="auto"/>
            </w:tcBorders>
            <w:shd w:val="clear" w:color="auto" w:fill="FFFFFF"/>
          </w:tcPr>
          <w:p w14:paraId="36D9A0F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60023F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1, 2, 3, 4, 5, 7</w:t>
            </w:r>
          </w:p>
        </w:tc>
        <w:tc>
          <w:tcPr>
            <w:tcW w:w="1719" w:type="dxa"/>
            <w:gridSpan w:val="3"/>
            <w:tcBorders>
              <w:top w:val="single" w:sz="4" w:space="0" w:color="auto"/>
              <w:left w:val="single" w:sz="4" w:space="0" w:color="auto"/>
              <w:right w:val="single" w:sz="4" w:space="0" w:color="auto"/>
            </w:tcBorders>
            <w:shd w:val="clear" w:color="auto" w:fill="FFFFFF"/>
          </w:tcPr>
          <w:p w14:paraId="5E71134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7736FB0" w14:textId="77777777" w:rsidTr="008C76E0">
        <w:trPr>
          <w:jc w:val="center"/>
        </w:trPr>
        <w:tc>
          <w:tcPr>
            <w:tcW w:w="4997" w:type="dxa"/>
            <w:gridSpan w:val="6"/>
            <w:tcBorders>
              <w:top w:val="single" w:sz="4" w:space="0" w:color="auto"/>
              <w:left w:val="single" w:sz="4" w:space="0" w:color="auto"/>
            </w:tcBorders>
            <w:shd w:val="clear" w:color="auto" w:fill="FFFFFF"/>
          </w:tcPr>
          <w:p w14:paraId="37F4729E"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դոսյեի թարմացում՝ Միության դեղագրքի՝ դեղապատրաստուկի վերաբերյալ թարմացված ընդհանուր հոդվածի դրույթներին համապատասխանեցնելու նպատակով (*)</w:t>
            </w:r>
          </w:p>
        </w:tc>
        <w:tc>
          <w:tcPr>
            <w:tcW w:w="1701" w:type="dxa"/>
            <w:gridSpan w:val="4"/>
            <w:tcBorders>
              <w:top w:val="single" w:sz="4" w:space="0" w:color="auto"/>
              <w:left w:val="single" w:sz="4" w:space="0" w:color="auto"/>
            </w:tcBorders>
            <w:shd w:val="clear" w:color="auto" w:fill="FFFFFF"/>
          </w:tcPr>
          <w:p w14:paraId="37DDF955"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1, 2, 3, 4, 7, 8</w:t>
            </w:r>
          </w:p>
        </w:tc>
        <w:tc>
          <w:tcPr>
            <w:tcW w:w="1984" w:type="dxa"/>
            <w:gridSpan w:val="2"/>
            <w:tcBorders>
              <w:top w:val="single" w:sz="4" w:space="0" w:color="auto"/>
              <w:left w:val="single" w:sz="4" w:space="0" w:color="auto"/>
            </w:tcBorders>
            <w:shd w:val="clear" w:color="auto" w:fill="FFFFFF"/>
          </w:tcPr>
          <w:p w14:paraId="59B2F4DD"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4168AAF6"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C90E5F4"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5290A859"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ը)</w:t>
            </w:r>
            <w:r w:rsidRPr="003B2786">
              <w:rPr>
                <w:rStyle w:val="Bodytext1811pt"/>
                <w:rFonts w:ascii="Sylfaen" w:hAnsi="Sylfaen"/>
                <w:sz w:val="24"/>
                <w:szCs w:val="24"/>
              </w:rPr>
              <w:tab/>
              <w:t xml:space="preserve">գրանցված ընթացիկ մեթոդը փոխարինելու նպատակով ավելացվում է Միության դեղագրքի «Դոզավորման միատարրությունը» 2.9.40 հոդվածը կամ Միության դեղագրքի «Զանգվածի միատարրությունը» 2.9.5. հոդվածը կամ Միության դեղագրքի «Պարունակության միատարրությունը» 2.9.6 հոդվածը </w:t>
            </w:r>
          </w:p>
        </w:tc>
        <w:tc>
          <w:tcPr>
            <w:tcW w:w="1701" w:type="dxa"/>
            <w:gridSpan w:val="4"/>
            <w:tcBorders>
              <w:top w:val="single" w:sz="4" w:space="0" w:color="auto"/>
              <w:left w:val="single" w:sz="4" w:space="0" w:color="auto"/>
              <w:bottom w:val="single" w:sz="4" w:space="0" w:color="auto"/>
            </w:tcBorders>
            <w:shd w:val="clear" w:color="auto" w:fill="FFFFFF"/>
          </w:tcPr>
          <w:p w14:paraId="12975060"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1, 2, 10</w:t>
            </w:r>
          </w:p>
        </w:tc>
        <w:tc>
          <w:tcPr>
            <w:tcW w:w="1984" w:type="dxa"/>
            <w:gridSpan w:val="2"/>
            <w:tcBorders>
              <w:top w:val="single" w:sz="4" w:space="0" w:color="auto"/>
              <w:left w:val="single" w:sz="4" w:space="0" w:color="auto"/>
              <w:bottom w:val="single" w:sz="4" w:space="0" w:color="auto"/>
            </w:tcBorders>
            <w:shd w:val="clear" w:color="auto" w:fill="FFFFFF"/>
          </w:tcPr>
          <w:p w14:paraId="51F337E2"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7AB3BE1A" w14:textId="77777777" w:rsidR="008C76E0" w:rsidRPr="003B2786" w:rsidRDefault="008C76E0" w:rsidP="008C76E0">
            <w:pPr>
              <w:pStyle w:val="Bodytext180"/>
              <w:shd w:val="clear" w:color="auto" w:fill="auto"/>
              <w:spacing w:before="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716C01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3DD29AE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8C906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մասնագրի ընդունելիության չափանիշների վերանայման նպատակով նախկինում անցկացված փորձաքննությունների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(օրինակ՝ դեղապատրաստուկը գրանցելիս կամ II տիպի փոփոխություն կատարելիս), եթե միայն հիմնավորող փաստաթղթերը նախկինում չեն ստուգվել </w:t>
            </w:r>
            <w:r w:rsidR="00C54D75">
              <w:rPr>
                <w:rStyle w:val="Bodytext1811pt"/>
                <w:rFonts w:ascii="Sylfaen" w:hAnsi="Sylfaen"/>
                <w:sz w:val="24"/>
                <w:szCs w:val="24"/>
              </w:rPr>
              <w:t>և</w:t>
            </w:r>
            <w:r w:rsidRPr="003B2786">
              <w:rPr>
                <w:rStyle w:val="Bodytext1811pt"/>
                <w:rFonts w:ascii="Sylfaen" w:hAnsi="Sylfaen"/>
                <w:sz w:val="24"/>
                <w:szCs w:val="24"/>
              </w:rPr>
              <w:t xml:space="preserve"> հաստատվել այլ ընթացակարգի շրջանակներում։</w:t>
            </w:r>
          </w:p>
          <w:p w14:paraId="528C2052"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օրինակ՝ նոր չորակված խառնուկի արտադրության ընթացքում առաջ եկած անկանխատեսելի իրավիճակների, խառնուկի միագումարի պարունակության սահմանների փոփոխության։</w:t>
            </w:r>
          </w:p>
          <w:p w14:paraId="64C0DB61" w14:textId="77777777" w:rsidR="008C76E0" w:rsidRPr="008C76E0" w:rsidRDefault="008C76E0" w:rsidP="008B6709">
            <w:pPr>
              <w:pStyle w:val="Bodytext180"/>
              <w:shd w:val="clear" w:color="auto" w:fill="auto"/>
              <w:tabs>
                <w:tab w:val="left" w:pos="567"/>
              </w:tabs>
              <w:spacing w:before="0" w:after="120" w:line="288"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55AD002A"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68EC229F"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p w14:paraId="45F92606" w14:textId="77777777" w:rsidR="008C76E0" w:rsidRPr="008C76E0" w:rsidRDefault="008C76E0" w:rsidP="008B6709">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կենսաբանական ակտիվ դեղագործական բաղադրամասի համար օգտագործվում է կենսաբանական ռեակտիվ (բացառությամբ ստանդարտ դեղագրքային միկրոկենսաբանական մեթոդների):</w:t>
            </w:r>
          </w:p>
          <w:p w14:paraId="02347C1D"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որ</w:t>
            </w:r>
            <w:r w:rsidR="00C54D75">
              <w:rPr>
                <w:rStyle w:val="Bodytext1811pt"/>
                <w:rFonts w:ascii="Sylfaen" w:hAnsi="Sylfaen"/>
                <w:sz w:val="24"/>
                <w:szCs w:val="24"/>
              </w:rPr>
              <w:t>և</w:t>
            </w:r>
            <w:r w:rsidRPr="003B2786">
              <w:rPr>
                <w:rStyle w:val="Bodytext1811pt"/>
                <w:rFonts w:ascii="Sylfaen" w:hAnsi="Sylfaen"/>
                <w:sz w:val="24"/>
                <w:szCs w:val="24"/>
              </w:rPr>
              <w:t xml:space="preserve">է խառնուկի (այդ թվում՝ գենոտոքսիկ) կամ </w:t>
            </w:r>
            <w:r w:rsidRPr="003B2786">
              <w:rPr>
                <w:rStyle w:val="Bodytext1811pt"/>
                <w:rFonts w:ascii="Sylfaen" w:hAnsi="Sylfaen"/>
                <w:sz w:val="24"/>
                <w:szCs w:val="24"/>
              </w:rPr>
              <w:lastRenderedPageBreak/>
              <w:t>լուծելիությանը։</w:t>
            </w:r>
          </w:p>
          <w:p w14:paraId="328A2666" w14:textId="77777777" w:rsidR="008C76E0" w:rsidRPr="008C76E0" w:rsidRDefault="008C76E0" w:rsidP="002F06F8">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գործող դեղագրքին համապատասխանեցնելու նպատակով միկրոկենսաբանական հսկողության միջոցառումների ընդունելիության չափանիշների թարմացմանը, իսկ ներկայումս գրանցված միկրոկենսաբանական հսկման միջոցառումների ընդունելիության չափանիշները չեն ներառում մասնագրում ընդգրկված հսկողության որ</w:t>
            </w:r>
            <w:r w:rsidR="00C54D75">
              <w:rPr>
                <w:rStyle w:val="Bodytext1811pt"/>
                <w:rFonts w:ascii="Sylfaen" w:hAnsi="Sylfaen"/>
                <w:sz w:val="24"/>
                <w:szCs w:val="24"/>
              </w:rPr>
              <w:t>և</w:t>
            </w:r>
            <w:r w:rsidRPr="003B2786">
              <w:rPr>
                <w:rStyle w:val="Bodytext1811pt"/>
                <w:rFonts w:ascii="Sylfaen" w:hAnsi="Sylfaen"/>
                <w:sz w:val="24"/>
                <w:szCs w:val="24"/>
              </w:rPr>
              <w:t>է լրացուցիչ միջոցառում՝ բացի որոշակի դեղաձ</w:t>
            </w:r>
            <w:r w:rsidR="00C54D75">
              <w:rPr>
                <w:rStyle w:val="Bodytext1811pt"/>
                <w:rFonts w:ascii="Sylfaen" w:hAnsi="Sylfaen"/>
                <w:sz w:val="24"/>
                <w:szCs w:val="24"/>
              </w:rPr>
              <w:t>և</w:t>
            </w:r>
            <w:r w:rsidRPr="003B2786">
              <w:rPr>
                <w:rStyle w:val="Bodytext1811pt"/>
                <w:rFonts w:ascii="Sylfaen" w:hAnsi="Sylfaen"/>
                <w:sz w:val="24"/>
                <w:szCs w:val="24"/>
              </w:rPr>
              <w:t>ին ներկայացված դեղագրքային պահանջներից:</w:t>
            </w:r>
          </w:p>
          <w:p w14:paraId="78EFE3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Մասնագրի պարամետրը չի վերաբերում կրիտիկական պարամետրին, օրինակ՝ քանակական որոշմանը,</w:t>
            </w:r>
          </w:p>
          <w:p w14:paraId="2608203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խառնուկներին (միայն այն դեպքում, երբ դեղապատրաստուկի արտադրության մեջ որոշակի լուծիչ միանշանակ չի օգտագործվում)</w:t>
            </w:r>
          </w:p>
          <w:p w14:paraId="20C9AA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ցանկացած կրիտիկական ֆիզիկական բնութագրի (թաղանթով չպատված հաբերի ամրությանը կամ փխրունությանը, չափերին </w:t>
            </w:r>
            <w:r w:rsidR="00C54D75">
              <w:rPr>
                <w:rStyle w:val="Bodytext1811pt"/>
                <w:rFonts w:ascii="Sylfaen" w:hAnsi="Sylfaen"/>
                <w:sz w:val="24"/>
                <w:szCs w:val="24"/>
              </w:rPr>
              <w:t>և</w:t>
            </w:r>
            <w:r w:rsidRPr="003B2786">
              <w:rPr>
                <w:rStyle w:val="Bodytext1811pt"/>
                <w:rFonts w:ascii="Sylfaen" w:hAnsi="Sylfaen"/>
                <w:sz w:val="24"/>
                <w:szCs w:val="24"/>
              </w:rPr>
              <w:t xml:space="preserve"> այլն), փորձարկում իրականացնելու թույլտվության վերաբերյալ ցանկացած հարցման:</w:t>
            </w:r>
          </w:p>
          <w:p w14:paraId="73ADA16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10.</w:t>
            </w:r>
            <w:r w:rsidRPr="008C76E0">
              <w:rPr>
                <w:rFonts w:ascii="Sylfaen" w:hAnsi="Sylfaen"/>
                <w:b w:val="0"/>
                <w:sz w:val="24"/>
                <w:szCs w:val="24"/>
                <w:lang w:val="hy-AM"/>
              </w:rPr>
              <w:tab/>
            </w:r>
            <w:r w:rsidRPr="003B2786">
              <w:rPr>
                <w:rStyle w:val="Bodytext1811pt"/>
                <w:rFonts w:ascii="Sylfaen" w:hAnsi="Sylfaen"/>
                <w:sz w:val="24"/>
                <w:szCs w:val="24"/>
              </w:rPr>
              <w:t xml:space="preserve">Առաջարկվող հսկողությունը լիովին համապատասխանում է Միության դեղագրքի 2.9.40 հոդվածի 2.9.40-1 աղյուսակին </w:t>
            </w:r>
            <w:r w:rsidR="00C54D75">
              <w:rPr>
                <w:rStyle w:val="Bodytext1811pt"/>
                <w:rFonts w:ascii="Sylfaen" w:hAnsi="Sylfaen"/>
                <w:sz w:val="24"/>
                <w:szCs w:val="24"/>
              </w:rPr>
              <w:t>և</w:t>
            </w:r>
            <w:r w:rsidRPr="003B2786">
              <w:rPr>
                <w:rStyle w:val="Bodytext1811pt"/>
                <w:rFonts w:ascii="Sylfaen" w:hAnsi="Sylfaen"/>
                <w:sz w:val="24"/>
                <w:szCs w:val="24"/>
              </w:rPr>
              <w:t xml:space="preserve"> չի ներառում զանգվածի փոփոխման կամ պարունակության միատարրության միջոցով դոզավորման միատարրությունը փորձարկելու այլընտրանքային առաջարկներ, եթե դրանք նշված են 2.9.40-1 աղյուսակում։</w:t>
            </w:r>
          </w:p>
        </w:tc>
      </w:tr>
      <w:tr w:rsidR="008C76E0" w:rsidRPr="003B2786" w14:paraId="1024FCB6"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ED334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793E00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F0698C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7B20E1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Ցանկացած 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3765298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Մասնագրի բոլոր պարամետրերով դեղապատրաստուկի արդյունաբերական երկու սերիաների վերլուծության տվյալները (կենսաբանական ակտիվ դեղագործական բաղադրամասերի համար պատշաճ հիմնավորման բացակայության դեպքում՝ 3 սերիա):</w:t>
            </w:r>
          </w:p>
          <w:p w14:paraId="3EF7CAA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t>Համապատասխան</w:t>
            </w:r>
            <w:r w:rsidRPr="008C76E0">
              <w:rPr>
                <w:rFonts w:ascii="Sylfaen" w:hAnsi="Sylfaen"/>
                <w:sz w:val="24"/>
                <w:szCs w:val="24"/>
                <w:lang w:val="hy-AM"/>
              </w:rPr>
              <w:t xml:space="preserve"> </w:t>
            </w:r>
            <w:r w:rsidRPr="003B2786">
              <w:rPr>
                <w:rStyle w:val="Bodytext1811pt"/>
                <w:rFonts w:ascii="Sylfaen" w:hAnsi="Sylfaen"/>
                <w:sz w:val="24"/>
                <w:szCs w:val="24"/>
              </w:rPr>
              <w:t xml:space="preserve">դեպքերում՝ առնվազն մեկ փորձարարաարդյունաբերական սերիայի դեղապատրաստուկի լուծելիության համեմատական կինետիկայի թեստի տվյալները, որոնք համապատասխանում են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մասնագրերին:</w:t>
            </w:r>
            <w:r w:rsidRPr="008C76E0">
              <w:rPr>
                <w:rFonts w:ascii="Sylfaen" w:hAnsi="Sylfaen"/>
                <w:sz w:val="24"/>
                <w:szCs w:val="24"/>
                <w:lang w:val="hy-AM"/>
              </w:rPr>
              <w:t xml:space="preserve"> </w:t>
            </w:r>
            <w:r w:rsidRPr="008C76E0">
              <w:rPr>
                <w:rFonts w:ascii="Sylfaen" w:hAnsi="Sylfaen"/>
                <w:b w:val="0"/>
                <w:sz w:val="24"/>
                <w:szCs w:val="24"/>
                <w:lang w:val="hy-AM"/>
              </w:rPr>
              <w:t>Բուսական</w:t>
            </w:r>
            <w:r w:rsidRPr="008C76E0">
              <w:rPr>
                <w:rFonts w:ascii="Sylfaen" w:hAnsi="Sylfaen"/>
                <w:sz w:val="24"/>
                <w:szCs w:val="24"/>
                <w:lang w:val="hy-AM"/>
              </w:rPr>
              <w:t xml:space="preserve"> </w:t>
            </w:r>
            <w:r w:rsidRPr="003B2786">
              <w:rPr>
                <w:rStyle w:val="Bodytext1811pt"/>
                <w:rFonts w:ascii="Sylfaen" w:hAnsi="Sylfaen"/>
                <w:sz w:val="24"/>
                <w:szCs w:val="24"/>
              </w:rPr>
              <w:t>դեղապատրաստուկների առնչությամբ կարող են բավարար լինել համեմատական տրոհման տվյալները:</w:t>
            </w:r>
          </w:p>
          <w:p w14:paraId="43257C7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tc>
      </w:tr>
      <w:tr w:rsidR="008C76E0" w:rsidRPr="003B2786" w14:paraId="6628103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5FF81E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7.</w:t>
            </w:r>
            <w:r w:rsidRPr="003B2786">
              <w:rPr>
                <w:rStyle w:val="Bodytext1811pt"/>
                <w:rFonts w:ascii="Sylfaen" w:hAnsi="Sylfaen"/>
                <w:sz w:val="24"/>
                <w:szCs w:val="24"/>
              </w:rPr>
              <w:tab/>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D2DB89A" w14:textId="77777777" w:rsidTr="008C76E0">
        <w:trPr>
          <w:jc w:val="center"/>
        </w:trPr>
        <w:tc>
          <w:tcPr>
            <w:tcW w:w="2334" w:type="dxa"/>
            <w:gridSpan w:val="2"/>
            <w:tcBorders>
              <w:top w:val="single" w:sz="4" w:space="0" w:color="auto"/>
              <w:left w:val="single" w:sz="4" w:space="0" w:color="auto"/>
            </w:tcBorders>
            <w:shd w:val="clear" w:color="auto" w:fill="FFFFFF"/>
          </w:tcPr>
          <w:p w14:paraId="2A0364A7"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5F391D81"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 xml:space="preserve">Եթե գրանցված դեղապատրաստուկի դոսյեում նշվում է «ընթացիկ հրատարակությունը», ապա անհրաժեշտ է լիազորված մարմիններին ծանուցել Միության դեղագրքի կամ անդամ պետության դեղագրքի թարմացված հոդվածի մասին։ Այս առումով այդպիսի փոփոխությունը </w:t>
            </w:r>
            <w:r w:rsidRPr="003B2786">
              <w:rPr>
                <w:rStyle w:val="Bodytext1811pt"/>
                <w:rFonts w:ascii="Sylfaen" w:hAnsi="Sylfaen"/>
                <w:sz w:val="24"/>
                <w:szCs w:val="24"/>
              </w:rPr>
              <w:lastRenderedPageBreak/>
              <w:t>կիրառվում է այն դեպքում, երբ բացակայում է տեխնիկական դոսյեում դեղագրքի թարմացված հոդվածի հիշատակումը, իսկ փոփոխությունն իրականացվում է թարմացված տարբերակում հիշատակում կատարելու նպատակով։</w:t>
            </w:r>
          </w:p>
        </w:tc>
      </w:tr>
      <w:tr w:rsidR="008C76E0" w:rsidRPr="003B2786" w14:paraId="38BA599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E0FC483" w14:textId="77777777" w:rsidR="008C76E0" w:rsidRPr="008C76E0" w:rsidRDefault="008C76E0" w:rsidP="008C76E0">
            <w:pPr>
              <w:pStyle w:val="Bodytext180"/>
              <w:shd w:val="clear" w:color="auto" w:fill="auto"/>
              <w:tabs>
                <w:tab w:val="left" w:pos="1150"/>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Բ.II.դ.2.</w:t>
            </w:r>
            <w:r w:rsidRPr="003B2786">
              <w:rPr>
                <w:rStyle w:val="Bodytext1811pt"/>
                <w:rFonts w:ascii="Sylfaen" w:hAnsi="Sylfaen"/>
                <w:sz w:val="24"/>
                <w:szCs w:val="24"/>
              </w:rPr>
              <w:tab/>
              <w:t>Դեղապատրաստուկի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DF2A3E4"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086348C" w14:textId="77777777" w:rsidR="008C76E0" w:rsidRPr="003B2786" w:rsidRDefault="008C76E0" w:rsidP="008C76E0">
            <w:pPr>
              <w:pStyle w:val="Bodytext180"/>
              <w:shd w:val="clear" w:color="auto" w:fill="auto"/>
              <w:tabs>
                <w:tab w:val="left" w:pos="567"/>
              </w:tabs>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679ACD14" w14:textId="77777777" w:rsidR="008C76E0" w:rsidRPr="003B2786" w:rsidRDefault="008C76E0" w:rsidP="008C76E0">
            <w:pPr>
              <w:pStyle w:val="Bodytext180"/>
              <w:shd w:val="clear" w:color="auto" w:fill="auto"/>
              <w:tabs>
                <w:tab w:val="left" w:pos="567"/>
              </w:tabs>
              <w:spacing w:before="0" w:after="120" w:line="240" w:lineRule="auto"/>
              <w:ind w:right="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771EEA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00C1A8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հաստատված վերլուծական մեթոդիկայի ոչ էական փոփոխություններ</w:t>
            </w:r>
          </w:p>
        </w:tc>
        <w:tc>
          <w:tcPr>
            <w:tcW w:w="1701" w:type="dxa"/>
            <w:gridSpan w:val="4"/>
            <w:tcBorders>
              <w:top w:val="single" w:sz="4" w:space="0" w:color="auto"/>
              <w:left w:val="single" w:sz="4" w:space="0" w:color="auto"/>
            </w:tcBorders>
            <w:shd w:val="clear" w:color="auto" w:fill="FFFFFF"/>
          </w:tcPr>
          <w:p w14:paraId="4B63502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C06426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72E54A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A155D8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8DD0C5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բացառում այն դեպքում, երբ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32ECA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252BF33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21D536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5BCFB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0B1C5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իմունաքիմիական) փորձարկման կամ այնպիսի մեթոդի փոփոխություն (փոխարինում), որի դեպքում օգտագործվում է կենսաբանական ռեակտիվ, կամ համեմատության կենսաբանական պատրաստուկի փոխարինում, որը ներառված չէ հաստատված արձանագրության մեջ</w:t>
            </w:r>
          </w:p>
        </w:tc>
        <w:tc>
          <w:tcPr>
            <w:tcW w:w="1701" w:type="dxa"/>
            <w:gridSpan w:val="4"/>
            <w:tcBorders>
              <w:top w:val="single" w:sz="4" w:space="0" w:color="auto"/>
              <w:left w:val="single" w:sz="4" w:space="0" w:color="auto"/>
            </w:tcBorders>
            <w:shd w:val="clear" w:color="auto" w:fill="FFFFFF"/>
          </w:tcPr>
          <w:p w14:paraId="3F05020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E2BAA3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C2D3BC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8E1604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3C4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վերլուծական մեթոդիկայի այլ փոփոխություններ (ներառյալ՝ լրացումը կամ փոխարինումը)</w:t>
            </w:r>
          </w:p>
        </w:tc>
        <w:tc>
          <w:tcPr>
            <w:tcW w:w="1701" w:type="dxa"/>
            <w:gridSpan w:val="4"/>
            <w:tcBorders>
              <w:top w:val="single" w:sz="4" w:space="0" w:color="auto"/>
              <w:left w:val="single" w:sz="4" w:space="0" w:color="auto"/>
            </w:tcBorders>
            <w:shd w:val="clear" w:color="auto" w:fill="FFFFFF"/>
          </w:tcPr>
          <w:p w14:paraId="39A3D11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985BE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5C0BB9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8390A1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9383F3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վերլուծական մեթոդիկայի թարմացում՝ Միության դեղագրքի թարմացված ընդհանուր հոդվածին համապատասխանեցնելու նպատակով</w:t>
            </w:r>
          </w:p>
        </w:tc>
        <w:tc>
          <w:tcPr>
            <w:tcW w:w="1701" w:type="dxa"/>
            <w:gridSpan w:val="4"/>
            <w:tcBorders>
              <w:top w:val="single" w:sz="4" w:space="0" w:color="auto"/>
              <w:left w:val="single" w:sz="4" w:space="0" w:color="auto"/>
            </w:tcBorders>
            <w:shd w:val="clear" w:color="auto" w:fill="FFFFFF"/>
          </w:tcPr>
          <w:p w14:paraId="4DDEFC1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7E7B1F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5481F24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D17B2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F446B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զ)</w:t>
            </w:r>
            <w:r w:rsidRPr="003B2786">
              <w:rPr>
                <w:rStyle w:val="Bodytext1811pt"/>
                <w:rFonts w:ascii="Sylfaen" w:hAnsi="Sylfaen"/>
                <w:sz w:val="24"/>
                <w:szCs w:val="24"/>
              </w:rPr>
              <w:tab/>
              <w:t xml:space="preserve">Միության դեղագրքին համապատասխանությունն արտացոլելու </w:t>
            </w:r>
            <w:r w:rsidR="00C54D75">
              <w:rPr>
                <w:rStyle w:val="Bodytext1811pt"/>
                <w:rFonts w:ascii="Sylfaen" w:hAnsi="Sylfaen"/>
                <w:sz w:val="24"/>
                <w:szCs w:val="24"/>
              </w:rPr>
              <w:t>և</w:t>
            </w:r>
            <w:r w:rsidRPr="003B2786">
              <w:rPr>
                <w:rStyle w:val="Bodytext1811pt"/>
                <w:rFonts w:ascii="Sylfaen" w:hAnsi="Sylfaen"/>
                <w:sz w:val="24"/>
                <w:szCs w:val="24"/>
              </w:rPr>
              <w:t xml:space="preserve"> սեփական հնացած վերլուծական մեթոդիկայի ու դրա համարի հիշատակումը բացառելու նպատակով (*)</w:t>
            </w:r>
          </w:p>
        </w:tc>
        <w:tc>
          <w:tcPr>
            <w:tcW w:w="1701" w:type="dxa"/>
            <w:gridSpan w:val="4"/>
            <w:tcBorders>
              <w:top w:val="single" w:sz="4" w:space="0" w:color="auto"/>
              <w:left w:val="single" w:sz="4" w:space="0" w:color="auto"/>
            </w:tcBorders>
            <w:shd w:val="clear" w:color="auto" w:fill="FFFFFF"/>
          </w:tcPr>
          <w:p w14:paraId="5ECF4806"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2, 3, 4, 5</w:t>
            </w:r>
          </w:p>
        </w:tc>
        <w:tc>
          <w:tcPr>
            <w:tcW w:w="1984" w:type="dxa"/>
            <w:gridSpan w:val="2"/>
            <w:tcBorders>
              <w:top w:val="single" w:sz="4" w:space="0" w:color="auto"/>
              <w:left w:val="single" w:sz="4" w:space="0" w:color="auto"/>
            </w:tcBorders>
            <w:shd w:val="clear" w:color="auto" w:fill="FFFFFF"/>
          </w:tcPr>
          <w:p w14:paraId="510B095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2F72FF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840E68C"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6E15E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4C1C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անցկացվել են անհրաժեշտ վալիդացման հետազոտություններ, որոնցով հաստատվում է թարմացված վերլուծական մեթոդիկայի՝ նախորդին առնվազն համարժեք լինելու հանգամանքը:</w:t>
            </w:r>
          </w:p>
          <w:p w14:paraId="3900BB00" w14:textId="7875BC7F"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Խառնուկների միագումարի պարունակության սահմանները չեն փոփոխվել, նոր չորակված խառնուկներ չեն </w:t>
            </w:r>
            <w:r w:rsidR="00FE4A71">
              <w:rPr>
                <w:rStyle w:val="Bodytext1811pt"/>
                <w:rFonts w:ascii="Sylfaen" w:hAnsi="Sylfaen"/>
                <w:sz w:val="24"/>
                <w:szCs w:val="24"/>
              </w:rPr>
              <w:t xml:space="preserve">հայտնաբերվել </w:t>
            </w:r>
            <w:r w:rsidRPr="003B2786">
              <w:rPr>
                <w:rStyle w:val="Bodytext1811pt"/>
                <w:rFonts w:ascii="Sylfaen" w:hAnsi="Sylfaen"/>
                <w:sz w:val="24"/>
                <w:szCs w:val="24"/>
              </w:rPr>
              <w:t>:</w:t>
            </w:r>
          </w:p>
          <w:p w14:paraId="6C12C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սյունակի մեկ այլ տեսակ կամ մեթոդ):</w:t>
            </w:r>
          </w:p>
          <w:p w14:paraId="272E579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Փորձարկման նոր մեթոդը կենսաբանական (իմունաբանական, իմունաքիմիական) կամ այնպիսի մեթոդ չէ, որի դեպքում օգտագործվում է կենսաբանական ռեակտիվ (բացառությամբ ստանդարտ դեղագրքային միկրոկենսաբանական մեթոդների):</w:t>
            </w:r>
          </w:p>
          <w:p w14:paraId="37E35BA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Գրանցված վերլուծական մեթոդիկայով արդեն հղում է կատարվում Միության դեղագրքի ընդհանուր հոդվածին, իսկ ցանկացած փոփոխություն համարվում է ոչ էական, </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տեխնիկական դոսյեի թարմացում։</w:t>
            </w:r>
          </w:p>
        </w:tc>
      </w:tr>
      <w:tr w:rsidR="008C76E0" w:rsidRPr="003B2786" w14:paraId="7499DD68"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5CD9558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18B2557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ներառյալ՝ վերլուծական մեթոդաբանության նկարագրությունը, վալիդացման տվյալների ռեզյումեն, խառնուկի վերանայված մասնագրերը (եթե կիրառելի է):</w:t>
            </w:r>
          </w:p>
          <w:p w14:paraId="0C8565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փորձարկման համարժեք լինելու հանգամանքը: Սույն պահանջը չի կիրառվում, եթե ավելացվում է նոր վերլուծական մեթոդիկա:</w:t>
            </w:r>
          </w:p>
        </w:tc>
      </w:tr>
      <w:tr w:rsidR="008C76E0" w:rsidRPr="003B2786" w14:paraId="29FCE06A" w14:textId="77777777" w:rsidTr="008C76E0">
        <w:trPr>
          <w:jc w:val="center"/>
        </w:trPr>
        <w:tc>
          <w:tcPr>
            <w:tcW w:w="2334" w:type="dxa"/>
            <w:gridSpan w:val="2"/>
            <w:tcBorders>
              <w:top w:val="single" w:sz="4" w:space="0" w:color="auto"/>
              <w:left w:val="single" w:sz="4" w:space="0" w:color="auto"/>
            </w:tcBorders>
            <w:shd w:val="clear" w:color="auto" w:fill="FFFFFF"/>
          </w:tcPr>
          <w:p w14:paraId="4DCFD6E4" w14:textId="77777777" w:rsidR="008C76E0" w:rsidRPr="003B2786" w:rsidRDefault="008C76E0" w:rsidP="008C76E0">
            <w:pPr>
              <w:pStyle w:val="Bodytext180"/>
              <w:shd w:val="clear" w:color="auto" w:fill="auto"/>
              <w:tabs>
                <w:tab w:val="left" w:pos="567"/>
              </w:tabs>
              <w:spacing w:before="0" w:after="120" w:line="240" w:lineRule="auto"/>
              <w:ind w:right="48" w:firstLine="0"/>
              <w:jc w:val="both"/>
              <w:rPr>
                <w:rFonts w:ascii="Sylfaen" w:hAnsi="Sylfaen"/>
                <w:b w:val="0"/>
                <w:sz w:val="24"/>
                <w:szCs w:val="24"/>
              </w:rPr>
            </w:pPr>
            <w:r w:rsidRPr="003B2786">
              <w:rPr>
                <w:rStyle w:val="Bodytext1811pt"/>
                <w:rFonts w:ascii="Sylfaen" w:hAnsi="Sylfaen"/>
                <w:sz w:val="24"/>
                <w:szCs w:val="24"/>
              </w:rPr>
              <w:t>(*) 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3973C943"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Եթե գրանցված դեղապատրաստուկի դոսյեում հիշատակվում է «ընթացիկ հրատարակությունը», ապա Միության դեղագրքի թարմացված հոդվածի մասին լիազորված մարմիններին ծանուցելու անհրաժեշտություն չկա։</w:t>
            </w:r>
          </w:p>
        </w:tc>
      </w:tr>
      <w:tr w:rsidR="008C76E0" w:rsidRPr="003B2786" w14:paraId="0C47E86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3A0A8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Բ.II.դ.3.</w:t>
            </w:r>
            <w:r w:rsidRPr="003B2786">
              <w:rPr>
                <w:rStyle w:val="Bodytext1811pt"/>
                <w:rFonts w:ascii="Sylfaen" w:hAnsi="Sylfaen"/>
                <w:sz w:val="24"/>
                <w:szCs w:val="24"/>
              </w:rPr>
              <w:tab/>
              <w:t>Իրական ժամանակում թողարկում կամ դեղապատրաստուկի արտադրության ընթացքում պարամետրերի համաձայն թողարկում իրականացնելու հետ կապված փոփոխությունը</w:t>
            </w:r>
          </w:p>
        </w:tc>
        <w:tc>
          <w:tcPr>
            <w:tcW w:w="1701" w:type="dxa"/>
            <w:gridSpan w:val="4"/>
            <w:tcBorders>
              <w:top w:val="single" w:sz="4" w:space="0" w:color="auto"/>
              <w:left w:val="single" w:sz="4" w:space="0" w:color="auto"/>
            </w:tcBorders>
            <w:shd w:val="clear" w:color="auto" w:fill="FFFFFF"/>
          </w:tcPr>
          <w:p w14:paraId="7EB232C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55311C7"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EDDC128"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A2C225" w14:textId="77777777" w:rsidTr="008C76E0">
        <w:trPr>
          <w:jc w:val="center"/>
        </w:trPr>
        <w:tc>
          <w:tcPr>
            <w:tcW w:w="4997" w:type="dxa"/>
            <w:gridSpan w:val="6"/>
            <w:tcBorders>
              <w:top w:val="single" w:sz="4" w:space="0" w:color="auto"/>
              <w:left w:val="single" w:sz="4" w:space="0" w:color="auto"/>
            </w:tcBorders>
            <w:shd w:val="clear" w:color="auto" w:fill="FFFFFF"/>
          </w:tcPr>
          <w:p w14:paraId="3DABC58F"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01" w:type="dxa"/>
            <w:gridSpan w:val="4"/>
            <w:tcBorders>
              <w:top w:val="single" w:sz="4" w:space="0" w:color="auto"/>
              <w:left w:val="single" w:sz="4" w:space="0" w:color="auto"/>
            </w:tcBorders>
            <w:shd w:val="clear" w:color="auto" w:fill="FFFFFF"/>
          </w:tcPr>
          <w:p w14:paraId="01C6C862"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2020B61" w14:textId="77777777" w:rsidR="008C76E0" w:rsidRPr="003B2786" w:rsidRDefault="008C76E0" w:rsidP="008C76E0">
            <w:pPr>
              <w:tabs>
                <w:tab w:val="left" w:pos="567"/>
              </w:tabs>
              <w:spacing w:after="120" w:line="240" w:lineRule="auto"/>
              <w:ind w:left="158" w:right="210"/>
              <w:jc w:val="both"/>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37B4F6C"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II</w:t>
            </w:r>
          </w:p>
        </w:tc>
      </w:tr>
      <w:tr w:rsidR="008C76E0" w:rsidRPr="003B2786" w14:paraId="7BE8BFEF" w14:textId="77777777" w:rsidTr="008C76E0">
        <w:trPr>
          <w:jc w:val="center"/>
        </w:trPr>
        <w:tc>
          <w:tcPr>
            <w:tcW w:w="10401" w:type="dxa"/>
            <w:gridSpan w:val="15"/>
            <w:tcBorders>
              <w:top w:val="single" w:sz="4" w:space="0" w:color="auto"/>
            </w:tcBorders>
            <w:shd w:val="clear" w:color="auto" w:fill="FFFFFF"/>
            <w:vAlign w:val="bottom"/>
          </w:tcPr>
          <w:p w14:paraId="5AFECC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295pt"/>
                <w:rFonts w:ascii="Sylfaen" w:hAnsi="Sylfaen"/>
                <w:sz w:val="24"/>
                <w:szCs w:val="24"/>
              </w:rPr>
              <w:t>Բ.I.ե)</w:t>
            </w:r>
            <w:r w:rsidRPr="003B2786">
              <w:rPr>
                <w:rStyle w:val="Bodytext295pt"/>
                <w:rFonts w:ascii="Sylfaen" w:hAnsi="Sylfaen"/>
                <w:sz w:val="24"/>
                <w:szCs w:val="24"/>
              </w:rPr>
              <w:tab/>
              <w:t>Փաթեթավորման-խցանափակման համակարգը</w:t>
            </w:r>
          </w:p>
        </w:tc>
      </w:tr>
      <w:tr w:rsidR="008C76E0" w:rsidRPr="003B2786" w14:paraId="73157E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8206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Բ.I.ե. 1.</w:t>
            </w:r>
            <w:r w:rsidRPr="003B2786">
              <w:rPr>
                <w:rStyle w:val="Bodytext1811pt"/>
                <w:rFonts w:ascii="Sylfaen" w:hAnsi="Sylfaen"/>
                <w:sz w:val="24"/>
                <w:szCs w:val="24"/>
              </w:rPr>
              <w:tab/>
              <w:t>Դեղապատրաստուկի առաջնային փաթեթվածքի փոփոխությունը</w:t>
            </w:r>
          </w:p>
        </w:tc>
        <w:tc>
          <w:tcPr>
            <w:tcW w:w="1701" w:type="dxa"/>
            <w:gridSpan w:val="4"/>
            <w:tcBorders>
              <w:top w:val="single" w:sz="4" w:space="0" w:color="auto"/>
              <w:left w:val="single" w:sz="4" w:space="0" w:color="auto"/>
            </w:tcBorders>
            <w:shd w:val="clear" w:color="auto" w:fill="FFFFFF"/>
          </w:tcPr>
          <w:p w14:paraId="579FA42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26A11E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5A3D0C8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116D5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AB3A15F"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w:t>
            </w:r>
          </w:p>
        </w:tc>
        <w:tc>
          <w:tcPr>
            <w:tcW w:w="1701" w:type="dxa"/>
            <w:gridSpan w:val="4"/>
            <w:tcBorders>
              <w:top w:val="single" w:sz="4" w:space="0" w:color="auto"/>
              <w:left w:val="single" w:sz="4" w:space="0" w:color="auto"/>
            </w:tcBorders>
            <w:shd w:val="clear" w:color="auto" w:fill="FFFFFF"/>
          </w:tcPr>
          <w:p w14:paraId="78426771"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6874127"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2DDB4C9C"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17E15A8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40AD2F1"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lang w:val="en-US"/>
              </w:rPr>
              <w:tab/>
            </w:r>
            <w:r w:rsidRPr="003B2786">
              <w:rPr>
                <w:rStyle w:val="Bodytext1811pt"/>
                <w:rFonts w:ascii="Sylfaen" w:hAnsi="Sylfaen"/>
                <w:sz w:val="24"/>
                <w:szCs w:val="24"/>
              </w:rPr>
              <w:t>Պինդ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5E4B50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0A4EB18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07FD34D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1D1DA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B59A90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ոչ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79B66B26"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398970"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w:t>
            </w:r>
          </w:p>
        </w:tc>
        <w:tc>
          <w:tcPr>
            <w:tcW w:w="1719" w:type="dxa"/>
            <w:gridSpan w:val="3"/>
            <w:tcBorders>
              <w:top w:val="single" w:sz="4" w:space="0" w:color="auto"/>
              <w:left w:val="single" w:sz="4" w:space="0" w:color="auto"/>
              <w:right w:val="single" w:sz="4" w:space="0" w:color="auto"/>
            </w:tcBorders>
            <w:shd w:val="clear" w:color="auto" w:fill="FFFFFF"/>
          </w:tcPr>
          <w:p w14:paraId="485A789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C65D784"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AADCFF0"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w:t>
            </w:r>
            <w:r w:rsidRPr="003B2786">
              <w:rPr>
                <w:rStyle w:val="Bodytext1811pt"/>
                <w:rFonts w:ascii="Sylfaen" w:hAnsi="Sylfaen"/>
                <w:sz w:val="24"/>
                <w:szCs w:val="24"/>
              </w:rPr>
              <w:lastRenderedPageBreak/>
              <w:t>դեղապատրաստուկներ</w:t>
            </w:r>
          </w:p>
        </w:tc>
        <w:tc>
          <w:tcPr>
            <w:tcW w:w="1701" w:type="dxa"/>
            <w:gridSpan w:val="4"/>
            <w:tcBorders>
              <w:top w:val="single" w:sz="4" w:space="0" w:color="auto"/>
              <w:left w:val="single" w:sz="4" w:space="0" w:color="auto"/>
            </w:tcBorders>
            <w:shd w:val="clear" w:color="auto" w:fill="FFFFFF"/>
          </w:tcPr>
          <w:p w14:paraId="790F277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5569F50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CEA87BA"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A0A8B5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A09C0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 xml:space="preserve">Փոփոխությունը վերաբերում է այն փաթեթվածքին, որը պահպանման պայմանների միաժամանակյա փոփոխության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պիտանիության ժամկետի կրճատման դեպքում ունի նվազագույն պաշտպանիչ հատկություններ</w:t>
            </w:r>
          </w:p>
        </w:tc>
        <w:tc>
          <w:tcPr>
            <w:tcW w:w="1701" w:type="dxa"/>
            <w:gridSpan w:val="4"/>
            <w:tcBorders>
              <w:top w:val="single" w:sz="4" w:space="0" w:color="auto"/>
              <w:left w:val="single" w:sz="4" w:space="0" w:color="auto"/>
            </w:tcBorders>
            <w:shd w:val="clear" w:color="auto" w:fill="FFFFFF"/>
          </w:tcPr>
          <w:p w14:paraId="4337C26F"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D2AFD5B"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5466E8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70769B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90EDE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բեռնարկղի (կոնտեյների) տեսակի փոփոխություն կամ նոր բեռնարկղի ավելացում</w:t>
            </w:r>
          </w:p>
        </w:tc>
        <w:tc>
          <w:tcPr>
            <w:tcW w:w="1701" w:type="dxa"/>
            <w:gridSpan w:val="4"/>
            <w:tcBorders>
              <w:top w:val="single" w:sz="4" w:space="0" w:color="auto"/>
              <w:left w:val="single" w:sz="4" w:space="0" w:color="auto"/>
            </w:tcBorders>
            <w:shd w:val="clear" w:color="auto" w:fill="FFFFFF"/>
          </w:tcPr>
          <w:p w14:paraId="3002F06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BCDC8E7"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20A14CAE" w14:textId="77777777" w:rsidR="008C76E0" w:rsidRPr="003B2786" w:rsidRDefault="008C76E0" w:rsidP="008C76E0">
            <w:pPr>
              <w:tabs>
                <w:tab w:val="left" w:pos="567"/>
              </w:tabs>
              <w:spacing w:after="120" w:line="240" w:lineRule="auto"/>
              <w:ind w:left="63"/>
              <w:jc w:val="center"/>
              <w:rPr>
                <w:rFonts w:ascii="Sylfaen" w:hAnsi="Sylfaen"/>
                <w:sz w:val="24"/>
                <w:szCs w:val="24"/>
              </w:rPr>
            </w:pPr>
          </w:p>
        </w:tc>
      </w:tr>
      <w:tr w:rsidR="008C76E0" w:rsidRPr="003B2786" w14:paraId="04D8233A"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26FFF74" w14:textId="77777777" w:rsidR="008C76E0" w:rsidRPr="008C76E0" w:rsidRDefault="008C76E0" w:rsidP="008C76E0">
            <w:pPr>
              <w:pStyle w:val="Bodytext180"/>
              <w:numPr>
                <w:ilvl w:val="0"/>
                <w:numId w:val="23"/>
              </w:numPr>
              <w:shd w:val="clear" w:color="auto" w:fill="auto"/>
              <w:tabs>
                <w:tab w:val="left" w:pos="567"/>
              </w:tabs>
              <w:spacing w:before="0" w:after="120" w:line="240" w:lineRule="auto"/>
              <w:ind w:right="210"/>
              <w:jc w:val="both"/>
              <w:rPr>
                <w:rFonts w:ascii="Sylfaen" w:hAnsi="Sylfaen"/>
                <w:b w:val="0"/>
                <w:sz w:val="24"/>
                <w:szCs w:val="24"/>
                <w:lang w:val="hy-AM"/>
              </w:rPr>
            </w:pPr>
            <w:r w:rsidRPr="003B2786">
              <w:rPr>
                <w:rStyle w:val="Bodytext1811pt"/>
                <w:rFonts w:ascii="Sylfaen" w:hAnsi="Sylfaen"/>
                <w:sz w:val="24"/>
                <w:szCs w:val="24"/>
              </w:rPr>
              <w:t xml:space="preserve">Պինդ, փափուկ </w:t>
            </w:r>
            <w:r w:rsidR="00C54D75">
              <w:rPr>
                <w:rStyle w:val="Bodytext1811pt"/>
                <w:rFonts w:ascii="Sylfaen" w:hAnsi="Sylfaen"/>
                <w:sz w:val="24"/>
                <w:szCs w:val="24"/>
              </w:rPr>
              <w:t>և</w:t>
            </w:r>
            <w:r w:rsidRPr="003B2786">
              <w:rPr>
                <w:rStyle w:val="Bodytext1811pt"/>
                <w:rFonts w:ascii="Sylfaen" w:hAnsi="Sylfaen"/>
                <w:sz w:val="24"/>
                <w:szCs w:val="24"/>
              </w:rPr>
              <w:t xml:space="preserve"> մանրէազերծ հեղուկ դեղաձ</w:t>
            </w:r>
            <w:r w:rsidR="00C54D75">
              <w:rPr>
                <w:rStyle w:val="Bodytext1811pt"/>
                <w:rFonts w:ascii="Sylfaen" w:hAnsi="Sylfaen"/>
                <w:sz w:val="24"/>
                <w:szCs w:val="24"/>
              </w:rPr>
              <w:t>և</w:t>
            </w:r>
            <w:r w:rsidRPr="003B2786">
              <w:rPr>
                <w:rStyle w:val="Bodytext1811pt"/>
                <w:rFonts w:ascii="Sylfaen" w:hAnsi="Sylfaen"/>
                <w:sz w:val="24"/>
                <w:szCs w:val="24"/>
              </w:rPr>
              <w:t>եր</w:t>
            </w:r>
          </w:p>
        </w:tc>
        <w:tc>
          <w:tcPr>
            <w:tcW w:w="1701" w:type="dxa"/>
            <w:gridSpan w:val="4"/>
            <w:tcBorders>
              <w:top w:val="single" w:sz="4" w:space="0" w:color="auto"/>
              <w:left w:val="single" w:sz="4" w:space="0" w:color="auto"/>
            </w:tcBorders>
            <w:shd w:val="clear" w:color="auto" w:fill="FFFFFF"/>
          </w:tcPr>
          <w:p w14:paraId="3DA7DAC9"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B811C18"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1, 2, 3, 5, 6, 7</w:t>
            </w:r>
          </w:p>
        </w:tc>
        <w:tc>
          <w:tcPr>
            <w:tcW w:w="1719" w:type="dxa"/>
            <w:gridSpan w:val="3"/>
            <w:tcBorders>
              <w:top w:val="single" w:sz="4" w:space="0" w:color="auto"/>
              <w:left w:val="single" w:sz="4" w:space="0" w:color="auto"/>
              <w:right w:val="single" w:sz="4" w:space="0" w:color="auto"/>
            </w:tcBorders>
            <w:shd w:val="clear" w:color="auto" w:fill="FFFFFF"/>
          </w:tcPr>
          <w:p w14:paraId="531FC51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55F306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2CC19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Մանրէազերծ դեղապատրաստուկներ </w:t>
            </w:r>
            <w:r w:rsidR="00C54D75">
              <w:rPr>
                <w:rStyle w:val="Bodytext1811pt"/>
                <w:rFonts w:ascii="Sylfaen" w:hAnsi="Sylfaen"/>
                <w:sz w:val="24"/>
                <w:szCs w:val="24"/>
              </w:rPr>
              <w:t>և</w:t>
            </w:r>
            <w:r w:rsidRPr="003B2786">
              <w:rPr>
                <w:rStyle w:val="Bodytext1811pt"/>
                <w:rFonts w:ascii="Sylfaen" w:hAnsi="Sylfaen"/>
                <w:sz w:val="24"/>
                <w:szCs w:val="24"/>
              </w:rPr>
              <w:t xml:space="preserve"> կենսաբանական (իմունաբանական) դեղապատրաստուկներ</w:t>
            </w:r>
          </w:p>
        </w:tc>
        <w:tc>
          <w:tcPr>
            <w:tcW w:w="1701" w:type="dxa"/>
            <w:gridSpan w:val="4"/>
            <w:tcBorders>
              <w:top w:val="single" w:sz="4" w:space="0" w:color="auto"/>
              <w:left w:val="single" w:sz="4" w:space="0" w:color="auto"/>
            </w:tcBorders>
            <w:shd w:val="clear" w:color="auto" w:fill="FFFFFF"/>
          </w:tcPr>
          <w:p w14:paraId="1B077E82"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98D0664"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23AD08C"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6FB6445" w14:textId="77777777" w:rsidTr="008C76E0">
        <w:trPr>
          <w:jc w:val="center"/>
        </w:trPr>
        <w:tc>
          <w:tcPr>
            <w:tcW w:w="4997" w:type="dxa"/>
            <w:gridSpan w:val="6"/>
            <w:tcBorders>
              <w:top w:val="single" w:sz="4" w:space="0" w:color="auto"/>
              <w:left w:val="single" w:sz="4" w:space="0" w:color="auto"/>
            </w:tcBorders>
            <w:shd w:val="clear" w:color="auto" w:fill="FFFFFF"/>
          </w:tcPr>
          <w:p w14:paraId="4FD092F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Առաջնային փաթեթվածքի բեռնարկղի բացառում, որը չի հանգեցնում դոզայի կամ դեղաձ</w:t>
            </w:r>
            <w:r w:rsidR="00C54D75">
              <w:rPr>
                <w:rStyle w:val="Bodytext1811pt"/>
                <w:rFonts w:ascii="Sylfaen" w:hAnsi="Sylfaen"/>
                <w:sz w:val="24"/>
                <w:szCs w:val="24"/>
              </w:rPr>
              <w:t>և</w:t>
            </w:r>
            <w:r w:rsidRPr="003B2786">
              <w:rPr>
                <w:rStyle w:val="Bodytext1811pt"/>
                <w:rFonts w:ascii="Sylfaen" w:hAnsi="Sylfaen"/>
                <w:sz w:val="24"/>
                <w:szCs w:val="24"/>
              </w:rPr>
              <w:t>ի բացարձակ բացառման</w:t>
            </w:r>
          </w:p>
        </w:tc>
        <w:tc>
          <w:tcPr>
            <w:tcW w:w="1701" w:type="dxa"/>
            <w:gridSpan w:val="4"/>
            <w:tcBorders>
              <w:top w:val="single" w:sz="4" w:space="0" w:color="auto"/>
              <w:left w:val="single" w:sz="4" w:space="0" w:color="auto"/>
            </w:tcBorders>
            <w:shd w:val="clear" w:color="auto" w:fill="FFFFFF"/>
          </w:tcPr>
          <w:p w14:paraId="0FA323BD"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009ED5DE"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1, 8</w:t>
            </w:r>
          </w:p>
        </w:tc>
        <w:tc>
          <w:tcPr>
            <w:tcW w:w="1719" w:type="dxa"/>
            <w:gridSpan w:val="3"/>
            <w:tcBorders>
              <w:top w:val="single" w:sz="4" w:space="0" w:color="auto"/>
              <w:left w:val="single" w:sz="4" w:space="0" w:color="auto"/>
              <w:right w:val="single" w:sz="4" w:space="0" w:color="auto"/>
            </w:tcBorders>
            <w:shd w:val="clear" w:color="auto" w:fill="FFFFFF"/>
          </w:tcPr>
          <w:p w14:paraId="687F4EB5" w14:textId="77777777" w:rsidR="008C76E0" w:rsidRPr="003B2786" w:rsidRDefault="008C76E0" w:rsidP="008C76E0">
            <w:pPr>
              <w:pStyle w:val="Bodytext180"/>
              <w:shd w:val="clear" w:color="auto" w:fill="auto"/>
              <w:tabs>
                <w:tab w:val="left" w:pos="567"/>
              </w:tabs>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B756E8F"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2542B3A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0AF3395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վերաբերում է փաթեթվածքի (բեռնարկղի) միայն մի</w:t>
            </w:r>
            <w:r w:rsidR="00C54D75">
              <w:rPr>
                <w:rStyle w:val="Bodytext1811pt"/>
                <w:rFonts w:ascii="Sylfaen" w:hAnsi="Sylfaen"/>
                <w:sz w:val="24"/>
                <w:szCs w:val="24"/>
              </w:rPr>
              <w:t>և</w:t>
            </w:r>
            <w:r w:rsidRPr="003B2786">
              <w:rPr>
                <w:rStyle w:val="Bodytext1811pt"/>
                <w:rFonts w:ascii="Sylfaen" w:hAnsi="Sylfaen"/>
                <w:sz w:val="24"/>
                <w:szCs w:val="24"/>
              </w:rPr>
              <w:t>նույն տեսակին (օրինակ՝ բլիստերը բլիստերով)։</w:t>
            </w:r>
          </w:p>
          <w:p w14:paraId="2FEB2A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Նշանակալի հատկություններով առաջարկվող փաթեթավորման նյութը պետք է առնվազն համարժեք լինի հաստատվածին:</w:t>
            </w:r>
          </w:p>
          <w:p w14:paraId="6BD0FC8C" w14:textId="41CB73A3"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Միության փաստաթղթերին համապատասխան՝ սկսվել են կայունության համապատասխան փորձարկումները,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ն փոփոխությունների ներմուծման պահին վերլուծել է ոչ պակաս, քան 2 փորձարարաարդյունաբերական կամ արդյունաբերական սերիայի կայունության համապատասխան պարամետրերը, նրա տրամադրության տակ են գտնվում կայունության առնվազն 3-ամսյա ուսումնասիրության բավարար արդյունքները: Սակայն եթե առաջարկվող փաթեթվածքը հաստատվածի համեմատությամբ ավելի կայուն է, ապա չեն պահանջվում կայունության 3-ամսյա տվյալները։ Հետազոտությունները պետք է ավարտվեն, եթե արդյունքները չեն համապատասխանում մասնագրերին կամ հնարավոր է, որ չհամապատասխանեն մասնագրերին՝ պիտանիության ժամկետի ավարտին, ապա դրանք գործողությունների առաջարկվող պլանի հետ անհրաժեշտ է անհապաղ ներկայացնել լիազորված մարմին:</w:t>
            </w:r>
          </w:p>
        </w:tc>
      </w:tr>
      <w:tr w:rsidR="008C76E0" w:rsidRPr="003B2786" w14:paraId="12D12631"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center"/>
          </w:tcPr>
          <w:p w14:paraId="731F4CC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Դեղապատրաստուկի 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պետք է բավարար լինի (լինեն) դեղապատրաստուկի ընդհանուր բնութագրում նշված դոզայի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tc>
      </w:tr>
      <w:tr w:rsidR="008C76E0" w:rsidRPr="003B2786" w14:paraId="5C7DAA2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B2ECC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31A8D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lastRenderedPageBreak/>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7271C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Նոր փաթեթվածքի վերաբերյալ անհրաժեշտ տվյալները (օրինակ՝ թափանցելիության վերաբերյալ համեմատական տվյալները, օրինակ՝ 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СО</w:t>
            </w:r>
            <w:r w:rsidRPr="003B2786">
              <w:rPr>
                <w:rStyle w:val="Bodytext295pt"/>
                <w:rFonts w:ascii="Sylfaen" w:hAnsi="Sylfaen"/>
                <w:sz w:val="24"/>
                <w:szCs w:val="24"/>
                <w:vertAlign w:val="subscript"/>
              </w:rPr>
              <w:t>2</w:t>
            </w:r>
            <w:r w:rsidRPr="008C76E0">
              <w:rPr>
                <w:rFonts w:ascii="Sylfaen" w:hAnsi="Sylfaen"/>
                <w:sz w:val="24"/>
                <w:szCs w:val="24"/>
                <w:lang w:val="hy-AM"/>
              </w:rPr>
              <w:t>-</w:t>
            </w:r>
            <w:r w:rsidRPr="008C76E0">
              <w:rPr>
                <w:rFonts w:ascii="Sylfaen" w:hAnsi="Sylfaen"/>
                <w:b w:val="0"/>
                <w:sz w:val="24"/>
                <w:szCs w:val="24"/>
                <w:lang w:val="hy-AM"/>
              </w:rPr>
              <w:t>ի</w:t>
            </w:r>
            <w:r w:rsidRPr="003B2786">
              <w:rPr>
                <w:rStyle w:val="Bodytext1811pt"/>
                <w:rFonts w:ascii="Sylfaen" w:hAnsi="Sylfaen"/>
                <w:sz w:val="24"/>
                <w:szCs w:val="24"/>
              </w:rPr>
              <w:t xml:space="preserve">, խոնավության համար </w:t>
            </w:r>
            <w:r w:rsidR="00C54D75">
              <w:rPr>
                <w:rStyle w:val="Bodytext1811pt"/>
                <w:rFonts w:ascii="Sylfaen" w:hAnsi="Sylfaen"/>
                <w:sz w:val="24"/>
                <w:szCs w:val="24"/>
              </w:rPr>
              <w:t>և</w:t>
            </w:r>
            <w:r w:rsidRPr="003B2786">
              <w:rPr>
                <w:rStyle w:val="Bodytext1811pt"/>
                <w:rFonts w:ascii="Sylfaen" w:hAnsi="Sylfaen"/>
                <w:sz w:val="24"/>
                <w:szCs w:val="24"/>
              </w:rPr>
              <w:t xml:space="preserve"> այլն):</w:t>
            </w:r>
          </w:p>
          <w:p w14:paraId="4277268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Համապատասխան դեպքերում անհրաժեշտ է տրամադրել հաստատումն այն բանի, որ պարունակության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փաթեթավորման նյութի միջ</w:t>
            </w:r>
            <w:r w:rsidR="00C54D75">
              <w:rPr>
                <w:rStyle w:val="Bodytext1811pt"/>
                <w:rFonts w:ascii="Sylfaen" w:hAnsi="Sylfaen"/>
                <w:sz w:val="24"/>
                <w:szCs w:val="24"/>
              </w:rPr>
              <w:t>և</w:t>
            </w:r>
            <w:r w:rsidRPr="003B2786">
              <w:rPr>
                <w:rStyle w:val="Bodytext1811pt"/>
                <w:rFonts w:ascii="Sylfaen" w:hAnsi="Sylfaen"/>
                <w:sz w:val="24"/>
                <w:szCs w:val="24"/>
              </w:rPr>
              <w:t xml:space="preserve"> փոխազդեցություն տեղի չի ունենում (օրինակ՝ բացակայում է առաջարկվող նյութի բաղադրիչների տեղափոխումը դրա պարունակության մեջ, դեղապատրաստուկի բաղադրիչները չեն փոխանցվում փաթեթվածք), այդ թվում՝ հաստատումն այն բանի, որ նյութը համապատասխանում է համապատասխան դեղագրքային պահանջներին կամ սննդամթերքի հետ շփման մեջ մտնող պլաստիկ նյութերի </w:t>
            </w:r>
            <w:r w:rsidR="00C54D75">
              <w:rPr>
                <w:rStyle w:val="Bodytext1811pt"/>
                <w:rFonts w:ascii="Sylfaen" w:hAnsi="Sylfaen"/>
                <w:sz w:val="24"/>
                <w:szCs w:val="24"/>
              </w:rPr>
              <w:t>և</w:t>
            </w:r>
            <w:r w:rsidRPr="003B2786">
              <w:rPr>
                <w:rStyle w:val="Bodytext1811pt"/>
                <w:rFonts w:ascii="Sylfaen" w:hAnsi="Sylfaen"/>
                <w:sz w:val="24"/>
                <w:szCs w:val="24"/>
              </w:rPr>
              <w:t xml:space="preserve"> օբյեկտների մասին Միության օրենսդրությանը:</w:t>
            </w:r>
          </w:p>
          <w:p w14:paraId="700DB240" w14:textId="5827F856"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Միության փաստաթղթերին համապատասխան՝ սկսվել են կայունության պահանջվող ուսումնասիրությունները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փոփոխություններ կատարելու պահին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տրամադրության տակ եղել են կայունության վերաբերյալ պահանջվող նվազագույն բավարար տվյալներ, </w:t>
            </w:r>
            <w:r w:rsidR="00C54D75">
              <w:rPr>
                <w:rStyle w:val="Bodytext1811pt"/>
                <w:rFonts w:ascii="Sylfaen" w:hAnsi="Sylfaen"/>
                <w:sz w:val="24"/>
                <w:szCs w:val="24"/>
              </w:rPr>
              <w:t>և</w:t>
            </w:r>
            <w:r w:rsidRPr="003B2786">
              <w:rPr>
                <w:rStyle w:val="Bodytext1811pt"/>
                <w:rFonts w:ascii="Sylfaen" w:hAnsi="Sylfaen"/>
                <w:sz w:val="24"/>
                <w:szCs w:val="24"/>
              </w:rPr>
              <w:t xml:space="preserve"> որ առկա տվյալները չեն վկայել որ</w:t>
            </w:r>
            <w:r w:rsidR="00C54D75">
              <w:rPr>
                <w:rStyle w:val="Bodytext1811pt"/>
                <w:rFonts w:ascii="Sylfaen" w:hAnsi="Sylfaen"/>
                <w:sz w:val="24"/>
                <w:szCs w:val="24"/>
              </w:rPr>
              <w:t>և</w:t>
            </w:r>
            <w:r w:rsidRPr="003B2786">
              <w:rPr>
                <w:rStyle w:val="Bodytext1811pt"/>
                <w:rFonts w:ascii="Sylfaen" w:hAnsi="Sylfaen"/>
                <w:sz w:val="24"/>
                <w:szCs w:val="24"/>
              </w:rPr>
              <w:t>է խնդրի մասին: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չեն համապատասխանի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587C3DB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Կայունության էական պարամետրերով, 2-ից ոչ պակաս փորձարարաարդյունաբերական կամ արդյունաբերական սերիայի նկատմամբ, 3 ամսից ոչ պակաս տ</w:t>
            </w:r>
            <w:r w:rsidR="00C54D75">
              <w:rPr>
                <w:rStyle w:val="Bodytext1811pt"/>
                <w:rFonts w:ascii="Sylfaen" w:hAnsi="Sylfaen"/>
                <w:sz w:val="24"/>
                <w:szCs w:val="24"/>
              </w:rPr>
              <w:t>և</w:t>
            </w:r>
            <w:r w:rsidRPr="003B2786">
              <w:rPr>
                <w:rStyle w:val="Bodytext1811pt"/>
                <w:rFonts w:ascii="Sylfaen" w:hAnsi="Sylfaen"/>
                <w:sz w:val="24"/>
                <w:szCs w:val="24"/>
              </w:rPr>
              <w:t xml:space="preserve">ողությամբ՝ Միության փաստաթղթերին համապատասխան անցկացված կայունության ուսումնասիրությունների արդյունքներն ու հաստատումն այն բանի, որ նշված ուսումնասիրությունները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պիտանիության ժամկետի ավարտին, ապա դրանք գործողությունների առաջարկվող պլանի հետ անհապաղ կներկայացվեն լիազոր մարմին:</w:t>
            </w:r>
          </w:p>
          <w:p w14:paraId="3158175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ընթացիկ կամ առաջարկվող մասնագրերի համեմատություն (եթե կիրառելի է):</w:t>
            </w:r>
          </w:p>
          <w:p w14:paraId="1B84C64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4FB7E29E" w14:textId="0855C845"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0056496B">
              <w:rPr>
                <w:rStyle w:val="Bodytext1811pt"/>
                <w:rFonts w:ascii="Sylfaen" w:hAnsi="Sylfaen"/>
                <w:spacing w:val="4"/>
                <w:sz w:val="24"/>
                <w:szCs w:val="24"/>
              </w:rPr>
              <w:t>Դիմում</w:t>
            </w:r>
            <w:r w:rsidRPr="003B2786">
              <w:rPr>
                <w:rStyle w:val="Bodytext1811pt"/>
                <w:rFonts w:ascii="Sylfaen" w:hAnsi="Sylfaen"/>
                <w:spacing w:val="4"/>
                <w:sz w:val="24"/>
                <w:szCs w:val="24"/>
              </w:rPr>
              <w:t xml:space="preserve">արարագիր այն մասին, որ փաթեթվածքի մնացած չափը (չափերը) համապատասխանում է (են) դոզավորման ռեժիմին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բուժման տ</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ողությանը ու բավարար է (են) դեղապատրաստուկի ընդհանուր բնութագրում ներկայացված դոզավորման վերաբերյալ առաջարկությունների կատարման համար։</w:t>
            </w:r>
          </w:p>
        </w:tc>
      </w:tr>
      <w:tr w:rsidR="008C76E0" w:rsidRPr="003B2786" w14:paraId="145951EC" w14:textId="77777777" w:rsidTr="008C76E0">
        <w:trPr>
          <w:jc w:val="center"/>
        </w:trPr>
        <w:tc>
          <w:tcPr>
            <w:tcW w:w="2334" w:type="dxa"/>
            <w:gridSpan w:val="2"/>
            <w:tcBorders>
              <w:top w:val="single" w:sz="4" w:space="0" w:color="auto"/>
              <w:left w:val="single" w:sz="4" w:space="0" w:color="auto"/>
            </w:tcBorders>
            <w:shd w:val="clear" w:color="auto" w:fill="FFFFFF"/>
            <w:vAlign w:val="center"/>
          </w:tcPr>
          <w:p w14:paraId="5BF58371" w14:textId="77777777" w:rsidR="008C76E0" w:rsidRPr="003B2786" w:rsidRDefault="008C76E0" w:rsidP="008C76E0">
            <w:pPr>
              <w:pStyle w:val="Bodytext180"/>
              <w:shd w:val="clear" w:color="auto" w:fill="auto"/>
              <w:tabs>
                <w:tab w:val="left" w:pos="567"/>
              </w:tabs>
              <w:spacing w:before="0" w:after="120" w:line="240" w:lineRule="auto"/>
              <w:ind w:left="157"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4C067C1" w14:textId="7415A62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Բ.II.Ե.1.բ-ի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առաջացմանը»,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64202CF8"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41A8997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Բ.II.ե.2.</w:t>
            </w:r>
            <w:r w:rsidRPr="003B2786">
              <w:rPr>
                <w:rStyle w:val="Bodytext1811pt"/>
                <w:rFonts w:ascii="Sylfaen" w:hAnsi="Sylfaen"/>
                <w:sz w:val="24"/>
                <w:szCs w:val="24"/>
              </w:rPr>
              <w:tab/>
              <w:t xml:space="preserve">Դեղապատրաստուկի </w:t>
            </w:r>
            <w:r w:rsidRPr="003B2786">
              <w:rPr>
                <w:rStyle w:val="Bodytext1811pt"/>
                <w:rFonts w:ascii="Sylfaen" w:hAnsi="Sylfaen"/>
                <w:sz w:val="24"/>
                <w:szCs w:val="24"/>
              </w:rPr>
              <w:lastRenderedPageBreak/>
              <w:t xml:space="preserve">առաջնային փաթեթվածքի մասնագրի պարամետրերի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ընդունելիության չափանիշների փոփոխությունը</w:t>
            </w:r>
          </w:p>
        </w:tc>
        <w:tc>
          <w:tcPr>
            <w:tcW w:w="1701" w:type="dxa"/>
            <w:gridSpan w:val="4"/>
            <w:tcBorders>
              <w:top w:val="single" w:sz="4" w:space="0" w:color="auto"/>
              <w:left w:val="single" w:sz="4" w:space="0" w:color="auto"/>
              <w:bottom w:val="single" w:sz="4" w:space="0" w:color="auto"/>
            </w:tcBorders>
            <w:shd w:val="clear" w:color="auto" w:fill="FFFFFF"/>
          </w:tcPr>
          <w:p w14:paraId="7C15003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4CB6137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 xml:space="preserve">Փաստաթղթերը </w:t>
            </w:r>
            <w:r w:rsidR="00C54D75">
              <w:rPr>
                <w:rStyle w:val="Bodytext1811pt"/>
                <w:rFonts w:ascii="Sylfaen" w:hAnsi="Sylfaen"/>
                <w:sz w:val="24"/>
                <w:szCs w:val="24"/>
              </w:rPr>
              <w:lastRenderedPageBreak/>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0015EC8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lastRenderedPageBreak/>
              <w:t>Ընթացակարգ</w:t>
            </w:r>
            <w:r w:rsidRPr="003B2786">
              <w:rPr>
                <w:rStyle w:val="Bodytext1811pt"/>
                <w:rFonts w:ascii="Sylfaen" w:hAnsi="Sylfaen"/>
                <w:sz w:val="24"/>
                <w:szCs w:val="24"/>
              </w:rPr>
              <w:lastRenderedPageBreak/>
              <w:t>ը</w:t>
            </w:r>
          </w:p>
        </w:tc>
      </w:tr>
      <w:tr w:rsidR="008C76E0" w:rsidRPr="003B2786" w14:paraId="3302872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16A00D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մասնագրի ընդունելիության չափանիշների խստացում</w:t>
            </w:r>
          </w:p>
        </w:tc>
        <w:tc>
          <w:tcPr>
            <w:tcW w:w="1701" w:type="dxa"/>
            <w:gridSpan w:val="4"/>
            <w:tcBorders>
              <w:top w:val="single" w:sz="4" w:space="0" w:color="auto"/>
              <w:left w:val="single" w:sz="4" w:space="0" w:color="auto"/>
            </w:tcBorders>
            <w:shd w:val="clear" w:color="auto" w:fill="FFFFFF"/>
          </w:tcPr>
          <w:p w14:paraId="1AAED195"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3FAB11AD"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20D1FDCE"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26A19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307A9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մասնագրում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դրան համապատասխան վերլուծական մեթոդիկայի ավելացում</w:t>
            </w:r>
          </w:p>
        </w:tc>
        <w:tc>
          <w:tcPr>
            <w:tcW w:w="1701" w:type="dxa"/>
            <w:gridSpan w:val="4"/>
            <w:tcBorders>
              <w:top w:val="single" w:sz="4" w:space="0" w:color="auto"/>
              <w:left w:val="single" w:sz="4" w:space="0" w:color="auto"/>
            </w:tcBorders>
            <w:shd w:val="clear" w:color="auto" w:fill="FFFFFF"/>
          </w:tcPr>
          <w:p w14:paraId="57F6C969"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984" w:type="dxa"/>
            <w:gridSpan w:val="2"/>
            <w:tcBorders>
              <w:top w:val="single" w:sz="4" w:space="0" w:color="auto"/>
              <w:left w:val="single" w:sz="4" w:space="0" w:color="auto"/>
            </w:tcBorders>
            <w:shd w:val="clear" w:color="auto" w:fill="FFFFFF"/>
          </w:tcPr>
          <w:p w14:paraId="3199A434"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6E3D2E50"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DAE8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11A7F9"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3B2786">
              <w:rPr>
                <w:rStyle w:val="Bodytext1811pt"/>
                <w:rFonts w:ascii="Sylfaen" w:hAnsi="Sylfaen"/>
                <w:sz w:val="24"/>
                <w:szCs w:val="24"/>
              </w:rPr>
              <w:t>գ)</w:t>
            </w:r>
            <w:r w:rsidRPr="003B2786">
              <w:rPr>
                <w:rStyle w:val="Bodytext1811pt"/>
                <w:rFonts w:ascii="Sylfaen" w:hAnsi="Sylfaen"/>
                <w:sz w:val="24"/>
                <w:szCs w:val="24"/>
              </w:rPr>
              <w:tab/>
              <w:t>մասնագրի ոչ էական պարամետրի բացառում (օրինակ՝ հնացած պարամետրի բացառում)</w:t>
            </w:r>
          </w:p>
          <w:p w14:paraId="0D65C2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c>
          <w:tcPr>
            <w:tcW w:w="1701" w:type="dxa"/>
            <w:gridSpan w:val="4"/>
            <w:tcBorders>
              <w:top w:val="single" w:sz="4" w:space="0" w:color="auto"/>
              <w:left w:val="single" w:sz="4" w:space="0" w:color="auto"/>
            </w:tcBorders>
            <w:shd w:val="clear" w:color="auto" w:fill="FFFFFF"/>
          </w:tcPr>
          <w:p w14:paraId="13F455F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F92CA56"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1, 2, 5</w:t>
            </w:r>
          </w:p>
        </w:tc>
        <w:tc>
          <w:tcPr>
            <w:tcW w:w="1719" w:type="dxa"/>
            <w:gridSpan w:val="3"/>
            <w:tcBorders>
              <w:top w:val="single" w:sz="4" w:space="0" w:color="auto"/>
              <w:left w:val="single" w:sz="4" w:space="0" w:color="auto"/>
              <w:right w:val="single" w:sz="4" w:space="0" w:color="auto"/>
            </w:tcBorders>
            <w:shd w:val="clear" w:color="auto" w:fill="FFFFFF"/>
          </w:tcPr>
          <w:p w14:paraId="5D690468"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D65EA4F" w14:textId="77777777" w:rsidTr="008C76E0">
        <w:trPr>
          <w:jc w:val="center"/>
        </w:trPr>
        <w:tc>
          <w:tcPr>
            <w:tcW w:w="4997" w:type="dxa"/>
            <w:gridSpan w:val="6"/>
            <w:tcBorders>
              <w:top w:val="single" w:sz="4" w:space="0" w:color="auto"/>
              <w:left w:val="single" w:sz="4" w:space="0" w:color="auto"/>
            </w:tcBorders>
            <w:shd w:val="clear" w:color="auto" w:fill="FFFFFF"/>
          </w:tcPr>
          <w:p w14:paraId="0910344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մասնագրի պարամետրի ավելացում կամ փոխարինում՝ անվտանգության կամ որակի նկատառումներից ելնելով</w:t>
            </w:r>
          </w:p>
        </w:tc>
        <w:tc>
          <w:tcPr>
            <w:tcW w:w="1701" w:type="dxa"/>
            <w:gridSpan w:val="4"/>
            <w:tcBorders>
              <w:top w:val="single" w:sz="4" w:space="0" w:color="auto"/>
              <w:left w:val="single" w:sz="4" w:space="0" w:color="auto"/>
            </w:tcBorders>
            <w:shd w:val="clear" w:color="auto" w:fill="FFFFFF"/>
          </w:tcPr>
          <w:p w14:paraId="4DB2B6D3"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C1CA27A"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1, 2, 3, 4, 6</w:t>
            </w:r>
          </w:p>
        </w:tc>
        <w:tc>
          <w:tcPr>
            <w:tcW w:w="1719" w:type="dxa"/>
            <w:gridSpan w:val="3"/>
            <w:tcBorders>
              <w:top w:val="single" w:sz="4" w:space="0" w:color="auto"/>
              <w:left w:val="single" w:sz="4" w:space="0" w:color="auto"/>
              <w:right w:val="single" w:sz="4" w:space="0" w:color="auto"/>
            </w:tcBorders>
            <w:shd w:val="clear" w:color="auto" w:fill="FFFFFF"/>
          </w:tcPr>
          <w:p w14:paraId="51921CC1" w14:textId="77777777" w:rsidR="008C76E0" w:rsidRPr="003B2786" w:rsidRDefault="008C76E0" w:rsidP="008C76E0">
            <w:pPr>
              <w:pStyle w:val="Bodytext180"/>
              <w:shd w:val="clear" w:color="auto" w:fill="auto"/>
              <w:spacing w:before="0" w:after="120" w:line="240" w:lineRule="auto"/>
              <w:ind w:right="59"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55943A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9DABC80"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77E789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հետ</w:t>
            </w:r>
            <w:r w:rsidR="00C54D75">
              <w:rPr>
                <w:rStyle w:val="Bodytext1811pt"/>
                <w:rFonts w:ascii="Sylfaen" w:hAnsi="Sylfaen"/>
                <w:sz w:val="24"/>
                <w:szCs w:val="24"/>
              </w:rPr>
              <w:t>և</w:t>
            </w:r>
            <w:r w:rsidRPr="003B2786">
              <w:rPr>
                <w:rStyle w:val="Bodytext1811pt"/>
                <w:rFonts w:ascii="Sylfaen" w:hAnsi="Sylfaen"/>
                <w:sz w:val="24"/>
                <w:szCs w:val="24"/>
              </w:rPr>
              <w:t>անք չէ մասնագրի ընդունելիության չափանիշների վերլուծության նպատակով նախկինում կատարված փորձաքննության արդյունքներով ընդունված որ</w:t>
            </w:r>
            <w:r w:rsidR="00C54D75">
              <w:rPr>
                <w:rStyle w:val="Bodytext1811pt"/>
                <w:rFonts w:ascii="Sylfaen" w:hAnsi="Sylfaen"/>
                <w:sz w:val="24"/>
                <w:szCs w:val="24"/>
              </w:rPr>
              <w:t>և</w:t>
            </w:r>
            <w:r w:rsidRPr="003B2786">
              <w:rPr>
                <w:rStyle w:val="Bodytext1811pt"/>
                <w:rFonts w:ascii="Sylfaen" w:hAnsi="Sylfaen"/>
                <w:sz w:val="24"/>
                <w:szCs w:val="24"/>
              </w:rPr>
              <w:t>է պարտավորության (օրինակ՝ դեղապատրաստուկի գրանցման կամ II տիպի փոփոխության կատարման ընթացքում):</w:t>
            </w:r>
          </w:p>
          <w:p w14:paraId="29E5A0C3"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 արտադրության ընթացքում առաջ եկած անկանխատեսելի իրավիճակների հետ</w:t>
            </w:r>
            <w:r w:rsidR="00C54D75">
              <w:rPr>
                <w:rStyle w:val="Bodytext1811pt"/>
                <w:rFonts w:ascii="Sylfaen" w:hAnsi="Sylfaen"/>
                <w:sz w:val="24"/>
                <w:szCs w:val="24"/>
              </w:rPr>
              <w:t>և</w:t>
            </w:r>
            <w:r w:rsidRPr="003B2786">
              <w:rPr>
                <w:rStyle w:val="Bodytext1811pt"/>
                <w:rFonts w:ascii="Sylfaen" w:hAnsi="Sylfaen"/>
                <w:sz w:val="24"/>
                <w:szCs w:val="24"/>
              </w:rPr>
              <w:t>անք չէ։</w:t>
            </w:r>
          </w:p>
          <w:p w14:paraId="6955132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Ցանկացած փոփոխություն պետք է համապատասխանի ընդունելիության ընթացիկ հաստատված չափանիշների տիրույթին:</w:t>
            </w:r>
          </w:p>
          <w:p w14:paraId="7FCBE5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Վերլուծական մեթոդիկան չի փոփոխվում կամ փոփոխվում է աննշան:</w:t>
            </w:r>
          </w:p>
          <w:p w14:paraId="4C29A985"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441327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C84826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28BA0A2"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19E1A07"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69595AB4"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Նոր վերլուծական մեթոդիկայի մանրամասն նկարագրությունը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վալիդացման տվյալները (համապատասխան դեպքերում):</w:t>
            </w:r>
          </w:p>
          <w:p w14:paraId="23F9AC45"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Մասնագրերի բոլոր պարամետրերով (ցուցանիշներով) փաթեթավորման նյութի երկու սերիայի վերլուծության տվյալները։</w:t>
            </w:r>
          </w:p>
          <w:p w14:paraId="3C5296BA"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Պարամետրի ոչ էական լինելու հանգամանքը հաստատող հիմնավորումը (ռիսկերի գնահատումը)։</w:t>
            </w:r>
          </w:p>
          <w:p w14:paraId="476D383C" w14:textId="77777777" w:rsidR="008C76E0" w:rsidRPr="008C76E0" w:rsidRDefault="008C76E0" w:rsidP="008C76E0">
            <w:pPr>
              <w:pStyle w:val="Bodytext180"/>
              <w:shd w:val="clear" w:color="auto" w:fill="auto"/>
              <w:tabs>
                <w:tab w:val="left" w:pos="567"/>
              </w:tabs>
              <w:spacing w:before="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Մասնագրի նոր պարամետրի </w:t>
            </w:r>
            <w:r w:rsidR="00C54D75">
              <w:rPr>
                <w:rStyle w:val="Bodytext1811pt"/>
                <w:rFonts w:ascii="Sylfaen" w:hAnsi="Sylfaen"/>
                <w:sz w:val="24"/>
                <w:szCs w:val="24"/>
              </w:rPr>
              <w:t>և</w:t>
            </w:r>
            <w:r w:rsidRPr="003B2786">
              <w:rPr>
                <w:rStyle w:val="Bodytext1811pt"/>
                <w:rFonts w:ascii="Sylfaen" w:hAnsi="Sylfaen"/>
                <w:sz w:val="24"/>
                <w:szCs w:val="24"/>
              </w:rPr>
              <w:t xml:space="preserve"> ընդունելիության չափանիշների հիմնավորումը։</w:t>
            </w:r>
          </w:p>
        </w:tc>
      </w:tr>
      <w:tr w:rsidR="008C76E0" w:rsidRPr="003B2786" w14:paraId="21F403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DDB201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Բ.II.ե.3.</w:t>
            </w:r>
            <w:r w:rsidRPr="003B2786">
              <w:rPr>
                <w:rStyle w:val="Bodytext1811pt"/>
                <w:rFonts w:ascii="Sylfaen" w:hAnsi="Sylfaen"/>
                <w:sz w:val="24"/>
                <w:szCs w:val="24"/>
              </w:rPr>
              <w:tab/>
              <w:t>Դեղապատրաստուկի առաջնային փաթեթվածքի համար նախատեսված վերլուծական մեթոդիկայի փոփոխությունը</w:t>
            </w:r>
          </w:p>
        </w:tc>
        <w:tc>
          <w:tcPr>
            <w:tcW w:w="1701" w:type="dxa"/>
            <w:gridSpan w:val="4"/>
            <w:tcBorders>
              <w:top w:val="single" w:sz="4" w:space="0" w:color="auto"/>
              <w:left w:val="single" w:sz="4" w:space="0" w:color="auto"/>
            </w:tcBorders>
            <w:shd w:val="clear" w:color="auto" w:fill="FFFFFF"/>
          </w:tcPr>
          <w:p w14:paraId="4A6BCAE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530B7B"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0EC3D2F"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4714F0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2B8E2D"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bCs w:val="0"/>
                <w:color w:val="000000"/>
                <w:sz w:val="24"/>
                <w:szCs w:val="24"/>
                <w:shd w:val="clear" w:color="auto" w:fill="FFFFFF"/>
                <w:lang w:val="hy-AM"/>
              </w:rPr>
            </w:pPr>
            <w:r w:rsidRPr="003B2786">
              <w:rPr>
                <w:rStyle w:val="Bodytext1811pt"/>
                <w:rFonts w:ascii="Sylfaen" w:hAnsi="Sylfaen"/>
                <w:sz w:val="24"/>
                <w:szCs w:val="24"/>
              </w:rPr>
              <w:lastRenderedPageBreak/>
              <w:t>ա)</w:t>
            </w:r>
            <w:r w:rsidRPr="003B2786">
              <w:rPr>
                <w:rStyle w:val="Bodytext1811pt"/>
                <w:rFonts w:ascii="Sylfaen" w:hAnsi="Sylfaen"/>
                <w:sz w:val="24"/>
                <w:szCs w:val="24"/>
              </w:rPr>
              <w:tab/>
              <w:t>հաստատված վերլուծական մեթոդիկայի ոչ էական փոփոխություն</w:t>
            </w:r>
          </w:p>
        </w:tc>
        <w:tc>
          <w:tcPr>
            <w:tcW w:w="1701" w:type="dxa"/>
            <w:gridSpan w:val="4"/>
            <w:tcBorders>
              <w:top w:val="single" w:sz="4" w:space="0" w:color="auto"/>
              <w:left w:val="single" w:sz="4" w:space="0" w:color="auto"/>
            </w:tcBorders>
            <w:shd w:val="clear" w:color="auto" w:fill="FFFFFF"/>
          </w:tcPr>
          <w:p w14:paraId="06FA153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30D842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89482F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0264D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F12E16"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վերլուծական մեթոդիկայի այլ փոփոխություններ (ներառյալ՝ փոխարինումը կամ ավելացումը)</w:t>
            </w:r>
          </w:p>
        </w:tc>
        <w:tc>
          <w:tcPr>
            <w:tcW w:w="1701" w:type="dxa"/>
            <w:gridSpan w:val="4"/>
            <w:tcBorders>
              <w:top w:val="single" w:sz="4" w:space="0" w:color="auto"/>
              <w:left w:val="single" w:sz="4" w:space="0" w:color="auto"/>
            </w:tcBorders>
            <w:shd w:val="clear" w:color="auto" w:fill="FFFFFF"/>
          </w:tcPr>
          <w:p w14:paraId="7481CF8A"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1, 3, 4</w:t>
            </w:r>
          </w:p>
        </w:tc>
        <w:tc>
          <w:tcPr>
            <w:tcW w:w="1984" w:type="dxa"/>
            <w:gridSpan w:val="2"/>
            <w:tcBorders>
              <w:top w:val="single" w:sz="4" w:space="0" w:color="auto"/>
              <w:left w:val="single" w:sz="4" w:space="0" w:color="auto"/>
            </w:tcBorders>
            <w:shd w:val="clear" w:color="auto" w:fill="FFFFFF"/>
          </w:tcPr>
          <w:p w14:paraId="3303E143"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36E5923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7E506D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86E5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վերլուծական մեթոդիկայի բացառում, եթե դրա այլընտրանքային մեթոդիկան արդեն հաստատված է</w:t>
            </w:r>
          </w:p>
        </w:tc>
        <w:tc>
          <w:tcPr>
            <w:tcW w:w="1701" w:type="dxa"/>
            <w:gridSpan w:val="4"/>
            <w:tcBorders>
              <w:top w:val="single" w:sz="4" w:space="0" w:color="auto"/>
              <w:left w:val="single" w:sz="4" w:space="0" w:color="auto"/>
            </w:tcBorders>
            <w:shd w:val="clear" w:color="auto" w:fill="FFFFFF"/>
          </w:tcPr>
          <w:p w14:paraId="3BE0A8F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5</w:t>
            </w:r>
          </w:p>
        </w:tc>
        <w:tc>
          <w:tcPr>
            <w:tcW w:w="1984" w:type="dxa"/>
            <w:gridSpan w:val="2"/>
            <w:tcBorders>
              <w:top w:val="single" w:sz="4" w:space="0" w:color="auto"/>
              <w:left w:val="single" w:sz="4" w:space="0" w:color="auto"/>
            </w:tcBorders>
            <w:shd w:val="clear" w:color="auto" w:fill="FFFFFF"/>
          </w:tcPr>
          <w:p w14:paraId="34BE2574"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7DAFAF4D"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F11F8E9"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08447FA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6E14AA9"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Համապատասխան փաստաթղթերի համաձայն՝ անցկացված անհրաժեշտ վալիդացում, որով հաստատվում է թարմացված վերլուծական մեթոդիկայի՝ առնվազն նախորդին համարժեք լինելու հանգամանքը։</w:t>
            </w:r>
          </w:p>
          <w:p w14:paraId="4BFA02F2" w14:textId="77777777" w:rsidR="008C76E0" w:rsidRPr="008C76E0" w:rsidRDefault="008C76E0" w:rsidP="008C76E0">
            <w:pPr>
              <w:pStyle w:val="Bodytext180"/>
              <w:shd w:val="clear" w:color="auto" w:fill="auto"/>
              <w:tabs>
                <w:tab w:val="left" w:pos="567"/>
              </w:tabs>
              <w:spacing w:before="0" w:after="120" w:line="240"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Վերլուծության մեթոդը չի փոփոխվել (օրինակ՝ սյունակի երկարության կամ ջերմաստիճանի փոփոխությունը, այլ ոչ թե այլ սյունակ կամ մեթոդ):</w:t>
            </w:r>
          </w:p>
          <w:p w14:paraId="514FD7A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Փորձարկման ոչ մի նոր մեթոդ հիմնված չէ նոր ոչ ստանդարտ մեթոդաբանության կամ նորովի օգտագործվող ստանդարտ մեթոդաբանության վրա։</w:t>
            </w:r>
          </w:p>
        </w:tc>
      </w:tr>
      <w:tr w:rsidR="008C76E0" w:rsidRPr="003B2786" w14:paraId="0C5142F9"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6F87068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բաղադրամասը (դեղապատրաստուկը) կենսաբանական (իմունաբանական) չէ:</w:t>
            </w:r>
          </w:p>
          <w:p w14:paraId="2A11EA2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Արդեն հաստատվել է մասնագրի պարամետրի համար այլընտրանքային վերլուծական մեթոդիկան, ընդ որում, նման մեթոդիկան չի ներառվել IA (IA</w:t>
            </w:r>
            <w:r w:rsidRPr="003B2786">
              <w:rPr>
                <w:rStyle w:val="Bodytext1811pt"/>
                <w:rFonts w:ascii="Sylfaen" w:hAnsi="Sylfaen"/>
                <w:sz w:val="24"/>
                <w:szCs w:val="24"/>
                <w:vertAlign w:val="subscript"/>
              </w:rPr>
              <w:t>ԱՊ</w:t>
            </w:r>
            <w:r w:rsidRPr="003B2786">
              <w:rPr>
                <w:rStyle w:val="Bodytext1811pt"/>
                <w:rFonts w:ascii="Sylfaen" w:hAnsi="Sylfaen"/>
                <w:sz w:val="24"/>
                <w:szCs w:val="24"/>
              </w:rPr>
              <w:t>) ծանուցման միջոցով:</w:t>
            </w:r>
          </w:p>
        </w:tc>
      </w:tr>
      <w:tr w:rsidR="008C76E0" w:rsidRPr="003B2786" w14:paraId="3EA93E6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24830B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26293D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2ACE128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Վալիդացման համեմատական արդյունքները կամ հիմնավորման առկայության դեպքում՝ վերլուծության համեմատական արդյունքները, որոնցով հաստատվում է 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փորձարկումների համարժեք լինելու հանգամանքը: Սույն պահանջը չի կիրառվում, եթե ավելացվում է նոր վերլուծական մեթոդիկա:</w:t>
            </w:r>
          </w:p>
        </w:tc>
      </w:tr>
      <w:tr w:rsidR="008C76E0" w:rsidRPr="003B2786" w14:paraId="7C73CE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DCABC5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Բ.II.ե.4.</w:t>
            </w:r>
            <w:r w:rsidRPr="003B2786">
              <w:rPr>
                <w:rStyle w:val="Bodytext1811pt"/>
                <w:rFonts w:ascii="Sylfaen" w:hAnsi="Sylfaen"/>
                <w:sz w:val="24"/>
                <w:szCs w:val="24"/>
              </w:rPr>
              <w:tab/>
              <w:t>Առաջնային փաթեթվածքի կամ խցանափակման (առաջնային փաթեթվածքի) ձ</w:t>
            </w:r>
            <w:r w:rsidR="00C54D75">
              <w:rPr>
                <w:rStyle w:val="Bodytext1811pt"/>
                <w:rFonts w:ascii="Sylfaen" w:hAnsi="Sylfaen"/>
                <w:sz w:val="24"/>
                <w:szCs w:val="24"/>
              </w:rPr>
              <w:t>և</w:t>
            </w:r>
            <w:r w:rsidRPr="003B2786">
              <w:rPr>
                <w:rStyle w:val="Bodytext1811pt"/>
                <w:rFonts w:ascii="Sylfaen" w:hAnsi="Sylfaen"/>
                <w:sz w:val="24"/>
                <w:szCs w:val="24"/>
              </w:rPr>
              <w:t>ի կամ չափերի փոփոխությունը</w:t>
            </w:r>
          </w:p>
        </w:tc>
        <w:tc>
          <w:tcPr>
            <w:tcW w:w="1701" w:type="dxa"/>
            <w:gridSpan w:val="4"/>
            <w:tcBorders>
              <w:top w:val="single" w:sz="4" w:space="0" w:color="auto"/>
              <w:left w:val="single" w:sz="4" w:space="0" w:color="auto"/>
            </w:tcBorders>
            <w:shd w:val="clear" w:color="auto" w:fill="FFFFFF"/>
          </w:tcPr>
          <w:p w14:paraId="65A86325"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7F060E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BC33F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0F8F14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1CAB59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ոչ մանրէազերծ դեղապատրաստուկներ</w:t>
            </w:r>
          </w:p>
        </w:tc>
        <w:tc>
          <w:tcPr>
            <w:tcW w:w="1701" w:type="dxa"/>
            <w:gridSpan w:val="4"/>
            <w:tcBorders>
              <w:top w:val="single" w:sz="4" w:space="0" w:color="auto"/>
              <w:left w:val="single" w:sz="4" w:space="0" w:color="auto"/>
            </w:tcBorders>
            <w:shd w:val="clear" w:color="auto" w:fill="FFFFFF"/>
          </w:tcPr>
          <w:p w14:paraId="58A4C68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4460379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1, 2, 4</w:t>
            </w:r>
          </w:p>
        </w:tc>
        <w:tc>
          <w:tcPr>
            <w:tcW w:w="1719" w:type="dxa"/>
            <w:gridSpan w:val="3"/>
            <w:tcBorders>
              <w:top w:val="single" w:sz="4" w:space="0" w:color="auto"/>
              <w:left w:val="single" w:sz="4" w:space="0" w:color="auto"/>
              <w:right w:val="single" w:sz="4" w:space="0" w:color="auto"/>
            </w:tcBorders>
            <w:shd w:val="clear" w:color="auto" w:fill="FFFFFF"/>
          </w:tcPr>
          <w:p w14:paraId="3A41FFA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98C030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94BE05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ձ</w:t>
            </w:r>
            <w:r w:rsidR="00C54D75">
              <w:rPr>
                <w:rStyle w:val="Bodytext1811pt"/>
                <w:rFonts w:ascii="Sylfaen" w:hAnsi="Sylfaen"/>
                <w:sz w:val="24"/>
                <w:szCs w:val="24"/>
              </w:rPr>
              <w:t>և</w:t>
            </w:r>
            <w:r w:rsidRPr="003B2786">
              <w:rPr>
                <w:rStyle w:val="Bodytext1811pt"/>
                <w:rFonts w:ascii="Sylfaen" w:hAnsi="Sylfaen"/>
                <w:sz w:val="24"/>
                <w:szCs w:val="24"/>
              </w:rPr>
              <w:t>ի կամ չափի փոփոխությունը վերաբերում է փաթեթավորման նյութի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tc>
        <w:tc>
          <w:tcPr>
            <w:tcW w:w="1701" w:type="dxa"/>
            <w:gridSpan w:val="4"/>
            <w:tcBorders>
              <w:top w:val="single" w:sz="4" w:space="0" w:color="auto"/>
              <w:left w:val="single" w:sz="4" w:space="0" w:color="auto"/>
            </w:tcBorders>
            <w:shd w:val="clear" w:color="auto" w:fill="FFFFFF"/>
          </w:tcPr>
          <w:p w14:paraId="2EEA5D5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CD15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36C7C98D"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D24A1F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B5E324F"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lastRenderedPageBreak/>
              <w:t>գ)</w:t>
            </w:r>
            <w:r w:rsidRPr="003B2786">
              <w:rPr>
                <w:rStyle w:val="Bodytext1811pt"/>
                <w:rFonts w:ascii="Sylfaen" w:hAnsi="Sylfaen"/>
                <w:sz w:val="24"/>
                <w:szCs w:val="24"/>
              </w:rPr>
              <w:tab/>
              <w:t>մանրէազերծ դեղապատրաստուկներ</w:t>
            </w:r>
          </w:p>
        </w:tc>
        <w:tc>
          <w:tcPr>
            <w:tcW w:w="1701" w:type="dxa"/>
            <w:gridSpan w:val="4"/>
            <w:tcBorders>
              <w:top w:val="single" w:sz="4" w:space="0" w:color="auto"/>
              <w:left w:val="single" w:sz="4" w:space="0" w:color="auto"/>
            </w:tcBorders>
            <w:shd w:val="clear" w:color="auto" w:fill="FFFFFF"/>
          </w:tcPr>
          <w:p w14:paraId="67BCF51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7124419"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719" w:type="dxa"/>
            <w:gridSpan w:val="3"/>
            <w:tcBorders>
              <w:top w:val="single" w:sz="4" w:space="0" w:color="auto"/>
              <w:left w:val="single" w:sz="4" w:space="0" w:color="auto"/>
              <w:right w:val="single" w:sz="4" w:space="0" w:color="auto"/>
            </w:tcBorders>
            <w:shd w:val="clear" w:color="auto" w:fill="FFFFFF"/>
          </w:tcPr>
          <w:p w14:paraId="72CB526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590A5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166604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F87DAF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Առաջնային փաթեթվածքի քանակական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որակական բաղադրությունը չի փոփոխվել։</w:t>
            </w:r>
          </w:p>
          <w:p w14:paraId="29E7C31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չի վերաբերում փաթեթավորման նյութի որակի կար</w:t>
            </w:r>
            <w:r w:rsidR="00C54D75">
              <w:rPr>
                <w:rStyle w:val="Bodytext1811pt"/>
                <w:rFonts w:ascii="Sylfaen" w:hAnsi="Sylfaen"/>
                <w:sz w:val="24"/>
                <w:szCs w:val="24"/>
              </w:rPr>
              <w:t>և</w:t>
            </w:r>
            <w:r w:rsidRPr="003B2786">
              <w:rPr>
                <w:rStyle w:val="Bodytext1811pt"/>
                <w:rFonts w:ascii="Sylfaen" w:hAnsi="Sylfaen"/>
                <w:sz w:val="24"/>
                <w:szCs w:val="24"/>
              </w:rPr>
              <w:t>որ ցուցանիշներին, որոնք կարող են էապես ազդել դեղապատրաստուկի առաքման, կիրառության, անվտանգության կամ կայունության վրա։</w:t>
            </w:r>
          </w:p>
          <w:p w14:paraId="3B335538" w14:textId="4AB93C61"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6"/>
                <w:sz w:val="24"/>
                <w:szCs w:val="24"/>
              </w:rPr>
              <w:t xml:space="preserve">Ազատ տարածության կամ մակերեսի (ծավալի) հարաբերակցության փոփոխության դեպքում, կայունության վերաբերյալ Միության համապատասխան փաստաթղթերի համաձայն, սկսվել են կայունության համապատասխան հետազոտությունները, վերլուծվել են առնվազն 2 փորձարարաարդյունաբերական (կենսաբանական (իմունաբանական) դեղապատրաստուկների համար՝ 3 սերիայի) կամ արդյունաբերական սերիայի կայունության համապատասխան պարամետրերը, </w:t>
            </w:r>
            <w:r w:rsidR="0056496B">
              <w:rPr>
                <w:rStyle w:val="Bodytext1811pt"/>
                <w:rFonts w:ascii="Sylfaen" w:hAnsi="Sylfaen"/>
                <w:spacing w:val="6"/>
                <w:sz w:val="24"/>
                <w:szCs w:val="24"/>
              </w:rPr>
              <w:t>դիմումատու</w:t>
            </w:r>
            <w:r w:rsidRPr="003B2786">
              <w:rPr>
                <w:rStyle w:val="Bodytext1811pt"/>
                <w:rFonts w:ascii="Sylfaen" w:hAnsi="Sylfaen"/>
                <w:spacing w:val="6"/>
                <w:sz w:val="24"/>
                <w:szCs w:val="24"/>
              </w:rPr>
              <w:t>ի տրամադրության տակ են</w:t>
            </w:r>
            <w:r w:rsidRPr="003B2786">
              <w:rPr>
                <w:rStyle w:val="Bodytext1811pt"/>
                <w:rFonts w:ascii="Sylfaen" w:hAnsi="Sylfaen"/>
                <w:sz w:val="24"/>
                <w:szCs w:val="24"/>
              </w:rPr>
              <w:t xml:space="preserve"> գտնվում կայունության առնվազն </w:t>
            </w:r>
            <w:r w:rsidRPr="003B2786">
              <w:rPr>
                <w:rStyle w:val="Bodytext1811pt"/>
                <w:rFonts w:ascii="Sylfaen" w:hAnsi="Sylfaen"/>
                <w:sz w:val="24"/>
                <w:szCs w:val="24"/>
              </w:rPr>
              <w:br/>
              <w:t>3-</w:t>
            </w:r>
            <w:r w:rsidRPr="003B2786">
              <w:rPr>
                <w:rStyle w:val="Bodytext1811pt"/>
                <w:rFonts w:ascii="Sylfaen" w:hAnsi="Sylfaen"/>
                <w:spacing w:val="6"/>
                <w:sz w:val="24"/>
                <w:szCs w:val="24"/>
              </w:rPr>
              <w:t>ամսյա (կենսաբանական (իմունաբանական) դեղապատրաստուկների համար՝ 6</w:t>
            </w:r>
            <w:r w:rsidRPr="003B2786">
              <w:rPr>
                <w:rStyle w:val="Bodytext1811pt"/>
                <w:rFonts w:ascii="Sylfaen" w:hAnsi="Sylfaen"/>
                <w:sz w:val="24"/>
                <w:szCs w:val="24"/>
              </w:rPr>
              <w:t>-</w:t>
            </w:r>
            <w:r w:rsidRPr="003B2786">
              <w:rPr>
                <w:rStyle w:val="Bodytext1811pt"/>
                <w:rFonts w:ascii="Sylfaen" w:hAnsi="Sylfaen"/>
                <w:spacing w:val="6"/>
                <w:sz w:val="24"/>
                <w:szCs w:val="24"/>
              </w:rPr>
              <w:t xml:space="preserve">ամսյա) ուսումնասիրության բավարար արդյունքները։ Հաստատումն այն բանի, որ ուսումնասիրությունները կավարտվեն, </w:t>
            </w:r>
            <w:r w:rsidR="00C54D75">
              <w:rPr>
                <w:rStyle w:val="Bodytext1811pt"/>
                <w:rFonts w:ascii="Sylfaen" w:hAnsi="Sylfaen"/>
                <w:spacing w:val="6"/>
                <w:sz w:val="24"/>
                <w:szCs w:val="24"/>
              </w:rPr>
              <w:t>և</w:t>
            </w:r>
            <w:r w:rsidRPr="003B2786">
              <w:rPr>
                <w:rStyle w:val="Bodytext1811pt"/>
                <w:rFonts w:ascii="Sylfaen" w:hAnsi="Sylfaen"/>
                <w:spacing w:val="6"/>
                <w:sz w:val="24"/>
                <w:szCs w:val="24"/>
              </w:rPr>
              <w:t xml:space="preserve"> եթե արդյունքները չհամապատասխանեն</w:t>
            </w:r>
            <w:r w:rsidRPr="003B2786">
              <w:rPr>
                <w:rStyle w:val="Bodytext1811pt"/>
                <w:rFonts w:ascii="Sylfaen" w:hAnsi="Sylfaen"/>
                <w:spacing w:val="4"/>
                <w:sz w:val="24"/>
                <w:szCs w:val="24"/>
              </w:rPr>
              <w:t xml:space="preserve"> մասնագրերին կամ հնարավոր է, որ չեն կարող համապատասխանել մասնագրերին</w:t>
            </w:r>
            <w:r w:rsidRPr="003B2786">
              <w:rPr>
                <w:rStyle w:val="Bodytext1811pt"/>
                <w:rFonts w:ascii="Sylfaen" w:hAnsi="Sylfaen"/>
                <w:sz w:val="24"/>
                <w:szCs w:val="24"/>
              </w:rPr>
              <w:t>՝ պիտանիության ժամկետի ավարտին, ապա դրանք գործողությունների առաջարկվող պլանի հետ անհապաղ կներկայացվեն լիազոր մարմին:</w:t>
            </w:r>
          </w:p>
        </w:tc>
      </w:tr>
      <w:tr w:rsidR="008C76E0" w:rsidRPr="003B2786" w14:paraId="5FC278C4" w14:textId="77777777" w:rsidTr="008C76E0">
        <w:trPr>
          <w:jc w:val="center"/>
        </w:trPr>
        <w:tc>
          <w:tcPr>
            <w:tcW w:w="10401"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61EF03B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96DBE2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բեռնարկղի կամ խցանափակման նկարագրությունը, մանրամասն գծագիրը </w:t>
            </w:r>
            <w:r w:rsidR="00C54D75">
              <w:rPr>
                <w:rStyle w:val="Bodytext1811pt"/>
                <w:rFonts w:ascii="Sylfaen" w:hAnsi="Sylfaen"/>
                <w:sz w:val="24"/>
                <w:szCs w:val="24"/>
              </w:rPr>
              <w:t>և</w:t>
            </w:r>
            <w:r w:rsidRPr="003B2786">
              <w:rPr>
                <w:rStyle w:val="Bodytext1811pt"/>
                <w:rFonts w:ascii="Sylfaen" w:hAnsi="Sylfaen"/>
                <w:sz w:val="24"/>
                <w:szCs w:val="24"/>
              </w:rPr>
              <w:t xml:space="preserve"> նյութի բաղադրությունը,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վերանայումը։</w:t>
            </w:r>
          </w:p>
          <w:p w14:paraId="72257725"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Համապատասխան դեպքերում՝ նոր բեռնարկղի (խցանափակման) նմուշները։</w:t>
            </w:r>
          </w:p>
          <w:p w14:paraId="2258CC7E" w14:textId="77777777"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Անցկացվել են ջերմային մանրէազերծման ենթարկվող մանրէազերծ պատրաստուկների կրկնակի վալիդացման հետազոտություններ։ Համապատասխան դեպքերում անհրաժեշտ է նշել վալիդացման հետազոտություններում օգտագործված սերիաների համարները։</w:t>
            </w:r>
          </w:p>
          <w:p w14:paraId="43A9AF9A" w14:textId="4C01735B" w:rsidR="008C76E0" w:rsidRPr="008C76E0" w:rsidRDefault="008C76E0" w:rsidP="008B6709">
            <w:pPr>
              <w:pStyle w:val="Bodytext180"/>
              <w:shd w:val="clear" w:color="auto" w:fill="auto"/>
              <w:tabs>
                <w:tab w:val="left" w:pos="567"/>
              </w:tabs>
              <w:spacing w:before="0" w:after="120" w:line="264" w:lineRule="auto"/>
              <w:ind w:left="159"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Ազատ տարածության կամ ծավալի նկատմամբ մակերեսի հարաբերակցության փոփոխության 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Միության փաստաթղթերին համապատասխան՝ սկսվել են կայունության անհրաժեշտ հետազոտությունները (նշելով սերիաների համարները), </w:t>
            </w:r>
            <w:r w:rsidR="00C54D75">
              <w:rPr>
                <w:rStyle w:val="Bodytext1811pt"/>
                <w:rFonts w:ascii="Sylfaen" w:hAnsi="Sylfaen"/>
                <w:sz w:val="24"/>
                <w:szCs w:val="24"/>
              </w:rPr>
              <w:t>և</w:t>
            </w:r>
            <w:r w:rsidRPr="003B2786">
              <w:rPr>
                <w:rStyle w:val="Bodytext1811pt"/>
                <w:rFonts w:ascii="Sylfaen" w:hAnsi="Sylfaen"/>
                <w:sz w:val="24"/>
                <w:szCs w:val="24"/>
              </w:rPr>
              <w:t xml:space="preserve"> որ (համապատասխան դեպքերում) IA տիպի փոփոխության մասին ծանուցելու </w:t>
            </w:r>
            <w:r w:rsidR="00C54D75">
              <w:rPr>
                <w:rStyle w:val="Bodytext1811pt"/>
                <w:rFonts w:ascii="Sylfaen" w:hAnsi="Sylfaen"/>
                <w:sz w:val="24"/>
                <w:szCs w:val="24"/>
              </w:rPr>
              <w:t>և</w:t>
            </w:r>
            <w:r w:rsidRPr="003B2786">
              <w:rPr>
                <w:rStyle w:val="Bodytext1811pt"/>
                <w:rFonts w:ascii="Sylfaen" w:hAnsi="Sylfaen"/>
                <w:sz w:val="24"/>
                <w:szCs w:val="24"/>
              </w:rPr>
              <w:t xml:space="preserve"> IB տիպի փոփոխության մասին ծանուցում ներկայացնելու պահին նրա տրամադրության տակ են գտնվում</w:t>
            </w:r>
          </w:p>
        </w:tc>
      </w:tr>
      <w:tr w:rsidR="008C76E0" w:rsidRPr="003B2786" w14:paraId="0A28CD6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9FDE8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 xml:space="preserve">կայունության ուսումնասիրության բավարար արդյունքները, </w:t>
            </w:r>
            <w:r w:rsidR="00C54D75">
              <w:rPr>
                <w:rStyle w:val="Bodytext1811pt"/>
                <w:rFonts w:ascii="Sylfaen" w:hAnsi="Sylfaen"/>
                <w:sz w:val="24"/>
                <w:szCs w:val="24"/>
              </w:rPr>
              <w:t>և</w:t>
            </w:r>
            <w:r w:rsidRPr="003B2786">
              <w:rPr>
                <w:rStyle w:val="Bodytext1811pt"/>
                <w:rFonts w:ascii="Sylfaen" w:hAnsi="Sylfaen"/>
                <w:sz w:val="24"/>
                <w:szCs w:val="24"/>
              </w:rPr>
              <w:t xml:space="preserve"> առկա տվյալները չեն մատնանշում որ</w:t>
            </w:r>
            <w:r w:rsidR="00C54D75">
              <w:rPr>
                <w:rStyle w:val="Bodytext1811pt"/>
                <w:rFonts w:ascii="Sylfaen" w:hAnsi="Sylfaen"/>
                <w:sz w:val="24"/>
                <w:szCs w:val="24"/>
              </w:rPr>
              <w:t>և</w:t>
            </w:r>
            <w:r w:rsidRPr="003B2786">
              <w:rPr>
                <w:rStyle w:val="Bodytext1811pt"/>
                <w:rFonts w:ascii="Sylfaen" w:hAnsi="Sylfaen"/>
                <w:sz w:val="24"/>
                <w:szCs w:val="24"/>
              </w:rPr>
              <w:t>է խնդիր։ Անհրաժեշտ է նա</w:t>
            </w:r>
            <w:r w:rsidR="00C54D75">
              <w:rPr>
                <w:rStyle w:val="Bodytext1811pt"/>
                <w:rFonts w:ascii="Sylfaen" w:hAnsi="Sylfaen"/>
                <w:sz w:val="24"/>
                <w:szCs w:val="24"/>
              </w:rPr>
              <w:t>և</w:t>
            </w:r>
            <w:r w:rsidRPr="003B2786">
              <w:rPr>
                <w:rStyle w:val="Bodytext1811pt"/>
                <w:rFonts w:ascii="Sylfaen" w:hAnsi="Sylfaen"/>
                <w:sz w:val="24"/>
                <w:szCs w:val="24"/>
              </w:rPr>
              <w:t xml:space="preserve"> տրամադրել հաստատումն այն բանի, որ հետազոտությունները կավարտվեն, </w:t>
            </w:r>
            <w:r w:rsidR="00C54D75">
              <w:rPr>
                <w:rStyle w:val="Bodytext1811pt"/>
                <w:rFonts w:ascii="Sylfaen" w:hAnsi="Sylfaen"/>
                <w:sz w:val="24"/>
                <w:szCs w:val="24"/>
              </w:rPr>
              <w:t>և</w:t>
            </w:r>
            <w:r w:rsidRPr="003B2786">
              <w:rPr>
                <w:rStyle w:val="Bodytext1811pt"/>
                <w:rFonts w:ascii="Sylfaen" w:hAnsi="Sylfaen"/>
                <w:sz w:val="24"/>
                <w:szCs w:val="24"/>
              </w:rPr>
              <w:t xml:space="preserve"> եթե արդյունքները չհամապատասխանեն մասնագրերին կամ հնարավոր է, որ չեն կարող համապատասխանել մասնագրերին՝ </w:t>
            </w:r>
            <w:r w:rsidRPr="003B2786">
              <w:rPr>
                <w:rStyle w:val="Bodytext1811pt"/>
                <w:rFonts w:ascii="Sylfaen" w:hAnsi="Sylfaen"/>
                <w:sz w:val="24"/>
                <w:szCs w:val="24"/>
              </w:rPr>
              <w:lastRenderedPageBreak/>
              <w:t>պիտանիության ժամկետի ավարտին, ապա դրանք գործողությունների առաջարկվող պլանի հետ անհապաղ կներկայացվեն լիազոր մարմին:</w:t>
            </w:r>
          </w:p>
        </w:tc>
      </w:tr>
      <w:tr w:rsidR="008C76E0" w:rsidRPr="003B2786" w14:paraId="70957E1F" w14:textId="77777777" w:rsidTr="008C76E0">
        <w:trPr>
          <w:jc w:val="center"/>
        </w:trPr>
        <w:tc>
          <w:tcPr>
            <w:tcW w:w="4997" w:type="dxa"/>
            <w:gridSpan w:val="6"/>
            <w:tcBorders>
              <w:top w:val="single" w:sz="4" w:space="0" w:color="auto"/>
              <w:left w:val="single" w:sz="4" w:space="0" w:color="auto"/>
            </w:tcBorders>
            <w:shd w:val="clear" w:color="auto" w:fill="FFFFFF"/>
          </w:tcPr>
          <w:p w14:paraId="5A5C41D4" w14:textId="77777777" w:rsidR="008C76E0" w:rsidRPr="008C76E0" w:rsidRDefault="008C76E0" w:rsidP="008C76E0">
            <w:pPr>
              <w:pStyle w:val="Bodytext180"/>
              <w:shd w:val="clear" w:color="auto" w:fill="auto"/>
              <w:tabs>
                <w:tab w:val="left" w:pos="567"/>
              </w:tabs>
              <w:spacing w:before="0" w:after="120" w:line="240" w:lineRule="auto"/>
              <w:ind w:left="158" w:right="210" w:firstLine="0"/>
              <w:rPr>
                <w:rFonts w:ascii="Sylfaen" w:hAnsi="Sylfaen"/>
                <w:b w:val="0"/>
                <w:sz w:val="24"/>
                <w:szCs w:val="24"/>
                <w:lang w:val="hy-AM"/>
              </w:rPr>
            </w:pPr>
            <w:r w:rsidRPr="003B2786">
              <w:rPr>
                <w:rStyle w:val="Bodytext1811pt"/>
                <w:rFonts w:ascii="Sylfaen" w:hAnsi="Sylfaen"/>
                <w:sz w:val="24"/>
                <w:szCs w:val="24"/>
              </w:rPr>
              <w:lastRenderedPageBreak/>
              <w:t>Բ.II.ե.5.</w:t>
            </w:r>
            <w:r w:rsidRPr="003B2786">
              <w:rPr>
                <w:rStyle w:val="Bodytext1811pt"/>
                <w:rFonts w:ascii="Sylfaen" w:hAnsi="Sylfaen"/>
                <w:sz w:val="24"/>
                <w:szCs w:val="24"/>
              </w:rPr>
              <w:tab/>
              <w:t>Դեղապատրաստուկի փաթեթվածքի չափի փոփոխությունը</w:t>
            </w:r>
          </w:p>
        </w:tc>
        <w:tc>
          <w:tcPr>
            <w:tcW w:w="1701" w:type="dxa"/>
            <w:gridSpan w:val="4"/>
            <w:tcBorders>
              <w:top w:val="single" w:sz="4" w:space="0" w:color="auto"/>
              <w:left w:val="single" w:sz="4" w:space="0" w:color="auto"/>
            </w:tcBorders>
            <w:shd w:val="clear" w:color="auto" w:fill="FFFFFF"/>
          </w:tcPr>
          <w:p w14:paraId="20564D51"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9E0D41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1359B59"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777580D"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2144E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 փաթեթվածքում դեղաձ</w:t>
            </w:r>
            <w:r w:rsidR="00C54D75">
              <w:rPr>
                <w:rStyle w:val="Bodytext1811pt"/>
                <w:rFonts w:ascii="Sylfaen" w:hAnsi="Sylfaen"/>
                <w:sz w:val="24"/>
                <w:szCs w:val="24"/>
              </w:rPr>
              <w:t>և</w:t>
            </w:r>
            <w:r w:rsidRPr="003B2786">
              <w:rPr>
                <w:rStyle w:val="Bodytext1811pt"/>
                <w:rFonts w:ascii="Sylfaen" w:hAnsi="Sylfaen"/>
                <w:sz w:val="24"/>
                <w:szCs w:val="24"/>
              </w:rPr>
              <w:t xml:space="preserve">ի (օրինակ՝ հաբերի, սրվակիկների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այլն) միավորների քանակի փոփոխություն</w:t>
            </w:r>
          </w:p>
        </w:tc>
        <w:tc>
          <w:tcPr>
            <w:tcW w:w="1701" w:type="dxa"/>
            <w:gridSpan w:val="4"/>
            <w:tcBorders>
              <w:top w:val="single" w:sz="4" w:space="0" w:color="auto"/>
              <w:left w:val="single" w:sz="4" w:space="0" w:color="auto"/>
            </w:tcBorders>
            <w:shd w:val="clear" w:color="auto" w:fill="FFFFFF"/>
          </w:tcPr>
          <w:p w14:paraId="501317F3"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078AB4A0" w14:textId="77777777" w:rsidR="008C76E0" w:rsidRPr="003B2786" w:rsidRDefault="008C76E0" w:rsidP="008C76E0">
            <w:pPr>
              <w:spacing w:after="120" w:line="240" w:lineRule="auto"/>
              <w:ind w:left="63"/>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F400E74" w14:textId="77777777" w:rsidR="008C76E0" w:rsidRPr="003B2786" w:rsidRDefault="008C76E0" w:rsidP="008C76E0">
            <w:pPr>
              <w:spacing w:after="120" w:line="240" w:lineRule="auto"/>
              <w:ind w:left="63"/>
              <w:jc w:val="center"/>
              <w:rPr>
                <w:rFonts w:ascii="Sylfaen" w:hAnsi="Sylfaen"/>
                <w:sz w:val="24"/>
                <w:szCs w:val="24"/>
              </w:rPr>
            </w:pPr>
          </w:p>
        </w:tc>
      </w:tr>
      <w:tr w:rsidR="008C76E0" w:rsidRPr="003B2786" w14:paraId="42FC59CC"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879B16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գտնվում է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F96BB18"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14944DE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1, 3</w:t>
            </w:r>
          </w:p>
        </w:tc>
        <w:tc>
          <w:tcPr>
            <w:tcW w:w="1719" w:type="dxa"/>
            <w:gridSpan w:val="3"/>
            <w:tcBorders>
              <w:top w:val="single" w:sz="4" w:space="0" w:color="auto"/>
              <w:left w:val="single" w:sz="4" w:space="0" w:color="auto"/>
              <w:right w:val="single" w:sz="4" w:space="0" w:color="auto"/>
            </w:tcBorders>
            <w:shd w:val="clear" w:color="auto" w:fill="FFFFFF"/>
          </w:tcPr>
          <w:p w14:paraId="187E5E82"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30AC554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60DC64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Փոփոխությունը չի գտնվում փաթեթվածքների չափերի հաստատված տիրույթում</w:t>
            </w:r>
          </w:p>
        </w:tc>
        <w:tc>
          <w:tcPr>
            <w:tcW w:w="1701" w:type="dxa"/>
            <w:gridSpan w:val="4"/>
            <w:tcBorders>
              <w:top w:val="single" w:sz="4" w:space="0" w:color="auto"/>
              <w:left w:val="single" w:sz="4" w:space="0" w:color="auto"/>
            </w:tcBorders>
            <w:shd w:val="clear" w:color="auto" w:fill="FFFFFF"/>
          </w:tcPr>
          <w:p w14:paraId="397C12C5" w14:textId="77777777" w:rsidR="008C76E0" w:rsidRPr="003B2786" w:rsidRDefault="008C76E0" w:rsidP="008C76E0">
            <w:pPr>
              <w:spacing w:after="120" w:line="240" w:lineRule="auto"/>
              <w:ind w:left="63"/>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7E8D0E7"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9A316BE" w14:textId="77777777" w:rsidR="008C76E0" w:rsidRPr="003B2786" w:rsidRDefault="008C76E0" w:rsidP="008C76E0">
            <w:pPr>
              <w:pStyle w:val="Bodytext180"/>
              <w:shd w:val="clear" w:color="auto" w:fill="auto"/>
              <w:spacing w:before="0" w:after="12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B0C891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E509853"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փաթեթվածքի (փաթեթվածքների) չափի (չափերի) փոփոխություն</w:t>
            </w:r>
          </w:p>
        </w:tc>
        <w:tc>
          <w:tcPr>
            <w:tcW w:w="1701" w:type="dxa"/>
            <w:gridSpan w:val="4"/>
            <w:tcBorders>
              <w:top w:val="single" w:sz="4" w:space="0" w:color="auto"/>
              <w:left w:val="single" w:sz="4" w:space="0" w:color="auto"/>
            </w:tcBorders>
            <w:shd w:val="clear" w:color="auto" w:fill="FFFFFF"/>
          </w:tcPr>
          <w:p w14:paraId="54F09AF1"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3</w:t>
            </w:r>
          </w:p>
        </w:tc>
        <w:tc>
          <w:tcPr>
            <w:tcW w:w="1984" w:type="dxa"/>
            <w:gridSpan w:val="2"/>
            <w:tcBorders>
              <w:top w:val="single" w:sz="4" w:space="0" w:color="auto"/>
              <w:left w:val="single" w:sz="4" w:space="0" w:color="auto"/>
            </w:tcBorders>
            <w:shd w:val="clear" w:color="auto" w:fill="FFFFFF"/>
          </w:tcPr>
          <w:p w14:paraId="2D74F3E2"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w:t>
            </w:r>
          </w:p>
        </w:tc>
        <w:tc>
          <w:tcPr>
            <w:tcW w:w="1719" w:type="dxa"/>
            <w:gridSpan w:val="3"/>
            <w:tcBorders>
              <w:top w:val="single" w:sz="4" w:space="0" w:color="auto"/>
              <w:left w:val="single" w:sz="4" w:space="0" w:color="auto"/>
              <w:right w:val="single" w:sz="4" w:space="0" w:color="auto"/>
            </w:tcBorders>
            <w:shd w:val="clear" w:color="auto" w:fill="FFFFFF"/>
          </w:tcPr>
          <w:p w14:paraId="7ABCE0E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71C09736"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AF3C703" w14:textId="77777777" w:rsidR="008C76E0" w:rsidRPr="008C76E0" w:rsidRDefault="008C76E0" w:rsidP="002F06F8">
            <w:pPr>
              <w:pStyle w:val="Bodytext180"/>
              <w:shd w:val="clear" w:color="auto" w:fill="auto"/>
              <w:tabs>
                <w:tab w:val="left" w:pos="567"/>
              </w:tabs>
              <w:spacing w:before="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մանրէազերծ շատ դոզայով (կամ մեկ դոզայով՝ մասնակի ձերբազատմամբ) պարենտերալ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շատ դոզայով կենսաբանական (իմունաբանական) պարենտերալ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2526BCDF"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A287760"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5D7878D6"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A25AB6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0475DAEC" w14:textId="77777777" w:rsidR="008C76E0" w:rsidRPr="008C76E0" w:rsidRDefault="008C76E0" w:rsidP="008C76E0">
            <w:pPr>
              <w:pStyle w:val="Bodytext180"/>
              <w:shd w:val="clear" w:color="auto" w:fill="auto"/>
              <w:tabs>
                <w:tab w:val="left" w:pos="567"/>
              </w:tabs>
              <w:spacing w:before="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ոչ պարենտերալ շատ դոզայով (մեկ դոզայով՝ մասնակի ձերբազատմամբ) դեղապատրաստուկների անվանական զանգվածի (անվանական ծավալի) փոփոխություն</w:t>
            </w:r>
          </w:p>
        </w:tc>
        <w:tc>
          <w:tcPr>
            <w:tcW w:w="1701" w:type="dxa"/>
            <w:gridSpan w:val="4"/>
            <w:tcBorders>
              <w:top w:val="single" w:sz="4" w:space="0" w:color="auto"/>
              <w:left w:val="single" w:sz="4" w:space="0" w:color="auto"/>
            </w:tcBorders>
            <w:shd w:val="clear" w:color="auto" w:fill="FFFFFF"/>
          </w:tcPr>
          <w:p w14:paraId="385C3D37"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5A54AA3"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12D1904" w14:textId="77777777" w:rsidR="008C76E0" w:rsidRPr="003B2786" w:rsidRDefault="008C76E0" w:rsidP="008C76E0">
            <w:pPr>
              <w:pStyle w:val="Bodytext180"/>
              <w:shd w:val="clear" w:color="auto" w:fill="auto"/>
              <w:spacing w:before="0" w:line="240" w:lineRule="auto"/>
              <w:ind w:left="63"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384C990"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422E9A44"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0E0ED7C"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նոր չափը պետք է համապատասխանի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20036C2A"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Առաջնային փաթեթվածքի նյութը չի փոփոխվում։</w:t>
            </w:r>
          </w:p>
          <w:p w14:paraId="3E5950F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Թողարկման մնացած ձ</w:t>
            </w:r>
            <w:r w:rsidR="00C54D75">
              <w:rPr>
                <w:rStyle w:val="Bodytext1811pt"/>
                <w:rFonts w:ascii="Sylfaen" w:hAnsi="Sylfaen"/>
                <w:sz w:val="24"/>
                <w:szCs w:val="24"/>
              </w:rPr>
              <w:t>և</w:t>
            </w:r>
            <w:r w:rsidRPr="003B2786">
              <w:rPr>
                <w:rStyle w:val="Bodytext1811pt"/>
                <w:rFonts w:ascii="Sylfaen" w:hAnsi="Sylfaen"/>
                <w:sz w:val="24"/>
                <w:szCs w:val="24"/>
              </w:rPr>
              <w:t xml:space="preserve">երը թույլ են տալիս կատարել դեղապատրաստուկի ընդհանուր բնութագրում նշված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w:t>
            </w:r>
          </w:p>
        </w:tc>
      </w:tr>
      <w:tr w:rsidR="008C76E0" w:rsidRPr="003B2786" w14:paraId="6101728D"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835500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04B4D7E"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p w14:paraId="73E8C2C5" w14:textId="77777777" w:rsidR="008C76E0" w:rsidRPr="008C76E0" w:rsidRDefault="008C76E0" w:rsidP="002F06F8">
            <w:pPr>
              <w:pStyle w:val="Bodytext180"/>
              <w:shd w:val="clear" w:color="auto" w:fill="auto"/>
              <w:tabs>
                <w:tab w:val="left" w:pos="567"/>
              </w:tabs>
              <w:spacing w:before="0" w:after="120" w:line="288" w:lineRule="auto"/>
              <w:ind w:left="159"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Հիմնավորումն այն բանի, որ փաթեթվածքների նոր (մնացած) չափերը համապատասխանում են դեղապատրաստուկի ընդհանուր բնութագրում նշված դոզավորման ռեժիմին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ողությանը։</w:t>
            </w:r>
          </w:p>
          <w:p w14:paraId="43850444" w14:textId="182A2F5B"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եթե ենթադրվում է կայունության վրա ազդեցության առկայություն, ապա, Միության համապատասխան փաստաթղթերի համաձայն, կսկսվեն կայունության հետազոտություններ։ Տվյալները (գործողությունների առաջարկվող պլանի հետ) անհրաժեշտ է ներկայացնել միայն այն դեպքում, երբ դրանք չեն համապատասխանում մասնագրերին։</w:t>
            </w:r>
          </w:p>
        </w:tc>
      </w:tr>
      <w:tr w:rsidR="008C76E0" w:rsidRPr="003B2786" w14:paraId="26F02BE0" w14:textId="77777777" w:rsidTr="008C76E0">
        <w:trPr>
          <w:jc w:val="center"/>
        </w:trPr>
        <w:tc>
          <w:tcPr>
            <w:tcW w:w="2830" w:type="dxa"/>
            <w:gridSpan w:val="3"/>
            <w:tcBorders>
              <w:top w:val="single" w:sz="4" w:space="0" w:color="auto"/>
              <w:left w:val="single" w:sz="4" w:space="0" w:color="auto"/>
            </w:tcBorders>
            <w:shd w:val="clear" w:color="auto" w:fill="FFFFFF"/>
            <w:vAlign w:val="center"/>
          </w:tcPr>
          <w:p w14:paraId="0F9480D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7571" w:type="dxa"/>
            <w:gridSpan w:val="12"/>
            <w:tcBorders>
              <w:top w:val="single" w:sz="4" w:space="0" w:color="auto"/>
              <w:left w:val="single" w:sz="4" w:space="0" w:color="auto"/>
              <w:right w:val="single" w:sz="4" w:space="0" w:color="auto"/>
            </w:tcBorders>
            <w:shd w:val="clear" w:color="auto" w:fill="FFFFFF"/>
            <w:vAlign w:val="bottom"/>
          </w:tcPr>
          <w:p w14:paraId="4F205881" w14:textId="0FCC0A75"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 xml:space="preserve">Բ.II.ե.5.գ-ի </w:t>
            </w:r>
            <w:r w:rsidR="00C54D75">
              <w:rPr>
                <w:rStyle w:val="Bodytext1811pt"/>
                <w:rFonts w:ascii="Sylfaen" w:hAnsi="Sylfaen"/>
                <w:sz w:val="24"/>
                <w:szCs w:val="24"/>
              </w:rPr>
              <w:t>և</w:t>
            </w:r>
            <w:r w:rsidRPr="003B2786">
              <w:rPr>
                <w:rStyle w:val="Bodytext1811pt"/>
                <w:rFonts w:ascii="Sylfaen" w:hAnsi="Sylfaen"/>
                <w:sz w:val="24"/>
                <w:szCs w:val="24"/>
              </w:rPr>
              <w:t xml:space="preserve"> Բ.II.ե.5.դ-ի համար՝ եթե փոփոխությունը հանգեցնում է դեղապատրաստուկի «դոզայի» փոփոխության, ապա այդպիսի փոփոխությամբ պահանջվում է ներկայացնել գրանցման ընդլայնման </w:t>
            </w:r>
            <w:r w:rsidR="0056496B">
              <w:rPr>
                <w:rStyle w:val="Bodytext1811pt"/>
                <w:rFonts w:ascii="Sylfaen" w:hAnsi="Sylfaen"/>
                <w:sz w:val="24"/>
                <w:szCs w:val="24"/>
              </w:rPr>
              <w:t>դիմում</w:t>
            </w:r>
            <w:r w:rsidRPr="003B2786">
              <w:rPr>
                <w:rStyle w:val="Bodytext1811pt"/>
                <w:rFonts w:ascii="Sylfaen" w:hAnsi="Sylfaen"/>
                <w:sz w:val="24"/>
                <w:szCs w:val="24"/>
              </w:rPr>
              <w:t>։</w:t>
            </w:r>
          </w:p>
        </w:tc>
      </w:tr>
      <w:tr w:rsidR="008C76E0" w:rsidRPr="003B2786" w14:paraId="4C040230"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6CFF023" w14:textId="77777777" w:rsidR="008C76E0" w:rsidRPr="008C76E0" w:rsidRDefault="008C76E0" w:rsidP="008C76E0">
            <w:pPr>
              <w:pStyle w:val="Bodytext180"/>
              <w:shd w:val="clear" w:color="auto" w:fill="auto"/>
              <w:tabs>
                <w:tab w:val="left" w:pos="122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Բ.II.ե.6. Փաթեթվածքի (փաթեթավորման նյութի)՝ դեղապատրաստուկի հետ անմիջական շփման մեջ չգտնվող բաղկացուցիչ որ</w:t>
            </w:r>
            <w:r w:rsidR="00C54D75">
              <w:rPr>
                <w:rStyle w:val="Bodytext1811pt"/>
                <w:rFonts w:ascii="Sylfaen" w:hAnsi="Sylfaen"/>
                <w:sz w:val="24"/>
                <w:szCs w:val="24"/>
              </w:rPr>
              <w:t>և</w:t>
            </w:r>
            <w:r w:rsidRPr="003B2786">
              <w:rPr>
                <w:rStyle w:val="Bodytext1811pt"/>
                <w:rFonts w:ascii="Sylfaen" w:hAnsi="Sylfaen"/>
                <w:sz w:val="24"/>
                <w:szCs w:val="24"/>
              </w:rPr>
              <w:t xml:space="preserve">է մասի փոփոխությունը (օրինակ՝ հանովի թասակների գույնը, սրվակիկների վրա ծածկագրային գունավոր օղակները, ասեղը պաշտպանող թասակի փոփոխությունը (այլ պլաստիկի օգտագործում) դիզայնի, մակնշման գույնի փոփոխությունը, (2D, 3D) </w:t>
            </w:r>
            <w:r w:rsidRPr="008C76E0">
              <w:rPr>
                <w:rFonts w:ascii="Sylfaen" w:hAnsi="Sylfaen"/>
                <w:sz w:val="24"/>
                <w:szCs w:val="24"/>
                <w:highlight w:val="magenta"/>
                <w:lang w:val="hy-AM"/>
              </w:rPr>
              <w:t>գծանշի, Բրայլի տառատեսակի զետեղումը</w:t>
            </w:r>
            <w:r w:rsidRPr="006C0A25">
              <w:rPr>
                <w:rStyle w:val="Bodytext1811pt"/>
                <w:rFonts w:ascii="Sylfaen" w:hAnsi="Sylfaen"/>
                <w:sz w:val="24"/>
                <w:szCs w:val="24"/>
                <w:highlight w:val="magenta"/>
              </w:rPr>
              <w:t>)</w:t>
            </w:r>
          </w:p>
        </w:tc>
        <w:tc>
          <w:tcPr>
            <w:tcW w:w="1701" w:type="dxa"/>
            <w:gridSpan w:val="4"/>
            <w:tcBorders>
              <w:top w:val="single" w:sz="4" w:space="0" w:color="auto"/>
              <w:left w:val="single" w:sz="4" w:space="0" w:color="auto"/>
              <w:bottom w:val="single" w:sz="4" w:space="0" w:color="auto"/>
            </w:tcBorders>
            <w:shd w:val="clear" w:color="auto" w:fill="FFFFFF"/>
          </w:tcPr>
          <w:p w14:paraId="523C5EA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1083B1B"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63D0601C"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19704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0D4DA7B"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p>
        </w:tc>
        <w:tc>
          <w:tcPr>
            <w:tcW w:w="1701" w:type="dxa"/>
            <w:gridSpan w:val="4"/>
            <w:tcBorders>
              <w:top w:val="single" w:sz="4" w:space="0" w:color="auto"/>
              <w:left w:val="single" w:sz="4" w:space="0" w:color="auto"/>
            </w:tcBorders>
            <w:shd w:val="clear" w:color="auto" w:fill="FFFFFF"/>
          </w:tcPr>
          <w:p w14:paraId="10CE81DE" w14:textId="77777777" w:rsidR="008C76E0" w:rsidRPr="003B2786" w:rsidRDefault="008C76E0" w:rsidP="008C76E0">
            <w:pPr>
              <w:spacing w:after="120" w:line="240" w:lineRule="auto"/>
              <w:ind w:left="63" w:right="59"/>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D58EBAD" w14:textId="77777777" w:rsidR="008C76E0" w:rsidRPr="003B2786" w:rsidRDefault="008C76E0" w:rsidP="008C76E0">
            <w:pPr>
              <w:spacing w:after="120" w:line="240" w:lineRule="auto"/>
              <w:ind w:left="63" w:right="59"/>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3756375F" w14:textId="77777777" w:rsidR="008C76E0" w:rsidRPr="003B2786" w:rsidRDefault="008C76E0" w:rsidP="008C76E0">
            <w:pPr>
              <w:spacing w:after="120" w:line="240" w:lineRule="auto"/>
              <w:ind w:left="63" w:right="59"/>
              <w:jc w:val="center"/>
              <w:rPr>
                <w:rFonts w:ascii="Sylfaen" w:hAnsi="Sylfaen"/>
                <w:sz w:val="24"/>
                <w:szCs w:val="24"/>
              </w:rPr>
            </w:pPr>
          </w:p>
        </w:tc>
      </w:tr>
      <w:tr w:rsidR="008C76E0" w:rsidRPr="003B2786" w14:paraId="7CA5591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1984B2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վերաբերյալ տեղեկատվությանն առնչվող փոփոխություն</w:t>
            </w:r>
          </w:p>
        </w:tc>
        <w:tc>
          <w:tcPr>
            <w:tcW w:w="1701" w:type="dxa"/>
            <w:gridSpan w:val="4"/>
            <w:tcBorders>
              <w:top w:val="single" w:sz="4" w:space="0" w:color="auto"/>
              <w:left w:val="single" w:sz="4" w:space="0" w:color="auto"/>
            </w:tcBorders>
            <w:shd w:val="clear" w:color="auto" w:fill="FFFFFF"/>
          </w:tcPr>
          <w:p w14:paraId="12B767E5"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11979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69690302"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57E51F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E5815D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վերաբերյալ տեղեկատվությանը չառնչվող փոփոխություն</w:t>
            </w:r>
          </w:p>
        </w:tc>
        <w:tc>
          <w:tcPr>
            <w:tcW w:w="1701" w:type="dxa"/>
            <w:gridSpan w:val="4"/>
            <w:tcBorders>
              <w:top w:val="single" w:sz="4" w:space="0" w:color="auto"/>
              <w:left w:val="single" w:sz="4" w:space="0" w:color="auto"/>
            </w:tcBorders>
            <w:shd w:val="clear" w:color="auto" w:fill="FFFFFF"/>
          </w:tcPr>
          <w:p w14:paraId="444B637A"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B340EF9"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72F1D28" w14:textId="77777777" w:rsidR="008C76E0" w:rsidRPr="003B2786" w:rsidRDefault="008C76E0" w:rsidP="008C76E0">
            <w:pPr>
              <w:pStyle w:val="Bodytext180"/>
              <w:shd w:val="clear" w:color="auto" w:fill="auto"/>
              <w:spacing w:before="0" w:after="120" w:line="240" w:lineRule="auto"/>
              <w:ind w:left="63" w:right="59"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B9BD0C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7A1A25D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829EDF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Փոփոխությունը չի վերաբերում փաթեթավորման նյութի այն մասերին, որոնք կարող են ազդել դեղապատրաստուկի առաքման, կիրառության, անվտանգության կամ կայունության վրա։</w:t>
            </w:r>
          </w:p>
        </w:tc>
      </w:tr>
      <w:tr w:rsidR="008C76E0" w:rsidRPr="003B2786" w14:paraId="473C6AE8"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03A498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C6C711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Դոսյեի համապատասխան բաժնում (բաժիններում) ուղղում կատարելը, ներառյալ՝ </w:t>
            </w:r>
            <w:r w:rsidRPr="003B2786">
              <w:rPr>
                <w:rStyle w:val="Bodytext1811pt"/>
                <w:rFonts w:ascii="Sylfaen" w:hAnsi="Sylfaen"/>
                <w:sz w:val="24"/>
                <w:szCs w:val="24"/>
              </w:rPr>
              <w:lastRenderedPageBreak/>
              <w:t>դեղապատրաստուկի վերաբերյալ տեղեկատվության վերանայումը։</w:t>
            </w:r>
          </w:p>
        </w:tc>
      </w:tr>
      <w:tr w:rsidR="008C76E0" w:rsidRPr="003B2786" w14:paraId="2E8FCD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3DE2C68" w14:textId="77777777" w:rsidR="008C76E0" w:rsidRPr="008C76E0" w:rsidRDefault="008C76E0" w:rsidP="008C76E0">
            <w:pPr>
              <w:pStyle w:val="Bodytext180"/>
              <w:shd w:val="clear" w:color="auto" w:fill="auto"/>
              <w:tabs>
                <w:tab w:val="left" w:pos="1073"/>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Բ.II.ե.7</w:t>
            </w:r>
            <w:r w:rsidRPr="003B2786">
              <w:rPr>
                <w:rStyle w:val="Bodytext1811pt"/>
                <w:rFonts w:ascii="Sylfaen" w:hAnsi="Sylfaen"/>
                <w:sz w:val="24"/>
                <w:szCs w:val="24"/>
              </w:rPr>
              <w:tab/>
              <w:t>Փաթեթվածքի կամ սարքավորման բաղադրիչների մատակարարի փոփոխությունը (դոսյեում նշված լինելու դեպքում)</w:t>
            </w:r>
          </w:p>
        </w:tc>
        <w:tc>
          <w:tcPr>
            <w:tcW w:w="1701" w:type="dxa"/>
            <w:gridSpan w:val="4"/>
            <w:tcBorders>
              <w:top w:val="single" w:sz="4" w:space="0" w:color="auto"/>
              <w:left w:val="single" w:sz="4" w:space="0" w:color="auto"/>
            </w:tcBorders>
            <w:shd w:val="clear" w:color="auto" w:fill="FFFFFF"/>
          </w:tcPr>
          <w:p w14:paraId="2D5A81B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42F7E7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2D12353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329C3A1"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DC3F2C4"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Մատակարարի բացառում</w:t>
            </w:r>
          </w:p>
        </w:tc>
        <w:tc>
          <w:tcPr>
            <w:tcW w:w="1701" w:type="dxa"/>
            <w:gridSpan w:val="4"/>
            <w:tcBorders>
              <w:top w:val="single" w:sz="4" w:space="0" w:color="auto"/>
              <w:left w:val="single" w:sz="4" w:space="0" w:color="auto"/>
            </w:tcBorders>
            <w:shd w:val="clear" w:color="auto" w:fill="FFFFFF"/>
          </w:tcPr>
          <w:p w14:paraId="4145235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1469AE27"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719" w:type="dxa"/>
            <w:gridSpan w:val="3"/>
            <w:tcBorders>
              <w:top w:val="single" w:sz="4" w:space="0" w:color="auto"/>
              <w:left w:val="single" w:sz="4" w:space="0" w:color="auto"/>
              <w:right w:val="single" w:sz="4" w:space="0" w:color="auto"/>
            </w:tcBorders>
            <w:shd w:val="clear" w:color="auto" w:fill="FFFFFF"/>
          </w:tcPr>
          <w:p w14:paraId="354AD713"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55DAD89"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442B52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Մատակարարի փոխարինում կամ ավելացում</w:t>
            </w:r>
          </w:p>
        </w:tc>
        <w:tc>
          <w:tcPr>
            <w:tcW w:w="1701" w:type="dxa"/>
            <w:gridSpan w:val="4"/>
            <w:tcBorders>
              <w:top w:val="single" w:sz="4" w:space="0" w:color="auto"/>
              <w:left w:val="single" w:sz="4" w:space="0" w:color="auto"/>
            </w:tcBorders>
            <w:shd w:val="clear" w:color="auto" w:fill="FFFFFF"/>
          </w:tcPr>
          <w:p w14:paraId="4E2C85D0"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1, 2, 3, 4</w:t>
            </w:r>
          </w:p>
        </w:tc>
        <w:tc>
          <w:tcPr>
            <w:tcW w:w="1984" w:type="dxa"/>
            <w:gridSpan w:val="2"/>
            <w:tcBorders>
              <w:top w:val="single" w:sz="4" w:space="0" w:color="auto"/>
              <w:left w:val="single" w:sz="4" w:space="0" w:color="auto"/>
            </w:tcBorders>
            <w:shd w:val="clear" w:color="auto" w:fill="FFFFFF"/>
          </w:tcPr>
          <w:p w14:paraId="1D1664F1"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7F2B25F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C70EF4E"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65D72B0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Դոզավորված ներշնչակների սփեյսերների մատակարարների ցանկացած փոփոխություն</w:t>
            </w:r>
          </w:p>
        </w:tc>
        <w:tc>
          <w:tcPr>
            <w:tcW w:w="1701" w:type="dxa"/>
            <w:gridSpan w:val="4"/>
            <w:tcBorders>
              <w:top w:val="single" w:sz="4" w:space="0" w:color="auto"/>
              <w:left w:val="single" w:sz="4" w:space="0" w:color="auto"/>
            </w:tcBorders>
            <w:shd w:val="clear" w:color="auto" w:fill="FFFFFF"/>
          </w:tcPr>
          <w:p w14:paraId="0A9A5F3F"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F44B419" w14:textId="77777777" w:rsidR="008C76E0" w:rsidRPr="003B2786" w:rsidRDefault="008C76E0" w:rsidP="008C76E0">
            <w:pPr>
              <w:tabs>
                <w:tab w:val="left" w:pos="567"/>
              </w:tabs>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9BE1678"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576F76A"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996AE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FA6615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Փաթեթվածքի կամ արտադրատեսակի բաղադրիչը չի բացառվում։</w:t>
            </w:r>
          </w:p>
          <w:p w14:paraId="6CF1A032"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Փաթեթվածքի (արտադրատեսակի) </w:t>
            </w:r>
            <w:r w:rsidR="00C54D75">
              <w:rPr>
                <w:rStyle w:val="Bodytext1811pt"/>
                <w:rFonts w:ascii="Sylfaen" w:hAnsi="Sylfaen"/>
                <w:sz w:val="24"/>
                <w:szCs w:val="24"/>
              </w:rPr>
              <w:t>և</w:t>
            </w:r>
            <w:r w:rsidRPr="003B2786">
              <w:rPr>
                <w:rStyle w:val="Bodytext1811pt"/>
                <w:rFonts w:ascii="Sylfaen" w:hAnsi="Sylfaen"/>
                <w:sz w:val="24"/>
                <w:szCs w:val="24"/>
              </w:rPr>
              <w:t xml:space="preserve"> էսքիզի մասնագրի բաղադրիչների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բաղադրությունը չի փոփոխվում։</w:t>
            </w:r>
          </w:p>
          <w:p w14:paraId="0C9B8A9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Մասնագրերը </w:t>
            </w:r>
            <w:r w:rsidR="00C54D75">
              <w:rPr>
                <w:rStyle w:val="Bodytext1811pt"/>
                <w:rFonts w:ascii="Sylfaen" w:hAnsi="Sylfaen"/>
                <w:sz w:val="24"/>
                <w:szCs w:val="24"/>
              </w:rPr>
              <w:t>և</w:t>
            </w:r>
            <w:r w:rsidRPr="003B2786">
              <w:rPr>
                <w:rStyle w:val="Bodytext1811pt"/>
                <w:rFonts w:ascii="Sylfaen" w:hAnsi="Sylfaen"/>
                <w:sz w:val="24"/>
                <w:szCs w:val="24"/>
              </w:rPr>
              <w:t xml:space="preserve"> որակի հսկողության մեթոդներն առնվազն համարժեք են։</w:t>
            </w:r>
          </w:p>
          <w:p w14:paraId="4620700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Մանրէազերծման մեթոդը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չեն փոփոխվում (եթե կիրառելի է)։</w:t>
            </w:r>
          </w:p>
        </w:tc>
      </w:tr>
      <w:tr w:rsidR="008C76E0" w:rsidRPr="003B2786" w14:paraId="387DA7F5"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1FFE77CC"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046A23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30CA721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 դեղապատրաստուկին կցվող բժշկական արտադրատեսակների մասով</w:t>
            </w:r>
          </w:p>
          <w:p w14:paraId="6187F98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 (եթե կիրառելի է)։</w:t>
            </w:r>
          </w:p>
        </w:tc>
      </w:tr>
      <w:tr w:rsidR="008C76E0" w:rsidRPr="003B2786" w14:paraId="112DEBE0" w14:textId="77777777" w:rsidTr="008C76E0">
        <w:trPr>
          <w:jc w:val="center"/>
        </w:trPr>
        <w:tc>
          <w:tcPr>
            <w:tcW w:w="10401" w:type="dxa"/>
            <w:gridSpan w:val="15"/>
            <w:tcBorders>
              <w:top w:val="single" w:sz="4" w:space="0" w:color="auto"/>
            </w:tcBorders>
            <w:shd w:val="clear" w:color="auto" w:fill="FFFFFF"/>
            <w:vAlign w:val="bottom"/>
          </w:tcPr>
          <w:p w14:paraId="47A14702" w14:textId="77777777" w:rsidR="008C76E0" w:rsidRPr="003B2786"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rPr>
            </w:pPr>
            <w:r w:rsidRPr="003B2786">
              <w:rPr>
                <w:rStyle w:val="Bodytext295pt"/>
                <w:rFonts w:ascii="Sylfaen" w:hAnsi="Sylfaen"/>
                <w:sz w:val="24"/>
                <w:szCs w:val="24"/>
              </w:rPr>
              <w:t>Բ.II.զ)</w:t>
            </w:r>
            <w:r w:rsidRPr="003B2786">
              <w:rPr>
                <w:rStyle w:val="Bodytext295pt"/>
                <w:rFonts w:ascii="Sylfaen" w:hAnsi="Sylfaen"/>
                <w:sz w:val="24"/>
                <w:szCs w:val="24"/>
              </w:rPr>
              <w:tab/>
              <w:t>Կայունությունը</w:t>
            </w:r>
          </w:p>
        </w:tc>
      </w:tr>
      <w:tr w:rsidR="008C76E0" w:rsidRPr="003B2786" w14:paraId="057D376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9BEA32E" w14:textId="77777777" w:rsidR="008C76E0" w:rsidRPr="008C76E0" w:rsidRDefault="008C76E0" w:rsidP="008C76E0">
            <w:pPr>
              <w:pStyle w:val="Bodytext180"/>
              <w:shd w:val="clear" w:color="auto" w:fill="auto"/>
              <w:tabs>
                <w:tab w:val="left" w:pos="1118"/>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Բ.II.զ. 1.</w:t>
            </w:r>
            <w:r w:rsidRPr="003B2786">
              <w:rPr>
                <w:rStyle w:val="Bodytext1811pt"/>
                <w:rFonts w:ascii="Sylfaen" w:hAnsi="Sylfaen"/>
                <w:sz w:val="24"/>
                <w:szCs w:val="24"/>
              </w:rPr>
              <w:tab/>
              <w:t>Դեղապատրաստուկի պիտանիության ժամկետի կամ պահպանման պայմանների փոփոխությունը</w:t>
            </w:r>
          </w:p>
        </w:tc>
        <w:tc>
          <w:tcPr>
            <w:tcW w:w="1701" w:type="dxa"/>
            <w:gridSpan w:val="4"/>
            <w:tcBorders>
              <w:top w:val="single" w:sz="4" w:space="0" w:color="auto"/>
              <w:left w:val="single" w:sz="4" w:space="0" w:color="auto"/>
            </w:tcBorders>
            <w:shd w:val="clear" w:color="auto" w:fill="FFFFFF"/>
          </w:tcPr>
          <w:p w14:paraId="1186D5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CA76C0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719" w:type="dxa"/>
            <w:gridSpan w:val="3"/>
            <w:tcBorders>
              <w:top w:val="single" w:sz="4" w:space="0" w:color="auto"/>
              <w:left w:val="single" w:sz="4" w:space="0" w:color="auto"/>
              <w:right w:val="single" w:sz="4" w:space="0" w:color="auto"/>
            </w:tcBorders>
            <w:shd w:val="clear" w:color="auto" w:fill="FFFFFF"/>
          </w:tcPr>
          <w:p w14:paraId="3DE7ED0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07D8C0"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FC4438A"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պիտանիության ժամկետի կրճատում</w:t>
            </w:r>
          </w:p>
        </w:tc>
        <w:tc>
          <w:tcPr>
            <w:tcW w:w="1701" w:type="dxa"/>
            <w:gridSpan w:val="4"/>
            <w:tcBorders>
              <w:top w:val="single" w:sz="4" w:space="0" w:color="auto"/>
              <w:left w:val="single" w:sz="4" w:space="0" w:color="auto"/>
            </w:tcBorders>
            <w:shd w:val="clear" w:color="auto" w:fill="FFFFFF"/>
          </w:tcPr>
          <w:p w14:paraId="175FD10A"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1E3202F"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115683B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7D8A209F"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B130C5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w:t>
            </w:r>
          </w:p>
        </w:tc>
        <w:tc>
          <w:tcPr>
            <w:tcW w:w="1701" w:type="dxa"/>
            <w:gridSpan w:val="4"/>
            <w:tcBorders>
              <w:top w:val="single" w:sz="4" w:space="0" w:color="auto"/>
              <w:left w:val="single" w:sz="4" w:space="0" w:color="auto"/>
            </w:tcBorders>
            <w:shd w:val="clear" w:color="auto" w:fill="FFFFFF"/>
          </w:tcPr>
          <w:p w14:paraId="14CDA0E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FA381D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EB8AB2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D65B21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7127BD5"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w:t>
            </w:r>
          </w:p>
        </w:tc>
        <w:tc>
          <w:tcPr>
            <w:tcW w:w="1701" w:type="dxa"/>
            <w:gridSpan w:val="4"/>
            <w:tcBorders>
              <w:top w:val="single" w:sz="4" w:space="0" w:color="auto"/>
              <w:left w:val="single" w:sz="4" w:space="0" w:color="auto"/>
            </w:tcBorders>
            <w:shd w:val="clear" w:color="auto" w:fill="FFFFFF"/>
          </w:tcPr>
          <w:p w14:paraId="5B256ED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19635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7045CB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FF7A33"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216E25D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w:t>
            </w:r>
          </w:p>
        </w:tc>
        <w:tc>
          <w:tcPr>
            <w:tcW w:w="1701" w:type="dxa"/>
            <w:gridSpan w:val="4"/>
            <w:tcBorders>
              <w:top w:val="single" w:sz="4" w:space="0" w:color="auto"/>
              <w:left w:val="single" w:sz="4" w:space="0" w:color="auto"/>
            </w:tcBorders>
            <w:shd w:val="clear" w:color="auto" w:fill="FFFFFF"/>
          </w:tcPr>
          <w:p w14:paraId="19AEDB9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42AD69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5A775B89"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AF9A35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6FFD1C9"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դեղապատրաստուկի պիտանիության </w:t>
            </w:r>
            <w:r w:rsidRPr="003B2786">
              <w:rPr>
                <w:rStyle w:val="Bodytext1811pt"/>
                <w:rFonts w:ascii="Sylfaen" w:hAnsi="Sylfaen"/>
                <w:sz w:val="24"/>
                <w:szCs w:val="24"/>
              </w:rPr>
              <w:lastRenderedPageBreak/>
              <w:t>ժամկետի երկարաձգում</w:t>
            </w:r>
          </w:p>
        </w:tc>
        <w:tc>
          <w:tcPr>
            <w:tcW w:w="1701" w:type="dxa"/>
            <w:gridSpan w:val="4"/>
            <w:tcBorders>
              <w:top w:val="single" w:sz="4" w:space="0" w:color="auto"/>
              <w:left w:val="single" w:sz="4" w:space="0" w:color="auto"/>
            </w:tcBorders>
            <w:shd w:val="clear" w:color="auto" w:fill="FFFFFF"/>
          </w:tcPr>
          <w:p w14:paraId="4F20155D" w14:textId="77777777" w:rsidR="008C76E0" w:rsidRPr="003B2786" w:rsidRDefault="008C76E0" w:rsidP="008C76E0">
            <w:pPr>
              <w:spacing w:after="120" w:line="240" w:lineRule="auto"/>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CE068AE" w14:textId="77777777" w:rsidR="008C76E0" w:rsidRPr="003B2786" w:rsidRDefault="008C76E0" w:rsidP="008C76E0">
            <w:pPr>
              <w:spacing w:after="120" w:line="240" w:lineRule="auto"/>
              <w:jc w:val="center"/>
              <w:rPr>
                <w:rFonts w:ascii="Sylfaen" w:hAnsi="Sylfaen"/>
                <w:sz w:val="24"/>
                <w:szCs w:val="24"/>
              </w:rPr>
            </w:pPr>
          </w:p>
        </w:tc>
        <w:tc>
          <w:tcPr>
            <w:tcW w:w="1719" w:type="dxa"/>
            <w:gridSpan w:val="3"/>
            <w:tcBorders>
              <w:top w:val="single" w:sz="4" w:space="0" w:color="auto"/>
              <w:left w:val="single" w:sz="4" w:space="0" w:color="auto"/>
              <w:right w:val="single" w:sz="4" w:space="0" w:color="auto"/>
            </w:tcBorders>
            <w:shd w:val="clear" w:color="auto" w:fill="FFFFFF"/>
          </w:tcPr>
          <w:p w14:paraId="681C9128" w14:textId="77777777" w:rsidR="008C76E0" w:rsidRPr="003B2786" w:rsidRDefault="008C76E0" w:rsidP="008C76E0">
            <w:pPr>
              <w:spacing w:after="120" w:line="240" w:lineRule="auto"/>
              <w:jc w:val="center"/>
              <w:rPr>
                <w:rFonts w:ascii="Sylfaen" w:hAnsi="Sylfaen"/>
                <w:sz w:val="24"/>
                <w:szCs w:val="24"/>
              </w:rPr>
            </w:pPr>
          </w:p>
        </w:tc>
      </w:tr>
      <w:tr w:rsidR="008C76E0" w:rsidRPr="003B2786" w14:paraId="49A8BC8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45FC2B74"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w:t>
            </w:r>
            <w:r w:rsidR="00C54D75">
              <w:rPr>
                <w:rStyle w:val="Bodytext1811pt"/>
                <w:rFonts w:ascii="Sylfaen" w:hAnsi="Sylfaen"/>
                <w:sz w:val="24"/>
                <w:szCs w:val="24"/>
              </w:rPr>
              <w:t>և</w:t>
            </w:r>
            <w:r w:rsidRPr="003B2786">
              <w:rPr>
                <w:rStyle w:val="Bodytext1811pt"/>
                <w:rFonts w:ascii="Sylfaen" w:hAnsi="Sylfaen"/>
                <w:sz w:val="24"/>
                <w:szCs w:val="24"/>
              </w:rPr>
              <w:t>տրային փաթեթվածքով փաթեթավորված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761BDBB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5C95F90"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3963EDD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373E69" w14:textId="77777777" w:rsidTr="008C76E0">
        <w:trPr>
          <w:jc w:val="center"/>
        </w:trPr>
        <w:tc>
          <w:tcPr>
            <w:tcW w:w="4997" w:type="dxa"/>
            <w:gridSpan w:val="6"/>
            <w:tcBorders>
              <w:top w:val="single" w:sz="4" w:space="0" w:color="auto"/>
              <w:left w:val="single" w:sz="4" w:space="0" w:color="auto"/>
              <w:bottom w:val="single" w:sz="4" w:space="0" w:color="auto"/>
            </w:tcBorders>
            <w:shd w:val="clear" w:color="auto" w:fill="FFFFFF"/>
            <w:vAlign w:val="bottom"/>
          </w:tcPr>
          <w:p w14:paraId="69557C4E"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Առաջին անգամ բացելուց հետո (իրական ժամանակում տվյալներով հաստատված)</w:t>
            </w:r>
          </w:p>
        </w:tc>
        <w:tc>
          <w:tcPr>
            <w:tcW w:w="1701" w:type="dxa"/>
            <w:gridSpan w:val="4"/>
            <w:tcBorders>
              <w:top w:val="single" w:sz="4" w:space="0" w:color="auto"/>
              <w:left w:val="single" w:sz="4" w:space="0" w:color="auto"/>
              <w:bottom w:val="single" w:sz="4" w:space="0" w:color="auto"/>
            </w:tcBorders>
            <w:shd w:val="clear" w:color="auto" w:fill="FFFFFF"/>
          </w:tcPr>
          <w:p w14:paraId="0F8EA07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DADDC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FFFF"/>
          </w:tcPr>
          <w:p w14:paraId="41E95A3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895AED7"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526205BB"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Նոսրացնելուց կամ վերականգնելուց հետո (իրական ժամանակում տվյալներով հաստատված)</w:t>
            </w:r>
          </w:p>
        </w:tc>
        <w:tc>
          <w:tcPr>
            <w:tcW w:w="1701" w:type="dxa"/>
            <w:gridSpan w:val="4"/>
            <w:tcBorders>
              <w:top w:val="single" w:sz="4" w:space="0" w:color="auto"/>
              <w:left w:val="single" w:sz="4" w:space="0" w:color="auto"/>
            </w:tcBorders>
            <w:shd w:val="clear" w:color="auto" w:fill="FFFFFF"/>
          </w:tcPr>
          <w:p w14:paraId="1582AAA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0D8B83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51F9B4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B7A4565"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31614E1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Պիտանիության ժամկետի երկարաձգում՝ կայունության վերաբերյալ այն տվյալների արտարկման եղանակով, որոնք չենք համապատասխանում Միության փաստաթղթերին</w:t>
            </w:r>
          </w:p>
        </w:tc>
        <w:tc>
          <w:tcPr>
            <w:tcW w:w="1701" w:type="dxa"/>
            <w:gridSpan w:val="4"/>
            <w:tcBorders>
              <w:top w:val="single" w:sz="4" w:space="0" w:color="auto"/>
              <w:left w:val="single" w:sz="4" w:space="0" w:color="auto"/>
            </w:tcBorders>
            <w:shd w:val="clear" w:color="auto" w:fill="FFFFFF"/>
          </w:tcPr>
          <w:p w14:paraId="7CFD95FA"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76F9EE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0030640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CF48BE8"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C5204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Կենսաբանական (իմունաբանական) դեղապատրաստուկի պահպանման ժամկետի երկարաձգում՝ կայունության ուսումնասիրության հաստատված ծրագրին համապատասխան</w:t>
            </w:r>
          </w:p>
        </w:tc>
        <w:tc>
          <w:tcPr>
            <w:tcW w:w="1701" w:type="dxa"/>
            <w:gridSpan w:val="4"/>
            <w:tcBorders>
              <w:top w:val="single" w:sz="4" w:space="0" w:color="auto"/>
              <w:left w:val="single" w:sz="4" w:space="0" w:color="auto"/>
            </w:tcBorders>
            <w:shd w:val="clear" w:color="auto" w:fill="FFFFFF"/>
          </w:tcPr>
          <w:p w14:paraId="31739A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AECE47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2D067CF5"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5CF2202" w14:textId="77777777" w:rsidTr="008C76E0">
        <w:trPr>
          <w:jc w:val="center"/>
        </w:trPr>
        <w:tc>
          <w:tcPr>
            <w:tcW w:w="4997" w:type="dxa"/>
            <w:gridSpan w:val="6"/>
            <w:tcBorders>
              <w:top w:val="single" w:sz="4" w:space="0" w:color="auto"/>
              <w:left w:val="single" w:sz="4" w:space="0" w:color="auto"/>
            </w:tcBorders>
            <w:shd w:val="clear" w:color="auto" w:fill="FFFFFF"/>
            <w:vAlign w:val="bottom"/>
          </w:tcPr>
          <w:p w14:paraId="7CA8395D"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դեղապատրաստուկների պահպանման պայմանների փոփոխություն, եթե կայունության հետազոտությունները չեն անցկացվել կայունության ուսումնասիրության հաստատված ընթացիկ ծրագրին համապատասխան</w:t>
            </w:r>
          </w:p>
        </w:tc>
        <w:tc>
          <w:tcPr>
            <w:tcW w:w="1701" w:type="dxa"/>
            <w:gridSpan w:val="4"/>
            <w:tcBorders>
              <w:top w:val="single" w:sz="4" w:space="0" w:color="auto"/>
              <w:left w:val="single" w:sz="4" w:space="0" w:color="auto"/>
            </w:tcBorders>
            <w:shd w:val="clear" w:color="auto" w:fill="FFFFFF"/>
          </w:tcPr>
          <w:p w14:paraId="5CADAF2D"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263E1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719" w:type="dxa"/>
            <w:gridSpan w:val="3"/>
            <w:tcBorders>
              <w:top w:val="single" w:sz="4" w:space="0" w:color="auto"/>
              <w:left w:val="single" w:sz="4" w:space="0" w:color="auto"/>
              <w:right w:val="single" w:sz="4" w:space="0" w:color="auto"/>
            </w:tcBorders>
            <w:shd w:val="clear" w:color="auto" w:fill="FFFFFF"/>
          </w:tcPr>
          <w:p w14:paraId="6C28018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C749855" w14:textId="77777777" w:rsidTr="008C76E0">
        <w:trPr>
          <w:jc w:val="center"/>
        </w:trPr>
        <w:tc>
          <w:tcPr>
            <w:tcW w:w="4997" w:type="dxa"/>
            <w:gridSpan w:val="6"/>
            <w:tcBorders>
              <w:top w:val="single" w:sz="4" w:space="0" w:color="auto"/>
              <w:left w:val="single" w:sz="4" w:space="0" w:color="auto"/>
            </w:tcBorders>
            <w:shd w:val="clear" w:color="auto" w:fill="FFFFFF"/>
          </w:tcPr>
          <w:p w14:paraId="065886B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դեղապատրաստուկի կամ նոսրացումից (վերականգնումից) հետո դեղապատրաստուկի պահպանման պայմանների փոփոխություն</w:t>
            </w:r>
          </w:p>
        </w:tc>
        <w:tc>
          <w:tcPr>
            <w:tcW w:w="1701" w:type="dxa"/>
            <w:gridSpan w:val="4"/>
            <w:tcBorders>
              <w:top w:val="single" w:sz="4" w:space="0" w:color="auto"/>
              <w:left w:val="single" w:sz="4" w:space="0" w:color="auto"/>
            </w:tcBorders>
            <w:shd w:val="clear" w:color="auto" w:fill="FFFFFF"/>
          </w:tcPr>
          <w:p w14:paraId="0D34C1BF"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F976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1719" w:type="dxa"/>
            <w:gridSpan w:val="3"/>
            <w:tcBorders>
              <w:top w:val="single" w:sz="4" w:space="0" w:color="auto"/>
              <w:left w:val="single" w:sz="4" w:space="0" w:color="auto"/>
              <w:right w:val="single" w:sz="4" w:space="0" w:color="auto"/>
            </w:tcBorders>
            <w:shd w:val="clear" w:color="auto" w:fill="FFFFFF"/>
          </w:tcPr>
          <w:p w14:paraId="6C4DB70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i/>
                <w:sz w:val="24"/>
                <w:szCs w:val="24"/>
              </w:rPr>
            </w:pPr>
            <w:r w:rsidRPr="003B2786">
              <w:rPr>
                <w:rStyle w:val="Bodytext295pt"/>
                <w:rFonts w:ascii="Sylfaen" w:hAnsi="Sylfaen"/>
                <w:sz w:val="24"/>
                <w:szCs w:val="24"/>
              </w:rPr>
              <w:t>IB</w:t>
            </w:r>
          </w:p>
        </w:tc>
      </w:tr>
      <w:tr w:rsidR="008C76E0" w:rsidRPr="003B2786" w14:paraId="15FADA09" w14:textId="77777777" w:rsidTr="008C76E0">
        <w:trPr>
          <w:jc w:val="center"/>
        </w:trPr>
        <w:tc>
          <w:tcPr>
            <w:tcW w:w="4997" w:type="dxa"/>
            <w:gridSpan w:val="6"/>
            <w:tcBorders>
              <w:top w:val="single" w:sz="4" w:space="0" w:color="auto"/>
              <w:left w:val="single" w:sz="4" w:space="0" w:color="auto"/>
            </w:tcBorders>
            <w:shd w:val="clear" w:color="auto" w:fill="FFFFFF"/>
          </w:tcPr>
          <w:p w14:paraId="2004E5A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ե)</w:t>
            </w:r>
            <w:r w:rsidRPr="003B2786">
              <w:rPr>
                <w:rStyle w:val="Bodytext1811pt"/>
                <w:rFonts w:ascii="Sylfaen" w:hAnsi="Sylfaen"/>
                <w:sz w:val="24"/>
                <w:szCs w:val="24"/>
              </w:rPr>
              <w:tab/>
              <w:t>կայունության հաստատված արձանագրության փոփոխություն</w:t>
            </w:r>
          </w:p>
        </w:tc>
        <w:tc>
          <w:tcPr>
            <w:tcW w:w="1701" w:type="dxa"/>
            <w:gridSpan w:val="4"/>
            <w:tcBorders>
              <w:top w:val="single" w:sz="4" w:space="0" w:color="auto"/>
              <w:left w:val="single" w:sz="4" w:space="0" w:color="auto"/>
            </w:tcBorders>
            <w:shd w:val="clear" w:color="auto" w:fill="FFFFFF"/>
          </w:tcPr>
          <w:p w14:paraId="76EAD30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29AE25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1, 4</w:t>
            </w:r>
          </w:p>
        </w:tc>
        <w:tc>
          <w:tcPr>
            <w:tcW w:w="1719" w:type="dxa"/>
            <w:gridSpan w:val="3"/>
            <w:tcBorders>
              <w:top w:val="single" w:sz="4" w:space="0" w:color="auto"/>
              <w:left w:val="single" w:sz="4" w:space="0" w:color="auto"/>
              <w:right w:val="single" w:sz="4" w:space="0" w:color="auto"/>
            </w:tcBorders>
            <w:shd w:val="clear" w:color="auto" w:fill="FFFFFF"/>
          </w:tcPr>
          <w:p w14:paraId="18EB4D2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433D3F2"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8B4616"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10CAA63"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լինի արտադրության ընթացքում առաջ եկող անկանխատեսելի իրավիճակների կամ կայունության փոփոխության հետ</w:t>
            </w:r>
            <w:r w:rsidR="00C54D75">
              <w:rPr>
                <w:rStyle w:val="Bodytext1811pt"/>
                <w:rFonts w:ascii="Sylfaen" w:hAnsi="Sylfaen"/>
                <w:sz w:val="24"/>
                <w:szCs w:val="24"/>
              </w:rPr>
              <w:t>և</w:t>
            </w:r>
            <w:r w:rsidRPr="003B2786">
              <w:rPr>
                <w:rStyle w:val="Bodytext1811pt"/>
                <w:rFonts w:ascii="Sylfaen" w:hAnsi="Sylfaen"/>
                <w:sz w:val="24"/>
                <w:szCs w:val="24"/>
              </w:rPr>
              <w:t>անք։</w:t>
            </w:r>
          </w:p>
          <w:p w14:paraId="7DF15D1F" w14:textId="77777777" w:rsidR="008C76E0" w:rsidRPr="00E74ADC" w:rsidRDefault="008C76E0" w:rsidP="008C76E0">
            <w:pPr>
              <w:pStyle w:val="Bodytext180"/>
              <w:shd w:val="clear" w:color="auto" w:fill="auto"/>
              <w:tabs>
                <w:tab w:val="left" w:pos="567"/>
              </w:tabs>
              <w:spacing w:before="0" w:after="120" w:line="240" w:lineRule="auto"/>
              <w:ind w:left="158" w:right="210"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Փոփոխությունները չեն հանգեցնում փորձարկվող պարամետրերի ընդունելիության չափանիշների ընդլայնմանը, կայունության պարամետրերի բացառմանը կամ փորձարկման հաճախականության նվազեցմանը:</w:t>
            </w:r>
          </w:p>
          <w:p w14:paraId="2F8E6134" w14:textId="77777777" w:rsidR="002F06F8" w:rsidRPr="00E74ADC" w:rsidRDefault="002F06F8"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p>
        </w:tc>
      </w:tr>
      <w:tr w:rsidR="008C76E0" w:rsidRPr="003B2786" w14:paraId="0F88E717" w14:textId="77777777" w:rsidTr="008C76E0">
        <w:trPr>
          <w:jc w:val="center"/>
        </w:trPr>
        <w:tc>
          <w:tcPr>
            <w:tcW w:w="10401" w:type="dxa"/>
            <w:gridSpan w:val="15"/>
            <w:tcBorders>
              <w:top w:val="single" w:sz="4" w:space="0" w:color="auto"/>
              <w:left w:val="single" w:sz="4" w:space="0" w:color="auto"/>
              <w:right w:val="single" w:sz="4" w:space="0" w:color="auto"/>
            </w:tcBorders>
            <w:shd w:val="clear" w:color="auto" w:fill="FFFFFF"/>
            <w:vAlign w:val="bottom"/>
          </w:tcPr>
          <w:p w14:paraId="5356AC67"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3F20BBD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 Դրանում պետք է պարունակվեն իրական ժամանակում (ներառում է պիտանիության ամբողջ ժամկետը) Միության համապատասխան փաստաթղթերի համաձայն անցկացված կայունության համապատասխան հետազոտությունների արդյունքները՝ առնվազն երկու փորձարարաարդյունաբերական սերիայի</w:t>
            </w:r>
            <w:r w:rsidRPr="003B2786">
              <w:rPr>
                <w:rStyle w:val="Bodytext1811pt"/>
                <w:rFonts w:ascii="Sylfaen" w:hAnsi="Sylfaen"/>
                <w:sz w:val="24"/>
                <w:szCs w:val="24"/>
                <w:vertAlign w:val="superscript"/>
              </w:rPr>
              <w:t>(1)</w:t>
            </w:r>
            <w:r w:rsidRPr="003B2786">
              <w:rPr>
                <w:rStyle w:val="Bodytext1811pt"/>
                <w:rFonts w:ascii="Sylfaen" w:hAnsi="Sylfaen"/>
                <w:sz w:val="24"/>
                <w:szCs w:val="24"/>
              </w:rPr>
              <w:t xml:space="preserve"> այն դեղապատրաստուկի նկատմամբ, որը փաթեթավորված է գրանցված փաթեթավորման նյութով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համապատասխանաբար առաջին անգամ բացելուց կամ նոսրացնելուց հետո. համապատասխան դեպքերում անհրաժեշտ է ներկայացնել միկրոկենսաբանական փորձարկումների արդյունքները։</w:t>
            </w:r>
          </w:p>
          <w:p w14:paraId="65D216F1"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 վերաբերյալ վերանայված տեղեկատվությունը:</w:t>
            </w:r>
          </w:p>
          <w:p w14:paraId="47C70978" w14:textId="77777777" w:rsidR="008C76E0" w:rsidRPr="008C76E0"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Հաստատված մասնագրերի օրինակները՝ պիտանիության ժամկետի ավարտին </w:t>
            </w:r>
            <w:r w:rsidR="00C54D75">
              <w:rPr>
                <w:rStyle w:val="Bodytext1811pt"/>
                <w:rFonts w:ascii="Sylfaen" w:hAnsi="Sylfaen"/>
                <w:sz w:val="24"/>
                <w:szCs w:val="24"/>
              </w:rPr>
              <w:t>և</w:t>
            </w:r>
            <w:r w:rsidRPr="003B2786">
              <w:rPr>
                <w:rStyle w:val="Bodytext1811pt"/>
                <w:rFonts w:ascii="Sylfaen" w:hAnsi="Sylfaen"/>
                <w:sz w:val="24"/>
                <w:szCs w:val="24"/>
              </w:rPr>
              <w:t xml:space="preserve"> կիրառելիության դեպքում, մասնագրերը՝ նոսրացնելուց (վերականգնելուց) կամ առաջին անգամ բացելուց հետո։</w:t>
            </w:r>
          </w:p>
          <w:p w14:paraId="39C32C57" w14:textId="77777777" w:rsidR="008C76E0" w:rsidRPr="003B2786" w:rsidRDefault="008C76E0" w:rsidP="002F06F8">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Առաջարկվող փոփոխությունների հիմնավորումը։</w:t>
            </w:r>
          </w:p>
        </w:tc>
      </w:tr>
      <w:tr w:rsidR="008C76E0" w:rsidRPr="003B2786" w14:paraId="65C89D82" w14:textId="77777777" w:rsidTr="008C76E0">
        <w:trPr>
          <w:jc w:val="center"/>
        </w:trPr>
        <w:tc>
          <w:tcPr>
            <w:tcW w:w="2334" w:type="dxa"/>
            <w:gridSpan w:val="2"/>
            <w:tcBorders>
              <w:top w:val="single" w:sz="4" w:space="0" w:color="auto"/>
              <w:left w:val="single" w:sz="4" w:space="0" w:color="auto"/>
            </w:tcBorders>
            <w:shd w:val="clear" w:color="auto" w:fill="FFFFFF"/>
          </w:tcPr>
          <w:p w14:paraId="12161CE6" w14:textId="77777777" w:rsidR="008C76E0" w:rsidRPr="003B2786" w:rsidRDefault="008C76E0" w:rsidP="008C76E0">
            <w:pPr>
              <w:pStyle w:val="Bodytext180"/>
              <w:shd w:val="clear" w:color="auto" w:fill="auto"/>
              <w:tabs>
                <w:tab w:val="left" w:pos="567"/>
              </w:tabs>
              <w:spacing w:before="0" w:after="120" w:line="240" w:lineRule="auto"/>
              <w:ind w:left="157" w:right="82" w:firstLine="0"/>
              <w:jc w:val="both"/>
              <w:rPr>
                <w:rFonts w:ascii="Sylfaen" w:hAnsi="Sylfaen"/>
                <w:sz w:val="24"/>
                <w:szCs w:val="24"/>
              </w:rPr>
            </w:pPr>
            <w:r w:rsidRPr="003B2786">
              <w:rPr>
                <w:rStyle w:val="Bodytext1811pt"/>
                <w:rFonts w:ascii="Sylfaen" w:hAnsi="Sylfaen"/>
                <w:sz w:val="24"/>
                <w:szCs w:val="24"/>
              </w:rPr>
              <w:t xml:space="preserve">* </w:t>
            </w:r>
            <w:r w:rsidRPr="003B2786">
              <w:rPr>
                <w:rStyle w:val="Bodytext295pt"/>
                <w:rFonts w:ascii="Sylfaen" w:hAnsi="Sylfaen"/>
                <w:sz w:val="24"/>
                <w:szCs w:val="24"/>
              </w:rPr>
              <w:t>Ծանոթագրություն</w:t>
            </w:r>
          </w:p>
        </w:tc>
        <w:tc>
          <w:tcPr>
            <w:tcW w:w="8067" w:type="dxa"/>
            <w:gridSpan w:val="13"/>
            <w:tcBorders>
              <w:top w:val="single" w:sz="4" w:space="0" w:color="auto"/>
              <w:left w:val="single" w:sz="4" w:space="0" w:color="auto"/>
              <w:right w:val="single" w:sz="4" w:space="0" w:color="auto"/>
            </w:tcBorders>
            <w:shd w:val="clear" w:color="auto" w:fill="FFFFFF"/>
            <w:vAlign w:val="bottom"/>
          </w:tcPr>
          <w:p w14:paraId="755F583A"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sz w:val="24"/>
                <w:szCs w:val="24"/>
              </w:rPr>
            </w:pPr>
            <w:r w:rsidRPr="003B2786">
              <w:rPr>
                <w:rStyle w:val="Bodytext1811pt"/>
                <w:rFonts w:ascii="Sylfaen" w:hAnsi="Sylfaen"/>
                <w:sz w:val="24"/>
                <w:szCs w:val="24"/>
              </w:rPr>
              <w:t>Կենսաբանական (իմունաբանական) դեղապատրաստուկի առնչությամբ արտարկումը կիրառելի չէ։</w:t>
            </w:r>
          </w:p>
        </w:tc>
      </w:tr>
      <w:tr w:rsidR="008C76E0" w:rsidRPr="003B2786" w14:paraId="3AC8DDEA" w14:textId="77777777" w:rsidTr="008C76E0">
        <w:trPr>
          <w:jc w:val="center"/>
        </w:trPr>
        <w:tc>
          <w:tcPr>
            <w:tcW w:w="2334" w:type="dxa"/>
            <w:gridSpan w:val="2"/>
            <w:tcBorders>
              <w:top w:val="single" w:sz="4" w:space="0" w:color="auto"/>
              <w:left w:val="single" w:sz="4" w:space="0" w:color="auto"/>
              <w:bottom w:val="single" w:sz="4" w:space="0" w:color="auto"/>
            </w:tcBorders>
            <w:shd w:val="clear" w:color="auto" w:fill="FFFFFF"/>
          </w:tcPr>
          <w:p w14:paraId="5C4F688E"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1</w:t>
            </w:r>
          </w:p>
        </w:tc>
        <w:tc>
          <w:tcPr>
            <w:tcW w:w="806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6D6AF1BD" w14:textId="77777777" w:rsidR="008C76E0" w:rsidRPr="003B2786" w:rsidRDefault="008C76E0" w:rsidP="008C76E0">
            <w:pPr>
              <w:pStyle w:val="Bodytext180"/>
              <w:shd w:val="clear" w:color="auto" w:fill="auto"/>
              <w:tabs>
                <w:tab w:val="left" w:pos="567"/>
              </w:tabs>
              <w:spacing w:before="0" w:after="120" w:line="240" w:lineRule="auto"/>
              <w:ind w:left="158" w:right="210" w:firstLine="0"/>
              <w:jc w:val="both"/>
              <w:rPr>
                <w:rFonts w:ascii="Sylfaen" w:hAnsi="Sylfaen"/>
                <w:b w:val="0"/>
                <w:sz w:val="24"/>
                <w:szCs w:val="24"/>
              </w:rPr>
            </w:pPr>
            <w:r w:rsidRPr="003B2786">
              <w:rPr>
                <w:rStyle w:val="Bodytext1811pt"/>
                <w:rFonts w:ascii="Sylfaen" w:hAnsi="Sylfaen"/>
                <w:sz w:val="24"/>
                <w:szCs w:val="24"/>
              </w:rPr>
              <w:t>Արդյունաբերական սերիաների պիտանիության ժամկետը ստուգելու պարտավորության առկայության դեպքում թույլատրելի է փորձարարաարդյունաբերական սերիաների կիրառությունը։</w:t>
            </w:r>
          </w:p>
        </w:tc>
      </w:tr>
    </w:tbl>
    <w:p w14:paraId="46F63665" w14:textId="77777777" w:rsidR="008C76E0" w:rsidRPr="003B2786" w:rsidRDefault="008C76E0" w:rsidP="008C76E0">
      <w:pPr>
        <w:tabs>
          <w:tab w:val="left" w:pos="567"/>
        </w:tabs>
        <w:spacing w:after="120" w:line="240" w:lineRule="auto"/>
        <w:ind w:right="-1" w:firstLine="567"/>
        <w:jc w:val="both"/>
        <w:outlineLvl w:val="0"/>
        <w:rPr>
          <w:rFonts w:ascii="Sylfaen" w:eastAsia="MS Mincho" w:hAnsi="Sylfaen" w:cs="Sylfaen"/>
          <w:color w:val="000000"/>
          <w:sz w:val="24"/>
          <w:szCs w:val="24"/>
        </w:rPr>
      </w:pPr>
    </w:p>
    <w:p w14:paraId="6E91991B" w14:textId="77777777" w:rsidR="008C76E0" w:rsidRPr="003B2786" w:rsidRDefault="008C76E0" w:rsidP="008C76E0">
      <w:pPr>
        <w:tabs>
          <w:tab w:val="left" w:pos="567"/>
        </w:tabs>
        <w:spacing w:after="120" w:line="240" w:lineRule="auto"/>
        <w:ind w:right="-1" w:firstLine="567"/>
        <w:jc w:val="both"/>
        <w:outlineLvl w:val="0"/>
        <w:rPr>
          <w:rFonts w:ascii="Sylfaen" w:hAnsi="Sylfaen"/>
          <w:sz w:val="24"/>
          <w:szCs w:val="24"/>
        </w:rPr>
      </w:pPr>
      <w:r w:rsidRPr="003B2786">
        <w:rPr>
          <w:rFonts w:ascii="Sylfaen" w:hAnsi="Sylfaen"/>
          <w:sz w:val="24"/>
          <w:szCs w:val="24"/>
        </w:rPr>
        <w:t>Բ.II.է)</w:t>
      </w:r>
      <w:r w:rsidRPr="003B2786">
        <w:rPr>
          <w:rFonts w:ascii="Sylfaen" w:hAnsi="Sylfaen"/>
          <w:sz w:val="24"/>
          <w:szCs w:val="24"/>
        </w:rPr>
        <w:tab/>
        <w:t xml:space="preserve">Հետգրանցումային փոփոխությունների նախագծային դաշտը </w:t>
      </w:r>
      <w:r w:rsidR="00C54D75">
        <w:rPr>
          <w:rFonts w:ascii="Sylfaen" w:hAnsi="Sylfaen"/>
          <w:sz w:val="24"/>
          <w:szCs w:val="24"/>
        </w:rPr>
        <w:t>և</w:t>
      </w:r>
      <w:r w:rsidRPr="003B2786">
        <w:rPr>
          <w:rFonts w:ascii="Sylfaen" w:hAnsi="Sylfaen"/>
          <w:sz w:val="24"/>
          <w:szCs w:val="24"/>
        </w:rPr>
        <w:t xml:space="preserve"> արձանագրությունը</w:t>
      </w:r>
    </w:p>
    <w:tbl>
      <w:tblPr>
        <w:tblOverlap w:val="never"/>
        <w:tblW w:w="10694" w:type="dxa"/>
        <w:jc w:val="center"/>
        <w:tblLayout w:type="fixed"/>
        <w:tblCellMar>
          <w:left w:w="10" w:type="dxa"/>
          <w:right w:w="10" w:type="dxa"/>
        </w:tblCellMar>
        <w:tblLook w:val="04A0" w:firstRow="1" w:lastRow="0" w:firstColumn="1" w:lastColumn="0" w:noHBand="0" w:noVBand="1"/>
      </w:tblPr>
      <w:tblGrid>
        <w:gridCol w:w="9"/>
        <w:gridCol w:w="2585"/>
        <w:gridCol w:w="1879"/>
        <w:gridCol w:w="511"/>
        <w:gridCol w:w="1190"/>
        <w:gridCol w:w="693"/>
        <w:gridCol w:w="1433"/>
        <w:gridCol w:w="551"/>
        <w:gridCol w:w="1835"/>
        <w:gridCol w:w="8"/>
      </w:tblGrid>
      <w:tr w:rsidR="008C76E0" w:rsidRPr="003B2786" w14:paraId="5BC93DE4"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2AB8789" w14:textId="77777777" w:rsidR="008C76E0" w:rsidRPr="008C76E0" w:rsidRDefault="008C76E0" w:rsidP="008C76E0">
            <w:pPr>
              <w:pStyle w:val="Bodytext180"/>
              <w:shd w:val="clear" w:color="auto" w:fill="auto"/>
              <w:tabs>
                <w:tab w:val="left" w:pos="1101"/>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 1</w:t>
            </w:r>
            <w:r w:rsidRPr="003B2786">
              <w:rPr>
                <w:rStyle w:val="Bodytext1811pt"/>
                <w:rFonts w:ascii="Sylfaen" w:hAnsi="Sylfaen"/>
                <w:sz w:val="24"/>
                <w:szCs w:val="24"/>
              </w:rPr>
              <w:tab/>
              <w:t>Նոր նախագծային դաշտի ներմուծումը կամ դեղապատրաստուկի (բացառությամբ կենսաբանական դեղապատրաստուկի) հաստատված նախագծային դաշտի ընդլայնումը, որը վերաբերում է.</w:t>
            </w:r>
          </w:p>
        </w:tc>
        <w:tc>
          <w:tcPr>
            <w:tcW w:w="1701" w:type="dxa"/>
            <w:gridSpan w:val="2"/>
            <w:tcBorders>
              <w:top w:val="single" w:sz="4" w:space="0" w:color="auto"/>
              <w:left w:val="single" w:sz="4" w:space="0" w:color="auto"/>
            </w:tcBorders>
            <w:shd w:val="clear" w:color="auto" w:fill="FFFFFF"/>
          </w:tcPr>
          <w:p w14:paraId="697B6DCE"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3F306C46"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3FB69D9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4580F4D"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5833F6"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Դեղապատրաստուկի արտադրության մեկ կամ ավելի առանձին գործառնություններին, ներառյալ՝ համապատասխան ներարտադրական հսկողությունը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վերլուծական մեթոդիկաները</w:t>
            </w:r>
          </w:p>
        </w:tc>
        <w:tc>
          <w:tcPr>
            <w:tcW w:w="1701" w:type="dxa"/>
            <w:gridSpan w:val="2"/>
            <w:tcBorders>
              <w:top w:val="single" w:sz="4" w:space="0" w:color="auto"/>
              <w:left w:val="single" w:sz="4" w:space="0" w:color="auto"/>
            </w:tcBorders>
            <w:shd w:val="clear" w:color="auto" w:fill="FFFFFF"/>
          </w:tcPr>
          <w:p w14:paraId="1CCE3FEF"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F7765F4"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128F08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C02411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14FC475" w14:textId="77777777" w:rsidR="008C76E0" w:rsidRPr="008C76E0" w:rsidRDefault="008C76E0" w:rsidP="002F06F8">
            <w:pPr>
              <w:pStyle w:val="Bodytext180"/>
              <w:shd w:val="clear" w:color="auto" w:fill="auto"/>
              <w:tabs>
                <w:tab w:val="left" w:pos="567"/>
              </w:tabs>
              <w:spacing w:before="0" w:after="120" w:line="264" w:lineRule="auto"/>
              <w:ind w:left="130" w:right="130"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Օժանդակ նյութերի (միջանկյալ արտադրանքի)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w:t>
            </w:r>
            <w:r w:rsidRPr="003B2786">
              <w:rPr>
                <w:rStyle w:val="Bodytext1811pt"/>
                <w:rFonts w:ascii="Sylfaen" w:hAnsi="Sylfaen"/>
                <w:sz w:val="24"/>
                <w:szCs w:val="24"/>
              </w:rPr>
              <w:lastRenderedPageBreak/>
              <w:t>դեղապատրաստուկի համար նախատեսված վերլուծական մեթոդիկաներին</w:t>
            </w:r>
          </w:p>
        </w:tc>
        <w:tc>
          <w:tcPr>
            <w:tcW w:w="1701" w:type="dxa"/>
            <w:gridSpan w:val="2"/>
            <w:tcBorders>
              <w:top w:val="single" w:sz="4" w:space="0" w:color="auto"/>
              <w:left w:val="single" w:sz="4" w:space="0" w:color="auto"/>
            </w:tcBorders>
            <w:shd w:val="clear" w:color="auto" w:fill="FFFFFF"/>
          </w:tcPr>
          <w:p w14:paraId="3C307AEB"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2126" w:type="dxa"/>
            <w:gridSpan w:val="2"/>
            <w:tcBorders>
              <w:top w:val="single" w:sz="4" w:space="0" w:color="auto"/>
              <w:left w:val="single" w:sz="4" w:space="0" w:color="auto"/>
            </w:tcBorders>
            <w:shd w:val="clear" w:color="auto" w:fill="FFFFFF"/>
          </w:tcPr>
          <w:p w14:paraId="2AE86EFA"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31F62BFC" w14:textId="77777777" w:rsidR="008C76E0" w:rsidRPr="003B2786" w:rsidRDefault="008C76E0" w:rsidP="008C76E0">
            <w:pPr>
              <w:pStyle w:val="Bodytext180"/>
              <w:shd w:val="clear" w:color="auto" w:fill="auto"/>
              <w:tabs>
                <w:tab w:val="left" w:pos="567"/>
              </w:tabs>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F3B07C3"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0D888B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A5C1CB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Պատրաստուկի մշակման հետազոտությունների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այն գործառնության (ներառյալ համապատասխանաբար՝ ռիսկերի գնահատումը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բազմաչափ հետազոտությունները) արդյունքները, որոնցով հաստատվում է, որ դեղապատրաստուկի որակի կրիտիկական պարամետրերի հիման վրա ձեռք է բերվել նյութերի որակի ցուցանիշների </w:t>
            </w:r>
            <w:r w:rsidR="00C54D75">
              <w:rPr>
                <w:rStyle w:val="Bodytext1811pt"/>
                <w:rFonts w:ascii="Sylfaen" w:hAnsi="Sylfaen"/>
                <w:sz w:val="24"/>
                <w:szCs w:val="24"/>
              </w:rPr>
              <w:t>և</w:t>
            </w:r>
            <w:r w:rsidRPr="003B2786">
              <w:rPr>
                <w:rStyle w:val="Bodytext1811pt"/>
                <w:rFonts w:ascii="Sylfaen" w:hAnsi="Sylfaen"/>
                <w:sz w:val="24"/>
                <w:szCs w:val="24"/>
              </w:rPr>
              <w:t xml:space="preserve"> պրոցեսի պարամետրերի մեխանիկական հասկացության ամբողջական ընկալում։</w:t>
            </w:r>
          </w:p>
          <w:p w14:paraId="4AC67E4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Աղյուսակի տեսքով նախագծային դաշտի նկարագրությունը, ներառյալ՝ փոփոխականները (նյութի հատկությունները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արտադրական գործընթացի պարամետրերը) </w:t>
            </w:r>
            <w:r w:rsidR="00C54D75">
              <w:rPr>
                <w:rStyle w:val="Bodytext1811pt"/>
                <w:rFonts w:ascii="Sylfaen" w:hAnsi="Sylfaen"/>
                <w:sz w:val="24"/>
                <w:szCs w:val="24"/>
              </w:rPr>
              <w:t>և</w:t>
            </w:r>
            <w:r w:rsidRPr="003B2786">
              <w:rPr>
                <w:rStyle w:val="Bodytext1811pt"/>
                <w:rFonts w:ascii="Sylfaen" w:hAnsi="Sylfaen"/>
                <w:sz w:val="24"/>
                <w:szCs w:val="24"/>
              </w:rPr>
              <w:t xml:space="preserve"> դրանց առաջարկվող տիրույթները:</w:t>
            </w:r>
          </w:p>
          <w:p w14:paraId="3BE870C5"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5C9159B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6A5A7A4"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Բ.II.է.2.</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ներմուծումը</w:t>
            </w:r>
          </w:p>
        </w:tc>
        <w:tc>
          <w:tcPr>
            <w:tcW w:w="1701" w:type="dxa"/>
            <w:gridSpan w:val="2"/>
            <w:tcBorders>
              <w:top w:val="single" w:sz="4" w:space="0" w:color="auto"/>
              <w:left w:val="single" w:sz="4" w:space="0" w:color="auto"/>
            </w:tcBorders>
            <w:shd w:val="clear" w:color="auto" w:fill="FFFFFF"/>
          </w:tcPr>
          <w:p w14:paraId="4C1D3CAF"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18ADD40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FABCAD6" w14:textId="77777777" w:rsidR="008C76E0" w:rsidRPr="003B2786" w:rsidRDefault="008C76E0" w:rsidP="008C76E0">
            <w:pPr>
              <w:pStyle w:val="Bodytext180"/>
              <w:shd w:val="clear" w:color="auto" w:fill="auto"/>
              <w:tabs>
                <w:tab w:val="left" w:pos="567"/>
              </w:tabs>
              <w:spacing w:before="0" w:after="120" w:line="240" w:lineRule="auto"/>
              <w:ind w:right="132"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D68AC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F2BC9D9"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5DEB7A2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DB9E85C"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w:t>
            </w:r>
          </w:p>
        </w:tc>
        <w:tc>
          <w:tcPr>
            <w:tcW w:w="2386" w:type="dxa"/>
            <w:gridSpan w:val="2"/>
            <w:tcBorders>
              <w:top w:val="single" w:sz="4" w:space="0" w:color="auto"/>
              <w:left w:val="single" w:sz="4" w:space="0" w:color="auto"/>
              <w:right w:val="single" w:sz="4" w:space="0" w:color="auto"/>
            </w:tcBorders>
            <w:shd w:val="clear" w:color="auto" w:fill="FFFFFF"/>
          </w:tcPr>
          <w:p w14:paraId="5013E21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2D9BED1"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329744D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37F32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փոփոխությունների մանրամասն նկարագրությունը:</w:t>
            </w:r>
          </w:p>
          <w:p w14:paraId="2D78B262"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Դեղապատրաստուկին վերաբերող փոփոխությունների կառավարման արձանագրությունը։</w:t>
            </w:r>
          </w:p>
          <w:p w14:paraId="0A6013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4E311C7B"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167A282D" w14:textId="77777777" w:rsidR="008C76E0" w:rsidRPr="008C76E0" w:rsidRDefault="008C76E0" w:rsidP="008C76E0">
            <w:pPr>
              <w:pStyle w:val="Bodytext180"/>
              <w:shd w:val="clear" w:color="auto" w:fill="auto"/>
              <w:tabs>
                <w:tab w:val="left" w:pos="1125"/>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Բ.II.է.3.</w:t>
            </w:r>
            <w:r w:rsidRPr="003B2786">
              <w:rPr>
                <w:rStyle w:val="Bodytext1811pt"/>
                <w:rFonts w:ascii="Sylfaen" w:hAnsi="Sylfaen"/>
                <w:sz w:val="24"/>
                <w:szCs w:val="24"/>
              </w:rPr>
              <w:tab/>
              <w:t>Դեղապատրաստուկին վերաբերող փոփոխությունների կառավարման հաստատված արձանագրության բացառումը</w:t>
            </w:r>
          </w:p>
        </w:tc>
        <w:tc>
          <w:tcPr>
            <w:tcW w:w="1701" w:type="dxa"/>
            <w:gridSpan w:val="2"/>
            <w:tcBorders>
              <w:top w:val="single" w:sz="4" w:space="0" w:color="auto"/>
              <w:left w:val="single" w:sz="4" w:space="0" w:color="auto"/>
            </w:tcBorders>
            <w:shd w:val="clear" w:color="auto" w:fill="FFFFFF"/>
          </w:tcPr>
          <w:p w14:paraId="67640E6D" w14:textId="77777777" w:rsidR="008C76E0" w:rsidRPr="003B2786" w:rsidRDefault="008C76E0" w:rsidP="008C76E0">
            <w:pPr>
              <w:pStyle w:val="Bodytext180"/>
              <w:shd w:val="clear" w:color="auto" w:fill="auto"/>
              <w:tabs>
                <w:tab w:val="left" w:pos="567"/>
              </w:tabs>
              <w:spacing w:before="0" w:after="120" w:line="240" w:lineRule="auto"/>
              <w:ind w:left="-10" w:righ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048A61C3"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4BD53A79" w14:textId="77777777" w:rsidR="008C76E0" w:rsidRPr="003B2786" w:rsidRDefault="008C76E0" w:rsidP="008C76E0">
            <w:pPr>
              <w:pStyle w:val="Bodytext180"/>
              <w:shd w:val="clear" w:color="auto" w:fill="auto"/>
              <w:tabs>
                <w:tab w:val="left" w:pos="567"/>
              </w:tabs>
              <w:spacing w:before="0" w:after="120" w:line="240" w:lineRule="auto"/>
              <w:ind w:left="60" w:righ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DAC486"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tcPr>
          <w:p w14:paraId="4D1E836F" w14:textId="77777777" w:rsidR="008C76E0" w:rsidRPr="003B2786" w:rsidRDefault="008C76E0" w:rsidP="008C76E0">
            <w:pPr>
              <w:tabs>
                <w:tab w:val="left" w:pos="567"/>
              </w:tabs>
              <w:spacing w:after="120"/>
              <w:ind w:left="132" w:right="132"/>
              <w:jc w:val="both"/>
              <w:rPr>
                <w:rFonts w:ascii="Sylfaen" w:hAnsi="Sylfaen"/>
                <w:sz w:val="24"/>
                <w:szCs w:val="24"/>
              </w:rPr>
            </w:pPr>
          </w:p>
        </w:tc>
        <w:tc>
          <w:tcPr>
            <w:tcW w:w="1701" w:type="dxa"/>
            <w:gridSpan w:val="2"/>
            <w:tcBorders>
              <w:top w:val="single" w:sz="4" w:space="0" w:color="auto"/>
              <w:left w:val="single" w:sz="4" w:space="0" w:color="auto"/>
            </w:tcBorders>
            <w:shd w:val="clear" w:color="auto" w:fill="FFFFFF"/>
          </w:tcPr>
          <w:p w14:paraId="26A5109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257B4854"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right w:val="single" w:sz="4" w:space="0" w:color="auto"/>
            </w:tcBorders>
            <w:shd w:val="clear" w:color="auto" w:fill="FFFFFF"/>
          </w:tcPr>
          <w:p w14:paraId="05928A9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25948219"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20B23F7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138A811"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Դեղապատրաստուկին վերաբերող փոփոխությունների կառավարման հետգրանցումային արձանագրության բացառումն անկանխատեսելի իրավիճակների կամ արձանագրության մեջ նկարագրված փոփոխություններ կատարելու ընթացքում մասնագրերի անհամապատասխանության հետ</w:t>
            </w:r>
            <w:r w:rsidR="00C54D75">
              <w:rPr>
                <w:rStyle w:val="Bodytext1811pt"/>
                <w:rFonts w:ascii="Sylfaen" w:hAnsi="Sylfaen"/>
                <w:sz w:val="24"/>
                <w:szCs w:val="24"/>
              </w:rPr>
              <w:t>և</w:t>
            </w:r>
            <w:r w:rsidRPr="003B2786">
              <w:rPr>
                <w:rStyle w:val="Bodytext1811pt"/>
                <w:rFonts w:ascii="Sylfaen" w:hAnsi="Sylfaen"/>
                <w:sz w:val="24"/>
                <w:szCs w:val="24"/>
              </w:rPr>
              <w:t xml:space="preserve">անք չէ </w:t>
            </w:r>
            <w:r w:rsidR="00C54D75">
              <w:rPr>
                <w:rStyle w:val="Bodytext1811pt"/>
                <w:rFonts w:ascii="Sylfaen" w:hAnsi="Sylfaen"/>
                <w:sz w:val="24"/>
                <w:szCs w:val="24"/>
              </w:rPr>
              <w:t>և</w:t>
            </w:r>
            <w:r w:rsidRPr="003B2786">
              <w:rPr>
                <w:rStyle w:val="Bodytext1811pt"/>
                <w:rFonts w:ascii="Sylfaen" w:hAnsi="Sylfaen"/>
                <w:sz w:val="24"/>
                <w:szCs w:val="24"/>
              </w:rPr>
              <w:t xml:space="preserve"> որ</w:t>
            </w:r>
            <w:r w:rsidR="00C54D75">
              <w:rPr>
                <w:rStyle w:val="Bodytext1811pt"/>
                <w:rFonts w:ascii="Sylfaen" w:hAnsi="Sylfaen"/>
                <w:sz w:val="24"/>
                <w:szCs w:val="24"/>
              </w:rPr>
              <w:t>և</w:t>
            </w:r>
            <w:r w:rsidRPr="003B2786">
              <w:rPr>
                <w:rStyle w:val="Bodytext1811pt"/>
                <w:rFonts w:ascii="Sylfaen" w:hAnsi="Sylfaen"/>
                <w:sz w:val="24"/>
                <w:szCs w:val="24"/>
              </w:rPr>
              <w:t>է կերպ չի ազդում դոսյեում ներառված հաստատված տվյալների վրա։</w:t>
            </w:r>
          </w:p>
        </w:tc>
      </w:tr>
      <w:tr w:rsidR="008C76E0" w:rsidRPr="003B2786" w14:paraId="1CF3830F"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4D4FBE8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74D9C9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բացառման հիմնավորումը:</w:t>
            </w:r>
          </w:p>
          <w:p w14:paraId="477CE1E9"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tc>
      </w:tr>
      <w:tr w:rsidR="008C76E0" w:rsidRPr="003B2786" w14:paraId="6C9041C8"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44F7A101" w14:textId="77777777" w:rsidR="008C76E0" w:rsidRPr="008C76E0" w:rsidRDefault="008C76E0" w:rsidP="008C76E0">
            <w:pPr>
              <w:pStyle w:val="Bodytext180"/>
              <w:shd w:val="clear" w:color="auto" w:fill="auto"/>
              <w:tabs>
                <w:tab w:val="left" w:pos="119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lastRenderedPageBreak/>
              <w:t>Բ.II.է.4.</w:t>
            </w:r>
            <w:r w:rsidRPr="003B2786">
              <w:rPr>
                <w:rStyle w:val="Bodytext1811pt"/>
                <w:rFonts w:ascii="Sylfaen" w:hAnsi="Sylfaen"/>
                <w:sz w:val="24"/>
                <w:szCs w:val="24"/>
              </w:rPr>
              <w:tab/>
              <w:t>Փոփոխությունների կառավարման հաստատված արձանագրության փոփոխությունները</w:t>
            </w:r>
          </w:p>
        </w:tc>
        <w:tc>
          <w:tcPr>
            <w:tcW w:w="1701" w:type="dxa"/>
            <w:gridSpan w:val="2"/>
            <w:tcBorders>
              <w:top w:val="single" w:sz="4" w:space="0" w:color="auto"/>
              <w:left w:val="single" w:sz="4" w:space="0" w:color="auto"/>
            </w:tcBorders>
            <w:shd w:val="clear" w:color="auto" w:fill="FFFFFF"/>
          </w:tcPr>
          <w:p w14:paraId="6AE872E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728E374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4EB93C1"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03D4C7"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75387A5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կառավարման արձանագրության էական փոփոխություններ</w:t>
            </w:r>
          </w:p>
        </w:tc>
        <w:tc>
          <w:tcPr>
            <w:tcW w:w="1701" w:type="dxa"/>
            <w:gridSpan w:val="2"/>
            <w:tcBorders>
              <w:top w:val="single" w:sz="4" w:space="0" w:color="auto"/>
              <w:left w:val="single" w:sz="4" w:space="0" w:color="auto"/>
            </w:tcBorders>
            <w:shd w:val="clear" w:color="auto" w:fill="FFFFFF"/>
          </w:tcPr>
          <w:p w14:paraId="12BAFA0F"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A17D4D0"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386" w:type="dxa"/>
            <w:gridSpan w:val="2"/>
            <w:tcBorders>
              <w:top w:val="single" w:sz="4" w:space="0" w:color="auto"/>
              <w:left w:val="single" w:sz="4" w:space="0" w:color="auto"/>
              <w:right w:val="single" w:sz="4" w:space="0" w:color="auto"/>
            </w:tcBorders>
            <w:shd w:val="clear" w:color="auto" w:fill="FFFFFF"/>
          </w:tcPr>
          <w:p w14:paraId="6F4BEE5A"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3EC482EA"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bottom w:val="single" w:sz="4" w:space="0" w:color="auto"/>
            </w:tcBorders>
            <w:shd w:val="clear" w:color="auto" w:fill="FFFFFF"/>
            <w:vAlign w:val="bottom"/>
          </w:tcPr>
          <w:p w14:paraId="6106A74A"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կառավարման արձանագրության ոչ էական փոփոխություններ, որոնք չեն փոխում արձանագրության մեջ նկարագրված ռազմավարությունը</w:t>
            </w:r>
          </w:p>
        </w:tc>
        <w:tc>
          <w:tcPr>
            <w:tcW w:w="1701" w:type="dxa"/>
            <w:gridSpan w:val="2"/>
            <w:tcBorders>
              <w:top w:val="single" w:sz="4" w:space="0" w:color="auto"/>
              <w:left w:val="single" w:sz="4" w:space="0" w:color="auto"/>
              <w:bottom w:val="single" w:sz="4" w:space="0" w:color="auto"/>
            </w:tcBorders>
            <w:shd w:val="clear" w:color="auto" w:fill="FFFFFF"/>
          </w:tcPr>
          <w:p w14:paraId="574CA948"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bottom w:val="single" w:sz="4" w:space="0" w:color="auto"/>
            </w:tcBorders>
            <w:shd w:val="clear" w:color="auto" w:fill="FFFFFF"/>
          </w:tcPr>
          <w:p w14:paraId="33072279"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1</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FFFFF"/>
          </w:tcPr>
          <w:p w14:paraId="33C24457" w14:textId="77777777" w:rsidR="008C76E0" w:rsidRPr="003B2786" w:rsidRDefault="008C76E0" w:rsidP="008C76E0">
            <w:pPr>
              <w:pStyle w:val="Bodytext180"/>
              <w:shd w:val="clear" w:color="auto" w:fill="auto"/>
              <w:tabs>
                <w:tab w:val="left" w:pos="567"/>
              </w:tabs>
              <w:spacing w:before="0" w:after="120" w:line="240" w:lineRule="auto"/>
              <w:ind w:left="61"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99D6945"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tcPr>
          <w:p w14:paraId="13DF2586"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AF4956" w14:textId="717F5AD9"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ցանկացած փոփոխություն պետք է համապատասխանի ընդունելիության հաստատված գործող չափանիշների տիրույթին: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դեպքում չի պահանջվում համադրելիության գնահատում:</w:t>
            </w:r>
          </w:p>
        </w:tc>
      </w:tr>
      <w:tr w:rsidR="008C76E0" w:rsidRPr="003B2786" w14:paraId="35EBED41"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DC4DD0" w14:textId="77777777" w:rsidR="008C76E0" w:rsidRPr="008C76E0" w:rsidRDefault="008C76E0" w:rsidP="008C76E0">
            <w:pPr>
              <w:pStyle w:val="Bodytext180"/>
              <w:shd w:val="clear" w:color="auto" w:fill="auto"/>
              <w:tabs>
                <w:tab w:val="left" w:pos="1116"/>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Բ.II.է.5.</w:t>
            </w:r>
            <w:r w:rsidRPr="003B2786">
              <w:rPr>
                <w:rStyle w:val="Bodytext1811pt"/>
                <w:rFonts w:ascii="Sylfaen" w:hAnsi="Sylfaen"/>
                <w:sz w:val="24"/>
                <w:szCs w:val="24"/>
              </w:rPr>
              <w:tab/>
              <w:t>Փոփոխությունների կառավարման հաստատված արձանագրությամբ նախատեսված փոփոխությունների իրականացումը</w:t>
            </w:r>
          </w:p>
        </w:tc>
        <w:tc>
          <w:tcPr>
            <w:tcW w:w="1701" w:type="dxa"/>
            <w:gridSpan w:val="2"/>
            <w:tcBorders>
              <w:top w:val="single" w:sz="4" w:space="0" w:color="auto"/>
              <w:left w:val="single" w:sz="4" w:space="0" w:color="auto"/>
            </w:tcBorders>
            <w:shd w:val="clear" w:color="auto" w:fill="FFFFFF"/>
          </w:tcPr>
          <w:p w14:paraId="3CA204EC" w14:textId="77777777" w:rsidR="008C76E0" w:rsidRPr="003B2786" w:rsidRDefault="008C76E0" w:rsidP="008C76E0">
            <w:pPr>
              <w:pStyle w:val="Bodytext180"/>
              <w:shd w:val="clear" w:color="auto" w:fill="auto"/>
              <w:tabs>
                <w:tab w:val="left" w:pos="567"/>
              </w:tabs>
              <w:spacing w:before="0" w:after="120" w:line="240" w:lineRule="auto"/>
              <w:ind w:left="13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2126" w:type="dxa"/>
            <w:gridSpan w:val="2"/>
            <w:tcBorders>
              <w:top w:val="single" w:sz="4" w:space="0" w:color="auto"/>
              <w:left w:val="single" w:sz="4" w:space="0" w:color="auto"/>
            </w:tcBorders>
            <w:shd w:val="clear" w:color="auto" w:fill="FFFFFF"/>
          </w:tcPr>
          <w:p w14:paraId="2EA39BD7"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2386" w:type="dxa"/>
            <w:gridSpan w:val="2"/>
            <w:tcBorders>
              <w:top w:val="single" w:sz="4" w:space="0" w:color="auto"/>
              <w:left w:val="single" w:sz="4" w:space="0" w:color="auto"/>
              <w:right w:val="single" w:sz="4" w:space="0" w:color="auto"/>
            </w:tcBorders>
            <w:shd w:val="clear" w:color="auto" w:fill="FFFFFF"/>
          </w:tcPr>
          <w:p w14:paraId="559E533B" w14:textId="77777777" w:rsidR="008C76E0" w:rsidRPr="003B2786" w:rsidRDefault="008C76E0" w:rsidP="008C76E0">
            <w:pPr>
              <w:pStyle w:val="Bodytext180"/>
              <w:shd w:val="clear" w:color="auto" w:fill="auto"/>
              <w:tabs>
                <w:tab w:val="left" w:pos="567"/>
              </w:tabs>
              <w:spacing w:before="0" w:after="120" w:line="240" w:lineRule="auto"/>
              <w:ind w:left="132" w:righ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F3C39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36F9A2E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փոփոխությունների իրականացմամբ չեն պահանջվում լրացուցիչ օժանդակ տվյալներ</w:t>
            </w:r>
          </w:p>
        </w:tc>
        <w:tc>
          <w:tcPr>
            <w:tcW w:w="1701" w:type="dxa"/>
            <w:gridSpan w:val="2"/>
            <w:tcBorders>
              <w:top w:val="single" w:sz="4" w:space="0" w:color="auto"/>
              <w:left w:val="single" w:sz="4" w:space="0" w:color="auto"/>
            </w:tcBorders>
            <w:shd w:val="clear" w:color="auto" w:fill="FFFFFF"/>
          </w:tcPr>
          <w:p w14:paraId="21EADB39"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w:t>
            </w:r>
          </w:p>
        </w:tc>
        <w:tc>
          <w:tcPr>
            <w:tcW w:w="2126" w:type="dxa"/>
            <w:gridSpan w:val="2"/>
            <w:tcBorders>
              <w:top w:val="single" w:sz="4" w:space="0" w:color="auto"/>
              <w:left w:val="single" w:sz="4" w:space="0" w:color="auto"/>
            </w:tcBorders>
            <w:shd w:val="clear" w:color="auto" w:fill="FFFFFF"/>
          </w:tcPr>
          <w:p w14:paraId="49E8DDB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1, 2, 4</w:t>
            </w:r>
          </w:p>
        </w:tc>
        <w:tc>
          <w:tcPr>
            <w:tcW w:w="2386" w:type="dxa"/>
            <w:gridSpan w:val="2"/>
            <w:tcBorders>
              <w:top w:val="single" w:sz="4" w:space="0" w:color="auto"/>
              <w:left w:val="single" w:sz="4" w:space="0" w:color="auto"/>
              <w:right w:val="single" w:sz="4" w:space="0" w:color="auto"/>
            </w:tcBorders>
            <w:shd w:val="clear" w:color="auto" w:fill="FFFFFF"/>
          </w:tcPr>
          <w:p w14:paraId="058F992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FAF29DC"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52A4325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փոփոխությունների իրականացմամբ պահանջվում են լրացուցիչ օժանդակ տվյալներ</w:t>
            </w:r>
          </w:p>
        </w:tc>
        <w:tc>
          <w:tcPr>
            <w:tcW w:w="1701" w:type="dxa"/>
            <w:gridSpan w:val="2"/>
            <w:tcBorders>
              <w:top w:val="single" w:sz="4" w:space="0" w:color="auto"/>
              <w:left w:val="single" w:sz="4" w:space="0" w:color="auto"/>
            </w:tcBorders>
            <w:shd w:val="clear" w:color="auto" w:fill="FFFFFF"/>
          </w:tcPr>
          <w:p w14:paraId="002BA7B2"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25CD0FB6"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w:t>
            </w:r>
          </w:p>
        </w:tc>
        <w:tc>
          <w:tcPr>
            <w:tcW w:w="2386" w:type="dxa"/>
            <w:gridSpan w:val="2"/>
            <w:tcBorders>
              <w:top w:val="single" w:sz="4" w:space="0" w:color="auto"/>
              <w:left w:val="single" w:sz="4" w:space="0" w:color="auto"/>
              <w:right w:val="single" w:sz="4" w:space="0" w:color="auto"/>
            </w:tcBorders>
            <w:shd w:val="clear" w:color="auto" w:fill="FFFFFF"/>
          </w:tcPr>
          <w:p w14:paraId="46E08DDD"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3FA095B5" w14:textId="77777777" w:rsidTr="004A52D9">
        <w:trPr>
          <w:gridBefore w:val="1"/>
          <w:gridAfter w:val="1"/>
          <w:wBefore w:w="9" w:type="dxa"/>
          <w:wAfter w:w="8" w:type="dxa"/>
          <w:jc w:val="center"/>
        </w:trPr>
        <w:tc>
          <w:tcPr>
            <w:tcW w:w="4464" w:type="dxa"/>
            <w:gridSpan w:val="2"/>
            <w:tcBorders>
              <w:top w:val="single" w:sz="4" w:space="0" w:color="auto"/>
              <w:left w:val="single" w:sz="4" w:space="0" w:color="auto"/>
            </w:tcBorders>
            <w:shd w:val="clear" w:color="auto" w:fill="FFFFFF"/>
            <w:vAlign w:val="bottom"/>
          </w:tcPr>
          <w:p w14:paraId="6DE596D7"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կենսաբանական (իմունաբանական) դեղապատրաստուկի փոփոխության իրականացում</w:t>
            </w:r>
          </w:p>
        </w:tc>
        <w:tc>
          <w:tcPr>
            <w:tcW w:w="1701" w:type="dxa"/>
            <w:gridSpan w:val="2"/>
            <w:tcBorders>
              <w:top w:val="single" w:sz="4" w:space="0" w:color="auto"/>
              <w:left w:val="single" w:sz="4" w:space="0" w:color="auto"/>
            </w:tcBorders>
            <w:shd w:val="clear" w:color="auto" w:fill="FFFFFF"/>
          </w:tcPr>
          <w:p w14:paraId="1BD89F9B"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w:t>
            </w:r>
          </w:p>
        </w:tc>
        <w:tc>
          <w:tcPr>
            <w:tcW w:w="2126" w:type="dxa"/>
            <w:gridSpan w:val="2"/>
            <w:tcBorders>
              <w:top w:val="single" w:sz="4" w:space="0" w:color="auto"/>
              <w:left w:val="single" w:sz="4" w:space="0" w:color="auto"/>
            </w:tcBorders>
            <w:shd w:val="clear" w:color="auto" w:fill="FFFFFF"/>
          </w:tcPr>
          <w:p w14:paraId="606FCD8E"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1811pt"/>
                <w:rFonts w:ascii="Sylfaen" w:hAnsi="Sylfaen"/>
                <w:sz w:val="24"/>
                <w:szCs w:val="24"/>
              </w:rPr>
              <w:t>1, 2, 3, 4, 5</w:t>
            </w:r>
          </w:p>
        </w:tc>
        <w:tc>
          <w:tcPr>
            <w:tcW w:w="2386" w:type="dxa"/>
            <w:gridSpan w:val="2"/>
            <w:tcBorders>
              <w:top w:val="single" w:sz="4" w:space="0" w:color="auto"/>
              <w:left w:val="single" w:sz="4" w:space="0" w:color="auto"/>
              <w:right w:val="single" w:sz="4" w:space="0" w:color="auto"/>
            </w:tcBorders>
            <w:shd w:val="clear" w:color="auto" w:fill="FFFFFF"/>
          </w:tcPr>
          <w:p w14:paraId="3C2DAF08"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75989728"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0E9C056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2878F7E"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Առաջարկված փոփոխությունն իրականացվել է փոփոխությունների կառավարման հաստատված արձանագրության բացարձակ համապատասխանությամբ, որով պահանջվում է այն իրականացնելուց հետո անհապաղ ծանուցում։</w:t>
            </w:r>
          </w:p>
        </w:tc>
      </w:tr>
      <w:tr w:rsidR="008C76E0" w:rsidRPr="003B2786" w14:paraId="19B5A0A2" w14:textId="77777777" w:rsidTr="004A52D9">
        <w:trPr>
          <w:gridBefore w:val="1"/>
          <w:gridAfter w:val="1"/>
          <w:wBefore w:w="9" w:type="dxa"/>
          <w:wAfter w:w="8" w:type="dxa"/>
          <w:jc w:val="center"/>
        </w:trPr>
        <w:tc>
          <w:tcPr>
            <w:tcW w:w="10677" w:type="dxa"/>
            <w:gridSpan w:val="8"/>
            <w:tcBorders>
              <w:top w:val="single" w:sz="4" w:space="0" w:color="auto"/>
              <w:left w:val="single" w:sz="4" w:space="0" w:color="auto"/>
              <w:right w:val="single" w:sz="4" w:space="0" w:color="auto"/>
            </w:tcBorders>
            <w:shd w:val="clear" w:color="auto" w:fill="FFFFFF"/>
            <w:vAlign w:val="bottom"/>
          </w:tcPr>
          <w:p w14:paraId="79EBD72F"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7AB1770"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t xml:space="preserve">Հղում՝ </w:t>
            </w:r>
            <w:r w:rsidRPr="003B2786">
              <w:rPr>
                <w:rStyle w:val="Bodytext1811pt"/>
                <w:rFonts w:ascii="Sylfaen" w:hAnsi="Sylfaen"/>
                <w:sz w:val="24"/>
                <w:szCs w:val="24"/>
              </w:rPr>
              <w:t>փոփոխությունների կառավարման հաստատված արձանագրությանը:</w:t>
            </w:r>
          </w:p>
          <w:p w14:paraId="29AF1D26" w14:textId="0474A9A4"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lastRenderedPageBreak/>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փոփոխությունը համապատասխանում է փոփոխությունների կառավարման հաստատված արձանագրությանը, </w:t>
            </w:r>
            <w:r w:rsidR="00C54D75">
              <w:rPr>
                <w:rStyle w:val="Bodytext1811pt"/>
                <w:rFonts w:ascii="Sylfaen" w:hAnsi="Sylfaen"/>
                <w:sz w:val="24"/>
                <w:szCs w:val="24"/>
              </w:rPr>
              <w:t>և</w:t>
            </w:r>
            <w:r w:rsidRPr="003B2786">
              <w:rPr>
                <w:rStyle w:val="Bodytext1811pt"/>
                <w:rFonts w:ascii="Sylfaen" w:hAnsi="Sylfaen"/>
                <w:sz w:val="24"/>
                <w:szCs w:val="24"/>
              </w:rPr>
              <w:t xml:space="preserve"> ուսումնասիրության արդյունքները բավարարում են արձանագրության մեջ նշված ընդունելիության չափանիշները: Բացի այդ,</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կենսաբանական (իմունաբանական) դեղապատրաստուկների առնչությամբ չի պահանջվում համադրելիության գնահատում:</w:t>
            </w:r>
          </w:p>
          <w:p w14:paraId="3DFDFF24"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Փոփոխությունների կառավարման հաստատված արձանագրությանը համապատասխան անցկացված ուսումնասիրությունների արդյունքները:</w:t>
            </w:r>
          </w:p>
          <w:p w14:paraId="5431D4BB" w14:textId="77777777" w:rsidR="008C76E0" w:rsidRPr="008C76E0"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16BADCCF" w14:textId="77777777" w:rsidR="008C76E0" w:rsidRPr="003B2786" w:rsidRDefault="008C76E0" w:rsidP="008C76E0">
            <w:pPr>
              <w:pStyle w:val="Bodytext180"/>
              <w:shd w:val="clear" w:color="auto" w:fill="auto"/>
              <w:tabs>
                <w:tab w:val="left" w:pos="567"/>
              </w:tabs>
              <w:spacing w:before="0" w:after="120" w:line="240" w:lineRule="auto"/>
              <w:ind w:left="132" w:right="132" w:firstLine="0"/>
              <w:jc w:val="both"/>
              <w:rPr>
                <w:rFonts w:ascii="Sylfaen" w:hAnsi="Sylfaen"/>
                <w:b w:val="0"/>
                <w:sz w:val="24"/>
                <w:szCs w:val="24"/>
              </w:rPr>
            </w:pPr>
            <w:r w:rsidRPr="003B2786">
              <w:rPr>
                <w:rFonts w:ascii="Sylfaen" w:hAnsi="Sylfaen"/>
                <w:b w:val="0"/>
                <w:sz w:val="24"/>
                <w:szCs w:val="24"/>
              </w:rPr>
              <w:t>5.</w:t>
            </w:r>
            <w:r w:rsidRPr="003B2786">
              <w:rPr>
                <w:rFonts w:ascii="Sylfaen" w:hAnsi="Sylfaen"/>
                <w:b w:val="0"/>
                <w:sz w:val="24"/>
                <w:szCs w:val="24"/>
              </w:rPr>
              <w:tab/>
            </w:r>
            <w:r w:rsidRPr="003B2786">
              <w:rPr>
                <w:rStyle w:val="Bodytext1811pt"/>
                <w:rFonts w:ascii="Sylfaen" w:hAnsi="Sylfaen"/>
                <w:sz w:val="24"/>
                <w:szCs w:val="24"/>
              </w:rPr>
              <w:t>Դեղապատրաստուկի հաստատված մասնագրերի օրինակները։</w:t>
            </w:r>
          </w:p>
        </w:tc>
      </w:tr>
      <w:tr w:rsidR="008C76E0" w:rsidRPr="003B2786" w14:paraId="1B3F3B9D" w14:textId="77777777" w:rsidTr="004A52D9">
        <w:trPr>
          <w:jc w:val="center"/>
        </w:trPr>
        <w:tc>
          <w:tcPr>
            <w:tcW w:w="10694" w:type="dxa"/>
            <w:gridSpan w:val="10"/>
            <w:tcBorders>
              <w:top w:val="single" w:sz="4" w:space="0" w:color="auto"/>
            </w:tcBorders>
            <w:shd w:val="clear" w:color="auto" w:fill="FFFFFF"/>
            <w:vAlign w:val="bottom"/>
          </w:tcPr>
          <w:p w14:paraId="67E01980" w14:textId="77777777" w:rsidR="008C76E0" w:rsidRPr="008C76E0" w:rsidRDefault="008C76E0" w:rsidP="008C76E0">
            <w:pPr>
              <w:pStyle w:val="Bodytext180"/>
              <w:shd w:val="clear" w:color="auto" w:fill="auto"/>
              <w:tabs>
                <w:tab w:val="left" w:pos="1407"/>
              </w:tabs>
              <w:spacing w:before="0" w:after="120" w:line="240" w:lineRule="auto"/>
              <w:ind w:left="131" w:right="-1" w:firstLine="0"/>
              <w:jc w:val="both"/>
              <w:rPr>
                <w:rFonts w:ascii="Sylfaen" w:hAnsi="Sylfaen"/>
                <w:b w:val="0"/>
                <w:i/>
                <w:sz w:val="24"/>
                <w:szCs w:val="24"/>
                <w:lang w:val="hy-AM"/>
              </w:rPr>
            </w:pPr>
            <w:r w:rsidRPr="003B2786">
              <w:rPr>
                <w:rStyle w:val="Bodytext295pt"/>
                <w:rFonts w:ascii="Sylfaen" w:hAnsi="Sylfaen"/>
                <w:sz w:val="24"/>
                <w:szCs w:val="24"/>
              </w:rPr>
              <w:lastRenderedPageBreak/>
              <w:t>Բ.II.ը)</w:t>
            </w:r>
            <w:r w:rsidRPr="003B2786">
              <w:rPr>
                <w:rStyle w:val="Bodytext295pt"/>
                <w:rFonts w:ascii="Sylfaen" w:hAnsi="Sylfaen"/>
                <w:sz w:val="24"/>
                <w:szCs w:val="24"/>
              </w:rPr>
              <w:tab/>
              <w:t>Կողմնակի ագենտների առումով անվտանգությունը</w:t>
            </w:r>
          </w:p>
        </w:tc>
      </w:tr>
      <w:tr w:rsidR="008C76E0" w:rsidRPr="003B2786" w14:paraId="39D998C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DEB007" w14:textId="77777777" w:rsidR="008C76E0" w:rsidRPr="008C76E0" w:rsidRDefault="008C76E0" w:rsidP="008C76E0">
            <w:pPr>
              <w:pStyle w:val="Bodytext180"/>
              <w:shd w:val="clear" w:color="auto" w:fill="auto"/>
              <w:tabs>
                <w:tab w:val="left" w:pos="1407"/>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Բ.II.ը.1.</w:t>
            </w:r>
            <w:r w:rsidRPr="003B2786">
              <w:rPr>
                <w:rStyle w:val="Bodytext1811pt"/>
                <w:rFonts w:ascii="Sylfaen" w:hAnsi="Sylfaen"/>
                <w:sz w:val="24"/>
                <w:szCs w:val="24"/>
              </w:rPr>
              <w:tab/>
              <w:t>«Կողմնակի ագենտների առումով անվտանգության գնահատում» տեղեկատվության թարմացումը (գրանցման դոսյեի 3.2.Ա.2 բաժին)</w:t>
            </w:r>
          </w:p>
        </w:tc>
        <w:tc>
          <w:tcPr>
            <w:tcW w:w="1883" w:type="dxa"/>
            <w:gridSpan w:val="2"/>
            <w:tcBorders>
              <w:top w:val="single" w:sz="4" w:space="0" w:color="auto"/>
              <w:left w:val="single" w:sz="4" w:space="0" w:color="auto"/>
            </w:tcBorders>
            <w:shd w:val="clear" w:color="auto" w:fill="FFFFFF"/>
          </w:tcPr>
          <w:p w14:paraId="7113ED0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785838" w14:textId="77777777" w:rsidR="008C76E0" w:rsidRPr="003B2786" w:rsidRDefault="008C76E0" w:rsidP="008C76E0">
            <w:pPr>
              <w:pStyle w:val="Bodytext180"/>
              <w:shd w:val="clear" w:color="auto" w:fill="auto"/>
              <w:spacing w:before="0" w:after="120" w:line="240" w:lineRule="auto"/>
              <w:ind w:left="43" w:right="1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DD24CD" w14:textId="77777777" w:rsidR="008C76E0" w:rsidRPr="003B2786" w:rsidRDefault="008C76E0" w:rsidP="008C76E0">
            <w:pPr>
              <w:pStyle w:val="Bodytext180"/>
              <w:shd w:val="clear" w:color="auto" w:fill="auto"/>
              <w:spacing w:before="0" w:after="120" w:line="240" w:lineRule="auto"/>
              <w:ind w:left="-10"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C105F0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C5D424"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մեկ կամ ավելի կողմնակի ագենտների մասով առաջին անգամ ուսումնասիրված արտադրական փուլերին առնչվող հետազոտությունները</w:t>
            </w:r>
          </w:p>
        </w:tc>
        <w:tc>
          <w:tcPr>
            <w:tcW w:w="1883" w:type="dxa"/>
            <w:gridSpan w:val="2"/>
            <w:tcBorders>
              <w:top w:val="single" w:sz="4" w:space="0" w:color="auto"/>
              <w:left w:val="single" w:sz="4" w:space="0" w:color="auto"/>
            </w:tcBorders>
            <w:shd w:val="clear" w:color="auto" w:fill="FFFFFF"/>
          </w:tcPr>
          <w:p w14:paraId="1F68537B"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0574677"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2F37003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09A0A7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B19787D"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դոսյեում նախկինում ընդգրկված արտադրական փուլերին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կողմնակի ագենտներին առնչվող հնացած հետազոտությունների փոխարինումը</w:t>
            </w:r>
          </w:p>
        </w:tc>
        <w:tc>
          <w:tcPr>
            <w:tcW w:w="1883" w:type="dxa"/>
            <w:gridSpan w:val="2"/>
            <w:tcBorders>
              <w:top w:val="single" w:sz="4" w:space="0" w:color="auto"/>
              <w:left w:val="single" w:sz="4" w:space="0" w:color="auto"/>
            </w:tcBorders>
            <w:shd w:val="clear" w:color="auto" w:fill="FFFFFF"/>
          </w:tcPr>
          <w:p w14:paraId="2B30260F"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130CE56" w14:textId="77777777" w:rsidR="008C76E0" w:rsidRPr="003B2786" w:rsidRDefault="008C76E0" w:rsidP="008C76E0">
            <w:pPr>
              <w:tabs>
                <w:tab w:val="left" w:pos="501"/>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8689E9E" w14:textId="77777777" w:rsidR="008C76E0" w:rsidRPr="003B2786" w:rsidRDefault="008C76E0" w:rsidP="008C76E0">
            <w:pPr>
              <w:tabs>
                <w:tab w:val="left" w:pos="501"/>
              </w:tabs>
              <w:spacing w:after="120"/>
              <w:ind w:left="159" w:right="222"/>
              <w:jc w:val="center"/>
              <w:rPr>
                <w:rFonts w:ascii="Sylfaen" w:hAnsi="Sylfaen"/>
                <w:sz w:val="24"/>
                <w:szCs w:val="24"/>
              </w:rPr>
            </w:pPr>
          </w:p>
        </w:tc>
      </w:tr>
      <w:tr w:rsidR="008C76E0" w:rsidRPr="003B2786" w14:paraId="64F627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0901C7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ռիսկերի գնահատման փոփոխությամբ</w:t>
            </w:r>
          </w:p>
        </w:tc>
        <w:tc>
          <w:tcPr>
            <w:tcW w:w="1883" w:type="dxa"/>
            <w:gridSpan w:val="2"/>
            <w:tcBorders>
              <w:top w:val="single" w:sz="4" w:space="0" w:color="auto"/>
              <w:left w:val="single" w:sz="4" w:space="0" w:color="auto"/>
            </w:tcBorders>
            <w:shd w:val="clear" w:color="auto" w:fill="FFFFFF"/>
          </w:tcPr>
          <w:p w14:paraId="03A10C00"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561EC3"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6E6F29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6B49A4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250C259"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2.</w:t>
            </w:r>
            <w:r w:rsidRPr="003B2786">
              <w:rPr>
                <w:rStyle w:val="Bodytext1811pt"/>
                <w:rFonts w:ascii="Sylfaen" w:hAnsi="Sylfaen"/>
                <w:sz w:val="24"/>
                <w:szCs w:val="24"/>
              </w:rPr>
              <w:tab/>
              <w:t>առանց ռիսկերի գնահատման փոփոխությամբ</w:t>
            </w:r>
          </w:p>
        </w:tc>
        <w:tc>
          <w:tcPr>
            <w:tcW w:w="1883" w:type="dxa"/>
            <w:gridSpan w:val="2"/>
            <w:tcBorders>
              <w:top w:val="single" w:sz="4" w:space="0" w:color="auto"/>
              <w:left w:val="single" w:sz="4" w:space="0" w:color="auto"/>
            </w:tcBorders>
            <w:shd w:val="clear" w:color="auto" w:fill="FFFFFF"/>
          </w:tcPr>
          <w:p w14:paraId="7F3CA69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4CF31DD"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BB8CAD2" w14:textId="77777777" w:rsidR="008C76E0" w:rsidRPr="003B2786" w:rsidRDefault="008C76E0" w:rsidP="008C76E0">
            <w:pPr>
              <w:pStyle w:val="Bodytext180"/>
              <w:shd w:val="clear" w:color="auto" w:fill="auto"/>
              <w:tabs>
                <w:tab w:val="left" w:pos="501"/>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IB</w:t>
            </w:r>
          </w:p>
        </w:tc>
      </w:tr>
      <w:tr w:rsidR="008C76E0" w:rsidRPr="003B2786" w14:paraId="553FEDB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33762B1"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D1E4B5"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Դոսյեի համապատասխան բաժնում (բաժիններում) ուղղում կատարելը, ներառյալ արտադրական փուլերի՝ կողմնակի ագենտներն ինակտիվացնելու (վերացնելու) կարողության ուսումնասիրմանն ուղղված նոր հետազոտություններ անցկացնելը:</w:t>
            </w:r>
          </w:p>
        </w:tc>
      </w:tr>
      <w:tr w:rsidR="008C76E0" w:rsidRPr="003B2786" w14:paraId="20ECCC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090517E"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Հիմնավորումն այն բանի, որ հետազոտությունները չեն փոփոխում ռիսկերի գնահատումը:</w:t>
            </w:r>
          </w:p>
          <w:p w14:paraId="0B92FC7C" w14:textId="77777777" w:rsidR="008C76E0" w:rsidRPr="008C76E0" w:rsidRDefault="008C76E0" w:rsidP="008C76E0">
            <w:pPr>
              <w:pStyle w:val="Bodytext180"/>
              <w:shd w:val="clear" w:color="auto" w:fill="auto"/>
              <w:tabs>
                <w:tab w:val="left" w:pos="501"/>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pacing w:val="-4"/>
                <w:sz w:val="24"/>
                <w:szCs w:val="24"/>
              </w:rPr>
              <w:t>Դեղապատրաստուկի մասին տեղեկատվության մեջ ուղղում կատարելը (եթե կիրառելի է):</w:t>
            </w:r>
          </w:p>
        </w:tc>
      </w:tr>
      <w:tr w:rsidR="008C76E0" w:rsidRPr="003B2786" w14:paraId="469A273D" w14:textId="77777777" w:rsidTr="004A52D9">
        <w:trPr>
          <w:jc w:val="center"/>
        </w:trPr>
        <w:tc>
          <w:tcPr>
            <w:tcW w:w="10694" w:type="dxa"/>
            <w:gridSpan w:val="10"/>
            <w:tcBorders>
              <w:top w:val="single" w:sz="4" w:space="0" w:color="auto"/>
            </w:tcBorders>
            <w:shd w:val="clear" w:color="auto" w:fill="FFFFFF"/>
          </w:tcPr>
          <w:p w14:paraId="377CB78B" w14:textId="77777777" w:rsidR="008C76E0" w:rsidRPr="008C76E0" w:rsidRDefault="008C76E0" w:rsidP="008C76E0">
            <w:pPr>
              <w:pStyle w:val="Bodytext180"/>
              <w:shd w:val="clear" w:color="auto" w:fill="auto"/>
              <w:spacing w:before="0" w:after="120" w:line="240" w:lineRule="auto"/>
              <w:ind w:left="159" w:right="222" w:firstLine="0"/>
              <w:jc w:val="center"/>
              <w:rPr>
                <w:rFonts w:ascii="Sylfaen" w:hAnsi="Sylfaen"/>
                <w:b w:val="0"/>
                <w:i/>
                <w:sz w:val="24"/>
                <w:szCs w:val="24"/>
                <w:lang w:val="hy-AM"/>
              </w:rPr>
            </w:pPr>
            <w:r w:rsidRPr="003B2786">
              <w:rPr>
                <w:rStyle w:val="Bodytext295pt"/>
                <w:rFonts w:ascii="Sylfaen" w:hAnsi="Sylfaen"/>
                <w:sz w:val="24"/>
                <w:szCs w:val="24"/>
              </w:rPr>
              <w:t xml:space="preserve">Բ.III Եվրոպական դեղագրքին համապատասխանության սերտիֆիկատը (СЕР)(առկայության դեպքում) </w:t>
            </w:r>
            <w:r w:rsidR="00C54D75">
              <w:rPr>
                <w:rStyle w:val="Bodytext295pt"/>
                <w:rFonts w:ascii="Sylfaen" w:hAnsi="Sylfaen"/>
                <w:sz w:val="24"/>
                <w:szCs w:val="24"/>
              </w:rPr>
              <w:t>և</w:t>
            </w:r>
            <w:r w:rsidRPr="003B2786">
              <w:rPr>
                <w:rStyle w:val="Bodytext295pt"/>
                <w:rFonts w:ascii="Sylfaen" w:hAnsi="Sylfaen"/>
                <w:sz w:val="24"/>
                <w:szCs w:val="24"/>
              </w:rPr>
              <w:t xml:space="preserve"> (կամ) ՏՍԷ </w:t>
            </w:r>
            <w:r w:rsidR="00C54D75">
              <w:rPr>
                <w:rStyle w:val="Bodytext295pt"/>
                <w:rFonts w:ascii="Sylfaen" w:hAnsi="Sylfaen"/>
                <w:sz w:val="24"/>
                <w:szCs w:val="24"/>
              </w:rPr>
              <w:t>և</w:t>
            </w:r>
            <w:r w:rsidRPr="003B2786">
              <w:rPr>
                <w:rStyle w:val="Bodytext295pt"/>
                <w:rFonts w:ascii="Sylfaen" w:hAnsi="Sylfaen"/>
                <w:sz w:val="24"/>
                <w:szCs w:val="24"/>
              </w:rPr>
              <w:t xml:space="preserve"> (կամ) հոդվածները</w:t>
            </w:r>
          </w:p>
        </w:tc>
      </w:tr>
      <w:tr w:rsidR="008C76E0" w:rsidRPr="003B2786" w14:paraId="73B4103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01D8A" w14:textId="77777777" w:rsidR="008C76E0" w:rsidRPr="008C76E0" w:rsidRDefault="008C76E0" w:rsidP="008C76E0">
            <w:pPr>
              <w:pStyle w:val="Bodytext180"/>
              <w:shd w:val="clear" w:color="auto" w:fill="auto"/>
              <w:tabs>
                <w:tab w:val="left" w:pos="1108"/>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Բ.III.1.</w:t>
            </w:r>
            <w:r w:rsidRPr="003B2786">
              <w:rPr>
                <w:rStyle w:val="Bodytext1811pt"/>
                <w:rFonts w:ascii="Sylfaen" w:hAnsi="Sylfaen"/>
                <w:sz w:val="24"/>
                <w:szCs w:val="24"/>
              </w:rPr>
              <w:tab/>
              <w:t xml:space="preserve">Եվրոպական դեղագրքին համապատասխանության նոր կամ թարմացված սերտիֆիկատ </w:t>
            </w:r>
            <w:r w:rsidRPr="003B2786">
              <w:rPr>
                <w:rStyle w:val="Bodytext1811pt"/>
                <w:rFonts w:ascii="Sylfaen" w:hAnsi="Sylfaen"/>
                <w:sz w:val="24"/>
                <w:szCs w:val="24"/>
              </w:rPr>
              <w:lastRenderedPageBreak/>
              <w:t>ներկայացնելը կամ Եվրոպական դեղագրքին համապատասխանության սերտիֆիկատը բացառելը</w:t>
            </w:r>
          </w:p>
        </w:tc>
        <w:tc>
          <w:tcPr>
            <w:tcW w:w="1883" w:type="dxa"/>
            <w:gridSpan w:val="2"/>
            <w:tcBorders>
              <w:top w:val="single" w:sz="4" w:space="0" w:color="auto"/>
              <w:left w:val="single" w:sz="4" w:space="0" w:color="auto"/>
            </w:tcBorders>
            <w:shd w:val="clear" w:color="auto" w:fill="FFFFFF"/>
          </w:tcPr>
          <w:p w14:paraId="0AD9EA76"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6504749A"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6FA1993" w14:textId="77777777" w:rsidR="008C76E0" w:rsidRPr="003B2786" w:rsidRDefault="008C76E0" w:rsidP="008C76E0">
            <w:pPr>
              <w:pStyle w:val="Bodytext180"/>
              <w:shd w:val="clear" w:color="auto" w:fill="auto"/>
              <w:spacing w:before="0" w:after="120" w:line="240" w:lineRule="auto"/>
              <w:ind w:right="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FC91AD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DFED78" w14:textId="77777777" w:rsidR="008C76E0" w:rsidRPr="008C76E0" w:rsidRDefault="008C76E0" w:rsidP="008C76E0">
            <w:pPr>
              <w:pStyle w:val="Bodytext180"/>
              <w:shd w:val="clear" w:color="auto" w:fill="auto"/>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Դեղագործական բաղադրամասի համար, դեղագործական բաղադրամասի արտադրության գործընթացում օգտագործվող ելանյութի (ռեակտիվի, միջանկյալ արտադրանքի) համար</w:t>
            </w:r>
          </w:p>
          <w:p w14:paraId="72A5F16D" w14:textId="77777777" w:rsidR="008C76E0" w:rsidRPr="003B2786" w:rsidRDefault="008C76E0" w:rsidP="008C76E0">
            <w:pPr>
              <w:pStyle w:val="Bodytext180"/>
              <w:shd w:val="clear" w:color="auto" w:fill="auto"/>
              <w:spacing w:before="0" w:after="120" w:line="288" w:lineRule="auto"/>
              <w:ind w:left="159" w:right="222" w:firstLine="0"/>
              <w:jc w:val="both"/>
              <w:rPr>
                <w:rFonts w:ascii="Sylfaen" w:hAnsi="Sylfaen"/>
                <w:b w:val="0"/>
                <w:sz w:val="24"/>
                <w:szCs w:val="24"/>
              </w:rPr>
            </w:pPr>
            <w:r w:rsidRPr="003B2786">
              <w:rPr>
                <w:rStyle w:val="Bodytext1811pt"/>
                <w:rFonts w:ascii="Sylfaen" w:hAnsi="Sylfaen"/>
                <w:sz w:val="24"/>
                <w:szCs w:val="24"/>
              </w:rPr>
              <w:t>Օժանդակ նյութի համար</w:t>
            </w:r>
          </w:p>
        </w:tc>
        <w:tc>
          <w:tcPr>
            <w:tcW w:w="1883" w:type="dxa"/>
            <w:gridSpan w:val="2"/>
            <w:tcBorders>
              <w:top w:val="single" w:sz="4" w:space="0" w:color="auto"/>
              <w:left w:val="single" w:sz="4" w:space="0" w:color="auto"/>
            </w:tcBorders>
            <w:shd w:val="clear" w:color="auto" w:fill="FFFFFF"/>
          </w:tcPr>
          <w:p w14:paraId="632BE4D2"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5F640CE"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7320E39E"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2ED2CD1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1184A8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Եվրոպական դեղագրքի հոդվածին համապատասխանող՝ Եվրոպական դեղագրքի համապատասխանության հավաստագիրը</w:t>
            </w:r>
          </w:p>
        </w:tc>
        <w:tc>
          <w:tcPr>
            <w:tcW w:w="1883" w:type="dxa"/>
            <w:gridSpan w:val="2"/>
            <w:tcBorders>
              <w:top w:val="single" w:sz="4" w:space="0" w:color="auto"/>
              <w:left w:val="single" w:sz="4" w:space="0" w:color="auto"/>
            </w:tcBorders>
            <w:shd w:val="clear" w:color="auto" w:fill="FFFFFF"/>
          </w:tcPr>
          <w:p w14:paraId="4BEF15DF"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E26F224"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272418A9" w14:textId="77777777" w:rsidR="008C76E0" w:rsidRPr="003B2786" w:rsidRDefault="008C76E0" w:rsidP="008C76E0">
            <w:pPr>
              <w:spacing w:after="120"/>
              <w:ind w:left="159" w:right="222"/>
              <w:jc w:val="center"/>
              <w:rPr>
                <w:rFonts w:ascii="Sylfaen" w:hAnsi="Sylfaen"/>
                <w:sz w:val="24"/>
                <w:szCs w:val="24"/>
              </w:rPr>
            </w:pPr>
          </w:p>
        </w:tc>
      </w:tr>
      <w:tr w:rsidR="008C76E0" w:rsidRPr="003B2786" w14:paraId="111A15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8136A1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BDAA430" w14:textId="77777777" w:rsidR="008C76E0" w:rsidRPr="003B2786" w:rsidRDefault="008C76E0" w:rsidP="002A5072">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1DD9B47C"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3EDB3D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71C5507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BE795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1642FE17"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1, 2, 3, 4, 6</w:t>
            </w:r>
          </w:p>
        </w:tc>
        <w:tc>
          <w:tcPr>
            <w:tcW w:w="1984" w:type="dxa"/>
            <w:gridSpan w:val="2"/>
            <w:tcBorders>
              <w:top w:val="single" w:sz="4" w:space="0" w:color="auto"/>
              <w:left w:val="single" w:sz="4" w:space="0" w:color="auto"/>
            </w:tcBorders>
            <w:shd w:val="clear" w:color="auto" w:fill="FFFFFF"/>
          </w:tcPr>
          <w:p w14:paraId="231A8443"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4B50B1E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670963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9ACE0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Նոր հավաստագիր՝ նոր արտադրողից (փոխարինումը կամ ավելացումը)</w:t>
            </w:r>
          </w:p>
        </w:tc>
        <w:tc>
          <w:tcPr>
            <w:tcW w:w="1883" w:type="dxa"/>
            <w:gridSpan w:val="2"/>
            <w:tcBorders>
              <w:top w:val="single" w:sz="4" w:space="0" w:color="auto"/>
              <w:left w:val="single" w:sz="4" w:space="0" w:color="auto"/>
            </w:tcBorders>
            <w:shd w:val="clear" w:color="auto" w:fill="FFFFFF"/>
          </w:tcPr>
          <w:p w14:paraId="383B4D09" w14:textId="77777777" w:rsidR="008C76E0" w:rsidRPr="003B2786" w:rsidRDefault="008C76E0" w:rsidP="002A5072">
            <w:pPr>
              <w:pStyle w:val="Bodytext180"/>
              <w:shd w:val="clear" w:color="auto" w:fill="auto"/>
              <w:tabs>
                <w:tab w:val="left" w:pos="589"/>
              </w:tabs>
              <w:spacing w:before="0" w:after="120" w:line="240" w:lineRule="auto"/>
              <w:ind w:left="159" w:right="31" w:firstLine="0"/>
              <w:jc w:val="center"/>
              <w:rPr>
                <w:rFonts w:ascii="Sylfaen" w:hAnsi="Sylfaen"/>
                <w:b w:val="0"/>
                <w:sz w:val="24"/>
                <w:szCs w:val="24"/>
              </w:rPr>
            </w:pPr>
            <w:r w:rsidRPr="003B2786">
              <w:rPr>
                <w:rStyle w:val="Bodytext1811pt"/>
                <w:rFonts w:ascii="Sylfaen" w:hAnsi="Sylfaen"/>
                <w:sz w:val="24"/>
                <w:szCs w:val="24"/>
              </w:rPr>
              <w:t>1, 2, 3, 4, 5, 6, 9</w:t>
            </w:r>
          </w:p>
        </w:tc>
        <w:tc>
          <w:tcPr>
            <w:tcW w:w="1984" w:type="dxa"/>
            <w:gridSpan w:val="2"/>
            <w:tcBorders>
              <w:top w:val="single" w:sz="4" w:space="0" w:color="auto"/>
              <w:left w:val="single" w:sz="4" w:space="0" w:color="auto"/>
            </w:tcBorders>
            <w:shd w:val="clear" w:color="auto" w:fill="FFFFFF"/>
          </w:tcPr>
          <w:p w14:paraId="560728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6BA7262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B23567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83F9E37" w14:textId="77777777" w:rsidR="008C76E0" w:rsidRPr="008C76E0"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Pr>
                <w:rStyle w:val="Bodytext1811pt"/>
                <w:rFonts w:ascii="Sylfaen" w:hAnsi="Sylfaen"/>
                <w:sz w:val="24"/>
                <w:szCs w:val="24"/>
              </w:rPr>
              <w:t>4.</w:t>
            </w:r>
            <w:r>
              <w:rPr>
                <w:rStyle w:val="Bodytext1811pt"/>
                <w:rFonts w:ascii="Sylfaen" w:hAnsi="Sylfaen"/>
                <w:sz w:val="24"/>
                <w:szCs w:val="24"/>
              </w:rPr>
              <w:tab/>
              <w:t>Հավաստագրերի բացառումը (եթե</w:t>
            </w:r>
            <w:r w:rsidRPr="002A5072">
              <w:rPr>
                <w:rStyle w:val="Bodytext1811pt"/>
                <w:rFonts w:ascii="Sylfaen" w:hAnsi="Sylfaen"/>
                <w:sz w:val="24"/>
                <w:szCs w:val="24"/>
              </w:rPr>
              <w:t> </w:t>
            </w:r>
            <w:r w:rsidR="008C76E0" w:rsidRPr="003B2786">
              <w:rPr>
                <w:rStyle w:val="Bodytext1811pt"/>
                <w:rFonts w:ascii="Sylfaen" w:hAnsi="Sylfaen"/>
                <w:sz w:val="24"/>
                <w:szCs w:val="24"/>
              </w:rPr>
              <w:t>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2BA55C7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1D98C8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11F04F6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48B0E7B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5B93CF2" w14:textId="2C54E3C1"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 xml:space="preserve">Նոր հավաստագիր՝ ոչ մանրէազերծ ակտիվ դեղագործական բաղադրամասի համար, որը ենթակա է օգտագործման մանրէազերծ դեղապատրաստուկի մեջ սինթեզման վերջին փուլում ջրի օգտագործման ժամանակ, իսկ նյութի առնչությամբ էնդոտոքսինների բացակայությունը դրանում չի </w:t>
            </w:r>
            <w:r w:rsidR="0056496B">
              <w:rPr>
                <w:rStyle w:val="Bodytext1811pt"/>
                <w:rFonts w:ascii="Sylfaen" w:hAnsi="Sylfaen"/>
                <w:sz w:val="24"/>
                <w:szCs w:val="24"/>
              </w:rPr>
              <w:t>դիմում</w:t>
            </w:r>
            <w:r w:rsidRPr="003B2786">
              <w:rPr>
                <w:rStyle w:val="Bodytext1811pt"/>
                <w:rFonts w:ascii="Sylfaen" w:hAnsi="Sylfaen"/>
                <w:sz w:val="24"/>
                <w:szCs w:val="24"/>
              </w:rPr>
              <w:t>ագրվել</w:t>
            </w:r>
          </w:p>
        </w:tc>
        <w:tc>
          <w:tcPr>
            <w:tcW w:w="1883" w:type="dxa"/>
            <w:gridSpan w:val="2"/>
            <w:tcBorders>
              <w:top w:val="single" w:sz="4" w:space="0" w:color="auto"/>
              <w:left w:val="single" w:sz="4" w:space="0" w:color="auto"/>
            </w:tcBorders>
            <w:shd w:val="clear" w:color="auto" w:fill="FFFFFF"/>
          </w:tcPr>
          <w:p w14:paraId="4E63D35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AFE97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059BE51B"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6B4395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5B740E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ՏՍԷ-ի մասով Եվրոպական դեղագրքի համապատասխանության հավաստագիրը՝ ակտիվ դեղագործական բաղադրամասի (ելանյութի (ռեակտիվի, միջանկյալ արտադրանքի), օժանդակ նյութի) համար</w:t>
            </w:r>
          </w:p>
        </w:tc>
        <w:tc>
          <w:tcPr>
            <w:tcW w:w="1883" w:type="dxa"/>
            <w:gridSpan w:val="2"/>
            <w:tcBorders>
              <w:top w:val="single" w:sz="4" w:space="0" w:color="auto"/>
              <w:left w:val="single" w:sz="4" w:space="0" w:color="auto"/>
            </w:tcBorders>
            <w:shd w:val="clear" w:color="auto" w:fill="FFFFFF"/>
          </w:tcPr>
          <w:p w14:paraId="2242F3A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D8A3DE8"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B75F13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4F2BC40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081D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1.</w:t>
            </w:r>
            <w:r w:rsidRPr="003B2786">
              <w:rPr>
                <w:rStyle w:val="Bodytext1811pt"/>
                <w:rFonts w:ascii="Sylfaen" w:hAnsi="Sylfaen"/>
                <w:sz w:val="24"/>
                <w:szCs w:val="24"/>
              </w:rPr>
              <w:tab/>
              <w:t>Նոր հավաստագիր՝ ակտիվ դեղագործական բաղադրամասի համար՝ նոր կամ նախկինում հաստատված արտադրողից</w:t>
            </w:r>
          </w:p>
        </w:tc>
        <w:tc>
          <w:tcPr>
            <w:tcW w:w="1883" w:type="dxa"/>
            <w:gridSpan w:val="2"/>
            <w:tcBorders>
              <w:top w:val="single" w:sz="4" w:space="0" w:color="auto"/>
              <w:left w:val="single" w:sz="4" w:space="0" w:color="auto"/>
            </w:tcBorders>
            <w:shd w:val="clear" w:color="auto" w:fill="FFFFFF"/>
          </w:tcPr>
          <w:p w14:paraId="4165D30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3, 5, 9</w:t>
            </w:r>
          </w:p>
        </w:tc>
        <w:tc>
          <w:tcPr>
            <w:tcW w:w="1984" w:type="dxa"/>
            <w:gridSpan w:val="2"/>
            <w:tcBorders>
              <w:top w:val="single" w:sz="4" w:space="0" w:color="auto"/>
              <w:left w:val="single" w:sz="4" w:space="0" w:color="auto"/>
            </w:tcBorders>
            <w:shd w:val="clear" w:color="auto" w:fill="FFFFFF"/>
          </w:tcPr>
          <w:p w14:paraId="7A5E759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14D1C9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466980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0D52C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Նոր հավաստագիր՝ ակտիվ դեղագործական բաղադրամասի (ելանյութի, ռեակտիվի, միջանկյալ արտադրանքի, օժանդակ նյութի) համար՝ նոր կամ նախկինում հաստատված արտադրողից</w:t>
            </w:r>
          </w:p>
        </w:tc>
        <w:tc>
          <w:tcPr>
            <w:tcW w:w="1883" w:type="dxa"/>
            <w:gridSpan w:val="2"/>
            <w:tcBorders>
              <w:top w:val="single" w:sz="4" w:space="0" w:color="auto"/>
              <w:left w:val="single" w:sz="4" w:space="0" w:color="auto"/>
              <w:bottom w:val="single" w:sz="4" w:space="0" w:color="auto"/>
            </w:tcBorders>
            <w:shd w:val="clear" w:color="auto" w:fill="FFFFFF"/>
          </w:tcPr>
          <w:p w14:paraId="632CB81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3, 6, 7</w:t>
            </w:r>
          </w:p>
        </w:tc>
        <w:tc>
          <w:tcPr>
            <w:tcW w:w="1984" w:type="dxa"/>
            <w:gridSpan w:val="2"/>
            <w:tcBorders>
              <w:top w:val="single" w:sz="4" w:space="0" w:color="auto"/>
              <w:left w:val="single" w:sz="4" w:space="0" w:color="auto"/>
              <w:bottom w:val="single" w:sz="4" w:space="0" w:color="auto"/>
            </w:tcBorders>
            <w:shd w:val="clear" w:color="auto" w:fill="FFFFFF"/>
          </w:tcPr>
          <w:p w14:paraId="45A00FF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8926CD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0DC508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E3EEAF"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3.</w:t>
            </w:r>
            <w:r w:rsidRPr="003B2786">
              <w:rPr>
                <w:rStyle w:val="Bodytext1811pt"/>
                <w:rFonts w:ascii="Sylfaen" w:hAnsi="Sylfaen"/>
                <w:sz w:val="24"/>
                <w:szCs w:val="24"/>
              </w:rPr>
              <w:tab/>
              <w:t>Թարմացված հավաստագիր՝ նախկինում հաստատված արտադրողից</w:t>
            </w:r>
          </w:p>
        </w:tc>
        <w:tc>
          <w:tcPr>
            <w:tcW w:w="1883" w:type="dxa"/>
            <w:gridSpan w:val="2"/>
            <w:tcBorders>
              <w:top w:val="single" w:sz="4" w:space="0" w:color="auto"/>
              <w:left w:val="single" w:sz="4" w:space="0" w:color="auto"/>
            </w:tcBorders>
            <w:shd w:val="clear" w:color="auto" w:fill="FFFFFF"/>
          </w:tcPr>
          <w:p w14:paraId="49487FBF"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7</w:t>
            </w:r>
          </w:p>
        </w:tc>
        <w:tc>
          <w:tcPr>
            <w:tcW w:w="1984" w:type="dxa"/>
            <w:gridSpan w:val="2"/>
            <w:tcBorders>
              <w:top w:val="single" w:sz="4" w:space="0" w:color="auto"/>
              <w:left w:val="single" w:sz="4" w:space="0" w:color="auto"/>
            </w:tcBorders>
            <w:shd w:val="clear" w:color="auto" w:fill="FFFFFF"/>
          </w:tcPr>
          <w:p w14:paraId="7D59A9D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1, 2, 3, 4, 5</w:t>
            </w:r>
          </w:p>
        </w:tc>
        <w:tc>
          <w:tcPr>
            <w:tcW w:w="1843" w:type="dxa"/>
            <w:gridSpan w:val="2"/>
            <w:tcBorders>
              <w:top w:val="single" w:sz="4" w:space="0" w:color="auto"/>
              <w:left w:val="single" w:sz="4" w:space="0" w:color="auto"/>
              <w:right w:val="single" w:sz="4" w:space="0" w:color="auto"/>
            </w:tcBorders>
            <w:shd w:val="clear" w:color="auto" w:fill="FFFFFF"/>
          </w:tcPr>
          <w:p w14:paraId="73D6573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37F99B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F099DB7"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Հավաստագրերի բացառումը (եթե նյութին կցվել են մի քանի հավաստագիր)</w:t>
            </w:r>
          </w:p>
        </w:tc>
        <w:tc>
          <w:tcPr>
            <w:tcW w:w="1883" w:type="dxa"/>
            <w:gridSpan w:val="2"/>
            <w:tcBorders>
              <w:top w:val="single" w:sz="4" w:space="0" w:color="auto"/>
              <w:left w:val="single" w:sz="4" w:space="0" w:color="auto"/>
            </w:tcBorders>
            <w:shd w:val="clear" w:color="auto" w:fill="FFFFFF"/>
          </w:tcPr>
          <w:p w14:paraId="4EF42D14"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8</w:t>
            </w:r>
          </w:p>
        </w:tc>
        <w:tc>
          <w:tcPr>
            <w:tcW w:w="1984" w:type="dxa"/>
            <w:gridSpan w:val="2"/>
            <w:tcBorders>
              <w:top w:val="single" w:sz="4" w:space="0" w:color="auto"/>
              <w:left w:val="single" w:sz="4" w:space="0" w:color="auto"/>
            </w:tcBorders>
            <w:shd w:val="clear" w:color="auto" w:fill="FFFFFF"/>
          </w:tcPr>
          <w:p w14:paraId="08723511"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3</w:t>
            </w:r>
          </w:p>
        </w:tc>
        <w:tc>
          <w:tcPr>
            <w:tcW w:w="1843" w:type="dxa"/>
            <w:gridSpan w:val="2"/>
            <w:tcBorders>
              <w:top w:val="single" w:sz="4" w:space="0" w:color="auto"/>
              <w:left w:val="single" w:sz="4" w:space="0" w:color="auto"/>
              <w:right w:val="single" w:sz="4" w:space="0" w:color="auto"/>
            </w:tcBorders>
            <w:shd w:val="clear" w:color="auto" w:fill="FFFFFF"/>
          </w:tcPr>
          <w:p w14:paraId="206A926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BBA2D2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37E315" w14:textId="77777777" w:rsidR="008C76E0" w:rsidRPr="008C76E0" w:rsidRDefault="008C76E0" w:rsidP="008C76E0">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5.</w:t>
            </w:r>
            <w:r w:rsidRPr="003B2786">
              <w:rPr>
                <w:rStyle w:val="Bodytext1811pt"/>
                <w:rFonts w:ascii="Sylfaen" w:hAnsi="Sylfaen"/>
                <w:sz w:val="24"/>
                <w:szCs w:val="24"/>
              </w:rPr>
              <w:tab/>
              <w:t>Նոր (թարմացված) հավաստագիր՝ նախկինում հաստատված (նոր) արտադրողից, որն օգտագործում է մարդկային կամ կենդանական ծագման նյութեր, որոնց առնչությամբ պահանջվում է կողմնակի ագենտներով հնարավոր կոնտամինացիայի ռիսկի առումով գնահատում:</w:t>
            </w:r>
          </w:p>
        </w:tc>
        <w:tc>
          <w:tcPr>
            <w:tcW w:w="1883" w:type="dxa"/>
            <w:gridSpan w:val="2"/>
            <w:tcBorders>
              <w:top w:val="single" w:sz="4" w:space="0" w:color="auto"/>
              <w:left w:val="single" w:sz="4" w:space="0" w:color="auto"/>
            </w:tcBorders>
            <w:shd w:val="clear" w:color="auto" w:fill="FFFFFF"/>
          </w:tcPr>
          <w:p w14:paraId="180F76EC"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451EA7E" w14:textId="77777777" w:rsidR="008C76E0" w:rsidRPr="003B2786" w:rsidRDefault="008C76E0" w:rsidP="008C76E0">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9DA46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E3B396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0635B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EA81348"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Դեղապատրաստուկի թողարկման </w:t>
            </w:r>
            <w:r w:rsidR="00C54D75">
              <w:rPr>
                <w:rStyle w:val="Bodytext1811pt"/>
                <w:rFonts w:ascii="Sylfaen" w:hAnsi="Sylfaen"/>
                <w:sz w:val="24"/>
                <w:szCs w:val="24"/>
              </w:rPr>
              <w:t>և</w:t>
            </w:r>
            <w:r w:rsidRPr="003B2786">
              <w:rPr>
                <w:rStyle w:val="Bodytext1811pt"/>
                <w:rFonts w:ascii="Sylfaen" w:hAnsi="Sylfaen"/>
                <w:sz w:val="24"/>
                <w:szCs w:val="24"/>
              </w:rPr>
              <w:t xml:space="preserve"> պիտանիության ժամկետի ավարտի մասնագրերը չեն փոփոխվում:</w:t>
            </w:r>
          </w:p>
          <w:p w14:paraId="00F86ED4"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Խառնուկների չփոփոխված (բացառությամբ խստացման) (Միության դեղագրքի) լրացուցիչ մասնագրերը (բացառությամբ մնացորդային լուծիչների՝ Միության մարմինների ակտերի պահանջներին դրանց համապատասխանության պայմանով), արտադրանքի մասնահատուկ պահանջները (օրինակ`մասնիկների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երը), եթե կիրառելի է:</w:t>
            </w:r>
          </w:p>
          <w:p w14:paraId="55C05AEF" w14:textId="77777777" w:rsidR="008C76E0" w:rsidRPr="003B2786" w:rsidRDefault="008C76E0" w:rsidP="008C76E0">
            <w:pPr>
              <w:pStyle w:val="Bodytext180"/>
              <w:shd w:val="clear" w:color="auto" w:fill="auto"/>
              <w:tabs>
                <w:tab w:val="left" w:pos="589"/>
              </w:tabs>
              <w:spacing w:before="0" w:line="264"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Ակտիվ դեղագործական բաղադրամասի, ելանյութի (ռեակտիվի, միջանկյալ արտադրանքի) արտադրության գործընթացը չի ներառում մարդկային կամ կենդանական ծագման նյութերի օգտագործում, որոնց համար պահանջվում է վերլուծել վիրուսային անվտանգության մասին տվյալները:</w:t>
            </w:r>
          </w:p>
          <w:p w14:paraId="4F6D6B33" w14:textId="77777777" w:rsidR="008C76E0" w:rsidRPr="008C76E0" w:rsidRDefault="008C76E0" w:rsidP="008C76E0">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Բացառապես ակտիվ դեղագործական բաղադրամասի համար. օգտագործումից անմիջապես առաջ այն կփորձարկվի, եթե կրկնակի փորձարկման ժամանակահատվածը ներառված չէ Եվրոպական դեղագրքին համապատասխանության հավաստագրում, կամ կրկնակի փորձարկման ժամանակահատվածը հիմնավորող տվյալներն արդեն ներառված չեն դոսյեում:</w:t>
            </w:r>
          </w:p>
          <w:p w14:paraId="33B669C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բաղադրամասը (ելանյութը (ռեակտիվը, միջանկյալ արտադրանքը), օժանդակ նյութը) մանրէազերծ չէ: </w:t>
            </w:r>
          </w:p>
          <w:p w14:paraId="7805DB5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արտազատող լուծիչը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p w14:paraId="13BCEB8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7.</w:t>
            </w:r>
            <w:r w:rsidRPr="008C76E0">
              <w:rPr>
                <w:rFonts w:ascii="Sylfaen" w:hAnsi="Sylfaen"/>
                <w:b w:val="0"/>
                <w:sz w:val="24"/>
                <w:szCs w:val="24"/>
                <w:lang w:val="hy-AM"/>
              </w:rPr>
              <w:tab/>
            </w:r>
            <w:r w:rsidRPr="003B2786">
              <w:rPr>
                <w:rStyle w:val="Bodytext1811pt"/>
                <w:rFonts w:ascii="Sylfaen" w:hAnsi="Sylfaen"/>
                <w:sz w:val="24"/>
                <w:szCs w:val="24"/>
              </w:rPr>
              <w:t>Եթե պարէնտերալ ներմուծման համար դեղապատրաստուկի բաղադրության մեջ օգտագործվում է ոսկորներից արտադրված դոնդողանյութ, ապա դրա արտադրությունը պետք է իրականացվի միայն համապատասխան երկրի պահանջներին համապատասխան:</w:t>
            </w:r>
          </w:p>
          <w:p w14:paraId="51A4802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8.</w:t>
            </w:r>
            <w:r w:rsidRPr="008C76E0">
              <w:rPr>
                <w:rFonts w:ascii="Sylfaen" w:hAnsi="Sylfaen"/>
                <w:b w:val="0"/>
                <w:sz w:val="24"/>
                <w:szCs w:val="24"/>
                <w:lang w:val="hy-AM"/>
              </w:rPr>
              <w:tab/>
            </w:r>
            <w:r w:rsidRPr="003B2786">
              <w:rPr>
                <w:rStyle w:val="Bodytext1811pt"/>
                <w:rFonts w:ascii="Sylfaen" w:hAnsi="Sylfaen"/>
                <w:sz w:val="24"/>
                <w:szCs w:val="24"/>
              </w:rPr>
              <w:t>Դոսյեում մնում է այդ բաղադրամասի առնվազն մեկ արտադրող:</w:t>
            </w:r>
          </w:p>
          <w:p w14:paraId="2ED5E19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9.</w:t>
            </w:r>
            <w:r w:rsidRPr="008C76E0">
              <w:rPr>
                <w:rFonts w:ascii="Sylfaen" w:hAnsi="Sylfaen"/>
                <w:b w:val="0"/>
                <w:sz w:val="24"/>
                <w:szCs w:val="24"/>
                <w:lang w:val="hy-AM"/>
              </w:rPr>
              <w:tab/>
            </w:r>
            <w:r w:rsidRPr="003B2786">
              <w:rPr>
                <w:rStyle w:val="Bodytext1811pt"/>
                <w:rFonts w:ascii="Sylfaen" w:hAnsi="Sylfaen"/>
                <w:sz w:val="24"/>
                <w:szCs w:val="24"/>
              </w:rPr>
              <w:t>Եթե ակտիվ դեղագործական բաղադրամասը մանրէազերծ չէ, բայց օգտագործվելու է մանրէազերծ դեղապատրաստուկի բաղադրության մեջ, ապա СЕР-ին համապատասխան՝ սինթեզման վերջին փուլում ջուր չի կարող օգտագործվել, կամ եթե դա տեղի է ունենում, ապա անհրաժեշտ է ապահովել բակտերիալ էնդոտոքսինների բացակայությունն ակտիվ դեղագործական բաղադրամասի մեջ:</w:t>
            </w:r>
          </w:p>
        </w:tc>
      </w:tr>
      <w:tr w:rsidR="008C76E0" w:rsidRPr="003B2786" w14:paraId="4B538C67"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2115704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4E80D0B8"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Եվրոպական դեղագրքին համապատասխանության գործող (թարմացված) հավաստագրի պատճենը:</w:t>
            </w:r>
          </w:p>
          <w:p w14:paraId="3ED411E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Արտադրական հարթակ ավելացնելու դեպքում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նշել «գրանցված»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արտադրողներին, ինչպես նշված է դիմումի ձ</w:t>
            </w:r>
            <w:r w:rsidR="00C54D75">
              <w:rPr>
                <w:rStyle w:val="Bodytext1811pt"/>
                <w:rFonts w:ascii="Sylfaen" w:hAnsi="Sylfaen"/>
                <w:sz w:val="24"/>
                <w:szCs w:val="24"/>
              </w:rPr>
              <w:t>և</w:t>
            </w:r>
            <w:r w:rsidRPr="003B2786">
              <w:rPr>
                <w:rStyle w:val="Bodytext1811pt"/>
                <w:rFonts w:ascii="Sylfaen" w:hAnsi="Sylfaen"/>
                <w:sz w:val="24"/>
                <w:szCs w:val="24"/>
              </w:rPr>
              <w:t>ի 2.5-րդ բաժնում:</w:t>
            </w:r>
          </w:p>
          <w:p w14:paraId="68BF12A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053B34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 xml:space="preserve">Բժշկական </w:t>
            </w:r>
            <w:r w:rsidR="00C54D75">
              <w:rPr>
                <w:rStyle w:val="Bodytext1811pt"/>
                <w:rFonts w:ascii="Sylfaen" w:hAnsi="Sylfaen"/>
                <w:sz w:val="24"/>
                <w:szCs w:val="24"/>
              </w:rPr>
              <w:t>և</w:t>
            </w:r>
            <w:r w:rsidRPr="003B2786">
              <w:rPr>
                <w:rStyle w:val="Bodytext1811pt"/>
                <w:rFonts w:ascii="Sylfaen" w:hAnsi="Sylfaen"/>
                <w:sz w:val="24"/>
                <w:szCs w:val="24"/>
              </w:rPr>
              <w:t xml:space="preserve"> անասնաբուժական կիրառման համար նախատեսված դեղապատրաստուկների միջոցով կենդանիների սպունգանման էնցեֆալոպատիայի փոխանցման ռիսկի նվազեցման մասով Եվրոպական դեղագրքի հոդվածի կիրառության ոլորտում ընդգրկված, ներառյալ՝ ակտիվ դեղագործական բաղադրամասի (օժանդակ նյութի) արտադրության մեջ օգտագործվող բոլոր նյութերի մասին տեղեկություններ պարունակող փաստաթուղթը, եթե կիրառելի է: Այդ տեսակի ցանկացած նյութի համար անհրաժեշտ է ներկայացնել հետ</w:t>
            </w:r>
            <w:r w:rsidR="00C54D75">
              <w:rPr>
                <w:rStyle w:val="Bodytext1811pt"/>
                <w:rFonts w:ascii="Sylfaen" w:hAnsi="Sylfaen"/>
                <w:sz w:val="24"/>
                <w:szCs w:val="24"/>
              </w:rPr>
              <w:t>և</w:t>
            </w:r>
            <w:r w:rsidRPr="003B2786">
              <w:rPr>
                <w:rStyle w:val="Bodytext1811pt"/>
                <w:rFonts w:ascii="Sylfaen" w:hAnsi="Sylfaen"/>
                <w:sz w:val="24"/>
                <w:szCs w:val="24"/>
              </w:rPr>
              <w:t xml:space="preserve">յալ տեղեկությունները՝ արտադրողի անվանումը, կենդանիների </w:t>
            </w:r>
            <w:r w:rsidR="00C54D75">
              <w:rPr>
                <w:rStyle w:val="Bodytext1811pt"/>
                <w:rFonts w:ascii="Sylfaen" w:hAnsi="Sylfaen"/>
                <w:sz w:val="24"/>
                <w:szCs w:val="24"/>
              </w:rPr>
              <w:t>և</w:t>
            </w:r>
            <w:r w:rsidRPr="003B2786">
              <w:rPr>
                <w:rStyle w:val="Bodytext1811pt"/>
                <w:rFonts w:ascii="Sylfaen" w:hAnsi="Sylfaen"/>
                <w:sz w:val="24"/>
                <w:szCs w:val="24"/>
              </w:rPr>
              <w:t xml:space="preserve"> հյուսվածքի տեսակը, որից ստացվել է նյութը, կենդանիների ծագման երկիրը </w:t>
            </w:r>
            <w:r w:rsidR="00C54D75">
              <w:rPr>
                <w:rStyle w:val="Bodytext1811pt"/>
                <w:rFonts w:ascii="Sylfaen" w:hAnsi="Sylfaen"/>
                <w:sz w:val="24"/>
                <w:szCs w:val="24"/>
              </w:rPr>
              <w:t>և</w:t>
            </w:r>
            <w:r w:rsidRPr="003B2786">
              <w:rPr>
                <w:rStyle w:val="Bodytext1811pt"/>
                <w:rFonts w:ascii="Sylfaen" w:hAnsi="Sylfaen"/>
                <w:sz w:val="24"/>
                <w:szCs w:val="24"/>
              </w:rPr>
              <w:t xml:space="preserve"> դրա օգտագործումը:</w:t>
            </w:r>
          </w:p>
        </w:tc>
      </w:tr>
      <w:tr w:rsidR="008C76E0" w:rsidRPr="003B2786" w14:paraId="4522120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F3E17FE" w14:textId="029F602E"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Ակտիվ դեղագործական բաղադրամասի առնչությամբ դիմումի մեջ նշված ակտիվ դեղագործական բաղադրամասը որպես ելանյութ օգտագործող յուրաքանչյուր լիցենզավորված արտադրողի լիազորված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դիմումի մեջ որպես սերիաների բացթողման համար պատասխանատու նշված յուրաքանչյուր լիցենզավորված արտադրողի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w:t>
            </w:r>
            <w:r w:rsidR="0085119E">
              <w:rPr>
                <w:rStyle w:val="Bodytext1811pt"/>
                <w:rFonts w:ascii="Sylfaen" w:hAnsi="Sylfaen"/>
                <w:sz w:val="24"/>
                <w:szCs w:val="24"/>
              </w:rPr>
              <w:t>Հայտարարագր</w:t>
            </w:r>
            <w:r w:rsidRPr="003B2786">
              <w:rPr>
                <w:rStyle w:val="Bodytext1811pt"/>
                <w:rFonts w:ascii="Sylfaen" w:hAnsi="Sylfaen"/>
                <w:sz w:val="24"/>
                <w:szCs w:val="24"/>
              </w:rPr>
              <w:t>երում անհրաժեշտ է նշել, որ դիմումում նշված ակտիվ դեղագործական նյութի արտադրող(ներ)ը ելանյութերի առնչությամբ իր (իրենց) գործունեությունն իրականացնում է (են) Միության պատշաճ արտադրական պրակտիկայի կանոններին համապատասխան: Որոշ հանգամանքներում թույլատրվում է ներկայացնել մեկ</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(տե՛ս Բ.II.բ.1 փոփոխության վերաբերյալ ծանոթագրությունը)։ Եթե առնչություն կա ակտիվ դեղագործական բաղադրամասերի </w:t>
            </w:r>
            <w:r w:rsidR="00C54D75">
              <w:rPr>
                <w:rStyle w:val="Bodytext1811pt"/>
                <w:rFonts w:ascii="Sylfaen" w:hAnsi="Sylfaen"/>
                <w:sz w:val="24"/>
                <w:szCs w:val="24"/>
              </w:rPr>
              <w:t>և</w:t>
            </w:r>
            <w:r w:rsidRPr="003B2786">
              <w:rPr>
                <w:rStyle w:val="Bodytext1811pt"/>
                <w:rFonts w:ascii="Sylfaen" w:hAnsi="Sylfaen"/>
                <w:sz w:val="24"/>
                <w:szCs w:val="24"/>
              </w:rPr>
              <w:t xml:space="preserve"> միջանկյալ արտադրանքների համար հավաստագրերի թարմացումներին, միջանկյալ արտադրանքների արտադրողներից </w:t>
            </w:r>
            <w:r w:rsidRPr="003B2786">
              <w:rPr>
                <w:rStyle w:val="Bodytext1811pt"/>
                <w:rFonts w:ascii="Sylfaen" w:hAnsi="Sylfaen"/>
                <w:sz w:val="24"/>
                <w:szCs w:val="24"/>
              </w:rPr>
              <w:lastRenderedPageBreak/>
              <w:t>նա</w:t>
            </w:r>
            <w:r w:rsidR="00C54D75">
              <w:rPr>
                <w:rStyle w:val="Bodytext1811pt"/>
                <w:rFonts w:ascii="Sylfaen" w:hAnsi="Sylfaen"/>
                <w:sz w:val="24"/>
                <w:szCs w:val="24"/>
              </w:rPr>
              <w:t>և</w:t>
            </w:r>
            <w:r w:rsidRPr="003B2786">
              <w:rPr>
                <w:rStyle w:val="Bodytext1811pt"/>
                <w:rFonts w:ascii="Sylfaen" w:hAnsi="Sylfaen"/>
                <w:sz w:val="24"/>
                <w:szCs w:val="24"/>
              </w:rPr>
              <w:t xml:space="preserve"> պահանջվում է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 լիազորված անձի</w:t>
            </w:r>
            <w:r w:rsidR="005A46D4">
              <w:rPr>
                <w:rStyle w:val="Bodytext1811pt"/>
                <w:rFonts w:ascii="Sylfaen" w:hAnsi="Sylfaen"/>
                <w:sz w:val="24"/>
                <w:szCs w:val="24"/>
              </w:rPr>
              <w:t>հայտարարագիր</w:t>
            </w:r>
            <w:r w:rsidRPr="003B2786">
              <w:rPr>
                <w:rStyle w:val="Bodytext1811pt"/>
                <w:rFonts w:ascii="Sylfaen" w:hAnsi="Sylfaen"/>
                <w:sz w:val="24"/>
                <w:szCs w:val="24"/>
              </w:rPr>
              <w:t>ն անհրաժեշտ է միայն այն դեպքում, երբ հավաստագրի նախկինում գրանցված տարբերակի համեմատ առկա է ցանկում ընդգրկված գործող արտադրական հարթակների փոփոխություն:</w:t>
            </w:r>
          </w:p>
          <w:p w14:paraId="6C2B5D8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Պատշաճ հաստատում, որը վկայում է ակտիվ դեղագործական բաղադրամասի սինթեզման վերջին փուլում օգտագործվող ջրի՝ դեղագործական կիրառման ջրի համար որակի համապատասխան պահանջներին համապատասխանության մասին: </w:t>
            </w:r>
          </w:p>
          <w:p w14:paraId="56B0510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r>
      <w:tr w:rsidR="008C76E0" w:rsidRPr="003B2786" w14:paraId="5D4700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195F45"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Բ.III.2.</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3368A8AB"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11B705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4B20A6F"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7E903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F355C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Միության դեղագրքին կամ անդամ պետության դեղագրքին համապատասխանության նպատակներով նախկինում ոչ դեղագրքային բաղադրամասի մասնագրի (մասնագրերի) փոփոխությունը</w:t>
            </w:r>
          </w:p>
        </w:tc>
        <w:tc>
          <w:tcPr>
            <w:tcW w:w="1883" w:type="dxa"/>
            <w:gridSpan w:val="2"/>
            <w:tcBorders>
              <w:top w:val="single" w:sz="4" w:space="0" w:color="auto"/>
              <w:left w:val="single" w:sz="4" w:space="0" w:color="auto"/>
            </w:tcBorders>
            <w:shd w:val="clear" w:color="auto" w:fill="FFFFFF"/>
          </w:tcPr>
          <w:p w14:paraId="1D2DAED2" w14:textId="77777777" w:rsidR="008C76E0" w:rsidRPr="003B2786" w:rsidRDefault="008C76E0" w:rsidP="008C76E0">
            <w:pPr>
              <w:tabs>
                <w:tab w:val="left" w:pos="589"/>
              </w:tabs>
              <w:spacing w:after="120"/>
              <w:ind w:right="56"/>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C9882BB" w14:textId="77777777" w:rsidR="008C76E0" w:rsidRPr="003B2786" w:rsidRDefault="008C76E0" w:rsidP="008C76E0">
            <w:pPr>
              <w:tabs>
                <w:tab w:val="left" w:pos="589"/>
              </w:tabs>
              <w:spacing w:after="120"/>
              <w:ind w:right="56"/>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1DC34FA" w14:textId="77777777" w:rsidR="008C76E0" w:rsidRPr="003B2786" w:rsidRDefault="008C76E0" w:rsidP="008C76E0">
            <w:pPr>
              <w:tabs>
                <w:tab w:val="left" w:pos="589"/>
              </w:tabs>
              <w:spacing w:after="120"/>
              <w:ind w:right="56"/>
              <w:jc w:val="center"/>
              <w:rPr>
                <w:rFonts w:ascii="Sylfaen" w:hAnsi="Sylfaen"/>
                <w:sz w:val="24"/>
                <w:szCs w:val="24"/>
              </w:rPr>
            </w:pPr>
          </w:p>
        </w:tc>
      </w:tr>
      <w:tr w:rsidR="008C76E0" w:rsidRPr="003B2786" w14:paraId="6A29E8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143DD6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Ակտիվ դեղագործական բաղադրամասի</w:t>
            </w:r>
          </w:p>
        </w:tc>
        <w:tc>
          <w:tcPr>
            <w:tcW w:w="1883" w:type="dxa"/>
            <w:gridSpan w:val="2"/>
            <w:tcBorders>
              <w:top w:val="single" w:sz="4" w:space="0" w:color="auto"/>
              <w:left w:val="single" w:sz="4" w:space="0" w:color="auto"/>
            </w:tcBorders>
            <w:shd w:val="clear" w:color="auto" w:fill="FFFFFF"/>
          </w:tcPr>
          <w:p w14:paraId="639110EE"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w:t>
            </w:r>
          </w:p>
        </w:tc>
        <w:tc>
          <w:tcPr>
            <w:tcW w:w="1984" w:type="dxa"/>
            <w:gridSpan w:val="2"/>
            <w:tcBorders>
              <w:top w:val="single" w:sz="4" w:space="0" w:color="auto"/>
              <w:left w:val="single" w:sz="4" w:space="0" w:color="auto"/>
            </w:tcBorders>
            <w:shd w:val="clear" w:color="auto" w:fill="FFFFFF"/>
          </w:tcPr>
          <w:p w14:paraId="4F435ED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9B2D6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49EF8B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D935B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Ակտիվ դեղագործական բաղադրամասի օժանդակ նյութի (ելանյութի)</w:t>
            </w:r>
          </w:p>
        </w:tc>
        <w:tc>
          <w:tcPr>
            <w:tcW w:w="1883" w:type="dxa"/>
            <w:gridSpan w:val="2"/>
            <w:tcBorders>
              <w:top w:val="single" w:sz="4" w:space="0" w:color="auto"/>
              <w:left w:val="single" w:sz="4" w:space="0" w:color="auto"/>
            </w:tcBorders>
            <w:shd w:val="clear" w:color="auto" w:fill="FFFFFF"/>
          </w:tcPr>
          <w:p w14:paraId="7BEDBB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w:t>
            </w:r>
          </w:p>
        </w:tc>
        <w:tc>
          <w:tcPr>
            <w:tcW w:w="1984" w:type="dxa"/>
            <w:gridSpan w:val="2"/>
            <w:tcBorders>
              <w:top w:val="single" w:sz="4" w:space="0" w:color="auto"/>
              <w:left w:val="single" w:sz="4" w:space="0" w:color="auto"/>
            </w:tcBorders>
            <w:shd w:val="clear" w:color="auto" w:fill="FFFFFF"/>
          </w:tcPr>
          <w:p w14:paraId="6A42661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053A99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6716B2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B9BC3D" w14:textId="77777777" w:rsidR="008C76E0" w:rsidRPr="008C76E0" w:rsidRDefault="008C76E0" w:rsidP="002A5072">
            <w:pPr>
              <w:pStyle w:val="Bodytext180"/>
              <w:shd w:val="clear" w:color="auto" w:fill="auto"/>
              <w:tabs>
                <w:tab w:val="left" w:pos="589"/>
              </w:tabs>
              <w:spacing w:before="0" w:after="120" w:line="288"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Միության դեղագրքի համապատասխան թարմացված հոդվածին կամ անդամ պետության դեղագրքին համապատասխանության նպատակներով փոփոխությունները</w:t>
            </w:r>
          </w:p>
        </w:tc>
        <w:tc>
          <w:tcPr>
            <w:tcW w:w="1883" w:type="dxa"/>
            <w:gridSpan w:val="2"/>
            <w:tcBorders>
              <w:top w:val="single" w:sz="4" w:space="0" w:color="auto"/>
              <w:left w:val="single" w:sz="4" w:space="0" w:color="auto"/>
            </w:tcBorders>
            <w:shd w:val="clear" w:color="auto" w:fill="FFFFFF"/>
          </w:tcPr>
          <w:p w14:paraId="1D772596"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1, 2, 4, 5</w:t>
            </w:r>
          </w:p>
        </w:tc>
        <w:tc>
          <w:tcPr>
            <w:tcW w:w="1984" w:type="dxa"/>
            <w:gridSpan w:val="2"/>
            <w:tcBorders>
              <w:top w:val="single" w:sz="4" w:space="0" w:color="auto"/>
              <w:left w:val="single" w:sz="4" w:space="0" w:color="auto"/>
            </w:tcBorders>
            <w:shd w:val="clear" w:color="auto" w:fill="FFFFFF"/>
          </w:tcPr>
          <w:p w14:paraId="7EE9B285"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672A00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E8A4F9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827BB3C" w14:textId="77777777" w:rsidR="008C76E0" w:rsidRPr="008C76E0" w:rsidRDefault="008C76E0" w:rsidP="002A5072">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անդամ պետության դեղագրքից մասնագրերի փոխարինումը Միության դեղագրքի մասնագրերով</w:t>
            </w:r>
          </w:p>
        </w:tc>
        <w:tc>
          <w:tcPr>
            <w:tcW w:w="1883" w:type="dxa"/>
            <w:gridSpan w:val="2"/>
            <w:tcBorders>
              <w:top w:val="single" w:sz="4" w:space="0" w:color="auto"/>
              <w:left w:val="single" w:sz="4" w:space="0" w:color="auto"/>
            </w:tcBorders>
            <w:shd w:val="clear" w:color="auto" w:fill="FFFFFF"/>
          </w:tcPr>
          <w:p w14:paraId="0746DC5E"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1, 4, 5</w:t>
            </w:r>
          </w:p>
        </w:tc>
        <w:tc>
          <w:tcPr>
            <w:tcW w:w="1984" w:type="dxa"/>
            <w:gridSpan w:val="2"/>
            <w:tcBorders>
              <w:top w:val="single" w:sz="4" w:space="0" w:color="auto"/>
              <w:left w:val="single" w:sz="4" w:space="0" w:color="auto"/>
            </w:tcBorders>
            <w:shd w:val="clear" w:color="auto" w:fill="FFFFFF"/>
          </w:tcPr>
          <w:p w14:paraId="4480C762"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B6DCE26" w14:textId="77777777" w:rsidR="008C76E0" w:rsidRPr="003B2786" w:rsidRDefault="008C76E0" w:rsidP="002A5072">
            <w:pPr>
              <w:pStyle w:val="Bodytext180"/>
              <w:shd w:val="clear" w:color="auto" w:fill="auto"/>
              <w:tabs>
                <w:tab w:val="left" w:pos="589"/>
              </w:tabs>
              <w:spacing w:before="0" w:after="120" w:line="264"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E4CA98D"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B1C07C7"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D6358C5"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 իրականացվում է բացառապես դեղագրքին լիարժեք համապատասխանության նպատակով: Փոփոխելուց հետո մասնագրում բոլոր փորձարկումները, բացառությամբ ցանկացած լրացուցիչ օժանդակ փորձարկումների, պետք</w:t>
            </w:r>
            <w:r w:rsidR="002A5072" w:rsidRPr="002A5072">
              <w:rPr>
                <w:rStyle w:val="Bodytext1811pt"/>
                <w:rFonts w:ascii="Sylfaen" w:hAnsi="Sylfaen"/>
                <w:sz w:val="24"/>
                <w:szCs w:val="24"/>
              </w:rPr>
              <w:t> </w:t>
            </w:r>
            <w:r w:rsidRPr="003B2786">
              <w:rPr>
                <w:rStyle w:val="Bodytext1811pt"/>
                <w:rFonts w:ascii="Sylfaen" w:hAnsi="Sylfaen"/>
                <w:sz w:val="24"/>
                <w:szCs w:val="24"/>
              </w:rPr>
              <w:t>է համապատասխանեն դեղագրքային ստանդարտին:</w:t>
            </w:r>
          </w:p>
          <w:p w14:paraId="67518AF4" w14:textId="77777777" w:rsidR="008C76E0" w:rsidRPr="008C76E0" w:rsidRDefault="008C76E0" w:rsidP="002A5072">
            <w:pPr>
              <w:pStyle w:val="Bodytext180"/>
              <w:shd w:val="clear" w:color="auto" w:fill="auto"/>
              <w:tabs>
                <w:tab w:val="left" w:pos="58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Դեղագրքի լրացուցիչ՝ արտադրանքի մասնահատուկ հատկությունների մասնագրերը չեն փոփոխվում (օրինակ` մասնիկների չափսերի պրոֆիլները, պոլիմորֆային ձ</w:t>
            </w:r>
            <w:r w:rsidR="00C54D75">
              <w:rPr>
                <w:rStyle w:val="Bodytext1811pt"/>
                <w:rFonts w:ascii="Sylfaen" w:hAnsi="Sylfaen"/>
                <w:sz w:val="24"/>
                <w:szCs w:val="24"/>
              </w:rPr>
              <w:t>և</w:t>
            </w:r>
            <w:r w:rsidRPr="003B2786">
              <w:rPr>
                <w:rStyle w:val="Bodytext1811pt"/>
                <w:rFonts w:ascii="Sylfaen" w:hAnsi="Sylfaen"/>
                <w:sz w:val="24"/>
                <w:szCs w:val="24"/>
              </w:rPr>
              <w:t xml:space="preserve">ը կամ, օրինակ՝ </w:t>
            </w:r>
            <w:r w:rsidRPr="003B2786">
              <w:rPr>
                <w:rStyle w:val="Bodytext1811pt"/>
                <w:rFonts w:ascii="Sylfaen" w:hAnsi="Sylfaen"/>
                <w:sz w:val="24"/>
                <w:szCs w:val="24"/>
              </w:rPr>
              <w:lastRenderedPageBreak/>
              <w:t>կենսաբանական մեթոդիկաները, ագրեգատները):</w:t>
            </w:r>
          </w:p>
        </w:tc>
      </w:tr>
      <w:tr w:rsidR="008C76E0" w:rsidRPr="003B2786" w14:paraId="29FEE7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116A2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Բացակայում են խառնուկների որակական </w:t>
            </w:r>
            <w:r w:rsidR="00C54D75">
              <w:rPr>
                <w:rStyle w:val="Bodytext1811pt"/>
                <w:rFonts w:ascii="Sylfaen" w:hAnsi="Sylfaen"/>
                <w:sz w:val="24"/>
                <w:szCs w:val="24"/>
              </w:rPr>
              <w:t>և</w:t>
            </w:r>
            <w:r w:rsidRPr="003B2786">
              <w:rPr>
                <w:rStyle w:val="Bodytext1811pt"/>
                <w:rFonts w:ascii="Sylfaen" w:hAnsi="Sylfaen"/>
                <w:sz w:val="24"/>
                <w:szCs w:val="24"/>
              </w:rPr>
              <w:t xml:space="preserve"> քանակական պրոֆիլների էական փոփոխությունները (բացառությամբ մասնագրերի խստացման):</w:t>
            </w:r>
          </w:p>
          <w:p w14:paraId="1D23260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Նոր կամ փոփոխված դեղագրքային մեթոդիկայի լրացուցիչ վալիդացում չի պահանջվում:</w:t>
            </w:r>
          </w:p>
          <w:p w14:paraId="6876A0AC" w14:textId="77777777" w:rsidR="008C76E0" w:rsidRPr="008C76E0" w:rsidRDefault="008C76E0" w:rsidP="002A5072">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Բուսական դեղագործական բաղադրամասերը. արտադրության եղանակը, ֆիզիկական վիճակը, էկստրագենտը </w:t>
            </w:r>
            <w:r w:rsidR="00C54D75">
              <w:rPr>
                <w:rStyle w:val="Bodytext1811pt"/>
                <w:rFonts w:ascii="Sylfaen" w:hAnsi="Sylfaen"/>
                <w:sz w:val="24"/>
                <w:szCs w:val="24"/>
              </w:rPr>
              <w:t>և</w:t>
            </w:r>
            <w:r w:rsidRPr="003B2786">
              <w:rPr>
                <w:rStyle w:val="Bodytext1811pt"/>
                <w:rFonts w:ascii="Sylfaen" w:hAnsi="Sylfaen"/>
                <w:sz w:val="24"/>
                <w:szCs w:val="24"/>
              </w:rPr>
              <w:t xml:space="preserve"> դեղամիջոցի էկստրակցիայի գործակիցը չեն փոփոխվում:</w:t>
            </w:r>
          </w:p>
        </w:tc>
      </w:tr>
      <w:tr w:rsidR="008C76E0" w:rsidRPr="003B2786" w14:paraId="533C90A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2FBBE9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ECAEC2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Դոսյեի համապատասխան բաժնում (բաժիններում) ուղղում կատարելը։</w:t>
            </w:r>
          </w:p>
          <w:p w14:paraId="49D3BEA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Ընթացիկ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մասնագրերի համեմատական աղյուսակը։</w:t>
            </w:r>
          </w:p>
          <w:p w14:paraId="5B462F56"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Համապատասխան բաղադրամասի (նյութի) սերիաների, առնվազն 2 արդյունաբերական սերիաների անալիզի տվյալները (համեմատական աղյուսակի ձ</w:t>
            </w:r>
            <w:r w:rsidR="00C54D75">
              <w:rPr>
                <w:rStyle w:val="Bodytext1811pt"/>
                <w:rFonts w:ascii="Sylfaen" w:hAnsi="Sylfaen"/>
                <w:sz w:val="24"/>
                <w:szCs w:val="24"/>
              </w:rPr>
              <w:t>և</w:t>
            </w:r>
            <w:r w:rsidRPr="003B2786">
              <w:rPr>
                <w:rStyle w:val="Bodytext1811pt"/>
                <w:rFonts w:ascii="Sylfaen" w:hAnsi="Sylfaen"/>
                <w:sz w:val="24"/>
                <w:szCs w:val="24"/>
              </w:rPr>
              <w:t xml:space="preserve">աչափով)՝ նոր մասնագրի բոլոր փորձարկումների մասով, </w:t>
            </w:r>
            <w:r w:rsidR="00C54D75">
              <w:rPr>
                <w:rStyle w:val="Bodytext1811pt"/>
                <w:rFonts w:ascii="Sylfaen" w:hAnsi="Sylfaen"/>
                <w:sz w:val="24"/>
                <w:szCs w:val="24"/>
              </w:rPr>
              <w:t>և</w:t>
            </w:r>
            <w:r w:rsidRPr="003B2786">
              <w:rPr>
                <w:rStyle w:val="Bodytext1811pt"/>
                <w:rFonts w:ascii="Sylfaen" w:hAnsi="Sylfaen"/>
                <w:sz w:val="24"/>
                <w:szCs w:val="24"/>
              </w:rPr>
              <w:t>, ի լրումն, առնվազն մեկ փորձարարաարդյունաբերական սերիայի դեղապատրաստուկի լուծելիության համեմատական կինետիկայի թեստի արդյունքները, եթե կիրառելի է: Բուսական դեղապատրաստուկների առնչությամբ կարող են բավարար լինել համեմատական տրոհելիության տվյալները:</w:t>
            </w:r>
          </w:p>
          <w:p w14:paraId="2E92DD32"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Սուբստանցիայի որակի հսկողության համար հոդվածի պիտանիությունը հաստատող տվյալները, օրինակ` պոտենցիալ խառնուկների համեմատությունը՝ հոդվածի թափանցիկության վերաբերյալ ծանոթագրության հետ (transparency note of the monograph):</w:t>
            </w:r>
          </w:p>
        </w:tc>
      </w:tr>
      <w:tr w:rsidR="008C76E0" w:rsidRPr="003B2786" w14:paraId="44FBDC6B" w14:textId="77777777" w:rsidTr="004A52D9">
        <w:trPr>
          <w:jc w:val="center"/>
        </w:trPr>
        <w:tc>
          <w:tcPr>
            <w:tcW w:w="2594" w:type="dxa"/>
            <w:gridSpan w:val="2"/>
            <w:tcBorders>
              <w:top w:val="single" w:sz="4" w:space="0" w:color="auto"/>
              <w:left w:val="single" w:sz="4" w:space="0" w:color="auto"/>
            </w:tcBorders>
            <w:shd w:val="clear" w:color="auto" w:fill="FFFFFF"/>
          </w:tcPr>
          <w:p w14:paraId="5586D13A" w14:textId="77777777" w:rsidR="008C76E0" w:rsidRPr="003B2786" w:rsidRDefault="008C76E0" w:rsidP="008C76E0">
            <w:pPr>
              <w:pStyle w:val="Bodytext180"/>
              <w:shd w:val="clear" w:color="auto" w:fill="auto"/>
              <w:tabs>
                <w:tab w:val="left" w:pos="589"/>
              </w:tabs>
              <w:spacing w:before="0" w:after="120" w:line="240" w:lineRule="auto"/>
              <w:ind w:left="159"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015877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 xml:space="preserve">Թարմացված հոդվածին համապատասխանության ներդրման դեպքում լիազորված մարմիններին ծանուցել Միության դեղագրքի կամ անդամ պետության դեղագրքի հոդվածի թարմացման մասին՝ դրա հրապարակումից հետո 6 ամսվա ընթացքում, </w:t>
            </w:r>
            <w:r w:rsidR="00C54D75">
              <w:rPr>
                <w:rStyle w:val="Bodytext1811pt"/>
                <w:rFonts w:ascii="Sylfaen" w:hAnsi="Sylfaen"/>
                <w:sz w:val="24"/>
                <w:szCs w:val="24"/>
              </w:rPr>
              <w:t>և</w:t>
            </w:r>
            <w:r w:rsidRPr="003B2786">
              <w:rPr>
                <w:rStyle w:val="Bodytext1811pt"/>
                <w:rFonts w:ascii="Sylfaen" w:hAnsi="Sylfaen"/>
                <w:sz w:val="24"/>
                <w:szCs w:val="24"/>
              </w:rPr>
              <w:t xml:space="preserve"> գրանցված դեղապատրաստուկի դոսյեում՝ «գործող խմբագրությանը» արված հղումների առկայության դեպքում։ </w:t>
            </w:r>
          </w:p>
        </w:tc>
      </w:tr>
      <w:tr w:rsidR="008C76E0" w:rsidRPr="003B2786" w14:paraId="7B52C553" w14:textId="77777777" w:rsidTr="004A52D9">
        <w:trPr>
          <w:jc w:val="center"/>
        </w:trPr>
        <w:tc>
          <w:tcPr>
            <w:tcW w:w="10694" w:type="dxa"/>
            <w:gridSpan w:val="10"/>
            <w:tcBorders>
              <w:top w:val="single" w:sz="4" w:space="0" w:color="auto"/>
            </w:tcBorders>
            <w:shd w:val="clear" w:color="auto" w:fill="FFFFFF"/>
            <w:vAlign w:val="bottom"/>
          </w:tcPr>
          <w:p w14:paraId="0D43C11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i/>
                <w:sz w:val="24"/>
                <w:szCs w:val="24"/>
              </w:rPr>
            </w:pPr>
            <w:r w:rsidRPr="003B2786">
              <w:rPr>
                <w:rStyle w:val="Bodytext295pt"/>
                <w:rFonts w:ascii="Sylfaen" w:hAnsi="Sylfaen"/>
                <w:sz w:val="24"/>
                <w:szCs w:val="24"/>
              </w:rPr>
              <w:t>Բ.IV Բժշկական արտադրատեսակները</w:t>
            </w:r>
          </w:p>
        </w:tc>
      </w:tr>
      <w:tr w:rsidR="008C76E0" w:rsidRPr="003B2786" w14:paraId="7E7FCC1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68EFAC"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Բ.IV.l Չափող արտադրատեսակի կամ ներմուծման համար նախատեսված արտադրատեսակի փոփոխությունը </w:t>
            </w:r>
          </w:p>
        </w:tc>
        <w:tc>
          <w:tcPr>
            <w:tcW w:w="1883" w:type="dxa"/>
            <w:gridSpan w:val="2"/>
            <w:tcBorders>
              <w:top w:val="single" w:sz="4" w:space="0" w:color="auto"/>
              <w:left w:val="single" w:sz="4" w:space="0" w:color="auto"/>
            </w:tcBorders>
            <w:shd w:val="clear" w:color="auto" w:fill="FFFFFF"/>
          </w:tcPr>
          <w:p w14:paraId="21BF705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8450DFF" w14:textId="77777777" w:rsidR="008C76E0" w:rsidRPr="003B2786" w:rsidRDefault="008C76E0" w:rsidP="008B6709">
            <w:pPr>
              <w:pStyle w:val="Bodytext180"/>
              <w:shd w:val="clear" w:color="auto" w:fill="auto"/>
              <w:tabs>
                <w:tab w:val="left" w:pos="589"/>
              </w:tabs>
              <w:spacing w:before="0" w:after="120" w:line="240" w:lineRule="auto"/>
              <w:ind w:left="15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C36D46B" w14:textId="77777777" w:rsidR="008C76E0" w:rsidRPr="003B2786" w:rsidRDefault="008C76E0" w:rsidP="008B6709">
            <w:pPr>
              <w:pStyle w:val="Bodytext180"/>
              <w:shd w:val="clear" w:color="auto" w:fill="auto"/>
              <w:tabs>
                <w:tab w:val="left" w:pos="589"/>
              </w:tabs>
              <w:spacing w:before="0" w:after="120" w:line="240" w:lineRule="auto"/>
              <w:ind w:left="159" w:right="-5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2CD08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7C633B4" w14:textId="77777777" w:rsidR="008C76E0" w:rsidRPr="00E74ADC" w:rsidRDefault="008C76E0" w:rsidP="008C76E0">
            <w:pPr>
              <w:pStyle w:val="Bodytext180"/>
              <w:shd w:val="clear" w:color="auto" w:fill="auto"/>
              <w:tabs>
                <w:tab w:val="left" w:pos="589"/>
              </w:tabs>
              <w:spacing w:before="0" w:after="120" w:line="240" w:lineRule="auto"/>
              <w:ind w:left="159" w:right="222" w:firstLine="0"/>
              <w:jc w:val="both"/>
              <w:rPr>
                <w:rStyle w:val="Bodytext1811pt"/>
                <w:rFonts w:ascii="Sylfaen" w:hAnsi="Sylfaen"/>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Առաջնային փաթեթվածքի մաս չկազմող արտադրատեսակի ավելացումը կամ փոխարինումը</w:t>
            </w:r>
          </w:p>
          <w:p w14:paraId="59BA38A9" w14:textId="77777777" w:rsidR="002A5072" w:rsidRPr="00E74ADC" w:rsidRDefault="002A5072"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p>
        </w:tc>
        <w:tc>
          <w:tcPr>
            <w:tcW w:w="1883" w:type="dxa"/>
            <w:gridSpan w:val="2"/>
            <w:tcBorders>
              <w:top w:val="single" w:sz="4" w:space="0" w:color="auto"/>
              <w:left w:val="single" w:sz="4" w:space="0" w:color="auto"/>
            </w:tcBorders>
            <w:shd w:val="clear" w:color="auto" w:fill="FFFFFF"/>
          </w:tcPr>
          <w:p w14:paraId="581C950B"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5B8EA52E" w14:textId="77777777" w:rsidR="008C76E0" w:rsidRPr="003B2786" w:rsidRDefault="008C76E0" w:rsidP="008C76E0">
            <w:pPr>
              <w:tabs>
                <w:tab w:val="left" w:pos="589"/>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0A63BBEB" w14:textId="77777777" w:rsidR="008C76E0" w:rsidRPr="003B2786" w:rsidRDefault="008C76E0" w:rsidP="008C76E0">
            <w:pPr>
              <w:tabs>
                <w:tab w:val="left" w:pos="589"/>
              </w:tabs>
              <w:spacing w:after="120"/>
              <w:ind w:left="159" w:right="222"/>
              <w:jc w:val="center"/>
              <w:rPr>
                <w:rFonts w:ascii="Sylfaen" w:hAnsi="Sylfaen"/>
                <w:sz w:val="24"/>
                <w:szCs w:val="24"/>
              </w:rPr>
            </w:pPr>
          </w:p>
        </w:tc>
      </w:tr>
      <w:tr w:rsidR="008C76E0" w:rsidRPr="003B2786" w14:paraId="12D296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549BB8A"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1.</w:t>
            </w:r>
            <w:r w:rsidRPr="003B2786">
              <w:rPr>
                <w:rStyle w:val="Bodytext1811pt"/>
                <w:rFonts w:ascii="Sylfaen" w:hAnsi="Sylfaen"/>
                <w:sz w:val="24"/>
                <w:szCs w:val="24"/>
              </w:rPr>
              <w:tab/>
              <w:t>Միությունում գրանցված բժշկական արտադրատեսակները</w:t>
            </w:r>
          </w:p>
        </w:tc>
        <w:tc>
          <w:tcPr>
            <w:tcW w:w="1883" w:type="dxa"/>
            <w:gridSpan w:val="2"/>
            <w:tcBorders>
              <w:top w:val="single" w:sz="4" w:space="0" w:color="auto"/>
              <w:left w:val="single" w:sz="4" w:space="0" w:color="auto"/>
            </w:tcBorders>
            <w:shd w:val="clear" w:color="auto" w:fill="FFFFFF"/>
          </w:tcPr>
          <w:p w14:paraId="58AC82C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1, 2, 3, 5, 6</w:t>
            </w:r>
          </w:p>
        </w:tc>
        <w:tc>
          <w:tcPr>
            <w:tcW w:w="1984" w:type="dxa"/>
            <w:gridSpan w:val="2"/>
            <w:tcBorders>
              <w:top w:val="single" w:sz="4" w:space="0" w:color="auto"/>
              <w:left w:val="single" w:sz="4" w:space="0" w:color="auto"/>
            </w:tcBorders>
            <w:shd w:val="clear" w:color="auto" w:fill="FFFFFF"/>
          </w:tcPr>
          <w:p w14:paraId="6D232BB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1,2,3</w:t>
            </w:r>
          </w:p>
        </w:tc>
        <w:tc>
          <w:tcPr>
            <w:tcW w:w="1843" w:type="dxa"/>
            <w:gridSpan w:val="2"/>
            <w:tcBorders>
              <w:top w:val="single" w:sz="4" w:space="0" w:color="auto"/>
              <w:left w:val="single" w:sz="4" w:space="0" w:color="auto"/>
              <w:right w:val="single" w:sz="4" w:space="0" w:color="auto"/>
            </w:tcBorders>
            <w:shd w:val="clear" w:color="auto" w:fill="FFFFFF"/>
          </w:tcPr>
          <w:p w14:paraId="79502619"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12D19D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3E76B3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Դոզավորող ներշնչակների կամ այլ սարքի (օրինակ՝ նեբուլայզերի) սփեյսերները, որոնք կարող են էական ազդեցություն ունենալ պատրաստուկի </w:t>
            </w:r>
            <w:r w:rsidRPr="003B2786">
              <w:rPr>
                <w:rStyle w:val="Bodytext1811pt"/>
                <w:rFonts w:ascii="Sylfaen" w:hAnsi="Sylfaen"/>
                <w:sz w:val="24"/>
                <w:szCs w:val="24"/>
              </w:rPr>
              <w:lastRenderedPageBreak/>
              <w:t>դեղագործական նյութի առաքման վրա</w:t>
            </w:r>
          </w:p>
        </w:tc>
        <w:tc>
          <w:tcPr>
            <w:tcW w:w="1883" w:type="dxa"/>
            <w:gridSpan w:val="2"/>
            <w:tcBorders>
              <w:top w:val="single" w:sz="4" w:space="0" w:color="auto"/>
              <w:left w:val="single" w:sz="4" w:space="0" w:color="auto"/>
            </w:tcBorders>
            <w:shd w:val="clear" w:color="auto" w:fill="FFFFFF"/>
          </w:tcPr>
          <w:p w14:paraId="50098A81"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lastRenderedPageBreak/>
              <w:t>-</w:t>
            </w:r>
          </w:p>
        </w:tc>
        <w:tc>
          <w:tcPr>
            <w:tcW w:w="1984" w:type="dxa"/>
            <w:gridSpan w:val="2"/>
            <w:tcBorders>
              <w:top w:val="single" w:sz="4" w:space="0" w:color="auto"/>
              <w:left w:val="single" w:sz="4" w:space="0" w:color="auto"/>
            </w:tcBorders>
            <w:shd w:val="clear" w:color="auto" w:fill="FFFFFF"/>
          </w:tcPr>
          <w:p w14:paraId="1913491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3E6A84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242E721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E8E7A7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Արտադրատեսակի բացառումը</w:t>
            </w:r>
          </w:p>
        </w:tc>
        <w:tc>
          <w:tcPr>
            <w:tcW w:w="1883" w:type="dxa"/>
            <w:gridSpan w:val="2"/>
            <w:tcBorders>
              <w:top w:val="single" w:sz="4" w:space="0" w:color="auto"/>
              <w:left w:val="single" w:sz="4" w:space="0" w:color="auto"/>
            </w:tcBorders>
            <w:shd w:val="clear" w:color="auto" w:fill="FFFFFF"/>
          </w:tcPr>
          <w:p w14:paraId="0AFBCE04"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tcBorders>
            <w:shd w:val="clear" w:color="auto" w:fill="FFFFFF"/>
          </w:tcPr>
          <w:p w14:paraId="791B332F"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1,4</w:t>
            </w:r>
          </w:p>
        </w:tc>
        <w:tc>
          <w:tcPr>
            <w:tcW w:w="1843" w:type="dxa"/>
            <w:gridSpan w:val="2"/>
            <w:tcBorders>
              <w:top w:val="single" w:sz="4" w:space="0" w:color="auto"/>
              <w:left w:val="single" w:sz="4" w:space="0" w:color="auto"/>
              <w:right w:val="single" w:sz="4" w:space="0" w:color="auto"/>
            </w:tcBorders>
            <w:shd w:val="clear" w:color="auto" w:fill="FFFFFF"/>
          </w:tcPr>
          <w:p w14:paraId="23879A12"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26A154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4DBB61F"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Առաջնային փաթեթվածքի մաս կազմող արտադրատեսակի ավելացումը կամ փոխարինումը</w:t>
            </w:r>
          </w:p>
        </w:tc>
        <w:tc>
          <w:tcPr>
            <w:tcW w:w="1883" w:type="dxa"/>
            <w:gridSpan w:val="2"/>
            <w:tcBorders>
              <w:top w:val="single" w:sz="4" w:space="0" w:color="auto"/>
              <w:left w:val="single" w:sz="4" w:space="0" w:color="auto"/>
            </w:tcBorders>
            <w:shd w:val="clear" w:color="auto" w:fill="FFFFFF"/>
          </w:tcPr>
          <w:p w14:paraId="1BE68DF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6E11A3D"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4B88A60"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II</w:t>
            </w:r>
          </w:p>
        </w:tc>
      </w:tr>
      <w:tr w:rsidR="008C76E0" w:rsidRPr="003B2786" w14:paraId="710CA665"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1628F64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7C1CD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Առաջարկվող չափող արտադրատեսակը պետք է ճշգրիտ չափի դիտարկվող դեղապատրաստուկի անհրաժեշտ դոզան՝ կիրառման հաստատված եղանակի համաձայն. հարկավոր է ներկայացնել այդպիսի հետազոտությունների արդյունքները:</w:t>
            </w:r>
          </w:p>
          <w:p w14:paraId="006C30CB"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Նոր արտադրատեսակը համատեղելի է դեղապատրաստուկի հետ: </w:t>
            </w:r>
          </w:p>
          <w:p w14:paraId="51987B71"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Փոփոխությունը չպետք է հանգեցնի դեղապատրաստուկի մասին տեղեկատվության էական փոփոխության:</w:t>
            </w:r>
          </w:p>
          <w:p w14:paraId="61C4718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Կարելի է շարունակել ճշգրիտ դոզավորել դեղապատրաստուկը:</w:t>
            </w:r>
          </w:p>
          <w:p w14:paraId="4843EDF5"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Բժշկական արտադրատեսակը չի օգտագործվում որպես դեղապատրաստուկի լուծիչ:</w:t>
            </w:r>
          </w:p>
        </w:tc>
      </w:tr>
      <w:tr w:rsidR="008C76E0" w:rsidRPr="003B2786" w14:paraId="11AB588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D585B18"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6.</w:t>
            </w:r>
            <w:r w:rsidRPr="003B2786">
              <w:rPr>
                <w:rStyle w:val="Bodytext1811pt"/>
                <w:rFonts w:ascii="Sylfaen" w:hAnsi="Sylfaen"/>
                <w:sz w:val="24"/>
                <w:szCs w:val="24"/>
              </w:rPr>
              <w:tab/>
              <w:t>Եթե նախատեսված է չափման գործառույթ, այն պետք է ներառված լինի այդպիսի արտադրատեսակի դոսյեում:</w:t>
            </w:r>
          </w:p>
        </w:tc>
      </w:tr>
      <w:tr w:rsidR="008C76E0" w:rsidRPr="003B2786" w14:paraId="0D02DAC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6EE37D"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1A2D12"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Դոսյեի համապատասխան բաժնում (բաժիններում) ուղղում կատարելը, ներառյալ՝ արտադրատեսակի նյութի մանրամասն էսքիզն ու բաղադրությունը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մատակարարը, եթե կիրառելի է,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դեղապատրաստուկի վերաբերյալ տեղեկատվության համապատասխան վերանայումը։</w:t>
            </w:r>
          </w:p>
          <w:p w14:paraId="193FCC5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Միությունում բժշկական արտադրատեսակի գրանցման հաստատումը:</w:t>
            </w:r>
          </w:p>
          <w:p w14:paraId="3F8F771B" w14:textId="77777777" w:rsidR="008C76E0" w:rsidRPr="008C76E0"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Նոր արտադրատեսակի նմուշները, եթե կիրառելի է:</w:t>
            </w:r>
          </w:p>
          <w:p w14:paraId="7DD91B8D" w14:textId="77777777" w:rsidR="008C76E0" w:rsidRPr="003B2786" w:rsidRDefault="008C76E0" w:rsidP="008C76E0">
            <w:pPr>
              <w:pStyle w:val="Bodytext180"/>
              <w:shd w:val="clear" w:color="auto" w:fill="auto"/>
              <w:tabs>
                <w:tab w:val="left" w:pos="589"/>
              </w:tabs>
              <w:spacing w:before="0" w:after="120" w:line="288" w:lineRule="auto"/>
              <w:ind w:left="159" w:right="221" w:firstLine="0"/>
              <w:jc w:val="both"/>
              <w:rPr>
                <w:rFonts w:ascii="Sylfaen" w:hAnsi="Sylfaen"/>
                <w:b w:val="0"/>
                <w:sz w:val="24"/>
                <w:szCs w:val="24"/>
              </w:rPr>
            </w:pPr>
            <w:r w:rsidRPr="003B2786">
              <w:rPr>
                <w:rFonts w:ascii="Sylfaen" w:hAnsi="Sylfaen"/>
                <w:b w:val="0"/>
                <w:sz w:val="24"/>
                <w:szCs w:val="24"/>
              </w:rPr>
              <w:t>4.</w:t>
            </w:r>
            <w:r w:rsidRPr="003B2786">
              <w:rPr>
                <w:rFonts w:ascii="Sylfaen" w:hAnsi="Sylfaen"/>
                <w:b w:val="0"/>
                <w:sz w:val="24"/>
                <w:szCs w:val="24"/>
              </w:rPr>
              <w:tab/>
            </w:r>
            <w:r w:rsidRPr="003B2786">
              <w:rPr>
                <w:rStyle w:val="Bodytext1811pt"/>
                <w:rFonts w:ascii="Sylfaen" w:hAnsi="Sylfaen"/>
                <w:sz w:val="24"/>
                <w:szCs w:val="24"/>
              </w:rPr>
              <w:t>Արտադրատեսակի բացառման հիմնավորումը:</w:t>
            </w:r>
          </w:p>
        </w:tc>
      </w:tr>
      <w:tr w:rsidR="008C76E0" w:rsidRPr="003B2786" w14:paraId="4C4E5EE9" w14:textId="77777777" w:rsidTr="004A52D9">
        <w:trPr>
          <w:jc w:val="center"/>
        </w:trPr>
        <w:tc>
          <w:tcPr>
            <w:tcW w:w="2594" w:type="dxa"/>
            <w:gridSpan w:val="2"/>
            <w:tcBorders>
              <w:top w:val="single" w:sz="4" w:space="0" w:color="auto"/>
              <w:left w:val="single" w:sz="4" w:space="0" w:color="auto"/>
            </w:tcBorders>
            <w:shd w:val="clear" w:color="auto" w:fill="FFFFFF"/>
          </w:tcPr>
          <w:p w14:paraId="418F9CCB" w14:textId="77777777" w:rsidR="008C76E0" w:rsidRPr="003B2786" w:rsidRDefault="008C76E0" w:rsidP="008C76E0">
            <w:pPr>
              <w:pStyle w:val="Bodytext180"/>
              <w:shd w:val="clear" w:color="auto" w:fill="auto"/>
              <w:tabs>
                <w:tab w:val="left" w:pos="2165"/>
              </w:tabs>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D7F00C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sz w:val="24"/>
                <w:szCs w:val="24"/>
              </w:rPr>
            </w:pPr>
            <w:r w:rsidRPr="003B2786">
              <w:rPr>
                <w:rStyle w:val="Bodytext1811pt"/>
                <w:rFonts w:ascii="Sylfaen" w:hAnsi="Sylfaen"/>
                <w:sz w:val="24"/>
                <w:szCs w:val="24"/>
              </w:rPr>
              <w:t>Բ.IV.1.գ-ի համար՝ եթե փոփոխությունը հանգեցնում է նոր դեղաձ</w:t>
            </w:r>
            <w:r w:rsidR="00C54D75">
              <w:rPr>
                <w:rStyle w:val="Bodytext1811pt"/>
                <w:rFonts w:ascii="Sylfaen" w:hAnsi="Sylfaen"/>
                <w:sz w:val="24"/>
                <w:szCs w:val="24"/>
              </w:rPr>
              <w:t>և</w:t>
            </w:r>
            <w:r w:rsidRPr="003B2786">
              <w:rPr>
                <w:rStyle w:val="Bodytext1811pt"/>
                <w:rFonts w:ascii="Sylfaen" w:hAnsi="Sylfaen"/>
                <w:sz w:val="24"/>
                <w:szCs w:val="24"/>
              </w:rPr>
              <w:t>ի առաջացմանը, ապա այդպիսի փոփոխությամբ պահանջվում է ներկայացնել գրանցման ընդլայնման դիմում։</w:t>
            </w:r>
          </w:p>
        </w:tc>
      </w:tr>
      <w:tr w:rsidR="008C76E0" w:rsidRPr="003B2786" w14:paraId="3775AC24" w14:textId="77777777" w:rsidTr="004A52D9">
        <w:trPr>
          <w:jc w:val="center"/>
        </w:trPr>
        <w:tc>
          <w:tcPr>
            <w:tcW w:w="10694" w:type="dxa"/>
            <w:gridSpan w:val="10"/>
            <w:tcBorders>
              <w:top w:val="single" w:sz="4" w:space="0" w:color="auto"/>
            </w:tcBorders>
            <w:shd w:val="clear" w:color="auto" w:fill="FFFFFF"/>
            <w:vAlign w:val="bottom"/>
          </w:tcPr>
          <w:p w14:paraId="759BF17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t>Բ.V Գրանցման դոսյեում փոփոխություններ կատարելը՝ պայմանավորված այլ կարգավորիչ ընթացակարգերով</w:t>
            </w:r>
          </w:p>
          <w:p w14:paraId="7A8ABCB0"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295pt"/>
                <w:rFonts w:ascii="Sylfaen" w:hAnsi="Sylfaen"/>
                <w:sz w:val="24"/>
                <w:szCs w:val="24"/>
              </w:rPr>
              <w:t>Բ.V.ա)</w:t>
            </w:r>
            <w:r w:rsidRPr="003B2786">
              <w:rPr>
                <w:rStyle w:val="Bodytext295pt"/>
                <w:rFonts w:ascii="Sylfaen" w:hAnsi="Sylfaen"/>
                <w:sz w:val="24"/>
                <w:szCs w:val="24"/>
              </w:rPr>
              <w:tab/>
              <w:t>ՊՄՖ (ՊՀՄՖ)</w:t>
            </w:r>
          </w:p>
        </w:tc>
      </w:tr>
      <w:tr w:rsidR="008C76E0" w:rsidRPr="003B2786" w14:paraId="4ACF99B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59B2D3"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Բ.V.ա. 1.</w:t>
            </w:r>
            <w:r w:rsidRPr="003B2786">
              <w:rPr>
                <w:rStyle w:val="Bodytext1811pt"/>
                <w:rFonts w:ascii="Sylfaen" w:hAnsi="Sylfaen"/>
                <w:sz w:val="24"/>
                <w:szCs w:val="24"/>
              </w:rPr>
              <w:tab/>
              <w:t xml:space="preserve">Պլազմայի նոր, թարմացված կամ ուղղված մաստեր-ֆայլի ներառումը դեղապատրաստուկի գրանցման դոսյեում (ՊՄՖ-ի՝ 2-րդ փուլի </w:t>
            </w:r>
            <w:r w:rsidRPr="003B2786">
              <w:rPr>
                <w:rStyle w:val="Bodytext1811pt"/>
                <w:rFonts w:ascii="Sylfaen" w:hAnsi="Sylfaen"/>
                <w:sz w:val="24"/>
                <w:szCs w:val="24"/>
              </w:rPr>
              <w:lastRenderedPageBreak/>
              <w:t>ընթացակարգը)</w:t>
            </w:r>
          </w:p>
        </w:tc>
        <w:tc>
          <w:tcPr>
            <w:tcW w:w="1883" w:type="dxa"/>
            <w:gridSpan w:val="2"/>
            <w:tcBorders>
              <w:top w:val="single" w:sz="4" w:space="0" w:color="auto"/>
              <w:left w:val="single" w:sz="4" w:space="0" w:color="auto"/>
            </w:tcBorders>
            <w:shd w:val="clear" w:color="auto" w:fill="FFFFFF"/>
          </w:tcPr>
          <w:p w14:paraId="642E2902"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59E82231"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974A44B" w14:textId="77777777" w:rsidR="008C76E0" w:rsidRPr="003B2786" w:rsidRDefault="008C76E0" w:rsidP="008C76E0">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88DE1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485AA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դեղապատրաստուկի հատկությունների վրա 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7CB288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7DE13F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DB1A80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3BDAF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4BC799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դեղապատրաստուկի հատկությունների վրա չազդող պլազմայի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1D904A0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375AC2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145AA020"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98051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F001DE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5288D67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697F34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6E5E0F5D"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429BE5C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CA537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պլազմայի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7EF081C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BAF73B3"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4F69416" w14:textId="77777777" w:rsidR="008C76E0" w:rsidRPr="003B2786" w:rsidRDefault="008C76E0" w:rsidP="008C76E0">
            <w:pPr>
              <w:pStyle w:val="Bodytext180"/>
              <w:shd w:val="clear" w:color="auto" w:fill="auto"/>
              <w:tabs>
                <w:tab w:val="left" w:pos="572"/>
              </w:tabs>
              <w:spacing w:before="0" w:line="240" w:lineRule="auto"/>
              <w:ind w:left="159" w:right="221" w:firstLine="0"/>
              <w:jc w:val="center"/>
              <w:rPr>
                <w:rFonts w:ascii="Sylfaen" w:hAnsi="Sylfaen"/>
                <w:sz w:val="24"/>
                <w:szCs w:val="24"/>
              </w:rPr>
            </w:pPr>
            <w:r w:rsidRPr="003B2786">
              <w:rPr>
                <w:rStyle w:val="Bodytext295pt"/>
                <w:rFonts w:ascii="Sylfaen" w:hAnsi="Sylfaen"/>
                <w:sz w:val="24"/>
                <w:szCs w:val="24"/>
              </w:rPr>
              <w:t>IA</w:t>
            </w:r>
            <w:r w:rsidRPr="003B2786">
              <w:rPr>
                <w:rStyle w:val="Bodytext295pt"/>
                <w:rFonts w:ascii="Sylfaen" w:hAnsi="Sylfaen"/>
                <w:sz w:val="24"/>
                <w:szCs w:val="24"/>
                <w:vertAlign w:val="subscript"/>
              </w:rPr>
              <w:t>ԱՊ</w:t>
            </w:r>
          </w:p>
        </w:tc>
      </w:tr>
      <w:tr w:rsidR="008C76E0" w:rsidRPr="003B2786" w14:paraId="765D49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1CB2908"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19F21005"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ՊՄՖ-ի համար տրվել է Միության մարմինների ակտերին համապատասխանության հավաստագիր՝ Եվրասիական տնտեսական հանձնաժողովի կողմից հաստատվող՝ բժշկական կիրառման համար նախատեսված դեղամիջոցների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0F1E5F81"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3E85A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3E6284A" w14:textId="2AB17894"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ՊՄՖ-ի դոսյեն. 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ՊՄՖ-ի նախորդ փաստաթղթերին:</w:t>
            </w:r>
          </w:p>
          <w:p w14:paraId="1FA475BA"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0345280E" w14:textId="2F0256C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tc>
      </w:tr>
      <w:tr w:rsidR="008C76E0" w:rsidRPr="003B2786" w14:paraId="64ABBCF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B42971C" w14:textId="404200ED"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4.</w:t>
            </w:r>
            <w:r w:rsidRPr="003B2786">
              <w:rPr>
                <w:rStyle w:val="Bodytext1811pt"/>
                <w:rFonts w:ascii="Sylfaen" w:hAnsi="Sylfaen"/>
                <w:sz w:val="24"/>
                <w:szCs w:val="24"/>
              </w:rPr>
              <w:tab/>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ՊՄՖ-երը, որոնց վրա հիմնվում է դեղապատրաստուկը, նույնիսկ եթե դրանք դիմումի առարկա չեն հանդիսանում:</w:t>
            </w:r>
          </w:p>
        </w:tc>
      </w:tr>
      <w:tr w:rsidR="008C76E0" w:rsidRPr="003B2786" w14:paraId="6D18686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7D9851" w14:textId="77777777" w:rsidR="008C76E0" w:rsidRPr="008C76E0" w:rsidRDefault="008C76E0" w:rsidP="008C76E0">
            <w:pPr>
              <w:pStyle w:val="Bodytext180"/>
              <w:shd w:val="clear" w:color="auto" w:fill="auto"/>
              <w:tabs>
                <w:tab w:val="left" w:pos="128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Բ.V.ա.2.</w:t>
            </w:r>
            <w:r w:rsidRPr="003B2786">
              <w:rPr>
                <w:rStyle w:val="Bodytext1811pt"/>
                <w:rFonts w:ascii="Sylfaen" w:hAnsi="Sylfaen"/>
                <w:sz w:val="24"/>
                <w:szCs w:val="24"/>
              </w:rPr>
              <w:tab/>
              <w:t>Պատվաստանյութային հակածնի նոր, թարմացված կամ ուղղված մաստեր-ֆայլի ներառումը դեղապատրաստուկի գրանցման դոսյեում (ՊՀՄՖ-ի՝ 2-րդ փուլի ընթացակարգը)</w:t>
            </w:r>
          </w:p>
        </w:tc>
        <w:tc>
          <w:tcPr>
            <w:tcW w:w="1883" w:type="dxa"/>
            <w:gridSpan w:val="2"/>
            <w:tcBorders>
              <w:top w:val="single" w:sz="4" w:space="0" w:color="auto"/>
              <w:left w:val="single" w:sz="4" w:space="0" w:color="auto"/>
            </w:tcBorders>
            <w:shd w:val="clear" w:color="auto" w:fill="FFFFFF"/>
          </w:tcPr>
          <w:p w14:paraId="0C491892"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B4054E8"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062725" w14:textId="77777777" w:rsidR="008C76E0" w:rsidRPr="003B2786" w:rsidRDefault="008C76E0" w:rsidP="008C76E0">
            <w:pPr>
              <w:pStyle w:val="Bodytext180"/>
              <w:shd w:val="clear" w:color="auto" w:fill="auto"/>
              <w:tabs>
                <w:tab w:val="left" w:pos="57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213FDD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C6AB0A1"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պատվաստանյութային հակածնի նոր մաստեր-ֆայլի առաջին ներառումը</w:t>
            </w:r>
          </w:p>
        </w:tc>
        <w:tc>
          <w:tcPr>
            <w:tcW w:w="1883" w:type="dxa"/>
            <w:gridSpan w:val="2"/>
            <w:tcBorders>
              <w:top w:val="single" w:sz="4" w:space="0" w:color="auto"/>
              <w:left w:val="single" w:sz="4" w:space="0" w:color="auto"/>
            </w:tcBorders>
            <w:shd w:val="clear" w:color="auto" w:fill="FFFFFF"/>
          </w:tcPr>
          <w:p w14:paraId="0406EFB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92760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16BC54F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96FA4B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FDFBD7"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փոփոխություններն ազդում են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21B36609"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A5E3591"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0B39F4C3" w14:textId="77777777" w:rsidR="008C76E0" w:rsidRPr="003B2786" w:rsidRDefault="008C76E0" w:rsidP="008C76E0">
            <w:pPr>
              <w:pStyle w:val="Bodytext180"/>
              <w:shd w:val="clear" w:color="auto" w:fill="auto"/>
              <w:tabs>
                <w:tab w:val="left" w:pos="57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5C55228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B0E21E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պատվաստանյութային հակածնի թարմացված (ուղղված) մաստեր-ֆայլի ներառումը. փոփոխությունները չեն ազդում դեղապատրաստուկի հատկությունների վրա</w:t>
            </w:r>
          </w:p>
        </w:tc>
        <w:tc>
          <w:tcPr>
            <w:tcW w:w="1883" w:type="dxa"/>
            <w:gridSpan w:val="2"/>
            <w:tcBorders>
              <w:top w:val="single" w:sz="4" w:space="0" w:color="auto"/>
              <w:left w:val="single" w:sz="4" w:space="0" w:color="auto"/>
            </w:tcBorders>
            <w:shd w:val="clear" w:color="auto" w:fill="FFFFFF"/>
          </w:tcPr>
          <w:p w14:paraId="48382BBB"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DF28C56"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1, 2, 3, 4</w:t>
            </w:r>
          </w:p>
        </w:tc>
        <w:tc>
          <w:tcPr>
            <w:tcW w:w="1843" w:type="dxa"/>
            <w:gridSpan w:val="2"/>
            <w:tcBorders>
              <w:top w:val="single" w:sz="4" w:space="0" w:color="auto"/>
              <w:left w:val="single" w:sz="4" w:space="0" w:color="auto"/>
              <w:right w:val="single" w:sz="4" w:space="0" w:color="auto"/>
            </w:tcBorders>
            <w:shd w:val="clear" w:color="auto" w:fill="FFFFFF"/>
          </w:tcPr>
          <w:p w14:paraId="4CFE8C31"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1CD6086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91B1A2B"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2FC7BE23"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Թարմացված կամ փոփոխված ՊՀՄՖ-ի համար տրվել է Միության օրենսդրությանը համապատասխանության հավաստագիր՝ Եվրասիական տնտեսական միության շրջանակներում դեղապատրաստուկների գրանցման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փորձաքննության կանոնների թիվ 1 հավելվածին համապատասխան:</w:t>
            </w:r>
          </w:p>
        </w:tc>
      </w:tr>
      <w:tr w:rsidR="008C76E0" w:rsidRPr="003B2786" w14:paraId="2D57366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A0C258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F08F0BB" w14:textId="4EB22C9B"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հաշվետվությունն ամբողջությամբ կիրառելի են գրանցված դեղապատրաստուկի նկատմամբ, ՊՀՄՖ-ի իրավատերը ԳՀ-ի իրավատիրոջը (եթե ԳՀ-ի իրավատերը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իրավատերը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անձը չեն) ներկայացրել է ՊՀՄՖ-ի հավաստագիրը, փորձագիտական հաշվետվությունը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ՊՀՄՖ-ի դոսյեն. 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 փոխարինում են տվյալ դեղապատրաստուկի համար ՊՀՄՖ-ի նախորդ փաստաթղթերին:</w:t>
            </w:r>
          </w:p>
          <w:p w14:paraId="3508085B" w14:textId="77777777"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ՊՀՄՖ-ի հավաստագիրը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փորձագիտական հաշվետվությունը:</w:t>
            </w:r>
          </w:p>
          <w:p w14:paraId="10355D68" w14:textId="16A5631E"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Փորձագետի</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ը, որով բնութագրվում են հավաստագրված ՊՀՄՖ-ի միջոցով կատարվող փոփոխությունները,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գնահատվում է դեղապատրաստուկների, ներառյալ՝ արտադրանքով պայմանավորված ռիսկերի գնահատման վրա դրանց հնարավոր ազդեցությունը:</w:t>
            </w:r>
          </w:p>
          <w:p w14:paraId="6A4D2A28" w14:textId="585406FF" w:rsidR="008C76E0" w:rsidRPr="008C76E0" w:rsidRDefault="008C76E0" w:rsidP="008C76E0">
            <w:pPr>
              <w:pStyle w:val="Bodytext180"/>
              <w:shd w:val="clear" w:color="auto" w:fill="auto"/>
              <w:tabs>
                <w:tab w:val="left" w:pos="572"/>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 xml:space="preserve">ում անհրաժեշտ է հստակ </w:t>
            </w:r>
            <w:r w:rsidR="005F6A31">
              <w:rPr>
                <w:rStyle w:val="Bodytext1811pt"/>
                <w:rFonts w:ascii="Sylfaen" w:hAnsi="Sylfaen"/>
                <w:sz w:val="24"/>
                <w:szCs w:val="24"/>
              </w:rPr>
              <w:t>արտահայտե</w:t>
            </w:r>
            <w:r w:rsidRPr="003B2786">
              <w:rPr>
                <w:rStyle w:val="Bodytext1811pt"/>
                <w:rFonts w:ascii="Sylfaen" w:hAnsi="Sylfaen"/>
                <w:sz w:val="24"/>
                <w:szCs w:val="24"/>
              </w:rPr>
              <w:t xml:space="preserve">լ գրանցման դոսյեում ՊՀՄՖ-ի «գործող» </w:t>
            </w:r>
            <w:r w:rsidR="00C54D75">
              <w:rPr>
                <w:rStyle w:val="Bodytext1811pt"/>
                <w:rFonts w:ascii="Sylfaen" w:hAnsi="Sylfaen"/>
                <w:sz w:val="24"/>
                <w:szCs w:val="24"/>
              </w:rPr>
              <w:t>և</w:t>
            </w:r>
            <w:r w:rsidRPr="003B2786">
              <w:rPr>
                <w:rStyle w:val="Bodytext1811pt"/>
                <w:rFonts w:ascii="Sylfaen" w:hAnsi="Sylfaen"/>
                <w:sz w:val="24"/>
                <w:szCs w:val="24"/>
              </w:rPr>
              <w:t xml:space="preserve"> «առաջարկվող» հավաստագրերը (ծածկագրի համարը): Եթե կիրառելի է, փոփոխություններ կատարելու մասին դիմումի ձ</w:t>
            </w:r>
            <w:r w:rsidR="00C54D75">
              <w:rPr>
                <w:rStyle w:val="Bodytext1811pt"/>
                <w:rFonts w:ascii="Sylfaen" w:hAnsi="Sylfaen"/>
                <w:sz w:val="24"/>
                <w:szCs w:val="24"/>
              </w:rPr>
              <w:t>և</w:t>
            </w:r>
            <w:r w:rsidRPr="003B2786">
              <w:rPr>
                <w:rStyle w:val="Bodytext1811pt"/>
                <w:rFonts w:ascii="Sylfaen" w:hAnsi="Sylfaen"/>
                <w:sz w:val="24"/>
                <w:szCs w:val="24"/>
              </w:rPr>
              <w:t>ում հարկավոր է նա</w:t>
            </w:r>
            <w:r w:rsidR="00C54D75">
              <w:rPr>
                <w:rStyle w:val="Bodytext1811pt"/>
                <w:rFonts w:ascii="Sylfaen" w:hAnsi="Sylfaen"/>
                <w:sz w:val="24"/>
                <w:szCs w:val="24"/>
              </w:rPr>
              <w:t>և</w:t>
            </w:r>
            <w:r w:rsidRPr="003B2786">
              <w:rPr>
                <w:rStyle w:val="Bodytext1811pt"/>
                <w:rFonts w:ascii="Sylfaen" w:hAnsi="Sylfaen"/>
                <w:sz w:val="24"/>
                <w:szCs w:val="24"/>
              </w:rPr>
              <w:t xml:space="preserve"> հստակ թվարկել մյուս բոլոր ՊՀՄՖ-երը, որոնց վրա հիմնվում է դեղապատրաստուկը, </w:t>
            </w:r>
            <w:r w:rsidRPr="003B2786">
              <w:rPr>
                <w:rStyle w:val="Bodytext1811pt"/>
                <w:rFonts w:ascii="Sylfaen" w:hAnsi="Sylfaen"/>
                <w:sz w:val="24"/>
                <w:szCs w:val="24"/>
              </w:rPr>
              <w:lastRenderedPageBreak/>
              <w:t>նույնիսկ եթե դրանք դիմումի առարկա չեն հանդիսանում:</w:t>
            </w:r>
          </w:p>
        </w:tc>
      </w:tr>
      <w:tr w:rsidR="008C76E0" w:rsidRPr="003B2786" w14:paraId="60701792" w14:textId="77777777" w:rsidTr="004A52D9">
        <w:trPr>
          <w:jc w:val="center"/>
        </w:trPr>
        <w:tc>
          <w:tcPr>
            <w:tcW w:w="10694" w:type="dxa"/>
            <w:gridSpan w:val="10"/>
            <w:tcBorders>
              <w:top w:val="single" w:sz="4" w:space="0" w:color="auto"/>
            </w:tcBorders>
            <w:shd w:val="clear" w:color="auto" w:fill="FFFFFF"/>
            <w:vAlign w:val="bottom"/>
          </w:tcPr>
          <w:p w14:paraId="05CE8FD2"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i/>
                <w:sz w:val="24"/>
                <w:szCs w:val="24"/>
                <w:lang w:val="hy-AM"/>
              </w:rPr>
            </w:pPr>
            <w:r w:rsidRPr="003B2786">
              <w:rPr>
                <w:rStyle w:val="Bodytext295pt"/>
                <w:rFonts w:ascii="Sylfaen" w:hAnsi="Sylfaen"/>
                <w:sz w:val="24"/>
                <w:szCs w:val="24"/>
              </w:rPr>
              <w:lastRenderedPageBreak/>
              <w:t>Բ.V.բ)</w:t>
            </w:r>
            <w:r w:rsidRPr="003B2786">
              <w:rPr>
                <w:rStyle w:val="Bodytext295pt"/>
                <w:rFonts w:ascii="Sylfaen" w:hAnsi="Sylfaen"/>
                <w:sz w:val="24"/>
                <w:szCs w:val="24"/>
              </w:rPr>
              <w:tab/>
              <w:t>Փորձագիտական կոմիտե դիմելը</w:t>
            </w:r>
          </w:p>
        </w:tc>
      </w:tr>
      <w:tr w:rsidR="008C76E0" w:rsidRPr="003B2786" w14:paraId="029F497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745234A"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Բ.V.բ.1.</w:t>
            </w:r>
            <w:r w:rsidRPr="003B2786">
              <w:rPr>
                <w:rStyle w:val="Bodytext1811pt"/>
                <w:rFonts w:ascii="Sylfaen" w:hAnsi="Sylfaen"/>
                <w:sz w:val="24"/>
                <w:szCs w:val="24"/>
              </w:rPr>
              <w:tab/>
              <w:t xml:space="preserve">Փորձագիտական կոմիտեի եզրակացության իրականացմանն ուղղված՝ որակի վերաբերյալ դոսյեի թարմացումը </w:t>
            </w:r>
          </w:p>
        </w:tc>
        <w:tc>
          <w:tcPr>
            <w:tcW w:w="1883" w:type="dxa"/>
            <w:gridSpan w:val="2"/>
            <w:tcBorders>
              <w:top w:val="single" w:sz="4" w:space="0" w:color="auto"/>
              <w:left w:val="single" w:sz="4" w:space="0" w:color="auto"/>
            </w:tcBorders>
            <w:shd w:val="clear" w:color="auto" w:fill="FFFFFF"/>
          </w:tcPr>
          <w:p w14:paraId="4267B343"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F54E1F7"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66D854B"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36950E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33D13A8F"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 իրականացնում է Փորձագիտական կոմիտեի եզրակացությունը</w:t>
            </w:r>
          </w:p>
        </w:tc>
        <w:tc>
          <w:tcPr>
            <w:tcW w:w="1883" w:type="dxa"/>
            <w:gridSpan w:val="2"/>
            <w:tcBorders>
              <w:top w:val="single" w:sz="4" w:space="0" w:color="auto"/>
              <w:left w:val="single" w:sz="4" w:space="0" w:color="auto"/>
              <w:bottom w:val="single" w:sz="4" w:space="0" w:color="auto"/>
            </w:tcBorders>
            <w:shd w:val="clear" w:color="auto" w:fill="FFFFFF"/>
          </w:tcPr>
          <w:p w14:paraId="7CC056D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bottom w:val="single" w:sz="4" w:space="0" w:color="auto"/>
            </w:tcBorders>
            <w:shd w:val="clear" w:color="auto" w:fill="FFFFFF"/>
          </w:tcPr>
          <w:p w14:paraId="79D1681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7193852F"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0pt"/>
                <w:rFonts w:ascii="Sylfaen" w:hAnsi="Sylfaen"/>
                <w:sz w:val="24"/>
                <w:szCs w:val="24"/>
              </w:rPr>
              <w:t>IA</w:t>
            </w:r>
            <w:r w:rsidRPr="003B2786">
              <w:rPr>
                <w:rStyle w:val="Bodytext1810pt"/>
                <w:rFonts w:ascii="Sylfaen" w:hAnsi="Sylfaen"/>
                <w:sz w:val="24"/>
                <w:szCs w:val="24"/>
                <w:vertAlign w:val="subscript"/>
              </w:rPr>
              <w:t>ԱՊ</w:t>
            </w:r>
          </w:p>
        </w:tc>
      </w:tr>
      <w:tr w:rsidR="008C76E0" w:rsidRPr="003B2786" w14:paraId="6ED5A45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A50F533"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որակի վերաբերյալ դոսյեի ներդաշնակեցումը Փորձագիտական կոմիտեի եզրակացության մաս չէր կազմում, </w:t>
            </w:r>
            <w:r w:rsidR="00C54D75">
              <w:rPr>
                <w:rStyle w:val="Bodytext1811pt"/>
                <w:rFonts w:ascii="Sylfaen" w:hAnsi="Sylfaen"/>
                <w:sz w:val="24"/>
                <w:szCs w:val="24"/>
              </w:rPr>
              <w:t>և</w:t>
            </w:r>
            <w:r w:rsidRPr="003B2786">
              <w:rPr>
                <w:rStyle w:val="Bodytext1811pt"/>
                <w:rFonts w:ascii="Sylfaen" w:hAnsi="Sylfaen"/>
                <w:sz w:val="24"/>
                <w:szCs w:val="24"/>
              </w:rPr>
              <w:t xml:space="preserve"> թարմացումն ուղղված է դրա ներդաշնակեցմանը</w:t>
            </w:r>
          </w:p>
        </w:tc>
        <w:tc>
          <w:tcPr>
            <w:tcW w:w="1883" w:type="dxa"/>
            <w:gridSpan w:val="2"/>
            <w:tcBorders>
              <w:top w:val="single" w:sz="4" w:space="0" w:color="auto"/>
              <w:left w:val="single" w:sz="4" w:space="0" w:color="auto"/>
            </w:tcBorders>
            <w:shd w:val="clear" w:color="auto" w:fill="FFFFFF"/>
          </w:tcPr>
          <w:p w14:paraId="4EDB6C1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CF4C0E"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5A5A5C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9093A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50DE6B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51579C05"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Արդյունքը հետագա փորձաքննություն չի պահանջում:</w:t>
            </w:r>
          </w:p>
        </w:tc>
      </w:tr>
      <w:tr w:rsidR="008C76E0" w:rsidRPr="003B2786" w14:paraId="494F6A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215C2F9"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E5A41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w:t>
            </w:r>
          </w:p>
          <w:p w14:paraId="3FD429AB"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Դոսյեում անհրաժեշտ է հստակ նշել այն փոփոխությունները, որոնք կատարվել են Փորձագիտական կոմիտե դիմելու ընթացակարգի ընթացքում:</w:t>
            </w:r>
          </w:p>
        </w:tc>
      </w:tr>
      <w:tr w:rsidR="008C76E0" w:rsidRPr="003B2786" w14:paraId="235E66D9" w14:textId="77777777" w:rsidTr="004A52D9">
        <w:trPr>
          <w:jc w:val="center"/>
        </w:trPr>
        <w:tc>
          <w:tcPr>
            <w:tcW w:w="10694" w:type="dxa"/>
            <w:gridSpan w:val="10"/>
            <w:tcBorders>
              <w:top w:val="single" w:sz="4" w:space="0" w:color="auto"/>
            </w:tcBorders>
            <w:shd w:val="clear" w:color="auto" w:fill="FFFFFF"/>
            <w:vAlign w:val="bottom"/>
          </w:tcPr>
          <w:p w14:paraId="06C6C05A" w14:textId="77777777" w:rsidR="008C76E0" w:rsidRPr="003B2786" w:rsidRDefault="008C76E0" w:rsidP="008C76E0">
            <w:pPr>
              <w:pStyle w:val="Bodytext180"/>
              <w:shd w:val="clear" w:color="auto" w:fill="auto"/>
              <w:tabs>
                <w:tab w:val="left" w:pos="1142"/>
              </w:tabs>
              <w:spacing w:before="0" w:after="120" w:line="240" w:lineRule="auto"/>
              <w:ind w:left="159" w:right="222" w:firstLine="0"/>
              <w:jc w:val="both"/>
              <w:rPr>
                <w:rStyle w:val="Bodytext1812pt"/>
                <w:rFonts w:ascii="Sylfaen" w:hAnsi="Sylfaen"/>
              </w:rPr>
            </w:pPr>
            <w:r w:rsidRPr="003B2786">
              <w:rPr>
                <w:rStyle w:val="Bodytext1812pt"/>
                <w:rFonts w:ascii="Sylfaen" w:hAnsi="Sylfaen"/>
              </w:rPr>
              <w:t>Գ.</w:t>
            </w:r>
            <w:r w:rsidRPr="003B2786">
              <w:rPr>
                <w:rStyle w:val="Bodytext1812pt"/>
                <w:rFonts w:ascii="Sylfaen" w:hAnsi="Sylfaen"/>
              </w:rPr>
              <w:tab/>
              <w:t xml:space="preserve">Անվտանգության, արդյունավետության </w:t>
            </w:r>
            <w:r w:rsidR="00C54D75">
              <w:rPr>
                <w:rStyle w:val="Bodytext1812pt"/>
                <w:rFonts w:ascii="Sylfaen" w:hAnsi="Sylfaen"/>
              </w:rPr>
              <w:t>և</w:t>
            </w:r>
            <w:r w:rsidRPr="003B2786">
              <w:rPr>
                <w:rStyle w:val="Bodytext1812pt"/>
                <w:rFonts w:ascii="Sylfaen" w:hAnsi="Sylfaen"/>
              </w:rPr>
              <w:t xml:space="preserve"> դեղազգոնության փոփոխությունը </w:t>
            </w:r>
          </w:p>
          <w:p w14:paraId="11CDE888" w14:textId="77777777" w:rsidR="008C76E0" w:rsidRPr="008C76E0" w:rsidRDefault="008C76E0" w:rsidP="008C76E0">
            <w:pPr>
              <w:pStyle w:val="Bodytext180"/>
              <w:shd w:val="clear" w:color="auto" w:fill="auto"/>
              <w:tabs>
                <w:tab w:val="left" w:pos="1142"/>
              </w:tabs>
              <w:spacing w:before="0" w:after="120" w:line="240" w:lineRule="auto"/>
              <w:ind w:left="159" w:right="222" w:firstLine="0"/>
              <w:jc w:val="both"/>
              <w:rPr>
                <w:rFonts w:ascii="Sylfaen" w:hAnsi="Sylfaen"/>
                <w:b w:val="0"/>
                <w:sz w:val="24"/>
                <w:szCs w:val="24"/>
                <w:lang w:val="hy-AM"/>
              </w:rPr>
            </w:pPr>
            <w:r w:rsidRPr="003B2786">
              <w:rPr>
                <w:rStyle w:val="Bodytext1812pt"/>
                <w:rFonts w:ascii="Sylfaen" w:hAnsi="Sylfaen"/>
              </w:rPr>
              <w:t>Գ.I.</w:t>
            </w:r>
            <w:r w:rsidRPr="003B2786">
              <w:rPr>
                <w:rStyle w:val="Bodytext1812pt"/>
                <w:rFonts w:ascii="Sylfaen" w:hAnsi="Sylfaen"/>
              </w:rPr>
              <w:tab/>
              <w:t>Բժշկական կիրառման համար նախատեսված դեղապատրաստուկներ</w:t>
            </w:r>
          </w:p>
        </w:tc>
      </w:tr>
      <w:tr w:rsidR="008C76E0" w:rsidRPr="003B2786" w14:paraId="6537809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9C6A92" w14:textId="77777777" w:rsidR="008C76E0" w:rsidRPr="008C76E0" w:rsidRDefault="008C76E0" w:rsidP="008C76E0">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w:t>
            </w:r>
            <w:r w:rsidRPr="003B2786">
              <w:rPr>
                <w:rStyle w:val="Bodytext1811pt"/>
                <w:rFonts w:ascii="Sylfaen" w:hAnsi="Sylfaen"/>
                <w:sz w:val="24"/>
                <w:szCs w:val="24"/>
              </w:rPr>
              <w:tab/>
              <w:t>Փորձագիտական կոմիտեի եզրակացության իրականացմանն ուղղված՝ դեղապատրաստուկի ընդհանուր բնութագրի, մականշվածքի կամ ներդիր թերթիկի փոփոխությունը</w:t>
            </w:r>
          </w:p>
        </w:tc>
        <w:tc>
          <w:tcPr>
            <w:tcW w:w="1883" w:type="dxa"/>
            <w:gridSpan w:val="2"/>
            <w:tcBorders>
              <w:top w:val="single" w:sz="4" w:space="0" w:color="auto"/>
              <w:left w:val="single" w:sz="4" w:space="0" w:color="auto"/>
            </w:tcBorders>
            <w:shd w:val="clear" w:color="auto" w:fill="FFFFFF"/>
          </w:tcPr>
          <w:p w14:paraId="46B157C7"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C814722"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692B506" w14:textId="77777777" w:rsidR="008C76E0" w:rsidRPr="003B2786" w:rsidRDefault="008C76E0" w:rsidP="008C76E0">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87E813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C2F44"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դեղապատրաստուկն ընդգրկված է փորձագիտական կոմիտե դիմելու ընթացակարգում </w:t>
            </w:r>
          </w:p>
        </w:tc>
        <w:tc>
          <w:tcPr>
            <w:tcW w:w="1883" w:type="dxa"/>
            <w:gridSpan w:val="2"/>
            <w:tcBorders>
              <w:top w:val="single" w:sz="4" w:space="0" w:color="auto"/>
              <w:left w:val="single" w:sz="4" w:space="0" w:color="auto"/>
            </w:tcBorders>
            <w:shd w:val="clear" w:color="auto" w:fill="FFFFFF"/>
          </w:tcPr>
          <w:p w14:paraId="0EBE0F75"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C63C77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0AE89A92"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52A2DED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82F30CF"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դեղապատրաստուկը ընդգրկված չէ փորձագիտական կոմիտե դիմելու ընթացակարգում, բայց փոփոխություններն իրականացվում են փորձագիտական կոմիտեի եզրակացությամբ, ԳՀ-ի իրավատիրոջ կողմից նոր լրացուցիչ տվյալներ չեն ներկայացվել</w:t>
            </w:r>
          </w:p>
        </w:tc>
        <w:tc>
          <w:tcPr>
            <w:tcW w:w="1883" w:type="dxa"/>
            <w:gridSpan w:val="2"/>
            <w:tcBorders>
              <w:top w:val="single" w:sz="4" w:space="0" w:color="auto"/>
              <w:left w:val="single" w:sz="4" w:space="0" w:color="auto"/>
            </w:tcBorders>
            <w:shd w:val="clear" w:color="auto" w:fill="FFFFFF"/>
          </w:tcPr>
          <w:p w14:paraId="55704047"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4E5EBDC8"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23A38144"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IB</w:t>
            </w:r>
          </w:p>
        </w:tc>
      </w:tr>
      <w:tr w:rsidR="008C76E0" w:rsidRPr="003B2786" w14:paraId="5D5A138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D4C202B" w14:textId="77777777" w:rsidR="008C76E0" w:rsidRPr="008C76E0" w:rsidRDefault="008C76E0" w:rsidP="008C76E0">
            <w:pPr>
              <w:pStyle w:val="Bodytext180"/>
              <w:shd w:val="clear" w:color="auto" w:fill="auto"/>
              <w:tabs>
                <w:tab w:val="left" w:pos="52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 xml:space="preserve">դեղապատրաստուկը ընդգրկված չէ </w:t>
            </w:r>
            <w:r w:rsidRPr="003B2786">
              <w:rPr>
                <w:rStyle w:val="Bodytext1811pt"/>
                <w:rFonts w:ascii="Sylfaen" w:hAnsi="Sylfaen"/>
                <w:sz w:val="24"/>
                <w:szCs w:val="24"/>
              </w:rPr>
              <w:lastRenderedPageBreak/>
              <w:t>փորձագիտական կոմիտե դիմելու ընթացակարգում, բայց փոփոխություններն իրականացվում են փորձագիտական կոմիտեի եզրակացությամբ, ԳՀ-ի իրավատերը ներկայացրել է նոր լրացուցիչ տվյալներ</w:t>
            </w:r>
          </w:p>
        </w:tc>
        <w:tc>
          <w:tcPr>
            <w:tcW w:w="1883" w:type="dxa"/>
            <w:gridSpan w:val="2"/>
            <w:tcBorders>
              <w:top w:val="single" w:sz="4" w:space="0" w:color="auto"/>
              <w:left w:val="single" w:sz="4" w:space="0" w:color="auto"/>
            </w:tcBorders>
            <w:shd w:val="clear" w:color="auto" w:fill="FFFFFF"/>
          </w:tcPr>
          <w:p w14:paraId="7C7AFCB1" w14:textId="77777777" w:rsidR="008C76E0" w:rsidRPr="003B2786" w:rsidRDefault="008C76E0" w:rsidP="008C76E0">
            <w:pPr>
              <w:tabs>
                <w:tab w:val="left" w:pos="522"/>
              </w:tabs>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53D01CC"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1, 3</w:t>
            </w:r>
          </w:p>
        </w:tc>
        <w:tc>
          <w:tcPr>
            <w:tcW w:w="1843" w:type="dxa"/>
            <w:gridSpan w:val="2"/>
            <w:tcBorders>
              <w:top w:val="single" w:sz="4" w:space="0" w:color="auto"/>
              <w:left w:val="single" w:sz="4" w:space="0" w:color="auto"/>
              <w:right w:val="single" w:sz="4" w:space="0" w:color="auto"/>
            </w:tcBorders>
            <w:shd w:val="clear" w:color="auto" w:fill="FFFFFF"/>
          </w:tcPr>
          <w:p w14:paraId="607AAD60" w14:textId="77777777" w:rsidR="008C76E0" w:rsidRPr="003B2786" w:rsidRDefault="008C76E0" w:rsidP="008C76E0">
            <w:pPr>
              <w:pStyle w:val="Bodytext180"/>
              <w:shd w:val="clear" w:color="auto" w:fill="auto"/>
              <w:tabs>
                <w:tab w:val="left" w:pos="522"/>
              </w:tabs>
              <w:spacing w:before="0" w:line="240" w:lineRule="auto"/>
              <w:ind w:left="159" w:right="222" w:firstLine="0"/>
              <w:jc w:val="center"/>
              <w:rPr>
                <w:rFonts w:ascii="Sylfaen" w:hAnsi="Sylfaen"/>
                <w:b w:val="0"/>
                <w:sz w:val="24"/>
                <w:szCs w:val="24"/>
              </w:rPr>
            </w:pPr>
            <w:r w:rsidRPr="003B2786">
              <w:rPr>
                <w:rStyle w:val="Bodytext1812pt"/>
                <w:rFonts w:ascii="Sylfaen" w:hAnsi="Sylfaen"/>
              </w:rPr>
              <w:t>II</w:t>
            </w:r>
          </w:p>
        </w:tc>
      </w:tr>
      <w:tr w:rsidR="008C76E0" w:rsidRPr="003B2786" w14:paraId="24168A4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63AC82E7"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C26B5B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տվյալների ներկայացում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1FC1839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FC4447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783BF0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փորձագիտական կոմիտեի դիտարկվող եզրակացությանը՝ դրան կցված դեղապատրաստուկի ընդհանուր բնութագրի, մականշվածքի կամ ներդիր թերթիկի հետ:</w:t>
            </w:r>
          </w:p>
          <w:p w14:paraId="14437C88" w14:textId="682DDCD5"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 xml:space="preserve">արարագիր այն մասին, որ դեղապատրաստուկի առաջարկվող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ներդիր թերթիկի համապատասխան բաժինները նույնական են փորձագիտական կոմիտեի եզրակացությանը կցված բաժիններին:</w:t>
            </w:r>
          </w:p>
          <w:p w14:paraId="7C0D27E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3.</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52DE4CB4"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DE31A0A"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Գ.I.2 Դեղապատրաստուկի ընդհանուր բնութագրի, վերարտադրված կամ հիբրիդային կամ կենսահամանման դեղապատրաստուկի մականշվածքի կամ ներդիր թերթիկի փոփոխությունը՝ ռեֆերենտ դեղապատրաստուկի մի</w:t>
            </w:r>
            <w:r w:rsidR="00C54D75">
              <w:rPr>
                <w:rStyle w:val="Bodytext1811pt"/>
                <w:rFonts w:ascii="Sylfaen" w:hAnsi="Sylfaen"/>
                <w:sz w:val="24"/>
                <w:szCs w:val="24"/>
              </w:rPr>
              <w:t>և</w:t>
            </w:r>
            <w:r w:rsidRPr="003B2786">
              <w:rPr>
                <w:rStyle w:val="Bodytext1811pt"/>
                <w:rFonts w:ascii="Sylfaen" w:hAnsi="Sylfaen"/>
                <w:sz w:val="24"/>
                <w:szCs w:val="24"/>
              </w:rPr>
              <w:t>նույն փոփոխությունը գնահատելուց հետո</w:t>
            </w:r>
          </w:p>
        </w:tc>
        <w:tc>
          <w:tcPr>
            <w:tcW w:w="1883" w:type="dxa"/>
            <w:gridSpan w:val="2"/>
            <w:tcBorders>
              <w:top w:val="single" w:sz="4" w:space="0" w:color="auto"/>
              <w:left w:val="single" w:sz="4" w:space="0" w:color="auto"/>
              <w:bottom w:val="single" w:sz="4" w:space="0" w:color="auto"/>
            </w:tcBorders>
            <w:shd w:val="clear" w:color="auto" w:fill="FFFFFF"/>
          </w:tcPr>
          <w:p w14:paraId="6C6AE312"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5B9629E4"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AD1EF83" w14:textId="77777777" w:rsidR="008C76E0" w:rsidRPr="003B2786" w:rsidRDefault="008C76E0" w:rsidP="008C76E0">
            <w:pPr>
              <w:pStyle w:val="Bodytext180"/>
              <w:shd w:val="clear" w:color="auto" w:fill="auto"/>
              <w:tabs>
                <w:tab w:val="left" w:pos="522"/>
              </w:tabs>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5755F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531869C"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փոփոխություն(ներ) իրականացնելը, որի (որոնց) առնչությամբ ԳՀ-ի իրավատիրոջից չի պահանջվում ներկայացնել նոր լրացուցիչ տվյալներ</w:t>
            </w:r>
          </w:p>
        </w:tc>
        <w:tc>
          <w:tcPr>
            <w:tcW w:w="1883" w:type="dxa"/>
            <w:gridSpan w:val="2"/>
            <w:tcBorders>
              <w:top w:val="single" w:sz="4" w:space="0" w:color="auto"/>
              <w:left w:val="single" w:sz="4" w:space="0" w:color="auto"/>
            </w:tcBorders>
            <w:shd w:val="clear" w:color="auto" w:fill="FFFFFF"/>
          </w:tcPr>
          <w:p w14:paraId="4805D3C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22997F16"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75AD3F0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97B82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B8ACD83"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իրականացնելը, որը (որոնք) ԳՀ-ի իրավատիրոջից պահանջում է (են) ներկայացնել այդ փոփոխությունները (օրինակ՝ համադրելիությունը)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56FAE511"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7232AC24"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1D02E1A8"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766B33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181A7DB"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6117305"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ազգային լիազորված մարմնի հարցումը (եթե կիրառելի է):</w:t>
            </w:r>
          </w:p>
          <w:p w14:paraId="26766753"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D69C665" w14:textId="77777777" w:rsidTr="004A52D9">
        <w:trPr>
          <w:jc w:val="center"/>
        </w:trPr>
        <w:tc>
          <w:tcPr>
            <w:tcW w:w="4984" w:type="dxa"/>
            <w:gridSpan w:val="4"/>
            <w:tcBorders>
              <w:top w:val="single" w:sz="4" w:space="0" w:color="auto"/>
              <w:left w:val="single" w:sz="4" w:space="0" w:color="auto"/>
            </w:tcBorders>
            <w:shd w:val="clear" w:color="auto" w:fill="FFFFFF"/>
          </w:tcPr>
          <w:p w14:paraId="29F5490D"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Գ.I.3.</w:t>
            </w:r>
            <w:r w:rsidRPr="003B2786">
              <w:rPr>
                <w:rStyle w:val="Bodytext1811pt"/>
                <w:rFonts w:ascii="Sylfaen" w:hAnsi="Sylfaen"/>
                <w:sz w:val="24"/>
                <w:szCs w:val="24"/>
              </w:rPr>
              <w:tab/>
              <w:t>Դեղապատրաստուկի ընդհանուր բնութագրի, բժշկական կիրառման համար նախատեսված դեղապատրաստուկի մականշվածքի կամ ներդիր թերթիկի՝ ԱՊՀ-ին կամ անվտանգության հետգրանցումային հետազոտությանն առնչվող ընթացակարգի արդյունքի իրականացմանն ուղղված փոփոխություն(ներ)ը</w:t>
            </w:r>
          </w:p>
        </w:tc>
        <w:tc>
          <w:tcPr>
            <w:tcW w:w="1883" w:type="dxa"/>
            <w:gridSpan w:val="2"/>
            <w:tcBorders>
              <w:top w:val="single" w:sz="4" w:space="0" w:color="auto"/>
              <w:left w:val="single" w:sz="4" w:space="0" w:color="auto"/>
            </w:tcBorders>
            <w:shd w:val="clear" w:color="auto" w:fill="FFFFFF"/>
          </w:tcPr>
          <w:p w14:paraId="420040EE"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C7AFB2"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AC1335" w14:textId="77777777" w:rsidR="008C76E0" w:rsidRPr="003B2786" w:rsidRDefault="008C76E0" w:rsidP="008C76E0">
            <w:pPr>
              <w:pStyle w:val="Bodytext180"/>
              <w:shd w:val="clear" w:color="auto" w:fill="auto"/>
              <w:tabs>
                <w:tab w:val="left" w:pos="522"/>
              </w:tabs>
              <w:spacing w:before="0" w:after="120" w:line="240" w:lineRule="auto"/>
              <w:ind w:left="3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024078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5DED117E"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ակերպում ներմուծելը</w:t>
            </w:r>
          </w:p>
        </w:tc>
        <w:tc>
          <w:tcPr>
            <w:tcW w:w="1883" w:type="dxa"/>
            <w:gridSpan w:val="2"/>
            <w:tcBorders>
              <w:top w:val="single" w:sz="4" w:space="0" w:color="auto"/>
              <w:left w:val="single" w:sz="4" w:space="0" w:color="auto"/>
            </w:tcBorders>
            <w:shd w:val="clear" w:color="auto" w:fill="FFFFFF"/>
          </w:tcPr>
          <w:p w14:paraId="6AC4F1E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08110AC"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26963B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02FA69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1428769" w14:textId="77777777" w:rsidR="008C76E0" w:rsidRPr="008C76E0" w:rsidRDefault="008C76E0" w:rsidP="008C76E0">
            <w:pPr>
              <w:pStyle w:val="Bodytext180"/>
              <w:shd w:val="clear" w:color="auto" w:fill="auto"/>
              <w:tabs>
                <w:tab w:val="left" w:pos="522"/>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այնպիսի փոփոխություններ կատարելը, որոնք ԳՀ-ի իրավատիրոջից պահանջում են ներկայացնել այդպիսի փոփոխությունները հիմնավորող նոր լրացուցիչ տվյալներ </w:t>
            </w:r>
          </w:p>
        </w:tc>
        <w:tc>
          <w:tcPr>
            <w:tcW w:w="1883" w:type="dxa"/>
            <w:gridSpan w:val="2"/>
            <w:tcBorders>
              <w:top w:val="single" w:sz="4" w:space="0" w:color="auto"/>
              <w:left w:val="single" w:sz="4" w:space="0" w:color="auto"/>
            </w:tcBorders>
            <w:shd w:val="clear" w:color="auto" w:fill="FFFFFF"/>
          </w:tcPr>
          <w:p w14:paraId="6051A33B" w14:textId="77777777" w:rsidR="008C76E0" w:rsidRPr="003B2786" w:rsidRDefault="008C76E0" w:rsidP="008C76E0">
            <w:pPr>
              <w:tabs>
                <w:tab w:val="left" w:pos="522"/>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6EFF157"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2</w:t>
            </w:r>
          </w:p>
        </w:tc>
        <w:tc>
          <w:tcPr>
            <w:tcW w:w="1843" w:type="dxa"/>
            <w:gridSpan w:val="2"/>
            <w:tcBorders>
              <w:top w:val="single" w:sz="4" w:space="0" w:color="auto"/>
              <w:left w:val="single" w:sz="4" w:space="0" w:color="auto"/>
              <w:right w:val="single" w:sz="4" w:space="0" w:color="auto"/>
            </w:tcBorders>
            <w:shd w:val="clear" w:color="auto" w:fill="FFFFFF"/>
          </w:tcPr>
          <w:p w14:paraId="2E0A6774"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45F3057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F175D81"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6AE57E"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Փոփոխությունն իրականացնում է լիազորված մարմնի կողմից պահանջված ձ</w:t>
            </w:r>
            <w:r w:rsidR="00C54D75">
              <w:rPr>
                <w:rStyle w:val="Bodytext1811pt"/>
                <w:rFonts w:ascii="Sylfaen" w:hAnsi="Sylfaen"/>
                <w:sz w:val="24"/>
                <w:szCs w:val="24"/>
              </w:rPr>
              <w:t>և</w:t>
            </w:r>
            <w:r w:rsidRPr="003B2786">
              <w:rPr>
                <w:rStyle w:val="Bodytext1811pt"/>
                <w:rFonts w:ascii="Sylfaen" w:hAnsi="Sylfaen"/>
                <w:sz w:val="24"/>
                <w:szCs w:val="24"/>
              </w:rPr>
              <w:t xml:space="preserve">ակերպումը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 չի պահանջում:</w:t>
            </w:r>
          </w:p>
        </w:tc>
      </w:tr>
      <w:tr w:rsidR="008C76E0" w:rsidRPr="003B2786" w14:paraId="2B91F4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72669C6"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7B490D8" w14:textId="77777777" w:rsidR="008C76E0" w:rsidRPr="008C76E0"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համաձայնությանը (գնահատմանը):</w:t>
            </w:r>
          </w:p>
          <w:p w14:paraId="252585FD" w14:textId="77777777" w:rsidR="008C76E0" w:rsidRPr="003B2786" w:rsidRDefault="008C76E0" w:rsidP="008C76E0">
            <w:pPr>
              <w:pStyle w:val="Bodytext180"/>
              <w:shd w:val="clear" w:color="auto" w:fill="auto"/>
              <w:tabs>
                <w:tab w:val="left" w:pos="522"/>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28C543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59134B"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Գ.I.4.</w:t>
            </w:r>
            <w:r w:rsidRPr="003B2786">
              <w:rPr>
                <w:rStyle w:val="Bodytext1811pt"/>
                <w:rFonts w:ascii="Sylfaen" w:hAnsi="Sylfaen"/>
                <w:sz w:val="24"/>
                <w:szCs w:val="24"/>
              </w:rPr>
              <w:tab/>
              <w:t>Որակի վերաբերյալ նոր տվյալների, նախակլինիկական, կլինիկական տվյալների կամ դեղազգոնության տվյալների հետ</w:t>
            </w:r>
            <w:r w:rsidR="00C54D75">
              <w:rPr>
                <w:rStyle w:val="Bodytext1811pt"/>
                <w:rFonts w:ascii="Sylfaen" w:hAnsi="Sylfaen"/>
                <w:sz w:val="24"/>
                <w:szCs w:val="24"/>
              </w:rPr>
              <w:t>և</w:t>
            </w:r>
            <w:r w:rsidRPr="003B2786">
              <w:rPr>
                <w:rStyle w:val="Bodytext1811pt"/>
                <w:rFonts w:ascii="Sylfaen" w:hAnsi="Sylfaen"/>
                <w:sz w:val="24"/>
                <w:szCs w:val="24"/>
              </w:rPr>
              <w:t>անքով դեղապատրաստուկի ընդհանուր բնութագրի էական փոփոխության հիմքում ընկած փոփոխությունները</w:t>
            </w:r>
          </w:p>
        </w:tc>
        <w:tc>
          <w:tcPr>
            <w:tcW w:w="1883" w:type="dxa"/>
            <w:gridSpan w:val="2"/>
            <w:tcBorders>
              <w:top w:val="single" w:sz="4" w:space="0" w:color="auto"/>
              <w:left w:val="single" w:sz="4" w:space="0" w:color="auto"/>
            </w:tcBorders>
            <w:shd w:val="clear" w:color="auto" w:fill="FFFFFF"/>
          </w:tcPr>
          <w:p w14:paraId="0945E6D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B64BC1"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185100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9CBAE1" w14:textId="77777777" w:rsidTr="004A52D9">
        <w:trPr>
          <w:jc w:val="center"/>
        </w:trPr>
        <w:tc>
          <w:tcPr>
            <w:tcW w:w="4984" w:type="dxa"/>
            <w:gridSpan w:val="4"/>
            <w:tcBorders>
              <w:top w:val="single" w:sz="4" w:space="0" w:color="auto"/>
              <w:left w:val="single" w:sz="4" w:space="0" w:color="auto"/>
            </w:tcBorders>
            <w:shd w:val="clear" w:color="auto" w:fill="FFFFFF"/>
          </w:tcPr>
          <w:p w14:paraId="32AECC45"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6DF525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68088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21B691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D7DFDC0" w14:textId="77777777" w:rsidTr="004A52D9">
        <w:trPr>
          <w:jc w:val="center"/>
        </w:trPr>
        <w:tc>
          <w:tcPr>
            <w:tcW w:w="2594" w:type="dxa"/>
            <w:gridSpan w:val="2"/>
            <w:tcBorders>
              <w:top w:val="single" w:sz="4" w:space="0" w:color="auto"/>
              <w:left w:val="single" w:sz="4" w:space="0" w:color="auto"/>
            </w:tcBorders>
            <w:shd w:val="clear" w:color="auto" w:fill="FFFFFF"/>
          </w:tcPr>
          <w:p w14:paraId="27BA23CE"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AFC560D" w14:textId="7059FC96"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փոփոխությունը չի կիրառվում, եթե նոր տվյալները ներկայացվել են Գ.I.13 փոփոխությանը համապատասխան: Այդպիսի դեպքերում դեղապատրաստուկի ընդհանուր բնութագրի, մականշվածքի </w:t>
            </w:r>
            <w:r w:rsidR="00C54D75">
              <w:rPr>
                <w:rStyle w:val="Bodytext1811pt"/>
                <w:rFonts w:ascii="Sylfaen" w:hAnsi="Sylfaen"/>
                <w:sz w:val="24"/>
                <w:szCs w:val="24"/>
              </w:rPr>
              <w:t>և</w:t>
            </w:r>
            <w:r w:rsidRPr="003B2786">
              <w:rPr>
                <w:rStyle w:val="Bodytext1811pt"/>
                <w:rFonts w:ascii="Sylfaen" w:hAnsi="Sylfaen"/>
                <w:sz w:val="24"/>
                <w:szCs w:val="24"/>
              </w:rPr>
              <w:t xml:space="preserve"> (կամ) ներդիր թերթիկի փոփոխությունը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նվում է Գ.I.13 փոփոխության </w:t>
            </w:r>
            <w:r w:rsidRPr="003B2786">
              <w:rPr>
                <w:rStyle w:val="Bodytext1811pt"/>
                <w:rFonts w:ascii="Sylfaen" w:hAnsi="Sylfaen"/>
                <w:sz w:val="24"/>
                <w:szCs w:val="24"/>
              </w:rPr>
              <w:lastRenderedPageBreak/>
              <w:t>կիրառման դաշտում:</w:t>
            </w:r>
          </w:p>
        </w:tc>
      </w:tr>
      <w:tr w:rsidR="008C76E0" w:rsidRPr="003B2786" w14:paraId="6C5ECB5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557C7E19" w14:textId="77777777" w:rsidR="008C76E0" w:rsidRPr="008C76E0"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Գ.I.5.</w:t>
            </w:r>
            <w:r w:rsidRPr="003B2786">
              <w:rPr>
                <w:rStyle w:val="Bodytext1811pt"/>
                <w:rFonts w:ascii="Sylfaen" w:hAnsi="Sylfaen"/>
                <w:sz w:val="24"/>
                <w:szCs w:val="24"/>
              </w:rPr>
              <w:tab/>
              <w:t>Դեղապատրաստուկի բացթողման պայմանների փոփոխությունը</w:t>
            </w:r>
          </w:p>
        </w:tc>
        <w:tc>
          <w:tcPr>
            <w:tcW w:w="1883" w:type="dxa"/>
            <w:gridSpan w:val="2"/>
            <w:tcBorders>
              <w:top w:val="single" w:sz="4" w:space="0" w:color="auto"/>
              <w:left w:val="single" w:sz="4" w:space="0" w:color="auto"/>
              <w:bottom w:val="single" w:sz="4" w:space="0" w:color="auto"/>
            </w:tcBorders>
            <w:shd w:val="clear" w:color="auto" w:fill="FFFFFF"/>
          </w:tcPr>
          <w:p w14:paraId="23FE6CA3"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bottom w:val="single" w:sz="4" w:space="0" w:color="auto"/>
            </w:tcBorders>
            <w:shd w:val="clear" w:color="auto" w:fill="FFFFFF"/>
          </w:tcPr>
          <w:p w14:paraId="729A5DBD"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270B022A"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6287C4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BAAB5E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վերարտադրված կամ հիբրիդային կամ կենսահամանման դեղապատրաստուկների՝ ռեֆերենտ դեղապատրաստուկի բացթողման պայմանների փոփոխությունից հետո</w:t>
            </w:r>
          </w:p>
        </w:tc>
        <w:tc>
          <w:tcPr>
            <w:tcW w:w="1883" w:type="dxa"/>
            <w:gridSpan w:val="2"/>
            <w:tcBorders>
              <w:top w:val="single" w:sz="4" w:space="0" w:color="auto"/>
              <w:left w:val="single" w:sz="4" w:space="0" w:color="auto"/>
            </w:tcBorders>
            <w:shd w:val="clear" w:color="auto" w:fill="FFFFFF"/>
          </w:tcPr>
          <w:p w14:paraId="2F10F985" w14:textId="77777777" w:rsidR="008C76E0" w:rsidRPr="003B2786" w:rsidRDefault="008C76E0" w:rsidP="008C76E0">
            <w:pPr>
              <w:tabs>
                <w:tab w:val="left" w:pos="539"/>
              </w:tabs>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3941294D"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3DA3B7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76EF8910"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A33A7A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բացթողման պայմանների փոփոխության այլ պատճառներ</w:t>
            </w:r>
          </w:p>
        </w:tc>
        <w:tc>
          <w:tcPr>
            <w:tcW w:w="1883" w:type="dxa"/>
            <w:gridSpan w:val="2"/>
            <w:tcBorders>
              <w:top w:val="single" w:sz="4" w:space="0" w:color="auto"/>
              <w:left w:val="single" w:sz="4" w:space="0" w:color="auto"/>
            </w:tcBorders>
            <w:shd w:val="clear" w:color="auto" w:fill="FFFFFF"/>
          </w:tcPr>
          <w:p w14:paraId="3AB36392"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EFFB0D5"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022F983A" w14:textId="77777777" w:rsidR="008C76E0" w:rsidRPr="003B2786" w:rsidRDefault="008C76E0" w:rsidP="008C76E0">
            <w:pPr>
              <w:pStyle w:val="Bodytext180"/>
              <w:shd w:val="clear" w:color="auto" w:fill="auto"/>
              <w:tabs>
                <w:tab w:val="left" w:pos="539"/>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0ACC1B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E6A1A28"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77A5E4E" w14:textId="77777777" w:rsidR="008C76E0" w:rsidRPr="008C76E0"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Ռեֆերենտ դեղապատրաստուկի բացթողման պայմանների փոփոխության հաստատումը (օրինակ` անդամ պետության լիազորված մարմնի համապատասխան որոշմանն արված հղումը)՝ կցված փոփոխություններ կատարելու մասին դիմումի ուղեկցող նամակին:</w:t>
            </w:r>
          </w:p>
          <w:p w14:paraId="1C808DC9" w14:textId="77777777" w:rsidR="008C76E0" w:rsidRPr="003B2786" w:rsidRDefault="008C76E0" w:rsidP="008C76E0">
            <w:pPr>
              <w:pStyle w:val="Bodytext180"/>
              <w:shd w:val="clear" w:color="auto" w:fill="auto"/>
              <w:tabs>
                <w:tab w:val="left" w:pos="539"/>
              </w:tabs>
              <w:spacing w:before="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38B545BF" w14:textId="77777777" w:rsidTr="004A52D9">
        <w:trPr>
          <w:jc w:val="center"/>
        </w:trPr>
        <w:tc>
          <w:tcPr>
            <w:tcW w:w="4984" w:type="dxa"/>
            <w:gridSpan w:val="4"/>
            <w:tcBorders>
              <w:top w:val="single" w:sz="4" w:space="0" w:color="auto"/>
              <w:left w:val="single" w:sz="4" w:space="0" w:color="auto"/>
            </w:tcBorders>
            <w:shd w:val="clear" w:color="auto" w:fill="FFFFFF"/>
          </w:tcPr>
          <w:p w14:paraId="53433D64" w14:textId="77777777" w:rsidR="008C76E0" w:rsidRPr="008C76E0" w:rsidRDefault="008C76E0" w:rsidP="008C76E0">
            <w:pPr>
              <w:pStyle w:val="Bodytext180"/>
              <w:shd w:val="clear" w:color="auto" w:fill="auto"/>
              <w:tabs>
                <w:tab w:val="left" w:pos="1124"/>
              </w:tabs>
              <w:spacing w:before="0" w:line="240" w:lineRule="auto"/>
              <w:ind w:left="159" w:right="222" w:firstLine="0"/>
              <w:rPr>
                <w:rFonts w:ascii="Sylfaen" w:hAnsi="Sylfaen"/>
                <w:b w:val="0"/>
                <w:sz w:val="24"/>
                <w:szCs w:val="24"/>
                <w:lang w:val="hy-AM"/>
              </w:rPr>
            </w:pPr>
            <w:r w:rsidRPr="003B2786">
              <w:rPr>
                <w:rStyle w:val="Bodytext1811pt"/>
                <w:rFonts w:ascii="Sylfaen" w:hAnsi="Sylfaen"/>
                <w:sz w:val="24"/>
                <w:szCs w:val="24"/>
              </w:rPr>
              <w:t>Գ.I.6.</w:t>
            </w:r>
            <w:r w:rsidRPr="003B2786">
              <w:rPr>
                <w:rStyle w:val="Bodytext1811pt"/>
                <w:rFonts w:ascii="Sylfaen" w:hAnsi="Sylfaen"/>
                <w:sz w:val="24"/>
                <w:szCs w:val="24"/>
              </w:rPr>
              <w:tab/>
              <w:t>Կիրառման ցուցման (ցուցումների) փոփոխություն(ներ)ը</w:t>
            </w:r>
          </w:p>
        </w:tc>
        <w:tc>
          <w:tcPr>
            <w:tcW w:w="1883" w:type="dxa"/>
            <w:gridSpan w:val="2"/>
            <w:tcBorders>
              <w:top w:val="single" w:sz="4" w:space="0" w:color="auto"/>
              <w:left w:val="single" w:sz="4" w:space="0" w:color="auto"/>
            </w:tcBorders>
            <w:shd w:val="clear" w:color="auto" w:fill="FFFFFF"/>
          </w:tcPr>
          <w:p w14:paraId="55970769"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E041812"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E1C249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2E242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D417865"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կիրառման նոր ցուցում ներառելը կամ նախկինում հաստատվածը փոփոխելը</w:t>
            </w:r>
          </w:p>
        </w:tc>
        <w:tc>
          <w:tcPr>
            <w:tcW w:w="1883" w:type="dxa"/>
            <w:gridSpan w:val="2"/>
            <w:tcBorders>
              <w:top w:val="single" w:sz="4" w:space="0" w:color="auto"/>
              <w:left w:val="single" w:sz="4" w:space="0" w:color="auto"/>
            </w:tcBorders>
            <w:shd w:val="clear" w:color="auto" w:fill="FFFFFF"/>
          </w:tcPr>
          <w:p w14:paraId="73B48385" w14:textId="77777777" w:rsidR="008C76E0" w:rsidRPr="003B2786" w:rsidRDefault="008C76E0" w:rsidP="008C76E0">
            <w:pPr>
              <w:spacing w:after="0"/>
              <w:ind w:left="159" w:right="222"/>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6F26746F" w14:textId="77777777" w:rsidR="008C76E0" w:rsidRPr="003B2786" w:rsidRDefault="008C76E0" w:rsidP="008C76E0">
            <w:pPr>
              <w:spacing w:after="0"/>
              <w:ind w:left="159" w:right="222"/>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314DAE8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4522C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2E9ABA"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կիրառման ցուցում բացառելը</w:t>
            </w:r>
          </w:p>
        </w:tc>
        <w:tc>
          <w:tcPr>
            <w:tcW w:w="1883" w:type="dxa"/>
            <w:gridSpan w:val="2"/>
            <w:tcBorders>
              <w:top w:val="single" w:sz="4" w:space="0" w:color="auto"/>
              <w:left w:val="single" w:sz="4" w:space="0" w:color="auto"/>
            </w:tcBorders>
            <w:shd w:val="clear" w:color="auto" w:fill="FFFFFF"/>
          </w:tcPr>
          <w:p w14:paraId="53F2BD3E"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2252CE0A"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DB7194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0A2BA43" w14:textId="77777777" w:rsidTr="004A52D9">
        <w:trPr>
          <w:jc w:val="center"/>
        </w:trPr>
        <w:tc>
          <w:tcPr>
            <w:tcW w:w="2594" w:type="dxa"/>
            <w:gridSpan w:val="2"/>
            <w:tcBorders>
              <w:top w:val="single" w:sz="4" w:space="0" w:color="auto"/>
              <w:left w:val="single" w:sz="4" w:space="0" w:color="auto"/>
            </w:tcBorders>
            <w:shd w:val="clear" w:color="auto" w:fill="FFFFFF"/>
          </w:tcPr>
          <w:p w14:paraId="6F91B83D" w14:textId="77777777" w:rsidR="008C76E0" w:rsidRPr="003B2786" w:rsidRDefault="008C76E0" w:rsidP="008C76E0">
            <w:pPr>
              <w:pStyle w:val="Bodytext180"/>
              <w:shd w:val="clear" w:color="auto" w:fill="auto"/>
              <w:spacing w:before="0" w:after="120" w:line="240" w:lineRule="auto"/>
              <w:ind w:left="174" w:right="6" w:firstLine="0"/>
              <w:jc w:val="both"/>
              <w:rPr>
                <w:rFonts w:ascii="Sylfaen" w:hAnsi="Sylfaen"/>
                <w:sz w:val="24"/>
                <w:szCs w:val="24"/>
              </w:rPr>
            </w:pPr>
            <w:r w:rsidRPr="003B2786">
              <w:rPr>
                <w:rStyle w:val="Bodytext295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4455F4F2" w14:textId="77777777" w:rsidR="008C76E0" w:rsidRPr="003B2786" w:rsidRDefault="008C76E0" w:rsidP="008C76E0">
            <w:pPr>
              <w:widowControl/>
              <w:autoSpaceDE w:val="0"/>
              <w:autoSpaceDN w:val="0"/>
              <w:adjustRightInd w:val="0"/>
              <w:spacing w:after="120"/>
              <w:ind w:left="159" w:right="222"/>
              <w:jc w:val="both"/>
              <w:rPr>
                <w:rFonts w:ascii="Sylfaen" w:hAnsi="Sylfaen"/>
                <w:sz w:val="24"/>
                <w:szCs w:val="24"/>
              </w:rPr>
            </w:pPr>
            <w:r w:rsidRPr="003B2786">
              <w:rPr>
                <w:rFonts w:ascii="Sylfaen" w:hAnsi="Sylfaen"/>
                <w:sz w:val="24"/>
                <w:szCs w:val="24"/>
              </w:rPr>
              <w:t>Եթե կիրառման ցուցում ավելացնելը կամ փոփոխելը տեղի է ունենում փորձագիտական կոմիտեի եզրակացության իրականացման կամ ռեֆերենտ դեղապատրաստուկի մի</w:t>
            </w:r>
            <w:r w:rsidR="00C54D75">
              <w:rPr>
                <w:rFonts w:ascii="Sylfaen" w:hAnsi="Sylfaen"/>
                <w:sz w:val="24"/>
                <w:szCs w:val="24"/>
              </w:rPr>
              <w:t>և</w:t>
            </w:r>
            <w:r w:rsidRPr="003B2786">
              <w:rPr>
                <w:rFonts w:ascii="Sylfaen" w:hAnsi="Sylfaen"/>
                <w:sz w:val="24"/>
                <w:szCs w:val="24"/>
              </w:rPr>
              <w:t>նույն փոփոխության փորձաքննությունից հետո դեղապատրաստուկի մասին տեղեկատվության, վերարտադրված կամ հիբրիդային կամ կենսահամանման դեղապատրաստուկի փոփոխության հետ</w:t>
            </w:r>
            <w:r w:rsidR="00C54D75">
              <w:rPr>
                <w:rFonts w:ascii="Sylfaen" w:hAnsi="Sylfaen"/>
                <w:sz w:val="24"/>
                <w:szCs w:val="24"/>
              </w:rPr>
              <w:t>և</w:t>
            </w:r>
            <w:r w:rsidRPr="003B2786">
              <w:rPr>
                <w:rFonts w:ascii="Sylfaen" w:hAnsi="Sylfaen"/>
                <w:sz w:val="24"/>
                <w:szCs w:val="24"/>
              </w:rPr>
              <w:t xml:space="preserve">անքով, ապա կիրառվում են համապատասխանաբար Գ.I.1 </w:t>
            </w:r>
            <w:r w:rsidR="00C54D75">
              <w:rPr>
                <w:rFonts w:ascii="Sylfaen" w:hAnsi="Sylfaen"/>
                <w:sz w:val="24"/>
                <w:szCs w:val="24"/>
              </w:rPr>
              <w:t>և</w:t>
            </w:r>
            <w:r w:rsidRPr="003B2786">
              <w:rPr>
                <w:rFonts w:ascii="Sylfaen" w:hAnsi="Sylfaen"/>
                <w:sz w:val="24"/>
                <w:szCs w:val="24"/>
              </w:rPr>
              <w:t xml:space="preserve"> Գ.I.2 փոփոխությունները:</w:t>
            </w:r>
          </w:p>
        </w:tc>
      </w:tr>
      <w:tr w:rsidR="008C76E0" w:rsidRPr="003B2786" w14:paraId="42D837CC" w14:textId="77777777" w:rsidTr="004A52D9">
        <w:trPr>
          <w:jc w:val="center"/>
        </w:trPr>
        <w:tc>
          <w:tcPr>
            <w:tcW w:w="4984" w:type="dxa"/>
            <w:gridSpan w:val="4"/>
            <w:tcBorders>
              <w:top w:val="single" w:sz="4" w:space="0" w:color="auto"/>
              <w:left w:val="single" w:sz="4" w:space="0" w:color="auto"/>
            </w:tcBorders>
            <w:shd w:val="clear" w:color="auto" w:fill="FFFFFF"/>
            <w:vAlign w:val="center"/>
          </w:tcPr>
          <w:p w14:paraId="6DD067B7" w14:textId="77777777" w:rsidR="008C76E0" w:rsidRPr="003B2786" w:rsidRDefault="008C76E0" w:rsidP="008C76E0">
            <w:pPr>
              <w:pStyle w:val="Bodytext180"/>
              <w:shd w:val="clear" w:color="auto" w:fill="auto"/>
              <w:tabs>
                <w:tab w:val="left" w:pos="1158"/>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Գ.I.7.</w:t>
            </w:r>
            <w:r w:rsidRPr="003B2786">
              <w:rPr>
                <w:rStyle w:val="Bodytext1811pt"/>
                <w:rFonts w:ascii="Sylfaen" w:hAnsi="Sylfaen"/>
                <w:sz w:val="24"/>
                <w:szCs w:val="24"/>
              </w:rPr>
              <w:tab/>
              <w:t>Բացառություն՝</w:t>
            </w:r>
          </w:p>
        </w:tc>
        <w:tc>
          <w:tcPr>
            <w:tcW w:w="1883" w:type="dxa"/>
            <w:gridSpan w:val="2"/>
            <w:tcBorders>
              <w:top w:val="single" w:sz="4" w:space="0" w:color="auto"/>
              <w:left w:val="single" w:sz="4" w:space="0" w:color="auto"/>
            </w:tcBorders>
            <w:shd w:val="clear" w:color="auto" w:fill="FFFFFF"/>
          </w:tcPr>
          <w:p w14:paraId="6F27CD57"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4FD782B"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6AF7E34F"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189723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E16E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ա)</w:t>
            </w:r>
            <w:r w:rsidRPr="003B2786">
              <w:rPr>
                <w:rStyle w:val="Bodytext1811pt"/>
                <w:rFonts w:ascii="Sylfaen" w:hAnsi="Sylfaen"/>
                <w:sz w:val="24"/>
                <w:szCs w:val="24"/>
              </w:rPr>
              <w:tab/>
              <w:t>դեղաձ</w:t>
            </w:r>
            <w:r w:rsidR="00C54D75">
              <w:rPr>
                <w:rStyle w:val="Bodytext1811pt"/>
                <w:rFonts w:ascii="Sylfaen" w:hAnsi="Sylfaen"/>
                <w:sz w:val="24"/>
                <w:szCs w:val="24"/>
              </w:rPr>
              <w:t>և</w:t>
            </w:r>
            <w:r w:rsidRPr="003B2786">
              <w:rPr>
                <w:rStyle w:val="Bodytext1811pt"/>
                <w:rFonts w:ascii="Sylfaen" w:hAnsi="Sylfaen"/>
                <w:sz w:val="24"/>
                <w:szCs w:val="24"/>
              </w:rPr>
              <w:t>ի</w:t>
            </w:r>
          </w:p>
        </w:tc>
        <w:tc>
          <w:tcPr>
            <w:tcW w:w="1883" w:type="dxa"/>
            <w:gridSpan w:val="2"/>
            <w:tcBorders>
              <w:top w:val="single" w:sz="4" w:space="0" w:color="auto"/>
              <w:left w:val="single" w:sz="4" w:space="0" w:color="auto"/>
            </w:tcBorders>
            <w:shd w:val="clear" w:color="auto" w:fill="FFFFFF"/>
          </w:tcPr>
          <w:p w14:paraId="12623C81"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DB7CD72"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F516B2C"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C0A242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0F086B9"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բ)</w:t>
            </w:r>
            <w:r w:rsidRPr="003B2786">
              <w:rPr>
                <w:rStyle w:val="Bodytext1811pt"/>
                <w:rFonts w:ascii="Sylfaen" w:hAnsi="Sylfaen"/>
                <w:sz w:val="24"/>
                <w:szCs w:val="24"/>
              </w:rPr>
              <w:tab/>
              <w:t>չափաքանակի</w:t>
            </w:r>
          </w:p>
        </w:tc>
        <w:tc>
          <w:tcPr>
            <w:tcW w:w="1883" w:type="dxa"/>
            <w:gridSpan w:val="2"/>
            <w:tcBorders>
              <w:top w:val="single" w:sz="4" w:space="0" w:color="auto"/>
              <w:left w:val="single" w:sz="4" w:space="0" w:color="auto"/>
            </w:tcBorders>
            <w:shd w:val="clear" w:color="auto" w:fill="FFFFFF"/>
          </w:tcPr>
          <w:p w14:paraId="166D24A7"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423CC0B"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1C57B6BD"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2392B80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C192463"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95C381" w14:textId="63473E84"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0056496B">
              <w:rPr>
                <w:rStyle w:val="Bodytext1811pt"/>
                <w:rFonts w:ascii="Sylfaen" w:hAnsi="Sylfaen"/>
                <w:sz w:val="24"/>
                <w:szCs w:val="24"/>
              </w:rPr>
              <w:t>Դիմում</w:t>
            </w:r>
            <w:r w:rsidRPr="003B2786">
              <w:rPr>
                <w:rStyle w:val="Bodytext1811pt"/>
                <w:rFonts w:ascii="Sylfaen" w:hAnsi="Sylfaen"/>
                <w:sz w:val="24"/>
                <w:szCs w:val="24"/>
              </w:rPr>
              <w:t>արարագիր այն մասին, որ բացթողման մնացած ձ</w:t>
            </w:r>
            <w:r w:rsidR="00C54D75">
              <w:rPr>
                <w:rStyle w:val="Bodytext1811pt"/>
                <w:rFonts w:ascii="Sylfaen" w:hAnsi="Sylfaen"/>
                <w:sz w:val="24"/>
                <w:szCs w:val="24"/>
              </w:rPr>
              <w:t>և</w:t>
            </w:r>
            <w:r w:rsidRPr="003B2786">
              <w:rPr>
                <w:rStyle w:val="Bodytext1811pt"/>
                <w:rFonts w:ascii="Sylfaen" w:hAnsi="Sylfaen"/>
                <w:sz w:val="24"/>
                <w:szCs w:val="24"/>
              </w:rPr>
              <w:t>ը (ձ</w:t>
            </w:r>
            <w:r w:rsidR="00C54D75">
              <w:rPr>
                <w:rStyle w:val="Bodytext1811pt"/>
                <w:rFonts w:ascii="Sylfaen" w:hAnsi="Sylfaen"/>
                <w:sz w:val="24"/>
                <w:szCs w:val="24"/>
              </w:rPr>
              <w:t>և</w:t>
            </w:r>
            <w:r w:rsidRPr="003B2786">
              <w:rPr>
                <w:rStyle w:val="Bodytext1811pt"/>
                <w:rFonts w:ascii="Sylfaen" w:hAnsi="Sylfaen"/>
                <w:sz w:val="24"/>
                <w:szCs w:val="24"/>
              </w:rPr>
              <w:t xml:space="preserve">երը) բավարար է (են) դեղապատրաստուկի ընդհանուր բնութագրում նկարագրված դոզավորման </w:t>
            </w:r>
            <w:r w:rsidR="00C54D75">
              <w:rPr>
                <w:rStyle w:val="Bodytext1811pt"/>
                <w:rFonts w:ascii="Sylfaen" w:hAnsi="Sylfaen"/>
                <w:sz w:val="24"/>
                <w:szCs w:val="24"/>
              </w:rPr>
              <w:t>և</w:t>
            </w:r>
            <w:r w:rsidRPr="003B2786">
              <w:rPr>
                <w:rStyle w:val="Bodytext1811pt"/>
                <w:rFonts w:ascii="Sylfaen" w:hAnsi="Sylfaen"/>
                <w:sz w:val="24"/>
                <w:szCs w:val="24"/>
              </w:rPr>
              <w:t xml:space="preserve"> բուժման տ</w:t>
            </w:r>
            <w:r w:rsidR="00C54D75">
              <w:rPr>
                <w:rStyle w:val="Bodytext1811pt"/>
                <w:rFonts w:ascii="Sylfaen" w:hAnsi="Sylfaen"/>
                <w:sz w:val="24"/>
                <w:szCs w:val="24"/>
              </w:rPr>
              <w:t>և</w:t>
            </w:r>
            <w:r w:rsidRPr="003B2786">
              <w:rPr>
                <w:rStyle w:val="Bodytext1811pt"/>
                <w:rFonts w:ascii="Sylfaen" w:hAnsi="Sylfaen"/>
                <w:sz w:val="24"/>
                <w:szCs w:val="24"/>
              </w:rPr>
              <w:t>ողության վերաբերյալ առաջարկությունների կատարման համար:</w:t>
            </w:r>
          </w:p>
          <w:p w14:paraId="4B7A0806" w14:textId="77777777" w:rsidR="008C76E0" w:rsidRPr="003B2786"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5387718" w14:textId="77777777" w:rsidTr="004A52D9">
        <w:trPr>
          <w:jc w:val="center"/>
        </w:trPr>
        <w:tc>
          <w:tcPr>
            <w:tcW w:w="2594" w:type="dxa"/>
            <w:gridSpan w:val="2"/>
            <w:tcBorders>
              <w:top w:val="single" w:sz="4" w:space="0" w:color="auto"/>
              <w:left w:val="single" w:sz="4" w:space="0" w:color="auto"/>
            </w:tcBorders>
            <w:shd w:val="clear" w:color="auto" w:fill="FFFFFF"/>
          </w:tcPr>
          <w:p w14:paraId="4EABBDD0" w14:textId="77777777" w:rsidR="008C76E0" w:rsidRPr="003B2786" w:rsidRDefault="008C76E0" w:rsidP="008C76E0">
            <w:pPr>
              <w:pStyle w:val="Bodytext180"/>
              <w:shd w:val="clear" w:color="auto" w:fill="auto"/>
              <w:spacing w:before="0" w:after="120" w:line="240" w:lineRule="auto"/>
              <w:ind w:left="159" w:right="6" w:firstLine="0"/>
              <w:jc w:val="both"/>
              <w:rPr>
                <w:rFonts w:ascii="Sylfaen" w:hAnsi="Sylfaen"/>
                <w:sz w:val="24"/>
                <w:szCs w:val="24"/>
              </w:rPr>
            </w:pPr>
            <w:r w:rsidRPr="003B2786">
              <w:rPr>
                <w:rStyle w:val="Bodytext295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D9DAE6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Եթե դիտարկվող դեղաձ</w:t>
            </w:r>
            <w:r w:rsidR="00C54D75">
              <w:rPr>
                <w:rStyle w:val="Bodytext1811pt"/>
                <w:rFonts w:ascii="Sylfaen" w:hAnsi="Sylfaen"/>
                <w:sz w:val="24"/>
                <w:szCs w:val="24"/>
              </w:rPr>
              <w:t>և</w:t>
            </w:r>
            <w:r w:rsidRPr="003B2786">
              <w:rPr>
                <w:rStyle w:val="Bodytext1811pt"/>
                <w:rFonts w:ascii="Sylfaen" w:hAnsi="Sylfaen"/>
                <w:sz w:val="24"/>
                <w:szCs w:val="24"/>
              </w:rPr>
              <w:t>ը կամ չափաքանակը գրանցվել է առանձին դեղապատրաստուկի տեսքով, ապա այդպիսի դեղաձ</w:t>
            </w:r>
            <w:r w:rsidR="00C54D75">
              <w:rPr>
                <w:rStyle w:val="Bodytext1811pt"/>
                <w:rFonts w:ascii="Sylfaen" w:hAnsi="Sylfaen"/>
                <w:sz w:val="24"/>
                <w:szCs w:val="24"/>
              </w:rPr>
              <w:t>և</w:t>
            </w:r>
            <w:r w:rsidRPr="003B2786">
              <w:rPr>
                <w:rStyle w:val="Bodytext1811pt"/>
                <w:rFonts w:ascii="Sylfaen" w:hAnsi="Sylfaen"/>
                <w:sz w:val="24"/>
                <w:szCs w:val="24"/>
              </w:rPr>
              <w:t>ի կամ չափաքանակի բացառելը կհամարվի ոչ թե փոփոխությունների կատարում, այլ շրջանառությունից հանում:</w:t>
            </w:r>
          </w:p>
        </w:tc>
      </w:tr>
      <w:tr w:rsidR="008C76E0" w:rsidRPr="003B2786" w14:paraId="6D72A03F" w14:textId="77777777" w:rsidTr="004A52D9">
        <w:trPr>
          <w:jc w:val="center"/>
        </w:trPr>
        <w:tc>
          <w:tcPr>
            <w:tcW w:w="4984" w:type="dxa"/>
            <w:gridSpan w:val="4"/>
            <w:tcBorders>
              <w:top w:val="single" w:sz="4" w:space="0" w:color="auto"/>
              <w:left w:val="single" w:sz="4" w:space="0" w:color="auto"/>
            </w:tcBorders>
            <w:shd w:val="clear" w:color="auto" w:fill="FFFFFF"/>
          </w:tcPr>
          <w:p w14:paraId="323D86BF"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Գ.I.8.</w:t>
            </w:r>
            <w:r w:rsidRPr="003B2786">
              <w:rPr>
                <w:rStyle w:val="Bodytext1811pt"/>
                <w:rFonts w:ascii="Sylfaen" w:hAnsi="Sylfaen"/>
                <w:sz w:val="24"/>
                <w:szCs w:val="24"/>
              </w:rPr>
              <w:tab/>
              <w:t>Բժշկական կիրառման համար նախատեսված դեղապատրաստուկի դեղազգոնության համակարգի ռեզյումե ներմուծելը կամ փոփոխելը (*)</w:t>
            </w:r>
          </w:p>
        </w:tc>
        <w:tc>
          <w:tcPr>
            <w:tcW w:w="1883" w:type="dxa"/>
            <w:gridSpan w:val="2"/>
            <w:tcBorders>
              <w:top w:val="single" w:sz="4" w:space="0" w:color="auto"/>
              <w:left w:val="single" w:sz="4" w:space="0" w:color="auto"/>
            </w:tcBorders>
            <w:shd w:val="clear" w:color="auto" w:fill="FFFFFF"/>
          </w:tcPr>
          <w:p w14:paraId="7D671B9C"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79B21C9"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56C0E7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801E0B5"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17A8E9D"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համակարգի ռեզյումե, դեղազգոնության հարցերով որակավորված անձի վերաբերյալ փոփոխություններ (ներառյալ՝ կոնտակտային տեղեկատվությունը) ներմուծելը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համակարգի մաստեր-ֆայլի (ԴՀՄՖ) տեղակայման վայրի փոփոխումը</w:t>
            </w:r>
          </w:p>
        </w:tc>
        <w:tc>
          <w:tcPr>
            <w:tcW w:w="1883" w:type="dxa"/>
            <w:gridSpan w:val="2"/>
            <w:tcBorders>
              <w:top w:val="single" w:sz="4" w:space="0" w:color="auto"/>
              <w:left w:val="single" w:sz="4" w:space="0" w:color="auto"/>
              <w:bottom w:val="single" w:sz="4" w:space="0" w:color="auto"/>
            </w:tcBorders>
            <w:shd w:val="clear" w:color="auto" w:fill="FFFFFF"/>
          </w:tcPr>
          <w:p w14:paraId="35BE1572"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58498C48" w14:textId="77777777" w:rsidR="008C76E0" w:rsidRPr="003B2786" w:rsidRDefault="008C76E0" w:rsidP="008C76E0">
            <w:pPr>
              <w:tabs>
                <w:tab w:val="left" w:pos="539"/>
              </w:tabs>
              <w:spacing w:after="0"/>
              <w:ind w:left="159" w:right="221"/>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18978624" w14:textId="77777777" w:rsidR="008C76E0" w:rsidRPr="003B2786" w:rsidRDefault="008C76E0" w:rsidP="008C76E0">
            <w:pPr>
              <w:pStyle w:val="Bodytext180"/>
              <w:shd w:val="clear" w:color="auto" w:fill="auto"/>
              <w:tabs>
                <w:tab w:val="left" w:pos="53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66B3BB2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4B163A1F"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EC0A435"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համակարգի ռեզյումեն կամ (համապատասխանաբար) նշանակալի տարրերի թարմացումը.</w:t>
            </w:r>
          </w:p>
          <w:p w14:paraId="2F686324" w14:textId="1134D71F"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Հաստատումն այն մասին, որ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ն իր տնօրինության տակ ունի դեղազգոնության համար պատասխանատու որակավորված անձ, </w:t>
            </w:r>
            <w:r w:rsidR="00C54D75">
              <w:rPr>
                <w:rStyle w:val="Bodytext1811pt"/>
                <w:rFonts w:ascii="Sylfaen" w:hAnsi="Sylfaen"/>
                <w:sz w:val="24"/>
                <w:szCs w:val="24"/>
              </w:rPr>
              <w:t>և</w:t>
            </w:r>
            <w:r w:rsidRPr="003B2786">
              <w:rPr>
                <w:rStyle w:val="Bodytext1811pt"/>
                <w:rFonts w:ascii="Sylfaen" w:hAnsi="Sylfaen"/>
                <w:sz w:val="24"/>
                <w:szCs w:val="24"/>
              </w:rPr>
              <w:t xml:space="preserve"> </w:t>
            </w:r>
            <w:r w:rsidR="0056496B">
              <w:rPr>
                <w:rStyle w:val="Bodytext1811pt"/>
                <w:rFonts w:ascii="Sylfaen" w:hAnsi="Sylfaen"/>
                <w:sz w:val="24"/>
                <w:szCs w:val="24"/>
              </w:rPr>
              <w:t>դիմումատու</w:t>
            </w:r>
            <w:r w:rsidRPr="003B2786">
              <w:rPr>
                <w:rStyle w:val="Bodytext1811pt"/>
                <w:rFonts w:ascii="Sylfaen" w:hAnsi="Sylfaen"/>
                <w:sz w:val="24"/>
                <w:szCs w:val="24"/>
              </w:rPr>
              <w:t xml:space="preserve">ի կողմից ստորագրված հաստատումն այն բանի, որ </w:t>
            </w:r>
            <w:r w:rsidR="0056496B">
              <w:rPr>
                <w:rStyle w:val="Bodytext1811pt"/>
                <w:rFonts w:ascii="Sylfaen" w:hAnsi="Sylfaen"/>
                <w:sz w:val="24"/>
                <w:szCs w:val="24"/>
              </w:rPr>
              <w:t>դիմումատու</w:t>
            </w:r>
            <w:r w:rsidRPr="003B2786">
              <w:rPr>
                <w:rStyle w:val="Bodytext1811pt"/>
                <w:rFonts w:ascii="Sylfaen" w:hAnsi="Sylfaen"/>
                <w:sz w:val="24"/>
                <w:szCs w:val="24"/>
              </w:rPr>
              <w:t>ն տիրապետում է անհրաժեշտ միջոցների՝ կատարելու Միության դեղազգոնության պատշաճ գործելակերպի կանոնների մեջ թվարկված խնդիրներն ու պարտականությունները:</w:t>
            </w:r>
          </w:p>
          <w:p w14:paraId="52B02668" w14:textId="77777777" w:rsidR="008C76E0" w:rsidRPr="008C76E0" w:rsidRDefault="008C76E0" w:rsidP="004A52D9">
            <w:pPr>
              <w:pStyle w:val="Bodytext180"/>
              <w:shd w:val="clear" w:color="auto" w:fill="auto"/>
              <w:tabs>
                <w:tab w:val="left" w:pos="539"/>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 xml:space="preserve">Կոնտակտային տեղեկատվություն այն անդամ պետությունում դեղազգոնության հարցերով որակավորված անձի մասին, որտեղ տեղակայված է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կատարում է իր առաջադրանքները:</w:t>
            </w:r>
          </w:p>
          <w:p w14:paraId="4ABE44D0" w14:textId="77777777" w:rsidR="008C76E0" w:rsidRPr="008C76E0" w:rsidRDefault="008C76E0"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w:t>
            </w:r>
            <w:r w:rsidRPr="008C76E0">
              <w:rPr>
                <w:rFonts w:ascii="Sylfaen" w:hAnsi="Sylfaen"/>
                <w:b w:val="0"/>
                <w:sz w:val="24"/>
                <w:szCs w:val="24"/>
                <w:lang w:val="hy-AM"/>
              </w:rPr>
              <w:tab/>
            </w:r>
            <w:r w:rsidRPr="003B2786">
              <w:rPr>
                <w:rStyle w:val="Bodytext1811pt"/>
                <w:rFonts w:ascii="Sylfaen" w:hAnsi="Sylfaen"/>
                <w:sz w:val="24"/>
                <w:szCs w:val="24"/>
              </w:rPr>
              <w:t>ԴՀՄՖ-ի տեղակայման վայրը:</w:t>
            </w:r>
          </w:p>
          <w:p w14:paraId="0062C206" w14:textId="77777777" w:rsidR="008C76E0" w:rsidRPr="00E74ADC" w:rsidRDefault="008C76E0" w:rsidP="008C76E0">
            <w:pPr>
              <w:pStyle w:val="Bodytext180"/>
              <w:shd w:val="clear" w:color="auto" w:fill="auto"/>
              <w:tabs>
                <w:tab w:val="left" w:pos="539"/>
              </w:tabs>
              <w:spacing w:before="0" w:line="240" w:lineRule="auto"/>
              <w:ind w:left="159" w:right="221" w:firstLine="0"/>
              <w:jc w:val="both"/>
              <w:rPr>
                <w:rStyle w:val="Bodytext1811pt"/>
                <w:rFonts w:ascii="Sylfaen" w:hAnsi="Sylfaen"/>
                <w:sz w:val="24"/>
                <w:szCs w:val="24"/>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ԴՀՄՖ-ի համարը (առկայության դեպքում):</w:t>
            </w:r>
          </w:p>
          <w:p w14:paraId="67BA0737" w14:textId="77777777" w:rsidR="004A52D9" w:rsidRPr="00E74ADC" w:rsidRDefault="004A52D9" w:rsidP="008C76E0">
            <w:pPr>
              <w:pStyle w:val="Bodytext180"/>
              <w:shd w:val="clear" w:color="auto" w:fill="auto"/>
              <w:tabs>
                <w:tab w:val="left" w:pos="539"/>
              </w:tabs>
              <w:spacing w:before="0" w:line="240" w:lineRule="auto"/>
              <w:ind w:left="159" w:right="221" w:firstLine="0"/>
              <w:jc w:val="both"/>
              <w:rPr>
                <w:rFonts w:ascii="Sylfaen" w:hAnsi="Sylfaen"/>
                <w:b w:val="0"/>
                <w:sz w:val="24"/>
                <w:szCs w:val="24"/>
                <w:lang w:val="hy-AM"/>
              </w:rPr>
            </w:pPr>
          </w:p>
        </w:tc>
      </w:tr>
      <w:tr w:rsidR="008C76E0" w:rsidRPr="003B2786" w14:paraId="162C4C00" w14:textId="77777777" w:rsidTr="004A52D9">
        <w:trPr>
          <w:jc w:val="center"/>
        </w:trPr>
        <w:tc>
          <w:tcPr>
            <w:tcW w:w="2594" w:type="dxa"/>
            <w:gridSpan w:val="2"/>
            <w:tcBorders>
              <w:top w:val="single" w:sz="4" w:space="0" w:color="auto"/>
              <w:left w:val="single" w:sz="4" w:space="0" w:color="auto"/>
            </w:tcBorders>
            <w:shd w:val="clear" w:color="auto" w:fill="FFFFFF"/>
          </w:tcPr>
          <w:p w14:paraId="18206852"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2E4EC365"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ԴՀՄՖ ներմուծումը՝ անկախ գրանցման դոսյեի տեխնիկական մասում դեղազգոնության համակարգի մանրամասն նկարագրության առկայությունից:</w:t>
            </w:r>
          </w:p>
          <w:p w14:paraId="1EAAB69C" w14:textId="77777777" w:rsidR="008C76E0" w:rsidRPr="003B2786" w:rsidRDefault="008C76E0" w:rsidP="008C76E0">
            <w:pPr>
              <w:pStyle w:val="Bodytext180"/>
              <w:shd w:val="clear" w:color="auto" w:fill="auto"/>
              <w:spacing w:before="0" w:after="120" w:line="288"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կոնտակտային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ԴՀՄՖ-ի տեղակայման վայրի փոփոխությունները (փողոցը, քաղաքը, ինդեքսը, երկիրը) թույլատրվում է թարմացնել բացառապես միասնական ռեեստրի </w:t>
            </w:r>
            <w:r w:rsidRPr="003B2786">
              <w:rPr>
                <w:rStyle w:val="Bodytext1811pt"/>
                <w:rFonts w:ascii="Sylfaen" w:hAnsi="Sylfaen"/>
                <w:sz w:val="24"/>
                <w:szCs w:val="24"/>
              </w:rPr>
              <w:lastRenderedPageBreak/>
              <w:t>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նա պետք է գրանցման դոսյեում նշի, որ այդ տվյալների թարմացված տեղեկատվությունը ներառված է միասնական ռեեստրում:</w:t>
            </w:r>
          </w:p>
        </w:tc>
      </w:tr>
      <w:tr w:rsidR="008C76E0" w:rsidRPr="003B2786" w14:paraId="26BE74E9"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C6C60DC" w14:textId="77777777" w:rsidR="008C76E0" w:rsidRPr="008C76E0" w:rsidRDefault="008C76E0" w:rsidP="008C76E0">
            <w:pPr>
              <w:pStyle w:val="Bodytext180"/>
              <w:shd w:val="clear" w:color="auto" w:fill="auto"/>
              <w:tabs>
                <w:tab w:val="left" w:pos="112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Գ.I.9</w:t>
            </w:r>
            <w:r w:rsidRPr="003B2786">
              <w:rPr>
                <w:rStyle w:val="Bodytext1811pt"/>
                <w:rFonts w:ascii="Sylfaen" w:hAnsi="Sylfaen"/>
                <w:sz w:val="24"/>
                <w:szCs w:val="24"/>
              </w:rPr>
              <w:tab/>
              <w:t>Դեղազգոնության գոյություն ունեցող համակարգի փոփոխությունը՝ համաձայն դեղազգոնության համակարգի մանրամասն նկարագրության (ԴՀՄՆ)</w:t>
            </w:r>
          </w:p>
        </w:tc>
        <w:tc>
          <w:tcPr>
            <w:tcW w:w="1883" w:type="dxa"/>
            <w:gridSpan w:val="2"/>
            <w:tcBorders>
              <w:top w:val="single" w:sz="4" w:space="0" w:color="auto"/>
              <w:left w:val="single" w:sz="4" w:space="0" w:color="auto"/>
            </w:tcBorders>
            <w:shd w:val="clear" w:color="auto" w:fill="FFFFFF"/>
          </w:tcPr>
          <w:p w14:paraId="24CCAEFE"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B61FC4C"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18C806"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B674B6F"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397C33E"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դեղազգոնության հարցերով որակավորված անձի </w:t>
            </w:r>
            <w:r w:rsidR="00C54D75">
              <w:rPr>
                <w:rStyle w:val="Bodytext1811pt"/>
                <w:rFonts w:ascii="Sylfaen" w:hAnsi="Sylfaen"/>
                <w:sz w:val="24"/>
                <w:szCs w:val="24"/>
              </w:rPr>
              <w:t>և</w:t>
            </w:r>
            <w:r w:rsidRPr="003B2786">
              <w:rPr>
                <w:rStyle w:val="Bodytext1811pt"/>
                <w:rFonts w:ascii="Sylfaen" w:hAnsi="Sylfaen"/>
                <w:sz w:val="24"/>
                <w:szCs w:val="24"/>
              </w:rPr>
              <w:t xml:space="preserve"> (կամ) կոնտակտային տեղեկատվության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պահուստավորման ընթացակարգի փոփոխությունը</w:t>
            </w:r>
          </w:p>
        </w:tc>
        <w:tc>
          <w:tcPr>
            <w:tcW w:w="1883" w:type="dxa"/>
            <w:gridSpan w:val="2"/>
            <w:tcBorders>
              <w:top w:val="single" w:sz="4" w:space="0" w:color="auto"/>
              <w:left w:val="single" w:sz="4" w:space="0" w:color="auto"/>
            </w:tcBorders>
            <w:shd w:val="clear" w:color="auto" w:fill="FFFFFF"/>
          </w:tcPr>
          <w:p w14:paraId="202A0EFF"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88E0EA7"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4CD4D11E"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75002DD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4C5AB80"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անվտանգության տվյալների բազայի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հիմնական պայմանագրային համաձայնագրերի փոփոխությունը՝ դեղազգոնության մասով պարտավորությունների կատարման նպատակով,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մասով գործունեության անցկացման վայրի փոփոխությունը</w:t>
            </w:r>
          </w:p>
        </w:tc>
        <w:tc>
          <w:tcPr>
            <w:tcW w:w="1883" w:type="dxa"/>
            <w:gridSpan w:val="2"/>
            <w:tcBorders>
              <w:top w:val="single" w:sz="4" w:space="0" w:color="auto"/>
              <w:left w:val="single" w:sz="4" w:space="0" w:color="auto"/>
            </w:tcBorders>
            <w:shd w:val="clear" w:color="auto" w:fill="FFFFFF"/>
          </w:tcPr>
          <w:p w14:paraId="0E5146F6"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984" w:type="dxa"/>
            <w:gridSpan w:val="2"/>
            <w:tcBorders>
              <w:top w:val="single" w:sz="4" w:space="0" w:color="auto"/>
              <w:left w:val="single" w:sz="4" w:space="0" w:color="auto"/>
            </w:tcBorders>
            <w:shd w:val="clear" w:color="auto" w:fill="FFFFFF"/>
          </w:tcPr>
          <w:p w14:paraId="5F1C0FB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293390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4AF4090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2EC7372" w14:textId="77777777" w:rsidR="008C76E0" w:rsidRPr="008C76E0" w:rsidRDefault="008C76E0" w:rsidP="004A52D9">
            <w:pPr>
              <w:pStyle w:val="Bodytext180"/>
              <w:shd w:val="clear" w:color="auto" w:fill="auto"/>
              <w:tabs>
                <w:tab w:val="left" w:pos="572"/>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գ)</w:t>
            </w:r>
            <w:r w:rsidRPr="003B2786">
              <w:rPr>
                <w:rStyle w:val="Bodytext1811pt"/>
                <w:rFonts w:ascii="Sylfaen" w:hAnsi="Sylfaen"/>
                <w:sz w:val="24"/>
                <w:szCs w:val="24"/>
              </w:rPr>
              <w:tab/>
              <w:t>ԴՀՄՆ-ի այլ փոփոխություններ, որոնք չեն ազդում դեղազգոնության համակարգի գործառման վրա (օրինակ՝ գլխավոր պահոցի (արխիվի) գտնվելու վայրի փոփոխությունը, վարչական փոփոխությունները)</w:t>
            </w:r>
          </w:p>
        </w:tc>
        <w:tc>
          <w:tcPr>
            <w:tcW w:w="1883" w:type="dxa"/>
            <w:gridSpan w:val="2"/>
            <w:tcBorders>
              <w:top w:val="single" w:sz="4" w:space="0" w:color="auto"/>
              <w:left w:val="single" w:sz="4" w:space="0" w:color="auto"/>
            </w:tcBorders>
            <w:shd w:val="clear" w:color="auto" w:fill="FFFFFF"/>
          </w:tcPr>
          <w:p w14:paraId="64158F23"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A2130C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659B7FB"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p>
        </w:tc>
      </w:tr>
      <w:tr w:rsidR="008C76E0" w:rsidRPr="003B2786" w14:paraId="3FA5A8D6"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0F0B1A27"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w:t>
            </w:r>
            <w:r w:rsidRPr="003B2786">
              <w:rPr>
                <w:rStyle w:val="Bodytext1811pt"/>
                <w:rFonts w:ascii="Sylfaen" w:hAnsi="Sylfaen"/>
                <w:sz w:val="24"/>
                <w:szCs w:val="24"/>
              </w:rPr>
              <w:tab/>
              <w:t>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դեղապատրաստուկի՝ ԴՀՄՆ-ի մասով փորձաքննության արդյունքներով ԴՀՄՆ-ում փոփոխություններ կատարելը</w:t>
            </w:r>
          </w:p>
        </w:tc>
        <w:tc>
          <w:tcPr>
            <w:tcW w:w="1883" w:type="dxa"/>
            <w:gridSpan w:val="2"/>
            <w:tcBorders>
              <w:top w:val="single" w:sz="4" w:space="0" w:color="auto"/>
              <w:left w:val="single" w:sz="4" w:space="0" w:color="auto"/>
              <w:bottom w:val="single" w:sz="4" w:space="0" w:color="auto"/>
            </w:tcBorders>
            <w:shd w:val="clear" w:color="auto" w:fill="FFFFFF"/>
          </w:tcPr>
          <w:p w14:paraId="37F6FE05"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4</w:t>
            </w:r>
          </w:p>
        </w:tc>
        <w:tc>
          <w:tcPr>
            <w:tcW w:w="1984" w:type="dxa"/>
            <w:gridSpan w:val="2"/>
            <w:tcBorders>
              <w:top w:val="single" w:sz="4" w:space="0" w:color="auto"/>
              <w:left w:val="single" w:sz="4" w:space="0" w:color="auto"/>
              <w:bottom w:val="single" w:sz="4" w:space="0" w:color="auto"/>
            </w:tcBorders>
            <w:shd w:val="clear" w:color="auto" w:fill="FFFFFF"/>
          </w:tcPr>
          <w:p w14:paraId="197BD3F8"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E7F95E1"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3A77047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14AFA40"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446F414A"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Դեղազգոնության համակարգն ինքնին չի փոփոխվում:</w:t>
            </w:r>
          </w:p>
          <w:p w14:paraId="7B289E21"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Տվյալների բազայի համակարգը վալիդացվել է (եթե կիրառելի է):</w:t>
            </w:r>
          </w:p>
          <w:p w14:paraId="6047478E"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Տվյալների տեղափոխումը տվյալների բազաների այլ համակարգերից վալիդացված է (եթե </w:t>
            </w:r>
            <w:r w:rsidRPr="003B2786">
              <w:rPr>
                <w:rStyle w:val="Bodytext1811pt"/>
                <w:rFonts w:ascii="Sylfaen" w:hAnsi="Sylfaen"/>
                <w:sz w:val="24"/>
                <w:szCs w:val="24"/>
              </w:rPr>
              <w:lastRenderedPageBreak/>
              <w:t>կիրառելի է):</w:t>
            </w:r>
          </w:p>
          <w:p w14:paraId="2990FE42" w14:textId="77777777" w:rsidR="008C76E0" w:rsidRPr="008C76E0" w:rsidRDefault="008C76E0" w:rsidP="008C76E0">
            <w:pPr>
              <w:pStyle w:val="Bodytext180"/>
              <w:shd w:val="clear" w:color="auto" w:fill="auto"/>
              <w:tabs>
                <w:tab w:val="left" w:pos="572"/>
              </w:tabs>
              <w:spacing w:before="0" w:after="6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ԴՀՄՆ-ում նույն փոփոխությունները կատարվել են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բոլոր դեղապատրաստուկների համար (ԴՀՄՆ-ի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վերջնական տարբերակը): </w:t>
            </w:r>
          </w:p>
        </w:tc>
      </w:tr>
      <w:tr w:rsidR="008C76E0" w:rsidRPr="003B2786" w14:paraId="1C70CB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2F41970"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Փաստաթղթերը</w:t>
            </w:r>
          </w:p>
          <w:p w14:paraId="698091FC"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ԴՀՄՆ-ի վերջին տարբերակը </w:t>
            </w:r>
            <w:r w:rsidR="00C54D75">
              <w:rPr>
                <w:rStyle w:val="Bodytext1811pt"/>
                <w:rFonts w:ascii="Sylfaen" w:hAnsi="Sylfaen"/>
                <w:sz w:val="24"/>
                <w:szCs w:val="24"/>
              </w:rPr>
              <w:t>և</w:t>
            </w:r>
            <w:r w:rsidRPr="003B2786">
              <w:rPr>
                <w:rStyle w:val="Bodytext1811pt"/>
                <w:rFonts w:ascii="Sylfaen" w:hAnsi="Sylfaen"/>
                <w:sz w:val="24"/>
                <w:szCs w:val="24"/>
              </w:rPr>
              <w:t xml:space="preserve">, եթե կիրառելի է, պատրաստուկի մասնահատուկ լրացման վերջին տարբերակը: Դեղազգոնության հարցերով որակավորված անձի փոփոխության առնչությամբ դրանք պետք է ներառեն՝ ա) դեղազգոնության հարցերով նոր որակավորված անձի հակիրճ կենսագրությունը, բ) անցանկալի ռեակցիաների մասին ծանուցման իրենց ունակության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եղանակների վերաբերյալ իրավատիրոջ </w:t>
            </w:r>
            <w:r w:rsidR="00C54D75">
              <w:rPr>
                <w:rStyle w:val="Bodytext1811pt"/>
                <w:rFonts w:ascii="Sylfaen" w:hAnsi="Sylfaen"/>
                <w:sz w:val="24"/>
                <w:szCs w:val="24"/>
              </w:rPr>
              <w:t>և</w:t>
            </w:r>
            <w:r w:rsidRPr="003B2786">
              <w:rPr>
                <w:rStyle w:val="Bodytext1811pt"/>
                <w:rFonts w:ascii="Sylfaen" w:hAnsi="Sylfaen"/>
                <w:sz w:val="24"/>
                <w:szCs w:val="24"/>
              </w:rPr>
              <w:t xml:space="preserve"> դեղազգոնության հարցերով որակավորված անձի նոր դրույթը, որը ստորագրվել է  դեղազգոնության հարցերով որակավորված նոր անձի </w:t>
            </w:r>
            <w:r w:rsidR="00C54D75">
              <w:rPr>
                <w:rStyle w:val="Bodytext1811pt"/>
                <w:rFonts w:ascii="Sylfaen" w:hAnsi="Sylfaen"/>
                <w:sz w:val="24"/>
                <w:szCs w:val="24"/>
              </w:rPr>
              <w:t>և</w:t>
            </w:r>
            <w:r w:rsidRPr="003B2786">
              <w:rPr>
                <w:rStyle w:val="Bodytext1811pt"/>
                <w:rFonts w:ascii="Sylfaen" w:hAnsi="Sylfaen"/>
                <w:sz w:val="24"/>
                <w:szCs w:val="24"/>
              </w:rPr>
              <w:t xml:space="preserve"> իրավատիրոջ կողմից </w:t>
            </w:r>
            <w:r w:rsidR="00C54D75">
              <w:rPr>
                <w:rStyle w:val="Bodytext1811pt"/>
                <w:rFonts w:ascii="Sylfaen" w:hAnsi="Sylfaen"/>
                <w:sz w:val="24"/>
                <w:szCs w:val="24"/>
              </w:rPr>
              <w:t>և</w:t>
            </w:r>
            <w:r w:rsidRPr="003B2786">
              <w:rPr>
                <w:rStyle w:val="Bodytext1811pt"/>
                <w:rFonts w:ascii="Sylfaen" w:hAnsi="Sylfaen"/>
                <w:sz w:val="24"/>
                <w:szCs w:val="24"/>
              </w:rPr>
              <w:t xml:space="preserve"> արտացոլում է դրանից բխող մնացած փոփոխությունները, օրինակ՝ կազմակերպական սխեմայում:</w:t>
            </w:r>
          </w:p>
          <w:p w14:paraId="046D6883"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 xml:space="preserve">Եթե դեղազգոնության հարցերով որակավորված անձը </w:t>
            </w:r>
            <w:r w:rsidR="00C54D75">
              <w:rPr>
                <w:rStyle w:val="Bodytext1811pt"/>
                <w:rFonts w:ascii="Sylfaen" w:hAnsi="Sylfaen"/>
                <w:sz w:val="24"/>
                <w:szCs w:val="24"/>
              </w:rPr>
              <w:t>և</w:t>
            </w:r>
            <w:r w:rsidRPr="003B2786">
              <w:rPr>
                <w:rStyle w:val="Bodytext1811pt"/>
                <w:rFonts w:ascii="Sylfaen" w:hAnsi="Sylfaen"/>
                <w:sz w:val="24"/>
                <w:szCs w:val="24"/>
              </w:rPr>
              <w:t xml:space="preserve"> (կամ) դեղազգոնության հարցերով որակավորված անձի մասին կոնտակտային տեղեկատվությունն ի սկզբանե ներառված չեն եղել ԴՀՄՆ-ում, կամ ԴՀՄՆ-ն առկա չէ, ապա չի պահանջվում ներկայացնել վերանայված ԴՀՄՆ-ն, այլ անհրաժեշտ է ներկայացնել միայն դիմումի ձ</w:t>
            </w:r>
            <w:r w:rsidR="00C54D75">
              <w:rPr>
                <w:rStyle w:val="Bodytext1811pt"/>
                <w:rFonts w:ascii="Sylfaen" w:hAnsi="Sylfaen"/>
                <w:sz w:val="24"/>
                <w:szCs w:val="24"/>
              </w:rPr>
              <w:t>և</w:t>
            </w:r>
            <w:r w:rsidRPr="003B2786">
              <w:rPr>
                <w:rStyle w:val="Bodytext1811pt"/>
                <w:rFonts w:ascii="Sylfaen" w:hAnsi="Sylfaen"/>
                <w:sz w:val="24"/>
                <w:szCs w:val="24"/>
              </w:rPr>
              <w:t>ը:</w:t>
            </w:r>
          </w:p>
          <w:p w14:paraId="744F2CA6"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Հղում դիմումին (ընթացակարգին) </w:t>
            </w:r>
            <w:r w:rsidR="00C54D75">
              <w:rPr>
                <w:rStyle w:val="Bodytext1811pt"/>
                <w:rFonts w:ascii="Sylfaen" w:hAnsi="Sylfaen"/>
                <w:sz w:val="24"/>
                <w:szCs w:val="24"/>
              </w:rPr>
              <w:t>և</w:t>
            </w:r>
            <w:r w:rsidRPr="003B2786">
              <w:rPr>
                <w:rStyle w:val="Bodytext1811pt"/>
                <w:rFonts w:ascii="Sylfaen" w:hAnsi="Sylfaen"/>
                <w:sz w:val="24"/>
                <w:szCs w:val="24"/>
              </w:rPr>
              <w:t xml:space="preserve"> այն դեղապատրաստուկին, որի առնչությամբ փոփոխությունները հավանության են արժանացել:</w:t>
            </w:r>
          </w:p>
        </w:tc>
      </w:tr>
      <w:tr w:rsidR="008C76E0" w:rsidRPr="003B2786" w14:paraId="6B78B11B" w14:textId="77777777" w:rsidTr="004A52D9">
        <w:trPr>
          <w:jc w:val="center"/>
        </w:trPr>
        <w:tc>
          <w:tcPr>
            <w:tcW w:w="2594" w:type="dxa"/>
            <w:gridSpan w:val="2"/>
            <w:tcBorders>
              <w:top w:val="single" w:sz="4" w:space="0" w:color="auto"/>
              <w:left w:val="single" w:sz="4" w:space="0" w:color="auto"/>
            </w:tcBorders>
            <w:shd w:val="clear" w:color="auto" w:fill="FFFFFF"/>
          </w:tcPr>
          <w:p w14:paraId="2E4CF5A1" w14:textId="77777777" w:rsidR="008C76E0" w:rsidRPr="003B2786" w:rsidRDefault="008C76E0" w:rsidP="008C76E0">
            <w:pPr>
              <w:pStyle w:val="Bodytext180"/>
              <w:shd w:val="clear" w:color="auto" w:fill="auto"/>
              <w:spacing w:before="0" w:after="120" w:line="240" w:lineRule="auto"/>
              <w:ind w:left="32" w:right="6"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5977FED9"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Գ. I.9-ն ընդգրկում է այն անասնաբուժական դեղապատրաստուկների </w:t>
            </w:r>
            <w:r w:rsidR="00C54D75">
              <w:rPr>
                <w:rStyle w:val="Bodytext1811pt"/>
                <w:rFonts w:ascii="Sylfaen" w:hAnsi="Sylfaen"/>
                <w:sz w:val="24"/>
                <w:szCs w:val="24"/>
              </w:rPr>
              <w:t>և</w:t>
            </w:r>
            <w:r w:rsidRPr="003B2786">
              <w:rPr>
                <w:rStyle w:val="Bodytext1811pt"/>
                <w:rFonts w:ascii="Sylfaen" w:hAnsi="Sylfaen"/>
                <w:sz w:val="24"/>
                <w:szCs w:val="24"/>
              </w:rPr>
              <w:t xml:space="preserve"> բժշկական կիրառման համար նախատեսված դեղապատրաստուկների դեղազգոնության գոյություն ունեցող համակարգի փոփոխությունները, որոնց համար GFSF չի ավելացվել:</w:t>
            </w:r>
          </w:p>
        </w:tc>
      </w:tr>
      <w:tr w:rsidR="008C76E0" w:rsidRPr="003B2786" w14:paraId="1D6ED49F" w14:textId="77777777" w:rsidTr="004A52D9">
        <w:trPr>
          <w:jc w:val="center"/>
        </w:trPr>
        <w:tc>
          <w:tcPr>
            <w:tcW w:w="2594" w:type="dxa"/>
            <w:gridSpan w:val="2"/>
            <w:tcBorders>
              <w:top w:val="single" w:sz="4" w:space="0" w:color="auto"/>
              <w:left w:val="single" w:sz="4" w:space="0" w:color="auto"/>
            </w:tcBorders>
            <w:shd w:val="clear" w:color="auto" w:fill="FFFFFF"/>
          </w:tcPr>
          <w:p w14:paraId="102F56B1" w14:textId="77777777" w:rsidR="008C76E0" w:rsidRPr="003B2786" w:rsidRDefault="008C76E0" w:rsidP="008C76E0">
            <w:pPr>
              <w:pStyle w:val="Bodytext180"/>
              <w:shd w:val="clear" w:color="auto" w:fill="auto"/>
              <w:spacing w:before="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 ա)-ի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31D7DC6" w14:textId="77777777" w:rsidR="008C76E0" w:rsidRPr="003B2786" w:rsidRDefault="008C76E0" w:rsidP="008C76E0">
            <w:pPr>
              <w:pStyle w:val="Bodytext180"/>
              <w:shd w:val="clear" w:color="auto" w:fill="auto"/>
              <w:spacing w:before="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Դեղազգոնության հարցերով որակավորված անձի փոփոխությունները, ներառյալ՝ կոնտակտային տեղեկատվությունը (հեռախոսի </w:t>
            </w:r>
            <w:r w:rsidR="00C54D75">
              <w:rPr>
                <w:rStyle w:val="Bodytext1811pt"/>
                <w:rFonts w:ascii="Sylfaen" w:hAnsi="Sylfaen"/>
                <w:sz w:val="24"/>
                <w:szCs w:val="24"/>
              </w:rPr>
              <w:t>և</w:t>
            </w:r>
            <w:r w:rsidRPr="003B2786">
              <w:rPr>
                <w:rStyle w:val="Bodytext1811pt"/>
                <w:rFonts w:ascii="Sylfaen" w:hAnsi="Sylfaen"/>
                <w:sz w:val="24"/>
                <w:szCs w:val="24"/>
              </w:rPr>
              <w:t xml:space="preserve"> ֆաքսի համարները, փոստային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էլեկտրոնային փոստի հասցեն) թույլատրվում է թարմացնել բացառապես միասնական ռեեստրի միջոցով (առանց փոփոխություններ կատարելու անհրաժեշտության): Եթե ԳՀ-ի իրավատերը դիմում է վերոնշյալ տեղեկատվությունը միասնական ռեեստրի միջոցով թարմացնելու հնարավորությանը, ապա ԳՀ-ի իրավատերը պետք է գրանցման դոսյեում նշի, որ այդ տվյալների թարմացված տեղեկատվությունը ներառված է միասնական ռեեստրում:</w:t>
            </w:r>
          </w:p>
        </w:tc>
      </w:tr>
      <w:tr w:rsidR="008C76E0" w:rsidRPr="003B2786" w14:paraId="20A9EEFB" w14:textId="77777777" w:rsidTr="004A52D9">
        <w:trPr>
          <w:jc w:val="center"/>
        </w:trPr>
        <w:tc>
          <w:tcPr>
            <w:tcW w:w="2594" w:type="dxa"/>
            <w:gridSpan w:val="2"/>
            <w:tcBorders>
              <w:top w:val="single" w:sz="4" w:space="0" w:color="auto"/>
              <w:left w:val="single" w:sz="4" w:space="0" w:color="auto"/>
            </w:tcBorders>
            <w:shd w:val="clear" w:color="auto" w:fill="FFFFFF"/>
          </w:tcPr>
          <w:p w14:paraId="3FDF9A60"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 բ)-ի համար</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003231B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ԴՀՄՆ-ի գնահատումը, որը ներկայացվել է որպես գրանցման (գրանցման ընդլայնման, փոփոխություն կատարելու) համար նոր դիմումի մաս, ազգային լիազորված մարմնի հարցմամբ կարող է հանգեցնել այդպիսի ԴՀՄՆ-ի փոփոխությունների: Այդ դեպքում նույնպիսի փոփոխություններ կարելի է նա</w:t>
            </w:r>
            <w:r w:rsidR="00C54D75">
              <w:rPr>
                <w:rStyle w:val="Bodytext1811pt"/>
                <w:rFonts w:ascii="Sylfaen" w:hAnsi="Sylfaen"/>
                <w:sz w:val="24"/>
                <w:szCs w:val="24"/>
              </w:rPr>
              <w:t>և</w:t>
            </w:r>
            <w:r w:rsidRPr="003B2786">
              <w:rPr>
                <w:rStyle w:val="Bodytext1811pt"/>
                <w:rFonts w:ascii="Sylfaen" w:hAnsi="Sylfaen"/>
                <w:sz w:val="24"/>
                <w:szCs w:val="24"/>
              </w:rPr>
              <w:t xml:space="preserve"> կատարել ԳՀ-ի մի</w:t>
            </w:r>
            <w:r w:rsidR="00C54D75">
              <w:rPr>
                <w:rStyle w:val="Bodytext1811pt"/>
                <w:rFonts w:ascii="Sylfaen" w:hAnsi="Sylfaen"/>
                <w:sz w:val="24"/>
                <w:szCs w:val="24"/>
              </w:rPr>
              <w:t>և</w:t>
            </w:r>
            <w:r w:rsidRPr="003B2786">
              <w:rPr>
                <w:rStyle w:val="Bodytext1811pt"/>
                <w:rFonts w:ascii="Sylfaen" w:hAnsi="Sylfaen"/>
                <w:sz w:val="24"/>
                <w:szCs w:val="24"/>
              </w:rPr>
              <w:t>նույն իրավատիրոջ այլ դեղապատրաստուկների ԴՀՄՆ-ում՝ IA</w:t>
            </w:r>
            <w:r w:rsidRPr="003B2786">
              <w:rPr>
                <w:rStyle w:val="Bodytext18105pt"/>
                <w:rFonts w:ascii="Sylfaen" w:hAnsi="Sylfaen"/>
                <w:sz w:val="24"/>
                <w:szCs w:val="24"/>
                <w:vertAlign w:val="subscript"/>
              </w:rPr>
              <w:t xml:space="preserve">ԱՊ </w:t>
            </w:r>
            <w:r w:rsidRPr="003B2786">
              <w:rPr>
                <w:rStyle w:val="Bodytext1811pt"/>
                <w:rFonts w:ascii="Sylfaen" w:hAnsi="Sylfaen"/>
                <w:sz w:val="24"/>
                <w:szCs w:val="24"/>
              </w:rPr>
              <w:t>տիպի (խմբային) փոփոխություն ներկայացնելու միջոցով:</w:t>
            </w:r>
          </w:p>
        </w:tc>
      </w:tr>
      <w:tr w:rsidR="008C76E0" w:rsidRPr="003B2786" w14:paraId="443B753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241E130" w14:textId="77777777" w:rsidR="008C76E0" w:rsidRPr="008C76E0" w:rsidRDefault="008C76E0" w:rsidP="008C76E0">
            <w:pPr>
              <w:pStyle w:val="Bodytext180"/>
              <w:shd w:val="clear" w:color="auto" w:fill="auto"/>
              <w:tabs>
                <w:tab w:val="left" w:pos="119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Գ.I.10.</w:t>
            </w:r>
            <w:r w:rsidRPr="003B2786">
              <w:rPr>
                <w:rStyle w:val="Bodytext1811pt"/>
                <w:rFonts w:ascii="Sylfaen" w:hAnsi="Sylfaen"/>
                <w:sz w:val="24"/>
                <w:szCs w:val="24"/>
              </w:rPr>
              <w:tab/>
              <w:t xml:space="preserve">Բժշկական կիրառման համար </w:t>
            </w:r>
            <w:r w:rsidRPr="003B2786">
              <w:rPr>
                <w:rStyle w:val="Bodytext1811pt"/>
                <w:rFonts w:ascii="Sylfaen" w:hAnsi="Sylfaen"/>
                <w:sz w:val="24"/>
                <w:szCs w:val="24"/>
              </w:rPr>
              <w:lastRenderedPageBreak/>
              <w:t xml:space="preserve">նախատեսված դեղապատրաստուկների անվտանգության վերաբերյալ պարբերական հաշվետվությունը (ԱՊՀ)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w:t>
            </w:r>
          </w:p>
        </w:tc>
        <w:tc>
          <w:tcPr>
            <w:tcW w:w="1883" w:type="dxa"/>
            <w:gridSpan w:val="2"/>
            <w:tcBorders>
              <w:top w:val="single" w:sz="4" w:space="0" w:color="auto"/>
              <w:left w:val="single" w:sz="4" w:space="0" w:color="auto"/>
            </w:tcBorders>
            <w:shd w:val="clear" w:color="auto" w:fill="FFFFFF"/>
          </w:tcPr>
          <w:p w14:paraId="2468B3AC"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Անհրաժեշտ </w:t>
            </w:r>
            <w:r w:rsidRPr="003B2786">
              <w:rPr>
                <w:rStyle w:val="Bodytext1811pt"/>
                <w:rFonts w:ascii="Sylfaen" w:hAnsi="Sylfaen"/>
                <w:sz w:val="24"/>
                <w:szCs w:val="24"/>
              </w:rPr>
              <w:lastRenderedPageBreak/>
              <w:t>պայմանները</w:t>
            </w:r>
          </w:p>
        </w:tc>
        <w:tc>
          <w:tcPr>
            <w:tcW w:w="1984" w:type="dxa"/>
            <w:gridSpan w:val="2"/>
            <w:tcBorders>
              <w:top w:val="single" w:sz="4" w:space="0" w:color="auto"/>
              <w:left w:val="single" w:sz="4" w:space="0" w:color="auto"/>
            </w:tcBorders>
            <w:shd w:val="clear" w:color="auto" w:fill="FFFFFF"/>
          </w:tcPr>
          <w:p w14:paraId="5FC1A107"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Պահանջվող </w:t>
            </w:r>
            <w:r w:rsidRPr="003B2786">
              <w:rPr>
                <w:rStyle w:val="Bodytext1811pt"/>
                <w:rFonts w:ascii="Sylfaen" w:hAnsi="Sylfaen"/>
                <w:sz w:val="24"/>
                <w:szCs w:val="24"/>
              </w:rPr>
              <w:lastRenderedPageBreak/>
              <w:t>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224B77B1" w14:textId="77777777" w:rsidR="008C76E0" w:rsidRPr="003B2786" w:rsidRDefault="008C76E0" w:rsidP="008C76E0">
            <w:pPr>
              <w:pStyle w:val="Bodytext180"/>
              <w:shd w:val="clear" w:color="auto" w:fill="auto"/>
              <w:spacing w:before="0" w:line="240" w:lineRule="auto"/>
              <w:ind w:left="13" w:right="76" w:firstLine="0"/>
              <w:jc w:val="center"/>
              <w:rPr>
                <w:rFonts w:ascii="Sylfaen" w:hAnsi="Sylfaen"/>
                <w:b w:val="0"/>
                <w:sz w:val="24"/>
                <w:szCs w:val="24"/>
              </w:rPr>
            </w:pPr>
            <w:r w:rsidRPr="003B2786">
              <w:rPr>
                <w:rStyle w:val="Bodytext1811pt"/>
                <w:rFonts w:ascii="Sylfaen" w:hAnsi="Sylfaen"/>
                <w:sz w:val="24"/>
                <w:szCs w:val="24"/>
              </w:rPr>
              <w:lastRenderedPageBreak/>
              <w:t xml:space="preserve">Ընթացակարգի </w:t>
            </w:r>
            <w:r w:rsidRPr="003B2786">
              <w:rPr>
                <w:rStyle w:val="Bodytext1811pt"/>
                <w:rFonts w:ascii="Sylfaen" w:hAnsi="Sylfaen"/>
                <w:sz w:val="24"/>
                <w:szCs w:val="24"/>
              </w:rPr>
              <w:lastRenderedPageBreak/>
              <w:t>տեսակը</w:t>
            </w:r>
          </w:p>
        </w:tc>
      </w:tr>
      <w:tr w:rsidR="008C76E0" w:rsidRPr="003B2786" w14:paraId="4AD0C6AC" w14:textId="77777777" w:rsidTr="004A52D9">
        <w:trPr>
          <w:jc w:val="center"/>
        </w:trPr>
        <w:tc>
          <w:tcPr>
            <w:tcW w:w="4984" w:type="dxa"/>
            <w:gridSpan w:val="4"/>
            <w:tcBorders>
              <w:top w:val="single" w:sz="4" w:space="0" w:color="auto"/>
              <w:left w:val="single" w:sz="4" w:space="0" w:color="auto"/>
            </w:tcBorders>
            <w:shd w:val="clear" w:color="auto" w:fill="FFFFFF"/>
          </w:tcPr>
          <w:p w14:paraId="380D0731"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6D9A3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660DCB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0CFFC26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4653805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2A09B"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0B83845"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ԱՊՀ-ն ներկայացնելու հաճախականության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ամսաթվի փոփոխությունը համաձայնեցված է ազգային լիազորված մարմնի կողմից:</w:t>
            </w:r>
          </w:p>
        </w:tc>
      </w:tr>
      <w:tr w:rsidR="008C76E0" w:rsidRPr="003B2786" w14:paraId="03FC840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0C704CB3"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B3B2B7E"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համաձայնագրին:</w:t>
            </w:r>
          </w:p>
          <w:p w14:paraId="38007104" w14:textId="77777777" w:rsidR="008C76E0" w:rsidRPr="008C76E0" w:rsidRDefault="008C76E0" w:rsidP="008C76E0">
            <w:pPr>
              <w:pStyle w:val="Bodytext180"/>
              <w:shd w:val="clear" w:color="auto" w:fill="auto"/>
              <w:tabs>
                <w:tab w:val="left" w:pos="63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ԱՊՀ-ը ներկայացնելու վերանայված հաճախականությունը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(կամ) ամսաթիվը </w:t>
            </w:r>
          </w:p>
        </w:tc>
      </w:tr>
      <w:tr w:rsidR="008C76E0" w:rsidRPr="003B2786" w14:paraId="150EFF35" w14:textId="77777777" w:rsidTr="004A52D9">
        <w:trPr>
          <w:jc w:val="center"/>
        </w:trPr>
        <w:tc>
          <w:tcPr>
            <w:tcW w:w="2594" w:type="dxa"/>
            <w:gridSpan w:val="2"/>
            <w:tcBorders>
              <w:top w:val="single" w:sz="4" w:space="0" w:color="auto"/>
              <w:left w:val="single" w:sz="4" w:space="0" w:color="auto"/>
            </w:tcBorders>
            <w:shd w:val="clear" w:color="auto" w:fill="FFFFFF"/>
          </w:tcPr>
          <w:p w14:paraId="09624875"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1A82554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Տվյալ փոփոխությունը կիրառվում է միայն այն դեպքում, եթե ԱՊՀ-ի պարբերաշրջանը, Միության իրավունքի մաս կազմող ակտերին համապատասխան, հաշվետու ամսաթվերի ցանկին հղում անելուց տարբերվող եղանակներով նշված է գրանցման դոսյեում </w:t>
            </w:r>
            <w:r w:rsidR="00C54D75">
              <w:rPr>
                <w:rStyle w:val="Bodytext1811pt"/>
                <w:rFonts w:ascii="Sylfaen" w:hAnsi="Sylfaen"/>
                <w:sz w:val="24"/>
                <w:szCs w:val="24"/>
              </w:rPr>
              <w:t>և</w:t>
            </w:r>
            <w:r w:rsidRPr="003B2786">
              <w:rPr>
                <w:rStyle w:val="Bodytext1811pt"/>
                <w:rFonts w:ascii="Sylfaen" w:hAnsi="Sylfaen"/>
                <w:sz w:val="24"/>
                <w:szCs w:val="24"/>
              </w:rPr>
              <w:t xml:space="preserve"> ԱՊՀ-ն ներկայացնելու անհրաժեշտության դեպքում:</w:t>
            </w:r>
          </w:p>
        </w:tc>
      </w:tr>
      <w:tr w:rsidR="008C76E0" w:rsidRPr="003B2786" w14:paraId="6D4E9D7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6149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Գ.I.11.</w:t>
            </w:r>
            <w:r w:rsidRPr="003B2786">
              <w:rPr>
                <w:rStyle w:val="Bodytext1811pt"/>
                <w:rFonts w:ascii="Sylfaen" w:hAnsi="Sylfaen"/>
                <w:sz w:val="24"/>
                <w:szCs w:val="24"/>
              </w:rPr>
              <w:tab/>
              <w:t xml:space="preserve">Գրանցման պարտավորությունների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պայմանների ներմուծումը կամ փոփոխությունները, ներառյալ՝ ռիսկերի կառավարման պլանը</w:t>
            </w:r>
          </w:p>
        </w:tc>
        <w:tc>
          <w:tcPr>
            <w:tcW w:w="1883" w:type="dxa"/>
            <w:gridSpan w:val="2"/>
            <w:tcBorders>
              <w:top w:val="single" w:sz="4" w:space="0" w:color="auto"/>
              <w:left w:val="single" w:sz="4" w:space="0" w:color="auto"/>
            </w:tcBorders>
            <w:shd w:val="clear" w:color="auto" w:fill="FFFFFF"/>
          </w:tcPr>
          <w:p w14:paraId="5E48DFC2"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BD074B"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ACD9EB6" w14:textId="77777777" w:rsidR="008C76E0" w:rsidRPr="003B2786" w:rsidRDefault="008C76E0" w:rsidP="008C76E0">
            <w:pPr>
              <w:pStyle w:val="Bodytext180"/>
              <w:shd w:val="clear" w:color="auto" w:fill="auto"/>
              <w:spacing w:before="0" w:after="12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09586E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BFC7124"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լիազորված մարմնի կողմից համաձայնեցված ձ</w:t>
            </w:r>
            <w:r w:rsidR="00C54D75">
              <w:rPr>
                <w:rStyle w:val="Bodytext1811pt"/>
                <w:rFonts w:ascii="Sylfaen" w:hAnsi="Sylfaen"/>
                <w:sz w:val="24"/>
                <w:szCs w:val="24"/>
              </w:rPr>
              <w:t>և</w:t>
            </w:r>
            <w:r w:rsidRPr="003B2786">
              <w:rPr>
                <w:rStyle w:val="Bodytext1811pt"/>
                <w:rFonts w:ascii="Sylfaen" w:hAnsi="Sylfaen"/>
                <w:sz w:val="24"/>
                <w:szCs w:val="24"/>
              </w:rPr>
              <w:t>ակերպման իրականացումը</w:t>
            </w:r>
          </w:p>
        </w:tc>
        <w:tc>
          <w:tcPr>
            <w:tcW w:w="1883" w:type="dxa"/>
            <w:gridSpan w:val="2"/>
            <w:tcBorders>
              <w:top w:val="single" w:sz="4" w:space="0" w:color="auto"/>
              <w:left w:val="single" w:sz="4" w:space="0" w:color="auto"/>
            </w:tcBorders>
            <w:shd w:val="clear" w:color="auto" w:fill="FFFFFF"/>
          </w:tcPr>
          <w:p w14:paraId="1E8D5CDA"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302FEAE4"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953028C" w14:textId="77777777" w:rsidR="008C76E0" w:rsidRPr="003B2786" w:rsidRDefault="008C76E0" w:rsidP="008C76E0">
            <w:pPr>
              <w:pStyle w:val="Bodytext180"/>
              <w:shd w:val="clear" w:color="auto" w:fill="auto"/>
              <w:tabs>
                <w:tab w:val="left" w:pos="572"/>
              </w:tabs>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3BB567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365482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այն փոփոխությունների իրականացումը, որոնք ԳՀ-ի իրավատիրոջից պահանջում են ներկայացնել նոր լրացուցիչ տվյալներ, որոնց համար լիազորված մարմնի կողմից փորձաքննության կարիք կա (*)</w:t>
            </w:r>
          </w:p>
        </w:tc>
        <w:tc>
          <w:tcPr>
            <w:tcW w:w="1883" w:type="dxa"/>
            <w:gridSpan w:val="2"/>
            <w:tcBorders>
              <w:top w:val="single" w:sz="4" w:space="0" w:color="auto"/>
              <w:left w:val="single" w:sz="4" w:space="0" w:color="auto"/>
            </w:tcBorders>
            <w:shd w:val="clear" w:color="auto" w:fill="FFFFFF"/>
          </w:tcPr>
          <w:p w14:paraId="1F8DB9CA"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984" w:type="dxa"/>
            <w:gridSpan w:val="2"/>
            <w:tcBorders>
              <w:top w:val="single" w:sz="4" w:space="0" w:color="auto"/>
              <w:left w:val="single" w:sz="4" w:space="0" w:color="auto"/>
            </w:tcBorders>
            <w:shd w:val="clear" w:color="auto" w:fill="FFFFFF"/>
          </w:tcPr>
          <w:p w14:paraId="1B1D4803" w14:textId="77777777" w:rsidR="008C76E0" w:rsidRPr="003B2786" w:rsidRDefault="008C76E0" w:rsidP="008C76E0">
            <w:pPr>
              <w:tabs>
                <w:tab w:val="left" w:pos="572"/>
              </w:tabs>
              <w:spacing w:after="0" w:line="288" w:lineRule="auto"/>
              <w:ind w:left="159" w:right="221"/>
              <w:jc w:val="center"/>
              <w:rPr>
                <w:rFonts w:ascii="Sylfaen" w:hAnsi="Sylfaen"/>
                <w:sz w:val="24"/>
                <w:szCs w:val="24"/>
              </w:rPr>
            </w:pPr>
          </w:p>
        </w:tc>
        <w:tc>
          <w:tcPr>
            <w:tcW w:w="1843" w:type="dxa"/>
            <w:gridSpan w:val="2"/>
            <w:tcBorders>
              <w:top w:val="single" w:sz="4" w:space="0" w:color="auto"/>
              <w:left w:val="single" w:sz="4" w:space="0" w:color="auto"/>
              <w:right w:val="single" w:sz="4" w:space="0" w:color="auto"/>
            </w:tcBorders>
            <w:shd w:val="clear" w:color="auto" w:fill="FFFFFF"/>
          </w:tcPr>
          <w:p w14:paraId="4D605575" w14:textId="77777777" w:rsidR="008C76E0" w:rsidRPr="003B2786" w:rsidRDefault="008C76E0" w:rsidP="008C76E0">
            <w:pPr>
              <w:pStyle w:val="Bodytext180"/>
              <w:shd w:val="clear" w:color="auto" w:fill="auto"/>
              <w:tabs>
                <w:tab w:val="left" w:pos="572"/>
              </w:tabs>
              <w:spacing w:before="0" w:line="288" w:lineRule="auto"/>
              <w:ind w:left="159" w:right="221"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FFE300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4F057AA"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35FDF16"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Փոփոխությունն իրականացնում է լիազորված մարմնի կողմից պահանջված գործողությունը </w:t>
            </w:r>
            <w:r w:rsidR="00C54D75">
              <w:rPr>
                <w:rStyle w:val="Bodytext1811pt"/>
                <w:rFonts w:ascii="Sylfaen" w:hAnsi="Sylfaen"/>
                <w:sz w:val="24"/>
                <w:szCs w:val="24"/>
              </w:rPr>
              <w:t>և</w:t>
            </w:r>
            <w:r w:rsidRPr="003B2786">
              <w:rPr>
                <w:rStyle w:val="Bodytext1811pt"/>
                <w:rFonts w:ascii="Sylfaen" w:hAnsi="Sylfaen"/>
                <w:sz w:val="24"/>
                <w:szCs w:val="24"/>
              </w:rPr>
              <w:t xml:space="preserve"> չի պահանջում ներկայացնել լրացուցիչ տեղեկություններ </w:t>
            </w:r>
            <w:r w:rsidR="00C54D75">
              <w:rPr>
                <w:rStyle w:val="Bodytext1811pt"/>
                <w:rFonts w:ascii="Sylfaen" w:hAnsi="Sylfaen"/>
                <w:sz w:val="24"/>
                <w:szCs w:val="24"/>
              </w:rPr>
              <w:t>և</w:t>
            </w:r>
            <w:r w:rsidRPr="003B2786">
              <w:rPr>
                <w:rStyle w:val="Bodytext1811pt"/>
                <w:rFonts w:ascii="Sylfaen" w:hAnsi="Sylfaen"/>
                <w:sz w:val="24"/>
                <w:szCs w:val="24"/>
              </w:rPr>
              <w:t xml:space="preserve"> (կամ) հետագա փորձաքննություն:</w:t>
            </w:r>
          </w:p>
        </w:tc>
      </w:tr>
      <w:tr w:rsidR="008C76E0" w:rsidRPr="003B2786" w14:paraId="7AB4FAE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58538A2"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2DA929E" w14:textId="77777777" w:rsidR="008C76E0" w:rsidRPr="008C76E0"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լիազորված մարմնի համապատասխան որոշմանը:</w:t>
            </w:r>
          </w:p>
          <w:p w14:paraId="6637834C" w14:textId="77777777" w:rsidR="008C76E0" w:rsidRPr="003B2786" w:rsidRDefault="008C76E0" w:rsidP="008C76E0">
            <w:pPr>
              <w:pStyle w:val="Bodytext180"/>
              <w:shd w:val="clear" w:color="auto" w:fill="auto"/>
              <w:tabs>
                <w:tab w:val="left" w:pos="572"/>
              </w:tabs>
              <w:spacing w:before="0" w:line="288" w:lineRule="auto"/>
              <w:ind w:left="159" w:right="221"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1C67D1BD" w14:textId="77777777" w:rsidTr="004A52D9">
        <w:trPr>
          <w:jc w:val="center"/>
        </w:trPr>
        <w:tc>
          <w:tcPr>
            <w:tcW w:w="2594" w:type="dxa"/>
            <w:gridSpan w:val="2"/>
            <w:tcBorders>
              <w:top w:val="single" w:sz="4" w:space="0" w:color="auto"/>
              <w:left w:val="single" w:sz="4" w:space="0" w:color="auto"/>
            </w:tcBorders>
            <w:shd w:val="clear" w:color="auto" w:fill="FFFFFF"/>
          </w:tcPr>
          <w:p w14:paraId="0C09AF1C" w14:textId="77777777" w:rsidR="008C76E0" w:rsidRPr="003B2786" w:rsidRDefault="008C76E0" w:rsidP="008C76E0">
            <w:pPr>
              <w:pStyle w:val="Bodytext180"/>
              <w:shd w:val="clear" w:color="auto" w:fill="auto"/>
              <w:spacing w:before="0" w:after="120" w:line="240" w:lineRule="auto"/>
              <w:ind w:left="32" w:firstLine="0"/>
              <w:jc w:val="both"/>
              <w:rPr>
                <w:rFonts w:ascii="Sylfaen" w:hAnsi="Sylfaen"/>
                <w:b w:val="0"/>
                <w:sz w:val="24"/>
                <w:szCs w:val="24"/>
              </w:rPr>
            </w:pPr>
            <w:r w:rsidRPr="003B2786">
              <w:rPr>
                <w:rStyle w:val="Bodytext1811pt"/>
                <w:rFonts w:ascii="Sylfaen" w:hAnsi="Sylfaen"/>
                <w:sz w:val="24"/>
                <w:szCs w:val="24"/>
              </w:rPr>
              <w:lastRenderedPageBreak/>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A8F742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 xml:space="preserve">Այդ փոփոխությունն ընդգրկում է միայն այն իրավիճակը, որում կատարվող փոփոխությունն առնչվում է բացառապես գրանցման պայմաններին </w:t>
            </w:r>
            <w:r w:rsidR="00C54D75">
              <w:rPr>
                <w:rStyle w:val="Bodytext1811pt"/>
                <w:rFonts w:ascii="Sylfaen" w:hAnsi="Sylfaen"/>
                <w:sz w:val="24"/>
                <w:szCs w:val="24"/>
              </w:rPr>
              <w:t>և</w:t>
            </w:r>
            <w:r w:rsidRPr="003B2786">
              <w:rPr>
                <w:rStyle w:val="Bodytext1811pt"/>
                <w:rFonts w:ascii="Sylfaen" w:hAnsi="Sylfaen"/>
                <w:sz w:val="24"/>
                <w:szCs w:val="24"/>
              </w:rPr>
              <w:t xml:space="preserve"> (կամ) պարտավորություններին, ներառյալ՝ ռիսկերի կառավարման պլանը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(կամ) բացառիկ հանգամանքներում </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պայմանական գրանցման դեպքում՝ գրանցումների պարտավորությունները:</w:t>
            </w:r>
          </w:p>
        </w:tc>
      </w:tr>
      <w:tr w:rsidR="008C76E0" w:rsidRPr="003B2786" w14:paraId="430E1E15" w14:textId="77777777" w:rsidTr="004A52D9">
        <w:trPr>
          <w:jc w:val="center"/>
        </w:trPr>
        <w:tc>
          <w:tcPr>
            <w:tcW w:w="2594" w:type="dxa"/>
            <w:gridSpan w:val="2"/>
            <w:tcBorders>
              <w:top w:val="single" w:sz="4" w:space="0" w:color="auto"/>
              <w:left w:val="single" w:sz="4" w:space="0" w:color="auto"/>
            </w:tcBorders>
            <w:shd w:val="clear" w:color="auto" w:fill="FFFFFF"/>
          </w:tcPr>
          <w:p w14:paraId="55E603C5"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NotBold"/>
                <w:rFonts w:ascii="Sylfaen" w:hAnsi="Sylfaen"/>
                <w:sz w:val="24"/>
                <w:szCs w:val="24"/>
              </w:rPr>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42B7AAC"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Լիազորված մարմնի կողմից պահանջված ռիսկերի կառավարման պլանի ներմուծումը միշտ էական փորձաքննություն է պահանջում:</w:t>
            </w:r>
          </w:p>
        </w:tc>
      </w:tr>
      <w:tr w:rsidR="008C76E0" w:rsidRPr="003B2786" w14:paraId="268DB89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FA4E060" w14:textId="77777777" w:rsidR="008C76E0" w:rsidRPr="008C76E0" w:rsidRDefault="008C76E0" w:rsidP="008C76E0">
            <w:pPr>
              <w:pStyle w:val="Bodytext180"/>
              <w:shd w:val="clear" w:color="auto" w:fill="auto"/>
              <w:tabs>
                <w:tab w:val="left" w:pos="1175"/>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Գ.I.12.</w:t>
            </w:r>
            <w:r w:rsidRPr="003B2786">
              <w:rPr>
                <w:rStyle w:val="Bodytext1811pt"/>
                <w:rFonts w:ascii="Sylfaen" w:hAnsi="Sylfaen"/>
                <w:sz w:val="24"/>
                <w:szCs w:val="24"/>
              </w:rPr>
              <w:tab/>
              <w:t>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նշումների ներմուծումը կամ բացառումն այն դեղապատրաստուկների առնչությամբ, որոնք ընդգրկված են լրացուցիչ դիտանցման ենթակա դեղապատրաստուկների ցանկում </w:t>
            </w:r>
          </w:p>
        </w:tc>
        <w:tc>
          <w:tcPr>
            <w:tcW w:w="1883" w:type="dxa"/>
            <w:gridSpan w:val="2"/>
            <w:tcBorders>
              <w:top w:val="single" w:sz="4" w:space="0" w:color="auto"/>
              <w:left w:val="single" w:sz="4" w:space="0" w:color="auto"/>
            </w:tcBorders>
            <w:shd w:val="clear" w:color="auto" w:fill="FFFFFF"/>
          </w:tcPr>
          <w:p w14:paraId="4340870F"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D8A2F8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94E2928"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1A74FF1" w14:textId="77777777" w:rsidTr="004A52D9">
        <w:trPr>
          <w:jc w:val="center"/>
        </w:trPr>
        <w:tc>
          <w:tcPr>
            <w:tcW w:w="4984" w:type="dxa"/>
            <w:gridSpan w:val="4"/>
            <w:tcBorders>
              <w:top w:val="single" w:sz="4" w:space="0" w:color="auto"/>
              <w:left w:val="single" w:sz="4" w:space="0" w:color="auto"/>
            </w:tcBorders>
            <w:shd w:val="clear" w:color="auto" w:fill="FFFFFF"/>
          </w:tcPr>
          <w:p w14:paraId="25EEBF76"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33E67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91D197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3C674AA4"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r w:rsidRPr="003B2786">
              <w:rPr>
                <w:rStyle w:val="Bodytext1811pt"/>
                <w:rFonts w:ascii="Sylfaen" w:hAnsi="Sylfaen"/>
                <w:sz w:val="24"/>
                <w:szCs w:val="24"/>
                <w:vertAlign w:val="subscript"/>
              </w:rPr>
              <w:t>ԱՊ</w:t>
            </w:r>
          </w:p>
        </w:tc>
      </w:tr>
      <w:tr w:rsidR="008C76E0" w:rsidRPr="003B2786" w14:paraId="04C4921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6AB2ACA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6395CC1E"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Դեղապատրաստուկը ներառվել կամ հանվել է (համապատասխանաբար) լրացուցիչ դիտանցման ենթակա դեղապատրաստուկների ցանկից:</w:t>
            </w:r>
          </w:p>
        </w:tc>
      </w:tr>
      <w:tr w:rsidR="008C76E0" w:rsidRPr="003B2786" w14:paraId="641970A5"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42615A4"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418E369"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Փոփոխություններ կատարելու մասին դիմումի ուղեկցող նամակին կցված հղում՝ լրացուցիչ դիտանցման ենթակա դեղապատրաստուկների ցանկին:</w:t>
            </w:r>
          </w:p>
          <w:p w14:paraId="09D8FAC8" w14:textId="77777777" w:rsidR="008C76E0" w:rsidRPr="003B2786"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rPr>
            </w:pPr>
            <w:r w:rsidRPr="003B2786">
              <w:rPr>
                <w:rFonts w:ascii="Sylfaen" w:hAnsi="Sylfaen"/>
                <w:b w:val="0"/>
                <w:sz w:val="24"/>
                <w:szCs w:val="24"/>
              </w:rPr>
              <w:t>2.</w:t>
            </w:r>
            <w:r w:rsidRPr="003B2786">
              <w:rPr>
                <w:rFonts w:ascii="Sylfaen" w:hAnsi="Sylfaen"/>
                <w:b w:val="0"/>
                <w:sz w:val="24"/>
                <w:szCs w:val="24"/>
              </w:rPr>
              <w:tab/>
            </w:r>
            <w:r w:rsidRPr="003B2786">
              <w:rPr>
                <w:rStyle w:val="Bodytext1811pt"/>
                <w:rFonts w:ascii="Sylfaen" w:hAnsi="Sylfaen"/>
                <w:sz w:val="24"/>
                <w:szCs w:val="24"/>
              </w:rPr>
              <w:t>Դեղապատրաստուկի մասին վերանայված տեղեկատվությունը:</w:t>
            </w:r>
          </w:p>
        </w:tc>
      </w:tr>
      <w:tr w:rsidR="008C76E0" w:rsidRPr="003B2786" w14:paraId="7194DDC3" w14:textId="77777777" w:rsidTr="004A52D9">
        <w:trPr>
          <w:jc w:val="center"/>
        </w:trPr>
        <w:tc>
          <w:tcPr>
            <w:tcW w:w="2594" w:type="dxa"/>
            <w:gridSpan w:val="2"/>
            <w:tcBorders>
              <w:top w:val="single" w:sz="4" w:space="0" w:color="auto"/>
              <w:left w:val="single" w:sz="4" w:space="0" w:color="auto"/>
            </w:tcBorders>
            <w:shd w:val="clear" w:color="auto" w:fill="FFFFFF"/>
          </w:tcPr>
          <w:p w14:paraId="3F03474D" w14:textId="77777777" w:rsidR="008C76E0" w:rsidRPr="003B2786" w:rsidRDefault="008C76E0" w:rsidP="008C76E0">
            <w:pPr>
              <w:pStyle w:val="Bodytext180"/>
              <w:shd w:val="clear" w:color="auto" w:fill="auto"/>
              <w:tabs>
                <w:tab w:val="left" w:pos="589"/>
              </w:tabs>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7BD33B3F"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փոփոխությունն ընդգրկում է այն իրավիճակը, որում ս</w:t>
            </w:r>
            <w:r w:rsidR="00C54D75">
              <w:rPr>
                <w:rStyle w:val="Bodytext1811pt"/>
                <w:rFonts w:ascii="Sylfaen" w:hAnsi="Sylfaen"/>
                <w:sz w:val="24"/>
                <w:szCs w:val="24"/>
              </w:rPr>
              <w:t>և</w:t>
            </w:r>
            <w:r w:rsidRPr="003B2786">
              <w:rPr>
                <w:rStyle w:val="Bodytext1811pt"/>
                <w:rFonts w:ascii="Sylfaen" w:hAnsi="Sylfaen"/>
                <w:sz w:val="24"/>
                <w:szCs w:val="24"/>
              </w:rPr>
              <w:t xml:space="preserve"> պայմանանշանի կամ բացատրական ցուցումների ներառումը կամ բացառումը չի կատարվում այլ կարգավորիչ ընթացակարգի (օրինակ` դեղապատրաստուկի մասին տեղեկատվությանն առնչվող երկարաձգելու կամ փոփոխելու ընթացակարգը) շրջանակներում:</w:t>
            </w:r>
          </w:p>
        </w:tc>
      </w:tr>
      <w:tr w:rsidR="008C76E0" w:rsidRPr="003B2786" w14:paraId="2C92EE4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70C8809" w14:textId="77777777" w:rsidR="008C76E0" w:rsidRPr="008C76E0" w:rsidRDefault="008C76E0" w:rsidP="008C76E0">
            <w:pPr>
              <w:pStyle w:val="Bodytext180"/>
              <w:shd w:val="clear" w:color="auto" w:fill="auto"/>
              <w:tabs>
                <w:tab w:val="left" w:pos="1108"/>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Գ.I.13.</w:t>
            </w:r>
            <w:r w:rsidRPr="003B2786">
              <w:rPr>
                <w:rStyle w:val="Bodytext1811pt"/>
                <w:rFonts w:ascii="Sylfaen" w:hAnsi="Sylfaen"/>
                <w:sz w:val="24"/>
                <w:szCs w:val="24"/>
              </w:rPr>
              <w:tab/>
              <w:t>Սույն լրացման մյուս բաժիններում չնկարագրված այլ փոփոխություններ, որոնք ներառում են հետազոտությունները լիազորված մարմնին ներկայացնելը (*)</w:t>
            </w:r>
          </w:p>
        </w:tc>
        <w:tc>
          <w:tcPr>
            <w:tcW w:w="1883" w:type="dxa"/>
            <w:gridSpan w:val="2"/>
            <w:tcBorders>
              <w:top w:val="single" w:sz="4" w:space="0" w:color="auto"/>
              <w:left w:val="single" w:sz="4" w:space="0" w:color="auto"/>
            </w:tcBorders>
            <w:shd w:val="clear" w:color="auto" w:fill="FFFFFF"/>
          </w:tcPr>
          <w:p w14:paraId="36CBA76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DE1BDB6"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37B7CD" w14:textId="77777777" w:rsidR="008C76E0" w:rsidRPr="003B2786" w:rsidRDefault="008C76E0" w:rsidP="008C76E0">
            <w:pPr>
              <w:pStyle w:val="Bodytext180"/>
              <w:shd w:val="clear" w:color="auto" w:fill="auto"/>
              <w:spacing w:before="0" w:after="120" w:line="240"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45D4E0"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1BCC7D47"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EEED1F5" w14:textId="77777777" w:rsidR="008C76E0" w:rsidRPr="003B2786" w:rsidRDefault="008C76E0" w:rsidP="008C76E0">
            <w:pPr>
              <w:spacing w:after="120"/>
              <w:ind w:left="159" w:right="222"/>
              <w:jc w:val="center"/>
              <w:rPr>
                <w:rFonts w:ascii="Sylfaen" w:hAnsi="Sylfaen"/>
                <w:sz w:val="24"/>
                <w:szCs w:val="24"/>
              </w:rPr>
            </w:pPr>
          </w:p>
        </w:tc>
        <w:tc>
          <w:tcPr>
            <w:tcW w:w="1984" w:type="dxa"/>
            <w:gridSpan w:val="2"/>
            <w:tcBorders>
              <w:top w:val="single" w:sz="4" w:space="0" w:color="auto"/>
              <w:left w:val="single" w:sz="4" w:space="0" w:color="auto"/>
              <w:bottom w:val="single" w:sz="4" w:space="0" w:color="auto"/>
            </w:tcBorders>
            <w:shd w:val="clear" w:color="auto" w:fill="FFFFFF"/>
          </w:tcPr>
          <w:p w14:paraId="7AF94A37" w14:textId="77777777" w:rsidR="008C76E0" w:rsidRPr="003B2786" w:rsidRDefault="008C76E0" w:rsidP="008C76E0">
            <w:pPr>
              <w:spacing w:after="120"/>
              <w:ind w:left="159" w:right="222"/>
              <w:jc w:val="center"/>
              <w:rPr>
                <w:rFonts w:ascii="Sylfaen" w:hAnsi="Sylfae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48A1123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77A253A3" w14:textId="77777777" w:rsidTr="004A52D9">
        <w:trPr>
          <w:jc w:val="center"/>
        </w:trPr>
        <w:tc>
          <w:tcPr>
            <w:tcW w:w="2594" w:type="dxa"/>
            <w:gridSpan w:val="2"/>
            <w:tcBorders>
              <w:top w:val="single" w:sz="4" w:space="0" w:color="auto"/>
              <w:left w:val="single" w:sz="4" w:space="0" w:color="auto"/>
            </w:tcBorders>
            <w:shd w:val="clear" w:color="auto" w:fill="FFFFFF"/>
          </w:tcPr>
          <w:p w14:paraId="200474FC" w14:textId="77777777" w:rsidR="008C76E0" w:rsidRPr="003B2786" w:rsidRDefault="008C76E0" w:rsidP="008C76E0">
            <w:pPr>
              <w:pStyle w:val="Bodytext180"/>
              <w:shd w:val="clear" w:color="auto" w:fill="auto"/>
              <w:spacing w:before="0" w:after="120" w:line="240" w:lineRule="auto"/>
              <w:ind w:firstLine="0"/>
              <w:jc w:val="both"/>
              <w:rPr>
                <w:rFonts w:ascii="Sylfaen" w:hAnsi="Sylfaen"/>
                <w:b w:val="0"/>
                <w:sz w:val="24"/>
                <w:szCs w:val="24"/>
              </w:rPr>
            </w:pPr>
            <w:r w:rsidRPr="003B2786">
              <w:rPr>
                <w:rStyle w:val="Bodytext1811pt"/>
                <w:rFonts w:ascii="Sylfaen" w:hAnsi="Sylfaen"/>
                <w:sz w:val="24"/>
                <w:szCs w:val="24"/>
              </w:rPr>
              <w:t>Ծանոթագրություն</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6608B8B1" w14:textId="77777777" w:rsidR="008C76E0" w:rsidRPr="003B2786" w:rsidRDefault="008C76E0" w:rsidP="004A52D9">
            <w:pPr>
              <w:pStyle w:val="Bodytext180"/>
              <w:shd w:val="clear" w:color="auto" w:fill="auto"/>
              <w:spacing w:before="0" w:after="120" w:line="264" w:lineRule="auto"/>
              <w:ind w:left="159" w:right="221" w:firstLine="0"/>
              <w:jc w:val="both"/>
              <w:rPr>
                <w:rFonts w:ascii="Sylfaen" w:hAnsi="Sylfaen"/>
                <w:b w:val="0"/>
                <w:sz w:val="24"/>
                <w:szCs w:val="24"/>
              </w:rPr>
            </w:pPr>
            <w:r w:rsidRPr="003B2786">
              <w:rPr>
                <w:rStyle w:val="Bodytext1811pt"/>
                <w:rFonts w:ascii="Sylfaen" w:hAnsi="Sylfaen"/>
                <w:sz w:val="24"/>
                <w:szCs w:val="24"/>
              </w:rPr>
              <w:t xml:space="preserve">Եթե ներկայացված տվյալների փորձաքննությունը լիազոր մարմնի կողմից հանգեցնում է դեղապատրաստուկի ընդհանուր բնութագրի, մականշվածքի կամ ներդիր թերթիկի փոփոխությանը, ապա տվյալ փոփոխությանը ենթարկվում են դեղապատրաստուկի ընդհանուր </w:t>
            </w:r>
            <w:r w:rsidRPr="003B2786">
              <w:rPr>
                <w:rStyle w:val="Bodytext1811pt"/>
                <w:rFonts w:ascii="Sylfaen" w:hAnsi="Sylfaen"/>
                <w:sz w:val="24"/>
                <w:szCs w:val="24"/>
              </w:rPr>
              <w:lastRenderedPageBreak/>
              <w:t>բնութագրի, մականշվածքի կամ ներդիր թերթիկի համապատասխան ուղղումները:</w:t>
            </w:r>
          </w:p>
        </w:tc>
      </w:tr>
      <w:tr w:rsidR="008C76E0" w:rsidRPr="003B2786" w14:paraId="184A4E98" w14:textId="77777777" w:rsidTr="004A52D9">
        <w:trPr>
          <w:jc w:val="center"/>
        </w:trPr>
        <w:tc>
          <w:tcPr>
            <w:tcW w:w="2594" w:type="dxa"/>
            <w:gridSpan w:val="2"/>
            <w:tcBorders>
              <w:top w:val="single" w:sz="4" w:space="0" w:color="auto"/>
              <w:left w:val="single" w:sz="4" w:space="0" w:color="auto"/>
            </w:tcBorders>
            <w:shd w:val="clear" w:color="auto" w:fill="FFFFFF"/>
          </w:tcPr>
          <w:p w14:paraId="296F7F4A"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lastRenderedPageBreak/>
              <w:t>(*)</w:t>
            </w:r>
          </w:p>
        </w:tc>
        <w:tc>
          <w:tcPr>
            <w:tcW w:w="8100" w:type="dxa"/>
            <w:gridSpan w:val="8"/>
            <w:tcBorders>
              <w:top w:val="single" w:sz="4" w:space="0" w:color="auto"/>
              <w:left w:val="single" w:sz="4" w:space="0" w:color="auto"/>
              <w:right w:val="single" w:sz="4" w:space="0" w:color="auto"/>
            </w:tcBorders>
            <w:shd w:val="clear" w:color="auto" w:fill="FFFFFF"/>
            <w:vAlign w:val="bottom"/>
          </w:tcPr>
          <w:p w14:paraId="35730317"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1pt"/>
                <w:rFonts w:ascii="Sylfaen" w:hAnsi="Sylfaen"/>
                <w:sz w:val="24"/>
                <w:szCs w:val="24"/>
              </w:rPr>
              <w:t>Տվյալ փոփոխությունը չի կիրառվում այն փոփոխությունների դեպքում, որոնք կարող են ինքնաբերաբար ընդունվել որպես IB տիպի փոփոխություններ՝ սույն լրացման ցանկացած այլ բաժնին համապատասխան:</w:t>
            </w:r>
          </w:p>
        </w:tc>
      </w:tr>
      <w:tr w:rsidR="008C76E0" w:rsidRPr="003B2786" w14:paraId="5A229933" w14:textId="77777777" w:rsidTr="004A52D9">
        <w:trPr>
          <w:jc w:val="center"/>
        </w:trPr>
        <w:tc>
          <w:tcPr>
            <w:tcW w:w="10694" w:type="dxa"/>
            <w:gridSpan w:val="10"/>
            <w:tcBorders>
              <w:top w:val="single" w:sz="4" w:space="0" w:color="auto"/>
            </w:tcBorders>
            <w:shd w:val="clear" w:color="auto" w:fill="FFFFFF"/>
            <w:vAlign w:val="bottom"/>
          </w:tcPr>
          <w:p w14:paraId="75B5CA66" w14:textId="77777777" w:rsidR="008C76E0" w:rsidRPr="003B2786" w:rsidRDefault="008C76E0" w:rsidP="008C76E0">
            <w:pPr>
              <w:pStyle w:val="Bodytext180"/>
              <w:shd w:val="clear" w:color="auto" w:fill="auto"/>
              <w:spacing w:before="0" w:after="120" w:line="240" w:lineRule="auto"/>
              <w:ind w:left="159" w:right="222" w:firstLine="0"/>
              <w:jc w:val="both"/>
              <w:rPr>
                <w:rFonts w:ascii="Sylfaen" w:hAnsi="Sylfaen"/>
                <w:b w:val="0"/>
                <w:sz w:val="24"/>
                <w:szCs w:val="24"/>
              </w:rPr>
            </w:pPr>
            <w:r w:rsidRPr="003B2786">
              <w:rPr>
                <w:rStyle w:val="Bodytext18105pt"/>
                <w:rFonts w:ascii="Sylfaen" w:hAnsi="Sylfaen"/>
                <w:sz w:val="24"/>
                <w:szCs w:val="24"/>
              </w:rPr>
              <w:t>Դ. ՊՄՖ (ՊՀՄՖ)</w:t>
            </w:r>
          </w:p>
        </w:tc>
      </w:tr>
      <w:tr w:rsidR="008C76E0" w:rsidRPr="003B2786" w14:paraId="2FA15F0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C5C13F6"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 1.</w:t>
            </w:r>
            <w:r w:rsidRPr="003B2786">
              <w:rPr>
                <w:rStyle w:val="Bodytext1811pt"/>
                <w:rFonts w:ascii="Sylfaen" w:hAnsi="Sylfaen"/>
                <w:sz w:val="24"/>
                <w:szCs w:val="24"/>
              </w:rPr>
              <w:tab/>
              <w:t xml:space="preserve">ՊՀՄՖ-ի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376CDC8"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FC176F4"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BFD4DE0" w14:textId="77777777" w:rsidR="008C76E0" w:rsidRPr="003B2786" w:rsidRDefault="008C76E0" w:rsidP="008C76E0">
            <w:pPr>
              <w:pStyle w:val="Bodytext180"/>
              <w:shd w:val="clear" w:color="auto" w:fill="auto"/>
              <w:spacing w:before="0" w:after="12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C3022E2" w14:textId="77777777" w:rsidTr="004A52D9">
        <w:trPr>
          <w:jc w:val="center"/>
        </w:trPr>
        <w:tc>
          <w:tcPr>
            <w:tcW w:w="4984" w:type="dxa"/>
            <w:gridSpan w:val="4"/>
            <w:tcBorders>
              <w:top w:val="single" w:sz="4" w:space="0" w:color="auto"/>
              <w:left w:val="single" w:sz="4" w:space="0" w:color="auto"/>
            </w:tcBorders>
            <w:shd w:val="clear" w:color="auto" w:fill="FFFFFF"/>
          </w:tcPr>
          <w:p w14:paraId="5CC80C9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1974C9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24628AA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36F342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DD9F8E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DB6F339"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E9D913F" w14:textId="77777777" w:rsidR="008C76E0" w:rsidRPr="008C76E0" w:rsidRDefault="008C76E0" w:rsidP="008C76E0">
            <w:pPr>
              <w:pStyle w:val="Bodytext180"/>
              <w:shd w:val="clear" w:color="auto" w:fill="auto"/>
              <w:tabs>
                <w:tab w:val="left" w:pos="572"/>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ՊՀՄՖ-ի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100B657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E2F6A2D"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C08FE2A" w14:textId="77777777" w:rsidR="008C76E0" w:rsidRPr="008C76E0" w:rsidRDefault="008C76E0" w:rsidP="008C76E0">
            <w:pPr>
              <w:pStyle w:val="Bodytext180"/>
              <w:shd w:val="clear" w:color="auto" w:fill="auto"/>
              <w:tabs>
                <w:tab w:val="left" w:pos="57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089FBD0A" w14:textId="77777777" w:rsidTr="004A52D9">
        <w:trPr>
          <w:jc w:val="center"/>
        </w:trPr>
        <w:tc>
          <w:tcPr>
            <w:tcW w:w="4984" w:type="dxa"/>
            <w:gridSpan w:val="4"/>
            <w:tcBorders>
              <w:top w:val="single" w:sz="4" w:space="0" w:color="auto"/>
              <w:left w:val="single" w:sz="4" w:space="0" w:color="auto"/>
            </w:tcBorders>
            <w:shd w:val="clear" w:color="auto" w:fill="FFFFFF"/>
          </w:tcPr>
          <w:p w14:paraId="2040D975"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w:t>
            </w:r>
            <w:r w:rsidRPr="003B2786">
              <w:rPr>
                <w:rStyle w:val="Bodytext1811pt"/>
                <w:rFonts w:ascii="Sylfaen" w:hAnsi="Sylfaen"/>
                <w:sz w:val="24"/>
                <w:szCs w:val="24"/>
              </w:rPr>
              <w:tab/>
              <w:t xml:space="preserve">ՊՄՖ-ի հավաստագրի իրավատիրոջ անվանման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հասցեի փոփոխությունը</w:t>
            </w:r>
          </w:p>
        </w:tc>
        <w:tc>
          <w:tcPr>
            <w:tcW w:w="1883" w:type="dxa"/>
            <w:gridSpan w:val="2"/>
            <w:tcBorders>
              <w:top w:val="single" w:sz="4" w:space="0" w:color="auto"/>
              <w:left w:val="single" w:sz="4" w:space="0" w:color="auto"/>
            </w:tcBorders>
            <w:shd w:val="clear" w:color="auto" w:fill="FFFFFF"/>
          </w:tcPr>
          <w:p w14:paraId="72E312B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C515BE2"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83EB483" w14:textId="77777777" w:rsidR="008C76E0" w:rsidRPr="003B2786" w:rsidRDefault="008C76E0" w:rsidP="008C76E0">
            <w:pPr>
              <w:pStyle w:val="Bodytext180"/>
              <w:shd w:val="clear" w:color="auto" w:fill="auto"/>
              <w:spacing w:before="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697391" w14:textId="77777777" w:rsidTr="004A52D9">
        <w:trPr>
          <w:jc w:val="center"/>
        </w:trPr>
        <w:tc>
          <w:tcPr>
            <w:tcW w:w="4984" w:type="dxa"/>
            <w:gridSpan w:val="4"/>
            <w:tcBorders>
              <w:top w:val="single" w:sz="4" w:space="0" w:color="auto"/>
              <w:left w:val="single" w:sz="4" w:space="0" w:color="auto"/>
            </w:tcBorders>
            <w:shd w:val="clear" w:color="auto" w:fill="FFFFFF"/>
          </w:tcPr>
          <w:p w14:paraId="7323EBFE"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421546D"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4DB0BBD4"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02292E1"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2095994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7D83537E"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2271677"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հավաստագրի իրավատեր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tc>
      </w:tr>
      <w:tr w:rsidR="008C76E0" w:rsidRPr="003B2786" w14:paraId="7F72F76B"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26267F5B"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2DF086DF"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Պաշտոնական փաստաթուղթ՝ համապատասխան լիազորված մարմնի (օրինակ՝ հարկային մարմնի) կողմից, որում նշված է նոր անվանումը կամ հասցեն:</w:t>
            </w:r>
          </w:p>
        </w:tc>
      </w:tr>
      <w:tr w:rsidR="008C76E0" w:rsidRPr="003B2786" w14:paraId="613E6C15"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88ABEFA" w14:textId="77777777" w:rsidR="008C76E0" w:rsidRPr="008C76E0" w:rsidRDefault="008C76E0" w:rsidP="008C76E0">
            <w:pPr>
              <w:pStyle w:val="Bodytext180"/>
              <w:shd w:val="clear" w:color="auto" w:fill="auto"/>
              <w:tabs>
                <w:tab w:val="left" w:pos="556"/>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Դ.3.</w:t>
            </w:r>
            <w:r w:rsidRPr="003B2786">
              <w:rPr>
                <w:rStyle w:val="Bodytext1811pt"/>
                <w:rFonts w:ascii="Sylfaen" w:hAnsi="Sylfaen"/>
                <w:sz w:val="24"/>
                <w:szCs w:val="24"/>
              </w:rPr>
              <w:tab/>
              <w:t>ՊՄՖ-ի հավաստագրի ընթացիկ իրավատիրոջ փոփոխությունը կամ փոխանցումը ՊՄՖ-ի սերտիֆիկատի նոր իրավատիրոջ, այսինքն՝ այլ իրավաբանական անձի</w:t>
            </w:r>
          </w:p>
        </w:tc>
        <w:tc>
          <w:tcPr>
            <w:tcW w:w="1883" w:type="dxa"/>
            <w:gridSpan w:val="2"/>
            <w:tcBorders>
              <w:top w:val="single" w:sz="4" w:space="0" w:color="auto"/>
              <w:left w:val="single" w:sz="4" w:space="0" w:color="auto"/>
            </w:tcBorders>
            <w:shd w:val="clear" w:color="auto" w:fill="FFFFFF"/>
          </w:tcPr>
          <w:p w14:paraId="7DCD6771"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4C06462C"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27BEE405" w14:textId="77777777" w:rsidR="008C76E0" w:rsidRPr="003B2786" w:rsidRDefault="008C76E0" w:rsidP="008C76E0">
            <w:pPr>
              <w:pStyle w:val="Bodytext180"/>
              <w:shd w:val="clear" w:color="auto" w:fill="auto"/>
              <w:spacing w:before="0" w:line="240" w:lineRule="auto"/>
              <w:ind w:left="33"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7C7B5CA6" w14:textId="77777777" w:rsidTr="004A52D9">
        <w:trPr>
          <w:jc w:val="center"/>
        </w:trPr>
        <w:tc>
          <w:tcPr>
            <w:tcW w:w="4984" w:type="dxa"/>
            <w:gridSpan w:val="4"/>
            <w:tcBorders>
              <w:top w:val="single" w:sz="4" w:space="0" w:color="auto"/>
              <w:left w:val="single" w:sz="4" w:space="0" w:color="auto"/>
            </w:tcBorders>
            <w:shd w:val="clear" w:color="auto" w:fill="FFFFFF"/>
          </w:tcPr>
          <w:p w14:paraId="32C53A6C" w14:textId="77777777" w:rsidR="008C76E0" w:rsidRPr="003B2786" w:rsidRDefault="008C76E0" w:rsidP="008C76E0">
            <w:pPr>
              <w:spacing w:after="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35EFE13"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E460B9F"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1, 2, 3, 4, 5, 6</w:t>
            </w:r>
          </w:p>
        </w:tc>
        <w:tc>
          <w:tcPr>
            <w:tcW w:w="1843" w:type="dxa"/>
            <w:gridSpan w:val="2"/>
            <w:tcBorders>
              <w:top w:val="single" w:sz="4" w:space="0" w:color="auto"/>
              <w:left w:val="single" w:sz="4" w:space="0" w:color="auto"/>
              <w:right w:val="single" w:sz="4" w:space="0" w:color="auto"/>
            </w:tcBorders>
            <w:shd w:val="clear" w:color="auto" w:fill="FFFFFF"/>
          </w:tcPr>
          <w:p w14:paraId="6038C21B" w14:textId="77777777" w:rsidR="008C76E0" w:rsidRPr="003B2786" w:rsidRDefault="008C76E0" w:rsidP="008C76E0">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05pt"/>
                <w:rFonts w:ascii="Sylfaen" w:hAnsi="Sylfaen"/>
                <w:sz w:val="24"/>
                <w:szCs w:val="24"/>
              </w:rPr>
              <w:t>IA</w:t>
            </w:r>
            <w:r w:rsidRPr="003B2786">
              <w:rPr>
                <w:rStyle w:val="Bodytext18105pt"/>
                <w:rFonts w:ascii="Sylfaen" w:hAnsi="Sylfaen"/>
                <w:sz w:val="24"/>
                <w:szCs w:val="24"/>
                <w:vertAlign w:val="subscript"/>
              </w:rPr>
              <w:t>ԱՊ</w:t>
            </w:r>
          </w:p>
        </w:tc>
      </w:tr>
      <w:tr w:rsidR="008C76E0" w:rsidRPr="003B2786" w14:paraId="52B19438"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tcPr>
          <w:p w14:paraId="239E3A2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0829A8BD"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Փաստաթուղթը, ներառյալ՝ ՊՄՖ-ի ընթացիկ իրավատիրոջ (իրավունքը օտարող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w:t>
            </w:r>
            <w:r w:rsidR="00C54D75">
              <w:rPr>
                <w:rStyle w:val="Bodytext1811pt"/>
                <w:rFonts w:ascii="Sylfaen" w:hAnsi="Sylfaen"/>
                <w:sz w:val="24"/>
                <w:szCs w:val="24"/>
              </w:rPr>
              <w:t>և</w:t>
            </w:r>
            <w:r w:rsidRPr="003B2786">
              <w:rPr>
                <w:rStyle w:val="Bodytext1811pt"/>
                <w:rFonts w:ascii="Sylfaen" w:hAnsi="Sylfaen"/>
                <w:sz w:val="24"/>
                <w:szCs w:val="24"/>
              </w:rPr>
              <w:t xml:space="preserve"> այն անձի (իրավունք ձեռք բերող անձի) նույնականացումը (անվանումը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հասցեն), որն ընդունում է փոխանցումը, ինչպես նա</w:t>
            </w:r>
            <w:r w:rsidR="00C54D75">
              <w:rPr>
                <w:rStyle w:val="Bodytext1811pt"/>
                <w:rFonts w:ascii="Sylfaen" w:hAnsi="Sylfaen"/>
                <w:sz w:val="24"/>
                <w:szCs w:val="24"/>
              </w:rPr>
              <w:t>և</w:t>
            </w:r>
            <w:r w:rsidRPr="003B2786">
              <w:rPr>
                <w:rStyle w:val="Bodytext1811pt"/>
                <w:rFonts w:ascii="Sylfaen" w:hAnsi="Sylfaen"/>
                <w:sz w:val="24"/>
                <w:szCs w:val="24"/>
              </w:rPr>
              <w:t xml:space="preserve"> երկու ընկերությունների կողմից ստորագրված գործարքի առաջարկվող ամսաթիվը:</w:t>
            </w:r>
          </w:p>
          <w:p w14:paraId="413B0179" w14:textId="77777777" w:rsidR="008C76E0" w:rsidRPr="008C76E0" w:rsidRDefault="008C76E0" w:rsidP="00F66329">
            <w:pPr>
              <w:pStyle w:val="Bodytext180"/>
              <w:shd w:val="clear" w:color="auto" w:fill="auto"/>
              <w:tabs>
                <w:tab w:val="left" w:pos="539"/>
              </w:tabs>
              <w:spacing w:before="0" w:after="12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ՊՄՖ-ի հավաստագրի վերջին էջի պատճենը՝ «Պլազմայի մաստեր-ֆայլի (ՊՄՖ)՝ Միության օրենսդրությանը համապատասխանության սերտիֆիկատը»:</w:t>
            </w:r>
          </w:p>
          <w:p w14:paraId="0FB45C3F"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lastRenderedPageBreak/>
              <w:t>3.</w:t>
            </w:r>
            <w:r w:rsidRPr="008C76E0">
              <w:rPr>
                <w:rFonts w:ascii="Sylfaen" w:hAnsi="Sylfaen"/>
                <w:b w:val="0"/>
                <w:sz w:val="24"/>
                <w:szCs w:val="24"/>
                <w:lang w:val="hy-AM"/>
              </w:rPr>
              <w:tab/>
            </w:r>
            <w:r w:rsidRPr="003B2786">
              <w:rPr>
                <w:rStyle w:val="Bodytext1811pt"/>
                <w:rFonts w:ascii="Sylfaen" w:hAnsi="Sylfaen"/>
                <w:sz w:val="24"/>
                <w:szCs w:val="24"/>
              </w:rPr>
              <w:t xml:space="preserve">Երկու ընկերությունների կողմից ստորագրված՝ նոր իրավատիրոջ գրանցման հաստատումը (քաղվածք՝ իրավաբանական անձանց ռեեստրից, </w:t>
            </w:r>
            <w:r w:rsidR="00C54D75">
              <w:rPr>
                <w:rStyle w:val="Bodytext1811pt"/>
                <w:rFonts w:ascii="Sylfaen" w:hAnsi="Sylfaen"/>
                <w:sz w:val="24"/>
                <w:szCs w:val="24"/>
              </w:rPr>
              <w:t>և</w:t>
            </w:r>
            <w:r w:rsidRPr="003B2786">
              <w:rPr>
                <w:rStyle w:val="Bodytext1811pt"/>
                <w:rFonts w:ascii="Sylfaen" w:hAnsi="Sylfaen"/>
                <w:sz w:val="24"/>
                <w:szCs w:val="24"/>
              </w:rPr>
              <w:t xml:space="preserve"> դրա ռուսերեն թարգմանությունը):</w:t>
            </w:r>
          </w:p>
          <w:p w14:paraId="154395D6"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4.</w:t>
            </w:r>
            <w:r w:rsidRPr="008C76E0">
              <w:rPr>
                <w:rFonts w:ascii="Sylfaen" w:hAnsi="Sylfaen"/>
                <w:b w:val="0"/>
                <w:sz w:val="24"/>
                <w:szCs w:val="24"/>
                <w:lang w:val="hy-AM"/>
              </w:rPr>
              <w:tab/>
            </w:r>
            <w:r w:rsidRPr="003B2786">
              <w:rPr>
                <w:rStyle w:val="Bodytext1811pt"/>
                <w:rFonts w:ascii="Sylfaen" w:hAnsi="Sylfaen"/>
                <w:sz w:val="24"/>
                <w:szCs w:val="24"/>
              </w:rPr>
              <w:t>ՊՄՖ-ի առաջին հավաստագրումից ՊՄՖ-ի բոլոր փաստաթղթերի՝ իրավունք ձեռք բերող անձին փոխանցման հաստատումը՝ ստորագրված երկու ընկերությունների կողմից:</w:t>
            </w:r>
          </w:p>
          <w:p w14:paraId="5CD7E804"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5.</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լիազորագիրը, ներառյալ՝ այն անձի կոնտակտային տեղեկությունները, որը պատասխանատու է լիազորված մարմնի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կապի համար:</w:t>
            </w:r>
          </w:p>
          <w:p w14:paraId="61ECC0E9" w14:textId="77777777" w:rsidR="008C76E0" w:rsidRPr="008C76E0" w:rsidRDefault="008C76E0" w:rsidP="008C76E0">
            <w:pPr>
              <w:pStyle w:val="Bodytext180"/>
              <w:shd w:val="clear" w:color="auto" w:fill="auto"/>
              <w:tabs>
                <w:tab w:val="left" w:pos="53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6.</w:t>
            </w:r>
            <w:r w:rsidRPr="008C76E0">
              <w:rPr>
                <w:rFonts w:ascii="Sylfaen" w:hAnsi="Sylfaen"/>
                <w:b w:val="0"/>
                <w:sz w:val="24"/>
                <w:szCs w:val="24"/>
                <w:lang w:val="hy-AM"/>
              </w:rPr>
              <w:tab/>
            </w:r>
            <w:r w:rsidRPr="003B2786">
              <w:rPr>
                <w:rStyle w:val="Bodytext1811pt"/>
                <w:rFonts w:ascii="Sylfaen" w:hAnsi="Sylfaen"/>
                <w:sz w:val="24"/>
                <w:szCs w:val="24"/>
              </w:rPr>
              <w:t xml:space="preserve">Իրավունք ձեռք բերող անձի կողմից ստորագրված նամակ-պարտավորագիրը՝ բոլոր անկատար </w:t>
            </w:r>
            <w:r w:rsidR="00C54D75">
              <w:rPr>
                <w:rStyle w:val="Bodytext1811pt"/>
                <w:rFonts w:ascii="Sylfaen" w:hAnsi="Sylfaen"/>
                <w:sz w:val="24"/>
                <w:szCs w:val="24"/>
              </w:rPr>
              <w:t>և</w:t>
            </w:r>
            <w:r w:rsidRPr="003B2786">
              <w:rPr>
                <w:rStyle w:val="Bodytext1811pt"/>
                <w:rFonts w:ascii="Sylfaen" w:hAnsi="Sylfaen"/>
                <w:sz w:val="24"/>
                <w:szCs w:val="24"/>
              </w:rPr>
              <w:t xml:space="preserve"> մնացած պարտավորությունների կատարման վերաբերյալ (առկայության դեպքում):</w:t>
            </w:r>
          </w:p>
        </w:tc>
      </w:tr>
      <w:tr w:rsidR="008C76E0" w:rsidRPr="003B2786" w14:paraId="36E2CA5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18FFF90" w14:textId="77777777" w:rsidR="008C76E0" w:rsidRPr="008C76E0" w:rsidRDefault="008C76E0" w:rsidP="008C76E0">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Դ.4.</w:t>
            </w:r>
            <w:r w:rsidRPr="003B2786">
              <w:rPr>
                <w:rStyle w:val="Bodytext1811pt"/>
                <w:rFonts w:ascii="Sylfaen" w:hAnsi="Sylfaen"/>
                <w:sz w:val="24"/>
                <w:szCs w:val="24"/>
              </w:rPr>
              <w:tab/>
              <w:t xml:space="preserve">Արյան հաստատությունների, ներառյալ՝ արյան (պլազմայի) հավաքագրման կենտրոնների անվանումների </w:t>
            </w:r>
            <w:r w:rsidR="00C54D75">
              <w:rPr>
                <w:rStyle w:val="Bodytext1811pt"/>
                <w:rFonts w:ascii="Sylfaen" w:hAnsi="Sylfaen"/>
                <w:sz w:val="24"/>
                <w:szCs w:val="24"/>
              </w:rPr>
              <w:t>և</w:t>
            </w:r>
            <w:r w:rsidRPr="003B2786">
              <w:rPr>
                <w:rStyle w:val="Bodytext1811pt"/>
                <w:rFonts w:ascii="Sylfaen" w:hAnsi="Sylfaen"/>
                <w:sz w:val="24"/>
                <w:szCs w:val="24"/>
              </w:rPr>
              <w:t xml:space="preserve"> (կամ) հասցեների փոփոխությունը</w:t>
            </w:r>
          </w:p>
        </w:tc>
        <w:tc>
          <w:tcPr>
            <w:tcW w:w="1883" w:type="dxa"/>
            <w:gridSpan w:val="2"/>
            <w:tcBorders>
              <w:top w:val="single" w:sz="4" w:space="0" w:color="auto"/>
              <w:left w:val="single" w:sz="4" w:space="0" w:color="auto"/>
            </w:tcBorders>
            <w:shd w:val="clear" w:color="auto" w:fill="FFFFFF"/>
          </w:tcPr>
          <w:p w14:paraId="0C4BFB47"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9F37C9A"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D0012EC" w14:textId="77777777" w:rsidR="008C76E0" w:rsidRPr="003B2786" w:rsidRDefault="008C76E0" w:rsidP="008C76E0">
            <w:pPr>
              <w:pStyle w:val="Bodytext180"/>
              <w:shd w:val="clear" w:color="auto" w:fill="auto"/>
              <w:spacing w:before="0" w:after="120" w:line="240" w:lineRule="auto"/>
              <w:ind w:right="5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F17B227" w14:textId="77777777" w:rsidTr="004A52D9">
        <w:trPr>
          <w:jc w:val="center"/>
        </w:trPr>
        <w:tc>
          <w:tcPr>
            <w:tcW w:w="4984" w:type="dxa"/>
            <w:gridSpan w:val="4"/>
            <w:tcBorders>
              <w:top w:val="single" w:sz="4" w:space="0" w:color="auto"/>
              <w:left w:val="single" w:sz="4" w:space="0" w:color="auto"/>
            </w:tcBorders>
            <w:shd w:val="clear" w:color="auto" w:fill="FFFFFF"/>
          </w:tcPr>
          <w:p w14:paraId="357946F2"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8A3758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01DF833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76B8EAE1"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04FC36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B1A48AD"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A62EBC3"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Արյան հաստատությունը պետք է մնա մի</w:t>
            </w:r>
            <w:r w:rsidR="00C54D75">
              <w:rPr>
                <w:rStyle w:val="Bodytext1811pt"/>
                <w:rFonts w:ascii="Sylfaen" w:hAnsi="Sylfaen"/>
                <w:sz w:val="24"/>
                <w:szCs w:val="24"/>
              </w:rPr>
              <w:t>և</w:t>
            </w:r>
            <w:r w:rsidRPr="003B2786">
              <w:rPr>
                <w:rStyle w:val="Bodytext1811pt"/>
                <w:rFonts w:ascii="Sylfaen" w:hAnsi="Sylfaen"/>
                <w:sz w:val="24"/>
                <w:szCs w:val="24"/>
              </w:rPr>
              <w:t>նույն իրավաբանական անձը:</w:t>
            </w:r>
          </w:p>
          <w:p w14:paraId="3FFB8CA7" w14:textId="77777777" w:rsidR="008C76E0" w:rsidRPr="008C76E0" w:rsidRDefault="008C76E0" w:rsidP="008C76E0">
            <w:pPr>
              <w:pStyle w:val="Bodytext180"/>
              <w:shd w:val="clear" w:color="auto" w:fill="auto"/>
              <w:tabs>
                <w:tab w:val="left" w:pos="589"/>
              </w:tabs>
              <w:spacing w:before="0" w:after="12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Փոփոխությունը պետք է լինի վարչական (օրինակ` միաձուլում, կլանում). արյան հաստատության (պլազմայի հավաքագրման կենտրոնի) անվանման փոփոխությունը՝ արյան հաստատության անփոփոխության դեպքում:</w:t>
            </w:r>
          </w:p>
        </w:tc>
      </w:tr>
      <w:tr w:rsidR="008C76E0" w:rsidRPr="003B2786" w14:paraId="3B02468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080CFF"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2E796E2" w14:textId="4107E7E3"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փոփոխությունը չի ներառում արյան հաստատության որակի համակարգի փոփոխությունը:</w:t>
            </w:r>
          </w:p>
          <w:p w14:paraId="39944CDF" w14:textId="2C51585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Ստորագրված</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հավաքագրման կենտրոնների ցանկի փոփոխություն տեղի չի ունենում:</w:t>
            </w:r>
          </w:p>
          <w:p w14:paraId="0955C8BA" w14:textId="77777777" w:rsidR="008C76E0" w:rsidRPr="008C76E0" w:rsidRDefault="008C76E0" w:rsidP="008C76E0">
            <w:pPr>
              <w:pStyle w:val="Bodytext180"/>
              <w:shd w:val="clear" w:color="auto" w:fill="auto"/>
              <w:tabs>
                <w:tab w:val="left" w:pos="589"/>
              </w:tabs>
              <w:spacing w:before="0" w:line="264" w:lineRule="auto"/>
              <w:ind w:left="159" w:right="221"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50F82E1"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157D93E" w14:textId="77777777" w:rsidR="008C76E0" w:rsidRPr="008C76E0" w:rsidRDefault="008C76E0" w:rsidP="008C76E0">
            <w:pPr>
              <w:pStyle w:val="Bodytext180"/>
              <w:shd w:val="clear" w:color="auto" w:fill="auto"/>
              <w:tabs>
                <w:tab w:val="left" w:pos="556"/>
              </w:tabs>
              <w:spacing w:before="0" w:after="120" w:line="264"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Դ.5.</w:t>
            </w:r>
            <w:r w:rsidRPr="003B2786">
              <w:rPr>
                <w:rStyle w:val="Bodytext1811pt"/>
                <w:rFonts w:ascii="Sylfaen" w:hAnsi="Sylfaen"/>
                <w:sz w:val="24"/>
                <w:szCs w:val="24"/>
              </w:rPr>
              <w:tab/>
              <w:t>ՊՄՖ-ի մեջ ներառված արյան հաստատության շրջանակներում արյան (պլազմայի) հավաքագրման կենտրոնի փոխարինումը կամ ավելացումը</w:t>
            </w:r>
          </w:p>
        </w:tc>
        <w:tc>
          <w:tcPr>
            <w:tcW w:w="1883" w:type="dxa"/>
            <w:gridSpan w:val="2"/>
            <w:tcBorders>
              <w:top w:val="single" w:sz="4" w:space="0" w:color="auto"/>
              <w:left w:val="single" w:sz="4" w:space="0" w:color="auto"/>
            </w:tcBorders>
            <w:shd w:val="clear" w:color="auto" w:fill="FFFFFF"/>
          </w:tcPr>
          <w:p w14:paraId="02360E92"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ED9B1DB"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0890EF4"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A7297F5" w14:textId="77777777" w:rsidTr="004A52D9">
        <w:trPr>
          <w:jc w:val="center"/>
        </w:trPr>
        <w:tc>
          <w:tcPr>
            <w:tcW w:w="4984" w:type="dxa"/>
            <w:gridSpan w:val="4"/>
            <w:tcBorders>
              <w:top w:val="single" w:sz="4" w:space="0" w:color="auto"/>
              <w:left w:val="single" w:sz="4" w:space="0" w:color="auto"/>
            </w:tcBorders>
            <w:shd w:val="clear" w:color="auto" w:fill="FFFFFF"/>
          </w:tcPr>
          <w:p w14:paraId="0F1CBC38" w14:textId="77777777" w:rsidR="008C76E0" w:rsidRPr="003B2786" w:rsidRDefault="008C76E0" w:rsidP="008C76E0">
            <w:pPr>
              <w:spacing w:after="120" w:line="264"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6D78F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EC5DC7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1, 2, 3</w:t>
            </w:r>
          </w:p>
        </w:tc>
        <w:tc>
          <w:tcPr>
            <w:tcW w:w="1843" w:type="dxa"/>
            <w:gridSpan w:val="2"/>
            <w:tcBorders>
              <w:top w:val="single" w:sz="4" w:space="0" w:color="auto"/>
              <w:left w:val="single" w:sz="4" w:space="0" w:color="auto"/>
              <w:right w:val="single" w:sz="4" w:space="0" w:color="auto"/>
            </w:tcBorders>
            <w:shd w:val="clear" w:color="auto" w:fill="FFFFFF"/>
          </w:tcPr>
          <w:p w14:paraId="37A89BE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0A138B4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3C6911"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D97B3EE" w14:textId="49811EF4" w:rsidR="008C76E0" w:rsidRPr="008C76E0" w:rsidRDefault="008C76E0" w:rsidP="008C76E0">
            <w:pPr>
              <w:pStyle w:val="Bodytext180"/>
              <w:shd w:val="clear" w:color="auto" w:fill="auto"/>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Վիրուսային մարկերների մասին համաճարակաբանական տվյալները, որոնք առնչվում են արյան (պլազմայի) հավաքագրման կենտրոնին </w:t>
            </w:r>
            <w:r w:rsidR="00C54D75">
              <w:rPr>
                <w:rStyle w:val="Bodytext1811pt"/>
                <w:rFonts w:ascii="Sylfaen" w:hAnsi="Sylfaen"/>
                <w:sz w:val="24"/>
                <w:szCs w:val="24"/>
              </w:rPr>
              <w:t>և</w:t>
            </w:r>
            <w:r w:rsidRPr="003B2786">
              <w:rPr>
                <w:rStyle w:val="Bodytext1811pt"/>
                <w:rFonts w:ascii="Sylfaen" w:hAnsi="Sylfaen"/>
                <w:sz w:val="24"/>
                <w:szCs w:val="24"/>
              </w:rPr>
              <w:t xml:space="preserve"> ընդգրկում են 3 տարվա կտրվածք: Վերաբացված կենտրոնի (կենտրոնների) առնչությամբ կամ տվյալների բացակայության </w:t>
            </w:r>
            <w:r w:rsidRPr="003B2786">
              <w:rPr>
                <w:rStyle w:val="Bodytext1811pt"/>
                <w:rFonts w:ascii="Sylfaen" w:hAnsi="Sylfaen"/>
                <w:sz w:val="24"/>
                <w:szCs w:val="24"/>
              </w:rPr>
              <w:lastRenderedPageBreak/>
              <w:t>դեպքում՝</w:t>
            </w:r>
            <w:r w:rsidR="005A46D4">
              <w:rPr>
                <w:rStyle w:val="Bodytext1811pt"/>
                <w:rFonts w:ascii="Sylfaen" w:hAnsi="Sylfaen"/>
                <w:sz w:val="24"/>
                <w:szCs w:val="24"/>
              </w:rPr>
              <w:t>հայտարարագիր</w:t>
            </w:r>
            <w:r w:rsidRPr="003B2786">
              <w:rPr>
                <w:rStyle w:val="Bodytext1811pt"/>
                <w:rFonts w:ascii="Sylfaen" w:hAnsi="Sylfaen"/>
                <w:sz w:val="24"/>
                <w:szCs w:val="24"/>
              </w:rPr>
              <w:t xml:space="preserve"> այն մասին, որ համաճարակաբանական տվյալները կներկայացվեն հերթական տարեկան թարմացված տարբերակով:</w:t>
            </w:r>
          </w:p>
          <w:p w14:paraId="5FDE6396"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Նշում այն մասին, որ կենտրոնը գործում է այն նույն պայմաններում, ինչ այլ կենտրոններ, որոնք պատկանում են արյան հաստատությանը՝ համաձայն արյան հաստատության </w:t>
            </w:r>
            <w:r w:rsidR="00C54D75">
              <w:rPr>
                <w:rStyle w:val="Bodytext1811pt"/>
                <w:rFonts w:ascii="Sylfaen" w:hAnsi="Sylfaen"/>
                <w:sz w:val="24"/>
                <w:szCs w:val="24"/>
              </w:rPr>
              <w:t>և</w:t>
            </w:r>
            <w:r w:rsidRPr="003B2786">
              <w:rPr>
                <w:rStyle w:val="Bodytext1811pt"/>
                <w:rFonts w:ascii="Sylfaen" w:hAnsi="Sylfaen"/>
                <w:sz w:val="24"/>
                <w:szCs w:val="24"/>
              </w:rPr>
              <w:t xml:space="preserve"> ՊՄՖ-ի իրավատիրոջ միջ</w:t>
            </w:r>
            <w:r w:rsidR="00C54D75">
              <w:rPr>
                <w:rStyle w:val="Bodytext1811pt"/>
                <w:rFonts w:ascii="Sylfaen" w:hAnsi="Sylfaen"/>
                <w:sz w:val="24"/>
                <w:szCs w:val="24"/>
              </w:rPr>
              <w:t>և</w:t>
            </w:r>
            <w:r w:rsidRPr="003B2786">
              <w:rPr>
                <w:rStyle w:val="Bodytext1811pt"/>
                <w:rFonts w:ascii="Sylfaen" w:hAnsi="Sylfaen"/>
                <w:sz w:val="24"/>
                <w:szCs w:val="24"/>
              </w:rPr>
              <w:t xml:space="preserve"> ստանդարտ պայմանագրի դրույթների:</w:t>
            </w:r>
          </w:p>
          <w:p w14:paraId="719F5F2F" w14:textId="77777777" w:rsidR="008C76E0" w:rsidRPr="008C76E0" w:rsidRDefault="008C76E0" w:rsidP="008C76E0">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3.</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FDE13B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AD310B7" w14:textId="77777777" w:rsidR="008C76E0" w:rsidRPr="008C76E0" w:rsidRDefault="008C76E0" w:rsidP="008C76E0">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Դ.6.</w:t>
            </w:r>
            <w:r w:rsidRPr="003B2786">
              <w:rPr>
                <w:rStyle w:val="Bodytext1811pt"/>
                <w:rFonts w:ascii="Sylfaen" w:hAnsi="Sylfaen"/>
                <w:sz w:val="24"/>
                <w:szCs w:val="24"/>
              </w:rPr>
              <w:tab/>
              <w:t xml:space="preserve">Արյան (պլազմայի) հավաքագրման կամ արյան կամ պլազմայի հանձնման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պուլերի փորձարկման համար օգտագործվող արյան (գործող կամ չգործող) հաստատությունների (կենտրոնների) կարգավիճակի բացառումը կամ փոփոխությունը </w:t>
            </w:r>
          </w:p>
        </w:tc>
        <w:tc>
          <w:tcPr>
            <w:tcW w:w="1883" w:type="dxa"/>
            <w:gridSpan w:val="2"/>
            <w:tcBorders>
              <w:top w:val="single" w:sz="4" w:space="0" w:color="auto"/>
              <w:left w:val="single" w:sz="4" w:space="0" w:color="auto"/>
            </w:tcBorders>
            <w:shd w:val="clear" w:color="auto" w:fill="FFFFFF"/>
          </w:tcPr>
          <w:p w14:paraId="7E350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955CC4"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714B12E"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C1ABF49" w14:textId="77777777" w:rsidTr="004A52D9">
        <w:trPr>
          <w:jc w:val="center"/>
        </w:trPr>
        <w:tc>
          <w:tcPr>
            <w:tcW w:w="4984" w:type="dxa"/>
            <w:gridSpan w:val="4"/>
            <w:tcBorders>
              <w:top w:val="single" w:sz="4" w:space="0" w:color="auto"/>
              <w:left w:val="single" w:sz="4" w:space="0" w:color="auto"/>
            </w:tcBorders>
            <w:shd w:val="clear" w:color="auto" w:fill="FFFFFF"/>
          </w:tcPr>
          <w:p w14:paraId="05A743CD"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7CE0CDB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5741A35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0C23951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22A6F32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39293501"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7CE326E6"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Կարգավիճակի բացառման կամ փոփոխության պատճառները չպետք է պայմանավորված լինեն GMP-ի հետ կապված խնդիրներով:</w:t>
            </w:r>
          </w:p>
          <w:p w14:paraId="315846F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Հաստատությունները (կենտրոնները) պետք է համապատասխանեն տեսչական օրենսդրությանը՝ կարգավիճակը չգործողից գործողի փոփոխելու դեպքում:</w:t>
            </w:r>
          </w:p>
        </w:tc>
      </w:tr>
      <w:tr w:rsidR="008C76E0" w:rsidRPr="003B2786" w14:paraId="2410164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9CB0A50"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D579585"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579D3BF4"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832E76D" w14:textId="77777777" w:rsidR="008C76E0" w:rsidRPr="008C76E0" w:rsidRDefault="008C76E0" w:rsidP="008B6709">
            <w:pPr>
              <w:pStyle w:val="Bodytext180"/>
              <w:shd w:val="clear" w:color="auto" w:fill="auto"/>
              <w:spacing w:before="0" w:after="12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Դ.7.</w:t>
            </w:r>
            <w:r w:rsidRPr="003B2786">
              <w:rPr>
                <w:rStyle w:val="Bodytext1811pt"/>
                <w:rFonts w:ascii="Sylfaen" w:hAnsi="Sylfaen"/>
                <w:sz w:val="24"/>
                <w:szCs w:val="24"/>
              </w:rPr>
              <w:tab/>
              <w:t>Արյան նոր հաստատության ներառումը՝ ՊՄՖ-ի մեջ չներառված արյան (պլազմայի) հավաքագրման նպատակով</w:t>
            </w:r>
          </w:p>
        </w:tc>
        <w:tc>
          <w:tcPr>
            <w:tcW w:w="1883" w:type="dxa"/>
            <w:gridSpan w:val="2"/>
            <w:tcBorders>
              <w:top w:val="single" w:sz="4" w:space="0" w:color="auto"/>
              <w:left w:val="single" w:sz="4" w:space="0" w:color="auto"/>
            </w:tcBorders>
            <w:shd w:val="clear" w:color="auto" w:fill="FFFFFF"/>
          </w:tcPr>
          <w:p w14:paraId="73E50754"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4570D57" w14:textId="77777777" w:rsidR="008C76E0" w:rsidRPr="003B2786" w:rsidRDefault="008C76E0" w:rsidP="008C76E0">
            <w:pPr>
              <w:pStyle w:val="Bodytext180"/>
              <w:shd w:val="clear" w:color="auto" w:fill="auto"/>
              <w:spacing w:before="0" w:after="12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AA784C5"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EABE93" w14:textId="77777777" w:rsidTr="004A52D9">
        <w:trPr>
          <w:jc w:val="center"/>
        </w:trPr>
        <w:tc>
          <w:tcPr>
            <w:tcW w:w="4984" w:type="dxa"/>
            <w:gridSpan w:val="4"/>
            <w:tcBorders>
              <w:top w:val="single" w:sz="4" w:space="0" w:color="auto"/>
              <w:left w:val="single" w:sz="4" w:space="0" w:color="auto"/>
            </w:tcBorders>
            <w:shd w:val="clear" w:color="auto" w:fill="FFFFFF"/>
          </w:tcPr>
          <w:p w14:paraId="4611D6EF" w14:textId="77777777" w:rsidR="008C76E0" w:rsidRPr="003B2786" w:rsidRDefault="008C76E0" w:rsidP="008C76E0">
            <w:pPr>
              <w:spacing w:after="120" w:line="288" w:lineRule="auto"/>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56F59C1"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0BD30D2B"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3AACEC1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24E659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69DBD0F" w14:textId="77777777" w:rsidR="008C76E0" w:rsidRPr="008C76E0" w:rsidRDefault="008C76E0" w:rsidP="008C76E0">
            <w:pPr>
              <w:pStyle w:val="Bodytext180"/>
              <w:shd w:val="clear" w:color="auto" w:fill="auto"/>
              <w:tabs>
                <w:tab w:val="left" w:pos="539"/>
              </w:tabs>
              <w:spacing w:before="0" w:after="12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Դ.8.</w:t>
            </w:r>
            <w:r w:rsidRPr="003B2786">
              <w:rPr>
                <w:rStyle w:val="Bodytext1811pt"/>
                <w:rFonts w:ascii="Sylfaen" w:hAnsi="Sylfaen"/>
                <w:sz w:val="24"/>
                <w:szCs w:val="24"/>
              </w:rPr>
              <w:tab/>
              <w:t xml:space="preserve">Արյան նոր կենտրոնի փոխարինումը կամ ներառումը՝ ՊՄՖ-ի մեջ ներառված հաստատության շրջանակներում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փորձարկման նպատակով </w:t>
            </w:r>
          </w:p>
        </w:tc>
        <w:tc>
          <w:tcPr>
            <w:tcW w:w="1883" w:type="dxa"/>
            <w:gridSpan w:val="2"/>
            <w:tcBorders>
              <w:top w:val="single" w:sz="4" w:space="0" w:color="auto"/>
              <w:left w:val="single" w:sz="4" w:space="0" w:color="auto"/>
            </w:tcBorders>
            <w:shd w:val="clear" w:color="auto" w:fill="FFFFFF"/>
          </w:tcPr>
          <w:p w14:paraId="2C6AB002" w14:textId="77777777" w:rsidR="008C76E0" w:rsidRPr="003B2786" w:rsidRDefault="008C76E0" w:rsidP="008C76E0">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3EF021D" w14:textId="77777777" w:rsidR="008C76E0" w:rsidRPr="003B2786" w:rsidRDefault="008C76E0" w:rsidP="008B6709">
            <w:pPr>
              <w:pStyle w:val="Bodytext180"/>
              <w:shd w:val="clear" w:color="auto" w:fill="auto"/>
              <w:spacing w:before="0" w:after="120" w:line="240" w:lineRule="auto"/>
              <w:ind w:left="31" w:right="-5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330CDA7" w14:textId="77777777" w:rsidR="008C76E0" w:rsidRPr="003B2786" w:rsidRDefault="008C76E0" w:rsidP="008B6709">
            <w:pPr>
              <w:pStyle w:val="Bodytext180"/>
              <w:shd w:val="clear" w:color="auto" w:fill="auto"/>
              <w:spacing w:before="0" w:after="120" w:line="240" w:lineRule="auto"/>
              <w:ind w:left="3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A4C5E4B"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649B6D13" w14:textId="77777777" w:rsidR="008C76E0" w:rsidRPr="003B2786" w:rsidRDefault="008C76E0" w:rsidP="008C76E0">
            <w:pPr>
              <w:spacing w:after="120"/>
              <w:ind w:left="159" w:right="222"/>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39B46657"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58C6FBC9"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64B6223D"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Fonts w:ascii="Sylfaen" w:hAnsi="Sylfaen"/>
                <w:b w:val="0"/>
                <w:sz w:val="24"/>
                <w:szCs w:val="24"/>
              </w:rPr>
              <w:t>IB</w:t>
            </w:r>
          </w:p>
        </w:tc>
      </w:tr>
      <w:tr w:rsidR="008C76E0" w:rsidRPr="003B2786" w14:paraId="1CD6D1B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ECA3ED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4FD863B0"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փորձարկումներն անցկացվում են մի</w:t>
            </w:r>
            <w:r w:rsidR="00C54D75">
              <w:rPr>
                <w:rStyle w:val="Bodytext1811pt"/>
                <w:rFonts w:ascii="Sylfaen" w:hAnsi="Sylfaen"/>
                <w:sz w:val="24"/>
                <w:szCs w:val="24"/>
              </w:rPr>
              <w:t>և</w:t>
            </w:r>
            <w:r w:rsidRPr="003B2786">
              <w:rPr>
                <w:rStyle w:val="Bodytext1811pt"/>
                <w:rFonts w:ascii="Sylfaen" w:hAnsi="Sylfaen"/>
                <w:sz w:val="24"/>
                <w:szCs w:val="24"/>
              </w:rPr>
              <w:t xml:space="preserve">նույն հաստատված ՍԳԸ-ի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փորձարկումների մեթոդների համաձայն:</w:t>
            </w:r>
          </w:p>
          <w:p w14:paraId="3B7544A2"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740DAE5E" w14:textId="77777777" w:rsidTr="004A52D9">
        <w:trPr>
          <w:jc w:val="center"/>
        </w:trPr>
        <w:tc>
          <w:tcPr>
            <w:tcW w:w="4984" w:type="dxa"/>
            <w:gridSpan w:val="4"/>
            <w:tcBorders>
              <w:top w:val="single" w:sz="4" w:space="0" w:color="auto"/>
              <w:left w:val="single" w:sz="4" w:space="0" w:color="auto"/>
            </w:tcBorders>
            <w:shd w:val="clear" w:color="auto" w:fill="FFFFFF"/>
          </w:tcPr>
          <w:p w14:paraId="78376124"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lastRenderedPageBreak/>
              <w:t>Դ.9.</w:t>
            </w:r>
            <w:r w:rsidRPr="003B2786">
              <w:rPr>
                <w:rStyle w:val="Bodytext1811pt"/>
                <w:rFonts w:ascii="Sylfaen" w:hAnsi="Sylfaen"/>
                <w:sz w:val="24"/>
                <w:szCs w:val="24"/>
              </w:rPr>
              <w:tab/>
              <w:t xml:space="preserve">ՊՄՖ-ի մեջ չներառված արյան նոր հաստատության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w:t>
            </w:r>
            <w:r w:rsidR="00C54D75">
              <w:rPr>
                <w:rStyle w:val="Bodytext1811pt"/>
                <w:rFonts w:ascii="Sylfaen" w:hAnsi="Sylfaen"/>
                <w:sz w:val="24"/>
                <w:szCs w:val="24"/>
              </w:rPr>
              <w:t>և</w:t>
            </w:r>
            <w:r w:rsidRPr="003B2786">
              <w:rPr>
                <w:rStyle w:val="Bodytext1811pt"/>
                <w:rFonts w:ascii="Sylfaen" w:hAnsi="Sylfaen"/>
                <w:sz w:val="24"/>
                <w:szCs w:val="24"/>
              </w:rPr>
              <w:t xml:space="preserve"> (կամ) պլազմայի պուլերի դոնացիաների փորձարկումների համար </w:t>
            </w:r>
          </w:p>
        </w:tc>
        <w:tc>
          <w:tcPr>
            <w:tcW w:w="1883" w:type="dxa"/>
            <w:gridSpan w:val="2"/>
            <w:tcBorders>
              <w:top w:val="single" w:sz="4" w:space="0" w:color="auto"/>
              <w:left w:val="single" w:sz="4" w:space="0" w:color="auto"/>
            </w:tcBorders>
            <w:shd w:val="clear" w:color="auto" w:fill="FFFFFF"/>
          </w:tcPr>
          <w:p w14:paraId="7F96AD3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52802305"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18CC6364" w14:textId="77777777" w:rsidR="008C76E0" w:rsidRPr="003B2786" w:rsidRDefault="008C76E0" w:rsidP="00721A6C">
            <w:pPr>
              <w:pStyle w:val="Bodytext180"/>
              <w:shd w:val="clear" w:color="auto" w:fill="auto"/>
              <w:spacing w:before="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6275F79" w14:textId="77777777" w:rsidTr="004A52D9">
        <w:trPr>
          <w:jc w:val="center"/>
        </w:trPr>
        <w:tc>
          <w:tcPr>
            <w:tcW w:w="4984" w:type="dxa"/>
            <w:gridSpan w:val="4"/>
            <w:tcBorders>
              <w:top w:val="single" w:sz="4" w:space="0" w:color="auto"/>
              <w:left w:val="single" w:sz="4" w:space="0" w:color="auto"/>
            </w:tcBorders>
            <w:shd w:val="clear" w:color="auto" w:fill="FFFFFF"/>
          </w:tcPr>
          <w:p w14:paraId="4BE75172"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42C61A7"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5AAF1F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7A11C1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40E16A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865954" w14:textId="77777777" w:rsidR="008C76E0" w:rsidRPr="008C76E0" w:rsidRDefault="008C76E0" w:rsidP="00721A6C">
            <w:pPr>
              <w:pStyle w:val="Bodytext180"/>
              <w:shd w:val="clear" w:color="auto" w:fill="auto"/>
              <w:tabs>
                <w:tab w:val="left" w:pos="760"/>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Դ.10.</w:t>
            </w:r>
            <w:r w:rsidRPr="003B2786">
              <w:rPr>
                <w:rStyle w:val="Bodytext1811pt"/>
                <w:rFonts w:ascii="Sylfaen" w:hAnsi="Sylfaen"/>
                <w:sz w:val="24"/>
                <w:szCs w:val="24"/>
              </w:rPr>
              <w:tab/>
              <w:t xml:space="preserve">Արյան նոր հաստատության կամ կենտրոնի (կենտրոնների) փոխարինումը կամ ներառումը, որտեղ պահպանվում է պլազման </w:t>
            </w:r>
          </w:p>
        </w:tc>
        <w:tc>
          <w:tcPr>
            <w:tcW w:w="1883" w:type="dxa"/>
            <w:gridSpan w:val="2"/>
            <w:tcBorders>
              <w:top w:val="single" w:sz="4" w:space="0" w:color="auto"/>
              <w:left w:val="single" w:sz="4" w:space="0" w:color="auto"/>
            </w:tcBorders>
            <w:shd w:val="clear" w:color="auto" w:fill="FFFFFF"/>
          </w:tcPr>
          <w:p w14:paraId="601DEA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76B7E5DC" w14:textId="77777777" w:rsidR="008C76E0" w:rsidRPr="003B2786" w:rsidRDefault="008C76E0" w:rsidP="00721A6C">
            <w:pPr>
              <w:pStyle w:val="Bodytext180"/>
              <w:shd w:val="clear" w:color="auto" w:fill="auto"/>
              <w:spacing w:before="0" w:line="240" w:lineRule="auto"/>
              <w:ind w:left="65"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7FA2FF2" w14:textId="77777777" w:rsidR="008C76E0" w:rsidRPr="003B2786" w:rsidRDefault="008C76E0" w:rsidP="00721A6C">
            <w:pPr>
              <w:pStyle w:val="Bodytext180"/>
              <w:shd w:val="clear" w:color="auto" w:fill="auto"/>
              <w:spacing w:before="0" w:line="240" w:lineRule="auto"/>
              <w:ind w:left="15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377E03D" w14:textId="77777777" w:rsidTr="004A52D9">
        <w:trPr>
          <w:jc w:val="center"/>
        </w:trPr>
        <w:tc>
          <w:tcPr>
            <w:tcW w:w="4984" w:type="dxa"/>
            <w:gridSpan w:val="4"/>
            <w:tcBorders>
              <w:top w:val="single" w:sz="4" w:space="0" w:color="auto"/>
              <w:left w:val="single" w:sz="4" w:space="0" w:color="auto"/>
            </w:tcBorders>
            <w:shd w:val="clear" w:color="auto" w:fill="FFFFFF"/>
          </w:tcPr>
          <w:p w14:paraId="4B88DAC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3E5F75"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FE0F0C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5382FED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93FC58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8E2655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056AAFF"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Նշում այն մասին, որ պահպանման կենտրոնը գործում է՝ հաստատությունում հաստատված մի</w:t>
            </w:r>
            <w:r w:rsidR="00C54D75">
              <w:rPr>
                <w:rStyle w:val="Bodytext1811pt"/>
                <w:rFonts w:ascii="Sylfaen" w:hAnsi="Sylfaen"/>
                <w:sz w:val="24"/>
                <w:szCs w:val="24"/>
              </w:rPr>
              <w:t>և</w:t>
            </w:r>
            <w:r w:rsidRPr="003B2786">
              <w:rPr>
                <w:rStyle w:val="Bodytext1811pt"/>
                <w:rFonts w:ascii="Sylfaen" w:hAnsi="Sylfaen"/>
                <w:sz w:val="24"/>
                <w:szCs w:val="24"/>
              </w:rPr>
              <w:t>նույն ՍԳԸ-ին համապատասխան:</w:t>
            </w:r>
          </w:p>
          <w:p w14:paraId="47EAE429"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DAE1D98"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E8A5EBB"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Դ.11.</w:t>
            </w:r>
            <w:r w:rsidRPr="003B2786">
              <w:rPr>
                <w:rStyle w:val="Bodytext1811pt"/>
                <w:rFonts w:ascii="Sylfaen" w:hAnsi="Sylfaen"/>
                <w:sz w:val="24"/>
                <w:szCs w:val="24"/>
              </w:rPr>
              <w:tab/>
              <w:t>Արյան հաստատության կամ այն կենտրոնի (կենտրոնների) բացառումը, որտեղ պահպանվում է պլազման</w:t>
            </w:r>
          </w:p>
        </w:tc>
        <w:tc>
          <w:tcPr>
            <w:tcW w:w="1883" w:type="dxa"/>
            <w:gridSpan w:val="2"/>
            <w:tcBorders>
              <w:top w:val="single" w:sz="4" w:space="0" w:color="auto"/>
              <w:left w:val="single" w:sz="4" w:space="0" w:color="auto"/>
            </w:tcBorders>
            <w:shd w:val="clear" w:color="auto" w:fill="FFFFFF"/>
          </w:tcPr>
          <w:p w14:paraId="5D6101BA"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D8C1595" w14:textId="77777777" w:rsidR="008C76E0" w:rsidRPr="003B2786" w:rsidRDefault="008C76E0" w:rsidP="00721A6C">
            <w:pPr>
              <w:pStyle w:val="Bodytext180"/>
              <w:shd w:val="clear" w:color="auto" w:fill="auto"/>
              <w:spacing w:before="0" w:line="240" w:lineRule="auto"/>
              <w:ind w:right="109"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224ED3D"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5923FD9" w14:textId="77777777" w:rsidTr="004A52D9">
        <w:trPr>
          <w:jc w:val="center"/>
        </w:trPr>
        <w:tc>
          <w:tcPr>
            <w:tcW w:w="4984" w:type="dxa"/>
            <w:gridSpan w:val="4"/>
            <w:tcBorders>
              <w:top w:val="single" w:sz="4" w:space="0" w:color="auto"/>
              <w:left w:val="single" w:sz="4" w:space="0" w:color="auto"/>
            </w:tcBorders>
            <w:shd w:val="clear" w:color="auto" w:fill="FFFFFF"/>
          </w:tcPr>
          <w:p w14:paraId="2BB2214B"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BB40240"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C7407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3E001E2B"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E2A89EA"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6A834B5"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Պայմանը</w:t>
            </w:r>
          </w:p>
          <w:p w14:paraId="2DFAEB88" w14:textId="77777777" w:rsidR="008C76E0" w:rsidRPr="008C76E0"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2C742AA1"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0F990C1"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132FF2C" w14:textId="77777777" w:rsidR="008C76E0" w:rsidRPr="008C76E0" w:rsidRDefault="008C76E0" w:rsidP="00F30D28">
            <w:pPr>
              <w:pStyle w:val="Bodytext180"/>
              <w:shd w:val="clear" w:color="auto" w:fill="auto"/>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4AC91DF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7F942EB0" w14:textId="77777777" w:rsidR="008C76E0" w:rsidRPr="008C76E0" w:rsidRDefault="008C76E0" w:rsidP="00F30D28">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Դ.12.</w:t>
            </w:r>
            <w:r w:rsidRPr="003B2786">
              <w:rPr>
                <w:rStyle w:val="Bodytext1811pt"/>
                <w:rFonts w:ascii="Sylfaen" w:hAnsi="Sylfaen"/>
                <w:sz w:val="24"/>
                <w:szCs w:val="24"/>
              </w:rPr>
              <w:tab/>
              <w:t>Պլազմայի փոխադրման մեջ ներգրավված կազմակերպության փոխարինումը կամ ներառումը</w:t>
            </w:r>
          </w:p>
        </w:tc>
        <w:tc>
          <w:tcPr>
            <w:tcW w:w="1883" w:type="dxa"/>
            <w:gridSpan w:val="2"/>
            <w:tcBorders>
              <w:top w:val="single" w:sz="4" w:space="0" w:color="auto"/>
              <w:left w:val="single" w:sz="4" w:space="0" w:color="auto"/>
            </w:tcBorders>
            <w:shd w:val="clear" w:color="auto" w:fill="FFFFFF"/>
          </w:tcPr>
          <w:p w14:paraId="72D00BB9"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25EA6BA" w14:textId="77777777" w:rsidR="008C76E0" w:rsidRPr="003B2786" w:rsidRDefault="008C76E0" w:rsidP="00F66329">
            <w:pPr>
              <w:pStyle w:val="Bodytext180"/>
              <w:shd w:val="clear" w:color="auto" w:fill="auto"/>
              <w:spacing w:before="0" w:after="120" w:line="288" w:lineRule="auto"/>
              <w:ind w:left="65" w:right="-3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2F0469" w14:textId="77777777" w:rsidR="008C76E0" w:rsidRPr="003B2786" w:rsidRDefault="008C76E0" w:rsidP="00F30D28">
            <w:pPr>
              <w:pStyle w:val="Bodytext180"/>
              <w:shd w:val="clear" w:color="auto" w:fill="auto"/>
              <w:tabs>
                <w:tab w:val="left" w:pos="1863"/>
              </w:tabs>
              <w:spacing w:before="0" w:after="120" w:line="240" w:lineRule="auto"/>
              <w:ind w:left="13" w:right="149"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200BA10" w14:textId="77777777" w:rsidTr="004A52D9">
        <w:trPr>
          <w:jc w:val="center"/>
        </w:trPr>
        <w:tc>
          <w:tcPr>
            <w:tcW w:w="4984" w:type="dxa"/>
            <w:gridSpan w:val="4"/>
            <w:tcBorders>
              <w:top w:val="single" w:sz="4" w:space="0" w:color="auto"/>
              <w:left w:val="single" w:sz="4" w:space="0" w:color="auto"/>
            </w:tcBorders>
            <w:shd w:val="clear" w:color="auto" w:fill="FFFFFF"/>
          </w:tcPr>
          <w:p w14:paraId="209057D7" w14:textId="77777777" w:rsidR="008C76E0" w:rsidRPr="003B2786" w:rsidRDefault="008C76E0" w:rsidP="00F30D28">
            <w:pPr>
              <w:spacing w:after="12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C86A048"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3BFC771" w14:textId="77777777" w:rsidR="008C76E0" w:rsidRPr="003B2786" w:rsidRDefault="008C76E0" w:rsidP="00F66329">
            <w:pPr>
              <w:pStyle w:val="Bodytext180"/>
              <w:shd w:val="clear" w:color="auto" w:fill="auto"/>
              <w:spacing w:before="0" w:after="120" w:line="288"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5F53195C" w14:textId="77777777" w:rsidR="008C76E0" w:rsidRPr="003B2786" w:rsidRDefault="008C76E0" w:rsidP="00F30D28">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1285B1C7"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0EEB0E8" w14:textId="77777777" w:rsidR="008C76E0" w:rsidRPr="003B2786" w:rsidRDefault="008C76E0" w:rsidP="00F66329">
            <w:pPr>
              <w:widowControl/>
              <w:autoSpaceDE w:val="0"/>
              <w:autoSpaceDN w:val="0"/>
              <w:adjustRightInd w:val="0"/>
              <w:spacing w:after="120" w:line="288" w:lineRule="auto"/>
              <w:ind w:left="159" w:right="222"/>
              <w:jc w:val="both"/>
              <w:rPr>
                <w:rFonts w:ascii="Sylfaen" w:hAnsi="Sylfaen" w:cs="TimesNewRomanPSMT"/>
                <w:sz w:val="24"/>
                <w:szCs w:val="24"/>
              </w:rPr>
            </w:pPr>
            <w:r w:rsidRPr="003B2786">
              <w:rPr>
                <w:rFonts w:ascii="Sylfaen" w:hAnsi="Sylfaen"/>
                <w:sz w:val="24"/>
                <w:szCs w:val="24"/>
              </w:rPr>
              <w:t>Փաստաթղթերը</w:t>
            </w:r>
          </w:p>
          <w:p w14:paraId="20059DDC" w14:textId="77777777" w:rsidR="008C76E0" w:rsidRPr="003B2786" w:rsidRDefault="008C76E0" w:rsidP="00F66329">
            <w:pPr>
              <w:widowControl/>
              <w:autoSpaceDE w:val="0"/>
              <w:autoSpaceDN w:val="0"/>
              <w:adjustRightInd w:val="0"/>
              <w:spacing w:after="120" w:line="288" w:lineRule="auto"/>
              <w:ind w:left="159" w:right="221"/>
              <w:jc w:val="both"/>
              <w:rPr>
                <w:rFonts w:ascii="Sylfaen" w:hAnsi="Sylfaen"/>
                <w:b/>
                <w:sz w:val="24"/>
                <w:szCs w:val="24"/>
              </w:rPr>
            </w:pPr>
            <w:r w:rsidRPr="003B2786">
              <w:rPr>
                <w:rFonts w:ascii="Sylfaen" w:hAnsi="Sylfaen"/>
                <w:sz w:val="24"/>
                <w:szCs w:val="24"/>
              </w:rPr>
              <w:t>1.</w:t>
            </w:r>
            <w:r w:rsidRPr="003B2786">
              <w:rPr>
                <w:rFonts w:ascii="Sylfaen" w:hAnsi="Sylfaen"/>
                <w:sz w:val="24"/>
                <w:szCs w:val="24"/>
              </w:rPr>
              <w:tab/>
              <w:t xml:space="preserve">ՊՄՖ-ի դոսյեի թարմացված համապատասխան բաժինները </w:t>
            </w:r>
            <w:r w:rsidR="00C54D75">
              <w:rPr>
                <w:rFonts w:ascii="Sylfaen" w:hAnsi="Sylfaen"/>
                <w:sz w:val="24"/>
                <w:szCs w:val="24"/>
              </w:rPr>
              <w:t>և</w:t>
            </w:r>
            <w:r w:rsidRPr="003B2786">
              <w:rPr>
                <w:rFonts w:ascii="Sylfaen" w:hAnsi="Sylfaen"/>
                <w:sz w:val="24"/>
                <w:szCs w:val="24"/>
              </w:rPr>
              <w:t xml:space="preserve"> լրացումները, ներառյալ` այդ տրանսպորտային կազմակերպության կողմից օգտվող արյան բոլոր հաստատությունները, պատշաճ պայմաններում (ժամանակը, ջերմաստիճանը </w:t>
            </w:r>
            <w:r w:rsidR="00C54D75">
              <w:rPr>
                <w:rFonts w:ascii="Sylfaen" w:hAnsi="Sylfaen"/>
                <w:sz w:val="24"/>
                <w:szCs w:val="24"/>
              </w:rPr>
              <w:t>և</w:t>
            </w:r>
            <w:r w:rsidRPr="003B2786">
              <w:rPr>
                <w:rFonts w:ascii="Sylfaen" w:hAnsi="Sylfaen"/>
                <w:sz w:val="24"/>
                <w:szCs w:val="24"/>
              </w:rPr>
              <w:t xml:space="preserve"> համապատասխանությունը պատշաճ արտադրական պրակտիկային) փոխադրումն ապահովող գործող համակարգի ամփոփագիրը </w:t>
            </w:r>
            <w:r w:rsidR="00C54D75">
              <w:rPr>
                <w:rFonts w:ascii="Sylfaen" w:hAnsi="Sylfaen"/>
                <w:sz w:val="24"/>
                <w:szCs w:val="24"/>
              </w:rPr>
              <w:t>և</w:t>
            </w:r>
            <w:r w:rsidRPr="003B2786">
              <w:rPr>
                <w:rFonts w:ascii="Sylfaen" w:hAnsi="Sylfaen"/>
                <w:sz w:val="24"/>
                <w:szCs w:val="24"/>
              </w:rPr>
              <w:t xml:space="preserve"> հավաստումն առ այն, որ փոխադրման պայմանները վալիդացված են:</w:t>
            </w:r>
          </w:p>
        </w:tc>
      </w:tr>
      <w:tr w:rsidR="008C76E0" w:rsidRPr="003B2786" w14:paraId="50F7B9B5" w14:textId="77777777" w:rsidTr="004A52D9">
        <w:trPr>
          <w:jc w:val="center"/>
        </w:trPr>
        <w:tc>
          <w:tcPr>
            <w:tcW w:w="4984" w:type="dxa"/>
            <w:gridSpan w:val="4"/>
            <w:tcBorders>
              <w:top w:val="single" w:sz="4" w:space="0" w:color="auto"/>
              <w:left w:val="single" w:sz="4" w:space="0" w:color="auto"/>
            </w:tcBorders>
            <w:shd w:val="clear" w:color="auto" w:fill="FFFFFF"/>
          </w:tcPr>
          <w:p w14:paraId="2E01E341" w14:textId="77777777" w:rsidR="008C76E0" w:rsidRPr="008C76E0" w:rsidRDefault="008C76E0" w:rsidP="00F30D28">
            <w:pPr>
              <w:pStyle w:val="Bodytext180"/>
              <w:shd w:val="clear" w:color="auto" w:fill="auto"/>
              <w:tabs>
                <w:tab w:val="left" w:pos="1124"/>
              </w:tabs>
              <w:spacing w:before="0" w:after="120" w:line="240" w:lineRule="auto"/>
              <w:ind w:left="159" w:right="221" w:firstLine="0"/>
              <w:rPr>
                <w:rFonts w:ascii="Sylfaen" w:hAnsi="Sylfaen"/>
                <w:b w:val="0"/>
                <w:sz w:val="24"/>
                <w:szCs w:val="24"/>
                <w:lang w:val="hy-AM"/>
              </w:rPr>
            </w:pPr>
            <w:r w:rsidRPr="003B2786">
              <w:rPr>
                <w:rStyle w:val="Bodytext1811pt"/>
                <w:rFonts w:ascii="Sylfaen" w:hAnsi="Sylfaen"/>
                <w:sz w:val="24"/>
                <w:szCs w:val="24"/>
              </w:rPr>
              <w:t>Դ. 13.</w:t>
            </w:r>
            <w:r w:rsidRPr="003B2786">
              <w:rPr>
                <w:rStyle w:val="Bodytext1811pt"/>
                <w:rFonts w:ascii="Sylfaen" w:hAnsi="Sylfaen"/>
                <w:sz w:val="24"/>
                <w:szCs w:val="24"/>
              </w:rPr>
              <w:tab/>
              <w:t>Պլազմայի փոխադրման մեջ ներգրավված կազմակերպության բացառումը</w:t>
            </w:r>
          </w:p>
        </w:tc>
        <w:tc>
          <w:tcPr>
            <w:tcW w:w="1883" w:type="dxa"/>
            <w:gridSpan w:val="2"/>
            <w:tcBorders>
              <w:top w:val="single" w:sz="4" w:space="0" w:color="auto"/>
              <w:left w:val="single" w:sz="4" w:space="0" w:color="auto"/>
            </w:tcBorders>
            <w:shd w:val="clear" w:color="auto" w:fill="FFFFFF"/>
          </w:tcPr>
          <w:p w14:paraId="197804CA" w14:textId="77777777" w:rsidR="008C76E0" w:rsidRPr="003B2786" w:rsidRDefault="008C76E0" w:rsidP="00F66329">
            <w:pPr>
              <w:pStyle w:val="Bodytext180"/>
              <w:shd w:val="clear" w:color="auto" w:fill="auto"/>
              <w:spacing w:before="0" w:after="120" w:line="288"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C5C7A7F" w14:textId="77777777" w:rsidR="008C76E0" w:rsidRPr="003B2786" w:rsidRDefault="008C76E0" w:rsidP="00F66329">
            <w:pPr>
              <w:pStyle w:val="Bodytext180"/>
              <w:shd w:val="clear" w:color="auto" w:fill="auto"/>
              <w:spacing w:before="0" w:after="120" w:line="288"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2D42E0E" w14:textId="77777777" w:rsidR="008C76E0" w:rsidRPr="003B2786" w:rsidRDefault="008C76E0" w:rsidP="00F30D28">
            <w:pPr>
              <w:pStyle w:val="Bodytext180"/>
              <w:shd w:val="clear" w:color="auto" w:fill="auto"/>
              <w:spacing w:before="0" w:after="12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66F27CF8" w14:textId="77777777" w:rsidTr="004A52D9">
        <w:trPr>
          <w:jc w:val="center"/>
        </w:trPr>
        <w:tc>
          <w:tcPr>
            <w:tcW w:w="4984" w:type="dxa"/>
            <w:gridSpan w:val="4"/>
            <w:tcBorders>
              <w:top w:val="single" w:sz="4" w:space="0" w:color="auto"/>
              <w:left w:val="single" w:sz="4" w:space="0" w:color="auto"/>
            </w:tcBorders>
            <w:shd w:val="clear" w:color="auto" w:fill="FFFFFF"/>
          </w:tcPr>
          <w:p w14:paraId="4A9C40E0"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771AF55"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F60478B"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7BA5560A" w14:textId="77777777" w:rsidR="008C76E0" w:rsidRPr="003B2786" w:rsidRDefault="008C76E0" w:rsidP="008C76E0">
            <w:pPr>
              <w:pStyle w:val="Bodytext180"/>
              <w:shd w:val="clear" w:color="auto" w:fill="auto"/>
              <w:spacing w:before="0" w:line="240" w:lineRule="auto"/>
              <w:ind w:left="159" w:right="221" w:firstLine="0"/>
              <w:jc w:val="center"/>
              <w:rPr>
                <w:rStyle w:val="Bodytext1811pt"/>
                <w:rFonts w:ascii="Sylfaen" w:hAnsi="Sylfaen"/>
                <w:sz w:val="24"/>
                <w:szCs w:val="24"/>
              </w:rPr>
            </w:pPr>
            <w:r w:rsidRPr="003B2786">
              <w:rPr>
                <w:rStyle w:val="Bodytext1811pt"/>
                <w:rFonts w:ascii="Sylfaen" w:hAnsi="Sylfaen"/>
                <w:sz w:val="24"/>
                <w:szCs w:val="24"/>
              </w:rPr>
              <w:t>IA</w:t>
            </w:r>
          </w:p>
          <w:p w14:paraId="10E2C6D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p>
        </w:tc>
      </w:tr>
      <w:tr w:rsidR="008C76E0" w:rsidRPr="003B2786" w14:paraId="7843A8F6"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FB11AA5"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lastRenderedPageBreak/>
              <w:t>Պայմանը</w:t>
            </w:r>
          </w:p>
          <w:p w14:paraId="48582301"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Բացառման պատճառը չպետք է պայմանավորված լինի GMP-ի հետ կապված խնդիրներով:</w:t>
            </w:r>
          </w:p>
        </w:tc>
      </w:tr>
      <w:tr w:rsidR="008C76E0" w:rsidRPr="003B2786" w14:paraId="13D8E9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6B5F022"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1CCA317A" w14:textId="77777777" w:rsidR="008C76E0" w:rsidRPr="008C76E0" w:rsidRDefault="008C76E0" w:rsidP="008C76E0">
            <w:pPr>
              <w:pStyle w:val="Bodytext180"/>
              <w:shd w:val="clear" w:color="auto" w:fill="auto"/>
              <w:tabs>
                <w:tab w:val="left" w:pos="55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w:t>
            </w:r>
          </w:p>
        </w:tc>
      </w:tr>
      <w:tr w:rsidR="008C76E0" w:rsidRPr="003B2786" w14:paraId="1B592E6A" w14:textId="77777777" w:rsidTr="004A52D9">
        <w:trPr>
          <w:jc w:val="center"/>
        </w:trPr>
        <w:tc>
          <w:tcPr>
            <w:tcW w:w="4984" w:type="dxa"/>
            <w:gridSpan w:val="4"/>
            <w:tcBorders>
              <w:top w:val="single" w:sz="4" w:space="0" w:color="auto"/>
              <w:left w:val="single" w:sz="4" w:space="0" w:color="auto"/>
            </w:tcBorders>
            <w:shd w:val="clear" w:color="auto" w:fill="FFFFFF"/>
          </w:tcPr>
          <w:p w14:paraId="0372F40C" w14:textId="77777777" w:rsidR="008C76E0" w:rsidRPr="008C76E0" w:rsidRDefault="008C76E0" w:rsidP="008C76E0">
            <w:pPr>
              <w:pStyle w:val="Bodytext180"/>
              <w:shd w:val="clear" w:color="auto" w:fill="auto"/>
              <w:tabs>
                <w:tab w:val="left" w:pos="1124"/>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Դ.14.</w:t>
            </w:r>
            <w:r w:rsidRPr="003B2786">
              <w:rPr>
                <w:rStyle w:val="Bodytext1811pt"/>
                <w:rFonts w:ascii="Sylfaen" w:hAnsi="Sylfaen"/>
                <w:sz w:val="24"/>
                <w:szCs w:val="24"/>
              </w:rPr>
              <w:tab/>
              <w:t xml:space="preserve">Միությունում որպես բժշկական արտադրատեսակ 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C0917E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3E78EFA"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5564E95B" w14:textId="77777777" w:rsidR="008C76E0" w:rsidRPr="003B2786" w:rsidRDefault="008C76E0" w:rsidP="008C76E0">
            <w:pPr>
              <w:pStyle w:val="Bodytext180"/>
              <w:shd w:val="clear" w:color="auto" w:fill="auto"/>
              <w:spacing w:before="0" w:after="12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4ECEE44F" w14:textId="77777777" w:rsidTr="004A52D9">
        <w:trPr>
          <w:jc w:val="center"/>
        </w:trPr>
        <w:tc>
          <w:tcPr>
            <w:tcW w:w="4984" w:type="dxa"/>
            <w:gridSpan w:val="4"/>
            <w:tcBorders>
              <w:top w:val="single" w:sz="4" w:space="0" w:color="auto"/>
              <w:left w:val="single" w:sz="4" w:space="0" w:color="auto"/>
            </w:tcBorders>
            <w:shd w:val="clear" w:color="auto" w:fill="FFFFFF"/>
          </w:tcPr>
          <w:p w14:paraId="475650A1" w14:textId="77777777" w:rsidR="008C76E0" w:rsidRPr="003B2786" w:rsidRDefault="008C76E0" w:rsidP="008C76E0">
            <w:pPr>
              <w:spacing w:after="0"/>
              <w:ind w:left="159" w:right="221"/>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55600C33"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60C0E6F4"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843" w:type="dxa"/>
            <w:gridSpan w:val="2"/>
            <w:tcBorders>
              <w:top w:val="single" w:sz="4" w:space="0" w:color="auto"/>
              <w:left w:val="single" w:sz="4" w:space="0" w:color="auto"/>
              <w:right w:val="single" w:sz="4" w:space="0" w:color="auto"/>
            </w:tcBorders>
            <w:shd w:val="clear" w:color="auto" w:fill="FFFFFF"/>
          </w:tcPr>
          <w:p w14:paraId="63690417" w14:textId="77777777" w:rsidR="008C76E0" w:rsidRPr="003B2786" w:rsidRDefault="008C76E0" w:rsidP="008C76E0">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5D430E62"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219918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59EFBD6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Նոր թեստ-համակարգը Միությունում գրանցված է որպես բժշկական արտադրատեսակ:</w:t>
            </w:r>
          </w:p>
        </w:tc>
      </w:tr>
      <w:tr w:rsidR="008C76E0" w:rsidRPr="003B2786" w14:paraId="4C8487DB" w14:textId="77777777" w:rsidTr="004A52D9">
        <w:trPr>
          <w:jc w:val="center"/>
        </w:trPr>
        <w:tc>
          <w:tcPr>
            <w:tcW w:w="10694" w:type="dxa"/>
            <w:gridSpan w:val="10"/>
            <w:tcBorders>
              <w:top w:val="single" w:sz="4" w:space="0" w:color="auto"/>
              <w:left w:val="single" w:sz="4" w:space="0" w:color="auto"/>
              <w:bottom w:val="single" w:sz="4" w:space="0" w:color="auto"/>
              <w:right w:val="single" w:sz="4" w:space="0" w:color="auto"/>
            </w:tcBorders>
            <w:shd w:val="clear" w:color="auto" w:fill="FFFFFF"/>
            <w:vAlign w:val="bottom"/>
          </w:tcPr>
          <w:p w14:paraId="708BB53E"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AB4FE17"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Փորձարկման այն հարթակների ցանկը, որտեղ օգտագործվում է թեստ-համակարգը:</w:t>
            </w:r>
          </w:p>
        </w:tc>
      </w:tr>
      <w:tr w:rsidR="008C76E0" w:rsidRPr="003B2786" w14:paraId="65332B3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tcPr>
          <w:p w14:paraId="135CABB0" w14:textId="77777777" w:rsidR="008C76E0" w:rsidRPr="008C76E0" w:rsidRDefault="008C76E0" w:rsidP="008C76E0">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2.</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CC3ABE2" w14:textId="77777777" w:rsidTr="004A52D9">
        <w:trPr>
          <w:jc w:val="center"/>
        </w:trPr>
        <w:tc>
          <w:tcPr>
            <w:tcW w:w="4984" w:type="dxa"/>
            <w:gridSpan w:val="4"/>
            <w:tcBorders>
              <w:top w:val="single" w:sz="4" w:space="0" w:color="auto"/>
              <w:left w:val="single" w:sz="4" w:space="0" w:color="auto"/>
            </w:tcBorders>
            <w:shd w:val="clear" w:color="auto" w:fill="FFFFFF"/>
          </w:tcPr>
          <w:p w14:paraId="770DEA98" w14:textId="77777777" w:rsidR="008C76E0" w:rsidRPr="008C76E0" w:rsidRDefault="008C76E0" w:rsidP="008C76E0">
            <w:pPr>
              <w:pStyle w:val="Bodytext180"/>
              <w:shd w:val="clear" w:color="auto" w:fill="auto"/>
              <w:tabs>
                <w:tab w:val="left" w:pos="1091"/>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Դ.15.</w:t>
            </w:r>
            <w:r w:rsidRPr="003B2786">
              <w:rPr>
                <w:rStyle w:val="Bodytext1811pt"/>
                <w:rFonts w:ascii="Sylfaen" w:hAnsi="Sylfaen"/>
                <w:sz w:val="24"/>
                <w:szCs w:val="24"/>
              </w:rPr>
              <w:tab/>
              <w:t xml:space="preserve">Միությունում որպես բժշկական արտադրատեսակ չգրանցված թեստ-համակարգի ներառումը՝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առանձին դոնացիաները որպես նոր թեստ-համակարգ փորձարկելու նպատակով</w:t>
            </w:r>
          </w:p>
        </w:tc>
        <w:tc>
          <w:tcPr>
            <w:tcW w:w="1883" w:type="dxa"/>
            <w:gridSpan w:val="2"/>
            <w:tcBorders>
              <w:top w:val="single" w:sz="4" w:space="0" w:color="auto"/>
              <w:left w:val="single" w:sz="4" w:space="0" w:color="auto"/>
            </w:tcBorders>
            <w:shd w:val="clear" w:color="auto" w:fill="FFFFFF"/>
          </w:tcPr>
          <w:p w14:paraId="6BEDAE9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184FF448"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E5B39C2" w14:textId="77777777" w:rsidR="008C76E0" w:rsidRPr="003B2786" w:rsidRDefault="008C76E0" w:rsidP="008C76E0">
            <w:pPr>
              <w:pStyle w:val="Bodytext180"/>
              <w:shd w:val="clear" w:color="auto" w:fill="auto"/>
              <w:spacing w:before="0" w:after="120" w:line="240" w:lineRule="auto"/>
              <w:ind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3F50A2C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9A5BFDE"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փորձարկման նոր համակարգն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դոնացիաների փորձարկման նպատակով նախկինում հաստատված չի եղել ՊՄՖ-ում՝ արյան ոչ մի կենտրոնի համար</w:t>
            </w:r>
          </w:p>
        </w:tc>
        <w:tc>
          <w:tcPr>
            <w:tcW w:w="1883" w:type="dxa"/>
            <w:gridSpan w:val="2"/>
            <w:tcBorders>
              <w:top w:val="single" w:sz="4" w:space="0" w:color="auto"/>
              <w:left w:val="single" w:sz="4" w:space="0" w:color="auto"/>
            </w:tcBorders>
            <w:shd w:val="clear" w:color="auto" w:fill="FFFFFF"/>
          </w:tcPr>
          <w:p w14:paraId="06BE550F"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4ED1D6C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32937DA"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21605DED"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3826EF0" w14:textId="77777777" w:rsidR="008C76E0" w:rsidRPr="008C76E0" w:rsidRDefault="008C76E0" w:rsidP="008C76E0">
            <w:pPr>
              <w:pStyle w:val="Bodytext180"/>
              <w:shd w:val="clear" w:color="auto" w:fill="auto"/>
              <w:tabs>
                <w:tab w:val="left" w:pos="639"/>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 xml:space="preserve">փորձարկման նոր համակարգն </w:t>
            </w:r>
            <w:r w:rsidRPr="003B2786">
              <w:rPr>
                <w:rStyle w:val="Bodytext1811pt"/>
                <w:rFonts w:ascii="Sylfaen" w:hAnsi="Sylfaen"/>
                <w:spacing w:val="-4"/>
                <w:sz w:val="24"/>
                <w:szCs w:val="24"/>
              </w:rPr>
              <w:t xml:space="preserve">արյան </w:t>
            </w:r>
            <w:r w:rsidR="00C54D75">
              <w:rPr>
                <w:rStyle w:val="Bodytext1811pt"/>
                <w:rFonts w:ascii="Sylfaen" w:hAnsi="Sylfaen"/>
                <w:spacing w:val="-4"/>
                <w:sz w:val="24"/>
                <w:szCs w:val="24"/>
              </w:rPr>
              <w:t>և</w:t>
            </w:r>
            <w:r w:rsidRPr="003B2786">
              <w:rPr>
                <w:rStyle w:val="Bodytext1811pt"/>
                <w:rFonts w:ascii="Sylfaen" w:hAnsi="Sylfaen"/>
                <w:spacing w:val="-4"/>
                <w:sz w:val="24"/>
                <w:szCs w:val="24"/>
              </w:rPr>
              <w:t xml:space="preserve"> պլազմայի դոնացիաների փորձարկման նպատակով հաստատվել է ՊՄՖ-ում՝ արյան այլ կենտրոնների համար</w:t>
            </w:r>
          </w:p>
        </w:tc>
        <w:tc>
          <w:tcPr>
            <w:tcW w:w="1883" w:type="dxa"/>
            <w:gridSpan w:val="2"/>
            <w:tcBorders>
              <w:top w:val="single" w:sz="4" w:space="0" w:color="auto"/>
              <w:left w:val="single" w:sz="4" w:space="0" w:color="auto"/>
            </w:tcBorders>
            <w:shd w:val="clear" w:color="auto" w:fill="FFFFFF"/>
          </w:tcPr>
          <w:p w14:paraId="0DE6A636"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648321DC"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843" w:type="dxa"/>
            <w:gridSpan w:val="2"/>
            <w:tcBorders>
              <w:top w:val="single" w:sz="4" w:space="0" w:color="auto"/>
              <w:left w:val="single" w:sz="4" w:space="0" w:color="auto"/>
              <w:right w:val="single" w:sz="4" w:space="0" w:color="auto"/>
            </w:tcBorders>
            <w:shd w:val="clear" w:color="auto" w:fill="FFFFFF"/>
          </w:tcPr>
          <w:p w14:paraId="15B6D043" w14:textId="77777777" w:rsidR="008C76E0" w:rsidRPr="003B2786" w:rsidRDefault="008C76E0" w:rsidP="008C76E0">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AF7CDA9"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090020C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64F6E176" w14:textId="77777777" w:rsidR="008C76E0" w:rsidRPr="008C76E0" w:rsidRDefault="008C76E0" w:rsidP="00721A6C">
            <w:pPr>
              <w:pStyle w:val="Bodytext180"/>
              <w:shd w:val="clear" w:color="auto" w:fill="auto"/>
              <w:tabs>
                <w:tab w:val="left" w:pos="606"/>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Փորձարկման այն կենտրոնների ցանկը, որտեղ օգտագործվում է թեստ-համակարգը, </w:t>
            </w:r>
            <w:r w:rsidR="00C54D75">
              <w:rPr>
                <w:rStyle w:val="Bodytext1811pt"/>
                <w:rFonts w:ascii="Sylfaen" w:hAnsi="Sylfaen"/>
                <w:sz w:val="24"/>
                <w:szCs w:val="24"/>
              </w:rPr>
              <w:t>և</w:t>
            </w:r>
            <w:r w:rsidRPr="003B2786">
              <w:rPr>
                <w:rStyle w:val="Bodytext1811pt"/>
                <w:rFonts w:ascii="Sylfaen" w:hAnsi="Sylfaen"/>
                <w:sz w:val="24"/>
                <w:szCs w:val="24"/>
              </w:rPr>
              <w:t xml:space="preserve"> փորձարկման այն կենտրոնների ցանկը, որտեղ այն օգտագործվելու է: </w:t>
            </w:r>
          </w:p>
          <w:p w14:paraId="6E346446" w14:textId="77777777" w:rsidR="008C76E0" w:rsidRPr="008C76E0" w:rsidRDefault="008C76E0" w:rsidP="00721A6C">
            <w:pPr>
              <w:pStyle w:val="Bodytext180"/>
              <w:shd w:val="clear" w:color="auto" w:fill="auto"/>
              <w:tabs>
                <w:tab w:val="left" w:pos="623"/>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ՊՄՖ կազմելու մասով Միության պահանջներին համապատասխան իրականացվող փորձարկումների մասին թարմացված տեղեկությունները:</w:t>
            </w:r>
          </w:p>
        </w:tc>
      </w:tr>
      <w:tr w:rsidR="008C76E0" w:rsidRPr="003B2786" w14:paraId="143A24E2"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F99AC87" w14:textId="77777777" w:rsidR="008C76E0" w:rsidRPr="008C76E0" w:rsidRDefault="008C76E0" w:rsidP="00721A6C">
            <w:pPr>
              <w:pStyle w:val="Bodytext180"/>
              <w:shd w:val="clear" w:color="auto" w:fill="auto"/>
              <w:tabs>
                <w:tab w:val="left" w:pos="1142"/>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Դ.16.</w:t>
            </w:r>
            <w:r w:rsidRPr="003B2786">
              <w:rPr>
                <w:rStyle w:val="Bodytext1811pt"/>
                <w:rFonts w:ascii="Sylfaen" w:hAnsi="Sylfaen"/>
                <w:sz w:val="24"/>
                <w:szCs w:val="24"/>
              </w:rPr>
              <w:tab/>
              <w:t xml:space="preserve">Պուլերի փորձարկման (հակամարմնի, հակածնի փորձարկում </w:t>
            </w:r>
            <w:r w:rsidRPr="003B2786">
              <w:rPr>
                <w:rStyle w:val="Bodytext1811pt"/>
                <w:rFonts w:ascii="Sylfaen" w:hAnsi="Sylfaen"/>
                <w:sz w:val="24"/>
                <w:szCs w:val="24"/>
              </w:rPr>
              <w:lastRenderedPageBreak/>
              <w:t>կամ նուկլեինաթթուների ամպլիֆիկացիա) համար օգտագործվող փորձարկման համակարգի (մեթոդի) փոփոխությունը</w:t>
            </w:r>
          </w:p>
        </w:tc>
        <w:tc>
          <w:tcPr>
            <w:tcW w:w="1883" w:type="dxa"/>
            <w:gridSpan w:val="2"/>
            <w:tcBorders>
              <w:top w:val="single" w:sz="4" w:space="0" w:color="auto"/>
              <w:left w:val="single" w:sz="4" w:space="0" w:color="auto"/>
            </w:tcBorders>
            <w:shd w:val="clear" w:color="auto" w:fill="FFFFFF"/>
          </w:tcPr>
          <w:p w14:paraId="057C92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lastRenderedPageBreak/>
              <w:t>Անհրաժեշտ պայմանները</w:t>
            </w:r>
          </w:p>
        </w:tc>
        <w:tc>
          <w:tcPr>
            <w:tcW w:w="1984" w:type="dxa"/>
            <w:gridSpan w:val="2"/>
            <w:tcBorders>
              <w:top w:val="single" w:sz="4" w:space="0" w:color="auto"/>
              <w:left w:val="single" w:sz="4" w:space="0" w:color="auto"/>
            </w:tcBorders>
            <w:shd w:val="clear" w:color="auto" w:fill="FFFFFF"/>
          </w:tcPr>
          <w:p w14:paraId="1713FCAC"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74D115B1"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0E81DB6" w14:textId="77777777" w:rsidTr="004A52D9">
        <w:trPr>
          <w:jc w:val="center"/>
        </w:trPr>
        <w:tc>
          <w:tcPr>
            <w:tcW w:w="4984" w:type="dxa"/>
            <w:gridSpan w:val="4"/>
            <w:tcBorders>
              <w:top w:val="single" w:sz="4" w:space="0" w:color="auto"/>
              <w:left w:val="single" w:sz="4" w:space="0" w:color="auto"/>
            </w:tcBorders>
            <w:shd w:val="clear" w:color="auto" w:fill="FFFFFF"/>
          </w:tcPr>
          <w:p w14:paraId="15A5B610"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114653F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5210D206"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295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6A560419"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3A50FC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3C86E6F" w14:textId="77777777" w:rsidR="008C76E0" w:rsidRPr="008C76E0" w:rsidRDefault="008C76E0" w:rsidP="00721A6C">
            <w:pPr>
              <w:pStyle w:val="Bodytext180"/>
              <w:shd w:val="clear" w:color="auto" w:fill="auto"/>
              <w:tabs>
                <w:tab w:val="left" w:pos="1108"/>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Դ.17.</w:t>
            </w:r>
            <w:r w:rsidRPr="003B2786">
              <w:rPr>
                <w:rStyle w:val="Bodytext1811pt"/>
                <w:rFonts w:ascii="Sylfaen" w:hAnsi="Sylfaen"/>
                <w:sz w:val="24"/>
                <w:szCs w:val="24"/>
              </w:rPr>
              <w:tab/>
              <w:t>Կարանտինային պահպանման ընթացակարգի ներմուծումը կամ ընդլայնումը</w:t>
            </w:r>
          </w:p>
        </w:tc>
        <w:tc>
          <w:tcPr>
            <w:tcW w:w="1883" w:type="dxa"/>
            <w:gridSpan w:val="2"/>
            <w:tcBorders>
              <w:top w:val="single" w:sz="4" w:space="0" w:color="auto"/>
              <w:left w:val="single" w:sz="4" w:space="0" w:color="auto"/>
            </w:tcBorders>
            <w:shd w:val="clear" w:color="auto" w:fill="FFFFFF"/>
          </w:tcPr>
          <w:p w14:paraId="1B4195AF"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3E181518"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Պահանջվող փաստաթղթերը</w:t>
            </w:r>
          </w:p>
        </w:tc>
        <w:tc>
          <w:tcPr>
            <w:tcW w:w="1843" w:type="dxa"/>
            <w:gridSpan w:val="2"/>
            <w:tcBorders>
              <w:top w:val="single" w:sz="4" w:space="0" w:color="auto"/>
              <w:left w:val="single" w:sz="4" w:space="0" w:color="auto"/>
              <w:right w:val="single" w:sz="4" w:space="0" w:color="auto"/>
            </w:tcBorders>
            <w:shd w:val="clear" w:color="auto" w:fill="FFFFFF"/>
          </w:tcPr>
          <w:p w14:paraId="3CEE0E3D" w14:textId="77777777" w:rsidR="008C76E0" w:rsidRPr="003B2786" w:rsidRDefault="008C76E0" w:rsidP="00721A6C">
            <w:pPr>
              <w:pStyle w:val="Bodytext180"/>
              <w:shd w:val="clear" w:color="auto" w:fill="auto"/>
              <w:spacing w:before="0" w:line="240" w:lineRule="auto"/>
              <w:ind w:right="76" w:firstLine="0"/>
              <w:jc w:val="center"/>
              <w:rPr>
                <w:rFonts w:ascii="Sylfaen" w:hAnsi="Sylfaen"/>
                <w:b w:val="0"/>
                <w:sz w:val="24"/>
                <w:szCs w:val="24"/>
              </w:rPr>
            </w:pPr>
            <w:r w:rsidRPr="003B2786">
              <w:rPr>
                <w:rStyle w:val="Bodytext1811pt"/>
                <w:rFonts w:ascii="Sylfaen" w:hAnsi="Sylfaen"/>
                <w:sz w:val="24"/>
                <w:szCs w:val="24"/>
              </w:rPr>
              <w:t>Ընթացակարգի տեսակը</w:t>
            </w:r>
          </w:p>
        </w:tc>
      </w:tr>
      <w:tr w:rsidR="008C76E0" w:rsidRPr="003B2786" w14:paraId="0980D653" w14:textId="77777777" w:rsidTr="004A52D9">
        <w:trPr>
          <w:jc w:val="center"/>
        </w:trPr>
        <w:tc>
          <w:tcPr>
            <w:tcW w:w="4984" w:type="dxa"/>
            <w:gridSpan w:val="4"/>
            <w:tcBorders>
              <w:top w:val="single" w:sz="4" w:space="0" w:color="auto"/>
              <w:left w:val="single" w:sz="4" w:space="0" w:color="auto"/>
            </w:tcBorders>
            <w:shd w:val="clear" w:color="auto" w:fill="FFFFFF"/>
          </w:tcPr>
          <w:p w14:paraId="3E5C1CEA"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6ECE16FF"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7355143E"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1F6860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34B663F3"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2EAAD378"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Պայմանը</w:t>
            </w:r>
          </w:p>
          <w:p w14:paraId="6A7F679A"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Կարանտինային պահպանման ընթացակարգն առավել խիստ է (օրինակ՝ միայն դոնորների կրկնակի ստուգումից հետո բացթողումը):</w:t>
            </w:r>
          </w:p>
        </w:tc>
      </w:tr>
      <w:tr w:rsidR="008C76E0" w:rsidRPr="003B2786" w14:paraId="582FADBD"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425356C"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327F4966"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կարանտինային պահպանման ընթացակարգի ներմուծման կամ ընդլայնման հիմնավորումը, հարթակները, որտեղ իրականացվում է կարանտինային պահպանումը </w:t>
            </w:r>
            <w:r w:rsidR="00C54D75">
              <w:rPr>
                <w:rStyle w:val="Bodytext1811pt"/>
                <w:rFonts w:ascii="Sylfaen" w:hAnsi="Sylfaen"/>
                <w:sz w:val="24"/>
                <w:szCs w:val="24"/>
              </w:rPr>
              <w:t>և</w:t>
            </w:r>
            <w:r w:rsidRPr="003B2786">
              <w:rPr>
                <w:rStyle w:val="Bodytext1811pt"/>
                <w:rFonts w:ascii="Sylfaen" w:hAnsi="Sylfaen"/>
                <w:sz w:val="24"/>
                <w:szCs w:val="24"/>
              </w:rPr>
              <w:t xml:space="preserve"> ընթացակարգի փոփոխությունները, «որոշումների ընդունման ծառը», ներառյալ՝ նոր պայմանները:</w:t>
            </w:r>
          </w:p>
        </w:tc>
      </w:tr>
      <w:tr w:rsidR="008C76E0" w:rsidRPr="003B2786" w14:paraId="5294F2B6"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382903C7" w14:textId="77777777" w:rsidR="008C76E0" w:rsidRPr="008C76E0" w:rsidRDefault="008C76E0" w:rsidP="00721A6C">
            <w:pPr>
              <w:pStyle w:val="Bodytext180"/>
              <w:shd w:val="clear" w:color="auto" w:fill="auto"/>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Դ.18.</w:t>
            </w:r>
            <w:r w:rsidRPr="003B2786">
              <w:rPr>
                <w:rStyle w:val="Bodytext1811pt"/>
                <w:rFonts w:ascii="Sylfaen" w:hAnsi="Sylfaen"/>
                <w:sz w:val="24"/>
                <w:szCs w:val="24"/>
              </w:rPr>
              <w:tab/>
              <w:t>Կարանտինային պահպանման ժամկետի բացառումը կամ դրա տ</w:t>
            </w:r>
            <w:r w:rsidR="00C54D75">
              <w:rPr>
                <w:rStyle w:val="Bodytext1811pt"/>
                <w:rFonts w:ascii="Sylfaen" w:hAnsi="Sylfaen"/>
                <w:sz w:val="24"/>
                <w:szCs w:val="24"/>
              </w:rPr>
              <w:t>և</w:t>
            </w:r>
            <w:r w:rsidRPr="003B2786">
              <w:rPr>
                <w:rStyle w:val="Bodytext1811pt"/>
                <w:rFonts w:ascii="Sylfaen" w:hAnsi="Sylfaen"/>
                <w:sz w:val="24"/>
                <w:szCs w:val="24"/>
              </w:rPr>
              <w:t>ողության կրճատումը</w:t>
            </w:r>
          </w:p>
        </w:tc>
        <w:tc>
          <w:tcPr>
            <w:tcW w:w="1883" w:type="dxa"/>
            <w:gridSpan w:val="2"/>
            <w:tcBorders>
              <w:top w:val="single" w:sz="4" w:space="0" w:color="auto"/>
              <w:left w:val="single" w:sz="4" w:space="0" w:color="auto"/>
            </w:tcBorders>
            <w:shd w:val="clear" w:color="auto" w:fill="FFFFFF"/>
          </w:tcPr>
          <w:p w14:paraId="1882B426"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6945DAE3"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37EB2270"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192AA53E" w14:textId="77777777" w:rsidTr="004A52D9">
        <w:trPr>
          <w:jc w:val="center"/>
        </w:trPr>
        <w:tc>
          <w:tcPr>
            <w:tcW w:w="4984" w:type="dxa"/>
            <w:gridSpan w:val="4"/>
            <w:tcBorders>
              <w:top w:val="single" w:sz="4" w:space="0" w:color="auto"/>
              <w:left w:val="single" w:sz="4" w:space="0" w:color="auto"/>
            </w:tcBorders>
            <w:shd w:val="clear" w:color="auto" w:fill="FFFFFF"/>
          </w:tcPr>
          <w:p w14:paraId="373009A8"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48EF4E31"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295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1F9797AD"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5A29494"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3F34E5D0"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14120D33" w14:textId="77777777" w:rsidR="008C76E0" w:rsidRPr="003B2786" w:rsidRDefault="008C76E0" w:rsidP="005F48B2">
            <w:pPr>
              <w:pStyle w:val="Bodytext180"/>
              <w:shd w:val="clear" w:color="auto" w:fill="auto"/>
              <w:tabs>
                <w:tab w:val="left" w:pos="556"/>
              </w:tabs>
              <w:spacing w:before="0" w:after="120" w:line="240" w:lineRule="auto"/>
              <w:ind w:left="159" w:right="221" w:firstLine="0"/>
              <w:jc w:val="both"/>
              <w:rPr>
                <w:rFonts w:ascii="Sylfaen" w:hAnsi="Sylfaen"/>
                <w:b w:val="0"/>
                <w:sz w:val="24"/>
                <w:szCs w:val="24"/>
              </w:rPr>
            </w:pPr>
            <w:r w:rsidRPr="003B2786">
              <w:rPr>
                <w:rStyle w:val="Bodytext1811pt"/>
                <w:rFonts w:ascii="Sylfaen" w:hAnsi="Sylfaen"/>
                <w:sz w:val="24"/>
                <w:szCs w:val="24"/>
              </w:rPr>
              <w:t>Փաստաթղթերը</w:t>
            </w:r>
          </w:p>
          <w:p w14:paraId="1391108E" w14:textId="77777777" w:rsidR="008C76E0" w:rsidRPr="003B2786" w:rsidRDefault="008C76E0" w:rsidP="005F48B2">
            <w:pPr>
              <w:pStyle w:val="Bodytext180"/>
              <w:numPr>
                <w:ilvl w:val="0"/>
                <w:numId w:val="24"/>
              </w:numPr>
              <w:shd w:val="clear" w:color="auto" w:fill="auto"/>
              <w:tabs>
                <w:tab w:val="left" w:pos="556"/>
              </w:tabs>
              <w:spacing w:before="0" w:after="120" w:line="240" w:lineRule="auto"/>
              <w:ind w:right="221"/>
              <w:jc w:val="both"/>
              <w:rPr>
                <w:rFonts w:ascii="Sylfaen" w:hAnsi="Sylfaen"/>
                <w:b w:val="0"/>
                <w:sz w:val="24"/>
                <w:szCs w:val="24"/>
              </w:rPr>
            </w:pPr>
            <w:r w:rsidRPr="003B2786">
              <w:rPr>
                <w:rStyle w:val="Bodytext1811pt"/>
                <w:rFonts w:ascii="Sylfaen" w:hAnsi="Sylfaen"/>
                <w:sz w:val="24"/>
                <w:szCs w:val="24"/>
              </w:rPr>
              <w:t>ՊՄՖ-ի դոսյեի թարմացված համապատասխան բաժինները:</w:t>
            </w:r>
          </w:p>
        </w:tc>
      </w:tr>
      <w:tr w:rsidR="008C76E0" w:rsidRPr="003B2786" w14:paraId="26D0745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6B612850" w14:textId="77777777" w:rsidR="008C76E0" w:rsidRPr="008C76E0" w:rsidRDefault="008C76E0" w:rsidP="005F48B2">
            <w:pPr>
              <w:pStyle w:val="Bodytext180"/>
              <w:shd w:val="clear" w:color="auto" w:fill="auto"/>
              <w:tabs>
                <w:tab w:val="left" w:pos="860"/>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Դ.19.</w:t>
            </w:r>
            <w:r w:rsidRPr="003B2786">
              <w:rPr>
                <w:rStyle w:val="Bodytext1811pt"/>
                <w:rFonts w:ascii="Sylfaen" w:hAnsi="Sylfaen"/>
                <w:sz w:val="24"/>
                <w:szCs w:val="24"/>
              </w:rPr>
              <w:tab/>
              <w:t>Արյան համար նախատեսված կոնտեյներների (օրինակ՝ տոպրակների, սրվակների) փոխարինումը կամ ավելացումը</w:t>
            </w:r>
          </w:p>
        </w:tc>
        <w:tc>
          <w:tcPr>
            <w:tcW w:w="1883" w:type="dxa"/>
            <w:gridSpan w:val="2"/>
            <w:tcBorders>
              <w:top w:val="single" w:sz="4" w:space="0" w:color="auto"/>
              <w:left w:val="single" w:sz="4" w:space="0" w:color="auto"/>
            </w:tcBorders>
            <w:shd w:val="clear" w:color="auto" w:fill="FFFFFF"/>
          </w:tcPr>
          <w:p w14:paraId="09547768"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8758B74" w14:textId="77777777" w:rsidR="008C76E0" w:rsidRPr="003B2786" w:rsidRDefault="008C76E0" w:rsidP="005F48B2">
            <w:pPr>
              <w:pStyle w:val="Bodytext180"/>
              <w:shd w:val="clear" w:color="auto" w:fill="auto"/>
              <w:spacing w:before="0" w:after="120" w:line="240" w:lineRule="auto"/>
              <w:ind w:right="-65" w:firstLine="0"/>
              <w:jc w:val="center"/>
              <w:rPr>
                <w:rStyle w:val="Bodytext1811pt"/>
                <w:rFonts w:ascii="Sylfaen" w:hAnsi="Sylfaen"/>
                <w:sz w:val="24"/>
                <w:szCs w:val="24"/>
              </w:rPr>
            </w:pPr>
            <w:r w:rsidRPr="003B2786">
              <w:rPr>
                <w:rStyle w:val="Bodytext1811pt"/>
                <w:rFonts w:ascii="Sylfaen" w:hAnsi="Sylfaen"/>
                <w:sz w:val="24"/>
                <w:szCs w:val="24"/>
              </w:rPr>
              <w:t xml:space="preserve">Փաստաթղթերը </w:t>
            </w:r>
          </w:p>
          <w:p w14:paraId="20739D3C" w14:textId="77777777" w:rsidR="008C76E0" w:rsidRPr="003B2786" w:rsidRDefault="00C54D75" w:rsidP="005F48B2">
            <w:pPr>
              <w:pStyle w:val="Bodytext180"/>
              <w:shd w:val="clear" w:color="auto" w:fill="auto"/>
              <w:spacing w:before="0" w:after="120" w:line="240" w:lineRule="auto"/>
              <w:ind w:right="-65" w:firstLine="0"/>
              <w:jc w:val="center"/>
              <w:rPr>
                <w:rFonts w:ascii="Sylfaen" w:hAnsi="Sylfaen"/>
                <w:b w:val="0"/>
                <w:sz w:val="24"/>
                <w:szCs w:val="24"/>
              </w:rPr>
            </w:pPr>
            <w:r>
              <w:rPr>
                <w:rStyle w:val="Bodytext1811pt"/>
                <w:rFonts w:ascii="Sylfaen" w:hAnsi="Sylfaen"/>
                <w:sz w:val="24"/>
                <w:szCs w:val="24"/>
              </w:rPr>
              <w:t>և</w:t>
            </w:r>
            <w:r w:rsidR="008C76E0"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0E63D433" w14:textId="77777777" w:rsidR="008C76E0" w:rsidRPr="003B2786" w:rsidRDefault="008C76E0" w:rsidP="005F48B2">
            <w:pPr>
              <w:pStyle w:val="Bodytext180"/>
              <w:shd w:val="clear" w:color="auto" w:fill="auto"/>
              <w:spacing w:before="0" w:after="120" w:line="240" w:lineRule="auto"/>
              <w:ind w:right="-65"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0352CE8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60C9A02"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pacing w:val="-6"/>
                <w:sz w:val="24"/>
                <w:szCs w:val="24"/>
              </w:rPr>
              <w:t>)</w:t>
            </w:r>
            <w:r w:rsidRPr="003B2786">
              <w:rPr>
                <w:rStyle w:val="Bodytext1811pt"/>
                <w:rFonts w:ascii="Sylfaen" w:hAnsi="Sylfaen"/>
                <w:spacing w:val="-6"/>
                <w:sz w:val="24"/>
                <w:szCs w:val="24"/>
              </w:rPr>
              <w:tab/>
              <w:t>Արյան համար նախատեսված նոր կոնտեյներները Միությունում գրանցված են որպես բժշկական արտադրատեսակ</w:t>
            </w:r>
          </w:p>
        </w:tc>
        <w:tc>
          <w:tcPr>
            <w:tcW w:w="1883" w:type="dxa"/>
            <w:gridSpan w:val="2"/>
            <w:tcBorders>
              <w:top w:val="single" w:sz="4" w:space="0" w:color="auto"/>
              <w:left w:val="single" w:sz="4" w:space="0" w:color="auto"/>
            </w:tcBorders>
            <w:shd w:val="clear" w:color="auto" w:fill="FFFFFF"/>
          </w:tcPr>
          <w:p w14:paraId="4C7CF52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1,2</w:t>
            </w:r>
          </w:p>
        </w:tc>
        <w:tc>
          <w:tcPr>
            <w:tcW w:w="1984" w:type="dxa"/>
            <w:gridSpan w:val="2"/>
            <w:tcBorders>
              <w:top w:val="single" w:sz="4" w:space="0" w:color="auto"/>
              <w:left w:val="single" w:sz="4" w:space="0" w:color="auto"/>
            </w:tcBorders>
            <w:shd w:val="clear" w:color="auto" w:fill="FFFFFF"/>
          </w:tcPr>
          <w:p w14:paraId="70D4A184"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28453D71"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9A6F5AD"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vAlign w:val="bottom"/>
          </w:tcPr>
          <w:p w14:paraId="1AC9C68B" w14:textId="77777777" w:rsidR="008C76E0" w:rsidRPr="008C76E0" w:rsidRDefault="008C76E0" w:rsidP="005F48B2">
            <w:pPr>
              <w:pStyle w:val="Bodytext180"/>
              <w:shd w:val="clear" w:color="auto" w:fill="auto"/>
              <w:tabs>
                <w:tab w:val="left" w:pos="556"/>
              </w:tabs>
              <w:spacing w:before="0" w:after="12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Արյան համար նախատեսված նոր կոնտեյներները Միությունում գրանցված չեն որպես բժշկական արտադրատեսակ</w:t>
            </w:r>
          </w:p>
        </w:tc>
        <w:tc>
          <w:tcPr>
            <w:tcW w:w="1883" w:type="dxa"/>
            <w:gridSpan w:val="2"/>
            <w:tcBorders>
              <w:top w:val="single" w:sz="4" w:space="0" w:color="auto"/>
              <w:left w:val="single" w:sz="4" w:space="0" w:color="auto"/>
              <w:bottom w:val="single" w:sz="4" w:space="0" w:color="auto"/>
            </w:tcBorders>
            <w:shd w:val="clear" w:color="auto" w:fill="FFFFFF"/>
          </w:tcPr>
          <w:p w14:paraId="49D29080"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2DFE4C5A"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0FC3E7F9" w14:textId="77777777" w:rsidR="008C76E0" w:rsidRPr="003B2786" w:rsidRDefault="008C76E0" w:rsidP="005F48B2">
            <w:pPr>
              <w:pStyle w:val="Bodytext180"/>
              <w:shd w:val="clear" w:color="auto" w:fill="auto"/>
              <w:spacing w:before="0" w:after="12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1DAB400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52BCCDB"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5ED3B0"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Կոնտեյները Միությունում գրանցված է որպես բժշկական արտադրատեսակ:</w:t>
            </w:r>
          </w:p>
          <w:p w14:paraId="1CEBD085"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Կոնտեյներում պահվող արյան որակի չափորոշիչները չեն փոփոխվում:</w:t>
            </w:r>
          </w:p>
        </w:tc>
      </w:tr>
      <w:tr w:rsidR="008C76E0" w:rsidRPr="003B2786" w14:paraId="2A605318"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DC431D8"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AB91B7C" w14:textId="77777777" w:rsidR="008C76E0" w:rsidRPr="008C76E0" w:rsidRDefault="008C76E0" w:rsidP="00F66329">
            <w:pPr>
              <w:pStyle w:val="Bodytext180"/>
              <w:shd w:val="clear" w:color="auto" w:fill="auto"/>
              <w:tabs>
                <w:tab w:val="left" w:pos="572"/>
              </w:tabs>
              <w:spacing w:before="0" w:line="288"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կոնտեյների, արտադրողի անվանումը, հակակոագուլյանտի լուծույթի մասնագիրը, </w:t>
            </w:r>
            <w:r w:rsidRPr="003B2786">
              <w:rPr>
                <w:rStyle w:val="Bodytext1811pt"/>
                <w:rFonts w:ascii="Sylfaen" w:hAnsi="Sylfaen"/>
                <w:sz w:val="24"/>
                <w:szCs w:val="24"/>
              </w:rPr>
              <w:lastRenderedPageBreak/>
              <w:t xml:space="preserve">Միությունում գրանցման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անվանումը, որտեղ օգտագործվում է կոնտեյները:</w:t>
            </w:r>
          </w:p>
        </w:tc>
      </w:tr>
      <w:tr w:rsidR="008C76E0" w:rsidRPr="003B2786" w14:paraId="0F7F996C"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4C607AB0" w14:textId="77777777" w:rsidR="008C76E0" w:rsidRPr="003B2786" w:rsidRDefault="008C76E0" w:rsidP="00721A6C">
            <w:pPr>
              <w:pStyle w:val="Bodytext180"/>
              <w:shd w:val="clear" w:color="auto" w:fill="auto"/>
              <w:tabs>
                <w:tab w:val="left" w:pos="1124"/>
              </w:tabs>
              <w:spacing w:before="0" w:line="240" w:lineRule="auto"/>
              <w:ind w:left="159" w:right="221" w:firstLine="0"/>
              <w:jc w:val="both"/>
              <w:rPr>
                <w:rFonts w:ascii="Sylfaen" w:hAnsi="Sylfaen"/>
                <w:b w:val="0"/>
                <w:sz w:val="24"/>
                <w:szCs w:val="24"/>
              </w:rPr>
            </w:pPr>
            <w:r w:rsidRPr="003B2786">
              <w:rPr>
                <w:rStyle w:val="Bodytext1811pt"/>
                <w:rFonts w:ascii="Sylfaen" w:hAnsi="Sylfaen"/>
                <w:sz w:val="24"/>
                <w:szCs w:val="24"/>
              </w:rPr>
              <w:lastRenderedPageBreak/>
              <w:t>Դ.20.</w:t>
            </w:r>
            <w:r w:rsidRPr="003B2786">
              <w:rPr>
                <w:rStyle w:val="Bodytext1811pt"/>
                <w:rFonts w:ascii="Sylfaen" w:hAnsi="Sylfaen"/>
                <w:sz w:val="24"/>
                <w:szCs w:val="24"/>
              </w:rPr>
              <w:tab/>
              <w:t>Պահպանման (փոխադրման) փոփոխությունը</w:t>
            </w:r>
          </w:p>
        </w:tc>
        <w:tc>
          <w:tcPr>
            <w:tcW w:w="1883" w:type="dxa"/>
            <w:gridSpan w:val="2"/>
            <w:tcBorders>
              <w:top w:val="single" w:sz="4" w:space="0" w:color="auto"/>
              <w:left w:val="single" w:sz="4" w:space="0" w:color="auto"/>
            </w:tcBorders>
            <w:shd w:val="clear" w:color="auto" w:fill="FFFFFF"/>
          </w:tcPr>
          <w:p w14:paraId="2C4F89E8" w14:textId="77777777" w:rsidR="008C76E0" w:rsidRPr="003B2786" w:rsidRDefault="008C76E0" w:rsidP="00721A6C">
            <w:pPr>
              <w:pStyle w:val="Bodytext180"/>
              <w:shd w:val="clear" w:color="auto" w:fill="auto"/>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26A4634" w14:textId="77777777" w:rsidR="008C76E0" w:rsidRPr="003B2786" w:rsidRDefault="008C76E0" w:rsidP="00721A6C">
            <w:pPr>
              <w:pStyle w:val="Bodytext180"/>
              <w:shd w:val="clear" w:color="auto" w:fill="auto"/>
              <w:spacing w:before="0" w:line="240" w:lineRule="auto"/>
              <w:ind w:right="221"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213DFDB" w14:textId="77777777" w:rsidR="008C76E0" w:rsidRPr="003B2786" w:rsidRDefault="008C76E0" w:rsidP="00721A6C">
            <w:pPr>
              <w:pStyle w:val="Bodytext180"/>
              <w:shd w:val="clear" w:color="auto" w:fill="auto"/>
              <w:spacing w:before="0" w:line="240" w:lineRule="auto"/>
              <w:ind w:left="13" w:right="221"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D0069EA"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D2D8BF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ա)</w:t>
            </w:r>
            <w:r w:rsidRPr="003B2786">
              <w:rPr>
                <w:rStyle w:val="Bodytext1811pt"/>
                <w:rFonts w:ascii="Sylfaen" w:hAnsi="Sylfaen"/>
                <w:sz w:val="24"/>
                <w:szCs w:val="24"/>
              </w:rPr>
              <w:tab/>
              <w:t xml:space="preserve">պահպանման </w:t>
            </w:r>
            <w:r w:rsidR="00C54D75">
              <w:rPr>
                <w:rStyle w:val="Bodytext1811pt"/>
                <w:rFonts w:ascii="Sylfaen" w:hAnsi="Sylfaen"/>
                <w:sz w:val="24"/>
                <w:szCs w:val="24"/>
              </w:rPr>
              <w:t>և</w:t>
            </w:r>
            <w:r w:rsidRPr="003B2786">
              <w:rPr>
                <w:rStyle w:val="Bodytext1811pt"/>
                <w:rFonts w:ascii="Sylfaen" w:hAnsi="Sylfaen"/>
                <w:sz w:val="24"/>
                <w:szCs w:val="24"/>
              </w:rPr>
              <w:t xml:space="preserve"> (կամ) փոխադրման պայմանները</w:t>
            </w:r>
          </w:p>
        </w:tc>
        <w:tc>
          <w:tcPr>
            <w:tcW w:w="1883" w:type="dxa"/>
            <w:gridSpan w:val="2"/>
            <w:tcBorders>
              <w:top w:val="single" w:sz="4" w:space="0" w:color="auto"/>
              <w:left w:val="single" w:sz="4" w:space="0" w:color="auto"/>
            </w:tcBorders>
            <w:shd w:val="clear" w:color="auto" w:fill="FFFFFF"/>
          </w:tcPr>
          <w:p w14:paraId="475E6FDF"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984" w:type="dxa"/>
            <w:gridSpan w:val="2"/>
            <w:tcBorders>
              <w:top w:val="single" w:sz="4" w:space="0" w:color="auto"/>
              <w:left w:val="single" w:sz="4" w:space="0" w:color="auto"/>
            </w:tcBorders>
            <w:shd w:val="clear" w:color="auto" w:fill="FFFFFF"/>
          </w:tcPr>
          <w:p w14:paraId="0CF6974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B1558E6"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082A5847"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03EC0151"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բ)</w:t>
            </w:r>
            <w:r w:rsidRPr="003B2786">
              <w:rPr>
                <w:rStyle w:val="Bodytext1811pt"/>
                <w:rFonts w:ascii="Sylfaen" w:hAnsi="Sylfaen"/>
                <w:sz w:val="24"/>
                <w:szCs w:val="24"/>
              </w:rPr>
              <w:tab/>
              <w:t>պլազմայի պահպանման առավելագույն ժամկետը</w:t>
            </w:r>
          </w:p>
        </w:tc>
        <w:tc>
          <w:tcPr>
            <w:tcW w:w="1883" w:type="dxa"/>
            <w:gridSpan w:val="2"/>
            <w:tcBorders>
              <w:top w:val="single" w:sz="4" w:space="0" w:color="auto"/>
              <w:left w:val="single" w:sz="4" w:space="0" w:color="auto"/>
            </w:tcBorders>
            <w:shd w:val="clear" w:color="auto" w:fill="FFFFFF"/>
          </w:tcPr>
          <w:p w14:paraId="0FFB2299"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1, 2</w:t>
            </w:r>
          </w:p>
        </w:tc>
        <w:tc>
          <w:tcPr>
            <w:tcW w:w="1984" w:type="dxa"/>
            <w:gridSpan w:val="2"/>
            <w:tcBorders>
              <w:top w:val="single" w:sz="4" w:space="0" w:color="auto"/>
              <w:left w:val="single" w:sz="4" w:space="0" w:color="auto"/>
            </w:tcBorders>
            <w:shd w:val="clear" w:color="auto" w:fill="FFFFFF"/>
          </w:tcPr>
          <w:p w14:paraId="306AF477"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12314B81" w14:textId="77777777" w:rsidR="008C76E0" w:rsidRPr="003B2786" w:rsidRDefault="008C76E0" w:rsidP="00721A6C">
            <w:pPr>
              <w:pStyle w:val="Bodytext180"/>
              <w:shd w:val="clear" w:color="auto" w:fill="auto"/>
              <w:tabs>
                <w:tab w:val="left" w:pos="589"/>
              </w:tabs>
              <w:spacing w:before="0" w:line="240" w:lineRule="auto"/>
              <w:ind w:left="159" w:right="221" w:firstLine="0"/>
              <w:jc w:val="center"/>
              <w:rPr>
                <w:rFonts w:ascii="Sylfaen" w:hAnsi="Sylfaen"/>
                <w:b w:val="0"/>
                <w:sz w:val="24"/>
                <w:szCs w:val="24"/>
              </w:rPr>
            </w:pPr>
            <w:r w:rsidRPr="003B2786">
              <w:rPr>
                <w:rStyle w:val="Bodytext1811pt"/>
                <w:rFonts w:ascii="Sylfaen" w:hAnsi="Sylfaen"/>
                <w:sz w:val="24"/>
                <w:szCs w:val="24"/>
              </w:rPr>
              <w:t>IA</w:t>
            </w:r>
          </w:p>
        </w:tc>
      </w:tr>
      <w:tr w:rsidR="008C76E0" w:rsidRPr="003B2786" w14:paraId="65EAAF1E"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5B89490C"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3B2786">
              <w:rPr>
                <w:rStyle w:val="Bodytext1811pt"/>
                <w:rFonts w:ascii="Sylfaen" w:hAnsi="Sylfaen"/>
                <w:sz w:val="24"/>
                <w:szCs w:val="24"/>
              </w:rPr>
              <w:t>Պայմանները</w:t>
            </w:r>
          </w:p>
          <w:p w14:paraId="3CC44679"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1.</w:t>
            </w:r>
            <w:r w:rsidRPr="008C76E0">
              <w:rPr>
                <w:rFonts w:ascii="Sylfaen" w:hAnsi="Sylfaen"/>
                <w:b w:val="0"/>
                <w:sz w:val="24"/>
                <w:szCs w:val="24"/>
                <w:lang w:val="hy-AM"/>
              </w:rPr>
              <w:tab/>
            </w:r>
            <w:r w:rsidRPr="003B2786">
              <w:rPr>
                <w:rStyle w:val="Bodytext1811pt"/>
                <w:rFonts w:ascii="Sylfaen" w:hAnsi="Sylfaen"/>
                <w:sz w:val="24"/>
                <w:szCs w:val="24"/>
              </w:rPr>
              <w:t xml:space="preserve">Փոփոխությունը պետք է խստացնի պայմանները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համապատասխանի թորզատման համար մարդու պլազմային ներկայացվող Միության դեղագրքի պահանջներին:</w:t>
            </w:r>
          </w:p>
          <w:p w14:paraId="50D06620" w14:textId="77777777" w:rsidR="008C76E0" w:rsidRPr="008C76E0" w:rsidRDefault="008C76E0" w:rsidP="00721A6C">
            <w:pPr>
              <w:pStyle w:val="Bodytext180"/>
              <w:shd w:val="clear" w:color="auto" w:fill="auto"/>
              <w:tabs>
                <w:tab w:val="left" w:pos="589"/>
              </w:tabs>
              <w:spacing w:before="0" w:line="240" w:lineRule="auto"/>
              <w:ind w:left="159" w:right="221" w:firstLine="0"/>
              <w:jc w:val="both"/>
              <w:rPr>
                <w:rFonts w:ascii="Sylfaen" w:hAnsi="Sylfaen"/>
                <w:b w:val="0"/>
                <w:sz w:val="24"/>
                <w:szCs w:val="24"/>
                <w:lang w:val="hy-AM"/>
              </w:rPr>
            </w:pPr>
            <w:r w:rsidRPr="008C76E0">
              <w:rPr>
                <w:rFonts w:ascii="Sylfaen" w:hAnsi="Sylfaen"/>
                <w:b w:val="0"/>
                <w:sz w:val="24"/>
                <w:szCs w:val="24"/>
                <w:lang w:val="hy-AM"/>
              </w:rPr>
              <w:t>2.</w:t>
            </w:r>
            <w:r w:rsidRPr="008C76E0">
              <w:rPr>
                <w:rFonts w:ascii="Sylfaen" w:hAnsi="Sylfaen"/>
                <w:b w:val="0"/>
                <w:sz w:val="24"/>
                <w:szCs w:val="24"/>
                <w:lang w:val="hy-AM"/>
              </w:rPr>
              <w:tab/>
            </w:r>
            <w:r w:rsidRPr="003B2786">
              <w:rPr>
                <w:rStyle w:val="Bodytext1811pt"/>
                <w:rFonts w:ascii="Sylfaen" w:hAnsi="Sylfaen"/>
                <w:sz w:val="24"/>
                <w:szCs w:val="24"/>
              </w:rPr>
              <w:t>Պահպանման առավելագույն ժամկետը կարճ է նախորդից:</w:t>
            </w:r>
          </w:p>
        </w:tc>
      </w:tr>
      <w:tr w:rsidR="008C76E0" w:rsidRPr="003B2786" w14:paraId="6FC2893C"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774CF56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5E6F52A6" w14:textId="77777777" w:rsidR="008C76E0" w:rsidRPr="008C76E0"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 xml:space="preserve">ՊՄՖ-ի դոսյեի թարմացված համապատասխան բաժինները </w:t>
            </w:r>
            <w:r w:rsidR="00C54D75">
              <w:rPr>
                <w:rStyle w:val="Bodytext1811pt"/>
                <w:rFonts w:ascii="Sylfaen" w:hAnsi="Sylfaen"/>
                <w:sz w:val="24"/>
                <w:szCs w:val="24"/>
              </w:rPr>
              <w:t>և</w:t>
            </w:r>
            <w:r w:rsidRPr="003B2786">
              <w:rPr>
                <w:rStyle w:val="Bodytext1811pt"/>
                <w:rFonts w:ascii="Sylfaen" w:hAnsi="Sylfaen"/>
                <w:sz w:val="24"/>
                <w:szCs w:val="24"/>
              </w:rPr>
              <w:t xml:space="preserve"> լրացումները, ներառյալ՝ նոր պայմանների մանրամասն նկարագրությունը, պահպանման (փոխադրման) պայմանների վալիդացման հաստատումը </w:t>
            </w:r>
            <w:r w:rsidR="00C54D75">
              <w:rPr>
                <w:rStyle w:val="Bodytext1811pt"/>
                <w:rFonts w:ascii="Sylfaen" w:hAnsi="Sylfaen"/>
                <w:sz w:val="24"/>
                <w:szCs w:val="24"/>
              </w:rPr>
              <w:t>և</w:t>
            </w:r>
            <w:r w:rsidRPr="003B2786">
              <w:rPr>
                <w:rStyle w:val="Bodytext1811pt"/>
                <w:rFonts w:ascii="Sylfaen" w:hAnsi="Sylfaen"/>
                <w:sz w:val="24"/>
                <w:szCs w:val="24"/>
              </w:rPr>
              <w:t xml:space="preserve"> արյան այն հաստատության (հաստատությունների) անվանումը, որտեղ տեղի է ունենում փոփոխությունը (եթե կիրառելի է):</w:t>
            </w:r>
          </w:p>
        </w:tc>
      </w:tr>
      <w:tr w:rsidR="008C76E0" w:rsidRPr="003B2786" w14:paraId="2563DD4E"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517C852" w14:textId="77777777" w:rsidR="008C76E0" w:rsidRPr="008C76E0" w:rsidRDefault="008C76E0" w:rsidP="008B6709">
            <w:pPr>
              <w:pStyle w:val="Bodytext180"/>
              <w:shd w:val="clear" w:color="auto" w:fill="auto"/>
              <w:tabs>
                <w:tab w:val="left" w:pos="1108"/>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Դ.21.</w:t>
            </w:r>
            <w:r w:rsidRPr="003B2786">
              <w:rPr>
                <w:rStyle w:val="Bodytext1811pt"/>
                <w:rFonts w:ascii="Sylfaen" w:hAnsi="Sylfaen"/>
                <w:sz w:val="24"/>
                <w:szCs w:val="24"/>
              </w:rPr>
              <w:tab/>
              <w:t>Վիրուսային մարկերների փորձարկման ներմուծումը, եթե այդ ներմուծումը զգալի ազդեցություն կունենա վիրուսային ռիսկերի գնահատման վրա</w:t>
            </w:r>
          </w:p>
        </w:tc>
        <w:tc>
          <w:tcPr>
            <w:tcW w:w="1883" w:type="dxa"/>
            <w:gridSpan w:val="2"/>
            <w:tcBorders>
              <w:top w:val="single" w:sz="4" w:space="0" w:color="auto"/>
              <w:left w:val="single" w:sz="4" w:space="0" w:color="auto"/>
            </w:tcBorders>
            <w:shd w:val="clear" w:color="auto" w:fill="FFFFFF"/>
          </w:tcPr>
          <w:p w14:paraId="4C6CBFA4"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300C5D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4FB31CC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084CBC1" w14:textId="77777777" w:rsidTr="004A52D9">
        <w:trPr>
          <w:jc w:val="center"/>
        </w:trPr>
        <w:tc>
          <w:tcPr>
            <w:tcW w:w="4984" w:type="dxa"/>
            <w:gridSpan w:val="4"/>
            <w:tcBorders>
              <w:top w:val="single" w:sz="4" w:space="0" w:color="auto"/>
              <w:left w:val="single" w:sz="4" w:space="0" w:color="auto"/>
            </w:tcBorders>
            <w:shd w:val="clear" w:color="auto" w:fill="FFFFFF"/>
          </w:tcPr>
          <w:p w14:paraId="032DD01B" w14:textId="77777777" w:rsidR="008C76E0" w:rsidRPr="003B2786" w:rsidRDefault="008C76E0" w:rsidP="008B6709">
            <w:pPr>
              <w:spacing w:after="0" w:line="264"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0F955C53"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70039EB0"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right w:val="single" w:sz="4" w:space="0" w:color="auto"/>
            </w:tcBorders>
            <w:shd w:val="clear" w:color="auto" w:fill="FFFFFF"/>
          </w:tcPr>
          <w:p w14:paraId="55EBC22B"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II</w:t>
            </w:r>
          </w:p>
        </w:tc>
      </w:tr>
      <w:tr w:rsidR="008C76E0" w:rsidRPr="003B2786" w14:paraId="570B5F63"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118986AE" w14:textId="77777777" w:rsidR="008C76E0" w:rsidRPr="008C76E0" w:rsidRDefault="008C76E0" w:rsidP="008B6709">
            <w:pPr>
              <w:pStyle w:val="Bodytext180"/>
              <w:shd w:val="clear" w:color="auto" w:fill="auto"/>
              <w:tabs>
                <w:tab w:val="left" w:pos="1175"/>
              </w:tabs>
              <w:spacing w:before="0" w:line="264"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Դ.22.</w:t>
            </w:r>
            <w:r w:rsidRPr="003B2786">
              <w:rPr>
                <w:rStyle w:val="Bodytext1811pt"/>
                <w:rFonts w:ascii="Sylfaen" w:hAnsi="Sylfaen"/>
                <w:sz w:val="24"/>
                <w:szCs w:val="24"/>
              </w:rPr>
              <w:tab/>
              <w:t xml:space="preserve">Պլազմայի պուլի պատրաստման (օրինակ`արտադրության մեթոդի, պուլի չափսի, պլազմայի պուլի նմուշների պահպանման) փոփոխությունը </w:t>
            </w:r>
          </w:p>
        </w:tc>
        <w:tc>
          <w:tcPr>
            <w:tcW w:w="1883" w:type="dxa"/>
            <w:gridSpan w:val="2"/>
            <w:tcBorders>
              <w:top w:val="single" w:sz="4" w:space="0" w:color="auto"/>
              <w:left w:val="single" w:sz="4" w:space="0" w:color="auto"/>
            </w:tcBorders>
            <w:shd w:val="clear" w:color="auto" w:fill="FFFFFF"/>
          </w:tcPr>
          <w:p w14:paraId="64007356"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005597F1"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EB2A907" w14:textId="77777777" w:rsidR="008C76E0" w:rsidRPr="003B2786" w:rsidRDefault="008C76E0" w:rsidP="008B6709">
            <w:pPr>
              <w:pStyle w:val="Bodytext180"/>
              <w:shd w:val="clear" w:color="auto" w:fill="auto"/>
              <w:spacing w:before="0" w:line="264" w:lineRule="auto"/>
              <w:ind w:left="13" w:right="76"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58120599" w14:textId="77777777" w:rsidTr="004A52D9">
        <w:trPr>
          <w:jc w:val="center"/>
        </w:trPr>
        <w:tc>
          <w:tcPr>
            <w:tcW w:w="4984" w:type="dxa"/>
            <w:gridSpan w:val="4"/>
            <w:tcBorders>
              <w:top w:val="single" w:sz="4" w:space="0" w:color="auto"/>
              <w:left w:val="single" w:sz="4" w:space="0" w:color="auto"/>
            </w:tcBorders>
            <w:shd w:val="clear" w:color="auto" w:fill="FFFFFF"/>
          </w:tcPr>
          <w:p w14:paraId="6A574C21" w14:textId="77777777" w:rsidR="008C76E0" w:rsidRPr="003B2786" w:rsidRDefault="008C76E0" w:rsidP="00721A6C">
            <w:pPr>
              <w:spacing w:after="0" w:line="240" w:lineRule="auto"/>
              <w:ind w:left="159" w:right="222"/>
              <w:jc w:val="both"/>
              <w:rPr>
                <w:rFonts w:ascii="Sylfaen" w:hAnsi="Sylfaen"/>
                <w:sz w:val="24"/>
                <w:szCs w:val="24"/>
              </w:rPr>
            </w:pPr>
          </w:p>
        </w:tc>
        <w:tc>
          <w:tcPr>
            <w:tcW w:w="1883" w:type="dxa"/>
            <w:gridSpan w:val="2"/>
            <w:tcBorders>
              <w:top w:val="single" w:sz="4" w:space="0" w:color="auto"/>
              <w:left w:val="single" w:sz="4" w:space="0" w:color="auto"/>
            </w:tcBorders>
            <w:shd w:val="clear" w:color="auto" w:fill="FFFFFF"/>
          </w:tcPr>
          <w:p w14:paraId="32106ECC"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tcBorders>
            <w:shd w:val="clear" w:color="auto" w:fill="FFFFFF"/>
          </w:tcPr>
          <w:p w14:paraId="3B7755A9"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1</w:t>
            </w:r>
          </w:p>
        </w:tc>
        <w:tc>
          <w:tcPr>
            <w:tcW w:w="1843" w:type="dxa"/>
            <w:gridSpan w:val="2"/>
            <w:tcBorders>
              <w:top w:val="single" w:sz="4" w:space="0" w:color="auto"/>
              <w:left w:val="single" w:sz="4" w:space="0" w:color="auto"/>
              <w:right w:val="single" w:sz="4" w:space="0" w:color="auto"/>
            </w:tcBorders>
            <w:shd w:val="clear" w:color="auto" w:fill="FFFFFF"/>
          </w:tcPr>
          <w:p w14:paraId="6C1E0E28" w14:textId="77777777" w:rsidR="008C76E0" w:rsidRPr="003B2786" w:rsidRDefault="008C76E0" w:rsidP="00721A6C">
            <w:pPr>
              <w:pStyle w:val="Bodytext180"/>
              <w:shd w:val="clear" w:color="auto" w:fill="auto"/>
              <w:spacing w:before="0" w:line="240" w:lineRule="auto"/>
              <w:ind w:left="159" w:right="222" w:firstLine="0"/>
              <w:jc w:val="center"/>
              <w:rPr>
                <w:rFonts w:ascii="Sylfaen" w:hAnsi="Sylfaen"/>
                <w:b w:val="0"/>
                <w:sz w:val="24"/>
                <w:szCs w:val="24"/>
              </w:rPr>
            </w:pPr>
            <w:r w:rsidRPr="003B2786">
              <w:rPr>
                <w:rStyle w:val="Bodytext1811pt"/>
                <w:rFonts w:ascii="Sylfaen" w:hAnsi="Sylfaen"/>
                <w:sz w:val="24"/>
                <w:szCs w:val="24"/>
              </w:rPr>
              <w:t>IB</w:t>
            </w:r>
          </w:p>
        </w:tc>
      </w:tr>
      <w:tr w:rsidR="008C76E0" w:rsidRPr="003B2786" w14:paraId="69BDA434" w14:textId="77777777" w:rsidTr="004A52D9">
        <w:trPr>
          <w:jc w:val="center"/>
        </w:trPr>
        <w:tc>
          <w:tcPr>
            <w:tcW w:w="10694" w:type="dxa"/>
            <w:gridSpan w:val="10"/>
            <w:tcBorders>
              <w:top w:val="single" w:sz="4" w:space="0" w:color="auto"/>
              <w:left w:val="single" w:sz="4" w:space="0" w:color="auto"/>
              <w:right w:val="single" w:sz="4" w:space="0" w:color="auto"/>
            </w:tcBorders>
            <w:shd w:val="clear" w:color="auto" w:fill="FFFFFF"/>
            <w:vAlign w:val="bottom"/>
          </w:tcPr>
          <w:p w14:paraId="466D9C2B" w14:textId="77777777" w:rsidR="008C76E0" w:rsidRPr="00F06D43" w:rsidRDefault="008C76E0" w:rsidP="00721A6C">
            <w:pPr>
              <w:pStyle w:val="Bodytext180"/>
              <w:shd w:val="clear" w:color="auto" w:fill="auto"/>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Փաստաթղթերը</w:t>
            </w:r>
          </w:p>
          <w:p w14:paraId="760CF270" w14:textId="77777777" w:rsidR="008C76E0" w:rsidRPr="00F06D43" w:rsidRDefault="008C76E0" w:rsidP="00721A6C">
            <w:pPr>
              <w:pStyle w:val="Bodytext180"/>
              <w:shd w:val="clear" w:color="auto" w:fill="auto"/>
              <w:tabs>
                <w:tab w:val="left" w:pos="589"/>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1.</w:t>
            </w:r>
            <w:r w:rsidRPr="003B2786">
              <w:rPr>
                <w:rStyle w:val="Bodytext1811pt"/>
                <w:rFonts w:ascii="Sylfaen" w:hAnsi="Sylfaen"/>
                <w:sz w:val="24"/>
                <w:szCs w:val="24"/>
              </w:rPr>
              <w:tab/>
              <w:t>ՊՄՖ-ի դոսյեի թարմացված համապատասխան բաժինները:</w:t>
            </w:r>
          </w:p>
        </w:tc>
      </w:tr>
      <w:tr w:rsidR="008C76E0" w:rsidRPr="003B2786" w14:paraId="24A79FCB" w14:textId="77777777" w:rsidTr="004A52D9">
        <w:trPr>
          <w:jc w:val="center"/>
        </w:trPr>
        <w:tc>
          <w:tcPr>
            <w:tcW w:w="4984" w:type="dxa"/>
            <w:gridSpan w:val="4"/>
            <w:tcBorders>
              <w:top w:val="single" w:sz="4" w:space="0" w:color="auto"/>
              <w:left w:val="single" w:sz="4" w:space="0" w:color="auto"/>
            </w:tcBorders>
            <w:shd w:val="clear" w:color="auto" w:fill="FFFFFF"/>
            <w:vAlign w:val="bottom"/>
          </w:tcPr>
          <w:p w14:paraId="2B513FED" w14:textId="07B65CD6" w:rsidR="008C76E0" w:rsidRPr="008C76E0" w:rsidRDefault="008C76E0" w:rsidP="00721A6C">
            <w:pPr>
              <w:pStyle w:val="Bodytext180"/>
              <w:shd w:val="clear" w:color="auto" w:fill="auto"/>
              <w:tabs>
                <w:tab w:val="left" w:pos="1091"/>
              </w:tabs>
              <w:spacing w:before="0" w:line="240" w:lineRule="auto"/>
              <w:ind w:left="159" w:right="222" w:firstLine="0"/>
              <w:jc w:val="both"/>
              <w:rPr>
                <w:rFonts w:ascii="Sylfaen" w:hAnsi="Sylfaen"/>
                <w:b w:val="0"/>
                <w:sz w:val="24"/>
                <w:szCs w:val="24"/>
                <w:lang w:val="hy-AM"/>
              </w:rPr>
            </w:pPr>
            <w:r w:rsidRPr="003B2786">
              <w:rPr>
                <w:rStyle w:val="Bodytext1811pt"/>
                <w:rFonts w:ascii="Sylfaen" w:hAnsi="Sylfaen"/>
                <w:sz w:val="24"/>
                <w:szCs w:val="24"/>
              </w:rPr>
              <w:t>Դ.23.</w:t>
            </w:r>
            <w:r w:rsidRPr="003B2786">
              <w:rPr>
                <w:rStyle w:val="Bodytext1811pt"/>
                <w:rFonts w:ascii="Sylfaen" w:hAnsi="Sylfaen"/>
                <w:sz w:val="24"/>
                <w:szCs w:val="24"/>
              </w:rPr>
              <w:tab/>
              <w:t xml:space="preserve">Ռետրոսպեկտիվ </w:t>
            </w:r>
            <w:r w:rsidR="0056496B">
              <w:rPr>
                <w:rStyle w:val="Bodytext1811pt"/>
                <w:rFonts w:ascii="Sylfaen" w:hAnsi="Sylfaen"/>
                <w:sz w:val="24"/>
                <w:szCs w:val="24"/>
              </w:rPr>
              <w:t>դիմում</w:t>
            </w:r>
            <w:r w:rsidRPr="003B2786">
              <w:rPr>
                <w:rStyle w:val="Bodytext1811pt"/>
                <w:rFonts w:ascii="Sylfaen" w:hAnsi="Sylfaen"/>
                <w:sz w:val="24"/>
                <w:szCs w:val="24"/>
              </w:rPr>
              <w:t xml:space="preserve">նաբերման դեպքում ձեռնարկվող միջոցների փոփոխությունը, երբ արյան </w:t>
            </w:r>
            <w:r w:rsidR="00C54D75">
              <w:rPr>
                <w:rStyle w:val="Bodytext1811pt"/>
                <w:rFonts w:ascii="Sylfaen" w:hAnsi="Sylfaen"/>
                <w:sz w:val="24"/>
                <w:szCs w:val="24"/>
              </w:rPr>
              <w:t>և</w:t>
            </w:r>
            <w:r w:rsidRPr="003B2786">
              <w:rPr>
                <w:rStyle w:val="Bodytext1811pt"/>
                <w:rFonts w:ascii="Sylfaen" w:hAnsi="Sylfaen"/>
                <w:sz w:val="24"/>
                <w:szCs w:val="24"/>
              </w:rPr>
              <w:t xml:space="preserve"> պլազմայի դոնացիաները ենթակա են մշակումից հանվելու (ռետրոսպեկտիվ վերլուծության ընթացակարգը)</w:t>
            </w:r>
          </w:p>
        </w:tc>
        <w:tc>
          <w:tcPr>
            <w:tcW w:w="1883" w:type="dxa"/>
            <w:gridSpan w:val="2"/>
            <w:tcBorders>
              <w:top w:val="single" w:sz="4" w:space="0" w:color="auto"/>
              <w:left w:val="single" w:sz="4" w:space="0" w:color="auto"/>
            </w:tcBorders>
            <w:shd w:val="clear" w:color="auto" w:fill="FFFFFF"/>
          </w:tcPr>
          <w:p w14:paraId="670E2330" w14:textId="77777777" w:rsidR="008C76E0" w:rsidRPr="003B2786" w:rsidRDefault="008C76E0" w:rsidP="00721A6C">
            <w:pPr>
              <w:pStyle w:val="Bodytext180"/>
              <w:shd w:val="clear" w:color="auto" w:fill="auto"/>
              <w:spacing w:before="0" w:line="240" w:lineRule="auto"/>
              <w:ind w:left="96" w:firstLine="0"/>
              <w:jc w:val="center"/>
              <w:rPr>
                <w:rFonts w:ascii="Sylfaen" w:hAnsi="Sylfaen"/>
                <w:b w:val="0"/>
                <w:sz w:val="24"/>
                <w:szCs w:val="24"/>
              </w:rPr>
            </w:pPr>
            <w:r w:rsidRPr="003B2786">
              <w:rPr>
                <w:rStyle w:val="Bodytext1811pt"/>
                <w:rFonts w:ascii="Sylfaen" w:hAnsi="Sylfaen"/>
                <w:sz w:val="24"/>
                <w:szCs w:val="24"/>
              </w:rPr>
              <w:t>Անհրաժեշտ պայմանները</w:t>
            </w:r>
          </w:p>
        </w:tc>
        <w:tc>
          <w:tcPr>
            <w:tcW w:w="1984" w:type="dxa"/>
            <w:gridSpan w:val="2"/>
            <w:tcBorders>
              <w:top w:val="single" w:sz="4" w:space="0" w:color="auto"/>
              <w:left w:val="single" w:sz="4" w:space="0" w:color="auto"/>
            </w:tcBorders>
            <w:shd w:val="clear" w:color="auto" w:fill="FFFFFF"/>
          </w:tcPr>
          <w:p w14:paraId="2468DC34" w14:textId="77777777" w:rsidR="008C76E0" w:rsidRPr="003B2786" w:rsidRDefault="008C76E0" w:rsidP="00721A6C">
            <w:pPr>
              <w:pStyle w:val="Bodytext180"/>
              <w:shd w:val="clear" w:color="auto" w:fill="auto"/>
              <w:spacing w:before="0" w:line="240" w:lineRule="auto"/>
              <w:ind w:firstLine="0"/>
              <w:jc w:val="center"/>
              <w:rPr>
                <w:rFonts w:ascii="Sylfaen" w:hAnsi="Sylfaen"/>
                <w:b w:val="0"/>
                <w:sz w:val="24"/>
                <w:szCs w:val="24"/>
              </w:rPr>
            </w:pPr>
            <w:r w:rsidRPr="003B2786">
              <w:rPr>
                <w:rStyle w:val="Bodytext1811pt"/>
                <w:rFonts w:ascii="Sylfaen" w:hAnsi="Sylfaen"/>
                <w:sz w:val="24"/>
                <w:szCs w:val="24"/>
              </w:rPr>
              <w:t xml:space="preserve">Փաստաթղթերը </w:t>
            </w:r>
            <w:r w:rsidR="00C54D75">
              <w:rPr>
                <w:rStyle w:val="Bodytext1811pt"/>
                <w:rFonts w:ascii="Sylfaen" w:hAnsi="Sylfaen"/>
                <w:sz w:val="24"/>
                <w:szCs w:val="24"/>
              </w:rPr>
              <w:t>և</w:t>
            </w:r>
            <w:r w:rsidRPr="003B2786">
              <w:rPr>
                <w:rStyle w:val="Bodytext1811pt"/>
                <w:rFonts w:ascii="Sylfaen" w:hAnsi="Sylfaen"/>
                <w:sz w:val="24"/>
                <w:szCs w:val="24"/>
              </w:rPr>
              <w:t xml:space="preserve"> տվյալները</w:t>
            </w:r>
          </w:p>
        </w:tc>
        <w:tc>
          <w:tcPr>
            <w:tcW w:w="1843" w:type="dxa"/>
            <w:gridSpan w:val="2"/>
            <w:tcBorders>
              <w:top w:val="single" w:sz="4" w:space="0" w:color="auto"/>
              <w:left w:val="single" w:sz="4" w:space="0" w:color="auto"/>
              <w:right w:val="single" w:sz="4" w:space="0" w:color="auto"/>
            </w:tcBorders>
            <w:shd w:val="clear" w:color="auto" w:fill="FFFFFF"/>
          </w:tcPr>
          <w:p w14:paraId="65D482B7" w14:textId="77777777" w:rsidR="008C76E0" w:rsidRPr="003B2786" w:rsidRDefault="008C76E0" w:rsidP="00721A6C">
            <w:pPr>
              <w:pStyle w:val="Bodytext180"/>
              <w:shd w:val="clear" w:color="auto" w:fill="auto"/>
              <w:spacing w:before="0" w:line="240" w:lineRule="auto"/>
              <w:ind w:left="13" w:firstLine="0"/>
              <w:jc w:val="center"/>
              <w:rPr>
                <w:rFonts w:ascii="Sylfaen" w:hAnsi="Sylfaen"/>
                <w:b w:val="0"/>
                <w:sz w:val="24"/>
                <w:szCs w:val="24"/>
              </w:rPr>
            </w:pPr>
            <w:r w:rsidRPr="003B2786">
              <w:rPr>
                <w:rStyle w:val="Bodytext1811pt"/>
                <w:rFonts w:ascii="Sylfaen" w:hAnsi="Sylfaen"/>
                <w:sz w:val="24"/>
                <w:szCs w:val="24"/>
              </w:rPr>
              <w:t>Ընթացակարգը</w:t>
            </w:r>
          </w:p>
        </w:tc>
      </w:tr>
      <w:tr w:rsidR="008C76E0" w:rsidRPr="003B2786" w14:paraId="202BBDB3" w14:textId="77777777" w:rsidTr="004A52D9">
        <w:trPr>
          <w:jc w:val="center"/>
        </w:trPr>
        <w:tc>
          <w:tcPr>
            <w:tcW w:w="4984" w:type="dxa"/>
            <w:gridSpan w:val="4"/>
            <w:tcBorders>
              <w:top w:val="single" w:sz="4" w:space="0" w:color="auto"/>
              <w:left w:val="single" w:sz="4" w:space="0" w:color="auto"/>
              <w:bottom w:val="single" w:sz="4" w:space="0" w:color="auto"/>
            </w:tcBorders>
            <w:shd w:val="clear" w:color="auto" w:fill="FFFFFF"/>
          </w:tcPr>
          <w:p w14:paraId="4DA9E525" w14:textId="77777777" w:rsidR="008C76E0" w:rsidRPr="003B2786" w:rsidRDefault="008C76E0" w:rsidP="00721A6C">
            <w:pPr>
              <w:spacing w:after="0" w:line="240" w:lineRule="auto"/>
              <w:ind w:right="-1"/>
              <w:jc w:val="both"/>
              <w:rPr>
                <w:rFonts w:ascii="Sylfaen" w:hAnsi="Sylfaen"/>
                <w:sz w:val="24"/>
                <w:szCs w:val="24"/>
              </w:rPr>
            </w:pPr>
          </w:p>
        </w:tc>
        <w:tc>
          <w:tcPr>
            <w:tcW w:w="1883" w:type="dxa"/>
            <w:gridSpan w:val="2"/>
            <w:tcBorders>
              <w:top w:val="single" w:sz="4" w:space="0" w:color="auto"/>
              <w:left w:val="single" w:sz="4" w:space="0" w:color="auto"/>
              <w:bottom w:val="single" w:sz="4" w:space="0" w:color="auto"/>
            </w:tcBorders>
            <w:shd w:val="clear" w:color="auto" w:fill="FFFFFF"/>
          </w:tcPr>
          <w:p w14:paraId="09C89157"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984" w:type="dxa"/>
            <w:gridSpan w:val="2"/>
            <w:tcBorders>
              <w:top w:val="single" w:sz="4" w:space="0" w:color="auto"/>
              <w:left w:val="single" w:sz="4" w:space="0" w:color="auto"/>
              <w:bottom w:val="single" w:sz="4" w:space="0" w:color="auto"/>
            </w:tcBorders>
            <w:shd w:val="clear" w:color="auto" w:fill="FFFFFF"/>
          </w:tcPr>
          <w:p w14:paraId="6E7C625C"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14:paraId="34D6669F" w14:textId="77777777" w:rsidR="008C76E0" w:rsidRPr="003B2786" w:rsidRDefault="008C76E0" w:rsidP="00721A6C">
            <w:pPr>
              <w:pStyle w:val="Bodytext180"/>
              <w:shd w:val="clear" w:color="auto" w:fill="auto"/>
              <w:spacing w:before="0" w:line="240" w:lineRule="auto"/>
              <w:ind w:right="-1" w:firstLine="0"/>
              <w:jc w:val="center"/>
              <w:rPr>
                <w:rFonts w:ascii="Sylfaen" w:hAnsi="Sylfaen"/>
                <w:b w:val="0"/>
                <w:sz w:val="24"/>
                <w:szCs w:val="24"/>
              </w:rPr>
            </w:pPr>
            <w:r w:rsidRPr="003B2786">
              <w:rPr>
                <w:rStyle w:val="Bodytext1811pt"/>
                <w:rFonts w:ascii="Sylfaen" w:hAnsi="Sylfaen"/>
                <w:sz w:val="24"/>
                <w:szCs w:val="24"/>
              </w:rPr>
              <w:t>II</w:t>
            </w:r>
          </w:p>
        </w:tc>
      </w:tr>
    </w:tbl>
    <w:p w14:paraId="491950FF" w14:textId="77777777" w:rsidR="008C76E0" w:rsidRDefault="008C76E0" w:rsidP="008C76E0">
      <w:pPr>
        <w:tabs>
          <w:tab w:val="left" w:pos="1418"/>
        </w:tabs>
        <w:ind w:firstLine="567"/>
        <w:jc w:val="center"/>
        <w:rPr>
          <w:rFonts w:ascii="Sylfaen" w:hAnsi="Sylfaen"/>
          <w:sz w:val="24"/>
          <w:szCs w:val="24"/>
          <w:lang w:val="en-US"/>
        </w:rPr>
      </w:pPr>
      <w:r>
        <w:rPr>
          <w:rFonts w:ascii="Sylfaen" w:hAnsi="Sylfaen"/>
          <w:sz w:val="24"/>
          <w:szCs w:val="24"/>
          <w:lang w:val="en-US"/>
        </w:rPr>
        <w:t xml:space="preserve">_____________ </w:t>
      </w:r>
    </w:p>
    <w:p w14:paraId="6B451FB9" w14:textId="77777777" w:rsidR="008C76E0" w:rsidRDefault="008C76E0" w:rsidP="008C76E0">
      <w:pPr>
        <w:tabs>
          <w:tab w:val="left" w:pos="1418"/>
        </w:tabs>
        <w:ind w:firstLine="567"/>
        <w:jc w:val="center"/>
        <w:rPr>
          <w:rFonts w:ascii="Sylfaen" w:hAnsi="Sylfaen"/>
          <w:sz w:val="24"/>
          <w:szCs w:val="24"/>
          <w:lang w:val="en-US"/>
        </w:rPr>
      </w:pPr>
    </w:p>
    <w:p w14:paraId="55DEFB49" w14:textId="77777777" w:rsidR="00F66329" w:rsidRDefault="00F66329" w:rsidP="008C76E0">
      <w:pPr>
        <w:tabs>
          <w:tab w:val="left" w:pos="1418"/>
        </w:tabs>
        <w:ind w:firstLine="567"/>
        <w:jc w:val="center"/>
        <w:rPr>
          <w:rFonts w:ascii="Sylfaen" w:hAnsi="Sylfaen"/>
          <w:sz w:val="24"/>
          <w:szCs w:val="24"/>
          <w:lang w:val="en-US"/>
        </w:rPr>
        <w:sectPr w:rsidR="00F66329" w:rsidSect="00F8005E">
          <w:pgSz w:w="11907" w:h="16839" w:code="9"/>
          <w:pgMar w:top="1418" w:right="1418" w:bottom="1418" w:left="1418" w:header="709" w:footer="709" w:gutter="0"/>
          <w:cols w:space="708"/>
          <w:docGrid w:linePitch="360"/>
        </w:sectPr>
      </w:pPr>
    </w:p>
    <w:p w14:paraId="665AFBC1"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20</w:t>
      </w:r>
    </w:p>
    <w:p w14:paraId="4B790BF4"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7DCC7E9B" w14:textId="77777777" w:rsidR="004F5982" w:rsidRPr="00826F05" w:rsidRDefault="004F5982" w:rsidP="00487007">
      <w:pPr>
        <w:spacing w:after="160" w:line="360" w:lineRule="auto"/>
        <w:jc w:val="both"/>
        <w:rPr>
          <w:rFonts w:ascii="Sylfaen" w:hAnsi="Sylfaen"/>
          <w:sz w:val="24"/>
          <w:szCs w:val="24"/>
        </w:rPr>
      </w:pPr>
    </w:p>
    <w:p w14:paraId="292200E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F37623">
        <w:rPr>
          <w:rFonts w:ascii="Sylfaen" w:hAnsi="Sylfaen"/>
          <w:b/>
          <w:sz w:val="24"/>
          <w:szCs w:val="24"/>
        </w:rPr>
        <w:t>ԿԱՆՈՆՆԵՐ</w:t>
      </w:r>
    </w:p>
    <w:p w14:paraId="1888D29E" w14:textId="77777777" w:rsidR="004F5982" w:rsidRPr="00826F05" w:rsidRDefault="004F5982" w:rsidP="00487007">
      <w:pPr>
        <w:spacing w:after="160" w:line="360" w:lineRule="auto"/>
        <w:ind w:left="567" w:right="565"/>
        <w:jc w:val="center"/>
        <w:rPr>
          <w:rFonts w:ascii="Sylfaen" w:eastAsia="Times New Roman" w:hAnsi="Sylfaen" w:cs="Times New Roman"/>
          <w:b/>
          <w:sz w:val="24"/>
          <w:szCs w:val="24"/>
        </w:rPr>
      </w:pPr>
      <w:r w:rsidRPr="00826F05">
        <w:rPr>
          <w:rFonts w:ascii="Sylfaen" w:hAnsi="Sylfaen"/>
          <w:b/>
          <w:sz w:val="24"/>
          <w:szCs w:val="24"/>
        </w:rPr>
        <w:t>բժշկական կիրառման գրանցված դեղապատրաստուկի գրանցման դոսյեում փոփոխություններ կատարելիս փորձաքննության անցկացման</w:t>
      </w:r>
    </w:p>
    <w:p w14:paraId="5404BC2F" w14:textId="77777777" w:rsidR="004F5982" w:rsidRPr="00826F05" w:rsidRDefault="004F5982" w:rsidP="00487007">
      <w:pPr>
        <w:spacing w:after="160" w:line="360" w:lineRule="auto"/>
        <w:jc w:val="both"/>
        <w:rPr>
          <w:rFonts w:ascii="Sylfaen" w:hAnsi="Sylfaen"/>
          <w:sz w:val="24"/>
          <w:szCs w:val="24"/>
        </w:rPr>
      </w:pPr>
    </w:p>
    <w:p w14:paraId="54B4272C"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Ընդհանուր դրույթներ</w:t>
      </w:r>
    </w:p>
    <w:p w14:paraId="1E4FA37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1.1.</w:t>
      </w:r>
      <w:r w:rsidRPr="00826F05">
        <w:rPr>
          <w:rFonts w:ascii="Sylfaen" w:hAnsi="Sylfaen"/>
          <w:sz w:val="24"/>
          <w:szCs w:val="24"/>
        </w:rPr>
        <w:tab/>
      </w:r>
      <w:r w:rsidRPr="0085124A">
        <w:rPr>
          <w:rFonts w:ascii="Sylfaen" w:hAnsi="Sylfaen"/>
          <w:spacing w:val="-6"/>
          <w:sz w:val="24"/>
          <w:szCs w:val="24"/>
        </w:rPr>
        <w:t xml:space="preserve">Սույն կանոնները կանոնակարգում են Եվրասիական տնտեսական հանձնաժողովի կողմից հաստատվող՝ Բժշկական կիրառման դեղամիջոցների գրանցման </w:t>
      </w:r>
      <w:r w:rsidR="00C54D75">
        <w:rPr>
          <w:rFonts w:ascii="Sylfaen" w:hAnsi="Sylfaen"/>
          <w:spacing w:val="-6"/>
          <w:sz w:val="24"/>
          <w:szCs w:val="24"/>
        </w:rPr>
        <w:t>և</w:t>
      </w:r>
      <w:r w:rsidRPr="0085124A">
        <w:rPr>
          <w:rFonts w:ascii="Sylfaen" w:hAnsi="Sylfaen"/>
          <w:spacing w:val="-6"/>
          <w:sz w:val="24"/>
          <w:szCs w:val="24"/>
        </w:rPr>
        <w:t xml:space="preserve"> փորձաքննության կանոնների թիվ 19 հավելվածի</w:t>
      </w:r>
      <w:r w:rsidRPr="00826F05">
        <w:rPr>
          <w:rFonts w:ascii="Sylfaen" w:hAnsi="Sylfaen"/>
          <w:sz w:val="24"/>
          <w:szCs w:val="24"/>
        </w:rPr>
        <w:t xml:space="preserve"> 1.1.3-1.1.5 կետերում նշված՝ բժշկական կիրառման դեղապատրաստուկների գրանցման դոսյեում փոփոխություններ կատարելու փորձաքննության կանոնները (այսուհետ՝</w:t>
      </w:r>
      <w:r w:rsidRPr="0085124A">
        <w:rPr>
          <w:rFonts w:ascii="Sylfaen" w:hAnsi="Sylfaen"/>
          <w:sz w:val="24"/>
          <w:szCs w:val="24"/>
        </w:rPr>
        <w:t> </w:t>
      </w:r>
      <w:r w:rsidRPr="00826F05">
        <w:rPr>
          <w:rFonts w:ascii="Sylfaen" w:hAnsi="Sylfaen"/>
          <w:sz w:val="24"/>
          <w:szCs w:val="24"/>
        </w:rPr>
        <w:t xml:space="preserve">Դեղամիջոցների գրանցման կանոններ) վարչական ընթացակարգերը նկարագրելու մասով </w:t>
      </w:r>
      <w:r w:rsidR="00C54D75">
        <w:rPr>
          <w:rFonts w:ascii="Sylfaen" w:hAnsi="Sylfaen"/>
          <w:sz w:val="24"/>
          <w:szCs w:val="24"/>
        </w:rPr>
        <w:t>և</w:t>
      </w:r>
      <w:r w:rsidRPr="00826F05">
        <w:rPr>
          <w:rFonts w:ascii="Sylfaen" w:hAnsi="Sylfaen"/>
          <w:sz w:val="24"/>
          <w:szCs w:val="24"/>
        </w:rPr>
        <w:t xml:space="preserve"> պետք է դիտարկվեն Դեղամիջոցների գրանցման կանոնների թիվ 19 հավելվածի դրույթների հետ միասին:</w:t>
      </w:r>
    </w:p>
    <w:p w14:paraId="703FF0D0"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1.2.</w:t>
      </w:r>
      <w:r w:rsidRPr="00826F05">
        <w:rPr>
          <w:rFonts w:ascii="Sylfaen" w:hAnsi="Sylfaen"/>
          <w:sz w:val="24"/>
          <w:szCs w:val="24"/>
        </w:rPr>
        <w:tab/>
      </w:r>
      <w:r w:rsidRPr="0085124A">
        <w:rPr>
          <w:rFonts w:ascii="Sylfaen" w:hAnsi="Sylfaen"/>
          <w:spacing w:val="-6"/>
          <w:sz w:val="24"/>
          <w:szCs w:val="24"/>
        </w:rPr>
        <w:t>Սույն հավելվածում օգտագործվող սահմանումները պարունակվում</w:t>
      </w:r>
      <w:r w:rsidRPr="00826F05">
        <w:rPr>
          <w:rFonts w:ascii="Sylfaen" w:hAnsi="Sylfaen"/>
          <w:sz w:val="24"/>
          <w:szCs w:val="24"/>
        </w:rPr>
        <w:t xml:space="preserve"> են Եվրասիական տնտեսական միության (այսուհետ՝ Միություն) փաստաթղթերում, որոնցով կանոնակարգում են Միությունում դեղամիջոցների շրջանառությունը:</w:t>
      </w:r>
    </w:p>
    <w:p w14:paraId="600645CF" w14:textId="77777777"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1.3.</w:t>
      </w:r>
      <w:r w:rsidRPr="00826F05">
        <w:rPr>
          <w:rFonts w:ascii="Sylfaen" w:hAnsi="Sylfaen"/>
          <w:sz w:val="24"/>
          <w:szCs w:val="24"/>
        </w:rPr>
        <w:tab/>
        <w:t>Սույն հավելվածում «Միության գրանցված անդամ պետության» նշումը, Դեղամիջոցների գրանցման կանոնների թիվ 19 հավելվածի 1.2.6 կետի համաձայն, հարկ է դիտարկել որպես Միության յուրաքանչյուր անդամ պետություն (այսուհետ՝ անդամ պետություն), որի լիազորված մարմինը գրանցել է դիտարկվող դեղապատրաստուկը: «Շահագրգիռ անդամ պետությունների» նշումը հարկ է դիտարկել որպես բոլոր շահագրգիռ անդամ պետություններ:</w:t>
      </w:r>
    </w:p>
    <w:p w14:paraId="6BB105E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II. Վարչական ընթացակարգերը </w:t>
      </w:r>
      <w:r w:rsidRPr="00826F05">
        <w:rPr>
          <w:rFonts w:ascii="Sylfaen" w:hAnsi="Sylfaen"/>
          <w:sz w:val="24"/>
          <w:szCs w:val="24"/>
        </w:rPr>
        <w:br/>
        <w:t>փոփոխություններն ուսումնասիրելիս</w:t>
      </w:r>
    </w:p>
    <w:p w14:paraId="013CDB8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դոսյեն պարունակում է պայմաններ, որոնց հիման վրա թույլ է տրվում դեղապատրաստուկի բժշկական կիրառումը </w:t>
      </w:r>
      <w:r w:rsidR="00C54D75">
        <w:rPr>
          <w:rFonts w:ascii="Sylfaen" w:hAnsi="Sylfaen"/>
          <w:sz w:val="24"/>
          <w:szCs w:val="24"/>
        </w:rPr>
        <w:t>և</w:t>
      </w:r>
      <w:r w:rsidRPr="00826F05">
        <w:rPr>
          <w:rFonts w:ascii="Sylfaen" w:hAnsi="Sylfaen"/>
          <w:sz w:val="24"/>
          <w:szCs w:val="24"/>
        </w:rPr>
        <w:t xml:space="preserve"> Միության տարածքում շրջանառությունը: Դեղապատրաստուկի գրանցման դոսյեն ներառում է՝</w:t>
      </w:r>
    </w:p>
    <w:p w14:paraId="16BF2EF4"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գրանցման մասին անդամ պետության լիազորված մարմնի որոշումը,</w:t>
      </w:r>
    </w:p>
    <w:p w14:paraId="3F78F6BF" w14:textId="7344D9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 հավելվածին համապատասխան՝ </w:t>
      </w:r>
      <w:r w:rsidR="0056496B">
        <w:rPr>
          <w:rFonts w:ascii="Sylfaen" w:hAnsi="Sylfaen"/>
          <w:sz w:val="24"/>
          <w:szCs w:val="24"/>
        </w:rPr>
        <w:t>դիմումատու</w:t>
      </w:r>
      <w:r w:rsidRPr="00826F05">
        <w:rPr>
          <w:rFonts w:ascii="Sylfaen" w:hAnsi="Sylfaen"/>
          <w:sz w:val="24"/>
          <w:szCs w:val="24"/>
        </w:rPr>
        <w:t>ի կողմից անդամ պետության լիազորված մարմին (փորձագիտական կազմակերպություն) ներկայացված փաստաթղթերն ու տվյալները:</w:t>
      </w:r>
    </w:p>
    <w:p w14:paraId="1E9ED3E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սահմանվում են գրանցման պայմանների փոփոխությանը </w:t>
      </w:r>
      <w:r w:rsidR="00C54D75">
        <w:rPr>
          <w:rFonts w:ascii="Sylfaen" w:hAnsi="Sylfaen"/>
          <w:sz w:val="24"/>
          <w:szCs w:val="24"/>
        </w:rPr>
        <w:t>և</w:t>
      </w:r>
      <w:r w:rsidRPr="00826F05">
        <w:rPr>
          <w:rFonts w:ascii="Sylfaen" w:hAnsi="Sylfaen"/>
          <w:sz w:val="24"/>
          <w:szCs w:val="24"/>
        </w:rPr>
        <w:t xml:space="preserve"> գրանցման դոսյեի բովանդակությանը ներկայացվող պահանջներ:</w:t>
      </w:r>
    </w:p>
    <w:p w14:paraId="4E33B38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Սույն կանոններն ընդգրկում են Դեղամիջոցների գրանցման կանոնների թիվ</w:t>
      </w:r>
      <w:r w:rsidRPr="0085124A">
        <w:rPr>
          <w:rFonts w:ascii="Sylfaen" w:hAnsi="Sylfaen"/>
          <w:sz w:val="24"/>
          <w:szCs w:val="24"/>
        </w:rPr>
        <w:t> </w:t>
      </w:r>
      <w:r w:rsidRPr="00826F05">
        <w:rPr>
          <w:rFonts w:ascii="Sylfaen" w:hAnsi="Sylfaen"/>
          <w:sz w:val="24"/>
          <w:szCs w:val="24"/>
        </w:rPr>
        <w:t>19 հավելվածի 1.3 բաժնում սահմանված՝ փոփոխությունների հետ</w:t>
      </w:r>
      <w:r w:rsidR="00C54D75">
        <w:rPr>
          <w:rFonts w:ascii="Sylfaen" w:hAnsi="Sylfaen"/>
          <w:sz w:val="24"/>
          <w:szCs w:val="24"/>
        </w:rPr>
        <w:t>և</w:t>
      </w:r>
      <w:r w:rsidRPr="00826F05">
        <w:rPr>
          <w:rFonts w:ascii="Sylfaen" w:hAnsi="Sylfaen"/>
          <w:sz w:val="24"/>
          <w:szCs w:val="24"/>
        </w:rPr>
        <w:t>յալ կատեգորիաները՝</w:t>
      </w:r>
    </w:p>
    <w:p w14:paraId="307B633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IA տիպի ոչ էական փոփոխություններ, </w:t>
      </w:r>
    </w:p>
    <w:p w14:paraId="089A03A9"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IB տիպի ոչ էական փոփոխություններ, </w:t>
      </w:r>
    </w:p>
    <w:p w14:paraId="178B133C"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II տիպի էական փոփոխություններ, </w:t>
      </w:r>
    </w:p>
    <w:p w14:paraId="4D6D980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ընդլայնում,</w:t>
      </w:r>
    </w:p>
    <w:p w14:paraId="006EE77E"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անվտանգության նկատառումներով անհետաձգելի սահմանափակում:</w:t>
      </w:r>
    </w:p>
    <w:p w14:paraId="39B38C2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հավաստագրերի իրավատերերն իրավունք ունեն դիմելու ռեֆերենտ պետության լիազորված մարմին (փորձագիտական կազմակերպություն)՝ փոփոխությունների դասակարգման առաջարկության կամ </w:t>
      </w:r>
      <w:r w:rsidRPr="00826F05">
        <w:rPr>
          <w:rFonts w:ascii="Sylfaen" w:hAnsi="Sylfaen"/>
          <w:sz w:val="24"/>
          <w:szCs w:val="24"/>
        </w:rPr>
        <w:lastRenderedPageBreak/>
        <w:t xml:space="preserve">գրանցման դոսյեում փոփոխությունների փորձաքննության հետ կապված այլ հարցերի վերաբերյալ խորհրդատվություն ստանալու համար: Անհրաժեշտության դեպքում լիազորված մարմնի (փորձագիտական կազմակերպության) կողմից առավել մանրամասն կարգավորիչ կամ ընթացակարգային առաջարկություն ստանալու նպատակով փոփոխությունը ներկայացնելուց առաջ կարող է քննարկում կազմակերպվել ռեֆերենտ պետության </w:t>
      </w:r>
      <w:r w:rsidR="00C54D75">
        <w:rPr>
          <w:rFonts w:ascii="Sylfaen" w:hAnsi="Sylfaen"/>
          <w:sz w:val="24"/>
          <w:szCs w:val="24"/>
        </w:rPr>
        <w:t>և</w:t>
      </w:r>
      <w:r w:rsidRPr="00826F05">
        <w:rPr>
          <w:rFonts w:ascii="Sylfaen" w:hAnsi="Sylfaen"/>
          <w:sz w:val="24"/>
          <w:szCs w:val="24"/>
        </w:rPr>
        <w:t xml:space="preserve"> (կամ) ճանաչման պետության լիազորված մարմնի (փորձագիտական կազմակերպության) հետ:</w:t>
      </w:r>
    </w:p>
    <w:p w14:paraId="3814F45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համապատասխան մարմնի հարցման հիման վրա պետք է անհապաղ ներկայացնի որոշակի փոփոխություն իրականացնելուն վերաբերող ցանկացած տեղեկատվություն:</w:t>
      </w:r>
    </w:p>
    <w:p w14:paraId="16EF4F35"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w:t>
      </w:r>
      <w:r w:rsidRPr="00826F05">
        <w:rPr>
          <w:rFonts w:ascii="Sylfaen" w:hAnsi="Sylfaen"/>
          <w:sz w:val="24"/>
          <w:szCs w:val="24"/>
        </w:rPr>
        <w:tab/>
        <w:t>IA տիպի ոչ էական փոփոխությունները:</w:t>
      </w:r>
    </w:p>
    <w:p w14:paraId="75BE594D" w14:textId="72BF8DE0" w:rsidR="004F5982" w:rsidRPr="00826F05" w:rsidRDefault="004F5982" w:rsidP="00487007">
      <w:pPr>
        <w:spacing w:after="160" w:line="384" w:lineRule="auto"/>
        <w:ind w:right="-23" w:firstLine="567"/>
        <w:jc w:val="both"/>
        <w:rPr>
          <w:rFonts w:ascii="Sylfaen" w:eastAsia="Times New Roman" w:hAnsi="Sylfaen" w:cs="Times New Roman"/>
          <w:sz w:val="24"/>
          <w:szCs w:val="24"/>
        </w:rPr>
      </w:pPr>
      <w:r w:rsidRPr="0085124A">
        <w:rPr>
          <w:rFonts w:ascii="Sylfaen" w:hAnsi="Sylfaen"/>
          <w:spacing w:val="-6"/>
          <w:sz w:val="24"/>
          <w:szCs w:val="24"/>
        </w:rPr>
        <w:t xml:space="preserve">Սույնով բերվում են IA տիպի ոչ էական փոփոխությունների մասով Դեղամիջոցների գրանցման կանոնների թիվ 19 հավելվածի </w:t>
      </w:r>
      <w:r w:rsidRPr="00826F05">
        <w:rPr>
          <w:rFonts w:ascii="Sylfaen" w:hAnsi="Sylfaen"/>
          <w:sz w:val="24"/>
          <w:szCs w:val="24"/>
        </w:rPr>
        <w:t xml:space="preserve">1.7, 2.1, 2.4, 3.1, 3.4, 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 Դեղամիջոցների գրանցման կանոնների թիվ 19 հավելվածը պարունակում է այն փոփոխությունների ցանկը, որոնք պետք է դիտարկել որպես IA տիպի ոչ էական փոփոխություններ: Նման ոչ էական փոփոխությունների համար նախնական հաստատում չի պահանջվում (բացառությամբ դեղապատրաստուկի մասին տեղեկատվության վերանայման հանգեցնող փոփոխությունների՝ համաձայն Դեղամիջոցների գրանցման կանոնների թիվ 19 հավելվածի 1.6 կետի,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 իրականացնելը), բայց իրավատերը պետք է դրանց մասին ծանուցի իրականացման օրվանից սկսված՝ 365 օրացուցային օրվա ընթացքում (12 ամիս) («կատարիր </w:t>
      </w:r>
      <w:r w:rsidR="00C54D75">
        <w:rPr>
          <w:rFonts w:ascii="Sylfaen" w:hAnsi="Sylfaen"/>
          <w:sz w:val="24"/>
          <w:szCs w:val="24"/>
        </w:rPr>
        <w:t>և</w:t>
      </w:r>
      <w:r w:rsidRPr="00826F05">
        <w:rPr>
          <w:rFonts w:ascii="Sylfaen" w:hAnsi="Sylfaen"/>
          <w:sz w:val="24"/>
          <w:szCs w:val="24"/>
        </w:rPr>
        <w:t xml:space="preserve"> պատմիր» ընթացակարգ): Սակայն դեղապատրաստուկի անընդհատ վերահսկողությունն ապահովելու նպատակով IA տիպի որոշ ոչ էական փոփոխությունների համար դրանք իրականացնելուց հետո պահանջվում է անհապաղ ծանուցում:</w:t>
      </w:r>
    </w:p>
    <w:p w14:paraId="2274CFE4" w14:textId="59CDC1F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V լրացման մեջ նկարագրված են </w:t>
      </w:r>
      <w:r w:rsidR="0056496B">
        <w:rPr>
          <w:rFonts w:ascii="Sylfaen" w:hAnsi="Sylfaen"/>
          <w:sz w:val="24"/>
          <w:szCs w:val="24"/>
        </w:rPr>
        <w:t>դիմումատու</w:t>
      </w:r>
      <w:r w:rsidRPr="00826F05">
        <w:rPr>
          <w:rFonts w:ascii="Sylfaen" w:hAnsi="Sylfaen"/>
          <w:sz w:val="24"/>
          <w:szCs w:val="24"/>
        </w:rPr>
        <w:t xml:space="preserve">ի կողմից ներկայացվող փաստաթղթերի </w:t>
      </w:r>
      <w:r w:rsidR="00C54D75">
        <w:rPr>
          <w:rFonts w:ascii="Sylfaen" w:hAnsi="Sylfaen"/>
          <w:sz w:val="24"/>
          <w:szCs w:val="24"/>
        </w:rPr>
        <w:t>և</w:t>
      </w:r>
      <w:r w:rsidRPr="00826F05">
        <w:rPr>
          <w:rFonts w:ascii="Sylfaen" w:hAnsi="Sylfaen"/>
          <w:sz w:val="24"/>
          <w:szCs w:val="24"/>
        </w:rPr>
        <w:t xml:space="preserve"> տվյալների նկատմամբ պահանջները </w:t>
      </w:r>
      <w:r w:rsidR="00C54D75">
        <w:rPr>
          <w:rFonts w:ascii="Sylfaen" w:hAnsi="Sylfaen"/>
          <w:sz w:val="24"/>
          <w:szCs w:val="24"/>
        </w:rPr>
        <w:t>և</w:t>
      </w:r>
      <w:r w:rsidRPr="00826F05">
        <w:rPr>
          <w:rFonts w:ascii="Sylfaen" w:hAnsi="Sylfaen"/>
          <w:sz w:val="24"/>
          <w:szCs w:val="24"/>
        </w:rPr>
        <w:t xml:space="preserve"> այն պայմանները, որոնք անհրաժեշտ է պահպանել, որպեսզի փոփոխությունը ենթարկվի IA տիպի ոչ էական փոփոխությունների ծանուցման ընթացակարգին, որոնց համար դրանք իրականացնելուց հետո պահանջվում է անհապաղ ծանուցում: </w:t>
      </w:r>
    </w:p>
    <w:p w14:paraId="76582D79"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2.1.1.</w:t>
      </w:r>
      <w:r w:rsidRPr="00826F05">
        <w:rPr>
          <w:rFonts w:ascii="Sylfaen" w:hAnsi="Sylfaen"/>
          <w:sz w:val="24"/>
          <w:szCs w:val="24"/>
        </w:rPr>
        <w:tab/>
        <w:t>IA տիպի ոչ էական փոփոխություններ կատարելու մասին ծանուցելու ընթացակարգը:</w:t>
      </w:r>
    </w:p>
    <w:p w14:paraId="2FD57E62" w14:textId="1B29607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փոփոխությունների համար լիազորված մարմինների (փորձագիտական կազմակերպությունների) կողմից նախնական հաստատում չի պահանջվում նախքան գրանցման հավաստագրի իրավատիրոջ կողմից դրանց իրականացումը՝ բացառությամբ այն փոփոխությունների, որոնք հանգեցնում են դեղապատրաստուկի մասին տեղեկատվության վերանայման՝ Դեղամիջոցների գրանցման կանոնների թիվ 19 հավելվածի 1.6 կետի համաձայն, որոնց մասով փոփոխություններ կատարելու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2C5E4028" w14:textId="1593BC02"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Ընդհանուր կանոնի համաձայն՝ փոփոխությունն իրականացնելու օրվանից սկսած 365 օրացուցային օրից (12 ամիս) ոչ ուշ </w:t>
      </w:r>
      <w:r w:rsidR="0056496B">
        <w:rPr>
          <w:rFonts w:ascii="Sylfaen" w:hAnsi="Sylfaen"/>
          <w:sz w:val="24"/>
          <w:szCs w:val="24"/>
        </w:rPr>
        <w:t>դիմումատու</w:t>
      </w:r>
      <w:r w:rsidRPr="00826F05">
        <w:rPr>
          <w:rFonts w:ascii="Sylfaen" w:hAnsi="Sylfaen"/>
          <w:sz w:val="24"/>
          <w:szCs w:val="24"/>
        </w:rPr>
        <w:t xml:space="preserve">ն պետք է ռեֆերենտ պետության լիազորված մարմին (փորձագիտական կազմակերպություն) ներկայացնի փոփոխությունների դոսյե (ծանուցում), որը պարունակում է Դեղամիջոցների գրանցման կանոնների թիվ 19 հավելվածի IV լրացման մեջ թվարկված տարրերը: Դեղապատրաստուկի մասին տեղեկատվության վերանայմանը հանգեցնող փոփոխություններ կատարելու վերաբերյալ </w:t>
      </w:r>
      <w:r w:rsidR="0056496B">
        <w:rPr>
          <w:rFonts w:ascii="Sylfaen" w:hAnsi="Sylfaen"/>
          <w:sz w:val="24"/>
          <w:szCs w:val="24"/>
        </w:rPr>
        <w:t>դիմում</w:t>
      </w:r>
      <w:r w:rsidRPr="00826F05">
        <w:rPr>
          <w:rFonts w:ascii="Sylfaen" w:hAnsi="Sylfaen"/>
          <w:sz w:val="24"/>
          <w:szCs w:val="24"/>
        </w:rPr>
        <w:t>ը, համաձայն Դեղամիջոցների գրանցման կանոնների թիվ 19 հավելվածի 1.6 կետի, անհրաժեշտ է ներկայացնել մինչ փոփոխություններն իրականացնելը:</w:t>
      </w:r>
    </w:p>
    <w:p w14:paraId="36D00E1B" w14:textId="1DD6B3D3"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իրավունք ունի անհապաղ ծանուցմամբ IA տիպի ոչ էական փոփոխության մասին փաստաթղթեր ներկայացնելիս ներառելու IA տիպի ոչ էական փոփոխություն, որը ենթակա չէ անհապաղ ծանուցման, կամ ցանկացած այլ փոփոխություն:</w:t>
      </w:r>
    </w:p>
    <w:p w14:paraId="66B9F7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Անհրաժեշտ է պահպանել Դեղամիջոցների գրանցման կանոնների թիվ</w:t>
      </w:r>
      <w:r w:rsidRPr="0085124A">
        <w:rPr>
          <w:rFonts w:ascii="Sylfaen" w:hAnsi="Sylfaen"/>
          <w:sz w:val="24"/>
          <w:szCs w:val="24"/>
        </w:rPr>
        <w:t> </w:t>
      </w:r>
      <w:r w:rsidRPr="00826F05">
        <w:rPr>
          <w:rFonts w:ascii="Sylfaen" w:hAnsi="Sylfaen"/>
          <w:sz w:val="24"/>
          <w:szCs w:val="24"/>
        </w:rPr>
        <w:t>19</w:t>
      </w:r>
      <w:r w:rsidRPr="0085124A">
        <w:rPr>
          <w:rFonts w:ascii="Sylfaen" w:hAnsi="Sylfaen"/>
          <w:sz w:val="24"/>
          <w:szCs w:val="24"/>
        </w:rPr>
        <w:t> </w:t>
      </w:r>
      <w:r w:rsidRPr="00826F05">
        <w:rPr>
          <w:rFonts w:ascii="Sylfaen" w:hAnsi="Sylfaen"/>
          <w:sz w:val="24"/>
          <w:szCs w:val="24"/>
        </w:rPr>
        <w:t xml:space="preserve">հավելվածի 1.7.2 </w:t>
      </w:r>
      <w:r w:rsidR="00C54D75">
        <w:rPr>
          <w:rFonts w:ascii="Sylfaen" w:hAnsi="Sylfaen"/>
          <w:sz w:val="24"/>
          <w:szCs w:val="24"/>
        </w:rPr>
        <w:t>և</w:t>
      </w:r>
      <w:r w:rsidRPr="00826F05">
        <w:rPr>
          <w:rFonts w:ascii="Sylfaen" w:hAnsi="Sylfaen"/>
          <w:sz w:val="24"/>
          <w:szCs w:val="24"/>
        </w:rPr>
        <w:t xml:space="preserve"> 3.4.2 կետերով նախատեսված համապատասխան պայմանները:</w:t>
      </w:r>
    </w:p>
    <w:p w14:paraId="07682772" w14:textId="0BC070C6"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1.7.2 կետին </w:t>
      </w:r>
      <w:r w:rsidR="00C54D75">
        <w:rPr>
          <w:rFonts w:ascii="Sylfaen" w:hAnsi="Sylfaen"/>
          <w:sz w:val="24"/>
          <w:szCs w:val="24"/>
        </w:rPr>
        <w:t>և</w:t>
      </w:r>
      <w:r w:rsidRPr="00826F05">
        <w:rPr>
          <w:rFonts w:ascii="Sylfaen" w:hAnsi="Sylfaen"/>
          <w:sz w:val="24"/>
          <w:szCs w:val="24"/>
        </w:rPr>
        <w:t xml:space="preserve"> 3.4.2 կետին համապատասխան </w:t>
      </w:r>
      <w:r w:rsidR="0056496B">
        <w:rPr>
          <w:rFonts w:ascii="Sylfaen" w:hAnsi="Sylfaen"/>
          <w:sz w:val="24"/>
          <w:szCs w:val="24"/>
        </w:rPr>
        <w:t>դիմումատու</w:t>
      </w:r>
      <w:r w:rsidRPr="00826F05">
        <w:rPr>
          <w:rFonts w:ascii="Sylfaen" w:hAnsi="Sylfaen"/>
          <w:sz w:val="24"/>
          <w:szCs w:val="24"/>
        </w:rPr>
        <w:t xml:space="preserve">ն իրավունք ունի մեկ ծանուցման մեջ խմբավորելու մի քանի IA տիպի ոչ էական փոփոխություններ: Դրա համար նախատեսված է IA տիպի փոփոխությունների խմբավորման 2 հնարավորություն՝ </w:t>
      </w:r>
    </w:p>
    <w:p w14:paraId="41BE01AD" w14:textId="22E3DD9E"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խմբավորելու մեկ գրանցման դոսյեի մի քանի IA տիպի ոչ էական փոփոխություններ, եթե դրանց մասին ծանուցումը մի</w:t>
      </w:r>
      <w:r w:rsidR="00C54D75">
        <w:rPr>
          <w:rFonts w:ascii="Sylfaen" w:hAnsi="Sylfaen"/>
          <w:sz w:val="24"/>
          <w:szCs w:val="24"/>
        </w:rPr>
        <w:t>և</w:t>
      </w:r>
      <w:r w:rsidRPr="00826F05">
        <w:rPr>
          <w:rFonts w:ascii="Sylfaen" w:hAnsi="Sylfaen"/>
          <w:sz w:val="24"/>
          <w:szCs w:val="24"/>
        </w:rPr>
        <w:t>նույն լիազորված մարմնին (փորձագիտական կազմակերպությանը) կատարվում է միաժամանակ:</w:t>
      </w:r>
    </w:p>
    <w:p w14:paraId="31532BB5" w14:textId="5FEA85B8" w:rsidR="004F5982" w:rsidRPr="00826F05" w:rsidRDefault="004F5982" w:rsidP="00487007">
      <w:pPr>
        <w:tabs>
          <w:tab w:val="left" w:pos="1134"/>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r>
      <w:r w:rsidR="0056496B">
        <w:rPr>
          <w:rFonts w:ascii="Sylfaen" w:hAnsi="Sylfaen"/>
          <w:sz w:val="24"/>
          <w:szCs w:val="24"/>
        </w:rPr>
        <w:t>դիմումատու</w:t>
      </w:r>
      <w:r w:rsidRPr="00826F05">
        <w:rPr>
          <w:rFonts w:ascii="Sylfaen" w:hAnsi="Sylfaen"/>
          <w:sz w:val="24"/>
          <w:szCs w:val="24"/>
        </w:rPr>
        <w:t>ն իրավունք ունի մեկ կամ ավելի IA տիպի ոչ էական փոփոխություններ խմբավորելու մի քանի գրանցման դոսյեներում մեկ ծանուցման շրջանակում, եթե դիտարկվող բոլոր գրանցման դոսյեներում փոփոխությունները նույնն են, իսկ դրանց մասին ծանուցումը մի</w:t>
      </w:r>
      <w:r w:rsidR="00C54D75">
        <w:rPr>
          <w:rFonts w:ascii="Sylfaen" w:hAnsi="Sylfaen"/>
          <w:sz w:val="24"/>
          <w:szCs w:val="24"/>
        </w:rPr>
        <w:t>և</w:t>
      </w:r>
      <w:r w:rsidRPr="00826F05">
        <w:rPr>
          <w:rFonts w:ascii="Sylfaen" w:hAnsi="Sylfaen"/>
          <w:sz w:val="24"/>
          <w:szCs w:val="24"/>
        </w:rPr>
        <w:t xml:space="preserve">նույն լիազորված մարմնին (փորձագիտական կազմակերպությանը) կատարվում է միաժամանակ: </w:t>
      </w:r>
    </w:p>
    <w:p w14:paraId="5EC07AC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IA տիպի ոչ էական փոփոխությունների մասին ծանուցման 365-օրյա</w:t>
      </w:r>
      <w:r w:rsidRPr="00826F05">
        <w:rPr>
          <w:rFonts w:ascii="Sylfaen" w:hAnsi="Sylfaen"/>
          <w:sz w:val="24"/>
          <w:szCs w:val="24"/>
        </w:rPr>
        <w:t xml:space="preserve"> (12-ամսյա) սահմանային ժամկետը գրանցման հավաստագրերի իրավատերերին թույլ է տալիս 1 տարվա ընթացքում կուտակել իրենց դեղապատրաստուկների հետ կապված IA տիպի փոփոխությունները: Սակայն փաստաթղթերի մեկանգամյա ներկայացման շրջանակներում այդ փոփոխությունների մասին ծանուցումը հնարավոր է միայն խմբավորման պայմանների պահպանմամբ (դիտարկվող բոլոր դեղապատրաստուկներում մի</w:t>
      </w:r>
      <w:r w:rsidR="00C54D75">
        <w:rPr>
          <w:rFonts w:ascii="Sylfaen" w:hAnsi="Sylfaen"/>
          <w:sz w:val="24"/>
          <w:szCs w:val="24"/>
        </w:rPr>
        <w:t>և</w:t>
      </w:r>
      <w:r w:rsidRPr="00826F05">
        <w:rPr>
          <w:rFonts w:ascii="Sylfaen" w:hAnsi="Sylfaen"/>
          <w:sz w:val="24"/>
          <w:szCs w:val="24"/>
        </w:rPr>
        <w:t>նույն փոփոխությունները):</w:t>
      </w:r>
    </w:p>
    <w:p w14:paraId="1932C45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Դրա առնչությամբ հնարավոր է, որ 365 օրացուցային օրվա (12 ամիս) ընթացքում իրականացված փոփոխությունների (այսպես կոչված՝ «ամենամյա հաշվետվություն») մասին ծանուցման համար պահանջվի փաստաթղթերի ներկայացում մի քանի անգամ, օրինակ՝ մեկը՝ IA տիպի մեկ ոչ էական փոփոխության մասով, մյուսը՝ մեկ գրանցման դոսյեում IA տիպի ոչ էական </w:t>
      </w:r>
      <w:r w:rsidRPr="00826F05">
        <w:rPr>
          <w:rFonts w:ascii="Sylfaen" w:hAnsi="Sylfaen"/>
          <w:sz w:val="24"/>
          <w:szCs w:val="24"/>
        </w:rPr>
        <w:lastRenderedPageBreak/>
        <w:t xml:space="preserve">փոփոխությունների խմբի մասով, </w:t>
      </w:r>
      <w:r w:rsidR="00C54D75">
        <w:rPr>
          <w:rFonts w:ascii="Sylfaen" w:hAnsi="Sylfaen"/>
          <w:sz w:val="24"/>
          <w:szCs w:val="24"/>
        </w:rPr>
        <w:t>և</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ս մեկը՝ մի քանի գրանցման դոսյեներում IA</w:t>
      </w:r>
      <w:r w:rsidRPr="00C65CD2">
        <w:rPr>
          <w:rFonts w:ascii="Sylfaen" w:hAnsi="Sylfaen"/>
          <w:sz w:val="24"/>
          <w:szCs w:val="24"/>
        </w:rPr>
        <w:t> </w:t>
      </w:r>
      <w:r w:rsidRPr="00826F05">
        <w:rPr>
          <w:rFonts w:ascii="Sylfaen" w:hAnsi="Sylfaen"/>
          <w:sz w:val="24"/>
          <w:szCs w:val="24"/>
        </w:rPr>
        <w:t>տիպի ոչ էական փոփոխությունների խմբի մասով:</w:t>
      </w:r>
    </w:p>
    <w:p w14:paraId="4BA3F3B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 կատարելու մասին ծանուցումը պետք է պարունակի Դեղամիջոցների գրանցման կանոնների թիվ 19 հավելվածի IV լրացման մեջ նշված փաստաթղթերը </w:t>
      </w:r>
      <w:r w:rsidR="00C54D75">
        <w:rPr>
          <w:rFonts w:ascii="Sylfaen" w:hAnsi="Sylfaen"/>
          <w:sz w:val="24"/>
          <w:szCs w:val="24"/>
        </w:rPr>
        <w:t>և</w:t>
      </w:r>
      <w:r w:rsidRPr="00826F05">
        <w:rPr>
          <w:rFonts w:ascii="Sylfaen" w:hAnsi="Sylfaen"/>
          <w:sz w:val="24"/>
          <w:szCs w:val="24"/>
        </w:rPr>
        <w:t xml:space="preserve"> տվյալները, որոնք ներկայացվում են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 xml:space="preserve">աչափով՝ </w:t>
      </w:r>
    </w:p>
    <w:p w14:paraId="6BCA45D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ուղեկցող նամակը, </w:t>
      </w:r>
    </w:p>
    <w:p w14:paraId="49E735EE" w14:textId="13B09F1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w:t>
      </w:r>
      <w:r w:rsidR="0056496B">
        <w:rPr>
          <w:rFonts w:ascii="Sylfaen" w:hAnsi="Sylfaen"/>
          <w:sz w:val="24"/>
          <w:szCs w:val="24"/>
        </w:rPr>
        <w:t>դիմում</w:t>
      </w:r>
      <w:r w:rsidRPr="00826F05">
        <w:rPr>
          <w:rFonts w:ascii="Sylfaen" w:hAnsi="Sylfaen"/>
          <w:sz w:val="24"/>
          <w:szCs w:val="24"/>
        </w:rPr>
        <w:t>ը, այդ թվում՝ դիտարկվող դեղապատրաստուկի մասին տեղեկությունները, ինչպես նա</w:t>
      </w:r>
      <w:r w:rsidR="00C54D75">
        <w:rPr>
          <w:rFonts w:ascii="Sylfaen" w:hAnsi="Sylfaen"/>
          <w:sz w:val="24"/>
          <w:szCs w:val="24"/>
        </w:rPr>
        <w:t>և</w:t>
      </w:r>
      <w:r w:rsidRPr="00826F05">
        <w:rPr>
          <w:rFonts w:ascii="Sylfaen" w:hAnsi="Sylfaen"/>
          <w:sz w:val="24"/>
          <w:szCs w:val="24"/>
        </w:rPr>
        <w:t xml:space="preserve"> ներկայացված բոլոր փոփոխությունների նկարագրությունը դրանց իրականացման ամսաթվի հետ միասին համապատասխանաբար: Եթե</w:t>
      </w:r>
      <w:r w:rsidRPr="00C65CD2">
        <w:rPr>
          <w:rFonts w:ascii="Sylfaen" w:hAnsi="Sylfaen"/>
          <w:sz w:val="24"/>
          <w:szCs w:val="24"/>
        </w:rPr>
        <w:t> </w:t>
      </w:r>
      <w:r w:rsidRPr="00826F05">
        <w:rPr>
          <w:rFonts w:ascii="Sylfaen" w:hAnsi="Sylfaen"/>
          <w:sz w:val="24"/>
          <w:szCs w:val="24"/>
        </w:rPr>
        <w:t>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60CD509" w14:textId="514A688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առաջակության նշումը,</w:t>
      </w:r>
    </w:p>
    <w:p w14:paraId="7555917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V լրացման մեջ նշված բոլոր փաստաթղթերը,</w:t>
      </w:r>
    </w:p>
    <w:p w14:paraId="6EBB2C5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w:t>
      </w:r>
      <w:r w:rsidRPr="00C65CD2">
        <w:rPr>
          <w:rFonts w:ascii="Sylfaen" w:hAnsi="Sylfaen"/>
          <w:spacing w:val="-6"/>
          <w:sz w:val="24"/>
          <w:szCs w:val="24"/>
        </w:rPr>
        <w:t xml:space="preserve">նորմատիվ փաստաթղթին՝ պատշաճ կերպով ներկայացված՝ դեղապատրաստուկի մասին վերանայված տեղեկատվությանը (դեղապատրաստուկի ընդհանուր </w:t>
      </w:r>
      <w:r w:rsidRPr="00C65CD2">
        <w:rPr>
          <w:rFonts w:ascii="Sylfaen" w:hAnsi="Sylfaen"/>
          <w:spacing w:val="-6"/>
          <w:sz w:val="24"/>
          <w:szCs w:val="24"/>
        </w:rPr>
        <w:lastRenderedPageBreak/>
        <w:t>բնութագրին, մականշվածքին</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ներդիր-թերթիկին),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դրանց օրենսդրության մեջ համապատասխան պահանջների առկայության դեպքում: Եթե IA տիպի ոչ էական փոփոխությունն ազդում է երկրորդային </w:t>
      </w:r>
      <w:r w:rsidR="00C54D75">
        <w:rPr>
          <w:rFonts w:ascii="Sylfaen" w:hAnsi="Sylfaen"/>
          <w:sz w:val="24"/>
          <w:szCs w:val="24"/>
        </w:rPr>
        <w:t>և</w:t>
      </w:r>
      <w:r w:rsidRPr="00826F05">
        <w:rPr>
          <w:rFonts w:ascii="Sylfaen" w:hAnsi="Sylfaen"/>
          <w:sz w:val="24"/>
          <w:szCs w:val="24"/>
        </w:rPr>
        <w:t xml:space="preserve"> (կամ) առաջնային փաթեթվածքի ընդհանուր դիզայնի վրա, անհրաժեշտ է, որ լիազորված մարմինը (փորձագիտական կազմակերպությունը) ներկայացնի փաթեթվածքի մանրակերտերը:</w:t>
      </w:r>
    </w:p>
    <w:p w14:paraId="1DA208C3" w14:textId="7FEF8C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Pr="00C65CD2">
        <w:rPr>
          <w:rFonts w:ascii="Sylfaen" w:hAnsi="Sylfaen"/>
          <w:spacing w:val="-6"/>
          <w:sz w:val="24"/>
          <w:szCs w:val="24"/>
        </w:rPr>
        <w:t>փոփոխություններ կատարելու (</w:t>
      </w:r>
      <w:r w:rsidR="00C54D75">
        <w:rPr>
          <w:rFonts w:ascii="Sylfaen" w:hAnsi="Sylfaen"/>
          <w:spacing w:val="-6"/>
          <w:sz w:val="24"/>
          <w:szCs w:val="24"/>
        </w:rPr>
        <w:t>և</w:t>
      </w:r>
      <w:r w:rsidRPr="00C65CD2">
        <w:rPr>
          <w:rFonts w:ascii="Sylfaen" w:hAnsi="Sylfaen"/>
          <w:spacing w:val="-6"/>
          <w:sz w:val="24"/>
          <w:szCs w:val="24"/>
        </w:rPr>
        <w:t xml:space="preserve"> անհրաժեշտության դեպքում՝ դրա փորձաքննության) վճարի (տուրքի) վճարումը</w:t>
      </w:r>
      <w:r w:rsidRPr="00826F05">
        <w:rPr>
          <w:rFonts w:ascii="Sylfaen" w:hAnsi="Sylfaen"/>
          <w:sz w:val="24"/>
          <w:szCs w:val="24"/>
        </w:rPr>
        <w:t xml:space="preserve"> հաստատող փաստաթղթերի ցանկը: </w:t>
      </w:r>
    </w:p>
    <w:p w14:paraId="6C36E8F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 xml:space="preserve">անհրաժեշտության դեպքում՝ դրա փորձաքննության մեջ) փոփոխություններ կատարելու վճարի (տուրքի) վճարման հաստատումը: </w:t>
      </w:r>
    </w:p>
    <w:p w14:paraId="11955568" w14:textId="7BD02FE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C65CD2">
        <w:rPr>
          <w:rFonts w:ascii="Sylfaen" w:hAnsi="Sylfaen"/>
          <w:spacing w:val="6"/>
          <w:sz w:val="24"/>
          <w:szCs w:val="24"/>
        </w:rPr>
        <w:t>Մի</w:t>
      </w:r>
      <w:r w:rsidR="00C54D75">
        <w:rPr>
          <w:rFonts w:ascii="Sylfaen" w:hAnsi="Sylfaen"/>
          <w:spacing w:val="6"/>
          <w:sz w:val="24"/>
          <w:szCs w:val="24"/>
        </w:rPr>
        <w:t>և</w:t>
      </w:r>
      <w:r w:rsidRPr="00C65CD2">
        <w:rPr>
          <w:rFonts w:ascii="Sylfaen" w:hAnsi="Sylfaen"/>
          <w:spacing w:val="6"/>
          <w:sz w:val="24"/>
          <w:szCs w:val="24"/>
        </w:rPr>
        <w:t>նույն գրանցման հավաստագրի իրավատիրոջ մի քանի դեղապատրաստուկների գրանցմանն առնչվող IA տիպի ոչ էական փոփոխությունների խմբի դեպքում Դեղամիջոցների գրանցման</w:t>
      </w:r>
      <w:r w:rsidRPr="00826F05">
        <w:rPr>
          <w:rFonts w:ascii="Sylfaen" w:hAnsi="Sylfaen"/>
          <w:sz w:val="24"/>
          <w:szCs w:val="24"/>
        </w:rPr>
        <w:t xml:space="preserve"> կանոնների թիվ 19 հավելվածի 1.7 կետին կամ 3.4 կետին համապատասխան ընդհանուր ուղեկցող նամակը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 xml:space="preserve">ն անհրաժեշտ է ներկայացնել լրացուցիչ փաստաթղթերի </w:t>
      </w:r>
      <w:r w:rsidR="00C54D75">
        <w:rPr>
          <w:rFonts w:ascii="Sylfaen" w:hAnsi="Sylfaen"/>
          <w:sz w:val="24"/>
          <w:szCs w:val="24"/>
        </w:rPr>
        <w:t>և</w:t>
      </w:r>
      <w:r w:rsidRPr="00826F05">
        <w:rPr>
          <w:rFonts w:ascii="Sylfaen" w:hAnsi="Sylfaen"/>
          <w:sz w:val="24"/>
          <w:szCs w:val="24"/>
        </w:rPr>
        <w:t xml:space="preserve"> դեղապատրաստուկի մասին վերանայված տեղեկատվության հետ միասին </w:t>
      </w:r>
      <w:r w:rsidRPr="00826F05">
        <w:rPr>
          <w:rFonts w:ascii="Sylfaen" w:hAnsi="Sylfaen"/>
          <w:sz w:val="24"/>
          <w:szCs w:val="24"/>
        </w:rPr>
        <w:lastRenderedPageBreak/>
        <w:t>(եթե</w:t>
      </w:r>
      <w:r w:rsidR="00487007" w:rsidRPr="00487007">
        <w:rPr>
          <w:rFonts w:ascii="Sylfaen" w:hAnsi="Sylfaen"/>
          <w:sz w:val="24"/>
          <w:szCs w:val="24"/>
        </w:rPr>
        <w:t> </w:t>
      </w:r>
      <w:r w:rsidRPr="00826F05">
        <w:rPr>
          <w:rFonts w:ascii="Sylfaen" w:hAnsi="Sylfaen"/>
          <w:sz w:val="24"/>
          <w:szCs w:val="24"/>
        </w:rPr>
        <w:t>կիրառելի է)՝ յուրաքանչյուր ուսումնասիրվող դեղապատրաստուկի համար: Դա համապատասխան մարմիններին թույլ կտա թարմացնել խմբում ներառված յուրաքանչյուր գրանցման դոսյե՝ համապատասխան ուղղված կամ նոր տեղեկատվության հետ միասին:</w:t>
      </w:r>
    </w:p>
    <w:p w14:paraId="28FA3772"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2.1.2.</w:t>
      </w:r>
      <w:r w:rsidRPr="00826F05">
        <w:rPr>
          <w:rFonts w:ascii="Sylfaen" w:hAnsi="Sylfaen"/>
          <w:sz w:val="24"/>
          <w:szCs w:val="24"/>
        </w:rPr>
        <w:tab/>
      </w:r>
      <w:r w:rsidRPr="00C65CD2">
        <w:rPr>
          <w:rFonts w:ascii="Sylfaen" w:hAnsi="Sylfaen"/>
          <w:sz w:val="24"/>
          <w:szCs w:val="24"/>
        </w:rPr>
        <w:t>Դեղամիջոցների գրանցման կանոնների թիվ 19 հավելվածի 1.1.3 կետում նշված IA տիպի փոփոխությունների</w:t>
      </w:r>
      <w:r w:rsidRPr="00826F05">
        <w:rPr>
          <w:rFonts w:ascii="Sylfaen" w:hAnsi="Sylfaen"/>
          <w:sz w:val="24"/>
          <w:szCs w:val="24"/>
        </w:rPr>
        <w:t xml:space="preserve"> փորձաքննություն:</w:t>
      </w:r>
    </w:p>
    <w:p w14:paraId="222DE0E4" w14:textId="226B07F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55194173" w14:textId="616F6DB2"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w:t>
      </w:r>
    </w:p>
    <w:p w14:paraId="44F0C293" w14:textId="7BE6E28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ճանաչման պետությունների համապատասխան մարմինների համար ինտեգրված համակարգի միջոցներն օգտագործելով,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w:t>
      </w:r>
      <w:r w:rsidRPr="00C65CD2">
        <w:rPr>
          <w:rFonts w:ascii="Sylfaen" w:hAnsi="Sylfaen"/>
          <w:spacing w:val="-6"/>
          <w:sz w:val="24"/>
          <w:szCs w:val="24"/>
        </w:rPr>
        <w:t>ձ</w:t>
      </w:r>
      <w:r w:rsidR="00C54D75">
        <w:rPr>
          <w:rFonts w:ascii="Sylfaen" w:hAnsi="Sylfaen"/>
          <w:spacing w:val="-6"/>
          <w:sz w:val="24"/>
          <w:szCs w:val="24"/>
        </w:rPr>
        <w:t>և</w:t>
      </w:r>
      <w:r w:rsidRPr="00C65CD2">
        <w:rPr>
          <w:rFonts w:ascii="Sylfaen" w:hAnsi="Sylfaen"/>
          <w:spacing w:val="-6"/>
          <w:sz w:val="24"/>
          <w:szCs w:val="24"/>
        </w:rPr>
        <w:t xml:space="preserve">ակերպումը գնահատելուց հետո փոփոխություններ կատարելու </w:t>
      </w:r>
      <w:r w:rsidR="0056496B">
        <w:rPr>
          <w:rFonts w:ascii="Sylfaen" w:hAnsi="Sylfaen"/>
          <w:spacing w:val="-6"/>
          <w:sz w:val="24"/>
          <w:szCs w:val="24"/>
        </w:rPr>
        <w:t>դիմում</w:t>
      </w:r>
      <w:r w:rsidRPr="00C65CD2">
        <w:rPr>
          <w:rFonts w:ascii="Sylfaen" w:hAnsi="Sylfaen"/>
          <w:spacing w:val="-6"/>
          <w:sz w:val="24"/>
          <w:szCs w:val="24"/>
        </w:rPr>
        <w:t>ը ռեֆերենտ պետություն</w:t>
      </w:r>
      <w:r w:rsidRPr="00826F05">
        <w:rPr>
          <w:rFonts w:ascii="Sylfaen" w:hAnsi="Sylfaen"/>
          <w:sz w:val="24"/>
          <w:szCs w:val="24"/>
        </w:rPr>
        <w:t xml:space="preserve"> ներկայացնելու օրվանից 5 աշխատանքային օրվա ընթացքում:</w:t>
      </w:r>
    </w:p>
    <w:p w14:paraId="63656D8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անցկացնում է IA տիպի ծանուցման փորձաքննություն այն ստանալու օրվանից 30 օրացուցային օրվա ընթացքում:</w:t>
      </w:r>
    </w:p>
    <w:p w14:paraId="45278BA4" w14:textId="6DB1656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30-րդ օրացուցային օրը ռեֆերենտ պետության լիազորված մարմինը (փորձագիտական կազմակերպությունը) իր եզրակացության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ճանաչման պետությունների լիազորված մարմնին (փորձագիտական կազմակերպությանը):</w:t>
      </w:r>
    </w:p>
    <w:p w14:paraId="1924E3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փոփոխությունները պետք է իրականացվեն Դեղամիջոցների գրանցման կանոնների թիվ 19 հավելվածի 2.4.1 կետի 4-րդ պարբերության </w:t>
      </w:r>
      <w:r w:rsidR="00C54D75">
        <w:rPr>
          <w:rFonts w:ascii="Sylfaen" w:hAnsi="Sylfaen"/>
          <w:sz w:val="24"/>
          <w:szCs w:val="24"/>
        </w:rPr>
        <w:t>և</w:t>
      </w:r>
      <w:r w:rsidRPr="00826F05">
        <w:rPr>
          <w:rFonts w:ascii="Sylfaen" w:hAnsi="Sylfaen"/>
          <w:sz w:val="24"/>
          <w:szCs w:val="24"/>
        </w:rPr>
        <w:t xml:space="preserve"> 3.5.1 կետի երկրորդ պարբերության մեջ նշված տեղեկությունները ստանալուց հետո՝ 180</w:t>
      </w:r>
      <w:r>
        <w:rPr>
          <w:rFonts w:ascii="Sylfaen" w:hAnsi="Sylfaen"/>
          <w:sz w:val="24"/>
          <w:szCs w:val="24"/>
        </w:rPr>
        <w:t> </w:t>
      </w:r>
      <w:r w:rsidRPr="00826F05">
        <w:rPr>
          <w:rFonts w:ascii="Sylfaen" w:hAnsi="Sylfaen"/>
          <w:sz w:val="24"/>
          <w:szCs w:val="24"/>
        </w:rPr>
        <w:t xml:space="preserve">օրացուցային օրվա ընթացքում՝ գրանցման դոսյեի փոփոխության համար </w:t>
      </w:r>
      <w:r w:rsidRPr="00C65CD2">
        <w:rPr>
          <w:rFonts w:ascii="Sylfaen" w:hAnsi="Sylfaen"/>
          <w:spacing w:val="-6"/>
          <w:sz w:val="24"/>
          <w:szCs w:val="24"/>
        </w:rPr>
        <w:t>անհրաժեշտ փաստաթղթերը շահագրգիռ անդամ պետությունների լիազորված մարմիններ (փորձագիտական</w:t>
      </w:r>
      <w:r w:rsidRPr="00826F05">
        <w:rPr>
          <w:rFonts w:ascii="Sylfaen" w:hAnsi="Sylfaen"/>
          <w:sz w:val="24"/>
          <w:szCs w:val="24"/>
        </w:rPr>
        <w:t xml:space="preserve"> կազմակերպություններ) ներկայացնելու պայմանով:</w:t>
      </w:r>
    </w:p>
    <w:p w14:paraId="3746E549" w14:textId="11B7A7B0"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մարմինները գրանցման դոսյեում փոփոխություններ կատարելու մասին եզրակացությունն ընդունելու օրվանից ոչ ուշ, քան 10 աշխատանքային օր ժամկետում, փոփոխություններ կատարելու մասին տեղեկությունները տեղադրում</w:t>
      </w:r>
      <w:r>
        <w:rPr>
          <w:rFonts w:ascii="Sylfaen" w:hAnsi="Sylfaen"/>
          <w:sz w:val="24"/>
          <w:szCs w:val="24"/>
        </w:rPr>
        <w:t> </w:t>
      </w:r>
      <w:r w:rsidRPr="00826F05">
        <w:rPr>
          <w:rFonts w:ascii="Sylfaen" w:hAnsi="Sylfaen"/>
          <w:sz w:val="24"/>
          <w:szCs w:val="24"/>
        </w:rPr>
        <w:t xml:space="preserve">են Միության գրանցված դեղամիջոցների միասնական ռեեստրում (այսուհետ՝ միասնական ռեեստր)՝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35D7045A" w14:textId="5CE8A253" w:rsidR="004F5982" w:rsidRPr="00826F05" w:rsidRDefault="004F5982" w:rsidP="00487007">
      <w:pPr>
        <w:spacing w:after="160" w:line="384" w:lineRule="auto"/>
        <w:ind w:right="35" w:firstLine="567"/>
        <w:jc w:val="both"/>
        <w:rPr>
          <w:rFonts w:ascii="Sylfaen" w:eastAsia="Times New Roman" w:hAnsi="Sylfaen" w:cs="Times New Roman"/>
          <w:sz w:val="24"/>
          <w:szCs w:val="24"/>
        </w:rPr>
      </w:pPr>
      <w:r w:rsidRPr="00826F05">
        <w:rPr>
          <w:rFonts w:ascii="Sylfaen" w:hAnsi="Sylfaen"/>
          <w:sz w:val="24"/>
          <w:szCs w:val="24"/>
        </w:rPr>
        <w:lastRenderedPageBreak/>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նշված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4CEBA94" w14:textId="48D206E5"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են IA տիպի մեկ կամ մի քանի ոչ էական փոփոխություններ,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 Գրանցման հավաստագրի իրավատերն իրավունք չունի իրականացնելու մերժված փոփոխությունը:</w:t>
      </w:r>
    </w:p>
    <w:p w14:paraId="59D876FD" w14:textId="334B9E08"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Դեղամիջոցների գրանցման կանոնների թիվ 19 հավելվածին համապատասխան: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60599CBA"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2.1.3.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IA տիպի փոփոխությունների փորձաքննություն:</w:t>
      </w:r>
    </w:p>
    <w:p w14:paraId="68DE7D16" w14:textId="3B60596F"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IA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փաստաթղթերը:</w:t>
      </w:r>
    </w:p>
    <w:p w14:paraId="3A7195F3" w14:textId="0F8BCC5C" w:rsidR="004F5982" w:rsidRPr="00826F05" w:rsidRDefault="0056496B" w:rsidP="00487007">
      <w:pPr>
        <w:spacing w:after="160" w:line="360" w:lineRule="auto"/>
        <w:ind w:right="35" w:firstLine="567"/>
        <w:jc w:val="both"/>
        <w:rPr>
          <w:rFonts w:ascii="Sylfaen" w:hAnsi="Sylfaen"/>
          <w:sz w:val="24"/>
          <w:szCs w:val="24"/>
        </w:rPr>
      </w:pPr>
      <w:r>
        <w:rPr>
          <w:rFonts w:ascii="Sylfaen" w:hAnsi="Sylfaen"/>
          <w:sz w:val="24"/>
          <w:szCs w:val="24"/>
        </w:rPr>
        <w:lastRenderedPageBreak/>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Ռեֆերենտ պետության լիազորված մարմինը (փորձագիտական կազմակերպությունը) անցկացնում է IA տիպի ոչ էական փոփոխության փորձաքննություն այն ստանալու օրվանից 30 օրացուցային օրվա ընթացքում:</w:t>
      </w:r>
    </w:p>
    <w:p w14:paraId="329266C4" w14:textId="01059C30"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 xml:space="preserve">30-րդ օրացուցային օրը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իր եզրակացության մասին:</w:t>
      </w:r>
    </w:p>
    <w:p w14:paraId="357D3EBA" w14:textId="6CB11123"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հավելվածով նախատեսված ընթացակարգերի արդյունքներով դեղապատրաստուկի գրանցման փոփոխությունը պետք է իրականացվի </w:t>
      </w:r>
      <w:r w:rsidR="0056496B">
        <w:rPr>
          <w:rFonts w:ascii="Sylfaen" w:hAnsi="Sylfaen"/>
          <w:sz w:val="24"/>
          <w:szCs w:val="24"/>
        </w:rPr>
        <w:t>դիմումատու</w:t>
      </w:r>
      <w:r w:rsidRPr="00826F05">
        <w:rPr>
          <w:rFonts w:ascii="Sylfaen" w:hAnsi="Sylfaen"/>
          <w:sz w:val="24"/>
          <w:szCs w:val="24"/>
        </w:rPr>
        <w:t xml:space="preserve">ին եզրակացության մասին ծանուցելուց հետո՝ 180 օրացուցային օրվա ընթացքում՝ գրանցման դոսյեի փոփոխության համար անհրաժեշտ փաստաթղթերը ռեֆերենտ պետության լիազորված մարմին (փորձագիտական կազմակերպություն)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0DC3106" w14:textId="65A9275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E4274F">
        <w:rPr>
          <w:rFonts w:ascii="Sylfaen" w:hAnsi="Sylfaen"/>
          <w:spacing w:val="-6"/>
          <w:sz w:val="24"/>
          <w:szCs w:val="24"/>
        </w:rPr>
        <w:t>Այն դեպքում, երբ, Դեղամիջոցների գրանցման կանոնների թիվ</w:t>
      </w:r>
      <w:r w:rsidRPr="00826F05">
        <w:rPr>
          <w:rFonts w:ascii="Sylfaen" w:hAnsi="Sylfaen"/>
          <w:sz w:val="24"/>
          <w:szCs w:val="24"/>
        </w:rPr>
        <w:t xml:space="preserve"> 19 հավելվածի 1.6 կետի համաձայն, փոփոխությունները հանգեցնում են դեղապատրաստուկի մասին տեղեկատվության վերանայման, լիազորված մարմինը գրանցման դոսյեում փոփոխություններ կատարելու մասին եզրակացություն ընդունելու օրվանից ոչ</w:t>
      </w:r>
      <w:r>
        <w:rPr>
          <w:rFonts w:ascii="Sylfaen" w:hAnsi="Sylfaen"/>
          <w:sz w:val="24"/>
          <w:szCs w:val="24"/>
        </w:rPr>
        <w:t> </w:t>
      </w:r>
      <w:r w:rsidRPr="00826F05">
        <w:rPr>
          <w:rFonts w:ascii="Sylfaen" w:hAnsi="Sylfaen"/>
          <w:sz w:val="24"/>
          <w:szCs w:val="24"/>
        </w:rPr>
        <w:t>ուշ, քան 10 աշխատանքային օրվա ընթացքում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r>
        <w:rPr>
          <w:rFonts w:ascii="Sylfaen" w:hAnsi="Sylfaen"/>
          <w:sz w:val="24"/>
          <w:szCs w:val="24"/>
        </w:rPr>
        <w:t> </w:t>
      </w:r>
      <w:r w:rsidRPr="00826F05">
        <w:rPr>
          <w:rFonts w:ascii="Sylfaen" w:hAnsi="Sylfaen"/>
          <w:sz w:val="24"/>
          <w:szCs w:val="24"/>
        </w:rPr>
        <w:t xml:space="preserve">է տրամադրում դեղապատրաստուկի փոփոխված ընդհանուր բնութագիրը, բժշկական կիրառման հրահանգը, փաթեթվածքների մանրակերտերը, որակի </w:t>
      </w:r>
      <w:r w:rsidRPr="00826F05">
        <w:rPr>
          <w:rFonts w:ascii="Sylfaen" w:hAnsi="Sylfaen"/>
          <w:sz w:val="24"/>
          <w:szCs w:val="24"/>
        </w:rPr>
        <w:lastRenderedPageBreak/>
        <w:t>նորմատիվ փաստաթուղթը, գրանցման հավաստագիրը (անհրաժեշտության դեպքում):</w:t>
      </w:r>
    </w:p>
    <w:p w14:paraId="3A5189A6" w14:textId="1AD73A4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մինչ</w:t>
      </w:r>
      <w:r w:rsidR="00C54D75">
        <w:rPr>
          <w:rFonts w:ascii="Sylfaen" w:hAnsi="Sylfaen"/>
          <w:sz w:val="24"/>
          <w:szCs w:val="24"/>
        </w:rPr>
        <w:t>և</w:t>
      </w:r>
      <w:r w:rsidRPr="00826F05">
        <w:rPr>
          <w:rFonts w:ascii="Sylfaen" w:hAnsi="Sylfaen"/>
          <w:sz w:val="24"/>
          <w:szCs w:val="24"/>
        </w:rPr>
        <w:t xml:space="preserve"> 90 օրացուցային օր երկարաձգելու սույն կետի առաջին </w:t>
      </w:r>
      <w:r w:rsidR="00C54D75">
        <w:rPr>
          <w:rFonts w:ascii="Sylfaen" w:hAnsi="Sylfaen"/>
          <w:sz w:val="24"/>
          <w:szCs w:val="24"/>
        </w:rPr>
        <w:t>և</w:t>
      </w:r>
      <w:r w:rsidRPr="00826F05">
        <w:rPr>
          <w:rFonts w:ascii="Sylfaen" w:hAnsi="Sylfaen"/>
          <w:sz w:val="24"/>
          <w:szCs w:val="24"/>
        </w:rPr>
        <w:t xml:space="preserve"> չորրորդ պարբերություններում նշված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651A704E" w14:textId="34805A6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w:t>
      </w:r>
      <w:r w:rsidR="0056496B">
        <w:rPr>
          <w:rFonts w:ascii="Sylfaen" w:hAnsi="Sylfaen"/>
          <w:sz w:val="24"/>
          <w:szCs w:val="24"/>
        </w:rPr>
        <w:t>դիմումատու</w:t>
      </w:r>
      <w:r w:rsidRPr="00826F05">
        <w:rPr>
          <w:rFonts w:ascii="Sylfaen" w:hAnsi="Sylfaen"/>
          <w:sz w:val="24"/>
          <w:szCs w:val="24"/>
        </w:rPr>
        <w:t>ի կողմից ներկայացվել են IA</w:t>
      </w:r>
      <w:r>
        <w:rPr>
          <w:rFonts w:ascii="Sylfaen" w:hAnsi="Sylfaen"/>
          <w:sz w:val="24"/>
          <w:szCs w:val="24"/>
        </w:rPr>
        <w:t> </w:t>
      </w:r>
      <w:r w:rsidRPr="00826F05">
        <w:rPr>
          <w:rFonts w:ascii="Sylfaen" w:hAnsi="Sylfaen"/>
          <w:sz w:val="24"/>
          <w:szCs w:val="24"/>
        </w:rPr>
        <w:t xml:space="preserve">տիպի մեկ կամ մի քանի ոչ էական փոփոխություններ,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դեղապատրաստուկի փորձաքննության արդյունքներով որ փոփոխությունն է ընդունվել կամ մերժվել:</w:t>
      </w:r>
    </w:p>
    <w:p w14:paraId="425359B8" w14:textId="22023F1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Դոսյեում IA տիպի ոչ էական փոփոխությունների վերաբերյալ բոլոր անհրաժեշտ փաստաթղթերը ներկայացնելու անընդունակությունն անպայմանորեն չի հանգեցնում փոփոխության մերժման, եթե </w:t>
      </w:r>
      <w:r w:rsidR="0056496B">
        <w:rPr>
          <w:rFonts w:ascii="Sylfaen" w:hAnsi="Sylfaen"/>
          <w:sz w:val="24"/>
          <w:szCs w:val="24"/>
        </w:rPr>
        <w:t>դիմումատու</w:t>
      </w:r>
      <w:r w:rsidRPr="00826F05">
        <w:rPr>
          <w:rFonts w:ascii="Sylfaen" w:hAnsi="Sylfaen"/>
          <w:sz w:val="24"/>
          <w:szCs w:val="24"/>
        </w:rPr>
        <w:t>ն համապատասխան մարմնի հարցման հիման վրա ներկայացնի պակասող փաստաթղթերը: IA տիպի ոչ էական փոփոխությունը կարող է որոշ դեպքերում մերժվել՝ հանգեցնելով իրավատիրոջ կողմից արդեն իրականացված դիտարկվող փոփոխությունների իրականացման անհապաղ դադարեցման անհրաժեշտության:</w:t>
      </w:r>
    </w:p>
    <w:p w14:paraId="12A5CB94" w14:textId="77777777" w:rsidR="004F5982" w:rsidRPr="00826F05" w:rsidRDefault="004F5982" w:rsidP="00487007">
      <w:pPr>
        <w:tabs>
          <w:tab w:val="left" w:pos="1134"/>
        </w:tabs>
        <w:spacing w:after="160" w:line="360" w:lineRule="auto"/>
        <w:ind w:right="-20" w:firstLine="567"/>
        <w:jc w:val="both"/>
        <w:rPr>
          <w:rFonts w:ascii="Sylfaen" w:hAnsi="Sylfaen"/>
          <w:sz w:val="24"/>
          <w:szCs w:val="24"/>
        </w:rPr>
      </w:pPr>
      <w:r w:rsidRPr="00826F05">
        <w:rPr>
          <w:rFonts w:ascii="Sylfaen" w:hAnsi="Sylfaen"/>
          <w:sz w:val="24"/>
          <w:szCs w:val="24"/>
        </w:rPr>
        <w:t>2.2.</w:t>
      </w:r>
      <w:r w:rsidRPr="00826F05">
        <w:rPr>
          <w:rFonts w:ascii="Sylfaen" w:hAnsi="Sylfaen"/>
          <w:sz w:val="24"/>
          <w:szCs w:val="24"/>
        </w:rPr>
        <w:tab/>
        <w:t>IB տիպի ոչ էական փոփոխությունները:</w:t>
      </w:r>
    </w:p>
    <w:p w14:paraId="7D7F972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կետը պարունակում է IB տիպի ոչ էական փոփոխությունների մասով Դեղամիջոցների գրանցման կանոնների թիվ 19 հավելվածի 1.7, 2.2, 2.4, 3.2, 3.5, 4.2.1 </w:t>
      </w:r>
      <w:r w:rsidR="00C54D75">
        <w:rPr>
          <w:rFonts w:ascii="Sylfaen" w:hAnsi="Sylfaen"/>
          <w:sz w:val="24"/>
          <w:szCs w:val="24"/>
        </w:rPr>
        <w:t>և</w:t>
      </w:r>
      <w:r w:rsidRPr="00826F05">
        <w:rPr>
          <w:rFonts w:ascii="Sylfaen" w:hAnsi="Sylfaen"/>
          <w:sz w:val="24"/>
          <w:szCs w:val="24"/>
        </w:rPr>
        <w:t xml:space="preserve"> 4.2.2 կետերի կիրառման վերաբերյալ դրույթներ:</w:t>
      </w:r>
    </w:p>
    <w:p w14:paraId="22D76BD9" w14:textId="7BBA335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IB տիպի ոչ</w:t>
      </w:r>
      <w:r>
        <w:rPr>
          <w:rFonts w:ascii="Sylfaen" w:hAnsi="Sylfaen"/>
          <w:sz w:val="24"/>
          <w:szCs w:val="24"/>
        </w:rPr>
        <w:t> </w:t>
      </w:r>
      <w:r w:rsidRPr="00826F05">
        <w:rPr>
          <w:rFonts w:ascii="Sylfaen" w:hAnsi="Sylfaen"/>
          <w:sz w:val="24"/>
          <w:szCs w:val="24"/>
        </w:rPr>
        <w:t xml:space="preserve">էական փոփոխություններ: Նման ոչ էական փոփոխություններ իրականացնելուց առաջ պահանջվում է նախնական ծանուցում կամ գրանցման </w:t>
      </w:r>
      <w:r w:rsidRPr="00826F05">
        <w:rPr>
          <w:rFonts w:ascii="Sylfaen" w:hAnsi="Sylfaen"/>
          <w:sz w:val="24"/>
          <w:szCs w:val="24"/>
        </w:rPr>
        <w:lastRenderedPageBreak/>
        <w:t xml:space="preserve">դոսյեում այնպիսի փոփոխություններ կատարելու մասով լիազորված մարմնի կողմից հաստատում, որոնք հանգեցնում են դեղապատրաստուկի մասին տեղեկատվության վերանայման՝ համաձայն Դեղամիջոցների գրանցման կանոնների թիվ 19 հավելվածի 1.6 կետի, որոնց մասով փոփոխություններ կատարելու վերաբերյալ համապատասխան </w:t>
      </w:r>
      <w:r w:rsidR="0056496B">
        <w:rPr>
          <w:rFonts w:ascii="Sylfaen" w:hAnsi="Sylfaen"/>
          <w:sz w:val="24"/>
          <w:szCs w:val="24"/>
        </w:rPr>
        <w:t>դիմում</w:t>
      </w:r>
      <w:r w:rsidRPr="00826F05">
        <w:rPr>
          <w:rFonts w:ascii="Sylfaen" w:hAnsi="Sylfaen"/>
          <w:sz w:val="24"/>
          <w:szCs w:val="24"/>
        </w:rPr>
        <w:t>ն անհրաժեշտ է ներկայացնել մինչ</w:t>
      </w:r>
      <w:r w:rsidR="00C54D75">
        <w:rPr>
          <w:rFonts w:ascii="Sylfaen" w:hAnsi="Sylfaen"/>
          <w:sz w:val="24"/>
          <w:szCs w:val="24"/>
        </w:rPr>
        <w:t>և</w:t>
      </w:r>
      <w:r w:rsidRPr="00826F05">
        <w:rPr>
          <w:rFonts w:ascii="Sylfaen" w:hAnsi="Sylfaen"/>
          <w:sz w:val="24"/>
          <w:szCs w:val="24"/>
        </w:rPr>
        <w:t xml:space="preserve"> փոփոխությունն իրականացնելը:</w:t>
      </w:r>
    </w:p>
    <w:p w14:paraId="3D5116D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հավաստագրի իրավատիրոջ կողմից այլ փոփոխությունների </w:t>
      </w:r>
      <w:r w:rsidRPr="005B25AF">
        <w:rPr>
          <w:rFonts w:ascii="Sylfaen" w:hAnsi="Sylfaen"/>
          <w:spacing w:val="-6"/>
          <w:sz w:val="24"/>
          <w:szCs w:val="24"/>
        </w:rPr>
        <w:t>իրականացումը հնարավոր է լիազորված մարմին (փորձագիտական կազմակերպություն) ծանուցումը ներկայացնելու օրվանից միայն 30 օրացուցային</w:t>
      </w:r>
      <w:r w:rsidRPr="00826F05">
        <w:rPr>
          <w:rFonts w:ascii="Sylfaen" w:hAnsi="Sylfaen"/>
          <w:sz w:val="24"/>
          <w:szCs w:val="24"/>
        </w:rPr>
        <w:t xml:space="preserve"> օր հետո՝ նշված ժամկետում փոփոխություններ կատարելու վերաբերյալ համապատասխան լիազորված մարմնի (փորձագիտական կազմակերպության) բացասական եզրակացության բացակայության պայմանով («ասա, սպասիր </w:t>
      </w:r>
      <w:r w:rsidR="00C54D75">
        <w:rPr>
          <w:rFonts w:ascii="Sylfaen" w:hAnsi="Sylfaen"/>
          <w:sz w:val="24"/>
          <w:szCs w:val="24"/>
        </w:rPr>
        <w:t>և</w:t>
      </w:r>
      <w:r w:rsidRPr="00826F05">
        <w:rPr>
          <w:rFonts w:ascii="Sylfaen" w:hAnsi="Sylfaen"/>
          <w:sz w:val="24"/>
          <w:szCs w:val="24"/>
        </w:rPr>
        <w:t xml:space="preserve"> կատարիր» ընթացակարգ):</w:t>
      </w:r>
    </w:p>
    <w:p w14:paraId="6AE6C425"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2.2.1.</w:t>
      </w:r>
      <w:r w:rsidRPr="00826F05">
        <w:rPr>
          <w:rFonts w:ascii="Sylfaen" w:hAnsi="Sylfaen"/>
          <w:sz w:val="24"/>
          <w:szCs w:val="24"/>
        </w:rPr>
        <w:tab/>
        <w:t>IB տիպի ոչ էական փոփոխություններ կատարելու մասին ծանուցելու ընթացակարգը:</w:t>
      </w:r>
    </w:p>
    <w:p w14:paraId="31FFB18F" w14:textId="1E8FEE3A" w:rsidR="004F5982" w:rsidRPr="00826F05" w:rsidRDefault="0056496B" w:rsidP="00487007">
      <w:pPr>
        <w:spacing w:after="160" w:line="384" w:lineRule="auto"/>
        <w:ind w:right="33"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մեկ ծանուցման մեջ խմբավորելու մի</w:t>
      </w:r>
      <w:r w:rsidR="00C54D75">
        <w:rPr>
          <w:rFonts w:ascii="Sylfaen" w:hAnsi="Sylfaen"/>
          <w:sz w:val="24"/>
          <w:szCs w:val="24"/>
        </w:rPr>
        <w:t>և</w:t>
      </w:r>
      <w:r w:rsidR="004F5982" w:rsidRPr="00826F05">
        <w:rPr>
          <w:rFonts w:ascii="Sylfaen" w:hAnsi="Sylfaen"/>
          <w:sz w:val="24"/>
          <w:szCs w:val="24"/>
        </w:rPr>
        <w:t xml:space="preserve">նույն </w:t>
      </w:r>
      <w:r w:rsidR="004F5982" w:rsidRPr="005B25AF">
        <w:rPr>
          <w:rFonts w:ascii="Sylfaen" w:hAnsi="Sylfaen"/>
          <w:spacing w:val="6"/>
          <w:sz w:val="24"/>
          <w:szCs w:val="24"/>
        </w:rPr>
        <w:t>գրանցման դոսյեի IB տիպի մի քանի ոչ էական փոփոխություններ կամ խմբավորել մեկ կամ ավելի IB տիպի ոչ էական փոփոխություններն այլ ոչ էական փոփոխությունների հետ մի</w:t>
      </w:r>
      <w:r w:rsidR="00C54D75">
        <w:rPr>
          <w:rFonts w:ascii="Sylfaen" w:hAnsi="Sylfaen"/>
          <w:spacing w:val="6"/>
          <w:sz w:val="24"/>
          <w:szCs w:val="24"/>
        </w:rPr>
        <w:t>և</w:t>
      </w:r>
      <w:r w:rsidR="004F5982" w:rsidRPr="005B25AF">
        <w:rPr>
          <w:rFonts w:ascii="Sylfaen" w:hAnsi="Sylfaen"/>
          <w:spacing w:val="6"/>
          <w:sz w:val="24"/>
          <w:szCs w:val="24"/>
        </w:rPr>
        <w:t>նույն գրանցման դոսյեում՝</w:t>
      </w:r>
      <w:r w:rsidR="004F5982" w:rsidRPr="00826F05">
        <w:rPr>
          <w:rFonts w:ascii="Sylfaen" w:hAnsi="Sylfaen"/>
          <w:sz w:val="24"/>
          <w:szCs w:val="24"/>
        </w:rPr>
        <w:t xml:space="preserve"> Դեղամիջոցների գրանցման կանոնների թիվ 19 հավելվածի III լրացման մեջ թվարկված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w:t>
      </w:r>
    </w:p>
    <w:p w14:paraId="394B8701" w14:textId="7650F22B" w:rsidR="004F5982" w:rsidRPr="00826F05" w:rsidRDefault="004F5982" w:rsidP="00487007">
      <w:pPr>
        <w:spacing w:after="160" w:line="384"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IB տիպի ոչ էական փոփոխություններ մեկ անդամ պետությունում կամ խմբավորելու մեկ կամ ավելի IB տիպի ոչ էական </w:t>
      </w:r>
      <w:r w:rsidRPr="00826F05">
        <w:rPr>
          <w:rFonts w:ascii="Sylfaen" w:hAnsi="Sylfaen"/>
          <w:sz w:val="24"/>
          <w:szCs w:val="24"/>
        </w:rPr>
        <w:lastRenderedPageBreak/>
        <w:t>փոփոխություններ մի քանի գրանցման դոսյեներին վերաբերող այլ ոչ էական փոփոխությունների հետ մեկ անդամ պետությունում՝ պայմանով, որ՝</w:t>
      </w:r>
    </w:p>
    <w:p w14:paraId="2186F2DA" w14:textId="77777777" w:rsidR="004F5982" w:rsidRPr="00826F05" w:rsidRDefault="004F5982" w:rsidP="00487007">
      <w:pPr>
        <w:tabs>
          <w:tab w:val="left" w:pos="1134"/>
        </w:tabs>
        <w:spacing w:after="160" w:line="360" w:lineRule="auto"/>
        <w:ind w:right="42" w:firstLine="567"/>
        <w:jc w:val="both"/>
        <w:rPr>
          <w:rFonts w:ascii="Sylfaen" w:eastAsia="Times New Roman" w:hAnsi="Sylfaen" w:cs="Times New Roman"/>
          <w:sz w:val="24"/>
          <w:szCs w:val="24"/>
        </w:rPr>
      </w:pPr>
      <w:r w:rsidRPr="00826F05">
        <w:rPr>
          <w:rFonts w:ascii="Sylfaen" w:hAnsi="Sylfaen"/>
          <w:sz w:val="24"/>
          <w:szCs w:val="24"/>
        </w:rPr>
        <w:t>ա)</w:t>
      </w:r>
      <w:r w:rsidRPr="00826F05">
        <w:rPr>
          <w:rFonts w:ascii="Sylfaen" w:hAnsi="Sylfaen"/>
          <w:sz w:val="24"/>
          <w:szCs w:val="24"/>
        </w:rPr>
        <w:tab/>
        <w:t>դիտարկվող բոլոր գրանցման դոսյեների համար փոփոխությունները նույնն են,</w:t>
      </w:r>
    </w:p>
    <w:p w14:paraId="511F6598" w14:textId="77777777" w:rsidR="004F5982" w:rsidRPr="00826F05" w:rsidRDefault="004F5982" w:rsidP="00487007">
      <w:pPr>
        <w:tabs>
          <w:tab w:val="left" w:pos="1134"/>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բ)</w:t>
      </w:r>
      <w:r w:rsidRPr="00826F05">
        <w:rPr>
          <w:rFonts w:ascii="Sylfaen" w:hAnsi="Sylfaen"/>
          <w:sz w:val="24"/>
          <w:szCs w:val="24"/>
        </w:rPr>
        <w:tab/>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3C894E3D" w14:textId="77777777" w:rsidR="004F5982" w:rsidRPr="00826F05" w:rsidRDefault="004F5982" w:rsidP="00487007">
      <w:pPr>
        <w:tabs>
          <w:tab w:val="left" w:pos="1134"/>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w:t>
      </w:r>
      <w:r>
        <w:rPr>
          <w:rFonts w:ascii="Sylfaen" w:hAnsi="Sylfaen"/>
          <w:sz w:val="24"/>
          <w:szCs w:val="24"/>
        </w:rPr>
        <w:t>)</w:t>
      </w:r>
      <w:r w:rsidRPr="00E72C30">
        <w:rPr>
          <w:rFonts w:ascii="Sylfaen" w:hAnsi="Sylfaen"/>
          <w:sz w:val="24"/>
          <w:szCs w:val="24"/>
        </w:rPr>
        <w:tab/>
      </w:r>
      <w:r w:rsidRPr="00826F05">
        <w:rPr>
          <w:rFonts w:ascii="Sylfaen" w:hAnsi="Sylfaen"/>
          <w:sz w:val="24"/>
          <w:szCs w:val="24"/>
        </w:rPr>
        <w:t>լիազորված մարմինը (փորձագիտական կազմակերպությունը) նախկինում համաձայնություն է տվել այդպիսի խմբավորման համար:</w:t>
      </w:r>
    </w:p>
    <w:p w14:paraId="7A8B41B7" w14:textId="2217229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Ավելին, եթե IB տիպի մի</w:t>
      </w:r>
      <w:r w:rsidR="00C54D75">
        <w:rPr>
          <w:rFonts w:ascii="Sylfaen" w:hAnsi="Sylfaen"/>
          <w:sz w:val="24"/>
          <w:szCs w:val="24"/>
        </w:rPr>
        <w:t>և</w:t>
      </w:r>
      <w:r w:rsidRPr="00826F05">
        <w:rPr>
          <w:rFonts w:ascii="Sylfaen" w:hAnsi="Sylfaen"/>
          <w:sz w:val="24"/>
          <w:szCs w:val="24"/>
        </w:rPr>
        <w:t>նույն ոչ էական փոփոխությունը կամ ոչ էական փոփոխությունների մի</w:t>
      </w:r>
      <w:r w:rsidR="00C54D75">
        <w:rPr>
          <w:rFonts w:ascii="Sylfaen" w:hAnsi="Sylfaen"/>
          <w:sz w:val="24"/>
          <w:szCs w:val="24"/>
        </w:rPr>
        <w:t>և</w:t>
      </w:r>
      <w:r w:rsidRPr="00826F05">
        <w:rPr>
          <w:rFonts w:ascii="Sylfaen" w:hAnsi="Sylfaen"/>
          <w:sz w:val="24"/>
          <w:szCs w:val="24"/>
        </w:rPr>
        <w:t xml:space="preserve">նույն խումբը (բերված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ներկայացնելու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4B64F53A" w14:textId="1D9ABD87"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նշված տարրեր, որոնք ներկայացվել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7B2093B3"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2BCF2DDE" w14:textId="76EDF69C"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տեղեկությունները: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ձ</w:t>
      </w:r>
      <w:r w:rsidR="00C54D75">
        <w:rPr>
          <w:rFonts w:ascii="Sylfaen" w:hAnsi="Sylfaen"/>
          <w:sz w:val="24"/>
          <w:szCs w:val="24"/>
        </w:rPr>
        <w:t>և</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 Եթե</w:t>
      </w:r>
      <w:r>
        <w:rPr>
          <w:rFonts w:ascii="Sylfaen" w:hAnsi="Sylfaen"/>
          <w:sz w:val="24"/>
          <w:szCs w:val="24"/>
        </w:rPr>
        <w:t> </w:t>
      </w:r>
      <w:r w:rsidRPr="00826F05">
        <w:rPr>
          <w:rFonts w:ascii="Sylfaen" w:hAnsi="Sylfaen"/>
          <w:sz w:val="24"/>
          <w:szCs w:val="24"/>
        </w:rPr>
        <w:t xml:space="preserve">փոփոխությունը դիտարկվում է որպես չդասակարգվող փոփոխություն, </w:t>
      </w:r>
      <w:r w:rsidRPr="00826F05">
        <w:rPr>
          <w:rFonts w:ascii="Sylfaen" w:hAnsi="Sylfaen"/>
          <w:sz w:val="24"/>
          <w:szCs w:val="24"/>
        </w:rPr>
        <w:lastRenderedPageBreak/>
        <w:t>անհրաժեշտ է ներառել այն որպես IB տիպի ծանուցում ներկայացնելու մանրամասն հիմնավորում,</w:t>
      </w:r>
    </w:p>
    <w:p w14:paraId="461F7098" w14:textId="734DD4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փոփոխության ծածկագրի նշումը՝ Դեղամիջոցների գրանցման կանոնների թիվ 19 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կետին համապատասխան ներկայացված՝ դասակարգման առաջարկության նշումը,</w:t>
      </w:r>
    </w:p>
    <w:p w14:paraId="3F2F53F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առաջարկվող փոփոխությունը հիմնավորող անհրաժեշտ փաստաթղթերը, այդ թվում՝ Դեղամիջոցների գրանցման կանոնների թիվ 19 հավելվածի V լրացման մեջ նշված բոլոր փաստաթղթերը,</w:t>
      </w:r>
    </w:p>
    <w:p w14:paraId="15B5991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 կողմից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72BE666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w:t>
      </w:r>
      <w:r w:rsidRPr="005B25AF">
        <w:rPr>
          <w:rFonts w:ascii="Sylfaen" w:hAnsi="Sylfaen"/>
          <w:spacing w:val="-6"/>
          <w:sz w:val="24"/>
          <w:szCs w:val="24"/>
        </w:rPr>
        <w:t xml:space="preserve">դեղապատրաստուկի մասին վերանայված տեղեկատվությունը (դեղապատրաստուկի ընդհանուր բնութագիրը, մականշվածքը </w:t>
      </w:r>
      <w:r w:rsidR="00C54D75">
        <w:rPr>
          <w:rFonts w:ascii="Sylfaen" w:hAnsi="Sylfaen"/>
          <w:spacing w:val="-6"/>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լեզվով համապատասխան թարգմանությունները՝ նրանց օրենսդրության մեջ համապատասխան պահանջների առկայության դեպքում: Եթե IB տիպի ոչ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0D6AC0CE" w14:textId="4972CDF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1.1.3 կետում նշված փոփոխությունների մասով ռեֆերենտ պետության լիազորված մարմինը (փորձագիտական կազմակերպությունը) պետք է լրացուցիչ ստանա IB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ը շահագրգիռ ճանաչման պետություններ ներկայացնելու ամսաթվերի </w:t>
      </w:r>
      <w:r w:rsidR="00C54D75">
        <w:rPr>
          <w:rFonts w:ascii="Sylfaen" w:hAnsi="Sylfaen"/>
          <w:sz w:val="24"/>
          <w:szCs w:val="24"/>
        </w:rPr>
        <w:t>և</w:t>
      </w:r>
      <w:r w:rsidRPr="00826F05">
        <w:rPr>
          <w:rFonts w:ascii="Sylfaen" w:hAnsi="Sylfaen"/>
          <w:sz w:val="24"/>
          <w:szCs w:val="24"/>
        </w:rPr>
        <w:t xml:space="preserve"> ճանաչման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փոփոխություններ կատարելու (</w:t>
      </w:r>
      <w:r w:rsidR="00C54D75">
        <w:rPr>
          <w:rFonts w:ascii="Sylfaen" w:hAnsi="Sylfaen"/>
          <w:sz w:val="24"/>
          <w:szCs w:val="24"/>
        </w:rPr>
        <w:t>և</w:t>
      </w:r>
      <w:r w:rsidRPr="00826F05">
        <w:rPr>
          <w:rFonts w:ascii="Sylfaen" w:hAnsi="Sylfaen"/>
          <w:sz w:val="24"/>
          <w:szCs w:val="24"/>
        </w:rPr>
        <w:t xml:space="preserve"> անհրաժեշտության դեպքում՝ դրա փորձաքննության) վճարի (տուրքի) վճարումը հաստատող փաստաթղթերի ցանկը:</w:t>
      </w:r>
    </w:p>
    <w:p w14:paraId="5373546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նշված փոփոխությունների մասով՝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դեղապատրաստուկի գրանցման դոսյեում (</w:t>
      </w:r>
      <w:r w:rsidR="00C54D75">
        <w:rPr>
          <w:rFonts w:ascii="Sylfaen" w:hAnsi="Sylfaen"/>
          <w:sz w:val="24"/>
          <w:szCs w:val="24"/>
        </w:rPr>
        <w:t>և</w:t>
      </w:r>
      <w:r>
        <w:rPr>
          <w:rFonts w:ascii="Sylfaen" w:hAnsi="Sylfaen"/>
          <w:sz w:val="24"/>
          <w:szCs w:val="24"/>
        </w:rPr>
        <w:t> </w:t>
      </w:r>
      <w:r w:rsidRPr="00826F05">
        <w:rPr>
          <w:rFonts w:ascii="Sylfaen" w:hAnsi="Sylfaen"/>
          <w:sz w:val="24"/>
          <w:szCs w:val="24"/>
        </w:rPr>
        <w:t>անհրաժեշտության դեպքում՝ դրա փորձաքննության մեջ) փոփոխություններ կատարելու վճարի (տուրքի) վճարման հաստատում:</w:t>
      </w:r>
    </w:p>
    <w:p w14:paraId="0A7A151E"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կետում նշված IB տիպի փոփոխությունների փորձաքննություն:</w:t>
      </w:r>
    </w:p>
    <w:p w14:paraId="0888D2A1" w14:textId="2027AB6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IВ տիպի ոչ էական փոփոխություն կատարելու դեպքում, Դեղամիջոցների գրանցման կանոնների թիվ 2 հավելվածի համաձայն,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միաժամանակ համապատասխան բոլոր մարմիններ (փորձագիտական կազմակերպություններ) է ներկայացնում փոփոխություններ կատարելու </w:t>
      </w:r>
      <w:r w:rsidR="0056496B">
        <w:rPr>
          <w:rFonts w:ascii="Sylfaen" w:hAnsi="Sylfaen"/>
          <w:sz w:val="24"/>
          <w:szCs w:val="24"/>
        </w:rPr>
        <w:t>դիմում</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հաստատող փաստաթղթեր:</w:t>
      </w:r>
    </w:p>
    <w:p w14:paraId="04051CD8" w14:textId="0905724F"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ռեֆերենտ պետության լիազորված մարմին (փորձագիտական կազմակերպություն) է ներկայացնում փոփոխության (ծանուցման) դոսյե, որը պարունակում է Դեղամիջոցների գրանցման կանոնների IV լրացման մեջ </w:t>
      </w:r>
      <w:r w:rsidR="004F5982" w:rsidRPr="00826F05">
        <w:rPr>
          <w:rFonts w:ascii="Sylfaen" w:hAnsi="Sylfaen"/>
          <w:sz w:val="24"/>
          <w:szCs w:val="24"/>
        </w:rPr>
        <w:lastRenderedPageBreak/>
        <w:t>թվարկված տարրեր:</w:t>
      </w:r>
    </w:p>
    <w:p w14:paraId="53304057" w14:textId="176B65EE"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ինտեգրված համակարգի միջոցով ճանաչման պետությունների համապատասխան մարմինների համար ապահովում է փոփոխության (ծանուցման) դոսյեի հասանելիությունը ոչ ուշ, քան ներկայացված փաստաթղթերի ամբողջականությունը, լրակազմությունը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ակերպումը գնահատելուց, այդ թվում՝ փոփոխությունները IB տիպի ոչ էական փոփոխությունների ծանուցմանը դասելու հնարավորությունները ստուգելուց հետո («վալիդացում») փոփոխությունների կատարման </w:t>
      </w:r>
      <w:r w:rsidR="0056496B">
        <w:rPr>
          <w:rFonts w:ascii="Sylfaen" w:hAnsi="Sylfaen"/>
          <w:sz w:val="24"/>
          <w:szCs w:val="24"/>
        </w:rPr>
        <w:t>դիմում</w:t>
      </w:r>
      <w:r w:rsidRPr="00826F05">
        <w:rPr>
          <w:rFonts w:ascii="Sylfaen" w:hAnsi="Sylfaen"/>
          <w:sz w:val="24"/>
          <w:szCs w:val="24"/>
        </w:rPr>
        <w:t>ը ռեֆերենտ պետություն ներկայացնելու օրվանից 5 աշխատանքային օրվա ընթացքում:</w:t>
      </w:r>
    </w:p>
    <w:p w14:paraId="7D213A72" w14:textId="3E800451" w:rsidR="004F5982" w:rsidRPr="00826F05" w:rsidRDefault="004F5982" w:rsidP="00487007">
      <w:pPr>
        <w:spacing w:after="160" w:line="360" w:lineRule="auto"/>
        <w:ind w:right="-2" w:firstLine="567"/>
        <w:jc w:val="both"/>
        <w:rPr>
          <w:rFonts w:ascii="Sylfaen" w:hAnsi="Sylfaen"/>
          <w:sz w:val="24"/>
          <w:szCs w:val="24"/>
        </w:rPr>
      </w:pPr>
      <w:r w:rsidRPr="005B25AF">
        <w:rPr>
          <w:rFonts w:ascii="Sylfaen" w:hAnsi="Sylfaen"/>
          <w:spacing w:val="-6"/>
          <w:sz w:val="24"/>
          <w:szCs w:val="24"/>
        </w:rPr>
        <w:t>Եթե ներկայացված փոփոխությունը չի դիտարկվում որպես IB տիպի ոչ</w:t>
      </w:r>
      <w:r>
        <w:rPr>
          <w:rFonts w:ascii="Sylfaen" w:hAnsi="Sylfaen"/>
          <w:spacing w:val="-6"/>
          <w:sz w:val="24"/>
          <w:szCs w:val="24"/>
        </w:rPr>
        <w:t xml:space="preserve"> </w:t>
      </w:r>
      <w:r w:rsidRPr="005B25AF">
        <w:rPr>
          <w:rFonts w:ascii="Sylfaen" w:hAnsi="Sylfaen"/>
          <w:spacing w:val="-6"/>
          <w:sz w:val="24"/>
          <w:szCs w:val="24"/>
        </w:rPr>
        <w:t>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5B25AF">
        <w:rPr>
          <w:rFonts w:ascii="Sylfaen" w:hAnsi="Sylfaen"/>
          <w:spacing w:val="-6"/>
          <w:sz w:val="24"/>
          <w:szCs w:val="24"/>
        </w:rPr>
        <w:t>ոչ էական փոփոխություն՝ Դեղամիջոցների գրանցման կանոնների թիվ 19</w:t>
      </w:r>
      <w:r w:rsidRPr="00826F05">
        <w:rPr>
          <w:rFonts w:ascii="Sylfaen" w:hAnsi="Sylfaen"/>
          <w:sz w:val="24"/>
          <w:szCs w:val="24"/>
        </w:rPr>
        <w:t xml:space="preserve"> հավելվածի 1.5 կետին համապատասխան, </w:t>
      </w:r>
      <w:r w:rsidR="00C54D75">
        <w:rPr>
          <w:rFonts w:ascii="Sylfaen" w:hAnsi="Sylfaen"/>
          <w:sz w:val="24"/>
          <w:szCs w:val="24"/>
        </w:rPr>
        <w:t>և</w:t>
      </w:r>
      <w:r w:rsidRPr="00826F05">
        <w:rPr>
          <w:rFonts w:ascii="Sylfaen" w:hAnsi="Sylfaen"/>
          <w:sz w:val="24"/>
          <w:szCs w:val="24"/>
        </w:rPr>
        <w:t xml:space="preserve"> եթե ռեֆերենտ պետության լիազորված մարմինը (փորձագիտական կազմակերպությունը) համարում է, որ այն կարող է էական ազդեցություն ունենալ դեղապատրաստուկի որակի, անվտանգության կամ արդյունավետության վրա, ապա այն անհապաղ տեղեկացնում է այդ մասին շահագրգիռ անդամ պետություններին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w:t>
      </w:r>
    </w:p>
    <w:p w14:paraId="7ECC1661" w14:textId="11C1A32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10 աշխատանքային օրվա ընթացքում շահագրգիռ անդամ պետություններն անհամաձայնություն չեն </w:t>
      </w:r>
      <w:r w:rsidR="0056496B">
        <w:rPr>
          <w:rFonts w:ascii="Sylfaen" w:hAnsi="Sylfaen"/>
          <w:sz w:val="24"/>
          <w:szCs w:val="24"/>
        </w:rPr>
        <w:t>դիմում</w:t>
      </w:r>
      <w:r w:rsidRPr="00826F05">
        <w:rPr>
          <w:rFonts w:ascii="Sylfaen" w:hAnsi="Sylfaen"/>
          <w:sz w:val="24"/>
          <w:szCs w:val="24"/>
        </w:rPr>
        <w:t xml:space="preserve">նում, ապա </w:t>
      </w:r>
      <w:r w:rsidR="0056496B">
        <w:rPr>
          <w:rFonts w:ascii="Sylfaen" w:hAnsi="Sylfaen"/>
          <w:sz w:val="24"/>
          <w:szCs w:val="24"/>
        </w:rPr>
        <w:t>դիմումատու</w:t>
      </w:r>
      <w:r w:rsidRPr="00826F05">
        <w:rPr>
          <w:rFonts w:ascii="Sylfaen" w:hAnsi="Sylfaen"/>
          <w:sz w:val="24"/>
          <w:szCs w:val="24"/>
        </w:rPr>
        <w:t>ն ստանում</w:t>
      </w:r>
      <w:r>
        <w:rPr>
          <w:rFonts w:ascii="Sylfaen" w:hAnsi="Sylfaen"/>
          <w:sz w:val="24"/>
          <w:szCs w:val="24"/>
        </w:rPr>
        <w:t> </w:t>
      </w:r>
      <w:r w:rsidRPr="00826F05">
        <w:rPr>
          <w:rFonts w:ascii="Sylfaen" w:hAnsi="Sylfaen"/>
          <w:sz w:val="24"/>
          <w:szCs w:val="24"/>
        </w:rPr>
        <w:t xml:space="preserve">է </w:t>
      </w:r>
      <w:r w:rsidR="0056496B">
        <w:rPr>
          <w:rFonts w:ascii="Sylfaen" w:hAnsi="Sylfaen"/>
          <w:sz w:val="24"/>
          <w:szCs w:val="24"/>
        </w:rPr>
        <w:t>դիմում</w:t>
      </w:r>
      <w:r w:rsidRPr="00826F05">
        <w:rPr>
          <w:rFonts w:ascii="Sylfaen" w:hAnsi="Sylfaen"/>
          <w:sz w:val="24"/>
          <w:szCs w:val="24"/>
        </w:rPr>
        <w:t xml:space="preserve">ի վերանայման </w:t>
      </w:r>
      <w:r w:rsidR="00C54D75">
        <w:rPr>
          <w:rFonts w:ascii="Sylfaen" w:hAnsi="Sylfaen"/>
          <w:sz w:val="24"/>
          <w:szCs w:val="24"/>
        </w:rPr>
        <w:t>և</w:t>
      </w:r>
      <w:r w:rsidRPr="00826F05">
        <w:rPr>
          <w:rFonts w:ascii="Sylfaen" w:hAnsi="Sylfaen"/>
          <w:sz w:val="24"/>
          <w:szCs w:val="24"/>
        </w:rPr>
        <w:t xml:space="preserve"> II տիպի էական փոփոխությունների համար նախատեսված պահանջներին համապատասխան՝ դրա լրացման մասին հաստատում: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փոփոխության փորձաքննության ընթացակարգը:</w:t>
      </w:r>
    </w:p>
    <w:p w14:paraId="768387E3" w14:textId="5C3F205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շահագրգիռ անդամ պետությունները համաձայն չեն ռեֆերենտ պետության լիազորված մարմնի (փորձագիտական կազմակերպության) եզրակացության հետ, ռեֆերենտ պետության լիազորված մարմինը </w:t>
      </w:r>
      <w:r w:rsidRPr="00826F05">
        <w:rPr>
          <w:rFonts w:ascii="Sylfaen" w:hAnsi="Sylfaen"/>
          <w:sz w:val="24"/>
          <w:szCs w:val="24"/>
        </w:rPr>
        <w:lastRenderedPageBreak/>
        <w:t xml:space="preserve">(փորձագիտական կազմակերպությունը) պետք է կայացնի ներկայացված </w:t>
      </w:r>
      <w:r w:rsidR="0056496B">
        <w:rPr>
          <w:rFonts w:ascii="Sylfaen" w:hAnsi="Sylfaen"/>
          <w:sz w:val="24"/>
          <w:szCs w:val="24"/>
        </w:rPr>
        <w:t>դիմում</w:t>
      </w:r>
      <w:r w:rsidRPr="00826F05">
        <w:rPr>
          <w:rFonts w:ascii="Sylfaen" w:hAnsi="Sylfaen"/>
          <w:sz w:val="24"/>
          <w:szCs w:val="24"/>
        </w:rPr>
        <w:t xml:space="preserve">ի դասակարգման վերաբերյալ վերջնական որոշում՝ հաշվի առնելով շահագրգիռ պետություններից ստացված մեկնաբանությունները: </w:t>
      </w:r>
    </w:p>
    <w:p w14:paraId="2F010B06" w14:textId="35F6207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մարմինը (փորձագիտական կազմակերպությունը) համարում է, որ առաջարկվող փոփոխությունը կարելի է ուսումնասիրել որպես IB տիպի ոչ էական փոփոխություն, այն վալիդացման արդյունքների մասին ծանուցում է </w:t>
      </w:r>
      <w:r w:rsidR="0056496B">
        <w:rPr>
          <w:rFonts w:ascii="Sylfaen" w:hAnsi="Sylfaen"/>
          <w:sz w:val="24"/>
          <w:szCs w:val="24"/>
        </w:rPr>
        <w:t>դիմումատու</w:t>
      </w:r>
      <w:r w:rsidRPr="00826F05">
        <w:rPr>
          <w:rFonts w:ascii="Sylfaen" w:hAnsi="Sylfaen"/>
          <w:sz w:val="24"/>
          <w:szCs w:val="24"/>
        </w:rPr>
        <w:t>ին:</w:t>
      </w:r>
    </w:p>
    <w:p w14:paraId="5610ACE3" w14:textId="7A16A2B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Վավեր ծանուցման ստացումը ճանաչելու օրվանից 30 օրացուցային օրվա ընթացքում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ռեֆերենտ պետության լիազորված մարմինը (փորձագիտական կազմակերպությունը) ծանուցումը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ին չի ուղարկել ծանուցման վերաբերյալ իր եզրակացությունը, ծանուցումը համարվում է ընդունված (հաստատված) բոլոր համապատասխան մարմինների կողմից:</w:t>
      </w:r>
    </w:p>
    <w:p w14:paraId="58C553C9" w14:textId="116D1EF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դեպքում </w:t>
      </w:r>
      <w:r w:rsidR="0056496B">
        <w:rPr>
          <w:rFonts w:ascii="Sylfaen" w:hAnsi="Sylfaen"/>
          <w:sz w:val="24"/>
          <w:szCs w:val="24"/>
        </w:rPr>
        <w:t>դիմումատու</w:t>
      </w:r>
      <w:r w:rsidRPr="00826F05">
        <w:rPr>
          <w:rFonts w:ascii="Sylfaen" w:hAnsi="Sylfaen"/>
          <w:sz w:val="24"/>
          <w:szCs w:val="24"/>
        </w:rPr>
        <w:t>ն բացասական եզրակացություն ստանալու օրվանից 30 օրացուցային օրվա ընթացքում իրավունք ունի ռեֆերենտ պետության լիազորված մարմին (փորձագիտական կազմակերպություն) կրկին ներկայացնելու փոփոխության (ծանուցման) լրացված</w:t>
      </w:r>
      <w:r>
        <w:rPr>
          <w:rFonts w:ascii="Sylfaen" w:hAnsi="Sylfaen"/>
          <w:sz w:val="24"/>
          <w:szCs w:val="24"/>
        </w:rPr>
        <w:t> </w:t>
      </w:r>
      <w:r w:rsidRPr="00826F05">
        <w:rPr>
          <w:rFonts w:ascii="Sylfaen" w:hAnsi="Sylfaen"/>
          <w:sz w:val="24"/>
          <w:szCs w:val="24"/>
        </w:rPr>
        <w:t>դոսյե:</w:t>
      </w:r>
    </w:p>
    <w:p w14:paraId="252C1F43" w14:textId="1F23078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 xml:space="preserve">ն չի ներկայացնում լրացված ծանուցում՝ լիազորված մարմնի (փորձագիտական կազմակերպության) եզրակացությանը կամ </w:t>
      </w:r>
      <w:r w:rsidR="0056496B">
        <w:rPr>
          <w:rFonts w:ascii="Sylfaen" w:hAnsi="Sylfaen"/>
          <w:sz w:val="24"/>
          <w:szCs w:val="24"/>
        </w:rPr>
        <w:t>դիմում</w:t>
      </w:r>
      <w:r w:rsidRPr="00826F05">
        <w:rPr>
          <w:rFonts w:ascii="Sylfaen" w:hAnsi="Sylfaen"/>
          <w:sz w:val="24"/>
          <w:szCs w:val="24"/>
        </w:rPr>
        <w:t>ին համապատասխան, ապա ծանուցումը համարվում է մերժված բոլոր համապատասխան մարմինների կողմից:</w:t>
      </w:r>
    </w:p>
    <w:p w14:paraId="28B80DA1" w14:textId="5938653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Լրացված ծանուցումը ներկայացնելիս ռեֆերենտ պետության լիազորված մարմինը (փորձագիտական կազմակերպությունը) պետք է այն ստանալու օրվանից 30 օրացուցային օրվանից ոչ ավել ժամկետում ուսումնասիրի կրկին ներկայացված փաստաթղթերը </w:t>
      </w:r>
      <w:r w:rsidR="00C54D75">
        <w:rPr>
          <w:rFonts w:ascii="Sylfaen" w:hAnsi="Sylfaen"/>
          <w:sz w:val="24"/>
          <w:szCs w:val="24"/>
        </w:rPr>
        <w:t>և</w:t>
      </w:r>
      <w:r w:rsidRPr="00826F05">
        <w:rPr>
          <w:rFonts w:ascii="Sylfaen" w:hAnsi="Sylfaen"/>
          <w:sz w:val="24"/>
          <w:szCs w:val="24"/>
        </w:rPr>
        <w:t xml:space="preserve"> տվյալները, որից հետո ռեֆերենտ պետության </w:t>
      </w:r>
      <w:r w:rsidRPr="00826F05">
        <w:rPr>
          <w:rFonts w:ascii="Sylfaen" w:hAnsi="Sylfaen"/>
          <w:sz w:val="24"/>
          <w:szCs w:val="24"/>
        </w:rPr>
        <w:lastRenderedPageBreak/>
        <w:t xml:space="preserve">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փոփոխության (փոփոխությունների) վերջնական ընդունման կամ մերժման (այդ թվում՝ բացասական եզրակացության հիմքերի) մասին: Շահագրգիռ անդամ պետությունները ստանում են համապատասխան ծանուցումներ:</w:t>
      </w:r>
    </w:p>
    <w:p w14:paraId="37EFAD7C" w14:textId="16E564DD"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ռեֆերենտ պետության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ծանուցում է, թե որ փոփոխությունն է ընդունվել կամ մերժվել փորձաքննության արդյունքներով:</w:t>
      </w:r>
    </w:p>
    <w:p w14:paraId="00DF394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Անհրաժեշտության դեպքում համապատասխան մարմինները թարմացնում</w:t>
      </w:r>
      <w:r>
        <w:rPr>
          <w:rFonts w:ascii="Sylfaen" w:hAnsi="Sylfaen"/>
          <w:sz w:val="24"/>
          <w:szCs w:val="24"/>
        </w:rPr>
        <w:t> </w:t>
      </w:r>
      <w:r w:rsidRPr="00826F05">
        <w:rPr>
          <w:rFonts w:ascii="Sylfaen" w:hAnsi="Sylfaen"/>
          <w:sz w:val="24"/>
          <w:szCs w:val="24"/>
        </w:rPr>
        <w:t>են գրանցման դոսյեն 180 օրացուցային օրվա ընթացքում՝ ռեֆերենտ</w:t>
      </w:r>
      <w:r>
        <w:rPr>
          <w:rFonts w:ascii="Sylfaen" w:hAnsi="Sylfaen"/>
          <w:sz w:val="24"/>
          <w:szCs w:val="24"/>
        </w:rPr>
        <w:t> </w:t>
      </w:r>
      <w:r w:rsidRPr="00826F05">
        <w:rPr>
          <w:rFonts w:ascii="Sylfaen" w:hAnsi="Sylfaen"/>
          <w:sz w:val="24"/>
          <w:szCs w:val="24"/>
        </w:rPr>
        <w:t>պետության լիազորված մարմնի (փորձագիտական կազմակերպության) կողմից ընթացակարգերն ավարտելուց հետո՝ շահագրգիռ անդամ պետության կողմից գրանցման դոսյեի փոփոխության համար անհրաժեշտ փաստաթղթերը ներկայացնելու պայմանով: Սակայն թույլ է տրվում ընդունված IB տիպի ոչ էական փոփոխություններն իրականացնել՝ չսպասելով գրանցման դոսյեի թարմացմանը, բացառությամբ այն դեպքի, երբ փոփոխությունները հանգեցնում են դեղապատրաստուկի մասին տեղեկատվության վերանայման՝ Դեղամիջոցների գրանցման կանոնների թիվ 19 հավելվածի 1.6 կետին համապատասխան:</w:t>
      </w:r>
    </w:p>
    <w:p w14:paraId="0EA51A5C" w14:textId="37E165B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Այդ դեպքում համապատասխան լիազորված մարմինները ծանուցումը հաստատելու մասին որոշումը ստանալու օրվանից ոչ ուշ, քան 10</w:t>
      </w:r>
      <w:r>
        <w:rPr>
          <w:rFonts w:ascii="Sylfaen" w:hAnsi="Sylfaen"/>
          <w:sz w:val="24"/>
          <w:szCs w:val="24"/>
        </w:rPr>
        <w:t> </w:t>
      </w:r>
      <w:r w:rsidRPr="00826F05">
        <w:rPr>
          <w:rFonts w:ascii="Sylfaen" w:hAnsi="Sylfaen"/>
          <w:sz w:val="24"/>
          <w:szCs w:val="24"/>
        </w:rPr>
        <w:t xml:space="preserve">աշխատանքային օրվա ընթացքում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 xml:space="preserve">ին են ներկայացնում դեղապատրաստուկի փոփոխված ընդհանուր բնութագիրը, </w:t>
      </w:r>
      <w:r w:rsidRPr="00826F05">
        <w:rPr>
          <w:rFonts w:ascii="Sylfaen" w:hAnsi="Sylfaen"/>
          <w:sz w:val="24"/>
          <w:szCs w:val="24"/>
        </w:rPr>
        <w:lastRenderedPageBreak/>
        <w:t>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6EF0EC6C" w14:textId="29A4704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Համապատասխան լիազորված մարմինները (փորձագիտական կազմակերպությունները) իրավունք ունեն մինչ</w:t>
      </w:r>
      <w:r w:rsidR="00C54D75">
        <w:rPr>
          <w:rFonts w:ascii="Sylfaen" w:hAnsi="Sylfaen"/>
          <w:sz w:val="24"/>
          <w:szCs w:val="24"/>
        </w:rPr>
        <w:t>և</w:t>
      </w:r>
      <w:r w:rsidRPr="00826F05">
        <w:rPr>
          <w:rFonts w:ascii="Sylfaen" w:hAnsi="Sylfaen"/>
          <w:sz w:val="24"/>
          <w:szCs w:val="24"/>
        </w:rPr>
        <w:t xml:space="preserve"> 90 օրացուցային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դեպքերում,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2BAAEEFF" w14:textId="77777777" w:rsidR="004F5982" w:rsidRPr="00826F05" w:rsidRDefault="004F5982" w:rsidP="00487007">
      <w:pPr>
        <w:tabs>
          <w:tab w:val="left" w:pos="1701"/>
        </w:tabs>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2.2.3.</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IB տիպի փոփոխությունների փորձաքննություն:</w:t>
      </w:r>
    </w:p>
    <w:p w14:paraId="579F8354" w14:textId="5AB03EB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IB տիպի ոչ էական փոփոխություն կատարելու դեպքում </w:t>
      </w:r>
      <w:r w:rsidR="0056496B">
        <w:rPr>
          <w:rFonts w:ascii="Sylfaen" w:hAnsi="Sylfaen"/>
          <w:sz w:val="24"/>
          <w:szCs w:val="24"/>
        </w:rPr>
        <w:t>դիմումատու</w:t>
      </w:r>
      <w:r w:rsidRPr="00826F05">
        <w:rPr>
          <w:rFonts w:ascii="Sylfaen" w:hAnsi="Sylfaen"/>
          <w:sz w:val="24"/>
          <w:szCs w:val="24"/>
        </w:rPr>
        <w:t xml:space="preserve">ն թղթային </w:t>
      </w:r>
      <w:r w:rsidR="00C54D75">
        <w:rPr>
          <w:rFonts w:ascii="Sylfaen" w:hAnsi="Sylfaen"/>
          <w:sz w:val="24"/>
          <w:szCs w:val="24"/>
        </w:rPr>
        <w:t>և</w:t>
      </w:r>
      <w:r w:rsidRPr="00826F05">
        <w:rPr>
          <w:rFonts w:ascii="Sylfaen" w:hAnsi="Sylfaen"/>
          <w:sz w:val="24"/>
          <w:szCs w:val="24"/>
        </w:rPr>
        <w:t xml:space="preserve"> (կամ) էլեկտրոնային կրիչով լիազորված մարմին (փորձագիտական կազմակերպություն) է ներկայացնում փոփոխությունների կատարման </w:t>
      </w:r>
      <w:r w:rsidR="0056496B">
        <w:rPr>
          <w:rFonts w:ascii="Sylfaen" w:hAnsi="Sylfaen"/>
          <w:sz w:val="24"/>
          <w:szCs w:val="24"/>
        </w:rPr>
        <w:t>դիմում</w:t>
      </w:r>
      <w:r w:rsidRPr="00826F05">
        <w:rPr>
          <w:rFonts w:ascii="Sylfaen" w:hAnsi="Sylfaen"/>
          <w:sz w:val="24"/>
          <w:szCs w:val="24"/>
        </w:rPr>
        <w:t xml:space="preserve">ը` Դեղամիջոցների գրանցման կանոնների թիվ 2 հավելվածի համաձայն, </w:t>
      </w:r>
      <w:r w:rsidR="00C54D75">
        <w:rPr>
          <w:rFonts w:ascii="Sylfaen" w:hAnsi="Sylfaen"/>
          <w:sz w:val="24"/>
          <w:szCs w:val="24"/>
        </w:rPr>
        <w:t>և</w:t>
      </w:r>
      <w:r w:rsidRPr="00826F05">
        <w:rPr>
          <w:rFonts w:ascii="Sylfaen" w:hAnsi="Sylfaen"/>
          <w:sz w:val="24"/>
          <w:szCs w:val="24"/>
        </w:rPr>
        <w:t xml:space="preserve"> (կամ) փոփոխություններ կատարելու համար վճարի (տուրքի) վճարումը հաստատող փաստաթղթերը՝ անդամ պետությունների օրենսդրությանը համապատասխան սահմանված դեպքում </w:t>
      </w:r>
      <w:r w:rsidR="00C54D75">
        <w:rPr>
          <w:rFonts w:ascii="Sylfaen" w:hAnsi="Sylfaen"/>
          <w:sz w:val="24"/>
          <w:szCs w:val="24"/>
        </w:rPr>
        <w:t>և</w:t>
      </w:r>
      <w:r w:rsidRPr="00826F05">
        <w:rPr>
          <w:rFonts w:ascii="Sylfaen" w:hAnsi="Sylfaen"/>
          <w:sz w:val="24"/>
          <w:szCs w:val="24"/>
        </w:rPr>
        <w:t xml:space="preserve"> կարգով:</w:t>
      </w:r>
    </w:p>
    <w:p w14:paraId="1D7E0D6D" w14:textId="2A215976"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 գրանցման պետության լիազորված մարմին (փորձագիտական կազմակերպություն) է ներկայացնում փոփոխությունների (ծանուցման) դոսյե, որը պարունակում է Դեղամիջոցների գրանցման կանոնների թիվ 19 հավելվածի IV</w:t>
      </w:r>
      <w:r w:rsidR="004F5982">
        <w:rPr>
          <w:rFonts w:ascii="Sylfaen" w:hAnsi="Sylfaen"/>
          <w:sz w:val="24"/>
          <w:szCs w:val="24"/>
        </w:rPr>
        <w:t> </w:t>
      </w:r>
      <w:r w:rsidR="004F5982" w:rsidRPr="00826F05">
        <w:rPr>
          <w:rFonts w:ascii="Sylfaen" w:hAnsi="Sylfaen"/>
          <w:sz w:val="24"/>
          <w:szCs w:val="24"/>
        </w:rPr>
        <w:t>լրացման մեջ թվարկված տարրեր:</w:t>
      </w:r>
    </w:p>
    <w:p w14:paraId="07D5D542" w14:textId="7747EF9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5 աշխատանքային օրվա ընթացքում անցկացնում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 xml:space="preserve">ակերպման, այդ թվում՝ փոփոխությունները IB տիպի ոչ էական փոփոխությունների շարքին դասելու հնարավորությունների գնահատում </w:t>
      </w:r>
      <w:r w:rsidRPr="00826F05">
        <w:rPr>
          <w:rFonts w:ascii="Sylfaen" w:hAnsi="Sylfaen"/>
          <w:sz w:val="24"/>
          <w:szCs w:val="24"/>
        </w:rPr>
        <w:lastRenderedPageBreak/>
        <w:t>(«վալիդացում»):</w:t>
      </w:r>
    </w:p>
    <w:p w14:paraId="3163037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ծանուցումը բավարարում է Դեղամիջոցների գրանցման կանոնների թիվ</w:t>
      </w:r>
      <w:r w:rsidR="00487007" w:rsidRPr="00487007">
        <w:rPr>
          <w:rFonts w:ascii="Sylfaen" w:hAnsi="Sylfaen"/>
          <w:sz w:val="24"/>
          <w:szCs w:val="24"/>
        </w:rPr>
        <w:t> </w:t>
      </w:r>
      <w:r w:rsidRPr="00826F05">
        <w:rPr>
          <w:rFonts w:ascii="Sylfaen" w:hAnsi="Sylfaen"/>
          <w:sz w:val="24"/>
          <w:szCs w:val="24"/>
        </w:rPr>
        <w:t xml:space="preserve">19 հավելվածի 3.2.1 ենթակետում սահմանված պահանջներին, ռեֆերենտ պետության լիազորված մարմինը (փորձագիտական կազմակերպությունը) հաջորդ 30 օրացուցային օրվա ընթացքում հաստատում է վավեր ծանուցման ստացումը: </w:t>
      </w:r>
    </w:p>
    <w:p w14:paraId="3E88D8CD" w14:textId="2C0D940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Եթե ներկայացված փոփոխությունը չի դիտարկվում որպես IB տիպի ոչ էական փոփոխություն՝ Դեղամիջոցների գրանցման կանոնների թիվ</w:t>
      </w:r>
      <w:r w:rsidRPr="00826F05">
        <w:rPr>
          <w:rFonts w:ascii="Sylfaen" w:hAnsi="Sylfaen"/>
          <w:sz w:val="24"/>
          <w:szCs w:val="24"/>
        </w:rPr>
        <w:t xml:space="preserve"> 19 հավելվածի V</w:t>
      </w:r>
      <w:r>
        <w:rPr>
          <w:rFonts w:ascii="Sylfaen" w:hAnsi="Sylfaen"/>
          <w:sz w:val="24"/>
          <w:szCs w:val="24"/>
        </w:rPr>
        <w:t> </w:t>
      </w:r>
      <w:r w:rsidRPr="00826F05">
        <w:rPr>
          <w:rFonts w:ascii="Sylfaen" w:hAnsi="Sylfaen"/>
          <w:sz w:val="24"/>
          <w:szCs w:val="24"/>
        </w:rPr>
        <w:t xml:space="preserve">լրացմանը համապատասխան, կամ այն չի դասակարգվել որպես IB տիպի </w:t>
      </w:r>
      <w:r w:rsidRPr="00B8448E">
        <w:rPr>
          <w:rFonts w:ascii="Sylfaen" w:hAnsi="Sylfaen"/>
          <w:spacing w:val="-6"/>
          <w:sz w:val="24"/>
          <w:szCs w:val="24"/>
        </w:rPr>
        <w:t>ոչ էական փոփոխություն՝ Դեղամիջոցների գրանցման կանոնների թիվ</w:t>
      </w:r>
      <w:r w:rsidRPr="00826F05">
        <w:rPr>
          <w:rFonts w:ascii="Sylfaen" w:hAnsi="Sylfaen"/>
          <w:sz w:val="24"/>
          <w:szCs w:val="24"/>
        </w:rPr>
        <w:t xml:space="preserve"> 19 հավելվածի 1.5 ենթակետին համապատասխան, </w:t>
      </w:r>
      <w:r w:rsidR="00C54D75">
        <w:rPr>
          <w:rFonts w:ascii="Sylfaen" w:hAnsi="Sylfaen"/>
          <w:sz w:val="24"/>
          <w:szCs w:val="24"/>
        </w:rPr>
        <w:t>և</w:t>
      </w:r>
      <w:r w:rsidRPr="00826F05">
        <w:rPr>
          <w:rFonts w:ascii="Sylfaen" w:hAnsi="Sylfaen"/>
          <w:sz w:val="24"/>
          <w:szCs w:val="24"/>
        </w:rPr>
        <w:t xml:space="preserve"> ընդ որում, լիազորված մարմինը (փորձագիտական կազմակերպությունը) համարում է, որ այն կարող է նշանակալի ազդեցություն ունենալ դեղապատրաստուկի որակի, անվտանգության կամ արդյունավետության վրա, </w:t>
      </w:r>
      <w:r w:rsidR="0056496B">
        <w:rPr>
          <w:rFonts w:ascii="Sylfaen" w:hAnsi="Sylfaen"/>
          <w:sz w:val="24"/>
          <w:szCs w:val="24"/>
        </w:rPr>
        <w:t>դիմումատու</w:t>
      </w:r>
      <w:r w:rsidRPr="00826F05">
        <w:rPr>
          <w:rFonts w:ascii="Sylfaen" w:hAnsi="Sylfaen"/>
          <w:sz w:val="24"/>
          <w:szCs w:val="24"/>
        </w:rPr>
        <w:t xml:space="preserve">ն ստանում է </w:t>
      </w:r>
      <w:r w:rsidR="0056496B">
        <w:rPr>
          <w:rFonts w:ascii="Sylfaen" w:hAnsi="Sylfaen"/>
          <w:sz w:val="24"/>
          <w:szCs w:val="24"/>
        </w:rPr>
        <w:t>դիմում</w:t>
      </w:r>
      <w:r w:rsidRPr="00826F05">
        <w:rPr>
          <w:rFonts w:ascii="Sylfaen" w:hAnsi="Sylfaen"/>
          <w:sz w:val="24"/>
          <w:szCs w:val="24"/>
        </w:rPr>
        <w:t xml:space="preserve">ը վերանայելու </w:t>
      </w:r>
      <w:r w:rsidR="00C54D75">
        <w:rPr>
          <w:rFonts w:ascii="Sylfaen" w:hAnsi="Sylfaen"/>
          <w:sz w:val="24"/>
          <w:szCs w:val="24"/>
        </w:rPr>
        <w:t>և</w:t>
      </w:r>
      <w:r w:rsidRPr="00826F05">
        <w:rPr>
          <w:rFonts w:ascii="Sylfaen" w:hAnsi="Sylfaen"/>
          <w:sz w:val="24"/>
          <w:szCs w:val="24"/>
        </w:rPr>
        <w:t xml:space="preserve"> այն II</w:t>
      </w:r>
      <w:r>
        <w:rPr>
          <w:rFonts w:ascii="Sylfaen" w:hAnsi="Sylfaen"/>
          <w:sz w:val="24"/>
          <w:szCs w:val="24"/>
        </w:rPr>
        <w:t> </w:t>
      </w:r>
      <w:r w:rsidRPr="00826F05">
        <w:rPr>
          <w:rFonts w:ascii="Sylfaen" w:hAnsi="Sylfaen"/>
          <w:sz w:val="24"/>
          <w:szCs w:val="24"/>
        </w:rPr>
        <w:t xml:space="preserve">տիպի էական փոփոխություններին ներկայացվող պահանջներին համապատասխան լրացնելու մասին պահանջ: Վերանայված վավեր </w:t>
      </w:r>
      <w:r w:rsidR="0056496B">
        <w:rPr>
          <w:rFonts w:ascii="Sylfaen" w:hAnsi="Sylfaen"/>
          <w:sz w:val="24"/>
          <w:szCs w:val="24"/>
        </w:rPr>
        <w:t>դիմում</w:t>
      </w:r>
      <w:r w:rsidRPr="00826F05">
        <w:rPr>
          <w:rFonts w:ascii="Sylfaen" w:hAnsi="Sylfaen"/>
          <w:sz w:val="24"/>
          <w:szCs w:val="24"/>
        </w:rPr>
        <w:t>ը ստանալուց հետո սկսվում է II տիպի փորձաքննության ընթացակարգը:</w:t>
      </w:r>
    </w:p>
    <w:p w14:paraId="22F211E2" w14:textId="5C3990F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 xml:space="preserve">ին ծանուցում է ընթացակարգի արդյունքների մասին: Եթե ծանուցումը ստանալու օրվանից 30 օրացուցային օրվա ընթացքում լիազորված մարմինը (փորձագիտական կազմակերպությունը) էլեկտրոնային կամ թղթային եղանակով </w:t>
      </w:r>
      <w:r w:rsidR="0056496B">
        <w:rPr>
          <w:rFonts w:ascii="Sylfaen" w:hAnsi="Sylfaen"/>
          <w:sz w:val="24"/>
          <w:szCs w:val="24"/>
        </w:rPr>
        <w:t>դիմումատու</w:t>
      </w:r>
      <w:r w:rsidRPr="00826F05">
        <w:rPr>
          <w:rFonts w:ascii="Sylfaen" w:hAnsi="Sylfaen"/>
          <w:sz w:val="24"/>
          <w:szCs w:val="24"/>
        </w:rPr>
        <w:t xml:space="preserve">ին չի ուղարկում ծանուցումն ընդունելու </w:t>
      </w:r>
      <w:r w:rsidR="00C54D75">
        <w:rPr>
          <w:rFonts w:ascii="Sylfaen" w:hAnsi="Sylfaen"/>
          <w:sz w:val="24"/>
          <w:szCs w:val="24"/>
        </w:rPr>
        <w:t>և</w:t>
      </w:r>
      <w:r w:rsidRPr="00826F05">
        <w:rPr>
          <w:rFonts w:ascii="Sylfaen" w:hAnsi="Sylfaen"/>
          <w:sz w:val="24"/>
          <w:szCs w:val="24"/>
        </w:rPr>
        <w:t xml:space="preserve"> գրանցման դոսյեի մեջ տվյալ փոփոխությունը կատարելու անհնարինության մասին եզրակացություն, ապա եզրակացությունը համարվում է լիազորված մարմնի կողմից ընդունված (հաստատված):</w:t>
      </w:r>
    </w:p>
    <w:p w14:paraId="3BA4C3AC" w14:textId="217695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ռեֆերենտ պետության լիազորված մարմնի (փորձագիտական կազմակերպության) եզրակացության համաձայն փոփոխություններ կատարելու </w:t>
      </w:r>
      <w:r w:rsidRPr="00826F05">
        <w:rPr>
          <w:rFonts w:ascii="Sylfaen" w:hAnsi="Sylfaen"/>
          <w:sz w:val="24"/>
          <w:szCs w:val="24"/>
        </w:rPr>
        <w:lastRenderedPageBreak/>
        <w:t xml:space="preserve">մասին </w:t>
      </w:r>
      <w:r w:rsidR="0056496B">
        <w:rPr>
          <w:rFonts w:ascii="Sylfaen" w:hAnsi="Sylfaen"/>
          <w:sz w:val="24"/>
          <w:szCs w:val="24"/>
        </w:rPr>
        <w:t>դիմումատու</w:t>
      </w:r>
      <w:r w:rsidRPr="00826F05">
        <w:rPr>
          <w:rFonts w:ascii="Sylfaen" w:hAnsi="Sylfaen"/>
          <w:sz w:val="24"/>
          <w:szCs w:val="24"/>
        </w:rPr>
        <w:t xml:space="preserve">ի ծանուցումը չի կարող հաստատվել, ապա ռեֆերենտ պետության լիազորված մարմինը (փորձագիտական կազմակերպությունը) էլեկտրոնային կամ թղթային եղանակով դրա մասին ծանուցում է </w:t>
      </w:r>
      <w:r w:rsidR="0056496B">
        <w:rPr>
          <w:rFonts w:ascii="Sylfaen" w:hAnsi="Sylfaen"/>
          <w:sz w:val="24"/>
          <w:szCs w:val="24"/>
        </w:rPr>
        <w:t>դիմումատու</w:t>
      </w:r>
      <w:r w:rsidRPr="00826F05">
        <w:rPr>
          <w:rFonts w:ascii="Sylfaen" w:hAnsi="Sylfaen"/>
          <w:sz w:val="24"/>
          <w:szCs w:val="24"/>
        </w:rPr>
        <w:t>ին՝ նշելով բացասական եզրակացության հիմքերը:</w:t>
      </w:r>
    </w:p>
    <w:p w14:paraId="3AF37CA5" w14:textId="671434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Բացասական եզրակացություն ստանալու օրվանից 30 օրացուցային օրվա ընթացքում </w:t>
      </w:r>
      <w:r w:rsidR="0056496B">
        <w:rPr>
          <w:rFonts w:ascii="Sylfaen" w:hAnsi="Sylfaen"/>
          <w:sz w:val="24"/>
          <w:szCs w:val="24"/>
        </w:rPr>
        <w:t>դիմումատու</w:t>
      </w:r>
      <w:r w:rsidRPr="00826F05">
        <w:rPr>
          <w:rFonts w:ascii="Sylfaen" w:hAnsi="Sylfaen"/>
          <w:sz w:val="24"/>
          <w:szCs w:val="24"/>
        </w:rPr>
        <w:t xml:space="preserve">ն իրավունք ունի ռեֆերենտ պետության լիազորված մարմին (փորձագիտական կազմակերպություն) կրկին ներկայացնելու փոփոխության լրացուցիչ դոսյե՝ ռեֆերենտ պետության լիազորված </w:t>
      </w:r>
      <w:r w:rsidRPr="001436BD">
        <w:rPr>
          <w:rFonts w:ascii="Sylfaen" w:hAnsi="Sylfaen"/>
          <w:sz w:val="24"/>
          <w:szCs w:val="24"/>
          <w:shd w:val="clear" w:color="auto" w:fill="D99594" w:themeFill="accent2" w:themeFillTint="99"/>
        </w:rPr>
        <w:t xml:space="preserve">մարմի </w:t>
      </w:r>
      <w:r w:rsidRPr="00826F05">
        <w:rPr>
          <w:rFonts w:ascii="Sylfaen" w:hAnsi="Sylfaen"/>
          <w:sz w:val="24"/>
          <w:szCs w:val="24"/>
        </w:rPr>
        <w:t>(փորձագիտական կազմակերպության) եզրակացությանը համապատասխան:</w:t>
      </w:r>
    </w:p>
    <w:p w14:paraId="2A0193A5" w14:textId="10F13C1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դիմումատու</w:t>
      </w:r>
      <w:r w:rsidRPr="00826F05">
        <w:rPr>
          <w:rFonts w:ascii="Sylfaen" w:hAnsi="Sylfaen"/>
          <w:sz w:val="24"/>
          <w:szCs w:val="24"/>
        </w:rPr>
        <w:t>ն չի ներկայացնում լրացված ծանուցում՝ Դեղամիջոցների գրանցման կանոններին համապատասխան, ապա ծանուցումը համարվում է մերժված:</w:t>
      </w:r>
    </w:p>
    <w:p w14:paraId="1989E248" w14:textId="70DA3B3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Ուղղված ծանուցումը ստանալու օրվանից 30 օրացուցային օրվա ընթացքում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փոփոխություններն ընդունելու կամ մերժելու մասին վերջնական որոշման (այդ թվում՝ բացասական եզրակացության հիմքերի) մասին:</w:t>
      </w:r>
    </w:p>
    <w:p w14:paraId="59BAA69E" w14:textId="634C270B"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մեկ ծանուցման շրջանակներում ներկայացվել է ոչ էական փոփոխությունների խումբ, լիազորված մարմինը (փորձագիտական կազմակերպությունը) </w:t>
      </w:r>
      <w:r w:rsidR="0056496B">
        <w:rPr>
          <w:rFonts w:ascii="Sylfaen" w:hAnsi="Sylfaen"/>
          <w:sz w:val="24"/>
          <w:szCs w:val="24"/>
        </w:rPr>
        <w:t>դիմումատու</w:t>
      </w:r>
      <w:r w:rsidRPr="00826F05">
        <w:rPr>
          <w:rFonts w:ascii="Sylfaen" w:hAnsi="Sylfaen"/>
          <w:sz w:val="24"/>
          <w:szCs w:val="24"/>
        </w:rPr>
        <w:t>ին ծանուցում է, թե որ փոփոխությունն է ընդունվել կամ մերժվել դեղապատրաստուկի փորձաքննության արդյունքներով:</w:t>
      </w:r>
    </w:p>
    <w:p w14:paraId="6896D9A8" w14:textId="62337F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լիազորված մարմինը (փորձագիտական կազմակերպությունը) թարմացնում է գրանցման դոսյեն ընթացակարգն ավարտելուց հետո՝ 180 օրացուցային օրվա ընթացքում՝ </w:t>
      </w:r>
      <w:r w:rsidR="0056496B">
        <w:rPr>
          <w:rFonts w:ascii="Sylfaen" w:hAnsi="Sylfaen"/>
          <w:sz w:val="24"/>
          <w:szCs w:val="24"/>
        </w:rPr>
        <w:t>դիմումատու</w:t>
      </w:r>
      <w:r w:rsidRPr="00826F05">
        <w:rPr>
          <w:rFonts w:ascii="Sylfaen" w:hAnsi="Sylfaen"/>
          <w:sz w:val="24"/>
          <w:szCs w:val="24"/>
        </w:rPr>
        <w:t>ի կողմից գրանցման դոսյեի փոփոխության համար անհրաժեշտ փաստաթղթերը լիազորված մարմին (փորձագիտական կազմակերպություն) ներկայացնելու պայմանով: Սակայն IB տիպի ընդունված ոչ էական փոփոխությունները թույլատրվում է իրականացնել առանց գրանցման դոսյեի թարմացմանը սպասելու:</w:t>
      </w:r>
    </w:p>
    <w:p w14:paraId="7E28EF33" w14:textId="7BD63D8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Այն դեպքում, երբ Դեղամիջոցների գրանցման կանոնների թիվ 19 հավելվածի 1.6 կետի համաձայն՝ փոփոխությունները հանգեցնում են դեղապատրաստուկի մասին տեղեկատվության վերանայման, համապատասխան լիազորված մարմինը փոփոխությունը հաստատելու մասին որոշումն ընդունելու օրվանից 10</w:t>
      </w:r>
      <w:r>
        <w:rPr>
          <w:rFonts w:ascii="Sylfaen" w:hAnsi="Sylfaen"/>
          <w:sz w:val="24"/>
          <w:szCs w:val="24"/>
        </w:rPr>
        <w:t> </w:t>
      </w:r>
      <w:r w:rsidRPr="00826F05">
        <w:rPr>
          <w:rFonts w:ascii="Sylfaen" w:hAnsi="Sylfaen"/>
          <w:sz w:val="24"/>
          <w:szCs w:val="24"/>
        </w:rPr>
        <w:t>աշխատանքային օրը չգերազանցող ժամկետում, փոփոխություններ կատարելու մասին տեղեկությունները տեղադրում է միասնական ռեեստրում՝ կից</w:t>
      </w:r>
      <w:r>
        <w:rPr>
          <w:rFonts w:ascii="Sylfaen" w:hAnsi="Sylfaen"/>
          <w:sz w:val="24"/>
          <w:szCs w:val="24"/>
        </w:rPr>
        <w:t> </w:t>
      </w:r>
      <w:r w:rsidRPr="00826F05">
        <w:rPr>
          <w:rFonts w:ascii="Sylfaen" w:hAnsi="Sylfaen"/>
          <w:sz w:val="24"/>
          <w:szCs w:val="24"/>
        </w:rPr>
        <w:t xml:space="preserve">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վերաբերյալ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վերաբերյալ նորմատիվ փաստաթուղթը, գրանցման հավաստագիրը (անհրաժեշտության դեպքում):</w:t>
      </w:r>
    </w:p>
    <w:p w14:paraId="036D6A52" w14:textId="5B1901A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B8448E">
        <w:rPr>
          <w:rFonts w:ascii="Sylfaen" w:hAnsi="Sylfaen"/>
          <w:spacing w:val="-6"/>
          <w:sz w:val="24"/>
          <w:szCs w:val="24"/>
        </w:rPr>
        <w:t>Ռեֆերենտ պետության լիազորված մարմինը (փորձագիտական կազմակերպությունը) իրավունք ունի ընդհանուր առմամբ մինչ</w:t>
      </w:r>
      <w:r w:rsidR="00C54D75">
        <w:rPr>
          <w:rFonts w:ascii="Sylfaen" w:hAnsi="Sylfaen"/>
          <w:spacing w:val="-6"/>
          <w:sz w:val="24"/>
          <w:szCs w:val="24"/>
        </w:rPr>
        <w:t>և</w:t>
      </w:r>
      <w:r w:rsidRPr="00B8448E">
        <w:rPr>
          <w:rFonts w:ascii="Sylfaen" w:hAnsi="Sylfaen"/>
          <w:spacing w:val="-6"/>
          <w:sz w:val="24"/>
          <w:szCs w:val="24"/>
        </w:rPr>
        <w:t xml:space="preserve"> 90 օրացուցային</w:t>
      </w:r>
      <w:r w:rsidRPr="00826F05">
        <w:rPr>
          <w:rFonts w:ascii="Sylfaen" w:hAnsi="Sylfaen"/>
          <w:sz w:val="24"/>
          <w:szCs w:val="24"/>
        </w:rPr>
        <w:t xml:space="preserve"> օր երկարաձգելու փորձաքննության </w:t>
      </w:r>
      <w:r w:rsidR="00C54D75">
        <w:rPr>
          <w:rFonts w:ascii="Sylfaen" w:hAnsi="Sylfaen"/>
          <w:sz w:val="24"/>
          <w:szCs w:val="24"/>
        </w:rPr>
        <w:t>և</w:t>
      </w:r>
      <w:r w:rsidRPr="00826F05">
        <w:rPr>
          <w:rFonts w:ascii="Sylfaen" w:hAnsi="Sylfaen"/>
          <w:sz w:val="24"/>
          <w:szCs w:val="24"/>
        </w:rPr>
        <w:t xml:space="preserve"> փաստաթղթերի տրամադրման ժամկետն այն դեպքում, երբ </w:t>
      </w:r>
      <w:r w:rsidR="0056496B">
        <w:rPr>
          <w:rFonts w:ascii="Sylfaen" w:hAnsi="Sylfaen"/>
          <w:sz w:val="24"/>
          <w:szCs w:val="24"/>
        </w:rPr>
        <w:t>դիմումատու</w:t>
      </w:r>
      <w:r w:rsidRPr="00826F05">
        <w:rPr>
          <w:rFonts w:ascii="Sylfaen" w:hAnsi="Sylfaen"/>
          <w:sz w:val="24"/>
          <w:szCs w:val="24"/>
        </w:rPr>
        <w:t xml:space="preserve">ի կողմից ներկայացվել են բազմաթիվ խմբային փոփոխություններ՝ Դեղամիջոցների գրանցման կանոնների թիվ 19 հավելվածի 1.7.2 </w:t>
      </w:r>
      <w:r w:rsidR="00C54D75">
        <w:rPr>
          <w:rFonts w:ascii="Sylfaen" w:hAnsi="Sylfaen"/>
          <w:sz w:val="24"/>
          <w:szCs w:val="24"/>
        </w:rPr>
        <w:t>և</w:t>
      </w:r>
      <w:r w:rsidRPr="00826F05">
        <w:rPr>
          <w:rFonts w:ascii="Sylfaen" w:hAnsi="Sylfaen"/>
          <w:sz w:val="24"/>
          <w:szCs w:val="24"/>
        </w:rPr>
        <w:t xml:space="preserve"> 1.7.3 կետերի համաձայն:</w:t>
      </w:r>
    </w:p>
    <w:p w14:paraId="179489C2"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2.3.</w:t>
      </w:r>
      <w:r w:rsidRPr="00826F05">
        <w:rPr>
          <w:rFonts w:ascii="Sylfaen" w:hAnsi="Sylfaen"/>
          <w:sz w:val="24"/>
          <w:szCs w:val="24"/>
        </w:rPr>
        <w:tab/>
        <w:t>II տիպի էական փոփոխությունները:</w:t>
      </w:r>
    </w:p>
    <w:p w14:paraId="387593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Սույն կետով բերվում է II տիպի էական փոփոխությունների մասով Դեղամիջոցների գրանցման կանոնների թիվ 19 հավելվածի 1.7, 2.3, 2.4, 2.6, 3.3-3.5 կետերի, 4.2.1 </w:t>
      </w:r>
      <w:r w:rsidR="00C54D75">
        <w:rPr>
          <w:rFonts w:ascii="Sylfaen" w:hAnsi="Sylfaen"/>
          <w:sz w:val="24"/>
          <w:szCs w:val="24"/>
        </w:rPr>
        <w:t>և</w:t>
      </w:r>
      <w:r w:rsidRPr="00826F05">
        <w:rPr>
          <w:rFonts w:ascii="Sylfaen" w:hAnsi="Sylfaen"/>
          <w:sz w:val="24"/>
          <w:szCs w:val="24"/>
        </w:rPr>
        <w:t xml:space="preserve"> 4.2.2 ենթակետերի կիրառման վերաբերյալ դրույթները:</w:t>
      </w:r>
    </w:p>
    <w:p w14:paraId="119F95F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հավելվածը պարունակում է այն փոփոխությունների ցանկը, որոնք պետք է դիտարկել որպես II տիպի էական փոփոխություններ: Նման էական փոփոխություններն իրականացնելուց առաջ պահանջվում է համապատասխան լիազորված մարմինների հաստատումը:</w:t>
      </w:r>
    </w:p>
    <w:p w14:paraId="3248B451" w14:textId="17873301"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2.3.1.</w:t>
      </w:r>
      <w:r w:rsidRPr="00826F05">
        <w:rPr>
          <w:rFonts w:ascii="Sylfaen" w:hAnsi="Sylfaen"/>
          <w:sz w:val="24"/>
          <w:szCs w:val="24"/>
        </w:rPr>
        <w:tab/>
        <w:t xml:space="preserve">II տիպի փոփոխության վերաբերյալ </w:t>
      </w:r>
      <w:r w:rsidR="0056496B">
        <w:rPr>
          <w:rFonts w:ascii="Sylfaen" w:hAnsi="Sylfaen"/>
          <w:sz w:val="24"/>
          <w:szCs w:val="24"/>
        </w:rPr>
        <w:t>դիմում</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դոսյեի ներկայացումը:</w:t>
      </w:r>
    </w:p>
    <w:p w14:paraId="2A3A58E0" w14:textId="312623E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մասին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w:t>
      </w:r>
      <w:r w:rsidR="00C54D75">
        <w:rPr>
          <w:rFonts w:ascii="Sylfaen" w:hAnsi="Sylfaen"/>
          <w:sz w:val="24"/>
          <w:szCs w:val="24"/>
        </w:rPr>
        <w:t>և</w:t>
      </w:r>
      <w:r w:rsidR="004F5982" w:rsidRPr="00826F05">
        <w:rPr>
          <w:rFonts w:ascii="Sylfaen" w:hAnsi="Sylfaen"/>
          <w:sz w:val="24"/>
          <w:szCs w:val="24"/>
        </w:rPr>
        <w:t xml:space="preserve"> փոփոխությունների կատարման վճարի (տուրքի) վճարումը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Դեղամիջոցների գրանցման կանոնների թիվ 19 հավելվածի IV լրացման մեջ նշված տարրերը պարունակող՝ փոփոխության դոսյեն:</w:t>
      </w:r>
    </w:p>
    <w:p w14:paraId="1B704DDD" w14:textId="53BDF2E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ներն իրավունք ունեն խմբավորելու մի</w:t>
      </w:r>
      <w:r w:rsidR="00C54D75">
        <w:rPr>
          <w:rFonts w:ascii="Sylfaen" w:hAnsi="Sylfaen"/>
          <w:sz w:val="24"/>
          <w:szCs w:val="24"/>
        </w:rPr>
        <w:t>և</w:t>
      </w:r>
      <w:r w:rsidR="004F5982" w:rsidRPr="00826F05">
        <w:rPr>
          <w:rFonts w:ascii="Sylfaen" w:hAnsi="Sylfaen"/>
          <w:sz w:val="24"/>
          <w:szCs w:val="24"/>
        </w:rPr>
        <w:t>նույն գրանցման դոսյեի II</w:t>
      </w:r>
      <w:r w:rsidR="004F5982">
        <w:rPr>
          <w:rFonts w:ascii="Sylfaen" w:hAnsi="Sylfaen"/>
          <w:sz w:val="24"/>
          <w:szCs w:val="24"/>
        </w:rPr>
        <w:t> </w:t>
      </w:r>
      <w:r w:rsidR="004F5982" w:rsidRPr="00826F05">
        <w:rPr>
          <w:rFonts w:ascii="Sylfaen" w:hAnsi="Sylfaen"/>
          <w:sz w:val="24"/>
          <w:szCs w:val="24"/>
        </w:rPr>
        <w:t>տիպի մի քանի էական փոփոխություններ մեկ ծանուցման մեջ կամ խմբավորելու մի</w:t>
      </w:r>
      <w:r w:rsidR="00C54D75">
        <w:rPr>
          <w:rFonts w:ascii="Sylfaen" w:hAnsi="Sylfaen"/>
          <w:sz w:val="24"/>
          <w:szCs w:val="24"/>
        </w:rPr>
        <w:t>և</w:t>
      </w:r>
      <w:r w:rsidR="004F5982" w:rsidRPr="00826F05">
        <w:rPr>
          <w:rFonts w:ascii="Sylfaen" w:hAnsi="Sylfaen"/>
          <w:sz w:val="24"/>
          <w:szCs w:val="24"/>
        </w:rPr>
        <w:t>նույն գրանցամատյանի մեկ կամ ավելի II տիպի էական փոփոխություններն այլ ոչ էական փոփոխությունների հետ՝ Դեղամիջոցների գրանցման կանոնների թիվ 19 հավելվածի III լրացման մեջ թվարկված դեպքերից մեկին խմբավորման համապատասխանության պայմանով, կամ եթե այն ավելի վաղ համաձայնեցվել է ռեֆերենտ պետության լիազորված մարմնի (փորձագիտական կազմակերպության) հետ համապատասխանաբար:</w:t>
      </w:r>
    </w:p>
    <w:p w14:paraId="3E67CB83" w14:textId="2745BF25"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մեկ անդամ պետությունում գրանցված դեղապատրաստուկների դեպքում </w:t>
      </w:r>
      <w:r w:rsidR="0056496B">
        <w:rPr>
          <w:rFonts w:ascii="Sylfaen" w:hAnsi="Sylfaen"/>
          <w:sz w:val="24"/>
          <w:szCs w:val="24"/>
        </w:rPr>
        <w:t>դիմումատու</w:t>
      </w:r>
      <w:r w:rsidRPr="00826F05">
        <w:rPr>
          <w:rFonts w:ascii="Sylfaen" w:hAnsi="Sylfaen"/>
          <w:sz w:val="24"/>
          <w:szCs w:val="24"/>
        </w:rPr>
        <w:t>ն իրավունք ունի խմբավորելու նա</w:t>
      </w:r>
      <w:r w:rsidR="00C54D75">
        <w:rPr>
          <w:rFonts w:ascii="Sylfaen" w:hAnsi="Sylfaen"/>
          <w:sz w:val="24"/>
          <w:szCs w:val="24"/>
        </w:rPr>
        <w:t>և</w:t>
      </w:r>
      <w:r w:rsidRPr="00826F05">
        <w:rPr>
          <w:rFonts w:ascii="Sylfaen" w:hAnsi="Sylfaen"/>
          <w:sz w:val="24"/>
          <w:szCs w:val="24"/>
        </w:rPr>
        <w:t xml:space="preserve"> մի քանի գրանցման դոսյեներին վերաբերող մի քանի II տիպի էական փոփոխություններ մեկ անդամ պետությունում կամ խմբավորելու մեկ կամ ավելի II տիպի էական փոփոխությունները մի քանի գրանցման դոսյեներին վերաբերող այլ ոչ էական փոփոխությունների հետ մեկ անդամ պետությունում այն պայմանով, որ՝</w:t>
      </w:r>
    </w:p>
    <w:p w14:paraId="2EF72B38" w14:textId="77777777" w:rsidR="004F5982" w:rsidRPr="00826F05" w:rsidRDefault="004F5982" w:rsidP="00487007">
      <w:pPr>
        <w:tabs>
          <w:tab w:val="left" w:pos="1418"/>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ուսումնասիրվող բոլոր գրանցման դոսյեների համար փոփոխությունները նույնն են,</w:t>
      </w:r>
    </w:p>
    <w:p w14:paraId="5B41D9E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փոփոխությունները ներկայացվել են լիազորված մարմին (փորձագիտական կազմակերպություն) մի</w:t>
      </w:r>
      <w:r w:rsidR="00C54D75">
        <w:rPr>
          <w:rFonts w:ascii="Sylfaen" w:hAnsi="Sylfaen"/>
          <w:sz w:val="24"/>
          <w:szCs w:val="24"/>
        </w:rPr>
        <w:t>և</w:t>
      </w:r>
      <w:r w:rsidRPr="00826F05">
        <w:rPr>
          <w:rFonts w:ascii="Sylfaen" w:hAnsi="Sylfaen"/>
          <w:sz w:val="24"/>
          <w:szCs w:val="24"/>
        </w:rPr>
        <w:t>նույն ժամանակ,</w:t>
      </w:r>
    </w:p>
    <w:p w14:paraId="0850AB7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լիազորված մարմինը (փորձագիտական կազմակերպությունը) ավելի վաղ համաձայնություն է տվել այդպիսի խմբավորման համար,</w:t>
      </w:r>
    </w:p>
    <w:p w14:paraId="19CDB697" w14:textId="490FE33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Ավելին, եթե II տիպի մի</w:t>
      </w:r>
      <w:r w:rsidR="00C54D75">
        <w:rPr>
          <w:rFonts w:ascii="Sylfaen" w:hAnsi="Sylfaen"/>
          <w:sz w:val="24"/>
          <w:szCs w:val="24"/>
        </w:rPr>
        <w:t>և</w:t>
      </w:r>
      <w:r w:rsidRPr="00826F05">
        <w:rPr>
          <w:rFonts w:ascii="Sylfaen" w:hAnsi="Sylfaen"/>
          <w:sz w:val="24"/>
          <w:szCs w:val="24"/>
        </w:rPr>
        <w:t>նույն էական փոփոխությունը կամ փոփոխությունների մի</w:t>
      </w:r>
      <w:r w:rsidR="00C54D75">
        <w:rPr>
          <w:rFonts w:ascii="Sylfaen" w:hAnsi="Sylfaen"/>
          <w:sz w:val="24"/>
          <w:szCs w:val="24"/>
        </w:rPr>
        <w:t>և</w:t>
      </w:r>
      <w:r w:rsidRPr="00826F05">
        <w:rPr>
          <w:rFonts w:ascii="Sylfaen" w:hAnsi="Sylfaen"/>
          <w:sz w:val="24"/>
          <w:szCs w:val="24"/>
        </w:rPr>
        <w:t xml:space="preserve">նույն խումբը (նշված նկարագրությանը համապատասխան) վերաբերում է գրանցման հավաստագրի մեկ իրավատիրոջ մի քանի գրանցման դոսյեներին, </w:t>
      </w:r>
      <w:r w:rsidR="0056496B">
        <w:rPr>
          <w:rFonts w:ascii="Sylfaen" w:hAnsi="Sylfaen"/>
          <w:sz w:val="24"/>
          <w:szCs w:val="24"/>
        </w:rPr>
        <w:t>դիմումատու</w:t>
      </w:r>
      <w:r w:rsidRPr="00826F05">
        <w:rPr>
          <w:rFonts w:ascii="Sylfaen" w:hAnsi="Sylfaen"/>
          <w:sz w:val="24"/>
          <w:szCs w:val="24"/>
        </w:rPr>
        <w:t xml:space="preserve">ն իրավունք ունի այդպիսի փոփոխությունները ներկայացնել մեկ </w:t>
      </w:r>
      <w:r w:rsidR="0056496B">
        <w:rPr>
          <w:rFonts w:ascii="Sylfaen" w:hAnsi="Sylfaen"/>
          <w:sz w:val="24"/>
          <w:szCs w:val="24"/>
        </w:rPr>
        <w:t>դիմում</w:t>
      </w:r>
      <w:r w:rsidRPr="00826F05">
        <w:rPr>
          <w:rFonts w:ascii="Sylfaen" w:hAnsi="Sylfaen"/>
          <w:sz w:val="24"/>
          <w:szCs w:val="24"/>
        </w:rPr>
        <w:t>ի տեսքով՝ պարտականությունների բաշխման նպատակով:</w:t>
      </w:r>
    </w:p>
    <w:p w14:paraId="03E27C9A" w14:textId="010C13A4"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w:t>
      </w:r>
      <w:r w:rsidR="004F5982" w:rsidRPr="00826F05">
        <w:rPr>
          <w:rFonts w:ascii="Sylfaen" w:hAnsi="Sylfaen"/>
          <w:sz w:val="24"/>
          <w:szCs w:val="24"/>
        </w:rPr>
        <w:t>ը պետք է պարունակի Դեղամիջոցների գրանցման կանոնների թիվ</w:t>
      </w:r>
      <w:r w:rsidR="004F5982">
        <w:rPr>
          <w:rFonts w:ascii="Sylfaen" w:hAnsi="Sylfaen"/>
          <w:sz w:val="24"/>
          <w:szCs w:val="24"/>
        </w:rPr>
        <w:t> </w:t>
      </w:r>
      <w:r w:rsidR="004F5982" w:rsidRPr="00826F05">
        <w:rPr>
          <w:rFonts w:ascii="Sylfaen" w:hAnsi="Sylfaen"/>
          <w:sz w:val="24"/>
          <w:szCs w:val="24"/>
        </w:rPr>
        <w:t>19</w:t>
      </w:r>
      <w:r w:rsidR="004F5982">
        <w:rPr>
          <w:rFonts w:ascii="Sylfaen" w:hAnsi="Sylfaen"/>
          <w:sz w:val="24"/>
          <w:szCs w:val="24"/>
        </w:rPr>
        <w:t> </w:t>
      </w:r>
      <w:r w:rsidR="004F5982" w:rsidRPr="00826F05">
        <w:rPr>
          <w:rFonts w:ascii="Sylfaen" w:hAnsi="Sylfaen"/>
          <w:sz w:val="24"/>
          <w:szCs w:val="24"/>
        </w:rPr>
        <w:t>հավելվածի IV լրացման մեջ նշված տարրերը, որոնք ներկայացվում են հետ</w:t>
      </w:r>
      <w:r w:rsidR="00C54D75">
        <w:rPr>
          <w:rFonts w:ascii="Sylfaen" w:hAnsi="Sylfaen"/>
          <w:sz w:val="24"/>
          <w:szCs w:val="24"/>
        </w:rPr>
        <w:t>և</w:t>
      </w:r>
      <w:r w:rsidR="004F5982"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004F5982"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004F5982" w:rsidRPr="00826F05">
        <w:rPr>
          <w:rFonts w:ascii="Sylfaen" w:hAnsi="Sylfaen"/>
          <w:sz w:val="24"/>
          <w:szCs w:val="24"/>
        </w:rPr>
        <w:t>աչափով՝</w:t>
      </w:r>
    </w:p>
    <w:p w14:paraId="22D2C6D6" w14:textId="77777777" w:rsidR="004F5982" w:rsidRPr="00826F05" w:rsidRDefault="004F5982" w:rsidP="00487007">
      <w:pPr>
        <w:tabs>
          <w:tab w:val="left" w:pos="1418"/>
        </w:tabs>
        <w:spacing w:after="160" w:line="360" w:lineRule="auto"/>
        <w:ind w:right="-20" w:firstLine="567"/>
        <w:jc w:val="both"/>
        <w:rPr>
          <w:rFonts w:ascii="Sylfaen" w:hAnsi="Sylfaen"/>
          <w:sz w:val="24"/>
          <w:szCs w:val="24"/>
        </w:rPr>
      </w:pPr>
      <w:r w:rsidRPr="00826F05">
        <w:rPr>
          <w:rFonts w:ascii="Sylfaen" w:hAnsi="Sylfaen"/>
          <w:sz w:val="24"/>
          <w:szCs w:val="24"/>
        </w:rPr>
        <w:t>ուղեկցող նամակ,</w:t>
      </w:r>
    </w:p>
    <w:p w14:paraId="0B22BDA3" w14:textId="0B6EC2C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գրանցման դոսյեում փոփոխություններ կատարելու վերաբերյալ </w:t>
      </w:r>
      <w:r w:rsidR="0056496B">
        <w:rPr>
          <w:rFonts w:ascii="Sylfaen" w:hAnsi="Sylfaen"/>
          <w:sz w:val="24"/>
          <w:szCs w:val="24"/>
        </w:rPr>
        <w:t>դիմում</w:t>
      </w:r>
      <w:r w:rsidRPr="00826F05">
        <w:rPr>
          <w:rFonts w:ascii="Sylfaen" w:hAnsi="Sylfaen"/>
          <w:sz w:val="24"/>
          <w:szCs w:val="24"/>
        </w:rPr>
        <w:t>, այդ թվում՝ դիտարկվող դեղապատրաստուկի մասին տեղեկություններ: Եթե փոփոխությունը մեկ այլ փոփոխության հետ</w:t>
      </w:r>
      <w:r w:rsidR="00C54D75">
        <w:rPr>
          <w:rFonts w:ascii="Sylfaen" w:hAnsi="Sylfaen"/>
          <w:sz w:val="24"/>
          <w:szCs w:val="24"/>
        </w:rPr>
        <w:t>և</w:t>
      </w:r>
      <w:r w:rsidRPr="00826F05">
        <w:rPr>
          <w:rFonts w:ascii="Sylfaen" w:hAnsi="Sylfaen"/>
          <w:sz w:val="24"/>
          <w:szCs w:val="24"/>
        </w:rPr>
        <w:t xml:space="preserve">անք է կամ կապված է դրա հետ, </w:t>
      </w:r>
      <w:r w:rsidR="0056496B">
        <w:rPr>
          <w:rFonts w:ascii="Sylfaen" w:hAnsi="Sylfaen"/>
          <w:sz w:val="24"/>
          <w:szCs w:val="24"/>
        </w:rPr>
        <w:t>դիմում</w:t>
      </w:r>
      <w:r w:rsidRPr="00826F05">
        <w:rPr>
          <w:rFonts w:ascii="Sylfaen" w:hAnsi="Sylfaen"/>
          <w:sz w:val="24"/>
          <w:szCs w:val="24"/>
        </w:rPr>
        <w:t>ի համապատասխան բաժնում անհրաժեշտ է ներկայացնել այդ փոփոխությունների միջ</w:t>
      </w:r>
      <w:r w:rsidR="00C54D75">
        <w:rPr>
          <w:rFonts w:ascii="Sylfaen" w:hAnsi="Sylfaen"/>
          <w:sz w:val="24"/>
          <w:szCs w:val="24"/>
        </w:rPr>
        <w:t>և</w:t>
      </w:r>
      <w:r w:rsidRPr="00826F05">
        <w:rPr>
          <w:rFonts w:ascii="Sylfaen" w:hAnsi="Sylfaen"/>
          <w:sz w:val="24"/>
          <w:szCs w:val="24"/>
        </w:rPr>
        <w:t xml:space="preserve"> կապի նկարագրությունը,</w:t>
      </w:r>
    </w:p>
    <w:p w14:paraId="4ED1CB0A" w14:textId="777FC66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փոփոխության ծածկագիրը՝ Դեղամիջոցների գրանցման կանոնների թիվ</w:t>
      </w:r>
      <w:r>
        <w:rPr>
          <w:rFonts w:ascii="Sylfaen" w:hAnsi="Sylfaen"/>
          <w:sz w:val="24"/>
          <w:szCs w:val="24"/>
        </w:rPr>
        <w:t> </w:t>
      </w:r>
      <w:r w:rsidRPr="00826F05">
        <w:rPr>
          <w:rFonts w:ascii="Sylfaen" w:hAnsi="Sylfaen"/>
          <w:sz w:val="24"/>
          <w:szCs w:val="24"/>
        </w:rPr>
        <w:t>19</w:t>
      </w:r>
      <w:r>
        <w:rPr>
          <w:rFonts w:ascii="Sylfaen" w:hAnsi="Sylfaen"/>
          <w:sz w:val="24"/>
          <w:szCs w:val="24"/>
        </w:rPr>
        <w:t> </w:t>
      </w:r>
      <w:r w:rsidRPr="00826F05">
        <w:rPr>
          <w:rFonts w:ascii="Sylfaen" w:hAnsi="Sylfaen"/>
          <w:sz w:val="24"/>
          <w:szCs w:val="24"/>
        </w:rPr>
        <w:t xml:space="preserve">հավելվածի V լրացմանը համապատասխան, որը վկայում է այն մասին, որ պահպանված են բոլոր պայմանները </w:t>
      </w:r>
      <w:r w:rsidR="00C54D75">
        <w:rPr>
          <w:rFonts w:ascii="Sylfaen" w:hAnsi="Sylfaen"/>
          <w:sz w:val="24"/>
          <w:szCs w:val="24"/>
        </w:rPr>
        <w:t>և</w:t>
      </w:r>
      <w:r w:rsidRPr="00826F05">
        <w:rPr>
          <w:rFonts w:ascii="Sylfaen" w:hAnsi="Sylfaen"/>
          <w:sz w:val="24"/>
          <w:szCs w:val="24"/>
        </w:rPr>
        <w:t xml:space="preserve"> փաստաթղթային պահանջները կամ եթե կիրառելի է, համապատասխան </w:t>
      </w:r>
      <w:r w:rsidR="0056496B">
        <w:rPr>
          <w:rFonts w:ascii="Sylfaen" w:hAnsi="Sylfaen"/>
          <w:sz w:val="24"/>
          <w:szCs w:val="24"/>
        </w:rPr>
        <w:t>դիմում</w:t>
      </w:r>
      <w:r w:rsidRPr="00826F05">
        <w:rPr>
          <w:rFonts w:ascii="Sylfaen" w:hAnsi="Sylfaen"/>
          <w:sz w:val="24"/>
          <w:szCs w:val="24"/>
        </w:rPr>
        <w:t>ում օգտագործված՝ Դեղամիջոցների գրանցման կանոնների թիվ 19 հավելվածի 1.5 ենթակետին համապատասխան ներկայացված՝ դասակարգման առաջարկը,</w:t>
      </w:r>
    </w:p>
    <w:p w14:paraId="61671AA5"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առաջարկված փոփոխություններին վերաբերող լրացուցիչ տեղեկությունները, որակի ռեզյումեի, նախակլինիկական </w:t>
      </w:r>
      <w:r w:rsidR="00C54D75">
        <w:rPr>
          <w:rFonts w:ascii="Sylfaen" w:hAnsi="Sylfaen"/>
          <w:sz w:val="24"/>
          <w:szCs w:val="24"/>
        </w:rPr>
        <w:t>և</w:t>
      </w:r>
      <w:r w:rsidRPr="00826F05">
        <w:rPr>
          <w:rFonts w:ascii="Sylfaen" w:hAnsi="Sylfaen"/>
          <w:sz w:val="24"/>
          <w:szCs w:val="24"/>
        </w:rPr>
        <w:t xml:space="preserve"> կլինիկական ամփոփագրերի համապատասխան թարմացումը կամ հավելվածը: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ներկայացվում են նախակլինիկական կամ կլինիկական հետազոտությունների մասին հաշվետվություններ (անգամ մեկը), դրանց ռեզյումեն անհրաժեշտ է ներառել 2-րդ մոդուլում,</w:t>
      </w:r>
    </w:p>
    <w:p w14:paraId="4B7607E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մարմնից պահանջված այն փոփոխությունների դեպքում, որոնք պայմանավորված են դեղապատրաստուկի մասին նոր ստացված տվյալներով, օրինակ՝ հետգրանցումային պայմաններին համապատասխան կամ դեղազգոնության պարտավորությունների շրջանակներում, ուղեկցող նամակին անհրաժեշտ է կցել լիազորված մարմնի (փորձագիտական կազմակերպության) հարցման պատճենը,</w:t>
      </w:r>
    </w:p>
    <w:p w14:paraId="0A1917B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փոփոխությունները վերաբերում են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ձ</w:t>
      </w:r>
      <w:r w:rsidR="00C54D75">
        <w:rPr>
          <w:rFonts w:ascii="Sylfaen" w:hAnsi="Sylfaen"/>
          <w:sz w:val="24"/>
          <w:szCs w:val="24"/>
        </w:rPr>
        <w:t>և</w:t>
      </w:r>
      <w:r w:rsidRPr="00826F05">
        <w:rPr>
          <w:rFonts w:ascii="Sylfaen" w:hAnsi="Sylfaen"/>
          <w:sz w:val="24"/>
          <w:szCs w:val="24"/>
        </w:rPr>
        <w:t xml:space="preserve">աչափով ներկայացված՝ դեղապատրաստուկի մասին վերանայված տեղեկատվությունը (դեղապատրաստուկի ընդհանուր բնութագիրը, մականշվածքը </w:t>
      </w:r>
      <w:r w:rsidR="00C54D75">
        <w:rPr>
          <w:rFonts w:ascii="Sylfaen" w:hAnsi="Sylfaen"/>
          <w:sz w:val="24"/>
          <w:szCs w:val="24"/>
        </w:rPr>
        <w:t>և</w:t>
      </w:r>
      <w:r w:rsidRPr="00826F05">
        <w:rPr>
          <w:rFonts w:ascii="Sylfaen" w:hAnsi="Sylfaen"/>
          <w:sz w:val="24"/>
          <w:szCs w:val="24"/>
        </w:rPr>
        <w:t xml:space="preserve"> ներդիր-թերթիկը), որակի նորմատիվ փաստաթուղթը, ինչպես նա</w:t>
      </w:r>
      <w:r w:rsidR="00C54D75">
        <w:rPr>
          <w:rFonts w:ascii="Sylfaen" w:hAnsi="Sylfaen"/>
          <w:sz w:val="24"/>
          <w:szCs w:val="24"/>
        </w:rPr>
        <w:t>և</w:t>
      </w:r>
      <w:r w:rsidRPr="00826F05">
        <w:rPr>
          <w:rFonts w:ascii="Sylfaen" w:hAnsi="Sylfaen"/>
          <w:sz w:val="24"/>
          <w:szCs w:val="24"/>
        </w:rPr>
        <w:t xml:space="preserve"> անդամ պետությունների պետական լեզուներով համապատասխան թարգմանությունները՝ նրանց օրենսդրության մեջ համապատասխան պահանջների առկայության դեպքում: Եթե II տիպի էական փոփոխությունն ազդում է առաջնային </w:t>
      </w:r>
      <w:r w:rsidR="00C54D75">
        <w:rPr>
          <w:rFonts w:ascii="Sylfaen" w:hAnsi="Sylfaen"/>
          <w:sz w:val="24"/>
          <w:szCs w:val="24"/>
        </w:rPr>
        <w:t>և</w:t>
      </w:r>
      <w:r w:rsidRPr="00826F05">
        <w:rPr>
          <w:rFonts w:ascii="Sylfaen" w:hAnsi="Sylfaen"/>
          <w:sz w:val="24"/>
          <w:szCs w:val="24"/>
        </w:rPr>
        <w:t xml:space="preserve"> (կամ) երկրորդային փաթեթվածքի ընդհանուր դիզայնի վրա, լիազորված մարմինը (փորձագիտական կազմակերպությունը) պետք է ներկայացնի փաթեթվածքի մանրակերտերը:</w:t>
      </w:r>
    </w:p>
    <w:p w14:paraId="7FAF53D7" w14:textId="68699C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փոփոխությունների դեպքում ռեֆերենտ պետության լիազորված մարմինը (փորձագիտական կազմակերպությունը) պետք է ստանա շահագրգիռ ճանաչման պետությունում փոփոխության ընթացակարգի համարի նշմամբ II տիպի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 ներկայացնելու ամսաթվերի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w:t>
      </w:r>
      <w:r w:rsidRPr="00826F05">
        <w:rPr>
          <w:rFonts w:ascii="Sylfaen" w:hAnsi="Sylfaen"/>
          <w:sz w:val="24"/>
          <w:szCs w:val="24"/>
        </w:rPr>
        <w:lastRenderedPageBreak/>
        <w:t>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ճանաչման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վճարումը հաստատող փաստաթղթերի ցանկը:</w:t>
      </w:r>
    </w:p>
    <w:p w14:paraId="04305E3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1.1.4 կետում հիշատակված փոփոխությունների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անհրաժեշտության դեպքում՝ դրա</w:t>
      </w:r>
      <w:r>
        <w:rPr>
          <w:rFonts w:ascii="Sylfaen" w:hAnsi="Sylfaen"/>
          <w:sz w:val="24"/>
          <w:szCs w:val="24"/>
        </w:rPr>
        <w:t> </w:t>
      </w:r>
      <w:r w:rsidRPr="00826F05">
        <w:rPr>
          <w:rFonts w:ascii="Sylfaen" w:hAnsi="Sylfaen"/>
          <w:sz w:val="24"/>
          <w:szCs w:val="24"/>
        </w:rPr>
        <w:t xml:space="preserve">փորձաքննության մեջ) փոփոխություններ կատարելու վճարի (տուրքի)՝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վճարման հաստատում:</w:t>
      </w:r>
    </w:p>
    <w:p w14:paraId="4E9A0D4F" w14:textId="77777777" w:rsidR="004F5982" w:rsidRPr="00826F05" w:rsidRDefault="004F5982" w:rsidP="00487007">
      <w:pPr>
        <w:tabs>
          <w:tab w:val="left" w:pos="1701"/>
        </w:tabs>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2.3.2.</w:t>
      </w:r>
      <w:r w:rsidRPr="00826F05">
        <w:rPr>
          <w:rFonts w:ascii="Sylfaen" w:hAnsi="Sylfaen"/>
          <w:sz w:val="24"/>
          <w:szCs w:val="24"/>
        </w:rPr>
        <w:tab/>
        <w:t>Դեղամիջոցների գրանցման կանոնների թիվ 19 հավելվածի 1.1.3</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06FD808C" w14:textId="103A343B"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 Դեղամիջոցների գրանցման կանոնների թիվ 2 հավելվածի համաձայն, կամ փոփոխությունների կատարման վճարի (տուրքի) վճարում հաստատող փաստաթղթեր՝ անդամ պետության օրենսդրությամբ սահմանված դեպքում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նշված տարրերը պարունակող փոփոխության դոսյեն:</w:t>
      </w:r>
    </w:p>
    <w:p w14:paraId="46391D1A" w14:textId="0E2479D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181E48A9" w14:textId="267333D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w:t>
      </w:r>
      <w:r w:rsidRPr="00826F05">
        <w:rPr>
          <w:rFonts w:ascii="Sylfaen" w:hAnsi="Sylfaen"/>
          <w:sz w:val="24"/>
          <w:szCs w:val="24"/>
        </w:rPr>
        <w:lastRenderedPageBreak/>
        <w:t xml:space="preserve">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w:t>
      </w:r>
    </w:p>
    <w:p w14:paraId="5CD6498B" w14:textId="54D29BD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23D044A5" w14:textId="5DD1127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w:t>
      </w:r>
      <w:r w:rsidR="0056496B">
        <w:rPr>
          <w:rFonts w:ascii="Sylfaen" w:hAnsi="Sylfaen"/>
          <w:sz w:val="24"/>
          <w:szCs w:val="24"/>
        </w:rPr>
        <w:t>դիմում</w:t>
      </w:r>
      <w:r w:rsidRPr="00826F05">
        <w:rPr>
          <w:rFonts w:ascii="Sylfaen" w:hAnsi="Sylfaen"/>
          <w:sz w:val="24"/>
          <w:szCs w:val="24"/>
        </w:rPr>
        <w:t xml:space="preserve">ը ստանալու օրվանից 60 օրացուցային օրվա 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07E63E0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ցուցումները ձ</w:t>
      </w:r>
      <w:r w:rsidR="00C54D75">
        <w:rPr>
          <w:rFonts w:ascii="Sylfaen" w:hAnsi="Sylfaen"/>
          <w:sz w:val="24"/>
          <w:szCs w:val="24"/>
        </w:rPr>
        <w:t>և</w:t>
      </w:r>
      <w:r w:rsidRPr="00826F05">
        <w:rPr>
          <w:rFonts w:ascii="Sylfaen" w:hAnsi="Sylfaen"/>
          <w:sz w:val="24"/>
          <w:szCs w:val="24"/>
        </w:rPr>
        <w:t xml:space="preserve">ափոխելու կամ կիրառման նոր ցուցումներ ներառելու արդյունքում առաջացած փոփոխությունների կամ փոփոխությունների խմբի </w:t>
      </w:r>
      <w:r w:rsidRPr="00943155">
        <w:rPr>
          <w:rFonts w:ascii="Sylfaen" w:hAnsi="Sylfaen"/>
          <w:spacing w:val="6"/>
          <w:sz w:val="24"/>
          <w:szCs w:val="24"/>
        </w:rPr>
        <w:t>դեպքում՝ Դեղամիջոցների գրանցման կանոնների թիվ 19 հավելվածի 3.4.2</w:t>
      </w:r>
      <w:r>
        <w:rPr>
          <w:rFonts w:ascii="Sylfaen" w:hAnsi="Sylfaen"/>
          <w:spacing w:val="6"/>
          <w:sz w:val="24"/>
          <w:szCs w:val="24"/>
        </w:rPr>
        <w:t> </w:t>
      </w:r>
      <w:r w:rsidRPr="00943155">
        <w:rPr>
          <w:rFonts w:ascii="Sylfaen" w:hAnsi="Sylfaen"/>
          <w:spacing w:val="6"/>
          <w:sz w:val="24"/>
          <w:szCs w:val="24"/>
        </w:rPr>
        <w:t>կետի</w:t>
      </w:r>
      <w:r w:rsidRPr="00826F05">
        <w:rPr>
          <w:rFonts w:ascii="Sylfaen" w:hAnsi="Sylfaen"/>
          <w:sz w:val="24"/>
          <w:szCs w:val="24"/>
        </w:rPr>
        <w:t xml:space="preserve"> 4-րդ պարբերությանը համապատասխան:</w:t>
      </w:r>
    </w:p>
    <w:p w14:paraId="26E6E624" w14:textId="7D8C3B5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ին տրամադրվում է 90 օրացուցային օրվանից ոչ</w:t>
      </w:r>
      <w:r>
        <w:rPr>
          <w:rFonts w:ascii="Sylfaen" w:hAnsi="Sylfaen"/>
          <w:sz w:val="24"/>
          <w:szCs w:val="24"/>
        </w:rPr>
        <w:t> </w:t>
      </w:r>
      <w:r w:rsidRPr="00826F05">
        <w:rPr>
          <w:rFonts w:ascii="Sylfaen" w:hAnsi="Sylfaen"/>
          <w:sz w:val="24"/>
          <w:szCs w:val="24"/>
        </w:rPr>
        <w:t xml:space="preserve">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317CB1F" w14:textId="52CE3EBD"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դեղապատրաստուկի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42D82826" w14:textId="2270C6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Ռեֆերենտ պետության լիազորված մարմինը (փորձագիտական կազմակերպությունը) նշված ժամկետներին համապատասխան պատրաստում է փորձագիտական հաշվետվության նախագիծ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ի մասով որոշում ու ուղարկում է դրանք շահագրգիռ անդամ պետություններին՝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ռեֆերենտ պետության լիազորված մարմին (փորձագիտական կազմակերպություն) են ուղարկում իրենց մեկնաբանությունները:</w:t>
      </w:r>
    </w:p>
    <w:p w14:paraId="79890302" w14:textId="7BB8DD7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w:t>
      </w:r>
      <w:r w:rsidR="0056496B">
        <w:rPr>
          <w:rFonts w:ascii="Sylfaen" w:hAnsi="Sylfaen"/>
          <w:sz w:val="24"/>
          <w:szCs w:val="24"/>
        </w:rPr>
        <w:t>դիմում</w:t>
      </w:r>
      <w:r w:rsidRPr="00826F05">
        <w:rPr>
          <w:rFonts w:ascii="Sylfaen" w:hAnsi="Sylfaen"/>
          <w:sz w:val="24"/>
          <w:szCs w:val="24"/>
        </w:rPr>
        <w:t xml:space="preserve">ին </w:t>
      </w:r>
      <w:r w:rsidR="0056496B">
        <w:rPr>
          <w:rFonts w:ascii="Sylfaen" w:hAnsi="Sylfaen"/>
          <w:sz w:val="24"/>
          <w:szCs w:val="24"/>
        </w:rPr>
        <w:t>դիմումատու</w:t>
      </w:r>
      <w:r w:rsidRPr="00826F05">
        <w:rPr>
          <w:rFonts w:ascii="Sylfaen" w:hAnsi="Sylfaen"/>
          <w:sz w:val="24"/>
          <w:szCs w:val="24"/>
        </w:rPr>
        <w:t xml:space="preserve">ի պատասխանը ստանալուց հետո վերջինս ավարտում է գնահատման վերաբերյալ փորձագիտական հաշվետվության նախագծի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w:t>
      </w:r>
      <w:r w:rsidRPr="00826F05">
        <w:rPr>
          <w:rFonts w:ascii="Sylfaen" w:hAnsi="Sylfaen"/>
          <w:sz w:val="24"/>
          <w:szCs w:val="24"/>
        </w:rPr>
        <w:t xml:space="preserve">ի հետ կապված որոշման պատրաստումը </w:t>
      </w:r>
      <w:r w:rsidR="00C54D75">
        <w:rPr>
          <w:rFonts w:ascii="Sylfaen" w:hAnsi="Sylfaen"/>
          <w:sz w:val="24"/>
          <w:szCs w:val="24"/>
        </w:rPr>
        <w:t>և</w:t>
      </w:r>
      <w:r w:rsidRPr="00826F05">
        <w:rPr>
          <w:rFonts w:ascii="Sylfaen" w:hAnsi="Sylfaen"/>
          <w:sz w:val="24"/>
          <w:szCs w:val="24"/>
        </w:rPr>
        <w:t xml:space="preserve"> ուղարկում դրանք շահագրգիռ անդամ պետություններին,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համար:</w:t>
      </w:r>
    </w:p>
    <w:p w14:paraId="18456654" w14:textId="77777777" w:rsidR="004F5982" w:rsidRPr="00826F05" w:rsidRDefault="004F5982" w:rsidP="00487007">
      <w:pPr>
        <w:tabs>
          <w:tab w:val="left" w:pos="1701"/>
        </w:tabs>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2.3.3.</w:t>
      </w:r>
      <w:r w:rsidRPr="00826F05">
        <w:rPr>
          <w:rFonts w:ascii="Sylfaen" w:hAnsi="Sylfaen"/>
          <w:sz w:val="24"/>
          <w:szCs w:val="24"/>
        </w:rPr>
        <w:tab/>
        <w:t>Փոխադարձ ճանաչման ընթացակարգի շրջանակներում II տիպի փոփոխությունների փորձաքննությունն ավարտելը :</w:t>
      </w:r>
    </w:p>
    <w:p w14:paraId="39736F12" w14:textId="32171A9B"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պետության լիազորված մարմինը (փորձագիտական կազմակերպությունը) ավարտում է փորձագիտական հաշվետվության </w:t>
      </w:r>
      <w:r w:rsidR="00C54D75">
        <w:rPr>
          <w:rFonts w:ascii="Sylfaen" w:hAnsi="Sylfaen"/>
          <w:sz w:val="24"/>
          <w:szCs w:val="24"/>
        </w:rPr>
        <w:t>և</w:t>
      </w:r>
      <w:r w:rsidRPr="00826F05">
        <w:rPr>
          <w:rFonts w:ascii="Sylfaen" w:hAnsi="Sylfaen"/>
          <w:sz w:val="24"/>
          <w:szCs w:val="24"/>
        </w:rPr>
        <w:t xml:space="preserve"> փոփոխություններ կատարելու մասին </w:t>
      </w:r>
      <w:r w:rsidR="0056496B">
        <w:rPr>
          <w:rFonts w:ascii="Sylfaen" w:hAnsi="Sylfaen"/>
          <w:sz w:val="24"/>
          <w:szCs w:val="24"/>
        </w:rPr>
        <w:t>դիմում</w:t>
      </w:r>
      <w:r w:rsidRPr="00826F05">
        <w:rPr>
          <w:rFonts w:ascii="Sylfaen" w:hAnsi="Sylfaen"/>
          <w:sz w:val="24"/>
          <w:szCs w:val="24"/>
        </w:rPr>
        <w:t xml:space="preserve">ի հետ կապված իր որոշման պատրաստումը </w:t>
      </w:r>
      <w:r w:rsidR="00C54D75">
        <w:rPr>
          <w:rFonts w:ascii="Sylfaen" w:hAnsi="Sylfaen"/>
          <w:sz w:val="24"/>
          <w:szCs w:val="24"/>
        </w:rPr>
        <w:t>և</w:t>
      </w:r>
      <w:r w:rsidRPr="00826F05">
        <w:rPr>
          <w:rFonts w:ascii="Sylfaen" w:hAnsi="Sylfaen"/>
          <w:sz w:val="24"/>
          <w:szCs w:val="24"/>
        </w:rPr>
        <w:t xml:space="preserve"> ուղարկում է դրանք շահագրգիռ անդամ պետություններին:</w:t>
      </w:r>
    </w:p>
    <w:p w14:paraId="1C78D51E" w14:textId="2683D0B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մարմինը (փորձագիտական կազմակերպությունը) գնահատման վերաբերյալ հաշվետվության նախագծին մուտք ստանալուց հետո ոչ ուշ, քան 20 օրացուցային օրվա ընթացքում անհրաժեշտության դեպքում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ռեֆերենտ պետության լիազորված մարմին (փորձագիտական կազմակերպություն) հարցում է ուղարկում՝ համաձայն Դեղամիջոցների գրանցման կանոնների թիվ 18 հավելվածի ձ</w:t>
      </w:r>
      <w:r w:rsidR="00C54D75">
        <w:rPr>
          <w:rFonts w:ascii="Sylfaen" w:hAnsi="Sylfaen"/>
          <w:sz w:val="24"/>
          <w:szCs w:val="24"/>
        </w:rPr>
        <w:t>և</w:t>
      </w:r>
      <w:r w:rsidRPr="00826F05">
        <w:rPr>
          <w:rFonts w:ascii="Sylfaen" w:hAnsi="Sylfaen"/>
          <w:sz w:val="24"/>
          <w:szCs w:val="24"/>
        </w:rPr>
        <w:t>ի։</w:t>
      </w:r>
    </w:p>
    <w:p w14:paraId="62948FA0" w14:textId="674079B4" w:rsidR="004F5982" w:rsidRPr="00826F05" w:rsidRDefault="0056496B" w:rsidP="00487007">
      <w:pPr>
        <w:spacing w:after="160" w:line="384" w:lineRule="auto"/>
        <w:ind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4F5982" w:rsidRPr="00826F05">
        <w:rPr>
          <w:rFonts w:ascii="Sylfaen" w:hAnsi="Sylfaen"/>
          <w:sz w:val="24"/>
          <w:szCs w:val="24"/>
        </w:rPr>
        <w:t xml:space="preserve">ն ճանաչման պետությունների </w:t>
      </w:r>
      <w:r w:rsidR="00C54D75">
        <w:rPr>
          <w:rFonts w:ascii="Sylfaen" w:hAnsi="Sylfaen"/>
          <w:sz w:val="24"/>
          <w:szCs w:val="24"/>
        </w:rPr>
        <w:t>և</w:t>
      </w:r>
      <w:r w:rsidR="004F5982" w:rsidRPr="00826F05">
        <w:rPr>
          <w:rFonts w:ascii="Sylfaen" w:hAnsi="Sylfaen"/>
          <w:sz w:val="24"/>
          <w:szCs w:val="24"/>
        </w:rPr>
        <w:t xml:space="preserve"> ռեֆերենտ պետության լիազորված մարմին (փորձագիտական կազմակերպություն) հարցման պատասխանն ուղարկում է 90 օրացուցային օրը չգերազանցող ժամկետում։ </w:t>
      </w:r>
      <w:r>
        <w:rPr>
          <w:rFonts w:ascii="Sylfaen" w:hAnsi="Sylfaen"/>
          <w:sz w:val="24"/>
          <w:szCs w:val="24"/>
        </w:rPr>
        <w:t>Դիմումատու</w:t>
      </w:r>
      <w:r w:rsidR="004F5982" w:rsidRPr="00826F05">
        <w:rPr>
          <w:rFonts w:ascii="Sylfaen" w:hAnsi="Sylfaen"/>
          <w:sz w:val="24"/>
          <w:szCs w:val="24"/>
        </w:rPr>
        <w:t xml:space="preserve">ի՝ հարցմանը պատասխանելու ժամկետը չի ներառվում փորձաքննություն անցկացնելու </w:t>
      </w:r>
      <w:r w:rsidR="00C54D75">
        <w:rPr>
          <w:rFonts w:ascii="Sylfaen" w:hAnsi="Sylfaen"/>
          <w:sz w:val="24"/>
          <w:szCs w:val="24"/>
        </w:rPr>
        <w:t>և</w:t>
      </w:r>
      <w:r w:rsidR="004F5982" w:rsidRPr="00826F05">
        <w:rPr>
          <w:rFonts w:ascii="Sylfaen" w:hAnsi="Sylfaen"/>
          <w:sz w:val="24"/>
          <w:szCs w:val="24"/>
        </w:rPr>
        <w:t xml:space="preserve"> դեղապատրաստուկի գրանցման դոսյեի մեջ փոփոխություններ կատարելու ընթացակարգի ընդհանուր ժամկետի մեջ։</w:t>
      </w:r>
    </w:p>
    <w:p w14:paraId="7856E203" w14:textId="55AD9BC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Ճանաչման պետության լիազորված մարմնի (փորձագիտական կազմակերպության) կողմից պահանջված փաստաթղթերն ու տվյալները </w:t>
      </w:r>
      <w:r w:rsidR="0056496B">
        <w:rPr>
          <w:rFonts w:ascii="Sylfaen" w:hAnsi="Sylfaen"/>
          <w:sz w:val="24"/>
          <w:szCs w:val="24"/>
        </w:rPr>
        <w:t>դիմումատու</w:t>
      </w:r>
      <w:r w:rsidRPr="00826F05">
        <w:rPr>
          <w:rFonts w:ascii="Sylfaen" w:hAnsi="Sylfaen"/>
          <w:sz w:val="24"/>
          <w:szCs w:val="24"/>
        </w:rPr>
        <w:t>ի կողմից չներկայացվելու դեպքում տվյալ ճանաչման պետությունում դադարեցվում է փորձաքննությունն ու փոփոխություններ կատարելու ընթացակարգը։</w:t>
      </w:r>
    </w:p>
    <w:p w14:paraId="382974B7" w14:textId="551CEE3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Լիազորված մարմնի (փորձագիտական կազմակերպության) կայացրած որոշման մասին էլեկտրոնային </w:t>
      </w:r>
      <w:r w:rsidR="00C54D75">
        <w:rPr>
          <w:rFonts w:ascii="Sylfaen" w:hAnsi="Sylfaen"/>
          <w:sz w:val="24"/>
          <w:szCs w:val="24"/>
        </w:rPr>
        <w:t>և</w:t>
      </w:r>
      <w:r w:rsidRPr="00826F05">
        <w:rPr>
          <w:rFonts w:ascii="Sylfaen" w:hAnsi="Sylfaen"/>
          <w:sz w:val="24"/>
          <w:szCs w:val="24"/>
        </w:rPr>
        <w:t xml:space="preserve"> թղթային եղանակով </w:t>
      </w:r>
      <w:r w:rsidR="0056496B">
        <w:rPr>
          <w:rFonts w:ascii="Sylfaen" w:hAnsi="Sylfaen"/>
          <w:sz w:val="24"/>
          <w:szCs w:val="24"/>
        </w:rPr>
        <w:t>դիմումատու</w:t>
      </w:r>
      <w:r w:rsidRPr="00826F05">
        <w:rPr>
          <w:rFonts w:ascii="Sylfaen" w:hAnsi="Sylfaen"/>
          <w:sz w:val="24"/>
          <w:szCs w:val="24"/>
        </w:rPr>
        <w:t>ն տեղեկանում է այդ որոշման ընդունման օրվանից 10 աշխատանքային օրվա ընթացքում:</w:t>
      </w:r>
    </w:p>
    <w:p w14:paraId="296F726A" w14:textId="7C7F700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գնահատման վերաբերյալ փորձագիտական հաշվետվությունը </w:t>
      </w:r>
      <w:r w:rsidR="00C54D75">
        <w:rPr>
          <w:rFonts w:ascii="Sylfaen" w:hAnsi="Sylfaen"/>
          <w:sz w:val="24"/>
          <w:szCs w:val="24"/>
        </w:rPr>
        <w:t>և</w:t>
      </w:r>
      <w:r w:rsidRPr="00826F05">
        <w:rPr>
          <w:rFonts w:ascii="Sylfaen" w:hAnsi="Sylfaen"/>
          <w:sz w:val="24"/>
          <w:szCs w:val="24"/>
        </w:rPr>
        <w:t xml:space="preserve"> որոշումը ստանալու օրվանից 30 օրացուցային օրվա ընթացքում շահագրգիռ անդամ պետությունները ռեֆերենտ պետություն են ուղարկում ռեֆերենտ պետության լիազորված մարմնի (փորձագիտական կազմակերպության) գնահատման վերաբերյալ փորձագիտական հաշվետվությունը ճանաչելու հավանականության մասին եզրակացություն,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վտանգ, որը ճանաչման պետության լիազորված մարմնին (փորձագիտական կազմակերպությանը) կխոչընդոտի ճանաչել ռեֆերենտ պետության որոշումը: Գնահատման վերաբերյալ եզրափակիչ փորձագիտական հաշվետվությունը </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եզրակացությունը ստանալու օրվանից 30 օրացուցային օրվա ընթացքում ճանաչման պետությունը պետք է ռեֆերենտ պետությանը ծանուցի իր որոշման </w:t>
      </w:r>
      <w:r w:rsidRPr="00826F05">
        <w:rPr>
          <w:rFonts w:ascii="Sylfaen" w:hAnsi="Sylfaen"/>
          <w:sz w:val="24"/>
          <w:szCs w:val="24"/>
        </w:rPr>
        <w:lastRenderedPageBreak/>
        <w:t xml:space="preserve">մասին </w:t>
      </w:r>
      <w:r w:rsidR="00C54D75">
        <w:rPr>
          <w:rFonts w:ascii="Sylfaen" w:hAnsi="Sylfaen"/>
          <w:sz w:val="24"/>
          <w:szCs w:val="24"/>
        </w:rPr>
        <w:t>և</w:t>
      </w:r>
      <w:r w:rsidRPr="00826F05">
        <w:rPr>
          <w:rFonts w:ascii="Sylfaen" w:hAnsi="Sylfaen"/>
          <w:sz w:val="24"/>
          <w:szCs w:val="24"/>
        </w:rPr>
        <w:t xml:space="preserve"> ռեֆերենտ պետության կողմից պատրաստված՝ գնահատման վերաբերյալ փորձագիտական հաշվետվության ճանաչման մասին բացասական որոշման դեպքում պետք է նշի իր դիրքորոշման մանրամասն պատճառները:</w:t>
      </w:r>
    </w:p>
    <w:p w14:paraId="33850F7F" w14:textId="4BF8D59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Ռեֆերենտ պետության լիազորված մարմինը (փորձագիտական կազմակերպությունը) համապատասխան նյութեր է ուղարկում Եվրասիական</w:t>
      </w:r>
      <w:r>
        <w:rPr>
          <w:rFonts w:ascii="Sylfaen" w:hAnsi="Sylfaen"/>
          <w:sz w:val="24"/>
          <w:szCs w:val="24"/>
        </w:rPr>
        <w:t> </w:t>
      </w:r>
      <w:r w:rsidRPr="00826F05">
        <w:rPr>
          <w:rFonts w:ascii="Sylfaen" w:hAnsi="Sylfaen"/>
          <w:sz w:val="24"/>
          <w:szCs w:val="24"/>
        </w:rPr>
        <w:t xml:space="preserve">տնտեսական հանձնաժողովին կից Դեղամիջոցների հարցերով փորձագիտական կոմիտե (այսուհետ՝ Փորձագիտական կոմիտե)՝ անհամաձայնության հարցով, </w:t>
      </w:r>
      <w:r w:rsidR="00C54D75">
        <w:rPr>
          <w:rFonts w:ascii="Sylfaen" w:hAnsi="Sylfaen"/>
          <w:sz w:val="24"/>
          <w:szCs w:val="24"/>
        </w:rPr>
        <w:t>և</w:t>
      </w:r>
      <w:r w:rsidRPr="00826F05">
        <w:rPr>
          <w:rFonts w:ascii="Sylfaen" w:hAnsi="Sylfaen"/>
          <w:sz w:val="24"/>
          <w:szCs w:val="24"/>
        </w:rPr>
        <w:t xml:space="preserve"> ծանուցում է այդ մասին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Եթե մեկ կամ մի քանի ճանաչման պետությունների լիազորված մարմինների կողմից ուղարկվել է ռեֆերենտ պետության փորձագիտական կազմակերպության կողմից պատրաստված՝ գնահատման վերաբերյալ փորձագիտական հաշվետվության ճանաչման անհնարինության մասին եզրակացություն, ապա ճանաչման պետության համապատասխան մարմինների կողմից այդպիսի եզրակացությունն ուղարկելու օրվանից 60 օրացուցային օրը չգերազանցող ժամկետում Փորձագիտական</w:t>
      </w:r>
      <w:r>
        <w:rPr>
          <w:rFonts w:ascii="Sylfaen" w:hAnsi="Sylfaen"/>
          <w:sz w:val="24"/>
          <w:szCs w:val="24"/>
        </w:rPr>
        <w:t> </w:t>
      </w:r>
      <w:r w:rsidRPr="00826F05">
        <w:rPr>
          <w:rFonts w:ascii="Sylfaen" w:hAnsi="Sylfaen"/>
          <w:sz w:val="24"/>
          <w:szCs w:val="24"/>
        </w:rPr>
        <w:t>կոմիտեն անցկացնում է անհամաձայնությունների կարգավորման ընթացակարգ՝ Եվրասիական տնտեսական հանձնաժողովի կողմից հաստատված կարգին համապատասխան:</w:t>
      </w:r>
    </w:p>
    <w:p w14:paraId="12B03D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w:t>
      </w:r>
      <w:r w:rsidR="00C54D75">
        <w:rPr>
          <w:rFonts w:ascii="Sylfaen" w:hAnsi="Sylfaen"/>
          <w:sz w:val="24"/>
          <w:szCs w:val="24"/>
        </w:rPr>
        <w:t>և</w:t>
      </w:r>
      <w:r w:rsidRPr="00826F05">
        <w:rPr>
          <w:rFonts w:ascii="Sylfaen" w:hAnsi="Sylfaen"/>
          <w:sz w:val="24"/>
          <w:szCs w:val="24"/>
        </w:rPr>
        <w:t xml:space="preserve"> համապատասխան ճանաչման պետությունների լիազորված մարմինը մերժում է փոփոխություններ կատարելու հարցում, եթե</w:t>
      </w:r>
      <w:r>
        <w:rPr>
          <w:rFonts w:ascii="Sylfaen" w:hAnsi="Sylfaen"/>
          <w:sz w:val="24"/>
          <w:szCs w:val="24"/>
        </w:rPr>
        <w:t> </w:t>
      </w:r>
      <w:r w:rsidRPr="00826F05">
        <w:rPr>
          <w:rFonts w:ascii="Sylfaen" w:hAnsi="Sylfaen"/>
          <w:sz w:val="24"/>
          <w:szCs w:val="24"/>
        </w:rPr>
        <w:t xml:space="preserve">դեղապատրաստուկի փորձաքննության արդյունքներով </w:t>
      </w:r>
      <w:r w:rsidR="00C54D75">
        <w:rPr>
          <w:rFonts w:ascii="Sylfaen" w:hAnsi="Sylfaen"/>
          <w:sz w:val="24"/>
          <w:szCs w:val="24"/>
        </w:rPr>
        <w:t>և</w:t>
      </w:r>
      <w:r w:rsidRPr="00826F05">
        <w:rPr>
          <w:rFonts w:ascii="Sylfaen" w:hAnsi="Sylfaen"/>
          <w:sz w:val="24"/>
          <w:szCs w:val="24"/>
        </w:rPr>
        <w:t xml:space="preserve"> Փորձագիտական</w:t>
      </w:r>
      <w:r>
        <w:rPr>
          <w:rFonts w:ascii="Sylfaen" w:hAnsi="Sylfaen"/>
          <w:sz w:val="24"/>
          <w:szCs w:val="24"/>
        </w:rPr>
        <w:t> </w:t>
      </w:r>
      <w:r w:rsidRPr="00826F05">
        <w:rPr>
          <w:rFonts w:ascii="Sylfaen" w:hAnsi="Sylfaen"/>
          <w:sz w:val="24"/>
          <w:szCs w:val="24"/>
        </w:rPr>
        <w:t>կոմիտեում անհամաձայնությունների կարգավորման ընթացակարգն անցկացնելուց հետո իրենց կողմից ընդունվել է դեղապատրաստուկի գրանցման դոսյեում փոփոխություններ կատարելու մերժման մասին առաջարկություն:</w:t>
      </w:r>
    </w:p>
    <w:p w14:paraId="0E32351B" w14:textId="77E81A8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փոփոխություններ կատարելու վերաբերյալ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են մի քանի II տիպի փոփոխություններ կամ II տիպի փոփոխությունների խումբ այլ ոչ էական փոփոխությունների հետ միասին, </w:t>
      </w:r>
      <w:r w:rsidRPr="00826F05">
        <w:rPr>
          <w:rFonts w:ascii="Sylfaen" w:hAnsi="Sylfaen"/>
          <w:sz w:val="24"/>
          <w:szCs w:val="24"/>
        </w:rPr>
        <w:lastRenderedPageBreak/>
        <w:t xml:space="preserve">ռեֆերենտ պետությունը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 թե դրանցից որոնք են ընդունվել </w:t>
      </w:r>
      <w:r w:rsidR="00C54D75">
        <w:rPr>
          <w:rFonts w:ascii="Sylfaen" w:hAnsi="Sylfaen"/>
          <w:sz w:val="24"/>
          <w:szCs w:val="24"/>
        </w:rPr>
        <w:t>և</w:t>
      </w:r>
      <w:r w:rsidRPr="00826F05">
        <w:rPr>
          <w:rFonts w:ascii="Sylfaen" w:hAnsi="Sylfaen"/>
          <w:sz w:val="24"/>
          <w:szCs w:val="24"/>
        </w:rPr>
        <w:t xml:space="preserve"> մերժվել: Փորձաքննության</w:t>
      </w:r>
      <w:r>
        <w:rPr>
          <w:rFonts w:ascii="Sylfaen" w:hAnsi="Sylfaen"/>
          <w:sz w:val="24"/>
          <w:szCs w:val="24"/>
        </w:rPr>
        <w:t> </w:t>
      </w:r>
      <w:r w:rsidRPr="00826F05">
        <w:rPr>
          <w:rFonts w:ascii="Sylfaen" w:hAnsi="Sylfaen"/>
          <w:sz w:val="24"/>
          <w:szCs w:val="24"/>
        </w:rPr>
        <w:t>ընթացակարգի ընթացքում (մինչ</w:t>
      </w:r>
      <w:r w:rsidR="00C54D75">
        <w:rPr>
          <w:rFonts w:ascii="Sylfaen" w:hAnsi="Sylfaen"/>
          <w:sz w:val="24"/>
          <w:szCs w:val="24"/>
        </w:rPr>
        <w:t>և</w:t>
      </w:r>
      <w:r w:rsidRPr="00826F05">
        <w:rPr>
          <w:rFonts w:ascii="Sylfaen" w:hAnsi="Sylfaen"/>
          <w:sz w:val="24"/>
          <w:szCs w:val="24"/>
        </w:rPr>
        <w:t xml:space="preserve"> ռեֆերենտ պետության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ից հանելու եզակի փոփոխությունները:</w:t>
      </w:r>
    </w:p>
    <w:p w14:paraId="372BF57F" w14:textId="612252E2"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Լիազորված մարմնի (փորձագիտական կազմակերպության) կողմից փոփոխությունների վերաբերյալ դրական որոշում կայացնելուց հետո, որոնցով ուղղվում է դեղապատրաստուկի ընդհանուր բնութագիրը, մականշվածքը կամ ներդիր-թերթիկը, ինչպես նա</w:t>
      </w:r>
      <w:r w:rsidR="00C54D75">
        <w:rPr>
          <w:rFonts w:ascii="Sylfaen" w:hAnsi="Sylfaen"/>
          <w:sz w:val="24"/>
          <w:szCs w:val="24"/>
        </w:rPr>
        <w:t>և</w:t>
      </w:r>
      <w:r w:rsidRPr="00826F05">
        <w:rPr>
          <w:rFonts w:ascii="Sylfaen" w:hAnsi="Sylfaen"/>
          <w:sz w:val="24"/>
          <w:szCs w:val="24"/>
        </w:rPr>
        <w:t xml:space="preserve"> որակի նորմատիվ փաստաթուղթը, </w:t>
      </w:r>
      <w:r w:rsidR="0056496B">
        <w:rPr>
          <w:rFonts w:ascii="Sylfaen" w:hAnsi="Sylfaen"/>
          <w:sz w:val="24"/>
          <w:szCs w:val="24"/>
        </w:rPr>
        <w:t>դիմումատու</w:t>
      </w:r>
      <w:r w:rsidRPr="00826F05">
        <w:rPr>
          <w:rFonts w:ascii="Sylfaen" w:hAnsi="Sylfaen"/>
          <w:sz w:val="24"/>
          <w:szCs w:val="24"/>
        </w:rPr>
        <w:t>ն պետք է 7 աշխատանքային օրվա ընթացքում բոլոր շահագրգիռ անդամ պետություններ ներկայացնի դեղապատրաստուկի ընդհանուր բնութագրի, ներդիր-թերթիկի, փաթեթվածքի մանրակերտերի թարգմանությունը՝ անդամ պետությունների օրենսդրության մեջ համապատասխան պահանջների առկայության դեպքում:</w:t>
      </w:r>
    </w:p>
    <w:p w14:paraId="2C75D4D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հաստատելուց հետո շահագրգիռ անդամ պետությունների լիազորված մարմիններն անհրաժեշտության դեպքում գրանցման դոսյեում փոփոխություններ կատարելու նպատակով 60 օրացուցային օրվա ընթացքում փոփոխում են գրանցման դոսյեն՝ գրանցման դոսյեի փոփոխության համար անհրաժեշտ փաստաթղթերը շահագրգիռ անդամ պետություններին ներկայացնելու պայմանով:</w:t>
      </w:r>
    </w:p>
    <w:p w14:paraId="3F721AEF" w14:textId="3792956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Այն դեպքում, երբ Դեղամիջոցների գրանցման կանոնների թիվ 19 հավելվածի 1.6 ենթակետի համաձայն փոփոխությունները հանգեցնում են դեղապատրաստուկի մասին տեղեկատվության վերանայման, համապատասխան լիազորված մարմինները փոփոխություններ կատարելու մասին որոշումն ընդունելու օրվանից 30 օրացուցային օրը չգերազանցող ժամկետում միասնական ռեեստրում տեղադրում են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w:t>
      </w:r>
      <w:r w:rsidRPr="00826F05">
        <w:rPr>
          <w:rFonts w:ascii="Sylfaen" w:hAnsi="Sylfaen"/>
          <w:sz w:val="24"/>
          <w:szCs w:val="24"/>
        </w:rPr>
        <w:lastRenderedPageBreak/>
        <w:t>փաթեթվածքների մանրակերտերը, որակի նորմատիվ փաստաթուղթը՝ 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են ներկայացնում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178027D5" w14:textId="2BA9489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 է տրվում II տիպի հաստատված էական փոփոխությունների իրականացումը սկսել ռեֆերենտ պետության կողմից փոփոխություններն ընդունելու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30 օրացուցային օրվա ընթացքում՝ գրանցման դոսյեի փոփոխությունների համար անհրաժեշտ փաստաթղթերը շահագրգիռ անդամ պետություններին ներկայացնելու պայմանով: Եթե փոփոխություններ կատարելու մասին </w:t>
      </w:r>
      <w:r w:rsidR="0056496B">
        <w:rPr>
          <w:rFonts w:ascii="Sylfaen" w:hAnsi="Sylfaen"/>
          <w:sz w:val="24"/>
          <w:szCs w:val="24"/>
        </w:rPr>
        <w:t>դիմում</w:t>
      </w:r>
      <w:r w:rsidRPr="00826F05">
        <w:rPr>
          <w:rFonts w:ascii="Sylfaen" w:hAnsi="Sylfaen"/>
          <w:sz w:val="24"/>
          <w:szCs w:val="24"/>
        </w:rPr>
        <w:t>ը Փորձագիտական կոմիտե դիմելու առարկա է եղել, փոփոխությունը չի թույլատրվում իրականացնել մինչ</w:t>
      </w:r>
      <w:r w:rsidR="00C54D75">
        <w:rPr>
          <w:rFonts w:ascii="Sylfaen" w:hAnsi="Sylfaen"/>
          <w:sz w:val="24"/>
          <w:szCs w:val="24"/>
        </w:rPr>
        <w:t>և</w:t>
      </w:r>
      <w:r w:rsidRPr="00826F05">
        <w:rPr>
          <w:rFonts w:ascii="Sylfaen" w:hAnsi="Sylfaen"/>
          <w:sz w:val="24"/>
          <w:szCs w:val="24"/>
        </w:rPr>
        <w:t xml:space="preserve"> Փորձագիտական կոմիտեում անհամաձայնությունների կարգավորման ընթացակարգի ավարտը </w:t>
      </w:r>
      <w:r w:rsidR="00C54D75">
        <w:rPr>
          <w:rFonts w:ascii="Sylfaen" w:hAnsi="Sylfaen"/>
          <w:sz w:val="24"/>
          <w:szCs w:val="24"/>
        </w:rPr>
        <w:t>և</w:t>
      </w:r>
      <w:r w:rsidRPr="00826F05">
        <w:rPr>
          <w:rFonts w:ascii="Sylfaen" w:hAnsi="Sylfaen"/>
          <w:sz w:val="24"/>
          <w:szCs w:val="24"/>
        </w:rPr>
        <w:t xml:space="preserve"> դրանց փոփոխման հաստատման կամ մերժման մասին որոշման ընդունումը: Սակայն թույլատրվում է իրականացնել Փորձագիտական կոմիտե դիմելու առարկա չհանդիսացող խմբի փոփոխություն, եթե անդամ պետությունը համաձայնություն է տվել դրան:</w:t>
      </w:r>
    </w:p>
    <w:p w14:paraId="2A84C4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4266320F" w14:textId="7670ADDA"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ռեֆերենտ պետության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659B4921" w14:textId="77777777" w:rsidR="004F5982" w:rsidRPr="00826F05" w:rsidRDefault="004F5982" w:rsidP="00487007">
      <w:pPr>
        <w:tabs>
          <w:tab w:val="left" w:pos="851"/>
        </w:tabs>
        <w:spacing w:after="160" w:line="360" w:lineRule="auto"/>
        <w:ind w:right="-2" w:firstLine="567"/>
        <w:jc w:val="both"/>
        <w:rPr>
          <w:rFonts w:ascii="Sylfaen" w:hAnsi="Sylfaen"/>
          <w:sz w:val="24"/>
          <w:szCs w:val="24"/>
        </w:rPr>
      </w:pPr>
      <w:r w:rsidRPr="00826F05">
        <w:rPr>
          <w:rFonts w:ascii="Sylfaen" w:hAnsi="Sylfaen"/>
          <w:sz w:val="24"/>
          <w:szCs w:val="24"/>
        </w:rPr>
        <w:t>2.3.4.</w:t>
      </w:r>
      <w:r w:rsidRPr="00826F05">
        <w:rPr>
          <w:rFonts w:ascii="Sylfaen" w:hAnsi="Sylfaen"/>
          <w:sz w:val="24"/>
          <w:szCs w:val="24"/>
        </w:rPr>
        <w:tab/>
        <w:t>Դեղամիջոցների գրանցման կանոնների թիվ 19 հավելվածի 1.1.4</w:t>
      </w:r>
      <w:r>
        <w:rPr>
          <w:rFonts w:ascii="Sylfaen" w:hAnsi="Sylfaen"/>
          <w:sz w:val="24"/>
          <w:szCs w:val="24"/>
        </w:rPr>
        <w:t> </w:t>
      </w:r>
      <w:r w:rsidRPr="00826F05">
        <w:rPr>
          <w:rFonts w:ascii="Sylfaen" w:hAnsi="Sylfaen"/>
          <w:sz w:val="24"/>
          <w:szCs w:val="24"/>
        </w:rPr>
        <w:t>ենթակետում նշված II տիպի փոփոխությունների փորձաքննություն:</w:t>
      </w:r>
    </w:p>
    <w:p w14:paraId="11517578" w14:textId="37072384" w:rsidR="004F5982" w:rsidRPr="00826F05" w:rsidRDefault="0056496B" w:rsidP="00487007">
      <w:pPr>
        <w:spacing w:after="160" w:line="360" w:lineRule="auto"/>
        <w:ind w:right="35"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ն թղթային </w:t>
      </w:r>
      <w:r w:rsidR="00C54D75">
        <w:rPr>
          <w:rFonts w:ascii="Sylfaen" w:hAnsi="Sylfaen"/>
          <w:sz w:val="24"/>
          <w:szCs w:val="24"/>
        </w:rPr>
        <w:t>և</w:t>
      </w:r>
      <w:r w:rsidR="004F5982" w:rsidRPr="00826F05">
        <w:rPr>
          <w:rFonts w:ascii="Sylfaen" w:hAnsi="Sylfaen"/>
          <w:sz w:val="24"/>
          <w:szCs w:val="24"/>
        </w:rPr>
        <w:t xml:space="preserve"> (կամ) էլեկտրոնային կրիչով ռեֆերենտ պետության </w:t>
      </w:r>
      <w:r w:rsidR="004F5982" w:rsidRPr="00826F05">
        <w:rPr>
          <w:rFonts w:ascii="Sylfaen" w:hAnsi="Sylfaen"/>
          <w:sz w:val="24"/>
          <w:szCs w:val="24"/>
        </w:rPr>
        <w:lastRenderedPageBreak/>
        <w:t xml:space="preserve">լիազորված մարմին (փորձագիտական կազմակերպություն) է ներկայացնում փոփոխությունների կատարման </w:t>
      </w:r>
      <w:r>
        <w:rPr>
          <w:rFonts w:ascii="Sylfaen" w:hAnsi="Sylfaen"/>
          <w:sz w:val="24"/>
          <w:szCs w:val="24"/>
        </w:rPr>
        <w:t>դիմում</w:t>
      </w:r>
      <w:r w:rsidR="004F5982" w:rsidRPr="00826F05">
        <w:rPr>
          <w:rFonts w:ascii="Sylfaen" w:hAnsi="Sylfaen"/>
          <w:sz w:val="24"/>
          <w:szCs w:val="24"/>
        </w:rPr>
        <w:t xml:space="preserve">ը` Դեղամիջոցների գրանցման կանոնների թիվ 2 հավելվածի համաձայն, կամ փոփոխությունների կատարման վճարի (տուրքի) վճարումը հաստատող փաստաթղթերը՝ անդամ պետությունների օրենսդրությանը համապատասխան հաստատված չափով </w:t>
      </w:r>
      <w:r w:rsidR="00C54D75">
        <w:rPr>
          <w:rFonts w:ascii="Sylfaen" w:hAnsi="Sylfaen"/>
          <w:sz w:val="24"/>
          <w:szCs w:val="24"/>
        </w:rPr>
        <w:t>և</w:t>
      </w:r>
      <w:r w:rsidR="004F5982" w:rsidRPr="00826F05">
        <w:rPr>
          <w:rFonts w:ascii="Sylfaen" w:hAnsi="Sylfaen"/>
          <w:sz w:val="24"/>
          <w:szCs w:val="24"/>
        </w:rPr>
        <w:t xml:space="preserve"> կարգով, ինչպես նա</w:t>
      </w:r>
      <w:r w:rsidR="00C54D75">
        <w:rPr>
          <w:rFonts w:ascii="Sylfaen" w:hAnsi="Sylfaen"/>
          <w:sz w:val="24"/>
          <w:szCs w:val="24"/>
        </w:rPr>
        <w:t>և</w:t>
      </w:r>
      <w:r w:rsidR="004F5982" w:rsidRPr="00826F05">
        <w:rPr>
          <w:rFonts w:ascii="Sylfaen" w:hAnsi="Sylfaen"/>
          <w:sz w:val="24"/>
          <w:szCs w:val="24"/>
        </w:rPr>
        <w:t xml:space="preserve"> սույն կանոնների 2.3.1 ենթակետում թվարկված տարրերը պարունակող փոփոխության (ծանուցման) դոսյեն:</w:t>
      </w:r>
    </w:p>
    <w:p w14:paraId="7D144772" w14:textId="399A4CA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Անհրաժեշտության դեպքում </w:t>
      </w:r>
      <w:r w:rsidR="00C54D75">
        <w:rPr>
          <w:rFonts w:ascii="Sylfaen" w:hAnsi="Sylfaen"/>
          <w:sz w:val="24"/>
          <w:szCs w:val="24"/>
        </w:rPr>
        <w:t>և</w:t>
      </w:r>
      <w:r w:rsidRPr="00826F05">
        <w:rPr>
          <w:rFonts w:ascii="Sylfaen" w:hAnsi="Sylfaen"/>
          <w:sz w:val="24"/>
          <w:szCs w:val="24"/>
        </w:rPr>
        <w:t xml:space="preserve"> փորձագիտական կազմակերպության հետ համաձայնությամբ </w:t>
      </w:r>
      <w:r w:rsidR="0056496B">
        <w:rPr>
          <w:rFonts w:ascii="Sylfaen" w:hAnsi="Sylfaen"/>
          <w:sz w:val="24"/>
          <w:szCs w:val="24"/>
        </w:rPr>
        <w:t>դիմումատու</w:t>
      </w:r>
      <w:r w:rsidRPr="00826F05">
        <w:rPr>
          <w:rFonts w:ascii="Sylfaen" w:hAnsi="Sylfaen"/>
          <w:sz w:val="24"/>
          <w:szCs w:val="24"/>
        </w:rPr>
        <w:t xml:space="preserve">ն ռեֆերենտ պետության լիազորված մարմին (փորձագիտական կազմակերպություն) է ներկայացնում դեղապատրաստուկների նմուշները, ակտիվ դեղագործական բաղադրամասերի </w:t>
      </w:r>
      <w:r w:rsidR="00C54D75">
        <w:rPr>
          <w:rFonts w:ascii="Sylfaen" w:hAnsi="Sylfaen"/>
          <w:sz w:val="24"/>
          <w:szCs w:val="24"/>
        </w:rPr>
        <w:t>և</w:t>
      </w:r>
      <w:r w:rsidRPr="00826F05">
        <w:rPr>
          <w:rFonts w:ascii="Sylfaen" w:hAnsi="Sylfaen"/>
          <w:sz w:val="24"/>
          <w:szCs w:val="24"/>
        </w:rPr>
        <w:t xml:space="preserve"> հարակից խառնուկների ստանդարտ նմուշները, սպեցիֆիկ ռեագենտները </w:t>
      </w:r>
      <w:r w:rsidR="00C54D75">
        <w:rPr>
          <w:rFonts w:ascii="Sylfaen" w:hAnsi="Sylfaen"/>
          <w:sz w:val="24"/>
          <w:szCs w:val="24"/>
        </w:rPr>
        <w:t>և</w:t>
      </w:r>
      <w:r w:rsidRPr="00826F05">
        <w:rPr>
          <w:rFonts w:ascii="Sylfaen" w:hAnsi="Sylfaen"/>
          <w:sz w:val="24"/>
          <w:szCs w:val="24"/>
        </w:rPr>
        <w:t xml:space="preserve"> լաբորատոր փորձարկումներ անցկացնելու համար անհրաժեշտ մյուս նյութերը:</w:t>
      </w:r>
    </w:p>
    <w:p w14:paraId="0E05CBDD" w14:textId="68C834A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մարմինը (փորձագիտական կազմակերպությունը) ոչ ուշ, քան փոփոխությունների կատարման </w:t>
      </w:r>
      <w:r w:rsidR="0056496B">
        <w:rPr>
          <w:rFonts w:ascii="Sylfaen" w:hAnsi="Sylfaen"/>
          <w:sz w:val="24"/>
          <w:szCs w:val="24"/>
        </w:rPr>
        <w:t>դիմում</w:t>
      </w:r>
      <w:r w:rsidRPr="00826F05">
        <w:rPr>
          <w:rFonts w:ascii="Sylfaen" w:hAnsi="Sylfaen"/>
          <w:sz w:val="24"/>
          <w:szCs w:val="24"/>
        </w:rPr>
        <w:t xml:space="preserve">ը ռեֆերենտ պետություն ներկայացնելու օրվանից 14 աշխատանքային օրվա ընթացքում իրականացնում է ներկայացված փաստաթղթերի ամբողջականության, լրակազմության </w:t>
      </w:r>
      <w:r w:rsidR="00C54D75">
        <w:rPr>
          <w:rFonts w:ascii="Sylfaen" w:hAnsi="Sylfaen"/>
          <w:sz w:val="24"/>
          <w:szCs w:val="24"/>
        </w:rPr>
        <w:t>և</w:t>
      </w:r>
      <w:r w:rsidRPr="00826F05">
        <w:rPr>
          <w:rFonts w:ascii="Sylfaen" w:hAnsi="Sylfaen"/>
          <w:sz w:val="24"/>
          <w:szCs w:val="24"/>
        </w:rPr>
        <w:t xml:space="preserve"> ճիշտ ձ</w:t>
      </w:r>
      <w:r w:rsidR="00C54D75">
        <w:rPr>
          <w:rFonts w:ascii="Sylfaen" w:hAnsi="Sylfaen"/>
          <w:sz w:val="24"/>
          <w:szCs w:val="24"/>
        </w:rPr>
        <w:t>և</w:t>
      </w:r>
      <w:r w:rsidRPr="00826F05">
        <w:rPr>
          <w:rFonts w:ascii="Sylfaen" w:hAnsi="Sylfaen"/>
          <w:sz w:val="24"/>
          <w:szCs w:val="24"/>
        </w:rPr>
        <w:t>ակերպման գնահատում՝ սույն կանոնների 2.3.1</w:t>
      </w:r>
      <w:r>
        <w:rPr>
          <w:rFonts w:ascii="Sylfaen" w:hAnsi="Sylfaen"/>
          <w:sz w:val="24"/>
          <w:szCs w:val="24"/>
        </w:rPr>
        <w:t> </w:t>
      </w:r>
      <w:r w:rsidRPr="00826F05">
        <w:rPr>
          <w:rFonts w:ascii="Sylfaen" w:hAnsi="Sylfaen"/>
          <w:sz w:val="24"/>
          <w:szCs w:val="24"/>
        </w:rPr>
        <w:t xml:space="preserve">ենթակետին համապատասխան։ Եթե </w:t>
      </w:r>
      <w:r w:rsidR="0056496B">
        <w:rPr>
          <w:rFonts w:ascii="Sylfaen" w:hAnsi="Sylfaen"/>
          <w:sz w:val="24"/>
          <w:szCs w:val="24"/>
        </w:rPr>
        <w:t>դիմում</w:t>
      </w:r>
      <w:r w:rsidRPr="00826F05">
        <w:rPr>
          <w:rFonts w:ascii="Sylfaen" w:hAnsi="Sylfaen"/>
          <w:sz w:val="24"/>
          <w:szCs w:val="24"/>
        </w:rPr>
        <w:t xml:space="preserve">ը բավարարում է սույն կանոնների 2.3.1 ենթակետով սահմանված պահանջները, ապա լիազորված մարմինը (փորձագիտական կազմակերպությունը) հաստատում է վավեր </w:t>
      </w:r>
      <w:r w:rsidR="0056496B">
        <w:rPr>
          <w:rFonts w:ascii="Sylfaen" w:hAnsi="Sylfaen"/>
          <w:sz w:val="24"/>
          <w:szCs w:val="24"/>
        </w:rPr>
        <w:t>դիմում</w:t>
      </w:r>
      <w:r w:rsidRPr="00826F05">
        <w:rPr>
          <w:rFonts w:ascii="Sylfaen" w:hAnsi="Sylfaen"/>
          <w:sz w:val="24"/>
          <w:szCs w:val="24"/>
        </w:rPr>
        <w:t>ի ստացումը:</w:t>
      </w:r>
    </w:p>
    <w:p w14:paraId="0F6AA30C" w14:textId="0008593E"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կազմակերպության) դիտողությունների հիման վրա գրանցման դոսյեի պակասող նյութերը ներկայացնելու համար </w:t>
      </w:r>
      <w:r w:rsidR="0056496B">
        <w:rPr>
          <w:rFonts w:ascii="Sylfaen" w:hAnsi="Sylfaen"/>
          <w:sz w:val="24"/>
          <w:szCs w:val="24"/>
        </w:rPr>
        <w:t>դիմումատու</w:t>
      </w:r>
      <w:r w:rsidRPr="00826F05">
        <w:rPr>
          <w:rFonts w:ascii="Sylfaen" w:hAnsi="Sylfaen"/>
          <w:sz w:val="24"/>
          <w:szCs w:val="24"/>
        </w:rPr>
        <w:t xml:space="preserve">ին տրամադրվում է 90 օրացուցային օրվանից ոչ ավելի, որը չի մտնում դեղապատրաստուկի փորձաքննության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ընթացակարգի ժամկետի մեջ։</w:t>
      </w:r>
    </w:p>
    <w:p w14:paraId="08FDBAF6" w14:textId="5175EE0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Ռեֆերենտ պետության լիազորված մարմնի (փորձագիտական </w:t>
      </w:r>
      <w:r w:rsidRPr="00826F05">
        <w:rPr>
          <w:rFonts w:ascii="Sylfaen" w:hAnsi="Sylfaen"/>
          <w:sz w:val="24"/>
          <w:szCs w:val="24"/>
        </w:rPr>
        <w:lastRenderedPageBreak/>
        <w:t xml:space="preserve">կազմակերպության) դիտողությունների հիման վրա նյութերը չներկայացնելու </w:t>
      </w:r>
      <w:r w:rsidR="00C54D75">
        <w:rPr>
          <w:rFonts w:ascii="Sylfaen" w:hAnsi="Sylfaen"/>
          <w:sz w:val="24"/>
          <w:szCs w:val="24"/>
        </w:rPr>
        <w:t>և</w:t>
      </w:r>
      <w:r w:rsidRPr="00826F05">
        <w:rPr>
          <w:rFonts w:ascii="Sylfaen" w:hAnsi="Sylfaen"/>
          <w:sz w:val="24"/>
          <w:szCs w:val="24"/>
        </w:rPr>
        <w:t xml:space="preserve"> (կամ) անդամ պետության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փոփոխություններ կատարելու վճարի (տուրքի) վճարումը չհաստատելու դեպքում ռեֆերենտ պետության լիազորված մարմինը (փորձագիտական կազմակերպությունը) մերժում է գրանցման դոսյեի մեջ փոփոխություններ կատարելու </w:t>
      </w:r>
      <w:r w:rsidR="0056496B">
        <w:rPr>
          <w:rFonts w:ascii="Sylfaen" w:hAnsi="Sylfaen"/>
          <w:sz w:val="24"/>
          <w:szCs w:val="24"/>
        </w:rPr>
        <w:t>դիմում</w:t>
      </w:r>
      <w:r w:rsidRPr="00826F05">
        <w:rPr>
          <w:rFonts w:ascii="Sylfaen" w:hAnsi="Sylfaen"/>
          <w:sz w:val="24"/>
          <w:szCs w:val="24"/>
        </w:rPr>
        <w:t>ը։</w:t>
      </w:r>
    </w:p>
    <w:p w14:paraId="08FA1A4E" w14:textId="71BD215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Փոփոխությունների կատարման </w:t>
      </w:r>
      <w:r w:rsidR="0056496B">
        <w:rPr>
          <w:rFonts w:ascii="Sylfaen" w:hAnsi="Sylfaen"/>
          <w:sz w:val="24"/>
          <w:szCs w:val="24"/>
        </w:rPr>
        <w:t>դիմում</w:t>
      </w:r>
      <w:r w:rsidRPr="00826F05">
        <w:rPr>
          <w:rFonts w:ascii="Sylfaen" w:hAnsi="Sylfaen"/>
          <w:sz w:val="24"/>
          <w:szCs w:val="24"/>
        </w:rPr>
        <w:t>ը ստանալու օրվանից ոչ ուշ, քան 60</w:t>
      </w:r>
      <w:r>
        <w:rPr>
          <w:rFonts w:ascii="Sylfaen" w:hAnsi="Sylfaen"/>
          <w:sz w:val="24"/>
          <w:szCs w:val="24"/>
        </w:rPr>
        <w:t> </w:t>
      </w:r>
      <w:r w:rsidRPr="00826F05">
        <w:rPr>
          <w:rFonts w:ascii="Sylfaen" w:hAnsi="Sylfaen"/>
          <w:sz w:val="24"/>
          <w:szCs w:val="24"/>
        </w:rPr>
        <w:t xml:space="preserve">օրացուցային օրվակընթացքում լիազորված մարմինը (փորձագիտական կազմակերպությունը) պետք է ավարտի դեղապատրաստուկի փորձաքննությունը </w:t>
      </w:r>
      <w:r w:rsidR="00C54D75">
        <w:rPr>
          <w:rFonts w:ascii="Sylfaen" w:hAnsi="Sylfaen"/>
          <w:sz w:val="24"/>
          <w:szCs w:val="24"/>
        </w:rPr>
        <w:t>և</w:t>
      </w:r>
      <w:r w:rsidRPr="00826F05">
        <w:rPr>
          <w:rFonts w:ascii="Sylfaen" w:hAnsi="Sylfaen"/>
          <w:sz w:val="24"/>
          <w:szCs w:val="24"/>
        </w:rPr>
        <w:t xml:space="preserve"> պատրաստի գնահատման վերաբերյալ փորձագիտական հաշվետվություն:</w:t>
      </w:r>
    </w:p>
    <w:p w14:paraId="7DCFD8E1" w14:textId="77777777"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sz w:val="24"/>
          <w:szCs w:val="24"/>
        </w:rPr>
        <w:t>Լիազորված մարմինը (փորձագիտական կազմակերպությունը) իրավունք ունի կրճատելու տվյալ ժամկետը՝ հաշվի առնելով հարցի հրատապությունը,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փոփոխության արդյունքում առաջացած ցուցումների կամ կիրառման նոր ցուցումներ ներառելու կամ փոփոխությունների խմբի դեպքում՝ սույն</w:t>
      </w:r>
      <w:r>
        <w:rPr>
          <w:rFonts w:ascii="Sylfaen" w:hAnsi="Sylfaen"/>
          <w:sz w:val="24"/>
          <w:szCs w:val="24"/>
        </w:rPr>
        <w:t> </w:t>
      </w:r>
      <w:r w:rsidRPr="00826F05">
        <w:rPr>
          <w:rFonts w:ascii="Sylfaen" w:hAnsi="Sylfaen"/>
          <w:sz w:val="24"/>
          <w:szCs w:val="24"/>
        </w:rPr>
        <w:t>կանոնների 3.4.2 ենթակետի չորրորդ պարբերությանը համապատասխան:</w:t>
      </w:r>
    </w:p>
    <w:p w14:paraId="29C038EF" w14:textId="4BCA86A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ընթացքում լիազորված մարմինը (փորձագիտական կազմակերպությունը) իրավունք ունի պակասող լրացուցիչ տեղեկատվության, ներկայացված փաստաթղթերի </w:t>
      </w:r>
      <w:r w:rsidR="00C54D75">
        <w:rPr>
          <w:rFonts w:ascii="Sylfaen" w:hAnsi="Sylfaen"/>
          <w:sz w:val="24"/>
          <w:szCs w:val="24"/>
        </w:rPr>
        <w:t>և</w:t>
      </w:r>
      <w:r w:rsidRPr="00826F05">
        <w:rPr>
          <w:rFonts w:ascii="Sylfaen" w:hAnsi="Sylfaen"/>
          <w:sz w:val="24"/>
          <w:szCs w:val="24"/>
        </w:rPr>
        <w:t xml:space="preserve"> գրանցման դոսյեի տվյալների անհրաժեշտ պարզաբանումների կամ ճշգրտումների (այդ</w:t>
      </w:r>
      <w:r>
        <w:rPr>
          <w:rFonts w:ascii="Sylfaen" w:hAnsi="Sylfaen"/>
          <w:sz w:val="24"/>
          <w:szCs w:val="24"/>
        </w:rPr>
        <w:t> </w:t>
      </w:r>
      <w:r w:rsidRPr="00826F05">
        <w:rPr>
          <w:rFonts w:ascii="Sylfaen" w:hAnsi="Sylfaen"/>
          <w:sz w:val="24"/>
          <w:szCs w:val="24"/>
        </w:rPr>
        <w:t>թվում՝</w:t>
      </w:r>
      <w:r>
        <w:rPr>
          <w:rFonts w:ascii="Sylfaen" w:hAnsi="Sylfaen"/>
          <w:sz w:val="24"/>
          <w:szCs w:val="24"/>
        </w:rPr>
        <w:t> </w:t>
      </w:r>
      <w:r w:rsidRPr="00826F05">
        <w:rPr>
          <w:rFonts w:ascii="Sylfaen" w:hAnsi="Sylfaen"/>
          <w:sz w:val="24"/>
          <w:szCs w:val="24"/>
        </w:rPr>
        <w:t xml:space="preserve">դեղապատրաստուկի ընդհանուր բնութագրում, բժշկական կիրառման հրահանգում, դեղապատրաստուկի փաթեթվածքի մանրակերտերում, որակի նորմատիվ փաստաթղթում կամ գրանցման դոսյեի այլ փաստաթղթերում փոփոխություններ կատարելու առաջարկությունների) մասին </w:t>
      </w:r>
      <w:r w:rsidR="0056496B">
        <w:rPr>
          <w:rFonts w:ascii="Sylfaen" w:hAnsi="Sylfaen"/>
          <w:sz w:val="24"/>
          <w:szCs w:val="24"/>
        </w:rPr>
        <w:t>դիմումատու</w:t>
      </w:r>
      <w:r w:rsidRPr="00826F05">
        <w:rPr>
          <w:rFonts w:ascii="Sylfaen" w:hAnsi="Sylfaen"/>
          <w:sz w:val="24"/>
          <w:szCs w:val="24"/>
        </w:rPr>
        <w:t xml:space="preserve">ին գրավոր </w:t>
      </w:r>
      <w:r w:rsidR="00C54D75">
        <w:rPr>
          <w:rFonts w:ascii="Sylfaen" w:hAnsi="Sylfaen"/>
          <w:sz w:val="24"/>
          <w:szCs w:val="24"/>
        </w:rPr>
        <w:t>և</w:t>
      </w:r>
      <w:r w:rsidRPr="00826F05">
        <w:rPr>
          <w:rFonts w:ascii="Sylfaen" w:hAnsi="Sylfaen"/>
          <w:sz w:val="24"/>
          <w:szCs w:val="24"/>
        </w:rPr>
        <w:t xml:space="preserve"> (կամ) էլեկտրոնային եղանակով հարցում ուղարկել:</w:t>
      </w:r>
    </w:p>
    <w:p w14:paraId="4E54F2C7" w14:textId="06842D2B"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կողմից նշված հարցմանը պատասխան ներկայացնելու ժամկետը չպետք է գերազանցի 90 օրացուցային օրը:</w:t>
      </w:r>
    </w:p>
    <w:p w14:paraId="2BF2A0D9" w14:textId="0E7D9704" w:rsidR="004F5982" w:rsidRPr="00826F05" w:rsidRDefault="0056496B" w:rsidP="00487007">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լիազորված մարմնի կամ փորձագիտական </w:t>
      </w:r>
      <w:r w:rsidR="004F5982" w:rsidRPr="00826F05">
        <w:rPr>
          <w:rFonts w:ascii="Sylfaen" w:hAnsi="Sylfaen"/>
          <w:sz w:val="24"/>
          <w:szCs w:val="24"/>
        </w:rPr>
        <w:lastRenderedPageBreak/>
        <w:t>կազմակերպության հարցմամբ փաստաթղթեր ներկայացնելու ժամանակը չի</w:t>
      </w:r>
      <w:r w:rsidR="004F5982">
        <w:rPr>
          <w:rFonts w:ascii="Sylfaen" w:hAnsi="Sylfaen"/>
          <w:sz w:val="24"/>
          <w:szCs w:val="24"/>
        </w:rPr>
        <w:t> </w:t>
      </w:r>
      <w:r w:rsidR="004F5982" w:rsidRPr="00826F05">
        <w:rPr>
          <w:rFonts w:ascii="Sylfaen" w:hAnsi="Sylfaen"/>
          <w:sz w:val="24"/>
          <w:szCs w:val="24"/>
        </w:rPr>
        <w:t>մտնում փորձաքննությունն ու փոփոխությունների կատարման ընթացակարգն իրականացնելու ժամկետի մեջ:</w:t>
      </w:r>
    </w:p>
    <w:p w14:paraId="16117588" w14:textId="64FD9F56"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Պահանջված փաստաթղթերը </w:t>
      </w:r>
      <w:r w:rsidR="00C54D75">
        <w:rPr>
          <w:rFonts w:ascii="Sylfaen" w:hAnsi="Sylfaen"/>
          <w:sz w:val="24"/>
          <w:szCs w:val="24"/>
        </w:rPr>
        <w:t>և</w:t>
      </w:r>
      <w:r w:rsidRPr="00826F05">
        <w:rPr>
          <w:rFonts w:ascii="Sylfaen" w:hAnsi="Sylfaen"/>
          <w:sz w:val="24"/>
          <w:szCs w:val="24"/>
        </w:rPr>
        <w:t xml:space="preserve"> տվյալները </w:t>
      </w:r>
      <w:r w:rsidR="0056496B">
        <w:rPr>
          <w:rFonts w:ascii="Sylfaen" w:hAnsi="Sylfaen"/>
          <w:sz w:val="24"/>
          <w:szCs w:val="24"/>
        </w:rPr>
        <w:t>դիմումատու</w:t>
      </w:r>
      <w:r w:rsidRPr="00826F05">
        <w:rPr>
          <w:rFonts w:ascii="Sylfaen" w:hAnsi="Sylfaen"/>
          <w:sz w:val="24"/>
          <w:szCs w:val="24"/>
        </w:rPr>
        <w:t xml:space="preserve">ի կողմից սահմանված ժամկետում չներկայացվելու դեպքում փորձաքննությունը </w:t>
      </w:r>
      <w:r w:rsidR="00C54D75">
        <w:rPr>
          <w:rFonts w:ascii="Sylfaen" w:hAnsi="Sylfaen"/>
          <w:sz w:val="24"/>
          <w:szCs w:val="24"/>
        </w:rPr>
        <w:t>և</w:t>
      </w:r>
      <w:r w:rsidRPr="00826F05">
        <w:rPr>
          <w:rFonts w:ascii="Sylfaen" w:hAnsi="Sylfaen"/>
          <w:sz w:val="24"/>
          <w:szCs w:val="24"/>
        </w:rPr>
        <w:t xml:space="preserve"> փոփոխությունների կատարման ընթացակարգը դադարեցվում են: Կայացրած որոշման մասին ռեֆերենտ պետության լիազորված մարմինը </w:t>
      </w:r>
      <w:r w:rsidRPr="004D10E2">
        <w:rPr>
          <w:rFonts w:ascii="Sylfaen" w:hAnsi="Sylfaen"/>
          <w:spacing w:val="-6"/>
          <w:sz w:val="24"/>
          <w:szCs w:val="24"/>
        </w:rPr>
        <w:t xml:space="preserve">(փորձագիտական կազմակերպությունը) այդ որոշումը կայացնելու օրվանից </w:t>
      </w:r>
      <w:r w:rsidRPr="00826F05">
        <w:rPr>
          <w:rFonts w:ascii="Sylfaen" w:hAnsi="Sylfaen"/>
          <w:sz w:val="24"/>
          <w:szCs w:val="24"/>
        </w:rPr>
        <w:t xml:space="preserve">10 աշխատանքային օրվա ընթացքում գրավոր </w:t>
      </w:r>
      <w:r w:rsidR="00C54D75">
        <w:rPr>
          <w:rFonts w:ascii="Sylfaen" w:hAnsi="Sylfaen"/>
          <w:sz w:val="24"/>
          <w:szCs w:val="24"/>
        </w:rPr>
        <w:t>և</w:t>
      </w:r>
      <w:r w:rsidRPr="00826F05">
        <w:rPr>
          <w:rFonts w:ascii="Sylfaen" w:hAnsi="Sylfaen"/>
          <w:sz w:val="24"/>
          <w:szCs w:val="24"/>
        </w:rPr>
        <w:t xml:space="preserve"> էլեկտրոնային եղանակով տեղեկացնում է </w:t>
      </w:r>
      <w:r w:rsidR="0056496B">
        <w:rPr>
          <w:rFonts w:ascii="Sylfaen" w:hAnsi="Sylfaen"/>
          <w:sz w:val="24"/>
          <w:szCs w:val="24"/>
        </w:rPr>
        <w:t>դիմումատու</w:t>
      </w:r>
      <w:r w:rsidRPr="00826F05">
        <w:rPr>
          <w:rFonts w:ascii="Sylfaen" w:hAnsi="Sylfaen"/>
          <w:sz w:val="24"/>
          <w:szCs w:val="24"/>
        </w:rPr>
        <w:t>ին:</w:t>
      </w:r>
    </w:p>
    <w:p w14:paraId="36D6ADEF" w14:textId="77777777" w:rsidR="004F5982" w:rsidRPr="00B97567" w:rsidRDefault="004F5982" w:rsidP="00487007">
      <w:pPr>
        <w:tabs>
          <w:tab w:val="left" w:pos="1701"/>
        </w:tabs>
        <w:spacing w:after="160" w:line="360" w:lineRule="auto"/>
        <w:ind w:right="-2" w:firstLine="567"/>
        <w:jc w:val="both"/>
        <w:rPr>
          <w:rFonts w:ascii="Sylfaen" w:eastAsia="Times New Roman" w:hAnsi="Sylfaen" w:cs="Times New Roman"/>
          <w:spacing w:val="-6"/>
          <w:sz w:val="24"/>
          <w:szCs w:val="24"/>
        </w:rPr>
      </w:pPr>
      <w:r w:rsidRPr="00826F05">
        <w:rPr>
          <w:rFonts w:ascii="Sylfaen" w:hAnsi="Sylfaen"/>
          <w:sz w:val="24"/>
          <w:szCs w:val="24"/>
        </w:rPr>
        <w:t>2.3.5.</w:t>
      </w:r>
      <w:r w:rsidRPr="00826F05">
        <w:rPr>
          <w:rFonts w:ascii="Sylfaen" w:hAnsi="Sylfaen"/>
          <w:sz w:val="24"/>
          <w:szCs w:val="24"/>
        </w:rPr>
        <w:tab/>
        <w:t>Դեղամիջոցների գրանցման կանոնների թիվ 19 հավելվածի 1.1</w:t>
      </w:r>
      <w:r w:rsidRPr="00B97567">
        <w:rPr>
          <w:rFonts w:ascii="Sylfaen" w:hAnsi="Sylfaen"/>
          <w:spacing w:val="-6"/>
          <w:sz w:val="24"/>
          <w:szCs w:val="24"/>
        </w:rPr>
        <w:t>.4 ենթակետում նշված II տիպի փոփոխությունների փորձաքննությունն ավարտելը:</w:t>
      </w:r>
    </w:p>
    <w:p w14:paraId="64DB8742" w14:textId="770E2DD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Դեղապատրաստուկի փորձաքննության ժամկետի ավարտին լիազորված մարմինը (փորձագիտական կազմակերպությունը) </w:t>
      </w:r>
      <w:r w:rsidR="0056496B">
        <w:rPr>
          <w:rFonts w:ascii="Sylfaen" w:hAnsi="Sylfaen"/>
          <w:sz w:val="24"/>
          <w:szCs w:val="24"/>
        </w:rPr>
        <w:t>դիմում</w:t>
      </w:r>
      <w:r w:rsidRPr="00826F05">
        <w:rPr>
          <w:rFonts w:ascii="Sylfaen" w:hAnsi="Sylfaen"/>
          <w:sz w:val="24"/>
          <w:szCs w:val="24"/>
        </w:rPr>
        <w:t xml:space="preserve">ի մասին որոշում է պատրաստում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ծանուցում է փոփոխության հաստատման կամ մերժման մասին (այդ թվում՝ հիմնավորելով բացասական եզրակացությունը):</w:t>
      </w:r>
    </w:p>
    <w:p w14:paraId="54E0DC39" w14:textId="7EE3B81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մեկ </w:t>
      </w:r>
      <w:r w:rsidR="0056496B">
        <w:rPr>
          <w:rFonts w:ascii="Sylfaen" w:hAnsi="Sylfaen"/>
          <w:sz w:val="24"/>
          <w:szCs w:val="24"/>
        </w:rPr>
        <w:t>դիմում</w:t>
      </w:r>
      <w:r w:rsidRPr="00826F05">
        <w:rPr>
          <w:rFonts w:ascii="Sylfaen" w:hAnsi="Sylfaen"/>
          <w:sz w:val="24"/>
          <w:szCs w:val="24"/>
        </w:rPr>
        <w:t xml:space="preserve">ի շրջանակներում ներկայացվել է մի քանի II տիպի փոփոխություններ կամ II տիպի փոփոխությունների խումբ այլ ոչ էական </w:t>
      </w:r>
      <w:r w:rsidRPr="00B97567">
        <w:rPr>
          <w:rFonts w:ascii="Sylfaen" w:hAnsi="Sylfaen"/>
          <w:spacing w:val="6"/>
          <w:sz w:val="24"/>
          <w:szCs w:val="24"/>
        </w:rPr>
        <w:t xml:space="preserve">փոփոխությունների հետ միասին, լիազորված մարմինը (փորձագիտական կազմակերպությունը) </w:t>
      </w:r>
      <w:r w:rsidR="0056496B">
        <w:rPr>
          <w:rFonts w:ascii="Sylfaen" w:hAnsi="Sylfaen"/>
          <w:spacing w:val="6"/>
          <w:sz w:val="24"/>
          <w:szCs w:val="24"/>
        </w:rPr>
        <w:t>դիմումատու</w:t>
      </w:r>
      <w:r w:rsidRPr="00B97567">
        <w:rPr>
          <w:rFonts w:ascii="Sylfaen" w:hAnsi="Sylfaen"/>
          <w:spacing w:val="6"/>
          <w:sz w:val="24"/>
          <w:szCs w:val="24"/>
        </w:rPr>
        <w:t xml:space="preserve">ին ծանուցում է, թե դրանցից որոնք են ընդունվել </w:t>
      </w:r>
      <w:r w:rsidR="00C54D75">
        <w:rPr>
          <w:rFonts w:ascii="Sylfaen" w:hAnsi="Sylfaen"/>
          <w:spacing w:val="6"/>
          <w:sz w:val="24"/>
          <w:szCs w:val="24"/>
        </w:rPr>
        <w:t>և</w:t>
      </w:r>
      <w:r w:rsidRPr="00B97567">
        <w:rPr>
          <w:rFonts w:ascii="Sylfaen" w:hAnsi="Sylfaen"/>
          <w:spacing w:val="6"/>
          <w:sz w:val="24"/>
          <w:szCs w:val="24"/>
        </w:rPr>
        <w:t xml:space="preserve"> մերժվել: Ընթացակարգի ընթացքում</w:t>
      </w:r>
      <w:r w:rsidRPr="00826F05">
        <w:rPr>
          <w:rFonts w:ascii="Sylfaen" w:hAnsi="Sylfaen"/>
          <w:sz w:val="24"/>
          <w:szCs w:val="24"/>
        </w:rPr>
        <w:t xml:space="preserve"> (մինչ</w:t>
      </w:r>
      <w:r w:rsidR="00C54D75">
        <w:rPr>
          <w:rFonts w:ascii="Sylfaen" w:hAnsi="Sylfaen"/>
          <w:sz w:val="24"/>
          <w:szCs w:val="24"/>
        </w:rPr>
        <w:t>և</w:t>
      </w:r>
      <w:r w:rsidRPr="00826F05">
        <w:rPr>
          <w:rFonts w:ascii="Sylfaen" w:hAnsi="Sylfaen"/>
          <w:sz w:val="24"/>
          <w:szCs w:val="24"/>
        </w:rPr>
        <w:t xml:space="preserve"> ռեֆերենտ պետության լիազորված մարմնի (փորձագիտական կազմակերպության) կողմից փորձաքննության ավարտը) </w:t>
      </w:r>
      <w:r w:rsidR="0056496B">
        <w:rPr>
          <w:rFonts w:ascii="Sylfaen" w:hAnsi="Sylfaen"/>
          <w:sz w:val="24"/>
          <w:szCs w:val="24"/>
        </w:rPr>
        <w:t>դիմումատու</w:t>
      </w:r>
      <w:r w:rsidRPr="00826F05">
        <w:rPr>
          <w:rFonts w:ascii="Sylfaen" w:hAnsi="Sylfaen"/>
          <w:sz w:val="24"/>
          <w:szCs w:val="24"/>
        </w:rPr>
        <w:t xml:space="preserve">ն իրավունք ունի խմբավորված </w:t>
      </w:r>
      <w:r w:rsidR="0056496B">
        <w:rPr>
          <w:rFonts w:ascii="Sylfaen" w:hAnsi="Sylfaen"/>
          <w:sz w:val="24"/>
          <w:szCs w:val="24"/>
        </w:rPr>
        <w:t>դիմում</w:t>
      </w:r>
      <w:r w:rsidRPr="00826F05">
        <w:rPr>
          <w:rFonts w:ascii="Sylfaen" w:hAnsi="Sylfaen"/>
          <w:sz w:val="24"/>
          <w:szCs w:val="24"/>
        </w:rPr>
        <w:t xml:space="preserve">ից հանելու եզակի փոփոխությունները: </w:t>
      </w:r>
    </w:p>
    <w:p w14:paraId="516D4A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Փոփոխությունը հաստատելուց հետո լիազորված մարմինն անհրաժեշտության դեպքում գրանցման դոսյեում փոփոխություններն արտացոլելու նպատակով 60 օրացուցային օրվա ընթացքում ուղղում է գրանցման դոսյեն՝ գրանցման դոսյեի փոփոխության համար անհրաժեշտ փաստաթղթերը լիազորված մարմին (փորձագիտական կազմակերպություն) ներկայացնելու </w:t>
      </w:r>
      <w:r w:rsidRPr="00826F05">
        <w:rPr>
          <w:rFonts w:ascii="Sylfaen" w:hAnsi="Sylfaen"/>
          <w:sz w:val="24"/>
          <w:szCs w:val="24"/>
        </w:rPr>
        <w:lastRenderedPageBreak/>
        <w:t>պայմանով:</w:t>
      </w:r>
    </w:p>
    <w:p w14:paraId="68C0A7A7" w14:textId="0F3919F5" w:rsidR="004F5982" w:rsidRPr="00826F05" w:rsidRDefault="004F5982" w:rsidP="00487007">
      <w:pPr>
        <w:spacing w:after="160" w:line="360" w:lineRule="auto"/>
        <w:ind w:right="33" w:firstLine="567"/>
        <w:jc w:val="both"/>
        <w:rPr>
          <w:rFonts w:ascii="Sylfaen" w:eastAsia="Times New Roman" w:hAnsi="Sylfaen" w:cs="Times New Roman"/>
          <w:sz w:val="24"/>
          <w:szCs w:val="24"/>
        </w:rPr>
      </w:pPr>
      <w:r w:rsidRPr="00B97567">
        <w:rPr>
          <w:rFonts w:ascii="Sylfaen" w:hAnsi="Sylfaen"/>
          <w:spacing w:val="-6"/>
          <w:sz w:val="24"/>
          <w:szCs w:val="24"/>
        </w:rPr>
        <w:t xml:space="preserve">Այն դեպքում, երբ, Դեղամիջոցների գրանցման կանոնների թիվ 19 </w:t>
      </w:r>
      <w:r w:rsidRPr="00826F05">
        <w:rPr>
          <w:rFonts w:ascii="Sylfaen" w:hAnsi="Sylfaen"/>
          <w:sz w:val="24"/>
          <w:szCs w:val="24"/>
        </w:rPr>
        <w:t>հավելվածի 1.6 ենթակետի համաձայն, փոփոխությունները հանգեցնում են դեղապատրաստուկի մասին տեղեկատվության վերանայման, ռեֆերենտ պետության լիազորված մարմինը փորձաքննությունն ավարտելու օրվանից 30</w:t>
      </w:r>
      <w:r>
        <w:rPr>
          <w:rFonts w:ascii="Sylfaen" w:hAnsi="Sylfaen"/>
          <w:sz w:val="24"/>
          <w:szCs w:val="24"/>
        </w:rPr>
        <w:t> </w:t>
      </w:r>
      <w:r w:rsidRPr="00826F05">
        <w:rPr>
          <w:rFonts w:ascii="Sylfaen" w:hAnsi="Sylfaen"/>
          <w:sz w:val="24"/>
          <w:szCs w:val="24"/>
        </w:rPr>
        <w:t xml:space="preserve">աշխատանքային օրը չգերազանցող ժամկետում Միության միասնական ռեեստրում տեղադրում է փոփոխություններ կատարելու մասին տեղեկությունները՝ կից ներկայացնելով դեղապատրաստուկի փոփոխված </w:t>
      </w:r>
      <w:r w:rsidR="00C54D75">
        <w:rPr>
          <w:rFonts w:ascii="Sylfaen" w:hAnsi="Sylfaen"/>
          <w:sz w:val="24"/>
          <w:szCs w:val="24"/>
        </w:rPr>
        <w:t>և</w:t>
      </w:r>
      <w:r w:rsidRPr="00826F05">
        <w:rPr>
          <w:rFonts w:ascii="Sylfaen" w:hAnsi="Sylfaen"/>
          <w:sz w:val="24"/>
          <w:szCs w:val="24"/>
        </w:rPr>
        <w:t xml:space="preserve"> հաստատված ընդհանուր բնութագիրը, բժշկական կիրառման հրահանգը, փաթեթվածքների մանրակերտերը, որակի նորմատիվ փաստաթուղթը՝ Միության</w:t>
      </w:r>
      <w:r>
        <w:rPr>
          <w:rFonts w:ascii="Sylfaen" w:hAnsi="Sylfaen"/>
          <w:sz w:val="24"/>
          <w:szCs w:val="24"/>
        </w:rPr>
        <w:t> </w:t>
      </w:r>
      <w:r w:rsidRPr="00826F05">
        <w:rPr>
          <w:rFonts w:ascii="Sylfaen" w:hAnsi="Sylfaen"/>
          <w:sz w:val="24"/>
          <w:szCs w:val="24"/>
        </w:rPr>
        <w:t>միասնական ռեեստրի ձ</w:t>
      </w:r>
      <w:r w:rsidR="00C54D75">
        <w:rPr>
          <w:rFonts w:ascii="Sylfaen" w:hAnsi="Sylfaen"/>
          <w:sz w:val="24"/>
          <w:szCs w:val="24"/>
        </w:rPr>
        <w:t>և</w:t>
      </w:r>
      <w:r w:rsidRPr="00826F05">
        <w:rPr>
          <w:rFonts w:ascii="Sylfaen" w:hAnsi="Sylfaen"/>
          <w:sz w:val="24"/>
          <w:szCs w:val="24"/>
        </w:rPr>
        <w:t xml:space="preserve">ավորման </w:t>
      </w:r>
      <w:r w:rsidR="00C54D75">
        <w:rPr>
          <w:rFonts w:ascii="Sylfaen" w:hAnsi="Sylfaen"/>
          <w:sz w:val="24"/>
          <w:szCs w:val="24"/>
        </w:rPr>
        <w:t>և</w:t>
      </w:r>
      <w:r w:rsidRPr="00826F05">
        <w:rPr>
          <w:rFonts w:ascii="Sylfaen" w:hAnsi="Sylfaen"/>
          <w:sz w:val="24"/>
          <w:szCs w:val="24"/>
        </w:rPr>
        <w:t xml:space="preserve"> վարման կարգին համապատասխան,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է տրամադրում դեղապատրաստուկի փոփոխված ընդհանուր բնութագիրը, բժշկական կիրառման հրահանգը, փաթեթվածքների մանրակերտերը, որակի նորմատիվ փաստաթուղթը, գրանցման հավաստագիրը (անհրաժեշտության դեպքում):</w:t>
      </w:r>
    </w:p>
    <w:p w14:paraId="41EC9433" w14:textId="4A9884E0"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Թույլատրվում է II տիպի ընդունված էական փոփոխությունների իրականացումը սկսել լիազորված մարմնի (փորձագիտական կազմակերպության) կողմից փոփոխությունն ընդունելու մասին </w:t>
      </w:r>
      <w:r w:rsidR="0056496B">
        <w:rPr>
          <w:rFonts w:ascii="Sylfaen" w:hAnsi="Sylfaen"/>
          <w:sz w:val="24"/>
          <w:szCs w:val="24"/>
        </w:rPr>
        <w:t>դիմումատու</w:t>
      </w:r>
      <w:r w:rsidRPr="00826F05">
        <w:rPr>
          <w:rFonts w:ascii="Sylfaen" w:hAnsi="Sylfaen"/>
          <w:sz w:val="24"/>
          <w:szCs w:val="24"/>
        </w:rPr>
        <w:t>ին ծանուցելու օրվանից 30</w:t>
      </w:r>
      <w:r>
        <w:rPr>
          <w:rFonts w:ascii="Sylfaen" w:hAnsi="Sylfaen"/>
          <w:sz w:val="24"/>
          <w:szCs w:val="24"/>
        </w:rPr>
        <w:t> </w:t>
      </w:r>
      <w:r w:rsidRPr="00826F05">
        <w:rPr>
          <w:rFonts w:ascii="Sylfaen" w:hAnsi="Sylfaen"/>
          <w:sz w:val="24"/>
          <w:szCs w:val="24"/>
        </w:rPr>
        <w:t xml:space="preserve">օրացուցային օրվա ընթացքում՝ գրանցման դոսյեն ուղղելու համար անհրաժեշտ փաստաթղթերը </w:t>
      </w:r>
      <w:r w:rsidR="0056496B">
        <w:rPr>
          <w:rFonts w:ascii="Sylfaen" w:hAnsi="Sylfaen"/>
          <w:sz w:val="24"/>
          <w:szCs w:val="24"/>
        </w:rPr>
        <w:t>դիմումատու</w:t>
      </w:r>
      <w:r w:rsidRPr="00826F05">
        <w:rPr>
          <w:rFonts w:ascii="Sylfaen" w:hAnsi="Sylfaen"/>
          <w:sz w:val="24"/>
          <w:szCs w:val="24"/>
        </w:rPr>
        <w:t>ի կողմից ներկայացնելու պայմանով:</w:t>
      </w:r>
    </w:p>
    <w:p w14:paraId="2BFE3CE6"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Դեղապատրաստուկի մասին տեղեկատվության վերանայման հանգեցնող ցանկացած փոփոխության իրագործում թույլատրվում է իրականացնել գրանցման դոսյեի մեջ փոփոխություններ կատարելուց հետո` համաձայն Դեղամիջոցների գրանցման կանոնների թիվ 19 հավելվածի 1.6 ենթաբաժնի:</w:t>
      </w:r>
    </w:p>
    <w:p w14:paraId="53730B43" w14:textId="03F0EAB6"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 xml:space="preserve">Անվտանգության հարցերի հետ կապված փոփոխություններն անհրաժեշտ է իրականացնել լիազորված մարմնի </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7F83DCA8"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2.4.</w:t>
      </w:r>
      <w:r w:rsidRPr="00826F05">
        <w:rPr>
          <w:rFonts w:ascii="Sylfaen" w:hAnsi="Sylfaen"/>
          <w:sz w:val="24"/>
          <w:szCs w:val="24"/>
        </w:rPr>
        <w:tab/>
        <w:t>Գրանցման ընդլայնում:</w:t>
      </w:r>
    </w:p>
    <w:p w14:paraId="00B518A3" w14:textId="4AEF782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Դեղամիջոցների գրանցման կանոնների թիվ 19 հավելվածի I լրացման մեջ թվարկված են փոփոխություններ, որոնք դիտարկվում են գրանցման ընդլայնման </w:t>
      </w:r>
      <w:r w:rsidRPr="00B97567">
        <w:rPr>
          <w:rFonts w:ascii="Sylfaen" w:hAnsi="Sylfaen"/>
          <w:spacing w:val="6"/>
          <w:sz w:val="24"/>
          <w:szCs w:val="24"/>
        </w:rPr>
        <w:t xml:space="preserve">շրջանակներում: Գրանցման ընդլայնման մասին </w:t>
      </w:r>
      <w:r w:rsidR="0056496B">
        <w:rPr>
          <w:rFonts w:ascii="Sylfaen" w:hAnsi="Sylfaen"/>
          <w:spacing w:val="6"/>
          <w:sz w:val="24"/>
          <w:szCs w:val="24"/>
        </w:rPr>
        <w:t>դիմում</w:t>
      </w:r>
      <w:r w:rsidRPr="00B97567">
        <w:rPr>
          <w:rFonts w:ascii="Sylfaen" w:hAnsi="Sylfaen"/>
          <w:spacing w:val="6"/>
          <w:sz w:val="24"/>
          <w:szCs w:val="24"/>
        </w:rPr>
        <w:t xml:space="preserve">ը պետք է ենթարկվի փորձաքննության՝ դեղապատրաստուկի գրանցման </w:t>
      </w:r>
      <w:r w:rsidR="00C54D75">
        <w:rPr>
          <w:rFonts w:ascii="Sylfaen" w:hAnsi="Sylfaen"/>
          <w:spacing w:val="6"/>
          <w:sz w:val="24"/>
          <w:szCs w:val="24"/>
        </w:rPr>
        <w:t>և</w:t>
      </w:r>
      <w:r w:rsidRPr="00B97567">
        <w:rPr>
          <w:rFonts w:ascii="Sylfaen" w:hAnsi="Sylfaen"/>
          <w:spacing w:val="6"/>
          <w:sz w:val="24"/>
          <w:szCs w:val="24"/>
        </w:rPr>
        <w:t xml:space="preserve"> փորձաքննության այն նույն ընթացակարգին համապատասխան, ինչ որ դեղապատրաստուկի առաջնային գրանցումն է, որին այն վերաբերում է Դեղամիջոցների գրանցման կանոնների</w:t>
      </w:r>
      <w:r w:rsidRPr="00826F05">
        <w:rPr>
          <w:rFonts w:ascii="Sylfaen" w:hAnsi="Sylfaen"/>
          <w:sz w:val="24"/>
          <w:szCs w:val="24"/>
        </w:rPr>
        <w:t xml:space="preserve">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3E7EE594" w14:textId="5EB644D2" w:rsidR="004F5982" w:rsidRPr="00826F05" w:rsidRDefault="004F5982" w:rsidP="00487007">
      <w:pPr>
        <w:tabs>
          <w:tab w:val="left" w:pos="1701"/>
        </w:tabs>
        <w:spacing w:after="160" w:line="360" w:lineRule="auto"/>
        <w:ind w:right="34" w:firstLine="567"/>
        <w:jc w:val="both"/>
        <w:rPr>
          <w:rFonts w:ascii="Sylfaen" w:eastAsia="Times New Roman" w:hAnsi="Sylfaen" w:cs="Times New Roman"/>
          <w:sz w:val="24"/>
          <w:szCs w:val="24"/>
        </w:rPr>
      </w:pPr>
      <w:r w:rsidRPr="00826F05">
        <w:rPr>
          <w:rFonts w:ascii="Sylfaen" w:hAnsi="Sylfaen"/>
          <w:sz w:val="24"/>
          <w:szCs w:val="24"/>
        </w:rPr>
        <w:t>2.4.1.</w:t>
      </w:r>
      <w:r w:rsidRPr="00826F05">
        <w:rPr>
          <w:rFonts w:ascii="Sylfaen" w:hAnsi="Sylfaen"/>
          <w:sz w:val="24"/>
          <w:szCs w:val="24"/>
        </w:rPr>
        <w:tab/>
        <w:t xml:space="preserve">Դեղապատրաստուկի գրանցման ընդլայնման մասին </w:t>
      </w:r>
      <w:r w:rsidR="0056496B">
        <w:rPr>
          <w:rFonts w:ascii="Sylfaen" w:hAnsi="Sylfaen"/>
          <w:sz w:val="24"/>
          <w:szCs w:val="24"/>
        </w:rPr>
        <w:t>դիմում</w:t>
      </w:r>
      <w:r w:rsidRPr="00826F05">
        <w:rPr>
          <w:rFonts w:ascii="Sylfaen" w:hAnsi="Sylfaen"/>
          <w:sz w:val="24"/>
          <w:szCs w:val="24"/>
        </w:rPr>
        <w:t xml:space="preserve"> ներկայացնելը:</w:t>
      </w:r>
    </w:p>
    <w:p w14:paraId="253A39BB" w14:textId="3A980FC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բոլոր շահագրգիռ անդամ պետություններ՝ համապատասխանաբար:</w:t>
      </w:r>
    </w:p>
    <w:p w14:paraId="45C58D81" w14:textId="0647B8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2B6825">
        <w:rPr>
          <w:rFonts w:ascii="Sylfaen" w:hAnsi="Sylfaen"/>
          <w:spacing w:val="-6"/>
          <w:sz w:val="24"/>
          <w:szCs w:val="24"/>
        </w:rPr>
        <w:t>Գրանցման հավաստագրերի իրավատերերն իրավունք ունեն մեկ ծանուցման մեջ խմբավորելու գրանցման մի քանի ընդլայնումներ կամ գրանցման մեկ կամ ավելի ընդլայնումներ մի</w:t>
      </w:r>
      <w:r w:rsidR="00C54D75">
        <w:rPr>
          <w:rFonts w:ascii="Sylfaen" w:hAnsi="Sylfaen"/>
          <w:spacing w:val="-6"/>
          <w:sz w:val="24"/>
          <w:szCs w:val="24"/>
        </w:rPr>
        <w:t>և</w:t>
      </w:r>
      <w:r w:rsidRPr="002B6825">
        <w:rPr>
          <w:rFonts w:ascii="Sylfaen" w:hAnsi="Sylfaen"/>
          <w:spacing w:val="-6"/>
          <w:sz w:val="24"/>
          <w:szCs w:val="24"/>
        </w:rPr>
        <w:t>նույն գրանցման դոսյեի մեկ կամ ավելի</w:t>
      </w:r>
      <w:r w:rsidRPr="00826F05">
        <w:rPr>
          <w:rFonts w:ascii="Sylfaen" w:hAnsi="Sylfaen"/>
          <w:sz w:val="24"/>
          <w:szCs w:val="24"/>
        </w:rPr>
        <w:t xml:space="preserve"> փոփոխության հետ՝ Դեղամիջոցների գրանցման կանոնների թիվ 19 հավելվածի III լրացման մեջ նշված դեպքերից մեկին դրա համապատասխանության պայմանով, կամ եթե այն նախկինում համաձայնեցվել է ռեֆերենտ պետության լիազորված մարմնի (փորձագիտական կազմակերպության) հետ համապատասխանաբար: Դեղամիջոցների գրանցման կանոնների թիվ 19 հավելվածում գրանցման ընդլայնման մասին </w:t>
      </w:r>
      <w:r w:rsidR="009F5829">
        <w:rPr>
          <w:rFonts w:ascii="Sylfaen" w:hAnsi="Sylfaen"/>
          <w:sz w:val="24"/>
          <w:szCs w:val="24"/>
        </w:rPr>
        <w:t>դիմումներ</w:t>
      </w:r>
      <w:r w:rsidRPr="00826F05">
        <w:rPr>
          <w:rFonts w:ascii="Sylfaen" w:hAnsi="Sylfaen"/>
          <w:sz w:val="24"/>
          <w:szCs w:val="24"/>
        </w:rPr>
        <w:t>ի մասով պարտականությունների բաշխում նախատեսված չէ:</w:t>
      </w:r>
    </w:p>
    <w:p w14:paraId="46D26E25" w14:textId="08DD16CA"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ն անհրաժեշտ է ներկայացնել հետ</w:t>
      </w:r>
      <w:r w:rsidR="00C54D75">
        <w:rPr>
          <w:rFonts w:ascii="Sylfaen" w:hAnsi="Sylfaen"/>
          <w:sz w:val="24"/>
          <w:szCs w:val="24"/>
        </w:rPr>
        <w:t>և</w:t>
      </w:r>
      <w:r w:rsidRPr="00826F05">
        <w:rPr>
          <w:rFonts w:ascii="Sylfaen" w:hAnsi="Sylfaen"/>
          <w:sz w:val="24"/>
          <w:szCs w:val="24"/>
        </w:rPr>
        <w:t xml:space="preserve">յալ կարգով՝ համապատասխան վերնագրերով </w:t>
      </w:r>
      <w:r w:rsidR="00C54D75">
        <w:rPr>
          <w:rFonts w:ascii="Sylfaen" w:hAnsi="Sylfaen"/>
          <w:sz w:val="24"/>
          <w:szCs w:val="24"/>
        </w:rPr>
        <w:t>և</w:t>
      </w:r>
      <w:r w:rsidRPr="00826F05">
        <w:rPr>
          <w:rFonts w:ascii="Sylfaen" w:hAnsi="Sylfaen"/>
          <w:sz w:val="24"/>
          <w:szCs w:val="24"/>
        </w:rPr>
        <w:t xml:space="preserve"> համարակալմամբ, ընդհանուր տեխնիկական փաստաթղթի ձ</w:t>
      </w:r>
      <w:r w:rsidR="00C54D75">
        <w:rPr>
          <w:rFonts w:ascii="Sylfaen" w:hAnsi="Sylfaen"/>
          <w:sz w:val="24"/>
          <w:szCs w:val="24"/>
        </w:rPr>
        <w:t>և</w:t>
      </w:r>
      <w:r w:rsidRPr="00826F05">
        <w:rPr>
          <w:rFonts w:ascii="Sylfaen" w:hAnsi="Sylfaen"/>
          <w:sz w:val="24"/>
          <w:szCs w:val="24"/>
        </w:rPr>
        <w:t>աչափով՝</w:t>
      </w:r>
    </w:p>
    <w:p w14:paraId="11D86AF2"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ուղեկցող նամակ,</w:t>
      </w:r>
    </w:p>
    <w:p w14:paraId="368B6FCD" w14:textId="720F775E"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 xml:space="preserve">փոփոխություներ կատարելու մասին </w:t>
      </w:r>
      <w:r w:rsidR="0056496B">
        <w:rPr>
          <w:rFonts w:ascii="Sylfaen" w:hAnsi="Sylfaen"/>
          <w:sz w:val="24"/>
          <w:szCs w:val="24"/>
        </w:rPr>
        <w:t>դիմում</w:t>
      </w:r>
      <w:r w:rsidRPr="00826F05">
        <w:rPr>
          <w:rFonts w:ascii="Sylfaen" w:hAnsi="Sylfaen"/>
          <w:sz w:val="24"/>
          <w:szCs w:val="24"/>
        </w:rPr>
        <w:t>,</w:t>
      </w:r>
    </w:p>
    <w:p w14:paraId="1E4CD38E"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առաջարկվող ընդլայնմանը վերաբերող օժանդակ տվյալներ,</w:t>
      </w:r>
    </w:p>
    <w:p w14:paraId="045CBE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գրանցման դոսյեի ամբողջական մոդուլ 1-ը՝ մոդուլ 1-ի համապատասխան բաժիններում ներառված տվյալների կամ փաստաթղթերի բացակայության հիմնավորմամբ, </w:t>
      </w:r>
    </w:p>
    <w:p w14:paraId="7500A099" w14:textId="77777777" w:rsidR="004F5982" w:rsidRPr="00826F05" w:rsidRDefault="004F5982" w:rsidP="00487007">
      <w:pPr>
        <w:spacing w:after="160" w:line="360" w:lineRule="auto"/>
        <w:ind w:right="36" w:firstLine="567"/>
        <w:jc w:val="both"/>
        <w:rPr>
          <w:rFonts w:ascii="Sylfaen" w:eastAsia="Times New Roman" w:hAnsi="Sylfaen" w:cs="Times New Roman"/>
          <w:sz w:val="24"/>
          <w:szCs w:val="24"/>
        </w:rPr>
      </w:pPr>
      <w:r w:rsidRPr="00826F05">
        <w:rPr>
          <w:rFonts w:ascii="Sylfaen" w:hAnsi="Sylfaen"/>
          <w:sz w:val="24"/>
          <w:szCs w:val="24"/>
        </w:rPr>
        <w:t xml:space="preserve">համապատասխան թարմացում կամ որակի ռեզյումեի, նախակլինիկական </w:t>
      </w:r>
      <w:r w:rsidR="00C54D75">
        <w:rPr>
          <w:rFonts w:ascii="Sylfaen" w:hAnsi="Sylfaen"/>
          <w:sz w:val="24"/>
          <w:szCs w:val="24"/>
        </w:rPr>
        <w:t>և</w:t>
      </w:r>
      <w:r w:rsidRPr="00826F05">
        <w:rPr>
          <w:rFonts w:ascii="Sylfaen" w:hAnsi="Sylfaen"/>
          <w:sz w:val="24"/>
          <w:szCs w:val="24"/>
        </w:rPr>
        <w:t xml:space="preserve"> </w:t>
      </w:r>
      <w:r w:rsidRPr="002B6825">
        <w:rPr>
          <w:rFonts w:ascii="Sylfaen" w:hAnsi="Sylfaen"/>
          <w:spacing w:val="-6"/>
          <w:sz w:val="24"/>
          <w:szCs w:val="24"/>
        </w:rPr>
        <w:t>կլինիկական ամփոփագրերի հավելվածը: Եթե ներկայացվում են նախակլինիկական կամ կլինիկական հետազոտությունների մասին հաշվետվություններ (անգամ մեկը), դրանց ռեզյումեն անհրաժեշտ</w:t>
      </w:r>
      <w:r w:rsidRPr="00826F05">
        <w:rPr>
          <w:rFonts w:ascii="Sylfaen" w:hAnsi="Sylfaen"/>
          <w:sz w:val="24"/>
          <w:szCs w:val="24"/>
        </w:rPr>
        <w:t xml:space="preserve"> է ներառել 2-րդ մոդուլում,</w:t>
      </w:r>
    </w:p>
    <w:p w14:paraId="341DF6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ընդլայնումը վերաբերում է դեղապատրաստուկի ընդհանուր բնութագրին՝ մականշվածքին կամ ներդիր-թերթիկին, ինչպես նա</w:t>
      </w:r>
      <w:r w:rsidR="00C54D75">
        <w:rPr>
          <w:rFonts w:ascii="Sylfaen" w:hAnsi="Sylfaen"/>
          <w:sz w:val="24"/>
          <w:szCs w:val="24"/>
        </w:rPr>
        <w:t>և</w:t>
      </w:r>
      <w:r w:rsidRPr="00826F05">
        <w:rPr>
          <w:rFonts w:ascii="Sylfaen" w:hAnsi="Sylfaen"/>
          <w:sz w:val="24"/>
          <w:szCs w:val="24"/>
        </w:rPr>
        <w:t xml:space="preserve"> որակի նորմատիվ փաստաթղթին՝ պատշաճ կերպով ներկայացված՝ դեղապատրաստուկի մասին վերանայված տեղեկատվությունը, որակի նորմատիվ փաստաթուղթը:</w:t>
      </w:r>
    </w:p>
    <w:p w14:paraId="7C7752A1" w14:textId="741BBB02"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1.1.3 ենթակետում նշված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 xml:space="preserve">ի դեպքում ռեֆերենտ պետության լիազորված մարմինը (փորձագիտական կազմակերպությունը) պետք է ստանա շահագրգիռ ճանաչման պետությունում դեղապատրաստուկի գրանցման դոսյեում փոփոխություններ կատարելու վերաբերյալ համապատասխան </w:t>
      </w:r>
      <w:r w:rsidR="009F5829">
        <w:rPr>
          <w:rFonts w:ascii="Sylfaen" w:hAnsi="Sylfaen"/>
          <w:sz w:val="24"/>
          <w:szCs w:val="24"/>
        </w:rPr>
        <w:t>դիմումներ</w:t>
      </w:r>
      <w:r w:rsidRPr="00826F05">
        <w:rPr>
          <w:rFonts w:ascii="Sylfaen" w:hAnsi="Sylfaen"/>
          <w:sz w:val="24"/>
          <w:szCs w:val="24"/>
        </w:rPr>
        <w:t xml:space="preserve">ի </w:t>
      </w:r>
      <w:r w:rsidR="00C54D75">
        <w:rPr>
          <w:rFonts w:ascii="Sylfaen" w:hAnsi="Sylfaen"/>
          <w:sz w:val="24"/>
          <w:szCs w:val="24"/>
        </w:rPr>
        <w:t>և</w:t>
      </w:r>
      <w:r w:rsidRPr="00826F05">
        <w:rPr>
          <w:rFonts w:ascii="Sylfaen" w:hAnsi="Sylfaen"/>
          <w:sz w:val="24"/>
          <w:szCs w:val="24"/>
        </w:rPr>
        <w:t xml:space="preserve">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համար </w:t>
      </w:r>
      <w:r w:rsidRPr="002B6825">
        <w:rPr>
          <w:rFonts w:ascii="Sylfaen" w:hAnsi="Sylfaen"/>
          <w:spacing w:val="-6"/>
          <w:sz w:val="24"/>
          <w:szCs w:val="24"/>
        </w:rPr>
        <w:t xml:space="preserve">ճանաչման պետության օրենսդրությամբ սահմանված չափերով </w:t>
      </w:r>
      <w:r w:rsidR="00C54D75">
        <w:rPr>
          <w:rFonts w:ascii="Sylfaen" w:hAnsi="Sylfaen"/>
          <w:spacing w:val="-6"/>
          <w:sz w:val="24"/>
          <w:szCs w:val="24"/>
        </w:rPr>
        <w:t>և</w:t>
      </w:r>
      <w:r w:rsidRPr="002B6825">
        <w:rPr>
          <w:rFonts w:ascii="Sylfaen" w:hAnsi="Sylfaen"/>
          <w:spacing w:val="-6"/>
          <w:sz w:val="24"/>
          <w:szCs w:val="24"/>
        </w:rPr>
        <w:t xml:space="preserve"> կարգով վճարի (տուրքի) վճարումը հաստատող փաստաթղթեր ներկայացնելու ամսաթվերի</w:t>
      </w:r>
      <w:r w:rsidRPr="00826F05">
        <w:rPr>
          <w:rFonts w:ascii="Sylfaen" w:hAnsi="Sylfaen"/>
          <w:sz w:val="24"/>
          <w:szCs w:val="24"/>
        </w:rPr>
        <w:t xml:space="preserve"> ցանկը:</w:t>
      </w:r>
    </w:p>
    <w:p w14:paraId="08A9EF1D" w14:textId="0D814979"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1.1.4 կետում հիշատակված ընթացակարգի մասով գրանցման ընդլայնման մասին </w:t>
      </w:r>
      <w:r w:rsidR="009F5829">
        <w:rPr>
          <w:rFonts w:ascii="Sylfaen" w:hAnsi="Sylfaen"/>
          <w:sz w:val="24"/>
          <w:szCs w:val="24"/>
        </w:rPr>
        <w:t>դիմումներ</w:t>
      </w:r>
      <w:r w:rsidRPr="00826F05">
        <w:rPr>
          <w:rFonts w:ascii="Sylfaen" w:hAnsi="Sylfaen"/>
          <w:sz w:val="24"/>
          <w:szCs w:val="24"/>
        </w:rPr>
        <w:t>ի դեպքում ռեֆերենտ պետության լիազորված մարմինը (փորձագիտական կազմակերպությունը) պետք է ստանա դեղապատրաստուկի գրանցման դոսյեում (</w:t>
      </w:r>
      <w:r w:rsidR="00C54D75">
        <w:rPr>
          <w:rFonts w:ascii="Sylfaen" w:hAnsi="Sylfaen"/>
          <w:sz w:val="24"/>
          <w:szCs w:val="24"/>
        </w:rPr>
        <w:t>և</w:t>
      </w:r>
      <w:r w:rsidRPr="00826F05">
        <w:rPr>
          <w:rFonts w:ascii="Sylfaen" w:hAnsi="Sylfaen"/>
          <w:sz w:val="24"/>
          <w:szCs w:val="24"/>
        </w:rPr>
        <w:t xml:space="preserve"> դրա փորձաքննության մեջ) փոփոխություններ կատարելու՝ անդամ պետությունների օրենսդրությամբ սահմանված չափերով </w:t>
      </w:r>
      <w:r w:rsidR="00C54D75">
        <w:rPr>
          <w:rFonts w:ascii="Sylfaen" w:hAnsi="Sylfaen"/>
          <w:sz w:val="24"/>
          <w:szCs w:val="24"/>
        </w:rPr>
        <w:t>և</w:t>
      </w:r>
      <w:r w:rsidRPr="00826F05">
        <w:rPr>
          <w:rFonts w:ascii="Sylfaen" w:hAnsi="Sylfaen"/>
          <w:sz w:val="24"/>
          <w:szCs w:val="24"/>
        </w:rPr>
        <w:t xml:space="preserve"> կարգով վճարի (տուրքի) վճարման հաստատում:</w:t>
      </w:r>
    </w:p>
    <w:p w14:paraId="7A46F27D" w14:textId="77777777" w:rsidR="004F5982" w:rsidRPr="00826F05" w:rsidRDefault="004F5982" w:rsidP="00487007">
      <w:pPr>
        <w:tabs>
          <w:tab w:val="left" w:pos="1701"/>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lastRenderedPageBreak/>
        <w:t>2.4.2.</w:t>
      </w:r>
      <w:r w:rsidRPr="00826F05">
        <w:rPr>
          <w:rFonts w:ascii="Sylfaen" w:hAnsi="Sylfaen"/>
          <w:sz w:val="24"/>
          <w:szCs w:val="24"/>
        </w:rPr>
        <w:tab/>
        <w:t>Գրանցման ընդլայնման փորձաքննությունը:</w:t>
      </w:r>
    </w:p>
    <w:p w14:paraId="0ED1A624" w14:textId="3B35CC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Գրանցման ընդլայնման մասին </w:t>
      </w:r>
      <w:r w:rsidR="0056496B">
        <w:rPr>
          <w:rFonts w:ascii="Sylfaen" w:hAnsi="Sylfaen"/>
          <w:sz w:val="24"/>
          <w:szCs w:val="24"/>
        </w:rPr>
        <w:t>դիմում</w:t>
      </w:r>
      <w:r w:rsidRPr="00826F05">
        <w:rPr>
          <w:rFonts w:ascii="Sylfaen" w:hAnsi="Sylfaen"/>
          <w:sz w:val="24"/>
          <w:szCs w:val="24"/>
        </w:rPr>
        <w:t xml:space="preserve">ը պետք է ենթարկվի փորձաքննության՝ դեղապատրաստուկի գրանցման </w:t>
      </w:r>
      <w:r w:rsidR="00C54D75">
        <w:rPr>
          <w:rFonts w:ascii="Sylfaen" w:hAnsi="Sylfaen"/>
          <w:sz w:val="24"/>
          <w:szCs w:val="24"/>
        </w:rPr>
        <w:t>և</w:t>
      </w:r>
      <w:r w:rsidRPr="00826F05">
        <w:rPr>
          <w:rFonts w:ascii="Sylfaen" w:hAnsi="Sylfaen"/>
          <w:sz w:val="24"/>
          <w:szCs w:val="24"/>
        </w:rPr>
        <w:t xml:space="preserve"> փորձաքննության այն նույն ընթացակարգին համապատասխան, ինչ որ դեղապատրաստուկի առաջնային գրանցումն է, որին այն վերաբերում է Բժշկական կիրառության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V </w:t>
      </w:r>
      <w:r w:rsidR="00C54D75">
        <w:rPr>
          <w:rFonts w:ascii="Sylfaen" w:hAnsi="Sylfaen"/>
          <w:sz w:val="24"/>
          <w:szCs w:val="24"/>
        </w:rPr>
        <w:t>և</w:t>
      </w:r>
      <w:r w:rsidRPr="00826F05">
        <w:rPr>
          <w:rFonts w:ascii="Sylfaen" w:hAnsi="Sylfaen"/>
          <w:sz w:val="24"/>
          <w:szCs w:val="24"/>
        </w:rPr>
        <w:t xml:space="preserve"> VI բաժիններին համապատասխան:</w:t>
      </w:r>
    </w:p>
    <w:p w14:paraId="1BDF68F4" w14:textId="77777777" w:rsidR="004F5982" w:rsidRPr="00826F05" w:rsidRDefault="004F5982" w:rsidP="00487007">
      <w:pPr>
        <w:tabs>
          <w:tab w:val="left" w:pos="1134"/>
        </w:tabs>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2.5.</w:t>
      </w:r>
      <w:r w:rsidRPr="00826F05">
        <w:rPr>
          <w:rFonts w:ascii="Sylfaen" w:hAnsi="Sylfaen"/>
          <w:sz w:val="24"/>
          <w:szCs w:val="24"/>
        </w:rPr>
        <w:tab/>
        <w:t>Անվտանգության գծով անհետաձգելի սահմանափակումները:</w:t>
      </w:r>
    </w:p>
    <w:p w14:paraId="64CA231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4.1.4 ենթակետով նախատեսվում է, որ բնակչության հանրային առողջության համար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ռիսկի առաջացման դեպքում իրավատերն իրավունք ունի նախնական «անվտանգության մասով անհետաձգելի սահմանափակումներ» դնելու:</w:t>
      </w:r>
    </w:p>
    <w:p w14:paraId="39B224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Անվտանգության մասով անհետաձգելի սահմանափակումներն իրենցից ներկայացնում են դեղապատրաստուկի կիրառման անվտանգությանը վերաբերող նոր տեղեկությունների հետ</w:t>
      </w:r>
      <w:r w:rsidR="00C54D75">
        <w:rPr>
          <w:rFonts w:ascii="Sylfaen" w:hAnsi="Sylfaen"/>
          <w:sz w:val="24"/>
          <w:szCs w:val="24"/>
        </w:rPr>
        <w:t>և</w:t>
      </w:r>
      <w:r w:rsidRPr="00826F05">
        <w:rPr>
          <w:rFonts w:ascii="Sylfaen" w:hAnsi="Sylfaen"/>
          <w:sz w:val="24"/>
          <w:szCs w:val="24"/>
        </w:rPr>
        <w:t>անքով առաջացած՝ դեղապատրաստուկի գրանցման պայմանների միջանկյալ փոփոխություն: Այդպիսի անհետաձգելի փոփոխություններն անհրաժեշտ է հետագայում իրականացնել գրանցման դոսյեի համապատասխան փոփոխության միջոցով:</w:t>
      </w:r>
    </w:p>
    <w:p w14:paraId="023D32DE"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4C2FEE">
        <w:rPr>
          <w:rFonts w:ascii="Sylfaen" w:hAnsi="Sylfaen"/>
          <w:spacing w:val="-6"/>
          <w:sz w:val="24"/>
          <w:szCs w:val="24"/>
        </w:rPr>
        <w:t>Իրավատերը պետք է բոլոր շահագրգիռ անդամ պետություններին համապատասխանաբար անհապաղ ծանուցի դրված սահմանափակումների</w:t>
      </w:r>
      <w:r w:rsidRPr="00826F05">
        <w:rPr>
          <w:rFonts w:ascii="Sylfaen" w:hAnsi="Sylfaen"/>
          <w:sz w:val="24"/>
          <w:szCs w:val="24"/>
        </w:rPr>
        <w:t xml:space="preserve"> մասին:</w:t>
      </w:r>
    </w:p>
    <w:p w14:paraId="00D5167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Եթե համապատասխան մարմինը գրանցման հավաստագրի իրավատիրոջ կողմից տեղեկությունները ստանալուց հետո 24 ժամվա ընթացքում չի ուղարկում առարկություններ, ապա անվտանգության մասով անհետաձգելի սահմանափակումները համարվում են ընդունված: Դրանք պետք է իրականացվեն ռեֆերենտ պետության լիազորված մարմնի (փորձագիտական կազմակերպության) </w:t>
      </w:r>
      <w:r w:rsidR="00C54D75">
        <w:rPr>
          <w:rFonts w:ascii="Sylfaen" w:hAnsi="Sylfaen"/>
          <w:sz w:val="24"/>
          <w:szCs w:val="24"/>
        </w:rPr>
        <w:t>և</w:t>
      </w:r>
      <w:r w:rsidRPr="00826F05">
        <w:rPr>
          <w:rFonts w:ascii="Sylfaen" w:hAnsi="Sylfaen"/>
          <w:sz w:val="24"/>
          <w:szCs w:val="24"/>
        </w:rPr>
        <w:t xml:space="preserve"> գրանցման հավաստագրի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ժամկետում:</w:t>
      </w:r>
    </w:p>
    <w:p w14:paraId="09CA8B7A" w14:textId="32DBBA3D" w:rsidR="004F5982" w:rsidRPr="00826F05" w:rsidRDefault="0056496B" w:rsidP="00487007">
      <w:pPr>
        <w:spacing w:after="160" w:line="360" w:lineRule="auto"/>
        <w:ind w:right="-2" w:firstLine="567"/>
        <w:jc w:val="both"/>
        <w:rPr>
          <w:rFonts w:ascii="Sylfaen" w:eastAsia="Times New Roman" w:hAnsi="Sylfaen" w:cs="Times New Roman"/>
          <w:sz w:val="24"/>
          <w:szCs w:val="24"/>
        </w:rPr>
      </w:pPr>
      <w:r>
        <w:rPr>
          <w:rFonts w:ascii="Sylfaen" w:hAnsi="Sylfaen"/>
          <w:sz w:val="24"/>
          <w:szCs w:val="24"/>
        </w:rPr>
        <w:lastRenderedPageBreak/>
        <w:t>Դիմումատու</w:t>
      </w:r>
      <w:r w:rsidR="004F5982" w:rsidRPr="00826F05">
        <w:rPr>
          <w:rFonts w:ascii="Sylfaen" w:hAnsi="Sylfaen"/>
          <w:sz w:val="24"/>
          <w:szCs w:val="24"/>
        </w:rPr>
        <w:t xml:space="preserve">ի կողմից անվտանգության մասով անհետաձգելի սահմանափակում դնելու կամ համապատասխան մարմնի կողմից այն նշանակելու դեպքում </w:t>
      </w:r>
      <w:r>
        <w:rPr>
          <w:rFonts w:ascii="Sylfaen" w:hAnsi="Sylfaen"/>
          <w:sz w:val="24"/>
          <w:szCs w:val="24"/>
        </w:rPr>
        <w:t>դիմումատու</w:t>
      </w:r>
      <w:r w:rsidR="004F5982" w:rsidRPr="00826F05">
        <w:rPr>
          <w:rFonts w:ascii="Sylfaen" w:hAnsi="Sylfaen"/>
          <w:sz w:val="24"/>
          <w:szCs w:val="24"/>
        </w:rPr>
        <w:t xml:space="preserve">ն այդպիսի սահմանափակում սկսվելու օրվանից 14 աշխատանքային օրվա ընթացքում պետք է գրանցման դոսյեում փոփոխության մասին համապատասխան </w:t>
      </w:r>
      <w:r>
        <w:rPr>
          <w:rFonts w:ascii="Sylfaen" w:hAnsi="Sylfaen"/>
          <w:sz w:val="24"/>
          <w:szCs w:val="24"/>
        </w:rPr>
        <w:t>դիմում</w:t>
      </w:r>
      <w:r w:rsidR="004F5982" w:rsidRPr="00826F05">
        <w:rPr>
          <w:rFonts w:ascii="Sylfaen" w:hAnsi="Sylfaen"/>
          <w:sz w:val="24"/>
          <w:szCs w:val="24"/>
        </w:rPr>
        <w:t xml:space="preserve"> ներկայացնի լիազորված մարմին (փորձագիտական կազմակերպություն):</w:t>
      </w:r>
    </w:p>
    <w:p w14:paraId="3A55880E" w14:textId="77777777" w:rsidR="004F5982" w:rsidRPr="00826F05" w:rsidRDefault="004F5982" w:rsidP="00487007">
      <w:pPr>
        <w:spacing w:after="160" w:line="360" w:lineRule="auto"/>
        <w:ind w:right="34" w:firstLine="567"/>
        <w:jc w:val="both"/>
        <w:rPr>
          <w:rFonts w:ascii="Sylfaen" w:hAnsi="Sylfaen"/>
          <w:sz w:val="24"/>
          <w:szCs w:val="24"/>
        </w:rPr>
      </w:pPr>
      <w:r w:rsidRPr="00826F05">
        <w:rPr>
          <w:rFonts w:ascii="Sylfaen" w:hAnsi="Sylfaen"/>
          <w:sz w:val="24"/>
          <w:szCs w:val="24"/>
        </w:rPr>
        <w:t>Անվտանգության մասով անհետաձգելի սահմանափակումները նա</w:t>
      </w:r>
      <w:r w:rsidR="00C54D75">
        <w:rPr>
          <w:rFonts w:ascii="Sylfaen" w:hAnsi="Sylfaen"/>
          <w:sz w:val="24"/>
          <w:szCs w:val="24"/>
        </w:rPr>
        <w:t>և</w:t>
      </w:r>
      <w:r w:rsidRPr="00826F05">
        <w:rPr>
          <w:rFonts w:ascii="Sylfaen" w:hAnsi="Sylfaen"/>
          <w:sz w:val="24"/>
          <w:szCs w:val="24"/>
        </w:rPr>
        <w:t xml:space="preserve"> կարող</w:t>
      </w:r>
      <w:r>
        <w:rPr>
          <w:rFonts w:ascii="Sylfaen" w:hAnsi="Sylfaen"/>
          <w:sz w:val="24"/>
          <w:szCs w:val="24"/>
        </w:rPr>
        <w:t> </w:t>
      </w:r>
      <w:r w:rsidRPr="00826F05">
        <w:rPr>
          <w:rFonts w:ascii="Sylfaen" w:hAnsi="Sylfaen"/>
          <w:sz w:val="24"/>
          <w:szCs w:val="24"/>
        </w:rPr>
        <w:t>են դրվել անդամ պետությունների լիազորված մարմինների կողմից (ազգային գրանցմամբ դեղապատրաստուկների մասով)՝ բժշկական կիրառման դեղապատրաստուկների հետ</w:t>
      </w:r>
      <w:r w:rsidR="00C54D75">
        <w:rPr>
          <w:rFonts w:ascii="Sylfaen" w:hAnsi="Sylfaen"/>
          <w:sz w:val="24"/>
          <w:szCs w:val="24"/>
        </w:rPr>
        <w:t>և</w:t>
      </w:r>
      <w:r w:rsidRPr="00826F05">
        <w:rPr>
          <w:rFonts w:ascii="Sylfaen" w:hAnsi="Sylfaen"/>
          <w:sz w:val="24"/>
          <w:szCs w:val="24"/>
        </w:rPr>
        <w:t>անքով հասարակական առողջության համար ռիսկի առաջացման դեպքում:</w:t>
      </w:r>
    </w:p>
    <w:p w14:paraId="7E514566" w14:textId="77777777" w:rsidR="004F5982" w:rsidRPr="001436BD" w:rsidRDefault="004F5982" w:rsidP="004F5982">
      <w:pPr>
        <w:spacing w:after="160" w:line="360" w:lineRule="auto"/>
        <w:ind w:left="567" w:right="565" w:firstLine="5"/>
        <w:jc w:val="center"/>
        <w:rPr>
          <w:rFonts w:ascii="Sylfaen" w:hAnsi="Sylfaen"/>
          <w:sz w:val="24"/>
          <w:szCs w:val="24"/>
        </w:rPr>
      </w:pPr>
    </w:p>
    <w:p w14:paraId="0EE054F1" w14:textId="77777777" w:rsidR="004F5982" w:rsidRPr="00826F05" w:rsidRDefault="004F5982" w:rsidP="00487007">
      <w:pPr>
        <w:spacing w:after="160" w:line="360" w:lineRule="auto"/>
        <w:ind w:left="567" w:right="565" w:firstLine="5"/>
        <w:jc w:val="center"/>
        <w:rPr>
          <w:rFonts w:ascii="Sylfaen" w:eastAsia="Times New Roman" w:hAnsi="Sylfaen" w:cs="Times New Roman"/>
          <w:sz w:val="24"/>
          <w:szCs w:val="24"/>
        </w:rPr>
      </w:pPr>
      <w:r w:rsidRPr="00826F05">
        <w:rPr>
          <w:rFonts w:ascii="Sylfaen" w:hAnsi="Sylfaen"/>
          <w:sz w:val="24"/>
          <w:szCs w:val="24"/>
        </w:rPr>
        <w:t>III. Պարտավորությունների բաշխման մասով վարչական ընթացակարգերը</w:t>
      </w:r>
    </w:p>
    <w:p w14:paraId="4F2750D4" w14:textId="231C3B98"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Դեղամիջոցների գրանցման կանոնների թիվ 19 հավելվածի 4.1.2 ենթակետով </w:t>
      </w:r>
      <w:r w:rsidR="0056496B">
        <w:rPr>
          <w:rFonts w:ascii="Sylfaen" w:hAnsi="Sylfaen"/>
          <w:sz w:val="24"/>
          <w:szCs w:val="24"/>
        </w:rPr>
        <w:t>դիմումատու</w:t>
      </w:r>
      <w:r w:rsidRPr="00826F05">
        <w:rPr>
          <w:rFonts w:ascii="Sylfaen" w:hAnsi="Sylfaen"/>
          <w:sz w:val="24"/>
          <w:szCs w:val="24"/>
        </w:rPr>
        <w:t xml:space="preserve">ներին թույլ է տրվում մեկ </w:t>
      </w:r>
      <w:r w:rsidR="0056496B">
        <w:rPr>
          <w:rFonts w:ascii="Sylfaen" w:hAnsi="Sylfaen"/>
          <w:sz w:val="24"/>
          <w:szCs w:val="24"/>
        </w:rPr>
        <w:t>դիմում</w:t>
      </w:r>
      <w:r w:rsidRPr="00826F05">
        <w:rPr>
          <w:rFonts w:ascii="Sylfaen" w:hAnsi="Sylfaen"/>
          <w:sz w:val="24"/>
          <w:szCs w:val="24"/>
        </w:rPr>
        <w:t>ում տրամադրել IB տիպի միանման փոփոխություն, II տիպի միանման փոփոխություն կամ փոփոխությունների միանման խումբ, որոնք համապատասխանում են դեղամիջոցների գրանցման կանոնների թիվ 19 հավելվածի III լրացման մեջ թվարկված դեպքերից մեկին, կամ համապատասխանաբար ռեֆերենտ պետության լիազորված մարմնի (փորձագիտական կազմակերպության) համաձայնությամբ, որը չի պարունակում հետ</w:t>
      </w:r>
      <w:r w:rsidR="00C54D75">
        <w:rPr>
          <w:rFonts w:ascii="Sylfaen" w:hAnsi="Sylfaen"/>
          <w:sz w:val="24"/>
          <w:szCs w:val="24"/>
        </w:rPr>
        <w:t>և</w:t>
      </w:r>
      <w:r w:rsidRPr="00826F05">
        <w:rPr>
          <w:rFonts w:ascii="Sylfaen" w:hAnsi="Sylfaen"/>
          <w:sz w:val="24"/>
          <w:szCs w:val="24"/>
        </w:rPr>
        <w:t>յալ դեպքերից մեկին առնչվող գրանցման որ</w:t>
      </w:r>
      <w:r w:rsidR="00C54D75">
        <w:rPr>
          <w:rFonts w:ascii="Sylfaen" w:hAnsi="Sylfaen"/>
          <w:sz w:val="24"/>
          <w:szCs w:val="24"/>
        </w:rPr>
        <w:t>և</w:t>
      </w:r>
      <w:r w:rsidRPr="00826F05">
        <w:rPr>
          <w:rFonts w:ascii="Sylfaen" w:hAnsi="Sylfaen"/>
          <w:sz w:val="24"/>
          <w:szCs w:val="24"/>
        </w:rPr>
        <w:t>է ընդլայնում՝</w:t>
      </w:r>
    </w:p>
    <w:p w14:paraId="3254C67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ավելի քան մեկ անդամ պետությունում մի</w:t>
      </w:r>
      <w:r w:rsidR="00C54D75">
        <w:rPr>
          <w:rFonts w:ascii="Sylfaen" w:hAnsi="Sylfaen"/>
          <w:sz w:val="24"/>
          <w:szCs w:val="24"/>
        </w:rPr>
        <w:t>և</w:t>
      </w:r>
      <w:r w:rsidRPr="00826F05">
        <w:rPr>
          <w:rFonts w:ascii="Sylfaen" w:hAnsi="Sylfaen"/>
          <w:sz w:val="24"/>
          <w:szCs w:val="24"/>
        </w:rPr>
        <w:t xml:space="preserve">նույն իրավատիրոջ ավելի քան մեկ գրանցման դոսյե, որոնք գրանցվել են բացառապես ազգային ընթացակարգով. </w:t>
      </w:r>
    </w:p>
    <w:p w14:paraId="794E507D"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նույն իրավատիրոջ՝ Դեղամիջոցների գրանցման կանոններին համապատասխան գրանցված դեղապատրաստուկների ավելի քան մեկ գրանցման դոսյե.</w:t>
      </w:r>
    </w:p>
    <w:p w14:paraId="4C72D162"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դեղապատրաստուկների </w:t>
      </w:r>
      <w:r w:rsidRPr="00826F05">
        <w:rPr>
          <w:rFonts w:ascii="Sylfaen" w:hAnsi="Sylfaen"/>
          <w:sz w:val="24"/>
          <w:szCs w:val="24"/>
        </w:rPr>
        <w:lastRenderedPageBreak/>
        <w:t>մեկ կամ մի քանի գրանցման դոսյեներ, որոնք գրանցվել են բացառապես ազգային ընթացակարգով.</w:t>
      </w:r>
    </w:p>
    <w:p w14:paraId="6BD76DB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ազգային ընթացակարգով գրանցված դեղապատրաստուկների գրանցման դոսյեներ </w:t>
      </w:r>
      <w:r w:rsidR="00C54D75">
        <w:rPr>
          <w:rFonts w:ascii="Sylfaen" w:hAnsi="Sylfaen"/>
          <w:sz w:val="24"/>
          <w:szCs w:val="24"/>
        </w:rPr>
        <w:t>և</w:t>
      </w:r>
      <w:r w:rsidRPr="00826F05">
        <w:rPr>
          <w:rFonts w:ascii="Sylfaen" w:hAnsi="Sylfaen"/>
          <w:sz w:val="24"/>
          <w:szCs w:val="24"/>
        </w:rPr>
        <w:t xml:space="preserve"> գրանցման հավաստագրի մի</w:t>
      </w:r>
      <w:r w:rsidR="00C54D75">
        <w:rPr>
          <w:rFonts w:ascii="Sylfaen" w:hAnsi="Sylfaen"/>
          <w:sz w:val="24"/>
          <w:szCs w:val="24"/>
        </w:rPr>
        <w:t>և</w:t>
      </w:r>
      <w:r w:rsidRPr="00826F05">
        <w:rPr>
          <w:rFonts w:ascii="Sylfaen" w:hAnsi="Sylfaen"/>
          <w:sz w:val="24"/>
          <w:szCs w:val="24"/>
        </w:rPr>
        <w:t xml:space="preserve">նույն իրավատիրոջ՝ դեղամիջոցների </w:t>
      </w:r>
      <w:r w:rsidR="00C54D75">
        <w:rPr>
          <w:rFonts w:ascii="Sylfaen" w:hAnsi="Sylfaen"/>
          <w:sz w:val="24"/>
          <w:szCs w:val="24"/>
        </w:rPr>
        <w:t>և</w:t>
      </w:r>
      <w:r w:rsidRPr="00826F05">
        <w:rPr>
          <w:rFonts w:ascii="Sylfaen" w:hAnsi="Sylfaen"/>
          <w:sz w:val="24"/>
          <w:szCs w:val="24"/>
        </w:rPr>
        <w:t xml:space="preserve"> Գրանցման կանոններին համապատասխան գրանցված դեղապատրաստուկների մեկ կամ մի քանի գրանցման դոսյեներ:</w:t>
      </w:r>
    </w:p>
    <w:p w14:paraId="429A2DB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Այդ փոփոխությունների փորձաքննության ընթացքում լիազորված մարմինների (փորձագիտական կազմակերպությունների) աշխատանքի կրկնությունից խուսափելու համար ներմուծվել է պարտավորությունների բաշխման ընթացակարգ, որի համապատասխան անդամ պետությունների լիազորված մարմիններից ընտրված մարմինը (ռեֆերենտ մարմինը) անդամ պետությունների մնացած շահագրգիռ մարմինների անունից իրականացնում է փոփոխության փորձաքննություն: </w:t>
      </w:r>
    </w:p>
    <w:p w14:paraId="2FD8FD6E" w14:textId="7DD6C17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Որպես ռեֆերենտ մարմին հանդես է գալիս փորձագիտական կոմիտեի կողմից ընտրված լիազորված մարմինը՝ հաշվի առնելով </w:t>
      </w:r>
      <w:r w:rsidR="0056496B">
        <w:rPr>
          <w:rFonts w:ascii="Sylfaen" w:hAnsi="Sylfaen"/>
          <w:sz w:val="24"/>
          <w:szCs w:val="24"/>
        </w:rPr>
        <w:t>դիմումատու</w:t>
      </w:r>
      <w:r w:rsidRPr="00826F05">
        <w:rPr>
          <w:rFonts w:ascii="Sylfaen" w:hAnsi="Sylfaen"/>
          <w:sz w:val="24"/>
          <w:szCs w:val="24"/>
        </w:rPr>
        <w:t>ի առաջարկությունները:</w:t>
      </w:r>
    </w:p>
    <w:p w14:paraId="327F3C0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Ընթացակարգի պլանավորմանը նպաստելու նպատակներով իրավատերերին խորհուրդ է տրվում փորձագիտական կոմիտեին </w:t>
      </w:r>
      <w:r w:rsidR="00C54D75">
        <w:rPr>
          <w:rFonts w:ascii="Sylfaen" w:hAnsi="Sylfaen"/>
          <w:sz w:val="24"/>
          <w:szCs w:val="24"/>
        </w:rPr>
        <w:t>և</w:t>
      </w:r>
      <w:r w:rsidRPr="00826F05">
        <w:rPr>
          <w:rFonts w:ascii="Sylfaen" w:hAnsi="Sylfaen"/>
          <w:sz w:val="24"/>
          <w:szCs w:val="24"/>
        </w:rPr>
        <w:t xml:space="preserve"> առաջարկվող ռեֆերենտ մարմնին նախօրոք ծանուցել պարտավորությունների բաշխման ընթացակարգի առարկան հանդիսացող փոփոխությունների կամ փոփոխությունների խմբի ներկայացման մասին։</w:t>
      </w:r>
    </w:p>
    <w:p w14:paraId="562EB4EE"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ընթացակարգն օգտագործելիս անհրաժեշտ է, որ մի</w:t>
      </w:r>
      <w:r w:rsidR="00C54D75">
        <w:rPr>
          <w:rFonts w:ascii="Sylfaen" w:hAnsi="Sylfaen"/>
          <w:sz w:val="24"/>
          <w:szCs w:val="24"/>
        </w:rPr>
        <w:t>և</w:t>
      </w:r>
      <w:r w:rsidRPr="00826F05">
        <w:rPr>
          <w:rFonts w:ascii="Sylfaen" w:hAnsi="Sylfaen"/>
          <w:sz w:val="24"/>
          <w:szCs w:val="24"/>
        </w:rPr>
        <w:t>նույն փոփոխությունը կիրառվի ուսումնասիրվող տարբեր դեղապատրաստուկների նկատմամբ՝ պատրաստուկի մասնահատուկ հնարավոր ազդեցության փորձաքննության անհրաժեշտության (կամ սահմանափակ անհրաժեշտության) բացակայությամբ: Հետ</w:t>
      </w:r>
      <w:r w:rsidR="00C54D75">
        <w:rPr>
          <w:rFonts w:ascii="Sylfaen" w:hAnsi="Sylfaen"/>
          <w:sz w:val="24"/>
          <w:szCs w:val="24"/>
        </w:rPr>
        <w:t>և</w:t>
      </w:r>
      <w:r w:rsidRPr="00826F05">
        <w:rPr>
          <w:rFonts w:ascii="Sylfaen" w:hAnsi="Sylfaen"/>
          <w:sz w:val="24"/>
          <w:szCs w:val="24"/>
        </w:rPr>
        <w:t>աբար, եթե տարբեր գրանցման դոսյեներում մի</w:t>
      </w:r>
      <w:r w:rsidR="00C54D75">
        <w:rPr>
          <w:rFonts w:ascii="Sylfaen" w:hAnsi="Sylfaen"/>
          <w:sz w:val="24"/>
          <w:szCs w:val="24"/>
        </w:rPr>
        <w:t>և</w:t>
      </w:r>
      <w:r w:rsidRPr="00826F05">
        <w:rPr>
          <w:rFonts w:ascii="Sylfaen" w:hAnsi="Sylfaen"/>
          <w:sz w:val="24"/>
          <w:szCs w:val="24"/>
        </w:rPr>
        <w:t xml:space="preserve">նույն փոփոխության համար անհատական օժանդակ տվյալների ներկայացում է պահանջվում՝ առանձին ուսումնասիրվող </w:t>
      </w:r>
      <w:r w:rsidRPr="00826F05">
        <w:rPr>
          <w:rFonts w:ascii="Sylfaen" w:hAnsi="Sylfaen"/>
          <w:sz w:val="24"/>
          <w:szCs w:val="24"/>
        </w:rPr>
        <w:lastRenderedPageBreak/>
        <w:t>դեղապատրաստուկների կամ պատրաստուկի մասնահատուկ առանձին փորձաքննության մասով, նման փոփոխությունների համար պարտավորությունների բաշխումն անօգուտ է:</w:t>
      </w:r>
    </w:p>
    <w:p w14:paraId="58DFE6E0" w14:textId="2E46C522"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3.1.</w:t>
      </w:r>
      <w:r w:rsidRPr="00826F05">
        <w:rPr>
          <w:rFonts w:ascii="Sylfaen" w:hAnsi="Sylfaen"/>
          <w:sz w:val="24"/>
          <w:szCs w:val="24"/>
        </w:rPr>
        <w:tab/>
        <w:t xml:space="preserve">Պարտավորությունների բաշխման շրջանակներում փոփոխությունների մասին </w:t>
      </w:r>
      <w:r w:rsidR="0056496B">
        <w:rPr>
          <w:rFonts w:ascii="Sylfaen" w:hAnsi="Sylfaen"/>
          <w:sz w:val="24"/>
          <w:szCs w:val="24"/>
        </w:rPr>
        <w:t>դիմում</w:t>
      </w:r>
      <w:r w:rsidRPr="00826F05">
        <w:rPr>
          <w:rFonts w:ascii="Sylfaen" w:hAnsi="Sylfaen"/>
          <w:sz w:val="24"/>
          <w:szCs w:val="24"/>
        </w:rPr>
        <w:t>ի տրամադրումը:</w:t>
      </w:r>
    </w:p>
    <w:p w14:paraId="20A9061B" w14:textId="269B8D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համար ներկայացված փոփոխությունը կամ փոփոխությունների խումբն անհրաժեշտ է ուղարկել սույն Կանոնների 2.2-2.3 կետերին համապատասխան </w:t>
      </w:r>
      <w:r w:rsidR="00C54D75">
        <w:rPr>
          <w:rFonts w:ascii="Sylfaen" w:hAnsi="Sylfaen"/>
          <w:sz w:val="24"/>
          <w:szCs w:val="24"/>
        </w:rPr>
        <w:t>և</w:t>
      </w:r>
      <w:r w:rsidRPr="00826F05">
        <w:rPr>
          <w:rFonts w:ascii="Sylfaen" w:hAnsi="Sylfaen"/>
          <w:sz w:val="24"/>
          <w:szCs w:val="24"/>
        </w:rPr>
        <w:t xml:space="preserve"> տրամադրել որպես փաստաթղթերի միասնական փաթեթ, որն ընդգրկում է բոլոր դեղապատրաստուկների բոլոր փոփոխությունները: Այն պետք է ուսումնասիրվող յուրաքանչյուր դեղապատրաստուկի համար առանձին օժանդակ փաստաթղթերի հետ միասին </w:t>
      </w:r>
      <w:r w:rsidRPr="00B60DF2">
        <w:rPr>
          <w:rFonts w:ascii="Sylfaen" w:hAnsi="Sylfaen"/>
          <w:spacing w:val="-6"/>
          <w:sz w:val="24"/>
          <w:szCs w:val="24"/>
        </w:rPr>
        <w:t xml:space="preserve">պարունակի ուղեկցող նամակ </w:t>
      </w:r>
      <w:r w:rsidR="00C54D75">
        <w:rPr>
          <w:rFonts w:ascii="Sylfaen" w:hAnsi="Sylfaen"/>
          <w:spacing w:val="-6"/>
          <w:sz w:val="24"/>
          <w:szCs w:val="24"/>
        </w:rPr>
        <w:t>և</w:t>
      </w:r>
      <w:r w:rsidRPr="00B60DF2">
        <w:rPr>
          <w:rFonts w:ascii="Sylfaen" w:hAnsi="Sylfaen"/>
          <w:spacing w:val="-6"/>
          <w:sz w:val="24"/>
          <w:szCs w:val="24"/>
        </w:rPr>
        <w:t xml:space="preserve"> փոփոխություններ կատարելու մասին </w:t>
      </w:r>
      <w:r w:rsidR="0056496B">
        <w:rPr>
          <w:rFonts w:ascii="Sylfaen" w:hAnsi="Sylfaen"/>
          <w:spacing w:val="-6"/>
          <w:sz w:val="24"/>
          <w:szCs w:val="24"/>
        </w:rPr>
        <w:t>դիմում</w:t>
      </w:r>
      <w:r w:rsidRPr="00B60DF2">
        <w:rPr>
          <w:rFonts w:ascii="Sylfaen" w:hAnsi="Sylfaen"/>
          <w:spacing w:val="-6"/>
          <w:sz w:val="24"/>
          <w:szCs w:val="24"/>
        </w:rPr>
        <w:t xml:space="preserve"> </w:t>
      </w:r>
      <w:r w:rsidR="00C54D75">
        <w:rPr>
          <w:rFonts w:ascii="Sylfaen" w:hAnsi="Sylfaen"/>
          <w:spacing w:val="-6"/>
          <w:sz w:val="24"/>
          <w:szCs w:val="24"/>
        </w:rPr>
        <w:t>և</w:t>
      </w:r>
      <w:r w:rsidRPr="00B60DF2">
        <w:rPr>
          <w:rFonts w:ascii="Sylfaen" w:hAnsi="Sylfaen"/>
          <w:spacing w:val="-6"/>
          <w:sz w:val="24"/>
          <w:szCs w:val="24"/>
        </w:rPr>
        <w:t xml:space="preserve"> ուսումնասիրվող յուրաքանչյուր դեղապատրաստուկի մասով՝ դեղապատրաստուկի վերաբերյալ վերանայված տեղեկատվություն</w:t>
      </w:r>
      <w:r w:rsidRPr="00826F05">
        <w:rPr>
          <w:rFonts w:ascii="Sylfaen" w:hAnsi="Sylfaen"/>
          <w:sz w:val="24"/>
          <w:szCs w:val="24"/>
        </w:rPr>
        <w:t xml:space="preserve"> (եթե կիրառելի է): Դա լիազորված մարմիններին թույլ կտա պարտավորությունների բաշխման ընթացակարգում ընդգրկված յուրաքանչյուր գրանցման դոսյեում ներառելու համապատասխան փոփոխված կամ նոր տեղեկատվություն:</w:t>
      </w:r>
    </w:p>
    <w:p w14:paraId="0F5BEE69" w14:textId="2F239CAA"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ն անհրաժեշտ է ներկայացնել այն բոլոր անդամ պետություններ, որոնցում գրանցված են ուսումնասիրվող դեղապատրաստուկները:</w:t>
      </w:r>
    </w:p>
    <w:p w14:paraId="54D5F940"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3.2. </w:t>
      </w:r>
      <w:r w:rsidRPr="00826F05">
        <w:rPr>
          <w:rFonts w:ascii="Sylfaen" w:hAnsi="Sylfaen"/>
          <w:sz w:val="24"/>
          <w:szCs w:val="24"/>
        </w:rPr>
        <w:tab/>
        <w:t>Պարտավորությունները բաշխելիս անցկացվող փորձաքննությունը:</w:t>
      </w:r>
    </w:p>
    <w:p w14:paraId="2FC7F48D" w14:textId="604ED96D"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 xml:space="preserve">ի կողմից Փորձագիտական կոմիտեին պարտավորությունների բաշխման առաջիկա ընթացակարգի մասին ծանուցելու դեպքում Փորձագիտական կոմիտեն, տվյալ ծանուցումը ստանալու պահից ոչ ուշ, քան 60 օրացուցային օրվա ընթացքում Փորձագիտական կոմիտեի նիստի ժամանակ նշանակում է ռեֆերենտ մարմին՝ հաշվի առնելով </w:t>
      </w:r>
      <w:r>
        <w:rPr>
          <w:rFonts w:ascii="Sylfaen" w:hAnsi="Sylfaen"/>
          <w:sz w:val="24"/>
          <w:szCs w:val="24"/>
        </w:rPr>
        <w:t>դիմումատու</w:t>
      </w:r>
      <w:r w:rsidR="004F5982" w:rsidRPr="00826F05">
        <w:rPr>
          <w:rFonts w:ascii="Sylfaen" w:hAnsi="Sylfaen"/>
          <w:sz w:val="24"/>
          <w:szCs w:val="24"/>
        </w:rPr>
        <w:t xml:space="preserve">ի առաջարկությունը, </w:t>
      </w:r>
      <w:r w:rsidR="00C54D75">
        <w:rPr>
          <w:rFonts w:ascii="Sylfaen" w:hAnsi="Sylfaen"/>
          <w:sz w:val="24"/>
          <w:szCs w:val="24"/>
        </w:rPr>
        <w:t>և</w:t>
      </w:r>
      <w:r w:rsidR="004F5982" w:rsidRPr="00826F05">
        <w:rPr>
          <w:rFonts w:ascii="Sylfaen" w:hAnsi="Sylfaen"/>
          <w:sz w:val="24"/>
          <w:szCs w:val="24"/>
        </w:rPr>
        <w:t xml:space="preserve"> եթե դեղամիջոցների գրանցման կանոնների թիվ 19 հավելվածի 4.1.2 կետին համապատասխան կիրառելի է, այլ ռեֆերենտ մարմին՝ ռեֆերենտ մարմնին օժանդակելու </w:t>
      </w:r>
      <w:r w:rsidR="004F5982" w:rsidRPr="00826F05">
        <w:rPr>
          <w:rFonts w:ascii="Sylfaen" w:hAnsi="Sylfaen"/>
          <w:sz w:val="24"/>
          <w:szCs w:val="24"/>
        </w:rPr>
        <w:lastRenderedPageBreak/>
        <w:t xml:space="preserve">նպատակով: Փորձագիտական մարմինը 10 աշխատանքային օրվա ընթացքում </w:t>
      </w:r>
      <w:r>
        <w:rPr>
          <w:rFonts w:ascii="Sylfaen" w:hAnsi="Sylfaen"/>
          <w:sz w:val="24"/>
          <w:szCs w:val="24"/>
        </w:rPr>
        <w:t>դիմումատու</w:t>
      </w:r>
      <w:r w:rsidR="004F5982" w:rsidRPr="00826F05">
        <w:rPr>
          <w:rFonts w:ascii="Sylfaen" w:hAnsi="Sylfaen"/>
          <w:sz w:val="24"/>
          <w:szCs w:val="24"/>
        </w:rPr>
        <w:t>ին ծանուցում է այն որոշման մասին, թե որ ազգային լիազորված մարմինն է հանդես գալու որպես ռեֆերենտ մարմին:</w:t>
      </w:r>
    </w:p>
    <w:p w14:paraId="24FD9912" w14:textId="56FF7F39"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Պարտավորությունների բաշխման մասին </w:t>
      </w:r>
      <w:r w:rsidR="0056496B">
        <w:rPr>
          <w:rFonts w:ascii="Sylfaen" w:hAnsi="Sylfaen"/>
          <w:sz w:val="24"/>
          <w:szCs w:val="24"/>
        </w:rPr>
        <w:t>դիմում</w:t>
      </w:r>
      <w:r w:rsidRPr="00826F05">
        <w:rPr>
          <w:rFonts w:ascii="Sylfaen" w:hAnsi="Sylfaen"/>
          <w:sz w:val="24"/>
          <w:szCs w:val="24"/>
        </w:rPr>
        <w:t>ը ստանալուց հետո ռեֆերենտ մարմինն այն մշակում է հետ</w:t>
      </w:r>
      <w:r w:rsidR="00C54D75">
        <w:rPr>
          <w:rFonts w:ascii="Sylfaen" w:hAnsi="Sylfaen"/>
          <w:sz w:val="24"/>
          <w:szCs w:val="24"/>
        </w:rPr>
        <w:t>և</w:t>
      </w:r>
      <w:r w:rsidRPr="00826F05">
        <w:rPr>
          <w:rFonts w:ascii="Sylfaen" w:hAnsi="Sylfaen"/>
          <w:sz w:val="24"/>
          <w:szCs w:val="24"/>
        </w:rPr>
        <w:t>յալ կերպ:</w:t>
      </w:r>
    </w:p>
    <w:p w14:paraId="2FE604D5" w14:textId="0BF9669C"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ճանաչում է պարտավորությունների բաշխման մասին վավեր </w:t>
      </w:r>
      <w:r w:rsidR="0056496B">
        <w:rPr>
          <w:rFonts w:ascii="Sylfaen" w:hAnsi="Sylfaen"/>
          <w:sz w:val="24"/>
          <w:szCs w:val="24"/>
        </w:rPr>
        <w:t>դիմում</w:t>
      </w:r>
      <w:r w:rsidRPr="00826F05">
        <w:rPr>
          <w:rFonts w:ascii="Sylfaen" w:hAnsi="Sylfaen"/>
          <w:sz w:val="24"/>
          <w:szCs w:val="24"/>
        </w:rPr>
        <w:t xml:space="preserve">ի ստացման փաստը: Վավեր </w:t>
      </w:r>
      <w:r w:rsidR="0056496B">
        <w:rPr>
          <w:rFonts w:ascii="Sylfaen" w:hAnsi="Sylfaen"/>
          <w:sz w:val="24"/>
          <w:szCs w:val="24"/>
        </w:rPr>
        <w:t>դիմում</w:t>
      </w:r>
      <w:r w:rsidRPr="00826F05">
        <w:rPr>
          <w:rFonts w:ascii="Sylfaen" w:hAnsi="Sylfaen"/>
          <w:sz w:val="24"/>
          <w:szCs w:val="24"/>
        </w:rPr>
        <w:t xml:space="preserve">ի ստացման փաստը ճանաչելուց անմիջապես հետո ռեֆերենտ մարմինը սկսում է ընթացակարգը: Ընթացակարգը սկսելու պահին իրավատերը </w:t>
      </w:r>
      <w:r w:rsidR="00C54D75">
        <w:rPr>
          <w:rFonts w:ascii="Sylfaen" w:hAnsi="Sylfaen"/>
          <w:sz w:val="24"/>
          <w:szCs w:val="24"/>
        </w:rPr>
        <w:t>և</w:t>
      </w:r>
      <w:r w:rsidRPr="00826F05">
        <w:rPr>
          <w:rFonts w:ascii="Sylfaen" w:hAnsi="Sylfaen"/>
          <w:sz w:val="24"/>
          <w:szCs w:val="24"/>
        </w:rPr>
        <w:t xml:space="preserve"> շահագրգիռ անդամ պետությունները կծանուցվեն ժամկետների մասին:</w:t>
      </w:r>
    </w:p>
    <w:p w14:paraId="2654292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B60DF2">
        <w:rPr>
          <w:rFonts w:ascii="Sylfaen" w:hAnsi="Sylfaen"/>
          <w:spacing w:val="-6"/>
          <w:sz w:val="24"/>
          <w:szCs w:val="24"/>
        </w:rPr>
        <w:t>Ըստ ընդհանուր կանոնի՝ պարտավորությունների բաշխման ընթացակարգերի ժամանակ փորձաքննությունն</w:t>
      </w:r>
      <w:r w:rsidRPr="00826F05">
        <w:rPr>
          <w:rFonts w:ascii="Sylfaen" w:hAnsi="Sylfaen"/>
          <w:sz w:val="24"/>
          <w:szCs w:val="24"/>
        </w:rPr>
        <w:t xml:space="preserve"> անցկացվում է 60 օրացուցային օրվա ընթացքում: Ռեֆերենտ մարմինն իրավունք ունի կրճատելու այդ ժամկետը՝ հաշվի առնելով հարցի հրատապությունը՝ հատկապես անվտանգության տեսակետից, կամ այն երկարաձգելու մինչ</w:t>
      </w:r>
      <w:r w:rsidR="00C54D75">
        <w:rPr>
          <w:rFonts w:ascii="Sylfaen" w:hAnsi="Sylfaen"/>
          <w:sz w:val="24"/>
          <w:szCs w:val="24"/>
        </w:rPr>
        <w:t>և</w:t>
      </w:r>
      <w:r w:rsidRPr="00826F05">
        <w:rPr>
          <w:rFonts w:ascii="Sylfaen" w:hAnsi="Sylfaen"/>
          <w:sz w:val="24"/>
          <w:szCs w:val="24"/>
        </w:rPr>
        <w:t xml:space="preserve"> 90 օրացուցային օր՝ կիրառման հաստատված ցուցումների ձ</w:t>
      </w:r>
      <w:r w:rsidR="00C54D75">
        <w:rPr>
          <w:rFonts w:ascii="Sylfaen" w:hAnsi="Sylfaen"/>
          <w:sz w:val="24"/>
          <w:szCs w:val="24"/>
        </w:rPr>
        <w:t>և</w:t>
      </w:r>
      <w:r w:rsidRPr="00826F05">
        <w:rPr>
          <w:rFonts w:ascii="Sylfaen" w:hAnsi="Sylfaen"/>
          <w:sz w:val="24"/>
          <w:szCs w:val="24"/>
        </w:rPr>
        <w:t>ափոխման կամ կիրառման նոր ցուցումների ներառման եղանակով կատարված փոփոխություններով կամ փոփոխությունների խմբով պայմանավորված՝ դեղամիջոցների գրանցման կանոնների թիվ 19 հավելվածի 1.7.2 ենթակետի չորրորդ պարբերությանը կամ 3.4.2 կետի չորրորդ</w:t>
      </w:r>
      <w:r w:rsidRPr="00B60DF2">
        <w:rPr>
          <w:rFonts w:ascii="Sylfaen" w:hAnsi="Sylfaen"/>
          <w:sz w:val="24"/>
          <w:szCs w:val="24"/>
        </w:rPr>
        <w:t> </w:t>
      </w:r>
      <w:r w:rsidRPr="00826F05">
        <w:rPr>
          <w:rFonts w:ascii="Sylfaen" w:hAnsi="Sylfaen"/>
          <w:sz w:val="24"/>
          <w:szCs w:val="24"/>
        </w:rPr>
        <w:t>պարբերությանը համապատասխան:</w:t>
      </w:r>
    </w:p>
    <w:p w14:paraId="05BCC6B2" w14:textId="06309E75"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մարմինը, նշված ժամկետներին համապատասխան, եզրակացություն է պատրաստում </w:t>
      </w:r>
      <w:r w:rsidR="00C54D75">
        <w:rPr>
          <w:rFonts w:ascii="Sylfaen" w:hAnsi="Sylfaen"/>
          <w:sz w:val="24"/>
          <w:szCs w:val="24"/>
        </w:rPr>
        <w:t>և</w:t>
      </w:r>
      <w:r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Pr="00826F05">
        <w:rPr>
          <w:rFonts w:ascii="Sylfaen" w:hAnsi="Sylfaen"/>
          <w:sz w:val="24"/>
          <w:szCs w:val="24"/>
        </w:rPr>
        <w:t xml:space="preserve"> </w:t>
      </w:r>
      <w:r w:rsidR="0056496B">
        <w:rPr>
          <w:rFonts w:ascii="Sylfaen" w:hAnsi="Sylfaen"/>
          <w:sz w:val="24"/>
          <w:szCs w:val="24"/>
        </w:rPr>
        <w:t>դիմումատու</w:t>
      </w:r>
      <w:r w:rsidRPr="00826F05">
        <w:rPr>
          <w:rFonts w:ascii="Sylfaen" w:hAnsi="Sylfaen"/>
          <w:sz w:val="24"/>
          <w:szCs w:val="24"/>
        </w:rPr>
        <w:t>ին տեղեկացնելու նպատակով: Շահագրգիռ անդամ պետությունները նախատեսված ժամկետներում իրենց մեկնաբանություններն ուղարկում են ռեֆերենտ մարմին:</w:t>
      </w:r>
    </w:p>
    <w:p w14:paraId="361F4D3E" w14:textId="127C7630"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 xml:space="preserve">Ռեֆերենտ մարմինն իրավունք ունի փորձաքննության ընթացքում դիմելու </w:t>
      </w:r>
      <w:r w:rsidR="0056496B">
        <w:rPr>
          <w:rFonts w:ascii="Sylfaen" w:hAnsi="Sylfaen"/>
          <w:sz w:val="24"/>
          <w:szCs w:val="24"/>
        </w:rPr>
        <w:t>դիմումատու</w:t>
      </w:r>
      <w:r w:rsidRPr="00826F05">
        <w:rPr>
          <w:rFonts w:ascii="Sylfaen" w:hAnsi="Sylfaen"/>
          <w:sz w:val="24"/>
          <w:szCs w:val="24"/>
        </w:rPr>
        <w:t xml:space="preserve">ին՝ լրացուցիչ տեղեկություններ ստանալու հարցմամբ։ Լրացուցիչ </w:t>
      </w:r>
      <w:r w:rsidRPr="00826F05">
        <w:rPr>
          <w:rFonts w:ascii="Sylfaen" w:hAnsi="Sylfaen"/>
          <w:sz w:val="24"/>
          <w:szCs w:val="24"/>
        </w:rPr>
        <w:lastRenderedPageBreak/>
        <w:t xml:space="preserve">տեղեկություններ ստանալու հարցումը կուղարկվի </w:t>
      </w:r>
      <w:r w:rsidR="0056496B">
        <w:rPr>
          <w:rFonts w:ascii="Sylfaen" w:hAnsi="Sylfaen"/>
          <w:sz w:val="24"/>
          <w:szCs w:val="24"/>
        </w:rPr>
        <w:t>դիմումատու</w:t>
      </w:r>
      <w:r w:rsidRPr="00826F05">
        <w:rPr>
          <w:rFonts w:ascii="Sylfaen" w:hAnsi="Sylfaen"/>
          <w:sz w:val="24"/>
          <w:szCs w:val="24"/>
        </w:rPr>
        <w:t xml:space="preserve">ին՝ հարցված </w:t>
      </w:r>
      <w:r w:rsidRPr="00B60DF2">
        <w:rPr>
          <w:rFonts w:ascii="Sylfaen" w:hAnsi="Sylfaen"/>
          <w:spacing w:val="-6"/>
          <w:sz w:val="24"/>
          <w:szCs w:val="24"/>
        </w:rPr>
        <w:t>տվյալների՝ վերջինիս կողմից ներկայացման ժամկետի (մինչ</w:t>
      </w:r>
      <w:r w:rsidR="00C54D75">
        <w:rPr>
          <w:rFonts w:ascii="Sylfaen" w:hAnsi="Sylfaen"/>
          <w:spacing w:val="-6"/>
          <w:sz w:val="24"/>
          <w:szCs w:val="24"/>
        </w:rPr>
        <w:t>և</w:t>
      </w:r>
      <w:r w:rsidRPr="00B60DF2">
        <w:rPr>
          <w:rFonts w:ascii="Sylfaen" w:hAnsi="Sylfaen"/>
          <w:spacing w:val="-6"/>
          <w:sz w:val="24"/>
          <w:szCs w:val="24"/>
        </w:rPr>
        <w:t xml:space="preserve"> 90 օրացուցային օր)</w:t>
      </w:r>
      <w:r w:rsidRPr="00826F05">
        <w:rPr>
          <w:rFonts w:ascii="Sylfaen" w:hAnsi="Sylfaen"/>
          <w:sz w:val="24"/>
          <w:szCs w:val="24"/>
        </w:rPr>
        <w:t xml:space="preserve"> </w:t>
      </w:r>
      <w:r w:rsidR="00C54D75">
        <w:rPr>
          <w:rFonts w:ascii="Sylfaen" w:hAnsi="Sylfaen"/>
          <w:sz w:val="24"/>
          <w:szCs w:val="24"/>
        </w:rPr>
        <w:t>և</w:t>
      </w:r>
      <w:r w:rsidRPr="00826F05">
        <w:rPr>
          <w:rFonts w:ascii="Sylfaen" w:hAnsi="Sylfaen"/>
          <w:sz w:val="24"/>
          <w:szCs w:val="24"/>
        </w:rPr>
        <w:t xml:space="preserve"> անհրաժեշտության դեպքում՝ փորձաքննության ժամկետի երկարաձգման նշումով:</w:t>
      </w:r>
    </w:p>
    <w:p w14:paraId="69E30E4D" w14:textId="572F3022"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sz w:val="24"/>
          <w:szCs w:val="24"/>
        </w:rPr>
        <w:t>Ընթացակարգը դադարեցվում է մինչ</w:t>
      </w:r>
      <w:r w:rsidR="00C54D75">
        <w:rPr>
          <w:rFonts w:ascii="Sylfaen" w:hAnsi="Sylfaen"/>
          <w:sz w:val="24"/>
          <w:szCs w:val="24"/>
        </w:rPr>
        <w:t>և</w:t>
      </w:r>
      <w:r w:rsidRPr="00826F05">
        <w:rPr>
          <w:rFonts w:ascii="Sylfaen" w:hAnsi="Sylfaen"/>
          <w:sz w:val="24"/>
          <w:szCs w:val="24"/>
        </w:rPr>
        <w:t xml:space="preserve"> լրացուցիչ տեղեկություններ ստանալը: Ստացված տվյալների փորձաքննությունը կարող է տ</w:t>
      </w:r>
      <w:r w:rsidR="00C54D75">
        <w:rPr>
          <w:rFonts w:ascii="Sylfaen" w:hAnsi="Sylfaen"/>
          <w:sz w:val="24"/>
          <w:szCs w:val="24"/>
        </w:rPr>
        <w:t>և</w:t>
      </w:r>
      <w:r w:rsidRPr="00826F05">
        <w:rPr>
          <w:rFonts w:ascii="Sylfaen" w:hAnsi="Sylfaen"/>
          <w:sz w:val="24"/>
          <w:szCs w:val="24"/>
        </w:rPr>
        <w:t>ել մինչ</w:t>
      </w:r>
      <w:r w:rsidR="00C54D75">
        <w:rPr>
          <w:rFonts w:ascii="Sylfaen" w:hAnsi="Sylfaen"/>
          <w:sz w:val="24"/>
          <w:szCs w:val="24"/>
        </w:rPr>
        <w:t>և</w:t>
      </w:r>
      <w:r w:rsidRPr="00826F05">
        <w:rPr>
          <w:rFonts w:ascii="Sylfaen" w:hAnsi="Sylfaen"/>
          <w:sz w:val="24"/>
          <w:szCs w:val="24"/>
        </w:rPr>
        <w:t xml:space="preserve"> 30 կամ 60 օրացուցային օր՝ կախված </w:t>
      </w:r>
      <w:r w:rsidR="0056496B">
        <w:rPr>
          <w:rFonts w:ascii="Sylfaen" w:hAnsi="Sylfaen"/>
          <w:sz w:val="24"/>
          <w:szCs w:val="24"/>
        </w:rPr>
        <w:t>դիմումատու</w:t>
      </w:r>
      <w:r w:rsidRPr="00826F05">
        <w:rPr>
          <w:rFonts w:ascii="Sylfaen" w:hAnsi="Sylfaen"/>
          <w:sz w:val="24"/>
          <w:szCs w:val="24"/>
        </w:rPr>
        <w:t xml:space="preserve">ից հարցված տվյալների բարդությունից </w:t>
      </w:r>
      <w:r w:rsidR="00C54D75">
        <w:rPr>
          <w:rFonts w:ascii="Sylfaen" w:hAnsi="Sylfaen"/>
          <w:sz w:val="24"/>
          <w:szCs w:val="24"/>
        </w:rPr>
        <w:t>և</w:t>
      </w:r>
      <w:r w:rsidRPr="00826F05">
        <w:rPr>
          <w:rFonts w:ascii="Sylfaen" w:hAnsi="Sylfaen"/>
          <w:sz w:val="24"/>
          <w:szCs w:val="24"/>
        </w:rPr>
        <w:t xml:space="preserve"> ծավալից:</w:t>
      </w:r>
    </w:p>
    <w:p w14:paraId="46A88474" w14:textId="74AF0D2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պատասխանը ստանալուց հետո ռեֆերենտ մարմինն ավարտում</w:t>
      </w:r>
      <w:r w:rsidR="004F5982" w:rsidRPr="00B60DF2">
        <w:rPr>
          <w:rFonts w:ascii="Sylfaen" w:hAnsi="Sylfaen"/>
          <w:sz w:val="24"/>
          <w:szCs w:val="24"/>
        </w:rPr>
        <w:t> </w:t>
      </w:r>
      <w:r w:rsidR="004F5982" w:rsidRPr="00826F05">
        <w:rPr>
          <w:rFonts w:ascii="Sylfaen" w:hAnsi="Sylfaen"/>
          <w:sz w:val="24"/>
          <w:szCs w:val="24"/>
        </w:rPr>
        <w:t xml:space="preserve">է փորձագիտական հաշվետվության </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w:t>
      </w:r>
      <w:r w:rsidR="004F5982" w:rsidRPr="00826F05">
        <w:rPr>
          <w:rFonts w:ascii="Sylfaen" w:hAnsi="Sylfaen"/>
          <w:sz w:val="24"/>
          <w:szCs w:val="24"/>
        </w:rPr>
        <w:t xml:space="preserve">ի վերաբերյալ որոշման նախագծի նախապատրաստումը </w:t>
      </w:r>
      <w:r w:rsidR="00C54D75">
        <w:rPr>
          <w:rFonts w:ascii="Sylfaen" w:hAnsi="Sylfaen"/>
          <w:sz w:val="24"/>
          <w:szCs w:val="24"/>
        </w:rPr>
        <w:t>և</w:t>
      </w:r>
      <w:r w:rsidR="004F5982" w:rsidRPr="00826F05">
        <w:rPr>
          <w:rFonts w:ascii="Sylfaen" w:hAnsi="Sylfaen"/>
          <w:sz w:val="24"/>
          <w:szCs w:val="24"/>
        </w:rPr>
        <w:t xml:space="preserve"> դրանք ուղարկում շահագրգիռ անդամ պետություններ՝ մեկնաբանություններ ստանալու, ինչպես նա</w:t>
      </w:r>
      <w:r w:rsidR="00C54D75">
        <w:rPr>
          <w:rFonts w:ascii="Sylfaen" w:hAnsi="Sylfaen"/>
          <w:sz w:val="24"/>
          <w:szCs w:val="24"/>
        </w:rPr>
        <w:t>և</w:t>
      </w:r>
      <w:r w:rsidR="004F5982" w:rsidRPr="00826F05">
        <w:rPr>
          <w:rFonts w:ascii="Sylfaen" w:hAnsi="Sylfaen"/>
          <w:sz w:val="24"/>
          <w:szCs w:val="24"/>
        </w:rPr>
        <w:t xml:space="preserve"> </w:t>
      </w:r>
      <w:r>
        <w:rPr>
          <w:rFonts w:ascii="Sylfaen" w:hAnsi="Sylfaen"/>
          <w:sz w:val="24"/>
          <w:szCs w:val="24"/>
        </w:rPr>
        <w:t>դիմումատու</w:t>
      </w:r>
      <w:r w:rsidR="004F5982" w:rsidRPr="00826F05">
        <w:rPr>
          <w:rFonts w:ascii="Sylfaen" w:hAnsi="Sylfaen"/>
          <w:sz w:val="24"/>
          <w:szCs w:val="24"/>
        </w:rPr>
        <w:t xml:space="preserve">ին տեղեկացնելու նպատակով: </w:t>
      </w:r>
    </w:p>
    <w:p w14:paraId="49EE1FDF" w14:textId="77777777" w:rsidR="004F5982" w:rsidRPr="00826F05" w:rsidRDefault="004F5982" w:rsidP="00487007">
      <w:pPr>
        <w:tabs>
          <w:tab w:val="left" w:pos="1134"/>
        </w:tabs>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3.3.</w:t>
      </w:r>
      <w:r w:rsidRPr="00826F05">
        <w:rPr>
          <w:rFonts w:ascii="Sylfaen" w:hAnsi="Sylfaen"/>
          <w:sz w:val="24"/>
          <w:szCs w:val="24"/>
        </w:rPr>
        <w:tab/>
        <w:t>Պարտավորությունները բաշխելիս անցկացվող փորձաքննությունն ավարտելը:</w:t>
      </w:r>
    </w:p>
    <w:p w14:paraId="4F497DA9" w14:textId="6F270FF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Փորձաքննության ժամկետի ավարտին ռեֆերենտ մարմինը </w:t>
      </w:r>
      <w:r w:rsidR="0056496B">
        <w:rPr>
          <w:rFonts w:ascii="Sylfaen" w:hAnsi="Sylfaen"/>
          <w:sz w:val="24"/>
          <w:szCs w:val="24"/>
        </w:rPr>
        <w:t>դիմում</w:t>
      </w:r>
      <w:r w:rsidRPr="00826F05">
        <w:rPr>
          <w:rFonts w:ascii="Sylfaen" w:hAnsi="Sylfaen"/>
          <w:sz w:val="24"/>
          <w:szCs w:val="24"/>
        </w:rPr>
        <w:t xml:space="preserve">ի վերաբերյալ եզրակացություն է տալիս </w:t>
      </w:r>
      <w:r w:rsidR="00C54D75">
        <w:rPr>
          <w:rFonts w:ascii="Sylfaen" w:hAnsi="Sylfaen"/>
          <w:sz w:val="24"/>
          <w:szCs w:val="24"/>
        </w:rPr>
        <w:t>և</w:t>
      </w:r>
      <w:r w:rsidRPr="00826F05">
        <w:rPr>
          <w:rFonts w:ascii="Sylfaen" w:hAnsi="Sylfaen"/>
          <w:sz w:val="24"/>
          <w:szCs w:val="24"/>
        </w:rPr>
        <w:t xml:space="preserve"> ծանուցում է շահագրգիռ անդամ պետություններին ու </w:t>
      </w:r>
      <w:r w:rsidR="0056496B">
        <w:rPr>
          <w:rFonts w:ascii="Sylfaen" w:hAnsi="Sylfaen"/>
          <w:sz w:val="24"/>
          <w:szCs w:val="24"/>
        </w:rPr>
        <w:t>դիմումատու</w:t>
      </w:r>
      <w:r w:rsidRPr="00826F05">
        <w:rPr>
          <w:rFonts w:ascii="Sylfaen" w:hAnsi="Sylfaen"/>
          <w:sz w:val="24"/>
          <w:szCs w:val="24"/>
        </w:rPr>
        <w:t>ին:</w:t>
      </w:r>
    </w:p>
    <w:p w14:paraId="5166997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Դրական եզրակացության դեպքում չհաստատված փոփոխությունների ցանկն անհրաժեշտ է առդնել եզրակացությանը (եթե կիրառելի է): Փոփոխությունները կարող են հաստատվել միայն ուսումնասիրվող մի քանի դեղապատրաստուկների մասով: Բացասական եզրակացության դեպքում անհրաժեշտ է նշել հիմքերը:</w:t>
      </w:r>
    </w:p>
    <w:p w14:paraId="6819E7E8" w14:textId="73CEF55B"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Եզրակացությունը ստանալուց հետո՝ 30 օրացուցային օրվա ընթացքում, շահագրգիռ անդամ պետությունները ճանաչում են որոշումը </w:t>
      </w:r>
      <w:r w:rsidR="00C54D75">
        <w:rPr>
          <w:rFonts w:ascii="Sylfaen" w:hAnsi="Sylfaen"/>
          <w:sz w:val="24"/>
          <w:szCs w:val="24"/>
        </w:rPr>
        <w:t>և</w:t>
      </w:r>
      <w:r w:rsidRPr="00826F05">
        <w:rPr>
          <w:rFonts w:ascii="Sylfaen" w:hAnsi="Sylfaen"/>
          <w:sz w:val="24"/>
          <w:szCs w:val="24"/>
        </w:rPr>
        <w:t xml:space="preserve"> այդ մասին ծանուցում են ռեֆերենտ մարմնին, եթե միայն չի </w:t>
      </w:r>
      <w:r w:rsidR="00FE4A71">
        <w:rPr>
          <w:rFonts w:ascii="Sylfaen" w:hAnsi="Sylfaen"/>
          <w:sz w:val="24"/>
          <w:szCs w:val="24"/>
        </w:rPr>
        <w:t xml:space="preserve">հայտնաբերվել </w:t>
      </w:r>
      <w:r w:rsidRPr="00826F05">
        <w:rPr>
          <w:rFonts w:ascii="Sylfaen" w:hAnsi="Sylfaen"/>
          <w:sz w:val="24"/>
          <w:szCs w:val="24"/>
        </w:rPr>
        <w:t xml:space="preserve"> մարդու առողջության համար հնարավոր լուրջ ռիսկ, որն անդամ պետությանը թույլ չի տա ճանաչել ռեֆերենտ մարմնի եզրակացությունը: Ռեֆերենտ մարմնի </w:t>
      </w:r>
      <w:r w:rsidRPr="00826F05">
        <w:rPr>
          <w:rFonts w:ascii="Sylfaen" w:hAnsi="Sylfaen"/>
          <w:sz w:val="24"/>
          <w:szCs w:val="24"/>
        </w:rPr>
        <w:lastRenderedPageBreak/>
        <w:t xml:space="preserve">եզրակացությունը ստանալու օրվանից 30 օրացուցային օրվա ընթացքում այդպիսի հնարավոր լուրջ ռիսկը </w:t>
      </w:r>
      <w:r w:rsidR="0056496B">
        <w:rPr>
          <w:rFonts w:ascii="Sylfaen" w:hAnsi="Sylfaen"/>
          <w:sz w:val="24"/>
          <w:szCs w:val="24"/>
        </w:rPr>
        <w:t>դիմում</w:t>
      </w:r>
      <w:r w:rsidRPr="00826F05">
        <w:rPr>
          <w:rFonts w:ascii="Sylfaen" w:hAnsi="Sylfaen"/>
          <w:sz w:val="24"/>
          <w:szCs w:val="24"/>
        </w:rPr>
        <w:t xml:space="preserve">նաբերող անդամ պետությունը պետք է ռեֆերենտ մարմնին ծանուցի </w:t>
      </w:r>
      <w:r w:rsidR="00C54D75">
        <w:rPr>
          <w:rFonts w:ascii="Sylfaen" w:hAnsi="Sylfaen"/>
          <w:sz w:val="24"/>
          <w:szCs w:val="24"/>
        </w:rPr>
        <w:t>և</w:t>
      </w:r>
      <w:r w:rsidRPr="00826F05">
        <w:rPr>
          <w:rFonts w:ascii="Sylfaen" w:hAnsi="Sylfaen"/>
          <w:sz w:val="24"/>
          <w:szCs w:val="24"/>
        </w:rPr>
        <w:t xml:space="preserve"> նշի իր դիրքորոշման մանրամասն պատճառները:</w:t>
      </w:r>
    </w:p>
    <w:p w14:paraId="44E29748" w14:textId="703C0F8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Այնուհետ</w:t>
      </w:r>
      <w:r w:rsidR="00C54D75">
        <w:rPr>
          <w:rFonts w:ascii="Sylfaen" w:hAnsi="Sylfaen"/>
          <w:sz w:val="24"/>
          <w:szCs w:val="24"/>
        </w:rPr>
        <w:t>և</w:t>
      </w:r>
      <w:r w:rsidRPr="00826F05">
        <w:rPr>
          <w:rFonts w:ascii="Sylfaen" w:hAnsi="Sylfaen"/>
          <w:sz w:val="24"/>
          <w:szCs w:val="24"/>
        </w:rPr>
        <w:t xml:space="preserve"> ռեֆերենտ մարմինն անհամաձայնության մասին </w:t>
      </w:r>
      <w:r w:rsidR="0056496B">
        <w:rPr>
          <w:rFonts w:ascii="Sylfaen" w:hAnsi="Sylfaen"/>
          <w:sz w:val="24"/>
          <w:szCs w:val="24"/>
        </w:rPr>
        <w:t>դիմում</w:t>
      </w:r>
      <w:r w:rsidRPr="00826F05">
        <w:rPr>
          <w:rFonts w:ascii="Sylfaen" w:hAnsi="Sylfaen"/>
          <w:sz w:val="24"/>
          <w:szCs w:val="24"/>
        </w:rPr>
        <w:t xml:space="preserve"> է ուղարկում Փորձագիտական կոմիտե </w:t>
      </w:r>
      <w:r w:rsidR="00C54D75">
        <w:rPr>
          <w:rFonts w:ascii="Sylfaen" w:hAnsi="Sylfaen"/>
          <w:sz w:val="24"/>
          <w:szCs w:val="24"/>
        </w:rPr>
        <w:t>և</w:t>
      </w:r>
      <w:r w:rsidRPr="00826F05">
        <w:rPr>
          <w:rFonts w:ascii="Sylfaen" w:hAnsi="Sylfaen"/>
          <w:sz w:val="24"/>
          <w:szCs w:val="24"/>
        </w:rPr>
        <w:t xml:space="preserve"> այդ մասին ծանուցում է </w:t>
      </w:r>
      <w:r w:rsidR="0056496B">
        <w:rPr>
          <w:rFonts w:ascii="Sylfaen" w:hAnsi="Sylfaen"/>
          <w:sz w:val="24"/>
          <w:szCs w:val="24"/>
        </w:rPr>
        <w:t>դիմումատու</w:t>
      </w:r>
      <w:r w:rsidRPr="00826F05">
        <w:rPr>
          <w:rFonts w:ascii="Sylfaen" w:hAnsi="Sylfaen"/>
          <w:sz w:val="24"/>
          <w:szCs w:val="24"/>
        </w:rPr>
        <w:t xml:space="preserve">ին </w:t>
      </w:r>
      <w:r w:rsidR="00C54D75">
        <w:rPr>
          <w:rFonts w:ascii="Sylfaen" w:hAnsi="Sylfaen"/>
          <w:sz w:val="24"/>
          <w:szCs w:val="24"/>
        </w:rPr>
        <w:t>և</w:t>
      </w:r>
      <w:r w:rsidRPr="00826F05">
        <w:rPr>
          <w:rFonts w:ascii="Sylfaen" w:hAnsi="Sylfaen"/>
          <w:sz w:val="24"/>
          <w:szCs w:val="24"/>
        </w:rPr>
        <w:t xml:space="preserve"> շահագրգիռ անդամ պետություններին:</w:t>
      </w:r>
    </w:p>
    <w:p w14:paraId="43D2837E" w14:textId="398B0DD8"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կոմիտե դիմելիս պարտավորությունների բաշխման վերաբերյալ </w:t>
      </w:r>
      <w:r w:rsidR="0056496B">
        <w:rPr>
          <w:rFonts w:ascii="Sylfaen" w:hAnsi="Sylfaen"/>
          <w:sz w:val="24"/>
          <w:szCs w:val="24"/>
        </w:rPr>
        <w:t>դիմում</w:t>
      </w:r>
      <w:r w:rsidRPr="00826F05">
        <w:rPr>
          <w:rFonts w:ascii="Sylfaen" w:hAnsi="Sylfaen"/>
          <w:sz w:val="24"/>
          <w:szCs w:val="24"/>
        </w:rPr>
        <w:t>ի ուսումնասիրության ընթացակարգը դադարեցվում է մինչ</w:t>
      </w:r>
      <w:r w:rsidR="00C54D75">
        <w:rPr>
          <w:rFonts w:ascii="Sylfaen" w:hAnsi="Sylfaen"/>
          <w:sz w:val="24"/>
          <w:szCs w:val="24"/>
        </w:rPr>
        <w:t>և</w:t>
      </w:r>
      <w:r w:rsidRPr="00826F05">
        <w:rPr>
          <w:rFonts w:ascii="Sylfaen" w:hAnsi="Sylfaen"/>
          <w:sz w:val="24"/>
          <w:szCs w:val="24"/>
        </w:rPr>
        <w:t xml:space="preserve"> Փորձագիտական կոմիտեի կողմից որոշում ընդունվելը:</w:t>
      </w:r>
    </w:p>
    <w:p w14:paraId="7E0B468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Դեղապատրաստուկի ընդհանուր բնութագրում, մականշվածքում կամ ներդիր-թերթիկում կատարված փոփոխությունների մասին դրական որոշման մասին տեղեկացնելուց հետո իրավատերը պետք է 7 աշխատանքային օրվա ընթացքում դեղապատրաստուկի մասին փաստաթղթերը ներկայացնի բոլոր շահագրգիռ անդամ պետություններ:</w:t>
      </w:r>
    </w:p>
    <w:p w14:paraId="119E578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հաստատելուց հետո կամ Փորձագիտական կոմիտե դիմելու նախաձեռնության դեպքում Փորձագիտական կոմիտեի համաձայնության մասին ծանուցումը հաստատելուց հետո՝ 30 օրացուցային օրվա ընթացքում, շահագրգիռ անդամ պետությունները համապատասխան եղանակով ուղղում են գրանցման դոսյեն՝ գրանցման դոսյեի փոփոխության համար անհրաժեշտ փաստաթղթերը շահագրգիռ անդամ պետություններ ներկայացնելու պայմանով:</w:t>
      </w:r>
    </w:p>
    <w:p w14:paraId="0290BAD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Պարտավորությունների բաշխման ընթացակարգի շրջանակներում հաստատված IB տիպի ոչ էական փոփոխությունները թույլ է տրվում իրականացնել ռեֆերենտ մարմնի դրական եզրակացությունը ստանալուց հետո:</w:t>
      </w:r>
    </w:p>
    <w:p w14:paraId="055BEFE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Դեղամիջոցների գրանցման կանոնների թիվ 19 հավելվածի 1.6 կետի համաձայն՝ դեղապատրաստուկի մասին տեղեկատվության վերանայման հանգեցնող ցանկացած փոփոխություն թույլատրվում է իրականացնել գրանցման դոսյեի մեջ փոփոխությունները կատարելուց հետո:</w:t>
      </w:r>
    </w:p>
    <w:p w14:paraId="330EE35C" w14:textId="3ADE526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Ընդունված II տիպի էական փոփոխությունը (ներառյալ՝ IB տիպի ոչ էական փոփոխությունների խումբ պարունակող) թույլատրվում է իրականացնել ռեֆերենտ մարմնի կողմից փոփոխությունն ընդունվելու մասին </w:t>
      </w:r>
      <w:r w:rsidR="0056496B">
        <w:rPr>
          <w:rFonts w:ascii="Sylfaen" w:hAnsi="Sylfaen"/>
          <w:sz w:val="24"/>
          <w:szCs w:val="24"/>
        </w:rPr>
        <w:t>դիմումատու</w:t>
      </w:r>
      <w:r w:rsidRPr="00826F05">
        <w:rPr>
          <w:rFonts w:ascii="Sylfaen" w:hAnsi="Sylfaen"/>
          <w:sz w:val="24"/>
          <w:szCs w:val="24"/>
        </w:rPr>
        <w:t xml:space="preserve">ին ծանուցելու օրվանից հետո՝ 30 օրացուցային օրվա ընթացքում՝ գրանցման դոսյեների փոփոխության համար անհրաժեշտ փաստաթղթերը շահագրգիռ անդամ պետություններ ներկայացնելու պայմանով: Եթե </w:t>
      </w:r>
      <w:r w:rsidR="0056496B">
        <w:rPr>
          <w:rFonts w:ascii="Sylfaen" w:hAnsi="Sylfaen"/>
          <w:sz w:val="24"/>
          <w:szCs w:val="24"/>
        </w:rPr>
        <w:t>դիմում</w:t>
      </w:r>
      <w:r w:rsidRPr="00826F05">
        <w:rPr>
          <w:rFonts w:ascii="Sylfaen" w:hAnsi="Sylfaen"/>
          <w:sz w:val="24"/>
          <w:szCs w:val="24"/>
        </w:rPr>
        <w:t>ը Փորձագիտական</w:t>
      </w:r>
      <w:r w:rsidRPr="00B60DF2">
        <w:rPr>
          <w:rFonts w:ascii="Sylfaen" w:hAnsi="Sylfaen"/>
          <w:sz w:val="24"/>
          <w:szCs w:val="24"/>
        </w:rPr>
        <w:t> </w:t>
      </w:r>
      <w:r w:rsidRPr="00826F05">
        <w:rPr>
          <w:rFonts w:ascii="Sylfaen" w:hAnsi="Sylfaen"/>
          <w:sz w:val="24"/>
          <w:szCs w:val="24"/>
        </w:rPr>
        <w:t>կոմիտե դիմելու առարկա է եղել, չի թույլատրվում փոփոխությունն իրականացնել մինչ</w:t>
      </w:r>
      <w:r w:rsidR="00C54D75">
        <w:rPr>
          <w:rFonts w:ascii="Sylfaen" w:hAnsi="Sylfaen"/>
          <w:sz w:val="24"/>
          <w:szCs w:val="24"/>
        </w:rPr>
        <w:t>և</w:t>
      </w:r>
      <w:r w:rsidRPr="00826F05">
        <w:rPr>
          <w:rFonts w:ascii="Sylfaen" w:hAnsi="Sylfaen"/>
          <w:sz w:val="24"/>
          <w:szCs w:val="24"/>
        </w:rPr>
        <w:t xml:space="preserve"> փոփոխության ընդունման մասին Փորձագիտական կոմիտեի եզրակացությունն ստանալը:</w:t>
      </w:r>
    </w:p>
    <w:p w14:paraId="5D350F9C" w14:textId="77777777" w:rsidR="004F5982" w:rsidRPr="002618FA" w:rsidRDefault="004F5982" w:rsidP="00487007">
      <w:pPr>
        <w:spacing w:after="160" w:line="360" w:lineRule="auto"/>
        <w:ind w:firstLine="567"/>
        <w:jc w:val="both"/>
        <w:rPr>
          <w:rFonts w:ascii="Sylfaen" w:hAnsi="Sylfaen"/>
          <w:sz w:val="24"/>
          <w:szCs w:val="24"/>
        </w:rPr>
      </w:pPr>
      <w:r>
        <w:rPr>
          <w:rFonts w:ascii="Sylfaen" w:hAnsi="Sylfaen"/>
          <w:sz w:val="24"/>
          <w:szCs w:val="24"/>
        </w:rPr>
        <w:t>Ա</w:t>
      </w:r>
      <w:r w:rsidRPr="00826F05">
        <w:rPr>
          <w:rFonts w:ascii="Sylfaen" w:hAnsi="Sylfaen"/>
          <w:sz w:val="24"/>
          <w:szCs w:val="24"/>
        </w:rPr>
        <w:t xml:space="preserve">նվտանգության հարցերին առնչվող փոփոխություններն անհրաժեշտ է իրականացնել ռեֆերենտ պետության լիազորված մարմնի </w:t>
      </w:r>
      <w:r w:rsidR="00C54D75">
        <w:rPr>
          <w:rFonts w:ascii="Sylfaen" w:hAnsi="Sylfaen"/>
          <w:sz w:val="24"/>
          <w:szCs w:val="24"/>
        </w:rPr>
        <w:t>և</w:t>
      </w:r>
      <w:r w:rsidRPr="00826F05">
        <w:rPr>
          <w:rFonts w:ascii="Sylfaen" w:hAnsi="Sylfaen"/>
          <w:sz w:val="24"/>
          <w:szCs w:val="24"/>
        </w:rPr>
        <w:t xml:space="preserve"> իրավատիրոջ միջ</w:t>
      </w:r>
      <w:r w:rsidR="00C54D75">
        <w:rPr>
          <w:rFonts w:ascii="Sylfaen" w:hAnsi="Sylfaen"/>
          <w:sz w:val="24"/>
          <w:szCs w:val="24"/>
        </w:rPr>
        <w:t>և</w:t>
      </w:r>
      <w:r w:rsidRPr="00826F05">
        <w:rPr>
          <w:rFonts w:ascii="Sylfaen" w:hAnsi="Sylfaen"/>
          <w:sz w:val="24"/>
          <w:szCs w:val="24"/>
        </w:rPr>
        <w:t xml:space="preserve"> համաձայնեցված ժամկետի ընթացքում:</w:t>
      </w:r>
    </w:p>
    <w:p w14:paraId="57A4C466" w14:textId="77777777" w:rsidR="00487007" w:rsidRPr="00E74ADC" w:rsidRDefault="00487007" w:rsidP="004F5982">
      <w:pPr>
        <w:spacing w:after="160" w:line="360" w:lineRule="auto"/>
        <w:ind w:firstLine="567"/>
        <w:jc w:val="both"/>
        <w:rPr>
          <w:rFonts w:ascii="Sylfaen" w:eastAsia="Times New Roman" w:hAnsi="Sylfaen" w:cs="Times New Roman"/>
          <w:sz w:val="24"/>
          <w:szCs w:val="24"/>
        </w:rPr>
      </w:pPr>
    </w:p>
    <w:p w14:paraId="670F74CA" w14:textId="77777777" w:rsidR="00487007" w:rsidRDefault="00487007" w:rsidP="004F5982">
      <w:pPr>
        <w:spacing w:after="160" w:line="360" w:lineRule="auto"/>
        <w:ind w:left="3969" w:right="-2"/>
        <w:jc w:val="center"/>
        <w:rPr>
          <w:rFonts w:ascii="Sylfaen" w:hAnsi="Sylfaen"/>
          <w:sz w:val="24"/>
          <w:szCs w:val="24"/>
        </w:rPr>
        <w:sectPr w:rsidR="00487007" w:rsidSect="00F8005E">
          <w:pgSz w:w="11906" w:h="16838" w:code="9"/>
          <w:pgMar w:top="1418" w:right="1418" w:bottom="1418" w:left="1418" w:header="709" w:footer="709" w:gutter="0"/>
          <w:pgNumType w:start="1"/>
          <w:cols w:space="708"/>
          <w:titlePg/>
          <w:docGrid w:linePitch="360"/>
        </w:sectPr>
      </w:pPr>
    </w:p>
    <w:p w14:paraId="57004D43" w14:textId="77777777" w:rsidR="004F5982" w:rsidRPr="00826F05" w:rsidRDefault="004F5982" w:rsidP="004F5982">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21</w:t>
      </w:r>
    </w:p>
    <w:p w14:paraId="41A0E20D" w14:textId="77777777" w:rsidR="004F5982" w:rsidRPr="00826F05" w:rsidRDefault="004F5982" w:rsidP="004F5982">
      <w:pPr>
        <w:spacing w:after="160" w:line="360" w:lineRule="auto"/>
        <w:ind w:left="3969" w:right="-2" w:firstLine="4"/>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540CD6FA" w14:textId="77777777" w:rsidR="004F5982" w:rsidRPr="00826F05" w:rsidRDefault="004F5982" w:rsidP="004F5982">
      <w:pPr>
        <w:spacing w:after="160" w:line="360" w:lineRule="auto"/>
        <w:ind w:left="5245"/>
        <w:jc w:val="both"/>
        <w:rPr>
          <w:rFonts w:ascii="Sylfaen" w:hAnsi="Sylfaen"/>
          <w:sz w:val="24"/>
          <w:szCs w:val="24"/>
        </w:rPr>
      </w:pPr>
    </w:p>
    <w:p w14:paraId="0BA00EE3" w14:textId="77777777" w:rsidR="004F5982" w:rsidRPr="00487007" w:rsidRDefault="004F5982" w:rsidP="004F5982">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667DAAE"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I տիպի փոփոխությունների կատարման գնահատման վերաբերյալ եզրակացության</w:t>
      </w:r>
    </w:p>
    <w:p w14:paraId="293D123D" w14:textId="77777777" w:rsidR="004F5982" w:rsidRPr="00826F05" w:rsidRDefault="004F5982" w:rsidP="004F5982">
      <w:pPr>
        <w:spacing w:after="160" w:line="360" w:lineRule="auto"/>
        <w:jc w:val="both"/>
        <w:rPr>
          <w:rFonts w:ascii="Sylfaen" w:hAnsi="Sylfaen"/>
          <w:sz w:val="24"/>
          <w:szCs w:val="24"/>
        </w:rPr>
      </w:pPr>
    </w:p>
    <w:p w14:paraId="26F17D83" w14:textId="77777777" w:rsidR="004F5982" w:rsidRPr="00826F05" w:rsidRDefault="004F5982" w:rsidP="004F5982">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968CBC8" w14:textId="77777777" w:rsidR="004F5982" w:rsidRPr="00826F05" w:rsidRDefault="004F5982" w:rsidP="004F5982">
      <w:pPr>
        <w:spacing w:after="160" w:line="360" w:lineRule="auto"/>
        <w:jc w:val="both"/>
        <w:rPr>
          <w:rFonts w:ascii="Sylfaen" w:hAnsi="Sylfaen"/>
          <w:sz w:val="24"/>
          <w:szCs w:val="24"/>
        </w:rPr>
      </w:pPr>
    </w:p>
    <w:p w14:paraId="645E6C2E" w14:textId="77777777" w:rsidR="004F5982" w:rsidRPr="00826F05" w:rsidRDefault="004F5982" w:rsidP="004F5982">
      <w:pPr>
        <w:spacing w:after="160" w:line="360" w:lineRule="auto"/>
        <w:ind w:left="2124" w:right="156" w:hanging="2124"/>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 xml:space="preserve">) </w:t>
      </w:r>
    </w:p>
    <w:p w14:paraId="15690737"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I տիպի փոփոխությունների կատարման գնահատման եզրակացություն</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0903AC6" w14:textId="77777777" w:rsidTr="004F5982">
        <w:trPr>
          <w:jc w:val="center"/>
        </w:trPr>
        <w:tc>
          <w:tcPr>
            <w:tcW w:w="6204" w:type="dxa"/>
          </w:tcPr>
          <w:p w14:paraId="79468F0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Դեղապատրաստուկի առ</w:t>
            </w:r>
            <w:r w:rsidR="00C54D75">
              <w:rPr>
                <w:rFonts w:ascii="Sylfaen" w:hAnsi="Sylfaen"/>
                <w:sz w:val="24"/>
                <w:szCs w:val="24"/>
              </w:rPr>
              <w:t>և</w:t>
            </w:r>
            <w:r w:rsidRPr="00826F05">
              <w:rPr>
                <w:rFonts w:ascii="Sylfaen" w:hAnsi="Sylfaen"/>
                <w:sz w:val="24"/>
                <w:szCs w:val="24"/>
              </w:rPr>
              <w:t>տրային անվանումը</w:t>
            </w:r>
          </w:p>
        </w:tc>
        <w:tc>
          <w:tcPr>
            <w:tcW w:w="3650" w:type="dxa"/>
          </w:tcPr>
          <w:p w14:paraId="22EA461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D328A86" w14:textId="77777777" w:rsidTr="004F5982">
        <w:trPr>
          <w:jc w:val="center"/>
        </w:trPr>
        <w:tc>
          <w:tcPr>
            <w:tcW w:w="6204" w:type="dxa"/>
          </w:tcPr>
          <w:p w14:paraId="082B83E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Միջազգային չարտոնագրված անվանումը</w:t>
            </w:r>
          </w:p>
        </w:tc>
        <w:tc>
          <w:tcPr>
            <w:tcW w:w="3650" w:type="dxa"/>
          </w:tcPr>
          <w:p w14:paraId="08707483"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C36E054" w14:textId="77777777" w:rsidTr="004F5982">
        <w:trPr>
          <w:jc w:val="center"/>
        </w:trPr>
        <w:tc>
          <w:tcPr>
            <w:tcW w:w="6204" w:type="dxa"/>
          </w:tcPr>
          <w:p w14:paraId="76F914B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Դեաչափը (դեղաչափերը) կամ խտությունը (խտությունները)</w:t>
            </w:r>
          </w:p>
        </w:tc>
        <w:tc>
          <w:tcPr>
            <w:tcW w:w="3650" w:type="dxa"/>
          </w:tcPr>
          <w:p w14:paraId="4C9C88BF"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66F2F4D" w14:textId="77777777" w:rsidTr="004F5982">
        <w:trPr>
          <w:jc w:val="center"/>
        </w:trPr>
        <w:tc>
          <w:tcPr>
            <w:tcW w:w="6204" w:type="dxa"/>
          </w:tcPr>
          <w:p w14:paraId="5048C14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ը</w:t>
            </w:r>
          </w:p>
        </w:tc>
        <w:tc>
          <w:tcPr>
            <w:tcW w:w="3650" w:type="dxa"/>
          </w:tcPr>
          <w:p w14:paraId="122C3EB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0A57250F" w14:textId="77777777" w:rsidTr="004F5982">
        <w:trPr>
          <w:jc w:val="center"/>
        </w:trPr>
        <w:tc>
          <w:tcPr>
            <w:tcW w:w="6204" w:type="dxa"/>
          </w:tcPr>
          <w:p w14:paraId="32766C9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Բացթողման ձ</w:t>
            </w:r>
            <w:r w:rsidR="00C54D75">
              <w:rPr>
                <w:rFonts w:ascii="Sylfaen" w:hAnsi="Sylfaen"/>
                <w:sz w:val="24"/>
                <w:szCs w:val="24"/>
              </w:rPr>
              <w:t>և</w:t>
            </w:r>
            <w:r w:rsidRPr="00826F05">
              <w:rPr>
                <w:rFonts w:ascii="Sylfaen" w:hAnsi="Sylfaen"/>
                <w:sz w:val="24"/>
                <w:szCs w:val="24"/>
              </w:rPr>
              <w:t>ը</w:t>
            </w:r>
          </w:p>
        </w:tc>
        <w:tc>
          <w:tcPr>
            <w:tcW w:w="3650" w:type="dxa"/>
          </w:tcPr>
          <w:p w14:paraId="0431ECD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F55284B" w14:textId="77777777" w:rsidTr="004F5982">
        <w:trPr>
          <w:jc w:val="center"/>
        </w:trPr>
        <w:tc>
          <w:tcPr>
            <w:tcW w:w="6204" w:type="dxa"/>
          </w:tcPr>
          <w:p w14:paraId="4C3572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Գրանցման հավաստագրի իրավատերը</w:t>
            </w:r>
          </w:p>
        </w:tc>
        <w:tc>
          <w:tcPr>
            <w:tcW w:w="3650" w:type="dxa"/>
          </w:tcPr>
          <w:p w14:paraId="39669454" w14:textId="77777777" w:rsidR="004F5982" w:rsidRPr="00826F05" w:rsidRDefault="004F5982" w:rsidP="004F5982">
            <w:pPr>
              <w:spacing w:after="120" w:line="240" w:lineRule="auto"/>
              <w:jc w:val="both"/>
              <w:rPr>
                <w:rFonts w:ascii="Sylfaen" w:hAnsi="Sylfaen"/>
                <w:sz w:val="24"/>
                <w:szCs w:val="24"/>
              </w:rPr>
            </w:pPr>
          </w:p>
        </w:tc>
      </w:tr>
    </w:tbl>
    <w:p w14:paraId="70F78D8D" w14:textId="77777777" w:rsidR="004F5982" w:rsidRPr="00826F05" w:rsidRDefault="004F5982" w:rsidP="004F5982">
      <w:pPr>
        <w:spacing w:after="120" w:line="240" w:lineRule="auto"/>
        <w:jc w:val="both"/>
        <w:rPr>
          <w:rFonts w:ascii="Sylfaen" w:hAnsi="Sylfae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22AD3796" w14:textId="77777777" w:rsidTr="004F5982">
        <w:trPr>
          <w:jc w:val="center"/>
        </w:trPr>
        <w:tc>
          <w:tcPr>
            <w:tcW w:w="6204" w:type="dxa"/>
          </w:tcPr>
          <w:p w14:paraId="63FE3EE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lastRenderedPageBreak/>
              <w:t>Զեկուցողը</w:t>
            </w:r>
          </w:p>
        </w:tc>
        <w:tc>
          <w:tcPr>
            <w:tcW w:w="3650" w:type="dxa"/>
          </w:tcPr>
          <w:p w14:paraId="2BC0E8BC"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B9CD41" w14:textId="77777777" w:rsidTr="004F5982">
        <w:trPr>
          <w:jc w:val="center"/>
        </w:trPr>
        <w:tc>
          <w:tcPr>
            <w:tcW w:w="6204" w:type="dxa"/>
          </w:tcPr>
          <w:p w14:paraId="6A3A2D5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Հաշվետվության ամսաթիվը</w:t>
            </w:r>
          </w:p>
        </w:tc>
        <w:tc>
          <w:tcPr>
            <w:tcW w:w="3650" w:type="dxa"/>
          </w:tcPr>
          <w:p w14:paraId="54E93C44" w14:textId="77777777" w:rsidR="004F5982" w:rsidRPr="00826F05" w:rsidRDefault="004F5982" w:rsidP="004F5982">
            <w:pPr>
              <w:spacing w:after="120" w:line="240" w:lineRule="auto"/>
              <w:jc w:val="both"/>
              <w:rPr>
                <w:rFonts w:ascii="Sylfaen" w:hAnsi="Sylfaen"/>
                <w:sz w:val="24"/>
                <w:szCs w:val="24"/>
              </w:rPr>
            </w:pPr>
          </w:p>
        </w:tc>
      </w:tr>
    </w:tbl>
    <w:p w14:paraId="7D03F433" w14:textId="77777777" w:rsidR="004F5982" w:rsidRPr="00826F05" w:rsidRDefault="004F5982" w:rsidP="004F5982">
      <w:pPr>
        <w:spacing w:after="120" w:line="240" w:lineRule="auto"/>
        <w:jc w:val="both"/>
        <w:rPr>
          <w:rFonts w:ascii="Sylfaen" w:hAnsi="Sylfae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4"/>
        <w:gridCol w:w="3650"/>
      </w:tblGrid>
      <w:tr w:rsidR="004F5982" w:rsidRPr="00826F05" w14:paraId="1858F14C" w14:textId="77777777" w:rsidTr="004F5982">
        <w:trPr>
          <w:jc w:val="center"/>
        </w:trPr>
        <w:tc>
          <w:tcPr>
            <w:tcW w:w="6204" w:type="dxa"/>
          </w:tcPr>
          <w:p w14:paraId="1BBC549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3650" w:type="dxa"/>
          </w:tcPr>
          <w:p w14:paraId="23052B40"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FECC0B6" w14:textId="77777777" w:rsidTr="004F5982">
        <w:trPr>
          <w:jc w:val="center"/>
        </w:trPr>
        <w:tc>
          <w:tcPr>
            <w:tcW w:w="6204" w:type="dxa"/>
          </w:tcPr>
          <w:p w14:paraId="272DA92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Արձագանքների ներկայացման վերջին ժամկետը</w:t>
            </w:r>
          </w:p>
        </w:tc>
        <w:tc>
          <w:tcPr>
            <w:tcW w:w="3650" w:type="dxa"/>
          </w:tcPr>
          <w:p w14:paraId="1DC028DF" w14:textId="77777777" w:rsidR="004F5982" w:rsidRPr="00826F05" w:rsidRDefault="004F5982" w:rsidP="004F5982">
            <w:pPr>
              <w:spacing w:after="120" w:line="240" w:lineRule="auto"/>
              <w:jc w:val="both"/>
              <w:rPr>
                <w:rFonts w:ascii="Sylfaen" w:hAnsi="Sylfaen"/>
                <w:sz w:val="24"/>
                <w:szCs w:val="24"/>
              </w:rPr>
            </w:pPr>
          </w:p>
        </w:tc>
      </w:tr>
    </w:tbl>
    <w:p w14:paraId="68A9EDD1" w14:textId="77777777" w:rsidR="004F5982" w:rsidRPr="00826F05" w:rsidRDefault="004F5982" w:rsidP="004F5982">
      <w:pPr>
        <w:spacing w:after="120" w:line="240" w:lineRule="auto"/>
        <w:jc w:val="both"/>
        <w:rPr>
          <w:rFonts w:ascii="Sylfaen" w:hAnsi="Sylfaen"/>
          <w:sz w:val="24"/>
          <w:szCs w:val="24"/>
        </w:rPr>
      </w:pPr>
    </w:p>
    <w:p w14:paraId="5A1553C0" w14:textId="77777777" w:rsidR="004F5982" w:rsidRPr="00826F05" w:rsidRDefault="004F5982" w:rsidP="004F5982">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Վարչական տեղեկատվությունը</w:t>
      </w:r>
    </w:p>
    <w:tbl>
      <w:tblPr>
        <w:tblW w:w="9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9"/>
        <w:gridCol w:w="4536"/>
      </w:tblGrid>
      <w:tr w:rsidR="004F5982" w:rsidRPr="00826F05" w14:paraId="60EF3DA3" w14:textId="77777777" w:rsidTr="004F5982">
        <w:trPr>
          <w:jc w:val="center"/>
        </w:trPr>
        <w:tc>
          <w:tcPr>
            <w:tcW w:w="5369" w:type="dxa"/>
          </w:tcPr>
          <w:p w14:paraId="7F3ACB0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կոնտակտային անձը</w:t>
            </w:r>
          </w:p>
        </w:tc>
        <w:tc>
          <w:tcPr>
            <w:tcW w:w="4536" w:type="dxa"/>
          </w:tcPr>
          <w:p w14:paraId="0D8AF8E7"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277B5C0F"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4287706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r w:rsidR="004F5982" w:rsidRPr="00826F05" w14:paraId="5EA52B00" w14:textId="77777777" w:rsidTr="004F5982">
        <w:trPr>
          <w:jc w:val="center"/>
        </w:trPr>
        <w:tc>
          <w:tcPr>
            <w:tcW w:w="5369" w:type="dxa"/>
          </w:tcPr>
          <w:p w14:paraId="551C6E7B"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Զեկուցողի փորձագետները</w:t>
            </w:r>
          </w:p>
          <w:p w14:paraId="3EC73D7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 xml:space="preserve">(ներքին </w:t>
            </w:r>
            <w:r w:rsidR="00C54D75">
              <w:rPr>
                <w:rFonts w:ascii="Sylfaen" w:hAnsi="Sylfaen"/>
                <w:sz w:val="24"/>
                <w:szCs w:val="24"/>
              </w:rPr>
              <w:t>և</w:t>
            </w:r>
            <w:r w:rsidRPr="00826F05">
              <w:rPr>
                <w:rFonts w:ascii="Sylfaen" w:hAnsi="Sylfaen"/>
                <w:sz w:val="24"/>
                <w:szCs w:val="24"/>
              </w:rPr>
              <w:t xml:space="preserve"> անկախ)</w:t>
            </w:r>
          </w:p>
        </w:tc>
        <w:tc>
          <w:tcPr>
            <w:tcW w:w="4536" w:type="dxa"/>
          </w:tcPr>
          <w:p w14:paraId="7C8E2E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 (որակ)՝</w:t>
            </w:r>
          </w:p>
          <w:p w14:paraId="758DC79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5B2FC17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21D5CE0"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B80E02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3-րդ մոդուլի փորձագետ</w:t>
            </w:r>
          </w:p>
          <w:p w14:paraId="2A233B4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(նախակլինիկա)՝</w:t>
            </w:r>
          </w:p>
          <w:p w14:paraId="24A55B0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6A2AFC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5A3F4082"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479AB0F0" w14:textId="77777777" w:rsidR="004F5982" w:rsidRPr="00826F05" w:rsidRDefault="004F5982" w:rsidP="004F5982">
            <w:pPr>
              <w:spacing w:after="120" w:line="240" w:lineRule="auto"/>
              <w:rPr>
                <w:rFonts w:ascii="Sylfaen" w:hAnsi="Sylfaen"/>
                <w:sz w:val="24"/>
                <w:szCs w:val="24"/>
              </w:rPr>
            </w:pPr>
          </w:p>
          <w:p w14:paraId="1482CEB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5-րդ մոդուլի փորձագետ (կլինիկա)՝</w:t>
            </w:r>
          </w:p>
          <w:p w14:paraId="7942038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748EF85C"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2BDACDD8"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0417AB05" w14:textId="77777777" w:rsidR="004F5982" w:rsidRPr="00826F05" w:rsidRDefault="004F5982" w:rsidP="004F5982">
            <w:pPr>
              <w:spacing w:after="120" w:line="240" w:lineRule="auto"/>
              <w:rPr>
                <w:rFonts w:ascii="Sylfaen" w:hAnsi="Sylfaen"/>
                <w:sz w:val="24"/>
                <w:szCs w:val="24"/>
              </w:rPr>
            </w:pPr>
          </w:p>
          <w:p w14:paraId="1B08803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դեղազգոնության փորձագետը՝</w:t>
            </w:r>
          </w:p>
          <w:p w14:paraId="302C581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Ա.Ա.Հ.՝</w:t>
            </w:r>
          </w:p>
          <w:p w14:paraId="303C191D"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հեռախոսահամարը (ֆաքսը)՝</w:t>
            </w:r>
          </w:p>
          <w:p w14:paraId="0C9C2E34"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016F7BFD" w14:textId="77777777" w:rsidR="004F5982" w:rsidRDefault="004F5982" w:rsidP="004F5982">
      <w:pPr>
        <w:spacing w:after="160" w:line="360" w:lineRule="auto"/>
        <w:jc w:val="both"/>
        <w:rPr>
          <w:rFonts w:ascii="Sylfaen" w:hAnsi="Sylfaen"/>
          <w:sz w:val="24"/>
          <w:szCs w:val="24"/>
        </w:rPr>
      </w:pPr>
    </w:p>
    <w:p w14:paraId="2CF45C59" w14:textId="77777777" w:rsidR="004F5982" w:rsidRPr="00826F05" w:rsidRDefault="004F5982" w:rsidP="004F5982">
      <w:pPr>
        <w:spacing w:after="160" w:line="360" w:lineRule="auto"/>
        <w:jc w:val="both"/>
        <w:rPr>
          <w:rFonts w:ascii="Sylfaen" w:hAnsi="Sylfaen"/>
          <w:sz w:val="24"/>
          <w:szCs w:val="24"/>
        </w:rPr>
      </w:pPr>
    </w:p>
    <w:p w14:paraId="35878818" w14:textId="77777777" w:rsidR="004F5982" w:rsidRPr="00826F05" w:rsidRDefault="004F5982" w:rsidP="00487007">
      <w:pPr>
        <w:tabs>
          <w:tab w:val="left" w:pos="1701"/>
        </w:tabs>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Առաջարկությունը</w:t>
      </w:r>
    </w:p>
    <w:p w14:paraId="2B7CC3D2" w14:textId="77777777" w:rsidR="004F5982" w:rsidRPr="00083E00"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Որակի, անվտանգության </w:t>
      </w:r>
      <w:r w:rsidR="00C54D75">
        <w:rPr>
          <w:rFonts w:ascii="Sylfaen" w:hAnsi="Sylfaen"/>
          <w:sz w:val="24"/>
          <w:szCs w:val="24"/>
        </w:rPr>
        <w:t>և</w:t>
      </w:r>
      <w:r w:rsidRPr="00826F05">
        <w:rPr>
          <w:rFonts w:ascii="Sylfaen" w:hAnsi="Sylfaen"/>
          <w:sz w:val="24"/>
          <w:szCs w:val="24"/>
        </w:rPr>
        <w:t xml:space="preserve"> արդյունավետության մասին տվյալների ամփոփման հիման վրա՝ փորձագետը համարում է, որ փոփոխությունների տիպը, 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 (այսուհետ՝ Կանոններ) թիվ 19 </w:t>
      </w:r>
      <w:r w:rsidR="00C54D75">
        <w:rPr>
          <w:rFonts w:ascii="Sylfaen" w:hAnsi="Sylfaen"/>
          <w:sz w:val="24"/>
          <w:szCs w:val="24"/>
        </w:rPr>
        <w:t>և</w:t>
      </w:r>
      <w:r w:rsidRPr="00826F05">
        <w:rPr>
          <w:rFonts w:ascii="Sylfaen" w:hAnsi="Sylfaen"/>
          <w:sz w:val="24"/>
          <w:szCs w:val="24"/>
        </w:rPr>
        <w:t xml:space="preserve"> 20 հավելվածներին համապատասխան, դեղապատրաստուկի առ</w:t>
      </w:r>
      <w:r w:rsidR="00C54D75">
        <w:rPr>
          <w:rFonts w:ascii="Sylfaen" w:hAnsi="Sylfaen"/>
          <w:sz w:val="24"/>
          <w:szCs w:val="24"/>
        </w:rPr>
        <w:t>և</w:t>
      </w:r>
      <w:r w:rsidRPr="00826F05">
        <w:rPr>
          <w:rFonts w:ascii="Sylfaen" w:hAnsi="Sylfaen"/>
          <w:sz w:val="24"/>
          <w:szCs w:val="24"/>
        </w:rPr>
        <w:t xml:space="preserve">տրային անվանման համար </w:t>
      </w:r>
      <w:r w:rsidRPr="00083E00">
        <w:rPr>
          <w:rFonts w:ascii="Sylfaen" w:hAnsi="Sylfaen"/>
          <w:i/>
          <w:sz w:val="24"/>
          <w:szCs w:val="24"/>
        </w:rPr>
        <w:t>&lt;առ</w:t>
      </w:r>
      <w:r w:rsidR="00C54D75">
        <w:rPr>
          <w:rFonts w:ascii="Sylfaen" w:hAnsi="Sylfaen"/>
          <w:i/>
          <w:sz w:val="24"/>
          <w:szCs w:val="24"/>
        </w:rPr>
        <w:t>և</w:t>
      </w:r>
      <w:r w:rsidRPr="00083E00">
        <w:rPr>
          <w:rFonts w:ascii="Sylfaen" w:hAnsi="Sylfaen"/>
          <w:i/>
          <w:sz w:val="24"/>
          <w:szCs w:val="24"/>
        </w:rPr>
        <w:t>տրային անվանումը&gt;,</w:t>
      </w:r>
      <w:r w:rsidRPr="00826F05">
        <w:rPr>
          <w:rFonts w:ascii="Sylfaen" w:hAnsi="Sylfaen"/>
          <w:sz w:val="24"/>
          <w:szCs w:val="24"/>
        </w:rPr>
        <w:t xml:space="preserve"> </w:t>
      </w:r>
      <w:r w:rsidRPr="00083E00">
        <w:rPr>
          <w:rFonts w:ascii="Sylfaen" w:hAnsi="Sylfaen"/>
          <w:i/>
          <w:sz w:val="24"/>
          <w:szCs w:val="24"/>
        </w:rPr>
        <w:t>&lt;ՄՉԱ-ն&gt;,</w:t>
      </w:r>
      <w:r w:rsidRPr="00826F05">
        <w:rPr>
          <w:rFonts w:ascii="Sylfaen" w:hAnsi="Sylfaen"/>
          <w:sz w:val="24"/>
          <w:szCs w:val="24"/>
        </w:rPr>
        <w:t xml:space="preserve"> բուժման դեպքում </w:t>
      </w:r>
      <w:r w:rsidRPr="00083E00">
        <w:rPr>
          <w:rFonts w:ascii="Sylfaen" w:hAnsi="Sylfaen"/>
          <w:i/>
          <w:sz w:val="24"/>
          <w:szCs w:val="24"/>
        </w:rPr>
        <w:t>&lt;ՀՄԴ ծածկագիրը&gt;</w:t>
      </w:r>
      <w:r w:rsidRPr="00826F05">
        <w:rPr>
          <w:rFonts w:ascii="Sylfaen" w:hAnsi="Sylfaen"/>
          <w:sz w:val="24"/>
          <w:szCs w:val="24"/>
        </w:rPr>
        <w:t xml:space="preserve">՝ առաջարկվող հաջորդ փոփոխության համար, </w:t>
      </w:r>
      <w:r w:rsidRPr="00083E00">
        <w:rPr>
          <w:rFonts w:ascii="Sylfaen" w:hAnsi="Sylfaen"/>
          <w:i/>
          <w:sz w:val="24"/>
          <w:szCs w:val="24"/>
        </w:rPr>
        <w:t>&lt;նշել&gt;՝</w:t>
      </w:r>
    </w:p>
    <w:p w14:paraId="6C7108D5"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&lt;հաստատվում է&gt;.</w:t>
      </w:r>
    </w:p>
    <w:p w14:paraId="476CC066"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&lt;կարող է հաստատվել այն պայմանով, որ բավարարող պատասխաններ տրվեն «այլ դիտողությունների» մասով, ինչպես նկարագրված է սույն ձ</w:t>
      </w:r>
      <w:r w:rsidR="00C54D75">
        <w:rPr>
          <w:rFonts w:ascii="Sylfaen" w:hAnsi="Sylfaen"/>
          <w:i/>
          <w:sz w:val="24"/>
          <w:szCs w:val="24"/>
        </w:rPr>
        <w:t>և</w:t>
      </w:r>
      <w:r w:rsidRPr="00083E00">
        <w:rPr>
          <w:rFonts w:ascii="Sylfaen" w:hAnsi="Sylfaen"/>
          <w:i/>
          <w:sz w:val="24"/>
          <w:szCs w:val="24"/>
        </w:rPr>
        <w:t>ի 4-րդ բաժնում&gt;.</w:t>
      </w:r>
    </w:p>
    <w:p w14:paraId="321DEDFC"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&lt;չի հաստատվում, քանի որ «կրիտիկական դիտողությունների» տեղիք է տալիս&gt;:</w:t>
      </w:r>
    </w:p>
    <w:p w14:paraId="413FA9B9" w14:textId="77777777" w:rsidR="004F5982" w:rsidRPr="00083E00" w:rsidRDefault="004F5982" w:rsidP="00487007">
      <w:pPr>
        <w:spacing w:after="160" w:line="360" w:lineRule="auto"/>
        <w:ind w:firstLine="567"/>
        <w:jc w:val="both"/>
        <w:rPr>
          <w:rFonts w:ascii="Sylfaen" w:eastAsia="Times New Roman" w:hAnsi="Sylfaen" w:cs="Times New Roman"/>
          <w:i/>
          <w:sz w:val="24"/>
          <w:szCs w:val="24"/>
        </w:rPr>
      </w:pPr>
      <w:r w:rsidRPr="00083E00">
        <w:rPr>
          <w:rFonts w:ascii="Sylfaen" w:hAnsi="Sylfaen"/>
          <w:i/>
          <w:sz w:val="24"/>
          <w:szCs w:val="24"/>
        </w:rPr>
        <w:t>[Փոփոխությունների կիրառման ոլորտը ճիշտ ընկալելու համար հարկ է ավելացնել Կանոնների թիվ 19 հավելվածից փոփոխության ծածկագիրը, կամ Կանոնների թիվ 20 հավելվածից՝ փոփոխությունների բաժինը]</w:t>
      </w:r>
    </w:p>
    <w:p w14:paraId="425EFB7E" w14:textId="27C5DECF"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Չհաստատված փոփոխություն նշանակում է, որ «կրիտիկական</w:t>
      </w:r>
      <w:r>
        <w:rPr>
          <w:rFonts w:ascii="Sylfaen" w:hAnsi="Sylfaen"/>
          <w:sz w:val="24"/>
          <w:szCs w:val="24"/>
        </w:rPr>
        <w:t> </w:t>
      </w:r>
      <w:r w:rsidRPr="00826F05">
        <w:rPr>
          <w:rFonts w:ascii="Sylfaen" w:hAnsi="Sylfaen"/>
          <w:sz w:val="24"/>
          <w:szCs w:val="24"/>
        </w:rPr>
        <w:t xml:space="preserve">դիտողություններ» </w:t>
      </w:r>
      <w:r w:rsidR="0056496B">
        <w:rPr>
          <w:rFonts w:ascii="Sylfaen" w:hAnsi="Sylfaen"/>
          <w:sz w:val="24"/>
          <w:szCs w:val="24"/>
        </w:rPr>
        <w:t>դիմում</w:t>
      </w:r>
      <w:r w:rsidRPr="00826F05">
        <w:rPr>
          <w:rFonts w:ascii="Sylfaen" w:hAnsi="Sylfaen"/>
          <w:sz w:val="24"/>
          <w:szCs w:val="24"/>
        </w:rPr>
        <w:t>նաբերելու պահից սկսած՝ գրանցման դոսյեում փոփոխություններ կատարելու մասին առաջարկությունը հանվում է: Այդ</w:t>
      </w:r>
      <w:r>
        <w:rPr>
          <w:rFonts w:ascii="Sylfaen" w:hAnsi="Sylfaen"/>
          <w:sz w:val="24"/>
          <w:szCs w:val="24"/>
        </w:rPr>
        <w:t> </w:t>
      </w:r>
      <w:r w:rsidRPr="00826F05">
        <w:rPr>
          <w:rFonts w:ascii="Sylfaen" w:hAnsi="Sylfaen"/>
          <w:sz w:val="24"/>
          <w:szCs w:val="24"/>
        </w:rPr>
        <w:t>հիմնական առարկությունների մասին մանրամասն տեղեկատվությունը գրավոր ձ</w:t>
      </w:r>
      <w:r w:rsidR="00C54D75">
        <w:rPr>
          <w:rFonts w:ascii="Sylfaen" w:hAnsi="Sylfaen"/>
          <w:sz w:val="24"/>
          <w:szCs w:val="24"/>
        </w:rPr>
        <w:t>և</w:t>
      </w:r>
      <w:r w:rsidRPr="00826F05">
        <w:rPr>
          <w:rFonts w:ascii="Sylfaen" w:hAnsi="Sylfaen"/>
          <w:sz w:val="24"/>
          <w:szCs w:val="24"/>
        </w:rPr>
        <w:t>ով բերվում է ստոր</w:t>
      </w:r>
      <w:r w:rsidR="00C54D75">
        <w:rPr>
          <w:rFonts w:ascii="Sylfaen" w:hAnsi="Sylfaen"/>
          <w:sz w:val="24"/>
          <w:szCs w:val="24"/>
        </w:rPr>
        <w:t>և</w:t>
      </w:r>
      <w:r w:rsidRPr="00826F05">
        <w:rPr>
          <w:rFonts w:ascii="Sylfaen" w:hAnsi="Sylfaen"/>
          <w:sz w:val="24"/>
          <w:szCs w:val="24"/>
        </w:rPr>
        <w:t>՝ ի լրումն հեռախոսակապի միջոցով այդ մասին բանավոր ծանուցման: Կրիտիկական դիտողությունների պատասխաններից բացի՝ մերժման դեպքում բավարարող պատասխաններ պետք է տրվեն նա</w:t>
      </w:r>
      <w:r w:rsidR="00C54D75">
        <w:rPr>
          <w:rFonts w:ascii="Sylfaen" w:hAnsi="Sylfaen"/>
          <w:sz w:val="24"/>
          <w:szCs w:val="24"/>
        </w:rPr>
        <w:t>և</w:t>
      </w:r>
      <w:r w:rsidRPr="00826F05">
        <w:rPr>
          <w:rFonts w:ascii="Sylfaen" w:hAnsi="Sylfaen"/>
          <w:sz w:val="24"/>
          <w:szCs w:val="24"/>
        </w:rPr>
        <w:t xml:space="preserve"> «ոչ էական (այլ) դիտողությունների» մասով, ինչպես նկարագրված է սույն ձ</w:t>
      </w:r>
      <w:r w:rsidR="00C54D75">
        <w:rPr>
          <w:rFonts w:ascii="Sylfaen" w:hAnsi="Sylfaen"/>
          <w:sz w:val="24"/>
          <w:szCs w:val="24"/>
        </w:rPr>
        <w:t>և</w:t>
      </w:r>
      <w:r w:rsidRPr="00826F05">
        <w:rPr>
          <w:rFonts w:ascii="Sylfaen" w:hAnsi="Sylfaen"/>
          <w:sz w:val="24"/>
          <w:szCs w:val="24"/>
        </w:rPr>
        <w:t>ի 4-րդ բաժնում:</w:t>
      </w:r>
    </w:p>
    <w:p w14:paraId="50E2F015" w14:textId="77777777"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083E00">
        <w:rPr>
          <w:rFonts w:ascii="Sylfaen" w:hAnsi="Sylfaen"/>
          <w:spacing w:val="-6"/>
          <w:sz w:val="24"/>
          <w:szCs w:val="24"/>
        </w:rPr>
        <w:t xml:space="preserve">Բացի այդ, զեկուցողը գրանցման հավաստագրի համար </w:t>
      </w:r>
      <w:r w:rsidR="00C54D75">
        <w:rPr>
          <w:rFonts w:ascii="Sylfaen" w:hAnsi="Sylfaen"/>
          <w:spacing w:val="-6"/>
          <w:sz w:val="24"/>
          <w:szCs w:val="24"/>
        </w:rPr>
        <w:t>և</w:t>
      </w:r>
      <w:r w:rsidRPr="00083E00">
        <w:rPr>
          <w:rFonts w:ascii="Sylfaen" w:hAnsi="Sylfaen"/>
          <w:spacing w:val="-6"/>
          <w:sz w:val="24"/>
          <w:szCs w:val="24"/>
        </w:rPr>
        <w:t xml:space="preserve"> դեղապատրաստուկի ընդհանուր բնութագրին կից ներկայացվող փոփոխությունների համար առաջարկում է հետ</w:t>
      </w:r>
      <w:r w:rsidR="00C54D75">
        <w:rPr>
          <w:rFonts w:ascii="Sylfaen" w:hAnsi="Sylfaen"/>
          <w:spacing w:val="-6"/>
          <w:sz w:val="24"/>
          <w:szCs w:val="24"/>
        </w:rPr>
        <w:t>և</w:t>
      </w:r>
      <w:r w:rsidRPr="00083E00">
        <w:rPr>
          <w:rFonts w:ascii="Sylfaen" w:hAnsi="Sylfaen"/>
          <w:spacing w:val="-6"/>
          <w:sz w:val="24"/>
          <w:szCs w:val="24"/>
        </w:rPr>
        <w:t>յալ պայմանները</w:t>
      </w:r>
      <w:r w:rsidRPr="00826F05">
        <w:rPr>
          <w:rFonts w:ascii="Sylfaen" w:hAnsi="Sylfaen"/>
          <w:sz w:val="24"/>
          <w:szCs w:val="24"/>
        </w:rPr>
        <w:t xml:space="preserve"> (տե՛ս A հավելվածը): </w:t>
      </w:r>
    </w:p>
    <w:p w14:paraId="2D21314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Մերժման հիմքերը՝</w:t>
      </w:r>
    </w:p>
    <w:p w14:paraId="6D6BDD29"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[Բաժինը լրացվում է բացասական կարծիքի դեպքում]</w:t>
      </w:r>
    </w:p>
    <w:p w14:paraId="5E105778" w14:textId="77777777" w:rsidR="004F5982" w:rsidRPr="00826F05" w:rsidRDefault="004F5982" w:rsidP="00487007">
      <w:pPr>
        <w:tabs>
          <w:tab w:val="left" w:pos="1701"/>
        </w:tabs>
        <w:spacing w:after="160" w:line="360" w:lineRule="auto"/>
        <w:ind w:right="-2" w:firstLine="567"/>
        <w:jc w:val="both"/>
        <w:rPr>
          <w:rFonts w:ascii="Sylfaen" w:hAnsi="Sylfaen"/>
          <w:sz w:val="24"/>
          <w:szCs w:val="24"/>
        </w:rPr>
      </w:pPr>
    </w:p>
    <w:p w14:paraId="33F86DE3" w14:textId="77777777" w:rsidR="004F5982" w:rsidRPr="00E74ADC"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 xml:space="preserve">2. Գիտական </w:t>
      </w:r>
      <w:r w:rsidR="00487007">
        <w:rPr>
          <w:rFonts w:ascii="Sylfaen" w:hAnsi="Sylfaen"/>
          <w:sz w:val="24"/>
          <w:szCs w:val="24"/>
        </w:rPr>
        <w:t>քննարկում։</w:t>
      </w:r>
    </w:p>
    <w:p w14:paraId="5C9C686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775DB6BE" w14:textId="6F8410A5"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[Նշվում է այն դեղամիջոցի </w:t>
      </w:r>
      <w:r w:rsidR="00C54D75">
        <w:rPr>
          <w:rFonts w:ascii="Sylfaen" w:hAnsi="Sylfaen"/>
          <w:i/>
          <w:sz w:val="24"/>
          <w:szCs w:val="24"/>
        </w:rPr>
        <w:t>և</w:t>
      </w:r>
      <w:r w:rsidRPr="00083E00">
        <w:rPr>
          <w:rFonts w:ascii="Sylfaen" w:hAnsi="Sylfaen"/>
          <w:i/>
          <w:sz w:val="24"/>
          <w:szCs w:val="24"/>
        </w:rPr>
        <w:t xml:space="preserve"> դրա դեղաթերապ</w:t>
      </w:r>
      <w:r w:rsidR="00C54D75">
        <w:rPr>
          <w:rFonts w:ascii="Sylfaen" w:hAnsi="Sylfaen"/>
          <w:i/>
          <w:sz w:val="24"/>
          <w:szCs w:val="24"/>
        </w:rPr>
        <w:t>և</w:t>
      </w:r>
      <w:r w:rsidRPr="00083E00">
        <w:rPr>
          <w:rFonts w:ascii="Sylfaen" w:hAnsi="Sylfaen"/>
          <w:i/>
          <w:sz w:val="24"/>
          <w:szCs w:val="24"/>
        </w:rPr>
        <w:t xml:space="preserve">տիկ ազդեցության մասին համառոտ </w:t>
      </w:r>
      <w:r w:rsidR="00F82B65">
        <w:rPr>
          <w:rFonts w:ascii="Sylfaen" w:hAnsi="Sylfaen"/>
          <w:i/>
          <w:sz w:val="24"/>
          <w:szCs w:val="24"/>
        </w:rPr>
        <w:t>հայտարարություն</w:t>
      </w:r>
      <w:r w:rsidRPr="00083E00">
        <w:rPr>
          <w:rFonts w:ascii="Sylfaen" w:hAnsi="Sylfaen"/>
          <w:i/>
          <w:sz w:val="24"/>
          <w:szCs w:val="24"/>
        </w:rPr>
        <w:t>, որի գրանցման դոսյեում ենթադրվում է փոփոխություններ կատարել։ Հարկ է համառոտակի անդրադառնալ առաջարկվող փոփոխության հիմնավորմանը (պատճառին): Եթե փոփոխությունը նախորդ գնահատման կամ հարցման արդյունք է, օրինակ՝ որ</w:t>
      </w:r>
      <w:r w:rsidR="00C54D75">
        <w:rPr>
          <w:rFonts w:ascii="Sylfaen" w:hAnsi="Sylfaen"/>
          <w:i/>
          <w:sz w:val="24"/>
          <w:szCs w:val="24"/>
        </w:rPr>
        <w:t>և</w:t>
      </w:r>
      <w:r w:rsidRPr="00083E00">
        <w:rPr>
          <w:rFonts w:ascii="Sylfaen" w:hAnsi="Sylfaen"/>
          <w:i/>
          <w:sz w:val="24"/>
          <w:szCs w:val="24"/>
        </w:rPr>
        <w:t xml:space="preserve">է որոշման կամ ԱՊԹՀ-ի (անվտանգության վերաբերյալ պարբերաբար թարմացվող հաշվետվության) կատարման համար ձեռնարկվող միջոցները, ապա հարկ է համառոտ շարադրել դրան առնչվող նախորդ քննարկումը </w:t>
      </w:r>
      <w:r w:rsidR="00C54D75">
        <w:rPr>
          <w:rFonts w:ascii="Sylfaen" w:hAnsi="Sylfaen"/>
          <w:i/>
          <w:sz w:val="24"/>
          <w:szCs w:val="24"/>
        </w:rPr>
        <w:t>և</w:t>
      </w:r>
      <w:r w:rsidRPr="00083E00">
        <w:rPr>
          <w:rFonts w:ascii="Sylfaen" w:hAnsi="Sylfaen"/>
          <w:i/>
          <w:sz w:val="24"/>
          <w:szCs w:val="24"/>
        </w:rPr>
        <w:t xml:space="preserve"> եզրակացությունը:</w:t>
      </w:r>
    </w:p>
    <w:p w14:paraId="61387EDF" w14:textId="77777777" w:rsidR="004F5982" w:rsidRPr="00083E00" w:rsidRDefault="004F5982" w:rsidP="00487007">
      <w:pPr>
        <w:spacing w:after="160" w:line="360" w:lineRule="auto"/>
        <w:ind w:right="-2" w:firstLine="567"/>
        <w:jc w:val="both"/>
        <w:rPr>
          <w:rFonts w:ascii="Sylfaen" w:eastAsia="Times New Roman" w:hAnsi="Sylfaen" w:cs="Times New Roman"/>
          <w:i/>
          <w:sz w:val="24"/>
          <w:szCs w:val="24"/>
        </w:rPr>
      </w:pPr>
      <w:r w:rsidRPr="00083E00">
        <w:rPr>
          <w:rFonts w:ascii="Sylfaen" w:hAnsi="Sylfaen"/>
          <w:i/>
          <w:sz w:val="24"/>
          <w:szCs w:val="24"/>
        </w:rPr>
        <w:t xml:space="preserve">Գրանցման (վերագրանցման, փոփոխությունների կատարման) վերաբերյալ եզրակացության համապատասխան բաժիններում </w:t>
      </w:r>
      <w:r w:rsidR="00C54D75">
        <w:rPr>
          <w:rFonts w:ascii="Sylfaen" w:hAnsi="Sylfaen"/>
          <w:i/>
          <w:sz w:val="24"/>
          <w:szCs w:val="24"/>
        </w:rPr>
        <w:t>և</w:t>
      </w:r>
      <w:r w:rsidRPr="00083E00">
        <w:rPr>
          <w:rFonts w:ascii="Sylfaen" w:hAnsi="Sylfaen"/>
          <w:i/>
          <w:sz w:val="24"/>
          <w:szCs w:val="24"/>
        </w:rPr>
        <w:t xml:space="preserve"> ենթավերնագրում հարկ է պահպանել որակի ասպեկտների, նախակլինիկական </w:t>
      </w:r>
      <w:r w:rsidR="00C54D75">
        <w:rPr>
          <w:rFonts w:ascii="Sylfaen" w:hAnsi="Sylfaen"/>
          <w:i/>
          <w:sz w:val="24"/>
          <w:szCs w:val="24"/>
        </w:rPr>
        <w:t>և</w:t>
      </w:r>
      <w:r w:rsidRPr="00083E00">
        <w:rPr>
          <w:rFonts w:ascii="Sylfaen" w:hAnsi="Sylfaen"/>
          <w:i/>
          <w:sz w:val="24"/>
          <w:szCs w:val="24"/>
        </w:rPr>
        <w:t xml:space="preserve"> կլինիկական ասպեկտների վերաբերյալ համապատասխան դաշտերը, սակայն համապատասխան հիմնավորման դեպքում ձ</w:t>
      </w:r>
      <w:r w:rsidR="00C54D75">
        <w:rPr>
          <w:rFonts w:ascii="Sylfaen" w:hAnsi="Sylfaen"/>
          <w:i/>
          <w:sz w:val="24"/>
          <w:szCs w:val="24"/>
        </w:rPr>
        <w:t>և</w:t>
      </w:r>
      <w:r w:rsidRPr="00083E00">
        <w:rPr>
          <w:rFonts w:ascii="Sylfaen" w:hAnsi="Sylfaen"/>
          <w:i/>
          <w:sz w:val="24"/>
          <w:szCs w:val="24"/>
        </w:rPr>
        <w:t>ի փոփոխությունը թույլատրվում է: Հետ</w:t>
      </w:r>
      <w:r w:rsidR="00C54D75">
        <w:rPr>
          <w:rFonts w:ascii="Sylfaen" w:hAnsi="Sylfaen"/>
          <w:i/>
          <w:sz w:val="24"/>
          <w:szCs w:val="24"/>
        </w:rPr>
        <w:t>և</w:t>
      </w:r>
      <w:r w:rsidRPr="00083E00">
        <w:rPr>
          <w:rFonts w:ascii="Sylfaen" w:hAnsi="Sylfaen"/>
          <w:i/>
          <w:sz w:val="24"/>
          <w:szCs w:val="24"/>
        </w:rPr>
        <w:t>յալ մասերի վերաբերյալ տեղեկատվությունը կարող է ներառվել ենթավերնագրերի հետ միասին (անհրաժեշտության դեպքում)]:</w:t>
      </w:r>
    </w:p>
    <w:p w14:paraId="4F6827EC" w14:textId="77777777" w:rsidR="004F5982" w:rsidRDefault="004F5982" w:rsidP="00487007">
      <w:pPr>
        <w:spacing w:after="160" w:line="360" w:lineRule="auto"/>
        <w:jc w:val="both"/>
        <w:rPr>
          <w:rFonts w:ascii="Sylfaen" w:hAnsi="Sylfaen"/>
          <w:sz w:val="24"/>
          <w:szCs w:val="24"/>
        </w:rPr>
      </w:pPr>
    </w:p>
    <w:p w14:paraId="69D06CB0"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2.2. Որակի ասպեկտները</w:t>
      </w:r>
    </w:p>
    <w:p w14:paraId="7BE6819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 Նախակլինիկական ասպեկտները</w:t>
      </w:r>
    </w:p>
    <w:p w14:paraId="5507508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2.3.1. Մեթոդները՝ ներկայացված տվյալների վերլուծությունը</w:t>
      </w:r>
    </w:p>
    <w:p w14:paraId="14A94BD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2.3.2. Արդյունքները</w:t>
      </w:r>
    </w:p>
    <w:p w14:paraId="3DCF808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2.3.3. Քննարկումը</w:t>
      </w:r>
    </w:p>
    <w:p w14:paraId="5C82737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 Կլինիկական դեղաբանության ասպեկտները</w:t>
      </w:r>
    </w:p>
    <w:p w14:paraId="13946D7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2.4.1. Մեթոդները՝ ներկայացված տվյալների վերլուծությունը</w:t>
      </w:r>
    </w:p>
    <w:p w14:paraId="4037D11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2.4.2. Արդյունքները</w:t>
      </w:r>
    </w:p>
    <w:p w14:paraId="385CF99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2.4.3. Քննարկումը</w:t>
      </w:r>
    </w:p>
    <w:p w14:paraId="61DF92A2"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 Կլինիկական արդյունավետության ասպեկտները</w:t>
      </w:r>
    </w:p>
    <w:p w14:paraId="590931F5"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2.5.1. Մեթոդները՝ ներկայացված տվյալների վերլուծությունը</w:t>
      </w:r>
    </w:p>
    <w:p w14:paraId="50CE6D6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2.5.2. Արդյունքները</w:t>
      </w:r>
    </w:p>
    <w:p w14:paraId="1A48DE3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2.5.3. Քննարկումը</w:t>
      </w:r>
    </w:p>
    <w:p w14:paraId="7882BCB9"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 Կլինիկական անվտանգության ասպեկտները</w:t>
      </w:r>
    </w:p>
    <w:p w14:paraId="4A8EFA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2.6.1. Մեթոդները՝ ներկայացված տվյալների վերլուծությունը</w:t>
      </w:r>
    </w:p>
    <w:p w14:paraId="6A3FD0C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2.6.2. Արդյունքները</w:t>
      </w:r>
    </w:p>
    <w:p w14:paraId="2D39D284"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2.6.3. Քննարկումը</w:t>
      </w:r>
    </w:p>
    <w:p w14:paraId="1E4DD278" w14:textId="21ABF324" w:rsidR="004F5982" w:rsidRPr="00E74ADC" w:rsidRDefault="004F5982" w:rsidP="00487007">
      <w:pPr>
        <w:spacing w:after="160" w:line="360" w:lineRule="auto"/>
        <w:ind w:right="-2" w:firstLine="567"/>
        <w:jc w:val="both"/>
        <w:rPr>
          <w:rFonts w:ascii="Sylfaen" w:hAnsi="Sylfaen"/>
          <w:i/>
          <w:sz w:val="24"/>
          <w:szCs w:val="24"/>
        </w:rPr>
      </w:pPr>
      <w:r w:rsidRPr="00083E00">
        <w:rPr>
          <w:rFonts w:ascii="Sylfaen" w:hAnsi="Sylfaen"/>
          <w:i/>
          <w:sz w:val="24"/>
          <w:szCs w:val="24"/>
        </w:rPr>
        <w:t xml:space="preserve">[Այն դեպքում, երբ մի քանի պատրաստուկների մասով փոփոխությունների կատարման մասին </w:t>
      </w:r>
      <w:r w:rsidR="0056496B">
        <w:rPr>
          <w:rFonts w:ascii="Sylfaen" w:hAnsi="Sylfaen"/>
          <w:i/>
          <w:sz w:val="24"/>
          <w:szCs w:val="24"/>
        </w:rPr>
        <w:t>դիմում</w:t>
      </w:r>
      <w:r w:rsidRPr="00083E00">
        <w:rPr>
          <w:rFonts w:ascii="Sylfaen" w:hAnsi="Sylfaen"/>
          <w:i/>
          <w:sz w:val="24"/>
          <w:szCs w:val="24"/>
        </w:rPr>
        <w:t xml:space="preserve"> է ներկայացվել, </w:t>
      </w:r>
      <w:r w:rsidR="00C54D75">
        <w:rPr>
          <w:rFonts w:ascii="Sylfaen" w:hAnsi="Sylfaen"/>
          <w:i/>
          <w:sz w:val="24"/>
          <w:szCs w:val="24"/>
        </w:rPr>
        <w:t>և</w:t>
      </w:r>
      <w:r w:rsidRPr="00083E00">
        <w:rPr>
          <w:rFonts w:ascii="Sylfaen" w:hAnsi="Sylfaen"/>
          <w:i/>
          <w:sz w:val="24"/>
          <w:szCs w:val="24"/>
        </w:rPr>
        <w:t xml:space="preserve"> դիրքերից որ</w:t>
      </w:r>
      <w:r w:rsidR="00C54D75">
        <w:rPr>
          <w:rFonts w:ascii="Sylfaen" w:hAnsi="Sylfaen"/>
          <w:i/>
          <w:sz w:val="24"/>
          <w:szCs w:val="24"/>
        </w:rPr>
        <w:t>և</w:t>
      </w:r>
      <w:r w:rsidRPr="00083E00">
        <w:rPr>
          <w:rFonts w:ascii="Sylfaen" w:hAnsi="Sylfaen"/>
          <w:i/>
          <w:sz w:val="24"/>
          <w:szCs w:val="24"/>
        </w:rPr>
        <w:t>է մեկում փորձագետները տարակարծիք են եղել դեղապատրաստուկների խմբի հարցում, այն անհրաժեշտ է առանձին նկարագրել՝ յուրաքանչյուր դեղապատրաստուկի մասով]:</w:t>
      </w:r>
    </w:p>
    <w:p w14:paraId="2A900822" w14:textId="77777777" w:rsidR="00487007" w:rsidRPr="00E74ADC" w:rsidRDefault="00487007" w:rsidP="00487007">
      <w:pPr>
        <w:spacing w:after="160" w:line="360" w:lineRule="auto"/>
        <w:ind w:right="-2" w:firstLine="567"/>
        <w:jc w:val="both"/>
        <w:rPr>
          <w:rFonts w:ascii="Sylfaen" w:eastAsia="Times New Roman" w:hAnsi="Sylfaen" w:cs="Times New Roman"/>
          <w:i/>
          <w:sz w:val="24"/>
          <w:szCs w:val="24"/>
        </w:rPr>
      </w:pPr>
    </w:p>
    <w:p w14:paraId="7294BF37"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2.7. Դեղաբանական վերահսկողության համակարգը</w:t>
      </w:r>
    </w:p>
    <w:p w14:paraId="4F788A08" w14:textId="0BC62D4B"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 xml:space="preserve">ի կողմից, բավարարում է Եվրասիական տնտեսական միության (այսուհետ՝ Միություն) դեղազգոնության պատշաճ գործունեության կանոնների պահանջները </w:t>
      </w:r>
      <w:r w:rsidR="00C54D75">
        <w:rPr>
          <w:rFonts w:ascii="Sylfaen" w:hAnsi="Sylfaen"/>
          <w:sz w:val="24"/>
          <w:szCs w:val="24"/>
        </w:rPr>
        <w:t>և</w:t>
      </w:r>
      <w:r w:rsidRPr="00826F05">
        <w:rPr>
          <w:rFonts w:ascii="Sylfaen" w:hAnsi="Sylfaen"/>
          <w:sz w:val="24"/>
          <w:szCs w:val="24"/>
        </w:rPr>
        <w:t xml:space="preserve"> ներկայացնում է բավարար ապացույցներ այն մասին, </w:t>
      </w:r>
      <w:r w:rsidRPr="00826F05">
        <w:rPr>
          <w:rFonts w:ascii="Sylfaen" w:hAnsi="Sylfaen"/>
          <w:sz w:val="24"/>
          <w:szCs w:val="24"/>
        </w:rPr>
        <w:lastRenderedPageBreak/>
        <w:t xml:space="preserve">որ </w:t>
      </w:r>
      <w:r w:rsidR="0056496B">
        <w:rPr>
          <w:rFonts w:ascii="Sylfaen" w:hAnsi="Sylfaen"/>
          <w:sz w:val="24"/>
          <w:szCs w:val="24"/>
        </w:rPr>
        <w:t>դիմումատու</w:t>
      </w:r>
      <w:r w:rsidRPr="00826F05">
        <w:rPr>
          <w:rFonts w:ascii="Sylfaen" w:hAnsi="Sylfaen"/>
          <w:sz w:val="24"/>
          <w:szCs w:val="24"/>
        </w:rPr>
        <w:t xml:space="preserve">ն օգտվում է դեղազգոնության համար պատասխանատու որակավորված անձի ծառայություններից </w:t>
      </w:r>
      <w:r w:rsidR="00C54D75">
        <w:rPr>
          <w:rFonts w:ascii="Sylfaen" w:hAnsi="Sylfaen"/>
          <w:sz w:val="24"/>
          <w:szCs w:val="24"/>
        </w:rPr>
        <w:t>և</w:t>
      </w:r>
      <w:r w:rsidRPr="00826F05">
        <w:rPr>
          <w:rFonts w:ascii="Sylfaen" w:hAnsi="Sylfaen"/>
          <w:sz w:val="24"/>
          <w:szCs w:val="24"/>
        </w:rPr>
        <w:t xml:space="preserve"> անհրաժեշտ միջոցներ ունի ցանկացած այնպիսի անբարենպաստ ռեակցիայի մասին ծանուցելու համար, որը կարող է տեղի ունենալ Միության անդամ պետություններում (այսուհետ՝ անդամ պետություններ) կամ Միության անդամ չհանդիսացող պետությունում:</w:t>
      </w:r>
    </w:p>
    <w:p w14:paraId="5E5421DB" w14:textId="228941A8"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Փորձագետը համարում է, որ դեղազգոնության համակարգը, ինչպես նկարագրված է </w:t>
      </w:r>
      <w:r w:rsidR="0056496B">
        <w:rPr>
          <w:rFonts w:ascii="Sylfaen" w:hAnsi="Sylfaen"/>
          <w:sz w:val="24"/>
          <w:szCs w:val="24"/>
        </w:rPr>
        <w:t>դիմումատու</w:t>
      </w:r>
      <w:r w:rsidRPr="00826F05">
        <w:rPr>
          <w:rFonts w:ascii="Sylfaen" w:hAnsi="Sylfaen"/>
          <w:sz w:val="24"/>
          <w:szCs w:val="24"/>
        </w:rPr>
        <w:t>ի կողմից, ունի հետ</w:t>
      </w:r>
      <w:r w:rsidR="00C54D75">
        <w:rPr>
          <w:rFonts w:ascii="Sylfaen" w:hAnsi="Sylfaen"/>
          <w:sz w:val="24"/>
          <w:szCs w:val="24"/>
        </w:rPr>
        <w:t>և</w:t>
      </w:r>
      <w:r w:rsidRPr="00826F05">
        <w:rPr>
          <w:rFonts w:ascii="Sylfaen" w:hAnsi="Sylfaen"/>
          <w:sz w:val="24"/>
          <w:szCs w:val="24"/>
        </w:rPr>
        <w:t xml:space="preserve">յալ թերությունները՝ </w:t>
      </w:r>
      <w:r w:rsidRPr="0011208A">
        <w:rPr>
          <w:rFonts w:ascii="Sylfaen" w:hAnsi="Sylfaen"/>
          <w:i/>
          <w:sz w:val="24"/>
          <w:szCs w:val="24"/>
        </w:rPr>
        <w:t>&lt;նշել թերությունները&gt;:</w:t>
      </w:r>
    </w:p>
    <w:p w14:paraId="5CA3BD4D" w14:textId="4FAABC63"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Պայմանով, որ թերությունները կվերացվեն նախքան </w:t>
      </w:r>
      <w:r w:rsidR="0056496B">
        <w:rPr>
          <w:rFonts w:ascii="Sylfaen" w:hAnsi="Sylfaen"/>
          <w:sz w:val="24"/>
          <w:szCs w:val="24"/>
        </w:rPr>
        <w:t>դիմումատու</w:t>
      </w:r>
      <w:r w:rsidRPr="00826F05">
        <w:rPr>
          <w:rFonts w:ascii="Sylfaen" w:hAnsi="Sylfaen"/>
          <w:sz w:val="24"/>
          <w:szCs w:val="24"/>
        </w:rPr>
        <w:t xml:space="preserve">ի կողմից դեղապատրաստուկը շուկայում ներկայացնելը, անդամ պետության լիազորված փորձագիտական կազմակերպությունը կարող է համարել, որ դեղազգոնության համակարգը կբավարարի պահանջները: Նախքան ապրանքի շուկայում </w:t>
      </w:r>
      <w:r w:rsidR="0056496B">
        <w:rPr>
          <w:rFonts w:ascii="Sylfaen" w:hAnsi="Sylfaen"/>
          <w:sz w:val="24"/>
          <w:szCs w:val="24"/>
        </w:rPr>
        <w:t>դիմում</w:t>
      </w:r>
      <w:r w:rsidRPr="00826F05">
        <w:rPr>
          <w:rFonts w:ascii="Sylfaen" w:hAnsi="Sylfaen"/>
          <w:sz w:val="24"/>
          <w:szCs w:val="24"/>
        </w:rPr>
        <w:t xml:space="preserve">նվելը </w:t>
      </w:r>
      <w:r w:rsidR="0056496B">
        <w:rPr>
          <w:rFonts w:ascii="Sylfaen" w:hAnsi="Sylfaen"/>
          <w:sz w:val="24"/>
          <w:szCs w:val="24"/>
        </w:rPr>
        <w:t>դիմումատու</w:t>
      </w:r>
      <w:r w:rsidRPr="00826F05">
        <w:rPr>
          <w:rFonts w:ascii="Sylfaen" w:hAnsi="Sylfaen"/>
          <w:sz w:val="24"/>
          <w:szCs w:val="24"/>
        </w:rPr>
        <w:t>ն պետք է համոզվի, որ դեղազգոնության համակարգն առկա</w:t>
      </w:r>
      <w:r>
        <w:rPr>
          <w:rFonts w:ascii="Sylfaen" w:hAnsi="Sylfaen"/>
          <w:sz w:val="24"/>
          <w:szCs w:val="24"/>
        </w:rPr>
        <w:t> </w:t>
      </w:r>
      <w:r w:rsidRPr="00826F05">
        <w:rPr>
          <w:rFonts w:ascii="Sylfaen" w:hAnsi="Sylfaen"/>
          <w:sz w:val="24"/>
          <w:szCs w:val="24"/>
        </w:rPr>
        <w:t xml:space="preserve">է </w:t>
      </w:r>
      <w:r w:rsidR="00C54D75">
        <w:rPr>
          <w:rFonts w:ascii="Sylfaen" w:hAnsi="Sylfaen"/>
          <w:sz w:val="24"/>
          <w:szCs w:val="24"/>
        </w:rPr>
        <w:t>և</w:t>
      </w:r>
      <w:r w:rsidRPr="00826F05">
        <w:rPr>
          <w:rFonts w:ascii="Sylfaen" w:hAnsi="Sylfaen"/>
          <w:sz w:val="24"/>
          <w:szCs w:val="24"/>
        </w:rPr>
        <w:t xml:space="preserve"> գործում է անսխալ: </w:t>
      </w:r>
    </w:p>
    <w:p w14:paraId="10A21EA6" w14:textId="77777777" w:rsidR="004F5982" w:rsidRPr="00826F05" w:rsidRDefault="004F5982" w:rsidP="00487007">
      <w:pPr>
        <w:spacing w:after="160" w:line="360" w:lineRule="auto"/>
        <w:ind w:firstLine="567"/>
        <w:jc w:val="both"/>
        <w:rPr>
          <w:rFonts w:ascii="Sylfaen" w:hAnsi="Sylfaen"/>
          <w:sz w:val="24"/>
          <w:szCs w:val="24"/>
        </w:rPr>
      </w:pPr>
    </w:p>
    <w:p w14:paraId="367E7A7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2.8. Ռիսկերի կառավարման պլանը</w:t>
      </w:r>
    </w:p>
    <w:p w14:paraId="2D2C9E2A" w14:textId="355DC7F4"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[Փորձագետը պետք է ՌԿՊ -ում (ռիսկերի կառավարման պլանում) որ</w:t>
      </w:r>
      <w:r w:rsidR="00C54D75">
        <w:rPr>
          <w:rFonts w:ascii="Sylfaen" w:hAnsi="Sylfaen"/>
          <w:i/>
          <w:sz w:val="24"/>
          <w:szCs w:val="24"/>
        </w:rPr>
        <w:t>և</w:t>
      </w:r>
      <w:r w:rsidRPr="00826F05">
        <w:rPr>
          <w:rFonts w:ascii="Sylfaen" w:hAnsi="Sylfaen"/>
          <w:i/>
          <w:sz w:val="24"/>
          <w:szCs w:val="24"/>
        </w:rPr>
        <w:t xml:space="preserve">է լուրջ խնդիրների նույնականացմանը զուգահեռ անցկացնի հավելվածի առաջին ընդհանուր գնահատումը։ Եթե անդամ պետության լիազորված փորձագիտական կազմակերպությունում ստեղծված են դեղազգոնության ոլորտում իրականացվող աշխատանքների համար պատասխանատու կազմակերպչական կառույցներ (այսուհետ՝ ԴՈԱՊԿԿ), փորձագետների համար դրանց խորհրդատվությունն օգտակար կլիներ եզրակացության տվյալ բաժինը լրացնելիս: Դրանում նշվում են նախակլինիկական անվտանգության մասով հատուկ եզրահանգումներ, դեղապատրաստուկի դեղաբանության կլինիկական հետազոտությունների մասին պլանում </w:t>
      </w:r>
      <w:r w:rsidR="00C54D75">
        <w:rPr>
          <w:rFonts w:ascii="Sylfaen" w:hAnsi="Sylfaen"/>
          <w:i/>
          <w:sz w:val="24"/>
          <w:szCs w:val="24"/>
        </w:rPr>
        <w:t>և</w:t>
      </w:r>
      <w:r w:rsidRPr="00826F05">
        <w:rPr>
          <w:rFonts w:ascii="Sylfaen" w:hAnsi="Sylfaen"/>
          <w:i/>
          <w:sz w:val="24"/>
          <w:szCs w:val="24"/>
        </w:rPr>
        <w:t xml:space="preserve"> (կամ) հաշվետվությունում հետազոտությունների (կամ</w:t>
      </w:r>
      <w:r>
        <w:rPr>
          <w:rFonts w:ascii="Sylfaen" w:hAnsi="Sylfaen"/>
          <w:i/>
          <w:sz w:val="24"/>
          <w:szCs w:val="24"/>
        </w:rPr>
        <w:t> </w:t>
      </w:r>
      <w:r w:rsidRPr="00826F05">
        <w:rPr>
          <w:rFonts w:ascii="Sylfaen" w:hAnsi="Sylfaen"/>
          <w:i/>
          <w:sz w:val="24"/>
          <w:szCs w:val="24"/>
        </w:rPr>
        <w:t xml:space="preserve">տեղեկությունների) մասի բացակայությունը, կլինիկական հետազոտությունների շրջանակներում անվտանգության հնարավոր </w:t>
      </w:r>
      <w:r w:rsidRPr="00826F05">
        <w:rPr>
          <w:rFonts w:ascii="Sylfaen" w:hAnsi="Sylfaen"/>
          <w:i/>
          <w:sz w:val="24"/>
          <w:szCs w:val="24"/>
        </w:rPr>
        <w:lastRenderedPageBreak/>
        <w:t xml:space="preserve">ազդանշաններ </w:t>
      </w:r>
      <w:r w:rsidR="00C54D75">
        <w:rPr>
          <w:rFonts w:ascii="Sylfaen" w:hAnsi="Sylfaen"/>
          <w:i/>
          <w:sz w:val="24"/>
          <w:szCs w:val="24"/>
        </w:rPr>
        <w:t>և</w:t>
      </w:r>
      <w:r w:rsidRPr="00826F05">
        <w:rPr>
          <w:rFonts w:ascii="Sylfaen" w:hAnsi="Sylfaen"/>
          <w:i/>
          <w:sz w:val="24"/>
          <w:szCs w:val="24"/>
        </w:rPr>
        <w:t xml:space="preserve"> այլն: Այդ փուլում հատկապես կար</w:t>
      </w:r>
      <w:r w:rsidR="00C54D75">
        <w:rPr>
          <w:rFonts w:ascii="Sylfaen" w:hAnsi="Sylfaen"/>
          <w:i/>
          <w:sz w:val="24"/>
          <w:szCs w:val="24"/>
        </w:rPr>
        <w:t>և</w:t>
      </w:r>
      <w:r w:rsidRPr="00826F05">
        <w:rPr>
          <w:rFonts w:ascii="Sylfaen" w:hAnsi="Sylfaen"/>
          <w:i/>
          <w:sz w:val="24"/>
          <w:szCs w:val="24"/>
        </w:rPr>
        <w:t>որ է, որ անվտանգության հետ կապված խնդիրները նույնականացվեն (</w:t>
      </w:r>
      <w:r w:rsidR="00003ABD">
        <w:rPr>
          <w:rFonts w:ascii="Sylfaen" w:hAnsi="Sylfaen"/>
          <w:i/>
          <w:sz w:val="24"/>
          <w:szCs w:val="24"/>
        </w:rPr>
        <w:t>հայտնաբերված</w:t>
      </w:r>
      <w:r w:rsidRPr="00826F05">
        <w:rPr>
          <w:rFonts w:ascii="Sylfaen" w:hAnsi="Sylfaen"/>
          <w:i/>
          <w:sz w:val="24"/>
          <w:szCs w:val="24"/>
        </w:rPr>
        <w:t xml:space="preserve"> կար</w:t>
      </w:r>
      <w:r w:rsidR="00C54D75">
        <w:rPr>
          <w:rFonts w:ascii="Sylfaen" w:hAnsi="Sylfaen"/>
          <w:i/>
          <w:sz w:val="24"/>
          <w:szCs w:val="24"/>
        </w:rPr>
        <w:t>և</w:t>
      </w:r>
      <w:r w:rsidRPr="00826F05">
        <w:rPr>
          <w:rFonts w:ascii="Sylfaen" w:hAnsi="Sylfaen"/>
          <w:i/>
          <w:sz w:val="24"/>
          <w:szCs w:val="24"/>
        </w:rPr>
        <w:t>որ ռիսկերը, հնարավոր կար</w:t>
      </w:r>
      <w:r w:rsidR="00C54D75">
        <w:rPr>
          <w:rFonts w:ascii="Sylfaen" w:hAnsi="Sylfaen"/>
          <w:i/>
          <w:sz w:val="24"/>
          <w:szCs w:val="24"/>
        </w:rPr>
        <w:t>և</w:t>
      </w:r>
      <w:r w:rsidRPr="00826F05">
        <w:rPr>
          <w:rFonts w:ascii="Sylfaen" w:hAnsi="Sylfaen"/>
          <w:i/>
          <w:sz w:val="24"/>
          <w:szCs w:val="24"/>
        </w:rPr>
        <w:t>որ ռիսկերը, կար</w:t>
      </w:r>
      <w:r w:rsidR="00C54D75">
        <w:rPr>
          <w:rFonts w:ascii="Sylfaen" w:hAnsi="Sylfaen"/>
          <w:i/>
          <w:sz w:val="24"/>
          <w:szCs w:val="24"/>
        </w:rPr>
        <w:t>և</w:t>
      </w:r>
      <w:r w:rsidRPr="00826F05">
        <w:rPr>
          <w:rFonts w:ascii="Sylfaen" w:hAnsi="Sylfaen"/>
          <w:i/>
          <w:sz w:val="24"/>
          <w:szCs w:val="24"/>
        </w:rPr>
        <w:t>որ պակասող տեղեկատվությունը): Սա</w:t>
      </w:r>
      <w:r>
        <w:rPr>
          <w:rFonts w:ascii="Sylfaen" w:hAnsi="Sylfaen"/>
          <w:i/>
          <w:sz w:val="24"/>
          <w:szCs w:val="24"/>
        </w:rPr>
        <w:t> </w:t>
      </w:r>
      <w:r w:rsidRPr="00826F05">
        <w:rPr>
          <w:rFonts w:ascii="Sylfaen" w:hAnsi="Sylfaen"/>
          <w:i/>
          <w:sz w:val="24"/>
          <w:szCs w:val="24"/>
        </w:rPr>
        <w:t>առավել կար</w:t>
      </w:r>
      <w:r w:rsidR="00C54D75">
        <w:rPr>
          <w:rFonts w:ascii="Sylfaen" w:hAnsi="Sylfaen"/>
          <w:i/>
          <w:sz w:val="24"/>
          <w:szCs w:val="24"/>
        </w:rPr>
        <w:t>և</w:t>
      </w:r>
      <w:r w:rsidRPr="00826F05">
        <w:rPr>
          <w:rFonts w:ascii="Sylfaen" w:hAnsi="Sylfaen"/>
          <w:i/>
          <w:sz w:val="24"/>
          <w:szCs w:val="24"/>
        </w:rPr>
        <w:t xml:space="preserve">որ է, եթե այդ հարցերն ավելի վաղ դոսյեում չեն սահմանվել </w:t>
      </w:r>
      <w:r w:rsidR="0056496B">
        <w:rPr>
          <w:rFonts w:ascii="Sylfaen" w:hAnsi="Sylfaen"/>
          <w:i/>
          <w:sz w:val="24"/>
          <w:szCs w:val="24"/>
        </w:rPr>
        <w:t>դիմումատու</w:t>
      </w:r>
      <w:r w:rsidRPr="00826F05">
        <w:rPr>
          <w:rFonts w:ascii="Sylfaen" w:hAnsi="Sylfaen"/>
          <w:i/>
          <w:sz w:val="24"/>
          <w:szCs w:val="24"/>
        </w:rPr>
        <w:t xml:space="preserve">ի կողմից </w:t>
      </w:r>
      <w:r w:rsidR="00C54D75">
        <w:rPr>
          <w:rFonts w:ascii="Sylfaen" w:hAnsi="Sylfaen"/>
          <w:i/>
          <w:sz w:val="24"/>
          <w:szCs w:val="24"/>
        </w:rPr>
        <w:t>և</w:t>
      </w:r>
      <w:r w:rsidRPr="00826F05">
        <w:rPr>
          <w:rFonts w:ascii="Sylfaen" w:hAnsi="Sylfaen"/>
          <w:i/>
          <w:sz w:val="24"/>
          <w:szCs w:val="24"/>
        </w:rPr>
        <w:t xml:space="preserve"> հետ</w:t>
      </w:r>
      <w:r w:rsidR="00C54D75">
        <w:rPr>
          <w:rFonts w:ascii="Sylfaen" w:hAnsi="Sylfaen"/>
          <w:i/>
          <w:sz w:val="24"/>
          <w:szCs w:val="24"/>
        </w:rPr>
        <w:t>և</w:t>
      </w:r>
      <w:r w:rsidRPr="00826F05">
        <w:rPr>
          <w:rFonts w:ascii="Sylfaen" w:hAnsi="Sylfaen"/>
          <w:i/>
          <w:sz w:val="24"/>
          <w:szCs w:val="24"/>
        </w:rPr>
        <w:t>աբար քիչ հավանական է, որ հետագայում արտացոլվեն ՌԿՊ-ում:</w:t>
      </w:r>
    </w:p>
    <w:p w14:paraId="23BC8B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11208A">
        <w:rPr>
          <w:rFonts w:ascii="Sylfaen" w:hAnsi="Sylfaen"/>
          <w:i/>
          <w:spacing w:val="-6"/>
          <w:sz w:val="24"/>
          <w:szCs w:val="24"/>
        </w:rPr>
        <w:t>ԴՈԱՊԿԿ-ն փորձագետին ապահովում է նա</w:t>
      </w:r>
      <w:r w:rsidR="00C54D75">
        <w:rPr>
          <w:rFonts w:ascii="Sylfaen" w:hAnsi="Sylfaen"/>
          <w:i/>
          <w:spacing w:val="-6"/>
          <w:sz w:val="24"/>
          <w:szCs w:val="24"/>
        </w:rPr>
        <w:t>և</w:t>
      </w:r>
      <w:r w:rsidRPr="0011208A">
        <w:rPr>
          <w:rFonts w:ascii="Sylfaen" w:hAnsi="Sylfaen"/>
          <w:i/>
          <w:spacing w:val="-6"/>
          <w:sz w:val="24"/>
          <w:szCs w:val="24"/>
        </w:rPr>
        <w:t xml:space="preserve"> ՌԿՊ-ի գնահատման վերաբերյալ առաջարկություններով: Այդ խորհուրդը պետք է մասամբ հիմնված լինի դոսյեի փորձագիտական գնահատականների վրա, հետ</w:t>
      </w:r>
      <w:r w:rsidR="00C54D75">
        <w:rPr>
          <w:rFonts w:ascii="Sylfaen" w:hAnsi="Sylfaen"/>
          <w:i/>
          <w:spacing w:val="-6"/>
          <w:sz w:val="24"/>
          <w:szCs w:val="24"/>
        </w:rPr>
        <w:t>և</w:t>
      </w:r>
      <w:r w:rsidRPr="0011208A">
        <w:rPr>
          <w:rFonts w:ascii="Sylfaen" w:hAnsi="Sylfaen"/>
          <w:i/>
          <w:spacing w:val="-6"/>
          <w:sz w:val="24"/>
          <w:szCs w:val="24"/>
        </w:rPr>
        <w:t>աբար</w:t>
      </w:r>
      <w:r w:rsidRPr="00826F05">
        <w:rPr>
          <w:rFonts w:ascii="Sylfaen" w:hAnsi="Sylfaen"/>
          <w:i/>
          <w:sz w:val="24"/>
          <w:szCs w:val="24"/>
        </w:rPr>
        <w:t xml:space="preserve"> М3-М5 մոդուլների (Կանոնների թիվ 6-8 հավելվածներ) վերաբերյալ փորձագիտական հաշվետվությունները փորձագետի համար կդառնան տեղեկատվության կար</w:t>
      </w:r>
      <w:r w:rsidR="00C54D75">
        <w:rPr>
          <w:rFonts w:ascii="Sylfaen" w:hAnsi="Sylfaen"/>
          <w:i/>
          <w:sz w:val="24"/>
          <w:szCs w:val="24"/>
        </w:rPr>
        <w:t>և</w:t>
      </w:r>
      <w:r w:rsidRPr="00826F05">
        <w:rPr>
          <w:rFonts w:ascii="Sylfaen" w:hAnsi="Sylfaen"/>
          <w:i/>
          <w:sz w:val="24"/>
          <w:szCs w:val="24"/>
        </w:rPr>
        <w:t xml:space="preserve">որ աղբյուր: </w:t>
      </w:r>
    </w:p>
    <w:p w14:paraId="1350AE56"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ԴՈԱՊԿԿ-ի խորհրդատվությունը ստացվելու դեպքում այն պետք է ներառվի եզրակացության նախագծում (դիտողությունների ցանկում)՝ քննարկման համար: Կար</w:t>
      </w:r>
      <w:r w:rsidR="00C54D75">
        <w:rPr>
          <w:rFonts w:ascii="Sylfaen" w:hAnsi="Sylfaen"/>
          <w:i/>
          <w:sz w:val="24"/>
          <w:szCs w:val="24"/>
        </w:rPr>
        <w:t>և</w:t>
      </w:r>
      <w:r w:rsidRPr="00826F05">
        <w:rPr>
          <w:rFonts w:ascii="Sylfaen" w:hAnsi="Sylfaen"/>
          <w:i/>
          <w:sz w:val="24"/>
          <w:szCs w:val="24"/>
        </w:rPr>
        <w:t>որ է նշել, որ ԴՈԱՊԿԿ-ի այդ խորհրդատվությունները նա</w:t>
      </w:r>
      <w:r w:rsidR="00C54D75">
        <w:rPr>
          <w:rFonts w:ascii="Sylfaen" w:hAnsi="Sylfaen"/>
          <w:i/>
          <w:sz w:val="24"/>
          <w:szCs w:val="24"/>
        </w:rPr>
        <w:t>և</w:t>
      </w:r>
      <w:r w:rsidRPr="00826F05">
        <w:rPr>
          <w:rFonts w:ascii="Sylfaen" w:hAnsi="Sylfaen"/>
          <w:i/>
          <w:sz w:val="24"/>
          <w:szCs w:val="24"/>
        </w:rPr>
        <w:t xml:space="preserve"> կարող են պարունակել ՌԿՊ-ի վերաբերյալ առաջարկվող հարցեր, որոնք կավելացվեն փորձագետի եզրակացության նախագծում: Եթե փորձագետը խուսափում է ԴՈԱՊԿԿ-ի խորհուրդներին հետ</w:t>
      </w:r>
      <w:r w:rsidR="00C54D75">
        <w:rPr>
          <w:rFonts w:ascii="Sylfaen" w:hAnsi="Sylfaen"/>
          <w:i/>
          <w:sz w:val="24"/>
          <w:szCs w:val="24"/>
        </w:rPr>
        <w:t>և</w:t>
      </w:r>
      <w:r w:rsidRPr="00826F05">
        <w:rPr>
          <w:rFonts w:ascii="Sylfaen" w:hAnsi="Sylfaen"/>
          <w:i/>
          <w:sz w:val="24"/>
          <w:szCs w:val="24"/>
        </w:rPr>
        <w:t>ելուց, այդ հարցը պետք է քննարկվի անդամ պետության լիազորված փորձագիտական կազմակերպության մակարդակով]:</w:t>
      </w:r>
    </w:p>
    <w:p w14:paraId="193CC54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ՌԿՊ-ի գնահատման ժամանակ ԴՈԱՊԿԿ-ի խորհրդատվությունից հետո փորձագետի կողմից ուսումնասիրման համար հարցերը </w:t>
      </w:r>
      <w:r w:rsidR="00C54D75">
        <w:rPr>
          <w:rFonts w:ascii="Sylfaen" w:hAnsi="Sylfaen"/>
          <w:sz w:val="24"/>
          <w:szCs w:val="24"/>
        </w:rPr>
        <w:t>և</w:t>
      </w:r>
      <w:r w:rsidRPr="00826F05">
        <w:rPr>
          <w:rFonts w:ascii="Sylfaen" w:hAnsi="Sylfaen"/>
          <w:sz w:val="24"/>
          <w:szCs w:val="24"/>
        </w:rPr>
        <w:t xml:space="preserve"> (կամ) խնդիրները՝</w:t>
      </w:r>
    </w:p>
    <w:p w14:paraId="4B69ED52" w14:textId="6BDC8A15"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[Արտացոլել այն հարցերն ու խնդիրները, որոնք </w:t>
      </w:r>
      <w:r w:rsidR="00FE4A71">
        <w:rPr>
          <w:rFonts w:ascii="Sylfaen" w:hAnsi="Sylfaen"/>
          <w:i/>
          <w:sz w:val="24"/>
          <w:szCs w:val="24"/>
        </w:rPr>
        <w:t xml:space="preserve">հայտնաբերվել </w:t>
      </w:r>
      <w:r w:rsidRPr="00826F05">
        <w:rPr>
          <w:rFonts w:ascii="Sylfaen" w:hAnsi="Sylfaen"/>
          <w:i/>
          <w:sz w:val="24"/>
          <w:szCs w:val="24"/>
        </w:rPr>
        <w:t xml:space="preserve"> են </w:t>
      </w:r>
      <w:r w:rsidR="0056496B">
        <w:rPr>
          <w:rFonts w:ascii="Sylfaen" w:hAnsi="Sylfaen"/>
          <w:i/>
          <w:sz w:val="24"/>
          <w:szCs w:val="24"/>
        </w:rPr>
        <w:t>դիմում</w:t>
      </w:r>
      <w:r w:rsidRPr="00826F05">
        <w:rPr>
          <w:rFonts w:ascii="Sylfaen" w:hAnsi="Sylfaen"/>
          <w:i/>
          <w:sz w:val="24"/>
          <w:szCs w:val="24"/>
        </w:rPr>
        <w:t>ի ընդհանուր գնահատման ժամանակ, որոնք հարկ է ուսումնասիրել ԴՈԱՊԿԿ-ի կողմից ռիսկերի կառավարման պլանի գնահատման ժամանակ]։</w:t>
      </w:r>
    </w:p>
    <w:p w14:paraId="39C22E2B" w14:textId="77777777" w:rsidR="004F5982" w:rsidRDefault="004F5982" w:rsidP="00487007">
      <w:pPr>
        <w:spacing w:after="160" w:line="360" w:lineRule="auto"/>
        <w:ind w:left="567" w:right="565"/>
        <w:jc w:val="center"/>
        <w:rPr>
          <w:rFonts w:ascii="Sylfaen" w:hAnsi="Sylfaen"/>
          <w:sz w:val="24"/>
          <w:szCs w:val="24"/>
        </w:rPr>
      </w:pPr>
    </w:p>
    <w:p w14:paraId="6971F71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2.9. Դեղապատրաստուկի ընդհանուր բնութագրում տեղ գտած փոփոխությունները</w:t>
      </w:r>
    </w:p>
    <w:p w14:paraId="54222F6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[Դեղապատրաստուկի ընդհանուր բնութագրում կատարվող </w:t>
      </w:r>
      <w:r w:rsidRPr="00826F05">
        <w:rPr>
          <w:rFonts w:ascii="Sylfaen" w:hAnsi="Sylfaen"/>
          <w:i/>
          <w:sz w:val="24"/>
          <w:szCs w:val="24"/>
        </w:rPr>
        <w:lastRenderedPageBreak/>
        <w:t xml:space="preserve">փոփոխությունները պետք է նկարագրվեն </w:t>
      </w:r>
      <w:r w:rsidR="00C54D75">
        <w:rPr>
          <w:rFonts w:ascii="Sylfaen" w:hAnsi="Sylfaen"/>
          <w:i/>
          <w:sz w:val="24"/>
          <w:szCs w:val="24"/>
        </w:rPr>
        <w:t>և</w:t>
      </w:r>
      <w:r w:rsidRPr="00826F05">
        <w:rPr>
          <w:rFonts w:ascii="Sylfaen" w:hAnsi="Sylfaen"/>
          <w:i/>
          <w:sz w:val="24"/>
          <w:szCs w:val="24"/>
        </w:rPr>
        <w:t xml:space="preserve"> ներկայացվեն որպես նոր տեքստ այն ընդգծված </w:t>
      </w:r>
      <w:r w:rsidR="00C54D75">
        <w:rPr>
          <w:rFonts w:ascii="Sylfaen" w:hAnsi="Sylfaen"/>
          <w:i/>
          <w:sz w:val="24"/>
          <w:szCs w:val="24"/>
        </w:rPr>
        <w:t>և</w:t>
      </w:r>
      <w:r w:rsidRPr="00826F05">
        <w:rPr>
          <w:rFonts w:ascii="Sylfaen" w:hAnsi="Sylfaen"/>
          <w:i/>
          <w:sz w:val="24"/>
          <w:szCs w:val="24"/>
        </w:rPr>
        <w:t xml:space="preserve"> հեռացված տեքստով, որը նշվել է որպես ջնջված: Սակայն եթե այդ փոփոխությունները չափազանց շատ են, դեղապատրաստուկի ընդհանուր բնութագրի (ԴԸԲ) համապատասխան բաժիններում փոփոխությունները կարող են ամփոփվել </w:t>
      </w:r>
      <w:r w:rsidR="00C54D75">
        <w:rPr>
          <w:rFonts w:ascii="Sylfaen" w:hAnsi="Sylfaen"/>
          <w:i/>
          <w:sz w:val="24"/>
          <w:szCs w:val="24"/>
        </w:rPr>
        <w:t>և</w:t>
      </w:r>
      <w:r w:rsidRPr="00826F05">
        <w:rPr>
          <w:rFonts w:ascii="Sylfaen" w:hAnsi="Sylfaen"/>
          <w:i/>
          <w:sz w:val="24"/>
          <w:szCs w:val="24"/>
        </w:rPr>
        <w:t xml:space="preserve"> կարող են կատարվել հղումներ]:</w:t>
      </w:r>
    </w:p>
    <w:p w14:paraId="3E80BB9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իրավատիրոջ կողմից առաջարկվել են ԴԸԲ-ում հետ</w:t>
      </w:r>
      <w:r w:rsidR="00C54D75">
        <w:rPr>
          <w:rFonts w:ascii="Sylfaen" w:hAnsi="Sylfaen"/>
          <w:sz w:val="24"/>
          <w:szCs w:val="24"/>
        </w:rPr>
        <w:t>և</w:t>
      </w:r>
      <w:r w:rsidRPr="00826F05">
        <w:rPr>
          <w:rFonts w:ascii="Sylfaen" w:hAnsi="Sylfaen"/>
          <w:sz w:val="24"/>
          <w:szCs w:val="24"/>
        </w:rPr>
        <w:t>յալ փոփոխությունները՝ &lt;</w:t>
      </w:r>
      <w:r w:rsidRPr="00826F05">
        <w:rPr>
          <w:rFonts w:ascii="Sylfaen" w:hAnsi="Sylfaen"/>
          <w:i/>
          <w:sz w:val="24"/>
          <w:szCs w:val="24"/>
        </w:rPr>
        <w:t>թվարկել փոփոխությունները</w:t>
      </w:r>
      <w:r w:rsidRPr="00826F05">
        <w:rPr>
          <w:rFonts w:ascii="Sylfaen" w:hAnsi="Sylfaen"/>
          <w:sz w:val="24"/>
          <w:szCs w:val="24"/>
        </w:rPr>
        <w:t>&gt;:</w:t>
      </w:r>
    </w:p>
    <w:p w14:paraId="6BAA36E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Զեկուցողը վեր</w:t>
      </w:r>
      <w:r w:rsidR="00C54D75">
        <w:rPr>
          <w:rFonts w:ascii="Sylfaen" w:hAnsi="Sylfaen"/>
          <w:sz w:val="24"/>
          <w:szCs w:val="24"/>
        </w:rPr>
        <w:t>և</w:t>
      </w:r>
      <w:r w:rsidRPr="00826F05">
        <w:rPr>
          <w:rFonts w:ascii="Sylfaen" w:hAnsi="Sylfaen"/>
          <w:sz w:val="24"/>
          <w:szCs w:val="24"/>
        </w:rPr>
        <w:t xml:space="preserve">ում մանրամասն ուսումնասիրված պատճառներով պահանջում է ԴԸԲ-ում </w:t>
      </w:r>
      <w:r w:rsidRPr="0011208A">
        <w:rPr>
          <w:rFonts w:ascii="Sylfaen" w:hAnsi="Sylfaen"/>
          <w:i/>
          <w:sz w:val="24"/>
          <w:szCs w:val="24"/>
        </w:rPr>
        <w:t>&lt;հետ</w:t>
      </w:r>
      <w:r w:rsidR="00C54D75">
        <w:rPr>
          <w:rFonts w:ascii="Sylfaen" w:hAnsi="Sylfaen"/>
          <w:i/>
          <w:sz w:val="24"/>
          <w:szCs w:val="24"/>
        </w:rPr>
        <w:t>և</w:t>
      </w:r>
      <w:r w:rsidRPr="0011208A">
        <w:rPr>
          <w:rFonts w:ascii="Sylfaen" w:hAnsi="Sylfaen"/>
          <w:i/>
          <w:sz w:val="24"/>
          <w:szCs w:val="24"/>
        </w:rPr>
        <w:t>յալ&gt;</w:t>
      </w:r>
      <w:r w:rsidRPr="00826F05">
        <w:rPr>
          <w:rFonts w:ascii="Sylfaen" w:hAnsi="Sylfaen"/>
          <w:sz w:val="24"/>
          <w:szCs w:val="24"/>
        </w:rPr>
        <w:t xml:space="preserve"> </w:t>
      </w:r>
      <w:r w:rsidRPr="0011208A">
        <w:rPr>
          <w:rFonts w:ascii="Sylfaen" w:hAnsi="Sylfaen"/>
          <w:i/>
          <w:sz w:val="24"/>
          <w:szCs w:val="24"/>
        </w:rPr>
        <w:t>&lt;լրացուցիչ&gt;</w:t>
      </w:r>
      <w:r w:rsidRPr="00826F05">
        <w:rPr>
          <w:rFonts w:ascii="Sylfaen" w:hAnsi="Sylfaen"/>
          <w:sz w:val="24"/>
          <w:szCs w:val="24"/>
        </w:rPr>
        <w:t xml:space="preserve"> ուղղումների կատարումը՝ </w:t>
      </w:r>
      <w:r w:rsidRPr="00826F05">
        <w:rPr>
          <w:rFonts w:ascii="Sylfaen" w:hAnsi="Sylfaen"/>
          <w:i/>
          <w:sz w:val="24"/>
          <w:szCs w:val="24"/>
        </w:rPr>
        <w:t xml:space="preserve">&lt;Ներառե՛ք այն կետերի համառոտ նկարագրությունը, որոնցում առաջարկվում են ենթադրյալ փոփոխությունների հետագա ուղղումներ, </w:t>
      </w:r>
      <w:r w:rsidR="00C54D75">
        <w:rPr>
          <w:rFonts w:ascii="Sylfaen" w:hAnsi="Sylfaen"/>
          <w:i/>
          <w:sz w:val="24"/>
          <w:szCs w:val="24"/>
        </w:rPr>
        <w:t>և</w:t>
      </w:r>
      <w:r w:rsidRPr="00826F05">
        <w:rPr>
          <w:rFonts w:ascii="Sylfaen" w:hAnsi="Sylfaen"/>
          <w:i/>
          <w:sz w:val="24"/>
          <w:szCs w:val="24"/>
        </w:rPr>
        <w:t xml:space="preserve"> այդ հարցումների պատճառները&gt;:</w:t>
      </w:r>
    </w:p>
    <w:p w14:paraId="7C09E11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Փոփոխությունները նա</w:t>
      </w:r>
      <w:r w:rsidR="00C54D75">
        <w:rPr>
          <w:rFonts w:ascii="Sylfaen" w:hAnsi="Sylfaen"/>
          <w:sz w:val="24"/>
          <w:szCs w:val="24"/>
        </w:rPr>
        <w:t>և</w:t>
      </w:r>
      <w:r w:rsidRPr="00826F05">
        <w:rPr>
          <w:rFonts w:ascii="Sylfaen" w:hAnsi="Sylfaen"/>
          <w:sz w:val="24"/>
          <w:szCs w:val="24"/>
        </w:rPr>
        <w:t xml:space="preserve"> ներառվել են բժշկական կիրառման հրահանգում (ներդիր-թերթիկում) (ԲԿՀ-ում (ՆԹ-ում)), որպեսզի այն համապատասխանեցվի ԴԸԲ-ի ընթացիկ խմբագրությանը՝ Եվրասիական տնտեսական հանձնաժողովի կողմից հաստատվող Բժշկական կիրառման դեղապատրաստուկի ընդհանուր բնութագրին ներկայացվող պահանջներին </w:t>
      </w:r>
      <w:r w:rsidR="00C54D75">
        <w:rPr>
          <w:rFonts w:ascii="Sylfaen" w:hAnsi="Sylfaen"/>
          <w:sz w:val="24"/>
          <w:szCs w:val="24"/>
        </w:rPr>
        <w:t>և</w:t>
      </w:r>
      <w:r w:rsidRPr="00826F05">
        <w:rPr>
          <w:rFonts w:ascii="Sylfaen" w:hAnsi="Sylfaen"/>
          <w:sz w:val="24"/>
          <w:szCs w:val="24"/>
        </w:rPr>
        <w:t xml:space="preserve"> բժշկական կիրառման հրահանգին (ներդիր թերթիկին) համապատասխան:</w:t>
      </w:r>
    </w:p>
    <w:p w14:paraId="220DE63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[Եթե օգտագործողների թեստավորման արդյունքները ներկայացվել են այդ ընթացակարգով, դա նույնպես հարկ է քննարկել]:</w:t>
      </w:r>
    </w:p>
    <w:p w14:paraId="0A465767" w14:textId="77777777"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936C19">
        <w:rPr>
          <w:rFonts w:ascii="Sylfaen" w:hAnsi="Sylfaen"/>
          <w:i/>
          <w:spacing w:val="6"/>
          <w:sz w:val="24"/>
          <w:szCs w:val="24"/>
        </w:rPr>
        <w:t>&lt;Գրանցման հավաստագրի իրավատիրոջ կողմից ներկայացված՝ ԲԿՀ</w:t>
      </w:r>
      <w:r w:rsidRPr="0011208A">
        <w:rPr>
          <w:rFonts w:ascii="Sylfaen" w:hAnsi="Sylfaen"/>
          <w:i/>
          <w:sz w:val="24"/>
          <w:szCs w:val="24"/>
        </w:rPr>
        <w:t>-ի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չափանիշներին&gt; :</w:t>
      </w:r>
    </w:p>
    <w:p w14:paraId="4793C875"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lastRenderedPageBreak/>
        <w:t>կամ</w:t>
      </w:r>
    </w:p>
    <w:p w14:paraId="0B7E19A2" w14:textId="44E10861" w:rsidR="004F5982" w:rsidRPr="0011208A" w:rsidRDefault="004F5982" w:rsidP="00487007">
      <w:pPr>
        <w:spacing w:after="160" w:line="360" w:lineRule="auto"/>
        <w:ind w:right="-2" w:firstLine="567"/>
        <w:jc w:val="both"/>
        <w:rPr>
          <w:rFonts w:ascii="Sylfaen" w:eastAsia="Times New Roman" w:hAnsi="Sylfaen" w:cs="Times New Roman"/>
          <w:i/>
          <w:sz w:val="24"/>
          <w:szCs w:val="24"/>
        </w:rPr>
      </w:pPr>
      <w:r w:rsidRPr="0011208A">
        <w:rPr>
          <w:rFonts w:ascii="Sylfaen" w:hAnsi="Sylfaen"/>
          <w:i/>
          <w:sz w:val="24"/>
          <w:szCs w:val="24"/>
        </w:rPr>
        <w:t>&lt;</w:t>
      </w:r>
      <w:r w:rsidRPr="00936C19">
        <w:rPr>
          <w:rFonts w:ascii="Sylfaen" w:hAnsi="Sylfaen"/>
          <w:i/>
          <w:spacing w:val="6"/>
          <w:sz w:val="24"/>
          <w:szCs w:val="24"/>
        </w:rPr>
        <w:t>Գրանցման հավաստագրի իրավատիրոջ կողմից ներկայացված՝ ԲԿՀ-ի</w:t>
      </w:r>
      <w:r>
        <w:rPr>
          <w:rFonts w:ascii="Sylfaen" w:hAnsi="Sylfaen"/>
          <w:i/>
          <w:sz w:val="24"/>
          <w:szCs w:val="24"/>
        </w:rPr>
        <w:t xml:space="preserve"> </w:t>
      </w:r>
      <w:r w:rsidRPr="0011208A">
        <w:rPr>
          <w:rFonts w:ascii="Sylfaen" w:hAnsi="Sylfaen"/>
          <w:i/>
          <w:sz w:val="24"/>
          <w:szCs w:val="24"/>
        </w:rPr>
        <w:t xml:space="preserve">(ՆԹ-ի) մասով պացիենտների թիրախային խմբերի մասնակցությամբ՝ օգտագործողների թեստավորման արդյունքները ցույց են տալիս, որ ԲԿՀ-ն (ՆԹ-ն) համապատասխանում է Եվրասիական տնտեսական հանձնաժողովի կողմից հաստատվող Բժշկական կիրառման դեղապատրաստուկի ընդհանուր բնութագրին </w:t>
      </w:r>
      <w:r w:rsidR="00C54D75">
        <w:rPr>
          <w:rFonts w:ascii="Sylfaen" w:hAnsi="Sylfaen"/>
          <w:i/>
          <w:sz w:val="24"/>
          <w:szCs w:val="24"/>
        </w:rPr>
        <w:t>և</w:t>
      </w:r>
      <w:r w:rsidRPr="0011208A">
        <w:rPr>
          <w:rFonts w:ascii="Sylfaen" w:hAnsi="Sylfaen"/>
          <w:i/>
          <w:sz w:val="24"/>
          <w:szCs w:val="24"/>
        </w:rPr>
        <w:t xml:space="preserve"> բժշկական կիրառման հրահանգին (ներդիր-թերթիկին) ներկայացվող պահանջներում շարադրված ընթեռնելիության չափանիշներին: </w:t>
      </w:r>
      <w:r w:rsidR="0056496B">
        <w:rPr>
          <w:rFonts w:ascii="Sylfaen" w:hAnsi="Sylfaen"/>
          <w:i/>
          <w:sz w:val="24"/>
          <w:szCs w:val="24"/>
        </w:rPr>
        <w:t>Դիմումատու</w:t>
      </w:r>
      <w:r w:rsidRPr="0011208A">
        <w:rPr>
          <w:rFonts w:ascii="Sylfaen" w:hAnsi="Sylfaen"/>
          <w:i/>
          <w:sz w:val="24"/>
          <w:szCs w:val="24"/>
        </w:rPr>
        <w:t>ն, պացիենտների թիրախային խմբերի մասնակցությամբ, օգտագործողների թեստավորման շրջանակներում պետք է ուսումնասիրի ստոր</w:t>
      </w:r>
      <w:r w:rsidR="00C54D75">
        <w:rPr>
          <w:rFonts w:ascii="Sylfaen" w:hAnsi="Sylfaen"/>
          <w:i/>
          <w:sz w:val="24"/>
          <w:szCs w:val="24"/>
        </w:rPr>
        <w:t>և</w:t>
      </w:r>
      <w:r w:rsidRPr="0011208A">
        <w:rPr>
          <w:rFonts w:ascii="Sylfaen" w:hAnsi="Sylfaen"/>
          <w:i/>
          <w:sz w:val="24"/>
          <w:szCs w:val="24"/>
        </w:rPr>
        <w:t xml:space="preserve"> բերված՝ ԲԿՀ-ին (ՆԹ-ին) վերաբերող ոչ էական (այլ) դիտողությունները&gt;:</w:t>
      </w:r>
    </w:p>
    <w:p w14:paraId="7FAA0941"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393205AA" w14:textId="32D380E1"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&lt;</w:t>
      </w:r>
      <w:r w:rsidRPr="00826F05">
        <w:rPr>
          <w:rFonts w:ascii="Sylfaen" w:hAnsi="Sylfaen"/>
          <w:i/>
          <w:sz w:val="24"/>
          <w:szCs w:val="24"/>
        </w:rPr>
        <w:t>ԲԿՀ-ի (ՆԹ-ի) մասով պացիենտների թիրախային խմբերի մասնակցությամբ՝ օգտագործողների ամբողջական թեստավորումը՝ ամփոփ հաշվետվության հիման վրա</w:t>
      </w:r>
      <w:r>
        <w:rPr>
          <w:rFonts w:ascii="Sylfaen" w:eastAsia="Times New Roman" w:hAnsi="Sylfaen" w:cs="Times New Roman"/>
          <w:sz w:val="24"/>
          <w:szCs w:val="24"/>
        </w:rPr>
        <w:t xml:space="preserve"> </w:t>
      </w:r>
      <w:r w:rsidRPr="00826F05">
        <w:rPr>
          <w:rFonts w:ascii="Sylfaen" w:hAnsi="Sylfaen"/>
          <w:i/>
          <w:sz w:val="24"/>
          <w:szCs w:val="24"/>
        </w:rPr>
        <w:t>&lt;արտադրատեսակի անվանումը (արտադրատեսակների անվանումը)&gt; չի կատարվել</w:t>
      </w:r>
      <w:r w:rsidRPr="0084278D">
        <w:rPr>
          <w:rFonts w:ascii="Sylfaen" w:hAnsi="Sylfaen"/>
          <w:i/>
          <w:sz w:val="24"/>
          <w:szCs w:val="24"/>
        </w:rPr>
        <w:t xml:space="preserve">: </w:t>
      </w:r>
      <w:r w:rsidR="0056496B">
        <w:rPr>
          <w:rFonts w:ascii="Sylfaen" w:hAnsi="Sylfaen"/>
          <w:i/>
          <w:sz w:val="24"/>
          <w:szCs w:val="24"/>
        </w:rPr>
        <w:t>Դիմումատու</w:t>
      </w:r>
      <w:r w:rsidRPr="0084278D">
        <w:rPr>
          <w:rFonts w:ascii="Sylfaen" w:hAnsi="Sylfaen"/>
          <w:i/>
          <w:sz w:val="24"/>
          <w:szCs w:val="24"/>
        </w:rPr>
        <w:t>ի կողմից ներկայացված ամփոփ հաշվետվությունը ճանաչվել է ընդունելի (անընդունելի)&gt;:</w:t>
      </w:r>
    </w:p>
    <w:p w14:paraId="4F1018C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[Ձ</w:t>
      </w:r>
      <w:r w:rsidR="00C54D75">
        <w:rPr>
          <w:rFonts w:ascii="Sylfaen" w:hAnsi="Sylfaen"/>
          <w:i/>
          <w:sz w:val="24"/>
          <w:szCs w:val="24"/>
        </w:rPr>
        <w:t>և</w:t>
      </w:r>
      <w:r w:rsidRPr="00826F05">
        <w:rPr>
          <w:rFonts w:ascii="Sylfaen" w:hAnsi="Sylfaen"/>
          <w:i/>
          <w:sz w:val="24"/>
          <w:szCs w:val="24"/>
        </w:rPr>
        <w:t>ակերպման վերջին տարբերակը կարող է ներառվել, միայն եթե ԴՈԱՊԿԿ-ն այն համաձայնեցրել է]:</w:t>
      </w:r>
    </w:p>
    <w:p w14:paraId="3792A7B0" w14:textId="77777777" w:rsidR="004F5982" w:rsidRDefault="004F5982" w:rsidP="00487007">
      <w:pPr>
        <w:spacing w:after="160" w:line="360" w:lineRule="auto"/>
        <w:ind w:left="567" w:right="565"/>
        <w:jc w:val="center"/>
        <w:rPr>
          <w:rFonts w:ascii="Sylfaen" w:hAnsi="Sylfaen"/>
          <w:sz w:val="24"/>
          <w:szCs w:val="24"/>
        </w:rPr>
      </w:pPr>
    </w:p>
    <w:p w14:paraId="1037E34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2.10. Բուժաշխատողների անմիջական տեղեկացումը</w:t>
      </w:r>
    </w:p>
    <w:p w14:paraId="4B16FA8D" w14:textId="77777777" w:rsidR="004F5982" w:rsidRPr="0084278D"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Փորձագետը համարում է, որ բուժաշխատողների անմիջական տեղեկացումը (ԲԱԱՏ) անհրաժեշտ է հետ</w:t>
      </w:r>
      <w:r w:rsidR="00C54D75">
        <w:rPr>
          <w:rFonts w:ascii="Sylfaen" w:hAnsi="Sylfaen"/>
          <w:sz w:val="24"/>
          <w:szCs w:val="24"/>
        </w:rPr>
        <w:t>և</w:t>
      </w:r>
      <w:r w:rsidRPr="00826F05">
        <w:rPr>
          <w:rFonts w:ascii="Sylfaen" w:hAnsi="Sylfaen"/>
          <w:sz w:val="24"/>
          <w:szCs w:val="24"/>
        </w:rPr>
        <w:t xml:space="preserve">յալի վերաբերյալ քննարկման համար՝ </w:t>
      </w:r>
      <w:r w:rsidRPr="0084278D">
        <w:rPr>
          <w:rFonts w:ascii="Sylfaen" w:hAnsi="Sylfaen"/>
          <w:i/>
          <w:sz w:val="24"/>
          <w:szCs w:val="24"/>
        </w:rPr>
        <w:t>&lt;համառոտ շարադրել փոխգործակցության հարցը &gt;:</w:t>
      </w:r>
    </w:p>
    <w:p w14:paraId="4B96D24E" w14:textId="77777777" w:rsidR="004F5982" w:rsidRPr="00826F05" w:rsidRDefault="004F5982" w:rsidP="00487007">
      <w:pPr>
        <w:tabs>
          <w:tab w:val="left" w:pos="1701"/>
        </w:tabs>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[Հարկ է ներկայացնել ԲԱԱՏ-ի թիրախային լսարանի մասին ընդհանուր մանրամասներ]:</w:t>
      </w:r>
    </w:p>
    <w:p w14:paraId="740EE76E" w14:textId="77777777" w:rsidR="004F5982" w:rsidRPr="0084278D"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sz w:val="24"/>
          <w:szCs w:val="24"/>
        </w:rPr>
        <w:lastRenderedPageBreak/>
        <w:t xml:space="preserve">Գրանցման հավաստագրի իրավատերը պետք է ԲԱԱՏ-ի թարգմանությունները </w:t>
      </w:r>
      <w:r w:rsidR="00C54D75">
        <w:rPr>
          <w:rFonts w:ascii="Sylfaen" w:hAnsi="Sylfaen"/>
          <w:sz w:val="24"/>
          <w:szCs w:val="24"/>
        </w:rPr>
        <w:t>և</w:t>
      </w:r>
      <w:r w:rsidRPr="00826F05">
        <w:rPr>
          <w:rFonts w:ascii="Sylfaen" w:hAnsi="Sylfaen"/>
          <w:sz w:val="24"/>
          <w:szCs w:val="24"/>
        </w:rPr>
        <w:t xml:space="preserve"> տեղական առանձնահատկությունները համաձայնեցնի անդամ պետությունների լիազորված մարմինների հետ: Հարկ է, որ ԲԱԱՏ-ը </w:t>
      </w:r>
      <w:r w:rsidRPr="0084278D">
        <w:rPr>
          <w:rFonts w:ascii="Sylfaen" w:hAnsi="Sylfaen"/>
          <w:i/>
          <w:sz w:val="24"/>
          <w:szCs w:val="24"/>
        </w:rPr>
        <w:t>&lt;նշել ԲԱԱՏ-ի ընդլայնման համաձայնեցված ամսաթիվը&gt;</w:t>
      </w:r>
      <w:r w:rsidRPr="00826F05">
        <w:rPr>
          <w:rFonts w:ascii="Sylfaen" w:hAnsi="Sylfaen"/>
          <w:sz w:val="24"/>
          <w:szCs w:val="24"/>
        </w:rPr>
        <w:t xml:space="preserve"> ուղարկվի </w:t>
      </w:r>
      <w:r w:rsidRPr="0084278D">
        <w:rPr>
          <w:rFonts w:ascii="Sylfaen" w:hAnsi="Sylfaen"/>
          <w:i/>
          <w:sz w:val="24"/>
          <w:szCs w:val="24"/>
        </w:rPr>
        <w:t>&lt;նշել թիրախային լսարանը&gt;:</w:t>
      </w:r>
    </w:p>
    <w:p w14:paraId="7AD152C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[Հաջորդ բաժինները, որոնք վերաբերում են երեխաների կողմից դեղապատրաստուկի կիրառմանը, ըստ կար</w:t>
      </w:r>
      <w:r w:rsidR="00C54D75">
        <w:rPr>
          <w:rFonts w:ascii="Sylfaen" w:hAnsi="Sylfaen"/>
          <w:sz w:val="24"/>
          <w:szCs w:val="24"/>
        </w:rPr>
        <w:t>և</w:t>
      </w:r>
      <w:r w:rsidRPr="00826F05">
        <w:rPr>
          <w:rFonts w:ascii="Sylfaen" w:hAnsi="Sylfaen"/>
          <w:sz w:val="24"/>
          <w:szCs w:val="24"/>
        </w:rPr>
        <w:t xml:space="preserve">որության </w:t>
      </w:r>
      <w:r w:rsidR="00C54D75">
        <w:rPr>
          <w:rFonts w:ascii="Sylfaen" w:hAnsi="Sylfaen"/>
          <w:sz w:val="24"/>
          <w:szCs w:val="24"/>
        </w:rPr>
        <w:t>և</w:t>
      </w:r>
      <w:r w:rsidRPr="00826F05">
        <w:rPr>
          <w:rFonts w:ascii="Sylfaen" w:hAnsi="Sylfaen"/>
          <w:sz w:val="24"/>
          <w:szCs w:val="24"/>
        </w:rPr>
        <w:t xml:space="preserve"> համապատասխանության, կարող են ներառվել միայն տվյալ տարբերակի անհրաժեշտությունից]:</w:t>
      </w:r>
    </w:p>
    <w:p w14:paraId="4B61AB2E" w14:textId="77777777" w:rsidR="004F5982" w:rsidRPr="00826F05" w:rsidRDefault="004F5982" w:rsidP="00487007">
      <w:pPr>
        <w:spacing w:after="160" w:line="360" w:lineRule="auto"/>
        <w:ind w:left="118" w:right="37" w:firstLine="720"/>
        <w:jc w:val="both"/>
        <w:rPr>
          <w:rFonts w:ascii="Sylfaen" w:hAnsi="Sylfaen"/>
          <w:sz w:val="24"/>
          <w:szCs w:val="24"/>
        </w:rPr>
      </w:pPr>
    </w:p>
    <w:p w14:paraId="7CF0EC8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2.11. Մանկաբուժական հետազոտությունների անհամապատասխանությունների նշանակությունը</w:t>
      </w:r>
    </w:p>
    <w:p w14:paraId="41AF220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 կամ եթե այդ ներկայացումը ներառում է ԴԸԲ-ում հիշատակված մանկաբուժական հետազոտություններ, հարկ է տվյալ փոփոխությունները գնահատելիս օգտագործել մանկաբուժության ոլորտի համապատասխան ձեռնարկները]:</w:t>
      </w:r>
    </w:p>
    <w:p w14:paraId="76B953DC" w14:textId="77777777" w:rsidR="004F5982" w:rsidRDefault="004F5982" w:rsidP="00487007">
      <w:pPr>
        <w:spacing w:after="160" w:line="360" w:lineRule="auto"/>
        <w:ind w:left="567" w:right="565"/>
        <w:jc w:val="center"/>
        <w:rPr>
          <w:rFonts w:ascii="Sylfaen" w:hAnsi="Sylfaen"/>
          <w:sz w:val="24"/>
          <w:szCs w:val="24"/>
        </w:rPr>
      </w:pPr>
    </w:p>
    <w:p w14:paraId="3ED31FA6" w14:textId="77777777" w:rsidR="004F5982" w:rsidRDefault="004F5982" w:rsidP="00487007">
      <w:pPr>
        <w:spacing w:after="160" w:line="360" w:lineRule="auto"/>
        <w:ind w:left="567" w:right="565"/>
        <w:jc w:val="center"/>
        <w:rPr>
          <w:rFonts w:ascii="Sylfaen" w:hAnsi="Sylfaen"/>
          <w:sz w:val="24"/>
          <w:szCs w:val="24"/>
        </w:rPr>
      </w:pPr>
    </w:p>
    <w:p w14:paraId="4471FF8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3. Ընդհանուր եզրակացությունը </w:t>
      </w:r>
      <w:r w:rsidR="00C54D75">
        <w:rPr>
          <w:rFonts w:ascii="Sylfaen" w:hAnsi="Sylfaen"/>
          <w:sz w:val="24"/>
          <w:szCs w:val="24"/>
        </w:rPr>
        <w:t>և</w:t>
      </w:r>
      <w:r w:rsidRPr="00826F05">
        <w:rPr>
          <w:rFonts w:ascii="Sylfaen" w:hAnsi="Sylfaen"/>
          <w:sz w:val="24"/>
          <w:szCs w:val="24"/>
        </w:rPr>
        <w:t xml:space="preserve"> «օգուտ-ռիսկ» հարաբերակցության վրա ազդեցությունը</w:t>
      </w:r>
    </w:p>
    <w:p w14:paraId="646541F9"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ավելացնել ներկայացված այն տվյալների կրիտիկական տեղեկագիրը, որոնցով ընդգծվում է փոփոխության հարցումը </w:t>
      </w:r>
      <w:r w:rsidR="00C54D75">
        <w:rPr>
          <w:rFonts w:ascii="Sylfaen" w:hAnsi="Sylfaen"/>
          <w:i/>
          <w:sz w:val="24"/>
          <w:szCs w:val="24"/>
        </w:rPr>
        <w:t>և</w:t>
      </w:r>
      <w:r w:rsidRPr="00826F05">
        <w:rPr>
          <w:rFonts w:ascii="Sylfaen" w:hAnsi="Sylfaen"/>
          <w:i/>
          <w:sz w:val="24"/>
          <w:szCs w:val="24"/>
        </w:rPr>
        <w:t xml:space="preserve"> դեղապատրաստուկի օգուտ-ռիսկ հարաբերակցության վրա դրա ազդեցությունը:</w:t>
      </w:r>
    </w:p>
    <w:p w14:paraId="1BA0DC6E" w14:textId="3BE4BE63" w:rsidR="004F5982" w:rsidRPr="00826F05" w:rsidRDefault="004F5982" w:rsidP="00487007">
      <w:pPr>
        <w:spacing w:after="160" w:line="360" w:lineRule="auto"/>
        <w:ind w:right="34"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ակնկալվող ռիսկերի նկատմամբ օգուտի դրական հարաբերակցությունը (գերազանցումը) </w:t>
      </w:r>
      <w:r w:rsidRPr="00826F05">
        <w:rPr>
          <w:rFonts w:ascii="Sylfaen" w:hAnsi="Sylfaen"/>
          <w:i/>
          <w:sz w:val="24"/>
          <w:szCs w:val="24"/>
        </w:rPr>
        <w:lastRenderedPageBreak/>
        <w:t>ապահովելու համար որպես առանցքային միջոցներ են դիտարկվում, հատուկ հետազոտությունների ժամանակ դրանց ստացման հարցը կարող է դրվել փորձագետի կողմից՝ որպես գրանցման հավաստագրի տրամադրման պայման: Այն 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համար անհրաժեշտությունը պետք է բացատրվի օգուտ-ռիսկ դրական հարաբերակցության համատեքստում:]</w:t>
      </w:r>
    </w:p>
    <w:p w14:paraId="05351BD1" w14:textId="77777777" w:rsidR="004F5982" w:rsidRPr="00826F05" w:rsidRDefault="004F5982" w:rsidP="00487007">
      <w:pPr>
        <w:spacing w:after="160" w:line="360" w:lineRule="auto"/>
        <w:ind w:right="-20" w:firstLine="567"/>
        <w:jc w:val="both"/>
        <w:rPr>
          <w:rFonts w:ascii="Sylfaen" w:eastAsia="Times New Roman" w:hAnsi="Sylfaen" w:cs="Times New Roman"/>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յալ միջոցները՝</w:t>
      </w:r>
    </w:p>
    <w:p w14:paraId="6178C8B6"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նախակլինիկական միջոցների վերաբերյալ հարցումների ցանկը&gt;</w:t>
      </w:r>
    </w:p>
    <w:p w14:paraId="71B8D943" w14:textId="77777777" w:rsidR="004F5982" w:rsidRPr="0037445D" w:rsidRDefault="004F5982" w:rsidP="00487007">
      <w:pPr>
        <w:spacing w:after="160" w:line="360" w:lineRule="auto"/>
        <w:ind w:right="39" w:firstLine="567"/>
        <w:jc w:val="both"/>
        <w:rPr>
          <w:rFonts w:ascii="Sylfaen" w:hAnsi="Sylfaen"/>
          <w:i/>
          <w:sz w:val="24"/>
          <w:szCs w:val="24"/>
        </w:rPr>
      </w:pPr>
      <w:r w:rsidRPr="0037445D">
        <w:rPr>
          <w:rFonts w:ascii="Sylfaen" w:hAnsi="Sylfaen"/>
          <w:i/>
          <w:sz w:val="24"/>
          <w:szCs w:val="24"/>
        </w:rPr>
        <w:t>&lt;ներկայացնել պատրաստուկի դեղաբանության ուսումնասիրության հետ կապված հարցերի վերաբերյալ հարցումների ցանկը&gt;</w:t>
      </w:r>
    </w:p>
    <w:p w14:paraId="5B73D5CD"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պատրաստուկի արդյունավետության վերաբերյալ հարցումների ցանկը&gt;</w:t>
      </w:r>
    </w:p>
    <w:p w14:paraId="05DDFA0F" w14:textId="77777777" w:rsidR="004F5982" w:rsidRPr="0037445D" w:rsidRDefault="004F5982" w:rsidP="00487007">
      <w:pPr>
        <w:spacing w:after="160" w:line="360" w:lineRule="auto"/>
        <w:ind w:right="-20" w:firstLine="567"/>
        <w:jc w:val="both"/>
        <w:rPr>
          <w:rFonts w:ascii="Sylfaen" w:eastAsia="Times New Roman" w:hAnsi="Sylfaen" w:cs="Times New Roman"/>
          <w:i/>
          <w:sz w:val="24"/>
          <w:szCs w:val="24"/>
        </w:rPr>
      </w:pPr>
      <w:r w:rsidRPr="0037445D">
        <w:rPr>
          <w:rFonts w:ascii="Sylfaen" w:hAnsi="Sylfaen"/>
          <w:i/>
          <w:sz w:val="24"/>
          <w:szCs w:val="24"/>
        </w:rPr>
        <w:t>&lt;ներկայացնել դեղազգոնության վերաբերյալ հարցումների ցանկը&gt;:</w:t>
      </w:r>
    </w:p>
    <w:p w14:paraId="2FCECA19" w14:textId="77777777" w:rsidR="004F5982" w:rsidRPr="0037445D" w:rsidRDefault="004F5982" w:rsidP="00487007">
      <w:pPr>
        <w:spacing w:after="160" w:line="360" w:lineRule="auto"/>
        <w:ind w:right="36" w:firstLine="567"/>
        <w:jc w:val="both"/>
        <w:rPr>
          <w:rFonts w:ascii="Sylfaen" w:eastAsia="Times New Roman" w:hAnsi="Sylfaen" w:cs="Times New Roman"/>
          <w:i/>
          <w:sz w:val="24"/>
          <w:szCs w:val="24"/>
        </w:rPr>
      </w:pPr>
      <w:r w:rsidRPr="0037445D">
        <w:rPr>
          <w:rFonts w:ascii="Sylfaen" w:hAnsi="Sylfaen"/>
          <w:i/>
          <w:sz w:val="24"/>
          <w:szCs w:val="24"/>
        </w:rPr>
        <w:t>[Փորձագետի՝ անվտանգության հետ կապված հարցումների առկայության դեպքում (այսինքն՝ անվտանգության ամբողջական վերլուծություն, որը պետք է ներկայացվի) հարկ է նշել]:</w:t>
      </w:r>
    </w:p>
    <w:p w14:paraId="2B2BE0D9" w14:textId="727C486D"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հերթական ԱՊԹՀ-ում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(Х ամսվա ընթացքում)՝ </w:t>
      </w:r>
      <w:r w:rsidRPr="0037445D">
        <w:rPr>
          <w:rFonts w:ascii="Sylfaen" w:hAnsi="Sylfaen"/>
          <w:i/>
          <w:sz w:val="24"/>
          <w:szCs w:val="24"/>
        </w:rPr>
        <w:t>&lt;թվարկել տվյալները&gt;:</w:t>
      </w:r>
    </w:p>
    <w:p w14:paraId="4D5DAE69" w14:textId="36A98451" w:rsidR="004F5982" w:rsidRPr="00826F05" w:rsidRDefault="004F5982" w:rsidP="00487007">
      <w:pPr>
        <w:spacing w:after="160" w:line="360" w:lineRule="auto"/>
        <w:ind w:right="35" w:firstLine="567"/>
        <w:jc w:val="both"/>
        <w:rPr>
          <w:rFonts w:ascii="Sylfaen" w:eastAsia="Times New Roman" w:hAnsi="Sylfaen" w:cs="Times New Roman"/>
          <w:sz w:val="24"/>
          <w:szCs w:val="24"/>
        </w:rPr>
      </w:pPr>
      <w:r w:rsidRPr="00826F05">
        <w:rPr>
          <w:rFonts w:ascii="Sylfaen" w:hAnsi="Sylfaen"/>
          <w:i/>
          <w:sz w:val="24"/>
          <w:szCs w:val="24"/>
        </w:rPr>
        <w:t xml:space="preserve">[Այն դեպքում, երբ մի քանի պատրաստուկների մասով համակցված փոփոխությունների կատարման մասին </w:t>
      </w:r>
      <w:r w:rsidR="0056496B">
        <w:rPr>
          <w:rFonts w:ascii="Sylfaen" w:hAnsi="Sylfaen"/>
          <w:i/>
          <w:sz w:val="24"/>
          <w:szCs w:val="24"/>
        </w:rPr>
        <w:t>դիմում</w:t>
      </w:r>
      <w:r w:rsidRPr="00826F05">
        <w:rPr>
          <w:rFonts w:ascii="Sylfaen" w:hAnsi="Sylfaen"/>
          <w:i/>
          <w:sz w:val="24"/>
          <w:szCs w:val="24"/>
        </w:rPr>
        <w:t xml:space="preserve"> է ներկայացվել, </w:t>
      </w:r>
      <w:r w:rsidR="00C54D75">
        <w:rPr>
          <w:rFonts w:ascii="Sylfaen" w:hAnsi="Sylfaen"/>
          <w:i/>
          <w:sz w:val="24"/>
          <w:szCs w:val="24"/>
        </w:rPr>
        <w:t>և</w:t>
      </w:r>
      <w:r w:rsidRPr="00826F05">
        <w:rPr>
          <w:rFonts w:ascii="Sylfaen" w:hAnsi="Sylfaen"/>
          <w:i/>
          <w:sz w:val="24"/>
          <w:szCs w:val="24"/>
        </w:rPr>
        <w:t xml:space="preserve"> դիրքերից որ</w:t>
      </w:r>
      <w:r w:rsidR="00C54D75">
        <w:rPr>
          <w:rFonts w:ascii="Sylfaen" w:hAnsi="Sylfaen"/>
          <w:i/>
          <w:sz w:val="24"/>
          <w:szCs w:val="24"/>
        </w:rPr>
        <w:t>և</w:t>
      </w:r>
      <w:r w:rsidRPr="00826F05">
        <w:rPr>
          <w:rFonts w:ascii="Sylfaen" w:hAnsi="Sylfaen"/>
          <w:i/>
          <w:sz w:val="24"/>
          <w:szCs w:val="24"/>
        </w:rPr>
        <w:t>է մեկում փորձագետները տարակարծիք են եղել դեղապատրաստուկների խմբի հարցում, ապա դրանք անհրաժեշտ է նկարագրել յուրաքանչյուր դեղապատրաստուկի համար առանձին]:</w:t>
      </w:r>
    </w:p>
    <w:p w14:paraId="1DF8DA39" w14:textId="77777777" w:rsidR="004F5982" w:rsidRPr="00826F05" w:rsidRDefault="004F5982" w:rsidP="00487007">
      <w:pPr>
        <w:spacing w:after="160" w:line="360" w:lineRule="auto"/>
        <w:ind w:right="43"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Սահմանել ԱՊԹՀ-ի ներկայացման պարբերականությանը ներկայացվող պահանջներն այն դեպքում, երբ այն տարբերվում է ԱՊԹՀ-ի թարմացման բնականոն ժամանակահատվածից: </w:t>
      </w:r>
    </w:p>
    <w:p w14:paraId="6ED87BA5" w14:textId="77777777" w:rsidR="004F5982" w:rsidRPr="00826F05" w:rsidRDefault="004F5982" w:rsidP="00487007">
      <w:pPr>
        <w:spacing w:after="160" w:line="360" w:lineRule="auto"/>
        <w:ind w:right="37"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020C58F7" w14:textId="77777777" w:rsidR="004F5982" w:rsidRPr="00826F05" w:rsidRDefault="004F5982" w:rsidP="00487007">
      <w:pPr>
        <w:spacing w:after="160" w:line="360" w:lineRule="auto"/>
        <w:ind w:right="40"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դեղամիջոցի ԱՊԹՀ-ն՝ ելնելով ակտիվ դեղագործական բաղադրամասի ՄՉԱ-ի միջազգային գրանցման ամսաթվից:</w:t>
      </w:r>
    </w:p>
    <w:p w14:paraId="2EBD9E20" w14:textId="77777777" w:rsidR="004F5982" w:rsidRPr="00826F05" w:rsidRDefault="004F5982" w:rsidP="00487007">
      <w:pPr>
        <w:spacing w:after="160" w:line="360" w:lineRule="auto"/>
        <w:ind w:right="39"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37445D">
        <w:rPr>
          <w:rFonts w:ascii="Sylfaen" w:hAnsi="Sylfaen"/>
          <w:i/>
          <w:sz w:val="24"/>
          <w:szCs w:val="24"/>
        </w:rPr>
        <w:t>&lt;նշել պայմանները&gt;:</w:t>
      </w:r>
    </w:p>
    <w:p w14:paraId="3B67F36A"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Փորձագետը համարում է, որ հետ</w:t>
      </w:r>
      <w:r w:rsidR="00C54D75">
        <w:rPr>
          <w:rFonts w:ascii="Sylfaen" w:hAnsi="Sylfaen"/>
          <w:sz w:val="24"/>
          <w:szCs w:val="24"/>
        </w:rPr>
        <w:t>և</w:t>
      </w:r>
      <w:r w:rsidRPr="00826F05">
        <w:rPr>
          <w:rFonts w:ascii="Sylfaen" w:hAnsi="Sylfaen"/>
          <w:sz w:val="24"/>
          <w:szCs w:val="24"/>
        </w:rPr>
        <w:t>յալ պարտավորությունները կատարվել</w:t>
      </w:r>
      <w:r>
        <w:rPr>
          <w:rFonts w:ascii="Sylfaen" w:hAnsi="Sylfaen"/>
          <w:sz w:val="24"/>
          <w:szCs w:val="24"/>
        </w:rPr>
        <w:t> </w:t>
      </w:r>
      <w:r w:rsidRPr="00826F05">
        <w:rPr>
          <w:rFonts w:ascii="Sylfaen" w:hAnsi="Sylfaen"/>
          <w:sz w:val="24"/>
          <w:szCs w:val="24"/>
        </w:rPr>
        <w:t xml:space="preserve">են, </w:t>
      </w:r>
      <w:r w:rsidR="00C54D75">
        <w:rPr>
          <w:rFonts w:ascii="Sylfaen" w:hAnsi="Sylfaen"/>
          <w:sz w:val="24"/>
          <w:szCs w:val="24"/>
        </w:rPr>
        <w:t>և</w:t>
      </w:r>
      <w:r w:rsidRPr="00826F05">
        <w:rPr>
          <w:rFonts w:ascii="Sylfaen" w:hAnsi="Sylfaen"/>
          <w:sz w:val="24"/>
          <w:szCs w:val="24"/>
        </w:rPr>
        <w:t xml:space="preserve"> այդ իսկ պատճառով առաջարկում է Գ հավելվածից հանել՝</w:t>
      </w:r>
    </w:p>
    <w:p w14:paraId="1DF2066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68ED19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որոնք կկատարվեն գրանցման հավաստագրի իրավատիրոջ կողմից, պետք է թվարկվեն տվյալ բաժնում:</w:t>
      </w:r>
    </w:p>
    <w:p w14:paraId="6AFFD84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Բացի ԴԸԲ-ում նշվածներից՝ ռիսկերի նվազեցմանն ուղղված լրացուցիչ միջոցառումների անցկացման անհրաժեշտության դեպքում (օրինակ՝</w:t>
      </w:r>
      <w:r>
        <w:rPr>
          <w:rFonts w:ascii="Sylfaen" w:hAnsi="Sylfaen"/>
          <w:i/>
          <w:sz w:val="24"/>
          <w:szCs w:val="24"/>
        </w:rPr>
        <w:t> </w:t>
      </w:r>
      <w:r w:rsidRPr="00826F05">
        <w:rPr>
          <w:rFonts w:ascii="Sylfaen" w:hAnsi="Sylfaen"/>
          <w:i/>
          <w:sz w:val="24"/>
          <w:szCs w:val="24"/>
        </w:rPr>
        <w:t xml:space="preserve">պատրաստուկի հսկվող տարածումը, ուսուցողական ծրագրերը, հղիության կանխման ծրագիրը), դրանք պետք է թվարկվեն այստեղ </w:t>
      </w:r>
      <w:r w:rsidR="00C54D75">
        <w:rPr>
          <w:rFonts w:ascii="Sylfaen" w:hAnsi="Sylfaen"/>
          <w:i/>
          <w:sz w:val="24"/>
          <w:szCs w:val="24"/>
        </w:rPr>
        <w:t>և</w:t>
      </w:r>
      <w:r w:rsidRPr="00826F05">
        <w:rPr>
          <w:rFonts w:ascii="Sylfaen" w:hAnsi="Sylfaen"/>
          <w:i/>
          <w:sz w:val="24"/>
          <w:szCs w:val="24"/>
        </w:rPr>
        <w:t xml:space="preserve">, ըստ անհրաժեշտության, պետք է ապահովվի անդամ պետությունների կողմից դրանց ճշգրիտ կատարումը: Այդ կանոնից ցանկացած բացառություն (օրինակ՝ որոշ անդամ պետություններում համաճարակաբանական վերահսկողության ծրագրով ներմուծված) պետք է քննարկվի </w:t>
      </w:r>
      <w:r w:rsidR="00C54D75">
        <w:rPr>
          <w:rFonts w:ascii="Sylfaen" w:hAnsi="Sylfaen"/>
          <w:i/>
          <w:sz w:val="24"/>
          <w:szCs w:val="24"/>
        </w:rPr>
        <w:t>և</w:t>
      </w:r>
      <w:r w:rsidRPr="00826F05">
        <w:rPr>
          <w:rFonts w:ascii="Sylfaen" w:hAnsi="Sylfaen"/>
          <w:i/>
          <w:sz w:val="24"/>
          <w:szCs w:val="24"/>
        </w:rPr>
        <w:t xml:space="preserve"> արտացոլվի փորձագիտական եզրակացությունում]:</w:t>
      </w:r>
    </w:p>
    <w:p w14:paraId="7418ACA6" w14:textId="77777777" w:rsidR="004F5982" w:rsidRDefault="004F5982" w:rsidP="00487007">
      <w:pPr>
        <w:spacing w:after="160" w:line="360" w:lineRule="auto"/>
        <w:ind w:left="567" w:right="565"/>
        <w:jc w:val="center"/>
        <w:rPr>
          <w:rFonts w:ascii="Sylfaen" w:hAnsi="Sylfaen"/>
          <w:sz w:val="24"/>
          <w:szCs w:val="24"/>
        </w:rPr>
      </w:pPr>
    </w:p>
    <w:p w14:paraId="71A4578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Հետգրանցումային գործողություններն ավարտելու պարտավորությունը</w:t>
      </w:r>
    </w:p>
    <w:p w14:paraId="48C0018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սահմանված ժամկետներում ավարտի հետ</w:t>
      </w:r>
      <w:r w:rsidR="00C54D75">
        <w:rPr>
          <w:rFonts w:ascii="Sylfaen" w:hAnsi="Sylfaen"/>
          <w:sz w:val="24"/>
          <w:szCs w:val="24"/>
        </w:rPr>
        <w:t>և</w:t>
      </w:r>
      <w:r w:rsidRPr="00826F05">
        <w:rPr>
          <w:rFonts w:ascii="Sylfaen" w:hAnsi="Sylfaen"/>
          <w:sz w:val="24"/>
          <w:szCs w:val="24"/>
        </w:rPr>
        <w:t>յալ գործողությունները՝</w:t>
      </w: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7"/>
        <w:gridCol w:w="2494"/>
      </w:tblGrid>
      <w:tr w:rsidR="004F5982" w:rsidRPr="00826F05" w14:paraId="46175692" w14:textId="77777777" w:rsidTr="004F5982">
        <w:tc>
          <w:tcPr>
            <w:tcW w:w="7337" w:type="dxa"/>
          </w:tcPr>
          <w:p w14:paraId="0906BC1C"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Նկարագրությունը</w:t>
            </w:r>
          </w:p>
        </w:tc>
        <w:tc>
          <w:tcPr>
            <w:tcW w:w="2494" w:type="dxa"/>
          </w:tcPr>
          <w:p w14:paraId="626B3684" w14:textId="77777777" w:rsidR="004F5982" w:rsidRPr="00826F05" w:rsidRDefault="004F5982" w:rsidP="00487007">
            <w:pPr>
              <w:spacing w:after="160" w:line="360" w:lineRule="auto"/>
              <w:ind w:left="102" w:right="-20"/>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61685034" w14:textId="77777777" w:rsidTr="004F5982">
        <w:tc>
          <w:tcPr>
            <w:tcW w:w="7337" w:type="dxa"/>
          </w:tcPr>
          <w:p w14:paraId="0860F91B" w14:textId="77777777" w:rsidR="004F5982" w:rsidRPr="00826F05" w:rsidRDefault="004F5982" w:rsidP="00487007">
            <w:pPr>
              <w:spacing w:after="160" w:line="360" w:lineRule="auto"/>
              <w:jc w:val="both"/>
              <w:rPr>
                <w:rFonts w:ascii="Sylfaen" w:hAnsi="Sylfaen"/>
                <w:sz w:val="24"/>
                <w:szCs w:val="24"/>
              </w:rPr>
            </w:pPr>
          </w:p>
        </w:tc>
        <w:tc>
          <w:tcPr>
            <w:tcW w:w="2494" w:type="dxa"/>
          </w:tcPr>
          <w:p w14:paraId="0B414107"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908622C" w14:textId="77777777" w:rsidTr="004F5982">
        <w:tc>
          <w:tcPr>
            <w:tcW w:w="7337" w:type="dxa"/>
          </w:tcPr>
          <w:p w14:paraId="79D9D09A" w14:textId="77777777" w:rsidR="004F5982" w:rsidRPr="00826F05" w:rsidRDefault="004F5982" w:rsidP="00487007">
            <w:pPr>
              <w:spacing w:after="160" w:line="360" w:lineRule="auto"/>
              <w:jc w:val="both"/>
              <w:rPr>
                <w:rFonts w:ascii="Sylfaen" w:hAnsi="Sylfaen"/>
                <w:sz w:val="24"/>
                <w:szCs w:val="24"/>
              </w:rPr>
            </w:pPr>
          </w:p>
        </w:tc>
        <w:tc>
          <w:tcPr>
            <w:tcW w:w="2494" w:type="dxa"/>
          </w:tcPr>
          <w:p w14:paraId="34248B7F" w14:textId="77777777" w:rsidR="004F5982" w:rsidRPr="00826F05" w:rsidRDefault="004F5982" w:rsidP="00487007">
            <w:pPr>
              <w:spacing w:after="160" w:line="360" w:lineRule="auto"/>
              <w:jc w:val="both"/>
              <w:rPr>
                <w:rFonts w:ascii="Sylfaen" w:hAnsi="Sylfaen"/>
                <w:sz w:val="24"/>
                <w:szCs w:val="24"/>
              </w:rPr>
            </w:pPr>
          </w:p>
        </w:tc>
      </w:tr>
    </w:tbl>
    <w:p w14:paraId="51AB266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667475">
        <w:rPr>
          <w:rFonts w:ascii="Sylfaen" w:hAnsi="Sylfaen"/>
          <w:spacing w:val="-6"/>
          <w:sz w:val="24"/>
          <w:szCs w:val="24"/>
        </w:rPr>
        <w:t xml:space="preserve">Դեղամիջոցի անվտանգ </w:t>
      </w:r>
      <w:r w:rsidR="00C54D75">
        <w:rPr>
          <w:rFonts w:ascii="Sylfaen" w:hAnsi="Sylfaen"/>
          <w:spacing w:val="-6"/>
          <w:sz w:val="24"/>
          <w:szCs w:val="24"/>
        </w:rPr>
        <w:t>և</w:t>
      </w:r>
      <w:r w:rsidRPr="00667475">
        <w:rPr>
          <w:rFonts w:ascii="Sylfaen" w:hAnsi="Sylfaen"/>
          <w:spacing w:val="-6"/>
          <w:sz w:val="24"/>
          <w:szCs w:val="24"/>
        </w:rPr>
        <w:t xml:space="preserve"> արդյունավետ օգտագործման մասով պայմանները կամ սահմանափակումները, որոնք կիրականացվեն անդամ պետությունների</w:t>
      </w:r>
      <w:r w:rsidRPr="00826F05">
        <w:rPr>
          <w:rFonts w:ascii="Sylfaen" w:hAnsi="Sylfaen"/>
          <w:sz w:val="24"/>
          <w:szCs w:val="24"/>
        </w:rPr>
        <w:t xml:space="preserve"> կողմից՝</w:t>
      </w:r>
    </w:p>
    <w:p w14:paraId="2DEDE191" w14:textId="356559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[Պետք է թվարկվեն ռիսկերի նվազեցմանն ուղղված լրացուցիչ արդիական </w:t>
      </w:r>
      <w:r w:rsidRPr="00667475">
        <w:rPr>
          <w:rFonts w:ascii="Sylfaen" w:hAnsi="Sylfaen"/>
          <w:i/>
          <w:spacing w:val="-6"/>
          <w:sz w:val="24"/>
          <w:szCs w:val="24"/>
        </w:rPr>
        <w:t>միջոցառումները, որոնք կիրականացվեն անդամ պետությունների կողմից: Դրանք պետք է արտացոլեն նախորդ</w:t>
      </w:r>
      <w:r w:rsidRPr="00826F05">
        <w:rPr>
          <w:rFonts w:ascii="Sylfaen" w:hAnsi="Sylfaen"/>
          <w:i/>
          <w:sz w:val="24"/>
          <w:szCs w:val="24"/>
        </w:rPr>
        <w:t xml:space="preserve"> բաժնի տեղեկատվությունը, քանի դեռ ի </w:t>
      </w:r>
      <w:r w:rsidR="0056496B">
        <w:rPr>
          <w:rFonts w:ascii="Sylfaen" w:hAnsi="Sylfaen"/>
          <w:i/>
          <w:sz w:val="24"/>
          <w:szCs w:val="24"/>
        </w:rPr>
        <w:t>դիմում</w:t>
      </w:r>
      <w:r w:rsidRPr="00826F05">
        <w:rPr>
          <w:rFonts w:ascii="Sylfaen" w:hAnsi="Sylfaen"/>
          <w:i/>
          <w:sz w:val="24"/>
          <w:szCs w:val="24"/>
        </w:rPr>
        <w:t xml:space="preserve"> չեն եկել կոնկրետ անդամ պետության համար ռիսկի նվազեցման վերաբերյալ տվյալները:</w:t>
      </w:r>
    </w:p>
    <w:p w14:paraId="19F3337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հավելվածը պետք է նախատեսվի, երբ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առկա են Գ հավելվածում նշված պայմանները կամ սահմանափակումները (օրինակ՝ պատրաստուկի տարածման հսկողությունը, ուսումնական նյութերը, հղիության կանխարգելման ծրագիրը), ըստ որոնց՝ անդամ պետություններից պահանջվում է ապահովել դրանց ճշգրիտ իրականացումը: Այդ կանոնից ցանկացած բացառություն (օրինակ՝ որոշ անդամ պետություններում համաճարակաբանական վերահսկողության ծրագրով ստեղծված) պետք է քննարկվի </w:t>
      </w:r>
      <w:r w:rsidR="00C54D75">
        <w:rPr>
          <w:rFonts w:ascii="Sylfaen" w:hAnsi="Sylfaen"/>
          <w:i/>
          <w:sz w:val="24"/>
          <w:szCs w:val="24"/>
        </w:rPr>
        <w:t>և</w:t>
      </w:r>
      <w:r w:rsidRPr="00826F05">
        <w:rPr>
          <w:rFonts w:ascii="Sylfaen" w:hAnsi="Sylfaen"/>
          <w:i/>
          <w:sz w:val="24"/>
          <w:szCs w:val="24"/>
        </w:rPr>
        <w:t xml:space="preserve"> արտացոլվի եզրակացությունում]:</w:t>
      </w:r>
    </w:p>
    <w:p w14:paraId="220A5A7D" w14:textId="77777777" w:rsidR="004F5982" w:rsidRPr="00826F05" w:rsidRDefault="004F5982" w:rsidP="00487007">
      <w:pPr>
        <w:spacing w:after="160" w:line="360" w:lineRule="auto"/>
        <w:jc w:val="both"/>
        <w:rPr>
          <w:rFonts w:ascii="Sylfaen" w:hAnsi="Sylfaen"/>
          <w:sz w:val="24"/>
          <w:szCs w:val="24"/>
        </w:rPr>
      </w:pPr>
    </w:p>
    <w:p w14:paraId="023E235D"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Մանկաբուժական տվյալները</w:t>
      </w:r>
    </w:p>
    <w:p w14:paraId="24DF51DF"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[Ուշադրությո՛ւն. Եթե այդ փոփոխությունը ներկայացնելու համար դիտարկվել է երեխաների մոտ ազդանշանի հաստատումը, կամ եթե այդ </w:t>
      </w:r>
      <w:r w:rsidRPr="00826F05">
        <w:rPr>
          <w:rFonts w:ascii="Sylfaen" w:hAnsi="Sylfaen"/>
          <w:i/>
          <w:sz w:val="24"/>
          <w:szCs w:val="24"/>
        </w:rPr>
        <w:lastRenderedPageBreak/>
        <w:t>փոփոխությունը ներկայացնելը ներառում է ԴԸԲ-ում հիշատակված երեխաների հետազոտությունները, հարկ է դրանք գնահատելիս օգտագործել մանկաբուժության ոլորտի համապատասխան ձեռնարկները:</w:t>
      </w:r>
    </w:p>
    <w:p w14:paraId="26549C80" w14:textId="77777777" w:rsidR="004F5982" w:rsidRPr="00826F05" w:rsidRDefault="004F5982" w:rsidP="00487007">
      <w:pPr>
        <w:spacing w:after="160" w:line="360" w:lineRule="auto"/>
        <w:jc w:val="both"/>
        <w:rPr>
          <w:rFonts w:ascii="Sylfaen" w:hAnsi="Sylfaen"/>
          <w:sz w:val="24"/>
          <w:szCs w:val="24"/>
        </w:rPr>
      </w:pPr>
    </w:p>
    <w:p w14:paraId="1704A5BB"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4. Լրացուցիչ տեղեկատվության հարցումը</w:t>
      </w:r>
    </w:p>
    <w:p w14:paraId="2856B87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4.1. Կրիտիկական դիտողությունները</w:t>
      </w:r>
    </w:p>
    <w:p w14:paraId="21F0B7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[Դիտողությունների դասակարգումը:</w:t>
      </w:r>
    </w:p>
    <w:p w14:paraId="2ABCA1C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Կրիտիկական դիտողությունները դիտողություններ են, որոնք անհնարին են դարձնում դեղապատրաստուկի գրանցումը: Մեկ կրիտիկական դիտողությունը տեսականորեն կարող է ներառել մի քանի հարցեր. այդ դեպքում հարկ է օգտագործել չհամարակալված ցանկեր ու ենթավերնագրեր: Կրիտիկական դիտողությունը պետք է հասկանալի </w:t>
      </w:r>
      <w:r w:rsidR="00C54D75">
        <w:rPr>
          <w:rFonts w:ascii="Sylfaen" w:hAnsi="Sylfaen"/>
          <w:i/>
          <w:sz w:val="24"/>
          <w:szCs w:val="24"/>
        </w:rPr>
        <w:t>և</w:t>
      </w:r>
      <w:r w:rsidRPr="00826F05">
        <w:rPr>
          <w:rFonts w:ascii="Sylfaen" w:hAnsi="Sylfaen"/>
          <w:i/>
          <w:sz w:val="24"/>
          <w:szCs w:val="24"/>
        </w:rPr>
        <w:t xml:space="preserve"> հստակ շարադրված լինի: Դրա համար կարող են պահանջվել մանրամասն մեկնաբանություններ՝ Միության մարմինների համապատասխան ակտերին արված հղումներով:</w:t>
      </w:r>
    </w:p>
    <w:p w14:paraId="21967DC6" w14:textId="2A39C9B9"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Հնարավորության դեպքում դիտողությունը պետք է ներառի </w:t>
      </w:r>
      <w:r w:rsidR="0056496B">
        <w:rPr>
          <w:rFonts w:ascii="Sylfaen" w:hAnsi="Sylfaen"/>
          <w:i/>
          <w:sz w:val="24"/>
          <w:szCs w:val="24"/>
        </w:rPr>
        <w:t>դիմումատու</w:t>
      </w:r>
      <w:r w:rsidRPr="00826F05">
        <w:rPr>
          <w:rFonts w:ascii="Sylfaen" w:hAnsi="Sylfaen"/>
          <w:i/>
          <w:sz w:val="24"/>
          <w:szCs w:val="24"/>
        </w:rPr>
        <w:t xml:space="preserve">ից ակնկալվող պատասխանի </w:t>
      </w:r>
      <w:r w:rsidR="00C54D75">
        <w:rPr>
          <w:rFonts w:ascii="Sylfaen" w:hAnsi="Sylfaen"/>
          <w:i/>
          <w:sz w:val="24"/>
          <w:szCs w:val="24"/>
        </w:rPr>
        <w:t>և</w:t>
      </w:r>
      <w:r w:rsidRPr="00826F05">
        <w:rPr>
          <w:rFonts w:ascii="Sylfaen" w:hAnsi="Sylfaen"/>
          <w:i/>
          <w:sz w:val="24"/>
          <w:szCs w:val="24"/>
        </w:rPr>
        <w:t xml:space="preserve"> (կամ) միջոցների վերաբերյալ պարզաբանումներ։</w:t>
      </w:r>
    </w:p>
    <w:p w14:paraId="2563D6CB" w14:textId="4595BF3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 xml:space="preserve">Ոչ էական (այլ) դիտողությունները դիտողություններ են, որոնք կարող են ազդել </w:t>
      </w:r>
      <w:r w:rsidR="0056496B">
        <w:rPr>
          <w:rFonts w:ascii="Sylfaen" w:hAnsi="Sylfaen"/>
          <w:i/>
          <w:sz w:val="24"/>
          <w:szCs w:val="24"/>
        </w:rPr>
        <w:t>դիմումատու</w:t>
      </w:r>
      <w:r w:rsidRPr="00826F05">
        <w:rPr>
          <w:rFonts w:ascii="Sylfaen" w:hAnsi="Sylfaen"/>
          <w:i/>
          <w:sz w:val="24"/>
          <w:szCs w:val="24"/>
        </w:rPr>
        <w:t xml:space="preserve">ի կողմից առաջարկված գրանցման պայմանների </w:t>
      </w:r>
      <w:r w:rsidR="00C54D75">
        <w:rPr>
          <w:rFonts w:ascii="Sylfaen" w:hAnsi="Sylfaen"/>
          <w:i/>
          <w:sz w:val="24"/>
          <w:szCs w:val="24"/>
        </w:rPr>
        <w:t>և</w:t>
      </w:r>
      <w:r w:rsidRPr="00826F05">
        <w:rPr>
          <w:rFonts w:ascii="Sylfaen" w:hAnsi="Sylfaen"/>
          <w:i/>
          <w:sz w:val="24"/>
          <w:szCs w:val="24"/>
        </w:rPr>
        <w:t xml:space="preserve"> դեղապատրաստուկի վերաբերյալ տեղեկատվության վրա (օրինակ՝ ԴԸԲ, ներդիր</w:t>
      </w:r>
      <w:r>
        <w:rPr>
          <w:rFonts w:ascii="Sylfaen" w:hAnsi="Sylfaen"/>
          <w:i/>
          <w:sz w:val="24"/>
          <w:szCs w:val="24"/>
        </w:rPr>
        <w:t> </w:t>
      </w:r>
      <w:r w:rsidRPr="00826F05">
        <w:rPr>
          <w:rFonts w:ascii="Sylfaen" w:hAnsi="Sylfaen"/>
          <w:i/>
          <w:sz w:val="24"/>
          <w:szCs w:val="24"/>
        </w:rPr>
        <w:t>թերթիկ, մականշվածք): Ոչ էական (այլ) դիտողություններն անհրաժեշտ է վերացնել մինչ</w:t>
      </w:r>
      <w:r w:rsidR="00C54D75">
        <w:rPr>
          <w:rFonts w:ascii="Sylfaen" w:hAnsi="Sylfaen"/>
          <w:i/>
          <w:sz w:val="24"/>
          <w:szCs w:val="24"/>
        </w:rPr>
        <w:t>և</w:t>
      </w:r>
      <w:r w:rsidRPr="00826F05">
        <w:rPr>
          <w:rFonts w:ascii="Sylfaen" w:hAnsi="Sylfaen"/>
          <w:i/>
          <w:sz w:val="24"/>
          <w:szCs w:val="24"/>
        </w:rPr>
        <w:t xml:space="preserve"> գրանցման հավաստագիր ստանալը, հակառակ դեպքում՝ գրանցումը կարող է մերժվել: Դիտողությունների ձ</w:t>
      </w:r>
      <w:r w:rsidR="00C54D75">
        <w:rPr>
          <w:rFonts w:ascii="Sylfaen" w:hAnsi="Sylfaen"/>
          <w:i/>
          <w:sz w:val="24"/>
          <w:szCs w:val="24"/>
        </w:rPr>
        <w:t>և</w:t>
      </w:r>
      <w:r w:rsidRPr="00826F05">
        <w:rPr>
          <w:rFonts w:ascii="Sylfaen" w:hAnsi="Sylfaen"/>
          <w:i/>
          <w:sz w:val="24"/>
          <w:szCs w:val="24"/>
        </w:rPr>
        <w:t>ակերպումը պետք է ներառի դիտողության մեջ բարձրացված հարցերի հստակ գիտական հիմնավորումը]:</w:t>
      </w:r>
    </w:p>
    <w:p w14:paraId="0233F6A0" w14:textId="77777777" w:rsidR="004F5982" w:rsidRPr="00826F05" w:rsidRDefault="004F5982" w:rsidP="00487007">
      <w:pPr>
        <w:tabs>
          <w:tab w:val="left" w:pos="1701"/>
        </w:tabs>
        <w:spacing w:after="160" w:line="360" w:lineRule="auto"/>
        <w:ind w:firstLine="567"/>
        <w:jc w:val="both"/>
        <w:rPr>
          <w:rFonts w:ascii="Sylfaen" w:hAnsi="Sylfaen"/>
          <w:sz w:val="24"/>
          <w:szCs w:val="24"/>
        </w:rPr>
      </w:pPr>
    </w:p>
    <w:p w14:paraId="1E89198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Որակի ասպեկտները՝</w:t>
      </w:r>
    </w:p>
    <w:p w14:paraId="0CA58C9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&lt;Առկա են դիտողություններ, որոնք վերաբերում են բաղադրամասի մաստեր-</w:t>
      </w:r>
      <w:r w:rsidRPr="00826F05">
        <w:rPr>
          <w:rFonts w:ascii="Sylfaen" w:hAnsi="Sylfaen"/>
          <w:i/>
          <w:sz w:val="24"/>
          <w:szCs w:val="24"/>
        </w:rPr>
        <w:lastRenderedPageBreak/>
        <w:t xml:space="preserve">ֆայլի փակ մասին, </w:t>
      </w:r>
      <w:r w:rsidR="00C54D75">
        <w:rPr>
          <w:rFonts w:ascii="Sylfaen" w:hAnsi="Sylfaen"/>
          <w:i/>
          <w:sz w:val="24"/>
          <w:szCs w:val="24"/>
        </w:rPr>
        <w:t>և</w:t>
      </w:r>
      <w:r w:rsidRPr="00826F05">
        <w:rPr>
          <w:rFonts w:ascii="Sylfaen" w:hAnsi="Sylfaen"/>
          <w:i/>
          <w:sz w:val="24"/>
          <w:szCs w:val="24"/>
        </w:rPr>
        <w:t xml:space="preserve"> որոնք շարադրված են սույն եզրակացության առանձին հավելվածում </w:t>
      </w:r>
      <w:r w:rsidR="00C54D75">
        <w:rPr>
          <w:rFonts w:ascii="Sylfaen" w:hAnsi="Sylfaen"/>
          <w:i/>
          <w:sz w:val="24"/>
          <w:szCs w:val="24"/>
        </w:rPr>
        <w:t>և</w:t>
      </w:r>
      <w:r w:rsidRPr="00826F05">
        <w:rPr>
          <w:rFonts w:ascii="Sylfaen" w:hAnsi="Sylfaen"/>
          <w:i/>
          <w:sz w:val="24"/>
          <w:szCs w:val="24"/>
        </w:rPr>
        <w:t xml:space="preserve"> չեն ներկայացվում գրանցման հավաստագրի իրավատիրոջը: Այդ</w:t>
      </w:r>
      <w:r>
        <w:rPr>
          <w:rFonts w:ascii="Sylfaen" w:hAnsi="Sylfaen"/>
          <w:i/>
          <w:sz w:val="24"/>
          <w:szCs w:val="24"/>
        </w:rPr>
        <w:t> </w:t>
      </w:r>
      <w:r w:rsidRPr="00826F05">
        <w:rPr>
          <w:rFonts w:ascii="Sylfaen" w:hAnsi="Sylfaen"/>
          <w:i/>
          <w:sz w:val="24"/>
          <w:szCs w:val="24"/>
        </w:rPr>
        <w:t>դիտողությունները գաղտնի կարգով կփոխանցվեն բաղադրամասի մաստեր-ֆայլի փակ մասի տիրապետողին&gt;:</w:t>
      </w:r>
    </w:p>
    <w:p w14:paraId="460E6174"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30BD839F" w14:textId="77777777" w:rsidR="004F5982" w:rsidRDefault="004F5982" w:rsidP="00487007">
      <w:pPr>
        <w:spacing w:after="160" w:line="360" w:lineRule="auto"/>
        <w:ind w:right="-2" w:firstLine="567"/>
        <w:jc w:val="both"/>
        <w:rPr>
          <w:rFonts w:ascii="Sylfaen" w:eastAsia="Times New Roman" w:hAnsi="Sylfaen" w:cs="Times New Roman"/>
          <w:sz w:val="24"/>
          <w:szCs w:val="24"/>
        </w:rPr>
      </w:pPr>
    </w:p>
    <w:p w14:paraId="716F347D"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523D956C" w14:textId="77777777" w:rsidR="004F5982" w:rsidRPr="00826F05" w:rsidRDefault="004F5982" w:rsidP="00487007">
      <w:pPr>
        <w:spacing w:after="160" w:line="360" w:lineRule="auto"/>
        <w:ind w:left="2310" w:right="-20"/>
        <w:jc w:val="both"/>
        <w:rPr>
          <w:rFonts w:ascii="Sylfaen" w:eastAsia="Times New Roman" w:hAnsi="Sylfaen" w:cs="Times New Roman"/>
          <w:sz w:val="24"/>
          <w:szCs w:val="24"/>
        </w:rPr>
      </w:pPr>
    </w:p>
    <w:p w14:paraId="1F9A2D5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4.2. Ոչ էական (այլ) դիտողությունները</w:t>
      </w:r>
    </w:p>
    <w:p w14:paraId="78CB66E1"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Որակի ասպեկտները՝</w:t>
      </w:r>
    </w:p>
    <w:p w14:paraId="2E36CFFB" w14:textId="77777777" w:rsidR="004F5982" w:rsidRPr="00826F05" w:rsidRDefault="004F5982" w:rsidP="00487007">
      <w:pPr>
        <w:spacing w:after="160" w:line="360" w:lineRule="auto"/>
        <w:ind w:right="-2" w:firstLine="567"/>
        <w:jc w:val="both"/>
        <w:rPr>
          <w:rFonts w:ascii="Sylfaen" w:hAnsi="Sylfaen"/>
          <w:sz w:val="24"/>
          <w:szCs w:val="24"/>
        </w:rPr>
      </w:pPr>
    </w:p>
    <w:p w14:paraId="07D5AEF9" w14:textId="77777777" w:rsidR="004F5982" w:rsidRDefault="004F5982" w:rsidP="00487007">
      <w:pPr>
        <w:spacing w:after="160" w:line="360" w:lineRule="auto"/>
        <w:ind w:right="-2" w:firstLine="567"/>
        <w:jc w:val="both"/>
        <w:rPr>
          <w:rFonts w:ascii="Sylfaen" w:hAnsi="Sylfaen"/>
          <w:sz w:val="24"/>
          <w:szCs w:val="24"/>
        </w:rPr>
      </w:pPr>
      <w:r w:rsidRPr="00826F05">
        <w:rPr>
          <w:rFonts w:ascii="Sylfaen" w:hAnsi="Sylfaen"/>
          <w:sz w:val="24"/>
          <w:szCs w:val="24"/>
        </w:rPr>
        <w:t>Նախակլինիկական ասպեկտները՝</w:t>
      </w:r>
    </w:p>
    <w:p w14:paraId="2BA6315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p>
    <w:p w14:paraId="21BEC65F"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Կլինիկական ասպեկտները՝</w:t>
      </w:r>
    </w:p>
    <w:p w14:paraId="2ECCEB1A" w14:textId="77777777" w:rsidR="004F5982" w:rsidRDefault="004F5982" w:rsidP="00487007">
      <w:pPr>
        <w:spacing w:after="160" w:line="360" w:lineRule="auto"/>
        <w:ind w:right="-23" w:firstLine="567"/>
        <w:jc w:val="both"/>
        <w:rPr>
          <w:rFonts w:ascii="Sylfaen" w:eastAsia="Times New Roman" w:hAnsi="Sylfaen" w:cs="Times New Roman"/>
          <w:sz w:val="24"/>
          <w:szCs w:val="24"/>
        </w:rPr>
      </w:pPr>
    </w:p>
    <w:p w14:paraId="06640DF4" w14:textId="77777777" w:rsidR="004F5982" w:rsidRPr="00826F05" w:rsidRDefault="004F5982" w:rsidP="00487007">
      <w:pPr>
        <w:spacing w:after="160" w:line="360" w:lineRule="auto"/>
        <w:ind w:right="-23" w:firstLine="567"/>
        <w:jc w:val="both"/>
        <w:rPr>
          <w:rFonts w:ascii="Sylfaen" w:eastAsia="Times New Roman" w:hAnsi="Sylfaen" w:cs="Times New Roman"/>
          <w:sz w:val="24"/>
          <w:szCs w:val="24"/>
        </w:rPr>
      </w:pPr>
    </w:p>
    <w:p w14:paraId="47780462"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5. Դեղապատրաստուկի անվտանգության մասին գրանցման հավաստագրի իրավատիրոջ կողմից նախապատրաստված ամփոփ տեղեկատվության՝ փորձագետի գնահատականը</w:t>
      </w:r>
    </w:p>
    <w:p w14:paraId="624D0D06" w14:textId="77777777" w:rsidR="004F5982" w:rsidRDefault="004F5982" w:rsidP="00487007">
      <w:pPr>
        <w:spacing w:after="160" w:line="360" w:lineRule="auto"/>
        <w:ind w:left="567" w:right="565"/>
        <w:jc w:val="center"/>
        <w:rPr>
          <w:rFonts w:ascii="Sylfaen" w:hAnsi="Sylfaen"/>
          <w:sz w:val="24"/>
          <w:szCs w:val="24"/>
        </w:rPr>
      </w:pPr>
    </w:p>
    <w:p w14:paraId="40F98ED3"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6. Թարմացված ընդհանուր եզրահանգումները </w:t>
      </w:r>
      <w:r w:rsidR="00C54D75">
        <w:rPr>
          <w:rFonts w:ascii="Sylfaen" w:hAnsi="Sylfaen"/>
          <w:sz w:val="24"/>
          <w:szCs w:val="24"/>
        </w:rPr>
        <w:t>և</w:t>
      </w:r>
      <w:r w:rsidRPr="00826F05">
        <w:rPr>
          <w:rFonts w:ascii="Sylfaen" w:hAnsi="Sylfaen"/>
          <w:sz w:val="24"/>
          <w:szCs w:val="24"/>
        </w:rPr>
        <w:t xml:space="preserve"> տվյալ դեղապատրաստուկի կիրառման մասով օգուտ-ռիսկ հարաբերակցության վրա ազդեցությունը</w:t>
      </w:r>
    </w:p>
    <w:p w14:paraId="40E900D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[Տվյալ բաժնում հարկ է բերել ներկայացված տվյալների թարմացված ամփոփ </w:t>
      </w:r>
      <w:r w:rsidRPr="00826F05">
        <w:rPr>
          <w:rFonts w:ascii="Sylfaen" w:hAnsi="Sylfaen"/>
          <w:i/>
          <w:sz w:val="24"/>
          <w:szCs w:val="24"/>
        </w:rPr>
        <w:lastRenderedPageBreak/>
        <w:t>կրիտիկական տեղեկագիրը (ինչպես նախնական ներկայացումը, այնպես էլ դեղապատրաստուկի անվտանգության մասով ամփոփ տեղեկատվության խմբագրման վերաբերյալ գրանցման հավաստագրի իրավատիրոջ պատասխանները), որում արտացոլվում է տվյալ դեղապատրաստուկի կիրառման մասով օգուտ-ռիսկ հարաբերակցության հավասարակշռության փոփոխության հնարավորության վերլուծությունը:</w:t>
      </w:r>
    </w:p>
    <w:p w14:paraId="45D2A0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Որպես առանձին ծանոթագրություն՝ հարկ է կատարել գրանցման հավաստագիրը ստանալուց հետո միջոցառումներն ավարտելու պարտավորության մասին նշում, եթե դա անհրաժեշտ է:</w:t>
      </w:r>
    </w:p>
    <w:p w14:paraId="3C76ABB4" w14:textId="4C59DE4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Սահմանափակ քանակությամբ տվյալների դեպքում, որոնք որպես առանցքային միջոցներ են դիտարկվում օգուտի </w:t>
      </w:r>
      <w:r w:rsidR="00C54D75">
        <w:rPr>
          <w:rFonts w:ascii="Sylfaen" w:hAnsi="Sylfaen"/>
          <w:i/>
          <w:sz w:val="24"/>
          <w:szCs w:val="24"/>
        </w:rPr>
        <w:t>և</w:t>
      </w:r>
      <w:r w:rsidRPr="00826F05">
        <w:rPr>
          <w:rFonts w:ascii="Sylfaen" w:hAnsi="Sylfaen"/>
          <w:i/>
          <w:sz w:val="24"/>
          <w:szCs w:val="24"/>
        </w:rPr>
        <w:t xml:space="preserve"> ակնկալվող ռիսկի դրական հարաբերակցությունը (գերազանցումը) ապահովելու համար, հատուկ հետազոտությունների ժամանակ դրանց կատարումը փորձագետի կողմից կարող</w:t>
      </w:r>
      <w:r>
        <w:rPr>
          <w:rFonts w:ascii="Sylfaen" w:hAnsi="Sylfaen"/>
          <w:i/>
          <w:sz w:val="24"/>
          <w:szCs w:val="24"/>
        </w:rPr>
        <w:t> </w:t>
      </w:r>
      <w:r w:rsidRPr="00826F05">
        <w:rPr>
          <w:rFonts w:ascii="Sylfaen" w:hAnsi="Sylfaen"/>
          <w:i/>
          <w:sz w:val="24"/>
          <w:szCs w:val="24"/>
        </w:rPr>
        <w:t>է դրվել որպես գրանցման հավաստագրի տրամադրման պայման: Այն</w:t>
      </w:r>
      <w:r>
        <w:rPr>
          <w:rFonts w:ascii="Sylfaen" w:hAnsi="Sylfaen"/>
          <w:i/>
          <w:sz w:val="24"/>
          <w:szCs w:val="24"/>
        </w:rPr>
        <w:t> </w:t>
      </w:r>
      <w:r w:rsidRPr="00826F05">
        <w:rPr>
          <w:rFonts w:ascii="Sylfaen" w:hAnsi="Sylfaen"/>
          <w:i/>
          <w:sz w:val="24"/>
          <w:szCs w:val="24"/>
        </w:rPr>
        <w:t>դեպքում, երբ որոշվել է հարցերը ներառել Գ հավելվածում որպես պայմաններ, օգտագործեք ստոր</w:t>
      </w:r>
      <w:r w:rsidR="00C54D75">
        <w:rPr>
          <w:rFonts w:ascii="Sylfaen" w:hAnsi="Sylfaen"/>
          <w:i/>
          <w:sz w:val="24"/>
          <w:szCs w:val="24"/>
        </w:rPr>
        <w:t>և</w:t>
      </w:r>
      <w:r w:rsidRPr="00826F05">
        <w:rPr>
          <w:rFonts w:ascii="Sylfaen" w:hAnsi="Sylfaen"/>
          <w:i/>
          <w:sz w:val="24"/>
          <w:szCs w:val="24"/>
        </w:rPr>
        <w:t xml:space="preserve"> բերված </w:t>
      </w:r>
      <w:r w:rsidR="0056496B">
        <w:rPr>
          <w:rFonts w:ascii="Sylfaen" w:hAnsi="Sylfaen"/>
          <w:i/>
          <w:sz w:val="24"/>
          <w:szCs w:val="24"/>
        </w:rPr>
        <w:t>դիմում</w:t>
      </w:r>
      <w:r w:rsidRPr="00826F05">
        <w:rPr>
          <w:rFonts w:ascii="Sylfaen" w:hAnsi="Sylfaen"/>
          <w:i/>
          <w:sz w:val="24"/>
          <w:szCs w:val="24"/>
        </w:rPr>
        <w:t xml:space="preserve">ը: Որպես պայման սահմանված ցանկացած միջոց պետք է լավ հիմնավորված լինի </w:t>
      </w:r>
      <w:r w:rsidR="0056496B">
        <w:rPr>
          <w:rFonts w:ascii="Sylfaen" w:hAnsi="Sylfaen"/>
          <w:i/>
          <w:sz w:val="24"/>
          <w:szCs w:val="24"/>
        </w:rPr>
        <w:t>դիմում</w:t>
      </w:r>
      <w:r w:rsidRPr="00826F05">
        <w:rPr>
          <w:rFonts w:ascii="Sylfaen" w:hAnsi="Sylfaen"/>
          <w:i/>
          <w:sz w:val="24"/>
          <w:szCs w:val="24"/>
        </w:rPr>
        <w:t>ում, իսկ մասնավորապես, պայմանի անհրաժեշտությունը պետք է բացատրվի օգուտ-ռիսկ դրական հարաբերակցության համատեքստում]:</w:t>
      </w:r>
    </w:p>
    <w:p w14:paraId="2FA5EF29" w14:textId="77777777" w:rsidR="004F5982" w:rsidRPr="00E80AC2" w:rsidRDefault="004F5982" w:rsidP="00487007">
      <w:pPr>
        <w:spacing w:after="160" w:line="384" w:lineRule="auto"/>
        <w:ind w:right="-2" w:firstLine="567"/>
        <w:jc w:val="both"/>
        <w:rPr>
          <w:rFonts w:ascii="Sylfaen" w:eastAsia="Times New Roman" w:hAnsi="Sylfaen" w:cs="Times New Roman"/>
          <w:i/>
          <w:sz w:val="24"/>
          <w:szCs w:val="24"/>
        </w:rPr>
      </w:pPr>
      <w:r w:rsidRPr="00826F05">
        <w:rPr>
          <w:rFonts w:ascii="Sylfaen" w:hAnsi="Sylfaen"/>
          <w:sz w:val="24"/>
          <w:szCs w:val="24"/>
        </w:rPr>
        <w:t>Փորձագետն անհրաժեշտ է համարում հետ</w:t>
      </w:r>
      <w:r w:rsidR="00C54D75">
        <w:rPr>
          <w:rFonts w:ascii="Sylfaen" w:hAnsi="Sylfaen"/>
          <w:sz w:val="24"/>
          <w:szCs w:val="24"/>
        </w:rPr>
        <w:t>և</w:t>
      </w:r>
      <w:r w:rsidRPr="00826F05">
        <w:rPr>
          <w:rFonts w:ascii="Sylfaen" w:hAnsi="Sylfaen"/>
          <w:sz w:val="24"/>
          <w:szCs w:val="24"/>
        </w:rPr>
        <w:t xml:space="preserve">յալ լրացուցիչ տվյալները ներկայացնելը՝ </w:t>
      </w:r>
      <w:r w:rsidRPr="00E80AC2">
        <w:rPr>
          <w:rFonts w:ascii="Sylfaen" w:hAnsi="Sylfaen"/>
          <w:i/>
          <w:sz w:val="24"/>
          <w:szCs w:val="24"/>
        </w:rPr>
        <w:t>&lt;թվարկել նախակլինիկական հետազոտությունների վերաբերյալ տվյալները&gt;, &lt;թվարկել դեղաբանության հետ կապված տվյալները&gt;, &lt;թվարկել արդյունավետության հետ կապված տվյալները&gt;, &lt;թվարկել անվտանգության հետ կապված տվյալները&gt;:</w:t>
      </w:r>
    </w:p>
    <w:p w14:paraId="0BD4B869" w14:textId="77777777" w:rsidR="004F5982" w:rsidRPr="00826F05" w:rsidRDefault="004F5982" w:rsidP="00487007">
      <w:pPr>
        <w:spacing w:after="160" w:line="384" w:lineRule="auto"/>
        <w:ind w:firstLine="567"/>
        <w:jc w:val="both"/>
        <w:rPr>
          <w:rFonts w:ascii="Sylfaen" w:eastAsia="Times New Roman" w:hAnsi="Sylfaen" w:cs="Times New Roman"/>
          <w:sz w:val="24"/>
          <w:szCs w:val="24"/>
        </w:rPr>
      </w:pPr>
      <w:r w:rsidRPr="00826F05">
        <w:rPr>
          <w:rFonts w:ascii="Sylfaen" w:hAnsi="Sylfaen"/>
          <w:i/>
          <w:sz w:val="24"/>
          <w:szCs w:val="24"/>
        </w:rPr>
        <w:t>[Փորձագետի կողմից դեղապատրաստուկի անվտանգության հետ կապված հարցումների ձ</w:t>
      </w:r>
      <w:r w:rsidR="00C54D75">
        <w:rPr>
          <w:rFonts w:ascii="Sylfaen" w:hAnsi="Sylfaen"/>
          <w:i/>
          <w:sz w:val="24"/>
          <w:szCs w:val="24"/>
        </w:rPr>
        <w:t>և</w:t>
      </w:r>
      <w:r w:rsidRPr="00826F05">
        <w:rPr>
          <w:rFonts w:ascii="Sylfaen" w:hAnsi="Sylfaen"/>
          <w:i/>
          <w:sz w:val="24"/>
          <w:szCs w:val="24"/>
        </w:rPr>
        <w:t>ակերպման դեպքում (այսինքն՝ անվտանգության ամբողջական վերլուծությունը, որը պետք է ներկայացվի) խնդրում ենք նշել հետ</w:t>
      </w:r>
      <w:r w:rsidR="00C54D75">
        <w:rPr>
          <w:rFonts w:ascii="Sylfaen" w:hAnsi="Sylfaen"/>
          <w:i/>
          <w:sz w:val="24"/>
          <w:szCs w:val="24"/>
        </w:rPr>
        <w:t>և</w:t>
      </w:r>
      <w:r w:rsidRPr="00826F05">
        <w:rPr>
          <w:rFonts w:ascii="Sylfaen" w:hAnsi="Sylfaen"/>
          <w:i/>
          <w:sz w:val="24"/>
          <w:szCs w:val="24"/>
        </w:rPr>
        <w:t xml:space="preserve">յալ </w:t>
      </w:r>
      <w:r w:rsidRPr="00826F05">
        <w:rPr>
          <w:rFonts w:ascii="Sylfaen" w:hAnsi="Sylfaen"/>
          <w:i/>
          <w:sz w:val="24"/>
          <w:szCs w:val="24"/>
        </w:rPr>
        <w:lastRenderedPageBreak/>
        <w:t>նախադասությունը]՝</w:t>
      </w:r>
    </w:p>
    <w:p w14:paraId="7AB356AD" w14:textId="429F557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Բացի այդ, փորձագետը եկել է այն եզրակացության, որ </w:t>
      </w:r>
      <w:r w:rsidR="0056496B">
        <w:rPr>
          <w:rFonts w:ascii="Sylfaen" w:hAnsi="Sylfaen"/>
          <w:sz w:val="24"/>
          <w:szCs w:val="24"/>
        </w:rPr>
        <w:t>դիմումատու</w:t>
      </w:r>
      <w:r w:rsidRPr="00826F05">
        <w:rPr>
          <w:rFonts w:ascii="Sylfaen" w:hAnsi="Sylfaen"/>
          <w:sz w:val="24"/>
          <w:szCs w:val="24"/>
        </w:rPr>
        <w:t>ն հաջորդ ԱՊԹՀ-ում &lt;Х ամսվա ընթացքում&gt; պետք է ներկայացնի անվտանգության վերաբերյալ հետ</w:t>
      </w:r>
      <w:r w:rsidR="00C54D75">
        <w:rPr>
          <w:rFonts w:ascii="Sylfaen" w:hAnsi="Sylfaen"/>
          <w:sz w:val="24"/>
          <w:szCs w:val="24"/>
        </w:rPr>
        <w:t>և</w:t>
      </w:r>
      <w:r w:rsidRPr="00826F05">
        <w:rPr>
          <w:rFonts w:ascii="Sylfaen" w:hAnsi="Sylfaen"/>
          <w:sz w:val="24"/>
          <w:szCs w:val="24"/>
        </w:rPr>
        <w:t xml:space="preserve">յալ տվյալները՝ </w:t>
      </w:r>
      <w:r w:rsidRPr="00567DF7">
        <w:rPr>
          <w:rFonts w:ascii="Sylfaen" w:hAnsi="Sylfaen"/>
          <w:i/>
          <w:sz w:val="24"/>
          <w:szCs w:val="24"/>
        </w:rPr>
        <w:t>&lt;թվարկել անհրաժեշտ տվյալները&gt;:</w:t>
      </w:r>
    </w:p>
    <w:p w14:paraId="4D113670" w14:textId="3C5A43FC"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[Դեղապատրաստուկների խմբի համար ներկայացվող </w:t>
      </w:r>
      <w:r w:rsidR="0056496B">
        <w:rPr>
          <w:rFonts w:ascii="Sylfaen" w:hAnsi="Sylfaen"/>
          <w:i/>
          <w:sz w:val="24"/>
          <w:szCs w:val="24"/>
        </w:rPr>
        <w:t>դիմում</w:t>
      </w:r>
      <w:r w:rsidRPr="00826F05">
        <w:rPr>
          <w:rFonts w:ascii="Sylfaen" w:hAnsi="Sylfaen"/>
          <w:i/>
          <w:sz w:val="24"/>
          <w:szCs w:val="24"/>
        </w:rPr>
        <w:t xml:space="preserve">ի ուսումնասիրության դեպքում խմբավորման հնարավորության </w:t>
      </w:r>
      <w:r w:rsidR="00C54D75">
        <w:rPr>
          <w:rFonts w:ascii="Sylfaen" w:hAnsi="Sylfaen"/>
          <w:i/>
          <w:sz w:val="24"/>
          <w:szCs w:val="24"/>
        </w:rPr>
        <w:t>և</w:t>
      </w:r>
      <w:r w:rsidRPr="00826F05">
        <w:rPr>
          <w:rFonts w:ascii="Sylfaen" w:hAnsi="Sylfaen"/>
          <w:i/>
          <w:sz w:val="24"/>
          <w:szCs w:val="24"/>
        </w:rPr>
        <w:t xml:space="preserve"> (կամ) արտադրանքի յուրաքանչյուր խմբում, ըստ յուրաքանչյուր անվանման, տեղեկատվության բաշխման մասին փորձագետի կարծիքը պետք է արտացոլված լինի ԴՈԱՊԿԿ-ի ներկայացուցիչների հետ լիազորված փորձագիտական </w:t>
      </w:r>
      <w:r w:rsidRPr="00567DF7">
        <w:rPr>
          <w:rFonts w:ascii="Sylfaen" w:hAnsi="Sylfaen"/>
          <w:i/>
          <w:spacing w:val="-6"/>
          <w:sz w:val="24"/>
          <w:szCs w:val="24"/>
        </w:rPr>
        <w:t>կազմակերպության քննարկման շրջանակներում: Եթե խմբում անվանումների որ</w:t>
      </w:r>
      <w:r w:rsidR="00C54D75">
        <w:rPr>
          <w:rFonts w:ascii="Sylfaen" w:hAnsi="Sylfaen"/>
          <w:i/>
          <w:spacing w:val="-6"/>
          <w:sz w:val="24"/>
          <w:szCs w:val="24"/>
        </w:rPr>
        <w:t>և</w:t>
      </w:r>
      <w:r w:rsidRPr="00567DF7">
        <w:rPr>
          <w:rFonts w:ascii="Sylfaen" w:hAnsi="Sylfaen"/>
          <w:i/>
          <w:spacing w:val="-6"/>
          <w:sz w:val="24"/>
          <w:szCs w:val="24"/>
        </w:rPr>
        <w:t>է մասի փոփոխությունը</w:t>
      </w:r>
      <w:r w:rsidRPr="00826F05">
        <w:rPr>
          <w:rFonts w:ascii="Sylfaen" w:hAnsi="Sylfaen"/>
          <w:i/>
          <w:sz w:val="24"/>
          <w:szCs w:val="24"/>
        </w:rPr>
        <w:t xml:space="preserve"> հանվել է, դա նա</w:t>
      </w:r>
      <w:r w:rsidR="00C54D75">
        <w:rPr>
          <w:rFonts w:ascii="Sylfaen" w:hAnsi="Sylfaen"/>
          <w:i/>
          <w:sz w:val="24"/>
          <w:szCs w:val="24"/>
        </w:rPr>
        <w:t>և</w:t>
      </w:r>
      <w:r w:rsidRPr="00826F05">
        <w:rPr>
          <w:rFonts w:ascii="Sylfaen" w:hAnsi="Sylfaen"/>
          <w:i/>
          <w:sz w:val="24"/>
          <w:szCs w:val="24"/>
        </w:rPr>
        <w:t xml:space="preserve"> պետք է արտացոլվի քննարկման մեջ:</w:t>
      </w:r>
    </w:p>
    <w:p w14:paraId="28624FD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Սահմանել ԱՊԹՀ-ի ներկայացման պարբերականությանը ներկայացվող պահանջներն այն դեպքում, երբ տարբերվում է ԱՊԹՀ-ի թարմացման բնականոն ժամանակահատվածից]:</w:t>
      </w:r>
    </w:p>
    <w:p w14:paraId="5E9CB25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Փորձագետն առաջարկում է գրանցման հավաստագրի իրավատիրոջը շարունակել ներկայացնել վեցամսյա (տարեկան) ԱՊԹՀ-ն:</w:t>
      </w:r>
    </w:p>
    <w:p w14:paraId="3C72439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Գրանցման հավաստագրի իրավատերը պետք է ներկայացնի դեղապատրաստուկի անվտանգության մասին պարբերաբար թարմացվող հաշվետվություններ՝ Միության մարմինների ակտերի պահանջներին համապատասխան:</w:t>
      </w:r>
    </w:p>
    <w:p w14:paraId="0696DF9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Փորձագետի առաջարկությունները վերաբերում են գրանցման հետ</w:t>
      </w:r>
      <w:r w:rsidR="00C54D75">
        <w:rPr>
          <w:rFonts w:ascii="Sylfaen" w:hAnsi="Sylfaen"/>
          <w:sz w:val="24"/>
          <w:szCs w:val="24"/>
        </w:rPr>
        <w:t>և</w:t>
      </w:r>
      <w:r w:rsidRPr="00826F05">
        <w:rPr>
          <w:rFonts w:ascii="Sylfaen" w:hAnsi="Sylfaen"/>
          <w:sz w:val="24"/>
          <w:szCs w:val="24"/>
        </w:rPr>
        <w:t xml:space="preserve">յալ նոր պայմաններին՝ </w:t>
      </w:r>
      <w:r w:rsidRPr="00567DF7">
        <w:rPr>
          <w:rFonts w:ascii="Sylfaen" w:hAnsi="Sylfaen"/>
          <w:i/>
          <w:sz w:val="24"/>
          <w:szCs w:val="24"/>
        </w:rPr>
        <w:t>&lt;թվարկել պայմանները&gt;:</w:t>
      </w:r>
    </w:p>
    <w:p w14:paraId="650CED3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567DF7">
        <w:rPr>
          <w:rFonts w:ascii="Sylfaen" w:hAnsi="Sylfaen"/>
          <w:spacing w:val="-6"/>
          <w:sz w:val="24"/>
          <w:szCs w:val="24"/>
        </w:rPr>
        <w:t>Փորձագետը համարում է, որ հետ</w:t>
      </w:r>
      <w:r w:rsidR="00C54D75">
        <w:rPr>
          <w:rFonts w:ascii="Sylfaen" w:hAnsi="Sylfaen"/>
          <w:spacing w:val="-6"/>
          <w:sz w:val="24"/>
          <w:szCs w:val="24"/>
        </w:rPr>
        <w:t>և</w:t>
      </w:r>
      <w:r w:rsidRPr="00567DF7">
        <w:rPr>
          <w:rFonts w:ascii="Sylfaen" w:hAnsi="Sylfaen"/>
          <w:spacing w:val="-6"/>
          <w:sz w:val="24"/>
          <w:szCs w:val="24"/>
        </w:rPr>
        <w:t xml:space="preserve">յալ պարտավորությունները՝ </w:t>
      </w:r>
      <w:r w:rsidRPr="00567DF7">
        <w:rPr>
          <w:rFonts w:ascii="Sylfaen" w:hAnsi="Sylfaen"/>
          <w:i/>
          <w:spacing w:val="-6"/>
          <w:sz w:val="24"/>
          <w:szCs w:val="24"/>
        </w:rPr>
        <w:t>&lt;թվարկել&gt;</w:t>
      </w:r>
      <w:r w:rsidRPr="00567DF7">
        <w:rPr>
          <w:rFonts w:ascii="Sylfaen" w:hAnsi="Sylfaen"/>
          <w:spacing w:val="-6"/>
          <w:sz w:val="24"/>
          <w:szCs w:val="24"/>
        </w:rPr>
        <w:t xml:space="preserve">, կատարվել են, </w:t>
      </w:r>
      <w:r w:rsidR="00C54D75">
        <w:rPr>
          <w:rFonts w:ascii="Sylfaen" w:hAnsi="Sylfaen"/>
          <w:spacing w:val="-6"/>
          <w:sz w:val="24"/>
          <w:szCs w:val="24"/>
        </w:rPr>
        <w:t>և</w:t>
      </w:r>
      <w:r w:rsidRPr="00567DF7">
        <w:rPr>
          <w:rFonts w:ascii="Sylfaen" w:hAnsi="Sylfaen"/>
          <w:spacing w:val="-6"/>
          <w:sz w:val="24"/>
          <w:szCs w:val="24"/>
        </w:rPr>
        <w:t xml:space="preserve"> այդ իսկ պատճառով առաջարկում</w:t>
      </w:r>
      <w:r w:rsidRPr="00826F05">
        <w:rPr>
          <w:rFonts w:ascii="Sylfaen" w:hAnsi="Sylfaen"/>
          <w:sz w:val="24"/>
          <w:szCs w:val="24"/>
        </w:rPr>
        <w:t xml:space="preserve"> է դրանք Գ հավելվածից հանել:</w:t>
      </w:r>
    </w:p>
    <w:p w14:paraId="3BF426E6" w14:textId="77777777" w:rsidR="00487007" w:rsidRDefault="00487007">
      <w:pPr>
        <w:widowControl/>
        <w:rPr>
          <w:rFonts w:ascii="Sylfaen" w:hAnsi="Sylfaen"/>
          <w:sz w:val="24"/>
          <w:szCs w:val="24"/>
        </w:rPr>
      </w:pPr>
      <w:r>
        <w:rPr>
          <w:rFonts w:ascii="Sylfaen" w:hAnsi="Sylfaen"/>
          <w:sz w:val="24"/>
          <w:szCs w:val="24"/>
        </w:rPr>
        <w:br w:type="page"/>
      </w:r>
    </w:p>
    <w:p w14:paraId="208524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 xml:space="preserve">7.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w:t>
      </w:r>
    </w:p>
    <w:p w14:paraId="2EE6EDCB"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[Ռիսկի նվազեցմանն ուղղված լրացուցիչ միջոցառումները, օրինակ՝ դեղապատրաստուկի բաշխման հսկողությունը, ուսումնական նյութերը, հղիության կանխման ծրագիրը (բացառությամբ ԴԸԲ-ում շարադրված տեղեկատվության), որոնք կկատարվեն գրանցման հավաստագրի իրավատիրոջ կողմից, պետք է թվարկվեն այս բաժնում]:</w:t>
      </w:r>
    </w:p>
    <w:p w14:paraId="6C3D6015"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p>
    <w:p w14:paraId="099BEF95"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8. Հետգրանցումային շրջանում առանձին միջոցառումներն ավարտին հասցնելու պարտավորությունը</w:t>
      </w:r>
    </w:p>
    <w:p w14:paraId="3E42D49C" w14:textId="77777777" w:rsidR="004F5982" w:rsidRPr="00826F05" w:rsidRDefault="004F5982" w:rsidP="00487007">
      <w:pPr>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Եթե փորձագետի կողմից համաձայնեցվում է գրանցման հավաստագրի իրավատիրոջ կողմից հետգրանցումային շրջանում այն առանձին միջոցառումներն ավարտին հասցնելու հնարավորությունը, որոնք կապված են ոչ</w:t>
      </w:r>
      <w:r>
        <w:rPr>
          <w:rFonts w:ascii="Sylfaen" w:hAnsi="Sylfaen"/>
          <w:sz w:val="24"/>
          <w:szCs w:val="24"/>
        </w:rPr>
        <w:t> </w:t>
      </w:r>
      <w:r w:rsidRPr="00826F05">
        <w:rPr>
          <w:rFonts w:ascii="Sylfaen" w:hAnsi="Sylfaen"/>
          <w:sz w:val="24"/>
          <w:szCs w:val="24"/>
        </w:rPr>
        <w:t xml:space="preserve">էական (այլ) դիտողությունների հետ, նա պետք է համաձայնեցնի ժամկետները </w:t>
      </w:r>
      <w:r w:rsidR="00C54D75">
        <w:rPr>
          <w:rFonts w:ascii="Sylfaen" w:hAnsi="Sylfaen"/>
          <w:sz w:val="24"/>
          <w:szCs w:val="24"/>
        </w:rPr>
        <w:t>և</w:t>
      </w:r>
      <w:r w:rsidRPr="00826F05">
        <w:rPr>
          <w:rFonts w:ascii="Sylfaen" w:hAnsi="Sylfaen"/>
          <w:sz w:val="24"/>
          <w:szCs w:val="24"/>
        </w:rPr>
        <w:t xml:space="preserve"> հետ</w:t>
      </w:r>
      <w:r w:rsidR="00C54D75">
        <w:rPr>
          <w:rFonts w:ascii="Sylfaen" w:hAnsi="Sylfaen"/>
          <w:sz w:val="24"/>
          <w:szCs w:val="24"/>
        </w:rPr>
        <w:t>և</w:t>
      </w:r>
      <w:r w:rsidRPr="00826F05">
        <w:rPr>
          <w:rFonts w:ascii="Sylfaen" w:hAnsi="Sylfaen"/>
          <w:sz w:val="24"/>
          <w:szCs w:val="24"/>
        </w:rPr>
        <w:t>յալ գործողությունները՝</w:t>
      </w:r>
    </w:p>
    <w:p w14:paraId="24E34854" w14:textId="77777777" w:rsidR="004F5982" w:rsidRPr="00826F05" w:rsidRDefault="004F5982" w:rsidP="00487007">
      <w:pPr>
        <w:spacing w:after="160" w:line="360" w:lineRule="auto"/>
        <w:jc w:val="both"/>
        <w:rPr>
          <w:rFonts w:ascii="Sylfaen" w:hAnsi="Sylfaen"/>
          <w:sz w:val="24"/>
          <w:szCs w:val="24"/>
        </w:rPr>
      </w:pPr>
    </w:p>
    <w:tbl>
      <w:tblPr>
        <w:tblW w:w="9831"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3"/>
        <w:gridCol w:w="3688"/>
      </w:tblGrid>
      <w:tr w:rsidR="004F5982" w:rsidRPr="00826F05" w14:paraId="7179D6B8" w14:textId="77777777" w:rsidTr="004F5982">
        <w:trPr>
          <w:trHeight w:val="500"/>
        </w:trPr>
        <w:tc>
          <w:tcPr>
            <w:tcW w:w="6143" w:type="dxa"/>
          </w:tcPr>
          <w:p w14:paraId="3E5A8852" w14:textId="77777777" w:rsidR="004F5982" w:rsidRPr="00826F05" w:rsidRDefault="004F5982" w:rsidP="00487007">
            <w:pPr>
              <w:spacing w:after="160" w:line="360" w:lineRule="auto"/>
              <w:ind w:left="48" w:right="-20"/>
              <w:jc w:val="center"/>
              <w:rPr>
                <w:rFonts w:ascii="Sylfaen" w:eastAsia="Times New Roman" w:hAnsi="Sylfaen" w:cs="Times New Roman"/>
                <w:sz w:val="24"/>
                <w:szCs w:val="24"/>
              </w:rPr>
            </w:pPr>
            <w:r w:rsidRPr="00826F05">
              <w:rPr>
                <w:rFonts w:ascii="Sylfaen" w:hAnsi="Sylfaen"/>
                <w:sz w:val="24"/>
                <w:szCs w:val="24"/>
              </w:rPr>
              <w:t>Գործողության նկարագրությունը</w:t>
            </w:r>
          </w:p>
        </w:tc>
        <w:tc>
          <w:tcPr>
            <w:tcW w:w="3688" w:type="dxa"/>
          </w:tcPr>
          <w:p w14:paraId="322C8868" w14:textId="77777777" w:rsidR="004F5982" w:rsidRPr="00826F05" w:rsidRDefault="004F5982" w:rsidP="00487007">
            <w:pPr>
              <w:spacing w:after="160" w:line="360" w:lineRule="auto"/>
              <w:ind w:right="-20"/>
              <w:jc w:val="center"/>
              <w:rPr>
                <w:rFonts w:ascii="Sylfaen" w:eastAsia="Times New Roman" w:hAnsi="Sylfaen" w:cs="Times New Roman"/>
                <w:sz w:val="24"/>
                <w:szCs w:val="24"/>
              </w:rPr>
            </w:pPr>
            <w:r w:rsidRPr="00826F05">
              <w:rPr>
                <w:rFonts w:ascii="Sylfaen" w:hAnsi="Sylfaen"/>
                <w:sz w:val="24"/>
                <w:szCs w:val="24"/>
              </w:rPr>
              <w:t>Կատարման ամսաթիվը</w:t>
            </w:r>
          </w:p>
        </w:tc>
      </w:tr>
      <w:tr w:rsidR="004F5982" w:rsidRPr="00826F05" w14:paraId="4281A704" w14:textId="77777777" w:rsidTr="004F5982">
        <w:tc>
          <w:tcPr>
            <w:tcW w:w="6143" w:type="dxa"/>
          </w:tcPr>
          <w:p w14:paraId="6A2F41FC" w14:textId="77777777" w:rsidR="004F5982" w:rsidRPr="00826F05" w:rsidRDefault="004F5982" w:rsidP="00487007">
            <w:pPr>
              <w:spacing w:after="160" w:line="360" w:lineRule="auto"/>
              <w:jc w:val="both"/>
              <w:rPr>
                <w:rFonts w:ascii="Sylfaen" w:hAnsi="Sylfaen"/>
                <w:sz w:val="24"/>
                <w:szCs w:val="24"/>
              </w:rPr>
            </w:pPr>
          </w:p>
        </w:tc>
        <w:tc>
          <w:tcPr>
            <w:tcW w:w="3688" w:type="dxa"/>
          </w:tcPr>
          <w:p w14:paraId="3203452D" w14:textId="77777777" w:rsidR="004F5982" w:rsidRPr="00826F05" w:rsidRDefault="004F5982" w:rsidP="00487007">
            <w:pPr>
              <w:spacing w:after="160" w:line="360" w:lineRule="auto"/>
              <w:jc w:val="both"/>
              <w:rPr>
                <w:rFonts w:ascii="Sylfaen" w:hAnsi="Sylfaen"/>
                <w:sz w:val="24"/>
                <w:szCs w:val="24"/>
              </w:rPr>
            </w:pPr>
          </w:p>
        </w:tc>
      </w:tr>
      <w:tr w:rsidR="004F5982" w:rsidRPr="00826F05" w14:paraId="41CDF3A9" w14:textId="77777777" w:rsidTr="004F5982">
        <w:tc>
          <w:tcPr>
            <w:tcW w:w="6143" w:type="dxa"/>
          </w:tcPr>
          <w:p w14:paraId="02F10BDD" w14:textId="77777777" w:rsidR="004F5982" w:rsidRPr="00826F05" w:rsidRDefault="004F5982" w:rsidP="00487007">
            <w:pPr>
              <w:spacing w:after="160" w:line="360" w:lineRule="auto"/>
              <w:jc w:val="both"/>
              <w:rPr>
                <w:rFonts w:ascii="Sylfaen" w:hAnsi="Sylfaen"/>
                <w:sz w:val="24"/>
                <w:szCs w:val="24"/>
              </w:rPr>
            </w:pPr>
          </w:p>
        </w:tc>
        <w:tc>
          <w:tcPr>
            <w:tcW w:w="3688" w:type="dxa"/>
          </w:tcPr>
          <w:p w14:paraId="7460D4BB" w14:textId="77777777" w:rsidR="004F5982" w:rsidRPr="00826F05" w:rsidRDefault="004F5982" w:rsidP="00487007">
            <w:pPr>
              <w:spacing w:after="160" w:line="360" w:lineRule="auto"/>
              <w:jc w:val="both"/>
              <w:rPr>
                <w:rFonts w:ascii="Sylfaen" w:hAnsi="Sylfaen"/>
                <w:sz w:val="24"/>
                <w:szCs w:val="24"/>
              </w:rPr>
            </w:pPr>
          </w:p>
        </w:tc>
      </w:tr>
      <w:tr w:rsidR="004F5982" w:rsidRPr="00826F05" w14:paraId="76FAC5E2" w14:textId="77777777" w:rsidTr="004F5982">
        <w:tc>
          <w:tcPr>
            <w:tcW w:w="6143" w:type="dxa"/>
          </w:tcPr>
          <w:p w14:paraId="15097031" w14:textId="77777777" w:rsidR="004F5982" w:rsidRPr="00826F05" w:rsidRDefault="004F5982" w:rsidP="00487007">
            <w:pPr>
              <w:spacing w:after="160" w:line="360" w:lineRule="auto"/>
              <w:jc w:val="both"/>
              <w:rPr>
                <w:rFonts w:ascii="Sylfaen" w:hAnsi="Sylfaen"/>
                <w:sz w:val="24"/>
                <w:szCs w:val="24"/>
              </w:rPr>
            </w:pPr>
          </w:p>
        </w:tc>
        <w:tc>
          <w:tcPr>
            <w:tcW w:w="3688" w:type="dxa"/>
          </w:tcPr>
          <w:p w14:paraId="2621BA74" w14:textId="77777777" w:rsidR="004F5982" w:rsidRPr="00826F05" w:rsidRDefault="004F5982" w:rsidP="00487007">
            <w:pPr>
              <w:spacing w:after="160" w:line="360" w:lineRule="auto"/>
              <w:jc w:val="both"/>
              <w:rPr>
                <w:rFonts w:ascii="Sylfaen" w:hAnsi="Sylfaen"/>
                <w:sz w:val="24"/>
                <w:szCs w:val="24"/>
              </w:rPr>
            </w:pPr>
          </w:p>
        </w:tc>
      </w:tr>
    </w:tbl>
    <w:p w14:paraId="0D8675D3" w14:textId="77777777" w:rsidR="004F5982" w:rsidRDefault="004F5982" w:rsidP="00487007">
      <w:pPr>
        <w:spacing w:after="160" w:line="360" w:lineRule="auto"/>
        <w:ind w:left="567" w:right="565"/>
        <w:jc w:val="both"/>
        <w:rPr>
          <w:rFonts w:ascii="Sylfaen" w:hAnsi="Sylfaen"/>
          <w:sz w:val="24"/>
          <w:szCs w:val="24"/>
        </w:rPr>
      </w:pPr>
    </w:p>
    <w:p w14:paraId="7A62E9E7" w14:textId="77777777" w:rsidR="004F5982" w:rsidRPr="00826F05" w:rsidRDefault="004F5982" w:rsidP="00487007">
      <w:pPr>
        <w:spacing w:after="160" w:line="336"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9. Դեղամիջոցի անվտանգ </w:t>
      </w:r>
      <w:r w:rsidR="00C54D75">
        <w:rPr>
          <w:rFonts w:ascii="Sylfaen" w:hAnsi="Sylfaen"/>
          <w:sz w:val="24"/>
          <w:szCs w:val="24"/>
        </w:rPr>
        <w:t>և</w:t>
      </w:r>
      <w:r w:rsidRPr="00826F05">
        <w:rPr>
          <w:rFonts w:ascii="Sylfaen" w:hAnsi="Sylfaen"/>
          <w:sz w:val="24"/>
          <w:szCs w:val="24"/>
        </w:rPr>
        <w:t xml:space="preserve"> արդյունավետ օգտագործման մասով պայմանները կամ սահմանափակումները, որոնք կիրականացվեն անդամ պետությունների կողմից</w:t>
      </w:r>
    </w:p>
    <w:p w14:paraId="3FB44358" w14:textId="77777777" w:rsidR="004F5982" w:rsidRPr="00826F05" w:rsidRDefault="004F5982" w:rsidP="00487007">
      <w:pPr>
        <w:tabs>
          <w:tab w:val="left" w:pos="1701"/>
        </w:tabs>
        <w:spacing w:after="160" w:line="336" w:lineRule="auto"/>
        <w:ind w:firstLine="567"/>
        <w:jc w:val="both"/>
        <w:rPr>
          <w:rFonts w:ascii="Sylfaen" w:eastAsia="Times New Roman" w:hAnsi="Sylfaen" w:cs="Times New Roman"/>
          <w:sz w:val="24"/>
          <w:szCs w:val="24"/>
        </w:rPr>
      </w:pPr>
      <w:r w:rsidRPr="00826F05">
        <w:rPr>
          <w:rFonts w:ascii="Sylfaen" w:hAnsi="Sylfaen"/>
          <w:i/>
          <w:sz w:val="24"/>
          <w:szCs w:val="24"/>
        </w:rPr>
        <w:t xml:space="preserve">[Այդ բաժնում նշվում են ռիսկերի նվազեցմանն ուղղած այն արդիական միջոցառումները, որոնք իրականացվում են անդամ պետությունների կողմից: </w:t>
      </w:r>
      <w:r w:rsidRPr="00826F05">
        <w:rPr>
          <w:rFonts w:ascii="Sylfaen" w:hAnsi="Sylfaen"/>
          <w:i/>
          <w:sz w:val="24"/>
          <w:szCs w:val="24"/>
        </w:rPr>
        <w:lastRenderedPageBreak/>
        <w:t>Դրանք պետք է արտացոլեն եզրակացության 7-րդ բաժնի տեղեկատվությունը, բայց պարտադիր չէ այն ներառել ամբողջ ծավալով:</w:t>
      </w:r>
    </w:p>
    <w:p w14:paraId="01886DB3"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Եզրակացության այս մասը պետք է ներառվի այն դեպքում, երբ իրականում կատարվող պայմանների կամ դեղամիջոցի անվտանգ </w:t>
      </w:r>
      <w:r w:rsidR="00C54D75">
        <w:rPr>
          <w:rFonts w:ascii="Sylfaen" w:hAnsi="Sylfaen"/>
          <w:i/>
          <w:sz w:val="24"/>
          <w:szCs w:val="24"/>
        </w:rPr>
        <w:t>և</w:t>
      </w:r>
      <w:r w:rsidRPr="00826F05">
        <w:rPr>
          <w:rFonts w:ascii="Sylfaen" w:hAnsi="Sylfaen"/>
          <w:i/>
          <w:sz w:val="24"/>
          <w:szCs w:val="24"/>
        </w:rPr>
        <w:t xml:space="preserve"> արդյունավետ օգտագործման մասով սահմանափակումների չափերն անդամ պետությունում տարբերվում են այն ծավալից, որը գրանցման հավաստագրի իրավատերը բերում է ԴԸԲ-ում]:</w:t>
      </w:r>
    </w:p>
    <w:p w14:paraId="69E520A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&lt;Տվյալներն առկա չեն&gt;:</w:t>
      </w:r>
    </w:p>
    <w:p w14:paraId="1621879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1F5BC5FC"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&lt;Պայմաններն ամբողջությամբ (մասամբ) չեն արտացոլում ԴՈԱՊԿԿ-ից ստացված առաջարկությունները: ԴՈԱՊԿԿ-ի խորհրդատվության հետ տարաձայնությունները հիմնավորված են սույն եզրակացության առանձին հավելվածում&gt;:</w:t>
      </w:r>
    </w:p>
    <w:p w14:paraId="1EC7206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կամ</w:t>
      </w:r>
    </w:p>
    <w:p w14:paraId="5831D5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&lt;Քննարկման արդյունքում ԴՈԱՊԿԿ-ն չի հանգել տվյալ դեղապատրաստուկի համար պայմանների </w:t>
      </w:r>
      <w:r w:rsidR="00C54D75">
        <w:rPr>
          <w:rFonts w:ascii="Sylfaen" w:hAnsi="Sylfaen"/>
          <w:i/>
          <w:sz w:val="24"/>
          <w:szCs w:val="24"/>
        </w:rPr>
        <w:t>և</w:t>
      </w:r>
      <w:r w:rsidRPr="00826F05">
        <w:rPr>
          <w:rFonts w:ascii="Sylfaen" w:hAnsi="Sylfaen"/>
          <w:i/>
          <w:sz w:val="24"/>
          <w:szCs w:val="24"/>
        </w:rPr>
        <w:t xml:space="preserve"> սահմանափակումների ներմուծման անհրաժեշտության վերաբերյալ միասնական եզրակացության: ԴՈԱՊԿԿ-ի դիրքորոշումը կցվում է որպես առանձին հավելված&gt;:</w:t>
      </w:r>
    </w:p>
    <w:p w14:paraId="0AE4B60E" w14:textId="77777777" w:rsidR="004F5982" w:rsidRDefault="004F5982" w:rsidP="00487007">
      <w:pPr>
        <w:spacing w:after="160" w:line="360" w:lineRule="auto"/>
        <w:ind w:right="1983"/>
        <w:rPr>
          <w:rFonts w:ascii="Sylfaen" w:hAnsi="Sylfaen"/>
          <w:sz w:val="24"/>
          <w:szCs w:val="24"/>
        </w:rPr>
      </w:pPr>
    </w:p>
    <w:p w14:paraId="0328E59F"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10. Մանկաբուժական տվյալները</w:t>
      </w:r>
    </w:p>
    <w:p w14:paraId="52FDB08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[Ուշադրությո՛ւն. Եթե այդ փոփոխությունը ներկայացնելու համար դիտարկվել է երեխաների մոտ ազդանշանի հաստատումը, կամ եթե փոփոխությունը ներկայացնելը ներառում է ԴԸԲ-ում հիշատակված մանկաբուժական հետազոտություններ, հարկ է տվյալ փոփոխությունները գնահատելիս օգտագործել մանկաբուժության ոլորտում համապատասխան ձեռնարկները]:</w:t>
      </w:r>
    </w:p>
    <w:p w14:paraId="6969BB27"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lastRenderedPageBreak/>
        <w:t>Հավելված Ա</w:t>
      </w:r>
    </w:p>
    <w:p w14:paraId="183DBA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ԴԸԲ-ի, ԲԿՑ-ի (ՆԹ-ի) առաջարկվող անոտացված փոփոխությունները, մականշվածքները՝ յուրաքանչյուր բաժնից հետո փորձագետի մեկնաբանություններով</w:t>
      </w:r>
    </w:p>
    <w:p w14:paraId="1316B035" w14:textId="77777777" w:rsidR="004F5982" w:rsidRDefault="004F5982" w:rsidP="00487007">
      <w:pPr>
        <w:spacing w:after="160" w:line="360" w:lineRule="auto"/>
        <w:ind w:right="91"/>
        <w:jc w:val="right"/>
        <w:rPr>
          <w:rFonts w:ascii="Sylfaen" w:hAnsi="Sylfaen"/>
          <w:sz w:val="24"/>
          <w:szCs w:val="24"/>
        </w:rPr>
      </w:pPr>
    </w:p>
    <w:p w14:paraId="687298EC" w14:textId="77777777" w:rsidR="004F5982" w:rsidRPr="00826F05" w:rsidRDefault="004F5982" w:rsidP="00487007">
      <w:pPr>
        <w:spacing w:after="160" w:line="360" w:lineRule="auto"/>
        <w:ind w:right="91"/>
        <w:jc w:val="right"/>
        <w:rPr>
          <w:rFonts w:ascii="Sylfaen" w:eastAsia="Times New Roman" w:hAnsi="Sylfaen" w:cs="Times New Roman"/>
          <w:sz w:val="24"/>
          <w:szCs w:val="24"/>
        </w:rPr>
      </w:pPr>
      <w:r w:rsidRPr="00826F05">
        <w:rPr>
          <w:rFonts w:ascii="Sylfaen" w:hAnsi="Sylfaen"/>
          <w:sz w:val="24"/>
          <w:szCs w:val="24"/>
        </w:rPr>
        <w:t>Հավելված Գ</w:t>
      </w:r>
    </w:p>
    <w:p w14:paraId="0F61945E"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Օգտագործողների թեստավորման արդյունքների ուսումնասիրության համար փաստաթղթերի որակի ստուգման ստուգաթերթ</w:t>
      </w:r>
    </w:p>
    <w:p w14:paraId="2D858C94" w14:textId="77777777" w:rsidR="004F5982" w:rsidRPr="00826F05" w:rsidRDefault="004F5982" w:rsidP="00487007">
      <w:pPr>
        <w:spacing w:after="160" w:line="360" w:lineRule="auto"/>
        <w:jc w:val="both"/>
        <w:rPr>
          <w:rFonts w:ascii="Sylfaen" w:hAnsi="Sylfaen"/>
          <w:sz w:val="24"/>
          <w:szCs w:val="24"/>
        </w:rPr>
      </w:pPr>
    </w:p>
    <w:p w14:paraId="776EC69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Տեղեկատվություն՝ արտադրատեսակի վերաբերյալ</w:t>
      </w:r>
    </w:p>
    <w:tbl>
      <w:tblPr>
        <w:tblOverlap w:val="never"/>
        <w:tblW w:w="9667" w:type="dxa"/>
        <w:tblLayout w:type="fixed"/>
        <w:tblCellMar>
          <w:left w:w="10" w:type="dxa"/>
          <w:right w:w="10" w:type="dxa"/>
        </w:tblCellMar>
        <w:tblLook w:val="04A0" w:firstRow="1" w:lastRow="0" w:firstColumn="1" w:lastColumn="0" w:noHBand="0" w:noVBand="1"/>
      </w:tblPr>
      <w:tblGrid>
        <w:gridCol w:w="5785"/>
        <w:gridCol w:w="2241"/>
        <w:gridCol w:w="1540"/>
        <w:gridCol w:w="101"/>
      </w:tblGrid>
      <w:tr w:rsidR="004F5982" w:rsidRPr="00826F05" w14:paraId="2D8F671B" w14:textId="77777777" w:rsidTr="004F5982">
        <w:tc>
          <w:tcPr>
            <w:tcW w:w="5785" w:type="dxa"/>
            <w:tcBorders>
              <w:top w:val="single" w:sz="4" w:space="0" w:color="auto"/>
              <w:left w:val="single" w:sz="4" w:space="0" w:color="auto"/>
            </w:tcBorders>
            <w:shd w:val="clear" w:color="auto" w:fill="FFFFFF"/>
          </w:tcPr>
          <w:p w14:paraId="6FC6150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Դեղապատրաստուկի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1D219C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BAADE41" w14:textId="77777777" w:rsidTr="004F5982">
        <w:tc>
          <w:tcPr>
            <w:tcW w:w="5785" w:type="dxa"/>
            <w:tcBorders>
              <w:top w:val="single" w:sz="4" w:space="0" w:color="auto"/>
              <w:left w:val="single" w:sz="4" w:space="0" w:color="auto"/>
            </w:tcBorders>
            <w:shd w:val="clear" w:color="auto" w:fill="FFFFFF"/>
          </w:tcPr>
          <w:p w14:paraId="71733333" w14:textId="37A8F9C2" w:rsidR="004F5982" w:rsidRPr="00D55512" w:rsidRDefault="0056496B" w:rsidP="004F5982">
            <w:pPr>
              <w:spacing w:after="120" w:line="240" w:lineRule="auto"/>
              <w:rPr>
                <w:rFonts w:ascii="Sylfaen" w:hAnsi="Sylfaen"/>
                <w:sz w:val="24"/>
                <w:szCs w:val="24"/>
              </w:rPr>
            </w:pPr>
            <w:r>
              <w:rPr>
                <w:rStyle w:val="Bodytext295pt"/>
                <w:rFonts w:ascii="Sylfaen" w:eastAsiaTheme="minorHAnsi" w:hAnsi="Sylfaen"/>
                <w:b w:val="0"/>
                <w:spacing w:val="0"/>
                <w:sz w:val="24"/>
                <w:szCs w:val="24"/>
              </w:rPr>
              <w:t>Դիմումատու</w:t>
            </w:r>
            <w:r w:rsidR="004F5982" w:rsidRPr="00D55512">
              <w:rPr>
                <w:rStyle w:val="Bodytext295pt"/>
                <w:rFonts w:ascii="Sylfaen" w:eastAsiaTheme="minorHAnsi" w:hAnsi="Sylfaen"/>
                <w:b w:val="0"/>
                <w:spacing w:val="0"/>
                <w:sz w:val="24"/>
                <w:szCs w:val="24"/>
              </w:rPr>
              <w:t xml:space="preserve">ի անվանումը </w:t>
            </w:r>
            <w:r w:rsidR="00C54D75">
              <w:rPr>
                <w:rStyle w:val="Bodytext295pt"/>
                <w:rFonts w:ascii="Sylfaen" w:eastAsiaTheme="minorHAnsi" w:hAnsi="Sylfaen"/>
                <w:b w:val="0"/>
                <w:spacing w:val="0"/>
                <w:sz w:val="24"/>
                <w:szCs w:val="24"/>
              </w:rPr>
              <w:t>և</w:t>
            </w:r>
            <w:r w:rsidR="004F5982" w:rsidRPr="00D55512">
              <w:rPr>
                <w:rStyle w:val="Bodytext295pt"/>
                <w:rFonts w:ascii="Sylfaen" w:eastAsiaTheme="minorHAnsi" w:hAnsi="Sylfaen"/>
                <w:b w:val="0"/>
                <w:spacing w:val="0"/>
                <w:sz w:val="24"/>
                <w:szCs w:val="24"/>
              </w:rPr>
              <w:t xml:space="preserve"> հասցեն</w:t>
            </w:r>
          </w:p>
        </w:tc>
        <w:tc>
          <w:tcPr>
            <w:tcW w:w="3882" w:type="dxa"/>
            <w:gridSpan w:val="3"/>
            <w:tcBorders>
              <w:top w:val="single" w:sz="4" w:space="0" w:color="auto"/>
              <w:left w:val="single" w:sz="4" w:space="0" w:color="auto"/>
              <w:right w:val="single" w:sz="4" w:space="0" w:color="auto"/>
            </w:tcBorders>
            <w:shd w:val="clear" w:color="auto" w:fill="FFFFFF"/>
          </w:tcPr>
          <w:p w14:paraId="6B8014C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7C18A8C" w14:textId="77777777" w:rsidTr="004F5982">
        <w:tc>
          <w:tcPr>
            <w:tcW w:w="5785" w:type="dxa"/>
            <w:tcBorders>
              <w:top w:val="single" w:sz="4" w:space="0" w:color="auto"/>
              <w:left w:val="single" w:sz="4" w:space="0" w:color="auto"/>
            </w:tcBorders>
            <w:shd w:val="clear" w:color="auto" w:fill="FFFFFF"/>
            <w:vAlign w:val="bottom"/>
          </w:tcPr>
          <w:p w14:paraId="551D3F1A"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Օգտագործողների թեստավորում անցկացնող ընկերության անվանումը</w:t>
            </w:r>
          </w:p>
        </w:tc>
        <w:tc>
          <w:tcPr>
            <w:tcW w:w="3882" w:type="dxa"/>
            <w:gridSpan w:val="3"/>
            <w:tcBorders>
              <w:top w:val="single" w:sz="4" w:space="0" w:color="auto"/>
              <w:left w:val="single" w:sz="4" w:space="0" w:color="auto"/>
              <w:right w:val="single" w:sz="4" w:space="0" w:color="auto"/>
            </w:tcBorders>
            <w:shd w:val="clear" w:color="auto" w:fill="FFFFFF"/>
          </w:tcPr>
          <w:p w14:paraId="5E0A99F7"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430C957" w14:textId="77777777" w:rsidTr="004F5982">
        <w:tc>
          <w:tcPr>
            <w:tcW w:w="5785" w:type="dxa"/>
            <w:tcBorders>
              <w:top w:val="single" w:sz="4" w:space="0" w:color="auto"/>
              <w:left w:val="single" w:sz="4" w:space="0" w:color="auto"/>
            </w:tcBorders>
            <w:shd w:val="clear" w:color="auto" w:fill="FFFFFF"/>
            <w:vAlign w:val="bottom"/>
          </w:tcPr>
          <w:p w14:paraId="36ECF354" w14:textId="7F7935CB"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xml:space="preserve">Գրանցման հավաստագիր ստանալու </w:t>
            </w:r>
            <w:r w:rsidR="0056496B">
              <w:rPr>
                <w:rStyle w:val="Bodytext295pt"/>
                <w:rFonts w:ascii="Sylfaen" w:eastAsiaTheme="minorHAnsi" w:hAnsi="Sylfaen"/>
                <w:b w:val="0"/>
                <w:spacing w:val="0"/>
                <w:sz w:val="24"/>
                <w:szCs w:val="24"/>
              </w:rPr>
              <w:t>դիմում</w:t>
            </w:r>
            <w:r w:rsidRPr="00D55512">
              <w:rPr>
                <w:rStyle w:val="Bodytext295pt"/>
                <w:rFonts w:ascii="Sylfaen" w:eastAsiaTheme="minorHAnsi" w:hAnsi="Sylfaen"/>
                <w:b w:val="0"/>
                <w:spacing w:val="0"/>
                <w:sz w:val="24"/>
                <w:szCs w:val="24"/>
              </w:rPr>
              <w:t>ի տեսակը</w:t>
            </w:r>
          </w:p>
        </w:tc>
        <w:tc>
          <w:tcPr>
            <w:tcW w:w="3882" w:type="dxa"/>
            <w:gridSpan w:val="3"/>
            <w:tcBorders>
              <w:top w:val="single" w:sz="4" w:space="0" w:color="auto"/>
              <w:left w:val="single" w:sz="4" w:space="0" w:color="auto"/>
              <w:right w:val="single" w:sz="4" w:space="0" w:color="auto"/>
            </w:tcBorders>
            <w:shd w:val="clear" w:color="auto" w:fill="FFFFFF"/>
          </w:tcPr>
          <w:p w14:paraId="3B3FA885"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9809EF" w14:textId="77777777" w:rsidTr="004F5982">
        <w:tc>
          <w:tcPr>
            <w:tcW w:w="5785" w:type="dxa"/>
            <w:tcBorders>
              <w:top w:val="single" w:sz="4" w:space="0" w:color="auto"/>
              <w:left w:val="single" w:sz="4" w:space="0" w:color="auto"/>
            </w:tcBorders>
            <w:shd w:val="clear" w:color="auto" w:fill="FFFFFF"/>
          </w:tcPr>
          <w:p w14:paraId="2EA8CBF9"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ՄՉԱ-ն</w:t>
            </w:r>
          </w:p>
        </w:tc>
        <w:tc>
          <w:tcPr>
            <w:tcW w:w="3882" w:type="dxa"/>
            <w:gridSpan w:val="3"/>
            <w:tcBorders>
              <w:top w:val="single" w:sz="4" w:space="0" w:color="auto"/>
              <w:left w:val="single" w:sz="4" w:space="0" w:color="auto"/>
              <w:right w:val="single" w:sz="4" w:space="0" w:color="auto"/>
            </w:tcBorders>
            <w:shd w:val="clear" w:color="auto" w:fill="FFFFFF"/>
          </w:tcPr>
          <w:p w14:paraId="1CA5E03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121F8E19" w14:textId="77777777" w:rsidTr="004F5982">
        <w:tc>
          <w:tcPr>
            <w:tcW w:w="5785" w:type="dxa"/>
            <w:tcBorders>
              <w:top w:val="single" w:sz="4" w:space="0" w:color="auto"/>
              <w:left w:val="single" w:sz="4" w:space="0" w:color="auto"/>
            </w:tcBorders>
            <w:shd w:val="clear" w:color="auto" w:fill="FFFFFF"/>
            <w:vAlign w:val="bottom"/>
          </w:tcPr>
          <w:p w14:paraId="3DC1C8C7"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Դեղաթերապ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խումբը (ԱԲՔ (ATХ) ծածկագիրը)</w:t>
            </w:r>
          </w:p>
        </w:tc>
        <w:tc>
          <w:tcPr>
            <w:tcW w:w="3882" w:type="dxa"/>
            <w:gridSpan w:val="3"/>
            <w:tcBorders>
              <w:top w:val="single" w:sz="4" w:space="0" w:color="auto"/>
              <w:left w:val="single" w:sz="4" w:space="0" w:color="auto"/>
              <w:right w:val="single" w:sz="4" w:space="0" w:color="auto"/>
            </w:tcBorders>
            <w:shd w:val="clear" w:color="auto" w:fill="FFFFFF"/>
          </w:tcPr>
          <w:p w14:paraId="4E40418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E2208F2" w14:textId="77777777" w:rsidTr="004F5982">
        <w:tc>
          <w:tcPr>
            <w:tcW w:w="5785" w:type="dxa"/>
            <w:tcBorders>
              <w:top w:val="single" w:sz="4" w:space="0" w:color="auto"/>
              <w:left w:val="single" w:sz="4" w:space="0" w:color="auto"/>
            </w:tcBorders>
            <w:shd w:val="clear" w:color="auto" w:fill="FFFFFF"/>
          </w:tcPr>
          <w:p w14:paraId="5F9B20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Թերապ</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տիկ ցուցումները</w:t>
            </w:r>
          </w:p>
        </w:tc>
        <w:tc>
          <w:tcPr>
            <w:tcW w:w="3882" w:type="dxa"/>
            <w:gridSpan w:val="3"/>
            <w:tcBorders>
              <w:top w:val="single" w:sz="4" w:space="0" w:color="auto"/>
              <w:left w:val="single" w:sz="4" w:space="0" w:color="auto"/>
              <w:right w:val="single" w:sz="4" w:space="0" w:color="auto"/>
            </w:tcBorders>
            <w:shd w:val="clear" w:color="auto" w:fill="FFFFFF"/>
          </w:tcPr>
          <w:p w14:paraId="5D41BDF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AFE0D43" w14:textId="77777777" w:rsidTr="004F5982">
        <w:tc>
          <w:tcPr>
            <w:tcW w:w="5785" w:type="dxa"/>
            <w:tcBorders>
              <w:top w:val="single" w:sz="4" w:space="0" w:color="auto"/>
              <w:left w:val="single" w:sz="4" w:space="0" w:color="auto"/>
            </w:tcBorders>
            <w:shd w:val="clear" w:color="auto" w:fill="FFFFFF"/>
          </w:tcPr>
          <w:p w14:paraId="3ABDFFAF"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Հազվադեպ կիրառվող (որբ) պատրաստուկ</w:t>
            </w:r>
          </w:p>
        </w:tc>
        <w:tc>
          <w:tcPr>
            <w:tcW w:w="3882" w:type="dxa"/>
            <w:gridSpan w:val="3"/>
            <w:tcBorders>
              <w:top w:val="single" w:sz="4" w:space="0" w:color="auto"/>
              <w:left w:val="single" w:sz="4" w:space="0" w:color="auto"/>
              <w:right w:val="single" w:sz="4" w:space="0" w:color="auto"/>
            </w:tcBorders>
            <w:shd w:val="clear" w:color="auto" w:fill="FFFFFF"/>
          </w:tcPr>
          <w:p w14:paraId="2606B943"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4D56B921" w14:textId="77777777" w:rsidTr="004F5982">
        <w:tc>
          <w:tcPr>
            <w:tcW w:w="5785" w:type="dxa"/>
            <w:tcBorders>
              <w:top w:val="single" w:sz="4" w:space="0" w:color="auto"/>
              <w:left w:val="single" w:sz="4" w:space="0" w:color="auto"/>
              <w:bottom w:val="single" w:sz="4" w:space="0" w:color="auto"/>
            </w:tcBorders>
            <w:shd w:val="clear" w:color="auto" w:fill="FFFFFF"/>
          </w:tcPr>
          <w:p w14:paraId="2F4FBFF2" w14:textId="77777777" w:rsidR="004F5982" w:rsidRPr="00D55512" w:rsidRDefault="004F5982" w:rsidP="004F5982">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Փորձագետ</w:t>
            </w:r>
          </w:p>
        </w:tc>
        <w:tc>
          <w:tcPr>
            <w:tcW w:w="3882" w:type="dxa"/>
            <w:gridSpan w:val="3"/>
            <w:tcBorders>
              <w:top w:val="single" w:sz="4" w:space="0" w:color="auto"/>
              <w:left w:val="single" w:sz="4" w:space="0" w:color="auto"/>
              <w:bottom w:val="single" w:sz="4" w:space="0" w:color="auto"/>
              <w:right w:val="single" w:sz="4" w:space="0" w:color="auto"/>
            </w:tcBorders>
            <w:shd w:val="clear" w:color="auto" w:fill="FFFFFF"/>
          </w:tcPr>
          <w:p w14:paraId="21838374" w14:textId="77777777" w:rsidR="004F5982" w:rsidRPr="00D55512" w:rsidRDefault="004F5982" w:rsidP="004F5982">
            <w:pPr>
              <w:spacing w:after="120" w:line="240" w:lineRule="auto"/>
              <w:jc w:val="both"/>
              <w:rPr>
                <w:rFonts w:ascii="Sylfaen" w:hAnsi="Sylfaen"/>
                <w:sz w:val="24"/>
                <w:szCs w:val="24"/>
              </w:rPr>
            </w:pPr>
          </w:p>
        </w:tc>
      </w:tr>
      <w:tr w:rsidR="004F5982" w:rsidRPr="00826F05" w14:paraId="29374C50" w14:textId="77777777" w:rsidTr="004F5982">
        <w:trPr>
          <w:gridAfter w:val="1"/>
          <w:wAfter w:w="101" w:type="dxa"/>
          <w:trHeight w:val="1119"/>
        </w:trPr>
        <w:tc>
          <w:tcPr>
            <w:tcW w:w="8026" w:type="dxa"/>
            <w:gridSpan w:val="2"/>
            <w:vMerge w:val="restart"/>
            <w:shd w:val="clear" w:color="auto" w:fill="FFFFFF"/>
          </w:tcPr>
          <w:p w14:paraId="1309057A"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Օգտագործողների թեստավորման ամբողջական հաշվետվությունը ներկայացված է </w:t>
            </w:r>
          </w:p>
          <w:p w14:paraId="5C23CEAB"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Ամփոփ հաշվետվությունը ներկայացված է</w:t>
            </w:r>
          </w:p>
        </w:tc>
        <w:tc>
          <w:tcPr>
            <w:tcW w:w="1540" w:type="dxa"/>
            <w:shd w:val="clear" w:color="auto" w:fill="FFFFFF"/>
          </w:tcPr>
          <w:p w14:paraId="64BC5C8C"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058AE687" w14:textId="77777777" w:rsidTr="004F5982">
        <w:trPr>
          <w:gridAfter w:val="1"/>
          <w:wAfter w:w="101" w:type="dxa"/>
          <w:trHeight w:val="870"/>
        </w:trPr>
        <w:tc>
          <w:tcPr>
            <w:tcW w:w="8026" w:type="dxa"/>
            <w:gridSpan w:val="2"/>
            <w:vMerge/>
            <w:shd w:val="clear" w:color="auto" w:fill="FFFFFF"/>
          </w:tcPr>
          <w:p w14:paraId="497770A7"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c>
          <w:tcPr>
            <w:tcW w:w="1540" w:type="dxa"/>
            <w:shd w:val="clear" w:color="auto" w:fill="FFFFFF"/>
          </w:tcPr>
          <w:p w14:paraId="06299D79" w14:textId="77777777" w:rsidR="004F5982" w:rsidRPr="00D55512" w:rsidRDefault="004F5982" w:rsidP="004F5982">
            <w:pPr>
              <w:spacing w:after="160" w:line="360" w:lineRule="auto"/>
              <w:jc w:val="both"/>
              <w:rPr>
                <w:rFonts w:ascii="Sylfaen" w:hAnsi="Sylfaen"/>
                <w:sz w:val="24"/>
                <w:szCs w:val="24"/>
              </w:rPr>
            </w:pPr>
            <w:r w:rsidRPr="00D55512">
              <w:rPr>
                <w:rFonts w:ascii="Sylfaen" w:hAnsi="Sylfaen"/>
                <w:sz w:val="24"/>
                <w:szCs w:val="24"/>
              </w:rPr>
              <w:t>□ այո □ ոչ</w:t>
            </w:r>
          </w:p>
        </w:tc>
      </w:tr>
      <w:tr w:rsidR="004F5982" w:rsidRPr="00826F05" w14:paraId="7B8901C3" w14:textId="77777777" w:rsidTr="004F5982">
        <w:trPr>
          <w:gridAfter w:val="1"/>
          <w:wAfter w:w="101" w:type="dxa"/>
        </w:trPr>
        <w:tc>
          <w:tcPr>
            <w:tcW w:w="9566" w:type="dxa"/>
            <w:gridSpan w:val="3"/>
            <w:shd w:val="clear" w:color="auto" w:fill="FFFFFF"/>
            <w:vAlign w:val="bottom"/>
          </w:tcPr>
          <w:p w14:paraId="3CBA8C08"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Կապակցող թեստավորման հիմքերը՝</w:t>
            </w:r>
          </w:p>
          <w:p w14:paraId="5B9AD137"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լրացումներ՝ ներմուծման մի</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նույն եղանակի համար</w:t>
            </w:r>
          </w:p>
          <w:p w14:paraId="5D5921AA"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lastRenderedPageBreak/>
              <w:t xml:space="preserve">□ </w:t>
            </w:r>
            <w:r w:rsidRPr="00D55512">
              <w:rPr>
                <w:rStyle w:val="Bodytext295pt"/>
                <w:rFonts w:ascii="Sylfaen" w:eastAsiaTheme="minorHAnsi" w:hAnsi="Sylfaen"/>
                <w:b w:val="0"/>
                <w:spacing w:val="0"/>
                <w:sz w:val="24"/>
                <w:szCs w:val="24"/>
              </w:rPr>
              <w:t>հղում՝ նույն դասի դեղապատրաստուկի թեստին</w:t>
            </w:r>
          </w:p>
          <w:p w14:paraId="3F6D6C2C" w14:textId="77777777" w:rsidR="004F5982" w:rsidRPr="00D55512" w:rsidRDefault="004F5982" w:rsidP="004F5982">
            <w:pPr>
              <w:spacing w:after="160" w:line="360" w:lineRule="auto"/>
              <w:ind w:left="567"/>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 xml:space="preserve">հղում՝ անվտանգության վերաբերյալ նույնատիպ հարցերով թեստին </w:t>
            </w:r>
          </w:p>
          <w:p w14:paraId="63DB9FA9" w14:textId="77777777" w:rsidR="004F5982" w:rsidRPr="00826F05" w:rsidRDefault="004F5982" w:rsidP="004F5982">
            <w:pPr>
              <w:spacing w:after="160" w:line="360" w:lineRule="auto"/>
              <w:ind w:left="567"/>
              <w:rPr>
                <w:rFonts w:ascii="Sylfaen" w:hAnsi="Sylfaen"/>
                <w:sz w:val="24"/>
                <w:szCs w:val="24"/>
              </w:rPr>
            </w:pPr>
            <w:r w:rsidRPr="00D55512">
              <w:rPr>
                <w:rFonts w:ascii="Sylfaen" w:hAnsi="Sylfaen"/>
                <w:sz w:val="24"/>
                <w:szCs w:val="24"/>
              </w:rPr>
              <w:t>□ այլ՝ __________________________________________________________</w:t>
            </w:r>
          </w:p>
        </w:tc>
      </w:tr>
      <w:tr w:rsidR="004F5982" w:rsidRPr="00826F05" w14:paraId="10BE1C39" w14:textId="77777777" w:rsidTr="004F5982">
        <w:trPr>
          <w:gridAfter w:val="1"/>
          <w:wAfter w:w="101" w:type="dxa"/>
        </w:trPr>
        <w:tc>
          <w:tcPr>
            <w:tcW w:w="8026" w:type="dxa"/>
            <w:gridSpan w:val="2"/>
            <w:shd w:val="clear" w:color="auto" w:fill="FFFFFF"/>
            <w:vAlign w:val="center"/>
          </w:tcPr>
          <w:p w14:paraId="5215A135"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կապակցող թեստավորման հիմնավորումն ընդունելի է։</w:t>
            </w:r>
          </w:p>
        </w:tc>
        <w:tc>
          <w:tcPr>
            <w:tcW w:w="1540" w:type="dxa"/>
            <w:tcBorders>
              <w:top w:val="single" w:sz="4" w:space="0" w:color="auto"/>
              <w:left w:val="nil"/>
            </w:tcBorders>
            <w:shd w:val="clear" w:color="auto" w:fill="FFFFFF"/>
            <w:vAlign w:val="center"/>
          </w:tcPr>
          <w:p w14:paraId="22D64267" w14:textId="77777777" w:rsidR="004F5982" w:rsidRPr="00D55512" w:rsidRDefault="004F5982" w:rsidP="004F5982">
            <w:pPr>
              <w:tabs>
                <w:tab w:val="left" w:pos="270"/>
              </w:tabs>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826F05" w14:paraId="14A27669" w14:textId="77777777" w:rsidTr="004F5982">
        <w:trPr>
          <w:gridAfter w:val="1"/>
          <w:wAfter w:w="101" w:type="dxa"/>
          <w:trHeight w:val="1583"/>
        </w:trPr>
        <w:tc>
          <w:tcPr>
            <w:tcW w:w="8026" w:type="dxa"/>
            <w:gridSpan w:val="2"/>
            <w:vMerge w:val="restart"/>
            <w:shd w:val="clear" w:color="auto" w:fill="FFFFFF"/>
            <w:vAlign w:val="center"/>
          </w:tcPr>
          <w:p w14:paraId="684D7006" w14:textId="77777777" w:rsidR="004F5982" w:rsidRPr="00D55512" w:rsidRDefault="004F5982" w:rsidP="004F5982">
            <w:pPr>
              <w:spacing w:after="160" w:line="360" w:lineRule="auto"/>
              <w:rPr>
                <w:rFonts w:ascii="Sylfaen" w:hAnsi="Sylfaen"/>
              </w:rPr>
            </w:pPr>
            <w:r w:rsidRPr="00D55512">
              <w:rPr>
                <w:rStyle w:val="Bodytext295pt"/>
                <w:rFonts w:ascii="Sylfaen" w:eastAsiaTheme="minorHAnsi" w:hAnsi="Sylfaen"/>
                <w:b w:val="0"/>
                <w:spacing w:val="0"/>
                <w:sz w:val="24"/>
                <w:szCs w:val="24"/>
              </w:rPr>
              <w:t>(Եթե չի ներկայացվել օգտագործողների թեստավորման ամբողջական հաշվետվությունը կամ ամփոփ հաշվետվությունը, ապա անհրաժեշտ է ներկայացնել հիմնավորումը։)</w:t>
            </w:r>
          </w:p>
          <w:p w14:paraId="7DCF94A8"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հաշվետվություն չներկայացնելու հիմնավորումն ընդունելի է։ (Օգտագործողների թեստավորման բացակայության ընդունելի հիմնավորում չհամարվող պատճառների օրինակները ներկայացված են ստոր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w:t>
            </w:r>
          </w:p>
        </w:tc>
        <w:tc>
          <w:tcPr>
            <w:tcW w:w="1540" w:type="dxa"/>
            <w:tcBorders>
              <w:left w:val="nil"/>
            </w:tcBorders>
            <w:shd w:val="clear" w:color="auto" w:fill="FFFFFF"/>
            <w:vAlign w:val="center"/>
          </w:tcPr>
          <w:p w14:paraId="1F86E240"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p>
        </w:tc>
      </w:tr>
      <w:tr w:rsidR="004F5982" w:rsidRPr="00826F05" w14:paraId="63B27315" w14:textId="77777777" w:rsidTr="004F5982">
        <w:trPr>
          <w:gridAfter w:val="1"/>
          <w:wAfter w:w="101" w:type="dxa"/>
          <w:trHeight w:val="1582"/>
        </w:trPr>
        <w:tc>
          <w:tcPr>
            <w:tcW w:w="8026" w:type="dxa"/>
            <w:gridSpan w:val="2"/>
            <w:vMerge/>
            <w:shd w:val="clear" w:color="auto" w:fill="FFFFFF"/>
            <w:vAlign w:val="center"/>
          </w:tcPr>
          <w:p w14:paraId="37A566B9" w14:textId="77777777" w:rsidR="004F5982" w:rsidRPr="00826F05" w:rsidRDefault="004F5982" w:rsidP="004F5982">
            <w:pPr>
              <w:spacing w:after="160" w:line="360" w:lineRule="auto"/>
              <w:rPr>
                <w:rStyle w:val="Bodytext295pt"/>
                <w:rFonts w:ascii="Sylfaen" w:eastAsiaTheme="minorHAnsi" w:hAnsi="Sylfaen"/>
                <w:b w:val="0"/>
                <w:sz w:val="24"/>
                <w:szCs w:val="24"/>
              </w:rPr>
            </w:pPr>
          </w:p>
        </w:tc>
        <w:tc>
          <w:tcPr>
            <w:tcW w:w="1540" w:type="dxa"/>
            <w:tcBorders>
              <w:left w:val="nil"/>
            </w:tcBorders>
            <w:shd w:val="clear" w:color="auto" w:fill="FFFFFF"/>
          </w:tcPr>
          <w:p w14:paraId="5F62931C" w14:textId="77777777" w:rsidR="004F5982" w:rsidRPr="00D55512" w:rsidRDefault="004F5982" w:rsidP="004F5982">
            <w:pPr>
              <w:spacing w:after="160" w:line="36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այո □ ոչ</w:t>
            </w:r>
          </w:p>
        </w:tc>
      </w:tr>
      <w:tr w:rsidR="004F5982" w:rsidRPr="00826F05" w14:paraId="6D76E5B0" w14:textId="77777777" w:rsidTr="004F5982">
        <w:trPr>
          <w:gridAfter w:val="1"/>
          <w:wAfter w:w="101" w:type="dxa"/>
        </w:trPr>
        <w:tc>
          <w:tcPr>
            <w:tcW w:w="9566" w:type="dxa"/>
            <w:gridSpan w:val="3"/>
            <w:shd w:val="clear" w:color="auto" w:fill="FFFFFF"/>
            <w:vAlign w:val="center"/>
          </w:tcPr>
          <w:p w14:paraId="4FF5EBA2"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հիվանդանոցային պայմաններում ներմուծումը.</w:t>
            </w:r>
          </w:p>
          <w:p w14:paraId="285D7B1F"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միայն բժշկական ոլորտի մասնագետի կողմից ներմուծումը.</w:t>
            </w:r>
          </w:p>
          <w:p w14:paraId="254922DD" w14:textId="77777777" w:rsidR="004F5982" w:rsidRPr="00826F05" w:rsidRDefault="004F5982" w:rsidP="004F5982">
            <w:pPr>
              <w:tabs>
                <w:tab w:val="left" w:pos="284"/>
              </w:tabs>
              <w:spacing w:after="160" w:line="336" w:lineRule="auto"/>
              <w:rPr>
                <w:rFonts w:ascii="Sylfaen" w:hAnsi="Sylfaen"/>
                <w:sz w:val="24"/>
                <w:szCs w:val="24"/>
              </w:rPr>
            </w:pPr>
            <w:r w:rsidRPr="00826F05">
              <w:rPr>
                <w:rFonts w:ascii="Sylfaen" w:hAnsi="Sylfaen"/>
                <w:sz w:val="24"/>
                <w:szCs w:val="24"/>
              </w:rPr>
              <w:t>-</w:t>
            </w:r>
            <w:r w:rsidRPr="00826F05">
              <w:rPr>
                <w:rFonts w:ascii="Sylfaen" w:hAnsi="Sylfaen"/>
                <w:sz w:val="24"/>
                <w:szCs w:val="24"/>
              </w:rPr>
              <w:tab/>
              <w:t>որակի ստուգման վերաբերյալ փաստաթղթերի ձ</w:t>
            </w:r>
            <w:r w:rsidR="00C54D75">
              <w:rPr>
                <w:rFonts w:ascii="Sylfaen" w:hAnsi="Sylfaen"/>
                <w:sz w:val="24"/>
                <w:szCs w:val="24"/>
              </w:rPr>
              <w:t>և</w:t>
            </w:r>
            <w:r w:rsidRPr="00826F05">
              <w:rPr>
                <w:rFonts w:ascii="Sylfaen" w:hAnsi="Sylfaen"/>
                <w:sz w:val="24"/>
                <w:szCs w:val="24"/>
              </w:rPr>
              <w:t>անմուշներին համապատասխանությունը.</w:t>
            </w:r>
          </w:p>
          <w:p w14:paraId="01CB4085" w14:textId="77777777" w:rsidR="004F5982" w:rsidRPr="00826F05" w:rsidRDefault="004F5982" w:rsidP="004F5982">
            <w:pPr>
              <w:tabs>
                <w:tab w:val="left" w:pos="284"/>
              </w:tabs>
              <w:spacing w:after="160" w:line="336" w:lineRule="auto"/>
              <w:rPr>
                <w:rStyle w:val="Bodytext295pt"/>
                <w:rFonts w:ascii="Sylfaen" w:eastAsiaTheme="minorHAnsi" w:hAnsi="Sylfaen"/>
                <w:b w:val="0"/>
                <w:sz w:val="24"/>
                <w:szCs w:val="24"/>
              </w:rPr>
            </w:pPr>
            <w:r w:rsidRPr="00826F05">
              <w:rPr>
                <w:rFonts w:ascii="Sylfaen" w:hAnsi="Sylfaen"/>
                <w:sz w:val="24"/>
                <w:szCs w:val="24"/>
              </w:rPr>
              <w:t>-</w:t>
            </w:r>
            <w:r w:rsidRPr="00826F05">
              <w:rPr>
                <w:rFonts w:ascii="Sylfaen" w:hAnsi="Sylfaen"/>
                <w:sz w:val="24"/>
                <w:szCs w:val="24"/>
              </w:rPr>
              <w:tab/>
              <w:t>տ</w:t>
            </w:r>
            <w:r w:rsidR="00C54D75">
              <w:rPr>
                <w:rFonts w:ascii="Sylfaen" w:hAnsi="Sylfaen"/>
                <w:sz w:val="24"/>
                <w:szCs w:val="24"/>
              </w:rPr>
              <w:t>և</w:t>
            </w:r>
            <w:r w:rsidRPr="00826F05">
              <w:rPr>
                <w:rFonts w:ascii="Sylfaen" w:hAnsi="Sylfaen"/>
                <w:sz w:val="24"/>
                <w:szCs w:val="24"/>
              </w:rPr>
              <w:t>ական ժամանակի ընթացքում պատրաստուկի կիրառման ուսումնասիրությունը։</w:t>
            </w:r>
          </w:p>
        </w:tc>
      </w:tr>
      <w:tr w:rsidR="004F5982" w:rsidRPr="00826F05" w14:paraId="60A14DA7" w14:textId="77777777" w:rsidTr="004F5982">
        <w:trPr>
          <w:gridAfter w:val="1"/>
          <w:wAfter w:w="101" w:type="dxa"/>
        </w:trPr>
        <w:tc>
          <w:tcPr>
            <w:tcW w:w="9566" w:type="dxa"/>
            <w:gridSpan w:val="3"/>
            <w:shd w:val="clear" w:color="auto" w:fill="FFFFFF"/>
            <w:vAlign w:val="center"/>
          </w:tcPr>
          <w:p w14:paraId="055673B3" w14:textId="77777777" w:rsidR="004F5982" w:rsidRPr="00D55512" w:rsidRDefault="004F5982" w:rsidP="004F5982">
            <w:pPr>
              <w:spacing w:after="160" w:line="360" w:lineRule="auto"/>
              <w:rPr>
                <w:rFonts w:ascii="Sylfaen" w:hAnsi="Sylfaen"/>
                <w:sz w:val="24"/>
                <w:szCs w:val="24"/>
              </w:rPr>
            </w:pPr>
            <w:r w:rsidRPr="00D55512">
              <w:rPr>
                <w:rStyle w:val="Bodytext295pt"/>
                <w:rFonts w:ascii="Sylfaen" w:eastAsiaTheme="minorHAnsi" w:hAnsi="Sylfaen"/>
                <w:b w:val="0"/>
                <w:spacing w:val="0"/>
                <w:sz w:val="24"/>
                <w:szCs w:val="24"/>
              </w:rPr>
              <w:t xml:space="preserve">Պատճառները </w:t>
            </w:r>
            <w:r w:rsidRPr="00D55512">
              <w:rPr>
                <w:rStyle w:val="Bodytext295pt"/>
                <w:rFonts w:ascii="Sylfaen" w:eastAsiaTheme="minorHAnsi" w:hAnsi="Sylfaen"/>
                <w:b w:val="0"/>
                <w:i/>
                <w:spacing w:val="0"/>
                <w:sz w:val="24"/>
                <w:szCs w:val="24"/>
              </w:rPr>
              <w:t>[հիմնավորման/ամփոփ հաշվետվության ընդունելի լինելու կամ չլինելու վերաբերյալ փորձագետների կարծիքները՝ հիմնավորման/ամփոփ հաշվետվության գնահատումը]</w:t>
            </w:r>
          </w:p>
        </w:tc>
      </w:tr>
      <w:tr w:rsidR="004F5982" w:rsidRPr="00826F05" w14:paraId="7F7E77F0" w14:textId="77777777" w:rsidTr="004F5982">
        <w:trPr>
          <w:gridAfter w:val="1"/>
          <w:wAfter w:w="101" w:type="dxa"/>
        </w:trPr>
        <w:tc>
          <w:tcPr>
            <w:tcW w:w="9566" w:type="dxa"/>
            <w:gridSpan w:val="3"/>
            <w:tcBorders>
              <w:top w:val="single" w:sz="4" w:space="0" w:color="auto"/>
            </w:tcBorders>
            <w:shd w:val="clear" w:color="auto" w:fill="FFFFFF"/>
          </w:tcPr>
          <w:p w14:paraId="272CDF4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0152AE8" w14:textId="77777777" w:rsidTr="004F5982">
        <w:trPr>
          <w:gridAfter w:val="1"/>
          <w:wAfter w:w="101" w:type="dxa"/>
        </w:trPr>
        <w:tc>
          <w:tcPr>
            <w:tcW w:w="9566" w:type="dxa"/>
            <w:gridSpan w:val="3"/>
            <w:tcBorders>
              <w:top w:val="single" w:sz="4" w:space="0" w:color="auto"/>
            </w:tcBorders>
            <w:shd w:val="clear" w:color="auto" w:fill="FFFFFF"/>
          </w:tcPr>
          <w:p w14:paraId="31CC2787" w14:textId="77777777" w:rsidR="004F5982" w:rsidRPr="00826F05" w:rsidRDefault="004F5982" w:rsidP="004F5982">
            <w:pPr>
              <w:spacing w:after="160" w:line="360" w:lineRule="auto"/>
              <w:jc w:val="both"/>
              <w:rPr>
                <w:rFonts w:ascii="Sylfaen" w:hAnsi="Sylfaen"/>
                <w:sz w:val="24"/>
                <w:szCs w:val="24"/>
              </w:rPr>
            </w:pPr>
          </w:p>
        </w:tc>
      </w:tr>
      <w:tr w:rsidR="004F5982" w:rsidRPr="00826F05" w14:paraId="0D47BDF0" w14:textId="77777777" w:rsidTr="004F5982">
        <w:trPr>
          <w:gridAfter w:val="1"/>
          <w:wAfter w:w="101" w:type="dxa"/>
        </w:trPr>
        <w:tc>
          <w:tcPr>
            <w:tcW w:w="9566" w:type="dxa"/>
            <w:gridSpan w:val="3"/>
            <w:tcBorders>
              <w:top w:val="single" w:sz="4" w:space="0" w:color="auto"/>
            </w:tcBorders>
            <w:shd w:val="clear" w:color="auto" w:fill="FFFFFF"/>
          </w:tcPr>
          <w:p w14:paraId="471BB6FC" w14:textId="77777777" w:rsidR="004F5982" w:rsidRPr="00826F05" w:rsidRDefault="004F5982" w:rsidP="004F5982">
            <w:pPr>
              <w:spacing w:after="160" w:line="360" w:lineRule="auto"/>
              <w:jc w:val="both"/>
              <w:rPr>
                <w:rFonts w:ascii="Sylfaen" w:hAnsi="Sylfaen"/>
                <w:sz w:val="24"/>
                <w:szCs w:val="24"/>
              </w:rPr>
            </w:pPr>
          </w:p>
        </w:tc>
      </w:tr>
      <w:tr w:rsidR="004F5982" w:rsidRPr="00826F05" w14:paraId="1DC0FD5A" w14:textId="77777777" w:rsidTr="004F5982">
        <w:trPr>
          <w:gridAfter w:val="1"/>
          <w:wAfter w:w="101" w:type="dxa"/>
        </w:trPr>
        <w:tc>
          <w:tcPr>
            <w:tcW w:w="9566" w:type="dxa"/>
            <w:gridSpan w:val="3"/>
            <w:tcBorders>
              <w:top w:val="single" w:sz="4" w:space="0" w:color="auto"/>
              <w:bottom w:val="single" w:sz="4" w:space="0" w:color="auto"/>
            </w:tcBorders>
            <w:shd w:val="clear" w:color="auto" w:fill="FFFFFF"/>
          </w:tcPr>
          <w:p w14:paraId="144E5FE1" w14:textId="77777777" w:rsidR="004F5982" w:rsidRPr="00826F05" w:rsidRDefault="004F5982" w:rsidP="004F5982">
            <w:pPr>
              <w:spacing w:after="160" w:line="360" w:lineRule="auto"/>
              <w:jc w:val="both"/>
              <w:rPr>
                <w:rFonts w:ascii="Sylfaen" w:hAnsi="Sylfaen"/>
                <w:sz w:val="24"/>
                <w:szCs w:val="24"/>
              </w:rPr>
            </w:pPr>
          </w:p>
        </w:tc>
      </w:tr>
    </w:tbl>
    <w:p w14:paraId="0FC42B88" w14:textId="77777777" w:rsidR="004F5982" w:rsidRPr="00D55512" w:rsidRDefault="004F5982" w:rsidP="004F5982">
      <w:pPr>
        <w:pStyle w:val="Bodytext40"/>
        <w:shd w:val="clear" w:color="auto" w:fill="auto"/>
        <w:spacing w:before="0" w:after="160" w:line="360" w:lineRule="auto"/>
        <w:ind w:left="567" w:right="565"/>
        <w:rPr>
          <w:rFonts w:ascii="Sylfaen" w:hAnsi="Sylfaen"/>
          <w:b w:val="0"/>
          <w:sz w:val="24"/>
          <w:szCs w:val="24"/>
        </w:rPr>
      </w:pPr>
      <w:r w:rsidRPr="00D55512">
        <w:rPr>
          <w:rFonts w:ascii="Sylfaen" w:hAnsi="Sylfaen"/>
          <w:b w:val="0"/>
          <w:color w:val="000000"/>
          <w:sz w:val="24"/>
          <w:szCs w:val="24"/>
        </w:rPr>
        <w:t>1. Տեխնիկական գնահատումը</w:t>
      </w:r>
    </w:p>
    <w:p w14:paraId="73C6BEF8" w14:textId="77777777" w:rsidR="004F5982" w:rsidRPr="00D55512" w:rsidRDefault="004F5982" w:rsidP="004F5982">
      <w:pPr>
        <w:pStyle w:val="Bodytext40"/>
        <w:shd w:val="clear" w:color="auto" w:fill="auto"/>
        <w:spacing w:before="0" w:after="160" w:line="360" w:lineRule="auto"/>
        <w:ind w:left="567" w:right="565"/>
        <w:rPr>
          <w:rFonts w:ascii="Sylfaen" w:hAnsi="Sylfaen"/>
          <w:b w:val="0"/>
          <w:color w:val="000000"/>
          <w:sz w:val="24"/>
          <w:szCs w:val="24"/>
        </w:rPr>
      </w:pPr>
      <w:r w:rsidRPr="00D55512">
        <w:rPr>
          <w:rFonts w:ascii="Sylfaen" w:hAnsi="Sylfaen"/>
          <w:b w:val="0"/>
          <w:sz w:val="24"/>
          <w:szCs w:val="24"/>
        </w:rPr>
        <w:lastRenderedPageBreak/>
        <w:t xml:space="preserve">1.1. </w:t>
      </w:r>
      <w:r w:rsidRPr="00D55512">
        <w:rPr>
          <w:rFonts w:ascii="Sylfaen" w:hAnsi="Sylfaen"/>
          <w:b w:val="0"/>
          <w:color w:val="000000"/>
          <w:sz w:val="24"/>
          <w:szCs w:val="24"/>
        </w:rPr>
        <w:t>Հավաքակազմը</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1"/>
        <w:gridCol w:w="1456"/>
      </w:tblGrid>
      <w:tr w:rsidR="004F5982" w:rsidRPr="00D55512" w14:paraId="19016CC5" w14:textId="77777777" w:rsidTr="004F5982">
        <w:tc>
          <w:tcPr>
            <w:tcW w:w="8241" w:type="dxa"/>
          </w:tcPr>
          <w:p w14:paraId="2A9923A3"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Արդյո՞ք ընդունելի է հարցմանը մասնակցած պոպուլյացիան։</w:t>
            </w:r>
          </w:p>
        </w:tc>
        <w:tc>
          <w:tcPr>
            <w:tcW w:w="1456" w:type="dxa"/>
          </w:tcPr>
          <w:p w14:paraId="4FF8DB4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color w:val="000000"/>
                <w:sz w:val="24"/>
                <w:szCs w:val="24"/>
              </w:rPr>
              <w:t>□ այո □ ոչ</w:t>
            </w:r>
          </w:p>
        </w:tc>
      </w:tr>
      <w:tr w:rsidR="004F5982" w:rsidRPr="00D55512" w14:paraId="7FBDC3C9" w14:textId="77777777" w:rsidTr="004F5982">
        <w:tc>
          <w:tcPr>
            <w:tcW w:w="9697" w:type="dxa"/>
            <w:gridSpan w:val="2"/>
          </w:tcPr>
          <w:p w14:paraId="66B66E99" w14:textId="77777777" w:rsidR="004F5982" w:rsidRPr="00D55512" w:rsidRDefault="004F5982" w:rsidP="00487007">
            <w:pPr>
              <w:pStyle w:val="Bodytext40"/>
              <w:shd w:val="clear" w:color="auto" w:fill="auto"/>
              <w:spacing w:before="0" w:after="120" w:line="240" w:lineRule="auto"/>
              <w:jc w:val="left"/>
              <w:rPr>
                <w:rFonts w:ascii="Sylfaen" w:hAnsi="Sylfaen"/>
                <w:b w:val="0"/>
                <w:sz w:val="24"/>
                <w:szCs w:val="24"/>
              </w:rPr>
            </w:pPr>
            <w:r w:rsidRPr="00D55512">
              <w:rPr>
                <w:rFonts w:ascii="Sylfaen" w:hAnsi="Sylfaen"/>
                <w:b w:val="0"/>
                <w:sz w:val="24"/>
                <w:szCs w:val="24"/>
              </w:rPr>
              <w:t>Մեկնաբանություններ (լրացուցիչ տեղեկատվություն) ________________________________</w:t>
            </w:r>
          </w:p>
        </w:tc>
      </w:tr>
    </w:tbl>
    <w:tbl>
      <w:tblPr>
        <w:tblOverlap w:val="never"/>
        <w:tblW w:w="9715" w:type="dxa"/>
        <w:tblInd w:w="-116" w:type="dxa"/>
        <w:tblLayout w:type="fixed"/>
        <w:tblCellMar>
          <w:left w:w="10" w:type="dxa"/>
          <w:right w:w="10" w:type="dxa"/>
        </w:tblCellMar>
        <w:tblLook w:val="04A0" w:firstRow="1" w:lastRow="0" w:firstColumn="1" w:lastColumn="0" w:noHBand="0" w:noVBand="1"/>
      </w:tblPr>
      <w:tblGrid>
        <w:gridCol w:w="7909"/>
        <w:gridCol w:w="331"/>
        <w:gridCol w:w="1242"/>
        <w:gridCol w:w="142"/>
        <w:gridCol w:w="91"/>
      </w:tblGrid>
      <w:tr w:rsidR="004F5982" w:rsidRPr="00D55512" w14:paraId="593BCFD0" w14:textId="77777777" w:rsidTr="00487007">
        <w:tc>
          <w:tcPr>
            <w:tcW w:w="8240" w:type="dxa"/>
            <w:gridSpan w:val="2"/>
            <w:shd w:val="clear" w:color="auto" w:fill="FFFFFF"/>
          </w:tcPr>
          <w:p w14:paraId="2E0CFEEA"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1.2. Հարցաշարը</w:t>
            </w:r>
          </w:p>
        </w:tc>
        <w:tc>
          <w:tcPr>
            <w:tcW w:w="1475" w:type="dxa"/>
            <w:gridSpan w:val="3"/>
            <w:shd w:val="clear" w:color="auto" w:fill="FFFFFF"/>
          </w:tcPr>
          <w:p w14:paraId="439C2B74" w14:textId="77777777" w:rsidR="004F5982" w:rsidRPr="00D55512" w:rsidRDefault="004F5982" w:rsidP="00487007">
            <w:pPr>
              <w:spacing w:after="120" w:line="240" w:lineRule="auto"/>
              <w:rPr>
                <w:rFonts w:ascii="Sylfaen" w:hAnsi="Sylfaen"/>
                <w:sz w:val="24"/>
                <w:szCs w:val="24"/>
              </w:rPr>
            </w:pPr>
          </w:p>
        </w:tc>
      </w:tr>
      <w:tr w:rsidR="004F5982" w:rsidRPr="00D55512" w14:paraId="5CAB1251" w14:textId="77777777" w:rsidTr="00487007">
        <w:tc>
          <w:tcPr>
            <w:tcW w:w="8240" w:type="dxa"/>
            <w:gridSpan w:val="2"/>
            <w:shd w:val="clear" w:color="auto" w:fill="FFFFFF"/>
            <w:vAlign w:val="center"/>
          </w:tcPr>
          <w:p w14:paraId="66A0541F" w14:textId="77777777" w:rsidR="004F5982" w:rsidRPr="00D55512" w:rsidRDefault="004F5982" w:rsidP="00487007">
            <w:pPr>
              <w:spacing w:after="120" w:line="240" w:lineRule="auto"/>
              <w:ind w:right="132"/>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 քանակը ___________ բավարար է:</w:t>
            </w:r>
          </w:p>
          <w:p w14:paraId="2FC8293E" w14:textId="77777777" w:rsidR="004F5982" w:rsidRPr="00D55512" w:rsidRDefault="004F5982" w:rsidP="00487007">
            <w:pPr>
              <w:spacing w:after="120" w:line="240" w:lineRule="auto"/>
              <w:ind w:right="132"/>
              <w:rPr>
                <w:rFonts w:ascii="Sylfaen" w:hAnsi="Sylfaen"/>
                <w:sz w:val="24"/>
                <w:szCs w:val="24"/>
              </w:rPr>
            </w:pPr>
            <w:r w:rsidRPr="00D55512">
              <w:rPr>
                <w:rStyle w:val="Bodytext295pt"/>
                <w:rFonts w:ascii="Sylfaen" w:eastAsiaTheme="minorHAnsi" w:hAnsi="Sylfaen"/>
                <w:b w:val="0"/>
                <w:spacing w:val="0"/>
                <w:sz w:val="24"/>
                <w:szCs w:val="24"/>
              </w:rPr>
              <w:t>Արդյո՞ք հարցերն ընդգրկում են ԲԿՀ-ի (ՆԹ-ի) կար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որ ասպեկտները (անվտանգությունը)։</w:t>
            </w:r>
          </w:p>
        </w:tc>
        <w:tc>
          <w:tcPr>
            <w:tcW w:w="1475" w:type="dxa"/>
            <w:gridSpan w:val="3"/>
            <w:shd w:val="clear" w:color="auto" w:fill="FFFFFF"/>
          </w:tcPr>
          <w:p w14:paraId="2CE2EC4B"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p w14:paraId="188FB8A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65A48467" w14:textId="77777777" w:rsidTr="00487007">
        <w:tc>
          <w:tcPr>
            <w:tcW w:w="9482" w:type="dxa"/>
            <w:gridSpan w:val="3"/>
            <w:shd w:val="clear" w:color="auto" w:fill="FFFFFF"/>
            <w:vAlign w:val="bottom"/>
          </w:tcPr>
          <w:p w14:paraId="29EA83BF"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w:t>
            </w:r>
          </w:p>
        </w:tc>
        <w:tc>
          <w:tcPr>
            <w:tcW w:w="233" w:type="dxa"/>
            <w:gridSpan w:val="2"/>
            <w:shd w:val="clear" w:color="auto" w:fill="FFFFFF"/>
          </w:tcPr>
          <w:p w14:paraId="24CCF375" w14:textId="77777777" w:rsidR="004F5982" w:rsidRPr="00D55512" w:rsidRDefault="004F5982" w:rsidP="00487007">
            <w:pPr>
              <w:spacing w:after="120" w:line="240" w:lineRule="auto"/>
              <w:rPr>
                <w:rFonts w:ascii="Sylfaen" w:hAnsi="Sylfaen"/>
                <w:sz w:val="24"/>
                <w:szCs w:val="24"/>
              </w:rPr>
            </w:pPr>
          </w:p>
        </w:tc>
      </w:tr>
      <w:tr w:rsidR="004F5982" w:rsidRPr="00D55512" w14:paraId="5042D65B" w14:textId="77777777" w:rsidTr="00487007">
        <w:tc>
          <w:tcPr>
            <w:tcW w:w="8240" w:type="dxa"/>
            <w:gridSpan w:val="2"/>
            <w:shd w:val="clear" w:color="auto" w:fill="FFFFFF"/>
            <w:vAlign w:val="center"/>
          </w:tcPr>
          <w:p w14:paraId="7378466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1.3. Ժամանակավոր ասպեկտները</w:t>
            </w:r>
          </w:p>
        </w:tc>
        <w:tc>
          <w:tcPr>
            <w:tcW w:w="1475" w:type="dxa"/>
            <w:gridSpan w:val="3"/>
            <w:shd w:val="clear" w:color="auto" w:fill="FFFFFF"/>
          </w:tcPr>
          <w:p w14:paraId="68318EDE" w14:textId="77777777" w:rsidR="004F5982" w:rsidRPr="00D55512" w:rsidRDefault="004F5982" w:rsidP="00487007">
            <w:pPr>
              <w:spacing w:after="120" w:line="240" w:lineRule="auto"/>
              <w:rPr>
                <w:rFonts w:ascii="Sylfaen" w:hAnsi="Sylfaen"/>
                <w:sz w:val="24"/>
                <w:szCs w:val="24"/>
              </w:rPr>
            </w:pPr>
          </w:p>
        </w:tc>
      </w:tr>
      <w:tr w:rsidR="004F5982" w:rsidRPr="00D55512" w14:paraId="37843689" w14:textId="77777777" w:rsidTr="00487007">
        <w:trPr>
          <w:trHeight w:val="870"/>
        </w:trPr>
        <w:tc>
          <w:tcPr>
            <w:tcW w:w="8240" w:type="dxa"/>
            <w:gridSpan w:val="2"/>
            <w:vMerge w:val="restart"/>
            <w:shd w:val="clear" w:color="auto" w:fill="FFFFFF"/>
            <w:vAlign w:val="center"/>
          </w:tcPr>
          <w:p w14:paraId="2F2636A1"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Արդյո՞ք հարցերին պատասխանելու համար հատկացված ժամանակն ընդունելի է։</w:t>
            </w:r>
          </w:p>
          <w:p w14:paraId="680A82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հարցազրույցի տ</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ողությունն ընդունելի է։</w:t>
            </w:r>
          </w:p>
        </w:tc>
        <w:tc>
          <w:tcPr>
            <w:tcW w:w="1475" w:type="dxa"/>
            <w:gridSpan w:val="3"/>
            <w:shd w:val="clear" w:color="auto" w:fill="FFFFFF"/>
          </w:tcPr>
          <w:p w14:paraId="764105B0"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3E8F49CB" w14:textId="77777777" w:rsidTr="00487007">
        <w:trPr>
          <w:trHeight w:val="870"/>
        </w:trPr>
        <w:tc>
          <w:tcPr>
            <w:tcW w:w="8240" w:type="dxa"/>
            <w:gridSpan w:val="2"/>
            <w:vMerge/>
            <w:shd w:val="clear" w:color="auto" w:fill="FFFFFF"/>
            <w:vAlign w:val="center"/>
          </w:tcPr>
          <w:p w14:paraId="662CFA83"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vAlign w:val="center"/>
          </w:tcPr>
          <w:p w14:paraId="66935E23"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1D9962CA" w14:textId="77777777" w:rsidTr="00487007">
        <w:tc>
          <w:tcPr>
            <w:tcW w:w="9624" w:type="dxa"/>
            <w:gridSpan w:val="4"/>
            <w:shd w:val="clear" w:color="auto" w:fill="FFFFFF"/>
            <w:vAlign w:val="bottom"/>
          </w:tcPr>
          <w:p w14:paraId="1A0ECBDD"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c>
          <w:tcPr>
            <w:tcW w:w="91" w:type="dxa"/>
            <w:shd w:val="clear" w:color="auto" w:fill="FFFFFF"/>
          </w:tcPr>
          <w:p w14:paraId="44AF8BF7" w14:textId="77777777" w:rsidR="004F5982" w:rsidRPr="00D55512" w:rsidRDefault="004F5982" w:rsidP="00487007">
            <w:pPr>
              <w:spacing w:after="120" w:line="240" w:lineRule="auto"/>
              <w:rPr>
                <w:rFonts w:ascii="Sylfaen" w:hAnsi="Sylfaen"/>
                <w:sz w:val="24"/>
                <w:szCs w:val="24"/>
              </w:rPr>
            </w:pPr>
          </w:p>
        </w:tc>
      </w:tr>
      <w:tr w:rsidR="004F5982" w:rsidRPr="00D55512" w14:paraId="70921B47" w14:textId="77777777" w:rsidTr="00487007">
        <w:tc>
          <w:tcPr>
            <w:tcW w:w="8240" w:type="dxa"/>
            <w:gridSpan w:val="2"/>
            <w:shd w:val="clear" w:color="auto" w:fill="FFFFFF"/>
            <w:vAlign w:val="center"/>
          </w:tcPr>
          <w:p w14:paraId="206FB3FB"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1.4. Ընթացակարգային ասպեկտները</w:t>
            </w:r>
          </w:p>
        </w:tc>
        <w:tc>
          <w:tcPr>
            <w:tcW w:w="1475" w:type="dxa"/>
            <w:gridSpan w:val="3"/>
            <w:shd w:val="clear" w:color="auto" w:fill="FFFFFF"/>
          </w:tcPr>
          <w:p w14:paraId="78585A6E" w14:textId="77777777" w:rsidR="004F5982" w:rsidRPr="00D55512" w:rsidRDefault="004F5982" w:rsidP="00487007">
            <w:pPr>
              <w:spacing w:after="120" w:line="240" w:lineRule="auto"/>
              <w:rPr>
                <w:rFonts w:ascii="Sylfaen" w:hAnsi="Sylfaen"/>
                <w:sz w:val="24"/>
                <w:szCs w:val="24"/>
              </w:rPr>
            </w:pPr>
          </w:p>
        </w:tc>
      </w:tr>
      <w:tr w:rsidR="004F5982" w:rsidRPr="00D55512" w14:paraId="5AB87159" w14:textId="77777777" w:rsidTr="00487007">
        <w:tc>
          <w:tcPr>
            <w:tcW w:w="9715" w:type="dxa"/>
            <w:gridSpan w:val="5"/>
            <w:shd w:val="clear" w:color="auto" w:fill="FFFFFF"/>
            <w:vAlign w:val="bottom"/>
          </w:tcPr>
          <w:p w14:paraId="302D739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Թեստավորման փուլերը, ներառյալ՝ փորձնական փուլը________________________</w:t>
            </w:r>
            <w:r w:rsidRPr="00B363F0">
              <w:rPr>
                <w:rStyle w:val="Bodytext295pt"/>
                <w:rFonts w:ascii="Sylfaen" w:eastAsiaTheme="minorHAnsi" w:hAnsi="Sylfaen"/>
                <w:b w:val="0"/>
                <w:spacing w:val="0"/>
                <w:sz w:val="24"/>
                <w:szCs w:val="24"/>
              </w:rPr>
              <w:t>_</w:t>
            </w:r>
            <w:r w:rsidRPr="00D55512">
              <w:rPr>
                <w:rStyle w:val="Bodytext295pt"/>
                <w:rFonts w:ascii="Sylfaen" w:eastAsiaTheme="minorHAnsi" w:hAnsi="Sylfaen"/>
                <w:b w:val="0"/>
                <w:spacing w:val="0"/>
                <w:sz w:val="24"/>
                <w:szCs w:val="24"/>
              </w:rPr>
              <w:t>__</w:t>
            </w:r>
          </w:p>
        </w:tc>
      </w:tr>
      <w:tr w:rsidR="004F5982" w:rsidRPr="00D55512" w14:paraId="0DBD9E19" w14:textId="77777777" w:rsidTr="00487007">
        <w:tc>
          <w:tcPr>
            <w:tcW w:w="9715" w:type="dxa"/>
            <w:gridSpan w:val="5"/>
            <w:shd w:val="clear" w:color="auto" w:fill="FFFFFF"/>
            <w:vAlign w:val="bottom"/>
          </w:tcPr>
          <w:p w14:paraId="70E14915"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w:t>
            </w:r>
            <w:r w:rsidRPr="00D55512">
              <w:rPr>
                <w:rStyle w:val="Bodytext295pt"/>
                <w:rFonts w:ascii="Sylfaen" w:eastAsiaTheme="minorHAnsi" w:hAnsi="Sylfaen"/>
                <w:b w:val="0"/>
                <w:spacing w:val="0"/>
                <w:sz w:val="24"/>
                <w:szCs w:val="24"/>
                <w:lang w:val="en-US"/>
              </w:rPr>
              <w:t>_</w:t>
            </w:r>
            <w:r w:rsidRPr="00D55512">
              <w:rPr>
                <w:rStyle w:val="Bodytext295pt"/>
                <w:rFonts w:ascii="Sylfaen" w:eastAsiaTheme="minorHAnsi" w:hAnsi="Sylfaen"/>
                <w:b w:val="0"/>
                <w:spacing w:val="0"/>
                <w:sz w:val="24"/>
                <w:szCs w:val="24"/>
              </w:rPr>
              <w:t>_</w:t>
            </w:r>
          </w:p>
        </w:tc>
      </w:tr>
      <w:tr w:rsidR="004F5982" w:rsidRPr="00D55512" w14:paraId="4F80212E" w14:textId="77777777" w:rsidTr="00487007">
        <w:tc>
          <w:tcPr>
            <w:tcW w:w="8240" w:type="dxa"/>
            <w:gridSpan w:val="2"/>
            <w:shd w:val="clear" w:color="auto" w:fill="FFFFFF"/>
            <w:vAlign w:val="center"/>
          </w:tcPr>
          <w:p w14:paraId="3E66D51D"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1.5. Հարցազրույցի ասպեկտները</w:t>
            </w:r>
          </w:p>
        </w:tc>
        <w:tc>
          <w:tcPr>
            <w:tcW w:w="1475" w:type="dxa"/>
            <w:gridSpan w:val="3"/>
            <w:shd w:val="clear" w:color="auto" w:fill="FFFFFF"/>
          </w:tcPr>
          <w:p w14:paraId="0A0A7D93" w14:textId="77777777" w:rsidR="004F5982" w:rsidRPr="00D55512" w:rsidRDefault="004F5982" w:rsidP="00487007">
            <w:pPr>
              <w:spacing w:after="120" w:line="240" w:lineRule="auto"/>
              <w:rPr>
                <w:rFonts w:ascii="Sylfaen" w:hAnsi="Sylfaen"/>
                <w:sz w:val="24"/>
                <w:szCs w:val="24"/>
              </w:rPr>
            </w:pPr>
          </w:p>
        </w:tc>
      </w:tr>
      <w:tr w:rsidR="004F5982" w:rsidRPr="00D55512" w14:paraId="276D6FB3" w14:textId="77777777" w:rsidTr="00487007">
        <w:tc>
          <w:tcPr>
            <w:tcW w:w="8240" w:type="dxa"/>
            <w:gridSpan w:val="2"/>
            <w:shd w:val="clear" w:color="auto" w:fill="FFFFFF"/>
            <w:vAlign w:val="center"/>
          </w:tcPr>
          <w:p w14:paraId="0185C512"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հարցազրույցն անց է կացվել կառուցվածքավորված (կազմակերպված) եղանակով:</w:t>
            </w:r>
          </w:p>
        </w:tc>
        <w:tc>
          <w:tcPr>
            <w:tcW w:w="1475" w:type="dxa"/>
            <w:gridSpan w:val="3"/>
            <w:shd w:val="clear" w:color="auto" w:fill="FFFFFF"/>
            <w:vAlign w:val="bottom"/>
          </w:tcPr>
          <w:p w14:paraId="03E5F179" w14:textId="77777777" w:rsidR="004F5982" w:rsidRPr="00D55512" w:rsidRDefault="004F5982" w:rsidP="00487007">
            <w:pPr>
              <w:spacing w:after="120" w:line="240" w:lineRule="auto"/>
              <w:ind w:left="-10"/>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689C0DD0" w14:textId="77777777" w:rsidTr="00487007">
        <w:tc>
          <w:tcPr>
            <w:tcW w:w="9715" w:type="dxa"/>
            <w:gridSpan w:val="5"/>
            <w:shd w:val="clear" w:color="auto" w:fill="FFFFFF"/>
            <w:vAlign w:val="bottom"/>
          </w:tcPr>
          <w:p w14:paraId="2C62E29B"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p>
        </w:tc>
      </w:tr>
      <w:tr w:rsidR="004F5982" w:rsidRPr="00D55512" w14:paraId="677A12C8" w14:textId="77777777" w:rsidTr="00487007">
        <w:tc>
          <w:tcPr>
            <w:tcW w:w="8240" w:type="dxa"/>
            <w:gridSpan w:val="2"/>
            <w:shd w:val="clear" w:color="auto" w:fill="FFFFFF"/>
            <w:vAlign w:val="center"/>
          </w:tcPr>
          <w:p w14:paraId="45CAE148"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 Պատասխանների գնահատումը</w:t>
            </w:r>
          </w:p>
        </w:tc>
        <w:tc>
          <w:tcPr>
            <w:tcW w:w="1475" w:type="dxa"/>
            <w:gridSpan w:val="3"/>
            <w:shd w:val="clear" w:color="auto" w:fill="FFFFFF"/>
          </w:tcPr>
          <w:p w14:paraId="13315AEE" w14:textId="77777777" w:rsidR="004F5982" w:rsidRPr="00D55512" w:rsidRDefault="004F5982" w:rsidP="00487007">
            <w:pPr>
              <w:spacing w:after="120" w:line="240" w:lineRule="auto"/>
              <w:rPr>
                <w:rFonts w:ascii="Sylfaen" w:hAnsi="Sylfaen"/>
                <w:sz w:val="24"/>
                <w:szCs w:val="24"/>
              </w:rPr>
            </w:pPr>
          </w:p>
        </w:tc>
      </w:tr>
      <w:tr w:rsidR="004F5982" w:rsidRPr="00D55512" w14:paraId="1826F2FF" w14:textId="77777777" w:rsidTr="00487007">
        <w:tc>
          <w:tcPr>
            <w:tcW w:w="8240" w:type="dxa"/>
            <w:gridSpan w:val="2"/>
            <w:shd w:val="clear" w:color="auto" w:fill="FFFFFF"/>
            <w:vAlign w:val="center"/>
          </w:tcPr>
          <w:p w14:paraId="512F76F2"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2.1. Գնահատման համակարգը</w:t>
            </w:r>
          </w:p>
        </w:tc>
        <w:tc>
          <w:tcPr>
            <w:tcW w:w="1475" w:type="dxa"/>
            <w:gridSpan w:val="3"/>
            <w:shd w:val="clear" w:color="auto" w:fill="FFFFFF"/>
          </w:tcPr>
          <w:p w14:paraId="24F2F829" w14:textId="77777777" w:rsidR="004F5982" w:rsidRPr="00D55512" w:rsidRDefault="004F5982" w:rsidP="00487007">
            <w:pPr>
              <w:spacing w:after="120" w:line="240" w:lineRule="auto"/>
              <w:rPr>
                <w:rFonts w:ascii="Sylfaen" w:hAnsi="Sylfaen"/>
                <w:sz w:val="24"/>
                <w:szCs w:val="24"/>
              </w:rPr>
            </w:pPr>
          </w:p>
        </w:tc>
      </w:tr>
      <w:tr w:rsidR="004F5982" w:rsidRPr="00D55512" w14:paraId="0E32372D" w14:textId="77777777" w:rsidTr="00487007">
        <w:trPr>
          <w:trHeight w:val="612"/>
        </w:trPr>
        <w:tc>
          <w:tcPr>
            <w:tcW w:w="8240" w:type="dxa"/>
            <w:gridSpan w:val="2"/>
            <w:vMerge w:val="restart"/>
            <w:shd w:val="clear" w:color="auto" w:fill="FFFFFF"/>
            <w:vAlign w:val="center"/>
          </w:tcPr>
          <w:p w14:paraId="2944D9A9"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որակական գնահատումն ընդունելի է։</w:t>
            </w:r>
          </w:p>
          <w:p w14:paraId="515EE4A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գնահատման մեթոդաբանությունը համապատասխանում է նվազագույն պահանջներին։</w:t>
            </w:r>
          </w:p>
        </w:tc>
        <w:tc>
          <w:tcPr>
            <w:tcW w:w="1475" w:type="dxa"/>
            <w:gridSpan w:val="3"/>
            <w:shd w:val="clear" w:color="auto" w:fill="FFFFFF"/>
          </w:tcPr>
          <w:p w14:paraId="40761C8D"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02F3DA83" w14:textId="77777777" w:rsidTr="00487007">
        <w:trPr>
          <w:trHeight w:val="870"/>
        </w:trPr>
        <w:tc>
          <w:tcPr>
            <w:tcW w:w="8240" w:type="dxa"/>
            <w:gridSpan w:val="2"/>
            <w:vMerge/>
            <w:shd w:val="clear" w:color="auto" w:fill="FFFFFF"/>
            <w:vAlign w:val="center"/>
          </w:tcPr>
          <w:p w14:paraId="377B66AE" w14:textId="77777777" w:rsidR="004F5982" w:rsidRPr="00D55512" w:rsidRDefault="004F5982" w:rsidP="00487007">
            <w:pPr>
              <w:spacing w:after="120" w:line="240" w:lineRule="auto"/>
              <w:rPr>
                <w:rStyle w:val="Bodytext295pt"/>
                <w:rFonts w:ascii="Sylfaen" w:eastAsiaTheme="minorHAnsi" w:hAnsi="Sylfaen"/>
                <w:b w:val="0"/>
                <w:spacing w:val="0"/>
                <w:sz w:val="24"/>
                <w:szCs w:val="24"/>
              </w:rPr>
            </w:pPr>
          </w:p>
        </w:tc>
        <w:tc>
          <w:tcPr>
            <w:tcW w:w="1475" w:type="dxa"/>
            <w:gridSpan w:val="3"/>
            <w:shd w:val="clear" w:color="auto" w:fill="FFFFFF"/>
          </w:tcPr>
          <w:p w14:paraId="141EF6EF" w14:textId="77777777" w:rsidR="004F5982" w:rsidRPr="00D55512" w:rsidRDefault="004F5982" w:rsidP="00487007">
            <w:pPr>
              <w:spacing w:after="120" w:line="240" w:lineRule="auto"/>
              <w:rPr>
                <w:rFonts w:ascii="Sylfaen" w:hAnsi="Sylfaen"/>
                <w:sz w:val="24"/>
                <w:szCs w:val="24"/>
              </w:rPr>
            </w:pPr>
            <w:r w:rsidRPr="00D55512">
              <w:rPr>
                <w:rFonts w:ascii="Sylfaen" w:hAnsi="Sylfaen"/>
                <w:sz w:val="24"/>
                <w:szCs w:val="24"/>
              </w:rPr>
              <w:t>□ այո □ ոչ</w:t>
            </w:r>
          </w:p>
        </w:tc>
      </w:tr>
      <w:tr w:rsidR="004F5982" w:rsidRPr="00D55512" w14:paraId="413C0FB4" w14:textId="77777777" w:rsidTr="00487007">
        <w:tc>
          <w:tcPr>
            <w:tcW w:w="9715" w:type="dxa"/>
            <w:gridSpan w:val="5"/>
            <w:shd w:val="clear" w:color="auto" w:fill="FFFFFF"/>
            <w:vAlign w:val="bottom"/>
          </w:tcPr>
          <w:p w14:paraId="60128318"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w:t>
            </w:r>
            <w:r>
              <w:rPr>
                <w:rStyle w:val="Bodytext295pt"/>
                <w:rFonts w:ascii="Sylfaen" w:eastAsiaTheme="minorHAnsi" w:hAnsi="Sylfaen"/>
                <w:b w:val="0"/>
                <w:spacing w:val="0"/>
                <w:sz w:val="24"/>
                <w:szCs w:val="24"/>
              </w:rPr>
              <w:t>———————————————</w:t>
            </w:r>
          </w:p>
        </w:tc>
      </w:tr>
      <w:tr w:rsidR="004F5982" w:rsidRPr="00D55512" w14:paraId="6590D074" w14:textId="77777777" w:rsidTr="00487007">
        <w:tc>
          <w:tcPr>
            <w:tcW w:w="8240" w:type="dxa"/>
            <w:gridSpan w:val="2"/>
            <w:shd w:val="clear" w:color="auto" w:fill="FFFFFF"/>
          </w:tcPr>
          <w:p w14:paraId="38335105"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2.2. Հարցերի վարկանշային համակարգը</w:t>
            </w:r>
          </w:p>
        </w:tc>
        <w:tc>
          <w:tcPr>
            <w:tcW w:w="1475" w:type="dxa"/>
            <w:gridSpan w:val="3"/>
            <w:shd w:val="clear" w:color="auto" w:fill="FFFFFF"/>
          </w:tcPr>
          <w:p w14:paraId="23B8047C" w14:textId="77777777" w:rsidR="004F5982" w:rsidRPr="00D55512" w:rsidRDefault="004F5982" w:rsidP="00487007">
            <w:pPr>
              <w:spacing w:after="120" w:line="240" w:lineRule="auto"/>
              <w:rPr>
                <w:rFonts w:ascii="Sylfaen" w:hAnsi="Sylfaen"/>
                <w:sz w:val="24"/>
                <w:szCs w:val="24"/>
              </w:rPr>
            </w:pPr>
          </w:p>
        </w:tc>
      </w:tr>
      <w:tr w:rsidR="004F5982" w:rsidRPr="00D55512" w14:paraId="7D06F03A" w14:textId="77777777" w:rsidTr="00487007">
        <w:tc>
          <w:tcPr>
            <w:tcW w:w="8240" w:type="dxa"/>
            <w:gridSpan w:val="2"/>
            <w:shd w:val="clear" w:color="auto" w:fill="FFFFFF"/>
            <w:vAlign w:val="center"/>
          </w:tcPr>
          <w:p w14:paraId="7F99CFF3"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Արդյո՞ք պատասխանների քանակական գնահատումն ընդունելի է:</w:t>
            </w:r>
          </w:p>
        </w:tc>
        <w:tc>
          <w:tcPr>
            <w:tcW w:w="1475" w:type="dxa"/>
            <w:gridSpan w:val="3"/>
            <w:shd w:val="clear" w:color="auto" w:fill="FFFFFF"/>
            <w:vAlign w:val="center"/>
          </w:tcPr>
          <w:p w14:paraId="4ACB870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068D438" w14:textId="77777777" w:rsidTr="00487007">
        <w:tc>
          <w:tcPr>
            <w:tcW w:w="9715" w:type="dxa"/>
            <w:gridSpan w:val="5"/>
            <w:shd w:val="clear" w:color="auto" w:fill="FFFFFF"/>
            <w:vAlign w:val="bottom"/>
          </w:tcPr>
          <w:p w14:paraId="0E3ACA20" w14:textId="77777777" w:rsidR="004F5982" w:rsidRPr="00D55512" w:rsidRDefault="004F5982" w:rsidP="00487007">
            <w:pPr>
              <w:spacing w:after="120" w:line="240"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w:t>
            </w:r>
            <w:r>
              <w:rPr>
                <w:rStyle w:val="Bodytext295pt"/>
                <w:rFonts w:ascii="Sylfaen" w:eastAsiaTheme="minorHAnsi" w:hAnsi="Sylfaen"/>
                <w:b w:val="0"/>
                <w:spacing w:val="0"/>
                <w:sz w:val="24"/>
                <w:szCs w:val="24"/>
                <w:lang w:val="en-US"/>
              </w:rPr>
              <w:t>__</w:t>
            </w:r>
            <w:r w:rsidRPr="00D55512">
              <w:rPr>
                <w:rStyle w:val="Bodytext295pt"/>
                <w:rFonts w:ascii="Sylfaen" w:eastAsiaTheme="minorHAnsi" w:hAnsi="Sylfaen"/>
                <w:b w:val="0"/>
                <w:spacing w:val="0"/>
                <w:sz w:val="24"/>
                <w:szCs w:val="24"/>
              </w:rPr>
              <w:t>_______</w:t>
            </w:r>
          </w:p>
        </w:tc>
      </w:tr>
      <w:tr w:rsidR="004F5982" w:rsidRPr="00D55512" w14:paraId="513E1C9E" w14:textId="77777777" w:rsidTr="00487007">
        <w:tc>
          <w:tcPr>
            <w:tcW w:w="8240" w:type="dxa"/>
            <w:gridSpan w:val="2"/>
            <w:shd w:val="clear" w:color="auto" w:fill="FFFFFF"/>
            <w:vAlign w:val="center"/>
          </w:tcPr>
          <w:p w14:paraId="50A20A5C" w14:textId="77777777" w:rsidR="004F5982" w:rsidRPr="00D55512" w:rsidRDefault="004F5982" w:rsidP="00487007">
            <w:pPr>
              <w:spacing w:after="120" w:line="240"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3. Տվյալների մշակումը</w:t>
            </w:r>
          </w:p>
        </w:tc>
        <w:tc>
          <w:tcPr>
            <w:tcW w:w="1475" w:type="dxa"/>
            <w:gridSpan w:val="3"/>
            <w:shd w:val="clear" w:color="auto" w:fill="FFFFFF"/>
          </w:tcPr>
          <w:p w14:paraId="73745718" w14:textId="77777777" w:rsidR="004F5982" w:rsidRPr="00D55512" w:rsidRDefault="004F5982" w:rsidP="00487007">
            <w:pPr>
              <w:spacing w:after="120" w:line="240" w:lineRule="auto"/>
              <w:rPr>
                <w:rFonts w:ascii="Sylfaen" w:hAnsi="Sylfaen"/>
                <w:sz w:val="24"/>
                <w:szCs w:val="24"/>
              </w:rPr>
            </w:pPr>
          </w:p>
        </w:tc>
      </w:tr>
      <w:tr w:rsidR="004F5982" w:rsidRPr="00D55512" w14:paraId="5EC33026" w14:textId="77777777" w:rsidTr="00487007">
        <w:tc>
          <w:tcPr>
            <w:tcW w:w="8240" w:type="dxa"/>
            <w:gridSpan w:val="2"/>
            <w:shd w:val="clear" w:color="auto" w:fill="FFFFFF"/>
            <w:vAlign w:val="center"/>
          </w:tcPr>
          <w:p w14:paraId="56DCBEA0" w14:textId="77777777" w:rsidR="004F5982" w:rsidRPr="00D55512" w:rsidRDefault="004F5982" w:rsidP="00487007">
            <w:pPr>
              <w:spacing w:after="120" w:line="288" w:lineRule="auto"/>
              <w:ind w:right="591"/>
              <w:rPr>
                <w:rFonts w:ascii="Sylfaen" w:hAnsi="Sylfaen"/>
                <w:sz w:val="24"/>
                <w:szCs w:val="24"/>
              </w:rPr>
            </w:pPr>
            <w:r w:rsidRPr="00D55512">
              <w:rPr>
                <w:rStyle w:val="Bodytext295pt"/>
                <w:rFonts w:ascii="Sylfaen" w:eastAsiaTheme="minorHAnsi" w:hAnsi="Sylfaen"/>
                <w:b w:val="0"/>
                <w:spacing w:val="0"/>
                <w:sz w:val="24"/>
                <w:szCs w:val="24"/>
              </w:rPr>
              <w:lastRenderedPageBreak/>
              <w:t>Արդյո՞ք տվյալները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ով գրանցվում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փաստաթղթավորվում են:</w:t>
            </w:r>
          </w:p>
        </w:tc>
        <w:tc>
          <w:tcPr>
            <w:tcW w:w="1475" w:type="dxa"/>
            <w:gridSpan w:val="3"/>
            <w:shd w:val="clear" w:color="auto" w:fill="FFFFFF"/>
            <w:vAlign w:val="center"/>
          </w:tcPr>
          <w:p w14:paraId="6D89E92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այո □ ոչ</w:t>
            </w:r>
          </w:p>
        </w:tc>
      </w:tr>
      <w:tr w:rsidR="004F5982" w:rsidRPr="00D55512" w14:paraId="0442EE76" w14:textId="77777777" w:rsidTr="00487007">
        <w:tc>
          <w:tcPr>
            <w:tcW w:w="9715" w:type="dxa"/>
            <w:gridSpan w:val="5"/>
            <w:shd w:val="clear" w:color="auto" w:fill="FFFFFF"/>
            <w:vAlign w:val="bottom"/>
          </w:tcPr>
          <w:p w14:paraId="011B02B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w:t>
            </w:r>
            <w:r>
              <w:rPr>
                <w:rStyle w:val="Bodytext295pt"/>
                <w:rFonts w:ascii="Sylfaen" w:eastAsiaTheme="minorHAnsi" w:hAnsi="Sylfaen"/>
                <w:b w:val="0"/>
                <w:spacing w:val="0"/>
                <w:sz w:val="24"/>
                <w:szCs w:val="24"/>
                <w:lang w:val="en-US"/>
              </w:rPr>
              <w:t>___</w:t>
            </w:r>
            <w:r w:rsidRPr="00D55512">
              <w:rPr>
                <w:rStyle w:val="Bodytext295pt"/>
                <w:rFonts w:ascii="Sylfaen" w:eastAsiaTheme="minorHAnsi" w:hAnsi="Sylfaen"/>
                <w:b w:val="0"/>
                <w:spacing w:val="0"/>
                <w:sz w:val="24"/>
                <w:szCs w:val="24"/>
              </w:rPr>
              <w:t>_____</w:t>
            </w:r>
          </w:p>
        </w:tc>
      </w:tr>
      <w:tr w:rsidR="004F5982" w:rsidRPr="00D55512" w14:paraId="12834641" w14:textId="77777777" w:rsidTr="00487007">
        <w:tc>
          <w:tcPr>
            <w:tcW w:w="8240" w:type="dxa"/>
            <w:gridSpan w:val="2"/>
            <w:shd w:val="clear" w:color="auto" w:fill="FFFFFF"/>
            <w:vAlign w:val="center"/>
          </w:tcPr>
          <w:p w14:paraId="16C2D427"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 Որակի ասպեկտները</w:t>
            </w:r>
          </w:p>
        </w:tc>
        <w:tc>
          <w:tcPr>
            <w:tcW w:w="1475" w:type="dxa"/>
            <w:gridSpan w:val="3"/>
            <w:shd w:val="clear" w:color="auto" w:fill="FFFFFF"/>
          </w:tcPr>
          <w:p w14:paraId="4B518C61" w14:textId="77777777" w:rsidR="004F5982" w:rsidRPr="00D55512" w:rsidRDefault="004F5982" w:rsidP="00487007">
            <w:pPr>
              <w:spacing w:after="120" w:line="288" w:lineRule="auto"/>
              <w:rPr>
                <w:rFonts w:ascii="Sylfaen" w:hAnsi="Sylfaen"/>
                <w:sz w:val="24"/>
                <w:szCs w:val="24"/>
              </w:rPr>
            </w:pPr>
          </w:p>
        </w:tc>
      </w:tr>
      <w:tr w:rsidR="004F5982" w:rsidRPr="00D55512" w14:paraId="60DDB0E0" w14:textId="77777777" w:rsidTr="00487007">
        <w:tc>
          <w:tcPr>
            <w:tcW w:w="8240" w:type="dxa"/>
            <w:gridSpan w:val="2"/>
            <w:shd w:val="clear" w:color="auto" w:fill="FFFFFF"/>
            <w:vAlign w:val="center"/>
          </w:tcPr>
          <w:p w14:paraId="512AEF93"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4.1. Ախտորոշման հարցերի գնահատումը</w:t>
            </w:r>
          </w:p>
        </w:tc>
        <w:tc>
          <w:tcPr>
            <w:tcW w:w="1475" w:type="dxa"/>
            <w:gridSpan w:val="3"/>
            <w:shd w:val="clear" w:color="auto" w:fill="FFFFFF"/>
          </w:tcPr>
          <w:p w14:paraId="7735AA93" w14:textId="77777777" w:rsidR="004F5982" w:rsidRPr="00D55512" w:rsidRDefault="004F5982" w:rsidP="00487007">
            <w:pPr>
              <w:spacing w:after="120" w:line="288" w:lineRule="auto"/>
              <w:rPr>
                <w:rFonts w:ascii="Sylfaen" w:hAnsi="Sylfaen"/>
                <w:sz w:val="24"/>
                <w:szCs w:val="24"/>
              </w:rPr>
            </w:pPr>
          </w:p>
        </w:tc>
      </w:tr>
      <w:tr w:rsidR="004F5982" w:rsidRPr="00D55512" w14:paraId="1A0A73AC" w14:textId="77777777" w:rsidTr="00487007">
        <w:tc>
          <w:tcPr>
            <w:tcW w:w="8240" w:type="dxa"/>
            <w:gridSpan w:val="2"/>
            <w:shd w:val="clear" w:color="auto" w:fill="FFFFFF"/>
            <w:vAlign w:val="center"/>
          </w:tcPr>
          <w:p w14:paraId="33D77BBC"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մեթոդաբանությունը համապատասխանում է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 թերթիկի) հավելվածին:</w:t>
            </w:r>
          </w:p>
          <w:p w14:paraId="6CB2A68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Ընդհանուր առմամբ, արդյո՞ք յուրաքանչյուր հարց համապատասխանում է ճիշտ պատասխանների 81% չափորոշչին:</w:t>
            </w:r>
            <w:r w:rsidRPr="00D55512">
              <w:rPr>
                <w:rFonts w:ascii="Sylfaen" w:hAnsi="Sylfaen"/>
                <w:sz w:val="24"/>
                <w:szCs w:val="24"/>
              </w:rPr>
              <w:t xml:space="preserve"> </w:t>
            </w:r>
          </w:p>
        </w:tc>
        <w:tc>
          <w:tcPr>
            <w:tcW w:w="1475" w:type="dxa"/>
            <w:gridSpan w:val="3"/>
            <w:shd w:val="clear" w:color="auto" w:fill="FFFFFF"/>
            <w:vAlign w:val="bottom"/>
          </w:tcPr>
          <w:p w14:paraId="1CAB4A9C" w14:textId="77777777" w:rsidR="004F5982" w:rsidRPr="00D55512" w:rsidRDefault="004F5982" w:rsidP="00487007">
            <w:pPr>
              <w:spacing w:after="120" w:line="288" w:lineRule="auto"/>
              <w:ind w:left="-327"/>
              <w:jc w:val="center"/>
              <w:rPr>
                <w:rFonts w:ascii="Sylfaen" w:hAnsi="Sylfaen"/>
                <w:sz w:val="24"/>
                <w:szCs w:val="24"/>
              </w:rPr>
            </w:pPr>
            <w:r w:rsidRPr="00D55512">
              <w:rPr>
                <w:rFonts w:ascii="Sylfaen" w:hAnsi="Sylfaen"/>
                <w:sz w:val="24"/>
                <w:szCs w:val="24"/>
              </w:rPr>
              <w:t>□ այո □ ոչ</w:t>
            </w:r>
          </w:p>
          <w:p w14:paraId="7259F3BF" w14:textId="77777777" w:rsidR="004F5982" w:rsidRDefault="004F5982" w:rsidP="00487007">
            <w:pPr>
              <w:spacing w:after="120" w:line="288" w:lineRule="auto"/>
              <w:ind w:left="-327"/>
              <w:jc w:val="center"/>
              <w:rPr>
                <w:rFonts w:ascii="Sylfaen" w:hAnsi="Sylfaen"/>
                <w:sz w:val="24"/>
                <w:szCs w:val="24"/>
                <w:lang w:val="en-US"/>
              </w:rPr>
            </w:pPr>
          </w:p>
          <w:p w14:paraId="7FE8E59D" w14:textId="77777777" w:rsidR="004F5982" w:rsidRDefault="004F5982" w:rsidP="00487007">
            <w:pPr>
              <w:spacing w:after="120" w:line="288" w:lineRule="auto"/>
              <w:ind w:left="-327"/>
              <w:jc w:val="center"/>
              <w:rPr>
                <w:rFonts w:ascii="Sylfaen" w:hAnsi="Sylfaen"/>
                <w:sz w:val="24"/>
                <w:szCs w:val="24"/>
                <w:lang w:val="en-US"/>
              </w:rPr>
            </w:pPr>
          </w:p>
          <w:p w14:paraId="24BDA25C" w14:textId="77777777" w:rsidR="004F5982" w:rsidRPr="00B363F0" w:rsidRDefault="004F5982" w:rsidP="00487007">
            <w:pPr>
              <w:spacing w:after="120" w:line="288" w:lineRule="auto"/>
              <w:ind w:left="-327"/>
              <w:jc w:val="center"/>
              <w:rPr>
                <w:rFonts w:ascii="Sylfaen" w:hAnsi="Sylfaen"/>
                <w:sz w:val="24"/>
                <w:szCs w:val="24"/>
                <w:lang w:val="en-US"/>
              </w:rPr>
            </w:pPr>
            <w:r w:rsidRPr="00B363F0">
              <w:rPr>
                <w:rFonts w:ascii="Sylfaen" w:hAnsi="Sylfaen"/>
                <w:sz w:val="24"/>
                <w:szCs w:val="24"/>
              </w:rPr>
              <w:t>□ այո □ ոչ</w:t>
            </w:r>
          </w:p>
        </w:tc>
      </w:tr>
      <w:tr w:rsidR="004F5982" w:rsidRPr="00D55512" w14:paraId="27536B7A" w14:textId="77777777" w:rsidTr="00487007">
        <w:tc>
          <w:tcPr>
            <w:tcW w:w="9715" w:type="dxa"/>
            <w:gridSpan w:val="5"/>
            <w:shd w:val="clear" w:color="auto" w:fill="FFFFFF"/>
            <w:vAlign w:val="bottom"/>
          </w:tcPr>
          <w:p w14:paraId="1E04559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տեղեկատվություն)____________________________</w:t>
            </w:r>
          </w:p>
        </w:tc>
      </w:tr>
      <w:tr w:rsidR="004F5982" w:rsidRPr="00D55512" w14:paraId="5CBED82A" w14:textId="77777777" w:rsidTr="00487007">
        <w:tc>
          <w:tcPr>
            <w:tcW w:w="9715" w:type="dxa"/>
            <w:gridSpan w:val="5"/>
            <w:shd w:val="clear" w:color="auto" w:fill="FFFFFF"/>
            <w:vAlign w:val="center"/>
          </w:tcPr>
          <w:p w14:paraId="464EEBF4" w14:textId="77777777" w:rsidR="004F5982" w:rsidRPr="00D55512" w:rsidRDefault="004F5982" w:rsidP="00487007">
            <w:pPr>
              <w:spacing w:after="120" w:line="288" w:lineRule="auto"/>
              <w:ind w:left="542" w:right="676"/>
              <w:jc w:val="center"/>
              <w:rPr>
                <w:rFonts w:ascii="Sylfaen" w:hAnsi="Sylfaen"/>
                <w:sz w:val="24"/>
                <w:szCs w:val="24"/>
              </w:rPr>
            </w:pPr>
            <w:r w:rsidRPr="00D55512">
              <w:rPr>
                <w:rStyle w:val="Bodytext295pt"/>
                <w:rFonts w:ascii="Sylfaen" w:eastAsiaTheme="minorHAnsi" w:hAnsi="Sylfaen"/>
                <w:b w:val="0"/>
                <w:spacing w:val="0"/>
                <w:sz w:val="24"/>
                <w:szCs w:val="24"/>
              </w:rPr>
              <w:t xml:space="preserve">4.2. Մանրակերտի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բովանդակային պլանի գնահատումը</w:t>
            </w:r>
          </w:p>
        </w:tc>
      </w:tr>
      <w:tr w:rsidR="004F5982" w:rsidRPr="00D55512" w14:paraId="48FFB4CE" w14:textId="77777777" w:rsidTr="00487007">
        <w:tc>
          <w:tcPr>
            <w:tcW w:w="8240" w:type="dxa"/>
            <w:gridSpan w:val="2"/>
            <w:shd w:val="clear" w:color="auto" w:fill="FFFFFF"/>
            <w:vAlign w:val="center"/>
          </w:tcPr>
          <w:p w14:paraId="2077AC03"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պահպանվել են Եվրասիական տնտեսական հանձնաժողովի կողմից հաստատվող բժշկական կիրառման դեղապատրաստուկի ընդհանուր բնութագրին </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 xml:space="preserve"> բժշկական կիրառման հրահանգի (ներդիր</w:t>
            </w:r>
            <w:r w:rsidRPr="00B363F0">
              <w:rPr>
                <w:rStyle w:val="Bodytext295pt"/>
                <w:rFonts w:ascii="Sylfaen" w:eastAsiaTheme="minorHAnsi" w:hAnsi="Sylfaen"/>
                <w:b w:val="0"/>
                <w:spacing w:val="0"/>
                <w:sz w:val="24"/>
                <w:szCs w:val="24"/>
              </w:rPr>
              <w:t> </w:t>
            </w:r>
            <w:r w:rsidRPr="00D55512">
              <w:rPr>
                <w:rStyle w:val="Bodytext295pt"/>
                <w:rFonts w:ascii="Sylfaen" w:eastAsiaTheme="minorHAnsi" w:hAnsi="Sylfaen"/>
                <w:b w:val="0"/>
                <w:spacing w:val="0"/>
                <w:sz w:val="24"/>
                <w:szCs w:val="24"/>
              </w:rPr>
              <w:t>թերթիկին) հավելվածի համաձայն ներկայացված բովանդակային պլանի ընդհանուր սկզբունքները:</w:t>
            </w:r>
          </w:p>
          <w:p w14:paraId="2A0EA005"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տեքստը շարադրված է պացիենտներին հասկանալի լեզվով։</w:t>
            </w:r>
          </w:p>
          <w:p w14:paraId="0E1DAAC0"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հեշտ է կողմնորոշվել մանրակերտի միջոցով։</w:t>
            </w:r>
          </w:p>
          <w:p w14:paraId="232C2D7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ընդունելի է սխեմաների կիրառումը։</w:t>
            </w:r>
          </w:p>
        </w:tc>
        <w:tc>
          <w:tcPr>
            <w:tcW w:w="1475" w:type="dxa"/>
            <w:gridSpan w:val="3"/>
            <w:shd w:val="clear" w:color="auto" w:fill="FFFFFF"/>
            <w:vAlign w:val="bottom"/>
          </w:tcPr>
          <w:p w14:paraId="70D80989"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AF2C388"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3E440E80"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53ED1306"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5D347CAE" w14:textId="77777777" w:rsidTr="00487007">
        <w:tc>
          <w:tcPr>
            <w:tcW w:w="9715" w:type="dxa"/>
            <w:gridSpan w:val="5"/>
            <w:shd w:val="clear" w:color="auto" w:fill="FFFFFF"/>
            <w:vAlign w:val="bottom"/>
          </w:tcPr>
          <w:p w14:paraId="14C824B2"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w:t>
            </w:r>
          </w:p>
        </w:tc>
      </w:tr>
      <w:tr w:rsidR="004F5982" w:rsidRPr="00D55512" w14:paraId="0497576C" w14:textId="77777777" w:rsidTr="00487007">
        <w:tc>
          <w:tcPr>
            <w:tcW w:w="8240" w:type="dxa"/>
            <w:gridSpan w:val="2"/>
            <w:shd w:val="clear" w:color="auto" w:fill="FFFFFF"/>
          </w:tcPr>
          <w:p w14:paraId="41A00C02"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5. Ախտորոշման/գնահատման որակը</w:t>
            </w:r>
          </w:p>
        </w:tc>
        <w:tc>
          <w:tcPr>
            <w:tcW w:w="1475" w:type="dxa"/>
            <w:gridSpan w:val="3"/>
            <w:shd w:val="clear" w:color="auto" w:fill="FFFFFF"/>
          </w:tcPr>
          <w:p w14:paraId="33F978AD" w14:textId="77777777" w:rsidR="004F5982" w:rsidRPr="00D55512" w:rsidRDefault="004F5982" w:rsidP="00487007">
            <w:pPr>
              <w:spacing w:after="120" w:line="288" w:lineRule="auto"/>
              <w:rPr>
                <w:rFonts w:ascii="Sylfaen" w:hAnsi="Sylfaen"/>
                <w:sz w:val="24"/>
                <w:szCs w:val="24"/>
              </w:rPr>
            </w:pPr>
          </w:p>
        </w:tc>
      </w:tr>
      <w:tr w:rsidR="004F5982" w:rsidRPr="00D55512" w14:paraId="63EB63E3" w14:textId="77777777" w:rsidTr="00487007">
        <w:tc>
          <w:tcPr>
            <w:tcW w:w="8240" w:type="dxa"/>
            <w:gridSpan w:val="2"/>
            <w:shd w:val="clear" w:color="auto" w:fill="FFFFFF"/>
            <w:vAlign w:val="center"/>
          </w:tcPr>
          <w:p w14:paraId="3D018428" w14:textId="4990565F" w:rsidR="004F5982" w:rsidRPr="00D55512" w:rsidRDefault="004F5982" w:rsidP="00487007">
            <w:pPr>
              <w:spacing w:after="120" w:line="288" w:lineRule="auto"/>
              <w:rPr>
                <w:rStyle w:val="Bodytext295pt"/>
                <w:rFonts w:ascii="Sylfaen" w:eastAsiaTheme="minorHAnsi" w:hAnsi="Sylfaen"/>
                <w:b w:val="0"/>
                <w:spacing w:val="0"/>
                <w:sz w:val="24"/>
                <w:szCs w:val="24"/>
              </w:rPr>
            </w:pPr>
            <w:r w:rsidRPr="00D55512">
              <w:rPr>
                <w:rStyle w:val="Bodytext295pt"/>
                <w:rFonts w:ascii="Sylfaen" w:eastAsiaTheme="minorHAnsi" w:hAnsi="Sylfaen"/>
                <w:b w:val="0"/>
                <w:spacing w:val="0"/>
                <w:sz w:val="24"/>
                <w:szCs w:val="24"/>
              </w:rPr>
              <w:t xml:space="preserve">Արդյո՞ք դեղանյութում </w:t>
            </w:r>
            <w:r w:rsidR="00FE4A71">
              <w:rPr>
                <w:rStyle w:val="Bodytext295pt"/>
                <w:rFonts w:ascii="Sylfaen" w:eastAsiaTheme="minorHAnsi" w:hAnsi="Sylfaen"/>
                <w:b w:val="0"/>
                <w:spacing w:val="0"/>
                <w:sz w:val="24"/>
                <w:szCs w:val="24"/>
              </w:rPr>
              <w:t xml:space="preserve">հայտնաբերվել </w:t>
            </w:r>
            <w:r w:rsidRPr="00D55512">
              <w:rPr>
                <w:rStyle w:val="Bodytext295pt"/>
                <w:rFonts w:ascii="Sylfaen" w:eastAsiaTheme="minorHAnsi" w:hAnsi="Sylfaen"/>
                <w:b w:val="0"/>
                <w:spacing w:val="0"/>
                <w:sz w:val="24"/>
                <w:szCs w:val="24"/>
              </w:rPr>
              <w:t xml:space="preserve"> են որ</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է թույլ կողմեր:</w:t>
            </w:r>
          </w:p>
          <w:p w14:paraId="7E37B5AA"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թույլ կողմերը պատշաճ ձ</w:t>
            </w:r>
            <w:r w:rsidR="00C54D75">
              <w:rPr>
                <w:rStyle w:val="Bodytext295pt"/>
                <w:rFonts w:ascii="Sylfaen" w:eastAsiaTheme="minorHAnsi" w:hAnsi="Sylfaen"/>
                <w:b w:val="0"/>
                <w:spacing w:val="0"/>
                <w:sz w:val="24"/>
                <w:szCs w:val="24"/>
              </w:rPr>
              <w:t>և</w:t>
            </w:r>
            <w:r w:rsidRPr="00D55512">
              <w:rPr>
                <w:rStyle w:val="Bodytext295pt"/>
                <w:rFonts w:ascii="Sylfaen" w:eastAsiaTheme="minorHAnsi" w:hAnsi="Sylfaen"/>
                <w:b w:val="0"/>
                <w:spacing w:val="0"/>
                <w:sz w:val="24"/>
                <w:szCs w:val="24"/>
              </w:rPr>
              <w:t>ով վերացվել են:</w:t>
            </w:r>
          </w:p>
        </w:tc>
        <w:tc>
          <w:tcPr>
            <w:tcW w:w="1475" w:type="dxa"/>
            <w:gridSpan w:val="3"/>
            <w:shd w:val="clear" w:color="auto" w:fill="FFFFFF"/>
            <w:vAlign w:val="center"/>
          </w:tcPr>
          <w:p w14:paraId="3A41315F"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720FD1AA"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tc>
      </w:tr>
      <w:tr w:rsidR="004F5982" w:rsidRPr="00D55512" w14:paraId="0AF4CC40" w14:textId="77777777" w:rsidTr="00487007">
        <w:tc>
          <w:tcPr>
            <w:tcW w:w="9715" w:type="dxa"/>
            <w:gridSpan w:val="5"/>
            <w:shd w:val="clear" w:color="auto" w:fill="FFFFFF"/>
            <w:vAlign w:val="bottom"/>
          </w:tcPr>
          <w:p w14:paraId="5863E27D" w14:textId="77777777" w:rsidR="004F5982" w:rsidRPr="00D55512" w:rsidRDefault="004F5982" w:rsidP="00487007">
            <w:pPr>
              <w:spacing w:after="120" w:line="288" w:lineRule="auto"/>
              <w:rPr>
                <w:rFonts w:ascii="Sylfaen" w:hAnsi="Sylfaen"/>
                <w:sz w:val="24"/>
                <w:szCs w:val="24"/>
                <w:lang w:val="en-US"/>
              </w:rPr>
            </w:pPr>
            <w:r w:rsidRPr="00D55512">
              <w:rPr>
                <w:rStyle w:val="Bodytext295pt"/>
                <w:rFonts w:ascii="Sylfaen" w:eastAsiaTheme="minorHAnsi" w:hAnsi="Sylfaen"/>
                <w:b w:val="0"/>
                <w:spacing w:val="0"/>
                <w:sz w:val="24"/>
                <w:szCs w:val="24"/>
              </w:rPr>
              <w:t>Մեկնաբանություններ (լրացուցիչ տեղեկատվություն) _______________________________</w:t>
            </w:r>
          </w:p>
        </w:tc>
      </w:tr>
      <w:tr w:rsidR="004F5982" w:rsidRPr="00D55512" w14:paraId="23FBE653" w14:textId="77777777" w:rsidTr="00487007">
        <w:tc>
          <w:tcPr>
            <w:tcW w:w="7909" w:type="dxa"/>
            <w:shd w:val="clear" w:color="auto" w:fill="FFFFFF"/>
            <w:vAlign w:val="center"/>
          </w:tcPr>
          <w:p w14:paraId="6C4C69DF" w14:textId="77777777" w:rsidR="004F5982" w:rsidRPr="00D55512" w:rsidRDefault="004F5982" w:rsidP="00487007">
            <w:pPr>
              <w:spacing w:after="120" w:line="288" w:lineRule="auto"/>
              <w:ind w:left="542" w:right="-827"/>
              <w:jc w:val="center"/>
              <w:rPr>
                <w:rFonts w:ascii="Sylfaen" w:hAnsi="Sylfaen"/>
                <w:sz w:val="24"/>
                <w:szCs w:val="24"/>
              </w:rPr>
            </w:pPr>
            <w:r w:rsidRPr="00D55512">
              <w:rPr>
                <w:rStyle w:val="Bodytext295pt"/>
                <w:rFonts w:ascii="Sylfaen" w:eastAsiaTheme="minorHAnsi" w:hAnsi="Sylfaen"/>
                <w:b w:val="0"/>
                <w:spacing w:val="0"/>
                <w:sz w:val="24"/>
                <w:szCs w:val="24"/>
              </w:rPr>
              <w:t>6. Եզրակացությունը</w:t>
            </w:r>
          </w:p>
        </w:tc>
        <w:tc>
          <w:tcPr>
            <w:tcW w:w="1806" w:type="dxa"/>
            <w:gridSpan w:val="4"/>
            <w:tcBorders>
              <w:top w:val="single" w:sz="4" w:space="0" w:color="auto"/>
            </w:tcBorders>
            <w:shd w:val="clear" w:color="auto" w:fill="FFFFFF"/>
          </w:tcPr>
          <w:p w14:paraId="4A8679CF" w14:textId="77777777" w:rsidR="004F5982" w:rsidRPr="00D55512" w:rsidRDefault="004F5982" w:rsidP="00487007">
            <w:pPr>
              <w:spacing w:after="120" w:line="288" w:lineRule="auto"/>
              <w:rPr>
                <w:rFonts w:ascii="Sylfaen" w:hAnsi="Sylfaen"/>
                <w:sz w:val="24"/>
                <w:szCs w:val="24"/>
              </w:rPr>
            </w:pPr>
          </w:p>
        </w:tc>
      </w:tr>
      <w:tr w:rsidR="004F5982" w:rsidRPr="00D55512" w14:paraId="75359ADE" w14:textId="77777777" w:rsidTr="00487007">
        <w:trPr>
          <w:trHeight w:val="80"/>
        </w:trPr>
        <w:tc>
          <w:tcPr>
            <w:tcW w:w="7909" w:type="dxa"/>
            <w:shd w:val="clear" w:color="auto" w:fill="FFFFFF"/>
          </w:tcPr>
          <w:p w14:paraId="11BFB5C1"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Արդյո՞ք լուծվել են օգտատերերի թեստավորման գլխավոր խնդիրները։</w:t>
            </w:r>
          </w:p>
          <w:p w14:paraId="02AC580D" w14:textId="6B3E44B8"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 xml:space="preserve">Արդյո՞ք </w:t>
            </w:r>
            <w:r w:rsidR="0056496B">
              <w:rPr>
                <w:rStyle w:val="Bodytext295pt"/>
                <w:rFonts w:ascii="Sylfaen" w:eastAsiaTheme="minorHAnsi" w:hAnsi="Sylfaen"/>
                <w:b w:val="0"/>
                <w:spacing w:val="0"/>
                <w:sz w:val="24"/>
                <w:szCs w:val="24"/>
              </w:rPr>
              <w:t>դիմումատու</w:t>
            </w:r>
            <w:r w:rsidRPr="00D55512">
              <w:rPr>
                <w:rStyle w:val="Bodytext295pt"/>
                <w:rFonts w:ascii="Sylfaen" w:eastAsiaTheme="minorHAnsi" w:hAnsi="Sylfaen"/>
                <w:b w:val="0"/>
                <w:spacing w:val="0"/>
                <w:sz w:val="24"/>
                <w:szCs w:val="24"/>
              </w:rPr>
              <w:t>ի եզրակացությունը ճիշտ է։</w:t>
            </w:r>
          </w:p>
          <w:p w14:paraId="28BAA146" w14:textId="77777777" w:rsidR="004F5982" w:rsidRPr="00D55512" w:rsidRDefault="004F5982" w:rsidP="00487007">
            <w:pPr>
              <w:spacing w:after="120" w:line="288" w:lineRule="auto"/>
              <w:rPr>
                <w:rFonts w:ascii="Sylfaen" w:hAnsi="Sylfaen"/>
                <w:sz w:val="24"/>
                <w:szCs w:val="24"/>
              </w:rPr>
            </w:pPr>
            <w:r w:rsidRPr="00D55512">
              <w:rPr>
                <w:rStyle w:val="Bodytext295pt"/>
                <w:rFonts w:ascii="Sylfaen" w:eastAsiaTheme="minorHAnsi" w:hAnsi="Sylfaen"/>
                <w:b w:val="0"/>
                <w:spacing w:val="0"/>
                <w:sz w:val="24"/>
                <w:szCs w:val="24"/>
              </w:rPr>
              <w:t>Մեթոդաբանության ընդհանուր գնահատականը</w:t>
            </w:r>
          </w:p>
          <w:p w14:paraId="1AC9B6E7" w14:textId="77777777" w:rsidR="004F5982" w:rsidRPr="001436BD" w:rsidRDefault="004F5982" w:rsidP="00487007">
            <w:pPr>
              <w:spacing w:after="120" w:line="288" w:lineRule="auto"/>
              <w:rPr>
                <w:rStyle w:val="Bodytext295pt"/>
                <w:rFonts w:ascii="Sylfaen" w:eastAsiaTheme="minorHAnsi" w:hAnsi="Sylfaen"/>
                <w:b w:val="0"/>
                <w:spacing w:val="0"/>
                <w:sz w:val="24"/>
                <w:szCs w:val="24"/>
              </w:rPr>
            </w:pPr>
          </w:p>
          <w:p w14:paraId="477A7670" w14:textId="77777777" w:rsidR="004F5982" w:rsidRPr="001436BD" w:rsidRDefault="004F5982" w:rsidP="00487007">
            <w:pPr>
              <w:spacing w:after="120" w:line="288" w:lineRule="auto"/>
              <w:rPr>
                <w:rFonts w:ascii="Sylfaen" w:hAnsi="Sylfaen" w:cs="Times New Roman"/>
                <w:bCs/>
                <w:color w:val="000000"/>
                <w:sz w:val="24"/>
                <w:szCs w:val="24"/>
              </w:rPr>
            </w:pPr>
            <w:r w:rsidRPr="00D55512">
              <w:rPr>
                <w:rStyle w:val="Bodytext295pt"/>
                <w:rFonts w:ascii="Sylfaen" w:eastAsiaTheme="minorHAnsi" w:hAnsi="Sylfaen"/>
                <w:b w:val="0"/>
                <w:spacing w:val="0"/>
                <w:sz w:val="24"/>
                <w:szCs w:val="24"/>
              </w:rPr>
              <w:t>Ներդիր-թերթիկի կառուցվածքի ընդհանուր գնահատականը</w:t>
            </w:r>
          </w:p>
        </w:tc>
        <w:tc>
          <w:tcPr>
            <w:tcW w:w="1806" w:type="dxa"/>
            <w:gridSpan w:val="4"/>
            <w:shd w:val="clear" w:color="auto" w:fill="FFFFFF"/>
            <w:vAlign w:val="bottom"/>
          </w:tcPr>
          <w:p w14:paraId="401E7B3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lastRenderedPageBreak/>
              <w:t>□ այո □ ոչ</w:t>
            </w:r>
          </w:p>
          <w:p w14:paraId="6C6975E5"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այո □ ոչ</w:t>
            </w:r>
          </w:p>
          <w:p w14:paraId="24DCC3A3" w14:textId="77777777" w:rsidR="004F5982" w:rsidRPr="00D55512" w:rsidRDefault="004F5982" w:rsidP="00487007">
            <w:pPr>
              <w:spacing w:after="120" w:line="288" w:lineRule="auto"/>
              <w:rPr>
                <w:rFonts w:ascii="Sylfaen" w:hAnsi="Sylfaen"/>
                <w:sz w:val="24"/>
                <w:szCs w:val="24"/>
              </w:rPr>
            </w:pPr>
            <w:r w:rsidRPr="00D55512">
              <w:rPr>
                <w:rFonts w:ascii="Sylfaen" w:hAnsi="Sylfaen"/>
                <w:sz w:val="24"/>
                <w:szCs w:val="24"/>
              </w:rPr>
              <w:t xml:space="preserve">□ </w:t>
            </w:r>
            <w:r w:rsidRPr="00D55512">
              <w:rPr>
                <w:rStyle w:val="Bodytext295pt"/>
                <w:rFonts w:ascii="Sylfaen" w:eastAsiaTheme="minorHAnsi" w:hAnsi="Sylfaen"/>
                <w:b w:val="0"/>
                <w:spacing w:val="0"/>
                <w:sz w:val="24"/>
                <w:szCs w:val="24"/>
              </w:rPr>
              <w:t>դրական</w:t>
            </w:r>
          </w:p>
          <w:p w14:paraId="4449F7FE" w14:textId="77777777" w:rsidR="004F5982" w:rsidRPr="0026017F" w:rsidRDefault="004F5982" w:rsidP="00487007">
            <w:pPr>
              <w:spacing w:after="120" w:line="288" w:lineRule="auto"/>
              <w:rPr>
                <w:rFonts w:ascii="Sylfaen" w:hAnsi="Sylfaen"/>
                <w:sz w:val="24"/>
                <w:szCs w:val="24"/>
              </w:rPr>
            </w:pPr>
            <w:r w:rsidRPr="0026017F">
              <w:rPr>
                <w:rFonts w:ascii="Sylfaen" w:hAnsi="Sylfaen"/>
                <w:sz w:val="24"/>
                <w:szCs w:val="24"/>
              </w:rPr>
              <w:lastRenderedPageBreak/>
              <w:t xml:space="preserve">□ </w:t>
            </w:r>
            <w:r w:rsidRPr="0026017F">
              <w:rPr>
                <w:rStyle w:val="Bodytext295pt"/>
                <w:rFonts w:ascii="Sylfaen" w:eastAsiaTheme="minorHAnsi" w:hAnsi="Sylfaen"/>
                <w:b w:val="0"/>
                <w:spacing w:val="0"/>
                <w:sz w:val="24"/>
                <w:szCs w:val="24"/>
              </w:rPr>
              <w:t>բացասական</w:t>
            </w:r>
          </w:p>
          <w:p w14:paraId="64BB9274" w14:textId="77777777" w:rsidR="004F5982" w:rsidRPr="0026017F" w:rsidRDefault="004F5982" w:rsidP="00487007">
            <w:pPr>
              <w:spacing w:after="120" w:line="288" w:lineRule="auto"/>
              <w:ind w:right="14"/>
              <w:rPr>
                <w:rFonts w:ascii="Sylfaen" w:hAnsi="Sylfaen"/>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դրական</w:t>
            </w:r>
          </w:p>
          <w:p w14:paraId="0AEE5B6A" w14:textId="77777777" w:rsidR="004F5982" w:rsidRPr="0026017F" w:rsidRDefault="004F5982" w:rsidP="00487007">
            <w:pPr>
              <w:spacing w:after="120" w:line="288" w:lineRule="auto"/>
              <w:ind w:right="14"/>
              <w:rPr>
                <w:rFonts w:ascii="Sylfaen" w:hAnsi="Sylfaen"/>
                <w:spacing w:val="-20"/>
                <w:sz w:val="24"/>
                <w:szCs w:val="24"/>
              </w:rPr>
            </w:pPr>
            <w:r w:rsidRPr="0026017F">
              <w:rPr>
                <w:rFonts w:ascii="Sylfaen" w:hAnsi="Sylfaen"/>
                <w:sz w:val="24"/>
                <w:szCs w:val="24"/>
              </w:rPr>
              <w:t xml:space="preserve">□ </w:t>
            </w:r>
            <w:r w:rsidRPr="0026017F">
              <w:rPr>
                <w:rStyle w:val="Bodytext295pt"/>
                <w:rFonts w:ascii="Sylfaen" w:eastAsiaTheme="minorHAnsi" w:hAnsi="Sylfaen"/>
                <w:b w:val="0"/>
                <w:spacing w:val="0"/>
                <w:sz w:val="24"/>
                <w:szCs w:val="24"/>
              </w:rPr>
              <w:t>բացասական</w:t>
            </w:r>
          </w:p>
        </w:tc>
      </w:tr>
    </w:tbl>
    <w:p w14:paraId="24831AAE" w14:textId="77777777" w:rsidR="004F5982" w:rsidRDefault="004F5982" w:rsidP="00487007">
      <w:pPr>
        <w:pStyle w:val="Tablecaption20"/>
        <w:shd w:val="clear" w:color="auto" w:fill="auto"/>
        <w:spacing w:after="120" w:line="288" w:lineRule="auto"/>
        <w:ind w:left="567" w:right="565"/>
        <w:jc w:val="center"/>
        <w:rPr>
          <w:rFonts w:ascii="Sylfaen" w:hAnsi="Sylfaen"/>
          <w:b w:val="0"/>
          <w:color w:val="000000"/>
          <w:sz w:val="24"/>
          <w:szCs w:val="24"/>
        </w:rPr>
      </w:pPr>
      <w:r w:rsidRPr="00D55512">
        <w:rPr>
          <w:rFonts w:ascii="Sylfaen" w:hAnsi="Sylfaen"/>
          <w:b w:val="0"/>
          <w:color w:val="000000"/>
          <w:sz w:val="24"/>
          <w:szCs w:val="24"/>
        </w:rPr>
        <w:lastRenderedPageBreak/>
        <w:t>Եզրակացությունը (ռեզյումեն)</w:t>
      </w:r>
    </w:p>
    <w:p w14:paraId="54A34B91" w14:textId="77777777" w:rsidR="004F5982" w:rsidRPr="00D55512" w:rsidRDefault="004F5982" w:rsidP="004F5982">
      <w:pPr>
        <w:pStyle w:val="Tablecaption20"/>
        <w:shd w:val="clear" w:color="auto" w:fill="auto"/>
        <w:spacing w:line="240" w:lineRule="auto"/>
        <w:ind w:left="567" w:right="567"/>
        <w:jc w:val="center"/>
        <w:rPr>
          <w:rFonts w:ascii="Sylfaen" w:hAnsi="Sylfaen"/>
          <w:b w:val="0"/>
          <w:sz w:val="24"/>
          <w:szCs w:val="24"/>
        </w:rPr>
      </w:pPr>
      <w:r>
        <w:rPr>
          <w:rFonts w:ascii="Sylfaen" w:hAnsi="Sylfaen"/>
          <w:b w:val="0"/>
          <w:color w:val="000000"/>
          <w:sz w:val="24"/>
          <w:szCs w:val="24"/>
        </w:rPr>
        <w:t>__________________</w:t>
      </w:r>
    </w:p>
    <w:p w14:paraId="1796E906" w14:textId="77777777" w:rsidR="004F5982" w:rsidRDefault="004F5982" w:rsidP="004F5982">
      <w:pPr>
        <w:spacing w:after="160" w:line="360" w:lineRule="auto"/>
        <w:rPr>
          <w:rFonts w:ascii="Sylfaen" w:eastAsia="Times New Roman" w:hAnsi="Sylfaen" w:cs="Times New Roman"/>
          <w:sz w:val="24"/>
          <w:szCs w:val="24"/>
          <w:lang w:val="en-US"/>
        </w:rPr>
      </w:pPr>
    </w:p>
    <w:p w14:paraId="13763B83" w14:textId="77777777" w:rsidR="00487007" w:rsidRDefault="00487007" w:rsidP="004F5982">
      <w:pPr>
        <w:spacing w:after="160" w:line="360" w:lineRule="auto"/>
        <w:ind w:left="3969" w:right="-2"/>
        <w:jc w:val="center"/>
        <w:rPr>
          <w:rFonts w:ascii="Sylfaen" w:hAnsi="Sylfaen"/>
          <w:sz w:val="24"/>
          <w:szCs w:val="24"/>
        </w:rPr>
        <w:sectPr w:rsidR="00487007" w:rsidSect="00487007">
          <w:pgSz w:w="11906" w:h="16838" w:code="9"/>
          <w:pgMar w:top="1418" w:right="1418" w:bottom="1418" w:left="1418" w:header="709" w:footer="709" w:gutter="0"/>
          <w:pgNumType w:start="1"/>
          <w:cols w:space="708"/>
          <w:titlePg/>
          <w:docGrid w:linePitch="360"/>
        </w:sectPr>
      </w:pPr>
    </w:p>
    <w:p w14:paraId="39D5CA23"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lastRenderedPageBreak/>
        <w:t>ՀԱՎԵԼՎԱԾ ԹԻՎ 22</w:t>
      </w:r>
    </w:p>
    <w:p w14:paraId="59B8675F" w14:textId="77777777" w:rsidR="004F5982" w:rsidRPr="00826F05" w:rsidRDefault="004F5982" w:rsidP="00487007">
      <w:pPr>
        <w:spacing w:after="160" w:line="360" w:lineRule="auto"/>
        <w:ind w:left="3969" w:right="-2"/>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12628C5E" w14:textId="77777777" w:rsidR="004F5982" w:rsidRPr="002618FA" w:rsidRDefault="004F5982" w:rsidP="00487007">
      <w:pPr>
        <w:spacing w:after="160" w:line="360" w:lineRule="auto"/>
        <w:ind w:left="567" w:right="565"/>
        <w:jc w:val="center"/>
        <w:rPr>
          <w:rFonts w:ascii="Sylfaen" w:hAnsi="Sylfaen"/>
          <w:sz w:val="24"/>
          <w:szCs w:val="24"/>
        </w:rPr>
      </w:pPr>
    </w:p>
    <w:p w14:paraId="69AFB85B" w14:textId="77777777" w:rsidR="004F5982" w:rsidRPr="00487007" w:rsidRDefault="004F5982" w:rsidP="00487007">
      <w:pPr>
        <w:spacing w:after="160" w:line="360" w:lineRule="auto"/>
        <w:ind w:left="567" w:right="565"/>
        <w:jc w:val="center"/>
        <w:rPr>
          <w:rFonts w:ascii="Sylfaen" w:eastAsia="Times New Roman" w:hAnsi="Sylfaen" w:cs="Times New Roman"/>
          <w:b/>
          <w:sz w:val="24"/>
          <w:szCs w:val="24"/>
        </w:rPr>
      </w:pPr>
      <w:r w:rsidRPr="00487007">
        <w:rPr>
          <w:rFonts w:ascii="Sylfaen" w:hAnsi="Sylfaen"/>
          <w:b/>
          <w:sz w:val="24"/>
          <w:szCs w:val="24"/>
        </w:rPr>
        <w:t>Ձ</w:t>
      </w:r>
      <w:r w:rsidR="00C54D75">
        <w:rPr>
          <w:rFonts w:ascii="Sylfaen" w:hAnsi="Sylfaen"/>
          <w:b/>
          <w:sz w:val="24"/>
          <w:szCs w:val="24"/>
        </w:rPr>
        <w:t>և</w:t>
      </w:r>
    </w:p>
    <w:p w14:paraId="15405C7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վերաբերյալ փորձագիտական հաշվետվության</w:t>
      </w:r>
    </w:p>
    <w:p w14:paraId="6128202A" w14:textId="77777777" w:rsidR="004F5982" w:rsidRPr="00826F05" w:rsidRDefault="004F5982" w:rsidP="00487007">
      <w:pPr>
        <w:spacing w:after="160" w:line="360" w:lineRule="auto"/>
        <w:ind w:firstLine="567"/>
        <w:jc w:val="both"/>
        <w:rPr>
          <w:rFonts w:ascii="Sylfaen" w:hAnsi="Sylfaen"/>
          <w:sz w:val="24"/>
          <w:szCs w:val="24"/>
        </w:rPr>
      </w:pPr>
    </w:p>
    <w:p w14:paraId="5B66CA6A" w14:textId="77777777" w:rsidR="004F5982" w:rsidRPr="00826F05" w:rsidRDefault="004F5982" w:rsidP="00487007">
      <w:pPr>
        <w:tabs>
          <w:tab w:val="left" w:pos="9071"/>
        </w:tabs>
        <w:spacing w:after="160" w:line="336" w:lineRule="auto"/>
        <w:ind w:right="-2" w:firstLine="567"/>
        <w:jc w:val="both"/>
        <w:rPr>
          <w:rFonts w:ascii="Sylfaen" w:eastAsia="Times New Roman" w:hAnsi="Sylfaen" w:cs="Times New Roman"/>
          <w:sz w:val="24"/>
          <w:szCs w:val="24"/>
        </w:rPr>
      </w:pPr>
      <w:r w:rsidRPr="00826F05">
        <w:rPr>
          <w:rFonts w:ascii="Sylfaen" w:hAnsi="Sylfaen"/>
          <w:sz w:val="24"/>
          <w:szCs w:val="24"/>
        </w:rPr>
        <w:t>Լրացման ցուցումներ. տեքստի պատրաստի ձ</w:t>
      </w:r>
      <w:r w:rsidR="00C54D75">
        <w:rPr>
          <w:rFonts w:ascii="Sylfaen" w:hAnsi="Sylfaen"/>
          <w:sz w:val="24"/>
          <w:szCs w:val="24"/>
        </w:rPr>
        <w:t>և</w:t>
      </w:r>
      <w:r w:rsidRPr="00826F05">
        <w:rPr>
          <w:rFonts w:ascii="Sylfaen" w:hAnsi="Sylfaen"/>
          <w:sz w:val="24"/>
          <w:szCs w:val="24"/>
        </w:rPr>
        <w:t>անմուշներ օգտագործելիս դրանք սույն ձ</w:t>
      </w:r>
      <w:r w:rsidR="00C54D75">
        <w:rPr>
          <w:rFonts w:ascii="Sylfaen" w:hAnsi="Sylfaen"/>
          <w:sz w:val="24"/>
          <w:szCs w:val="24"/>
        </w:rPr>
        <w:t>և</w:t>
      </w:r>
      <w:r w:rsidRPr="00826F05">
        <w:rPr>
          <w:rFonts w:ascii="Sylfaen" w:hAnsi="Sylfaen"/>
          <w:sz w:val="24"/>
          <w:szCs w:val="24"/>
        </w:rPr>
        <w:t xml:space="preserve">ում առանձնացված են &lt; &gt; նշաններով </w:t>
      </w:r>
      <w:r w:rsidR="00C54D75">
        <w:rPr>
          <w:rFonts w:ascii="Sylfaen" w:hAnsi="Sylfaen"/>
          <w:sz w:val="24"/>
          <w:szCs w:val="24"/>
        </w:rPr>
        <w:t>և</w:t>
      </w:r>
      <w:r w:rsidRPr="00826F05">
        <w:rPr>
          <w:rFonts w:ascii="Sylfaen" w:hAnsi="Sylfaen"/>
          <w:sz w:val="24"/>
          <w:szCs w:val="24"/>
        </w:rPr>
        <w:t xml:space="preserve"> շեղատառերով. տեքստի ձ</w:t>
      </w:r>
      <w:r w:rsidR="00C54D75">
        <w:rPr>
          <w:rFonts w:ascii="Sylfaen" w:hAnsi="Sylfaen"/>
          <w:sz w:val="24"/>
          <w:szCs w:val="24"/>
        </w:rPr>
        <w:t>և</w:t>
      </w:r>
      <w:r w:rsidRPr="00826F05">
        <w:rPr>
          <w:rFonts w:ascii="Sylfaen" w:hAnsi="Sylfaen"/>
          <w:sz w:val="24"/>
          <w:szCs w:val="24"/>
        </w:rPr>
        <w:t>անմուշների այն հատվածները, որոնք լրացվում են տեքստի որոշակի տարբերակների՝ ըստ նշված հատկության (պարամետրի) ներմուծման միջոցով, բերված են ձ</w:t>
      </w:r>
      <w:r w:rsidR="00C54D75">
        <w:rPr>
          <w:rFonts w:ascii="Sylfaen" w:hAnsi="Sylfaen"/>
          <w:sz w:val="24"/>
          <w:szCs w:val="24"/>
        </w:rPr>
        <w:t>և</w:t>
      </w:r>
      <w:r w:rsidRPr="00826F05">
        <w:rPr>
          <w:rFonts w:ascii="Sylfaen" w:hAnsi="Sylfaen"/>
          <w:sz w:val="24"/>
          <w:szCs w:val="24"/>
        </w:rPr>
        <w:t>ավոր փակագծերի մեջ { }՝ նշելով այն հատկությունը (պարամետրը), որն անհրաժեշտ է ներմուծել շեղատառերով. բացատրությունները տրված են շեղատառերով՝ քառակուսի փակագծերում [ ]։</w:t>
      </w:r>
    </w:p>
    <w:p w14:paraId="11703893" w14:textId="77777777" w:rsidR="004F5982" w:rsidRPr="00826F05" w:rsidRDefault="004F5982" w:rsidP="00487007">
      <w:pPr>
        <w:spacing w:after="160" w:line="336" w:lineRule="auto"/>
        <w:jc w:val="both"/>
        <w:rPr>
          <w:rFonts w:ascii="Sylfaen" w:hAnsi="Sylfaen"/>
          <w:sz w:val="24"/>
          <w:szCs w:val="24"/>
        </w:rPr>
      </w:pPr>
    </w:p>
    <w:p w14:paraId="193720BE" w14:textId="77777777" w:rsidR="004F5982" w:rsidRPr="00826F05" w:rsidRDefault="004F5982" w:rsidP="00487007">
      <w:pPr>
        <w:spacing w:after="160" w:line="360" w:lineRule="auto"/>
        <w:ind w:right="-2"/>
        <w:jc w:val="right"/>
        <w:rPr>
          <w:rFonts w:ascii="Sylfaen" w:eastAsia="Times New Roman" w:hAnsi="Sylfaen" w:cs="Times New Roman"/>
          <w:sz w:val="24"/>
          <w:szCs w:val="24"/>
        </w:rPr>
      </w:pPr>
      <w:r w:rsidRPr="00826F05">
        <w:rPr>
          <w:rFonts w:ascii="Sylfaen" w:hAnsi="Sylfaen"/>
          <w:sz w:val="24"/>
          <w:szCs w:val="24"/>
        </w:rPr>
        <w:t>(ձ</w:t>
      </w:r>
      <w:r w:rsidR="00C54D75">
        <w:rPr>
          <w:rFonts w:ascii="Sylfaen" w:hAnsi="Sylfaen"/>
          <w:sz w:val="24"/>
          <w:szCs w:val="24"/>
        </w:rPr>
        <w:t>և</w:t>
      </w:r>
      <w:r w:rsidRPr="00826F05">
        <w:rPr>
          <w:rFonts w:ascii="Sylfaen" w:hAnsi="Sylfaen"/>
          <w:sz w:val="24"/>
          <w:szCs w:val="24"/>
        </w:rPr>
        <w:t>)</w:t>
      </w:r>
    </w:p>
    <w:p w14:paraId="72EFDB7B" w14:textId="77777777" w:rsidR="004F5982" w:rsidRPr="00826F05" w:rsidRDefault="004F5982" w:rsidP="00487007">
      <w:pPr>
        <w:spacing w:after="160" w:line="360" w:lineRule="auto"/>
        <w:ind w:left="567" w:right="565" w:firstLine="4"/>
        <w:jc w:val="center"/>
        <w:rPr>
          <w:rFonts w:ascii="Sylfaen" w:eastAsia="Times New Roman" w:hAnsi="Sylfaen" w:cs="Times New Roman"/>
          <w:sz w:val="24"/>
          <w:szCs w:val="24"/>
        </w:rPr>
      </w:pPr>
      <w:r w:rsidRPr="00826F05">
        <w:rPr>
          <w:rFonts w:ascii="Sylfaen" w:hAnsi="Sylfaen"/>
          <w:sz w:val="24"/>
          <w:szCs w:val="24"/>
        </w:rPr>
        <w:t xml:space="preserve">Վերարտադրված դեղամիջոցների նախակլինիկական </w:t>
      </w:r>
      <w:r w:rsidR="00C54D75">
        <w:rPr>
          <w:rFonts w:ascii="Sylfaen" w:hAnsi="Sylfaen"/>
          <w:sz w:val="24"/>
          <w:szCs w:val="24"/>
        </w:rPr>
        <w:t>և</w:t>
      </w:r>
      <w:r w:rsidRPr="00826F05">
        <w:rPr>
          <w:rFonts w:ascii="Sylfaen" w:hAnsi="Sylfaen"/>
          <w:sz w:val="24"/>
          <w:szCs w:val="24"/>
        </w:rPr>
        <w:t xml:space="preserve"> </w:t>
      </w:r>
      <w:r w:rsidRPr="00826F05">
        <w:rPr>
          <w:rFonts w:ascii="Sylfaen" w:hAnsi="Sylfaen"/>
          <w:sz w:val="24"/>
          <w:szCs w:val="24"/>
        </w:rPr>
        <w:br/>
        <w:t>կլինիկական ասպեկտների արդյունքների գնահատման փորձագիտական հաշվետվություն</w:t>
      </w:r>
    </w:p>
    <w:tbl>
      <w:tblPr>
        <w:tblW w:w="9683" w:type="dxa"/>
        <w:tblInd w:w="103" w:type="dxa"/>
        <w:tblLayout w:type="fixed"/>
        <w:tblCellMar>
          <w:left w:w="0" w:type="dxa"/>
          <w:right w:w="0" w:type="dxa"/>
        </w:tblCellMar>
        <w:tblLook w:val="01E0" w:firstRow="1" w:lastRow="1" w:firstColumn="1" w:lastColumn="1" w:noHBand="0" w:noVBand="0"/>
      </w:tblPr>
      <w:tblGrid>
        <w:gridCol w:w="4786"/>
        <w:gridCol w:w="4897"/>
      </w:tblGrid>
      <w:tr w:rsidR="004F5982" w:rsidRPr="00826F05" w14:paraId="0DC4A279" w14:textId="77777777" w:rsidTr="004F5982">
        <w:tc>
          <w:tcPr>
            <w:tcW w:w="4786" w:type="dxa"/>
            <w:tcBorders>
              <w:top w:val="single" w:sz="4" w:space="0" w:color="000000"/>
              <w:left w:val="single" w:sz="4" w:space="0" w:color="000000"/>
              <w:bottom w:val="single" w:sz="6" w:space="0" w:color="000000"/>
              <w:right w:val="single" w:sz="6" w:space="0" w:color="000000"/>
            </w:tcBorders>
          </w:tcPr>
          <w:p w14:paraId="76C4024E"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Զեկուցողը</w:t>
            </w:r>
          </w:p>
        </w:tc>
        <w:tc>
          <w:tcPr>
            <w:tcW w:w="4897" w:type="dxa"/>
            <w:tcBorders>
              <w:top w:val="single" w:sz="4" w:space="0" w:color="000000"/>
              <w:left w:val="single" w:sz="6" w:space="0" w:color="000000"/>
              <w:bottom w:val="single" w:sz="6" w:space="0" w:color="000000"/>
              <w:right w:val="single" w:sz="4" w:space="0" w:color="000000"/>
            </w:tcBorders>
          </w:tcPr>
          <w:p w14:paraId="589957A8"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2AA1E94"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B99B8A6"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Համազեկուցողը</w:t>
            </w:r>
          </w:p>
        </w:tc>
        <w:tc>
          <w:tcPr>
            <w:tcW w:w="4897" w:type="dxa"/>
            <w:tcBorders>
              <w:top w:val="single" w:sz="6" w:space="0" w:color="000000"/>
              <w:left w:val="single" w:sz="6" w:space="0" w:color="000000"/>
              <w:bottom w:val="single" w:sz="6" w:space="0" w:color="000000"/>
              <w:right w:val="single" w:sz="4" w:space="0" w:color="000000"/>
            </w:tcBorders>
          </w:tcPr>
          <w:p w14:paraId="634D971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0D0842"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4363E9B5"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Ընթացակարգի սկիզբը</w:t>
            </w:r>
          </w:p>
        </w:tc>
        <w:tc>
          <w:tcPr>
            <w:tcW w:w="4897" w:type="dxa"/>
            <w:tcBorders>
              <w:top w:val="single" w:sz="6" w:space="0" w:color="000000"/>
              <w:left w:val="single" w:sz="6" w:space="0" w:color="000000"/>
              <w:bottom w:val="single" w:sz="6" w:space="0" w:color="000000"/>
              <w:right w:val="single" w:sz="4" w:space="0" w:color="000000"/>
            </w:tcBorders>
          </w:tcPr>
          <w:p w14:paraId="6B09ABB4"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73A7421" w14:textId="77777777" w:rsidTr="004F5982">
        <w:tc>
          <w:tcPr>
            <w:tcW w:w="4786" w:type="dxa"/>
            <w:tcBorders>
              <w:top w:val="single" w:sz="6" w:space="0" w:color="000000"/>
              <w:left w:val="single" w:sz="4" w:space="0" w:color="000000"/>
              <w:bottom w:val="single" w:sz="6" w:space="0" w:color="000000"/>
              <w:right w:val="single" w:sz="6" w:space="0" w:color="000000"/>
            </w:tcBorders>
          </w:tcPr>
          <w:p w14:paraId="2802AD29"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Սույն հաշվետվության ամսաթիվը</w:t>
            </w:r>
          </w:p>
        </w:tc>
        <w:tc>
          <w:tcPr>
            <w:tcW w:w="4897" w:type="dxa"/>
            <w:tcBorders>
              <w:top w:val="single" w:sz="6" w:space="0" w:color="000000"/>
              <w:left w:val="single" w:sz="6" w:space="0" w:color="000000"/>
              <w:bottom w:val="single" w:sz="6" w:space="0" w:color="000000"/>
              <w:right w:val="single" w:sz="4" w:space="0" w:color="000000"/>
            </w:tcBorders>
          </w:tcPr>
          <w:p w14:paraId="09B9C801" w14:textId="77777777" w:rsidR="004F5982" w:rsidRPr="00826F05" w:rsidRDefault="004F5982" w:rsidP="004F5982">
            <w:pPr>
              <w:spacing w:after="120" w:line="240" w:lineRule="auto"/>
              <w:jc w:val="both"/>
              <w:rPr>
                <w:rFonts w:ascii="Sylfaen" w:hAnsi="Sylfaen"/>
                <w:sz w:val="24"/>
                <w:szCs w:val="24"/>
              </w:rPr>
            </w:pPr>
          </w:p>
        </w:tc>
      </w:tr>
      <w:tr w:rsidR="004F5982" w:rsidRPr="00826F05" w14:paraId="5C6967B1" w14:textId="77777777" w:rsidTr="004F5982">
        <w:tc>
          <w:tcPr>
            <w:tcW w:w="4786" w:type="dxa"/>
            <w:tcBorders>
              <w:top w:val="single" w:sz="6" w:space="0" w:color="000000"/>
              <w:left w:val="single" w:sz="4" w:space="0" w:color="000000"/>
              <w:bottom w:val="single" w:sz="4" w:space="0" w:color="000000"/>
              <w:right w:val="single" w:sz="6" w:space="0" w:color="000000"/>
            </w:tcBorders>
          </w:tcPr>
          <w:p w14:paraId="5885DE71" w14:textId="77777777" w:rsidR="004F5982" w:rsidRPr="00826F05" w:rsidRDefault="004F5982" w:rsidP="004F5982">
            <w:pPr>
              <w:spacing w:after="120" w:line="240" w:lineRule="auto"/>
              <w:ind w:left="102" w:right="-20"/>
              <w:rPr>
                <w:rFonts w:ascii="Sylfaen" w:eastAsia="Times New Roman" w:hAnsi="Sylfaen" w:cs="Times New Roman"/>
                <w:sz w:val="24"/>
                <w:szCs w:val="24"/>
              </w:rPr>
            </w:pPr>
            <w:r w:rsidRPr="00826F05">
              <w:rPr>
                <w:rFonts w:ascii="Sylfaen" w:hAnsi="Sylfaen"/>
                <w:sz w:val="24"/>
                <w:szCs w:val="24"/>
              </w:rPr>
              <w:t>Մեկնաբանությունների ներկայացման վերջնաժամկետը</w:t>
            </w:r>
          </w:p>
        </w:tc>
        <w:tc>
          <w:tcPr>
            <w:tcW w:w="4897" w:type="dxa"/>
            <w:tcBorders>
              <w:top w:val="single" w:sz="6" w:space="0" w:color="000000"/>
              <w:left w:val="single" w:sz="6" w:space="0" w:color="000000"/>
              <w:bottom w:val="single" w:sz="4" w:space="0" w:color="000000"/>
              <w:right w:val="single" w:sz="4" w:space="0" w:color="000000"/>
            </w:tcBorders>
          </w:tcPr>
          <w:p w14:paraId="22B387B1" w14:textId="77777777" w:rsidR="004F5982" w:rsidRPr="00826F05" w:rsidRDefault="004F5982" w:rsidP="004F5982">
            <w:pPr>
              <w:spacing w:after="120" w:line="240" w:lineRule="auto"/>
              <w:jc w:val="both"/>
              <w:rPr>
                <w:rFonts w:ascii="Sylfaen" w:hAnsi="Sylfaen"/>
                <w:sz w:val="24"/>
                <w:szCs w:val="24"/>
              </w:rPr>
            </w:pPr>
          </w:p>
        </w:tc>
      </w:tr>
    </w:tbl>
    <w:p w14:paraId="52BBDBB3" w14:textId="77777777" w:rsidR="004F5982" w:rsidRPr="00826F05" w:rsidRDefault="004F5982" w:rsidP="004F5982">
      <w:pPr>
        <w:spacing w:after="120" w:line="240" w:lineRule="auto"/>
        <w:ind w:left="2835" w:right="-20"/>
        <w:jc w:val="both"/>
        <w:rPr>
          <w:rFonts w:ascii="Sylfaen" w:eastAsia="Times New Roman" w:hAnsi="Sylfaen" w:cs="Times New Roman"/>
          <w:sz w:val="24"/>
          <w:szCs w:val="24"/>
        </w:rPr>
      </w:pPr>
      <w:r w:rsidRPr="00826F05">
        <w:rPr>
          <w:rFonts w:ascii="Sylfaen" w:hAnsi="Sylfaen"/>
          <w:sz w:val="24"/>
          <w:szCs w:val="24"/>
        </w:rPr>
        <w:lastRenderedPageBreak/>
        <w:t>Վարչական տեղեկատվությունը</w:t>
      </w:r>
    </w:p>
    <w:tbl>
      <w:tblPr>
        <w:tblW w:w="9607" w:type="dxa"/>
        <w:tblLayout w:type="fixed"/>
        <w:tblCellMar>
          <w:left w:w="0" w:type="dxa"/>
          <w:right w:w="0" w:type="dxa"/>
        </w:tblCellMar>
        <w:tblLook w:val="01E0" w:firstRow="1" w:lastRow="1" w:firstColumn="1" w:lastColumn="1" w:noHBand="0" w:noVBand="0"/>
      </w:tblPr>
      <w:tblGrid>
        <w:gridCol w:w="5352"/>
        <w:gridCol w:w="4255"/>
      </w:tblGrid>
      <w:tr w:rsidR="004F5982" w:rsidRPr="00826F05" w14:paraId="2219901E" w14:textId="77777777" w:rsidTr="004F5982">
        <w:tc>
          <w:tcPr>
            <w:tcW w:w="5352" w:type="dxa"/>
            <w:tcBorders>
              <w:top w:val="single" w:sz="4" w:space="0" w:color="000000"/>
              <w:left w:val="single" w:sz="4" w:space="0" w:color="000000"/>
              <w:bottom w:val="single" w:sz="6" w:space="0" w:color="000000"/>
              <w:right w:val="single" w:sz="6" w:space="0" w:color="000000"/>
            </w:tcBorders>
          </w:tcPr>
          <w:p w14:paraId="0BE8392C" w14:textId="19641F0D"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Գրանցման </w:t>
            </w:r>
            <w:r w:rsidR="0056496B">
              <w:rPr>
                <w:rFonts w:ascii="Sylfaen" w:hAnsi="Sylfaen"/>
                <w:sz w:val="24"/>
                <w:szCs w:val="24"/>
              </w:rPr>
              <w:t>դիմում</w:t>
            </w:r>
            <w:r w:rsidRPr="00826F05">
              <w:rPr>
                <w:rFonts w:ascii="Sylfaen" w:hAnsi="Sylfaen"/>
                <w:sz w:val="24"/>
                <w:szCs w:val="24"/>
              </w:rPr>
              <w:t>ի նույնականացման համարը</w:t>
            </w:r>
          </w:p>
        </w:tc>
        <w:tc>
          <w:tcPr>
            <w:tcW w:w="4255" w:type="dxa"/>
            <w:tcBorders>
              <w:top w:val="single" w:sz="4" w:space="0" w:color="000000"/>
              <w:left w:val="single" w:sz="6" w:space="0" w:color="000000"/>
              <w:bottom w:val="single" w:sz="6" w:space="0" w:color="000000"/>
              <w:right w:val="single" w:sz="4" w:space="0" w:color="000000"/>
            </w:tcBorders>
          </w:tcPr>
          <w:p w14:paraId="66E609F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FD500E5"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9BA8FA3"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Դեղամիջոցի առ</w:t>
            </w:r>
            <w:r w:rsidR="00C54D75">
              <w:rPr>
                <w:rFonts w:ascii="Sylfaen" w:hAnsi="Sylfaen"/>
                <w:sz w:val="24"/>
                <w:szCs w:val="24"/>
              </w:rPr>
              <w:t>և</w:t>
            </w:r>
            <w:r w:rsidRPr="00826F05">
              <w:rPr>
                <w:rFonts w:ascii="Sylfaen" w:hAnsi="Sylfaen"/>
                <w:sz w:val="24"/>
                <w:szCs w:val="24"/>
              </w:rPr>
              <w:t>տրային անվանումը</w:t>
            </w:r>
          </w:p>
        </w:tc>
        <w:tc>
          <w:tcPr>
            <w:tcW w:w="4255" w:type="dxa"/>
            <w:tcBorders>
              <w:top w:val="single" w:sz="6" w:space="0" w:color="000000"/>
              <w:left w:val="single" w:sz="6" w:space="0" w:color="000000"/>
              <w:bottom w:val="single" w:sz="6" w:space="0" w:color="000000"/>
              <w:right w:val="single" w:sz="4" w:space="0" w:color="000000"/>
            </w:tcBorders>
          </w:tcPr>
          <w:p w14:paraId="152537A9"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2B96A52"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9903B5E" w14:textId="77777777" w:rsidR="004F5982" w:rsidRPr="00826F05" w:rsidRDefault="004F5982" w:rsidP="004F5982">
            <w:pPr>
              <w:spacing w:after="120" w:line="240" w:lineRule="auto"/>
              <w:ind w:left="102" w:right="31"/>
              <w:jc w:val="both"/>
              <w:rPr>
                <w:rFonts w:ascii="Sylfaen" w:eastAsia="Times New Roman" w:hAnsi="Sylfaen" w:cs="Times New Roman"/>
                <w:sz w:val="24"/>
                <w:szCs w:val="24"/>
              </w:rPr>
            </w:pPr>
            <w:r w:rsidRPr="00826F05">
              <w:rPr>
                <w:rFonts w:ascii="Sylfaen" w:hAnsi="Sylfaen"/>
                <w:sz w:val="24"/>
                <w:szCs w:val="24"/>
              </w:rPr>
              <w:t>Միջազգային չարտոնագրված (ՄՉԱ-ն) անվանումը կամ ազդող նյութի (նյութերի) համընդհանուր անվանումը</w:t>
            </w:r>
          </w:p>
        </w:tc>
        <w:tc>
          <w:tcPr>
            <w:tcW w:w="4255" w:type="dxa"/>
            <w:tcBorders>
              <w:top w:val="single" w:sz="6" w:space="0" w:color="000000"/>
              <w:left w:val="single" w:sz="6" w:space="0" w:color="000000"/>
              <w:bottom w:val="single" w:sz="6" w:space="0" w:color="000000"/>
              <w:right w:val="single" w:sz="4" w:space="0" w:color="000000"/>
            </w:tcBorders>
          </w:tcPr>
          <w:p w14:paraId="6D424762"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4390EE7"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3E309F09" w14:textId="63964D0F" w:rsidR="004F5982" w:rsidRPr="00826F05" w:rsidRDefault="0056496B" w:rsidP="004F5982">
            <w:pPr>
              <w:spacing w:after="120" w:line="240" w:lineRule="auto"/>
              <w:ind w:left="102" w:right="-20"/>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ն</w:t>
            </w:r>
          </w:p>
        </w:tc>
        <w:tc>
          <w:tcPr>
            <w:tcW w:w="4255" w:type="dxa"/>
            <w:tcBorders>
              <w:top w:val="single" w:sz="6" w:space="0" w:color="000000"/>
              <w:left w:val="single" w:sz="6" w:space="0" w:color="000000"/>
              <w:bottom w:val="single" w:sz="6" w:space="0" w:color="000000"/>
              <w:right w:val="single" w:sz="4" w:space="0" w:color="000000"/>
            </w:tcBorders>
          </w:tcPr>
          <w:p w14:paraId="6A51EE8A" w14:textId="77777777" w:rsidR="004F5982" w:rsidRPr="00826F05" w:rsidRDefault="004F5982" w:rsidP="004F5982">
            <w:pPr>
              <w:spacing w:after="120" w:line="240" w:lineRule="auto"/>
              <w:jc w:val="both"/>
              <w:rPr>
                <w:rFonts w:ascii="Sylfaen" w:hAnsi="Sylfaen"/>
                <w:sz w:val="24"/>
                <w:szCs w:val="24"/>
              </w:rPr>
            </w:pPr>
          </w:p>
        </w:tc>
      </w:tr>
      <w:tr w:rsidR="004F5982" w:rsidRPr="00826F05" w14:paraId="3B4E875D"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7BFDADE6" w14:textId="635B2371"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Կիրառման </w:t>
            </w:r>
            <w:r w:rsidR="001A5F1A">
              <w:rPr>
                <w:rFonts w:ascii="Sylfaen" w:hAnsi="Sylfaen"/>
                <w:sz w:val="24"/>
                <w:szCs w:val="24"/>
              </w:rPr>
              <w:t>հայտագրված</w:t>
            </w:r>
            <w:r w:rsidRPr="00826F05">
              <w:rPr>
                <w:rFonts w:ascii="Sylfaen" w:hAnsi="Sylfaen"/>
                <w:sz w:val="24"/>
                <w:szCs w:val="24"/>
              </w:rPr>
              <w:t xml:space="preserve"> ցուցումները</w:t>
            </w:r>
          </w:p>
        </w:tc>
        <w:tc>
          <w:tcPr>
            <w:tcW w:w="4255" w:type="dxa"/>
            <w:tcBorders>
              <w:top w:val="single" w:sz="6" w:space="0" w:color="000000"/>
              <w:left w:val="single" w:sz="6" w:space="0" w:color="000000"/>
              <w:bottom w:val="single" w:sz="6" w:space="0" w:color="000000"/>
              <w:right w:val="single" w:sz="4" w:space="0" w:color="000000"/>
            </w:tcBorders>
          </w:tcPr>
          <w:p w14:paraId="4E0545AB" w14:textId="77777777" w:rsidR="004F5982" w:rsidRPr="00826F05" w:rsidRDefault="004F5982" w:rsidP="004F5982">
            <w:pPr>
              <w:spacing w:after="120" w:line="240" w:lineRule="auto"/>
              <w:jc w:val="both"/>
              <w:rPr>
                <w:rFonts w:ascii="Sylfaen" w:hAnsi="Sylfaen"/>
                <w:sz w:val="24"/>
                <w:szCs w:val="24"/>
              </w:rPr>
            </w:pPr>
          </w:p>
        </w:tc>
      </w:tr>
      <w:tr w:rsidR="004F5982" w:rsidRPr="00826F05" w14:paraId="4DB918AC"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4EABD73F"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Դեղաթերապ</w:t>
            </w:r>
            <w:r w:rsidR="00C54D75">
              <w:rPr>
                <w:rFonts w:ascii="Sylfaen" w:hAnsi="Sylfaen"/>
                <w:sz w:val="24"/>
                <w:szCs w:val="24"/>
              </w:rPr>
              <w:t>և</w:t>
            </w:r>
            <w:r w:rsidRPr="00826F05">
              <w:rPr>
                <w:rFonts w:ascii="Sylfaen" w:hAnsi="Sylfaen"/>
                <w:sz w:val="24"/>
                <w:szCs w:val="24"/>
              </w:rPr>
              <w:t>տիկ խումբը (ԱԲՔ-ծածկագիրը)</w:t>
            </w:r>
          </w:p>
        </w:tc>
        <w:tc>
          <w:tcPr>
            <w:tcW w:w="4255" w:type="dxa"/>
            <w:tcBorders>
              <w:top w:val="single" w:sz="6" w:space="0" w:color="000000"/>
              <w:left w:val="single" w:sz="6" w:space="0" w:color="000000"/>
              <w:bottom w:val="single" w:sz="6" w:space="0" w:color="000000"/>
              <w:right w:val="single" w:sz="4" w:space="0" w:color="000000"/>
            </w:tcBorders>
          </w:tcPr>
          <w:p w14:paraId="316D6B46" w14:textId="77777777" w:rsidR="004F5982" w:rsidRPr="00826F05" w:rsidRDefault="004F5982" w:rsidP="004F5982">
            <w:pPr>
              <w:spacing w:after="120" w:line="240" w:lineRule="auto"/>
              <w:jc w:val="both"/>
              <w:rPr>
                <w:rFonts w:ascii="Sylfaen" w:hAnsi="Sylfaen"/>
                <w:sz w:val="24"/>
                <w:szCs w:val="24"/>
              </w:rPr>
            </w:pPr>
          </w:p>
        </w:tc>
      </w:tr>
      <w:tr w:rsidR="004F5982" w:rsidRPr="00826F05" w14:paraId="6D5072DA" w14:textId="77777777" w:rsidTr="004F5982">
        <w:tc>
          <w:tcPr>
            <w:tcW w:w="5352" w:type="dxa"/>
            <w:tcBorders>
              <w:top w:val="single" w:sz="6" w:space="0" w:color="000000"/>
              <w:left w:val="single" w:sz="4" w:space="0" w:color="000000"/>
              <w:bottom w:val="single" w:sz="6" w:space="0" w:color="000000"/>
              <w:right w:val="single" w:sz="6" w:space="0" w:color="000000"/>
            </w:tcBorders>
          </w:tcPr>
          <w:p w14:paraId="50F459D2"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Դեղաձ</w:t>
            </w:r>
            <w:r w:rsidR="00C54D75">
              <w:rPr>
                <w:rFonts w:ascii="Sylfaen" w:hAnsi="Sylfaen"/>
                <w:sz w:val="24"/>
                <w:szCs w:val="24"/>
              </w:rPr>
              <w:t>և</w:t>
            </w:r>
            <w:r w:rsidRPr="00826F05">
              <w:rPr>
                <w:rFonts w:ascii="Sylfaen" w:hAnsi="Sylfaen"/>
                <w:sz w:val="24"/>
                <w:szCs w:val="24"/>
              </w:rPr>
              <w:t xml:space="preserve">ը </w:t>
            </w:r>
            <w:r w:rsidR="00C54D75">
              <w:rPr>
                <w:rFonts w:ascii="Sylfaen" w:hAnsi="Sylfaen"/>
                <w:sz w:val="24"/>
                <w:szCs w:val="24"/>
              </w:rPr>
              <w:t>և</w:t>
            </w:r>
            <w:r w:rsidRPr="00826F05">
              <w:rPr>
                <w:rFonts w:ascii="Sylfaen" w:hAnsi="Sylfaen"/>
                <w:sz w:val="24"/>
                <w:szCs w:val="24"/>
              </w:rPr>
              <w:t xml:space="preserve"> դեղաչափը (դեղաչափերը)</w:t>
            </w:r>
          </w:p>
        </w:tc>
        <w:tc>
          <w:tcPr>
            <w:tcW w:w="4255" w:type="dxa"/>
            <w:tcBorders>
              <w:top w:val="single" w:sz="6" w:space="0" w:color="000000"/>
              <w:left w:val="single" w:sz="6" w:space="0" w:color="000000"/>
              <w:bottom w:val="single" w:sz="6" w:space="0" w:color="000000"/>
              <w:right w:val="single" w:sz="4" w:space="0" w:color="000000"/>
            </w:tcBorders>
          </w:tcPr>
          <w:p w14:paraId="4926B73D" w14:textId="77777777" w:rsidR="004F5982" w:rsidRPr="00826F05" w:rsidRDefault="004F5982" w:rsidP="004F5982">
            <w:pPr>
              <w:spacing w:after="120" w:line="240" w:lineRule="auto"/>
              <w:jc w:val="both"/>
              <w:rPr>
                <w:rFonts w:ascii="Sylfaen" w:hAnsi="Sylfaen"/>
                <w:sz w:val="24"/>
                <w:szCs w:val="24"/>
              </w:rPr>
            </w:pPr>
          </w:p>
        </w:tc>
      </w:tr>
      <w:tr w:rsidR="004F5982" w:rsidRPr="00826F05" w14:paraId="285DCC76" w14:textId="77777777" w:rsidTr="004F5982">
        <w:tc>
          <w:tcPr>
            <w:tcW w:w="5352" w:type="dxa"/>
            <w:tcBorders>
              <w:top w:val="single" w:sz="6" w:space="0" w:color="000000"/>
              <w:left w:val="single" w:sz="4" w:space="0" w:color="000000"/>
              <w:bottom w:val="single" w:sz="4" w:space="0" w:color="000000"/>
              <w:right w:val="single" w:sz="6" w:space="0" w:color="000000"/>
            </w:tcBorders>
          </w:tcPr>
          <w:p w14:paraId="42531147" w14:textId="77777777" w:rsidR="004F5982" w:rsidRPr="00826F05" w:rsidRDefault="004F5982" w:rsidP="004F5982">
            <w:pPr>
              <w:spacing w:after="120" w:line="240" w:lineRule="auto"/>
              <w:ind w:left="102" w:right="-20"/>
              <w:jc w:val="both"/>
              <w:rPr>
                <w:rFonts w:ascii="Sylfaen" w:eastAsia="Times New Roman" w:hAnsi="Sylfaen" w:cs="Times New Roman"/>
                <w:sz w:val="24"/>
                <w:szCs w:val="24"/>
              </w:rPr>
            </w:pPr>
            <w:r w:rsidRPr="00826F05">
              <w:rPr>
                <w:rFonts w:ascii="Sylfaen" w:hAnsi="Sylfaen"/>
                <w:sz w:val="24"/>
                <w:szCs w:val="24"/>
              </w:rPr>
              <w:t xml:space="preserve">Զեկուցողի փորձագետները (ներքին </w:t>
            </w:r>
            <w:r w:rsidR="00C54D75">
              <w:rPr>
                <w:rFonts w:ascii="Sylfaen" w:hAnsi="Sylfaen"/>
                <w:sz w:val="24"/>
                <w:szCs w:val="24"/>
              </w:rPr>
              <w:t>և</w:t>
            </w:r>
            <w:r w:rsidRPr="00826F05">
              <w:rPr>
                <w:rFonts w:ascii="Sylfaen" w:hAnsi="Sylfaen"/>
                <w:sz w:val="24"/>
                <w:szCs w:val="24"/>
              </w:rPr>
              <w:t xml:space="preserve"> անկախ)</w:t>
            </w:r>
          </w:p>
        </w:tc>
        <w:tc>
          <w:tcPr>
            <w:tcW w:w="4255" w:type="dxa"/>
            <w:tcBorders>
              <w:top w:val="single" w:sz="6" w:space="0" w:color="000000"/>
              <w:left w:val="single" w:sz="6" w:space="0" w:color="000000"/>
              <w:bottom w:val="single" w:sz="4" w:space="0" w:color="000000"/>
              <w:right w:val="single" w:sz="4" w:space="0" w:color="000000"/>
            </w:tcBorders>
          </w:tcPr>
          <w:p w14:paraId="07CAA2D8"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3-րդ մոդուլի փորձագետ (որակ)՝</w:t>
            </w:r>
          </w:p>
          <w:p w14:paraId="03D5E7FA"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0311B7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36F68BA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B594C95" w14:textId="77777777" w:rsidR="004F5982" w:rsidRPr="00826F05" w:rsidRDefault="004F5982" w:rsidP="004F5982">
            <w:pPr>
              <w:spacing w:after="120" w:line="240" w:lineRule="auto"/>
              <w:jc w:val="both"/>
              <w:rPr>
                <w:rFonts w:ascii="Sylfaen" w:hAnsi="Sylfaen"/>
                <w:sz w:val="24"/>
                <w:szCs w:val="24"/>
              </w:rPr>
            </w:pPr>
          </w:p>
          <w:p w14:paraId="1BDBB6B7"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3-րդ մոդուլի փորձագետ (նախակլինիկա)՝</w:t>
            </w:r>
          </w:p>
          <w:p w14:paraId="56FD4200"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CD9EAB1"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5F0D6955"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p w14:paraId="208EC456" w14:textId="77777777" w:rsidR="004F5982" w:rsidRPr="00826F05" w:rsidRDefault="004F5982" w:rsidP="004F5982">
            <w:pPr>
              <w:spacing w:after="120" w:line="240" w:lineRule="auto"/>
              <w:jc w:val="both"/>
              <w:rPr>
                <w:rFonts w:ascii="Sylfaen" w:hAnsi="Sylfaen"/>
                <w:sz w:val="24"/>
                <w:szCs w:val="24"/>
              </w:rPr>
            </w:pPr>
          </w:p>
          <w:p w14:paraId="200EE4A5" w14:textId="77777777" w:rsidR="004F5982" w:rsidRPr="00826F05" w:rsidRDefault="004F5982" w:rsidP="004F5982">
            <w:pPr>
              <w:spacing w:after="120" w:line="240" w:lineRule="auto"/>
              <w:ind w:left="100" w:right="34"/>
              <w:jc w:val="both"/>
              <w:rPr>
                <w:rFonts w:ascii="Sylfaen" w:eastAsia="Times New Roman" w:hAnsi="Sylfaen" w:cs="Times New Roman"/>
                <w:sz w:val="24"/>
                <w:szCs w:val="24"/>
              </w:rPr>
            </w:pPr>
            <w:r w:rsidRPr="00826F05">
              <w:rPr>
                <w:rFonts w:ascii="Sylfaen" w:hAnsi="Sylfaen"/>
                <w:sz w:val="24"/>
                <w:szCs w:val="24"/>
              </w:rPr>
              <w:t>5-րդ մոդուլի փորձագետը (կլինիկա)՝</w:t>
            </w:r>
          </w:p>
          <w:p w14:paraId="766659C4"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Ա.Ա.Հ.՝</w:t>
            </w:r>
          </w:p>
          <w:p w14:paraId="4F8EAD83"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հեռախոսահամարը (ֆաքսը)՝</w:t>
            </w:r>
          </w:p>
          <w:p w14:paraId="2FA3576D" w14:textId="77777777" w:rsidR="004F5982" w:rsidRPr="00826F05" w:rsidRDefault="004F5982" w:rsidP="004F5982">
            <w:pPr>
              <w:spacing w:after="120" w:line="240" w:lineRule="auto"/>
              <w:ind w:left="100" w:right="-20"/>
              <w:jc w:val="both"/>
              <w:rPr>
                <w:rFonts w:ascii="Sylfaen" w:eastAsia="Times New Roman" w:hAnsi="Sylfaen" w:cs="Times New Roman"/>
                <w:sz w:val="24"/>
                <w:szCs w:val="24"/>
              </w:rPr>
            </w:pPr>
            <w:r w:rsidRPr="00826F05">
              <w:rPr>
                <w:rFonts w:ascii="Sylfaen" w:hAnsi="Sylfaen"/>
                <w:sz w:val="24"/>
                <w:szCs w:val="24"/>
              </w:rPr>
              <w:t>էլեկտրոնային փոստի հասցեն՝</w:t>
            </w:r>
          </w:p>
        </w:tc>
      </w:tr>
    </w:tbl>
    <w:p w14:paraId="317998DE" w14:textId="77777777" w:rsidR="004F5982" w:rsidRPr="00826F05" w:rsidRDefault="004F5982" w:rsidP="004F5982">
      <w:pPr>
        <w:spacing w:after="120" w:line="240" w:lineRule="auto"/>
        <w:jc w:val="both"/>
        <w:rPr>
          <w:rFonts w:ascii="Sylfaen" w:hAnsi="Sylfaen"/>
          <w:sz w:val="24"/>
          <w:szCs w:val="24"/>
        </w:rPr>
      </w:pPr>
    </w:p>
    <w:p w14:paraId="20EA59DD" w14:textId="77777777" w:rsidR="004F5982" w:rsidRPr="00826F05" w:rsidRDefault="004F5982" w:rsidP="004F5982">
      <w:pPr>
        <w:spacing w:after="160" w:line="360" w:lineRule="auto"/>
        <w:ind w:left="567" w:right="565"/>
        <w:jc w:val="center"/>
        <w:rPr>
          <w:rFonts w:ascii="Sylfaen" w:hAnsi="Sylfaen"/>
          <w:sz w:val="24"/>
          <w:szCs w:val="24"/>
        </w:rPr>
      </w:pPr>
      <w:r w:rsidRPr="00826F05">
        <w:rPr>
          <w:rFonts w:ascii="Sylfaen" w:hAnsi="Sylfaen"/>
          <w:sz w:val="24"/>
          <w:szCs w:val="24"/>
        </w:rPr>
        <w:t>Հապավումների ցանկը</w:t>
      </w:r>
    </w:p>
    <w:p w14:paraId="59862543" w14:textId="77777777" w:rsidR="004F5982" w:rsidRDefault="004F5982" w:rsidP="004F5982">
      <w:pPr>
        <w:widowControl/>
        <w:rPr>
          <w:rFonts w:ascii="Sylfaen" w:hAnsi="Sylfaen"/>
          <w:sz w:val="24"/>
          <w:szCs w:val="24"/>
        </w:rPr>
      </w:pPr>
      <w:r>
        <w:rPr>
          <w:rFonts w:ascii="Sylfaen" w:hAnsi="Sylfaen"/>
          <w:sz w:val="24"/>
          <w:szCs w:val="24"/>
        </w:rPr>
        <w:br w:type="page"/>
      </w:r>
    </w:p>
    <w:p w14:paraId="0A505B1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lastRenderedPageBreak/>
        <w:t>1. Նախակլինիկական գնահատում</w:t>
      </w:r>
    </w:p>
    <w:p w14:paraId="47C3AD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38D7115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2DC1958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մեկնաբանությունը]&gt;:</w:t>
      </w:r>
    </w:p>
    <w:p w14:paraId="7691D166" w14:textId="77777777" w:rsidR="004F5982" w:rsidRPr="00826F05" w:rsidRDefault="004F5982" w:rsidP="00487007">
      <w:pPr>
        <w:spacing w:after="160" w:line="360" w:lineRule="auto"/>
        <w:ind w:firstLine="567"/>
        <w:jc w:val="both"/>
        <w:rPr>
          <w:rFonts w:ascii="Sylfaen" w:hAnsi="Sylfaen"/>
          <w:i/>
          <w:sz w:val="24"/>
          <w:szCs w:val="24"/>
        </w:rPr>
      </w:pPr>
      <w:r w:rsidRPr="00826F05">
        <w:rPr>
          <w:rFonts w:ascii="Sylfaen" w:hAnsi="Sylfaen"/>
          <w:i/>
          <w:sz w:val="24"/>
          <w:szCs w:val="24"/>
        </w:rPr>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w:t>
      </w:r>
      <w:r>
        <w:rPr>
          <w:rFonts w:ascii="Sylfaen" w:hAnsi="Sylfaen"/>
          <w:i/>
          <w:sz w:val="24"/>
          <w:szCs w:val="24"/>
        </w:rPr>
        <w:t> </w:t>
      </w:r>
      <w:r w:rsidRPr="00826F05">
        <w:rPr>
          <w:rFonts w:ascii="Sylfaen" w:hAnsi="Sylfaen"/>
          <w:i/>
          <w:sz w:val="24"/>
          <w:szCs w:val="24"/>
        </w:rPr>
        <w:t xml:space="preserve">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w:t>
      </w:r>
      <w:r>
        <w:rPr>
          <w:rFonts w:ascii="Sylfaen" w:hAnsi="Sylfaen"/>
          <w:i/>
          <w:sz w:val="24"/>
          <w:szCs w:val="24"/>
        </w:rPr>
        <w:t> </w:t>
      </w:r>
      <w:r w:rsidRPr="00826F05">
        <w:rPr>
          <w:rFonts w:ascii="Sylfaen" w:hAnsi="Sylfaen"/>
          <w:i/>
          <w:sz w:val="24"/>
          <w:szCs w:val="24"/>
        </w:rPr>
        <w:t>են [չեն ընդունվում] լիազորված մարմնի կողմից: Սա</w:t>
      </w:r>
      <w:r>
        <w:rPr>
          <w:rFonts w:ascii="Sylfaen" w:hAnsi="Sylfaen"/>
          <w:i/>
          <w:sz w:val="24"/>
          <w:szCs w:val="24"/>
        </w:rPr>
        <w:t> </w:t>
      </w:r>
      <w:r w:rsidRPr="00826F05">
        <w:rPr>
          <w:rFonts w:ascii="Sylfaen" w:hAnsi="Sylfaen"/>
          <w:i/>
          <w:sz w:val="24"/>
          <w:szCs w:val="24"/>
        </w:rPr>
        <w:t>համաձայնեցվում է [չի համաձայնեցվում] Միության մարմինների համապատասխան ակտերի հետ, այդ պատճառով էլ պահանջվում է [չի</w:t>
      </w:r>
      <w:r>
        <w:rPr>
          <w:rFonts w:ascii="Sylfaen" w:hAnsi="Sylfaen"/>
          <w:i/>
          <w:sz w:val="24"/>
          <w:szCs w:val="24"/>
        </w:rPr>
        <w:t> </w:t>
      </w:r>
      <w:r w:rsidRPr="00826F05">
        <w:rPr>
          <w:rFonts w:ascii="Sylfaen" w:hAnsi="Sylfaen"/>
          <w:i/>
          <w:sz w:val="24"/>
          <w:szCs w:val="24"/>
        </w:rPr>
        <w:t>պահանջվում] նախակլինիկական լրացուցիչ հետազոտությունների անցկացում&gt;:</w:t>
      </w:r>
    </w:p>
    <w:p w14:paraId="531B3E33" w14:textId="77777777" w:rsidR="004F5982" w:rsidRDefault="004F5982" w:rsidP="00487007">
      <w:pPr>
        <w:spacing w:after="160" w:line="360" w:lineRule="auto"/>
        <w:ind w:right="35"/>
        <w:jc w:val="both"/>
        <w:rPr>
          <w:rFonts w:ascii="Sylfaen" w:hAnsi="Sylfaen"/>
          <w:sz w:val="24"/>
          <w:szCs w:val="24"/>
        </w:rPr>
      </w:pPr>
    </w:p>
    <w:p w14:paraId="572E0604"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Ներածություն</w:t>
      </w:r>
    </w:p>
    <w:p w14:paraId="1BA998F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1.1. GLP-ասպեկտներ</w:t>
      </w:r>
    </w:p>
    <w:p w14:paraId="545E7A4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1.2. Դեղաբանություն</w:t>
      </w:r>
    </w:p>
    <w:p w14:paraId="4785A5E6"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1.3. Դեղակինետիկա</w:t>
      </w:r>
    </w:p>
    <w:p w14:paraId="6D3A338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1.4. Թունաբանություն</w:t>
      </w:r>
    </w:p>
    <w:p w14:paraId="6CD8C7F8"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1.5. Նախակլինիկական ասպեկտների վերաբերյալ եզրակացությունը</w:t>
      </w:r>
    </w:p>
    <w:p w14:paraId="537C58D3"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գրանցման խոչընդոտները բացակայում են&gt;:</w:t>
      </w:r>
    </w:p>
    <w:p w14:paraId="64686780"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145772F8"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w:t>
      </w:r>
      <w:r>
        <w:rPr>
          <w:rFonts w:ascii="Sylfaen" w:hAnsi="Sylfaen"/>
          <w:i/>
          <w:sz w:val="24"/>
          <w:szCs w:val="24"/>
        </w:rPr>
        <w:t> </w:t>
      </w:r>
      <w:r w:rsidRPr="00826F05">
        <w:rPr>
          <w:rFonts w:ascii="Sylfaen" w:hAnsi="Sylfaen"/>
          <w:i/>
          <w:sz w:val="24"/>
          <w:szCs w:val="24"/>
        </w:rPr>
        <w:t>անհրաժեշտ միջոցները]&gt;:</w:t>
      </w:r>
    </w:p>
    <w:p w14:paraId="79E242EC" w14:textId="77777777" w:rsidR="004F5982" w:rsidRDefault="004F5982" w:rsidP="00487007">
      <w:pPr>
        <w:spacing w:after="160" w:line="360" w:lineRule="auto"/>
        <w:ind w:left="567" w:right="565"/>
        <w:jc w:val="center"/>
        <w:rPr>
          <w:rFonts w:ascii="Sylfaen" w:hAnsi="Sylfaen"/>
          <w:sz w:val="24"/>
          <w:szCs w:val="24"/>
        </w:rPr>
      </w:pPr>
    </w:p>
    <w:p w14:paraId="782E45BA"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2. Կլինիկական ասպեկտները</w:t>
      </w:r>
    </w:p>
    <w:p w14:paraId="2235E34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2.1. Ներածություն</w:t>
      </w:r>
    </w:p>
    <w:p w14:paraId="085D44F5"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համապատասխան պարտադիր ակտերի </w:t>
      </w:r>
      <w:r w:rsidR="00C54D75">
        <w:rPr>
          <w:rFonts w:ascii="Sylfaen" w:hAnsi="Sylfaen"/>
          <w:i/>
          <w:sz w:val="24"/>
          <w:szCs w:val="24"/>
        </w:rPr>
        <w:t>և</w:t>
      </w:r>
      <w:r w:rsidRPr="00826F05">
        <w:rPr>
          <w:rFonts w:ascii="Sylfaen" w:hAnsi="Sylfaen"/>
          <w:i/>
          <w:sz w:val="24"/>
          <w:szCs w:val="24"/>
        </w:rPr>
        <w:t xml:space="preserve"> հանձնարարականների անվանումները]&gt;:</w:t>
      </w:r>
    </w:p>
    <w:p w14:paraId="7D2B31E2" w14:textId="4856505B"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կլինիկական մշակման վերաբերյալ լիազորված փորձագիտական կազմակերպության գիտական խորհրդատվությունը:</w:t>
      </w:r>
    </w:p>
    <w:p w14:paraId="7D25A4DB" w14:textId="17F9BA7F" w:rsidR="004F5982" w:rsidRPr="00826F05" w:rsidRDefault="004F5982" w:rsidP="00487007">
      <w:pPr>
        <w:spacing w:after="160" w:line="360" w:lineRule="auto"/>
        <w:ind w:right="-2" w:firstLine="567"/>
        <w:jc w:val="both"/>
        <w:rPr>
          <w:rFonts w:ascii="Sylfaen" w:hAnsi="Sylfaen"/>
          <w:i/>
          <w:sz w:val="24"/>
          <w:szCs w:val="24"/>
        </w:rPr>
      </w:pPr>
      <w:r w:rsidRPr="004336EC">
        <w:rPr>
          <w:rFonts w:ascii="Sylfaen" w:hAnsi="Sylfaen"/>
          <w:i/>
          <w:spacing w:val="-6"/>
          <w:sz w:val="24"/>
          <w:szCs w:val="24"/>
        </w:rPr>
        <w:t>Տվյալ խորհրդատվությունը վերաբերել է հետ</w:t>
      </w:r>
      <w:r w:rsidR="00C54D75">
        <w:rPr>
          <w:rFonts w:ascii="Sylfaen" w:hAnsi="Sylfaen"/>
          <w:i/>
          <w:spacing w:val="-6"/>
          <w:sz w:val="24"/>
          <w:szCs w:val="24"/>
        </w:rPr>
        <w:t>և</w:t>
      </w:r>
      <w:r w:rsidRPr="004336EC">
        <w:rPr>
          <w:rFonts w:ascii="Sylfaen" w:hAnsi="Sylfaen"/>
          <w:i/>
          <w:spacing w:val="-6"/>
          <w:sz w:val="24"/>
          <w:szCs w:val="24"/>
        </w:rPr>
        <w:t xml:space="preserve">յալին՝ [ներկայացնել ռեզյումեն]: </w:t>
      </w:r>
      <w:r w:rsidR="0056496B">
        <w:rPr>
          <w:rFonts w:ascii="Sylfaen" w:hAnsi="Sylfaen"/>
          <w:i/>
          <w:spacing w:val="-6"/>
          <w:sz w:val="24"/>
          <w:szCs w:val="24"/>
        </w:rPr>
        <w:t>Դիմումատու</w:t>
      </w:r>
      <w:r w:rsidRPr="004336EC">
        <w:rPr>
          <w:rFonts w:ascii="Sylfaen" w:hAnsi="Sylfaen"/>
          <w:i/>
          <w:spacing w:val="-6"/>
          <w:sz w:val="24"/>
          <w:szCs w:val="24"/>
        </w:rPr>
        <w:t>ն օգտվել է [չի օգտվել]</w:t>
      </w:r>
      <w:r w:rsidRPr="00826F05">
        <w:rPr>
          <w:rFonts w:ascii="Sylfaen" w:hAnsi="Sylfaen"/>
          <w:i/>
          <w:sz w:val="24"/>
          <w:szCs w:val="24"/>
        </w:rPr>
        <w:t xml:space="preserve"> տվյալ գիտական խորհրդատվությունից&gt;:</w:t>
      </w:r>
    </w:p>
    <w:p w14:paraId="28326C35"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կանոնների </w:t>
      </w:r>
      <w:r w:rsidRPr="00826F05">
        <w:rPr>
          <w:rFonts w:ascii="Sylfaen" w:hAnsi="Sylfaen"/>
          <w:sz w:val="24"/>
          <w:szCs w:val="24"/>
        </w:rPr>
        <w:lastRenderedPageBreak/>
        <w:t>պահանջներին համապատասխանության ասպեկտները</w:t>
      </w:r>
    </w:p>
    <w:p w14:paraId="316DF077"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2.2. Բիովեյվերները</w:t>
      </w:r>
    </w:p>
    <w:p w14:paraId="61AEDC72"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0C4BEBBE" w14:textId="77777777" w:rsidR="004F5982" w:rsidRPr="00826F05" w:rsidRDefault="004F5982" w:rsidP="00487007">
      <w:pPr>
        <w:spacing w:after="160" w:line="360" w:lineRule="auto"/>
        <w:ind w:left="567" w:right="567"/>
        <w:jc w:val="center"/>
        <w:rPr>
          <w:rFonts w:ascii="Sylfaen" w:eastAsia="Times New Roman" w:hAnsi="Sylfaen" w:cs="Times New Roman"/>
          <w:sz w:val="24"/>
          <w:szCs w:val="24"/>
        </w:rPr>
      </w:pPr>
      <w:r w:rsidRPr="00826F05">
        <w:rPr>
          <w:rFonts w:ascii="Sylfaen" w:hAnsi="Sylfaen"/>
          <w:sz w:val="24"/>
          <w:szCs w:val="24"/>
        </w:rPr>
        <w:t>2.3.1. Դեղակինետիկան</w:t>
      </w:r>
    </w:p>
    <w:p w14:paraId="579F81D5"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&lt;Որպես դիմումի հիմնավորում ներկայացված է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44AFDB" w14:textId="77777777" w:rsidR="004F5982" w:rsidRDefault="004F5982" w:rsidP="004F5982">
      <w:pPr>
        <w:spacing w:after="160" w:line="480" w:lineRule="auto"/>
        <w:ind w:right="45" w:firstLine="567"/>
        <w:jc w:val="both"/>
        <w:rPr>
          <w:rStyle w:val="Bodytext295pt"/>
          <w:rFonts w:ascii="Sylfaen" w:eastAsiaTheme="minorHAnsi" w:hAnsi="Sylfaen"/>
          <w:b w:val="0"/>
          <w:sz w:val="24"/>
          <w:szCs w:val="24"/>
        </w:rPr>
      </w:pPr>
    </w:p>
    <w:p w14:paraId="6F1B387A" w14:textId="77777777" w:rsidR="004F5982" w:rsidRPr="00826F05" w:rsidRDefault="004F5982" w:rsidP="004F5982">
      <w:pPr>
        <w:spacing w:after="160" w:line="480" w:lineRule="auto"/>
        <w:ind w:left="567" w:right="567"/>
        <w:jc w:val="center"/>
        <w:rPr>
          <w:rFonts w:ascii="Sylfaen" w:eastAsia="Times New Roman" w:hAnsi="Sylfaen" w:cs="Times New Roman"/>
          <w:b/>
          <w:sz w:val="24"/>
          <w:szCs w:val="24"/>
        </w:rPr>
      </w:pPr>
      <w:r w:rsidRPr="00826F05">
        <w:rPr>
          <w:rStyle w:val="Bodytext295pt"/>
          <w:rFonts w:ascii="Sylfaen" w:eastAsiaTheme="minorHAnsi" w:hAnsi="Sylfaen"/>
          <w:b w:val="0"/>
          <w:sz w:val="24"/>
          <w:szCs w:val="24"/>
        </w:rPr>
        <w:t>Կլինիկական հետազոտությունների աղյուսակային ամփոփումը</w:t>
      </w:r>
    </w:p>
    <w:tbl>
      <w:tblPr>
        <w:tblOverlap w:val="neve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706"/>
        <w:gridCol w:w="1560"/>
        <w:gridCol w:w="1415"/>
        <w:gridCol w:w="414"/>
        <w:gridCol w:w="1718"/>
        <w:gridCol w:w="278"/>
        <w:gridCol w:w="1482"/>
      </w:tblGrid>
      <w:tr w:rsidR="004F5982" w:rsidRPr="004336EC" w14:paraId="33A92BAC" w14:textId="77777777" w:rsidTr="004F5982">
        <w:tc>
          <w:tcPr>
            <w:tcW w:w="9949" w:type="dxa"/>
            <w:gridSpan w:val="8"/>
            <w:shd w:val="clear" w:color="auto" w:fill="FFFFFF"/>
            <w:vAlign w:val="bottom"/>
          </w:tcPr>
          <w:p w14:paraId="02528AF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&lt;Համարը&gt;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&lt;անվանումը&gt; հետազոտությունը</w:t>
            </w:r>
          </w:p>
        </w:tc>
      </w:tr>
      <w:tr w:rsidR="004F5982" w:rsidRPr="004336EC" w14:paraId="3E1154B7" w14:textId="77777777" w:rsidTr="004F5982">
        <w:tc>
          <w:tcPr>
            <w:tcW w:w="9949" w:type="dxa"/>
            <w:gridSpan w:val="8"/>
            <w:shd w:val="clear" w:color="auto" w:fill="FFFFFF"/>
            <w:vAlign w:val="bottom"/>
          </w:tcPr>
          <w:p w14:paraId="7BFD437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Մեթոդները</w:t>
            </w:r>
          </w:p>
        </w:tc>
      </w:tr>
      <w:tr w:rsidR="004F5982" w:rsidRPr="004336EC" w14:paraId="7B81DA00" w14:textId="77777777" w:rsidTr="004F5982">
        <w:trPr>
          <w:trHeight w:val="892"/>
        </w:trPr>
        <w:tc>
          <w:tcPr>
            <w:tcW w:w="9949" w:type="dxa"/>
            <w:gridSpan w:val="8"/>
            <w:shd w:val="clear" w:color="auto" w:fill="FFFFFF"/>
          </w:tcPr>
          <w:p w14:paraId="39EBC45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Հետազոտության բովանդակային պլանը՝</w:t>
            </w:r>
          </w:p>
          <w:p w14:paraId="24D787C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5B019267" w14:textId="77777777" w:rsidTr="004F5982">
        <w:trPr>
          <w:trHeight w:val="878"/>
        </w:trPr>
        <w:tc>
          <w:tcPr>
            <w:tcW w:w="9949" w:type="dxa"/>
            <w:gridSpan w:val="8"/>
            <w:shd w:val="clear" w:color="auto" w:fill="FFFFFF"/>
          </w:tcPr>
          <w:p w14:paraId="3F952EF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պատրաստուկը</w:t>
            </w:r>
          </w:p>
          <w:p w14:paraId="59382C1F"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84622A" w14:textId="77777777" w:rsidTr="004F5982">
        <w:trPr>
          <w:trHeight w:val="906"/>
        </w:trPr>
        <w:tc>
          <w:tcPr>
            <w:tcW w:w="9949" w:type="dxa"/>
            <w:gridSpan w:val="8"/>
            <w:shd w:val="clear" w:color="auto" w:fill="FFFFFF"/>
          </w:tcPr>
          <w:p w14:paraId="665A5DE5"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Ուսումնասիրված պոպուլյացիան (ուսումնասիրվող պոպուլյացիաները)՝</w:t>
            </w:r>
          </w:p>
          <w:p w14:paraId="33D10A4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BA5DA2" w14:textId="77777777" w:rsidTr="004F5982">
        <w:trPr>
          <w:trHeight w:val="920"/>
        </w:trPr>
        <w:tc>
          <w:tcPr>
            <w:tcW w:w="9949" w:type="dxa"/>
            <w:gridSpan w:val="8"/>
            <w:shd w:val="clear" w:color="auto" w:fill="FFFFFF"/>
          </w:tcPr>
          <w:p w14:paraId="72B6E8A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Վերլուծական մեթոդները՝</w:t>
            </w:r>
          </w:p>
          <w:p w14:paraId="6E094C2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756990EC" w14:textId="77777777" w:rsidTr="004F5982">
        <w:trPr>
          <w:trHeight w:val="878"/>
        </w:trPr>
        <w:tc>
          <w:tcPr>
            <w:tcW w:w="9949" w:type="dxa"/>
            <w:gridSpan w:val="8"/>
            <w:shd w:val="clear" w:color="auto" w:fill="FFFFFF"/>
          </w:tcPr>
          <w:p w14:paraId="09A7135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փոփոխականները՝</w:t>
            </w:r>
          </w:p>
          <w:p w14:paraId="699E352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C8B5129" w14:textId="77777777" w:rsidTr="004F5982">
        <w:tc>
          <w:tcPr>
            <w:tcW w:w="9949" w:type="dxa"/>
            <w:gridSpan w:val="8"/>
            <w:shd w:val="clear" w:color="auto" w:fill="FFFFFF"/>
          </w:tcPr>
          <w:p w14:paraId="6DE9AEAF" w14:textId="77777777" w:rsidR="004F5982" w:rsidRPr="004336EC" w:rsidRDefault="004F5982" w:rsidP="004F5982">
            <w:pPr>
              <w:spacing w:after="120" w:line="240" w:lineRule="auto"/>
              <w:jc w:val="both"/>
              <w:rPr>
                <w:rStyle w:val="Bodytext20"/>
                <w:rFonts w:ascii="Sylfaen" w:eastAsiaTheme="minorHAnsi" w:hAnsi="Sylfaen"/>
                <w:sz w:val="22"/>
                <w:szCs w:val="22"/>
              </w:rPr>
            </w:pPr>
            <w:r w:rsidRPr="004336EC">
              <w:rPr>
                <w:rStyle w:val="Bodytext20"/>
                <w:rFonts w:ascii="Sylfaen" w:eastAsiaTheme="minorHAnsi" w:hAnsi="Sylfaen"/>
                <w:sz w:val="22"/>
                <w:szCs w:val="22"/>
              </w:rPr>
              <w:t xml:space="preserve">Վիճակագրական մեթոդները՝ </w:t>
            </w:r>
          </w:p>
          <w:p w14:paraId="38DF60A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007EA082" w14:textId="77777777" w:rsidTr="004F5982">
        <w:tc>
          <w:tcPr>
            <w:tcW w:w="9949" w:type="dxa"/>
            <w:gridSpan w:val="8"/>
            <w:shd w:val="clear" w:color="auto" w:fill="FFFFFF"/>
          </w:tcPr>
          <w:p w14:paraId="37B58D1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Արդյունքները՝</w:t>
            </w:r>
          </w:p>
          <w:p w14:paraId="4AF2036B"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417A00D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 (չփոխակերպված արժեքները)</w:t>
            </w:r>
          </w:p>
        </w:tc>
      </w:tr>
      <w:tr w:rsidR="004F5982" w:rsidRPr="004336EC" w14:paraId="5E09DACB" w14:textId="77777777" w:rsidTr="004F5982">
        <w:tc>
          <w:tcPr>
            <w:tcW w:w="2376" w:type="dxa"/>
            <w:vMerge w:val="restart"/>
            <w:shd w:val="clear" w:color="auto" w:fill="FFFFFF"/>
            <w:vAlign w:val="center"/>
          </w:tcPr>
          <w:p w14:paraId="14E04663" w14:textId="77777777" w:rsidR="004F5982" w:rsidRPr="004336EC" w:rsidRDefault="004F5982" w:rsidP="004F5982">
            <w:pPr>
              <w:spacing w:after="120" w:line="240" w:lineRule="auto"/>
              <w:ind w:right="88"/>
              <w:jc w:val="both"/>
              <w:rPr>
                <w:rFonts w:ascii="Sylfaen" w:hAnsi="Sylfaen"/>
              </w:rPr>
            </w:pPr>
            <w:r w:rsidRPr="004336EC">
              <w:rPr>
                <w:rStyle w:val="Bodytext20"/>
                <w:rFonts w:ascii="Sylfaen" w:eastAsiaTheme="minorHAnsi" w:hAnsi="Sylfaen"/>
                <w:sz w:val="22"/>
                <w:szCs w:val="22"/>
              </w:rPr>
              <w:lastRenderedPageBreak/>
              <w:t>Դեղակինետիկ պարամետրը</w:t>
            </w:r>
          </w:p>
        </w:tc>
        <w:tc>
          <w:tcPr>
            <w:tcW w:w="3681" w:type="dxa"/>
            <w:gridSpan w:val="3"/>
            <w:shd w:val="clear" w:color="auto" w:fill="FFFFFF"/>
            <w:vAlign w:val="bottom"/>
          </w:tcPr>
          <w:p w14:paraId="7AF90F6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Հետազոտվող դեղապատրաստուկը</w:t>
            </w:r>
          </w:p>
        </w:tc>
        <w:tc>
          <w:tcPr>
            <w:tcW w:w="3892" w:type="dxa"/>
            <w:gridSpan w:val="4"/>
            <w:shd w:val="clear" w:color="auto" w:fill="FFFFFF"/>
            <w:vAlign w:val="bottom"/>
          </w:tcPr>
          <w:p w14:paraId="3FD15DD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Համեմատման դեղապատրաստուկը</w:t>
            </w:r>
          </w:p>
        </w:tc>
      </w:tr>
      <w:tr w:rsidR="004F5982" w:rsidRPr="004336EC" w14:paraId="631F45DC" w14:textId="77777777" w:rsidTr="004F5982">
        <w:tc>
          <w:tcPr>
            <w:tcW w:w="2376" w:type="dxa"/>
            <w:vMerge/>
            <w:shd w:val="clear" w:color="auto" w:fill="FFFFFF"/>
            <w:vAlign w:val="center"/>
          </w:tcPr>
          <w:p w14:paraId="3B1B87D8" w14:textId="77777777" w:rsidR="004F5982" w:rsidRPr="004336EC" w:rsidRDefault="004F5982" w:rsidP="004F5982">
            <w:pPr>
              <w:spacing w:after="120" w:line="240" w:lineRule="auto"/>
              <w:jc w:val="both"/>
              <w:rPr>
                <w:rFonts w:ascii="Sylfaen" w:hAnsi="Sylfaen"/>
              </w:rPr>
            </w:pPr>
          </w:p>
        </w:tc>
        <w:tc>
          <w:tcPr>
            <w:tcW w:w="2266" w:type="dxa"/>
            <w:gridSpan w:val="2"/>
            <w:shd w:val="clear" w:color="auto" w:fill="FFFFFF"/>
            <w:vAlign w:val="center"/>
          </w:tcPr>
          <w:p w14:paraId="2A374B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648F1E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775BD8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415" w:type="dxa"/>
            <w:shd w:val="clear" w:color="auto" w:fill="FFFFFF"/>
            <w:vAlign w:val="center"/>
          </w:tcPr>
          <w:p w14:paraId="5AF4D93B"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7E3E899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4030776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c>
          <w:tcPr>
            <w:tcW w:w="2132" w:type="dxa"/>
            <w:gridSpan w:val="2"/>
            <w:shd w:val="clear" w:color="auto" w:fill="FFFFFF"/>
            <w:vAlign w:val="center"/>
          </w:tcPr>
          <w:p w14:paraId="1E61DB2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&lt;թվաբանական&gt;</w:t>
            </w:r>
          </w:p>
          <w:p w14:paraId="2B2213A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&lt;երկրաչափական&gt;</w:t>
            </w:r>
          </w:p>
          <w:p w14:paraId="5557EFDD"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միջին</w:t>
            </w:r>
          </w:p>
        </w:tc>
        <w:tc>
          <w:tcPr>
            <w:tcW w:w="1760" w:type="dxa"/>
            <w:gridSpan w:val="2"/>
            <w:shd w:val="clear" w:color="auto" w:fill="FFFFFF"/>
            <w:vAlign w:val="center"/>
          </w:tcPr>
          <w:p w14:paraId="2999CC1A"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&lt;Ստանդարտ</w:t>
            </w:r>
          </w:p>
          <w:p w14:paraId="0C37BA9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շեղում&gt;</w:t>
            </w:r>
          </w:p>
          <w:p w14:paraId="50FF0994"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&lt;CV%&gt;</w:t>
            </w:r>
          </w:p>
        </w:tc>
      </w:tr>
      <w:tr w:rsidR="004F5982" w:rsidRPr="004336EC" w14:paraId="4F68E9EE" w14:textId="77777777" w:rsidTr="004F5982">
        <w:tc>
          <w:tcPr>
            <w:tcW w:w="2376" w:type="dxa"/>
            <w:shd w:val="clear" w:color="auto" w:fill="FFFFFF"/>
            <w:vAlign w:val="bottom"/>
          </w:tcPr>
          <w:p w14:paraId="41C7F39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2ED9E76A" w14:textId="77777777" w:rsidR="004F5982" w:rsidRPr="004336EC" w:rsidRDefault="004F5982" w:rsidP="004F5982">
            <w:pPr>
              <w:spacing w:after="120" w:line="240" w:lineRule="auto"/>
              <w:ind w:left="240"/>
              <w:jc w:val="both"/>
              <w:rPr>
                <w:rFonts w:ascii="Sylfaen" w:hAnsi="Sylfaen"/>
              </w:rPr>
            </w:pPr>
            <w:r w:rsidRPr="004336EC">
              <w:rPr>
                <w:rFonts w:ascii="Sylfaen" w:hAnsi="Sylfaen"/>
              </w:rPr>
              <w:t>&lt;АUС</w:t>
            </w:r>
            <w:r w:rsidRPr="004336EC">
              <w:rPr>
                <w:rFonts w:ascii="Sylfaen" w:hAnsi="Sylfaen"/>
                <w:vertAlign w:val="subscript"/>
              </w:rPr>
              <w:t>(0-72 ժ)</w:t>
            </w:r>
            <w:r w:rsidRPr="004336EC">
              <w:rPr>
                <w:rFonts w:ascii="Sylfaen" w:hAnsi="Sylfaen"/>
              </w:rPr>
              <w:t>&gt;</w:t>
            </w:r>
          </w:p>
        </w:tc>
        <w:tc>
          <w:tcPr>
            <w:tcW w:w="2266" w:type="dxa"/>
            <w:gridSpan w:val="2"/>
            <w:shd w:val="clear" w:color="auto" w:fill="FFFFFF"/>
          </w:tcPr>
          <w:p w14:paraId="788FA060"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39087F08"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15FE2F00"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535DC55A" w14:textId="77777777" w:rsidR="004F5982" w:rsidRPr="004336EC" w:rsidRDefault="004F5982" w:rsidP="004F5982">
            <w:pPr>
              <w:spacing w:after="120" w:line="240" w:lineRule="auto"/>
              <w:jc w:val="both"/>
              <w:rPr>
                <w:rFonts w:ascii="Sylfaen" w:hAnsi="Sylfaen"/>
              </w:rPr>
            </w:pPr>
          </w:p>
        </w:tc>
      </w:tr>
      <w:tr w:rsidR="004F5982" w:rsidRPr="004336EC" w14:paraId="01F5F992" w14:textId="77777777" w:rsidTr="004F5982">
        <w:tc>
          <w:tcPr>
            <w:tcW w:w="2376" w:type="dxa"/>
            <w:shd w:val="clear" w:color="auto" w:fill="FFFFFF"/>
            <w:vAlign w:val="bottom"/>
          </w:tcPr>
          <w:p w14:paraId="06E3404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AUC</w:t>
            </w:r>
            <w:r w:rsidRPr="004336EC">
              <w:rPr>
                <w:rStyle w:val="Bodytext28pt"/>
                <w:rFonts w:ascii="Sylfaen" w:eastAsiaTheme="minorHAnsi" w:hAnsi="Sylfaen"/>
                <w:sz w:val="22"/>
                <w:szCs w:val="22"/>
                <w:vertAlign w:val="subscript"/>
              </w:rPr>
              <w:t>(</w:t>
            </w:r>
            <w:r w:rsidRPr="004336EC">
              <w:rPr>
                <w:rFonts w:ascii="Sylfaen" w:hAnsi="Sylfaen"/>
                <w:vertAlign w:val="subscript"/>
              </w:rPr>
              <w:t>0-∞)</w:t>
            </w:r>
          </w:p>
        </w:tc>
        <w:tc>
          <w:tcPr>
            <w:tcW w:w="2266" w:type="dxa"/>
            <w:gridSpan w:val="2"/>
            <w:shd w:val="clear" w:color="auto" w:fill="FFFFFF"/>
          </w:tcPr>
          <w:p w14:paraId="5726B8F1"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0391CFC5"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0BDC605B"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06947D8" w14:textId="77777777" w:rsidR="004F5982" w:rsidRPr="004336EC" w:rsidRDefault="004F5982" w:rsidP="004F5982">
            <w:pPr>
              <w:spacing w:after="120" w:line="240" w:lineRule="auto"/>
              <w:jc w:val="both"/>
              <w:rPr>
                <w:rFonts w:ascii="Sylfaen" w:hAnsi="Sylfaen"/>
              </w:rPr>
            </w:pPr>
          </w:p>
        </w:tc>
      </w:tr>
      <w:tr w:rsidR="004F5982" w:rsidRPr="004336EC" w14:paraId="5F8F2521" w14:textId="77777777" w:rsidTr="004F5982">
        <w:tc>
          <w:tcPr>
            <w:tcW w:w="2376" w:type="dxa"/>
            <w:shd w:val="clear" w:color="auto" w:fill="FFFFFF"/>
            <w:vAlign w:val="bottom"/>
          </w:tcPr>
          <w:p w14:paraId="5474102F"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2266" w:type="dxa"/>
            <w:gridSpan w:val="2"/>
            <w:shd w:val="clear" w:color="auto" w:fill="FFFFFF"/>
          </w:tcPr>
          <w:p w14:paraId="039DB31F"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3ED60C9"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54A6E58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21C00BBD" w14:textId="77777777" w:rsidR="004F5982" w:rsidRPr="004336EC" w:rsidRDefault="004F5982" w:rsidP="004F5982">
            <w:pPr>
              <w:spacing w:after="120" w:line="240" w:lineRule="auto"/>
              <w:jc w:val="both"/>
              <w:rPr>
                <w:rFonts w:ascii="Sylfaen" w:hAnsi="Sylfaen"/>
              </w:rPr>
            </w:pPr>
          </w:p>
        </w:tc>
      </w:tr>
      <w:tr w:rsidR="004F5982" w:rsidRPr="004336EC" w14:paraId="0FC27A9F" w14:textId="77777777" w:rsidTr="004F5982">
        <w:tc>
          <w:tcPr>
            <w:tcW w:w="2376" w:type="dxa"/>
            <w:shd w:val="clear" w:color="auto" w:fill="FFFFFF"/>
            <w:vAlign w:val="bottom"/>
          </w:tcPr>
          <w:p w14:paraId="11904A2B" w14:textId="77777777" w:rsidR="004F5982" w:rsidRPr="004336EC" w:rsidRDefault="004F5982" w:rsidP="004F5982">
            <w:pPr>
              <w:spacing w:after="120" w:line="240" w:lineRule="auto"/>
              <w:ind w:left="240"/>
              <w:jc w:val="both"/>
              <w:rPr>
                <w:rFonts w:ascii="Sylfaen" w:hAnsi="Sylfaen"/>
              </w:rPr>
            </w:pPr>
            <w:r w:rsidRPr="004336EC">
              <w:rPr>
                <w:rStyle w:val="Bodytext20"/>
                <w:rFonts w:ascii="Sylfaen" w:eastAsiaTheme="minorHAnsi" w:hAnsi="Sylfaen"/>
                <w:sz w:val="22"/>
                <w:szCs w:val="22"/>
              </w:rPr>
              <w:t xml:space="preserve">t </w:t>
            </w:r>
            <w:r w:rsidRPr="004336EC">
              <w:rPr>
                <w:rStyle w:val="Bodytext20"/>
                <w:rFonts w:ascii="Sylfaen" w:eastAsiaTheme="minorHAnsi" w:hAnsi="Sylfaen"/>
                <w:sz w:val="22"/>
                <w:szCs w:val="22"/>
                <w:vertAlign w:val="subscript"/>
              </w:rPr>
              <w:t>max</w:t>
            </w:r>
            <w:r w:rsidRPr="004336EC">
              <w:rPr>
                <w:rStyle w:val="Bodytext20"/>
                <w:rFonts w:ascii="Sylfaen" w:eastAsiaTheme="minorHAnsi" w:hAnsi="Sylfaen"/>
                <w:sz w:val="22"/>
                <w:szCs w:val="22"/>
              </w:rPr>
              <w:t>*</w:t>
            </w:r>
          </w:p>
        </w:tc>
        <w:tc>
          <w:tcPr>
            <w:tcW w:w="2266" w:type="dxa"/>
            <w:gridSpan w:val="2"/>
            <w:shd w:val="clear" w:color="auto" w:fill="FFFFFF"/>
          </w:tcPr>
          <w:p w14:paraId="677A0BAA" w14:textId="77777777" w:rsidR="004F5982" w:rsidRPr="004336EC" w:rsidRDefault="004F5982" w:rsidP="004F5982">
            <w:pPr>
              <w:spacing w:after="120" w:line="240" w:lineRule="auto"/>
              <w:jc w:val="both"/>
              <w:rPr>
                <w:rFonts w:ascii="Sylfaen" w:hAnsi="Sylfaen"/>
              </w:rPr>
            </w:pPr>
          </w:p>
        </w:tc>
        <w:tc>
          <w:tcPr>
            <w:tcW w:w="1415" w:type="dxa"/>
            <w:shd w:val="clear" w:color="auto" w:fill="FFFFFF"/>
          </w:tcPr>
          <w:p w14:paraId="501E73DD" w14:textId="77777777" w:rsidR="004F5982" w:rsidRPr="004336EC" w:rsidRDefault="004F5982" w:rsidP="004F5982">
            <w:pPr>
              <w:spacing w:after="120" w:line="240" w:lineRule="auto"/>
              <w:jc w:val="both"/>
              <w:rPr>
                <w:rFonts w:ascii="Sylfaen" w:hAnsi="Sylfaen"/>
              </w:rPr>
            </w:pPr>
          </w:p>
        </w:tc>
        <w:tc>
          <w:tcPr>
            <w:tcW w:w="2132" w:type="dxa"/>
            <w:gridSpan w:val="2"/>
            <w:shd w:val="clear" w:color="auto" w:fill="FFFFFF"/>
          </w:tcPr>
          <w:p w14:paraId="3B4FCFD5" w14:textId="77777777" w:rsidR="004F5982" w:rsidRPr="004336EC" w:rsidRDefault="004F5982" w:rsidP="004F5982">
            <w:pPr>
              <w:spacing w:after="120" w:line="240" w:lineRule="auto"/>
              <w:jc w:val="both"/>
              <w:rPr>
                <w:rFonts w:ascii="Sylfaen" w:hAnsi="Sylfaen"/>
              </w:rPr>
            </w:pPr>
          </w:p>
        </w:tc>
        <w:tc>
          <w:tcPr>
            <w:tcW w:w="1760" w:type="dxa"/>
            <w:gridSpan w:val="2"/>
            <w:shd w:val="clear" w:color="auto" w:fill="FFFFFF"/>
          </w:tcPr>
          <w:p w14:paraId="7FE50374" w14:textId="77777777" w:rsidR="004F5982" w:rsidRPr="004336EC" w:rsidRDefault="004F5982" w:rsidP="004F5982">
            <w:pPr>
              <w:spacing w:after="120" w:line="240" w:lineRule="auto"/>
              <w:jc w:val="both"/>
              <w:rPr>
                <w:rFonts w:ascii="Sylfaen" w:hAnsi="Sylfaen"/>
              </w:rPr>
            </w:pPr>
          </w:p>
        </w:tc>
      </w:tr>
      <w:tr w:rsidR="004F5982" w:rsidRPr="004336EC" w14:paraId="0F812478" w14:textId="77777777" w:rsidTr="004F5982">
        <w:tc>
          <w:tcPr>
            <w:tcW w:w="9949" w:type="dxa"/>
            <w:gridSpan w:val="8"/>
            <w:shd w:val="clear" w:color="auto" w:fill="FFFFFF"/>
            <w:vAlign w:val="bottom"/>
          </w:tcPr>
          <w:p w14:paraId="32E6D471" w14:textId="77777777" w:rsidR="004F5982" w:rsidRPr="004336EC" w:rsidRDefault="004F5982" w:rsidP="004F5982">
            <w:pPr>
              <w:tabs>
                <w:tab w:val="left" w:pos="864"/>
                <w:tab w:val="left" w:pos="1134"/>
              </w:tabs>
              <w:spacing w:after="120" w:line="240" w:lineRule="auto"/>
              <w:jc w:val="both"/>
              <w:rPr>
                <w:rFonts w:ascii="Sylfaen" w:hAnsi="Sylfaen"/>
              </w:rPr>
            </w:pPr>
            <w:r w:rsidRPr="004336EC">
              <w:rPr>
                <w:rStyle w:val="Bodytext20"/>
                <w:rFonts w:ascii="Sylfaen" w:eastAsiaTheme="minorHAnsi" w:hAnsi="Sylfaen"/>
                <w:sz w:val="22"/>
                <w:szCs w:val="22"/>
              </w:rPr>
              <w:t>&lt;АUС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 xml:space="preserve">t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t» կորի տակ ընկած մակերեսը&gt;</w:t>
            </w:r>
          </w:p>
          <w:p w14:paraId="5C70D31C"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&lt;AUC</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-72 ժ</w:t>
            </w:r>
            <w:r w:rsidRPr="004336EC">
              <w:rPr>
                <w:rStyle w:val="Bodytext28pt"/>
                <w:rFonts w:ascii="Sylfaen" w:eastAsiaTheme="minorHAnsi" w:hAnsi="Sylfaen"/>
                <w:sz w:val="22"/>
                <w:szCs w:val="22"/>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72 ժամ» կորի տակ ընկած մակերեսը&gt;</w:t>
            </w:r>
          </w:p>
          <w:p w14:paraId="6F5FADC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АUС</w:t>
            </w:r>
            <w:r w:rsidRPr="004336EC">
              <w:rPr>
                <w:rStyle w:val="Bodytext20"/>
                <w:rFonts w:ascii="Sylfaen" w:eastAsiaTheme="minorHAnsi" w:hAnsi="Sylfaen"/>
                <w:sz w:val="22"/>
                <w:szCs w:val="22"/>
                <w:vertAlign w:val="subscript"/>
              </w:rPr>
              <w:t>0</w:t>
            </w:r>
            <w:r w:rsidRPr="004336EC">
              <w:rPr>
                <w:rStyle w:val="Bodytext28pt"/>
                <w:rFonts w:ascii="Sylfaen" w:eastAsiaTheme="minorHAnsi" w:hAnsi="Sylfaen"/>
                <w:sz w:val="22"/>
                <w:szCs w:val="22"/>
                <w:vertAlign w:val="subscript"/>
              </w:rPr>
              <w:t>-</w:t>
            </w:r>
            <w:r w:rsidRPr="004336EC">
              <w:rPr>
                <w:rFonts w:ascii="Sylfaen" w:hAnsi="Sylfaen"/>
                <w:vertAlign w:val="subscript"/>
              </w:rPr>
              <w:t>∞</w:t>
            </w:r>
            <w:r w:rsidRPr="004336EC">
              <w:rPr>
                <w:rFonts w:ascii="Sylfaen" w:hAnsi="Sylfaen"/>
              </w:rPr>
              <w:t xml:space="preserve"> </w:t>
            </w:r>
            <w:r w:rsidRPr="004336EC">
              <w:rPr>
                <w:rStyle w:val="Bodytext20"/>
                <w:rFonts w:ascii="Sylfaen" w:eastAsiaTheme="minorHAnsi" w:hAnsi="Sylfaen"/>
                <w:sz w:val="22"/>
                <w:szCs w:val="22"/>
              </w:rPr>
              <w:t>«խտություն — ժամանակը զրոյից մինչ</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անվերջություն» կորի տակ ընկած մակերեսը</w:t>
            </w:r>
          </w:p>
          <w:p w14:paraId="449A14D1"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С</w:t>
            </w:r>
            <w:r w:rsidRPr="000A280D">
              <w:rPr>
                <w:rStyle w:val="Bodytext20"/>
                <w:rFonts w:ascii="Sylfaen" w:eastAsiaTheme="minorHAnsi" w:hAnsi="Sylfaen"/>
                <w:sz w:val="22"/>
                <w:szCs w:val="22"/>
                <w:vertAlign w:val="subscript"/>
              </w:rPr>
              <w:t>m</w:t>
            </w:r>
            <w:r w:rsidRPr="000A280D">
              <w:rPr>
                <w:rStyle w:val="Bodytext28pt"/>
                <w:rFonts w:ascii="Sylfaen" w:eastAsiaTheme="minorHAnsi" w:hAnsi="Sylfaen"/>
                <w:sz w:val="22"/>
                <w:szCs w:val="22"/>
                <w:vertAlign w:val="subscript"/>
              </w:rPr>
              <w:t>ах</w:t>
            </w:r>
            <w:r w:rsidRPr="004336EC">
              <w:rPr>
                <w:rStyle w:val="Bodytext28pt"/>
                <w:rFonts w:ascii="Sylfaen" w:eastAsiaTheme="minorHAnsi" w:hAnsi="Sylfaen"/>
                <w:sz w:val="22"/>
                <w:szCs w:val="22"/>
                <w:vertAlign w:val="subscript"/>
              </w:rPr>
              <w:t xml:space="preserve"> </w:t>
            </w:r>
            <w:r w:rsidRPr="004336EC">
              <w:rPr>
                <w:rStyle w:val="Bodytext20"/>
                <w:rFonts w:ascii="Sylfaen" w:eastAsiaTheme="minorHAnsi" w:hAnsi="Sylfaen"/>
                <w:sz w:val="22"/>
                <w:szCs w:val="22"/>
              </w:rPr>
              <w:t>առավելագույն պլազմային խտությունը</w:t>
            </w:r>
          </w:p>
          <w:p w14:paraId="661D5CE2"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Т</w:t>
            </w:r>
            <w:r w:rsidRPr="004336EC">
              <w:rPr>
                <w:rStyle w:val="Bodytext20"/>
                <w:rFonts w:ascii="Sylfaen" w:eastAsiaTheme="minorHAnsi" w:hAnsi="Sylfaen"/>
                <w:sz w:val="22"/>
                <w:szCs w:val="22"/>
                <w:vertAlign w:val="subscript"/>
              </w:rPr>
              <w:t>m</w:t>
            </w:r>
            <w:r w:rsidRPr="004336EC">
              <w:rPr>
                <w:rStyle w:val="Bodytext28pt"/>
                <w:rFonts w:ascii="Sylfaen" w:eastAsiaTheme="minorHAnsi" w:hAnsi="Sylfaen"/>
                <w:sz w:val="22"/>
                <w:szCs w:val="22"/>
                <w:vertAlign w:val="subscript"/>
              </w:rPr>
              <w:t xml:space="preserve">ах </w:t>
            </w:r>
            <w:r w:rsidRPr="004336EC">
              <w:rPr>
                <w:rStyle w:val="Bodytext20"/>
                <w:rFonts w:ascii="Sylfaen" w:eastAsiaTheme="minorHAnsi" w:hAnsi="Sylfaen"/>
                <w:sz w:val="22"/>
                <w:szCs w:val="22"/>
              </w:rPr>
              <w:t>առավելագույն խտության հասնելու ժամանակը (*-միջնաթիվ, բացվածք)</w:t>
            </w:r>
          </w:p>
        </w:tc>
      </w:tr>
      <w:tr w:rsidR="004F5982" w:rsidRPr="004336EC" w14:paraId="0A8068BB" w14:textId="77777777" w:rsidTr="004F5982">
        <w:tc>
          <w:tcPr>
            <w:tcW w:w="9949" w:type="dxa"/>
            <w:gridSpan w:val="8"/>
            <w:shd w:val="clear" w:color="auto" w:fill="FFFFFF"/>
            <w:vAlign w:val="bottom"/>
          </w:tcPr>
          <w:p w14:paraId="6860C551" w14:textId="77777777" w:rsidR="004F5982" w:rsidRPr="004336EC" w:rsidRDefault="004F5982" w:rsidP="004F5982">
            <w:pPr>
              <w:spacing w:after="120" w:line="240" w:lineRule="auto"/>
              <w:jc w:val="right"/>
              <w:rPr>
                <w:rFonts w:ascii="Sylfaen" w:hAnsi="Sylfaen"/>
              </w:rPr>
            </w:pPr>
            <w:r w:rsidRPr="004336EC">
              <w:rPr>
                <w:rStyle w:val="Bodytext20"/>
                <w:rFonts w:ascii="Sylfaen" w:eastAsiaTheme="minorHAnsi" w:hAnsi="Sylfaen"/>
                <w:sz w:val="22"/>
                <w:szCs w:val="22"/>
              </w:rPr>
              <w:t>Աղյուսակ X</w:t>
            </w:r>
          </w:p>
          <w:p w14:paraId="637E9754" w14:textId="77777777" w:rsidR="004F5982" w:rsidRPr="004336EC" w:rsidRDefault="004F5982" w:rsidP="004F5982">
            <w:pPr>
              <w:spacing w:after="120" w:line="240" w:lineRule="auto"/>
              <w:ind w:left="567" w:right="717"/>
              <w:jc w:val="center"/>
              <w:rPr>
                <w:rFonts w:ascii="Sylfaen" w:hAnsi="Sylfaen"/>
              </w:rPr>
            </w:pPr>
            <w:r w:rsidRPr="004336EC">
              <w:rPr>
                <w:rStyle w:val="Bodytext20"/>
                <w:rFonts w:ascii="Sylfaen" w:eastAsiaTheme="minorHAnsi" w:hAnsi="Sylfaen"/>
                <w:sz w:val="22"/>
                <w:szCs w:val="22"/>
              </w:rPr>
              <w:t>Դեղակինետիկ պարամետրերը [նշել կենսանմուշը]</w:t>
            </w:r>
            <w:r>
              <w:rPr>
                <w:rStyle w:val="Bodytext20"/>
                <w:rFonts w:ascii="Sylfaen" w:eastAsiaTheme="minorHAnsi" w:hAnsi="Sylfaen"/>
                <w:sz w:val="22"/>
                <w:szCs w:val="22"/>
              </w:rPr>
              <w:br/>
            </w:r>
            <w:r w:rsidRPr="004336EC">
              <w:rPr>
                <w:rStyle w:val="Bodytext20"/>
                <w:rFonts w:ascii="Sylfaen" w:eastAsiaTheme="minorHAnsi" w:hAnsi="Sylfaen"/>
                <w:sz w:val="22"/>
                <w:szCs w:val="22"/>
              </w:rPr>
              <w:t>(լոգարիթմի վերածված արժեքները)</w:t>
            </w:r>
          </w:p>
        </w:tc>
      </w:tr>
      <w:tr w:rsidR="004F5982" w:rsidRPr="004336EC" w14:paraId="6B2F6977" w14:textId="77777777" w:rsidTr="004F5982">
        <w:tc>
          <w:tcPr>
            <w:tcW w:w="3082" w:type="dxa"/>
            <w:gridSpan w:val="2"/>
            <w:shd w:val="clear" w:color="auto" w:fill="FFFFFF"/>
            <w:vAlign w:val="center"/>
          </w:tcPr>
          <w:p w14:paraId="7B3E81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Դեղակինետիկ պարամետրը</w:t>
            </w:r>
          </w:p>
        </w:tc>
        <w:tc>
          <w:tcPr>
            <w:tcW w:w="3389" w:type="dxa"/>
            <w:gridSpan w:val="3"/>
            <w:shd w:val="clear" w:color="auto" w:fill="FFFFFF"/>
            <w:vAlign w:val="bottom"/>
          </w:tcPr>
          <w:p w14:paraId="27E90B77"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xml:space="preserve">Հետազոտվող ԴՊ-ի </w:t>
            </w:r>
            <w:r w:rsidR="00C54D75">
              <w:rPr>
                <w:rStyle w:val="Bodytext20"/>
                <w:rFonts w:ascii="Sylfaen" w:eastAsiaTheme="minorHAnsi" w:hAnsi="Sylfaen"/>
                <w:sz w:val="22"/>
                <w:szCs w:val="22"/>
              </w:rPr>
              <w:t>և</w:t>
            </w:r>
            <w:r w:rsidRPr="004336EC">
              <w:rPr>
                <w:rStyle w:val="Bodytext20"/>
                <w:rFonts w:ascii="Sylfaen" w:eastAsiaTheme="minorHAnsi" w:hAnsi="Sylfaen"/>
                <w:sz w:val="22"/>
                <w:szCs w:val="22"/>
              </w:rPr>
              <w:t xml:space="preserve"> համեմատման ԴՊ-ի երկրաչափական միջինների հարաբերակցությունը</w:t>
            </w:r>
          </w:p>
        </w:tc>
        <w:tc>
          <w:tcPr>
            <w:tcW w:w="1996" w:type="dxa"/>
            <w:gridSpan w:val="2"/>
            <w:shd w:val="clear" w:color="auto" w:fill="FFFFFF"/>
            <w:vAlign w:val="center"/>
          </w:tcPr>
          <w:p w14:paraId="32699BF0"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Վստահելի միջակայքերը</w:t>
            </w:r>
          </w:p>
        </w:tc>
        <w:tc>
          <w:tcPr>
            <w:tcW w:w="1482" w:type="dxa"/>
            <w:shd w:val="clear" w:color="auto" w:fill="FFFFFF"/>
            <w:vAlign w:val="center"/>
          </w:tcPr>
          <w:p w14:paraId="18901983"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CV%*</w:t>
            </w:r>
          </w:p>
        </w:tc>
      </w:tr>
      <w:tr w:rsidR="004F5982" w:rsidRPr="004336EC" w14:paraId="0512E169" w14:textId="77777777" w:rsidTr="004F5982">
        <w:tc>
          <w:tcPr>
            <w:tcW w:w="3082" w:type="dxa"/>
            <w:gridSpan w:val="2"/>
            <w:shd w:val="clear" w:color="auto" w:fill="FFFFFF"/>
            <w:vAlign w:val="bottom"/>
          </w:tcPr>
          <w:p w14:paraId="14EDE0E3"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(0-t)</w:t>
            </w:r>
            <w:r w:rsidRPr="004336EC">
              <w:rPr>
                <w:rStyle w:val="Bodytext20"/>
                <w:rFonts w:ascii="Sylfaen" w:eastAsiaTheme="minorHAnsi" w:hAnsi="Sylfaen"/>
                <w:sz w:val="22"/>
                <w:szCs w:val="22"/>
              </w:rPr>
              <w:t>&gt;</w:t>
            </w:r>
          </w:p>
          <w:p w14:paraId="04D91240" w14:textId="77777777" w:rsidR="004F5982" w:rsidRPr="004336EC" w:rsidRDefault="004F5982" w:rsidP="004F5982">
            <w:pPr>
              <w:spacing w:after="120" w:line="240" w:lineRule="auto"/>
              <w:ind w:left="220"/>
              <w:jc w:val="both"/>
              <w:rPr>
                <w:rFonts w:ascii="Sylfaen" w:hAnsi="Sylfaen"/>
              </w:rPr>
            </w:pPr>
            <w:r w:rsidRPr="004336EC">
              <w:rPr>
                <w:rStyle w:val="Bodytext20"/>
                <w:rFonts w:ascii="Sylfaen" w:eastAsiaTheme="minorHAnsi" w:hAnsi="Sylfaen"/>
                <w:sz w:val="22"/>
                <w:szCs w:val="22"/>
              </w:rPr>
              <w:t>&lt;AUC</w:t>
            </w:r>
            <w:r w:rsidRPr="004336EC">
              <w:rPr>
                <w:rStyle w:val="Bodytext28pt"/>
                <w:rFonts w:ascii="Sylfaen" w:eastAsiaTheme="minorHAnsi" w:hAnsi="Sylfaen"/>
                <w:sz w:val="22"/>
                <w:szCs w:val="22"/>
                <w:vertAlign w:val="subscript"/>
              </w:rPr>
              <w:t>(0-72 ժ)</w:t>
            </w:r>
            <w:r w:rsidRPr="004336EC">
              <w:rPr>
                <w:rStyle w:val="Bodytext20"/>
                <w:rFonts w:ascii="Sylfaen" w:eastAsiaTheme="minorHAnsi" w:hAnsi="Sylfaen"/>
                <w:sz w:val="22"/>
                <w:szCs w:val="22"/>
              </w:rPr>
              <w:t>&gt;</w:t>
            </w:r>
          </w:p>
        </w:tc>
        <w:tc>
          <w:tcPr>
            <w:tcW w:w="3389" w:type="dxa"/>
            <w:gridSpan w:val="3"/>
            <w:shd w:val="clear" w:color="auto" w:fill="FFFFFF"/>
          </w:tcPr>
          <w:p w14:paraId="169DD40E"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3FDCD668"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161A2BE6" w14:textId="77777777" w:rsidR="004F5982" w:rsidRPr="004336EC" w:rsidRDefault="004F5982" w:rsidP="004F5982">
            <w:pPr>
              <w:spacing w:after="120" w:line="240" w:lineRule="auto"/>
              <w:jc w:val="both"/>
              <w:rPr>
                <w:rFonts w:ascii="Sylfaen" w:hAnsi="Sylfaen"/>
              </w:rPr>
            </w:pPr>
          </w:p>
        </w:tc>
      </w:tr>
      <w:tr w:rsidR="004F5982" w:rsidRPr="004336EC" w14:paraId="72306938" w14:textId="77777777" w:rsidTr="004F5982">
        <w:tc>
          <w:tcPr>
            <w:tcW w:w="3082" w:type="dxa"/>
            <w:gridSpan w:val="2"/>
            <w:shd w:val="clear" w:color="auto" w:fill="FFFFFF"/>
            <w:vAlign w:val="bottom"/>
          </w:tcPr>
          <w:p w14:paraId="405E3E3B" w14:textId="77777777" w:rsidR="004F5982" w:rsidRPr="004336EC" w:rsidRDefault="004F5982" w:rsidP="004F5982">
            <w:pPr>
              <w:spacing w:after="120" w:line="240" w:lineRule="auto"/>
              <w:ind w:left="220"/>
              <w:jc w:val="both"/>
              <w:rPr>
                <w:rFonts w:ascii="Sylfaen" w:hAnsi="Sylfaen"/>
              </w:rPr>
            </w:pPr>
            <w:r w:rsidRPr="004336EC">
              <w:rPr>
                <w:rStyle w:val="Bodytext28pt"/>
                <w:rFonts w:ascii="Sylfaen" w:eastAsiaTheme="minorHAnsi" w:hAnsi="Sylfaen"/>
                <w:sz w:val="22"/>
                <w:szCs w:val="22"/>
              </w:rPr>
              <w:t>C</w:t>
            </w:r>
            <w:r w:rsidRPr="004336EC">
              <w:rPr>
                <w:rStyle w:val="Bodytext28pt"/>
                <w:rFonts w:ascii="Sylfaen" w:eastAsiaTheme="minorHAnsi" w:hAnsi="Sylfaen"/>
                <w:sz w:val="22"/>
                <w:szCs w:val="22"/>
                <w:vertAlign w:val="subscript"/>
              </w:rPr>
              <w:t>max</w:t>
            </w:r>
          </w:p>
        </w:tc>
        <w:tc>
          <w:tcPr>
            <w:tcW w:w="3389" w:type="dxa"/>
            <w:gridSpan w:val="3"/>
            <w:shd w:val="clear" w:color="auto" w:fill="FFFFFF"/>
          </w:tcPr>
          <w:p w14:paraId="7A86230A" w14:textId="77777777" w:rsidR="004F5982" w:rsidRPr="004336EC" w:rsidRDefault="004F5982" w:rsidP="004F5982">
            <w:pPr>
              <w:spacing w:after="120" w:line="240" w:lineRule="auto"/>
              <w:jc w:val="both"/>
              <w:rPr>
                <w:rFonts w:ascii="Sylfaen" w:hAnsi="Sylfaen"/>
              </w:rPr>
            </w:pPr>
          </w:p>
        </w:tc>
        <w:tc>
          <w:tcPr>
            <w:tcW w:w="1996" w:type="dxa"/>
            <w:gridSpan w:val="2"/>
            <w:shd w:val="clear" w:color="auto" w:fill="FFFFFF"/>
          </w:tcPr>
          <w:p w14:paraId="06FB2D06" w14:textId="77777777" w:rsidR="004F5982" w:rsidRPr="004336EC" w:rsidRDefault="004F5982" w:rsidP="004F5982">
            <w:pPr>
              <w:spacing w:after="120" w:line="240" w:lineRule="auto"/>
              <w:jc w:val="both"/>
              <w:rPr>
                <w:rFonts w:ascii="Sylfaen" w:hAnsi="Sylfaen"/>
              </w:rPr>
            </w:pPr>
          </w:p>
        </w:tc>
        <w:tc>
          <w:tcPr>
            <w:tcW w:w="1482" w:type="dxa"/>
            <w:shd w:val="clear" w:color="auto" w:fill="FFFFFF"/>
          </w:tcPr>
          <w:p w14:paraId="6CFAF25A" w14:textId="77777777" w:rsidR="004F5982" w:rsidRPr="004336EC" w:rsidRDefault="004F5982" w:rsidP="004F5982">
            <w:pPr>
              <w:spacing w:after="120" w:line="240" w:lineRule="auto"/>
              <w:jc w:val="both"/>
              <w:rPr>
                <w:rFonts w:ascii="Sylfaen" w:hAnsi="Sylfaen"/>
              </w:rPr>
            </w:pPr>
          </w:p>
        </w:tc>
      </w:tr>
      <w:tr w:rsidR="004F5982" w:rsidRPr="004336EC" w14:paraId="57F3B7E3" w14:textId="77777777" w:rsidTr="004F5982">
        <w:tc>
          <w:tcPr>
            <w:tcW w:w="9949" w:type="dxa"/>
            <w:gridSpan w:val="8"/>
            <w:shd w:val="clear" w:color="auto" w:fill="FFFFFF"/>
            <w:vAlign w:val="bottom"/>
          </w:tcPr>
          <w:p w14:paraId="4641735E"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4F5982" w:rsidRPr="004336EC" w14:paraId="7557F934" w14:textId="77777777" w:rsidTr="004F5982">
        <w:tc>
          <w:tcPr>
            <w:tcW w:w="9949" w:type="dxa"/>
            <w:gridSpan w:val="8"/>
            <w:shd w:val="clear" w:color="auto" w:fill="FFFFFF"/>
            <w:vAlign w:val="center"/>
          </w:tcPr>
          <w:p w14:paraId="3BE25808"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Փորձագետի մեկնաբանությունը՝</w:t>
            </w:r>
          </w:p>
        </w:tc>
      </w:tr>
      <w:tr w:rsidR="004F5982" w:rsidRPr="004336EC" w14:paraId="629696AD" w14:textId="77777777" w:rsidTr="004F5982">
        <w:tc>
          <w:tcPr>
            <w:tcW w:w="9949" w:type="dxa"/>
            <w:gridSpan w:val="8"/>
            <w:shd w:val="clear" w:color="auto" w:fill="FFFFFF"/>
          </w:tcPr>
          <w:p w14:paraId="4B0038F9" w14:textId="77777777" w:rsidR="004F5982" w:rsidRPr="004336EC" w:rsidRDefault="004F5982" w:rsidP="004F5982">
            <w:pPr>
              <w:spacing w:after="120" w:line="240" w:lineRule="auto"/>
              <w:jc w:val="both"/>
              <w:rPr>
                <w:rFonts w:ascii="Sylfaen" w:hAnsi="Sylfaen"/>
              </w:rPr>
            </w:pPr>
            <w:r w:rsidRPr="004336EC">
              <w:rPr>
                <w:rStyle w:val="Bodytext20"/>
                <w:rFonts w:ascii="Sylfaen" w:eastAsiaTheme="minorHAnsi" w:hAnsi="Sylfaen"/>
                <w:sz w:val="22"/>
                <w:szCs w:val="22"/>
              </w:rPr>
              <w:t>Անվտանգության վերաբերյալ տվյալները՝</w:t>
            </w:r>
          </w:p>
        </w:tc>
      </w:tr>
    </w:tbl>
    <w:p w14:paraId="461F4C1B" w14:textId="77777777" w:rsidR="004F5982" w:rsidRDefault="004F5982" w:rsidP="004F5982">
      <w:pPr>
        <w:spacing w:after="160" w:line="360" w:lineRule="auto"/>
        <w:jc w:val="both"/>
        <w:rPr>
          <w:rFonts w:ascii="Sylfaen" w:hAnsi="Sylfaen"/>
          <w:sz w:val="24"/>
          <w:szCs w:val="24"/>
        </w:rPr>
      </w:pPr>
    </w:p>
    <w:p w14:paraId="39B778CF" w14:textId="77777777" w:rsidR="004F5982" w:rsidRDefault="004F5982" w:rsidP="004F5982">
      <w:pPr>
        <w:spacing w:after="160" w:line="360" w:lineRule="auto"/>
        <w:jc w:val="both"/>
        <w:rPr>
          <w:rFonts w:ascii="Sylfaen" w:hAnsi="Sylfaen"/>
          <w:sz w:val="24"/>
          <w:szCs w:val="24"/>
        </w:rPr>
      </w:pPr>
    </w:p>
    <w:p w14:paraId="4EA25E3D" w14:textId="77777777" w:rsidR="00487007" w:rsidRDefault="00487007">
      <w:pPr>
        <w:widowControl/>
        <w:rPr>
          <w:rFonts w:ascii="Sylfaen" w:hAnsi="Sylfaen"/>
          <w:sz w:val="24"/>
          <w:szCs w:val="24"/>
        </w:rPr>
      </w:pPr>
      <w:r>
        <w:rPr>
          <w:rFonts w:ascii="Sylfaen" w:hAnsi="Sylfaen"/>
          <w:sz w:val="24"/>
          <w:szCs w:val="24"/>
        </w:rPr>
        <w:br w:type="page"/>
      </w:r>
    </w:p>
    <w:p w14:paraId="4606171D"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Եզրակացությունը</w:t>
      </w:r>
    </w:p>
    <w:p w14:paraId="72B17BE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կենսահամարժեք&gt;:</w:t>
      </w:r>
    </w:p>
    <w:p w14:paraId="1DEBABAF" w14:textId="77777777" w:rsidR="004F5982" w:rsidRPr="00826F05" w:rsidRDefault="004F5982" w:rsidP="00487007">
      <w:pPr>
        <w:tabs>
          <w:tab w:val="left" w:pos="1701"/>
        </w:tabs>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կամ</w:t>
      </w:r>
    </w:p>
    <w:p w14:paraId="75260CCC" w14:textId="77777777" w:rsidR="004F5982" w:rsidRPr="00826F05" w:rsidRDefault="004F5982" w:rsidP="00487007">
      <w:pPr>
        <w:spacing w:after="160" w:line="360" w:lineRule="auto"/>
        <w:ind w:right="-2" w:firstLine="567"/>
        <w:jc w:val="both"/>
        <w:rPr>
          <w:rFonts w:ascii="Sylfaen" w:eastAsia="Times New Roman" w:hAnsi="Sylfaen" w:cs="Times New Roman"/>
          <w:i/>
          <w:sz w:val="24"/>
          <w:szCs w:val="24"/>
        </w:rPr>
      </w:pPr>
      <w:r w:rsidRPr="00826F05">
        <w:rPr>
          <w:rFonts w:ascii="Sylfaen" w:hAnsi="Sylfaen"/>
          <w:i/>
          <w:sz w:val="24"/>
          <w:szCs w:val="24"/>
        </w:rPr>
        <w:t>&lt;Հաշվի առնելով [նշել հիմքերը] հետ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 ճանաչվում է [նշել</w:t>
      </w:r>
      <w:r>
        <w:rPr>
          <w:rFonts w:ascii="Sylfaen" w:hAnsi="Sylfaen"/>
          <w:i/>
          <w:sz w:val="24"/>
          <w:szCs w:val="24"/>
        </w:rPr>
        <w:t> </w:t>
      </w:r>
      <w:r w:rsidRPr="00826F05">
        <w:rPr>
          <w:rFonts w:ascii="Sylfaen" w:hAnsi="Sylfaen"/>
          <w:i/>
          <w:sz w:val="24"/>
          <w:szCs w:val="24"/>
        </w:rPr>
        <w:t>համեմատման պատրաստուկի անվանումը]-ին կենսահամարժեք &gt;:</w:t>
      </w:r>
    </w:p>
    <w:p w14:paraId="4FC5DF1A"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ակերպումը՝</w:t>
      </w:r>
    </w:p>
    <w:p w14:paraId="750CBEFC"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&lt;[XX մգ] պարունակող պատրաստուկով [հետազոտության համարը] հետազոտության արդյունքները [կարող են (չեն կարող)] արտարկվել այլ [XX մգ] դոզավորումների՝ Միության վերարտադրված դեղապատրաստուկների հետազոտությունների անցկացման կանոններում շարադրված պայմաններին համապատասխան&gt;:</w:t>
      </w:r>
    </w:p>
    <w:p w14:paraId="0507C1E3" w14:textId="77777777" w:rsidR="004F5982" w:rsidRPr="00826F05" w:rsidRDefault="004F5982" w:rsidP="00487007">
      <w:pPr>
        <w:spacing w:after="160" w:line="360" w:lineRule="auto"/>
        <w:jc w:val="both"/>
        <w:rPr>
          <w:rFonts w:ascii="Sylfaen" w:hAnsi="Sylfaen"/>
          <w:sz w:val="24"/>
          <w:szCs w:val="24"/>
        </w:rPr>
      </w:pPr>
    </w:p>
    <w:p w14:paraId="15A5CA27" w14:textId="77777777" w:rsidR="004F5982" w:rsidRPr="00826F05" w:rsidRDefault="004F5982" w:rsidP="00487007">
      <w:pPr>
        <w:spacing w:after="160" w:line="360" w:lineRule="auto"/>
        <w:ind w:right="-4"/>
        <w:jc w:val="center"/>
        <w:rPr>
          <w:rFonts w:ascii="Sylfaen" w:eastAsia="Times New Roman" w:hAnsi="Sylfaen" w:cs="Times New Roman"/>
          <w:sz w:val="24"/>
          <w:szCs w:val="24"/>
        </w:rPr>
      </w:pPr>
      <w:r w:rsidRPr="00826F05">
        <w:rPr>
          <w:rFonts w:ascii="Sylfaen" w:hAnsi="Sylfaen"/>
          <w:sz w:val="24"/>
          <w:szCs w:val="24"/>
        </w:rPr>
        <w:t>2.3.2. Դեղադինամիկան</w:t>
      </w:r>
    </w:p>
    <w:p w14:paraId="144905D9" w14:textId="6395CE2F"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50721AD7"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447C8F1C" w14:textId="77777777" w:rsidR="004F5982" w:rsidRPr="00826F05" w:rsidRDefault="004F5982" w:rsidP="00487007">
      <w:pPr>
        <w:spacing w:after="160" w:line="360" w:lineRule="auto"/>
        <w:ind w:firstLine="567"/>
        <w:jc w:val="both"/>
        <w:rPr>
          <w:rFonts w:ascii="Sylfaen" w:hAnsi="Sylfaen"/>
          <w:sz w:val="24"/>
          <w:szCs w:val="24"/>
        </w:rPr>
      </w:pPr>
    </w:p>
    <w:p w14:paraId="798AF950"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638B7197" w14:textId="77777777" w:rsidR="004F5982" w:rsidRPr="00826F05" w:rsidRDefault="004F5982" w:rsidP="00487007">
      <w:pPr>
        <w:spacing w:after="160" w:line="360" w:lineRule="auto"/>
        <w:ind w:right="-2" w:firstLine="567"/>
        <w:jc w:val="both"/>
        <w:rPr>
          <w:rFonts w:ascii="Sylfaen" w:hAnsi="Sylfaen"/>
          <w:sz w:val="24"/>
          <w:szCs w:val="24"/>
        </w:rPr>
      </w:pPr>
      <w:r w:rsidRPr="00826F05">
        <w:rPr>
          <w:rFonts w:ascii="Sylfaen" w:hAnsi="Sylfaen"/>
          <w:i/>
          <w:sz w:val="24"/>
          <w:szCs w:val="24"/>
        </w:rPr>
        <w:t xml:space="preserve">&lt;Կիրառման հետգրանցումային փորձը բացակայում է: Դեղապատրաստուկը Միության սահմաններից դուրս չի կիրառվել&gt;: </w:t>
      </w:r>
    </w:p>
    <w:p w14:paraId="77918DB0" w14:textId="77777777" w:rsidR="004F5982" w:rsidRDefault="004F5982" w:rsidP="00487007">
      <w:pPr>
        <w:spacing w:after="160" w:line="360" w:lineRule="auto"/>
        <w:ind w:left="567" w:right="565"/>
        <w:jc w:val="center"/>
        <w:rPr>
          <w:rFonts w:ascii="Sylfaen" w:hAnsi="Sylfaen"/>
          <w:sz w:val="24"/>
          <w:szCs w:val="24"/>
        </w:rPr>
      </w:pPr>
    </w:p>
    <w:p w14:paraId="25F57EFE"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lastRenderedPageBreak/>
        <w:t>2.3.4. Կլինիկական ասպեկտների քննարկումը</w:t>
      </w:r>
    </w:p>
    <w:p w14:paraId="56159909"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2.3.5. Կլինիկական ասպեկտների վերաբերյալ եզրակացությունը</w:t>
      </w:r>
    </w:p>
    <w:p w14:paraId="159CC20B"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0A280D">
        <w:rPr>
          <w:rFonts w:ascii="Sylfaen" w:hAnsi="Sylfaen"/>
          <w:i/>
          <w:sz w:val="24"/>
          <w:szCs w:val="24"/>
        </w:rPr>
        <w:t xml:space="preserve"> հիմնավորումն այն բանի,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0A280D">
        <w:rPr>
          <w:rFonts w:ascii="Sylfaen" w:hAnsi="Sylfaen"/>
          <w:i/>
          <w:sz w:val="24"/>
          <w:szCs w:val="24"/>
        </w:rPr>
        <w:t xml:space="preserve"> արդյունավետության պրոֆիլից, ներկայացվել</w:t>
      </w:r>
      <w:r>
        <w:rPr>
          <w:rFonts w:ascii="Sylfaen" w:hAnsi="Sylfaen"/>
          <w:i/>
          <w:sz w:val="24"/>
          <w:szCs w:val="24"/>
        </w:rPr>
        <w:t> </w:t>
      </w:r>
      <w:r w:rsidRPr="000A280D">
        <w:rPr>
          <w:rFonts w:ascii="Sylfaen" w:hAnsi="Sylfaen"/>
          <w:i/>
          <w:sz w:val="24"/>
          <w:szCs w:val="24"/>
        </w:rPr>
        <w:t xml:space="preserve">են [չեն ներկայացվել] </w:t>
      </w:r>
      <w:r w:rsidR="00C54D75">
        <w:rPr>
          <w:rFonts w:ascii="Sylfaen" w:hAnsi="Sylfaen"/>
          <w:i/>
          <w:sz w:val="24"/>
          <w:szCs w:val="24"/>
        </w:rPr>
        <w:t>և</w:t>
      </w:r>
      <w:r w:rsidRPr="000A280D">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w:t>
      </w:r>
      <w:r>
        <w:rPr>
          <w:rFonts w:ascii="Sylfaen" w:hAnsi="Sylfaen"/>
          <w:i/>
          <w:sz w:val="24"/>
          <w:szCs w:val="24"/>
        </w:rPr>
        <w:t> </w:t>
      </w:r>
      <w:r w:rsidRPr="000A280D">
        <w:rPr>
          <w:rFonts w:ascii="Sylfaen" w:hAnsi="Sylfaen"/>
          <w:i/>
          <w:sz w:val="24"/>
          <w:szCs w:val="24"/>
        </w:rPr>
        <w:t>պահանջվում] կլինիկական լրացուցիչ հետազոտությունների անցկացում&gt;:</w:t>
      </w:r>
    </w:p>
    <w:p w14:paraId="39CCD652" w14:textId="77777777" w:rsidR="004F5982" w:rsidRPr="000A280D" w:rsidRDefault="004F5982" w:rsidP="00487007">
      <w:pPr>
        <w:spacing w:after="160" w:line="360" w:lineRule="auto"/>
        <w:ind w:right="-2" w:firstLine="567"/>
        <w:jc w:val="both"/>
        <w:rPr>
          <w:rFonts w:ascii="Sylfaen" w:eastAsia="Times New Roman" w:hAnsi="Sylfaen" w:cs="Times New Roman"/>
          <w:i/>
          <w:sz w:val="24"/>
          <w:szCs w:val="24"/>
        </w:rPr>
      </w:pPr>
      <w:r w:rsidRPr="000A280D">
        <w:rPr>
          <w:rFonts w:ascii="Sylfaen" w:hAnsi="Sylfaen"/>
          <w:i/>
          <w:sz w:val="24"/>
          <w:szCs w:val="24"/>
        </w:rPr>
        <w:t>&lt;Կլինիկական ասպեկտների վերաբերյալ դիտողությունները վերացնելու համար անհրաժեշտ եմ համարում հետ</w:t>
      </w:r>
      <w:r w:rsidR="00C54D75">
        <w:rPr>
          <w:rFonts w:ascii="Sylfaen" w:hAnsi="Sylfaen"/>
          <w:i/>
          <w:sz w:val="24"/>
          <w:szCs w:val="24"/>
        </w:rPr>
        <w:t>և</w:t>
      </w:r>
      <w:r w:rsidRPr="000A280D">
        <w:rPr>
          <w:rFonts w:ascii="Sylfaen" w:hAnsi="Sylfaen"/>
          <w:i/>
          <w:sz w:val="24"/>
          <w:szCs w:val="24"/>
        </w:rPr>
        <w:t>յալ միջոցների ձեռնարկումը՝ [թվարկել</w:t>
      </w:r>
      <w:r>
        <w:rPr>
          <w:rFonts w:ascii="Sylfaen" w:hAnsi="Sylfaen"/>
          <w:i/>
          <w:sz w:val="24"/>
          <w:szCs w:val="24"/>
        </w:rPr>
        <w:t> </w:t>
      </w:r>
      <w:r w:rsidRPr="000A280D">
        <w:rPr>
          <w:rFonts w:ascii="Sylfaen" w:hAnsi="Sylfaen"/>
          <w:i/>
          <w:sz w:val="24"/>
          <w:szCs w:val="24"/>
        </w:rPr>
        <w:t>անհրաժեշտ միջոցները]&gt;:</w:t>
      </w:r>
    </w:p>
    <w:p w14:paraId="0246D5B8" w14:textId="77777777" w:rsidR="004F5982" w:rsidRPr="00826F05" w:rsidRDefault="004F5982" w:rsidP="00487007">
      <w:pPr>
        <w:spacing w:after="160" w:line="360" w:lineRule="auto"/>
        <w:jc w:val="both"/>
        <w:rPr>
          <w:rFonts w:ascii="Sylfaen" w:hAnsi="Sylfaen"/>
          <w:sz w:val="24"/>
          <w:szCs w:val="24"/>
        </w:rPr>
      </w:pPr>
    </w:p>
    <w:p w14:paraId="7281A3B8" w14:textId="77777777" w:rsidR="004F5982" w:rsidRPr="00826F05"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3. Դեղազգոնությունը</w:t>
      </w:r>
    </w:p>
    <w:p w14:paraId="7272CCA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3.1. Դեղազգոնության համակարգը</w:t>
      </w:r>
    </w:p>
    <w:p w14:paraId="3922B295" w14:textId="3CF394C1"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փաստաթղթեր, որոնք պարունակում են դեղազգոնության համակարգի մանրամասն նկարագրությունը: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պետություններում առաջացող ցանկացած անցանկալի ռեակցիայի մասին ծանուցելու համար անհրաժեշտ միջոցներ&gt;:</w:t>
      </w:r>
    </w:p>
    <w:p w14:paraId="0329DEB7" w14:textId="0346754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&lt;Համարում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բավարար </w:t>
      </w:r>
      <w:r w:rsidRPr="00826F05">
        <w:rPr>
          <w:rFonts w:ascii="Sylfaen" w:hAnsi="Sylfaen"/>
          <w:i/>
          <w:sz w:val="24"/>
          <w:szCs w:val="24"/>
        </w:rPr>
        <w:lastRenderedPageBreak/>
        <w:t xml:space="preserve">հաստատումն այն բանի,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7851CB20" w14:textId="4C9E9030"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&lt;Կարծում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&lt;թերությունների ցանկը&gt;:</w:t>
      </w:r>
    </w:p>
    <w:p w14:paraId="74EA70C0" w14:textId="6D8E5B0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&lt;Մինչ</w:t>
      </w:r>
      <w:r w:rsidR="00C54D75">
        <w:rPr>
          <w:rFonts w:ascii="Sylfaen" w:hAnsi="Sylfaen"/>
          <w:i/>
          <w:sz w:val="24"/>
          <w:szCs w:val="24"/>
        </w:rPr>
        <w:t>և</w:t>
      </w:r>
      <w:r w:rsidRPr="00826F05">
        <w:rPr>
          <w:rFonts w:ascii="Sylfaen" w:hAnsi="Sylfaen"/>
          <w:i/>
          <w:sz w:val="24"/>
          <w:szCs w:val="24"/>
        </w:rPr>
        <w:t xml:space="preserve"> դեղապատրաստուկի իրացման մեկնարկը </w:t>
      </w:r>
      <w:r w:rsidR="0056496B">
        <w:rPr>
          <w:rFonts w:ascii="Sylfaen" w:hAnsi="Sylfaen"/>
          <w:i/>
          <w:sz w:val="24"/>
          <w:szCs w:val="24"/>
        </w:rPr>
        <w:t>դիմումատու</w:t>
      </w:r>
      <w:r w:rsidRPr="00826F05">
        <w:rPr>
          <w:rFonts w:ascii="Sylfaen" w:hAnsi="Sylfaen"/>
          <w:i/>
          <w:sz w:val="24"/>
          <w:szCs w:val="24"/>
        </w:rPr>
        <w:t xml:space="preserve">ի կողմից թերությունները վերացնելու դեպքում լիազորված մարմինը կարող է դեղազգոնության համակարգը ճանաչել որպես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w:t>
      </w:r>
    </w:p>
    <w:p w14:paraId="60F47CB2"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i/>
          <w:sz w:val="24"/>
          <w:szCs w:val="24"/>
        </w:rPr>
        <w:t>Փորձագետի մեկնաբանությունը՝</w:t>
      </w:r>
    </w:p>
    <w:p w14:paraId="1E6097C0" w14:textId="77777777" w:rsidR="004F5982" w:rsidRDefault="004F5982" w:rsidP="00487007">
      <w:pPr>
        <w:spacing w:after="160" w:line="360" w:lineRule="auto"/>
        <w:ind w:right="-4"/>
        <w:jc w:val="both"/>
        <w:rPr>
          <w:rFonts w:ascii="Sylfaen" w:hAnsi="Sylfaen"/>
          <w:sz w:val="24"/>
          <w:szCs w:val="24"/>
        </w:rPr>
      </w:pPr>
    </w:p>
    <w:p w14:paraId="7AAA677B"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3.2. Ռիսկերի կառավարման պլանը</w:t>
      </w:r>
    </w:p>
    <w:p w14:paraId="7650C581" w14:textId="77777777" w:rsidR="004F5982" w:rsidRPr="00826F05" w:rsidRDefault="004F5982" w:rsidP="00487007">
      <w:pPr>
        <w:spacing w:after="160" w:line="360" w:lineRule="auto"/>
        <w:ind w:right="-2" w:firstLine="567"/>
        <w:jc w:val="both"/>
        <w:rPr>
          <w:rFonts w:ascii="Sylfaen" w:eastAsia="Times New Roman" w:hAnsi="Sylfaen" w:cs="Times New Roman"/>
          <w:sz w:val="24"/>
          <w:szCs w:val="24"/>
        </w:rPr>
      </w:pPr>
      <w:r w:rsidRPr="00826F05">
        <w:rPr>
          <w:rFonts w:ascii="Sylfaen" w:hAnsi="Sylfaen"/>
          <w:sz w:val="24"/>
          <w:szCs w:val="24"/>
        </w:rPr>
        <w:t xml:space="preserve">Դիտողություններ </w:t>
      </w:r>
      <w:r w:rsidR="00C54D75">
        <w:rPr>
          <w:rFonts w:ascii="Sylfaen" w:hAnsi="Sylfaen"/>
          <w:sz w:val="24"/>
          <w:szCs w:val="24"/>
        </w:rPr>
        <w:t>և</w:t>
      </w:r>
      <w:r w:rsidRPr="00826F05">
        <w:rPr>
          <w:rFonts w:ascii="Sylfaen" w:hAnsi="Sylfaen"/>
          <w:sz w:val="24"/>
          <w:szCs w:val="24"/>
        </w:rPr>
        <w:t xml:space="preserve"> (կամ) կասկածներ, որոնք փորձագետը պետք է հաշվի</w:t>
      </w:r>
      <w:r>
        <w:rPr>
          <w:rFonts w:ascii="Sylfaen" w:hAnsi="Sylfaen"/>
          <w:sz w:val="24"/>
          <w:szCs w:val="24"/>
        </w:rPr>
        <w:t> </w:t>
      </w:r>
      <w:r w:rsidRPr="00826F05">
        <w:rPr>
          <w:rFonts w:ascii="Sylfaen" w:hAnsi="Sylfaen"/>
          <w:sz w:val="24"/>
          <w:szCs w:val="24"/>
        </w:rPr>
        <w:t>առնի ՌԿՊ-ի փորձաքննության ժամանակ՝</w:t>
      </w:r>
    </w:p>
    <w:p w14:paraId="13B5CE64" w14:textId="77777777" w:rsidR="004F5982" w:rsidRPr="00826F05" w:rsidRDefault="004F5982" w:rsidP="00487007">
      <w:pPr>
        <w:spacing w:after="160" w:line="360" w:lineRule="auto"/>
        <w:jc w:val="both"/>
        <w:rPr>
          <w:rFonts w:ascii="Sylfaen" w:hAnsi="Sylfaen"/>
          <w:sz w:val="24"/>
          <w:szCs w:val="24"/>
        </w:rPr>
      </w:pPr>
    </w:p>
    <w:p w14:paraId="40BB94CA"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747E7A4" w14:textId="77777777" w:rsidR="004F5982" w:rsidRDefault="004F5982" w:rsidP="00487007">
      <w:pPr>
        <w:spacing w:after="160" w:line="360" w:lineRule="auto"/>
        <w:ind w:left="567" w:right="-2"/>
        <w:jc w:val="both"/>
        <w:rPr>
          <w:rFonts w:ascii="Sylfaen" w:hAnsi="Sylfaen"/>
          <w:sz w:val="24"/>
          <w:szCs w:val="24"/>
        </w:rPr>
      </w:pPr>
      <w:r w:rsidRPr="00826F05">
        <w:rPr>
          <w:rFonts w:ascii="Sylfaen" w:hAnsi="Sylfaen"/>
          <w:sz w:val="24"/>
          <w:szCs w:val="24"/>
        </w:rPr>
        <w:t>Նախակլինիկական ասպեկտները՝</w:t>
      </w:r>
    </w:p>
    <w:p w14:paraId="1C8E6BC0" w14:textId="77777777" w:rsidR="004F5982" w:rsidRPr="00826F05" w:rsidRDefault="004F5982" w:rsidP="00487007">
      <w:pPr>
        <w:spacing w:after="160" w:line="360" w:lineRule="auto"/>
        <w:ind w:left="567" w:right="4534"/>
        <w:jc w:val="both"/>
        <w:rPr>
          <w:rFonts w:ascii="Sylfaen" w:eastAsia="Times New Roman" w:hAnsi="Sylfaen" w:cs="Times New Roman"/>
          <w:sz w:val="24"/>
          <w:szCs w:val="24"/>
        </w:rPr>
      </w:pPr>
    </w:p>
    <w:p w14:paraId="1EC87141"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0AAD8F8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3F68CBE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3262E875"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177CA94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lastRenderedPageBreak/>
        <w:t>&lt;Թունաբանությունը&gt;</w:t>
      </w:r>
    </w:p>
    <w:p w14:paraId="2477857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1847798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090CEC7C"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&lt;Դեղաբանությունը&gt;</w:t>
      </w:r>
    </w:p>
    <w:p w14:paraId="4FD90160"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53169FC8" w14:textId="77777777" w:rsidR="004F5982" w:rsidRDefault="004F5982" w:rsidP="00487007">
      <w:pPr>
        <w:spacing w:after="160" w:line="360" w:lineRule="auto"/>
        <w:ind w:left="1134" w:right="-20"/>
        <w:jc w:val="both"/>
        <w:rPr>
          <w:rFonts w:ascii="Sylfaen" w:hAnsi="Sylfaen"/>
          <w:sz w:val="24"/>
          <w:szCs w:val="24"/>
        </w:rPr>
      </w:pPr>
      <w:r w:rsidRPr="00826F05">
        <w:rPr>
          <w:rFonts w:ascii="Sylfaen" w:hAnsi="Sylfaen"/>
          <w:sz w:val="24"/>
          <w:szCs w:val="24"/>
        </w:rPr>
        <w:t>&lt;Թունաբանությունը&gt;</w:t>
      </w:r>
    </w:p>
    <w:p w14:paraId="25FCA8AE"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p>
    <w:p w14:paraId="68DFD9B3" w14:textId="77777777" w:rsidR="004F5982" w:rsidRDefault="004F5982" w:rsidP="00487007">
      <w:pPr>
        <w:spacing w:after="160" w:line="360" w:lineRule="auto"/>
        <w:ind w:left="567" w:right="-20"/>
        <w:jc w:val="both"/>
        <w:rPr>
          <w:rFonts w:ascii="Sylfaen" w:hAnsi="Sylfaen"/>
          <w:sz w:val="24"/>
          <w:szCs w:val="24"/>
        </w:rPr>
      </w:pPr>
      <w:r w:rsidRPr="00826F05">
        <w:rPr>
          <w:rFonts w:ascii="Sylfaen" w:hAnsi="Sylfaen"/>
          <w:sz w:val="24"/>
          <w:szCs w:val="24"/>
        </w:rPr>
        <w:t>Կլինիկական ասպեկտները՝</w:t>
      </w:r>
    </w:p>
    <w:p w14:paraId="6EAF9499" w14:textId="77777777" w:rsidR="004F5982" w:rsidRPr="00826F05" w:rsidRDefault="004F5982" w:rsidP="00487007">
      <w:pPr>
        <w:spacing w:after="160" w:line="360" w:lineRule="auto"/>
        <w:ind w:left="810" w:right="-20"/>
        <w:jc w:val="both"/>
        <w:rPr>
          <w:rFonts w:ascii="Sylfaen" w:eastAsia="Times New Roman" w:hAnsi="Sylfaen" w:cs="Times New Roman"/>
          <w:sz w:val="24"/>
          <w:szCs w:val="24"/>
        </w:rPr>
      </w:pPr>
    </w:p>
    <w:p w14:paraId="60E492FD" w14:textId="77777777" w:rsidR="004F5982" w:rsidRPr="00826F05" w:rsidRDefault="004F5982" w:rsidP="00487007">
      <w:pPr>
        <w:spacing w:after="160" w:line="360" w:lineRule="auto"/>
        <w:ind w:left="567" w:right="-2"/>
        <w:jc w:val="both"/>
        <w:rPr>
          <w:rFonts w:ascii="Sylfaen" w:eastAsia="Times New Roman" w:hAnsi="Sylfaen" w:cs="Times New Roman"/>
          <w:sz w:val="24"/>
          <w:szCs w:val="24"/>
        </w:rPr>
      </w:pPr>
      <w:r w:rsidRPr="00826F05">
        <w:rPr>
          <w:rFonts w:ascii="Sylfaen" w:hAnsi="Sylfaen"/>
          <w:sz w:val="24"/>
          <w:szCs w:val="24"/>
        </w:rPr>
        <w:t>Կրիտիկական դիտողությունները՝</w:t>
      </w:r>
    </w:p>
    <w:p w14:paraId="3BE7D2D8"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479087A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0EAFF931"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0FF78E24"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&lt;Ռիսկերի կառավարման պլանը&gt;</w:t>
      </w:r>
    </w:p>
    <w:p w14:paraId="2714BD8B" w14:textId="77777777" w:rsidR="004F5982" w:rsidRDefault="004F5982" w:rsidP="00487007">
      <w:pPr>
        <w:spacing w:after="160" w:line="360" w:lineRule="auto"/>
        <w:ind w:left="567" w:right="-20"/>
        <w:jc w:val="both"/>
        <w:rPr>
          <w:rFonts w:ascii="Sylfaen" w:hAnsi="Sylfaen"/>
          <w:sz w:val="24"/>
          <w:szCs w:val="24"/>
        </w:rPr>
      </w:pPr>
    </w:p>
    <w:p w14:paraId="61B83564" w14:textId="77777777" w:rsidR="004F5982" w:rsidRPr="00826F05" w:rsidRDefault="004F5982" w:rsidP="00487007">
      <w:pPr>
        <w:spacing w:after="160" w:line="360" w:lineRule="auto"/>
        <w:ind w:left="567" w:right="-20"/>
        <w:jc w:val="both"/>
        <w:rPr>
          <w:rFonts w:ascii="Sylfaen" w:eastAsia="Times New Roman" w:hAnsi="Sylfaen" w:cs="Times New Roman"/>
          <w:sz w:val="24"/>
          <w:szCs w:val="24"/>
        </w:rPr>
      </w:pPr>
      <w:r w:rsidRPr="00826F05">
        <w:rPr>
          <w:rFonts w:ascii="Sylfaen" w:hAnsi="Sylfaen"/>
          <w:sz w:val="24"/>
          <w:szCs w:val="24"/>
        </w:rPr>
        <w:t>Այլ դիտողություններ՝</w:t>
      </w:r>
    </w:p>
    <w:p w14:paraId="72E52A7F"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i/>
          <w:sz w:val="24"/>
          <w:szCs w:val="24"/>
        </w:rPr>
        <w:t>&lt;Բացակայում են&gt;</w:t>
      </w:r>
    </w:p>
    <w:p w14:paraId="5C9C3CE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&lt;Դեղակինետիկան&gt;</w:t>
      </w:r>
    </w:p>
    <w:p w14:paraId="70DA346D" w14:textId="77777777" w:rsidR="004F5982" w:rsidRPr="00826F05" w:rsidRDefault="004F5982" w:rsidP="00487007">
      <w:pPr>
        <w:spacing w:after="160" w:line="360" w:lineRule="auto"/>
        <w:ind w:left="1134" w:right="-20"/>
        <w:jc w:val="both"/>
        <w:rPr>
          <w:rFonts w:ascii="Sylfaen" w:eastAsia="Times New Roman" w:hAnsi="Sylfaen" w:cs="Times New Roman"/>
          <w:sz w:val="24"/>
          <w:szCs w:val="24"/>
        </w:rPr>
      </w:pPr>
      <w:r w:rsidRPr="00826F05">
        <w:rPr>
          <w:rFonts w:ascii="Sylfaen" w:hAnsi="Sylfaen"/>
          <w:sz w:val="24"/>
          <w:szCs w:val="24"/>
        </w:rPr>
        <w:t>&lt;Դեղազգոնության համակարգը&gt;</w:t>
      </w:r>
    </w:p>
    <w:p w14:paraId="7E1A1BC0" w14:textId="77777777" w:rsidR="004F5982" w:rsidRPr="00826F05" w:rsidRDefault="004F5982" w:rsidP="00487007">
      <w:pPr>
        <w:spacing w:after="160" w:line="360" w:lineRule="auto"/>
        <w:ind w:left="1134" w:right="-2"/>
        <w:jc w:val="both"/>
        <w:rPr>
          <w:rFonts w:ascii="Sylfaen" w:hAnsi="Sylfaen"/>
          <w:sz w:val="24"/>
          <w:szCs w:val="24"/>
        </w:rPr>
      </w:pPr>
      <w:r w:rsidRPr="00826F05">
        <w:rPr>
          <w:rFonts w:ascii="Sylfaen" w:hAnsi="Sylfaen"/>
          <w:sz w:val="24"/>
          <w:szCs w:val="24"/>
        </w:rPr>
        <w:t xml:space="preserve">&lt;Ռիսկերի կառավարման պլանը&gt; </w:t>
      </w:r>
    </w:p>
    <w:p w14:paraId="4AA79327" w14:textId="77777777" w:rsidR="004F5982" w:rsidRDefault="004F5982" w:rsidP="00487007">
      <w:pPr>
        <w:spacing w:after="160" w:line="360" w:lineRule="auto"/>
        <w:ind w:left="810" w:right="4543" w:firstLine="425"/>
        <w:jc w:val="both"/>
        <w:rPr>
          <w:rFonts w:ascii="Sylfaen" w:hAnsi="Sylfaen"/>
          <w:sz w:val="24"/>
          <w:szCs w:val="24"/>
        </w:rPr>
      </w:pPr>
    </w:p>
    <w:p w14:paraId="19C5297E" w14:textId="77777777" w:rsidR="004F5982" w:rsidRDefault="004F5982" w:rsidP="00487007">
      <w:pPr>
        <w:spacing w:after="160" w:line="360" w:lineRule="auto"/>
        <w:ind w:left="567" w:right="4543" w:firstLine="41"/>
        <w:jc w:val="both"/>
        <w:rPr>
          <w:rFonts w:ascii="Sylfaen" w:hAnsi="Sylfaen"/>
          <w:sz w:val="24"/>
          <w:szCs w:val="24"/>
        </w:rPr>
      </w:pPr>
      <w:r w:rsidRPr="00826F05">
        <w:rPr>
          <w:rFonts w:ascii="Sylfaen" w:hAnsi="Sylfaen"/>
          <w:sz w:val="24"/>
          <w:szCs w:val="24"/>
        </w:rPr>
        <w:t>Առաջարկությունները՝</w:t>
      </w:r>
    </w:p>
    <w:p w14:paraId="3BD596F3" w14:textId="77777777" w:rsidR="004F5982" w:rsidRPr="00826F05" w:rsidRDefault="004F5982" w:rsidP="00487007">
      <w:pPr>
        <w:spacing w:after="160" w:line="360" w:lineRule="auto"/>
        <w:ind w:left="810" w:right="4543" w:firstLine="425"/>
        <w:jc w:val="both"/>
        <w:rPr>
          <w:rFonts w:ascii="Sylfaen" w:eastAsia="Times New Roman" w:hAnsi="Sylfaen" w:cs="Times New Roman"/>
          <w:sz w:val="24"/>
          <w:szCs w:val="24"/>
        </w:rPr>
      </w:pPr>
    </w:p>
    <w:p w14:paraId="0C0CA965" w14:textId="03154452"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հրահանգները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5CCB353F" w14:textId="77777777" w:rsidR="004F5982" w:rsidRPr="00826F05" w:rsidRDefault="004F5982" w:rsidP="00487007">
      <w:pPr>
        <w:spacing w:after="160" w:line="360" w:lineRule="auto"/>
        <w:ind w:right="-4"/>
        <w:jc w:val="both"/>
        <w:rPr>
          <w:rFonts w:ascii="Sylfaen" w:hAnsi="Sylfaen"/>
          <w:sz w:val="24"/>
          <w:szCs w:val="24"/>
        </w:rPr>
      </w:pPr>
    </w:p>
    <w:p w14:paraId="7AC69C82" w14:textId="77777777" w:rsidR="004F5982" w:rsidRDefault="004F5982" w:rsidP="00487007">
      <w:pPr>
        <w:spacing w:after="160" w:line="360" w:lineRule="auto"/>
        <w:ind w:left="567" w:right="565"/>
        <w:jc w:val="center"/>
        <w:rPr>
          <w:rFonts w:ascii="Sylfaen" w:hAnsi="Sylfaen"/>
          <w:sz w:val="24"/>
          <w:szCs w:val="24"/>
        </w:rPr>
      </w:pPr>
      <w:r w:rsidRPr="00826F05">
        <w:rPr>
          <w:rFonts w:ascii="Sylfaen" w:hAnsi="Sylfaen"/>
          <w:sz w:val="24"/>
          <w:szCs w:val="24"/>
        </w:rPr>
        <w:t>6. Գրականության ցանկը</w:t>
      </w:r>
    </w:p>
    <w:p w14:paraId="306F1346" w14:textId="77777777" w:rsidR="004F5982" w:rsidRPr="002618FA" w:rsidRDefault="004F5982" w:rsidP="004F5982">
      <w:pPr>
        <w:spacing w:after="160" w:line="360" w:lineRule="auto"/>
        <w:ind w:left="567" w:right="565"/>
        <w:jc w:val="center"/>
        <w:rPr>
          <w:rFonts w:ascii="Sylfaen" w:hAnsi="Sylfaen"/>
          <w:sz w:val="24"/>
          <w:szCs w:val="24"/>
        </w:rPr>
      </w:pPr>
      <w:r>
        <w:rPr>
          <w:rFonts w:ascii="Sylfaen" w:hAnsi="Sylfaen"/>
          <w:sz w:val="24"/>
          <w:szCs w:val="24"/>
        </w:rPr>
        <w:t>————————</w:t>
      </w:r>
    </w:p>
    <w:p w14:paraId="30433B93" w14:textId="77777777" w:rsidR="004F5982" w:rsidRPr="002618FA" w:rsidRDefault="004F5982" w:rsidP="004F5982">
      <w:pPr>
        <w:spacing w:after="160" w:line="360" w:lineRule="auto"/>
        <w:ind w:right="-4"/>
        <w:jc w:val="both"/>
        <w:rPr>
          <w:rFonts w:ascii="Sylfaen" w:eastAsia="Times New Roman" w:hAnsi="Sylfaen" w:cs="Times New Roman"/>
          <w:sz w:val="24"/>
          <w:szCs w:val="24"/>
        </w:rPr>
      </w:pPr>
    </w:p>
    <w:p w14:paraId="1E513365" w14:textId="77777777" w:rsidR="004F5982" w:rsidRPr="00826F05" w:rsidRDefault="004F5982" w:rsidP="004F5982">
      <w:pPr>
        <w:spacing w:after="160" w:line="360" w:lineRule="auto"/>
        <w:ind w:right="-6" w:firstLine="567"/>
        <w:jc w:val="both"/>
        <w:rPr>
          <w:rFonts w:ascii="Sylfaen" w:eastAsia="Times New Roman" w:hAnsi="Sylfaen" w:cs="Times New Roman"/>
          <w:sz w:val="24"/>
          <w:szCs w:val="24"/>
        </w:rPr>
        <w:sectPr w:rsidR="004F5982" w:rsidRPr="00826F05" w:rsidSect="00487007">
          <w:pgSz w:w="11906" w:h="16838" w:code="9"/>
          <w:pgMar w:top="1418" w:right="1418" w:bottom="1418" w:left="1418" w:header="709" w:footer="709" w:gutter="0"/>
          <w:pgNumType w:start="1"/>
          <w:cols w:space="708"/>
          <w:titlePg/>
          <w:docGrid w:linePitch="360"/>
        </w:sectPr>
      </w:pPr>
    </w:p>
    <w:p w14:paraId="2C2D7DFD" w14:textId="77777777" w:rsidR="004F5982" w:rsidRPr="00826F05" w:rsidRDefault="004F5982" w:rsidP="00487007">
      <w:pPr>
        <w:spacing w:after="160" w:line="360" w:lineRule="auto"/>
        <w:ind w:left="3969" w:right="-1"/>
        <w:jc w:val="center"/>
        <w:rPr>
          <w:rFonts w:ascii="Sylfaen" w:eastAsia="Times New Roman" w:hAnsi="Sylfaen" w:cs="Times New Roman"/>
          <w:sz w:val="24"/>
          <w:szCs w:val="24"/>
        </w:rPr>
      </w:pPr>
      <w:r w:rsidRPr="00826F05">
        <w:rPr>
          <w:rFonts w:ascii="Sylfaen" w:hAnsi="Sylfaen"/>
          <w:sz w:val="24"/>
          <w:szCs w:val="24"/>
        </w:rPr>
        <w:lastRenderedPageBreak/>
        <w:t>ՀԱՎԵԼՎԱԾ ԹԻՎ 23</w:t>
      </w:r>
    </w:p>
    <w:p w14:paraId="684713A5" w14:textId="77777777" w:rsidR="004F5982" w:rsidRPr="00826F05" w:rsidRDefault="004F5982" w:rsidP="00487007">
      <w:pPr>
        <w:spacing w:after="160" w:line="360" w:lineRule="auto"/>
        <w:ind w:left="3969" w:right="-1" w:hanging="1"/>
        <w:jc w:val="center"/>
        <w:rPr>
          <w:rFonts w:ascii="Sylfaen" w:eastAsia="Times New Roman" w:hAnsi="Sylfaen" w:cs="Times New Roman"/>
          <w:sz w:val="24"/>
          <w:szCs w:val="24"/>
        </w:rPr>
      </w:pPr>
      <w:r w:rsidRPr="00826F05">
        <w:rPr>
          <w:rFonts w:ascii="Sylfaen" w:hAnsi="Sylfaen"/>
          <w:sz w:val="24"/>
          <w:szCs w:val="24"/>
        </w:rPr>
        <w:t xml:space="preserve">Բժշկական կիրառման դեղամիջոցների գրանցման </w:t>
      </w:r>
      <w:r w:rsidR="00C54D75">
        <w:rPr>
          <w:rFonts w:ascii="Sylfaen" w:hAnsi="Sylfaen"/>
          <w:sz w:val="24"/>
          <w:szCs w:val="24"/>
        </w:rPr>
        <w:t>և</w:t>
      </w:r>
      <w:r w:rsidRPr="00826F05">
        <w:rPr>
          <w:rFonts w:ascii="Sylfaen" w:hAnsi="Sylfaen"/>
          <w:sz w:val="24"/>
          <w:szCs w:val="24"/>
        </w:rPr>
        <w:t xml:space="preserve"> փորձաքննության կանոնների</w:t>
      </w:r>
    </w:p>
    <w:p w14:paraId="09C99EC0" w14:textId="77777777" w:rsidR="004F5982" w:rsidRPr="00826F05" w:rsidRDefault="004F5982" w:rsidP="00487007">
      <w:pPr>
        <w:spacing w:after="160" w:line="360" w:lineRule="auto"/>
        <w:jc w:val="both"/>
        <w:rPr>
          <w:rFonts w:ascii="Sylfaen" w:hAnsi="Sylfaen"/>
          <w:sz w:val="24"/>
          <w:szCs w:val="24"/>
        </w:rPr>
      </w:pPr>
    </w:p>
    <w:p w14:paraId="16DBDE41" w14:textId="77777777" w:rsidR="004F5982" w:rsidRPr="00487007" w:rsidRDefault="004F5982" w:rsidP="00487007">
      <w:pPr>
        <w:spacing w:after="160" w:line="360" w:lineRule="auto"/>
        <w:ind w:left="567" w:right="332"/>
        <w:jc w:val="center"/>
        <w:rPr>
          <w:rFonts w:ascii="Sylfaen" w:eastAsia="Times New Roman" w:hAnsi="Sylfaen" w:cs="Times New Roman"/>
          <w:b/>
          <w:sz w:val="24"/>
          <w:szCs w:val="24"/>
        </w:rPr>
      </w:pPr>
      <w:r w:rsidRPr="00487007">
        <w:rPr>
          <w:rFonts w:ascii="Sylfaen" w:hAnsi="Sylfaen"/>
          <w:b/>
          <w:sz w:val="24"/>
          <w:szCs w:val="24"/>
        </w:rPr>
        <w:t>ՑՈՒՑՈՒՄՆԵՐ</w:t>
      </w:r>
    </w:p>
    <w:p w14:paraId="0BEA276D" w14:textId="77777777" w:rsidR="004F5982" w:rsidRPr="00826F05" w:rsidRDefault="004F5982" w:rsidP="00487007">
      <w:pPr>
        <w:spacing w:after="160" w:line="360" w:lineRule="auto"/>
        <w:ind w:left="567" w:right="332"/>
        <w:jc w:val="center"/>
        <w:rPr>
          <w:rFonts w:ascii="Sylfaen" w:eastAsia="Times New Roman" w:hAnsi="Sylfaen" w:cs="Times New Roman"/>
          <w:b/>
          <w:bCs/>
          <w:sz w:val="24"/>
          <w:szCs w:val="24"/>
        </w:rPr>
      </w:pPr>
      <w:r w:rsidRPr="00826F05">
        <w:rPr>
          <w:rFonts w:ascii="Sylfaen" w:hAnsi="Sylfaen"/>
          <w:b/>
          <w:sz w:val="24"/>
          <w:szCs w:val="24"/>
        </w:rPr>
        <w:t xml:space="preserve">վերարտադրված դեղամիջոցների նախակլինիկական </w:t>
      </w:r>
      <w:r w:rsidR="00C54D75">
        <w:rPr>
          <w:rFonts w:ascii="Sylfaen" w:hAnsi="Sylfaen"/>
          <w:b/>
          <w:sz w:val="24"/>
          <w:szCs w:val="24"/>
        </w:rPr>
        <w:t>և</w:t>
      </w:r>
      <w:r w:rsidRPr="00826F05">
        <w:rPr>
          <w:rFonts w:ascii="Sylfaen" w:hAnsi="Sylfaen"/>
          <w:b/>
          <w:sz w:val="24"/>
          <w:szCs w:val="24"/>
        </w:rPr>
        <w:t xml:space="preserve"> կլինիկական ասպեկտների արդյունքների գնահատման մասով փորձագիտական հաշվետվություն կազմելու</w:t>
      </w:r>
    </w:p>
    <w:p w14:paraId="30F742D6" w14:textId="77777777" w:rsidR="004F5982" w:rsidRDefault="004F5982" w:rsidP="00487007">
      <w:pPr>
        <w:spacing w:after="160" w:line="360" w:lineRule="auto"/>
        <w:ind w:firstLine="567"/>
        <w:jc w:val="both"/>
        <w:rPr>
          <w:rFonts w:ascii="Sylfaen" w:eastAsia="Times New Roman" w:hAnsi="Sylfaen" w:cs="Times New Roman"/>
          <w:sz w:val="24"/>
          <w:szCs w:val="24"/>
        </w:rPr>
      </w:pPr>
    </w:p>
    <w:p w14:paraId="18CBD51A" w14:textId="6CAF49BF"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Սույն ցուցումները նախատեսված են վերարտադրված դեղապատրաստուկի գրանցման </w:t>
      </w:r>
      <w:r w:rsidR="0056496B">
        <w:rPr>
          <w:rFonts w:ascii="Sylfaen" w:hAnsi="Sylfaen"/>
          <w:sz w:val="24"/>
          <w:szCs w:val="24"/>
        </w:rPr>
        <w:t>դիմում</w:t>
      </w:r>
      <w:r w:rsidRPr="00826F05">
        <w:rPr>
          <w:rFonts w:ascii="Sylfaen" w:hAnsi="Sylfaen"/>
          <w:sz w:val="24"/>
          <w:szCs w:val="24"/>
        </w:rPr>
        <w:t>ի առաջնային փորձաքննության համար:</w:t>
      </w:r>
    </w:p>
    <w:p w14:paraId="5EBAF340"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Որպես կանոն, նման փորձաքննության հիմքը կենսահամարժեքության հաստատման գնահատումն է: Եթե, կենսահամարժեքության հետազոտությունների արդյունքներից բացի, ներկայացված են նա</w:t>
      </w:r>
      <w:r w:rsidR="00C54D75">
        <w:rPr>
          <w:rFonts w:ascii="Sylfaen" w:hAnsi="Sylfaen"/>
          <w:sz w:val="24"/>
          <w:szCs w:val="24"/>
        </w:rPr>
        <w:t>և</w:t>
      </w:r>
      <w:r w:rsidRPr="00826F05">
        <w:rPr>
          <w:rFonts w:ascii="Sylfaen" w:hAnsi="Sylfaen"/>
          <w:sz w:val="24"/>
          <w:szCs w:val="24"/>
        </w:rPr>
        <w:t xml:space="preserve"> նախակլինիկական տվյալներ, օրինակ՝</w:t>
      </w:r>
      <w:r>
        <w:rPr>
          <w:rFonts w:ascii="Sylfaen" w:hAnsi="Sylfaen"/>
          <w:sz w:val="24"/>
          <w:szCs w:val="24"/>
        </w:rPr>
        <w:t> </w:t>
      </w:r>
      <w:r w:rsidRPr="00826F05">
        <w:rPr>
          <w:rFonts w:ascii="Sylfaen" w:hAnsi="Sylfaen"/>
          <w:sz w:val="24"/>
          <w:szCs w:val="24"/>
        </w:rPr>
        <w:t>խառնուկների որակավորման նպատակով կամ որպես նոր աղի օգտագործման հիմնավորում, ապա անհրաժեշտ է անցկացնել նախակլինիկական տվյալների փորձաքննություն: Համանմանությամբ կարող են ներկայացվել նա</w:t>
      </w:r>
      <w:r w:rsidR="00C54D75">
        <w:rPr>
          <w:rFonts w:ascii="Sylfaen" w:hAnsi="Sylfaen"/>
          <w:sz w:val="24"/>
          <w:szCs w:val="24"/>
        </w:rPr>
        <w:t>և</w:t>
      </w:r>
      <w:r w:rsidRPr="00826F05">
        <w:rPr>
          <w:rFonts w:ascii="Sylfaen" w:hAnsi="Sylfaen"/>
          <w:sz w:val="24"/>
          <w:szCs w:val="24"/>
        </w:rPr>
        <w:t xml:space="preserve"> կլինիկական լրացուցիչ տվյալներ (օրինակ՝ թերապ</w:t>
      </w:r>
      <w:r w:rsidR="00C54D75">
        <w:rPr>
          <w:rFonts w:ascii="Sylfaen" w:hAnsi="Sylfaen"/>
          <w:sz w:val="24"/>
          <w:szCs w:val="24"/>
        </w:rPr>
        <w:t>և</w:t>
      </w:r>
      <w:r w:rsidRPr="00826F05">
        <w:rPr>
          <w:rFonts w:ascii="Sylfaen" w:hAnsi="Sylfaen"/>
          <w:sz w:val="24"/>
          <w:szCs w:val="24"/>
        </w:rPr>
        <w:t>տիկ համարժեքության հետազոտությունների արդյունքները), որոնք պահանջում են կլինիկական փորձաքննության անցկացում: Այս դեպքերում տվյալ հաշվետվությունն անհրաժեշտ</w:t>
      </w:r>
      <w:r>
        <w:rPr>
          <w:rFonts w:ascii="Sylfaen" w:hAnsi="Sylfaen"/>
          <w:sz w:val="24"/>
          <w:szCs w:val="24"/>
        </w:rPr>
        <w:t> </w:t>
      </w:r>
      <w:r w:rsidRPr="00826F05">
        <w:rPr>
          <w:rFonts w:ascii="Sylfaen" w:hAnsi="Sylfaen"/>
          <w:sz w:val="24"/>
          <w:szCs w:val="24"/>
        </w:rPr>
        <w:t>է լրացնել գրանցման ամբողջական դոսյեների փորձաքննության մասով փորձագիտական հաշվետվության համապատասխան ձ</w:t>
      </w:r>
      <w:r w:rsidR="00C54D75">
        <w:rPr>
          <w:rFonts w:ascii="Sylfaen" w:hAnsi="Sylfaen"/>
          <w:sz w:val="24"/>
          <w:szCs w:val="24"/>
        </w:rPr>
        <w:t>և</w:t>
      </w:r>
      <w:r w:rsidRPr="00826F05">
        <w:rPr>
          <w:rFonts w:ascii="Sylfaen" w:hAnsi="Sylfaen"/>
          <w:sz w:val="24"/>
          <w:szCs w:val="24"/>
        </w:rPr>
        <w:t>երից վերցված համապատասխան վերնագրերով:</w:t>
      </w:r>
    </w:p>
    <w:p w14:paraId="4512CFEB"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Վերարտադրված դեղապատրաստուկն ունի ազդող նյութերի նույնպիսի քանակական </w:t>
      </w:r>
      <w:r w:rsidR="00C54D75">
        <w:rPr>
          <w:rFonts w:ascii="Sylfaen" w:hAnsi="Sylfaen"/>
          <w:sz w:val="24"/>
          <w:szCs w:val="24"/>
        </w:rPr>
        <w:t>և</w:t>
      </w:r>
      <w:r w:rsidRPr="00826F05">
        <w:rPr>
          <w:rFonts w:ascii="Sylfaen" w:hAnsi="Sylfaen"/>
          <w:sz w:val="24"/>
          <w:szCs w:val="24"/>
        </w:rPr>
        <w:t xml:space="preserve"> որակական բաղադրություն </w:t>
      </w:r>
      <w:r w:rsidR="00C54D75">
        <w:rPr>
          <w:rFonts w:ascii="Sylfaen" w:hAnsi="Sylfaen"/>
          <w:sz w:val="24"/>
          <w:szCs w:val="24"/>
        </w:rPr>
        <w:t>և</w:t>
      </w:r>
      <w:r w:rsidRPr="00826F05">
        <w:rPr>
          <w:rFonts w:ascii="Sylfaen" w:hAnsi="Sylfaen"/>
          <w:sz w:val="24"/>
          <w:szCs w:val="24"/>
        </w:rPr>
        <w:t xml:space="preserve"> նույն դեղաձ</w:t>
      </w:r>
      <w:r w:rsidR="00C54D75">
        <w:rPr>
          <w:rFonts w:ascii="Sylfaen" w:hAnsi="Sylfaen"/>
          <w:sz w:val="24"/>
          <w:szCs w:val="24"/>
        </w:rPr>
        <w:t>և</w:t>
      </w:r>
      <w:r w:rsidRPr="00826F05">
        <w:rPr>
          <w:rFonts w:ascii="Sylfaen" w:hAnsi="Sylfaen"/>
          <w:sz w:val="24"/>
          <w:szCs w:val="24"/>
        </w:rPr>
        <w:t xml:space="preserve">ը, ինչ որ համեմատման </w:t>
      </w:r>
      <w:r w:rsidRPr="00826F05">
        <w:rPr>
          <w:rFonts w:ascii="Sylfaen" w:hAnsi="Sylfaen"/>
          <w:sz w:val="24"/>
          <w:szCs w:val="24"/>
        </w:rPr>
        <w:lastRenderedPageBreak/>
        <w:t xml:space="preserve">դեղապատրաստուկը, </w:t>
      </w:r>
      <w:r w:rsidR="00C54D75">
        <w:rPr>
          <w:rFonts w:ascii="Sylfaen" w:hAnsi="Sylfaen"/>
          <w:sz w:val="24"/>
          <w:szCs w:val="24"/>
        </w:rPr>
        <w:t>և</w:t>
      </w:r>
      <w:r w:rsidRPr="00826F05">
        <w:rPr>
          <w:rFonts w:ascii="Sylfaen" w:hAnsi="Sylfaen"/>
          <w:sz w:val="24"/>
          <w:szCs w:val="24"/>
        </w:rPr>
        <w:t xml:space="preserve"> դրա կենսահամարժեքությունը համեմատման դեղապատրաստուկին հաստատվում է կենսամատչելիության համապատասխան հետազոտություններով:</w:t>
      </w:r>
    </w:p>
    <w:p w14:paraId="7DBF32E6" w14:textId="04BBE294"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Ազդող նյութի տարբեր աղերը, եթերները, իզոմերները, իզոմերների խառնուրդները, կոմպլեքսները կամ ածանցյալները համարվում են մի</w:t>
      </w:r>
      <w:r w:rsidR="00C54D75">
        <w:rPr>
          <w:rFonts w:ascii="Sylfaen" w:hAnsi="Sylfaen"/>
          <w:sz w:val="24"/>
          <w:szCs w:val="24"/>
        </w:rPr>
        <w:t>և</w:t>
      </w:r>
      <w:r w:rsidRPr="00826F05">
        <w:rPr>
          <w:rFonts w:ascii="Sylfaen" w:hAnsi="Sylfaen"/>
          <w:sz w:val="24"/>
          <w:szCs w:val="24"/>
        </w:rPr>
        <w:t xml:space="preserve">նույն ազդող նյութը, եթե դրանց անվտանգությունը </w:t>
      </w:r>
      <w:r w:rsidR="00C54D75">
        <w:rPr>
          <w:rFonts w:ascii="Sylfaen" w:hAnsi="Sylfaen"/>
          <w:sz w:val="24"/>
          <w:szCs w:val="24"/>
        </w:rPr>
        <w:t>և</w:t>
      </w:r>
      <w:r w:rsidRPr="00826F05">
        <w:rPr>
          <w:rFonts w:ascii="Sylfaen" w:hAnsi="Sylfaen"/>
          <w:sz w:val="24"/>
          <w:szCs w:val="24"/>
        </w:rPr>
        <w:t xml:space="preserve"> (կամ) արդյունավետությունն էականորեն չեն տարբերվում: Այսպիսի դեպքերում </w:t>
      </w:r>
      <w:r w:rsidR="0056496B">
        <w:rPr>
          <w:rFonts w:ascii="Sylfaen" w:hAnsi="Sylfaen"/>
          <w:sz w:val="24"/>
          <w:szCs w:val="24"/>
        </w:rPr>
        <w:t>դիմումատու</w:t>
      </w:r>
      <w:r w:rsidRPr="00826F05">
        <w:rPr>
          <w:rFonts w:ascii="Sylfaen" w:hAnsi="Sylfaen"/>
          <w:sz w:val="24"/>
          <w:szCs w:val="24"/>
        </w:rPr>
        <w:t xml:space="preserve">ն պետք է տրամադրի ազդող նյութի այլ աղերի, բարդ եթերների կամ այլ ածանցյալների անվտանգության </w:t>
      </w:r>
      <w:r w:rsidR="00C54D75">
        <w:rPr>
          <w:rFonts w:ascii="Sylfaen" w:hAnsi="Sylfaen"/>
          <w:sz w:val="24"/>
          <w:szCs w:val="24"/>
        </w:rPr>
        <w:t>և</w:t>
      </w:r>
      <w:r w:rsidRPr="00826F05">
        <w:rPr>
          <w:rFonts w:ascii="Sylfaen" w:hAnsi="Sylfaen"/>
          <w:sz w:val="24"/>
          <w:szCs w:val="24"/>
        </w:rPr>
        <w:t xml:space="preserve"> (կամ) արդյունավետության հաստատումը պարունակող լրացուցիչ տեղեկություններ: Արագ ձերբազատմամբ ներքին ընդունման տարբեր դեղաձ</w:t>
      </w:r>
      <w:r w:rsidR="00C54D75">
        <w:rPr>
          <w:rFonts w:ascii="Sylfaen" w:hAnsi="Sylfaen"/>
          <w:sz w:val="24"/>
          <w:szCs w:val="24"/>
        </w:rPr>
        <w:t>և</w:t>
      </w:r>
      <w:r w:rsidRPr="00826F05">
        <w:rPr>
          <w:rFonts w:ascii="Sylfaen" w:hAnsi="Sylfaen"/>
          <w:sz w:val="24"/>
          <w:szCs w:val="24"/>
        </w:rPr>
        <w:t>եր կենսամատչելիության հետազոտությունների շրջանակներում համարվում են մի</w:t>
      </w:r>
      <w:r w:rsidR="00C54D75">
        <w:rPr>
          <w:rFonts w:ascii="Sylfaen" w:hAnsi="Sylfaen"/>
          <w:sz w:val="24"/>
          <w:szCs w:val="24"/>
        </w:rPr>
        <w:t>և</w:t>
      </w:r>
      <w:r w:rsidRPr="00826F05">
        <w:rPr>
          <w:rFonts w:ascii="Sylfaen" w:hAnsi="Sylfaen"/>
          <w:sz w:val="24"/>
          <w:szCs w:val="24"/>
        </w:rPr>
        <w:t>նույն դեղաձ</w:t>
      </w:r>
      <w:r w:rsidR="00C54D75">
        <w:rPr>
          <w:rFonts w:ascii="Sylfaen" w:hAnsi="Sylfaen"/>
          <w:sz w:val="24"/>
          <w:szCs w:val="24"/>
        </w:rPr>
        <w:t>և</w:t>
      </w:r>
      <w:r w:rsidRPr="00826F05">
        <w:rPr>
          <w:rFonts w:ascii="Sylfaen" w:hAnsi="Sylfaen"/>
          <w:sz w:val="24"/>
          <w:szCs w:val="24"/>
        </w:rPr>
        <w:t>ը:</w:t>
      </w:r>
    </w:p>
    <w:p w14:paraId="2B109B2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Դեղապատրաստուկը որպես վերարտադրված գրանցելու նպատակը կրկնակի </w:t>
      </w:r>
      <w:r w:rsidR="00C54D75">
        <w:rPr>
          <w:rFonts w:ascii="Sylfaen" w:hAnsi="Sylfaen"/>
          <w:sz w:val="24"/>
          <w:szCs w:val="24"/>
        </w:rPr>
        <w:t>և</w:t>
      </w:r>
      <w:r w:rsidRPr="00826F05">
        <w:rPr>
          <w:rFonts w:ascii="Sylfaen" w:hAnsi="Sylfaen"/>
          <w:sz w:val="24"/>
          <w:szCs w:val="24"/>
        </w:rPr>
        <w:t xml:space="preserve"> ավելորդ փորձարկումների </w:t>
      </w:r>
      <w:r w:rsidR="00C54D75">
        <w:rPr>
          <w:rFonts w:ascii="Sylfaen" w:hAnsi="Sylfaen"/>
          <w:sz w:val="24"/>
          <w:szCs w:val="24"/>
        </w:rPr>
        <w:t>և</w:t>
      </w:r>
      <w:r w:rsidRPr="00826F05">
        <w:rPr>
          <w:rFonts w:ascii="Sylfaen" w:hAnsi="Sylfaen"/>
          <w:sz w:val="24"/>
          <w:szCs w:val="24"/>
        </w:rPr>
        <w:t xml:space="preserve"> հետազոտությունների անցկացումը բացառելու հնարավորության փորձաքննության անցկացումն է: </w:t>
      </w:r>
    </w:p>
    <w:p w14:paraId="371D6C9B" w14:textId="2F414E4D" w:rsidR="004F5982" w:rsidRPr="00826F05" w:rsidRDefault="004F5982" w:rsidP="00487007">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Մարդու մոտ կենսահամարժեքության հետազոտություններ կարող են չպահանջվել, եթե </w:t>
      </w:r>
      <w:r w:rsidR="0056496B">
        <w:rPr>
          <w:rFonts w:ascii="Sylfaen" w:hAnsi="Sylfaen"/>
          <w:sz w:val="24"/>
          <w:szCs w:val="24"/>
        </w:rPr>
        <w:t>դիմումատու</w:t>
      </w:r>
      <w:r w:rsidRPr="00826F05">
        <w:rPr>
          <w:rFonts w:ascii="Sylfaen" w:hAnsi="Sylfaen"/>
          <w:sz w:val="24"/>
          <w:szCs w:val="24"/>
        </w:rPr>
        <w:t>ն հաստատում է, որ վերարտադրված պատրաստուկը բավարարում է Եվրասիական տնտեսական միության (այսուհետ՝ Միություն) վերարտադրված դեղապատրաստուկների կենսահամարժեքության հետազոտությունների անցկացման կանոններում նկարագրված համապատասխան չափորոշիչներին, որոնք ազատում են նման հետազոտությունների անցկացումից:</w:t>
      </w:r>
    </w:p>
    <w:p w14:paraId="7EDC41AF" w14:textId="77777777" w:rsidR="004F5982" w:rsidRDefault="004F5982" w:rsidP="00487007">
      <w:pPr>
        <w:spacing w:after="160" w:line="336" w:lineRule="auto"/>
        <w:ind w:right="-1" w:firstLine="567"/>
        <w:jc w:val="both"/>
        <w:rPr>
          <w:rFonts w:ascii="Sylfaen" w:hAnsi="Sylfaen"/>
          <w:sz w:val="24"/>
          <w:szCs w:val="24"/>
        </w:rPr>
      </w:pPr>
    </w:p>
    <w:p w14:paraId="62D0CC6F" w14:textId="77777777"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1. Նախակլինիկական գնահատում</w:t>
      </w:r>
    </w:p>
    <w:p w14:paraId="7F3FB3E2" w14:textId="0F1971B2" w:rsidR="004F5982" w:rsidRPr="00826F05" w:rsidRDefault="004F5982" w:rsidP="00487007">
      <w:pPr>
        <w:spacing w:after="160" w:line="336"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առանց նախակլինիկական տվյալների գրանցման </w:t>
      </w:r>
      <w:r w:rsidR="009F5829">
        <w:rPr>
          <w:rFonts w:ascii="Sylfaen" w:hAnsi="Sylfaen"/>
          <w:sz w:val="24"/>
          <w:szCs w:val="24"/>
        </w:rPr>
        <w:t>դիմումներ</w:t>
      </w:r>
      <w:r w:rsidRPr="00826F05">
        <w:rPr>
          <w:rFonts w:ascii="Sylfaen" w:hAnsi="Sylfaen"/>
          <w:sz w:val="24"/>
          <w:szCs w:val="24"/>
        </w:rPr>
        <w:t>ի համար</w:t>
      </w:r>
    </w:p>
    <w:p w14:paraId="49E4E514" w14:textId="77777777" w:rsidR="004F5982" w:rsidRPr="00826F05" w:rsidRDefault="004F5982" w:rsidP="00487007">
      <w:pPr>
        <w:spacing w:after="160" w:line="336" w:lineRule="auto"/>
        <w:ind w:right="-1" w:firstLine="567"/>
        <w:jc w:val="both"/>
        <w:rPr>
          <w:rFonts w:ascii="Sylfaen" w:hAnsi="Sylfaen"/>
          <w:sz w:val="24"/>
          <w:szCs w:val="24"/>
        </w:rPr>
      </w:pPr>
      <w:r w:rsidRPr="00826F05">
        <w:rPr>
          <w:rFonts w:ascii="Sylfaen" w:hAnsi="Sylfaen"/>
          <w:sz w:val="24"/>
          <w:szCs w:val="24"/>
        </w:rPr>
        <w:t>Գրառումը ձ</w:t>
      </w:r>
      <w:r w:rsidR="00C54D75">
        <w:rPr>
          <w:rFonts w:ascii="Sylfaen" w:hAnsi="Sylfaen"/>
          <w:sz w:val="24"/>
          <w:szCs w:val="24"/>
        </w:rPr>
        <w:t>և</w:t>
      </w:r>
      <w:r w:rsidRPr="00826F05">
        <w:rPr>
          <w:rFonts w:ascii="Sylfaen" w:hAnsi="Sylfaen"/>
          <w:sz w:val="24"/>
          <w:szCs w:val="24"/>
        </w:rPr>
        <w:t>ակերպե՛ք ըստ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 xml:space="preserve">ի, եթե նախակլինիկական նոր տվյալներ տրամադրված չեն: </w:t>
      </w:r>
    </w:p>
    <w:p w14:paraId="6D351365"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&lt;Տրամադրված է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 որը [բերել տեղեկագրի համառոտ բնութագիրը]: Տեղեկագրում բերվում է նախակլինիկական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լրացուցիչ տվյալների ներկայացման անհրաժեշտության բացակայության հիմնավորումը: ԴԸԲ-ի նախակլինիկական ասպեկտները համաձայնեցվում են համեմատման պատրաստուկի ԴԸԲ-ի հետ: Փորձագիտական գնահատման արդյունքներով սահմանվել է խառնուկների պրոֆիլի ընդունելիություն:&gt;</w:t>
      </w:r>
    </w:p>
    <w:p w14:paraId="2835EF7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Եզրակացությունը հարկավոր է ձ</w:t>
      </w:r>
      <w:r w:rsidR="00C54D75">
        <w:rPr>
          <w:rFonts w:ascii="Sylfaen" w:hAnsi="Sylfaen"/>
          <w:sz w:val="24"/>
          <w:szCs w:val="24"/>
        </w:rPr>
        <w:t>և</w:t>
      </w:r>
      <w:r w:rsidRPr="00826F05">
        <w:rPr>
          <w:rFonts w:ascii="Sylfaen" w:hAnsi="Sylfaen"/>
          <w:sz w:val="24"/>
          <w:szCs w:val="24"/>
        </w:rPr>
        <w:t>ակերպել հետ</w:t>
      </w:r>
      <w:r w:rsidR="00C54D75">
        <w:rPr>
          <w:rFonts w:ascii="Sylfaen" w:hAnsi="Sylfaen"/>
          <w:sz w:val="24"/>
          <w:szCs w:val="24"/>
        </w:rPr>
        <w:t>և</w:t>
      </w:r>
      <w:r w:rsidRPr="00826F05">
        <w:rPr>
          <w:rFonts w:ascii="Sylfaen" w:hAnsi="Sylfaen"/>
          <w:sz w:val="24"/>
          <w:szCs w:val="24"/>
        </w:rPr>
        <w:t>յալ հնարավոր տարբերակներից մեկն օգտագործելով՝</w:t>
      </w:r>
    </w:p>
    <w:p w14:paraId="382FB5AA"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նախակլինիկական տեղեկագիրը հիմնված է գիտական գրականության ժամանակակից </w:t>
      </w:r>
      <w:r w:rsidR="00C54D75">
        <w:rPr>
          <w:rFonts w:ascii="Sylfaen" w:hAnsi="Sylfaen"/>
          <w:i/>
          <w:sz w:val="24"/>
          <w:szCs w:val="24"/>
        </w:rPr>
        <w:t>և</w:t>
      </w:r>
      <w:r w:rsidRPr="00826F05">
        <w:rPr>
          <w:rFonts w:ascii="Sylfaen" w:hAnsi="Sylfaen"/>
          <w:i/>
          <w:sz w:val="24"/>
          <w:szCs w:val="24"/>
        </w:rPr>
        <w:t xml:space="preserve"> բավարար տվյալների վրա: Նախակլինիկական լրացուցիչ տվյալների տրամադրման անհրաժեշտությունը բացակայում է:&gt;</w:t>
      </w:r>
    </w:p>
    <w:p w14:paraId="19591F04"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դեղաբանության, դեղակինետիկայի </w:t>
      </w:r>
      <w:r w:rsidR="00C54D75">
        <w:rPr>
          <w:rFonts w:ascii="Sylfaen" w:hAnsi="Sylfaen"/>
          <w:i/>
          <w:sz w:val="24"/>
          <w:szCs w:val="24"/>
        </w:rPr>
        <w:t>և</w:t>
      </w:r>
      <w:r w:rsidRPr="00826F05">
        <w:rPr>
          <w:rFonts w:ascii="Sylfaen" w:hAnsi="Sylfaen"/>
          <w:i/>
          <w:sz w:val="24"/>
          <w:szCs w:val="24"/>
        </w:rPr>
        <w:t xml:space="preserve"> թունաբանության մասով նախակլինիկական տեղեկագիրն անընդունելի է, քանի որ [ներկայացնել մեկնաբանություն]:&gt;</w:t>
      </w:r>
    </w:p>
    <w:p w14:paraId="0B079148"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Եթե ընտրվել է երկրորդ տարբերակը, ապա հարկավոր է տրամադրել պակասող տեղեկությունների մանրամասն նկարագրությունը, այդպիսի տեղեկությունների բացակայությամբ պայմանավորված ազդեցությունը </w:t>
      </w:r>
      <w:r w:rsidR="00C54D75">
        <w:rPr>
          <w:rFonts w:ascii="Sylfaen" w:hAnsi="Sylfaen"/>
          <w:sz w:val="24"/>
          <w:szCs w:val="24"/>
        </w:rPr>
        <w:t>և</w:t>
      </w:r>
      <w:r w:rsidRPr="00826F05">
        <w:rPr>
          <w:rFonts w:ascii="Sylfaen" w:hAnsi="Sylfaen"/>
          <w:sz w:val="24"/>
          <w:szCs w:val="24"/>
        </w:rPr>
        <w:t xml:space="preserve"> լրացուցիչ տվյալներ տրամադրելու մասին բոլոր հնարավոր հարցումները: Այնուհետ</w:t>
      </w:r>
      <w:r w:rsidR="00C54D75">
        <w:rPr>
          <w:rFonts w:ascii="Sylfaen" w:hAnsi="Sylfaen"/>
          <w:sz w:val="24"/>
          <w:szCs w:val="24"/>
        </w:rPr>
        <w:t>և</w:t>
      </w:r>
      <w:r w:rsidRPr="00826F05">
        <w:rPr>
          <w:rFonts w:ascii="Sylfaen" w:hAnsi="Sylfaen"/>
          <w:sz w:val="24"/>
          <w:szCs w:val="24"/>
        </w:rPr>
        <w:t xml:space="preserve"> դրանք հարկավոր</w:t>
      </w:r>
      <w:r>
        <w:rPr>
          <w:rFonts w:ascii="Sylfaen" w:hAnsi="Sylfaen"/>
          <w:sz w:val="24"/>
          <w:szCs w:val="24"/>
        </w:rPr>
        <w:t> </w:t>
      </w:r>
      <w:r w:rsidRPr="00826F05">
        <w:rPr>
          <w:rFonts w:ascii="Sylfaen" w:hAnsi="Sylfaen"/>
          <w:sz w:val="24"/>
          <w:szCs w:val="24"/>
        </w:rPr>
        <w:t>է ներկայացնել դիտողությունների ցանկի նախագծի տեսքով (բաժին 4):</w:t>
      </w:r>
    </w:p>
    <w:p w14:paraId="3C5D2CC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Եթե վերարտադրված պատրաստուկը պարունակում է ազդող նյութի այլ աղ, բարդ կամ պարզ եթերներ, իզոմերներ (էնանտիոմերներ), իզոմերների խառնուրդներ, կոմպլեքսներ կամ ածանցյալներ, ապա անհրաժեշտ է ներառել դրա մասին համապատասխան նշում:</w:t>
      </w:r>
    </w:p>
    <w:p w14:paraId="5D8CB6C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 xml:space="preserve">&lt;[Դեղապատրաստուկի անվանումը] նախակլինիկական տվյալների վերաբերյալ գրական աղբյուրների ռեզյումեն </w:t>
      </w:r>
      <w:r w:rsidR="00C54D75">
        <w:rPr>
          <w:rFonts w:ascii="Sylfaen" w:hAnsi="Sylfaen"/>
          <w:i/>
          <w:sz w:val="24"/>
          <w:szCs w:val="24"/>
        </w:rPr>
        <w:t>և</w:t>
      </w:r>
      <w:r w:rsidRPr="00826F05">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826F05">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826F05">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նախակլինիկական լրացուցիչ հետազոտությունների անցկացում:&gt;</w:t>
      </w:r>
    </w:p>
    <w:p w14:paraId="7A4C9EE5" w14:textId="77777777" w:rsidR="004F5982" w:rsidRPr="00826F05" w:rsidRDefault="004F5982" w:rsidP="00487007">
      <w:pPr>
        <w:spacing w:after="160" w:line="360" w:lineRule="auto"/>
        <w:ind w:right="-1" w:firstLine="567"/>
        <w:jc w:val="both"/>
        <w:rPr>
          <w:rFonts w:ascii="Sylfaen" w:hAnsi="Sylfaen"/>
          <w:sz w:val="24"/>
          <w:szCs w:val="24"/>
        </w:rPr>
      </w:pPr>
    </w:p>
    <w:p w14:paraId="6878B6A4" w14:textId="3C6CE48D"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Վերարտադրված դեղապատրաստուկների՝ </w:t>
      </w:r>
      <w:r>
        <w:rPr>
          <w:rFonts w:ascii="Sylfaen" w:hAnsi="Sylfaen"/>
          <w:sz w:val="24"/>
          <w:szCs w:val="24"/>
        </w:rPr>
        <w:br/>
      </w:r>
      <w:r w:rsidRPr="00826F05">
        <w:rPr>
          <w:rFonts w:ascii="Sylfaen" w:hAnsi="Sylfaen"/>
          <w:sz w:val="24"/>
          <w:szCs w:val="24"/>
        </w:rPr>
        <w:t xml:space="preserve">նախակլինիկական տվյալներով գրանցման </w:t>
      </w:r>
      <w:r w:rsidR="0056496B">
        <w:rPr>
          <w:rFonts w:ascii="Sylfaen" w:hAnsi="Sylfaen"/>
          <w:sz w:val="24"/>
          <w:szCs w:val="24"/>
        </w:rPr>
        <w:t>դիմում</w:t>
      </w:r>
      <w:r w:rsidRPr="00826F05">
        <w:rPr>
          <w:rFonts w:ascii="Sylfaen" w:hAnsi="Sylfaen"/>
          <w:sz w:val="24"/>
          <w:szCs w:val="24"/>
        </w:rPr>
        <w:t>ի համար</w:t>
      </w:r>
    </w:p>
    <w:p w14:paraId="7A03B0BA" w14:textId="726876E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Առանձին դեպքերում նախակլինիկական նոր տվյալները տրամադրվում են խառնուկների որակավորման, նոր աղի օգտագործման հիմնավորման նպատակով կամ թարմացման հետ կապված կամ առկա կլինիկական փորձի շրջանակներում, օրինակ՝ հղիության, լակտացիայի, QT միջակայքի վրա ազդեցության </w:t>
      </w:r>
      <w:r w:rsidR="00C54D75">
        <w:rPr>
          <w:rFonts w:ascii="Sylfaen" w:hAnsi="Sylfaen"/>
          <w:sz w:val="24"/>
          <w:szCs w:val="24"/>
        </w:rPr>
        <w:t>և</w:t>
      </w:r>
      <w:r w:rsidRPr="00826F05">
        <w:rPr>
          <w:rFonts w:ascii="Sylfaen" w:hAnsi="Sylfaen"/>
          <w:sz w:val="24"/>
          <w:szCs w:val="24"/>
        </w:rPr>
        <w:t xml:space="preserve"> այլնի մասով նախակլինիկական այնպիսի նոր տվյալների ի </w:t>
      </w:r>
      <w:r w:rsidR="0056496B">
        <w:rPr>
          <w:rFonts w:ascii="Sylfaen" w:hAnsi="Sylfaen"/>
          <w:sz w:val="24"/>
          <w:szCs w:val="24"/>
        </w:rPr>
        <w:t>դիմում</w:t>
      </w:r>
      <w:r w:rsidRPr="00826F05">
        <w:rPr>
          <w:rFonts w:ascii="Sylfaen" w:hAnsi="Sylfaen"/>
          <w:sz w:val="24"/>
          <w:szCs w:val="24"/>
        </w:rPr>
        <w:t xml:space="preserve"> գալու հետ</w:t>
      </w:r>
      <w:r w:rsidR="00C54D75">
        <w:rPr>
          <w:rFonts w:ascii="Sylfaen" w:hAnsi="Sylfaen"/>
          <w:sz w:val="24"/>
          <w:szCs w:val="24"/>
        </w:rPr>
        <w:t>և</w:t>
      </w:r>
      <w:r w:rsidRPr="00826F05">
        <w:rPr>
          <w:rFonts w:ascii="Sylfaen" w:hAnsi="Sylfaen"/>
          <w:sz w:val="24"/>
          <w:szCs w:val="24"/>
        </w:rPr>
        <w:t xml:space="preserve">անքով, որոնք կարող են ազդել դեղապատրաստուկի ընդհանուր բնութագրի (այսուհետ՝ ԴԸԲ) վրա: Այս դեպքում անհրաժեշտ է անցկացնել նախակլինիկական տվյալների նոր փորձաքննություն: Թույլատրվում է ներկայացնել </w:t>
      </w:r>
      <w:r w:rsidR="00C54D75">
        <w:rPr>
          <w:rFonts w:ascii="Sylfaen" w:hAnsi="Sylfaen"/>
          <w:sz w:val="24"/>
          <w:szCs w:val="24"/>
        </w:rPr>
        <w:t>և</w:t>
      </w:r>
      <w:r w:rsidRPr="00826F05">
        <w:rPr>
          <w:rFonts w:ascii="Sylfaen" w:hAnsi="Sylfaen"/>
          <w:sz w:val="24"/>
          <w:szCs w:val="24"/>
        </w:rPr>
        <w:t xml:space="preserve"> անհրաժեշտության դեպքում մեկնաբանել տեղեկագրում ներկայացված այնպիսի առանձնահատկություններ, ինչպիսիք են կենդանիների վերաբերյալ վերջերս հրապարակված </w:t>
      </w:r>
      <w:r w:rsidR="00C54D75">
        <w:rPr>
          <w:rFonts w:ascii="Sylfaen" w:hAnsi="Sylfaen"/>
          <w:sz w:val="24"/>
          <w:szCs w:val="24"/>
        </w:rPr>
        <w:t>և</w:t>
      </w:r>
      <w:r w:rsidRPr="00826F05">
        <w:rPr>
          <w:rFonts w:ascii="Sylfaen" w:hAnsi="Sylfaen"/>
          <w:sz w:val="24"/>
          <w:szCs w:val="24"/>
        </w:rPr>
        <w:t xml:space="preserve"> կլինիկորեն նշանակալի տվյալները:</w:t>
      </w:r>
    </w:p>
    <w:p w14:paraId="7A9FD92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Այս տեղեկությունները նկարագրելու նպատակով հարկավոր է օգտագործել գրանցման ամբողջական դոսյեների համար փորձագիտական հաշվետվության ձ</w:t>
      </w:r>
      <w:r w:rsidR="00C54D75">
        <w:rPr>
          <w:rFonts w:ascii="Sylfaen" w:hAnsi="Sylfaen"/>
          <w:sz w:val="24"/>
          <w:szCs w:val="24"/>
        </w:rPr>
        <w:t>և</w:t>
      </w:r>
      <w:r w:rsidRPr="00826F05">
        <w:rPr>
          <w:rFonts w:ascii="Sylfaen" w:hAnsi="Sylfaen"/>
          <w:sz w:val="24"/>
          <w:szCs w:val="24"/>
        </w:rPr>
        <w:t xml:space="preserve">ի </w:t>
      </w:r>
      <w:r w:rsidRPr="00757B6C">
        <w:rPr>
          <w:rFonts w:ascii="Sylfaen" w:hAnsi="Sylfaen"/>
          <w:spacing w:val="6"/>
          <w:sz w:val="24"/>
          <w:szCs w:val="24"/>
        </w:rPr>
        <w:t xml:space="preserve">համապատասխան վերնագրերը («Դեղաբանություն», «Դեղակինետիկա», </w:t>
      </w:r>
      <w:r w:rsidRPr="00757B6C">
        <w:rPr>
          <w:rFonts w:ascii="Sylfaen" w:hAnsi="Sylfaen"/>
          <w:spacing w:val="6"/>
          <w:sz w:val="24"/>
          <w:szCs w:val="24"/>
        </w:rPr>
        <w:lastRenderedPageBreak/>
        <w:t>«Թունաբանություն»): Ստոր</w:t>
      </w:r>
      <w:r w:rsidR="00C54D75">
        <w:rPr>
          <w:rFonts w:ascii="Sylfaen" w:hAnsi="Sylfaen"/>
          <w:spacing w:val="6"/>
          <w:sz w:val="24"/>
          <w:szCs w:val="24"/>
        </w:rPr>
        <w:t>և</w:t>
      </w:r>
      <w:r w:rsidRPr="00757B6C">
        <w:rPr>
          <w:rFonts w:ascii="Sylfaen" w:hAnsi="Sylfaen"/>
          <w:spacing w:val="6"/>
          <w:sz w:val="24"/>
          <w:szCs w:val="24"/>
        </w:rPr>
        <w:t xml:space="preserve"> ներկայացված կառուցվածքը պարունակում է միայն վերին մակարդակի վերնագրերը. անհրաժեշտ է ավելացնել համապատասխան ենթավերնագրեր: Բացի այդ, փորձաքննությունը կարող է ազդել ԴԸԲ-ի</w:t>
      </w:r>
      <w:r w:rsidRPr="00826F05">
        <w:rPr>
          <w:rFonts w:ascii="Sylfaen" w:hAnsi="Sylfaen"/>
          <w:sz w:val="24"/>
          <w:szCs w:val="24"/>
        </w:rPr>
        <w:t xml:space="preserve"> 4.6 </w:t>
      </w:r>
      <w:r w:rsidR="00C54D75">
        <w:rPr>
          <w:rFonts w:ascii="Sylfaen" w:hAnsi="Sylfaen"/>
          <w:sz w:val="24"/>
          <w:szCs w:val="24"/>
        </w:rPr>
        <w:t>և</w:t>
      </w:r>
      <w:r w:rsidRPr="00826F05">
        <w:rPr>
          <w:rFonts w:ascii="Sylfaen" w:hAnsi="Sylfaen"/>
          <w:sz w:val="24"/>
          <w:szCs w:val="24"/>
        </w:rPr>
        <w:t xml:space="preserve"> 5.3 բաժինների վրա (թունաբանություն, մուտագենություն, քաղցկեղածնություն, վերարտադրողական թունավորություն. տերատոգենություն, հղիություն, կրծքով կերակրում), որոնք հարկավոր է նշել տվյալ բաժնում: </w:t>
      </w:r>
    </w:p>
    <w:p w14:paraId="615A006F" w14:textId="77777777" w:rsidR="004F5982" w:rsidRPr="00826F05" w:rsidRDefault="004F5982" w:rsidP="00487007">
      <w:pPr>
        <w:spacing w:after="160" w:line="360" w:lineRule="auto"/>
        <w:ind w:right="-1" w:firstLine="567"/>
        <w:jc w:val="both"/>
        <w:rPr>
          <w:rFonts w:ascii="Sylfaen" w:hAnsi="Sylfaen"/>
          <w:sz w:val="24"/>
          <w:szCs w:val="24"/>
        </w:rPr>
      </w:pPr>
    </w:p>
    <w:p w14:paraId="54CF91BE"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1.5. Նախակլինիկական ասպեկտների </w:t>
      </w:r>
      <w:r w:rsidRPr="00826F05">
        <w:rPr>
          <w:rFonts w:ascii="Sylfaen" w:hAnsi="Sylfaen"/>
          <w:sz w:val="24"/>
          <w:szCs w:val="24"/>
        </w:rPr>
        <w:br/>
        <w:t>վերաբերյալ եզրակացությունը</w:t>
      </w:r>
    </w:p>
    <w:p w14:paraId="3A1703AF"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Նախակլինիկական նոր տվյալների ներկայացման դեպքում անհրաժեշտ է կազմել համապատասխան եզրակացություն: </w:t>
      </w:r>
    </w:p>
    <w:p w14:paraId="1FF52C5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Վերարտադրված պատրաստուկի ԴԸԲ-ն պետք է ընդհանուր առմամբ նույնական լինի համեմատման պատրաստուկի ԴԸԲ-ին: Հարկավոր է նշել վերարտադրված </w:t>
      </w:r>
      <w:r w:rsidR="00C54D75">
        <w:rPr>
          <w:rFonts w:ascii="Sylfaen" w:hAnsi="Sylfaen"/>
          <w:sz w:val="24"/>
          <w:szCs w:val="24"/>
        </w:rPr>
        <w:t>և</w:t>
      </w:r>
      <w:r w:rsidRPr="00826F05">
        <w:rPr>
          <w:rFonts w:ascii="Sylfaen" w:hAnsi="Sylfaen"/>
          <w:sz w:val="24"/>
          <w:szCs w:val="24"/>
        </w:rPr>
        <w:t xml:space="preserve"> համեմատման պատրաստուկի ԴԸԲ-ների նույնականությունը: Տարբերությունների առկայության դեպքում հարկավոր է դրանք թվարկել սույն բաժնում </w:t>
      </w:r>
      <w:r w:rsidR="00C54D75">
        <w:rPr>
          <w:rFonts w:ascii="Sylfaen" w:hAnsi="Sylfaen"/>
          <w:sz w:val="24"/>
          <w:szCs w:val="24"/>
        </w:rPr>
        <w:t>և</w:t>
      </w:r>
      <w:r w:rsidRPr="00826F05">
        <w:rPr>
          <w:rFonts w:ascii="Sylfaen" w:hAnsi="Sylfaen"/>
          <w:sz w:val="24"/>
          <w:szCs w:val="24"/>
        </w:rPr>
        <w:t xml:space="preserve"> նշել դրանց հիմնավորվածությունը:</w:t>
      </w:r>
    </w:p>
    <w:p w14:paraId="1BB3B2D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Պարզաբանումներ պահանջող հարցերը հարկավոր է ներառել սույն հաշվետվության կլինիկական բաժնի օգուտ-ռիսկ հարաբերակցության գնահատման մեջ </w:t>
      </w:r>
      <w:r w:rsidR="00C54D75">
        <w:rPr>
          <w:rFonts w:ascii="Sylfaen" w:hAnsi="Sylfaen"/>
          <w:sz w:val="24"/>
          <w:szCs w:val="24"/>
        </w:rPr>
        <w:t>և</w:t>
      </w:r>
      <w:r w:rsidRPr="00826F05">
        <w:rPr>
          <w:rFonts w:ascii="Sylfaen" w:hAnsi="Sylfaen"/>
          <w:sz w:val="24"/>
          <w:szCs w:val="24"/>
        </w:rPr>
        <w:t xml:space="preserve"> թվարկել դիտողությունների ցանկում:</w:t>
      </w:r>
    </w:p>
    <w:p w14:paraId="57DFDD42"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Ենթաբաժնի վերջում հարկավոր է ավելացնել եզրակացություն՝ օգտագործելով հետ</w:t>
      </w:r>
      <w:r w:rsidR="00C54D75">
        <w:rPr>
          <w:rFonts w:ascii="Sylfaen" w:hAnsi="Sylfaen"/>
          <w:sz w:val="24"/>
          <w:szCs w:val="24"/>
        </w:rPr>
        <w:t>և</w:t>
      </w:r>
      <w:r w:rsidRPr="00826F05">
        <w:rPr>
          <w:rFonts w:ascii="Sylfaen" w:hAnsi="Sylfaen"/>
          <w:sz w:val="24"/>
          <w:szCs w:val="24"/>
        </w:rPr>
        <w:t>յալ տարբերակներից մեկը՝</w:t>
      </w:r>
    </w:p>
    <w:p w14:paraId="423804F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&lt;Նախակլինիկական տեսանկյունից՝ &lt;առ</w:t>
      </w:r>
      <w:r w:rsidR="00C54D75">
        <w:rPr>
          <w:rFonts w:ascii="Sylfaen" w:hAnsi="Sylfaen"/>
          <w:i/>
          <w:sz w:val="24"/>
          <w:szCs w:val="24"/>
        </w:rPr>
        <w:t>և</w:t>
      </w:r>
      <w:r w:rsidRPr="00826F05">
        <w:rPr>
          <w:rFonts w:ascii="Sylfaen" w:hAnsi="Sylfaen"/>
          <w:i/>
          <w:sz w:val="24"/>
          <w:szCs w:val="24"/>
        </w:rPr>
        <w:t>տրային անվանումը&gt; գրանցելու համար խոչընդոտները բացակայում են:&gt;</w:t>
      </w:r>
    </w:p>
    <w:p w14:paraId="7A2274D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16E8DCB5"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lastRenderedPageBreak/>
        <w:t>&lt;Ինչպես նշված է վեր</w:t>
      </w:r>
      <w:r w:rsidR="00C54D75">
        <w:rPr>
          <w:rFonts w:ascii="Sylfaen" w:hAnsi="Sylfaen"/>
          <w:i/>
          <w:sz w:val="24"/>
          <w:szCs w:val="24"/>
        </w:rPr>
        <w:t>և</w:t>
      </w:r>
      <w:r w:rsidRPr="00826F05">
        <w:rPr>
          <w:rFonts w:ascii="Sylfaen" w:hAnsi="Sylfaen"/>
          <w:i/>
          <w:sz w:val="24"/>
          <w:szCs w:val="24"/>
        </w:rPr>
        <w:t>ում, առկա են մի շարք դիտողություններ, որոնք անհրաժեշտ է վերացնել (տե՛ս դիտողությունների ցանկը):&gt;</w:t>
      </w:r>
    </w:p>
    <w:p w14:paraId="7E67D09C" w14:textId="12180EF3"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նախակլինիկական հարցերի շուրջ դիտողությունների առկայության դեպքում դրանք որպես առանձին պայմաններ առանձին բաժնով հարկ</w:t>
      </w:r>
      <w:r w:rsidR="004F5982">
        <w:rPr>
          <w:rFonts w:ascii="Sylfaen" w:hAnsi="Sylfaen"/>
          <w:sz w:val="24"/>
          <w:szCs w:val="24"/>
        </w:rPr>
        <w:t> </w:t>
      </w:r>
      <w:r w:rsidR="004F5982" w:rsidRPr="00826F05">
        <w:rPr>
          <w:rFonts w:ascii="Sylfaen" w:hAnsi="Sylfaen"/>
          <w:sz w:val="24"/>
          <w:szCs w:val="24"/>
        </w:rPr>
        <w:t xml:space="preserve">է ներառել ԴԸԲ-ում, գրանցման հավաստագրում </w:t>
      </w:r>
      <w:r w:rsidR="00C54D75">
        <w:rPr>
          <w:rFonts w:ascii="Sylfaen" w:hAnsi="Sylfaen"/>
          <w:sz w:val="24"/>
          <w:szCs w:val="24"/>
        </w:rPr>
        <w:t>և</w:t>
      </w:r>
      <w:r w:rsidR="004F5982" w:rsidRPr="00826F05">
        <w:rPr>
          <w:rFonts w:ascii="Sylfaen" w:hAnsi="Sylfaen"/>
          <w:sz w:val="24"/>
          <w:szCs w:val="24"/>
        </w:rPr>
        <w:t xml:space="preserve"> միասնական ռեեստրում: Հարկավոր է պատշաճ կերպով հիմնավորել որպես այդպիսի պայման սահմանված յուրաքանչյուր միջոց, մասնավորապես՝ հարկավոր է բացատրել օգուտ-ռիսկ դրական հարաբերակցության համատեքստում այդպիսի պայմանի ներառման անհրաժեշտությունը՝</w:t>
      </w:r>
    </w:p>
    <w:p w14:paraId="6FBAEE19"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&lt;Նախակլինիկական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714D37FB" w14:textId="77777777" w:rsidR="004F5982" w:rsidRPr="00826F05" w:rsidRDefault="004F5982" w:rsidP="00487007">
      <w:pPr>
        <w:spacing w:after="160" w:line="360" w:lineRule="auto"/>
        <w:ind w:right="-1" w:firstLine="567"/>
        <w:jc w:val="both"/>
        <w:rPr>
          <w:rFonts w:ascii="Sylfaen" w:hAnsi="Sylfaen"/>
          <w:sz w:val="24"/>
          <w:szCs w:val="24"/>
        </w:rPr>
      </w:pPr>
    </w:p>
    <w:p w14:paraId="3A697E9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 Կլինիկական ասպեկտները</w:t>
      </w:r>
    </w:p>
    <w:p w14:paraId="7C2B0C32"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2.1. Ներածություն</w:t>
      </w:r>
    </w:p>
    <w:p w14:paraId="1A7FDF17"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 xml:space="preserve">Հարկավոր է նկարագրել ազդող նյութի կիրառման ցուցումները </w:t>
      </w:r>
      <w:r w:rsidR="00C54D75">
        <w:rPr>
          <w:rFonts w:ascii="Sylfaen" w:hAnsi="Sylfaen"/>
          <w:sz w:val="24"/>
          <w:szCs w:val="24"/>
        </w:rPr>
        <w:t>և</w:t>
      </w:r>
      <w:r w:rsidRPr="00826F05">
        <w:rPr>
          <w:rFonts w:ascii="Sylfaen" w:hAnsi="Sylfaen"/>
          <w:sz w:val="24"/>
          <w:szCs w:val="24"/>
        </w:rPr>
        <w:t xml:space="preserve"> դոզավորման ռեժիմը (ԴԸԲ-ի 4.1 </w:t>
      </w:r>
      <w:r w:rsidR="00C54D75">
        <w:rPr>
          <w:rFonts w:ascii="Sylfaen" w:hAnsi="Sylfaen"/>
          <w:sz w:val="24"/>
          <w:szCs w:val="24"/>
        </w:rPr>
        <w:t>և</w:t>
      </w:r>
      <w:r w:rsidRPr="00826F05">
        <w:rPr>
          <w:rFonts w:ascii="Sylfaen" w:hAnsi="Sylfaen"/>
          <w:sz w:val="24"/>
          <w:szCs w:val="24"/>
        </w:rPr>
        <w:t xml:space="preserve"> 4.2 բաժիններ), դեղադինամիկան </w:t>
      </w:r>
      <w:r w:rsidR="00C54D75">
        <w:rPr>
          <w:rFonts w:ascii="Sylfaen" w:hAnsi="Sylfaen"/>
          <w:sz w:val="24"/>
          <w:szCs w:val="24"/>
        </w:rPr>
        <w:t>և</w:t>
      </w:r>
      <w:r w:rsidRPr="00826F05">
        <w:rPr>
          <w:rFonts w:ascii="Sylfaen" w:hAnsi="Sylfaen"/>
          <w:sz w:val="24"/>
          <w:szCs w:val="24"/>
        </w:rPr>
        <w:t xml:space="preserve"> դեղակինետիկան, ազդող նյութի </w:t>
      </w:r>
      <w:r w:rsidR="00C54D75">
        <w:rPr>
          <w:rFonts w:ascii="Sylfaen" w:hAnsi="Sylfaen"/>
          <w:sz w:val="24"/>
          <w:szCs w:val="24"/>
        </w:rPr>
        <w:t>և</w:t>
      </w:r>
      <w:r w:rsidRPr="00826F05">
        <w:rPr>
          <w:rFonts w:ascii="Sylfaen" w:hAnsi="Sylfaen"/>
          <w:sz w:val="24"/>
          <w:szCs w:val="24"/>
        </w:rPr>
        <w:t xml:space="preserve"> պատրաստուկի ՖԿ ռեզյումեն (կլանման, բաշխման, նյութափոխանակության, դուրսբերման վերաբերյալ տվյալները, որոնք առանձնահատուկ հետաքրքրություն են ներկայացնում կենսահամարժեքության </w:t>
      </w:r>
      <w:r w:rsidRPr="004209C6">
        <w:rPr>
          <w:rFonts w:ascii="Sylfaen" w:hAnsi="Sylfaen"/>
          <w:spacing w:val="-6"/>
          <w:sz w:val="24"/>
          <w:szCs w:val="24"/>
        </w:rPr>
        <w:t xml:space="preserve">հետազոտությունների համար (գծայնութունը, էլիմինացման ժամանակը </w:t>
      </w:r>
      <w:r w:rsidR="00C54D75">
        <w:rPr>
          <w:rFonts w:ascii="Sylfaen" w:hAnsi="Sylfaen"/>
          <w:spacing w:val="-6"/>
          <w:sz w:val="24"/>
          <w:szCs w:val="24"/>
        </w:rPr>
        <w:t>և</w:t>
      </w:r>
      <w:r w:rsidRPr="004209C6">
        <w:rPr>
          <w:rFonts w:ascii="Sylfaen" w:hAnsi="Sylfaen"/>
          <w:spacing w:val="-6"/>
          <w:sz w:val="24"/>
          <w:szCs w:val="24"/>
        </w:rPr>
        <w:t xml:space="preserve"> այլն)) (այդ թվում՝ այնպիսի ձեռնարկների օգտագործմամբ, ինչպիսիք են Goodman &amp;</w:t>
      </w:r>
      <w:r w:rsidRPr="00826F05">
        <w:rPr>
          <w:rFonts w:ascii="Sylfaen" w:hAnsi="Sylfaen"/>
          <w:sz w:val="24"/>
          <w:szCs w:val="24"/>
        </w:rPr>
        <w:t xml:space="preserve"> Gilman-ը, Martindale-ը </w:t>
      </w:r>
      <w:r w:rsidR="00C54D75">
        <w:rPr>
          <w:rFonts w:ascii="Sylfaen" w:hAnsi="Sylfaen"/>
          <w:sz w:val="24"/>
          <w:szCs w:val="24"/>
        </w:rPr>
        <w:t>և</w:t>
      </w:r>
      <w:r w:rsidRPr="00826F05">
        <w:rPr>
          <w:rFonts w:ascii="Sylfaen" w:hAnsi="Sylfaen"/>
          <w:sz w:val="24"/>
          <w:szCs w:val="24"/>
        </w:rPr>
        <w:t xml:space="preserve"> այլն): </w:t>
      </w:r>
    </w:p>
    <w:p w14:paraId="369E31D3" w14:textId="77777777" w:rsidR="004F5982" w:rsidRPr="00826F05" w:rsidRDefault="004F5982" w:rsidP="004C0BC5">
      <w:pPr>
        <w:spacing w:after="160" w:line="336" w:lineRule="auto"/>
        <w:ind w:firstLine="567"/>
        <w:jc w:val="both"/>
        <w:rPr>
          <w:rFonts w:ascii="Sylfaen" w:eastAsia="Times New Roman" w:hAnsi="Sylfaen" w:cs="Times New Roman"/>
          <w:sz w:val="24"/>
          <w:szCs w:val="24"/>
        </w:rPr>
      </w:pPr>
      <w:r w:rsidRPr="00826F05">
        <w:rPr>
          <w:rFonts w:ascii="Sylfaen" w:hAnsi="Sylfaen"/>
          <w:sz w:val="24"/>
          <w:szCs w:val="24"/>
        </w:rPr>
        <w:t>Սույն ենթաբաժնի վերջում հարկավոր է ներկայացնել ստոր</w:t>
      </w:r>
      <w:r w:rsidR="00C54D75">
        <w:rPr>
          <w:rFonts w:ascii="Sylfaen" w:hAnsi="Sylfaen"/>
          <w:sz w:val="24"/>
          <w:szCs w:val="24"/>
        </w:rPr>
        <w:t>և</w:t>
      </w:r>
      <w:r w:rsidRPr="00826F05">
        <w:rPr>
          <w:rFonts w:ascii="Sylfaen" w:hAnsi="Sylfaen"/>
          <w:sz w:val="24"/>
          <w:szCs w:val="24"/>
        </w:rPr>
        <w:t xml:space="preserve"> բերված ձ</w:t>
      </w:r>
      <w:r w:rsidR="00C54D75">
        <w:rPr>
          <w:rFonts w:ascii="Sylfaen" w:hAnsi="Sylfaen"/>
          <w:sz w:val="24"/>
          <w:szCs w:val="24"/>
        </w:rPr>
        <w:t>և</w:t>
      </w:r>
      <w:r w:rsidRPr="00826F05">
        <w:rPr>
          <w:rFonts w:ascii="Sylfaen" w:hAnsi="Sylfaen"/>
          <w:sz w:val="24"/>
          <w:szCs w:val="24"/>
        </w:rPr>
        <w:t>աչափով ամփոփիչ ձ</w:t>
      </w:r>
      <w:r w:rsidR="00C54D75">
        <w:rPr>
          <w:rFonts w:ascii="Sylfaen" w:hAnsi="Sylfaen"/>
          <w:sz w:val="24"/>
          <w:szCs w:val="24"/>
        </w:rPr>
        <w:t>և</w:t>
      </w:r>
      <w:r w:rsidRPr="00826F05">
        <w:rPr>
          <w:rFonts w:ascii="Sylfaen" w:hAnsi="Sylfaen"/>
          <w:sz w:val="24"/>
          <w:szCs w:val="24"/>
        </w:rPr>
        <w:t>ակերպում:</w:t>
      </w:r>
    </w:p>
    <w:p w14:paraId="6DEA3587"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lastRenderedPageBreak/>
        <w:t>&lt;Փորձաքննությունն անց է կացվել Միության վերարտադրված դեղապատրաստուկների կենսահամարժեքության հետազոտությունների անցկացման կանոնների օգտագործմամբ, ինչպես նա</w:t>
      </w:r>
      <w:r w:rsidR="00C54D75">
        <w:rPr>
          <w:rFonts w:ascii="Sylfaen" w:hAnsi="Sylfaen"/>
          <w:i/>
          <w:sz w:val="24"/>
          <w:szCs w:val="24"/>
        </w:rPr>
        <w:t>և</w:t>
      </w:r>
      <w:r w:rsidRPr="00826F05">
        <w:rPr>
          <w:rFonts w:ascii="Sylfaen" w:hAnsi="Sylfaen"/>
          <w:i/>
          <w:sz w:val="24"/>
          <w:szCs w:val="24"/>
        </w:rPr>
        <w:t xml:space="preserve"> [նշել այլ ձեռնարկների </w:t>
      </w:r>
      <w:r w:rsidR="00C54D75">
        <w:rPr>
          <w:rFonts w:ascii="Sylfaen" w:hAnsi="Sylfaen"/>
          <w:i/>
          <w:sz w:val="24"/>
          <w:szCs w:val="24"/>
        </w:rPr>
        <w:t>և</w:t>
      </w:r>
      <w:r w:rsidRPr="00826F05">
        <w:rPr>
          <w:rFonts w:ascii="Sylfaen" w:hAnsi="Sylfaen"/>
          <w:i/>
          <w:sz w:val="24"/>
          <w:szCs w:val="24"/>
        </w:rPr>
        <w:t xml:space="preserve"> ուղեցույցների անվանումները]:&gt;</w:t>
      </w:r>
    </w:p>
    <w:p w14:paraId="4D147FFE" w14:textId="2E96CFA6"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ն ստացել է [չի ստացել] լիազորված փորձագիտական կազմակերպության՝ կլինիկական մշակման վերաբերյալ գիտական խորհրդատվությունը:</w:t>
      </w:r>
    </w:p>
    <w:p w14:paraId="267F082B" w14:textId="6DAFB556" w:rsidR="004F5982" w:rsidRPr="00826F05" w:rsidRDefault="004F5982" w:rsidP="00487007">
      <w:pPr>
        <w:spacing w:after="160" w:line="360" w:lineRule="auto"/>
        <w:ind w:firstLine="567"/>
        <w:jc w:val="both"/>
        <w:rPr>
          <w:rFonts w:ascii="Sylfaen" w:eastAsia="Times New Roman" w:hAnsi="Sylfaen" w:cs="Times New Roman"/>
          <w:i/>
          <w:sz w:val="24"/>
          <w:szCs w:val="24"/>
        </w:rPr>
      </w:pPr>
      <w:r w:rsidRPr="00826F05">
        <w:rPr>
          <w:rFonts w:ascii="Sylfaen" w:hAnsi="Sylfaen"/>
          <w:i/>
          <w:sz w:val="24"/>
          <w:szCs w:val="24"/>
        </w:rPr>
        <w:t>Տվյալ խորհրդատվությունը վերաբերել է հետ</w:t>
      </w:r>
      <w:r w:rsidR="00C54D75">
        <w:rPr>
          <w:rFonts w:ascii="Sylfaen" w:hAnsi="Sylfaen"/>
          <w:i/>
          <w:sz w:val="24"/>
          <w:szCs w:val="24"/>
        </w:rPr>
        <w:t>և</w:t>
      </w:r>
      <w:r w:rsidRPr="00826F05">
        <w:rPr>
          <w:rFonts w:ascii="Sylfaen" w:hAnsi="Sylfaen"/>
          <w:i/>
          <w:sz w:val="24"/>
          <w:szCs w:val="24"/>
        </w:rPr>
        <w:t xml:space="preserve">յալին՝ [ներկայացնել ռեզյումեն]: </w:t>
      </w:r>
      <w:r w:rsidR="0056496B">
        <w:rPr>
          <w:rFonts w:ascii="Sylfaen" w:hAnsi="Sylfaen"/>
          <w:i/>
          <w:sz w:val="24"/>
          <w:szCs w:val="24"/>
        </w:rPr>
        <w:t>Դիմումատու</w:t>
      </w:r>
      <w:r w:rsidRPr="00826F05">
        <w:rPr>
          <w:rFonts w:ascii="Sylfaen" w:hAnsi="Sylfaen"/>
          <w:i/>
          <w:sz w:val="24"/>
          <w:szCs w:val="24"/>
        </w:rPr>
        <w:t>ն օգտվել է [չի օգտվել] տվյալ գիտական խորհրդատվությունից:&gt;</w:t>
      </w:r>
    </w:p>
    <w:p w14:paraId="72692BBD" w14:textId="77777777" w:rsidR="004F5982" w:rsidRPr="00826F05" w:rsidRDefault="004F5982" w:rsidP="00487007">
      <w:pPr>
        <w:spacing w:after="160" w:line="360" w:lineRule="auto"/>
        <w:ind w:left="567" w:right="565"/>
        <w:jc w:val="both"/>
        <w:rPr>
          <w:rFonts w:ascii="Sylfaen" w:hAnsi="Sylfaen"/>
          <w:sz w:val="24"/>
          <w:szCs w:val="24"/>
        </w:rPr>
      </w:pPr>
    </w:p>
    <w:p w14:paraId="47BFF4DC"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2.1.1. Միության պատշաճ կլինիկական գործունեության </w:t>
      </w:r>
      <w:r w:rsidRPr="00826F05">
        <w:rPr>
          <w:rFonts w:ascii="Sylfaen" w:hAnsi="Sylfaen"/>
          <w:sz w:val="24"/>
          <w:szCs w:val="24"/>
        </w:rPr>
        <w:br/>
        <w:t>կանոնների պահանջներին համապատասխանության ասպեկտները</w:t>
      </w:r>
    </w:p>
    <w:p w14:paraId="2A2177D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Փորձագիտական հաշվետվության սույն </w:t>
      </w:r>
      <w:r w:rsidR="00C54D75">
        <w:rPr>
          <w:rFonts w:ascii="Sylfaen" w:hAnsi="Sylfaen"/>
          <w:sz w:val="24"/>
          <w:szCs w:val="24"/>
        </w:rPr>
        <w:t>և</w:t>
      </w:r>
      <w:r w:rsidRPr="00826F05">
        <w:rPr>
          <w:rFonts w:ascii="Sylfaen" w:hAnsi="Sylfaen"/>
          <w:sz w:val="24"/>
          <w:szCs w:val="24"/>
        </w:rPr>
        <w:t xml:space="preserve"> 3.1 բաժիններում, ինչպես նա</w:t>
      </w:r>
      <w:r w:rsidR="00C54D75">
        <w:rPr>
          <w:rFonts w:ascii="Sylfaen" w:hAnsi="Sylfaen"/>
          <w:sz w:val="24"/>
          <w:szCs w:val="24"/>
        </w:rPr>
        <w:t>և</w:t>
      </w:r>
      <w:r w:rsidRPr="00826F05">
        <w:rPr>
          <w:rFonts w:ascii="Sylfaen" w:hAnsi="Sylfaen"/>
          <w:sz w:val="24"/>
          <w:szCs w:val="24"/>
        </w:rPr>
        <w:t xml:space="preserve"> «Ընդհանուր նկարագրություն» մոդուլում անհրաժեշտ է արտացոլել Միության պատշաճ կլինիկական գործունեության կանոնների պահանջներին համապատասխանությանը վերաբերող հարցերը:</w:t>
      </w:r>
    </w:p>
    <w:p w14:paraId="610007E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անհրաժեշտ է դիտարկել՝</w:t>
      </w:r>
    </w:p>
    <w:p w14:paraId="593B8EE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բոլոր այն կասկածները, որոնք առաջացել են փորձաքննության ընթացքում կլինիկական պատշաճ գործունեության կանոնների </w:t>
      </w:r>
      <w:r w:rsidR="00C54D75">
        <w:rPr>
          <w:rFonts w:ascii="Sylfaen" w:hAnsi="Sylfaen"/>
          <w:sz w:val="24"/>
          <w:szCs w:val="24"/>
        </w:rPr>
        <w:t>և</w:t>
      </w:r>
      <w:r w:rsidRPr="00826F05">
        <w:rPr>
          <w:rFonts w:ascii="Sylfaen" w:hAnsi="Sylfaen"/>
          <w:sz w:val="24"/>
          <w:szCs w:val="24"/>
        </w:rPr>
        <w:t xml:space="preserve"> դրանց առնչվող կարգավորող </w:t>
      </w:r>
      <w:r w:rsidR="00C54D75">
        <w:rPr>
          <w:rFonts w:ascii="Sylfaen" w:hAnsi="Sylfaen"/>
          <w:sz w:val="24"/>
          <w:szCs w:val="24"/>
        </w:rPr>
        <w:t>և</w:t>
      </w:r>
      <w:r w:rsidRPr="00826F05">
        <w:rPr>
          <w:rFonts w:ascii="Sylfaen" w:hAnsi="Sylfaen"/>
          <w:sz w:val="24"/>
          <w:szCs w:val="24"/>
        </w:rPr>
        <w:t xml:space="preserve"> էթիկական պահանջների պահպանման մասով (տվյալների ճշտություն, արձանագրության պահպանում </w:t>
      </w:r>
      <w:r w:rsidR="00C54D75">
        <w:rPr>
          <w:rFonts w:ascii="Sylfaen" w:hAnsi="Sylfaen"/>
          <w:sz w:val="24"/>
          <w:szCs w:val="24"/>
        </w:rPr>
        <w:t>և</w:t>
      </w:r>
      <w:r w:rsidRPr="00826F05">
        <w:rPr>
          <w:rFonts w:ascii="Sylfaen" w:hAnsi="Sylfaen"/>
          <w:sz w:val="24"/>
          <w:szCs w:val="24"/>
        </w:rPr>
        <w:t xml:space="preserve"> էթիկական ասպեկտների պահպանում).</w:t>
      </w:r>
    </w:p>
    <w:p w14:paraId="5CE6A61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կլինիկական հետազոտությունների՝ Միության պատշաճ կլինիկական գործունեության կամ դրանց համարժեք կանոններով նախատեսված էթիկական չափանիշների պահպանումը. </w:t>
      </w:r>
    </w:p>
    <w:p w14:paraId="177E763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lastRenderedPageBreak/>
        <w:t xml:space="preserve">պատշաճ կլինիկական գործունեության կանոնների պահանջներին համապատասխանության մասով տեսչական ստուգում անցկացնելու նպատակահարմարությունը՝ ելնելով Գրանցման </w:t>
      </w:r>
      <w:r w:rsidR="00C54D75">
        <w:rPr>
          <w:rFonts w:ascii="Sylfaen" w:hAnsi="Sylfaen"/>
          <w:sz w:val="24"/>
          <w:szCs w:val="24"/>
        </w:rPr>
        <w:t>և</w:t>
      </w:r>
      <w:r w:rsidRPr="00826F05">
        <w:rPr>
          <w:rFonts w:ascii="Sylfaen" w:hAnsi="Sylfaen"/>
          <w:sz w:val="24"/>
          <w:szCs w:val="24"/>
        </w:rPr>
        <w:t xml:space="preserve"> փորձաքննության կանոններից:</w:t>
      </w:r>
    </w:p>
    <w:p w14:paraId="698A7FE9" w14:textId="77777777" w:rsidR="004F5982" w:rsidRPr="00826F05"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Տեսչական ստուգում անցկացնելու անհրաժեշտության վերաբերյալ որոշման ընդունումն իրականացվում է (սույն կանոններում բերված) կրիտիկական գործոնների համակցության հիման վրա՝ հաշվի առնելով ամբողջ գրանցման դոսյեի գնահատումը: Կրիտիկական գործոնների ցանկը սպառիչ չէ, յուրաքանչյուր գործոնի նշանակությունը Միության պատշաճ կլինիկական գործունեության կանոններին համապատասխանության մասով արտապլանային տեսչական ստուգում անցկացնելու վերաբերյալ որոշում կայացնելու համար կարող է էականորեն տարբերվել՝ կախված բազմաթիվ գործոններից:</w:t>
      </w:r>
    </w:p>
    <w:p w14:paraId="0159FC9E"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Տեսչական ստուգում անցկացնելու անհրաժեշտությունը պայմանավորող գործոնների վերաբերյալ մանրամասն տեղեկատվությունը ներկայացված է սույն կանոններում </w:t>
      </w:r>
      <w:r w:rsidR="00C54D75">
        <w:rPr>
          <w:rFonts w:ascii="Sylfaen" w:hAnsi="Sylfaen"/>
          <w:sz w:val="24"/>
          <w:szCs w:val="24"/>
        </w:rPr>
        <w:t>և</w:t>
      </w:r>
      <w:r w:rsidRPr="00826F05">
        <w:rPr>
          <w:rFonts w:ascii="Sylfaen" w:hAnsi="Sylfaen"/>
          <w:sz w:val="24"/>
          <w:szCs w:val="24"/>
        </w:rPr>
        <w:t xml:space="preserve"> Միության դեղագործական տեսչական ստուգումների անցկացման կանոններում:</w:t>
      </w:r>
    </w:p>
    <w:p w14:paraId="743CED3F" w14:textId="77777777" w:rsidR="004F5982" w:rsidRDefault="004F5982" w:rsidP="00487007">
      <w:pPr>
        <w:spacing w:after="160" w:line="360" w:lineRule="auto"/>
        <w:ind w:firstLine="567"/>
        <w:jc w:val="both"/>
        <w:rPr>
          <w:rFonts w:ascii="Sylfaen" w:hAnsi="Sylfaen"/>
          <w:sz w:val="24"/>
          <w:szCs w:val="24"/>
        </w:rPr>
      </w:pPr>
      <w:r w:rsidRPr="00826F05">
        <w:rPr>
          <w:rFonts w:ascii="Sylfaen" w:hAnsi="Sylfaen"/>
          <w:sz w:val="24"/>
          <w:szCs w:val="24"/>
        </w:rPr>
        <w:t xml:space="preserve">Միության պատշաճ կլինիկական գործունեության կանոնների պահանջներին համապատասխանության մասով տեսչական ստուգում անցկացնելու վերաբերյալ հարցման համար անհրաժեշտ է </w:t>
      </w:r>
    </w:p>
    <w:p w14:paraId="60667E66" w14:textId="77777777" w:rsidR="004F5982" w:rsidRDefault="004F5982" w:rsidP="004C0BC5">
      <w:pPr>
        <w:spacing w:after="160" w:line="336" w:lineRule="auto"/>
        <w:ind w:firstLine="567"/>
        <w:jc w:val="both"/>
        <w:rPr>
          <w:rFonts w:ascii="Sylfaen" w:hAnsi="Sylfaen"/>
          <w:sz w:val="24"/>
          <w:szCs w:val="24"/>
        </w:rPr>
      </w:pPr>
      <w:r w:rsidRPr="00826F05">
        <w:rPr>
          <w:rFonts w:ascii="Sylfaen" w:hAnsi="Sylfaen"/>
          <w:sz w:val="24"/>
          <w:szCs w:val="24"/>
        </w:rPr>
        <w:t xml:space="preserve">դիմել ազգային դեղագործական տեսչություն. </w:t>
      </w:r>
    </w:p>
    <w:p w14:paraId="570C05D1" w14:textId="77777777" w:rsidR="004F5982" w:rsidRPr="00826F05" w:rsidRDefault="004F5982" w:rsidP="004C0BC5">
      <w:pPr>
        <w:spacing w:after="160" w:line="336" w:lineRule="auto"/>
        <w:ind w:right="-1" w:firstLine="567"/>
        <w:jc w:val="both"/>
        <w:rPr>
          <w:rFonts w:ascii="Sylfaen" w:eastAsia="Times New Roman" w:hAnsi="Sylfaen" w:cs="Times New Roman"/>
          <w:sz w:val="24"/>
          <w:szCs w:val="24"/>
        </w:rPr>
      </w:pPr>
      <w:r w:rsidRPr="00826F05">
        <w:rPr>
          <w:rFonts w:ascii="Sylfaen" w:hAnsi="Sylfaen"/>
          <w:sz w:val="24"/>
          <w:szCs w:val="24"/>
        </w:rPr>
        <w:t>տեսչության հետ միասին որոշել տեսչական ստուգմանն առնչվող հետազոտությունները, օբյեկտներն ու մասնահատուկ հարցերը կամ խնդիրները.</w:t>
      </w:r>
    </w:p>
    <w:p w14:paraId="0347F8F3" w14:textId="77777777" w:rsidR="004F5982" w:rsidRPr="00826F05" w:rsidRDefault="004F5982" w:rsidP="004C0BC5">
      <w:pPr>
        <w:spacing w:after="160" w:line="336" w:lineRule="auto"/>
        <w:ind w:right="-1" w:firstLine="567"/>
        <w:jc w:val="both"/>
        <w:rPr>
          <w:rFonts w:ascii="Sylfaen" w:eastAsia="Times New Roman" w:hAnsi="Sylfaen" w:cs="Times New Roman"/>
          <w:spacing w:val="-6"/>
          <w:sz w:val="24"/>
          <w:szCs w:val="24"/>
        </w:rPr>
      </w:pPr>
      <w:r w:rsidRPr="00826F05">
        <w:rPr>
          <w:rFonts w:ascii="Sylfaen" w:hAnsi="Sylfaen"/>
          <w:spacing w:val="-6"/>
          <w:sz w:val="24"/>
          <w:szCs w:val="24"/>
        </w:rPr>
        <w:t xml:space="preserve">նախապատրաստել տեսչական ստուգման վերաբերյալ պաշտոնական հարցում, որը ներկայացվում է տեսուչների քննարկման </w:t>
      </w:r>
      <w:r w:rsidR="00C54D75">
        <w:rPr>
          <w:rFonts w:ascii="Sylfaen" w:hAnsi="Sylfaen"/>
          <w:spacing w:val="-6"/>
          <w:sz w:val="24"/>
          <w:szCs w:val="24"/>
        </w:rPr>
        <w:t>և</w:t>
      </w:r>
      <w:r w:rsidRPr="00826F05">
        <w:rPr>
          <w:rFonts w:ascii="Sylfaen" w:hAnsi="Sylfaen"/>
          <w:spacing w:val="-6"/>
          <w:sz w:val="24"/>
          <w:szCs w:val="24"/>
        </w:rPr>
        <w:t xml:space="preserve"> Միության անդամ պետությունների լիազորված տեսչական կազմակերպությունների հետ հետագա համաձայնեցման համար, որից հետո հարցումը հաստատվում է լիազորված մարմինների կողմից </w:t>
      </w:r>
      <w:r w:rsidR="00C54D75">
        <w:rPr>
          <w:rFonts w:ascii="Sylfaen" w:hAnsi="Sylfaen"/>
          <w:spacing w:val="-6"/>
          <w:sz w:val="24"/>
          <w:szCs w:val="24"/>
        </w:rPr>
        <w:t>և</w:t>
      </w:r>
      <w:r w:rsidRPr="00826F05">
        <w:rPr>
          <w:rFonts w:ascii="Sylfaen" w:hAnsi="Sylfaen"/>
          <w:spacing w:val="-6"/>
          <w:sz w:val="24"/>
          <w:szCs w:val="24"/>
        </w:rPr>
        <w:t xml:space="preserve"> ներառվում է տեսչական ստուգումների պլանի մեջ (90 կամ 120 օր):</w:t>
      </w:r>
    </w:p>
    <w:p w14:paraId="7B26237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2.2. Բիովեյվերները</w:t>
      </w:r>
    </w:p>
    <w:p w14:paraId="012B9E5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Սույն բաժնում հարկավոր է նկարագրել բիովեյվերի 2 տարատեսակ՝</w:t>
      </w:r>
    </w:p>
    <w:p w14:paraId="0166682B"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Բիովեյվեր՝ դոզավորման(ումների) համար,</w:t>
      </w:r>
    </w:p>
    <w:p w14:paraId="50B6F71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Բիովեյվեր՝ ԿԴՀ-ի հիման վրա: </w:t>
      </w:r>
    </w:p>
    <w:p w14:paraId="1631040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Անհրաժեշտ է հաշվի առնել Միության վերարտադրված դեղամիջոցների կենսահամարժեքության հետազոտությունների անցկացման կանոնների համապատասխան պահանջները:</w:t>
      </w:r>
    </w:p>
    <w:p w14:paraId="71755324"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Սույն բաժինը հարկավոր է օգտագործել կենսահամարժեքության հետազոտությունների անցկացումից հրաժարվելու հիմնավորման գնահատման համար, օրինակ՝ որոշակի դեղաձ</w:t>
      </w:r>
      <w:r w:rsidR="00C54D75">
        <w:rPr>
          <w:rFonts w:ascii="Sylfaen" w:hAnsi="Sylfaen"/>
          <w:sz w:val="24"/>
          <w:szCs w:val="24"/>
        </w:rPr>
        <w:t>և</w:t>
      </w:r>
      <w:r w:rsidRPr="00826F05">
        <w:rPr>
          <w:rFonts w:ascii="Sylfaen" w:hAnsi="Sylfaen"/>
          <w:sz w:val="24"/>
          <w:szCs w:val="24"/>
        </w:rPr>
        <w:t>երի նկատմամբ՝ նշված կանոններին համապատասխան:</w:t>
      </w:r>
    </w:p>
    <w:p w14:paraId="3D0385E9" w14:textId="77777777" w:rsidR="004F5982" w:rsidRPr="00826F05" w:rsidRDefault="004F5982" w:rsidP="00487007">
      <w:pPr>
        <w:spacing w:after="160" w:line="360" w:lineRule="auto"/>
        <w:ind w:right="-1" w:firstLine="567"/>
        <w:jc w:val="center"/>
        <w:rPr>
          <w:rFonts w:ascii="Sylfaen" w:hAnsi="Sylfaen"/>
          <w:sz w:val="24"/>
          <w:szCs w:val="24"/>
        </w:rPr>
      </w:pPr>
    </w:p>
    <w:p w14:paraId="4B3522F8"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 Կլինիկական դեղաբանությունը</w:t>
      </w:r>
    </w:p>
    <w:p w14:paraId="508B707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2.3.1. Դեղակինետիկան</w:t>
      </w:r>
    </w:p>
    <w:p w14:paraId="10656B8E" w14:textId="002FB38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&lt;Որպես </w:t>
      </w:r>
      <w:r w:rsidR="0056496B">
        <w:rPr>
          <w:rFonts w:ascii="Sylfaen" w:hAnsi="Sylfaen"/>
          <w:i/>
          <w:sz w:val="24"/>
          <w:szCs w:val="24"/>
        </w:rPr>
        <w:t>դիմում</w:t>
      </w:r>
      <w:r w:rsidRPr="00826F05">
        <w:rPr>
          <w:rFonts w:ascii="Sylfaen" w:hAnsi="Sylfaen"/>
          <w:i/>
          <w:sz w:val="24"/>
          <w:szCs w:val="24"/>
        </w:rPr>
        <w:t>ի հիմնավորումներ ներկայացված են կենսահամարժեքության [նշել քանակը] հետազոտություն(ներ), դեղադինամիկ [նշել քանակը] հետազոտություններ, թերապ</w:t>
      </w:r>
      <w:r w:rsidR="00C54D75">
        <w:rPr>
          <w:rFonts w:ascii="Sylfaen" w:hAnsi="Sylfaen"/>
          <w:i/>
          <w:sz w:val="24"/>
          <w:szCs w:val="24"/>
        </w:rPr>
        <w:t>և</w:t>
      </w:r>
      <w:r w:rsidRPr="00826F05">
        <w:rPr>
          <w:rFonts w:ascii="Sylfaen" w:hAnsi="Sylfaen"/>
          <w:i/>
          <w:sz w:val="24"/>
          <w:szCs w:val="24"/>
        </w:rPr>
        <w:t>տիկ համարժեքության [նշել քանակը] հետազոտություններ:&gt;</w:t>
      </w:r>
    </w:p>
    <w:p w14:paraId="1DDBEB86"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E20294">
        <w:rPr>
          <w:rFonts w:ascii="Sylfaen" w:hAnsi="Sylfaen"/>
          <w:spacing w:val="-6"/>
          <w:sz w:val="24"/>
          <w:szCs w:val="24"/>
        </w:rPr>
        <w:t>Հարկավոր է ներկայացնել կենսահամարժեքության մի քանի հետազոտությունների ներկայացման հիմնավորվածության գնահատումը</w:t>
      </w:r>
      <w:r w:rsidRPr="00826F05">
        <w:rPr>
          <w:rFonts w:ascii="Sylfaen" w:hAnsi="Sylfaen"/>
          <w:sz w:val="24"/>
          <w:szCs w:val="24"/>
        </w:rPr>
        <w:t>: Եթե անց են կացվել մի քանի կլինիկական հետազոտություններ, ապա յուրաքանչյուր այդպիսի հետազոտություն անհրաժեշտ է առանձին նկարագրել՝ օգտագործելով աղյուսակի տեսքով ստոր</w:t>
      </w:r>
      <w:r w:rsidR="00C54D75">
        <w:rPr>
          <w:rFonts w:ascii="Sylfaen" w:hAnsi="Sylfaen"/>
          <w:sz w:val="24"/>
          <w:szCs w:val="24"/>
        </w:rPr>
        <w:t>և</w:t>
      </w:r>
      <w:r w:rsidRPr="00826F05">
        <w:rPr>
          <w:rFonts w:ascii="Sylfaen" w:hAnsi="Sylfaen"/>
          <w:sz w:val="24"/>
          <w:szCs w:val="24"/>
        </w:rPr>
        <w:t xml:space="preserve"> ներկայացված կառուցվածքը: </w:t>
      </w:r>
    </w:p>
    <w:p w14:paraId="18E72B5B" w14:textId="77777777" w:rsidR="004F5982" w:rsidRPr="00E20294" w:rsidRDefault="004F5982" w:rsidP="00487007">
      <w:pPr>
        <w:pStyle w:val="Tablecaption20"/>
        <w:shd w:val="clear" w:color="auto" w:fill="auto"/>
        <w:spacing w:after="160" w:line="360" w:lineRule="auto"/>
        <w:ind w:right="-1" w:firstLine="567"/>
        <w:jc w:val="right"/>
        <w:rPr>
          <w:rFonts w:ascii="Sylfaen" w:hAnsi="Sylfaen"/>
          <w:b w:val="0"/>
          <w:sz w:val="24"/>
          <w:szCs w:val="24"/>
        </w:rPr>
      </w:pPr>
      <w:r w:rsidRPr="00E20294">
        <w:rPr>
          <w:rFonts w:ascii="Sylfaen" w:hAnsi="Sylfaen"/>
          <w:b w:val="0"/>
          <w:color w:val="000000"/>
          <w:sz w:val="24"/>
          <w:szCs w:val="24"/>
        </w:rPr>
        <w:t>Աղյուսակ 1</w:t>
      </w:r>
    </w:p>
    <w:p w14:paraId="7776F3F5" w14:textId="77777777" w:rsidR="004F5982" w:rsidRPr="00E20294" w:rsidRDefault="004F5982" w:rsidP="00487007">
      <w:pPr>
        <w:spacing w:after="160" w:line="360" w:lineRule="auto"/>
        <w:ind w:left="567" w:right="332"/>
        <w:jc w:val="center"/>
        <w:rPr>
          <w:rFonts w:ascii="Sylfaen" w:hAnsi="Sylfaen"/>
          <w:b/>
          <w:sz w:val="24"/>
          <w:szCs w:val="24"/>
        </w:rPr>
      </w:pPr>
      <w:r w:rsidRPr="00E20294">
        <w:rPr>
          <w:rStyle w:val="Bodytext295pt"/>
          <w:rFonts w:ascii="Sylfaen" w:eastAsiaTheme="minorHAnsi" w:hAnsi="Sylfaen"/>
          <w:b w:val="0"/>
          <w:spacing w:val="0"/>
          <w:sz w:val="24"/>
          <w:szCs w:val="24"/>
        </w:rPr>
        <w:lastRenderedPageBreak/>
        <w:t>Կլինիկական հետազոտությունների աղյուսակային ամփոփումը</w:t>
      </w:r>
    </w:p>
    <w:tbl>
      <w:tblPr>
        <w:tblOverlap w:val="neve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62"/>
        <w:gridCol w:w="691"/>
        <w:gridCol w:w="1575"/>
        <w:gridCol w:w="1625"/>
        <w:gridCol w:w="203"/>
        <w:gridCol w:w="1813"/>
        <w:gridCol w:w="174"/>
        <w:gridCol w:w="1700"/>
      </w:tblGrid>
      <w:tr w:rsidR="004F5982" w:rsidRPr="00E20294" w14:paraId="47F1CAD0" w14:textId="77777777" w:rsidTr="00433295">
        <w:tc>
          <w:tcPr>
            <w:tcW w:w="10143" w:type="dxa"/>
            <w:gridSpan w:val="8"/>
            <w:shd w:val="clear" w:color="auto" w:fill="FFFFFF"/>
            <w:vAlign w:val="bottom"/>
          </w:tcPr>
          <w:p w14:paraId="2979FD29"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Հետազոտություն &lt;համարը&gt;՝ &lt;անվանումը&gt;</w:t>
            </w:r>
          </w:p>
        </w:tc>
      </w:tr>
      <w:tr w:rsidR="004F5982" w:rsidRPr="00E20294" w14:paraId="35F1A1B0" w14:textId="77777777" w:rsidTr="00433295">
        <w:tc>
          <w:tcPr>
            <w:tcW w:w="10143" w:type="dxa"/>
            <w:gridSpan w:val="8"/>
            <w:shd w:val="clear" w:color="auto" w:fill="FFFFFF"/>
            <w:vAlign w:val="bottom"/>
          </w:tcPr>
          <w:p w14:paraId="21FE5AE4"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Մեթոդները</w:t>
            </w:r>
          </w:p>
        </w:tc>
      </w:tr>
      <w:tr w:rsidR="004F5982" w:rsidRPr="00E20294" w14:paraId="7D7DCBF6" w14:textId="77777777" w:rsidTr="00433295">
        <w:tc>
          <w:tcPr>
            <w:tcW w:w="10143" w:type="dxa"/>
            <w:gridSpan w:val="8"/>
            <w:shd w:val="clear" w:color="auto" w:fill="FFFFFF"/>
            <w:vAlign w:val="bottom"/>
          </w:tcPr>
          <w:p w14:paraId="11D4B402"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Հետազոտության բովանդակային պլանը</w:t>
            </w:r>
          </w:p>
          <w:p w14:paraId="280A66C0"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մանրամասն նկարագրությունը, ներառյալ՝ պատրաստուկն ընդունելու ընթացակարգերը (անոթի կամ սնունդ ընդունելուց հետո), մաքրման ժամանակահատվածը, սննդի բնութագրերը՝ սնունդ ընդունելուց հետո (անոթի</w:t>
            </w:r>
            <w:r>
              <w:rPr>
                <w:rStyle w:val="Bodytext20"/>
                <w:rFonts w:ascii="Sylfaen" w:eastAsiaTheme="minorHAnsi" w:hAnsi="Sylfaen"/>
                <w:sz w:val="22"/>
                <w:szCs w:val="22"/>
              </w:rPr>
              <w:t> </w:t>
            </w:r>
            <w:r w:rsidRPr="00E20294">
              <w:rPr>
                <w:rStyle w:val="Bodytext20"/>
                <w:rFonts w:ascii="Sylfaen" w:eastAsiaTheme="minorHAnsi" w:hAnsi="Sylfaen"/>
                <w:sz w:val="22"/>
                <w:szCs w:val="22"/>
              </w:rPr>
              <w:t>վիճակում), սննդի բաղադրիչները (սնունդ ընդունելուց հետո պատրաստուկի ընդունմամբ հետազոտություններում), բազմակի (մեկանգամյա) ներմուծումը, ընդունած դեղաչափը, մաքրման ժամանակահատվածը, «կույր» մեթոդը, խաչաձ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ումը, պատահական բաշխումը, նմուշառման սխեման, վերլուծվող միացությունը (ելանյութը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մետաբոլիտները)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կենսանյութը (պլազմա, մեզ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 </w:t>
            </w:r>
          </w:p>
          <w:p w14:paraId="3214AC2B"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Եթե հետազոտությունն անց է կացվել ստացիոնար (հավասարակշիռ) վիճակում՝ համապատասխան տվյալները (բազմակի ընդունում):</w:t>
            </w:r>
          </w:p>
          <w:p w14:paraId="5E1DADFC"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Արձանագրության համարը, հետազոտության 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ողությունը, հետազոտողի, հետազոտական կենտրոնի, կենսավերլուծական կենտրոնի, կենսավիճակագրության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(կամ) կենսավիճակագրական կենտրոնի վերաբերյալ տեղեկությունները:</w:t>
            </w:r>
          </w:p>
          <w:p w14:paraId="33A87783"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 xml:space="preserve">Փորձագետի </w:t>
            </w:r>
            <w:r w:rsidRPr="00E20294">
              <w:rPr>
                <w:rStyle w:val="Bodytext20"/>
                <w:rFonts w:ascii="Sylfaen" w:eastAsiaTheme="minorHAnsi" w:hAnsi="Sylfaen"/>
                <w:color w:val="auto"/>
                <w:sz w:val="22"/>
                <w:szCs w:val="22"/>
              </w:rPr>
              <w:t>մեկնաբանությունը</w:t>
            </w:r>
          </w:p>
          <w:p w14:paraId="60FDA3B2" w14:textId="77777777" w:rsidR="004F5982" w:rsidRPr="00E20294" w:rsidRDefault="004F5982" w:rsidP="00487007">
            <w:pPr>
              <w:spacing w:after="120" w:line="240" w:lineRule="auto"/>
              <w:ind w:left="142" w:right="113"/>
              <w:jc w:val="both"/>
              <w:rPr>
                <w:rFonts w:ascii="Sylfaen" w:hAnsi="Sylfaen"/>
              </w:rPr>
            </w:pPr>
            <w:r w:rsidRPr="00E20294">
              <w:rPr>
                <w:rStyle w:val="Bodytext20"/>
                <w:rFonts w:ascii="Sylfaen" w:eastAsiaTheme="minorHAnsi" w:hAnsi="Sylfaen"/>
                <w:sz w:val="22"/>
                <w:szCs w:val="22"/>
              </w:rPr>
              <w:t>Հետազոտության բովանդակային պլանի ընդունելիության կրիտիկական գնահատականը:</w:t>
            </w:r>
          </w:p>
        </w:tc>
      </w:tr>
      <w:tr w:rsidR="004F5982" w:rsidRPr="00E20294" w14:paraId="2163B420" w14:textId="77777777" w:rsidTr="00433295">
        <w:tc>
          <w:tcPr>
            <w:tcW w:w="10143" w:type="dxa"/>
            <w:gridSpan w:val="8"/>
            <w:shd w:val="clear" w:color="auto" w:fill="FFFFFF"/>
            <w:vAlign w:val="bottom"/>
          </w:tcPr>
          <w:p w14:paraId="5E069693"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Հետազոտվող պատրաստուկը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պատրաստուկը</w:t>
            </w:r>
          </w:p>
          <w:p w14:paraId="3DCB6922"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համեմատման պատրաստուկի (անվանումը) վերաբերյալ աղյուսակային 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ով ներկայացնել մանրամասն տեղեկություններ՝ դոզավորումը, դեղաձ</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ը, գրանցման հավաստագրի իրավատերը, Միության շրջանակներում գրանցման օրը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կլինիկական հետազոտություններում օգտագործված սերիաների վերաբերյալ մանրամասն տեղեկություններ (ինչպիսիք են սերիայի համարը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երկիրը):</w:t>
            </w:r>
          </w:p>
          <w:p w14:paraId="3F8D0E20" w14:textId="77777777" w:rsidR="004F5982" w:rsidRPr="00E20294" w:rsidRDefault="004F5982" w:rsidP="00487007">
            <w:pPr>
              <w:spacing w:after="120" w:line="288" w:lineRule="auto"/>
              <w:ind w:left="142" w:right="113"/>
              <w:jc w:val="both"/>
              <w:rPr>
                <w:rFonts w:ascii="Sylfaen" w:hAnsi="Sylfaen"/>
              </w:rPr>
            </w:pPr>
            <w:r w:rsidRPr="00E20294">
              <w:rPr>
                <w:rStyle w:val="Bodytext20"/>
                <w:rFonts w:ascii="Sylfaen" w:eastAsiaTheme="minorHAnsi" w:hAnsi="Sylfaen"/>
                <w:sz w:val="22"/>
                <w:szCs w:val="22"/>
              </w:rPr>
              <w:t>Անհրաժեշտ է նշել հետ</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յալ տեղեկությունները՝ հետազոտվող 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պատրաստուկի անվանական դեղաչափը, ինչպես նա</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կենսահամարժեքության հետազոտությունում օգտագործված երկու պատրաստուկների մեջ ազդող նյութի փաստացի պարունակությունը՝ ըստ փորձարկումների արձանագրության (վերլուծության սերտիֆիկատի), հետազոտվող պատրաստուկի սերիայի ծավալը (անցկացված հետազոտության շրջանակներում)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 արդյունաբերական սերիայի ենթադրվող ծավալը:</w:t>
            </w:r>
          </w:p>
        </w:tc>
      </w:tr>
      <w:tr w:rsidR="004F5982" w:rsidRPr="00E20294" w14:paraId="3B73290E" w14:textId="77777777" w:rsidTr="00433295">
        <w:tc>
          <w:tcPr>
            <w:tcW w:w="10143" w:type="dxa"/>
            <w:gridSpan w:val="8"/>
            <w:shd w:val="clear" w:color="auto" w:fill="FFFFFF"/>
            <w:vAlign w:val="bottom"/>
          </w:tcPr>
          <w:p w14:paraId="0901E294"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285E0F06" w14:textId="4BF03EA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պահանջվող տվյալները ներկայացված են, արդյոք հետազոտվող պատրաստուկը, ըստ բաղադրության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արտադրության մեթոդի, նույնական է գրանցման համար </w:t>
            </w:r>
            <w:r w:rsidR="001A5F1A">
              <w:rPr>
                <w:rStyle w:val="Bodytext20"/>
                <w:rFonts w:ascii="Sylfaen" w:eastAsiaTheme="minorHAnsi" w:hAnsi="Sylfaen"/>
                <w:sz w:val="22"/>
                <w:szCs w:val="22"/>
              </w:rPr>
              <w:t>հայտագրված</w:t>
            </w:r>
            <w:r w:rsidRPr="00E20294">
              <w:rPr>
                <w:rStyle w:val="Bodytext20"/>
                <w:rFonts w:ascii="Sylfaen" w:eastAsiaTheme="minorHAnsi" w:hAnsi="Sylfaen"/>
                <w:sz w:val="22"/>
                <w:szCs w:val="22"/>
              </w:rPr>
              <w:t xml:space="preserve">ին: </w:t>
            </w:r>
          </w:p>
        </w:tc>
      </w:tr>
      <w:tr w:rsidR="004F5982" w:rsidRPr="00E20294" w14:paraId="55C1F9F2" w14:textId="77777777" w:rsidTr="00433295">
        <w:tc>
          <w:tcPr>
            <w:tcW w:w="10143" w:type="dxa"/>
            <w:gridSpan w:val="8"/>
            <w:shd w:val="clear" w:color="auto" w:fill="FFFFFF"/>
            <w:vAlign w:val="bottom"/>
          </w:tcPr>
          <w:p w14:paraId="4BFAC9B0"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Ուսումնասիրված պոպուլյացիաները</w:t>
            </w:r>
          </w:p>
          <w:p w14:paraId="6F18495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 xml:space="preserve">Հարկավոր է նշել հետազոտությունում, ՖԿ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վիճակագրական վերլուծությունում ներառված, դուրս մնացած (պատճառի մանրամասն նկարագրությամբ) սուբյեկտների քանակը, ներկայացնել նրանց էթնիկ պատկանելիությունը, սեռը, տարիքը, առողջական վիճակը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w:t>
            </w:r>
          </w:p>
          <w:p w14:paraId="11C277B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6C7814C7" w14:textId="6E101935"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Անհրաժեշտ է նշել, թե արդյոք սուբյեկտների ընտրությունը համապատասխանում է Միության վերարտադրված դեղապատրաստուկների հետազոտությունների կանոններին, արդյոք պահպանվել են ներառելու (չներառելու) չափորոշիչները, արդյոք ճիշտ է ընտրանքի չափի հաշվարկումը, գնահատել էթնիկ պատկանելիության, սեռի, տարիքի, առողջական վիճակի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այլնի ազդեցությունը: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 </w:t>
            </w:r>
          </w:p>
        </w:tc>
      </w:tr>
      <w:tr w:rsidR="004F5982" w:rsidRPr="00E20294" w14:paraId="20F227F7" w14:textId="77777777" w:rsidTr="00433295">
        <w:trPr>
          <w:trHeight w:val="3505"/>
        </w:trPr>
        <w:tc>
          <w:tcPr>
            <w:tcW w:w="10143" w:type="dxa"/>
            <w:gridSpan w:val="8"/>
            <w:shd w:val="clear" w:color="auto" w:fill="FFFFFF"/>
            <w:vAlign w:val="bottom"/>
          </w:tcPr>
          <w:p w14:paraId="0D9EA93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lastRenderedPageBreak/>
              <w:t>Վերլուծական մեթոդները</w:t>
            </w:r>
          </w:p>
          <w:p w14:paraId="1ACF20FD"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Օգտագործված վերլուծական մեթոդների մանրամասն նկարագրությունը՝ շեշտը դնելով մեթոդիկայի վալիդացման բնութագրի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վերլուծությունների կատարման որակի հսկողության վրա: Ներկայացրե՛ք կենսավերլուծական մեթոդիկայի վալիդացման մասով հաշվետվության փորձաքննության համար նշանակալի բոլոր տեղեկությունները՝ Միության վերարտադրված դեղապատրաստուկների հետազոտությունների կանոններին համապատասխան:</w:t>
            </w:r>
          </w:p>
          <w:p w14:paraId="17315A9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5B6DDE33" w14:textId="7D1D9BC6"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Նշե՛ք, թե արդյոք վերլուծական մեթոդն ընդունելի, վալիդացված է, արդյոք նմուշների հետ աշխատանքը գոհացուցիչ է: Գնահատե՛ք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շեղումները (խախտումները):</w:t>
            </w:r>
          </w:p>
        </w:tc>
      </w:tr>
      <w:tr w:rsidR="004F5982" w:rsidRPr="00E20294" w14:paraId="594D3389" w14:textId="77777777" w:rsidTr="00433295">
        <w:tc>
          <w:tcPr>
            <w:tcW w:w="10143" w:type="dxa"/>
            <w:gridSpan w:val="8"/>
            <w:shd w:val="clear" w:color="auto" w:fill="FFFFFF"/>
            <w:vAlign w:val="bottom"/>
          </w:tcPr>
          <w:p w14:paraId="04F3F59E"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Դեղակինետիկ փոփոխականները</w:t>
            </w:r>
          </w:p>
          <w:p w14:paraId="1E225B6F"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Ընդհանրացրե՛ք դեղակինետիկ պարամետրերը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մեթոդները (ոչ</w:t>
            </w:r>
            <w:r>
              <w:rPr>
                <w:rStyle w:val="Bodytext20"/>
                <w:rFonts w:ascii="Sylfaen" w:eastAsiaTheme="minorHAnsi" w:hAnsi="Sylfaen"/>
                <w:sz w:val="22"/>
                <w:szCs w:val="22"/>
              </w:rPr>
              <w:t> </w:t>
            </w:r>
            <w:r w:rsidRPr="00E20294">
              <w:rPr>
                <w:rStyle w:val="Bodytext20"/>
                <w:rFonts w:ascii="Sylfaen" w:eastAsiaTheme="minorHAnsi" w:hAnsi="Sylfaen"/>
                <w:sz w:val="22"/>
                <w:szCs w:val="22"/>
              </w:rPr>
              <w:t xml:space="preserve">մոդելային (մոդելային), ծրագրային ապահովում՝ ՖԿ վերլուծության համար: Առաջնային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երկրորդային վերջնակետերի ընտրություն):</w:t>
            </w:r>
          </w:p>
          <w:p w14:paraId="271A6B2C"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3B8E3327"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դեղակինետիկ պարամետրերի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դրանց հաշվարկման մեթոդների ճշտությունը: </w:t>
            </w:r>
          </w:p>
        </w:tc>
      </w:tr>
      <w:tr w:rsidR="004F5982" w:rsidRPr="00E20294" w14:paraId="5F5C97FB" w14:textId="77777777" w:rsidTr="00433295">
        <w:tc>
          <w:tcPr>
            <w:tcW w:w="10143" w:type="dxa"/>
            <w:gridSpan w:val="8"/>
            <w:tcBorders>
              <w:bottom w:val="single" w:sz="4" w:space="0" w:color="auto"/>
            </w:tcBorders>
            <w:shd w:val="clear" w:color="auto" w:fill="FFFFFF"/>
            <w:vAlign w:val="bottom"/>
          </w:tcPr>
          <w:p w14:paraId="01BEFC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Վիճակագրական մեթոդները</w:t>
            </w:r>
          </w:p>
          <w:p w14:paraId="16F6976E" w14:textId="77777777" w:rsidR="004F5982" w:rsidRPr="00E20294"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Վիճակագրական մեթոդների նկարագրությունը՝ ներառյալ ընդունելիության նախապես տրված չափորոշիչները: </w:t>
            </w:r>
          </w:p>
          <w:p w14:paraId="0D1C09D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Փորձագետի մեկնաբանությունը</w:t>
            </w:r>
          </w:p>
          <w:p w14:paraId="07B25467" w14:textId="0AEDA2EE"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 xml:space="preserve">Գնահատե՛ք ընտրված վիճակագրությունների ճշտությունը, մեթոդների (փոխակերպումների, պարամետրային թեստերի, բացակայող արժեքների հետ աշխատանքի, արտանետումների, կենսահամարժեքության վերաբերյալ եզրակացության հիմքի, արձանագրության մեջ </w:t>
            </w:r>
            <w:r w:rsidR="00003ABD">
              <w:rPr>
                <w:rStyle w:val="Bodytext20"/>
                <w:rFonts w:ascii="Sylfaen" w:eastAsiaTheme="minorHAnsi" w:hAnsi="Sylfaen"/>
                <w:sz w:val="22"/>
                <w:szCs w:val="22"/>
              </w:rPr>
              <w:t>հայտնաբերված</w:t>
            </w:r>
            <w:r w:rsidRPr="00E20294">
              <w:rPr>
                <w:rStyle w:val="Bodytext20"/>
                <w:rFonts w:ascii="Sylfaen" w:eastAsiaTheme="minorHAnsi" w:hAnsi="Sylfaen"/>
                <w:sz w:val="22"/>
                <w:szCs w:val="22"/>
              </w:rPr>
              <w:t xml:space="preserve"> շեղումների (խախտումների), ընդունելիության չափորոշիչների ընդլայնման հիմնավորվածության) ընդունելիությունը:</w:t>
            </w:r>
          </w:p>
        </w:tc>
      </w:tr>
      <w:tr w:rsidR="004F5982" w:rsidRPr="00E20294" w14:paraId="623D07F7" w14:textId="77777777" w:rsidTr="00433295">
        <w:tc>
          <w:tcPr>
            <w:tcW w:w="10143" w:type="dxa"/>
            <w:gridSpan w:val="8"/>
            <w:tcBorders>
              <w:bottom w:val="nil"/>
            </w:tcBorders>
            <w:shd w:val="clear" w:color="auto" w:fill="FFFFFF"/>
          </w:tcPr>
          <w:p w14:paraId="7E3F6A98" w14:textId="77777777" w:rsidR="004F5982" w:rsidRPr="00E20294" w:rsidRDefault="004F5982" w:rsidP="00487007">
            <w:pPr>
              <w:spacing w:after="120" w:line="240" w:lineRule="auto"/>
              <w:ind w:left="142" w:right="116"/>
              <w:jc w:val="both"/>
              <w:rPr>
                <w:rFonts w:ascii="Sylfaen" w:hAnsi="Sylfaen"/>
              </w:rPr>
            </w:pPr>
            <w:r w:rsidRPr="00E20294">
              <w:rPr>
                <w:rStyle w:val="Bodytext20"/>
                <w:rFonts w:ascii="Sylfaen" w:eastAsiaTheme="minorHAnsi" w:hAnsi="Sylfaen"/>
                <w:sz w:val="22"/>
                <w:szCs w:val="22"/>
              </w:rPr>
              <w:t>Արդյունքները</w:t>
            </w:r>
          </w:p>
          <w:p w14:paraId="61E9576E" w14:textId="5966F4FA" w:rsidR="004F5982" w:rsidRDefault="004F5982" w:rsidP="00487007">
            <w:pPr>
              <w:spacing w:after="120" w:line="240" w:lineRule="auto"/>
              <w:ind w:left="142" w:right="116"/>
              <w:jc w:val="both"/>
              <w:rPr>
                <w:rStyle w:val="Bodytext20"/>
                <w:rFonts w:ascii="Sylfaen" w:eastAsiaTheme="minorHAnsi" w:hAnsi="Sylfaen"/>
                <w:sz w:val="22"/>
                <w:szCs w:val="22"/>
              </w:rPr>
            </w:pPr>
            <w:r w:rsidRPr="00E20294">
              <w:rPr>
                <w:rStyle w:val="Bodytext20"/>
                <w:rFonts w:ascii="Sylfaen" w:eastAsiaTheme="minorHAnsi" w:hAnsi="Sylfaen"/>
                <w:sz w:val="22"/>
                <w:szCs w:val="22"/>
              </w:rPr>
              <w:t xml:space="preserve">Ընդհանրացրե՛ք կենսահամարժեքության գնահատման համար համապատասխան տվյալները </w:t>
            </w:r>
            <w:r w:rsidRPr="00E20294">
              <w:rPr>
                <w:rStyle w:val="Bodytext20"/>
                <w:rFonts w:ascii="Sylfaen" w:eastAsiaTheme="minorHAnsi" w:hAnsi="Sylfaen"/>
                <w:sz w:val="22"/>
                <w:szCs w:val="22"/>
              </w:rPr>
              <w:lastRenderedPageBreak/>
              <w:t>ստոր</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ներկայացված աղյուսակներում, սակայն կլինիկական հետազոտության հաշվետվությունից մի՛ պատճենեք մանրամասն վիճակագրական հաշվարկները: </w:t>
            </w:r>
          </w:p>
          <w:p w14:paraId="4FCC0DDF" w14:textId="77777777" w:rsidR="004F5982" w:rsidRPr="00E20294" w:rsidRDefault="004F5982" w:rsidP="00487007">
            <w:pPr>
              <w:spacing w:after="120" w:line="240" w:lineRule="auto"/>
              <w:ind w:left="142" w:right="116"/>
              <w:jc w:val="both"/>
              <w:rPr>
                <w:rFonts w:ascii="Sylfaen" w:hAnsi="Sylfaen"/>
              </w:rPr>
            </w:pPr>
          </w:p>
        </w:tc>
      </w:tr>
      <w:tr w:rsidR="004F5982" w:rsidRPr="00E20294" w14:paraId="4DE9A647" w14:textId="77777777" w:rsidTr="00433295">
        <w:tc>
          <w:tcPr>
            <w:tcW w:w="10143" w:type="dxa"/>
            <w:gridSpan w:val="8"/>
            <w:tcBorders>
              <w:top w:val="nil"/>
            </w:tcBorders>
            <w:shd w:val="clear" w:color="auto" w:fill="FFFFFF"/>
            <w:vAlign w:val="bottom"/>
          </w:tcPr>
          <w:p w14:paraId="5A677468" w14:textId="60F88E48" w:rsidR="004F5982" w:rsidRPr="00E20294" w:rsidRDefault="008D08B9" w:rsidP="008D08B9">
            <w:pPr>
              <w:spacing w:after="120" w:line="240" w:lineRule="auto"/>
              <w:ind w:right="1638"/>
              <w:jc w:val="both"/>
              <w:rPr>
                <w:rFonts w:ascii="Sylfaen" w:hAnsi="Sylfaen"/>
              </w:rPr>
            </w:pPr>
            <w:r w:rsidRPr="008D08B9">
              <w:rPr>
                <w:rStyle w:val="Bodytext20"/>
                <w:rFonts w:ascii="Sylfaen" w:eastAsiaTheme="minorHAnsi" w:hAnsi="Sylfaen"/>
                <w:sz w:val="22"/>
                <w:szCs w:val="22"/>
              </w:rPr>
              <w:lastRenderedPageBreak/>
              <w:t xml:space="preserve">    </w:t>
            </w:r>
            <w:r w:rsidR="004F5982" w:rsidRPr="00E20294">
              <w:rPr>
                <w:rStyle w:val="Bodytext20"/>
                <w:rFonts w:ascii="Sylfaen" w:eastAsiaTheme="minorHAnsi" w:hAnsi="Sylfaen"/>
                <w:sz w:val="22"/>
                <w:szCs w:val="22"/>
              </w:rPr>
              <w:t xml:space="preserve">Աղյուսակ X. [նշել կենսանմուշը] դեղակինետիկ պարամետրերը (չփոխակերպված արժեքները) </w:t>
            </w:r>
          </w:p>
        </w:tc>
      </w:tr>
      <w:tr w:rsidR="004F5982" w:rsidRPr="00E20294" w14:paraId="543C4776" w14:textId="77777777" w:rsidTr="00433295">
        <w:tc>
          <w:tcPr>
            <w:tcW w:w="2362" w:type="dxa"/>
            <w:vMerge w:val="restart"/>
            <w:shd w:val="clear" w:color="auto" w:fill="FFFFFF"/>
            <w:vAlign w:val="center"/>
          </w:tcPr>
          <w:p w14:paraId="179CCC3C" w14:textId="77777777" w:rsidR="004F5982" w:rsidRPr="00E20294" w:rsidRDefault="004F5982" w:rsidP="00487007">
            <w:pPr>
              <w:spacing w:after="120" w:line="240" w:lineRule="auto"/>
              <w:ind w:left="142"/>
              <w:jc w:val="both"/>
              <w:rPr>
                <w:rFonts w:ascii="Sylfaen" w:hAnsi="Sylfaen"/>
              </w:rPr>
            </w:pPr>
            <w:r w:rsidRPr="00E20294">
              <w:rPr>
                <w:rStyle w:val="Bodytext20"/>
                <w:rFonts w:ascii="Sylfaen" w:eastAsiaTheme="minorHAnsi" w:hAnsi="Sylfaen"/>
                <w:sz w:val="22"/>
                <w:szCs w:val="22"/>
              </w:rPr>
              <w:t>Դեղակինետիկ պարամետրը</w:t>
            </w:r>
          </w:p>
        </w:tc>
        <w:tc>
          <w:tcPr>
            <w:tcW w:w="3891" w:type="dxa"/>
            <w:gridSpan w:val="3"/>
            <w:shd w:val="clear" w:color="auto" w:fill="FFFFFF"/>
            <w:vAlign w:val="bottom"/>
          </w:tcPr>
          <w:p w14:paraId="7553D67C" w14:textId="77777777" w:rsidR="004F5982" w:rsidRPr="00E20294" w:rsidRDefault="004F5982" w:rsidP="00487007">
            <w:pPr>
              <w:spacing w:after="120" w:line="240" w:lineRule="auto"/>
              <w:ind w:left="190"/>
              <w:jc w:val="both"/>
              <w:rPr>
                <w:rFonts w:ascii="Sylfaen" w:hAnsi="Sylfaen"/>
              </w:rPr>
            </w:pPr>
            <w:r w:rsidRPr="00E20294">
              <w:rPr>
                <w:rStyle w:val="Bodytext20"/>
                <w:rFonts w:ascii="Sylfaen" w:eastAsiaTheme="minorHAnsi" w:hAnsi="Sylfaen"/>
                <w:sz w:val="22"/>
                <w:szCs w:val="22"/>
              </w:rPr>
              <w:t>Հետազոտվող դեղապատրաստուկը</w:t>
            </w:r>
          </w:p>
        </w:tc>
        <w:tc>
          <w:tcPr>
            <w:tcW w:w="3890" w:type="dxa"/>
            <w:gridSpan w:val="4"/>
            <w:shd w:val="clear" w:color="auto" w:fill="FFFFFF"/>
            <w:vAlign w:val="bottom"/>
          </w:tcPr>
          <w:p w14:paraId="2C585832" w14:textId="77777777" w:rsidR="004F5982" w:rsidRPr="00E20294" w:rsidRDefault="004F5982" w:rsidP="00487007">
            <w:pPr>
              <w:spacing w:after="120" w:line="240" w:lineRule="auto"/>
              <w:ind w:left="49"/>
              <w:jc w:val="both"/>
              <w:rPr>
                <w:rFonts w:ascii="Sylfaen" w:hAnsi="Sylfaen"/>
              </w:rPr>
            </w:pPr>
            <w:r w:rsidRPr="00E20294">
              <w:rPr>
                <w:rStyle w:val="Bodytext20"/>
                <w:rFonts w:ascii="Sylfaen" w:eastAsiaTheme="minorHAnsi" w:hAnsi="Sylfaen"/>
                <w:sz w:val="22"/>
                <w:szCs w:val="22"/>
              </w:rPr>
              <w:t>Համեմատման դեղապատրաստուկը</w:t>
            </w:r>
          </w:p>
        </w:tc>
      </w:tr>
      <w:tr w:rsidR="004F5982" w:rsidRPr="00E20294" w14:paraId="73FF16BB" w14:textId="77777777" w:rsidTr="00433295">
        <w:tc>
          <w:tcPr>
            <w:tcW w:w="2362" w:type="dxa"/>
            <w:vMerge/>
            <w:shd w:val="clear" w:color="auto" w:fill="FFFFFF"/>
            <w:vAlign w:val="center"/>
          </w:tcPr>
          <w:p w14:paraId="278E56C8" w14:textId="77777777" w:rsidR="004F5982" w:rsidRPr="00E20294" w:rsidRDefault="004F5982" w:rsidP="00487007">
            <w:pPr>
              <w:spacing w:after="120" w:line="240" w:lineRule="auto"/>
              <w:jc w:val="both"/>
              <w:rPr>
                <w:rFonts w:ascii="Sylfaen" w:hAnsi="Sylfaen"/>
              </w:rPr>
            </w:pPr>
          </w:p>
        </w:tc>
        <w:tc>
          <w:tcPr>
            <w:tcW w:w="2266" w:type="dxa"/>
            <w:gridSpan w:val="2"/>
            <w:shd w:val="clear" w:color="auto" w:fill="FFFFFF"/>
            <w:vAlign w:val="bottom"/>
          </w:tcPr>
          <w:p w14:paraId="1AA3F320"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625" w:type="dxa"/>
            <w:shd w:val="clear" w:color="auto" w:fill="FFFFFF"/>
          </w:tcPr>
          <w:p w14:paraId="1EB2DC82"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&lt;СV%&gt;</w:t>
            </w:r>
          </w:p>
        </w:tc>
        <w:tc>
          <w:tcPr>
            <w:tcW w:w="2016" w:type="dxa"/>
            <w:gridSpan w:val="2"/>
            <w:shd w:val="clear" w:color="auto" w:fill="FFFFFF"/>
            <w:vAlign w:val="bottom"/>
          </w:tcPr>
          <w:p w14:paraId="4EC21E73"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&lt;թվաբանական&gt;</w:t>
            </w:r>
            <w:r w:rsidRPr="00E20294">
              <w:rPr>
                <w:rFonts w:ascii="Sylfaen" w:hAnsi="Sylfaen"/>
              </w:rPr>
              <w:t xml:space="preserve"> </w:t>
            </w:r>
            <w:r w:rsidRPr="00E20294">
              <w:rPr>
                <w:rStyle w:val="Bodytext20"/>
                <w:rFonts w:ascii="Sylfaen" w:eastAsiaTheme="minorHAnsi" w:hAnsi="Sylfaen"/>
                <w:sz w:val="22"/>
                <w:szCs w:val="22"/>
              </w:rPr>
              <w:t>&lt;երկրաչափական&gt;</w:t>
            </w:r>
            <w:r w:rsidRPr="00E20294">
              <w:rPr>
                <w:rFonts w:ascii="Sylfaen" w:hAnsi="Sylfaen"/>
              </w:rPr>
              <w:t xml:space="preserve"> </w:t>
            </w:r>
            <w:r w:rsidRPr="00E20294">
              <w:rPr>
                <w:rStyle w:val="Bodytext20"/>
                <w:rFonts w:ascii="Sylfaen" w:eastAsiaTheme="minorHAnsi" w:hAnsi="Sylfaen"/>
                <w:sz w:val="22"/>
                <w:szCs w:val="22"/>
              </w:rPr>
              <w:t>միջին</w:t>
            </w:r>
          </w:p>
        </w:tc>
        <w:tc>
          <w:tcPr>
            <w:tcW w:w="1874" w:type="dxa"/>
            <w:gridSpan w:val="2"/>
            <w:shd w:val="clear" w:color="auto" w:fill="FFFFFF"/>
          </w:tcPr>
          <w:p w14:paraId="0816F69A"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&lt;Շեղման աստիճանը&gt;</w:t>
            </w:r>
            <w:r w:rsidRPr="00E20294">
              <w:rPr>
                <w:rFonts w:ascii="Sylfaen" w:hAnsi="Sylfaen"/>
              </w:rPr>
              <w:t xml:space="preserve"> </w:t>
            </w:r>
            <w:r w:rsidRPr="00E20294">
              <w:rPr>
                <w:rStyle w:val="Bodytext20"/>
                <w:rFonts w:ascii="Sylfaen" w:eastAsiaTheme="minorHAnsi" w:hAnsi="Sylfaen"/>
                <w:sz w:val="22"/>
                <w:szCs w:val="22"/>
              </w:rPr>
              <w:t>&lt;СУ%&gt;</w:t>
            </w:r>
          </w:p>
        </w:tc>
      </w:tr>
      <w:tr w:rsidR="004F5982" w:rsidRPr="00E20294" w14:paraId="3536B427" w14:textId="77777777" w:rsidTr="008D08B9">
        <w:trPr>
          <w:trHeight w:val="569"/>
        </w:trPr>
        <w:tc>
          <w:tcPr>
            <w:tcW w:w="2362" w:type="dxa"/>
            <w:shd w:val="clear" w:color="auto" w:fill="FFFFFF"/>
            <w:vAlign w:val="bottom"/>
          </w:tcPr>
          <w:p w14:paraId="1C180B42"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8pt"/>
                <w:rFonts w:ascii="Sylfaen" w:eastAsiaTheme="minorHAnsi" w:hAnsi="Sylfaen"/>
                <w:sz w:val="22"/>
                <w:szCs w:val="22"/>
              </w:rPr>
              <w:t>(</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rPr>
              <w:t>&gt;</w:t>
            </w:r>
          </w:p>
          <w:p w14:paraId="61749840"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ժ)</w:t>
            </w:r>
            <w:r w:rsidRPr="00E20294">
              <w:rPr>
                <w:rStyle w:val="Bodytext20"/>
                <w:rFonts w:ascii="Sylfaen" w:eastAsiaTheme="minorHAnsi" w:hAnsi="Sylfaen"/>
                <w:sz w:val="22"/>
                <w:szCs w:val="22"/>
              </w:rPr>
              <w:t>&gt;</w:t>
            </w:r>
          </w:p>
        </w:tc>
        <w:tc>
          <w:tcPr>
            <w:tcW w:w="2266" w:type="dxa"/>
            <w:gridSpan w:val="2"/>
            <w:shd w:val="clear" w:color="auto" w:fill="FFFFFF"/>
          </w:tcPr>
          <w:p w14:paraId="5101AEB5"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48983F54"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13C250BC"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20A00042" w14:textId="77777777" w:rsidR="004F5982" w:rsidRPr="00E20294" w:rsidRDefault="004F5982" w:rsidP="00487007">
            <w:pPr>
              <w:spacing w:after="120" w:line="240" w:lineRule="auto"/>
              <w:jc w:val="both"/>
              <w:rPr>
                <w:rFonts w:ascii="Sylfaen" w:hAnsi="Sylfaen"/>
              </w:rPr>
            </w:pPr>
          </w:p>
        </w:tc>
      </w:tr>
      <w:tr w:rsidR="004F5982" w:rsidRPr="00E20294" w14:paraId="7C858DCD" w14:textId="77777777" w:rsidTr="00433295">
        <w:tc>
          <w:tcPr>
            <w:tcW w:w="2362" w:type="dxa"/>
            <w:shd w:val="clear" w:color="auto" w:fill="FFFFFF"/>
            <w:vAlign w:val="bottom"/>
          </w:tcPr>
          <w:p w14:paraId="0EA9FD49"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АUС</w:t>
            </w:r>
            <w:r w:rsidRPr="00E20294">
              <w:rPr>
                <w:rStyle w:val="Bodytext28pt"/>
                <w:rFonts w:ascii="Sylfaen" w:eastAsiaTheme="minorHAnsi" w:hAnsi="Sylfaen"/>
                <w:sz w:val="22"/>
                <w:szCs w:val="22"/>
                <w:vertAlign w:val="subscript"/>
              </w:rPr>
              <w:t>(0-</w:t>
            </w:r>
            <w:r w:rsidRPr="00E20294">
              <w:rPr>
                <w:rFonts w:ascii="Sylfaen" w:hAnsi="Sylfaen"/>
                <w:vertAlign w:val="subscript"/>
              </w:rPr>
              <w:t>∞</w:t>
            </w:r>
            <w:r w:rsidRPr="00E20294">
              <w:rPr>
                <w:rStyle w:val="Bodytext28pt"/>
                <w:rFonts w:ascii="Sylfaen" w:eastAsiaTheme="minorHAnsi" w:hAnsi="Sylfaen"/>
                <w:sz w:val="22"/>
                <w:szCs w:val="22"/>
                <w:vertAlign w:val="subscript"/>
              </w:rPr>
              <w:t>)</w:t>
            </w:r>
          </w:p>
        </w:tc>
        <w:tc>
          <w:tcPr>
            <w:tcW w:w="2266" w:type="dxa"/>
            <w:gridSpan w:val="2"/>
            <w:shd w:val="clear" w:color="auto" w:fill="FFFFFF"/>
          </w:tcPr>
          <w:p w14:paraId="2A668714"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3A58CE87"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BF7D6B9"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6DF5748F" w14:textId="77777777" w:rsidR="004F5982" w:rsidRPr="00E20294" w:rsidRDefault="004F5982" w:rsidP="00487007">
            <w:pPr>
              <w:spacing w:after="120" w:line="240" w:lineRule="auto"/>
              <w:jc w:val="both"/>
              <w:rPr>
                <w:rFonts w:ascii="Sylfaen" w:hAnsi="Sylfaen"/>
              </w:rPr>
            </w:pPr>
          </w:p>
        </w:tc>
      </w:tr>
      <w:tr w:rsidR="004F5982" w:rsidRPr="00E20294" w14:paraId="4A348F85" w14:textId="77777777" w:rsidTr="00433295">
        <w:tc>
          <w:tcPr>
            <w:tcW w:w="2362" w:type="dxa"/>
            <w:shd w:val="clear" w:color="auto" w:fill="FFFFFF"/>
            <w:vAlign w:val="bottom"/>
          </w:tcPr>
          <w:p w14:paraId="2A9DFB6B" w14:textId="77777777" w:rsidR="004F5982" w:rsidRPr="00E20294" w:rsidRDefault="004F5982" w:rsidP="00487007">
            <w:pPr>
              <w:spacing w:after="120" w:line="240" w:lineRule="auto"/>
              <w:ind w:left="22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ах</w:t>
            </w:r>
          </w:p>
        </w:tc>
        <w:tc>
          <w:tcPr>
            <w:tcW w:w="2266" w:type="dxa"/>
            <w:gridSpan w:val="2"/>
            <w:shd w:val="clear" w:color="auto" w:fill="FFFFFF"/>
          </w:tcPr>
          <w:p w14:paraId="09C2FAC9" w14:textId="77777777" w:rsidR="004F5982" w:rsidRPr="00E20294" w:rsidRDefault="004F5982" w:rsidP="00487007">
            <w:pPr>
              <w:spacing w:after="120" w:line="240" w:lineRule="auto"/>
              <w:jc w:val="both"/>
              <w:rPr>
                <w:rFonts w:ascii="Sylfaen" w:hAnsi="Sylfaen"/>
              </w:rPr>
            </w:pPr>
          </w:p>
        </w:tc>
        <w:tc>
          <w:tcPr>
            <w:tcW w:w="1625" w:type="dxa"/>
            <w:shd w:val="clear" w:color="auto" w:fill="FFFFFF"/>
          </w:tcPr>
          <w:p w14:paraId="181BAC5E" w14:textId="77777777" w:rsidR="004F5982" w:rsidRPr="00E20294" w:rsidRDefault="004F5982" w:rsidP="00487007">
            <w:pPr>
              <w:spacing w:after="120" w:line="240" w:lineRule="auto"/>
              <w:jc w:val="both"/>
              <w:rPr>
                <w:rFonts w:ascii="Sylfaen" w:hAnsi="Sylfaen"/>
              </w:rPr>
            </w:pPr>
          </w:p>
        </w:tc>
        <w:tc>
          <w:tcPr>
            <w:tcW w:w="2016" w:type="dxa"/>
            <w:gridSpan w:val="2"/>
            <w:shd w:val="clear" w:color="auto" w:fill="FFFFFF"/>
          </w:tcPr>
          <w:p w14:paraId="78B0403A" w14:textId="77777777" w:rsidR="004F5982" w:rsidRPr="00E20294" w:rsidRDefault="004F5982" w:rsidP="00487007">
            <w:pPr>
              <w:spacing w:after="120" w:line="240" w:lineRule="auto"/>
              <w:jc w:val="both"/>
              <w:rPr>
                <w:rFonts w:ascii="Sylfaen" w:hAnsi="Sylfaen"/>
              </w:rPr>
            </w:pPr>
          </w:p>
        </w:tc>
        <w:tc>
          <w:tcPr>
            <w:tcW w:w="1874" w:type="dxa"/>
            <w:gridSpan w:val="2"/>
            <w:shd w:val="clear" w:color="auto" w:fill="FFFFFF"/>
          </w:tcPr>
          <w:p w14:paraId="1C9CE61C" w14:textId="77777777" w:rsidR="004F5982" w:rsidRPr="00E20294" w:rsidRDefault="004F5982" w:rsidP="00487007">
            <w:pPr>
              <w:spacing w:after="120" w:line="240" w:lineRule="auto"/>
              <w:jc w:val="both"/>
              <w:rPr>
                <w:rFonts w:ascii="Sylfaen" w:hAnsi="Sylfaen"/>
              </w:rPr>
            </w:pPr>
          </w:p>
        </w:tc>
      </w:tr>
      <w:tr w:rsidR="004F5982" w:rsidRPr="00E20294" w14:paraId="1790C78A" w14:textId="77777777" w:rsidTr="00433295">
        <w:tc>
          <w:tcPr>
            <w:tcW w:w="10143" w:type="dxa"/>
            <w:gridSpan w:val="8"/>
            <w:shd w:val="clear" w:color="auto" w:fill="FFFFFF"/>
            <w:vAlign w:val="bottom"/>
          </w:tcPr>
          <w:p w14:paraId="5D72C8DE"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t</w:t>
            </w:r>
            <w:r w:rsidRPr="00E20294">
              <w:rPr>
                <w:rStyle w:val="Bodytext20"/>
                <w:rFonts w:ascii="Sylfaen" w:eastAsiaTheme="minorHAnsi" w:hAnsi="Sylfaen"/>
                <w:sz w:val="22"/>
                <w:szCs w:val="22"/>
                <w:vertAlign w:val="subscript"/>
              </w:rPr>
              <w:t>max</w:t>
            </w:r>
            <w:r w:rsidRPr="00E20294">
              <w:rPr>
                <w:rStyle w:val="Bodytext20"/>
                <w:rFonts w:ascii="Sylfaen" w:eastAsiaTheme="minorHAnsi" w:hAnsi="Sylfaen"/>
                <w:sz w:val="22"/>
                <w:szCs w:val="22"/>
              </w:rPr>
              <w:t xml:space="preserve"> *</w:t>
            </w:r>
          </w:p>
        </w:tc>
      </w:tr>
      <w:tr w:rsidR="004F5982" w:rsidRPr="00E20294" w14:paraId="104F7C9E" w14:textId="77777777" w:rsidTr="008D08B9">
        <w:trPr>
          <w:trHeight w:val="1746"/>
        </w:trPr>
        <w:tc>
          <w:tcPr>
            <w:tcW w:w="10143" w:type="dxa"/>
            <w:gridSpan w:val="8"/>
            <w:shd w:val="clear" w:color="auto" w:fill="FFFFFF"/>
            <w:vAlign w:val="bottom"/>
          </w:tcPr>
          <w:p w14:paraId="2843B946"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&lt;АUС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 xml:space="preserve">—t)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t» կորի տակ ընկած մակերեսը&gt;</w:t>
            </w:r>
          </w:p>
          <w:p w14:paraId="4927787D"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&lt;AUC</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72 ч</w:t>
            </w:r>
            <w:r w:rsidRPr="00E20294">
              <w:rPr>
                <w:rStyle w:val="Bodytext28pt"/>
                <w:rFonts w:ascii="Sylfaen" w:eastAsiaTheme="minorHAnsi" w:hAnsi="Sylfaen"/>
                <w:sz w:val="22"/>
                <w:szCs w:val="22"/>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72 ժամ» կորի տակ ընկած մակերեսը&gt; </w:t>
            </w:r>
          </w:p>
          <w:p w14:paraId="0A4626E2" w14:textId="77777777" w:rsidR="004F5982" w:rsidRPr="00E20294" w:rsidRDefault="004F5982" w:rsidP="008D08B9">
            <w:pPr>
              <w:spacing w:after="120" w:line="240" w:lineRule="auto"/>
              <w:ind w:left="200"/>
              <w:jc w:val="both"/>
              <w:rPr>
                <w:rStyle w:val="Bodytext20"/>
                <w:rFonts w:ascii="Sylfaen" w:eastAsiaTheme="minorHAnsi" w:hAnsi="Sylfaen"/>
                <w:sz w:val="22"/>
                <w:szCs w:val="22"/>
              </w:rPr>
            </w:pPr>
            <w:r w:rsidRPr="00E20294">
              <w:rPr>
                <w:rStyle w:val="Bodytext20"/>
                <w:rFonts w:ascii="Sylfaen" w:eastAsiaTheme="minorHAnsi" w:hAnsi="Sylfaen"/>
                <w:sz w:val="22"/>
                <w:szCs w:val="22"/>
              </w:rPr>
              <w:t>АUС</w:t>
            </w:r>
            <w:r w:rsidRPr="00E20294">
              <w:rPr>
                <w:rStyle w:val="Bodytext20"/>
                <w:rFonts w:ascii="Sylfaen" w:eastAsiaTheme="minorHAnsi" w:hAnsi="Sylfaen"/>
                <w:sz w:val="22"/>
                <w:szCs w:val="22"/>
                <w:vertAlign w:val="subscript"/>
              </w:rPr>
              <w:t>(0</w:t>
            </w:r>
            <w:r w:rsidRPr="00E20294">
              <w:rPr>
                <w:rStyle w:val="Bodytext28pt"/>
                <w:rFonts w:ascii="Sylfaen" w:eastAsiaTheme="minorHAnsi" w:hAnsi="Sylfaen"/>
                <w:sz w:val="22"/>
                <w:szCs w:val="22"/>
                <w:vertAlign w:val="subscript"/>
              </w:rPr>
              <w:t>-</w:t>
            </w:r>
            <w:r w:rsidRPr="00E20294">
              <w:rPr>
                <w:rFonts w:ascii="Sylfaen" w:hAnsi="Sylfaen"/>
                <w:vertAlign w:val="subscript"/>
              </w:rPr>
              <w:t xml:space="preserve">∞) </w:t>
            </w:r>
            <w:r w:rsidRPr="00E20294">
              <w:rPr>
                <w:rStyle w:val="Bodytext20"/>
                <w:rFonts w:ascii="Sylfaen" w:eastAsiaTheme="minorHAnsi" w:hAnsi="Sylfaen"/>
                <w:sz w:val="22"/>
                <w:szCs w:val="22"/>
              </w:rPr>
              <w:t>«խտություն — ժամանակ՝ զրոյից մինչ</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անվերջություն» կորի տակ ընկած մակերեսը&gt; </w:t>
            </w:r>
          </w:p>
          <w:p w14:paraId="404E6CEA"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С</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պլազմային խտությունը</w:t>
            </w:r>
          </w:p>
          <w:p w14:paraId="1BB52B6C"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Т</w:t>
            </w:r>
            <w:r w:rsidRPr="00E20294">
              <w:rPr>
                <w:rStyle w:val="Bodytext20"/>
                <w:rFonts w:ascii="Sylfaen" w:eastAsiaTheme="minorHAnsi" w:hAnsi="Sylfaen"/>
                <w:sz w:val="22"/>
                <w:szCs w:val="22"/>
                <w:vertAlign w:val="subscript"/>
              </w:rPr>
              <w:t>m</w:t>
            </w:r>
            <w:r w:rsidRPr="00E20294">
              <w:rPr>
                <w:rStyle w:val="Bodytext28pt"/>
                <w:rFonts w:ascii="Sylfaen" w:eastAsiaTheme="minorHAnsi" w:hAnsi="Sylfaen"/>
                <w:sz w:val="22"/>
                <w:szCs w:val="22"/>
                <w:vertAlign w:val="subscript"/>
              </w:rPr>
              <w:t xml:space="preserve">ах </w:t>
            </w:r>
            <w:r w:rsidRPr="00E20294">
              <w:rPr>
                <w:rStyle w:val="Bodytext20"/>
                <w:rFonts w:ascii="Sylfaen" w:eastAsiaTheme="minorHAnsi" w:hAnsi="Sylfaen"/>
                <w:sz w:val="22"/>
                <w:szCs w:val="22"/>
              </w:rPr>
              <w:t>առավելագույն խտությանը հասնելու ժամանակը (*-միջնաթիվ, բացվածք)</w:t>
            </w:r>
          </w:p>
        </w:tc>
      </w:tr>
      <w:tr w:rsidR="004F5982" w:rsidRPr="00E20294" w14:paraId="611AA235" w14:textId="77777777" w:rsidTr="00433295">
        <w:tc>
          <w:tcPr>
            <w:tcW w:w="10143" w:type="dxa"/>
            <w:gridSpan w:val="8"/>
            <w:shd w:val="clear" w:color="auto" w:fill="FFFFFF"/>
            <w:vAlign w:val="bottom"/>
          </w:tcPr>
          <w:p w14:paraId="546C7D95"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 xml:space="preserve">Աղյուսակ X. [նշել կենսանմուշը] դեղակինետիկ պարամետրերը </w:t>
            </w:r>
            <w:r>
              <w:rPr>
                <w:rStyle w:val="Bodytext20"/>
                <w:rFonts w:ascii="Sylfaen" w:eastAsiaTheme="minorHAnsi" w:hAnsi="Sylfaen"/>
                <w:sz w:val="22"/>
                <w:szCs w:val="22"/>
              </w:rPr>
              <w:br/>
            </w:r>
            <w:r w:rsidRPr="00E20294">
              <w:rPr>
                <w:rStyle w:val="Bodytext20"/>
                <w:rFonts w:ascii="Sylfaen" w:eastAsiaTheme="minorHAnsi" w:hAnsi="Sylfaen"/>
                <w:sz w:val="22"/>
                <w:szCs w:val="22"/>
              </w:rPr>
              <w:t>(լոգարիթմի վերածված արժեքները)</w:t>
            </w:r>
          </w:p>
        </w:tc>
      </w:tr>
      <w:tr w:rsidR="004F5982" w:rsidRPr="00E20294" w14:paraId="4A530CA4" w14:textId="77777777" w:rsidTr="00433295">
        <w:tc>
          <w:tcPr>
            <w:tcW w:w="3053" w:type="dxa"/>
            <w:gridSpan w:val="2"/>
            <w:shd w:val="clear" w:color="auto" w:fill="FFFFFF"/>
            <w:vAlign w:val="center"/>
          </w:tcPr>
          <w:p w14:paraId="55CDA65E" w14:textId="77777777" w:rsidR="004F5982" w:rsidRPr="00E20294" w:rsidRDefault="004F5982" w:rsidP="008D08B9">
            <w:pPr>
              <w:spacing w:after="120" w:line="240" w:lineRule="auto"/>
              <w:ind w:left="200"/>
              <w:jc w:val="both"/>
              <w:rPr>
                <w:rFonts w:ascii="Sylfaen" w:hAnsi="Sylfaen"/>
              </w:rPr>
            </w:pPr>
            <w:r w:rsidRPr="00E20294">
              <w:rPr>
                <w:rStyle w:val="Bodytext20"/>
                <w:rFonts w:ascii="Sylfaen" w:eastAsiaTheme="minorHAnsi" w:hAnsi="Sylfaen"/>
                <w:sz w:val="22"/>
                <w:szCs w:val="22"/>
              </w:rPr>
              <w:t>Դեղակինետիկ պարամետրը</w:t>
            </w:r>
          </w:p>
        </w:tc>
        <w:tc>
          <w:tcPr>
            <w:tcW w:w="3403" w:type="dxa"/>
            <w:gridSpan w:val="3"/>
            <w:shd w:val="clear" w:color="auto" w:fill="FFFFFF"/>
            <w:vAlign w:val="bottom"/>
          </w:tcPr>
          <w:p w14:paraId="4D743931" w14:textId="77777777" w:rsidR="004F5982" w:rsidRPr="00E20294" w:rsidRDefault="004F5982" w:rsidP="008D08B9">
            <w:pPr>
              <w:spacing w:after="120" w:line="240" w:lineRule="auto"/>
              <w:ind w:left="66"/>
              <w:jc w:val="both"/>
              <w:rPr>
                <w:rFonts w:ascii="Sylfaen" w:hAnsi="Sylfaen"/>
              </w:rPr>
            </w:pPr>
            <w:r w:rsidRPr="00E20294">
              <w:rPr>
                <w:rStyle w:val="Bodytext20"/>
                <w:rFonts w:ascii="Sylfaen" w:eastAsiaTheme="minorHAnsi" w:hAnsi="Sylfaen"/>
                <w:sz w:val="22"/>
                <w:szCs w:val="22"/>
              </w:rPr>
              <w:t xml:space="preserve">Հետազոտվող դեղապատրաստուկի </w:t>
            </w:r>
            <w:r w:rsidR="00C54D75">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դեղապատրաստուկի երկրաչափական միջինների հարաբերակցությունը</w:t>
            </w:r>
          </w:p>
        </w:tc>
        <w:tc>
          <w:tcPr>
            <w:tcW w:w="1987" w:type="dxa"/>
            <w:gridSpan w:val="2"/>
            <w:shd w:val="clear" w:color="auto" w:fill="FFFFFF"/>
            <w:vAlign w:val="center"/>
          </w:tcPr>
          <w:p w14:paraId="7EC2ECDB" w14:textId="77777777" w:rsidR="004F5982" w:rsidRPr="00E20294" w:rsidRDefault="004F5982" w:rsidP="008D08B9">
            <w:pPr>
              <w:spacing w:after="120" w:line="240" w:lineRule="auto"/>
              <w:jc w:val="both"/>
              <w:rPr>
                <w:rFonts w:ascii="Sylfaen" w:hAnsi="Sylfaen"/>
              </w:rPr>
            </w:pPr>
            <w:r w:rsidRPr="00E20294">
              <w:rPr>
                <w:rStyle w:val="Bodytext20"/>
                <w:rFonts w:ascii="Sylfaen" w:eastAsiaTheme="minorHAnsi" w:hAnsi="Sylfaen"/>
                <w:sz w:val="22"/>
                <w:szCs w:val="22"/>
              </w:rPr>
              <w:t>Վստահելի միջակայքերը</w:t>
            </w:r>
          </w:p>
        </w:tc>
        <w:tc>
          <w:tcPr>
            <w:tcW w:w="1700" w:type="dxa"/>
            <w:shd w:val="clear" w:color="auto" w:fill="FFFFFF"/>
            <w:vAlign w:val="center"/>
          </w:tcPr>
          <w:p w14:paraId="17058885"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CV%*</w:t>
            </w:r>
          </w:p>
        </w:tc>
      </w:tr>
      <w:tr w:rsidR="004F5982" w:rsidRPr="00E20294" w14:paraId="08BBC325" w14:textId="77777777" w:rsidTr="00433295">
        <w:tc>
          <w:tcPr>
            <w:tcW w:w="3053" w:type="dxa"/>
            <w:gridSpan w:val="2"/>
            <w:shd w:val="clear" w:color="auto" w:fill="FFFFFF"/>
            <w:vAlign w:val="bottom"/>
          </w:tcPr>
          <w:p w14:paraId="6F18BD80" w14:textId="77777777" w:rsidR="004F5982" w:rsidRPr="00E20294" w:rsidRDefault="004F5982" w:rsidP="00487007">
            <w:pPr>
              <w:spacing w:after="120" w:line="240" w:lineRule="auto"/>
              <w:ind w:left="200"/>
              <w:jc w:val="both"/>
              <w:rPr>
                <w:rStyle w:val="Bodytext20"/>
                <w:rFonts w:ascii="Sylfaen" w:eastAsiaTheme="minorHAnsi" w:hAnsi="Sylfaen"/>
                <w:sz w:val="22"/>
                <w:szCs w:val="22"/>
                <w:vertAlign w:val="superscript"/>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(0-t)</w:t>
            </w:r>
            <w:r w:rsidRPr="00E20294">
              <w:rPr>
                <w:rStyle w:val="Bodytext20"/>
                <w:rFonts w:ascii="Sylfaen" w:eastAsiaTheme="minorHAnsi" w:hAnsi="Sylfaen"/>
                <w:sz w:val="22"/>
                <w:szCs w:val="22"/>
                <w:vertAlign w:val="superscript"/>
              </w:rPr>
              <w:t xml:space="preserve">&gt; </w:t>
            </w:r>
          </w:p>
          <w:p w14:paraId="232AD41C" w14:textId="77777777" w:rsidR="004F5982" w:rsidRPr="00E20294" w:rsidRDefault="004F5982" w:rsidP="00487007">
            <w:pPr>
              <w:spacing w:after="120" w:line="240" w:lineRule="auto"/>
              <w:ind w:left="200"/>
              <w:jc w:val="both"/>
              <w:rPr>
                <w:rFonts w:ascii="Sylfaen" w:hAnsi="Sylfaen"/>
              </w:rPr>
            </w:pPr>
            <w:r w:rsidRPr="00E20294">
              <w:rPr>
                <w:rStyle w:val="Bodytext20"/>
                <w:rFonts w:ascii="Sylfaen" w:eastAsiaTheme="minorHAnsi" w:hAnsi="Sylfaen"/>
                <w:sz w:val="22"/>
                <w:szCs w:val="22"/>
              </w:rPr>
              <w:t>&lt;AUC</w:t>
            </w:r>
            <w:r w:rsidRPr="00E20294">
              <w:rPr>
                <w:rStyle w:val="Bodytext28pt"/>
                <w:rFonts w:ascii="Sylfaen" w:eastAsiaTheme="minorHAnsi" w:hAnsi="Sylfaen"/>
                <w:sz w:val="22"/>
                <w:szCs w:val="22"/>
                <w:vertAlign w:val="subscript"/>
              </w:rPr>
              <w:t>(0-72 ժ)</w:t>
            </w:r>
            <w:r w:rsidRPr="00E20294">
              <w:rPr>
                <w:rStyle w:val="Bodytext20"/>
                <w:rFonts w:ascii="Sylfaen" w:eastAsiaTheme="minorHAnsi" w:hAnsi="Sylfaen"/>
                <w:sz w:val="22"/>
                <w:szCs w:val="22"/>
              </w:rPr>
              <w:t>&gt;</w:t>
            </w:r>
          </w:p>
        </w:tc>
        <w:tc>
          <w:tcPr>
            <w:tcW w:w="3403" w:type="dxa"/>
            <w:gridSpan w:val="3"/>
            <w:shd w:val="clear" w:color="auto" w:fill="FFFFFF"/>
          </w:tcPr>
          <w:p w14:paraId="3D17EC58"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59D2D252"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07DB7247" w14:textId="77777777" w:rsidR="004F5982" w:rsidRPr="00E20294" w:rsidRDefault="004F5982" w:rsidP="00487007">
            <w:pPr>
              <w:spacing w:after="120" w:line="240" w:lineRule="auto"/>
              <w:jc w:val="both"/>
              <w:rPr>
                <w:rFonts w:ascii="Sylfaen" w:hAnsi="Sylfaen"/>
              </w:rPr>
            </w:pPr>
          </w:p>
        </w:tc>
      </w:tr>
      <w:tr w:rsidR="004F5982" w:rsidRPr="00E20294" w14:paraId="48FF168B" w14:textId="77777777" w:rsidTr="00433295">
        <w:tc>
          <w:tcPr>
            <w:tcW w:w="3053" w:type="dxa"/>
            <w:gridSpan w:val="2"/>
            <w:shd w:val="clear" w:color="auto" w:fill="FFFFFF"/>
            <w:vAlign w:val="bottom"/>
          </w:tcPr>
          <w:p w14:paraId="263A2282" w14:textId="77777777" w:rsidR="004F5982" w:rsidRPr="00E20294" w:rsidRDefault="004F5982" w:rsidP="00487007">
            <w:pPr>
              <w:spacing w:after="120" w:line="240" w:lineRule="auto"/>
              <w:ind w:left="200"/>
              <w:jc w:val="both"/>
              <w:rPr>
                <w:rFonts w:ascii="Sylfaen" w:hAnsi="Sylfaen"/>
              </w:rPr>
            </w:pPr>
            <w:r w:rsidRPr="00E20294">
              <w:rPr>
                <w:rStyle w:val="Bodytext28pt"/>
                <w:rFonts w:ascii="Sylfaen" w:eastAsiaTheme="minorHAnsi" w:hAnsi="Sylfaen"/>
                <w:sz w:val="22"/>
                <w:szCs w:val="22"/>
              </w:rPr>
              <w:t>C</w:t>
            </w:r>
            <w:r w:rsidRPr="00E20294">
              <w:rPr>
                <w:rStyle w:val="Bodytext28pt"/>
                <w:rFonts w:ascii="Sylfaen" w:eastAsiaTheme="minorHAnsi" w:hAnsi="Sylfaen"/>
                <w:sz w:val="22"/>
                <w:szCs w:val="22"/>
                <w:vertAlign w:val="subscript"/>
              </w:rPr>
              <w:t>max</w:t>
            </w:r>
          </w:p>
        </w:tc>
        <w:tc>
          <w:tcPr>
            <w:tcW w:w="3403" w:type="dxa"/>
            <w:gridSpan w:val="3"/>
            <w:shd w:val="clear" w:color="auto" w:fill="FFFFFF"/>
          </w:tcPr>
          <w:p w14:paraId="1F4A9452" w14:textId="77777777" w:rsidR="004F5982" w:rsidRPr="00E20294" w:rsidRDefault="004F5982" w:rsidP="00487007">
            <w:pPr>
              <w:spacing w:after="120" w:line="240" w:lineRule="auto"/>
              <w:jc w:val="both"/>
              <w:rPr>
                <w:rFonts w:ascii="Sylfaen" w:hAnsi="Sylfaen"/>
              </w:rPr>
            </w:pPr>
          </w:p>
        </w:tc>
        <w:tc>
          <w:tcPr>
            <w:tcW w:w="1987" w:type="dxa"/>
            <w:gridSpan w:val="2"/>
            <w:shd w:val="clear" w:color="auto" w:fill="FFFFFF"/>
          </w:tcPr>
          <w:p w14:paraId="0B28BF05" w14:textId="77777777" w:rsidR="004F5982" w:rsidRPr="00E20294" w:rsidRDefault="004F5982" w:rsidP="00487007">
            <w:pPr>
              <w:spacing w:after="120" w:line="240" w:lineRule="auto"/>
              <w:jc w:val="both"/>
              <w:rPr>
                <w:rFonts w:ascii="Sylfaen" w:hAnsi="Sylfaen"/>
              </w:rPr>
            </w:pPr>
          </w:p>
        </w:tc>
        <w:tc>
          <w:tcPr>
            <w:tcW w:w="1700" w:type="dxa"/>
            <w:shd w:val="clear" w:color="auto" w:fill="FFFFFF"/>
          </w:tcPr>
          <w:p w14:paraId="3534E341" w14:textId="77777777" w:rsidR="004F5982" w:rsidRPr="00E20294" w:rsidRDefault="004F5982" w:rsidP="00487007">
            <w:pPr>
              <w:spacing w:after="120" w:line="240" w:lineRule="auto"/>
              <w:jc w:val="both"/>
              <w:rPr>
                <w:rFonts w:ascii="Sylfaen" w:hAnsi="Sylfaen"/>
              </w:rPr>
            </w:pPr>
          </w:p>
        </w:tc>
      </w:tr>
      <w:tr w:rsidR="004F5982" w:rsidRPr="00E20294" w14:paraId="06033626" w14:textId="77777777" w:rsidTr="00433295">
        <w:tc>
          <w:tcPr>
            <w:tcW w:w="10143" w:type="dxa"/>
            <w:gridSpan w:val="8"/>
            <w:shd w:val="clear" w:color="auto" w:fill="FFFFFF"/>
            <w:vAlign w:val="bottom"/>
          </w:tcPr>
          <w:p w14:paraId="7D10BBD8" w14:textId="77777777" w:rsidR="004F5982" w:rsidRPr="00E20294" w:rsidRDefault="004F5982" w:rsidP="00487007">
            <w:pPr>
              <w:spacing w:after="120" w:line="240" w:lineRule="auto"/>
              <w:jc w:val="both"/>
              <w:rPr>
                <w:rFonts w:ascii="Sylfaen" w:hAnsi="Sylfaen"/>
              </w:rPr>
            </w:pPr>
            <w:r w:rsidRPr="00E20294">
              <w:rPr>
                <w:rStyle w:val="Bodytext20"/>
                <w:rFonts w:ascii="Sylfaen" w:eastAsiaTheme="minorHAnsi" w:hAnsi="Sylfaen"/>
                <w:sz w:val="22"/>
                <w:szCs w:val="22"/>
              </w:rPr>
              <w:t>* Հաշվարկված է մնացորդային միջին քառակուսային շեղման հիման վրա (residual mean squares):</w:t>
            </w:r>
          </w:p>
        </w:tc>
      </w:tr>
      <w:tr w:rsidR="00BD67EC" w:rsidRPr="00E20294" w14:paraId="005C2A30" w14:textId="77777777" w:rsidTr="00633E53">
        <w:trPr>
          <w:trHeight w:val="2815"/>
        </w:trPr>
        <w:tc>
          <w:tcPr>
            <w:tcW w:w="10143" w:type="dxa"/>
            <w:gridSpan w:val="8"/>
            <w:shd w:val="clear" w:color="auto" w:fill="FFFFFF"/>
            <w:vAlign w:val="bottom"/>
          </w:tcPr>
          <w:p w14:paraId="13662ABE" w14:textId="77777777" w:rsidR="00BD67EC" w:rsidRPr="00E20294" w:rsidRDefault="00BD67EC" w:rsidP="00F321DB">
            <w:pPr>
              <w:spacing w:after="120" w:line="240" w:lineRule="auto"/>
              <w:jc w:val="both"/>
              <w:rPr>
                <w:rFonts w:ascii="Sylfaen" w:hAnsi="Sylfaen"/>
              </w:rPr>
            </w:pPr>
            <w:r w:rsidRPr="00E20294">
              <w:rPr>
                <w:rStyle w:val="Bodytext20"/>
                <w:rFonts w:ascii="Sylfaen" w:eastAsiaTheme="minorHAnsi" w:hAnsi="Sylfaen"/>
                <w:spacing w:val="-4"/>
                <w:sz w:val="22"/>
                <w:szCs w:val="22"/>
              </w:rPr>
              <w:lastRenderedPageBreak/>
              <w:t>Եթե անց են կացվել հետազոտություններ հավասարակշիռ վիճակում, ապա անհրաժեշտ է կազմել համանման աղյուսակներ՝ նշելով հետ</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յալ պարամետրերը՝ AUC()</w:t>
            </w:r>
            <w:r w:rsidRPr="00E20294">
              <w:rPr>
                <w:rStyle w:val="Bodytext28pt"/>
                <w:rFonts w:ascii="Sylfaen" w:eastAsiaTheme="minorHAnsi" w:hAnsi="Sylfaen"/>
                <w:spacing w:val="-4"/>
                <w:sz w:val="22"/>
                <w:szCs w:val="22"/>
                <w:vertAlign w:val="subscript"/>
              </w:rPr>
              <w:t>-</w:t>
            </w:r>
            <w:r w:rsidRPr="00E20294">
              <w:rPr>
                <w:rStyle w:val="Bodytext20"/>
                <w:rFonts w:ascii="Sylfaen" w:eastAsiaTheme="minorHAnsi" w:hAnsi="Sylfaen"/>
                <w:spacing w:val="-4"/>
                <w:sz w:val="22"/>
                <w:szCs w:val="22"/>
                <w:vertAlign w:val="subscript"/>
              </w:rPr>
              <w:t>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max</w:t>
            </w:r>
            <w:r w:rsidRPr="00E20294">
              <w:rPr>
                <w:rStyle w:val="Bodytext20"/>
                <w:rFonts w:ascii="Sylfaen" w:eastAsiaTheme="minorHAnsi" w:hAnsi="Sylfaen"/>
                <w:spacing w:val="-4"/>
                <w:sz w:val="22"/>
                <w:szCs w:val="22"/>
              </w:rPr>
              <w:t>, C</w:t>
            </w:r>
            <w:r w:rsidRPr="00E20294">
              <w:rPr>
                <w:rStyle w:val="Bodytext28pt"/>
                <w:rFonts w:ascii="Sylfaen" w:eastAsiaTheme="minorHAnsi" w:hAnsi="Sylfaen"/>
                <w:spacing w:val="-4"/>
                <w:sz w:val="22"/>
                <w:szCs w:val="22"/>
                <w:vertAlign w:val="subscript"/>
              </w:rPr>
              <w:t>min</w:t>
            </w:r>
            <w:r w:rsidRPr="00E20294">
              <w:rPr>
                <w:rStyle w:val="Bodytext28pt"/>
                <w:rFonts w:ascii="Sylfaen" w:eastAsiaTheme="minorHAnsi" w:hAnsi="Sylfaen"/>
                <w:spacing w:val="-4"/>
                <w:sz w:val="22"/>
                <w:szCs w:val="22"/>
              </w:rPr>
              <w:t xml:space="preserve">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ֆլուկտուացիայի ցուցանիշը (առավելագույնի </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նվազագույնի միջ</w:t>
            </w:r>
            <w:r>
              <w:rPr>
                <w:rStyle w:val="Bodytext20"/>
                <w:rFonts w:ascii="Sylfaen" w:eastAsiaTheme="minorHAnsi" w:hAnsi="Sylfaen"/>
                <w:spacing w:val="-4"/>
                <w:sz w:val="22"/>
                <w:szCs w:val="22"/>
              </w:rPr>
              <w:t>և</w:t>
            </w:r>
            <w:r w:rsidRPr="00E20294">
              <w:rPr>
                <w:rStyle w:val="Bodytext20"/>
                <w:rFonts w:ascii="Sylfaen" w:eastAsiaTheme="minorHAnsi" w:hAnsi="Sylfaen"/>
                <w:spacing w:val="-4"/>
                <w:sz w:val="22"/>
                <w:szCs w:val="22"/>
              </w:rPr>
              <w:t xml:space="preserve"> ֆլուկտուացիան, %):</w:t>
            </w:r>
          </w:p>
          <w:p w14:paraId="0BBD8320" w14:textId="14712F31" w:rsidR="00BD67EC" w:rsidRPr="00BD67EC" w:rsidRDefault="00BD67EC" w:rsidP="00DE4E47">
            <w:pPr>
              <w:spacing w:after="120" w:line="240" w:lineRule="auto"/>
              <w:jc w:val="both"/>
              <w:rPr>
                <w:rFonts w:ascii="Sylfaen" w:hAnsi="Sylfaen" w:cs="Times New Roman"/>
                <w:color w:val="000000"/>
              </w:rPr>
            </w:pPr>
            <w:r w:rsidRPr="00E20294">
              <w:rPr>
                <w:rStyle w:val="Bodytext20"/>
                <w:rFonts w:ascii="Sylfaen" w:eastAsiaTheme="minorHAnsi" w:hAnsi="Sylfaen"/>
                <w:sz w:val="22"/>
                <w:szCs w:val="22"/>
              </w:rPr>
              <w:t>Փորձագետի մեկնաբանությունը</w:t>
            </w:r>
          </w:p>
        </w:tc>
      </w:tr>
      <w:tr w:rsidR="008D08B9" w:rsidRPr="00E20294" w14:paraId="2F9DC480" w14:textId="77777777" w:rsidTr="00DE4E47">
        <w:trPr>
          <w:trHeight w:val="1455"/>
        </w:trPr>
        <w:tc>
          <w:tcPr>
            <w:tcW w:w="10143" w:type="dxa"/>
            <w:gridSpan w:val="8"/>
            <w:shd w:val="clear" w:color="auto" w:fill="FFFFFF"/>
            <w:vAlign w:val="bottom"/>
          </w:tcPr>
          <w:p w14:paraId="31DBF422" w14:textId="77777777" w:rsidR="008D08B9" w:rsidRPr="00E20294" w:rsidRDefault="008D08B9" w:rsidP="00DE4E47">
            <w:pPr>
              <w:spacing w:after="120" w:line="240" w:lineRule="auto"/>
              <w:jc w:val="both"/>
              <w:rPr>
                <w:rFonts w:ascii="Sylfaen" w:hAnsi="Sylfaen"/>
              </w:rPr>
            </w:pPr>
            <w:r w:rsidRPr="00E20294">
              <w:rPr>
                <w:rStyle w:val="Bodytext20"/>
                <w:rFonts w:ascii="Sylfaen" w:eastAsiaTheme="minorHAnsi" w:hAnsi="Sylfaen"/>
                <w:sz w:val="22"/>
                <w:szCs w:val="22"/>
              </w:rPr>
              <w:t>Անվտանգության վերաբերյալ տվյալները</w:t>
            </w:r>
          </w:p>
          <w:p w14:paraId="5E3197EA" w14:textId="77777777" w:rsidR="008D08B9" w:rsidRPr="00E20294" w:rsidRDefault="008D08B9" w:rsidP="00DE4E47">
            <w:pPr>
              <w:spacing w:after="120" w:line="240" w:lineRule="auto"/>
              <w:jc w:val="both"/>
              <w:rPr>
                <w:rStyle w:val="Bodytext20"/>
                <w:rFonts w:ascii="Sylfaen" w:eastAsiaTheme="minorHAnsi" w:hAnsi="Sylfaen"/>
                <w:spacing w:val="-4"/>
                <w:sz w:val="22"/>
                <w:szCs w:val="22"/>
              </w:rPr>
            </w:pPr>
            <w:r w:rsidRPr="00E20294">
              <w:rPr>
                <w:rStyle w:val="Bodytext20"/>
                <w:rFonts w:ascii="Sylfaen" w:eastAsiaTheme="minorHAnsi" w:hAnsi="Sylfaen"/>
                <w:sz w:val="22"/>
                <w:szCs w:val="22"/>
              </w:rPr>
              <w:t>Հարկավոր է կազմել կենսահամարժեքության հետազոտությունում նշված անցանկալի եր</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ույթների հակիրճ ռեզյումե: Չի պահանջվում եզրակացություն անել հետազոտվող </w:t>
            </w:r>
            <w:r>
              <w:rPr>
                <w:rStyle w:val="Bodytext20"/>
                <w:rFonts w:ascii="Sylfaen" w:eastAsiaTheme="minorHAnsi" w:hAnsi="Sylfaen"/>
                <w:sz w:val="22"/>
                <w:szCs w:val="22"/>
              </w:rPr>
              <w:t>և</w:t>
            </w:r>
            <w:r w:rsidRPr="00E20294">
              <w:rPr>
                <w:rStyle w:val="Bodytext20"/>
                <w:rFonts w:ascii="Sylfaen" w:eastAsiaTheme="minorHAnsi" w:hAnsi="Sylfaen"/>
                <w:sz w:val="22"/>
                <w:szCs w:val="22"/>
              </w:rPr>
              <w:t xml:space="preserve"> համեմատման պատրաստուկների համար այս տվյալների համեմատության հիման վրա:</w:t>
            </w:r>
          </w:p>
        </w:tc>
      </w:tr>
    </w:tbl>
    <w:p w14:paraId="2C722401" w14:textId="552C2578" w:rsidR="008D08B9" w:rsidRDefault="008D08B9" w:rsidP="004F5982">
      <w:pPr>
        <w:spacing w:after="160" w:line="360" w:lineRule="auto"/>
        <w:jc w:val="both"/>
        <w:rPr>
          <w:rFonts w:ascii="Sylfaen" w:hAnsi="Sylfaen"/>
          <w:sz w:val="24"/>
          <w:szCs w:val="24"/>
        </w:rPr>
      </w:pPr>
    </w:p>
    <w:p w14:paraId="19A64F0D" w14:textId="1C337320" w:rsidR="00BD67EC" w:rsidRDefault="00BD67EC" w:rsidP="004F5982">
      <w:pPr>
        <w:spacing w:after="160" w:line="360" w:lineRule="auto"/>
        <w:jc w:val="both"/>
        <w:rPr>
          <w:rFonts w:ascii="Sylfaen" w:hAnsi="Sylfaen"/>
          <w:sz w:val="24"/>
          <w:szCs w:val="24"/>
        </w:rPr>
      </w:pPr>
    </w:p>
    <w:p w14:paraId="7CD45E73" w14:textId="77777777" w:rsidR="00BD67EC" w:rsidRPr="00826F05" w:rsidRDefault="00BD67EC" w:rsidP="004F5982">
      <w:pPr>
        <w:spacing w:after="160" w:line="360" w:lineRule="auto"/>
        <w:jc w:val="both"/>
        <w:rPr>
          <w:rFonts w:ascii="Sylfaen" w:hAnsi="Sylfaen"/>
          <w:sz w:val="24"/>
          <w:szCs w:val="24"/>
        </w:rPr>
      </w:pPr>
    </w:p>
    <w:p w14:paraId="60A762E6"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Եզրակացություն՝</w:t>
      </w:r>
    </w:p>
    <w:p w14:paraId="1089F151"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&lt;Ելնելով կենսահամարժեքության հետազոտության (հետազոտությունների) ներկայացված արդյունքներից՝ [նշել հետազոտված դեղապատրաստուկի առ</w:t>
      </w:r>
      <w:r w:rsidR="00C54D75">
        <w:rPr>
          <w:rFonts w:ascii="Sylfaen" w:hAnsi="Sylfaen"/>
          <w:i/>
          <w:sz w:val="24"/>
          <w:szCs w:val="24"/>
        </w:rPr>
        <w:t>և</w:t>
      </w:r>
      <w:r w:rsidRPr="00826F05">
        <w:rPr>
          <w:rFonts w:ascii="Sylfaen" w:hAnsi="Sylfaen"/>
          <w:i/>
          <w:sz w:val="24"/>
          <w:szCs w:val="24"/>
        </w:rPr>
        <w:t>տրային անվանումը] ճանաչվում է [նշել համեմատման պատրաստուկի անվանումը]-ին կենսահամարժեք :&gt;</w:t>
      </w:r>
    </w:p>
    <w:p w14:paraId="16FB6926" w14:textId="77777777" w:rsidR="004F5982" w:rsidRPr="00826F05" w:rsidRDefault="004F5982" w:rsidP="00487007">
      <w:pPr>
        <w:tabs>
          <w:tab w:val="left" w:pos="1701"/>
        </w:tabs>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կամ</w:t>
      </w:r>
    </w:p>
    <w:p w14:paraId="45FD9D89" w14:textId="77777777" w:rsidR="004F5982" w:rsidRPr="00826F05" w:rsidRDefault="004F5982" w:rsidP="00487007">
      <w:pPr>
        <w:spacing w:after="160" w:line="360" w:lineRule="auto"/>
        <w:ind w:right="-1" w:firstLine="567"/>
        <w:jc w:val="both"/>
        <w:rPr>
          <w:rFonts w:ascii="Sylfaen" w:hAnsi="Sylfaen"/>
          <w:i/>
          <w:sz w:val="24"/>
          <w:szCs w:val="24"/>
        </w:rPr>
      </w:pPr>
      <w:r w:rsidRPr="00826F05">
        <w:rPr>
          <w:rFonts w:ascii="Sylfaen" w:hAnsi="Sylfaen"/>
          <w:i/>
          <w:sz w:val="24"/>
          <w:szCs w:val="24"/>
        </w:rPr>
        <w:t>&lt;Հաշվի առնելով [նշել հիմքերը] [նշել հետազոտված դեղապատրաստուկի առ</w:t>
      </w:r>
      <w:r w:rsidR="00C54D75">
        <w:rPr>
          <w:rFonts w:ascii="Sylfaen" w:hAnsi="Sylfaen"/>
          <w:i/>
          <w:sz w:val="24"/>
          <w:szCs w:val="24"/>
        </w:rPr>
        <w:t>և</w:t>
      </w:r>
      <w:r w:rsidRPr="00826F05">
        <w:rPr>
          <w:rFonts w:ascii="Sylfaen" w:hAnsi="Sylfaen"/>
          <w:i/>
          <w:sz w:val="24"/>
          <w:szCs w:val="24"/>
        </w:rPr>
        <w:t xml:space="preserve">տրային անվանումը] ճանաչվում է [նշել համեմատման պատրաստուկի անվանումը]-ին կենսահամարժեք :&gt; </w:t>
      </w:r>
    </w:p>
    <w:p w14:paraId="2D917C98"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Եթե կիրառելի է, կարող է օգտագործվել հետ</w:t>
      </w:r>
      <w:r w:rsidR="00C54D75">
        <w:rPr>
          <w:rFonts w:ascii="Sylfaen" w:hAnsi="Sylfaen"/>
          <w:sz w:val="24"/>
          <w:szCs w:val="24"/>
        </w:rPr>
        <w:t>և</w:t>
      </w:r>
      <w:r w:rsidRPr="00826F05">
        <w:rPr>
          <w:rFonts w:ascii="Sylfaen" w:hAnsi="Sylfaen"/>
          <w:sz w:val="24"/>
          <w:szCs w:val="24"/>
        </w:rPr>
        <w:t>յալ բանաձ</w:t>
      </w:r>
      <w:r w:rsidR="00C54D75">
        <w:rPr>
          <w:rFonts w:ascii="Sylfaen" w:hAnsi="Sylfaen"/>
          <w:sz w:val="24"/>
          <w:szCs w:val="24"/>
        </w:rPr>
        <w:t>և</w:t>
      </w:r>
      <w:r w:rsidRPr="00826F05">
        <w:rPr>
          <w:rFonts w:ascii="Sylfaen" w:hAnsi="Sylfaen"/>
          <w:sz w:val="24"/>
          <w:szCs w:val="24"/>
        </w:rPr>
        <w:t>ը՝</w:t>
      </w:r>
    </w:p>
    <w:p w14:paraId="4165954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&lt;[XX մգ] պատրաստուկով [հետազոտության համարը] հետազոտության արդյունքները [կարող են (չեն կարող)] արտարկվել այլ [XX մգ] դոզավորումների վրա՝ </w:t>
      </w:r>
      <w:r w:rsidRPr="00826F05">
        <w:rPr>
          <w:rFonts w:ascii="Sylfaen" w:hAnsi="Sylfaen"/>
          <w:i/>
          <w:sz w:val="24"/>
          <w:szCs w:val="24"/>
        </w:rPr>
        <w:lastRenderedPageBreak/>
        <w:t>Միության վերարտադրված դեղապատրաստուկների կենսահամարժեքության հետազոտությունների անցկացման կանոններում շարադրված պայմաններին համապատասխան:&gt;</w:t>
      </w:r>
    </w:p>
    <w:p w14:paraId="711DB31D"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2.3.2. Դեղադինամիկան</w:t>
      </w:r>
    </w:p>
    <w:p w14:paraId="1B6D6150"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Հարկավոր է օգտագործել ստանդարտ ձ</w:t>
      </w:r>
      <w:r w:rsidR="00C54D75">
        <w:rPr>
          <w:rFonts w:ascii="Sylfaen" w:hAnsi="Sylfaen"/>
          <w:sz w:val="24"/>
          <w:szCs w:val="24"/>
        </w:rPr>
        <w:t>և</w:t>
      </w:r>
      <w:r w:rsidRPr="00826F05">
        <w:rPr>
          <w:rFonts w:ascii="Sylfaen" w:hAnsi="Sylfaen"/>
          <w:sz w:val="24"/>
          <w:szCs w:val="24"/>
        </w:rPr>
        <w:t>ակերպումը:</w:t>
      </w:r>
    </w:p>
    <w:p w14:paraId="4E3B049E" w14:textId="6886510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&lt;Նոր դեղադինամիկ հետազոտությունների արդյունքներ չեն ներկայացվել, սույն </w:t>
      </w:r>
      <w:r w:rsidR="0056496B">
        <w:rPr>
          <w:rFonts w:ascii="Sylfaen" w:hAnsi="Sylfaen"/>
          <w:i/>
          <w:sz w:val="24"/>
          <w:szCs w:val="24"/>
        </w:rPr>
        <w:t>դիմում</w:t>
      </w:r>
      <w:r w:rsidRPr="00826F05">
        <w:rPr>
          <w:rFonts w:ascii="Sylfaen" w:hAnsi="Sylfaen"/>
          <w:i/>
          <w:sz w:val="24"/>
          <w:szCs w:val="24"/>
        </w:rPr>
        <w:t>ի համատեքստում նման հետազոտություններ չեն պահանջվում:&gt;</w:t>
      </w:r>
    </w:p>
    <w:p w14:paraId="492CF0F9"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Որպես կանոն, նոր տվյալներ չեն պահանջվում </w:t>
      </w:r>
      <w:r w:rsidR="00C54D75">
        <w:rPr>
          <w:rFonts w:ascii="Sylfaen" w:hAnsi="Sylfaen"/>
          <w:sz w:val="24"/>
          <w:szCs w:val="24"/>
        </w:rPr>
        <w:t>և</w:t>
      </w:r>
      <w:r w:rsidRPr="00826F05">
        <w:rPr>
          <w:rFonts w:ascii="Sylfaen" w:hAnsi="Sylfaen"/>
          <w:sz w:val="24"/>
          <w:szCs w:val="24"/>
        </w:rPr>
        <w:t xml:space="preserve"> չեն ներկայացվում: Սակայն</w:t>
      </w:r>
      <w:r>
        <w:rPr>
          <w:rFonts w:ascii="Sylfaen" w:hAnsi="Sylfaen"/>
          <w:sz w:val="24"/>
          <w:szCs w:val="24"/>
        </w:rPr>
        <w:t> </w:t>
      </w:r>
      <w:r w:rsidRPr="00826F05">
        <w:rPr>
          <w:rFonts w:ascii="Sylfaen" w:hAnsi="Sylfaen"/>
          <w:sz w:val="24"/>
          <w:szCs w:val="24"/>
        </w:rPr>
        <w:t>եթե կենսահամարժեքությունն անհնար է հաստատել դեղակինետիկ հետազոտությունների շրջանակներում, ապա դրանց ներկայացումն անհրաժեշտ է թերապ</w:t>
      </w:r>
      <w:r w:rsidR="00C54D75">
        <w:rPr>
          <w:rFonts w:ascii="Sylfaen" w:hAnsi="Sylfaen"/>
          <w:sz w:val="24"/>
          <w:szCs w:val="24"/>
        </w:rPr>
        <w:t>և</w:t>
      </w:r>
      <w:r w:rsidRPr="00826F05">
        <w:rPr>
          <w:rFonts w:ascii="Sylfaen" w:hAnsi="Sylfaen"/>
          <w:sz w:val="24"/>
          <w:szCs w:val="24"/>
        </w:rPr>
        <w:t xml:space="preserve">տիկ համարժեքությունը հաստատելու նպատակով: </w:t>
      </w:r>
    </w:p>
    <w:p w14:paraId="5C25568C" w14:textId="77777777" w:rsidR="004F5982" w:rsidRPr="00826F05" w:rsidRDefault="004F5982" w:rsidP="00487007">
      <w:pPr>
        <w:spacing w:after="160" w:line="360" w:lineRule="auto"/>
        <w:ind w:right="-1" w:firstLine="567"/>
        <w:jc w:val="both"/>
        <w:rPr>
          <w:rFonts w:ascii="Sylfaen" w:hAnsi="Sylfaen"/>
          <w:sz w:val="24"/>
          <w:szCs w:val="24"/>
        </w:rPr>
      </w:pPr>
    </w:p>
    <w:p w14:paraId="1F762DC0"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2.3.3. Հետգրանցումային փորձը</w:t>
      </w:r>
    </w:p>
    <w:p w14:paraId="13C5E004"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Գնահատե՛ք անվտանգության վերաբերյալ ներկայացված տվյալները (եթե</w:t>
      </w:r>
      <w:r>
        <w:rPr>
          <w:rFonts w:ascii="Sylfaen" w:hAnsi="Sylfaen"/>
          <w:sz w:val="24"/>
          <w:szCs w:val="24"/>
        </w:rPr>
        <w:t> </w:t>
      </w:r>
      <w:r w:rsidRPr="00826F05">
        <w:rPr>
          <w:rFonts w:ascii="Sylfaen" w:hAnsi="Sylfaen"/>
          <w:sz w:val="24"/>
          <w:szCs w:val="24"/>
        </w:rPr>
        <w:t>պատրաստուկը գրանցված է Միության սահմաններից դուրս): Հարկավոր է հաշվի առնել, որ այս տվյալները վերաբերում են դեղապատրաստուկին, այլ ոչ թե դրա ազդող նյութին:</w:t>
      </w:r>
    </w:p>
    <w:p w14:paraId="292FB4F3"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Որպես կանոն, կարելի է սահմանափակվել հետ</w:t>
      </w:r>
      <w:r w:rsidR="00C54D75">
        <w:rPr>
          <w:rFonts w:ascii="Sylfaen" w:hAnsi="Sylfaen"/>
          <w:sz w:val="24"/>
          <w:szCs w:val="24"/>
        </w:rPr>
        <w:t>և</w:t>
      </w:r>
      <w:r w:rsidRPr="00826F05">
        <w:rPr>
          <w:rFonts w:ascii="Sylfaen" w:hAnsi="Sylfaen"/>
          <w:sz w:val="24"/>
          <w:szCs w:val="24"/>
        </w:rPr>
        <w:t>յալ ձ</w:t>
      </w:r>
      <w:r w:rsidR="00C54D75">
        <w:rPr>
          <w:rFonts w:ascii="Sylfaen" w:hAnsi="Sylfaen"/>
          <w:sz w:val="24"/>
          <w:szCs w:val="24"/>
        </w:rPr>
        <w:t>և</w:t>
      </w:r>
      <w:r w:rsidRPr="00826F05">
        <w:rPr>
          <w:rFonts w:ascii="Sylfaen" w:hAnsi="Sylfaen"/>
          <w:sz w:val="24"/>
          <w:szCs w:val="24"/>
        </w:rPr>
        <w:t>ակերպմամբ՝</w:t>
      </w:r>
    </w:p>
    <w:p w14:paraId="263D8A4C"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&lt;Կիրառման հետգրանցումային փորձը բացակայում է: Դեղապատրաստուկը Միության սահմաններից դուրս չի կիրառվել:&gt;</w:t>
      </w:r>
    </w:p>
    <w:p w14:paraId="21EF4C0B" w14:textId="77777777" w:rsidR="004F5982" w:rsidRPr="00826F05" w:rsidRDefault="004F5982" w:rsidP="00487007">
      <w:pPr>
        <w:spacing w:after="160" w:line="360" w:lineRule="auto"/>
        <w:ind w:right="-1" w:firstLine="567"/>
        <w:jc w:val="both"/>
        <w:rPr>
          <w:rFonts w:ascii="Sylfaen" w:hAnsi="Sylfaen"/>
          <w:sz w:val="24"/>
          <w:szCs w:val="24"/>
        </w:rPr>
      </w:pPr>
    </w:p>
    <w:p w14:paraId="744511F1" w14:textId="77777777" w:rsidR="004F5982" w:rsidRPr="00826F05" w:rsidRDefault="004F5982" w:rsidP="00487007">
      <w:pPr>
        <w:spacing w:after="160" w:line="360" w:lineRule="auto"/>
        <w:ind w:left="567" w:right="565"/>
        <w:jc w:val="center"/>
        <w:rPr>
          <w:rFonts w:ascii="Sylfaen" w:eastAsia="Times New Roman" w:hAnsi="Sylfaen" w:cs="Times New Roman"/>
          <w:sz w:val="24"/>
          <w:szCs w:val="24"/>
        </w:rPr>
      </w:pPr>
      <w:r w:rsidRPr="00826F05">
        <w:rPr>
          <w:rFonts w:ascii="Sylfaen" w:hAnsi="Sylfaen"/>
          <w:sz w:val="24"/>
          <w:szCs w:val="24"/>
        </w:rPr>
        <w:t>2.3.4. Կլինիկական ասպեկտների քննարկումը</w:t>
      </w:r>
    </w:p>
    <w:p w14:paraId="18CE437D"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Քննարկե՛ք բովանդակային պլանի կրիտիկական տարրերը, հատկապես՝ </w:t>
      </w:r>
      <w:r w:rsidRPr="00826F05">
        <w:rPr>
          <w:rFonts w:ascii="Sylfaen" w:hAnsi="Sylfaen"/>
          <w:sz w:val="24"/>
          <w:szCs w:val="24"/>
        </w:rPr>
        <w:lastRenderedPageBreak/>
        <w:t>եթե</w:t>
      </w:r>
      <w:r>
        <w:rPr>
          <w:rFonts w:ascii="Sylfaen" w:hAnsi="Sylfaen"/>
          <w:sz w:val="24"/>
          <w:szCs w:val="24"/>
        </w:rPr>
        <w:t> </w:t>
      </w:r>
      <w:r w:rsidRPr="00826F05">
        <w:rPr>
          <w:rFonts w:ascii="Sylfaen" w:hAnsi="Sylfaen"/>
          <w:sz w:val="24"/>
          <w:szCs w:val="24"/>
        </w:rPr>
        <w:t>դրանք տարբերվում են ստանդարտ խաչաձ</w:t>
      </w:r>
      <w:r w:rsidR="00C54D75">
        <w:rPr>
          <w:rFonts w:ascii="Sylfaen" w:hAnsi="Sylfaen"/>
          <w:sz w:val="24"/>
          <w:szCs w:val="24"/>
        </w:rPr>
        <w:t>և</w:t>
      </w:r>
      <w:r w:rsidRPr="00826F05">
        <w:rPr>
          <w:rFonts w:ascii="Sylfaen" w:hAnsi="Sylfaen"/>
          <w:sz w:val="24"/>
          <w:szCs w:val="24"/>
        </w:rPr>
        <w:t xml:space="preserve"> բովանդակային պլանից, օրինակ՝ զուգահեռ բովանդակային պլանը, պատրաստուկը սնունդ ընդունելուց հետո ընդունելը, պացիենտների մոտ հետազոտությունը </w:t>
      </w:r>
      <w:r w:rsidR="00C54D75">
        <w:rPr>
          <w:rFonts w:ascii="Sylfaen" w:hAnsi="Sylfaen"/>
          <w:sz w:val="24"/>
          <w:szCs w:val="24"/>
        </w:rPr>
        <w:t>և</w:t>
      </w:r>
      <w:r w:rsidRPr="00826F05">
        <w:rPr>
          <w:rFonts w:ascii="Sylfaen" w:hAnsi="Sylfaen"/>
          <w:sz w:val="24"/>
          <w:szCs w:val="24"/>
        </w:rPr>
        <w:t xml:space="preserve"> այլն: Անհրաժեշտ է վերլուծել հետազոտվող պատրաստուկի (ելակետային միացություն կամ մետաբոլիտ), ինչպես նա</w:t>
      </w:r>
      <w:r w:rsidR="00C54D75">
        <w:rPr>
          <w:rFonts w:ascii="Sylfaen" w:hAnsi="Sylfaen"/>
          <w:sz w:val="24"/>
          <w:szCs w:val="24"/>
        </w:rPr>
        <w:t>և</w:t>
      </w:r>
      <w:r w:rsidRPr="00826F05">
        <w:rPr>
          <w:rFonts w:ascii="Sylfaen" w:hAnsi="Sylfaen"/>
          <w:sz w:val="24"/>
          <w:szCs w:val="24"/>
        </w:rPr>
        <w:t xml:space="preserve"> կենսավերլուծական մեթոդի ընտրությունը: Բացի այդ, նշե՛ք կենսահամարժեքությունը ճանաչելու նախապես ընտրված չափորոշիչները, հատկապես եթե կատարվել է մասշտաբավորում (օրինակ՝ արդյոք գործակցի փոփոխականության գնահատման համար օգտագործվել է կրկնակի բովանդակային պլան) բարձր փոփոխականության պատրաստուկների կամ նեղ թերապ</w:t>
      </w:r>
      <w:r w:rsidR="00C54D75">
        <w:rPr>
          <w:rFonts w:ascii="Sylfaen" w:hAnsi="Sylfaen"/>
          <w:sz w:val="24"/>
          <w:szCs w:val="24"/>
        </w:rPr>
        <w:t>և</w:t>
      </w:r>
      <w:r w:rsidRPr="00826F05">
        <w:rPr>
          <w:rFonts w:ascii="Sylfaen" w:hAnsi="Sylfaen"/>
          <w:sz w:val="24"/>
          <w:szCs w:val="24"/>
        </w:rPr>
        <w:t xml:space="preserve">տիկ ընդգրկույթով պատրաստուկների նկատմամբ: </w:t>
      </w:r>
    </w:p>
    <w:p w14:paraId="3BFFCC7B"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Հարկավոր է նշել, թե արդյոք արդյունքները պահպանել են կենսահամարժեքությունը ճանաչելու նախապես ընտրված չափորոշիչները: Անհրաժեշտ է ընդհանրացնել անցկացված հետազոտության վերաբերյալ բոլոր դիտողությունները (օրինակ՝ սուբյեկտների դուրս մնալը (փոխարինումը)): Եթե</w:t>
      </w:r>
      <w:r>
        <w:rPr>
          <w:rFonts w:ascii="Sylfaen" w:hAnsi="Sylfaen"/>
          <w:sz w:val="24"/>
          <w:szCs w:val="24"/>
        </w:rPr>
        <w:t> </w:t>
      </w:r>
      <w:r w:rsidRPr="00826F05">
        <w:rPr>
          <w:rFonts w:ascii="Sylfaen" w:hAnsi="Sylfaen"/>
          <w:sz w:val="24"/>
          <w:szCs w:val="24"/>
        </w:rPr>
        <w:t>համեմատման պատրաստուկի հետ անց են կացվել մի քանի հետազոտություններ, գնահատե՛ք ստացված տվյալների համաձայնեցվածությունը:</w:t>
      </w:r>
    </w:p>
    <w:p w14:paraId="5F545BC1" w14:textId="77777777" w:rsidR="004F5982" w:rsidRPr="00826F05" w:rsidRDefault="004F5982" w:rsidP="00487007">
      <w:pPr>
        <w:spacing w:after="160" w:line="360" w:lineRule="auto"/>
        <w:ind w:firstLine="567"/>
        <w:jc w:val="both"/>
        <w:rPr>
          <w:rFonts w:ascii="Sylfaen" w:eastAsia="Times New Roman" w:hAnsi="Sylfaen" w:cs="Times New Roman"/>
          <w:sz w:val="24"/>
          <w:szCs w:val="24"/>
        </w:rPr>
      </w:pPr>
      <w:r w:rsidRPr="00826F05">
        <w:rPr>
          <w:rFonts w:ascii="Sylfaen" w:hAnsi="Sylfaen"/>
          <w:sz w:val="24"/>
          <w:szCs w:val="24"/>
        </w:rPr>
        <w:t xml:space="preserve">Միության պատշաճ կլինիկական գործունեության կանոնների պահանջներին (GCP) հետազոտության անհամապատասխանության վերաբերյալ բոլոր կասկածներն անհրաժեշտ է հստակ նկարագրել </w:t>
      </w:r>
      <w:r w:rsidR="00C54D75">
        <w:rPr>
          <w:rFonts w:ascii="Sylfaen" w:hAnsi="Sylfaen"/>
          <w:sz w:val="24"/>
          <w:szCs w:val="24"/>
        </w:rPr>
        <w:t>և</w:t>
      </w:r>
      <w:r w:rsidRPr="00826F05">
        <w:rPr>
          <w:rFonts w:ascii="Sylfaen" w:hAnsi="Sylfaen"/>
          <w:sz w:val="24"/>
          <w:szCs w:val="24"/>
        </w:rPr>
        <w:t xml:space="preserve"> գնահատել:</w:t>
      </w:r>
    </w:p>
    <w:p w14:paraId="4250E97C" w14:textId="77777777" w:rsidR="004F5982" w:rsidRPr="00826F05" w:rsidRDefault="004F5982" w:rsidP="00487007">
      <w:pPr>
        <w:spacing w:after="160" w:line="360" w:lineRule="auto"/>
        <w:ind w:right="-1" w:firstLine="567"/>
        <w:jc w:val="center"/>
        <w:rPr>
          <w:rFonts w:ascii="Sylfaen" w:hAnsi="Sylfaen"/>
          <w:sz w:val="24"/>
          <w:szCs w:val="24"/>
        </w:rPr>
      </w:pPr>
    </w:p>
    <w:p w14:paraId="351A02E1"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2.3.5.Կլինիկական ասպեկտների մասով եզրակացությունը</w:t>
      </w:r>
    </w:p>
    <w:p w14:paraId="41ED3A7E"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կլինիկական ասպեկտների մասով եզրակացություն կազմել </w:t>
      </w:r>
      <w:r w:rsidR="00C54D75">
        <w:rPr>
          <w:rFonts w:ascii="Sylfaen" w:hAnsi="Sylfaen"/>
          <w:sz w:val="24"/>
          <w:szCs w:val="24"/>
        </w:rPr>
        <w:t>և</w:t>
      </w:r>
      <w:r w:rsidRPr="00826F05">
        <w:rPr>
          <w:rFonts w:ascii="Sylfaen" w:hAnsi="Sylfaen"/>
          <w:sz w:val="24"/>
          <w:szCs w:val="24"/>
        </w:rPr>
        <w:t xml:space="preserve"> դիտողությունը տեղափոխել դիտողությունների ցանկ:</w:t>
      </w:r>
    </w:p>
    <w:p w14:paraId="44E9DBEC" w14:textId="7777777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Եթե վերարտադրված պատրաստուկը պարունակում է դեղագործական բաղադրամասի այլ աղ, պարզ կամ բարդ եթերներ, իզոմերներ, իզոմերների </w:t>
      </w:r>
      <w:r w:rsidRPr="00826F05">
        <w:rPr>
          <w:rFonts w:ascii="Sylfaen" w:hAnsi="Sylfaen"/>
          <w:sz w:val="24"/>
          <w:szCs w:val="24"/>
        </w:rPr>
        <w:lastRenderedPageBreak/>
        <w:t>խառնուրդներ, կոմպլեքսներ կամ ածանցյալներ, ապա հարկավոր է կատարել համապատասխան նշում՝</w:t>
      </w:r>
    </w:p>
    <w:p w14:paraId="5AA6D901" w14:textId="77777777" w:rsidR="004F5982" w:rsidRPr="00416EBF" w:rsidRDefault="004F5982" w:rsidP="00487007">
      <w:pPr>
        <w:spacing w:after="160" w:line="360" w:lineRule="auto"/>
        <w:ind w:firstLine="567"/>
        <w:jc w:val="both"/>
        <w:rPr>
          <w:rFonts w:ascii="Sylfaen" w:eastAsia="Times New Roman" w:hAnsi="Sylfaen" w:cs="Times New Roman"/>
          <w:i/>
          <w:sz w:val="24"/>
          <w:szCs w:val="24"/>
        </w:rPr>
      </w:pPr>
      <w:r w:rsidRPr="00416EBF">
        <w:rPr>
          <w:rFonts w:ascii="Sylfaen" w:hAnsi="Sylfaen"/>
          <w:i/>
          <w:sz w:val="24"/>
          <w:szCs w:val="24"/>
        </w:rPr>
        <w:t xml:space="preserve">&lt;[Դեղապատրաստուկի անվանումը] կլինիկական տվյալների վերաբերյալ գրական աղբյուրների ռեզյումեն </w:t>
      </w:r>
      <w:r w:rsidR="00C54D75">
        <w:rPr>
          <w:rFonts w:ascii="Sylfaen" w:hAnsi="Sylfaen"/>
          <w:i/>
          <w:sz w:val="24"/>
          <w:szCs w:val="24"/>
        </w:rPr>
        <w:t>և</w:t>
      </w:r>
      <w:r w:rsidRPr="00416EBF">
        <w:rPr>
          <w:rFonts w:ascii="Sylfaen" w:hAnsi="Sylfaen"/>
          <w:i/>
          <w:sz w:val="24"/>
          <w:szCs w:val="24"/>
        </w:rPr>
        <w:t xml:space="preserve"> այն բանի հիմնավորումը, որ ազդող նյութի այլ [աղը, բարդ եթերը, պարզ եթերը, իզոմերը, իզոմերների խառնուրդը, կոմպլեքսը, ածանցյալը] հատկանիշներով էականորեն չի տարբերվում համեմատման պատրաստուկի անվտանգության </w:t>
      </w:r>
      <w:r w:rsidR="00C54D75">
        <w:rPr>
          <w:rFonts w:ascii="Sylfaen" w:hAnsi="Sylfaen"/>
          <w:i/>
          <w:sz w:val="24"/>
          <w:szCs w:val="24"/>
        </w:rPr>
        <w:t>և</w:t>
      </w:r>
      <w:r w:rsidRPr="00416EBF">
        <w:rPr>
          <w:rFonts w:ascii="Sylfaen" w:hAnsi="Sylfaen"/>
          <w:i/>
          <w:sz w:val="24"/>
          <w:szCs w:val="24"/>
        </w:rPr>
        <w:t xml:space="preserve"> արդյունավետության պրոֆիլից, ներկայացվել են [չեն ներկայացվել] </w:t>
      </w:r>
      <w:r w:rsidR="00C54D75">
        <w:rPr>
          <w:rFonts w:ascii="Sylfaen" w:hAnsi="Sylfaen"/>
          <w:i/>
          <w:sz w:val="24"/>
          <w:szCs w:val="24"/>
        </w:rPr>
        <w:t>և</w:t>
      </w:r>
      <w:r w:rsidRPr="00416EBF">
        <w:rPr>
          <w:rFonts w:ascii="Sylfaen" w:hAnsi="Sylfaen"/>
          <w:i/>
          <w:sz w:val="24"/>
          <w:szCs w:val="24"/>
        </w:rPr>
        <w:t xml:space="preserve"> ընդունվում են [չեն ընդունվում] լիազորված մարմնի կողմից: Սա համաձայնեցվում է [չի համաձայնեցվում] Միության համապատասխան կանոնների հետ, այդ պատճառով էլ պահանջվում է [չի պահանջվում] կլինիկական լրացուցիչ հետազոտությունների անցկացում:&gt;</w:t>
      </w:r>
    </w:p>
    <w:p w14:paraId="4DDFE742" w14:textId="2A07A69E" w:rsidR="004F5982" w:rsidRPr="00826F05" w:rsidRDefault="0056496B" w:rsidP="00487007">
      <w:pPr>
        <w:spacing w:after="160" w:line="360" w:lineRule="auto"/>
        <w:ind w:firstLine="567"/>
        <w:jc w:val="both"/>
        <w:rPr>
          <w:rFonts w:ascii="Sylfaen" w:eastAsia="Times New Roman" w:hAnsi="Sylfaen" w:cs="Times New Roman"/>
          <w:sz w:val="24"/>
          <w:szCs w:val="24"/>
        </w:rPr>
      </w:pPr>
      <w:r>
        <w:rPr>
          <w:rFonts w:ascii="Sylfaen" w:hAnsi="Sylfaen"/>
          <w:sz w:val="24"/>
          <w:szCs w:val="24"/>
        </w:rPr>
        <w:t>Դիմումատու</w:t>
      </w:r>
      <w:r w:rsidR="004F5982" w:rsidRPr="00826F05">
        <w:rPr>
          <w:rFonts w:ascii="Sylfaen" w:hAnsi="Sylfaen"/>
          <w:sz w:val="24"/>
          <w:szCs w:val="24"/>
        </w:rPr>
        <w:t>ի՝ հետգրանցումային միջոցներ ձեռնարկելու պարտավորությունները. Առանձին դեպքերում որպես գրանցման պայման փորձագետի կողմից կարող են պահանջվել օգուտ-ռիսկ հարաբերակցության գնահատման համար առանցքային կլինիկական տվյալները: Փորձագետի կողմից այդպիսի տվյալների հարցումը հետգրանցումային ժամանակահատվածում կատարվում է ստոր</w:t>
      </w:r>
      <w:r w:rsidR="00C54D75">
        <w:rPr>
          <w:rFonts w:ascii="Sylfaen" w:hAnsi="Sylfaen"/>
          <w:sz w:val="24"/>
          <w:szCs w:val="24"/>
        </w:rPr>
        <w:t>և</w:t>
      </w:r>
      <w:r w:rsidR="004F5982" w:rsidRPr="00826F05">
        <w:rPr>
          <w:rFonts w:ascii="Sylfaen" w:hAnsi="Sylfaen"/>
          <w:sz w:val="24"/>
          <w:szCs w:val="24"/>
        </w:rPr>
        <w:t xml:space="preserve"> ներկայացված ձ</w:t>
      </w:r>
      <w:r w:rsidR="00C54D75">
        <w:rPr>
          <w:rFonts w:ascii="Sylfaen" w:hAnsi="Sylfaen"/>
          <w:sz w:val="24"/>
          <w:szCs w:val="24"/>
        </w:rPr>
        <w:t>և</w:t>
      </w:r>
      <w:r w:rsidR="004F5982" w:rsidRPr="00826F05">
        <w:rPr>
          <w:rFonts w:ascii="Sylfaen" w:hAnsi="Sylfaen"/>
          <w:sz w:val="24"/>
          <w:szCs w:val="24"/>
        </w:rPr>
        <w:t xml:space="preserve">ակերպմամբ </w:t>
      </w:r>
      <w:r w:rsidR="00C54D75">
        <w:rPr>
          <w:rFonts w:ascii="Sylfaen" w:hAnsi="Sylfaen"/>
          <w:sz w:val="24"/>
          <w:szCs w:val="24"/>
        </w:rPr>
        <w:t>և</w:t>
      </w:r>
      <w:r w:rsidR="004F5982" w:rsidRPr="00826F05">
        <w:rPr>
          <w:rFonts w:ascii="Sylfaen" w:hAnsi="Sylfaen"/>
          <w:sz w:val="24"/>
          <w:szCs w:val="24"/>
        </w:rPr>
        <w:t xml:space="preserve"> որպես գրանցման պայման առանձին բաժնով ներառվում է ԴԸԲ-ի կազմի մեջ: Հարկավոր է պատշաճ կերպով հիմնավորել որպես այդպիսի պայման սահմանված յուրաքանչյուր հարցում, մասնավորապես՝ հարկավոր է բացատրել օգուտ-ռիսկ դրական հարաբերակցության համատեքստում այդպիսի պայմանի ներառման անհրաժեշտությունը՝</w:t>
      </w:r>
    </w:p>
    <w:p w14:paraId="21B7BE66"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i/>
          <w:sz w:val="24"/>
          <w:szCs w:val="24"/>
        </w:rPr>
        <w:t>&lt;Կլինիկական ասպեկտների մասով դիտողությունները վերացնելու համար անհրաժեշտ եմ համարում հետ</w:t>
      </w:r>
      <w:r w:rsidR="00C54D75">
        <w:rPr>
          <w:rFonts w:ascii="Sylfaen" w:hAnsi="Sylfaen"/>
          <w:i/>
          <w:sz w:val="24"/>
          <w:szCs w:val="24"/>
        </w:rPr>
        <w:t>և</w:t>
      </w:r>
      <w:r w:rsidRPr="00826F05">
        <w:rPr>
          <w:rFonts w:ascii="Sylfaen" w:hAnsi="Sylfaen"/>
          <w:i/>
          <w:sz w:val="24"/>
          <w:szCs w:val="24"/>
        </w:rPr>
        <w:t>յալ միջոցների ձեռնարկումը [թվարկել անհրաժեշտ միջոցները]:&gt;</w:t>
      </w:r>
    </w:p>
    <w:p w14:paraId="2110065B" w14:textId="77777777" w:rsidR="004F5982" w:rsidRPr="00826F05" w:rsidRDefault="004F5982" w:rsidP="00487007">
      <w:pPr>
        <w:spacing w:after="160" w:line="360" w:lineRule="auto"/>
        <w:ind w:right="-1" w:firstLine="567"/>
        <w:jc w:val="both"/>
        <w:rPr>
          <w:rFonts w:ascii="Sylfaen" w:hAnsi="Sylfaen"/>
          <w:sz w:val="24"/>
          <w:szCs w:val="24"/>
        </w:rPr>
      </w:pPr>
    </w:p>
    <w:p w14:paraId="7ED0867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3. Դեղազգոնությունը</w:t>
      </w:r>
    </w:p>
    <w:p w14:paraId="20C40A15"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lastRenderedPageBreak/>
        <w:t>3.6. Դեղազգոնության համակարգը</w:t>
      </w:r>
    </w:p>
    <w:p w14:paraId="1BC3829A" w14:textId="460E3F1C" w:rsidR="004F5982" w:rsidRPr="00487007"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 xml:space="preserve">ն ներկայացրել է դեղազգոնության համակարգի մանրամասն նկարագրությունը պարունակող փաստաթղթեր: Ներկայացվել է </w:t>
      </w:r>
      <w:r w:rsidR="0056496B">
        <w:rPr>
          <w:rFonts w:ascii="Sylfaen" w:hAnsi="Sylfaen"/>
          <w:i/>
          <w:sz w:val="24"/>
          <w:szCs w:val="24"/>
        </w:rPr>
        <w:t>դիմումատու</w:t>
      </w:r>
      <w:r w:rsidRPr="00826F05">
        <w:rPr>
          <w:rFonts w:ascii="Sylfaen" w:hAnsi="Sylfaen"/>
          <w:i/>
          <w:sz w:val="24"/>
          <w:szCs w:val="24"/>
        </w:rPr>
        <w:t xml:space="preserve">ի </w:t>
      </w:r>
      <w:r w:rsidR="00C54D75">
        <w:rPr>
          <w:rFonts w:ascii="Sylfaen" w:hAnsi="Sylfaen"/>
          <w:i/>
          <w:sz w:val="24"/>
          <w:szCs w:val="24"/>
        </w:rPr>
        <w:t>և</w:t>
      </w:r>
      <w:r w:rsidRPr="00826F05">
        <w:rPr>
          <w:rFonts w:ascii="Sylfaen" w:hAnsi="Sylfaen"/>
          <w:i/>
          <w:sz w:val="24"/>
          <w:szCs w:val="24"/>
        </w:rPr>
        <w:t xml:space="preserve"> դեղազգոնության մասով լիազորված անձի կողմից ստորագրված</w:t>
      </w:r>
      <w:r w:rsidR="005A46D4">
        <w:rPr>
          <w:rFonts w:ascii="Sylfaen" w:hAnsi="Sylfaen"/>
          <w:i/>
          <w:sz w:val="24"/>
          <w:szCs w:val="24"/>
        </w:rPr>
        <w:t>հայտարարագիր</w:t>
      </w:r>
      <w:r w:rsidRPr="00826F05">
        <w:rPr>
          <w:rFonts w:ascii="Sylfaen" w:hAnsi="Sylfaen"/>
          <w:i/>
          <w:sz w:val="24"/>
          <w:szCs w:val="24"/>
        </w:rPr>
        <w:t xml:space="preserve">, որը հավաստում է,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Միության անդամ չհանդիսացող պետություններում առաջացող ցանկացած անցանկալի ռեակցիայի մասին ծանուցելու համար անհրաժեշտ միջոցներ:&gt;</w:t>
      </w:r>
    </w:p>
    <w:p w14:paraId="3675FF8C" w14:textId="5D538176"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 xml:space="preserve">ի կողմից նկարագրված դեղազգոնության համակարգը բավարարում է պահանջները </w:t>
      </w:r>
      <w:r w:rsidR="00C54D75">
        <w:rPr>
          <w:rFonts w:ascii="Sylfaen" w:hAnsi="Sylfaen"/>
          <w:i/>
          <w:sz w:val="24"/>
          <w:szCs w:val="24"/>
        </w:rPr>
        <w:t>և</w:t>
      </w:r>
      <w:r w:rsidRPr="00826F05">
        <w:rPr>
          <w:rFonts w:ascii="Sylfaen" w:hAnsi="Sylfaen"/>
          <w:i/>
          <w:sz w:val="24"/>
          <w:szCs w:val="24"/>
        </w:rPr>
        <w:t xml:space="preserve"> պարունակում է այն բանի բավարար հաստատումը, որ </w:t>
      </w:r>
      <w:r w:rsidR="0056496B">
        <w:rPr>
          <w:rFonts w:ascii="Sylfaen" w:hAnsi="Sylfaen"/>
          <w:i/>
          <w:sz w:val="24"/>
          <w:szCs w:val="24"/>
        </w:rPr>
        <w:t>դիմումատու</w:t>
      </w:r>
      <w:r w:rsidRPr="00826F05">
        <w:rPr>
          <w:rFonts w:ascii="Sylfaen" w:hAnsi="Sylfaen"/>
          <w:i/>
          <w:sz w:val="24"/>
          <w:szCs w:val="24"/>
        </w:rPr>
        <w:t xml:space="preserve">ն իր տրամադրության տակ ունի դեղազգոնության համար պատասխանատու լիազորված անձ </w:t>
      </w:r>
      <w:r w:rsidR="00C54D75">
        <w:rPr>
          <w:rFonts w:ascii="Sylfaen" w:hAnsi="Sylfaen"/>
          <w:i/>
          <w:sz w:val="24"/>
          <w:szCs w:val="24"/>
        </w:rPr>
        <w:t>և</w:t>
      </w:r>
      <w:r w:rsidRPr="00826F05">
        <w:rPr>
          <w:rFonts w:ascii="Sylfaen" w:hAnsi="Sylfaen"/>
          <w:i/>
          <w:sz w:val="24"/>
          <w:szCs w:val="24"/>
        </w:rPr>
        <w:t xml:space="preserve"> Միությունում կամ երրորդ երկրում առաջացող ցանկացած անցանկալի ռեակցիայի մասին ծանուցելու համար անհրաժեշտ միջոցներ:&gt;</w:t>
      </w:r>
    </w:p>
    <w:p w14:paraId="67D98123" w14:textId="2B6A495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 xml:space="preserve">&lt;Գտնում եմ, որ </w:t>
      </w:r>
      <w:r w:rsidR="0056496B">
        <w:rPr>
          <w:rFonts w:ascii="Sylfaen" w:hAnsi="Sylfaen"/>
          <w:i/>
          <w:sz w:val="24"/>
          <w:szCs w:val="24"/>
        </w:rPr>
        <w:t>դիմումատու</w:t>
      </w:r>
      <w:r w:rsidRPr="00826F05">
        <w:rPr>
          <w:rFonts w:ascii="Sylfaen" w:hAnsi="Sylfaen"/>
          <w:i/>
          <w:sz w:val="24"/>
          <w:szCs w:val="24"/>
        </w:rPr>
        <w:t>ի կողմից նկարագրված դեղազգոնության համակարգն ունի հետ</w:t>
      </w:r>
      <w:r w:rsidR="00C54D75">
        <w:rPr>
          <w:rFonts w:ascii="Sylfaen" w:hAnsi="Sylfaen"/>
          <w:i/>
          <w:sz w:val="24"/>
          <w:szCs w:val="24"/>
        </w:rPr>
        <w:t>և</w:t>
      </w:r>
      <w:r w:rsidRPr="00826F05">
        <w:rPr>
          <w:rFonts w:ascii="Sylfaen" w:hAnsi="Sylfaen"/>
          <w:i/>
          <w:sz w:val="24"/>
          <w:szCs w:val="24"/>
        </w:rPr>
        <w:t>յալ թերությունները [թերությունների ցանկը]՝&gt;</w:t>
      </w:r>
    </w:p>
    <w:p w14:paraId="1E3C0F68" w14:textId="1D81BD6C"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i/>
          <w:sz w:val="24"/>
          <w:szCs w:val="24"/>
        </w:rPr>
        <w:t>&lt;</w:t>
      </w:r>
      <w:r w:rsidR="0056496B">
        <w:rPr>
          <w:rFonts w:ascii="Sylfaen" w:hAnsi="Sylfaen"/>
          <w:i/>
          <w:sz w:val="24"/>
          <w:szCs w:val="24"/>
        </w:rPr>
        <w:t>Դիմումատու</w:t>
      </w:r>
      <w:r w:rsidRPr="00826F05">
        <w:rPr>
          <w:rFonts w:ascii="Sylfaen" w:hAnsi="Sylfaen"/>
          <w:i/>
          <w:sz w:val="24"/>
          <w:szCs w:val="24"/>
        </w:rPr>
        <w:t>ի կողմից մինչ</w:t>
      </w:r>
      <w:r w:rsidR="00C54D75">
        <w:rPr>
          <w:rFonts w:ascii="Sylfaen" w:hAnsi="Sylfaen"/>
          <w:i/>
          <w:sz w:val="24"/>
          <w:szCs w:val="24"/>
        </w:rPr>
        <w:t>և</w:t>
      </w:r>
      <w:r w:rsidRPr="00826F05">
        <w:rPr>
          <w:rFonts w:ascii="Sylfaen" w:hAnsi="Sylfaen"/>
          <w:i/>
          <w:sz w:val="24"/>
          <w:szCs w:val="24"/>
        </w:rPr>
        <w:t xml:space="preserve"> դեղապատրաստուկը իրացնելը թերությունները վերացնելու դեպքում լիազորված մարմինը կարող է դեղազգոնության համակարգը ճանաչել պահանջները բավարարող: </w:t>
      </w:r>
      <w:r w:rsidR="0056496B">
        <w:rPr>
          <w:rFonts w:ascii="Sylfaen" w:hAnsi="Sylfaen"/>
          <w:i/>
          <w:sz w:val="24"/>
          <w:szCs w:val="24"/>
        </w:rPr>
        <w:t>Դիմումատու</w:t>
      </w:r>
      <w:r w:rsidRPr="00826F05">
        <w:rPr>
          <w:rFonts w:ascii="Sylfaen" w:hAnsi="Sylfaen"/>
          <w:i/>
          <w:sz w:val="24"/>
          <w:szCs w:val="24"/>
        </w:rPr>
        <w:t>ն պետք է դեղազգոնության համակարգի առկայությունն ու գործառումն ապահովի մինչ</w:t>
      </w:r>
      <w:r w:rsidR="00C54D75">
        <w:rPr>
          <w:rFonts w:ascii="Sylfaen" w:hAnsi="Sylfaen"/>
          <w:i/>
          <w:sz w:val="24"/>
          <w:szCs w:val="24"/>
        </w:rPr>
        <w:t>և</w:t>
      </w:r>
      <w:r w:rsidRPr="00826F05">
        <w:rPr>
          <w:rFonts w:ascii="Sylfaen" w:hAnsi="Sylfaen"/>
          <w:i/>
          <w:sz w:val="24"/>
          <w:szCs w:val="24"/>
        </w:rPr>
        <w:t xml:space="preserve"> իրացման մեկնարկը:&gt;</w:t>
      </w:r>
    </w:p>
    <w:p w14:paraId="0127CDA5" w14:textId="77777777" w:rsidR="004F5982" w:rsidRPr="00826F05" w:rsidRDefault="004F5982" w:rsidP="00487007">
      <w:pPr>
        <w:spacing w:after="160" w:line="360" w:lineRule="auto"/>
        <w:ind w:right="-1" w:firstLine="567"/>
        <w:jc w:val="both"/>
        <w:rPr>
          <w:rFonts w:ascii="Sylfaen" w:hAnsi="Sylfaen"/>
          <w:sz w:val="24"/>
          <w:szCs w:val="24"/>
        </w:rPr>
      </w:pPr>
    </w:p>
    <w:p w14:paraId="6F08E3A4" w14:textId="77777777" w:rsidR="004F5982" w:rsidRPr="00826F05" w:rsidRDefault="004F5982" w:rsidP="00487007">
      <w:pPr>
        <w:spacing w:after="160" w:line="360" w:lineRule="auto"/>
        <w:ind w:left="2268" w:right="2125"/>
        <w:jc w:val="both"/>
        <w:rPr>
          <w:rFonts w:ascii="Sylfaen" w:eastAsia="Times New Roman" w:hAnsi="Sylfaen" w:cs="Times New Roman"/>
          <w:sz w:val="24"/>
          <w:szCs w:val="24"/>
        </w:rPr>
      </w:pPr>
      <w:r w:rsidRPr="00826F05">
        <w:rPr>
          <w:rFonts w:ascii="Sylfaen" w:hAnsi="Sylfaen"/>
          <w:sz w:val="24"/>
          <w:szCs w:val="24"/>
        </w:rPr>
        <w:t>3.7. Ռիսկերի կառավարման պլանը</w:t>
      </w:r>
    </w:p>
    <w:p w14:paraId="43120D54" w14:textId="0EAD2D9E"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Փորձագետը պետք է ավարտի դոսյեի առաջին ընդհանուր փորձաքննությունը </w:t>
      </w:r>
      <w:r w:rsidR="00C54D75">
        <w:rPr>
          <w:rFonts w:ascii="Sylfaen" w:hAnsi="Sylfaen"/>
          <w:sz w:val="24"/>
          <w:szCs w:val="24"/>
        </w:rPr>
        <w:t>և</w:t>
      </w:r>
      <w:r w:rsidRPr="00826F05">
        <w:rPr>
          <w:rFonts w:ascii="Sylfaen" w:hAnsi="Sylfaen"/>
          <w:sz w:val="24"/>
          <w:szCs w:val="24"/>
        </w:rPr>
        <w:t xml:space="preserve"> ներկայացնի ռիսկերի կառավարման պլանի (ՌԿՊ) վերաբերյալ բոլոր հիմնական դիտողությունները մինչ</w:t>
      </w:r>
      <w:r w:rsidR="00C54D75">
        <w:rPr>
          <w:rFonts w:ascii="Sylfaen" w:hAnsi="Sylfaen"/>
          <w:sz w:val="24"/>
          <w:szCs w:val="24"/>
        </w:rPr>
        <w:t>և</w:t>
      </w:r>
      <w:r w:rsidRPr="00826F05">
        <w:rPr>
          <w:rFonts w:ascii="Sylfaen" w:hAnsi="Sylfaen"/>
          <w:sz w:val="24"/>
          <w:szCs w:val="24"/>
        </w:rPr>
        <w:t xml:space="preserve"> լրացուցիչ տեղեկատվության կամ պարզաբանումների </w:t>
      </w:r>
      <w:r w:rsidRPr="00826F05">
        <w:rPr>
          <w:rFonts w:ascii="Sylfaen" w:hAnsi="Sylfaen"/>
          <w:sz w:val="24"/>
          <w:szCs w:val="24"/>
        </w:rPr>
        <w:lastRenderedPageBreak/>
        <w:t xml:space="preserve">համար առաջին հարցումը: Նպատակահարմար է նշել դոսյեի փորձաքննության ընթացքում </w:t>
      </w:r>
      <w:r w:rsidR="00003ABD">
        <w:rPr>
          <w:rFonts w:ascii="Sylfaen" w:hAnsi="Sylfaen"/>
          <w:sz w:val="24"/>
          <w:szCs w:val="24"/>
        </w:rPr>
        <w:t>հայտնաբերված</w:t>
      </w:r>
      <w:r w:rsidRPr="00826F05">
        <w:rPr>
          <w:rFonts w:ascii="Sylfaen" w:hAnsi="Sylfaen"/>
          <w:sz w:val="24"/>
          <w:szCs w:val="24"/>
        </w:rPr>
        <w:t xml:space="preserve"> կոնկրետ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կարող են ազդել ՌԿՊ-ի վրա: Դրանց թվին են դասվում այն դիտողություններն ու կասկածները, որոնք վերաբերում են նախակլինիկական անվտանգության մասով որոշակի տվյալներին, կլինիկական դեղաբանության տվյալներում առկա բացերին, կլինիկական հետազոտության տվյալների մասով անվտանգության հնարավոր ազդանշաններին </w:t>
      </w:r>
      <w:r w:rsidR="00C54D75">
        <w:rPr>
          <w:rFonts w:ascii="Sylfaen" w:hAnsi="Sylfaen"/>
          <w:sz w:val="24"/>
          <w:szCs w:val="24"/>
        </w:rPr>
        <w:t>և</w:t>
      </w:r>
      <w:r w:rsidRPr="00826F05">
        <w:rPr>
          <w:rFonts w:ascii="Sylfaen" w:hAnsi="Sylfaen"/>
          <w:sz w:val="24"/>
          <w:szCs w:val="24"/>
        </w:rPr>
        <w:t xml:space="preserve"> այլն: Այս փուլում հատկապես կար</w:t>
      </w:r>
      <w:r w:rsidR="00C54D75">
        <w:rPr>
          <w:rFonts w:ascii="Sylfaen" w:hAnsi="Sylfaen"/>
          <w:sz w:val="24"/>
          <w:szCs w:val="24"/>
        </w:rPr>
        <w:t>և</w:t>
      </w:r>
      <w:r w:rsidRPr="00826F05">
        <w:rPr>
          <w:rFonts w:ascii="Sylfaen" w:hAnsi="Sylfaen"/>
          <w:sz w:val="24"/>
          <w:szCs w:val="24"/>
        </w:rPr>
        <w:t>որ է</w:t>
      </w:r>
      <w:r w:rsidR="00F82B65">
        <w:rPr>
          <w:rFonts w:ascii="Sylfaen" w:hAnsi="Sylfaen"/>
          <w:sz w:val="24"/>
          <w:szCs w:val="24"/>
        </w:rPr>
        <w:t xml:space="preserve">հայտնաբերել </w:t>
      </w:r>
      <w:r w:rsidRPr="00826F05">
        <w:rPr>
          <w:rFonts w:ascii="Sylfaen" w:hAnsi="Sylfaen"/>
          <w:sz w:val="24"/>
          <w:szCs w:val="24"/>
        </w:rPr>
        <w:t>անվտանգության վերաբերյալ մտավախությունները (կար</w:t>
      </w:r>
      <w:r w:rsidR="00C54D75">
        <w:rPr>
          <w:rFonts w:ascii="Sylfaen" w:hAnsi="Sylfaen"/>
          <w:sz w:val="24"/>
          <w:szCs w:val="24"/>
        </w:rPr>
        <w:t>և</w:t>
      </w:r>
      <w:r w:rsidRPr="00826F05">
        <w:rPr>
          <w:rFonts w:ascii="Sylfaen" w:hAnsi="Sylfaen"/>
          <w:sz w:val="24"/>
          <w:szCs w:val="24"/>
        </w:rPr>
        <w:t>որ նույնականացված ռիսկերը, կար</w:t>
      </w:r>
      <w:r w:rsidR="00C54D75">
        <w:rPr>
          <w:rFonts w:ascii="Sylfaen" w:hAnsi="Sylfaen"/>
          <w:sz w:val="24"/>
          <w:szCs w:val="24"/>
        </w:rPr>
        <w:t>և</w:t>
      </w:r>
      <w:r w:rsidRPr="00826F05">
        <w:rPr>
          <w:rFonts w:ascii="Sylfaen" w:hAnsi="Sylfaen"/>
          <w:sz w:val="24"/>
          <w:szCs w:val="24"/>
        </w:rPr>
        <w:t>որ հնարավոր ռիսկերը, կար</w:t>
      </w:r>
      <w:r w:rsidR="00C54D75">
        <w:rPr>
          <w:rFonts w:ascii="Sylfaen" w:hAnsi="Sylfaen"/>
          <w:sz w:val="24"/>
          <w:szCs w:val="24"/>
        </w:rPr>
        <w:t>և</w:t>
      </w:r>
      <w:r w:rsidRPr="00826F05">
        <w:rPr>
          <w:rFonts w:ascii="Sylfaen" w:hAnsi="Sylfaen"/>
          <w:sz w:val="24"/>
          <w:szCs w:val="24"/>
        </w:rPr>
        <w:t>որ պակասող տեղեկատվությունը): Հատկապես կար</w:t>
      </w:r>
      <w:r w:rsidR="00C54D75">
        <w:rPr>
          <w:rFonts w:ascii="Sylfaen" w:hAnsi="Sylfaen"/>
          <w:sz w:val="24"/>
          <w:szCs w:val="24"/>
        </w:rPr>
        <w:t>և</w:t>
      </w:r>
      <w:r w:rsidRPr="00826F05">
        <w:rPr>
          <w:rFonts w:ascii="Sylfaen" w:hAnsi="Sylfaen"/>
          <w:sz w:val="24"/>
          <w:szCs w:val="24"/>
        </w:rPr>
        <w:t xml:space="preserve">որ է, եթե տվյալ հարցերը </w:t>
      </w:r>
      <w:r w:rsidR="0056496B">
        <w:rPr>
          <w:rFonts w:ascii="Sylfaen" w:hAnsi="Sylfaen"/>
          <w:sz w:val="24"/>
          <w:szCs w:val="24"/>
        </w:rPr>
        <w:t>դիմումատու</w:t>
      </w:r>
      <w:r w:rsidRPr="00826F05">
        <w:rPr>
          <w:rFonts w:ascii="Sylfaen" w:hAnsi="Sylfaen"/>
          <w:sz w:val="24"/>
          <w:szCs w:val="24"/>
        </w:rPr>
        <w:t xml:space="preserve">ի կողմից չեն նշվել դոսյեում </w:t>
      </w:r>
      <w:r w:rsidR="00C54D75">
        <w:rPr>
          <w:rFonts w:ascii="Sylfaen" w:hAnsi="Sylfaen"/>
          <w:sz w:val="24"/>
          <w:szCs w:val="24"/>
        </w:rPr>
        <w:t>և</w:t>
      </w:r>
      <w:r w:rsidRPr="00826F05">
        <w:rPr>
          <w:rFonts w:ascii="Sylfaen" w:hAnsi="Sylfaen"/>
          <w:sz w:val="24"/>
          <w:szCs w:val="24"/>
        </w:rPr>
        <w:t xml:space="preserve"> (կամ) չեն արտացոլվել ՌԿՊ-ում:</w:t>
      </w:r>
    </w:p>
    <w:p w14:paraId="2696338C" w14:textId="77777777" w:rsidR="004F5982" w:rsidRDefault="004F5982" w:rsidP="00487007">
      <w:pPr>
        <w:spacing w:after="160" w:line="360" w:lineRule="auto"/>
        <w:ind w:left="567" w:right="332"/>
        <w:jc w:val="center"/>
        <w:rPr>
          <w:rFonts w:ascii="Sylfaen" w:hAnsi="Sylfaen"/>
          <w:sz w:val="24"/>
          <w:szCs w:val="24"/>
        </w:rPr>
      </w:pPr>
    </w:p>
    <w:p w14:paraId="6B444824"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Այն դիտողությունները </w:t>
      </w:r>
      <w:r w:rsidR="00C54D75">
        <w:rPr>
          <w:rFonts w:ascii="Sylfaen" w:hAnsi="Sylfaen"/>
          <w:sz w:val="24"/>
          <w:szCs w:val="24"/>
        </w:rPr>
        <w:t>և</w:t>
      </w:r>
      <w:r w:rsidRPr="00826F05">
        <w:rPr>
          <w:rFonts w:ascii="Sylfaen" w:hAnsi="Sylfaen"/>
          <w:sz w:val="24"/>
          <w:szCs w:val="24"/>
        </w:rPr>
        <w:t xml:space="preserve"> (կամ) կասկածները, որոնք փորձագետը պետք է հաշվի առնի ՌԿՊ-ի փորձաքննության ժամանակ</w:t>
      </w:r>
    </w:p>
    <w:p w14:paraId="35907574" w14:textId="734F0627"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Հարկավոր է նշել այն դիտողությունները </w:t>
      </w:r>
      <w:r w:rsidR="00C54D75">
        <w:rPr>
          <w:rFonts w:ascii="Sylfaen" w:hAnsi="Sylfaen"/>
          <w:sz w:val="24"/>
          <w:szCs w:val="24"/>
        </w:rPr>
        <w:t>և</w:t>
      </w:r>
      <w:r w:rsidRPr="00826F05">
        <w:rPr>
          <w:rFonts w:ascii="Sylfaen" w:hAnsi="Sylfaen"/>
          <w:sz w:val="24"/>
          <w:szCs w:val="24"/>
        </w:rPr>
        <w:t xml:space="preserve"> կասկածները, որոնք </w:t>
      </w:r>
      <w:r w:rsidR="00FE4A71">
        <w:rPr>
          <w:rFonts w:ascii="Sylfaen" w:hAnsi="Sylfaen"/>
          <w:sz w:val="24"/>
          <w:szCs w:val="24"/>
        </w:rPr>
        <w:t xml:space="preserve">հայտնաբերվել </w:t>
      </w:r>
      <w:r>
        <w:rPr>
          <w:rFonts w:ascii="Sylfaen" w:hAnsi="Sylfaen"/>
          <w:sz w:val="24"/>
          <w:szCs w:val="24"/>
        </w:rPr>
        <w:t> </w:t>
      </w:r>
      <w:r w:rsidRPr="00826F05">
        <w:rPr>
          <w:rFonts w:ascii="Sylfaen" w:hAnsi="Sylfaen"/>
          <w:sz w:val="24"/>
          <w:szCs w:val="24"/>
        </w:rPr>
        <w:t xml:space="preserve">են դոսյեի ընդհանուր փորձաքննության անցկացման շրջանակներում, </w:t>
      </w:r>
      <w:r w:rsidR="00C54D75">
        <w:rPr>
          <w:rFonts w:ascii="Sylfaen" w:hAnsi="Sylfaen"/>
          <w:sz w:val="24"/>
          <w:szCs w:val="24"/>
        </w:rPr>
        <w:t>և</w:t>
      </w:r>
      <w:r w:rsidRPr="00826F05">
        <w:rPr>
          <w:rFonts w:ascii="Sylfaen" w:hAnsi="Sylfaen"/>
          <w:sz w:val="24"/>
          <w:szCs w:val="24"/>
        </w:rPr>
        <w:t xml:space="preserve"> որոնք պետք</w:t>
      </w:r>
      <w:r>
        <w:rPr>
          <w:rFonts w:ascii="Sylfaen" w:hAnsi="Sylfaen"/>
          <w:sz w:val="24"/>
          <w:szCs w:val="24"/>
        </w:rPr>
        <w:t> </w:t>
      </w:r>
      <w:r w:rsidRPr="00826F05">
        <w:rPr>
          <w:rFonts w:ascii="Sylfaen" w:hAnsi="Sylfaen"/>
          <w:sz w:val="24"/>
          <w:szCs w:val="24"/>
        </w:rPr>
        <w:t xml:space="preserve">է ռիսկերի կառավարման պլանի փորձաքննության ժամանակ քննության ենթարկի դեղազգոնության ոլորտի մասնագետը: </w:t>
      </w:r>
    </w:p>
    <w:p w14:paraId="01F6BE08" w14:textId="77777777" w:rsidR="004F5982" w:rsidRPr="00826F05" w:rsidRDefault="004F5982" w:rsidP="00487007">
      <w:pPr>
        <w:spacing w:after="160" w:line="360" w:lineRule="auto"/>
        <w:jc w:val="both"/>
        <w:rPr>
          <w:rFonts w:ascii="Sylfaen" w:hAnsi="Sylfaen"/>
          <w:sz w:val="24"/>
          <w:szCs w:val="24"/>
        </w:rPr>
      </w:pPr>
    </w:p>
    <w:p w14:paraId="71E4F90B" w14:textId="77777777"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4. Փորձագետի դիտողությունների ցանկը</w:t>
      </w:r>
    </w:p>
    <w:p w14:paraId="7833076B" w14:textId="5370300F"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 xml:space="preserve">Կրիտիկական դիտողությունների առկայությունը դեղապատրաստուկի գրանցման </w:t>
      </w:r>
      <w:r w:rsidR="0056496B">
        <w:rPr>
          <w:rFonts w:ascii="Sylfaen" w:hAnsi="Sylfaen"/>
          <w:sz w:val="24"/>
          <w:szCs w:val="24"/>
        </w:rPr>
        <w:t>դիմում</w:t>
      </w:r>
      <w:r w:rsidRPr="00826F05">
        <w:rPr>
          <w:rFonts w:ascii="Sylfaen" w:hAnsi="Sylfaen"/>
          <w:sz w:val="24"/>
          <w:szCs w:val="24"/>
        </w:rPr>
        <w:t xml:space="preserve">ի հաստատման վերաբերյալ առաջարկությունը դարձնում է անհնար: Մեկ կրիտիկական դիտողությունը տեսականորեն կարող է ներառել մեկից ավելի հարցեր. այդ իսկ պատճառով տվյալ դեպքում հարկավոր է օգտագործել պարբերություններ </w:t>
      </w:r>
      <w:r w:rsidR="00C54D75">
        <w:rPr>
          <w:rFonts w:ascii="Sylfaen" w:hAnsi="Sylfaen"/>
          <w:sz w:val="24"/>
          <w:szCs w:val="24"/>
        </w:rPr>
        <w:t>և</w:t>
      </w:r>
      <w:r w:rsidRPr="00826F05">
        <w:rPr>
          <w:rFonts w:ascii="Sylfaen" w:hAnsi="Sylfaen"/>
          <w:sz w:val="24"/>
          <w:szCs w:val="24"/>
        </w:rPr>
        <w:t xml:space="preserve"> ենթավերնագրեր: Կար</w:t>
      </w:r>
      <w:r w:rsidR="00C54D75">
        <w:rPr>
          <w:rFonts w:ascii="Sylfaen" w:hAnsi="Sylfaen"/>
          <w:sz w:val="24"/>
          <w:szCs w:val="24"/>
        </w:rPr>
        <w:t>և</w:t>
      </w:r>
      <w:r w:rsidRPr="00826F05">
        <w:rPr>
          <w:rFonts w:ascii="Sylfaen" w:hAnsi="Sylfaen"/>
          <w:sz w:val="24"/>
          <w:szCs w:val="24"/>
        </w:rPr>
        <w:t xml:space="preserve">որ է, որ կրիտիկական դիտողությունը </w:t>
      </w:r>
      <w:r w:rsidRPr="00826F05">
        <w:rPr>
          <w:rFonts w:ascii="Sylfaen" w:hAnsi="Sylfaen"/>
          <w:sz w:val="24"/>
          <w:szCs w:val="24"/>
        </w:rPr>
        <w:lastRenderedPageBreak/>
        <w:t xml:space="preserve">լինի հասկանալի </w:t>
      </w:r>
      <w:r w:rsidR="00C54D75">
        <w:rPr>
          <w:rFonts w:ascii="Sylfaen" w:hAnsi="Sylfaen"/>
          <w:sz w:val="24"/>
          <w:szCs w:val="24"/>
        </w:rPr>
        <w:t>և</w:t>
      </w:r>
      <w:r w:rsidRPr="00826F05">
        <w:rPr>
          <w:rFonts w:ascii="Sylfaen" w:hAnsi="Sylfaen"/>
          <w:sz w:val="24"/>
          <w:szCs w:val="24"/>
        </w:rPr>
        <w:t xml:space="preserve"> հստակ շարադրված: Դրա համար կարող են պահանջվել մանրամասն մեկնաբանություններ՝ համապատասխան նորմատիվ իրավական ակտերին </w:t>
      </w:r>
      <w:r w:rsidR="00C54D75">
        <w:rPr>
          <w:rFonts w:ascii="Sylfaen" w:hAnsi="Sylfaen"/>
          <w:sz w:val="24"/>
          <w:szCs w:val="24"/>
        </w:rPr>
        <w:t>և</w:t>
      </w:r>
      <w:r w:rsidRPr="00826F05">
        <w:rPr>
          <w:rFonts w:ascii="Sylfaen" w:hAnsi="Sylfaen"/>
          <w:sz w:val="24"/>
          <w:szCs w:val="24"/>
        </w:rPr>
        <w:t xml:space="preserve"> առաջարկություններին (ձեռնարկներին) արված հղումներով:</w:t>
      </w:r>
    </w:p>
    <w:p w14:paraId="58B07E58" w14:textId="10FD6A4A"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Լավագույն դեպքում դիտողությունը պետք է ներառի </w:t>
      </w:r>
      <w:r w:rsidR="0056496B">
        <w:rPr>
          <w:rFonts w:ascii="Sylfaen" w:hAnsi="Sylfaen"/>
          <w:sz w:val="24"/>
          <w:szCs w:val="24"/>
        </w:rPr>
        <w:t>դիմումատու</w:t>
      </w:r>
      <w:r w:rsidRPr="00826F05">
        <w:rPr>
          <w:rFonts w:ascii="Sylfaen" w:hAnsi="Sylfaen"/>
          <w:sz w:val="24"/>
          <w:szCs w:val="24"/>
        </w:rPr>
        <w:t>ից ակնկալվող պատասխանի կամ միջոցների վերաբերյալ պարզաբանումներ:</w:t>
      </w:r>
    </w:p>
    <w:p w14:paraId="05EBD428" w14:textId="348719A4" w:rsidR="004F5982" w:rsidRPr="00826F05" w:rsidRDefault="004F5982" w:rsidP="00487007">
      <w:pPr>
        <w:spacing w:after="160" w:line="360" w:lineRule="auto"/>
        <w:ind w:right="-1" w:firstLine="567"/>
        <w:jc w:val="both"/>
        <w:rPr>
          <w:rFonts w:ascii="Sylfaen" w:eastAsia="Times New Roman" w:hAnsi="Sylfaen" w:cs="Times New Roman"/>
          <w:sz w:val="24"/>
          <w:szCs w:val="24"/>
        </w:rPr>
      </w:pPr>
      <w:r w:rsidRPr="00826F05">
        <w:rPr>
          <w:rFonts w:ascii="Sylfaen" w:hAnsi="Sylfaen"/>
          <w:sz w:val="24"/>
          <w:szCs w:val="24"/>
        </w:rPr>
        <w:t xml:space="preserve">«Այլ դիտողություններ» կարող են ազդել գրանցման հավաստագիր ստանալու համար առաջարկվող պայմանների </w:t>
      </w:r>
      <w:r w:rsidR="00C54D75">
        <w:rPr>
          <w:rFonts w:ascii="Sylfaen" w:hAnsi="Sylfaen"/>
          <w:sz w:val="24"/>
          <w:szCs w:val="24"/>
        </w:rPr>
        <w:t>և</w:t>
      </w:r>
      <w:r w:rsidRPr="00826F05">
        <w:rPr>
          <w:rFonts w:ascii="Sylfaen" w:hAnsi="Sylfaen"/>
          <w:sz w:val="24"/>
          <w:szCs w:val="24"/>
        </w:rPr>
        <w:t xml:space="preserve"> դեղապատրաստուկի մասին տեղեկատվության բովանդակության վրա: Այս խնդրահարույց հարցերը պետք է լուծվեն </w:t>
      </w:r>
      <w:r w:rsidR="0056496B">
        <w:rPr>
          <w:rFonts w:ascii="Sylfaen" w:hAnsi="Sylfaen"/>
          <w:sz w:val="24"/>
          <w:szCs w:val="24"/>
        </w:rPr>
        <w:t>դիմում</w:t>
      </w:r>
      <w:r w:rsidRPr="00826F05">
        <w:rPr>
          <w:rFonts w:ascii="Sylfaen" w:hAnsi="Sylfaen"/>
          <w:sz w:val="24"/>
          <w:szCs w:val="24"/>
        </w:rPr>
        <w:t xml:space="preserve">ը հաստատելուցուց առաջ, հակառակ դեպքում </w:t>
      </w:r>
      <w:r w:rsidR="0056496B">
        <w:rPr>
          <w:rFonts w:ascii="Sylfaen" w:hAnsi="Sylfaen"/>
          <w:sz w:val="24"/>
          <w:szCs w:val="24"/>
        </w:rPr>
        <w:t>դիմում</w:t>
      </w:r>
      <w:r w:rsidRPr="00826F05">
        <w:rPr>
          <w:rFonts w:ascii="Sylfaen" w:hAnsi="Sylfaen"/>
          <w:sz w:val="24"/>
          <w:szCs w:val="24"/>
        </w:rPr>
        <w:t>ը կարող է մերժվել:</w:t>
      </w:r>
    </w:p>
    <w:p w14:paraId="4336C25F" w14:textId="77777777" w:rsidR="004F5982" w:rsidRPr="00826F05" w:rsidRDefault="004F5982" w:rsidP="00487007">
      <w:pPr>
        <w:spacing w:after="160" w:line="360" w:lineRule="auto"/>
        <w:ind w:right="-1" w:firstLine="567"/>
        <w:jc w:val="both"/>
        <w:rPr>
          <w:rFonts w:ascii="Sylfaen" w:hAnsi="Sylfaen"/>
          <w:sz w:val="24"/>
          <w:szCs w:val="24"/>
        </w:rPr>
      </w:pPr>
      <w:r w:rsidRPr="00826F05">
        <w:rPr>
          <w:rFonts w:ascii="Sylfaen" w:hAnsi="Sylfaen"/>
          <w:sz w:val="24"/>
          <w:szCs w:val="24"/>
        </w:rPr>
        <w:t>Դիտողությունների տվյալ ցանկն անհրաժեշտ է պատճենել փորձագիտական հաշվետվության «Ընդհանուր նկարագրություն» բաժնում:</w:t>
      </w:r>
    </w:p>
    <w:p w14:paraId="26CB8710" w14:textId="77777777" w:rsidR="004F5982" w:rsidRDefault="004F5982" w:rsidP="00487007">
      <w:pPr>
        <w:spacing w:after="160" w:line="360" w:lineRule="auto"/>
        <w:ind w:left="567" w:right="332"/>
        <w:jc w:val="center"/>
        <w:rPr>
          <w:rFonts w:ascii="Sylfaen" w:hAnsi="Sylfaen"/>
          <w:sz w:val="24"/>
          <w:szCs w:val="24"/>
        </w:rPr>
      </w:pPr>
    </w:p>
    <w:p w14:paraId="69092E67" w14:textId="7DBEC50F" w:rsidR="004F5982" w:rsidRPr="00826F05" w:rsidRDefault="004F5982" w:rsidP="00487007">
      <w:pPr>
        <w:spacing w:after="160" w:line="360" w:lineRule="auto"/>
        <w:ind w:left="567" w:right="332"/>
        <w:jc w:val="center"/>
        <w:rPr>
          <w:rFonts w:ascii="Sylfaen" w:eastAsia="Times New Roman" w:hAnsi="Sylfaen" w:cs="Times New Roman"/>
          <w:sz w:val="24"/>
          <w:szCs w:val="24"/>
        </w:rPr>
      </w:pPr>
      <w:r w:rsidRPr="00826F05">
        <w:rPr>
          <w:rFonts w:ascii="Sylfaen" w:hAnsi="Sylfaen"/>
          <w:sz w:val="24"/>
          <w:szCs w:val="24"/>
        </w:rPr>
        <w:t xml:space="preserve">5. Փորձագետի կողմից առաջարկվող պայմանները, որոնց կատարումը </w:t>
      </w:r>
      <w:r w:rsidR="0056496B">
        <w:rPr>
          <w:rFonts w:ascii="Sylfaen" w:hAnsi="Sylfaen"/>
          <w:sz w:val="24"/>
          <w:szCs w:val="24"/>
        </w:rPr>
        <w:t>դիմումատու</w:t>
      </w:r>
      <w:r w:rsidRPr="00826F05">
        <w:rPr>
          <w:rFonts w:ascii="Sylfaen" w:hAnsi="Sylfaen"/>
          <w:sz w:val="24"/>
          <w:szCs w:val="24"/>
        </w:rPr>
        <w:t xml:space="preserve">ի կողմից անհրաժեշտ է գրանցման հավաստագիրը ստանալուց </w:t>
      </w:r>
      <w:r w:rsidR="00C54D75">
        <w:rPr>
          <w:rFonts w:ascii="Sylfaen" w:hAnsi="Sylfaen"/>
          <w:sz w:val="24"/>
          <w:szCs w:val="24"/>
        </w:rPr>
        <w:t>և</w:t>
      </w:r>
      <w:r w:rsidRPr="00826F05">
        <w:rPr>
          <w:rFonts w:ascii="Sylfaen" w:hAnsi="Sylfaen"/>
          <w:sz w:val="24"/>
          <w:szCs w:val="24"/>
        </w:rPr>
        <w:t xml:space="preserve"> դեղապատրաստուկի ընդհանուր բնութագիրը, բժշկական կիրառման հրահանգը (ներդիր թերթիկը) </w:t>
      </w:r>
      <w:r w:rsidR="00C54D75">
        <w:rPr>
          <w:rFonts w:ascii="Sylfaen" w:hAnsi="Sylfaen"/>
          <w:sz w:val="24"/>
          <w:szCs w:val="24"/>
        </w:rPr>
        <w:t>և</w:t>
      </w:r>
      <w:r w:rsidRPr="00826F05">
        <w:rPr>
          <w:rFonts w:ascii="Sylfaen" w:hAnsi="Sylfaen"/>
          <w:sz w:val="24"/>
          <w:szCs w:val="24"/>
        </w:rPr>
        <w:t xml:space="preserve"> դեղապատրաստուկի փաթեթվածքի դիզայնը հաստատելուց հետո:</w:t>
      </w:r>
    </w:p>
    <w:p w14:paraId="20460B19" w14:textId="77777777" w:rsidR="004F5982" w:rsidRPr="00826F05" w:rsidRDefault="004F5982" w:rsidP="00487007">
      <w:pPr>
        <w:spacing w:after="160" w:line="360" w:lineRule="auto"/>
        <w:ind w:right="332" w:firstLine="567"/>
        <w:jc w:val="center"/>
        <w:rPr>
          <w:rFonts w:ascii="Sylfaen" w:hAnsi="Sylfaen"/>
          <w:sz w:val="24"/>
          <w:szCs w:val="24"/>
        </w:rPr>
      </w:pPr>
    </w:p>
    <w:p w14:paraId="3A248437" w14:textId="77777777" w:rsidR="004F5982" w:rsidRDefault="004F5982" w:rsidP="00487007">
      <w:pPr>
        <w:pBdr>
          <w:bottom w:val="single" w:sz="6" w:space="1" w:color="auto"/>
        </w:pBdr>
        <w:spacing w:after="160" w:line="360" w:lineRule="auto"/>
        <w:ind w:left="567" w:right="332"/>
        <w:jc w:val="center"/>
        <w:rPr>
          <w:rFonts w:ascii="Sylfaen" w:hAnsi="Sylfaen"/>
          <w:sz w:val="24"/>
          <w:szCs w:val="24"/>
        </w:rPr>
      </w:pPr>
      <w:r w:rsidRPr="00826F05">
        <w:rPr>
          <w:rFonts w:ascii="Sylfaen" w:hAnsi="Sylfaen"/>
          <w:sz w:val="24"/>
          <w:szCs w:val="24"/>
        </w:rPr>
        <w:t>6. Գրականության ցանկը</w:t>
      </w:r>
    </w:p>
    <w:p w14:paraId="58C2C7F0" w14:textId="77777777" w:rsidR="00852B2A" w:rsidRDefault="00852B2A" w:rsidP="00BD67EC">
      <w:pPr>
        <w:spacing w:after="160" w:line="360" w:lineRule="auto"/>
        <w:ind w:left="5103"/>
        <w:jc w:val="center"/>
        <w:rPr>
          <w:rFonts w:ascii="Sylfaen" w:hAnsi="Sylfaen"/>
          <w:sz w:val="24"/>
          <w:szCs w:val="24"/>
        </w:rPr>
      </w:pPr>
    </w:p>
    <w:p w14:paraId="3512E2E7" w14:textId="77777777" w:rsidR="00852B2A" w:rsidRDefault="00852B2A" w:rsidP="00BD67EC">
      <w:pPr>
        <w:spacing w:after="160" w:line="360" w:lineRule="auto"/>
        <w:ind w:left="5103"/>
        <w:jc w:val="center"/>
        <w:rPr>
          <w:rFonts w:ascii="Sylfaen" w:hAnsi="Sylfaen"/>
          <w:sz w:val="24"/>
          <w:szCs w:val="24"/>
        </w:rPr>
      </w:pPr>
    </w:p>
    <w:p w14:paraId="3DE87D61" w14:textId="77777777" w:rsidR="00852B2A" w:rsidRDefault="00852B2A" w:rsidP="00BD67EC">
      <w:pPr>
        <w:spacing w:after="160" w:line="360" w:lineRule="auto"/>
        <w:ind w:left="5103"/>
        <w:jc w:val="center"/>
        <w:rPr>
          <w:rFonts w:ascii="Sylfaen" w:hAnsi="Sylfaen"/>
          <w:sz w:val="24"/>
          <w:szCs w:val="24"/>
        </w:rPr>
      </w:pPr>
    </w:p>
    <w:p w14:paraId="05F57F0C" w14:textId="77777777" w:rsidR="00852B2A" w:rsidRDefault="00852B2A" w:rsidP="00BD67EC">
      <w:pPr>
        <w:spacing w:after="160" w:line="360" w:lineRule="auto"/>
        <w:ind w:left="5103"/>
        <w:jc w:val="center"/>
        <w:rPr>
          <w:rFonts w:ascii="Sylfaen" w:hAnsi="Sylfaen"/>
          <w:sz w:val="24"/>
          <w:szCs w:val="24"/>
        </w:rPr>
      </w:pPr>
    </w:p>
    <w:p w14:paraId="672862AD" w14:textId="1B1EC19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lastRenderedPageBreak/>
        <w:t>ՀԱՎԵԼՎԱԾ ԹԻՎ 24</w:t>
      </w:r>
    </w:p>
    <w:p w14:paraId="135E6E07" w14:textId="77777777" w:rsidR="00BD67EC" w:rsidRPr="00B96C43" w:rsidRDefault="00BD67EC" w:rsidP="00BD67EC">
      <w:pPr>
        <w:spacing w:after="160" w:line="360" w:lineRule="auto"/>
        <w:ind w:left="5103"/>
        <w:jc w:val="center"/>
        <w:rPr>
          <w:rFonts w:ascii="Sylfaen" w:hAnsi="Sylfaen"/>
          <w:sz w:val="24"/>
          <w:szCs w:val="24"/>
        </w:rPr>
      </w:pPr>
      <w:r w:rsidRPr="00B96C43">
        <w:rPr>
          <w:rFonts w:ascii="Sylfaen" w:hAnsi="Sylfaen"/>
          <w:sz w:val="24"/>
          <w:szCs w:val="24"/>
        </w:rPr>
        <w:t>բժշկական կիրառության դեղամիջոցների գրանցման եւ փորձաքննության կանոնների</w:t>
      </w:r>
    </w:p>
    <w:p w14:paraId="28AFBA97" w14:textId="77777777" w:rsidR="00BD67EC" w:rsidRPr="00B96C43" w:rsidRDefault="00BD67EC" w:rsidP="00BD67EC">
      <w:pPr>
        <w:pStyle w:val="Bodytext30"/>
        <w:shd w:val="clear" w:color="auto" w:fill="auto"/>
        <w:spacing w:after="160" w:line="360" w:lineRule="auto"/>
        <w:rPr>
          <w:rStyle w:val="Bodytext3Spacing3pt"/>
          <w:rFonts w:ascii="Sylfaen" w:hAnsi="Sylfaen"/>
          <w:b/>
          <w:bCs/>
          <w:sz w:val="24"/>
          <w:szCs w:val="24"/>
        </w:rPr>
      </w:pPr>
    </w:p>
    <w:p w14:paraId="78960799"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96C43">
        <w:rPr>
          <w:rStyle w:val="Bodytext3Spacing3pt"/>
          <w:rFonts w:ascii="Sylfaen" w:hAnsi="Sylfaen"/>
          <w:sz w:val="24"/>
          <w:szCs w:val="24"/>
        </w:rPr>
        <w:t>ՊԱՀԱՆՋՆԵՐ</w:t>
      </w:r>
    </w:p>
    <w:p w14:paraId="2EAE6322" w14:textId="77777777" w:rsidR="00BD67EC" w:rsidRPr="00BD67EC" w:rsidRDefault="00BD67EC" w:rsidP="00BD67EC">
      <w:pPr>
        <w:pStyle w:val="Bodytext30"/>
        <w:shd w:val="clear" w:color="auto" w:fill="auto"/>
        <w:spacing w:after="160" w:line="360" w:lineRule="auto"/>
        <w:rPr>
          <w:rFonts w:ascii="Sylfaen" w:hAnsi="Sylfaen"/>
          <w:sz w:val="24"/>
          <w:szCs w:val="24"/>
          <w:lang w:val="hy-AM"/>
        </w:rPr>
      </w:pPr>
      <w:r w:rsidRPr="00BD67EC">
        <w:rPr>
          <w:rFonts w:ascii="Sylfaen" w:hAnsi="Sylfaen"/>
          <w:sz w:val="24"/>
          <w:szCs w:val="24"/>
          <w:lang w:val="hy-AM"/>
        </w:rPr>
        <w:t xml:space="preserve">գրիպի կանխարգելման համար նախատեսված պատվաստանյութերի շտամային բաղադրության 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Pr="00BD67EC">
        <w:rPr>
          <w:rFonts w:ascii="Sylfaen" w:hAnsi="Sylfaen"/>
          <w:sz w:val="24"/>
          <w:szCs w:val="24"/>
          <w:lang w:val="hy-AM"/>
        </w:rPr>
        <w:br/>
        <w:t>գրիպի կանխարգելման համար նախատեսված սեզոնային, համավարակային եւ նախահամավարակային (զոոնոզ) պատվաստանյութերի գրանցմանը ներկայացվող</w:t>
      </w:r>
    </w:p>
    <w:p w14:paraId="731DCE37" w14:textId="77777777" w:rsidR="00BD67EC" w:rsidRPr="00B96C43" w:rsidRDefault="00BD67EC" w:rsidP="00BD67EC">
      <w:pPr>
        <w:spacing w:after="160" w:line="360" w:lineRule="auto"/>
        <w:jc w:val="center"/>
        <w:rPr>
          <w:rFonts w:ascii="Sylfaen" w:hAnsi="Sylfaen"/>
          <w:sz w:val="24"/>
          <w:szCs w:val="24"/>
        </w:rPr>
      </w:pPr>
    </w:p>
    <w:p w14:paraId="597CFD07"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 Ընդհանուր դրույթներ</w:t>
      </w:r>
    </w:p>
    <w:p w14:paraId="2B03E8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շտամային բաղադրության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14:paraId="5009084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w:t>
      </w:r>
      <w:r w:rsidRPr="00B96C43">
        <w:rPr>
          <w:rFonts w:ascii="Sylfaen" w:hAnsi="Sylfaen"/>
          <w:sz w:val="24"/>
          <w:szCs w:val="24"/>
        </w:rPr>
        <w:lastRenderedPageBreak/>
        <w:t>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հետ։</w:t>
      </w:r>
    </w:p>
    <w:p w14:paraId="05905DA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Սույն պահանջները չեն տարածվում գրիպի կանխարգելման համար նախատեսված սեզոնային, համավարակային եւ հակահամավարակային (զոոնոզ) պատվաստանյութերի շտամային բաղադրության փոփոխման (թարմացման) հետ կապ չունեցող փոփոխությունների վրա։ </w:t>
      </w:r>
    </w:p>
    <w:p w14:paraId="0E655D75" w14:textId="77777777" w:rsidR="00BD67EC" w:rsidRPr="00B96C43" w:rsidRDefault="00BD67EC" w:rsidP="00BD67EC">
      <w:pPr>
        <w:spacing w:after="160" w:line="360" w:lineRule="auto"/>
        <w:jc w:val="both"/>
      </w:pPr>
    </w:p>
    <w:p w14:paraId="61BF152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 Սահմանումները</w:t>
      </w:r>
    </w:p>
    <w:p w14:paraId="7A9BC6E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Սույն պահանջների նպատակներով օգտագործվում են հասկացություններ, որոնք ունեն հետեւյալ իմաստը՝</w:t>
      </w:r>
    </w:p>
    <w:p w14:paraId="452B1D5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14:paraId="2211186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14:paraId="04E0F4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14:paraId="4504C3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«սեզոնային պատվաստանյութ»՝ գրիպի վիրուսի համաճարակային շտամներով </w:t>
      </w:r>
      <w:r w:rsidRPr="00B96C43">
        <w:rPr>
          <w:rFonts w:ascii="Sylfaen" w:hAnsi="Sylfaen"/>
          <w:sz w:val="24"/>
          <w:szCs w:val="24"/>
        </w:rPr>
        <w:lastRenderedPageBreak/>
        <w:t>պայմանավորվող գրիպի կանխարգելման համար նախատեսված պատվաստանյութ, որը նախատեսված է բնակչության ամենամյա իմունացման համար.</w:t>
      </w:r>
    </w:p>
    <w:p w14:paraId="62BBE65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կիրառության 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բժշկական կիրառության դեղամիջոցների գրանցման եւ փորձաքննության կանոններով (այսուհետ՝ Կանոններ) նախատեսված՝ բժշկական կիրառության դեղամիջոցների գրանցման հետ կապված այլ ընթացակարգեր իրականացնելու համար լիազորված մարմին։</w:t>
      </w:r>
    </w:p>
    <w:p w14:paraId="5D7FC9C1" w14:textId="77777777" w:rsidR="00BD67EC" w:rsidRPr="00B96C43" w:rsidRDefault="00BD67EC" w:rsidP="00BD67EC">
      <w:pPr>
        <w:spacing w:after="160" w:line="360" w:lineRule="auto"/>
        <w:rPr>
          <w:rFonts w:ascii="Sylfaen" w:hAnsi="Sylfaen"/>
          <w:sz w:val="24"/>
          <w:szCs w:val="24"/>
        </w:rPr>
      </w:pPr>
    </w:p>
    <w:p w14:paraId="0A6BD585"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շտամային բաղադրության մեջ փոփոխությունների կատարմանը ներկայացվող՝ կարգավորող ու ընթացակարգային պահանջները</w:t>
      </w:r>
    </w:p>
    <w:p w14:paraId="65EB1213" w14:textId="77777777" w:rsidR="00BD67EC" w:rsidRPr="00B96C43" w:rsidRDefault="00BD67EC" w:rsidP="00BD67EC">
      <w:pPr>
        <w:spacing w:after="160" w:line="360" w:lineRule="auto"/>
        <w:jc w:val="center"/>
      </w:pPr>
    </w:p>
    <w:p w14:paraId="06215D0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Pr="00B96C43">
        <w:rPr>
          <w:rFonts w:ascii="Sylfaen" w:hAnsi="Sylfaen"/>
          <w:sz w:val="24"/>
          <w:szCs w:val="24"/>
        </w:rPr>
        <w:br/>
        <w:t>սեզոնային պատվաստանյութեր</w:t>
      </w:r>
    </w:p>
    <w:p w14:paraId="48FAFEF5" w14:textId="77777777" w:rsidR="00BD67EC" w:rsidRPr="00B96C43" w:rsidRDefault="00BD67EC" w:rsidP="00BD67EC">
      <w:pPr>
        <w:spacing w:after="160" w:line="360" w:lineRule="auto"/>
        <w:jc w:val="center"/>
      </w:pPr>
    </w:p>
    <w:p w14:paraId="6013CAED"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Pr="00B96C43">
        <w:rPr>
          <w:rFonts w:ascii="Sylfaen" w:hAnsi="Sylfaen"/>
          <w:sz w:val="24"/>
          <w:szCs w:val="24"/>
        </w:rPr>
        <w:br/>
        <w:t>գրանցման վերաբերյալ դիմումին ներկայացվող պահանջները</w:t>
      </w:r>
    </w:p>
    <w:p w14:paraId="7071EFD9" w14:textId="43F6FB9B"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նոր սեզոնային պատվաստանյութի գրանցման վերաբերյալ դիմումին կից պետք է ներկայացվի փաստաթղթերի լրակազմ փաթեթ՝ Կանոնների թիվ 1 հավելվածի համաձայն։</w:t>
      </w:r>
    </w:p>
    <w:p w14:paraId="5E0B5DB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1.2. Գրիպի կանխարգելման համար նախատեսված՝ </w:t>
      </w:r>
      <w:r w:rsidRPr="00B96C43">
        <w:rPr>
          <w:rFonts w:ascii="Sylfaen" w:hAnsi="Sylfaen"/>
          <w:sz w:val="24"/>
          <w:szCs w:val="24"/>
        </w:rPr>
        <w:br/>
        <w:t>սեզոնային պատվաստանյութերի շտամային բաղադրության փոփոխման վերաբերյալ դիմումին ներկայացվող պահանջները</w:t>
      </w:r>
    </w:p>
    <w:p w14:paraId="7517992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 սեզոնային պատվաստանյութի շտամային բաղադրության մեջ փոփոխություններ կատարելու վերաբերյալ դիմում՝ Առողջապահության համաշխարհային կազմակերպության (ԱՀԿ)՝ գրիպի դեմ պատվաստման վերաբերյալ ամենամյա ուղեցույցների հրապարակմանը հաջորդող այդ դիմումների ընդունումն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14:paraId="255CA08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Բ.I.ա.5 II տեսակի փոփոխության ընթացակարգով (Կանոնների թիվ 19 հավելվածին համապատասխան)։ </w:t>
      </w:r>
    </w:p>
    <w:p w14:paraId="6D8635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2.3-րդ եւ 3.3-րդ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14:paraId="50B4CD08" w14:textId="77777777" w:rsidR="00BD67EC" w:rsidRPr="00B96C43" w:rsidRDefault="00BD67EC" w:rsidP="00BD67EC">
      <w:pPr>
        <w:spacing w:after="160" w:line="360" w:lineRule="auto"/>
        <w:ind w:firstLine="567"/>
        <w:rPr>
          <w:rFonts w:ascii="Sylfaen" w:hAnsi="Sylfaen"/>
          <w:sz w:val="24"/>
          <w:szCs w:val="24"/>
        </w:rPr>
      </w:pPr>
    </w:p>
    <w:p w14:paraId="432A998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փոփոխության կատարում՝ բացառությամբ շտամային բաղադրության փոփոխմամբ պայմանավորված փոփոխությունների։ Փոփոխությունները, որոնք պայմանավորված չեն նոր շտամների առաջացմամբ, կատարվում են Կանոնների թիվ 19 հավելվածի II ու III բաժիններին եւ թիվ 20 հավելվածին համապատասխան։</w:t>
      </w:r>
    </w:p>
    <w:p w14:paraId="54509F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Նախքան պատվաստանյութի շտամային բաղադրության փոփոխման վերաբերյալ դիմում ներկայացնելը՝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ժամկետներից հնարավոր շեղումների դեպքում։</w:t>
      </w:r>
    </w:p>
    <w:p w14:paraId="3413C5FA" w14:textId="77777777" w:rsidR="00BD67EC" w:rsidRPr="00B96C43" w:rsidRDefault="00BD67EC" w:rsidP="00BD67EC">
      <w:pPr>
        <w:spacing w:after="160" w:line="360" w:lineRule="auto"/>
        <w:rPr>
          <w:rFonts w:ascii="Sylfaen" w:hAnsi="Sylfaen"/>
          <w:sz w:val="24"/>
          <w:szCs w:val="24"/>
        </w:rPr>
      </w:pPr>
    </w:p>
    <w:p w14:paraId="759EC5D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14:paraId="6719720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ուղեցույցների հիման վրա շտամը (շտամները) փոխարինելու նպատակով։ ԱՀԿ-ի ուղեցույցներով չսահմանված գրիպի վիրուսների շտամների </w:t>
      </w:r>
      <w:r w:rsidRPr="00B96C43">
        <w:rPr>
          <w:rFonts w:ascii="Sylfaen" w:hAnsi="Sylfaen"/>
          <w:sz w:val="24"/>
          <w:szCs w:val="24"/>
        </w:rPr>
        <w:lastRenderedPageBreak/>
        <w:t>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պատվաստանյութերի գրանցման դոսյեում փոփոխություններ կատարելու վերաբերյալ որոշումներ՝ անդամ պետության լիազորված մարմնի կամ անդամ պետության գրիպի հարցերով հանձնաժողովի որոշման հիման վրա։</w:t>
      </w:r>
    </w:p>
    <w:p w14:paraId="56390A3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Տարին երկու անգամ (որպես կանոն՝ փետրվար-մարտ ամիսներին՝ Հյուսիսային կիսագնդի համար, եւ սեպտեմբերին՝ Հարավային կիսագնդի համար) ԱՀԿ-ն հրապարակում է ուղեցույցներ A եւ B գրիպի վիրուսի շտամների վերաբերյալ, որոնք պետք է օգտագործել առաջիկա համաճարակային սեզոնի համար նախատեսված՝ գրիպի կանխարգելման համար նախատեսված պատվաստանյութերի արտադրության մեջ։</w:t>
      </w:r>
    </w:p>
    <w:p w14:paraId="6549508B" w14:textId="77777777" w:rsidR="00BD67EC" w:rsidRPr="00B96C43" w:rsidRDefault="00BD67EC" w:rsidP="00BD67EC">
      <w:pPr>
        <w:spacing w:after="160" w:line="360" w:lineRule="auto"/>
        <w:jc w:val="center"/>
      </w:pPr>
    </w:p>
    <w:p w14:paraId="48A3D4A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 Ընթացակարգի նկարագրությունը</w:t>
      </w:r>
    </w:p>
    <w:p w14:paraId="50225460" w14:textId="77777777" w:rsidR="00BD67EC" w:rsidRPr="00B96C43" w:rsidRDefault="00BD67EC" w:rsidP="00BD67EC">
      <w:pPr>
        <w:spacing w:after="160" w:line="360" w:lineRule="auto"/>
        <w:jc w:val="center"/>
        <w:rPr>
          <w:rFonts w:ascii="Sylfaen" w:hAnsi="Sylfaen"/>
          <w:sz w:val="24"/>
          <w:szCs w:val="24"/>
        </w:rPr>
      </w:pPr>
    </w:p>
    <w:p w14:paraId="500BBFD0"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1.4.1. Ռեֆերենտ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6DCA7FB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w:t>
      </w:r>
      <w:r w:rsidRPr="00B96C43">
        <w:rPr>
          <w:rFonts w:ascii="Sylfaen" w:hAnsi="Sylfaen"/>
          <w:sz w:val="24"/>
          <w:szCs w:val="24"/>
        </w:rPr>
        <w:lastRenderedPageBreak/>
        <w:t>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դոսյեն)։</w:t>
      </w:r>
    </w:p>
    <w:p w14:paraId="0C9200DF" w14:textId="77777777" w:rsidR="00BD67EC" w:rsidRPr="00B96C43" w:rsidRDefault="00BD67EC" w:rsidP="00BD67EC">
      <w:pPr>
        <w:spacing w:after="160" w:line="360" w:lineRule="auto"/>
        <w:ind w:firstLine="567"/>
        <w:rPr>
          <w:rFonts w:ascii="Sylfaen" w:hAnsi="Sylfaen"/>
          <w:sz w:val="24"/>
          <w:szCs w:val="24"/>
        </w:rPr>
      </w:pPr>
    </w:p>
    <w:p w14:paraId="583834D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Դիմումի եւ գրիպի կանխարգելման համար նախատեսված պատվաստանյութերի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 Ընթացակարգի անցկացման ժամկետը չպետք է գերազանցի 40 օրացուցային օրը:</w:t>
      </w:r>
    </w:p>
    <w:p w14:paraId="7F4F0C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արդյունավետության եւ որակի գնահատման վերաբերյալ փորձագիտական հաշվետվություն (այսուհետ՝ գնահատման վերաբերյալ փորձագիտական հաշվետվություն)։</w:t>
      </w:r>
    </w:p>
    <w:p w14:paraId="16A1097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w:t>
      </w:r>
      <w:r w:rsidRPr="00B96C43">
        <w:rPr>
          <w:rFonts w:ascii="Sylfaen" w:hAnsi="Sylfaen"/>
          <w:sz w:val="24"/>
          <w:szCs w:val="24"/>
        </w:rPr>
        <w:lastRenderedPageBreak/>
        <w:t>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14:paraId="3AF3D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 աշխատանքային օրվա ընթացքում նրան ներկայացնի լրացուցիչ տվյալներ։ 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տվյալներն ստանալուց հետո ռեֆերենտ պետության լիազորված մարմինը (փորձագիտական կազմակերպությունը) վերսկսում է փորձաքննության ընթացակարգը։</w:t>
      </w:r>
    </w:p>
    <w:p w14:paraId="37C7119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 աշխատանքային օրը չգերազանցող ժամկետում անցկացնում է դիմումատուի կողմից ներկայացված լրացուցիչ տվյալների փորձաքննություն։</w:t>
      </w:r>
    </w:p>
    <w:p w14:paraId="6AFA46B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հաշվետվությունն ուղարկում է դիմումատուին։</w:t>
      </w:r>
    </w:p>
    <w:p w14:paraId="1E7890B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 գնահատման վերաբերյալ փորձագիտական հաշվետվության հիման վրա։</w:t>
      </w:r>
    </w:p>
    <w:p w14:paraId="1253631E" w14:textId="77777777" w:rsidR="00BD67EC" w:rsidRPr="00B96C43" w:rsidRDefault="00BD67EC" w:rsidP="00BD67EC">
      <w:pPr>
        <w:spacing w:after="160" w:line="360" w:lineRule="auto"/>
        <w:ind w:firstLine="567"/>
        <w:jc w:val="both"/>
      </w:pPr>
    </w:p>
    <w:p w14:paraId="240E2BB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1.4.2. Ճանաչման պետությունում գրիպի կանխարգելման համար նախատեսված պատվաստանյութի գրանցման դոսյեում փոփոխություններ կատարելու (սեզոնային շտամների բաղադրության թարմացում) կարգը</w:t>
      </w:r>
    </w:p>
    <w:p w14:paraId="4EAF35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 թղթային եւ (կամ) էլեկտրոնային կրիչի վրա եւ 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14:paraId="32A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ընթացակարգն սկսելու կամ նշված ընթացակարգի անցկացումը մերժելու մասին։</w:t>
      </w:r>
    </w:p>
    <w:p w14:paraId="1B24C0C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փոփոխությունների կատարման ընթացակարգն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w:t>
      </w:r>
      <w:r w:rsidRPr="00B96C43">
        <w:rPr>
          <w:rFonts w:ascii="Sylfaen" w:hAnsi="Sylfaen"/>
          <w:sz w:val="24"/>
          <w:szCs w:val="24"/>
        </w:rPr>
        <w:lastRenderedPageBreak/>
        <w:t>ապահովում է գրիպի կանխարգելման համար նախատեսված պատվաստանյութերի գրանցման դոսյեում պարունակվող փաստաթղթերի հասանելիությունը։</w:t>
      </w:r>
    </w:p>
    <w:p w14:paraId="6C03CA8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պետության լիազորված մարմինը (փորձագիտական կազմակերպությունը), իր պետության օրենսդրությանը համապատասխան,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14:paraId="687CDCF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ընթացակարգն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14:paraId="1936577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հասանելիություն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նախագծի մասին իր դիտողությունները։</w:t>
      </w:r>
    </w:p>
    <w:p w14:paraId="54C702C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Ռեֆերենտ պետության լիազորված մարմինը (փորձագիտական կազմակերպությունը) գնահատման վերաբերյալ փորձագիտական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14:paraId="71C2076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 ունի դիմումատուից պահանջելու լրացուցիչ 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14:paraId="3BA39B7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 անցկացման ընդհանուր ժամկետում։</w:t>
      </w:r>
    </w:p>
    <w:p w14:paraId="0E9101E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ճանաչման պետությունների լիազորված մարմիններին </w:t>
      </w:r>
      <w:r w:rsidRPr="00B96C43">
        <w:rPr>
          <w:rFonts w:ascii="Sylfaen" w:hAnsi="Sylfaen"/>
          <w:sz w:val="24"/>
          <w:szCs w:val="24"/>
        </w:rPr>
        <w:lastRenderedPageBreak/>
        <w:t>(փորձագիտական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տվյալներն ստանալու օրվանից 2 աշխատանքային օրվա ընթացքում։</w:t>
      </w:r>
    </w:p>
    <w:p w14:paraId="6C0389B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14:paraId="5EC6CFD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ծանուցում է ընդունված որոշման մասին։</w:t>
      </w:r>
    </w:p>
    <w:p w14:paraId="0C1FC13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Ռեֆերենտ պետության եւ ճանաչման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 ընդունելուց եւ համապատասխան ծանուցում </w:t>
      </w:r>
      <w:r w:rsidRPr="00B96C43">
        <w:rPr>
          <w:rFonts w:ascii="Sylfaen" w:hAnsi="Sylfaen"/>
          <w:sz w:val="24"/>
          <w:szCs w:val="24"/>
        </w:rPr>
        <w:lastRenderedPageBreak/>
        <w:t>ստանալուց հետո դիմումատուն ծանուցումն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14:paraId="39446CF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w:t>
      </w:r>
    </w:p>
    <w:p w14:paraId="11142D1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անցկացումն սկսելու օրվանից 40 օրացուցային օրը չգերազանցող </w:t>
      </w:r>
      <w:r w:rsidRPr="00B96C43">
        <w:rPr>
          <w:rFonts w:ascii="Sylfaen" w:hAnsi="Sylfaen"/>
          <w:sz w:val="24"/>
          <w:szCs w:val="24"/>
        </w:rPr>
        <w:lastRenderedPageBreak/>
        <w:t>ժամկետում կամ գրիպի կանխարգելման համար նախատեսված պատվաստանյութերի գրանցման դոսյեի փորձաքննությունն ավարտելու համար անհրաժեշտ լրացուցիչ տվյալները ներկայացնելու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կատարելու համար անհրաժեշտ փաստաթղթերը դիմումատուի կողմից ներկայացվելու պայմանով)։</w:t>
      </w:r>
    </w:p>
    <w:p w14:paraId="4E12DFD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կատարելու մասին տեղեկությունները եւ գրիպի կանխարգելման համար նախատեսված պատվաստանյութերի գրանցման դոսյեի թարմացված փաստաթղթերը տեղադրում են գրանցված դեղամիջոցների միասնական ռեեստրում։</w:t>
      </w:r>
    </w:p>
    <w:p w14:paraId="4522FB9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Գնահատման վերաբերյալ բացասական եզրակացությամբ փորձագիտական հաշվետվություն 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եղանակով ծանուցում է դիմումատուին։</w:t>
      </w:r>
    </w:p>
    <w:p w14:paraId="6A1A0B85" w14:textId="77777777" w:rsidR="00BD67EC" w:rsidRPr="00B96C43" w:rsidRDefault="00BD67EC" w:rsidP="00BD67EC">
      <w:pPr>
        <w:spacing w:after="160" w:line="360" w:lineRule="auto"/>
        <w:jc w:val="center"/>
        <w:rPr>
          <w:rFonts w:ascii="Sylfaen" w:hAnsi="Sylfaen"/>
          <w:sz w:val="24"/>
          <w:szCs w:val="24"/>
        </w:rPr>
      </w:pPr>
    </w:p>
    <w:p w14:paraId="0438D45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14:paraId="13370472" w14:textId="77777777" w:rsidR="00BD67EC" w:rsidRPr="00B96C43" w:rsidRDefault="00BD67EC" w:rsidP="00BD67EC">
      <w:pPr>
        <w:spacing w:after="160" w:line="360" w:lineRule="auto"/>
        <w:jc w:val="center"/>
      </w:pPr>
    </w:p>
    <w:p w14:paraId="40B2400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2.1. Գրիպի կանխարգելման համար նախատեսված նախահամավարակային (զոոնոզ) պատվաստանյութի գրանցման վերաբերյալ </w:t>
      </w:r>
      <w:r w:rsidRPr="00B96C43">
        <w:rPr>
          <w:rFonts w:ascii="Sylfaen" w:hAnsi="Sylfaen"/>
          <w:sz w:val="24"/>
          <w:szCs w:val="24"/>
        </w:rPr>
        <w:br/>
        <w:t>դիմումին ներկայացվող պահանջները</w:t>
      </w:r>
    </w:p>
    <w:p w14:paraId="114F831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12.2-րդ ենթաբաժնին համապատասխան։</w:t>
      </w:r>
    </w:p>
    <w:p w14:paraId="32640F4C" w14:textId="77777777" w:rsidR="00BD67EC" w:rsidRPr="00B96C43" w:rsidRDefault="00BD67EC" w:rsidP="00BD67EC">
      <w:pPr>
        <w:spacing w:after="160" w:line="360" w:lineRule="auto"/>
        <w:jc w:val="center"/>
        <w:rPr>
          <w:rFonts w:ascii="Sylfaen" w:hAnsi="Sylfaen"/>
          <w:sz w:val="24"/>
          <w:szCs w:val="24"/>
        </w:rPr>
      </w:pPr>
    </w:p>
    <w:p w14:paraId="43ABB492"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շտամային բաղադրության մեջ փոփոխություններ կատարելու վերաբերյալ դիմումին ներկայացվող պահանջները</w:t>
      </w:r>
    </w:p>
    <w:p w14:paraId="2D3B16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շտամային բաղադրության մեջ փոփոխություններ կատարելու վերաբերյալ դիմումը ներկայացվում է գրանցման դոսյեում կատարված փոփոխության տեսքով։ Նշված փոփոխությունը դասակարգվում է որպես II տեսակ՝ Կանոնների թիվ 19 հավելվածի Բ.I.ա.5-րդ ենթաբաժնին համապատասխան։</w:t>
      </w:r>
    </w:p>
    <w:p w14:paraId="4ED4BE27" w14:textId="77777777" w:rsidR="00BD67EC" w:rsidRPr="00B96C43" w:rsidRDefault="00BD67EC" w:rsidP="00BD67EC">
      <w:pPr>
        <w:spacing w:after="160" w:line="360" w:lineRule="auto"/>
        <w:jc w:val="center"/>
      </w:pPr>
    </w:p>
    <w:p w14:paraId="528FC0FF"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14:paraId="6FEBE6E0" w14:textId="77777777" w:rsidR="00BD67EC" w:rsidRPr="00B96C43" w:rsidRDefault="00BD67EC" w:rsidP="00BD67EC">
      <w:pPr>
        <w:spacing w:after="160" w:line="360" w:lineRule="auto"/>
        <w:jc w:val="center"/>
      </w:pPr>
    </w:p>
    <w:p w14:paraId="4805235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3.1. Համավարակի պատրաստվածության պատվաստանյութի գրանցման վերաբերյալ դիմումին ներկայացվող պահանջները</w:t>
      </w:r>
    </w:p>
    <w:p w14:paraId="0828FC0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w:t>
      </w:r>
      <w:r w:rsidRPr="00B96C43">
        <w:rPr>
          <w:rFonts w:ascii="Sylfaen" w:hAnsi="Sylfaen"/>
          <w:sz w:val="24"/>
          <w:szCs w:val="24"/>
        </w:rPr>
        <w:lastRenderedPageBreak/>
        <w:t>պարունակող թեկնածուական համավարակային պատվաստանյութի (համավարակի պատրաստվածության պատվաստանյութի) գրանցման վերաբերյալ դիմում։</w:t>
      </w:r>
    </w:p>
    <w:p w14:paraId="275A2A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Տվյալ տեսակի պատվաստանյութի ստեղծումը ենթադրում է մակետային պատվաստանյութի հայեցակարգի (mock-up) օգտագործում։ Համավարակի պատրաստվածության գրանցվող նոր պատվաստանյութը եւ մակետային պատվաստանյութը, տվյալ հայեցակարգի համաձայն, կունենան հետեւյալ միեւնույն բնութագրերը՝</w:t>
      </w:r>
    </w:p>
    <w:p w14:paraId="491C8D8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14:paraId="676E03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պատրաստման տեխնոլոգիան.</w:t>
      </w:r>
    </w:p>
    <w:p w14:paraId="027CC9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p>
    <w:p w14:paraId="08532855" w14:textId="77777777" w:rsidR="00BD67EC" w:rsidRPr="00B96C43" w:rsidRDefault="00BD67EC" w:rsidP="00BD67EC">
      <w:pPr>
        <w:spacing w:after="160" w:line="360" w:lineRule="auto"/>
        <w:ind w:firstLine="567"/>
        <w:rPr>
          <w:rFonts w:ascii="Sylfaen" w:hAnsi="Sylfaen"/>
          <w:sz w:val="24"/>
          <w:szCs w:val="24"/>
        </w:rPr>
      </w:pPr>
    </w:p>
    <w:p w14:paraId="793EF6D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պատվաստանյութի մասնագրման ցուցանիշներն ու որակի հսկողության մեթոդները։</w:t>
      </w:r>
    </w:p>
    <w:p w14:paraId="7F91264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4.1.3-րդ կետին համապատասխան՝ համավարակի պատրաստվածության պատվաստանյութում համավարակային շտամի ներառման (համավարակային շտամի թարմացում) նպատակով։</w:t>
      </w:r>
    </w:p>
    <w:p w14:paraId="7E7791DE" w14:textId="77777777" w:rsidR="00BD67EC" w:rsidRPr="00B96C43" w:rsidRDefault="00BD67EC" w:rsidP="00BD67EC">
      <w:pPr>
        <w:spacing w:after="160" w:line="360" w:lineRule="auto"/>
        <w:ind w:firstLine="567"/>
        <w:jc w:val="both"/>
      </w:pPr>
    </w:p>
    <w:p w14:paraId="4C23E483"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lastRenderedPageBreak/>
        <w:t xml:space="preserve">3.2. Համավարակային իրավիճակի զարգացման վտանգի դեպքում համավարակի պատրաստվածության պատվաստանյութի գրանցման դոսյեին </w:t>
      </w:r>
      <w:r w:rsidRPr="00B96C43">
        <w:rPr>
          <w:rFonts w:ascii="Sylfaen" w:hAnsi="Sylfaen"/>
          <w:sz w:val="24"/>
          <w:szCs w:val="24"/>
        </w:rPr>
        <w:br/>
        <w:t>ներկայացվող պահանջները</w:t>
      </w:r>
    </w:p>
    <w:p w14:paraId="180260F7" w14:textId="2BB69906"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պատրաստվածության պատվաստանյութի պայմաններով գրանցման) նպատակով՝ պայմանով, որ համավարակային իրավիճակի զարգացման վտանգի դեպքում եւ ԱՀԿ-ի կողմից համավարակ </w:t>
      </w:r>
      <w:r w:rsidR="00FB4A19">
        <w:rPr>
          <w:rFonts w:ascii="Sylfaen" w:hAnsi="Sylfaen"/>
          <w:sz w:val="24"/>
          <w:szCs w:val="24"/>
        </w:rPr>
        <w:t>հայտարարվելուց</w:t>
      </w:r>
      <w:r w:rsidRPr="00B96C43">
        <w:rPr>
          <w:rFonts w:ascii="Sylfaen" w:hAnsi="Sylfaen"/>
          <w:sz w:val="24"/>
          <w:szCs w:val="24"/>
        </w:rPr>
        <w:t xml:space="preserve"> հետո դիմումատուն երաշխավորում է կլինիկական հետազոտությունների արդյունքները ներկայացնել ռեֆերենտ պետության լիազորված մարմին (փորձագիտական կազմակերպություն) եւ, Կանոնների VII բաժնին համապատասխան, կատարել պահանջները։ ԱՀԿ-ի կողմից համավարակի վտանգ </w:t>
      </w:r>
      <w:r w:rsidR="00FB4A19">
        <w:rPr>
          <w:rFonts w:ascii="Sylfaen" w:hAnsi="Sylfaen"/>
          <w:sz w:val="24"/>
          <w:szCs w:val="24"/>
        </w:rPr>
        <w:t>հայտատարվելուց</w:t>
      </w:r>
      <w:r w:rsidRPr="00B96C43">
        <w:rPr>
          <w:rFonts w:ascii="Sylfaen" w:hAnsi="Sylfaen"/>
          <w:sz w:val="24"/>
          <w:szCs w:val="24"/>
        </w:rPr>
        <w:t xml:space="preserve"> հետո դիմումատուն պետք է անդամ պետությունների լիազորված մարմինների հետ հնարավորինս կարճ ժամկետներում նախաձեռնի խորհրդակցություններ։</w:t>
      </w:r>
    </w:p>
    <w:p w14:paraId="2E4EA25F" w14:textId="77777777" w:rsidR="00BD67EC" w:rsidRPr="00B96C43" w:rsidRDefault="00BD67EC" w:rsidP="00BD67EC">
      <w:pPr>
        <w:spacing w:after="160" w:line="360" w:lineRule="auto"/>
        <w:jc w:val="both"/>
      </w:pPr>
    </w:p>
    <w:p w14:paraId="19B7EAA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շտամի փոփոխում) վերաբերյալ դիմումին ներկայացվող պահանջները</w:t>
      </w:r>
    </w:p>
    <w:p w14:paraId="3FB20832" w14:textId="0ACE3F52"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Համավարակը պաշտոնապես ճանաչվելուց (սահմանված կարգով 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w:t>
      </w:r>
      <w:r w:rsidRPr="00B96C43">
        <w:rPr>
          <w:rFonts w:ascii="Sylfaen" w:hAnsi="Sylfaen"/>
          <w:sz w:val="24"/>
          <w:szCs w:val="24"/>
        </w:rPr>
        <w:lastRenderedPageBreak/>
        <w:t xml:space="preserve">պետությունների համապատասխան լիազորված մարմինների կողմից՝ գրիպի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w:t>
      </w:r>
      <w:r w:rsidR="00FB4A19">
        <w:rPr>
          <w:rFonts w:ascii="Sylfaen" w:hAnsi="Sylfaen"/>
          <w:sz w:val="24"/>
          <w:szCs w:val="24"/>
        </w:rPr>
        <w:t>հայտատարված</w:t>
      </w:r>
      <w:r w:rsidRPr="00B96C43">
        <w:rPr>
          <w:rFonts w:ascii="Sylfaen" w:hAnsi="Sylfaen"/>
          <w:sz w:val="24"/>
          <w:szCs w:val="24"/>
        </w:rPr>
        <w:t xml:space="preserve"> համավարակային շտամը համավարակային պատվաստանյութում ներառելու (համավարակային շտամի թարմացում) նպատակով։</w:t>
      </w:r>
    </w:p>
    <w:p w14:paraId="2BF145D9" w14:textId="60F49DDF" w:rsidR="00BD67EC" w:rsidRPr="00B96C43" w:rsidRDefault="00FB4A19" w:rsidP="00BD67EC">
      <w:pPr>
        <w:spacing w:after="160" w:line="360" w:lineRule="auto"/>
        <w:ind w:firstLine="567"/>
        <w:rPr>
          <w:rFonts w:ascii="Sylfaen" w:hAnsi="Sylfaen"/>
          <w:sz w:val="24"/>
          <w:szCs w:val="24"/>
        </w:rPr>
      </w:pPr>
      <w:r>
        <w:rPr>
          <w:rFonts w:ascii="Sylfaen" w:hAnsi="Sylfaen"/>
          <w:sz w:val="24"/>
          <w:szCs w:val="24"/>
        </w:rPr>
        <w:t>Հայտատարված</w:t>
      </w:r>
      <w:r w:rsidR="00BD67EC" w:rsidRPr="00B96C43">
        <w:rPr>
          <w:rFonts w:ascii="Sylfaen" w:hAnsi="Sylfaen"/>
          <w:sz w:val="24"/>
          <w:szCs w:val="24"/>
        </w:rPr>
        <w:t xml:space="preserve">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14:paraId="62116DF2" w14:textId="77777777" w:rsidR="00BD67EC" w:rsidRPr="00B96C43" w:rsidRDefault="00BD67EC" w:rsidP="00BD67EC">
      <w:pPr>
        <w:spacing w:after="160" w:line="360" w:lineRule="auto"/>
        <w:jc w:val="center"/>
      </w:pPr>
    </w:p>
    <w:p w14:paraId="51B3CE21"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 Պատվաստանյութերի գրանցումը համավարակի ժամանակ</w:t>
      </w:r>
    </w:p>
    <w:p w14:paraId="79F7B36F" w14:textId="77777777" w:rsidR="00BD67EC" w:rsidRPr="00B96C43" w:rsidRDefault="00BD67EC" w:rsidP="00BD67EC">
      <w:pPr>
        <w:spacing w:after="160" w:line="360" w:lineRule="auto"/>
        <w:jc w:val="center"/>
      </w:pPr>
    </w:p>
    <w:p w14:paraId="2EAB954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4.1. Արտակարգ ընթացակարգ</w:t>
      </w:r>
    </w:p>
    <w:p w14:paraId="078B54B6" w14:textId="44C4E0B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ԱՀԿ-ի կողմից համավարակային իրավիճակ </w:t>
      </w:r>
      <w:r w:rsidR="00FB4A19">
        <w:rPr>
          <w:rFonts w:ascii="Sylfaen" w:hAnsi="Sylfaen"/>
          <w:sz w:val="24"/>
          <w:szCs w:val="24"/>
        </w:rPr>
        <w:t>հայտատարվելուց</w:t>
      </w:r>
      <w:r w:rsidRPr="00B96C43">
        <w:rPr>
          <w:rFonts w:ascii="Sylfaen" w:hAnsi="Sylfaen"/>
          <w:sz w:val="24"/>
          <w:szCs w:val="24"/>
        </w:rPr>
        <w:t xml:space="preserve"> կամ անդամ պետությունների համապատասխան լիազորված մարմինների կողմից վիրուսի համավարակային տեսակով պայմանավորված համաճարակ </w:t>
      </w:r>
      <w:r w:rsidR="00FB4A19">
        <w:rPr>
          <w:rFonts w:ascii="Sylfaen" w:hAnsi="Sylfaen"/>
          <w:sz w:val="24"/>
          <w:szCs w:val="24"/>
        </w:rPr>
        <w:t>հայտատարվելուց</w:t>
      </w:r>
      <w:r w:rsidRPr="00B96C43">
        <w:rPr>
          <w:rFonts w:ascii="Sylfaen" w:hAnsi="Sylfaen"/>
          <w:sz w:val="24"/>
          <w:szCs w:val="24"/>
        </w:rPr>
        <w:t xml:space="preserve"> հետո նոր համավարակային պատվաստանյութի գրանցումն իրականացվում է արտակարգ կարգով։</w:t>
      </w:r>
    </w:p>
    <w:p w14:paraId="073D8444" w14:textId="469FCD41"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w:t>
      </w:r>
      <w:r w:rsidRPr="00B96C43">
        <w:rPr>
          <w:rFonts w:ascii="Sylfaen" w:hAnsi="Sylfaen"/>
          <w:sz w:val="24"/>
          <w:szCs w:val="24"/>
        </w:rPr>
        <w:lastRenderedPageBreak/>
        <w:t xml:space="preserve">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w:t>
      </w:r>
      <w:r w:rsidR="00FB4A19">
        <w:rPr>
          <w:rFonts w:ascii="Sylfaen" w:hAnsi="Sylfaen"/>
          <w:sz w:val="24"/>
          <w:szCs w:val="24"/>
        </w:rPr>
        <w:t>հայտատարվելուց</w:t>
      </w:r>
      <w:r w:rsidRPr="00B96C43">
        <w:rPr>
          <w:rFonts w:ascii="Sylfaen" w:hAnsi="Sylfaen"/>
          <w:sz w:val="24"/>
          <w:szCs w:val="24"/>
        </w:rPr>
        <w:t xml:space="preserve">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հետգրանցումային միջոցների սահմանմամբ պատվաստանյութերի գրանցմանը (պայմաններով գրանցմանը) 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անդամ պետությունների լիազորված մարմինների հետ հնարավորինս կարճ ժամկետներում նախաձեռնի խորհրդակցություններ։</w:t>
      </w:r>
    </w:p>
    <w:p w14:paraId="5E07D661" w14:textId="77777777" w:rsidR="00BD67EC" w:rsidRPr="00B96C43" w:rsidRDefault="00BD67EC" w:rsidP="00BD67EC">
      <w:pPr>
        <w:spacing w:after="160" w:line="360" w:lineRule="auto"/>
        <w:ind w:firstLine="567"/>
        <w:jc w:val="both"/>
      </w:pPr>
    </w:p>
    <w:p w14:paraId="6DB8317C"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14:paraId="4E4F519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իրավիճակով պայմանավորված 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շտամային բաղադրությունը՝ Կանոնների թիվ 19 հավելվածի 4.1.3-րդ կետին </w:t>
      </w:r>
      <w:r w:rsidRPr="00B96C43">
        <w:rPr>
          <w:rFonts w:ascii="Sylfaen" w:hAnsi="Sylfaen"/>
          <w:sz w:val="24"/>
          <w:szCs w:val="24"/>
        </w:rPr>
        <w:lastRenderedPageBreak/>
        <w:t>համապատասխան՝ պայմանով, որ այդ փոփոխությունների կատարումը կապահովի գրիպի կանխարգելման համար նախատեսված պատվաստանյութի որակի, անվտանգության ու արդյունավետության պահպանումը եւ գիտական տեսանկյունից իրագործելի է։</w:t>
      </w:r>
    </w:p>
    <w:p w14:paraId="53FADF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հնարավորինս կարճ ժամկետներում նախաձեռնի 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14:paraId="5A64FD44" w14:textId="751F2F5D" w:rsidR="00BD67EC" w:rsidRPr="00B96C43" w:rsidRDefault="00BD67EC" w:rsidP="00BD67EC">
      <w:pPr>
        <w:rPr>
          <w:rFonts w:eastAsia="Times New Roman" w:cs="Times New Roman"/>
        </w:rPr>
      </w:pPr>
    </w:p>
    <w:p w14:paraId="6F5503B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 Գրիպի կանխարգելման համար նախատեսված սեզոնային պատվաստանյութերի շտամային բաղադրության փոփոխման ընթացակարգը</w:t>
      </w:r>
    </w:p>
    <w:p w14:paraId="2B7CD13C" w14:textId="77777777" w:rsidR="00BD67EC" w:rsidRPr="00B96C43" w:rsidRDefault="00BD67EC" w:rsidP="00BD67EC">
      <w:pPr>
        <w:spacing w:after="160" w:line="360" w:lineRule="auto"/>
        <w:jc w:val="center"/>
      </w:pPr>
    </w:p>
    <w:p w14:paraId="6E73BC8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շտամային բաղադրության փոփոխման ընթացակարգին ներկայացվող ընդհանուր պահանջները</w:t>
      </w:r>
    </w:p>
    <w:p w14:paraId="691500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14:paraId="65CE9B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Թույլատրվում է ներկայացնել գրիպի կանխարգելման համար նախատեսված սեզոնային պատվաստանյութի գրանցման դոսյե, որը ներառում է ԸՏՓ-ի միայն այն </w:t>
      </w:r>
      <w:r w:rsidRPr="00B96C43">
        <w:rPr>
          <w:rFonts w:ascii="Sylfaen" w:hAnsi="Sylfaen"/>
          <w:sz w:val="24"/>
          <w:szCs w:val="24"/>
        </w:rPr>
        <w:lastRenderedPageBreak/>
        <w:t>բաժինները, որոնք համապատասխանում են կատարվող փոփոխություններին եւ որոնց բնույթը որոշված է շտամային բաղադրության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14:paraId="282F1A6B" w14:textId="7EB020B9" w:rsidR="00BD67EC" w:rsidRPr="00852B2A" w:rsidRDefault="00BD67EC" w:rsidP="00852B2A">
      <w:pPr>
        <w:spacing w:after="160" w:line="360" w:lineRule="auto"/>
        <w:ind w:firstLine="567"/>
        <w:rPr>
          <w:rFonts w:ascii="Sylfaen" w:hAnsi="Sylfaen"/>
          <w:sz w:val="24"/>
          <w:szCs w:val="24"/>
        </w:rPr>
      </w:pPr>
      <w:r w:rsidRPr="00B96C43">
        <w:rPr>
          <w:rFonts w:ascii="Sylfaen" w:hAnsi="Sylfaen"/>
          <w:sz w:val="24"/>
          <w:szCs w:val="24"/>
        </w:rPr>
        <w:t>Սույն պահանջների 5.2-5.5-րդ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14:paraId="32154A39"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շտամային բաղադրության մեջ փոփոխություններ կատարելիս</w:t>
      </w:r>
    </w:p>
    <w:p w14:paraId="75CD2DE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շտամային բաղադրության մեջ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 թվում՝ անհրաժեշտ 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 նախքան դիմումատուի կողմից դիմումը ռեֆերենտ պետության լիազորված մարմին (փորձագիտական կազմակերպություն) ներկայացնելը։</w:t>
      </w:r>
    </w:p>
    <w:p w14:paraId="5B66851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70C36D9"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 xml:space="preserve">Ուղեկցող նամակը (ինչպես ԸՏՓ ձեւաչափով փաստաթղթերը </w:t>
      </w:r>
      <w:r w:rsidRPr="00B96C43">
        <w:rPr>
          <w:rFonts w:ascii="Sylfaen" w:hAnsi="Sylfaen"/>
          <w:sz w:val="24"/>
          <w:szCs w:val="24"/>
        </w:rPr>
        <w:lastRenderedPageBreak/>
        <w:t>էլեկտրոնային եղանակով ներկայացնելիս (այսուհետ՝ էԸՏՓ))</w:t>
      </w:r>
    </w:p>
    <w:p w14:paraId="7AA0C97E"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055EDC7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233D68AD"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Փոփոխություններ կատարելու վերաբերյալ դիմումը</w:t>
      </w:r>
    </w:p>
    <w:p w14:paraId="05E5705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14:paraId="4E139BFC" w14:textId="77777777" w:rsidR="00BD67EC" w:rsidRPr="00B96C43" w:rsidRDefault="00BD67EC" w:rsidP="00BD67EC">
      <w:pPr>
        <w:tabs>
          <w:tab w:val="left" w:pos="1276"/>
        </w:tabs>
        <w:spacing w:after="160" w:line="360" w:lineRule="auto"/>
        <w:ind w:firstLine="567"/>
        <w:rPr>
          <w:rFonts w:ascii="Sylfaen" w:hAnsi="Sylfaen"/>
          <w:sz w:val="24"/>
          <w:szCs w:val="24"/>
        </w:rPr>
      </w:pPr>
    </w:p>
    <w:p w14:paraId="6153FF57"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եւ մակնշումը</w:t>
      </w:r>
    </w:p>
    <w:p w14:paraId="6E77A2E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 xml:space="preserve">Դեղապատրաստուկի ընդհանուր բնութագրի, բժշկական կիրառության հրահանգի (ներդիր-թերթիկի) եւ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կիրառության հրահանգին եւ բժշկական կիրառության դեղապատրաստուկների ընդհանուր բնութագրին ներկայացվող պահանջներին (այսուհետ՝ դեղապատրաստուկների բժշկական կիրառության հրահանգին ներկայացվող պահանջներ) համապատասխան </w:t>
      </w:r>
    </w:p>
    <w:p w14:paraId="7EB1E3F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98274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6CCEB8B1"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w:t>
      </w:r>
    </w:p>
    <w:p w14:paraId="519053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28E57F7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2.1.</w:t>
      </w:r>
      <w:r w:rsidRPr="00B96C43">
        <w:rPr>
          <w:rFonts w:ascii="Sylfaen" w:hAnsi="Sylfaen"/>
          <w:sz w:val="24"/>
          <w:szCs w:val="24"/>
        </w:rPr>
        <w:tab/>
        <w:t>2 - 5-րդ մոդուլների բովանդակությունը</w:t>
      </w:r>
    </w:p>
    <w:p w14:paraId="0756C2C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2 - 5-րդ մոդուլների բովանդակությունը (չի պահանջվում էԸՏՓ ձեւաչափով փաստաթղթերը ներկայացնելու դեպքում)։</w:t>
      </w:r>
    </w:p>
    <w:p w14:paraId="267A4280"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B5600E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6D6DF7BB"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EC5C24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73BA4B9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3. Որակ</w:t>
      </w:r>
    </w:p>
    <w:p w14:paraId="4CF2FC7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w:t>
      </w:r>
      <w:r w:rsidRPr="00B96C43">
        <w:rPr>
          <w:rFonts w:ascii="Sylfaen" w:hAnsi="Sylfaen"/>
          <w:sz w:val="24"/>
          <w:szCs w:val="24"/>
        </w:rPr>
        <w:tab/>
        <w:t>Ակտիվ դեղագործական բաղադրամաս (այսուհետ՝ ԱԴԲ)</w:t>
      </w:r>
    </w:p>
    <w:p w14:paraId="20CBE04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8670FF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34DBE48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Պետք է ներառի՝</w:t>
      </w:r>
    </w:p>
    <w:p w14:paraId="72DABD3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սերմնանյութը՝ ստացման պատմությունը, կարգը (ստացման աղբյուրը, ամսաթիվը, պայմանները), շտամի անձնագիրը.</w:t>
      </w:r>
    </w:p>
    <w:p w14:paraId="4C99232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պասաժի պատմությունը (պասաժների քանակը, պասաժի պայմանները, կուլտիվացման սուբստրատը).</w:t>
      </w:r>
    </w:p>
    <w:p w14:paraId="29E71A2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հեմագլյուտինինի եւ նեյրամինիդազայի բնութագրերը որոշելը (շճաբանական հետազոտությունների եւ (կամ) հետազոտության մոլեկուլային գենետիկական մեթոդների տվյալները).</w:t>
      </w:r>
    </w:p>
    <w:p w14:paraId="21E291A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փորձարկումների արձանագրությունները (ներառյալ սերմնանյութի փորձարկումների արդյունքները)։</w:t>
      </w:r>
    </w:p>
    <w:p w14:paraId="0BFB4EF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431177FB"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lastRenderedPageBreak/>
        <w:t>3.2.S.2.5.</w:t>
      </w:r>
      <w:r w:rsidRPr="00B96C43">
        <w:rPr>
          <w:rFonts w:ascii="Sylfaen" w:hAnsi="Sylfaen"/>
          <w:sz w:val="24"/>
          <w:szCs w:val="24"/>
        </w:rPr>
        <w:tab/>
        <w:t>Արտադրական գործընթացի վալիդացումը եւ (կամ) դրա գնահատումը</w:t>
      </w:r>
    </w:p>
    <w:p w14:paraId="1034A3A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(մոնոպատվաստանյութի կիսաֆաբրիկատների) համար արտադրական գործընթացի վալիդացումը պետք է նախատեսի՝</w:t>
      </w:r>
    </w:p>
    <w:p w14:paraId="4E767AA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14:paraId="324D56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14:paraId="5BFF3EC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14:paraId="6A1888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վիրուսի տրոհման արդյունավետությունը (եթե կիրառելի է)։</w:t>
      </w:r>
    </w:p>
    <w:p w14:paraId="4A42FE8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3.2.S.3.</w:t>
      </w:r>
      <w:r w:rsidRPr="00B96C43">
        <w:rPr>
          <w:rFonts w:ascii="Sylfaen" w:hAnsi="Sylfaen"/>
          <w:sz w:val="24"/>
          <w:szCs w:val="24"/>
        </w:rPr>
        <w:tab/>
        <w:t>ԱԴԲ-ի բնութագրերի նկարագրությունը</w:t>
      </w:r>
    </w:p>
    <w:p w14:paraId="072B2D2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14:paraId="1E70F0A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(մոնոպատվաստանյութերի) որակի հսկողությունը</w:t>
      </w:r>
    </w:p>
    <w:p w14:paraId="6DCD7103"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7D75765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1E49404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7B33631E"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3.2.S.4.3.</w:t>
      </w:r>
      <w:r w:rsidRPr="00B96C43">
        <w:rPr>
          <w:rFonts w:ascii="Sylfaen" w:hAnsi="Sylfaen"/>
          <w:sz w:val="24"/>
          <w:szCs w:val="24"/>
        </w:rPr>
        <w:tab/>
        <w:t>Վերլուծական մեթոդիկաների վալիդացումը</w:t>
      </w:r>
    </w:p>
    <w:p w14:paraId="7D6E5DB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համար միակի ռադիալ իմունոդիֆուզիայի մեթոդիկայի վալիդացումը՝ հաշվի առնելով համապատասխան ստանդարտ նմուշները։</w:t>
      </w:r>
    </w:p>
    <w:p w14:paraId="0E0F5F4D"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Սերիաների վերլուծությունները (սերիաների վերլուծության արդյունքները)</w:t>
      </w:r>
    </w:p>
    <w:p w14:paraId="7EC7CAA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պետք է ներառեն չկշռածրարված միավալենտ արտադրանքի առաջին երեք սերիաների փորձարկումների հետեւյալ արդյունքները (ներառյալ հեմագլյուտինինի եւ նեյրամինիդազայի իսկության ցուցանիշները)՝ պայմանով, որ, այդ արտադրանքն ստացվել է՝</w:t>
      </w:r>
    </w:p>
    <w:p w14:paraId="51B5BBD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նոր գլխավոր սերմնանյութի աշխատանքային սերմնանյութի յուրաքանչյուր սերիայից.</w:t>
      </w:r>
    </w:p>
    <w:p w14:paraId="43F4CF7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ներմուծվող շտամի (շտամների)՝ հավանության արժանացած գլխավոր սերմնանյութի աշխատանքային սերմնանյութի յուրաքանչյուր սերիայից (այն դեպքում, երբ աշխատանքային սերմնանյութի նախապատրաստման ընթացակարգը տարբերվում է աշխատանքային սերմնանյութի նախապատրաստման՝ նախկինում կանոնակարգված ընթացակարգից)։</w:t>
      </w:r>
    </w:p>
    <w:p w14:paraId="21C7312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71B5EF8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 միավալենտ արտադրանքի փորձարկումների արդյունքները, եթե դրանք օգտագործվում են 1 տարուց ավելի։</w:t>
      </w:r>
    </w:p>
    <w:p w14:paraId="6BB3BF2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69B90738"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7A56D74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14:paraId="708D496E"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7746F95E" w14:textId="77777777" w:rsidR="00BD67EC" w:rsidRPr="00B96C43" w:rsidRDefault="00BD67EC" w:rsidP="00BD67EC">
      <w:pPr>
        <w:tabs>
          <w:tab w:val="left" w:pos="1843"/>
        </w:tabs>
        <w:spacing w:after="160" w:line="360"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78D9877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 նշված </w:t>
      </w:r>
      <w:r w:rsidRPr="00B96C43">
        <w:rPr>
          <w:rFonts w:ascii="Sylfaen" w:hAnsi="Sylfaen"/>
          <w:sz w:val="24"/>
          <w:szCs w:val="24"/>
        </w:rPr>
        <w:lastRenderedPageBreak/>
        <w:t>հավաստագրի նախապատրաստմանը զուգընթաց։</w:t>
      </w:r>
    </w:p>
    <w:p w14:paraId="4C2E542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285FC62C"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D424392"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7227441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676B9FD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26DFB63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3.2.Р.5.З.</w:t>
      </w:r>
      <w:r w:rsidRPr="00B96C43">
        <w:rPr>
          <w:rFonts w:ascii="Sylfaen" w:hAnsi="Sylfaen"/>
          <w:sz w:val="24"/>
          <w:szCs w:val="24"/>
        </w:rPr>
        <w:tab/>
        <w:t>Վերլուծական մեթոդիկաների վալիդացումը</w:t>
      </w:r>
    </w:p>
    <w:p w14:paraId="6F5E8E9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Նոր շտամի (շտամների) համար միակի ռադիալ իմունոդիֆուզիայի մեթոդիկայի վալիդացումը (չկշռածրարված եռավալենտ արտադրանքի կամ դեղապատրաստուկի օգտագործմամբ)։</w:t>
      </w:r>
    </w:p>
    <w:p w14:paraId="1991D1B6"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0A27014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156878D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14:paraId="63F1134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27893828" w14:textId="45E4458E" w:rsidR="00BD67EC" w:rsidRPr="00B96C43" w:rsidRDefault="00BD67EC" w:rsidP="00852B2A">
      <w:pPr>
        <w:spacing w:after="160" w:line="360" w:lineRule="auto"/>
        <w:ind w:firstLine="567"/>
        <w:rPr>
          <w:rFonts w:ascii="Sylfaen" w:hAnsi="Sylfaen"/>
          <w:sz w:val="24"/>
          <w:szCs w:val="24"/>
        </w:rPr>
      </w:pPr>
      <w:r w:rsidRPr="00B96C43">
        <w:rPr>
          <w:rFonts w:ascii="Sylfaen" w:hAnsi="Sylfaen"/>
          <w:sz w:val="24"/>
          <w:szCs w:val="24"/>
        </w:rPr>
        <w:t xml:space="preserve">Եթե սերմնանյութը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սերմնանյութի լրացուցիչ ՊՇՌ փորձարկումների անցկացման անհրաժեշտությունը, ապա այդ տվյալներն անհրաժեշտ է ներառել գրիպի կանխարգելման համար նախատեսված </w:t>
      </w:r>
      <w:r w:rsidRPr="00B96C43">
        <w:rPr>
          <w:rFonts w:ascii="Sylfaen" w:hAnsi="Sylfaen"/>
          <w:sz w:val="24"/>
          <w:szCs w:val="24"/>
        </w:rPr>
        <w:lastRenderedPageBreak/>
        <w:t>պատվաստանյութերի գրանցման դոսյեում։</w:t>
      </w:r>
    </w:p>
    <w:p w14:paraId="563C1A6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5.3. Լրացուցիչ տվյալները ներկայացնելու պահանջները </w:t>
      </w:r>
      <w:r w:rsidRPr="00B96C43">
        <w:rPr>
          <w:rFonts w:ascii="Sylfaen" w:hAnsi="Sylfaen"/>
          <w:sz w:val="24"/>
          <w:szCs w:val="24"/>
        </w:rPr>
        <w:br/>
        <w:t>(անդամ պետության լիազորված մարմնի կողմից հարցում կատարելուց հետո)</w:t>
      </w:r>
    </w:p>
    <w:p w14:paraId="5ACE4413"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ձեւաչափով ներկայացնել փոփոխման համար։</w:t>
      </w:r>
    </w:p>
    <w:p w14:paraId="3616788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17199A0C"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4C37862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759C0444" w14:textId="614D253C" w:rsidR="00BD67EC" w:rsidRPr="00B96C43" w:rsidRDefault="00BD67EC" w:rsidP="00852B2A">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7D5C8BBA"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269557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7E0133B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2 - 5-րդ մոդուլների բովանդակությունը (չի պահանջվում էԸՏՓ ձեւաչափով ներկայացնելու դեպքում)</w:t>
      </w:r>
    </w:p>
    <w:p w14:paraId="0F29B9C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EC8565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14:paraId="76A6168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5CBB5D0F"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AEDF9D1"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369599F2"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Նախորդ ամփոփագրի թարմացումը կամ լրացումը (եթե կիրառելի է)։</w:t>
      </w:r>
    </w:p>
    <w:p w14:paraId="243FBCA5"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2.7.</w:t>
      </w:r>
      <w:r w:rsidRPr="00B96C43">
        <w:rPr>
          <w:rFonts w:ascii="Sylfaen" w:hAnsi="Sylfaen"/>
          <w:sz w:val="24"/>
          <w:szCs w:val="24"/>
        </w:rPr>
        <w:tab/>
        <w:t>Կլինիկական տվյալների ռեզյումեն</w:t>
      </w:r>
    </w:p>
    <w:p w14:paraId="3C34D6B7"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521DFCFA" w14:textId="2217BF7E"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Style w:val="FootnoteReference"/>
          <w:rFonts w:ascii="Sylfaen" w:hAnsi="Sylfaen"/>
          <w:sz w:val="24"/>
          <w:szCs w:val="24"/>
        </w:rPr>
        <w:footnoteReference w:id="44"/>
      </w:r>
      <w:r w:rsidRPr="00B96C43">
        <w:rPr>
          <w:rFonts w:ascii="Sylfaen" w:hAnsi="Sylfaen"/>
          <w:sz w:val="24"/>
          <w:szCs w:val="24"/>
        </w:rPr>
        <w:t xml:space="preserve"> եւ (կամ) կլինիկական</w:t>
      </w:r>
      <w:r w:rsidRPr="00B96C43">
        <w:rPr>
          <w:rStyle w:val="FootnoteReference"/>
          <w:rFonts w:ascii="Sylfaen" w:hAnsi="Sylfaen"/>
          <w:sz w:val="24"/>
          <w:szCs w:val="24"/>
        </w:rPr>
        <w:footnoteReference w:id="45"/>
      </w:r>
      <w:r w:rsidRPr="00B96C43">
        <w:rPr>
          <w:rFonts w:ascii="Sylfaen" w:hAnsi="Sylfaen"/>
          <w:sz w:val="24"/>
          <w:szCs w:val="24"/>
        </w:rPr>
        <w:t xml:space="preserve"> տվյալների հարցման դեպքում։</w:t>
      </w:r>
    </w:p>
    <w:p w14:paraId="73C87BBF" w14:textId="77777777" w:rsidR="00503B0F" w:rsidRPr="00E260DF" w:rsidRDefault="00503B0F" w:rsidP="00503B0F">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p w14:paraId="73AF8051" w14:textId="77777777" w:rsidR="00852B2A" w:rsidRPr="00E260DF" w:rsidRDefault="00852B2A" w:rsidP="00852B2A">
      <w:pPr>
        <w:spacing w:after="0"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Pr>
          <w:rFonts w:ascii="Sylfaen" w:hAnsi="Sylfaen"/>
          <w:sz w:val="20"/>
          <w:szCs w:val="20"/>
        </w:rPr>
        <w:t>նելու միջոցով։</w:t>
      </w:r>
    </w:p>
    <w:p w14:paraId="0419FB40" w14:textId="77777777" w:rsidR="00503B0F" w:rsidRPr="00B96C43" w:rsidRDefault="00503B0F" w:rsidP="00BD67EC">
      <w:pPr>
        <w:spacing w:after="160" w:line="360" w:lineRule="auto"/>
        <w:ind w:firstLine="567"/>
        <w:rPr>
          <w:rFonts w:ascii="Sylfaen" w:hAnsi="Sylfaen"/>
          <w:sz w:val="24"/>
          <w:szCs w:val="24"/>
        </w:rPr>
      </w:pPr>
    </w:p>
    <w:p w14:paraId="637EDC22" w14:textId="59776B29" w:rsidR="00BD67EC" w:rsidRPr="00B96C43" w:rsidRDefault="00BD67EC" w:rsidP="00BD67EC"/>
    <w:p w14:paraId="14CFF1FA"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5.4. 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գրանցման դոսյեի փաստաթղթերին ներկայացվող պահանջները</w:t>
      </w:r>
    </w:p>
    <w:p w14:paraId="0882AD56"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շտամային բաղադրության մեջ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ռեզյումեի (ամփոփագրի) մեջ, ինչպես նաեւ պետք է համաձայնեցված լինի անդամ պետությունների լիազորված մարմինների հետ՝ նախքան դիմում ներկայացնելը։</w:t>
      </w:r>
    </w:p>
    <w:p w14:paraId="1840617C"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14:paraId="78E8901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0CEC851F"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68BBA3BE"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1.2.</w:t>
      </w:r>
      <w:r w:rsidRPr="00B96C43">
        <w:rPr>
          <w:rFonts w:ascii="Sylfaen" w:hAnsi="Sylfaen"/>
          <w:sz w:val="24"/>
          <w:szCs w:val="24"/>
        </w:rPr>
        <w:tab/>
        <w:t>Ընդհանուր փաստաթղթերը</w:t>
      </w:r>
    </w:p>
    <w:p w14:paraId="018593AF"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1.2.1.</w:t>
      </w:r>
      <w:r w:rsidRPr="00B96C43">
        <w:rPr>
          <w:rFonts w:ascii="Sylfaen" w:hAnsi="Sylfaen"/>
          <w:sz w:val="24"/>
          <w:szCs w:val="24"/>
        </w:rPr>
        <w:tab/>
        <w:t>Փոփոխություներ կատարելու վերաբերյալ դիմումը</w:t>
      </w:r>
    </w:p>
    <w:p w14:paraId="7C7F4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1.2.2.</w:t>
      </w:r>
      <w:r w:rsidRPr="00B96C43">
        <w:rPr>
          <w:rFonts w:ascii="Sylfaen" w:hAnsi="Sylfaen"/>
          <w:sz w:val="24"/>
          <w:szCs w:val="24"/>
        </w:rPr>
        <w:tab/>
        <w:t>Ռեֆերենտ անդամ պետության օրենսդրությանը համապատասխան սահմանված դեպքում եւ կարգով գրանցման հաստատման (վերագրանցման) եւ փորձաքննության համար վճարի (տուրքի) վճարումը հաստատող փաստաթղթերը</w:t>
      </w:r>
    </w:p>
    <w:p w14:paraId="39612412"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1.3.</w:t>
      </w:r>
      <w:r w:rsidRPr="00B96C43">
        <w:rPr>
          <w:rFonts w:ascii="Sylfaen" w:hAnsi="Sylfaen"/>
          <w:sz w:val="24"/>
          <w:szCs w:val="24"/>
        </w:rPr>
        <w:tab/>
        <w:t>Դեղապատրաստուկի ընդհանուր բնութագիրը, բժշկական կիրառության հրահանգը (ներդիր-թերթիկ), մակնշումը</w:t>
      </w:r>
    </w:p>
    <w:p w14:paraId="5EB1AB04"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1.3.1.</w:t>
      </w:r>
      <w:r w:rsidRPr="00B96C43">
        <w:rPr>
          <w:rFonts w:ascii="Sylfaen" w:hAnsi="Sylfaen"/>
          <w:sz w:val="24"/>
          <w:szCs w:val="24"/>
        </w:rPr>
        <w:tab/>
        <w:t>Դեղապատրաստուկի ընդհանուր բնութագրի, բժշկական կիրառության հրահանգի (ներդիր-թերթիկի) եւ մակնշման մակետների նախագծերը, որոնք կազմվել են դեղապատրաստուկների բժշկական կիրառության հրահանգին ներկայացվող պահանջներին համապատասխան</w:t>
      </w:r>
    </w:p>
    <w:p w14:paraId="60FAA88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14:paraId="0B20D283"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1.7.</w:t>
      </w:r>
      <w:r w:rsidRPr="00B96C43">
        <w:rPr>
          <w:rFonts w:ascii="Sylfaen" w:hAnsi="Sylfaen"/>
          <w:sz w:val="24"/>
          <w:szCs w:val="24"/>
        </w:rPr>
        <w:tab/>
        <w:t>Մասնագետների մասին տեղեկատվությունը</w:t>
      </w:r>
    </w:p>
    <w:p w14:paraId="0538A24B"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68B6BB4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453BC785"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216217A7"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4B322F7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lastRenderedPageBreak/>
        <w:t>ԸՏՓ-ի նախորդ ներածության թարմացումը կամ լրացումը (եթե կիրառելի է)։</w:t>
      </w:r>
    </w:p>
    <w:p w14:paraId="5F52F0B8" w14:textId="77777777" w:rsidR="00BD67EC" w:rsidRPr="00B96C43" w:rsidRDefault="00BD67EC" w:rsidP="00BD67EC">
      <w:pPr>
        <w:tabs>
          <w:tab w:val="left" w:pos="1134"/>
        </w:tabs>
        <w:spacing w:after="160" w:line="336"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0BE9A78D"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14:paraId="1DCD847F"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Մոդուլ 3. Որակ</w:t>
      </w:r>
    </w:p>
    <w:p w14:paraId="7060BF6B"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3.2.S.2.</w:t>
      </w:r>
      <w:r w:rsidRPr="00B96C43">
        <w:rPr>
          <w:rFonts w:ascii="Sylfaen" w:hAnsi="Sylfaen"/>
          <w:sz w:val="24"/>
          <w:szCs w:val="24"/>
        </w:rPr>
        <w:tab/>
        <w:t>ԱԴԲ-ի արտադրության գործընթացը</w:t>
      </w:r>
    </w:p>
    <w:p w14:paraId="4A9C706B"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3.2.S.2.3.</w:t>
      </w:r>
      <w:r w:rsidRPr="00B96C43">
        <w:rPr>
          <w:rFonts w:ascii="Sylfaen" w:hAnsi="Sylfaen"/>
          <w:sz w:val="24"/>
          <w:szCs w:val="24"/>
        </w:rPr>
        <w:tab/>
        <w:t>Ելանյութերի հսկողությունը</w:t>
      </w:r>
    </w:p>
    <w:p w14:paraId="6E919F25"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սերիաները (սերմնանյութի պատրաստման տեխնոլոգիայի պատմությունը)՝ ներառյալ՝</w:t>
      </w:r>
    </w:p>
    <w:p w14:paraId="63934C5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սերմնանյութի ստացման ընթացակարգի նկարագրությունը՝ սկսած ատենուացիայի դոնորի եւ ԱՀԿ-ի կողմից առաջարկված շտամի (շտամների) գլխավոր սերմնանյութից.</w:t>
      </w:r>
    </w:p>
    <w:p w14:paraId="24E3C5A0"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վայրն ու պասիվացիայի պատմությունը) եւ ատենուացիայի օգտագործված դոնորի ստացման պատմությունը.</w:t>
      </w:r>
    </w:p>
    <w:p w14:paraId="51214AD0"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թուլացված (ատենուացված) շտամի գենոտիպի ուսումնասիրումը։ Թուլացված (ատենուացված) շտամի սեկվենավորման արդյունքները.</w:t>
      </w:r>
    </w:p>
    <w:p w14:paraId="053FF68A"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14:paraId="01E1D1F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սերմնանյութի գենետիկ կայունությունը՝ ներառյալ համապատասխան գենոտիպային եւ ֆենոտիպային մարկերները (օրինակ՝ լիագենոմ սեկվենավորումը).</w:t>
      </w:r>
    </w:p>
    <w:p w14:paraId="4F40D5A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 xml:space="preserve">վերլուծական փորձարկումների արձանագրությունները (ներառյալ կողմնակի ազդակների բացակայության մասով փորձարկումները եւ վարակային ակտիվության </w:t>
      </w:r>
      <w:r w:rsidRPr="00B96C43">
        <w:rPr>
          <w:rFonts w:ascii="Sylfaen" w:hAnsi="Sylfaen"/>
          <w:sz w:val="24"/>
          <w:szCs w:val="24"/>
        </w:rPr>
        <w:lastRenderedPageBreak/>
        <w:t>վերաբերյալ տվյալները)</w:t>
      </w:r>
      <w:r w:rsidRPr="00B96C43">
        <w:rPr>
          <w:rStyle w:val="FootnoteReference"/>
          <w:rFonts w:ascii="Sylfaen" w:hAnsi="Sylfaen"/>
          <w:sz w:val="24"/>
          <w:szCs w:val="24"/>
        </w:rPr>
        <w:footnoteReference w:id="46"/>
      </w:r>
      <w:r w:rsidRPr="00B96C43">
        <w:rPr>
          <w:rFonts w:ascii="Sylfaen" w:hAnsi="Sylfaen"/>
          <w:sz w:val="24"/>
          <w:szCs w:val="24"/>
        </w:rPr>
        <w:t>.</w:t>
      </w:r>
    </w:p>
    <w:p w14:paraId="05518194"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Pr="00B96C43">
        <w:rPr>
          <w:rStyle w:val="FootnoteReference"/>
          <w:rFonts w:ascii="Sylfaen" w:hAnsi="Sylfaen"/>
          <w:sz w:val="24"/>
          <w:szCs w:val="24"/>
        </w:rPr>
        <w:footnoteReference w:id="47"/>
      </w:r>
      <w:r w:rsidRPr="00B96C43">
        <w:rPr>
          <w:rFonts w:ascii="Sylfaen" w:hAnsi="Sylfaen"/>
          <w:sz w:val="24"/>
          <w:szCs w:val="24"/>
        </w:rPr>
        <w:t>։</w:t>
      </w:r>
    </w:p>
    <w:p w14:paraId="22E4B25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3.2.S.2.4.</w:t>
      </w:r>
      <w:r w:rsidRPr="00B96C43">
        <w:rPr>
          <w:rFonts w:ascii="Sylfaen" w:hAnsi="Sylfaen"/>
          <w:sz w:val="24"/>
          <w:szCs w:val="24"/>
        </w:rPr>
        <w:tab/>
        <w:t>Կրիտիկական փուլերի եւ միջանկյալ արտադրանքի հսկողությունը</w:t>
      </w:r>
    </w:p>
    <w:p w14:paraId="3A9A16C2"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3.2.S.2.5.</w:t>
      </w:r>
      <w:r w:rsidRPr="00B96C43">
        <w:rPr>
          <w:rFonts w:ascii="Sylfaen" w:hAnsi="Sylfaen"/>
          <w:sz w:val="24"/>
          <w:szCs w:val="24"/>
        </w:rPr>
        <w:tab/>
        <w:t>Արտադրական գործընթացի վալիդացումը եւ (կամ) դրա գնահատումը</w:t>
      </w:r>
    </w:p>
    <w:p w14:paraId="4467ECF0" w14:textId="7CF070FC" w:rsidR="00BD67EC"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14:paraId="2DBA2477" w14:textId="77777777" w:rsidR="00924988" w:rsidRPr="00BD67EC" w:rsidRDefault="00924988" w:rsidP="00924988">
      <w:pPr>
        <w:pStyle w:val="Footnote0"/>
        <w:shd w:val="clear" w:color="auto" w:fill="auto"/>
        <w:spacing w:line="240" w:lineRule="auto"/>
        <w:rPr>
          <w:rFonts w:ascii="Sylfaen" w:hAnsi="Sylfaen"/>
          <w:lang w:val="hy-AM"/>
        </w:rPr>
      </w:pPr>
      <w:r w:rsidRPr="00E260DF">
        <w:rPr>
          <w:rStyle w:val="FootnoteReference"/>
          <w:rFonts w:ascii="Sylfaen" w:hAnsi="Sylfaen"/>
        </w:rPr>
        <w:footnoteRef/>
      </w:r>
      <w:r w:rsidRPr="00BD67EC">
        <w:rPr>
          <w:rFonts w:ascii="Sylfaen" w:hAnsi="Sylfaen"/>
          <w:lang w:val="hy-AM"/>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p w14:paraId="6EC55A1E" w14:textId="6A9E7608" w:rsidR="00924988" w:rsidRPr="00B96C43" w:rsidRDefault="00924988" w:rsidP="001F5412">
      <w:pPr>
        <w:spacing w:after="160" w:line="240" w:lineRule="auto"/>
        <w:rPr>
          <w:rFonts w:ascii="Sylfaen" w:hAnsi="Sylfaen"/>
          <w:sz w:val="24"/>
          <w:szCs w:val="24"/>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Pr>
          <w:rFonts w:ascii="Sylfaen" w:hAnsi="Sylfaen"/>
          <w:sz w:val="20"/>
          <w:szCs w:val="20"/>
        </w:rPr>
        <w:t>ասկածներ առաջանալու դեպքում</w:t>
      </w:r>
      <w:r w:rsidRPr="00924988">
        <w:rPr>
          <w:rFonts w:ascii="Sylfaen" w:hAnsi="Sylfaen"/>
          <w:sz w:val="20"/>
          <w:szCs w:val="20"/>
        </w:rPr>
        <w:t>:</w:t>
      </w:r>
    </w:p>
    <w:p w14:paraId="61F99292" w14:textId="77777777" w:rsidR="00BD67EC" w:rsidRPr="00B96C43" w:rsidRDefault="00BD67EC" w:rsidP="00BD67EC">
      <w:pPr>
        <w:spacing w:after="160" w:line="360" w:lineRule="auto"/>
        <w:ind w:firstLine="567"/>
        <w:rPr>
          <w:rFonts w:ascii="Sylfaen" w:hAnsi="Sylfaen"/>
          <w:sz w:val="24"/>
          <w:szCs w:val="24"/>
        </w:rPr>
      </w:pPr>
    </w:p>
    <w:p w14:paraId="3E78CDA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3.2.S.4.</w:t>
      </w:r>
      <w:r w:rsidRPr="00B96C43">
        <w:rPr>
          <w:rFonts w:ascii="Sylfaen" w:hAnsi="Sylfaen"/>
          <w:sz w:val="24"/>
          <w:szCs w:val="24"/>
        </w:rPr>
        <w:tab/>
        <w:t>ԱԴԲ-ի որակի հսկողությունը</w:t>
      </w:r>
    </w:p>
    <w:p w14:paraId="3B760E4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3.2.S.4.1.</w:t>
      </w:r>
      <w:r w:rsidRPr="00B96C43">
        <w:rPr>
          <w:rFonts w:ascii="Sylfaen" w:hAnsi="Sylfaen"/>
          <w:sz w:val="24"/>
          <w:szCs w:val="24"/>
        </w:rPr>
        <w:tab/>
        <w:t>Մասնագիրը</w:t>
      </w:r>
    </w:p>
    <w:p w14:paraId="3B0EA3BE"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14:paraId="3BAC83B8"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3.2.S.4.2.</w:t>
      </w:r>
      <w:r w:rsidRPr="00B96C43">
        <w:rPr>
          <w:rFonts w:ascii="Sylfaen" w:hAnsi="Sylfaen"/>
          <w:sz w:val="24"/>
          <w:szCs w:val="24"/>
        </w:rPr>
        <w:tab/>
        <w:t>Վերլուծական մեթոդիկաները</w:t>
      </w:r>
    </w:p>
    <w:p w14:paraId="6445FF8F"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3.2.5.4.3.</w:t>
      </w:r>
      <w:r w:rsidRPr="00B96C43">
        <w:rPr>
          <w:rFonts w:ascii="Sylfaen" w:hAnsi="Sylfaen"/>
          <w:sz w:val="24"/>
          <w:szCs w:val="24"/>
        </w:rPr>
        <w:tab/>
        <w:t>Վերլուծական մեթոդիկաների վալիդացումը</w:t>
      </w:r>
    </w:p>
    <w:p w14:paraId="6C6A095B"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Վերլուծական մեթոդիկաների վալիդացումը՝ պայմանավորված նոր շտամի (շտամների) ներմուծման եւ նոր ռեագենտների օգտագործման հետ։</w:t>
      </w:r>
    </w:p>
    <w:p w14:paraId="3AF5E44A"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3.2.S.4.4.</w:t>
      </w:r>
      <w:r w:rsidRPr="00B96C43">
        <w:rPr>
          <w:rFonts w:ascii="Sylfaen" w:hAnsi="Sylfaen"/>
          <w:sz w:val="24"/>
          <w:szCs w:val="24"/>
        </w:rPr>
        <w:tab/>
        <w:t xml:space="preserve">Սերիաների վերլուծությունները (սերիաների վերլուծության </w:t>
      </w:r>
      <w:r w:rsidRPr="00B96C43">
        <w:rPr>
          <w:rFonts w:ascii="Sylfaen" w:hAnsi="Sylfaen"/>
          <w:sz w:val="24"/>
          <w:szCs w:val="24"/>
        </w:rPr>
        <w:lastRenderedPageBreak/>
        <w:t>արդյունքները)</w:t>
      </w:r>
    </w:p>
    <w:p w14:paraId="0643CB0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14:paraId="71D03403"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3.2.S.7.</w:t>
      </w:r>
      <w:r w:rsidRPr="00B96C43">
        <w:rPr>
          <w:rFonts w:ascii="Sylfaen" w:hAnsi="Sylfaen"/>
          <w:sz w:val="24"/>
          <w:szCs w:val="24"/>
        </w:rPr>
        <w:tab/>
        <w:t>Կայունությունը</w:t>
      </w:r>
    </w:p>
    <w:p w14:paraId="5B6855F1"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14:paraId="4CB5EC52"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w:t>
      </w:r>
      <w:r w:rsidRPr="00B96C43">
        <w:rPr>
          <w:rFonts w:ascii="Sylfaen" w:hAnsi="Sylfaen"/>
          <w:sz w:val="24"/>
          <w:szCs w:val="24"/>
        </w:rPr>
        <w:tab/>
        <w:t>Դեղապատրաստուկը</w:t>
      </w:r>
    </w:p>
    <w:p w14:paraId="7A37E399"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3.2.Р.1.</w:t>
      </w:r>
      <w:r w:rsidRPr="00B96C43">
        <w:rPr>
          <w:rFonts w:ascii="Sylfaen" w:hAnsi="Sylfaen"/>
          <w:sz w:val="24"/>
          <w:szCs w:val="24"/>
        </w:rPr>
        <w:tab/>
        <w:t>Դեղապատրաստուկի նկարագրությունը եւ բաղադրությունը</w:t>
      </w:r>
    </w:p>
    <w:p w14:paraId="4D234E4E"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14:paraId="5E7FEB90"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3.2.Р.2.</w:t>
      </w:r>
      <w:r w:rsidRPr="00B96C43">
        <w:rPr>
          <w:rFonts w:ascii="Sylfaen" w:hAnsi="Sylfaen"/>
          <w:sz w:val="24"/>
          <w:szCs w:val="24"/>
        </w:rPr>
        <w:tab/>
        <w:t>Դեղագործական մշակումը</w:t>
      </w:r>
    </w:p>
    <w:p w14:paraId="6C7CDC5C" w14:textId="77777777" w:rsidR="00BD67EC" w:rsidRPr="00B96C43" w:rsidRDefault="00BD67EC" w:rsidP="00BD67EC">
      <w:pPr>
        <w:tabs>
          <w:tab w:val="left" w:pos="1843"/>
        </w:tabs>
        <w:spacing w:after="160" w:line="336" w:lineRule="auto"/>
        <w:ind w:firstLine="567"/>
        <w:rPr>
          <w:rFonts w:ascii="Sylfaen" w:hAnsi="Sylfaen"/>
          <w:sz w:val="24"/>
          <w:szCs w:val="24"/>
        </w:rPr>
      </w:pPr>
      <w:r w:rsidRPr="00B96C43">
        <w:rPr>
          <w:rFonts w:ascii="Sylfaen" w:hAnsi="Sylfaen"/>
          <w:sz w:val="24"/>
          <w:szCs w:val="24"/>
        </w:rPr>
        <w:t>3.2.Р.2.2.1.</w:t>
      </w:r>
      <w:r w:rsidRPr="00B96C43">
        <w:rPr>
          <w:rFonts w:ascii="Sylfaen" w:hAnsi="Sylfaen"/>
          <w:sz w:val="24"/>
          <w:szCs w:val="24"/>
        </w:rPr>
        <w:tab/>
        <w:t>Դեղաձեւի մշակումը</w:t>
      </w:r>
    </w:p>
    <w:p w14:paraId="0D1EA897"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ապա կլինիկական հետազոտության մեջ օգտագործված սերիայի վերլուծության հավաստագիրը՝ դրանց կազմմանը զուգընթաց։</w:t>
      </w:r>
    </w:p>
    <w:p w14:paraId="6C36635F"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3.2.Р.З.</w:t>
      </w:r>
      <w:r w:rsidRPr="00B96C43">
        <w:rPr>
          <w:rFonts w:ascii="Sylfaen" w:hAnsi="Sylfaen"/>
          <w:sz w:val="24"/>
          <w:szCs w:val="24"/>
        </w:rPr>
        <w:tab/>
        <w:t>Դեղապատրաստուկի արտադրության գործընթացը</w:t>
      </w:r>
    </w:p>
    <w:p w14:paraId="7D8F2E64"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3.2.Р.З.2.</w:t>
      </w:r>
      <w:r w:rsidRPr="00B96C43">
        <w:rPr>
          <w:rFonts w:ascii="Sylfaen" w:hAnsi="Sylfaen"/>
          <w:sz w:val="24"/>
          <w:szCs w:val="24"/>
        </w:rPr>
        <w:tab/>
        <w:t>Բաղադրությունն ըստ սերիայի (արտադրական դեղագրությունը)</w:t>
      </w:r>
    </w:p>
    <w:p w14:paraId="78F3AE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3.2.Р.5.</w:t>
      </w:r>
      <w:r w:rsidRPr="00B96C43">
        <w:rPr>
          <w:rFonts w:ascii="Sylfaen" w:hAnsi="Sylfaen"/>
          <w:sz w:val="24"/>
          <w:szCs w:val="24"/>
        </w:rPr>
        <w:tab/>
        <w:t>Դեղապատրաստուկի որակի հսկողությունը</w:t>
      </w:r>
    </w:p>
    <w:p w14:paraId="3773E465" w14:textId="77777777" w:rsidR="00BD67EC" w:rsidRPr="00B96C43" w:rsidRDefault="00BD67EC" w:rsidP="00BD67EC">
      <w:pPr>
        <w:tabs>
          <w:tab w:val="left" w:pos="1701"/>
        </w:tabs>
        <w:spacing w:after="160" w:line="360" w:lineRule="auto"/>
        <w:ind w:firstLine="567"/>
        <w:rPr>
          <w:rFonts w:ascii="Sylfaen" w:hAnsi="Sylfaen"/>
          <w:sz w:val="24"/>
          <w:szCs w:val="24"/>
        </w:rPr>
      </w:pPr>
      <w:r w:rsidRPr="00B96C43">
        <w:rPr>
          <w:rFonts w:ascii="Sylfaen" w:hAnsi="Sylfaen"/>
          <w:sz w:val="24"/>
          <w:szCs w:val="24"/>
        </w:rPr>
        <w:t>3.2.Р.5.1.</w:t>
      </w:r>
      <w:r w:rsidRPr="00B96C43">
        <w:rPr>
          <w:rFonts w:ascii="Sylfaen" w:hAnsi="Sylfaen"/>
          <w:sz w:val="24"/>
          <w:szCs w:val="24"/>
        </w:rPr>
        <w:tab/>
        <w:t>Մասնագրերը</w:t>
      </w:r>
    </w:p>
    <w:p w14:paraId="740DD7B8"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14:paraId="5219B6A9"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lastRenderedPageBreak/>
        <w:t>3.2.Р.5.</w:t>
      </w:r>
      <w:r w:rsidRPr="00B96C43">
        <w:rPr>
          <w:rFonts w:ascii="Sylfaen" w:hAnsi="Sylfaen"/>
          <w:sz w:val="24"/>
          <w:szCs w:val="24"/>
        </w:rPr>
        <w:tab/>
        <w:t>Դեղապատրաստուկի որակի հսկողությունը</w:t>
      </w:r>
    </w:p>
    <w:p w14:paraId="3F81654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3.2.Р.5.3.</w:t>
      </w:r>
      <w:r w:rsidRPr="00B96C43">
        <w:rPr>
          <w:rFonts w:ascii="Sylfaen" w:hAnsi="Sylfaen"/>
          <w:sz w:val="24"/>
          <w:szCs w:val="24"/>
        </w:rPr>
        <w:tab/>
        <w:t>Վերլուծական մեթոդիկաների վալիդացումը</w:t>
      </w:r>
    </w:p>
    <w:p w14:paraId="62186176"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14:paraId="5C5FDCEF" w14:textId="77777777" w:rsidR="00BD67EC" w:rsidRPr="00B96C43" w:rsidRDefault="00BD67EC" w:rsidP="00BD67EC">
      <w:pPr>
        <w:tabs>
          <w:tab w:val="left" w:pos="1701"/>
        </w:tabs>
        <w:spacing w:after="160" w:line="336" w:lineRule="auto"/>
        <w:ind w:firstLine="567"/>
        <w:rPr>
          <w:rFonts w:ascii="Sylfaen" w:hAnsi="Sylfaen"/>
          <w:sz w:val="24"/>
          <w:szCs w:val="24"/>
        </w:rPr>
      </w:pPr>
      <w:r w:rsidRPr="00B96C43">
        <w:rPr>
          <w:rFonts w:ascii="Sylfaen" w:hAnsi="Sylfaen"/>
          <w:sz w:val="24"/>
          <w:szCs w:val="24"/>
        </w:rPr>
        <w:t>3.2.Р.5.4.</w:t>
      </w:r>
      <w:r w:rsidRPr="00B96C43">
        <w:rPr>
          <w:rFonts w:ascii="Sylfaen" w:hAnsi="Sylfaen"/>
          <w:sz w:val="24"/>
          <w:szCs w:val="24"/>
        </w:rPr>
        <w:tab/>
        <w:t>Սերիաների վերլուծության արդյունքները</w:t>
      </w:r>
    </w:p>
    <w:p w14:paraId="64AB9A55"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3.2.Р.6.</w:t>
      </w:r>
      <w:r w:rsidRPr="00B96C43">
        <w:rPr>
          <w:rFonts w:ascii="Sylfaen" w:hAnsi="Sylfaen"/>
          <w:sz w:val="24"/>
          <w:szCs w:val="24"/>
        </w:rPr>
        <w:tab/>
        <w:t>Ստանդարտ նմուշները եւ նյութերը</w:t>
      </w:r>
    </w:p>
    <w:p w14:paraId="264CA318"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Ստանդարտ նմուշները եւ նյութերը՝ ներմուծվող շտամի (շտամների) համար։</w:t>
      </w:r>
    </w:p>
    <w:p w14:paraId="65199EFE" w14:textId="77777777" w:rsidR="00BD67EC" w:rsidRPr="00B96C43" w:rsidRDefault="00BD67EC" w:rsidP="00BD67EC">
      <w:pPr>
        <w:tabs>
          <w:tab w:val="left" w:pos="1276"/>
        </w:tabs>
        <w:spacing w:after="160" w:line="336" w:lineRule="auto"/>
        <w:ind w:firstLine="567"/>
        <w:rPr>
          <w:rFonts w:ascii="Sylfaen" w:hAnsi="Sylfaen"/>
          <w:sz w:val="24"/>
          <w:szCs w:val="24"/>
        </w:rPr>
      </w:pPr>
      <w:r w:rsidRPr="00B96C43">
        <w:rPr>
          <w:rFonts w:ascii="Sylfaen" w:hAnsi="Sylfaen"/>
          <w:sz w:val="24"/>
          <w:szCs w:val="24"/>
        </w:rPr>
        <w:t>3.2.Р.8.</w:t>
      </w:r>
      <w:r w:rsidRPr="00B96C43">
        <w:rPr>
          <w:rFonts w:ascii="Sylfaen" w:hAnsi="Sylfaen"/>
          <w:sz w:val="24"/>
          <w:szCs w:val="24"/>
        </w:rPr>
        <w:tab/>
        <w:t>Դեղապատրաստուկի կայունությունը՝</w:t>
      </w:r>
    </w:p>
    <w:p w14:paraId="22F556DC"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14:paraId="3911EE92" w14:textId="77777777" w:rsidR="00BD67EC" w:rsidRPr="00B96C43" w:rsidRDefault="00BD67EC" w:rsidP="00BD67EC">
      <w:pPr>
        <w:spacing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14:paraId="7FFA16C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14:paraId="3849A66B" w14:textId="77777777" w:rsidR="00BD67EC" w:rsidRPr="00B96C43" w:rsidRDefault="00BD67EC" w:rsidP="00BD67EC">
      <w:pPr>
        <w:spacing w:after="120"/>
        <w:ind w:firstLine="567"/>
        <w:jc w:val="both"/>
      </w:pPr>
    </w:p>
    <w:p w14:paraId="7C8218BB" w14:textId="77777777" w:rsidR="00BD67EC" w:rsidRPr="00B96C43" w:rsidRDefault="00BD67EC" w:rsidP="00BD67EC">
      <w:pPr>
        <w:spacing w:after="160" w:line="360" w:lineRule="auto"/>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Pr="00B96C43">
        <w:rPr>
          <w:rFonts w:ascii="Sylfaen" w:hAnsi="Sylfaen"/>
          <w:sz w:val="24"/>
          <w:szCs w:val="24"/>
        </w:rPr>
        <w:br/>
        <w:t xml:space="preserve">(փորձագիտական կազմակերպությունների) հարցման հիման վրա </w:t>
      </w:r>
      <w:r w:rsidRPr="00B96C43">
        <w:rPr>
          <w:rFonts w:ascii="Sylfaen" w:hAnsi="Sylfaen"/>
          <w:sz w:val="24"/>
          <w:szCs w:val="24"/>
        </w:rPr>
        <w:br/>
        <w:t>լրացուցիչ տվյալները ներկայացնելու պահանջները</w:t>
      </w:r>
    </w:p>
    <w:p w14:paraId="25FBB12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 ներկայացվող լրացուցիչ տվյալների տեսակով պայմանավորված, 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14:paraId="43C8CCE9"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14:paraId="0969DE0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w:t>
      </w:r>
      <w:r w:rsidRPr="00B96C43">
        <w:rPr>
          <w:rFonts w:ascii="Sylfaen" w:hAnsi="Sylfaen"/>
          <w:sz w:val="24"/>
          <w:szCs w:val="24"/>
        </w:rPr>
        <w:tab/>
        <w:t>Ուղեկցող նամակը (ինչպես ԸՏՓ-ում)</w:t>
      </w:r>
    </w:p>
    <w:p w14:paraId="3D76EAF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1.1.</w:t>
      </w:r>
      <w:r w:rsidRPr="00B96C43">
        <w:rPr>
          <w:rFonts w:ascii="Sylfaen" w:hAnsi="Sylfaen"/>
          <w:sz w:val="24"/>
          <w:szCs w:val="24"/>
        </w:rPr>
        <w:tab/>
        <w:t>Բովանդակությունը (չի պահանջվում էԸՏՓ ձեւաչափով ներկայացնելու դեպքում)</w:t>
      </w:r>
    </w:p>
    <w:p w14:paraId="1621B3D8"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lastRenderedPageBreak/>
        <w:t>1.7.</w:t>
      </w:r>
      <w:r w:rsidRPr="00B96C43">
        <w:rPr>
          <w:rFonts w:ascii="Sylfaen" w:hAnsi="Sylfaen"/>
          <w:sz w:val="24"/>
          <w:szCs w:val="24"/>
        </w:rPr>
        <w:tab/>
        <w:t>Մասնագետների մասին տեղեկատվությունը</w:t>
      </w:r>
    </w:p>
    <w:p w14:paraId="25FD2755" w14:textId="77777777" w:rsidR="00BD67EC" w:rsidRPr="00B96C43" w:rsidRDefault="00BD67EC" w:rsidP="00BD67EC">
      <w:pPr>
        <w:tabs>
          <w:tab w:val="left" w:pos="1276"/>
        </w:tabs>
        <w:spacing w:after="160" w:line="360" w:lineRule="auto"/>
        <w:ind w:firstLine="567"/>
        <w:rPr>
          <w:rFonts w:ascii="Sylfaen" w:hAnsi="Sylfaen"/>
          <w:sz w:val="24"/>
          <w:szCs w:val="24"/>
        </w:rPr>
      </w:pPr>
      <w:r w:rsidRPr="00B96C43">
        <w:rPr>
          <w:rFonts w:ascii="Sylfaen" w:hAnsi="Sylfaen"/>
          <w:sz w:val="24"/>
          <w:szCs w:val="24"/>
        </w:rPr>
        <w:t>1.7.1.</w:t>
      </w:r>
      <w:r w:rsidRPr="00B96C43">
        <w:rPr>
          <w:rFonts w:ascii="Sylfaen" w:hAnsi="Sylfaen"/>
          <w:sz w:val="24"/>
          <w:szCs w:val="24"/>
        </w:rPr>
        <w:tab/>
        <w:t>Որակի վերաբերյալ ռեզյումեն նախապատրաստած մասնագետի մասին տեղեկատվությունը (հակիրճ ռեզյումե)</w:t>
      </w:r>
    </w:p>
    <w:p w14:paraId="7BDAB4C1"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14:paraId="105537E4"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2.1.</w:t>
      </w:r>
      <w:r w:rsidRPr="00B96C43">
        <w:rPr>
          <w:rFonts w:ascii="Sylfaen" w:hAnsi="Sylfaen"/>
          <w:sz w:val="24"/>
          <w:szCs w:val="24"/>
        </w:rPr>
        <w:tab/>
        <w:t>2-5-րդ մոդուլների բովանդակությունը (չի պահանջվում էԸՏՓ ձեւաչափով ներկայացնելու դեպքում)</w:t>
      </w:r>
    </w:p>
    <w:p w14:paraId="304DEF56"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2.2.</w:t>
      </w:r>
      <w:r w:rsidRPr="00B96C43">
        <w:rPr>
          <w:rFonts w:ascii="Sylfaen" w:hAnsi="Sylfaen"/>
          <w:sz w:val="24"/>
          <w:szCs w:val="24"/>
        </w:rPr>
        <w:tab/>
        <w:t>ԸՏՓ-ի ներածությունը</w:t>
      </w:r>
    </w:p>
    <w:p w14:paraId="38E370F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14:paraId="08725CFA"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2.3.</w:t>
      </w:r>
      <w:r w:rsidRPr="00B96C43">
        <w:rPr>
          <w:rFonts w:ascii="Sylfaen" w:hAnsi="Sylfaen"/>
          <w:sz w:val="24"/>
          <w:szCs w:val="24"/>
        </w:rPr>
        <w:tab/>
        <w:t>Որակի վերաբերյալ ընդհանուր ռեզյումեն</w:t>
      </w:r>
    </w:p>
    <w:p w14:paraId="266585BD"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14:paraId="1FC86FDD" w14:textId="77777777" w:rsidR="00BD67EC" w:rsidRPr="00B96C43" w:rsidRDefault="00BD67EC" w:rsidP="00BD67EC">
      <w:pPr>
        <w:tabs>
          <w:tab w:val="left" w:pos="1134"/>
        </w:tabs>
        <w:spacing w:after="160" w:line="360" w:lineRule="auto"/>
        <w:ind w:firstLine="567"/>
        <w:rPr>
          <w:rFonts w:ascii="Sylfaen" w:hAnsi="Sylfaen"/>
          <w:sz w:val="24"/>
          <w:szCs w:val="24"/>
        </w:rPr>
      </w:pPr>
      <w:r w:rsidRPr="00B96C43">
        <w:rPr>
          <w:rFonts w:ascii="Sylfaen" w:hAnsi="Sylfaen"/>
          <w:sz w:val="24"/>
          <w:szCs w:val="24"/>
        </w:rPr>
        <w:t>2.5.</w:t>
      </w:r>
      <w:r w:rsidRPr="00B96C43">
        <w:rPr>
          <w:rFonts w:ascii="Sylfaen" w:hAnsi="Sylfaen"/>
          <w:sz w:val="24"/>
          <w:szCs w:val="24"/>
        </w:rPr>
        <w:tab/>
        <w:t>Կլինիկական տվյալների ամփոփագիրը</w:t>
      </w:r>
    </w:p>
    <w:p w14:paraId="677840B5" w14:textId="77777777" w:rsidR="00BD67EC" w:rsidRPr="00B96C43" w:rsidRDefault="00BD67EC" w:rsidP="00BD67EC">
      <w:pPr>
        <w:spacing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 կիրառելի է)։</w:t>
      </w:r>
    </w:p>
    <w:p w14:paraId="2F62AA33" w14:textId="64782EAD" w:rsidR="00BD67EC" w:rsidRPr="00B96C43" w:rsidRDefault="00BD67EC" w:rsidP="00C67BCC">
      <w:pPr>
        <w:pBdr>
          <w:bottom w:val="single" w:sz="6" w:space="1" w:color="auto"/>
        </w:pBdr>
        <w:spacing w:after="160" w:line="360" w:lineRule="auto"/>
        <w:ind w:firstLine="567"/>
        <w:rPr>
          <w:rFonts w:ascii="Sylfaen" w:hAnsi="Sylfaen"/>
          <w:sz w:val="24"/>
          <w:szCs w:val="24"/>
        </w:rPr>
      </w:pPr>
      <w:r w:rsidRPr="00B96C43">
        <w:rPr>
          <w:rFonts w:ascii="Sylfaen" w:hAnsi="Sylfaen"/>
          <w:sz w:val="24"/>
          <w:szCs w:val="24"/>
        </w:rPr>
        <w:t>3 - 5-րդ մոդուլներում պարունակվող 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 xml:space="preserve">2 </w:t>
      </w:r>
      <w:r w:rsidRPr="00B96C43">
        <w:rPr>
          <w:rFonts w:ascii="Sylfaen" w:hAnsi="Sylfaen"/>
          <w:sz w:val="24"/>
          <w:szCs w:val="24"/>
        </w:rPr>
        <w:t>տվյալների հարցման դեպքում։</w:t>
      </w:r>
    </w:p>
    <w:p w14:paraId="232E393A" w14:textId="5CC502CD" w:rsidR="00C67BCC" w:rsidRPr="00C67BCC"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46A90E5A" w14:textId="38992C8C"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r w:rsidRPr="00C67BCC">
        <w:rPr>
          <w:rFonts w:ascii="Sylfaen" w:hAnsi="Sylfaen"/>
          <w:b/>
          <w:bCs/>
          <w:i/>
          <w:iCs/>
          <w:sz w:val="24"/>
          <w:szCs w:val="24"/>
        </w:rPr>
        <w:t>(</w:t>
      </w:r>
      <w:r>
        <w:rPr>
          <w:rFonts w:ascii="Sylfaen" w:hAnsi="Sylfaen"/>
          <w:b/>
          <w:bCs/>
          <w:i/>
          <w:iCs/>
          <w:sz w:val="24"/>
          <w:szCs w:val="24"/>
        </w:rPr>
        <w:t>հավելվածը փոփ.,</w:t>
      </w:r>
      <w:r w:rsidRPr="007130F9">
        <w:rPr>
          <w:rFonts w:ascii="Sylfaen" w:hAnsi="Sylfaen"/>
          <w:b/>
          <w:bCs/>
          <w:i/>
          <w:iCs/>
          <w:sz w:val="24"/>
          <w:szCs w:val="24"/>
        </w:rPr>
        <w:t xml:space="preserve"> լրաց. 14.06.18 թ</w:t>
      </w:r>
      <w:r>
        <w:rPr>
          <w:rFonts w:ascii="Sylfaen" w:hAnsi="Sylfaen"/>
          <w:b/>
          <w:bCs/>
          <w:i/>
          <w:iCs/>
          <w:sz w:val="24"/>
          <w:szCs w:val="24"/>
        </w:rPr>
        <w:t>ի</w:t>
      </w:r>
      <w:r w:rsidRPr="007130F9">
        <w:rPr>
          <w:rFonts w:ascii="Sylfaen" w:hAnsi="Sylfaen"/>
          <w:b/>
          <w:bCs/>
          <w:i/>
          <w:iCs/>
          <w:sz w:val="24"/>
          <w:szCs w:val="24"/>
        </w:rPr>
        <w:t>վ 55</w:t>
      </w:r>
      <w:r w:rsidRPr="00C67BCC">
        <w:rPr>
          <w:rFonts w:ascii="Sylfaen" w:hAnsi="Sylfaen"/>
          <w:b/>
          <w:bCs/>
          <w:i/>
          <w:iCs/>
          <w:sz w:val="24"/>
          <w:szCs w:val="24"/>
        </w:rPr>
        <w:t>)</w:t>
      </w:r>
    </w:p>
    <w:p w14:paraId="143EC21A" w14:textId="77777777" w:rsidR="00C67BCC" w:rsidRPr="007130F9" w:rsidRDefault="00C67BCC" w:rsidP="00C67BCC">
      <w:pPr>
        <w:tabs>
          <w:tab w:val="left" w:pos="1134"/>
        </w:tabs>
        <w:spacing w:after="160" w:line="360" w:lineRule="auto"/>
        <w:ind w:right="-8" w:firstLine="567"/>
        <w:jc w:val="both"/>
        <w:rPr>
          <w:rFonts w:ascii="Sylfaen" w:hAnsi="Sylfaen"/>
          <w:b/>
          <w:bCs/>
          <w:i/>
          <w:iCs/>
          <w:sz w:val="24"/>
          <w:szCs w:val="24"/>
        </w:rPr>
      </w:pPr>
    </w:p>
    <w:p w14:paraId="2C430BF3" w14:textId="77777777" w:rsidR="00C67BCC" w:rsidRPr="00E260DF" w:rsidRDefault="00C67BCC" w:rsidP="00BD67EC">
      <w:pPr>
        <w:spacing w:after="160" w:line="360" w:lineRule="auto"/>
        <w:jc w:val="center"/>
        <w:rPr>
          <w:rFonts w:ascii="Sylfaen" w:hAnsi="Sylfaen"/>
          <w:sz w:val="24"/>
          <w:szCs w:val="24"/>
        </w:rPr>
      </w:pPr>
    </w:p>
    <w:p w14:paraId="5F0B37D4" w14:textId="77777777" w:rsidR="00BD67EC" w:rsidRPr="00826F05" w:rsidRDefault="00BD67EC" w:rsidP="004F5982">
      <w:pPr>
        <w:spacing w:after="160" w:line="360" w:lineRule="auto"/>
        <w:ind w:left="567" w:right="332"/>
        <w:jc w:val="center"/>
        <w:rPr>
          <w:rFonts w:ascii="Sylfaen" w:hAnsi="Sylfaen"/>
          <w:sz w:val="24"/>
          <w:szCs w:val="24"/>
        </w:rPr>
      </w:pPr>
    </w:p>
    <w:sectPr w:rsidR="00BD67EC" w:rsidRPr="00826F05" w:rsidSect="00903D92">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89723" w14:textId="77777777" w:rsidR="00FC294A" w:rsidRDefault="00FC294A" w:rsidP="006F76EB">
      <w:pPr>
        <w:spacing w:after="0" w:line="240" w:lineRule="auto"/>
      </w:pPr>
      <w:r>
        <w:separator/>
      </w:r>
    </w:p>
  </w:endnote>
  <w:endnote w:type="continuationSeparator" w:id="0">
    <w:p w14:paraId="6DB0B958" w14:textId="77777777" w:rsidR="00FC294A" w:rsidRDefault="00FC294A" w:rsidP="006F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entury Schoolbook">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GHEA Grapalat">
    <w:panose1 w:val="02000506050000020003"/>
    <w:charset w:val="00"/>
    <w:family w:val="modern"/>
    <w:notTrueType/>
    <w:pitch w:val="variable"/>
    <w:sig w:usb0="A00006AF" w:usb1="5000204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0"/>
      <w:docPartObj>
        <w:docPartGallery w:val="Page Numbers (Bottom of Page)"/>
        <w:docPartUnique/>
      </w:docPartObj>
    </w:sdtPr>
    <w:sdtEndPr/>
    <w:sdtContent>
      <w:p w14:paraId="7A1D212A" w14:textId="77777777" w:rsidR="004A52D9" w:rsidRDefault="00E85669">
        <w:pPr>
          <w:pStyle w:val="Footer"/>
          <w:jc w:val="center"/>
        </w:pPr>
        <w:r>
          <w:fldChar w:fldCharType="begin"/>
        </w:r>
        <w:r>
          <w:instrText xml:space="preserve"> PAGE   \* MERGEFORMAT </w:instrText>
        </w:r>
        <w:r>
          <w:fldChar w:fldCharType="separate"/>
        </w:r>
        <w:r w:rsidR="00C54D75">
          <w:rPr>
            <w:noProof/>
          </w:rPr>
          <w:t>5</w:t>
        </w:r>
        <w:r>
          <w:rPr>
            <w:noProof/>
          </w:rPr>
          <w:fldChar w:fldCharType="end"/>
        </w:r>
      </w:p>
    </w:sdtContent>
  </w:sdt>
  <w:p w14:paraId="4A8E3A13" w14:textId="77777777" w:rsidR="004A52D9" w:rsidRPr="002A011C" w:rsidRDefault="004A52D9" w:rsidP="00F71229">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3"/>
      <w:docPartObj>
        <w:docPartGallery w:val="Page Numbers (Bottom of Page)"/>
        <w:docPartUnique/>
      </w:docPartObj>
    </w:sdtPr>
    <w:sdtEndPr>
      <w:rPr>
        <w:rFonts w:ascii="Sylfaen" w:hAnsi="Sylfaen"/>
        <w:sz w:val="24"/>
        <w:szCs w:val="24"/>
      </w:rPr>
    </w:sdtEndPr>
    <w:sdtContent>
      <w:p w14:paraId="220FBA64"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3</w:t>
        </w:r>
        <w:r w:rsidRPr="00BB6361">
          <w:rPr>
            <w:rFonts w:ascii="Sylfaen" w:hAnsi="Sylfae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6567"/>
      <w:docPartObj>
        <w:docPartGallery w:val="Page Numbers (Bottom of Page)"/>
        <w:docPartUnique/>
      </w:docPartObj>
    </w:sdtPr>
    <w:sdtEndPr>
      <w:rPr>
        <w:rFonts w:ascii="Sylfaen" w:hAnsi="Sylfaen"/>
        <w:sz w:val="24"/>
        <w:szCs w:val="24"/>
      </w:rPr>
    </w:sdtEndPr>
    <w:sdtContent>
      <w:p w14:paraId="34BC2105" w14:textId="77777777" w:rsidR="004A52D9" w:rsidRPr="00BB6361" w:rsidRDefault="00F356C8">
        <w:pPr>
          <w:pStyle w:val="Footer"/>
          <w:jc w:val="center"/>
          <w:rPr>
            <w:rFonts w:ascii="Sylfaen" w:hAnsi="Sylfaen"/>
            <w:sz w:val="24"/>
            <w:szCs w:val="24"/>
          </w:rPr>
        </w:pPr>
        <w:r w:rsidRPr="00BB6361">
          <w:rPr>
            <w:rFonts w:ascii="Sylfaen" w:hAnsi="Sylfaen"/>
            <w:sz w:val="24"/>
            <w:szCs w:val="24"/>
          </w:rPr>
          <w:fldChar w:fldCharType="begin"/>
        </w:r>
        <w:r w:rsidR="004A52D9" w:rsidRPr="00BB6361">
          <w:rPr>
            <w:rFonts w:ascii="Sylfaen" w:hAnsi="Sylfaen"/>
            <w:sz w:val="24"/>
            <w:szCs w:val="24"/>
          </w:rPr>
          <w:instrText xml:space="preserve"> PAGE   \* MERGEFORMAT </w:instrText>
        </w:r>
        <w:r w:rsidRPr="00BB6361">
          <w:rPr>
            <w:rFonts w:ascii="Sylfaen" w:hAnsi="Sylfaen"/>
            <w:sz w:val="24"/>
            <w:szCs w:val="24"/>
          </w:rPr>
          <w:fldChar w:fldCharType="separate"/>
        </w:r>
        <w:r w:rsidR="00C54D75">
          <w:rPr>
            <w:rFonts w:ascii="Sylfaen" w:hAnsi="Sylfaen"/>
            <w:noProof/>
            <w:sz w:val="24"/>
            <w:szCs w:val="24"/>
          </w:rPr>
          <w:t>27</w:t>
        </w:r>
        <w:r w:rsidRPr="00BB6361">
          <w:rPr>
            <w:rFonts w:ascii="Sylfaen" w:hAnsi="Sylfaen"/>
            <w:sz w:val="24"/>
            <w:szCs w:val="24"/>
          </w:rPr>
          <w:fldChar w:fldCharType="end"/>
        </w:r>
      </w:p>
    </w:sdtContent>
  </w:sdt>
  <w:p w14:paraId="304B9801" w14:textId="77777777" w:rsidR="004A52D9" w:rsidRPr="002A011C" w:rsidRDefault="004A52D9" w:rsidP="00F71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1B2F" w14:textId="77777777" w:rsidR="004A52D9" w:rsidRDefault="004A5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1"/>
      <w:docPartObj>
        <w:docPartGallery w:val="Page Numbers (Bottom of Page)"/>
        <w:docPartUnique/>
      </w:docPartObj>
    </w:sdtPr>
    <w:sdtEndPr>
      <w:rPr>
        <w:rFonts w:ascii="Sylfaen" w:hAnsi="Sylfaen"/>
      </w:rPr>
    </w:sdtEndPr>
    <w:sdtContent>
      <w:p w14:paraId="2F2B502A" w14:textId="77777777" w:rsidR="004A52D9" w:rsidRPr="00450D30" w:rsidRDefault="00F356C8">
        <w:pPr>
          <w:pStyle w:val="Footer"/>
          <w:jc w:val="center"/>
          <w:rPr>
            <w:rFonts w:ascii="Sylfaen" w:hAnsi="Sylfaen"/>
          </w:rPr>
        </w:pPr>
        <w:r w:rsidRPr="00450D30">
          <w:rPr>
            <w:rFonts w:ascii="Sylfaen" w:hAnsi="Sylfaen"/>
          </w:rPr>
          <w:fldChar w:fldCharType="begin"/>
        </w:r>
        <w:r w:rsidR="004A52D9" w:rsidRPr="00450D30">
          <w:rPr>
            <w:rFonts w:ascii="Sylfaen" w:hAnsi="Sylfaen"/>
          </w:rPr>
          <w:instrText xml:space="preserve"> PAGE   \* MERGEFORMAT </w:instrText>
        </w:r>
        <w:r w:rsidRPr="00450D30">
          <w:rPr>
            <w:rFonts w:ascii="Sylfaen" w:hAnsi="Sylfaen"/>
          </w:rPr>
          <w:fldChar w:fldCharType="separate"/>
        </w:r>
        <w:r w:rsidR="00C54D75">
          <w:rPr>
            <w:rFonts w:ascii="Sylfaen" w:hAnsi="Sylfaen"/>
            <w:noProof/>
          </w:rPr>
          <w:t>35</w:t>
        </w:r>
        <w:r w:rsidRPr="00450D30">
          <w:rPr>
            <w:rFonts w:ascii="Sylfaen" w:hAnsi="Sylfa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ECC6" w14:textId="77777777" w:rsidR="004A52D9" w:rsidRPr="001D01F7" w:rsidRDefault="004A52D9" w:rsidP="008C76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7993"/>
      <w:docPartObj>
        <w:docPartGallery w:val="Page Numbers (Bottom of Page)"/>
        <w:docPartUnique/>
      </w:docPartObj>
    </w:sdtPr>
    <w:sdtEndPr>
      <w:rPr>
        <w:rFonts w:ascii="Sylfaen" w:hAnsi="Sylfaen"/>
        <w:sz w:val="24"/>
        <w:szCs w:val="24"/>
      </w:rPr>
    </w:sdtEndPr>
    <w:sdtContent>
      <w:p w14:paraId="6643CFD5" w14:textId="77777777" w:rsidR="009211E1" w:rsidRPr="009211E1" w:rsidRDefault="00F356C8">
        <w:pPr>
          <w:pStyle w:val="Footer"/>
          <w:jc w:val="center"/>
          <w:rPr>
            <w:rFonts w:ascii="Sylfaen" w:hAnsi="Sylfaen"/>
            <w:sz w:val="24"/>
            <w:szCs w:val="24"/>
          </w:rPr>
        </w:pPr>
        <w:r w:rsidRPr="009211E1">
          <w:rPr>
            <w:rFonts w:ascii="Sylfaen" w:hAnsi="Sylfaen"/>
            <w:sz w:val="24"/>
            <w:szCs w:val="24"/>
          </w:rPr>
          <w:fldChar w:fldCharType="begin"/>
        </w:r>
        <w:r w:rsidR="009211E1" w:rsidRPr="009211E1">
          <w:rPr>
            <w:rFonts w:ascii="Sylfaen" w:hAnsi="Sylfaen"/>
            <w:sz w:val="24"/>
            <w:szCs w:val="24"/>
          </w:rPr>
          <w:instrText xml:space="preserve"> PAGE   \* MERGEFORMAT </w:instrText>
        </w:r>
        <w:r w:rsidRPr="009211E1">
          <w:rPr>
            <w:rFonts w:ascii="Sylfaen" w:hAnsi="Sylfaen"/>
            <w:sz w:val="24"/>
            <w:szCs w:val="24"/>
          </w:rPr>
          <w:fldChar w:fldCharType="separate"/>
        </w:r>
        <w:r w:rsidR="00E74ADC">
          <w:rPr>
            <w:rFonts w:ascii="Sylfaen" w:hAnsi="Sylfaen"/>
            <w:noProof/>
            <w:sz w:val="24"/>
            <w:szCs w:val="24"/>
          </w:rPr>
          <w:t>30</w:t>
        </w:r>
        <w:r w:rsidRPr="009211E1">
          <w:rPr>
            <w:rFonts w:ascii="Sylfaen" w:hAnsi="Sylfaen"/>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8A22" w14:textId="77777777" w:rsidR="004A52D9" w:rsidRPr="001D01F7" w:rsidRDefault="004A52D9" w:rsidP="008C7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1A396" w14:textId="77777777" w:rsidR="00FC294A" w:rsidRDefault="00FC294A" w:rsidP="006F76EB">
      <w:pPr>
        <w:spacing w:after="0" w:line="240" w:lineRule="auto"/>
      </w:pPr>
      <w:r>
        <w:separator/>
      </w:r>
    </w:p>
  </w:footnote>
  <w:footnote w:type="continuationSeparator" w:id="0">
    <w:p w14:paraId="0F1210A8" w14:textId="77777777" w:rsidR="00FC294A" w:rsidRDefault="00FC294A" w:rsidP="006F76EB">
      <w:pPr>
        <w:spacing w:after="0" w:line="240" w:lineRule="auto"/>
      </w:pPr>
      <w:r>
        <w:continuationSeparator/>
      </w:r>
    </w:p>
  </w:footnote>
  <w:footnote w:id="1">
    <w:p w14:paraId="47E1996F" w14:textId="77777777" w:rsidR="004A52D9" w:rsidRPr="00231614" w:rsidRDefault="004A52D9" w:rsidP="006F76EB">
      <w:pPr>
        <w:spacing w:after="120" w:line="240" w:lineRule="auto"/>
        <w:ind w:right="-8"/>
        <w:jc w:val="both"/>
        <w:rPr>
          <w:rFonts w:ascii="Sylfaen" w:eastAsia="Times New Roman" w:hAnsi="Sylfaen" w:cs="Times New Roman"/>
          <w:sz w:val="20"/>
          <w:szCs w:val="20"/>
          <w:lang w:val="ru-RU"/>
        </w:rPr>
      </w:pPr>
      <w:r w:rsidRPr="00231614">
        <w:rPr>
          <w:rStyle w:val="FootnoteReference"/>
          <w:rFonts w:ascii="Sylfaen" w:hAnsi="Sylfaen"/>
          <w:sz w:val="20"/>
          <w:szCs w:val="20"/>
        </w:rPr>
        <w:sym w:font="Symbol" w:char="F02A"/>
      </w:r>
      <w:r w:rsidRPr="00231614">
        <w:rPr>
          <w:rFonts w:ascii="Sylfaen" w:hAnsi="Sylfaen"/>
          <w:sz w:val="20"/>
          <w:szCs w:val="20"/>
          <w:lang w:val="en-US"/>
        </w:rPr>
        <w:t xml:space="preserve"> </w:t>
      </w:r>
      <w:r w:rsidRPr="00231614">
        <w:rPr>
          <w:rFonts w:ascii="Sylfaen" w:hAnsi="Sylfaen"/>
          <w:sz w:val="20"/>
          <w:szCs w:val="20"/>
        </w:rPr>
        <w:t>ԱԴԲ-ի անվանումն անհրաժեշտ է նշել ըստ դրա  առաջարկվող ՄՉԱ-ի՝ անհրաժեշտության դեպքում նշելով դրա աղերը կամ հիդրատային ձևը</w:t>
      </w:r>
    </w:p>
  </w:footnote>
  <w:footnote w:id="2">
    <w:p w14:paraId="34C801CE" w14:textId="77777777" w:rsidR="004A52D9" w:rsidRPr="000C7350" w:rsidRDefault="004A52D9" w:rsidP="006F76EB">
      <w:pPr>
        <w:spacing w:after="120" w:line="240" w:lineRule="auto"/>
        <w:ind w:right="-8"/>
        <w:jc w:val="both"/>
        <w:rPr>
          <w:rFonts w:ascii="Sylfaen" w:eastAsia="Times New Roman" w:hAnsi="Sylfaen" w:cs="Times New Roman"/>
          <w:sz w:val="20"/>
          <w:szCs w:val="20"/>
        </w:rPr>
      </w:pPr>
      <w:r w:rsidRPr="00231614">
        <w:rPr>
          <w:rStyle w:val="FootnoteReference"/>
          <w:rFonts w:ascii="Sylfaen" w:hAnsi="Sylfaen"/>
          <w:sz w:val="20"/>
          <w:szCs w:val="20"/>
        </w:rPr>
        <w:sym w:font="Symbol" w:char="F02A"/>
      </w:r>
      <w:r w:rsidRPr="00231614">
        <w:rPr>
          <w:rFonts w:ascii="Sylfaen" w:hAnsi="Sylfaen"/>
          <w:sz w:val="20"/>
          <w:szCs w:val="20"/>
          <w:lang w:val="ru-RU"/>
        </w:rPr>
        <w:t xml:space="preserve"> </w:t>
      </w:r>
      <w:r w:rsidRPr="00231614">
        <w:rPr>
          <w:rFonts w:ascii="Sylfaen" w:hAnsi="Sylfaen"/>
          <w:sz w:val="20"/>
          <w:szCs w:val="20"/>
        </w:rPr>
        <w:t>Նշված դաշտերը լրացվում են արտադրական գործընթացի յուրաքանչյուր փուլի համար (կցե՛ք այն սխեման, որը ներառում է արտադրության գործընթացում ներգրավված տարբեր արտադրական հարթակների համար գործողությունները և դրանց հաջորդականությունը՝ ներառյալ բացթողման հսկողությունը)</w:t>
      </w:r>
    </w:p>
  </w:footnote>
  <w:footnote w:id="3">
    <w:p w14:paraId="77FA0470" w14:textId="77777777" w:rsidR="004A52D9" w:rsidRPr="003C49C2" w:rsidRDefault="004A52D9" w:rsidP="006F76EB">
      <w:pPr>
        <w:pStyle w:val="FootnoteText"/>
        <w:jc w:val="both"/>
        <w:rPr>
          <w:rFonts w:ascii="Sylfaen" w:hAnsi="Sylfaen"/>
        </w:rPr>
      </w:pPr>
      <w:r w:rsidRPr="00231614">
        <w:rPr>
          <w:rStyle w:val="FootnoteReference"/>
          <w:rFonts w:ascii="Sylfaen" w:eastAsia="Times New Roman" w:hAnsi="Sylfaen" w:cs="Times New Roman"/>
          <w:sz w:val="24"/>
          <w:szCs w:val="24"/>
        </w:rPr>
        <w:sym w:font="Symbol" w:char="F02A"/>
      </w:r>
      <w:r w:rsidRPr="003C49C2">
        <w:rPr>
          <w:rFonts w:ascii="Sylfaen" w:eastAsia="Times New Roman" w:hAnsi="Sylfaen" w:cs="Times New Roman"/>
          <w:sz w:val="24"/>
          <w:szCs w:val="24"/>
        </w:rPr>
        <w:t xml:space="preserve"> </w:t>
      </w:r>
      <w:r w:rsidRPr="00231614">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ձևը:</w:t>
      </w:r>
    </w:p>
  </w:footnote>
  <w:footnote w:id="4">
    <w:p w14:paraId="4D893D44" w14:textId="77777777" w:rsidR="004A52D9" w:rsidRPr="00B45FEC" w:rsidRDefault="004A52D9" w:rsidP="006F76EB">
      <w:pPr>
        <w:pStyle w:val="FootnoteText"/>
        <w:jc w:val="both"/>
        <w:rPr>
          <w:rFonts w:ascii="Sylfaen" w:hAnsi="Sylfaen"/>
        </w:rPr>
      </w:pPr>
      <w:r w:rsidRPr="00B45FEC">
        <w:rPr>
          <w:rStyle w:val="FootnoteReference"/>
          <w:rFonts w:ascii="Sylfaen" w:hAnsi="Sylfaen"/>
        </w:rPr>
        <w:footnoteRef/>
      </w:r>
      <w:r w:rsidRPr="00B45FEC">
        <w:rPr>
          <w:rFonts w:ascii="Sylfaen" w:hAnsi="Sylfaen"/>
        </w:rPr>
        <w:t xml:space="preserve"> ՕՆ` օժանդակ նյութ (ներառյալ ելանյութերը, որոնք օգտագործվում են ԱԴԲ-ի/օժանդակ նյութի արտադրության մեջ):</w:t>
      </w:r>
    </w:p>
  </w:footnote>
  <w:footnote w:id="5">
    <w:p w14:paraId="250027DB"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6">
    <w:p w14:paraId="1205C159"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footnoteRef/>
      </w:r>
      <w:r w:rsidRPr="00B45FEC">
        <w:rPr>
          <w:rFonts w:ascii="Sylfaen" w:hAnsi="Sylfaen"/>
          <w:sz w:val="20"/>
          <w:szCs w:val="20"/>
        </w:rPr>
        <w:t xml:space="preserve"> ՏՍԷ՝ տրանսմիսիվ սպունգանման էնցեֆալոպաթիա</w:t>
      </w:r>
    </w:p>
  </w:footnote>
  <w:footnote w:id="7">
    <w:p w14:paraId="01D71D12" w14:textId="77777777" w:rsidR="004A52D9" w:rsidRPr="00B45FEC"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1</w:t>
      </w:r>
      <w:r w:rsidRPr="00B45FEC">
        <w:rPr>
          <w:rFonts w:ascii="Sylfaen" w:hAnsi="Sylfaen"/>
          <w:sz w:val="20"/>
          <w:szCs w:val="20"/>
        </w:rPr>
        <w:t xml:space="preserve"> ՕՆ՝ օժանդակ նյութ (ներառյալ ելանյութերը, որոնք օգտագործվում են ԱԴԲ-ի/օժանդակ նյութի արտադրության մեջ):</w:t>
      </w:r>
    </w:p>
  </w:footnote>
  <w:footnote w:id="8">
    <w:p w14:paraId="3482F5AF" w14:textId="77777777" w:rsidR="004A52D9" w:rsidRPr="0088483B" w:rsidRDefault="004A52D9" w:rsidP="006F76EB">
      <w:pPr>
        <w:spacing w:after="120" w:line="240" w:lineRule="auto"/>
        <w:ind w:right="-8"/>
        <w:jc w:val="both"/>
        <w:rPr>
          <w:rFonts w:ascii="Sylfaen" w:eastAsia="Times New Roman" w:hAnsi="Sylfaen" w:cs="Times New Roman"/>
          <w:sz w:val="20"/>
          <w:szCs w:val="20"/>
        </w:rPr>
      </w:pPr>
      <w:r w:rsidRPr="00B45FEC">
        <w:rPr>
          <w:rStyle w:val="FootnoteReference"/>
          <w:rFonts w:ascii="Sylfaen" w:hAnsi="Sylfaen"/>
          <w:sz w:val="20"/>
          <w:szCs w:val="20"/>
        </w:rPr>
        <w:t>2</w:t>
      </w:r>
      <w:r w:rsidRPr="00B45FEC">
        <w:rPr>
          <w:rFonts w:ascii="Sylfaen" w:hAnsi="Sylfaen"/>
          <w:sz w:val="20"/>
          <w:szCs w:val="20"/>
        </w:rPr>
        <w:t xml:space="preserve"> Ռ՝ ռեագենտ/կուլտիվացման միջավայր (ներառյալ՝ բջիջների գլխավոր և աշխատանքային բանկի պատրաստման համար օգտագործվողները):</w:t>
      </w:r>
    </w:p>
  </w:footnote>
  <w:footnote w:id="9">
    <w:p w14:paraId="1F18129F" w14:textId="77777777" w:rsidR="004A52D9" w:rsidRPr="0088483B" w:rsidRDefault="004A52D9" w:rsidP="006F76EB">
      <w:pPr>
        <w:pStyle w:val="FootnoteText"/>
        <w:rPr>
          <w:rFonts w:ascii="Sylfaen" w:hAnsi="Sylfaen"/>
        </w:rPr>
      </w:pPr>
      <w:r w:rsidRPr="00231614">
        <w:rPr>
          <w:rStyle w:val="FootnoteReference"/>
          <w:rFonts w:ascii="Sylfaen" w:hAnsi="Sylfaen"/>
        </w:rPr>
        <w:sym w:font="Symbol" w:char="F02A"/>
      </w:r>
      <w:r w:rsidRPr="00231614">
        <w:rPr>
          <w:rFonts w:ascii="Sylfaen" w:hAnsi="Sylfaen"/>
        </w:rPr>
        <w:t>ԱԴԲ-ի անվանումն անհրաժեշտ է նշել ըստ իր՝ առաջարկվող ՄՉԱ-ի՝ անհրաժեշտության դեպքում նշելով դրա աղերը և հիդրատային ձևերը:</w:t>
      </w:r>
    </w:p>
  </w:footnote>
  <w:footnote w:id="10">
    <w:p w14:paraId="798F1249" w14:textId="77777777" w:rsidR="004A52D9" w:rsidRPr="0088483B" w:rsidRDefault="004A52D9" w:rsidP="006F76EB">
      <w:pPr>
        <w:pStyle w:val="FootnoteText"/>
        <w:jc w:val="both"/>
        <w:rPr>
          <w:rFonts w:ascii="Sylfaen" w:hAnsi="Sylfaen"/>
        </w:rPr>
      </w:pPr>
      <w:r w:rsidRPr="00231614">
        <w:rPr>
          <w:rStyle w:val="FootnoteReference"/>
          <w:rFonts w:ascii="Sylfaen" w:hAnsi="Sylfaen"/>
        </w:rPr>
        <w:sym w:font="Symbol" w:char="F02A"/>
      </w:r>
      <w:r w:rsidRPr="00231614">
        <w:rPr>
          <w:rFonts w:ascii="Sylfaen" w:hAnsi="Sylfaen"/>
        </w:rPr>
        <w:t xml:space="preserve">Նշված դաշտերը լրացվում են արտադրական գործընթացի յուրաքանչյուր </w:t>
      </w:r>
      <w:r w:rsidRPr="00B45FEC">
        <w:rPr>
          <w:rFonts w:ascii="Sylfaen" w:hAnsi="Sylfaen"/>
        </w:rPr>
        <w:t>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w:t>
      </w:r>
      <w:r w:rsidRPr="00231614">
        <w:rPr>
          <w:rFonts w:ascii="Sylfaen" w:hAnsi="Sylfaen"/>
        </w:rPr>
        <w:t xml:space="preserve"> բացթողման համար անհրաժեշտ հսկողությունը):</w:t>
      </w:r>
    </w:p>
  </w:footnote>
  <w:footnote w:id="11">
    <w:p w14:paraId="00BD6107"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Ծանոթագրություն. * Յուրաքանչյուր ԱԴԲ-ի համար պետք է նշել միայն մեկ անվանում՝ հետևյալ հաջորդականությամբ՝ ՄՉԱ-ն, անվանումը՝ ըստ Եվրասիական տնտեսական միության դեղագրքի, Եվրասիական տնտեսական միության անդամ պետությունների դեղագրքերի (կամ Եվրասիական տնտեսական միության անդամ պետությունների դեղագրքերի ներդաշնակեցման հայեցակարգի հիմնական դեղագրքերի), համընդհանուր կամ խմբի անվանումը, գիտական (քիմիական) անունը:</w:t>
      </w:r>
    </w:p>
    <w:p w14:paraId="7C3FE93C" w14:textId="77777777" w:rsidR="004A52D9" w:rsidRPr="00B33775" w:rsidRDefault="004A52D9" w:rsidP="006F76EB">
      <w:pPr>
        <w:spacing w:after="120" w:line="240" w:lineRule="auto"/>
        <w:ind w:right="-8"/>
        <w:jc w:val="both"/>
        <w:rPr>
          <w:rFonts w:ascii="Sylfaen" w:eastAsia="Times New Roman" w:hAnsi="Sylfaen" w:cs="Times New Roman"/>
          <w:sz w:val="20"/>
          <w:szCs w:val="20"/>
        </w:rPr>
      </w:pPr>
      <w:r w:rsidRPr="00B33775">
        <w:rPr>
          <w:rFonts w:ascii="Sylfaen" w:hAnsi="Sylfaen"/>
          <w:sz w:val="20"/>
          <w:szCs w:val="20"/>
        </w:rPr>
        <w:t xml:space="preserve">** ԱԴԲ-ի անվանումն անհրաժեշտ է նշել </w:t>
      </w:r>
      <w:r w:rsidRPr="00D02258">
        <w:rPr>
          <w:rFonts w:ascii="Sylfaen" w:hAnsi="Sylfaen"/>
          <w:sz w:val="20"/>
          <w:szCs w:val="20"/>
        </w:rPr>
        <w:t>ըստ իր՝ Առողջապահության համաշխարհային կազմակերպության կողմից առաջարկվող ՄՉԱ-ի՝ անհրաժեշտության դեպքում նշելով դրա աղերը կամ հիդրատային ձևը:</w:t>
      </w:r>
    </w:p>
  </w:footnote>
  <w:footnote w:id="12">
    <w:p w14:paraId="3AE39CA2" w14:textId="77777777" w:rsidR="004A52D9" w:rsidRPr="002C3F55" w:rsidRDefault="004A52D9" w:rsidP="002C3F55">
      <w:pPr>
        <w:spacing w:after="120" w:line="240" w:lineRule="auto"/>
        <w:ind w:right="-8"/>
        <w:jc w:val="both"/>
        <w:rPr>
          <w:rFonts w:ascii="Sylfaen" w:hAnsi="Sylfaen"/>
          <w:sz w:val="20"/>
          <w:szCs w:val="20"/>
        </w:rPr>
      </w:pPr>
      <w:r>
        <w:rPr>
          <w:rStyle w:val="FootnoteReference"/>
        </w:rPr>
        <w:footnoteRef/>
      </w:r>
      <w:r>
        <w:t xml:space="preserve"> </w:t>
      </w:r>
      <w:r w:rsidRPr="002C3F55">
        <w:rPr>
          <w:rFonts w:ascii="Sylfaen" w:hAnsi="Sylfaen"/>
          <w:sz w:val="20"/>
          <w:szCs w:val="20"/>
        </w:rPr>
        <w:t>ՕՆ՝ օժանդակ նյութ (ներառյալ՝ ելանյութերը, որոնք օգտագործվում են ԱԴԲ-ի/օժանդակ նյութի արտադրության մեջ):</w:t>
      </w:r>
    </w:p>
  </w:footnote>
  <w:footnote w:id="13">
    <w:p w14:paraId="48FCBF34"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Ռ՝ ռեագենտ/կուլտիվացման միջավայր (ներառյալ՝ բջիջների գլխավոր և աշխատանքային բանկերի պատրաստման համար օգտագործվողները):</w:t>
      </w:r>
      <w:r w:rsidRPr="002C3F55">
        <w:rPr>
          <w:rStyle w:val="FootnoteReference"/>
          <w:rFonts w:ascii="Sylfaen" w:hAnsi="Sylfaen"/>
          <w:sz w:val="20"/>
          <w:szCs w:val="20"/>
        </w:rPr>
        <w:t xml:space="preserve"> </w:t>
      </w:r>
    </w:p>
  </w:footnote>
  <w:footnote w:id="14">
    <w:p w14:paraId="23400B41" w14:textId="77777777" w:rsidR="004A52D9" w:rsidRPr="002C3F55" w:rsidRDefault="004A52D9" w:rsidP="002C3F55">
      <w:pPr>
        <w:spacing w:after="120" w:line="240" w:lineRule="auto"/>
        <w:ind w:right="-8"/>
        <w:jc w:val="both"/>
        <w:rPr>
          <w:rFonts w:ascii="Sylfaen" w:hAnsi="Sylfaen"/>
          <w:sz w:val="20"/>
          <w:szCs w:val="20"/>
        </w:rPr>
      </w:pPr>
      <w:r w:rsidRPr="002C3F55">
        <w:rPr>
          <w:rStyle w:val="FootnoteReference"/>
          <w:rFonts w:ascii="Sylfaen" w:hAnsi="Sylfaen"/>
          <w:sz w:val="20"/>
          <w:szCs w:val="20"/>
        </w:rPr>
        <w:footnoteRef/>
      </w:r>
      <w:r w:rsidRPr="002C3F55">
        <w:rPr>
          <w:rFonts w:ascii="Sylfaen" w:hAnsi="Sylfaen"/>
          <w:sz w:val="20"/>
          <w:szCs w:val="20"/>
        </w:rPr>
        <w:t xml:space="preserve"> ՏՍԷ՝ Տրանսմիսիվ սպունգանման էնցեֆալոպաթիա</w:t>
      </w:r>
    </w:p>
  </w:footnote>
  <w:footnote w:id="15">
    <w:p w14:paraId="6AFC7C8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ՕՆ՝ օժանդակ նյութ (ներառյալ՝ ելանյութերը, որոնք օգտագործվում են ԱԴԲ-ի/օժանդակ նյութի արտադրության մեջ):</w:t>
      </w:r>
    </w:p>
  </w:footnote>
  <w:footnote w:id="16">
    <w:p w14:paraId="73421E8E"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 ռեագենտ/կուլտիվացման միջավայր (ներառյալ՝ բջիջների գլխավոր և աշխատանքային բանկերի պատրաստման համար օգտագործվողները):</w:t>
      </w:r>
    </w:p>
  </w:footnote>
  <w:footnote w:id="17">
    <w:p w14:paraId="4A9B33C8" w14:textId="77777777" w:rsidR="004A52D9" w:rsidRPr="00496FB9" w:rsidRDefault="004A52D9" w:rsidP="006F76EB">
      <w:pPr>
        <w:spacing w:after="120" w:line="240" w:lineRule="auto"/>
        <w:ind w:right="-8"/>
        <w:rPr>
          <w:rFonts w:ascii="Sylfaen" w:eastAsia="Times New Roman" w:hAnsi="Sylfaen" w:cs="Times New Roman"/>
          <w:sz w:val="18"/>
          <w:szCs w:val="24"/>
        </w:rPr>
      </w:pPr>
      <w:r w:rsidRPr="00496FB9">
        <w:rPr>
          <w:rStyle w:val="FootnoteReference"/>
          <w:rFonts w:ascii="Sylfaen" w:hAnsi="Sylfaen"/>
        </w:rPr>
        <w:sym w:font="Symbol" w:char="F02A"/>
      </w:r>
      <w:r w:rsidRPr="00496FB9">
        <w:rPr>
          <w:rFonts w:ascii="Sylfaen" w:hAnsi="Sylfaen"/>
        </w:rPr>
        <w:t>ԱԴԲ անվանումն անհրաժեշտ է նշել ըստ իր` առաջարկվող ՄՉԱ-ի՝ անհրաժեշտության դեպքում նշելով դրա աղերը և հիդրատային ձևերը</w:t>
      </w:r>
    </w:p>
  </w:footnote>
  <w:footnote w:id="18">
    <w:p w14:paraId="3F1E65C9" w14:textId="77777777" w:rsidR="004A52D9" w:rsidRPr="00496FB9" w:rsidRDefault="004A52D9" w:rsidP="00E87E9C">
      <w:pPr>
        <w:pStyle w:val="FootnoteText"/>
        <w:jc w:val="both"/>
        <w:rPr>
          <w:rFonts w:ascii="Sylfaen" w:hAnsi="Sylfaen"/>
        </w:rPr>
      </w:pPr>
      <w:r w:rsidRPr="00496FB9">
        <w:rPr>
          <w:rStyle w:val="FootnoteReference"/>
          <w:rFonts w:ascii="Sylfaen" w:hAnsi="Sylfaen"/>
        </w:rPr>
        <w:sym w:font="Symbol" w:char="F02A"/>
      </w:r>
      <w:r w:rsidRPr="00496FB9">
        <w:rPr>
          <w:rFonts w:ascii="Sylfaen" w:hAnsi="Sylfaen"/>
        </w:rPr>
        <w:t>Նշված դաշտերը լրացվում են արտադրական գործընթացի յուրաքանչյուր ընթացաշրջանի համար (կցե՛ք այն սխեման, որը ներառում է արտադրական գործընթացում ներգրավված տարբեր արտադրական հարթակների համար հաջորդականությունը և գործողությունները՝ ներառյալ բացթողման համար անհրաժեշտ հսկողությունը)</w:t>
      </w:r>
    </w:p>
  </w:footnote>
  <w:footnote w:id="19">
    <w:p w14:paraId="0C33999A" w14:textId="77777777"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496FB9">
        <w:rPr>
          <w:rFonts w:ascii="Sylfaen" w:hAnsi="Sylfaen"/>
        </w:rPr>
        <w:t>ԱԴԲ-ի անվանումն անհրաժեշտ է նշել ըստ դրա՝ Առողջապահության համաշխարհային կազմակերպության կողմից առաջարկվող ՄՉԱ-ի՝ անհրաժեշտության դեպքում նշելով դրա աղերը և հիդրատային ձևերը:</w:t>
      </w:r>
    </w:p>
  </w:footnote>
  <w:footnote w:id="20">
    <w:p w14:paraId="32986AA9"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1">
    <w:p w14:paraId="1C409456"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6D3168">
        <w:rPr>
          <w:rFonts w:ascii="Sylfaen" w:hAnsi="Sylfaen"/>
          <w:sz w:val="18"/>
        </w:rPr>
        <w:t>—</w:t>
      </w:r>
      <w:r w:rsidRPr="00496FB9">
        <w:rPr>
          <w:rFonts w:ascii="Sylfaen" w:hAnsi="Sylfaen"/>
          <w:sz w:val="18"/>
        </w:rPr>
        <w:t xml:space="preserve"> օժանդակ նյութ (ներառյալ՝ ելանյութերը, որոնք օգտագործվում են ԱԴԲ-ի (օժանդակ նյութի) արտադրության մեջ):</w:t>
      </w:r>
    </w:p>
  </w:footnote>
  <w:footnote w:id="22">
    <w:p w14:paraId="748770E5" w14:textId="77777777" w:rsidR="004A52D9" w:rsidRDefault="004A52D9" w:rsidP="00CC7B7C">
      <w:pPr>
        <w:spacing w:after="120" w:line="240" w:lineRule="auto"/>
        <w:ind w:right="-8"/>
        <w:jc w:val="both"/>
        <w:rPr>
          <w:rStyle w:val="FootnoteReference"/>
          <w:rFonts w:ascii="Sylfaen" w:hAnsi="Sylfaen"/>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 xml:space="preserve">Ռ </w:t>
      </w:r>
      <w:r w:rsidRPr="006D3168">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r w:rsidRPr="00CC7B7C">
        <w:rPr>
          <w:rStyle w:val="FootnoteReference"/>
          <w:rFonts w:ascii="Sylfaen" w:hAnsi="Sylfaen"/>
        </w:rPr>
        <w:t xml:space="preserve"> </w:t>
      </w:r>
    </w:p>
    <w:p w14:paraId="0B02F03D" w14:textId="77777777" w:rsidR="004A52D9" w:rsidRPr="00496FB9" w:rsidRDefault="004A52D9" w:rsidP="00CC7B7C">
      <w:pPr>
        <w:spacing w:after="120" w:line="240" w:lineRule="auto"/>
        <w:ind w:right="-8"/>
        <w:jc w:val="both"/>
        <w:rPr>
          <w:rFonts w:ascii="Sylfaen" w:eastAsia="Times New Roman" w:hAnsi="Sylfaen" w:cs="Times New Roman"/>
          <w:sz w:val="18"/>
          <w:szCs w:val="18"/>
        </w:rPr>
      </w:pPr>
      <w:r w:rsidRPr="00496FB9">
        <w:rPr>
          <w:rStyle w:val="FootnoteReference"/>
          <w:rFonts w:ascii="Sylfaen" w:hAnsi="Sylfaen"/>
        </w:rPr>
        <w:t>3</w:t>
      </w:r>
      <w:r w:rsidRPr="00496FB9">
        <w:rPr>
          <w:rFonts w:ascii="Sylfaen" w:hAnsi="Sylfaen"/>
        </w:rPr>
        <w:t xml:space="preserve"> </w:t>
      </w:r>
      <w:r w:rsidRPr="00496FB9">
        <w:rPr>
          <w:rFonts w:ascii="Sylfaen" w:hAnsi="Sylfaen"/>
          <w:sz w:val="18"/>
        </w:rPr>
        <w:t xml:space="preserve">ՏՍԷ </w:t>
      </w:r>
      <w:r w:rsidRPr="006D3168">
        <w:rPr>
          <w:rFonts w:ascii="Sylfaen" w:hAnsi="Sylfaen"/>
          <w:sz w:val="18"/>
        </w:rPr>
        <w:t>—</w:t>
      </w:r>
      <w:r w:rsidRPr="00496FB9">
        <w:rPr>
          <w:rFonts w:ascii="Sylfaen" w:hAnsi="Sylfaen"/>
          <w:sz w:val="18"/>
        </w:rPr>
        <w:t xml:space="preserve"> տրանսմիսիվ սպունգանման էնցեֆալոպատիա:</w:t>
      </w:r>
    </w:p>
    <w:p w14:paraId="0AC70F22" w14:textId="77777777" w:rsidR="004A52D9" w:rsidRPr="00496FB9" w:rsidRDefault="004A52D9" w:rsidP="006F76EB">
      <w:pPr>
        <w:spacing w:after="120" w:line="240" w:lineRule="auto"/>
        <w:ind w:right="-8"/>
        <w:jc w:val="both"/>
        <w:rPr>
          <w:rFonts w:ascii="Sylfaen" w:eastAsia="Times New Roman" w:hAnsi="Sylfaen" w:cs="Times New Roman"/>
          <w:sz w:val="18"/>
          <w:szCs w:val="18"/>
        </w:rPr>
      </w:pPr>
    </w:p>
  </w:footnote>
  <w:footnote w:id="23">
    <w:p w14:paraId="119C3CF5"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1</w:t>
      </w:r>
      <w:r w:rsidRPr="00496FB9">
        <w:rPr>
          <w:rFonts w:ascii="Sylfaen" w:hAnsi="Sylfaen"/>
        </w:rPr>
        <w:t xml:space="preserve"> </w:t>
      </w:r>
      <w:r w:rsidRPr="00496FB9">
        <w:rPr>
          <w:rFonts w:ascii="Sylfaen" w:hAnsi="Sylfaen"/>
          <w:sz w:val="18"/>
        </w:rPr>
        <w:t xml:space="preserve">ՕՆ </w:t>
      </w:r>
      <w:r w:rsidRPr="00263846">
        <w:rPr>
          <w:rFonts w:ascii="Sylfaen" w:hAnsi="Sylfaen"/>
          <w:sz w:val="18"/>
        </w:rPr>
        <w:t>—</w:t>
      </w:r>
      <w:r w:rsidRPr="00496FB9">
        <w:rPr>
          <w:rFonts w:ascii="Sylfaen" w:hAnsi="Sylfaen"/>
          <w:sz w:val="18"/>
        </w:rPr>
        <w:t xml:space="preserve"> օժանդակ նյութ (ներառյալ՝ ելանյութերը, որոնք կիրառվում են ԱԴԲ-ի (օժանդակ նյութի) արտադրության մեջ):</w:t>
      </w:r>
    </w:p>
  </w:footnote>
  <w:footnote w:id="24">
    <w:p w14:paraId="31DB3FEC" w14:textId="77777777" w:rsidR="004A52D9" w:rsidRPr="00496FB9" w:rsidRDefault="004A52D9" w:rsidP="006F76EB">
      <w:pPr>
        <w:spacing w:after="120" w:line="240" w:lineRule="auto"/>
        <w:ind w:right="-8"/>
        <w:rPr>
          <w:rFonts w:ascii="Sylfaen" w:eastAsia="Times New Roman" w:hAnsi="Sylfaen" w:cs="Times New Roman"/>
          <w:sz w:val="18"/>
          <w:szCs w:val="18"/>
        </w:rPr>
      </w:pPr>
      <w:r w:rsidRPr="00496FB9">
        <w:rPr>
          <w:rStyle w:val="FootnoteReference"/>
          <w:rFonts w:ascii="Sylfaen" w:hAnsi="Sylfaen"/>
        </w:rPr>
        <w:t>2</w:t>
      </w:r>
      <w:r w:rsidRPr="00496FB9">
        <w:rPr>
          <w:rFonts w:ascii="Sylfaen" w:hAnsi="Sylfaen"/>
        </w:rPr>
        <w:t xml:space="preserve"> </w:t>
      </w:r>
      <w:r w:rsidRPr="00496FB9">
        <w:rPr>
          <w:rFonts w:ascii="Sylfaen" w:hAnsi="Sylfaen"/>
          <w:sz w:val="18"/>
        </w:rPr>
        <w:t>Ռ</w:t>
      </w:r>
      <w:r>
        <w:rPr>
          <w:rFonts w:ascii="Sylfaen" w:hAnsi="Sylfaen"/>
          <w:sz w:val="18"/>
        </w:rPr>
        <w:t xml:space="preserve"> </w:t>
      </w:r>
      <w:r w:rsidRPr="00263846">
        <w:rPr>
          <w:rFonts w:ascii="Sylfaen" w:hAnsi="Sylfaen"/>
          <w:sz w:val="18"/>
        </w:rPr>
        <w:t>—</w:t>
      </w:r>
      <w:r w:rsidRPr="00496FB9">
        <w:rPr>
          <w:rFonts w:ascii="Sylfaen" w:hAnsi="Sylfaen"/>
          <w:sz w:val="18"/>
        </w:rPr>
        <w:t xml:space="preserve"> ռեագենտ/աճեցման միջավայր  (ներառյալ՝ բջիջների գլխավոր և աշխատանքային բանկերի պատրաստման համար օգտագործվող):</w:t>
      </w:r>
    </w:p>
  </w:footnote>
  <w:footnote w:id="25">
    <w:p w14:paraId="43300E0F" w14:textId="3DE7C393" w:rsidR="004A52D9" w:rsidRPr="00496FB9" w:rsidRDefault="004A52D9" w:rsidP="006F76EB">
      <w:pPr>
        <w:spacing w:after="120" w:line="240" w:lineRule="auto"/>
        <w:ind w:right="-8"/>
        <w:jc w:val="both"/>
        <w:rPr>
          <w:rFonts w:ascii="Sylfaen" w:eastAsia="Times New Roman" w:hAnsi="Sylfaen" w:cs="Times New Roman"/>
        </w:rPr>
      </w:pPr>
      <w:r w:rsidRPr="00496FB9">
        <w:rPr>
          <w:rStyle w:val="FootnoteReference"/>
          <w:rFonts w:ascii="Sylfaen" w:hAnsi="Sylfaen"/>
        </w:rPr>
        <w:sym w:font="Symbol" w:char="F02A"/>
      </w:r>
      <w:r w:rsidRPr="006746F0">
        <w:rPr>
          <w:rFonts w:ascii="Sylfaen" w:hAnsi="Sylfaen"/>
          <w:sz w:val="20"/>
          <w:szCs w:val="20"/>
        </w:rPr>
        <w:t xml:space="preserve">Փաստաթղթերը ներկայացվում են, եթե Եվրասիական տնտեսական միության անդամ պետության օրենսդրությամբ բացակայում է </w:t>
      </w:r>
      <w:r w:rsidR="0056496B">
        <w:rPr>
          <w:rFonts w:ascii="Sylfaen" w:hAnsi="Sylfaen"/>
          <w:sz w:val="20"/>
          <w:szCs w:val="20"/>
        </w:rPr>
        <w:t>դիմումատու</w:t>
      </w:r>
      <w:r w:rsidRPr="006746F0">
        <w:rPr>
          <w:rFonts w:ascii="Sylfaen" w:hAnsi="Sylfaen"/>
          <w:sz w:val="20"/>
          <w:szCs w:val="20"/>
        </w:rPr>
        <w:t>ից այնպիսի փաստաթղթեր պահանջելու արգելքը, որոնք գտնվում են լիազորված մարմնի տնօրինության տակ կամ կարող են ձեռք բերվել նրա կողմից ինքնուրույնաբար:</w:t>
      </w:r>
    </w:p>
  </w:footnote>
  <w:footnote w:id="26">
    <w:p w14:paraId="259840AC" w14:textId="4F982425" w:rsidR="004A52D9" w:rsidRPr="00B33E97" w:rsidRDefault="004A52D9" w:rsidP="006F76EB">
      <w:pPr>
        <w:spacing w:after="120" w:line="240" w:lineRule="auto"/>
        <w:ind w:right="-6"/>
        <w:jc w:val="both"/>
        <w:rPr>
          <w:rFonts w:ascii="Sylfaen" w:eastAsia="Times New Roman" w:hAnsi="Sylfaen" w:cs="Times New Roman"/>
          <w:sz w:val="20"/>
          <w:szCs w:val="20"/>
        </w:rPr>
      </w:pPr>
      <w:r w:rsidRPr="00B33E97">
        <w:rPr>
          <w:rStyle w:val="FootnoteReference"/>
          <w:rFonts w:ascii="Sylfaen" w:hAnsi="Sylfaen"/>
          <w:sz w:val="20"/>
          <w:szCs w:val="20"/>
        </w:rPr>
        <w:sym w:font="Symbol" w:char="F02A"/>
      </w:r>
      <w:r w:rsidRPr="00B33E97">
        <w:rPr>
          <w:rStyle w:val="FootnoteReference"/>
          <w:rFonts w:ascii="Sylfaen" w:hAnsi="Sylfaen"/>
          <w:sz w:val="20"/>
          <w:szCs w:val="20"/>
        </w:rPr>
        <w:sym w:font="Symbol" w:char="F02A"/>
      </w:r>
      <w:r w:rsidRPr="00B33E97">
        <w:rPr>
          <w:rFonts w:ascii="Sylfaen" w:hAnsi="Sylfaen"/>
          <w:sz w:val="20"/>
          <w:szCs w:val="20"/>
        </w:rPr>
        <w:t xml:space="preserve"> 3.2.S բաժնում ներկայացման համար անհրաժեշտ տեղեկությունների նվազագույն ծավալը։ Եթե փաստաթղթերի առանձին տեսակներ չեն ընդգրկվում դոսյեում, ապա համապատասխան բաժնում անհրաժեշտ է ներկայացնել հիմնավորում։ Կենդանական ծագման պատրաստուկների համար 3.2.S բաժնում անհրաժեշտ է ներկայացնել հետ</w:t>
      </w:r>
      <w:r>
        <w:rPr>
          <w:rFonts w:ascii="Sylfaen" w:hAnsi="Sylfaen"/>
          <w:sz w:val="20"/>
          <w:szCs w:val="20"/>
        </w:rPr>
        <w:t>եւ</w:t>
      </w:r>
      <w:r w:rsidRPr="00B33E97">
        <w:rPr>
          <w:rFonts w:ascii="Sylfaen" w:hAnsi="Sylfaen"/>
          <w:sz w:val="20"/>
          <w:szCs w:val="20"/>
        </w:rPr>
        <w:t>յալ լրացուցիչ տեղեկությունները՝ այն կենդանիների տեսակի, տարիքի, օրաբաժնի վերաբերյալ տվյալներ, որոնցից ստացվել է հումքը, այն հյուսվածքի բնույթի (կատեգորիայի) վերաբերյալ տվյալները, որից ստացվել է դեղապատրասուկի արտադրության համար հումքը՝ պրիոնների պարունակությամբ պայմանավորված դրա վտանգավորության տեսանկյունից, հումքի մշակման տեխնոլոգիական սխեման,</w:t>
      </w:r>
      <w:r>
        <w:rPr>
          <w:rFonts w:ascii="Sylfaen" w:hAnsi="Sylfaen"/>
          <w:sz w:val="20"/>
          <w:szCs w:val="20"/>
        </w:rPr>
        <w:t xml:space="preserve"> </w:t>
      </w:r>
      <w:r w:rsidRPr="00B33E97">
        <w:rPr>
          <w:rFonts w:ascii="Sylfaen" w:hAnsi="Sylfaen"/>
          <w:sz w:val="20"/>
          <w:szCs w:val="20"/>
        </w:rPr>
        <w:t xml:space="preserve">լուծահանող նյութերի (էքստրագենտներ) </w:t>
      </w:r>
      <w:r>
        <w:rPr>
          <w:rFonts w:ascii="Sylfaen" w:hAnsi="Sylfaen"/>
          <w:sz w:val="20"/>
          <w:szCs w:val="20"/>
        </w:rPr>
        <w:t>եւ</w:t>
      </w:r>
      <w:r w:rsidRPr="00B33E97">
        <w:rPr>
          <w:rFonts w:ascii="Sylfaen" w:hAnsi="Sylfaen"/>
          <w:sz w:val="20"/>
          <w:szCs w:val="20"/>
        </w:rPr>
        <w:t xml:space="preserve"> տեխնոլոգիական պարամետրերի նշումով, հումքի որակի հսկողության մեթոդները, ներառյալ՝ դեղապատրաստուկում պրիոնների </w:t>
      </w:r>
      <w:r w:rsidR="00FB4A19">
        <w:rPr>
          <w:rFonts w:ascii="Sylfaen" w:hAnsi="Sylfaen"/>
          <w:sz w:val="20"/>
          <w:szCs w:val="20"/>
        </w:rPr>
        <w:t>հայտնաբերման</w:t>
      </w:r>
      <w:r w:rsidRPr="00B33E97">
        <w:rPr>
          <w:rFonts w:ascii="Sylfaen" w:hAnsi="Sylfaen"/>
          <w:sz w:val="20"/>
          <w:szCs w:val="20"/>
        </w:rPr>
        <w:t xml:space="preserve"> մեթոդները (անհրաժեշտության դեպքում)։</w:t>
      </w:r>
    </w:p>
  </w:footnote>
  <w:footnote w:id="27">
    <w:p w14:paraId="5CF5DD8D" w14:textId="67036DAD" w:rsidR="004A52D9" w:rsidRPr="006528A7" w:rsidRDefault="004A52D9" w:rsidP="006F76EB">
      <w:pPr>
        <w:spacing w:after="120" w:line="240" w:lineRule="auto"/>
        <w:ind w:right="-8"/>
        <w:jc w:val="both"/>
        <w:rPr>
          <w:rFonts w:ascii="Sylfaen" w:eastAsia="Times New Roman" w:hAnsi="Sylfaen" w:cs="Times New Roman"/>
          <w:sz w:val="20"/>
          <w:szCs w:val="20"/>
        </w:rPr>
      </w:pPr>
      <w:r w:rsidRPr="00CC46E8">
        <w:rPr>
          <w:rStyle w:val="FootnoteReference"/>
        </w:rPr>
        <w:t>***</w:t>
      </w:r>
      <w:r w:rsidRPr="00CC46E8">
        <w:t xml:space="preserve"> </w:t>
      </w:r>
      <w:r w:rsidRPr="006528A7">
        <w:rPr>
          <w:rFonts w:ascii="Sylfaen" w:hAnsi="Sylfaen"/>
          <w:sz w:val="20"/>
          <w:szCs w:val="20"/>
        </w:rPr>
        <w:t>Նախքան Եվրասիական տնտեսական հանձնաժողովի</w:t>
      </w:r>
      <w:r>
        <w:rPr>
          <w:rFonts w:ascii="Sylfaen" w:hAnsi="Sylfaen"/>
          <w:sz w:val="20"/>
          <w:szCs w:val="20"/>
        </w:rPr>
        <w:t xml:space="preserve"> </w:t>
      </w:r>
      <w:r w:rsidRPr="006528A7">
        <w:rPr>
          <w:rFonts w:ascii="Sylfaen" w:hAnsi="Sylfaen"/>
          <w:sz w:val="20"/>
          <w:szCs w:val="20"/>
        </w:rPr>
        <w:t xml:space="preserve">հանձնարարականներն ընդունելը դեղապատրաստուկի որակի հսկողության </w:t>
      </w:r>
      <w:r>
        <w:rPr>
          <w:rFonts w:ascii="Sylfaen" w:hAnsi="Sylfaen"/>
          <w:sz w:val="20"/>
          <w:szCs w:val="20"/>
        </w:rPr>
        <w:t>եւ</w:t>
      </w:r>
      <w:r w:rsidRPr="006528A7">
        <w:rPr>
          <w:rFonts w:ascii="Sylfaen" w:hAnsi="Sylfaen"/>
          <w:sz w:val="20"/>
          <w:szCs w:val="20"/>
        </w:rPr>
        <w:t xml:space="preserve"> անվտանգության վերաբերյալ նորմատիվ փաստաթղթի նախագիծը նախապատրաստվում է այն գրանցման պետության ուղեցույցներին համապատասխան, որին ներկայացվում է դեղապատրաստուկի գրանցման </w:t>
      </w:r>
      <w:r w:rsidR="0056496B">
        <w:rPr>
          <w:rFonts w:ascii="Sylfaen" w:hAnsi="Sylfaen"/>
          <w:sz w:val="20"/>
          <w:szCs w:val="20"/>
        </w:rPr>
        <w:t>դիմում</w:t>
      </w:r>
      <w:r w:rsidRPr="006528A7">
        <w:rPr>
          <w:rFonts w:ascii="Sylfaen" w:hAnsi="Sylfaen"/>
          <w:sz w:val="20"/>
          <w:szCs w:val="20"/>
        </w:rPr>
        <w:t>ը:</w:t>
      </w:r>
    </w:p>
  </w:footnote>
  <w:footnote w:id="28">
    <w:p w14:paraId="5F41469C" w14:textId="5587662C" w:rsidR="004A52D9" w:rsidRPr="00297352" w:rsidRDefault="004A52D9" w:rsidP="00297352">
      <w:pPr>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Որակի ամփոփիչ ռեզյումեի </w:t>
      </w:r>
      <w:r w:rsidRPr="00297352">
        <w:rPr>
          <w:rFonts w:ascii="Sylfaen" w:hAnsi="Sylfaen"/>
          <w:sz w:val="20"/>
          <w:szCs w:val="20"/>
        </w:rPr>
        <w:t xml:space="preserve">մանրամասնեցման կամընտրականությունը նախատեսված է պատրաստուկների բարդության տարբեր աստիճաններին հարմարվելու նպատակով: </w:t>
      </w:r>
      <w:r w:rsidR="0056496B">
        <w:rPr>
          <w:rFonts w:ascii="Sylfaen" w:hAnsi="Sylfaen"/>
          <w:sz w:val="20"/>
          <w:szCs w:val="20"/>
        </w:rPr>
        <w:t>Դիմումատու</w:t>
      </w:r>
      <w:r w:rsidRPr="00297352">
        <w:rPr>
          <w:rFonts w:ascii="Sylfaen" w:hAnsi="Sylfaen"/>
          <w:sz w:val="20"/>
          <w:szCs w:val="20"/>
        </w:rPr>
        <w:t>ն իրավունք ունի ընտրելու որակի ամփոփ ռեզյումե կազմելու մակարդակը:</w:t>
      </w:r>
    </w:p>
  </w:footnote>
  <w:footnote w:id="29">
    <w:p w14:paraId="663EA716" w14:textId="77777777" w:rsidR="004A52D9" w:rsidRPr="00297352"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Յուրաքանչյուր դեղագործական բաղադրամասի համար անհրաժեշտ է ներկայացնել առանձին փաստաթուղթ:</w:t>
      </w:r>
    </w:p>
  </w:footnote>
  <w:footnote w:id="30">
    <w:p w14:paraId="0C9CDDB9" w14:textId="77777777" w:rsidR="004A52D9" w:rsidRPr="0073600E" w:rsidRDefault="004A52D9" w:rsidP="00297352">
      <w:pPr>
        <w:spacing w:after="0" w:line="240" w:lineRule="auto"/>
        <w:ind w:right="40"/>
        <w:jc w:val="both"/>
        <w:rPr>
          <w:rFonts w:ascii="Sylfaen" w:hAnsi="Sylfaen"/>
          <w:sz w:val="20"/>
          <w:szCs w:val="20"/>
        </w:rPr>
      </w:pPr>
      <w:r w:rsidRPr="00297352">
        <w:rPr>
          <w:rStyle w:val="FootnoteReference"/>
          <w:rFonts w:ascii="Sylfaen" w:hAnsi="Sylfaen"/>
          <w:sz w:val="20"/>
          <w:szCs w:val="20"/>
        </w:rPr>
        <w:footnoteRef/>
      </w:r>
      <w:r w:rsidRPr="00297352">
        <w:rPr>
          <w:rFonts w:ascii="Sylfaen" w:hAnsi="Sylfaen"/>
          <w:sz w:val="20"/>
          <w:szCs w:val="20"/>
        </w:rPr>
        <w:t xml:space="preserve"> Եթե դեղապատրաստուկն առաքվում է վերականգնման համար լուծիչների հետ, լուծիչների մասին տեղեկություններն անհրաժեշտ է ներկայացնել «P»</w:t>
      </w:r>
      <w:r w:rsidRPr="0073600E">
        <w:rPr>
          <w:rFonts w:ascii="Sylfaen" w:hAnsi="Sylfaen"/>
          <w:sz w:val="20"/>
          <w:szCs w:val="20"/>
        </w:rPr>
        <w:t xml:space="preserve"> փաստաթղթի առանձին մասում:</w:t>
      </w:r>
    </w:p>
    <w:p w14:paraId="78F2B6CE" w14:textId="77777777" w:rsidR="004A52D9" w:rsidRPr="0081587C" w:rsidRDefault="004A52D9">
      <w:pPr>
        <w:pStyle w:val="FootnoteText"/>
      </w:pPr>
    </w:p>
  </w:footnote>
  <w:footnote w:id="31">
    <w:p w14:paraId="125BEA4F" w14:textId="77777777" w:rsidR="004A52D9" w:rsidRPr="0081587C" w:rsidRDefault="004A52D9" w:rsidP="00297352">
      <w:pPr>
        <w:pStyle w:val="FootnoteText"/>
        <w:ind w:right="40"/>
        <w:jc w:val="both"/>
      </w:pPr>
      <w:r>
        <w:rPr>
          <w:rStyle w:val="FootnoteReference"/>
        </w:rPr>
        <w:footnoteRef/>
      </w:r>
      <w:r>
        <w:t xml:space="preserve"> </w:t>
      </w:r>
      <w:r w:rsidRPr="0073600E">
        <w:rPr>
          <w:rFonts w:ascii="Sylfaen" w:hAnsi="Sylfaen"/>
        </w:rPr>
        <w:t>Կիրառման յուրաքանչյուր ցուցման մասով անհրաժեշտ է ներկայացնել առանձին փաստաթուղթ, սակայն թույլատրվում է միանման կիրառման ցուցումները ներկայացնել մեկ փաստաթղթում:</w:t>
      </w:r>
    </w:p>
  </w:footnote>
  <w:footnote w:id="32">
    <w:p w14:paraId="6B389AB5" w14:textId="0B2C9880" w:rsidR="004A52D9" w:rsidRPr="00814E26" w:rsidRDefault="004A52D9" w:rsidP="00297352">
      <w:pPr>
        <w:spacing w:after="0" w:line="240" w:lineRule="auto"/>
        <w:jc w:val="both"/>
      </w:pPr>
      <w:r>
        <w:rPr>
          <w:rStyle w:val="FootnoteReference"/>
        </w:rPr>
        <w:footnoteRef/>
      </w:r>
      <w:r w:rsidRPr="00814E26">
        <w:t xml:space="preserve"> </w:t>
      </w:r>
      <w:r w:rsidRPr="0073600E">
        <w:rPr>
          <w:rFonts w:ascii="Sylfaen" w:hAnsi="Sylfaen"/>
          <w:sz w:val="20"/>
          <w:szCs w:val="20"/>
        </w:rPr>
        <w:t xml:space="preserve">Տվյալ մոդուլում մանրամասնեցման աստիճանն ընտրելիս </w:t>
      </w:r>
      <w:r w:rsidR="0056496B">
        <w:rPr>
          <w:rFonts w:ascii="Sylfaen" w:hAnsi="Sylfaen"/>
          <w:sz w:val="20"/>
          <w:szCs w:val="20"/>
        </w:rPr>
        <w:t>դիմումատու</w:t>
      </w:r>
      <w:r w:rsidRPr="0073600E">
        <w:rPr>
          <w:rFonts w:ascii="Sylfaen" w:hAnsi="Sylfaen"/>
          <w:sz w:val="20"/>
          <w:szCs w:val="20"/>
        </w:rPr>
        <w:t xml:space="preserve">ն պետք է հաշվի առնի, որ համապատասխան տեղեկությունների փոփոխության դեպքում պատրաստուկի կենսական պարբերաշրջանի ցանկացած պահի պահանջվում է ԸՏՓ-ում եւ էԸՏՓ-ում փաստաթղթերի (ֆայլերի) ամբողջական փոխարինում: </w:t>
      </w:r>
    </w:p>
  </w:footnote>
  <w:footnote w:id="33">
    <w:p w14:paraId="759412ED" w14:textId="77777777" w:rsidR="004A52D9" w:rsidRPr="00814E26" w:rsidRDefault="004A52D9" w:rsidP="00297352">
      <w:pPr>
        <w:pStyle w:val="FootnoteText"/>
        <w:jc w:val="both"/>
      </w:pPr>
      <w:r>
        <w:rPr>
          <w:rStyle w:val="FootnoteReference"/>
        </w:rPr>
        <w:footnoteRef/>
      </w:r>
      <w:r>
        <w:t xml:space="preserve"> </w:t>
      </w:r>
      <w:r w:rsidRPr="0073600E">
        <w:rPr>
          <w:rFonts w:ascii="Sylfaen" w:hAnsi="Sylfaen"/>
        </w:rPr>
        <w:t>Եթե դեղապատրաստուկը պարունակում է մի քանի դեղագործական բաղադրամասեր, ապա «S»</w:t>
      </w:r>
      <w:r w:rsidRPr="00421BB4">
        <w:rPr>
          <w:rFonts w:ascii="Sylfaen" w:hAnsi="Sylfaen"/>
        </w:rPr>
        <w:t> </w:t>
      </w:r>
      <w:r w:rsidRPr="0073600E">
        <w:rPr>
          <w:rFonts w:ascii="Sylfaen" w:hAnsi="Sylfaen"/>
        </w:rPr>
        <w:t>բաժնի համար պահանջվող տեղեկությունները հարկ է ներկայացնել յուրաքանչյուր դեղագործական բաղադրամասի համար ամբողջական ծավալով:</w:t>
      </w:r>
    </w:p>
  </w:footnote>
  <w:footnote w:id="34">
    <w:p w14:paraId="4CA713FE" w14:textId="77777777" w:rsidR="004A52D9" w:rsidRPr="0073600E" w:rsidRDefault="004A52D9" w:rsidP="00297352">
      <w:pPr>
        <w:spacing w:after="0" w:line="240" w:lineRule="auto"/>
        <w:ind w:right="-1"/>
        <w:jc w:val="both"/>
        <w:rPr>
          <w:rFonts w:ascii="Sylfaen" w:hAnsi="Sylfaen"/>
          <w:sz w:val="20"/>
          <w:szCs w:val="20"/>
        </w:rPr>
      </w:pPr>
      <w:r>
        <w:rPr>
          <w:rStyle w:val="FootnoteReference"/>
        </w:rPr>
        <w:footnoteRef/>
      </w:r>
      <w:r>
        <w:t xml:space="preserve"> </w:t>
      </w:r>
      <w:r w:rsidRPr="0073600E">
        <w:rPr>
          <w:rFonts w:ascii="Sylfaen" w:hAnsi="Sylfaen"/>
          <w:sz w:val="20"/>
          <w:szCs w:val="20"/>
        </w:rPr>
        <w:t>Եթե դեղապատրաստուկն առաքվում է վերականգնման համար լուծիչի (լուծիչների) հետ միասին, լուծիչների մասին տեղեկություններն անհրաժեշտ է ներկայացնել առանձին «P» բաժնում՝ հանգամանքներին համապատասխան:</w:t>
      </w:r>
    </w:p>
    <w:p w14:paraId="40B6E7E4" w14:textId="77777777" w:rsidR="004A52D9" w:rsidRPr="00814E26" w:rsidRDefault="004A52D9">
      <w:pPr>
        <w:pStyle w:val="FootnoteText"/>
      </w:pPr>
    </w:p>
  </w:footnote>
  <w:footnote w:id="35">
    <w:p w14:paraId="43EAEFE4" w14:textId="77777777" w:rsidR="004A52D9" w:rsidRPr="00814E26" w:rsidRDefault="004A52D9" w:rsidP="00297352">
      <w:pPr>
        <w:pStyle w:val="FootnoteText"/>
        <w:jc w:val="both"/>
      </w:pPr>
      <w:r>
        <w:rPr>
          <w:rStyle w:val="FootnoteReference"/>
        </w:rPr>
        <w:footnoteRef/>
      </w:r>
      <w:r w:rsidRPr="00814E26">
        <w:rPr>
          <w:rFonts w:ascii="Sylfaen" w:hAnsi="Sylfaen"/>
        </w:rPr>
        <w:t xml:space="preserve"> </w:t>
      </w:r>
      <w:r w:rsidRPr="0073600E">
        <w:rPr>
          <w:rFonts w:ascii="Sylfaen" w:hAnsi="Sylfaen"/>
        </w:rPr>
        <w:t>Քիչ հավանական է, որ որակի ԸՏՓ-ի բաժնում ներառված վերնագրերի ստորին մակարդակն այս տեղում կներկայացվի առանձին փաստաթղթերով կամ ֆայլերով:</w:t>
      </w:r>
    </w:p>
  </w:footnote>
  <w:footnote w:id="36">
    <w:p w14:paraId="2701E468" w14:textId="77777777" w:rsidR="004A52D9" w:rsidRPr="0073600E" w:rsidRDefault="004A52D9" w:rsidP="002239BE">
      <w:pPr>
        <w:spacing w:after="0" w:line="240" w:lineRule="auto"/>
        <w:jc w:val="both"/>
        <w:rPr>
          <w:rFonts w:ascii="Sylfaen" w:hAnsi="Sylfaen"/>
          <w:sz w:val="20"/>
          <w:szCs w:val="20"/>
        </w:rPr>
      </w:pPr>
      <w:r>
        <w:rPr>
          <w:rStyle w:val="FootnoteReference"/>
        </w:rPr>
        <w:footnoteRef/>
      </w:r>
      <w:r>
        <w:t xml:space="preserve"> </w:t>
      </w:r>
      <w:r w:rsidRPr="0073600E">
        <w:rPr>
          <w:rFonts w:ascii="Sylfaen" w:hAnsi="Sylfaen"/>
          <w:sz w:val="20"/>
          <w:szCs w:val="20"/>
        </w:rPr>
        <w:t xml:space="preserve">Գրականության ցանկն անհրաժեշտ է ներառել բովանդակության մեջ: </w:t>
      </w:r>
    </w:p>
    <w:p w14:paraId="0EA436D0" w14:textId="77777777" w:rsidR="004A52D9" w:rsidRPr="00814E26" w:rsidRDefault="004A52D9">
      <w:pPr>
        <w:pStyle w:val="FootnoteText"/>
      </w:pPr>
    </w:p>
  </w:footnote>
  <w:footnote w:id="37">
    <w:p w14:paraId="4CD7728C" w14:textId="317BCB17" w:rsidR="004A52D9" w:rsidRPr="0073600E" w:rsidRDefault="004A52D9" w:rsidP="008C76E0">
      <w:pPr>
        <w:spacing w:after="0" w:line="240" w:lineRule="auto"/>
        <w:ind w:right="-1"/>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4-րդ մոդուլում ներառված յուրաքանչյուր հաշվետվության համար, որպես կանոն, անհրաժեշտ է ներկայացնել մեկ փաստաթուղթ: Այնուհանդերձ, եթե հետազոտության վերաբերյալ հաշվետվությունը ծավալուն է (օրինակ՝ քաղցկեղածնության հետազոտությունը), </w:t>
      </w:r>
      <w:r w:rsidR="0056496B">
        <w:rPr>
          <w:rFonts w:ascii="Sylfaen" w:hAnsi="Sylfaen"/>
          <w:sz w:val="20"/>
          <w:szCs w:val="20"/>
        </w:rPr>
        <w:t>դիմումատու</w:t>
      </w:r>
      <w:r w:rsidRPr="0073600E">
        <w:rPr>
          <w:rFonts w:ascii="Sylfaen" w:hAnsi="Sylfaen"/>
          <w:sz w:val="20"/>
          <w:szCs w:val="20"/>
        </w:rPr>
        <w:t xml:space="preserve">ն իրավունք ունի հաշվետվությունը ներկայացնելու մի քանի փաստաթղթի տեսքով: Այդ դեպքում հաշվետվության նկարագրական մասը պետք է ներկայացվի մեկ փաստաթղթով, իսկ հավելվածը՝ մեկ կամ մի քանի փաստաթղթերով: Այդ հաշվետվությունների մանրամասնեցման աստիճանն ընտրելիս </w:t>
      </w:r>
      <w:r w:rsidR="0056496B">
        <w:rPr>
          <w:rFonts w:ascii="Sylfaen" w:hAnsi="Sylfaen"/>
          <w:sz w:val="20"/>
          <w:szCs w:val="20"/>
        </w:rPr>
        <w:t>դիմումատու</w:t>
      </w:r>
      <w:r w:rsidRPr="0073600E">
        <w:rPr>
          <w:rFonts w:ascii="Sylfaen" w:hAnsi="Sylfaen"/>
          <w:sz w:val="20"/>
          <w:szCs w:val="20"/>
        </w:rPr>
        <w:t>ն պետք է հաշվի առնի, որ դեղապատրաստուկի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38">
    <w:p w14:paraId="00524C6A" w14:textId="77777777" w:rsidR="004A52D9" w:rsidRPr="0073600E" w:rsidRDefault="004A52D9" w:rsidP="008C76E0">
      <w:pPr>
        <w:pStyle w:val="FootnoteText"/>
        <w:jc w:val="both"/>
        <w:rPr>
          <w:rFonts w:ascii="Sylfaen" w:hAnsi="Sylfaen"/>
        </w:rPr>
      </w:pPr>
      <w:r w:rsidRPr="0073600E">
        <w:rPr>
          <w:rStyle w:val="FootnoteReference"/>
          <w:rFonts w:ascii="Sylfaen" w:hAnsi="Sylfaen"/>
        </w:rPr>
        <w:footnoteRef/>
      </w:r>
      <w:r w:rsidRPr="0073600E">
        <w:rPr>
          <w:rFonts w:ascii="Sylfaen" w:hAnsi="Sylfaen"/>
        </w:rPr>
        <w:t xml:space="preserve"> </w:t>
      </w:r>
      <w:r w:rsidRPr="002F1507">
        <w:rPr>
          <w:rFonts w:ascii="Sylfaen" w:hAnsi="Sylfaen"/>
        </w:rPr>
        <w:t xml:space="preserve"> </w:t>
      </w:r>
      <w:r w:rsidRPr="0073600E">
        <w:rPr>
          <w:rFonts w:ascii="Sylfaen" w:hAnsi="Sylfaen"/>
        </w:rPr>
        <w:t>Գրականության ցանկն անհրաժեշտ է ներառել բովանդակության մեջ:</w:t>
      </w:r>
    </w:p>
  </w:footnote>
  <w:footnote w:id="39">
    <w:p w14:paraId="704A3308" w14:textId="3F8613B0" w:rsidR="004A52D9" w:rsidRPr="0073600E" w:rsidRDefault="004A52D9" w:rsidP="008C76E0">
      <w:pPr>
        <w:spacing w:after="0" w:line="240" w:lineRule="auto"/>
        <w:jc w:val="both"/>
        <w:rPr>
          <w:rFonts w:ascii="Sylfaen" w:hAnsi="Sylfaen"/>
          <w:sz w:val="20"/>
          <w:szCs w:val="20"/>
        </w:rPr>
      </w:pPr>
      <w:r w:rsidRPr="0073600E">
        <w:rPr>
          <w:rStyle w:val="FootnoteReference"/>
          <w:rFonts w:ascii="Sylfaen" w:hAnsi="Sylfaen"/>
          <w:sz w:val="20"/>
          <w:szCs w:val="20"/>
        </w:rPr>
        <w:footnoteRef/>
      </w:r>
      <w:r w:rsidRPr="0073600E">
        <w:rPr>
          <w:rFonts w:ascii="Sylfaen" w:hAnsi="Sylfaen"/>
          <w:sz w:val="20"/>
          <w:szCs w:val="20"/>
        </w:rPr>
        <w:t xml:space="preserve"> </w:t>
      </w:r>
      <w:r w:rsidR="0056496B">
        <w:rPr>
          <w:rFonts w:ascii="Sylfaen" w:hAnsi="Sylfaen"/>
          <w:sz w:val="20"/>
          <w:szCs w:val="20"/>
        </w:rPr>
        <w:t>Դիմումատու</w:t>
      </w:r>
      <w:r w:rsidRPr="0073600E">
        <w:rPr>
          <w:rFonts w:ascii="Sylfaen" w:hAnsi="Sylfaen"/>
          <w:sz w:val="20"/>
          <w:szCs w:val="20"/>
        </w:rPr>
        <w:t xml:space="preserve">ները, որպես կանոն, պետք է հետազոտությունների մասին հաշվետվությունները ներկայացնեն մի քանի փաստաթղթերի տեսքով (համառոտագիր, հետազոտության մասին հաշվետվության բովանդակային մաս եւ անհրաժեշտ հավելվածներ): Հավելվածներն անհրաժեշտ է կազմել Եվրասիական տնտեսական միության պատշաճ կլինիկական գործելակերպի կանոնների թիվ 1 հավելվածին համապատասխան, որում նկարագրվում են կլինիկական հետազոտության մասին հաշվետվության բովանդակությունն ու ձեւաչափը: Այդ հաշվետվությունների մանրամասնեցման աստիճանն ընտրելիս հարկավոր է, որ </w:t>
      </w:r>
      <w:r w:rsidR="0056496B">
        <w:rPr>
          <w:rFonts w:ascii="Sylfaen" w:hAnsi="Sylfaen"/>
          <w:sz w:val="20"/>
          <w:szCs w:val="20"/>
        </w:rPr>
        <w:t>դիմումատու</w:t>
      </w:r>
      <w:r w:rsidRPr="0073600E">
        <w:rPr>
          <w:rFonts w:ascii="Sylfaen" w:hAnsi="Sylfaen"/>
          <w:sz w:val="20"/>
          <w:szCs w:val="20"/>
        </w:rPr>
        <w:t>ն հաշվի առնի, որ պատրաստուկի կենսական պարբերաշրջանի ցանկացած պահին համապատասխան տեղեկությունների փոփոխության դեպքում պահանջվում է փաստաթղթերի (ֆայլերի) ամբողջական փոխարինում:</w:t>
      </w:r>
    </w:p>
  </w:footnote>
  <w:footnote w:id="40">
    <w:p w14:paraId="6994A068" w14:textId="77777777" w:rsidR="004A52D9" w:rsidRPr="0073600E" w:rsidRDefault="004A52D9" w:rsidP="008C76E0">
      <w:pPr>
        <w:spacing w:after="0" w:line="240" w:lineRule="auto"/>
        <w:jc w:val="both"/>
        <w:rPr>
          <w:rFonts w:ascii="Sylfaen" w:hAnsi="Sylfaen"/>
          <w:sz w:val="20"/>
          <w:szCs w:val="20"/>
        </w:rPr>
      </w:pPr>
      <w:r>
        <w:rPr>
          <w:rStyle w:val="FootnoteReference"/>
          <w:sz w:val="16"/>
        </w:rPr>
        <w:footnoteRef/>
      </w:r>
      <w:r>
        <w:rPr>
          <w:sz w:val="16"/>
        </w:rPr>
        <w:t xml:space="preserve"> </w:t>
      </w:r>
      <w:r w:rsidRPr="0073600E">
        <w:rPr>
          <w:rFonts w:ascii="Sylfaen" w:hAnsi="Sylfaen"/>
          <w:sz w:val="20"/>
          <w:szCs w:val="20"/>
        </w:rPr>
        <w:t xml:space="preserve">Եթե գրանցման դոսյեում ընդգրկված են կիրառման մի քանի ցուցումներ, ապա տվյալ բաժինը կրկնօրինակում են՝ յուրաքանչյուր ցուցման համար առանձին: </w:t>
      </w:r>
    </w:p>
  </w:footnote>
  <w:footnote w:id="41">
    <w:p w14:paraId="05DAB098" w14:textId="77777777" w:rsidR="004A52D9" w:rsidRPr="00CD1681" w:rsidRDefault="004A52D9" w:rsidP="008C76E0">
      <w:pPr>
        <w:pStyle w:val="FootnoteText"/>
        <w:jc w:val="both"/>
        <w:rPr>
          <w:rFonts w:ascii="Sylfaen" w:hAnsi="Sylfaen"/>
          <w:sz w:val="16"/>
        </w:rPr>
      </w:pPr>
      <w:r w:rsidRPr="00F75C7A">
        <w:rPr>
          <w:rStyle w:val="FootnoteReference"/>
          <w:rFonts w:ascii="Sylfaen" w:hAnsi="Sylfaen"/>
        </w:rPr>
        <w:footnoteRef/>
      </w:r>
      <w:r w:rsidRPr="00903D92">
        <w:rPr>
          <w:rFonts w:ascii="Sylfaen" w:hAnsi="Sylfaen"/>
        </w:rPr>
        <w:t xml:space="preserve"> </w:t>
      </w:r>
      <w:r w:rsidRPr="00F75C7A">
        <w:rPr>
          <w:rFonts w:ascii="Sylfaen" w:hAnsi="Sylfaen"/>
        </w:rPr>
        <w:t>Գրականության ցանկն անհրաժեշտ է ներառել բովանդակության մեջ</w:t>
      </w:r>
      <w:r>
        <w:rPr>
          <w:rFonts w:ascii="Sylfaen" w:hAnsi="Sylfaen"/>
          <w:sz w:val="16"/>
        </w:rPr>
        <w:t>:</w:t>
      </w:r>
    </w:p>
  </w:footnote>
  <w:footnote w:id="42">
    <w:p w14:paraId="31B55F88" w14:textId="1358E671" w:rsidR="004A52D9" w:rsidRPr="008C76E0" w:rsidRDefault="004A52D9" w:rsidP="00513389">
      <w:pPr>
        <w:pStyle w:val="Tablecaption50"/>
        <w:shd w:val="clear" w:color="auto" w:fill="auto"/>
        <w:spacing w:after="120" w:line="240" w:lineRule="auto"/>
        <w:ind w:right="-1"/>
        <w:rPr>
          <w:rFonts w:ascii="Sylfaen" w:hAnsi="Sylfaen"/>
          <w:lang w:val="hy-AM"/>
        </w:rPr>
      </w:pPr>
      <w:r>
        <w:rPr>
          <w:rStyle w:val="FootnoteReference"/>
        </w:rPr>
        <w:footnoteRef/>
      </w:r>
      <w:r w:rsidRPr="00513389">
        <w:rPr>
          <w:lang w:val="hy-AM"/>
        </w:rPr>
        <w:t xml:space="preserve"> </w:t>
      </w:r>
      <w:r w:rsidRPr="008C76E0">
        <w:rPr>
          <w:rFonts w:ascii="Sylfaen" w:hAnsi="Sylfaen"/>
          <w:lang w:val="hy-AM"/>
        </w:rPr>
        <w:t xml:space="preserve">Խնդրում ենք, ուշադրություն դարձրեք այն հանգամանքին, որ այն </w:t>
      </w:r>
      <w:r w:rsidR="009F5829">
        <w:rPr>
          <w:rFonts w:ascii="Sylfaen" w:hAnsi="Sylfaen"/>
          <w:lang w:val="hy-AM"/>
        </w:rPr>
        <w:t>դիմումներ</w:t>
      </w:r>
      <w:r w:rsidRPr="008C76E0">
        <w:rPr>
          <w:rFonts w:ascii="Sylfaen" w:hAnsi="Sylfaen"/>
          <w:lang w:val="hy-AM"/>
        </w:rPr>
        <w:t>ի համար, որոնք ներկայացվում են գեներիկ եւ կենսահամանման դեղամիջոցների համար, երբ որպես ռեֆերենտ պատրաստուկ է հանդես գալիս Միության շուկայում իրացումը թույլատրված պատրաստուկը, կարեւոր է պատրաստուկի անվանման վերաբերյալ դիտողություններն ուղարկել հնարավորինս վաղ փուլում:</w:t>
      </w:r>
    </w:p>
    <w:p w14:paraId="161EB39C" w14:textId="77777777" w:rsidR="004A52D9" w:rsidRPr="00513389" w:rsidRDefault="004A52D9">
      <w:pPr>
        <w:pStyle w:val="FootnoteText"/>
      </w:pPr>
    </w:p>
  </w:footnote>
  <w:footnote w:id="43">
    <w:p w14:paraId="32DD1AED" w14:textId="5A4D1685" w:rsidR="004A52D9" w:rsidRDefault="004A52D9" w:rsidP="001B59AA">
      <w:pPr>
        <w:pStyle w:val="FootnoteText"/>
        <w:spacing w:after="120"/>
        <w:jc w:val="both"/>
        <w:rPr>
          <w:rFonts w:ascii="Sylfaen" w:hAnsi="Sylfaen"/>
        </w:rPr>
      </w:pPr>
      <w:r w:rsidRPr="00D05D60">
        <w:rPr>
          <w:rStyle w:val="FootnoteReference"/>
          <w:rFonts w:ascii="Sylfaen" w:hAnsi="Sylfaen"/>
        </w:rPr>
        <w:footnoteRef/>
      </w:r>
      <w:r w:rsidRPr="00D05D60">
        <w:rPr>
          <w:rFonts w:ascii="Sylfaen" w:hAnsi="Sylfaen"/>
        </w:rPr>
        <w:t xml:space="preserve"> Կավելացվի Միության յուրաքանչյուր անդամ պետության</w:t>
      </w:r>
      <w:r w:rsidRPr="00954F22">
        <w:rPr>
          <w:rFonts w:ascii="Sylfaen" w:hAnsi="Sylfaen"/>
        </w:rPr>
        <w:t xml:space="preserve"> պահանջներին համապատասխան</w:t>
      </w:r>
      <w:r>
        <w:rPr>
          <w:rFonts w:ascii="Sylfaen" w:hAnsi="Sylfaen"/>
        </w:rPr>
        <w:t>:</w:t>
      </w:r>
    </w:p>
    <w:p w14:paraId="10D996E4" w14:textId="77777777" w:rsidR="00803CF9" w:rsidRPr="00CD4709" w:rsidRDefault="00803CF9" w:rsidP="00803CF9">
      <w:pPr>
        <w:rPr>
          <w:b/>
          <w:bCs/>
          <w:i/>
          <w:iCs/>
          <w:lang w:val="en-US"/>
        </w:rPr>
      </w:pPr>
      <w:r w:rsidRPr="00CD4709">
        <w:rPr>
          <w:b/>
          <w:bCs/>
          <w:i/>
          <w:iCs/>
        </w:rPr>
        <w:t>(</w:t>
      </w:r>
      <w:r>
        <w:rPr>
          <w:b/>
          <w:bCs/>
          <w:i/>
          <w:iCs/>
        </w:rPr>
        <w:t xml:space="preserve">հավելվածը </w:t>
      </w:r>
      <w:r w:rsidRPr="00CD4709">
        <w:rPr>
          <w:b/>
          <w:bCs/>
          <w:i/>
          <w:iCs/>
        </w:rPr>
        <w:t>փոփ. 30.01.20 թիվ 9)</w:t>
      </w:r>
    </w:p>
    <w:p w14:paraId="5A65DCEF" w14:textId="77777777" w:rsidR="00803CF9" w:rsidRPr="00954F22" w:rsidRDefault="00803CF9" w:rsidP="001B59AA">
      <w:pPr>
        <w:pStyle w:val="FootnoteText"/>
        <w:spacing w:after="120"/>
        <w:jc w:val="both"/>
        <w:rPr>
          <w:rFonts w:ascii="Sylfaen" w:hAnsi="Sylfaen"/>
        </w:rPr>
      </w:pPr>
    </w:p>
  </w:footnote>
  <w:footnote w:id="44">
    <w:p w14:paraId="5A6E9388" w14:textId="5C7C5E50" w:rsidR="00BD67EC" w:rsidRPr="00E260DF" w:rsidRDefault="00BD67EC" w:rsidP="00BD67EC">
      <w:pPr>
        <w:spacing w:after="0" w:line="240" w:lineRule="auto"/>
        <w:rPr>
          <w:rFonts w:ascii="Sylfaen" w:hAnsi="Sylfaen"/>
          <w:sz w:val="20"/>
          <w:szCs w:val="20"/>
        </w:rPr>
      </w:pPr>
    </w:p>
  </w:footnote>
  <w:footnote w:id="45">
    <w:p w14:paraId="5F1EADA2" w14:textId="50CCA918" w:rsidR="00BD67EC" w:rsidRPr="00E260DF" w:rsidRDefault="00BD67EC" w:rsidP="00BD67EC">
      <w:pPr>
        <w:spacing w:after="0" w:line="240" w:lineRule="auto"/>
        <w:rPr>
          <w:rFonts w:ascii="Sylfaen" w:hAnsi="Sylfaen"/>
          <w:sz w:val="20"/>
          <w:szCs w:val="20"/>
        </w:rPr>
      </w:pPr>
    </w:p>
  </w:footnote>
  <w:footnote w:id="46">
    <w:p w14:paraId="36F808E7" w14:textId="2D575876" w:rsidR="00BD67EC" w:rsidRPr="00BD67EC" w:rsidRDefault="00BD67EC" w:rsidP="00BD67EC">
      <w:pPr>
        <w:pStyle w:val="Footnote0"/>
        <w:shd w:val="clear" w:color="auto" w:fill="auto"/>
        <w:spacing w:line="240" w:lineRule="auto"/>
        <w:rPr>
          <w:rFonts w:ascii="Sylfaen" w:hAnsi="Sylfaen"/>
          <w:lang w:val="hy-AM"/>
        </w:rPr>
      </w:pPr>
    </w:p>
  </w:footnote>
  <w:footnote w:id="47">
    <w:p w14:paraId="647A52B8" w14:textId="5199AA8F" w:rsidR="00BD67EC" w:rsidRPr="00E260DF" w:rsidRDefault="00BD67EC" w:rsidP="00BD67EC">
      <w:pPr>
        <w:spacing w:after="0" w:line="240" w:lineRule="auto"/>
        <w:rPr>
          <w:rFonts w:ascii="Sylfaen" w:hAnsi="Sylfae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0463" w14:textId="77777777" w:rsidR="004A52D9" w:rsidRDefault="004A52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50CF" w14:textId="77777777" w:rsidR="004A52D9" w:rsidRDefault="004A52D9">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0AA5" w14:textId="77777777" w:rsidR="004A52D9" w:rsidRDefault="004A5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9536" w14:textId="77777777" w:rsidR="004A52D9" w:rsidRDefault="004A52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D0A9" w14:textId="77777777" w:rsidR="004A52D9" w:rsidRDefault="004A52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D671" w14:textId="77777777" w:rsidR="004A52D9" w:rsidRDefault="004A52D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515A" w14:textId="77777777" w:rsidR="004A52D9" w:rsidRDefault="004A52D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432D" w14:textId="77777777" w:rsidR="004A52D9" w:rsidRDefault="004A52D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BC3F" w14:textId="77777777" w:rsidR="004A52D9" w:rsidRDefault="004A52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7C3"/>
    <w:multiLevelType w:val="multilevel"/>
    <w:tmpl w:val="6D2806B8"/>
    <w:lvl w:ilvl="0">
      <w:start w:val="1"/>
      <w:numFmt w:val="decimal"/>
      <w:lvlText w:val="%1."/>
      <w:lvlJc w:val="left"/>
      <w:pPr>
        <w:ind w:left="927" w:hanging="360"/>
      </w:pPr>
      <w:rPr>
        <w:rFonts w:hint="default"/>
      </w:rPr>
    </w:lvl>
    <w:lvl w:ilvl="1">
      <w:start w:val="1"/>
      <w:numFmt w:val="decimal"/>
      <w:isLgl/>
      <w:lvlText w:val="%1.%2."/>
      <w:lvlJc w:val="left"/>
      <w:pPr>
        <w:ind w:left="1407" w:hanging="840"/>
      </w:pPr>
      <w:rPr>
        <w:rFonts w:hint="default"/>
      </w:rPr>
    </w:lvl>
    <w:lvl w:ilvl="2">
      <w:start w:val="10"/>
      <w:numFmt w:val="decimal"/>
      <w:isLgl/>
      <w:lvlText w:val="%1.%2.%3."/>
      <w:lvlJc w:val="left"/>
      <w:pPr>
        <w:ind w:left="1407" w:hanging="840"/>
      </w:pPr>
      <w:rPr>
        <w:rFonts w:hint="default"/>
      </w:rPr>
    </w:lvl>
    <w:lvl w:ilvl="3">
      <w:start w:val="3"/>
      <w:numFmt w:val="decimal"/>
      <w:isLgl/>
      <w:lvlText w:val="%1.%2.%3.%4."/>
      <w:lvlJc w:val="left"/>
      <w:pPr>
        <w:ind w:left="1407" w:hanging="84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2D9009F"/>
    <w:multiLevelType w:val="hybridMultilevel"/>
    <w:tmpl w:val="24342FC2"/>
    <w:lvl w:ilvl="0" w:tplc="35648B30">
      <w:start w:val="5"/>
      <w:numFmt w:val="bullet"/>
      <w:lvlText w:val=""/>
      <w:lvlJc w:val="left"/>
      <w:pPr>
        <w:ind w:left="882" w:hanging="360"/>
      </w:pPr>
      <w:rPr>
        <w:rFonts w:ascii="Wingdings" w:eastAsia="Times New Roman" w:hAnsi="Wingdings" w:cs="Times New Roman"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2" w15:restartNumberingAfterBreak="0">
    <w:nsid w:val="075744BC"/>
    <w:multiLevelType w:val="hybridMultilevel"/>
    <w:tmpl w:val="679649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B5367"/>
    <w:multiLevelType w:val="hybridMultilevel"/>
    <w:tmpl w:val="BE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03809"/>
    <w:multiLevelType w:val="hybridMultilevel"/>
    <w:tmpl w:val="687824E4"/>
    <w:lvl w:ilvl="0" w:tplc="8308596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E1E11"/>
    <w:multiLevelType w:val="hybridMultilevel"/>
    <w:tmpl w:val="103C3CE4"/>
    <w:lvl w:ilvl="0" w:tplc="63647E0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24943"/>
    <w:multiLevelType w:val="hybridMultilevel"/>
    <w:tmpl w:val="48484C0C"/>
    <w:lvl w:ilvl="0" w:tplc="A68233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36AE6"/>
    <w:multiLevelType w:val="hybridMultilevel"/>
    <w:tmpl w:val="117C475C"/>
    <w:lvl w:ilvl="0" w:tplc="4C18A53A">
      <w:start w:val="1"/>
      <w:numFmt w:val="bullet"/>
      <w:lvlText w:val="-"/>
      <w:lvlJc w:val="left"/>
      <w:pPr>
        <w:ind w:left="889" w:hanging="360"/>
      </w:pPr>
      <w:rPr>
        <w:rFonts w:ascii="Sylfaen" w:eastAsia="Times New Roman" w:hAnsi="Sylfaen" w:cs="Times New Roman" w:hint="default"/>
        <w:color w:val="000000"/>
      </w:rPr>
    </w:lvl>
    <w:lvl w:ilvl="1" w:tplc="04190003" w:tentative="1">
      <w:start w:val="1"/>
      <w:numFmt w:val="bullet"/>
      <w:lvlText w:val="o"/>
      <w:lvlJc w:val="left"/>
      <w:pPr>
        <w:ind w:left="1609" w:hanging="360"/>
      </w:pPr>
      <w:rPr>
        <w:rFonts w:ascii="Courier New" w:hAnsi="Courier New" w:cs="Courier New" w:hint="default"/>
      </w:rPr>
    </w:lvl>
    <w:lvl w:ilvl="2" w:tplc="04190005" w:tentative="1">
      <w:start w:val="1"/>
      <w:numFmt w:val="bullet"/>
      <w:lvlText w:val=""/>
      <w:lvlJc w:val="left"/>
      <w:pPr>
        <w:ind w:left="2329" w:hanging="360"/>
      </w:pPr>
      <w:rPr>
        <w:rFonts w:ascii="Wingdings" w:hAnsi="Wingdings" w:hint="default"/>
      </w:rPr>
    </w:lvl>
    <w:lvl w:ilvl="3" w:tplc="04190001" w:tentative="1">
      <w:start w:val="1"/>
      <w:numFmt w:val="bullet"/>
      <w:lvlText w:val=""/>
      <w:lvlJc w:val="left"/>
      <w:pPr>
        <w:ind w:left="3049" w:hanging="360"/>
      </w:pPr>
      <w:rPr>
        <w:rFonts w:ascii="Symbol" w:hAnsi="Symbol" w:hint="default"/>
      </w:rPr>
    </w:lvl>
    <w:lvl w:ilvl="4" w:tplc="04190003" w:tentative="1">
      <w:start w:val="1"/>
      <w:numFmt w:val="bullet"/>
      <w:lvlText w:val="o"/>
      <w:lvlJc w:val="left"/>
      <w:pPr>
        <w:ind w:left="3769" w:hanging="360"/>
      </w:pPr>
      <w:rPr>
        <w:rFonts w:ascii="Courier New" w:hAnsi="Courier New" w:cs="Courier New" w:hint="default"/>
      </w:rPr>
    </w:lvl>
    <w:lvl w:ilvl="5" w:tplc="04190005" w:tentative="1">
      <w:start w:val="1"/>
      <w:numFmt w:val="bullet"/>
      <w:lvlText w:val=""/>
      <w:lvlJc w:val="left"/>
      <w:pPr>
        <w:ind w:left="4489" w:hanging="360"/>
      </w:pPr>
      <w:rPr>
        <w:rFonts w:ascii="Wingdings" w:hAnsi="Wingdings" w:hint="default"/>
      </w:rPr>
    </w:lvl>
    <w:lvl w:ilvl="6" w:tplc="04190001" w:tentative="1">
      <w:start w:val="1"/>
      <w:numFmt w:val="bullet"/>
      <w:lvlText w:val=""/>
      <w:lvlJc w:val="left"/>
      <w:pPr>
        <w:ind w:left="5209" w:hanging="360"/>
      </w:pPr>
      <w:rPr>
        <w:rFonts w:ascii="Symbol" w:hAnsi="Symbol" w:hint="default"/>
      </w:rPr>
    </w:lvl>
    <w:lvl w:ilvl="7" w:tplc="04190003" w:tentative="1">
      <w:start w:val="1"/>
      <w:numFmt w:val="bullet"/>
      <w:lvlText w:val="o"/>
      <w:lvlJc w:val="left"/>
      <w:pPr>
        <w:ind w:left="5929" w:hanging="360"/>
      </w:pPr>
      <w:rPr>
        <w:rFonts w:ascii="Courier New" w:hAnsi="Courier New" w:cs="Courier New" w:hint="default"/>
      </w:rPr>
    </w:lvl>
    <w:lvl w:ilvl="8" w:tplc="04190005" w:tentative="1">
      <w:start w:val="1"/>
      <w:numFmt w:val="bullet"/>
      <w:lvlText w:val=""/>
      <w:lvlJc w:val="left"/>
      <w:pPr>
        <w:ind w:left="6649" w:hanging="360"/>
      </w:pPr>
      <w:rPr>
        <w:rFonts w:ascii="Wingdings" w:hAnsi="Wingdings" w:hint="default"/>
      </w:rPr>
    </w:lvl>
  </w:abstractNum>
  <w:abstractNum w:abstractNumId="8" w15:restartNumberingAfterBreak="0">
    <w:nsid w:val="2CF2033D"/>
    <w:multiLevelType w:val="hybridMultilevel"/>
    <w:tmpl w:val="E8B02854"/>
    <w:lvl w:ilvl="0" w:tplc="086459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4442C"/>
    <w:multiLevelType w:val="hybridMultilevel"/>
    <w:tmpl w:val="FFE2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ED5878"/>
    <w:multiLevelType w:val="hybridMultilevel"/>
    <w:tmpl w:val="C7767EA0"/>
    <w:lvl w:ilvl="0" w:tplc="6F847C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63984"/>
    <w:multiLevelType w:val="hybridMultilevel"/>
    <w:tmpl w:val="96F48184"/>
    <w:lvl w:ilvl="0" w:tplc="45D2DE80">
      <w:start w:val="1"/>
      <w:numFmt w:val="decimal"/>
      <w:lvlText w:val="%1."/>
      <w:lvlJc w:val="left"/>
      <w:pPr>
        <w:ind w:left="549" w:hanging="39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2" w15:restartNumberingAfterBreak="0">
    <w:nsid w:val="3D495E42"/>
    <w:multiLevelType w:val="hybridMultilevel"/>
    <w:tmpl w:val="FF8C4E2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773E1"/>
    <w:multiLevelType w:val="hybridMultilevel"/>
    <w:tmpl w:val="BC62A956"/>
    <w:lvl w:ilvl="0" w:tplc="957AE4C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17F74"/>
    <w:multiLevelType w:val="hybridMultilevel"/>
    <w:tmpl w:val="EBCEEAD6"/>
    <w:lvl w:ilvl="0" w:tplc="1332BA9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B996472"/>
    <w:multiLevelType w:val="hybridMultilevel"/>
    <w:tmpl w:val="6E58AFD0"/>
    <w:lvl w:ilvl="0" w:tplc="8D80EC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E3F4A"/>
    <w:multiLevelType w:val="hybridMultilevel"/>
    <w:tmpl w:val="6C8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838C9"/>
    <w:multiLevelType w:val="hybridMultilevel"/>
    <w:tmpl w:val="56C2ECE8"/>
    <w:lvl w:ilvl="0" w:tplc="26061872">
      <w:start w:val="1"/>
      <w:numFmt w:val="decimal"/>
      <w:lvlText w:val="%1."/>
      <w:lvlJc w:val="left"/>
      <w:pPr>
        <w:ind w:left="538" w:hanging="405"/>
      </w:pPr>
      <w:rPr>
        <w:rFonts w:hint="default"/>
      </w:r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18" w15:restartNumberingAfterBreak="0">
    <w:nsid w:val="57CD1E1F"/>
    <w:multiLevelType w:val="multilevel"/>
    <w:tmpl w:val="6464A8F8"/>
    <w:lvl w:ilvl="0">
      <w:start w:val="1"/>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9" w15:restartNumberingAfterBreak="0">
    <w:nsid w:val="586E3E2A"/>
    <w:multiLevelType w:val="hybridMultilevel"/>
    <w:tmpl w:val="C49AFE82"/>
    <w:lvl w:ilvl="0" w:tplc="C5CA76E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C40BFC"/>
    <w:multiLevelType w:val="hybridMultilevel"/>
    <w:tmpl w:val="1C2875AA"/>
    <w:lvl w:ilvl="0" w:tplc="CD0826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C0E7C"/>
    <w:multiLevelType w:val="hybridMultilevel"/>
    <w:tmpl w:val="28EE8426"/>
    <w:lvl w:ilvl="0" w:tplc="51B2AA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13C89"/>
    <w:multiLevelType w:val="hybridMultilevel"/>
    <w:tmpl w:val="832A6FDE"/>
    <w:lvl w:ilvl="0" w:tplc="C5F04340">
      <w:start w:val="1"/>
      <w:numFmt w:val="decimal"/>
      <w:lvlText w:val="%1."/>
      <w:lvlJc w:val="left"/>
      <w:pPr>
        <w:ind w:left="563" w:hanging="405"/>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3" w15:restartNumberingAfterBreak="0">
    <w:nsid w:val="7C0C377D"/>
    <w:multiLevelType w:val="hybridMultilevel"/>
    <w:tmpl w:val="AC90A61E"/>
    <w:lvl w:ilvl="0" w:tplc="4ED84E0C">
      <w:start w:val="6"/>
      <w:numFmt w:val="bullet"/>
      <w:lvlText w:val="-"/>
      <w:lvlJc w:val="left"/>
      <w:pPr>
        <w:ind w:left="927" w:hanging="360"/>
      </w:pPr>
      <w:rPr>
        <w:rFonts w:ascii="Sylfaen" w:eastAsia="Times New Roman" w:hAnsi="Sylfaen" w:cs="Times New Roman" w:hint="default"/>
        <w:i/>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22318181">
    <w:abstractNumId w:val="18"/>
  </w:num>
  <w:num w:numId="2" w16cid:durableId="89548307">
    <w:abstractNumId w:val="14"/>
  </w:num>
  <w:num w:numId="3" w16cid:durableId="2099984045">
    <w:abstractNumId w:val="23"/>
  </w:num>
  <w:num w:numId="4" w16cid:durableId="1631588965">
    <w:abstractNumId w:val="0"/>
  </w:num>
  <w:num w:numId="5" w16cid:durableId="263613419">
    <w:abstractNumId w:val="16"/>
  </w:num>
  <w:num w:numId="6" w16cid:durableId="1264993038">
    <w:abstractNumId w:val="2"/>
  </w:num>
  <w:num w:numId="7" w16cid:durableId="2065250808">
    <w:abstractNumId w:val="9"/>
  </w:num>
  <w:num w:numId="8" w16cid:durableId="2134905361">
    <w:abstractNumId w:val="3"/>
  </w:num>
  <w:num w:numId="9" w16cid:durableId="770516501">
    <w:abstractNumId w:val="7"/>
  </w:num>
  <w:num w:numId="10" w16cid:durableId="1317686071">
    <w:abstractNumId w:val="1"/>
  </w:num>
  <w:num w:numId="11" w16cid:durableId="886641915">
    <w:abstractNumId w:val="19"/>
  </w:num>
  <w:num w:numId="12" w16cid:durableId="1485780653">
    <w:abstractNumId w:val="5"/>
  </w:num>
  <w:num w:numId="13" w16cid:durableId="1922833334">
    <w:abstractNumId w:val="13"/>
  </w:num>
  <w:num w:numId="14" w16cid:durableId="1997219853">
    <w:abstractNumId w:val="21"/>
  </w:num>
  <w:num w:numId="15" w16cid:durableId="117602884">
    <w:abstractNumId w:val="4"/>
  </w:num>
  <w:num w:numId="16" w16cid:durableId="1173883134">
    <w:abstractNumId w:val="12"/>
  </w:num>
  <w:num w:numId="17" w16cid:durableId="1336567384">
    <w:abstractNumId w:val="10"/>
  </w:num>
  <w:num w:numId="18" w16cid:durableId="996228602">
    <w:abstractNumId w:val="8"/>
  </w:num>
  <w:num w:numId="19" w16cid:durableId="686374701">
    <w:abstractNumId w:val="15"/>
  </w:num>
  <w:num w:numId="20" w16cid:durableId="817301934">
    <w:abstractNumId w:val="6"/>
  </w:num>
  <w:num w:numId="21" w16cid:durableId="75131288">
    <w:abstractNumId w:val="20"/>
  </w:num>
  <w:num w:numId="22" w16cid:durableId="734087306">
    <w:abstractNumId w:val="17"/>
  </w:num>
  <w:num w:numId="23" w16cid:durableId="1114206174">
    <w:abstractNumId w:val="22"/>
  </w:num>
  <w:num w:numId="24" w16cid:durableId="55588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76EB"/>
    <w:rsid w:val="00000B09"/>
    <w:rsid w:val="0000325C"/>
    <w:rsid w:val="00003ABD"/>
    <w:rsid w:val="00005FE7"/>
    <w:rsid w:val="00007454"/>
    <w:rsid w:val="00010F69"/>
    <w:rsid w:val="00012E47"/>
    <w:rsid w:val="00015767"/>
    <w:rsid w:val="00015E3D"/>
    <w:rsid w:val="00017124"/>
    <w:rsid w:val="00022368"/>
    <w:rsid w:val="00022447"/>
    <w:rsid w:val="00023CB3"/>
    <w:rsid w:val="00033514"/>
    <w:rsid w:val="00035EC9"/>
    <w:rsid w:val="00037B30"/>
    <w:rsid w:val="000401DA"/>
    <w:rsid w:val="0004077C"/>
    <w:rsid w:val="000414E7"/>
    <w:rsid w:val="0004184B"/>
    <w:rsid w:val="00041FA5"/>
    <w:rsid w:val="000452CC"/>
    <w:rsid w:val="00050D30"/>
    <w:rsid w:val="00051BB3"/>
    <w:rsid w:val="0005387C"/>
    <w:rsid w:val="00053A74"/>
    <w:rsid w:val="00060EF9"/>
    <w:rsid w:val="00065DCF"/>
    <w:rsid w:val="000668B5"/>
    <w:rsid w:val="00066EC8"/>
    <w:rsid w:val="000728A0"/>
    <w:rsid w:val="00080164"/>
    <w:rsid w:val="000839F9"/>
    <w:rsid w:val="00087424"/>
    <w:rsid w:val="00087A2B"/>
    <w:rsid w:val="00091CBC"/>
    <w:rsid w:val="000A1AAE"/>
    <w:rsid w:val="000A2800"/>
    <w:rsid w:val="000A4ACC"/>
    <w:rsid w:val="000B3A2B"/>
    <w:rsid w:val="000B6A2F"/>
    <w:rsid w:val="000C3415"/>
    <w:rsid w:val="000C4CCD"/>
    <w:rsid w:val="000C5B93"/>
    <w:rsid w:val="000C5CDC"/>
    <w:rsid w:val="000D0FC9"/>
    <w:rsid w:val="000D736E"/>
    <w:rsid w:val="000D7620"/>
    <w:rsid w:val="000D7E4F"/>
    <w:rsid w:val="000E2C50"/>
    <w:rsid w:val="000E3C03"/>
    <w:rsid w:val="000F124E"/>
    <w:rsid w:val="000F179C"/>
    <w:rsid w:val="000F24F2"/>
    <w:rsid w:val="000F5045"/>
    <w:rsid w:val="00100CD9"/>
    <w:rsid w:val="00102702"/>
    <w:rsid w:val="001042F5"/>
    <w:rsid w:val="00105024"/>
    <w:rsid w:val="00105A36"/>
    <w:rsid w:val="00105DDA"/>
    <w:rsid w:val="001114E9"/>
    <w:rsid w:val="0011179D"/>
    <w:rsid w:val="00112DF4"/>
    <w:rsid w:val="00114ACF"/>
    <w:rsid w:val="001155FD"/>
    <w:rsid w:val="001235DC"/>
    <w:rsid w:val="001268BB"/>
    <w:rsid w:val="00130BFB"/>
    <w:rsid w:val="00131173"/>
    <w:rsid w:val="00132EF0"/>
    <w:rsid w:val="001352A5"/>
    <w:rsid w:val="00136617"/>
    <w:rsid w:val="001370A9"/>
    <w:rsid w:val="00137998"/>
    <w:rsid w:val="00137E21"/>
    <w:rsid w:val="00142A94"/>
    <w:rsid w:val="00143A1A"/>
    <w:rsid w:val="00145C95"/>
    <w:rsid w:val="001516A4"/>
    <w:rsid w:val="001543F8"/>
    <w:rsid w:val="00155C84"/>
    <w:rsid w:val="0015773F"/>
    <w:rsid w:val="00157FD9"/>
    <w:rsid w:val="001637C4"/>
    <w:rsid w:val="00164BD9"/>
    <w:rsid w:val="00166427"/>
    <w:rsid w:val="001755E6"/>
    <w:rsid w:val="00183A19"/>
    <w:rsid w:val="00190846"/>
    <w:rsid w:val="00193CFC"/>
    <w:rsid w:val="00196848"/>
    <w:rsid w:val="001A09F9"/>
    <w:rsid w:val="001A24A9"/>
    <w:rsid w:val="001A5F1A"/>
    <w:rsid w:val="001B2B66"/>
    <w:rsid w:val="001B59AA"/>
    <w:rsid w:val="001B72F4"/>
    <w:rsid w:val="001C09E1"/>
    <w:rsid w:val="001C13D0"/>
    <w:rsid w:val="001C3278"/>
    <w:rsid w:val="001C41B5"/>
    <w:rsid w:val="001C5AF9"/>
    <w:rsid w:val="001D7EF8"/>
    <w:rsid w:val="001E15AA"/>
    <w:rsid w:val="001E3FDE"/>
    <w:rsid w:val="001E7D37"/>
    <w:rsid w:val="001F0017"/>
    <w:rsid w:val="001F0952"/>
    <w:rsid w:val="001F13A5"/>
    <w:rsid w:val="001F4516"/>
    <w:rsid w:val="001F5412"/>
    <w:rsid w:val="001F5F9D"/>
    <w:rsid w:val="002056E6"/>
    <w:rsid w:val="00205E7B"/>
    <w:rsid w:val="00207FF6"/>
    <w:rsid w:val="00210A16"/>
    <w:rsid w:val="00210BBE"/>
    <w:rsid w:val="00211664"/>
    <w:rsid w:val="00212723"/>
    <w:rsid w:val="002139FC"/>
    <w:rsid w:val="00213DEA"/>
    <w:rsid w:val="002154F6"/>
    <w:rsid w:val="00215D86"/>
    <w:rsid w:val="002239BE"/>
    <w:rsid w:val="00223A80"/>
    <w:rsid w:val="00230A31"/>
    <w:rsid w:val="0023323A"/>
    <w:rsid w:val="00240DA3"/>
    <w:rsid w:val="002442DD"/>
    <w:rsid w:val="002509A3"/>
    <w:rsid w:val="00255A40"/>
    <w:rsid w:val="00256312"/>
    <w:rsid w:val="00261E6B"/>
    <w:rsid w:val="00262653"/>
    <w:rsid w:val="00262B57"/>
    <w:rsid w:val="00263847"/>
    <w:rsid w:val="00264724"/>
    <w:rsid w:val="00267658"/>
    <w:rsid w:val="00277ADB"/>
    <w:rsid w:val="00280E60"/>
    <w:rsid w:val="00280FAE"/>
    <w:rsid w:val="002829AF"/>
    <w:rsid w:val="00282B69"/>
    <w:rsid w:val="00282C05"/>
    <w:rsid w:val="002842E3"/>
    <w:rsid w:val="00285E87"/>
    <w:rsid w:val="00286B62"/>
    <w:rsid w:val="00287D3E"/>
    <w:rsid w:val="00292370"/>
    <w:rsid w:val="00293367"/>
    <w:rsid w:val="00296C4C"/>
    <w:rsid w:val="00297352"/>
    <w:rsid w:val="002978B0"/>
    <w:rsid w:val="00297B09"/>
    <w:rsid w:val="002A181E"/>
    <w:rsid w:val="002A26E4"/>
    <w:rsid w:val="002A4041"/>
    <w:rsid w:val="002A49BF"/>
    <w:rsid w:val="002A5072"/>
    <w:rsid w:val="002A6A4C"/>
    <w:rsid w:val="002A7A6A"/>
    <w:rsid w:val="002B4BF8"/>
    <w:rsid w:val="002B6F90"/>
    <w:rsid w:val="002C1A53"/>
    <w:rsid w:val="002C1FC3"/>
    <w:rsid w:val="002C29C0"/>
    <w:rsid w:val="002C36BA"/>
    <w:rsid w:val="002C3F55"/>
    <w:rsid w:val="002C43D7"/>
    <w:rsid w:val="002C4B5D"/>
    <w:rsid w:val="002D046B"/>
    <w:rsid w:val="002D12E4"/>
    <w:rsid w:val="002D2ED7"/>
    <w:rsid w:val="002D43EE"/>
    <w:rsid w:val="002D52C6"/>
    <w:rsid w:val="002E0B92"/>
    <w:rsid w:val="002E713A"/>
    <w:rsid w:val="002F06F8"/>
    <w:rsid w:val="002F1C69"/>
    <w:rsid w:val="002F1D49"/>
    <w:rsid w:val="002F42FC"/>
    <w:rsid w:val="00302149"/>
    <w:rsid w:val="00302495"/>
    <w:rsid w:val="003052D3"/>
    <w:rsid w:val="00305C5C"/>
    <w:rsid w:val="00307589"/>
    <w:rsid w:val="0030798D"/>
    <w:rsid w:val="00307AF9"/>
    <w:rsid w:val="00307E18"/>
    <w:rsid w:val="00314778"/>
    <w:rsid w:val="0031596C"/>
    <w:rsid w:val="00317641"/>
    <w:rsid w:val="00317884"/>
    <w:rsid w:val="003205E0"/>
    <w:rsid w:val="00323DFD"/>
    <w:rsid w:val="0032680A"/>
    <w:rsid w:val="00332455"/>
    <w:rsid w:val="00333236"/>
    <w:rsid w:val="003334FE"/>
    <w:rsid w:val="00333A89"/>
    <w:rsid w:val="00334497"/>
    <w:rsid w:val="00334AF5"/>
    <w:rsid w:val="0033729F"/>
    <w:rsid w:val="00337C1C"/>
    <w:rsid w:val="00337D8C"/>
    <w:rsid w:val="003415E8"/>
    <w:rsid w:val="00341CBD"/>
    <w:rsid w:val="003426FC"/>
    <w:rsid w:val="00351F4E"/>
    <w:rsid w:val="00352BA5"/>
    <w:rsid w:val="00352FF1"/>
    <w:rsid w:val="00355C33"/>
    <w:rsid w:val="00360CBD"/>
    <w:rsid w:val="003610E0"/>
    <w:rsid w:val="00362224"/>
    <w:rsid w:val="00362F93"/>
    <w:rsid w:val="00364CB4"/>
    <w:rsid w:val="00375522"/>
    <w:rsid w:val="00377927"/>
    <w:rsid w:val="003820D1"/>
    <w:rsid w:val="00382C9A"/>
    <w:rsid w:val="00383CCF"/>
    <w:rsid w:val="00384450"/>
    <w:rsid w:val="00387B4E"/>
    <w:rsid w:val="00390DAC"/>
    <w:rsid w:val="003931C9"/>
    <w:rsid w:val="0039534B"/>
    <w:rsid w:val="00397A04"/>
    <w:rsid w:val="003A0A7B"/>
    <w:rsid w:val="003A2F68"/>
    <w:rsid w:val="003A6399"/>
    <w:rsid w:val="003A6784"/>
    <w:rsid w:val="003B1721"/>
    <w:rsid w:val="003B3AF8"/>
    <w:rsid w:val="003B3D9A"/>
    <w:rsid w:val="003B40B7"/>
    <w:rsid w:val="003B4F5C"/>
    <w:rsid w:val="003B6635"/>
    <w:rsid w:val="003B78AE"/>
    <w:rsid w:val="003C049F"/>
    <w:rsid w:val="003C78FE"/>
    <w:rsid w:val="003C7E9C"/>
    <w:rsid w:val="003D12D4"/>
    <w:rsid w:val="003D2FD4"/>
    <w:rsid w:val="003D43B8"/>
    <w:rsid w:val="003D5D79"/>
    <w:rsid w:val="003D6AC0"/>
    <w:rsid w:val="003D7538"/>
    <w:rsid w:val="003E4415"/>
    <w:rsid w:val="003E4937"/>
    <w:rsid w:val="003F18C5"/>
    <w:rsid w:val="003F283E"/>
    <w:rsid w:val="003F6E94"/>
    <w:rsid w:val="003F7A44"/>
    <w:rsid w:val="00401706"/>
    <w:rsid w:val="00402CDB"/>
    <w:rsid w:val="00403F02"/>
    <w:rsid w:val="00407B13"/>
    <w:rsid w:val="00407DE9"/>
    <w:rsid w:val="004147B3"/>
    <w:rsid w:val="00414BB1"/>
    <w:rsid w:val="004176F2"/>
    <w:rsid w:val="00422847"/>
    <w:rsid w:val="00423124"/>
    <w:rsid w:val="004243A9"/>
    <w:rsid w:val="004263D4"/>
    <w:rsid w:val="00426865"/>
    <w:rsid w:val="00427651"/>
    <w:rsid w:val="0043064B"/>
    <w:rsid w:val="00430C60"/>
    <w:rsid w:val="00431C12"/>
    <w:rsid w:val="00433295"/>
    <w:rsid w:val="00434A26"/>
    <w:rsid w:val="004471A3"/>
    <w:rsid w:val="00450D30"/>
    <w:rsid w:val="00451607"/>
    <w:rsid w:val="00453EB9"/>
    <w:rsid w:val="004544B0"/>
    <w:rsid w:val="004553AB"/>
    <w:rsid w:val="00456318"/>
    <w:rsid w:val="00466492"/>
    <w:rsid w:val="00467FEE"/>
    <w:rsid w:val="00471C86"/>
    <w:rsid w:val="00473371"/>
    <w:rsid w:val="0047408B"/>
    <w:rsid w:val="00474452"/>
    <w:rsid w:val="00477BB0"/>
    <w:rsid w:val="00486013"/>
    <w:rsid w:val="004869F1"/>
    <w:rsid w:val="00486B34"/>
    <w:rsid w:val="00486CE0"/>
    <w:rsid w:val="00487007"/>
    <w:rsid w:val="00487CCB"/>
    <w:rsid w:val="0049302C"/>
    <w:rsid w:val="004947F6"/>
    <w:rsid w:val="00496F7C"/>
    <w:rsid w:val="004A01AF"/>
    <w:rsid w:val="004A1514"/>
    <w:rsid w:val="004A1A19"/>
    <w:rsid w:val="004A52D9"/>
    <w:rsid w:val="004B2E59"/>
    <w:rsid w:val="004B2EBC"/>
    <w:rsid w:val="004B393A"/>
    <w:rsid w:val="004B643D"/>
    <w:rsid w:val="004B6C67"/>
    <w:rsid w:val="004B7783"/>
    <w:rsid w:val="004C0BC5"/>
    <w:rsid w:val="004C4A50"/>
    <w:rsid w:val="004C6C5A"/>
    <w:rsid w:val="004C797D"/>
    <w:rsid w:val="004D0FF7"/>
    <w:rsid w:val="004D1538"/>
    <w:rsid w:val="004E129B"/>
    <w:rsid w:val="004E2474"/>
    <w:rsid w:val="004E297C"/>
    <w:rsid w:val="004E3708"/>
    <w:rsid w:val="004E7237"/>
    <w:rsid w:val="004E7383"/>
    <w:rsid w:val="004F2439"/>
    <w:rsid w:val="004F5982"/>
    <w:rsid w:val="004F602B"/>
    <w:rsid w:val="004F6471"/>
    <w:rsid w:val="004F6D87"/>
    <w:rsid w:val="004F6E9F"/>
    <w:rsid w:val="00503B0F"/>
    <w:rsid w:val="005053A4"/>
    <w:rsid w:val="005062CE"/>
    <w:rsid w:val="00507862"/>
    <w:rsid w:val="00512DAB"/>
    <w:rsid w:val="00513389"/>
    <w:rsid w:val="005145C8"/>
    <w:rsid w:val="00516C70"/>
    <w:rsid w:val="005176C6"/>
    <w:rsid w:val="00520390"/>
    <w:rsid w:val="00522719"/>
    <w:rsid w:val="00522976"/>
    <w:rsid w:val="00523379"/>
    <w:rsid w:val="00526607"/>
    <w:rsid w:val="005266D9"/>
    <w:rsid w:val="005279A1"/>
    <w:rsid w:val="00531428"/>
    <w:rsid w:val="00537062"/>
    <w:rsid w:val="005405FD"/>
    <w:rsid w:val="00544E85"/>
    <w:rsid w:val="0055203E"/>
    <w:rsid w:val="00553BBB"/>
    <w:rsid w:val="00554A71"/>
    <w:rsid w:val="00556B79"/>
    <w:rsid w:val="00557726"/>
    <w:rsid w:val="00557AE2"/>
    <w:rsid w:val="0056471A"/>
    <w:rsid w:val="0056482B"/>
    <w:rsid w:val="0056496B"/>
    <w:rsid w:val="00564D39"/>
    <w:rsid w:val="00570DEF"/>
    <w:rsid w:val="005755F1"/>
    <w:rsid w:val="00584EC1"/>
    <w:rsid w:val="005856E7"/>
    <w:rsid w:val="00590510"/>
    <w:rsid w:val="00590E4F"/>
    <w:rsid w:val="00591274"/>
    <w:rsid w:val="00591731"/>
    <w:rsid w:val="00593820"/>
    <w:rsid w:val="005A00A6"/>
    <w:rsid w:val="005A0FC1"/>
    <w:rsid w:val="005A381A"/>
    <w:rsid w:val="005A3BE2"/>
    <w:rsid w:val="005A45A7"/>
    <w:rsid w:val="005A46D4"/>
    <w:rsid w:val="005A5E5E"/>
    <w:rsid w:val="005B1445"/>
    <w:rsid w:val="005B2817"/>
    <w:rsid w:val="005B32CC"/>
    <w:rsid w:val="005B6429"/>
    <w:rsid w:val="005B763D"/>
    <w:rsid w:val="005C0EAA"/>
    <w:rsid w:val="005C149A"/>
    <w:rsid w:val="005C43BC"/>
    <w:rsid w:val="005C73E6"/>
    <w:rsid w:val="005D0680"/>
    <w:rsid w:val="005D1A97"/>
    <w:rsid w:val="005D29E7"/>
    <w:rsid w:val="005D6612"/>
    <w:rsid w:val="005D7E40"/>
    <w:rsid w:val="005E0DF1"/>
    <w:rsid w:val="005E1BD4"/>
    <w:rsid w:val="005E478F"/>
    <w:rsid w:val="005E53BB"/>
    <w:rsid w:val="005E6479"/>
    <w:rsid w:val="005E7555"/>
    <w:rsid w:val="005E7C0D"/>
    <w:rsid w:val="005F48B2"/>
    <w:rsid w:val="005F4C5B"/>
    <w:rsid w:val="005F5BCB"/>
    <w:rsid w:val="005F6A31"/>
    <w:rsid w:val="005F705E"/>
    <w:rsid w:val="0060033A"/>
    <w:rsid w:val="00604C9A"/>
    <w:rsid w:val="00607D50"/>
    <w:rsid w:val="00611740"/>
    <w:rsid w:val="006120A9"/>
    <w:rsid w:val="00615631"/>
    <w:rsid w:val="00616C15"/>
    <w:rsid w:val="0062140B"/>
    <w:rsid w:val="00623D29"/>
    <w:rsid w:val="00630116"/>
    <w:rsid w:val="006313BB"/>
    <w:rsid w:val="00636431"/>
    <w:rsid w:val="006424A6"/>
    <w:rsid w:val="00642D79"/>
    <w:rsid w:val="00644138"/>
    <w:rsid w:val="00645CA8"/>
    <w:rsid w:val="006506EC"/>
    <w:rsid w:val="00652129"/>
    <w:rsid w:val="00657B53"/>
    <w:rsid w:val="0066012D"/>
    <w:rsid w:val="006609CA"/>
    <w:rsid w:val="00663B3E"/>
    <w:rsid w:val="00664595"/>
    <w:rsid w:val="00665C60"/>
    <w:rsid w:val="00666181"/>
    <w:rsid w:val="00666B75"/>
    <w:rsid w:val="006670B0"/>
    <w:rsid w:val="006760AA"/>
    <w:rsid w:val="00677E2B"/>
    <w:rsid w:val="006817C8"/>
    <w:rsid w:val="00683970"/>
    <w:rsid w:val="00683CD4"/>
    <w:rsid w:val="006841ED"/>
    <w:rsid w:val="00685570"/>
    <w:rsid w:val="006955BF"/>
    <w:rsid w:val="006A0AAC"/>
    <w:rsid w:val="006A55CE"/>
    <w:rsid w:val="006B20D8"/>
    <w:rsid w:val="006B25F6"/>
    <w:rsid w:val="006B65FD"/>
    <w:rsid w:val="006C21A8"/>
    <w:rsid w:val="006C28F7"/>
    <w:rsid w:val="006D009E"/>
    <w:rsid w:val="006D143A"/>
    <w:rsid w:val="006D1D63"/>
    <w:rsid w:val="006D210C"/>
    <w:rsid w:val="006D49E1"/>
    <w:rsid w:val="006D5D99"/>
    <w:rsid w:val="006D7713"/>
    <w:rsid w:val="006E1C85"/>
    <w:rsid w:val="006E4778"/>
    <w:rsid w:val="006E7104"/>
    <w:rsid w:val="006F28F9"/>
    <w:rsid w:val="006F4F4A"/>
    <w:rsid w:val="006F508C"/>
    <w:rsid w:val="006F76EB"/>
    <w:rsid w:val="00701015"/>
    <w:rsid w:val="007040C0"/>
    <w:rsid w:val="00705E04"/>
    <w:rsid w:val="007074F8"/>
    <w:rsid w:val="007130F9"/>
    <w:rsid w:val="00714E9D"/>
    <w:rsid w:val="007204C4"/>
    <w:rsid w:val="00721A6C"/>
    <w:rsid w:val="00731163"/>
    <w:rsid w:val="00732974"/>
    <w:rsid w:val="007342DE"/>
    <w:rsid w:val="007349DC"/>
    <w:rsid w:val="007374BF"/>
    <w:rsid w:val="007413FF"/>
    <w:rsid w:val="00744943"/>
    <w:rsid w:val="00745ADC"/>
    <w:rsid w:val="00746502"/>
    <w:rsid w:val="007467C7"/>
    <w:rsid w:val="0074785B"/>
    <w:rsid w:val="007527B5"/>
    <w:rsid w:val="00753550"/>
    <w:rsid w:val="00753A7B"/>
    <w:rsid w:val="00754307"/>
    <w:rsid w:val="0075661F"/>
    <w:rsid w:val="00761CCE"/>
    <w:rsid w:val="00762F9B"/>
    <w:rsid w:val="007643CC"/>
    <w:rsid w:val="00770E2B"/>
    <w:rsid w:val="00771BAF"/>
    <w:rsid w:val="0077226C"/>
    <w:rsid w:val="00772718"/>
    <w:rsid w:val="00772797"/>
    <w:rsid w:val="00777144"/>
    <w:rsid w:val="007773B5"/>
    <w:rsid w:val="00777780"/>
    <w:rsid w:val="00777961"/>
    <w:rsid w:val="00777CF2"/>
    <w:rsid w:val="00780BC1"/>
    <w:rsid w:val="00783067"/>
    <w:rsid w:val="00784CE1"/>
    <w:rsid w:val="00787E8A"/>
    <w:rsid w:val="00787EA1"/>
    <w:rsid w:val="007902F3"/>
    <w:rsid w:val="00790EC7"/>
    <w:rsid w:val="0079750A"/>
    <w:rsid w:val="007A6DFB"/>
    <w:rsid w:val="007B34A0"/>
    <w:rsid w:val="007B5A44"/>
    <w:rsid w:val="007B65EB"/>
    <w:rsid w:val="007C016F"/>
    <w:rsid w:val="007C3BBD"/>
    <w:rsid w:val="007C43CF"/>
    <w:rsid w:val="007C46E0"/>
    <w:rsid w:val="007C5173"/>
    <w:rsid w:val="007D0283"/>
    <w:rsid w:val="007D2DC5"/>
    <w:rsid w:val="007D3426"/>
    <w:rsid w:val="007D3755"/>
    <w:rsid w:val="007D7DA2"/>
    <w:rsid w:val="007E1C16"/>
    <w:rsid w:val="007E45D0"/>
    <w:rsid w:val="007E5F3D"/>
    <w:rsid w:val="007E68F0"/>
    <w:rsid w:val="007E6BCD"/>
    <w:rsid w:val="007E7F61"/>
    <w:rsid w:val="007F2846"/>
    <w:rsid w:val="007F36C6"/>
    <w:rsid w:val="007F5A60"/>
    <w:rsid w:val="007F6CA3"/>
    <w:rsid w:val="008011F9"/>
    <w:rsid w:val="0080170B"/>
    <w:rsid w:val="00803CF9"/>
    <w:rsid w:val="00803E4B"/>
    <w:rsid w:val="00804804"/>
    <w:rsid w:val="008048D0"/>
    <w:rsid w:val="008057F1"/>
    <w:rsid w:val="008116D5"/>
    <w:rsid w:val="008119C0"/>
    <w:rsid w:val="0081247E"/>
    <w:rsid w:val="00814E26"/>
    <w:rsid w:val="0081587C"/>
    <w:rsid w:val="00815B19"/>
    <w:rsid w:val="00815DE6"/>
    <w:rsid w:val="008214E9"/>
    <w:rsid w:val="00826A20"/>
    <w:rsid w:val="00827072"/>
    <w:rsid w:val="008270E4"/>
    <w:rsid w:val="00827A4D"/>
    <w:rsid w:val="00830690"/>
    <w:rsid w:val="00833B50"/>
    <w:rsid w:val="008406B4"/>
    <w:rsid w:val="00841B06"/>
    <w:rsid w:val="00843404"/>
    <w:rsid w:val="00847DA5"/>
    <w:rsid w:val="0085075A"/>
    <w:rsid w:val="0085119E"/>
    <w:rsid w:val="00852B2A"/>
    <w:rsid w:val="00856091"/>
    <w:rsid w:val="00856708"/>
    <w:rsid w:val="008603F3"/>
    <w:rsid w:val="00862301"/>
    <w:rsid w:val="00863139"/>
    <w:rsid w:val="008640BA"/>
    <w:rsid w:val="00864219"/>
    <w:rsid w:val="00865163"/>
    <w:rsid w:val="00866FB4"/>
    <w:rsid w:val="008675E2"/>
    <w:rsid w:val="00873C99"/>
    <w:rsid w:val="00874504"/>
    <w:rsid w:val="00874E90"/>
    <w:rsid w:val="00877348"/>
    <w:rsid w:val="00881DE0"/>
    <w:rsid w:val="00887430"/>
    <w:rsid w:val="00887B3C"/>
    <w:rsid w:val="00890A75"/>
    <w:rsid w:val="00890DC3"/>
    <w:rsid w:val="00897825"/>
    <w:rsid w:val="00897C92"/>
    <w:rsid w:val="008A0FEC"/>
    <w:rsid w:val="008A3EE2"/>
    <w:rsid w:val="008A55CF"/>
    <w:rsid w:val="008B170E"/>
    <w:rsid w:val="008B1DE6"/>
    <w:rsid w:val="008B2F3A"/>
    <w:rsid w:val="008B6709"/>
    <w:rsid w:val="008B6FEB"/>
    <w:rsid w:val="008C13E4"/>
    <w:rsid w:val="008C52C3"/>
    <w:rsid w:val="008C65C0"/>
    <w:rsid w:val="008C76E0"/>
    <w:rsid w:val="008D05A2"/>
    <w:rsid w:val="008D08B9"/>
    <w:rsid w:val="008D0D54"/>
    <w:rsid w:val="008D2718"/>
    <w:rsid w:val="008D457F"/>
    <w:rsid w:val="008D7461"/>
    <w:rsid w:val="008E009C"/>
    <w:rsid w:val="008E1BE5"/>
    <w:rsid w:val="008E1F21"/>
    <w:rsid w:val="008E4EB1"/>
    <w:rsid w:val="008F1B23"/>
    <w:rsid w:val="008F21A4"/>
    <w:rsid w:val="008F5319"/>
    <w:rsid w:val="008F5F14"/>
    <w:rsid w:val="00902742"/>
    <w:rsid w:val="00903D92"/>
    <w:rsid w:val="0090711F"/>
    <w:rsid w:val="009073F4"/>
    <w:rsid w:val="00910A59"/>
    <w:rsid w:val="00911A59"/>
    <w:rsid w:val="00911FE5"/>
    <w:rsid w:val="009211E1"/>
    <w:rsid w:val="00923BA3"/>
    <w:rsid w:val="00924988"/>
    <w:rsid w:val="0092500F"/>
    <w:rsid w:val="00931D34"/>
    <w:rsid w:val="00940547"/>
    <w:rsid w:val="00943766"/>
    <w:rsid w:val="009443D2"/>
    <w:rsid w:val="00945A7B"/>
    <w:rsid w:val="00946981"/>
    <w:rsid w:val="009544CF"/>
    <w:rsid w:val="00954DBE"/>
    <w:rsid w:val="00955C1D"/>
    <w:rsid w:val="0096007B"/>
    <w:rsid w:val="00960E63"/>
    <w:rsid w:val="00963EE1"/>
    <w:rsid w:val="00966DB9"/>
    <w:rsid w:val="0097392D"/>
    <w:rsid w:val="00974276"/>
    <w:rsid w:val="00976DFA"/>
    <w:rsid w:val="00986A6E"/>
    <w:rsid w:val="00986B92"/>
    <w:rsid w:val="00992755"/>
    <w:rsid w:val="0099364A"/>
    <w:rsid w:val="00995B6C"/>
    <w:rsid w:val="00997473"/>
    <w:rsid w:val="009A0199"/>
    <w:rsid w:val="009A01E5"/>
    <w:rsid w:val="009A0FA0"/>
    <w:rsid w:val="009A3F22"/>
    <w:rsid w:val="009A6983"/>
    <w:rsid w:val="009A7168"/>
    <w:rsid w:val="009A76BE"/>
    <w:rsid w:val="009A7E3B"/>
    <w:rsid w:val="009B121E"/>
    <w:rsid w:val="009B1807"/>
    <w:rsid w:val="009B1A3F"/>
    <w:rsid w:val="009B6AA0"/>
    <w:rsid w:val="009B7300"/>
    <w:rsid w:val="009B75EA"/>
    <w:rsid w:val="009C2B4F"/>
    <w:rsid w:val="009C4732"/>
    <w:rsid w:val="009C4CE7"/>
    <w:rsid w:val="009C54B9"/>
    <w:rsid w:val="009C58BE"/>
    <w:rsid w:val="009C5D43"/>
    <w:rsid w:val="009C779E"/>
    <w:rsid w:val="009D04BC"/>
    <w:rsid w:val="009D1C0A"/>
    <w:rsid w:val="009D2161"/>
    <w:rsid w:val="009D5590"/>
    <w:rsid w:val="009D60BE"/>
    <w:rsid w:val="009E569B"/>
    <w:rsid w:val="009F2902"/>
    <w:rsid w:val="009F49FE"/>
    <w:rsid w:val="009F5829"/>
    <w:rsid w:val="009F62EE"/>
    <w:rsid w:val="009F7218"/>
    <w:rsid w:val="009F799D"/>
    <w:rsid w:val="009F7A79"/>
    <w:rsid w:val="00A00382"/>
    <w:rsid w:val="00A01F98"/>
    <w:rsid w:val="00A028E3"/>
    <w:rsid w:val="00A13B22"/>
    <w:rsid w:val="00A258AD"/>
    <w:rsid w:val="00A26AE7"/>
    <w:rsid w:val="00A35372"/>
    <w:rsid w:val="00A37C9C"/>
    <w:rsid w:val="00A40351"/>
    <w:rsid w:val="00A4168F"/>
    <w:rsid w:val="00A467DA"/>
    <w:rsid w:val="00A552FD"/>
    <w:rsid w:val="00A5746F"/>
    <w:rsid w:val="00A63AE9"/>
    <w:rsid w:val="00A64B69"/>
    <w:rsid w:val="00A64FAB"/>
    <w:rsid w:val="00A721D8"/>
    <w:rsid w:val="00A81E1F"/>
    <w:rsid w:val="00A837EF"/>
    <w:rsid w:val="00A8592B"/>
    <w:rsid w:val="00A86C06"/>
    <w:rsid w:val="00A926FB"/>
    <w:rsid w:val="00A93613"/>
    <w:rsid w:val="00A93D09"/>
    <w:rsid w:val="00A958BD"/>
    <w:rsid w:val="00AA1428"/>
    <w:rsid w:val="00AA40D1"/>
    <w:rsid w:val="00AA49B7"/>
    <w:rsid w:val="00AA6052"/>
    <w:rsid w:val="00AB17F6"/>
    <w:rsid w:val="00AB2473"/>
    <w:rsid w:val="00AB4B3F"/>
    <w:rsid w:val="00AB5268"/>
    <w:rsid w:val="00AC17B1"/>
    <w:rsid w:val="00AC2080"/>
    <w:rsid w:val="00AC3C46"/>
    <w:rsid w:val="00AC6512"/>
    <w:rsid w:val="00AC7652"/>
    <w:rsid w:val="00AC781D"/>
    <w:rsid w:val="00AD2459"/>
    <w:rsid w:val="00AD25E2"/>
    <w:rsid w:val="00AD33B0"/>
    <w:rsid w:val="00AD42C8"/>
    <w:rsid w:val="00AD60A7"/>
    <w:rsid w:val="00AE0F20"/>
    <w:rsid w:val="00AE135F"/>
    <w:rsid w:val="00AE34C3"/>
    <w:rsid w:val="00AE5D44"/>
    <w:rsid w:val="00AE5F29"/>
    <w:rsid w:val="00AE718E"/>
    <w:rsid w:val="00AF3B62"/>
    <w:rsid w:val="00AF44DC"/>
    <w:rsid w:val="00AF5497"/>
    <w:rsid w:val="00B02202"/>
    <w:rsid w:val="00B03D1A"/>
    <w:rsid w:val="00B130D4"/>
    <w:rsid w:val="00B17E8D"/>
    <w:rsid w:val="00B22ED9"/>
    <w:rsid w:val="00B24BA9"/>
    <w:rsid w:val="00B27DA0"/>
    <w:rsid w:val="00B31383"/>
    <w:rsid w:val="00B33CEC"/>
    <w:rsid w:val="00B342B8"/>
    <w:rsid w:val="00B34586"/>
    <w:rsid w:val="00B37B32"/>
    <w:rsid w:val="00B43712"/>
    <w:rsid w:val="00B45C4F"/>
    <w:rsid w:val="00B50A2C"/>
    <w:rsid w:val="00B51587"/>
    <w:rsid w:val="00B51AC3"/>
    <w:rsid w:val="00B53B6E"/>
    <w:rsid w:val="00B55756"/>
    <w:rsid w:val="00B55B10"/>
    <w:rsid w:val="00B55C20"/>
    <w:rsid w:val="00B57243"/>
    <w:rsid w:val="00B57BA8"/>
    <w:rsid w:val="00B65152"/>
    <w:rsid w:val="00B70A34"/>
    <w:rsid w:val="00B70AD0"/>
    <w:rsid w:val="00B71A73"/>
    <w:rsid w:val="00B7356B"/>
    <w:rsid w:val="00B77950"/>
    <w:rsid w:val="00B80961"/>
    <w:rsid w:val="00B81600"/>
    <w:rsid w:val="00B825FD"/>
    <w:rsid w:val="00B843EA"/>
    <w:rsid w:val="00B85A13"/>
    <w:rsid w:val="00B86909"/>
    <w:rsid w:val="00B909BC"/>
    <w:rsid w:val="00B90C69"/>
    <w:rsid w:val="00B94497"/>
    <w:rsid w:val="00B973BA"/>
    <w:rsid w:val="00B9781A"/>
    <w:rsid w:val="00BA306B"/>
    <w:rsid w:val="00BA33FD"/>
    <w:rsid w:val="00BA3580"/>
    <w:rsid w:val="00BA6133"/>
    <w:rsid w:val="00BA6538"/>
    <w:rsid w:val="00BC08C4"/>
    <w:rsid w:val="00BC09C1"/>
    <w:rsid w:val="00BC1C3A"/>
    <w:rsid w:val="00BC2E57"/>
    <w:rsid w:val="00BC304C"/>
    <w:rsid w:val="00BC52BC"/>
    <w:rsid w:val="00BC53C9"/>
    <w:rsid w:val="00BD5463"/>
    <w:rsid w:val="00BD6255"/>
    <w:rsid w:val="00BD67EC"/>
    <w:rsid w:val="00BE0DB5"/>
    <w:rsid w:val="00BE3D4E"/>
    <w:rsid w:val="00BE625D"/>
    <w:rsid w:val="00BF6997"/>
    <w:rsid w:val="00C02BB4"/>
    <w:rsid w:val="00C04974"/>
    <w:rsid w:val="00C10168"/>
    <w:rsid w:val="00C10893"/>
    <w:rsid w:val="00C12709"/>
    <w:rsid w:val="00C20726"/>
    <w:rsid w:val="00C24AC8"/>
    <w:rsid w:val="00C27DC3"/>
    <w:rsid w:val="00C343E2"/>
    <w:rsid w:val="00C3591E"/>
    <w:rsid w:val="00C43BF0"/>
    <w:rsid w:val="00C44BED"/>
    <w:rsid w:val="00C44EAE"/>
    <w:rsid w:val="00C5295D"/>
    <w:rsid w:val="00C54D75"/>
    <w:rsid w:val="00C623FA"/>
    <w:rsid w:val="00C648A4"/>
    <w:rsid w:val="00C64A77"/>
    <w:rsid w:val="00C64C1C"/>
    <w:rsid w:val="00C65270"/>
    <w:rsid w:val="00C67BCC"/>
    <w:rsid w:val="00C72BDE"/>
    <w:rsid w:val="00C72D24"/>
    <w:rsid w:val="00C76C8E"/>
    <w:rsid w:val="00C83269"/>
    <w:rsid w:val="00C8417C"/>
    <w:rsid w:val="00C84A60"/>
    <w:rsid w:val="00C9094D"/>
    <w:rsid w:val="00C924A8"/>
    <w:rsid w:val="00C95283"/>
    <w:rsid w:val="00C968AE"/>
    <w:rsid w:val="00CA0D65"/>
    <w:rsid w:val="00CA6C8F"/>
    <w:rsid w:val="00CB05D5"/>
    <w:rsid w:val="00CB3DC3"/>
    <w:rsid w:val="00CB5063"/>
    <w:rsid w:val="00CB552F"/>
    <w:rsid w:val="00CB78D1"/>
    <w:rsid w:val="00CB7C73"/>
    <w:rsid w:val="00CC2A2B"/>
    <w:rsid w:val="00CC7B7C"/>
    <w:rsid w:val="00CD23DD"/>
    <w:rsid w:val="00CD4450"/>
    <w:rsid w:val="00CD6E34"/>
    <w:rsid w:val="00CE1C3D"/>
    <w:rsid w:val="00CE376C"/>
    <w:rsid w:val="00CE405F"/>
    <w:rsid w:val="00CE640A"/>
    <w:rsid w:val="00CE6A25"/>
    <w:rsid w:val="00CF27EA"/>
    <w:rsid w:val="00CF3A66"/>
    <w:rsid w:val="00D002A4"/>
    <w:rsid w:val="00D01EE2"/>
    <w:rsid w:val="00D02258"/>
    <w:rsid w:val="00D0538A"/>
    <w:rsid w:val="00D05A7F"/>
    <w:rsid w:val="00D0637C"/>
    <w:rsid w:val="00D0720C"/>
    <w:rsid w:val="00D072A2"/>
    <w:rsid w:val="00D1595A"/>
    <w:rsid w:val="00D165CF"/>
    <w:rsid w:val="00D20005"/>
    <w:rsid w:val="00D23305"/>
    <w:rsid w:val="00D23E48"/>
    <w:rsid w:val="00D249A2"/>
    <w:rsid w:val="00D31CBE"/>
    <w:rsid w:val="00D32C7C"/>
    <w:rsid w:val="00D4123F"/>
    <w:rsid w:val="00D5241F"/>
    <w:rsid w:val="00D535D5"/>
    <w:rsid w:val="00D55404"/>
    <w:rsid w:val="00D55D9D"/>
    <w:rsid w:val="00D55E26"/>
    <w:rsid w:val="00D569EF"/>
    <w:rsid w:val="00D5703A"/>
    <w:rsid w:val="00D62AFA"/>
    <w:rsid w:val="00D641AF"/>
    <w:rsid w:val="00D64C8E"/>
    <w:rsid w:val="00D7038A"/>
    <w:rsid w:val="00D72CF4"/>
    <w:rsid w:val="00D73647"/>
    <w:rsid w:val="00D75041"/>
    <w:rsid w:val="00D75BED"/>
    <w:rsid w:val="00D774F6"/>
    <w:rsid w:val="00D80EDD"/>
    <w:rsid w:val="00D82AAA"/>
    <w:rsid w:val="00D85A6C"/>
    <w:rsid w:val="00D8646A"/>
    <w:rsid w:val="00D8713A"/>
    <w:rsid w:val="00D87E6B"/>
    <w:rsid w:val="00D91652"/>
    <w:rsid w:val="00D9182D"/>
    <w:rsid w:val="00D9689B"/>
    <w:rsid w:val="00DA2EF5"/>
    <w:rsid w:val="00DA3B36"/>
    <w:rsid w:val="00DA5BB8"/>
    <w:rsid w:val="00DA62B0"/>
    <w:rsid w:val="00DA7D09"/>
    <w:rsid w:val="00DB0024"/>
    <w:rsid w:val="00DB2544"/>
    <w:rsid w:val="00DB5C8B"/>
    <w:rsid w:val="00DB6032"/>
    <w:rsid w:val="00DB7012"/>
    <w:rsid w:val="00DC233B"/>
    <w:rsid w:val="00DC2F35"/>
    <w:rsid w:val="00DC3B8B"/>
    <w:rsid w:val="00DC4194"/>
    <w:rsid w:val="00DC43E8"/>
    <w:rsid w:val="00DD42F6"/>
    <w:rsid w:val="00DD4724"/>
    <w:rsid w:val="00DE0437"/>
    <w:rsid w:val="00DE1FF5"/>
    <w:rsid w:val="00DE2245"/>
    <w:rsid w:val="00DE4B55"/>
    <w:rsid w:val="00DE6764"/>
    <w:rsid w:val="00DE713C"/>
    <w:rsid w:val="00DE7674"/>
    <w:rsid w:val="00DE7B58"/>
    <w:rsid w:val="00DE7C06"/>
    <w:rsid w:val="00DF4D5F"/>
    <w:rsid w:val="00DF65A4"/>
    <w:rsid w:val="00DF7AD8"/>
    <w:rsid w:val="00DF7CF1"/>
    <w:rsid w:val="00E00A03"/>
    <w:rsid w:val="00E0547B"/>
    <w:rsid w:val="00E06CAB"/>
    <w:rsid w:val="00E13489"/>
    <w:rsid w:val="00E15800"/>
    <w:rsid w:val="00E15E7D"/>
    <w:rsid w:val="00E210C9"/>
    <w:rsid w:val="00E2752F"/>
    <w:rsid w:val="00E3366C"/>
    <w:rsid w:val="00E34442"/>
    <w:rsid w:val="00E369DB"/>
    <w:rsid w:val="00E430CB"/>
    <w:rsid w:val="00E4709D"/>
    <w:rsid w:val="00E5048D"/>
    <w:rsid w:val="00E56CF0"/>
    <w:rsid w:val="00E60B69"/>
    <w:rsid w:val="00E61438"/>
    <w:rsid w:val="00E633A0"/>
    <w:rsid w:val="00E70EE4"/>
    <w:rsid w:val="00E721AC"/>
    <w:rsid w:val="00E74ADC"/>
    <w:rsid w:val="00E7523C"/>
    <w:rsid w:val="00E8176E"/>
    <w:rsid w:val="00E8196D"/>
    <w:rsid w:val="00E85669"/>
    <w:rsid w:val="00E87C1C"/>
    <w:rsid w:val="00E87E9C"/>
    <w:rsid w:val="00E902EF"/>
    <w:rsid w:val="00E90FAF"/>
    <w:rsid w:val="00E9295E"/>
    <w:rsid w:val="00E93A30"/>
    <w:rsid w:val="00E97622"/>
    <w:rsid w:val="00EA3238"/>
    <w:rsid w:val="00EA467C"/>
    <w:rsid w:val="00EB184D"/>
    <w:rsid w:val="00EB2655"/>
    <w:rsid w:val="00EB42EC"/>
    <w:rsid w:val="00EB7D73"/>
    <w:rsid w:val="00EC21ED"/>
    <w:rsid w:val="00EC2BCE"/>
    <w:rsid w:val="00EC2CD0"/>
    <w:rsid w:val="00EC36F7"/>
    <w:rsid w:val="00EC4C5B"/>
    <w:rsid w:val="00EC6304"/>
    <w:rsid w:val="00EC7E9F"/>
    <w:rsid w:val="00ED35B6"/>
    <w:rsid w:val="00ED4AEB"/>
    <w:rsid w:val="00ED52E1"/>
    <w:rsid w:val="00ED68B9"/>
    <w:rsid w:val="00EE00B2"/>
    <w:rsid w:val="00EF1B25"/>
    <w:rsid w:val="00F01D9F"/>
    <w:rsid w:val="00F06D43"/>
    <w:rsid w:val="00F102EA"/>
    <w:rsid w:val="00F10DF3"/>
    <w:rsid w:val="00F12109"/>
    <w:rsid w:val="00F24A75"/>
    <w:rsid w:val="00F24C8B"/>
    <w:rsid w:val="00F251C5"/>
    <w:rsid w:val="00F26B87"/>
    <w:rsid w:val="00F278B2"/>
    <w:rsid w:val="00F30D28"/>
    <w:rsid w:val="00F312F7"/>
    <w:rsid w:val="00F31307"/>
    <w:rsid w:val="00F321DB"/>
    <w:rsid w:val="00F350A1"/>
    <w:rsid w:val="00F356C8"/>
    <w:rsid w:val="00F3592B"/>
    <w:rsid w:val="00F3755F"/>
    <w:rsid w:val="00F40135"/>
    <w:rsid w:val="00F44AFB"/>
    <w:rsid w:val="00F469C4"/>
    <w:rsid w:val="00F52A36"/>
    <w:rsid w:val="00F537E4"/>
    <w:rsid w:val="00F550B6"/>
    <w:rsid w:val="00F560AC"/>
    <w:rsid w:val="00F56A89"/>
    <w:rsid w:val="00F57BEB"/>
    <w:rsid w:val="00F57CF6"/>
    <w:rsid w:val="00F61ECF"/>
    <w:rsid w:val="00F63625"/>
    <w:rsid w:val="00F66329"/>
    <w:rsid w:val="00F673A8"/>
    <w:rsid w:val="00F71229"/>
    <w:rsid w:val="00F7333A"/>
    <w:rsid w:val="00F734F5"/>
    <w:rsid w:val="00F8005E"/>
    <w:rsid w:val="00F81439"/>
    <w:rsid w:val="00F82B65"/>
    <w:rsid w:val="00F85569"/>
    <w:rsid w:val="00F85BA6"/>
    <w:rsid w:val="00F875F2"/>
    <w:rsid w:val="00F933B1"/>
    <w:rsid w:val="00F9343A"/>
    <w:rsid w:val="00F9615B"/>
    <w:rsid w:val="00F96F17"/>
    <w:rsid w:val="00F97BCA"/>
    <w:rsid w:val="00FA28B3"/>
    <w:rsid w:val="00FA2E29"/>
    <w:rsid w:val="00FA2FDE"/>
    <w:rsid w:val="00FA323E"/>
    <w:rsid w:val="00FA49D2"/>
    <w:rsid w:val="00FA5363"/>
    <w:rsid w:val="00FB068F"/>
    <w:rsid w:val="00FB13FE"/>
    <w:rsid w:val="00FB3BC2"/>
    <w:rsid w:val="00FB4A19"/>
    <w:rsid w:val="00FB5432"/>
    <w:rsid w:val="00FC294A"/>
    <w:rsid w:val="00FC632C"/>
    <w:rsid w:val="00FD1035"/>
    <w:rsid w:val="00FD1F71"/>
    <w:rsid w:val="00FD580B"/>
    <w:rsid w:val="00FE0E62"/>
    <w:rsid w:val="00FE3964"/>
    <w:rsid w:val="00FE4A71"/>
    <w:rsid w:val="00FE4C37"/>
    <w:rsid w:val="00FE61C1"/>
    <w:rsid w:val="00FF0C04"/>
    <w:rsid w:val="00FF2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5"/>
    <o:shapelayout v:ext="edit">
      <o:idmap v:ext="edit" data="1"/>
      <o:rules v:ext="edit">
        <o:r id="V:Rule1" type="arc" idref="#_x0000_s1318"/>
        <o:r id="V:Rule2" type="connector" idref="#_x0000_s1307"/>
        <o:r id="V:Rule3" type="connector" idref="#_x0000_s1310"/>
        <o:r id="V:Rule4" type="connector" idref="#_x0000_s1319"/>
        <o:r id="V:Rule5" type="connector" idref="#_x0000_s1311"/>
        <o:r id="V:Rule6" type="connector" idref="#_x0000_s1315"/>
        <o:r id="V:Rule7" type="connector" idref="#_x0000_s1320"/>
        <o:r id="V:Rule8" type="connector" idref="#_x0000_s1308"/>
        <o:r id="V:Rule9" type="connector" idref="#_x0000_s1309"/>
      </o:rules>
    </o:shapelayout>
  </w:shapeDefaults>
  <w:decimalSymbol w:val="."/>
  <w:listSeparator w:val=","/>
  <w14:docId w14:val="20642927"/>
  <w15:docId w15:val="{C046778F-D30D-465A-86DD-9147524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2D"/>
    <w:pPr>
      <w:widowControl w:val="0"/>
    </w:pPr>
    <w:rPr>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F76EB"/>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6F76EB"/>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Heading1">
    <w:name w:val="Heading #1_"/>
    <w:basedOn w:val="DefaultParagraphFont"/>
    <w:link w:val="Heading10"/>
    <w:rsid w:val="006F76EB"/>
    <w:rPr>
      <w:rFonts w:ascii="Times New Roman" w:eastAsia="Times New Roman" w:hAnsi="Times New Roman" w:cs="Times New Roman"/>
      <w:b/>
      <w:bCs/>
      <w:sz w:val="34"/>
      <w:szCs w:val="34"/>
      <w:shd w:val="clear" w:color="auto" w:fill="FFFFFF"/>
    </w:rPr>
  </w:style>
  <w:style w:type="paragraph" w:customStyle="1" w:styleId="Heading10">
    <w:name w:val="Heading #1"/>
    <w:basedOn w:val="Normal"/>
    <w:link w:val="Heading1"/>
    <w:rsid w:val="006F76EB"/>
    <w:pPr>
      <w:shd w:val="clear" w:color="auto" w:fill="FFFFFF"/>
      <w:spacing w:before="120" w:after="960" w:line="0" w:lineRule="atLeast"/>
      <w:jc w:val="center"/>
      <w:outlineLvl w:val="0"/>
    </w:pPr>
    <w:rPr>
      <w:rFonts w:ascii="Times New Roman" w:eastAsia="Times New Roman" w:hAnsi="Times New Roman" w:cs="Times New Roman"/>
      <w:b/>
      <w:bCs/>
      <w:sz w:val="34"/>
      <w:szCs w:val="34"/>
      <w:lang w:val="en-US" w:eastAsia="en-US" w:bidi="ar-SA"/>
    </w:rPr>
  </w:style>
  <w:style w:type="character" w:customStyle="1" w:styleId="Tablecaption">
    <w:name w:val="Table caption_"/>
    <w:basedOn w:val="DefaultParagraphFont"/>
    <w:link w:val="Tablecaption0"/>
    <w:rsid w:val="006F76EB"/>
    <w:rPr>
      <w:rFonts w:ascii="Times New Roman" w:eastAsia="Times New Roman" w:hAnsi="Times New Roman" w:cs="Times New Roman"/>
      <w:b/>
      <w:bCs/>
      <w:sz w:val="28"/>
      <w:szCs w:val="28"/>
      <w:shd w:val="clear" w:color="auto" w:fill="FFFFFF"/>
    </w:rPr>
  </w:style>
  <w:style w:type="paragraph" w:customStyle="1" w:styleId="Tablecaption0">
    <w:name w:val="Table caption"/>
    <w:basedOn w:val="Normal"/>
    <w:link w:val="Tablecaption"/>
    <w:rsid w:val="006F76EB"/>
    <w:pPr>
      <w:shd w:val="clear" w:color="auto" w:fill="FFFFFF"/>
      <w:spacing w:after="0" w:line="0" w:lineRule="atLeast"/>
      <w:jc w:val="center"/>
    </w:pPr>
    <w:rPr>
      <w:rFonts w:ascii="Times New Roman" w:eastAsia="Times New Roman" w:hAnsi="Times New Roman" w:cs="Times New Roman"/>
      <w:b/>
      <w:bCs/>
      <w:sz w:val="28"/>
      <w:szCs w:val="28"/>
      <w:lang w:val="en-US" w:eastAsia="en-US" w:bidi="ar-SA"/>
    </w:rPr>
  </w:style>
  <w:style w:type="character" w:customStyle="1" w:styleId="TablecaptionSpacing4pt">
    <w:name w:val="Table caption + Spacing 4 pt"/>
    <w:basedOn w:val="Tablecaption"/>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rsid w:val="006F76EB"/>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basedOn w:val="Bodytext2"/>
    <w:rsid w:val="006F76E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6F76EB"/>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6F76EB"/>
    <w:pPr>
      <w:shd w:val="clear" w:color="auto" w:fill="FFFFFF"/>
      <w:spacing w:before="480" w:after="0" w:line="346" w:lineRule="exact"/>
      <w:jc w:val="center"/>
    </w:pPr>
    <w:rPr>
      <w:rFonts w:ascii="Times New Roman" w:eastAsia="Times New Roman" w:hAnsi="Times New Roman" w:cs="Times New Roman"/>
      <w:b/>
      <w:bCs/>
      <w:sz w:val="28"/>
      <w:szCs w:val="28"/>
      <w:lang w:val="en-US" w:eastAsia="en-US" w:bidi="ar-SA"/>
    </w:rPr>
  </w:style>
  <w:style w:type="character" w:customStyle="1" w:styleId="Bodytext4Spacing4pt">
    <w:name w:val="Body text (4) + Spacing 4 pt"/>
    <w:basedOn w:val="Bodytext4"/>
    <w:rsid w:val="006F76EB"/>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Heading12">
    <w:name w:val="Heading #1 (2)_"/>
    <w:basedOn w:val="DefaultParagraphFont"/>
    <w:link w:val="Heading120"/>
    <w:rsid w:val="006F76EB"/>
    <w:rPr>
      <w:rFonts w:ascii="Times New Roman" w:eastAsia="Times New Roman" w:hAnsi="Times New Roman" w:cs="Times New Roman"/>
      <w:b/>
      <w:bCs/>
      <w:sz w:val="30"/>
      <w:szCs w:val="30"/>
      <w:shd w:val="clear" w:color="auto" w:fill="FFFFFF"/>
    </w:rPr>
  </w:style>
  <w:style w:type="paragraph" w:customStyle="1" w:styleId="Heading120">
    <w:name w:val="Heading #1 (2)"/>
    <w:basedOn w:val="Normal"/>
    <w:link w:val="Heading12"/>
    <w:rsid w:val="006F76EB"/>
    <w:pPr>
      <w:shd w:val="clear" w:color="auto" w:fill="FFFFFF"/>
      <w:spacing w:before="120" w:after="960" w:line="0" w:lineRule="atLeast"/>
      <w:jc w:val="center"/>
      <w:outlineLvl w:val="0"/>
    </w:pPr>
    <w:rPr>
      <w:rFonts w:ascii="Times New Roman" w:eastAsia="Times New Roman" w:hAnsi="Times New Roman" w:cs="Times New Roman"/>
      <w:b/>
      <w:bCs/>
      <w:sz w:val="30"/>
      <w:szCs w:val="30"/>
      <w:lang w:val="en-US" w:eastAsia="en-US" w:bidi="ar-SA"/>
    </w:rPr>
  </w:style>
  <w:style w:type="character" w:customStyle="1" w:styleId="Bodytext295pt">
    <w:name w:val="Body text (2) + 9.5 pt"/>
    <w:aliases w:val="Bold,Spacing 0 pt,Body text (2) + 11 pt,Body text (4) + 53 pt,Spacing -6 pt,Body text (2) + 14 pt,Italic,Body text (18) + 11.5 pt,Body text (14) + 18 pt,Body text (8) + 11.5 pt,Body text (9) + 11 pt,Not Italic"/>
    <w:basedOn w:val="Bodytext2"/>
    <w:rsid w:val="006F76EB"/>
    <w:rPr>
      <w:rFonts w:ascii="Times New Roman" w:eastAsia="Times New Roman" w:hAnsi="Times New Roman" w:cs="Times New Roman"/>
      <w:b/>
      <w:bCs/>
      <w:i w:val="0"/>
      <w:iCs w:val="0"/>
      <w:smallCaps w:val="0"/>
      <w:strike w:val="0"/>
      <w:color w:val="000000"/>
      <w:spacing w:val="-10"/>
      <w:w w:val="100"/>
      <w:position w:val="0"/>
      <w:sz w:val="19"/>
      <w:szCs w:val="19"/>
      <w:u w:val="none"/>
      <w:lang w:val="hy-AM" w:eastAsia="hy-AM" w:bidi="hy-AM"/>
    </w:rPr>
  </w:style>
  <w:style w:type="table" w:styleId="TableGrid">
    <w:name w:val="Table Grid"/>
    <w:basedOn w:val="TableNormal"/>
    <w:uiPriority w:val="59"/>
    <w:rsid w:val="006F76EB"/>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6EB"/>
    <w:pPr>
      <w:ind w:left="720"/>
      <w:contextualSpacing/>
    </w:pPr>
  </w:style>
  <w:style w:type="paragraph" w:styleId="FootnoteText">
    <w:name w:val="footnote text"/>
    <w:basedOn w:val="Normal"/>
    <w:link w:val="FootnoteTextChar"/>
    <w:uiPriority w:val="99"/>
    <w:semiHidden/>
    <w:unhideWhenUsed/>
    <w:rsid w:val="006F76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6EB"/>
    <w:rPr>
      <w:sz w:val="20"/>
      <w:szCs w:val="20"/>
      <w:lang w:val="hy-AM" w:eastAsia="hy-AM" w:bidi="hy-AM"/>
    </w:rPr>
  </w:style>
  <w:style w:type="character" w:styleId="FootnoteReference">
    <w:name w:val="footnote reference"/>
    <w:basedOn w:val="DefaultParagraphFont"/>
    <w:uiPriority w:val="99"/>
    <w:semiHidden/>
    <w:unhideWhenUsed/>
    <w:rsid w:val="006F76EB"/>
    <w:rPr>
      <w:vertAlign w:val="superscript"/>
    </w:rPr>
  </w:style>
  <w:style w:type="paragraph" w:styleId="Header">
    <w:name w:val="header"/>
    <w:basedOn w:val="Normal"/>
    <w:link w:val="HeaderChar"/>
    <w:uiPriority w:val="99"/>
    <w:unhideWhenUsed/>
    <w:rsid w:val="006F7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EB"/>
    <w:rPr>
      <w:lang w:val="hy-AM" w:eastAsia="hy-AM" w:bidi="hy-AM"/>
    </w:rPr>
  </w:style>
  <w:style w:type="paragraph" w:styleId="Footer">
    <w:name w:val="footer"/>
    <w:basedOn w:val="Normal"/>
    <w:link w:val="FooterChar"/>
    <w:uiPriority w:val="99"/>
    <w:unhideWhenUsed/>
    <w:rsid w:val="006F7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EB"/>
    <w:rPr>
      <w:lang w:val="hy-AM" w:eastAsia="hy-AM" w:bidi="hy-AM"/>
    </w:rPr>
  </w:style>
  <w:style w:type="character" w:customStyle="1" w:styleId="Picturecaption">
    <w:name w:val="Picture caption_"/>
    <w:basedOn w:val="DefaultParagraphFont"/>
    <w:link w:val="Picturecaption0"/>
    <w:rsid w:val="006F76EB"/>
    <w:rPr>
      <w:rFonts w:ascii="Times New Roman" w:eastAsia="Times New Roman" w:hAnsi="Times New Roman" w:cs="Times New Roman"/>
      <w:sz w:val="28"/>
      <w:szCs w:val="28"/>
      <w:shd w:val="clear" w:color="auto" w:fill="FFFFFF"/>
    </w:rPr>
  </w:style>
  <w:style w:type="paragraph" w:customStyle="1" w:styleId="Picturecaption0">
    <w:name w:val="Picture caption"/>
    <w:basedOn w:val="Normal"/>
    <w:link w:val="Picturecaption"/>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semiHidden/>
    <w:unhideWhenUsed/>
    <w:rsid w:val="006F76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6EB"/>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6F76EB"/>
    <w:rPr>
      <w:sz w:val="16"/>
      <w:szCs w:val="16"/>
    </w:rPr>
  </w:style>
  <w:style w:type="paragraph" w:styleId="CommentText">
    <w:name w:val="annotation text"/>
    <w:basedOn w:val="Normal"/>
    <w:link w:val="CommentTextChar"/>
    <w:uiPriority w:val="99"/>
    <w:semiHidden/>
    <w:unhideWhenUsed/>
    <w:rsid w:val="006F76EB"/>
    <w:pPr>
      <w:spacing w:line="240" w:lineRule="auto"/>
    </w:pPr>
    <w:rPr>
      <w:sz w:val="20"/>
      <w:szCs w:val="20"/>
    </w:rPr>
  </w:style>
  <w:style w:type="character" w:customStyle="1" w:styleId="CommentTextChar">
    <w:name w:val="Comment Text Char"/>
    <w:basedOn w:val="DefaultParagraphFont"/>
    <w:link w:val="CommentText"/>
    <w:uiPriority w:val="99"/>
    <w:semiHidden/>
    <w:rsid w:val="006F76E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6F76EB"/>
    <w:rPr>
      <w:b/>
      <w:bCs/>
    </w:rPr>
  </w:style>
  <w:style w:type="character" w:customStyle="1" w:styleId="CommentSubjectChar">
    <w:name w:val="Comment Subject Char"/>
    <w:basedOn w:val="CommentTextChar"/>
    <w:link w:val="CommentSubject"/>
    <w:uiPriority w:val="99"/>
    <w:semiHidden/>
    <w:rsid w:val="006F76EB"/>
    <w:rPr>
      <w:b/>
      <w:bCs/>
      <w:sz w:val="20"/>
      <w:szCs w:val="20"/>
      <w:lang w:val="hy-AM" w:eastAsia="hy-AM" w:bidi="hy-AM"/>
    </w:rPr>
  </w:style>
  <w:style w:type="character" w:customStyle="1" w:styleId="Footnote">
    <w:name w:val="Footnote_"/>
    <w:basedOn w:val="DefaultParagraphFont"/>
    <w:link w:val="Footnote0"/>
    <w:rsid w:val="006F76EB"/>
    <w:rPr>
      <w:rFonts w:ascii="Times New Roman" w:eastAsia="Times New Roman" w:hAnsi="Times New Roman" w:cs="Times New Roman"/>
      <w:sz w:val="20"/>
      <w:szCs w:val="20"/>
      <w:shd w:val="clear" w:color="auto" w:fill="FFFFFF"/>
    </w:rPr>
  </w:style>
  <w:style w:type="paragraph" w:customStyle="1" w:styleId="Footnote0">
    <w:name w:val="Footnote"/>
    <w:basedOn w:val="Normal"/>
    <w:link w:val="Footnote"/>
    <w:rsid w:val="006F76EB"/>
    <w:pPr>
      <w:shd w:val="clear" w:color="auto" w:fill="FFFFFF"/>
      <w:spacing w:after="0" w:line="226" w:lineRule="exact"/>
      <w:jc w:val="both"/>
    </w:pPr>
    <w:rPr>
      <w:rFonts w:ascii="Times New Roman" w:eastAsia="Times New Roman" w:hAnsi="Times New Roman" w:cs="Times New Roman"/>
      <w:sz w:val="20"/>
      <w:szCs w:val="20"/>
      <w:lang w:val="en-US" w:eastAsia="en-US" w:bidi="ar-SA"/>
    </w:rPr>
  </w:style>
  <w:style w:type="character" w:customStyle="1" w:styleId="Headerorfooter">
    <w:name w:val="Header or footer_"/>
    <w:basedOn w:val="DefaultParagraphFont"/>
    <w:link w:val="Headerorfooter0"/>
    <w:rsid w:val="006F76EB"/>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8">
    <w:name w:val="Body text (8)_"/>
    <w:basedOn w:val="DefaultParagraphFont"/>
    <w:link w:val="Bodytext80"/>
    <w:rsid w:val="006F76EB"/>
    <w:rPr>
      <w:rFonts w:ascii="Times New Roman" w:eastAsia="Times New Roman" w:hAnsi="Times New Roman" w:cs="Times New Roman"/>
      <w:b/>
      <w:bCs/>
      <w:shd w:val="clear" w:color="auto" w:fill="FFFFFF"/>
    </w:rPr>
  </w:style>
  <w:style w:type="paragraph" w:customStyle="1" w:styleId="Bodytext80">
    <w:name w:val="Body text (8)"/>
    <w:basedOn w:val="Normal"/>
    <w:link w:val="Bodytext8"/>
    <w:rsid w:val="006F76EB"/>
    <w:pPr>
      <w:shd w:val="clear" w:color="auto" w:fill="FFFFFF"/>
      <w:spacing w:before="240" w:after="0" w:line="274" w:lineRule="exact"/>
      <w:jc w:val="center"/>
    </w:pPr>
    <w:rPr>
      <w:rFonts w:ascii="Times New Roman" w:eastAsia="Times New Roman" w:hAnsi="Times New Roman" w:cs="Times New Roman"/>
      <w:b/>
      <w:bCs/>
      <w:lang w:val="en-US" w:eastAsia="en-US" w:bidi="ar-SA"/>
    </w:rPr>
  </w:style>
  <w:style w:type="character" w:customStyle="1" w:styleId="Bodytext9">
    <w:name w:val="Body text (9)_"/>
    <w:basedOn w:val="DefaultParagraphFont"/>
    <w:link w:val="Bodytext90"/>
    <w:rsid w:val="006F76EB"/>
    <w:rPr>
      <w:rFonts w:ascii="Times New Roman" w:eastAsia="Times New Roman" w:hAnsi="Times New Roman" w:cs="Times New Roman"/>
      <w:b/>
      <w:bCs/>
      <w:i/>
      <w:iCs/>
      <w:sz w:val="23"/>
      <w:szCs w:val="23"/>
      <w:shd w:val="clear" w:color="auto" w:fill="FFFFFF"/>
    </w:rPr>
  </w:style>
  <w:style w:type="paragraph" w:customStyle="1" w:styleId="Bodytext90">
    <w:name w:val="Body text (9)"/>
    <w:basedOn w:val="Normal"/>
    <w:link w:val="Bodytext9"/>
    <w:rsid w:val="006F76EB"/>
    <w:pPr>
      <w:shd w:val="clear" w:color="auto" w:fill="FFFFFF"/>
      <w:spacing w:after="0" w:line="274" w:lineRule="exact"/>
      <w:jc w:val="both"/>
    </w:pPr>
    <w:rPr>
      <w:rFonts w:ascii="Times New Roman" w:eastAsia="Times New Roman" w:hAnsi="Times New Roman" w:cs="Times New Roman"/>
      <w:b/>
      <w:bCs/>
      <w:i/>
      <w:iCs/>
      <w:sz w:val="23"/>
      <w:szCs w:val="23"/>
      <w:lang w:val="en-US" w:eastAsia="en-US" w:bidi="ar-SA"/>
    </w:rPr>
  </w:style>
  <w:style w:type="character" w:customStyle="1" w:styleId="Bodytext12">
    <w:name w:val="Body text (12)_"/>
    <w:basedOn w:val="DefaultParagraphFont"/>
    <w:link w:val="Bodytext120"/>
    <w:rsid w:val="006F76EB"/>
    <w:rPr>
      <w:rFonts w:ascii="Times New Roman" w:eastAsia="Times New Roman" w:hAnsi="Times New Roman" w:cs="Times New Roman"/>
      <w:sz w:val="28"/>
      <w:szCs w:val="28"/>
      <w:shd w:val="clear" w:color="auto" w:fill="FFFFFF"/>
    </w:rPr>
  </w:style>
  <w:style w:type="paragraph" w:customStyle="1" w:styleId="Bodytext120">
    <w:name w:val="Body text (12)"/>
    <w:basedOn w:val="Normal"/>
    <w:link w:val="Bodytext12"/>
    <w:rsid w:val="006F76EB"/>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13">
    <w:name w:val="Body text (13)_"/>
    <w:basedOn w:val="DefaultParagraphFont"/>
    <w:link w:val="Bodytext130"/>
    <w:rsid w:val="006F76EB"/>
    <w:rPr>
      <w:rFonts w:ascii="Times New Roman" w:eastAsia="Times New Roman" w:hAnsi="Times New Roman" w:cs="Times New Roman"/>
      <w:b/>
      <w:bCs/>
      <w:sz w:val="30"/>
      <w:szCs w:val="30"/>
      <w:shd w:val="clear" w:color="auto" w:fill="FFFFFF"/>
    </w:rPr>
  </w:style>
  <w:style w:type="paragraph" w:customStyle="1" w:styleId="Bodytext130">
    <w:name w:val="Body text (13)"/>
    <w:basedOn w:val="Normal"/>
    <w:link w:val="Bodytext13"/>
    <w:rsid w:val="006F76EB"/>
    <w:pPr>
      <w:shd w:val="clear" w:color="auto" w:fill="FFFFFF"/>
      <w:spacing w:after="1140" w:line="360" w:lineRule="exact"/>
      <w:jc w:val="center"/>
    </w:pPr>
    <w:rPr>
      <w:rFonts w:ascii="Times New Roman" w:eastAsia="Times New Roman" w:hAnsi="Times New Roman" w:cs="Times New Roman"/>
      <w:b/>
      <w:bCs/>
      <w:sz w:val="30"/>
      <w:szCs w:val="30"/>
      <w:lang w:val="en-US" w:eastAsia="en-US" w:bidi="ar-SA"/>
    </w:rPr>
  </w:style>
  <w:style w:type="character" w:customStyle="1" w:styleId="Tablecaption2">
    <w:name w:val="Table caption (2)_"/>
    <w:basedOn w:val="DefaultParagraphFont"/>
    <w:link w:val="Tablecaption20"/>
    <w:rsid w:val="006F76EB"/>
    <w:rPr>
      <w:rFonts w:ascii="Times New Roman" w:eastAsia="Times New Roman" w:hAnsi="Times New Roman" w:cs="Times New Roman"/>
      <w:b/>
      <w:bCs/>
      <w:shd w:val="clear" w:color="auto" w:fill="FFFFFF"/>
    </w:rPr>
  </w:style>
  <w:style w:type="paragraph" w:customStyle="1" w:styleId="Tablecaption20">
    <w:name w:val="Table caption (2)"/>
    <w:basedOn w:val="Normal"/>
    <w:link w:val="Tablecaption2"/>
    <w:rsid w:val="006F76EB"/>
    <w:pPr>
      <w:shd w:val="clear" w:color="auto" w:fill="FFFFFF"/>
      <w:spacing w:after="0" w:line="0" w:lineRule="atLeast"/>
    </w:pPr>
    <w:rPr>
      <w:rFonts w:ascii="Times New Roman" w:eastAsia="Times New Roman" w:hAnsi="Times New Roman" w:cs="Times New Roman"/>
      <w:b/>
      <w:bCs/>
      <w:lang w:val="en-US" w:eastAsia="en-US" w:bidi="ar-SA"/>
    </w:rPr>
  </w:style>
  <w:style w:type="character" w:customStyle="1" w:styleId="Tablecaption3">
    <w:name w:val="Table caption (3)_"/>
    <w:basedOn w:val="DefaultParagraphFont"/>
    <w:link w:val="Tablecaption30"/>
    <w:rsid w:val="006F76EB"/>
    <w:rPr>
      <w:rFonts w:ascii="Times New Roman" w:eastAsia="Times New Roman" w:hAnsi="Times New Roman" w:cs="Times New Roman"/>
      <w:sz w:val="30"/>
      <w:szCs w:val="30"/>
      <w:shd w:val="clear" w:color="auto" w:fill="FFFFFF"/>
    </w:rPr>
  </w:style>
  <w:style w:type="paragraph" w:customStyle="1" w:styleId="Tablecaption30">
    <w:name w:val="Table caption (3)"/>
    <w:basedOn w:val="Normal"/>
    <w:link w:val="Tablecaption3"/>
    <w:rsid w:val="006F76EB"/>
    <w:pPr>
      <w:shd w:val="clear" w:color="auto" w:fill="FFFFFF"/>
      <w:spacing w:after="0" w:line="0" w:lineRule="atLeast"/>
    </w:pPr>
    <w:rPr>
      <w:rFonts w:ascii="Times New Roman" w:eastAsia="Times New Roman" w:hAnsi="Times New Roman" w:cs="Times New Roman"/>
      <w:sz w:val="30"/>
      <w:szCs w:val="30"/>
      <w:lang w:val="en-US" w:eastAsia="en-US" w:bidi="ar-SA"/>
    </w:rPr>
  </w:style>
  <w:style w:type="character" w:customStyle="1" w:styleId="Bodytext18">
    <w:name w:val="Body text (18)_"/>
    <w:basedOn w:val="DefaultParagraphFont"/>
    <w:link w:val="Bodytext180"/>
    <w:rsid w:val="006F76EB"/>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F76EB"/>
    <w:pPr>
      <w:shd w:val="clear" w:color="auto" w:fill="FFFFFF"/>
      <w:spacing w:before="420" w:after="0" w:line="322" w:lineRule="exact"/>
      <w:ind w:firstLine="720"/>
    </w:pPr>
    <w:rPr>
      <w:rFonts w:ascii="Times New Roman" w:eastAsia="Times New Roman" w:hAnsi="Times New Roman" w:cs="Times New Roman"/>
      <w:b/>
      <w:bCs/>
      <w:sz w:val="26"/>
      <w:szCs w:val="26"/>
      <w:lang w:val="en-US" w:eastAsia="en-US" w:bidi="ar-SA"/>
    </w:rPr>
  </w:style>
  <w:style w:type="character" w:customStyle="1" w:styleId="Bodytext1811pt">
    <w:name w:val="Body text (18) + 11 pt"/>
    <w:aliases w:val="Spacing 1 pt,Small Caps"/>
    <w:basedOn w:val="Bodytext18"/>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Bodytext7">
    <w:name w:val="Body text (7)_"/>
    <w:basedOn w:val="DefaultParagraphFont"/>
    <w:link w:val="Bodytext70"/>
    <w:rsid w:val="006F76EB"/>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6F76EB"/>
    <w:pPr>
      <w:shd w:val="clear" w:color="auto" w:fill="FFFFFF"/>
      <w:spacing w:before="480" w:after="0" w:line="514" w:lineRule="exact"/>
      <w:jc w:val="both"/>
    </w:pPr>
    <w:rPr>
      <w:rFonts w:ascii="Times New Roman" w:eastAsia="Times New Roman" w:hAnsi="Times New Roman" w:cs="Times New Roman"/>
      <w:b/>
      <w:bCs/>
      <w:i/>
      <w:iCs/>
      <w:sz w:val="28"/>
      <w:szCs w:val="28"/>
      <w:lang w:val="en-US" w:eastAsia="en-US" w:bidi="ar-SA"/>
    </w:rPr>
  </w:style>
  <w:style w:type="character" w:customStyle="1" w:styleId="Tablecaption4">
    <w:name w:val="Table caption (4)_"/>
    <w:basedOn w:val="DefaultParagraphFont"/>
    <w:link w:val="Tablecaption40"/>
    <w:rsid w:val="006F76EB"/>
    <w:rPr>
      <w:rFonts w:ascii="Times New Roman" w:eastAsia="Times New Roman" w:hAnsi="Times New Roman" w:cs="Times New Roman"/>
      <w:b/>
      <w:bCs/>
      <w:i/>
      <w:iCs/>
      <w:sz w:val="28"/>
      <w:szCs w:val="28"/>
      <w:shd w:val="clear" w:color="auto" w:fill="FFFFFF"/>
    </w:rPr>
  </w:style>
  <w:style w:type="paragraph" w:customStyle="1" w:styleId="Tablecaption40">
    <w:name w:val="Table caption (4)"/>
    <w:basedOn w:val="Normal"/>
    <w:link w:val="Tablecaption4"/>
    <w:rsid w:val="006F76EB"/>
    <w:pPr>
      <w:shd w:val="clear" w:color="auto" w:fill="FFFFFF"/>
      <w:spacing w:after="0" w:line="350" w:lineRule="exact"/>
      <w:ind w:firstLine="720"/>
    </w:pPr>
    <w:rPr>
      <w:rFonts w:ascii="Times New Roman" w:eastAsia="Times New Roman" w:hAnsi="Times New Roman" w:cs="Times New Roman"/>
      <w:b/>
      <w:bCs/>
      <w:i/>
      <w:iCs/>
      <w:sz w:val="28"/>
      <w:szCs w:val="28"/>
      <w:lang w:val="en-US" w:eastAsia="en-US" w:bidi="ar-SA"/>
    </w:rPr>
  </w:style>
  <w:style w:type="character" w:customStyle="1" w:styleId="Tableofcontents12">
    <w:name w:val="Table of contents (12)_"/>
    <w:basedOn w:val="DefaultParagraphFont"/>
    <w:link w:val="Tableofcontents120"/>
    <w:rsid w:val="006F76EB"/>
    <w:rPr>
      <w:rFonts w:ascii="Times New Roman" w:eastAsia="Times New Roman" w:hAnsi="Times New Roman" w:cs="Times New Roman"/>
      <w:b/>
      <w:bCs/>
      <w:shd w:val="clear" w:color="auto" w:fill="FFFFFF"/>
    </w:rPr>
  </w:style>
  <w:style w:type="paragraph" w:customStyle="1" w:styleId="Tableofcontents120">
    <w:name w:val="Table of contents (12)"/>
    <w:basedOn w:val="Normal"/>
    <w:link w:val="Tableofcontents12"/>
    <w:rsid w:val="006F76EB"/>
    <w:pPr>
      <w:shd w:val="clear" w:color="auto" w:fill="FFFFFF"/>
      <w:spacing w:after="180" w:line="0" w:lineRule="atLeast"/>
      <w:ind w:hanging="360"/>
      <w:jc w:val="both"/>
    </w:pPr>
    <w:rPr>
      <w:rFonts w:ascii="Times New Roman" w:eastAsia="Times New Roman" w:hAnsi="Times New Roman" w:cs="Times New Roman"/>
      <w:b/>
      <w:bCs/>
      <w:lang w:val="en-US" w:eastAsia="en-US" w:bidi="ar-SA"/>
    </w:rPr>
  </w:style>
  <w:style w:type="character" w:customStyle="1" w:styleId="Bodytext18BookmanOldStyle">
    <w:name w:val="Body text (18) + Bookman Old Style"/>
    <w:aliases w:val="7.5 pt,Body text (18) + Georgia"/>
    <w:basedOn w:val="Bodytext18"/>
    <w:rsid w:val="006F76EB"/>
    <w:rPr>
      <w:rFonts w:ascii="Bookman Old Style" w:eastAsia="Bookman Old Style" w:hAnsi="Bookman Old Style" w:cs="Bookman Old Style"/>
      <w:b/>
      <w:bCs/>
      <w:color w:val="000000"/>
      <w:spacing w:val="0"/>
      <w:w w:val="100"/>
      <w:position w:val="0"/>
      <w:sz w:val="15"/>
      <w:szCs w:val="15"/>
      <w:shd w:val="clear" w:color="auto" w:fill="FFFFFF"/>
      <w:lang w:val="hy-AM" w:eastAsia="hy-AM" w:bidi="hy-AM"/>
    </w:rPr>
  </w:style>
  <w:style w:type="character" w:customStyle="1" w:styleId="Bodytext7NotItalic">
    <w:name w:val="Body text (7) + Not Italic"/>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
    <w:name w:val="Heading #1 (3)_"/>
    <w:basedOn w:val="DefaultParagraphFont"/>
    <w:link w:val="Heading130"/>
    <w:rsid w:val="006F76EB"/>
    <w:rPr>
      <w:rFonts w:ascii="Times New Roman" w:eastAsia="Times New Roman" w:hAnsi="Times New Roman" w:cs="Times New Roman"/>
      <w:sz w:val="30"/>
      <w:szCs w:val="30"/>
      <w:shd w:val="clear" w:color="auto" w:fill="FFFFFF"/>
    </w:rPr>
  </w:style>
  <w:style w:type="paragraph" w:customStyle="1" w:styleId="Heading130">
    <w:name w:val="Heading #1 (3)"/>
    <w:basedOn w:val="Normal"/>
    <w:link w:val="Heading13"/>
    <w:rsid w:val="006F76EB"/>
    <w:pPr>
      <w:shd w:val="clear" w:color="auto" w:fill="FFFFFF"/>
      <w:spacing w:before="1380" w:after="300" w:line="0" w:lineRule="atLeast"/>
      <w:jc w:val="center"/>
      <w:outlineLvl w:val="0"/>
    </w:pPr>
    <w:rPr>
      <w:rFonts w:ascii="Times New Roman" w:eastAsia="Times New Roman" w:hAnsi="Times New Roman" w:cs="Times New Roman"/>
      <w:sz w:val="30"/>
      <w:szCs w:val="30"/>
      <w:lang w:val="en-US" w:eastAsia="en-US" w:bidi="ar-SA"/>
    </w:rPr>
  </w:style>
  <w:style w:type="character" w:customStyle="1" w:styleId="Heading13Bold">
    <w:name w:val="Heading #1 (3) + Bold"/>
    <w:basedOn w:val="Heading13"/>
    <w:rsid w:val="006F76EB"/>
    <w:rPr>
      <w:rFonts w:ascii="Times New Roman" w:eastAsia="Times New Roman" w:hAnsi="Times New Roman" w:cs="Times New Roman"/>
      <w:sz w:val="30"/>
      <w:szCs w:val="30"/>
      <w:shd w:val="clear" w:color="auto" w:fill="FFFFFF"/>
    </w:rPr>
  </w:style>
  <w:style w:type="character" w:customStyle="1" w:styleId="Bodytext14">
    <w:name w:val="Body text (14)_"/>
    <w:basedOn w:val="DefaultParagraphFont"/>
    <w:link w:val="Bodytext140"/>
    <w:rsid w:val="006F76EB"/>
    <w:rPr>
      <w:rFonts w:ascii="Times New Roman" w:eastAsia="Times New Roman" w:hAnsi="Times New Roman" w:cs="Times New Roman"/>
      <w:i/>
      <w:iCs/>
      <w:sz w:val="28"/>
      <w:szCs w:val="28"/>
      <w:shd w:val="clear" w:color="auto" w:fill="FFFFFF"/>
    </w:rPr>
  </w:style>
  <w:style w:type="paragraph" w:customStyle="1" w:styleId="Bodytext140">
    <w:name w:val="Body text (14)"/>
    <w:basedOn w:val="Normal"/>
    <w:link w:val="Bodytext14"/>
    <w:rsid w:val="006F76EB"/>
    <w:pPr>
      <w:shd w:val="clear" w:color="auto" w:fill="FFFFFF"/>
      <w:spacing w:before="300" w:after="60" w:line="0" w:lineRule="atLeast"/>
    </w:pPr>
    <w:rPr>
      <w:rFonts w:ascii="Times New Roman" w:eastAsia="Times New Roman" w:hAnsi="Times New Roman" w:cs="Times New Roman"/>
      <w:i/>
      <w:iCs/>
      <w:sz w:val="28"/>
      <w:szCs w:val="28"/>
      <w:lang w:val="en-US" w:eastAsia="en-US" w:bidi="ar-SA"/>
    </w:rPr>
  </w:style>
  <w:style w:type="character" w:customStyle="1" w:styleId="Bodytext14NotItalic">
    <w:name w:val="Body text (14) + Not Italic"/>
    <w:basedOn w:val="Bodytext14"/>
    <w:rsid w:val="006F76EB"/>
    <w:rPr>
      <w:rFonts w:ascii="Times New Roman" w:eastAsia="Times New Roman" w:hAnsi="Times New Roman" w:cs="Times New Roman"/>
      <w:i/>
      <w:iCs/>
      <w:sz w:val="28"/>
      <w:szCs w:val="28"/>
      <w:shd w:val="clear" w:color="auto" w:fill="FFFFFF"/>
    </w:rPr>
  </w:style>
  <w:style w:type="character" w:customStyle="1" w:styleId="Bodytext15">
    <w:name w:val="Body text (15)_"/>
    <w:basedOn w:val="DefaultParagraphFont"/>
    <w:link w:val="Bodytext150"/>
    <w:rsid w:val="006F76EB"/>
    <w:rPr>
      <w:rFonts w:ascii="Segoe UI" w:eastAsia="Segoe UI" w:hAnsi="Segoe UI" w:cs="Segoe UI"/>
      <w:b/>
      <w:bCs/>
      <w:spacing w:val="60"/>
      <w:sz w:val="13"/>
      <w:szCs w:val="13"/>
      <w:shd w:val="clear" w:color="auto" w:fill="FFFFFF"/>
    </w:rPr>
  </w:style>
  <w:style w:type="paragraph" w:customStyle="1" w:styleId="Bodytext150">
    <w:name w:val="Body text (15)"/>
    <w:basedOn w:val="Normal"/>
    <w:link w:val="Bodytext15"/>
    <w:rsid w:val="006F76EB"/>
    <w:pPr>
      <w:shd w:val="clear" w:color="auto" w:fill="FFFFFF"/>
      <w:spacing w:after="0" w:line="346" w:lineRule="exact"/>
    </w:pPr>
    <w:rPr>
      <w:rFonts w:ascii="Segoe UI" w:eastAsia="Segoe UI" w:hAnsi="Segoe UI" w:cs="Segoe UI"/>
      <w:b/>
      <w:bCs/>
      <w:spacing w:val="60"/>
      <w:sz w:val="13"/>
      <w:szCs w:val="13"/>
      <w:lang w:val="en-US" w:eastAsia="en-US" w:bidi="ar-SA"/>
    </w:rPr>
  </w:style>
  <w:style w:type="character" w:customStyle="1" w:styleId="Bodytext16">
    <w:name w:val="Body text (16)_"/>
    <w:basedOn w:val="DefaultParagraphFont"/>
    <w:link w:val="Bodytext160"/>
    <w:rsid w:val="006F76EB"/>
    <w:rPr>
      <w:rFonts w:ascii="CordiaUPC" w:eastAsia="CordiaUPC" w:hAnsi="CordiaUPC" w:cs="CordiaUPC"/>
      <w:b/>
      <w:bCs/>
      <w:spacing w:val="40"/>
      <w:sz w:val="26"/>
      <w:szCs w:val="26"/>
      <w:shd w:val="clear" w:color="auto" w:fill="FFFFFF"/>
    </w:rPr>
  </w:style>
  <w:style w:type="paragraph" w:customStyle="1" w:styleId="Bodytext160">
    <w:name w:val="Body text (16)"/>
    <w:basedOn w:val="Normal"/>
    <w:link w:val="Bodytext16"/>
    <w:rsid w:val="006F76EB"/>
    <w:pPr>
      <w:shd w:val="clear" w:color="auto" w:fill="FFFFFF"/>
      <w:spacing w:after="660" w:line="346" w:lineRule="exact"/>
    </w:pPr>
    <w:rPr>
      <w:rFonts w:ascii="CordiaUPC" w:eastAsia="CordiaUPC" w:hAnsi="CordiaUPC" w:cs="CordiaUPC"/>
      <w:b/>
      <w:bCs/>
      <w:spacing w:val="40"/>
      <w:sz w:val="26"/>
      <w:szCs w:val="26"/>
      <w:lang w:val="en-US" w:eastAsia="en-US" w:bidi="ar-SA"/>
    </w:rPr>
  </w:style>
  <w:style w:type="character" w:customStyle="1" w:styleId="Heading13Spacing2pt">
    <w:name w:val="Heading #1 (3) + Spacing 2 pt"/>
    <w:basedOn w:val="Heading13"/>
    <w:rsid w:val="006F76EB"/>
    <w:rPr>
      <w:rFonts w:ascii="Times New Roman" w:eastAsia="Times New Roman" w:hAnsi="Times New Roman" w:cs="Times New Roman"/>
      <w:sz w:val="30"/>
      <w:szCs w:val="30"/>
      <w:shd w:val="clear" w:color="auto" w:fill="FFFFFF"/>
    </w:rPr>
  </w:style>
  <w:style w:type="character" w:customStyle="1" w:styleId="Bodytext7Spacing1pt">
    <w:name w:val="Body text (7) + Spacing 1 pt"/>
    <w:basedOn w:val="Bodytext7"/>
    <w:rsid w:val="006F76EB"/>
    <w:rPr>
      <w:rFonts w:ascii="Times New Roman" w:eastAsia="Times New Roman" w:hAnsi="Times New Roman" w:cs="Times New Roman"/>
      <w:b/>
      <w:bCs/>
      <w:i/>
      <w:iCs/>
      <w:sz w:val="28"/>
      <w:szCs w:val="28"/>
      <w:shd w:val="clear" w:color="auto" w:fill="FFFFFF"/>
    </w:rPr>
  </w:style>
  <w:style w:type="character" w:customStyle="1" w:styleId="Heading13Spacing1pt">
    <w:name w:val="Heading #1 (3) + Spacing 1 pt"/>
    <w:basedOn w:val="Heading13"/>
    <w:rsid w:val="006F76EB"/>
    <w:rPr>
      <w:rFonts w:ascii="Times New Roman" w:eastAsia="Times New Roman" w:hAnsi="Times New Roman" w:cs="Times New Roman"/>
      <w:sz w:val="30"/>
      <w:szCs w:val="30"/>
      <w:shd w:val="clear" w:color="auto" w:fill="FFFFFF"/>
    </w:rPr>
  </w:style>
  <w:style w:type="character" w:customStyle="1" w:styleId="Tablecaption5">
    <w:name w:val="Table caption (5)_"/>
    <w:basedOn w:val="DefaultParagraphFont"/>
    <w:link w:val="Tablecaption50"/>
    <w:rsid w:val="006F76EB"/>
    <w:rPr>
      <w:rFonts w:ascii="Times New Roman" w:eastAsia="Times New Roman" w:hAnsi="Times New Roman" w:cs="Times New Roman"/>
      <w:sz w:val="20"/>
      <w:szCs w:val="20"/>
      <w:shd w:val="clear" w:color="auto" w:fill="FFFFFF"/>
    </w:rPr>
  </w:style>
  <w:style w:type="paragraph" w:customStyle="1" w:styleId="Tablecaption50">
    <w:name w:val="Table caption (5)"/>
    <w:basedOn w:val="Normal"/>
    <w:link w:val="Tablecaption5"/>
    <w:rsid w:val="006F76EB"/>
    <w:pPr>
      <w:shd w:val="clear" w:color="auto" w:fill="FFFFFF"/>
      <w:spacing w:after="0" w:line="230" w:lineRule="exact"/>
      <w:jc w:val="both"/>
    </w:pPr>
    <w:rPr>
      <w:rFonts w:ascii="Times New Roman" w:eastAsia="Times New Roman" w:hAnsi="Times New Roman" w:cs="Times New Roman"/>
      <w:sz w:val="20"/>
      <w:szCs w:val="20"/>
      <w:lang w:val="en-US" w:eastAsia="en-US" w:bidi="ar-SA"/>
    </w:rPr>
  </w:style>
  <w:style w:type="character" w:customStyle="1" w:styleId="Bodytext17">
    <w:name w:val="Body text (17)_"/>
    <w:basedOn w:val="DefaultParagraphFont"/>
    <w:link w:val="Bodytext170"/>
    <w:rsid w:val="006F76EB"/>
    <w:rPr>
      <w:rFonts w:ascii="Century Schoolbook" w:eastAsia="Century Schoolbook" w:hAnsi="Century Schoolbook" w:cs="Century Schoolbook"/>
      <w:sz w:val="9"/>
      <w:szCs w:val="9"/>
      <w:shd w:val="clear" w:color="auto" w:fill="FFFFFF"/>
    </w:rPr>
  </w:style>
  <w:style w:type="paragraph" w:customStyle="1" w:styleId="Bodytext170">
    <w:name w:val="Body text (17)"/>
    <w:basedOn w:val="Normal"/>
    <w:link w:val="Bodytext17"/>
    <w:rsid w:val="006F76EB"/>
    <w:pPr>
      <w:shd w:val="clear" w:color="auto" w:fill="FFFFFF"/>
      <w:spacing w:before="4500" w:after="0" w:line="0" w:lineRule="atLeast"/>
    </w:pPr>
    <w:rPr>
      <w:rFonts w:ascii="Century Schoolbook" w:eastAsia="Century Schoolbook" w:hAnsi="Century Schoolbook" w:cs="Century Schoolbook"/>
      <w:sz w:val="9"/>
      <w:szCs w:val="9"/>
      <w:lang w:val="en-US" w:eastAsia="en-US" w:bidi="ar-SA"/>
    </w:rPr>
  </w:style>
  <w:style w:type="character" w:customStyle="1" w:styleId="Bodytext1812pt">
    <w:name w:val="Body text (18) + 12 pt"/>
    <w:basedOn w:val="Bodytext18"/>
    <w:rsid w:val="006F76EB"/>
    <w:rPr>
      <w:rFonts w:ascii="Times New Roman" w:eastAsia="Times New Roman" w:hAnsi="Times New Roman" w:cs="Times New Roman"/>
      <w:b/>
      <w:bCs/>
      <w:color w:val="000000"/>
      <w:spacing w:val="0"/>
      <w:w w:val="100"/>
      <w:position w:val="0"/>
      <w:sz w:val="24"/>
      <w:szCs w:val="24"/>
      <w:shd w:val="clear" w:color="auto" w:fill="FFFFFF"/>
      <w:lang w:val="hy-AM" w:eastAsia="hy-AM" w:bidi="hy-AM"/>
    </w:rPr>
  </w:style>
  <w:style w:type="character" w:customStyle="1" w:styleId="Bodytext18105pt">
    <w:name w:val="Body text (18) + 10.5 pt"/>
    <w:basedOn w:val="Bodytext18"/>
    <w:rsid w:val="006F76EB"/>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810pt">
    <w:name w:val="Body text (18) + 10 pt"/>
    <w:basedOn w:val="Bodytext18"/>
    <w:rsid w:val="006F76EB"/>
    <w:rPr>
      <w:rFonts w:ascii="Times New Roman" w:eastAsia="Times New Roman" w:hAnsi="Times New Roman" w:cs="Times New Roman"/>
      <w:b/>
      <w:bCs/>
      <w:color w:val="000000"/>
      <w:spacing w:val="0"/>
      <w:w w:val="100"/>
      <w:position w:val="0"/>
      <w:sz w:val="20"/>
      <w:szCs w:val="20"/>
      <w:shd w:val="clear" w:color="auto" w:fill="FFFFFF"/>
      <w:lang w:val="hy-AM" w:eastAsia="hy-AM" w:bidi="hy-AM"/>
    </w:rPr>
  </w:style>
  <w:style w:type="character" w:customStyle="1" w:styleId="Bodytext18NotBold">
    <w:name w:val="Body text (18) + Not Bold"/>
    <w:basedOn w:val="Bodytext18"/>
    <w:rsid w:val="006F76EB"/>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DocumentMapChar">
    <w:name w:val="Document Map Char"/>
    <w:basedOn w:val="DefaultParagraphFont"/>
    <w:link w:val="DocumentMap"/>
    <w:uiPriority w:val="99"/>
    <w:semiHidden/>
    <w:rsid w:val="006F76EB"/>
    <w:rPr>
      <w:rFonts w:ascii="Tahoma" w:eastAsia="MS Mincho" w:hAnsi="Tahoma" w:cs="Tahoma"/>
      <w:color w:val="000000"/>
      <w:sz w:val="16"/>
      <w:szCs w:val="16"/>
    </w:rPr>
  </w:style>
  <w:style w:type="paragraph" w:styleId="DocumentMap">
    <w:name w:val="Document Map"/>
    <w:basedOn w:val="Normal"/>
    <w:link w:val="DocumentMapChar"/>
    <w:uiPriority w:val="99"/>
    <w:semiHidden/>
    <w:unhideWhenUsed/>
    <w:rsid w:val="006F76EB"/>
    <w:pPr>
      <w:spacing w:after="0" w:line="240" w:lineRule="auto"/>
    </w:pPr>
    <w:rPr>
      <w:rFonts w:ascii="Tahoma" w:eastAsia="MS Mincho" w:hAnsi="Tahoma" w:cs="Tahoma"/>
      <w:color w:val="000000"/>
      <w:sz w:val="16"/>
      <w:szCs w:val="16"/>
      <w:lang w:val="en-US" w:eastAsia="en-US" w:bidi="ar-SA"/>
    </w:rPr>
  </w:style>
  <w:style w:type="character" w:customStyle="1" w:styleId="DocumentMapChar1">
    <w:name w:val="Document Map Char1"/>
    <w:basedOn w:val="DefaultParagraphFont"/>
    <w:uiPriority w:val="99"/>
    <w:semiHidden/>
    <w:rsid w:val="006F76EB"/>
    <w:rPr>
      <w:rFonts w:ascii="Tahoma" w:hAnsi="Tahoma" w:cs="Tahoma"/>
      <w:sz w:val="16"/>
      <w:szCs w:val="16"/>
      <w:lang w:val="hy-AM" w:eastAsia="hy-AM" w:bidi="hy-AM"/>
    </w:rPr>
  </w:style>
  <w:style w:type="character" w:customStyle="1" w:styleId="Bodytext411pt">
    <w:name w:val="Body text (4) + 11 pt"/>
    <w:basedOn w:val="Bodytext4"/>
    <w:rsid w:val="006F76EB"/>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Heading12Spacing1pt">
    <w:name w:val="Heading #1 (2) + Spacing 1 pt"/>
    <w:basedOn w:val="Heading12"/>
    <w:rsid w:val="006F76EB"/>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character" w:styleId="Hyperlink">
    <w:name w:val="Hyperlink"/>
    <w:basedOn w:val="DefaultParagraphFont"/>
    <w:rsid w:val="006F76EB"/>
    <w:rPr>
      <w:color w:val="0066CC"/>
      <w:u w:val="single"/>
    </w:rPr>
  </w:style>
  <w:style w:type="character" w:customStyle="1" w:styleId="Bodytext2115pt">
    <w:name w:val="Body text (2) + 11.5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
    <w:name w:val="Body text (2) + 10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Exact">
    <w:name w:val="Body text (2) Exact"/>
    <w:basedOn w:val="DefaultParagraphFont"/>
    <w:rsid w:val="006F76EB"/>
    <w:rPr>
      <w:rFonts w:ascii="Times New Roman" w:eastAsia="Times New Roman" w:hAnsi="Times New Roman" w:cs="Times New Roman"/>
      <w:b w:val="0"/>
      <w:bCs w:val="0"/>
      <w:i w:val="0"/>
      <w:iCs w:val="0"/>
      <w:smallCaps w:val="0"/>
      <w:strike w:val="0"/>
      <w:sz w:val="30"/>
      <w:szCs w:val="30"/>
      <w:u w:val="none"/>
    </w:rPr>
  </w:style>
  <w:style w:type="character" w:customStyle="1" w:styleId="Bodytext2Italic">
    <w:name w:val="Body text (2) + Italic"/>
    <w:basedOn w:val="Bodytext2"/>
    <w:rsid w:val="006F76EB"/>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hy-AM" w:eastAsia="hy-AM" w:bidi="hy-AM"/>
    </w:rPr>
  </w:style>
  <w:style w:type="character" w:customStyle="1" w:styleId="Bodytext2Spacing2pt">
    <w:name w:val="Body text (2) + Spacing 2 pt"/>
    <w:basedOn w:val="Bodytext2"/>
    <w:rsid w:val="006F76EB"/>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12Spacing2pt">
    <w:name w:val="Heading #1 (2) + Spacing 2 pt"/>
    <w:basedOn w:val="Heading12"/>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1Spacing2pt">
    <w:name w:val="Heading #1 + Spacing 2 pt"/>
    <w:basedOn w:val="Heading1"/>
    <w:rsid w:val="006F76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8Exact">
    <w:name w:val="Body text (8) Exact"/>
    <w:basedOn w:val="DefaultParagraphFont"/>
    <w:rsid w:val="006F76EB"/>
    <w:rPr>
      <w:rFonts w:ascii="Times New Roman" w:eastAsia="Times New Roman" w:hAnsi="Times New Roman" w:cs="Times New Roman"/>
      <w:b/>
      <w:bCs/>
      <w:i w:val="0"/>
      <w:iCs w:val="0"/>
      <w:smallCaps w:val="0"/>
      <w:strike w:val="0"/>
      <w:sz w:val="22"/>
      <w:szCs w:val="22"/>
      <w:u w:val="none"/>
    </w:rPr>
  </w:style>
  <w:style w:type="character" w:customStyle="1" w:styleId="Heading1Spacing3pt">
    <w:name w:val="Heading #1 + Spacing 3 pt"/>
    <w:basedOn w:val="Heading1"/>
    <w:rsid w:val="006F76EB"/>
    <w:rPr>
      <w:rFonts w:ascii="Times New Roman" w:eastAsia="Times New Roman" w:hAnsi="Times New Roman" w:cs="Times New Roman"/>
      <w:b/>
      <w:bCs/>
      <w:color w:val="000000"/>
      <w:spacing w:val="70"/>
      <w:w w:val="100"/>
      <w:position w:val="0"/>
      <w:sz w:val="30"/>
      <w:szCs w:val="30"/>
      <w:shd w:val="clear" w:color="auto" w:fill="FFFFFF"/>
      <w:lang w:val="hy-AM" w:eastAsia="hy-AM" w:bidi="hy-AM"/>
    </w:rPr>
  </w:style>
  <w:style w:type="character" w:styleId="PlaceholderText">
    <w:name w:val="Placeholder Text"/>
    <w:basedOn w:val="DefaultParagraphFont"/>
    <w:uiPriority w:val="99"/>
    <w:semiHidden/>
    <w:rsid w:val="006F76EB"/>
    <w:rPr>
      <w:color w:val="808080"/>
    </w:rPr>
  </w:style>
  <w:style w:type="paragraph" w:styleId="Revision">
    <w:name w:val="Revision"/>
    <w:hidden/>
    <w:uiPriority w:val="99"/>
    <w:semiHidden/>
    <w:rsid w:val="006F76EB"/>
    <w:pPr>
      <w:spacing w:after="0" w:line="240" w:lineRule="auto"/>
    </w:pPr>
    <w:rPr>
      <w:rFonts w:ascii="Sylfaen" w:eastAsia="MS Mincho" w:hAnsi="Sylfaen" w:cs="Sylfaen"/>
      <w:color w:val="000000"/>
      <w:sz w:val="24"/>
      <w:szCs w:val="24"/>
      <w:lang w:val="hy-AM" w:eastAsia="hy-AM" w:bidi="hy-AM"/>
    </w:rPr>
  </w:style>
  <w:style w:type="character" w:customStyle="1" w:styleId="Bodytext1815pt">
    <w:name w:val="Body text (18) + 15 pt"/>
    <w:aliases w:val="Not Bold,Body text (18) + 4 pt"/>
    <w:basedOn w:val="Bodytext18"/>
    <w:rsid w:val="006F76E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28pt">
    <w:name w:val="Body text (2) + 8 pt"/>
    <w:basedOn w:val="Bodytext2"/>
    <w:rsid w:val="006F76E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3Spacing3pt">
    <w:name w:val="Body text (3) + Spacing 3 pt"/>
    <w:basedOn w:val="Bodytext3"/>
    <w:rsid w:val="00BD67EC"/>
    <w:rPr>
      <w:rFonts w:ascii="Times New Roman" w:eastAsia="Times New Roman" w:hAnsi="Times New Roman" w:cs="Times New Roman"/>
      <w:b/>
      <w:bCs/>
      <w:color w:val="000000"/>
      <w:spacing w:val="6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5015-D7DF-4058-8598-E626ACE2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3443</TotalTime>
  <Pages>978</Pages>
  <Words>193220</Words>
  <Characters>1101356</Characters>
  <Application>Microsoft Office Word</Application>
  <DocSecurity>0</DocSecurity>
  <Lines>9177</Lines>
  <Paragraphs>2583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Аngela</dc:creator>
  <cp:keywords/>
  <dc:description/>
  <cp:lastModifiedBy>Nune Korushchyan</cp:lastModifiedBy>
  <cp:revision>416</cp:revision>
  <cp:lastPrinted>2022-06-22T12:05:00Z</cp:lastPrinted>
  <dcterms:created xsi:type="dcterms:W3CDTF">2017-05-02T07:39:00Z</dcterms:created>
  <dcterms:modified xsi:type="dcterms:W3CDTF">2022-06-24T12:13:00Z</dcterms:modified>
</cp:coreProperties>
</file>